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C8F8" w14:textId="5FA13D22" w:rsidR="001F5A79" w:rsidRPr="009C5807" w:rsidRDefault="008C19BE" w:rsidP="008C19BE">
      <w:pPr>
        <w:pStyle w:val="Heading1"/>
      </w:pPr>
      <w:bookmarkStart w:id="0" w:name="_Toc5952726"/>
      <w:bookmarkStart w:id="1" w:name="historyclause"/>
      <w:r w:rsidRPr="009C5807">
        <w:rPr>
          <w:rStyle w:val="Heading1Char"/>
        </w:rPr>
        <w:t>10</w:t>
      </w:r>
      <w:r w:rsidR="001F5A79" w:rsidRPr="009C5807">
        <w:tab/>
        <w:t>Measurement Performance requirements</w:t>
      </w:r>
    </w:p>
    <w:p w14:paraId="77406521" w14:textId="239369A5" w:rsidR="001F5A79" w:rsidRPr="009C5807" w:rsidRDefault="001F5A79" w:rsidP="00967CF8">
      <w:pPr>
        <w:pStyle w:val="Heading2"/>
      </w:pPr>
      <w:r w:rsidRPr="009C5807">
        <w:t>1</w:t>
      </w:r>
      <w:r w:rsidR="00967CF8" w:rsidRPr="009C5807">
        <w:t>0.1</w:t>
      </w:r>
      <w:r w:rsidRPr="009C5807">
        <w:tab/>
        <w:t>NR measurements</w:t>
      </w:r>
    </w:p>
    <w:p w14:paraId="7C74A9B5" w14:textId="4C88FC7B" w:rsidR="001F5A79" w:rsidRPr="009C5807" w:rsidRDefault="001F5A79" w:rsidP="00967CF8">
      <w:pPr>
        <w:pStyle w:val="Heading3"/>
        <w:rPr>
          <w:lang w:val="en-US"/>
        </w:rPr>
      </w:pPr>
      <w:bookmarkStart w:id="2" w:name="_Toc5952723"/>
      <w:r w:rsidRPr="009C5807">
        <w:rPr>
          <w:lang w:val="en-US"/>
        </w:rPr>
        <w:t>1</w:t>
      </w:r>
      <w:r w:rsidR="00967CF8" w:rsidRPr="009C5807">
        <w:rPr>
          <w:lang w:val="en-US"/>
        </w:rPr>
        <w:t>0.1.1</w:t>
      </w:r>
      <w:r w:rsidRPr="009C5807">
        <w:rPr>
          <w:lang w:val="en-US"/>
        </w:rPr>
        <w:tab/>
        <w:t>Introduction</w:t>
      </w:r>
      <w:bookmarkEnd w:id="2"/>
    </w:p>
    <w:p w14:paraId="5A6697A6" w14:textId="77777777" w:rsidR="001F5A79" w:rsidRPr="009C5807" w:rsidRDefault="001F5A79" w:rsidP="001F5A79">
      <w:pPr>
        <w:rPr>
          <w:lang w:eastAsia="ko-KR"/>
        </w:rPr>
      </w:pPr>
      <w:r w:rsidRPr="009C5807">
        <w:rPr>
          <w:lang w:eastAsia="ko-KR"/>
        </w:rPr>
        <w:t>The requirements in clause 10.1 apply as follows:</w:t>
      </w:r>
    </w:p>
    <w:p w14:paraId="2CD4A8DA" w14:textId="77777777" w:rsidR="001F5A79" w:rsidRPr="009C5807" w:rsidRDefault="001F5A79" w:rsidP="009C5807">
      <w:pPr>
        <w:pStyle w:val="B10"/>
        <w:rPr>
          <w:lang w:eastAsia="ko-KR"/>
        </w:rPr>
      </w:pPr>
      <w:r w:rsidRPr="009C5807">
        <w:rPr>
          <w:lang w:eastAsia="ko-KR"/>
        </w:rPr>
        <w:t>-</w:t>
      </w:r>
      <w:r w:rsidRPr="009C5807">
        <w:rPr>
          <w:lang w:eastAsia="ko-KR"/>
        </w:rPr>
        <w:tab/>
        <w:t xml:space="preserve">intra-frequency requirements apply for PCell measurements in SA, NR-DC, or NE-DC operaion mode, </w:t>
      </w:r>
    </w:p>
    <w:p w14:paraId="755E7C19" w14:textId="77777777" w:rsidR="001F5A79" w:rsidRPr="009C5807" w:rsidRDefault="001F5A79" w:rsidP="009C5807">
      <w:pPr>
        <w:pStyle w:val="B10"/>
        <w:rPr>
          <w:lang w:eastAsia="ko-KR"/>
        </w:rPr>
      </w:pPr>
      <w:r w:rsidRPr="009C5807">
        <w:rPr>
          <w:lang w:eastAsia="ko-KR"/>
        </w:rPr>
        <w:t>-</w:t>
      </w:r>
      <w:r w:rsidRPr="009C5807">
        <w:rPr>
          <w:lang w:eastAsia="ko-KR"/>
        </w:rPr>
        <w:tab/>
        <w:t>intra-frequency requirements apply for PSCell measurements in NR-DC or EN-DC operaion mode,</w:t>
      </w:r>
    </w:p>
    <w:p w14:paraId="44CBC12B" w14:textId="77777777" w:rsidR="001F5A79" w:rsidRPr="009C5807" w:rsidRDefault="001F5A79" w:rsidP="009C5807">
      <w:pPr>
        <w:pStyle w:val="B10"/>
        <w:rPr>
          <w:lang w:eastAsia="ko-KR"/>
        </w:rPr>
      </w:pPr>
      <w:r w:rsidRPr="009C5807">
        <w:rPr>
          <w:lang w:eastAsia="ko-KR"/>
        </w:rPr>
        <w:t>-</w:t>
      </w:r>
      <w:r w:rsidRPr="009C5807">
        <w:rPr>
          <w:lang w:eastAsia="ko-KR"/>
        </w:rPr>
        <w:tab/>
        <w:t>intra-frequency requirements apply for SCell measurements in SA operation mode with NR CA or any MR-DC operaion mode with NR CA,</w:t>
      </w:r>
    </w:p>
    <w:p w14:paraId="423366FC" w14:textId="40592471" w:rsidR="00E35B07" w:rsidRDefault="001F5A79" w:rsidP="00E35B07">
      <w:pPr>
        <w:pStyle w:val="B10"/>
        <w:rPr>
          <w:lang w:eastAsia="ko-KR"/>
        </w:rPr>
      </w:pPr>
      <w:r w:rsidRPr="009C5807">
        <w:rPr>
          <w:lang w:eastAsia="ko-KR"/>
        </w:rPr>
        <w:t>-</w:t>
      </w:r>
      <w:r w:rsidRPr="009C5807">
        <w:rPr>
          <w:lang w:eastAsia="ko-KR"/>
        </w:rPr>
        <w:tab/>
        <w:t>inter-frequency requirements apply for non-serving cell measurements on NR carrier frequencies.</w:t>
      </w:r>
    </w:p>
    <w:p w14:paraId="4902AE4F" w14:textId="55A720D7" w:rsidR="00E35B07" w:rsidRDefault="00E35B07" w:rsidP="00E35B07">
      <w:pPr>
        <w:pStyle w:val="B10"/>
        <w:rPr>
          <w:lang w:eastAsia="ko-KR"/>
        </w:rPr>
      </w:pPr>
      <w:r>
        <w:rPr>
          <w:lang w:eastAsia="ko-KR"/>
        </w:rPr>
        <w:t>-</w:t>
      </w:r>
      <w:r>
        <w:rPr>
          <w:lang w:eastAsia="ko-KR"/>
        </w:rPr>
        <w:tab/>
      </w:r>
      <w:r w:rsidRPr="006741E3">
        <w:rPr>
          <w:lang w:eastAsia="ko-KR"/>
        </w:rPr>
        <w:t>inter-frequency requirements apply</w:t>
      </w:r>
      <w:r w:rsidRPr="00072854">
        <w:rPr>
          <w:lang w:eastAsia="ko-KR"/>
        </w:rPr>
        <w:t xml:space="preserve"> for measurements from one cell on a frequency compared to the measurement from another cell on a different frequency</w:t>
      </w:r>
      <w:r>
        <w:rPr>
          <w:lang w:eastAsia="ko-KR"/>
        </w:rPr>
        <w:t>.</w:t>
      </w:r>
    </w:p>
    <w:p w14:paraId="404136F3" w14:textId="77777777" w:rsidR="001F5A79" w:rsidRPr="009C5807" w:rsidRDefault="001F5A79" w:rsidP="001F5A79">
      <w:r w:rsidRPr="009C5807">
        <w:t>In the requirements of clause 10.1, the exceptions for side conditions apply as follows:</w:t>
      </w:r>
    </w:p>
    <w:p w14:paraId="20E5F0A8" w14:textId="77777777" w:rsidR="001F5A79" w:rsidRPr="009C5807" w:rsidRDefault="001F5A79" w:rsidP="009C5807">
      <w:pPr>
        <w:pStyle w:val="B10"/>
      </w:pPr>
      <w:r w:rsidRPr="009C5807">
        <w:t>-</w:t>
      </w:r>
      <w:r w:rsidRPr="009C5807">
        <w:tab/>
        <w:t>for the UE capable of CA but not configured with any SCell, the applicable exceptions for side conditions are specified in Annex B, clause B.3.2.1 for UE supporting CA in FR1, and clause B.3.2.3 for UE supporting CA in FR2, respectively;</w:t>
      </w:r>
    </w:p>
    <w:p w14:paraId="304E117B" w14:textId="77777777" w:rsidR="001F5A79" w:rsidRPr="009C5807" w:rsidRDefault="001F5A79" w:rsidP="009C5807">
      <w:pPr>
        <w:pStyle w:val="B10"/>
      </w:pPr>
      <w:r w:rsidRPr="009C5807">
        <w:t>-</w:t>
      </w:r>
      <w:r w:rsidRPr="009C5807">
        <w:tab/>
        <w:t xml:space="preserve">for the UE capable of CA and configured with </w:t>
      </w:r>
      <w:r w:rsidRPr="009C5807">
        <w:rPr>
          <w:lang w:eastAsia="zh-CN"/>
        </w:rPr>
        <w:t>at least one</w:t>
      </w:r>
      <w:r w:rsidRPr="009C5807" w:rsidDel="00C22904">
        <w:rPr>
          <w:lang w:eastAsia="zh-CN"/>
        </w:rPr>
        <w:t xml:space="preserve"> </w:t>
      </w:r>
      <w:r w:rsidRPr="009C5807">
        <w:t>SCell, the applicable exceptions for side conditions are specified in Annex B, clause B.3.2.2 for UE configured with CA in FR1, and clause B.3.2.4 for UE supporting CA in FR2 respectively;</w:t>
      </w:r>
    </w:p>
    <w:p w14:paraId="3E017B38" w14:textId="77777777" w:rsidR="001F5A79" w:rsidRPr="009C5807" w:rsidRDefault="001F5A79" w:rsidP="009C5807">
      <w:pPr>
        <w:pStyle w:val="B10"/>
      </w:pPr>
      <w:r w:rsidRPr="009C5807">
        <w:t>-</w:t>
      </w:r>
      <w:r w:rsidRPr="009C5807">
        <w:tab/>
        <w:t>for the UE capable of SUL but not configured with SUL, the applicable exceptions for side conditions are specified in Annex B, clause B.3.4.1 for UE supporting SUL in FR1;</w:t>
      </w:r>
    </w:p>
    <w:p w14:paraId="59E0DD86" w14:textId="77777777" w:rsidR="001F5A79" w:rsidRPr="009C5807" w:rsidRDefault="001F5A79" w:rsidP="009C5807">
      <w:pPr>
        <w:pStyle w:val="B10"/>
        <w:rPr>
          <w:noProof/>
          <w:lang w:eastAsia="zh-CN"/>
        </w:rPr>
      </w:pPr>
      <w:r w:rsidRPr="009C5807">
        <w:t>-</w:t>
      </w:r>
      <w:r w:rsidRPr="009C5807">
        <w:tab/>
        <w:t>for the UE capable of SUL and configured with at least one SUL, the applicable exceptions for side conditions are specified in Annex B, clause B.3.4.2 for UE configured with SUL in FR1.</w:t>
      </w:r>
    </w:p>
    <w:p w14:paraId="229F30C7" w14:textId="31A28DF0" w:rsidR="001F5A79" w:rsidRPr="009C5807" w:rsidRDefault="001F5A79" w:rsidP="00967CF8">
      <w:pPr>
        <w:pStyle w:val="Heading3"/>
        <w:rPr>
          <w:lang w:val="en-US"/>
        </w:rPr>
      </w:pPr>
      <w:bookmarkStart w:id="3" w:name="OLE_LINK22"/>
      <w:r w:rsidRPr="009C5807">
        <w:rPr>
          <w:lang w:val="en-US"/>
        </w:rPr>
        <w:t>1</w:t>
      </w:r>
      <w:r w:rsidR="00967CF8" w:rsidRPr="009C5807">
        <w:rPr>
          <w:lang w:val="en-US"/>
        </w:rPr>
        <w:t>0.1.2</w:t>
      </w:r>
      <w:r w:rsidRPr="009C5807">
        <w:rPr>
          <w:lang w:val="en-US"/>
        </w:rPr>
        <w:tab/>
        <w:t>Intra-frequency RSRP accuracy requirements for FR1</w:t>
      </w:r>
    </w:p>
    <w:p w14:paraId="501F06A0" w14:textId="0DF5E99C" w:rsidR="001F5A79" w:rsidRPr="009C5807" w:rsidRDefault="001F5A79" w:rsidP="00967CF8">
      <w:pPr>
        <w:pStyle w:val="Heading4"/>
        <w:rPr>
          <w:lang w:val="en-US"/>
        </w:rPr>
      </w:pPr>
      <w:r w:rsidRPr="009C5807">
        <w:rPr>
          <w:lang w:val="en-US"/>
        </w:rPr>
        <w:t>1</w:t>
      </w:r>
      <w:r w:rsidR="00967CF8" w:rsidRPr="009C5807">
        <w:rPr>
          <w:lang w:val="en-US"/>
        </w:rPr>
        <w:t>0.1.2.1</w:t>
      </w:r>
      <w:r w:rsidRPr="009C5807">
        <w:rPr>
          <w:lang w:val="en-US"/>
        </w:rPr>
        <w:tab/>
        <w:t>Intra-frequency SS-RSRP accuracy requirements</w:t>
      </w:r>
    </w:p>
    <w:bookmarkEnd w:id="3"/>
    <w:p w14:paraId="514E1B24" w14:textId="6F601C7E" w:rsidR="001F5A79" w:rsidRPr="009C5807" w:rsidRDefault="001F5A79" w:rsidP="00967CF8">
      <w:pPr>
        <w:pStyle w:val="Heading5"/>
      </w:pPr>
      <w:r w:rsidRPr="009C5807">
        <w:t>1</w:t>
      </w:r>
      <w:r w:rsidR="00967CF8" w:rsidRPr="009C5807">
        <w:t>0.1.2.1.1</w:t>
      </w:r>
      <w:r w:rsidRPr="009C5807">
        <w:tab/>
        <w:t xml:space="preserve">Absolute </w:t>
      </w:r>
      <w:r w:rsidRPr="009C5807">
        <w:rPr>
          <w:lang w:val="en-US"/>
        </w:rPr>
        <w:t xml:space="preserve">SS-RSRP </w:t>
      </w:r>
      <w:r w:rsidRPr="009C5807">
        <w:t>Accuracy</w:t>
      </w:r>
    </w:p>
    <w:p w14:paraId="2E19AF95" w14:textId="2BAD30F5" w:rsidR="00B03A04" w:rsidRDefault="0048746C" w:rsidP="00B03A04">
      <w:pPr>
        <w:rPr>
          <w:rFonts w:cs="v4.2.0"/>
          <w:i/>
        </w:rPr>
      </w:pPr>
      <w:r>
        <w:rPr>
          <w:rFonts w:cs="v4.2.0"/>
        </w:rPr>
        <w:t xml:space="preserve">Unless otherwise specified, the requirements for absolute accuracy of </w:t>
      </w:r>
      <w:r>
        <w:rPr>
          <w:rFonts w:cs="v4.2.0"/>
          <w:lang w:eastAsia="zh-CN"/>
        </w:rPr>
        <w:t>SS-RSRP</w:t>
      </w:r>
      <w:r>
        <w:rPr>
          <w:rFonts w:cs="v4.2.0"/>
        </w:rPr>
        <w:t xml:space="preserve"> in this clause apply to a cell on the same frequency as that of the serving cell in FR1.</w:t>
      </w:r>
      <w:r>
        <w:rPr>
          <w:lang w:eastAsia="zh-CN"/>
        </w:rPr>
        <w:t xml:space="preserve"> The </w:t>
      </w:r>
      <w:r>
        <w:t xml:space="preserve">accuracy requirements in this clause are also applicable when </w:t>
      </w:r>
      <w:r>
        <w:rPr>
          <w:rFonts w:cs="v4.2.0"/>
          <w:i/>
          <w:iCs/>
          <w:lang w:eastAsia="zh-CN"/>
        </w:rPr>
        <w:t>highSpeedMeasFlag-r16</w:t>
      </w:r>
      <w:r>
        <w:rPr>
          <w:i/>
        </w:rPr>
        <w:t xml:space="preserve"> </w:t>
      </w:r>
      <w:r>
        <w:t xml:space="preserve">or </w:t>
      </w:r>
      <w:r w:rsidRPr="00C55ADC">
        <w:rPr>
          <w:i/>
        </w:rPr>
        <w:t>highSpeedMeasCA-Scell-r17</w:t>
      </w:r>
      <w:r>
        <w:rPr>
          <w:i/>
        </w:rPr>
        <w:t xml:space="preserve"> </w:t>
      </w:r>
      <w:r>
        <w:t>is configured.</w:t>
      </w:r>
    </w:p>
    <w:p w14:paraId="4A3B6E12"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10.1.2.1.1</w:t>
      </w:r>
      <w:r w:rsidRPr="009C5807">
        <w:rPr>
          <w:rFonts w:cs="v4.2.0"/>
        </w:rPr>
        <w:t>-1 are valid under the following conditions:</w:t>
      </w:r>
    </w:p>
    <w:p w14:paraId="64FA818D" w14:textId="77777777" w:rsidR="001F5A79" w:rsidRPr="009C5807" w:rsidRDefault="001F5A79" w:rsidP="009C5807">
      <w:pPr>
        <w:pStyle w:val="B10"/>
        <w:rPr>
          <w:rFonts w:cs="v4.2.0"/>
        </w:rPr>
      </w:pPr>
      <w:r w:rsidRPr="009C5807">
        <w:t>-</w:t>
      </w:r>
      <w:r w:rsidRPr="009C5807">
        <w:tab/>
        <w:t>Conditions defined in clause 7.3 of TS 38.101-1 [18] for reference sensitivity are fulfilled.</w:t>
      </w:r>
    </w:p>
    <w:p w14:paraId="7948F654" w14:textId="77777777" w:rsidR="001F5A79" w:rsidRPr="009C5807" w:rsidRDefault="001F5A79" w:rsidP="009C5807">
      <w:pPr>
        <w:pStyle w:val="B10"/>
        <w:rPr>
          <w:lang w:eastAsia="zh-CN"/>
        </w:rPr>
      </w:pPr>
      <w:r w:rsidRPr="009C5807">
        <w:t>-</w:t>
      </w:r>
      <w:r w:rsidRPr="009C5807">
        <w:tab/>
        <w:t xml:space="preserve">Conditions for intra-frequency measurements are fulfilled according to Annex B.2.2 for a corresponding Band </w:t>
      </w:r>
      <w:r w:rsidRPr="009C5807">
        <w:rPr>
          <w:rFonts w:cs="v4.2.0"/>
          <w:lang w:eastAsia="ko-KR"/>
        </w:rPr>
        <w:t>for each relevant SSB</w:t>
      </w:r>
      <w:r w:rsidRPr="009C5807">
        <w:t>.</w:t>
      </w:r>
    </w:p>
    <w:p w14:paraId="7F1EFB3C" w14:textId="77777777" w:rsidR="001F5A79" w:rsidRPr="009C5807" w:rsidRDefault="001F5A79" w:rsidP="008B5C3E">
      <w:pPr>
        <w:pStyle w:val="TAH"/>
      </w:pPr>
      <w:r w:rsidRPr="009C5807">
        <w:lastRenderedPageBreak/>
        <w:t>Table 10.1.2.1.1-1: SS-RSRP Intra frequency absolute accuracy in FR1</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1F5A79" w:rsidRPr="009C5807" w14:paraId="501EB87C" w14:textId="77777777" w:rsidTr="00B03A04">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tcPr>
          <w:p w14:paraId="62991D6A" w14:textId="77777777" w:rsidR="001F5A79" w:rsidRPr="009C5807" w:rsidRDefault="001F5A79" w:rsidP="00B03A04">
            <w:pPr>
              <w:pStyle w:val="TAH"/>
            </w:pPr>
            <w:r w:rsidRPr="009C5807">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tcPr>
          <w:p w14:paraId="270A45A6" w14:textId="77777777" w:rsidR="001F5A79" w:rsidRPr="009C5807" w:rsidRDefault="001F5A79" w:rsidP="00B03A04">
            <w:pPr>
              <w:pStyle w:val="TAH"/>
            </w:pPr>
            <w:r w:rsidRPr="009C5807">
              <w:t>Conditions</w:t>
            </w:r>
          </w:p>
        </w:tc>
      </w:tr>
      <w:tr w:rsidR="001F5A79" w:rsidRPr="009C5807" w14:paraId="33BC2A18" w14:textId="77777777" w:rsidTr="00B03A04">
        <w:trPr>
          <w:jc w:val="center"/>
        </w:trPr>
        <w:tc>
          <w:tcPr>
            <w:tcW w:w="1036" w:type="dxa"/>
            <w:tcBorders>
              <w:top w:val="single" w:sz="6" w:space="0" w:color="auto"/>
              <w:left w:val="single" w:sz="4" w:space="0" w:color="auto"/>
              <w:right w:val="single" w:sz="6" w:space="0" w:color="auto"/>
            </w:tcBorders>
            <w:shd w:val="clear" w:color="auto" w:fill="auto"/>
          </w:tcPr>
          <w:p w14:paraId="45985C51" w14:textId="77777777" w:rsidR="001F5A79" w:rsidRPr="009C5807" w:rsidRDefault="001F5A79" w:rsidP="00B03A04">
            <w:pPr>
              <w:pStyle w:val="TAH"/>
            </w:pPr>
            <w:r w:rsidRPr="009C5807">
              <w:t>Normal condition</w:t>
            </w:r>
          </w:p>
        </w:tc>
        <w:tc>
          <w:tcPr>
            <w:tcW w:w="1055" w:type="dxa"/>
            <w:tcBorders>
              <w:top w:val="single" w:sz="6" w:space="0" w:color="auto"/>
              <w:left w:val="single" w:sz="6" w:space="0" w:color="auto"/>
              <w:right w:val="single" w:sz="6" w:space="0" w:color="auto"/>
            </w:tcBorders>
            <w:shd w:val="clear" w:color="auto" w:fill="auto"/>
          </w:tcPr>
          <w:p w14:paraId="011A5F27" w14:textId="77777777" w:rsidR="001F5A79" w:rsidRPr="009C5807" w:rsidRDefault="001F5A79" w:rsidP="00B03A04">
            <w:pPr>
              <w:pStyle w:val="TAH"/>
            </w:pPr>
            <w:r w:rsidRPr="009C5807">
              <w:t>Extreme condition</w:t>
            </w:r>
          </w:p>
        </w:tc>
        <w:tc>
          <w:tcPr>
            <w:tcW w:w="833" w:type="dxa"/>
            <w:tcBorders>
              <w:top w:val="single" w:sz="6" w:space="0" w:color="auto"/>
              <w:left w:val="single" w:sz="6" w:space="0" w:color="auto"/>
              <w:right w:val="single" w:sz="6" w:space="0" w:color="auto"/>
            </w:tcBorders>
            <w:shd w:val="clear" w:color="auto" w:fill="auto"/>
          </w:tcPr>
          <w:p w14:paraId="6BC118D5" w14:textId="77777777" w:rsidR="001F5A79" w:rsidRPr="009C5807" w:rsidRDefault="001F5A79" w:rsidP="00B03A04">
            <w:pPr>
              <w:pStyle w:val="TAH"/>
            </w:pPr>
            <w:r w:rsidRPr="009C5807">
              <w:t>SSB Ês/Iot</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tcPr>
          <w:p w14:paraId="69E29006" w14:textId="77777777" w:rsidR="001F5A79" w:rsidRPr="009C5807" w:rsidRDefault="001F5A79" w:rsidP="00B03A04">
            <w:pPr>
              <w:pStyle w:val="TAH"/>
            </w:pPr>
            <w:r w:rsidRPr="009C5807">
              <w:t>Io</w:t>
            </w:r>
            <w:r w:rsidRPr="009C5807">
              <w:rPr>
                <w:vertAlign w:val="superscript"/>
              </w:rPr>
              <w:t xml:space="preserve"> Note 1</w:t>
            </w:r>
            <w:r w:rsidRPr="009C5807">
              <w:t xml:space="preserve"> range</w:t>
            </w:r>
          </w:p>
        </w:tc>
      </w:tr>
      <w:tr w:rsidR="001F5A79" w:rsidRPr="009C5807" w14:paraId="7A1E1A21" w14:textId="77777777" w:rsidTr="00B03A04">
        <w:trPr>
          <w:jc w:val="center"/>
        </w:trPr>
        <w:tc>
          <w:tcPr>
            <w:tcW w:w="1036" w:type="dxa"/>
            <w:tcBorders>
              <w:left w:val="single" w:sz="4" w:space="0" w:color="auto"/>
              <w:bottom w:val="single" w:sz="4" w:space="0" w:color="auto"/>
              <w:right w:val="single" w:sz="6" w:space="0" w:color="auto"/>
            </w:tcBorders>
            <w:shd w:val="clear" w:color="auto" w:fill="auto"/>
          </w:tcPr>
          <w:p w14:paraId="54A7B47B" w14:textId="77777777" w:rsidR="001F5A79" w:rsidRPr="009C5807" w:rsidRDefault="001F5A79" w:rsidP="00B03A04">
            <w:pPr>
              <w:pStyle w:val="TAH"/>
            </w:pPr>
          </w:p>
        </w:tc>
        <w:tc>
          <w:tcPr>
            <w:tcW w:w="1055" w:type="dxa"/>
            <w:tcBorders>
              <w:left w:val="single" w:sz="6" w:space="0" w:color="auto"/>
              <w:bottom w:val="single" w:sz="6" w:space="0" w:color="auto"/>
              <w:right w:val="single" w:sz="6" w:space="0" w:color="auto"/>
            </w:tcBorders>
            <w:shd w:val="clear" w:color="auto" w:fill="auto"/>
          </w:tcPr>
          <w:p w14:paraId="40C3C3C0" w14:textId="77777777" w:rsidR="001F5A79" w:rsidRPr="009C5807" w:rsidRDefault="001F5A79" w:rsidP="00B03A04">
            <w:pPr>
              <w:pStyle w:val="TAH"/>
            </w:pPr>
          </w:p>
        </w:tc>
        <w:tc>
          <w:tcPr>
            <w:tcW w:w="833" w:type="dxa"/>
            <w:tcBorders>
              <w:left w:val="single" w:sz="6" w:space="0" w:color="auto"/>
              <w:bottom w:val="single" w:sz="6" w:space="0" w:color="auto"/>
              <w:right w:val="single" w:sz="6" w:space="0" w:color="auto"/>
            </w:tcBorders>
            <w:shd w:val="clear" w:color="auto" w:fill="auto"/>
          </w:tcPr>
          <w:p w14:paraId="31397A43" w14:textId="77777777" w:rsidR="001F5A79" w:rsidRPr="009C5807" w:rsidRDefault="001F5A79" w:rsidP="00B03A04">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05142A32" w14:textId="77777777" w:rsidR="001F5A79" w:rsidRPr="009C5807" w:rsidRDefault="001F5A79" w:rsidP="00B03A04">
            <w:pPr>
              <w:pStyle w:val="TAH"/>
            </w:pPr>
            <w:r w:rsidRPr="009C5807">
              <w:t>NR operating band groups</w:t>
            </w:r>
            <w:r w:rsidRPr="009C5807">
              <w:rPr>
                <w:vertAlign w:val="superscript"/>
              </w:rPr>
              <w:t xml:space="preserve"> Note 2</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tcPr>
          <w:p w14:paraId="71A36912" w14:textId="77777777" w:rsidR="001F5A79" w:rsidRPr="009C5807" w:rsidRDefault="001F5A79" w:rsidP="00B03A04">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2502DE7D" w14:textId="77777777" w:rsidR="001F5A79" w:rsidRPr="009C5807" w:rsidRDefault="001F5A79" w:rsidP="00B03A04">
            <w:pPr>
              <w:pStyle w:val="TAH"/>
            </w:pPr>
            <w:r w:rsidRPr="009C5807">
              <w:t>Maximum Io</w:t>
            </w:r>
          </w:p>
        </w:tc>
      </w:tr>
      <w:tr w:rsidR="001F5A79" w:rsidRPr="009C5807" w14:paraId="54E6286C" w14:textId="77777777" w:rsidTr="00B03A04">
        <w:trPr>
          <w:trHeight w:val="308"/>
          <w:jc w:val="center"/>
        </w:trPr>
        <w:tc>
          <w:tcPr>
            <w:tcW w:w="1036" w:type="dxa"/>
            <w:tcBorders>
              <w:top w:val="single" w:sz="4" w:space="0" w:color="auto"/>
              <w:left w:val="single" w:sz="4" w:space="0" w:color="auto"/>
              <w:right w:val="single" w:sz="6" w:space="0" w:color="auto"/>
            </w:tcBorders>
            <w:shd w:val="clear" w:color="auto" w:fill="auto"/>
          </w:tcPr>
          <w:p w14:paraId="6FDD5115" w14:textId="77777777" w:rsidR="001F5A79" w:rsidRPr="009C5807" w:rsidRDefault="001F5A79" w:rsidP="00B03A04">
            <w:pPr>
              <w:pStyle w:val="TAH"/>
            </w:pPr>
            <w:r w:rsidRPr="009C5807">
              <w:t>dB</w:t>
            </w:r>
          </w:p>
        </w:tc>
        <w:tc>
          <w:tcPr>
            <w:tcW w:w="1055" w:type="dxa"/>
            <w:tcBorders>
              <w:top w:val="single" w:sz="6" w:space="0" w:color="auto"/>
              <w:left w:val="single" w:sz="6" w:space="0" w:color="auto"/>
              <w:right w:val="single" w:sz="6" w:space="0" w:color="auto"/>
            </w:tcBorders>
            <w:shd w:val="clear" w:color="auto" w:fill="auto"/>
          </w:tcPr>
          <w:p w14:paraId="187C7E74" w14:textId="77777777" w:rsidR="001F5A79" w:rsidRPr="009C5807" w:rsidRDefault="001F5A79" w:rsidP="00B03A04">
            <w:pPr>
              <w:pStyle w:val="TAH"/>
            </w:pPr>
            <w:r w:rsidRPr="009C5807">
              <w:t>dB</w:t>
            </w:r>
          </w:p>
        </w:tc>
        <w:tc>
          <w:tcPr>
            <w:tcW w:w="833" w:type="dxa"/>
            <w:tcBorders>
              <w:top w:val="single" w:sz="6" w:space="0" w:color="auto"/>
              <w:left w:val="single" w:sz="6" w:space="0" w:color="auto"/>
              <w:right w:val="single" w:sz="6" w:space="0" w:color="auto"/>
            </w:tcBorders>
            <w:shd w:val="clear" w:color="auto" w:fill="auto"/>
          </w:tcPr>
          <w:p w14:paraId="7B0BEA4D" w14:textId="77777777" w:rsidR="001F5A79" w:rsidRPr="009C5807" w:rsidRDefault="001F5A79" w:rsidP="00B03A04">
            <w:pPr>
              <w:pStyle w:val="TAH"/>
            </w:pPr>
            <w:r w:rsidRPr="009C5807">
              <w:t>dB</w:t>
            </w:r>
          </w:p>
        </w:tc>
        <w:tc>
          <w:tcPr>
            <w:tcW w:w="2530" w:type="dxa"/>
            <w:tcBorders>
              <w:top w:val="single" w:sz="6" w:space="0" w:color="auto"/>
              <w:left w:val="single" w:sz="6" w:space="0" w:color="auto"/>
              <w:right w:val="single" w:sz="4" w:space="0" w:color="auto"/>
            </w:tcBorders>
            <w:shd w:val="clear" w:color="auto" w:fill="auto"/>
          </w:tcPr>
          <w:p w14:paraId="132874BA" w14:textId="77777777" w:rsidR="001F5A79" w:rsidRPr="009C5807" w:rsidRDefault="001F5A79" w:rsidP="00B03A04">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tcPr>
          <w:p w14:paraId="1212B4A7" w14:textId="77777777" w:rsidR="001F5A79" w:rsidRPr="009C5807" w:rsidRDefault="001F5A79" w:rsidP="00B03A04">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72A91D2B" w14:textId="77777777" w:rsidR="001F5A79" w:rsidRPr="009C5807" w:rsidRDefault="001F5A79" w:rsidP="00B03A04">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5CD0E4CB" w14:textId="77777777" w:rsidR="001F5A79" w:rsidRPr="009C5807" w:rsidRDefault="001F5A79" w:rsidP="00B03A04">
            <w:pPr>
              <w:pStyle w:val="TAH"/>
            </w:pPr>
            <w:r w:rsidRPr="009C5807">
              <w:t>dBm/BW</w:t>
            </w:r>
            <w:r w:rsidRPr="009C5807">
              <w:rPr>
                <w:vertAlign w:val="subscript"/>
              </w:rPr>
              <w:t>Channel</w:t>
            </w:r>
          </w:p>
        </w:tc>
      </w:tr>
      <w:tr w:rsidR="001F5A79" w:rsidRPr="009C5807" w14:paraId="343FC04A" w14:textId="77777777" w:rsidTr="00B03A04">
        <w:trPr>
          <w:trHeight w:val="307"/>
          <w:jc w:val="center"/>
        </w:trPr>
        <w:tc>
          <w:tcPr>
            <w:tcW w:w="1036" w:type="dxa"/>
            <w:tcBorders>
              <w:left w:val="single" w:sz="4" w:space="0" w:color="auto"/>
              <w:bottom w:val="single" w:sz="6" w:space="0" w:color="auto"/>
              <w:right w:val="single" w:sz="6" w:space="0" w:color="auto"/>
            </w:tcBorders>
            <w:shd w:val="clear" w:color="auto" w:fill="auto"/>
          </w:tcPr>
          <w:p w14:paraId="1CA9878F" w14:textId="77777777" w:rsidR="001F5A79" w:rsidRPr="009C5807" w:rsidRDefault="001F5A79" w:rsidP="00B03A04">
            <w:pPr>
              <w:pStyle w:val="TAH"/>
            </w:pPr>
          </w:p>
        </w:tc>
        <w:tc>
          <w:tcPr>
            <w:tcW w:w="1055" w:type="dxa"/>
            <w:tcBorders>
              <w:left w:val="single" w:sz="6" w:space="0" w:color="auto"/>
              <w:bottom w:val="single" w:sz="6" w:space="0" w:color="auto"/>
              <w:right w:val="single" w:sz="6" w:space="0" w:color="auto"/>
            </w:tcBorders>
            <w:shd w:val="clear" w:color="auto" w:fill="auto"/>
          </w:tcPr>
          <w:p w14:paraId="2EC24800" w14:textId="77777777" w:rsidR="001F5A79" w:rsidRPr="009C5807" w:rsidRDefault="001F5A79" w:rsidP="00B03A04">
            <w:pPr>
              <w:pStyle w:val="TAH"/>
            </w:pPr>
          </w:p>
        </w:tc>
        <w:tc>
          <w:tcPr>
            <w:tcW w:w="833" w:type="dxa"/>
            <w:tcBorders>
              <w:left w:val="single" w:sz="6" w:space="0" w:color="auto"/>
              <w:bottom w:val="single" w:sz="6" w:space="0" w:color="auto"/>
              <w:right w:val="single" w:sz="6" w:space="0" w:color="auto"/>
            </w:tcBorders>
            <w:shd w:val="clear" w:color="auto" w:fill="auto"/>
          </w:tcPr>
          <w:p w14:paraId="6E50F3AD" w14:textId="77777777" w:rsidR="001F5A79" w:rsidRPr="009C5807" w:rsidRDefault="001F5A79" w:rsidP="00B03A04">
            <w:pPr>
              <w:pStyle w:val="TAH"/>
            </w:pPr>
          </w:p>
        </w:tc>
        <w:tc>
          <w:tcPr>
            <w:tcW w:w="2530" w:type="dxa"/>
            <w:tcBorders>
              <w:left w:val="single" w:sz="6" w:space="0" w:color="auto"/>
              <w:bottom w:val="single" w:sz="6" w:space="0" w:color="auto"/>
              <w:right w:val="single" w:sz="4" w:space="0" w:color="auto"/>
            </w:tcBorders>
            <w:shd w:val="clear" w:color="auto" w:fill="auto"/>
          </w:tcPr>
          <w:p w14:paraId="32A11F39" w14:textId="77777777" w:rsidR="001F5A79" w:rsidRPr="009C5807" w:rsidRDefault="001F5A79" w:rsidP="00B03A04">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6A378C6B" w14:textId="77777777" w:rsidR="001F5A79" w:rsidRPr="009C5807" w:rsidRDefault="001F5A79" w:rsidP="00B03A04">
            <w:pPr>
              <w:pStyle w:val="TAH"/>
              <w:rPr>
                <w:rFonts w:cs="Arial"/>
              </w:rPr>
            </w:pPr>
            <w:r w:rsidRPr="009C5807">
              <w:t>SCS</w:t>
            </w:r>
            <w:r w:rsidRPr="009C5807">
              <w:rPr>
                <w:vertAlign w:val="subscript"/>
              </w:rPr>
              <w:t>SSB</w:t>
            </w:r>
            <w:r w:rsidRPr="009C5807">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7012E658" w14:textId="77777777" w:rsidR="001F5A79" w:rsidRPr="009C5807" w:rsidRDefault="001F5A79" w:rsidP="00B03A04">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201BB961" w14:textId="77777777" w:rsidR="001F5A79" w:rsidRPr="009C5807" w:rsidRDefault="001F5A79" w:rsidP="00B03A04">
            <w:pPr>
              <w:pStyle w:val="TAH"/>
            </w:pPr>
          </w:p>
        </w:tc>
        <w:tc>
          <w:tcPr>
            <w:tcW w:w="1440" w:type="dxa"/>
            <w:tcBorders>
              <w:left w:val="single" w:sz="6" w:space="0" w:color="auto"/>
              <w:bottom w:val="single" w:sz="6" w:space="0" w:color="auto"/>
              <w:right w:val="single" w:sz="4" w:space="0" w:color="auto"/>
            </w:tcBorders>
            <w:shd w:val="clear" w:color="auto" w:fill="auto"/>
          </w:tcPr>
          <w:p w14:paraId="62A37802" w14:textId="77777777" w:rsidR="001F5A79" w:rsidRPr="009C5807" w:rsidRDefault="001F5A79" w:rsidP="00B03A04">
            <w:pPr>
              <w:pStyle w:val="TAH"/>
            </w:pPr>
          </w:p>
        </w:tc>
      </w:tr>
      <w:tr w:rsidR="0058457E" w:rsidRPr="009C5807" w14:paraId="1F611674" w14:textId="77777777" w:rsidTr="00B03A04">
        <w:trPr>
          <w:jc w:val="center"/>
        </w:trPr>
        <w:tc>
          <w:tcPr>
            <w:tcW w:w="1036" w:type="dxa"/>
            <w:tcBorders>
              <w:top w:val="single" w:sz="6" w:space="0" w:color="auto"/>
              <w:left w:val="single" w:sz="4" w:space="0" w:color="auto"/>
              <w:right w:val="single" w:sz="6" w:space="0" w:color="auto"/>
            </w:tcBorders>
            <w:shd w:val="clear" w:color="auto" w:fill="auto"/>
          </w:tcPr>
          <w:p w14:paraId="0CC0AF60" w14:textId="5CF7E085" w:rsidR="0058457E" w:rsidRPr="009C5807" w:rsidRDefault="0058457E" w:rsidP="00B03A04">
            <w:pPr>
              <w:pStyle w:val="TAC"/>
            </w:pPr>
          </w:p>
        </w:tc>
        <w:tc>
          <w:tcPr>
            <w:tcW w:w="1055" w:type="dxa"/>
            <w:tcBorders>
              <w:top w:val="single" w:sz="6" w:space="0" w:color="auto"/>
              <w:left w:val="single" w:sz="6" w:space="0" w:color="auto"/>
              <w:right w:val="single" w:sz="6" w:space="0" w:color="auto"/>
            </w:tcBorders>
            <w:shd w:val="clear" w:color="auto" w:fill="auto"/>
          </w:tcPr>
          <w:p w14:paraId="5714BD35" w14:textId="56C84B26" w:rsidR="0058457E" w:rsidRPr="009C5807" w:rsidRDefault="0058457E" w:rsidP="00B03A04">
            <w:pPr>
              <w:pStyle w:val="TAC"/>
            </w:pPr>
          </w:p>
        </w:tc>
        <w:tc>
          <w:tcPr>
            <w:tcW w:w="833" w:type="dxa"/>
            <w:tcBorders>
              <w:top w:val="single" w:sz="6" w:space="0" w:color="auto"/>
              <w:left w:val="single" w:sz="6" w:space="0" w:color="auto"/>
              <w:right w:val="single" w:sz="6" w:space="0" w:color="auto"/>
            </w:tcBorders>
            <w:shd w:val="clear" w:color="auto" w:fill="auto"/>
          </w:tcPr>
          <w:p w14:paraId="51AB7118" w14:textId="7D022813" w:rsidR="0058457E" w:rsidRPr="009C5807" w:rsidRDefault="0058457E" w:rsidP="00B03A0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391E9390" w14:textId="77777777" w:rsidR="0058457E" w:rsidRPr="009C5807" w:rsidRDefault="0058457E" w:rsidP="00B03A04">
            <w:pPr>
              <w:pStyle w:val="TAC"/>
              <w:rPr>
                <w:rFonts w:cs="Arial"/>
                <w:szCs w:val="18"/>
              </w:rPr>
            </w:pPr>
            <w:r w:rsidRPr="009C5807">
              <w:rPr>
                <w:rFonts w:cs="Arial"/>
                <w:szCs w:val="18"/>
              </w:rPr>
              <w:t>NR_FDD_FR1_A, NR_TDD_FR1_A,</w:t>
            </w:r>
          </w:p>
          <w:p w14:paraId="650FE017" w14:textId="77777777" w:rsidR="0058457E" w:rsidRPr="009C5807" w:rsidRDefault="0058457E" w:rsidP="00B03A04">
            <w:pPr>
              <w:pStyle w:val="TAC"/>
              <w:rPr>
                <w:rFonts w:cs="Arial"/>
                <w:szCs w:val="18"/>
              </w:rPr>
            </w:pPr>
            <w:r w:rsidRPr="009C5807">
              <w:rPr>
                <w:rFonts w:cs="Arial"/>
                <w:szCs w:val="18"/>
              </w:rPr>
              <w:t>NR_SDL_FR1_A</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2D14B7F6" w14:textId="77777777" w:rsidR="0058457E" w:rsidRPr="009C5807" w:rsidRDefault="0058457E" w:rsidP="00B03A04">
            <w:pPr>
              <w:pStyle w:val="TAC"/>
            </w:pPr>
            <w:r w:rsidRPr="009C5807">
              <w:t>-121</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0EE21789" w14:textId="77777777" w:rsidR="0058457E" w:rsidRPr="009C5807" w:rsidRDefault="0058457E" w:rsidP="00B03A04">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2AD9AF8"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91ED86A" w14:textId="77777777" w:rsidR="0058457E" w:rsidRPr="009C5807" w:rsidRDefault="0058457E" w:rsidP="00B03A04">
            <w:pPr>
              <w:pStyle w:val="TAC"/>
            </w:pPr>
            <w:r w:rsidRPr="009C5807">
              <w:t>-70</w:t>
            </w:r>
          </w:p>
        </w:tc>
      </w:tr>
      <w:tr w:rsidR="0058457E" w:rsidRPr="009C5807" w14:paraId="27ABEA51" w14:textId="77777777" w:rsidTr="00B03A04">
        <w:trPr>
          <w:jc w:val="center"/>
        </w:trPr>
        <w:tc>
          <w:tcPr>
            <w:tcW w:w="1036" w:type="dxa"/>
            <w:tcBorders>
              <w:left w:val="single" w:sz="4" w:space="0" w:color="auto"/>
              <w:right w:val="single" w:sz="6" w:space="0" w:color="auto"/>
            </w:tcBorders>
            <w:shd w:val="clear" w:color="auto" w:fill="auto"/>
          </w:tcPr>
          <w:p w14:paraId="6AA71F9A" w14:textId="77777777" w:rsidR="0058457E" w:rsidRPr="009C5807" w:rsidRDefault="0058457E" w:rsidP="00B03A04">
            <w:pPr>
              <w:pStyle w:val="TAC"/>
            </w:pPr>
          </w:p>
        </w:tc>
        <w:tc>
          <w:tcPr>
            <w:tcW w:w="1055" w:type="dxa"/>
            <w:tcBorders>
              <w:left w:val="single" w:sz="6" w:space="0" w:color="auto"/>
              <w:right w:val="single" w:sz="6" w:space="0" w:color="auto"/>
            </w:tcBorders>
            <w:shd w:val="clear" w:color="auto" w:fill="auto"/>
          </w:tcPr>
          <w:p w14:paraId="28745161" w14:textId="77777777" w:rsidR="0058457E" w:rsidRPr="009C5807" w:rsidRDefault="0058457E" w:rsidP="00B03A04">
            <w:pPr>
              <w:pStyle w:val="TAC"/>
            </w:pPr>
          </w:p>
        </w:tc>
        <w:tc>
          <w:tcPr>
            <w:tcW w:w="833" w:type="dxa"/>
            <w:tcBorders>
              <w:left w:val="single" w:sz="6" w:space="0" w:color="auto"/>
              <w:right w:val="single" w:sz="6" w:space="0" w:color="auto"/>
            </w:tcBorders>
            <w:shd w:val="clear" w:color="auto" w:fill="auto"/>
          </w:tcPr>
          <w:p w14:paraId="1162C870" w14:textId="77777777" w:rsidR="0058457E" w:rsidRPr="009C5807" w:rsidRDefault="0058457E" w:rsidP="00B03A0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15B02E22" w14:textId="77777777" w:rsidR="0058457E" w:rsidRPr="009C5807" w:rsidRDefault="0058457E" w:rsidP="00B03A04">
            <w:pPr>
              <w:pStyle w:val="TAC"/>
            </w:pPr>
            <w:r w:rsidRPr="009C5807">
              <w:t>NR_FDD_FR1_B</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22E67FBB" w14:textId="77777777" w:rsidR="0058457E" w:rsidRPr="009C5807" w:rsidRDefault="0058457E" w:rsidP="00B03A04">
            <w:pPr>
              <w:pStyle w:val="TAC"/>
            </w:pPr>
            <w:r w:rsidRPr="009C5807">
              <w:t>-120.5</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7FBEF74E" w14:textId="77777777" w:rsidR="0058457E" w:rsidRPr="009C5807" w:rsidRDefault="0058457E" w:rsidP="00B03A04">
            <w:pPr>
              <w:pStyle w:val="TAC"/>
              <w:rPr>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C226B63"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F7E9F24" w14:textId="77777777" w:rsidR="0058457E" w:rsidRPr="009C5807" w:rsidRDefault="0058457E" w:rsidP="00B03A04">
            <w:pPr>
              <w:pStyle w:val="TAC"/>
            </w:pPr>
            <w:r w:rsidRPr="009C5807">
              <w:t>-70</w:t>
            </w:r>
          </w:p>
        </w:tc>
      </w:tr>
      <w:tr w:rsidR="0058457E" w:rsidRPr="009C5807" w14:paraId="672332AA" w14:textId="77777777" w:rsidTr="00B03A04">
        <w:trPr>
          <w:jc w:val="center"/>
        </w:trPr>
        <w:tc>
          <w:tcPr>
            <w:tcW w:w="1036" w:type="dxa"/>
            <w:tcBorders>
              <w:left w:val="single" w:sz="4" w:space="0" w:color="auto"/>
              <w:right w:val="single" w:sz="6" w:space="0" w:color="auto"/>
            </w:tcBorders>
            <w:shd w:val="clear" w:color="auto" w:fill="auto"/>
          </w:tcPr>
          <w:p w14:paraId="0948EEC9" w14:textId="77777777" w:rsidR="0058457E" w:rsidRPr="009C5807" w:rsidRDefault="0058457E" w:rsidP="00B03A04">
            <w:pPr>
              <w:pStyle w:val="TAC"/>
            </w:pPr>
          </w:p>
        </w:tc>
        <w:tc>
          <w:tcPr>
            <w:tcW w:w="1055" w:type="dxa"/>
            <w:tcBorders>
              <w:left w:val="single" w:sz="6" w:space="0" w:color="auto"/>
              <w:right w:val="single" w:sz="6" w:space="0" w:color="auto"/>
            </w:tcBorders>
            <w:shd w:val="clear" w:color="auto" w:fill="auto"/>
          </w:tcPr>
          <w:p w14:paraId="4DFD41D3" w14:textId="77777777" w:rsidR="0058457E" w:rsidRPr="009C5807" w:rsidRDefault="0058457E" w:rsidP="00B03A04">
            <w:pPr>
              <w:pStyle w:val="TAC"/>
            </w:pPr>
          </w:p>
        </w:tc>
        <w:tc>
          <w:tcPr>
            <w:tcW w:w="833" w:type="dxa"/>
            <w:tcBorders>
              <w:left w:val="single" w:sz="6" w:space="0" w:color="auto"/>
              <w:right w:val="single" w:sz="6" w:space="0" w:color="auto"/>
            </w:tcBorders>
            <w:shd w:val="clear" w:color="auto" w:fill="auto"/>
          </w:tcPr>
          <w:p w14:paraId="07D32D53" w14:textId="77777777" w:rsidR="0058457E" w:rsidRPr="009C5807" w:rsidRDefault="0058457E" w:rsidP="00B03A0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4B7E6B52" w14:textId="77777777" w:rsidR="0058457E" w:rsidRPr="009C5807" w:rsidRDefault="0058457E" w:rsidP="00B03A04">
            <w:pPr>
              <w:pStyle w:val="TAC"/>
            </w:pPr>
            <w:r w:rsidRPr="009C5807">
              <w:t>NR_TDD_FR1_C</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4BE7FC09" w14:textId="77777777" w:rsidR="0058457E" w:rsidRPr="009C5807" w:rsidRDefault="0058457E" w:rsidP="00B03A04">
            <w:pPr>
              <w:pStyle w:val="TAC"/>
            </w:pPr>
            <w:r w:rsidRPr="009C5807">
              <w:t>-120</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1DBCB78B" w14:textId="77777777" w:rsidR="0058457E" w:rsidRPr="009C5807" w:rsidRDefault="0058457E" w:rsidP="00B03A04">
            <w:pPr>
              <w:pStyle w:val="TAC"/>
              <w:rPr>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BDA13E7"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83A7EE7" w14:textId="77777777" w:rsidR="0058457E" w:rsidRPr="009C5807" w:rsidRDefault="0058457E" w:rsidP="00B03A04">
            <w:pPr>
              <w:pStyle w:val="TAC"/>
            </w:pPr>
            <w:r w:rsidRPr="009C5807">
              <w:t>-70</w:t>
            </w:r>
          </w:p>
        </w:tc>
      </w:tr>
      <w:tr w:rsidR="008B5C3E" w:rsidRPr="009C5807" w14:paraId="70AF9D9C" w14:textId="77777777" w:rsidTr="00B03A04">
        <w:trPr>
          <w:jc w:val="center"/>
        </w:trPr>
        <w:tc>
          <w:tcPr>
            <w:tcW w:w="1036" w:type="dxa"/>
            <w:tcBorders>
              <w:left w:val="single" w:sz="4" w:space="0" w:color="auto"/>
              <w:right w:val="single" w:sz="6" w:space="0" w:color="auto"/>
            </w:tcBorders>
            <w:shd w:val="clear" w:color="auto" w:fill="auto"/>
          </w:tcPr>
          <w:p w14:paraId="4C5BA04A" w14:textId="1D5E0C71" w:rsidR="008B5C3E" w:rsidRPr="009C5807" w:rsidRDefault="008B5C3E" w:rsidP="00B03A04">
            <w:pPr>
              <w:pStyle w:val="TAC"/>
            </w:pPr>
            <w:r w:rsidRPr="009C5807">
              <w:sym w:font="Symbol" w:char="F0B1"/>
            </w:r>
            <w:r w:rsidRPr="009C5807">
              <w:t>4.5</w:t>
            </w:r>
          </w:p>
        </w:tc>
        <w:tc>
          <w:tcPr>
            <w:tcW w:w="1055" w:type="dxa"/>
            <w:tcBorders>
              <w:left w:val="single" w:sz="6" w:space="0" w:color="auto"/>
              <w:right w:val="single" w:sz="6" w:space="0" w:color="auto"/>
            </w:tcBorders>
            <w:shd w:val="clear" w:color="auto" w:fill="auto"/>
          </w:tcPr>
          <w:p w14:paraId="72210C60" w14:textId="3C100F76" w:rsidR="008B5C3E" w:rsidRPr="009C5807" w:rsidRDefault="008B5C3E" w:rsidP="00B03A04">
            <w:pPr>
              <w:pStyle w:val="TAC"/>
            </w:pPr>
            <w:r w:rsidRPr="009C5807">
              <w:sym w:font="Symbol" w:char="F0B1"/>
            </w:r>
            <w:r w:rsidRPr="009C5807">
              <w:t>9</w:t>
            </w:r>
          </w:p>
        </w:tc>
        <w:tc>
          <w:tcPr>
            <w:tcW w:w="833" w:type="dxa"/>
            <w:tcBorders>
              <w:left w:val="single" w:sz="6" w:space="0" w:color="auto"/>
              <w:right w:val="single" w:sz="6" w:space="0" w:color="auto"/>
            </w:tcBorders>
            <w:shd w:val="clear" w:color="auto" w:fill="auto"/>
          </w:tcPr>
          <w:p w14:paraId="78E4A260" w14:textId="4F2DF57D" w:rsidR="008B5C3E" w:rsidRPr="009C5807" w:rsidRDefault="008B5C3E" w:rsidP="00B03A04">
            <w:pPr>
              <w:pStyle w:val="TAC"/>
            </w:pPr>
            <w:r w:rsidRPr="009C5807">
              <w:sym w:font="Symbol" w:char="F0B3"/>
            </w:r>
            <w:r w:rsidRPr="009C5807">
              <w:t>-6</w:t>
            </w: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76364577" w14:textId="77777777" w:rsidR="008B5C3E" w:rsidRPr="009C5807" w:rsidRDefault="008B5C3E" w:rsidP="00B03A04">
            <w:pPr>
              <w:pStyle w:val="TAC"/>
              <w:rPr>
                <w:lang w:val="sv-SE"/>
              </w:rPr>
            </w:pPr>
            <w:r w:rsidRPr="009C5807">
              <w:rPr>
                <w:lang w:val="sv-SE"/>
              </w:rPr>
              <w:t>NR_FDD_FR1_D, NR_TDD_FR1_D</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1B13EB88" w14:textId="77777777" w:rsidR="008B5C3E" w:rsidRPr="009C5807" w:rsidDel="00FA4A82" w:rsidRDefault="008B5C3E" w:rsidP="00B03A04">
            <w:pPr>
              <w:pStyle w:val="TAC"/>
            </w:pPr>
            <w:r w:rsidRPr="009C5807">
              <w:t>-119.5</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663F7946" w14:textId="77777777" w:rsidR="008B5C3E" w:rsidRPr="009C5807" w:rsidDel="00FA4A82" w:rsidRDefault="008B5C3E" w:rsidP="00B03A04">
            <w:pPr>
              <w:pStyle w:val="TAC"/>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C1C6D77" w14:textId="77777777" w:rsidR="008B5C3E" w:rsidRPr="009C5807" w:rsidRDefault="008B5C3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9A02B72" w14:textId="77777777" w:rsidR="008B5C3E" w:rsidRPr="009C5807" w:rsidRDefault="008B5C3E" w:rsidP="00B03A04">
            <w:pPr>
              <w:pStyle w:val="TAC"/>
            </w:pPr>
            <w:r w:rsidRPr="009C5807">
              <w:t>-70</w:t>
            </w:r>
          </w:p>
        </w:tc>
      </w:tr>
      <w:tr w:rsidR="0058457E" w:rsidRPr="009C5807" w14:paraId="38EACCCC" w14:textId="77777777" w:rsidTr="00B03A04">
        <w:trPr>
          <w:jc w:val="center"/>
        </w:trPr>
        <w:tc>
          <w:tcPr>
            <w:tcW w:w="1036" w:type="dxa"/>
            <w:tcBorders>
              <w:left w:val="single" w:sz="4" w:space="0" w:color="auto"/>
              <w:right w:val="single" w:sz="6" w:space="0" w:color="auto"/>
            </w:tcBorders>
            <w:shd w:val="clear" w:color="auto" w:fill="auto"/>
          </w:tcPr>
          <w:p w14:paraId="1C3E6AC7" w14:textId="77777777" w:rsidR="0058457E" w:rsidRPr="009C5807" w:rsidRDefault="0058457E" w:rsidP="00B03A04">
            <w:pPr>
              <w:pStyle w:val="TAC"/>
            </w:pPr>
          </w:p>
        </w:tc>
        <w:tc>
          <w:tcPr>
            <w:tcW w:w="1055" w:type="dxa"/>
            <w:tcBorders>
              <w:left w:val="single" w:sz="6" w:space="0" w:color="auto"/>
              <w:right w:val="single" w:sz="6" w:space="0" w:color="auto"/>
            </w:tcBorders>
            <w:shd w:val="clear" w:color="auto" w:fill="auto"/>
          </w:tcPr>
          <w:p w14:paraId="21930692" w14:textId="77777777" w:rsidR="0058457E" w:rsidRPr="009C5807" w:rsidRDefault="0058457E" w:rsidP="00B03A04">
            <w:pPr>
              <w:pStyle w:val="TAC"/>
            </w:pPr>
          </w:p>
        </w:tc>
        <w:tc>
          <w:tcPr>
            <w:tcW w:w="833" w:type="dxa"/>
            <w:tcBorders>
              <w:left w:val="single" w:sz="6" w:space="0" w:color="auto"/>
              <w:right w:val="single" w:sz="6" w:space="0" w:color="auto"/>
            </w:tcBorders>
            <w:shd w:val="clear" w:color="auto" w:fill="auto"/>
          </w:tcPr>
          <w:p w14:paraId="206FE44F" w14:textId="77777777" w:rsidR="0058457E" w:rsidRPr="009C5807" w:rsidRDefault="0058457E" w:rsidP="00B03A0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7F96794C" w14:textId="77777777" w:rsidR="0058457E" w:rsidRPr="009C5807" w:rsidDel="00836998" w:rsidRDefault="0058457E" w:rsidP="00B03A04">
            <w:pPr>
              <w:pStyle w:val="TAC"/>
              <w:rPr>
                <w:lang w:val="sv-SE"/>
              </w:rPr>
            </w:pPr>
            <w:r w:rsidRPr="009C5807">
              <w:rPr>
                <w:lang w:val="sv-SE"/>
              </w:rPr>
              <w:t>NR_FDD_FR1_E, NR_TDD_FR1_E</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4AB84734" w14:textId="77777777" w:rsidR="0058457E" w:rsidRPr="009C5807" w:rsidRDefault="0058457E" w:rsidP="00B03A04">
            <w:pPr>
              <w:pStyle w:val="TAC"/>
            </w:pPr>
            <w:r w:rsidRPr="009C5807">
              <w:t>-119</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1A9073A1" w14:textId="77777777" w:rsidR="0058457E" w:rsidRPr="009C5807" w:rsidRDefault="0058457E" w:rsidP="00B03A04">
            <w:pPr>
              <w:pStyle w:val="TAC"/>
              <w:rPr>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2B0A3E2"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D8BD803" w14:textId="77777777" w:rsidR="0058457E" w:rsidRPr="009C5807" w:rsidRDefault="0058457E" w:rsidP="00B03A04">
            <w:pPr>
              <w:pStyle w:val="TAC"/>
            </w:pPr>
            <w:r w:rsidRPr="009C5807">
              <w:t>-70</w:t>
            </w:r>
          </w:p>
        </w:tc>
      </w:tr>
      <w:tr w:rsidR="00D94CA6" w:rsidRPr="009C5807" w14:paraId="145492F8" w14:textId="77777777" w:rsidTr="00B03A04">
        <w:trPr>
          <w:jc w:val="center"/>
        </w:trPr>
        <w:tc>
          <w:tcPr>
            <w:tcW w:w="1036" w:type="dxa"/>
            <w:tcBorders>
              <w:left w:val="single" w:sz="4" w:space="0" w:color="auto"/>
              <w:right w:val="single" w:sz="6" w:space="0" w:color="auto"/>
            </w:tcBorders>
            <w:shd w:val="clear" w:color="auto" w:fill="auto"/>
          </w:tcPr>
          <w:p w14:paraId="341C21B6" w14:textId="77777777" w:rsidR="00D94CA6" w:rsidRPr="009C5807" w:rsidRDefault="00D94CA6" w:rsidP="00B03A04">
            <w:pPr>
              <w:pStyle w:val="TAC"/>
            </w:pPr>
          </w:p>
        </w:tc>
        <w:tc>
          <w:tcPr>
            <w:tcW w:w="1055" w:type="dxa"/>
            <w:tcBorders>
              <w:left w:val="single" w:sz="6" w:space="0" w:color="auto"/>
              <w:right w:val="single" w:sz="6" w:space="0" w:color="auto"/>
            </w:tcBorders>
            <w:shd w:val="clear" w:color="auto" w:fill="auto"/>
          </w:tcPr>
          <w:p w14:paraId="36462353" w14:textId="77777777" w:rsidR="00D94CA6" w:rsidRPr="009C5807" w:rsidRDefault="00D94CA6" w:rsidP="00B03A04">
            <w:pPr>
              <w:pStyle w:val="TAC"/>
            </w:pPr>
          </w:p>
        </w:tc>
        <w:tc>
          <w:tcPr>
            <w:tcW w:w="833" w:type="dxa"/>
            <w:tcBorders>
              <w:left w:val="single" w:sz="6" w:space="0" w:color="auto"/>
              <w:right w:val="single" w:sz="6" w:space="0" w:color="auto"/>
            </w:tcBorders>
            <w:shd w:val="clear" w:color="auto" w:fill="auto"/>
          </w:tcPr>
          <w:p w14:paraId="3BC609AF" w14:textId="77777777" w:rsidR="00D94CA6" w:rsidRPr="009C5807" w:rsidRDefault="00D94CA6" w:rsidP="00B03A0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376E52F2" w14:textId="6E1DCADD" w:rsidR="00D94CA6" w:rsidRPr="009C5807" w:rsidRDefault="00D94CA6" w:rsidP="00B03A04">
            <w:pPr>
              <w:pStyle w:val="TAC"/>
              <w:rPr>
                <w:lang w:val="sv-SE"/>
              </w:rPr>
            </w:pPr>
            <w:r w:rsidRPr="009C5807">
              <w:rPr>
                <w:lang w:eastAsia="zh-CN"/>
              </w:rPr>
              <w:t>NR_FDD_FR1_F</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1E70D59F" w14:textId="07FC6884" w:rsidR="00D94CA6" w:rsidRPr="009C5807" w:rsidRDefault="00D94CA6" w:rsidP="00B03A04">
            <w:pPr>
              <w:pStyle w:val="TAC"/>
            </w:pPr>
            <w:r w:rsidRPr="009C5807">
              <w:t>-118.5</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69C00814" w14:textId="7942368A" w:rsidR="00D94CA6" w:rsidRPr="009C5807" w:rsidRDefault="00D94CA6" w:rsidP="00B03A04">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702E6DF" w14:textId="7C333AE0" w:rsidR="00D94CA6" w:rsidRPr="009C5807" w:rsidRDefault="00D94CA6"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55FB94E" w14:textId="54668F32" w:rsidR="00D94CA6" w:rsidRPr="009C5807" w:rsidRDefault="00D94CA6" w:rsidP="00B03A04">
            <w:pPr>
              <w:pStyle w:val="TAC"/>
            </w:pPr>
            <w:r w:rsidRPr="009C5807">
              <w:t>-70</w:t>
            </w:r>
          </w:p>
        </w:tc>
      </w:tr>
      <w:tr w:rsidR="0058457E" w:rsidRPr="009C5807" w14:paraId="161E5E76" w14:textId="77777777" w:rsidTr="00B03A04">
        <w:trPr>
          <w:jc w:val="center"/>
        </w:trPr>
        <w:tc>
          <w:tcPr>
            <w:tcW w:w="1036" w:type="dxa"/>
            <w:tcBorders>
              <w:left w:val="single" w:sz="4" w:space="0" w:color="auto"/>
              <w:right w:val="single" w:sz="6" w:space="0" w:color="auto"/>
            </w:tcBorders>
            <w:shd w:val="clear" w:color="auto" w:fill="auto"/>
          </w:tcPr>
          <w:p w14:paraId="22BF828E" w14:textId="77777777" w:rsidR="0058457E" w:rsidRPr="009C5807" w:rsidRDefault="0058457E" w:rsidP="00B03A04">
            <w:pPr>
              <w:pStyle w:val="TAC"/>
            </w:pPr>
          </w:p>
        </w:tc>
        <w:tc>
          <w:tcPr>
            <w:tcW w:w="1055" w:type="dxa"/>
            <w:tcBorders>
              <w:left w:val="single" w:sz="6" w:space="0" w:color="auto"/>
              <w:right w:val="single" w:sz="6" w:space="0" w:color="auto"/>
            </w:tcBorders>
            <w:shd w:val="clear" w:color="auto" w:fill="auto"/>
          </w:tcPr>
          <w:p w14:paraId="28005043" w14:textId="77777777" w:rsidR="0058457E" w:rsidRPr="009C5807" w:rsidRDefault="0058457E" w:rsidP="00B03A04">
            <w:pPr>
              <w:pStyle w:val="TAC"/>
            </w:pPr>
          </w:p>
        </w:tc>
        <w:tc>
          <w:tcPr>
            <w:tcW w:w="833" w:type="dxa"/>
            <w:tcBorders>
              <w:left w:val="single" w:sz="6" w:space="0" w:color="auto"/>
              <w:right w:val="single" w:sz="6" w:space="0" w:color="auto"/>
            </w:tcBorders>
            <w:shd w:val="clear" w:color="auto" w:fill="auto"/>
          </w:tcPr>
          <w:p w14:paraId="2F13E98A" w14:textId="77777777" w:rsidR="0058457E" w:rsidRPr="009C5807" w:rsidRDefault="0058457E" w:rsidP="00B03A0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29F32CC0" w14:textId="77777777" w:rsidR="0058457E" w:rsidRPr="009C5807" w:rsidDel="00836998" w:rsidRDefault="0058457E" w:rsidP="00B03A04">
            <w:pPr>
              <w:pStyle w:val="TAC"/>
              <w:rPr>
                <w:lang w:eastAsia="zh-CN"/>
              </w:rPr>
            </w:pPr>
            <w:r w:rsidRPr="009C5807">
              <w:rPr>
                <w:lang w:eastAsia="zh-CN"/>
              </w:rPr>
              <w:t>NR</w:t>
            </w:r>
            <w:r w:rsidRPr="009C5807">
              <w:t>_</w:t>
            </w:r>
            <w:r w:rsidRPr="009C5807">
              <w:rPr>
                <w:lang w:eastAsia="zh-CN"/>
              </w:rPr>
              <w:t>FDD_FR1_G</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71087E84" w14:textId="77777777" w:rsidR="0058457E" w:rsidRPr="009C5807" w:rsidRDefault="0058457E" w:rsidP="00B03A04">
            <w:pPr>
              <w:pStyle w:val="TAC"/>
            </w:pPr>
            <w:r w:rsidRPr="009C5807">
              <w:t>-118</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6DEA73B4" w14:textId="77777777" w:rsidR="0058457E" w:rsidRPr="009C5807" w:rsidRDefault="0058457E" w:rsidP="00B03A04">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665B401"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6B76EB2" w14:textId="77777777" w:rsidR="0058457E" w:rsidRPr="009C5807" w:rsidRDefault="0058457E" w:rsidP="00B03A04">
            <w:pPr>
              <w:pStyle w:val="TAC"/>
            </w:pPr>
            <w:r w:rsidRPr="009C5807">
              <w:t>-70</w:t>
            </w:r>
          </w:p>
        </w:tc>
      </w:tr>
      <w:tr w:rsidR="0058457E" w:rsidRPr="009C5807" w14:paraId="6039BD3A" w14:textId="77777777" w:rsidTr="00B03A04">
        <w:trPr>
          <w:jc w:val="center"/>
        </w:trPr>
        <w:tc>
          <w:tcPr>
            <w:tcW w:w="1036" w:type="dxa"/>
            <w:tcBorders>
              <w:left w:val="single" w:sz="4" w:space="0" w:color="auto"/>
              <w:right w:val="single" w:sz="6" w:space="0" w:color="auto"/>
            </w:tcBorders>
            <w:shd w:val="clear" w:color="auto" w:fill="auto"/>
          </w:tcPr>
          <w:p w14:paraId="261A8666" w14:textId="77777777" w:rsidR="0058457E" w:rsidRPr="009C5807" w:rsidRDefault="0058457E" w:rsidP="00B03A04">
            <w:pPr>
              <w:pStyle w:val="TAC"/>
            </w:pPr>
          </w:p>
        </w:tc>
        <w:tc>
          <w:tcPr>
            <w:tcW w:w="1055" w:type="dxa"/>
            <w:tcBorders>
              <w:left w:val="single" w:sz="6" w:space="0" w:color="auto"/>
              <w:right w:val="single" w:sz="6" w:space="0" w:color="auto"/>
            </w:tcBorders>
            <w:shd w:val="clear" w:color="auto" w:fill="auto"/>
          </w:tcPr>
          <w:p w14:paraId="62A2AD00" w14:textId="77777777" w:rsidR="0058457E" w:rsidRPr="009C5807" w:rsidRDefault="0058457E" w:rsidP="00B03A04">
            <w:pPr>
              <w:pStyle w:val="TAC"/>
            </w:pPr>
          </w:p>
        </w:tc>
        <w:tc>
          <w:tcPr>
            <w:tcW w:w="833" w:type="dxa"/>
            <w:tcBorders>
              <w:left w:val="single" w:sz="6" w:space="0" w:color="auto"/>
              <w:right w:val="single" w:sz="6" w:space="0" w:color="auto"/>
            </w:tcBorders>
            <w:shd w:val="clear" w:color="auto" w:fill="auto"/>
          </w:tcPr>
          <w:p w14:paraId="15D3D0D0" w14:textId="77777777" w:rsidR="0058457E" w:rsidRPr="009C5807" w:rsidRDefault="0058457E" w:rsidP="00B03A0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79FE800B" w14:textId="77777777" w:rsidR="0058457E" w:rsidRPr="009C5807" w:rsidRDefault="0058457E" w:rsidP="00B03A04">
            <w:pPr>
              <w:pStyle w:val="TAC"/>
              <w:rPr>
                <w:lang w:eastAsia="zh-CN"/>
              </w:rPr>
            </w:pPr>
            <w:r w:rsidRPr="009C5807">
              <w:rPr>
                <w:lang w:eastAsia="zh-CN"/>
              </w:rPr>
              <w:t>NR</w:t>
            </w:r>
            <w:r w:rsidRPr="009C5807">
              <w:t>_</w:t>
            </w:r>
            <w:r w:rsidRPr="009C5807">
              <w:rPr>
                <w:lang w:eastAsia="zh-CN"/>
              </w:rPr>
              <w:t>FDD_FR1_H</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338326F3" w14:textId="77777777" w:rsidR="0058457E" w:rsidRPr="009C5807" w:rsidRDefault="0058457E" w:rsidP="00B03A04">
            <w:pPr>
              <w:pStyle w:val="TAC"/>
            </w:pPr>
            <w:r w:rsidRPr="009C5807">
              <w:t>-117.5</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497A02FB" w14:textId="77777777" w:rsidR="0058457E" w:rsidRPr="009C5807" w:rsidRDefault="0058457E" w:rsidP="00B03A04">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8D134B1"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CDF5E84" w14:textId="77777777" w:rsidR="0058457E" w:rsidRPr="009C5807" w:rsidRDefault="0058457E" w:rsidP="00B03A04">
            <w:pPr>
              <w:pStyle w:val="TAC"/>
            </w:pPr>
            <w:r w:rsidRPr="009C5807">
              <w:t>-70</w:t>
            </w:r>
          </w:p>
        </w:tc>
      </w:tr>
      <w:tr w:rsidR="0058457E" w:rsidRPr="009C5807" w14:paraId="3C490AF5" w14:textId="77777777" w:rsidTr="00B03A04">
        <w:trPr>
          <w:jc w:val="center"/>
        </w:trPr>
        <w:tc>
          <w:tcPr>
            <w:tcW w:w="1036" w:type="dxa"/>
            <w:tcBorders>
              <w:top w:val="single" w:sz="6" w:space="0" w:color="auto"/>
              <w:left w:val="single" w:sz="4" w:space="0" w:color="auto"/>
              <w:bottom w:val="single" w:sz="6" w:space="0" w:color="auto"/>
              <w:right w:val="single" w:sz="6" w:space="0" w:color="auto"/>
            </w:tcBorders>
            <w:shd w:val="clear" w:color="auto" w:fill="auto"/>
          </w:tcPr>
          <w:p w14:paraId="221D3AA8" w14:textId="77777777" w:rsidR="0058457E" w:rsidRPr="009C5807" w:rsidRDefault="0058457E" w:rsidP="00B03A04">
            <w:pPr>
              <w:pStyle w:val="TAC"/>
            </w:pPr>
            <w:r w:rsidRPr="009C5807">
              <w:sym w:font="Symbol" w:char="F0B1"/>
            </w:r>
            <w:r w:rsidRPr="009C5807">
              <w:t>8</w:t>
            </w:r>
          </w:p>
        </w:tc>
        <w:tc>
          <w:tcPr>
            <w:tcW w:w="1055" w:type="dxa"/>
            <w:tcBorders>
              <w:top w:val="single" w:sz="6" w:space="0" w:color="auto"/>
              <w:left w:val="single" w:sz="6" w:space="0" w:color="auto"/>
              <w:bottom w:val="single" w:sz="6" w:space="0" w:color="auto"/>
              <w:right w:val="single" w:sz="6" w:space="0" w:color="auto"/>
            </w:tcBorders>
            <w:shd w:val="clear" w:color="auto" w:fill="auto"/>
          </w:tcPr>
          <w:p w14:paraId="565FF7AD" w14:textId="77777777" w:rsidR="0058457E" w:rsidRPr="009C5807" w:rsidRDefault="0058457E" w:rsidP="00B03A04">
            <w:pPr>
              <w:pStyle w:val="TAC"/>
            </w:pPr>
            <w:r w:rsidRPr="009C5807">
              <w:sym w:font="Symbol" w:char="F0B1"/>
            </w:r>
            <w:r w:rsidRPr="009C5807">
              <w:t>11</w:t>
            </w:r>
          </w:p>
        </w:tc>
        <w:tc>
          <w:tcPr>
            <w:tcW w:w="833" w:type="dxa"/>
            <w:tcBorders>
              <w:top w:val="single" w:sz="6" w:space="0" w:color="auto"/>
              <w:left w:val="single" w:sz="6" w:space="0" w:color="auto"/>
              <w:bottom w:val="single" w:sz="6" w:space="0" w:color="auto"/>
              <w:right w:val="single" w:sz="6" w:space="0" w:color="auto"/>
            </w:tcBorders>
            <w:shd w:val="clear" w:color="auto" w:fill="auto"/>
          </w:tcPr>
          <w:p w14:paraId="3AAD8DFA" w14:textId="2CCF6F73" w:rsidR="0058457E" w:rsidRPr="009C5807" w:rsidRDefault="0058457E" w:rsidP="00B03A04">
            <w:pPr>
              <w:pStyle w:val="TAC"/>
            </w:pPr>
            <w:r w:rsidRPr="009C5807">
              <w:sym w:font="Symbol" w:char="F0B3"/>
            </w:r>
            <w:r w:rsidRPr="009C5807">
              <w:t>-6</w:t>
            </w: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2F2C7967" w14:textId="3EEDD886" w:rsidR="0058457E" w:rsidRPr="009C5807" w:rsidRDefault="0058457E" w:rsidP="00B03A04">
            <w:pPr>
              <w:pStyle w:val="TAC"/>
            </w:pPr>
            <w:r w:rsidRPr="009C5807">
              <w:t>NR_FDD_FR1_A, NR_TDD_FR1_A,</w:t>
            </w:r>
          </w:p>
          <w:p w14:paraId="583A2621" w14:textId="77777777" w:rsidR="0058457E" w:rsidRPr="009C5807" w:rsidRDefault="0058457E" w:rsidP="00B03A04">
            <w:pPr>
              <w:pStyle w:val="TAC"/>
            </w:pPr>
            <w:r w:rsidRPr="009C5807">
              <w:rPr>
                <w:rFonts w:cs="Arial"/>
              </w:rPr>
              <w:t>NR_SDL_FR1_A</w:t>
            </w:r>
            <w:r w:rsidRPr="009C5807">
              <w:t>,</w:t>
            </w:r>
          </w:p>
          <w:p w14:paraId="25CD9DB0" w14:textId="77777777" w:rsidR="00D94CA6" w:rsidRPr="009C5807" w:rsidRDefault="0058457E" w:rsidP="00B03A04">
            <w:pPr>
              <w:pStyle w:val="TAC"/>
            </w:pPr>
            <w:r w:rsidRPr="009C5807">
              <w:t xml:space="preserve">NR_FDD_FR1_B, NR_TDD_FR1_C, NR_FDD_FR1_D, NR_TDD_FR1_D, NR_FDD_FR1_E, NR_TDD_FR1_E, </w:t>
            </w:r>
            <w:r w:rsidR="00D94CA6" w:rsidRPr="009C5807">
              <w:t>NR_FDD_FR1_F,</w:t>
            </w:r>
          </w:p>
          <w:p w14:paraId="49D5A54B" w14:textId="77777777" w:rsidR="0058457E" w:rsidRPr="009C5807" w:rsidRDefault="0058457E" w:rsidP="00B03A04">
            <w:pPr>
              <w:pStyle w:val="TAC"/>
              <w:rPr>
                <w:lang w:val="sv-FI"/>
              </w:rPr>
            </w:pPr>
            <w:r w:rsidRPr="009C5807">
              <w:rPr>
                <w:lang w:val="sv-FI"/>
              </w:rPr>
              <w:t>NR_FDD_FR1_G, NR_FDD_FR1_H</w:t>
            </w:r>
          </w:p>
        </w:tc>
        <w:tc>
          <w:tcPr>
            <w:tcW w:w="1005" w:type="dxa"/>
            <w:tcBorders>
              <w:top w:val="single" w:sz="6" w:space="0" w:color="auto"/>
              <w:left w:val="single" w:sz="4" w:space="0" w:color="auto"/>
              <w:bottom w:val="single" w:sz="4" w:space="0" w:color="auto"/>
              <w:right w:val="single" w:sz="6" w:space="0" w:color="auto"/>
            </w:tcBorders>
            <w:shd w:val="clear" w:color="auto" w:fill="auto"/>
          </w:tcPr>
          <w:p w14:paraId="2432F7E7" w14:textId="77777777" w:rsidR="0058457E" w:rsidRPr="009C5807" w:rsidRDefault="0058457E" w:rsidP="00B03A04">
            <w:pPr>
              <w:pStyle w:val="TAC"/>
            </w:pPr>
            <w:r w:rsidRPr="009C5807">
              <w:t>N/A</w:t>
            </w:r>
          </w:p>
        </w:tc>
        <w:tc>
          <w:tcPr>
            <w:tcW w:w="833" w:type="dxa"/>
            <w:tcBorders>
              <w:top w:val="single" w:sz="6" w:space="0" w:color="auto"/>
              <w:left w:val="single" w:sz="4" w:space="0" w:color="auto"/>
              <w:bottom w:val="single" w:sz="4" w:space="0" w:color="auto"/>
              <w:right w:val="single" w:sz="6" w:space="0" w:color="auto"/>
            </w:tcBorders>
            <w:shd w:val="clear" w:color="auto" w:fill="auto"/>
          </w:tcPr>
          <w:p w14:paraId="525D2199" w14:textId="77777777" w:rsidR="0058457E" w:rsidRPr="009C5807" w:rsidRDefault="0058457E" w:rsidP="00B03A04">
            <w:pPr>
              <w:pStyle w:val="TAC"/>
              <w:rPr>
                <w:lang w:eastAsia="zh-CN"/>
              </w:rPr>
            </w:pPr>
            <w:r w:rsidRPr="009C5807">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59DECBC3" w14:textId="77777777" w:rsidR="0058457E" w:rsidRPr="009C5807" w:rsidRDefault="0058457E" w:rsidP="00B03A04">
            <w:pPr>
              <w:pStyle w:val="TAC"/>
            </w:pPr>
            <w:r w:rsidRPr="009C5807">
              <w:t>-70</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533BE83B" w14:textId="77777777" w:rsidR="0058457E" w:rsidRPr="009C5807" w:rsidRDefault="0058457E" w:rsidP="00B03A04">
            <w:pPr>
              <w:pStyle w:val="TAC"/>
            </w:pPr>
            <w:r w:rsidRPr="009C5807">
              <w:t>-50</w:t>
            </w:r>
          </w:p>
        </w:tc>
      </w:tr>
      <w:tr w:rsidR="001F5A79" w:rsidRPr="009C5807" w14:paraId="4D64B9D2"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9362594" w14:textId="77777777" w:rsidR="001F5A79" w:rsidRPr="009C5807" w:rsidRDefault="001F5A79" w:rsidP="00DF3064">
            <w:pPr>
              <w:keepNext/>
              <w:keepLines/>
              <w:spacing w:after="0"/>
              <w:ind w:left="851" w:hanging="851"/>
              <w:rPr>
                <w:rFonts w:ascii="Arial" w:hAnsi="Arial"/>
                <w:sz w:val="18"/>
              </w:rPr>
            </w:pPr>
            <w:r w:rsidRPr="009C5807">
              <w:rPr>
                <w:rFonts w:ascii="Arial" w:hAnsi="Arial"/>
                <w:sz w:val="18"/>
              </w:rPr>
              <w:t>NOTE 1:</w:t>
            </w:r>
            <w:r w:rsidRPr="009C5807">
              <w:rPr>
                <w:rFonts w:ascii="Arial" w:hAnsi="Arial"/>
                <w:sz w:val="18"/>
              </w:rPr>
              <w:tab/>
              <w:t>Io is assumed to have constant EPRE across the bandwidth.</w:t>
            </w:r>
          </w:p>
          <w:p w14:paraId="0D4C9109" w14:textId="77777777" w:rsidR="001F5A79" w:rsidRPr="009C5807" w:rsidRDefault="001F5A79" w:rsidP="00DF3064">
            <w:pPr>
              <w:keepNext/>
              <w:keepLines/>
              <w:spacing w:after="0"/>
              <w:ind w:left="851" w:hanging="851"/>
            </w:pPr>
            <w:r w:rsidRPr="009C5807">
              <w:rPr>
                <w:rFonts w:ascii="Arial" w:hAnsi="Arial"/>
                <w:sz w:val="18"/>
              </w:rPr>
              <w:t>NOTE 2:</w:t>
            </w:r>
            <w:r w:rsidRPr="009C5807">
              <w:rPr>
                <w:rFonts w:ascii="Arial" w:hAnsi="Arial"/>
                <w:sz w:val="18"/>
              </w:rPr>
              <w:tab/>
              <w:t>NR operating band groups in FR1 are as defined in clause 3.5.2.</w:t>
            </w:r>
          </w:p>
        </w:tc>
      </w:tr>
    </w:tbl>
    <w:p w14:paraId="2C3985EE" w14:textId="77777777" w:rsidR="001F5A79" w:rsidRPr="009C5807" w:rsidRDefault="001F5A79" w:rsidP="001F5A79">
      <w:pPr>
        <w:rPr>
          <w:lang w:eastAsia="zh-CN"/>
        </w:rPr>
      </w:pPr>
    </w:p>
    <w:p w14:paraId="35D3D0BB" w14:textId="65CF454A" w:rsidR="001F5A79" w:rsidRPr="009C5807" w:rsidRDefault="001F5A79" w:rsidP="00967CF8">
      <w:pPr>
        <w:pStyle w:val="Heading5"/>
      </w:pPr>
      <w:r w:rsidRPr="009C5807">
        <w:t>1</w:t>
      </w:r>
      <w:r w:rsidR="00967CF8" w:rsidRPr="009C5807">
        <w:t>0.1.2.1.2</w:t>
      </w:r>
      <w:r w:rsidRPr="009C5807">
        <w:tab/>
        <w:t xml:space="preserve">Relative </w:t>
      </w:r>
      <w:r w:rsidRPr="009C5807">
        <w:rPr>
          <w:lang w:val="en-US"/>
        </w:rPr>
        <w:t xml:space="preserve">SS-RSRP </w:t>
      </w:r>
      <w:r w:rsidRPr="009C5807">
        <w:t>Accuracy</w:t>
      </w:r>
    </w:p>
    <w:p w14:paraId="57DE23EE" w14:textId="555519CE" w:rsidR="00B03A04" w:rsidRDefault="0048746C" w:rsidP="00B03A04">
      <w:pPr>
        <w:rPr>
          <w:i/>
        </w:rPr>
      </w:pPr>
      <w:r>
        <w:t xml:space="preserve">The relative accuracy of </w:t>
      </w:r>
      <w:r>
        <w:rPr>
          <w:lang w:eastAsia="zh-CN"/>
        </w:rPr>
        <w:t>SS-RSRP</w:t>
      </w:r>
      <w:r>
        <w:t xml:space="preserve"> is defined as the </w:t>
      </w:r>
      <w:r>
        <w:rPr>
          <w:lang w:eastAsia="zh-CN"/>
        </w:rPr>
        <w:t>SS-RSRP</w:t>
      </w:r>
      <w:r>
        <w:t xml:space="preserve"> measured from one cell compared to the </w:t>
      </w:r>
      <w:r>
        <w:rPr>
          <w:lang w:eastAsia="zh-CN"/>
        </w:rPr>
        <w:t>SS-RSRP</w:t>
      </w:r>
      <w:r>
        <w:t xml:space="preserve"> measured from another cell on the same frequency, or between any two SS-RSRP levels measured on the same cell in FR1.</w:t>
      </w:r>
      <w:r>
        <w:rPr>
          <w:lang w:eastAsia="zh-CN"/>
        </w:rPr>
        <w:t xml:space="preserve"> The </w:t>
      </w:r>
      <w:r>
        <w:t xml:space="preserve">accuracy requirements in this clause are also applicable when </w:t>
      </w:r>
      <w:r>
        <w:rPr>
          <w:i/>
          <w:iCs/>
          <w:lang w:eastAsia="zh-CN"/>
        </w:rPr>
        <w:t>highSpeedMeasFlag-r16</w:t>
      </w:r>
      <w:r>
        <w:rPr>
          <w:i/>
        </w:rPr>
        <w:t xml:space="preserve"> </w:t>
      </w:r>
      <w:r>
        <w:t xml:space="preserve">or </w:t>
      </w:r>
      <w:r w:rsidRPr="00C55ADC">
        <w:rPr>
          <w:i/>
        </w:rPr>
        <w:t>highSpeedMeasCA-Scell-r17</w:t>
      </w:r>
      <w:r>
        <w:rPr>
          <w:i/>
        </w:rPr>
        <w:t xml:space="preserve"> </w:t>
      </w:r>
      <w:r>
        <w:t>is configured.</w:t>
      </w:r>
    </w:p>
    <w:p w14:paraId="5C4CA400" w14:textId="77777777" w:rsidR="001F5A79" w:rsidRPr="009C5807" w:rsidRDefault="001F5A79" w:rsidP="001F5A79">
      <w:pPr>
        <w:rPr>
          <w:rFonts w:cs="v4.2.0"/>
        </w:rPr>
      </w:pPr>
      <w:r w:rsidRPr="009C5807">
        <w:rPr>
          <w:rFonts w:cs="v4.2.0"/>
        </w:rPr>
        <w:t xml:space="preserve">The accuracy requirements in Table </w:t>
      </w:r>
      <w:r w:rsidRPr="009C5807">
        <w:rPr>
          <w:lang w:eastAsia="zh-CN"/>
        </w:rPr>
        <w:t>10</w:t>
      </w:r>
      <w:r w:rsidRPr="009C5807">
        <w:t>.1.2.1</w:t>
      </w:r>
      <w:r w:rsidRPr="009C5807">
        <w:rPr>
          <w:lang w:eastAsia="zh-CN"/>
        </w:rPr>
        <w:t>.2</w:t>
      </w:r>
      <w:r w:rsidRPr="009C5807">
        <w:rPr>
          <w:rFonts w:cs="v4.2.0"/>
        </w:rPr>
        <w:t>-1 are valid under the following conditions:</w:t>
      </w:r>
    </w:p>
    <w:p w14:paraId="033C71BD" w14:textId="77777777" w:rsidR="001F5A79" w:rsidRPr="009C5807" w:rsidRDefault="001F5A79" w:rsidP="00B03A04">
      <w:pPr>
        <w:pStyle w:val="B10"/>
        <w:rPr>
          <w:lang w:eastAsia="zh-CN"/>
        </w:rPr>
      </w:pPr>
      <w:r w:rsidRPr="009C5807">
        <w:t>-</w:t>
      </w:r>
      <w:r w:rsidRPr="009C5807">
        <w:tab/>
        <w:t>Conditions defined in clause 7.3 of TS 38.101-1 [18] for reference sensitivity are fulfilled.</w:t>
      </w:r>
    </w:p>
    <w:p w14:paraId="40E41C0D" w14:textId="77777777" w:rsidR="001F5A79" w:rsidRPr="009C5807" w:rsidRDefault="001F5A79" w:rsidP="00B03A04">
      <w:pPr>
        <w:pStyle w:val="B10"/>
        <w:rPr>
          <w:lang w:eastAsia="zh-CN"/>
        </w:rPr>
      </w:pPr>
      <w:r w:rsidRPr="009C5807">
        <w:t>-</w:t>
      </w:r>
      <w:r w:rsidRPr="009C5807">
        <w:tab/>
        <w:t>Conditions for intra-frequency measurements are fulfilled according to Annex B.2.2 for a corresponding Band for each relevant SSB.</w:t>
      </w:r>
    </w:p>
    <w:p w14:paraId="0A150801" w14:textId="77777777" w:rsidR="001F5A79" w:rsidRPr="009C5807" w:rsidRDefault="001F5A79" w:rsidP="009C5807">
      <w:pPr>
        <w:pStyle w:val="TH"/>
      </w:pPr>
      <w:r w:rsidRPr="009C5807">
        <w:lastRenderedPageBreak/>
        <w:t>Table 10.1.2.1.2-1: SS-RSRP Intra frequency relative accuracy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1F5A79" w:rsidRPr="009C5807" w14:paraId="6F501C9D" w14:textId="77777777" w:rsidTr="00B03A04">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63E0BA58" w14:textId="77777777" w:rsidR="001F5A79" w:rsidRPr="009C5807" w:rsidRDefault="001F5A79" w:rsidP="00B03A04">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3F59B3B6" w14:textId="77777777" w:rsidR="001F5A79" w:rsidRPr="009C5807" w:rsidRDefault="001F5A79" w:rsidP="00B03A04">
            <w:pPr>
              <w:pStyle w:val="TAH"/>
            </w:pPr>
            <w:r w:rsidRPr="009C5807">
              <w:t>Conditions</w:t>
            </w:r>
          </w:p>
        </w:tc>
      </w:tr>
      <w:tr w:rsidR="001F5A79" w:rsidRPr="009C5807" w14:paraId="5DD84AC5" w14:textId="77777777" w:rsidTr="00B03A04">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6F66A885" w14:textId="77777777" w:rsidR="001F5A79" w:rsidRPr="009C5807" w:rsidRDefault="001F5A79" w:rsidP="00B03A04">
            <w:pPr>
              <w:pStyle w:val="TAH"/>
            </w:pPr>
            <w:r w:rsidRPr="009C5807">
              <w:t>Normal condition</w:t>
            </w:r>
          </w:p>
        </w:tc>
        <w:tc>
          <w:tcPr>
            <w:tcW w:w="1049" w:type="dxa"/>
            <w:tcBorders>
              <w:top w:val="single" w:sz="6" w:space="0" w:color="auto"/>
              <w:left w:val="single" w:sz="6" w:space="0" w:color="auto"/>
              <w:bottom w:val="single" w:sz="4" w:space="0" w:color="auto"/>
              <w:right w:val="single" w:sz="6" w:space="0" w:color="auto"/>
            </w:tcBorders>
            <w:shd w:val="clear" w:color="auto" w:fill="auto"/>
          </w:tcPr>
          <w:p w14:paraId="505BEF53" w14:textId="77777777" w:rsidR="001F5A79" w:rsidRPr="009C5807" w:rsidRDefault="001F5A79" w:rsidP="00B03A04">
            <w:pPr>
              <w:pStyle w:val="TAH"/>
            </w:pPr>
            <w:r w:rsidRPr="009C5807">
              <w:t>Extreme condition</w:t>
            </w:r>
          </w:p>
        </w:tc>
        <w:tc>
          <w:tcPr>
            <w:tcW w:w="807" w:type="dxa"/>
            <w:tcBorders>
              <w:top w:val="single" w:sz="4" w:space="0" w:color="auto"/>
              <w:left w:val="single" w:sz="6" w:space="0" w:color="auto"/>
              <w:bottom w:val="single" w:sz="4" w:space="0" w:color="auto"/>
              <w:right w:val="single" w:sz="6" w:space="0" w:color="auto"/>
            </w:tcBorders>
            <w:shd w:val="clear" w:color="auto" w:fill="auto"/>
          </w:tcPr>
          <w:p w14:paraId="71F92A7A" w14:textId="77777777" w:rsidR="001F5A79" w:rsidRPr="009C5807" w:rsidRDefault="001F5A79" w:rsidP="00B03A04">
            <w:pPr>
              <w:pStyle w:val="TAH"/>
            </w:pPr>
            <w:r w:rsidRPr="009C5807">
              <w:t>SSB Ês/Iot</w:t>
            </w:r>
            <w:r w:rsidRPr="009C5807">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tcPr>
          <w:p w14:paraId="7EDF76AA" w14:textId="77777777" w:rsidR="001F5A79" w:rsidRPr="009C5807" w:rsidRDefault="001F5A79" w:rsidP="00B03A04">
            <w:pPr>
              <w:pStyle w:val="TAH"/>
            </w:pPr>
            <w:r w:rsidRPr="009C5807">
              <w:t>Io</w:t>
            </w:r>
            <w:r w:rsidRPr="009C5807">
              <w:rPr>
                <w:vertAlign w:val="superscript"/>
              </w:rPr>
              <w:t xml:space="preserve"> Note 1</w:t>
            </w:r>
            <w:r w:rsidRPr="009C5807">
              <w:t xml:space="preserve"> range</w:t>
            </w:r>
          </w:p>
        </w:tc>
      </w:tr>
      <w:tr w:rsidR="001F5A79" w:rsidRPr="009C5807" w14:paraId="11222C47" w14:textId="77777777" w:rsidTr="00B03A04">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4DB960E0" w14:textId="77777777" w:rsidR="001F5A79" w:rsidRPr="009C5807" w:rsidRDefault="001F5A79" w:rsidP="00B03A04">
            <w:pPr>
              <w:pStyle w:val="TAH"/>
            </w:pPr>
          </w:p>
        </w:tc>
        <w:tc>
          <w:tcPr>
            <w:tcW w:w="1049" w:type="dxa"/>
            <w:tcBorders>
              <w:top w:val="single" w:sz="4" w:space="0" w:color="auto"/>
              <w:left w:val="single" w:sz="6" w:space="0" w:color="auto"/>
              <w:bottom w:val="single" w:sz="6" w:space="0" w:color="auto"/>
              <w:right w:val="single" w:sz="6" w:space="0" w:color="auto"/>
            </w:tcBorders>
            <w:shd w:val="clear" w:color="auto" w:fill="auto"/>
          </w:tcPr>
          <w:p w14:paraId="5BC64E23" w14:textId="77777777" w:rsidR="001F5A79" w:rsidRPr="009C5807" w:rsidRDefault="001F5A79" w:rsidP="00B03A04">
            <w:pPr>
              <w:pStyle w:val="TAH"/>
            </w:pPr>
          </w:p>
        </w:tc>
        <w:tc>
          <w:tcPr>
            <w:tcW w:w="807" w:type="dxa"/>
            <w:tcBorders>
              <w:top w:val="single" w:sz="4" w:space="0" w:color="auto"/>
              <w:left w:val="single" w:sz="6" w:space="0" w:color="auto"/>
              <w:bottom w:val="single" w:sz="6" w:space="0" w:color="auto"/>
              <w:right w:val="single" w:sz="6" w:space="0" w:color="auto"/>
            </w:tcBorders>
            <w:shd w:val="clear" w:color="auto" w:fill="auto"/>
          </w:tcPr>
          <w:p w14:paraId="61B0699B" w14:textId="77777777" w:rsidR="001F5A79" w:rsidRPr="009C5807" w:rsidRDefault="001F5A79" w:rsidP="00B03A04">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47D057CB" w14:textId="77777777" w:rsidR="001F5A79" w:rsidRPr="009C5807" w:rsidRDefault="001F5A79" w:rsidP="00B03A04">
            <w:pPr>
              <w:pStyle w:val="TAH"/>
            </w:pPr>
            <w:r w:rsidRPr="009C5807">
              <w:t>NR operating band groups</w:t>
            </w:r>
            <w:r w:rsidRPr="009C5807">
              <w:rPr>
                <w:vertAlign w:val="superscript"/>
              </w:rPr>
              <w:t xml:space="preserve"> Note 4</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tcPr>
          <w:p w14:paraId="1EC4E396" w14:textId="77777777" w:rsidR="001F5A79" w:rsidRPr="009C5807" w:rsidRDefault="001F5A79" w:rsidP="00B03A04">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025BA6FF" w14:textId="77777777" w:rsidR="001F5A79" w:rsidRPr="009C5807" w:rsidRDefault="001F5A79" w:rsidP="00B03A04">
            <w:pPr>
              <w:pStyle w:val="TAH"/>
            </w:pPr>
            <w:r w:rsidRPr="009C5807">
              <w:t>Maximum Io</w:t>
            </w:r>
          </w:p>
        </w:tc>
      </w:tr>
      <w:tr w:rsidR="001F5A79" w:rsidRPr="009C5807" w14:paraId="33774999" w14:textId="77777777" w:rsidTr="00B03A04">
        <w:trPr>
          <w:trHeight w:val="308"/>
          <w:jc w:val="center"/>
        </w:trPr>
        <w:tc>
          <w:tcPr>
            <w:tcW w:w="1033" w:type="dxa"/>
            <w:tcBorders>
              <w:top w:val="single" w:sz="6" w:space="0" w:color="auto"/>
              <w:left w:val="single" w:sz="4" w:space="0" w:color="auto"/>
              <w:right w:val="single" w:sz="6" w:space="0" w:color="auto"/>
            </w:tcBorders>
            <w:shd w:val="clear" w:color="auto" w:fill="auto"/>
          </w:tcPr>
          <w:p w14:paraId="670956A4" w14:textId="77777777" w:rsidR="001F5A79" w:rsidRPr="009C5807" w:rsidRDefault="001F5A79" w:rsidP="00B03A04">
            <w:pPr>
              <w:pStyle w:val="TAH"/>
            </w:pPr>
            <w:r w:rsidRPr="009C5807">
              <w:t>dB</w:t>
            </w:r>
          </w:p>
        </w:tc>
        <w:tc>
          <w:tcPr>
            <w:tcW w:w="1049" w:type="dxa"/>
            <w:tcBorders>
              <w:top w:val="single" w:sz="6" w:space="0" w:color="auto"/>
              <w:left w:val="single" w:sz="6" w:space="0" w:color="auto"/>
              <w:right w:val="single" w:sz="6" w:space="0" w:color="auto"/>
            </w:tcBorders>
            <w:shd w:val="clear" w:color="auto" w:fill="auto"/>
          </w:tcPr>
          <w:p w14:paraId="6C4DC0EB" w14:textId="77777777" w:rsidR="001F5A79" w:rsidRPr="009C5807" w:rsidRDefault="001F5A79" w:rsidP="00B03A04">
            <w:pPr>
              <w:pStyle w:val="TAH"/>
            </w:pPr>
            <w:r w:rsidRPr="009C5807">
              <w:t>dB</w:t>
            </w:r>
          </w:p>
        </w:tc>
        <w:tc>
          <w:tcPr>
            <w:tcW w:w="807" w:type="dxa"/>
            <w:tcBorders>
              <w:top w:val="single" w:sz="6" w:space="0" w:color="auto"/>
              <w:left w:val="single" w:sz="6" w:space="0" w:color="auto"/>
              <w:right w:val="single" w:sz="6" w:space="0" w:color="auto"/>
            </w:tcBorders>
            <w:shd w:val="clear" w:color="auto" w:fill="auto"/>
          </w:tcPr>
          <w:p w14:paraId="7DEEF46C" w14:textId="77777777" w:rsidR="001F5A79" w:rsidRPr="009C5807" w:rsidRDefault="001F5A79" w:rsidP="00B03A04">
            <w:pPr>
              <w:pStyle w:val="TAH"/>
            </w:pPr>
            <w:r w:rsidRPr="009C5807">
              <w:t>dB</w:t>
            </w:r>
          </w:p>
        </w:tc>
        <w:tc>
          <w:tcPr>
            <w:tcW w:w="2349" w:type="dxa"/>
            <w:tcBorders>
              <w:top w:val="single" w:sz="6" w:space="0" w:color="auto"/>
              <w:left w:val="single" w:sz="6" w:space="0" w:color="auto"/>
              <w:right w:val="single" w:sz="4" w:space="0" w:color="auto"/>
            </w:tcBorders>
            <w:shd w:val="clear" w:color="auto" w:fill="auto"/>
          </w:tcPr>
          <w:p w14:paraId="5323D994" w14:textId="77777777" w:rsidR="001F5A79" w:rsidRPr="009C5807" w:rsidRDefault="001F5A79" w:rsidP="00B03A04">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tcPr>
          <w:p w14:paraId="215EF6D5" w14:textId="77777777" w:rsidR="001F5A79" w:rsidRPr="009C5807" w:rsidRDefault="001F5A79" w:rsidP="00B03A04">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53300AB7" w14:textId="77777777" w:rsidR="001F5A79" w:rsidRPr="009C5807" w:rsidRDefault="001F5A79" w:rsidP="00B03A04">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7517F74D" w14:textId="77777777" w:rsidR="001F5A79" w:rsidRPr="009C5807" w:rsidRDefault="001F5A79" w:rsidP="00B03A04">
            <w:pPr>
              <w:pStyle w:val="TAH"/>
            </w:pPr>
            <w:r w:rsidRPr="009C5807">
              <w:t>dBm/BW</w:t>
            </w:r>
            <w:r w:rsidRPr="009C5807">
              <w:rPr>
                <w:vertAlign w:val="subscript"/>
              </w:rPr>
              <w:t>Channel</w:t>
            </w:r>
          </w:p>
        </w:tc>
      </w:tr>
      <w:tr w:rsidR="001F5A79" w:rsidRPr="009C5807" w14:paraId="4720FB92" w14:textId="77777777" w:rsidTr="00B03A04">
        <w:trPr>
          <w:trHeight w:val="307"/>
          <w:jc w:val="center"/>
        </w:trPr>
        <w:tc>
          <w:tcPr>
            <w:tcW w:w="1033" w:type="dxa"/>
            <w:tcBorders>
              <w:left w:val="single" w:sz="4" w:space="0" w:color="auto"/>
              <w:bottom w:val="single" w:sz="6" w:space="0" w:color="auto"/>
              <w:right w:val="single" w:sz="6" w:space="0" w:color="auto"/>
            </w:tcBorders>
            <w:shd w:val="clear" w:color="auto" w:fill="auto"/>
          </w:tcPr>
          <w:p w14:paraId="024F398B" w14:textId="77777777" w:rsidR="001F5A79" w:rsidRPr="009C5807" w:rsidRDefault="001F5A79" w:rsidP="00B03A04">
            <w:pPr>
              <w:pStyle w:val="TAH"/>
            </w:pPr>
          </w:p>
        </w:tc>
        <w:tc>
          <w:tcPr>
            <w:tcW w:w="1049" w:type="dxa"/>
            <w:tcBorders>
              <w:left w:val="single" w:sz="6" w:space="0" w:color="auto"/>
              <w:bottom w:val="single" w:sz="6" w:space="0" w:color="auto"/>
              <w:right w:val="single" w:sz="6" w:space="0" w:color="auto"/>
            </w:tcBorders>
            <w:shd w:val="clear" w:color="auto" w:fill="auto"/>
          </w:tcPr>
          <w:p w14:paraId="345F3D7F" w14:textId="77777777" w:rsidR="001F5A79" w:rsidRPr="009C5807" w:rsidRDefault="001F5A79" w:rsidP="00B03A04">
            <w:pPr>
              <w:pStyle w:val="TAH"/>
            </w:pPr>
          </w:p>
        </w:tc>
        <w:tc>
          <w:tcPr>
            <w:tcW w:w="807" w:type="dxa"/>
            <w:tcBorders>
              <w:left w:val="single" w:sz="6" w:space="0" w:color="auto"/>
              <w:bottom w:val="single" w:sz="6" w:space="0" w:color="auto"/>
              <w:right w:val="single" w:sz="6" w:space="0" w:color="auto"/>
            </w:tcBorders>
            <w:shd w:val="clear" w:color="auto" w:fill="auto"/>
          </w:tcPr>
          <w:p w14:paraId="44C70D3A" w14:textId="77777777" w:rsidR="001F5A79" w:rsidRPr="009C5807" w:rsidRDefault="001F5A79" w:rsidP="00B03A04">
            <w:pPr>
              <w:pStyle w:val="TAH"/>
            </w:pPr>
          </w:p>
        </w:tc>
        <w:tc>
          <w:tcPr>
            <w:tcW w:w="2349" w:type="dxa"/>
            <w:tcBorders>
              <w:left w:val="single" w:sz="6" w:space="0" w:color="auto"/>
              <w:bottom w:val="single" w:sz="6" w:space="0" w:color="auto"/>
              <w:right w:val="single" w:sz="4" w:space="0" w:color="auto"/>
            </w:tcBorders>
            <w:shd w:val="clear" w:color="auto" w:fill="auto"/>
          </w:tcPr>
          <w:p w14:paraId="23533D9E" w14:textId="77777777" w:rsidR="001F5A79" w:rsidRPr="009C5807" w:rsidRDefault="001F5A79" w:rsidP="00B03A04">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B6F9E2E" w14:textId="77777777" w:rsidR="001F5A79" w:rsidRPr="009C5807" w:rsidRDefault="001F5A79" w:rsidP="00B03A04">
            <w:pPr>
              <w:pStyle w:val="TAH"/>
              <w:rPr>
                <w:rFonts w:cs="Arial"/>
              </w:rPr>
            </w:pPr>
            <w:r w:rsidRPr="009C5807">
              <w:t>SCS</w:t>
            </w:r>
            <w:r w:rsidRPr="009C5807">
              <w:rPr>
                <w:vertAlign w:val="subscript"/>
              </w:rPr>
              <w:t>SSB</w:t>
            </w:r>
            <w:r w:rsidRPr="009C5807">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4142501" w14:textId="77777777" w:rsidR="001F5A79" w:rsidRPr="009C5807" w:rsidRDefault="001F5A79" w:rsidP="00B03A04">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63DC461E" w14:textId="77777777" w:rsidR="001F5A79" w:rsidRPr="009C5807" w:rsidRDefault="001F5A79" w:rsidP="00B03A04">
            <w:pPr>
              <w:pStyle w:val="TAH"/>
            </w:pPr>
          </w:p>
        </w:tc>
        <w:tc>
          <w:tcPr>
            <w:tcW w:w="1440" w:type="dxa"/>
            <w:tcBorders>
              <w:left w:val="single" w:sz="6" w:space="0" w:color="auto"/>
              <w:bottom w:val="single" w:sz="6" w:space="0" w:color="auto"/>
              <w:right w:val="single" w:sz="4" w:space="0" w:color="auto"/>
            </w:tcBorders>
            <w:shd w:val="clear" w:color="auto" w:fill="auto"/>
          </w:tcPr>
          <w:p w14:paraId="147AD3EE" w14:textId="77777777" w:rsidR="001F5A79" w:rsidRPr="009C5807" w:rsidRDefault="001F5A79" w:rsidP="00B03A04">
            <w:pPr>
              <w:pStyle w:val="TAH"/>
            </w:pPr>
          </w:p>
        </w:tc>
      </w:tr>
      <w:tr w:rsidR="0058457E" w:rsidRPr="009C5807" w14:paraId="3B4BAB82" w14:textId="77777777" w:rsidTr="00B03A04">
        <w:trPr>
          <w:jc w:val="center"/>
        </w:trPr>
        <w:tc>
          <w:tcPr>
            <w:tcW w:w="1033" w:type="dxa"/>
            <w:tcBorders>
              <w:top w:val="single" w:sz="6" w:space="0" w:color="auto"/>
              <w:left w:val="single" w:sz="4" w:space="0" w:color="auto"/>
              <w:right w:val="single" w:sz="6" w:space="0" w:color="auto"/>
            </w:tcBorders>
            <w:shd w:val="clear" w:color="auto" w:fill="auto"/>
          </w:tcPr>
          <w:p w14:paraId="575FED06" w14:textId="0553C4D7" w:rsidR="0058457E" w:rsidRPr="009C5807" w:rsidRDefault="0058457E" w:rsidP="00B03A04">
            <w:pPr>
              <w:pStyle w:val="TAC"/>
            </w:pPr>
          </w:p>
        </w:tc>
        <w:tc>
          <w:tcPr>
            <w:tcW w:w="1049" w:type="dxa"/>
            <w:tcBorders>
              <w:top w:val="single" w:sz="6" w:space="0" w:color="auto"/>
              <w:left w:val="single" w:sz="6" w:space="0" w:color="auto"/>
              <w:right w:val="single" w:sz="6" w:space="0" w:color="auto"/>
            </w:tcBorders>
            <w:shd w:val="clear" w:color="auto" w:fill="auto"/>
          </w:tcPr>
          <w:p w14:paraId="1614E8FB" w14:textId="6C0134CE" w:rsidR="0058457E" w:rsidRPr="009C5807" w:rsidRDefault="0058457E" w:rsidP="00B03A04">
            <w:pPr>
              <w:pStyle w:val="TAC"/>
            </w:pPr>
          </w:p>
        </w:tc>
        <w:tc>
          <w:tcPr>
            <w:tcW w:w="807" w:type="dxa"/>
            <w:tcBorders>
              <w:top w:val="single" w:sz="6" w:space="0" w:color="auto"/>
              <w:left w:val="single" w:sz="6" w:space="0" w:color="auto"/>
              <w:right w:val="single" w:sz="6" w:space="0" w:color="auto"/>
            </w:tcBorders>
            <w:shd w:val="clear" w:color="auto" w:fill="auto"/>
          </w:tcPr>
          <w:p w14:paraId="3B3AAAF1" w14:textId="0D255381" w:rsidR="0058457E" w:rsidRPr="009C5807" w:rsidRDefault="0058457E" w:rsidP="00B03A04">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54BCBD83" w14:textId="77777777" w:rsidR="0058457E" w:rsidRPr="009C5807" w:rsidRDefault="0058457E" w:rsidP="00B03A04">
            <w:pPr>
              <w:pStyle w:val="TAC"/>
              <w:rPr>
                <w:rFonts w:cs="Arial"/>
                <w:szCs w:val="18"/>
              </w:rPr>
            </w:pPr>
            <w:r w:rsidRPr="009C5807">
              <w:rPr>
                <w:rFonts w:cs="Arial"/>
                <w:szCs w:val="18"/>
              </w:rPr>
              <w:t>NR_FDD_FR1_A, NR_TDD_FR1_A,</w:t>
            </w:r>
          </w:p>
          <w:p w14:paraId="67BF1BE3" w14:textId="77777777" w:rsidR="0058457E" w:rsidRPr="009C5807" w:rsidRDefault="0058457E" w:rsidP="00B03A04">
            <w:pPr>
              <w:pStyle w:val="TAC"/>
              <w:rPr>
                <w:rFonts w:cs="Arial"/>
                <w:szCs w:val="18"/>
              </w:rPr>
            </w:pPr>
            <w:r w:rsidRPr="009C5807">
              <w:rPr>
                <w:rFonts w:cs="Arial"/>
                <w:szCs w:val="18"/>
              </w:rPr>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99DB061" w14:textId="77777777" w:rsidR="0058457E" w:rsidRPr="009C5807" w:rsidRDefault="0058457E" w:rsidP="00B03A04">
            <w:pPr>
              <w:pStyle w:val="TAC"/>
            </w:pPr>
            <w:r w:rsidRPr="009C5807">
              <w:t>-121</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18435B5" w14:textId="77777777" w:rsidR="0058457E" w:rsidRPr="009C5807" w:rsidRDefault="0058457E" w:rsidP="00B03A04">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80D2AA2"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C296670" w14:textId="77777777" w:rsidR="0058457E" w:rsidRPr="009C5807" w:rsidRDefault="0058457E" w:rsidP="00B03A04">
            <w:pPr>
              <w:pStyle w:val="TAC"/>
            </w:pPr>
            <w:r w:rsidRPr="009C5807">
              <w:t>-50</w:t>
            </w:r>
          </w:p>
        </w:tc>
      </w:tr>
      <w:tr w:rsidR="0058457E" w:rsidRPr="009C5807" w14:paraId="3A6A2ABE" w14:textId="77777777" w:rsidTr="00B03A04">
        <w:trPr>
          <w:jc w:val="center"/>
        </w:trPr>
        <w:tc>
          <w:tcPr>
            <w:tcW w:w="1033" w:type="dxa"/>
            <w:tcBorders>
              <w:left w:val="single" w:sz="4" w:space="0" w:color="auto"/>
              <w:right w:val="single" w:sz="6" w:space="0" w:color="auto"/>
            </w:tcBorders>
            <w:shd w:val="clear" w:color="auto" w:fill="auto"/>
          </w:tcPr>
          <w:p w14:paraId="60FF6561" w14:textId="77777777" w:rsidR="0058457E" w:rsidRPr="009C5807" w:rsidRDefault="0058457E" w:rsidP="00B03A04">
            <w:pPr>
              <w:pStyle w:val="TAC"/>
            </w:pPr>
          </w:p>
        </w:tc>
        <w:tc>
          <w:tcPr>
            <w:tcW w:w="1049" w:type="dxa"/>
            <w:tcBorders>
              <w:left w:val="single" w:sz="6" w:space="0" w:color="auto"/>
              <w:right w:val="single" w:sz="6" w:space="0" w:color="auto"/>
            </w:tcBorders>
            <w:shd w:val="clear" w:color="auto" w:fill="auto"/>
          </w:tcPr>
          <w:p w14:paraId="40E11B32" w14:textId="77777777" w:rsidR="0058457E" w:rsidRPr="009C5807" w:rsidRDefault="0058457E" w:rsidP="00B03A04">
            <w:pPr>
              <w:pStyle w:val="TAC"/>
            </w:pPr>
          </w:p>
        </w:tc>
        <w:tc>
          <w:tcPr>
            <w:tcW w:w="807" w:type="dxa"/>
            <w:tcBorders>
              <w:left w:val="single" w:sz="6" w:space="0" w:color="auto"/>
              <w:right w:val="single" w:sz="6" w:space="0" w:color="auto"/>
            </w:tcBorders>
            <w:shd w:val="clear" w:color="auto" w:fill="auto"/>
          </w:tcPr>
          <w:p w14:paraId="16DD28A8" w14:textId="77777777" w:rsidR="0058457E" w:rsidRPr="009C5807" w:rsidRDefault="0058457E" w:rsidP="00B03A04">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3D6D6031" w14:textId="77777777" w:rsidR="0058457E" w:rsidRPr="009C5807" w:rsidRDefault="0058457E" w:rsidP="00B03A04">
            <w:pPr>
              <w:pStyle w:val="TAC"/>
            </w:pPr>
            <w:r w:rsidRPr="009C5807">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8100341" w14:textId="77777777" w:rsidR="0058457E" w:rsidRPr="009C5807" w:rsidRDefault="0058457E" w:rsidP="00B03A04">
            <w:pPr>
              <w:pStyle w:val="TAC"/>
            </w:pPr>
            <w:r w:rsidRPr="009C5807">
              <w:t>-120.5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959AB16" w14:textId="77777777" w:rsidR="0058457E" w:rsidRPr="009C5807" w:rsidRDefault="0058457E" w:rsidP="00B03A04">
            <w:pPr>
              <w:pStyle w:val="TAC"/>
              <w:rPr>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0050FA2" w14:textId="77777777" w:rsidR="0058457E" w:rsidRPr="009C5807" w:rsidRDefault="0058457E" w:rsidP="00B03A04">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D358CDF" w14:textId="77777777" w:rsidR="0058457E" w:rsidRPr="009C5807" w:rsidRDefault="0058457E" w:rsidP="00B03A04">
            <w:pPr>
              <w:pStyle w:val="TAC"/>
            </w:pPr>
            <w:r w:rsidRPr="009C5807">
              <w:t>-50</w:t>
            </w:r>
          </w:p>
        </w:tc>
      </w:tr>
      <w:tr w:rsidR="0058457E" w:rsidRPr="009C5807" w14:paraId="408EF79B" w14:textId="77777777" w:rsidTr="00B03A04">
        <w:trPr>
          <w:jc w:val="center"/>
        </w:trPr>
        <w:tc>
          <w:tcPr>
            <w:tcW w:w="1033" w:type="dxa"/>
            <w:tcBorders>
              <w:left w:val="single" w:sz="4" w:space="0" w:color="auto"/>
              <w:right w:val="single" w:sz="6" w:space="0" w:color="auto"/>
            </w:tcBorders>
            <w:shd w:val="clear" w:color="auto" w:fill="auto"/>
          </w:tcPr>
          <w:p w14:paraId="15F68BE0" w14:textId="77777777" w:rsidR="0058457E" w:rsidRPr="009C5807" w:rsidRDefault="0058457E" w:rsidP="00B03A04">
            <w:pPr>
              <w:pStyle w:val="TAC"/>
            </w:pPr>
          </w:p>
        </w:tc>
        <w:tc>
          <w:tcPr>
            <w:tcW w:w="1049" w:type="dxa"/>
            <w:tcBorders>
              <w:left w:val="single" w:sz="6" w:space="0" w:color="auto"/>
              <w:right w:val="single" w:sz="6" w:space="0" w:color="auto"/>
            </w:tcBorders>
            <w:shd w:val="clear" w:color="auto" w:fill="auto"/>
          </w:tcPr>
          <w:p w14:paraId="2E60C37A" w14:textId="77777777" w:rsidR="0058457E" w:rsidRPr="009C5807" w:rsidRDefault="0058457E" w:rsidP="00B03A04">
            <w:pPr>
              <w:pStyle w:val="TAC"/>
            </w:pPr>
          </w:p>
        </w:tc>
        <w:tc>
          <w:tcPr>
            <w:tcW w:w="807" w:type="dxa"/>
            <w:tcBorders>
              <w:left w:val="single" w:sz="6" w:space="0" w:color="auto"/>
              <w:right w:val="single" w:sz="6" w:space="0" w:color="auto"/>
            </w:tcBorders>
            <w:shd w:val="clear" w:color="auto" w:fill="auto"/>
          </w:tcPr>
          <w:p w14:paraId="5137F483" w14:textId="77777777" w:rsidR="0058457E" w:rsidRPr="009C5807" w:rsidRDefault="0058457E" w:rsidP="00B03A04">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6AAC3395" w14:textId="77777777" w:rsidR="0058457E" w:rsidRPr="009C5807" w:rsidRDefault="0058457E" w:rsidP="00B03A04">
            <w:pPr>
              <w:pStyle w:val="TAC"/>
            </w:pPr>
            <w:r w:rsidRPr="009C5807">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B43CDD8" w14:textId="77777777" w:rsidR="0058457E" w:rsidRPr="009C5807" w:rsidRDefault="0058457E" w:rsidP="00B03A04">
            <w:pPr>
              <w:pStyle w:val="TAC"/>
            </w:pPr>
            <w:r w:rsidRPr="009C5807">
              <w:t>-120</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33CB4D5" w14:textId="77777777" w:rsidR="0058457E" w:rsidRPr="009C5807" w:rsidRDefault="0058457E" w:rsidP="00B03A04">
            <w:pPr>
              <w:pStyle w:val="TAC"/>
              <w:rPr>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AF20F71"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3474780" w14:textId="77777777" w:rsidR="0058457E" w:rsidRPr="009C5807" w:rsidRDefault="0058457E" w:rsidP="00B03A04">
            <w:pPr>
              <w:pStyle w:val="TAC"/>
            </w:pPr>
            <w:r w:rsidRPr="009C5807">
              <w:t>-50</w:t>
            </w:r>
          </w:p>
        </w:tc>
      </w:tr>
      <w:tr w:rsidR="008B5C3E" w:rsidRPr="009C5807" w14:paraId="41E2C441" w14:textId="77777777" w:rsidTr="00B03A04">
        <w:trPr>
          <w:jc w:val="center"/>
        </w:trPr>
        <w:tc>
          <w:tcPr>
            <w:tcW w:w="1033" w:type="dxa"/>
            <w:tcBorders>
              <w:left w:val="single" w:sz="4" w:space="0" w:color="auto"/>
              <w:right w:val="single" w:sz="6" w:space="0" w:color="auto"/>
            </w:tcBorders>
            <w:shd w:val="clear" w:color="auto" w:fill="auto"/>
          </w:tcPr>
          <w:p w14:paraId="47BDC3AF" w14:textId="16B2CE2C" w:rsidR="008B5C3E" w:rsidRPr="009C5807" w:rsidRDefault="008B5C3E" w:rsidP="00B03A04">
            <w:pPr>
              <w:pStyle w:val="TAC"/>
            </w:pPr>
            <w:r w:rsidRPr="009C5807">
              <w:sym w:font="Symbol" w:char="F0B1"/>
            </w:r>
            <w:r w:rsidRPr="009C5807">
              <w:t>2</w:t>
            </w:r>
          </w:p>
        </w:tc>
        <w:tc>
          <w:tcPr>
            <w:tcW w:w="1049" w:type="dxa"/>
            <w:tcBorders>
              <w:left w:val="single" w:sz="6" w:space="0" w:color="auto"/>
              <w:right w:val="single" w:sz="6" w:space="0" w:color="auto"/>
            </w:tcBorders>
            <w:shd w:val="clear" w:color="auto" w:fill="auto"/>
          </w:tcPr>
          <w:p w14:paraId="5608EA43" w14:textId="649C1B3D" w:rsidR="008B5C3E" w:rsidRPr="009C5807" w:rsidRDefault="008B5C3E" w:rsidP="00B03A04">
            <w:pPr>
              <w:pStyle w:val="TAC"/>
            </w:pPr>
            <w:r w:rsidRPr="009C5807">
              <w:sym w:font="Symbol" w:char="F0B1"/>
            </w:r>
            <w:r w:rsidRPr="009C5807">
              <w:t>3</w:t>
            </w:r>
          </w:p>
        </w:tc>
        <w:tc>
          <w:tcPr>
            <w:tcW w:w="807" w:type="dxa"/>
            <w:tcBorders>
              <w:left w:val="single" w:sz="6" w:space="0" w:color="auto"/>
              <w:right w:val="single" w:sz="6" w:space="0" w:color="auto"/>
            </w:tcBorders>
            <w:shd w:val="clear" w:color="auto" w:fill="auto"/>
          </w:tcPr>
          <w:p w14:paraId="2F0FF671" w14:textId="53CDE846" w:rsidR="008B5C3E" w:rsidRPr="009C5807" w:rsidRDefault="008B5C3E" w:rsidP="00B03A04">
            <w:pPr>
              <w:pStyle w:val="TAC"/>
            </w:pPr>
            <w:r w:rsidRPr="009C5807">
              <w:sym w:font="Symbol" w:char="F0B3"/>
            </w:r>
            <w:r w:rsidRPr="009C5807">
              <w:t>-3</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126E0852" w14:textId="77777777" w:rsidR="008B5C3E" w:rsidRPr="009C5807" w:rsidRDefault="008B5C3E" w:rsidP="00B03A04">
            <w:pPr>
              <w:pStyle w:val="TAC"/>
              <w:rPr>
                <w:lang w:val="sv-SE"/>
              </w:rPr>
            </w:pPr>
            <w:r w:rsidRPr="009C5807">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241FF44" w14:textId="77777777" w:rsidR="008B5C3E" w:rsidRPr="009C5807" w:rsidRDefault="008B5C3E" w:rsidP="00B03A04">
            <w:pPr>
              <w:pStyle w:val="TAC"/>
            </w:pPr>
            <w:r w:rsidRPr="009C5807">
              <w:t>-119.5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8EAA67F" w14:textId="77777777" w:rsidR="008B5C3E" w:rsidRPr="009C5807" w:rsidRDefault="008B5C3E" w:rsidP="00B03A04">
            <w:pPr>
              <w:pStyle w:val="TAC"/>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D024B53" w14:textId="77777777" w:rsidR="008B5C3E" w:rsidRPr="009C5807" w:rsidRDefault="008B5C3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C108C4A" w14:textId="77777777" w:rsidR="008B5C3E" w:rsidRPr="009C5807" w:rsidRDefault="008B5C3E" w:rsidP="00B03A04">
            <w:pPr>
              <w:pStyle w:val="TAC"/>
            </w:pPr>
            <w:r w:rsidRPr="009C5807">
              <w:t>-50</w:t>
            </w:r>
          </w:p>
        </w:tc>
      </w:tr>
      <w:tr w:rsidR="0058457E" w:rsidRPr="009C5807" w14:paraId="3717E14A" w14:textId="77777777" w:rsidTr="00B03A04">
        <w:trPr>
          <w:jc w:val="center"/>
        </w:trPr>
        <w:tc>
          <w:tcPr>
            <w:tcW w:w="1033" w:type="dxa"/>
            <w:tcBorders>
              <w:left w:val="single" w:sz="4" w:space="0" w:color="auto"/>
              <w:right w:val="single" w:sz="6" w:space="0" w:color="auto"/>
            </w:tcBorders>
            <w:shd w:val="clear" w:color="auto" w:fill="auto"/>
          </w:tcPr>
          <w:p w14:paraId="338FD57E" w14:textId="77777777" w:rsidR="0058457E" w:rsidRPr="009C5807" w:rsidRDefault="0058457E" w:rsidP="00B03A04">
            <w:pPr>
              <w:pStyle w:val="TAC"/>
            </w:pPr>
          </w:p>
        </w:tc>
        <w:tc>
          <w:tcPr>
            <w:tcW w:w="1049" w:type="dxa"/>
            <w:tcBorders>
              <w:left w:val="single" w:sz="6" w:space="0" w:color="auto"/>
              <w:right w:val="single" w:sz="6" w:space="0" w:color="auto"/>
            </w:tcBorders>
            <w:shd w:val="clear" w:color="auto" w:fill="auto"/>
          </w:tcPr>
          <w:p w14:paraId="2FFE217C" w14:textId="77777777" w:rsidR="0058457E" w:rsidRPr="009C5807" w:rsidRDefault="0058457E" w:rsidP="00B03A04">
            <w:pPr>
              <w:pStyle w:val="TAC"/>
            </w:pPr>
          </w:p>
        </w:tc>
        <w:tc>
          <w:tcPr>
            <w:tcW w:w="807" w:type="dxa"/>
            <w:tcBorders>
              <w:left w:val="single" w:sz="6" w:space="0" w:color="auto"/>
              <w:right w:val="single" w:sz="6" w:space="0" w:color="auto"/>
            </w:tcBorders>
            <w:shd w:val="clear" w:color="auto" w:fill="auto"/>
          </w:tcPr>
          <w:p w14:paraId="43575C4D" w14:textId="77777777" w:rsidR="0058457E" w:rsidRPr="009C5807" w:rsidRDefault="0058457E" w:rsidP="00B03A04">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097CD00A" w14:textId="77777777" w:rsidR="0058457E" w:rsidRPr="009C5807" w:rsidDel="00836998" w:rsidRDefault="0058457E" w:rsidP="00B03A04">
            <w:pPr>
              <w:pStyle w:val="TAC"/>
              <w:rPr>
                <w:lang w:val="sv-SE"/>
              </w:rPr>
            </w:pPr>
            <w:r w:rsidRPr="009C5807">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445CFD9" w14:textId="77777777" w:rsidR="0058457E" w:rsidRPr="009C5807" w:rsidRDefault="0058457E" w:rsidP="00B03A04">
            <w:pPr>
              <w:pStyle w:val="TAC"/>
            </w:pPr>
            <w:r w:rsidRPr="009C5807">
              <w:t>-119</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54384DB" w14:textId="77777777" w:rsidR="0058457E" w:rsidRPr="009C5807" w:rsidRDefault="0058457E" w:rsidP="00B03A04">
            <w:pPr>
              <w:pStyle w:val="TAC"/>
              <w:rPr>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A4CBB46"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CB92D9F" w14:textId="77777777" w:rsidR="0058457E" w:rsidRPr="009C5807" w:rsidRDefault="0058457E" w:rsidP="00B03A04">
            <w:pPr>
              <w:pStyle w:val="TAC"/>
            </w:pPr>
            <w:r w:rsidRPr="009C5807">
              <w:t>-50</w:t>
            </w:r>
          </w:p>
        </w:tc>
      </w:tr>
      <w:tr w:rsidR="00D94CA6" w:rsidRPr="009C5807" w14:paraId="1A457AE1" w14:textId="77777777" w:rsidTr="00B03A04">
        <w:trPr>
          <w:jc w:val="center"/>
        </w:trPr>
        <w:tc>
          <w:tcPr>
            <w:tcW w:w="1033" w:type="dxa"/>
            <w:tcBorders>
              <w:left w:val="single" w:sz="4" w:space="0" w:color="auto"/>
              <w:right w:val="single" w:sz="6" w:space="0" w:color="auto"/>
            </w:tcBorders>
            <w:shd w:val="clear" w:color="auto" w:fill="auto"/>
          </w:tcPr>
          <w:p w14:paraId="639BA4F5" w14:textId="77777777" w:rsidR="00D94CA6" w:rsidRPr="009C5807" w:rsidRDefault="00D94CA6" w:rsidP="00B03A04">
            <w:pPr>
              <w:pStyle w:val="TAC"/>
            </w:pPr>
          </w:p>
        </w:tc>
        <w:tc>
          <w:tcPr>
            <w:tcW w:w="1049" w:type="dxa"/>
            <w:tcBorders>
              <w:left w:val="single" w:sz="6" w:space="0" w:color="auto"/>
              <w:right w:val="single" w:sz="6" w:space="0" w:color="auto"/>
            </w:tcBorders>
            <w:shd w:val="clear" w:color="auto" w:fill="auto"/>
          </w:tcPr>
          <w:p w14:paraId="6514401D" w14:textId="77777777" w:rsidR="00D94CA6" w:rsidRPr="009C5807" w:rsidRDefault="00D94CA6" w:rsidP="00B03A04">
            <w:pPr>
              <w:pStyle w:val="TAC"/>
            </w:pPr>
          </w:p>
        </w:tc>
        <w:tc>
          <w:tcPr>
            <w:tcW w:w="807" w:type="dxa"/>
            <w:tcBorders>
              <w:left w:val="single" w:sz="6" w:space="0" w:color="auto"/>
              <w:right w:val="single" w:sz="6" w:space="0" w:color="auto"/>
            </w:tcBorders>
            <w:shd w:val="clear" w:color="auto" w:fill="auto"/>
          </w:tcPr>
          <w:p w14:paraId="54EC9511" w14:textId="77777777" w:rsidR="00D94CA6" w:rsidRPr="009C5807" w:rsidRDefault="00D94CA6" w:rsidP="00B03A04">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131F82AC" w14:textId="7055969B" w:rsidR="00D94CA6" w:rsidRPr="009C5807" w:rsidRDefault="00D94CA6" w:rsidP="00B03A04">
            <w:pPr>
              <w:pStyle w:val="TAC"/>
              <w:rPr>
                <w:lang w:val="sv-SE"/>
              </w:rPr>
            </w:pPr>
            <w:r w:rsidRPr="009C5807">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AE4BDA0" w14:textId="1E7FA51B" w:rsidR="00D94CA6" w:rsidRPr="009C5807" w:rsidRDefault="00D94CA6" w:rsidP="00B03A04">
            <w:pPr>
              <w:pStyle w:val="TAC"/>
            </w:pPr>
            <w:r w:rsidRPr="009C5807">
              <w:t>-118.5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44B855A" w14:textId="21EDCCC2" w:rsidR="00D94CA6" w:rsidRPr="009C5807" w:rsidRDefault="00D94CA6" w:rsidP="00B03A04">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047D2EC" w14:textId="3AD5010C" w:rsidR="00D94CA6" w:rsidRPr="009C5807" w:rsidRDefault="00D94CA6"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E7359B7" w14:textId="189609A5" w:rsidR="00D94CA6" w:rsidRPr="009C5807" w:rsidRDefault="00D94CA6" w:rsidP="00B03A04">
            <w:pPr>
              <w:pStyle w:val="TAC"/>
            </w:pPr>
            <w:r w:rsidRPr="009C5807">
              <w:t>-50</w:t>
            </w:r>
          </w:p>
        </w:tc>
      </w:tr>
      <w:tr w:rsidR="00D94CA6" w:rsidRPr="009C5807" w14:paraId="273C60B1" w14:textId="77777777" w:rsidTr="00B03A04">
        <w:trPr>
          <w:jc w:val="center"/>
        </w:trPr>
        <w:tc>
          <w:tcPr>
            <w:tcW w:w="1033" w:type="dxa"/>
            <w:tcBorders>
              <w:left w:val="single" w:sz="4" w:space="0" w:color="auto"/>
              <w:right w:val="single" w:sz="6" w:space="0" w:color="auto"/>
            </w:tcBorders>
            <w:shd w:val="clear" w:color="auto" w:fill="auto"/>
          </w:tcPr>
          <w:p w14:paraId="2A2A9406" w14:textId="77777777" w:rsidR="00D94CA6" w:rsidRPr="009C5807" w:rsidRDefault="00D94CA6" w:rsidP="00B03A04">
            <w:pPr>
              <w:pStyle w:val="TAC"/>
            </w:pPr>
          </w:p>
        </w:tc>
        <w:tc>
          <w:tcPr>
            <w:tcW w:w="1049" w:type="dxa"/>
            <w:tcBorders>
              <w:left w:val="single" w:sz="6" w:space="0" w:color="auto"/>
              <w:right w:val="single" w:sz="6" w:space="0" w:color="auto"/>
            </w:tcBorders>
            <w:shd w:val="clear" w:color="auto" w:fill="auto"/>
          </w:tcPr>
          <w:p w14:paraId="3E7D703D" w14:textId="77777777" w:rsidR="00D94CA6" w:rsidRPr="009C5807" w:rsidRDefault="00D94CA6" w:rsidP="00B03A04">
            <w:pPr>
              <w:pStyle w:val="TAC"/>
            </w:pPr>
          </w:p>
        </w:tc>
        <w:tc>
          <w:tcPr>
            <w:tcW w:w="807" w:type="dxa"/>
            <w:tcBorders>
              <w:left w:val="single" w:sz="6" w:space="0" w:color="auto"/>
              <w:right w:val="single" w:sz="6" w:space="0" w:color="auto"/>
            </w:tcBorders>
            <w:shd w:val="clear" w:color="auto" w:fill="auto"/>
          </w:tcPr>
          <w:p w14:paraId="6D47A7A1" w14:textId="77777777" w:rsidR="00D94CA6" w:rsidRPr="009C5807" w:rsidRDefault="00D94CA6" w:rsidP="00B03A04">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70F6B2A9" w14:textId="77777777" w:rsidR="00D94CA6" w:rsidRPr="009C5807" w:rsidDel="00836998" w:rsidRDefault="00D94CA6" w:rsidP="00B03A04">
            <w:pPr>
              <w:pStyle w:val="TAC"/>
              <w:rPr>
                <w:lang w:eastAsia="zh-CN"/>
              </w:rPr>
            </w:pPr>
            <w:r w:rsidRPr="009C5807">
              <w:rPr>
                <w:lang w:eastAsia="zh-CN"/>
              </w:rPr>
              <w:t>NR</w:t>
            </w:r>
            <w:r w:rsidRPr="009C5807">
              <w:t>_</w:t>
            </w:r>
            <w:r w:rsidRPr="009C5807">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331023E" w14:textId="77777777" w:rsidR="00D94CA6" w:rsidRPr="009C5807" w:rsidRDefault="00D94CA6" w:rsidP="00B03A04">
            <w:pPr>
              <w:pStyle w:val="TAC"/>
            </w:pPr>
            <w:r w:rsidRPr="009C5807">
              <w:t>-118</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A2FE04F" w14:textId="77777777" w:rsidR="00D94CA6" w:rsidRPr="009C5807" w:rsidRDefault="00D94CA6" w:rsidP="00B03A04">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9BD2419" w14:textId="77777777" w:rsidR="00D94CA6" w:rsidRPr="009C5807" w:rsidRDefault="00D94CA6"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81E8E0D" w14:textId="77777777" w:rsidR="00D94CA6" w:rsidRPr="009C5807" w:rsidRDefault="00D94CA6" w:rsidP="00B03A04">
            <w:pPr>
              <w:pStyle w:val="TAC"/>
            </w:pPr>
            <w:r w:rsidRPr="009C5807">
              <w:t>-50</w:t>
            </w:r>
          </w:p>
        </w:tc>
      </w:tr>
      <w:tr w:rsidR="00D94CA6" w:rsidRPr="009C5807" w14:paraId="761AB757" w14:textId="77777777" w:rsidTr="00B03A04">
        <w:trPr>
          <w:jc w:val="center"/>
        </w:trPr>
        <w:tc>
          <w:tcPr>
            <w:tcW w:w="1033" w:type="dxa"/>
            <w:tcBorders>
              <w:left w:val="single" w:sz="4" w:space="0" w:color="auto"/>
              <w:right w:val="single" w:sz="6" w:space="0" w:color="auto"/>
            </w:tcBorders>
            <w:shd w:val="clear" w:color="auto" w:fill="auto"/>
          </w:tcPr>
          <w:p w14:paraId="52562337" w14:textId="77777777" w:rsidR="00D94CA6" w:rsidRPr="009C5807" w:rsidRDefault="00D94CA6" w:rsidP="00B03A04">
            <w:pPr>
              <w:pStyle w:val="TAC"/>
            </w:pPr>
          </w:p>
        </w:tc>
        <w:tc>
          <w:tcPr>
            <w:tcW w:w="1049" w:type="dxa"/>
            <w:tcBorders>
              <w:left w:val="single" w:sz="6" w:space="0" w:color="auto"/>
              <w:right w:val="single" w:sz="6" w:space="0" w:color="auto"/>
            </w:tcBorders>
            <w:shd w:val="clear" w:color="auto" w:fill="auto"/>
          </w:tcPr>
          <w:p w14:paraId="4D91E8AB" w14:textId="77777777" w:rsidR="00D94CA6" w:rsidRPr="009C5807" w:rsidRDefault="00D94CA6" w:rsidP="00B03A04">
            <w:pPr>
              <w:pStyle w:val="TAC"/>
            </w:pPr>
          </w:p>
        </w:tc>
        <w:tc>
          <w:tcPr>
            <w:tcW w:w="807" w:type="dxa"/>
            <w:tcBorders>
              <w:left w:val="single" w:sz="6" w:space="0" w:color="auto"/>
              <w:right w:val="single" w:sz="6" w:space="0" w:color="auto"/>
            </w:tcBorders>
            <w:shd w:val="clear" w:color="auto" w:fill="auto"/>
          </w:tcPr>
          <w:p w14:paraId="7197D357" w14:textId="77777777" w:rsidR="00D94CA6" w:rsidRPr="009C5807" w:rsidRDefault="00D94CA6" w:rsidP="00B03A04">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6893AE09" w14:textId="77777777" w:rsidR="00D94CA6" w:rsidRPr="009C5807" w:rsidRDefault="00D94CA6" w:rsidP="00B03A04">
            <w:pPr>
              <w:pStyle w:val="TAC"/>
              <w:rPr>
                <w:lang w:eastAsia="zh-CN"/>
              </w:rPr>
            </w:pPr>
            <w:r w:rsidRPr="009C5807">
              <w:rPr>
                <w:lang w:eastAsia="zh-CN"/>
              </w:rPr>
              <w:t>NR</w:t>
            </w:r>
            <w:r w:rsidRPr="009C5807">
              <w:t>_</w:t>
            </w:r>
            <w:r w:rsidRPr="009C5807">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4886BCF" w14:textId="77777777" w:rsidR="00D94CA6" w:rsidRPr="009C5807" w:rsidRDefault="00D94CA6" w:rsidP="00B03A04">
            <w:pPr>
              <w:pStyle w:val="TAC"/>
            </w:pPr>
            <w:r w:rsidRPr="009C5807">
              <w:t>-117.5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09CA431" w14:textId="77777777" w:rsidR="00D94CA6" w:rsidRPr="009C5807" w:rsidRDefault="00D94CA6" w:rsidP="00B03A04">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453A3ED" w14:textId="77777777" w:rsidR="00D94CA6" w:rsidRPr="009C5807" w:rsidRDefault="00D94CA6"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7C47072" w14:textId="77777777" w:rsidR="00D94CA6" w:rsidRPr="009C5807" w:rsidRDefault="00D94CA6" w:rsidP="00B03A04">
            <w:pPr>
              <w:pStyle w:val="TAC"/>
            </w:pPr>
            <w:r w:rsidRPr="009C5807">
              <w:t>-50</w:t>
            </w:r>
          </w:p>
        </w:tc>
      </w:tr>
      <w:tr w:rsidR="00D94CA6" w:rsidRPr="009C5807" w14:paraId="4F238728" w14:textId="77777777" w:rsidTr="00B03A04">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79F878BE" w14:textId="77777777" w:rsidR="00D94CA6" w:rsidRPr="009C5807" w:rsidRDefault="00D94CA6" w:rsidP="00B03A04">
            <w:pPr>
              <w:pStyle w:val="TAC"/>
            </w:pPr>
            <w:r w:rsidRPr="009C5807">
              <w:sym w:font="Symbol" w:char="F0B1"/>
            </w:r>
            <w:r w:rsidRPr="009C5807">
              <w:t>3</w:t>
            </w:r>
          </w:p>
        </w:tc>
        <w:tc>
          <w:tcPr>
            <w:tcW w:w="1049" w:type="dxa"/>
            <w:tcBorders>
              <w:top w:val="single" w:sz="6" w:space="0" w:color="auto"/>
              <w:left w:val="single" w:sz="6" w:space="0" w:color="auto"/>
              <w:bottom w:val="single" w:sz="6" w:space="0" w:color="auto"/>
              <w:right w:val="single" w:sz="6" w:space="0" w:color="auto"/>
            </w:tcBorders>
            <w:shd w:val="clear" w:color="auto" w:fill="auto"/>
          </w:tcPr>
          <w:p w14:paraId="4C3CFFD8" w14:textId="77777777" w:rsidR="00D94CA6" w:rsidRPr="009C5807" w:rsidRDefault="00D94CA6" w:rsidP="00B03A04">
            <w:pPr>
              <w:pStyle w:val="TAC"/>
            </w:pPr>
            <w:r w:rsidRPr="009C5807">
              <w:sym w:font="Symbol" w:char="F0B1"/>
            </w:r>
            <w:r w:rsidRPr="009C5807">
              <w:t>3</w:t>
            </w:r>
          </w:p>
        </w:tc>
        <w:tc>
          <w:tcPr>
            <w:tcW w:w="807" w:type="dxa"/>
            <w:tcBorders>
              <w:top w:val="single" w:sz="6" w:space="0" w:color="auto"/>
              <w:left w:val="single" w:sz="6" w:space="0" w:color="auto"/>
              <w:bottom w:val="single" w:sz="6" w:space="0" w:color="auto"/>
              <w:right w:val="single" w:sz="6" w:space="0" w:color="auto"/>
            </w:tcBorders>
            <w:shd w:val="clear" w:color="auto" w:fill="auto"/>
          </w:tcPr>
          <w:p w14:paraId="5B2FCDD2" w14:textId="11436419" w:rsidR="00D94CA6" w:rsidRPr="009C5807" w:rsidRDefault="00D94CA6" w:rsidP="00B03A04">
            <w:pPr>
              <w:pStyle w:val="TAC"/>
            </w:pPr>
            <w:r w:rsidRPr="009C5807">
              <w:sym w:font="Symbol" w:char="F0B3"/>
            </w:r>
            <w:r w:rsidRPr="009C5807">
              <w:t>-6</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53F7CEA6" w14:textId="77777777" w:rsidR="00D94CA6" w:rsidRPr="009C5807" w:rsidRDefault="00D94CA6" w:rsidP="00B03A04">
            <w:pPr>
              <w:pStyle w:val="TAC"/>
            </w:pPr>
            <w:r w:rsidRPr="009C5807">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64BF9C94" w14:textId="77777777" w:rsidR="00D94CA6" w:rsidRPr="009C5807" w:rsidRDefault="00D94CA6" w:rsidP="00B03A04">
            <w:pPr>
              <w:pStyle w:val="TAC"/>
            </w:pPr>
            <w:r w:rsidRPr="009C5807">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25E6D7A6" w14:textId="77777777" w:rsidR="00D94CA6" w:rsidRPr="009C5807" w:rsidRDefault="00D94CA6" w:rsidP="00B03A04">
            <w:pPr>
              <w:pStyle w:val="TAC"/>
            </w:pPr>
            <w:r w:rsidRPr="009C5807">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23EBB4C7" w14:textId="77777777" w:rsidR="00D94CA6" w:rsidRPr="009C5807" w:rsidRDefault="00D94CA6" w:rsidP="00B03A04">
            <w:pPr>
              <w:pStyle w:val="TAC"/>
            </w:pPr>
            <w:r w:rsidRPr="009C5807">
              <w:t>N/A</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2482F5FC" w14:textId="77777777" w:rsidR="00D94CA6" w:rsidRPr="009C5807" w:rsidRDefault="00D94CA6" w:rsidP="00B03A04">
            <w:pPr>
              <w:pStyle w:val="TAC"/>
            </w:pPr>
            <w:r w:rsidRPr="009C5807">
              <w:t>Note 3</w:t>
            </w:r>
          </w:p>
        </w:tc>
      </w:tr>
      <w:tr w:rsidR="00D94CA6" w:rsidRPr="009C5807" w14:paraId="681B45A9"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2104F5BB" w14:textId="77777777" w:rsidR="00D94CA6" w:rsidRPr="009C5807" w:rsidRDefault="00D94CA6" w:rsidP="008B5C3E">
            <w:pPr>
              <w:pStyle w:val="TAN"/>
            </w:pPr>
            <w:r w:rsidRPr="009C5807">
              <w:t>NOTE 1:</w:t>
            </w:r>
            <w:r w:rsidRPr="009C5807">
              <w:tab/>
              <w:t>Io is assumed to have constant EPRE across the bandwidth.</w:t>
            </w:r>
          </w:p>
          <w:p w14:paraId="5653C57F" w14:textId="77777777" w:rsidR="00D94CA6" w:rsidRPr="009C5807" w:rsidRDefault="00D94CA6" w:rsidP="008B5C3E">
            <w:pPr>
              <w:pStyle w:val="TAN"/>
            </w:pPr>
            <w:r w:rsidRPr="009C5807">
              <w:t>NOTE 2:</w:t>
            </w:r>
            <w:r w:rsidRPr="009C5807">
              <w:tab/>
              <w:t>The parameter SSB Ês/Iot is the minimum SSB Ês/Iot of the pair of cells to which the requirement applies.</w:t>
            </w:r>
          </w:p>
          <w:p w14:paraId="66CC8CAD" w14:textId="77777777" w:rsidR="00D94CA6" w:rsidRPr="009C5807" w:rsidRDefault="00D94CA6" w:rsidP="008B5C3E">
            <w:pPr>
              <w:pStyle w:val="TAN"/>
            </w:pPr>
            <w:r w:rsidRPr="009C5807">
              <w:t>NOTE 3:</w:t>
            </w:r>
            <w:r w:rsidRPr="009C5807">
              <w:tab/>
              <w:t>The same bands and the same Io conditions for each band apply for this requirement as for the corresponding highest accuracy requirement.</w:t>
            </w:r>
          </w:p>
          <w:p w14:paraId="503DA622" w14:textId="77777777" w:rsidR="00D94CA6" w:rsidRPr="009C5807" w:rsidRDefault="00D94CA6" w:rsidP="008B5C3E">
            <w:pPr>
              <w:pStyle w:val="TAN"/>
            </w:pPr>
            <w:r w:rsidRPr="009C5807">
              <w:t>NOTE 4:</w:t>
            </w:r>
            <w:r w:rsidRPr="009C5807">
              <w:tab/>
              <w:t>NR operating band groups in FR1 are as defined in clause 3.5.2.</w:t>
            </w:r>
          </w:p>
        </w:tc>
      </w:tr>
    </w:tbl>
    <w:p w14:paraId="794C4007" w14:textId="77777777" w:rsidR="001F5A79" w:rsidRPr="009C5807" w:rsidRDefault="001F5A79" w:rsidP="001F5A79">
      <w:pPr>
        <w:rPr>
          <w:lang w:eastAsia="ko-KR"/>
        </w:rPr>
      </w:pPr>
    </w:p>
    <w:p w14:paraId="7D41525D" w14:textId="43F4BE87" w:rsidR="001F5A79" w:rsidRPr="009C5807" w:rsidRDefault="001F5A79" w:rsidP="00967CF8">
      <w:pPr>
        <w:pStyle w:val="Heading4"/>
        <w:rPr>
          <w:lang w:val="en-US"/>
        </w:rPr>
      </w:pPr>
      <w:r w:rsidRPr="009C5807">
        <w:rPr>
          <w:lang w:val="en-US"/>
        </w:rPr>
        <w:t>1</w:t>
      </w:r>
      <w:r w:rsidR="00967CF8" w:rsidRPr="009C5807">
        <w:rPr>
          <w:lang w:val="en-US"/>
        </w:rPr>
        <w:t>0.1.2.2</w:t>
      </w:r>
      <w:r w:rsidRPr="009C5807">
        <w:rPr>
          <w:lang w:val="en-US"/>
        </w:rPr>
        <w:tab/>
        <w:t>Void</w:t>
      </w:r>
    </w:p>
    <w:p w14:paraId="4E01A382" w14:textId="77777777" w:rsidR="001F5A79" w:rsidRPr="009C5807" w:rsidRDefault="001F5A79" w:rsidP="001F5A79">
      <w:pPr>
        <w:rPr>
          <w:lang w:val="en-US"/>
        </w:rPr>
      </w:pPr>
    </w:p>
    <w:p w14:paraId="23BD53AB" w14:textId="77777777" w:rsidR="0058566D" w:rsidRDefault="0058566D" w:rsidP="0058566D">
      <w:pPr>
        <w:pStyle w:val="Heading4"/>
        <w:rPr>
          <w:lang w:val="en-US"/>
        </w:rPr>
      </w:pPr>
      <w:r>
        <w:rPr>
          <w:lang w:val="en-US"/>
        </w:rPr>
        <w:t>10.1.2.3</w:t>
      </w:r>
      <w:r>
        <w:rPr>
          <w:lang w:val="en-US"/>
        </w:rPr>
        <w:tab/>
        <w:t>Intra-frequency CSI-RSRP accuracy requirements</w:t>
      </w:r>
    </w:p>
    <w:p w14:paraId="313F92E0" w14:textId="77777777" w:rsidR="0058566D" w:rsidRDefault="0058566D" w:rsidP="0058566D">
      <w:pPr>
        <w:pStyle w:val="Heading5"/>
      </w:pPr>
      <w:r>
        <w:t>10.1.2.3.1</w:t>
      </w:r>
      <w:r>
        <w:tab/>
        <w:t xml:space="preserve">Absolute </w:t>
      </w:r>
      <w:r>
        <w:rPr>
          <w:lang w:val="en-US"/>
        </w:rPr>
        <w:t xml:space="preserve">CSI-RSRP </w:t>
      </w:r>
      <w:r>
        <w:t>Accuracy</w:t>
      </w:r>
    </w:p>
    <w:p w14:paraId="6EF2675A" w14:textId="77777777" w:rsidR="0058566D" w:rsidRDefault="0058566D" w:rsidP="0058566D">
      <w:pPr>
        <w:rPr>
          <w:rFonts w:cs="v4.2.0"/>
          <w:i/>
        </w:rPr>
      </w:pPr>
      <w:r>
        <w:rPr>
          <w:rFonts w:cs="v4.2.0"/>
        </w:rPr>
        <w:t xml:space="preserve">Unless otherwise specified, the requirements for absolute accuracy of </w:t>
      </w:r>
      <w:r>
        <w:rPr>
          <w:rFonts w:cs="v4.2.0"/>
          <w:lang w:eastAsia="zh-CN"/>
        </w:rPr>
        <w:t>CSI-RSRP</w:t>
      </w:r>
      <w:r>
        <w:rPr>
          <w:rFonts w:cs="v4.2.0"/>
        </w:rPr>
        <w:t xml:space="preserve"> in this clause apply to a cell where the CSI-RS resources to be measured have the same center frequency as the CSI-RS resources indicated for measurement in the serving cell in FR1.</w:t>
      </w:r>
    </w:p>
    <w:p w14:paraId="6473C893" w14:textId="77777777" w:rsidR="0058566D" w:rsidRDefault="0058566D" w:rsidP="0058566D">
      <w:pPr>
        <w:rPr>
          <w:rFonts w:cs="v4.2.0"/>
        </w:rPr>
      </w:pPr>
      <w:r>
        <w:rPr>
          <w:rFonts w:cs="v4.2.0"/>
        </w:rPr>
        <w:t xml:space="preserve">The accuracy requirements in Table </w:t>
      </w:r>
      <w:r>
        <w:rPr>
          <w:rFonts w:cs="v4.2.0"/>
          <w:lang w:eastAsia="zh-CN"/>
        </w:rPr>
        <w:t>10.1.2.3.1</w:t>
      </w:r>
      <w:r>
        <w:rPr>
          <w:rFonts w:cs="v4.2.0"/>
        </w:rPr>
        <w:t>-1 are valid under the following conditions:</w:t>
      </w:r>
    </w:p>
    <w:p w14:paraId="48E2AA5C" w14:textId="77777777" w:rsidR="0058566D" w:rsidRPr="00B25D3D" w:rsidRDefault="0058566D" w:rsidP="0058566D">
      <w:pPr>
        <w:pStyle w:val="B10"/>
        <w:rPr>
          <w:rFonts w:cs="v4.2.0"/>
        </w:rPr>
      </w:pPr>
      <w:r>
        <w:t>-</w:t>
      </w:r>
      <w:r>
        <w:tab/>
      </w:r>
      <w:r w:rsidRPr="00B25D3D">
        <w:t>Conditions defined in clause 7.3 of TS 38.101-1 [18] for reference sensitivity are fulfilled.</w:t>
      </w:r>
    </w:p>
    <w:p w14:paraId="3AAE6809" w14:textId="77777777" w:rsidR="0058566D" w:rsidRDefault="0058566D" w:rsidP="0058566D">
      <w:pPr>
        <w:pStyle w:val="B10"/>
      </w:pPr>
      <w:r w:rsidRPr="00B25D3D">
        <w:t>-</w:t>
      </w:r>
      <w:r w:rsidRPr="00B25D3D">
        <w:tab/>
        <w:t xml:space="preserve">Conditions for intra-frequency measurements are fulfilled according to Annex B.2.2 for a corresponding Band </w:t>
      </w:r>
      <w:r w:rsidRPr="00B25D3D">
        <w:rPr>
          <w:rFonts w:cs="v4.2.0"/>
          <w:lang w:eastAsia="ko-KR"/>
        </w:rPr>
        <w:t xml:space="preserve">for </w:t>
      </w:r>
      <w:r>
        <w:rPr>
          <w:rFonts w:cs="v4.2.0"/>
          <w:lang w:eastAsia="ko-KR"/>
        </w:rPr>
        <w:t>each associated SSB</w:t>
      </w:r>
      <w:r w:rsidRPr="00B25D3D">
        <w:t>.</w:t>
      </w:r>
    </w:p>
    <w:p w14:paraId="4FD9E83A" w14:textId="77777777" w:rsidR="0058566D" w:rsidRDefault="0058566D" w:rsidP="0058566D">
      <w:pPr>
        <w:pStyle w:val="B10"/>
        <w:rPr>
          <w:lang w:eastAsia="zh-CN"/>
        </w:rPr>
      </w:pPr>
      <w:r>
        <w:t>-</w:t>
      </w:r>
      <w:r>
        <w:tab/>
      </w:r>
      <w:r w:rsidRPr="00B25D3D">
        <w:t xml:space="preserve">Conditions for intra-frequency measurements are fulfilled according </w:t>
      </w:r>
      <w:r w:rsidRPr="0075641C">
        <w:t>to Annex B.2.</w:t>
      </w:r>
      <w:r>
        <w:t>8</w:t>
      </w:r>
      <w:r w:rsidRPr="00B25D3D">
        <w:t xml:space="preserve"> for a corresponding Band </w:t>
      </w:r>
      <w:r w:rsidRPr="00B25D3D">
        <w:rPr>
          <w:rFonts w:cs="v4.2.0"/>
          <w:lang w:eastAsia="ko-KR"/>
        </w:rPr>
        <w:t xml:space="preserve">for </w:t>
      </w:r>
      <w:r>
        <w:rPr>
          <w:rFonts w:cs="v4.2.0"/>
          <w:lang w:eastAsia="ko-KR"/>
        </w:rPr>
        <w:t>each relevant CSI-RS to be measured.</w:t>
      </w:r>
    </w:p>
    <w:p w14:paraId="4EF22569" w14:textId="2F6A4F1B" w:rsidR="0058566D" w:rsidRDefault="0058566D" w:rsidP="0058566D">
      <w:pPr>
        <w:pStyle w:val="B10"/>
      </w:pPr>
      <w:bookmarkStart w:id="4" w:name="OLE_LINK4"/>
      <w:bookmarkStart w:id="5" w:name="OLE_LINK9"/>
      <w:r>
        <w:rPr>
          <w:rFonts w:hint="eastAsia"/>
          <w:lang w:eastAsia="zh-CN"/>
        </w:rPr>
        <w:t>-</w:t>
      </w:r>
      <w:r>
        <w:tab/>
      </w:r>
      <w:r w:rsidRPr="006820F3">
        <w:t>The bandwidth of CSI-RS is 48 PRBs and the density is 3. The performance with larger bandwidth of CSI-RS is equal to or better than the accuracy requirements in Table 10.1.</w:t>
      </w:r>
      <w:r>
        <w:rPr>
          <w:rFonts w:hint="eastAsia"/>
          <w:lang w:eastAsia="zh-CN"/>
        </w:rPr>
        <w:t>2</w:t>
      </w:r>
      <w:r w:rsidRPr="006820F3">
        <w:t>.</w:t>
      </w:r>
      <w:r>
        <w:rPr>
          <w:rFonts w:hint="eastAsia"/>
          <w:lang w:eastAsia="zh-CN"/>
        </w:rPr>
        <w:t>3</w:t>
      </w:r>
      <w:r w:rsidRPr="006820F3">
        <w:t>.1-1.</w:t>
      </w:r>
      <w:bookmarkEnd w:id="4"/>
      <w:bookmarkEnd w:id="5"/>
      <w:r>
        <w:t>-</w:t>
      </w:r>
      <w:r>
        <w:tab/>
      </w:r>
      <w:r>
        <w:rPr>
          <w:rFonts w:hint="eastAsia"/>
          <w:lang w:eastAsia="zh-CN"/>
        </w:rPr>
        <w:t>The</w:t>
      </w:r>
      <w:r w:rsidRPr="003A519B">
        <w:t xml:space="preserve"> timing offset between the reference measurement timing and the target CSI-RS in one layer </w:t>
      </w:r>
      <w:r>
        <w:t xml:space="preserve">is </w:t>
      </w:r>
      <w:r w:rsidRPr="003A519B">
        <w:t>no larger than CP</w:t>
      </w:r>
      <w:r>
        <w:t>.</w:t>
      </w:r>
    </w:p>
    <w:p w14:paraId="3067D76D" w14:textId="171CB9F1" w:rsidR="008935F7" w:rsidRDefault="008935F7" w:rsidP="00AB368A">
      <w:pPr>
        <w:pStyle w:val="NO"/>
        <w:rPr>
          <w:lang w:eastAsia="zh-CN"/>
        </w:rPr>
      </w:pPr>
      <w:r w:rsidRPr="005854E7">
        <w:rPr>
          <w:lang w:eastAsia="zh-CN"/>
        </w:rPr>
        <w:t>Note:</w:t>
      </w:r>
      <w:r w:rsidR="00AB368A">
        <w:rPr>
          <w:lang w:eastAsia="zh-CN"/>
        </w:rPr>
        <w:tab/>
      </w:r>
      <w:r w:rsidRPr="005854E7">
        <w:rPr>
          <w:lang w:eastAsia="zh-CN"/>
        </w:rPr>
        <w:t>The reference measurement timing for one layer for intra-frequency measurement is serving cell timing.</w:t>
      </w:r>
    </w:p>
    <w:p w14:paraId="51368B65" w14:textId="71550612" w:rsidR="0058566D" w:rsidRDefault="0058566D" w:rsidP="00F37389">
      <w:pPr>
        <w:pStyle w:val="TH"/>
      </w:pPr>
      <w:r>
        <w:lastRenderedPageBreak/>
        <w:t>Table 10.1.2.3.1-1: CSI-RSRP Intra frequency absolute accuracy in FR1</w:t>
      </w:r>
    </w:p>
    <w:tbl>
      <w:tblPr>
        <w:tblW w:w="10004" w:type="dxa"/>
        <w:jc w:val="center"/>
        <w:tblLook w:val="01E0" w:firstRow="1" w:lastRow="1" w:firstColumn="1" w:lastColumn="1" w:noHBand="0" w:noVBand="0"/>
      </w:tblPr>
      <w:tblGrid>
        <w:gridCol w:w="1026"/>
        <w:gridCol w:w="1026"/>
        <w:gridCol w:w="707"/>
        <w:gridCol w:w="1677"/>
        <w:gridCol w:w="827"/>
        <w:gridCol w:w="827"/>
        <w:gridCol w:w="1034"/>
        <w:gridCol w:w="1440"/>
        <w:gridCol w:w="1427"/>
        <w:gridCol w:w="13"/>
      </w:tblGrid>
      <w:tr w:rsidR="0058566D" w14:paraId="0FB15EE4" w14:textId="77777777" w:rsidTr="008935F7">
        <w:trPr>
          <w:jc w:val="center"/>
        </w:trPr>
        <w:tc>
          <w:tcPr>
            <w:tcW w:w="2052" w:type="dxa"/>
            <w:gridSpan w:val="2"/>
            <w:tcBorders>
              <w:top w:val="single" w:sz="4" w:space="0" w:color="auto"/>
              <w:left w:val="single" w:sz="4" w:space="0" w:color="auto"/>
              <w:bottom w:val="single" w:sz="6" w:space="0" w:color="auto"/>
              <w:right w:val="single" w:sz="6" w:space="0" w:color="auto"/>
            </w:tcBorders>
            <w:vAlign w:val="center"/>
            <w:hideMark/>
          </w:tcPr>
          <w:p w14:paraId="348E7743" w14:textId="77777777" w:rsidR="0058566D" w:rsidRDefault="0058566D" w:rsidP="00550E13">
            <w:pPr>
              <w:pStyle w:val="TAH"/>
            </w:pPr>
            <w:r>
              <w:t>Accuracy</w:t>
            </w:r>
          </w:p>
        </w:tc>
        <w:tc>
          <w:tcPr>
            <w:tcW w:w="7952" w:type="dxa"/>
            <w:gridSpan w:val="8"/>
            <w:tcBorders>
              <w:top w:val="single" w:sz="4" w:space="0" w:color="auto"/>
              <w:left w:val="single" w:sz="6" w:space="0" w:color="auto"/>
              <w:bottom w:val="single" w:sz="6" w:space="0" w:color="auto"/>
              <w:right w:val="single" w:sz="4" w:space="0" w:color="auto"/>
            </w:tcBorders>
          </w:tcPr>
          <w:p w14:paraId="58820973" w14:textId="77777777" w:rsidR="0058566D" w:rsidRDefault="0058566D" w:rsidP="008935F7">
            <w:pPr>
              <w:pStyle w:val="TAH"/>
            </w:pPr>
            <w:r>
              <w:t>Conditions</w:t>
            </w:r>
          </w:p>
        </w:tc>
      </w:tr>
      <w:tr w:rsidR="0058566D" w14:paraId="7741C6F1" w14:textId="77777777" w:rsidTr="008935F7">
        <w:trPr>
          <w:jc w:val="center"/>
        </w:trPr>
        <w:tc>
          <w:tcPr>
            <w:tcW w:w="1026" w:type="dxa"/>
            <w:vMerge w:val="restart"/>
            <w:tcBorders>
              <w:top w:val="single" w:sz="6" w:space="0" w:color="auto"/>
              <w:left w:val="single" w:sz="4" w:space="0" w:color="auto"/>
              <w:bottom w:val="single" w:sz="6" w:space="0" w:color="auto"/>
              <w:right w:val="single" w:sz="6" w:space="0" w:color="auto"/>
            </w:tcBorders>
            <w:vAlign w:val="center"/>
            <w:hideMark/>
          </w:tcPr>
          <w:p w14:paraId="229209B3" w14:textId="77777777" w:rsidR="0058566D" w:rsidRDefault="0058566D" w:rsidP="00550E13">
            <w:pPr>
              <w:pStyle w:val="TAH"/>
            </w:pPr>
            <w:r>
              <w:t>Normal condition</w:t>
            </w:r>
          </w:p>
        </w:tc>
        <w:tc>
          <w:tcPr>
            <w:tcW w:w="1026" w:type="dxa"/>
            <w:vMerge w:val="restart"/>
            <w:tcBorders>
              <w:top w:val="single" w:sz="6" w:space="0" w:color="auto"/>
              <w:left w:val="single" w:sz="6" w:space="0" w:color="auto"/>
              <w:bottom w:val="single" w:sz="6" w:space="0" w:color="auto"/>
              <w:right w:val="single" w:sz="6" w:space="0" w:color="auto"/>
            </w:tcBorders>
            <w:vAlign w:val="center"/>
            <w:hideMark/>
          </w:tcPr>
          <w:p w14:paraId="578AECB2" w14:textId="77777777" w:rsidR="0058566D" w:rsidRDefault="0058566D" w:rsidP="008935F7">
            <w:pPr>
              <w:pStyle w:val="TAH"/>
            </w:pPr>
            <w:r>
              <w:t>Extreme condition</w:t>
            </w:r>
          </w:p>
        </w:tc>
        <w:tc>
          <w:tcPr>
            <w:tcW w:w="707" w:type="dxa"/>
            <w:vMerge w:val="restart"/>
            <w:tcBorders>
              <w:top w:val="single" w:sz="6" w:space="0" w:color="auto"/>
              <w:left w:val="single" w:sz="6" w:space="0" w:color="auto"/>
              <w:bottom w:val="single" w:sz="6" w:space="0" w:color="auto"/>
              <w:right w:val="single" w:sz="6" w:space="0" w:color="auto"/>
            </w:tcBorders>
            <w:vAlign w:val="center"/>
            <w:hideMark/>
          </w:tcPr>
          <w:p w14:paraId="07A74C3F" w14:textId="77777777" w:rsidR="0058566D" w:rsidRDefault="0058566D" w:rsidP="008935F7">
            <w:pPr>
              <w:pStyle w:val="TAH"/>
            </w:pPr>
            <w:r>
              <w:t>CSI-RS Ês/Iot</w:t>
            </w:r>
          </w:p>
        </w:tc>
        <w:tc>
          <w:tcPr>
            <w:tcW w:w="7245" w:type="dxa"/>
            <w:gridSpan w:val="7"/>
            <w:tcBorders>
              <w:top w:val="single" w:sz="6" w:space="0" w:color="auto"/>
              <w:left w:val="single" w:sz="6" w:space="0" w:color="auto"/>
              <w:bottom w:val="single" w:sz="6" w:space="0" w:color="auto"/>
              <w:right w:val="single" w:sz="4" w:space="0" w:color="auto"/>
            </w:tcBorders>
          </w:tcPr>
          <w:p w14:paraId="3824CFB9" w14:textId="77777777" w:rsidR="0058566D" w:rsidRDefault="0058566D" w:rsidP="008935F7">
            <w:pPr>
              <w:pStyle w:val="TAH"/>
            </w:pPr>
            <w:r>
              <w:t>Io</w:t>
            </w:r>
            <w:r>
              <w:rPr>
                <w:vertAlign w:val="superscript"/>
              </w:rPr>
              <w:t xml:space="preserve"> Note 1</w:t>
            </w:r>
            <w:r>
              <w:t xml:space="preserve"> range</w:t>
            </w:r>
          </w:p>
        </w:tc>
      </w:tr>
      <w:tr w:rsidR="0058566D" w14:paraId="77B4FD6D" w14:textId="77777777" w:rsidTr="008935F7">
        <w:trPr>
          <w:gridAfter w:val="1"/>
          <w:wAfter w:w="13" w:type="dxa"/>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317A0A7B" w14:textId="77777777" w:rsidR="0058566D" w:rsidRDefault="0058566D" w:rsidP="00F37389">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F0DF22" w14:textId="77777777" w:rsidR="0058566D" w:rsidRDefault="0058566D" w:rsidP="00F37389">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ACFC03" w14:textId="77777777" w:rsidR="0058566D" w:rsidRDefault="0058566D" w:rsidP="00F37389">
            <w:pPr>
              <w:pStyle w:val="TAH"/>
            </w:pPr>
          </w:p>
        </w:tc>
        <w:tc>
          <w:tcPr>
            <w:tcW w:w="1677" w:type="dxa"/>
            <w:tcBorders>
              <w:top w:val="single" w:sz="6" w:space="0" w:color="auto"/>
              <w:left w:val="single" w:sz="6" w:space="0" w:color="auto"/>
              <w:bottom w:val="single" w:sz="6" w:space="0" w:color="auto"/>
              <w:right w:val="single" w:sz="4" w:space="0" w:color="auto"/>
            </w:tcBorders>
            <w:vAlign w:val="center"/>
            <w:hideMark/>
          </w:tcPr>
          <w:p w14:paraId="074CBEB5" w14:textId="77777777" w:rsidR="0058566D" w:rsidRDefault="0058566D">
            <w:pPr>
              <w:pStyle w:val="TAH"/>
            </w:pPr>
            <w:r>
              <w:t>NR operating band groups</w:t>
            </w:r>
            <w:r>
              <w:rPr>
                <w:vertAlign w:val="superscript"/>
              </w:rPr>
              <w:t xml:space="preserve"> Note 2</w:t>
            </w:r>
          </w:p>
        </w:tc>
        <w:tc>
          <w:tcPr>
            <w:tcW w:w="4128" w:type="dxa"/>
            <w:gridSpan w:val="4"/>
            <w:tcBorders>
              <w:top w:val="single" w:sz="4" w:space="0" w:color="auto"/>
              <w:left w:val="single" w:sz="4" w:space="0" w:color="auto"/>
              <w:bottom w:val="single" w:sz="6" w:space="0" w:color="auto"/>
              <w:right w:val="single" w:sz="6" w:space="0" w:color="auto"/>
            </w:tcBorders>
          </w:tcPr>
          <w:p w14:paraId="263CE166" w14:textId="77777777" w:rsidR="0058566D" w:rsidRDefault="0058566D">
            <w:pPr>
              <w:pStyle w:val="TAH"/>
            </w:pPr>
            <w:r>
              <w:t>Minimum Io</w:t>
            </w:r>
          </w:p>
        </w:tc>
        <w:tc>
          <w:tcPr>
            <w:tcW w:w="1427" w:type="dxa"/>
            <w:tcBorders>
              <w:top w:val="single" w:sz="4" w:space="0" w:color="auto"/>
              <w:left w:val="single" w:sz="6" w:space="0" w:color="auto"/>
              <w:bottom w:val="single" w:sz="6" w:space="0" w:color="auto"/>
              <w:right w:val="single" w:sz="4" w:space="0" w:color="auto"/>
            </w:tcBorders>
            <w:vAlign w:val="center"/>
            <w:hideMark/>
          </w:tcPr>
          <w:p w14:paraId="089FDB84" w14:textId="77777777" w:rsidR="0058566D" w:rsidRDefault="0058566D" w:rsidP="00F37389">
            <w:pPr>
              <w:pStyle w:val="TAH"/>
            </w:pPr>
            <w:r>
              <w:t>Maximum Io</w:t>
            </w:r>
          </w:p>
        </w:tc>
      </w:tr>
      <w:tr w:rsidR="0058566D" w14:paraId="6800C8D1" w14:textId="77777777" w:rsidTr="008935F7">
        <w:trPr>
          <w:trHeight w:val="308"/>
          <w:jc w:val="center"/>
        </w:trPr>
        <w:tc>
          <w:tcPr>
            <w:tcW w:w="1026" w:type="dxa"/>
            <w:vMerge w:val="restart"/>
            <w:tcBorders>
              <w:top w:val="single" w:sz="6" w:space="0" w:color="auto"/>
              <w:left w:val="single" w:sz="4" w:space="0" w:color="auto"/>
              <w:bottom w:val="single" w:sz="6" w:space="0" w:color="auto"/>
              <w:right w:val="single" w:sz="6" w:space="0" w:color="auto"/>
            </w:tcBorders>
            <w:vAlign w:val="center"/>
            <w:hideMark/>
          </w:tcPr>
          <w:p w14:paraId="756B3611" w14:textId="77777777" w:rsidR="0058566D" w:rsidRDefault="0058566D" w:rsidP="00550E13">
            <w:pPr>
              <w:pStyle w:val="TAH"/>
            </w:pPr>
            <w:r>
              <w:t>dB</w:t>
            </w:r>
          </w:p>
        </w:tc>
        <w:tc>
          <w:tcPr>
            <w:tcW w:w="1026" w:type="dxa"/>
            <w:vMerge w:val="restart"/>
            <w:tcBorders>
              <w:top w:val="single" w:sz="6" w:space="0" w:color="auto"/>
              <w:left w:val="single" w:sz="6" w:space="0" w:color="auto"/>
              <w:bottom w:val="single" w:sz="6" w:space="0" w:color="auto"/>
              <w:right w:val="single" w:sz="6" w:space="0" w:color="auto"/>
            </w:tcBorders>
            <w:vAlign w:val="center"/>
            <w:hideMark/>
          </w:tcPr>
          <w:p w14:paraId="2D062F53" w14:textId="77777777" w:rsidR="0058566D" w:rsidRDefault="0058566D" w:rsidP="008935F7">
            <w:pPr>
              <w:pStyle w:val="TAH"/>
            </w:pPr>
            <w:r>
              <w:t>dB</w:t>
            </w:r>
          </w:p>
        </w:tc>
        <w:tc>
          <w:tcPr>
            <w:tcW w:w="707" w:type="dxa"/>
            <w:vMerge w:val="restart"/>
            <w:tcBorders>
              <w:top w:val="single" w:sz="6" w:space="0" w:color="auto"/>
              <w:left w:val="single" w:sz="6" w:space="0" w:color="auto"/>
              <w:bottom w:val="single" w:sz="6" w:space="0" w:color="auto"/>
              <w:right w:val="single" w:sz="6" w:space="0" w:color="auto"/>
            </w:tcBorders>
            <w:vAlign w:val="center"/>
            <w:hideMark/>
          </w:tcPr>
          <w:p w14:paraId="61525473" w14:textId="77777777" w:rsidR="0058566D" w:rsidRDefault="0058566D" w:rsidP="008935F7">
            <w:pPr>
              <w:pStyle w:val="TAH"/>
            </w:pPr>
            <w:r>
              <w:t>dB</w:t>
            </w:r>
          </w:p>
        </w:tc>
        <w:tc>
          <w:tcPr>
            <w:tcW w:w="1677" w:type="dxa"/>
            <w:vMerge w:val="restart"/>
            <w:tcBorders>
              <w:top w:val="single" w:sz="6" w:space="0" w:color="auto"/>
              <w:left w:val="single" w:sz="6" w:space="0" w:color="auto"/>
              <w:bottom w:val="single" w:sz="6" w:space="0" w:color="auto"/>
              <w:right w:val="single" w:sz="4" w:space="0" w:color="auto"/>
            </w:tcBorders>
            <w:vAlign w:val="center"/>
          </w:tcPr>
          <w:p w14:paraId="2E7E9CB1" w14:textId="77777777" w:rsidR="0058566D" w:rsidRDefault="0058566D" w:rsidP="008935F7">
            <w:pPr>
              <w:pStyle w:val="TAH"/>
            </w:pPr>
          </w:p>
        </w:tc>
        <w:tc>
          <w:tcPr>
            <w:tcW w:w="2688" w:type="dxa"/>
            <w:gridSpan w:val="3"/>
            <w:tcBorders>
              <w:top w:val="single" w:sz="6" w:space="0" w:color="auto"/>
              <w:left w:val="single" w:sz="4" w:space="0" w:color="auto"/>
              <w:bottom w:val="single" w:sz="6" w:space="0" w:color="auto"/>
              <w:right w:val="single" w:sz="6" w:space="0" w:color="auto"/>
            </w:tcBorders>
            <w:vAlign w:val="center"/>
            <w:hideMark/>
          </w:tcPr>
          <w:p w14:paraId="4A4DEEC5" w14:textId="77777777" w:rsidR="0058566D" w:rsidRDefault="0058566D" w:rsidP="00567E6C">
            <w:pPr>
              <w:pStyle w:val="TAH"/>
            </w:pPr>
            <w:r>
              <w:rPr>
                <w:rFonts w:cs="Arial"/>
              </w:rPr>
              <w:t xml:space="preserve">dBm / </w:t>
            </w:r>
            <w:r>
              <w:t>SCS</w:t>
            </w:r>
            <w:r>
              <w:rPr>
                <w:vertAlign w:val="subscript"/>
              </w:rPr>
              <w:t>CSI-RS</w:t>
            </w:r>
          </w:p>
        </w:tc>
        <w:tc>
          <w:tcPr>
            <w:tcW w:w="1440" w:type="dxa"/>
            <w:vMerge w:val="restart"/>
            <w:tcBorders>
              <w:top w:val="single" w:sz="6" w:space="0" w:color="auto"/>
              <w:left w:val="single" w:sz="6" w:space="0" w:color="auto"/>
              <w:bottom w:val="single" w:sz="6" w:space="0" w:color="auto"/>
              <w:right w:val="single" w:sz="6" w:space="0" w:color="auto"/>
            </w:tcBorders>
            <w:vAlign w:val="center"/>
            <w:hideMark/>
          </w:tcPr>
          <w:p w14:paraId="2ACDC573" w14:textId="77777777" w:rsidR="0058566D" w:rsidRDefault="0058566D" w:rsidP="00567E6C">
            <w:pPr>
              <w:pStyle w:val="TAH"/>
            </w:pPr>
            <w:r>
              <w:t>dBm/BW</w:t>
            </w:r>
            <w:r>
              <w:rPr>
                <w:vertAlign w:val="subscript"/>
              </w:rPr>
              <w:t>Channel</w:t>
            </w:r>
          </w:p>
        </w:tc>
        <w:tc>
          <w:tcPr>
            <w:tcW w:w="1440" w:type="dxa"/>
            <w:gridSpan w:val="2"/>
            <w:vMerge w:val="restart"/>
            <w:tcBorders>
              <w:top w:val="single" w:sz="6" w:space="0" w:color="auto"/>
              <w:left w:val="single" w:sz="6" w:space="0" w:color="auto"/>
              <w:bottom w:val="single" w:sz="6" w:space="0" w:color="auto"/>
              <w:right w:val="single" w:sz="4" w:space="0" w:color="auto"/>
            </w:tcBorders>
            <w:vAlign w:val="center"/>
            <w:hideMark/>
          </w:tcPr>
          <w:p w14:paraId="331C8400" w14:textId="77777777" w:rsidR="0058566D" w:rsidRDefault="0058566D" w:rsidP="00567E6C">
            <w:pPr>
              <w:pStyle w:val="TAH"/>
            </w:pPr>
            <w:r>
              <w:t>dBm/BW</w:t>
            </w:r>
            <w:r>
              <w:rPr>
                <w:vertAlign w:val="subscript"/>
              </w:rPr>
              <w:t>Channel</w:t>
            </w:r>
          </w:p>
        </w:tc>
      </w:tr>
      <w:tr w:rsidR="0058566D" w14:paraId="59843BAD" w14:textId="77777777" w:rsidTr="008935F7">
        <w:trPr>
          <w:trHeight w:val="307"/>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0124EB72" w14:textId="77777777" w:rsidR="0058566D" w:rsidRDefault="0058566D" w:rsidP="00F37389">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692F03" w14:textId="77777777" w:rsidR="0058566D" w:rsidRDefault="0058566D" w:rsidP="00F37389">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E3D3B37" w14:textId="77777777" w:rsidR="0058566D" w:rsidRDefault="0058566D" w:rsidP="00F37389">
            <w:pPr>
              <w:pStyle w:val="TAH"/>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6E158A00" w14:textId="77777777" w:rsidR="0058566D" w:rsidRDefault="0058566D" w:rsidP="00F37389">
            <w:pPr>
              <w:pStyle w:val="TAH"/>
            </w:pPr>
          </w:p>
        </w:tc>
        <w:tc>
          <w:tcPr>
            <w:tcW w:w="827" w:type="dxa"/>
            <w:tcBorders>
              <w:top w:val="single" w:sz="6" w:space="0" w:color="auto"/>
              <w:left w:val="single" w:sz="4" w:space="0" w:color="auto"/>
              <w:bottom w:val="single" w:sz="6" w:space="0" w:color="auto"/>
              <w:right w:val="single" w:sz="6" w:space="0" w:color="auto"/>
            </w:tcBorders>
            <w:vAlign w:val="center"/>
            <w:hideMark/>
          </w:tcPr>
          <w:p w14:paraId="4B5C0E59" w14:textId="77777777" w:rsidR="0058566D" w:rsidRDefault="0058566D">
            <w:pPr>
              <w:pStyle w:val="TAH"/>
              <w:rPr>
                <w:rFonts w:cs="Arial"/>
              </w:rPr>
            </w:pPr>
            <w:r>
              <w:t>SCS</w:t>
            </w:r>
            <w:r>
              <w:rPr>
                <w:vertAlign w:val="subscript"/>
              </w:rPr>
              <w:t>CSI-RS</w:t>
            </w:r>
            <w:r>
              <w:rPr>
                <w:rFonts w:cs="Arial"/>
              </w:rPr>
              <w:t xml:space="preserve"> = 15 kHz</w:t>
            </w:r>
          </w:p>
        </w:tc>
        <w:tc>
          <w:tcPr>
            <w:tcW w:w="827" w:type="dxa"/>
            <w:tcBorders>
              <w:top w:val="single" w:sz="6" w:space="0" w:color="auto"/>
              <w:left w:val="single" w:sz="4" w:space="0" w:color="auto"/>
              <w:bottom w:val="single" w:sz="6" w:space="0" w:color="auto"/>
              <w:right w:val="single" w:sz="6" w:space="0" w:color="auto"/>
            </w:tcBorders>
            <w:vAlign w:val="center"/>
            <w:hideMark/>
          </w:tcPr>
          <w:p w14:paraId="259F38FC" w14:textId="77777777" w:rsidR="0058566D" w:rsidRDefault="0058566D">
            <w:pPr>
              <w:pStyle w:val="TAH"/>
              <w:rPr>
                <w:rFonts w:cs="Arial"/>
              </w:rPr>
            </w:pPr>
            <w:r>
              <w:t>SCS</w:t>
            </w:r>
            <w:r>
              <w:rPr>
                <w:vertAlign w:val="subscript"/>
              </w:rPr>
              <w:t>CSI-RS</w:t>
            </w:r>
            <w:r>
              <w:rPr>
                <w:rFonts w:cs="Arial"/>
              </w:rPr>
              <w:t xml:space="preserve"> = 30 kHz</w:t>
            </w:r>
          </w:p>
        </w:tc>
        <w:tc>
          <w:tcPr>
            <w:tcW w:w="1034" w:type="dxa"/>
            <w:tcBorders>
              <w:top w:val="single" w:sz="6" w:space="0" w:color="auto"/>
              <w:left w:val="single" w:sz="6" w:space="0" w:color="auto"/>
              <w:bottom w:val="single" w:sz="6" w:space="0" w:color="auto"/>
              <w:right w:val="single" w:sz="6" w:space="0" w:color="auto"/>
            </w:tcBorders>
          </w:tcPr>
          <w:p w14:paraId="6859EE6A" w14:textId="77777777" w:rsidR="0058566D" w:rsidRDefault="0058566D">
            <w:pPr>
              <w:pStyle w:val="TAH"/>
            </w:pPr>
            <w:r w:rsidRPr="00E70BDF">
              <w:rPr>
                <w:rFonts w:cs="Arial"/>
              </w:rPr>
              <w:t>SCS</w:t>
            </w:r>
            <w:r w:rsidRPr="00E70BDF">
              <w:rPr>
                <w:rFonts w:cs="Arial"/>
                <w:vertAlign w:val="subscript"/>
              </w:rPr>
              <w:t>CSI-RS</w:t>
            </w:r>
            <w:r w:rsidRPr="00035CC2">
              <w:rPr>
                <w:rFonts w:cs="Arial"/>
                <w:vertAlign w:val="subscript"/>
              </w:rPr>
              <w:t xml:space="preserve"> </w:t>
            </w:r>
            <w:r>
              <w:rPr>
                <w:rFonts w:cs="Arial"/>
              </w:rPr>
              <w:t>= 60 kHz</w:t>
            </w:r>
          </w:p>
        </w:tc>
        <w:tc>
          <w:tcPr>
            <w:tcW w:w="1440" w:type="dxa"/>
            <w:vMerge/>
            <w:tcBorders>
              <w:top w:val="single" w:sz="6" w:space="0" w:color="auto"/>
              <w:left w:val="single" w:sz="6" w:space="0" w:color="auto"/>
              <w:bottom w:val="single" w:sz="6" w:space="0" w:color="auto"/>
              <w:right w:val="single" w:sz="6" w:space="0" w:color="auto"/>
            </w:tcBorders>
            <w:vAlign w:val="center"/>
            <w:hideMark/>
          </w:tcPr>
          <w:p w14:paraId="5D1C54AA" w14:textId="77777777" w:rsidR="0058566D" w:rsidRDefault="0058566D" w:rsidP="00F37389">
            <w:pPr>
              <w:pStyle w:val="TAH"/>
            </w:pPr>
          </w:p>
        </w:tc>
        <w:tc>
          <w:tcPr>
            <w:tcW w:w="0" w:type="auto"/>
            <w:gridSpan w:val="2"/>
            <w:vMerge/>
            <w:tcBorders>
              <w:top w:val="single" w:sz="6" w:space="0" w:color="auto"/>
              <w:left w:val="single" w:sz="6" w:space="0" w:color="auto"/>
              <w:bottom w:val="single" w:sz="6" w:space="0" w:color="auto"/>
              <w:right w:val="single" w:sz="4" w:space="0" w:color="auto"/>
            </w:tcBorders>
            <w:vAlign w:val="center"/>
            <w:hideMark/>
          </w:tcPr>
          <w:p w14:paraId="22E8D6C6" w14:textId="77777777" w:rsidR="0058566D" w:rsidRDefault="0058566D" w:rsidP="00F37389">
            <w:pPr>
              <w:pStyle w:val="TAH"/>
            </w:pPr>
          </w:p>
        </w:tc>
      </w:tr>
      <w:tr w:rsidR="0058566D" w14:paraId="7CB12571" w14:textId="77777777" w:rsidTr="008935F7">
        <w:trPr>
          <w:jc w:val="center"/>
        </w:trPr>
        <w:tc>
          <w:tcPr>
            <w:tcW w:w="1026" w:type="dxa"/>
            <w:vMerge w:val="restart"/>
            <w:tcBorders>
              <w:top w:val="single" w:sz="6" w:space="0" w:color="auto"/>
              <w:left w:val="single" w:sz="4" w:space="0" w:color="auto"/>
              <w:bottom w:val="nil"/>
              <w:right w:val="single" w:sz="6" w:space="0" w:color="auto"/>
            </w:tcBorders>
            <w:vAlign w:val="center"/>
            <w:hideMark/>
          </w:tcPr>
          <w:p w14:paraId="40F23C35" w14:textId="77777777" w:rsidR="0058566D" w:rsidRDefault="0058566D" w:rsidP="008935F7">
            <w:pPr>
              <w:pStyle w:val="TAC"/>
            </w:pPr>
            <w:r>
              <w:sym w:font="Symbol" w:char="F0B1"/>
            </w:r>
            <w:r>
              <w:t>4.5</w:t>
            </w:r>
          </w:p>
        </w:tc>
        <w:tc>
          <w:tcPr>
            <w:tcW w:w="1026" w:type="dxa"/>
            <w:vMerge w:val="restart"/>
            <w:tcBorders>
              <w:top w:val="single" w:sz="6" w:space="0" w:color="auto"/>
              <w:left w:val="single" w:sz="6" w:space="0" w:color="auto"/>
              <w:bottom w:val="nil"/>
              <w:right w:val="single" w:sz="6" w:space="0" w:color="auto"/>
            </w:tcBorders>
            <w:vAlign w:val="center"/>
            <w:hideMark/>
          </w:tcPr>
          <w:p w14:paraId="27FC875C" w14:textId="77777777" w:rsidR="0058566D" w:rsidRDefault="0058566D" w:rsidP="008935F7">
            <w:pPr>
              <w:pStyle w:val="TAC"/>
            </w:pPr>
            <w:r>
              <w:sym w:font="Symbol" w:char="F0B1"/>
            </w:r>
            <w:r>
              <w:t>9</w:t>
            </w:r>
          </w:p>
        </w:tc>
        <w:tc>
          <w:tcPr>
            <w:tcW w:w="707" w:type="dxa"/>
            <w:vMerge w:val="restart"/>
            <w:tcBorders>
              <w:top w:val="single" w:sz="6" w:space="0" w:color="auto"/>
              <w:left w:val="single" w:sz="6" w:space="0" w:color="auto"/>
              <w:bottom w:val="nil"/>
              <w:right w:val="single" w:sz="6" w:space="0" w:color="auto"/>
            </w:tcBorders>
            <w:vAlign w:val="center"/>
            <w:hideMark/>
          </w:tcPr>
          <w:p w14:paraId="1DE1A08D" w14:textId="77777777" w:rsidR="0058566D" w:rsidRDefault="0058566D" w:rsidP="008935F7">
            <w:pPr>
              <w:pStyle w:val="TAC"/>
            </w:pPr>
            <w:r>
              <w:sym w:font="Symbol" w:char="F0B3"/>
            </w:r>
            <w:r>
              <w:t>-6</w:t>
            </w:r>
          </w:p>
        </w:tc>
        <w:tc>
          <w:tcPr>
            <w:tcW w:w="1677" w:type="dxa"/>
            <w:tcBorders>
              <w:top w:val="single" w:sz="6" w:space="0" w:color="auto"/>
              <w:left w:val="single" w:sz="6" w:space="0" w:color="auto"/>
              <w:bottom w:val="single" w:sz="6" w:space="0" w:color="auto"/>
              <w:right w:val="single" w:sz="4" w:space="0" w:color="auto"/>
            </w:tcBorders>
            <w:vAlign w:val="center"/>
            <w:hideMark/>
          </w:tcPr>
          <w:p w14:paraId="73D909AD" w14:textId="77777777" w:rsidR="0058566D" w:rsidRDefault="0058566D" w:rsidP="008935F7">
            <w:pPr>
              <w:pStyle w:val="TAC"/>
              <w:rPr>
                <w:rFonts w:cs="Arial"/>
                <w:szCs w:val="18"/>
              </w:rPr>
            </w:pPr>
            <w:r>
              <w:rPr>
                <w:rFonts w:cs="Arial"/>
                <w:szCs w:val="18"/>
              </w:rPr>
              <w:t>NR_FDD_FR1_A, NR_TDD_FR1_A,</w:t>
            </w:r>
          </w:p>
          <w:p w14:paraId="6855247C" w14:textId="77777777" w:rsidR="0058566D" w:rsidRDefault="0058566D" w:rsidP="008935F7">
            <w:pPr>
              <w:pStyle w:val="TAC"/>
              <w:rPr>
                <w:rFonts w:cs="Arial"/>
                <w:szCs w:val="18"/>
              </w:rPr>
            </w:pPr>
            <w:r>
              <w:rPr>
                <w:rFonts w:cs="Arial"/>
                <w:szCs w:val="18"/>
              </w:rPr>
              <w:t>NR_SDL_FR1_A</w:t>
            </w:r>
          </w:p>
        </w:tc>
        <w:tc>
          <w:tcPr>
            <w:tcW w:w="827" w:type="dxa"/>
            <w:tcBorders>
              <w:top w:val="single" w:sz="6" w:space="0" w:color="auto"/>
              <w:left w:val="single" w:sz="4" w:space="0" w:color="auto"/>
              <w:bottom w:val="single" w:sz="6" w:space="0" w:color="auto"/>
              <w:right w:val="single" w:sz="6" w:space="0" w:color="auto"/>
            </w:tcBorders>
            <w:vAlign w:val="center"/>
            <w:hideMark/>
          </w:tcPr>
          <w:p w14:paraId="2565A5F4" w14:textId="77777777" w:rsidR="0058566D" w:rsidRDefault="0058566D" w:rsidP="008935F7">
            <w:pPr>
              <w:pStyle w:val="TAC"/>
            </w:pPr>
            <w:r>
              <w:t>-121</w:t>
            </w:r>
          </w:p>
        </w:tc>
        <w:tc>
          <w:tcPr>
            <w:tcW w:w="827" w:type="dxa"/>
            <w:tcBorders>
              <w:top w:val="single" w:sz="6" w:space="0" w:color="auto"/>
              <w:left w:val="single" w:sz="4" w:space="0" w:color="auto"/>
              <w:bottom w:val="single" w:sz="6" w:space="0" w:color="auto"/>
              <w:right w:val="single" w:sz="6" w:space="0" w:color="auto"/>
            </w:tcBorders>
            <w:vAlign w:val="center"/>
            <w:hideMark/>
          </w:tcPr>
          <w:p w14:paraId="479C539D" w14:textId="77777777" w:rsidR="0058566D" w:rsidRDefault="0058566D" w:rsidP="008935F7">
            <w:pPr>
              <w:pStyle w:val="TAC"/>
            </w:pPr>
            <w:r>
              <w:t>-118</w:t>
            </w:r>
          </w:p>
        </w:tc>
        <w:tc>
          <w:tcPr>
            <w:tcW w:w="1034" w:type="dxa"/>
            <w:tcBorders>
              <w:top w:val="single" w:sz="6" w:space="0" w:color="auto"/>
              <w:left w:val="single" w:sz="4" w:space="0" w:color="auto"/>
              <w:bottom w:val="single" w:sz="6" w:space="0" w:color="auto"/>
              <w:right w:val="single" w:sz="6" w:space="0" w:color="auto"/>
            </w:tcBorders>
            <w:vAlign w:val="center"/>
          </w:tcPr>
          <w:p w14:paraId="53407CEF" w14:textId="77777777" w:rsidR="0058566D" w:rsidRDefault="0058566D" w:rsidP="008935F7">
            <w:pPr>
              <w:pStyle w:val="TAC"/>
            </w:pPr>
            <w:r>
              <w:t>-115</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C05C0ED" w14:textId="77777777" w:rsidR="0058566D" w:rsidRDefault="0058566D" w:rsidP="008935F7">
            <w:pPr>
              <w:pStyle w:val="TAC"/>
            </w:pPr>
            <w:r>
              <w:t>N/A</w:t>
            </w:r>
          </w:p>
        </w:tc>
        <w:tc>
          <w:tcPr>
            <w:tcW w:w="1440" w:type="dxa"/>
            <w:gridSpan w:val="2"/>
            <w:tcBorders>
              <w:top w:val="single" w:sz="6" w:space="0" w:color="auto"/>
              <w:left w:val="single" w:sz="6" w:space="0" w:color="auto"/>
              <w:bottom w:val="single" w:sz="6" w:space="0" w:color="auto"/>
              <w:right w:val="single" w:sz="4" w:space="0" w:color="auto"/>
            </w:tcBorders>
            <w:vAlign w:val="center"/>
            <w:hideMark/>
          </w:tcPr>
          <w:p w14:paraId="33C737B7" w14:textId="77777777" w:rsidR="0058566D" w:rsidRDefault="0058566D" w:rsidP="008935F7">
            <w:pPr>
              <w:pStyle w:val="TAC"/>
            </w:pPr>
            <w:r>
              <w:t>-70</w:t>
            </w:r>
          </w:p>
        </w:tc>
      </w:tr>
      <w:tr w:rsidR="0058566D" w14:paraId="21955D37" w14:textId="77777777" w:rsidTr="008935F7">
        <w:trPr>
          <w:jc w:val="center"/>
        </w:trPr>
        <w:tc>
          <w:tcPr>
            <w:tcW w:w="0" w:type="auto"/>
            <w:vMerge/>
            <w:tcBorders>
              <w:top w:val="single" w:sz="6" w:space="0" w:color="auto"/>
              <w:left w:val="single" w:sz="4" w:space="0" w:color="auto"/>
              <w:bottom w:val="nil"/>
              <w:right w:val="single" w:sz="6" w:space="0" w:color="auto"/>
            </w:tcBorders>
            <w:vAlign w:val="center"/>
            <w:hideMark/>
          </w:tcPr>
          <w:p w14:paraId="32F66892"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32168115"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2462C684" w14:textId="77777777" w:rsidR="0058566D" w:rsidRDefault="0058566D" w:rsidP="008935F7">
            <w:pPr>
              <w:spacing w:after="0"/>
              <w:rPr>
                <w:rFonts w:ascii="Arial" w:hAnsi="Arial"/>
                <w:sz w:val="18"/>
              </w:rPr>
            </w:pPr>
          </w:p>
        </w:tc>
        <w:tc>
          <w:tcPr>
            <w:tcW w:w="1677" w:type="dxa"/>
            <w:tcBorders>
              <w:top w:val="single" w:sz="6" w:space="0" w:color="auto"/>
              <w:left w:val="single" w:sz="6" w:space="0" w:color="auto"/>
              <w:bottom w:val="single" w:sz="6" w:space="0" w:color="auto"/>
              <w:right w:val="single" w:sz="4" w:space="0" w:color="auto"/>
            </w:tcBorders>
            <w:hideMark/>
          </w:tcPr>
          <w:p w14:paraId="7C667F28" w14:textId="77777777" w:rsidR="0058566D" w:rsidRDefault="0058566D" w:rsidP="008935F7">
            <w:pPr>
              <w:pStyle w:val="TAC"/>
            </w:pPr>
            <w:r>
              <w:t>NR_FDD_FR1_B</w:t>
            </w:r>
          </w:p>
        </w:tc>
        <w:tc>
          <w:tcPr>
            <w:tcW w:w="827" w:type="dxa"/>
            <w:tcBorders>
              <w:top w:val="single" w:sz="6" w:space="0" w:color="auto"/>
              <w:left w:val="single" w:sz="4" w:space="0" w:color="auto"/>
              <w:bottom w:val="single" w:sz="6" w:space="0" w:color="auto"/>
              <w:right w:val="single" w:sz="6" w:space="0" w:color="auto"/>
            </w:tcBorders>
            <w:hideMark/>
          </w:tcPr>
          <w:p w14:paraId="03290D22" w14:textId="77777777" w:rsidR="0058566D" w:rsidRDefault="0058566D" w:rsidP="008935F7">
            <w:pPr>
              <w:pStyle w:val="TAC"/>
            </w:pPr>
            <w:r>
              <w:t>-120.5</w:t>
            </w:r>
          </w:p>
        </w:tc>
        <w:tc>
          <w:tcPr>
            <w:tcW w:w="827" w:type="dxa"/>
            <w:tcBorders>
              <w:top w:val="single" w:sz="6" w:space="0" w:color="auto"/>
              <w:left w:val="single" w:sz="4" w:space="0" w:color="auto"/>
              <w:bottom w:val="single" w:sz="6" w:space="0" w:color="auto"/>
              <w:right w:val="single" w:sz="6" w:space="0" w:color="auto"/>
            </w:tcBorders>
            <w:vAlign w:val="center"/>
            <w:hideMark/>
          </w:tcPr>
          <w:p w14:paraId="58E97E88" w14:textId="77777777" w:rsidR="0058566D" w:rsidRDefault="0058566D" w:rsidP="008935F7">
            <w:pPr>
              <w:pStyle w:val="TAC"/>
              <w:rPr>
                <w:lang w:val="sv-SE"/>
              </w:rPr>
            </w:pPr>
            <w:r>
              <w:t>-117.5</w:t>
            </w:r>
          </w:p>
        </w:tc>
        <w:tc>
          <w:tcPr>
            <w:tcW w:w="1034" w:type="dxa"/>
            <w:tcBorders>
              <w:top w:val="single" w:sz="6" w:space="0" w:color="auto"/>
              <w:left w:val="single" w:sz="4" w:space="0" w:color="auto"/>
              <w:bottom w:val="single" w:sz="6" w:space="0" w:color="auto"/>
              <w:right w:val="single" w:sz="6" w:space="0" w:color="auto"/>
            </w:tcBorders>
            <w:vAlign w:val="center"/>
          </w:tcPr>
          <w:p w14:paraId="10A8158E" w14:textId="77777777" w:rsidR="0058566D" w:rsidRDefault="0058566D" w:rsidP="008935F7">
            <w:pPr>
              <w:pStyle w:val="TAC"/>
            </w:pPr>
            <w:r>
              <w:t>-114.5</w:t>
            </w:r>
          </w:p>
        </w:tc>
        <w:tc>
          <w:tcPr>
            <w:tcW w:w="1440" w:type="dxa"/>
            <w:tcBorders>
              <w:top w:val="single" w:sz="6" w:space="0" w:color="auto"/>
              <w:left w:val="single" w:sz="6" w:space="0" w:color="auto"/>
              <w:bottom w:val="single" w:sz="6" w:space="0" w:color="auto"/>
              <w:right w:val="single" w:sz="6" w:space="0" w:color="auto"/>
            </w:tcBorders>
            <w:hideMark/>
          </w:tcPr>
          <w:p w14:paraId="1B4FB384" w14:textId="77777777" w:rsidR="0058566D" w:rsidRDefault="0058566D" w:rsidP="008935F7">
            <w:pPr>
              <w:pStyle w:val="TAC"/>
            </w:pPr>
            <w:r>
              <w:t>N/A</w:t>
            </w:r>
          </w:p>
        </w:tc>
        <w:tc>
          <w:tcPr>
            <w:tcW w:w="1440" w:type="dxa"/>
            <w:gridSpan w:val="2"/>
            <w:tcBorders>
              <w:top w:val="single" w:sz="6" w:space="0" w:color="auto"/>
              <w:left w:val="single" w:sz="6" w:space="0" w:color="auto"/>
              <w:bottom w:val="single" w:sz="6" w:space="0" w:color="auto"/>
              <w:right w:val="single" w:sz="4" w:space="0" w:color="auto"/>
            </w:tcBorders>
            <w:hideMark/>
          </w:tcPr>
          <w:p w14:paraId="5BA69B01" w14:textId="77777777" w:rsidR="0058566D" w:rsidRDefault="0058566D" w:rsidP="008935F7">
            <w:pPr>
              <w:pStyle w:val="TAC"/>
            </w:pPr>
            <w:r>
              <w:t>-70</w:t>
            </w:r>
          </w:p>
        </w:tc>
      </w:tr>
      <w:tr w:rsidR="0058566D" w14:paraId="3276E70E" w14:textId="77777777" w:rsidTr="008935F7">
        <w:trPr>
          <w:jc w:val="center"/>
        </w:trPr>
        <w:tc>
          <w:tcPr>
            <w:tcW w:w="0" w:type="auto"/>
            <w:vMerge/>
            <w:tcBorders>
              <w:top w:val="single" w:sz="6" w:space="0" w:color="auto"/>
              <w:left w:val="single" w:sz="4" w:space="0" w:color="auto"/>
              <w:bottom w:val="nil"/>
              <w:right w:val="single" w:sz="6" w:space="0" w:color="auto"/>
            </w:tcBorders>
            <w:vAlign w:val="center"/>
            <w:hideMark/>
          </w:tcPr>
          <w:p w14:paraId="7A25D760"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18C47A42"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4492FD88" w14:textId="77777777" w:rsidR="0058566D" w:rsidRDefault="0058566D" w:rsidP="008935F7">
            <w:pPr>
              <w:spacing w:after="0"/>
              <w:rPr>
                <w:rFonts w:ascii="Arial" w:hAnsi="Arial"/>
                <w:sz w:val="18"/>
              </w:rPr>
            </w:pPr>
          </w:p>
        </w:tc>
        <w:tc>
          <w:tcPr>
            <w:tcW w:w="1677" w:type="dxa"/>
            <w:tcBorders>
              <w:top w:val="single" w:sz="6" w:space="0" w:color="auto"/>
              <w:left w:val="single" w:sz="6" w:space="0" w:color="auto"/>
              <w:bottom w:val="single" w:sz="6" w:space="0" w:color="auto"/>
              <w:right w:val="single" w:sz="4" w:space="0" w:color="auto"/>
            </w:tcBorders>
            <w:vAlign w:val="center"/>
            <w:hideMark/>
          </w:tcPr>
          <w:p w14:paraId="56153627" w14:textId="77777777" w:rsidR="0058566D" w:rsidRDefault="0058566D" w:rsidP="008935F7">
            <w:pPr>
              <w:pStyle w:val="TAC"/>
            </w:pPr>
            <w:r>
              <w:t>NR_TDD_FR1_C</w:t>
            </w:r>
          </w:p>
        </w:tc>
        <w:tc>
          <w:tcPr>
            <w:tcW w:w="827" w:type="dxa"/>
            <w:tcBorders>
              <w:top w:val="single" w:sz="6" w:space="0" w:color="auto"/>
              <w:left w:val="single" w:sz="4" w:space="0" w:color="auto"/>
              <w:bottom w:val="single" w:sz="6" w:space="0" w:color="auto"/>
              <w:right w:val="single" w:sz="6" w:space="0" w:color="auto"/>
            </w:tcBorders>
            <w:vAlign w:val="center"/>
            <w:hideMark/>
          </w:tcPr>
          <w:p w14:paraId="06CB57A7" w14:textId="77777777" w:rsidR="0058566D" w:rsidRDefault="0058566D" w:rsidP="008935F7">
            <w:pPr>
              <w:pStyle w:val="TAC"/>
            </w:pPr>
            <w:r>
              <w:t>-120</w:t>
            </w:r>
          </w:p>
        </w:tc>
        <w:tc>
          <w:tcPr>
            <w:tcW w:w="827" w:type="dxa"/>
            <w:tcBorders>
              <w:top w:val="single" w:sz="6" w:space="0" w:color="auto"/>
              <w:left w:val="single" w:sz="4" w:space="0" w:color="auto"/>
              <w:bottom w:val="single" w:sz="6" w:space="0" w:color="auto"/>
              <w:right w:val="single" w:sz="6" w:space="0" w:color="auto"/>
            </w:tcBorders>
            <w:vAlign w:val="center"/>
            <w:hideMark/>
          </w:tcPr>
          <w:p w14:paraId="41EE6135" w14:textId="77777777" w:rsidR="0058566D" w:rsidRDefault="0058566D" w:rsidP="008935F7">
            <w:pPr>
              <w:pStyle w:val="TAC"/>
              <w:rPr>
                <w:lang w:val="sv-SE"/>
              </w:rPr>
            </w:pPr>
            <w:r>
              <w:t>-117</w:t>
            </w:r>
          </w:p>
        </w:tc>
        <w:tc>
          <w:tcPr>
            <w:tcW w:w="1034" w:type="dxa"/>
            <w:tcBorders>
              <w:top w:val="single" w:sz="6" w:space="0" w:color="auto"/>
              <w:left w:val="single" w:sz="4" w:space="0" w:color="auto"/>
              <w:bottom w:val="single" w:sz="6" w:space="0" w:color="auto"/>
              <w:right w:val="single" w:sz="6" w:space="0" w:color="auto"/>
            </w:tcBorders>
            <w:vAlign w:val="center"/>
          </w:tcPr>
          <w:p w14:paraId="7114094A" w14:textId="77777777" w:rsidR="0058566D" w:rsidRDefault="0058566D" w:rsidP="008935F7">
            <w:pPr>
              <w:pStyle w:val="TAC"/>
            </w:pPr>
            <w:r>
              <w:t>-114</w:t>
            </w:r>
          </w:p>
        </w:tc>
        <w:tc>
          <w:tcPr>
            <w:tcW w:w="1440" w:type="dxa"/>
            <w:tcBorders>
              <w:top w:val="single" w:sz="6" w:space="0" w:color="auto"/>
              <w:left w:val="single" w:sz="6" w:space="0" w:color="auto"/>
              <w:bottom w:val="single" w:sz="6" w:space="0" w:color="auto"/>
              <w:right w:val="single" w:sz="6" w:space="0" w:color="auto"/>
            </w:tcBorders>
            <w:vAlign w:val="center"/>
            <w:hideMark/>
          </w:tcPr>
          <w:p w14:paraId="28B55053" w14:textId="77777777" w:rsidR="0058566D" w:rsidRDefault="0058566D" w:rsidP="008935F7">
            <w:pPr>
              <w:pStyle w:val="TAC"/>
            </w:pPr>
            <w:r>
              <w:t>N/A</w:t>
            </w:r>
          </w:p>
        </w:tc>
        <w:tc>
          <w:tcPr>
            <w:tcW w:w="1440" w:type="dxa"/>
            <w:gridSpan w:val="2"/>
            <w:tcBorders>
              <w:top w:val="single" w:sz="6" w:space="0" w:color="auto"/>
              <w:left w:val="single" w:sz="6" w:space="0" w:color="auto"/>
              <w:bottom w:val="single" w:sz="6" w:space="0" w:color="auto"/>
              <w:right w:val="single" w:sz="4" w:space="0" w:color="auto"/>
            </w:tcBorders>
            <w:vAlign w:val="center"/>
            <w:hideMark/>
          </w:tcPr>
          <w:p w14:paraId="4ED73E1E" w14:textId="77777777" w:rsidR="0058566D" w:rsidRDefault="0058566D" w:rsidP="008935F7">
            <w:pPr>
              <w:pStyle w:val="TAC"/>
            </w:pPr>
            <w:r>
              <w:t>-70</w:t>
            </w:r>
          </w:p>
        </w:tc>
      </w:tr>
      <w:tr w:rsidR="0058566D" w14:paraId="45EE7C68" w14:textId="77777777" w:rsidTr="008935F7">
        <w:trPr>
          <w:jc w:val="center"/>
        </w:trPr>
        <w:tc>
          <w:tcPr>
            <w:tcW w:w="0" w:type="auto"/>
            <w:vMerge/>
            <w:tcBorders>
              <w:top w:val="single" w:sz="6" w:space="0" w:color="auto"/>
              <w:left w:val="single" w:sz="4" w:space="0" w:color="auto"/>
              <w:bottom w:val="nil"/>
              <w:right w:val="single" w:sz="6" w:space="0" w:color="auto"/>
            </w:tcBorders>
            <w:vAlign w:val="center"/>
            <w:hideMark/>
          </w:tcPr>
          <w:p w14:paraId="168ADBFB"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6825E221"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106103CD" w14:textId="77777777" w:rsidR="0058566D" w:rsidRDefault="0058566D" w:rsidP="008935F7">
            <w:pPr>
              <w:spacing w:after="0"/>
              <w:rPr>
                <w:rFonts w:ascii="Arial" w:hAnsi="Arial"/>
                <w:sz w:val="18"/>
              </w:rPr>
            </w:pPr>
          </w:p>
        </w:tc>
        <w:tc>
          <w:tcPr>
            <w:tcW w:w="1677" w:type="dxa"/>
            <w:tcBorders>
              <w:top w:val="single" w:sz="6" w:space="0" w:color="auto"/>
              <w:left w:val="single" w:sz="6" w:space="0" w:color="auto"/>
              <w:bottom w:val="single" w:sz="6" w:space="0" w:color="auto"/>
              <w:right w:val="single" w:sz="4" w:space="0" w:color="auto"/>
            </w:tcBorders>
            <w:vAlign w:val="center"/>
            <w:hideMark/>
          </w:tcPr>
          <w:p w14:paraId="74DB93F4" w14:textId="77777777" w:rsidR="0058566D" w:rsidRDefault="0058566D" w:rsidP="008935F7">
            <w:pPr>
              <w:pStyle w:val="TAC"/>
              <w:rPr>
                <w:lang w:val="sv-SE"/>
              </w:rPr>
            </w:pPr>
            <w:r>
              <w:rPr>
                <w:lang w:val="sv-SE"/>
              </w:rPr>
              <w:t>NR_FDD_FR1_D, NR_TDD_FR1_D</w:t>
            </w:r>
          </w:p>
        </w:tc>
        <w:tc>
          <w:tcPr>
            <w:tcW w:w="827" w:type="dxa"/>
            <w:tcBorders>
              <w:top w:val="single" w:sz="6" w:space="0" w:color="auto"/>
              <w:left w:val="single" w:sz="4" w:space="0" w:color="auto"/>
              <w:bottom w:val="single" w:sz="6" w:space="0" w:color="auto"/>
              <w:right w:val="single" w:sz="6" w:space="0" w:color="auto"/>
            </w:tcBorders>
            <w:vAlign w:val="center"/>
            <w:hideMark/>
          </w:tcPr>
          <w:p w14:paraId="26C7F898" w14:textId="77777777" w:rsidR="0058566D" w:rsidRDefault="0058566D" w:rsidP="008935F7">
            <w:pPr>
              <w:pStyle w:val="TAC"/>
            </w:pPr>
            <w:r>
              <w:t>-119.5</w:t>
            </w:r>
          </w:p>
        </w:tc>
        <w:tc>
          <w:tcPr>
            <w:tcW w:w="827" w:type="dxa"/>
            <w:tcBorders>
              <w:top w:val="single" w:sz="6" w:space="0" w:color="auto"/>
              <w:left w:val="single" w:sz="4" w:space="0" w:color="auto"/>
              <w:bottom w:val="single" w:sz="6" w:space="0" w:color="auto"/>
              <w:right w:val="single" w:sz="6" w:space="0" w:color="auto"/>
            </w:tcBorders>
            <w:vAlign w:val="center"/>
            <w:hideMark/>
          </w:tcPr>
          <w:p w14:paraId="6098A9EC" w14:textId="77777777" w:rsidR="0058566D" w:rsidRDefault="0058566D" w:rsidP="008935F7">
            <w:pPr>
              <w:pStyle w:val="TAC"/>
            </w:pPr>
            <w:r>
              <w:t>-116.5</w:t>
            </w:r>
          </w:p>
        </w:tc>
        <w:tc>
          <w:tcPr>
            <w:tcW w:w="1034" w:type="dxa"/>
            <w:tcBorders>
              <w:top w:val="single" w:sz="6" w:space="0" w:color="auto"/>
              <w:left w:val="single" w:sz="4" w:space="0" w:color="auto"/>
              <w:bottom w:val="single" w:sz="6" w:space="0" w:color="auto"/>
              <w:right w:val="single" w:sz="6" w:space="0" w:color="auto"/>
            </w:tcBorders>
            <w:vAlign w:val="center"/>
          </w:tcPr>
          <w:p w14:paraId="5BBBA03E" w14:textId="77777777" w:rsidR="0058566D" w:rsidRDefault="0058566D" w:rsidP="008935F7">
            <w:pPr>
              <w:pStyle w:val="TAC"/>
            </w:pPr>
            <w:r>
              <w:t>-113.5</w:t>
            </w:r>
          </w:p>
        </w:tc>
        <w:tc>
          <w:tcPr>
            <w:tcW w:w="1440" w:type="dxa"/>
            <w:tcBorders>
              <w:top w:val="single" w:sz="6" w:space="0" w:color="auto"/>
              <w:left w:val="single" w:sz="6" w:space="0" w:color="auto"/>
              <w:bottom w:val="single" w:sz="6" w:space="0" w:color="auto"/>
              <w:right w:val="single" w:sz="6" w:space="0" w:color="auto"/>
            </w:tcBorders>
            <w:vAlign w:val="center"/>
            <w:hideMark/>
          </w:tcPr>
          <w:p w14:paraId="47FF5EBD" w14:textId="77777777" w:rsidR="0058566D" w:rsidRDefault="0058566D" w:rsidP="008935F7">
            <w:pPr>
              <w:pStyle w:val="TAC"/>
            </w:pPr>
            <w:r>
              <w:t>N/A</w:t>
            </w:r>
          </w:p>
        </w:tc>
        <w:tc>
          <w:tcPr>
            <w:tcW w:w="1440" w:type="dxa"/>
            <w:gridSpan w:val="2"/>
            <w:tcBorders>
              <w:top w:val="single" w:sz="6" w:space="0" w:color="auto"/>
              <w:left w:val="single" w:sz="6" w:space="0" w:color="auto"/>
              <w:bottom w:val="single" w:sz="6" w:space="0" w:color="auto"/>
              <w:right w:val="single" w:sz="4" w:space="0" w:color="auto"/>
            </w:tcBorders>
            <w:vAlign w:val="center"/>
            <w:hideMark/>
          </w:tcPr>
          <w:p w14:paraId="2AE247F0" w14:textId="77777777" w:rsidR="0058566D" w:rsidRDefault="0058566D" w:rsidP="008935F7">
            <w:pPr>
              <w:pStyle w:val="TAC"/>
            </w:pPr>
            <w:r>
              <w:t>-70</w:t>
            </w:r>
          </w:p>
        </w:tc>
      </w:tr>
      <w:tr w:rsidR="0058566D" w14:paraId="101F361E" w14:textId="77777777" w:rsidTr="008935F7">
        <w:trPr>
          <w:jc w:val="center"/>
        </w:trPr>
        <w:tc>
          <w:tcPr>
            <w:tcW w:w="0" w:type="auto"/>
            <w:vMerge/>
            <w:tcBorders>
              <w:top w:val="single" w:sz="6" w:space="0" w:color="auto"/>
              <w:left w:val="single" w:sz="4" w:space="0" w:color="auto"/>
              <w:bottom w:val="nil"/>
              <w:right w:val="single" w:sz="6" w:space="0" w:color="auto"/>
            </w:tcBorders>
            <w:vAlign w:val="center"/>
            <w:hideMark/>
          </w:tcPr>
          <w:p w14:paraId="692780CA"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2B84AB83"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1BB48A2C" w14:textId="77777777" w:rsidR="0058566D" w:rsidRDefault="0058566D" w:rsidP="008935F7">
            <w:pPr>
              <w:spacing w:after="0"/>
              <w:rPr>
                <w:rFonts w:ascii="Arial" w:hAnsi="Arial"/>
                <w:sz w:val="18"/>
              </w:rPr>
            </w:pPr>
          </w:p>
        </w:tc>
        <w:tc>
          <w:tcPr>
            <w:tcW w:w="1677" w:type="dxa"/>
            <w:tcBorders>
              <w:top w:val="single" w:sz="6" w:space="0" w:color="auto"/>
              <w:left w:val="single" w:sz="6" w:space="0" w:color="auto"/>
              <w:bottom w:val="single" w:sz="6" w:space="0" w:color="auto"/>
              <w:right w:val="single" w:sz="4" w:space="0" w:color="auto"/>
            </w:tcBorders>
            <w:vAlign w:val="center"/>
            <w:hideMark/>
          </w:tcPr>
          <w:p w14:paraId="78257BB2" w14:textId="77777777" w:rsidR="0058566D" w:rsidRDefault="0058566D" w:rsidP="008935F7">
            <w:pPr>
              <w:pStyle w:val="TAC"/>
              <w:rPr>
                <w:lang w:val="sv-SE"/>
              </w:rPr>
            </w:pPr>
            <w:r>
              <w:rPr>
                <w:lang w:val="sv-SE"/>
              </w:rPr>
              <w:t>NR_FDD_FR1_E, NR_TDD_FR1_E</w:t>
            </w:r>
          </w:p>
        </w:tc>
        <w:tc>
          <w:tcPr>
            <w:tcW w:w="827" w:type="dxa"/>
            <w:tcBorders>
              <w:top w:val="single" w:sz="6" w:space="0" w:color="auto"/>
              <w:left w:val="single" w:sz="4" w:space="0" w:color="auto"/>
              <w:bottom w:val="single" w:sz="6" w:space="0" w:color="auto"/>
              <w:right w:val="single" w:sz="6" w:space="0" w:color="auto"/>
            </w:tcBorders>
            <w:vAlign w:val="center"/>
            <w:hideMark/>
          </w:tcPr>
          <w:p w14:paraId="510740F7" w14:textId="77777777" w:rsidR="0058566D" w:rsidRDefault="0058566D" w:rsidP="008935F7">
            <w:pPr>
              <w:pStyle w:val="TAC"/>
            </w:pPr>
            <w:r>
              <w:t>-119</w:t>
            </w:r>
          </w:p>
        </w:tc>
        <w:tc>
          <w:tcPr>
            <w:tcW w:w="827" w:type="dxa"/>
            <w:tcBorders>
              <w:top w:val="single" w:sz="6" w:space="0" w:color="auto"/>
              <w:left w:val="single" w:sz="4" w:space="0" w:color="auto"/>
              <w:bottom w:val="single" w:sz="6" w:space="0" w:color="auto"/>
              <w:right w:val="single" w:sz="6" w:space="0" w:color="auto"/>
            </w:tcBorders>
            <w:vAlign w:val="center"/>
            <w:hideMark/>
          </w:tcPr>
          <w:p w14:paraId="1E5433C0" w14:textId="77777777" w:rsidR="0058566D" w:rsidRDefault="0058566D" w:rsidP="008935F7">
            <w:pPr>
              <w:pStyle w:val="TAC"/>
              <w:rPr>
                <w:lang w:val="sv-SE"/>
              </w:rPr>
            </w:pPr>
            <w:r>
              <w:t>-116</w:t>
            </w:r>
          </w:p>
        </w:tc>
        <w:tc>
          <w:tcPr>
            <w:tcW w:w="1034" w:type="dxa"/>
            <w:tcBorders>
              <w:top w:val="single" w:sz="6" w:space="0" w:color="auto"/>
              <w:left w:val="single" w:sz="4" w:space="0" w:color="auto"/>
              <w:bottom w:val="single" w:sz="6" w:space="0" w:color="auto"/>
              <w:right w:val="single" w:sz="6" w:space="0" w:color="auto"/>
            </w:tcBorders>
            <w:vAlign w:val="center"/>
          </w:tcPr>
          <w:p w14:paraId="1F52156F" w14:textId="77777777" w:rsidR="0058566D" w:rsidRDefault="0058566D" w:rsidP="008935F7">
            <w:pPr>
              <w:pStyle w:val="TAC"/>
            </w:pPr>
            <w:r>
              <w:t>-113</w:t>
            </w:r>
          </w:p>
        </w:tc>
        <w:tc>
          <w:tcPr>
            <w:tcW w:w="1440" w:type="dxa"/>
            <w:tcBorders>
              <w:top w:val="single" w:sz="6" w:space="0" w:color="auto"/>
              <w:left w:val="single" w:sz="6" w:space="0" w:color="auto"/>
              <w:bottom w:val="single" w:sz="6" w:space="0" w:color="auto"/>
              <w:right w:val="single" w:sz="6" w:space="0" w:color="auto"/>
            </w:tcBorders>
            <w:vAlign w:val="center"/>
            <w:hideMark/>
          </w:tcPr>
          <w:p w14:paraId="2B0CFE25" w14:textId="77777777" w:rsidR="0058566D" w:rsidRDefault="0058566D" w:rsidP="008935F7">
            <w:pPr>
              <w:pStyle w:val="TAC"/>
            </w:pPr>
            <w:r>
              <w:t>N/A</w:t>
            </w:r>
          </w:p>
        </w:tc>
        <w:tc>
          <w:tcPr>
            <w:tcW w:w="1440" w:type="dxa"/>
            <w:gridSpan w:val="2"/>
            <w:tcBorders>
              <w:top w:val="single" w:sz="6" w:space="0" w:color="auto"/>
              <w:left w:val="single" w:sz="6" w:space="0" w:color="auto"/>
              <w:bottom w:val="single" w:sz="6" w:space="0" w:color="auto"/>
              <w:right w:val="single" w:sz="4" w:space="0" w:color="auto"/>
            </w:tcBorders>
            <w:vAlign w:val="center"/>
            <w:hideMark/>
          </w:tcPr>
          <w:p w14:paraId="2C7E9B79" w14:textId="77777777" w:rsidR="0058566D" w:rsidRDefault="0058566D" w:rsidP="008935F7">
            <w:pPr>
              <w:pStyle w:val="TAC"/>
            </w:pPr>
            <w:r>
              <w:t>-70</w:t>
            </w:r>
          </w:p>
        </w:tc>
      </w:tr>
      <w:tr w:rsidR="0058566D" w14:paraId="273F86B0" w14:textId="77777777" w:rsidTr="008935F7">
        <w:trPr>
          <w:jc w:val="center"/>
        </w:trPr>
        <w:tc>
          <w:tcPr>
            <w:tcW w:w="0" w:type="auto"/>
            <w:vMerge/>
            <w:tcBorders>
              <w:top w:val="single" w:sz="6" w:space="0" w:color="auto"/>
              <w:left w:val="single" w:sz="4" w:space="0" w:color="auto"/>
              <w:bottom w:val="nil"/>
              <w:right w:val="single" w:sz="6" w:space="0" w:color="auto"/>
            </w:tcBorders>
            <w:vAlign w:val="center"/>
            <w:hideMark/>
          </w:tcPr>
          <w:p w14:paraId="186BE97A"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7EE8B938"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4116999F" w14:textId="77777777" w:rsidR="0058566D" w:rsidRDefault="0058566D" w:rsidP="008935F7">
            <w:pPr>
              <w:spacing w:after="0"/>
              <w:rPr>
                <w:rFonts w:ascii="Arial" w:hAnsi="Arial"/>
                <w:sz w:val="18"/>
              </w:rPr>
            </w:pPr>
          </w:p>
        </w:tc>
        <w:tc>
          <w:tcPr>
            <w:tcW w:w="1677" w:type="dxa"/>
            <w:tcBorders>
              <w:top w:val="single" w:sz="6" w:space="0" w:color="auto"/>
              <w:left w:val="single" w:sz="6" w:space="0" w:color="auto"/>
              <w:bottom w:val="single" w:sz="6" w:space="0" w:color="auto"/>
              <w:right w:val="single" w:sz="4" w:space="0" w:color="auto"/>
            </w:tcBorders>
            <w:vAlign w:val="center"/>
            <w:hideMark/>
          </w:tcPr>
          <w:p w14:paraId="1B104168" w14:textId="77777777" w:rsidR="0058566D" w:rsidRDefault="0058566D" w:rsidP="008935F7">
            <w:pPr>
              <w:pStyle w:val="TAC"/>
              <w:rPr>
                <w:lang w:val="sv-SE"/>
              </w:rPr>
            </w:pPr>
            <w:r>
              <w:rPr>
                <w:lang w:eastAsia="zh-CN"/>
              </w:rPr>
              <w:t>NR_FDD_FR1_F</w:t>
            </w:r>
          </w:p>
        </w:tc>
        <w:tc>
          <w:tcPr>
            <w:tcW w:w="827" w:type="dxa"/>
            <w:tcBorders>
              <w:top w:val="single" w:sz="6" w:space="0" w:color="auto"/>
              <w:left w:val="single" w:sz="4" w:space="0" w:color="auto"/>
              <w:bottom w:val="single" w:sz="6" w:space="0" w:color="auto"/>
              <w:right w:val="single" w:sz="6" w:space="0" w:color="auto"/>
            </w:tcBorders>
            <w:vAlign w:val="center"/>
            <w:hideMark/>
          </w:tcPr>
          <w:p w14:paraId="59A9E1AF" w14:textId="77777777" w:rsidR="0058566D" w:rsidRDefault="0058566D" w:rsidP="008935F7">
            <w:pPr>
              <w:pStyle w:val="TAC"/>
            </w:pPr>
            <w:r>
              <w:t>-118.5</w:t>
            </w:r>
          </w:p>
        </w:tc>
        <w:tc>
          <w:tcPr>
            <w:tcW w:w="827" w:type="dxa"/>
            <w:tcBorders>
              <w:top w:val="single" w:sz="6" w:space="0" w:color="auto"/>
              <w:left w:val="single" w:sz="4" w:space="0" w:color="auto"/>
              <w:bottom w:val="single" w:sz="6" w:space="0" w:color="auto"/>
              <w:right w:val="single" w:sz="6" w:space="0" w:color="auto"/>
            </w:tcBorders>
            <w:vAlign w:val="center"/>
            <w:hideMark/>
          </w:tcPr>
          <w:p w14:paraId="6543EB89" w14:textId="77777777" w:rsidR="0058566D" w:rsidRDefault="0058566D" w:rsidP="008935F7">
            <w:pPr>
              <w:pStyle w:val="TAC"/>
            </w:pPr>
            <w:r>
              <w:rPr>
                <w:rFonts w:cs="Arial"/>
              </w:rPr>
              <w:t>-115.5</w:t>
            </w:r>
          </w:p>
        </w:tc>
        <w:tc>
          <w:tcPr>
            <w:tcW w:w="1034" w:type="dxa"/>
            <w:tcBorders>
              <w:top w:val="single" w:sz="6" w:space="0" w:color="auto"/>
              <w:left w:val="single" w:sz="4" w:space="0" w:color="auto"/>
              <w:bottom w:val="single" w:sz="6" w:space="0" w:color="auto"/>
              <w:right w:val="single" w:sz="6" w:space="0" w:color="auto"/>
            </w:tcBorders>
            <w:vAlign w:val="center"/>
          </w:tcPr>
          <w:p w14:paraId="79AFD55C" w14:textId="77777777" w:rsidR="0058566D" w:rsidRDefault="0058566D" w:rsidP="008935F7">
            <w:pPr>
              <w:pStyle w:val="TAC"/>
            </w:pPr>
            <w:r>
              <w:rPr>
                <w:rFonts w:cs="Arial"/>
              </w:rPr>
              <w:t>-112.5</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9992E85" w14:textId="77777777" w:rsidR="0058566D" w:rsidRDefault="0058566D" w:rsidP="008935F7">
            <w:pPr>
              <w:pStyle w:val="TAC"/>
            </w:pPr>
            <w:r>
              <w:t>N/A</w:t>
            </w:r>
          </w:p>
        </w:tc>
        <w:tc>
          <w:tcPr>
            <w:tcW w:w="1440" w:type="dxa"/>
            <w:gridSpan w:val="2"/>
            <w:tcBorders>
              <w:top w:val="single" w:sz="6" w:space="0" w:color="auto"/>
              <w:left w:val="single" w:sz="6" w:space="0" w:color="auto"/>
              <w:bottom w:val="single" w:sz="6" w:space="0" w:color="auto"/>
              <w:right w:val="single" w:sz="4" w:space="0" w:color="auto"/>
            </w:tcBorders>
            <w:vAlign w:val="center"/>
            <w:hideMark/>
          </w:tcPr>
          <w:p w14:paraId="349A8726" w14:textId="77777777" w:rsidR="0058566D" w:rsidRDefault="0058566D" w:rsidP="008935F7">
            <w:pPr>
              <w:pStyle w:val="TAC"/>
            </w:pPr>
            <w:r>
              <w:t>-70</w:t>
            </w:r>
          </w:p>
        </w:tc>
      </w:tr>
      <w:tr w:rsidR="0058566D" w14:paraId="5152926E" w14:textId="77777777" w:rsidTr="008935F7">
        <w:trPr>
          <w:jc w:val="center"/>
        </w:trPr>
        <w:tc>
          <w:tcPr>
            <w:tcW w:w="0" w:type="auto"/>
            <w:vMerge/>
            <w:tcBorders>
              <w:top w:val="single" w:sz="6" w:space="0" w:color="auto"/>
              <w:left w:val="single" w:sz="4" w:space="0" w:color="auto"/>
              <w:bottom w:val="nil"/>
              <w:right w:val="single" w:sz="6" w:space="0" w:color="auto"/>
            </w:tcBorders>
            <w:vAlign w:val="center"/>
            <w:hideMark/>
          </w:tcPr>
          <w:p w14:paraId="4B1EC529"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767E8AB6"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6F9C59A2" w14:textId="77777777" w:rsidR="0058566D" w:rsidRDefault="0058566D" w:rsidP="008935F7">
            <w:pPr>
              <w:spacing w:after="0"/>
              <w:rPr>
                <w:rFonts w:ascii="Arial" w:hAnsi="Arial"/>
                <w:sz w:val="18"/>
              </w:rPr>
            </w:pPr>
          </w:p>
        </w:tc>
        <w:tc>
          <w:tcPr>
            <w:tcW w:w="1677" w:type="dxa"/>
            <w:tcBorders>
              <w:top w:val="single" w:sz="6" w:space="0" w:color="auto"/>
              <w:left w:val="single" w:sz="6" w:space="0" w:color="auto"/>
              <w:bottom w:val="single" w:sz="6" w:space="0" w:color="auto"/>
              <w:right w:val="single" w:sz="4" w:space="0" w:color="auto"/>
            </w:tcBorders>
            <w:vAlign w:val="center"/>
            <w:hideMark/>
          </w:tcPr>
          <w:p w14:paraId="5C277CE2" w14:textId="77777777" w:rsidR="0058566D" w:rsidRDefault="0058566D" w:rsidP="008935F7">
            <w:pPr>
              <w:pStyle w:val="TAC"/>
              <w:rPr>
                <w:lang w:eastAsia="zh-CN"/>
              </w:rPr>
            </w:pPr>
            <w:r>
              <w:rPr>
                <w:lang w:eastAsia="zh-CN"/>
              </w:rPr>
              <w:t>NR</w:t>
            </w:r>
            <w:r>
              <w:t>_</w:t>
            </w:r>
            <w:r>
              <w:rPr>
                <w:lang w:eastAsia="zh-CN"/>
              </w:rPr>
              <w:t>FDD_FR1_G</w:t>
            </w:r>
          </w:p>
        </w:tc>
        <w:tc>
          <w:tcPr>
            <w:tcW w:w="827" w:type="dxa"/>
            <w:tcBorders>
              <w:top w:val="single" w:sz="6" w:space="0" w:color="auto"/>
              <w:left w:val="single" w:sz="4" w:space="0" w:color="auto"/>
              <w:bottom w:val="single" w:sz="6" w:space="0" w:color="auto"/>
              <w:right w:val="single" w:sz="6" w:space="0" w:color="auto"/>
            </w:tcBorders>
            <w:vAlign w:val="center"/>
            <w:hideMark/>
          </w:tcPr>
          <w:p w14:paraId="71EECCA1" w14:textId="77777777" w:rsidR="0058566D" w:rsidRDefault="0058566D" w:rsidP="008935F7">
            <w:pPr>
              <w:pStyle w:val="TAC"/>
            </w:pPr>
            <w:r>
              <w:t>-118</w:t>
            </w:r>
          </w:p>
        </w:tc>
        <w:tc>
          <w:tcPr>
            <w:tcW w:w="827" w:type="dxa"/>
            <w:tcBorders>
              <w:top w:val="single" w:sz="6" w:space="0" w:color="auto"/>
              <w:left w:val="single" w:sz="4" w:space="0" w:color="auto"/>
              <w:bottom w:val="single" w:sz="6" w:space="0" w:color="auto"/>
              <w:right w:val="single" w:sz="6" w:space="0" w:color="auto"/>
            </w:tcBorders>
            <w:vAlign w:val="center"/>
            <w:hideMark/>
          </w:tcPr>
          <w:p w14:paraId="712D3738" w14:textId="77777777" w:rsidR="0058566D" w:rsidRDefault="0058566D" w:rsidP="008935F7">
            <w:pPr>
              <w:pStyle w:val="TAC"/>
              <w:rPr>
                <w:rFonts w:cs="Arial"/>
                <w:lang w:val="sv-SE"/>
              </w:rPr>
            </w:pPr>
            <w:r>
              <w:rPr>
                <w:rFonts w:cs="Arial"/>
              </w:rPr>
              <w:t>-115</w:t>
            </w:r>
          </w:p>
        </w:tc>
        <w:tc>
          <w:tcPr>
            <w:tcW w:w="1034" w:type="dxa"/>
            <w:tcBorders>
              <w:top w:val="single" w:sz="6" w:space="0" w:color="auto"/>
              <w:left w:val="single" w:sz="4" w:space="0" w:color="auto"/>
              <w:bottom w:val="single" w:sz="6" w:space="0" w:color="auto"/>
              <w:right w:val="single" w:sz="6" w:space="0" w:color="auto"/>
            </w:tcBorders>
            <w:vAlign w:val="center"/>
          </w:tcPr>
          <w:p w14:paraId="6EAC4D90" w14:textId="77777777" w:rsidR="0058566D" w:rsidRDefault="0058566D" w:rsidP="008935F7">
            <w:pPr>
              <w:pStyle w:val="TAC"/>
            </w:pPr>
            <w:r>
              <w:rPr>
                <w:rFonts w:cs="Arial"/>
              </w:rPr>
              <w:t>-112</w:t>
            </w:r>
          </w:p>
        </w:tc>
        <w:tc>
          <w:tcPr>
            <w:tcW w:w="1440" w:type="dxa"/>
            <w:tcBorders>
              <w:top w:val="single" w:sz="6" w:space="0" w:color="auto"/>
              <w:left w:val="single" w:sz="6" w:space="0" w:color="auto"/>
              <w:bottom w:val="single" w:sz="6" w:space="0" w:color="auto"/>
              <w:right w:val="single" w:sz="6" w:space="0" w:color="auto"/>
            </w:tcBorders>
            <w:vAlign w:val="center"/>
            <w:hideMark/>
          </w:tcPr>
          <w:p w14:paraId="63286EA4" w14:textId="77777777" w:rsidR="0058566D" w:rsidRDefault="0058566D" w:rsidP="008935F7">
            <w:pPr>
              <w:pStyle w:val="TAC"/>
            </w:pPr>
            <w:r>
              <w:t>N/A</w:t>
            </w:r>
          </w:p>
        </w:tc>
        <w:tc>
          <w:tcPr>
            <w:tcW w:w="1440" w:type="dxa"/>
            <w:gridSpan w:val="2"/>
            <w:tcBorders>
              <w:top w:val="single" w:sz="6" w:space="0" w:color="auto"/>
              <w:left w:val="single" w:sz="6" w:space="0" w:color="auto"/>
              <w:bottom w:val="single" w:sz="6" w:space="0" w:color="auto"/>
              <w:right w:val="single" w:sz="4" w:space="0" w:color="auto"/>
            </w:tcBorders>
            <w:vAlign w:val="center"/>
            <w:hideMark/>
          </w:tcPr>
          <w:p w14:paraId="212987FC" w14:textId="77777777" w:rsidR="0058566D" w:rsidRDefault="0058566D" w:rsidP="008935F7">
            <w:pPr>
              <w:pStyle w:val="TAC"/>
            </w:pPr>
            <w:r>
              <w:t>-70</w:t>
            </w:r>
          </w:p>
        </w:tc>
      </w:tr>
      <w:tr w:rsidR="0058566D" w14:paraId="0F6375B9" w14:textId="77777777" w:rsidTr="008935F7">
        <w:trPr>
          <w:jc w:val="center"/>
        </w:trPr>
        <w:tc>
          <w:tcPr>
            <w:tcW w:w="0" w:type="auto"/>
            <w:vMerge/>
            <w:tcBorders>
              <w:top w:val="single" w:sz="6" w:space="0" w:color="auto"/>
              <w:left w:val="single" w:sz="4" w:space="0" w:color="auto"/>
              <w:bottom w:val="nil"/>
              <w:right w:val="single" w:sz="6" w:space="0" w:color="auto"/>
            </w:tcBorders>
            <w:vAlign w:val="center"/>
            <w:hideMark/>
          </w:tcPr>
          <w:p w14:paraId="67C87587"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1051A7A5" w14:textId="77777777" w:rsidR="0058566D" w:rsidRDefault="0058566D" w:rsidP="008935F7">
            <w:pPr>
              <w:spacing w:after="0"/>
              <w:rPr>
                <w:rFonts w:ascii="Arial" w:hAnsi="Arial"/>
                <w:sz w:val="18"/>
              </w:rPr>
            </w:pPr>
          </w:p>
        </w:tc>
        <w:tc>
          <w:tcPr>
            <w:tcW w:w="0" w:type="auto"/>
            <w:vMerge/>
            <w:tcBorders>
              <w:top w:val="single" w:sz="6" w:space="0" w:color="auto"/>
              <w:left w:val="single" w:sz="6" w:space="0" w:color="auto"/>
              <w:bottom w:val="nil"/>
              <w:right w:val="single" w:sz="6" w:space="0" w:color="auto"/>
            </w:tcBorders>
            <w:vAlign w:val="center"/>
            <w:hideMark/>
          </w:tcPr>
          <w:p w14:paraId="27991220" w14:textId="77777777" w:rsidR="0058566D" w:rsidRDefault="0058566D" w:rsidP="008935F7">
            <w:pPr>
              <w:spacing w:after="0"/>
              <w:rPr>
                <w:rFonts w:ascii="Arial" w:hAnsi="Arial"/>
                <w:sz w:val="18"/>
              </w:rPr>
            </w:pPr>
          </w:p>
        </w:tc>
        <w:tc>
          <w:tcPr>
            <w:tcW w:w="1677" w:type="dxa"/>
            <w:tcBorders>
              <w:top w:val="single" w:sz="6" w:space="0" w:color="auto"/>
              <w:left w:val="single" w:sz="6" w:space="0" w:color="auto"/>
              <w:bottom w:val="single" w:sz="6" w:space="0" w:color="auto"/>
              <w:right w:val="single" w:sz="4" w:space="0" w:color="auto"/>
            </w:tcBorders>
            <w:vAlign w:val="center"/>
            <w:hideMark/>
          </w:tcPr>
          <w:p w14:paraId="36591D68" w14:textId="77777777" w:rsidR="0058566D" w:rsidRDefault="0058566D" w:rsidP="008935F7">
            <w:pPr>
              <w:pStyle w:val="TAC"/>
              <w:rPr>
                <w:lang w:eastAsia="zh-CN"/>
              </w:rPr>
            </w:pPr>
            <w:r>
              <w:rPr>
                <w:lang w:eastAsia="zh-CN"/>
              </w:rPr>
              <w:t>NR</w:t>
            </w:r>
            <w:r>
              <w:t>_</w:t>
            </w:r>
            <w:r>
              <w:rPr>
                <w:lang w:eastAsia="zh-CN"/>
              </w:rPr>
              <w:t>FDD_FR1_H</w:t>
            </w:r>
          </w:p>
        </w:tc>
        <w:tc>
          <w:tcPr>
            <w:tcW w:w="827" w:type="dxa"/>
            <w:tcBorders>
              <w:top w:val="single" w:sz="6" w:space="0" w:color="auto"/>
              <w:left w:val="single" w:sz="4" w:space="0" w:color="auto"/>
              <w:bottom w:val="single" w:sz="6" w:space="0" w:color="auto"/>
              <w:right w:val="single" w:sz="6" w:space="0" w:color="auto"/>
            </w:tcBorders>
            <w:vAlign w:val="center"/>
            <w:hideMark/>
          </w:tcPr>
          <w:p w14:paraId="13C9F913" w14:textId="77777777" w:rsidR="0058566D" w:rsidRDefault="0058566D" w:rsidP="008935F7">
            <w:pPr>
              <w:pStyle w:val="TAC"/>
            </w:pPr>
            <w:r>
              <w:t>-117.5</w:t>
            </w:r>
          </w:p>
        </w:tc>
        <w:tc>
          <w:tcPr>
            <w:tcW w:w="827" w:type="dxa"/>
            <w:tcBorders>
              <w:top w:val="single" w:sz="6" w:space="0" w:color="auto"/>
              <w:left w:val="single" w:sz="4" w:space="0" w:color="auto"/>
              <w:bottom w:val="single" w:sz="6" w:space="0" w:color="auto"/>
              <w:right w:val="single" w:sz="6" w:space="0" w:color="auto"/>
            </w:tcBorders>
            <w:vAlign w:val="center"/>
            <w:hideMark/>
          </w:tcPr>
          <w:p w14:paraId="4664FCA8" w14:textId="77777777" w:rsidR="0058566D" w:rsidRDefault="0058566D" w:rsidP="008935F7">
            <w:pPr>
              <w:pStyle w:val="TAC"/>
              <w:rPr>
                <w:rFonts w:cs="Arial"/>
                <w:lang w:val="sv-SE"/>
              </w:rPr>
            </w:pPr>
            <w:r>
              <w:rPr>
                <w:rFonts w:cs="Arial"/>
              </w:rPr>
              <w:t>-114.5</w:t>
            </w:r>
          </w:p>
        </w:tc>
        <w:tc>
          <w:tcPr>
            <w:tcW w:w="1034" w:type="dxa"/>
            <w:tcBorders>
              <w:top w:val="single" w:sz="6" w:space="0" w:color="auto"/>
              <w:left w:val="single" w:sz="4" w:space="0" w:color="auto"/>
              <w:bottom w:val="single" w:sz="6" w:space="0" w:color="auto"/>
              <w:right w:val="single" w:sz="6" w:space="0" w:color="auto"/>
            </w:tcBorders>
            <w:vAlign w:val="center"/>
          </w:tcPr>
          <w:p w14:paraId="2B3DA00F" w14:textId="77777777" w:rsidR="0058566D" w:rsidRDefault="0058566D" w:rsidP="008935F7">
            <w:pPr>
              <w:pStyle w:val="TAC"/>
            </w:pPr>
            <w:r>
              <w:rPr>
                <w:rFonts w:cs="Arial"/>
              </w:rPr>
              <w:t>-111.5</w:t>
            </w:r>
          </w:p>
        </w:tc>
        <w:tc>
          <w:tcPr>
            <w:tcW w:w="1440" w:type="dxa"/>
            <w:tcBorders>
              <w:top w:val="single" w:sz="6" w:space="0" w:color="auto"/>
              <w:left w:val="single" w:sz="6" w:space="0" w:color="auto"/>
              <w:bottom w:val="single" w:sz="6" w:space="0" w:color="auto"/>
              <w:right w:val="single" w:sz="6" w:space="0" w:color="auto"/>
            </w:tcBorders>
            <w:vAlign w:val="center"/>
            <w:hideMark/>
          </w:tcPr>
          <w:p w14:paraId="76322FEB" w14:textId="77777777" w:rsidR="0058566D" w:rsidRDefault="0058566D" w:rsidP="008935F7">
            <w:pPr>
              <w:pStyle w:val="TAC"/>
            </w:pPr>
            <w:r>
              <w:t>N/A</w:t>
            </w:r>
          </w:p>
        </w:tc>
        <w:tc>
          <w:tcPr>
            <w:tcW w:w="1440" w:type="dxa"/>
            <w:gridSpan w:val="2"/>
            <w:tcBorders>
              <w:top w:val="single" w:sz="6" w:space="0" w:color="auto"/>
              <w:left w:val="single" w:sz="6" w:space="0" w:color="auto"/>
              <w:bottom w:val="single" w:sz="6" w:space="0" w:color="auto"/>
              <w:right w:val="single" w:sz="4" w:space="0" w:color="auto"/>
            </w:tcBorders>
            <w:vAlign w:val="center"/>
            <w:hideMark/>
          </w:tcPr>
          <w:p w14:paraId="7E654DB8" w14:textId="77777777" w:rsidR="0058566D" w:rsidRDefault="0058566D" w:rsidP="008935F7">
            <w:pPr>
              <w:pStyle w:val="TAC"/>
            </w:pPr>
            <w:r>
              <w:t>-70</w:t>
            </w:r>
          </w:p>
        </w:tc>
      </w:tr>
      <w:tr w:rsidR="0058566D" w14:paraId="0255B104" w14:textId="77777777" w:rsidTr="008935F7">
        <w:trPr>
          <w:jc w:val="center"/>
        </w:trPr>
        <w:tc>
          <w:tcPr>
            <w:tcW w:w="1026" w:type="dxa"/>
            <w:tcBorders>
              <w:top w:val="single" w:sz="6" w:space="0" w:color="auto"/>
              <w:left w:val="single" w:sz="4" w:space="0" w:color="auto"/>
              <w:bottom w:val="single" w:sz="6" w:space="0" w:color="auto"/>
              <w:right w:val="single" w:sz="6" w:space="0" w:color="auto"/>
            </w:tcBorders>
            <w:vAlign w:val="center"/>
            <w:hideMark/>
          </w:tcPr>
          <w:p w14:paraId="75A7E0A4" w14:textId="77777777" w:rsidR="0058566D" w:rsidRDefault="0058566D" w:rsidP="008935F7">
            <w:pPr>
              <w:pStyle w:val="TAC"/>
            </w:pPr>
            <w:r>
              <w:sym w:font="Symbol" w:char="F0B1"/>
            </w:r>
            <w:r>
              <w:t>8</w:t>
            </w:r>
          </w:p>
        </w:tc>
        <w:tc>
          <w:tcPr>
            <w:tcW w:w="1026" w:type="dxa"/>
            <w:tcBorders>
              <w:top w:val="single" w:sz="6" w:space="0" w:color="auto"/>
              <w:left w:val="single" w:sz="6" w:space="0" w:color="auto"/>
              <w:bottom w:val="single" w:sz="6" w:space="0" w:color="auto"/>
              <w:right w:val="single" w:sz="6" w:space="0" w:color="auto"/>
            </w:tcBorders>
            <w:vAlign w:val="center"/>
            <w:hideMark/>
          </w:tcPr>
          <w:p w14:paraId="4461FAC0" w14:textId="77777777" w:rsidR="0058566D" w:rsidRDefault="0058566D" w:rsidP="008935F7">
            <w:pPr>
              <w:pStyle w:val="TAC"/>
            </w:pPr>
            <w:r>
              <w:sym w:font="Symbol" w:char="F0B1"/>
            </w:r>
            <w:r>
              <w:t>11</w:t>
            </w:r>
          </w:p>
        </w:tc>
        <w:tc>
          <w:tcPr>
            <w:tcW w:w="707" w:type="dxa"/>
            <w:tcBorders>
              <w:top w:val="single" w:sz="6" w:space="0" w:color="auto"/>
              <w:left w:val="single" w:sz="6" w:space="0" w:color="auto"/>
              <w:bottom w:val="single" w:sz="6" w:space="0" w:color="auto"/>
              <w:right w:val="single" w:sz="6" w:space="0" w:color="auto"/>
            </w:tcBorders>
            <w:vAlign w:val="center"/>
            <w:hideMark/>
          </w:tcPr>
          <w:p w14:paraId="7DDD654C" w14:textId="77777777" w:rsidR="0058566D" w:rsidRDefault="0058566D" w:rsidP="008935F7">
            <w:pPr>
              <w:pStyle w:val="TAC"/>
            </w:pPr>
            <w:r>
              <w:sym w:font="Symbol" w:char="F0B3"/>
            </w:r>
            <w:r>
              <w:t>-6</w:t>
            </w:r>
          </w:p>
        </w:tc>
        <w:tc>
          <w:tcPr>
            <w:tcW w:w="1677" w:type="dxa"/>
            <w:tcBorders>
              <w:top w:val="single" w:sz="6" w:space="0" w:color="auto"/>
              <w:left w:val="single" w:sz="6" w:space="0" w:color="auto"/>
              <w:bottom w:val="single" w:sz="6" w:space="0" w:color="auto"/>
              <w:right w:val="single" w:sz="4" w:space="0" w:color="auto"/>
            </w:tcBorders>
            <w:vAlign w:val="center"/>
            <w:hideMark/>
          </w:tcPr>
          <w:p w14:paraId="318414BD" w14:textId="77777777" w:rsidR="0058566D" w:rsidRDefault="0058566D" w:rsidP="008935F7">
            <w:pPr>
              <w:pStyle w:val="TAC"/>
            </w:pPr>
            <w:r>
              <w:t xml:space="preserve">NR_FDD_FR1_A, NR_TDD_FR1_A, </w:t>
            </w:r>
          </w:p>
          <w:p w14:paraId="331C6184" w14:textId="77777777" w:rsidR="0058566D" w:rsidRDefault="0058566D" w:rsidP="008935F7">
            <w:pPr>
              <w:pStyle w:val="TAC"/>
            </w:pPr>
            <w:r>
              <w:rPr>
                <w:rFonts w:cs="Arial"/>
              </w:rPr>
              <w:t>NR_SDL_FR1_A</w:t>
            </w:r>
            <w:r>
              <w:t>,</w:t>
            </w:r>
          </w:p>
          <w:p w14:paraId="62D5CA09" w14:textId="77777777" w:rsidR="0058566D" w:rsidRDefault="0058566D" w:rsidP="008935F7">
            <w:pPr>
              <w:pStyle w:val="TAC"/>
            </w:pPr>
            <w:r>
              <w:t>NR_FDD_FR1_B, NR_TDD_FR1_C, NR_FDD_FR1_D, NR_TDD_FR1_D, NR_FDD_FR1_E, NR_TDD_FR1_E, NR_FDD_FR1_F,</w:t>
            </w:r>
          </w:p>
          <w:p w14:paraId="3EB4A73E" w14:textId="77777777" w:rsidR="0058566D" w:rsidRDefault="0058566D" w:rsidP="008935F7">
            <w:pPr>
              <w:pStyle w:val="TAC"/>
              <w:rPr>
                <w:lang w:val="sv-FI"/>
              </w:rPr>
            </w:pPr>
            <w:r>
              <w:rPr>
                <w:lang w:val="sv-FI"/>
              </w:rPr>
              <w:t>NR_FDD_FR1_G, NR_FDD_FR1_H</w:t>
            </w:r>
          </w:p>
        </w:tc>
        <w:tc>
          <w:tcPr>
            <w:tcW w:w="827" w:type="dxa"/>
            <w:tcBorders>
              <w:top w:val="single" w:sz="6" w:space="0" w:color="auto"/>
              <w:left w:val="single" w:sz="4" w:space="0" w:color="auto"/>
              <w:bottom w:val="single" w:sz="4" w:space="0" w:color="auto"/>
              <w:right w:val="single" w:sz="6" w:space="0" w:color="auto"/>
            </w:tcBorders>
            <w:vAlign w:val="center"/>
            <w:hideMark/>
          </w:tcPr>
          <w:p w14:paraId="3380C58C" w14:textId="77777777" w:rsidR="0058566D" w:rsidRDefault="0058566D" w:rsidP="008935F7">
            <w:pPr>
              <w:pStyle w:val="TAC"/>
            </w:pPr>
            <w:r>
              <w:t>N/A</w:t>
            </w:r>
          </w:p>
        </w:tc>
        <w:tc>
          <w:tcPr>
            <w:tcW w:w="827" w:type="dxa"/>
            <w:tcBorders>
              <w:top w:val="single" w:sz="6" w:space="0" w:color="auto"/>
              <w:left w:val="single" w:sz="4" w:space="0" w:color="auto"/>
              <w:bottom w:val="single" w:sz="4" w:space="0" w:color="auto"/>
              <w:right w:val="single" w:sz="6" w:space="0" w:color="auto"/>
            </w:tcBorders>
            <w:vAlign w:val="center"/>
            <w:hideMark/>
          </w:tcPr>
          <w:p w14:paraId="6E276565" w14:textId="77777777" w:rsidR="0058566D" w:rsidRDefault="0058566D" w:rsidP="008935F7">
            <w:pPr>
              <w:pStyle w:val="TAC"/>
              <w:rPr>
                <w:lang w:eastAsia="zh-CN"/>
              </w:rPr>
            </w:pPr>
            <w:r>
              <w:rPr>
                <w:lang w:eastAsia="zh-CN"/>
              </w:rPr>
              <w:t>N/A</w:t>
            </w:r>
          </w:p>
        </w:tc>
        <w:tc>
          <w:tcPr>
            <w:tcW w:w="1034" w:type="dxa"/>
            <w:tcBorders>
              <w:top w:val="single" w:sz="6" w:space="0" w:color="auto"/>
              <w:left w:val="single" w:sz="6" w:space="0" w:color="auto"/>
              <w:bottom w:val="single" w:sz="4" w:space="0" w:color="auto"/>
              <w:right w:val="single" w:sz="6" w:space="0" w:color="auto"/>
            </w:tcBorders>
            <w:vAlign w:val="center"/>
          </w:tcPr>
          <w:p w14:paraId="7869D637" w14:textId="77777777" w:rsidR="0058566D" w:rsidRDefault="0058566D" w:rsidP="008935F7">
            <w:pPr>
              <w:pStyle w:val="TAC"/>
              <w:jc w:val="left"/>
            </w:pPr>
            <w:r>
              <w:rPr>
                <w:lang w:eastAsia="zh-CN"/>
              </w:rPr>
              <w:t>N/A</w:t>
            </w:r>
          </w:p>
        </w:tc>
        <w:tc>
          <w:tcPr>
            <w:tcW w:w="1440" w:type="dxa"/>
            <w:tcBorders>
              <w:top w:val="single" w:sz="6" w:space="0" w:color="auto"/>
              <w:left w:val="single" w:sz="6" w:space="0" w:color="auto"/>
              <w:bottom w:val="single" w:sz="4" w:space="0" w:color="auto"/>
              <w:right w:val="single" w:sz="6" w:space="0" w:color="auto"/>
            </w:tcBorders>
            <w:vAlign w:val="center"/>
            <w:hideMark/>
          </w:tcPr>
          <w:p w14:paraId="0F4BE602" w14:textId="77777777" w:rsidR="0058566D" w:rsidRDefault="0058566D" w:rsidP="008935F7">
            <w:pPr>
              <w:pStyle w:val="TAC"/>
            </w:pPr>
            <w:r>
              <w:t>-70</w:t>
            </w:r>
          </w:p>
        </w:tc>
        <w:tc>
          <w:tcPr>
            <w:tcW w:w="1440" w:type="dxa"/>
            <w:gridSpan w:val="2"/>
            <w:tcBorders>
              <w:top w:val="single" w:sz="6" w:space="0" w:color="auto"/>
              <w:left w:val="single" w:sz="6" w:space="0" w:color="auto"/>
              <w:bottom w:val="single" w:sz="4" w:space="0" w:color="auto"/>
              <w:right w:val="single" w:sz="4" w:space="0" w:color="auto"/>
            </w:tcBorders>
            <w:vAlign w:val="center"/>
            <w:hideMark/>
          </w:tcPr>
          <w:p w14:paraId="6DC38F19" w14:textId="77777777" w:rsidR="0058566D" w:rsidRDefault="0058566D" w:rsidP="008935F7">
            <w:pPr>
              <w:pStyle w:val="TAC"/>
            </w:pPr>
            <w:r>
              <w:t>-50</w:t>
            </w:r>
          </w:p>
        </w:tc>
      </w:tr>
      <w:tr w:rsidR="0058566D" w14:paraId="57C9565D" w14:textId="77777777" w:rsidTr="008935F7">
        <w:trPr>
          <w:jc w:val="center"/>
        </w:trPr>
        <w:tc>
          <w:tcPr>
            <w:tcW w:w="10004" w:type="dxa"/>
            <w:gridSpan w:val="10"/>
            <w:tcBorders>
              <w:top w:val="single" w:sz="6" w:space="0" w:color="auto"/>
              <w:left w:val="single" w:sz="4" w:space="0" w:color="auto"/>
              <w:bottom w:val="single" w:sz="4" w:space="0" w:color="auto"/>
              <w:right w:val="single" w:sz="4" w:space="0" w:color="auto"/>
            </w:tcBorders>
          </w:tcPr>
          <w:p w14:paraId="2C748E8B" w14:textId="77777777" w:rsidR="0058566D" w:rsidRDefault="0058566D" w:rsidP="00F37389">
            <w:pPr>
              <w:pStyle w:val="TAN"/>
            </w:pPr>
            <w:r>
              <w:t>NOTE 1:</w:t>
            </w:r>
            <w:r>
              <w:tab/>
              <w:t>Io is assumed to have constant EPRE across the bandwidth.</w:t>
            </w:r>
          </w:p>
          <w:p w14:paraId="0E8D24CC" w14:textId="77777777" w:rsidR="0058566D" w:rsidRDefault="0058566D" w:rsidP="00F37389">
            <w:pPr>
              <w:pStyle w:val="TAN"/>
            </w:pPr>
            <w:r>
              <w:t>NOTE 2:</w:t>
            </w:r>
            <w:r>
              <w:tab/>
              <w:t>NR operating band groups in FR1 are as defined in clause 3.5.2.</w:t>
            </w:r>
          </w:p>
        </w:tc>
      </w:tr>
    </w:tbl>
    <w:p w14:paraId="620306B9" w14:textId="77777777" w:rsidR="0058566D" w:rsidRDefault="0058566D" w:rsidP="0058566D">
      <w:pPr>
        <w:rPr>
          <w:lang w:eastAsia="zh-CN"/>
        </w:rPr>
      </w:pPr>
    </w:p>
    <w:p w14:paraId="2925D85A" w14:textId="77777777" w:rsidR="0058566D" w:rsidRDefault="0058566D" w:rsidP="0058566D">
      <w:pPr>
        <w:pStyle w:val="Heading5"/>
      </w:pPr>
      <w:r>
        <w:t>10.1.2.3.2</w:t>
      </w:r>
      <w:r>
        <w:tab/>
        <w:t xml:space="preserve">Relative </w:t>
      </w:r>
      <w:r>
        <w:rPr>
          <w:lang w:val="en-US"/>
        </w:rPr>
        <w:t xml:space="preserve">CSI-RSRP </w:t>
      </w:r>
      <w:r>
        <w:t>Accuracy</w:t>
      </w:r>
    </w:p>
    <w:p w14:paraId="2BE9B2D0" w14:textId="77777777" w:rsidR="0058566D" w:rsidRDefault="0058566D" w:rsidP="0058566D">
      <w:pPr>
        <w:rPr>
          <w:rFonts w:cs="v4.2.0"/>
          <w:i/>
        </w:rPr>
      </w:pPr>
      <w:r>
        <w:rPr>
          <w:rFonts w:cs="v4.2.0"/>
        </w:rPr>
        <w:t xml:space="preserve">The relative accuracy of </w:t>
      </w:r>
      <w:r>
        <w:rPr>
          <w:rFonts w:cs="v4.2.0"/>
          <w:lang w:eastAsia="zh-CN"/>
        </w:rPr>
        <w:t>CSI-RSRP</w:t>
      </w:r>
      <w:r>
        <w:rPr>
          <w:rFonts w:cs="v4.2.0"/>
        </w:rPr>
        <w:t xml:space="preserve"> is defined as the </w:t>
      </w:r>
      <w:r>
        <w:rPr>
          <w:rFonts w:cs="v4.2.0"/>
          <w:lang w:eastAsia="zh-CN"/>
        </w:rPr>
        <w:t>CSI-RSRP</w:t>
      </w:r>
      <w:r>
        <w:rPr>
          <w:rFonts w:cs="v4.2.0"/>
        </w:rPr>
        <w:t xml:space="preserve"> measured from one cell compared to the </w:t>
      </w:r>
      <w:r>
        <w:rPr>
          <w:rFonts w:cs="v4.2.0"/>
          <w:lang w:eastAsia="zh-CN"/>
        </w:rPr>
        <w:t>CSI-RSRP</w:t>
      </w:r>
      <w:r>
        <w:rPr>
          <w:rFonts w:cs="v4.2.0"/>
        </w:rPr>
        <w:t xml:space="preserve"> measured from another cell on the same center frequency, or between any two CSI-RSRP levels measured on the same cell in FR1.</w:t>
      </w:r>
    </w:p>
    <w:p w14:paraId="3F7D9F4B" w14:textId="77777777" w:rsidR="0058566D" w:rsidRDefault="0058566D" w:rsidP="0058566D">
      <w:pPr>
        <w:rPr>
          <w:rFonts w:cs="v4.2.0"/>
        </w:rPr>
      </w:pPr>
      <w:r>
        <w:rPr>
          <w:rFonts w:cs="v4.2.0"/>
        </w:rPr>
        <w:t xml:space="preserve">The accuracy requirements in Table </w:t>
      </w:r>
      <w:r>
        <w:rPr>
          <w:lang w:eastAsia="zh-CN"/>
        </w:rPr>
        <w:t>10.1.2.3.2</w:t>
      </w:r>
      <w:r>
        <w:rPr>
          <w:rFonts w:cs="v4.2.0"/>
        </w:rPr>
        <w:t>-1 are valid under the following conditions:</w:t>
      </w:r>
    </w:p>
    <w:p w14:paraId="5154CFE5" w14:textId="77777777" w:rsidR="0058566D" w:rsidRDefault="0058566D" w:rsidP="00F37389">
      <w:pPr>
        <w:pStyle w:val="B10"/>
        <w:rPr>
          <w:lang w:eastAsia="zh-CN"/>
        </w:rPr>
      </w:pPr>
      <w:r>
        <w:t>-</w:t>
      </w:r>
      <w:r>
        <w:tab/>
        <w:t>Conditions defined in clause 7.3 of TS 38.101-1 [18] for reference sensitivity are fulfilled.</w:t>
      </w:r>
    </w:p>
    <w:p w14:paraId="3DB86141" w14:textId="77777777" w:rsidR="0058566D" w:rsidRDefault="0058566D" w:rsidP="00F37389">
      <w:pPr>
        <w:pStyle w:val="B10"/>
      </w:pPr>
      <w:r>
        <w:t>-</w:t>
      </w:r>
      <w:r>
        <w:tab/>
        <w:t>Conditions for intra-frequency measurements are fulfilled according to Annex B.2.2 for a corresponding Band for each associated SSB.</w:t>
      </w:r>
    </w:p>
    <w:p w14:paraId="6577C504" w14:textId="77777777" w:rsidR="0058566D" w:rsidRDefault="0058566D" w:rsidP="0058566D">
      <w:pPr>
        <w:pStyle w:val="B10"/>
      </w:pPr>
      <w:r>
        <w:t>-</w:t>
      </w:r>
      <w:r>
        <w:tab/>
      </w:r>
      <w:r w:rsidRPr="00B25D3D">
        <w:t xml:space="preserve">Conditions for intra-frequency measurements are fulfilled according to </w:t>
      </w:r>
      <w:r w:rsidRPr="00B4252A">
        <w:t>Annex B.2.</w:t>
      </w:r>
      <w:r>
        <w:t>8</w:t>
      </w:r>
      <w:r w:rsidRPr="00B25D3D">
        <w:t xml:space="preserve"> for a corresponding Band </w:t>
      </w:r>
      <w:r w:rsidRPr="00B4252A">
        <w:t xml:space="preserve">for </w:t>
      </w:r>
      <w:r>
        <w:t>each relevant</w:t>
      </w:r>
      <w:r w:rsidRPr="00B4252A">
        <w:t xml:space="preserve"> CSI-RS to be measured.</w:t>
      </w:r>
    </w:p>
    <w:p w14:paraId="02A6CA7B" w14:textId="19533D6C" w:rsidR="0058566D" w:rsidRDefault="0058566D" w:rsidP="0058566D">
      <w:pPr>
        <w:pStyle w:val="B10"/>
      </w:pPr>
      <w:r>
        <w:rPr>
          <w:rFonts w:hint="eastAsia"/>
          <w:lang w:eastAsia="zh-CN"/>
        </w:rPr>
        <w:t>-</w:t>
      </w:r>
      <w:r>
        <w:tab/>
      </w:r>
      <w:r w:rsidRPr="006820F3">
        <w:t>The bandwidth of CSI-RS is 48 PRBs and the density is 3. The performance with larger bandwidth of CSI-RS is equal to or better than the accuracy requirements in Table 10.1.</w:t>
      </w:r>
      <w:r>
        <w:rPr>
          <w:rFonts w:hint="eastAsia"/>
          <w:lang w:eastAsia="zh-CN"/>
        </w:rPr>
        <w:t>2</w:t>
      </w:r>
      <w:r w:rsidRPr="006820F3">
        <w:t>.</w:t>
      </w:r>
      <w:r>
        <w:rPr>
          <w:rFonts w:hint="eastAsia"/>
          <w:lang w:eastAsia="zh-CN"/>
        </w:rPr>
        <w:t>3</w:t>
      </w:r>
      <w:r w:rsidRPr="006820F3">
        <w:t>.</w:t>
      </w:r>
      <w:r>
        <w:rPr>
          <w:rFonts w:hint="eastAsia"/>
          <w:lang w:eastAsia="zh-CN"/>
        </w:rPr>
        <w:t>2</w:t>
      </w:r>
      <w:r w:rsidRPr="006820F3">
        <w:t>-1.</w:t>
      </w:r>
      <w:r>
        <w:t xml:space="preserve"> -</w:t>
      </w:r>
      <w:r>
        <w:tab/>
      </w:r>
      <w:r>
        <w:rPr>
          <w:rFonts w:hint="eastAsia"/>
          <w:lang w:eastAsia="zh-CN"/>
        </w:rPr>
        <w:t>The</w:t>
      </w:r>
      <w:r w:rsidRPr="003A519B">
        <w:t xml:space="preserve"> timing offset between the reference measurement timing and the target CSI-RS in one layer </w:t>
      </w:r>
      <w:r>
        <w:t xml:space="preserve">is </w:t>
      </w:r>
      <w:r w:rsidRPr="003A519B">
        <w:t>no larger than CP</w:t>
      </w:r>
      <w:r>
        <w:t>.</w:t>
      </w:r>
    </w:p>
    <w:p w14:paraId="037CF2D8" w14:textId="280A11D5" w:rsidR="008935F7" w:rsidRDefault="008935F7" w:rsidP="00AB368A">
      <w:pPr>
        <w:pStyle w:val="NO"/>
        <w:rPr>
          <w:lang w:eastAsia="zh-CN"/>
        </w:rPr>
      </w:pPr>
      <w:r w:rsidRPr="005854E7">
        <w:rPr>
          <w:lang w:eastAsia="zh-CN"/>
        </w:rPr>
        <w:t>Note:</w:t>
      </w:r>
      <w:r w:rsidR="00AB368A">
        <w:rPr>
          <w:lang w:eastAsia="zh-CN"/>
        </w:rPr>
        <w:tab/>
      </w:r>
      <w:r w:rsidRPr="005854E7">
        <w:rPr>
          <w:lang w:eastAsia="zh-CN"/>
        </w:rPr>
        <w:t>The reference measurement timing for one layer for intra-frequency measurement is serving cell timing.</w:t>
      </w:r>
    </w:p>
    <w:p w14:paraId="65DF14AB" w14:textId="77777777" w:rsidR="0058566D" w:rsidRDefault="0058566D">
      <w:pPr>
        <w:pStyle w:val="TH"/>
      </w:pPr>
      <w:r>
        <w:lastRenderedPageBreak/>
        <w:t>Table 10.1.2.3.2-1: CSI-RSRP Intra frequency relative accuracy in FR1</w:t>
      </w:r>
    </w:p>
    <w:tbl>
      <w:tblPr>
        <w:tblW w:w="11102" w:type="dxa"/>
        <w:jc w:val="center"/>
        <w:tblLook w:val="01E0" w:firstRow="1" w:lastRow="1" w:firstColumn="1" w:lastColumn="1" w:noHBand="0" w:noVBand="0"/>
      </w:tblPr>
      <w:tblGrid>
        <w:gridCol w:w="1079"/>
        <w:gridCol w:w="1026"/>
        <w:gridCol w:w="878"/>
        <w:gridCol w:w="2060"/>
        <w:gridCol w:w="1000"/>
        <w:gridCol w:w="1008"/>
        <w:gridCol w:w="1137"/>
        <w:gridCol w:w="1442"/>
        <w:gridCol w:w="24"/>
        <w:gridCol w:w="1424"/>
        <w:gridCol w:w="16"/>
        <w:gridCol w:w="8"/>
      </w:tblGrid>
      <w:tr w:rsidR="0058566D" w14:paraId="1D78517D" w14:textId="77777777" w:rsidTr="008935F7">
        <w:trPr>
          <w:jc w:val="center"/>
        </w:trPr>
        <w:tc>
          <w:tcPr>
            <w:tcW w:w="2105" w:type="dxa"/>
            <w:gridSpan w:val="2"/>
            <w:tcBorders>
              <w:top w:val="single" w:sz="4" w:space="0" w:color="auto"/>
              <w:left w:val="single" w:sz="4" w:space="0" w:color="auto"/>
              <w:bottom w:val="single" w:sz="6" w:space="0" w:color="auto"/>
              <w:right w:val="single" w:sz="6" w:space="0" w:color="auto"/>
            </w:tcBorders>
            <w:vAlign w:val="center"/>
            <w:hideMark/>
          </w:tcPr>
          <w:p w14:paraId="3A28E00E" w14:textId="77777777" w:rsidR="0058566D" w:rsidRDefault="0058566D" w:rsidP="008935F7">
            <w:pPr>
              <w:pStyle w:val="TAH"/>
            </w:pPr>
            <w:r>
              <w:t>Accuracy</w:t>
            </w:r>
          </w:p>
        </w:tc>
        <w:tc>
          <w:tcPr>
            <w:tcW w:w="8997" w:type="dxa"/>
            <w:gridSpan w:val="10"/>
            <w:tcBorders>
              <w:top w:val="single" w:sz="4" w:space="0" w:color="auto"/>
              <w:left w:val="single" w:sz="6" w:space="0" w:color="auto"/>
              <w:bottom w:val="single" w:sz="6" w:space="0" w:color="auto"/>
              <w:right w:val="single" w:sz="4" w:space="0" w:color="auto"/>
            </w:tcBorders>
          </w:tcPr>
          <w:p w14:paraId="4D2848A9" w14:textId="77777777" w:rsidR="0058566D" w:rsidRDefault="0058566D" w:rsidP="008935F7">
            <w:pPr>
              <w:pStyle w:val="TAH"/>
            </w:pPr>
            <w:r>
              <w:t>Conditions</w:t>
            </w:r>
          </w:p>
        </w:tc>
      </w:tr>
      <w:tr w:rsidR="0058566D" w14:paraId="0B29DC3C" w14:textId="77777777" w:rsidTr="008935F7">
        <w:trPr>
          <w:jc w:val="center"/>
        </w:trPr>
        <w:tc>
          <w:tcPr>
            <w:tcW w:w="1079" w:type="dxa"/>
            <w:vMerge w:val="restart"/>
            <w:tcBorders>
              <w:top w:val="single" w:sz="6" w:space="0" w:color="auto"/>
              <w:left w:val="single" w:sz="4" w:space="0" w:color="auto"/>
              <w:bottom w:val="single" w:sz="6" w:space="0" w:color="auto"/>
              <w:right w:val="single" w:sz="6" w:space="0" w:color="auto"/>
            </w:tcBorders>
            <w:vAlign w:val="center"/>
            <w:hideMark/>
          </w:tcPr>
          <w:p w14:paraId="2BDAF6F0" w14:textId="77777777" w:rsidR="0058566D" w:rsidRDefault="0058566D" w:rsidP="008935F7">
            <w:pPr>
              <w:pStyle w:val="TAH"/>
            </w:pPr>
            <w:r>
              <w:t>Normal condition</w:t>
            </w:r>
          </w:p>
        </w:tc>
        <w:tc>
          <w:tcPr>
            <w:tcW w:w="1026" w:type="dxa"/>
            <w:vMerge w:val="restart"/>
            <w:tcBorders>
              <w:top w:val="single" w:sz="6" w:space="0" w:color="auto"/>
              <w:left w:val="single" w:sz="6" w:space="0" w:color="auto"/>
              <w:bottom w:val="single" w:sz="6" w:space="0" w:color="auto"/>
              <w:right w:val="single" w:sz="6" w:space="0" w:color="auto"/>
            </w:tcBorders>
            <w:vAlign w:val="center"/>
            <w:hideMark/>
          </w:tcPr>
          <w:p w14:paraId="0A401674" w14:textId="77777777" w:rsidR="0058566D" w:rsidRDefault="0058566D" w:rsidP="008935F7">
            <w:pPr>
              <w:pStyle w:val="TAH"/>
            </w:pPr>
            <w:r>
              <w:t>Extreme condition</w:t>
            </w:r>
          </w:p>
        </w:tc>
        <w:tc>
          <w:tcPr>
            <w:tcW w:w="878" w:type="dxa"/>
            <w:vMerge w:val="restart"/>
            <w:tcBorders>
              <w:top w:val="single" w:sz="6" w:space="0" w:color="auto"/>
              <w:left w:val="single" w:sz="6" w:space="0" w:color="auto"/>
              <w:bottom w:val="single" w:sz="6" w:space="0" w:color="auto"/>
              <w:right w:val="single" w:sz="6" w:space="0" w:color="auto"/>
            </w:tcBorders>
            <w:vAlign w:val="center"/>
            <w:hideMark/>
          </w:tcPr>
          <w:p w14:paraId="57AA1BA2" w14:textId="77777777" w:rsidR="0058566D" w:rsidRDefault="0058566D" w:rsidP="008935F7">
            <w:pPr>
              <w:pStyle w:val="TAH"/>
            </w:pPr>
            <w:r>
              <w:t>CSI-RS Ês/Iot</w:t>
            </w:r>
            <w:r>
              <w:rPr>
                <w:vertAlign w:val="superscript"/>
              </w:rPr>
              <w:t xml:space="preserve"> Note 2</w:t>
            </w:r>
          </w:p>
        </w:tc>
        <w:tc>
          <w:tcPr>
            <w:tcW w:w="8119" w:type="dxa"/>
            <w:gridSpan w:val="9"/>
            <w:tcBorders>
              <w:top w:val="single" w:sz="6" w:space="0" w:color="auto"/>
              <w:left w:val="single" w:sz="6" w:space="0" w:color="auto"/>
              <w:bottom w:val="single" w:sz="6" w:space="0" w:color="auto"/>
              <w:right w:val="single" w:sz="4" w:space="0" w:color="auto"/>
            </w:tcBorders>
          </w:tcPr>
          <w:p w14:paraId="33F2F83C" w14:textId="77777777" w:rsidR="0058566D" w:rsidRDefault="0058566D" w:rsidP="008935F7">
            <w:pPr>
              <w:pStyle w:val="TAH"/>
            </w:pPr>
            <w:r>
              <w:t>Io</w:t>
            </w:r>
            <w:r>
              <w:rPr>
                <w:vertAlign w:val="superscript"/>
              </w:rPr>
              <w:t xml:space="preserve"> Note 1</w:t>
            </w:r>
            <w:r>
              <w:t xml:space="preserve"> range</w:t>
            </w:r>
          </w:p>
        </w:tc>
      </w:tr>
      <w:tr w:rsidR="0058566D" w14:paraId="34447FE6" w14:textId="77777777" w:rsidTr="008935F7">
        <w:trPr>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5FF29361" w14:textId="77777777" w:rsidR="0058566D" w:rsidRDefault="0058566D" w:rsidP="008935F7">
            <w:pPr>
              <w:spacing w:after="0"/>
              <w:rPr>
                <w:rFonts w:ascii="Arial" w:hAnsi="Arial"/>
                <w:b/>
                <w:sz w:val="18"/>
              </w:rPr>
            </w:pPr>
          </w:p>
        </w:tc>
        <w:tc>
          <w:tcPr>
            <w:tcW w:w="1026" w:type="dxa"/>
            <w:vMerge/>
            <w:tcBorders>
              <w:top w:val="single" w:sz="6" w:space="0" w:color="auto"/>
              <w:left w:val="single" w:sz="6" w:space="0" w:color="auto"/>
              <w:bottom w:val="single" w:sz="6" w:space="0" w:color="auto"/>
              <w:right w:val="single" w:sz="6" w:space="0" w:color="auto"/>
            </w:tcBorders>
            <w:vAlign w:val="center"/>
            <w:hideMark/>
          </w:tcPr>
          <w:p w14:paraId="780CE92B" w14:textId="77777777" w:rsidR="0058566D" w:rsidRDefault="0058566D" w:rsidP="008935F7">
            <w:pPr>
              <w:spacing w:after="0"/>
              <w:rPr>
                <w:rFonts w:ascii="Arial" w:hAnsi="Arial"/>
                <w:b/>
                <w:sz w:val="18"/>
              </w:rPr>
            </w:pPr>
          </w:p>
        </w:tc>
        <w:tc>
          <w:tcPr>
            <w:tcW w:w="878" w:type="dxa"/>
            <w:vMerge/>
            <w:tcBorders>
              <w:top w:val="single" w:sz="6" w:space="0" w:color="auto"/>
              <w:left w:val="single" w:sz="6" w:space="0" w:color="auto"/>
              <w:bottom w:val="single" w:sz="6" w:space="0" w:color="auto"/>
              <w:right w:val="single" w:sz="6" w:space="0" w:color="auto"/>
            </w:tcBorders>
            <w:vAlign w:val="center"/>
            <w:hideMark/>
          </w:tcPr>
          <w:p w14:paraId="225A1D45" w14:textId="77777777" w:rsidR="0058566D" w:rsidRDefault="0058566D" w:rsidP="008935F7">
            <w:pPr>
              <w:spacing w:after="0"/>
              <w:rPr>
                <w:rFonts w:ascii="Arial" w:hAnsi="Arial"/>
                <w:b/>
                <w:sz w:val="18"/>
              </w:rPr>
            </w:pPr>
          </w:p>
        </w:tc>
        <w:tc>
          <w:tcPr>
            <w:tcW w:w="2060" w:type="dxa"/>
            <w:tcBorders>
              <w:top w:val="single" w:sz="6" w:space="0" w:color="auto"/>
              <w:left w:val="single" w:sz="6" w:space="0" w:color="auto"/>
              <w:bottom w:val="single" w:sz="6" w:space="0" w:color="auto"/>
              <w:right w:val="single" w:sz="4" w:space="0" w:color="auto"/>
            </w:tcBorders>
            <w:vAlign w:val="center"/>
            <w:hideMark/>
          </w:tcPr>
          <w:p w14:paraId="7621A346" w14:textId="77777777" w:rsidR="0058566D" w:rsidRDefault="0058566D" w:rsidP="008935F7">
            <w:pPr>
              <w:pStyle w:val="TAH"/>
            </w:pPr>
            <w:r>
              <w:t>NR operating band groups</w:t>
            </w:r>
            <w:r>
              <w:rPr>
                <w:vertAlign w:val="superscript"/>
              </w:rPr>
              <w:t xml:space="preserve"> Note 4</w:t>
            </w:r>
          </w:p>
        </w:tc>
        <w:tc>
          <w:tcPr>
            <w:tcW w:w="4611" w:type="dxa"/>
            <w:gridSpan w:val="5"/>
            <w:tcBorders>
              <w:top w:val="single" w:sz="4" w:space="0" w:color="auto"/>
              <w:left w:val="single" w:sz="4" w:space="0" w:color="auto"/>
              <w:bottom w:val="single" w:sz="6" w:space="0" w:color="auto"/>
              <w:right w:val="single" w:sz="6" w:space="0" w:color="auto"/>
            </w:tcBorders>
          </w:tcPr>
          <w:p w14:paraId="0381B203" w14:textId="77777777" w:rsidR="0058566D" w:rsidRDefault="0058566D" w:rsidP="008935F7">
            <w:pPr>
              <w:pStyle w:val="TAH"/>
            </w:pPr>
            <w:r>
              <w:t>Minimum Io</w:t>
            </w:r>
          </w:p>
        </w:tc>
        <w:tc>
          <w:tcPr>
            <w:tcW w:w="1448" w:type="dxa"/>
            <w:gridSpan w:val="3"/>
            <w:tcBorders>
              <w:top w:val="single" w:sz="4" w:space="0" w:color="auto"/>
              <w:left w:val="single" w:sz="6" w:space="0" w:color="auto"/>
              <w:bottom w:val="single" w:sz="6" w:space="0" w:color="auto"/>
              <w:right w:val="single" w:sz="4" w:space="0" w:color="auto"/>
            </w:tcBorders>
            <w:vAlign w:val="center"/>
            <w:hideMark/>
          </w:tcPr>
          <w:p w14:paraId="2196E10D" w14:textId="77777777" w:rsidR="0058566D" w:rsidRDefault="0058566D" w:rsidP="008935F7">
            <w:pPr>
              <w:pStyle w:val="TAH"/>
            </w:pPr>
            <w:r>
              <w:t>Maximum Io</w:t>
            </w:r>
          </w:p>
        </w:tc>
      </w:tr>
      <w:tr w:rsidR="0058566D" w14:paraId="20E9745E" w14:textId="77777777" w:rsidTr="008935F7">
        <w:trPr>
          <w:gridAfter w:val="2"/>
          <w:wAfter w:w="24" w:type="dxa"/>
          <w:trHeight w:val="308"/>
          <w:jc w:val="center"/>
        </w:trPr>
        <w:tc>
          <w:tcPr>
            <w:tcW w:w="1079" w:type="dxa"/>
            <w:vMerge w:val="restart"/>
            <w:tcBorders>
              <w:top w:val="single" w:sz="6" w:space="0" w:color="auto"/>
              <w:left w:val="single" w:sz="4" w:space="0" w:color="auto"/>
              <w:bottom w:val="single" w:sz="6" w:space="0" w:color="auto"/>
              <w:right w:val="single" w:sz="6" w:space="0" w:color="auto"/>
            </w:tcBorders>
            <w:vAlign w:val="center"/>
            <w:hideMark/>
          </w:tcPr>
          <w:p w14:paraId="42EB5BAB" w14:textId="77777777" w:rsidR="0058566D" w:rsidRDefault="0058566D" w:rsidP="008935F7">
            <w:pPr>
              <w:pStyle w:val="TAH"/>
            </w:pPr>
            <w:r>
              <w:t>dB</w:t>
            </w:r>
          </w:p>
        </w:tc>
        <w:tc>
          <w:tcPr>
            <w:tcW w:w="1026" w:type="dxa"/>
            <w:vMerge w:val="restart"/>
            <w:tcBorders>
              <w:top w:val="single" w:sz="6" w:space="0" w:color="auto"/>
              <w:left w:val="single" w:sz="6" w:space="0" w:color="auto"/>
              <w:bottom w:val="single" w:sz="6" w:space="0" w:color="auto"/>
              <w:right w:val="single" w:sz="6" w:space="0" w:color="auto"/>
            </w:tcBorders>
            <w:vAlign w:val="center"/>
            <w:hideMark/>
          </w:tcPr>
          <w:p w14:paraId="5A28830A" w14:textId="77777777" w:rsidR="0058566D" w:rsidRDefault="0058566D" w:rsidP="008935F7">
            <w:pPr>
              <w:pStyle w:val="TAH"/>
            </w:pPr>
            <w:r>
              <w:t>dB</w:t>
            </w:r>
          </w:p>
        </w:tc>
        <w:tc>
          <w:tcPr>
            <w:tcW w:w="878" w:type="dxa"/>
            <w:vMerge w:val="restart"/>
            <w:tcBorders>
              <w:top w:val="single" w:sz="6" w:space="0" w:color="auto"/>
              <w:left w:val="single" w:sz="6" w:space="0" w:color="auto"/>
              <w:bottom w:val="single" w:sz="6" w:space="0" w:color="auto"/>
              <w:right w:val="single" w:sz="6" w:space="0" w:color="auto"/>
            </w:tcBorders>
            <w:hideMark/>
          </w:tcPr>
          <w:p w14:paraId="5F380141" w14:textId="77777777" w:rsidR="0058566D" w:rsidRDefault="0058566D" w:rsidP="008935F7">
            <w:pPr>
              <w:pStyle w:val="TAH"/>
            </w:pPr>
            <w:r>
              <w:t>dB</w:t>
            </w:r>
          </w:p>
        </w:tc>
        <w:tc>
          <w:tcPr>
            <w:tcW w:w="2060" w:type="dxa"/>
            <w:vMerge w:val="restart"/>
            <w:tcBorders>
              <w:top w:val="single" w:sz="6" w:space="0" w:color="auto"/>
              <w:left w:val="single" w:sz="6" w:space="0" w:color="auto"/>
              <w:bottom w:val="single" w:sz="6" w:space="0" w:color="auto"/>
              <w:right w:val="single" w:sz="4" w:space="0" w:color="auto"/>
            </w:tcBorders>
            <w:vAlign w:val="center"/>
          </w:tcPr>
          <w:p w14:paraId="029506AA" w14:textId="77777777" w:rsidR="0058566D" w:rsidRDefault="0058566D" w:rsidP="008935F7">
            <w:pPr>
              <w:pStyle w:val="TAH"/>
            </w:pPr>
          </w:p>
        </w:tc>
        <w:tc>
          <w:tcPr>
            <w:tcW w:w="3145" w:type="dxa"/>
            <w:gridSpan w:val="3"/>
            <w:tcBorders>
              <w:top w:val="single" w:sz="6" w:space="0" w:color="auto"/>
              <w:left w:val="single" w:sz="4" w:space="0" w:color="auto"/>
              <w:bottom w:val="single" w:sz="6" w:space="0" w:color="auto"/>
              <w:right w:val="single" w:sz="6" w:space="0" w:color="auto"/>
            </w:tcBorders>
            <w:vAlign w:val="center"/>
            <w:hideMark/>
          </w:tcPr>
          <w:p w14:paraId="2A2D5863" w14:textId="77777777" w:rsidR="0058566D" w:rsidRDefault="0058566D" w:rsidP="008935F7">
            <w:pPr>
              <w:pStyle w:val="TAH"/>
            </w:pPr>
            <w:r>
              <w:rPr>
                <w:rFonts w:cs="Arial"/>
              </w:rPr>
              <w:t xml:space="preserve">dBm / </w:t>
            </w:r>
            <w:r>
              <w:t>SCS</w:t>
            </w:r>
            <w:r>
              <w:rPr>
                <w:vertAlign w:val="subscript"/>
              </w:rPr>
              <w:t>CSI-RS</w:t>
            </w:r>
          </w:p>
        </w:tc>
        <w:tc>
          <w:tcPr>
            <w:tcW w:w="1442" w:type="dxa"/>
            <w:tcBorders>
              <w:top w:val="single" w:sz="6" w:space="0" w:color="auto"/>
              <w:left w:val="single" w:sz="6" w:space="0" w:color="auto"/>
              <w:bottom w:val="single" w:sz="6" w:space="0" w:color="auto"/>
              <w:right w:val="single" w:sz="6" w:space="0" w:color="auto"/>
            </w:tcBorders>
            <w:vAlign w:val="center"/>
            <w:hideMark/>
          </w:tcPr>
          <w:p w14:paraId="28A4A363" w14:textId="77777777" w:rsidR="0058566D" w:rsidRDefault="0058566D" w:rsidP="008935F7">
            <w:pPr>
              <w:pStyle w:val="TAH"/>
            </w:pPr>
            <w:r>
              <w:t>dBm/BW</w:t>
            </w:r>
            <w:r>
              <w:rPr>
                <w:vertAlign w:val="subscript"/>
              </w:rPr>
              <w:t>Channel</w:t>
            </w:r>
          </w:p>
        </w:tc>
        <w:tc>
          <w:tcPr>
            <w:tcW w:w="1448" w:type="dxa"/>
            <w:gridSpan w:val="2"/>
            <w:tcBorders>
              <w:top w:val="single" w:sz="6" w:space="0" w:color="auto"/>
              <w:left w:val="single" w:sz="6" w:space="0" w:color="auto"/>
              <w:bottom w:val="single" w:sz="6" w:space="0" w:color="auto"/>
              <w:right w:val="single" w:sz="4" w:space="0" w:color="auto"/>
            </w:tcBorders>
            <w:vAlign w:val="center"/>
            <w:hideMark/>
          </w:tcPr>
          <w:p w14:paraId="4F1CDA24" w14:textId="77777777" w:rsidR="0058566D" w:rsidRDefault="0058566D" w:rsidP="008935F7">
            <w:pPr>
              <w:pStyle w:val="TAH"/>
            </w:pPr>
            <w:r>
              <w:t>dBm/BW</w:t>
            </w:r>
            <w:r>
              <w:rPr>
                <w:vertAlign w:val="subscript"/>
              </w:rPr>
              <w:t>Channel</w:t>
            </w:r>
          </w:p>
        </w:tc>
      </w:tr>
      <w:tr w:rsidR="0058566D" w14:paraId="0653AA82" w14:textId="77777777" w:rsidTr="008935F7">
        <w:trPr>
          <w:gridAfter w:val="1"/>
          <w:wAfter w:w="8" w:type="dxa"/>
          <w:trHeight w:val="307"/>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3721F318" w14:textId="77777777" w:rsidR="0058566D" w:rsidRDefault="0058566D" w:rsidP="008935F7">
            <w:pPr>
              <w:spacing w:after="0"/>
              <w:rPr>
                <w:rFonts w:ascii="Arial" w:hAnsi="Arial"/>
                <w:b/>
                <w:sz w:val="18"/>
              </w:rPr>
            </w:pPr>
          </w:p>
        </w:tc>
        <w:tc>
          <w:tcPr>
            <w:tcW w:w="1026" w:type="dxa"/>
            <w:vMerge/>
            <w:tcBorders>
              <w:top w:val="single" w:sz="6" w:space="0" w:color="auto"/>
              <w:left w:val="single" w:sz="6" w:space="0" w:color="auto"/>
              <w:bottom w:val="single" w:sz="6" w:space="0" w:color="auto"/>
              <w:right w:val="single" w:sz="6" w:space="0" w:color="auto"/>
            </w:tcBorders>
            <w:vAlign w:val="center"/>
            <w:hideMark/>
          </w:tcPr>
          <w:p w14:paraId="2C77BB5C" w14:textId="77777777" w:rsidR="0058566D" w:rsidRDefault="0058566D" w:rsidP="008935F7">
            <w:pPr>
              <w:spacing w:after="0"/>
              <w:rPr>
                <w:rFonts w:ascii="Arial" w:hAnsi="Arial"/>
                <w:b/>
                <w:sz w:val="18"/>
              </w:rPr>
            </w:pPr>
          </w:p>
        </w:tc>
        <w:tc>
          <w:tcPr>
            <w:tcW w:w="878" w:type="dxa"/>
            <w:vMerge/>
            <w:tcBorders>
              <w:top w:val="single" w:sz="6" w:space="0" w:color="auto"/>
              <w:left w:val="single" w:sz="6" w:space="0" w:color="auto"/>
              <w:bottom w:val="single" w:sz="6" w:space="0" w:color="auto"/>
              <w:right w:val="single" w:sz="6" w:space="0" w:color="auto"/>
            </w:tcBorders>
            <w:vAlign w:val="center"/>
            <w:hideMark/>
          </w:tcPr>
          <w:p w14:paraId="085B7185" w14:textId="77777777" w:rsidR="0058566D" w:rsidRDefault="0058566D" w:rsidP="008935F7">
            <w:pPr>
              <w:spacing w:after="0"/>
              <w:rPr>
                <w:rFonts w:ascii="Arial" w:hAnsi="Arial"/>
                <w:b/>
                <w:sz w:val="18"/>
              </w:rPr>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371EBE87" w14:textId="77777777" w:rsidR="0058566D" w:rsidRDefault="0058566D" w:rsidP="008935F7">
            <w:pPr>
              <w:spacing w:after="0"/>
              <w:rPr>
                <w:rFonts w:ascii="Arial" w:hAnsi="Arial"/>
                <w:b/>
                <w:sz w:val="18"/>
              </w:rPr>
            </w:pPr>
          </w:p>
        </w:tc>
        <w:tc>
          <w:tcPr>
            <w:tcW w:w="1000" w:type="dxa"/>
            <w:tcBorders>
              <w:top w:val="single" w:sz="6" w:space="0" w:color="auto"/>
              <w:left w:val="single" w:sz="4" w:space="0" w:color="auto"/>
              <w:bottom w:val="single" w:sz="6" w:space="0" w:color="auto"/>
              <w:right w:val="single" w:sz="6" w:space="0" w:color="auto"/>
            </w:tcBorders>
            <w:vAlign w:val="center"/>
            <w:hideMark/>
          </w:tcPr>
          <w:p w14:paraId="31801843" w14:textId="77777777" w:rsidR="0058566D" w:rsidRDefault="0058566D" w:rsidP="008935F7">
            <w:pPr>
              <w:pStyle w:val="TAH"/>
              <w:rPr>
                <w:rFonts w:cs="Arial"/>
              </w:rPr>
            </w:pPr>
            <w:r>
              <w:t>SCS</w:t>
            </w:r>
            <w:r>
              <w:rPr>
                <w:vertAlign w:val="subscript"/>
              </w:rPr>
              <w:t>CSI-RS</w:t>
            </w:r>
            <w:r>
              <w:rPr>
                <w:rFonts w:cs="Arial"/>
              </w:rPr>
              <w:t xml:space="preserve"> = 15 kHz</w:t>
            </w:r>
          </w:p>
        </w:tc>
        <w:tc>
          <w:tcPr>
            <w:tcW w:w="1008" w:type="dxa"/>
            <w:tcBorders>
              <w:top w:val="single" w:sz="6" w:space="0" w:color="auto"/>
              <w:left w:val="single" w:sz="4" w:space="0" w:color="auto"/>
              <w:bottom w:val="single" w:sz="6" w:space="0" w:color="auto"/>
              <w:right w:val="single" w:sz="6" w:space="0" w:color="auto"/>
            </w:tcBorders>
            <w:vAlign w:val="center"/>
            <w:hideMark/>
          </w:tcPr>
          <w:p w14:paraId="1A2F864D" w14:textId="77777777" w:rsidR="0058566D" w:rsidRDefault="0058566D" w:rsidP="008935F7">
            <w:pPr>
              <w:pStyle w:val="TAH"/>
              <w:rPr>
                <w:rFonts w:cs="Arial"/>
              </w:rPr>
            </w:pPr>
            <w:r>
              <w:t>SCS</w:t>
            </w:r>
            <w:r>
              <w:rPr>
                <w:vertAlign w:val="subscript"/>
              </w:rPr>
              <w:t>CSI-RS</w:t>
            </w:r>
            <w:r>
              <w:rPr>
                <w:rFonts w:cs="Arial"/>
              </w:rPr>
              <w:t xml:space="preserve"> = 30 kHz</w:t>
            </w:r>
          </w:p>
        </w:tc>
        <w:tc>
          <w:tcPr>
            <w:tcW w:w="1137" w:type="dxa"/>
            <w:tcBorders>
              <w:top w:val="single" w:sz="6" w:space="0" w:color="auto"/>
              <w:left w:val="single" w:sz="6" w:space="0" w:color="auto"/>
              <w:bottom w:val="single" w:sz="6" w:space="0" w:color="auto"/>
              <w:right w:val="single" w:sz="6" w:space="0" w:color="auto"/>
            </w:tcBorders>
          </w:tcPr>
          <w:p w14:paraId="2C400826" w14:textId="77777777" w:rsidR="0058566D" w:rsidRDefault="0058566D" w:rsidP="008935F7">
            <w:pPr>
              <w:pStyle w:val="TAH"/>
            </w:pPr>
            <w:r w:rsidRPr="00E70BDF">
              <w:rPr>
                <w:rFonts w:cs="Arial"/>
              </w:rPr>
              <w:t>SCS</w:t>
            </w:r>
            <w:r w:rsidRPr="0088070A">
              <w:rPr>
                <w:rFonts w:cs="Arial"/>
                <w:vertAlign w:val="subscript"/>
              </w:rPr>
              <w:t>CSI-RS</w:t>
            </w:r>
            <w:r w:rsidRPr="00035CC2">
              <w:rPr>
                <w:rFonts w:cs="Arial"/>
              </w:rPr>
              <w:t xml:space="preserve"> </w:t>
            </w:r>
            <w:r>
              <w:rPr>
                <w:rFonts w:cs="Arial"/>
              </w:rPr>
              <w:t>= 60 kHz</w:t>
            </w:r>
          </w:p>
        </w:tc>
        <w:tc>
          <w:tcPr>
            <w:tcW w:w="0" w:type="auto"/>
            <w:tcBorders>
              <w:top w:val="single" w:sz="6" w:space="0" w:color="auto"/>
              <w:left w:val="single" w:sz="6" w:space="0" w:color="auto"/>
              <w:bottom w:val="single" w:sz="6" w:space="0" w:color="auto"/>
              <w:right w:val="single" w:sz="6" w:space="0" w:color="auto"/>
            </w:tcBorders>
            <w:vAlign w:val="center"/>
            <w:hideMark/>
          </w:tcPr>
          <w:p w14:paraId="2F855AEB" w14:textId="77777777" w:rsidR="0058566D" w:rsidRDefault="0058566D" w:rsidP="008935F7">
            <w:pPr>
              <w:spacing w:after="0"/>
              <w:rPr>
                <w:rFonts w:ascii="Arial" w:hAnsi="Arial"/>
                <w:b/>
                <w:sz w:val="18"/>
              </w:rPr>
            </w:pPr>
          </w:p>
        </w:tc>
        <w:tc>
          <w:tcPr>
            <w:tcW w:w="1464" w:type="dxa"/>
            <w:gridSpan w:val="3"/>
            <w:tcBorders>
              <w:top w:val="single" w:sz="6" w:space="0" w:color="auto"/>
              <w:left w:val="single" w:sz="6" w:space="0" w:color="auto"/>
              <w:bottom w:val="single" w:sz="6" w:space="0" w:color="auto"/>
              <w:right w:val="single" w:sz="4" w:space="0" w:color="auto"/>
            </w:tcBorders>
            <w:vAlign w:val="center"/>
            <w:hideMark/>
          </w:tcPr>
          <w:p w14:paraId="29FDBD4B" w14:textId="77777777" w:rsidR="0058566D" w:rsidRDefault="0058566D" w:rsidP="008935F7">
            <w:pPr>
              <w:spacing w:after="0"/>
              <w:rPr>
                <w:rFonts w:ascii="Arial" w:hAnsi="Arial"/>
                <w:b/>
                <w:sz w:val="18"/>
              </w:rPr>
            </w:pPr>
          </w:p>
        </w:tc>
      </w:tr>
      <w:tr w:rsidR="0058566D" w14:paraId="457F3487" w14:textId="77777777" w:rsidTr="008935F7">
        <w:trPr>
          <w:gridAfter w:val="1"/>
          <w:wAfter w:w="8" w:type="dxa"/>
          <w:jc w:val="center"/>
        </w:trPr>
        <w:tc>
          <w:tcPr>
            <w:tcW w:w="1079" w:type="dxa"/>
            <w:vMerge w:val="restart"/>
            <w:tcBorders>
              <w:top w:val="single" w:sz="6" w:space="0" w:color="auto"/>
              <w:left w:val="single" w:sz="4" w:space="0" w:color="auto"/>
              <w:bottom w:val="nil"/>
              <w:right w:val="single" w:sz="6" w:space="0" w:color="auto"/>
            </w:tcBorders>
            <w:vAlign w:val="center"/>
            <w:hideMark/>
          </w:tcPr>
          <w:p w14:paraId="52C102E9" w14:textId="77777777" w:rsidR="0058566D" w:rsidRDefault="0058566D" w:rsidP="008935F7">
            <w:pPr>
              <w:pStyle w:val="TAC"/>
            </w:pPr>
            <w:r>
              <w:sym w:font="Symbol" w:char="F0B1"/>
            </w:r>
            <w:r>
              <w:t>2</w:t>
            </w:r>
          </w:p>
        </w:tc>
        <w:tc>
          <w:tcPr>
            <w:tcW w:w="1026" w:type="dxa"/>
            <w:vMerge w:val="restart"/>
            <w:tcBorders>
              <w:top w:val="single" w:sz="6" w:space="0" w:color="auto"/>
              <w:left w:val="single" w:sz="6" w:space="0" w:color="auto"/>
              <w:bottom w:val="nil"/>
              <w:right w:val="single" w:sz="6" w:space="0" w:color="auto"/>
            </w:tcBorders>
            <w:vAlign w:val="center"/>
            <w:hideMark/>
          </w:tcPr>
          <w:p w14:paraId="51997BA3" w14:textId="77777777" w:rsidR="0058566D" w:rsidRDefault="0058566D" w:rsidP="008935F7">
            <w:pPr>
              <w:pStyle w:val="TAC"/>
            </w:pPr>
            <w:r>
              <w:sym w:font="Symbol" w:char="F0B1"/>
            </w:r>
            <w:r>
              <w:t>3</w:t>
            </w:r>
          </w:p>
        </w:tc>
        <w:tc>
          <w:tcPr>
            <w:tcW w:w="878" w:type="dxa"/>
            <w:vMerge w:val="restart"/>
            <w:tcBorders>
              <w:top w:val="single" w:sz="6" w:space="0" w:color="auto"/>
              <w:left w:val="single" w:sz="6" w:space="0" w:color="auto"/>
              <w:bottom w:val="nil"/>
              <w:right w:val="single" w:sz="6" w:space="0" w:color="auto"/>
            </w:tcBorders>
            <w:vAlign w:val="center"/>
            <w:hideMark/>
          </w:tcPr>
          <w:p w14:paraId="0828F1A3" w14:textId="77777777" w:rsidR="0058566D" w:rsidRDefault="0058566D" w:rsidP="008935F7">
            <w:pPr>
              <w:pStyle w:val="TAC"/>
            </w:pPr>
            <w:r>
              <w:sym w:font="Symbol" w:char="F0B3"/>
            </w:r>
            <w:r>
              <w:t>-3</w:t>
            </w:r>
          </w:p>
        </w:tc>
        <w:tc>
          <w:tcPr>
            <w:tcW w:w="2060" w:type="dxa"/>
            <w:tcBorders>
              <w:top w:val="single" w:sz="6" w:space="0" w:color="auto"/>
              <w:left w:val="single" w:sz="6" w:space="0" w:color="auto"/>
              <w:bottom w:val="single" w:sz="6" w:space="0" w:color="auto"/>
              <w:right w:val="single" w:sz="4" w:space="0" w:color="auto"/>
            </w:tcBorders>
            <w:vAlign w:val="center"/>
            <w:hideMark/>
          </w:tcPr>
          <w:p w14:paraId="25CAB064" w14:textId="77777777" w:rsidR="0058566D" w:rsidRDefault="0058566D" w:rsidP="008935F7">
            <w:pPr>
              <w:pStyle w:val="TAC"/>
              <w:rPr>
                <w:rFonts w:cs="Arial"/>
                <w:szCs w:val="18"/>
              </w:rPr>
            </w:pPr>
            <w:r>
              <w:rPr>
                <w:rFonts w:cs="Arial"/>
                <w:szCs w:val="18"/>
              </w:rPr>
              <w:t>NR_FDD_FR1_A, NR_TDD_FR1_A,</w:t>
            </w:r>
          </w:p>
          <w:p w14:paraId="6BDDAC51" w14:textId="77777777" w:rsidR="0058566D" w:rsidRDefault="0058566D" w:rsidP="008935F7">
            <w:pPr>
              <w:pStyle w:val="TAC"/>
              <w:rPr>
                <w:rFonts w:cs="Arial"/>
                <w:szCs w:val="18"/>
              </w:rPr>
            </w:pPr>
            <w:r>
              <w:rPr>
                <w:rFonts w:cs="Arial"/>
                <w:szCs w:val="18"/>
              </w:rPr>
              <w:t>NR_SDL_FR1_A</w:t>
            </w:r>
          </w:p>
        </w:tc>
        <w:tc>
          <w:tcPr>
            <w:tcW w:w="1000" w:type="dxa"/>
            <w:tcBorders>
              <w:top w:val="single" w:sz="6" w:space="0" w:color="auto"/>
              <w:left w:val="single" w:sz="4" w:space="0" w:color="auto"/>
              <w:bottom w:val="single" w:sz="6" w:space="0" w:color="auto"/>
              <w:right w:val="single" w:sz="6" w:space="0" w:color="auto"/>
            </w:tcBorders>
            <w:vAlign w:val="center"/>
            <w:hideMark/>
          </w:tcPr>
          <w:p w14:paraId="32287DE9" w14:textId="77777777" w:rsidR="0058566D" w:rsidRDefault="0058566D" w:rsidP="008935F7">
            <w:pPr>
              <w:pStyle w:val="TAC"/>
            </w:pPr>
            <w:r>
              <w:t>-121</w:t>
            </w:r>
          </w:p>
        </w:tc>
        <w:tc>
          <w:tcPr>
            <w:tcW w:w="1008" w:type="dxa"/>
            <w:tcBorders>
              <w:top w:val="single" w:sz="6" w:space="0" w:color="auto"/>
              <w:left w:val="single" w:sz="4" w:space="0" w:color="auto"/>
              <w:bottom w:val="single" w:sz="6" w:space="0" w:color="auto"/>
              <w:right w:val="single" w:sz="6" w:space="0" w:color="auto"/>
            </w:tcBorders>
            <w:vAlign w:val="center"/>
            <w:hideMark/>
          </w:tcPr>
          <w:p w14:paraId="56732F6E" w14:textId="77777777" w:rsidR="0058566D" w:rsidRDefault="0058566D" w:rsidP="008935F7">
            <w:pPr>
              <w:pStyle w:val="TAC"/>
            </w:pPr>
            <w:r>
              <w:t>-118</w:t>
            </w:r>
          </w:p>
        </w:tc>
        <w:tc>
          <w:tcPr>
            <w:tcW w:w="1137" w:type="dxa"/>
            <w:tcBorders>
              <w:top w:val="single" w:sz="6" w:space="0" w:color="auto"/>
              <w:left w:val="single" w:sz="4" w:space="0" w:color="auto"/>
              <w:bottom w:val="single" w:sz="6" w:space="0" w:color="auto"/>
              <w:right w:val="single" w:sz="6" w:space="0" w:color="auto"/>
            </w:tcBorders>
            <w:vAlign w:val="center"/>
          </w:tcPr>
          <w:p w14:paraId="1BEF7C5C" w14:textId="77777777" w:rsidR="0058566D" w:rsidRDefault="0058566D" w:rsidP="008935F7">
            <w:pPr>
              <w:pStyle w:val="TAC"/>
            </w:pPr>
            <w:r>
              <w:t>-115</w:t>
            </w:r>
          </w:p>
        </w:tc>
        <w:tc>
          <w:tcPr>
            <w:tcW w:w="1442" w:type="dxa"/>
            <w:tcBorders>
              <w:top w:val="single" w:sz="6" w:space="0" w:color="auto"/>
              <w:left w:val="single" w:sz="6" w:space="0" w:color="auto"/>
              <w:bottom w:val="single" w:sz="6" w:space="0" w:color="auto"/>
              <w:right w:val="single" w:sz="6" w:space="0" w:color="auto"/>
            </w:tcBorders>
            <w:vAlign w:val="center"/>
            <w:hideMark/>
          </w:tcPr>
          <w:p w14:paraId="4D829064" w14:textId="77777777" w:rsidR="0058566D" w:rsidRDefault="0058566D" w:rsidP="008935F7">
            <w:pPr>
              <w:pStyle w:val="TAC"/>
            </w:pPr>
            <w:r>
              <w:t>N/A</w:t>
            </w:r>
          </w:p>
        </w:tc>
        <w:tc>
          <w:tcPr>
            <w:tcW w:w="1464" w:type="dxa"/>
            <w:gridSpan w:val="3"/>
            <w:tcBorders>
              <w:top w:val="single" w:sz="6" w:space="0" w:color="auto"/>
              <w:left w:val="single" w:sz="6" w:space="0" w:color="auto"/>
              <w:bottom w:val="single" w:sz="6" w:space="0" w:color="auto"/>
              <w:right w:val="single" w:sz="4" w:space="0" w:color="auto"/>
            </w:tcBorders>
            <w:vAlign w:val="center"/>
            <w:hideMark/>
          </w:tcPr>
          <w:p w14:paraId="24EA244C" w14:textId="77777777" w:rsidR="0058566D" w:rsidRDefault="0058566D" w:rsidP="008935F7">
            <w:pPr>
              <w:pStyle w:val="TAC"/>
            </w:pPr>
            <w:r>
              <w:t>-50</w:t>
            </w:r>
          </w:p>
        </w:tc>
      </w:tr>
      <w:tr w:rsidR="0058566D" w14:paraId="2E07A7A3" w14:textId="77777777" w:rsidTr="008935F7">
        <w:trPr>
          <w:gridAfter w:val="1"/>
          <w:wAfter w:w="8" w:type="dxa"/>
          <w:jc w:val="center"/>
        </w:trPr>
        <w:tc>
          <w:tcPr>
            <w:tcW w:w="0" w:type="auto"/>
            <w:vMerge/>
            <w:tcBorders>
              <w:top w:val="single" w:sz="6" w:space="0" w:color="auto"/>
              <w:left w:val="single" w:sz="4" w:space="0" w:color="auto"/>
              <w:bottom w:val="nil"/>
              <w:right w:val="single" w:sz="6" w:space="0" w:color="auto"/>
            </w:tcBorders>
            <w:vAlign w:val="center"/>
            <w:hideMark/>
          </w:tcPr>
          <w:p w14:paraId="3C0EEC5F" w14:textId="77777777" w:rsidR="0058566D" w:rsidRDefault="0058566D" w:rsidP="008935F7">
            <w:pPr>
              <w:spacing w:after="0"/>
              <w:rPr>
                <w:rFonts w:ascii="Arial" w:hAnsi="Arial"/>
                <w:sz w:val="18"/>
              </w:rPr>
            </w:pPr>
          </w:p>
        </w:tc>
        <w:tc>
          <w:tcPr>
            <w:tcW w:w="1026" w:type="dxa"/>
            <w:vMerge/>
            <w:tcBorders>
              <w:top w:val="single" w:sz="6" w:space="0" w:color="auto"/>
              <w:left w:val="single" w:sz="6" w:space="0" w:color="auto"/>
              <w:bottom w:val="nil"/>
              <w:right w:val="single" w:sz="6" w:space="0" w:color="auto"/>
            </w:tcBorders>
            <w:vAlign w:val="center"/>
            <w:hideMark/>
          </w:tcPr>
          <w:p w14:paraId="238EBD5F" w14:textId="77777777" w:rsidR="0058566D" w:rsidRDefault="0058566D" w:rsidP="008935F7">
            <w:pPr>
              <w:spacing w:after="0"/>
              <w:rPr>
                <w:rFonts w:ascii="Arial" w:hAnsi="Arial"/>
                <w:sz w:val="18"/>
              </w:rPr>
            </w:pPr>
          </w:p>
        </w:tc>
        <w:tc>
          <w:tcPr>
            <w:tcW w:w="878" w:type="dxa"/>
            <w:vMerge/>
            <w:tcBorders>
              <w:top w:val="single" w:sz="6" w:space="0" w:color="auto"/>
              <w:left w:val="single" w:sz="6" w:space="0" w:color="auto"/>
              <w:bottom w:val="nil"/>
              <w:right w:val="single" w:sz="6" w:space="0" w:color="auto"/>
            </w:tcBorders>
            <w:vAlign w:val="center"/>
            <w:hideMark/>
          </w:tcPr>
          <w:p w14:paraId="3603BC94" w14:textId="77777777" w:rsidR="0058566D" w:rsidRDefault="0058566D" w:rsidP="008935F7">
            <w:pPr>
              <w:spacing w:after="0"/>
              <w:rPr>
                <w:rFonts w:ascii="Arial" w:hAnsi="Arial"/>
                <w:sz w:val="18"/>
              </w:rPr>
            </w:pPr>
          </w:p>
        </w:tc>
        <w:tc>
          <w:tcPr>
            <w:tcW w:w="2060" w:type="dxa"/>
            <w:tcBorders>
              <w:top w:val="single" w:sz="6" w:space="0" w:color="auto"/>
              <w:left w:val="single" w:sz="6" w:space="0" w:color="auto"/>
              <w:bottom w:val="single" w:sz="6" w:space="0" w:color="auto"/>
              <w:right w:val="single" w:sz="4" w:space="0" w:color="auto"/>
            </w:tcBorders>
            <w:hideMark/>
          </w:tcPr>
          <w:p w14:paraId="48665627" w14:textId="77777777" w:rsidR="0058566D" w:rsidRDefault="0058566D" w:rsidP="008935F7">
            <w:pPr>
              <w:pStyle w:val="TAC"/>
            </w:pPr>
            <w:r>
              <w:t>NR_FDD_FR1_B</w:t>
            </w:r>
          </w:p>
        </w:tc>
        <w:tc>
          <w:tcPr>
            <w:tcW w:w="1000" w:type="dxa"/>
            <w:tcBorders>
              <w:top w:val="single" w:sz="6" w:space="0" w:color="auto"/>
              <w:left w:val="single" w:sz="4" w:space="0" w:color="auto"/>
              <w:bottom w:val="single" w:sz="6" w:space="0" w:color="auto"/>
              <w:right w:val="single" w:sz="6" w:space="0" w:color="auto"/>
            </w:tcBorders>
            <w:hideMark/>
          </w:tcPr>
          <w:p w14:paraId="1903EE96" w14:textId="77777777" w:rsidR="0058566D" w:rsidRDefault="0058566D" w:rsidP="008935F7">
            <w:pPr>
              <w:pStyle w:val="TAC"/>
            </w:pPr>
            <w:r>
              <w:t>-120.5</w:t>
            </w:r>
          </w:p>
        </w:tc>
        <w:tc>
          <w:tcPr>
            <w:tcW w:w="1008" w:type="dxa"/>
            <w:tcBorders>
              <w:top w:val="single" w:sz="6" w:space="0" w:color="auto"/>
              <w:left w:val="single" w:sz="4" w:space="0" w:color="auto"/>
              <w:bottom w:val="single" w:sz="6" w:space="0" w:color="auto"/>
              <w:right w:val="single" w:sz="6" w:space="0" w:color="auto"/>
            </w:tcBorders>
            <w:vAlign w:val="center"/>
            <w:hideMark/>
          </w:tcPr>
          <w:p w14:paraId="46E4B0DB" w14:textId="77777777" w:rsidR="0058566D" w:rsidRDefault="0058566D" w:rsidP="008935F7">
            <w:pPr>
              <w:pStyle w:val="TAC"/>
              <w:rPr>
                <w:lang w:val="sv-SE"/>
              </w:rPr>
            </w:pPr>
            <w:r>
              <w:t>-117.5</w:t>
            </w:r>
          </w:p>
        </w:tc>
        <w:tc>
          <w:tcPr>
            <w:tcW w:w="1137" w:type="dxa"/>
            <w:tcBorders>
              <w:top w:val="single" w:sz="6" w:space="0" w:color="auto"/>
              <w:left w:val="single" w:sz="4" w:space="0" w:color="auto"/>
              <w:bottom w:val="single" w:sz="6" w:space="0" w:color="auto"/>
              <w:right w:val="single" w:sz="6" w:space="0" w:color="auto"/>
            </w:tcBorders>
            <w:vAlign w:val="center"/>
          </w:tcPr>
          <w:p w14:paraId="4E619C85" w14:textId="77777777" w:rsidR="0058566D" w:rsidRDefault="0058566D" w:rsidP="008935F7">
            <w:pPr>
              <w:pStyle w:val="TAC"/>
              <w:rPr>
                <w:lang w:eastAsia="ja-JP"/>
              </w:rPr>
            </w:pPr>
            <w:r>
              <w:t>-114.5</w:t>
            </w:r>
          </w:p>
        </w:tc>
        <w:tc>
          <w:tcPr>
            <w:tcW w:w="1442" w:type="dxa"/>
            <w:tcBorders>
              <w:top w:val="single" w:sz="6" w:space="0" w:color="auto"/>
              <w:left w:val="single" w:sz="6" w:space="0" w:color="auto"/>
              <w:bottom w:val="single" w:sz="6" w:space="0" w:color="auto"/>
              <w:right w:val="single" w:sz="6" w:space="0" w:color="auto"/>
            </w:tcBorders>
            <w:hideMark/>
          </w:tcPr>
          <w:p w14:paraId="11BE87CA" w14:textId="77777777" w:rsidR="0058566D" w:rsidRDefault="0058566D" w:rsidP="008935F7">
            <w:pPr>
              <w:pStyle w:val="TAC"/>
            </w:pPr>
            <w:r>
              <w:rPr>
                <w:lang w:eastAsia="ja-JP"/>
              </w:rPr>
              <w:t>N/A</w:t>
            </w:r>
          </w:p>
        </w:tc>
        <w:tc>
          <w:tcPr>
            <w:tcW w:w="1464" w:type="dxa"/>
            <w:gridSpan w:val="3"/>
            <w:tcBorders>
              <w:top w:val="single" w:sz="6" w:space="0" w:color="auto"/>
              <w:left w:val="single" w:sz="6" w:space="0" w:color="auto"/>
              <w:bottom w:val="single" w:sz="6" w:space="0" w:color="auto"/>
              <w:right w:val="single" w:sz="4" w:space="0" w:color="auto"/>
            </w:tcBorders>
            <w:hideMark/>
          </w:tcPr>
          <w:p w14:paraId="556C1252" w14:textId="77777777" w:rsidR="0058566D" w:rsidRDefault="0058566D" w:rsidP="008935F7">
            <w:pPr>
              <w:pStyle w:val="TAC"/>
            </w:pPr>
            <w:r>
              <w:t>-50</w:t>
            </w:r>
          </w:p>
        </w:tc>
      </w:tr>
      <w:tr w:rsidR="0058566D" w14:paraId="2F7B9B32" w14:textId="77777777" w:rsidTr="008935F7">
        <w:trPr>
          <w:gridAfter w:val="1"/>
          <w:wAfter w:w="8" w:type="dxa"/>
          <w:jc w:val="center"/>
        </w:trPr>
        <w:tc>
          <w:tcPr>
            <w:tcW w:w="0" w:type="auto"/>
            <w:vMerge/>
            <w:tcBorders>
              <w:top w:val="single" w:sz="6" w:space="0" w:color="auto"/>
              <w:left w:val="single" w:sz="4" w:space="0" w:color="auto"/>
              <w:bottom w:val="nil"/>
              <w:right w:val="single" w:sz="6" w:space="0" w:color="auto"/>
            </w:tcBorders>
            <w:vAlign w:val="center"/>
            <w:hideMark/>
          </w:tcPr>
          <w:p w14:paraId="76B6D581" w14:textId="77777777" w:rsidR="0058566D" w:rsidRDefault="0058566D" w:rsidP="008935F7">
            <w:pPr>
              <w:spacing w:after="0"/>
              <w:rPr>
                <w:rFonts w:ascii="Arial" w:hAnsi="Arial"/>
                <w:sz w:val="18"/>
              </w:rPr>
            </w:pPr>
          </w:p>
        </w:tc>
        <w:tc>
          <w:tcPr>
            <w:tcW w:w="1026" w:type="dxa"/>
            <w:vMerge/>
            <w:tcBorders>
              <w:top w:val="single" w:sz="6" w:space="0" w:color="auto"/>
              <w:left w:val="single" w:sz="6" w:space="0" w:color="auto"/>
              <w:bottom w:val="nil"/>
              <w:right w:val="single" w:sz="6" w:space="0" w:color="auto"/>
            </w:tcBorders>
            <w:vAlign w:val="center"/>
            <w:hideMark/>
          </w:tcPr>
          <w:p w14:paraId="5F29A608" w14:textId="77777777" w:rsidR="0058566D" w:rsidRDefault="0058566D" w:rsidP="008935F7">
            <w:pPr>
              <w:spacing w:after="0"/>
              <w:rPr>
                <w:rFonts w:ascii="Arial" w:hAnsi="Arial"/>
                <w:sz w:val="18"/>
              </w:rPr>
            </w:pPr>
          </w:p>
        </w:tc>
        <w:tc>
          <w:tcPr>
            <w:tcW w:w="878" w:type="dxa"/>
            <w:vMerge/>
            <w:tcBorders>
              <w:top w:val="single" w:sz="6" w:space="0" w:color="auto"/>
              <w:left w:val="single" w:sz="6" w:space="0" w:color="auto"/>
              <w:bottom w:val="nil"/>
              <w:right w:val="single" w:sz="6" w:space="0" w:color="auto"/>
            </w:tcBorders>
            <w:vAlign w:val="center"/>
            <w:hideMark/>
          </w:tcPr>
          <w:p w14:paraId="5BD35799" w14:textId="77777777" w:rsidR="0058566D" w:rsidRDefault="0058566D" w:rsidP="008935F7">
            <w:pPr>
              <w:spacing w:after="0"/>
              <w:rPr>
                <w:rFonts w:ascii="Arial" w:hAnsi="Arial"/>
                <w:sz w:val="18"/>
              </w:rPr>
            </w:pPr>
          </w:p>
        </w:tc>
        <w:tc>
          <w:tcPr>
            <w:tcW w:w="2060" w:type="dxa"/>
            <w:tcBorders>
              <w:top w:val="single" w:sz="6" w:space="0" w:color="auto"/>
              <w:left w:val="single" w:sz="6" w:space="0" w:color="auto"/>
              <w:bottom w:val="single" w:sz="6" w:space="0" w:color="auto"/>
              <w:right w:val="single" w:sz="4" w:space="0" w:color="auto"/>
            </w:tcBorders>
            <w:vAlign w:val="center"/>
            <w:hideMark/>
          </w:tcPr>
          <w:p w14:paraId="55D4687D" w14:textId="77777777" w:rsidR="0058566D" w:rsidRDefault="0058566D" w:rsidP="008935F7">
            <w:pPr>
              <w:pStyle w:val="TAC"/>
            </w:pPr>
            <w:r>
              <w:t>NR_TDD_FR1_C</w:t>
            </w:r>
          </w:p>
        </w:tc>
        <w:tc>
          <w:tcPr>
            <w:tcW w:w="1000" w:type="dxa"/>
            <w:tcBorders>
              <w:top w:val="single" w:sz="6" w:space="0" w:color="auto"/>
              <w:left w:val="single" w:sz="4" w:space="0" w:color="auto"/>
              <w:bottom w:val="single" w:sz="6" w:space="0" w:color="auto"/>
              <w:right w:val="single" w:sz="6" w:space="0" w:color="auto"/>
            </w:tcBorders>
            <w:vAlign w:val="center"/>
            <w:hideMark/>
          </w:tcPr>
          <w:p w14:paraId="50B9706E" w14:textId="77777777" w:rsidR="0058566D" w:rsidRDefault="0058566D" w:rsidP="008935F7">
            <w:pPr>
              <w:pStyle w:val="TAC"/>
            </w:pPr>
            <w:r>
              <w:t>-120</w:t>
            </w:r>
          </w:p>
        </w:tc>
        <w:tc>
          <w:tcPr>
            <w:tcW w:w="1008" w:type="dxa"/>
            <w:tcBorders>
              <w:top w:val="single" w:sz="6" w:space="0" w:color="auto"/>
              <w:left w:val="single" w:sz="4" w:space="0" w:color="auto"/>
              <w:bottom w:val="single" w:sz="6" w:space="0" w:color="auto"/>
              <w:right w:val="single" w:sz="6" w:space="0" w:color="auto"/>
            </w:tcBorders>
            <w:vAlign w:val="center"/>
            <w:hideMark/>
          </w:tcPr>
          <w:p w14:paraId="751B10D0" w14:textId="77777777" w:rsidR="0058566D" w:rsidRDefault="0058566D" w:rsidP="008935F7">
            <w:pPr>
              <w:pStyle w:val="TAC"/>
              <w:rPr>
                <w:lang w:val="sv-SE"/>
              </w:rPr>
            </w:pPr>
            <w:r>
              <w:t>-117</w:t>
            </w:r>
          </w:p>
        </w:tc>
        <w:tc>
          <w:tcPr>
            <w:tcW w:w="1137" w:type="dxa"/>
            <w:tcBorders>
              <w:top w:val="single" w:sz="6" w:space="0" w:color="auto"/>
              <w:left w:val="single" w:sz="4" w:space="0" w:color="auto"/>
              <w:bottom w:val="single" w:sz="6" w:space="0" w:color="auto"/>
              <w:right w:val="single" w:sz="6" w:space="0" w:color="auto"/>
            </w:tcBorders>
            <w:vAlign w:val="center"/>
          </w:tcPr>
          <w:p w14:paraId="2A60E823" w14:textId="77777777" w:rsidR="0058566D" w:rsidRDefault="0058566D" w:rsidP="008935F7">
            <w:pPr>
              <w:pStyle w:val="TAC"/>
            </w:pPr>
            <w:r>
              <w:t>-114</w:t>
            </w:r>
          </w:p>
        </w:tc>
        <w:tc>
          <w:tcPr>
            <w:tcW w:w="1442" w:type="dxa"/>
            <w:tcBorders>
              <w:top w:val="single" w:sz="6" w:space="0" w:color="auto"/>
              <w:left w:val="single" w:sz="6" w:space="0" w:color="auto"/>
              <w:bottom w:val="single" w:sz="6" w:space="0" w:color="auto"/>
              <w:right w:val="single" w:sz="6" w:space="0" w:color="auto"/>
            </w:tcBorders>
            <w:vAlign w:val="center"/>
            <w:hideMark/>
          </w:tcPr>
          <w:p w14:paraId="62B641D5" w14:textId="77777777" w:rsidR="0058566D" w:rsidRDefault="0058566D" w:rsidP="008935F7">
            <w:pPr>
              <w:pStyle w:val="TAC"/>
            </w:pPr>
            <w:r>
              <w:t>N/A</w:t>
            </w:r>
          </w:p>
        </w:tc>
        <w:tc>
          <w:tcPr>
            <w:tcW w:w="1464" w:type="dxa"/>
            <w:gridSpan w:val="3"/>
            <w:tcBorders>
              <w:top w:val="single" w:sz="6" w:space="0" w:color="auto"/>
              <w:left w:val="single" w:sz="6" w:space="0" w:color="auto"/>
              <w:bottom w:val="single" w:sz="6" w:space="0" w:color="auto"/>
              <w:right w:val="single" w:sz="4" w:space="0" w:color="auto"/>
            </w:tcBorders>
            <w:vAlign w:val="center"/>
            <w:hideMark/>
          </w:tcPr>
          <w:p w14:paraId="05086E49" w14:textId="77777777" w:rsidR="0058566D" w:rsidRDefault="0058566D" w:rsidP="008935F7">
            <w:pPr>
              <w:pStyle w:val="TAC"/>
            </w:pPr>
            <w:r>
              <w:t>-50</w:t>
            </w:r>
          </w:p>
        </w:tc>
      </w:tr>
      <w:tr w:rsidR="0058566D" w14:paraId="5522F165" w14:textId="77777777" w:rsidTr="008935F7">
        <w:trPr>
          <w:gridAfter w:val="1"/>
          <w:wAfter w:w="8" w:type="dxa"/>
          <w:jc w:val="center"/>
        </w:trPr>
        <w:tc>
          <w:tcPr>
            <w:tcW w:w="0" w:type="auto"/>
            <w:vMerge/>
            <w:tcBorders>
              <w:top w:val="single" w:sz="6" w:space="0" w:color="auto"/>
              <w:left w:val="single" w:sz="4" w:space="0" w:color="auto"/>
              <w:bottom w:val="nil"/>
              <w:right w:val="single" w:sz="6" w:space="0" w:color="auto"/>
            </w:tcBorders>
            <w:vAlign w:val="center"/>
            <w:hideMark/>
          </w:tcPr>
          <w:p w14:paraId="33FD9B3E" w14:textId="77777777" w:rsidR="0058566D" w:rsidRDefault="0058566D" w:rsidP="008935F7">
            <w:pPr>
              <w:spacing w:after="0"/>
              <w:rPr>
                <w:rFonts w:ascii="Arial" w:hAnsi="Arial"/>
                <w:sz w:val="18"/>
              </w:rPr>
            </w:pPr>
          </w:p>
        </w:tc>
        <w:tc>
          <w:tcPr>
            <w:tcW w:w="1026" w:type="dxa"/>
            <w:vMerge/>
            <w:tcBorders>
              <w:top w:val="single" w:sz="6" w:space="0" w:color="auto"/>
              <w:left w:val="single" w:sz="6" w:space="0" w:color="auto"/>
              <w:bottom w:val="nil"/>
              <w:right w:val="single" w:sz="6" w:space="0" w:color="auto"/>
            </w:tcBorders>
            <w:vAlign w:val="center"/>
            <w:hideMark/>
          </w:tcPr>
          <w:p w14:paraId="23395757" w14:textId="77777777" w:rsidR="0058566D" w:rsidRDefault="0058566D" w:rsidP="008935F7">
            <w:pPr>
              <w:spacing w:after="0"/>
              <w:rPr>
                <w:rFonts w:ascii="Arial" w:hAnsi="Arial"/>
                <w:sz w:val="18"/>
              </w:rPr>
            </w:pPr>
          </w:p>
        </w:tc>
        <w:tc>
          <w:tcPr>
            <w:tcW w:w="878" w:type="dxa"/>
            <w:vMerge/>
            <w:tcBorders>
              <w:top w:val="single" w:sz="6" w:space="0" w:color="auto"/>
              <w:left w:val="single" w:sz="6" w:space="0" w:color="auto"/>
              <w:bottom w:val="nil"/>
              <w:right w:val="single" w:sz="6" w:space="0" w:color="auto"/>
            </w:tcBorders>
            <w:vAlign w:val="center"/>
            <w:hideMark/>
          </w:tcPr>
          <w:p w14:paraId="69D878D3" w14:textId="77777777" w:rsidR="0058566D" w:rsidRDefault="0058566D" w:rsidP="008935F7">
            <w:pPr>
              <w:spacing w:after="0"/>
              <w:rPr>
                <w:rFonts w:ascii="Arial" w:hAnsi="Arial"/>
                <w:sz w:val="18"/>
              </w:rPr>
            </w:pPr>
          </w:p>
        </w:tc>
        <w:tc>
          <w:tcPr>
            <w:tcW w:w="2060" w:type="dxa"/>
            <w:tcBorders>
              <w:top w:val="single" w:sz="6" w:space="0" w:color="auto"/>
              <w:left w:val="single" w:sz="6" w:space="0" w:color="auto"/>
              <w:bottom w:val="single" w:sz="6" w:space="0" w:color="auto"/>
              <w:right w:val="single" w:sz="4" w:space="0" w:color="auto"/>
            </w:tcBorders>
            <w:vAlign w:val="center"/>
            <w:hideMark/>
          </w:tcPr>
          <w:p w14:paraId="30A016C9" w14:textId="77777777" w:rsidR="0058566D" w:rsidRDefault="0058566D" w:rsidP="008935F7">
            <w:pPr>
              <w:pStyle w:val="TAC"/>
              <w:rPr>
                <w:lang w:val="sv-SE"/>
              </w:rPr>
            </w:pPr>
            <w:r>
              <w:rPr>
                <w:lang w:val="sv-SE"/>
              </w:rPr>
              <w:t>NR_FDD_FR1_D, NR_TDD_FR1_D</w:t>
            </w:r>
          </w:p>
        </w:tc>
        <w:tc>
          <w:tcPr>
            <w:tcW w:w="1000" w:type="dxa"/>
            <w:tcBorders>
              <w:top w:val="single" w:sz="6" w:space="0" w:color="auto"/>
              <w:left w:val="single" w:sz="4" w:space="0" w:color="auto"/>
              <w:bottom w:val="single" w:sz="6" w:space="0" w:color="auto"/>
              <w:right w:val="single" w:sz="6" w:space="0" w:color="auto"/>
            </w:tcBorders>
            <w:vAlign w:val="center"/>
            <w:hideMark/>
          </w:tcPr>
          <w:p w14:paraId="0896F896" w14:textId="77777777" w:rsidR="0058566D" w:rsidRDefault="0058566D" w:rsidP="008935F7">
            <w:pPr>
              <w:pStyle w:val="TAC"/>
            </w:pPr>
            <w:r>
              <w:t>-119.5</w:t>
            </w:r>
          </w:p>
        </w:tc>
        <w:tc>
          <w:tcPr>
            <w:tcW w:w="1008" w:type="dxa"/>
            <w:tcBorders>
              <w:top w:val="single" w:sz="6" w:space="0" w:color="auto"/>
              <w:left w:val="single" w:sz="4" w:space="0" w:color="auto"/>
              <w:bottom w:val="single" w:sz="6" w:space="0" w:color="auto"/>
              <w:right w:val="single" w:sz="6" w:space="0" w:color="auto"/>
            </w:tcBorders>
            <w:vAlign w:val="center"/>
            <w:hideMark/>
          </w:tcPr>
          <w:p w14:paraId="22CB449F" w14:textId="77777777" w:rsidR="0058566D" w:rsidRDefault="0058566D" w:rsidP="008935F7">
            <w:pPr>
              <w:pStyle w:val="TAC"/>
            </w:pPr>
            <w:r>
              <w:t>-116.5</w:t>
            </w:r>
          </w:p>
        </w:tc>
        <w:tc>
          <w:tcPr>
            <w:tcW w:w="1137" w:type="dxa"/>
            <w:tcBorders>
              <w:top w:val="single" w:sz="6" w:space="0" w:color="auto"/>
              <w:left w:val="single" w:sz="4" w:space="0" w:color="auto"/>
              <w:bottom w:val="single" w:sz="6" w:space="0" w:color="auto"/>
              <w:right w:val="single" w:sz="6" w:space="0" w:color="auto"/>
            </w:tcBorders>
            <w:vAlign w:val="center"/>
          </w:tcPr>
          <w:p w14:paraId="6B144F17" w14:textId="77777777" w:rsidR="0058566D" w:rsidRDefault="0058566D" w:rsidP="008935F7">
            <w:pPr>
              <w:pStyle w:val="TAC"/>
            </w:pPr>
            <w:r>
              <w:t>-113.5</w:t>
            </w:r>
          </w:p>
        </w:tc>
        <w:tc>
          <w:tcPr>
            <w:tcW w:w="1442" w:type="dxa"/>
            <w:tcBorders>
              <w:top w:val="single" w:sz="6" w:space="0" w:color="auto"/>
              <w:left w:val="single" w:sz="6" w:space="0" w:color="auto"/>
              <w:bottom w:val="single" w:sz="6" w:space="0" w:color="auto"/>
              <w:right w:val="single" w:sz="6" w:space="0" w:color="auto"/>
            </w:tcBorders>
            <w:vAlign w:val="center"/>
            <w:hideMark/>
          </w:tcPr>
          <w:p w14:paraId="052B2291" w14:textId="77777777" w:rsidR="0058566D" w:rsidRDefault="0058566D" w:rsidP="008935F7">
            <w:pPr>
              <w:pStyle w:val="TAC"/>
            </w:pPr>
            <w:r>
              <w:t>N/A</w:t>
            </w:r>
          </w:p>
        </w:tc>
        <w:tc>
          <w:tcPr>
            <w:tcW w:w="1464" w:type="dxa"/>
            <w:gridSpan w:val="3"/>
            <w:tcBorders>
              <w:top w:val="single" w:sz="6" w:space="0" w:color="auto"/>
              <w:left w:val="single" w:sz="6" w:space="0" w:color="auto"/>
              <w:bottom w:val="single" w:sz="6" w:space="0" w:color="auto"/>
              <w:right w:val="single" w:sz="4" w:space="0" w:color="auto"/>
            </w:tcBorders>
            <w:vAlign w:val="center"/>
            <w:hideMark/>
          </w:tcPr>
          <w:p w14:paraId="62D9B5DE" w14:textId="77777777" w:rsidR="0058566D" w:rsidRDefault="0058566D" w:rsidP="008935F7">
            <w:pPr>
              <w:pStyle w:val="TAC"/>
            </w:pPr>
            <w:r>
              <w:t>-50</w:t>
            </w:r>
          </w:p>
        </w:tc>
      </w:tr>
      <w:tr w:rsidR="0058566D" w14:paraId="7685FE68" w14:textId="77777777" w:rsidTr="008935F7">
        <w:trPr>
          <w:gridAfter w:val="1"/>
          <w:wAfter w:w="8" w:type="dxa"/>
          <w:jc w:val="center"/>
        </w:trPr>
        <w:tc>
          <w:tcPr>
            <w:tcW w:w="0" w:type="auto"/>
            <w:vMerge/>
            <w:tcBorders>
              <w:top w:val="single" w:sz="6" w:space="0" w:color="auto"/>
              <w:left w:val="single" w:sz="4" w:space="0" w:color="auto"/>
              <w:bottom w:val="nil"/>
              <w:right w:val="single" w:sz="6" w:space="0" w:color="auto"/>
            </w:tcBorders>
            <w:vAlign w:val="center"/>
            <w:hideMark/>
          </w:tcPr>
          <w:p w14:paraId="3893912D" w14:textId="77777777" w:rsidR="0058566D" w:rsidRDefault="0058566D" w:rsidP="008935F7">
            <w:pPr>
              <w:spacing w:after="0"/>
              <w:rPr>
                <w:rFonts w:ascii="Arial" w:hAnsi="Arial"/>
                <w:sz w:val="18"/>
              </w:rPr>
            </w:pPr>
          </w:p>
        </w:tc>
        <w:tc>
          <w:tcPr>
            <w:tcW w:w="1026" w:type="dxa"/>
            <w:vMerge/>
            <w:tcBorders>
              <w:top w:val="single" w:sz="6" w:space="0" w:color="auto"/>
              <w:left w:val="single" w:sz="6" w:space="0" w:color="auto"/>
              <w:bottom w:val="nil"/>
              <w:right w:val="single" w:sz="6" w:space="0" w:color="auto"/>
            </w:tcBorders>
            <w:vAlign w:val="center"/>
            <w:hideMark/>
          </w:tcPr>
          <w:p w14:paraId="10352AE4" w14:textId="77777777" w:rsidR="0058566D" w:rsidRDefault="0058566D" w:rsidP="008935F7">
            <w:pPr>
              <w:spacing w:after="0"/>
              <w:rPr>
                <w:rFonts w:ascii="Arial" w:hAnsi="Arial"/>
                <w:sz w:val="18"/>
              </w:rPr>
            </w:pPr>
          </w:p>
        </w:tc>
        <w:tc>
          <w:tcPr>
            <w:tcW w:w="878" w:type="dxa"/>
            <w:vMerge/>
            <w:tcBorders>
              <w:top w:val="single" w:sz="6" w:space="0" w:color="auto"/>
              <w:left w:val="single" w:sz="6" w:space="0" w:color="auto"/>
              <w:bottom w:val="nil"/>
              <w:right w:val="single" w:sz="6" w:space="0" w:color="auto"/>
            </w:tcBorders>
            <w:vAlign w:val="center"/>
            <w:hideMark/>
          </w:tcPr>
          <w:p w14:paraId="62BB2180" w14:textId="77777777" w:rsidR="0058566D" w:rsidRDefault="0058566D" w:rsidP="008935F7">
            <w:pPr>
              <w:spacing w:after="0"/>
              <w:rPr>
                <w:rFonts w:ascii="Arial" w:hAnsi="Arial"/>
                <w:sz w:val="18"/>
              </w:rPr>
            </w:pPr>
          </w:p>
        </w:tc>
        <w:tc>
          <w:tcPr>
            <w:tcW w:w="2060" w:type="dxa"/>
            <w:tcBorders>
              <w:top w:val="single" w:sz="6" w:space="0" w:color="auto"/>
              <w:left w:val="single" w:sz="6" w:space="0" w:color="auto"/>
              <w:bottom w:val="single" w:sz="6" w:space="0" w:color="auto"/>
              <w:right w:val="single" w:sz="4" w:space="0" w:color="auto"/>
            </w:tcBorders>
            <w:vAlign w:val="center"/>
            <w:hideMark/>
          </w:tcPr>
          <w:p w14:paraId="40011FF0" w14:textId="77777777" w:rsidR="0058566D" w:rsidRDefault="0058566D" w:rsidP="008935F7">
            <w:pPr>
              <w:pStyle w:val="TAC"/>
              <w:rPr>
                <w:lang w:val="sv-SE"/>
              </w:rPr>
            </w:pPr>
            <w:r>
              <w:rPr>
                <w:lang w:val="sv-SE"/>
              </w:rPr>
              <w:t>NR_FDD_FR1_E, NR_TDD_FR1_E</w:t>
            </w:r>
          </w:p>
        </w:tc>
        <w:tc>
          <w:tcPr>
            <w:tcW w:w="1000" w:type="dxa"/>
            <w:tcBorders>
              <w:top w:val="single" w:sz="6" w:space="0" w:color="auto"/>
              <w:left w:val="single" w:sz="4" w:space="0" w:color="auto"/>
              <w:bottom w:val="single" w:sz="6" w:space="0" w:color="auto"/>
              <w:right w:val="single" w:sz="6" w:space="0" w:color="auto"/>
            </w:tcBorders>
            <w:vAlign w:val="center"/>
            <w:hideMark/>
          </w:tcPr>
          <w:p w14:paraId="06331E5F" w14:textId="77777777" w:rsidR="0058566D" w:rsidRDefault="0058566D" w:rsidP="008935F7">
            <w:pPr>
              <w:pStyle w:val="TAC"/>
            </w:pPr>
            <w:r>
              <w:t>-119</w:t>
            </w:r>
          </w:p>
        </w:tc>
        <w:tc>
          <w:tcPr>
            <w:tcW w:w="1008" w:type="dxa"/>
            <w:tcBorders>
              <w:top w:val="single" w:sz="6" w:space="0" w:color="auto"/>
              <w:left w:val="single" w:sz="4" w:space="0" w:color="auto"/>
              <w:bottom w:val="single" w:sz="6" w:space="0" w:color="auto"/>
              <w:right w:val="single" w:sz="6" w:space="0" w:color="auto"/>
            </w:tcBorders>
            <w:vAlign w:val="center"/>
            <w:hideMark/>
          </w:tcPr>
          <w:p w14:paraId="7220D05D" w14:textId="77777777" w:rsidR="0058566D" w:rsidRDefault="0058566D" w:rsidP="008935F7">
            <w:pPr>
              <w:pStyle w:val="TAC"/>
              <w:rPr>
                <w:lang w:val="sv-SE"/>
              </w:rPr>
            </w:pPr>
            <w:r>
              <w:t>-116</w:t>
            </w:r>
          </w:p>
        </w:tc>
        <w:tc>
          <w:tcPr>
            <w:tcW w:w="1137" w:type="dxa"/>
            <w:tcBorders>
              <w:top w:val="single" w:sz="6" w:space="0" w:color="auto"/>
              <w:left w:val="single" w:sz="4" w:space="0" w:color="auto"/>
              <w:bottom w:val="single" w:sz="6" w:space="0" w:color="auto"/>
              <w:right w:val="single" w:sz="6" w:space="0" w:color="auto"/>
            </w:tcBorders>
            <w:vAlign w:val="center"/>
          </w:tcPr>
          <w:p w14:paraId="6FE68647" w14:textId="77777777" w:rsidR="0058566D" w:rsidRDefault="0058566D" w:rsidP="008935F7">
            <w:pPr>
              <w:pStyle w:val="TAC"/>
            </w:pPr>
            <w:r>
              <w:t>-113</w:t>
            </w:r>
          </w:p>
        </w:tc>
        <w:tc>
          <w:tcPr>
            <w:tcW w:w="1442" w:type="dxa"/>
            <w:tcBorders>
              <w:top w:val="single" w:sz="6" w:space="0" w:color="auto"/>
              <w:left w:val="single" w:sz="6" w:space="0" w:color="auto"/>
              <w:bottom w:val="single" w:sz="6" w:space="0" w:color="auto"/>
              <w:right w:val="single" w:sz="6" w:space="0" w:color="auto"/>
            </w:tcBorders>
            <w:vAlign w:val="center"/>
            <w:hideMark/>
          </w:tcPr>
          <w:p w14:paraId="79BA53CA" w14:textId="77777777" w:rsidR="0058566D" w:rsidRDefault="0058566D" w:rsidP="008935F7">
            <w:pPr>
              <w:pStyle w:val="TAC"/>
            </w:pPr>
            <w:r>
              <w:t>N/A</w:t>
            </w:r>
          </w:p>
        </w:tc>
        <w:tc>
          <w:tcPr>
            <w:tcW w:w="1464" w:type="dxa"/>
            <w:gridSpan w:val="3"/>
            <w:tcBorders>
              <w:top w:val="single" w:sz="6" w:space="0" w:color="auto"/>
              <w:left w:val="single" w:sz="6" w:space="0" w:color="auto"/>
              <w:bottom w:val="single" w:sz="6" w:space="0" w:color="auto"/>
              <w:right w:val="single" w:sz="4" w:space="0" w:color="auto"/>
            </w:tcBorders>
            <w:vAlign w:val="center"/>
            <w:hideMark/>
          </w:tcPr>
          <w:p w14:paraId="7C2D7247" w14:textId="77777777" w:rsidR="0058566D" w:rsidRDefault="0058566D" w:rsidP="008935F7">
            <w:pPr>
              <w:pStyle w:val="TAC"/>
            </w:pPr>
            <w:r>
              <w:t>-50</w:t>
            </w:r>
          </w:p>
        </w:tc>
      </w:tr>
      <w:tr w:rsidR="0058566D" w14:paraId="6087DCBF" w14:textId="77777777" w:rsidTr="008935F7">
        <w:trPr>
          <w:gridAfter w:val="1"/>
          <w:wAfter w:w="8" w:type="dxa"/>
          <w:jc w:val="center"/>
        </w:trPr>
        <w:tc>
          <w:tcPr>
            <w:tcW w:w="0" w:type="auto"/>
            <w:vMerge/>
            <w:tcBorders>
              <w:top w:val="single" w:sz="6" w:space="0" w:color="auto"/>
              <w:left w:val="single" w:sz="4" w:space="0" w:color="auto"/>
              <w:bottom w:val="nil"/>
              <w:right w:val="single" w:sz="6" w:space="0" w:color="auto"/>
            </w:tcBorders>
            <w:vAlign w:val="center"/>
            <w:hideMark/>
          </w:tcPr>
          <w:p w14:paraId="0D7DDC49" w14:textId="77777777" w:rsidR="0058566D" w:rsidRDefault="0058566D" w:rsidP="008935F7">
            <w:pPr>
              <w:spacing w:after="0"/>
              <w:rPr>
                <w:rFonts w:ascii="Arial" w:hAnsi="Arial"/>
                <w:sz w:val="18"/>
              </w:rPr>
            </w:pPr>
          </w:p>
        </w:tc>
        <w:tc>
          <w:tcPr>
            <w:tcW w:w="1026" w:type="dxa"/>
            <w:vMerge/>
            <w:tcBorders>
              <w:top w:val="single" w:sz="6" w:space="0" w:color="auto"/>
              <w:left w:val="single" w:sz="6" w:space="0" w:color="auto"/>
              <w:bottom w:val="nil"/>
              <w:right w:val="single" w:sz="6" w:space="0" w:color="auto"/>
            </w:tcBorders>
            <w:vAlign w:val="center"/>
            <w:hideMark/>
          </w:tcPr>
          <w:p w14:paraId="3078A3C7" w14:textId="77777777" w:rsidR="0058566D" w:rsidRDefault="0058566D" w:rsidP="008935F7">
            <w:pPr>
              <w:spacing w:after="0"/>
              <w:rPr>
                <w:rFonts w:ascii="Arial" w:hAnsi="Arial"/>
                <w:sz w:val="18"/>
              </w:rPr>
            </w:pPr>
          </w:p>
        </w:tc>
        <w:tc>
          <w:tcPr>
            <w:tcW w:w="878" w:type="dxa"/>
            <w:vMerge/>
            <w:tcBorders>
              <w:top w:val="single" w:sz="6" w:space="0" w:color="auto"/>
              <w:left w:val="single" w:sz="6" w:space="0" w:color="auto"/>
              <w:bottom w:val="nil"/>
              <w:right w:val="single" w:sz="6" w:space="0" w:color="auto"/>
            </w:tcBorders>
            <w:vAlign w:val="center"/>
            <w:hideMark/>
          </w:tcPr>
          <w:p w14:paraId="1F2FD92B" w14:textId="77777777" w:rsidR="0058566D" w:rsidRDefault="0058566D" w:rsidP="008935F7">
            <w:pPr>
              <w:spacing w:after="0"/>
              <w:rPr>
                <w:rFonts w:ascii="Arial" w:hAnsi="Arial"/>
                <w:sz w:val="18"/>
              </w:rPr>
            </w:pPr>
          </w:p>
        </w:tc>
        <w:tc>
          <w:tcPr>
            <w:tcW w:w="2060" w:type="dxa"/>
            <w:tcBorders>
              <w:top w:val="single" w:sz="6" w:space="0" w:color="auto"/>
              <w:left w:val="single" w:sz="6" w:space="0" w:color="auto"/>
              <w:bottom w:val="single" w:sz="6" w:space="0" w:color="auto"/>
              <w:right w:val="single" w:sz="4" w:space="0" w:color="auto"/>
            </w:tcBorders>
            <w:vAlign w:val="center"/>
            <w:hideMark/>
          </w:tcPr>
          <w:p w14:paraId="09AB123A" w14:textId="77777777" w:rsidR="0058566D" w:rsidRDefault="0058566D" w:rsidP="008935F7">
            <w:pPr>
              <w:pStyle w:val="TAC"/>
              <w:rPr>
                <w:lang w:val="sv-SE"/>
              </w:rPr>
            </w:pPr>
            <w:r>
              <w:rPr>
                <w:lang w:eastAsia="zh-CN"/>
              </w:rPr>
              <w:t>NR_FDD_FR1_F</w:t>
            </w:r>
          </w:p>
        </w:tc>
        <w:tc>
          <w:tcPr>
            <w:tcW w:w="1000" w:type="dxa"/>
            <w:tcBorders>
              <w:top w:val="single" w:sz="6" w:space="0" w:color="auto"/>
              <w:left w:val="single" w:sz="4" w:space="0" w:color="auto"/>
              <w:bottom w:val="single" w:sz="6" w:space="0" w:color="auto"/>
              <w:right w:val="single" w:sz="6" w:space="0" w:color="auto"/>
            </w:tcBorders>
            <w:vAlign w:val="center"/>
            <w:hideMark/>
          </w:tcPr>
          <w:p w14:paraId="02E6F91D" w14:textId="77777777" w:rsidR="0058566D" w:rsidRDefault="0058566D" w:rsidP="008935F7">
            <w:pPr>
              <w:pStyle w:val="TAC"/>
            </w:pPr>
            <w:r>
              <w:t>-118.5</w:t>
            </w:r>
          </w:p>
        </w:tc>
        <w:tc>
          <w:tcPr>
            <w:tcW w:w="1008" w:type="dxa"/>
            <w:tcBorders>
              <w:top w:val="single" w:sz="6" w:space="0" w:color="auto"/>
              <w:left w:val="single" w:sz="4" w:space="0" w:color="auto"/>
              <w:bottom w:val="single" w:sz="6" w:space="0" w:color="auto"/>
              <w:right w:val="single" w:sz="6" w:space="0" w:color="auto"/>
            </w:tcBorders>
            <w:vAlign w:val="center"/>
            <w:hideMark/>
          </w:tcPr>
          <w:p w14:paraId="71EF904B" w14:textId="77777777" w:rsidR="0058566D" w:rsidRDefault="0058566D" w:rsidP="008935F7">
            <w:pPr>
              <w:pStyle w:val="TAC"/>
            </w:pPr>
            <w:r>
              <w:rPr>
                <w:rFonts w:cs="Arial"/>
              </w:rPr>
              <w:t>-115.5</w:t>
            </w:r>
          </w:p>
        </w:tc>
        <w:tc>
          <w:tcPr>
            <w:tcW w:w="1137" w:type="dxa"/>
            <w:tcBorders>
              <w:top w:val="single" w:sz="6" w:space="0" w:color="auto"/>
              <w:left w:val="single" w:sz="4" w:space="0" w:color="auto"/>
              <w:bottom w:val="single" w:sz="6" w:space="0" w:color="auto"/>
              <w:right w:val="single" w:sz="6" w:space="0" w:color="auto"/>
            </w:tcBorders>
            <w:vAlign w:val="center"/>
          </w:tcPr>
          <w:p w14:paraId="0E7F8763" w14:textId="77777777" w:rsidR="0058566D" w:rsidRDefault="0058566D" w:rsidP="008935F7">
            <w:pPr>
              <w:pStyle w:val="TAC"/>
            </w:pPr>
            <w:r>
              <w:rPr>
                <w:rFonts w:cs="Arial"/>
              </w:rPr>
              <w:t>-112.5</w:t>
            </w:r>
          </w:p>
        </w:tc>
        <w:tc>
          <w:tcPr>
            <w:tcW w:w="1442" w:type="dxa"/>
            <w:tcBorders>
              <w:top w:val="single" w:sz="6" w:space="0" w:color="auto"/>
              <w:left w:val="single" w:sz="6" w:space="0" w:color="auto"/>
              <w:bottom w:val="single" w:sz="6" w:space="0" w:color="auto"/>
              <w:right w:val="single" w:sz="6" w:space="0" w:color="auto"/>
            </w:tcBorders>
            <w:vAlign w:val="center"/>
            <w:hideMark/>
          </w:tcPr>
          <w:p w14:paraId="4D798801" w14:textId="77777777" w:rsidR="0058566D" w:rsidRDefault="0058566D" w:rsidP="008935F7">
            <w:pPr>
              <w:pStyle w:val="TAC"/>
            </w:pPr>
            <w:r>
              <w:t>N/A</w:t>
            </w:r>
          </w:p>
        </w:tc>
        <w:tc>
          <w:tcPr>
            <w:tcW w:w="1464" w:type="dxa"/>
            <w:gridSpan w:val="3"/>
            <w:tcBorders>
              <w:top w:val="single" w:sz="6" w:space="0" w:color="auto"/>
              <w:left w:val="single" w:sz="6" w:space="0" w:color="auto"/>
              <w:bottom w:val="single" w:sz="6" w:space="0" w:color="auto"/>
              <w:right w:val="single" w:sz="4" w:space="0" w:color="auto"/>
            </w:tcBorders>
            <w:vAlign w:val="center"/>
            <w:hideMark/>
          </w:tcPr>
          <w:p w14:paraId="4A635A31" w14:textId="77777777" w:rsidR="0058566D" w:rsidRDefault="0058566D" w:rsidP="008935F7">
            <w:pPr>
              <w:pStyle w:val="TAC"/>
            </w:pPr>
            <w:r>
              <w:t>-50</w:t>
            </w:r>
          </w:p>
        </w:tc>
      </w:tr>
      <w:tr w:rsidR="0058566D" w14:paraId="4060588A" w14:textId="77777777" w:rsidTr="008935F7">
        <w:trPr>
          <w:gridAfter w:val="1"/>
          <w:wAfter w:w="8" w:type="dxa"/>
          <w:jc w:val="center"/>
        </w:trPr>
        <w:tc>
          <w:tcPr>
            <w:tcW w:w="0" w:type="auto"/>
            <w:vMerge/>
            <w:tcBorders>
              <w:top w:val="single" w:sz="6" w:space="0" w:color="auto"/>
              <w:left w:val="single" w:sz="4" w:space="0" w:color="auto"/>
              <w:bottom w:val="nil"/>
              <w:right w:val="single" w:sz="6" w:space="0" w:color="auto"/>
            </w:tcBorders>
            <w:vAlign w:val="center"/>
            <w:hideMark/>
          </w:tcPr>
          <w:p w14:paraId="572C6826" w14:textId="77777777" w:rsidR="0058566D" w:rsidRDefault="0058566D" w:rsidP="008935F7">
            <w:pPr>
              <w:spacing w:after="0"/>
              <w:rPr>
                <w:rFonts w:ascii="Arial" w:hAnsi="Arial"/>
                <w:sz w:val="18"/>
              </w:rPr>
            </w:pPr>
          </w:p>
        </w:tc>
        <w:tc>
          <w:tcPr>
            <w:tcW w:w="1026" w:type="dxa"/>
            <w:vMerge/>
            <w:tcBorders>
              <w:top w:val="single" w:sz="6" w:space="0" w:color="auto"/>
              <w:left w:val="single" w:sz="6" w:space="0" w:color="auto"/>
              <w:bottom w:val="nil"/>
              <w:right w:val="single" w:sz="6" w:space="0" w:color="auto"/>
            </w:tcBorders>
            <w:vAlign w:val="center"/>
            <w:hideMark/>
          </w:tcPr>
          <w:p w14:paraId="5DA44EB2" w14:textId="77777777" w:rsidR="0058566D" w:rsidRDefault="0058566D" w:rsidP="008935F7">
            <w:pPr>
              <w:spacing w:after="0"/>
              <w:rPr>
                <w:rFonts w:ascii="Arial" w:hAnsi="Arial"/>
                <w:sz w:val="18"/>
              </w:rPr>
            </w:pPr>
          </w:p>
        </w:tc>
        <w:tc>
          <w:tcPr>
            <w:tcW w:w="878" w:type="dxa"/>
            <w:vMerge/>
            <w:tcBorders>
              <w:top w:val="single" w:sz="6" w:space="0" w:color="auto"/>
              <w:left w:val="single" w:sz="6" w:space="0" w:color="auto"/>
              <w:bottom w:val="nil"/>
              <w:right w:val="single" w:sz="6" w:space="0" w:color="auto"/>
            </w:tcBorders>
            <w:vAlign w:val="center"/>
            <w:hideMark/>
          </w:tcPr>
          <w:p w14:paraId="036BFB27" w14:textId="77777777" w:rsidR="0058566D" w:rsidRDefault="0058566D" w:rsidP="008935F7">
            <w:pPr>
              <w:spacing w:after="0"/>
              <w:rPr>
                <w:rFonts w:ascii="Arial" w:hAnsi="Arial"/>
                <w:sz w:val="18"/>
              </w:rPr>
            </w:pPr>
          </w:p>
        </w:tc>
        <w:tc>
          <w:tcPr>
            <w:tcW w:w="2060" w:type="dxa"/>
            <w:tcBorders>
              <w:top w:val="single" w:sz="6" w:space="0" w:color="auto"/>
              <w:left w:val="single" w:sz="6" w:space="0" w:color="auto"/>
              <w:bottom w:val="single" w:sz="6" w:space="0" w:color="auto"/>
              <w:right w:val="single" w:sz="4" w:space="0" w:color="auto"/>
            </w:tcBorders>
            <w:vAlign w:val="center"/>
            <w:hideMark/>
          </w:tcPr>
          <w:p w14:paraId="608EBDA4" w14:textId="77777777" w:rsidR="0058566D" w:rsidRDefault="0058566D" w:rsidP="008935F7">
            <w:pPr>
              <w:pStyle w:val="TAC"/>
              <w:rPr>
                <w:lang w:eastAsia="zh-CN"/>
              </w:rPr>
            </w:pPr>
            <w:r>
              <w:rPr>
                <w:lang w:eastAsia="zh-CN"/>
              </w:rPr>
              <w:t>NR</w:t>
            </w:r>
            <w:r>
              <w:t>_</w:t>
            </w:r>
            <w:r>
              <w:rPr>
                <w:lang w:eastAsia="zh-CN"/>
              </w:rPr>
              <w:t>FDD_FR1_G</w:t>
            </w:r>
          </w:p>
        </w:tc>
        <w:tc>
          <w:tcPr>
            <w:tcW w:w="1000" w:type="dxa"/>
            <w:tcBorders>
              <w:top w:val="single" w:sz="6" w:space="0" w:color="auto"/>
              <w:left w:val="single" w:sz="4" w:space="0" w:color="auto"/>
              <w:bottom w:val="single" w:sz="6" w:space="0" w:color="auto"/>
              <w:right w:val="single" w:sz="6" w:space="0" w:color="auto"/>
            </w:tcBorders>
            <w:vAlign w:val="center"/>
            <w:hideMark/>
          </w:tcPr>
          <w:p w14:paraId="5F0E1870" w14:textId="77777777" w:rsidR="0058566D" w:rsidRDefault="0058566D" w:rsidP="008935F7">
            <w:pPr>
              <w:pStyle w:val="TAC"/>
            </w:pPr>
            <w:r>
              <w:t>-118</w:t>
            </w:r>
          </w:p>
        </w:tc>
        <w:tc>
          <w:tcPr>
            <w:tcW w:w="1008" w:type="dxa"/>
            <w:tcBorders>
              <w:top w:val="single" w:sz="6" w:space="0" w:color="auto"/>
              <w:left w:val="single" w:sz="4" w:space="0" w:color="auto"/>
              <w:bottom w:val="single" w:sz="6" w:space="0" w:color="auto"/>
              <w:right w:val="single" w:sz="6" w:space="0" w:color="auto"/>
            </w:tcBorders>
            <w:vAlign w:val="center"/>
            <w:hideMark/>
          </w:tcPr>
          <w:p w14:paraId="3ACC750D" w14:textId="77777777" w:rsidR="0058566D" w:rsidRDefault="0058566D" w:rsidP="008935F7">
            <w:pPr>
              <w:pStyle w:val="TAC"/>
              <w:rPr>
                <w:rFonts w:cs="Arial"/>
                <w:lang w:val="sv-SE"/>
              </w:rPr>
            </w:pPr>
            <w:r>
              <w:rPr>
                <w:rFonts w:cs="Arial"/>
              </w:rPr>
              <w:t>-115</w:t>
            </w:r>
          </w:p>
        </w:tc>
        <w:tc>
          <w:tcPr>
            <w:tcW w:w="1137" w:type="dxa"/>
            <w:tcBorders>
              <w:top w:val="single" w:sz="6" w:space="0" w:color="auto"/>
              <w:left w:val="single" w:sz="4" w:space="0" w:color="auto"/>
              <w:bottom w:val="single" w:sz="6" w:space="0" w:color="auto"/>
              <w:right w:val="single" w:sz="6" w:space="0" w:color="auto"/>
            </w:tcBorders>
            <w:vAlign w:val="center"/>
          </w:tcPr>
          <w:p w14:paraId="50B350EF" w14:textId="77777777" w:rsidR="0058566D" w:rsidRDefault="0058566D" w:rsidP="008935F7">
            <w:pPr>
              <w:pStyle w:val="TAC"/>
            </w:pPr>
            <w:r>
              <w:rPr>
                <w:rFonts w:cs="Arial"/>
              </w:rPr>
              <w:t>-112</w:t>
            </w:r>
          </w:p>
        </w:tc>
        <w:tc>
          <w:tcPr>
            <w:tcW w:w="1442" w:type="dxa"/>
            <w:tcBorders>
              <w:top w:val="single" w:sz="6" w:space="0" w:color="auto"/>
              <w:left w:val="single" w:sz="6" w:space="0" w:color="auto"/>
              <w:bottom w:val="single" w:sz="6" w:space="0" w:color="auto"/>
              <w:right w:val="single" w:sz="6" w:space="0" w:color="auto"/>
            </w:tcBorders>
            <w:vAlign w:val="center"/>
            <w:hideMark/>
          </w:tcPr>
          <w:p w14:paraId="0A34B92B" w14:textId="77777777" w:rsidR="0058566D" w:rsidRDefault="0058566D" w:rsidP="008935F7">
            <w:pPr>
              <w:pStyle w:val="TAC"/>
            </w:pPr>
            <w:r>
              <w:t>N/A</w:t>
            </w:r>
          </w:p>
        </w:tc>
        <w:tc>
          <w:tcPr>
            <w:tcW w:w="1464" w:type="dxa"/>
            <w:gridSpan w:val="3"/>
            <w:tcBorders>
              <w:top w:val="single" w:sz="6" w:space="0" w:color="auto"/>
              <w:left w:val="single" w:sz="6" w:space="0" w:color="auto"/>
              <w:bottom w:val="single" w:sz="6" w:space="0" w:color="auto"/>
              <w:right w:val="single" w:sz="4" w:space="0" w:color="auto"/>
            </w:tcBorders>
            <w:vAlign w:val="center"/>
            <w:hideMark/>
          </w:tcPr>
          <w:p w14:paraId="23B06005" w14:textId="77777777" w:rsidR="0058566D" w:rsidRDefault="0058566D" w:rsidP="008935F7">
            <w:pPr>
              <w:pStyle w:val="TAC"/>
            </w:pPr>
            <w:r>
              <w:t>-50</w:t>
            </w:r>
          </w:p>
        </w:tc>
      </w:tr>
      <w:tr w:rsidR="0058566D" w14:paraId="4533FEAD" w14:textId="77777777" w:rsidTr="008935F7">
        <w:trPr>
          <w:gridAfter w:val="1"/>
          <w:wAfter w:w="8" w:type="dxa"/>
          <w:jc w:val="center"/>
        </w:trPr>
        <w:tc>
          <w:tcPr>
            <w:tcW w:w="0" w:type="auto"/>
            <w:vMerge/>
            <w:tcBorders>
              <w:top w:val="single" w:sz="6" w:space="0" w:color="auto"/>
              <w:left w:val="single" w:sz="4" w:space="0" w:color="auto"/>
              <w:bottom w:val="nil"/>
              <w:right w:val="single" w:sz="6" w:space="0" w:color="auto"/>
            </w:tcBorders>
            <w:vAlign w:val="center"/>
            <w:hideMark/>
          </w:tcPr>
          <w:p w14:paraId="4B316CDD" w14:textId="77777777" w:rsidR="0058566D" w:rsidRDefault="0058566D" w:rsidP="008935F7">
            <w:pPr>
              <w:spacing w:after="0"/>
              <w:rPr>
                <w:rFonts w:ascii="Arial" w:hAnsi="Arial"/>
                <w:sz w:val="18"/>
              </w:rPr>
            </w:pPr>
          </w:p>
        </w:tc>
        <w:tc>
          <w:tcPr>
            <w:tcW w:w="1026" w:type="dxa"/>
            <w:vMerge/>
            <w:tcBorders>
              <w:top w:val="single" w:sz="6" w:space="0" w:color="auto"/>
              <w:left w:val="single" w:sz="6" w:space="0" w:color="auto"/>
              <w:bottom w:val="nil"/>
              <w:right w:val="single" w:sz="6" w:space="0" w:color="auto"/>
            </w:tcBorders>
            <w:vAlign w:val="center"/>
            <w:hideMark/>
          </w:tcPr>
          <w:p w14:paraId="422A461B" w14:textId="77777777" w:rsidR="0058566D" w:rsidRDefault="0058566D" w:rsidP="008935F7">
            <w:pPr>
              <w:spacing w:after="0"/>
              <w:rPr>
                <w:rFonts w:ascii="Arial" w:hAnsi="Arial"/>
                <w:sz w:val="18"/>
              </w:rPr>
            </w:pPr>
          </w:p>
        </w:tc>
        <w:tc>
          <w:tcPr>
            <w:tcW w:w="878" w:type="dxa"/>
            <w:vMerge/>
            <w:tcBorders>
              <w:top w:val="single" w:sz="6" w:space="0" w:color="auto"/>
              <w:left w:val="single" w:sz="6" w:space="0" w:color="auto"/>
              <w:bottom w:val="nil"/>
              <w:right w:val="single" w:sz="6" w:space="0" w:color="auto"/>
            </w:tcBorders>
            <w:vAlign w:val="center"/>
            <w:hideMark/>
          </w:tcPr>
          <w:p w14:paraId="6AD06242" w14:textId="77777777" w:rsidR="0058566D" w:rsidRDefault="0058566D" w:rsidP="008935F7">
            <w:pPr>
              <w:spacing w:after="0"/>
              <w:rPr>
                <w:rFonts w:ascii="Arial" w:hAnsi="Arial"/>
                <w:sz w:val="18"/>
              </w:rPr>
            </w:pPr>
          </w:p>
        </w:tc>
        <w:tc>
          <w:tcPr>
            <w:tcW w:w="2060" w:type="dxa"/>
            <w:tcBorders>
              <w:top w:val="single" w:sz="6" w:space="0" w:color="auto"/>
              <w:left w:val="single" w:sz="6" w:space="0" w:color="auto"/>
              <w:bottom w:val="single" w:sz="6" w:space="0" w:color="auto"/>
              <w:right w:val="single" w:sz="4" w:space="0" w:color="auto"/>
            </w:tcBorders>
            <w:vAlign w:val="center"/>
            <w:hideMark/>
          </w:tcPr>
          <w:p w14:paraId="57565FC2" w14:textId="77777777" w:rsidR="0058566D" w:rsidRDefault="0058566D" w:rsidP="008935F7">
            <w:pPr>
              <w:pStyle w:val="TAC"/>
              <w:rPr>
                <w:lang w:eastAsia="zh-CN"/>
              </w:rPr>
            </w:pPr>
            <w:r>
              <w:rPr>
                <w:lang w:eastAsia="zh-CN"/>
              </w:rPr>
              <w:t>NR</w:t>
            </w:r>
            <w:r>
              <w:t>_</w:t>
            </w:r>
            <w:r>
              <w:rPr>
                <w:lang w:eastAsia="zh-CN"/>
              </w:rPr>
              <w:t>FDD_FR1_H</w:t>
            </w:r>
          </w:p>
        </w:tc>
        <w:tc>
          <w:tcPr>
            <w:tcW w:w="1000" w:type="dxa"/>
            <w:tcBorders>
              <w:top w:val="single" w:sz="6" w:space="0" w:color="auto"/>
              <w:left w:val="single" w:sz="4" w:space="0" w:color="auto"/>
              <w:bottom w:val="single" w:sz="6" w:space="0" w:color="auto"/>
              <w:right w:val="single" w:sz="6" w:space="0" w:color="auto"/>
            </w:tcBorders>
            <w:vAlign w:val="center"/>
            <w:hideMark/>
          </w:tcPr>
          <w:p w14:paraId="27A470F7" w14:textId="77777777" w:rsidR="0058566D" w:rsidRDefault="0058566D" w:rsidP="008935F7">
            <w:pPr>
              <w:pStyle w:val="TAC"/>
            </w:pPr>
            <w:r>
              <w:t>-117.5</w:t>
            </w:r>
          </w:p>
        </w:tc>
        <w:tc>
          <w:tcPr>
            <w:tcW w:w="1008" w:type="dxa"/>
            <w:tcBorders>
              <w:top w:val="single" w:sz="6" w:space="0" w:color="auto"/>
              <w:left w:val="single" w:sz="4" w:space="0" w:color="auto"/>
              <w:bottom w:val="single" w:sz="6" w:space="0" w:color="auto"/>
              <w:right w:val="single" w:sz="6" w:space="0" w:color="auto"/>
            </w:tcBorders>
            <w:vAlign w:val="center"/>
            <w:hideMark/>
          </w:tcPr>
          <w:p w14:paraId="6A8E8540" w14:textId="77777777" w:rsidR="0058566D" w:rsidRDefault="0058566D" w:rsidP="008935F7">
            <w:pPr>
              <w:pStyle w:val="TAC"/>
              <w:rPr>
                <w:rFonts w:cs="Arial"/>
                <w:lang w:val="sv-SE"/>
              </w:rPr>
            </w:pPr>
            <w:r>
              <w:rPr>
                <w:rFonts w:cs="Arial"/>
              </w:rPr>
              <w:t>-114.5</w:t>
            </w:r>
          </w:p>
        </w:tc>
        <w:tc>
          <w:tcPr>
            <w:tcW w:w="1137" w:type="dxa"/>
            <w:tcBorders>
              <w:top w:val="single" w:sz="6" w:space="0" w:color="auto"/>
              <w:left w:val="single" w:sz="4" w:space="0" w:color="auto"/>
              <w:bottom w:val="single" w:sz="6" w:space="0" w:color="auto"/>
              <w:right w:val="single" w:sz="6" w:space="0" w:color="auto"/>
            </w:tcBorders>
            <w:vAlign w:val="center"/>
          </w:tcPr>
          <w:p w14:paraId="789ADA10" w14:textId="77777777" w:rsidR="0058566D" w:rsidRDefault="0058566D" w:rsidP="008935F7">
            <w:pPr>
              <w:pStyle w:val="TAC"/>
            </w:pPr>
            <w:r>
              <w:rPr>
                <w:rFonts w:cs="Arial"/>
              </w:rPr>
              <w:t>-111.5</w:t>
            </w:r>
          </w:p>
        </w:tc>
        <w:tc>
          <w:tcPr>
            <w:tcW w:w="1442" w:type="dxa"/>
            <w:tcBorders>
              <w:top w:val="single" w:sz="6" w:space="0" w:color="auto"/>
              <w:left w:val="single" w:sz="6" w:space="0" w:color="auto"/>
              <w:bottom w:val="single" w:sz="6" w:space="0" w:color="auto"/>
              <w:right w:val="single" w:sz="6" w:space="0" w:color="auto"/>
            </w:tcBorders>
            <w:vAlign w:val="center"/>
            <w:hideMark/>
          </w:tcPr>
          <w:p w14:paraId="67AC94A4" w14:textId="77777777" w:rsidR="0058566D" w:rsidRDefault="0058566D" w:rsidP="008935F7">
            <w:pPr>
              <w:pStyle w:val="TAC"/>
            </w:pPr>
            <w:r>
              <w:t>N/A</w:t>
            </w:r>
          </w:p>
        </w:tc>
        <w:tc>
          <w:tcPr>
            <w:tcW w:w="1464" w:type="dxa"/>
            <w:gridSpan w:val="3"/>
            <w:tcBorders>
              <w:top w:val="single" w:sz="6" w:space="0" w:color="auto"/>
              <w:left w:val="single" w:sz="6" w:space="0" w:color="auto"/>
              <w:bottom w:val="single" w:sz="6" w:space="0" w:color="auto"/>
              <w:right w:val="single" w:sz="4" w:space="0" w:color="auto"/>
            </w:tcBorders>
            <w:vAlign w:val="center"/>
            <w:hideMark/>
          </w:tcPr>
          <w:p w14:paraId="62CF4918" w14:textId="77777777" w:rsidR="0058566D" w:rsidRDefault="0058566D" w:rsidP="008935F7">
            <w:pPr>
              <w:pStyle w:val="TAC"/>
            </w:pPr>
            <w:r>
              <w:t>-50</w:t>
            </w:r>
          </w:p>
        </w:tc>
      </w:tr>
      <w:tr w:rsidR="0058566D" w14:paraId="4FFB593A" w14:textId="77777777" w:rsidTr="008935F7">
        <w:trPr>
          <w:gridAfter w:val="1"/>
          <w:wAfter w:w="8" w:type="dxa"/>
          <w:jc w:val="center"/>
        </w:trPr>
        <w:tc>
          <w:tcPr>
            <w:tcW w:w="1079" w:type="dxa"/>
            <w:tcBorders>
              <w:top w:val="single" w:sz="6" w:space="0" w:color="auto"/>
              <w:left w:val="single" w:sz="4" w:space="0" w:color="auto"/>
              <w:bottom w:val="single" w:sz="6" w:space="0" w:color="auto"/>
              <w:right w:val="single" w:sz="6" w:space="0" w:color="auto"/>
            </w:tcBorders>
            <w:vAlign w:val="center"/>
            <w:hideMark/>
          </w:tcPr>
          <w:p w14:paraId="76BE0E55" w14:textId="77777777" w:rsidR="0058566D" w:rsidRDefault="0058566D" w:rsidP="008935F7">
            <w:pPr>
              <w:pStyle w:val="TAC"/>
            </w:pPr>
            <w:r>
              <w:sym w:font="Symbol" w:char="F0B1"/>
            </w:r>
            <w:r>
              <w:t>3</w:t>
            </w:r>
          </w:p>
        </w:tc>
        <w:tc>
          <w:tcPr>
            <w:tcW w:w="1026" w:type="dxa"/>
            <w:tcBorders>
              <w:top w:val="single" w:sz="6" w:space="0" w:color="auto"/>
              <w:left w:val="single" w:sz="6" w:space="0" w:color="auto"/>
              <w:bottom w:val="single" w:sz="6" w:space="0" w:color="auto"/>
              <w:right w:val="single" w:sz="6" w:space="0" w:color="auto"/>
            </w:tcBorders>
            <w:vAlign w:val="center"/>
            <w:hideMark/>
          </w:tcPr>
          <w:p w14:paraId="7438CAC3" w14:textId="77777777" w:rsidR="0058566D" w:rsidRDefault="0058566D" w:rsidP="008935F7">
            <w:pPr>
              <w:pStyle w:val="TAC"/>
            </w:pPr>
            <w:r>
              <w:sym w:font="Symbol" w:char="F0B1"/>
            </w:r>
            <w:r>
              <w:t>3</w:t>
            </w:r>
          </w:p>
        </w:tc>
        <w:tc>
          <w:tcPr>
            <w:tcW w:w="878" w:type="dxa"/>
            <w:tcBorders>
              <w:top w:val="single" w:sz="6" w:space="0" w:color="auto"/>
              <w:left w:val="single" w:sz="6" w:space="0" w:color="auto"/>
              <w:bottom w:val="single" w:sz="6" w:space="0" w:color="auto"/>
              <w:right w:val="single" w:sz="6" w:space="0" w:color="auto"/>
            </w:tcBorders>
            <w:vAlign w:val="center"/>
            <w:hideMark/>
          </w:tcPr>
          <w:p w14:paraId="41C78CA8" w14:textId="77777777" w:rsidR="0058566D" w:rsidRDefault="0058566D" w:rsidP="008935F7">
            <w:pPr>
              <w:pStyle w:val="TAC"/>
            </w:pPr>
            <w:r>
              <w:sym w:font="Symbol" w:char="F0B3"/>
            </w:r>
            <w:r>
              <w:t>-6</w:t>
            </w:r>
          </w:p>
        </w:tc>
        <w:tc>
          <w:tcPr>
            <w:tcW w:w="2060" w:type="dxa"/>
            <w:tcBorders>
              <w:top w:val="single" w:sz="6" w:space="0" w:color="auto"/>
              <w:left w:val="single" w:sz="6" w:space="0" w:color="auto"/>
              <w:bottom w:val="single" w:sz="6" w:space="0" w:color="auto"/>
              <w:right w:val="single" w:sz="4" w:space="0" w:color="auto"/>
            </w:tcBorders>
            <w:vAlign w:val="center"/>
            <w:hideMark/>
          </w:tcPr>
          <w:p w14:paraId="1F6BDF93" w14:textId="77777777" w:rsidR="0058566D" w:rsidRDefault="0058566D" w:rsidP="008935F7">
            <w:pPr>
              <w:pStyle w:val="TAC"/>
            </w:pPr>
            <w:r>
              <w:t>Note 3</w:t>
            </w:r>
          </w:p>
        </w:tc>
        <w:tc>
          <w:tcPr>
            <w:tcW w:w="1000" w:type="dxa"/>
            <w:tcBorders>
              <w:top w:val="single" w:sz="6" w:space="0" w:color="auto"/>
              <w:left w:val="single" w:sz="4" w:space="0" w:color="auto"/>
              <w:bottom w:val="single" w:sz="4" w:space="0" w:color="auto"/>
              <w:right w:val="single" w:sz="6" w:space="0" w:color="auto"/>
            </w:tcBorders>
            <w:vAlign w:val="center"/>
            <w:hideMark/>
          </w:tcPr>
          <w:p w14:paraId="086CDC61" w14:textId="77777777" w:rsidR="0058566D" w:rsidRDefault="0058566D" w:rsidP="008935F7">
            <w:pPr>
              <w:pStyle w:val="TAC"/>
            </w:pPr>
            <w:r>
              <w:t>Note 3</w:t>
            </w:r>
          </w:p>
        </w:tc>
        <w:tc>
          <w:tcPr>
            <w:tcW w:w="1008" w:type="dxa"/>
            <w:tcBorders>
              <w:top w:val="single" w:sz="6" w:space="0" w:color="auto"/>
              <w:left w:val="single" w:sz="4" w:space="0" w:color="auto"/>
              <w:bottom w:val="single" w:sz="4" w:space="0" w:color="auto"/>
              <w:right w:val="single" w:sz="6" w:space="0" w:color="auto"/>
            </w:tcBorders>
            <w:vAlign w:val="center"/>
            <w:hideMark/>
          </w:tcPr>
          <w:p w14:paraId="534F1DC6" w14:textId="77777777" w:rsidR="0058566D" w:rsidRDefault="0058566D" w:rsidP="008935F7">
            <w:pPr>
              <w:pStyle w:val="TAC"/>
            </w:pPr>
            <w:r>
              <w:t>Note 3</w:t>
            </w:r>
          </w:p>
        </w:tc>
        <w:tc>
          <w:tcPr>
            <w:tcW w:w="1137" w:type="dxa"/>
            <w:tcBorders>
              <w:top w:val="single" w:sz="6" w:space="0" w:color="auto"/>
              <w:left w:val="single" w:sz="6" w:space="0" w:color="auto"/>
              <w:bottom w:val="single" w:sz="4" w:space="0" w:color="auto"/>
              <w:right w:val="single" w:sz="6" w:space="0" w:color="auto"/>
            </w:tcBorders>
          </w:tcPr>
          <w:p w14:paraId="1D361909" w14:textId="77777777" w:rsidR="0058566D" w:rsidRDefault="0058566D" w:rsidP="008935F7">
            <w:pPr>
              <w:pStyle w:val="TAC"/>
            </w:pPr>
            <w:r>
              <w:t>Note 3</w:t>
            </w:r>
          </w:p>
        </w:tc>
        <w:tc>
          <w:tcPr>
            <w:tcW w:w="1442" w:type="dxa"/>
            <w:tcBorders>
              <w:top w:val="single" w:sz="6" w:space="0" w:color="auto"/>
              <w:left w:val="single" w:sz="6" w:space="0" w:color="auto"/>
              <w:bottom w:val="single" w:sz="4" w:space="0" w:color="auto"/>
              <w:right w:val="single" w:sz="6" w:space="0" w:color="auto"/>
            </w:tcBorders>
            <w:vAlign w:val="center"/>
            <w:hideMark/>
          </w:tcPr>
          <w:p w14:paraId="3F6B3B85" w14:textId="77777777" w:rsidR="0058566D" w:rsidRDefault="0058566D" w:rsidP="008935F7">
            <w:pPr>
              <w:pStyle w:val="TAC"/>
            </w:pPr>
            <w:r>
              <w:t>N/A</w:t>
            </w:r>
          </w:p>
        </w:tc>
        <w:tc>
          <w:tcPr>
            <w:tcW w:w="1464" w:type="dxa"/>
            <w:gridSpan w:val="3"/>
            <w:tcBorders>
              <w:top w:val="single" w:sz="6" w:space="0" w:color="auto"/>
              <w:left w:val="single" w:sz="6" w:space="0" w:color="auto"/>
              <w:bottom w:val="single" w:sz="4" w:space="0" w:color="auto"/>
              <w:right w:val="single" w:sz="4" w:space="0" w:color="auto"/>
            </w:tcBorders>
            <w:vAlign w:val="center"/>
            <w:hideMark/>
          </w:tcPr>
          <w:p w14:paraId="0FD74193" w14:textId="77777777" w:rsidR="0058566D" w:rsidRDefault="0058566D" w:rsidP="008935F7">
            <w:pPr>
              <w:pStyle w:val="TAC"/>
            </w:pPr>
            <w:r>
              <w:t>Note 3</w:t>
            </w:r>
          </w:p>
        </w:tc>
      </w:tr>
      <w:tr w:rsidR="0058566D" w14:paraId="5EFAAAA9" w14:textId="77777777" w:rsidTr="008935F7">
        <w:trPr>
          <w:jc w:val="center"/>
        </w:trPr>
        <w:tc>
          <w:tcPr>
            <w:tcW w:w="11102" w:type="dxa"/>
            <w:gridSpan w:val="12"/>
            <w:tcBorders>
              <w:top w:val="single" w:sz="6" w:space="0" w:color="auto"/>
              <w:left w:val="single" w:sz="4" w:space="0" w:color="auto"/>
              <w:bottom w:val="single" w:sz="4" w:space="0" w:color="auto"/>
              <w:right w:val="single" w:sz="4" w:space="0" w:color="auto"/>
            </w:tcBorders>
          </w:tcPr>
          <w:p w14:paraId="789AE214" w14:textId="77777777" w:rsidR="0058566D" w:rsidRDefault="0058566D" w:rsidP="008935F7">
            <w:pPr>
              <w:pStyle w:val="TAN"/>
            </w:pPr>
            <w:r>
              <w:t>NOTE 1:</w:t>
            </w:r>
            <w:r>
              <w:tab/>
              <w:t>Io is assumed to have constant EPRE across the bandwidth.</w:t>
            </w:r>
          </w:p>
          <w:p w14:paraId="68E01B90" w14:textId="77777777" w:rsidR="0058566D" w:rsidRDefault="0058566D" w:rsidP="008935F7">
            <w:pPr>
              <w:pStyle w:val="TAN"/>
            </w:pPr>
            <w:r>
              <w:t>NOTE 2:</w:t>
            </w:r>
            <w:r>
              <w:tab/>
              <w:t>The parameter CSI-RS Ês/Iot is the minimum CSI-RS Ês/Iot of the pair of cells to which the requirement applies.</w:t>
            </w:r>
          </w:p>
          <w:p w14:paraId="788E5EB7" w14:textId="77777777" w:rsidR="0058566D" w:rsidRDefault="0058566D" w:rsidP="008935F7">
            <w:pPr>
              <w:pStyle w:val="TAN"/>
            </w:pPr>
            <w:r>
              <w:t>NOTE 3:</w:t>
            </w:r>
            <w:r>
              <w:tab/>
              <w:t>The same bands and the same Io conditions for each band apply for this requirement as for the corresponding highest accuracy requirement.</w:t>
            </w:r>
          </w:p>
          <w:p w14:paraId="08D498E8" w14:textId="77777777" w:rsidR="0058566D" w:rsidRDefault="0058566D" w:rsidP="008935F7">
            <w:pPr>
              <w:pStyle w:val="TAN"/>
            </w:pPr>
            <w:r>
              <w:t>NOTE 4:</w:t>
            </w:r>
            <w:r>
              <w:tab/>
              <w:t>NR operating band groups in FR1 are as defined in clause 3.5.2.</w:t>
            </w:r>
          </w:p>
        </w:tc>
      </w:tr>
    </w:tbl>
    <w:p w14:paraId="5171FFF1" w14:textId="77777777" w:rsidR="0058566D" w:rsidRPr="00F37389" w:rsidRDefault="0058566D" w:rsidP="0058566D">
      <w:pPr>
        <w:rPr>
          <w:noProof/>
          <w:lang w:eastAsia="zh-CN"/>
        </w:rPr>
      </w:pPr>
    </w:p>
    <w:p w14:paraId="37E6D1F3" w14:textId="77777777" w:rsidR="00BE0199" w:rsidRPr="004608C1" w:rsidRDefault="00BE0199" w:rsidP="00F37389">
      <w:pPr>
        <w:pStyle w:val="Heading3"/>
        <w:rPr>
          <w:lang w:val="en-US"/>
        </w:rPr>
      </w:pPr>
      <w:r w:rsidRPr="004608C1">
        <w:rPr>
          <w:lang w:val="en-US"/>
        </w:rPr>
        <w:t>10.1.2</w:t>
      </w:r>
      <w:r>
        <w:rPr>
          <w:lang w:val="en-US"/>
        </w:rPr>
        <w:t>B</w:t>
      </w:r>
      <w:r w:rsidRPr="004608C1">
        <w:rPr>
          <w:lang w:val="en-US"/>
        </w:rPr>
        <w:tab/>
        <w:t>Intra-frequency RSRP accuracy requirements for FR1</w:t>
      </w:r>
      <w:r>
        <w:rPr>
          <w:lang w:val="en-US"/>
        </w:rPr>
        <w:t xml:space="preserve"> for CA/DC Idle Mode Measurements</w:t>
      </w:r>
    </w:p>
    <w:p w14:paraId="2D112BA6" w14:textId="77777777" w:rsidR="00BE0199" w:rsidRDefault="00BE0199" w:rsidP="00F37389">
      <w:pPr>
        <w:pStyle w:val="Heading4"/>
        <w:rPr>
          <w:lang w:val="en-US"/>
        </w:rPr>
      </w:pPr>
      <w:r w:rsidRPr="004608C1">
        <w:rPr>
          <w:lang w:val="en-US"/>
        </w:rPr>
        <w:t>10.1.2</w:t>
      </w:r>
      <w:r>
        <w:rPr>
          <w:lang w:val="en-US"/>
        </w:rPr>
        <w:t>B</w:t>
      </w:r>
      <w:r w:rsidRPr="004608C1">
        <w:rPr>
          <w:lang w:val="en-US"/>
        </w:rPr>
        <w:t>.1</w:t>
      </w:r>
      <w:r w:rsidRPr="004608C1">
        <w:rPr>
          <w:lang w:val="en-US"/>
        </w:rPr>
        <w:tab/>
        <w:t>Intra-frequency SS-RSRP accuracy requirements</w:t>
      </w:r>
    </w:p>
    <w:p w14:paraId="06C44704" w14:textId="77777777" w:rsidR="00BE0199" w:rsidRPr="00691C10" w:rsidRDefault="00BE0199" w:rsidP="00BE0199">
      <w:pPr>
        <w:jc w:val="both"/>
        <w:rPr>
          <w:rFonts w:cs="v4.2.0"/>
        </w:rPr>
      </w:pPr>
      <w:r w:rsidRPr="00691C10">
        <w:rPr>
          <w:rFonts w:cs="v4.2.0"/>
        </w:rPr>
        <w:t>The requirements in this clause are applicable for a UE:</w:t>
      </w:r>
    </w:p>
    <w:p w14:paraId="32E51169" w14:textId="77777777" w:rsidR="00BE0199" w:rsidRPr="00691C10" w:rsidRDefault="00BE0199" w:rsidP="00BE0199">
      <w:pPr>
        <w:pStyle w:val="B10"/>
        <w:rPr>
          <w:rFonts w:cs="v4.2.0"/>
        </w:rPr>
      </w:pPr>
      <w:r w:rsidRPr="00691C10">
        <w:rPr>
          <w:rFonts w:cs="v4.2.0"/>
        </w:rPr>
        <w:t>-</w:t>
      </w:r>
      <w:r w:rsidRPr="00691C10">
        <w:rPr>
          <w:rFonts w:cs="v4.2.0"/>
        </w:rPr>
        <w:tab/>
        <w:t>in state RRC_IDLE</w:t>
      </w:r>
      <w:r>
        <w:rPr>
          <w:rFonts w:cs="v4.2.0"/>
        </w:rPr>
        <w:t xml:space="preserve"> or RRC INACTIVE</w:t>
      </w:r>
    </w:p>
    <w:p w14:paraId="18D9C263" w14:textId="77777777" w:rsidR="00BE0199" w:rsidRPr="00691C10" w:rsidRDefault="00BE0199" w:rsidP="00BE0199">
      <w:pPr>
        <w:pStyle w:val="B10"/>
      </w:pPr>
      <w:r w:rsidRPr="00691C10">
        <w:t>-</w:t>
      </w:r>
      <w:r w:rsidRPr="00691C10">
        <w:tab/>
        <w:t>that is synchronised to the cell that is measured.</w:t>
      </w:r>
    </w:p>
    <w:p w14:paraId="75031040" w14:textId="77777777" w:rsidR="00BE0199" w:rsidRDefault="00BE0199" w:rsidP="00BE0199">
      <w:pPr>
        <w:keepNext/>
        <w:keepLines/>
        <w:spacing w:before="120"/>
        <w:ind w:left="1418" w:hanging="1418"/>
        <w:outlineLvl w:val="3"/>
        <w:rPr>
          <w:rFonts w:cs="v4.2.0"/>
        </w:rPr>
      </w:pPr>
      <w:r w:rsidRPr="00691C10">
        <w:rPr>
          <w:rFonts w:cs="v4.2.0"/>
        </w:rPr>
        <w:t xml:space="preserve">The requirements are for absolute accuracy of </w:t>
      </w:r>
      <w:r>
        <w:rPr>
          <w:rFonts w:cs="v4.2.0"/>
        </w:rPr>
        <w:t>SS-</w:t>
      </w:r>
      <w:r w:rsidRPr="00691C10">
        <w:rPr>
          <w:rFonts w:cs="v4.2.0"/>
        </w:rPr>
        <w:t>RSRP.</w:t>
      </w:r>
    </w:p>
    <w:p w14:paraId="5E1468F9" w14:textId="77777777" w:rsidR="00BE0199" w:rsidRPr="004608C1" w:rsidRDefault="00BE0199" w:rsidP="00F37389">
      <w:pPr>
        <w:pStyle w:val="Heading5"/>
      </w:pPr>
      <w:r w:rsidRPr="004608C1">
        <w:t>10.1.2</w:t>
      </w:r>
      <w:r>
        <w:t>B</w:t>
      </w:r>
      <w:r w:rsidRPr="004608C1">
        <w:t>.1.1</w:t>
      </w:r>
      <w:r w:rsidRPr="004608C1">
        <w:tab/>
        <w:t xml:space="preserve">Absolute </w:t>
      </w:r>
      <w:r w:rsidRPr="004608C1">
        <w:rPr>
          <w:lang w:val="en-US"/>
        </w:rPr>
        <w:t xml:space="preserve">SS-RSRP </w:t>
      </w:r>
      <w:r w:rsidRPr="004608C1">
        <w:t>Accuracy</w:t>
      </w:r>
    </w:p>
    <w:p w14:paraId="500C075A" w14:textId="77777777" w:rsidR="00BE0199" w:rsidRPr="004608C1" w:rsidRDefault="00BE0199" w:rsidP="00BE0199">
      <w:pPr>
        <w:rPr>
          <w:rFonts w:cs="v4.2.0"/>
          <w:i/>
        </w:rPr>
      </w:pPr>
      <w:r w:rsidRPr="004608C1">
        <w:rPr>
          <w:rFonts w:cs="v4.2.0"/>
        </w:rPr>
        <w:t xml:space="preserve">Unless otherwise specified, the requirements for absolute accuracy of </w:t>
      </w:r>
      <w:r w:rsidRPr="004608C1">
        <w:rPr>
          <w:rFonts w:cs="v4.2.0"/>
          <w:lang w:eastAsia="zh-CN"/>
        </w:rPr>
        <w:t>SS-RSRP</w:t>
      </w:r>
      <w:r w:rsidRPr="004608C1">
        <w:rPr>
          <w:rFonts w:cs="v4.2.0"/>
        </w:rPr>
        <w:t xml:space="preserve"> in this clause apply to the serving cell in FR1.</w:t>
      </w:r>
    </w:p>
    <w:p w14:paraId="7882DAF0" w14:textId="77777777" w:rsidR="00BE0199" w:rsidRPr="004608C1" w:rsidRDefault="00BE0199" w:rsidP="00BE0199">
      <w:pPr>
        <w:rPr>
          <w:rFonts w:cs="v4.2.0"/>
        </w:rPr>
      </w:pPr>
      <w:r w:rsidRPr="004608C1">
        <w:rPr>
          <w:rFonts w:cs="v4.2.0"/>
        </w:rPr>
        <w:t xml:space="preserve">The accuracy requirements in Table </w:t>
      </w:r>
      <w:r w:rsidRPr="004608C1">
        <w:rPr>
          <w:rFonts w:cs="v4.2.0"/>
          <w:lang w:eastAsia="zh-CN"/>
        </w:rPr>
        <w:t>10.1.2</w:t>
      </w:r>
      <w:r>
        <w:rPr>
          <w:rFonts w:cs="v4.2.0"/>
          <w:lang w:eastAsia="zh-CN"/>
        </w:rPr>
        <w:t>B</w:t>
      </w:r>
      <w:r w:rsidRPr="004608C1">
        <w:rPr>
          <w:rFonts w:cs="v4.2.0"/>
          <w:lang w:eastAsia="zh-CN"/>
        </w:rPr>
        <w:t>.1.1</w:t>
      </w:r>
      <w:r w:rsidRPr="004608C1">
        <w:rPr>
          <w:rFonts w:cs="v4.2.0"/>
        </w:rPr>
        <w:t>-1 are valid under the following conditions:</w:t>
      </w:r>
    </w:p>
    <w:p w14:paraId="4F1621D2" w14:textId="77777777" w:rsidR="00BE0199" w:rsidRPr="004608C1" w:rsidRDefault="00BE0199" w:rsidP="00F37389">
      <w:pPr>
        <w:pStyle w:val="B10"/>
        <w:rPr>
          <w:rFonts w:cs="v4.2.0"/>
        </w:rPr>
      </w:pPr>
      <w:r w:rsidRPr="004608C1">
        <w:t>-</w:t>
      </w:r>
      <w:r w:rsidRPr="004608C1">
        <w:tab/>
        <w:t>Conditions defined in clause 7.3 of TS 38.101-1 [18] for reference sensitivity are fulfilled.</w:t>
      </w:r>
    </w:p>
    <w:p w14:paraId="1F1C6037" w14:textId="77777777" w:rsidR="00BE0199" w:rsidRPr="004608C1" w:rsidRDefault="00BE0199" w:rsidP="00F37389">
      <w:pPr>
        <w:pStyle w:val="B10"/>
        <w:rPr>
          <w:lang w:eastAsia="zh-CN"/>
        </w:rPr>
      </w:pPr>
      <w:r w:rsidRPr="004608C1">
        <w:t>-</w:t>
      </w:r>
      <w:r w:rsidRPr="004608C1">
        <w:tab/>
        <w:t>Conditions for intra-frequency measurements are fulfilled according to Annex B.</w:t>
      </w:r>
      <w:r>
        <w:t>1</w:t>
      </w:r>
      <w:r w:rsidRPr="004608C1">
        <w:t xml:space="preserve">.2 for a corresponding Band </w:t>
      </w:r>
      <w:r w:rsidRPr="004608C1">
        <w:rPr>
          <w:rFonts w:cs="v4.2.0"/>
          <w:lang w:eastAsia="ko-KR"/>
        </w:rPr>
        <w:t>for each relevant SSB</w:t>
      </w:r>
      <w:r w:rsidRPr="004608C1">
        <w:t>.</w:t>
      </w:r>
    </w:p>
    <w:p w14:paraId="1EA3D92D" w14:textId="77777777" w:rsidR="00BE0199" w:rsidRPr="004608C1" w:rsidRDefault="00BE0199" w:rsidP="00F37389">
      <w:pPr>
        <w:pStyle w:val="TH"/>
      </w:pPr>
      <w:r w:rsidRPr="004608C1">
        <w:lastRenderedPageBreak/>
        <w:t>Table 10.1.2</w:t>
      </w:r>
      <w:r>
        <w:t>B</w:t>
      </w:r>
      <w:r w:rsidRPr="004608C1">
        <w:t>.1.1-1: SS-RSRP Intra frequency absolute accuracy in FR1</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BE0199" w:rsidRPr="004608C1" w14:paraId="5E26FFC5" w14:textId="77777777" w:rsidTr="00BE0199">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0ECF59DC" w14:textId="77777777" w:rsidR="00BE0199" w:rsidRPr="004608C1" w:rsidRDefault="00BE0199" w:rsidP="00F37389">
            <w:pPr>
              <w:pStyle w:val="TAH"/>
            </w:pPr>
            <w:r w:rsidRPr="004608C1">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43B6FD7A" w14:textId="77777777" w:rsidR="00BE0199" w:rsidRPr="004608C1" w:rsidRDefault="00BE0199" w:rsidP="00F37389">
            <w:pPr>
              <w:pStyle w:val="TAH"/>
            </w:pPr>
            <w:r w:rsidRPr="004608C1">
              <w:t>Conditions</w:t>
            </w:r>
          </w:p>
        </w:tc>
      </w:tr>
      <w:tr w:rsidR="00BE0199" w:rsidRPr="004608C1" w14:paraId="35D9AC2F" w14:textId="77777777" w:rsidTr="00BE0199">
        <w:trPr>
          <w:jc w:val="center"/>
        </w:trPr>
        <w:tc>
          <w:tcPr>
            <w:tcW w:w="1036" w:type="dxa"/>
            <w:tcBorders>
              <w:top w:val="single" w:sz="6" w:space="0" w:color="auto"/>
              <w:left w:val="single" w:sz="4" w:space="0" w:color="auto"/>
              <w:right w:val="single" w:sz="6" w:space="0" w:color="auto"/>
            </w:tcBorders>
            <w:shd w:val="clear" w:color="auto" w:fill="auto"/>
            <w:vAlign w:val="center"/>
          </w:tcPr>
          <w:p w14:paraId="192F093A" w14:textId="77777777" w:rsidR="00BE0199" w:rsidRPr="004608C1" w:rsidRDefault="00BE0199" w:rsidP="00F37389">
            <w:pPr>
              <w:pStyle w:val="TAH"/>
            </w:pPr>
            <w:r w:rsidRPr="004608C1">
              <w:t>Normal condition</w:t>
            </w:r>
          </w:p>
        </w:tc>
        <w:tc>
          <w:tcPr>
            <w:tcW w:w="1055" w:type="dxa"/>
            <w:tcBorders>
              <w:top w:val="single" w:sz="6" w:space="0" w:color="auto"/>
              <w:left w:val="single" w:sz="6" w:space="0" w:color="auto"/>
              <w:right w:val="single" w:sz="6" w:space="0" w:color="auto"/>
            </w:tcBorders>
            <w:shd w:val="clear" w:color="auto" w:fill="auto"/>
            <w:vAlign w:val="center"/>
          </w:tcPr>
          <w:p w14:paraId="3C81B5AF" w14:textId="77777777" w:rsidR="00BE0199" w:rsidRPr="004608C1" w:rsidRDefault="00BE0199" w:rsidP="00F37389">
            <w:pPr>
              <w:pStyle w:val="TAH"/>
            </w:pPr>
            <w:r w:rsidRPr="004608C1">
              <w:t>Extreme condition</w:t>
            </w:r>
          </w:p>
        </w:tc>
        <w:tc>
          <w:tcPr>
            <w:tcW w:w="833" w:type="dxa"/>
            <w:tcBorders>
              <w:top w:val="single" w:sz="6" w:space="0" w:color="auto"/>
              <w:left w:val="single" w:sz="6" w:space="0" w:color="auto"/>
              <w:right w:val="single" w:sz="6" w:space="0" w:color="auto"/>
            </w:tcBorders>
            <w:shd w:val="clear" w:color="auto" w:fill="auto"/>
            <w:vAlign w:val="center"/>
          </w:tcPr>
          <w:p w14:paraId="5723DC94" w14:textId="77777777" w:rsidR="00BE0199" w:rsidRPr="004608C1" w:rsidRDefault="00BE0199" w:rsidP="00F37389">
            <w:pPr>
              <w:pStyle w:val="TAH"/>
            </w:pPr>
            <w:r w:rsidRPr="004608C1">
              <w:t>SSB Ês/Iot</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15D20A16" w14:textId="77777777" w:rsidR="00BE0199" w:rsidRPr="004608C1" w:rsidRDefault="00BE0199" w:rsidP="00F37389">
            <w:pPr>
              <w:pStyle w:val="TAH"/>
            </w:pPr>
            <w:r w:rsidRPr="004608C1">
              <w:t>Io</w:t>
            </w:r>
            <w:r w:rsidRPr="004608C1">
              <w:rPr>
                <w:vertAlign w:val="superscript"/>
              </w:rPr>
              <w:t xml:space="preserve"> Note 1</w:t>
            </w:r>
            <w:r w:rsidRPr="004608C1">
              <w:t xml:space="preserve"> range</w:t>
            </w:r>
          </w:p>
        </w:tc>
      </w:tr>
      <w:tr w:rsidR="00BE0199" w:rsidRPr="004608C1" w14:paraId="2BECE009" w14:textId="77777777" w:rsidTr="00BE0199">
        <w:trPr>
          <w:jc w:val="center"/>
        </w:trPr>
        <w:tc>
          <w:tcPr>
            <w:tcW w:w="1036" w:type="dxa"/>
            <w:tcBorders>
              <w:left w:val="single" w:sz="4" w:space="0" w:color="auto"/>
              <w:bottom w:val="single" w:sz="4" w:space="0" w:color="auto"/>
              <w:right w:val="single" w:sz="6" w:space="0" w:color="auto"/>
            </w:tcBorders>
            <w:shd w:val="clear" w:color="auto" w:fill="auto"/>
            <w:vAlign w:val="center"/>
          </w:tcPr>
          <w:p w14:paraId="7AAF57C5" w14:textId="77777777" w:rsidR="00BE0199" w:rsidRPr="004608C1" w:rsidRDefault="00BE0199" w:rsidP="00F37389">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33C71275" w14:textId="77777777" w:rsidR="00BE0199" w:rsidRPr="004608C1" w:rsidRDefault="00BE0199" w:rsidP="00F37389">
            <w:pPr>
              <w:pStyle w:val="TAH"/>
            </w:pPr>
          </w:p>
        </w:tc>
        <w:tc>
          <w:tcPr>
            <w:tcW w:w="833" w:type="dxa"/>
            <w:tcBorders>
              <w:left w:val="single" w:sz="6" w:space="0" w:color="auto"/>
              <w:bottom w:val="single" w:sz="6" w:space="0" w:color="auto"/>
              <w:right w:val="single" w:sz="6" w:space="0" w:color="auto"/>
            </w:tcBorders>
            <w:shd w:val="clear" w:color="auto" w:fill="auto"/>
          </w:tcPr>
          <w:p w14:paraId="771BEFF0" w14:textId="77777777" w:rsidR="00BE0199" w:rsidRPr="004608C1" w:rsidRDefault="00BE0199" w:rsidP="00F37389">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05D0B770" w14:textId="77777777" w:rsidR="00BE0199" w:rsidRPr="004608C1" w:rsidRDefault="00BE0199" w:rsidP="00F37389">
            <w:pPr>
              <w:pStyle w:val="TAH"/>
            </w:pPr>
            <w:r w:rsidRPr="004608C1">
              <w:t>NR operating band groups</w:t>
            </w:r>
            <w:r w:rsidRPr="004608C1">
              <w:rPr>
                <w:vertAlign w:val="superscript"/>
              </w:rPr>
              <w:t xml:space="preserve"> Note 2</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3319F0DF" w14:textId="77777777" w:rsidR="00BE0199" w:rsidRPr="004608C1" w:rsidRDefault="00BE0199" w:rsidP="00F37389">
            <w:pPr>
              <w:pStyle w:val="TAH"/>
            </w:pPr>
            <w:r w:rsidRPr="004608C1">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53A62CC" w14:textId="77777777" w:rsidR="00BE0199" w:rsidRPr="004608C1" w:rsidRDefault="00BE0199" w:rsidP="00F37389">
            <w:pPr>
              <w:pStyle w:val="TAH"/>
            </w:pPr>
            <w:r w:rsidRPr="004608C1">
              <w:t>Maximum Io</w:t>
            </w:r>
          </w:p>
        </w:tc>
      </w:tr>
      <w:tr w:rsidR="00BE0199" w:rsidRPr="004608C1" w14:paraId="61FD54B2" w14:textId="77777777" w:rsidTr="00BE0199">
        <w:trPr>
          <w:trHeight w:val="308"/>
          <w:jc w:val="center"/>
        </w:trPr>
        <w:tc>
          <w:tcPr>
            <w:tcW w:w="1036" w:type="dxa"/>
            <w:tcBorders>
              <w:top w:val="single" w:sz="4" w:space="0" w:color="auto"/>
              <w:left w:val="single" w:sz="4" w:space="0" w:color="auto"/>
              <w:right w:val="single" w:sz="6" w:space="0" w:color="auto"/>
            </w:tcBorders>
            <w:shd w:val="clear" w:color="auto" w:fill="auto"/>
            <w:vAlign w:val="center"/>
          </w:tcPr>
          <w:p w14:paraId="395B8E64" w14:textId="77777777" w:rsidR="00BE0199" w:rsidRPr="004608C1" w:rsidRDefault="00BE0199" w:rsidP="00F37389">
            <w:pPr>
              <w:pStyle w:val="TAH"/>
            </w:pPr>
            <w:r w:rsidRPr="004608C1">
              <w:t>dB</w:t>
            </w:r>
          </w:p>
        </w:tc>
        <w:tc>
          <w:tcPr>
            <w:tcW w:w="1055" w:type="dxa"/>
            <w:tcBorders>
              <w:top w:val="single" w:sz="6" w:space="0" w:color="auto"/>
              <w:left w:val="single" w:sz="6" w:space="0" w:color="auto"/>
              <w:right w:val="single" w:sz="6" w:space="0" w:color="auto"/>
            </w:tcBorders>
            <w:shd w:val="clear" w:color="auto" w:fill="auto"/>
            <w:vAlign w:val="center"/>
          </w:tcPr>
          <w:p w14:paraId="087252FF" w14:textId="77777777" w:rsidR="00BE0199" w:rsidRPr="004608C1" w:rsidRDefault="00BE0199" w:rsidP="00F37389">
            <w:pPr>
              <w:pStyle w:val="TAH"/>
            </w:pPr>
            <w:r w:rsidRPr="004608C1">
              <w:t>dB</w:t>
            </w:r>
          </w:p>
        </w:tc>
        <w:tc>
          <w:tcPr>
            <w:tcW w:w="833" w:type="dxa"/>
            <w:tcBorders>
              <w:top w:val="single" w:sz="6" w:space="0" w:color="auto"/>
              <w:left w:val="single" w:sz="6" w:space="0" w:color="auto"/>
              <w:right w:val="single" w:sz="6" w:space="0" w:color="auto"/>
            </w:tcBorders>
            <w:shd w:val="clear" w:color="auto" w:fill="auto"/>
            <w:vAlign w:val="center"/>
          </w:tcPr>
          <w:p w14:paraId="24E6AAC0" w14:textId="77777777" w:rsidR="00BE0199" w:rsidRPr="004608C1" w:rsidRDefault="00BE0199" w:rsidP="00F37389">
            <w:pPr>
              <w:pStyle w:val="TAH"/>
            </w:pPr>
            <w:r w:rsidRPr="004608C1">
              <w:t>dB</w:t>
            </w:r>
          </w:p>
        </w:tc>
        <w:tc>
          <w:tcPr>
            <w:tcW w:w="2530" w:type="dxa"/>
            <w:tcBorders>
              <w:top w:val="single" w:sz="6" w:space="0" w:color="auto"/>
              <w:left w:val="single" w:sz="6" w:space="0" w:color="auto"/>
              <w:right w:val="single" w:sz="4" w:space="0" w:color="auto"/>
            </w:tcBorders>
            <w:shd w:val="clear" w:color="auto" w:fill="auto"/>
            <w:vAlign w:val="center"/>
          </w:tcPr>
          <w:p w14:paraId="40313E5F" w14:textId="77777777" w:rsidR="00BE0199" w:rsidRPr="004608C1" w:rsidRDefault="00BE0199" w:rsidP="00F37389">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3C32AC50" w14:textId="77777777" w:rsidR="00BE0199" w:rsidRPr="004608C1" w:rsidRDefault="00BE0199" w:rsidP="00F37389">
            <w:pPr>
              <w:pStyle w:val="TAH"/>
            </w:pPr>
            <w:r w:rsidRPr="004608C1">
              <w:rPr>
                <w:rFonts w:cs="Arial"/>
              </w:rPr>
              <w:t xml:space="preserve">dBm / </w:t>
            </w:r>
            <w:r w:rsidRPr="004608C1">
              <w:t>SCS</w:t>
            </w:r>
            <w:r w:rsidRPr="004608C1">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7F093ED1" w14:textId="77777777" w:rsidR="00BE0199" w:rsidRPr="004608C1" w:rsidRDefault="00BE0199" w:rsidP="00F37389">
            <w:pPr>
              <w:pStyle w:val="TAH"/>
            </w:pPr>
            <w:r w:rsidRPr="004608C1">
              <w:t>dBm/BW</w:t>
            </w:r>
            <w:r w:rsidRPr="004608C1">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20BBDC40" w14:textId="77777777" w:rsidR="00BE0199" w:rsidRPr="004608C1" w:rsidRDefault="00BE0199" w:rsidP="00F37389">
            <w:pPr>
              <w:pStyle w:val="TAH"/>
            </w:pPr>
            <w:r w:rsidRPr="004608C1">
              <w:t>dBm/BW</w:t>
            </w:r>
            <w:r w:rsidRPr="004608C1">
              <w:rPr>
                <w:vertAlign w:val="subscript"/>
              </w:rPr>
              <w:t>Channel</w:t>
            </w:r>
          </w:p>
        </w:tc>
      </w:tr>
      <w:tr w:rsidR="00BE0199" w:rsidRPr="004608C1" w14:paraId="5567E9E3" w14:textId="77777777" w:rsidTr="00BE0199">
        <w:trPr>
          <w:trHeight w:val="307"/>
          <w:jc w:val="center"/>
        </w:trPr>
        <w:tc>
          <w:tcPr>
            <w:tcW w:w="1036" w:type="dxa"/>
            <w:tcBorders>
              <w:left w:val="single" w:sz="4" w:space="0" w:color="auto"/>
              <w:bottom w:val="single" w:sz="6" w:space="0" w:color="auto"/>
              <w:right w:val="single" w:sz="6" w:space="0" w:color="auto"/>
            </w:tcBorders>
            <w:shd w:val="clear" w:color="auto" w:fill="auto"/>
            <w:vAlign w:val="center"/>
          </w:tcPr>
          <w:p w14:paraId="4EA71B83" w14:textId="77777777" w:rsidR="00BE0199" w:rsidRPr="004608C1" w:rsidRDefault="00BE0199" w:rsidP="00F37389">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7BD74B2D" w14:textId="77777777" w:rsidR="00BE0199" w:rsidRPr="004608C1" w:rsidRDefault="00BE0199" w:rsidP="00F37389">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0D6BEE58" w14:textId="77777777" w:rsidR="00BE0199" w:rsidRPr="004608C1" w:rsidRDefault="00BE0199" w:rsidP="00F37389">
            <w:pPr>
              <w:pStyle w:val="TAH"/>
            </w:pPr>
          </w:p>
        </w:tc>
        <w:tc>
          <w:tcPr>
            <w:tcW w:w="2530" w:type="dxa"/>
            <w:tcBorders>
              <w:left w:val="single" w:sz="6" w:space="0" w:color="auto"/>
              <w:bottom w:val="single" w:sz="6" w:space="0" w:color="auto"/>
              <w:right w:val="single" w:sz="4" w:space="0" w:color="auto"/>
            </w:tcBorders>
            <w:shd w:val="clear" w:color="auto" w:fill="auto"/>
            <w:vAlign w:val="center"/>
          </w:tcPr>
          <w:p w14:paraId="00A35627" w14:textId="77777777" w:rsidR="00BE0199" w:rsidRPr="004608C1" w:rsidRDefault="00BE0199" w:rsidP="00F37389">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152CC1C7" w14:textId="77777777" w:rsidR="00BE0199" w:rsidRPr="004608C1" w:rsidRDefault="00BE0199" w:rsidP="00F37389">
            <w:pPr>
              <w:pStyle w:val="TAH"/>
              <w:rPr>
                <w:rFonts w:cs="Arial"/>
              </w:rPr>
            </w:pPr>
            <w:r w:rsidRPr="004608C1">
              <w:t>SCS</w:t>
            </w:r>
            <w:r w:rsidRPr="004608C1">
              <w:rPr>
                <w:vertAlign w:val="subscript"/>
              </w:rPr>
              <w:t>SSB</w:t>
            </w:r>
            <w:r w:rsidRPr="004608C1">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7112BE31" w14:textId="77777777" w:rsidR="00BE0199" w:rsidRPr="004608C1" w:rsidRDefault="00BE0199" w:rsidP="00F37389">
            <w:pPr>
              <w:pStyle w:val="TAH"/>
              <w:rPr>
                <w:rFonts w:cs="Arial"/>
              </w:rPr>
            </w:pPr>
            <w:r w:rsidRPr="004608C1">
              <w:t>SCS</w:t>
            </w:r>
            <w:r w:rsidRPr="004608C1">
              <w:rPr>
                <w:vertAlign w:val="subscript"/>
              </w:rPr>
              <w:t>SSB</w:t>
            </w:r>
            <w:r w:rsidRPr="004608C1">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77174D67" w14:textId="77777777" w:rsidR="00BE0199" w:rsidRPr="004608C1" w:rsidRDefault="00BE0199" w:rsidP="00F37389">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54016AB8" w14:textId="77777777" w:rsidR="00BE0199" w:rsidRPr="004608C1" w:rsidRDefault="00BE0199" w:rsidP="00F37389">
            <w:pPr>
              <w:pStyle w:val="TAH"/>
            </w:pPr>
          </w:p>
        </w:tc>
      </w:tr>
      <w:tr w:rsidR="00BE0199" w:rsidRPr="004608C1" w14:paraId="0FE60D39" w14:textId="77777777" w:rsidTr="00BE0199">
        <w:trPr>
          <w:jc w:val="center"/>
        </w:trPr>
        <w:tc>
          <w:tcPr>
            <w:tcW w:w="1036" w:type="dxa"/>
            <w:tcBorders>
              <w:top w:val="single" w:sz="6" w:space="0" w:color="auto"/>
              <w:left w:val="single" w:sz="4" w:space="0" w:color="auto"/>
              <w:right w:val="single" w:sz="6" w:space="0" w:color="auto"/>
            </w:tcBorders>
            <w:shd w:val="clear" w:color="auto" w:fill="auto"/>
            <w:vAlign w:val="center"/>
          </w:tcPr>
          <w:p w14:paraId="0E848987" w14:textId="77777777" w:rsidR="00BE0199" w:rsidRPr="004608C1" w:rsidRDefault="00BE0199" w:rsidP="00F37389">
            <w:pPr>
              <w:pStyle w:val="TAC"/>
            </w:pPr>
          </w:p>
        </w:tc>
        <w:tc>
          <w:tcPr>
            <w:tcW w:w="1055" w:type="dxa"/>
            <w:tcBorders>
              <w:top w:val="single" w:sz="6" w:space="0" w:color="auto"/>
              <w:left w:val="single" w:sz="6" w:space="0" w:color="auto"/>
              <w:right w:val="single" w:sz="6" w:space="0" w:color="auto"/>
            </w:tcBorders>
            <w:shd w:val="clear" w:color="auto" w:fill="auto"/>
            <w:vAlign w:val="center"/>
          </w:tcPr>
          <w:p w14:paraId="0D9CAE47" w14:textId="77777777" w:rsidR="00BE0199" w:rsidRPr="004608C1" w:rsidRDefault="00BE0199" w:rsidP="00F37389">
            <w:pPr>
              <w:pStyle w:val="TAC"/>
            </w:pPr>
          </w:p>
        </w:tc>
        <w:tc>
          <w:tcPr>
            <w:tcW w:w="833" w:type="dxa"/>
            <w:tcBorders>
              <w:top w:val="single" w:sz="6" w:space="0" w:color="auto"/>
              <w:left w:val="single" w:sz="6" w:space="0" w:color="auto"/>
              <w:right w:val="single" w:sz="6" w:space="0" w:color="auto"/>
            </w:tcBorders>
            <w:shd w:val="clear" w:color="auto" w:fill="auto"/>
            <w:vAlign w:val="center"/>
          </w:tcPr>
          <w:p w14:paraId="4ED6900A" w14:textId="77777777" w:rsidR="00BE0199" w:rsidRPr="004608C1" w:rsidRDefault="00BE0199" w:rsidP="00F37389">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1860BCF5" w14:textId="77777777" w:rsidR="00BE0199" w:rsidRPr="004608C1" w:rsidRDefault="00BE0199" w:rsidP="00F37389">
            <w:pPr>
              <w:pStyle w:val="TAC"/>
              <w:rPr>
                <w:rFonts w:cs="Arial"/>
                <w:szCs w:val="18"/>
              </w:rPr>
            </w:pPr>
            <w:r w:rsidRPr="004608C1">
              <w:rPr>
                <w:rFonts w:cs="Arial"/>
                <w:szCs w:val="18"/>
              </w:rPr>
              <w:t>NR_FDD_FR1_A, NR_TDD_FR1_A,</w:t>
            </w:r>
          </w:p>
          <w:p w14:paraId="523DB701" w14:textId="77777777" w:rsidR="00BE0199" w:rsidRPr="004608C1" w:rsidRDefault="00BE0199" w:rsidP="00F37389">
            <w:pPr>
              <w:pStyle w:val="TAC"/>
              <w:rPr>
                <w:rFonts w:cs="Arial"/>
                <w:szCs w:val="18"/>
              </w:rPr>
            </w:pPr>
            <w:r w:rsidRPr="004608C1">
              <w:rPr>
                <w:rFonts w:cs="Arial"/>
                <w:szCs w:val="18"/>
              </w:rPr>
              <w:t>NR_SDL_FR1_A</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24A27D74" w14:textId="77777777" w:rsidR="00BE0199" w:rsidRPr="004608C1" w:rsidRDefault="00BE0199" w:rsidP="00F37389">
            <w:pPr>
              <w:pStyle w:val="TAC"/>
            </w:pPr>
            <w:r w:rsidRPr="004608C1">
              <w:t>-121</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08B387B0" w14:textId="77777777" w:rsidR="00BE0199" w:rsidRPr="004608C1" w:rsidRDefault="00BE0199" w:rsidP="00F37389">
            <w:pPr>
              <w:pStyle w:val="TAC"/>
            </w:pPr>
            <w:r w:rsidRPr="004608C1">
              <w:t>-118</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A69156B" w14:textId="77777777" w:rsidR="00BE0199" w:rsidRPr="004608C1" w:rsidRDefault="00BE0199" w:rsidP="00F37389">
            <w:pPr>
              <w:pStyle w:val="TAC"/>
            </w:pPr>
            <w:r w:rsidRPr="004608C1">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5C67A9B3" w14:textId="77777777" w:rsidR="00BE0199" w:rsidRPr="004608C1" w:rsidRDefault="00BE0199" w:rsidP="00F37389">
            <w:pPr>
              <w:pStyle w:val="TAC"/>
            </w:pPr>
            <w:r w:rsidRPr="004608C1">
              <w:t>-70</w:t>
            </w:r>
          </w:p>
        </w:tc>
      </w:tr>
      <w:tr w:rsidR="00BE0199" w:rsidRPr="004608C1" w14:paraId="75DF58AC" w14:textId="77777777" w:rsidTr="00BE0199">
        <w:trPr>
          <w:jc w:val="center"/>
        </w:trPr>
        <w:tc>
          <w:tcPr>
            <w:tcW w:w="1036" w:type="dxa"/>
            <w:tcBorders>
              <w:left w:val="single" w:sz="4" w:space="0" w:color="auto"/>
              <w:right w:val="single" w:sz="6" w:space="0" w:color="auto"/>
            </w:tcBorders>
            <w:shd w:val="clear" w:color="auto" w:fill="auto"/>
            <w:vAlign w:val="center"/>
          </w:tcPr>
          <w:p w14:paraId="07960B58" w14:textId="77777777" w:rsidR="00BE0199" w:rsidRPr="004608C1" w:rsidRDefault="00BE0199" w:rsidP="00F37389">
            <w:pPr>
              <w:pStyle w:val="TAC"/>
            </w:pPr>
          </w:p>
        </w:tc>
        <w:tc>
          <w:tcPr>
            <w:tcW w:w="1055" w:type="dxa"/>
            <w:tcBorders>
              <w:left w:val="single" w:sz="6" w:space="0" w:color="auto"/>
              <w:right w:val="single" w:sz="6" w:space="0" w:color="auto"/>
            </w:tcBorders>
            <w:shd w:val="clear" w:color="auto" w:fill="auto"/>
            <w:vAlign w:val="center"/>
          </w:tcPr>
          <w:p w14:paraId="223DD4F6" w14:textId="77777777" w:rsidR="00BE0199" w:rsidRPr="004608C1" w:rsidRDefault="00BE0199" w:rsidP="00F37389">
            <w:pPr>
              <w:pStyle w:val="TAC"/>
            </w:pPr>
          </w:p>
        </w:tc>
        <w:tc>
          <w:tcPr>
            <w:tcW w:w="833" w:type="dxa"/>
            <w:tcBorders>
              <w:left w:val="single" w:sz="6" w:space="0" w:color="auto"/>
              <w:right w:val="single" w:sz="6" w:space="0" w:color="auto"/>
            </w:tcBorders>
            <w:shd w:val="clear" w:color="auto" w:fill="auto"/>
            <w:vAlign w:val="center"/>
          </w:tcPr>
          <w:p w14:paraId="391F985E" w14:textId="77777777" w:rsidR="00BE0199" w:rsidRPr="004608C1" w:rsidRDefault="00BE0199" w:rsidP="00F37389">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0C250E11" w14:textId="77777777" w:rsidR="00BE0199" w:rsidRPr="004608C1" w:rsidRDefault="00BE0199" w:rsidP="00F37389">
            <w:pPr>
              <w:pStyle w:val="TAC"/>
            </w:pPr>
            <w:r w:rsidRPr="004608C1">
              <w:t>NR_FDD_FR1_B</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04995355" w14:textId="77777777" w:rsidR="00BE0199" w:rsidRPr="004608C1" w:rsidRDefault="00BE0199" w:rsidP="00F37389">
            <w:pPr>
              <w:pStyle w:val="TAC"/>
            </w:pPr>
            <w:r w:rsidRPr="004608C1">
              <w:t>-120.5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091E9D5A" w14:textId="77777777" w:rsidR="00BE0199" w:rsidRPr="004608C1" w:rsidRDefault="00BE0199" w:rsidP="00F37389">
            <w:pPr>
              <w:pStyle w:val="TAC"/>
              <w:rPr>
                <w:lang w:val="sv-SE"/>
              </w:rPr>
            </w:pPr>
            <w:r w:rsidRPr="004608C1">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6874562" w14:textId="77777777" w:rsidR="00BE0199" w:rsidRPr="004608C1" w:rsidRDefault="00BE0199" w:rsidP="00F37389">
            <w:pPr>
              <w:pStyle w:val="TAC"/>
            </w:pPr>
            <w:r w:rsidRPr="004608C1">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E7DA994" w14:textId="77777777" w:rsidR="00BE0199" w:rsidRPr="004608C1" w:rsidRDefault="00BE0199" w:rsidP="00F37389">
            <w:pPr>
              <w:pStyle w:val="TAC"/>
            </w:pPr>
            <w:r w:rsidRPr="004608C1">
              <w:t>-70</w:t>
            </w:r>
          </w:p>
        </w:tc>
      </w:tr>
      <w:tr w:rsidR="00BE0199" w:rsidRPr="004608C1" w14:paraId="47AB6632" w14:textId="77777777" w:rsidTr="00BE0199">
        <w:trPr>
          <w:jc w:val="center"/>
        </w:trPr>
        <w:tc>
          <w:tcPr>
            <w:tcW w:w="1036" w:type="dxa"/>
            <w:tcBorders>
              <w:left w:val="single" w:sz="4" w:space="0" w:color="auto"/>
              <w:right w:val="single" w:sz="6" w:space="0" w:color="auto"/>
            </w:tcBorders>
            <w:shd w:val="clear" w:color="auto" w:fill="auto"/>
            <w:vAlign w:val="center"/>
          </w:tcPr>
          <w:p w14:paraId="1459AA62" w14:textId="77777777" w:rsidR="00BE0199" w:rsidRPr="004608C1" w:rsidRDefault="00BE0199" w:rsidP="00F37389">
            <w:pPr>
              <w:pStyle w:val="TAC"/>
            </w:pPr>
          </w:p>
        </w:tc>
        <w:tc>
          <w:tcPr>
            <w:tcW w:w="1055" w:type="dxa"/>
            <w:tcBorders>
              <w:left w:val="single" w:sz="6" w:space="0" w:color="auto"/>
              <w:right w:val="single" w:sz="6" w:space="0" w:color="auto"/>
            </w:tcBorders>
            <w:shd w:val="clear" w:color="auto" w:fill="auto"/>
            <w:vAlign w:val="center"/>
          </w:tcPr>
          <w:p w14:paraId="4EEA3AA8" w14:textId="77777777" w:rsidR="00BE0199" w:rsidRPr="004608C1" w:rsidRDefault="00BE0199" w:rsidP="00F37389">
            <w:pPr>
              <w:pStyle w:val="TAC"/>
            </w:pPr>
          </w:p>
        </w:tc>
        <w:tc>
          <w:tcPr>
            <w:tcW w:w="833" w:type="dxa"/>
            <w:tcBorders>
              <w:left w:val="single" w:sz="6" w:space="0" w:color="auto"/>
              <w:right w:val="single" w:sz="6" w:space="0" w:color="auto"/>
            </w:tcBorders>
            <w:shd w:val="clear" w:color="auto" w:fill="auto"/>
            <w:vAlign w:val="center"/>
          </w:tcPr>
          <w:p w14:paraId="0AD91CB2" w14:textId="77777777" w:rsidR="00BE0199" w:rsidRPr="004608C1" w:rsidRDefault="00BE0199" w:rsidP="00F37389">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462E8E16" w14:textId="77777777" w:rsidR="00BE0199" w:rsidRPr="004608C1" w:rsidRDefault="00BE0199" w:rsidP="00F37389">
            <w:pPr>
              <w:pStyle w:val="TAC"/>
            </w:pPr>
            <w:r w:rsidRPr="004608C1">
              <w:t>NR_TDD_FR1_C</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030DCF64" w14:textId="77777777" w:rsidR="00BE0199" w:rsidRPr="004608C1" w:rsidRDefault="00BE0199" w:rsidP="00F37389">
            <w:pPr>
              <w:pStyle w:val="TAC"/>
            </w:pPr>
            <w:r w:rsidRPr="004608C1">
              <w:t>-120</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43D9EA4C" w14:textId="77777777" w:rsidR="00BE0199" w:rsidRPr="004608C1" w:rsidRDefault="00BE0199" w:rsidP="00F37389">
            <w:pPr>
              <w:pStyle w:val="TAC"/>
              <w:rPr>
                <w:lang w:val="sv-SE"/>
              </w:rPr>
            </w:pPr>
            <w:r w:rsidRPr="004608C1">
              <w:t>-117</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9FE3D95" w14:textId="77777777" w:rsidR="00BE0199" w:rsidRPr="004608C1" w:rsidRDefault="00BE0199" w:rsidP="00F37389">
            <w:pPr>
              <w:pStyle w:val="TAC"/>
            </w:pPr>
            <w:r w:rsidRPr="004608C1">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498D2AAF" w14:textId="77777777" w:rsidR="00BE0199" w:rsidRPr="004608C1" w:rsidRDefault="00BE0199" w:rsidP="00F37389">
            <w:pPr>
              <w:pStyle w:val="TAC"/>
            </w:pPr>
            <w:r w:rsidRPr="004608C1">
              <w:t>-70</w:t>
            </w:r>
          </w:p>
        </w:tc>
      </w:tr>
      <w:tr w:rsidR="00BE0199" w:rsidRPr="004608C1" w14:paraId="1CDEE401" w14:textId="77777777" w:rsidTr="00BE0199">
        <w:trPr>
          <w:jc w:val="center"/>
        </w:trPr>
        <w:tc>
          <w:tcPr>
            <w:tcW w:w="1036" w:type="dxa"/>
            <w:tcBorders>
              <w:left w:val="single" w:sz="4" w:space="0" w:color="auto"/>
              <w:right w:val="single" w:sz="6" w:space="0" w:color="auto"/>
            </w:tcBorders>
            <w:shd w:val="clear" w:color="auto" w:fill="auto"/>
            <w:vAlign w:val="center"/>
          </w:tcPr>
          <w:p w14:paraId="157C7837" w14:textId="77777777" w:rsidR="00BE0199" w:rsidRPr="004608C1" w:rsidRDefault="00BE0199" w:rsidP="00F37389">
            <w:pPr>
              <w:pStyle w:val="TAC"/>
            </w:pPr>
            <w:r w:rsidRPr="004608C1">
              <w:sym w:font="Symbol" w:char="F0B1"/>
            </w:r>
            <w:r>
              <w:t>6</w:t>
            </w:r>
          </w:p>
        </w:tc>
        <w:tc>
          <w:tcPr>
            <w:tcW w:w="1055" w:type="dxa"/>
            <w:tcBorders>
              <w:left w:val="single" w:sz="6" w:space="0" w:color="auto"/>
              <w:right w:val="single" w:sz="6" w:space="0" w:color="auto"/>
            </w:tcBorders>
            <w:shd w:val="clear" w:color="auto" w:fill="auto"/>
            <w:vAlign w:val="center"/>
          </w:tcPr>
          <w:p w14:paraId="631C869B" w14:textId="77777777" w:rsidR="00BE0199" w:rsidRPr="004608C1" w:rsidRDefault="00BE0199" w:rsidP="00F37389">
            <w:pPr>
              <w:pStyle w:val="TAC"/>
            </w:pPr>
            <w:r w:rsidRPr="004608C1">
              <w:sym w:font="Symbol" w:char="F0B1"/>
            </w:r>
            <w:r>
              <w:t>10.5</w:t>
            </w:r>
          </w:p>
        </w:tc>
        <w:tc>
          <w:tcPr>
            <w:tcW w:w="833" w:type="dxa"/>
            <w:tcBorders>
              <w:left w:val="single" w:sz="6" w:space="0" w:color="auto"/>
              <w:right w:val="single" w:sz="6" w:space="0" w:color="auto"/>
            </w:tcBorders>
            <w:shd w:val="clear" w:color="auto" w:fill="auto"/>
            <w:vAlign w:val="center"/>
          </w:tcPr>
          <w:p w14:paraId="5864E417" w14:textId="77777777" w:rsidR="00BE0199" w:rsidRPr="004608C1" w:rsidRDefault="00BE0199" w:rsidP="00F37389">
            <w:pPr>
              <w:pStyle w:val="TAC"/>
            </w:pPr>
            <w:r w:rsidRPr="004608C1">
              <w:sym w:font="Symbol" w:char="F0B3"/>
            </w:r>
            <w:r w:rsidRPr="004608C1">
              <w:t>-</w:t>
            </w:r>
            <w:r>
              <w:t>4</w:t>
            </w: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318F22E5" w14:textId="77777777" w:rsidR="00BE0199" w:rsidRPr="004608C1" w:rsidRDefault="00BE0199" w:rsidP="00F37389">
            <w:pPr>
              <w:pStyle w:val="TAC"/>
              <w:rPr>
                <w:lang w:val="sv-SE"/>
              </w:rPr>
            </w:pPr>
            <w:r w:rsidRPr="004608C1">
              <w:rPr>
                <w:lang w:val="sv-SE"/>
              </w:rPr>
              <w:t>NR_FDD_FR1_D, NR_TDD_FR1_D</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5B3A6B2E" w14:textId="77777777" w:rsidR="00BE0199" w:rsidRPr="004608C1" w:rsidDel="00FA4A82" w:rsidRDefault="00BE0199" w:rsidP="00F37389">
            <w:pPr>
              <w:pStyle w:val="TAC"/>
            </w:pPr>
            <w:r w:rsidRPr="004608C1">
              <w:t>-119.5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6B2EA231" w14:textId="77777777" w:rsidR="00BE0199" w:rsidRPr="004608C1" w:rsidDel="00FA4A82" w:rsidRDefault="00BE0199" w:rsidP="00F37389">
            <w:pPr>
              <w:pStyle w:val="TAC"/>
            </w:pPr>
            <w:r w:rsidRPr="004608C1">
              <w:t>-116.5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771133E0" w14:textId="77777777" w:rsidR="00BE0199" w:rsidRPr="004608C1" w:rsidRDefault="00BE0199" w:rsidP="00F37389">
            <w:pPr>
              <w:pStyle w:val="TAC"/>
            </w:pPr>
            <w:r w:rsidRPr="004608C1">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69FFFECD" w14:textId="77777777" w:rsidR="00BE0199" w:rsidRPr="004608C1" w:rsidRDefault="00BE0199" w:rsidP="00F37389">
            <w:pPr>
              <w:pStyle w:val="TAC"/>
            </w:pPr>
            <w:r w:rsidRPr="004608C1">
              <w:t>-70</w:t>
            </w:r>
          </w:p>
        </w:tc>
      </w:tr>
      <w:tr w:rsidR="00BE0199" w:rsidRPr="004608C1" w14:paraId="48BE0DE7" w14:textId="77777777" w:rsidTr="00BE0199">
        <w:trPr>
          <w:jc w:val="center"/>
        </w:trPr>
        <w:tc>
          <w:tcPr>
            <w:tcW w:w="1036" w:type="dxa"/>
            <w:tcBorders>
              <w:left w:val="single" w:sz="4" w:space="0" w:color="auto"/>
              <w:right w:val="single" w:sz="6" w:space="0" w:color="auto"/>
            </w:tcBorders>
            <w:shd w:val="clear" w:color="auto" w:fill="auto"/>
            <w:vAlign w:val="center"/>
          </w:tcPr>
          <w:p w14:paraId="2DDDB290" w14:textId="77777777" w:rsidR="00BE0199" w:rsidRPr="004608C1" w:rsidRDefault="00BE0199" w:rsidP="00F37389">
            <w:pPr>
              <w:pStyle w:val="TAC"/>
            </w:pPr>
          </w:p>
        </w:tc>
        <w:tc>
          <w:tcPr>
            <w:tcW w:w="1055" w:type="dxa"/>
            <w:tcBorders>
              <w:left w:val="single" w:sz="6" w:space="0" w:color="auto"/>
              <w:right w:val="single" w:sz="6" w:space="0" w:color="auto"/>
            </w:tcBorders>
            <w:shd w:val="clear" w:color="auto" w:fill="auto"/>
            <w:vAlign w:val="center"/>
          </w:tcPr>
          <w:p w14:paraId="2D17FAA2" w14:textId="77777777" w:rsidR="00BE0199" w:rsidRPr="004608C1" w:rsidRDefault="00BE0199" w:rsidP="00F37389">
            <w:pPr>
              <w:pStyle w:val="TAC"/>
            </w:pPr>
          </w:p>
        </w:tc>
        <w:tc>
          <w:tcPr>
            <w:tcW w:w="833" w:type="dxa"/>
            <w:tcBorders>
              <w:left w:val="single" w:sz="6" w:space="0" w:color="auto"/>
              <w:right w:val="single" w:sz="6" w:space="0" w:color="auto"/>
            </w:tcBorders>
            <w:shd w:val="clear" w:color="auto" w:fill="auto"/>
            <w:vAlign w:val="center"/>
          </w:tcPr>
          <w:p w14:paraId="0BF6D4CC" w14:textId="77777777" w:rsidR="00BE0199" w:rsidRPr="004608C1" w:rsidRDefault="00BE0199" w:rsidP="00F37389">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174E5594" w14:textId="77777777" w:rsidR="00BE0199" w:rsidRPr="004608C1" w:rsidDel="00836998" w:rsidRDefault="00BE0199" w:rsidP="00F37389">
            <w:pPr>
              <w:pStyle w:val="TAC"/>
              <w:rPr>
                <w:lang w:val="sv-SE"/>
              </w:rPr>
            </w:pPr>
            <w:r w:rsidRPr="004608C1">
              <w:rPr>
                <w:lang w:val="sv-SE"/>
              </w:rPr>
              <w:t>NR_FDD_FR1_E, NR_TDD_FR1_E</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3335BC79" w14:textId="77777777" w:rsidR="00BE0199" w:rsidRPr="004608C1" w:rsidRDefault="00BE0199" w:rsidP="00F37389">
            <w:pPr>
              <w:pStyle w:val="TAC"/>
            </w:pPr>
            <w:r w:rsidRPr="004608C1">
              <w:t>-119</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2F8C4028" w14:textId="77777777" w:rsidR="00BE0199" w:rsidRPr="004608C1" w:rsidRDefault="00BE0199" w:rsidP="00F37389">
            <w:pPr>
              <w:pStyle w:val="TAC"/>
              <w:rPr>
                <w:lang w:val="sv-SE"/>
              </w:rPr>
            </w:pPr>
            <w:r w:rsidRPr="004608C1">
              <w:t>-116</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3285FBF9" w14:textId="77777777" w:rsidR="00BE0199" w:rsidRPr="004608C1" w:rsidRDefault="00BE0199" w:rsidP="00F37389">
            <w:pPr>
              <w:pStyle w:val="TAC"/>
            </w:pPr>
            <w:r w:rsidRPr="004608C1">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59205732" w14:textId="77777777" w:rsidR="00BE0199" w:rsidRPr="004608C1" w:rsidRDefault="00BE0199" w:rsidP="00F37389">
            <w:pPr>
              <w:pStyle w:val="TAC"/>
            </w:pPr>
            <w:r w:rsidRPr="004608C1">
              <w:t>-70</w:t>
            </w:r>
          </w:p>
        </w:tc>
      </w:tr>
      <w:tr w:rsidR="00BE0199" w:rsidRPr="004608C1" w14:paraId="2F2D52D6" w14:textId="77777777" w:rsidTr="00BE0199">
        <w:trPr>
          <w:jc w:val="center"/>
        </w:trPr>
        <w:tc>
          <w:tcPr>
            <w:tcW w:w="1036" w:type="dxa"/>
            <w:tcBorders>
              <w:left w:val="single" w:sz="4" w:space="0" w:color="auto"/>
              <w:right w:val="single" w:sz="6" w:space="0" w:color="auto"/>
            </w:tcBorders>
            <w:shd w:val="clear" w:color="auto" w:fill="auto"/>
            <w:vAlign w:val="center"/>
          </w:tcPr>
          <w:p w14:paraId="3E28309C" w14:textId="77777777" w:rsidR="00BE0199" w:rsidRPr="004608C1" w:rsidRDefault="00BE0199" w:rsidP="00F37389">
            <w:pPr>
              <w:pStyle w:val="TAC"/>
            </w:pPr>
          </w:p>
        </w:tc>
        <w:tc>
          <w:tcPr>
            <w:tcW w:w="1055" w:type="dxa"/>
            <w:tcBorders>
              <w:left w:val="single" w:sz="6" w:space="0" w:color="auto"/>
              <w:right w:val="single" w:sz="6" w:space="0" w:color="auto"/>
            </w:tcBorders>
            <w:shd w:val="clear" w:color="auto" w:fill="auto"/>
            <w:vAlign w:val="center"/>
          </w:tcPr>
          <w:p w14:paraId="26DD9469" w14:textId="77777777" w:rsidR="00BE0199" w:rsidRPr="004608C1" w:rsidRDefault="00BE0199" w:rsidP="00F37389">
            <w:pPr>
              <w:pStyle w:val="TAC"/>
            </w:pPr>
          </w:p>
        </w:tc>
        <w:tc>
          <w:tcPr>
            <w:tcW w:w="833" w:type="dxa"/>
            <w:tcBorders>
              <w:left w:val="single" w:sz="6" w:space="0" w:color="auto"/>
              <w:right w:val="single" w:sz="6" w:space="0" w:color="auto"/>
            </w:tcBorders>
            <w:shd w:val="clear" w:color="auto" w:fill="auto"/>
            <w:vAlign w:val="center"/>
          </w:tcPr>
          <w:p w14:paraId="1D933B6A" w14:textId="77777777" w:rsidR="00BE0199" w:rsidRPr="004608C1" w:rsidRDefault="00BE0199" w:rsidP="00F37389">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345B1EFC" w14:textId="77777777" w:rsidR="00BE0199" w:rsidRPr="004608C1" w:rsidRDefault="00BE0199" w:rsidP="00F37389">
            <w:pPr>
              <w:pStyle w:val="TAC"/>
              <w:rPr>
                <w:lang w:val="sv-SE"/>
              </w:rPr>
            </w:pPr>
            <w:r w:rsidRPr="004608C1">
              <w:rPr>
                <w:lang w:eastAsia="zh-CN"/>
              </w:rPr>
              <w:t>NR_FDD_FR1_F</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26C07C58" w14:textId="77777777" w:rsidR="00BE0199" w:rsidRPr="004608C1" w:rsidRDefault="00BE0199" w:rsidP="00F37389">
            <w:pPr>
              <w:pStyle w:val="TAC"/>
            </w:pPr>
            <w:r w:rsidRPr="004608C1">
              <w:t>-118.5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416F0ACB" w14:textId="77777777" w:rsidR="00BE0199" w:rsidRPr="004608C1" w:rsidRDefault="00BE0199" w:rsidP="00F37389">
            <w:pPr>
              <w:pStyle w:val="TAC"/>
            </w:pPr>
            <w:r w:rsidRPr="004608C1">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5BFDEAE1" w14:textId="77777777" w:rsidR="00BE0199" w:rsidRPr="004608C1" w:rsidRDefault="00BE0199" w:rsidP="00F37389">
            <w:pPr>
              <w:pStyle w:val="TAC"/>
            </w:pPr>
            <w:r w:rsidRPr="004608C1">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728B179" w14:textId="77777777" w:rsidR="00BE0199" w:rsidRPr="004608C1" w:rsidRDefault="00BE0199" w:rsidP="00F37389">
            <w:pPr>
              <w:pStyle w:val="TAC"/>
            </w:pPr>
            <w:r w:rsidRPr="004608C1">
              <w:t>-70</w:t>
            </w:r>
          </w:p>
        </w:tc>
      </w:tr>
      <w:tr w:rsidR="00BE0199" w:rsidRPr="004608C1" w14:paraId="10E7C72A" w14:textId="77777777" w:rsidTr="00BE0199">
        <w:trPr>
          <w:jc w:val="center"/>
        </w:trPr>
        <w:tc>
          <w:tcPr>
            <w:tcW w:w="1036" w:type="dxa"/>
            <w:tcBorders>
              <w:left w:val="single" w:sz="4" w:space="0" w:color="auto"/>
              <w:right w:val="single" w:sz="6" w:space="0" w:color="auto"/>
            </w:tcBorders>
            <w:shd w:val="clear" w:color="auto" w:fill="auto"/>
            <w:vAlign w:val="center"/>
          </w:tcPr>
          <w:p w14:paraId="78CFBA73" w14:textId="77777777" w:rsidR="00BE0199" w:rsidRPr="004608C1" w:rsidRDefault="00BE0199" w:rsidP="00F37389">
            <w:pPr>
              <w:pStyle w:val="TAC"/>
            </w:pPr>
          </w:p>
        </w:tc>
        <w:tc>
          <w:tcPr>
            <w:tcW w:w="1055" w:type="dxa"/>
            <w:tcBorders>
              <w:left w:val="single" w:sz="6" w:space="0" w:color="auto"/>
              <w:right w:val="single" w:sz="6" w:space="0" w:color="auto"/>
            </w:tcBorders>
            <w:shd w:val="clear" w:color="auto" w:fill="auto"/>
            <w:vAlign w:val="center"/>
          </w:tcPr>
          <w:p w14:paraId="5430BE65" w14:textId="77777777" w:rsidR="00BE0199" w:rsidRPr="004608C1" w:rsidRDefault="00BE0199" w:rsidP="00F37389">
            <w:pPr>
              <w:pStyle w:val="TAC"/>
            </w:pPr>
          </w:p>
        </w:tc>
        <w:tc>
          <w:tcPr>
            <w:tcW w:w="833" w:type="dxa"/>
            <w:tcBorders>
              <w:left w:val="single" w:sz="6" w:space="0" w:color="auto"/>
              <w:right w:val="single" w:sz="6" w:space="0" w:color="auto"/>
            </w:tcBorders>
            <w:shd w:val="clear" w:color="auto" w:fill="auto"/>
            <w:vAlign w:val="center"/>
          </w:tcPr>
          <w:p w14:paraId="6D0502D4" w14:textId="77777777" w:rsidR="00BE0199" w:rsidRPr="004608C1" w:rsidRDefault="00BE0199" w:rsidP="00F37389">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744A6C8F" w14:textId="77777777" w:rsidR="00BE0199" w:rsidRPr="004608C1" w:rsidDel="00836998" w:rsidRDefault="00BE0199" w:rsidP="00F37389">
            <w:pPr>
              <w:pStyle w:val="TAC"/>
              <w:rPr>
                <w:lang w:eastAsia="zh-CN"/>
              </w:rPr>
            </w:pPr>
            <w:r w:rsidRPr="004608C1">
              <w:rPr>
                <w:lang w:eastAsia="zh-CN"/>
              </w:rPr>
              <w:t>NR</w:t>
            </w:r>
            <w:r w:rsidRPr="004608C1">
              <w:t>_</w:t>
            </w:r>
            <w:r w:rsidRPr="004608C1">
              <w:rPr>
                <w:lang w:eastAsia="zh-CN"/>
              </w:rPr>
              <w:t>FDD_FR1_G</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6633995E" w14:textId="77777777" w:rsidR="00BE0199" w:rsidRPr="004608C1" w:rsidRDefault="00BE0199" w:rsidP="00F37389">
            <w:pPr>
              <w:pStyle w:val="TAC"/>
            </w:pPr>
            <w:r w:rsidRPr="004608C1">
              <w:t>-118</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648F88E2" w14:textId="77777777" w:rsidR="00BE0199" w:rsidRPr="004608C1" w:rsidRDefault="00BE0199" w:rsidP="00F37389">
            <w:pPr>
              <w:pStyle w:val="TAC"/>
              <w:rPr>
                <w:rFonts w:cs="Arial"/>
                <w:lang w:val="sv-SE"/>
              </w:rPr>
            </w:pPr>
            <w:r w:rsidRPr="004608C1">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718328DB" w14:textId="77777777" w:rsidR="00BE0199" w:rsidRPr="004608C1" w:rsidRDefault="00BE0199" w:rsidP="00F37389">
            <w:pPr>
              <w:pStyle w:val="TAC"/>
            </w:pPr>
            <w:r w:rsidRPr="004608C1">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4FC342D5" w14:textId="77777777" w:rsidR="00BE0199" w:rsidRPr="004608C1" w:rsidRDefault="00BE0199" w:rsidP="00F37389">
            <w:pPr>
              <w:pStyle w:val="TAC"/>
            </w:pPr>
            <w:r w:rsidRPr="004608C1">
              <w:t>-70</w:t>
            </w:r>
          </w:p>
        </w:tc>
      </w:tr>
      <w:tr w:rsidR="00BE0199" w:rsidRPr="004608C1" w14:paraId="7B3A9D69" w14:textId="77777777" w:rsidTr="00BE0199">
        <w:trPr>
          <w:jc w:val="center"/>
        </w:trPr>
        <w:tc>
          <w:tcPr>
            <w:tcW w:w="1036" w:type="dxa"/>
            <w:tcBorders>
              <w:left w:val="single" w:sz="4" w:space="0" w:color="auto"/>
              <w:right w:val="single" w:sz="6" w:space="0" w:color="auto"/>
            </w:tcBorders>
            <w:shd w:val="clear" w:color="auto" w:fill="auto"/>
            <w:vAlign w:val="center"/>
          </w:tcPr>
          <w:p w14:paraId="26D04B4F" w14:textId="77777777" w:rsidR="00BE0199" w:rsidRPr="004608C1" w:rsidRDefault="00BE0199" w:rsidP="00F37389">
            <w:pPr>
              <w:pStyle w:val="TAC"/>
            </w:pPr>
          </w:p>
        </w:tc>
        <w:tc>
          <w:tcPr>
            <w:tcW w:w="1055" w:type="dxa"/>
            <w:tcBorders>
              <w:left w:val="single" w:sz="6" w:space="0" w:color="auto"/>
              <w:right w:val="single" w:sz="6" w:space="0" w:color="auto"/>
            </w:tcBorders>
            <w:shd w:val="clear" w:color="auto" w:fill="auto"/>
            <w:vAlign w:val="center"/>
          </w:tcPr>
          <w:p w14:paraId="1FE5E041" w14:textId="77777777" w:rsidR="00BE0199" w:rsidRPr="004608C1" w:rsidRDefault="00BE0199" w:rsidP="00F37389">
            <w:pPr>
              <w:pStyle w:val="TAC"/>
            </w:pPr>
          </w:p>
        </w:tc>
        <w:tc>
          <w:tcPr>
            <w:tcW w:w="833" w:type="dxa"/>
            <w:tcBorders>
              <w:left w:val="single" w:sz="6" w:space="0" w:color="auto"/>
              <w:right w:val="single" w:sz="6" w:space="0" w:color="auto"/>
            </w:tcBorders>
            <w:shd w:val="clear" w:color="auto" w:fill="auto"/>
            <w:vAlign w:val="center"/>
          </w:tcPr>
          <w:p w14:paraId="50D8ED30" w14:textId="77777777" w:rsidR="00BE0199" w:rsidRPr="004608C1" w:rsidRDefault="00BE0199" w:rsidP="00F37389">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2D102088" w14:textId="77777777" w:rsidR="00BE0199" w:rsidRPr="004608C1" w:rsidRDefault="00BE0199" w:rsidP="00F37389">
            <w:pPr>
              <w:pStyle w:val="TAC"/>
              <w:rPr>
                <w:lang w:eastAsia="zh-CN"/>
              </w:rPr>
            </w:pPr>
            <w:r w:rsidRPr="004608C1">
              <w:rPr>
                <w:lang w:eastAsia="zh-CN"/>
              </w:rPr>
              <w:t>NR</w:t>
            </w:r>
            <w:r w:rsidRPr="004608C1">
              <w:t>_</w:t>
            </w:r>
            <w:r w:rsidRPr="004608C1">
              <w:rPr>
                <w:lang w:eastAsia="zh-CN"/>
              </w:rPr>
              <w:t>FDD_FR1_H</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5EBCCFEE" w14:textId="77777777" w:rsidR="00BE0199" w:rsidRPr="004608C1" w:rsidRDefault="00BE0199" w:rsidP="00F37389">
            <w:pPr>
              <w:pStyle w:val="TAC"/>
            </w:pPr>
            <w:r w:rsidRPr="004608C1">
              <w:t>-117.5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0C81C517" w14:textId="77777777" w:rsidR="00BE0199" w:rsidRPr="004608C1" w:rsidRDefault="00BE0199" w:rsidP="00F37389">
            <w:pPr>
              <w:pStyle w:val="TAC"/>
              <w:rPr>
                <w:rFonts w:cs="Arial"/>
                <w:lang w:val="sv-SE"/>
              </w:rPr>
            </w:pPr>
            <w:r w:rsidRPr="004608C1">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972BED9" w14:textId="77777777" w:rsidR="00BE0199" w:rsidRPr="004608C1" w:rsidRDefault="00BE0199" w:rsidP="00F37389">
            <w:pPr>
              <w:pStyle w:val="TAC"/>
            </w:pPr>
            <w:r w:rsidRPr="004608C1">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2106D36" w14:textId="77777777" w:rsidR="00BE0199" w:rsidRPr="004608C1" w:rsidRDefault="00BE0199" w:rsidP="00F37389">
            <w:pPr>
              <w:pStyle w:val="TAC"/>
            </w:pPr>
            <w:r w:rsidRPr="004608C1">
              <w:t>-70</w:t>
            </w:r>
          </w:p>
        </w:tc>
      </w:tr>
      <w:tr w:rsidR="00BE0199" w:rsidRPr="004608C1" w14:paraId="4B331F8B" w14:textId="77777777" w:rsidTr="00BE0199">
        <w:trPr>
          <w:jc w:val="center"/>
        </w:trPr>
        <w:tc>
          <w:tcPr>
            <w:tcW w:w="1036" w:type="dxa"/>
            <w:tcBorders>
              <w:top w:val="single" w:sz="6" w:space="0" w:color="auto"/>
              <w:left w:val="single" w:sz="4" w:space="0" w:color="auto"/>
              <w:bottom w:val="single" w:sz="6" w:space="0" w:color="auto"/>
              <w:right w:val="single" w:sz="6" w:space="0" w:color="auto"/>
            </w:tcBorders>
            <w:shd w:val="clear" w:color="auto" w:fill="auto"/>
            <w:vAlign w:val="center"/>
          </w:tcPr>
          <w:p w14:paraId="12B5BB76" w14:textId="77777777" w:rsidR="00BE0199" w:rsidRPr="004608C1" w:rsidRDefault="00BE0199" w:rsidP="00F37389">
            <w:pPr>
              <w:pStyle w:val="TAC"/>
            </w:pPr>
            <w:r w:rsidRPr="004608C1">
              <w:sym w:font="Symbol" w:char="F0B1"/>
            </w:r>
            <w:r>
              <w:t>9.5</w:t>
            </w:r>
          </w:p>
        </w:tc>
        <w:tc>
          <w:tcPr>
            <w:tcW w:w="1055" w:type="dxa"/>
            <w:tcBorders>
              <w:top w:val="single" w:sz="6" w:space="0" w:color="auto"/>
              <w:left w:val="single" w:sz="6" w:space="0" w:color="auto"/>
              <w:bottom w:val="single" w:sz="6" w:space="0" w:color="auto"/>
              <w:right w:val="single" w:sz="6" w:space="0" w:color="auto"/>
            </w:tcBorders>
            <w:shd w:val="clear" w:color="auto" w:fill="auto"/>
            <w:vAlign w:val="center"/>
          </w:tcPr>
          <w:p w14:paraId="60E54A26" w14:textId="77777777" w:rsidR="00BE0199" w:rsidRPr="004608C1" w:rsidRDefault="00BE0199" w:rsidP="00F37389">
            <w:pPr>
              <w:pStyle w:val="TAC"/>
            </w:pPr>
            <w:r w:rsidRPr="004608C1">
              <w:sym w:font="Symbol" w:char="F0B1"/>
            </w:r>
            <w:r w:rsidRPr="004608C1">
              <w:t>1</w:t>
            </w:r>
            <w:r>
              <w:t>2.5</w:t>
            </w:r>
          </w:p>
        </w:tc>
        <w:tc>
          <w:tcPr>
            <w:tcW w:w="833" w:type="dxa"/>
            <w:tcBorders>
              <w:top w:val="single" w:sz="6" w:space="0" w:color="auto"/>
              <w:left w:val="single" w:sz="6" w:space="0" w:color="auto"/>
              <w:bottom w:val="single" w:sz="6" w:space="0" w:color="auto"/>
              <w:right w:val="single" w:sz="6" w:space="0" w:color="auto"/>
            </w:tcBorders>
            <w:shd w:val="clear" w:color="auto" w:fill="auto"/>
            <w:vAlign w:val="center"/>
          </w:tcPr>
          <w:p w14:paraId="575A7B0E" w14:textId="77777777" w:rsidR="00BE0199" w:rsidRPr="004608C1" w:rsidRDefault="00BE0199" w:rsidP="00F37389">
            <w:pPr>
              <w:pStyle w:val="TAC"/>
            </w:pPr>
            <w:r w:rsidRPr="004608C1">
              <w:sym w:font="Symbol" w:char="F0B3"/>
            </w:r>
            <w:r w:rsidRPr="004608C1">
              <w:t>-</w:t>
            </w:r>
            <w:r>
              <w:t>4</w:t>
            </w: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452FAD77" w14:textId="77777777" w:rsidR="00BE0199" w:rsidRPr="004608C1" w:rsidRDefault="00BE0199" w:rsidP="00F37389">
            <w:pPr>
              <w:pStyle w:val="TAC"/>
            </w:pPr>
            <w:r w:rsidRPr="004608C1">
              <w:t xml:space="preserve">NR_FDD_FR1_A, NR_TDD_FR1_A, </w:t>
            </w:r>
          </w:p>
          <w:p w14:paraId="511E7EDA" w14:textId="77777777" w:rsidR="00BE0199" w:rsidRPr="004608C1" w:rsidRDefault="00BE0199" w:rsidP="00F37389">
            <w:pPr>
              <w:pStyle w:val="TAC"/>
            </w:pPr>
            <w:r w:rsidRPr="004608C1">
              <w:rPr>
                <w:rFonts w:cs="Arial"/>
              </w:rPr>
              <w:t>NR_SDL_FR1_A</w:t>
            </w:r>
            <w:r w:rsidRPr="004608C1">
              <w:t>,</w:t>
            </w:r>
          </w:p>
          <w:p w14:paraId="19F55C1F" w14:textId="77777777" w:rsidR="00BE0199" w:rsidRPr="004608C1" w:rsidRDefault="00BE0199" w:rsidP="00F37389">
            <w:pPr>
              <w:pStyle w:val="TAC"/>
            </w:pPr>
            <w:r w:rsidRPr="004608C1">
              <w:t>NR_FDD_FR1_B, NR_TDD_FR1_C, NR_FDD_FR1_D, NR_TDD_FR1_D, NR_FDD_FR1_E, NR_TDD_FR1_E, NR_FDD_FR1_F,</w:t>
            </w:r>
          </w:p>
          <w:p w14:paraId="74DBCC74" w14:textId="77777777" w:rsidR="00BE0199" w:rsidRPr="004608C1" w:rsidRDefault="00BE0199" w:rsidP="00F37389">
            <w:pPr>
              <w:pStyle w:val="TAC"/>
              <w:rPr>
                <w:lang w:val="sv-FI"/>
              </w:rPr>
            </w:pPr>
            <w:r w:rsidRPr="004608C1">
              <w:rPr>
                <w:lang w:val="sv-FI"/>
              </w:rPr>
              <w:t>NR_FDD_FR1_G, NR_FDD_FR1_H</w:t>
            </w:r>
          </w:p>
        </w:tc>
        <w:tc>
          <w:tcPr>
            <w:tcW w:w="1005" w:type="dxa"/>
            <w:tcBorders>
              <w:top w:val="single" w:sz="6" w:space="0" w:color="auto"/>
              <w:left w:val="single" w:sz="4" w:space="0" w:color="auto"/>
              <w:bottom w:val="single" w:sz="4" w:space="0" w:color="auto"/>
              <w:right w:val="single" w:sz="6" w:space="0" w:color="auto"/>
            </w:tcBorders>
            <w:shd w:val="clear" w:color="auto" w:fill="auto"/>
            <w:vAlign w:val="center"/>
          </w:tcPr>
          <w:p w14:paraId="2F3F6B03" w14:textId="77777777" w:rsidR="00BE0199" w:rsidRPr="004608C1" w:rsidRDefault="00BE0199" w:rsidP="00F37389">
            <w:pPr>
              <w:pStyle w:val="TAC"/>
            </w:pPr>
            <w:r w:rsidRPr="004608C1">
              <w:t>N/A</w:t>
            </w:r>
          </w:p>
        </w:tc>
        <w:tc>
          <w:tcPr>
            <w:tcW w:w="833" w:type="dxa"/>
            <w:tcBorders>
              <w:top w:val="single" w:sz="6" w:space="0" w:color="auto"/>
              <w:left w:val="single" w:sz="4" w:space="0" w:color="auto"/>
              <w:bottom w:val="single" w:sz="4" w:space="0" w:color="auto"/>
              <w:right w:val="single" w:sz="6" w:space="0" w:color="auto"/>
            </w:tcBorders>
            <w:shd w:val="clear" w:color="auto" w:fill="auto"/>
            <w:vAlign w:val="center"/>
          </w:tcPr>
          <w:p w14:paraId="2EF92915" w14:textId="77777777" w:rsidR="00BE0199" w:rsidRPr="004608C1" w:rsidRDefault="00BE0199" w:rsidP="00F37389">
            <w:pPr>
              <w:pStyle w:val="TAC"/>
              <w:rPr>
                <w:lang w:eastAsia="zh-CN"/>
              </w:rPr>
            </w:pPr>
            <w:r w:rsidRPr="004608C1">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vAlign w:val="center"/>
          </w:tcPr>
          <w:p w14:paraId="27A9E00D" w14:textId="77777777" w:rsidR="00BE0199" w:rsidRPr="004608C1" w:rsidRDefault="00BE0199" w:rsidP="00F37389">
            <w:pPr>
              <w:pStyle w:val="TAC"/>
            </w:pPr>
            <w:r w:rsidRPr="004608C1">
              <w:t>-70</w:t>
            </w:r>
          </w:p>
        </w:tc>
        <w:tc>
          <w:tcPr>
            <w:tcW w:w="1440" w:type="dxa"/>
            <w:tcBorders>
              <w:top w:val="single" w:sz="6" w:space="0" w:color="auto"/>
              <w:left w:val="single" w:sz="6" w:space="0" w:color="auto"/>
              <w:bottom w:val="single" w:sz="4" w:space="0" w:color="auto"/>
              <w:right w:val="single" w:sz="4" w:space="0" w:color="auto"/>
            </w:tcBorders>
            <w:shd w:val="clear" w:color="auto" w:fill="auto"/>
            <w:vAlign w:val="center"/>
          </w:tcPr>
          <w:p w14:paraId="3B0508E5" w14:textId="77777777" w:rsidR="00BE0199" w:rsidRPr="004608C1" w:rsidRDefault="00BE0199" w:rsidP="00F37389">
            <w:pPr>
              <w:pStyle w:val="TAC"/>
            </w:pPr>
            <w:r w:rsidRPr="004608C1">
              <w:t>-50</w:t>
            </w:r>
          </w:p>
        </w:tc>
      </w:tr>
      <w:tr w:rsidR="00BE0199" w:rsidRPr="004608C1" w14:paraId="6B6B2C9E" w14:textId="77777777" w:rsidTr="00BE0199">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034DF5FC" w14:textId="77777777" w:rsidR="00BE0199" w:rsidRPr="004608C1" w:rsidRDefault="00BE0199" w:rsidP="00F37389">
            <w:pPr>
              <w:pStyle w:val="TAN"/>
            </w:pPr>
            <w:r w:rsidRPr="004608C1">
              <w:t>NOTE 1:</w:t>
            </w:r>
            <w:r w:rsidRPr="004608C1">
              <w:tab/>
              <w:t>Io is assumed to have constant EPRE across the bandwidth.</w:t>
            </w:r>
          </w:p>
          <w:p w14:paraId="60E279E5" w14:textId="77777777" w:rsidR="00BE0199" w:rsidRPr="004608C1" w:rsidRDefault="00BE0199" w:rsidP="00F37389">
            <w:pPr>
              <w:pStyle w:val="TAN"/>
            </w:pPr>
            <w:r w:rsidRPr="004608C1">
              <w:t>NOTE 2:</w:t>
            </w:r>
            <w:r w:rsidRPr="004608C1">
              <w:tab/>
              <w:t>NR operating band groups in FR1 are as defined in clause 3.5.2.</w:t>
            </w:r>
          </w:p>
        </w:tc>
      </w:tr>
    </w:tbl>
    <w:p w14:paraId="099BA5DC" w14:textId="00BBBE38" w:rsidR="00BE0199" w:rsidRDefault="00BE0199" w:rsidP="00BE0199">
      <w:pPr>
        <w:rPr>
          <w:lang w:eastAsia="zh-CN"/>
        </w:rPr>
      </w:pPr>
    </w:p>
    <w:p w14:paraId="7A739729" w14:textId="77777777" w:rsidR="00482E27" w:rsidRPr="009C5807" w:rsidRDefault="00482E27" w:rsidP="00482E27">
      <w:pPr>
        <w:pStyle w:val="Heading3"/>
        <w:rPr>
          <w:lang w:val="en-US"/>
        </w:rPr>
      </w:pPr>
      <w:r>
        <w:rPr>
          <w:lang w:val="en-US"/>
        </w:rPr>
        <w:t>10.1.2C</w:t>
      </w:r>
      <w:r w:rsidRPr="009C5807">
        <w:rPr>
          <w:lang w:val="en-US"/>
        </w:rPr>
        <w:tab/>
        <w:t>Intra-frequency RSRP accuracy requirements for FR1</w:t>
      </w:r>
      <w:r>
        <w:rPr>
          <w:lang w:val="en-US"/>
        </w:rPr>
        <w:t xml:space="preserve"> SAN</w:t>
      </w:r>
    </w:p>
    <w:p w14:paraId="3F7AFCCD" w14:textId="77777777" w:rsidR="00482E27" w:rsidRPr="009C5807" w:rsidRDefault="00482E27" w:rsidP="00482E27">
      <w:pPr>
        <w:pStyle w:val="Heading4"/>
        <w:rPr>
          <w:lang w:val="en-US"/>
        </w:rPr>
      </w:pPr>
      <w:r>
        <w:rPr>
          <w:lang w:val="en-US"/>
        </w:rPr>
        <w:t>10.1.2C</w:t>
      </w:r>
      <w:r w:rsidRPr="009C5807">
        <w:rPr>
          <w:lang w:val="en-US"/>
        </w:rPr>
        <w:t>.1</w:t>
      </w:r>
      <w:r w:rsidRPr="009C5807">
        <w:rPr>
          <w:lang w:val="en-US"/>
        </w:rPr>
        <w:tab/>
        <w:t>Intra-frequency SS-RSRP accuracy requirements</w:t>
      </w:r>
    </w:p>
    <w:p w14:paraId="6C411684" w14:textId="77777777" w:rsidR="00482E27" w:rsidRPr="009C5807" w:rsidRDefault="00482E27" w:rsidP="00482E27">
      <w:pPr>
        <w:pStyle w:val="Heading5"/>
      </w:pPr>
      <w:r>
        <w:t>10.1.2C</w:t>
      </w:r>
      <w:r w:rsidRPr="009C5807">
        <w:t>.1.1</w:t>
      </w:r>
      <w:r w:rsidRPr="009C5807">
        <w:tab/>
        <w:t xml:space="preserve">Absolute </w:t>
      </w:r>
      <w:r w:rsidRPr="009C5807">
        <w:rPr>
          <w:lang w:val="en-US"/>
        </w:rPr>
        <w:t xml:space="preserve">SS-RSRP </w:t>
      </w:r>
      <w:r w:rsidRPr="009C5807">
        <w:t>Accuracy</w:t>
      </w:r>
    </w:p>
    <w:p w14:paraId="1809C230" w14:textId="77777777" w:rsidR="00482E27" w:rsidRDefault="00482E27" w:rsidP="00482E27">
      <w:pPr>
        <w:rPr>
          <w:rFonts w:cs="v4.2.0"/>
          <w:i/>
        </w:rPr>
      </w:pPr>
      <w:r>
        <w:rPr>
          <w:rFonts w:cs="v4.2.0"/>
        </w:rPr>
        <w:t xml:space="preserve">Unless otherwise specified, the requirements for absolute accuracy of </w:t>
      </w:r>
      <w:r>
        <w:rPr>
          <w:rFonts w:cs="v4.2.0"/>
          <w:lang w:eastAsia="zh-CN"/>
        </w:rPr>
        <w:t>SS-RSRP</w:t>
      </w:r>
      <w:r>
        <w:rPr>
          <w:rFonts w:cs="v4.2.0"/>
        </w:rPr>
        <w:t xml:space="preserve"> in this clause apply to a cell on the same frequency as that of the serving cell in FR1.</w:t>
      </w:r>
      <w:r>
        <w:rPr>
          <w:lang w:eastAsia="zh-CN"/>
        </w:rPr>
        <w:t xml:space="preserve"> </w:t>
      </w:r>
    </w:p>
    <w:p w14:paraId="496B6535" w14:textId="77777777" w:rsidR="00482E27" w:rsidRPr="009C5807" w:rsidRDefault="00482E27" w:rsidP="00482E27">
      <w:pPr>
        <w:rPr>
          <w:rFonts w:cs="v4.2.0"/>
        </w:rPr>
      </w:pPr>
      <w:r w:rsidRPr="009C5807">
        <w:rPr>
          <w:rFonts w:cs="v4.2.0"/>
        </w:rPr>
        <w:t xml:space="preserve">The accuracy requirements in Table </w:t>
      </w:r>
      <w:r>
        <w:rPr>
          <w:rFonts w:cs="v4.2.0"/>
          <w:lang w:eastAsia="zh-CN"/>
        </w:rPr>
        <w:t>10.1.2C</w:t>
      </w:r>
      <w:r w:rsidRPr="009C5807">
        <w:rPr>
          <w:rFonts w:cs="v4.2.0"/>
          <w:lang w:eastAsia="zh-CN"/>
        </w:rPr>
        <w:t>.1.1</w:t>
      </w:r>
      <w:r w:rsidRPr="009C5807">
        <w:rPr>
          <w:rFonts w:cs="v4.2.0"/>
        </w:rPr>
        <w:t>-1 are valid under the following conditions:</w:t>
      </w:r>
    </w:p>
    <w:p w14:paraId="38167DD1" w14:textId="77777777" w:rsidR="00482E27" w:rsidRPr="009C5807" w:rsidRDefault="00482E27" w:rsidP="00482E27">
      <w:pPr>
        <w:pStyle w:val="B10"/>
        <w:rPr>
          <w:rFonts w:cs="v4.2.0"/>
        </w:rPr>
      </w:pPr>
      <w:r w:rsidRPr="009C5807">
        <w:t>-</w:t>
      </w:r>
      <w:r w:rsidRPr="009C5807">
        <w:tab/>
        <w:t>Conditions defined in clause 7.3 of TS 38.101-1 [18] for reference sensitivity are fulfilled.</w:t>
      </w:r>
    </w:p>
    <w:p w14:paraId="51E5936A" w14:textId="77777777" w:rsidR="00482E27" w:rsidRDefault="00482E27" w:rsidP="00482E27">
      <w:pPr>
        <w:pStyle w:val="B10"/>
      </w:pPr>
      <w:r w:rsidRPr="009C5807">
        <w:t>-</w:t>
      </w:r>
      <w:r w:rsidRPr="009C5807">
        <w:tab/>
        <w:t xml:space="preserve">Conditions for intra-frequency measurements are fulfilled according to Annex B.2.2 for a corresponding Band </w:t>
      </w:r>
      <w:r w:rsidRPr="009C5807">
        <w:rPr>
          <w:rFonts w:cs="v4.2.0"/>
          <w:lang w:eastAsia="ko-KR"/>
        </w:rPr>
        <w:t>for each relevant SSB</w:t>
      </w:r>
      <w:r w:rsidRPr="009C5807">
        <w:t>.</w:t>
      </w:r>
    </w:p>
    <w:p w14:paraId="6F553733" w14:textId="52EC73F9" w:rsidR="00482E27" w:rsidRDefault="00482E27" w:rsidP="00482E27">
      <w:pPr>
        <w:pStyle w:val="B10"/>
      </w:pPr>
      <w:r w:rsidRPr="009C5807">
        <w:t>-</w:t>
      </w:r>
      <w:r w:rsidRPr="009C5807">
        <w:tab/>
      </w:r>
      <w:r w:rsidRPr="004B7BCD">
        <w:t xml:space="preserve">Valid information for the </w:t>
      </w:r>
      <w:r>
        <w:t>SAN</w:t>
      </w:r>
      <w:r w:rsidRPr="004B7BCD">
        <w:t xml:space="preserve"> serving the target cell has been provided</w:t>
      </w:r>
      <w:r w:rsidRPr="009C5807">
        <w:t>.</w:t>
      </w:r>
    </w:p>
    <w:p w14:paraId="5429E8E7" w14:textId="77777777" w:rsidR="00482E27" w:rsidRPr="000752BE" w:rsidRDefault="00482E27" w:rsidP="00482E27">
      <w:pPr>
        <w:rPr>
          <w:lang w:eastAsia="zh-CN"/>
        </w:rPr>
      </w:pPr>
    </w:p>
    <w:p w14:paraId="33339CBC" w14:textId="77777777" w:rsidR="00482E27" w:rsidRPr="009C5807" w:rsidRDefault="00482E27" w:rsidP="00482E27">
      <w:pPr>
        <w:pStyle w:val="TH"/>
      </w:pPr>
      <w:r w:rsidRPr="009C5807">
        <w:t xml:space="preserve">Table </w:t>
      </w:r>
      <w:r>
        <w:t>10.1.2C</w:t>
      </w:r>
      <w:r w:rsidRPr="009C5807">
        <w:t>.1.1-1: SS-RSRP Intra frequency absolute accuracy in FR1</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482E27" w:rsidRPr="009C5807" w14:paraId="00745409" w14:textId="77777777" w:rsidTr="00E65BA1">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tcPr>
          <w:p w14:paraId="5E109FDA" w14:textId="77777777" w:rsidR="00482E27" w:rsidRPr="009C5807" w:rsidRDefault="00482E27" w:rsidP="00E65BA1">
            <w:pPr>
              <w:pStyle w:val="TAH"/>
            </w:pPr>
            <w:r w:rsidRPr="009C5807">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tcPr>
          <w:p w14:paraId="3ED159F1" w14:textId="77777777" w:rsidR="00482E27" w:rsidRPr="009C5807" w:rsidRDefault="00482E27" w:rsidP="00E65BA1">
            <w:pPr>
              <w:pStyle w:val="TAH"/>
            </w:pPr>
            <w:r w:rsidRPr="009C5807">
              <w:t>Conditions</w:t>
            </w:r>
          </w:p>
        </w:tc>
      </w:tr>
      <w:tr w:rsidR="00482E27" w:rsidRPr="009C5807" w14:paraId="7910B430" w14:textId="77777777" w:rsidTr="00E65BA1">
        <w:trPr>
          <w:jc w:val="center"/>
        </w:trPr>
        <w:tc>
          <w:tcPr>
            <w:tcW w:w="1036" w:type="dxa"/>
            <w:tcBorders>
              <w:top w:val="single" w:sz="6" w:space="0" w:color="auto"/>
              <w:left w:val="single" w:sz="4" w:space="0" w:color="auto"/>
              <w:right w:val="single" w:sz="6" w:space="0" w:color="auto"/>
            </w:tcBorders>
            <w:shd w:val="clear" w:color="auto" w:fill="auto"/>
          </w:tcPr>
          <w:p w14:paraId="09C89CD0" w14:textId="77777777" w:rsidR="00482E27" w:rsidRPr="009C5807" w:rsidRDefault="00482E27" w:rsidP="00E65BA1">
            <w:pPr>
              <w:pStyle w:val="TAH"/>
            </w:pPr>
            <w:r w:rsidRPr="009C5807">
              <w:t>Normal condition</w:t>
            </w:r>
          </w:p>
        </w:tc>
        <w:tc>
          <w:tcPr>
            <w:tcW w:w="1055" w:type="dxa"/>
            <w:tcBorders>
              <w:top w:val="single" w:sz="6" w:space="0" w:color="auto"/>
              <w:left w:val="single" w:sz="6" w:space="0" w:color="auto"/>
              <w:right w:val="single" w:sz="6" w:space="0" w:color="auto"/>
            </w:tcBorders>
            <w:shd w:val="clear" w:color="auto" w:fill="auto"/>
          </w:tcPr>
          <w:p w14:paraId="70348C3C" w14:textId="77777777" w:rsidR="00482E27" w:rsidRPr="009C5807" w:rsidRDefault="00482E27" w:rsidP="00E65BA1">
            <w:pPr>
              <w:pStyle w:val="TAH"/>
            </w:pPr>
            <w:r w:rsidRPr="009C5807">
              <w:t>Extreme condition</w:t>
            </w:r>
          </w:p>
        </w:tc>
        <w:tc>
          <w:tcPr>
            <w:tcW w:w="833" w:type="dxa"/>
            <w:tcBorders>
              <w:top w:val="single" w:sz="6" w:space="0" w:color="auto"/>
              <w:left w:val="single" w:sz="6" w:space="0" w:color="auto"/>
              <w:right w:val="single" w:sz="6" w:space="0" w:color="auto"/>
            </w:tcBorders>
            <w:shd w:val="clear" w:color="auto" w:fill="auto"/>
          </w:tcPr>
          <w:p w14:paraId="2AF4D9BD" w14:textId="77777777" w:rsidR="00482E27" w:rsidRPr="009C5807" w:rsidRDefault="00482E27" w:rsidP="00E65BA1">
            <w:pPr>
              <w:pStyle w:val="TAH"/>
            </w:pPr>
            <w:r w:rsidRPr="009C5807">
              <w:t>SSB Ês/Iot</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tcPr>
          <w:p w14:paraId="0E51F42A" w14:textId="77777777" w:rsidR="00482E27" w:rsidRPr="009C5807" w:rsidRDefault="00482E27" w:rsidP="00E65BA1">
            <w:pPr>
              <w:pStyle w:val="TAH"/>
            </w:pPr>
            <w:r w:rsidRPr="009C5807">
              <w:t>Io</w:t>
            </w:r>
            <w:r w:rsidRPr="009C5807">
              <w:rPr>
                <w:vertAlign w:val="superscript"/>
              </w:rPr>
              <w:t xml:space="preserve"> Note 1</w:t>
            </w:r>
            <w:r w:rsidRPr="009C5807">
              <w:t xml:space="preserve"> range</w:t>
            </w:r>
          </w:p>
        </w:tc>
      </w:tr>
      <w:tr w:rsidR="00482E27" w:rsidRPr="009C5807" w14:paraId="7E3030D0" w14:textId="77777777" w:rsidTr="00E65BA1">
        <w:trPr>
          <w:jc w:val="center"/>
        </w:trPr>
        <w:tc>
          <w:tcPr>
            <w:tcW w:w="1036" w:type="dxa"/>
            <w:tcBorders>
              <w:left w:val="single" w:sz="4" w:space="0" w:color="auto"/>
              <w:bottom w:val="single" w:sz="4" w:space="0" w:color="auto"/>
              <w:right w:val="single" w:sz="6" w:space="0" w:color="auto"/>
            </w:tcBorders>
            <w:shd w:val="clear" w:color="auto" w:fill="auto"/>
          </w:tcPr>
          <w:p w14:paraId="10DD99D7" w14:textId="77777777" w:rsidR="00482E27" w:rsidRPr="009C5807" w:rsidRDefault="00482E27" w:rsidP="00E65BA1">
            <w:pPr>
              <w:pStyle w:val="TAH"/>
            </w:pPr>
          </w:p>
        </w:tc>
        <w:tc>
          <w:tcPr>
            <w:tcW w:w="1055" w:type="dxa"/>
            <w:tcBorders>
              <w:left w:val="single" w:sz="6" w:space="0" w:color="auto"/>
              <w:bottom w:val="single" w:sz="6" w:space="0" w:color="auto"/>
              <w:right w:val="single" w:sz="6" w:space="0" w:color="auto"/>
            </w:tcBorders>
            <w:shd w:val="clear" w:color="auto" w:fill="auto"/>
          </w:tcPr>
          <w:p w14:paraId="20637F16" w14:textId="77777777" w:rsidR="00482E27" w:rsidRPr="009C5807" w:rsidRDefault="00482E27" w:rsidP="00E65BA1">
            <w:pPr>
              <w:pStyle w:val="TAH"/>
            </w:pPr>
          </w:p>
        </w:tc>
        <w:tc>
          <w:tcPr>
            <w:tcW w:w="833" w:type="dxa"/>
            <w:tcBorders>
              <w:left w:val="single" w:sz="6" w:space="0" w:color="auto"/>
              <w:bottom w:val="single" w:sz="6" w:space="0" w:color="auto"/>
              <w:right w:val="single" w:sz="6" w:space="0" w:color="auto"/>
            </w:tcBorders>
            <w:shd w:val="clear" w:color="auto" w:fill="auto"/>
          </w:tcPr>
          <w:p w14:paraId="240F2864" w14:textId="77777777" w:rsidR="00482E27" w:rsidRPr="009C5807" w:rsidRDefault="00482E27" w:rsidP="00E65BA1">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748D3D0C" w14:textId="77777777" w:rsidR="00482E27" w:rsidRPr="009C5807" w:rsidRDefault="00482E27" w:rsidP="00E65BA1">
            <w:pPr>
              <w:pStyle w:val="TAH"/>
            </w:pPr>
            <w:r w:rsidRPr="009C5807">
              <w:t>NR operating band groups</w:t>
            </w:r>
            <w:r w:rsidRPr="009C5807">
              <w:rPr>
                <w:vertAlign w:val="superscript"/>
              </w:rPr>
              <w:t xml:space="preserve"> Note 2</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tcPr>
          <w:p w14:paraId="696BE274" w14:textId="77777777" w:rsidR="00482E27" w:rsidRPr="009C5807" w:rsidRDefault="00482E27"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6ADB67F6" w14:textId="77777777" w:rsidR="00482E27" w:rsidRPr="009C5807" w:rsidRDefault="00482E27" w:rsidP="00E65BA1">
            <w:pPr>
              <w:pStyle w:val="TAH"/>
            </w:pPr>
            <w:r w:rsidRPr="009C5807">
              <w:t>Maximum Io</w:t>
            </w:r>
          </w:p>
        </w:tc>
      </w:tr>
      <w:tr w:rsidR="00482E27" w:rsidRPr="009C5807" w14:paraId="55CB7394" w14:textId="77777777" w:rsidTr="00E65BA1">
        <w:trPr>
          <w:trHeight w:val="308"/>
          <w:jc w:val="center"/>
        </w:trPr>
        <w:tc>
          <w:tcPr>
            <w:tcW w:w="1036" w:type="dxa"/>
            <w:tcBorders>
              <w:top w:val="single" w:sz="4" w:space="0" w:color="auto"/>
              <w:left w:val="single" w:sz="4" w:space="0" w:color="auto"/>
              <w:right w:val="single" w:sz="6" w:space="0" w:color="auto"/>
            </w:tcBorders>
            <w:shd w:val="clear" w:color="auto" w:fill="auto"/>
          </w:tcPr>
          <w:p w14:paraId="19CDA3DC" w14:textId="77777777" w:rsidR="00482E27" w:rsidRPr="009C5807" w:rsidRDefault="00482E27" w:rsidP="00E65BA1">
            <w:pPr>
              <w:pStyle w:val="TAH"/>
            </w:pPr>
            <w:r w:rsidRPr="009C5807">
              <w:t>dB</w:t>
            </w:r>
          </w:p>
        </w:tc>
        <w:tc>
          <w:tcPr>
            <w:tcW w:w="1055" w:type="dxa"/>
            <w:tcBorders>
              <w:top w:val="single" w:sz="6" w:space="0" w:color="auto"/>
              <w:left w:val="single" w:sz="6" w:space="0" w:color="auto"/>
              <w:right w:val="single" w:sz="6" w:space="0" w:color="auto"/>
            </w:tcBorders>
            <w:shd w:val="clear" w:color="auto" w:fill="auto"/>
          </w:tcPr>
          <w:p w14:paraId="0113F1FD" w14:textId="77777777" w:rsidR="00482E27" w:rsidRPr="009C5807" w:rsidRDefault="00482E27" w:rsidP="00E65BA1">
            <w:pPr>
              <w:pStyle w:val="TAH"/>
            </w:pPr>
            <w:r w:rsidRPr="009C5807">
              <w:t>dB</w:t>
            </w:r>
          </w:p>
        </w:tc>
        <w:tc>
          <w:tcPr>
            <w:tcW w:w="833" w:type="dxa"/>
            <w:tcBorders>
              <w:top w:val="single" w:sz="6" w:space="0" w:color="auto"/>
              <w:left w:val="single" w:sz="6" w:space="0" w:color="auto"/>
              <w:right w:val="single" w:sz="6" w:space="0" w:color="auto"/>
            </w:tcBorders>
            <w:shd w:val="clear" w:color="auto" w:fill="auto"/>
          </w:tcPr>
          <w:p w14:paraId="753719D3" w14:textId="77777777" w:rsidR="00482E27" w:rsidRPr="009C5807" w:rsidRDefault="00482E27" w:rsidP="00E65BA1">
            <w:pPr>
              <w:pStyle w:val="TAH"/>
            </w:pPr>
            <w:r w:rsidRPr="009C5807">
              <w:t>dB</w:t>
            </w:r>
          </w:p>
        </w:tc>
        <w:tc>
          <w:tcPr>
            <w:tcW w:w="2530" w:type="dxa"/>
            <w:tcBorders>
              <w:top w:val="single" w:sz="6" w:space="0" w:color="auto"/>
              <w:left w:val="single" w:sz="6" w:space="0" w:color="auto"/>
              <w:right w:val="single" w:sz="4" w:space="0" w:color="auto"/>
            </w:tcBorders>
            <w:shd w:val="clear" w:color="auto" w:fill="auto"/>
          </w:tcPr>
          <w:p w14:paraId="5DE6A638" w14:textId="77777777" w:rsidR="00482E27" w:rsidRPr="009C5807" w:rsidRDefault="00482E27" w:rsidP="00E65BA1">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tcPr>
          <w:p w14:paraId="74838D61" w14:textId="77777777" w:rsidR="00482E27" w:rsidRPr="009C5807" w:rsidRDefault="00482E27"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75D3B6AD" w14:textId="77777777" w:rsidR="00482E27" w:rsidRPr="009C5807" w:rsidRDefault="00482E27"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5613EF2D" w14:textId="77777777" w:rsidR="00482E27" w:rsidRPr="009C5807" w:rsidRDefault="00482E27" w:rsidP="00E65BA1">
            <w:pPr>
              <w:pStyle w:val="TAH"/>
            </w:pPr>
            <w:r w:rsidRPr="009C5807">
              <w:t>dBm/BW</w:t>
            </w:r>
            <w:r w:rsidRPr="009C5807">
              <w:rPr>
                <w:vertAlign w:val="subscript"/>
              </w:rPr>
              <w:t>Channel</w:t>
            </w:r>
          </w:p>
        </w:tc>
      </w:tr>
      <w:tr w:rsidR="00482E27" w:rsidRPr="009C5807" w14:paraId="34646084" w14:textId="77777777" w:rsidTr="00E65BA1">
        <w:trPr>
          <w:trHeight w:val="307"/>
          <w:jc w:val="center"/>
        </w:trPr>
        <w:tc>
          <w:tcPr>
            <w:tcW w:w="1036" w:type="dxa"/>
            <w:tcBorders>
              <w:left w:val="single" w:sz="4" w:space="0" w:color="auto"/>
              <w:bottom w:val="single" w:sz="6" w:space="0" w:color="auto"/>
              <w:right w:val="single" w:sz="6" w:space="0" w:color="auto"/>
            </w:tcBorders>
            <w:shd w:val="clear" w:color="auto" w:fill="auto"/>
          </w:tcPr>
          <w:p w14:paraId="791DD39F" w14:textId="77777777" w:rsidR="00482E27" w:rsidRPr="009C5807" w:rsidRDefault="00482E27" w:rsidP="00E65BA1">
            <w:pPr>
              <w:pStyle w:val="TAH"/>
            </w:pPr>
          </w:p>
        </w:tc>
        <w:tc>
          <w:tcPr>
            <w:tcW w:w="1055" w:type="dxa"/>
            <w:tcBorders>
              <w:left w:val="single" w:sz="6" w:space="0" w:color="auto"/>
              <w:bottom w:val="single" w:sz="6" w:space="0" w:color="auto"/>
              <w:right w:val="single" w:sz="6" w:space="0" w:color="auto"/>
            </w:tcBorders>
            <w:shd w:val="clear" w:color="auto" w:fill="auto"/>
          </w:tcPr>
          <w:p w14:paraId="084C7952" w14:textId="77777777" w:rsidR="00482E27" w:rsidRPr="009C5807" w:rsidRDefault="00482E27" w:rsidP="00E65BA1">
            <w:pPr>
              <w:pStyle w:val="TAH"/>
            </w:pPr>
          </w:p>
        </w:tc>
        <w:tc>
          <w:tcPr>
            <w:tcW w:w="833" w:type="dxa"/>
            <w:tcBorders>
              <w:left w:val="single" w:sz="6" w:space="0" w:color="auto"/>
              <w:bottom w:val="single" w:sz="6" w:space="0" w:color="auto"/>
              <w:right w:val="single" w:sz="6" w:space="0" w:color="auto"/>
            </w:tcBorders>
            <w:shd w:val="clear" w:color="auto" w:fill="auto"/>
          </w:tcPr>
          <w:p w14:paraId="78D6EA52" w14:textId="77777777" w:rsidR="00482E27" w:rsidRPr="009C5807" w:rsidRDefault="00482E27" w:rsidP="00E65BA1">
            <w:pPr>
              <w:pStyle w:val="TAH"/>
            </w:pPr>
          </w:p>
        </w:tc>
        <w:tc>
          <w:tcPr>
            <w:tcW w:w="2530" w:type="dxa"/>
            <w:tcBorders>
              <w:left w:val="single" w:sz="6" w:space="0" w:color="auto"/>
              <w:bottom w:val="single" w:sz="6" w:space="0" w:color="auto"/>
              <w:right w:val="single" w:sz="4" w:space="0" w:color="auto"/>
            </w:tcBorders>
            <w:shd w:val="clear" w:color="auto" w:fill="auto"/>
          </w:tcPr>
          <w:p w14:paraId="67E83A15" w14:textId="77777777" w:rsidR="00482E27" w:rsidRPr="009C5807" w:rsidRDefault="00482E27" w:rsidP="00E65BA1">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53091FDA" w14:textId="77777777" w:rsidR="00482E27" w:rsidRPr="009C5807" w:rsidRDefault="00482E27" w:rsidP="00E65BA1">
            <w:pPr>
              <w:pStyle w:val="TAH"/>
              <w:rPr>
                <w:rFonts w:cs="Arial"/>
              </w:rPr>
            </w:pPr>
            <w:r w:rsidRPr="009C5807">
              <w:t>SCS</w:t>
            </w:r>
            <w:r w:rsidRPr="009C5807">
              <w:rPr>
                <w:vertAlign w:val="subscript"/>
              </w:rPr>
              <w:t>SSB</w:t>
            </w:r>
            <w:r w:rsidRPr="009C5807">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2017E170" w14:textId="77777777" w:rsidR="00482E27" w:rsidRPr="009C5807" w:rsidRDefault="00482E27"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4F304719" w14:textId="77777777" w:rsidR="00482E27" w:rsidRPr="009C5807" w:rsidRDefault="00482E27" w:rsidP="00E65BA1">
            <w:pPr>
              <w:pStyle w:val="TAH"/>
            </w:pPr>
          </w:p>
        </w:tc>
        <w:tc>
          <w:tcPr>
            <w:tcW w:w="1440" w:type="dxa"/>
            <w:tcBorders>
              <w:left w:val="single" w:sz="6" w:space="0" w:color="auto"/>
              <w:bottom w:val="single" w:sz="6" w:space="0" w:color="auto"/>
              <w:right w:val="single" w:sz="4" w:space="0" w:color="auto"/>
            </w:tcBorders>
            <w:shd w:val="clear" w:color="auto" w:fill="auto"/>
          </w:tcPr>
          <w:p w14:paraId="0A2479E1" w14:textId="77777777" w:rsidR="00482E27" w:rsidRPr="009C5807" w:rsidRDefault="00482E27" w:rsidP="00E65BA1">
            <w:pPr>
              <w:pStyle w:val="TAH"/>
            </w:pPr>
          </w:p>
        </w:tc>
      </w:tr>
      <w:tr w:rsidR="00B72DB6" w:rsidRPr="009C5807" w14:paraId="764E296E" w14:textId="77777777" w:rsidTr="00E65BA1">
        <w:trPr>
          <w:jc w:val="center"/>
        </w:trPr>
        <w:tc>
          <w:tcPr>
            <w:tcW w:w="1036" w:type="dxa"/>
            <w:tcBorders>
              <w:top w:val="single" w:sz="6" w:space="0" w:color="auto"/>
              <w:left w:val="single" w:sz="4" w:space="0" w:color="auto"/>
              <w:right w:val="single" w:sz="6" w:space="0" w:color="auto"/>
            </w:tcBorders>
            <w:shd w:val="clear" w:color="auto" w:fill="auto"/>
          </w:tcPr>
          <w:p w14:paraId="09D76F23" w14:textId="67730560" w:rsidR="00B72DB6" w:rsidRPr="009C5807" w:rsidRDefault="00B72DB6" w:rsidP="00B72DB6">
            <w:pPr>
              <w:pStyle w:val="TAC"/>
            </w:pPr>
            <w:r w:rsidRPr="009C5807">
              <w:sym w:font="Symbol" w:char="F0B1"/>
            </w:r>
            <w:r>
              <w:t>[4.5]</w:t>
            </w:r>
          </w:p>
        </w:tc>
        <w:tc>
          <w:tcPr>
            <w:tcW w:w="1055" w:type="dxa"/>
            <w:tcBorders>
              <w:top w:val="single" w:sz="6" w:space="0" w:color="auto"/>
              <w:left w:val="single" w:sz="6" w:space="0" w:color="auto"/>
              <w:right w:val="single" w:sz="6" w:space="0" w:color="auto"/>
            </w:tcBorders>
            <w:shd w:val="clear" w:color="auto" w:fill="auto"/>
          </w:tcPr>
          <w:p w14:paraId="28CF5A9F" w14:textId="42A21056" w:rsidR="00B72DB6" w:rsidRPr="009C5807" w:rsidRDefault="00B72DB6" w:rsidP="00B72DB6">
            <w:pPr>
              <w:pStyle w:val="TAC"/>
            </w:pPr>
            <w:r w:rsidRPr="009C5807">
              <w:sym w:font="Symbol" w:char="F0B1"/>
            </w:r>
            <w:r>
              <w:t>[9]</w:t>
            </w:r>
          </w:p>
        </w:tc>
        <w:tc>
          <w:tcPr>
            <w:tcW w:w="833" w:type="dxa"/>
            <w:tcBorders>
              <w:top w:val="single" w:sz="6" w:space="0" w:color="auto"/>
              <w:left w:val="single" w:sz="6" w:space="0" w:color="auto"/>
              <w:right w:val="single" w:sz="6" w:space="0" w:color="auto"/>
            </w:tcBorders>
            <w:shd w:val="clear" w:color="auto" w:fill="auto"/>
          </w:tcPr>
          <w:p w14:paraId="35D4557D" w14:textId="1E03F278" w:rsidR="00B72DB6" w:rsidRPr="009C5807" w:rsidRDefault="00B72DB6" w:rsidP="00B72DB6">
            <w:pPr>
              <w:pStyle w:val="TAC"/>
            </w:pPr>
            <w:r w:rsidRPr="009C5807">
              <w:sym w:font="Symbol" w:char="F0B3"/>
            </w:r>
            <w:r w:rsidRPr="009C5807">
              <w:t>-6</w:t>
            </w: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2DE05A14" w14:textId="0E30FF59" w:rsidR="00B72DB6" w:rsidRPr="009C5807" w:rsidRDefault="00B72DB6" w:rsidP="00B72DB6">
            <w:pPr>
              <w:pStyle w:val="TAC"/>
              <w:rPr>
                <w:rFonts w:cs="Arial"/>
                <w:szCs w:val="18"/>
              </w:rPr>
            </w:pPr>
            <w:r w:rsidRPr="009C5807">
              <w:rPr>
                <w:rFonts w:cs="Arial"/>
                <w:szCs w:val="18"/>
              </w:rPr>
              <w:t>NR_FDD</w:t>
            </w:r>
            <w:r w:rsidRPr="003646C5">
              <w:t>_</w:t>
            </w:r>
            <w:r>
              <w:t>SAB</w:t>
            </w:r>
            <w:r w:rsidRPr="009C5807">
              <w:rPr>
                <w:rFonts w:cs="Arial"/>
                <w:szCs w:val="18"/>
              </w:rPr>
              <w:t>_FR1_A</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12EC778D" w14:textId="77777777" w:rsidR="00B72DB6" w:rsidRPr="009C5807" w:rsidRDefault="00B72DB6" w:rsidP="00B72DB6">
            <w:pPr>
              <w:pStyle w:val="TAC"/>
            </w:pPr>
            <w:r w:rsidRPr="009C5807">
              <w:t>-121</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14B31E3D" w14:textId="77777777" w:rsidR="00B72DB6" w:rsidRPr="009C5807" w:rsidRDefault="00B72DB6" w:rsidP="00B72DB6">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69BBE9C"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FEC4635" w14:textId="77777777" w:rsidR="00B72DB6" w:rsidRPr="009C5807" w:rsidRDefault="00B72DB6" w:rsidP="00B72DB6">
            <w:pPr>
              <w:pStyle w:val="TAC"/>
            </w:pPr>
            <w:r w:rsidRPr="009C5807">
              <w:t>-70</w:t>
            </w:r>
          </w:p>
        </w:tc>
      </w:tr>
      <w:tr w:rsidR="00B72DB6" w:rsidRPr="009C5807" w14:paraId="79BE793C" w14:textId="77777777" w:rsidTr="00E65BA1">
        <w:trPr>
          <w:jc w:val="center"/>
        </w:trPr>
        <w:tc>
          <w:tcPr>
            <w:tcW w:w="1036" w:type="dxa"/>
            <w:tcBorders>
              <w:top w:val="single" w:sz="6" w:space="0" w:color="auto"/>
              <w:left w:val="single" w:sz="4" w:space="0" w:color="auto"/>
              <w:bottom w:val="single" w:sz="6" w:space="0" w:color="auto"/>
              <w:right w:val="single" w:sz="6" w:space="0" w:color="auto"/>
            </w:tcBorders>
            <w:shd w:val="clear" w:color="auto" w:fill="auto"/>
          </w:tcPr>
          <w:p w14:paraId="2F985A6C" w14:textId="5E5992A0" w:rsidR="00B72DB6" w:rsidRPr="009C5807" w:rsidRDefault="00B72DB6" w:rsidP="00B72DB6">
            <w:pPr>
              <w:pStyle w:val="TAC"/>
            </w:pPr>
            <w:r w:rsidRPr="009C5807">
              <w:sym w:font="Symbol" w:char="F0B1"/>
            </w:r>
            <w:r>
              <w:t>[8]</w:t>
            </w:r>
          </w:p>
        </w:tc>
        <w:tc>
          <w:tcPr>
            <w:tcW w:w="1055" w:type="dxa"/>
            <w:tcBorders>
              <w:top w:val="single" w:sz="6" w:space="0" w:color="auto"/>
              <w:left w:val="single" w:sz="6" w:space="0" w:color="auto"/>
              <w:bottom w:val="single" w:sz="6" w:space="0" w:color="auto"/>
              <w:right w:val="single" w:sz="6" w:space="0" w:color="auto"/>
            </w:tcBorders>
            <w:shd w:val="clear" w:color="auto" w:fill="auto"/>
          </w:tcPr>
          <w:p w14:paraId="02D1A5A6" w14:textId="2D5AE6BB" w:rsidR="00B72DB6" w:rsidRPr="009C5807" w:rsidRDefault="00B72DB6" w:rsidP="00B72DB6">
            <w:pPr>
              <w:pStyle w:val="TAC"/>
            </w:pPr>
            <w:r w:rsidRPr="009C5807">
              <w:sym w:font="Symbol" w:char="F0B1"/>
            </w:r>
            <w:r>
              <w:t>[11]</w:t>
            </w:r>
          </w:p>
        </w:tc>
        <w:tc>
          <w:tcPr>
            <w:tcW w:w="833" w:type="dxa"/>
            <w:tcBorders>
              <w:top w:val="single" w:sz="6" w:space="0" w:color="auto"/>
              <w:left w:val="single" w:sz="6" w:space="0" w:color="auto"/>
              <w:bottom w:val="single" w:sz="6" w:space="0" w:color="auto"/>
              <w:right w:val="single" w:sz="6" w:space="0" w:color="auto"/>
            </w:tcBorders>
            <w:shd w:val="clear" w:color="auto" w:fill="auto"/>
          </w:tcPr>
          <w:p w14:paraId="3FCC7E90" w14:textId="71656293" w:rsidR="00B72DB6" w:rsidRPr="009C5807" w:rsidRDefault="00B72DB6" w:rsidP="00B72DB6">
            <w:pPr>
              <w:pStyle w:val="TAC"/>
            </w:pPr>
            <w:r w:rsidRPr="009C5807">
              <w:sym w:font="Symbol" w:char="F0B3"/>
            </w:r>
            <w:r w:rsidRPr="009C5807">
              <w:t>-6</w:t>
            </w: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23202911" w14:textId="29A4EB70" w:rsidR="00B72DB6" w:rsidRPr="009C5807" w:rsidRDefault="00B72DB6" w:rsidP="00B72DB6">
            <w:pPr>
              <w:pStyle w:val="TAC"/>
              <w:rPr>
                <w:lang w:val="sv-FI"/>
              </w:rPr>
            </w:pPr>
            <w:r w:rsidRPr="009C5807">
              <w:t>NR_FDD</w:t>
            </w:r>
            <w:r>
              <w:t>_SAB</w:t>
            </w:r>
            <w:r w:rsidRPr="009C5807">
              <w:t>_FR1_A</w:t>
            </w:r>
          </w:p>
        </w:tc>
        <w:tc>
          <w:tcPr>
            <w:tcW w:w="1005" w:type="dxa"/>
            <w:tcBorders>
              <w:top w:val="single" w:sz="6" w:space="0" w:color="auto"/>
              <w:left w:val="single" w:sz="4" w:space="0" w:color="auto"/>
              <w:bottom w:val="single" w:sz="4" w:space="0" w:color="auto"/>
              <w:right w:val="single" w:sz="6" w:space="0" w:color="auto"/>
            </w:tcBorders>
            <w:shd w:val="clear" w:color="auto" w:fill="auto"/>
          </w:tcPr>
          <w:p w14:paraId="23D437FC" w14:textId="77777777" w:rsidR="00B72DB6" w:rsidRPr="009C5807" w:rsidRDefault="00B72DB6" w:rsidP="00B72DB6">
            <w:pPr>
              <w:pStyle w:val="TAC"/>
            </w:pPr>
            <w:r w:rsidRPr="009C5807">
              <w:t>N/A</w:t>
            </w:r>
          </w:p>
        </w:tc>
        <w:tc>
          <w:tcPr>
            <w:tcW w:w="833" w:type="dxa"/>
            <w:tcBorders>
              <w:top w:val="single" w:sz="6" w:space="0" w:color="auto"/>
              <w:left w:val="single" w:sz="4" w:space="0" w:color="auto"/>
              <w:bottom w:val="single" w:sz="4" w:space="0" w:color="auto"/>
              <w:right w:val="single" w:sz="6" w:space="0" w:color="auto"/>
            </w:tcBorders>
            <w:shd w:val="clear" w:color="auto" w:fill="auto"/>
          </w:tcPr>
          <w:p w14:paraId="1F748AFA" w14:textId="77777777" w:rsidR="00B72DB6" w:rsidRPr="009C5807" w:rsidRDefault="00B72DB6" w:rsidP="00B72DB6">
            <w:pPr>
              <w:pStyle w:val="TAC"/>
              <w:rPr>
                <w:lang w:eastAsia="zh-CN"/>
              </w:rPr>
            </w:pPr>
            <w:r w:rsidRPr="009C5807">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550456C9" w14:textId="77777777" w:rsidR="00B72DB6" w:rsidRPr="009C5807" w:rsidRDefault="00B72DB6" w:rsidP="00B72DB6">
            <w:pPr>
              <w:pStyle w:val="TAC"/>
            </w:pPr>
            <w:r w:rsidRPr="009C5807">
              <w:t>-70</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22823F2D" w14:textId="77777777" w:rsidR="00B72DB6" w:rsidRPr="009C5807" w:rsidRDefault="00B72DB6" w:rsidP="00B72DB6">
            <w:pPr>
              <w:pStyle w:val="TAC"/>
            </w:pPr>
            <w:r w:rsidRPr="009C5807">
              <w:t>-50</w:t>
            </w:r>
          </w:p>
        </w:tc>
      </w:tr>
      <w:tr w:rsidR="00482E27" w:rsidRPr="009C5807" w14:paraId="79F2FE43"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B3DF579" w14:textId="77777777" w:rsidR="00482E27" w:rsidRPr="009C5807" w:rsidRDefault="00482E27" w:rsidP="00E65BA1">
            <w:pPr>
              <w:keepNext/>
              <w:keepLines/>
              <w:spacing w:after="0"/>
              <w:ind w:left="851" w:hanging="851"/>
              <w:rPr>
                <w:rFonts w:ascii="Arial" w:hAnsi="Arial"/>
                <w:sz w:val="18"/>
              </w:rPr>
            </w:pPr>
            <w:r w:rsidRPr="009C5807">
              <w:rPr>
                <w:rFonts w:ascii="Arial" w:hAnsi="Arial"/>
                <w:sz w:val="18"/>
              </w:rPr>
              <w:t>NOTE 1:</w:t>
            </w:r>
            <w:r w:rsidRPr="009C5807">
              <w:rPr>
                <w:rFonts w:ascii="Arial" w:hAnsi="Arial"/>
                <w:sz w:val="18"/>
              </w:rPr>
              <w:tab/>
              <w:t>Io is assumed to have constant EPRE across the bandwidth.</w:t>
            </w:r>
          </w:p>
          <w:p w14:paraId="32FEF468" w14:textId="77777777" w:rsidR="00482E27" w:rsidRPr="009C5807" w:rsidRDefault="00482E27" w:rsidP="00E65BA1">
            <w:pPr>
              <w:keepNext/>
              <w:keepLines/>
              <w:spacing w:after="0"/>
              <w:ind w:left="851" w:hanging="851"/>
            </w:pPr>
            <w:r w:rsidRPr="009C5807">
              <w:rPr>
                <w:rFonts w:ascii="Arial" w:hAnsi="Arial"/>
                <w:sz w:val="18"/>
              </w:rPr>
              <w:t>NOTE 2:</w:t>
            </w:r>
            <w:r w:rsidRPr="009C5807">
              <w:rPr>
                <w:rFonts w:ascii="Arial" w:hAnsi="Arial"/>
                <w:sz w:val="18"/>
              </w:rPr>
              <w:tab/>
              <w:t>NR operating band groups in FR1 are as defined in clause 3.5.2.</w:t>
            </w:r>
          </w:p>
        </w:tc>
      </w:tr>
    </w:tbl>
    <w:p w14:paraId="7A11514A" w14:textId="77777777" w:rsidR="00482E27" w:rsidRPr="009C5807" w:rsidRDefault="00482E27" w:rsidP="00482E27">
      <w:pPr>
        <w:rPr>
          <w:lang w:eastAsia="zh-CN"/>
        </w:rPr>
      </w:pPr>
    </w:p>
    <w:p w14:paraId="056874F4" w14:textId="77777777" w:rsidR="00482E27" w:rsidRPr="009C5807" w:rsidRDefault="00482E27" w:rsidP="00482E27">
      <w:pPr>
        <w:pStyle w:val="Heading5"/>
      </w:pPr>
      <w:r>
        <w:t>10.1.2C</w:t>
      </w:r>
      <w:r w:rsidRPr="009C5807">
        <w:t>.1.2</w:t>
      </w:r>
      <w:r w:rsidRPr="009C5807">
        <w:tab/>
        <w:t xml:space="preserve">Relative </w:t>
      </w:r>
      <w:r w:rsidRPr="009C5807">
        <w:rPr>
          <w:lang w:val="en-US"/>
        </w:rPr>
        <w:t xml:space="preserve">SS-RSRP </w:t>
      </w:r>
      <w:r w:rsidRPr="009C5807">
        <w:t>Accuracy</w:t>
      </w:r>
    </w:p>
    <w:p w14:paraId="135B6BDE" w14:textId="77777777" w:rsidR="00482E27" w:rsidRDefault="00482E27" w:rsidP="00482E27">
      <w:pPr>
        <w:rPr>
          <w:i/>
        </w:rPr>
      </w:pPr>
      <w:r>
        <w:t xml:space="preserve">The relative accuracy of </w:t>
      </w:r>
      <w:r>
        <w:rPr>
          <w:lang w:eastAsia="zh-CN"/>
        </w:rPr>
        <w:t>SS-RSRP</w:t>
      </w:r>
      <w:r>
        <w:t xml:space="preserve"> is defined as the </w:t>
      </w:r>
      <w:r>
        <w:rPr>
          <w:lang w:eastAsia="zh-CN"/>
        </w:rPr>
        <w:t>SS-RSRP</w:t>
      </w:r>
      <w:r>
        <w:t xml:space="preserve"> measured from one cell compared to the </w:t>
      </w:r>
      <w:r>
        <w:rPr>
          <w:lang w:eastAsia="zh-CN"/>
        </w:rPr>
        <w:t>SS-RSRP</w:t>
      </w:r>
      <w:r>
        <w:t xml:space="preserve"> measured from another cell on the same frequency, or between any two SS-RSRP levels measured on the same cell in FR1.</w:t>
      </w:r>
      <w:r>
        <w:rPr>
          <w:lang w:eastAsia="zh-CN"/>
        </w:rPr>
        <w:t xml:space="preserve"> </w:t>
      </w:r>
    </w:p>
    <w:p w14:paraId="3545D21B" w14:textId="77777777" w:rsidR="00482E27" w:rsidRPr="009C5807" w:rsidRDefault="00482E27" w:rsidP="00482E27">
      <w:pPr>
        <w:rPr>
          <w:rFonts w:cs="v4.2.0"/>
        </w:rPr>
      </w:pPr>
      <w:r w:rsidRPr="009C5807">
        <w:rPr>
          <w:rFonts w:cs="v4.2.0"/>
        </w:rPr>
        <w:t xml:space="preserve">The accuracy requirements in Table </w:t>
      </w:r>
      <w:r>
        <w:rPr>
          <w:lang w:eastAsia="zh-CN"/>
        </w:rPr>
        <w:t>10.1.2C</w:t>
      </w:r>
      <w:r w:rsidRPr="009C5807">
        <w:t>.1</w:t>
      </w:r>
      <w:r w:rsidRPr="009C5807">
        <w:rPr>
          <w:lang w:eastAsia="zh-CN"/>
        </w:rPr>
        <w:t>.2</w:t>
      </w:r>
      <w:r w:rsidRPr="009C5807">
        <w:rPr>
          <w:rFonts w:cs="v4.2.0"/>
        </w:rPr>
        <w:t>-1 are valid under the following conditions:</w:t>
      </w:r>
    </w:p>
    <w:p w14:paraId="529A20F6" w14:textId="77777777" w:rsidR="00482E27" w:rsidRPr="009C5807" w:rsidRDefault="00482E27" w:rsidP="00482E27">
      <w:pPr>
        <w:pStyle w:val="B10"/>
        <w:rPr>
          <w:lang w:eastAsia="zh-CN"/>
        </w:rPr>
      </w:pPr>
      <w:r w:rsidRPr="009C5807">
        <w:t>-</w:t>
      </w:r>
      <w:r w:rsidRPr="009C5807">
        <w:tab/>
        <w:t>Conditions defined in clause 7.3 of TS 38.101-1 [18] for reference sensitivity are fulfilled.</w:t>
      </w:r>
    </w:p>
    <w:p w14:paraId="7DEF5E52" w14:textId="77777777" w:rsidR="00482E27" w:rsidRDefault="00482E27" w:rsidP="00482E27">
      <w:pPr>
        <w:pStyle w:val="B10"/>
      </w:pPr>
      <w:r w:rsidRPr="009C5807">
        <w:t>-</w:t>
      </w:r>
      <w:r w:rsidRPr="009C5807">
        <w:tab/>
        <w:t>Conditions for intra-frequency measurements are fulfilled according to Annex B.2.2 for a corresponding Band for each relevant SSB.</w:t>
      </w:r>
    </w:p>
    <w:p w14:paraId="630271A3" w14:textId="77777777" w:rsidR="00482E27" w:rsidRPr="00F641C2" w:rsidRDefault="00482E27" w:rsidP="00482E27">
      <w:pPr>
        <w:pStyle w:val="B10"/>
        <w:rPr>
          <w:lang w:eastAsia="zh-CN"/>
        </w:rPr>
      </w:pPr>
      <w:r w:rsidRPr="009C5807">
        <w:t>-</w:t>
      </w:r>
      <w:r w:rsidRPr="009C5807">
        <w:tab/>
      </w:r>
      <w:r w:rsidRPr="004B7BCD">
        <w:t xml:space="preserve">Valid information for the </w:t>
      </w:r>
      <w:r>
        <w:t>SAN</w:t>
      </w:r>
      <w:r w:rsidRPr="004B7BCD">
        <w:t xml:space="preserve"> serving the target cell has been provided</w:t>
      </w:r>
      <w:r w:rsidRPr="009C5807">
        <w:t>.</w:t>
      </w:r>
    </w:p>
    <w:p w14:paraId="6FCE722C" w14:textId="77777777" w:rsidR="00482E27" w:rsidRPr="009C5807" w:rsidRDefault="00482E27" w:rsidP="00482E27">
      <w:pPr>
        <w:pStyle w:val="TH"/>
      </w:pPr>
      <w:r w:rsidRPr="009C5807">
        <w:t xml:space="preserve">Table </w:t>
      </w:r>
      <w:r>
        <w:t>10.1.2C</w:t>
      </w:r>
      <w:r w:rsidRPr="009C5807">
        <w:t>.1.2-1: SS-RSRP Intra frequency relative accuracy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482E27" w:rsidRPr="009C5807" w14:paraId="543FC163" w14:textId="77777777" w:rsidTr="00E65BA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5DFEFAC4" w14:textId="77777777" w:rsidR="00482E27" w:rsidRPr="009C5807" w:rsidRDefault="00482E27" w:rsidP="00E65BA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19E729EA" w14:textId="77777777" w:rsidR="00482E27" w:rsidRPr="009C5807" w:rsidRDefault="00482E27" w:rsidP="00E65BA1">
            <w:pPr>
              <w:pStyle w:val="TAH"/>
            </w:pPr>
            <w:r w:rsidRPr="009C5807">
              <w:t>Conditions</w:t>
            </w:r>
          </w:p>
        </w:tc>
      </w:tr>
      <w:tr w:rsidR="00482E27" w:rsidRPr="009C5807" w14:paraId="02784BF6" w14:textId="77777777" w:rsidTr="00E65BA1">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2CEAC277" w14:textId="77777777" w:rsidR="00482E27" w:rsidRPr="009C5807" w:rsidRDefault="00482E27" w:rsidP="00E65BA1">
            <w:pPr>
              <w:pStyle w:val="TAH"/>
            </w:pPr>
            <w:r w:rsidRPr="009C5807">
              <w:t>Normal condition</w:t>
            </w:r>
          </w:p>
        </w:tc>
        <w:tc>
          <w:tcPr>
            <w:tcW w:w="1049" w:type="dxa"/>
            <w:tcBorders>
              <w:top w:val="single" w:sz="6" w:space="0" w:color="auto"/>
              <w:left w:val="single" w:sz="6" w:space="0" w:color="auto"/>
              <w:bottom w:val="single" w:sz="4" w:space="0" w:color="auto"/>
              <w:right w:val="single" w:sz="6" w:space="0" w:color="auto"/>
            </w:tcBorders>
            <w:shd w:val="clear" w:color="auto" w:fill="auto"/>
          </w:tcPr>
          <w:p w14:paraId="45331E5B" w14:textId="77777777" w:rsidR="00482E27" w:rsidRPr="009C5807" w:rsidRDefault="00482E27" w:rsidP="00E65BA1">
            <w:pPr>
              <w:pStyle w:val="TAH"/>
            </w:pPr>
            <w:r w:rsidRPr="009C5807">
              <w:t>Extreme condition</w:t>
            </w:r>
          </w:p>
        </w:tc>
        <w:tc>
          <w:tcPr>
            <w:tcW w:w="807" w:type="dxa"/>
            <w:tcBorders>
              <w:top w:val="single" w:sz="4" w:space="0" w:color="auto"/>
              <w:left w:val="single" w:sz="6" w:space="0" w:color="auto"/>
              <w:bottom w:val="single" w:sz="4" w:space="0" w:color="auto"/>
              <w:right w:val="single" w:sz="6" w:space="0" w:color="auto"/>
            </w:tcBorders>
            <w:shd w:val="clear" w:color="auto" w:fill="auto"/>
          </w:tcPr>
          <w:p w14:paraId="55205BB4" w14:textId="77777777" w:rsidR="00482E27" w:rsidRPr="009C5807" w:rsidRDefault="00482E27" w:rsidP="00E65BA1">
            <w:pPr>
              <w:pStyle w:val="TAH"/>
            </w:pPr>
            <w:r w:rsidRPr="009C5807">
              <w:t>SSB Ês/Iot</w:t>
            </w:r>
            <w:r w:rsidRPr="009C5807">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tcPr>
          <w:p w14:paraId="556AEFA4" w14:textId="77777777" w:rsidR="00482E27" w:rsidRPr="009C5807" w:rsidRDefault="00482E27" w:rsidP="00E65BA1">
            <w:pPr>
              <w:pStyle w:val="TAH"/>
            </w:pPr>
            <w:r w:rsidRPr="009C5807">
              <w:t>Io</w:t>
            </w:r>
            <w:r w:rsidRPr="009C5807">
              <w:rPr>
                <w:vertAlign w:val="superscript"/>
              </w:rPr>
              <w:t xml:space="preserve"> Note 1</w:t>
            </w:r>
            <w:r w:rsidRPr="009C5807">
              <w:t xml:space="preserve"> range</w:t>
            </w:r>
          </w:p>
        </w:tc>
      </w:tr>
      <w:tr w:rsidR="00482E27" w:rsidRPr="009C5807" w14:paraId="1C7EC7A0" w14:textId="77777777" w:rsidTr="00E65BA1">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5C06C6A0" w14:textId="77777777" w:rsidR="00482E27" w:rsidRPr="009C5807" w:rsidRDefault="00482E27" w:rsidP="00E65BA1">
            <w:pPr>
              <w:pStyle w:val="TAH"/>
            </w:pPr>
          </w:p>
        </w:tc>
        <w:tc>
          <w:tcPr>
            <w:tcW w:w="1049" w:type="dxa"/>
            <w:tcBorders>
              <w:top w:val="single" w:sz="4" w:space="0" w:color="auto"/>
              <w:left w:val="single" w:sz="6" w:space="0" w:color="auto"/>
              <w:bottom w:val="single" w:sz="6" w:space="0" w:color="auto"/>
              <w:right w:val="single" w:sz="6" w:space="0" w:color="auto"/>
            </w:tcBorders>
            <w:shd w:val="clear" w:color="auto" w:fill="auto"/>
          </w:tcPr>
          <w:p w14:paraId="0AFED30E" w14:textId="77777777" w:rsidR="00482E27" w:rsidRPr="009C5807" w:rsidRDefault="00482E27" w:rsidP="00E65BA1">
            <w:pPr>
              <w:pStyle w:val="TAH"/>
            </w:pPr>
          </w:p>
        </w:tc>
        <w:tc>
          <w:tcPr>
            <w:tcW w:w="807" w:type="dxa"/>
            <w:tcBorders>
              <w:top w:val="single" w:sz="4" w:space="0" w:color="auto"/>
              <w:left w:val="single" w:sz="6" w:space="0" w:color="auto"/>
              <w:bottom w:val="single" w:sz="6" w:space="0" w:color="auto"/>
              <w:right w:val="single" w:sz="6" w:space="0" w:color="auto"/>
            </w:tcBorders>
            <w:shd w:val="clear" w:color="auto" w:fill="auto"/>
          </w:tcPr>
          <w:p w14:paraId="6CF36BEB" w14:textId="77777777" w:rsidR="00482E27" w:rsidRPr="009C5807" w:rsidRDefault="00482E27" w:rsidP="00E65BA1">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517FFA2D" w14:textId="77777777" w:rsidR="00482E27" w:rsidRPr="009C5807" w:rsidRDefault="00482E27" w:rsidP="00E65BA1">
            <w:pPr>
              <w:pStyle w:val="TAH"/>
            </w:pPr>
            <w:r w:rsidRPr="009C5807">
              <w:t>NR operating band groups</w:t>
            </w:r>
            <w:r w:rsidRPr="009C5807">
              <w:rPr>
                <w:vertAlign w:val="superscript"/>
              </w:rPr>
              <w:t xml:space="preserve"> Note 4</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tcPr>
          <w:p w14:paraId="35AD6817" w14:textId="77777777" w:rsidR="00482E27" w:rsidRPr="009C5807" w:rsidRDefault="00482E27"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587F08BB" w14:textId="77777777" w:rsidR="00482E27" w:rsidRPr="009C5807" w:rsidRDefault="00482E27" w:rsidP="00E65BA1">
            <w:pPr>
              <w:pStyle w:val="TAH"/>
            </w:pPr>
            <w:r w:rsidRPr="009C5807">
              <w:t>Maximum Io</w:t>
            </w:r>
          </w:p>
        </w:tc>
      </w:tr>
      <w:tr w:rsidR="00482E27" w:rsidRPr="009C5807" w14:paraId="0F71AC5B" w14:textId="77777777" w:rsidTr="00E65BA1">
        <w:trPr>
          <w:trHeight w:val="308"/>
          <w:jc w:val="center"/>
        </w:trPr>
        <w:tc>
          <w:tcPr>
            <w:tcW w:w="1033" w:type="dxa"/>
            <w:tcBorders>
              <w:top w:val="single" w:sz="6" w:space="0" w:color="auto"/>
              <w:left w:val="single" w:sz="4" w:space="0" w:color="auto"/>
              <w:right w:val="single" w:sz="6" w:space="0" w:color="auto"/>
            </w:tcBorders>
            <w:shd w:val="clear" w:color="auto" w:fill="auto"/>
          </w:tcPr>
          <w:p w14:paraId="46BD08DC" w14:textId="77777777" w:rsidR="00482E27" w:rsidRPr="009C5807" w:rsidRDefault="00482E27" w:rsidP="00E65BA1">
            <w:pPr>
              <w:pStyle w:val="TAH"/>
            </w:pPr>
            <w:r w:rsidRPr="009C5807">
              <w:t>dB</w:t>
            </w:r>
          </w:p>
        </w:tc>
        <w:tc>
          <w:tcPr>
            <w:tcW w:w="1049" w:type="dxa"/>
            <w:tcBorders>
              <w:top w:val="single" w:sz="6" w:space="0" w:color="auto"/>
              <w:left w:val="single" w:sz="6" w:space="0" w:color="auto"/>
              <w:right w:val="single" w:sz="6" w:space="0" w:color="auto"/>
            </w:tcBorders>
            <w:shd w:val="clear" w:color="auto" w:fill="auto"/>
          </w:tcPr>
          <w:p w14:paraId="5D09C18D" w14:textId="77777777" w:rsidR="00482E27" w:rsidRPr="009C5807" w:rsidRDefault="00482E27" w:rsidP="00E65BA1">
            <w:pPr>
              <w:pStyle w:val="TAH"/>
            </w:pPr>
            <w:r w:rsidRPr="009C5807">
              <w:t>dB</w:t>
            </w:r>
          </w:p>
        </w:tc>
        <w:tc>
          <w:tcPr>
            <w:tcW w:w="807" w:type="dxa"/>
            <w:tcBorders>
              <w:top w:val="single" w:sz="6" w:space="0" w:color="auto"/>
              <w:left w:val="single" w:sz="6" w:space="0" w:color="auto"/>
              <w:right w:val="single" w:sz="6" w:space="0" w:color="auto"/>
            </w:tcBorders>
            <w:shd w:val="clear" w:color="auto" w:fill="auto"/>
          </w:tcPr>
          <w:p w14:paraId="5A53320F" w14:textId="77777777" w:rsidR="00482E27" w:rsidRPr="009C5807" w:rsidRDefault="00482E27" w:rsidP="00E65BA1">
            <w:pPr>
              <w:pStyle w:val="TAH"/>
            </w:pPr>
            <w:r w:rsidRPr="009C5807">
              <w:t>dB</w:t>
            </w:r>
          </w:p>
        </w:tc>
        <w:tc>
          <w:tcPr>
            <w:tcW w:w="2349" w:type="dxa"/>
            <w:tcBorders>
              <w:top w:val="single" w:sz="6" w:space="0" w:color="auto"/>
              <w:left w:val="single" w:sz="6" w:space="0" w:color="auto"/>
              <w:right w:val="single" w:sz="4" w:space="0" w:color="auto"/>
            </w:tcBorders>
            <w:shd w:val="clear" w:color="auto" w:fill="auto"/>
          </w:tcPr>
          <w:p w14:paraId="44B4629C" w14:textId="77777777" w:rsidR="00482E27" w:rsidRPr="009C5807" w:rsidRDefault="00482E27" w:rsidP="00E65BA1">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tcPr>
          <w:p w14:paraId="5737C97F" w14:textId="77777777" w:rsidR="00482E27" w:rsidRPr="009C5807" w:rsidRDefault="00482E27"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1239EA47" w14:textId="77777777" w:rsidR="00482E27" w:rsidRPr="009C5807" w:rsidRDefault="00482E27"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52DD50CD" w14:textId="77777777" w:rsidR="00482E27" w:rsidRPr="009C5807" w:rsidRDefault="00482E27" w:rsidP="00E65BA1">
            <w:pPr>
              <w:pStyle w:val="TAH"/>
            </w:pPr>
            <w:r w:rsidRPr="009C5807">
              <w:t>dBm/BW</w:t>
            </w:r>
            <w:r w:rsidRPr="009C5807">
              <w:rPr>
                <w:vertAlign w:val="subscript"/>
              </w:rPr>
              <w:t>Channel</w:t>
            </w:r>
          </w:p>
        </w:tc>
      </w:tr>
      <w:tr w:rsidR="00482E27" w:rsidRPr="009C5807" w14:paraId="7B773471" w14:textId="77777777" w:rsidTr="00E65BA1">
        <w:trPr>
          <w:trHeight w:val="307"/>
          <w:jc w:val="center"/>
        </w:trPr>
        <w:tc>
          <w:tcPr>
            <w:tcW w:w="1033" w:type="dxa"/>
            <w:tcBorders>
              <w:left w:val="single" w:sz="4" w:space="0" w:color="auto"/>
              <w:bottom w:val="single" w:sz="6" w:space="0" w:color="auto"/>
              <w:right w:val="single" w:sz="6" w:space="0" w:color="auto"/>
            </w:tcBorders>
            <w:shd w:val="clear" w:color="auto" w:fill="auto"/>
          </w:tcPr>
          <w:p w14:paraId="16EDD768" w14:textId="77777777" w:rsidR="00482E27" w:rsidRPr="009C5807" w:rsidRDefault="00482E27" w:rsidP="00E65BA1">
            <w:pPr>
              <w:pStyle w:val="TAH"/>
            </w:pPr>
          </w:p>
        </w:tc>
        <w:tc>
          <w:tcPr>
            <w:tcW w:w="1049" w:type="dxa"/>
            <w:tcBorders>
              <w:left w:val="single" w:sz="6" w:space="0" w:color="auto"/>
              <w:bottom w:val="single" w:sz="6" w:space="0" w:color="auto"/>
              <w:right w:val="single" w:sz="6" w:space="0" w:color="auto"/>
            </w:tcBorders>
            <w:shd w:val="clear" w:color="auto" w:fill="auto"/>
          </w:tcPr>
          <w:p w14:paraId="3D6D7B09" w14:textId="77777777" w:rsidR="00482E27" w:rsidRPr="009C5807" w:rsidRDefault="00482E27" w:rsidP="00E65BA1">
            <w:pPr>
              <w:pStyle w:val="TAH"/>
            </w:pPr>
          </w:p>
        </w:tc>
        <w:tc>
          <w:tcPr>
            <w:tcW w:w="807" w:type="dxa"/>
            <w:tcBorders>
              <w:left w:val="single" w:sz="6" w:space="0" w:color="auto"/>
              <w:bottom w:val="single" w:sz="6" w:space="0" w:color="auto"/>
              <w:right w:val="single" w:sz="6" w:space="0" w:color="auto"/>
            </w:tcBorders>
            <w:shd w:val="clear" w:color="auto" w:fill="auto"/>
          </w:tcPr>
          <w:p w14:paraId="2C15E256" w14:textId="77777777" w:rsidR="00482E27" w:rsidRPr="009C5807" w:rsidRDefault="00482E27" w:rsidP="00E65BA1">
            <w:pPr>
              <w:pStyle w:val="TAH"/>
            </w:pPr>
          </w:p>
        </w:tc>
        <w:tc>
          <w:tcPr>
            <w:tcW w:w="2349" w:type="dxa"/>
            <w:tcBorders>
              <w:left w:val="single" w:sz="6" w:space="0" w:color="auto"/>
              <w:bottom w:val="single" w:sz="6" w:space="0" w:color="auto"/>
              <w:right w:val="single" w:sz="4" w:space="0" w:color="auto"/>
            </w:tcBorders>
            <w:shd w:val="clear" w:color="auto" w:fill="auto"/>
          </w:tcPr>
          <w:p w14:paraId="5E98BD74" w14:textId="77777777" w:rsidR="00482E27" w:rsidRPr="009C5807" w:rsidRDefault="00482E27" w:rsidP="00E65BA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4A8FE88" w14:textId="77777777" w:rsidR="00482E27" w:rsidRPr="009C5807" w:rsidRDefault="00482E27" w:rsidP="00E65BA1">
            <w:pPr>
              <w:pStyle w:val="TAH"/>
              <w:rPr>
                <w:rFonts w:cs="Arial"/>
              </w:rPr>
            </w:pPr>
            <w:r w:rsidRPr="009C5807">
              <w:t>SCS</w:t>
            </w:r>
            <w:r w:rsidRPr="009C5807">
              <w:rPr>
                <w:vertAlign w:val="subscript"/>
              </w:rPr>
              <w:t>SSB</w:t>
            </w:r>
            <w:r w:rsidRPr="009C5807">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23976C2" w14:textId="77777777" w:rsidR="00482E27" w:rsidRPr="009C5807" w:rsidRDefault="00482E27"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718DB1A9" w14:textId="77777777" w:rsidR="00482E27" w:rsidRPr="009C5807" w:rsidRDefault="00482E27" w:rsidP="00E65BA1">
            <w:pPr>
              <w:pStyle w:val="TAH"/>
            </w:pPr>
          </w:p>
        </w:tc>
        <w:tc>
          <w:tcPr>
            <w:tcW w:w="1440" w:type="dxa"/>
            <w:tcBorders>
              <w:left w:val="single" w:sz="6" w:space="0" w:color="auto"/>
              <w:bottom w:val="single" w:sz="6" w:space="0" w:color="auto"/>
              <w:right w:val="single" w:sz="4" w:space="0" w:color="auto"/>
            </w:tcBorders>
            <w:shd w:val="clear" w:color="auto" w:fill="auto"/>
          </w:tcPr>
          <w:p w14:paraId="63E5A1A5" w14:textId="77777777" w:rsidR="00482E27" w:rsidRPr="009C5807" w:rsidRDefault="00482E27" w:rsidP="00E65BA1">
            <w:pPr>
              <w:pStyle w:val="TAH"/>
            </w:pPr>
          </w:p>
        </w:tc>
      </w:tr>
      <w:tr w:rsidR="00B72DB6" w:rsidRPr="009C5807" w14:paraId="30E91C3C" w14:textId="77777777" w:rsidTr="00E65BA1">
        <w:trPr>
          <w:jc w:val="center"/>
        </w:trPr>
        <w:tc>
          <w:tcPr>
            <w:tcW w:w="1033" w:type="dxa"/>
            <w:tcBorders>
              <w:top w:val="single" w:sz="6" w:space="0" w:color="auto"/>
              <w:left w:val="single" w:sz="4" w:space="0" w:color="auto"/>
              <w:right w:val="single" w:sz="6" w:space="0" w:color="auto"/>
            </w:tcBorders>
            <w:shd w:val="clear" w:color="auto" w:fill="auto"/>
          </w:tcPr>
          <w:p w14:paraId="2723DCC5" w14:textId="13526F46" w:rsidR="00B72DB6" w:rsidRPr="009C5807" w:rsidRDefault="00B72DB6" w:rsidP="00B72DB6">
            <w:pPr>
              <w:pStyle w:val="TAC"/>
            </w:pPr>
            <w:r w:rsidRPr="009C5807">
              <w:sym w:font="Symbol" w:char="F0B1"/>
            </w:r>
            <w:r>
              <w:t>[2]</w:t>
            </w:r>
          </w:p>
        </w:tc>
        <w:tc>
          <w:tcPr>
            <w:tcW w:w="1049" w:type="dxa"/>
            <w:tcBorders>
              <w:top w:val="single" w:sz="6" w:space="0" w:color="auto"/>
              <w:left w:val="single" w:sz="6" w:space="0" w:color="auto"/>
              <w:right w:val="single" w:sz="6" w:space="0" w:color="auto"/>
            </w:tcBorders>
            <w:shd w:val="clear" w:color="auto" w:fill="auto"/>
          </w:tcPr>
          <w:p w14:paraId="25D94603" w14:textId="5C839403" w:rsidR="00B72DB6" w:rsidRPr="009C5807" w:rsidRDefault="00B72DB6" w:rsidP="00B72DB6">
            <w:pPr>
              <w:pStyle w:val="TAC"/>
            </w:pPr>
            <w:r w:rsidRPr="009C5807">
              <w:sym w:font="Symbol" w:char="F0B1"/>
            </w:r>
            <w:r>
              <w:t>[3]</w:t>
            </w:r>
          </w:p>
        </w:tc>
        <w:tc>
          <w:tcPr>
            <w:tcW w:w="807" w:type="dxa"/>
            <w:tcBorders>
              <w:top w:val="single" w:sz="6" w:space="0" w:color="auto"/>
              <w:left w:val="single" w:sz="6" w:space="0" w:color="auto"/>
              <w:right w:val="single" w:sz="6" w:space="0" w:color="auto"/>
            </w:tcBorders>
            <w:shd w:val="clear" w:color="auto" w:fill="auto"/>
          </w:tcPr>
          <w:p w14:paraId="1B5FAFC4" w14:textId="0431CAE6" w:rsidR="00B72DB6" w:rsidRPr="009C5807" w:rsidRDefault="00B72DB6" w:rsidP="00B72DB6">
            <w:pPr>
              <w:pStyle w:val="TAC"/>
            </w:pPr>
            <w:r w:rsidRPr="009C5807">
              <w:sym w:font="Symbol" w:char="F0B3"/>
            </w:r>
            <w:r w:rsidRPr="009C5807">
              <w:t>-3</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40E6C167" w14:textId="3E8740AF" w:rsidR="00B72DB6" w:rsidRPr="009C5807" w:rsidRDefault="00B72DB6" w:rsidP="00B72DB6">
            <w:pPr>
              <w:pStyle w:val="TAC"/>
              <w:rPr>
                <w:rFonts w:cs="Arial"/>
                <w:szCs w:val="18"/>
              </w:rPr>
            </w:pPr>
            <w:r w:rsidRPr="009C5807">
              <w:rPr>
                <w:rFonts w:cs="Arial"/>
                <w:szCs w:val="18"/>
              </w:rPr>
              <w:t>NR_FDD</w:t>
            </w:r>
            <w:r w:rsidRPr="00C47750">
              <w:rPr>
                <w:rFonts w:cs="Arial"/>
                <w:szCs w:val="18"/>
              </w:rPr>
              <w:t>_SAB</w:t>
            </w:r>
            <w:r w:rsidRPr="009C5807">
              <w:rPr>
                <w:rFonts w:cs="Arial"/>
                <w:szCs w:val="18"/>
              </w:rPr>
              <w:t>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F966608" w14:textId="77777777" w:rsidR="00B72DB6" w:rsidRPr="009C5807" w:rsidRDefault="00B72DB6" w:rsidP="00B72DB6">
            <w:pPr>
              <w:pStyle w:val="TAC"/>
            </w:pPr>
            <w:r w:rsidRPr="009C5807">
              <w:t>-121</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7D52409" w14:textId="77777777" w:rsidR="00B72DB6" w:rsidRPr="009C5807" w:rsidRDefault="00B72DB6" w:rsidP="00B72DB6">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6D45319"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A84BA3A" w14:textId="77777777" w:rsidR="00B72DB6" w:rsidRPr="009C5807" w:rsidRDefault="00B72DB6" w:rsidP="00B72DB6">
            <w:pPr>
              <w:pStyle w:val="TAC"/>
            </w:pPr>
            <w:r w:rsidRPr="009C5807">
              <w:t>-50</w:t>
            </w:r>
          </w:p>
        </w:tc>
      </w:tr>
      <w:tr w:rsidR="00B72DB6" w:rsidRPr="009C5807" w14:paraId="04249A52" w14:textId="77777777" w:rsidTr="00E65BA1">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79ED097A" w14:textId="3ED23126" w:rsidR="00B72DB6" w:rsidRPr="009C5807" w:rsidRDefault="00B72DB6" w:rsidP="00B72DB6">
            <w:pPr>
              <w:pStyle w:val="TAC"/>
            </w:pPr>
            <w:r w:rsidRPr="009C5807">
              <w:sym w:font="Symbol" w:char="F0B1"/>
            </w:r>
            <w:r>
              <w:t>[3]</w:t>
            </w:r>
          </w:p>
        </w:tc>
        <w:tc>
          <w:tcPr>
            <w:tcW w:w="1049" w:type="dxa"/>
            <w:tcBorders>
              <w:top w:val="single" w:sz="6" w:space="0" w:color="auto"/>
              <w:left w:val="single" w:sz="6" w:space="0" w:color="auto"/>
              <w:bottom w:val="single" w:sz="6" w:space="0" w:color="auto"/>
              <w:right w:val="single" w:sz="6" w:space="0" w:color="auto"/>
            </w:tcBorders>
            <w:shd w:val="clear" w:color="auto" w:fill="auto"/>
          </w:tcPr>
          <w:p w14:paraId="15918BCD" w14:textId="20B45486" w:rsidR="00B72DB6" w:rsidRPr="009C5807" w:rsidRDefault="00B72DB6" w:rsidP="00B72DB6">
            <w:pPr>
              <w:pStyle w:val="TAC"/>
            </w:pPr>
            <w:r w:rsidRPr="009C5807">
              <w:sym w:font="Symbol" w:char="F0B1"/>
            </w:r>
            <w:r>
              <w:t>[3]</w:t>
            </w:r>
          </w:p>
        </w:tc>
        <w:tc>
          <w:tcPr>
            <w:tcW w:w="807" w:type="dxa"/>
            <w:tcBorders>
              <w:top w:val="single" w:sz="6" w:space="0" w:color="auto"/>
              <w:left w:val="single" w:sz="6" w:space="0" w:color="auto"/>
              <w:bottom w:val="single" w:sz="6" w:space="0" w:color="auto"/>
              <w:right w:val="single" w:sz="6" w:space="0" w:color="auto"/>
            </w:tcBorders>
            <w:shd w:val="clear" w:color="auto" w:fill="auto"/>
          </w:tcPr>
          <w:p w14:paraId="0BAD0254" w14:textId="33A46AF3" w:rsidR="00B72DB6" w:rsidRPr="009C5807" w:rsidRDefault="00B72DB6" w:rsidP="00B72DB6">
            <w:pPr>
              <w:pStyle w:val="TAC"/>
            </w:pPr>
            <w:r w:rsidRPr="009C5807">
              <w:sym w:font="Symbol" w:char="F0B3"/>
            </w:r>
            <w:r w:rsidRPr="009C5807">
              <w:t>-6</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073F159A" w14:textId="4EC77152" w:rsidR="00B72DB6" w:rsidRPr="009C5807" w:rsidRDefault="00B72DB6" w:rsidP="00B72DB6">
            <w:pPr>
              <w:pStyle w:val="TAC"/>
            </w:pPr>
            <w:r w:rsidRPr="009C5807">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1A2C7A8E" w14:textId="77777777" w:rsidR="00B72DB6" w:rsidRPr="009C5807" w:rsidRDefault="00B72DB6" w:rsidP="00B72DB6">
            <w:pPr>
              <w:pStyle w:val="TAC"/>
            </w:pPr>
            <w:r w:rsidRPr="009C5807">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3766699C" w14:textId="77777777" w:rsidR="00B72DB6" w:rsidRPr="009C5807" w:rsidRDefault="00B72DB6" w:rsidP="00B72DB6">
            <w:pPr>
              <w:pStyle w:val="TAC"/>
            </w:pPr>
            <w:r w:rsidRPr="009C5807">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6EEE5F35"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49C776C7" w14:textId="77777777" w:rsidR="00B72DB6" w:rsidRPr="009C5807" w:rsidRDefault="00B72DB6" w:rsidP="00B72DB6">
            <w:pPr>
              <w:pStyle w:val="TAC"/>
            </w:pPr>
            <w:r w:rsidRPr="009C5807">
              <w:t>Note 3</w:t>
            </w:r>
          </w:p>
        </w:tc>
      </w:tr>
      <w:tr w:rsidR="00482E27" w:rsidRPr="009C5807" w14:paraId="24054246"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0B40F018" w14:textId="77777777" w:rsidR="00482E27" w:rsidRPr="009C5807" w:rsidRDefault="00482E27" w:rsidP="00E65BA1">
            <w:pPr>
              <w:pStyle w:val="TAN"/>
            </w:pPr>
            <w:r w:rsidRPr="009C5807">
              <w:t>NOTE 1:</w:t>
            </w:r>
            <w:r w:rsidRPr="009C5807">
              <w:tab/>
              <w:t>Io is assumed to have constant EPRE across the bandwidth.</w:t>
            </w:r>
          </w:p>
          <w:p w14:paraId="554773F4" w14:textId="77777777" w:rsidR="00482E27" w:rsidRPr="009C5807" w:rsidRDefault="00482E27" w:rsidP="00E65BA1">
            <w:pPr>
              <w:pStyle w:val="TAN"/>
            </w:pPr>
            <w:r w:rsidRPr="009C5807">
              <w:t>NOTE 2:</w:t>
            </w:r>
            <w:r w:rsidRPr="009C5807">
              <w:tab/>
              <w:t>The parameter SSB Ês/Iot is the minimum SSB Ês/Iot of the pair of cells to which the requirement applies.</w:t>
            </w:r>
          </w:p>
          <w:p w14:paraId="31382A10" w14:textId="77777777" w:rsidR="00482E27" w:rsidRPr="009C5807" w:rsidRDefault="00482E27" w:rsidP="00E65BA1">
            <w:pPr>
              <w:pStyle w:val="TAN"/>
            </w:pPr>
            <w:r w:rsidRPr="009C5807">
              <w:t>NOTE 3:</w:t>
            </w:r>
            <w:r w:rsidRPr="009C5807">
              <w:tab/>
              <w:t>The same bands and the same Io conditions for each band apply for this requirement as for the corresponding highest accuracy requirement.</w:t>
            </w:r>
          </w:p>
          <w:p w14:paraId="52B27A28" w14:textId="77777777" w:rsidR="00482E27" w:rsidRPr="009C5807" w:rsidRDefault="00482E27" w:rsidP="00E65BA1">
            <w:pPr>
              <w:pStyle w:val="TAN"/>
            </w:pPr>
            <w:r w:rsidRPr="009C5807">
              <w:t>NOTE 4:</w:t>
            </w:r>
            <w:r w:rsidRPr="009C5807">
              <w:tab/>
              <w:t>NR operating band groups in FR1 are as defined in clause 3.5.2.</w:t>
            </w:r>
          </w:p>
        </w:tc>
      </w:tr>
    </w:tbl>
    <w:p w14:paraId="3D7D0F6F" w14:textId="77777777" w:rsidR="00482E27" w:rsidRPr="004608C1" w:rsidRDefault="00482E27" w:rsidP="00BE0199">
      <w:pPr>
        <w:rPr>
          <w:lang w:eastAsia="zh-CN"/>
        </w:rPr>
      </w:pPr>
    </w:p>
    <w:p w14:paraId="2FEA9775" w14:textId="0D79B9BB" w:rsidR="001F5A79" w:rsidRPr="009C5807" w:rsidRDefault="001F5A79" w:rsidP="00967CF8">
      <w:pPr>
        <w:pStyle w:val="Heading3"/>
        <w:rPr>
          <w:lang w:val="en-US"/>
        </w:rPr>
      </w:pPr>
      <w:r w:rsidRPr="009C5807">
        <w:rPr>
          <w:lang w:val="en-US"/>
        </w:rPr>
        <w:t>1</w:t>
      </w:r>
      <w:r w:rsidR="00967CF8" w:rsidRPr="009C5807">
        <w:rPr>
          <w:lang w:val="en-US"/>
        </w:rPr>
        <w:t>0.1.3</w:t>
      </w:r>
      <w:r w:rsidRPr="009C5807">
        <w:rPr>
          <w:lang w:val="en-US"/>
        </w:rPr>
        <w:tab/>
        <w:t>Intra-frequency RSRP accuracy requirements for FR2</w:t>
      </w:r>
    </w:p>
    <w:p w14:paraId="55C12630" w14:textId="35005BC9" w:rsidR="001F5A79" w:rsidRPr="009C5807" w:rsidRDefault="001F5A79" w:rsidP="00967CF8">
      <w:pPr>
        <w:pStyle w:val="Heading4"/>
        <w:rPr>
          <w:lang w:val="en-US"/>
        </w:rPr>
      </w:pPr>
      <w:r w:rsidRPr="009C5807">
        <w:rPr>
          <w:lang w:val="en-US"/>
        </w:rPr>
        <w:t>1</w:t>
      </w:r>
      <w:r w:rsidR="00967CF8" w:rsidRPr="009C5807">
        <w:rPr>
          <w:lang w:val="en-US"/>
        </w:rPr>
        <w:t>0.1.3.1</w:t>
      </w:r>
      <w:r w:rsidRPr="009C5807">
        <w:rPr>
          <w:lang w:val="en-US"/>
        </w:rPr>
        <w:tab/>
        <w:t>Intra-frequency SS-RSRP accuracy requirements</w:t>
      </w:r>
    </w:p>
    <w:p w14:paraId="6DE2F29A" w14:textId="510C7356" w:rsidR="001F5A79" w:rsidRPr="009C5807" w:rsidRDefault="001F5A79" w:rsidP="00967CF8">
      <w:pPr>
        <w:pStyle w:val="Heading5"/>
      </w:pPr>
      <w:r w:rsidRPr="009C5807">
        <w:t>1</w:t>
      </w:r>
      <w:r w:rsidR="00967CF8" w:rsidRPr="009C5807">
        <w:t>0.1.3.1.1</w:t>
      </w:r>
      <w:r w:rsidRPr="009C5807">
        <w:tab/>
        <w:t xml:space="preserve">Absolute </w:t>
      </w:r>
      <w:r w:rsidRPr="009C5807">
        <w:rPr>
          <w:lang w:val="en-US"/>
        </w:rPr>
        <w:t xml:space="preserve">SS-RSRP </w:t>
      </w:r>
      <w:r w:rsidRPr="009C5807">
        <w:t>Accuracy</w:t>
      </w:r>
    </w:p>
    <w:p w14:paraId="3681DEC1" w14:textId="77777777" w:rsidR="001F5A79" w:rsidRPr="009C5807" w:rsidRDefault="001F5A79" w:rsidP="001F5A79">
      <w:pPr>
        <w:rPr>
          <w:rFonts w:cs="v4.2.0"/>
          <w:i/>
        </w:rPr>
      </w:pPr>
      <w:r w:rsidRPr="009C5807">
        <w:rPr>
          <w:rFonts w:cs="v4.2.0"/>
        </w:rPr>
        <w:t xml:space="preserve">Unless otherwise specified, the requirements for absolute accuracy of </w:t>
      </w:r>
      <w:r w:rsidRPr="009C5807">
        <w:rPr>
          <w:rFonts w:cs="v4.2.0"/>
          <w:lang w:eastAsia="zh-CN"/>
        </w:rPr>
        <w:t>SS-RSRP</w:t>
      </w:r>
      <w:r w:rsidRPr="009C5807">
        <w:rPr>
          <w:rFonts w:cs="v4.2.0"/>
        </w:rPr>
        <w:t xml:space="preserve"> in this clause apply to a cell on the same frequency as that of the serving cell in FR2.</w:t>
      </w:r>
    </w:p>
    <w:p w14:paraId="2F4B5FAA"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10.1.3.1.1</w:t>
      </w:r>
      <w:r w:rsidRPr="009C5807">
        <w:rPr>
          <w:rFonts w:cs="v4.2.0"/>
        </w:rPr>
        <w:t>-1 are valid under the following conditions:</w:t>
      </w:r>
    </w:p>
    <w:p w14:paraId="79A1D685" w14:textId="77777777" w:rsidR="001F5A79" w:rsidRPr="009C5807" w:rsidRDefault="001F5A79" w:rsidP="009C5807">
      <w:pPr>
        <w:pStyle w:val="B10"/>
        <w:rPr>
          <w:lang w:eastAsia="zh-CN"/>
        </w:rPr>
      </w:pPr>
      <w:r w:rsidRPr="009C5807">
        <w:t>-</w:t>
      </w:r>
      <w:r w:rsidRPr="009C5807">
        <w:tab/>
        <w:t>Conditions defined in clause 7.3 of TS 38.101-2 [19] for reference sensitivity are fulfilled.</w:t>
      </w:r>
    </w:p>
    <w:p w14:paraId="50AF9D62" w14:textId="77777777" w:rsidR="001F5A79" w:rsidRPr="009C5807" w:rsidRDefault="001F5A79" w:rsidP="009C5807">
      <w:pPr>
        <w:pStyle w:val="B10"/>
      </w:pPr>
      <w:r w:rsidRPr="009C5807">
        <w:t>-</w:t>
      </w:r>
      <w:r w:rsidRPr="009C5807">
        <w:tab/>
        <w:t xml:space="preserve">Conditions for intra-frequency measurements are fulfilled according to Annex B.2.2 for a corresponding Band </w:t>
      </w:r>
      <w:r w:rsidRPr="009C5807">
        <w:rPr>
          <w:rFonts w:cs="v4.2.0"/>
          <w:lang w:eastAsia="ko-KR"/>
        </w:rPr>
        <w:t>for each relevant SSB</w:t>
      </w:r>
      <w:r w:rsidRPr="009C5807">
        <w:t>.</w:t>
      </w:r>
    </w:p>
    <w:p w14:paraId="7C35962F" w14:textId="77777777" w:rsidR="001F5A79" w:rsidRPr="009C5807" w:rsidRDefault="001F5A79" w:rsidP="009C5807">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2ECF8442" w14:textId="77777777" w:rsidR="001F5A79" w:rsidRPr="009C5807" w:rsidRDefault="001F5A79" w:rsidP="009C5807">
      <w:pPr>
        <w:pStyle w:val="TH"/>
      </w:pPr>
      <w:r w:rsidRPr="009C5807">
        <w:t>Table 10.1.</w:t>
      </w:r>
      <w:r w:rsidRPr="009C5807">
        <w:rPr>
          <w:lang w:eastAsia="zh-CN"/>
        </w:rPr>
        <w:t>3</w:t>
      </w:r>
      <w:r w:rsidRPr="009C5807">
        <w:t>.1.1-1: SS-RSRP Intra frequency absolute accuracy in FR2</w:t>
      </w:r>
    </w:p>
    <w:tbl>
      <w:tblPr>
        <w:tblW w:w="8789" w:type="dxa"/>
        <w:jc w:val="center"/>
        <w:tblLook w:val="01E0" w:firstRow="1" w:lastRow="1" w:firstColumn="1" w:lastColumn="1" w:noHBand="0" w:noVBand="0"/>
      </w:tblPr>
      <w:tblGrid>
        <w:gridCol w:w="1122"/>
        <w:gridCol w:w="1119"/>
        <w:gridCol w:w="1119"/>
        <w:gridCol w:w="1124"/>
        <w:gridCol w:w="1124"/>
        <w:gridCol w:w="1590"/>
        <w:gridCol w:w="1591"/>
      </w:tblGrid>
      <w:tr w:rsidR="001F5A79" w:rsidRPr="009C5807" w14:paraId="00066468" w14:textId="77777777" w:rsidTr="00D62BCA">
        <w:trPr>
          <w:jc w:val="center"/>
        </w:trPr>
        <w:tc>
          <w:tcPr>
            <w:tcW w:w="2241" w:type="dxa"/>
            <w:gridSpan w:val="2"/>
            <w:tcBorders>
              <w:top w:val="single" w:sz="6" w:space="0" w:color="auto"/>
              <w:left w:val="single" w:sz="4" w:space="0" w:color="auto"/>
              <w:right w:val="single" w:sz="6" w:space="0" w:color="auto"/>
            </w:tcBorders>
            <w:shd w:val="clear" w:color="auto" w:fill="auto"/>
            <w:vAlign w:val="center"/>
          </w:tcPr>
          <w:p w14:paraId="6A11A321" w14:textId="77777777" w:rsidR="001F5A79" w:rsidRPr="009C5807" w:rsidRDefault="001F5A79" w:rsidP="008B5C3E">
            <w:pPr>
              <w:pStyle w:val="TAH"/>
            </w:pPr>
            <w:r w:rsidRPr="009C5807">
              <w:t>Accuracy</w:t>
            </w:r>
          </w:p>
        </w:tc>
        <w:tc>
          <w:tcPr>
            <w:tcW w:w="6548" w:type="dxa"/>
            <w:gridSpan w:val="5"/>
            <w:tcBorders>
              <w:top w:val="single" w:sz="4" w:space="0" w:color="auto"/>
              <w:left w:val="single" w:sz="4" w:space="0" w:color="auto"/>
              <w:right w:val="single" w:sz="4" w:space="0" w:color="auto"/>
            </w:tcBorders>
            <w:vAlign w:val="center"/>
          </w:tcPr>
          <w:p w14:paraId="41AC09F2" w14:textId="77777777" w:rsidR="001F5A79" w:rsidRPr="009C5807" w:rsidRDefault="001F5A79" w:rsidP="008B5C3E">
            <w:pPr>
              <w:pStyle w:val="TAH"/>
            </w:pPr>
            <w:r w:rsidRPr="009C5807">
              <w:t>Conditions</w:t>
            </w:r>
          </w:p>
        </w:tc>
      </w:tr>
      <w:tr w:rsidR="001F5A79" w:rsidRPr="009C5807" w14:paraId="6E65E819" w14:textId="77777777" w:rsidTr="00D62BCA">
        <w:trPr>
          <w:jc w:val="center"/>
        </w:trPr>
        <w:tc>
          <w:tcPr>
            <w:tcW w:w="1122" w:type="dxa"/>
            <w:tcBorders>
              <w:top w:val="single" w:sz="6" w:space="0" w:color="auto"/>
              <w:left w:val="single" w:sz="4" w:space="0" w:color="auto"/>
              <w:right w:val="single" w:sz="6" w:space="0" w:color="auto"/>
            </w:tcBorders>
            <w:shd w:val="clear" w:color="auto" w:fill="auto"/>
            <w:vAlign w:val="center"/>
          </w:tcPr>
          <w:p w14:paraId="104694F1" w14:textId="77777777" w:rsidR="001F5A79" w:rsidRPr="009C5807" w:rsidRDefault="001F5A79" w:rsidP="008B5C3E">
            <w:pPr>
              <w:pStyle w:val="TAH"/>
            </w:pPr>
            <w:r w:rsidRPr="009C5807">
              <w:t>Normal condition</w:t>
            </w:r>
          </w:p>
        </w:tc>
        <w:tc>
          <w:tcPr>
            <w:tcW w:w="1119" w:type="dxa"/>
            <w:tcBorders>
              <w:top w:val="single" w:sz="6" w:space="0" w:color="auto"/>
              <w:left w:val="single" w:sz="6" w:space="0" w:color="auto"/>
              <w:right w:val="single" w:sz="6" w:space="0" w:color="auto"/>
            </w:tcBorders>
            <w:shd w:val="clear" w:color="auto" w:fill="auto"/>
            <w:vAlign w:val="center"/>
          </w:tcPr>
          <w:p w14:paraId="7ECCAD00" w14:textId="77777777" w:rsidR="001F5A79" w:rsidRPr="009C5807" w:rsidRDefault="001F5A79" w:rsidP="008B5C3E">
            <w:pPr>
              <w:pStyle w:val="TAH"/>
            </w:pPr>
            <w:r w:rsidRPr="009C5807">
              <w:t>Extreme condition</w:t>
            </w:r>
          </w:p>
        </w:tc>
        <w:tc>
          <w:tcPr>
            <w:tcW w:w="1119" w:type="dxa"/>
            <w:tcBorders>
              <w:top w:val="single" w:sz="4" w:space="0" w:color="auto"/>
              <w:left w:val="single" w:sz="4" w:space="0" w:color="auto"/>
              <w:right w:val="single" w:sz="4" w:space="0" w:color="auto"/>
            </w:tcBorders>
          </w:tcPr>
          <w:p w14:paraId="0D15E37D" w14:textId="77777777" w:rsidR="001F5A79" w:rsidRPr="009C5807" w:rsidRDefault="001F5A79" w:rsidP="008B5C3E">
            <w:pPr>
              <w:pStyle w:val="TAH"/>
            </w:pPr>
            <w:r w:rsidRPr="009C5807">
              <w:rPr>
                <w:rFonts w:cs="Arial"/>
              </w:rPr>
              <w:t>SSB Ês/Iot</w:t>
            </w:r>
          </w:p>
        </w:tc>
        <w:tc>
          <w:tcPr>
            <w:tcW w:w="5429" w:type="dxa"/>
            <w:gridSpan w:val="4"/>
            <w:tcBorders>
              <w:top w:val="single" w:sz="4" w:space="0" w:color="auto"/>
              <w:left w:val="single" w:sz="4" w:space="0" w:color="auto"/>
              <w:bottom w:val="single" w:sz="6" w:space="0" w:color="auto"/>
              <w:right w:val="single" w:sz="4" w:space="0" w:color="auto"/>
            </w:tcBorders>
            <w:shd w:val="clear" w:color="auto" w:fill="auto"/>
            <w:vAlign w:val="center"/>
          </w:tcPr>
          <w:p w14:paraId="1BC4F7DF" w14:textId="77777777" w:rsidR="001F5A79" w:rsidRPr="009C5807" w:rsidRDefault="001F5A79" w:rsidP="008B5C3E">
            <w:pPr>
              <w:pStyle w:val="TAH"/>
            </w:pPr>
            <w:r w:rsidRPr="009C5807">
              <w:t>Io</w:t>
            </w:r>
            <w:r w:rsidRPr="009C5807">
              <w:rPr>
                <w:vertAlign w:val="superscript"/>
              </w:rPr>
              <w:t xml:space="preserve"> Note 2</w:t>
            </w:r>
            <w:r w:rsidRPr="009C5807">
              <w:t xml:space="preserve"> range</w:t>
            </w:r>
          </w:p>
        </w:tc>
      </w:tr>
      <w:tr w:rsidR="001F5A79" w:rsidRPr="009C5807" w14:paraId="15DB0AF2" w14:textId="77777777" w:rsidTr="00D62BCA">
        <w:trPr>
          <w:jc w:val="center"/>
        </w:trPr>
        <w:tc>
          <w:tcPr>
            <w:tcW w:w="1122" w:type="dxa"/>
            <w:tcBorders>
              <w:left w:val="single" w:sz="4" w:space="0" w:color="auto"/>
              <w:bottom w:val="single" w:sz="6" w:space="0" w:color="auto"/>
              <w:right w:val="single" w:sz="6" w:space="0" w:color="auto"/>
            </w:tcBorders>
            <w:shd w:val="clear" w:color="auto" w:fill="auto"/>
            <w:vAlign w:val="center"/>
          </w:tcPr>
          <w:p w14:paraId="5685E8DD" w14:textId="77777777" w:rsidR="001F5A79" w:rsidRPr="009C5807" w:rsidRDefault="001F5A79" w:rsidP="008B5C3E">
            <w:pPr>
              <w:pStyle w:val="TAH"/>
            </w:pPr>
          </w:p>
        </w:tc>
        <w:tc>
          <w:tcPr>
            <w:tcW w:w="1119" w:type="dxa"/>
            <w:tcBorders>
              <w:left w:val="single" w:sz="6" w:space="0" w:color="auto"/>
              <w:bottom w:val="single" w:sz="6" w:space="0" w:color="auto"/>
              <w:right w:val="single" w:sz="6" w:space="0" w:color="auto"/>
            </w:tcBorders>
            <w:shd w:val="clear" w:color="auto" w:fill="auto"/>
            <w:vAlign w:val="center"/>
          </w:tcPr>
          <w:p w14:paraId="6A4341C5" w14:textId="77777777" w:rsidR="001F5A79" w:rsidRPr="009C5807" w:rsidRDefault="001F5A79" w:rsidP="008B5C3E">
            <w:pPr>
              <w:pStyle w:val="TAH"/>
            </w:pPr>
          </w:p>
        </w:tc>
        <w:tc>
          <w:tcPr>
            <w:tcW w:w="1119" w:type="dxa"/>
            <w:tcBorders>
              <w:left w:val="single" w:sz="4" w:space="0" w:color="auto"/>
              <w:bottom w:val="single" w:sz="6" w:space="0" w:color="auto"/>
              <w:right w:val="single" w:sz="4" w:space="0" w:color="auto"/>
            </w:tcBorders>
            <w:vAlign w:val="center"/>
          </w:tcPr>
          <w:p w14:paraId="313F1A74" w14:textId="77777777" w:rsidR="001F5A79" w:rsidRPr="009C5807" w:rsidRDefault="001F5A79" w:rsidP="008B5C3E">
            <w:pPr>
              <w:pStyle w:val="TAH"/>
            </w:pPr>
          </w:p>
        </w:tc>
        <w:tc>
          <w:tcPr>
            <w:tcW w:w="383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5CE69F98" w14:textId="77777777" w:rsidR="001F5A79" w:rsidRPr="009C5807" w:rsidRDefault="001F5A79" w:rsidP="008B5C3E">
            <w:pPr>
              <w:pStyle w:val="TAH"/>
            </w:pPr>
            <w:r w:rsidRPr="009C5807">
              <w:t>Minimum Io</w:t>
            </w:r>
          </w:p>
        </w:tc>
        <w:tc>
          <w:tcPr>
            <w:tcW w:w="1591" w:type="dxa"/>
            <w:tcBorders>
              <w:top w:val="single" w:sz="4" w:space="0" w:color="auto"/>
              <w:left w:val="single" w:sz="6" w:space="0" w:color="auto"/>
              <w:bottom w:val="single" w:sz="6" w:space="0" w:color="auto"/>
              <w:right w:val="single" w:sz="4" w:space="0" w:color="auto"/>
            </w:tcBorders>
            <w:shd w:val="clear" w:color="auto" w:fill="auto"/>
            <w:vAlign w:val="center"/>
          </w:tcPr>
          <w:p w14:paraId="168560B0" w14:textId="77777777" w:rsidR="001F5A79" w:rsidRPr="009C5807" w:rsidRDefault="001F5A79" w:rsidP="008B5C3E">
            <w:pPr>
              <w:pStyle w:val="TAH"/>
            </w:pPr>
            <w:r w:rsidRPr="009C5807">
              <w:t>Maximum Io</w:t>
            </w:r>
          </w:p>
        </w:tc>
      </w:tr>
      <w:tr w:rsidR="001F5A79" w:rsidRPr="009C5807" w14:paraId="64845ED8" w14:textId="77777777" w:rsidTr="00D62BCA">
        <w:trPr>
          <w:jc w:val="center"/>
        </w:trPr>
        <w:tc>
          <w:tcPr>
            <w:tcW w:w="1122" w:type="dxa"/>
            <w:tcBorders>
              <w:top w:val="single" w:sz="6" w:space="0" w:color="auto"/>
              <w:left w:val="single" w:sz="4" w:space="0" w:color="auto"/>
              <w:right w:val="single" w:sz="6" w:space="0" w:color="auto"/>
            </w:tcBorders>
            <w:shd w:val="clear" w:color="auto" w:fill="auto"/>
            <w:vAlign w:val="center"/>
          </w:tcPr>
          <w:p w14:paraId="0F3F9293" w14:textId="77777777" w:rsidR="001F5A79" w:rsidRPr="009C5807" w:rsidRDefault="001F5A79" w:rsidP="008B5C3E">
            <w:pPr>
              <w:pStyle w:val="TAH"/>
            </w:pPr>
            <w:r w:rsidRPr="009C5807">
              <w:t>dB</w:t>
            </w:r>
          </w:p>
        </w:tc>
        <w:tc>
          <w:tcPr>
            <w:tcW w:w="1119" w:type="dxa"/>
            <w:tcBorders>
              <w:top w:val="single" w:sz="6" w:space="0" w:color="auto"/>
              <w:left w:val="single" w:sz="6" w:space="0" w:color="auto"/>
              <w:right w:val="single" w:sz="6" w:space="0" w:color="auto"/>
            </w:tcBorders>
            <w:shd w:val="clear" w:color="auto" w:fill="auto"/>
            <w:vAlign w:val="center"/>
          </w:tcPr>
          <w:p w14:paraId="14E6CEC6" w14:textId="77777777" w:rsidR="001F5A79" w:rsidRPr="009C5807" w:rsidRDefault="001F5A79" w:rsidP="008B5C3E">
            <w:pPr>
              <w:pStyle w:val="TAH"/>
            </w:pPr>
            <w:r w:rsidRPr="009C5807">
              <w:t>dB</w:t>
            </w:r>
          </w:p>
        </w:tc>
        <w:tc>
          <w:tcPr>
            <w:tcW w:w="1119" w:type="dxa"/>
            <w:tcBorders>
              <w:top w:val="single" w:sz="6" w:space="0" w:color="auto"/>
              <w:left w:val="single" w:sz="4" w:space="0" w:color="auto"/>
              <w:right w:val="single" w:sz="4" w:space="0" w:color="auto"/>
            </w:tcBorders>
            <w:vAlign w:val="center"/>
          </w:tcPr>
          <w:p w14:paraId="75972C56" w14:textId="77777777" w:rsidR="001F5A79" w:rsidRPr="009C5807" w:rsidRDefault="001F5A79" w:rsidP="008B5C3E">
            <w:pPr>
              <w:pStyle w:val="TAH"/>
              <w:rPr>
                <w:rFonts w:cs="Arial"/>
              </w:rPr>
            </w:pPr>
            <w:r w:rsidRPr="009C5807">
              <w:t>dB</w:t>
            </w:r>
          </w:p>
        </w:tc>
        <w:tc>
          <w:tcPr>
            <w:tcW w:w="22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438CD81A" w14:textId="77777777" w:rsidR="001F5A79" w:rsidRPr="009C5807" w:rsidRDefault="001F5A79" w:rsidP="008B5C3E">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1590" w:type="dxa"/>
            <w:tcBorders>
              <w:top w:val="single" w:sz="6" w:space="0" w:color="auto"/>
              <w:left w:val="single" w:sz="6" w:space="0" w:color="auto"/>
              <w:right w:val="single" w:sz="6" w:space="0" w:color="auto"/>
            </w:tcBorders>
            <w:shd w:val="clear" w:color="auto" w:fill="auto"/>
            <w:vAlign w:val="center"/>
          </w:tcPr>
          <w:p w14:paraId="0D4B36D7" w14:textId="77777777" w:rsidR="001F5A79" w:rsidRPr="009C5807" w:rsidRDefault="001F5A79" w:rsidP="008B5C3E">
            <w:pPr>
              <w:pStyle w:val="TAH"/>
            </w:pPr>
            <w:r w:rsidRPr="009C5807">
              <w:t>dBm/BW</w:t>
            </w:r>
            <w:r w:rsidRPr="009C5807">
              <w:rPr>
                <w:vertAlign w:val="subscript"/>
              </w:rPr>
              <w:t>Channel</w:t>
            </w:r>
          </w:p>
        </w:tc>
        <w:tc>
          <w:tcPr>
            <w:tcW w:w="1591" w:type="dxa"/>
            <w:tcBorders>
              <w:top w:val="single" w:sz="6" w:space="0" w:color="auto"/>
              <w:left w:val="single" w:sz="6" w:space="0" w:color="auto"/>
              <w:right w:val="single" w:sz="4" w:space="0" w:color="auto"/>
            </w:tcBorders>
            <w:shd w:val="clear" w:color="auto" w:fill="auto"/>
            <w:vAlign w:val="center"/>
          </w:tcPr>
          <w:p w14:paraId="19837DF8" w14:textId="77777777" w:rsidR="001F5A79" w:rsidRPr="009C5807" w:rsidRDefault="001F5A79" w:rsidP="008B5C3E">
            <w:pPr>
              <w:pStyle w:val="TAH"/>
            </w:pPr>
            <w:r w:rsidRPr="009C5807">
              <w:t>dBm/BW</w:t>
            </w:r>
            <w:r w:rsidRPr="009C5807">
              <w:rPr>
                <w:vertAlign w:val="subscript"/>
              </w:rPr>
              <w:t>Channel</w:t>
            </w:r>
          </w:p>
        </w:tc>
      </w:tr>
      <w:tr w:rsidR="001F5A79" w:rsidRPr="009C5807" w14:paraId="4D1B2CBE" w14:textId="77777777" w:rsidTr="00D62BCA">
        <w:trPr>
          <w:jc w:val="center"/>
        </w:trPr>
        <w:tc>
          <w:tcPr>
            <w:tcW w:w="1122" w:type="dxa"/>
            <w:tcBorders>
              <w:left w:val="single" w:sz="4" w:space="0" w:color="auto"/>
              <w:bottom w:val="single" w:sz="6" w:space="0" w:color="auto"/>
              <w:right w:val="single" w:sz="6" w:space="0" w:color="auto"/>
            </w:tcBorders>
            <w:shd w:val="clear" w:color="auto" w:fill="auto"/>
            <w:vAlign w:val="center"/>
          </w:tcPr>
          <w:p w14:paraId="453776CF" w14:textId="77777777" w:rsidR="001F5A79" w:rsidRPr="009C5807" w:rsidRDefault="001F5A79" w:rsidP="008B5C3E">
            <w:pPr>
              <w:pStyle w:val="TAH"/>
            </w:pPr>
          </w:p>
        </w:tc>
        <w:tc>
          <w:tcPr>
            <w:tcW w:w="1119" w:type="dxa"/>
            <w:tcBorders>
              <w:left w:val="single" w:sz="6" w:space="0" w:color="auto"/>
              <w:bottom w:val="single" w:sz="6" w:space="0" w:color="auto"/>
              <w:right w:val="single" w:sz="6" w:space="0" w:color="auto"/>
            </w:tcBorders>
            <w:shd w:val="clear" w:color="auto" w:fill="auto"/>
            <w:vAlign w:val="center"/>
          </w:tcPr>
          <w:p w14:paraId="7BD5C414" w14:textId="77777777" w:rsidR="001F5A79" w:rsidRPr="009C5807" w:rsidRDefault="001F5A79" w:rsidP="008B5C3E">
            <w:pPr>
              <w:pStyle w:val="TAH"/>
            </w:pPr>
          </w:p>
        </w:tc>
        <w:tc>
          <w:tcPr>
            <w:tcW w:w="1119" w:type="dxa"/>
            <w:tcBorders>
              <w:left w:val="single" w:sz="4" w:space="0" w:color="auto"/>
              <w:bottom w:val="single" w:sz="6" w:space="0" w:color="auto"/>
              <w:right w:val="single" w:sz="4" w:space="0" w:color="auto"/>
            </w:tcBorders>
          </w:tcPr>
          <w:p w14:paraId="52D02E26" w14:textId="77777777" w:rsidR="001F5A79" w:rsidRPr="009C5807" w:rsidRDefault="001F5A79" w:rsidP="008B5C3E">
            <w:pPr>
              <w:pStyle w:val="TAH"/>
            </w:pPr>
          </w:p>
        </w:tc>
        <w:tc>
          <w:tcPr>
            <w:tcW w:w="1124" w:type="dxa"/>
            <w:tcBorders>
              <w:top w:val="single" w:sz="6" w:space="0" w:color="auto"/>
              <w:left w:val="single" w:sz="4" w:space="0" w:color="auto"/>
              <w:bottom w:val="single" w:sz="6" w:space="0" w:color="auto"/>
              <w:right w:val="single" w:sz="6" w:space="0" w:color="auto"/>
            </w:tcBorders>
            <w:shd w:val="clear" w:color="auto" w:fill="auto"/>
            <w:vAlign w:val="center"/>
          </w:tcPr>
          <w:p w14:paraId="17873D73" w14:textId="77777777" w:rsidR="001F5A79" w:rsidRPr="009C5807" w:rsidRDefault="001F5A79" w:rsidP="008B5C3E">
            <w:pPr>
              <w:pStyle w:val="TAH"/>
            </w:pPr>
            <w:r w:rsidRPr="009C5807">
              <w:t>SCS</w:t>
            </w:r>
            <w:r w:rsidRPr="009C5807">
              <w:rPr>
                <w:vertAlign w:val="subscript"/>
              </w:rPr>
              <w:t>SSB</w:t>
            </w:r>
            <w:r w:rsidRPr="009C5807">
              <w:rPr>
                <w:rFonts w:cs="Arial"/>
              </w:rPr>
              <w:t xml:space="preserve"> = 120kHz</w:t>
            </w:r>
          </w:p>
        </w:tc>
        <w:tc>
          <w:tcPr>
            <w:tcW w:w="1124" w:type="dxa"/>
            <w:tcBorders>
              <w:top w:val="single" w:sz="6" w:space="0" w:color="auto"/>
              <w:left w:val="single" w:sz="4" w:space="0" w:color="auto"/>
              <w:bottom w:val="single" w:sz="6" w:space="0" w:color="auto"/>
              <w:right w:val="single" w:sz="6" w:space="0" w:color="auto"/>
            </w:tcBorders>
            <w:shd w:val="clear" w:color="auto" w:fill="auto"/>
            <w:vAlign w:val="center"/>
          </w:tcPr>
          <w:p w14:paraId="3A4D2FDB" w14:textId="77777777" w:rsidR="001F5A79" w:rsidRPr="009C5807" w:rsidRDefault="001F5A79" w:rsidP="008B5C3E">
            <w:pPr>
              <w:pStyle w:val="TAH"/>
            </w:pPr>
            <w:r w:rsidRPr="009C5807">
              <w:t>SCS</w:t>
            </w:r>
            <w:r w:rsidRPr="009C5807">
              <w:rPr>
                <w:vertAlign w:val="subscript"/>
              </w:rPr>
              <w:t>SSB</w:t>
            </w:r>
            <w:r w:rsidRPr="009C5807">
              <w:rPr>
                <w:rFonts w:cs="Arial"/>
              </w:rPr>
              <w:t xml:space="preserve"> = 240kHz</w:t>
            </w:r>
          </w:p>
        </w:tc>
        <w:tc>
          <w:tcPr>
            <w:tcW w:w="1590" w:type="dxa"/>
            <w:tcBorders>
              <w:left w:val="single" w:sz="6" w:space="0" w:color="auto"/>
              <w:bottom w:val="single" w:sz="6" w:space="0" w:color="auto"/>
              <w:right w:val="single" w:sz="6" w:space="0" w:color="auto"/>
            </w:tcBorders>
            <w:shd w:val="clear" w:color="auto" w:fill="auto"/>
            <w:vAlign w:val="center"/>
          </w:tcPr>
          <w:p w14:paraId="3E31BE8C" w14:textId="77777777" w:rsidR="001F5A79" w:rsidRPr="009C5807" w:rsidRDefault="001F5A79" w:rsidP="008B5C3E">
            <w:pPr>
              <w:pStyle w:val="TAH"/>
            </w:pPr>
          </w:p>
        </w:tc>
        <w:tc>
          <w:tcPr>
            <w:tcW w:w="1591" w:type="dxa"/>
            <w:tcBorders>
              <w:left w:val="single" w:sz="6" w:space="0" w:color="auto"/>
              <w:bottom w:val="single" w:sz="6" w:space="0" w:color="auto"/>
              <w:right w:val="single" w:sz="4" w:space="0" w:color="auto"/>
            </w:tcBorders>
            <w:shd w:val="clear" w:color="auto" w:fill="auto"/>
            <w:vAlign w:val="center"/>
          </w:tcPr>
          <w:p w14:paraId="1567E079" w14:textId="77777777" w:rsidR="001F5A79" w:rsidRPr="009C5807" w:rsidRDefault="001F5A79" w:rsidP="008B5C3E">
            <w:pPr>
              <w:pStyle w:val="TAH"/>
            </w:pPr>
          </w:p>
        </w:tc>
      </w:tr>
      <w:tr w:rsidR="00D62BCA" w:rsidRPr="009C5807" w14:paraId="0E0E7582" w14:textId="77777777" w:rsidTr="00D62BCA">
        <w:trPr>
          <w:jc w:val="center"/>
        </w:trPr>
        <w:tc>
          <w:tcPr>
            <w:tcW w:w="1122" w:type="dxa"/>
            <w:tcBorders>
              <w:top w:val="single" w:sz="6" w:space="0" w:color="auto"/>
              <w:left w:val="single" w:sz="4" w:space="0" w:color="auto"/>
              <w:right w:val="single" w:sz="6" w:space="0" w:color="auto"/>
            </w:tcBorders>
            <w:shd w:val="clear" w:color="auto" w:fill="auto"/>
            <w:vAlign w:val="center"/>
          </w:tcPr>
          <w:p w14:paraId="26904400" w14:textId="465BDB98" w:rsidR="00D62BCA" w:rsidRPr="009C5807" w:rsidRDefault="00D62BCA" w:rsidP="008B5C3E">
            <w:pPr>
              <w:pStyle w:val="TAC"/>
            </w:pPr>
            <w:r w:rsidRPr="009C5807">
              <w:sym w:font="Symbol" w:char="F0B1"/>
            </w:r>
            <w:r w:rsidRPr="009C5807">
              <w:t>6</w:t>
            </w:r>
          </w:p>
        </w:tc>
        <w:tc>
          <w:tcPr>
            <w:tcW w:w="1119" w:type="dxa"/>
            <w:tcBorders>
              <w:top w:val="single" w:sz="6" w:space="0" w:color="auto"/>
              <w:left w:val="single" w:sz="6" w:space="0" w:color="auto"/>
              <w:right w:val="single" w:sz="6" w:space="0" w:color="auto"/>
            </w:tcBorders>
            <w:shd w:val="clear" w:color="auto" w:fill="auto"/>
            <w:vAlign w:val="center"/>
          </w:tcPr>
          <w:p w14:paraId="078D78B7" w14:textId="36388FAA" w:rsidR="00D62BCA" w:rsidRPr="009C5807" w:rsidRDefault="00D62BCA" w:rsidP="008B5C3E">
            <w:pPr>
              <w:pStyle w:val="TAC"/>
            </w:pPr>
            <w:r w:rsidRPr="009C5807">
              <w:sym w:font="Symbol" w:char="F0B1"/>
            </w:r>
            <w:r w:rsidRPr="009C5807">
              <w:t>9</w:t>
            </w:r>
          </w:p>
        </w:tc>
        <w:tc>
          <w:tcPr>
            <w:tcW w:w="1119" w:type="dxa"/>
            <w:tcBorders>
              <w:top w:val="single" w:sz="6" w:space="0" w:color="auto"/>
              <w:left w:val="single" w:sz="4" w:space="0" w:color="auto"/>
              <w:right w:val="single" w:sz="4" w:space="0" w:color="auto"/>
            </w:tcBorders>
            <w:vAlign w:val="center"/>
          </w:tcPr>
          <w:p w14:paraId="595CA73F" w14:textId="77777777" w:rsidR="00D62BCA" w:rsidRPr="009C5807" w:rsidRDefault="00D62BCA" w:rsidP="008B5C3E">
            <w:pPr>
              <w:pStyle w:val="TAC"/>
            </w:pPr>
            <w:r w:rsidRPr="009C5807">
              <w:rPr>
                <w:rFonts w:eastAsia="Yu Mincho" w:cs="Arial"/>
                <w:lang w:eastAsia="ja-JP"/>
              </w:rPr>
              <w:t>≥-6</w:t>
            </w:r>
          </w:p>
        </w:tc>
        <w:tc>
          <w:tcPr>
            <w:tcW w:w="22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52890084" w14:textId="77777777" w:rsidR="00D62BCA" w:rsidRPr="009C5807" w:rsidRDefault="00D62BCA" w:rsidP="008B5C3E">
            <w:pPr>
              <w:pStyle w:val="TAC"/>
              <w:rPr>
                <w:rFonts w:eastAsia="Yu Mincho"/>
                <w:lang w:eastAsia="ja-JP"/>
              </w:rPr>
            </w:pPr>
            <w:r w:rsidRPr="009C5807">
              <w:t>Same value as SSB_RP in Table B.2.2-2, according to UE Power class, operating band and angle of arrival</w:t>
            </w:r>
          </w:p>
        </w:tc>
        <w:tc>
          <w:tcPr>
            <w:tcW w:w="1590" w:type="dxa"/>
            <w:tcBorders>
              <w:top w:val="single" w:sz="6" w:space="0" w:color="auto"/>
              <w:left w:val="single" w:sz="6" w:space="0" w:color="auto"/>
              <w:bottom w:val="single" w:sz="6" w:space="0" w:color="auto"/>
              <w:right w:val="single" w:sz="6" w:space="0" w:color="auto"/>
            </w:tcBorders>
            <w:shd w:val="clear" w:color="auto" w:fill="auto"/>
            <w:vAlign w:val="center"/>
          </w:tcPr>
          <w:p w14:paraId="6CE59F9E" w14:textId="77777777" w:rsidR="00D62BCA" w:rsidRPr="009C5807" w:rsidRDefault="00D62BCA" w:rsidP="008B5C3E">
            <w:pPr>
              <w:pStyle w:val="TAC"/>
            </w:pPr>
            <w:r w:rsidRPr="009C5807">
              <w:rPr>
                <w:lang w:eastAsia="zh-CN"/>
              </w:rPr>
              <w:t>N/A</w:t>
            </w:r>
          </w:p>
        </w:tc>
        <w:tc>
          <w:tcPr>
            <w:tcW w:w="1591" w:type="dxa"/>
            <w:tcBorders>
              <w:top w:val="single" w:sz="6" w:space="0" w:color="auto"/>
              <w:left w:val="single" w:sz="6" w:space="0" w:color="auto"/>
              <w:bottom w:val="single" w:sz="6" w:space="0" w:color="auto"/>
              <w:right w:val="single" w:sz="4" w:space="0" w:color="auto"/>
            </w:tcBorders>
            <w:shd w:val="clear" w:color="auto" w:fill="auto"/>
            <w:vAlign w:val="center"/>
          </w:tcPr>
          <w:p w14:paraId="40295E2B" w14:textId="77777777" w:rsidR="00D62BCA" w:rsidRPr="009C5807" w:rsidRDefault="00D62BCA" w:rsidP="008B5C3E">
            <w:pPr>
              <w:pStyle w:val="TAC"/>
            </w:pPr>
            <w:r w:rsidRPr="009C5807">
              <w:t>-70</w:t>
            </w:r>
          </w:p>
        </w:tc>
      </w:tr>
      <w:tr w:rsidR="00D62BCA" w:rsidRPr="009C5807" w14:paraId="6C715FEE" w14:textId="77777777" w:rsidTr="00D62BCA">
        <w:trPr>
          <w:jc w:val="center"/>
        </w:trPr>
        <w:tc>
          <w:tcPr>
            <w:tcW w:w="1122" w:type="dxa"/>
            <w:tcBorders>
              <w:top w:val="single" w:sz="6" w:space="0" w:color="auto"/>
              <w:left w:val="single" w:sz="4" w:space="0" w:color="auto"/>
              <w:bottom w:val="single" w:sz="6" w:space="0" w:color="auto"/>
              <w:right w:val="single" w:sz="6" w:space="0" w:color="auto"/>
            </w:tcBorders>
            <w:shd w:val="clear" w:color="auto" w:fill="auto"/>
            <w:vAlign w:val="center"/>
          </w:tcPr>
          <w:p w14:paraId="5BBEC68E" w14:textId="2A692F45" w:rsidR="00D62BCA" w:rsidRPr="009C5807" w:rsidRDefault="00D62BCA" w:rsidP="008B5C3E">
            <w:pPr>
              <w:pStyle w:val="TAC"/>
            </w:pPr>
            <w:r w:rsidRPr="009C5807">
              <w:sym w:font="Symbol" w:char="F0B1"/>
            </w:r>
            <w:r w:rsidRPr="009C5807">
              <w:t>8</w:t>
            </w:r>
          </w:p>
        </w:tc>
        <w:tc>
          <w:tcPr>
            <w:tcW w:w="1119" w:type="dxa"/>
            <w:tcBorders>
              <w:top w:val="single" w:sz="6" w:space="0" w:color="auto"/>
              <w:left w:val="single" w:sz="6" w:space="0" w:color="auto"/>
              <w:bottom w:val="single" w:sz="6" w:space="0" w:color="auto"/>
              <w:right w:val="single" w:sz="6" w:space="0" w:color="auto"/>
            </w:tcBorders>
            <w:shd w:val="clear" w:color="auto" w:fill="auto"/>
            <w:vAlign w:val="center"/>
          </w:tcPr>
          <w:p w14:paraId="40D4169E" w14:textId="64A6BF42" w:rsidR="00D62BCA" w:rsidRPr="009C5807" w:rsidRDefault="00D62BCA" w:rsidP="008B5C3E">
            <w:pPr>
              <w:pStyle w:val="TAC"/>
            </w:pPr>
            <w:r w:rsidRPr="009C5807">
              <w:sym w:font="Symbol" w:char="F0B1"/>
            </w:r>
            <w:r w:rsidRPr="009C5807">
              <w:t>11</w:t>
            </w:r>
          </w:p>
        </w:tc>
        <w:tc>
          <w:tcPr>
            <w:tcW w:w="1119" w:type="dxa"/>
            <w:tcBorders>
              <w:left w:val="single" w:sz="4" w:space="0" w:color="auto"/>
              <w:right w:val="single" w:sz="4" w:space="0" w:color="auto"/>
            </w:tcBorders>
          </w:tcPr>
          <w:p w14:paraId="23748DDB" w14:textId="77777777" w:rsidR="00D62BCA" w:rsidRPr="009C5807" w:rsidRDefault="00D62BCA" w:rsidP="008B5C3E">
            <w:pPr>
              <w:pStyle w:val="TAC"/>
            </w:pPr>
          </w:p>
        </w:tc>
        <w:tc>
          <w:tcPr>
            <w:tcW w:w="22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4972D7F6" w14:textId="77777777" w:rsidR="00D62BCA" w:rsidRPr="009C5807" w:rsidRDefault="00D62BCA" w:rsidP="008B5C3E">
            <w:pPr>
              <w:pStyle w:val="TAC"/>
            </w:pPr>
            <w:r w:rsidRPr="009C5807">
              <w:t>N/A</w:t>
            </w:r>
          </w:p>
        </w:tc>
        <w:tc>
          <w:tcPr>
            <w:tcW w:w="1590" w:type="dxa"/>
            <w:tcBorders>
              <w:top w:val="single" w:sz="6" w:space="0" w:color="auto"/>
              <w:left w:val="single" w:sz="6" w:space="0" w:color="auto"/>
              <w:bottom w:val="single" w:sz="6" w:space="0" w:color="auto"/>
              <w:right w:val="single" w:sz="6" w:space="0" w:color="auto"/>
            </w:tcBorders>
            <w:shd w:val="clear" w:color="auto" w:fill="auto"/>
            <w:vAlign w:val="center"/>
          </w:tcPr>
          <w:p w14:paraId="55D3C432" w14:textId="77777777" w:rsidR="00D62BCA" w:rsidRPr="009C5807" w:rsidRDefault="00D62BCA" w:rsidP="008B5C3E">
            <w:pPr>
              <w:pStyle w:val="TAC"/>
            </w:pPr>
            <w:r w:rsidRPr="009C5807">
              <w:t>-70</w:t>
            </w:r>
          </w:p>
        </w:tc>
        <w:tc>
          <w:tcPr>
            <w:tcW w:w="1591" w:type="dxa"/>
            <w:tcBorders>
              <w:top w:val="single" w:sz="6" w:space="0" w:color="auto"/>
              <w:left w:val="single" w:sz="6" w:space="0" w:color="auto"/>
              <w:bottom w:val="single" w:sz="6" w:space="0" w:color="auto"/>
              <w:right w:val="single" w:sz="4" w:space="0" w:color="auto"/>
            </w:tcBorders>
            <w:shd w:val="clear" w:color="auto" w:fill="auto"/>
            <w:vAlign w:val="center"/>
          </w:tcPr>
          <w:p w14:paraId="381A851C" w14:textId="77777777" w:rsidR="00D62BCA" w:rsidRPr="009C5807" w:rsidRDefault="00D62BCA" w:rsidP="008B5C3E">
            <w:pPr>
              <w:pStyle w:val="TAC"/>
            </w:pPr>
            <w:r w:rsidRPr="009C5807">
              <w:t>-50</w:t>
            </w:r>
          </w:p>
        </w:tc>
      </w:tr>
      <w:tr w:rsidR="001F5A79" w:rsidRPr="009C5807" w14:paraId="1FF4AC6E" w14:textId="77777777" w:rsidTr="00D62BCA">
        <w:trPr>
          <w:jc w:val="center"/>
        </w:trPr>
        <w:tc>
          <w:tcPr>
            <w:tcW w:w="8789"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47A28B8" w14:textId="77777777" w:rsidR="001F5A79" w:rsidRPr="009C5807" w:rsidRDefault="001F5A79" w:rsidP="008B5C3E">
            <w:pPr>
              <w:pStyle w:val="TAN"/>
            </w:pPr>
            <w:r w:rsidRPr="009C5807">
              <w:t>Note 1:</w:t>
            </w:r>
            <w:r w:rsidRPr="009C5807">
              <w:tab/>
              <w:t>Values based on Refsens and EIS spherical coverage as defined in clauses 7.3.2 and 7.3.4 of TS 38.101-2 [19]. Applicable side condition selected depending on angle of arrival.</w:t>
            </w:r>
          </w:p>
          <w:p w14:paraId="6D78ED0A" w14:textId="77777777" w:rsidR="001F5A79" w:rsidRPr="009C5807" w:rsidRDefault="001F5A79" w:rsidP="008B5C3E">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532A7C70" w14:textId="77777777" w:rsidR="001F5A79" w:rsidRPr="009C5807" w:rsidRDefault="001F5A79" w:rsidP="008B5C3E">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0887C657" w14:textId="77777777" w:rsidR="001F5A79" w:rsidRPr="009C5807" w:rsidRDefault="001F5A79" w:rsidP="001F5A79">
      <w:pPr>
        <w:rPr>
          <w:lang w:eastAsia="zh-CN"/>
        </w:rPr>
      </w:pPr>
    </w:p>
    <w:p w14:paraId="5BD0AAEE" w14:textId="470F38AE" w:rsidR="001F5A79" w:rsidRPr="009C5807" w:rsidRDefault="001F5A79" w:rsidP="00967CF8">
      <w:pPr>
        <w:pStyle w:val="Heading5"/>
      </w:pPr>
      <w:r w:rsidRPr="009C5807">
        <w:t>1</w:t>
      </w:r>
      <w:r w:rsidR="00967CF8" w:rsidRPr="009C5807">
        <w:t>0.1.3.1.2</w:t>
      </w:r>
      <w:r w:rsidRPr="009C5807">
        <w:tab/>
        <w:t>Relative SS-RSRP Accuracy</w:t>
      </w:r>
    </w:p>
    <w:p w14:paraId="6F3A568F" w14:textId="4C4B966E" w:rsidR="001F5A79" w:rsidRPr="009C5807" w:rsidRDefault="001F5A79" w:rsidP="001F5A79">
      <w:pPr>
        <w:rPr>
          <w:rFonts w:cs="v4.2.0"/>
        </w:rPr>
      </w:pPr>
      <w:r w:rsidRPr="009C5807">
        <w:rPr>
          <w:rFonts w:cs="v4.2.0"/>
        </w:rPr>
        <w:t xml:space="preserve">The relative accuracy of </w:t>
      </w:r>
      <w:r w:rsidRPr="009C5807">
        <w:rPr>
          <w:rFonts w:cs="v4.2.0"/>
          <w:lang w:eastAsia="zh-CN"/>
        </w:rPr>
        <w:t>SS-RSRP</w:t>
      </w:r>
      <w:r w:rsidRPr="009C5807">
        <w:rPr>
          <w:rFonts w:cs="v4.2.0"/>
        </w:rPr>
        <w:t xml:space="preserve"> is defined as the </w:t>
      </w:r>
      <w:r w:rsidRPr="009C5807">
        <w:rPr>
          <w:rFonts w:cs="v4.2.0"/>
          <w:lang w:eastAsia="zh-CN"/>
        </w:rPr>
        <w:t>SS-RSRP</w:t>
      </w:r>
      <w:r w:rsidRPr="009C5807">
        <w:rPr>
          <w:rFonts w:cs="v4.2.0"/>
        </w:rPr>
        <w:t xml:space="preserve"> measured from one cell compared to the </w:t>
      </w:r>
      <w:r w:rsidRPr="009C5807">
        <w:rPr>
          <w:rFonts w:cs="v4.2.0"/>
          <w:lang w:eastAsia="zh-CN"/>
        </w:rPr>
        <w:t>SS-RSRP</w:t>
      </w:r>
      <w:r w:rsidRPr="009C5807">
        <w:rPr>
          <w:rFonts w:cs="v4.2.0"/>
        </w:rPr>
        <w:t xml:space="preserve"> measured from another cell on the same frequency, or between any two SS-RSRP levels measured on the same cell in FR2.</w:t>
      </w:r>
    </w:p>
    <w:p w14:paraId="2C178D95" w14:textId="77777777" w:rsidR="001F5A79" w:rsidRPr="009C5807" w:rsidRDefault="001F5A79" w:rsidP="009C5807">
      <w:pPr>
        <w:pStyle w:val="B10"/>
        <w:rPr>
          <w:lang w:eastAsia="zh-CN"/>
        </w:rPr>
      </w:pPr>
      <w:r w:rsidRPr="009C5807">
        <w:t>-</w:t>
      </w:r>
      <w:r w:rsidRPr="009C5807">
        <w:tab/>
        <w:t>Conditions defined in clause 7.3 of TS 38.101-2 [19] for reference sensitivity are fulfilled.</w:t>
      </w:r>
    </w:p>
    <w:p w14:paraId="1E9F5AAF" w14:textId="77777777" w:rsidR="001F5A79" w:rsidRPr="009C5807" w:rsidRDefault="001F5A79" w:rsidP="009C5807">
      <w:pPr>
        <w:pStyle w:val="B10"/>
        <w:rPr>
          <w:rFonts w:cs="v4.2.0"/>
        </w:rPr>
      </w:pPr>
      <w:r w:rsidRPr="009C5807">
        <w:t>-</w:t>
      </w:r>
      <w:r w:rsidRPr="009C5807">
        <w:tab/>
        <w:t xml:space="preserve">Conditions for intra-frequency measurements are fulfilled according to Annex B.2.2 for a corresponding Band </w:t>
      </w:r>
      <w:r w:rsidRPr="009C5807">
        <w:rPr>
          <w:rFonts w:cs="v4.2.0"/>
          <w:lang w:eastAsia="ko-KR"/>
        </w:rPr>
        <w:t>for each relevant SSB</w:t>
      </w:r>
      <w:r w:rsidRPr="009C5807">
        <w:t>.</w:t>
      </w:r>
    </w:p>
    <w:p w14:paraId="62669EF9" w14:textId="77777777" w:rsidR="001F5A79" w:rsidRPr="009C5807" w:rsidRDefault="001F5A79" w:rsidP="009C5807">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15EDA787" w14:textId="77777777" w:rsidR="001F5A79" w:rsidRPr="009C5807" w:rsidRDefault="001F5A79" w:rsidP="009C5807">
      <w:pPr>
        <w:pStyle w:val="TH"/>
      </w:pPr>
      <w:r w:rsidRPr="009C5807">
        <w:t xml:space="preserve">Table </w:t>
      </w:r>
      <w:r w:rsidRPr="009C5807">
        <w:rPr>
          <w:lang w:eastAsia="zh-CN"/>
        </w:rPr>
        <w:t>10.1.3.1.2</w:t>
      </w:r>
      <w:r w:rsidRPr="009C5807">
        <w:t xml:space="preserve">-1: </w:t>
      </w:r>
      <w:r w:rsidRPr="009C5807">
        <w:rPr>
          <w:lang w:eastAsia="zh-CN"/>
        </w:rPr>
        <w:t>SS-RSRP</w:t>
      </w:r>
      <w:r w:rsidRPr="009C5807">
        <w:t xml:space="preserve"> Intra frequency relative accuracy in FR2</w:t>
      </w:r>
    </w:p>
    <w:tbl>
      <w:tblPr>
        <w:tblW w:w="7019" w:type="dxa"/>
        <w:jc w:val="center"/>
        <w:tblLook w:val="01E0" w:firstRow="1" w:lastRow="1" w:firstColumn="1" w:lastColumn="1" w:noHBand="0" w:noVBand="0"/>
      </w:tblPr>
      <w:tblGrid>
        <w:gridCol w:w="1111"/>
        <w:gridCol w:w="1111"/>
        <w:gridCol w:w="1110"/>
        <w:gridCol w:w="1057"/>
        <w:gridCol w:w="1057"/>
        <w:gridCol w:w="1573"/>
      </w:tblGrid>
      <w:tr w:rsidR="001F5A79" w:rsidRPr="009C5807" w14:paraId="59998BF1" w14:textId="77777777" w:rsidTr="00DF3064">
        <w:trPr>
          <w:jc w:val="center"/>
        </w:trPr>
        <w:tc>
          <w:tcPr>
            <w:tcW w:w="2222" w:type="dxa"/>
            <w:gridSpan w:val="2"/>
            <w:tcBorders>
              <w:top w:val="single" w:sz="6" w:space="0" w:color="auto"/>
              <w:left w:val="single" w:sz="4" w:space="0" w:color="auto"/>
              <w:right w:val="single" w:sz="6" w:space="0" w:color="auto"/>
            </w:tcBorders>
            <w:shd w:val="clear" w:color="auto" w:fill="auto"/>
            <w:vAlign w:val="center"/>
          </w:tcPr>
          <w:p w14:paraId="59409D30" w14:textId="77777777" w:rsidR="001F5A79" w:rsidRPr="009C5807" w:rsidRDefault="001F5A79" w:rsidP="008B5C3E">
            <w:pPr>
              <w:pStyle w:val="TAH"/>
            </w:pPr>
            <w:r w:rsidRPr="009C5807">
              <w:t>Accuracy</w:t>
            </w:r>
          </w:p>
        </w:tc>
        <w:tc>
          <w:tcPr>
            <w:tcW w:w="4797" w:type="dxa"/>
            <w:gridSpan w:val="4"/>
            <w:tcBorders>
              <w:top w:val="single" w:sz="6" w:space="0" w:color="auto"/>
              <w:left w:val="single" w:sz="4" w:space="0" w:color="auto"/>
              <w:right w:val="single" w:sz="4" w:space="0" w:color="auto"/>
            </w:tcBorders>
            <w:vAlign w:val="center"/>
          </w:tcPr>
          <w:p w14:paraId="1EDB2EA7" w14:textId="77777777" w:rsidR="001F5A79" w:rsidRPr="009C5807" w:rsidRDefault="001F5A79" w:rsidP="008B5C3E">
            <w:pPr>
              <w:pStyle w:val="TAH"/>
            </w:pPr>
            <w:r w:rsidRPr="009C5807">
              <w:t>Conditions</w:t>
            </w:r>
          </w:p>
        </w:tc>
      </w:tr>
      <w:tr w:rsidR="001F5A79" w:rsidRPr="009C5807" w14:paraId="091CE98D" w14:textId="77777777" w:rsidTr="00DF3064">
        <w:trPr>
          <w:jc w:val="center"/>
        </w:trPr>
        <w:tc>
          <w:tcPr>
            <w:tcW w:w="1111" w:type="dxa"/>
            <w:tcBorders>
              <w:top w:val="single" w:sz="6" w:space="0" w:color="auto"/>
              <w:left w:val="single" w:sz="4" w:space="0" w:color="auto"/>
              <w:right w:val="single" w:sz="6" w:space="0" w:color="auto"/>
            </w:tcBorders>
            <w:shd w:val="clear" w:color="auto" w:fill="auto"/>
            <w:vAlign w:val="center"/>
          </w:tcPr>
          <w:p w14:paraId="729A7D21" w14:textId="77777777" w:rsidR="001F5A79" w:rsidRPr="009C5807" w:rsidRDefault="001F5A79" w:rsidP="008B5C3E">
            <w:pPr>
              <w:pStyle w:val="TAH"/>
            </w:pPr>
            <w:r w:rsidRPr="009C5807">
              <w:t>Normal condition</w:t>
            </w:r>
          </w:p>
        </w:tc>
        <w:tc>
          <w:tcPr>
            <w:tcW w:w="1111" w:type="dxa"/>
            <w:tcBorders>
              <w:top w:val="single" w:sz="6" w:space="0" w:color="auto"/>
              <w:left w:val="single" w:sz="6" w:space="0" w:color="auto"/>
              <w:right w:val="single" w:sz="6" w:space="0" w:color="auto"/>
            </w:tcBorders>
            <w:shd w:val="clear" w:color="auto" w:fill="auto"/>
            <w:vAlign w:val="center"/>
          </w:tcPr>
          <w:p w14:paraId="2BBF605D" w14:textId="77777777" w:rsidR="001F5A79" w:rsidRPr="009C5807" w:rsidRDefault="001F5A79" w:rsidP="008B5C3E">
            <w:pPr>
              <w:pStyle w:val="TAH"/>
            </w:pPr>
            <w:r w:rsidRPr="009C5807">
              <w:t>Extreme condition</w:t>
            </w:r>
          </w:p>
        </w:tc>
        <w:tc>
          <w:tcPr>
            <w:tcW w:w="1110" w:type="dxa"/>
            <w:tcBorders>
              <w:top w:val="single" w:sz="6" w:space="0" w:color="auto"/>
              <w:left w:val="single" w:sz="4" w:space="0" w:color="auto"/>
              <w:right w:val="single" w:sz="4" w:space="0" w:color="auto"/>
            </w:tcBorders>
          </w:tcPr>
          <w:p w14:paraId="67E08F8C" w14:textId="77777777" w:rsidR="001F5A79" w:rsidRPr="009C5807" w:rsidRDefault="001F5A79" w:rsidP="008B5C3E">
            <w:pPr>
              <w:pStyle w:val="TAH"/>
            </w:pPr>
            <w:r w:rsidRPr="009C5807">
              <w:rPr>
                <w:rFonts w:cs="Arial"/>
              </w:rPr>
              <w:t>SSB Ês/Iot</w:t>
            </w:r>
          </w:p>
        </w:tc>
        <w:tc>
          <w:tcPr>
            <w:tcW w:w="3687" w:type="dxa"/>
            <w:gridSpan w:val="3"/>
            <w:tcBorders>
              <w:top w:val="single" w:sz="6" w:space="0" w:color="auto"/>
              <w:left w:val="single" w:sz="4" w:space="0" w:color="auto"/>
              <w:bottom w:val="single" w:sz="6" w:space="0" w:color="auto"/>
              <w:right w:val="single" w:sz="4" w:space="0" w:color="auto"/>
            </w:tcBorders>
            <w:shd w:val="clear" w:color="auto" w:fill="auto"/>
            <w:vAlign w:val="center"/>
          </w:tcPr>
          <w:p w14:paraId="2CEFDDCE" w14:textId="77777777" w:rsidR="001F5A79" w:rsidRPr="009C5807" w:rsidRDefault="001F5A79" w:rsidP="008B5C3E">
            <w:pPr>
              <w:pStyle w:val="TAH"/>
            </w:pPr>
            <w:r w:rsidRPr="009C5807">
              <w:t>Io</w:t>
            </w:r>
            <w:r w:rsidRPr="009C5807">
              <w:rPr>
                <w:vertAlign w:val="superscript"/>
              </w:rPr>
              <w:t xml:space="preserve"> Note 2</w:t>
            </w:r>
            <w:r w:rsidRPr="009C5807">
              <w:t xml:space="preserve"> range</w:t>
            </w:r>
          </w:p>
        </w:tc>
      </w:tr>
      <w:tr w:rsidR="001F5A79" w:rsidRPr="009C5807" w14:paraId="0BCC1069" w14:textId="77777777" w:rsidTr="00DF3064">
        <w:trPr>
          <w:jc w:val="center"/>
        </w:trPr>
        <w:tc>
          <w:tcPr>
            <w:tcW w:w="1111" w:type="dxa"/>
            <w:tcBorders>
              <w:left w:val="single" w:sz="4" w:space="0" w:color="auto"/>
              <w:right w:val="single" w:sz="6" w:space="0" w:color="auto"/>
            </w:tcBorders>
            <w:shd w:val="clear" w:color="auto" w:fill="auto"/>
            <w:vAlign w:val="center"/>
          </w:tcPr>
          <w:p w14:paraId="3538852A" w14:textId="77777777" w:rsidR="001F5A79" w:rsidRPr="009C5807" w:rsidRDefault="001F5A79" w:rsidP="008B5C3E">
            <w:pPr>
              <w:pStyle w:val="TAH"/>
            </w:pPr>
          </w:p>
        </w:tc>
        <w:tc>
          <w:tcPr>
            <w:tcW w:w="1111" w:type="dxa"/>
            <w:tcBorders>
              <w:left w:val="single" w:sz="6" w:space="0" w:color="auto"/>
              <w:right w:val="single" w:sz="6" w:space="0" w:color="auto"/>
            </w:tcBorders>
            <w:shd w:val="clear" w:color="auto" w:fill="auto"/>
            <w:vAlign w:val="center"/>
          </w:tcPr>
          <w:p w14:paraId="545965E9" w14:textId="77777777" w:rsidR="001F5A79" w:rsidRPr="009C5807" w:rsidRDefault="001F5A79" w:rsidP="008B5C3E">
            <w:pPr>
              <w:pStyle w:val="TAH"/>
            </w:pPr>
          </w:p>
        </w:tc>
        <w:tc>
          <w:tcPr>
            <w:tcW w:w="1110" w:type="dxa"/>
            <w:tcBorders>
              <w:left w:val="single" w:sz="4" w:space="0" w:color="auto"/>
              <w:right w:val="single" w:sz="4" w:space="0" w:color="auto"/>
            </w:tcBorders>
            <w:vAlign w:val="center"/>
          </w:tcPr>
          <w:p w14:paraId="04A78AB1" w14:textId="77777777" w:rsidR="001F5A79" w:rsidRPr="009C5807" w:rsidRDefault="001F5A79" w:rsidP="008B5C3E">
            <w:pPr>
              <w:pStyle w:val="TAH"/>
            </w:pPr>
          </w:p>
        </w:tc>
        <w:tc>
          <w:tcPr>
            <w:tcW w:w="211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2A80631F" w14:textId="77777777" w:rsidR="001F5A79" w:rsidRPr="009C5807" w:rsidRDefault="001F5A79" w:rsidP="008B5C3E">
            <w:pPr>
              <w:pStyle w:val="TAH"/>
              <w:rPr>
                <w:rFonts w:cs="Arial"/>
              </w:rPr>
            </w:pPr>
            <w:r w:rsidRPr="009C5807">
              <w:t>Minimum Io</w:t>
            </w:r>
          </w:p>
        </w:tc>
        <w:tc>
          <w:tcPr>
            <w:tcW w:w="1573" w:type="dxa"/>
            <w:tcBorders>
              <w:top w:val="single" w:sz="6" w:space="0" w:color="auto"/>
              <w:left w:val="single" w:sz="6" w:space="0" w:color="auto"/>
              <w:right w:val="single" w:sz="4" w:space="0" w:color="auto"/>
            </w:tcBorders>
            <w:shd w:val="clear" w:color="auto" w:fill="auto"/>
            <w:vAlign w:val="center"/>
          </w:tcPr>
          <w:p w14:paraId="1A67664B" w14:textId="77777777" w:rsidR="001F5A79" w:rsidRPr="009C5807" w:rsidRDefault="001F5A79" w:rsidP="008B5C3E">
            <w:pPr>
              <w:pStyle w:val="TAH"/>
            </w:pPr>
            <w:r w:rsidRPr="009C5807">
              <w:t>Maximum Io</w:t>
            </w:r>
          </w:p>
        </w:tc>
      </w:tr>
      <w:tr w:rsidR="001F5A79" w:rsidRPr="009C5807" w14:paraId="4AF35CEA" w14:textId="77777777" w:rsidTr="00DF3064">
        <w:trPr>
          <w:jc w:val="center"/>
        </w:trPr>
        <w:tc>
          <w:tcPr>
            <w:tcW w:w="1111" w:type="dxa"/>
            <w:tcBorders>
              <w:top w:val="single" w:sz="6" w:space="0" w:color="auto"/>
              <w:left w:val="single" w:sz="4" w:space="0" w:color="auto"/>
              <w:right w:val="single" w:sz="6" w:space="0" w:color="auto"/>
            </w:tcBorders>
            <w:shd w:val="clear" w:color="auto" w:fill="auto"/>
            <w:vAlign w:val="center"/>
          </w:tcPr>
          <w:p w14:paraId="2E9E325C" w14:textId="77777777" w:rsidR="001F5A79" w:rsidRPr="009C5807" w:rsidRDefault="001F5A79" w:rsidP="008B5C3E">
            <w:pPr>
              <w:pStyle w:val="TAH"/>
            </w:pPr>
            <w:r w:rsidRPr="009C5807">
              <w:t>dB</w:t>
            </w:r>
          </w:p>
        </w:tc>
        <w:tc>
          <w:tcPr>
            <w:tcW w:w="1111" w:type="dxa"/>
            <w:tcBorders>
              <w:top w:val="single" w:sz="6" w:space="0" w:color="auto"/>
              <w:left w:val="single" w:sz="6" w:space="0" w:color="auto"/>
              <w:right w:val="single" w:sz="6" w:space="0" w:color="auto"/>
            </w:tcBorders>
            <w:shd w:val="clear" w:color="auto" w:fill="auto"/>
            <w:vAlign w:val="center"/>
          </w:tcPr>
          <w:p w14:paraId="05FEBF54" w14:textId="77777777" w:rsidR="001F5A79" w:rsidRPr="009C5807" w:rsidRDefault="001F5A79" w:rsidP="008B5C3E">
            <w:pPr>
              <w:pStyle w:val="TAH"/>
            </w:pPr>
            <w:r w:rsidRPr="009C5807">
              <w:t>dB</w:t>
            </w:r>
          </w:p>
        </w:tc>
        <w:tc>
          <w:tcPr>
            <w:tcW w:w="1110" w:type="dxa"/>
            <w:tcBorders>
              <w:top w:val="single" w:sz="6" w:space="0" w:color="auto"/>
              <w:left w:val="single" w:sz="4" w:space="0" w:color="auto"/>
              <w:right w:val="single" w:sz="4" w:space="0" w:color="auto"/>
            </w:tcBorders>
            <w:vAlign w:val="center"/>
          </w:tcPr>
          <w:p w14:paraId="18FEAD12" w14:textId="77777777" w:rsidR="001F5A79" w:rsidRPr="009C5807" w:rsidRDefault="001F5A79" w:rsidP="008B5C3E">
            <w:pPr>
              <w:pStyle w:val="TAH"/>
              <w:rPr>
                <w:rFonts w:cs="Arial"/>
              </w:rPr>
            </w:pPr>
            <w:r w:rsidRPr="009C5807">
              <w:t>dB</w:t>
            </w:r>
          </w:p>
        </w:tc>
        <w:tc>
          <w:tcPr>
            <w:tcW w:w="211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7D423DD0" w14:textId="77777777" w:rsidR="001F5A79" w:rsidRPr="009C5807" w:rsidRDefault="001F5A79" w:rsidP="008B5C3E">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1573" w:type="dxa"/>
            <w:tcBorders>
              <w:top w:val="single" w:sz="6" w:space="0" w:color="auto"/>
              <w:left w:val="single" w:sz="6" w:space="0" w:color="auto"/>
              <w:right w:val="single" w:sz="4" w:space="0" w:color="auto"/>
            </w:tcBorders>
            <w:shd w:val="clear" w:color="auto" w:fill="auto"/>
            <w:vAlign w:val="center"/>
          </w:tcPr>
          <w:p w14:paraId="714A5031" w14:textId="77777777" w:rsidR="001F5A79" w:rsidRPr="009C5807" w:rsidRDefault="001F5A79" w:rsidP="008B5C3E">
            <w:pPr>
              <w:pStyle w:val="TAH"/>
            </w:pPr>
            <w:r w:rsidRPr="009C5807">
              <w:t>dBm/BW</w:t>
            </w:r>
            <w:r w:rsidRPr="009C5807">
              <w:rPr>
                <w:vertAlign w:val="subscript"/>
              </w:rPr>
              <w:t>Channel</w:t>
            </w:r>
          </w:p>
        </w:tc>
      </w:tr>
      <w:tr w:rsidR="001F5A79" w:rsidRPr="009C5807" w14:paraId="69C67AC2" w14:textId="77777777" w:rsidTr="00DF3064">
        <w:trPr>
          <w:jc w:val="center"/>
        </w:trPr>
        <w:tc>
          <w:tcPr>
            <w:tcW w:w="1111" w:type="dxa"/>
            <w:tcBorders>
              <w:left w:val="single" w:sz="4" w:space="0" w:color="auto"/>
              <w:bottom w:val="single" w:sz="6" w:space="0" w:color="auto"/>
              <w:right w:val="single" w:sz="6" w:space="0" w:color="auto"/>
            </w:tcBorders>
            <w:shd w:val="clear" w:color="auto" w:fill="auto"/>
            <w:vAlign w:val="center"/>
          </w:tcPr>
          <w:p w14:paraId="7540533F" w14:textId="77777777" w:rsidR="001F5A79" w:rsidRPr="009C5807" w:rsidRDefault="001F5A79" w:rsidP="008B5C3E">
            <w:pPr>
              <w:pStyle w:val="TAH"/>
            </w:pPr>
          </w:p>
        </w:tc>
        <w:tc>
          <w:tcPr>
            <w:tcW w:w="1111" w:type="dxa"/>
            <w:tcBorders>
              <w:left w:val="single" w:sz="6" w:space="0" w:color="auto"/>
              <w:bottom w:val="single" w:sz="6" w:space="0" w:color="auto"/>
              <w:right w:val="single" w:sz="6" w:space="0" w:color="auto"/>
            </w:tcBorders>
            <w:shd w:val="clear" w:color="auto" w:fill="auto"/>
            <w:vAlign w:val="center"/>
          </w:tcPr>
          <w:p w14:paraId="3FC69AB6" w14:textId="77777777" w:rsidR="001F5A79" w:rsidRPr="009C5807" w:rsidRDefault="001F5A79" w:rsidP="008B5C3E">
            <w:pPr>
              <w:pStyle w:val="TAH"/>
            </w:pPr>
          </w:p>
        </w:tc>
        <w:tc>
          <w:tcPr>
            <w:tcW w:w="1110" w:type="dxa"/>
            <w:tcBorders>
              <w:left w:val="single" w:sz="4" w:space="0" w:color="auto"/>
              <w:bottom w:val="single" w:sz="6" w:space="0" w:color="auto"/>
              <w:right w:val="single" w:sz="4" w:space="0" w:color="auto"/>
            </w:tcBorders>
          </w:tcPr>
          <w:p w14:paraId="412A17A7" w14:textId="77777777" w:rsidR="001F5A79" w:rsidRPr="009C5807" w:rsidRDefault="001F5A79" w:rsidP="008B5C3E">
            <w:pPr>
              <w:pStyle w:val="TAH"/>
            </w:pPr>
          </w:p>
        </w:tc>
        <w:tc>
          <w:tcPr>
            <w:tcW w:w="1057" w:type="dxa"/>
            <w:tcBorders>
              <w:top w:val="single" w:sz="6" w:space="0" w:color="auto"/>
              <w:left w:val="single" w:sz="4" w:space="0" w:color="auto"/>
              <w:bottom w:val="single" w:sz="6" w:space="0" w:color="auto"/>
              <w:right w:val="single" w:sz="6" w:space="0" w:color="auto"/>
            </w:tcBorders>
            <w:shd w:val="clear" w:color="auto" w:fill="auto"/>
            <w:vAlign w:val="center"/>
          </w:tcPr>
          <w:p w14:paraId="06DA2BDA" w14:textId="77777777" w:rsidR="001F5A79" w:rsidRPr="009C5807" w:rsidRDefault="001F5A79" w:rsidP="008B5C3E">
            <w:pPr>
              <w:pStyle w:val="TAH"/>
            </w:pPr>
            <w:r w:rsidRPr="009C5807">
              <w:t>SCS</w:t>
            </w:r>
            <w:r w:rsidRPr="009C5807">
              <w:rPr>
                <w:vertAlign w:val="subscript"/>
              </w:rPr>
              <w:t>SSB</w:t>
            </w:r>
            <w:r w:rsidRPr="009C5807">
              <w:rPr>
                <w:rFonts w:cs="Arial"/>
              </w:rPr>
              <w:t xml:space="preserve"> = 120kHz</w:t>
            </w:r>
          </w:p>
        </w:tc>
        <w:tc>
          <w:tcPr>
            <w:tcW w:w="1057" w:type="dxa"/>
            <w:tcBorders>
              <w:top w:val="single" w:sz="6" w:space="0" w:color="auto"/>
              <w:left w:val="single" w:sz="4" w:space="0" w:color="auto"/>
              <w:bottom w:val="single" w:sz="6" w:space="0" w:color="auto"/>
              <w:right w:val="single" w:sz="6" w:space="0" w:color="auto"/>
            </w:tcBorders>
            <w:shd w:val="clear" w:color="auto" w:fill="auto"/>
            <w:vAlign w:val="center"/>
          </w:tcPr>
          <w:p w14:paraId="7AD0F6ED" w14:textId="77777777" w:rsidR="001F5A79" w:rsidRPr="009C5807" w:rsidRDefault="001F5A79" w:rsidP="008B5C3E">
            <w:pPr>
              <w:pStyle w:val="TAH"/>
            </w:pPr>
            <w:r w:rsidRPr="009C5807">
              <w:t>SCS</w:t>
            </w:r>
            <w:r w:rsidRPr="009C5807">
              <w:rPr>
                <w:vertAlign w:val="subscript"/>
              </w:rPr>
              <w:t>SSB</w:t>
            </w:r>
            <w:r w:rsidRPr="009C5807">
              <w:rPr>
                <w:rFonts w:cs="Arial"/>
              </w:rPr>
              <w:t xml:space="preserve"> = 240kHz</w:t>
            </w:r>
          </w:p>
        </w:tc>
        <w:tc>
          <w:tcPr>
            <w:tcW w:w="1573" w:type="dxa"/>
            <w:tcBorders>
              <w:left w:val="single" w:sz="6" w:space="0" w:color="auto"/>
              <w:bottom w:val="single" w:sz="6" w:space="0" w:color="auto"/>
              <w:right w:val="single" w:sz="4" w:space="0" w:color="auto"/>
            </w:tcBorders>
            <w:shd w:val="clear" w:color="auto" w:fill="auto"/>
            <w:vAlign w:val="center"/>
          </w:tcPr>
          <w:p w14:paraId="3D9DCCCC" w14:textId="77777777" w:rsidR="001F5A79" w:rsidRPr="009C5807" w:rsidRDefault="001F5A79" w:rsidP="008B5C3E">
            <w:pPr>
              <w:pStyle w:val="TAH"/>
            </w:pPr>
          </w:p>
        </w:tc>
      </w:tr>
      <w:tr w:rsidR="001F5A79" w:rsidRPr="009C5807" w14:paraId="78F2F3FE" w14:textId="77777777" w:rsidTr="00DF3064">
        <w:trPr>
          <w:jc w:val="center"/>
        </w:trPr>
        <w:tc>
          <w:tcPr>
            <w:tcW w:w="1111" w:type="dxa"/>
            <w:tcBorders>
              <w:top w:val="single" w:sz="6" w:space="0" w:color="auto"/>
              <w:left w:val="single" w:sz="4" w:space="0" w:color="auto"/>
              <w:bottom w:val="single" w:sz="6" w:space="0" w:color="auto"/>
              <w:right w:val="single" w:sz="6" w:space="0" w:color="auto"/>
            </w:tcBorders>
            <w:shd w:val="clear" w:color="auto" w:fill="auto"/>
            <w:vAlign w:val="center"/>
          </w:tcPr>
          <w:p w14:paraId="7E605DB5" w14:textId="77777777" w:rsidR="001F5A79" w:rsidRPr="009C5807" w:rsidRDefault="001F5A79" w:rsidP="008B5C3E">
            <w:pPr>
              <w:pStyle w:val="TAC"/>
            </w:pPr>
            <w:r w:rsidRPr="009C5807">
              <w:sym w:font="Symbol" w:char="F0B1"/>
            </w:r>
            <w:r w:rsidRPr="009C5807">
              <w:t>6</w:t>
            </w:r>
          </w:p>
        </w:tc>
        <w:tc>
          <w:tcPr>
            <w:tcW w:w="1111" w:type="dxa"/>
            <w:tcBorders>
              <w:top w:val="single" w:sz="6" w:space="0" w:color="auto"/>
              <w:left w:val="single" w:sz="6" w:space="0" w:color="auto"/>
              <w:bottom w:val="single" w:sz="6" w:space="0" w:color="auto"/>
              <w:right w:val="single" w:sz="6" w:space="0" w:color="auto"/>
            </w:tcBorders>
            <w:shd w:val="clear" w:color="auto" w:fill="auto"/>
            <w:vAlign w:val="center"/>
          </w:tcPr>
          <w:p w14:paraId="51F7E4E9" w14:textId="77777777" w:rsidR="001F5A79" w:rsidRPr="009C5807" w:rsidRDefault="001F5A79" w:rsidP="008B5C3E">
            <w:pPr>
              <w:pStyle w:val="TAC"/>
            </w:pPr>
            <w:r w:rsidRPr="009C5807">
              <w:sym w:font="Symbol" w:char="F0B1"/>
            </w:r>
            <w:r w:rsidRPr="009C5807">
              <w:t>9</w:t>
            </w:r>
          </w:p>
        </w:tc>
        <w:tc>
          <w:tcPr>
            <w:tcW w:w="1110" w:type="dxa"/>
            <w:tcBorders>
              <w:top w:val="single" w:sz="6" w:space="0" w:color="auto"/>
              <w:left w:val="single" w:sz="4" w:space="0" w:color="auto"/>
              <w:bottom w:val="single" w:sz="6" w:space="0" w:color="auto"/>
              <w:right w:val="single" w:sz="4" w:space="0" w:color="auto"/>
            </w:tcBorders>
            <w:vAlign w:val="center"/>
          </w:tcPr>
          <w:p w14:paraId="2E1597BC" w14:textId="77777777" w:rsidR="001F5A79" w:rsidRPr="009C5807" w:rsidRDefault="001F5A79" w:rsidP="008B5C3E">
            <w:pPr>
              <w:pStyle w:val="TAC"/>
            </w:pPr>
            <w:r w:rsidRPr="009C5807">
              <w:rPr>
                <w:rFonts w:eastAsia="Yu Mincho" w:cs="Arial"/>
                <w:lang w:eastAsia="ja-JP"/>
              </w:rPr>
              <w:t>≥-6</w:t>
            </w:r>
          </w:p>
        </w:tc>
        <w:tc>
          <w:tcPr>
            <w:tcW w:w="211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0D6AE004" w14:textId="77777777" w:rsidR="001F5A79" w:rsidRPr="009C5807" w:rsidRDefault="001F5A79" w:rsidP="008B5C3E">
            <w:pPr>
              <w:pStyle w:val="TAC"/>
              <w:rPr>
                <w:rFonts w:eastAsia="Yu Mincho"/>
                <w:lang w:eastAsia="ja-JP"/>
              </w:rPr>
            </w:pPr>
            <w:r w:rsidRPr="009C5807">
              <w:t>Same value as SSB_RP in Table B.2.2-2, according to UE Power class, operating band and angle of arrival</w:t>
            </w:r>
          </w:p>
        </w:tc>
        <w:tc>
          <w:tcPr>
            <w:tcW w:w="1573" w:type="dxa"/>
            <w:tcBorders>
              <w:top w:val="single" w:sz="6" w:space="0" w:color="auto"/>
              <w:left w:val="single" w:sz="6" w:space="0" w:color="auto"/>
              <w:bottom w:val="single" w:sz="6" w:space="0" w:color="auto"/>
              <w:right w:val="single" w:sz="4" w:space="0" w:color="auto"/>
            </w:tcBorders>
            <w:shd w:val="clear" w:color="auto" w:fill="auto"/>
            <w:vAlign w:val="center"/>
          </w:tcPr>
          <w:p w14:paraId="5820AF53" w14:textId="77777777" w:rsidR="001F5A79" w:rsidRPr="009C5807" w:rsidRDefault="001F5A79" w:rsidP="008B5C3E">
            <w:pPr>
              <w:pStyle w:val="TAC"/>
            </w:pPr>
            <w:r w:rsidRPr="009C5807">
              <w:t>-50</w:t>
            </w:r>
          </w:p>
        </w:tc>
      </w:tr>
      <w:tr w:rsidR="001F5A79" w:rsidRPr="009C5807" w14:paraId="390FA0B5" w14:textId="77777777" w:rsidTr="00DF3064">
        <w:trPr>
          <w:jc w:val="center"/>
        </w:trPr>
        <w:tc>
          <w:tcPr>
            <w:tcW w:w="7019" w:type="dxa"/>
            <w:gridSpan w:val="6"/>
            <w:tcBorders>
              <w:top w:val="single" w:sz="6" w:space="0" w:color="auto"/>
              <w:left w:val="single" w:sz="4" w:space="0" w:color="auto"/>
              <w:bottom w:val="single" w:sz="4" w:space="0" w:color="auto"/>
              <w:right w:val="single" w:sz="4" w:space="0" w:color="auto"/>
            </w:tcBorders>
            <w:shd w:val="clear" w:color="auto" w:fill="auto"/>
            <w:vAlign w:val="center"/>
          </w:tcPr>
          <w:p w14:paraId="1B87463F" w14:textId="77777777" w:rsidR="001F5A79" w:rsidRPr="009C5807" w:rsidRDefault="001F5A79" w:rsidP="008B5C3E">
            <w:pPr>
              <w:pStyle w:val="TAN"/>
            </w:pPr>
            <w:r w:rsidRPr="009C5807">
              <w:t>Note 1:</w:t>
            </w:r>
            <w:r w:rsidRPr="009C5807">
              <w:tab/>
              <w:t>Values based on Refsens and EIS spherical coverage as defined in clauses 7.3.2 and 7.3.4 of TS 38.101-2 [19]. Applicable side condition selected depending on angle of arrival.</w:t>
            </w:r>
          </w:p>
          <w:p w14:paraId="2F9E92D0" w14:textId="77777777" w:rsidR="001F5A79" w:rsidRPr="009C5807" w:rsidRDefault="001F5A79" w:rsidP="008B5C3E">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71730AAE" w14:textId="77777777" w:rsidR="001F5A79" w:rsidRPr="009C5807" w:rsidRDefault="001F5A79" w:rsidP="008B5C3E">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p w14:paraId="656D9C3C" w14:textId="77777777" w:rsidR="001F5A79" w:rsidRPr="009C5807" w:rsidRDefault="001F5A79" w:rsidP="008B5C3E">
            <w:pPr>
              <w:pStyle w:val="TAN"/>
            </w:pPr>
            <w:r w:rsidRPr="009C5807">
              <w:t>Note 4:</w:t>
            </w:r>
            <w:r w:rsidRPr="009C5807">
              <w:tab/>
              <w:t>The parameter SSB Ês/Iot is the minimum SSB Ês/Iot of the pair of cells to which the requirement applies.</w:t>
            </w:r>
          </w:p>
        </w:tc>
      </w:tr>
    </w:tbl>
    <w:p w14:paraId="279523B6" w14:textId="77777777" w:rsidR="001F5A79" w:rsidRPr="009C5807" w:rsidRDefault="001F5A79" w:rsidP="001F5A79"/>
    <w:p w14:paraId="1F87BC6F" w14:textId="1891BD50" w:rsidR="001F5A79" w:rsidRPr="009C5807" w:rsidRDefault="001F5A79" w:rsidP="00967CF8">
      <w:pPr>
        <w:pStyle w:val="Heading4"/>
        <w:rPr>
          <w:lang w:val="en-US"/>
        </w:rPr>
      </w:pPr>
      <w:r w:rsidRPr="009C5807">
        <w:rPr>
          <w:lang w:val="en-US" w:eastAsia="zh-CN"/>
        </w:rPr>
        <w:t>1</w:t>
      </w:r>
      <w:r w:rsidR="00967CF8" w:rsidRPr="009C5807">
        <w:rPr>
          <w:lang w:val="en-US" w:eastAsia="zh-CN"/>
        </w:rPr>
        <w:t>0.1.3.2</w:t>
      </w:r>
      <w:r w:rsidRPr="009C5807">
        <w:rPr>
          <w:lang w:val="en-US" w:eastAsia="zh-CN"/>
        </w:rPr>
        <w:tab/>
      </w:r>
      <w:r w:rsidRPr="009C5807">
        <w:rPr>
          <w:lang w:val="en-US" w:eastAsia="ko-KR"/>
        </w:rPr>
        <w:t>Void</w:t>
      </w:r>
    </w:p>
    <w:p w14:paraId="64BE2602" w14:textId="77777777" w:rsidR="00BE0199" w:rsidRPr="00691C10" w:rsidRDefault="00BE0199" w:rsidP="00BE0199">
      <w:pPr>
        <w:jc w:val="both"/>
        <w:rPr>
          <w:rFonts w:cs="v4.2.0"/>
        </w:rPr>
      </w:pPr>
    </w:p>
    <w:p w14:paraId="1D4E253F" w14:textId="77777777" w:rsidR="0058566D" w:rsidRDefault="0058566D" w:rsidP="0058566D">
      <w:pPr>
        <w:pStyle w:val="Heading4"/>
        <w:rPr>
          <w:lang w:val="en-US"/>
        </w:rPr>
      </w:pPr>
      <w:r>
        <w:rPr>
          <w:lang w:val="en-US"/>
        </w:rPr>
        <w:t>10.1.3.3</w:t>
      </w:r>
      <w:r>
        <w:rPr>
          <w:lang w:val="en-US"/>
        </w:rPr>
        <w:tab/>
        <w:t>Intra-frequency CSI-RSRP accuracy requirements</w:t>
      </w:r>
    </w:p>
    <w:p w14:paraId="59F79B95" w14:textId="77777777" w:rsidR="0058566D" w:rsidRDefault="0058566D" w:rsidP="0058566D">
      <w:pPr>
        <w:pStyle w:val="Heading5"/>
      </w:pPr>
      <w:r>
        <w:t>10.1.3.3.1</w:t>
      </w:r>
      <w:r>
        <w:tab/>
        <w:t xml:space="preserve">Absolute </w:t>
      </w:r>
      <w:r>
        <w:rPr>
          <w:lang w:val="en-US"/>
        </w:rPr>
        <w:t xml:space="preserve">CSI-RSRP </w:t>
      </w:r>
      <w:r>
        <w:t>Accuracy</w:t>
      </w:r>
    </w:p>
    <w:p w14:paraId="0B1877BA" w14:textId="77777777" w:rsidR="0058566D" w:rsidRDefault="0058566D" w:rsidP="0058566D">
      <w:pPr>
        <w:rPr>
          <w:rFonts w:cs="v4.2.0"/>
        </w:rPr>
      </w:pPr>
      <w:r>
        <w:rPr>
          <w:rFonts w:cs="v4.2.0"/>
        </w:rPr>
        <w:t xml:space="preserve">Unless otherwise specified, the requirements for absolute accuracy of </w:t>
      </w:r>
      <w:r>
        <w:rPr>
          <w:rFonts w:cs="v4.2.0"/>
          <w:lang w:eastAsia="zh-CN"/>
        </w:rPr>
        <w:t>CSI-RSRP</w:t>
      </w:r>
      <w:r>
        <w:rPr>
          <w:rFonts w:cs="v4.2.0"/>
        </w:rPr>
        <w:t xml:space="preserve"> in this clause apply to a cell where the CSI-RS resources to be measured have the same center frequency as the CSI-RS resources indicated for measurement in the serving cell in FR2.</w:t>
      </w:r>
    </w:p>
    <w:p w14:paraId="44B5D0D2" w14:textId="77777777" w:rsidR="0058566D" w:rsidRDefault="0058566D" w:rsidP="0058566D">
      <w:pPr>
        <w:rPr>
          <w:rFonts w:cs="v4.2.0"/>
        </w:rPr>
      </w:pPr>
      <w:r>
        <w:rPr>
          <w:rFonts w:cs="v4.2.0"/>
        </w:rPr>
        <w:t xml:space="preserve">The accuracy requirements in Table </w:t>
      </w:r>
      <w:r>
        <w:rPr>
          <w:rFonts w:cs="v4.2.0"/>
          <w:lang w:eastAsia="zh-CN"/>
        </w:rPr>
        <w:t>10.1.3.3.1</w:t>
      </w:r>
      <w:r>
        <w:rPr>
          <w:rFonts w:cs="v4.2.0"/>
        </w:rPr>
        <w:t>-1 are valid under the following conditions:</w:t>
      </w:r>
    </w:p>
    <w:p w14:paraId="0E18CF40" w14:textId="77777777" w:rsidR="0058566D" w:rsidRDefault="0058566D" w:rsidP="0058566D">
      <w:pPr>
        <w:pStyle w:val="B10"/>
        <w:rPr>
          <w:lang w:eastAsia="zh-CN"/>
        </w:rPr>
      </w:pPr>
      <w:r>
        <w:t>-</w:t>
      </w:r>
      <w:r>
        <w:tab/>
        <w:t>Conditions defined in clause 7.3 of TS 38.101-2 [19] for reference sensitivity are fulfilled.</w:t>
      </w:r>
    </w:p>
    <w:p w14:paraId="68D37E40" w14:textId="77777777" w:rsidR="0058566D" w:rsidRDefault="0058566D" w:rsidP="00F37389">
      <w:pPr>
        <w:pStyle w:val="B10"/>
      </w:pPr>
      <w:r>
        <w:t>-</w:t>
      </w:r>
      <w:r>
        <w:tab/>
        <w:t>Conditions for intra-frequency measurements are fulfilled according to Annex B.2.2 for a corresponding Band for each associated SSB(s).</w:t>
      </w:r>
    </w:p>
    <w:p w14:paraId="149F3957" w14:textId="77777777" w:rsidR="0058566D" w:rsidRDefault="0058566D" w:rsidP="0058566D">
      <w:pPr>
        <w:pStyle w:val="B10"/>
      </w:pPr>
      <w:r>
        <w:t>-</w:t>
      </w:r>
      <w:r>
        <w:tab/>
      </w:r>
      <w:r w:rsidRPr="00B25D3D">
        <w:t xml:space="preserve">Conditions for intra-frequency measurements are fulfilled </w:t>
      </w:r>
      <w:r w:rsidRPr="00410043">
        <w:t xml:space="preserve">according to </w:t>
      </w:r>
      <w:r w:rsidRPr="00B4252A">
        <w:t>Annex B.2.</w:t>
      </w:r>
      <w:r>
        <w:t>8</w:t>
      </w:r>
      <w:r w:rsidRPr="00410043">
        <w:t xml:space="preserve"> for</w:t>
      </w:r>
      <w:r w:rsidRPr="00B25D3D">
        <w:t xml:space="preserve"> a corresponding Band </w:t>
      </w:r>
      <w:r w:rsidRPr="00B25D3D">
        <w:rPr>
          <w:rFonts w:cs="v4.2.0"/>
          <w:lang w:eastAsia="ko-KR"/>
        </w:rPr>
        <w:t xml:space="preserve">for </w:t>
      </w:r>
      <w:r>
        <w:rPr>
          <w:rFonts w:cs="v4.2.0"/>
          <w:lang w:eastAsia="ko-KR"/>
        </w:rPr>
        <w:t>each relevant CSI-RS to be measured.</w:t>
      </w:r>
    </w:p>
    <w:p w14:paraId="3B677B26" w14:textId="77777777" w:rsidR="0058566D" w:rsidRPr="00D47BD6" w:rsidRDefault="0058566D" w:rsidP="0058566D">
      <w:pPr>
        <w:pStyle w:val="B10"/>
        <w:rPr>
          <w:lang w:eastAsia="zh-CN"/>
        </w:rPr>
      </w:pPr>
      <w:r>
        <w:rPr>
          <w:rFonts w:hint="eastAsia"/>
          <w:lang w:eastAsia="zh-CN"/>
        </w:rPr>
        <w:t>-</w:t>
      </w:r>
      <w:r>
        <w:tab/>
      </w:r>
      <w:r w:rsidRPr="006820F3">
        <w:t>The bandwidth of CSI-RS is 48 PRBs and the density is 3. The performance with larger bandwidth of CSI-RS is equal to or better than the accuracy requirements in Table 10.1.</w:t>
      </w:r>
      <w:r>
        <w:rPr>
          <w:rFonts w:hint="eastAsia"/>
          <w:lang w:eastAsia="zh-CN"/>
        </w:rPr>
        <w:t>3</w:t>
      </w:r>
      <w:r w:rsidRPr="006820F3">
        <w:t>.</w:t>
      </w:r>
      <w:r>
        <w:rPr>
          <w:rFonts w:hint="eastAsia"/>
          <w:lang w:eastAsia="zh-CN"/>
        </w:rPr>
        <w:t>3</w:t>
      </w:r>
      <w:r w:rsidRPr="006820F3">
        <w:t>.1-1.</w:t>
      </w:r>
      <w:r>
        <w:t xml:space="preserve"> </w:t>
      </w:r>
    </w:p>
    <w:p w14:paraId="0BEC31A8" w14:textId="729CBB62" w:rsidR="0058566D" w:rsidRDefault="0058566D" w:rsidP="0058566D">
      <w:pPr>
        <w:pStyle w:val="B10"/>
      </w:pPr>
      <w:r>
        <w:t>-</w:t>
      </w:r>
      <w:r>
        <w:tab/>
      </w:r>
      <w:r>
        <w:rPr>
          <w:rFonts w:hint="eastAsia"/>
          <w:lang w:eastAsia="zh-CN"/>
        </w:rPr>
        <w:t>The</w:t>
      </w:r>
      <w:r w:rsidRPr="003A519B">
        <w:t xml:space="preserve"> timing offset between the reference measurement timing and the target CSI-RS in one layer </w:t>
      </w:r>
      <w:r>
        <w:t xml:space="preserve">is </w:t>
      </w:r>
      <w:r w:rsidRPr="003A519B">
        <w:t>no larger than CP</w:t>
      </w:r>
      <w:r>
        <w:t>.</w:t>
      </w:r>
    </w:p>
    <w:p w14:paraId="01CD8555" w14:textId="3FD2E590" w:rsidR="008935F7" w:rsidRDefault="008935F7" w:rsidP="00AB368A">
      <w:pPr>
        <w:pStyle w:val="NO"/>
        <w:rPr>
          <w:lang w:eastAsia="zh-CN"/>
        </w:rPr>
      </w:pPr>
      <w:r w:rsidRPr="005854E7">
        <w:rPr>
          <w:lang w:eastAsia="zh-CN"/>
        </w:rPr>
        <w:t>Note:</w:t>
      </w:r>
      <w:r w:rsidR="00AB368A">
        <w:rPr>
          <w:lang w:eastAsia="zh-CN"/>
        </w:rPr>
        <w:tab/>
      </w:r>
      <w:r w:rsidRPr="005854E7">
        <w:rPr>
          <w:lang w:eastAsia="zh-CN"/>
        </w:rPr>
        <w:t>The reference measurement timing for one layer for intra-frequency measurement is serving cell timing.</w:t>
      </w:r>
    </w:p>
    <w:p w14:paraId="62B3C68B" w14:textId="77777777" w:rsidR="0058566D" w:rsidRDefault="0058566D" w:rsidP="0058566D">
      <w:pPr>
        <w:pStyle w:val="B10"/>
      </w:pPr>
      <w:r>
        <w:t>-</w:t>
      </w:r>
      <w:r>
        <w:tab/>
        <w:t xml:space="preserve">The measured signals are in the directions covered by the percentile EIS spherical coverage of the UE, defined in </w:t>
      </w:r>
      <w:r>
        <w:rPr>
          <w:rFonts w:cs="Arial"/>
        </w:rPr>
        <w:t>clause 7.3.4 of TS 38.101-2 [19]</w:t>
      </w:r>
      <w:r>
        <w:t>.</w:t>
      </w:r>
    </w:p>
    <w:p w14:paraId="25D4B091" w14:textId="77777777" w:rsidR="0058566D" w:rsidRDefault="0058566D" w:rsidP="00550E13">
      <w:pPr>
        <w:pStyle w:val="TH"/>
      </w:pPr>
      <w:r>
        <w:t>Table 10.1.3.3.1-1: CSI-RSRP Intra frequency absolute accuracy in FR2</w:t>
      </w:r>
    </w:p>
    <w:tbl>
      <w:tblPr>
        <w:tblW w:w="8789" w:type="dxa"/>
        <w:jc w:val="center"/>
        <w:tblLook w:val="01E0" w:firstRow="1" w:lastRow="1" w:firstColumn="1" w:lastColumn="1" w:noHBand="0" w:noVBand="0"/>
      </w:tblPr>
      <w:tblGrid>
        <w:gridCol w:w="1325"/>
        <w:gridCol w:w="1224"/>
        <w:gridCol w:w="1021"/>
        <w:gridCol w:w="1054"/>
        <w:gridCol w:w="1056"/>
        <w:gridCol w:w="1554"/>
        <w:gridCol w:w="1555"/>
      </w:tblGrid>
      <w:tr w:rsidR="0058566D" w14:paraId="0AD6101B" w14:textId="77777777" w:rsidTr="008935F7">
        <w:trPr>
          <w:jc w:val="center"/>
        </w:trPr>
        <w:tc>
          <w:tcPr>
            <w:tcW w:w="2549" w:type="dxa"/>
            <w:gridSpan w:val="2"/>
            <w:tcBorders>
              <w:top w:val="single" w:sz="6" w:space="0" w:color="auto"/>
              <w:left w:val="single" w:sz="4" w:space="0" w:color="auto"/>
              <w:bottom w:val="nil"/>
              <w:right w:val="single" w:sz="6" w:space="0" w:color="auto"/>
            </w:tcBorders>
            <w:vAlign w:val="center"/>
            <w:hideMark/>
          </w:tcPr>
          <w:p w14:paraId="6B867DFE" w14:textId="77777777" w:rsidR="0058566D" w:rsidRDefault="0058566D" w:rsidP="008935F7">
            <w:pPr>
              <w:pStyle w:val="TAH"/>
            </w:pPr>
            <w:r>
              <w:t>Accuracy</w:t>
            </w:r>
          </w:p>
        </w:tc>
        <w:tc>
          <w:tcPr>
            <w:tcW w:w="6240" w:type="dxa"/>
            <w:gridSpan w:val="5"/>
            <w:tcBorders>
              <w:top w:val="single" w:sz="4" w:space="0" w:color="auto"/>
              <w:left w:val="single" w:sz="4" w:space="0" w:color="auto"/>
              <w:bottom w:val="nil"/>
              <w:right w:val="single" w:sz="4" w:space="0" w:color="auto"/>
            </w:tcBorders>
            <w:vAlign w:val="center"/>
            <w:hideMark/>
          </w:tcPr>
          <w:p w14:paraId="219C78E1" w14:textId="77777777" w:rsidR="0058566D" w:rsidRDefault="0058566D" w:rsidP="008935F7">
            <w:pPr>
              <w:pStyle w:val="TAH"/>
            </w:pPr>
            <w:r>
              <w:t>Conditions</w:t>
            </w:r>
          </w:p>
        </w:tc>
      </w:tr>
      <w:tr w:rsidR="0058566D" w14:paraId="5AF046D4" w14:textId="77777777" w:rsidTr="008935F7">
        <w:trPr>
          <w:jc w:val="center"/>
        </w:trPr>
        <w:tc>
          <w:tcPr>
            <w:tcW w:w="1325" w:type="dxa"/>
            <w:vMerge w:val="restart"/>
            <w:tcBorders>
              <w:top w:val="single" w:sz="6" w:space="0" w:color="auto"/>
              <w:left w:val="single" w:sz="4" w:space="0" w:color="auto"/>
              <w:bottom w:val="single" w:sz="6" w:space="0" w:color="auto"/>
              <w:right w:val="single" w:sz="6" w:space="0" w:color="auto"/>
            </w:tcBorders>
            <w:vAlign w:val="center"/>
            <w:hideMark/>
          </w:tcPr>
          <w:p w14:paraId="51349068" w14:textId="77777777" w:rsidR="0058566D" w:rsidRDefault="0058566D" w:rsidP="008935F7">
            <w:pPr>
              <w:pStyle w:val="TAH"/>
            </w:pPr>
            <w:r>
              <w:t>Normal condition</w:t>
            </w:r>
          </w:p>
        </w:tc>
        <w:tc>
          <w:tcPr>
            <w:tcW w:w="1224" w:type="dxa"/>
            <w:vMerge w:val="restart"/>
            <w:tcBorders>
              <w:top w:val="single" w:sz="6" w:space="0" w:color="auto"/>
              <w:left w:val="single" w:sz="6" w:space="0" w:color="auto"/>
              <w:bottom w:val="single" w:sz="6" w:space="0" w:color="auto"/>
              <w:right w:val="single" w:sz="6" w:space="0" w:color="auto"/>
            </w:tcBorders>
            <w:vAlign w:val="center"/>
            <w:hideMark/>
          </w:tcPr>
          <w:p w14:paraId="6894D340" w14:textId="77777777" w:rsidR="0058566D" w:rsidRDefault="0058566D" w:rsidP="008935F7">
            <w:pPr>
              <w:pStyle w:val="TAH"/>
            </w:pPr>
            <w:r>
              <w:t>Extreme condition</w:t>
            </w:r>
          </w:p>
        </w:tc>
        <w:tc>
          <w:tcPr>
            <w:tcW w:w="1021" w:type="dxa"/>
            <w:vMerge w:val="restart"/>
            <w:tcBorders>
              <w:top w:val="single" w:sz="4" w:space="0" w:color="auto"/>
              <w:left w:val="single" w:sz="4" w:space="0" w:color="auto"/>
              <w:bottom w:val="single" w:sz="6" w:space="0" w:color="auto"/>
              <w:right w:val="single" w:sz="4" w:space="0" w:color="auto"/>
            </w:tcBorders>
            <w:hideMark/>
          </w:tcPr>
          <w:p w14:paraId="3079268D" w14:textId="77777777" w:rsidR="0058566D" w:rsidRDefault="0058566D" w:rsidP="008935F7">
            <w:pPr>
              <w:pStyle w:val="TAH"/>
            </w:pPr>
            <w:r>
              <w:rPr>
                <w:rFonts w:cs="Arial"/>
              </w:rPr>
              <w:t>CSI-RS Ês/Iot</w:t>
            </w:r>
          </w:p>
        </w:tc>
        <w:tc>
          <w:tcPr>
            <w:tcW w:w="5219" w:type="dxa"/>
            <w:gridSpan w:val="4"/>
            <w:tcBorders>
              <w:top w:val="single" w:sz="4" w:space="0" w:color="auto"/>
              <w:left w:val="single" w:sz="4" w:space="0" w:color="auto"/>
              <w:bottom w:val="single" w:sz="6" w:space="0" w:color="auto"/>
              <w:right w:val="single" w:sz="4" w:space="0" w:color="auto"/>
            </w:tcBorders>
            <w:vAlign w:val="center"/>
            <w:hideMark/>
          </w:tcPr>
          <w:p w14:paraId="32C8C312" w14:textId="77777777" w:rsidR="0058566D" w:rsidRDefault="0058566D" w:rsidP="008935F7">
            <w:pPr>
              <w:pStyle w:val="TAH"/>
            </w:pPr>
            <w:r>
              <w:t>Io</w:t>
            </w:r>
            <w:r>
              <w:rPr>
                <w:vertAlign w:val="superscript"/>
              </w:rPr>
              <w:t xml:space="preserve"> Note 2</w:t>
            </w:r>
            <w:r>
              <w:t xml:space="preserve"> range</w:t>
            </w:r>
          </w:p>
        </w:tc>
      </w:tr>
      <w:tr w:rsidR="0058566D" w14:paraId="1D9451B0" w14:textId="77777777" w:rsidTr="008935F7">
        <w:trPr>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4EDA232F" w14:textId="77777777" w:rsidR="0058566D" w:rsidRDefault="0058566D" w:rsidP="008935F7">
            <w:pPr>
              <w:spacing w:after="0"/>
              <w:rPr>
                <w:rFonts w:ascii="Arial" w:hAnsi="Arial"/>
                <w:b/>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18498B2" w14:textId="77777777" w:rsidR="0058566D" w:rsidRDefault="0058566D" w:rsidP="008935F7">
            <w:pPr>
              <w:spacing w:after="0"/>
              <w:rPr>
                <w:rFonts w:ascii="Arial" w:hAnsi="Arial"/>
                <w:b/>
                <w:sz w:val="18"/>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76E2973D" w14:textId="77777777" w:rsidR="0058566D" w:rsidRDefault="0058566D" w:rsidP="008935F7">
            <w:pPr>
              <w:spacing w:after="0"/>
              <w:rPr>
                <w:rFonts w:ascii="Arial" w:hAnsi="Arial"/>
                <w:b/>
                <w:sz w:val="18"/>
              </w:rPr>
            </w:pPr>
          </w:p>
        </w:tc>
        <w:tc>
          <w:tcPr>
            <w:tcW w:w="3664" w:type="dxa"/>
            <w:gridSpan w:val="3"/>
            <w:tcBorders>
              <w:top w:val="single" w:sz="4" w:space="0" w:color="auto"/>
              <w:left w:val="single" w:sz="4" w:space="0" w:color="auto"/>
              <w:bottom w:val="single" w:sz="6" w:space="0" w:color="auto"/>
              <w:right w:val="single" w:sz="6" w:space="0" w:color="auto"/>
            </w:tcBorders>
            <w:vAlign w:val="center"/>
            <w:hideMark/>
          </w:tcPr>
          <w:p w14:paraId="6DD0F04D" w14:textId="77777777" w:rsidR="0058566D" w:rsidRDefault="0058566D" w:rsidP="008935F7">
            <w:pPr>
              <w:pStyle w:val="TAH"/>
            </w:pPr>
            <w:r>
              <w:t>Minimum Io</w:t>
            </w:r>
          </w:p>
        </w:tc>
        <w:tc>
          <w:tcPr>
            <w:tcW w:w="1555" w:type="dxa"/>
            <w:tcBorders>
              <w:top w:val="single" w:sz="4" w:space="0" w:color="auto"/>
              <w:left w:val="single" w:sz="6" w:space="0" w:color="auto"/>
              <w:bottom w:val="single" w:sz="6" w:space="0" w:color="auto"/>
              <w:right w:val="single" w:sz="4" w:space="0" w:color="auto"/>
            </w:tcBorders>
            <w:vAlign w:val="center"/>
            <w:hideMark/>
          </w:tcPr>
          <w:p w14:paraId="039F9E9B" w14:textId="77777777" w:rsidR="0058566D" w:rsidRDefault="0058566D" w:rsidP="008935F7">
            <w:pPr>
              <w:pStyle w:val="TAH"/>
            </w:pPr>
            <w:r>
              <w:t>Maximum Io</w:t>
            </w:r>
          </w:p>
        </w:tc>
      </w:tr>
      <w:tr w:rsidR="0058566D" w14:paraId="6CC4E9C9" w14:textId="77777777" w:rsidTr="008935F7">
        <w:trPr>
          <w:jc w:val="center"/>
        </w:trPr>
        <w:tc>
          <w:tcPr>
            <w:tcW w:w="1325" w:type="dxa"/>
            <w:vMerge w:val="restart"/>
            <w:tcBorders>
              <w:top w:val="single" w:sz="6" w:space="0" w:color="auto"/>
              <w:left w:val="single" w:sz="4" w:space="0" w:color="auto"/>
              <w:bottom w:val="single" w:sz="6" w:space="0" w:color="auto"/>
              <w:right w:val="single" w:sz="6" w:space="0" w:color="auto"/>
            </w:tcBorders>
            <w:vAlign w:val="center"/>
            <w:hideMark/>
          </w:tcPr>
          <w:p w14:paraId="5E0E9B50" w14:textId="77777777" w:rsidR="0058566D" w:rsidRDefault="0058566D" w:rsidP="008935F7">
            <w:pPr>
              <w:pStyle w:val="TAH"/>
            </w:pPr>
            <w:r>
              <w:t>dB</w:t>
            </w:r>
          </w:p>
        </w:tc>
        <w:tc>
          <w:tcPr>
            <w:tcW w:w="1224" w:type="dxa"/>
            <w:vMerge w:val="restart"/>
            <w:tcBorders>
              <w:top w:val="single" w:sz="6" w:space="0" w:color="auto"/>
              <w:left w:val="single" w:sz="6" w:space="0" w:color="auto"/>
              <w:bottom w:val="single" w:sz="6" w:space="0" w:color="auto"/>
              <w:right w:val="single" w:sz="6" w:space="0" w:color="auto"/>
            </w:tcBorders>
            <w:vAlign w:val="center"/>
            <w:hideMark/>
          </w:tcPr>
          <w:p w14:paraId="716925C0" w14:textId="77777777" w:rsidR="0058566D" w:rsidRDefault="0058566D" w:rsidP="008935F7">
            <w:pPr>
              <w:pStyle w:val="TAH"/>
            </w:pPr>
            <w:r>
              <w:t>dB</w:t>
            </w:r>
          </w:p>
        </w:tc>
        <w:tc>
          <w:tcPr>
            <w:tcW w:w="1021" w:type="dxa"/>
            <w:vMerge w:val="restart"/>
            <w:tcBorders>
              <w:top w:val="single" w:sz="6" w:space="0" w:color="auto"/>
              <w:left w:val="single" w:sz="4" w:space="0" w:color="auto"/>
              <w:bottom w:val="single" w:sz="6" w:space="0" w:color="auto"/>
              <w:right w:val="single" w:sz="4" w:space="0" w:color="auto"/>
            </w:tcBorders>
            <w:vAlign w:val="center"/>
            <w:hideMark/>
          </w:tcPr>
          <w:p w14:paraId="69DA20D9" w14:textId="77777777" w:rsidR="0058566D" w:rsidRDefault="0058566D" w:rsidP="008935F7">
            <w:pPr>
              <w:pStyle w:val="TAH"/>
              <w:rPr>
                <w:rFonts w:cs="Arial"/>
              </w:rPr>
            </w:pPr>
            <w:r>
              <w:t>dB</w:t>
            </w:r>
          </w:p>
        </w:tc>
        <w:tc>
          <w:tcPr>
            <w:tcW w:w="2110" w:type="dxa"/>
            <w:gridSpan w:val="2"/>
            <w:tcBorders>
              <w:top w:val="single" w:sz="6" w:space="0" w:color="auto"/>
              <w:left w:val="single" w:sz="4" w:space="0" w:color="auto"/>
              <w:bottom w:val="single" w:sz="6" w:space="0" w:color="auto"/>
              <w:right w:val="single" w:sz="6" w:space="0" w:color="auto"/>
            </w:tcBorders>
            <w:vAlign w:val="center"/>
            <w:hideMark/>
          </w:tcPr>
          <w:p w14:paraId="702B0676" w14:textId="77777777" w:rsidR="0058566D" w:rsidRDefault="0058566D" w:rsidP="008935F7">
            <w:pPr>
              <w:pStyle w:val="TAH"/>
            </w:pPr>
            <w:r>
              <w:rPr>
                <w:rFonts w:cs="Arial"/>
              </w:rPr>
              <w:t xml:space="preserve">dBm / </w:t>
            </w:r>
            <w:r>
              <w:t>SCS</w:t>
            </w:r>
            <w:r>
              <w:rPr>
                <w:vertAlign w:val="subscript"/>
              </w:rPr>
              <w:t>CSI-RS</w:t>
            </w:r>
            <w:r>
              <w:rPr>
                <w:vertAlign w:val="superscript"/>
              </w:rPr>
              <w:t xml:space="preserve"> Note 1</w:t>
            </w:r>
          </w:p>
        </w:tc>
        <w:tc>
          <w:tcPr>
            <w:tcW w:w="1554" w:type="dxa"/>
            <w:vMerge w:val="restart"/>
            <w:tcBorders>
              <w:top w:val="single" w:sz="6" w:space="0" w:color="auto"/>
              <w:left w:val="single" w:sz="6" w:space="0" w:color="auto"/>
              <w:bottom w:val="single" w:sz="6" w:space="0" w:color="auto"/>
              <w:right w:val="single" w:sz="6" w:space="0" w:color="auto"/>
            </w:tcBorders>
            <w:vAlign w:val="center"/>
            <w:hideMark/>
          </w:tcPr>
          <w:p w14:paraId="3DA3D0B5" w14:textId="77777777" w:rsidR="0058566D" w:rsidRDefault="0058566D" w:rsidP="008935F7">
            <w:pPr>
              <w:pStyle w:val="TAH"/>
            </w:pPr>
            <w:r>
              <w:t>dBm/BW</w:t>
            </w:r>
            <w:r>
              <w:rPr>
                <w:vertAlign w:val="subscript"/>
              </w:rPr>
              <w:t>Channel</w:t>
            </w:r>
          </w:p>
        </w:tc>
        <w:tc>
          <w:tcPr>
            <w:tcW w:w="1555" w:type="dxa"/>
            <w:vMerge w:val="restart"/>
            <w:tcBorders>
              <w:top w:val="single" w:sz="6" w:space="0" w:color="auto"/>
              <w:left w:val="single" w:sz="6" w:space="0" w:color="auto"/>
              <w:bottom w:val="single" w:sz="6" w:space="0" w:color="auto"/>
              <w:right w:val="single" w:sz="4" w:space="0" w:color="auto"/>
            </w:tcBorders>
            <w:vAlign w:val="center"/>
            <w:hideMark/>
          </w:tcPr>
          <w:p w14:paraId="508A82B3" w14:textId="77777777" w:rsidR="0058566D" w:rsidRDefault="0058566D" w:rsidP="008935F7">
            <w:pPr>
              <w:pStyle w:val="TAH"/>
            </w:pPr>
            <w:r>
              <w:t>dBm/BW</w:t>
            </w:r>
            <w:r>
              <w:rPr>
                <w:vertAlign w:val="subscript"/>
              </w:rPr>
              <w:t>Channel</w:t>
            </w:r>
          </w:p>
        </w:tc>
      </w:tr>
      <w:tr w:rsidR="0058566D" w14:paraId="52671841" w14:textId="77777777" w:rsidTr="008935F7">
        <w:trPr>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5949BF46" w14:textId="77777777" w:rsidR="0058566D" w:rsidRDefault="0058566D" w:rsidP="008935F7">
            <w:pPr>
              <w:spacing w:after="0"/>
              <w:rPr>
                <w:rFonts w:ascii="Arial" w:hAnsi="Arial"/>
                <w:b/>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D3BD8FC" w14:textId="77777777" w:rsidR="0058566D" w:rsidRDefault="0058566D" w:rsidP="008935F7">
            <w:pPr>
              <w:spacing w:after="0"/>
              <w:rPr>
                <w:rFonts w:ascii="Arial" w:hAnsi="Arial"/>
                <w:b/>
                <w:sz w:val="18"/>
              </w:rPr>
            </w:pP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7C0045B6" w14:textId="77777777" w:rsidR="0058566D" w:rsidRDefault="0058566D" w:rsidP="008935F7">
            <w:pPr>
              <w:spacing w:after="0"/>
              <w:rPr>
                <w:rFonts w:ascii="Arial" w:hAnsi="Arial" w:cs="Arial"/>
                <w:b/>
                <w:sz w:val="18"/>
              </w:rPr>
            </w:pPr>
          </w:p>
        </w:tc>
        <w:tc>
          <w:tcPr>
            <w:tcW w:w="1054" w:type="dxa"/>
            <w:tcBorders>
              <w:top w:val="single" w:sz="6" w:space="0" w:color="auto"/>
              <w:left w:val="single" w:sz="4" w:space="0" w:color="auto"/>
              <w:bottom w:val="single" w:sz="6" w:space="0" w:color="auto"/>
              <w:right w:val="single" w:sz="6" w:space="0" w:color="auto"/>
            </w:tcBorders>
            <w:vAlign w:val="center"/>
            <w:hideMark/>
          </w:tcPr>
          <w:p w14:paraId="317F5539" w14:textId="77777777" w:rsidR="0058566D" w:rsidRDefault="0058566D" w:rsidP="008935F7">
            <w:pPr>
              <w:pStyle w:val="TAH"/>
            </w:pPr>
            <w:r>
              <w:t>SCS</w:t>
            </w:r>
            <w:r>
              <w:rPr>
                <w:vertAlign w:val="subscript"/>
              </w:rPr>
              <w:t>CSI-RS</w:t>
            </w:r>
            <w:r>
              <w:rPr>
                <w:rFonts w:cs="Arial"/>
              </w:rPr>
              <w:t xml:space="preserve"> = 60kHz</w:t>
            </w:r>
          </w:p>
        </w:tc>
        <w:tc>
          <w:tcPr>
            <w:tcW w:w="1056" w:type="dxa"/>
            <w:tcBorders>
              <w:top w:val="single" w:sz="6" w:space="0" w:color="auto"/>
              <w:left w:val="single" w:sz="4" w:space="0" w:color="auto"/>
              <w:bottom w:val="single" w:sz="6" w:space="0" w:color="auto"/>
              <w:right w:val="single" w:sz="6" w:space="0" w:color="auto"/>
            </w:tcBorders>
            <w:vAlign w:val="center"/>
            <w:hideMark/>
          </w:tcPr>
          <w:p w14:paraId="7CF53A27" w14:textId="77777777" w:rsidR="0058566D" w:rsidRDefault="0058566D" w:rsidP="008935F7">
            <w:pPr>
              <w:pStyle w:val="TAH"/>
            </w:pPr>
            <w:r>
              <w:t>SCS</w:t>
            </w:r>
            <w:r>
              <w:rPr>
                <w:vertAlign w:val="subscript"/>
              </w:rPr>
              <w:t>CSI-RS</w:t>
            </w:r>
            <w:r>
              <w:rPr>
                <w:rFonts w:cs="Arial"/>
              </w:rPr>
              <w:t xml:space="preserve"> = 120kHz</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C4F130" w14:textId="77777777" w:rsidR="0058566D" w:rsidRDefault="0058566D" w:rsidP="008935F7">
            <w:pPr>
              <w:spacing w:after="0"/>
              <w:rPr>
                <w:rFonts w:ascii="Arial" w:hAnsi="Arial"/>
                <w:b/>
                <w:sz w:val="18"/>
              </w:rPr>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2C65A491" w14:textId="77777777" w:rsidR="0058566D" w:rsidRDefault="0058566D" w:rsidP="008935F7">
            <w:pPr>
              <w:spacing w:after="0"/>
              <w:rPr>
                <w:rFonts w:ascii="Arial" w:hAnsi="Arial"/>
                <w:b/>
                <w:sz w:val="18"/>
              </w:rPr>
            </w:pPr>
          </w:p>
        </w:tc>
      </w:tr>
      <w:tr w:rsidR="0058566D" w14:paraId="37A087CB" w14:textId="77777777" w:rsidTr="008935F7">
        <w:trPr>
          <w:jc w:val="center"/>
        </w:trPr>
        <w:tc>
          <w:tcPr>
            <w:tcW w:w="1325" w:type="dxa"/>
            <w:tcBorders>
              <w:top w:val="single" w:sz="6" w:space="0" w:color="auto"/>
              <w:left w:val="single" w:sz="4" w:space="0" w:color="auto"/>
              <w:bottom w:val="nil"/>
              <w:right w:val="single" w:sz="6" w:space="0" w:color="auto"/>
            </w:tcBorders>
            <w:vAlign w:val="center"/>
            <w:hideMark/>
          </w:tcPr>
          <w:p w14:paraId="581A5DB0" w14:textId="77777777" w:rsidR="0058566D" w:rsidRDefault="0058566D" w:rsidP="008935F7">
            <w:pPr>
              <w:pStyle w:val="TAC"/>
            </w:pPr>
            <w:r>
              <w:sym w:font="Symbol" w:char="F0B1"/>
            </w:r>
            <w:r>
              <w:t>6</w:t>
            </w:r>
          </w:p>
        </w:tc>
        <w:tc>
          <w:tcPr>
            <w:tcW w:w="1224" w:type="dxa"/>
            <w:tcBorders>
              <w:top w:val="single" w:sz="6" w:space="0" w:color="auto"/>
              <w:left w:val="single" w:sz="6" w:space="0" w:color="auto"/>
              <w:bottom w:val="nil"/>
              <w:right w:val="single" w:sz="6" w:space="0" w:color="auto"/>
            </w:tcBorders>
            <w:vAlign w:val="center"/>
            <w:hideMark/>
          </w:tcPr>
          <w:p w14:paraId="06890E3F" w14:textId="77777777" w:rsidR="0058566D" w:rsidRDefault="0058566D" w:rsidP="008935F7">
            <w:pPr>
              <w:pStyle w:val="TAC"/>
            </w:pPr>
            <w:r>
              <w:sym w:font="Symbol" w:char="F0B1"/>
            </w:r>
            <w:r>
              <w:t>9</w:t>
            </w:r>
          </w:p>
        </w:tc>
        <w:tc>
          <w:tcPr>
            <w:tcW w:w="1021" w:type="dxa"/>
            <w:vMerge w:val="restart"/>
            <w:tcBorders>
              <w:top w:val="single" w:sz="6" w:space="0" w:color="auto"/>
              <w:left w:val="single" w:sz="4" w:space="0" w:color="auto"/>
              <w:bottom w:val="nil"/>
              <w:right w:val="single" w:sz="4" w:space="0" w:color="auto"/>
            </w:tcBorders>
            <w:vAlign w:val="center"/>
            <w:hideMark/>
          </w:tcPr>
          <w:p w14:paraId="52F42A2D" w14:textId="77777777" w:rsidR="0058566D" w:rsidRDefault="0058566D" w:rsidP="008935F7">
            <w:pPr>
              <w:pStyle w:val="TAC"/>
            </w:pPr>
            <w:r>
              <w:rPr>
                <w:rFonts w:eastAsia="Yu Mincho" w:cs="Arial"/>
                <w:lang w:eastAsia="ja-JP"/>
              </w:rPr>
              <w:t>≥-6</w:t>
            </w:r>
          </w:p>
        </w:tc>
        <w:tc>
          <w:tcPr>
            <w:tcW w:w="2110" w:type="dxa"/>
            <w:gridSpan w:val="2"/>
            <w:tcBorders>
              <w:top w:val="single" w:sz="6" w:space="0" w:color="auto"/>
              <w:left w:val="single" w:sz="4" w:space="0" w:color="auto"/>
              <w:bottom w:val="single" w:sz="6" w:space="0" w:color="auto"/>
              <w:right w:val="single" w:sz="6" w:space="0" w:color="auto"/>
            </w:tcBorders>
            <w:vAlign w:val="center"/>
            <w:hideMark/>
          </w:tcPr>
          <w:p w14:paraId="7C02EF63" w14:textId="77777777" w:rsidR="0058566D" w:rsidRDefault="0058566D" w:rsidP="008935F7">
            <w:pPr>
              <w:pStyle w:val="TAC"/>
              <w:rPr>
                <w:rFonts w:eastAsia="Yu Mincho"/>
                <w:lang w:eastAsia="ja-JP"/>
              </w:rPr>
            </w:pPr>
            <w:r>
              <w:t>Same value as CSI-RS_RP in Table B.2.8-2, according to UE Power class, operating band and angle of arrival</w:t>
            </w:r>
          </w:p>
        </w:tc>
        <w:tc>
          <w:tcPr>
            <w:tcW w:w="1554" w:type="dxa"/>
            <w:tcBorders>
              <w:top w:val="single" w:sz="6" w:space="0" w:color="auto"/>
              <w:left w:val="single" w:sz="6" w:space="0" w:color="auto"/>
              <w:bottom w:val="single" w:sz="6" w:space="0" w:color="auto"/>
              <w:right w:val="single" w:sz="6" w:space="0" w:color="auto"/>
            </w:tcBorders>
            <w:vAlign w:val="center"/>
            <w:hideMark/>
          </w:tcPr>
          <w:p w14:paraId="17A6B083" w14:textId="77777777" w:rsidR="0058566D" w:rsidRDefault="0058566D" w:rsidP="008935F7">
            <w:pPr>
              <w:pStyle w:val="TAC"/>
            </w:pPr>
            <w:r>
              <w:rPr>
                <w:lang w:eastAsia="zh-CN"/>
              </w:rPr>
              <w:t>N/A</w:t>
            </w:r>
          </w:p>
        </w:tc>
        <w:tc>
          <w:tcPr>
            <w:tcW w:w="1555" w:type="dxa"/>
            <w:tcBorders>
              <w:top w:val="single" w:sz="6" w:space="0" w:color="auto"/>
              <w:left w:val="single" w:sz="6" w:space="0" w:color="auto"/>
              <w:bottom w:val="single" w:sz="6" w:space="0" w:color="auto"/>
              <w:right w:val="single" w:sz="4" w:space="0" w:color="auto"/>
            </w:tcBorders>
            <w:vAlign w:val="center"/>
            <w:hideMark/>
          </w:tcPr>
          <w:p w14:paraId="70CE5BB1" w14:textId="77777777" w:rsidR="0058566D" w:rsidRDefault="0058566D" w:rsidP="008935F7">
            <w:pPr>
              <w:pStyle w:val="TAC"/>
            </w:pPr>
            <w:r>
              <w:t>-70</w:t>
            </w:r>
          </w:p>
        </w:tc>
      </w:tr>
      <w:tr w:rsidR="0058566D" w14:paraId="398D82EE" w14:textId="77777777" w:rsidTr="008935F7">
        <w:trPr>
          <w:jc w:val="center"/>
        </w:trPr>
        <w:tc>
          <w:tcPr>
            <w:tcW w:w="1325" w:type="dxa"/>
            <w:tcBorders>
              <w:top w:val="single" w:sz="6" w:space="0" w:color="auto"/>
              <w:left w:val="single" w:sz="4" w:space="0" w:color="auto"/>
              <w:bottom w:val="single" w:sz="6" w:space="0" w:color="auto"/>
              <w:right w:val="single" w:sz="6" w:space="0" w:color="auto"/>
            </w:tcBorders>
            <w:vAlign w:val="center"/>
            <w:hideMark/>
          </w:tcPr>
          <w:p w14:paraId="24863F34" w14:textId="77777777" w:rsidR="0058566D" w:rsidRDefault="0058566D" w:rsidP="008935F7">
            <w:pPr>
              <w:pStyle w:val="TAC"/>
            </w:pPr>
            <w:r>
              <w:sym w:font="Symbol" w:char="F0B1"/>
            </w:r>
            <w:r>
              <w:t>8</w:t>
            </w:r>
          </w:p>
        </w:tc>
        <w:tc>
          <w:tcPr>
            <w:tcW w:w="1224" w:type="dxa"/>
            <w:tcBorders>
              <w:top w:val="single" w:sz="6" w:space="0" w:color="auto"/>
              <w:left w:val="single" w:sz="6" w:space="0" w:color="auto"/>
              <w:bottom w:val="single" w:sz="6" w:space="0" w:color="auto"/>
              <w:right w:val="single" w:sz="6" w:space="0" w:color="auto"/>
            </w:tcBorders>
            <w:vAlign w:val="center"/>
            <w:hideMark/>
          </w:tcPr>
          <w:p w14:paraId="4D337A2B" w14:textId="77777777" w:rsidR="0058566D" w:rsidRDefault="0058566D" w:rsidP="008935F7">
            <w:pPr>
              <w:pStyle w:val="TAC"/>
            </w:pPr>
            <w:r>
              <w:sym w:font="Symbol" w:char="F0B1"/>
            </w:r>
            <w:r>
              <w:t>11</w:t>
            </w:r>
          </w:p>
        </w:tc>
        <w:tc>
          <w:tcPr>
            <w:tcW w:w="0" w:type="auto"/>
            <w:vMerge/>
            <w:tcBorders>
              <w:top w:val="single" w:sz="6" w:space="0" w:color="auto"/>
              <w:left w:val="single" w:sz="4" w:space="0" w:color="auto"/>
              <w:bottom w:val="nil"/>
              <w:right w:val="single" w:sz="4" w:space="0" w:color="auto"/>
            </w:tcBorders>
            <w:vAlign w:val="center"/>
            <w:hideMark/>
          </w:tcPr>
          <w:p w14:paraId="4AE29A03" w14:textId="77777777" w:rsidR="0058566D" w:rsidRDefault="0058566D" w:rsidP="008935F7">
            <w:pPr>
              <w:spacing w:after="0"/>
              <w:rPr>
                <w:rFonts w:ascii="Arial" w:hAnsi="Arial"/>
                <w:sz w:val="18"/>
              </w:rPr>
            </w:pPr>
          </w:p>
        </w:tc>
        <w:tc>
          <w:tcPr>
            <w:tcW w:w="2110" w:type="dxa"/>
            <w:gridSpan w:val="2"/>
            <w:tcBorders>
              <w:top w:val="single" w:sz="6" w:space="0" w:color="auto"/>
              <w:left w:val="single" w:sz="4" w:space="0" w:color="auto"/>
              <w:bottom w:val="single" w:sz="6" w:space="0" w:color="auto"/>
              <w:right w:val="single" w:sz="6" w:space="0" w:color="auto"/>
            </w:tcBorders>
            <w:vAlign w:val="center"/>
            <w:hideMark/>
          </w:tcPr>
          <w:p w14:paraId="723B4F7C" w14:textId="77777777" w:rsidR="0058566D" w:rsidRDefault="0058566D" w:rsidP="008935F7">
            <w:pPr>
              <w:pStyle w:val="TAC"/>
            </w:pPr>
            <w:r>
              <w:t>N/A</w:t>
            </w:r>
          </w:p>
        </w:tc>
        <w:tc>
          <w:tcPr>
            <w:tcW w:w="1554" w:type="dxa"/>
            <w:tcBorders>
              <w:top w:val="single" w:sz="6" w:space="0" w:color="auto"/>
              <w:left w:val="single" w:sz="6" w:space="0" w:color="auto"/>
              <w:bottom w:val="single" w:sz="6" w:space="0" w:color="auto"/>
              <w:right w:val="single" w:sz="6" w:space="0" w:color="auto"/>
            </w:tcBorders>
            <w:vAlign w:val="center"/>
            <w:hideMark/>
          </w:tcPr>
          <w:p w14:paraId="6865458D" w14:textId="77777777" w:rsidR="0058566D" w:rsidRDefault="0058566D" w:rsidP="008935F7">
            <w:pPr>
              <w:pStyle w:val="TAC"/>
            </w:pPr>
            <w:r>
              <w:t>-70</w:t>
            </w:r>
          </w:p>
        </w:tc>
        <w:tc>
          <w:tcPr>
            <w:tcW w:w="1555" w:type="dxa"/>
            <w:tcBorders>
              <w:top w:val="single" w:sz="6" w:space="0" w:color="auto"/>
              <w:left w:val="single" w:sz="6" w:space="0" w:color="auto"/>
              <w:bottom w:val="single" w:sz="6" w:space="0" w:color="auto"/>
              <w:right w:val="single" w:sz="4" w:space="0" w:color="auto"/>
            </w:tcBorders>
            <w:vAlign w:val="center"/>
            <w:hideMark/>
          </w:tcPr>
          <w:p w14:paraId="102A15A8" w14:textId="77777777" w:rsidR="0058566D" w:rsidRDefault="0058566D" w:rsidP="008935F7">
            <w:pPr>
              <w:pStyle w:val="TAC"/>
            </w:pPr>
            <w:r>
              <w:t>-50</w:t>
            </w:r>
          </w:p>
        </w:tc>
      </w:tr>
      <w:tr w:rsidR="0058566D" w14:paraId="2B2653D8" w14:textId="77777777" w:rsidTr="008935F7">
        <w:trPr>
          <w:jc w:val="center"/>
        </w:trPr>
        <w:tc>
          <w:tcPr>
            <w:tcW w:w="8789" w:type="dxa"/>
            <w:gridSpan w:val="7"/>
            <w:tcBorders>
              <w:top w:val="single" w:sz="6" w:space="0" w:color="auto"/>
              <w:left w:val="single" w:sz="4" w:space="0" w:color="auto"/>
              <w:bottom w:val="single" w:sz="6" w:space="0" w:color="auto"/>
              <w:right w:val="single" w:sz="4" w:space="0" w:color="auto"/>
            </w:tcBorders>
            <w:vAlign w:val="center"/>
            <w:hideMark/>
          </w:tcPr>
          <w:p w14:paraId="04E4C772" w14:textId="77777777" w:rsidR="0058566D" w:rsidRDefault="0058566D" w:rsidP="008935F7">
            <w:pPr>
              <w:pStyle w:val="TAN"/>
            </w:pPr>
            <w:r>
              <w:t>Note 1:</w:t>
            </w:r>
            <w:r>
              <w:tab/>
              <w:t>Values based on Refsens and EIS spherical coverage as defined in clauses 7.3.2 and 7.3.4 of TS 38.101-2 [19]. Applicable side condition selected depending on angle of arrival.</w:t>
            </w:r>
          </w:p>
          <w:p w14:paraId="57C411DE" w14:textId="77777777" w:rsidR="0058566D" w:rsidRDefault="0058566D" w:rsidP="008935F7">
            <w:pPr>
              <w:pStyle w:val="TAN"/>
            </w:pPr>
            <w:r>
              <w:t>Note 2:</w:t>
            </w:r>
            <w:r>
              <w:tab/>
            </w:r>
            <w:r>
              <w:rPr>
                <w:rFonts w:eastAsia="MS Mincho"/>
              </w:rPr>
              <w:t>Io specified at the Reference point, and assumed to have constant EPRE across the bandwidth</w:t>
            </w:r>
            <w:r>
              <w:t>.</w:t>
            </w:r>
          </w:p>
          <w:p w14:paraId="17EE46FF" w14:textId="77777777" w:rsidR="0058566D" w:rsidRDefault="0058566D" w:rsidP="008935F7">
            <w:pPr>
              <w:pStyle w:val="TAN"/>
            </w:pPr>
            <w:r>
              <w:t>Note 3:</w:t>
            </w:r>
            <w:r>
              <w:tab/>
              <w:t>In the test cases, the CSI-RS Ês/Iot and related parameters may need to be adjusted to ensure Ês/Iot at UE baseband is above the value defined in this table.</w:t>
            </w:r>
          </w:p>
        </w:tc>
      </w:tr>
    </w:tbl>
    <w:p w14:paraId="786B4993" w14:textId="77777777" w:rsidR="0058566D" w:rsidRDefault="0058566D" w:rsidP="0058566D">
      <w:pPr>
        <w:rPr>
          <w:noProof/>
          <w:highlight w:val="yellow"/>
          <w:lang w:eastAsia="zh-CN"/>
        </w:rPr>
      </w:pPr>
    </w:p>
    <w:p w14:paraId="46F290E0" w14:textId="77777777" w:rsidR="0058566D" w:rsidRDefault="0058566D" w:rsidP="0058566D">
      <w:pPr>
        <w:pStyle w:val="Heading5"/>
      </w:pPr>
      <w:r>
        <w:t>10.1.3.3.2</w:t>
      </w:r>
      <w:r>
        <w:tab/>
        <w:t>Relative CSI-RSRP Accuracy</w:t>
      </w:r>
    </w:p>
    <w:p w14:paraId="62ACC09B" w14:textId="77777777" w:rsidR="0058566D" w:rsidRDefault="0058566D" w:rsidP="0058566D">
      <w:pPr>
        <w:rPr>
          <w:rFonts w:cs="v4.2.0"/>
        </w:rPr>
      </w:pPr>
      <w:r>
        <w:rPr>
          <w:rFonts w:cs="v4.2.0"/>
        </w:rPr>
        <w:t xml:space="preserve">The relative accuracy of </w:t>
      </w:r>
      <w:r>
        <w:rPr>
          <w:rFonts w:cs="v4.2.0"/>
          <w:lang w:eastAsia="zh-CN"/>
        </w:rPr>
        <w:t>CSI-RSRP</w:t>
      </w:r>
      <w:r>
        <w:rPr>
          <w:rFonts w:cs="v4.2.0"/>
        </w:rPr>
        <w:t xml:space="preserve"> is defined as the </w:t>
      </w:r>
      <w:r>
        <w:rPr>
          <w:rFonts w:cs="v4.2.0"/>
          <w:lang w:eastAsia="zh-CN"/>
        </w:rPr>
        <w:t>CSI-RSRP</w:t>
      </w:r>
      <w:r>
        <w:rPr>
          <w:rFonts w:cs="v4.2.0"/>
        </w:rPr>
        <w:t xml:space="preserve"> measured from one cell compared to the </w:t>
      </w:r>
      <w:r>
        <w:rPr>
          <w:rFonts w:cs="v4.2.0"/>
          <w:lang w:eastAsia="zh-CN"/>
        </w:rPr>
        <w:t>CSI-RSRP</w:t>
      </w:r>
      <w:r>
        <w:rPr>
          <w:rFonts w:cs="v4.2.0"/>
        </w:rPr>
        <w:t xml:space="preserve"> measured from another cell on the same center frequency, or between any two CSI-RSRP levels measured on the same cell in FR2.</w:t>
      </w:r>
    </w:p>
    <w:p w14:paraId="1865F558" w14:textId="77777777" w:rsidR="0058566D" w:rsidRDefault="0058566D" w:rsidP="0058566D">
      <w:pPr>
        <w:pStyle w:val="B10"/>
        <w:rPr>
          <w:lang w:eastAsia="zh-CN"/>
        </w:rPr>
      </w:pPr>
      <w:r>
        <w:t>-</w:t>
      </w:r>
      <w:r>
        <w:tab/>
        <w:t>Conditions defined in clause 7.3 of TS 38.101-2 [19] for reference sensitivity are fulfilled.</w:t>
      </w:r>
    </w:p>
    <w:p w14:paraId="1A81EE30" w14:textId="77777777" w:rsidR="0058566D" w:rsidRDefault="0058566D" w:rsidP="00F37389">
      <w:pPr>
        <w:pStyle w:val="B10"/>
      </w:pPr>
      <w:r>
        <w:t>-</w:t>
      </w:r>
      <w:r>
        <w:tab/>
        <w:t>Conditions for intra-frequency measurements are fulfilled according to Annex B.2.2 for a corresponding Band for each associated SSB(s).</w:t>
      </w:r>
    </w:p>
    <w:p w14:paraId="059B6A47" w14:textId="77777777" w:rsidR="0058566D" w:rsidRDefault="0058566D" w:rsidP="0058566D">
      <w:pPr>
        <w:pStyle w:val="B10"/>
      </w:pPr>
      <w:r>
        <w:t>-</w:t>
      </w:r>
      <w:r>
        <w:tab/>
      </w:r>
      <w:r w:rsidRPr="00B25D3D">
        <w:t xml:space="preserve">Conditions for intra-frequency measurements are fulfilled </w:t>
      </w:r>
      <w:r w:rsidRPr="00B4252A">
        <w:t>according to Annex B.2.</w:t>
      </w:r>
      <w:r>
        <w:t>8</w:t>
      </w:r>
      <w:r w:rsidRPr="00B4252A">
        <w:t xml:space="preserve"> for a corresponding</w:t>
      </w:r>
      <w:r w:rsidRPr="00B25D3D">
        <w:t xml:space="preserve"> Band </w:t>
      </w:r>
      <w:r w:rsidRPr="00B25D3D">
        <w:rPr>
          <w:rFonts w:cs="v4.2.0"/>
          <w:lang w:eastAsia="ko-KR"/>
        </w:rPr>
        <w:t xml:space="preserve">for </w:t>
      </w:r>
      <w:r>
        <w:rPr>
          <w:rFonts w:cs="v4.2.0"/>
          <w:lang w:eastAsia="ko-KR"/>
        </w:rPr>
        <w:t>each CSI-RS to be measured.</w:t>
      </w:r>
    </w:p>
    <w:p w14:paraId="3648DA2B" w14:textId="77777777" w:rsidR="0058566D" w:rsidRPr="005C146D" w:rsidRDefault="0058566D" w:rsidP="0058566D">
      <w:pPr>
        <w:pStyle w:val="B10"/>
        <w:rPr>
          <w:lang w:eastAsia="zh-CN"/>
        </w:rPr>
      </w:pPr>
      <w:r>
        <w:rPr>
          <w:rFonts w:hint="eastAsia"/>
          <w:lang w:eastAsia="zh-CN"/>
        </w:rPr>
        <w:t>-</w:t>
      </w:r>
      <w:r>
        <w:tab/>
      </w:r>
      <w:r w:rsidRPr="006820F3">
        <w:t>The bandwidth of CSI-RS is 48 PRBs and the density is 3. The performance with larger bandwidth of CSI-RS is equal to or better than the accuracy requirements in Table 10.1.</w:t>
      </w:r>
      <w:r>
        <w:rPr>
          <w:rFonts w:hint="eastAsia"/>
          <w:lang w:eastAsia="zh-CN"/>
        </w:rPr>
        <w:t>3</w:t>
      </w:r>
      <w:r w:rsidRPr="006820F3">
        <w:t>.</w:t>
      </w:r>
      <w:r>
        <w:rPr>
          <w:rFonts w:hint="eastAsia"/>
          <w:lang w:eastAsia="zh-CN"/>
        </w:rPr>
        <w:t>3</w:t>
      </w:r>
      <w:r w:rsidRPr="006820F3">
        <w:t>.</w:t>
      </w:r>
      <w:r>
        <w:rPr>
          <w:rFonts w:hint="eastAsia"/>
          <w:lang w:eastAsia="zh-CN"/>
        </w:rPr>
        <w:t>2</w:t>
      </w:r>
      <w:r w:rsidRPr="006820F3">
        <w:t>-1.</w:t>
      </w:r>
      <w:r>
        <w:t xml:space="preserve"> </w:t>
      </w:r>
    </w:p>
    <w:p w14:paraId="23E67C30" w14:textId="079C1E46" w:rsidR="0058566D" w:rsidRDefault="0058566D" w:rsidP="0058566D">
      <w:pPr>
        <w:pStyle w:val="B10"/>
      </w:pPr>
      <w:r>
        <w:t>-</w:t>
      </w:r>
      <w:r>
        <w:tab/>
      </w:r>
      <w:r>
        <w:rPr>
          <w:rFonts w:hint="eastAsia"/>
          <w:lang w:eastAsia="zh-CN"/>
        </w:rPr>
        <w:t>The</w:t>
      </w:r>
      <w:r w:rsidRPr="003A519B">
        <w:t xml:space="preserve"> timing offset between the reference measurement timing and the target CSI-RS in one layer </w:t>
      </w:r>
      <w:r>
        <w:t xml:space="preserve">is </w:t>
      </w:r>
      <w:r w:rsidRPr="003A519B">
        <w:t>no larger than CP</w:t>
      </w:r>
      <w:r>
        <w:t>.</w:t>
      </w:r>
    </w:p>
    <w:p w14:paraId="0B421808" w14:textId="71341BB2" w:rsidR="008935F7" w:rsidRDefault="008935F7" w:rsidP="00AB368A">
      <w:pPr>
        <w:pStyle w:val="NO"/>
        <w:rPr>
          <w:lang w:eastAsia="zh-CN"/>
        </w:rPr>
      </w:pPr>
      <w:r w:rsidRPr="005854E7">
        <w:rPr>
          <w:lang w:eastAsia="zh-CN"/>
        </w:rPr>
        <w:t>Note:</w:t>
      </w:r>
      <w:r w:rsidR="00AB368A">
        <w:rPr>
          <w:lang w:eastAsia="zh-CN"/>
        </w:rPr>
        <w:tab/>
      </w:r>
      <w:r w:rsidRPr="005854E7">
        <w:rPr>
          <w:lang w:eastAsia="zh-CN"/>
        </w:rPr>
        <w:t>The reference measurement timing for one layer for intra-frequency measurement is serving cell timing.</w:t>
      </w:r>
    </w:p>
    <w:p w14:paraId="46CA2462" w14:textId="77777777" w:rsidR="0058566D" w:rsidRDefault="0058566D" w:rsidP="0058566D">
      <w:pPr>
        <w:pStyle w:val="B10"/>
      </w:pPr>
      <w:r>
        <w:t>-</w:t>
      </w:r>
      <w:r>
        <w:tab/>
        <w:t xml:space="preserve">The measured signals are in the directions covered by the percentile EIS spherical coverage of the UE, defined in </w:t>
      </w:r>
      <w:r>
        <w:rPr>
          <w:rFonts w:cs="Arial"/>
        </w:rPr>
        <w:t>clause 7.3.4 of TS 38.101-2 [19]</w:t>
      </w:r>
      <w:r>
        <w:t>.</w:t>
      </w:r>
    </w:p>
    <w:p w14:paraId="350CE8C3" w14:textId="77777777" w:rsidR="0058566D" w:rsidRDefault="0058566D" w:rsidP="0058566D">
      <w:pPr>
        <w:pStyle w:val="TH"/>
      </w:pPr>
      <w:r>
        <w:t xml:space="preserve">Table </w:t>
      </w:r>
      <w:r>
        <w:rPr>
          <w:lang w:eastAsia="zh-CN"/>
        </w:rPr>
        <w:t>10.1.3.3.2</w:t>
      </w:r>
      <w:r>
        <w:t xml:space="preserve">-1: </w:t>
      </w:r>
      <w:r>
        <w:rPr>
          <w:lang w:eastAsia="zh-CN"/>
        </w:rPr>
        <w:t>CSI-RSRP</w:t>
      </w:r>
      <w:r>
        <w:t xml:space="preserve"> Intra frequency relative accuracy in FR2</w:t>
      </w:r>
    </w:p>
    <w:tbl>
      <w:tblPr>
        <w:tblW w:w="7019" w:type="dxa"/>
        <w:jc w:val="center"/>
        <w:tblLook w:val="01E0" w:firstRow="1" w:lastRow="1" w:firstColumn="1" w:lastColumn="1" w:noHBand="0" w:noVBand="0"/>
      </w:tblPr>
      <w:tblGrid>
        <w:gridCol w:w="1111"/>
        <w:gridCol w:w="1111"/>
        <w:gridCol w:w="1110"/>
        <w:gridCol w:w="1057"/>
        <w:gridCol w:w="1057"/>
        <w:gridCol w:w="1573"/>
      </w:tblGrid>
      <w:tr w:rsidR="0058566D" w14:paraId="11856665" w14:textId="77777777" w:rsidTr="008935F7">
        <w:trPr>
          <w:jc w:val="center"/>
        </w:trPr>
        <w:tc>
          <w:tcPr>
            <w:tcW w:w="2222" w:type="dxa"/>
            <w:gridSpan w:val="2"/>
            <w:tcBorders>
              <w:top w:val="single" w:sz="6" w:space="0" w:color="auto"/>
              <w:left w:val="single" w:sz="4" w:space="0" w:color="auto"/>
              <w:bottom w:val="nil"/>
              <w:right w:val="single" w:sz="6" w:space="0" w:color="auto"/>
            </w:tcBorders>
            <w:vAlign w:val="center"/>
            <w:hideMark/>
          </w:tcPr>
          <w:p w14:paraId="4B4A51D6" w14:textId="77777777" w:rsidR="0058566D" w:rsidRDefault="0058566D" w:rsidP="008935F7">
            <w:pPr>
              <w:pStyle w:val="TAH"/>
            </w:pPr>
            <w:r>
              <w:t>Accuracy</w:t>
            </w:r>
          </w:p>
        </w:tc>
        <w:tc>
          <w:tcPr>
            <w:tcW w:w="4797" w:type="dxa"/>
            <w:gridSpan w:val="4"/>
            <w:tcBorders>
              <w:top w:val="single" w:sz="6" w:space="0" w:color="auto"/>
              <w:left w:val="single" w:sz="4" w:space="0" w:color="auto"/>
              <w:bottom w:val="nil"/>
              <w:right w:val="single" w:sz="4" w:space="0" w:color="auto"/>
            </w:tcBorders>
            <w:vAlign w:val="center"/>
            <w:hideMark/>
          </w:tcPr>
          <w:p w14:paraId="7D326624" w14:textId="77777777" w:rsidR="0058566D" w:rsidRDefault="0058566D" w:rsidP="008935F7">
            <w:pPr>
              <w:pStyle w:val="TAH"/>
            </w:pPr>
            <w:r>
              <w:t>Conditions</w:t>
            </w:r>
          </w:p>
        </w:tc>
      </w:tr>
      <w:tr w:rsidR="0058566D" w14:paraId="1B6F51FF" w14:textId="77777777" w:rsidTr="008935F7">
        <w:trPr>
          <w:jc w:val="center"/>
        </w:trPr>
        <w:tc>
          <w:tcPr>
            <w:tcW w:w="1111" w:type="dxa"/>
            <w:vMerge w:val="restart"/>
            <w:tcBorders>
              <w:top w:val="single" w:sz="6" w:space="0" w:color="auto"/>
              <w:left w:val="single" w:sz="4" w:space="0" w:color="auto"/>
              <w:bottom w:val="nil"/>
              <w:right w:val="single" w:sz="6" w:space="0" w:color="auto"/>
            </w:tcBorders>
            <w:vAlign w:val="center"/>
            <w:hideMark/>
          </w:tcPr>
          <w:p w14:paraId="45B5F926" w14:textId="77777777" w:rsidR="0058566D" w:rsidRDefault="0058566D" w:rsidP="008935F7">
            <w:pPr>
              <w:pStyle w:val="TAH"/>
            </w:pPr>
            <w:r>
              <w:t>Normal condition</w:t>
            </w:r>
          </w:p>
        </w:tc>
        <w:tc>
          <w:tcPr>
            <w:tcW w:w="1111" w:type="dxa"/>
            <w:vMerge w:val="restart"/>
            <w:tcBorders>
              <w:top w:val="single" w:sz="6" w:space="0" w:color="auto"/>
              <w:left w:val="single" w:sz="6" w:space="0" w:color="auto"/>
              <w:bottom w:val="nil"/>
              <w:right w:val="single" w:sz="6" w:space="0" w:color="auto"/>
            </w:tcBorders>
            <w:vAlign w:val="center"/>
            <w:hideMark/>
          </w:tcPr>
          <w:p w14:paraId="7123F314" w14:textId="77777777" w:rsidR="0058566D" w:rsidRDefault="0058566D" w:rsidP="008935F7">
            <w:pPr>
              <w:pStyle w:val="TAH"/>
            </w:pPr>
            <w:r>
              <w:t>Extreme condition</w:t>
            </w:r>
          </w:p>
        </w:tc>
        <w:tc>
          <w:tcPr>
            <w:tcW w:w="1110" w:type="dxa"/>
            <w:vMerge w:val="restart"/>
            <w:tcBorders>
              <w:top w:val="single" w:sz="6" w:space="0" w:color="auto"/>
              <w:left w:val="single" w:sz="4" w:space="0" w:color="auto"/>
              <w:bottom w:val="nil"/>
              <w:right w:val="single" w:sz="4" w:space="0" w:color="auto"/>
            </w:tcBorders>
            <w:hideMark/>
          </w:tcPr>
          <w:p w14:paraId="0B314306" w14:textId="77777777" w:rsidR="0058566D" w:rsidRDefault="0058566D" w:rsidP="008935F7">
            <w:pPr>
              <w:pStyle w:val="TAH"/>
            </w:pPr>
            <w:r>
              <w:rPr>
                <w:rFonts w:cs="Arial"/>
              </w:rPr>
              <w:t>CSI-RS Ês/Iot</w:t>
            </w:r>
          </w:p>
        </w:tc>
        <w:tc>
          <w:tcPr>
            <w:tcW w:w="3687" w:type="dxa"/>
            <w:gridSpan w:val="3"/>
            <w:tcBorders>
              <w:top w:val="single" w:sz="6" w:space="0" w:color="auto"/>
              <w:left w:val="single" w:sz="4" w:space="0" w:color="auto"/>
              <w:bottom w:val="single" w:sz="6" w:space="0" w:color="auto"/>
              <w:right w:val="single" w:sz="4" w:space="0" w:color="auto"/>
            </w:tcBorders>
            <w:vAlign w:val="center"/>
            <w:hideMark/>
          </w:tcPr>
          <w:p w14:paraId="7BE50149" w14:textId="77777777" w:rsidR="0058566D" w:rsidRDefault="0058566D" w:rsidP="008935F7">
            <w:pPr>
              <w:pStyle w:val="TAH"/>
            </w:pPr>
            <w:r>
              <w:t>Io</w:t>
            </w:r>
            <w:r>
              <w:rPr>
                <w:vertAlign w:val="superscript"/>
              </w:rPr>
              <w:t xml:space="preserve"> Note 2</w:t>
            </w:r>
            <w:r>
              <w:t xml:space="preserve"> range</w:t>
            </w:r>
          </w:p>
        </w:tc>
      </w:tr>
      <w:tr w:rsidR="0058566D" w14:paraId="7D93B81D" w14:textId="77777777" w:rsidTr="008935F7">
        <w:trPr>
          <w:jc w:val="center"/>
        </w:trPr>
        <w:tc>
          <w:tcPr>
            <w:tcW w:w="0" w:type="auto"/>
            <w:vMerge/>
            <w:tcBorders>
              <w:top w:val="single" w:sz="6" w:space="0" w:color="auto"/>
              <w:left w:val="single" w:sz="4" w:space="0" w:color="auto"/>
              <w:bottom w:val="nil"/>
              <w:right w:val="single" w:sz="6" w:space="0" w:color="auto"/>
            </w:tcBorders>
            <w:vAlign w:val="center"/>
            <w:hideMark/>
          </w:tcPr>
          <w:p w14:paraId="18A95C83" w14:textId="77777777" w:rsidR="0058566D" w:rsidRDefault="0058566D" w:rsidP="008935F7">
            <w:pPr>
              <w:spacing w:after="0"/>
              <w:rPr>
                <w:rFonts w:ascii="Arial" w:hAnsi="Arial"/>
                <w:b/>
                <w:sz w:val="18"/>
              </w:rPr>
            </w:pPr>
          </w:p>
        </w:tc>
        <w:tc>
          <w:tcPr>
            <w:tcW w:w="0" w:type="auto"/>
            <w:vMerge/>
            <w:tcBorders>
              <w:top w:val="single" w:sz="6" w:space="0" w:color="auto"/>
              <w:left w:val="single" w:sz="6" w:space="0" w:color="auto"/>
              <w:bottom w:val="nil"/>
              <w:right w:val="single" w:sz="6" w:space="0" w:color="auto"/>
            </w:tcBorders>
            <w:vAlign w:val="center"/>
            <w:hideMark/>
          </w:tcPr>
          <w:p w14:paraId="344EBBE6" w14:textId="77777777" w:rsidR="0058566D" w:rsidRDefault="0058566D" w:rsidP="008935F7">
            <w:pPr>
              <w:spacing w:after="0"/>
              <w:rPr>
                <w:rFonts w:ascii="Arial" w:hAnsi="Arial"/>
                <w:b/>
                <w:sz w:val="18"/>
              </w:rPr>
            </w:pPr>
          </w:p>
        </w:tc>
        <w:tc>
          <w:tcPr>
            <w:tcW w:w="0" w:type="auto"/>
            <w:vMerge/>
            <w:tcBorders>
              <w:top w:val="single" w:sz="6" w:space="0" w:color="auto"/>
              <w:left w:val="single" w:sz="4" w:space="0" w:color="auto"/>
              <w:bottom w:val="nil"/>
              <w:right w:val="single" w:sz="4" w:space="0" w:color="auto"/>
            </w:tcBorders>
            <w:vAlign w:val="center"/>
            <w:hideMark/>
          </w:tcPr>
          <w:p w14:paraId="4B8B23C5" w14:textId="77777777" w:rsidR="0058566D" w:rsidRDefault="0058566D" w:rsidP="008935F7">
            <w:pPr>
              <w:spacing w:after="0"/>
              <w:rPr>
                <w:rFonts w:ascii="Arial" w:hAnsi="Arial"/>
                <w:b/>
                <w:sz w:val="18"/>
              </w:rPr>
            </w:pPr>
          </w:p>
        </w:tc>
        <w:tc>
          <w:tcPr>
            <w:tcW w:w="2114" w:type="dxa"/>
            <w:gridSpan w:val="2"/>
            <w:tcBorders>
              <w:top w:val="single" w:sz="6" w:space="0" w:color="auto"/>
              <w:left w:val="single" w:sz="4" w:space="0" w:color="auto"/>
              <w:bottom w:val="single" w:sz="6" w:space="0" w:color="auto"/>
              <w:right w:val="single" w:sz="6" w:space="0" w:color="auto"/>
            </w:tcBorders>
            <w:vAlign w:val="center"/>
            <w:hideMark/>
          </w:tcPr>
          <w:p w14:paraId="33E825C4" w14:textId="77777777" w:rsidR="0058566D" w:rsidRDefault="0058566D" w:rsidP="008935F7">
            <w:pPr>
              <w:pStyle w:val="TAH"/>
              <w:rPr>
                <w:rFonts w:cs="Arial"/>
              </w:rPr>
            </w:pPr>
            <w:r>
              <w:t>Minimum Io</w:t>
            </w:r>
          </w:p>
        </w:tc>
        <w:tc>
          <w:tcPr>
            <w:tcW w:w="1573" w:type="dxa"/>
            <w:tcBorders>
              <w:top w:val="single" w:sz="6" w:space="0" w:color="auto"/>
              <w:left w:val="single" w:sz="6" w:space="0" w:color="auto"/>
              <w:bottom w:val="nil"/>
              <w:right w:val="single" w:sz="4" w:space="0" w:color="auto"/>
            </w:tcBorders>
            <w:vAlign w:val="center"/>
            <w:hideMark/>
          </w:tcPr>
          <w:p w14:paraId="6BFDAAF0" w14:textId="77777777" w:rsidR="0058566D" w:rsidRDefault="0058566D" w:rsidP="008935F7">
            <w:pPr>
              <w:pStyle w:val="TAH"/>
            </w:pPr>
            <w:r>
              <w:t>Maximum Io</w:t>
            </w:r>
          </w:p>
        </w:tc>
      </w:tr>
      <w:tr w:rsidR="0058566D" w14:paraId="3E6ED159" w14:textId="77777777" w:rsidTr="008935F7">
        <w:trPr>
          <w:jc w:val="center"/>
        </w:trPr>
        <w:tc>
          <w:tcPr>
            <w:tcW w:w="1111" w:type="dxa"/>
            <w:vMerge w:val="restart"/>
            <w:tcBorders>
              <w:top w:val="single" w:sz="6" w:space="0" w:color="auto"/>
              <w:left w:val="single" w:sz="4" w:space="0" w:color="auto"/>
              <w:bottom w:val="single" w:sz="6" w:space="0" w:color="auto"/>
              <w:right w:val="single" w:sz="6" w:space="0" w:color="auto"/>
            </w:tcBorders>
            <w:vAlign w:val="center"/>
            <w:hideMark/>
          </w:tcPr>
          <w:p w14:paraId="270B255A" w14:textId="77777777" w:rsidR="0058566D" w:rsidRDefault="0058566D" w:rsidP="008935F7">
            <w:pPr>
              <w:pStyle w:val="TAH"/>
            </w:pPr>
            <w:r>
              <w:t>dB</w:t>
            </w:r>
          </w:p>
        </w:tc>
        <w:tc>
          <w:tcPr>
            <w:tcW w:w="1111" w:type="dxa"/>
            <w:vMerge w:val="restart"/>
            <w:tcBorders>
              <w:top w:val="single" w:sz="6" w:space="0" w:color="auto"/>
              <w:left w:val="single" w:sz="6" w:space="0" w:color="auto"/>
              <w:bottom w:val="single" w:sz="6" w:space="0" w:color="auto"/>
              <w:right w:val="single" w:sz="6" w:space="0" w:color="auto"/>
            </w:tcBorders>
            <w:vAlign w:val="center"/>
            <w:hideMark/>
          </w:tcPr>
          <w:p w14:paraId="71A4A810" w14:textId="77777777" w:rsidR="0058566D" w:rsidRDefault="0058566D" w:rsidP="008935F7">
            <w:pPr>
              <w:pStyle w:val="TAH"/>
            </w:pPr>
            <w:r>
              <w:t>dB</w:t>
            </w:r>
          </w:p>
        </w:tc>
        <w:tc>
          <w:tcPr>
            <w:tcW w:w="1110" w:type="dxa"/>
            <w:vMerge w:val="restart"/>
            <w:tcBorders>
              <w:top w:val="single" w:sz="6" w:space="0" w:color="auto"/>
              <w:left w:val="single" w:sz="4" w:space="0" w:color="auto"/>
              <w:bottom w:val="single" w:sz="6" w:space="0" w:color="auto"/>
              <w:right w:val="single" w:sz="4" w:space="0" w:color="auto"/>
            </w:tcBorders>
            <w:vAlign w:val="center"/>
            <w:hideMark/>
          </w:tcPr>
          <w:p w14:paraId="54D05AC2" w14:textId="77777777" w:rsidR="0058566D" w:rsidRDefault="0058566D" w:rsidP="008935F7">
            <w:pPr>
              <w:pStyle w:val="TAH"/>
              <w:rPr>
                <w:rFonts w:cs="Arial"/>
              </w:rPr>
            </w:pPr>
            <w:r>
              <w:t>dB</w:t>
            </w:r>
          </w:p>
        </w:tc>
        <w:tc>
          <w:tcPr>
            <w:tcW w:w="2114" w:type="dxa"/>
            <w:gridSpan w:val="2"/>
            <w:tcBorders>
              <w:top w:val="single" w:sz="6" w:space="0" w:color="auto"/>
              <w:left w:val="single" w:sz="4" w:space="0" w:color="auto"/>
              <w:bottom w:val="single" w:sz="6" w:space="0" w:color="auto"/>
              <w:right w:val="single" w:sz="6" w:space="0" w:color="auto"/>
            </w:tcBorders>
            <w:vAlign w:val="center"/>
            <w:hideMark/>
          </w:tcPr>
          <w:p w14:paraId="5836A283" w14:textId="77777777" w:rsidR="0058566D" w:rsidRDefault="0058566D" w:rsidP="008935F7">
            <w:pPr>
              <w:pStyle w:val="TAH"/>
            </w:pPr>
            <w:r>
              <w:rPr>
                <w:rFonts w:cs="Arial"/>
              </w:rPr>
              <w:t xml:space="preserve">dBm / </w:t>
            </w:r>
            <w:r>
              <w:t>SCS</w:t>
            </w:r>
            <w:r>
              <w:rPr>
                <w:vertAlign w:val="subscript"/>
              </w:rPr>
              <w:t xml:space="preserve"> CSI-RS</w:t>
            </w:r>
            <w:r>
              <w:rPr>
                <w:vertAlign w:val="superscript"/>
              </w:rPr>
              <w:t xml:space="preserve"> Note 1</w:t>
            </w:r>
          </w:p>
        </w:tc>
        <w:tc>
          <w:tcPr>
            <w:tcW w:w="1573" w:type="dxa"/>
            <w:vMerge w:val="restart"/>
            <w:tcBorders>
              <w:top w:val="single" w:sz="6" w:space="0" w:color="auto"/>
              <w:left w:val="single" w:sz="6" w:space="0" w:color="auto"/>
              <w:bottom w:val="single" w:sz="6" w:space="0" w:color="auto"/>
              <w:right w:val="single" w:sz="4" w:space="0" w:color="auto"/>
            </w:tcBorders>
            <w:vAlign w:val="center"/>
            <w:hideMark/>
          </w:tcPr>
          <w:p w14:paraId="430553DB" w14:textId="77777777" w:rsidR="0058566D" w:rsidRDefault="0058566D" w:rsidP="008935F7">
            <w:pPr>
              <w:pStyle w:val="TAH"/>
            </w:pPr>
            <w:r>
              <w:t>dBm/BW</w:t>
            </w:r>
            <w:r>
              <w:rPr>
                <w:vertAlign w:val="subscript"/>
              </w:rPr>
              <w:t>Channel</w:t>
            </w:r>
          </w:p>
        </w:tc>
      </w:tr>
      <w:tr w:rsidR="0058566D" w14:paraId="1A1974ED" w14:textId="77777777" w:rsidTr="008935F7">
        <w:trPr>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3C62268A" w14:textId="77777777" w:rsidR="0058566D" w:rsidRDefault="0058566D" w:rsidP="008935F7">
            <w:pPr>
              <w:spacing w:after="0"/>
              <w:rPr>
                <w:rFonts w:ascii="Arial" w:hAnsi="Arial"/>
                <w:b/>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C6D427E" w14:textId="77777777" w:rsidR="0058566D" w:rsidRDefault="0058566D" w:rsidP="008935F7">
            <w:pPr>
              <w:spacing w:after="0"/>
              <w:rPr>
                <w:rFonts w:ascii="Arial" w:hAnsi="Arial"/>
                <w:b/>
                <w:sz w:val="18"/>
              </w:rPr>
            </w:pP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269CA4C1" w14:textId="77777777" w:rsidR="0058566D" w:rsidRDefault="0058566D" w:rsidP="008935F7">
            <w:pPr>
              <w:spacing w:after="0"/>
              <w:rPr>
                <w:rFonts w:ascii="Arial" w:hAnsi="Arial" w:cs="Arial"/>
                <w:b/>
                <w:sz w:val="18"/>
              </w:rPr>
            </w:pPr>
          </w:p>
        </w:tc>
        <w:tc>
          <w:tcPr>
            <w:tcW w:w="1057" w:type="dxa"/>
            <w:tcBorders>
              <w:top w:val="single" w:sz="6" w:space="0" w:color="auto"/>
              <w:left w:val="single" w:sz="4" w:space="0" w:color="auto"/>
              <w:bottom w:val="single" w:sz="6" w:space="0" w:color="auto"/>
              <w:right w:val="single" w:sz="6" w:space="0" w:color="auto"/>
            </w:tcBorders>
            <w:vAlign w:val="center"/>
            <w:hideMark/>
          </w:tcPr>
          <w:p w14:paraId="626956CE" w14:textId="77777777" w:rsidR="0058566D" w:rsidRDefault="0058566D" w:rsidP="008935F7">
            <w:pPr>
              <w:pStyle w:val="TAH"/>
            </w:pPr>
            <w:r>
              <w:t>SCS</w:t>
            </w:r>
            <w:r>
              <w:rPr>
                <w:vertAlign w:val="subscript"/>
              </w:rPr>
              <w:t xml:space="preserve"> CSI-RS</w:t>
            </w:r>
            <w:r>
              <w:rPr>
                <w:rFonts w:cs="Arial"/>
              </w:rPr>
              <w:t xml:space="preserve"> = 60kHz</w:t>
            </w:r>
          </w:p>
        </w:tc>
        <w:tc>
          <w:tcPr>
            <w:tcW w:w="1057" w:type="dxa"/>
            <w:tcBorders>
              <w:top w:val="single" w:sz="6" w:space="0" w:color="auto"/>
              <w:left w:val="single" w:sz="4" w:space="0" w:color="auto"/>
              <w:bottom w:val="single" w:sz="6" w:space="0" w:color="auto"/>
              <w:right w:val="single" w:sz="6" w:space="0" w:color="auto"/>
            </w:tcBorders>
            <w:vAlign w:val="center"/>
            <w:hideMark/>
          </w:tcPr>
          <w:p w14:paraId="7E33FCBE" w14:textId="77777777" w:rsidR="0058566D" w:rsidRDefault="0058566D" w:rsidP="008935F7">
            <w:pPr>
              <w:pStyle w:val="TAH"/>
            </w:pPr>
            <w:r>
              <w:t>SCS</w:t>
            </w:r>
            <w:r>
              <w:rPr>
                <w:vertAlign w:val="subscript"/>
              </w:rPr>
              <w:t xml:space="preserve"> CSI-RS</w:t>
            </w:r>
            <w:r>
              <w:rPr>
                <w:rFonts w:cs="Arial"/>
              </w:rPr>
              <w:t xml:space="preserve"> = 120kHz</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2B73F20C" w14:textId="77777777" w:rsidR="0058566D" w:rsidRDefault="0058566D" w:rsidP="008935F7">
            <w:pPr>
              <w:spacing w:after="0"/>
              <w:rPr>
                <w:rFonts w:ascii="Arial" w:hAnsi="Arial"/>
                <w:b/>
                <w:sz w:val="18"/>
              </w:rPr>
            </w:pPr>
          </w:p>
        </w:tc>
      </w:tr>
      <w:tr w:rsidR="0058566D" w14:paraId="0A795502" w14:textId="77777777" w:rsidTr="008935F7">
        <w:trPr>
          <w:jc w:val="center"/>
        </w:trPr>
        <w:tc>
          <w:tcPr>
            <w:tcW w:w="1111" w:type="dxa"/>
            <w:tcBorders>
              <w:top w:val="single" w:sz="6" w:space="0" w:color="auto"/>
              <w:left w:val="single" w:sz="4" w:space="0" w:color="auto"/>
              <w:bottom w:val="single" w:sz="6" w:space="0" w:color="auto"/>
              <w:right w:val="single" w:sz="6" w:space="0" w:color="auto"/>
            </w:tcBorders>
            <w:vAlign w:val="center"/>
            <w:hideMark/>
          </w:tcPr>
          <w:p w14:paraId="5DA77546" w14:textId="77777777" w:rsidR="0058566D" w:rsidRDefault="0058566D" w:rsidP="008935F7">
            <w:pPr>
              <w:pStyle w:val="TAC"/>
            </w:pPr>
            <w:r>
              <w:sym w:font="Symbol" w:char="F0B1"/>
            </w:r>
            <w:r>
              <w:t>6</w:t>
            </w:r>
          </w:p>
        </w:tc>
        <w:tc>
          <w:tcPr>
            <w:tcW w:w="1111" w:type="dxa"/>
            <w:tcBorders>
              <w:top w:val="single" w:sz="6" w:space="0" w:color="auto"/>
              <w:left w:val="single" w:sz="6" w:space="0" w:color="auto"/>
              <w:bottom w:val="single" w:sz="6" w:space="0" w:color="auto"/>
              <w:right w:val="single" w:sz="6" w:space="0" w:color="auto"/>
            </w:tcBorders>
            <w:vAlign w:val="center"/>
            <w:hideMark/>
          </w:tcPr>
          <w:p w14:paraId="7C4ADBB6" w14:textId="77777777" w:rsidR="0058566D" w:rsidRDefault="0058566D" w:rsidP="008935F7">
            <w:pPr>
              <w:pStyle w:val="TAC"/>
            </w:pPr>
            <w:r>
              <w:sym w:font="Symbol" w:char="F0B1"/>
            </w:r>
            <w:r>
              <w:t>9</w:t>
            </w:r>
          </w:p>
        </w:tc>
        <w:tc>
          <w:tcPr>
            <w:tcW w:w="1110" w:type="dxa"/>
            <w:tcBorders>
              <w:top w:val="single" w:sz="6" w:space="0" w:color="auto"/>
              <w:left w:val="single" w:sz="4" w:space="0" w:color="auto"/>
              <w:bottom w:val="single" w:sz="6" w:space="0" w:color="auto"/>
              <w:right w:val="single" w:sz="4" w:space="0" w:color="auto"/>
            </w:tcBorders>
            <w:vAlign w:val="center"/>
            <w:hideMark/>
          </w:tcPr>
          <w:p w14:paraId="5EDBDACA" w14:textId="77777777" w:rsidR="0058566D" w:rsidRDefault="0058566D" w:rsidP="008935F7">
            <w:pPr>
              <w:pStyle w:val="TAC"/>
            </w:pPr>
            <w:r>
              <w:rPr>
                <w:rFonts w:eastAsia="Yu Mincho" w:cs="Arial"/>
                <w:lang w:eastAsia="ja-JP"/>
              </w:rPr>
              <w:t>≥-6</w:t>
            </w:r>
          </w:p>
        </w:tc>
        <w:tc>
          <w:tcPr>
            <w:tcW w:w="2114" w:type="dxa"/>
            <w:gridSpan w:val="2"/>
            <w:tcBorders>
              <w:top w:val="single" w:sz="6" w:space="0" w:color="auto"/>
              <w:left w:val="single" w:sz="4" w:space="0" w:color="auto"/>
              <w:bottom w:val="single" w:sz="6" w:space="0" w:color="auto"/>
              <w:right w:val="single" w:sz="6" w:space="0" w:color="auto"/>
            </w:tcBorders>
            <w:vAlign w:val="center"/>
            <w:hideMark/>
          </w:tcPr>
          <w:p w14:paraId="33655305" w14:textId="77777777" w:rsidR="0058566D" w:rsidRDefault="0058566D" w:rsidP="008935F7">
            <w:pPr>
              <w:pStyle w:val="TAC"/>
              <w:rPr>
                <w:rFonts w:eastAsia="Yu Mincho"/>
                <w:lang w:eastAsia="ja-JP"/>
              </w:rPr>
            </w:pPr>
            <w:r>
              <w:t>Same value as CSI-RS_RP in Table B.2.8-2, according to UE Power class, operating band and angle of arrival</w:t>
            </w:r>
          </w:p>
        </w:tc>
        <w:tc>
          <w:tcPr>
            <w:tcW w:w="1573" w:type="dxa"/>
            <w:tcBorders>
              <w:top w:val="single" w:sz="6" w:space="0" w:color="auto"/>
              <w:left w:val="single" w:sz="6" w:space="0" w:color="auto"/>
              <w:bottom w:val="single" w:sz="6" w:space="0" w:color="auto"/>
              <w:right w:val="single" w:sz="4" w:space="0" w:color="auto"/>
            </w:tcBorders>
            <w:vAlign w:val="center"/>
            <w:hideMark/>
          </w:tcPr>
          <w:p w14:paraId="512EC646" w14:textId="77777777" w:rsidR="0058566D" w:rsidRDefault="0058566D" w:rsidP="008935F7">
            <w:pPr>
              <w:pStyle w:val="TAC"/>
            </w:pPr>
            <w:r>
              <w:t>-50</w:t>
            </w:r>
          </w:p>
        </w:tc>
      </w:tr>
      <w:tr w:rsidR="0058566D" w14:paraId="0A8F0E21" w14:textId="77777777" w:rsidTr="008935F7">
        <w:trPr>
          <w:jc w:val="center"/>
        </w:trPr>
        <w:tc>
          <w:tcPr>
            <w:tcW w:w="7019" w:type="dxa"/>
            <w:gridSpan w:val="6"/>
            <w:tcBorders>
              <w:top w:val="single" w:sz="6" w:space="0" w:color="auto"/>
              <w:left w:val="single" w:sz="4" w:space="0" w:color="auto"/>
              <w:bottom w:val="single" w:sz="4" w:space="0" w:color="auto"/>
              <w:right w:val="single" w:sz="4" w:space="0" w:color="auto"/>
            </w:tcBorders>
            <w:vAlign w:val="center"/>
            <w:hideMark/>
          </w:tcPr>
          <w:p w14:paraId="6BBEDE94" w14:textId="77777777" w:rsidR="0058566D" w:rsidRDefault="0058566D" w:rsidP="008935F7">
            <w:pPr>
              <w:pStyle w:val="TAN"/>
            </w:pPr>
            <w:r>
              <w:t>Note 1:</w:t>
            </w:r>
            <w:r>
              <w:tab/>
              <w:t>Values based on Refsens and EIS spherical coverage as defined in clauses 7.3.2 and 7.3.4 of TS 38.101-2 [19]. Applicable side condition selected depending on angle of arrival.</w:t>
            </w:r>
          </w:p>
          <w:p w14:paraId="146DBE18" w14:textId="77777777" w:rsidR="0058566D" w:rsidRDefault="0058566D" w:rsidP="008935F7">
            <w:pPr>
              <w:pStyle w:val="TAN"/>
            </w:pPr>
            <w:r>
              <w:t>Note 2:</w:t>
            </w:r>
            <w:r>
              <w:tab/>
            </w:r>
            <w:r>
              <w:rPr>
                <w:rFonts w:eastAsia="MS Mincho"/>
              </w:rPr>
              <w:t>Io specified at the Reference point, and assumed to have constant EPRE across the bandwidth</w:t>
            </w:r>
            <w:r>
              <w:t>.</w:t>
            </w:r>
          </w:p>
          <w:p w14:paraId="5122489A" w14:textId="77777777" w:rsidR="0058566D" w:rsidRDefault="0058566D" w:rsidP="008935F7">
            <w:pPr>
              <w:pStyle w:val="TAN"/>
            </w:pPr>
            <w:r>
              <w:t>Note 3:</w:t>
            </w:r>
            <w:r>
              <w:tab/>
              <w:t>In the test cases, the CSI-RS Ês/Iot and related parameters may need to be adjusted to ensure Ês/Iot at UE baseband is above the value defined in this table.</w:t>
            </w:r>
          </w:p>
          <w:p w14:paraId="2B482A64" w14:textId="77777777" w:rsidR="0058566D" w:rsidRDefault="0058566D" w:rsidP="008935F7">
            <w:pPr>
              <w:pStyle w:val="TAN"/>
            </w:pPr>
            <w:r>
              <w:t>Note 4:</w:t>
            </w:r>
            <w:r>
              <w:tab/>
              <w:t>The parameter CSI-RS Ês/Iot is the minimum CSI-RS Ês/Iot of the pair of cells to which the requirement applies.</w:t>
            </w:r>
          </w:p>
        </w:tc>
      </w:tr>
    </w:tbl>
    <w:p w14:paraId="2D1DCCA0" w14:textId="77777777" w:rsidR="0058566D" w:rsidRPr="00EB38CB" w:rsidRDefault="0058566D" w:rsidP="0058566D"/>
    <w:p w14:paraId="17E2ECD5" w14:textId="77777777" w:rsidR="00BE0199" w:rsidRPr="004608C1" w:rsidRDefault="00BE0199" w:rsidP="00F37389">
      <w:pPr>
        <w:pStyle w:val="Heading3"/>
        <w:rPr>
          <w:lang w:val="en-US"/>
        </w:rPr>
      </w:pPr>
      <w:r w:rsidRPr="004608C1">
        <w:rPr>
          <w:lang w:val="en-US"/>
        </w:rPr>
        <w:t>10.1.3</w:t>
      </w:r>
      <w:r>
        <w:rPr>
          <w:lang w:val="en-US"/>
        </w:rPr>
        <w:t>B</w:t>
      </w:r>
      <w:r w:rsidRPr="004608C1">
        <w:rPr>
          <w:lang w:val="en-US"/>
        </w:rPr>
        <w:tab/>
        <w:t>Intra-frequency RSRP accuracy requirements for FR2</w:t>
      </w:r>
      <w:r>
        <w:rPr>
          <w:lang w:val="en-US"/>
        </w:rPr>
        <w:t xml:space="preserve"> for CA/DC Idle Mode Measurements</w:t>
      </w:r>
    </w:p>
    <w:p w14:paraId="77A46BB6" w14:textId="77777777" w:rsidR="00BE0199" w:rsidRDefault="00BE0199" w:rsidP="00F37389">
      <w:pPr>
        <w:pStyle w:val="Heading4"/>
        <w:rPr>
          <w:lang w:val="en-US"/>
        </w:rPr>
      </w:pPr>
      <w:r w:rsidRPr="004608C1">
        <w:rPr>
          <w:lang w:val="en-US"/>
        </w:rPr>
        <w:t>10.1.3</w:t>
      </w:r>
      <w:r>
        <w:rPr>
          <w:lang w:val="en-US"/>
        </w:rPr>
        <w:t>B</w:t>
      </w:r>
      <w:r w:rsidRPr="004608C1">
        <w:rPr>
          <w:lang w:val="en-US"/>
        </w:rPr>
        <w:t>.1</w:t>
      </w:r>
      <w:r w:rsidRPr="004608C1">
        <w:rPr>
          <w:lang w:val="en-US"/>
        </w:rPr>
        <w:tab/>
        <w:t>Intra-frequency SS-RSRP accuracy requirements</w:t>
      </w:r>
    </w:p>
    <w:p w14:paraId="79C51821" w14:textId="77777777" w:rsidR="00BE0199" w:rsidRPr="00691C10" w:rsidRDefault="00BE0199" w:rsidP="00BE0199">
      <w:pPr>
        <w:jc w:val="both"/>
        <w:rPr>
          <w:rFonts w:cs="v4.2.0"/>
        </w:rPr>
      </w:pPr>
      <w:r w:rsidRPr="00691C10">
        <w:rPr>
          <w:rFonts w:cs="v4.2.0"/>
        </w:rPr>
        <w:t>The requirements in this clause are applicable for a UE:</w:t>
      </w:r>
    </w:p>
    <w:p w14:paraId="193BA34D" w14:textId="77777777" w:rsidR="00BE0199" w:rsidRPr="00691C10" w:rsidRDefault="00BE0199" w:rsidP="00BE0199">
      <w:pPr>
        <w:pStyle w:val="B10"/>
        <w:rPr>
          <w:rFonts w:cs="v4.2.0"/>
        </w:rPr>
      </w:pPr>
      <w:r w:rsidRPr="00691C10">
        <w:rPr>
          <w:rFonts w:cs="v4.2.0"/>
        </w:rPr>
        <w:t>-</w:t>
      </w:r>
      <w:r w:rsidRPr="00691C10">
        <w:rPr>
          <w:rFonts w:cs="v4.2.0"/>
        </w:rPr>
        <w:tab/>
        <w:t>in state RRC_IDLE</w:t>
      </w:r>
      <w:r>
        <w:rPr>
          <w:rFonts w:cs="v4.2.0"/>
        </w:rPr>
        <w:t xml:space="preserve"> or RRC INACTIVE</w:t>
      </w:r>
    </w:p>
    <w:p w14:paraId="1FF47773" w14:textId="77777777" w:rsidR="00BE0199" w:rsidRPr="00691C10" w:rsidRDefault="00BE0199" w:rsidP="00BE0199">
      <w:pPr>
        <w:pStyle w:val="B10"/>
      </w:pPr>
      <w:r w:rsidRPr="00691C10">
        <w:t>-</w:t>
      </w:r>
      <w:r w:rsidRPr="00691C10">
        <w:tab/>
        <w:t>that is synchronised to the cell that is measured.</w:t>
      </w:r>
    </w:p>
    <w:p w14:paraId="00972C48" w14:textId="77777777" w:rsidR="00BE0199" w:rsidRDefault="00BE0199" w:rsidP="00F37389">
      <w:r w:rsidRPr="00691C10">
        <w:t xml:space="preserve">The requirements are for absolute accuracy of </w:t>
      </w:r>
      <w:r>
        <w:t>SS-</w:t>
      </w:r>
      <w:r w:rsidRPr="00691C10">
        <w:t>RSRP.</w:t>
      </w:r>
    </w:p>
    <w:p w14:paraId="53A2E1F5" w14:textId="77777777" w:rsidR="00BE0199" w:rsidRPr="004608C1" w:rsidRDefault="00BE0199" w:rsidP="00F37389">
      <w:pPr>
        <w:pStyle w:val="Heading5"/>
      </w:pPr>
      <w:r w:rsidRPr="004608C1">
        <w:t>10.1.3</w:t>
      </w:r>
      <w:r>
        <w:t>B</w:t>
      </w:r>
      <w:r w:rsidRPr="004608C1">
        <w:t>.1.1</w:t>
      </w:r>
      <w:r w:rsidRPr="004608C1">
        <w:tab/>
        <w:t xml:space="preserve">Absolute </w:t>
      </w:r>
      <w:r w:rsidRPr="004608C1">
        <w:rPr>
          <w:lang w:val="en-US"/>
        </w:rPr>
        <w:t xml:space="preserve">SS-RSRP </w:t>
      </w:r>
      <w:r w:rsidRPr="004608C1">
        <w:t>Accuracy</w:t>
      </w:r>
    </w:p>
    <w:p w14:paraId="2AC357CF" w14:textId="77777777" w:rsidR="00BE0199" w:rsidRPr="004608C1" w:rsidRDefault="00BE0199" w:rsidP="00BE0199">
      <w:pPr>
        <w:rPr>
          <w:rFonts w:cs="v4.2.0"/>
          <w:i/>
        </w:rPr>
      </w:pPr>
      <w:r w:rsidRPr="004608C1">
        <w:rPr>
          <w:rFonts w:cs="v4.2.0"/>
        </w:rPr>
        <w:t xml:space="preserve">Unless otherwise specified, the requirements for absolute accuracy of </w:t>
      </w:r>
      <w:r w:rsidRPr="004608C1">
        <w:rPr>
          <w:rFonts w:cs="v4.2.0"/>
          <w:lang w:eastAsia="zh-CN"/>
        </w:rPr>
        <w:t>SS-RSRP</w:t>
      </w:r>
      <w:r w:rsidRPr="004608C1">
        <w:rPr>
          <w:rFonts w:cs="v4.2.0"/>
        </w:rPr>
        <w:t xml:space="preserve"> in this clause apply to the serving cell in FR2.</w:t>
      </w:r>
    </w:p>
    <w:p w14:paraId="230C77F1" w14:textId="77777777" w:rsidR="00BE0199" w:rsidRPr="004608C1" w:rsidRDefault="00BE0199" w:rsidP="00BE0199">
      <w:pPr>
        <w:rPr>
          <w:rFonts w:cs="v4.2.0"/>
        </w:rPr>
      </w:pPr>
      <w:r w:rsidRPr="004608C1">
        <w:rPr>
          <w:rFonts w:cs="v4.2.0"/>
        </w:rPr>
        <w:t xml:space="preserve">The accuracy requirements in Table </w:t>
      </w:r>
      <w:r w:rsidRPr="004608C1">
        <w:rPr>
          <w:rFonts w:cs="v4.2.0"/>
          <w:lang w:eastAsia="zh-CN"/>
        </w:rPr>
        <w:t>10.1.3</w:t>
      </w:r>
      <w:r>
        <w:rPr>
          <w:rFonts w:cs="v4.2.0"/>
          <w:lang w:eastAsia="zh-CN"/>
        </w:rPr>
        <w:t>B</w:t>
      </w:r>
      <w:r w:rsidRPr="004608C1">
        <w:rPr>
          <w:rFonts w:cs="v4.2.0"/>
          <w:lang w:eastAsia="zh-CN"/>
        </w:rPr>
        <w:t>.1.1</w:t>
      </w:r>
      <w:r w:rsidRPr="004608C1">
        <w:rPr>
          <w:rFonts w:cs="v4.2.0"/>
        </w:rPr>
        <w:t>-1 are valid under the following conditions:</w:t>
      </w:r>
    </w:p>
    <w:p w14:paraId="306226ED" w14:textId="77777777" w:rsidR="00BE0199" w:rsidRPr="004608C1" w:rsidRDefault="00BE0199" w:rsidP="00F37389">
      <w:pPr>
        <w:pStyle w:val="B10"/>
        <w:rPr>
          <w:lang w:eastAsia="zh-CN"/>
        </w:rPr>
      </w:pPr>
      <w:r w:rsidRPr="004608C1">
        <w:t>-</w:t>
      </w:r>
      <w:r w:rsidRPr="004608C1">
        <w:tab/>
        <w:t>Conditions defined in clause 7.3 of TS 38.101-2 [19] for reference sensitivity are fulfilled.</w:t>
      </w:r>
    </w:p>
    <w:p w14:paraId="407C2BCA" w14:textId="77777777" w:rsidR="00BE0199" w:rsidRPr="004608C1" w:rsidRDefault="00BE0199" w:rsidP="00F37389">
      <w:pPr>
        <w:pStyle w:val="B10"/>
      </w:pPr>
      <w:r w:rsidRPr="004608C1">
        <w:t>-</w:t>
      </w:r>
      <w:r w:rsidRPr="004608C1">
        <w:tab/>
        <w:t>Conditions for intra-frequency measurements are fulfilled according to Annex B.</w:t>
      </w:r>
      <w:r>
        <w:t>1</w:t>
      </w:r>
      <w:r w:rsidRPr="004608C1">
        <w:t xml:space="preserve">.2 for a corresponding Band </w:t>
      </w:r>
      <w:r w:rsidRPr="004608C1">
        <w:rPr>
          <w:rFonts w:cs="v4.2.0"/>
          <w:lang w:eastAsia="ko-KR"/>
        </w:rPr>
        <w:t>for each relevant SSB</w:t>
      </w:r>
      <w:r w:rsidRPr="004608C1">
        <w:t>.</w:t>
      </w:r>
    </w:p>
    <w:p w14:paraId="76A8A81D" w14:textId="77777777" w:rsidR="00BE0199" w:rsidRPr="004608C1" w:rsidRDefault="00BE0199" w:rsidP="00F37389">
      <w:pPr>
        <w:pStyle w:val="B10"/>
      </w:pPr>
      <w:r w:rsidRPr="004608C1">
        <w:t>-</w:t>
      </w:r>
      <w:r w:rsidRPr="004608C1">
        <w:tab/>
        <w:t xml:space="preserve">The measured signals are in the directions covered by the percentile EIS spherical coverage of the UE, defined in </w:t>
      </w:r>
      <w:r w:rsidRPr="004608C1">
        <w:rPr>
          <w:rFonts w:cs="Arial"/>
        </w:rPr>
        <w:t>clause 7.3.4 of TS 38.101-2 [19]</w:t>
      </w:r>
      <w:r w:rsidRPr="004608C1">
        <w:t>.</w:t>
      </w:r>
    </w:p>
    <w:p w14:paraId="3F466888" w14:textId="77777777" w:rsidR="00BE0199" w:rsidRPr="004608C1" w:rsidRDefault="00BE0199" w:rsidP="00F37389">
      <w:pPr>
        <w:pStyle w:val="TH"/>
      </w:pPr>
      <w:r w:rsidRPr="004608C1">
        <w:t>Table 10.1.</w:t>
      </w:r>
      <w:r w:rsidRPr="004608C1">
        <w:rPr>
          <w:lang w:eastAsia="zh-CN"/>
        </w:rPr>
        <w:t>3</w:t>
      </w:r>
      <w:r>
        <w:rPr>
          <w:lang w:eastAsia="zh-CN"/>
        </w:rPr>
        <w:t>B</w:t>
      </w:r>
      <w:r w:rsidRPr="004608C1">
        <w:t>.1.1-1: SS-RSRP Intra frequency absolute accuracy in FR2</w:t>
      </w:r>
    </w:p>
    <w:tbl>
      <w:tblPr>
        <w:tblW w:w="8789" w:type="dxa"/>
        <w:jc w:val="center"/>
        <w:tblLook w:val="01E0" w:firstRow="1" w:lastRow="1" w:firstColumn="1" w:lastColumn="1" w:noHBand="0" w:noVBand="0"/>
      </w:tblPr>
      <w:tblGrid>
        <w:gridCol w:w="1122"/>
        <w:gridCol w:w="1119"/>
        <w:gridCol w:w="1119"/>
        <w:gridCol w:w="1124"/>
        <w:gridCol w:w="1124"/>
        <w:gridCol w:w="1590"/>
        <w:gridCol w:w="1591"/>
      </w:tblGrid>
      <w:tr w:rsidR="00BE0199" w:rsidRPr="004608C1" w14:paraId="6B2EC645" w14:textId="77777777" w:rsidTr="00BE0199">
        <w:trPr>
          <w:jc w:val="center"/>
        </w:trPr>
        <w:tc>
          <w:tcPr>
            <w:tcW w:w="2241" w:type="dxa"/>
            <w:gridSpan w:val="2"/>
            <w:tcBorders>
              <w:top w:val="single" w:sz="6" w:space="0" w:color="auto"/>
              <w:left w:val="single" w:sz="4" w:space="0" w:color="auto"/>
              <w:right w:val="single" w:sz="6" w:space="0" w:color="auto"/>
            </w:tcBorders>
            <w:shd w:val="clear" w:color="auto" w:fill="auto"/>
            <w:vAlign w:val="center"/>
          </w:tcPr>
          <w:p w14:paraId="0B24F6F6" w14:textId="77777777" w:rsidR="00BE0199" w:rsidRPr="004608C1" w:rsidRDefault="00BE0199" w:rsidP="00F37389">
            <w:pPr>
              <w:pStyle w:val="TAH"/>
            </w:pPr>
            <w:r w:rsidRPr="004608C1">
              <w:t>Accuracy</w:t>
            </w:r>
          </w:p>
        </w:tc>
        <w:tc>
          <w:tcPr>
            <w:tcW w:w="6548" w:type="dxa"/>
            <w:gridSpan w:val="5"/>
            <w:tcBorders>
              <w:top w:val="single" w:sz="4" w:space="0" w:color="auto"/>
              <w:left w:val="single" w:sz="4" w:space="0" w:color="auto"/>
              <w:right w:val="single" w:sz="4" w:space="0" w:color="auto"/>
            </w:tcBorders>
            <w:vAlign w:val="center"/>
          </w:tcPr>
          <w:p w14:paraId="2422EEC5" w14:textId="77777777" w:rsidR="00BE0199" w:rsidRPr="004608C1" w:rsidRDefault="00BE0199" w:rsidP="00F37389">
            <w:pPr>
              <w:pStyle w:val="TAH"/>
            </w:pPr>
            <w:r w:rsidRPr="004608C1">
              <w:t>Conditions</w:t>
            </w:r>
          </w:p>
        </w:tc>
      </w:tr>
      <w:tr w:rsidR="00BE0199" w:rsidRPr="004608C1" w14:paraId="3EB58513" w14:textId="77777777" w:rsidTr="00BE0199">
        <w:trPr>
          <w:jc w:val="center"/>
        </w:trPr>
        <w:tc>
          <w:tcPr>
            <w:tcW w:w="1122" w:type="dxa"/>
            <w:tcBorders>
              <w:top w:val="single" w:sz="6" w:space="0" w:color="auto"/>
              <w:left w:val="single" w:sz="4" w:space="0" w:color="auto"/>
              <w:right w:val="single" w:sz="6" w:space="0" w:color="auto"/>
            </w:tcBorders>
            <w:shd w:val="clear" w:color="auto" w:fill="auto"/>
            <w:vAlign w:val="center"/>
          </w:tcPr>
          <w:p w14:paraId="7C792293" w14:textId="77777777" w:rsidR="00BE0199" w:rsidRPr="004608C1" w:rsidRDefault="00BE0199" w:rsidP="00F37389">
            <w:pPr>
              <w:pStyle w:val="TAH"/>
            </w:pPr>
            <w:r w:rsidRPr="004608C1">
              <w:t>Normal condition</w:t>
            </w:r>
          </w:p>
        </w:tc>
        <w:tc>
          <w:tcPr>
            <w:tcW w:w="1119" w:type="dxa"/>
            <w:tcBorders>
              <w:top w:val="single" w:sz="6" w:space="0" w:color="auto"/>
              <w:left w:val="single" w:sz="6" w:space="0" w:color="auto"/>
              <w:right w:val="single" w:sz="6" w:space="0" w:color="auto"/>
            </w:tcBorders>
            <w:shd w:val="clear" w:color="auto" w:fill="auto"/>
            <w:vAlign w:val="center"/>
          </w:tcPr>
          <w:p w14:paraId="4E30559E" w14:textId="77777777" w:rsidR="00BE0199" w:rsidRPr="004608C1" w:rsidRDefault="00BE0199" w:rsidP="00F37389">
            <w:pPr>
              <w:pStyle w:val="TAH"/>
            </w:pPr>
            <w:r w:rsidRPr="004608C1">
              <w:t>Extreme condition</w:t>
            </w:r>
          </w:p>
        </w:tc>
        <w:tc>
          <w:tcPr>
            <w:tcW w:w="1119" w:type="dxa"/>
            <w:tcBorders>
              <w:top w:val="single" w:sz="4" w:space="0" w:color="auto"/>
              <w:left w:val="single" w:sz="4" w:space="0" w:color="auto"/>
              <w:right w:val="single" w:sz="4" w:space="0" w:color="auto"/>
            </w:tcBorders>
          </w:tcPr>
          <w:p w14:paraId="2F515DC0" w14:textId="77777777" w:rsidR="00BE0199" w:rsidRPr="004608C1" w:rsidRDefault="00BE0199" w:rsidP="00F37389">
            <w:pPr>
              <w:pStyle w:val="TAH"/>
            </w:pPr>
            <w:r w:rsidRPr="004608C1">
              <w:rPr>
                <w:rFonts w:cs="Arial"/>
              </w:rPr>
              <w:t>SSB Ês/Iot</w:t>
            </w:r>
          </w:p>
        </w:tc>
        <w:tc>
          <w:tcPr>
            <w:tcW w:w="5429" w:type="dxa"/>
            <w:gridSpan w:val="4"/>
            <w:tcBorders>
              <w:top w:val="single" w:sz="4" w:space="0" w:color="auto"/>
              <w:left w:val="single" w:sz="4" w:space="0" w:color="auto"/>
              <w:bottom w:val="single" w:sz="6" w:space="0" w:color="auto"/>
              <w:right w:val="single" w:sz="4" w:space="0" w:color="auto"/>
            </w:tcBorders>
            <w:shd w:val="clear" w:color="auto" w:fill="auto"/>
            <w:vAlign w:val="center"/>
          </w:tcPr>
          <w:p w14:paraId="5F864FF0" w14:textId="77777777" w:rsidR="00BE0199" w:rsidRPr="004608C1" w:rsidRDefault="00BE0199" w:rsidP="00F37389">
            <w:pPr>
              <w:pStyle w:val="TAH"/>
            </w:pPr>
            <w:r w:rsidRPr="004608C1">
              <w:t>Io</w:t>
            </w:r>
            <w:r w:rsidRPr="004608C1">
              <w:rPr>
                <w:vertAlign w:val="superscript"/>
              </w:rPr>
              <w:t xml:space="preserve"> Note 2</w:t>
            </w:r>
            <w:r w:rsidRPr="004608C1">
              <w:t xml:space="preserve"> range</w:t>
            </w:r>
          </w:p>
        </w:tc>
      </w:tr>
      <w:tr w:rsidR="00BE0199" w:rsidRPr="004608C1" w14:paraId="2D981F18" w14:textId="77777777" w:rsidTr="00BE0199">
        <w:trPr>
          <w:jc w:val="center"/>
        </w:trPr>
        <w:tc>
          <w:tcPr>
            <w:tcW w:w="1122" w:type="dxa"/>
            <w:tcBorders>
              <w:left w:val="single" w:sz="4" w:space="0" w:color="auto"/>
              <w:bottom w:val="single" w:sz="6" w:space="0" w:color="auto"/>
              <w:right w:val="single" w:sz="6" w:space="0" w:color="auto"/>
            </w:tcBorders>
            <w:shd w:val="clear" w:color="auto" w:fill="auto"/>
            <w:vAlign w:val="center"/>
          </w:tcPr>
          <w:p w14:paraId="54BF1067" w14:textId="77777777" w:rsidR="00BE0199" w:rsidRPr="004608C1" w:rsidRDefault="00BE0199" w:rsidP="00F37389">
            <w:pPr>
              <w:pStyle w:val="TAH"/>
            </w:pPr>
          </w:p>
        </w:tc>
        <w:tc>
          <w:tcPr>
            <w:tcW w:w="1119" w:type="dxa"/>
            <w:tcBorders>
              <w:left w:val="single" w:sz="6" w:space="0" w:color="auto"/>
              <w:bottom w:val="single" w:sz="6" w:space="0" w:color="auto"/>
              <w:right w:val="single" w:sz="6" w:space="0" w:color="auto"/>
            </w:tcBorders>
            <w:shd w:val="clear" w:color="auto" w:fill="auto"/>
            <w:vAlign w:val="center"/>
          </w:tcPr>
          <w:p w14:paraId="40E52BD7" w14:textId="77777777" w:rsidR="00BE0199" w:rsidRPr="004608C1" w:rsidRDefault="00BE0199" w:rsidP="00F37389">
            <w:pPr>
              <w:pStyle w:val="TAH"/>
            </w:pPr>
          </w:p>
        </w:tc>
        <w:tc>
          <w:tcPr>
            <w:tcW w:w="1119" w:type="dxa"/>
            <w:tcBorders>
              <w:left w:val="single" w:sz="4" w:space="0" w:color="auto"/>
              <w:bottom w:val="single" w:sz="6" w:space="0" w:color="auto"/>
              <w:right w:val="single" w:sz="4" w:space="0" w:color="auto"/>
            </w:tcBorders>
            <w:vAlign w:val="center"/>
          </w:tcPr>
          <w:p w14:paraId="32CFAA94" w14:textId="77777777" w:rsidR="00BE0199" w:rsidRPr="004608C1" w:rsidRDefault="00BE0199" w:rsidP="00F37389">
            <w:pPr>
              <w:pStyle w:val="TAH"/>
            </w:pPr>
          </w:p>
        </w:tc>
        <w:tc>
          <w:tcPr>
            <w:tcW w:w="383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63CFB094" w14:textId="77777777" w:rsidR="00BE0199" w:rsidRPr="004608C1" w:rsidRDefault="00BE0199" w:rsidP="00F37389">
            <w:pPr>
              <w:pStyle w:val="TAH"/>
            </w:pPr>
            <w:r w:rsidRPr="004608C1">
              <w:t>Minimum Io</w:t>
            </w:r>
          </w:p>
        </w:tc>
        <w:tc>
          <w:tcPr>
            <w:tcW w:w="1591" w:type="dxa"/>
            <w:tcBorders>
              <w:top w:val="single" w:sz="4" w:space="0" w:color="auto"/>
              <w:left w:val="single" w:sz="6" w:space="0" w:color="auto"/>
              <w:bottom w:val="single" w:sz="6" w:space="0" w:color="auto"/>
              <w:right w:val="single" w:sz="4" w:space="0" w:color="auto"/>
            </w:tcBorders>
            <w:shd w:val="clear" w:color="auto" w:fill="auto"/>
            <w:vAlign w:val="center"/>
          </w:tcPr>
          <w:p w14:paraId="31B5FC2D" w14:textId="77777777" w:rsidR="00BE0199" w:rsidRPr="004608C1" w:rsidRDefault="00BE0199" w:rsidP="00F37389">
            <w:pPr>
              <w:pStyle w:val="TAH"/>
            </w:pPr>
            <w:r w:rsidRPr="004608C1">
              <w:t>Maximum Io</w:t>
            </w:r>
          </w:p>
        </w:tc>
      </w:tr>
      <w:tr w:rsidR="00BE0199" w:rsidRPr="004608C1" w14:paraId="6271C650" w14:textId="77777777" w:rsidTr="00BE0199">
        <w:trPr>
          <w:jc w:val="center"/>
        </w:trPr>
        <w:tc>
          <w:tcPr>
            <w:tcW w:w="1122" w:type="dxa"/>
            <w:tcBorders>
              <w:top w:val="single" w:sz="6" w:space="0" w:color="auto"/>
              <w:left w:val="single" w:sz="4" w:space="0" w:color="auto"/>
              <w:right w:val="single" w:sz="6" w:space="0" w:color="auto"/>
            </w:tcBorders>
            <w:shd w:val="clear" w:color="auto" w:fill="auto"/>
            <w:vAlign w:val="center"/>
          </w:tcPr>
          <w:p w14:paraId="3FED9FE7" w14:textId="77777777" w:rsidR="00BE0199" w:rsidRPr="004608C1" w:rsidRDefault="00BE0199" w:rsidP="00F37389">
            <w:pPr>
              <w:pStyle w:val="TAH"/>
            </w:pPr>
            <w:r w:rsidRPr="004608C1">
              <w:t>dB</w:t>
            </w:r>
          </w:p>
        </w:tc>
        <w:tc>
          <w:tcPr>
            <w:tcW w:w="1119" w:type="dxa"/>
            <w:tcBorders>
              <w:top w:val="single" w:sz="6" w:space="0" w:color="auto"/>
              <w:left w:val="single" w:sz="6" w:space="0" w:color="auto"/>
              <w:right w:val="single" w:sz="6" w:space="0" w:color="auto"/>
            </w:tcBorders>
            <w:shd w:val="clear" w:color="auto" w:fill="auto"/>
            <w:vAlign w:val="center"/>
          </w:tcPr>
          <w:p w14:paraId="1A1C4600" w14:textId="77777777" w:rsidR="00BE0199" w:rsidRPr="004608C1" w:rsidRDefault="00BE0199" w:rsidP="00F37389">
            <w:pPr>
              <w:pStyle w:val="TAH"/>
            </w:pPr>
            <w:r w:rsidRPr="004608C1">
              <w:t>dB</w:t>
            </w:r>
          </w:p>
        </w:tc>
        <w:tc>
          <w:tcPr>
            <w:tcW w:w="1119" w:type="dxa"/>
            <w:tcBorders>
              <w:top w:val="single" w:sz="6" w:space="0" w:color="auto"/>
              <w:left w:val="single" w:sz="4" w:space="0" w:color="auto"/>
              <w:right w:val="single" w:sz="4" w:space="0" w:color="auto"/>
            </w:tcBorders>
            <w:vAlign w:val="center"/>
          </w:tcPr>
          <w:p w14:paraId="49B622C0" w14:textId="77777777" w:rsidR="00BE0199" w:rsidRPr="004608C1" w:rsidRDefault="00BE0199" w:rsidP="00F37389">
            <w:pPr>
              <w:pStyle w:val="TAH"/>
              <w:rPr>
                <w:rFonts w:cs="Arial"/>
              </w:rPr>
            </w:pPr>
            <w:r w:rsidRPr="004608C1">
              <w:t>dB</w:t>
            </w:r>
          </w:p>
        </w:tc>
        <w:tc>
          <w:tcPr>
            <w:tcW w:w="22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6B5FF4CB" w14:textId="77777777" w:rsidR="00BE0199" w:rsidRPr="004608C1" w:rsidRDefault="00BE0199" w:rsidP="00F37389">
            <w:pPr>
              <w:pStyle w:val="TAH"/>
            </w:pPr>
            <w:r w:rsidRPr="004608C1">
              <w:rPr>
                <w:rFonts w:cs="Arial"/>
              </w:rPr>
              <w:t xml:space="preserve">dBm / </w:t>
            </w:r>
            <w:r w:rsidRPr="004608C1">
              <w:t>SCS</w:t>
            </w:r>
            <w:r w:rsidRPr="004608C1">
              <w:rPr>
                <w:vertAlign w:val="subscript"/>
              </w:rPr>
              <w:t>SSB</w:t>
            </w:r>
            <w:r w:rsidRPr="004608C1">
              <w:rPr>
                <w:vertAlign w:val="superscript"/>
              </w:rPr>
              <w:t xml:space="preserve"> Note 1</w:t>
            </w:r>
          </w:p>
        </w:tc>
        <w:tc>
          <w:tcPr>
            <w:tcW w:w="1590" w:type="dxa"/>
            <w:tcBorders>
              <w:top w:val="single" w:sz="6" w:space="0" w:color="auto"/>
              <w:left w:val="single" w:sz="6" w:space="0" w:color="auto"/>
              <w:right w:val="single" w:sz="6" w:space="0" w:color="auto"/>
            </w:tcBorders>
            <w:shd w:val="clear" w:color="auto" w:fill="auto"/>
            <w:vAlign w:val="center"/>
          </w:tcPr>
          <w:p w14:paraId="5B3EEFCE" w14:textId="77777777" w:rsidR="00BE0199" w:rsidRPr="004608C1" w:rsidRDefault="00BE0199" w:rsidP="00F37389">
            <w:pPr>
              <w:pStyle w:val="TAH"/>
            </w:pPr>
            <w:r w:rsidRPr="004608C1">
              <w:t>dBm/BW</w:t>
            </w:r>
            <w:r w:rsidRPr="004608C1">
              <w:rPr>
                <w:vertAlign w:val="subscript"/>
              </w:rPr>
              <w:t>Channel</w:t>
            </w:r>
          </w:p>
        </w:tc>
        <w:tc>
          <w:tcPr>
            <w:tcW w:w="1591" w:type="dxa"/>
            <w:tcBorders>
              <w:top w:val="single" w:sz="6" w:space="0" w:color="auto"/>
              <w:left w:val="single" w:sz="6" w:space="0" w:color="auto"/>
              <w:right w:val="single" w:sz="4" w:space="0" w:color="auto"/>
            </w:tcBorders>
            <w:shd w:val="clear" w:color="auto" w:fill="auto"/>
            <w:vAlign w:val="center"/>
          </w:tcPr>
          <w:p w14:paraId="18828695" w14:textId="77777777" w:rsidR="00BE0199" w:rsidRPr="004608C1" w:rsidRDefault="00BE0199" w:rsidP="00F37389">
            <w:pPr>
              <w:pStyle w:val="TAH"/>
            </w:pPr>
            <w:r w:rsidRPr="004608C1">
              <w:t>dBm/BW</w:t>
            </w:r>
            <w:r w:rsidRPr="004608C1">
              <w:rPr>
                <w:vertAlign w:val="subscript"/>
              </w:rPr>
              <w:t>Channel</w:t>
            </w:r>
          </w:p>
        </w:tc>
      </w:tr>
      <w:tr w:rsidR="00BE0199" w:rsidRPr="004608C1" w14:paraId="6997EFD1" w14:textId="77777777" w:rsidTr="00BE0199">
        <w:trPr>
          <w:jc w:val="center"/>
        </w:trPr>
        <w:tc>
          <w:tcPr>
            <w:tcW w:w="1122" w:type="dxa"/>
            <w:tcBorders>
              <w:left w:val="single" w:sz="4" w:space="0" w:color="auto"/>
              <w:bottom w:val="single" w:sz="6" w:space="0" w:color="auto"/>
              <w:right w:val="single" w:sz="6" w:space="0" w:color="auto"/>
            </w:tcBorders>
            <w:shd w:val="clear" w:color="auto" w:fill="auto"/>
            <w:vAlign w:val="center"/>
          </w:tcPr>
          <w:p w14:paraId="41D1D024" w14:textId="77777777" w:rsidR="00BE0199" w:rsidRPr="004608C1" w:rsidRDefault="00BE0199" w:rsidP="00F37389">
            <w:pPr>
              <w:pStyle w:val="TAH"/>
            </w:pPr>
          </w:p>
        </w:tc>
        <w:tc>
          <w:tcPr>
            <w:tcW w:w="1119" w:type="dxa"/>
            <w:tcBorders>
              <w:left w:val="single" w:sz="6" w:space="0" w:color="auto"/>
              <w:bottom w:val="single" w:sz="6" w:space="0" w:color="auto"/>
              <w:right w:val="single" w:sz="6" w:space="0" w:color="auto"/>
            </w:tcBorders>
            <w:shd w:val="clear" w:color="auto" w:fill="auto"/>
            <w:vAlign w:val="center"/>
          </w:tcPr>
          <w:p w14:paraId="292AD031" w14:textId="77777777" w:rsidR="00BE0199" w:rsidRPr="004608C1" w:rsidRDefault="00BE0199" w:rsidP="00F37389">
            <w:pPr>
              <w:pStyle w:val="TAH"/>
            </w:pPr>
          </w:p>
        </w:tc>
        <w:tc>
          <w:tcPr>
            <w:tcW w:w="1119" w:type="dxa"/>
            <w:tcBorders>
              <w:left w:val="single" w:sz="4" w:space="0" w:color="auto"/>
              <w:bottom w:val="single" w:sz="6" w:space="0" w:color="auto"/>
              <w:right w:val="single" w:sz="4" w:space="0" w:color="auto"/>
            </w:tcBorders>
          </w:tcPr>
          <w:p w14:paraId="6A81BCD8" w14:textId="77777777" w:rsidR="00BE0199" w:rsidRPr="004608C1" w:rsidRDefault="00BE0199" w:rsidP="00F37389">
            <w:pPr>
              <w:pStyle w:val="TAH"/>
            </w:pPr>
          </w:p>
        </w:tc>
        <w:tc>
          <w:tcPr>
            <w:tcW w:w="1124" w:type="dxa"/>
            <w:tcBorders>
              <w:top w:val="single" w:sz="6" w:space="0" w:color="auto"/>
              <w:left w:val="single" w:sz="4" w:space="0" w:color="auto"/>
              <w:bottom w:val="single" w:sz="6" w:space="0" w:color="auto"/>
              <w:right w:val="single" w:sz="6" w:space="0" w:color="auto"/>
            </w:tcBorders>
            <w:shd w:val="clear" w:color="auto" w:fill="auto"/>
            <w:vAlign w:val="center"/>
          </w:tcPr>
          <w:p w14:paraId="0E368A88" w14:textId="77777777" w:rsidR="00BE0199" w:rsidRPr="004608C1" w:rsidRDefault="00BE0199" w:rsidP="00F37389">
            <w:pPr>
              <w:pStyle w:val="TAH"/>
            </w:pPr>
            <w:r w:rsidRPr="004608C1">
              <w:t>SCS</w:t>
            </w:r>
            <w:r w:rsidRPr="004608C1">
              <w:rPr>
                <w:vertAlign w:val="subscript"/>
              </w:rPr>
              <w:t>SSB</w:t>
            </w:r>
            <w:r w:rsidRPr="004608C1">
              <w:rPr>
                <w:rFonts w:cs="Arial"/>
              </w:rPr>
              <w:t xml:space="preserve"> = 120kHz</w:t>
            </w:r>
          </w:p>
        </w:tc>
        <w:tc>
          <w:tcPr>
            <w:tcW w:w="1124" w:type="dxa"/>
            <w:tcBorders>
              <w:top w:val="single" w:sz="6" w:space="0" w:color="auto"/>
              <w:left w:val="single" w:sz="4" w:space="0" w:color="auto"/>
              <w:bottom w:val="single" w:sz="6" w:space="0" w:color="auto"/>
              <w:right w:val="single" w:sz="6" w:space="0" w:color="auto"/>
            </w:tcBorders>
            <w:shd w:val="clear" w:color="auto" w:fill="auto"/>
            <w:vAlign w:val="center"/>
          </w:tcPr>
          <w:p w14:paraId="5D6D31A3" w14:textId="77777777" w:rsidR="00BE0199" w:rsidRPr="004608C1" w:rsidRDefault="00BE0199" w:rsidP="00F37389">
            <w:pPr>
              <w:pStyle w:val="TAH"/>
            </w:pPr>
            <w:r w:rsidRPr="004608C1">
              <w:t>SCS</w:t>
            </w:r>
            <w:r w:rsidRPr="004608C1">
              <w:rPr>
                <w:vertAlign w:val="subscript"/>
              </w:rPr>
              <w:t>SSB</w:t>
            </w:r>
            <w:r w:rsidRPr="004608C1">
              <w:rPr>
                <w:rFonts w:cs="Arial"/>
              </w:rPr>
              <w:t xml:space="preserve"> = 240kHz</w:t>
            </w:r>
          </w:p>
        </w:tc>
        <w:tc>
          <w:tcPr>
            <w:tcW w:w="1590" w:type="dxa"/>
            <w:tcBorders>
              <w:left w:val="single" w:sz="6" w:space="0" w:color="auto"/>
              <w:bottom w:val="single" w:sz="6" w:space="0" w:color="auto"/>
              <w:right w:val="single" w:sz="6" w:space="0" w:color="auto"/>
            </w:tcBorders>
            <w:shd w:val="clear" w:color="auto" w:fill="auto"/>
            <w:vAlign w:val="center"/>
          </w:tcPr>
          <w:p w14:paraId="411616D4" w14:textId="77777777" w:rsidR="00BE0199" w:rsidRPr="004608C1" w:rsidRDefault="00BE0199" w:rsidP="00F37389">
            <w:pPr>
              <w:pStyle w:val="TAH"/>
            </w:pPr>
          </w:p>
        </w:tc>
        <w:tc>
          <w:tcPr>
            <w:tcW w:w="1591" w:type="dxa"/>
            <w:tcBorders>
              <w:left w:val="single" w:sz="6" w:space="0" w:color="auto"/>
              <w:bottom w:val="single" w:sz="6" w:space="0" w:color="auto"/>
              <w:right w:val="single" w:sz="4" w:space="0" w:color="auto"/>
            </w:tcBorders>
            <w:shd w:val="clear" w:color="auto" w:fill="auto"/>
            <w:vAlign w:val="center"/>
          </w:tcPr>
          <w:p w14:paraId="077689FA" w14:textId="77777777" w:rsidR="00BE0199" w:rsidRPr="004608C1" w:rsidRDefault="00BE0199" w:rsidP="00F37389">
            <w:pPr>
              <w:pStyle w:val="TAH"/>
            </w:pPr>
          </w:p>
        </w:tc>
      </w:tr>
      <w:tr w:rsidR="00BE0199" w:rsidRPr="004608C1" w14:paraId="373FB732" w14:textId="77777777" w:rsidTr="00BE0199">
        <w:trPr>
          <w:jc w:val="center"/>
        </w:trPr>
        <w:tc>
          <w:tcPr>
            <w:tcW w:w="1122" w:type="dxa"/>
            <w:tcBorders>
              <w:top w:val="single" w:sz="6" w:space="0" w:color="auto"/>
              <w:left w:val="single" w:sz="4" w:space="0" w:color="auto"/>
              <w:right w:val="single" w:sz="6" w:space="0" w:color="auto"/>
            </w:tcBorders>
            <w:shd w:val="clear" w:color="auto" w:fill="auto"/>
            <w:vAlign w:val="center"/>
          </w:tcPr>
          <w:p w14:paraId="04D82761" w14:textId="77777777" w:rsidR="00BE0199" w:rsidRPr="004608C1" w:rsidRDefault="00BE0199" w:rsidP="00F37389">
            <w:pPr>
              <w:pStyle w:val="TAC"/>
            </w:pPr>
            <w:r w:rsidRPr="004608C1">
              <w:sym w:font="Symbol" w:char="F0B1"/>
            </w:r>
            <w:r>
              <w:t>7.5</w:t>
            </w:r>
          </w:p>
        </w:tc>
        <w:tc>
          <w:tcPr>
            <w:tcW w:w="1119" w:type="dxa"/>
            <w:tcBorders>
              <w:top w:val="single" w:sz="6" w:space="0" w:color="auto"/>
              <w:left w:val="single" w:sz="6" w:space="0" w:color="auto"/>
              <w:right w:val="single" w:sz="6" w:space="0" w:color="auto"/>
            </w:tcBorders>
            <w:shd w:val="clear" w:color="auto" w:fill="auto"/>
            <w:vAlign w:val="center"/>
          </w:tcPr>
          <w:p w14:paraId="736B70C7" w14:textId="77777777" w:rsidR="00BE0199" w:rsidRPr="004608C1" w:rsidRDefault="00BE0199" w:rsidP="00F37389">
            <w:pPr>
              <w:pStyle w:val="TAC"/>
            </w:pPr>
            <w:r w:rsidRPr="004608C1">
              <w:sym w:font="Symbol" w:char="F0B1"/>
            </w:r>
            <w:r>
              <w:t>10.5</w:t>
            </w:r>
          </w:p>
        </w:tc>
        <w:tc>
          <w:tcPr>
            <w:tcW w:w="1119" w:type="dxa"/>
            <w:tcBorders>
              <w:top w:val="single" w:sz="6" w:space="0" w:color="auto"/>
              <w:left w:val="single" w:sz="4" w:space="0" w:color="auto"/>
              <w:right w:val="single" w:sz="4" w:space="0" w:color="auto"/>
            </w:tcBorders>
            <w:vAlign w:val="center"/>
          </w:tcPr>
          <w:p w14:paraId="7BD27980" w14:textId="77777777" w:rsidR="00BE0199" w:rsidRPr="004608C1" w:rsidRDefault="00BE0199" w:rsidP="00F37389">
            <w:pPr>
              <w:pStyle w:val="TAC"/>
            </w:pPr>
            <w:r w:rsidRPr="004608C1">
              <w:rPr>
                <w:rFonts w:eastAsia="Yu Mincho" w:cs="Arial"/>
                <w:lang w:eastAsia="ja-JP"/>
              </w:rPr>
              <w:t>≥-</w:t>
            </w:r>
            <w:r>
              <w:rPr>
                <w:rFonts w:eastAsia="Yu Mincho" w:cs="Arial"/>
                <w:lang w:eastAsia="ja-JP"/>
              </w:rPr>
              <w:t>4</w:t>
            </w:r>
          </w:p>
        </w:tc>
        <w:tc>
          <w:tcPr>
            <w:tcW w:w="22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548C2367" w14:textId="77777777" w:rsidR="00BE0199" w:rsidRPr="004608C1" w:rsidRDefault="00BE0199" w:rsidP="00F37389">
            <w:pPr>
              <w:pStyle w:val="TAC"/>
              <w:rPr>
                <w:rFonts w:eastAsia="Yu Mincho"/>
                <w:lang w:eastAsia="ja-JP"/>
              </w:rPr>
            </w:pPr>
            <w:r w:rsidRPr="004608C1">
              <w:t>Same value as SSB_RP in Table B.2.2-2, according to UE Power class, operating band and angle of arrival</w:t>
            </w:r>
          </w:p>
        </w:tc>
        <w:tc>
          <w:tcPr>
            <w:tcW w:w="1590" w:type="dxa"/>
            <w:tcBorders>
              <w:top w:val="single" w:sz="6" w:space="0" w:color="auto"/>
              <w:left w:val="single" w:sz="6" w:space="0" w:color="auto"/>
              <w:bottom w:val="single" w:sz="6" w:space="0" w:color="auto"/>
              <w:right w:val="single" w:sz="6" w:space="0" w:color="auto"/>
            </w:tcBorders>
            <w:shd w:val="clear" w:color="auto" w:fill="auto"/>
            <w:vAlign w:val="center"/>
          </w:tcPr>
          <w:p w14:paraId="1F3702A8" w14:textId="77777777" w:rsidR="00BE0199" w:rsidRPr="004608C1" w:rsidRDefault="00BE0199" w:rsidP="00F37389">
            <w:pPr>
              <w:pStyle w:val="TAC"/>
            </w:pPr>
            <w:r w:rsidRPr="004608C1">
              <w:rPr>
                <w:lang w:eastAsia="zh-CN"/>
              </w:rPr>
              <w:t>N/A</w:t>
            </w:r>
          </w:p>
        </w:tc>
        <w:tc>
          <w:tcPr>
            <w:tcW w:w="1591" w:type="dxa"/>
            <w:tcBorders>
              <w:top w:val="single" w:sz="6" w:space="0" w:color="auto"/>
              <w:left w:val="single" w:sz="6" w:space="0" w:color="auto"/>
              <w:bottom w:val="single" w:sz="6" w:space="0" w:color="auto"/>
              <w:right w:val="single" w:sz="4" w:space="0" w:color="auto"/>
            </w:tcBorders>
            <w:shd w:val="clear" w:color="auto" w:fill="auto"/>
            <w:vAlign w:val="center"/>
          </w:tcPr>
          <w:p w14:paraId="1C6DB183" w14:textId="77777777" w:rsidR="00BE0199" w:rsidRPr="004608C1" w:rsidRDefault="00BE0199" w:rsidP="00F37389">
            <w:pPr>
              <w:pStyle w:val="TAC"/>
            </w:pPr>
            <w:r w:rsidRPr="004608C1">
              <w:t>-70</w:t>
            </w:r>
          </w:p>
        </w:tc>
      </w:tr>
      <w:tr w:rsidR="00BE0199" w:rsidRPr="004608C1" w14:paraId="75F03430" w14:textId="77777777" w:rsidTr="00BE0199">
        <w:trPr>
          <w:jc w:val="center"/>
        </w:trPr>
        <w:tc>
          <w:tcPr>
            <w:tcW w:w="1122" w:type="dxa"/>
            <w:tcBorders>
              <w:top w:val="single" w:sz="6" w:space="0" w:color="auto"/>
              <w:left w:val="single" w:sz="4" w:space="0" w:color="auto"/>
              <w:bottom w:val="single" w:sz="6" w:space="0" w:color="auto"/>
              <w:right w:val="single" w:sz="6" w:space="0" w:color="auto"/>
            </w:tcBorders>
            <w:shd w:val="clear" w:color="auto" w:fill="auto"/>
            <w:vAlign w:val="center"/>
          </w:tcPr>
          <w:p w14:paraId="2263D361" w14:textId="77777777" w:rsidR="00BE0199" w:rsidRPr="004608C1" w:rsidRDefault="00BE0199" w:rsidP="00F37389">
            <w:pPr>
              <w:pStyle w:val="TAC"/>
            </w:pPr>
            <w:r w:rsidRPr="004608C1">
              <w:sym w:font="Symbol" w:char="F0B1"/>
            </w:r>
            <w:r>
              <w:t>9.5</w:t>
            </w:r>
          </w:p>
        </w:tc>
        <w:tc>
          <w:tcPr>
            <w:tcW w:w="1119" w:type="dxa"/>
            <w:tcBorders>
              <w:top w:val="single" w:sz="6" w:space="0" w:color="auto"/>
              <w:left w:val="single" w:sz="6" w:space="0" w:color="auto"/>
              <w:bottom w:val="single" w:sz="6" w:space="0" w:color="auto"/>
              <w:right w:val="single" w:sz="6" w:space="0" w:color="auto"/>
            </w:tcBorders>
            <w:shd w:val="clear" w:color="auto" w:fill="auto"/>
            <w:vAlign w:val="center"/>
          </w:tcPr>
          <w:p w14:paraId="6AB0FE63" w14:textId="77777777" w:rsidR="00BE0199" w:rsidRPr="004608C1" w:rsidRDefault="00BE0199" w:rsidP="00F37389">
            <w:pPr>
              <w:pStyle w:val="TAC"/>
            </w:pPr>
            <w:r w:rsidRPr="004608C1">
              <w:sym w:font="Symbol" w:char="F0B1"/>
            </w:r>
            <w:r w:rsidRPr="004608C1">
              <w:t>1</w:t>
            </w:r>
            <w:r>
              <w:t>2.5</w:t>
            </w:r>
          </w:p>
        </w:tc>
        <w:tc>
          <w:tcPr>
            <w:tcW w:w="1119" w:type="dxa"/>
            <w:tcBorders>
              <w:left w:val="single" w:sz="4" w:space="0" w:color="auto"/>
              <w:right w:val="single" w:sz="4" w:space="0" w:color="auto"/>
            </w:tcBorders>
          </w:tcPr>
          <w:p w14:paraId="231C071D" w14:textId="77777777" w:rsidR="00BE0199" w:rsidRPr="004608C1" w:rsidRDefault="00BE0199" w:rsidP="00F37389">
            <w:pPr>
              <w:pStyle w:val="TAC"/>
            </w:pPr>
          </w:p>
        </w:tc>
        <w:tc>
          <w:tcPr>
            <w:tcW w:w="22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0549B3A3" w14:textId="77777777" w:rsidR="00BE0199" w:rsidRPr="004608C1" w:rsidRDefault="00BE0199" w:rsidP="00F37389">
            <w:pPr>
              <w:pStyle w:val="TAC"/>
            </w:pPr>
            <w:r w:rsidRPr="004608C1">
              <w:t>N/A</w:t>
            </w:r>
          </w:p>
        </w:tc>
        <w:tc>
          <w:tcPr>
            <w:tcW w:w="1590" w:type="dxa"/>
            <w:tcBorders>
              <w:top w:val="single" w:sz="6" w:space="0" w:color="auto"/>
              <w:left w:val="single" w:sz="6" w:space="0" w:color="auto"/>
              <w:bottom w:val="single" w:sz="6" w:space="0" w:color="auto"/>
              <w:right w:val="single" w:sz="6" w:space="0" w:color="auto"/>
            </w:tcBorders>
            <w:shd w:val="clear" w:color="auto" w:fill="auto"/>
            <w:vAlign w:val="center"/>
          </w:tcPr>
          <w:p w14:paraId="777D2E5B" w14:textId="77777777" w:rsidR="00BE0199" w:rsidRPr="004608C1" w:rsidRDefault="00BE0199" w:rsidP="00F37389">
            <w:pPr>
              <w:pStyle w:val="TAC"/>
            </w:pPr>
            <w:r w:rsidRPr="004608C1">
              <w:t>-70</w:t>
            </w:r>
          </w:p>
        </w:tc>
        <w:tc>
          <w:tcPr>
            <w:tcW w:w="1591" w:type="dxa"/>
            <w:tcBorders>
              <w:top w:val="single" w:sz="6" w:space="0" w:color="auto"/>
              <w:left w:val="single" w:sz="6" w:space="0" w:color="auto"/>
              <w:bottom w:val="single" w:sz="6" w:space="0" w:color="auto"/>
              <w:right w:val="single" w:sz="4" w:space="0" w:color="auto"/>
            </w:tcBorders>
            <w:shd w:val="clear" w:color="auto" w:fill="auto"/>
            <w:vAlign w:val="center"/>
          </w:tcPr>
          <w:p w14:paraId="18685777" w14:textId="77777777" w:rsidR="00BE0199" w:rsidRPr="004608C1" w:rsidRDefault="00BE0199" w:rsidP="00F37389">
            <w:pPr>
              <w:pStyle w:val="TAC"/>
            </w:pPr>
            <w:r w:rsidRPr="004608C1">
              <w:t>-50</w:t>
            </w:r>
          </w:p>
        </w:tc>
      </w:tr>
      <w:tr w:rsidR="00BE0199" w:rsidRPr="004608C1" w14:paraId="5FA5316D" w14:textId="77777777" w:rsidTr="00BE0199">
        <w:trPr>
          <w:jc w:val="center"/>
        </w:trPr>
        <w:tc>
          <w:tcPr>
            <w:tcW w:w="8789"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B0F0BFA" w14:textId="77777777" w:rsidR="00BE0199" w:rsidRPr="004608C1" w:rsidRDefault="00BE0199" w:rsidP="00F37389">
            <w:pPr>
              <w:pStyle w:val="TAN"/>
            </w:pPr>
            <w:r w:rsidRPr="004608C1">
              <w:t>Note 1:</w:t>
            </w:r>
            <w:r w:rsidRPr="004608C1">
              <w:tab/>
              <w:t>Values based on Refsens and EIS spherical coverage as defined in clauses 7.3.2 and 7.3.4 of TS 38.101-2 [19]. Applicable side condition selected depending on angle of arrival.</w:t>
            </w:r>
          </w:p>
          <w:p w14:paraId="2B4B3716" w14:textId="77777777" w:rsidR="00BE0199" w:rsidRPr="004608C1" w:rsidRDefault="00BE0199" w:rsidP="00F37389">
            <w:pPr>
              <w:pStyle w:val="TAN"/>
            </w:pPr>
            <w:r w:rsidRPr="004608C1">
              <w:t>Note 2:</w:t>
            </w:r>
            <w:r w:rsidRPr="004608C1">
              <w:tab/>
            </w:r>
            <w:r w:rsidRPr="004608C1">
              <w:rPr>
                <w:rFonts w:eastAsia="MS Mincho"/>
              </w:rPr>
              <w:t>Io specified at the Reference point</w:t>
            </w:r>
            <w:r>
              <w:rPr>
                <w:rFonts w:eastAsia="MS Mincho"/>
              </w:rPr>
              <w:t xml:space="preserve"> </w:t>
            </w:r>
            <w:r w:rsidRPr="004608C1">
              <w:rPr>
                <w:rFonts w:eastAsia="MS Mincho"/>
              </w:rPr>
              <w:t>and assumed to have constant EPRE across the bandwidth</w:t>
            </w:r>
            <w:r w:rsidRPr="004608C1">
              <w:t>.</w:t>
            </w:r>
          </w:p>
          <w:p w14:paraId="7F8D027B" w14:textId="77777777" w:rsidR="00BE0199" w:rsidRPr="004608C1" w:rsidRDefault="00BE0199" w:rsidP="00F37389">
            <w:pPr>
              <w:pStyle w:val="TAN"/>
            </w:pPr>
            <w:r w:rsidRPr="004608C1">
              <w:t>Note 3:</w:t>
            </w:r>
            <w:r w:rsidRPr="004608C1">
              <w:tab/>
              <w:t xml:space="preserve">In the test cases, the SSB </w:t>
            </w:r>
            <w:r w:rsidRPr="004608C1">
              <w:rPr>
                <w:rFonts w:hint="eastAsia"/>
              </w:rPr>
              <w:t>Ê</w:t>
            </w:r>
            <w:r w:rsidRPr="004608C1">
              <w:t xml:space="preserve">s/Iot and related parameters may need to be adjusted to ensure </w:t>
            </w:r>
            <w:r w:rsidRPr="004608C1">
              <w:rPr>
                <w:rFonts w:hint="eastAsia"/>
              </w:rPr>
              <w:t>Ê</w:t>
            </w:r>
            <w:r w:rsidRPr="004608C1">
              <w:t>s/Iot at UE baseband is above the value defined in this table.</w:t>
            </w:r>
          </w:p>
        </w:tc>
      </w:tr>
    </w:tbl>
    <w:p w14:paraId="5F660F78" w14:textId="77777777" w:rsidR="00BE0199" w:rsidRPr="004608C1" w:rsidRDefault="00BE0199" w:rsidP="00BE0199">
      <w:pPr>
        <w:rPr>
          <w:lang w:eastAsia="zh-CN"/>
        </w:rPr>
      </w:pPr>
    </w:p>
    <w:p w14:paraId="3554B475" w14:textId="63CEE67E" w:rsidR="001F5A79" w:rsidRPr="009C5807" w:rsidRDefault="001F5A79" w:rsidP="00967CF8">
      <w:pPr>
        <w:pStyle w:val="Heading3"/>
        <w:rPr>
          <w:lang w:val="en-US" w:eastAsia="ko-KR"/>
        </w:rPr>
      </w:pPr>
      <w:r w:rsidRPr="009C5807">
        <w:rPr>
          <w:lang w:val="en-US" w:eastAsia="ko-KR"/>
        </w:rPr>
        <w:t>1</w:t>
      </w:r>
      <w:r w:rsidR="00967CF8" w:rsidRPr="009C5807">
        <w:rPr>
          <w:lang w:val="en-US" w:eastAsia="ko-KR"/>
        </w:rPr>
        <w:t>0.1.4</w:t>
      </w:r>
      <w:r w:rsidRPr="009C5807">
        <w:rPr>
          <w:lang w:val="en-US" w:eastAsia="ko-KR"/>
        </w:rPr>
        <w:tab/>
        <w:t xml:space="preserve">Inter-frequency RSRP accuracy requirements </w:t>
      </w:r>
      <w:r w:rsidRPr="009C5807">
        <w:rPr>
          <w:lang w:val="en-US" w:eastAsia="zh-CN"/>
        </w:rPr>
        <w:t>for</w:t>
      </w:r>
      <w:r w:rsidRPr="009C5807">
        <w:rPr>
          <w:lang w:val="en-US" w:eastAsia="ko-KR"/>
        </w:rPr>
        <w:t xml:space="preserve"> FR1</w:t>
      </w:r>
    </w:p>
    <w:p w14:paraId="0D9BC6F2" w14:textId="573B6B0F" w:rsidR="001F5A79" w:rsidRPr="009C5807" w:rsidRDefault="001F5A79" w:rsidP="00967CF8">
      <w:pPr>
        <w:pStyle w:val="Heading4"/>
        <w:rPr>
          <w:lang w:val="en-US" w:eastAsia="zh-CN"/>
        </w:rPr>
      </w:pPr>
      <w:r w:rsidRPr="009C5807">
        <w:rPr>
          <w:lang w:val="en-US" w:eastAsia="zh-CN"/>
        </w:rPr>
        <w:t>1</w:t>
      </w:r>
      <w:r w:rsidR="00967CF8" w:rsidRPr="009C5807">
        <w:rPr>
          <w:lang w:val="en-US" w:eastAsia="zh-CN"/>
        </w:rPr>
        <w:t>0.1.4.1</w:t>
      </w:r>
      <w:r w:rsidRPr="009C5807">
        <w:rPr>
          <w:lang w:val="en-US" w:eastAsia="zh-CN"/>
        </w:rPr>
        <w:tab/>
      </w:r>
      <w:r w:rsidRPr="009C5807">
        <w:rPr>
          <w:lang w:val="en-US" w:eastAsia="ko-KR"/>
        </w:rPr>
        <w:t>Inter-frequency SS-RSRP accuracy requirements</w:t>
      </w:r>
    </w:p>
    <w:p w14:paraId="2C2BEE9C" w14:textId="08903458" w:rsidR="001F5A79" w:rsidRPr="009C5807" w:rsidRDefault="001F5A79" w:rsidP="00967CF8">
      <w:pPr>
        <w:pStyle w:val="Heading5"/>
        <w:rPr>
          <w:lang w:val="en-US" w:eastAsia="zh-CN"/>
        </w:rPr>
      </w:pPr>
      <w:r w:rsidRPr="009C5807">
        <w:rPr>
          <w:lang w:val="en-US" w:eastAsia="zh-CN"/>
        </w:rPr>
        <w:t>1</w:t>
      </w:r>
      <w:r w:rsidR="00967CF8" w:rsidRPr="009C5807">
        <w:rPr>
          <w:lang w:val="en-US" w:eastAsia="zh-CN"/>
        </w:rPr>
        <w:t>0.1.4.1.1</w:t>
      </w:r>
      <w:r w:rsidRPr="009C5807">
        <w:rPr>
          <w:lang w:val="en-US" w:eastAsia="zh-CN"/>
        </w:rPr>
        <w:tab/>
      </w:r>
      <w:r w:rsidRPr="009C5807">
        <w:rPr>
          <w:lang w:eastAsia="zh-CN"/>
        </w:rPr>
        <w:t>Absolute</w:t>
      </w:r>
      <w:r w:rsidRPr="009C5807">
        <w:t xml:space="preserve"> Accuracy of </w:t>
      </w:r>
      <w:r w:rsidRPr="009C5807">
        <w:rPr>
          <w:lang w:eastAsia="zh-CN"/>
        </w:rPr>
        <w:t>SS-RSRP</w:t>
      </w:r>
      <w:r w:rsidRPr="009C5807">
        <w:rPr>
          <w:lang w:val="en-US" w:eastAsia="zh-CN"/>
        </w:rPr>
        <w:t xml:space="preserve"> in FR1</w:t>
      </w:r>
    </w:p>
    <w:p w14:paraId="2C6D8F18" w14:textId="2CC35A5E" w:rsidR="001F5A79" w:rsidRPr="009C5807" w:rsidRDefault="0048746C" w:rsidP="001F5A79">
      <w:pPr>
        <w:rPr>
          <w:rFonts w:cs="v4.2.0"/>
          <w:i/>
        </w:rPr>
      </w:pPr>
      <w:r w:rsidRPr="009C5807">
        <w:rPr>
          <w:rFonts w:cs="v4.2.0"/>
        </w:rPr>
        <w:t>The requirements for absolute accuracy of</w:t>
      </w:r>
      <w:r w:rsidRPr="009C5807">
        <w:rPr>
          <w:rFonts w:cs="v4.2.0"/>
          <w:lang w:eastAsia="zh-CN"/>
        </w:rPr>
        <w:t xml:space="preserve"> SS-RSRP</w:t>
      </w:r>
      <w:r w:rsidRPr="009C5807">
        <w:rPr>
          <w:rFonts w:cs="v4.2.0"/>
        </w:rPr>
        <w:t xml:space="preserve"> in this clause apply to a cell on a frequency in FR1 that has different carrier frequency from the serving cell.</w:t>
      </w:r>
      <w:r>
        <w:rPr>
          <w:rFonts w:cs="v4.2.0"/>
        </w:rPr>
        <w:t xml:space="preserve"> </w:t>
      </w:r>
      <w:r>
        <w:rPr>
          <w:lang w:eastAsia="zh-CN"/>
        </w:rPr>
        <w:t xml:space="preserve">The </w:t>
      </w:r>
      <w:r>
        <w:t xml:space="preserve">accuracy requirements in this clause are also applicable when </w:t>
      </w:r>
      <w:r w:rsidRPr="00C55ADC">
        <w:rPr>
          <w:i/>
          <w:iCs/>
          <w:lang w:eastAsia="zh-CN"/>
        </w:rPr>
        <w:t>highSpeedMeasInterFreq-r17</w:t>
      </w:r>
      <w:r>
        <w:rPr>
          <w:i/>
          <w:iCs/>
          <w:lang w:eastAsia="zh-CN"/>
        </w:rPr>
        <w:t xml:space="preserve"> </w:t>
      </w:r>
      <w:r>
        <w:t>is configured.</w:t>
      </w:r>
    </w:p>
    <w:p w14:paraId="02175CF2"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10.1.4.1.1</w:t>
      </w:r>
      <w:r w:rsidRPr="009C5807">
        <w:rPr>
          <w:rFonts w:cs="v4.2.0"/>
        </w:rPr>
        <w:t>-1 are valid under the following conditions:</w:t>
      </w:r>
    </w:p>
    <w:p w14:paraId="55555F7E" w14:textId="77777777" w:rsidR="001F5A79" w:rsidRPr="009C5807" w:rsidRDefault="001F5A79" w:rsidP="009C5807">
      <w:pPr>
        <w:pStyle w:val="B10"/>
        <w:rPr>
          <w:lang w:eastAsia="zh-CN"/>
        </w:rPr>
      </w:pPr>
      <w:r w:rsidRPr="009C5807">
        <w:t>-</w:t>
      </w:r>
      <w:r w:rsidRPr="009C5807">
        <w:tab/>
        <w:t>Conditions defined in clause 7.3 of TS 38.101-1 [18] for reference sensitivity are fulfilled.</w:t>
      </w:r>
    </w:p>
    <w:p w14:paraId="473D4BBA" w14:textId="77777777" w:rsidR="001F5A79" w:rsidRPr="009C5807" w:rsidRDefault="001F5A79" w:rsidP="009C5807">
      <w:pPr>
        <w:pStyle w:val="B10"/>
        <w:rPr>
          <w:lang w:eastAsia="zh-CN"/>
        </w:rPr>
      </w:pPr>
      <w:r w:rsidRPr="009C5807">
        <w:t>-</w:t>
      </w:r>
      <w:r w:rsidRPr="009C5807">
        <w:tab/>
        <w:t xml:space="preserve">Conditions for inter-frequency measurements are fulfilled according to Annex B.2.3 for a corresponding Band </w:t>
      </w:r>
      <w:r w:rsidRPr="009C5807">
        <w:rPr>
          <w:rFonts w:cs="v4.2.0"/>
          <w:lang w:eastAsia="ko-KR"/>
        </w:rPr>
        <w:t>for each relevant SSB</w:t>
      </w:r>
      <w:r w:rsidRPr="009C5807">
        <w:t>.</w:t>
      </w:r>
    </w:p>
    <w:p w14:paraId="158EFF15" w14:textId="77777777" w:rsidR="001F5A79" w:rsidRPr="009C5807" w:rsidRDefault="001F5A79" w:rsidP="009C5807">
      <w:pPr>
        <w:pStyle w:val="TH"/>
      </w:pPr>
      <w:r w:rsidRPr="009C5807">
        <w:t xml:space="preserve">Table </w:t>
      </w:r>
      <w:r w:rsidRPr="009C5807">
        <w:rPr>
          <w:lang w:eastAsia="zh-CN"/>
        </w:rPr>
        <w:t>10.1.4.1.1-1</w:t>
      </w:r>
      <w:r w:rsidRPr="009C5807">
        <w:t xml:space="preserve">: </w:t>
      </w:r>
      <w:r w:rsidRPr="009C5807">
        <w:rPr>
          <w:lang w:eastAsia="zh-CN"/>
        </w:rPr>
        <w:t>SS-</w:t>
      </w:r>
      <w:r w:rsidRPr="009C5807">
        <w:t>RSRP Inter frequency Absolute accuracy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1F5A79" w:rsidRPr="009C5807" w14:paraId="441CFFB2" w14:textId="77777777" w:rsidTr="00DF3064">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29DC7A4F" w14:textId="77777777" w:rsidR="001F5A79" w:rsidRPr="009C5807" w:rsidRDefault="001F5A79" w:rsidP="009C5807">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0A4CEC96" w14:textId="77777777" w:rsidR="001F5A79" w:rsidRPr="009C5807" w:rsidRDefault="001F5A79" w:rsidP="009C5807">
            <w:pPr>
              <w:pStyle w:val="TAH"/>
            </w:pPr>
            <w:r w:rsidRPr="009C5807">
              <w:t>Conditions</w:t>
            </w:r>
          </w:p>
        </w:tc>
      </w:tr>
      <w:tr w:rsidR="001F5A79" w:rsidRPr="009C5807" w14:paraId="2A603A49" w14:textId="77777777" w:rsidTr="00B14E26">
        <w:trPr>
          <w:jc w:val="center"/>
        </w:trPr>
        <w:tc>
          <w:tcPr>
            <w:tcW w:w="1033" w:type="dxa"/>
            <w:tcBorders>
              <w:top w:val="single" w:sz="6" w:space="0" w:color="auto"/>
              <w:left w:val="single" w:sz="4" w:space="0" w:color="auto"/>
              <w:right w:val="single" w:sz="6" w:space="0" w:color="auto"/>
            </w:tcBorders>
            <w:shd w:val="clear" w:color="auto" w:fill="auto"/>
            <w:vAlign w:val="center"/>
          </w:tcPr>
          <w:p w14:paraId="278A3B43" w14:textId="77777777" w:rsidR="001F5A79" w:rsidRPr="009C5807" w:rsidRDefault="001F5A79" w:rsidP="009C5807">
            <w:pPr>
              <w:pStyle w:val="TAH"/>
            </w:pPr>
            <w:r w:rsidRPr="009C5807">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7D104CE2" w14:textId="77777777" w:rsidR="001F5A79" w:rsidRPr="009C5807" w:rsidRDefault="001F5A79" w:rsidP="009C5807">
            <w:pPr>
              <w:pStyle w:val="TAH"/>
            </w:pPr>
            <w:r w:rsidRPr="009C5807">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7562683E" w14:textId="77777777" w:rsidR="001F5A79" w:rsidRPr="009C5807" w:rsidRDefault="001F5A79" w:rsidP="009C5807">
            <w:pPr>
              <w:pStyle w:val="TAH"/>
            </w:pPr>
            <w:r w:rsidRPr="009C5807">
              <w:t>SSB Ês/Iot</w:t>
            </w:r>
            <w:r w:rsidRPr="009C5807">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B461353" w14:textId="77777777" w:rsidR="001F5A79" w:rsidRPr="009C5807" w:rsidRDefault="001F5A79" w:rsidP="009C5807">
            <w:pPr>
              <w:pStyle w:val="TAH"/>
            </w:pPr>
            <w:r w:rsidRPr="009C5807">
              <w:t>Io</w:t>
            </w:r>
            <w:r w:rsidRPr="009C5807">
              <w:rPr>
                <w:vertAlign w:val="superscript"/>
              </w:rPr>
              <w:t xml:space="preserve"> Note 1</w:t>
            </w:r>
            <w:r w:rsidRPr="009C5807">
              <w:t xml:space="preserve"> range</w:t>
            </w:r>
          </w:p>
        </w:tc>
      </w:tr>
      <w:tr w:rsidR="001F5A79" w:rsidRPr="009C5807" w14:paraId="0B8A56B6" w14:textId="77777777" w:rsidTr="00B14E26">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48A8C1E9" w14:textId="77777777" w:rsidR="001F5A79" w:rsidRPr="009C5807" w:rsidRDefault="001F5A79" w:rsidP="009C5807">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0D23D4C0" w14:textId="77777777" w:rsidR="001F5A79" w:rsidRPr="009C5807" w:rsidRDefault="001F5A79" w:rsidP="009C5807">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32A579B5" w14:textId="77777777" w:rsidR="001F5A79" w:rsidRPr="009C5807" w:rsidRDefault="001F5A79" w:rsidP="00B14E26">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13AD1D3" w14:textId="77777777" w:rsidR="001F5A79" w:rsidRPr="009C5807" w:rsidRDefault="001F5A79" w:rsidP="009C5807">
            <w:pPr>
              <w:pStyle w:val="TAH"/>
            </w:pPr>
            <w:r w:rsidRPr="009C5807">
              <w:t>NR operating band groups</w:t>
            </w:r>
            <w:r w:rsidRPr="009C5807">
              <w:rPr>
                <w:vertAlign w:val="superscript"/>
              </w:rPr>
              <w:t xml:space="preserve"> Note 3</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1890408E" w14:textId="77777777" w:rsidR="001F5A79" w:rsidRPr="009C5807" w:rsidRDefault="001F5A79" w:rsidP="009C5807">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71094433" w14:textId="77777777" w:rsidR="001F5A79" w:rsidRPr="009C5807" w:rsidRDefault="001F5A79" w:rsidP="009C5807">
            <w:pPr>
              <w:pStyle w:val="TAH"/>
            </w:pPr>
            <w:r w:rsidRPr="009C5807">
              <w:t>Maximum Io</w:t>
            </w:r>
          </w:p>
        </w:tc>
      </w:tr>
      <w:tr w:rsidR="001F5A79" w:rsidRPr="009C5807" w14:paraId="45678761" w14:textId="77777777" w:rsidTr="00B14E26">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552D3319" w14:textId="77777777" w:rsidR="001F5A79" w:rsidRPr="009C5807" w:rsidRDefault="001F5A79" w:rsidP="009C5807">
            <w:pPr>
              <w:pStyle w:val="TAH"/>
            </w:pPr>
            <w:r w:rsidRPr="009C5807">
              <w:t>dB</w:t>
            </w:r>
          </w:p>
        </w:tc>
        <w:tc>
          <w:tcPr>
            <w:tcW w:w="1049" w:type="dxa"/>
            <w:tcBorders>
              <w:top w:val="single" w:sz="6" w:space="0" w:color="auto"/>
              <w:left w:val="single" w:sz="6" w:space="0" w:color="auto"/>
              <w:right w:val="single" w:sz="6" w:space="0" w:color="auto"/>
            </w:tcBorders>
            <w:shd w:val="clear" w:color="auto" w:fill="auto"/>
            <w:vAlign w:val="center"/>
          </w:tcPr>
          <w:p w14:paraId="420E1BA6" w14:textId="77777777" w:rsidR="001F5A79" w:rsidRPr="009C5807" w:rsidRDefault="001F5A79" w:rsidP="009C5807">
            <w:pPr>
              <w:pStyle w:val="TAH"/>
            </w:pPr>
            <w:r w:rsidRPr="009C5807">
              <w:t>dB</w:t>
            </w:r>
          </w:p>
        </w:tc>
        <w:tc>
          <w:tcPr>
            <w:tcW w:w="807" w:type="dxa"/>
            <w:tcBorders>
              <w:top w:val="single" w:sz="6" w:space="0" w:color="auto"/>
              <w:left w:val="single" w:sz="6" w:space="0" w:color="auto"/>
              <w:right w:val="single" w:sz="6" w:space="0" w:color="auto"/>
            </w:tcBorders>
            <w:shd w:val="clear" w:color="auto" w:fill="auto"/>
            <w:vAlign w:val="center"/>
          </w:tcPr>
          <w:p w14:paraId="324799C7" w14:textId="77777777" w:rsidR="001F5A79" w:rsidRPr="009C5807" w:rsidRDefault="001F5A79" w:rsidP="00B14E26">
            <w:pPr>
              <w:pStyle w:val="TAH"/>
            </w:pPr>
            <w:r w:rsidRPr="009C5807">
              <w:t>dB</w:t>
            </w:r>
          </w:p>
        </w:tc>
        <w:tc>
          <w:tcPr>
            <w:tcW w:w="2349" w:type="dxa"/>
            <w:tcBorders>
              <w:top w:val="single" w:sz="6" w:space="0" w:color="auto"/>
              <w:left w:val="single" w:sz="6" w:space="0" w:color="auto"/>
              <w:right w:val="single" w:sz="4" w:space="0" w:color="auto"/>
            </w:tcBorders>
            <w:shd w:val="clear" w:color="auto" w:fill="auto"/>
            <w:vAlign w:val="center"/>
          </w:tcPr>
          <w:p w14:paraId="7FE34566" w14:textId="77777777" w:rsidR="001F5A79" w:rsidRPr="009C5807" w:rsidRDefault="001F5A79" w:rsidP="009C5807">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4CEA5FA7" w14:textId="77777777" w:rsidR="001F5A79" w:rsidRPr="009C5807" w:rsidRDefault="001F5A79" w:rsidP="009C5807">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56645E69" w14:textId="77777777" w:rsidR="001F5A79" w:rsidRPr="009C5807" w:rsidRDefault="001F5A79" w:rsidP="009C5807">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6386CCB1" w14:textId="77777777" w:rsidR="001F5A79" w:rsidRPr="009C5807" w:rsidRDefault="001F5A79" w:rsidP="009C5807">
            <w:pPr>
              <w:pStyle w:val="TAH"/>
            </w:pPr>
            <w:r w:rsidRPr="009C5807">
              <w:t>dBm/BW</w:t>
            </w:r>
            <w:r w:rsidRPr="009C5807">
              <w:rPr>
                <w:vertAlign w:val="subscript"/>
              </w:rPr>
              <w:t>Channel</w:t>
            </w:r>
          </w:p>
        </w:tc>
      </w:tr>
      <w:tr w:rsidR="001F5A79" w:rsidRPr="009C5807" w14:paraId="0151F8F0" w14:textId="77777777" w:rsidTr="00DF3064">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2FC16F5A" w14:textId="77777777" w:rsidR="001F5A79" w:rsidRPr="009C5807" w:rsidRDefault="001F5A79" w:rsidP="009C5807">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2AD9A4BE" w14:textId="77777777" w:rsidR="001F5A79" w:rsidRPr="009C5807" w:rsidRDefault="001F5A79" w:rsidP="009C5807">
            <w:pPr>
              <w:pStyle w:val="TAH"/>
            </w:pPr>
          </w:p>
        </w:tc>
        <w:tc>
          <w:tcPr>
            <w:tcW w:w="807" w:type="dxa"/>
            <w:tcBorders>
              <w:left w:val="single" w:sz="6" w:space="0" w:color="auto"/>
              <w:bottom w:val="single" w:sz="6" w:space="0" w:color="auto"/>
              <w:right w:val="single" w:sz="6" w:space="0" w:color="auto"/>
            </w:tcBorders>
            <w:shd w:val="clear" w:color="auto" w:fill="auto"/>
          </w:tcPr>
          <w:p w14:paraId="7A91C6B7" w14:textId="77777777" w:rsidR="001F5A79" w:rsidRPr="009C5807" w:rsidRDefault="001F5A79" w:rsidP="009C5807">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45815570" w14:textId="77777777" w:rsidR="001F5A79" w:rsidRPr="009C5807" w:rsidRDefault="001F5A79" w:rsidP="009C5807">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0DB78661" w14:textId="77777777" w:rsidR="001F5A79" w:rsidRPr="009C5807" w:rsidRDefault="001F5A79" w:rsidP="009C5807">
            <w:pPr>
              <w:pStyle w:val="TAH"/>
              <w:rPr>
                <w:rFonts w:cs="Arial"/>
              </w:rPr>
            </w:pPr>
            <w:r w:rsidRPr="009C5807">
              <w:t>SCS</w:t>
            </w:r>
            <w:r w:rsidRPr="009C5807">
              <w:rPr>
                <w:vertAlign w:val="subscript"/>
              </w:rPr>
              <w:t>SSB</w:t>
            </w:r>
            <w:r w:rsidRPr="009C5807">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4AADECD" w14:textId="77777777" w:rsidR="001F5A79" w:rsidRPr="009C5807" w:rsidRDefault="001F5A79" w:rsidP="009C5807">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3A3234B7" w14:textId="77777777" w:rsidR="001F5A79" w:rsidRPr="009C5807" w:rsidRDefault="001F5A79" w:rsidP="009C5807">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331D2CF1" w14:textId="77777777" w:rsidR="001F5A79" w:rsidRPr="009C5807" w:rsidRDefault="001F5A79" w:rsidP="009C5807">
            <w:pPr>
              <w:pStyle w:val="TAH"/>
            </w:pPr>
          </w:p>
        </w:tc>
      </w:tr>
      <w:tr w:rsidR="0058457E" w:rsidRPr="009C5807" w14:paraId="61DE1E9D" w14:textId="77777777" w:rsidTr="00DF3064">
        <w:trPr>
          <w:jc w:val="center"/>
        </w:trPr>
        <w:tc>
          <w:tcPr>
            <w:tcW w:w="1033" w:type="dxa"/>
            <w:tcBorders>
              <w:top w:val="single" w:sz="6" w:space="0" w:color="auto"/>
              <w:left w:val="single" w:sz="4" w:space="0" w:color="auto"/>
              <w:right w:val="single" w:sz="6" w:space="0" w:color="auto"/>
            </w:tcBorders>
            <w:shd w:val="clear" w:color="auto" w:fill="auto"/>
            <w:vAlign w:val="center"/>
          </w:tcPr>
          <w:p w14:paraId="40C7CB6E" w14:textId="4047012E" w:rsidR="0058457E" w:rsidRPr="009C5807" w:rsidRDefault="0058457E" w:rsidP="009C5807">
            <w:pPr>
              <w:pStyle w:val="TAC"/>
            </w:pPr>
          </w:p>
        </w:tc>
        <w:tc>
          <w:tcPr>
            <w:tcW w:w="1049" w:type="dxa"/>
            <w:tcBorders>
              <w:top w:val="single" w:sz="6" w:space="0" w:color="auto"/>
              <w:left w:val="single" w:sz="6" w:space="0" w:color="auto"/>
              <w:right w:val="single" w:sz="6" w:space="0" w:color="auto"/>
            </w:tcBorders>
            <w:shd w:val="clear" w:color="auto" w:fill="auto"/>
            <w:vAlign w:val="center"/>
          </w:tcPr>
          <w:p w14:paraId="4BD4164D" w14:textId="1636682B" w:rsidR="0058457E" w:rsidRPr="009C5807" w:rsidRDefault="0058457E" w:rsidP="009C5807">
            <w:pPr>
              <w:pStyle w:val="TAC"/>
            </w:pPr>
          </w:p>
        </w:tc>
        <w:tc>
          <w:tcPr>
            <w:tcW w:w="807" w:type="dxa"/>
            <w:tcBorders>
              <w:top w:val="single" w:sz="6" w:space="0" w:color="auto"/>
              <w:left w:val="single" w:sz="6" w:space="0" w:color="auto"/>
              <w:right w:val="single" w:sz="6" w:space="0" w:color="auto"/>
            </w:tcBorders>
            <w:shd w:val="clear" w:color="auto" w:fill="auto"/>
            <w:vAlign w:val="center"/>
          </w:tcPr>
          <w:p w14:paraId="22685706" w14:textId="0759AC5F" w:rsidR="0058457E" w:rsidRPr="009C5807" w:rsidRDefault="0058457E" w:rsidP="009C5807">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7DF4CDC" w14:textId="77777777" w:rsidR="0058457E" w:rsidRPr="009C5807" w:rsidRDefault="0058457E" w:rsidP="009C5807">
            <w:pPr>
              <w:pStyle w:val="TAC"/>
            </w:pPr>
            <w:r w:rsidRPr="009C5807">
              <w:t>NR_FDD_FR1_A, NR_TDD_FR1_A,</w:t>
            </w:r>
          </w:p>
          <w:p w14:paraId="6C9458EE" w14:textId="77777777" w:rsidR="0058457E" w:rsidRPr="009C5807" w:rsidRDefault="0058457E" w:rsidP="009C5807">
            <w:pPr>
              <w:pStyle w:val="TAC"/>
            </w:pPr>
            <w:r w:rsidRPr="009C5807">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2248778" w14:textId="77777777" w:rsidR="0058457E" w:rsidRPr="009C5807" w:rsidRDefault="0058457E" w:rsidP="009C5807">
            <w:pPr>
              <w:pStyle w:val="TAC"/>
            </w:pPr>
            <w:r w:rsidRPr="009C5807">
              <w:t>-121</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E6DB461" w14:textId="77777777" w:rsidR="0058457E" w:rsidRPr="009C5807" w:rsidRDefault="0058457E" w:rsidP="009C5807">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71ADA009" w14:textId="77777777" w:rsidR="0058457E" w:rsidRPr="009C5807" w:rsidRDefault="0058457E" w:rsidP="009C580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CE17F51" w14:textId="77777777" w:rsidR="0058457E" w:rsidRPr="009C5807" w:rsidRDefault="0058457E" w:rsidP="009C5807">
            <w:pPr>
              <w:pStyle w:val="TAC"/>
            </w:pPr>
            <w:r w:rsidRPr="009C5807">
              <w:t>-70</w:t>
            </w:r>
          </w:p>
        </w:tc>
      </w:tr>
      <w:tr w:rsidR="0058457E" w:rsidRPr="009C5807" w14:paraId="7FC4E37E" w14:textId="77777777" w:rsidTr="00DF3064">
        <w:trPr>
          <w:jc w:val="center"/>
        </w:trPr>
        <w:tc>
          <w:tcPr>
            <w:tcW w:w="1033" w:type="dxa"/>
            <w:tcBorders>
              <w:left w:val="single" w:sz="4" w:space="0" w:color="auto"/>
              <w:right w:val="single" w:sz="6" w:space="0" w:color="auto"/>
            </w:tcBorders>
            <w:shd w:val="clear" w:color="auto" w:fill="auto"/>
            <w:vAlign w:val="center"/>
          </w:tcPr>
          <w:p w14:paraId="21496539" w14:textId="77777777" w:rsidR="0058457E" w:rsidRPr="009C5807" w:rsidRDefault="0058457E" w:rsidP="009C5807">
            <w:pPr>
              <w:pStyle w:val="TAC"/>
            </w:pPr>
          </w:p>
        </w:tc>
        <w:tc>
          <w:tcPr>
            <w:tcW w:w="1049" w:type="dxa"/>
            <w:tcBorders>
              <w:left w:val="single" w:sz="6" w:space="0" w:color="auto"/>
              <w:right w:val="single" w:sz="6" w:space="0" w:color="auto"/>
            </w:tcBorders>
            <w:shd w:val="clear" w:color="auto" w:fill="auto"/>
            <w:vAlign w:val="center"/>
          </w:tcPr>
          <w:p w14:paraId="17BCFCAC" w14:textId="77777777" w:rsidR="0058457E" w:rsidRPr="009C5807" w:rsidRDefault="0058457E" w:rsidP="009C5807">
            <w:pPr>
              <w:pStyle w:val="TAC"/>
            </w:pPr>
          </w:p>
        </w:tc>
        <w:tc>
          <w:tcPr>
            <w:tcW w:w="807" w:type="dxa"/>
            <w:tcBorders>
              <w:left w:val="single" w:sz="6" w:space="0" w:color="auto"/>
              <w:right w:val="single" w:sz="6" w:space="0" w:color="auto"/>
            </w:tcBorders>
            <w:shd w:val="clear" w:color="auto" w:fill="auto"/>
            <w:vAlign w:val="center"/>
          </w:tcPr>
          <w:p w14:paraId="48361878" w14:textId="77777777" w:rsidR="0058457E" w:rsidRPr="009C5807" w:rsidRDefault="0058457E" w:rsidP="009C5807">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5E558018" w14:textId="77777777" w:rsidR="0058457E" w:rsidRPr="009C5807" w:rsidRDefault="0058457E" w:rsidP="009C5807">
            <w:pPr>
              <w:pStyle w:val="TAC"/>
            </w:pPr>
            <w:r w:rsidRPr="009C5807">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1200405" w14:textId="77777777" w:rsidR="0058457E" w:rsidRPr="009C5807" w:rsidRDefault="0058457E" w:rsidP="009C5807">
            <w:pPr>
              <w:pStyle w:val="TAC"/>
            </w:pPr>
            <w:r w:rsidRPr="009C5807">
              <w:t>-120.5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446EB7E" w14:textId="77777777" w:rsidR="0058457E" w:rsidRPr="009C5807" w:rsidRDefault="0058457E" w:rsidP="009C5807">
            <w:pPr>
              <w:pStyle w:val="TAC"/>
              <w:rPr>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FC4F2AC" w14:textId="77777777" w:rsidR="0058457E" w:rsidRPr="009C5807" w:rsidRDefault="0058457E" w:rsidP="009C5807">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19EAFA3" w14:textId="77777777" w:rsidR="0058457E" w:rsidRPr="009C5807" w:rsidRDefault="0058457E" w:rsidP="009C5807">
            <w:pPr>
              <w:pStyle w:val="TAC"/>
            </w:pPr>
            <w:r w:rsidRPr="009C5807">
              <w:t>-70</w:t>
            </w:r>
          </w:p>
        </w:tc>
      </w:tr>
      <w:tr w:rsidR="0058457E" w:rsidRPr="009C5807" w14:paraId="1FFDC16A" w14:textId="77777777" w:rsidTr="00DF3064">
        <w:trPr>
          <w:jc w:val="center"/>
        </w:trPr>
        <w:tc>
          <w:tcPr>
            <w:tcW w:w="1033" w:type="dxa"/>
            <w:tcBorders>
              <w:left w:val="single" w:sz="4" w:space="0" w:color="auto"/>
              <w:right w:val="single" w:sz="6" w:space="0" w:color="auto"/>
            </w:tcBorders>
            <w:shd w:val="clear" w:color="auto" w:fill="auto"/>
            <w:vAlign w:val="center"/>
          </w:tcPr>
          <w:p w14:paraId="3F584C77" w14:textId="77777777" w:rsidR="0058457E" w:rsidRPr="009C5807" w:rsidRDefault="0058457E" w:rsidP="009C5807">
            <w:pPr>
              <w:pStyle w:val="TAC"/>
            </w:pPr>
          </w:p>
        </w:tc>
        <w:tc>
          <w:tcPr>
            <w:tcW w:w="1049" w:type="dxa"/>
            <w:tcBorders>
              <w:left w:val="single" w:sz="6" w:space="0" w:color="auto"/>
              <w:right w:val="single" w:sz="6" w:space="0" w:color="auto"/>
            </w:tcBorders>
            <w:shd w:val="clear" w:color="auto" w:fill="auto"/>
            <w:vAlign w:val="center"/>
          </w:tcPr>
          <w:p w14:paraId="397A3617" w14:textId="77777777" w:rsidR="0058457E" w:rsidRPr="009C5807" w:rsidRDefault="0058457E" w:rsidP="009C5807">
            <w:pPr>
              <w:pStyle w:val="TAC"/>
            </w:pPr>
          </w:p>
        </w:tc>
        <w:tc>
          <w:tcPr>
            <w:tcW w:w="807" w:type="dxa"/>
            <w:tcBorders>
              <w:left w:val="single" w:sz="6" w:space="0" w:color="auto"/>
              <w:right w:val="single" w:sz="6" w:space="0" w:color="auto"/>
            </w:tcBorders>
            <w:shd w:val="clear" w:color="auto" w:fill="auto"/>
            <w:vAlign w:val="center"/>
          </w:tcPr>
          <w:p w14:paraId="2079E76D" w14:textId="77777777" w:rsidR="0058457E" w:rsidRPr="009C5807" w:rsidRDefault="0058457E" w:rsidP="009C5807">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7FAFF69E" w14:textId="77777777" w:rsidR="0058457E" w:rsidRPr="009C5807" w:rsidRDefault="0058457E" w:rsidP="009C5807">
            <w:pPr>
              <w:pStyle w:val="TAC"/>
            </w:pPr>
            <w:r w:rsidRPr="009C5807">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C950A2E" w14:textId="77777777" w:rsidR="0058457E" w:rsidRPr="009C5807" w:rsidRDefault="0058457E" w:rsidP="009C5807">
            <w:pPr>
              <w:pStyle w:val="TAC"/>
            </w:pPr>
            <w:r w:rsidRPr="009C5807">
              <w:t>-120</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CB44714" w14:textId="77777777" w:rsidR="0058457E" w:rsidRPr="009C5807" w:rsidRDefault="0058457E" w:rsidP="009C5807">
            <w:pPr>
              <w:pStyle w:val="TAC"/>
              <w:rPr>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4B177EDD" w14:textId="77777777" w:rsidR="0058457E" w:rsidRPr="009C5807" w:rsidRDefault="0058457E" w:rsidP="009C580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5F6AD1C1" w14:textId="77777777" w:rsidR="0058457E" w:rsidRPr="009C5807" w:rsidRDefault="0058457E" w:rsidP="009C5807">
            <w:pPr>
              <w:pStyle w:val="TAC"/>
            </w:pPr>
            <w:r w:rsidRPr="009C5807">
              <w:t>-70</w:t>
            </w:r>
          </w:p>
        </w:tc>
      </w:tr>
      <w:tr w:rsidR="00B14E26" w:rsidRPr="009C5807" w14:paraId="0FFD915B" w14:textId="77777777" w:rsidTr="00DF3064">
        <w:trPr>
          <w:jc w:val="center"/>
        </w:trPr>
        <w:tc>
          <w:tcPr>
            <w:tcW w:w="1033" w:type="dxa"/>
            <w:tcBorders>
              <w:left w:val="single" w:sz="4" w:space="0" w:color="auto"/>
              <w:right w:val="single" w:sz="6" w:space="0" w:color="auto"/>
            </w:tcBorders>
            <w:shd w:val="clear" w:color="auto" w:fill="auto"/>
            <w:vAlign w:val="center"/>
          </w:tcPr>
          <w:p w14:paraId="64F1D35A" w14:textId="2E7925D7" w:rsidR="00B14E26" w:rsidRPr="009C5807" w:rsidRDefault="00B14E26" w:rsidP="00B14E26">
            <w:pPr>
              <w:pStyle w:val="TAC"/>
            </w:pPr>
            <w:r w:rsidRPr="009C5807">
              <w:sym w:font="Symbol" w:char="F0B1"/>
            </w:r>
            <w:r w:rsidRPr="009C5807">
              <w:t>4.5</w:t>
            </w:r>
          </w:p>
        </w:tc>
        <w:tc>
          <w:tcPr>
            <w:tcW w:w="1049" w:type="dxa"/>
            <w:tcBorders>
              <w:left w:val="single" w:sz="6" w:space="0" w:color="auto"/>
              <w:right w:val="single" w:sz="6" w:space="0" w:color="auto"/>
            </w:tcBorders>
            <w:shd w:val="clear" w:color="auto" w:fill="auto"/>
            <w:vAlign w:val="center"/>
          </w:tcPr>
          <w:p w14:paraId="2C46075A" w14:textId="78AD632C" w:rsidR="00B14E26" w:rsidRPr="009C5807" w:rsidRDefault="00B14E26" w:rsidP="00B14E26">
            <w:pPr>
              <w:pStyle w:val="TAC"/>
            </w:pPr>
            <w:r w:rsidRPr="009C5807">
              <w:sym w:font="Symbol" w:char="F0B1"/>
            </w:r>
            <w:r w:rsidRPr="009C5807">
              <w:t>9</w:t>
            </w:r>
          </w:p>
        </w:tc>
        <w:tc>
          <w:tcPr>
            <w:tcW w:w="807" w:type="dxa"/>
            <w:tcBorders>
              <w:left w:val="single" w:sz="6" w:space="0" w:color="auto"/>
              <w:right w:val="single" w:sz="6" w:space="0" w:color="auto"/>
            </w:tcBorders>
            <w:shd w:val="clear" w:color="auto" w:fill="auto"/>
            <w:vAlign w:val="center"/>
          </w:tcPr>
          <w:p w14:paraId="1594D181" w14:textId="2EC2866C" w:rsidR="00B14E26" w:rsidRPr="009C5807" w:rsidRDefault="00B14E26" w:rsidP="00B14E26">
            <w:pPr>
              <w:pStyle w:val="TAC"/>
            </w:pPr>
            <w:r w:rsidRPr="009C5807">
              <w:sym w:font="Symbol" w:char="F0B3"/>
            </w:r>
            <w:r w:rsidRPr="009C5807">
              <w:t>-</w:t>
            </w:r>
            <w:r w:rsidRPr="009C5807">
              <w:rPr>
                <w:lang w:eastAsia="zh-CN"/>
              </w:rPr>
              <w:t>6</w:t>
            </w: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0935F21F" w14:textId="77777777" w:rsidR="00B14E26" w:rsidRPr="009C5807" w:rsidRDefault="00B14E26" w:rsidP="00B14E26">
            <w:pPr>
              <w:pStyle w:val="TAC"/>
              <w:rPr>
                <w:lang w:val="sv-SE"/>
              </w:rPr>
            </w:pPr>
            <w:r w:rsidRPr="009C5807">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59641D6" w14:textId="77777777" w:rsidR="00B14E26" w:rsidRPr="009C5807" w:rsidRDefault="00B14E26" w:rsidP="00B14E26">
            <w:pPr>
              <w:pStyle w:val="TAC"/>
            </w:pPr>
            <w:r w:rsidRPr="009C5807">
              <w:t>-119.5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0689FE3" w14:textId="77777777" w:rsidR="00B14E26" w:rsidRPr="009C5807" w:rsidRDefault="00B14E26" w:rsidP="00B14E26">
            <w:pPr>
              <w:pStyle w:val="TAC"/>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8CA85BA" w14:textId="77777777" w:rsidR="00B14E26" w:rsidRPr="009C5807" w:rsidRDefault="00B14E26" w:rsidP="00B14E2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C792E9A" w14:textId="77777777" w:rsidR="00B14E26" w:rsidRPr="009C5807" w:rsidRDefault="00B14E26" w:rsidP="00B14E26">
            <w:pPr>
              <w:pStyle w:val="TAC"/>
            </w:pPr>
            <w:r w:rsidRPr="009C5807">
              <w:t>-70</w:t>
            </w:r>
          </w:p>
        </w:tc>
      </w:tr>
      <w:tr w:rsidR="0058457E" w:rsidRPr="009C5807" w14:paraId="426328DF" w14:textId="77777777" w:rsidTr="00DF3064">
        <w:trPr>
          <w:jc w:val="center"/>
        </w:trPr>
        <w:tc>
          <w:tcPr>
            <w:tcW w:w="1033" w:type="dxa"/>
            <w:tcBorders>
              <w:left w:val="single" w:sz="4" w:space="0" w:color="auto"/>
              <w:right w:val="single" w:sz="6" w:space="0" w:color="auto"/>
            </w:tcBorders>
            <w:shd w:val="clear" w:color="auto" w:fill="auto"/>
            <w:vAlign w:val="center"/>
          </w:tcPr>
          <w:p w14:paraId="0DBE0782" w14:textId="77777777" w:rsidR="0058457E" w:rsidRPr="009C5807" w:rsidRDefault="0058457E" w:rsidP="009C5807">
            <w:pPr>
              <w:pStyle w:val="TAC"/>
            </w:pPr>
          </w:p>
        </w:tc>
        <w:tc>
          <w:tcPr>
            <w:tcW w:w="1049" w:type="dxa"/>
            <w:tcBorders>
              <w:left w:val="single" w:sz="6" w:space="0" w:color="auto"/>
              <w:right w:val="single" w:sz="6" w:space="0" w:color="auto"/>
            </w:tcBorders>
            <w:shd w:val="clear" w:color="auto" w:fill="auto"/>
            <w:vAlign w:val="center"/>
          </w:tcPr>
          <w:p w14:paraId="4E32C996" w14:textId="77777777" w:rsidR="0058457E" w:rsidRPr="009C5807" w:rsidRDefault="0058457E" w:rsidP="009C5807">
            <w:pPr>
              <w:pStyle w:val="TAC"/>
            </w:pPr>
          </w:p>
        </w:tc>
        <w:tc>
          <w:tcPr>
            <w:tcW w:w="807" w:type="dxa"/>
            <w:tcBorders>
              <w:left w:val="single" w:sz="6" w:space="0" w:color="auto"/>
              <w:right w:val="single" w:sz="6" w:space="0" w:color="auto"/>
            </w:tcBorders>
            <w:shd w:val="clear" w:color="auto" w:fill="auto"/>
            <w:vAlign w:val="center"/>
          </w:tcPr>
          <w:p w14:paraId="0D6C64A6" w14:textId="77777777" w:rsidR="0058457E" w:rsidRPr="009C5807" w:rsidRDefault="0058457E" w:rsidP="009C5807">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25DF007" w14:textId="77777777" w:rsidR="0058457E" w:rsidRPr="009C5807" w:rsidDel="00836998" w:rsidRDefault="0058457E" w:rsidP="009C5807">
            <w:pPr>
              <w:pStyle w:val="TAC"/>
              <w:rPr>
                <w:lang w:val="sv-SE"/>
              </w:rPr>
            </w:pPr>
            <w:r w:rsidRPr="009C5807">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8CDE71A" w14:textId="77777777" w:rsidR="0058457E" w:rsidRPr="009C5807" w:rsidRDefault="0058457E" w:rsidP="009C5807">
            <w:pPr>
              <w:pStyle w:val="TAC"/>
            </w:pPr>
            <w:r w:rsidRPr="009C5807">
              <w:t>-119</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4E27B0E1" w14:textId="77777777" w:rsidR="0058457E" w:rsidRPr="009C5807" w:rsidRDefault="0058457E" w:rsidP="009C5807">
            <w:pPr>
              <w:pStyle w:val="TAC"/>
              <w:rPr>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3B978CF" w14:textId="77777777" w:rsidR="0058457E" w:rsidRPr="009C5807" w:rsidRDefault="0058457E" w:rsidP="009C580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5D5C8B91" w14:textId="77777777" w:rsidR="0058457E" w:rsidRPr="009C5807" w:rsidRDefault="0058457E" w:rsidP="009C5807">
            <w:pPr>
              <w:pStyle w:val="TAC"/>
            </w:pPr>
            <w:r w:rsidRPr="009C5807">
              <w:t>-70</w:t>
            </w:r>
          </w:p>
        </w:tc>
      </w:tr>
      <w:tr w:rsidR="00D94CA6" w:rsidRPr="009C5807" w14:paraId="675A1D25" w14:textId="77777777" w:rsidTr="00DF3064">
        <w:trPr>
          <w:jc w:val="center"/>
        </w:trPr>
        <w:tc>
          <w:tcPr>
            <w:tcW w:w="1033" w:type="dxa"/>
            <w:tcBorders>
              <w:left w:val="single" w:sz="4" w:space="0" w:color="auto"/>
              <w:right w:val="single" w:sz="6" w:space="0" w:color="auto"/>
            </w:tcBorders>
            <w:shd w:val="clear" w:color="auto" w:fill="auto"/>
            <w:vAlign w:val="center"/>
          </w:tcPr>
          <w:p w14:paraId="5DBBEA48" w14:textId="77777777" w:rsidR="00D94CA6" w:rsidRPr="009C5807" w:rsidRDefault="00D94CA6" w:rsidP="009C5807">
            <w:pPr>
              <w:pStyle w:val="TAC"/>
            </w:pPr>
          </w:p>
        </w:tc>
        <w:tc>
          <w:tcPr>
            <w:tcW w:w="1049" w:type="dxa"/>
            <w:tcBorders>
              <w:left w:val="single" w:sz="6" w:space="0" w:color="auto"/>
              <w:right w:val="single" w:sz="6" w:space="0" w:color="auto"/>
            </w:tcBorders>
            <w:shd w:val="clear" w:color="auto" w:fill="auto"/>
            <w:vAlign w:val="center"/>
          </w:tcPr>
          <w:p w14:paraId="0D17B403" w14:textId="77777777" w:rsidR="00D94CA6" w:rsidRPr="009C5807" w:rsidRDefault="00D94CA6" w:rsidP="009C5807">
            <w:pPr>
              <w:pStyle w:val="TAC"/>
            </w:pPr>
          </w:p>
        </w:tc>
        <w:tc>
          <w:tcPr>
            <w:tcW w:w="807" w:type="dxa"/>
            <w:tcBorders>
              <w:left w:val="single" w:sz="6" w:space="0" w:color="auto"/>
              <w:right w:val="single" w:sz="6" w:space="0" w:color="auto"/>
            </w:tcBorders>
            <w:shd w:val="clear" w:color="auto" w:fill="auto"/>
            <w:vAlign w:val="center"/>
          </w:tcPr>
          <w:p w14:paraId="6161811F" w14:textId="77777777" w:rsidR="00D94CA6" w:rsidRPr="009C5807" w:rsidRDefault="00D94CA6" w:rsidP="009C5807">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74A37EA4" w14:textId="0C2961C0" w:rsidR="00D94CA6" w:rsidRPr="009C5807" w:rsidRDefault="00D94CA6" w:rsidP="009C5807">
            <w:pPr>
              <w:pStyle w:val="TAC"/>
              <w:rPr>
                <w:lang w:val="sv-SE"/>
              </w:rPr>
            </w:pPr>
            <w:r w:rsidRPr="009C5807">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F3E4780" w14:textId="2A97C3A4" w:rsidR="00D94CA6" w:rsidRPr="009C5807" w:rsidRDefault="00D94CA6" w:rsidP="009C5807">
            <w:pPr>
              <w:pStyle w:val="TAC"/>
            </w:pPr>
            <w:r w:rsidRPr="009C5807">
              <w:t>-118.5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349BEF5" w14:textId="1B392998" w:rsidR="00D94CA6" w:rsidRPr="009C5807" w:rsidRDefault="00D94CA6" w:rsidP="009C5807">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4F2FA574" w14:textId="7AFD7CD7" w:rsidR="00D94CA6" w:rsidRPr="009C5807" w:rsidRDefault="00D94CA6" w:rsidP="009C580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1EB34EB" w14:textId="69AB2F07" w:rsidR="00D94CA6" w:rsidRPr="009C5807" w:rsidRDefault="00D94CA6" w:rsidP="009C5807">
            <w:pPr>
              <w:pStyle w:val="TAC"/>
            </w:pPr>
            <w:r w:rsidRPr="009C5807">
              <w:t>-70</w:t>
            </w:r>
          </w:p>
        </w:tc>
      </w:tr>
      <w:tr w:rsidR="0058457E" w:rsidRPr="009C5807" w14:paraId="25207D95" w14:textId="77777777" w:rsidTr="00DF3064">
        <w:trPr>
          <w:jc w:val="center"/>
        </w:trPr>
        <w:tc>
          <w:tcPr>
            <w:tcW w:w="1033" w:type="dxa"/>
            <w:tcBorders>
              <w:left w:val="single" w:sz="4" w:space="0" w:color="auto"/>
              <w:right w:val="single" w:sz="6" w:space="0" w:color="auto"/>
            </w:tcBorders>
            <w:shd w:val="clear" w:color="auto" w:fill="auto"/>
            <w:vAlign w:val="center"/>
          </w:tcPr>
          <w:p w14:paraId="7123BBC4" w14:textId="77777777" w:rsidR="0058457E" w:rsidRPr="009C5807" w:rsidRDefault="0058457E" w:rsidP="009C5807">
            <w:pPr>
              <w:pStyle w:val="TAC"/>
            </w:pPr>
          </w:p>
        </w:tc>
        <w:tc>
          <w:tcPr>
            <w:tcW w:w="1049" w:type="dxa"/>
            <w:tcBorders>
              <w:left w:val="single" w:sz="6" w:space="0" w:color="auto"/>
              <w:right w:val="single" w:sz="6" w:space="0" w:color="auto"/>
            </w:tcBorders>
            <w:shd w:val="clear" w:color="auto" w:fill="auto"/>
            <w:vAlign w:val="center"/>
          </w:tcPr>
          <w:p w14:paraId="02E7365C" w14:textId="77777777" w:rsidR="0058457E" w:rsidRPr="009C5807" w:rsidRDefault="0058457E" w:rsidP="009C5807">
            <w:pPr>
              <w:pStyle w:val="TAC"/>
            </w:pPr>
          </w:p>
        </w:tc>
        <w:tc>
          <w:tcPr>
            <w:tcW w:w="807" w:type="dxa"/>
            <w:tcBorders>
              <w:left w:val="single" w:sz="6" w:space="0" w:color="auto"/>
              <w:right w:val="single" w:sz="6" w:space="0" w:color="auto"/>
            </w:tcBorders>
            <w:shd w:val="clear" w:color="auto" w:fill="auto"/>
            <w:vAlign w:val="center"/>
          </w:tcPr>
          <w:p w14:paraId="7B1D071D" w14:textId="77777777" w:rsidR="0058457E" w:rsidRPr="009C5807" w:rsidRDefault="0058457E" w:rsidP="009C5807">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23A6DD5F" w14:textId="77777777" w:rsidR="0058457E" w:rsidRPr="009C5807" w:rsidDel="00836998" w:rsidRDefault="0058457E" w:rsidP="009C5807">
            <w:pPr>
              <w:pStyle w:val="TAC"/>
              <w:rPr>
                <w:lang w:eastAsia="zh-CN"/>
              </w:rPr>
            </w:pPr>
            <w:r w:rsidRPr="009C5807">
              <w:rPr>
                <w:lang w:eastAsia="zh-CN"/>
              </w:rPr>
              <w:t>NR</w:t>
            </w:r>
            <w:r w:rsidRPr="009C5807">
              <w:t>_</w:t>
            </w:r>
            <w:r w:rsidRPr="009C5807">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3875D67" w14:textId="77777777" w:rsidR="0058457E" w:rsidRPr="009C5807" w:rsidRDefault="0058457E" w:rsidP="009C5807">
            <w:pPr>
              <w:pStyle w:val="TAC"/>
            </w:pPr>
            <w:r w:rsidRPr="009C5807">
              <w:t>-118</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0B1714BC" w14:textId="77777777" w:rsidR="0058457E" w:rsidRPr="009C5807" w:rsidRDefault="0058457E" w:rsidP="009C5807">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0F831B62" w14:textId="77777777" w:rsidR="0058457E" w:rsidRPr="009C5807" w:rsidRDefault="0058457E" w:rsidP="009C580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3BE4316" w14:textId="77777777" w:rsidR="0058457E" w:rsidRPr="009C5807" w:rsidRDefault="0058457E" w:rsidP="009C5807">
            <w:pPr>
              <w:pStyle w:val="TAC"/>
            </w:pPr>
            <w:r w:rsidRPr="009C5807">
              <w:t>-70</w:t>
            </w:r>
          </w:p>
        </w:tc>
      </w:tr>
      <w:tr w:rsidR="0058457E" w:rsidRPr="009C5807" w14:paraId="703794CD" w14:textId="77777777" w:rsidTr="00DF3064">
        <w:trPr>
          <w:jc w:val="center"/>
        </w:trPr>
        <w:tc>
          <w:tcPr>
            <w:tcW w:w="1033" w:type="dxa"/>
            <w:tcBorders>
              <w:left w:val="single" w:sz="4" w:space="0" w:color="auto"/>
              <w:bottom w:val="single" w:sz="4" w:space="0" w:color="auto"/>
              <w:right w:val="single" w:sz="6" w:space="0" w:color="auto"/>
            </w:tcBorders>
            <w:shd w:val="clear" w:color="auto" w:fill="auto"/>
            <w:vAlign w:val="center"/>
          </w:tcPr>
          <w:p w14:paraId="6A7E87C1" w14:textId="77777777" w:rsidR="0058457E" w:rsidRPr="009C5807" w:rsidRDefault="0058457E" w:rsidP="009C5807">
            <w:pPr>
              <w:pStyle w:val="TAC"/>
            </w:pPr>
          </w:p>
        </w:tc>
        <w:tc>
          <w:tcPr>
            <w:tcW w:w="1049" w:type="dxa"/>
            <w:tcBorders>
              <w:left w:val="single" w:sz="6" w:space="0" w:color="auto"/>
              <w:bottom w:val="single" w:sz="4" w:space="0" w:color="auto"/>
              <w:right w:val="single" w:sz="6" w:space="0" w:color="auto"/>
            </w:tcBorders>
            <w:shd w:val="clear" w:color="auto" w:fill="auto"/>
            <w:vAlign w:val="center"/>
          </w:tcPr>
          <w:p w14:paraId="132AF406" w14:textId="77777777" w:rsidR="0058457E" w:rsidRPr="009C5807" w:rsidRDefault="0058457E" w:rsidP="009C5807">
            <w:pPr>
              <w:pStyle w:val="TAC"/>
            </w:pPr>
          </w:p>
        </w:tc>
        <w:tc>
          <w:tcPr>
            <w:tcW w:w="807" w:type="dxa"/>
            <w:tcBorders>
              <w:left w:val="single" w:sz="6" w:space="0" w:color="auto"/>
              <w:bottom w:val="single" w:sz="4" w:space="0" w:color="auto"/>
              <w:right w:val="single" w:sz="6" w:space="0" w:color="auto"/>
            </w:tcBorders>
            <w:shd w:val="clear" w:color="auto" w:fill="auto"/>
            <w:vAlign w:val="center"/>
          </w:tcPr>
          <w:p w14:paraId="71E035C9" w14:textId="77777777" w:rsidR="0058457E" w:rsidRPr="009C5807" w:rsidRDefault="0058457E" w:rsidP="009C5807">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417C5548" w14:textId="77777777" w:rsidR="0058457E" w:rsidRPr="009C5807" w:rsidRDefault="0058457E" w:rsidP="009C5807">
            <w:pPr>
              <w:pStyle w:val="TAC"/>
              <w:rPr>
                <w:lang w:eastAsia="zh-CN"/>
              </w:rPr>
            </w:pPr>
            <w:r w:rsidRPr="009C5807">
              <w:rPr>
                <w:lang w:eastAsia="zh-CN"/>
              </w:rPr>
              <w:t>NR</w:t>
            </w:r>
            <w:r w:rsidRPr="009C5807">
              <w:t>_</w:t>
            </w:r>
            <w:r w:rsidRPr="009C5807">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9E08F56" w14:textId="77777777" w:rsidR="0058457E" w:rsidRPr="009C5807" w:rsidRDefault="0058457E" w:rsidP="009C5807">
            <w:pPr>
              <w:pStyle w:val="TAC"/>
            </w:pPr>
            <w:r w:rsidRPr="009C5807">
              <w:t>-117.5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6E7AA77" w14:textId="77777777" w:rsidR="0058457E" w:rsidRPr="009C5807" w:rsidRDefault="0058457E" w:rsidP="009C5807">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50835100" w14:textId="77777777" w:rsidR="0058457E" w:rsidRPr="009C5807" w:rsidRDefault="0058457E" w:rsidP="009C580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58C74890" w14:textId="77777777" w:rsidR="0058457E" w:rsidRPr="009C5807" w:rsidRDefault="0058457E" w:rsidP="009C5807">
            <w:pPr>
              <w:pStyle w:val="TAC"/>
            </w:pPr>
            <w:r w:rsidRPr="009C5807">
              <w:t>-70</w:t>
            </w:r>
          </w:p>
        </w:tc>
      </w:tr>
      <w:tr w:rsidR="0058457E" w:rsidRPr="009C5807" w14:paraId="70CEF3EC" w14:textId="77777777" w:rsidTr="00DF3064">
        <w:trPr>
          <w:jc w:val="center"/>
        </w:trPr>
        <w:tc>
          <w:tcPr>
            <w:tcW w:w="1033" w:type="dxa"/>
            <w:tcBorders>
              <w:top w:val="single" w:sz="4" w:space="0" w:color="auto"/>
              <w:left w:val="single" w:sz="4" w:space="0" w:color="auto"/>
              <w:bottom w:val="single" w:sz="4" w:space="0" w:color="auto"/>
              <w:right w:val="single" w:sz="6" w:space="0" w:color="auto"/>
            </w:tcBorders>
            <w:shd w:val="clear" w:color="auto" w:fill="auto"/>
            <w:vAlign w:val="center"/>
          </w:tcPr>
          <w:p w14:paraId="1F546A2C" w14:textId="77777777" w:rsidR="0058457E" w:rsidRPr="009C5807" w:rsidRDefault="0058457E" w:rsidP="009C5807">
            <w:pPr>
              <w:pStyle w:val="TAC"/>
            </w:pPr>
            <w:r w:rsidRPr="009C5807">
              <w:sym w:font="Symbol" w:char="F0B1"/>
            </w:r>
            <w:r w:rsidRPr="009C5807">
              <w:t>8</w:t>
            </w:r>
          </w:p>
        </w:tc>
        <w:tc>
          <w:tcPr>
            <w:tcW w:w="1049" w:type="dxa"/>
            <w:tcBorders>
              <w:top w:val="single" w:sz="4" w:space="0" w:color="auto"/>
              <w:left w:val="single" w:sz="6" w:space="0" w:color="auto"/>
              <w:bottom w:val="single" w:sz="4" w:space="0" w:color="auto"/>
              <w:right w:val="single" w:sz="6" w:space="0" w:color="auto"/>
            </w:tcBorders>
            <w:shd w:val="clear" w:color="auto" w:fill="auto"/>
            <w:vAlign w:val="center"/>
          </w:tcPr>
          <w:p w14:paraId="0479CA78" w14:textId="77777777" w:rsidR="0058457E" w:rsidRPr="009C5807" w:rsidRDefault="0058457E" w:rsidP="009C5807">
            <w:pPr>
              <w:pStyle w:val="TAC"/>
            </w:pPr>
            <w:r w:rsidRPr="009C5807">
              <w:sym w:font="Symbol" w:char="F0B1"/>
            </w:r>
            <w:r w:rsidRPr="009C5807">
              <w:t>11</w:t>
            </w:r>
          </w:p>
        </w:tc>
        <w:tc>
          <w:tcPr>
            <w:tcW w:w="807" w:type="dxa"/>
            <w:tcBorders>
              <w:top w:val="single" w:sz="4" w:space="0" w:color="auto"/>
              <w:left w:val="single" w:sz="6" w:space="0" w:color="auto"/>
              <w:bottom w:val="single" w:sz="4" w:space="0" w:color="auto"/>
              <w:right w:val="single" w:sz="4" w:space="0" w:color="auto"/>
            </w:tcBorders>
            <w:shd w:val="clear" w:color="auto" w:fill="auto"/>
            <w:vAlign w:val="center"/>
          </w:tcPr>
          <w:p w14:paraId="4F58FEB6" w14:textId="4EBEEB59" w:rsidR="0058457E" w:rsidRPr="009C5807" w:rsidRDefault="0058457E" w:rsidP="009C5807">
            <w:pPr>
              <w:pStyle w:val="TAC"/>
            </w:pPr>
            <w:r w:rsidRPr="009C5807">
              <w:sym w:font="Symbol" w:char="F0B3"/>
            </w:r>
            <w:r w:rsidRPr="009C5807">
              <w:t>-</w:t>
            </w:r>
            <w:r w:rsidRPr="009C5807">
              <w:rPr>
                <w:lang w:eastAsia="zh-CN"/>
              </w:rPr>
              <w:t>6</w:t>
            </w:r>
          </w:p>
        </w:tc>
        <w:tc>
          <w:tcPr>
            <w:tcW w:w="2349" w:type="dxa"/>
            <w:tcBorders>
              <w:top w:val="single" w:sz="6" w:space="0" w:color="auto"/>
              <w:left w:val="single" w:sz="4" w:space="0" w:color="auto"/>
              <w:bottom w:val="single" w:sz="6" w:space="0" w:color="auto"/>
              <w:right w:val="single" w:sz="4" w:space="0" w:color="auto"/>
            </w:tcBorders>
            <w:shd w:val="clear" w:color="auto" w:fill="auto"/>
            <w:vAlign w:val="center"/>
          </w:tcPr>
          <w:p w14:paraId="243070E6" w14:textId="77777777" w:rsidR="0058457E" w:rsidRPr="009C5807" w:rsidRDefault="0058457E" w:rsidP="009C5807">
            <w:pPr>
              <w:pStyle w:val="TAC"/>
            </w:pPr>
            <w:r w:rsidRPr="009C5807">
              <w:t xml:space="preserve">NR_FDD_FR1_A, NR_TDD_FR1_A, </w:t>
            </w:r>
          </w:p>
          <w:p w14:paraId="634212E1" w14:textId="77777777" w:rsidR="00D94CA6" w:rsidRPr="009C5807" w:rsidRDefault="0058457E" w:rsidP="009C5807">
            <w:pPr>
              <w:pStyle w:val="TAC"/>
            </w:pPr>
            <w:r w:rsidRPr="009C5807">
              <w:t xml:space="preserve">NR_SDL_FR1_A, NR_FDD_FR1_B, NR_TDD_FR1_C, NR_FDD_FR1_D, NR_TDD_FR1_D, NR_FDD_FR1_E, NR_TDD_FR1_E, </w:t>
            </w:r>
            <w:r w:rsidR="00D94CA6" w:rsidRPr="009C5807">
              <w:t>NR_FDD_FR1_F,</w:t>
            </w:r>
          </w:p>
          <w:p w14:paraId="7167E6CB" w14:textId="5378FB00" w:rsidR="0058457E" w:rsidRPr="009C5807" w:rsidRDefault="0058457E" w:rsidP="009C5807">
            <w:pPr>
              <w:pStyle w:val="TAC"/>
              <w:rPr>
                <w:lang w:val="sv-FI" w:eastAsia="zh-CN"/>
              </w:rPr>
            </w:pPr>
            <w:r w:rsidRPr="009C5807">
              <w:rPr>
                <w:lang w:val="sv-FI"/>
              </w:rPr>
              <w:t>NR_FDD_FR1_G, NR_FDD_FR1_H</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A0DDF46" w14:textId="77777777" w:rsidR="0058457E" w:rsidRPr="009C5807" w:rsidRDefault="0058457E" w:rsidP="009C5807">
            <w:pPr>
              <w:pStyle w:val="TAC"/>
            </w:pPr>
            <w:r w:rsidRPr="009C5807">
              <w:t>N/A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413B5F10" w14:textId="77777777" w:rsidR="0058457E" w:rsidRPr="009C5807" w:rsidRDefault="0058457E" w:rsidP="009C5807">
            <w:pPr>
              <w:pStyle w:val="TAC"/>
              <w:rPr>
                <w:rFonts w:cs="Arial"/>
              </w:rPr>
            </w:pPr>
            <w:r w:rsidRPr="009C5807">
              <w:rPr>
                <w:lang w:eastAsia="zh-CN"/>
              </w:rPr>
              <w:t>N/A</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DBAD277" w14:textId="77777777" w:rsidR="0058457E" w:rsidRPr="009C5807" w:rsidRDefault="0058457E" w:rsidP="009C5807">
            <w:pPr>
              <w:pStyle w:val="TAC"/>
            </w:pPr>
            <w:r w:rsidRPr="009C5807">
              <w:t>-70</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328D70E" w14:textId="77777777" w:rsidR="0058457E" w:rsidRPr="009C5807" w:rsidRDefault="0058457E" w:rsidP="009C5807">
            <w:pPr>
              <w:pStyle w:val="TAC"/>
            </w:pPr>
            <w:r w:rsidRPr="009C5807">
              <w:t>-50</w:t>
            </w:r>
          </w:p>
        </w:tc>
      </w:tr>
      <w:tr w:rsidR="001F5A79" w:rsidRPr="009C5807" w14:paraId="665B8509"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4E709BA5" w14:textId="77777777" w:rsidR="001F5A79" w:rsidRPr="009C5807" w:rsidRDefault="001F5A79" w:rsidP="009C5807">
            <w:pPr>
              <w:pStyle w:val="TAN"/>
            </w:pPr>
            <w:r w:rsidRPr="009C5807">
              <w:t>NOTE 1:</w:t>
            </w:r>
            <w:r w:rsidRPr="009C5807">
              <w:tab/>
              <w:t>Io is assumed to have constant EPRE across the bandwidth.</w:t>
            </w:r>
          </w:p>
          <w:p w14:paraId="510FECF8" w14:textId="77777777" w:rsidR="001F5A79" w:rsidRPr="009C5807" w:rsidRDefault="001F5A79" w:rsidP="009C5807">
            <w:pPr>
              <w:pStyle w:val="TAN"/>
            </w:pPr>
            <w:r w:rsidRPr="009C5807">
              <w:t>NOTE 2:</w:t>
            </w:r>
            <w:r w:rsidRPr="009C5807">
              <w:tab/>
              <w:t>Void</w:t>
            </w:r>
          </w:p>
          <w:p w14:paraId="6B02D2BD" w14:textId="77777777" w:rsidR="001F5A79" w:rsidRPr="009C5807" w:rsidRDefault="001F5A79" w:rsidP="009C5807">
            <w:pPr>
              <w:pStyle w:val="TAN"/>
            </w:pPr>
            <w:r w:rsidRPr="009C5807">
              <w:t>NOTE 3:</w:t>
            </w:r>
            <w:r w:rsidRPr="009C5807">
              <w:tab/>
              <w:t>NR operating band groups in FR1 are as defined in clause 3.5.2.</w:t>
            </w:r>
          </w:p>
        </w:tc>
      </w:tr>
    </w:tbl>
    <w:p w14:paraId="600B8528" w14:textId="77777777" w:rsidR="001F5A79" w:rsidRPr="009C5807" w:rsidRDefault="001F5A79" w:rsidP="001F5A79">
      <w:pPr>
        <w:rPr>
          <w:lang w:eastAsia="zh-CN"/>
        </w:rPr>
      </w:pPr>
    </w:p>
    <w:p w14:paraId="35003609" w14:textId="1973A944" w:rsidR="001F5A79" w:rsidRPr="009C5807" w:rsidRDefault="001F5A79" w:rsidP="00967CF8">
      <w:pPr>
        <w:pStyle w:val="Heading5"/>
      </w:pPr>
      <w:r w:rsidRPr="009C5807">
        <w:t>1</w:t>
      </w:r>
      <w:r w:rsidR="00967CF8" w:rsidRPr="009C5807">
        <w:t>0.1.4.1.2</w:t>
      </w:r>
      <w:r w:rsidRPr="009C5807">
        <w:tab/>
        <w:t>Relative Accuracy of SS-RSRP in FR1</w:t>
      </w:r>
    </w:p>
    <w:p w14:paraId="6425BD53" w14:textId="660050D0" w:rsidR="001F5A79" w:rsidRPr="009C5807" w:rsidRDefault="0048746C" w:rsidP="001F5A79">
      <w:pPr>
        <w:rPr>
          <w:rFonts w:cs="v4.2.0"/>
          <w:i/>
        </w:rPr>
      </w:pPr>
      <w:r w:rsidRPr="009C5807">
        <w:rPr>
          <w:rFonts w:cs="v4.2.0"/>
        </w:rPr>
        <w:t xml:space="preserve">The relative accuracy of </w:t>
      </w:r>
      <w:r w:rsidRPr="009C5807">
        <w:rPr>
          <w:rFonts w:cs="v4.2.0"/>
          <w:lang w:eastAsia="zh-CN"/>
        </w:rPr>
        <w:t>SS-RSRP</w:t>
      </w:r>
      <w:r w:rsidRPr="009C5807">
        <w:rPr>
          <w:rFonts w:cs="v4.2.0"/>
        </w:rPr>
        <w:t xml:space="preserve"> in inter frequency case is defined as the RSRP measured from one cell on a frequency in FR1compared to the RSRP measured from another cell on a different frequency in FR1.</w:t>
      </w:r>
      <w:r>
        <w:rPr>
          <w:rFonts w:cs="v4.2.0"/>
        </w:rPr>
        <w:t xml:space="preserve"> </w:t>
      </w:r>
      <w:r>
        <w:rPr>
          <w:lang w:eastAsia="zh-CN"/>
        </w:rPr>
        <w:t xml:space="preserve">The </w:t>
      </w:r>
      <w:r>
        <w:t xml:space="preserve">accuracy requirements in this clause are also applicable when </w:t>
      </w:r>
      <w:r w:rsidRPr="00C55ADC">
        <w:rPr>
          <w:i/>
          <w:iCs/>
          <w:lang w:eastAsia="zh-CN"/>
        </w:rPr>
        <w:t>highSpeedMeasInterFreq-r17</w:t>
      </w:r>
      <w:r>
        <w:rPr>
          <w:i/>
          <w:iCs/>
          <w:lang w:eastAsia="zh-CN"/>
        </w:rPr>
        <w:t xml:space="preserve"> </w:t>
      </w:r>
      <w:r>
        <w:t>is configured.</w:t>
      </w:r>
    </w:p>
    <w:p w14:paraId="16DD12FD"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10.1.4.1.2</w:t>
      </w:r>
      <w:r w:rsidRPr="009C5807">
        <w:rPr>
          <w:rFonts w:cs="v4.2.0"/>
        </w:rPr>
        <w:t>-1 are valid under the following conditions:</w:t>
      </w:r>
    </w:p>
    <w:p w14:paraId="3A2E34B9" w14:textId="77777777" w:rsidR="001F5A79" w:rsidRPr="009C5807" w:rsidRDefault="001F5A79" w:rsidP="009C5807">
      <w:pPr>
        <w:pStyle w:val="B10"/>
        <w:rPr>
          <w:lang w:eastAsia="zh-CN"/>
        </w:rPr>
      </w:pPr>
      <w:r w:rsidRPr="009C5807">
        <w:t>-</w:t>
      </w:r>
      <w:r w:rsidRPr="009C5807">
        <w:tab/>
        <w:t>Conditions defined in clause 7.3 of TS 38.101-1 [18] Clause 7.3 for reference sensitivity are fulfilled.</w:t>
      </w:r>
    </w:p>
    <w:p w14:paraId="19A97B9F" w14:textId="77777777" w:rsidR="001F5A79" w:rsidRPr="009C5807" w:rsidRDefault="001F5A79" w:rsidP="009C5807">
      <w:pPr>
        <w:pStyle w:val="B10"/>
        <w:rPr>
          <w:lang w:eastAsia="zh-CN"/>
        </w:rPr>
      </w:pPr>
      <w:r w:rsidRPr="009C5807">
        <w:t>-</w:t>
      </w:r>
      <w:r w:rsidRPr="009C5807">
        <w:tab/>
        <w:t xml:space="preserve">Conditions for inter-frequency measurements are fulfilled according to Annex B.2.3 for a corresponding Band </w:t>
      </w:r>
      <w:r w:rsidRPr="009C5807">
        <w:rPr>
          <w:rFonts w:cs="v4.2.0"/>
          <w:lang w:eastAsia="ko-KR"/>
        </w:rPr>
        <w:t>for each relevant SSB</w:t>
      </w:r>
      <w:r w:rsidRPr="009C5807">
        <w:t>.</w:t>
      </w:r>
    </w:p>
    <w:p w14:paraId="15F83125" w14:textId="77777777" w:rsidR="001F5A79" w:rsidRPr="009C5807" w:rsidRDefault="001F5A79" w:rsidP="009C5807">
      <w:pPr>
        <w:pStyle w:val="B10"/>
      </w:pPr>
      <w:r w:rsidRPr="009C5807">
        <w:t>-</w:t>
      </w:r>
      <w:r w:rsidRPr="009C5807">
        <w:tab/>
        <w:t>|SSB_RP1</w:t>
      </w:r>
      <w:r w:rsidRPr="009C5807">
        <w:rPr>
          <w:vertAlign w:val="subscript"/>
        </w:rPr>
        <w:t>dBm</w:t>
      </w:r>
      <w:r w:rsidRPr="009C5807">
        <w:t xml:space="preserve"> - SSB_RP2</w:t>
      </w:r>
      <w:r w:rsidRPr="009C5807">
        <w:rPr>
          <w:vertAlign w:val="subscript"/>
        </w:rPr>
        <w:t>dBm</w:t>
      </w:r>
      <w:r w:rsidRPr="009C5807">
        <w:t xml:space="preserve">| </w:t>
      </w:r>
      <w:r w:rsidRPr="009C5807">
        <w:rPr>
          <w:rFonts w:hint="eastAsia"/>
        </w:rPr>
        <w:t>≤</w:t>
      </w:r>
      <w:r w:rsidRPr="009C5807">
        <w:t xml:space="preserve"> 27 dB</w:t>
      </w:r>
      <w:r w:rsidRPr="009C5807">
        <w:rPr>
          <w:noProof/>
          <w:lang w:val="en-US" w:eastAsia="zh-CN"/>
        </w:rPr>
        <w:t xml:space="preserve"> </w:t>
      </w:r>
    </w:p>
    <w:p w14:paraId="6D821CA0" w14:textId="2E398A2E" w:rsidR="001F5A79" w:rsidRPr="009C5807" w:rsidRDefault="001F5A79" w:rsidP="009C5807">
      <w:pPr>
        <w:pStyle w:val="B10"/>
        <w:rPr>
          <w:lang w:eastAsia="zh-CN"/>
        </w:rPr>
      </w:pPr>
      <w:r w:rsidRPr="009C5807">
        <w:t>-</w:t>
      </w:r>
      <w:r w:rsidRPr="009C5807">
        <w:tab/>
        <w:t xml:space="preserve">|Channel 1_Io </w:t>
      </w:r>
      <w:r w:rsidRPr="009C5807">
        <w:noBreakHyphen/>
        <w:t xml:space="preserve">Channel 2_Io | </w:t>
      </w:r>
      <w:r w:rsidRPr="009C5807">
        <w:sym w:font="Symbol" w:char="F0A3"/>
      </w:r>
      <w:r w:rsidRPr="009C5807">
        <w:t xml:space="preserve"> 20 dB</w:t>
      </w:r>
    </w:p>
    <w:p w14:paraId="33910B34" w14:textId="77777777" w:rsidR="001F5A79" w:rsidRPr="009C5807" w:rsidRDefault="001F5A79" w:rsidP="009C5807">
      <w:pPr>
        <w:pStyle w:val="TH"/>
      </w:pPr>
      <w:r w:rsidRPr="009C5807">
        <w:t>Table 10.1.4.1.2-1: SS-RSRP Inter frequency relative accuracy in FR1</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1F5A79" w:rsidRPr="009C5807" w14:paraId="098D9BBC" w14:textId="77777777" w:rsidTr="00DF3064">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5E67A514" w14:textId="77777777" w:rsidR="001F5A79" w:rsidRPr="009C5807" w:rsidRDefault="001F5A79" w:rsidP="00BF46B4">
            <w:pPr>
              <w:pStyle w:val="TAH"/>
            </w:pPr>
            <w:r w:rsidRPr="009C5807">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4934CC47" w14:textId="77777777" w:rsidR="001F5A79" w:rsidRPr="009C5807" w:rsidRDefault="001F5A79" w:rsidP="00BF46B4">
            <w:pPr>
              <w:pStyle w:val="TAH"/>
            </w:pPr>
            <w:r w:rsidRPr="009C5807">
              <w:t>Conditions</w:t>
            </w:r>
          </w:p>
        </w:tc>
      </w:tr>
      <w:tr w:rsidR="001F5A79" w:rsidRPr="009C5807" w14:paraId="2B91795D" w14:textId="77777777" w:rsidTr="00BF46B4">
        <w:trPr>
          <w:jc w:val="center"/>
        </w:trPr>
        <w:tc>
          <w:tcPr>
            <w:tcW w:w="1036" w:type="dxa"/>
            <w:tcBorders>
              <w:top w:val="single" w:sz="6" w:space="0" w:color="auto"/>
              <w:left w:val="single" w:sz="4" w:space="0" w:color="auto"/>
              <w:right w:val="single" w:sz="6" w:space="0" w:color="auto"/>
            </w:tcBorders>
            <w:shd w:val="clear" w:color="auto" w:fill="auto"/>
            <w:vAlign w:val="center"/>
          </w:tcPr>
          <w:p w14:paraId="189C29E8" w14:textId="77777777" w:rsidR="001F5A79" w:rsidRPr="009C5807" w:rsidRDefault="001F5A79" w:rsidP="00BF46B4">
            <w:pPr>
              <w:pStyle w:val="TAH"/>
            </w:pPr>
            <w:r w:rsidRPr="009C5807">
              <w:t>Normal condition</w:t>
            </w:r>
          </w:p>
        </w:tc>
        <w:tc>
          <w:tcPr>
            <w:tcW w:w="1055" w:type="dxa"/>
            <w:tcBorders>
              <w:top w:val="single" w:sz="6" w:space="0" w:color="auto"/>
              <w:left w:val="single" w:sz="6" w:space="0" w:color="auto"/>
              <w:right w:val="single" w:sz="6" w:space="0" w:color="auto"/>
            </w:tcBorders>
            <w:shd w:val="clear" w:color="auto" w:fill="auto"/>
            <w:vAlign w:val="center"/>
          </w:tcPr>
          <w:p w14:paraId="3A005C02" w14:textId="77777777" w:rsidR="001F5A79" w:rsidRPr="009C5807" w:rsidRDefault="001F5A79" w:rsidP="00BF46B4">
            <w:pPr>
              <w:pStyle w:val="TAH"/>
            </w:pPr>
            <w:r w:rsidRPr="009C5807">
              <w:t>Extreme condition</w:t>
            </w:r>
          </w:p>
        </w:tc>
        <w:tc>
          <w:tcPr>
            <w:tcW w:w="833" w:type="dxa"/>
            <w:tcBorders>
              <w:top w:val="single" w:sz="6" w:space="0" w:color="auto"/>
              <w:left w:val="single" w:sz="6" w:space="0" w:color="auto"/>
              <w:right w:val="single" w:sz="6" w:space="0" w:color="auto"/>
            </w:tcBorders>
            <w:shd w:val="clear" w:color="auto" w:fill="auto"/>
            <w:vAlign w:val="center"/>
          </w:tcPr>
          <w:p w14:paraId="3AD69171" w14:textId="77777777" w:rsidR="001F5A79" w:rsidRPr="009C5807" w:rsidRDefault="001F5A79" w:rsidP="00BF46B4">
            <w:pPr>
              <w:pStyle w:val="TAH"/>
            </w:pPr>
            <w:r w:rsidRPr="009C5807">
              <w:t>SSB Ês/Iot</w:t>
            </w:r>
            <w:r w:rsidRPr="009C5807">
              <w:rPr>
                <w:vertAlign w:val="superscript"/>
              </w:rPr>
              <w:t xml:space="preserve"> Note 2</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4967849" w14:textId="77777777" w:rsidR="001F5A79" w:rsidRPr="009C5807" w:rsidRDefault="001F5A79" w:rsidP="00BF46B4">
            <w:pPr>
              <w:pStyle w:val="TAH"/>
            </w:pPr>
            <w:r w:rsidRPr="009C5807">
              <w:t>Io</w:t>
            </w:r>
            <w:r w:rsidRPr="009C5807">
              <w:rPr>
                <w:vertAlign w:val="superscript"/>
              </w:rPr>
              <w:t xml:space="preserve"> Note 1</w:t>
            </w:r>
            <w:r w:rsidRPr="009C5807">
              <w:t xml:space="preserve"> range</w:t>
            </w:r>
          </w:p>
        </w:tc>
      </w:tr>
      <w:tr w:rsidR="001F5A79" w:rsidRPr="009C5807" w14:paraId="38040259" w14:textId="77777777" w:rsidTr="00BF46B4">
        <w:trPr>
          <w:jc w:val="center"/>
        </w:trPr>
        <w:tc>
          <w:tcPr>
            <w:tcW w:w="1036" w:type="dxa"/>
            <w:tcBorders>
              <w:left w:val="single" w:sz="4" w:space="0" w:color="auto"/>
              <w:bottom w:val="single" w:sz="6" w:space="0" w:color="auto"/>
              <w:right w:val="single" w:sz="6" w:space="0" w:color="auto"/>
            </w:tcBorders>
            <w:shd w:val="clear" w:color="auto" w:fill="auto"/>
            <w:vAlign w:val="center"/>
          </w:tcPr>
          <w:p w14:paraId="06E9AD65" w14:textId="77777777" w:rsidR="001F5A79" w:rsidRPr="009C5807" w:rsidRDefault="001F5A79" w:rsidP="00BF46B4">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4DADAF8B" w14:textId="77777777" w:rsidR="001F5A79" w:rsidRPr="009C5807" w:rsidRDefault="001F5A79" w:rsidP="00BF46B4">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1B3435A6" w14:textId="77777777" w:rsidR="001F5A79" w:rsidRPr="009C5807" w:rsidRDefault="001F5A79" w:rsidP="00BF46B4">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3CFAE617" w14:textId="77777777" w:rsidR="001F5A79" w:rsidRPr="009C5807" w:rsidRDefault="001F5A79" w:rsidP="00BF46B4">
            <w:pPr>
              <w:pStyle w:val="TAH"/>
            </w:pPr>
            <w:r w:rsidRPr="009C5807">
              <w:t>NR operating band groups</w:t>
            </w:r>
            <w:r w:rsidRPr="009C5807">
              <w:rPr>
                <w:vertAlign w:val="superscript"/>
              </w:rPr>
              <w:t xml:space="preserve"> Note 3</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0059D075" w14:textId="77777777" w:rsidR="001F5A79" w:rsidRPr="009C5807" w:rsidRDefault="001F5A79" w:rsidP="00BF46B4">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109ED2A7" w14:textId="77777777" w:rsidR="001F5A79" w:rsidRPr="009C5807" w:rsidRDefault="001F5A79" w:rsidP="00BF46B4">
            <w:pPr>
              <w:pStyle w:val="TAH"/>
            </w:pPr>
            <w:r w:rsidRPr="009C5807">
              <w:t>Maximum Io</w:t>
            </w:r>
          </w:p>
        </w:tc>
      </w:tr>
      <w:tr w:rsidR="001F5A79" w:rsidRPr="009C5807" w14:paraId="656EDEE4" w14:textId="77777777" w:rsidTr="00BF46B4">
        <w:trPr>
          <w:trHeight w:val="308"/>
          <w:jc w:val="center"/>
        </w:trPr>
        <w:tc>
          <w:tcPr>
            <w:tcW w:w="1036" w:type="dxa"/>
            <w:tcBorders>
              <w:top w:val="single" w:sz="6" w:space="0" w:color="auto"/>
              <w:left w:val="single" w:sz="4" w:space="0" w:color="auto"/>
              <w:right w:val="single" w:sz="6" w:space="0" w:color="auto"/>
            </w:tcBorders>
            <w:shd w:val="clear" w:color="auto" w:fill="auto"/>
            <w:vAlign w:val="center"/>
          </w:tcPr>
          <w:p w14:paraId="0CDAE297" w14:textId="77777777" w:rsidR="001F5A79" w:rsidRPr="009C5807" w:rsidRDefault="001F5A79" w:rsidP="00BF46B4">
            <w:pPr>
              <w:pStyle w:val="TAH"/>
            </w:pPr>
            <w:r w:rsidRPr="009C5807">
              <w:t>dB</w:t>
            </w:r>
          </w:p>
        </w:tc>
        <w:tc>
          <w:tcPr>
            <w:tcW w:w="1055" w:type="dxa"/>
            <w:tcBorders>
              <w:top w:val="single" w:sz="6" w:space="0" w:color="auto"/>
              <w:left w:val="single" w:sz="6" w:space="0" w:color="auto"/>
              <w:right w:val="single" w:sz="6" w:space="0" w:color="auto"/>
            </w:tcBorders>
            <w:shd w:val="clear" w:color="auto" w:fill="auto"/>
            <w:vAlign w:val="center"/>
          </w:tcPr>
          <w:p w14:paraId="443360C5" w14:textId="77777777" w:rsidR="001F5A79" w:rsidRPr="009C5807" w:rsidRDefault="001F5A79" w:rsidP="00BF46B4">
            <w:pPr>
              <w:pStyle w:val="TAH"/>
            </w:pPr>
            <w:r w:rsidRPr="009C5807">
              <w:t>dB</w:t>
            </w:r>
          </w:p>
        </w:tc>
        <w:tc>
          <w:tcPr>
            <w:tcW w:w="833" w:type="dxa"/>
            <w:tcBorders>
              <w:top w:val="single" w:sz="6" w:space="0" w:color="auto"/>
              <w:left w:val="single" w:sz="6" w:space="0" w:color="auto"/>
              <w:right w:val="single" w:sz="6" w:space="0" w:color="auto"/>
            </w:tcBorders>
            <w:shd w:val="clear" w:color="auto" w:fill="auto"/>
            <w:vAlign w:val="center"/>
          </w:tcPr>
          <w:p w14:paraId="02143BF6" w14:textId="77777777" w:rsidR="001F5A79" w:rsidRPr="009C5807" w:rsidRDefault="001F5A79" w:rsidP="00BF46B4">
            <w:pPr>
              <w:pStyle w:val="TAH"/>
            </w:pPr>
            <w:r w:rsidRPr="009C5807">
              <w:t>dB</w:t>
            </w:r>
          </w:p>
        </w:tc>
        <w:tc>
          <w:tcPr>
            <w:tcW w:w="2530" w:type="dxa"/>
            <w:tcBorders>
              <w:top w:val="single" w:sz="6" w:space="0" w:color="auto"/>
              <w:left w:val="single" w:sz="6" w:space="0" w:color="auto"/>
              <w:right w:val="single" w:sz="4" w:space="0" w:color="auto"/>
            </w:tcBorders>
            <w:shd w:val="clear" w:color="auto" w:fill="auto"/>
            <w:vAlign w:val="center"/>
          </w:tcPr>
          <w:p w14:paraId="5D4D1067" w14:textId="77777777" w:rsidR="001F5A79" w:rsidRPr="009C5807" w:rsidRDefault="001F5A79" w:rsidP="00BF46B4">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707B168F" w14:textId="77777777" w:rsidR="001F5A79" w:rsidRPr="009C5807" w:rsidRDefault="001F5A79" w:rsidP="00BF46B4">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3D1D664F" w14:textId="77777777" w:rsidR="001F5A79" w:rsidRPr="009C5807" w:rsidRDefault="001F5A79" w:rsidP="00BF46B4">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2BEAB001" w14:textId="77777777" w:rsidR="001F5A79" w:rsidRPr="009C5807" w:rsidRDefault="001F5A79" w:rsidP="00BF46B4">
            <w:pPr>
              <w:pStyle w:val="TAH"/>
            </w:pPr>
            <w:r w:rsidRPr="009C5807">
              <w:t>dBm/BW</w:t>
            </w:r>
            <w:r w:rsidRPr="009C5807">
              <w:rPr>
                <w:vertAlign w:val="subscript"/>
              </w:rPr>
              <w:t>Channel</w:t>
            </w:r>
          </w:p>
        </w:tc>
      </w:tr>
      <w:tr w:rsidR="001F5A79" w:rsidRPr="009C5807" w14:paraId="45CEFC3F" w14:textId="77777777" w:rsidTr="00BF46B4">
        <w:trPr>
          <w:trHeight w:val="307"/>
          <w:jc w:val="center"/>
        </w:trPr>
        <w:tc>
          <w:tcPr>
            <w:tcW w:w="1036" w:type="dxa"/>
            <w:tcBorders>
              <w:left w:val="single" w:sz="4" w:space="0" w:color="auto"/>
              <w:bottom w:val="single" w:sz="6" w:space="0" w:color="auto"/>
              <w:right w:val="single" w:sz="6" w:space="0" w:color="auto"/>
            </w:tcBorders>
            <w:shd w:val="clear" w:color="auto" w:fill="auto"/>
            <w:vAlign w:val="center"/>
          </w:tcPr>
          <w:p w14:paraId="6969CA6F" w14:textId="77777777" w:rsidR="001F5A79" w:rsidRPr="009C5807" w:rsidRDefault="001F5A79" w:rsidP="00BF46B4">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1A87FCF6" w14:textId="77777777" w:rsidR="001F5A79" w:rsidRPr="009C5807" w:rsidRDefault="001F5A79" w:rsidP="00BF46B4">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6E002DC6" w14:textId="77777777" w:rsidR="001F5A79" w:rsidRPr="009C5807" w:rsidRDefault="001F5A79" w:rsidP="00BF46B4">
            <w:pPr>
              <w:pStyle w:val="TAH"/>
            </w:pPr>
          </w:p>
        </w:tc>
        <w:tc>
          <w:tcPr>
            <w:tcW w:w="2530" w:type="dxa"/>
            <w:tcBorders>
              <w:left w:val="single" w:sz="6" w:space="0" w:color="auto"/>
              <w:bottom w:val="single" w:sz="6" w:space="0" w:color="auto"/>
              <w:right w:val="single" w:sz="4" w:space="0" w:color="auto"/>
            </w:tcBorders>
            <w:shd w:val="clear" w:color="auto" w:fill="auto"/>
            <w:vAlign w:val="center"/>
          </w:tcPr>
          <w:p w14:paraId="17E8FEEA" w14:textId="77777777" w:rsidR="001F5A79" w:rsidRPr="009C5807" w:rsidRDefault="001F5A79" w:rsidP="00BF46B4">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608825C1" w14:textId="77777777" w:rsidR="001F5A79" w:rsidRPr="009C5807" w:rsidRDefault="001F5A79" w:rsidP="00BF46B4">
            <w:pPr>
              <w:pStyle w:val="TAH"/>
              <w:rPr>
                <w:rFonts w:cs="Arial"/>
              </w:rPr>
            </w:pPr>
            <w:r w:rsidRPr="009C5807">
              <w:t>SCS</w:t>
            </w:r>
            <w:r w:rsidRPr="009C5807">
              <w:rPr>
                <w:vertAlign w:val="subscript"/>
              </w:rPr>
              <w:t>SSB</w:t>
            </w:r>
            <w:r w:rsidRPr="009C5807">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621D59A4" w14:textId="77777777" w:rsidR="001F5A79" w:rsidRPr="009C5807" w:rsidRDefault="001F5A79" w:rsidP="00BF46B4">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1B04E470" w14:textId="77777777" w:rsidR="001F5A79" w:rsidRPr="009C5807" w:rsidRDefault="001F5A79" w:rsidP="00BF46B4">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25BC59D5" w14:textId="77777777" w:rsidR="001F5A79" w:rsidRPr="009C5807" w:rsidRDefault="001F5A79" w:rsidP="00BF46B4">
            <w:pPr>
              <w:pStyle w:val="TAH"/>
            </w:pPr>
          </w:p>
        </w:tc>
      </w:tr>
      <w:tr w:rsidR="0058457E" w:rsidRPr="009C5807" w14:paraId="70C9718C" w14:textId="77777777" w:rsidTr="00DF3064">
        <w:trPr>
          <w:jc w:val="center"/>
        </w:trPr>
        <w:tc>
          <w:tcPr>
            <w:tcW w:w="1036" w:type="dxa"/>
            <w:tcBorders>
              <w:top w:val="single" w:sz="6" w:space="0" w:color="auto"/>
              <w:left w:val="single" w:sz="4" w:space="0" w:color="auto"/>
              <w:right w:val="single" w:sz="6" w:space="0" w:color="auto"/>
            </w:tcBorders>
            <w:shd w:val="clear" w:color="auto" w:fill="auto"/>
            <w:vAlign w:val="center"/>
          </w:tcPr>
          <w:p w14:paraId="30AFDBBF" w14:textId="6B820AF1" w:rsidR="0058457E" w:rsidRPr="009C5807" w:rsidRDefault="0058457E" w:rsidP="00BF46B4">
            <w:pPr>
              <w:pStyle w:val="TAC"/>
            </w:pPr>
          </w:p>
        </w:tc>
        <w:tc>
          <w:tcPr>
            <w:tcW w:w="1055" w:type="dxa"/>
            <w:tcBorders>
              <w:top w:val="single" w:sz="6" w:space="0" w:color="auto"/>
              <w:left w:val="single" w:sz="6" w:space="0" w:color="auto"/>
              <w:right w:val="single" w:sz="6" w:space="0" w:color="auto"/>
            </w:tcBorders>
            <w:shd w:val="clear" w:color="auto" w:fill="auto"/>
            <w:vAlign w:val="center"/>
          </w:tcPr>
          <w:p w14:paraId="658E0693" w14:textId="34603FF3" w:rsidR="0058457E" w:rsidRPr="009C5807" w:rsidRDefault="0058457E" w:rsidP="00BF46B4">
            <w:pPr>
              <w:pStyle w:val="TAC"/>
            </w:pPr>
          </w:p>
        </w:tc>
        <w:tc>
          <w:tcPr>
            <w:tcW w:w="833" w:type="dxa"/>
            <w:tcBorders>
              <w:top w:val="single" w:sz="6" w:space="0" w:color="auto"/>
              <w:left w:val="single" w:sz="6" w:space="0" w:color="auto"/>
              <w:right w:val="single" w:sz="6" w:space="0" w:color="auto"/>
            </w:tcBorders>
            <w:shd w:val="clear" w:color="auto" w:fill="auto"/>
            <w:vAlign w:val="center"/>
          </w:tcPr>
          <w:p w14:paraId="149F2D97" w14:textId="61D49B8C" w:rsidR="0058457E" w:rsidRPr="009C5807" w:rsidRDefault="0058457E" w:rsidP="00BF46B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39A4BAD2" w14:textId="77777777" w:rsidR="0058457E" w:rsidRPr="009C5807" w:rsidRDefault="0058457E" w:rsidP="00BF46B4">
            <w:pPr>
              <w:pStyle w:val="TAC"/>
            </w:pPr>
            <w:r w:rsidRPr="009C5807">
              <w:t>NR_FDD_FR1_A, NR_TDD_FR1_A,</w:t>
            </w:r>
          </w:p>
          <w:p w14:paraId="7F9FD045" w14:textId="77777777" w:rsidR="0058457E" w:rsidRPr="009C5807" w:rsidRDefault="0058457E" w:rsidP="00BF46B4">
            <w:pPr>
              <w:pStyle w:val="TAC"/>
            </w:pPr>
            <w:r w:rsidRPr="009C5807">
              <w:t>NR_SDL_FR1_A</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3105D9EF" w14:textId="77777777" w:rsidR="0058457E" w:rsidRPr="009C5807" w:rsidRDefault="0058457E" w:rsidP="00BF46B4">
            <w:pPr>
              <w:pStyle w:val="TAC"/>
            </w:pPr>
            <w:r w:rsidRPr="009C5807">
              <w:t>-121</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48866AD5" w14:textId="77777777" w:rsidR="0058457E" w:rsidRPr="009C5807" w:rsidRDefault="0058457E" w:rsidP="00BF46B4">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7BD5261" w14:textId="77777777" w:rsidR="0058457E" w:rsidRPr="009C5807" w:rsidRDefault="0058457E" w:rsidP="00BF46B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650E4DBE" w14:textId="77777777" w:rsidR="0058457E" w:rsidRPr="009C5807" w:rsidRDefault="0058457E" w:rsidP="00BF46B4">
            <w:pPr>
              <w:pStyle w:val="TAC"/>
            </w:pPr>
            <w:r w:rsidRPr="009C5807">
              <w:t>-50</w:t>
            </w:r>
          </w:p>
        </w:tc>
      </w:tr>
      <w:tr w:rsidR="001F5A79" w:rsidRPr="009C5807" w14:paraId="3A429B94" w14:textId="77777777" w:rsidTr="00DF3064">
        <w:trPr>
          <w:jc w:val="center"/>
        </w:trPr>
        <w:tc>
          <w:tcPr>
            <w:tcW w:w="1036" w:type="dxa"/>
            <w:tcBorders>
              <w:left w:val="single" w:sz="4" w:space="0" w:color="auto"/>
              <w:right w:val="single" w:sz="6" w:space="0" w:color="auto"/>
            </w:tcBorders>
            <w:shd w:val="clear" w:color="auto" w:fill="auto"/>
            <w:vAlign w:val="center"/>
          </w:tcPr>
          <w:p w14:paraId="7B160DE7" w14:textId="77777777" w:rsidR="001F5A79" w:rsidRPr="009C5807" w:rsidRDefault="001F5A79" w:rsidP="00BF46B4">
            <w:pPr>
              <w:pStyle w:val="TAC"/>
            </w:pPr>
          </w:p>
        </w:tc>
        <w:tc>
          <w:tcPr>
            <w:tcW w:w="1055" w:type="dxa"/>
            <w:tcBorders>
              <w:left w:val="single" w:sz="6" w:space="0" w:color="auto"/>
              <w:right w:val="single" w:sz="6" w:space="0" w:color="auto"/>
            </w:tcBorders>
            <w:shd w:val="clear" w:color="auto" w:fill="auto"/>
            <w:vAlign w:val="center"/>
          </w:tcPr>
          <w:p w14:paraId="1820557A" w14:textId="77777777" w:rsidR="001F5A79" w:rsidRPr="009C5807" w:rsidRDefault="001F5A79" w:rsidP="00BF46B4">
            <w:pPr>
              <w:pStyle w:val="TAC"/>
            </w:pPr>
          </w:p>
        </w:tc>
        <w:tc>
          <w:tcPr>
            <w:tcW w:w="833" w:type="dxa"/>
            <w:tcBorders>
              <w:left w:val="single" w:sz="6" w:space="0" w:color="auto"/>
              <w:right w:val="single" w:sz="6" w:space="0" w:color="auto"/>
            </w:tcBorders>
            <w:shd w:val="clear" w:color="auto" w:fill="auto"/>
            <w:vAlign w:val="center"/>
          </w:tcPr>
          <w:p w14:paraId="2B7BD4DB" w14:textId="77777777" w:rsidR="001F5A79" w:rsidRPr="009C5807" w:rsidRDefault="001F5A79" w:rsidP="00BF46B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48A19D7D" w14:textId="77777777" w:rsidR="001F5A79" w:rsidRPr="009C5807" w:rsidRDefault="001F5A79" w:rsidP="00BF46B4">
            <w:pPr>
              <w:pStyle w:val="TAC"/>
            </w:pPr>
            <w:r w:rsidRPr="009C5807">
              <w:t>NR_FDD_FR1_B</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7B23ACA2" w14:textId="77777777" w:rsidR="001F5A79" w:rsidRPr="009C5807" w:rsidRDefault="001F5A79" w:rsidP="00BF46B4">
            <w:pPr>
              <w:pStyle w:val="TAC"/>
            </w:pPr>
            <w:r w:rsidRPr="009C5807">
              <w:t>-120.5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22A2B618" w14:textId="77777777" w:rsidR="001F5A79" w:rsidRPr="009C5807" w:rsidRDefault="001F5A79" w:rsidP="00BF46B4">
            <w:pPr>
              <w:pStyle w:val="TAC"/>
              <w:rPr>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7307848" w14:textId="77777777" w:rsidR="001F5A79" w:rsidRPr="009C5807" w:rsidRDefault="001F5A79" w:rsidP="00BF46B4">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9833985" w14:textId="77777777" w:rsidR="001F5A79" w:rsidRPr="009C5807" w:rsidRDefault="001F5A79" w:rsidP="00BF46B4">
            <w:pPr>
              <w:pStyle w:val="TAC"/>
            </w:pPr>
            <w:r w:rsidRPr="009C5807">
              <w:t>-50</w:t>
            </w:r>
          </w:p>
        </w:tc>
      </w:tr>
      <w:tr w:rsidR="001F5A79" w:rsidRPr="009C5807" w14:paraId="3BDCB03A" w14:textId="77777777" w:rsidTr="00DF3064">
        <w:trPr>
          <w:jc w:val="center"/>
        </w:trPr>
        <w:tc>
          <w:tcPr>
            <w:tcW w:w="1036" w:type="dxa"/>
            <w:tcBorders>
              <w:left w:val="single" w:sz="4" w:space="0" w:color="auto"/>
              <w:right w:val="single" w:sz="6" w:space="0" w:color="auto"/>
            </w:tcBorders>
            <w:shd w:val="clear" w:color="auto" w:fill="auto"/>
            <w:vAlign w:val="center"/>
          </w:tcPr>
          <w:p w14:paraId="285744C6" w14:textId="77777777" w:rsidR="001F5A79" w:rsidRPr="009C5807" w:rsidRDefault="001F5A79" w:rsidP="00BF46B4">
            <w:pPr>
              <w:pStyle w:val="TAC"/>
            </w:pPr>
          </w:p>
        </w:tc>
        <w:tc>
          <w:tcPr>
            <w:tcW w:w="1055" w:type="dxa"/>
            <w:tcBorders>
              <w:left w:val="single" w:sz="6" w:space="0" w:color="auto"/>
              <w:right w:val="single" w:sz="6" w:space="0" w:color="auto"/>
            </w:tcBorders>
            <w:shd w:val="clear" w:color="auto" w:fill="auto"/>
            <w:vAlign w:val="center"/>
          </w:tcPr>
          <w:p w14:paraId="36F628C3" w14:textId="77777777" w:rsidR="001F5A79" w:rsidRPr="009C5807" w:rsidRDefault="001F5A79" w:rsidP="00BF46B4">
            <w:pPr>
              <w:pStyle w:val="TAC"/>
            </w:pPr>
          </w:p>
        </w:tc>
        <w:tc>
          <w:tcPr>
            <w:tcW w:w="833" w:type="dxa"/>
            <w:tcBorders>
              <w:left w:val="single" w:sz="6" w:space="0" w:color="auto"/>
              <w:right w:val="single" w:sz="6" w:space="0" w:color="auto"/>
            </w:tcBorders>
            <w:shd w:val="clear" w:color="auto" w:fill="auto"/>
            <w:vAlign w:val="center"/>
          </w:tcPr>
          <w:p w14:paraId="1C868999" w14:textId="77777777" w:rsidR="001F5A79" w:rsidRPr="009C5807" w:rsidRDefault="001F5A79" w:rsidP="00BF46B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7059745E" w14:textId="77777777" w:rsidR="001F5A79" w:rsidRPr="009C5807" w:rsidRDefault="001F5A79" w:rsidP="00BF46B4">
            <w:pPr>
              <w:pStyle w:val="TAC"/>
            </w:pPr>
            <w:r w:rsidRPr="009C5807">
              <w:t>NR_TDD_FR1_C</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32D2266C" w14:textId="77777777" w:rsidR="001F5A79" w:rsidRPr="009C5807" w:rsidRDefault="001F5A79" w:rsidP="00BF46B4">
            <w:pPr>
              <w:pStyle w:val="TAC"/>
            </w:pPr>
            <w:r w:rsidRPr="009C5807">
              <w:t>-120</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4318C2D8" w14:textId="77777777" w:rsidR="001F5A79" w:rsidRPr="009C5807" w:rsidRDefault="001F5A79" w:rsidP="00BF46B4">
            <w:pPr>
              <w:pStyle w:val="TAC"/>
              <w:rPr>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27F7A87E" w14:textId="77777777" w:rsidR="001F5A79" w:rsidRPr="009C5807" w:rsidRDefault="001F5A79" w:rsidP="00BF46B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6307C350" w14:textId="77777777" w:rsidR="001F5A79" w:rsidRPr="009C5807" w:rsidRDefault="001F5A79" w:rsidP="00BF46B4">
            <w:pPr>
              <w:pStyle w:val="TAC"/>
            </w:pPr>
            <w:r w:rsidRPr="009C5807">
              <w:t>-50</w:t>
            </w:r>
          </w:p>
        </w:tc>
      </w:tr>
      <w:tr w:rsidR="00BF46B4" w:rsidRPr="009C5807" w14:paraId="1BBF920A" w14:textId="77777777" w:rsidTr="00DF3064">
        <w:trPr>
          <w:jc w:val="center"/>
        </w:trPr>
        <w:tc>
          <w:tcPr>
            <w:tcW w:w="1036" w:type="dxa"/>
            <w:tcBorders>
              <w:left w:val="single" w:sz="4" w:space="0" w:color="auto"/>
              <w:right w:val="single" w:sz="6" w:space="0" w:color="auto"/>
            </w:tcBorders>
            <w:shd w:val="clear" w:color="auto" w:fill="auto"/>
            <w:vAlign w:val="center"/>
          </w:tcPr>
          <w:p w14:paraId="1C616495" w14:textId="791EDCA2" w:rsidR="00BF46B4" w:rsidRPr="009C5807" w:rsidRDefault="00BF46B4" w:rsidP="00BF46B4">
            <w:pPr>
              <w:pStyle w:val="TAC"/>
            </w:pPr>
            <w:r w:rsidRPr="009C5807">
              <w:sym w:font="Symbol" w:char="F0B1"/>
            </w:r>
            <w:r w:rsidRPr="009C5807">
              <w:t>4.5</w:t>
            </w:r>
          </w:p>
        </w:tc>
        <w:tc>
          <w:tcPr>
            <w:tcW w:w="1055" w:type="dxa"/>
            <w:tcBorders>
              <w:left w:val="single" w:sz="6" w:space="0" w:color="auto"/>
              <w:right w:val="single" w:sz="6" w:space="0" w:color="auto"/>
            </w:tcBorders>
            <w:shd w:val="clear" w:color="auto" w:fill="auto"/>
            <w:vAlign w:val="center"/>
          </w:tcPr>
          <w:p w14:paraId="5F5C74DB" w14:textId="300322CC" w:rsidR="00BF46B4" w:rsidRPr="009C5807" w:rsidRDefault="00BF46B4" w:rsidP="00BF46B4">
            <w:pPr>
              <w:pStyle w:val="TAC"/>
            </w:pPr>
            <w:r w:rsidRPr="009C5807">
              <w:sym w:font="Symbol" w:char="F0B1"/>
            </w:r>
            <w:r w:rsidRPr="009C5807">
              <w:t>6</w:t>
            </w:r>
          </w:p>
        </w:tc>
        <w:tc>
          <w:tcPr>
            <w:tcW w:w="833" w:type="dxa"/>
            <w:tcBorders>
              <w:left w:val="single" w:sz="6" w:space="0" w:color="auto"/>
              <w:right w:val="single" w:sz="6" w:space="0" w:color="auto"/>
            </w:tcBorders>
            <w:shd w:val="clear" w:color="auto" w:fill="auto"/>
            <w:vAlign w:val="center"/>
          </w:tcPr>
          <w:p w14:paraId="78FBCF65" w14:textId="035AADFA" w:rsidR="00BF46B4" w:rsidRPr="009C5807" w:rsidRDefault="00BF46B4" w:rsidP="00BF46B4">
            <w:pPr>
              <w:pStyle w:val="TAC"/>
            </w:pPr>
            <w:r w:rsidRPr="009C5807">
              <w:sym w:font="Symbol" w:char="F0B3"/>
            </w:r>
            <w:r w:rsidRPr="009C5807">
              <w:t>-</w:t>
            </w:r>
            <w:r w:rsidRPr="009C5807">
              <w:rPr>
                <w:lang w:eastAsia="zh-CN"/>
              </w:rPr>
              <w:t>6</w:t>
            </w: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6F504DB9" w14:textId="77777777" w:rsidR="00BF46B4" w:rsidRPr="009C5807" w:rsidRDefault="00BF46B4" w:rsidP="00BF46B4">
            <w:pPr>
              <w:pStyle w:val="TAC"/>
              <w:rPr>
                <w:lang w:val="sv-SE"/>
              </w:rPr>
            </w:pPr>
            <w:r w:rsidRPr="009C5807">
              <w:rPr>
                <w:lang w:val="sv-SE"/>
              </w:rPr>
              <w:t>NR_FDD_FR1_D, NR_TDD_FR1_D</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76C2B21B" w14:textId="77777777" w:rsidR="00BF46B4" w:rsidRPr="009C5807" w:rsidRDefault="00BF46B4" w:rsidP="00BF46B4">
            <w:pPr>
              <w:pStyle w:val="TAC"/>
            </w:pPr>
            <w:r w:rsidRPr="009C5807">
              <w:t>-119.5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2637B869" w14:textId="77777777" w:rsidR="00BF46B4" w:rsidRPr="009C5807" w:rsidRDefault="00BF46B4" w:rsidP="00BF46B4">
            <w:pPr>
              <w:pStyle w:val="TAC"/>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42AA5EB3" w14:textId="77777777" w:rsidR="00BF46B4" w:rsidRPr="009C5807" w:rsidRDefault="00BF46B4" w:rsidP="00BF46B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1CFFC89B" w14:textId="77777777" w:rsidR="00BF46B4" w:rsidRPr="009C5807" w:rsidRDefault="00BF46B4" w:rsidP="00BF46B4">
            <w:pPr>
              <w:pStyle w:val="TAC"/>
            </w:pPr>
            <w:r w:rsidRPr="009C5807">
              <w:t>-50</w:t>
            </w:r>
          </w:p>
        </w:tc>
      </w:tr>
      <w:tr w:rsidR="001F5A79" w:rsidRPr="009C5807" w14:paraId="705829CF" w14:textId="77777777" w:rsidTr="00DF3064">
        <w:trPr>
          <w:jc w:val="center"/>
        </w:trPr>
        <w:tc>
          <w:tcPr>
            <w:tcW w:w="1036" w:type="dxa"/>
            <w:tcBorders>
              <w:left w:val="single" w:sz="4" w:space="0" w:color="auto"/>
              <w:right w:val="single" w:sz="6" w:space="0" w:color="auto"/>
            </w:tcBorders>
            <w:shd w:val="clear" w:color="auto" w:fill="auto"/>
            <w:vAlign w:val="center"/>
          </w:tcPr>
          <w:p w14:paraId="1F525829" w14:textId="77777777" w:rsidR="001F5A79" w:rsidRPr="009C5807" w:rsidRDefault="001F5A79" w:rsidP="00BF46B4">
            <w:pPr>
              <w:pStyle w:val="TAC"/>
            </w:pPr>
          </w:p>
        </w:tc>
        <w:tc>
          <w:tcPr>
            <w:tcW w:w="1055" w:type="dxa"/>
            <w:tcBorders>
              <w:left w:val="single" w:sz="6" w:space="0" w:color="auto"/>
              <w:right w:val="single" w:sz="6" w:space="0" w:color="auto"/>
            </w:tcBorders>
            <w:shd w:val="clear" w:color="auto" w:fill="auto"/>
            <w:vAlign w:val="center"/>
          </w:tcPr>
          <w:p w14:paraId="350CDE28" w14:textId="77777777" w:rsidR="001F5A79" w:rsidRPr="009C5807" w:rsidRDefault="001F5A79" w:rsidP="00BF46B4">
            <w:pPr>
              <w:pStyle w:val="TAC"/>
            </w:pPr>
          </w:p>
        </w:tc>
        <w:tc>
          <w:tcPr>
            <w:tcW w:w="833" w:type="dxa"/>
            <w:tcBorders>
              <w:left w:val="single" w:sz="6" w:space="0" w:color="auto"/>
              <w:right w:val="single" w:sz="6" w:space="0" w:color="auto"/>
            </w:tcBorders>
            <w:shd w:val="clear" w:color="auto" w:fill="auto"/>
            <w:vAlign w:val="center"/>
          </w:tcPr>
          <w:p w14:paraId="49B38663" w14:textId="77777777" w:rsidR="001F5A79" w:rsidRPr="009C5807" w:rsidRDefault="001F5A79" w:rsidP="00BF46B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07376659" w14:textId="77777777" w:rsidR="001F5A79" w:rsidRPr="009C5807" w:rsidRDefault="001F5A79" w:rsidP="00BF46B4">
            <w:pPr>
              <w:pStyle w:val="TAC"/>
              <w:rPr>
                <w:lang w:val="sv-SE"/>
              </w:rPr>
            </w:pPr>
            <w:r w:rsidRPr="009C5807">
              <w:rPr>
                <w:lang w:val="sv-SE"/>
              </w:rPr>
              <w:t>NR_FDD_FR1_E, NR_TDD_FR1_E</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735E2AC3" w14:textId="77777777" w:rsidR="001F5A79" w:rsidRPr="009C5807" w:rsidRDefault="001F5A79" w:rsidP="00BF46B4">
            <w:pPr>
              <w:pStyle w:val="TAC"/>
            </w:pPr>
            <w:r w:rsidRPr="009C5807">
              <w:t>-119</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7E9B7126" w14:textId="77777777" w:rsidR="001F5A79" w:rsidRPr="009C5807" w:rsidRDefault="001F5A79" w:rsidP="00BF46B4">
            <w:pPr>
              <w:pStyle w:val="TAC"/>
              <w:rPr>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2C50B7D1" w14:textId="77777777" w:rsidR="001F5A79" w:rsidRPr="009C5807" w:rsidRDefault="001F5A79" w:rsidP="00BF46B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FA88DE4" w14:textId="77777777" w:rsidR="001F5A79" w:rsidRPr="009C5807" w:rsidRDefault="001F5A79" w:rsidP="00BF46B4">
            <w:pPr>
              <w:pStyle w:val="TAC"/>
            </w:pPr>
            <w:r w:rsidRPr="009C5807">
              <w:t>-50</w:t>
            </w:r>
          </w:p>
        </w:tc>
      </w:tr>
      <w:tr w:rsidR="00D94CA6" w:rsidRPr="009C5807" w14:paraId="131AEF37" w14:textId="77777777" w:rsidTr="00DF3064">
        <w:trPr>
          <w:jc w:val="center"/>
        </w:trPr>
        <w:tc>
          <w:tcPr>
            <w:tcW w:w="1036" w:type="dxa"/>
            <w:tcBorders>
              <w:left w:val="single" w:sz="4" w:space="0" w:color="auto"/>
              <w:right w:val="single" w:sz="6" w:space="0" w:color="auto"/>
            </w:tcBorders>
            <w:shd w:val="clear" w:color="auto" w:fill="auto"/>
            <w:vAlign w:val="center"/>
          </w:tcPr>
          <w:p w14:paraId="7982A282" w14:textId="77777777" w:rsidR="00D94CA6" w:rsidRPr="009C5807" w:rsidRDefault="00D94CA6" w:rsidP="00BF46B4">
            <w:pPr>
              <w:pStyle w:val="TAC"/>
            </w:pPr>
          </w:p>
        </w:tc>
        <w:tc>
          <w:tcPr>
            <w:tcW w:w="1055" w:type="dxa"/>
            <w:tcBorders>
              <w:left w:val="single" w:sz="6" w:space="0" w:color="auto"/>
              <w:right w:val="single" w:sz="6" w:space="0" w:color="auto"/>
            </w:tcBorders>
            <w:shd w:val="clear" w:color="auto" w:fill="auto"/>
            <w:vAlign w:val="center"/>
          </w:tcPr>
          <w:p w14:paraId="23A151AF" w14:textId="77777777" w:rsidR="00D94CA6" w:rsidRPr="009C5807" w:rsidRDefault="00D94CA6" w:rsidP="00BF46B4">
            <w:pPr>
              <w:pStyle w:val="TAC"/>
            </w:pPr>
          </w:p>
        </w:tc>
        <w:tc>
          <w:tcPr>
            <w:tcW w:w="833" w:type="dxa"/>
            <w:tcBorders>
              <w:left w:val="single" w:sz="6" w:space="0" w:color="auto"/>
              <w:right w:val="single" w:sz="6" w:space="0" w:color="auto"/>
            </w:tcBorders>
            <w:shd w:val="clear" w:color="auto" w:fill="auto"/>
            <w:vAlign w:val="center"/>
          </w:tcPr>
          <w:p w14:paraId="7EC7752C" w14:textId="77777777" w:rsidR="00D94CA6" w:rsidRPr="009C5807" w:rsidRDefault="00D94CA6" w:rsidP="00BF46B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44E70794" w14:textId="07711F36" w:rsidR="00D94CA6" w:rsidRPr="009C5807" w:rsidRDefault="00D94CA6" w:rsidP="00BF46B4">
            <w:pPr>
              <w:pStyle w:val="TAC"/>
              <w:rPr>
                <w:lang w:val="sv-SE"/>
              </w:rPr>
            </w:pPr>
            <w:r w:rsidRPr="009C5807">
              <w:rPr>
                <w:lang w:eastAsia="zh-CN"/>
              </w:rPr>
              <w:t>NR_FDD_FR1_F</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6E1A9680" w14:textId="19C71344" w:rsidR="00D94CA6" w:rsidRPr="009C5807" w:rsidRDefault="00D94CA6" w:rsidP="00BF46B4">
            <w:pPr>
              <w:pStyle w:val="TAC"/>
            </w:pPr>
            <w:r w:rsidRPr="009C5807">
              <w:t>-118.5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0D0C8F42" w14:textId="053AD779" w:rsidR="00D94CA6" w:rsidRPr="009C5807" w:rsidRDefault="00D94CA6" w:rsidP="00BF46B4">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35E09A0A" w14:textId="3D68E02C" w:rsidR="00D94CA6" w:rsidRPr="009C5807" w:rsidRDefault="00D94CA6" w:rsidP="00BF46B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04823AEB" w14:textId="7B6CE00E" w:rsidR="00D94CA6" w:rsidRPr="009C5807" w:rsidRDefault="00D94CA6" w:rsidP="00BF46B4">
            <w:pPr>
              <w:pStyle w:val="TAC"/>
            </w:pPr>
            <w:r w:rsidRPr="009C5807">
              <w:t>-50</w:t>
            </w:r>
          </w:p>
        </w:tc>
      </w:tr>
      <w:tr w:rsidR="00D94CA6" w:rsidRPr="009C5807" w14:paraId="5C5E48FF" w14:textId="77777777" w:rsidTr="00DF3064">
        <w:trPr>
          <w:jc w:val="center"/>
        </w:trPr>
        <w:tc>
          <w:tcPr>
            <w:tcW w:w="1036" w:type="dxa"/>
            <w:tcBorders>
              <w:left w:val="single" w:sz="4" w:space="0" w:color="auto"/>
              <w:right w:val="single" w:sz="6" w:space="0" w:color="auto"/>
            </w:tcBorders>
            <w:shd w:val="clear" w:color="auto" w:fill="auto"/>
            <w:vAlign w:val="center"/>
          </w:tcPr>
          <w:p w14:paraId="0148DD12" w14:textId="77777777" w:rsidR="00D94CA6" w:rsidRPr="009C5807" w:rsidRDefault="00D94CA6" w:rsidP="00BF46B4">
            <w:pPr>
              <w:pStyle w:val="TAC"/>
            </w:pPr>
          </w:p>
        </w:tc>
        <w:tc>
          <w:tcPr>
            <w:tcW w:w="1055" w:type="dxa"/>
            <w:tcBorders>
              <w:left w:val="single" w:sz="6" w:space="0" w:color="auto"/>
              <w:right w:val="single" w:sz="6" w:space="0" w:color="auto"/>
            </w:tcBorders>
            <w:shd w:val="clear" w:color="auto" w:fill="auto"/>
            <w:vAlign w:val="center"/>
          </w:tcPr>
          <w:p w14:paraId="63559A2F" w14:textId="77777777" w:rsidR="00D94CA6" w:rsidRPr="009C5807" w:rsidRDefault="00D94CA6" w:rsidP="00BF46B4">
            <w:pPr>
              <w:pStyle w:val="TAC"/>
            </w:pPr>
          </w:p>
        </w:tc>
        <w:tc>
          <w:tcPr>
            <w:tcW w:w="833" w:type="dxa"/>
            <w:tcBorders>
              <w:left w:val="single" w:sz="6" w:space="0" w:color="auto"/>
              <w:right w:val="single" w:sz="6" w:space="0" w:color="auto"/>
            </w:tcBorders>
            <w:shd w:val="clear" w:color="auto" w:fill="auto"/>
            <w:vAlign w:val="center"/>
          </w:tcPr>
          <w:p w14:paraId="6608E214" w14:textId="77777777" w:rsidR="00D94CA6" w:rsidRPr="009C5807" w:rsidRDefault="00D94CA6" w:rsidP="00BF46B4">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7DD5F8DF" w14:textId="77777777" w:rsidR="00D94CA6" w:rsidRPr="009C5807" w:rsidRDefault="00D94CA6" w:rsidP="00BF46B4">
            <w:pPr>
              <w:pStyle w:val="TAC"/>
              <w:rPr>
                <w:lang w:eastAsia="zh-CN"/>
              </w:rPr>
            </w:pPr>
            <w:r w:rsidRPr="009C5807">
              <w:rPr>
                <w:lang w:eastAsia="zh-CN"/>
              </w:rPr>
              <w:t>NR</w:t>
            </w:r>
            <w:r w:rsidRPr="009C5807">
              <w:t>_</w:t>
            </w:r>
            <w:r w:rsidRPr="009C5807">
              <w:rPr>
                <w:lang w:eastAsia="zh-CN"/>
              </w:rPr>
              <w:t>FDD_FR1_G</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14B97A86" w14:textId="77777777" w:rsidR="00D94CA6" w:rsidRPr="009C5807" w:rsidRDefault="00D94CA6" w:rsidP="00BF46B4">
            <w:pPr>
              <w:pStyle w:val="TAC"/>
            </w:pPr>
            <w:r w:rsidRPr="009C5807">
              <w:t>-118</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2A9E35BB" w14:textId="77777777" w:rsidR="00D94CA6" w:rsidRPr="009C5807" w:rsidRDefault="00D94CA6" w:rsidP="00BF46B4">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280129D" w14:textId="77777777" w:rsidR="00D94CA6" w:rsidRPr="009C5807" w:rsidRDefault="00D94CA6" w:rsidP="00BF46B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5656D60B" w14:textId="77777777" w:rsidR="00D94CA6" w:rsidRPr="009C5807" w:rsidRDefault="00D94CA6" w:rsidP="00BF46B4">
            <w:pPr>
              <w:pStyle w:val="TAC"/>
            </w:pPr>
            <w:r w:rsidRPr="009C5807">
              <w:t>-50</w:t>
            </w:r>
          </w:p>
        </w:tc>
      </w:tr>
      <w:tr w:rsidR="00D94CA6" w:rsidRPr="009C5807" w14:paraId="12E59BA8" w14:textId="77777777" w:rsidTr="00DF3064">
        <w:trPr>
          <w:jc w:val="center"/>
        </w:trPr>
        <w:tc>
          <w:tcPr>
            <w:tcW w:w="1036" w:type="dxa"/>
            <w:tcBorders>
              <w:left w:val="single" w:sz="4" w:space="0" w:color="auto"/>
              <w:right w:val="single" w:sz="6" w:space="0" w:color="auto"/>
            </w:tcBorders>
            <w:shd w:val="clear" w:color="auto" w:fill="auto"/>
            <w:vAlign w:val="center"/>
          </w:tcPr>
          <w:p w14:paraId="28235925" w14:textId="77777777" w:rsidR="00D94CA6" w:rsidRPr="009C5807" w:rsidRDefault="00D94CA6" w:rsidP="009C5807">
            <w:pPr>
              <w:pStyle w:val="TAC"/>
            </w:pPr>
          </w:p>
        </w:tc>
        <w:tc>
          <w:tcPr>
            <w:tcW w:w="1055" w:type="dxa"/>
            <w:tcBorders>
              <w:left w:val="single" w:sz="6" w:space="0" w:color="auto"/>
              <w:right w:val="single" w:sz="6" w:space="0" w:color="auto"/>
            </w:tcBorders>
            <w:shd w:val="clear" w:color="auto" w:fill="auto"/>
            <w:vAlign w:val="center"/>
          </w:tcPr>
          <w:p w14:paraId="6F1FB99B" w14:textId="77777777" w:rsidR="00D94CA6" w:rsidRPr="009C5807" w:rsidRDefault="00D94CA6" w:rsidP="009C5807">
            <w:pPr>
              <w:pStyle w:val="TAC"/>
            </w:pPr>
          </w:p>
        </w:tc>
        <w:tc>
          <w:tcPr>
            <w:tcW w:w="833" w:type="dxa"/>
            <w:tcBorders>
              <w:left w:val="single" w:sz="6" w:space="0" w:color="auto"/>
              <w:right w:val="single" w:sz="6" w:space="0" w:color="auto"/>
            </w:tcBorders>
            <w:shd w:val="clear" w:color="auto" w:fill="auto"/>
            <w:vAlign w:val="center"/>
          </w:tcPr>
          <w:p w14:paraId="2F204EFE" w14:textId="77777777" w:rsidR="00D94CA6" w:rsidRPr="009C5807" w:rsidRDefault="00D94CA6" w:rsidP="009C5807">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05833E78" w14:textId="77777777" w:rsidR="00D94CA6" w:rsidRPr="009C5807" w:rsidRDefault="00D94CA6" w:rsidP="009C5807">
            <w:pPr>
              <w:pStyle w:val="TAC"/>
              <w:rPr>
                <w:lang w:eastAsia="zh-CN"/>
              </w:rPr>
            </w:pPr>
            <w:r w:rsidRPr="009C5807">
              <w:rPr>
                <w:lang w:eastAsia="zh-CN"/>
              </w:rPr>
              <w:t>NR</w:t>
            </w:r>
            <w:r w:rsidRPr="009C5807">
              <w:t>_</w:t>
            </w:r>
            <w:r w:rsidRPr="009C5807">
              <w:rPr>
                <w:lang w:eastAsia="zh-CN"/>
              </w:rPr>
              <w:t>FDD_FR1_H</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17002D0E" w14:textId="77777777" w:rsidR="00D94CA6" w:rsidRPr="009C5807" w:rsidRDefault="00D94CA6" w:rsidP="009C5807">
            <w:pPr>
              <w:pStyle w:val="TAC"/>
            </w:pPr>
            <w:r w:rsidRPr="009C5807">
              <w:t>-117.5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7CCD330C" w14:textId="77777777" w:rsidR="00D94CA6" w:rsidRPr="009C5807" w:rsidRDefault="00D94CA6" w:rsidP="009C5807">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72C3FB4" w14:textId="77777777" w:rsidR="00D94CA6" w:rsidRPr="009C5807" w:rsidRDefault="00D94CA6" w:rsidP="009C580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794CF68" w14:textId="77777777" w:rsidR="00D94CA6" w:rsidRPr="009C5807" w:rsidRDefault="00D94CA6" w:rsidP="009C5807">
            <w:pPr>
              <w:pStyle w:val="TAC"/>
            </w:pPr>
            <w:r w:rsidRPr="009C5807">
              <w:t>-50</w:t>
            </w:r>
          </w:p>
        </w:tc>
      </w:tr>
      <w:tr w:rsidR="00D94CA6" w:rsidRPr="009C5807" w14:paraId="152DCE31"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0D912B77" w14:textId="77777777" w:rsidR="00D94CA6" w:rsidRPr="009C5807" w:rsidRDefault="00D94CA6" w:rsidP="00BF46B4">
            <w:pPr>
              <w:pStyle w:val="TAN"/>
            </w:pPr>
            <w:r w:rsidRPr="009C5807">
              <w:t>NOTE 1:</w:t>
            </w:r>
            <w:r w:rsidRPr="009C5807">
              <w:tab/>
              <w:t>Io is assumed to have constant EPRE across the bandwidth.</w:t>
            </w:r>
          </w:p>
          <w:p w14:paraId="153D26E3" w14:textId="77777777" w:rsidR="00D94CA6" w:rsidRPr="009C5807" w:rsidRDefault="00D94CA6" w:rsidP="00BF46B4">
            <w:pPr>
              <w:pStyle w:val="TAN"/>
              <w:rPr>
                <w:lang w:eastAsia="zh-CN"/>
              </w:rPr>
            </w:pPr>
            <w:r w:rsidRPr="009C5807">
              <w:t>NOTE 2:</w:t>
            </w:r>
            <w:r w:rsidRPr="009C5807">
              <w:tab/>
            </w:r>
            <w:r w:rsidRPr="009C5807">
              <w:rPr>
                <w:lang w:eastAsia="zh-CN"/>
              </w:rPr>
              <w:t xml:space="preserve">The parameter </w:t>
            </w:r>
            <w:r w:rsidRPr="009C5807">
              <w:t>SSB Ês/Iot</w:t>
            </w:r>
            <w:r w:rsidRPr="009C5807">
              <w:rPr>
                <w:lang w:eastAsia="zh-CN"/>
              </w:rPr>
              <w:t xml:space="preserve"> is the minimum SSB </w:t>
            </w:r>
            <w:r w:rsidRPr="009C5807">
              <w:t>Ês/Iot</w:t>
            </w:r>
            <w:r w:rsidRPr="009C5807">
              <w:rPr>
                <w:lang w:eastAsia="zh-CN"/>
              </w:rPr>
              <w:t xml:space="preserve"> of the pair of cells to which the requirement applies.</w:t>
            </w:r>
          </w:p>
          <w:p w14:paraId="66097DD9" w14:textId="77777777" w:rsidR="00D94CA6" w:rsidRPr="009C5807" w:rsidRDefault="00D94CA6" w:rsidP="00BF46B4">
            <w:pPr>
              <w:pStyle w:val="TAN"/>
            </w:pPr>
            <w:r w:rsidRPr="009C5807">
              <w:t>NOTE 3:</w:t>
            </w:r>
            <w:r w:rsidRPr="009C5807">
              <w:tab/>
              <w:t>NR operating band groups in FR1 are as defined in clause 3.5.2.</w:t>
            </w:r>
          </w:p>
        </w:tc>
      </w:tr>
    </w:tbl>
    <w:p w14:paraId="194BF7E8" w14:textId="77777777" w:rsidR="001F5A79" w:rsidRPr="009C5807" w:rsidRDefault="001F5A79" w:rsidP="001F5A79">
      <w:pPr>
        <w:rPr>
          <w:lang w:eastAsia="zh-CN"/>
        </w:rPr>
      </w:pPr>
    </w:p>
    <w:p w14:paraId="12724B69" w14:textId="2D2445CA" w:rsidR="001F5A79" w:rsidRPr="009C5807" w:rsidRDefault="001F5A79" w:rsidP="00967CF8">
      <w:pPr>
        <w:pStyle w:val="Heading4"/>
        <w:rPr>
          <w:lang w:val="en-US"/>
        </w:rPr>
      </w:pPr>
      <w:r w:rsidRPr="009C5807">
        <w:rPr>
          <w:lang w:val="en-US"/>
        </w:rPr>
        <w:t>1</w:t>
      </w:r>
      <w:r w:rsidR="00967CF8" w:rsidRPr="009C5807">
        <w:rPr>
          <w:lang w:val="en-US"/>
        </w:rPr>
        <w:t>0.1.4.2</w:t>
      </w:r>
      <w:r w:rsidRPr="009C5807">
        <w:rPr>
          <w:lang w:val="en-US"/>
        </w:rPr>
        <w:tab/>
        <w:t>Void</w:t>
      </w:r>
    </w:p>
    <w:p w14:paraId="29A5BAB5" w14:textId="77777777" w:rsidR="00BE0199" w:rsidRPr="00691C10" w:rsidRDefault="00BE0199" w:rsidP="00BE0199">
      <w:pPr>
        <w:jc w:val="both"/>
        <w:rPr>
          <w:rFonts w:cs="v4.2.0"/>
        </w:rPr>
      </w:pPr>
    </w:p>
    <w:p w14:paraId="5F37DAA5" w14:textId="77777777" w:rsidR="0058566D" w:rsidRDefault="0058566D" w:rsidP="0058566D">
      <w:pPr>
        <w:pStyle w:val="Heading4"/>
        <w:rPr>
          <w:lang w:val="en-US" w:eastAsia="zh-CN"/>
        </w:rPr>
      </w:pPr>
      <w:r>
        <w:rPr>
          <w:lang w:val="en-US" w:eastAsia="zh-CN"/>
        </w:rPr>
        <w:t>10.1.4.3</w:t>
      </w:r>
      <w:r>
        <w:rPr>
          <w:lang w:val="en-US" w:eastAsia="zh-CN"/>
        </w:rPr>
        <w:tab/>
      </w:r>
      <w:r>
        <w:rPr>
          <w:lang w:val="en-US" w:eastAsia="ko-KR"/>
        </w:rPr>
        <w:t>Inter-frequency CSI-RSRP accuracy requirements</w:t>
      </w:r>
    </w:p>
    <w:p w14:paraId="7CCBD763" w14:textId="77777777" w:rsidR="0058566D" w:rsidRDefault="0058566D" w:rsidP="0058566D">
      <w:pPr>
        <w:pStyle w:val="Heading5"/>
        <w:rPr>
          <w:lang w:val="en-US" w:eastAsia="zh-CN"/>
        </w:rPr>
      </w:pPr>
      <w:r>
        <w:rPr>
          <w:lang w:val="en-US" w:eastAsia="zh-CN"/>
        </w:rPr>
        <w:t>10.1.4.3.1</w:t>
      </w:r>
      <w:r>
        <w:rPr>
          <w:lang w:val="en-US" w:eastAsia="zh-CN"/>
        </w:rPr>
        <w:tab/>
      </w:r>
      <w:r>
        <w:rPr>
          <w:lang w:eastAsia="zh-CN"/>
        </w:rPr>
        <w:t>Absolute</w:t>
      </w:r>
      <w:r>
        <w:t xml:space="preserve"> Accuracy of </w:t>
      </w:r>
      <w:r>
        <w:rPr>
          <w:lang w:eastAsia="zh-CN"/>
        </w:rPr>
        <w:t>CSI-RSRP</w:t>
      </w:r>
      <w:r>
        <w:rPr>
          <w:lang w:val="en-US" w:eastAsia="zh-CN"/>
        </w:rPr>
        <w:t xml:space="preserve"> in FR1</w:t>
      </w:r>
    </w:p>
    <w:p w14:paraId="3312DCF0" w14:textId="77777777" w:rsidR="0058566D" w:rsidRDefault="0058566D" w:rsidP="0058566D">
      <w:pPr>
        <w:rPr>
          <w:rFonts w:cs="v4.2.0"/>
          <w:i/>
        </w:rPr>
      </w:pPr>
      <w:r>
        <w:rPr>
          <w:rFonts w:cs="v4.2.0"/>
        </w:rPr>
        <w:t>The requirements for absolute accuracy of</w:t>
      </w:r>
      <w:r>
        <w:rPr>
          <w:rFonts w:cs="v4.2.0"/>
          <w:lang w:eastAsia="zh-CN"/>
        </w:rPr>
        <w:t xml:space="preserve"> CSI-RSRP</w:t>
      </w:r>
      <w:r>
        <w:rPr>
          <w:rFonts w:cs="v4.2.0"/>
        </w:rPr>
        <w:t xml:space="preserve"> in this clause apply to a cell where the CSI-RS resources to be measured have the different center frequency as the CSI-RS resources indicated for measurement in the serving cell in FR1.</w:t>
      </w:r>
    </w:p>
    <w:p w14:paraId="75B2B348" w14:textId="77777777" w:rsidR="0058566D" w:rsidRDefault="0058566D" w:rsidP="0058566D">
      <w:pPr>
        <w:rPr>
          <w:rFonts w:cs="v4.2.0"/>
        </w:rPr>
      </w:pPr>
      <w:r>
        <w:rPr>
          <w:rFonts w:cs="v4.2.0"/>
        </w:rPr>
        <w:t xml:space="preserve">The accuracy requirements in Table </w:t>
      </w:r>
      <w:r>
        <w:rPr>
          <w:rFonts w:cs="v4.2.0"/>
          <w:lang w:eastAsia="zh-CN"/>
        </w:rPr>
        <w:t>10.1.4.3.1</w:t>
      </w:r>
      <w:r>
        <w:rPr>
          <w:rFonts w:cs="v4.2.0"/>
        </w:rPr>
        <w:t>-1 are valid under the following conditions:</w:t>
      </w:r>
    </w:p>
    <w:p w14:paraId="6394D806" w14:textId="77777777" w:rsidR="0058566D" w:rsidRDefault="0058566D" w:rsidP="0058566D">
      <w:pPr>
        <w:pStyle w:val="B10"/>
        <w:rPr>
          <w:lang w:eastAsia="zh-CN"/>
        </w:rPr>
      </w:pPr>
      <w:r>
        <w:t>-</w:t>
      </w:r>
      <w:r>
        <w:tab/>
        <w:t>Conditions defined in clause 7.3 of TS 38.101-1 [18] for reference sensitivity are fulfilled.</w:t>
      </w:r>
    </w:p>
    <w:p w14:paraId="60305C95" w14:textId="77777777" w:rsidR="0058566D" w:rsidRDefault="0058566D" w:rsidP="0058566D">
      <w:pPr>
        <w:pStyle w:val="B10"/>
      </w:pPr>
      <w:r>
        <w:t>-</w:t>
      </w:r>
      <w:r>
        <w:tab/>
        <w:t xml:space="preserve">Conditions for inter-frequency measurements are fulfilled according to Annex B.2.3 for a corresponding Band </w:t>
      </w:r>
      <w:r>
        <w:rPr>
          <w:rFonts w:cs="v4.2.0"/>
          <w:lang w:eastAsia="ko-KR"/>
        </w:rPr>
        <w:t>for each relevant SSB</w:t>
      </w:r>
      <w:r>
        <w:t>.</w:t>
      </w:r>
    </w:p>
    <w:p w14:paraId="3A5CAA61" w14:textId="77777777" w:rsidR="0058566D" w:rsidRDefault="0058566D" w:rsidP="0058566D">
      <w:pPr>
        <w:pStyle w:val="B10"/>
      </w:pPr>
      <w:r>
        <w:t>-</w:t>
      </w:r>
      <w:r>
        <w:tab/>
      </w:r>
      <w:r w:rsidRPr="00B25D3D">
        <w:t>Conditions for int</w:t>
      </w:r>
      <w:r>
        <w:t>er</w:t>
      </w:r>
      <w:r w:rsidRPr="00B25D3D">
        <w:t xml:space="preserve">-frequency measurements are fulfilled according </w:t>
      </w:r>
      <w:r w:rsidRPr="0075641C">
        <w:t>to Annex B.</w:t>
      </w:r>
      <w:r>
        <w:t>2</w:t>
      </w:r>
      <w:r w:rsidRPr="0075641C">
        <w:t>.</w:t>
      </w:r>
      <w:r>
        <w:t>9</w:t>
      </w:r>
      <w:r w:rsidRPr="00B25D3D">
        <w:t xml:space="preserve"> for a corresponding Band </w:t>
      </w:r>
      <w:r w:rsidRPr="00B25D3D">
        <w:rPr>
          <w:rFonts w:cs="v4.2.0"/>
          <w:lang w:eastAsia="ko-KR"/>
        </w:rPr>
        <w:t xml:space="preserve">for </w:t>
      </w:r>
      <w:r>
        <w:rPr>
          <w:rFonts w:cs="v4.2.0"/>
          <w:lang w:eastAsia="ko-KR"/>
        </w:rPr>
        <w:t>each relevant CSI-RS to be measured.</w:t>
      </w:r>
    </w:p>
    <w:p w14:paraId="10011472" w14:textId="77777777" w:rsidR="0058566D" w:rsidRPr="00F71E0F" w:rsidRDefault="0058566D" w:rsidP="0058566D">
      <w:pPr>
        <w:pStyle w:val="B10"/>
        <w:rPr>
          <w:lang w:eastAsia="zh-CN"/>
        </w:rPr>
      </w:pPr>
      <w:r>
        <w:rPr>
          <w:rFonts w:hint="eastAsia"/>
          <w:lang w:eastAsia="zh-CN"/>
        </w:rPr>
        <w:t>-</w:t>
      </w:r>
      <w:r>
        <w:tab/>
      </w:r>
      <w:r w:rsidRPr="006820F3">
        <w:t>The bandwidth of CSI-RS is 48 PRBs and the density is 3. The performance with larger bandwidth of CSI-RS is equal to or better than the accuracy requirements in Table 10.1.</w:t>
      </w:r>
      <w:r>
        <w:rPr>
          <w:rFonts w:hint="eastAsia"/>
          <w:lang w:eastAsia="zh-CN"/>
        </w:rPr>
        <w:t>4</w:t>
      </w:r>
      <w:r w:rsidRPr="006820F3">
        <w:t>.</w:t>
      </w:r>
      <w:r>
        <w:rPr>
          <w:rFonts w:hint="eastAsia"/>
          <w:lang w:eastAsia="zh-CN"/>
        </w:rPr>
        <w:t>3</w:t>
      </w:r>
      <w:r w:rsidRPr="006820F3">
        <w:t>.1-1.</w:t>
      </w:r>
      <w:r>
        <w:t xml:space="preserve"> </w:t>
      </w:r>
    </w:p>
    <w:p w14:paraId="147A1EA7" w14:textId="6DD6AA60" w:rsidR="0058566D" w:rsidRDefault="0058566D" w:rsidP="0058566D">
      <w:pPr>
        <w:pStyle w:val="B10"/>
      </w:pPr>
      <w:r>
        <w:t>-</w:t>
      </w:r>
      <w:r>
        <w:tab/>
      </w:r>
      <w:r>
        <w:rPr>
          <w:rFonts w:hint="eastAsia"/>
          <w:lang w:eastAsia="zh-CN"/>
        </w:rPr>
        <w:t>The</w:t>
      </w:r>
      <w:r w:rsidRPr="003A519B">
        <w:t xml:space="preserve"> timing offset between the reference measurement timing and the target CSI-RS in one layer </w:t>
      </w:r>
      <w:r>
        <w:t xml:space="preserve">is </w:t>
      </w:r>
      <w:r w:rsidRPr="003A519B">
        <w:t>no larger than CP</w:t>
      </w:r>
      <w:r>
        <w:t>.</w:t>
      </w:r>
    </w:p>
    <w:p w14:paraId="5F53126B" w14:textId="49ADDE64" w:rsidR="008935F7" w:rsidRPr="007213A3" w:rsidRDefault="008935F7" w:rsidP="00AB368A">
      <w:pPr>
        <w:pStyle w:val="NO"/>
        <w:rPr>
          <w:lang w:eastAsia="zh-CN"/>
        </w:rPr>
      </w:pPr>
      <w:r w:rsidRPr="001D14D7">
        <w:rPr>
          <w:lang w:eastAsia="zh-CN"/>
        </w:rPr>
        <w:t>Note:</w:t>
      </w:r>
      <w:r w:rsidR="00AB368A">
        <w:rPr>
          <w:lang w:eastAsia="zh-CN"/>
        </w:rPr>
        <w:tab/>
      </w:r>
      <w:r w:rsidRPr="001D14D7">
        <w:rPr>
          <w:lang w:eastAsia="zh-CN"/>
        </w:rPr>
        <w:t xml:space="preserve">The reference measurement timing for one layer for inter-frequency measurement is </w:t>
      </w:r>
      <w:r w:rsidRPr="001D14D7">
        <w:rPr>
          <w:rFonts w:hint="eastAsia"/>
          <w:lang w:eastAsia="zh-CN"/>
        </w:rPr>
        <w:t>u</w:t>
      </w:r>
      <w:r w:rsidRPr="001D14D7">
        <w:rPr>
          <w:lang w:eastAsia="zh-CN"/>
        </w:rPr>
        <w:t>p to UE implementation and shall be based on the timing of one of the target cells.</w:t>
      </w:r>
    </w:p>
    <w:p w14:paraId="7433DC1B" w14:textId="77777777" w:rsidR="0058566D" w:rsidRDefault="0058566D" w:rsidP="0058566D">
      <w:pPr>
        <w:pStyle w:val="TH"/>
      </w:pPr>
      <w:r>
        <w:t xml:space="preserve">Table </w:t>
      </w:r>
      <w:r>
        <w:rPr>
          <w:lang w:eastAsia="zh-CN"/>
        </w:rPr>
        <w:t>10.1.4.3.1-1</w:t>
      </w:r>
      <w:r>
        <w:t xml:space="preserve">: </w:t>
      </w:r>
      <w:r>
        <w:rPr>
          <w:lang w:eastAsia="zh-CN"/>
        </w:rPr>
        <w:t>CSI-</w:t>
      </w:r>
      <w:r>
        <w:t>RSRP Inter frequency Absolute accuracy in FR1</w:t>
      </w:r>
    </w:p>
    <w:tbl>
      <w:tblPr>
        <w:tblW w:w="10172" w:type="dxa"/>
        <w:jc w:val="center"/>
        <w:tblLook w:val="01E0" w:firstRow="1" w:lastRow="1" w:firstColumn="1" w:lastColumn="1" w:noHBand="0" w:noVBand="0"/>
      </w:tblPr>
      <w:tblGrid>
        <w:gridCol w:w="1031"/>
        <w:gridCol w:w="1043"/>
        <w:gridCol w:w="780"/>
        <w:gridCol w:w="1957"/>
        <w:gridCol w:w="827"/>
        <w:gridCol w:w="827"/>
        <w:gridCol w:w="827"/>
        <w:gridCol w:w="1440"/>
        <w:gridCol w:w="1440"/>
      </w:tblGrid>
      <w:tr w:rsidR="0058566D" w14:paraId="2AE16F1E" w14:textId="77777777" w:rsidTr="008935F7">
        <w:trPr>
          <w:jc w:val="center"/>
        </w:trPr>
        <w:tc>
          <w:tcPr>
            <w:tcW w:w="2074" w:type="dxa"/>
            <w:gridSpan w:val="2"/>
            <w:tcBorders>
              <w:top w:val="single" w:sz="4" w:space="0" w:color="auto"/>
              <w:left w:val="single" w:sz="4" w:space="0" w:color="auto"/>
              <w:bottom w:val="single" w:sz="6" w:space="0" w:color="auto"/>
              <w:right w:val="single" w:sz="6" w:space="0" w:color="auto"/>
            </w:tcBorders>
            <w:vAlign w:val="center"/>
            <w:hideMark/>
          </w:tcPr>
          <w:p w14:paraId="048FF34B" w14:textId="77777777" w:rsidR="0058566D" w:rsidRDefault="0058566D" w:rsidP="008935F7">
            <w:pPr>
              <w:pStyle w:val="TAH"/>
            </w:pPr>
            <w:r>
              <w:t>Accuracy</w:t>
            </w:r>
          </w:p>
        </w:tc>
        <w:tc>
          <w:tcPr>
            <w:tcW w:w="8098" w:type="dxa"/>
            <w:gridSpan w:val="7"/>
            <w:tcBorders>
              <w:top w:val="single" w:sz="4" w:space="0" w:color="auto"/>
              <w:left w:val="single" w:sz="6" w:space="0" w:color="auto"/>
              <w:bottom w:val="single" w:sz="6" w:space="0" w:color="auto"/>
              <w:right w:val="single" w:sz="4" w:space="0" w:color="auto"/>
            </w:tcBorders>
            <w:vAlign w:val="center"/>
            <w:hideMark/>
          </w:tcPr>
          <w:p w14:paraId="217544E9" w14:textId="77777777" w:rsidR="0058566D" w:rsidRDefault="0058566D" w:rsidP="008935F7">
            <w:pPr>
              <w:pStyle w:val="TAH"/>
            </w:pPr>
            <w:r>
              <w:t>Conditions</w:t>
            </w:r>
          </w:p>
        </w:tc>
      </w:tr>
      <w:tr w:rsidR="0058566D" w14:paraId="2AEFC45E" w14:textId="77777777" w:rsidTr="008935F7">
        <w:trPr>
          <w:jc w:val="center"/>
        </w:trPr>
        <w:tc>
          <w:tcPr>
            <w:tcW w:w="1031" w:type="dxa"/>
            <w:tcBorders>
              <w:top w:val="single" w:sz="6" w:space="0" w:color="auto"/>
              <w:left w:val="single" w:sz="4" w:space="0" w:color="auto"/>
              <w:bottom w:val="nil"/>
              <w:right w:val="single" w:sz="6" w:space="0" w:color="auto"/>
            </w:tcBorders>
            <w:vAlign w:val="center"/>
            <w:hideMark/>
          </w:tcPr>
          <w:p w14:paraId="2570AEE3" w14:textId="77777777" w:rsidR="0058566D" w:rsidRDefault="0058566D" w:rsidP="008935F7">
            <w:pPr>
              <w:pStyle w:val="TAH"/>
            </w:pPr>
            <w:r>
              <w:t>Normal condition</w:t>
            </w:r>
          </w:p>
        </w:tc>
        <w:tc>
          <w:tcPr>
            <w:tcW w:w="1043" w:type="dxa"/>
            <w:tcBorders>
              <w:top w:val="single" w:sz="6" w:space="0" w:color="auto"/>
              <w:left w:val="single" w:sz="6" w:space="0" w:color="auto"/>
              <w:bottom w:val="nil"/>
              <w:right w:val="single" w:sz="6" w:space="0" w:color="auto"/>
            </w:tcBorders>
            <w:vAlign w:val="center"/>
            <w:hideMark/>
          </w:tcPr>
          <w:p w14:paraId="6EF1FDE6" w14:textId="77777777" w:rsidR="0058566D" w:rsidRDefault="0058566D" w:rsidP="008935F7">
            <w:pPr>
              <w:pStyle w:val="TAH"/>
            </w:pPr>
            <w:r>
              <w:t>Extreme condition</w:t>
            </w:r>
          </w:p>
        </w:tc>
        <w:tc>
          <w:tcPr>
            <w:tcW w:w="780" w:type="dxa"/>
            <w:tcBorders>
              <w:top w:val="single" w:sz="6" w:space="0" w:color="auto"/>
              <w:left w:val="single" w:sz="6" w:space="0" w:color="auto"/>
              <w:bottom w:val="nil"/>
              <w:right w:val="single" w:sz="6" w:space="0" w:color="auto"/>
            </w:tcBorders>
            <w:vAlign w:val="center"/>
            <w:hideMark/>
          </w:tcPr>
          <w:p w14:paraId="54A64CAD" w14:textId="77777777" w:rsidR="0058566D" w:rsidRDefault="0058566D" w:rsidP="008935F7">
            <w:pPr>
              <w:pStyle w:val="TAH"/>
            </w:pPr>
            <w:r>
              <w:t>CSI-RS Ês/Iot</w:t>
            </w:r>
          </w:p>
        </w:tc>
        <w:tc>
          <w:tcPr>
            <w:tcW w:w="7318" w:type="dxa"/>
            <w:gridSpan w:val="6"/>
            <w:tcBorders>
              <w:top w:val="single" w:sz="6" w:space="0" w:color="auto"/>
              <w:left w:val="single" w:sz="6" w:space="0" w:color="auto"/>
              <w:bottom w:val="single" w:sz="6" w:space="0" w:color="auto"/>
              <w:right w:val="single" w:sz="4" w:space="0" w:color="auto"/>
            </w:tcBorders>
            <w:vAlign w:val="center"/>
            <w:hideMark/>
          </w:tcPr>
          <w:p w14:paraId="0AD866E3" w14:textId="77777777" w:rsidR="0058566D" w:rsidRDefault="0058566D" w:rsidP="008935F7">
            <w:pPr>
              <w:pStyle w:val="TAH"/>
            </w:pPr>
            <w:r>
              <w:t>Io</w:t>
            </w:r>
            <w:r>
              <w:rPr>
                <w:vertAlign w:val="superscript"/>
              </w:rPr>
              <w:t xml:space="preserve"> Note 1</w:t>
            </w:r>
            <w:r>
              <w:t xml:space="preserve"> range</w:t>
            </w:r>
          </w:p>
        </w:tc>
      </w:tr>
      <w:tr w:rsidR="0058566D" w14:paraId="46E799CA" w14:textId="77777777" w:rsidTr="008935F7">
        <w:trPr>
          <w:jc w:val="center"/>
        </w:trPr>
        <w:tc>
          <w:tcPr>
            <w:tcW w:w="1031" w:type="dxa"/>
            <w:tcBorders>
              <w:top w:val="nil"/>
              <w:left w:val="single" w:sz="4" w:space="0" w:color="auto"/>
              <w:bottom w:val="single" w:sz="6" w:space="0" w:color="auto"/>
              <w:right w:val="single" w:sz="6" w:space="0" w:color="auto"/>
            </w:tcBorders>
            <w:vAlign w:val="center"/>
          </w:tcPr>
          <w:p w14:paraId="4B4D22F0" w14:textId="77777777" w:rsidR="0058566D" w:rsidRDefault="0058566D" w:rsidP="008935F7">
            <w:pPr>
              <w:pStyle w:val="TAH"/>
            </w:pPr>
          </w:p>
        </w:tc>
        <w:tc>
          <w:tcPr>
            <w:tcW w:w="1043" w:type="dxa"/>
            <w:tcBorders>
              <w:top w:val="nil"/>
              <w:left w:val="single" w:sz="6" w:space="0" w:color="auto"/>
              <w:bottom w:val="single" w:sz="6" w:space="0" w:color="auto"/>
              <w:right w:val="single" w:sz="6" w:space="0" w:color="auto"/>
            </w:tcBorders>
            <w:vAlign w:val="center"/>
          </w:tcPr>
          <w:p w14:paraId="69423464" w14:textId="77777777" w:rsidR="0058566D" w:rsidRDefault="0058566D" w:rsidP="008935F7">
            <w:pPr>
              <w:pStyle w:val="TAH"/>
            </w:pPr>
          </w:p>
        </w:tc>
        <w:tc>
          <w:tcPr>
            <w:tcW w:w="780" w:type="dxa"/>
            <w:tcBorders>
              <w:top w:val="nil"/>
              <w:left w:val="single" w:sz="6" w:space="0" w:color="auto"/>
              <w:bottom w:val="single" w:sz="6" w:space="0" w:color="auto"/>
              <w:right w:val="single" w:sz="6" w:space="0" w:color="auto"/>
            </w:tcBorders>
            <w:vAlign w:val="center"/>
          </w:tcPr>
          <w:p w14:paraId="2BE0CD0D" w14:textId="77777777" w:rsidR="0058566D" w:rsidRDefault="0058566D" w:rsidP="008935F7">
            <w:pPr>
              <w:pStyle w:val="TAH"/>
            </w:pPr>
          </w:p>
        </w:tc>
        <w:tc>
          <w:tcPr>
            <w:tcW w:w="1957" w:type="dxa"/>
            <w:tcBorders>
              <w:top w:val="single" w:sz="6" w:space="0" w:color="auto"/>
              <w:left w:val="single" w:sz="6" w:space="0" w:color="auto"/>
              <w:bottom w:val="single" w:sz="6" w:space="0" w:color="auto"/>
              <w:right w:val="single" w:sz="4" w:space="0" w:color="auto"/>
            </w:tcBorders>
            <w:vAlign w:val="center"/>
            <w:hideMark/>
          </w:tcPr>
          <w:p w14:paraId="6A2734B3" w14:textId="77777777" w:rsidR="0058566D" w:rsidRDefault="0058566D" w:rsidP="008935F7">
            <w:pPr>
              <w:pStyle w:val="TAH"/>
            </w:pPr>
            <w:r>
              <w:t>NR operating band groups</w:t>
            </w:r>
            <w:r>
              <w:rPr>
                <w:vertAlign w:val="superscript"/>
              </w:rPr>
              <w:t xml:space="preserve"> Note 2</w:t>
            </w:r>
          </w:p>
        </w:tc>
        <w:tc>
          <w:tcPr>
            <w:tcW w:w="3921" w:type="dxa"/>
            <w:gridSpan w:val="4"/>
            <w:tcBorders>
              <w:top w:val="single" w:sz="4" w:space="0" w:color="auto"/>
              <w:left w:val="single" w:sz="4" w:space="0" w:color="auto"/>
              <w:bottom w:val="single" w:sz="6" w:space="0" w:color="auto"/>
              <w:right w:val="single" w:sz="6" w:space="0" w:color="auto"/>
            </w:tcBorders>
            <w:vAlign w:val="center"/>
            <w:hideMark/>
          </w:tcPr>
          <w:p w14:paraId="7D1DB414" w14:textId="77777777" w:rsidR="0058566D" w:rsidRDefault="0058566D" w:rsidP="008935F7">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77926989" w14:textId="77777777" w:rsidR="0058566D" w:rsidRDefault="0058566D" w:rsidP="008935F7">
            <w:pPr>
              <w:pStyle w:val="TAH"/>
            </w:pPr>
            <w:r>
              <w:t>Maximum Io</w:t>
            </w:r>
          </w:p>
        </w:tc>
      </w:tr>
      <w:tr w:rsidR="0058566D" w14:paraId="376B85B4" w14:textId="77777777" w:rsidTr="008935F7">
        <w:trPr>
          <w:trHeight w:val="308"/>
          <w:jc w:val="center"/>
        </w:trPr>
        <w:tc>
          <w:tcPr>
            <w:tcW w:w="1031" w:type="dxa"/>
            <w:tcBorders>
              <w:top w:val="single" w:sz="6" w:space="0" w:color="auto"/>
              <w:left w:val="single" w:sz="4" w:space="0" w:color="auto"/>
              <w:bottom w:val="nil"/>
              <w:right w:val="single" w:sz="6" w:space="0" w:color="auto"/>
            </w:tcBorders>
            <w:vAlign w:val="center"/>
            <w:hideMark/>
          </w:tcPr>
          <w:p w14:paraId="3E03BF50" w14:textId="77777777" w:rsidR="0058566D" w:rsidRDefault="0058566D" w:rsidP="008935F7">
            <w:pPr>
              <w:pStyle w:val="TAH"/>
            </w:pPr>
            <w:r>
              <w:t>dB</w:t>
            </w:r>
          </w:p>
        </w:tc>
        <w:tc>
          <w:tcPr>
            <w:tcW w:w="1043" w:type="dxa"/>
            <w:tcBorders>
              <w:top w:val="single" w:sz="6" w:space="0" w:color="auto"/>
              <w:left w:val="single" w:sz="6" w:space="0" w:color="auto"/>
              <w:bottom w:val="nil"/>
              <w:right w:val="single" w:sz="6" w:space="0" w:color="auto"/>
            </w:tcBorders>
            <w:vAlign w:val="center"/>
            <w:hideMark/>
          </w:tcPr>
          <w:p w14:paraId="30CF2D3D" w14:textId="77777777" w:rsidR="0058566D" w:rsidRDefault="0058566D" w:rsidP="008935F7">
            <w:pPr>
              <w:pStyle w:val="TAH"/>
            </w:pPr>
            <w:r>
              <w:t>dB</w:t>
            </w:r>
          </w:p>
        </w:tc>
        <w:tc>
          <w:tcPr>
            <w:tcW w:w="780" w:type="dxa"/>
            <w:tcBorders>
              <w:top w:val="single" w:sz="6" w:space="0" w:color="auto"/>
              <w:left w:val="single" w:sz="6" w:space="0" w:color="auto"/>
              <w:bottom w:val="nil"/>
              <w:right w:val="single" w:sz="6" w:space="0" w:color="auto"/>
            </w:tcBorders>
            <w:vAlign w:val="center"/>
            <w:hideMark/>
          </w:tcPr>
          <w:p w14:paraId="17075A73" w14:textId="77777777" w:rsidR="0058566D" w:rsidRDefault="0058566D" w:rsidP="008935F7">
            <w:pPr>
              <w:pStyle w:val="TAH"/>
            </w:pPr>
            <w:r>
              <w:t>dB</w:t>
            </w:r>
          </w:p>
        </w:tc>
        <w:tc>
          <w:tcPr>
            <w:tcW w:w="1957" w:type="dxa"/>
            <w:tcBorders>
              <w:top w:val="single" w:sz="6" w:space="0" w:color="auto"/>
              <w:left w:val="single" w:sz="6" w:space="0" w:color="auto"/>
              <w:bottom w:val="nil"/>
              <w:right w:val="single" w:sz="4" w:space="0" w:color="auto"/>
            </w:tcBorders>
            <w:vAlign w:val="center"/>
          </w:tcPr>
          <w:p w14:paraId="1025A6BA" w14:textId="77777777" w:rsidR="0058566D" w:rsidRDefault="0058566D" w:rsidP="008935F7">
            <w:pPr>
              <w:pStyle w:val="TAH"/>
            </w:pPr>
          </w:p>
        </w:tc>
        <w:tc>
          <w:tcPr>
            <w:tcW w:w="2481" w:type="dxa"/>
            <w:gridSpan w:val="3"/>
            <w:tcBorders>
              <w:top w:val="single" w:sz="6" w:space="0" w:color="auto"/>
              <w:left w:val="single" w:sz="4" w:space="0" w:color="auto"/>
              <w:bottom w:val="single" w:sz="6" w:space="0" w:color="auto"/>
              <w:right w:val="single" w:sz="6" w:space="0" w:color="auto"/>
            </w:tcBorders>
            <w:vAlign w:val="center"/>
            <w:hideMark/>
          </w:tcPr>
          <w:p w14:paraId="0F79E2D9" w14:textId="77777777" w:rsidR="0058566D" w:rsidRDefault="0058566D" w:rsidP="008935F7">
            <w:pPr>
              <w:pStyle w:val="TAH"/>
            </w:pPr>
            <w:r>
              <w:rPr>
                <w:rFonts w:cs="Arial"/>
              </w:rPr>
              <w:t xml:space="preserve">dBm / </w:t>
            </w:r>
            <w:r>
              <w:t>SCS</w:t>
            </w:r>
            <w:r>
              <w:rPr>
                <w:vertAlign w:val="subscript"/>
              </w:rPr>
              <w:t>CSI-RS</w:t>
            </w:r>
          </w:p>
        </w:tc>
        <w:tc>
          <w:tcPr>
            <w:tcW w:w="1440" w:type="dxa"/>
            <w:tcBorders>
              <w:top w:val="single" w:sz="6" w:space="0" w:color="auto"/>
              <w:left w:val="single" w:sz="6" w:space="0" w:color="auto"/>
              <w:bottom w:val="nil"/>
              <w:right w:val="single" w:sz="6" w:space="0" w:color="auto"/>
            </w:tcBorders>
            <w:vAlign w:val="center"/>
            <w:hideMark/>
          </w:tcPr>
          <w:p w14:paraId="520057ED" w14:textId="77777777" w:rsidR="0058566D" w:rsidRDefault="0058566D" w:rsidP="008935F7">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723A08AB" w14:textId="77777777" w:rsidR="0058566D" w:rsidRDefault="0058566D" w:rsidP="008935F7">
            <w:pPr>
              <w:pStyle w:val="TAH"/>
            </w:pPr>
            <w:r>
              <w:t>dBm/BW</w:t>
            </w:r>
            <w:r>
              <w:rPr>
                <w:vertAlign w:val="subscript"/>
              </w:rPr>
              <w:t>Channel</w:t>
            </w:r>
          </w:p>
        </w:tc>
      </w:tr>
      <w:tr w:rsidR="0058566D" w14:paraId="12C8E306" w14:textId="77777777" w:rsidTr="008935F7">
        <w:trPr>
          <w:trHeight w:val="307"/>
          <w:jc w:val="center"/>
        </w:trPr>
        <w:tc>
          <w:tcPr>
            <w:tcW w:w="1031" w:type="dxa"/>
            <w:tcBorders>
              <w:top w:val="nil"/>
              <w:left w:val="single" w:sz="4" w:space="0" w:color="auto"/>
              <w:bottom w:val="single" w:sz="6" w:space="0" w:color="auto"/>
              <w:right w:val="single" w:sz="6" w:space="0" w:color="auto"/>
            </w:tcBorders>
            <w:vAlign w:val="center"/>
          </w:tcPr>
          <w:p w14:paraId="32F50E5A" w14:textId="77777777" w:rsidR="0058566D" w:rsidRDefault="0058566D" w:rsidP="008935F7">
            <w:pPr>
              <w:pStyle w:val="TAH"/>
            </w:pPr>
          </w:p>
        </w:tc>
        <w:tc>
          <w:tcPr>
            <w:tcW w:w="1043" w:type="dxa"/>
            <w:tcBorders>
              <w:top w:val="nil"/>
              <w:left w:val="single" w:sz="6" w:space="0" w:color="auto"/>
              <w:bottom w:val="single" w:sz="6" w:space="0" w:color="auto"/>
              <w:right w:val="single" w:sz="6" w:space="0" w:color="auto"/>
            </w:tcBorders>
            <w:vAlign w:val="center"/>
          </w:tcPr>
          <w:p w14:paraId="7E3462DD" w14:textId="77777777" w:rsidR="0058566D" w:rsidRDefault="0058566D" w:rsidP="008935F7">
            <w:pPr>
              <w:pStyle w:val="TAH"/>
            </w:pPr>
          </w:p>
        </w:tc>
        <w:tc>
          <w:tcPr>
            <w:tcW w:w="780" w:type="dxa"/>
            <w:tcBorders>
              <w:top w:val="nil"/>
              <w:left w:val="single" w:sz="6" w:space="0" w:color="auto"/>
              <w:bottom w:val="single" w:sz="6" w:space="0" w:color="auto"/>
              <w:right w:val="single" w:sz="6" w:space="0" w:color="auto"/>
            </w:tcBorders>
            <w:vAlign w:val="center"/>
          </w:tcPr>
          <w:p w14:paraId="3AC1C620" w14:textId="77777777" w:rsidR="0058566D" w:rsidRDefault="0058566D" w:rsidP="008935F7">
            <w:pPr>
              <w:pStyle w:val="TAH"/>
            </w:pPr>
          </w:p>
        </w:tc>
        <w:tc>
          <w:tcPr>
            <w:tcW w:w="1957" w:type="dxa"/>
            <w:tcBorders>
              <w:top w:val="nil"/>
              <w:left w:val="single" w:sz="6" w:space="0" w:color="auto"/>
              <w:bottom w:val="single" w:sz="6" w:space="0" w:color="auto"/>
              <w:right w:val="single" w:sz="4" w:space="0" w:color="auto"/>
            </w:tcBorders>
            <w:vAlign w:val="center"/>
          </w:tcPr>
          <w:p w14:paraId="36DA8D9F" w14:textId="77777777" w:rsidR="0058566D" w:rsidRDefault="0058566D" w:rsidP="008935F7">
            <w:pPr>
              <w:pStyle w:val="TAH"/>
            </w:pPr>
          </w:p>
        </w:tc>
        <w:tc>
          <w:tcPr>
            <w:tcW w:w="827" w:type="dxa"/>
            <w:tcBorders>
              <w:top w:val="single" w:sz="6" w:space="0" w:color="auto"/>
              <w:left w:val="single" w:sz="4" w:space="0" w:color="auto"/>
              <w:bottom w:val="single" w:sz="6" w:space="0" w:color="auto"/>
              <w:right w:val="single" w:sz="6" w:space="0" w:color="auto"/>
            </w:tcBorders>
            <w:vAlign w:val="center"/>
            <w:hideMark/>
          </w:tcPr>
          <w:p w14:paraId="7977D7FD" w14:textId="77777777" w:rsidR="0058566D" w:rsidRDefault="0058566D" w:rsidP="008935F7">
            <w:pPr>
              <w:pStyle w:val="TAH"/>
              <w:rPr>
                <w:rFonts w:cs="Arial"/>
              </w:rPr>
            </w:pPr>
            <w:r>
              <w:t>SCS</w:t>
            </w:r>
            <w:r>
              <w:rPr>
                <w:vertAlign w:val="subscript"/>
              </w:rPr>
              <w:t>CSI-RS</w:t>
            </w:r>
            <w:r>
              <w:rPr>
                <w:rFonts w:cs="Arial"/>
              </w:rPr>
              <w:t xml:space="preserve"> = 15 kHz</w:t>
            </w:r>
          </w:p>
        </w:tc>
        <w:tc>
          <w:tcPr>
            <w:tcW w:w="827" w:type="dxa"/>
            <w:tcBorders>
              <w:top w:val="single" w:sz="6" w:space="0" w:color="auto"/>
              <w:left w:val="single" w:sz="4" w:space="0" w:color="auto"/>
              <w:bottom w:val="single" w:sz="6" w:space="0" w:color="auto"/>
              <w:right w:val="single" w:sz="6" w:space="0" w:color="auto"/>
            </w:tcBorders>
            <w:vAlign w:val="center"/>
            <w:hideMark/>
          </w:tcPr>
          <w:p w14:paraId="05A5ECD7" w14:textId="77777777" w:rsidR="0058566D" w:rsidRDefault="0058566D" w:rsidP="008935F7">
            <w:pPr>
              <w:pStyle w:val="TAH"/>
              <w:rPr>
                <w:rFonts w:cs="Arial"/>
              </w:rPr>
            </w:pPr>
            <w:r>
              <w:t>SCS</w:t>
            </w:r>
            <w:r>
              <w:rPr>
                <w:vertAlign w:val="subscript"/>
              </w:rPr>
              <w:t>CSI-RS</w:t>
            </w:r>
            <w:r>
              <w:rPr>
                <w:rFonts w:cs="Arial"/>
              </w:rPr>
              <w:t xml:space="preserve"> = 30 kHz</w:t>
            </w:r>
          </w:p>
        </w:tc>
        <w:tc>
          <w:tcPr>
            <w:tcW w:w="827" w:type="dxa"/>
            <w:tcBorders>
              <w:top w:val="single" w:sz="6" w:space="0" w:color="auto"/>
              <w:left w:val="single" w:sz="4" w:space="0" w:color="auto"/>
              <w:bottom w:val="single" w:sz="6" w:space="0" w:color="auto"/>
              <w:right w:val="single" w:sz="6" w:space="0" w:color="auto"/>
            </w:tcBorders>
            <w:vAlign w:val="center"/>
            <w:hideMark/>
          </w:tcPr>
          <w:p w14:paraId="497BA52F" w14:textId="77777777" w:rsidR="0058566D" w:rsidRDefault="0058566D" w:rsidP="008935F7">
            <w:pPr>
              <w:pStyle w:val="TAH"/>
              <w:rPr>
                <w:rFonts w:cs="Arial"/>
              </w:rPr>
            </w:pPr>
            <w:r>
              <w:t>SCS</w:t>
            </w:r>
            <w:r>
              <w:rPr>
                <w:vertAlign w:val="subscript"/>
              </w:rPr>
              <w:t>CSI-RS</w:t>
            </w:r>
            <w:r>
              <w:rPr>
                <w:rFonts w:cs="Arial"/>
              </w:rPr>
              <w:t xml:space="preserve"> = 60 kHz</w:t>
            </w:r>
          </w:p>
        </w:tc>
        <w:tc>
          <w:tcPr>
            <w:tcW w:w="1440" w:type="dxa"/>
            <w:tcBorders>
              <w:top w:val="nil"/>
              <w:left w:val="single" w:sz="6" w:space="0" w:color="auto"/>
              <w:bottom w:val="single" w:sz="6" w:space="0" w:color="auto"/>
              <w:right w:val="single" w:sz="6" w:space="0" w:color="auto"/>
            </w:tcBorders>
            <w:vAlign w:val="center"/>
          </w:tcPr>
          <w:p w14:paraId="277CD4F1" w14:textId="77777777" w:rsidR="0058566D" w:rsidRDefault="0058566D" w:rsidP="008935F7">
            <w:pPr>
              <w:pStyle w:val="TAH"/>
            </w:pPr>
          </w:p>
        </w:tc>
        <w:tc>
          <w:tcPr>
            <w:tcW w:w="1440" w:type="dxa"/>
            <w:tcBorders>
              <w:top w:val="nil"/>
              <w:left w:val="single" w:sz="6" w:space="0" w:color="auto"/>
              <w:bottom w:val="single" w:sz="6" w:space="0" w:color="auto"/>
              <w:right w:val="single" w:sz="4" w:space="0" w:color="auto"/>
            </w:tcBorders>
            <w:vAlign w:val="center"/>
          </w:tcPr>
          <w:p w14:paraId="7B01E55C" w14:textId="77777777" w:rsidR="0058566D" w:rsidRDefault="0058566D" w:rsidP="008935F7">
            <w:pPr>
              <w:pStyle w:val="TAH"/>
            </w:pPr>
          </w:p>
        </w:tc>
      </w:tr>
      <w:tr w:rsidR="0058566D" w14:paraId="50151DAF" w14:textId="77777777" w:rsidTr="008935F7">
        <w:trPr>
          <w:jc w:val="center"/>
        </w:trPr>
        <w:tc>
          <w:tcPr>
            <w:tcW w:w="1031" w:type="dxa"/>
            <w:tcBorders>
              <w:top w:val="single" w:sz="6" w:space="0" w:color="auto"/>
              <w:left w:val="single" w:sz="4" w:space="0" w:color="auto"/>
              <w:bottom w:val="nil"/>
              <w:right w:val="single" w:sz="6" w:space="0" w:color="auto"/>
            </w:tcBorders>
          </w:tcPr>
          <w:p w14:paraId="3FBA2689" w14:textId="77777777" w:rsidR="0058566D" w:rsidRDefault="0058566D" w:rsidP="008935F7">
            <w:pPr>
              <w:pStyle w:val="TAC"/>
            </w:pPr>
          </w:p>
        </w:tc>
        <w:tc>
          <w:tcPr>
            <w:tcW w:w="1043" w:type="dxa"/>
            <w:tcBorders>
              <w:top w:val="single" w:sz="6" w:space="0" w:color="auto"/>
              <w:left w:val="single" w:sz="6" w:space="0" w:color="auto"/>
              <w:bottom w:val="nil"/>
              <w:right w:val="single" w:sz="6" w:space="0" w:color="auto"/>
            </w:tcBorders>
          </w:tcPr>
          <w:p w14:paraId="636528F0" w14:textId="77777777" w:rsidR="0058566D" w:rsidRDefault="0058566D" w:rsidP="008935F7">
            <w:pPr>
              <w:pStyle w:val="TAC"/>
            </w:pPr>
          </w:p>
        </w:tc>
        <w:tc>
          <w:tcPr>
            <w:tcW w:w="780" w:type="dxa"/>
            <w:tcBorders>
              <w:top w:val="single" w:sz="6" w:space="0" w:color="auto"/>
              <w:left w:val="single" w:sz="6" w:space="0" w:color="auto"/>
              <w:bottom w:val="nil"/>
              <w:right w:val="single" w:sz="6" w:space="0" w:color="auto"/>
            </w:tcBorders>
          </w:tcPr>
          <w:p w14:paraId="3AE070DB" w14:textId="77777777" w:rsidR="0058566D" w:rsidRDefault="0058566D" w:rsidP="008935F7">
            <w:pPr>
              <w:pStyle w:val="TAC"/>
            </w:pPr>
          </w:p>
        </w:tc>
        <w:tc>
          <w:tcPr>
            <w:tcW w:w="1957" w:type="dxa"/>
            <w:tcBorders>
              <w:top w:val="single" w:sz="6" w:space="0" w:color="auto"/>
              <w:left w:val="single" w:sz="6" w:space="0" w:color="auto"/>
              <w:bottom w:val="single" w:sz="6" w:space="0" w:color="auto"/>
              <w:right w:val="single" w:sz="4" w:space="0" w:color="auto"/>
            </w:tcBorders>
            <w:hideMark/>
          </w:tcPr>
          <w:p w14:paraId="4F564A17" w14:textId="77777777" w:rsidR="0058566D" w:rsidRDefault="0058566D" w:rsidP="008935F7">
            <w:pPr>
              <w:pStyle w:val="TAC"/>
            </w:pPr>
            <w:r>
              <w:t>NR_FDD_FR1_A, NR_TDD_FR1_A,</w:t>
            </w:r>
          </w:p>
          <w:p w14:paraId="3C65279A" w14:textId="77777777" w:rsidR="0058566D" w:rsidRDefault="0058566D" w:rsidP="008935F7">
            <w:pPr>
              <w:pStyle w:val="TAC"/>
            </w:pPr>
            <w:r>
              <w:t>NR_SDL_FR1_A</w:t>
            </w:r>
          </w:p>
        </w:tc>
        <w:tc>
          <w:tcPr>
            <w:tcW w:w="827" w:type="dxa"/>
            <w:tcBorders>
              <w:top w:val="single" w:sz="6" w:space="0" w:color="auto"/>
              <w:left w:val="single" w:sz="4" w:space="0" w:color="auto"/>
              <w:bottom w:val="single" w:sz="6" w:space="0" w:color="auto"/>
              <w:right w:val="single" w:sz="6" w:space="0" w:color="auto"/>
            </w:tcBorders>
            <w:hideMark/>
          </w:tcPr>
          <w:p w14:paraId="0FAD1138" w14:textId="77777777" w:rsidR="0058566D" w:rsidRDefault="0058566D" w:rsidP="008935F7">
            <w:pPr>
              <w:pStyle w:val="TAC"/>
            </w:pPr>
            <w:r>
              <w:t>-121</w:t>
            </w:r>
          </w:p>
        </w:tc>
        <w:tc>
          <w:tcPr>
            <w:tcW w:w="827" w:type="dxa"/>
            <w:tcBorders>
              <w:top w:val="single" w:sz="6" w:space="0" w:color="auto"/>
              <w:left w:val="single" w:sz="4" w:space="0" w:color="auto"/>
              <w:bottom w:val="single" w:sz="6" w:space="0" w:color="auto"/>
              <w:right w:val="single" w:sz="6" w:space="0" w:color="auto"/>
            </w:tcBorders>
            <w:hideMark/>
          </w:tcPr>
          <w:p w14:paraId="7D7A55C0" w14:textId="77777777" w:rsidR="0058566D" w:rsidRDefault="0058566D" w:rsidP="008935F7">
            <w:pPr>
              <w:pStyle w:val="TAC"/>
            </w:pPr>
            <w:r>
              <w:t>-118</w:t>
            </w:r>
          </w:p>
        </w:tc>
        <w:tc>
          <w:tcPr>
            <w:tcW w:w="827" w:type="dxa"/>
            <w:tcBorders>
              <w:top w:val="single" w:sz="6" w:space="0" w:color="auto"/>
              <w:left w:val="single" w:sz="4" w:space="0" w:color="auto"/>
              <w:bottom w:val="single" w:sz="6" w:space="0" w:color="auto"/>
              <w:right w:val="single" w:sz="6" w:space="0" w:color="auto"/>
            </w:tcBorders>
            <w:hideMark/>
          </w:tcPr>
          <w:p w14:paraId="5938A0BB" w14:textId="77777777" w:rsidR="0058566D" w:rsidRDefault="0058566D" w:rsidP="008935F7">
            <w:pPr>
              <w:pStyle w:val="TAC"/>
            </w:pPr>
            <w:r>
              <w:t>-115</w:t>
            </w:r>
          </w:p>
        </w:tc>
        <w:tc>
          <w:tcPr>
            <w:tcW w:w="1440" w:type="dxa"/>
            <w:tcBorders>
              <w:top w:val="single" w:sz="6" w:space="0" w:color="auto"/>
              <w:left w:val="single" w:sz="6" w:space="0" w:color="auto"/>
              <w:bottom w:val="single" w:sz="6" w:space="0" w:color="auto"/>
              <w:right w:val="single" w:sz="6" w:space="0" w:color="auto"/>
            </w:tcBorders>
            <w:hideMark/>
          </w:tcPr>
          <w:p w14:paraId="6C7B1B0B"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9C97187" w14:textId="77777777" w:rsidR="0058566D" w:rsidRDefault="0058566D" w:rsidP="008935F7">
            <w:pPr>
              <w:pStyle w:val="TAC"/>
            </w:pPr>
            <w:r>
              <w:t>-70</w:t>
            </w:r>
          </w:p>
        </w:tc>
      </w:tr>
      <w:tr w:rsidR="0058566D" w14:paraId="473AC0B5" w14:textId="77777777" w:rsidTr="008935F7">
        <w:trPr>
          <w:jc w:val="center"/>
        </w:trPr>
        <w:tc>
          <w:tcPr>
            <w:tcW w:w="1031" w:type="dxa"/>
            <w:tcBorders>
              <w:top w:val="nil"/>
              <w:left w:val="single" w:sz="4" w:space="0" w:color="auto"/>
              <w:bottom w:val="nil"/>
              <w:right w:val="single" w:sz="6" w:space="0" w:color="auto"/>
            </w:tcBorders>
          </w:tcPr>
          <w:p w14:paraId="5520B404" w14:textId="77777777" w:rsidR="0058566D" w:rsidRDefault="0058566D" w:rsidP="008935F7">
            <w:pPr>
              <w:pStyle w:val="TAC"/>
            </w:pPr>
          </w:p>
        </w:tc>
        <w:tc>
          <w:tcPr>
            <w:tcW w:w="1043" w:type="dxa"/>
            <w:tcBorders>
              <w:top w:val="nil"/>
              <w:left w:val="single" w:sz="6" w:space="0" w:color="auto"/>
              <w:bottom w:val="nil"/>
              <w:right w:val="single" w:sz="6" w:space="0" w:color="auto"/>
            </w:tcBorders>
          </w:tcPr>
          <w:p w14:paraId="62A6D771" w14:textId="77777777" w:rsidR="0058566D" w:rsidRDefault="0058566D" w:rsidP="008935F7">
            <w:pPr>
              <w:pStyle w:val="TAC"/>
            </w:pPr>
          </w:p>
        </w:tc>
        <w:tc>
          <w:tcPr>
            <w:tcW w:w="780" w:type="dxa"/>
            <w:tcBorders>
              <w:top w:val="nil"/>
              <w:left w:val="single" w:sz="6" w:space="0" w:color="auto"/>
              <w:bottom w:val="nil"/>
              <w:right w:val="single" w:sz="6" w:space="0" w:color="auto"/>
            </w:tcBorders>
          </w:tcPr>
          <w:p w14:paraId="35A3E9A9" w14:textId="77777777" w:rsidR="0058566D" w:rsidRDefault="0058566D" w:rsidP="008935F7">
            <w:pPr>
              <w:pStyle w:val="TAC"/>
            </w:pPr>
          </w:p>
        </w:tc>
        <w:tc>
          <w:tcPr>
            <w:tcW w:w="1957" w:type="dxa"/>
            <w:tcBorders>
              <w:top w:val="single" w:sz="6" w:space="0" w:color="auto"/>
              <w:left w:val="single" w:sz="6" w:space="0" w:color="auto"/>
              <w:bottom w:val="single" w:sz="6" w:space="0" w:color="auto"/>
              <w:right w:val="single" w:sz="4" w:space="0" w:color="auto"/>
            </w:tcBorders>
            <w:hideMark/>
          </w:tcPr>
          <w:p w14:paraId="6C47C98A" w14:textId="77777777" w:rsidR="0058566D" w:rsidRDefault="0058566D" w:rsidP="008935F7">
            <w:pPr>
              <w:pStyle w:val="TAC"/>
            </w:pPr>
            <w:r>
              <w:t>NR_FDD_FR1_B</w:t>
            </w:r>
          </w:p>
        </w:tc>
        <w:tc>
          <w:tcPr>
            <w:tcW w:w="827" w:type="dxa"/>
            <w:tcBorders>
              <w:top w:val="single" w:sz="6" w:space="0" w:color="auto"/>
              <w:left w:val="single" w:sz="4" w:space="0" w:color="auto"/>
              <w:bottom w:val="single" w:sz="6" w:space="0" w:color="auto"/>
              <w:right w:val="single" w:sz="6" w:space="0" w:color="auto"/>
            </w:tcBorders>
            <w:hideMark/>
          </w:tcPr>
          <w:p w14:paraId="190BA879" w14:textId="77777777" w:rsidR="0058566D" w:rsidRDefault="0058566D" w:rsidP="008935F7">
            <w:pPr>
              <w:pStyle w:val="TAC"/>
            </w:pPr>
            <w:r>
              <w:t>-120.5</w:t>
            </w:r>
          </w:p>
        </w:tc>
        <w:tc>
          <w:tcPr>
            <w:tcW w:w="827" w:type="dxa"/>
            <w:tcBorders>
              <w:top w:val="single" w:sz="6" w:space="0" w:color="auto"/>
              <w:left w:val="single" w:sz="4" w:space="0" w:color="auto"/>
              <w:bottom w:val="single" w:sz="6" w:space="0" w:color="auto"/>
              <w:right w:val="single" w:sz="6" w:space="0" w:color="auto"/>
            </w:tcBorders>
            <w:hideMark/>
          </w:tcPr>
          <w:p w14:paraId="6F4AEED0" w14:textId="77777777" w:rsidR="0058566D" w:rsidRDefault="0058566D" w:rsidP="008935F7">
            <w:pPr>
              <w:pStyle w:val="TAC"/>
              <w:rPr>
                <w:lang w:val="sv-SE"/>
              </w:rPr>
            </w:pPr>
            <w:r>
              <w:t>-117.5</w:t>
            </w:r>
          </w:p>
        </w:tc>
        <w:tc>
          <w:tcPr>
            <w:tcW w:w="827" w:type="dxa"/>
            <w:tcBorders>
              <w:top w:val="single" w:sz="6" w:space="0" w:color="auto"/>
              <w:left w:val="single" w:sz="4" w:space="0" w:color="auto"/>
              <w:bottom w:val="single" w:sz="6" w:space="0" w:color="auto"/>
              <w:right w:val="single" w:sz="6" w:space="0" w:color="auto"/>
            </w:tcBorders>
            <w:hideMark/>
          </w:tcPr>
          <w:p w14:paraId="28B89EFF" w14:textId="77777777" w:rsidR="0058566D" w:rsidRDefault="0058566D" w:rsidP="008935F7">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4DB852CF"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34DB58D" w14:textId="77777777" w:rsidR="0058566D" w:rsidRDefault="0058566D" w:rsidP="008935F7">
            <w:pPr>
              <w:pStyle w:val="TAC"/>
            </w:pPr>
            <w:r>
              <w:t>-70</w:t>
            </w:r>
          </w:p>
        </w:tc>
      </w:tr>
      <w:tr w:rsidR="0058566D" w14:paraId="6256AC16" w14:textId="77777777" w:rsidTr="008935F7">
        <w:trPr>
          <w:jc w:val="center"/>
        </w:trPr>
        <w:tc>
          <w:tcPr>
            <w:tcW w:w="1031" w:type="dxa"/>
            <w:tcBorders>
              <w:top w:val="nil"/>
              <w:left w:val="single" w:sz="4" w:space="0" w:color="auto"/>
              <w:bottom w:val="nil"/>
              <w:right w:val="single" w:sz="6" w:space="0" w:color="auto"/>
            </w:tcBorders>
          </w:tcPr>
          <w:p w14:paraId="33FFBB78" w14:textId="77777777" w:rsidR="0058566D" w:rsidRDefault="0058566D" w:rsidP="008935F7">
            <w:pPr>
              <w:pStyle w:val="TAC"/>
            </w:pPr>
          </w:p>
        </w:tc>
        <w:tc>
          <w:tcPr>
            <w:tcW w:w="1043" w:type="dxa"/>
            <w:tcBorders>
              <w:top w:val="nil"/>
              <w:left w:val="single" w:sz="6" w:space="0" w:color="auto"/>
              <w:bottom w:val="nil"/>
              <w:right w:val="single" w:sz="6" w:space="0" w:color="auto"/>
            </w:tcBorders>
          </w:tcPr>
          <w:p w14:paraId="74C7AAA8" w14:textId="77777777" w:rsidR="0058566D" w:rsidRDefault="0058566D" w:rsidP="008935F7">
            <w:pPr>
              <w:pStyle w:val="TAC"/>
            </w:pPr>
          </w:p>
        </w:tc>
        <w:tc>
          <w:tcPr>
            <w:tcW w:w="780" w:type="dxa"/>
            <w:tcBorders>
              <w:top w:val="nil"/>
              <w:left w:val="single" w:sz="6" w:space="0" w:color="auto"/>
              <w:bottom w:val="nil"/>
              <w:right w:val="single" w:sz="6" w:space="0" w:color="auto"/>
            </w:tcBorders>
          </w:tcPr>
          <w:p w14:paraId="2AEAD47C" w14:textId="77777777" w:rsidR="0058566D" w:rsidRDefault="0058566D" w:rsidP="008935F7">
            <w:pPr>
              <w:pStyle w:val="TAC"/>
            </w:pPr>
          </w:p>
        </w:tc>
        <w:tc>
          <w:tcPr>
            <w:tcW w:w="1957" w:type="dxa"/>
            <w:tcBorders>
              <w:top w:val="single" w:sz="6" w:space="0" w:color="auto"/>
              <w:left w:val="single" w:sz="6" w:space="0" w:color="auto"/>
              <w:bottom w:val="single" w:sz="6" w:space="0" w:color="auto"/>
              <w:right w:val="single" w:sz="4" w:space="0" w:color="auto"/>
            </w:tcBorders>
            <w:hideMark/>
          </w:tcPr>
          <w:p w14:paraId="0DE670CB" w14:textId="77777777" w:rsidR="0058566D" w:rsidRDefault="0058566D" w:rsidP="008935F7">
            <w:pPr>
              <w:pStyle w:val="TAC"/>
            </w:pPr>
            <w:r>
              <w:t>NR_TDD_FR1_C</w:t>
            </w:r>
          </w:p>
        </w:tc>
        <w:tc>
          <w:tcPr>
            <w:tcW w:w="827" w:type="dxa"/>
            <w:tcBorders>
              <w:top w:val="single" w:sz="6" w:space="0" w:color="auto"/>
              <w:left w:val="single" w:sz="4" w:space="0" w:color="auto"/>
              <w:bottom w:val="single" w:sz="6" w:space="0" w:color="auto"/>
              <w:right w:val="single" w:sz="6" w:space="0" w:color="auto"/>
            </w:tcBorders>
            <w:hideMark/>
          </w:tcPr>
          <w:p w14:paraId="5C81C3C2" w14:textId="77777777" w:rsidR="0058566D" w:rsidRDefault="0058566D" w:rsidP="008935F7">
            <w:pPr>
              <w:pStyle w:val="TAC"/>
            </w:pPr>
            <w:r>
              <w:t>-120</w:t>
            </w:r>
          </w:p>
        </w:tc>
        <w:tc>
          <w:tcPr>
            <w:tcW w:w="827" w:type="dxa"/>
            <w:tcBorders>
              <w:top w:val="single" w:sz="6" w:space="0" w:color="auto"/>
              <w:left w:val="single" w:sz="4" w:space="0" w:color="auto"/>
              <w:bottom w:val="single" w:sz="6" w:space="0" w:color="auto"/>
              <w:right w:val="single" w:sz="6" w:space="0" w:color="auto"/>
            </w:tcBorders>
            <w:hideMark/>
          </w:tcPr>
          <w:p w14:paraId="793FC32A" w14:textId="77777777" w:rsidR="0058566D" w:rsidRDefault="0058566D" w:rsidP="008935F7">
            <w:pPr>
              <w:pStyle w:val="TAC"/>
              <w:rPr>
                <w:lang w:val="sv-SE"/>
              </w:rPr>
            </w:pPr>
            <w:r>
              <w:t>-117</w:t>
            </w:r>
          </w:p>
        </w:tc>
        <w:tc>
          <w:tcPr>
            <w:tcW w:w="827" w:type="dxa"/>
            <w:tcBorders>
              <w:top w:val="single" w:sz="6" w:space="0" w:color="auto"/>
              <w:left w:val="single" w:sz="4" w:space="0" w:color="auto"/>
              <w:bottom w:val="single" w:sz="6" w:space="0" w:color="auto"/>
              <w:right w:val="single" w:sz="6" w:space="0" w:color="auto"/>
            </w:tcBorders>
            <w:hideMark/>
          </w:tcPr>
          <w:p w14:paraId="1E2F0C5C" w14:textId="77777777" w:rsidR="0058566D" w:rsidRDefault="0058566D" w:rsidP="008935F7">
            <w:pPr>
              <w:pStyle w:val="TAC"/>
              <w:rPr>
                <w:lang w:val="sv-SE"/>
              </w:rPr>
            </w:pPr>
            <w:r>
              <w:t>-114</w:t>
            </w:r>
          </w:p>
        </w:tc>
        <w:tc>
          <w:tcPr>
            <w:tcW w:w="1440" w:type="dxa"/>
            <w:tcBorders>
              <w:top w:val="single" w:sz="6" w:space="0" w:color="auto"/>
              <w:left w:val="single" w:sz="6" w:space="0" w:color="auto"/>
              <w:bottom w:val="single" w:sz="6" w:space="0" w:color="auto"/>
              <w:right w:val="single" w:sz="6" w:space="0" w:color="auto"/>
            </w:tcBorders>
            <w:hideMark/>
          </w:tcPr>
          <w:p w14:paraId="0DF9E0B2"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62DB3C7" w14:textId="77777777" w:rsidR="0058566D" w:rsidRDefault="0058566D" w:rsidP="008935F7">
            <w:pPr>
              <w:pStyle w:val="TAC"/>
            </w:pPr>
            <w:r>
              <w:t>-70</w:t>
            </w:r>
          </w:p>
        </w:tc>
      </w:tr>
      <w:tr w:rsidR="0058566D" w14:paraId="3C2D4A3A" w14:textId="77777777" w:rsidTr="008935F7">
        <w:trPr>
          <w:jc w:val="center"/>
        </w:trPr>
        <w:tc>
          <w:tcPr>
            <w:tcW w:w="1031" w:type="dxa"/>
            <w:tcBorders>
              <w:top w:val="nil"/>
              <w:left w:val="single" w:sz="4" w:space="0" w:color="auto"/>
              <w:bottom w:val="nil"/>
              <w:right w:val="single" w:sz="6" w:space="0" w:color="auto"/>
            </w:tcBorders>
            <w:vAlign w:val="center"/>
            <w:hideMark/>
          </w:tcPr>
          <w:p w14:paraId="3214BD2E" w14:textId="77777777" w:rsidR="0058566D" w:rsidRDefault="0058566D" w:rsidP="008935F7">
            <w:pPr>
              <w:pStyle w:val="TAC"/>
            </w:pPr>
            <w:r>
              <w:sym w:font="Symbol" w:char="F0B1"/>
            </w:r>
            <w:r>
              <w:t>4.5</w:t>
            </w:r>
          </w:p>
        </w:tc>
        <w:tc>
          <w:tcPr>
            <w:tcW w:w="1043" w:type="dxa"/>
            <w:tcBorders>
              <w:top w:val="nil"/>
              <w:left w:val="single" w:sz="6" w:space="0" w:color="auto"/>
              <w:bottom w:val="nil"/>
              <w:right w:val="single" w:sz="6" w:space="0" w:color="auto"/>
            </w:tcBorders>
            <w:vAlign w:val="center"/>
            <w:hideMark/>
          </w:tcPr>
          <w:p w14:paraId="60AA6AD8" w14:textId="77777777" w:rsidR="0058566D" w:rsidRDefault="0058566D" w:rsidP="008935F7">
            <w:pPr>
              <w:pStyle w:val="TAC"/>
            </w:pPr>
            <w:r>
              <w:sym w:font="Symbol" w:char="F0B1"/>
            </w:r>
            <w:r>
              <w:t>9</w:t>
            </w:r>
          </w:p>
        </w:tc>
        <w:tc>
          <w:tcPr>
            <w:tcW w:w="780" w:type="dxa"/>
            <w:tcBorders>
              <w:top w:val="nil"/>
              <w:left w:val="single" w:sz="6" w:space="0" w:color="auto"/>
              <w:bottom w:val="nil"/>
              <w:right w:val="single" w:sz="6" w:space="0" w:color="auto"/>
            </w:tcBorders>
            <w:hideMark/>
          </w:tcPr>
          <w:p w14:paraId="04D1D835" w14:textId="77777777" w:rsidR="0058566D" w:rsidRDefault="0058566D" w:rsidP="008935F7">
            <w:pPr>
              <w:pStyle w:val="TAC"/>
            </w:pPr>
            <w:r>
              <w:sym w:font="Symbol" w:char="F0B3"/>
            </w:r>
            <w:r>
              <w:t>-6</w:t>
            </w:r>
          </w:p>
        </w:tc>
        <w:tc>
          <w:tcPr>
            <w:tcW w:w="1957" w:type="dxa"/>
            <w:tcBorders>
              <w:top w:val="single" w:sz="6" w:space="0" w:color="auto"/>
              <w:left w:val="single" w:sz="6" w:space="0" w:color="auto"/>
              <w:bottom w:val="single" w:sz="6" w:space="0" w:color="auto"/>
              <w:right w:val="single" w:sz="4" w:space="0" w:color="auto"/>
            </w:tcBorders>
            <w:hideMark/>
          </w:tcPr>
          <w:p w14:paraId="016026C6" w14:textId="77777777" w:rsidR="0058566D" w:rsidRDefault="0058566D" w:rsidP="008935F7">
            <w:pPr>
              <w:pStyle w:val="TAC"/>
              <w:rPr>
                <w:lang w:val="sv-SE"/>
              </w:rPr>
            </w:pPr>
            <w:r>
              <w:rPr>
                <w:lang w:val="sv-SE"/>
              </w:rPr>
              <w:t>NR_FDD_FR1_D, NR_TDD_FR1_D</w:t>
            </w:r>
          </w:p>
        </w:tc>
        <w:tc>
          <w:tcPr>
            <w:tcW w:w="827" w:type="dxa"/>
            <w:tcBorders>
              <w:top w:val="single" w:sz="6" w:space="0" w:color="auto"/>
              <w:left w:val="single" w:sz="4" w:space="0" w:color="auto"/>
              <w:bottom w:val="single" w:sz="6" w:space="0" w:color="auto"/>
              <w:right w:val="single" w:sz="6" w:space="0" w:color="auto"/>
            </w:tcBorders>
            <w:hideMark/>
          </w:tcPr>
          <w:p w14:paraId="60BC3246" w14:textId="77777777" w:rsidR="0058566D" w:rsidRDefault="0058566D" w:rsidP="008935F7">
            <w:pPr>
              <w:pStyle w:val="TAC"/>
            </w:pPr>
            <w:r>
              <w:t>-119.5</w:t>
            </w:r>
          </w:p>
        </w:tc>
        <w:tc>
          <w:tcPr>
            <w:tcW w:w="827" w:type="dxa"/>
            <w:tcBorders>
              <w:top w:val="single" w:sz="6" w:space="0" w:color="auto"/>
              <w:left w:val="single" w:sz="4" w:space="0" w:color="auto"/>
              <w:bottom w:val="single" w:sz="6" w:space="0" w:color="auto"/>
              <w:right w:val="single" w:sz="6" w:space="0" w:color="auto"/>
            </w:tcBorders>
            <w:hideMark/>
          </w:tcPr>
          <w:p w14:paraId="2EE1980D" w14:textId="77777777" w:rsidR="0058566D" w:rsidRDefault="0058566D" w:rsidP="008935F7">
            <w:pPr>
              <w:pStyle w:val="TAC"/>
            </w:pPr>
            <w:r>
              <w:t>-116.5</w:t>
            </w:r>
          </w:p>
        </w:tc>
        <w:tc>
          <w:tcPr>
            <w:tcW w:w="827" w:type="dxa"/>
            <w:tcBorders>
              <w:top w:val="single" w:sz="6" w:space="0" w:color="auto"/>
              <w:left w:val="single" w:sz="4" w:space="0" w:color="auto"/>
              <w:bottom w:val="single" w:sz="6" w:space="0" w:color="auto"/>
              <w:right w:val="single" w:sz="6" w:space="0" w:color="auto"/>
            </w:tcBorders>
            <w:hideMark/>
          </w:tcPr>
          <w:p w14:paraId="1F92E9E4" w14:textId="77777777" w:rsidR="0058566D" w:rsidRDefault="0058566D" w:rsidP="008935F7">
            <w:pPr>
              <w:pStyle w:val="TAC"/>
            </w:pPr>
            <w:r>
              <w:t>-113.5</w:t>
            </w:r>
          </w:p>
        </w:tc>
        <w:tc>
          <w:tcPr>
            <w:tcW w:w="1440" w:type="dxa"/>
            <w:tcBorders>
              <w:top w:val="single" w:sz="6" w:space="0" w:color="auto"/>
              <w:left w:val="single" w:sz="6" w:space="0" w:color="auto"/>
              <w:bottom w:val="single" w:sz="6" w:space="0" w:color="auto"/>
              <w:right w:val="single" w:sz="6" w:space="0" w:color="auto"/>
            </w:tcBorders>
            <w:hideMark/>
          </w:tcPr>
          <w:p w14:paraId="62238806"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82630DD" w14:textId="77777777" w:rsidR="0058566D" w:rsidRDefault="0058566D" w:rsidP="008935F7">
            <w:pPr>
              <w:pStyle w:val="TAC"/>
            </w:pPr>
            <w:r>
              <w:t>-70</w:t>
            </w:r>
          </w:p>
        </w:tc>
      </w:tr>
      <w:tr w:rsidR="0058566D" w14:paraId="45B006A8" w14:textId="77777777" w:rsidTr="008935F7">
        <w:trPr>
          <w:jc w:val="center"/>
        </w:trPr>
        <w:tc>
          <w:tcPr>
            <w:tcW w:w="1031" w:type="dxa"/>
            <w:tcBorders>
              <w:top w:val="nil"/>
              <w:left w:val="single" w:sz="4" w:space="0" w:color="auto"/>
              <w:bottom w:val="nil"/>
              <w:right w:val="single" w:sz="6" w:space="0" w:color="auto"/>
            </w:tcBorders>
            <w:vAlign w:val="center"/>
          </w:tcPr>
          <w:p w14:paraId="308578E6" w14:textId="77777777" w:rsidR="0058566D" w:rsidRDefault="0058566D" w:rsidP="008935F7">
            <w:pPr>
              <w:pStyle w:val="TAC"/>
            </w:pPr>
          </w:p>
        </w:tc>
        <w:tc>
          <w:tcPr>
            <w:tcW w:w="1043" w:type="dxa"/>
            <w:tcBorders>
              <w:top w:val="nil"/>
              <w:left w:val="single" w:sz="6" w:space="0" w:color="auto"/>
              <w:bottom w:val="nil"/>
              <w:right w:val="single" w:sz="6" w:space="0" w:color="auto"/>
            </w:tcBorders>
            <w:vAlign w:val="center"/>
          </w:tcPr>
          <w:p w14:paraId="0B7BE3A1" w14:textId="77777777" w:rsidR="0058566D" w:rsidRDefault="0058566D" w:rsidP="008935F7">
            <w:pPr>
              <w:pStyle w:val="TAC"/>
            </w:pPr>
          </w:p>
        </w:tc>
        <w:tc>
          <w:tcPr>
            <w:tcW w:w="780" w:type="dxa"/>
            <w:tcBorders>
              <w:top w:val="nil"/>
              <w:left w:val="single" w:sz="6" w:space="0" w:color="auto"/>
              <w:bottom w:val="nil"/>
              <w:right w:val="single" w:sz="6" w:space="0" w:color="auto"/>
            </w:tcBorders>
          </w:tcPr>
          <w:p w14:paraId="2AD84353" w14:textId="77777777" w:rsidR="0058566D" w:rsidRDefault="0058566D" w:rsidP="008935F7">
            <w:pPr>
              <w:pStyle w:val="TAC"/>
            </w:pPr>
          </w:p>
        </w:tc>
        <w:tc>
          <w:tcPr>
            <w:tcW w:w="1957" w:type="dxa"/>
            <w:tcBorders>
              <w:top w:val="single" w:sz="6" w:space="0" w:color="auto"/>
              <w:left w:val="single" w:sz="6" w:space="0" w:color="auto"/>
              <w:bottom w:val="single" w:sz="6" w:space="0" w:color="auto"/>
              <w:right w:val="single" w:sz="4" w:space="0" w:color="auto"/>
            </w:tcBorders>
            <w:hideMark/>
          </w:tcPr>
          <w:p w14:paraId="459B8498" w14:textId="77777777" w:rsidR="0058566D" w:rsidRDefault="0058566D" w:rsidP="008935F7">
            <w:pPr>
              <w:pStyle w:val="TAC"/>
              <w:rPr>
                <w:lang w:val="sv-SE"/>
              </w:rPr>
            </w:pPr>
            <w:r>
              <w:rPr>
                <w:lang w:val="sv-SE"/>
              </w:rPr>
              <w:t>NR_FDD_FR1_E, NR_TDD_FR1_E</w:t>
            </w:r>
          </w:p>
        </w:tc>
        <w:tc>
          <w:tcPr>
            <w:tcW w:w="827" w:type="dxa"/>
            <w:tcBorders>
              <w:top w:val="single" w:sz="6" w:space="0" w:color="auto"/>
              <w:left w:val="single" w:sz="4" w:space="0" w:color="auto"/>
              <w:bottom w:val="single" w:sz="6" w:space="0" w:color="auto"/>
              <w:right w:val="single" w:sz="6" w:space="0" w:color="auto"/>
            </w:tcBorders>
            <w:hideMark/>
          </w:tcPr>
          <w:p w14:paraId="7A3A92F5" w14:textId="77777777" w:rsidR="0058566D" w:rsidRDefault="0058566D" w:rsidP="008935F7">
            <w:pPr>
              <w:pStyle w:val="TAC"/>
            </w:pPr>
            <w:r>
              <w:t>-119</w:t>
            </w:r>
          </w:p>
        </w:tc>
        <w:tc>
          <w:tcPr>
            <w:tcW w:w="827" w:type="dxa"/>
            <w:tcBorders>
              <w:top w:val="single" w:sz="6" w:space="0" w:color="auto"/>
              <w:left w:val="single" w:sz="4" w:space="0" w:color="auto"/>
              <w:bottom w:val="single" w:sz="6" w:space="0" w:color="auto"/>
              <w:right w:val="single" w:sz="6" w:space="0" w:color="auto"/>
            </w:tcBorders>
            <w:hideMark/>
          </w:tcPr>
          <w:p w14:paraId="3424B5BE" w14:textId="77777777" w:rsidR="0058566D" w:rsidRDefault="0058566D" w:rsidP="008935F7">
            <w:pPr>
              <w:pStyle w:val="TAC"/>
              <w:rPr>
                <w:lang w:val="sv-SE"/>
              </w:rPr>
            </w:pPr>
            <w:r>
              <w:t>-116</w:t>
            </w:r>
          </w:p>
        </w:tc>
        <w:tc>
          <w:tcPr>
            <w:tcW w:w="827" w:type="dxa"/>
            <w:tcBorders>
              <w:top w:val="single" w:sz="6" w:space="0" w:color="auto"/>
              <w:left w:val="single" w:sz="4" w:space="0" w:color="auto"/>
              <w:bottom w:val="single" w:sz="6" w:space="0" w:color="auto"/>
              <w:right w:val="single" w:sz="6" w:space="0" w:color="auto"/>
            </w:tcBorders>
            <w:hideMark/>
          </w:tcPr>
          <w:p w14:paraId="7F5D13DC" w14:textId="77777777" w:rsidR="0058566D" w:rsidRDefault="0058566D" w:rsidP="008935F7">
            <w:pPr>
              <w:pStyle w:val="TAC"/>
              <w:rPr>
                <w:lang w:val="sv-SE"/>
              </w:rPr>
            </w:pPr>
            <w:r>
              <w:t>-113</w:t>
            </w:r>
          </w:p>
        </w:tc>
        <w:tc>
          <w:tcPr>
            <w:tcW w:w="1440" w:type="dxa"/>
            <w:tcBorders>
              <w:top w:val="single" w:sz="6" w:space="0" w:color="auto"/>
              <w:left w:val="single" w:sz="6" w:space="0" w:color="auto"/>
              <w:bottom w:val="single" w:sz="6" w:space="0" w:color="auto"/>
              <w:right w:val="single" w:sz="6" w:space="0" w:color="auto"/>
            </w:tcBorders>
            <w:hideMark/>
          </w:tcPr>
          <w:p w14:paraId="30CFD6F5"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0764E8B" w14:textId="77777777" w:rsidR="0058566D" w:rsidRDefault="0058566D" w:rsidP="008935F7">
            <w:pPr>
              <w:pStyle w:val="TAC"/>
            </w:pPr>
            <w:r>
              <w:t>-70</w:t>
            </w:r>
          </w:p>
        </w:tc>
      </w:tr>
      <w:tr w:rsidR="0058566D" w14:paraId="523A7B4D" w14:textId="77777777" w:rsidTr="008935F7">
        <w:trPr>
          <w:jc w:val="center"/>
        </w:trPr>
        <w:tc>
          <w:tcPr>
            <w:tcW w:w="1031" w:type="dxa"/>
            <w:tcBorders>
              <w:top w:val="nil"/>
              <w:left w:val="single" w:sz="4" w:space="0" w:color="auto"/>
              <w:bottom w:val="nil"/>
              <w:right w:val="single" w:sz="6" w:space="0" w:color="auto"/>
            </w:tcBorders>
            <w:vAlign w:val="center"/>
          </w:tcPr>
          <w:p w14:paraId="0CFC44E9" w14:textId="77777777" w:rsidR="0058566D" w:rsidRDefault="0058566D" w:rsidP="008935F7">
            <w:pPr>
              <w:pStyle w:val="TAC"/>
            </w:pPr>
          </w:p>
        </w:tc>
        <w:tc>
          <w:tcPr>
            <w:tcW w:w="1043" w:type="dxa"/>
            <w:tcBorders>
              <w:top w:val="nil"/>
              <w:left w:val="single" w:sz="6" w:space="0" w:color="auto"/>
              <w:bottom w:val="nil"/>
              <w:right w:val="single" w:sz="6" w:space="0" w:color="auto"/>
            </w:tcBorders>
            <w:vAlign w:val="center"/>
          </w:tcPr>
          <w:p w14:paraId="44EC4502" w14:textId="77777777" w:rsidR="0058566D" w:rsidRDefault="0058566D" w:rsidP="008935F7">
            <w:pPr>
              <w:pStyle w:val="TAC"/>
            </w:pPr>
          </w:p>
        </w:tc>
        <w:tc>
          <w:tcPr>
            <w:tcW w:w="780" w:type="dxa"/>
            <w:tcBorders>
              <w:top w:val="nil"/>
              <w:left w:val="single" w:sz="6" w:space="0" w:color="auto"/>
              <w:bottom w:val="nil"/>
              <w:right w:val="single" w:sz="6" w:space="0" w:color="auto"/>
            </w:tcBorders>
          </w:tcPr>
          <w:p w14:paraId="37203791" w14:textId="77777777" w:rsidR="0058566D" w:rsidRDefault="0058566D" w:rsidP="008935F7">
            <w:pPr>
              <w:pStyle w:val="TAC"/>
            </w:pPr>
          </w:p>
        </w:tc>
        <w:tc>
          <w:tcPr>
            <w:tcW w:w="1957" w:type="dxa"/>
            <w:tcBorders>
              <w:top w:val="single" w:sz="6" w:space="0" w:color="auto"/>
              <w:left w:val="single" w:sz="6" w:space="0" w:color="auto"/>
              <w:bottom w:val="single" w:sz="6" w:space="0" w:color="auto"/>
              <w:right w:val="single" w:sz="4" w:space="0" w:color="auto"/>
            </w:tcBorders>
            <w:hideMark/>
          </w:tcPr>
          <w:p w14:paraId="6A008758" w14:textId="77777777" w:rsidR="0058566D" w:rsidRDefault="0058566D" w:rsidP="008935F7">
            <w:pPr>
              <w:pStyle w:val="TAC"/>
              <w:rPr>
                <w:lang w:val="sv-SE"/>
              </w:rPr>
            </w:pPr>
            <w:r>
              <w:rPr>
                <w:lang w:eastAsia="zh-CN"/>
              </w:rPr>
              <w:t>NR_FDD_FR1_F</w:t>
            </w:r>
          </w:p>
        </w:tc>
        <w:tc>
          <w:tcPr>
            <w:tcW w:w="827" w:type="dxa"/>
            <w:tcBorders>
              <w:top w:val="single" w:sz="6" w:space="0" w:color="auto"/>
              <w:left w:val="single" w:sz="4" w:space="0" w:color="auto"/>
              <w:bottom w:val="single" w:sz="6" w:space="0" w:color="auto"/>
              <w:right w:val="single" w:sz="6" w:space="0" w:color="auto"/>
            </w:tcBorders>
            <w:hideMark/>
          </w:tcPr>
          <w:p w14:paraId="31553AB9" w14:textId="77777777" w:rsidR="0058566D" w:rsidRDefault="0058566D" w:rsidP="008935F7">
            <w:pPr>
              <w:pStyle w:val="TAC"/>
            </w:pPr>
            <w:r>
              <w:t>-118.5</w:t>
            </w:r>
          </w:p>
        </w:tc>
        <w:tc>
          <w:tcPr>
            <w:tcW w:w="827" w:type="dxa"/>
            <w:tcBorders>
              <w:top w:val="single" w:sz="6" w:space="0" w:color="auto"/>
              <w:left w:val="single" w:sz="4" w:space="0" w:color="auto"/>
              <w:bottom w:val="single" w:sz="6" w:space="0" w:color="auto"/>
              <w:right w:val="single" w:sz="6" w:space="0" w:color="auto"/>
            </w:tcBorders>
            <w:hideMark/>
          </w:tcPr>
          <w:p w14:paraId="2DBA996F" w14:textId="77777777" w:rsidR="0058566D" w:rsidRDefault="0058566D" w:rsidP="008935F7">
            <w:pPr>
              <w:pStyle w:val="TAC"/>
            </w:pPr>
            <w:r>
              <w:rPr>
                <w:rFonts w:cs="Arial"/>
              </w:rPr>
              <w:t>-115.5</w:t>
            </w:r>
          </w:p>
        </w:tc>
        <w:tc>
          <w:tcPr>
            <w:tcW w:w="827" w:type="dxa"/>
            <w:tcBorders>
              <w:top w:val="single" w:sz="6" w:space="0" w:color="auto"/>
              <w:left w:val="single" w:sz="4" w:space="0" w:color="auto"/>
              <w:bottom w:val="single" w:sz="6" w:space="0" w:color="auto"/>
              <w:right w:val="single" w:sz="6" w:space="0" w:color="auto"/>
            </w:tcBorders>
            <w:hideMark/>
          </w:tcPr>
          <w:p w14:paraId="6A9D0313" w14:textId="77777777" w:rsidR="0058566D" w:rsidRDefault="0058566D" w:rsidP="008935F7">
            <w:pPr>
              <w:pStyle w:val="TAC"/>
            </w:pPr>
            <w:r>
              <w:rPr>
                <w:rFonts w:cs="Arial"/>
              </w:rPr>
              <w:t>-112.5</w:t>
            </w:r>
          </w:p>
        </w:tc>
        <w:tc>
          <w:tcPr>
            <w:tcW w:w="1440" w:type="dxa"/>
            <w:tcBorders>
              <w:top w:val="single" w:sz="6" w:space="0" w:color="auto"/>
              <w:left w:val="single" w:sz="6" w:space="0" w:color="auto"/>
              <w:bottom w:val="single" w:sz="6" w:space="0" w:color="auto"/>
              <w:right w:val="single" w:sz="6" w:space="0" w:color="auto"/>
            </w:tcBorders>
            <w:hideMark/>
          </w:tcPr>
          <w:p w14:paraId="248BE23F"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25734568" w14:textId="77777777" w:rsidR="0058566D" w:rsidRDefault="0058566D" w:rsidP="008935F7">
            <w:pPr>
              <w:pStyle w:val="TAC"/>
            </w:pPr>
            <w:r>
              <w:t>-70</w:t>
            </w:r>
          </w:p>
        </w:tc>
      </w:tr>
      <w:tr w:rsidR="0058566D" w14:paraId="46E3499D" w14:textId="77777777" w:rsidTr="008935F7">
        <w:trPr>
          <w:jc w:val="center"/>
        </w:trPr>
        <w:tc>
          <w:tcPr>
            <w:tcW w:w="1031" w:type="dxa"/>
            <w:tcBorders>
              <w:top w:val="nil"/>
              <w:left w:val="single" w:sz="4" w:space="0" w:color="auto"/>
              <w:bottom w:val="nil"/>
              <w:right w:val="single" w:sz="6" w:space="0" w:color="auto"/>
            </w:tcBorders>
            <w:vAlign w:val="center"/>
          </w:tcPr>
          <w:p w14:paraId="28990E9E" w14:textId="77777777" w:rsidR="0058566D" w:rsidRDefault="0058566D" w:rsidP="008935F7">
            <w:pPr>
              <w:pStyle w:val="TAC"/>
            </w:pPr>
          </w:p>
        </w:tc>
        <w:tc>
          <w:tcPr>
            <w:tcW w:w="1043" w:type="dxa"/>
            <w:tcBorders>
              <w:top w:val="nil"/>
              <w:left w:val="single" w:sz="6" w:space="0" w:color="auto"/>
              <w:bottom w:val="nil"/>
              <w:right w:val="single" w:sz="6" w:space="0" w:color="auto"/>
            </w:tcBorders>
            <w:vAlign w:val="center"/>
          </w:tcPr>
          <w:p w14:paraId="12D28E7B" w14:textId="77777777" w:rsidR="0058566D" w:rsidRDefault="0058566D" w:rsidP="008935F7">
            <w:pPr>
              <w:pStyle w:val="TAC"/>
            </w:pPr>
          </w:p>
        </w:tc>
        <w:tc>
          <w:tcPr>
            <w:tcW w:w="780" w:type="dxa"/>
            <w:tcBorders>
              <w:top w:val="nil"/>
              <w:left w:val="single" w:sz="6" w:space="0" w:color="auto"/>
              <w:bottom w:val="nil"/>
              <w:right w:val="single" w:sz="6" w:space="0" w:color="auto"/>
            </w:tcBorders>
          </w:tcPr>
          <w:p w14:paraId="32B0B84F" w14:textId="77777777" w:rsidR="0058566D" w:rsidRDefault="0058566D" w:rsidP="008935F7">
            <w:pPr>
              <w:pStyle w:val="TAC"/>
            </w:pPr>
          </w:p>
        </w:tc>
        <w:tc>
          <w:tcPr>
            <w:tcW w:w="1957" w:type="dxa"/>
            <w:tcBorders>
              <w:top w:val="single" w:sz="6" w:space="0" w:color="auto"/>
              <w:left w:val="single" w:sz="6" w:space="0" w:color="auto"/>
              <w:bottom w:val="single" w:sz="6" w:space="0" w:color="auto"/>
              <w:right w:val="single" w:sz="4" w:space="0" w:color="auto"/>
            </w:tcBorders>
            <w:hideMark/>
          </w:tcPr>
          <w:p w14:paraId="409B8E4F" w14:textId="77777777" w:rsidR="0058566D" w:rsidRDefault="0058566D" w:rsidP="008935F7">
            <w:pPr>
              <w:pStyle w:val="TAC"/>
              <w:rPr>
                <w:lang w:eastAsia="zh-CN"/>
              </w:rPr>
            </w:pPr>
            <w:r>
              <w:rPr>
                <w:lang w:eastAsia="zh-CN"/>
              </w:rPr>
              <w:t>NR</w:t>
            </w:r>
            <w:r>
              <w:t>_</w:t>
            </w:r>
            <w:r>
              <w:rPr>
                <w:lang w:eastAsia="zh-CN"/>
              </w:rPr>
              <w:t>FDD_FR1_G</w:t>
            </w:r>
          </w:p>
        </w:tc>
        <w:tc>
          <w:tcPr>
            <w:tcW w:w="827" w:type="dxa"/>
            <w:tcBorders>
              <w:top w:val="single" w:sz="6" w:space="0" w:color="auto"/>
              <w:left w:val="single" w:sz="4" w:space="0" w:color="auto"/>
              <w:bottom w:val="single" w:sz="6" w:space="0" w:color="auto"/>
              <w:right w:val="single" w:sz="6" w:space="0" w:color="auto"/>
            </w:tcBorders>
            <w:hideMark/>
          </w:tcPr>
          <w:p w14:paraId="2AAF3DD9" w14:textId="77777777" w:rsidR="0058566D" w:rsidRDefault="0058566D" w:rsidP="008935F7">
            <w:pPr>
              <w:pStyle w:val="TAC"/>
            </w:pPr>
            <w:r>
              <w:t>-118</w:t>
            </w:r>
          </w:p>
        </w:tc>
        <w:tc>
          <w:tcPr>
            <w:tcW w:w="827" w:type="dxa"/>
            <w:tcBorders>
              <w:top w:val="single" w:sz="6" w:space="0" w:color="auto"/>
              <w:left w:val="single" w:sz="4" w:space="0" w:color="auto"/>
              <w:bottom w:val="single" w:sz="6" w:space="0" w:color="auto"/>
              <w:right w:val="single" w:sz="6" w:space="0" w:color="auto"/>
            </w:tcBorders>
            <w:hideMark/>
          </w:tcPr>
          <w:p w14:paraId="1FE47CCF" w14:textId="77777777" w:rsidR="0058566D" w:rsidRDefault="0058566D" w:rsidP="008935F7">
            <w:pPr>
              <w:pStyle w:val="TAC"/>
              <w:rPr>
                <w:rFonts w:cs="Arial"/>
                <w:lang w:val="sv-SE"/>
              </w:rPr>
            </w:pPr>
            <w:r>
              <w:rPr>
                <w:rFonts w:cs="Arial"/>
              </w:rPr>
              <w:t>-115</w:t>
            </w:r>
          </w:p>
        </w:tc>
        <w:tc>
          <w:tcPr>
            <w:tcW w:w="827" w:type="dxa"/>
            <w:tcBorders>
              <w:top w:val="single" w:sz="6" w:space="0" w:color="auto"/>
              <w:left w:val="single" w:sz="4" w:space="0" w:color="auto"/>
              <w:bottom w:val="single" w:sz="6" w:space="0" w:color="auto"/>
              <w:right w:val="single" w:sz="6" w:space="0" w:color="auto"/>
            </w:tcBorders>
            <w:hideMark/>
          </w:tcPr>
          <w:p w14:paraId="1B94D5E9" w14:textId="77777777" w:rsidR="0058566D" w:rsidRDefault="0058566D" w:rsidP="008935F7">
            <w:pPr>
              <w:pStyle w:val="TAC"/>
              <w:rPr>
                <w:rFonts w:cs="Arial"/>
                <w:lang w:val="sv-SE"/>
              </w:rPr>
            </w:pPr>
            <w:r>
              <w:rPr>
                <w:rFonts w:cs="Arial"/>
              </w:rPr>
              <w:t>-112</w:t>
            </w:r>
          </w:p>
        </w:tc>
        <w:tc>
          <w:tcPr>
            <w:tcW w:w="1440" w:type="dxa"/>
            <w:tcBorders>
              <w:top w:val="single" w:sz="6" w:space="0" w:color="auto"/>
              <w:left w:val="single" w:sz="6" w:space="0" w:color="auto"/>
              <w:bottom w:val="single" w:sz="6" w:space="0" w:color="auto"/>
              <w:right w:val="single" w:sz="6" w:space="0" w:color="auto"/>
            </w:tcBorders>
            <w:hideMark/>
          </w:tcPr>
          <w:p w14:paraId="37DF14C6"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42CD490" w14:textId="77777777" w:rsidR="0058566D" w:rsidRDefault="0058566D" w:rsidP="008935F7">
            <w:pPr>
              <w:pStyle w:val="TAC"/>
            </w:pPr>
            <w:r>
              <w:t>-70</w:t>
            </w:r>
          </w:p>
        </w:tc>
      </w:tr>
      <w:tr w:rsidR="0058566D" w14:paraId="21BE242A" w14:textId="77777777" w:rsidTr="008935F7">
        <w:trPr>
          <w:jc w:val="center"/>
        </w:trPr>
        <w:tc>
          <w:tcPr>
            <w:tcW w:w="1031" w:type="dxa"/>
            <w:tcBorders>
              <w:top w:val="nil"/>
              <w:left w:val="single" w:sz="4" w:space="0" w:color="auto"/>
              <w:bottom w:val="nil"/>
              <w:right w:val="single" w:sz="6" w:space="0" w:color="auto"/>
            </w:tcBorders>
            <w:vAlign w:val="center"/>
          </w:tcPr>
          <w:p w14:paraId="188BF9CF" w14:textId="77777777" w:rsidR="0058566D" w:rsidRDefault="0058566D" w:rsidP="008935F7">
            <w:pPr>
              <w:pStyle w:val="TAC"/>
            </w:pPr>
          </w:p>
        </w:tc>
        <w:tc>
          <w:tcPr>
            <w:tcW w:w="1043" w:type="dxa"/>
            <w:tcBorders>
              <w:top w:val="nil"/>
              <w:left w:val="single" w:sz="6" w:space="0" w:color="auto"/>
              <w:bottom w:val="nil"/>
              <w:right w:val="single" w:sz="6" w:space="0" w:color="auto"/>
            </w:tcBorders>
            <w:vAlign w:val="center"/>
          </w:tcPr>
          <w:p w14:paraId="4CFB31A5" w14:textId="77777777" w:rsidR="0058566D" w:rsidRDefault="0058566D" w:rsidP="008935F7">
            <w:pPr>
              <w:pStyle w:val="TAC"/>
            </w:pPr>
          </w:p>
        </w:tc>
        <w:tc>
          <w:tcPr>
            <w:tcW w:w="780" w:type="dxa"/>
            <w:tcBorders>
              <w:top w:val="nil"/>
              <w:left w:val="single" w:sz="6" w:space="0" w:color="auto"/>
              <w:bottom w:val="nil"/>
              <w:right w:val="single" w:sz="6" w:space="0" w:color="auto"/>
            </w:tcBorders>
          </w:tcPr>
          <w:p w14:paraId="5BAC70AA" w14:textId="77777777" w:rsidR="0058566D" w:rsidRDefault="0058566D" w:rsidP="008935F7">
            <w:pPr>
              <w:pStyle w:val="TAC"/>
            </w:pPr>
          </w:p>
        </w:tc>
        <w:tc>
          <w:tcPr>
            <w:tcW w:w="1957" w:type="dxa"/>
            <w:tcBorders>
              <w:top w:val="single" w:sz="6" w:space="0" w:color="auto"/>
              <w:left w:val="single" w:sz="6" w:space="0" w:color="auto"/>
              <w:bottom w:val="single" w:sz="6" w:space="0" w:color="auto"/>
              <w:right w:val="single" w:sz="4" w:space="0" w:color="auto"/>
            </w:tcBorders>
            <w:hideMark/>
          </w:tcPr>
          <w:p w14:paraId="016B0EEA" w14:textId="77777777" w:rsidR="0058566D" w:rsidRDefault="0058566D" w:rsidP="008935F7">
            <w:pPr>
              <w:pStyle w:val="TAC"/>
              <w:rPr>
                <w:lang w:eastAsia="zh-CN"/>
              </w:rPr>
            </w:pPr>
            <w:r>
              <w:rPr>
                <w:lang w:eastAsia="zh-CN"/>
              </w:rPr>
              <w:t>NR</w:t>
            </w:r>
            <w:r>
              <w:t>_</w:t>
            </w:r>
            <w:r>
              <w:rPr>
                <w:lang w:eastAsia="zh-CN"/>
              </w:rPr>
              <w:t>FDD_FR1_H</w:t>
            </w:r>
          </w:p>
        </w:tc>
        <w:tc>
          <w:tcPr>
            <w:tcW w:w="827" w:type="dxa"/>
            <w:tcBorders>
              <w:top w:val="single" w:sz="6" w:space="0" w:color="auto"/>
              <w:left w:val="single" w:sz="4" w:space="0" w:color="auto"/>
              <w:bottom w:val="single" w:sz="6" w:space="0" w:color="auto"/>
              <w:right w:val="single" w:sz="6" w:space="0" w:color="auto"/>
            </w:tcBorders>
            <w:hideMark/>
          </w:tcPr>
          <w:p w14:paraId="0327E2BB" w14:textId="77777777" w:rsidR="0058566D" w:rsidRDefault="0058566D" w:rsidP="008935F7">
            <w:pPr>
              <w:pStyle w:val="TAC"/>
            </w:pPr>
            <w:r>
              <w:t>-117.5</w:t>
            </w:r>
          </w:p>
        </w:tc>
        <w:tc>
          <w:tcPr>
            <w:tcW w:w="827" w:type="dxa"/>
            <w:tcBorders>
              <w:top w:val="single" w:sz="6" w:space="0" w:color="auto"/>
              <w:left w:val="single" w:sz="4" w:space="0" w:color="auto"/>
              <w:bottom w:val="single" w:sz="6" w:space="0" w:color="auto"/>
              <w:right w:val="single" w:sz="6" w:space="0" w:color="auto"/>
            </w:tcBorders>
            <w:hideMark/>
          </w:tcPr>
          <w:p w14:paraId="2C31CA7F" w14:textId="77777777" w:rsidR="0058566D" w:rsidRDefault="0058566D" w:rsidP="008935F7">
            <w:pPr>
              <w:pStyle w:val="TAC"/>
              <w:rPr>
                <w:rFonts w:cs="Arial"/>
                <w:lang w:val="sv-SE"/>
              </w:rPr>
            </w:pPr>
            <w:r>
              <w:rPr>
                <w:rFonts w:cs="Arial"/>
              </w:rPr>
              <w:t>-114.5</w:t>
            </w:r>
          </w:p>
        </w:tc>
        <w:tc>
          <w:tcPr>
            <w:tcW w:w="827" w:type="dxa"/>
            <w:tcBorders>
              <w:top w:val="single" w:sz="6" w:space="0" w:color="auto"/>
              <w:left w:val="single" w:sz="4" w:space="0" w:color="auto"/>
              <w:bottom w:val="single" w:sz="6" w:space="0" w:color="auto"/>
              <w:right w:val="single" w:sz="6" w:space="0" w:color="auto"/>
            </w:tcBorders>
            <w:hideMark/>
          </w:tcPr>
          <w:p w14:paraId="0D322FB5" w14:textId="77777777" w:rsidR="0058566D" w:rsidRDefault="0058566D" w:rsidP="008935F7">
            <w:pPr>
              <w:pStyle w:val="TAC"/>
              <w:rPr>
                <w:rFonts w:cs="Arial"/>
                <w:lang w:val="sv-SE"/>
              </w:rPr>
            </w:pPr>
            <w:r>
              <w:rPr>
                <w:rFonts w:cs="Arial"/>
              </w:rPr>
              <w:t>-111.5</w:t>
            </w:r>
          </w:p>
        </w:tc>
        <w:tc>
          <w:tcPr>
            <w:tcW w:w="1440" w:type="dxa"/>
            <w:tcBorders>
              <w:top w:val="single" w:sz="6" w:space="0" w:color="auto"/>
              <w:left w:val="single" w:sz="6" w:space="0" w:color="auto"/>
              <w:bottom w:val="single" w:sz="6" w:space="0" w:color="auto"/>
              <w:right w:val="single" w:sz="6" w:space="0" w:color="auto"/>
            </w:tcBorders>
            <w:hideMark/>
          </w:tcPr>
          <w:p w14:paraId="595CFB78"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F282271" w14:textId="77777777" w:rsidR="0058566D" w:rsidRDefault="0058566D" w:rsidP="008935F7">
            <w:pPr>
              <w:pStyle w:val="TAC"/>
            </w:pPr>
            <w:r>
              <w:t>-70</w:t>
            </w:r>
          </w:p>
        </w:tc>
      </w:tr>
      <w:tr w:rsidR="0058566D" w14:paraId="06482D0D" w14:textId="77777777" w:rsidTr="00F37389">
        <w:trPr>
          <w:jc w:val="center"/>
        </w:trPr>
        <w:tc>
          <w:tcPr>
            <w:tcW w:w="1031" w:type="dxa"/>
            <w:tcBorders>
              <w:top w:val="single" w:sz="6" w:space="0" w:color="auto"/>
              <w:left w:val="single" w:sz="4" w:space="0" w:color="auto"/>
              <w:bottom w:val="single" w:sz="6" w:space="0" w:color="auto"/>
              <w:right w:val="single" w:sz="6" w:space="0" w:color="auto"/>
            </w:tcBorders>
            <w:vAlign w:val="center"/>
            <w:hideMark/>
          </w:tcPr>
          <w:p w14:paraId="167E344E" w14:textId="77777777" w:rsidR="0058566D" w:rsidRDefault="0058566D" w:rsidP="008935F7">
            <w:pPr>
              <w:pStyle w:val="TAC"/>
            </w:pPr>
            <w:r>
              <w:sym w:font="Symbol" w:char="F0B1"/>
            </w:r>
            <w:r>
              <w:t>8</w:t>
            </w:r>
          </w:p>
        </w:tc>
        <w:tc>
          <w:tcPr>
            <w:tcW w:w="1043" w:type="dxa"/>
            <w:tcBorders>
              <w:top w:val="single" w:sz="6" w:space="0" w:color="auto"/>
              <w:left w:val="single" w:sz="6" w:space="0" w:color="auto"/>
              <w:bottom w:val="single" w:sz="6" w:space="0" w:color="auto"/>
              <w:right w:val="single" w:sz="6" w:space="0" w:color="auto"/>
            </w:tcBorders>
            <w:vAlign w:val="center"/>
            <w:hideMark/>
          </w:tcPr>
          <w:p w14:paraId="02A94E09" w14:textId="77777777" w:rsidR="0058566D" w:rsidRDefault="0058566D" w:rsidP="008935F7">
            <w:pPr>
              <w:pStyle w:val="TAC"/>
            </w:pPr>
            <w:r>
              <w:sym w:font="Symbol" w:char="F0B1"/>
            </w:r>
            <w:r>
              <w:t>11</w:t>
            </w:r>
          </w:p>
        </w:tc>
        <w:tc>
          <w:tcPr>
            <w:tcW w:w="780" w:type="dxa"/>
            <w:tcBorders>
              <w:top w:val="single" w:sz="6" w:space="0" w:color="auto"/>
              <w:left w:val="single" w:sz="6" w:space="0" w:color="auto"/>
              <w:bottom w:val="single" w:sz="6" w:space="0" w:color="auto"/>
              <w:right w:val="single" w:sz="6" w:space="0" w:color="auto"/>
            </w:tcBorders>
            <w:vAlign w:val="center"/>
            <w:hideMark/>
          </w:tcPr>
          <w:p w14:paraId="34235D80" w14:textId="77777777" w:rsidR="0058566D" w:rsidRDefault="0058566D" w:rsidP="008935F7">
            <w:pPr>
              <w:pStyle w:val="TAC"/>
            </w:pPr>
            <w:r>
              <w:sym w:font="Symbol" w:char="F0B3"/>
            </w:r>
            <w:r>
              <w:t>-6</w:t>
            </w:r>
          </w:p>
        </w:tc>
        <w:tc>
          <w:tcPr>
            <w:tcW w:w="1957" w:type="dxa"/>
            <w:tcBorders>
              <w:top w:val="single" w:sz="6" w:space="0" w:color="auto"/>
              <w:left w:val="single" w:sz="6" w:space="0" w:color="auto"/>
              <w:bottom w:val="single" w:sz="6" w:space="0" w:color="auto"/>
              <w:right w:val="single" w:sz="4" w:space="0" w:color="auto"/>
            </w:tcBorders>
            <w:hideMark/>
          </w:tcPr>
          <w:p w14:paraId="4BC6D41D" w14:textId="77777777" w:rsidR="0058566D" w:rsidRDefault="0058566D" w:rsidP="008935F7">
            <w:pPr>
              <w:pStyle w:val="TAC"/>
            </w:pPr>
            <w:r>
              <w:t>NR_FDD_FR1_A, NR_TDD_FR1_A,</w:t>
            </w:r>
          </w:p>
          <w:p w14:paraId="25C43A7F" w14:textId="77777777" w:rsidR="0058566D" w:rsidRDefault="0058566D" w:rsidP="008935F7">
            <w:pPr>
              <w:pStyle w:val="TAC"/>
            </w:pPr>
            <w:r>
              <w:t>NR_SDL_FR1_A,</w:t>
            </w:r>
          </w:p>
          <w:p w14:paraId="7404EB6E" w14:textId="77777777" w:rsidR="0058566D" w:rsidRDefault="0058566D" w:rsidP="008935F7">
            <w:pPr>
              <w:pStyle w:val="TAC"/>
            </w:pPr>
            <w:r>
              <w:t>NR_FDD_FR1_B, NR_TDD_FR1_C, NR_FDD_FR1_D, NR_TDD_FR1_D, NR_FDD_FR1_E, NR_TDD_FR1_E, NR_FDD_FR1_F,</w:t>
            </w:r>
          </w:p>
          <w:p w14:paraId="7BC8DE3B" w14:textId="77777777" w:rsidR="0058566D" w:rsidRDefault="0058566D" w:rsidP="008935F7">
            <w:pPr>
              <w:pStyle w:val="TAC"/>
              <w:rPr>
                <w:lang w:val="sv-FI"/>
              </w:rPr>
            </w:pPr>
            <w:r>
              <w:rPr>
                <w:lang w:val="sv-FI"/>
              </w:rPr>
              <w:t>NR_FDD_FR1_G, NR_FDD_FR1_H</w:t>
            </w:r>
          </w:p>
        </w:tc>
        <w:tc>
          <w:tcPr>
            <w:tcW w:w="827" w:type="dxa"/>
            <w:tcBorders>
              <w:top w:val="single" w:sz="6" w:space="0" w:color="auto"/>
              <w:left w:val="single" w:sz="4" w:space="0" w:color="auto"/>
              <w:bottom w:val="single" w:sz="4" w:space="0" w:color="auto"/>
              <w:right w:val="single" w:sz="6" w:space="0" w:color="auto"/>
            </w:tcBorders>
            <w:hideMark/>
          </w:tcPr>
          <w:p w14:paraId="640286A0" w14:textId="77777777" w:rsidR="0058566D" w:rsidRDefault="0058566D" w:rsidP="008935F7">
            <w:pPr>
              <w:pStyle w:val="TAC"/>
            </w:pPr>
            <w:r>
              <w:t>N/A</w:t>
            </w:r>
          </w:p>
        </w:tc>
        <w:tc>
          <w:tcPr>
            <w:tcW w:w="827" w:type="dxa"/>
            <w:tcBorders>
              <w:top w:val="single" w:sz="6" w:space="0" w:color="auto"/>
              <w:left w:val="single" w:sz="4" w:space="0" w:color="auto"/>
              <w:bottom w:val="single" w:sz="4" w:space="0" w:color="auto"/>
              <w:right w:val="single" w:sz="6" w:space="0" w:color="auto"/>
            </w:tcBorders>
            <w:hideMark/>
          </w:tcPr>
          <w:p w14:paraId="4FF39871" w14:textId="77777777" w:rsidR="0058566D" w:rsidRDefault="0058566D" w:rsidP="008935F7">
            <w:pPr>
              <w:pStyle w:val="TAC"/>
              <w:rPr>
                <w:lang w:eastAsia="zh-CN"/>
              </w:rPr>
            </w:pPr>
            <w:r>
              <w:rPr>
                <w:lang w:eastAsia="zh-CN"/>
              </w:rPr>
              <w:t>N/A</w:t>
            </w:r>
          </w:p>
        </w:tc>
        <w:tc>
          <w:tcPr>
            <w:tcW w:w="827" w:type="dxa"/>
            <w:tcBorders>
              <w:top w:val="single" w:sz="6" w:space="0" w:color="auto"/>
              <w:left w:val="single" w:sz="4" w:space="0" w:color="auto"/>
              <w:bottom w:val="single" w:sz="4" w:space="0" w:color="auto"/>
              <w:right w:val="single" w:sz="6" w:space="0" w:color="auto"/>
            </w:tcBorders>
            <w:hideMark/>
          </w:tcPr>
          <w:p w14:paraId="4F2C0B9B" w14:textId="77777777" w:rsidR="0058566D" w:rsidRDefault="0058566D" w:rsidP="008935F7">
            <w:pPr>
              <w:pStyle w:val="TAC"/>
              <w:rPr>
                <w:lang w:eastAsia="zh-CN"/>
              </w:rPr>
            </w:pPr>
            <w:r>
              <w:rPr>
                <w:lang w:eastAsia="zh-CN"/>
              </w:rPr>
              <w:t>N/A</w:t>
            </w:r>
          </w:p>
        </w:tc>
        <w:tc>
          <w:tcPr>
            <w:tcW w:w="1440" w:type="dxa"/>
            <w:tcBorders>
              <w:top w:val="single" w:sz="6" w:space="0" w:color="auto"/>
              <w:left w:val="single" w:sz="6" w:space="0" w:color="auto"/>
              <w:bottom w:val="single" w:sz="4" w:space="0" w:color="auto"/>
              <w:right w:val="single" w:sz="6" w:space="0" w:color="auto"/>
            </w:tcBorders>
            <w:hideMark/>
          </w:tcPr>
          <w:p w14:paraId="67C60A01" w14:textId="77777777" w:rsidR="0058566D" w:rsidRDefault="0058566D" w:rsidP="008935F7">
            <w:pPr>
              <w:pStyle w:val="TAC"/>
            </w:pPr>
            <w:r>
              <w:t>-70</w:t>
            </w:r>
          </w:p>
        </w:tc>
        <w:tc>
          <w:tcPr>
            <w:tcW w:w="1440" w:type="dxa"/>
            <w:tcBorders>
              <w:top w:val="single" w:sz="6" w:space="0" w:color="auto"/>
              <w:left w:val="single" w:sz="6" w:space="0" w:color="auto"/>
              <w:bottom w:val="single" w:sz="4" w:space="0" w:color="auto"/>
              <w:right w:val="single" w:sz="4" w:space="0" w:color="auto"/>
            </w:tcBorders>
            <w:hideMark/>
          </w:tcPr>
          <w:p w14:paraId="337ABA41" w14:textId="77777777" w:rsidR="0058566D" w:rsidRDefault="0058566D" w:rsidP="008935F7">
            <w:pPr>
              <w:pStyle w:val="TAC"/>
            </w:pPr>
            <w:r>
              <w:t>-50</w:t>
            </w:r>
          </w:p>
        </w:tc>
      </w:tr>
      <w:tr w:rsidR="0058566D" w14:paraId="0EE3B49A" w14:textId="77777777" w:rsidTr="008935F7">
        <w:trPr>
          <w:jc w:val="center"/>
        </w:trPr>
        <w:tc>
          <w:tcPr>
            <w:tcW w:w="10172" w:type="dxa"/>
            <w:gridSpan w:val="9"/>
            <w:tcBorders>
              <w:top w:val="single" w:sz="6" w:space="0" w:color="auto"/>
              <w:left w:val="single" w:sz="4" w:space="0" w:color="auto"/>
              <w:bottom w:val="single" w:sz="4" w:space="0" w:color="auto"/>
              <w:right w:val="single" w:sz="4" w:space="0" w:color="auto"/>
            </w:tcBorders>
            <w:vAlign w:val="center"/>
            <w:hideMark/>
          </w:tcPr>
          <w:p w14:paraId="19F5129C" w14:textId="77777777" w:rsidR="0058566D" w:rsidRDefault="0058566D" w:rsidP="008935F7">
            <w:pPr>
              <w:pStyle w:val="TAN"/>
            </w:pPr>
            <w:r>
              <w:t>NOTE 1:</w:t>
            </w:r>
            <w:r>
              <w:tab/>
              <w:t>Io is assumed to have constant EPRE across the bandwidth.</w:t>
            </w:r>
          </w:p>
          <w:p w14:paraId="69D797B4" w14:textId="77777777" w:rsidR="0058566D" w:rsidRDefault="0058566D" w:rsidP="008935F7">
            <w:pPr>
              <w:pStyle w:val="TAN"/>
            </w:pPr>
            <w:r>
              <w:t>NOTE 2:</w:t>
            </w:r>
            <w:r>
              <w:tab/>
              <w:t>NR operating band groups in FR1 are as defined in clause 3.5.2.</w:t>
            </w:r>
          </w:p>
        </w:tc>
      </w:tr>
    </w:tbl>
    <w:p w14:paraId="5094341D" w14:textId="77777777" w:rsidR="0058566D" w:rsidRPr="000A4E1F" w:rsidRDefault="0058566D" w:rsidP="0058566D">
      <w:pPr>
        <w:rPr>
          <w:lang w:val="en-US" w:eastAsia="zh-CN"/>
        </w:rPr>
      </w:pPr>
    </w:p>
    <w:p w14:paraId="60A010E7" w14:textId="77777777" w:rsidR="0058566D" w:rsidRDefault="0058566D" w:rsidP="0058566D">
      <w:pPr>
        <w:pStyle w:val="Heading5"/>
      </w:pPr>
      <w:r>
        <w:t>10.1.4.3.2</w:t>
      </w:r>
      <w:r>
        <w:tab/>
        <w:t>Relative Accuracy of CS-RSRP in FR1</w:t>
      </w:r>
    </w:p>
    <w:p w14:paraId="77B55BFC" w14:textId="77777777" w:rsidR="0058566D" w:rsidRDefault="0058566D" w:rsidP="0058566D">
      <w:pPr>
        <w:rPr>
          <w:rFonts w:cs="v4.2.0"/>
        </w:rPr>
      </w:pPr>
      <w:r>
        <w:rPr>
          <w:rFonts w:cs="v4.2.0"/>
        </w:rPr>
        <w:t xml:space="preserve">The relative accuracy of </w:t>
      </w:r>
      <w:r>
        <w:rPr>
          <w:rFonts w:cs="v4.2.0"/>
          <w:lang w:eastAsia="zh-CN"/>
        </w:rPr>
        <w:t>CSI-RSRP</w:t>
      </w:r>
      <w:r>
        <w:rPr>
          <w:rFonts w:cs="v4.2.0"/>
        </w:rPr>
        <w:t xml:space="preserve"> in inter frequency case is defined as the CSI-RSRP measured from one cell on a frequency in FR1compared to the CSI-RSRP measured from another cell on a different frequency in FR1.</w:t>
      </w:r>
    </w:p>
    <w:p w14:paraId="0396CC3C" w14:textId="77777777" w:rsidR="0058566D" w:rsidRDefault="0058566D" w:rsidP="0058566D">
      <w:pPr>
        <w:rPr>
          <w:rFonts w:cs="v4.2.0"/>
        </w:rPr>
      </w:pPr>
      <w:r>
        <w:rPr>
          <w:rFonts w:cs="v4.2.0"/>
        </w:rPr>
        <w:t xml:space="preserve">The accuracy requirements in Table </w:t>
      </w:r>
      <w:r>
        <w:rPr>
          <w:rFonts w:cs="v4.2.0"/>
          <w:lang w:eastAsia="zh-CN"/>
        </w:rPr>
        <w:t>10.1.4.3.2</w:t>
      </w:r>
      <w:r>
        <w:rPr>
          <w:rFonts w:cs="v4.2.0"/>
        </w:rPr>
        <w:t>-1 are valid under the following conditions:</w:t>
      </w:r>
    </w:p>
    <w:p w14:paraId="4B25CCAC" w14:textId="77777777" w:rsidR="0058566D" w:rsidRDefault="0058566D" w:rsidP="0058566D">
      <w:pPr>
        <w:pStyle w:val="B10"/>
        <w:rPr>
          <w:lang w:eastAsia="zh-CN"/>
        </w:rPr>
      </w:pPr>
      <w:r>
        <w:t>-</w:t>
      </w:r>
      <w:r>
        <w:tab/>
        <w:t>Conditions defined in clause 7.3 of TS 38.101-1 [18] Clause 7.3 for reference sensitivity are fulfilled.</w:t>
      </w:r>
    </w:p>
    <w:p w14:paraId="0429C924" w14:textId="77777777" w:rsidR="0058566D" w:rsidRDefault="0058566D" w:rsidP="0058566D">
      <w:pPr>
        <w:pStyle w:val="B10"/>
      </w:pPr>
      <w:r>
        <w:t>-</w:t>
      </w:r>
      <w:r>
        <w:tab/>
        <w:t xml:space="preserve">Conditions for inter-frequency measurements are fulfilled according to Annex B.2.3 for a corresponding Band </w:t>
      </w:r>
      <w:r>
        <w:rPr>
          <w:rFonts w:cs="v4.2.0"/>
          <w:lang w:eastAsia="ko-KR"/>
        </w:rPr>
        <w:t>for each relevant SSB</w:t>
      </w:r>
      <w:r>
        <w:t>.</w:t>
      </w:r>
    </w:p>
    <w:p w14:paraId="521617B5" w14:textId="77777777" w:rsidR="0058566D" w:rsidRDefault="0058566D" w:rsidP="0058566D">
      <w:pPr>
        <w:pStyle w:val="B10"/>
      </w:pPr>
      <w:r>
        <w:t>-</w:t>
      </w:r>
      <w:r>
        <w:tab/>
      </w:r>
      <w:r w:rsidRPr="00B25D3D">
        <w:t>Conditions for int</w:t>
      </w:r>
      <w:r>
        <w:t>er</w:t>
      </w:r>
      <w:r w:rsidRPr="00B25D3D">
        <w:t xml:space="preserve">-frequency measurements are fulfilled according </w:t>
      </w:r>
      <w:r w:rsidRPr="0075641C">
        <w:t>to Annex B.</w:t>
      </w:r>
      <w:r>
        <w:t>2.9</w:t>
      </w:r>
      <w:r w:rsidRPr="00B25D3D">
        <w:t xml:space="preserve"> for a corresponding Band </w:t>
      </w:r>
      <w:r w:rsidRPr="00B25D3D">
        <w:rPr>
          <w:rFonts w:cs="v4.2.0"/>
          <w:lang w:eastAsia="ko-KR"/>
        </w:rPr>
        <w:t xml:space="preserve">for </w:t>
      </w:r>
      <w:r>
        <w:rPr>
          <w:rFonts w:cs="v4.2.0"/>
          <w:lang w:eastAsia="ko-KR"/>
        </w:rPr>
        <w:t>each relevant CSI-RS to be measured.</w:t>
      </w:r>
    </w:p>
    <w:p w14:paraId="34986C59" w14:textId="77777777" w:rsidR="0058566D" w:rsidRPr="004F7350" w:rsidRDefault="0058566D" w:rsidP="0058566D">
      <w:pPr>
        <w:pStyle w:val="B10"/>
        <w:rPr>
          <w:lang w:eastAsia="zh-CN"/>
        </w:rPr>
      </w:pPr>
      <w:r>
        <w:rPr>
          <w:rFonts w:hint="eastAsia"/>
          <w:lang w:eastAsia="zh-CN"/>
        </w:rPr>
        <w:t>-</w:t>
      </w:r>
      <w:r>
        <w:tab/>
      </w:r>
      <w:r w:rsidRPr="006820F3">
        <w:t>The bandwidth of CSI-RS is 48 PRBs and the density is 3. The performance with larger bandwidth of CSI-RS is equal to or better than the accuracy requirements in Table 10.1.</w:t>
      </w:r>
      <w:r>
        <w:rPr>
          <w:rFonts w:hint="eastAsia"/>
          <w:lang w:eastAsia="zh-CN"/>
        </w:rPr>
        <w:t>4</w:t>
      </w:r>
      <w:r w:rsidRPr="006820F3">
        <w:t>.</w:t>
      </w:r>
      <w:r>
        <w:rPr>
          <w:rFonts w:hint="eastAsia"/>
          <w:lang w:eastAsia="zh-CN"/>
        </w:rPr>
        <w:t>3</w:t>
      </w:r>
      <w:r w:rsidRPr="006820F3">
        <w:t>.</w:t>
      </w:r>
      <w:r>
        <w:rPr>
          <w:rFonts w:hint="eastAsia"/>
          <w:lang w:eastAsia="zh-CN"/>
        </w:rPr>
        <w:t>2</w:t>
      </w:r>
      <w:r w:rsidRPr="006820F3">
        <w:t>-1.</w:t>
      </w:r>
      <w:r>
        <w:t xml:space="preserve"> </w:t>
      </w:r>
    </w:p>
    <w:p w14:paraId="568153E5" w14:textId="0AF2C64D" w:rsidR="0058566D" w:rsidRDefault="0058566D" w:rsidP="0058566D">
      <w:pPr>
        <w:pStyle w:val="B10"/>
      </w:pPr>
      <w:r>
        <w:t>-</w:t>
      </w:r>
      <w:r>
        <w:tab/>
      </w:r>
      <w:r>
        <w:rPr>
          <w:rFonts w:hint="eastAsia"/>
          <w:lang w:eastAsia="zh-CN"/>
        </w:rPr>
        <w:t>The</w:t>
      </w:r>
      <w:r w:rsidRPr="003A519B">
        <w:t xml:space="preserve"> timing offset between the reference measurement timing and the target CSI-RS in one layer </w:t>
      </w:r>
      <w:r>
        <w:t xml:space="preserve">is </w:t>
      </w:r>
      <w:r w:rsidRPr="003A519B">
        <w:t>no larger than CP</w:t>
      </w:r>
      <w:r>
        <w:t>.</w:t>
      </w:r>
    </w:p>
    <w:p w14:paraId="1EAE3424" w14:textId="15854CC7" w:rsidR="008935F7" w:rsidRDefault="008935F7" w:rsidP="00F37389">
      <w:pPr>
        <w:pStyle w:val="B20"/>
        <w:rPr>
          <w:lang w:eastAsia="zh-CN"/>
        </w:rPr>
      </w:pPr>
      <w:r>
        <w:rPr>
          <w:rFonts w:hint="eastAsia"/>
          <w:lang w:eastAsia="zh-CN"/>
        </w:rPr>
        <w:t>•</w:t>
      </w:r>
      <w:r>
        <w:rPr>
          <w:lang w:eastAsia="zh-CN"/>
        </w:rPr>
        <w:tab/>
      </w:r>
      <w:r w:rsidRPr="001D14D7">
        <w:rPr>
          <w:lang w:eastAsia="zh-CN"/>
        </w:rPr>
        <w:t xml:space="preserve">Note: The reference measurement timing for one layer for inter-frequency measurement is </w:t>
      </w:r>
      <w:r w:rsidRPr="001D14D7">
        <w:rPr>
          <w:rFonts w:hint="eastAsia"/>
          <w:lang w:eastAsia="zh-CN"/>
        </w:rPr>
        <w:t>u</w:t>
      </w:r>
      <w:r w:rsidRPr="001D14D7">
        <w:rPr>
          <w:lang w:eastAsia="zh-CN"/>
        </w:rPr>
        <w:t>p to UE implementation and shall be based on the timing of one of the target cells.</w:t>
      </w:r>
    </w:p>
    <w:p w14:paraId="4E04F2D8" w14:textId="77777777" w:rsidR="0058566D" w:rsidRDefault="0058566D" w:rsidP="0058566D">
      <w:pPr>
        <w:pStyle w:val="B10"/>
      </w:pPr>
      <w:r>
        <w:t>-</w:t>
      </w:r>
      <w:r>
        <w:tab/>
        <w:t>|CSI_RP1</w:t>
      </w:r>
      <w:r>
        <w:rPr>
          <w:vertAlign w:val="subscript"/>
        </w:rPr>
        <w:t>dBm</w:t>
      </w:r>
      <w:r>
        <w:t xml:space="preserve"> - CSI_RP2</w:t>
      </w:r>
      <w:r>
        <w:rPr>
          <w:vertAlign w:val="subscript"/>
        </w:rPr>
        <w:t>dBm</w:t>
      </w:r>
      <w:r>
        <w:t xml:space="preserve">| </w:t>
      </w:r>
      <w:r>
        <w:rPr>
          <w:rFonts w:hint="eastAsia"/>
        </w:rPr>
        <w:t>≤</w:t>
      </w:r>
      <w:r>
        <w:t xml:space="preserve"> 27 dB</w:t>
      </w:r>
      <w:r>
        <w:rPr>
          <w:noProof/>
          <w:lang w:val="en-US" w:eastAsia="zh-CN"/>
        </w:rPr>
        <w:t xml:space="preserve"> </w:t>
      </w:r>
    </w:p>
    <w:p w14:paraId="2EE536C4" w14:textId="4D7CC9FC" w:rsidR="0058566D" w:rsidRDefault="0058566D" w:rsidP="0058566D">
      <w:pPr>
        <w:pStyle w:val="B10"/>
      </w:pPr>
      <w:r>
        <w:t>-</w:t>
      </w:r>
      <w:r>
        <w:tab/>
        <w:t xml:space="preserve">|Channel 1_Io </w:t>
      </w:r>
      <w:r>
        <w:noBreakHyphen/>
        <w:t xml:space="preserve">Channel 2_Io | </w:t>
      </w:r>
      <w:r>
        <w:sym w:font="Symbol" w:char="F0A3"/>
      </w:r>
      <w:r>
        <w:t xml:space="preserve"> 20 dB</w:t>
      </w:r>
    </w:p>
    <w:p w14:paraId="0F18BC0E" w14:textId="77777777" w:rsidR="0058566D" w:rsidRDefault="0058566D" w:rsidP="0058566D">
      <w:pPr>
        <w:pStyle w:val="TH"/>
      </w:pPr>
      <w:r>
        <w:t>Table 10.1.4.3.2-1: CSI-RSRP Inter frequency relative accuracy in FR1</w:t>
      </w:r>
      <w:r w:rsidRPr="00D1340D">
        <w:t xml:space="preserve"> </w:t>
      </w:r>
    </w:p>
    <w:tbl>
      <w:tblPr>
        <w:tblW w:w="10172" w:type="dxa"/>
        <w:jc w:val="center"/>
        <w:tblLook w:val="01E0" w:firstRow="1" w:lastRow="1" w:firstColumn="1" w:lastColumn="1" w:noHBand="0" w:noVBand="0"/>
      </w:tblPr>
      <w:tblGrid>
        <w:gridCol w:w="1029"/>
        <w:gridCol w:w="1026"/>
        <w:gridCol w:w="798"/>
        <w:gridCol w:w="1958"/>
        <w:gridCol w:w="827"/>
        <w:gridCol w:w="827"/>
        <w:gridCol w:w="827"/>
        <w:gridCol w:w="1440"/>
        <w:gridCol w:w="1440"/>
      </w:tblGrid>
      <w:tr w:rsidR="0058566D" w14:paraId="226E159A" w14:textId="77777777" w:rsidTr="008935F7">
        <w:trPr>
          <w:jc w:val="center"/>
        </w:trPr>
        <w:tc>
          <w:tcPr>
            <w:tcW w:w="2055" w:type="dxa"/>
            <w:gridSpan w:val="2"/>
            <w:tcBorders>
              <w:top w:val="single" w:sz="4" w:space="0" w:color="auto"/>
              <w:left w:val="single" w:sz="4" w:space="0" w:color="auto"/>
              <w:bottom w:val="single" w:sz="6" w:space="0" w:color="auto"/>
              <w:right w:val="single" w:sz="6" w:space="0" w:color="auto"/>
            </w:tcBorders>
            <w:vAlign w:val="center"/>
            <w:hideMark/>
          </w:tcPr>
          <w:p w14:paraId="42F32680" w14:textId="77777777" w:rsidR="0058566D" w:rsidRDefault="0058566D" w:rsidP="008935F7">
            <w:pPr>
              <w:pStyle w:val="TAH"/>
            </w:pPr>
            <w:r>
              <w:t>Accuracy</w:t>
            </w:r>
          </w:p>
        </w:tc>
        <w:tc>
          <w:tcPr>
            <w:tcW w:w="8117" w:type="dxa"/>
            <w:gridSpan w:val="7"/>
            <w:tcBorders>
              <w:top w:val="single" w:sz="4" w:space="0" w:color="auto"/>
              <w:left w:val="single" w:sz="6" w:space="0" w:color="auto"/>
              <w:bottom w:val="single" w:sz="6" w:space="0" w:color="auto"/>
              <w:right w:val="single" w:sz="4" w:space="0" w:color="auto"/>
            </w:tcBorders>
            <w:vAlign w:val="center"/>
            <w:hideMark/>
          </w:tcPr>
          <w:p w14:paraId="0518C5EF" w14:textId="77777777" w:rsidR="0058566D" w:rsidRDefault="0058566D" w:rsidP="008935F7">
            <w:pPr>
              <w:pStyle w:val="TAH"/>
            </w:pPr>
            <w:r>
              <w:t>Conditions</w:t>
            </w:r>
          </w:p>
        </w:tc>
      </w:tr>
      <w:tr w:rsidR="0058566D" w14:paraId="2C1FAECF" w14:textId="77777777" w:rsidTr="008935F7">
        <w:trPr>
          <w:jc w:val="center"/>
        </w:trPr>
        <w:tc>
          <w:tcPr>
            <w:tcW w:w="1029" w:type="dxa"/>
            <w:tcBorders>
              <w:top w:val="single" w:sz="6" w:space="0" w:color="auto"/>
              <w:left w:val="single" w:sz="4" w:space="0" w:color="auto"/>
              <w:bottom w:val="nil"/>
              <w:right w:val="single" w:sz="6" w:space="0" w:color="auto"/>
            </w:tcBorders>
            <w:vAlign w:val="center"/>
            <w:hideMark/>
          </w:tcPr>
          <w:p w14:paraId="743F7C20" w14:textId="77777777" w:rsidR="0058566D" w:rsidRDefault="0058566D" w:rsidP="008935F7">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4289C6E5" w14:textId="77777777" w:rsidR="0058566D" w:rsidRDefault="0058566D" w:rsidP="008935F7">
            <w:pPr>
              <w:pStyle w:val="TAH"/>
            </w:pPr>
            <w:r>
              <w:t>Extreme condition</w:t>
            </w:r>
          </w:p>
        </w:tc>
        <w:tc>
          <w:tcPr>
            <w:tcW w:w="798" w:type="dxa"/>
            <w:tcBorders>
              <w:top w:val="single" w:sz="6" w:space="0" w:color="auto"/>
              <w:left w:val="single" w:sz="6" w:space="0" w:color="auto"/>
              <w:bottom w:val="nil"/>
              <w:right w:val="single" w:sz="6" w:space="0" w:color="auto"/>
            </w:tcBorders>
            <w:vAlign w:val="center"/>
            <w:hideMark/>
          </w:tcPr>
          <w:p w14:paraId="3AA00EFE" w14:textId="77777777" w:rsidR="0058566D" w:rsidRDefault="0058566D" w:rsidP="008935F7">
            <w:pPr>
              <w:pStyle w:val="TAH"/>
            </w:pPr>
            <w:r>
              <w:t>CSI-RS Ês/Iot</w:t>
            </w:r>
            <w:r>
              <w:rPr>
                <w:vertAlign w:val="superscript"/>
              </w:rPr>
              <w:t xml:space="preserve"> Note 2</w:t>
            </w:r>
          </w:p>
        </w:tc>
        <w:tc>
          <w:tcPr>
            <w:tcW w:w="7319" w:type="dxa"/>
            <w:gridSpan w:val="6"/>
            <w:tcBorders>
              <w:top w:val="single" w:sz="6" w:space="0" w:color="auto"/>
              <w:left w:val="single" w:sz="6" w:space="0" w:color="auto"/>
              <w:bottom w:val="single" w:sz="6" w:space="0" w:color="auto"/>
              <w:right w:val="single" w:sz="4" w:space="0" w:color="auto"/>
            </w:tcBorders>
            <w:vAlign w:val="center"/>
            <w:hideMark/>
          </w:tcPr>
          <w:p w14:paraId="296BEAE9" w14:textId="77777777" w:rsidR="0058566D" w:rsidRDefault="0058566D" w:rsidP="008935F7">
            <w:pPr>
              <w:pStyle w:val="TAH"/>
            </w:pPr>
            <w:r>
              <w:t>Io</w:t>
            </w:r>
            <w:r>
              <w:rPr>
                <w:vertAlign w:val="superscript"/>
              </w:rPr>
              <w:t xml:space="preserve"> Note 1</w:t>
            </w:r>
            <w:r>
              <w:t xml:space="preserve"> range</w:t>
            </w:r>
          </w:p>
        </w:tc>
      </w:tr>
      <w:tr w:rsidR="0058566D" w14:paraId="3978059E" w14:textId="77777777" w:rsidTr="008935F7">
        <w:trPr>
          <w:jc w:val="center"/>
        </w:trPr>
        <w:tc>
          <w:tcPr>
            <w:tcW w:w="1029" w:type="dxa"/>
            <w:tcBorders>
              <w:top w:val="nil"/>
              <w:left w:val="single" w:sz="4" w:space="0" w:color="auto"/>
              <w:bottom w:val="single" w:sz="6" w:space="0" w:color="auto"/>
              <w:right w:val="single" w:sz="6" w:space="0" w:color="auto"/>
            </w:tcBorders>
            <w:vAlign w:val="center"/>
          </w:tcPr>
          <w:p w14:paraId="5681FD96" w14:textId="77777777" w:rsidR="0058566D" w:rsidRDefault="0058566D" w:rsidP="008935F7">
            <w:pPr>
              <w:pStyle w:val="TAH"/>
            </w:pPr>
          </w:p>
        </w:tc>
        <w:tc>
          <w:tcPr>
            <w:tcW w:w="1026" w:type="dxa"/>
            <w:tcBorders>
              <w:top w:val="nil"/>
              <w:left w:val="single" w:sz="6" w:space="0" w:color="auto"/>
              <w:bottom w:val="single" w:sz="6" w:space="0" w:color="auto"/>
              <w:right w:val="single" w:sz="6" w:space="0" w:color="auto"/>
            </w:tcBorders>
            <w:vAlign w:val="center"/>
          </w:tcPr>
          <w:p w14:paraId="53EA3AC8" w14:textId="77777777" w:rsidR="0058566D" w:rsidRDefault="0058566D" w:rsidP="008935F7">
            <w:pPr>
              <w:pStyle w:val="TAH"/>
            </w:pPr>
          </w:p>
        </w:tc>
        <w:tc>
          <w:tcPr>
            <w:tcW w:w="798" w:type="dxa"/>
            <w:tcBorders>
              <w:top w:val="nil"/>
              <w:left w:val="single" w:sz="6" w:space="0" w:color="auto"/>
              <w:bottom w:val="single" w:sz="6" w:space="0" w:color="auto"/>
              <w:right w:val="single" w:sz="6" w:space="0" w:color="auto"/>
            </w:tcBorders>
            <w:vAlign w:val="center"/>
          </w:tcPr>
          <w:p w14:paraId="5BDDFBF2" w14:textId="77777777" w:rsidR="0058566D" w:rsidRDefault="0058566D" w:rsidP="008935F7">
            <w:pPr>
              <w:pStyle w:val="TAH"/>
            </w:pPr>
          </w:p>
        </w:tc>
        <w:tc>
          <w:tcPr>
            <w:tcW w:w="1958" w:type="dxa"/>
            <w:tcBorders>
              <w:top w:val="single" w:sz="6" w:space="0" w:color="auto"/>
              <w:left w:val="single" w:sz="6" w:space="0" w:color="auto"/>
              <w:bottom w:val="single" w:sz="6" w:space="0" w:color="auto"/>
              <w:right w:val="single" w:sz="4" w:space="0" w:color="auto"/>
            </w:tcBorders>
            <w:vAlign w:val="center"/>
            <w:hideMark/>
          </w:tcPr>
          <w:p w14:paraId="6E176554" w14:textId="77777777" w:rsidR="0058566D" w:rsidRDefault="0058566D" w:rsidP="008935F7">
            <w:pPr>
              <w:pStyle w:val="TAH"/>
            </w:pPr>
            <w:r>
              <w:t>NR operating band groups</w:t>
            </w:r>
            <w:r>
              <w:rPr>
                <w:vertAlign w:val="superscript"/>
              </w:rPr>
              <w:t xml:space="preserve"> Note 4</w:t>
            </w:r>
          </w:p>
        </w:tc>
        <w:tc>
          <w:tcPr>
            <w:tcW w:w="3921" w:type="dxa"/>
            <w:gridSpan w:val="4"/>
            <w:tcBorders>
              <w:top w:val="single" w:sz="4" w:space="0" w:color="auto"/>
              <w:left w:val="single" w:sz="4" w:space="0" w:color="auto"/>
              <w:bottom w:val="single" w:sz="6" w:space="0" w:color="auto"/>
              <w:right w:val="single" w:sz="6" w:space="0" w:color="auto"/>
            </w:tcBorders>
            <w:vAlign w:val="center"/>
            <w:hideMark/>
          </w:tcPr>
          <w:p w14:paraId="12972F5F" w14:textId="77777777" w:rsidR="0058566D" w:rsidRDefault="0058566D" w:rsidP="008935F7">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4D00F9B2" w14:textId="77777777" w:rsidR="0058566D" w:rsidRDefault="0058566D" w:rsidP="008935F7">
            <w:pPr>
              <w:pStyle w:val="TAH"/>
            </w:pPr>
            <w:r>
              <w:t>Maximum Io</w:t>
            </w:r>
          </w:p>
        </w:tc>
      </w:tr>
      <w:tr w:rsidR="0058566D" w14:paraId="368AF743" w14:textId="77777777" w:rsidTr="008935F7">
        <w:trPr>
          <w:trHeight w:val="308"/>
          <w:jc w:val="center"/>
        </w:trPr>
        <w:tc>
          <w:tcPr>
            <w:tcW w:w="1029" w:type="dxa"/>
            <w:tcBorders>
              <w:top w:val="single" w:sz="6" w:space="0" w:color="auto"/>
              <w:left w:val="single" w:sz="4" w:space="0" w:color="auto"/>
              <w:bottom w:val="nil"/>
              <w:right w:val="single" w:sz="6" w:space="0" w:color="auto"/>
            </w:tcBorders>
            <w:vAlign w:val="center"/>
            <w:hideMark/>
          </w:tcPr>
          <w:p w14:paraId="4C7C6413" w14:textId="77777777" w:rsidR="0058566D" w:rsidRDefault="0058566D" w:rsidP="008935F7">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5B181966" w14:textId="77777777" w:rsidR="0058566D" w:rsidRDefault="0058566D" w:rsidP="008935F7">
            <w:pPr>
              <w:pStyle w:val="TAH"/>
            </w:pPr>
            <w:r>
              <w:t>dB</w:t>
            </w:r>
          </w:p>
        </w:tc>
        <w:tc>
          <w:tcPr>
            <w:tcW w:w="798" w:type="dxa"/>
            <w:tcBorders>
              <w:top w:val="single" w:sz="6" w:space="0" w:color="auto"/>
              <w:left w:val="single" w:sz="6" w:space="0" w:color="auto"/>
              <w:bottom w:val="nil"/>
              <w:right w:val="single" w:sz="6" w:space="0" w:color="auto"/>
            </w:tcBorders>
            <w:vAlign w:val="center"/>
            <w:hideMark/>
          </w:tcPr>
          <w:p w14:paraId="4693387E" w14:textId="77777777" w:rsidR="0058566D" w:rsidRDefault="0058566D" w:rsidP="008935F7">
            <w:pPr>
              <w:pStyle w:val="TAH"/>
            </w:pPr>
            <w:r>
              <w:t>dB</w:t>
            </w:r>
          </w:p>
        </w:tc>
        <w:tc>
          <w:tcPr>
            <w:tcW w:w="1958" w:type="dxa"/>
            <w:tcBorders>
              <w:top w:val="single" w:sz="6" w:space="0" w:color="auto"/>
              <w:left w:val="single" w:sz="6" w:space="0" w:color="auto"/>
              <w:bottom w:val="nil"/>
              <w:right w:val="single" w:sz="4" w:space="0" w:color="auto"/>
            </w:tcBorders>
            <w:vAlign w:val="center"/>
          </w:tcPr>
          <w:p w14:paraId="18EB1CD5" w14:textId="77777777" w:rsidR="0058566D" w:rsidRDefault="0058566D" w:rsidP="008935F7">
            <w:pPr>
              <w:pStyle w:val="TAH"/>
            </w:pPr>
          </w:p>
        </w:tc>
        <w:tc>
          <w:tcPr>
            <w:tcW w:w="2481" w:type="dxa"/>
            <w:gridSpan w:val="3"/>
            <w:tcBorders>
              <w:top w:val="single" w:sz="6" w:space="0" w:color="auto"/>
              <w:left w:val="single" w:sz="4" w:space="0" w:color="auto"/>
              <w:bottom w:val="single" w:sz="6" w:space="0" w:color="auto"/>
              <w:right w:val="single" w:sz="6" w:space="0" w:color="auto"/>
            </w:tcBorders>
            <w:vAlign w:val="center"/>
            <w:hideMark/>
          </w:tcPr>
          <w:p w14:paraId="0EBDCFCE" w14:textId="77777777" w:rsidR="0058566D" w:rsidRDefault="0058566D" w:rsidP="008935F7">
            <w:pPr>
              <w:pStyle w:val="TAH"/>
            </w:pPr>
            <w:r>
              <w:rPr>
                <w:rFonts w:cs="Arial"/>
              </w:rPr>
              <w:t xml:space="preserve">dBm / </w:t>
            </w:r>
            <w:r>
              <w:t>SCS</w:t>
            </w:r>
            <w:r>
              <w:rPr>
                <w:vertAlign w:val="subscript"/>
              </w:rPr>
              <w:t>CSI-RS</w:t>
            </w:r>
          </w:p>
        </w:tc>
        <w:tc>
          <w:tcPr>
            <w:tcW w:w="1440" w:type="dxa"/>
            <w:tcBorders>
              <w:top w:val="single" w:sz="6" w:space="0" w:color="auto"/>
              <w:left w:val="single" w:sz="6" w:space="0" w:color="auto"/>
              <w:bottom w:val="nil"/>
              <w:right w:val="single" w:sz="6" w:space="0" w:color="auto"/>
            </w:tcBorders>
            <w:vAlign w:val="center"/>
            <w:hideMark/>
          </w:tcPr>
          <w:p w14:paraId="22D9BCB2" w14:textId="77777777" w:rsidR="0058566D" w:rsidRDefault="0058566D" w:rsidP="008935F7">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1628CE9C" w14:textId="77777777" w:rsidR="0058566D" w:rsidRDefault="0058566D" w:rsidP="008935F7">
            <w:pPr>
              <w:pStyle w:val="TAH"/>
            </w:pPr>
            <w:r>
              <w:t>dBm/BW</w:t>
            </w:r>
            <w:r>
              <w:rPr>
                <w:vertAlign w:val="subscript"/>
              </w:rPr>
              <w:t>Channel</w:t>
            </w:r>
          </w:p>
        </w:tc>
      </w:tr>
      <w:tr w:rsidR="0058566D" w14:paraId="08836F77" w14:textId="77777777" w:rsidTr="008935F7">
        <w:trPr>
          <w:trHeight w:val="307"/>
          <w:jc w:val="center"/>
        </w:trPr>
        <w:tc>
          <w:tcPr>
            <w:tcW w:w="1029" w:type="dxa"/>
            <w:tcBorders>
              <w:top w:val="nil"/>
              <w:left w:val="single" w:sz="4" w:space="0" w:color="auto"/>
              <w:bottom w:val="single" w:sz="6" w:space="0" w:color="auto"/>
              <w:right w:val="single" w:sz="6" w:space="0" w:color="auto"/>
            </w:tcBorders>
          </w:tcPr>
          <w:p w14:paraId="0C3C8ED9" w14:textId="77777777" w:rsidR="0058566D" w:rsidRDefault="0058566D" w:rsidP="008935F7">
            <w:pPr>
              <w:pStyle w:val="TAH"/>
            </w:pPr>
          </w:p>
        </w:tc>
        <w:tc>
          <w:tcPr>
            <w:tcW w:w="1026" w:type="dxa"/>
            <w:tcBorders>
              <w:top w:val="nil"/>
              <w:left w:val="single" w:sz="6" w:space="0" w:color="auto"/>
              <w:bottom w:val="single" w:sz="6" w:space="0" w:color="auto"/>
              <w:right w:val="single" w:sz="6" w:space="0" w:color="auto"/>
            </w:tcBorders>
          </w:tcPr>
          <w:p w14:paraId="0A40D594" w14:textId="77777777" w:rsidR="0058566D" w:rsidRDefault="0058566D" w:rsidP="008935F7">
            <w:pPr>
              <w:pStyle w:val="TAH"/>
            </w:pPr>
          </w:p>
        </w:tc>
        <w:tc>
          <w:tcPr>
            <w:tcW w:w="798" w:type="dxa"/>
            <w:tcBorders>
              <w:top w:val="nil"/>
              <w:left w:val="single" w:sz="6" w:space="0" w:color="auto"/>
              <w:bottom w:val="single" w:sz="6" w:space="0" w:color="auto"/>
              <w:right w:val="single" w:sz="6" w:space="0" w:color="auto"/>
            </w:tcBorders>
          </w:tcPr>
          <w:p w14:paraId="744E51D3" w14:textId="77777777" w:rsidR="0058566D" w:rsidRDefault="0058566D" w:rsidP="008935F7">
            <w:pPr>
              <w:pStyle w:val="TAH"/>
            </w:pPr>
          </w:p>
        </w:tc>
        <w:tc>
          <w:tcPr>
            <w:tcW w:w="1958" w:type="dxa"/>
            <w:tcBorders>
              <w:top w:val="nil"/>
              <w:left w:val="single" w:sz="6" w:space="0" w:color="auto"/>
              <w:bottom w:val="single" w:sz="6" w:space="0" w:color="auto"/>
              <w:right w:val="single" w:sz="4" w:space="0" w:color="auto"/>
            </w:tcBorders>
          </w:tcPr>
          <w:p w14:paraId="7BA5FB4B" w14:textId="77777777" w:rsidR="0058566D" w:rsidRDefault="0058566D" w:rsidP="008935F7">
            <w:pPr>
              <w:pStyle w:val="TAH"/>
            </w:pPr>
          </w:p>
        </w:tc>
        <w:tc>
          <w:tcPr>
            <w:tcW w:w="827" w:type="dxa"/>
            <w:tcBorders>
              <w:top w:val="single" w:sz="6" w:space="0" w:color="auto"/>
              <w:left w:val="single" w:sz="4" w:space="0" w:color="auto"/>
              <w:bottom w:val="single" w:sz="6" w:space="0" w:color="auto"/>
              <w:right w:val="single" w:sz="6" w:space="0" w:color="auto"/>
            </w:tcBorders>
            <w:hideMark/>
          </w:tcPr>
          <w:p w14:paraId="29A65EF7" w14:textId="77777777" w:rsidR="0058566D" w:rsidRDefault="0058566D" w:rsidP="008935F7">
            <w:pPr>
              <w:pStyle w:val="TAH"/>
              <w:rPr>
                <w:rFonts w:cs="Arial"/>
              </w:rPr>
            </w:pPr>
            <w:r>
              <w:t>SCS</w:t>
            </w:r>
            <w:r>
              <w:rPr>
                <w:vertAlign w:val="subscript"/>
              </w:rPr>
              <w:t>CSI-RS</w:t>
            </w:r>
            <w:r>
              <w:rPr>
                <w:rFonts w:cs="Arial"/>
              </w:rPr>
              <w:t xml:space="preserve"> = 15 kHz</w:t>
            </w:r>
          </w:p>
        </w:tc>
        <w:tc>
          <w:tcPr>
            <w:tcW w:w="827" w:type="dxa"/>
            <w:tcBorders>
              <w:top w:val="single" w:sz="6" w:space="0" w:color="auto"/>
              <w:left w:val="single" w:sz="4" w:space="0" w:color="auto"/>
              <w:bottom w:val="single" w:sz="6" w:space="0" w:color="auto"/>
              <w:right w:val="single" w:sz="6" w:space="0" w:color="auto"/>
            </w:tcBorders>
            <w:hideMark/>
          </w:tcPr>
          <w:p w14:paraId="6E95E0CD" w14:textId="77777777" w:rsidR="0058566D" w:rsidRDefault="0058566D" w:rsidP="008935F7">
            <w:pPr>
              <w:pStyle w:val="TAH"/>
              <w:rPr>
                <w:rFonts w:cs="Arial"/>
              </w:rPr>
            </w:pPr>
            <w:r>
              <w:t>SCS</w:t>
            </w:r>
            <w:r>
              <w:rPr>
                <w:vertAlign w:val="subscript"/>
              </w:rPr>
              <w:t>CSI-RS</w:t>
            </w:r>
            <w:r>
              <w:rPr>
                <w:rFonts w:cs="Arial"/>
              </w:rPr>
              <w:t xml:space="preserve"> = 30 kHz</w:t>
            </w:r>
          </w:p>
        </w:tc>
        <w:tc>
          <w:tcPr>
            <w:tcW w:w="827" w:type="dxa"/>
            <w:tcBorders>
              <w:top w:val="single" w:sz="6" w:space="0" w:color="auto"/>
              <w:left w:val="single" w:sz="4" w:space="0" w:color="auto"/>
              <w:bottom w:val="single" w:sz="6" w:space="0" w:color="auto"/>
              <w:right w:val="single" w:sz="6" w:space="0" w:color="auto"/>
            </w:tcBorders>
            <w:hideMark/>
          </w:tcPr>
          <w:p w14:paraId="06DE05B9" w14:textId="77777777" w:rsidR="0058566D" w:rsidRDefault="0058566D" w:rsidP="008935F7">
            <w:pPr>
              <w:pStyle w:val="TAH"/>
              <w:rPr>
                <w:rFonts w:cs="Arial"/>
              </w:rPr>
            </w:pPr>
            <w:r>
              <w:t>SCS</w:t>
            </w:r>
            <w:r>
              <w:rPr>
                <w:vertAlign w:val="subscript"/>
              </w:rPr>
              <w:t>CSI-RS</w:t>
            </w:r>
            <w:r>
              <w:rPr>
                <w:rFonts w:cs="Arial"/>
              </w:rPr>
              <w:t xml:space="preserve"> = 60 kHz</w:t>
            </w:r>
          </w:p>
        </w:tc>
        <w:tc>
          <w:tcPr>
            <w:tcW w:w="1440" w:type="dxa"/>
            <w:tcBorders>
              <w:top w:val="nil"/>
              <w:left w:val="single" w:sz="6" w:space="0" w:color="auto"/>
              <w:bottom w:val="single" w:sz="6" w:space="0" w:color="auto"/>
              <w:right w:val="single" w:sz="6" w:space="0" w:color="auto"/>
            </w:tcBorders>
          </w:tcPr>
          <w:p w14:paraId="0E8E3764" w14:textId="77777777" w:rsidR="0058566D" w:rsidRDefault="0058566D" w:rsidP="008935F7">
            <w:pPr>
              <w:pStyle w:val="TAH"/>
            </w:pPr>
          </w:p>
        </w:tc>
        <w:tc>
          <w:tcPr>
            <w:tcW w:w="1440" w:type="dxa"/>
            <w:tcBorders>
              <w:top w:val="nil"/>
              <w:left w:val="single" w:sz="6" w:space="0" w:color="auto"/>
              <w:bottom w:val="single" w:sz="6" w:space="0" w:color="auto"/>
              <w:right w:val="single" w:sz="4" w:space="0" w:color="auto"/>
            </w:tcBorders>
          </w:tcPr>
          <w:p w14:paraId="00EFBF1D" w14:textId="77777777" w:rsidR="0058566D" w:rsidRDefault="0058566D" w:rsidP="008935F7">
            <w:pPr>
              <w:pStyle w:val="TAH"/>
            </w:pPr>
          </w:p>
        </w:tc>
      </w:tr>
      <w:tr w:rsidR="0058566D" w14:paraId="402A34A2" w14:textId="77777777" w:rsidTr="008935F7">
        <w:trPr>
          <w:jc w:val="center"/>
        </w:trPr>
        <w:tc>
          <w:tcPr>
            <w:tcW w:w="1029" w:type="dxa"/>
            <w:tcBorders>
              <w:top w:val="single" w:sz="6" w:space="0" w:color="auto"/>
              <w:left w:val="single" w:sz="4" w:space="0" w:color="auto"/>
              <w:bottom w:val="nil"/>
              <w:right w:val="single" w:sz="6" w:space="0" w:color="auto"/>
            </w:tcBorders>
          </w:tcPr>
          <w:p w14:paraId="3557D6FD" w14:textId="77777777" w:rsidR="0058566D" w:rsidRDefault="0058566D" w:rsidP="008935F7">
            <w:pPr>
              <w:pStyle w:val="TAC"/>
            </w:pPr>
          </w:p>
        </w:tc>
        <w:tc>
          <w:tcPr>
            <w:tcW w:w="1026" w:type="dxa"/>
            <w:tcBorders>
              <w:top w:val="single" w:sz="6" w:space="0" w:color="auto"/>
              <w:left w:val="single" w:sz="6" w:space="0" w:color="auto"/>
              <w:bottom w:val="nil"/>
              <w:right w:val="single" w:sz="6" w:space="0" w:color="auto"/>
            </w:tcBorders>
          </w:tcPr>
          <w:p w14:paraId="05DF7414" w14:textId="77777777" w:rsidR="0058566D" w:rsidRDefault="0058566D" w:rsidP="008935F7">
            <w:pPr>
              <w:pStyle w:val="TAC"/>
            </w:pPr>
          </w:p>
        </w:tc>
        <w:tc>
          <w:tcPr>
            <w:tcW w:w="798" w:type="dxa"/>
            <w:tcBorders>
              <w:top w:val="single" w:sz="6" w:space="0" w:color="auto"/>
              <w:left w:val="single" w:sz="6" w:space="0" w:color="auto"/>
              <w:bottom w:val="nil"/>
              <w:right w:val="single" w:sz="6" w:space="0" w:color="auto"/>
            </w:tcBorders>
          </w:tcPr>
          <w:p w14:paraId="6874DC06" w14:textId="77777777" w:rsidR="0058566D" w:rsidRDefault="0058566D" w:rsidP="008935F7">
            <w:pPr>
              <w:pStyle w:val="TAC"/>
            </w:pPr>
          </w:p>
        </w:tc>
        <w:tc>
          <w:tcPr>
            <w:tcW w:w="1958" w:type="dxa"/>
            <w:tcBorders>
              <w:top w:val="single" w:sz="6" w:space="0" w:color="auto"/>
              <w:left w:val="single" w:sz="6" w:space="0" w:color="auto"/>
              <w:bottom w:val="single" w:sz="6" w:space="0" w:color="auto"/>
              <w:right w:val="single" w:sz="4" w:space="0" w:color="auto"/>
            </w:tcBorders>
            <w:hideMark/>
          </w:tcPr>
          <w:p w14:paraId="6629AF93" w14:textId="77777777" w:rsidR="0058566D" w:rsidRDefault="0058566D" w:rsidP="008935F7">
            <w:pPr>
              <w:pStyle w:val="TAC"/>
            </w:pPr>
            <w:r>
              <w:t>NR_FDD_FR1_A, NR_TDD_FR1_A,</w:t>
            </w:r>
          </w:p>
          <w:p w14:paraId="68419761" w14:textId="77777777" w:rsidR="0058566D" w:rsidRDefault="0058566D" w:rsidP="008935F7">
            <w:pPr>
              <w:pStyle w:val="TAC"/>
            </w:pPr>
            <w:r>
              <w:t>NR_SDL_FR1_A</w:t>
            </w:r>
          </w:p>
        </w:tc>
        <w:tc>
          <w:tcPr>
            <w:tcW w:w="827" w:type="dxa"/>
            <w:tcBorders>
              <w:top w:val="single" w:sz="6" w:space="0" w:color="auto"/>
              <w:left w:val="single" w:sz="4" w:space="0" w:color="auto"/>
              <w:bottom w:val="single" w:sz="6" w:space="0" w:color="auto"/>
              <w:right w:val="single" w:sz="6" w:space="0" w:color="auto"/>
            </w:tcBorders>
            <w:hideMark/>
          </w:tcPr>
          <w:p w14:paraId="3759638B" w14:textId="77777777" w:rsidR="0058566D" w:rsidRDefault="0058566D" w:rsidP="008935F7">
            <w:pPr>
              <w:pStyle w:val="TAC"/>
            </w:pPr>
            <w:r>
              <w:t>-121</w:t>
            </w:r>
          </w:p>
        </w:tc>
        <w:tc>
          <w:tcPr>
            <w:tcW w:w="827" w:type="dxa"/>
            <w:tcBorders>
              <w:top w:val="single" w:sz="6" w:space="0" w:color="auto"/>
              <w:left w:val="single" w:sz="4" w:space="0" w:color="auto"/>
              <w:bottom w:val="single" w:sz="6" w:space="0" w:color="auto"/>
              <w:right w:val="single" w:sz="6" w:space="0" w:color="auto"/>
            </w:tcBorders>
            <w:hideMark/>
          </w:tcPr>
          <w:p w14:paraId="7B4C9645" w14:textId="77777777" w:rsidR="0058566D" w:rsidRDefault="0058566D" w:rsidP="008935F7">
            <w:pPr>
              <w:pStyle w:val="TAC"/>
            </w:pPr>
            <w:r>
              <w:t>-118</w:t>
            </w:r>
          </w:p>
        </w:tc>
        <w:tc>
          <w:tcPr>
            <w:tcW w:w="827" w:type="dxa"/>
            <w:tcBorders>
              <w:top w:val="single" w:sz="6" w:space="0" w:color="auto"/>
              <w:left w:val="single" w:sz="4" w:space="0" w:color="auto"/>
              <w:bottom w:val="single" w:sz="6" w:space="0" w:color="auto"/>
              <w:right w:val="single" w:sz="6" w:space="0" w:color="auto"/>
            </w:tcBorders>
            <w:hideMark/>
          </w:tcPr>
          <w:p w14:paraId="442DDFE9" w14:textId="77777777" w:rsidR="0058566D" w:rsidRDefault="0058566D" w:rsidP="008935F7">
            <w:pPr>
              <w:pStyle w:val="TAC"/>
            </w:pPr>
            <w:r>
              <w:t>-115</w:t>
            </w:r>
          </w:p>
        </w:tc>
        <w:tc>
          <w:tcPr>
            <w:tcW w:w="1440" w:type="dxa"/>
            <w:tcBorders>
              <w:top w:val="single" w:sz="6" w:space="0" w:color="auto"/>
              <w:left w:val="single" w:sz="6" w:space="0" w:color="auto"/>
              <w:bottom w:val="single" w:sz="6" w:space="0" w:color="auto"/>
              <w:right w:val="single" w:sz="6" w:space="0" w:color="auto"/>
            </w:tcBorders>
            <w:hideMark/>
          </w:tcPr>
          <w:p w14:paraId="2EF3B773"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6D18D65" w14:textId="77777777" w:rsidR="0058566D" w:rsidRDefault="0058566D" w:rsidP="008935F7">
            <w:pPr>
              <w:pStyle w:val="TAC"/>
            </w:pPr>
            <w:r>
              <w:t>-50</w:t>
            </w:r>
          </w:p>
        </w:tc>
      </w:tr>
      <w:tr w:rsidR="0058566D" w14:paraId="691B2B8B" w14:textId="77777777" w:rsidTr="008935F7">
        <w:trPr>
          <w:jc w:val="center"/>
        </w:trPr>
        <w:tc>
          <w:tcPr>
            <w:tcW w:w="1029" w:type="dxa"/>
            <w:tcBorders>
              <w:top w:val="nil"/>
              <w:left w:val="single" w:sz="4" w:space="0" w:color="auto"/>
              <w:bottom w:val="nil"/>
              <w:right w:val="single" w:sz="6" w:space="0" w:color="auto"/>
            </w:tcBorders>
          </w:tcPr>
          <w:p w14:paraId="2E31F5A2" w14:textId="77777777" w:rsidR="0058566D" w:rsidRDefault="0058566D" w:rsidP="008935F7">
            <w:pPr>
              <w:pStyle w:val="TAC"/>
            </w:pPr>
          </w:p>
        </w:tc>
        <w:tc>
          <w:tcPr>
            <w:tcW w:w="1026" w:type="dxa"/>
            <w:tcBorders>
              <w:top w:val="nil"/>
              <w:left w:val="single" w:sz="6" w:space="0" w:color="auto"/>
              <w:bottom w:val="nil"/>
              <w:right w:val="single" w:sz="6" w:space="0" w:color="auto"/>
            </w:tcBorders>
          </w:tcPr>
          <w:p w14:paraId="4DA905F7" w14:textId="77777777" w:rsidR="0058566D" w:rsidRDefault="0058566D" w:rsidP="008935F7">
            <w:pPr>
              <w:pStyle w:val="TAC"/>
            </w:pPr>
          </w:p>
        </w:tc>
        <w:tc>
          <w:tcPr>
            <w:tcW w:w="798" w:type="dxa"/>
            <w:tcBorders>
              <w:top w:val="nil"/>
              <w:left w:val="single" w:sz="6" w:space="0" w:color="auto"/>
              <w:bottom w:val="nil"/>
              <w:right w:val="single" w:sz="6" w:space="0" w:color="auto"/>
            </w:tcBorders>
          </w:tcPr>
          <w:p w14:paraId="6856C4D2" w14:textId="77777777" w:rsidR="0058566D" w:rsidRDefault="0058566D" w:rsidP="008935F7">
            <w:pPr>
              <w:pStyle w:val="TAC"/>
            </w:pPr>
          </w:p>
        </w:tc>
        <w:tc>
          <w:tcPr>
            <w:tcW w:w="1958" w:type="dxa"/>
            <w:tcBorders>
              <w:top w:val="single" w:sz="6" w:space="0" w:color="auto"/>
              <w:left w:val="single" w:sz="6" w:space="0" w:color="auto"/>
              <w:bottom w:val="single" w:sz="6" w:space="0" w:color="auto"/>
              <w:right w:val="single" w:sz="4" w:space="0" w:color="auto"/>
            </w:tcBorders>
            <w:hideMark/>
          </w:tcPr>
          <w:p w14:paraId="63C9A24D" w14:textId="77777777" w:rsidR="0058566D" w:rsidRDefault="0058566D" w:rsidP="008935F7">
            <w:pPr>
              <w:pStyle w:val="TAC"/>
            </w:pPr>
            <w:r>
              <w:t>NR_FDD_FR1_B</w:t>
            </w:r>
          </w:p>
        </w:tc>
        <w:tc>
          <w:tcPr>
            <w:tcW w:w="827" w:type="dxa"/>
            <w:tcBorders>
              <w:top w:val="single" w:sz="6" w:space="0" w:color="auto"/>
              <w:left w:val="single" w:sz="4" w:space="0" w:color="auto"/>
              <w:bottom w:val="single" w:sz="6" w:space="0" w:color="auto"/>
              <w:right w:val="single" w:sz="6" w:space="0" w:color="auto"/>
            </w:tcBorders>
            <w:hideMark/>
          </w:tcPr>
          <w:p w14:paraId="49644109" w14:textId="77777777" w:rsidR="0058566D" w:rsidRDefault="0058566D" w:rsidP="008935F7">
            <w:pPr>
              <w:pStyle w:val="TAC"/>
            </w:pPr>
            <w:r>
              <w:t>-120.5</w:t>
            </w:r>
          </w:p>
        </w:tc>
        <w:tc>
          <w:tcPr>
            <w:tcW w:w="827" w:type="dxa"/>
            <w:tcBorders>
              <w:top w:val="single" w:sz="6" w:space="0" w:color="auto"/>
              <w:left w:val="single" w:sz="4" w:space="0" w:color="auto"/>
              <w:bottom w:val="single" w:sz="6" w:space="0" w:color="auto"/>
              <w:right w:val="single" w:sz="6" w:space="0" w:color="auto"/>
            </w:tcBorders>
            <w:hideMark/>
          </w:tcPr>
          <w:p w14:paraId="261FC0AD" w14:textId="77777777" w:rsidR="0058566D" w:rsidRDefault="0058566D" w:rsidP="008935F7">
            <w:pPr>
              <w:pStyle w:val="TAC"/>
              <w:rPr>
                <w:lang w:val="sv-SE"/>
              </w:rPr>
            </w:pPr>
            <w:r>
              <w:t>-117.5</w:t>
            </w:r>
          </w:p>
        </w:tc>
        <w:tc>
          <w:tcPr>
            <w:tcW w:w="827" w:type="dxa"/>
            <w:tcBorders>
              <w:top w:val="single" w:sz="6" w:space="0" w:color="auto"/>
              <w:left w:val="single" w:sz="4" w:space="0" w:color="auto"/>
              <w:bottom w:val="single" w:sz="6" w:space="0" w:color="auto"/>
              <w:right w:val="single" w:sz="6" w:space="0" w:color="auto"/>
            </w:tcBorders>
            <w:hideMark/>
          </w:tcPr>
          <w:p w14:paraId="2B2F6E7D" w14:textId="77777777" w:rsidR="0058566D" w:rsidRDefault="0058566D" w:rsidP="008935F7">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55AE6961" w14:textId="77777777" w:rsidR="0058566D" w:rsidRDefault="0058566D" w:rsidP="008935F7">
            <w:pPr>
              <w:pStyle w:val="TAC"/>
            </w:pPr>
            <w:r>
              <w:rPr>
                <w:lang w:eastAsia="ja-JP"/>
              </w:rPr>
              <w:t>N/A</w:t>
            </w:r>
          </w:p>
        </w:tc>
        <w:tc>
          <w:tcPr>
            <w:tcW w:w="1440" w:type="dxa"/>
            <w:tcBorders>
              <w:top w:val="single" w:sz="6" w:space="0" w:color="auto"/>
              <w:left w:val="single" w:sz="6" w:space="0" w:color="auto"/>
              <w:bottom w:val="single" w:sz="6" w:space="0" w:color="auto"/>
              <w:right w:val="single" w:sz="4" w:space="0" w:color="auto"/>
            </w:tcBorders>
            <w:hideMark/>
          </w:tcPr>
          <w:p w14:paraId="1F0DA261" w14:textId="77777777" w:rsidR="0058566D" w:rsidRDefault="0058566D" w:rsidP="008935F7">
            <w:pPr>
              <w:pStyle w:val="TAC"/>
            </w:pPr>
            <w:r>
              <w:t>-50</w:t>
            </w:r>
          </w:p>
        </w:tc>
      </w:tr>
      <w:tr w:rsidR="0058566D" w14:paraId="5725FB40" w14:textId="77777777" w:rsidTr="008935F7">
        <w:trPr>
          <w:jc w:val="center"/>
        </w:trPr>
        <w:tc>
          <w:tcPr>
            <w:tcW w:w="1029" w:type="dxa"/>
            <w:tcBorders>
              <w:top w:val="nil"/>
              <w:left w:val="single" w:sz="4" w:space="0" w:color="auto"/>
              <w:bottom w:val="nil"/>
              <w:right w:val="single" w:sz="6" w:space="0" w:color="auto"/>
            </w:tcBorders>
          </w:tcPr>
          <w:p w14:paraId="52625833" w14:textId="77777777" w:rsidR="0058566D" w:rsidRDefault="0058566D" w:rsidP="008935F7">
            <w:pPr>
              <w:pStyle w:val="TAC"/>
            </w:pPr>
          </w:p>
        </w:tc>
        <w:tc>
          <w:tcPr>
            <w:tcW w:w="1026" w:type="dxa"/>
            <w:tcBorders>
              <w:top w:val="nil"/>
              <w:left w:val="single" w:sz="6" w:space="0" w:color="auto"/>
              <w:bottom w:val="nil"/>
              <w:right w:val="single" w:sz="6" w:space="0" w:color="auto"/>
            </w:tcBorders>
          </w:tcPr>
          <w:p w14:paraId="21DE7B2A" w14:textId="77777777" w:rsidR="0058566D" w:rsidRDefault="0058566D" w:rsidP="008935F7">
            <w:pPr>
              <w:pStyle w:val="TAC"/>
            </w:pPr>
          </w:p>
        </w:tc>
        <w:tc>
          <w:tcPr>
            <w:tcW w:w="798" w:type="dxa"/>
            <w:tcBorders>
              <w:top w:val="nil"/>
              <w:left w:val="single" w:sz="6" w:space="0" w:color="auto"/>
              <w:bottom w:val="nil"/>
              <w:right w:val="single" w:sz="6" w:space="0" w:color="auto"/>
            </w:tcBorders>
          </w:tcPr>
          <w:p w14:paraId="6F27BD8A" w14:textId="77777777" w:rsidR="0058566D" w:rsidRDefault="0058566D" w:rsidP="008935F7">
            <w:pPr>
              <w:pStyle w:val="TAC"/>
            </w:pPr>
          </w:p>
        </w:tc>
        <w:tc>
          <w:tcPr>
            <w:tcW w:w="1958" w:type="dxa"/>
            <w:tcBorders>
              <w:top w:val="single" w:sz="6" w:space="0" w:color="auto"/>
              <w:left w:val="single" w:sz="6" w:space="0" w:color="auto"/>
              <w:bottom w:val="single" w:sz="6" w:space="0" w:color="auto"/>
              <w:right w:val="single" w:sz="4" w:space="0" w:color="auto"/>
            </w:tcBorders>
            <w:hideMark/>
          </w:tcPr>
          <w:p w14:paraId="629F5BAE" w14:textId="77777777" w:rsidR="0058566D" w:rsidRDefault="0058566D" w:rsidP="008935F7">
            <w:pPr>
              <w:pStyle w:val="TAC"/>
            </w:pPr>
            <w:r>
              <w:t>NR_TDD_FR1_C</w:t>
            </w:r>
          </w:p>
        </w:tc>
        <w:tc>
          <w:tcPr>
            <w:tcW w:w="827" w:type="dxa"/>
            <w:tcBorders>
              <w:top w:val="single" w:sz="6" w:space="0" w:color="auto"/>
              <w:left w:val="single" w:sz="4" w:space="0" w:color="auto"/>
              <w:bottom w:val="single" w:sz="6" w:space="0" w:color="auto"/>
              <w:right w:val="single" w:sz="6" w:space="0" w:color="auto"/>
            </w:tcBorders>
            <w:hideMark/>
          </w:tcPr>
          <w:p w14:paraId="168D087E" w14:textId="77777777" w:rsidR="0058566D" w:rsidRDefault="0058566D" w:rsidP="008935F7">
            <w:pPr>
              <w:pStyle w:val="TAC"/>
            </w:pPr>
            <w:r>
              <w:t>-120</w:t>
            </w:r>
          </w:p>
        </w:tc>
        <w:tc>
          <w:tcPr>
            <w:tcW w:w="827" w:type="dxa"/>
            <w:tcBorders>
              <w:top w:val="single" w:sz="6" w:space="0" w:color="auto"/>
              <w:left w:val="single" w:sz="4" w:space="0" w:color="auto"/>
              <w:bottom w:val="single" w:sz="6" w:space="0" w:color="auto"/>
              <w:right w:val="single" w:sz="6" w:space="0" w:color="auto"/>
            </w:tcBorders>
            <w:hideMark/>
          </w:tcPr>
          <w:p w14:paraId="3B8B7AED" w14:textId="77777777" w:rsidR="0058566D" w:rsidRDefault="0058566D" w:rsidP="008935F7">
            <w:pPr>
              <w:pStyle w:val="TAC"/>
              <w:rPr>
                <w:lang w:val="sv-SE"/>
              </w:rPr>
            </w:pPr>
            <w:r>
              <w:t>-117</w:t>
            </w:r>
          </w:p>
        </w:tc>
        <w:tc>
          <w:tcPr>
            <w:tcW w:w="827" w:type="dxa"/>
            <w:tcBorders>
              <w:top w:val="single" w:sz="6" w:space="0" w:color="auto"/>
              <w:left w:val="single" w:sz="4" w:space="0" w:color="auto"/>
              <w:bottom w:val="single" w:sz="6" w:space="0" w:color="auto"/>
              <w:right w:val="single" w:sz="6" w:space="0" w:color="auto"/>
            </w:tcBorders>
            <w:hideMark/>
          </w:tcPr>
          <w:p w14:paraId="70F7B5EE" w14:textId="77777777" w:rsidR="0058566D" w:rsidRDefault="0058566D" w:rsidP="008935F7">
            <w:pPr>
              <w:pStyle w:val="TAC"/>
              <w:rPr>
                <w:lang w:val="sv-SE"/>
              </w:rPr>
            </w:pPr>
            <w:r>
              <w:t>-114</w:t>
            </w:r>
          </w:p>
        </w:tc>
        <w:tc>
          <w:tcPr>
            <w:tcW w:w="1440" w:type="dxa"/>
            <w:tcBorders>
              <w:top w:val="single" w:sz="6" w:space="0" w:color="auto"/>
              <w:left w:val="single" w:sz="6" w:space="0" w:color="auto"/>
              <w:bottom w:val="single" w:sz="6" w:space="0" w:color="auto"/>
              <w:right w:val="single" w:sz="6" w:space="0" w:color="auto"/>
            </w:tcBorders>
            <w:hideMark/>
          </w:tcPr>
          <w:p w14:paraId="6A0B5183"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F42F7B7" w14:textId="77777777" w:rsidR="0058566D" w:rsidRDefault="0058566D" w:rsidP="008935F7">
            <w:pPr>
              <w:pStyle w:val="TAC"/>
            </w:pPr>
            <w:r>
              <w:t>-50</w:t>
            </w:r>
          </w:p>
        </w:tc>
      </w:tr>
      <w:tr w:rsidR="0058566D" w14:paraId="348C5958" w14:textId="77777777" w:rsidTr="008935F7">
        <w:trPr>
          <w:jc w:val="center"/>
        </w:trPr>
        <w:tc>
          <w:tcPr>
            <w:tcW w:w="1029" w:type="dxa"/>
            <w:tcBorders>
              <w:top w:val="nil"/>
              <w:left w:val="single" w:sz="4" w:space="0" w:color="auto"/>
              <w:bottom w:val="nil"/>
              <w:right w:val="single" w:sz="6" w:space="0" w:color="auto"/>
            </w:tcBorders>
            <w:vAlign w:val="center"/>
            <w:hideMark/>
          </w:tcPr>
          <w:p w14:paraId="6724A2EF" w14:textId="77777777" w:rsidR="0058566D" w:rsidRDefault="0058566D" w:rsidP="008935F7">
            <w:pPr>
              <w:pStyle w:val="TAC"/>
            </w:pPr>
            <w:r>
              <w:sym w:font="Symbol" w:char="F0B1"/>
            </w:r>
            <w:r>
              <w:t>4.5</w:t>
            </w:r>
          </w:p>
        </w:tc>
        <w:tc>
          <w:tcPr>
            <w:tcW w:w="1026" w:type="dxa"/>
            <w:tcBorders>
              <w:top w:val="nil"/>
              <w:left w:val="single" w:sz="6" w:space="0" w:color="auto"/>
              <w:bottom w:val="nil"/>
              <w:right w:val="single" w:sz="6" w:space="0" w:color="auto"/>
            </w:tcBorders>
            <w:vAlign w:val="center"/>
            <w:hideMark/>
          </w:tcPr>
          <w:p w14:paraId="038B9F1E" w14:textId="77777777" w:rsidR="0058566D" w:rsidRDefault="0058566D" w:rsidP="008935F7">
            <w:pPr>
              <w:pStyle w:val="TAC"/>
            </w:pPr>
            <w:r>
              <w:sym w:font="Symbol" w:char="F0B1"/>
            </w:r>
            <w:r>
              <w:t>6</w:t>
            </w:r>
          </w:p>
        </w:tc>
        <w:tc>
          <w:tcPr>
            <w:tcW w:w="798" w:type="dxa"/>
            <w:tcBorders>
              <w:top w:val="nil"/>
              <w:left w:val="single" w:sz="6" w:space="0" w:color="auto"/>
              <w:bottom w:val="nil"/>
              <w:right w:val="single" w:sz="6" w:space="0" w:color="auto"/>
            </w:tcBorders>
            <w:hideMark/>
          </w:tcPr>
          <w:p w14:paraId="1E63F1C8" w14:textId="77777777" w:rsidR="0058566D" w:rsidRDefault="0058566D" w:rsidP="008935F7">
            <w:pPr>
              <w:pStyle w:val="TAC"/>
            </w:pPr>
            <w:r>
              <w:sym w:font="Symbol" w:char="F0B3"/>
            </w:r>
            <w:r>
              <w:t>-6</w:t>
            </w:r>
          </w:p>
        </w:tc>
        <w:tc>
          <w:tcPr>
            <w:tcW w:w="1958" w:type="dxa"/>
            <w:tcBorders>
              <w:top w:val="single" w:sz="6" w:space="0" w:color="auto"/>
              <w:left w:val="single" w:sz="6" w:space="0" w:color="auto"/>
              <w:bottom w:val="single" w:sz="6" w:space="0" w:color="auto"/>
              <w:right w:val="single" w:sz="4" w:space="0" w:color="auto"/>
            </w:tcBorders>
            <w:hideMark/>
          </w:tcPr>
          <w:p w14:paraId="7B3F3BC0" w14:textId="77777777" w:rsidR="0058566D" w:rsidRDefault="0058566D" w:rsidP="008935F7">
            <w:pPr>
              <w:pStyle w:val="TAC"/>
              <w:rPr>
                <w:lang w:val="sv-SE"/>
              </w:rPr>
            </w:pPr>
            <w:r>
              <w:rPr>
                <w:lang w:val="sv-SE"/>
              </w:rPr>
              <w:t>NR_FDD_FR1_D, NR_TDD_FR1_D</w:t>
            </w:r>
          </w:p>
        </w:tc>
        <w:tc>
          <w:tcPr>
            <w:tcW w:w="827" w:type="dxa"/>
            <w:tcBorders>
              <w:top w:val="single" w:sz="6" w:space="0" w:color="auto"/>
              <w:left w:val="single" w:sz="4" w:space="0" w:color="auto"/>
              <w:bottom w:val="single" w:sz="6" w:space="0" w:color="auto"/>
              <w:right w:val="single" w:sz="6" w:space="0" w:color="auto"/>
            </w:tcBorders>
            <w:hideMark/>
          </w:tcPr>
          <w:p w14:paraId="43E43A7F" w14:textId="77777777" w:rsidR="0058566D" w:rsidRDefault="0058566D" w:rsidP="008935F7">
            <w:pPr>
              <w:pStyle w:val="TAC"/>
            </w:pPr>
            <w:r>
              <w:t>-119.5</w:t>
            </w:r>
          </w:p>
        </w:tc>
        <w:tc>
          <w:tcPr>
            <w:tcW w:w="827" w:type="dxa"/>
            <w:tcBorders>
              <w:top w:val="single" w:sz="6" w:space="0" w:color="auto"/>
              <w:left w:val="single" w:sz="4" w:space="0" w:color="auto"/>
              <w:bottom w:val="single" w:sz="6" w:space="0" w:color="auto"/>
              <w:right w:val="single" w:sz="6" w:space="0" w:color="auto"/>
            </w:tcBorders>
            <w:hideMark/>
          </w:tcPr>
          <w:p w14:paraId="25A4FCD2" w14:textId="77777777" w:rsidR="0058566D" w:rsidRDefault="0058566D" w:rsidP="008935F7">
            <w:pPr>
              <w:pStyle w:val="TAC"/>
            </w:pPr>
            <w:r>
              <w:t>-116.5</w:t>
            </w:r>
          </w:p>
        </w:tc>
        <w:tc>
          <w:tcPr>
            <w:tcW w:w="827" w:type="dxa"/>
            <w:tcBorders>
              <w:top w:val="single" w:sz="6" w:space="0" w:color="auto"/>
              <w:left w:val="single" w:sz="4" w:space="0" w:color="auto"/>
              <w:bottom w:val="single" w:sz="6" w:space="0" w:color="auto"/>
              <w:right w:val="single" w:sz="6" w:space="0" w:color="auto"/>
            </w:tcBorders>
            <w:hideMark/>
          </w:tcPr>
          <w:p w14:paraId="4583C03B" w14:textId="77777777" w:rsidR="0058566D" w:rsidRDefault="0058566D" w:rsidP="008935F7">
            <w:pPr>
              <w:pStyle w:val="TAC"/>
            </w:pPr>
            <w:r>
              <w:t>-113.5</w:t>
            </w:r>
          </w:p>
        </w:tc>
        <w:tc>
          <w:tcPr>
            <w:tcW w:w="1440" w:type="dxa"/>
            <w:tcBorders>
              <w:top w:val="single" w:sz="6" w:space="0" w:color="auto"/>
              <w:left w:val="single" w:sz="6" w:space="0" w:color="auto"/>
              <w:bottom w:val="single" w:sz="6" w:space="0" w:color="auto"/>
              <w:right w:val="single" w:sz="6" w:space="0" w:color="auto"/>
            </w:tcBorders>
            <w:hideMark/>
          </w:tcPr>
          <w:p w14:paraId="6A727D42"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53C4769" w14:textId="77777777" w:rsidR="0058566D" w:rsidRDefault="0058566D" w:rsidP="008935F7">
            <w:pPr>
              <w:pStyle w:val="TAC"/>
            </w:pPr>
            <w:r>
              <w:t>-50</w:t>
            </w:r>
          </w:p>
        </w:tc>
      </w:tr>
      <w:tr w:rsidR="0058566D" w14:paraId="0DD7128E" w14:textId="77777777" w:rsidTr="008935F7">
        <w:trPr>
          <w:jc w:val="center"/>
        </w:trPr>
        <w:tc>
          <w:tcPr>
            <w:tcW w:w="1029" w:type="dxa"/>
            <w:tcBorders>
              <w:top w:val="nil"/>
              <w:left w:val="single" w:sz="4" w:space="0" w:color="auto"/>
              <w:bottom w:val="nil"/>
              <w:right w:val="single" w:sz="6" w:space="0" w:color="auto"/>
            </w:tcBorders>
          </w:tcPr>
          <w:p w14:paraId="074C426A" w14:textId="77777777" w:rsidR="0058566D" w:rsidRDefault="0058566D" w:rsidP="008935F7">
            <w:pPr>
              <w:pStyle w:val="TAC"/>
            </w:pPr>
          </w:p>
        </w:tc>
        <w:tc>
          <w:tcPr>
            <w:tcW w:w="1026" w:type="dxa"/>
            <w:tcBorders>
              <w:top w:val="nil"/>
              <w:left w:val="single" w:sz="6" w:space="0" w:color="auto"/>
              <w:bottom w:val="nil"/>
              <w:right w:val="single" w:sz="6" w:space="0" w:color="auto"/>
            </w:tcBorders>
          </w:tcPr>
          <w:p w14:paraId="139C8DE3" w14:textId="77777777" w:rsidR="0058566D" w:rsidRDefault="0058566D" w:rsidP="008935F7">
            <w:pPr>
              <w:pStyle w:val="TAC"/>
            </w:pPr>
          </w:p>
        </w:tc>
        <w:tc>
          <w:tcPr>
            <w:tcW w:w="798" w:type="dxa"/>
            <w:tcBorders>
              <w:top w:val="nil"/>
              <w:left w:val="single" w:sz="6" w:space="0" w:color="auto"/>
              <w:bottom w:val="nil"/>
              <w:right w:val="single" w:sz="6" w:space="0" w:color="auto"/>
            </w:tcBorders>
          </w:tcPr>
          <w:p w14:paraId="77FC0BD6" w14:textId="77777777" w:rsidR="0058566D" w:rsidRDefault="0058566D" w:rsidP="008935F7">
            <w:pPr>
              <w:pStyle w:val="TAC"/>
            </w:pPr>
          </w:p>
        </w:tc>
        <w:tc>
          <w:tcPr>
            <w:tcW w:w="1958" w:type="dxa"/>
            <w:tcBorders>
              <w:top w:val="single" w:sz="6" w:space="0" w:color="auto"/>
              <w:left w:val="single" w:sz="6" w:space="0" w:color="auto"/>
              <w:bottom w:val="single" w:sz="6" w:space="0" w:color="auto"/>
              <w:right w:val="single" w:sz="4" w:space="0" w:color="auto"/>
            </w:tcBorders>
            <w:hideMark/>
          </w:tcPr>
          <w:p w14:paraId="1B5F10CC" w14:textId="77777777" w:rsidR="0058566D" w:rsidRDefault="0058566D" w:rsidP="008935F7">
            <w:pPr>
              <w:pStyle w:val="TAC"/>
              <w:rPr>
                <w:lang w:val="sv-SE"/>
              </w:rPr>
            </w:pPr>
            <w:r>
              <w:rPr>
                <w:lang w:val="sv-SE"/>
              </w:rPr>
              <w:t>NR_FDD_FR1_E, NR_TDD_FR1_E</w:t>
            </w:r>
          </w:p>
        </w:tc>
        <w:tc>
          <w:tcPr>
            <w:tcW w:w="827" w:type="dxa"/>
            <w:tcBorders>
              <w:top w:val="single" w:sz="6" w:space="0" w:color="auto"/>
              <w:left w:val="single" w:sz="4" w:space="0" w:color="auto"/>
              <w:bottom w:val="single" w:sz="6" w:space="0" w:color="auto"/>
              <w:right w:val="single" w:sz="6" w:space="0" w:color="auto"/>
            </w:tcBorders>
            <w:hideMark/>
          </w:tcPr>
          <w:p w14:paraId="291425EC" w14:textId="77777777" w:rsidR="0058566D" w:rsidRDefault="0058566D" w:rsidP="008935F7">
            <w:pPr>
              <w:pStyle w:val="TAC"/>
            </w:pPr>
            <w:r>
              <w:t>-119</w:t>
            </w:r>
          </w:p>
        </w:tc>
        <w:tc>
          <w:tcPr>
            <w:tcW w:w="827" w:type="dxa"/>
            <w:tcBorders>
              <w:top w:val="single" w:sz="6" w:space="0" w:color="auto"/>
              <w:left w:val="single" w:sz="4" w:space="0" w:color="auto"/>
              <w:bottom w:val="single" w:sz="6" w:space="0" w:color="auto"/>
              <w:right w:val="single" w:sz="6" w:space="0" w:color="auto"/>
            </w:tcBorders>
            <w:hideMark/>
          </w:tcPr>
          <w:p w14:paraId="04FF90FA" w14:textId="77777777" w:rsidR="0058566D" w:rsidRDefault="0058566D" w:rsidP="008935F7">
            <w:pPr>
              <w:pStyle w:val="TAC"/>
              <w:rPr>
                <w:lang w:val="sv-SE"/>
              </w:rPr>
            </w:pPr>
            <w:r>
              <w:t>-116</w:t>
            </w:r>
          </w:p>
        </w:tc>
        <w:tc>
          <w:tcPr>
            <w:tcW w:w="827" w:type="dxa"/>
            <w:tcBorders>
              <w:top w:val="single" w:sz="6" w:space="0" w:color="auto"/>
              <w:left w:val="single" w:sz="4" w:space="0" w:color="auto"/>
              <w:bottom w:val="single" w:sz="6" w:space="0" w:color="auto"/>
              <w:right w:val="single" w:sz="6" w:space="0" w:color="auto"/>
            </w:tcBorders>
            <w:hideMark/>
          </w:tcPr>
          <w:p w14:paraId="5B6969CF" w14:textId="77777777" w:rsidR="0058566D" w:rsidRDefault="0058566D" w:rsidP="008935F7">
            <w:pPr>
              <w:pStyle w:val="TAC"/>
              <w:rPr>
                <w:lang w:val="sv-SE"/>
              </w:rPr>
            </w:pPr>
            <w:r>
              <w:t>-113</w:t>
            </w:r>
          </w:p>
        </w:tc>
        <w:tc>
          <w:tcPr>
            <w:tcW w:w="1440" w:type="dxa"/>
            <w:tcBorders>
              <w:top w:val="single" w:sz="6" w:space="0" w:color="auto"/>
              <w:left w:val="single" w:sz="6" w:space="0" w:color="auto"/>
              <w:bottom w:val="single" w:sz="6" w:space="0" w:color="auto"/>
              <w:right w:val="single" w:sz="6" w:space="0" w:color="auto"/>
            </w:tcBorders>
            <w:hideMark/>
          </w:tcPr>
          <w:p w14:paraId="760D23BB"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7120AE99" w14:textId="77777777" w:rsidR="0058566D" w:rsidRDefault="0058566D" w:rsidP="008935F7">
            <w:pPr>
              <w:pStyle w:val="TAC"/>
            </w:pPr>
            <w:r>
              <w:t>-50</w:t>
            </w:r>
          </w:p>
        </w:tc>
      </w:tr>
      <w:tr w:rsidR="0058566D" w14:paraId="595BA03D" w14:textId="77777777" w:rsidTr="008935F7">
        <w:trPr>
          <w:jc w:val="center"/>
        </w:trPr>
        <w:tc>
          <w:tcPr>
            <w:tcW w:w="1029" w:type="dxa"/>
            <w:tcBorders>
              <w:top w:val="nil"/>
              <w:left w:val="single" w:sz="4" w:space="0" w:color="auto"/>
              <w:bottom w:val="nil"/>
              <w:right w:val="single" w:sz="6" w:space="0" w:color="auto"/>
            </w:tcBorders>
          </w:tcPr>
          <w:p w14:paraId="0EEF8584" w14:textId="77777777" w:rsidR="0058566D" w:rsidRDefault="0058566D" w:rsidP="008935F7">
            <w:pPr>
              <w:pStyle w:val="TAC"/>
            </w:pPr>
          </w:p>
        </w:tc>
        <w:tc>
          <w:tcPr>
            <w:tcW w:w="1026" w:type="dxa"/>
            <w:tcBorders>
              <w:top w:val="nil"/>
              <w:left w:val="single" w:sz="6" w:space="0" w:color="auto"/>
              <w:bottom w:val="nil"/>
              <w:right w:val="single" w:sz="6" w:space="0" w:color="auto"/>
            </w:tcBorders>
          </w:tcPr>
          <w:p w14:paraId="15E1C7B6" w14:textId="77777777" w:rsidR="0058566D" w:rsidRDefault="0058566D" w:rsidP="008935F7">
            <w:pPr>
              <w:pStyle w:val="TAC"/>
            </w:pPr>
          </w:p>
        </w:tc>
        <w:tc>
          <w:tcPr>
            <w:tcW w:w="798" w:type="dxa"/>
            <w:tcBorders>
              <w:top w:val="nil"/>
              <w:left w:val="single" w:sz="6" w:space="0" w:color="auto"/>
              <w:bottom w:val="nil"/>
              <w:right w:val="single" w:sz="6" w:space="0" w:color="auto"/>
            </w:tcBorders>
          </w:tcPr>
          <w:p w14:paraId="11B751C9" w14:textId="77777777" w:rsidR="0058566D" w:rsidRDefault="0058566D" w:rsidP="008935F7">
            <w:pPr>
              <w:pStyle w:val="TAC"/>
            </w:pPr>
          </w:p>
        </w:tc>
        <w:tc>
          <w:tcPr>
            <w:tcW w:w="1958" w:type="dxa"/>
            <w:tcBorders>
              <w:top w:val="single" w:sz="6" w:space="0" w:color="auto"/>
              <w:left w:val="single" w:sz="6" w:space="0" w:color="auto"/>
              <w:bottom w:val="single" w:sz="6" w:space="0" w:color="auto"/>
              <w:right w:val="single" w:sz="4" w:space="0" w:color="auto"/>
            </w:tcBorders>
            <w:hideMark/>
          </w:tcPr>
          <w:p w14:paraId="40C93621" w14:textId="77777777" w:rsidR="0058566D" w:rsidRDefault="0058566D" w:rsidP="008935F7">
            <w:pPr>
              <w:pStyle w:val="TAC"/>
              <w:rPr>
                <w:lang w:val="sv-SE"/>
              </w:rPr>
            </w:pPr>
            <w:r>
              <w:rPr>
                <w:lang w:eastAsia="zh-CN"/>
              </w:rPr>
              <w:t>NR_FDD_FR1_F</w:t>
            </w:r>
          </w:p>
        </w:tc>
        <w:tc>
          <w:tcPr>
            <w:tcW w:w="827" w:type="dxa"/>
            <w:tcBorders>
              <w:top w:val="single" w:sz="6" w:space="0" w:color="auto"/>
              <w:left w:val="single" w:sz="4" w:space="0" w:color="auto"/>
              <w:bottom w:val="single" w:sz="6" w:space="0" w:color="auto"/>
              <w:right w:val="single" w:sz="6" w:space="0" w:color="auto"/>
            </w:tcBorders>
            <w:hideMark/>
          </w:tcPr>
          <w:p w14:paraId="022E6CFA" w14:textId="77777777" w:rsidR="0058566D" w:rsidRDefault="0058566D" w:rsidP="008935F7">
            <w:pPr>
              <w:pStyle w:val="TAC"/>
            </w:pPr>
            <w:r>
              <w:t>-118.5</w:t>
            </w:r>
          </w:p>
        </w:tc>
        <w:tc>
          <w:tcPr>
            <w:tcW w:w="827" w:type="dxa"/>
            <w:tcBorders>
              <w:top w:val="single" w:sz="6" w:space="0" w:color="auto"/>
              <w:left w:val="single" w:sz="4" w:space="0" w:color="auto"/>
              <w:bottom w:val="single" w:sz="6" w:space="0" w:color="auto"/>
              <w:right w:val="single" w:sz="6" w:space="0" w:color="auto"/>
            </w:tcBorders>
            <w:hideMark/>
          </w:tcPr>
          <w:p w14:paraId="4A177641" w14:textId="77777777" w:rsidR="0058566D" w:rsidRDefault="0058566D" w:rsidP="008935F7">
            <w:pPr>
              <w:pStyle w:val="TAC"/>
            </w:pPr>
            <w:r>
              <w:rPr>
                <w:rFonts w:cs="Arial"/>
              </w:rPr>
              <w:t>-115.5</w:t>
            </w:r>
          </w:p>
        </w:tc>
        <w:tc>
          <w:tcPr>
            <w:tcW w:w="827" w:type="dxa"/>
            <w:tcBorders>
              <w:top w:val="single" w:sz="6" w:space="0" w:color="auto"/>
              <w:left w:val="single" w:sz="4" w:space="0" w:color="auto"/>
              <w:bottom w:val="single" w:sz="6" w:space="0" w:color="auto"/>
              <w:right w:val="single" w:sz="6" w:space="0" w:color="auto"/>
            </w:tcBorders>
            <w:hideMark/>
          </w:tcPr>
          <w:p w14:paraId="012087BE" w14:textId="77777777" w:rsidR="0058566D" w:rsidRDefault="0058566D" w:rsidP="008935F7">
            <w:pPr>
              <w:pStyle w:val="TAC"/>
            </w:pPr>
            <w:r>
              <w:rPr>
                <w:rFonts w:cs="Arial"/>
              </w:rPr>
              <w:t>-112.5</w:t>
            </w:r>
          </w:p>
        </w:tc>
        <w:tc>
          <w:tcPr>
            <w:tcW w:w="1440" w:type="dxa"/>
            <w:tcBorders>
              <w:top w:val="single" w:sz="6" w:space="0" w:color="auto"/>
              <w:left w:val="single" w:sz="6" w:space="0" w:color="auto"/>
              <w:bottom w:val="single" w:sz="6" w:space="0" w:color="auto"/>
              <w:right w:val="single" w:sz="6" w:space="0" w:color="auto"/>
            </w:tcBorders>
            <w:hideMark/>
          </w:tcPr>
          <w:p w14:paraId="58042C42"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322CE93" w14:textId="77777777" w:rsidR="0058566D" w:rsidRDefault="0058566D" w:rsidP="008935F7">
            <w:pPr>
              <w:pStyle w:val="TAC"/>
            </w:pPr>
            <w:r>
              <w:t>-50</w:t>
            </w:r>
          </w:p>
        </w:tc>
      </w:tr>
      <w:tr w:rsidR="0058566D" w14:paraId="1CB3FA47" w14:textId="77777777" w:rsidTr="008935F7">
        <w:trPr>
          <w:jc w:val="center"/>
        </w:trPr>
        <w:tc>
          <w:tcPr>
            <w:tcW w:w="1029" w:type="dxa"/>
            <w:tcBorders>
              <w:top w:val="nil"/>
              <w:left w:val="single" w:sz="4" w:space="0" w:color="auto"/>
              <w:bottom w:val="nil"/>
              <w:right w:val="single" w:sz="6" w:space="0" w:color="auto"/>
            </w:tcBorders>
          </w:tcPr>
          <w:p w14:paraId="2B1F1EE6" w14:textId="77777777" w:rsidR="0058566D" w:rsidRDefault="0058566D" w:rsidP="008935F7">
            <w:pPr>
              <w:pStyle w:val="TAC"/>
            </w:pPr>
          </w:p>
        </w:tc>
        <w:tc>
          <w:tcPr>
            <w:tcW w:w="1026" w:type="dxa"/>
            <w:tcBorders>
              <w:top w:val="nil"/>
              <w:left w:val="single" w:sz="6" w:space="0" w:color="auto"/>
              <w:bottom w:val="nil"/>
              <w:right w:val="single" w:sz="6" w:space="0" w:color="auto"/>
            </w:tcBorders>
          </w:tcPr>
          <w:p w14:paraId="63F1361E" w14:textId="77777777" w:rsidR="0058566D" w:rsidRDefault="0058566D" w:rsidP="008935F7">
            <w:pPr>
              <w:pStyle w:val="TAC"/>
            </w:pPr>
          </w:p>
        </w:tc>
        <w:tc>
          <w:tcPr>
            <w:tcW w:w="798" w:type="dxa"/>
            <w:tcBorders>
              <w:top w:val="nil"/>
              <w:left w:val="single" w:sz="6" w:space="0" w:color="auto"/>
              <w:bottom w:val="nil"/>
              <w:right w:val="single" w:sz="6" w:space="0" w:color="auto"/>
            </w:tcBorders>
          </w:tcPr>
          <w:p w14:paraId="37B61190" w14:textId="77777777" w:rsidR="0058566D" w:rsidRDefault="0058566D" w:rsidP="008935F7">
            <w:pPr>
              <w:pStyle w:val="TAC"/>
            </w:pPr>
          </w:p>
        </w:tc>
        <w:tc>
          <w:tcPr>
            <w:tcW w:w="1958" w:type="dxa"/>
            <w:tcBorders>
              <w:top w:val="single" w:sz="6" w:space="0" w:color="auto"/>
              <w:left w:val="single" w:sz="6" w:space="0" w:color="auto"/>
              <w:bottom w:val="single" w:sz="6" w:space="0" w:color="auto"/>
              <w:right w:val="single" w:sz="4" w:space="0" w:color="auto"/>
            </w:tcBorders>
            <w:hideMark/>
          </w:tcPr>
          <w:p w14:paraId="5ECC9408" w14:textId="77777777" w:rsidR="0058566D" w:rsidRDefault="0058566D" w:rsidP="008935F7">
            <w:pPr>
              <w:pStyle w:val="TAC"/>
              <w:rPr>
                <w:lang w:eastAsia="zh-CN"/>
              </w:rPr>
            </w:pPr>
            <w:r>
              <w:rPr>
                <w:lang w:eastAsia="zh-CN"/>
              </w:rPr>
              <w:t>NR</w:t>
            </w:r>
            <w:r>
              <w:t>_</w:t>
            </w:r>
            <w:r>
              <w:rPr>
                <w:lang w:eastAsia="zh-CN"/>
              </w:rPr>
              <w:t>FDD_FR1_G</w:t>
            </w:r>
          </w:p>
        </w:tc>
        <w:tc>
          <w:tcPr>
            <w:tcW w:w="827" w:type="dxa"/>
            <w:tcBorders>
              <w:top w:val="single" w:sz="6" w:space="0" w:color="auto"/>
              <w:left w:val="single" w:sz="4" w:space="0" w:color="auto"/>
              <w:bottom w:val="single" w:sz="6" w:space="0" w:color="auto"/>
              <w:right w:val="single" w:sz="6" w:space="0" w:color="auto"/>
            </w:tcBorders>
            <w:hideMark/>
          </w:tcPr>
          <w:p w14:paraId="6957E520" w14:textId="77777777" w:rsidR="0058566D" w:rsidRDefault="0058566D" w:rsidP="008935F7">
            <w:pPr>
              <w:pStyle w:val="TAC"/>
            </w:pPr>
            <w:r>
              <w:t>-118</w:t>
            </w:r>
          </w:p>
        </w:tc>
        <w:tc>
          <w:tcPr>
            <w:tcW w:w="827" w:type="dxa"/>
            <w:tcBorders>
              <w:top w:val="single" w:sz="6" w:space="0" w:color="auto"/>
              <w:left w:val="single" w:sz="4" w:space="0" w:color="auto"/>
              <w:bottom w:val="single" w:sz="6" w:space="0" w:color="auto"/>
              <w:right w:val="single" w:sz="6" w:space="0" w:color="auto"/>
            </w:tcBorders>
            <w:hideMark/>
          </w:tcPr>
          <w:p w14:paraId="6BFDDDE1" w14:textId="77777777" w:rsidR="0058566D" w:rsidRDefault="0058566D" w:rsidP="008935F7">
            <w:pPr>
              <w:pStyle w:val="TAC"/>
              <w:rPr>
                <w:rFonts w:cs="Arial"/>
                <w:lang w:val="sv-SE"/>
              </w:rPr>
            </w:pPr>
            <w:r>
              <w:rPr>
                <w:rFonts w:cs="Arial"/>
              </w:rPr>
              <w:t>-115</w:t>
            </w:r>
          </w:p>
        </w:tc>
        <w:tc>
          <w:tcPr>
            <w:tcW w:w="827" w:type="dxa"/>
            <w:tcBorders>
              <w:top w:val="single" w:sz="6" w:space="0" w:color="auto"/>
              <w:left w:val="single" w:sz="4" w:space="0" w:color="auto"/>
              <w:bottom w:val="single" w:sz="6" w:space="0" w:color="auto"/>
              <w:right w:val="single" w:sz="6" w:space="0" w:color="auto"/>
            </w:tcBorders>
            <w:hideMark/>
          </w:tcPr>
          <w:p w14:paraId="0535F81A" w14:textId="77777777" w:rsidR="0058566D" w:rsidRDefault="0058566D" w:rsidP="008935F7">
            <w:pPr>
              <w:pStyle w:val="TAC"/>
              <w:rPr>
                <w:rFonts w:cs="Arial"/>
                <w:lang w:val="sv-SE"/>
              </w:rPr>
            </w:pPr>
            <w:r>
              <w:rPr>
                <w:rFonts w:cs="Arial"/>
              </w:rPr>
              <w:t>-112</w:t>
            </w:r>
          </w:p>
        </w:tc>
        <w:tc>
          <w:tcPr>
            <w:tcW w:w="1440" w:type="dxa"/>
            <w:tcBorders>
              <w:top w:val="single" w:sz="6" w:space="0" w:color="auto"/>
              <w:left w:val="single" w:sz="6" w:space="0" w:color="auto"/>
              <w:bottom w:val="single" w:sz="6" w:space="0" w:color="auto"/>
              <w:right w:val="single" w:sz="6" w:space="0" w:color="auto"/>
            </w:tcBorders>
            <w:hideMark/>
          </w:tcPr>
          <w:p w14:paraId="027BBE90"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04A47DE" w14:textId="77777777" w:rsidR="0058566D" w:rsidRDefault="0058566D" w:rsidP="008935F7">
            <w:pPr>
              <w:pStyle w:val="TAC"/>
            </w:pPr>
            <w:r>
              <w:t>-50</w:t>
            </w:r>
          </w:p>
        </w:tc>
      </w:tr>
      <w:tr w:rsidR="0058566D" w14:paraId="33CBCD82" w14:textId="77777777" w:rsidTr="008935F7">
        <w:trPr>
          <w:jc w:val="center"/>
        </w:trPr>
        <w:tc>
          <w:tcPr>
            <w:tcW w:w="1029" w:type="dxa"/>
            <w:tcBorders>
              <w:top w:val="nil"/>
              <w:left w:val="single" w:sz="4" w:space="0" w:color="auto"/>
              <w:bottom w:val="nil"/>
              <w:right w:val="single" w:sz="6" w:space="0" w:color="auto"/>
            </w:tcBorders>
          </w:tcPr>
          <w:p w14:paraId="3F952C1E" w14:textId="77777777" w:rsidR="0058566D" w:rsidRDefault="0058566D" w:rsidP="008935F7">
            <w:pPr>
              <w:pStyle w:val="TAC"/>
            </w:pPr>
          </w:p>
        </w:tc>
        <w:tc>
          <w:tcPr>
            <w:tcW w:w="1026" w:type="dxa"/>
            <w:tcBorders>
              <w:top w:val="nil"/>
              <w:left w:val="single" w:sz="6" w:space="0" w:color="auto"/>
              <w:bottom w:val="nil"/>
              <w:right w:val="single" w:sz="6" w:space="0" w:color="auto"/>
            </w:tcBorders>
          </w:tcPr>
          <w:p w14:paraId="58CA48D3" w14:textId="77777777" w:rsidR="0058566D" w:rsidRDefault="0058566D" w:rsidP="008935F7">
            <w:pPr>
              <w:pStyle w:val="TAC"/>
            </w:pPr>
          </w:p>
        </w:tc>
        <w:tc>
          <w:tcPr>
            <w:tcW w:w="798" w:type="dxa"/>
            <w:tcBorders>
              <w:top w:val="nil"/>
              <w:left w:val="single" w:sz="6" w:space="0" w:color="auto"/>
              <w:bottom w:val="nil"/>
              <w:right w:val="single" w:sz="6" w:space="0" w:color="auto"/>
            </w:tcBorders>
          </w:tcPr>
          <w:p w14:paraId="63589CE5" w14:textId="77777777" w:rsidR="0058566D" w:rsidRDefault="0058566D" w:rsidP="008935F7">
            <w:pPr>
              <w:pStyle w:val="TAC"/>
            </w:pPr>
          </w:p>
        </w:tc>
        <w:tc>
          <w:tcPr>
            <w:tcW w:w="1958" w:type="dxa"/>
            <w:tcBorders>
              <w:top w:val="single" w:sz="6" w:space="0" w:color="auto"/>
              <w:left w:val="single" w:sz="6" w:space="0" w:color="auto"/>
              <w:bottom w:val="single" w:sz="6" w:space="0" w:color="auto"/>
              <w:right w:val="single" w:sz="4" w:space="0" w:color="auto"/>
            </w:tcBorders>
            <w:hideMark/>
          </w:tcPr>
          <w:p w14:paraId="5987D9A7" w14:textId="77777777" w:rsidR="0058566D" w:rsidRDefault="0058566D" w:rsidP="008935F7">
            <w:pPr>
              <w:pStyle w:val="TAC"/>
              <w:rPr>
                <w:lang w:eastAsia="zh-CN"/>
              </w:rPr>
            </w:pPr>
            <w:r>
              <w:rPr>
                <w:lang w:eastAsia="zh-CN"/>
              </w:rPr>
              <w:t>NR</w:t>
            </w:r>
            <w:r>
              <w:t>_</w:t>
            </w:r>
            <w:r>
              <w:rPr>
                <w:lang w:eastAsia="zh-CN"/>
              </w:rPr>
              <w:t>FDD_FR1_H</w:t>
            </w:r>
          </w:p>
        </w:tc>
        <w:tc>
          <w:tcPr>
            <w:tcW w:w="827" w:type="dxa"/>
            <w:tcBorders>
              <w:top w:val="single" w:sz="6" w:space="0" w:color="auto"/>
              <w:left w:val="single" w:sz="4" w:space="0" w:color="auto"/>
              <w:bottom w:val="single" w:sz="6" w:space="0" w:color="auto"/>
              <w:right w:val="single" w:sz="6" w:space="0" w:color="auto"/>
            </w:tcBorders>
            <w:hideMark/>
          </w:tcPr>
          <w:p w14:paraId="4BB5BB0D" w14:textId="77777777" w:rsidR="0058566D" w:rsidRDefault="0058566D" w:rsidP="008935F7">
            <w:pPr>
              <w:pStyle w:val="TAC"/>
            </w:pPr>
            <w:r>
              <w:t>-117.5</w:t>
            </w:r>
          </w:p>
        </w:tc>
        <w:tc>
          <w:tcPr>
            <w:tcW w:w="827" w:type="dxa"/>
            <w:tcBorders>
              <w:top w:val="single" w:sz="6" w:space="0" w:color="auto"/>
              <w:left w:val="single" w:sz="4" w:space="0" w:color="auto"/>
              <w:bottom w:val="single" w:sz="6" w:space="0" w:color="auto"/>
              <w:right w:val="single" w:sz="6" w:space="0" w:color="auto"/>
            </w:tcBorders>
            <w:hideMark/>
          </w:tcPr>
          <w:p w14:paraId="15D5C455" w14:textId="77777777" w:rsidR="0058566D" w:rsidRDefault="0058566D" w:rsidP="008935F7">
            <w:pPr>
              <w:pStyle w:val="TAC"/>
              <w:rPr>
                <w:rFonts w:cs="Arial"/>
                <w:lang w:val="sv-SE"/>
              </w:rPr>
            </w:pPr>
            <w:r>
              <w:rPr>
                <w:rFonts w:cs="Arial"/>
              </w:rPr>
              <w:t>-114.5</w:t>
            </w:r>
          </w:p>
        </w:tc>
        <w:tc>
          <w:tcPr>
            <w:tcW w:w="827" w:type="dxa"/>
            <w:tcBorders>
              <w:top w:val="single" w:sz="6" w:space="0" w:color="auto"/>
              <w:left w:val="single" w:sz="4" w:space="0" w:color="auto"/>
              <w:bottom w:val="single" w:sz="6" w:space="0" w:color="auto"/>
              <w:right w:val="single" w:sz="6" w:space="0" w:color="auto"/>
            </w:tcBorders>
            <w:hideMark/>
          </w:tcPr>
          <w:p w14:paraId="44D9A5DA" w14:textId="77777777" w:rsidR="0058566D" w:rsidRDefault="0058566D" w:rsidP="008935F7">
            <w:pPr>
              <w:pStyle w:val="TAC"/>
              <w:rPr>
                <w:rFonts w:cs="Arial"/>
                <w:lang w:val="sv-SE"/>
              </w:rPr>
            </w:pPr>
            <w:r>
              <w:rPr>
                <w:rFonts w:cs="Arial"/>
              </w:rPr>
              <w:t>-111.5</w:t>
            </w:r>
          </w:p>
        </w:tc>
        <w:tc>
          <w:tcPr>
            <w:tcW w:w="1440" w:type="dxa"/>
            <w:tcBorders>
              <w:top w:val="single" w:sz="6" w:space="0" w:color="auto"/>
              <w:left w:val="single" w:sz="6" w:space="0" w:color="auto"/>
              <w:bottom w:val="single" w:sz="6" w:space="0" w:color="auto"/>
              <w:right w:val="single" w:sz="6" w:space="0" w:color="auto"/>
            </w:tcBorders>
            <w:hideMark/>
          </w:tcPr>
          <w:p w14:paraId="6CBC8624" w14:textId="77777777" w:rsidR="0058566D" w:rsidRDefault="0058566D" w:rsidP="008935F7">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7730D24" w14:textId="77777777" w:rsidR="0058566D" w:rsidRDefault="0058566D" w:rsidP="008935F7">
            <w:pPr>
              <w:pStyle w:val="TAC"/>
            </w:pPr>
            <w:r>
              <w:t>-50</w:t>
            </w:r>
          </w:p>
        </w:tc>
      </w:tr>
      <w:tr w:rsidR="0058566D" w14:paraId="35E32085" w14:textId="77777777" w:rsidTr="008935F7">
        <w:trPr>
          <w:jc w:val="center"/>
        </w:trPr>
        <w:tc>
          <w:tcPr>
            <w:tcW w:w="10172" w:type="dxa"/>
            <w:gridSpan w:val="9"/>
            <w:tcBorders>
              <w:top w:val="single" w:sz="6" w:space="0" w:color="auto"/>
              <w:left w:val="single" w:sz="4" w:space="0" w:color="auto"/>
              <w:bottom w:val="single" w:sz="4" w:space="0" w:color="auto"/>
              <w:right w:val="single" w:sz="4" w:space="0" w:color="auto"/>
            </w:tcBorders>
            <w:vAlign w:val="center"/>
            <w:hideMark/>
          </w:tcPr>
          <w:p w14:paraId="2C97CD3E" w14:textId="77777777" w:rsidR="0058566D" w:rsidRDefault="0058566D" w:rsidP="008935F7">
            <w:pPr>
              <w:pStyle w:val="TAN"/>
            </w:pPr>
            <w:r>
              <w:t>NOTE 1:</w:t>
            </w:r>
            <w:r>
              <w:tab/>
              <w:t>Io is assumed to have constant EPRE across the bandwidth.</w:t>
            </w:r>
          </w:p>
          <w:p w14:paraId="56A99545" w14:textId="77777777" w:rsidR="0058566D" w:rsidRDefault="0058566D" w:rsidP="008935F7">
            <w:pPr>
              <w:pStyle w:val="TAN"/>
            </w:pPr>
            <w:r>
              <w:t>NOTE 2:</w:t>
            </w:r>
            <w:r>
              <w:tab/>
              <w:t>The parameter CSI-RS Ês/Iot is the minimum CSI-RS Ês/Iot of the pair of CSI-RS resources to which the requirement applies.</w:t>
            </w:r>
          </w:p>
          <w:p w14:paraId="42D0586D" w14:textId="77777777" w:rsidR="0058566D" w:rsidRDefault="0058566D" w:rsidP="008935F7">
            <w:pPr>
              <w:pStyle w:val="TAN"/>
            </w:pPr>
            <w:r>
              <w:t>NOTE 3:</w:t>
            </w:r>
            <w:r>
              <w:tab/>
              <w:t>Void</w:t>
            </w:r>
          </w:p>
          <w:p w14:paraId="4DDD17B4" w14:textId="77777777" w:rsidR="0058566D" w:rsidRDefault="0058566D" w:rsidP="008935F7">
            <w:pPr>
              <w:pStyle w:val="TAN"/>
            </w:pPr>
            <w:r>
              <w:t>NOTE 4:</w:t>
            </w:r>
            <w:r>
              <w:tab/>
              <w:t>NR operating band groups in FR1 are as defined in clause 3.5.2.</w:t>
            </w:r>
          </w:p>
        </w:tc>
      </w:tr>
    </w:tbl>
    <w:p w14:paraId="656356C5" w14:textId="77777777" w:rsidR="0058566D" w:rsidRPr="00EB38CB" w:rsidRDefault="0058566D" w:rsidP="0058566D"/>
    <w:p w14:paraId="644CAA16" w14:textId="77777777" w:rsidR="00BE0199" w:rsidRPr="00B63FA2" w:rsidRDefault="00BE0199" w:rsidP="00F37389">
      <w:pPr>
        <w:pStyle w:val="Heading3"/>
        <w:rPr>
          <w:lang w:val="en-US" w:eastAsia="ko-KR"/>
        </w:rPr>
      </w:pPr>
      <w:r w:rsidRPr="00B63FA2">
        <w:rPr>
          <w:lang w:val="en-US" w:eastAsia="ko-KR"/>
        </w:rPr>
        <w:t>10.1.4</w:t>
      </w:r>
      <w:r>
        <w:rPr>
          <w:lang w:val="en-US" w:eastAsia="ko-KR"/>
        </w:rPr>
        <w:t>B</w:t>
      </w:r>
      <w:r w:rsidRPr="00B63FA2">
        <w:rPr>
          <w:lang w:val="en-US" w:eastAsia="ko-KR"/>
        </w:rPr>
        <w:tab/>
        <w:t xml:space="preserve">Inter-frequency RSRP accuracy requirements </w:t>
      </w:r>
      <w:r w:rsidRPr="00B63FA2">
        <w:rPr>
          <w:lang w:val="en-US" w:eastAsia="zh-CN"/>
        </w:rPr>
        <w:t>for</w:t>
      </w:r>
      <w:r w:rsidRPr="00B63FA2">
        <w:rPr>
          <w:lang w:val="en-US" w:eastAsia="ko-KR"/>
        </w:rPr>
        <w:t xml:space="preserve"> FR1</w:t>
      </w:r>
      <w:r w:rsidRPr="00B63FA2">
        <w:rPr>
          <w:lang w:val="en-US"/>
        </w:rPr>
        <w:t xml:space="preserve"> </w:t>
      </w:r>
      <w:r>
        <w:rPr>
          <w:lang w:val="en-US"/>
        </w:rPr>
        <w:t>for CA/DC Idle Mode Measurements</w:t>
      </w:r>
    </w:p>
    <w:p w14:paraId="6C25EBA6" w14:textId="77777777" w:rsidR="00BE0199" w:rsidRDefault="00BE0199" w:rsidP="00F37389">
      <w:pPr>
        <w:pStyle w:val="Heading4"/>
        <w:rPr>
          <w:lang w:val="en-US" w:eastAsia="ko-KR"/>
        </w:rPr>
      </w:pPr>
      <w:r w:rsidRPr="00B63FA2">
        <w:rPr>
          <w:lang w:val="en-US" w:eastAsia="zh-CN"/>
        </w:rPr>
        <w:t>10.1.4</w:t>
      </w:r>
      <w:r>
        <w:rPr>
          <w:lang w:val="en-US" w:eastAsia="zh-CN"/>
        </w:rPr>
        <w:t>B</w:t>
      </w:r>
      <w:r w:rsidRPr="00B63FA2">
        <w:rPr>
          <w:lang w:val="en-US" w:eastAsia="zh-CN"/>
        </w:rPr>
        <w:t>.1</w:t>
      </w:r>
      <w:r w:rsidRPr="00B63FA2">
        <w:rPr>
          <w:lang w:val="en-US" w:eastAsia="zh-CN"/>
        </w:rPr>
        <w:tab/>
      </w:r>
      <w:r w:rsidRPr="00B63FA2">
        <w:rPr>
          <w:lang w:val="en-US" w:eastAsia="ko-KR"/>
        </w:rPr>
        <w:t>Inter-frequency SS-RSRP accuracy requirements</w:t>
      </w:r>
    </w:p>
    <w:p w14:paraId="05CE4176" w14:textId="77777777" w:rsidR="00BE0199" w:rsidRPr="00691C10" w:rsidRDefault="00BE0199" w:rsidP="00BE0199">
      <w:pPr>
        <w:jc w:val="both"/>
        <w:rPr>
          <w:rFonts w:cs="v4.2.0"/>
        </w:rPr>
      </w:pPr>
      <w:r w:rsidRPr="00691C10">
        <w:rPr>
          <w:rFonts w:cs="v4.2.0"/>
        </w:rPr>
        <w:t>The requirements in this clause are applicable for a UE:</w:t>
      </w:r>
    </w:p>
    <w:p w14:paraId="54B1EC9C" w14:textId="77777777" w:rsidR="00BE0199" w:rsidRPr="00691C10" w:rsidRDefault="00BE0199" w:rsidP="00BE0199">
      <w:pPr>
        <w:pStyle w:val="B10"/>
        <w:rPr>
          <w:rFonts w:cs="v4.2.0"/>
        </w:rPr>
      </w:pPr>
      <w:r w:rsidRPr="00691C10">
        <w:rPr>
          <w:rFonts w:cs="v4.2.0"/>
        </w:rPr>
        <w:t>-</w:t>
      </w:r>
      <w:r w:rsidRPr="00691C10">
        <w:rPr>
          <w:rFonts w:cs="v4.2.0"/>
        </w:rPr>
        <w:tab/>
        <w:t>in state RRC_IDLE</w:t>
      </w:r>
      <w:r>
        <w:rPr>
          <w:rFonts w:cs="v4.2.0"/>
        </w:rPr>
        <w:t xml:space="preserve"> or RRC INACTIVE</w:t>
      </w:r>
    </w:p>
    <w:p w14:paraId="48CF04F9" w14:textId="77777777" w:rsidR="00BE0199" w:rsidRPr="00691C10" w:rsidRDefault="00BE0199" w:rsidP="00BE0199">
      <w:pPr>
        <w:pStyle w:val="B10"/>
      </w:pPr>
      <w:r w:rsidRPr="00691C10">
        <w:t>-</w:t>
      </w:r>
      <w:r w:rsidRPr="00691C10">
        <w:tab/>
        <w:t>that is synchronised to the cell that is measured.</w:t>
      </w:r>
    </w:p>
    <w:p w14:paraId="48FE984D" w14:textId="77777777" w:rsidR="00BE0199" w:rsidRDefault="00BE0199" w:rsidP="00F37389">
      <w:r w:rsidRPr="00691C10">
        <w:t xml:space="preserve">The requirements are for absolute accuracy of </w:t>
      </w:r>
      <w:r>
        <w:t>SS-</w:t>
      </w:r>
      <w:r w:rsidRPr="00691C10">
        <w:t>RSRP.</w:t>
      </w:r>
    </w:p>
    <w:p w14:paraId="6A25A5A0" w14:textId="77777777" w:rsidR="00BE0199" w:rsidRPr="00B63FA2" w:rsidRDefault="00BE0199" w:rsidP="00F37389">
      <w:pPr>
        <w:pStyle w:val="Heading5"/>
        <w:rPr>
          <w:lang w:val="en-US" w:eastAsia="zh-CN"/>
        </w:rPr>
      </w:pPr>
      <w:r w:rsidRPr="00B63FA2">
        <w:rPr>
          <w:lang w:val="en-US" w:eastAsia="zh-CN"/>
        </w:rPr>
        <w:t>10.1.4</w:t>
      </w:r>
      <w:r>
        <w:rPr>
          <w:lang w:val="en-US" w:eastAsia="zh-CN"/>
        </w:rPr>
        <w:t>B</w:t>
      </w:r>
      <w:r w:rsidRPr="00B63FA2">
        <w:rPr>
          <w:lang w:val="en-US" w:eastAsia="zh-CN"/>
        </w:rPr>
        <w:t>.1.1</w:t>
      </w:r>
      <w:r w:rsidRPr="00B63FA2">
        <w:rPr>
          <w:lang w:val="en-US" w:eastAsia="zh-CN"/>
        </w:rPr>
        <w:tab/>
      </w:r>
      <w:r w:rsidRPr="00B63FA2">
        <w:rPr>
          <w:lang w:eastAsia="zh-CN"/>
        </w:rPr>
        <w:t>Absolute</w:t>
      </w:r>
      <w:r w:rsidRPr="00B63FA2">
        <w:t xml:space="preserve"> Accuracy of </w:t>
      </w:r>
      <w:r w:rsidRPr="00B63FA2">
        <w:rPr>
          <w:lang w:eastAsia="zh-CN"/>
        </w:rPr>
        <w:t>SS-RSRP</w:t>
      </w:r>
      <w:r w:rsidRPr="00B63FA2">
        <w:rPr>
          <w:lang w:val="en-US" w:eastAsia="zh-CN"/>
        </w:rPr>
        <w:t xml:space="preserve"> in FR1</w:t>
      </w:r>
    </w:p>
    <w:p w14:paraId="414FDB4B" w14:textId="77777777" w:rsidR="00BE0199" w:rsidRPr="00B63FA2" w:rsidRDefault="00BE0199" w:rsidP="00BE0199">
      <w:pPr>
        <w:rPr>
          <w:rFonts w:cs="v4.2.0"/>
          <w:i/>
        </w:rPr>
      </w:pPr>
      <w:r w:rsidRPr="00B63FA2">
        <w:rPr>
          <w:rFonts w:cs="v4.2.0"/>
        </w:rPr>
        <w:t>The requirements for absolute accuracy of</w:t>
      </w:r>
      <w:r w:rsidRPr="00B63FA2">
        <w:rPr>
          <w:rFonts w:cs="v4.2.0"/>
          <w:lang w:eastAsia="zh-CN"/>
        </w:rPr>
        <w:t xml:space="preserve"> SS-RSRP</w:t>
      </w:r>
      <w:r w:rsidRPr="00B63FA2">
        <w:rPr>
          <w:rFonts w:cs="v4.2.0"/>
        </w:rPr>
        <w:t xml:space="preserve"> in this clause apply to a cell on a frequency in FR1 that has different carrier frequency from the serving cell.</w:t>
      </w:r>
    </w:p>
    <w:p w14:paraId="2F9CA2DD" w14:textId="77777777" w:rsidR="00BE0199" w:rsidRPr="00B63FA2" w:rsidRDefault="00BE0199" w:rsidP="00BE0199">
      <w:pPr>
        <w:rPr>
          <w:rFonts w:cs="v4.2.0"/>
        </w:rPr>
      </w:pPr>
      <w:r w:rsidRPr="00B63FA2">
        <w:rPr>
          <w:rFonts w:cs="v4.2.0"/>
        </w:rPr>
        <w:t xml:space="preserve">The accuracy requirements in Table </w:t>
      </w:r>
      <w:r w:rsidRPr="00B63FA2">
        <w:rPr>
          <w:rFonts w:cs="v4.2.0"/>
          <w:lang w:eastAsia="zh-CN"/>
        </w:rPr>
        <w:t>10.1.4</w:t>
      </w:r>
      <w:r>
        <w:rPr>
          <w:rFonts w:cs="v4.2.0"/>
          <w:lang w:eastAsia="zh-CN"/>
        </w:rPr>
        <w:t>B</w:t>
      </w:r>
      <w:r w:rsidRPr="00B63FA2">
        <w:rPr>
          <w:rFonts w:cs="v4.2.0"/>
          <w:lang w:eastAsia="zh-CN"/>
        </w:rPr>
        <w:t>.1.1</w:t>
      </w:r>
      <w:r w:rsidRPr="00B63FA2">
        <w:rPr>
          <w:rFonts w:cs="v4.2.0"/>
        </w:rPr>
        <w:t>-1 are valid under the following conditions:</w:t>
      </w:r>
    </w:p>
    <w:p w14:paraId="2720D13A" w14:textId="77777777" w:rsidR="00BE0199" w:rsidRPr="00B63FA2" w:rsidRDefault="00BE0199" w:rsidP="00F37389">
      <w:pPr>
        <w:pStyle w:val="B10"/>
        <w:rPr>
          <w:lang w:eastAsia="zh-CN"/>
        </w:rPr>
      </w:pPr>
      <w:r w:rsidRPr="00B63FA2">
        <w:t>-</w:t>
      </w:r>
      <w:r w:rsidRPr="00B63FA2">
        <w:tab/>
        <w:t>Conditions defined in clause 7.3 of TS 38.101-1 [18] for reference sensitivity are fulfilled.</w:t>
      </w:r>
    </w:p>
    <w:p w14:paraId="310768DA" w14:textId="77777777" w:rsidR="00BE0199" w:rsidRPr="00B63FA2" w:rsidRDefault="00BE0199" w:rsidP="00F37389">
      <w:pPr>
        <w:pStyle w:val="B10"/>
        <w:rPr>
          <w:lang w:eastAsia="zh-CN"/>
        </w:rPr>
      </w:pPr>
      <w:r w:rsidRPr="00B63FA2">
        <w:t>-</w:t>
      </w:r>
      <w:r w:rsidRPr="00B63FA2">
        <w:tab/>
        <w:t>Conditions for inter-frequency measurements are fulfilled according to Annex B.</w:t>
      </w:r>
      <w:r>
        <w:t>1</w:t>
      </w:r>
      <w:r w:rsidRPr="00B63FA2">
        <w:t xml:space="preserve">.3 for a corresponding Band </w:t>
      </w:r>
      <w:r w:rsidRPr="00B63FA2">
        <w:rPr>
          <w:rFonts w:cs="v4.2.0"/>
          <w:lang w:eastAsia="ko-KR"/>
        </w:rPr>
        <w:t>for each relevant SSB</w:t>
      </w:r>
      <w:r w:rsidRPr="00B63FA2">
        <w:t>.</w:t>
      </w:r>
    </w:p>
    <w:p w14:paraId="044E3151" w14:textId="77777777" w:rsidR="00BE0199" w:rsidRPr="00B63FA2" w:rsidRDefault="00BE0199" w:rsidP="00F37389">
      <w:pPr>
        <w:pStyle w:val="TH"/>
      </w:pPr>
      <w:r w:rsidRPr="00B63FA2">
        <w:t xml:space="preserve">Table </w:t>
      </w:r>
      <w:r w:rsidRPr="00B63FA2">
        <w:rPr>
          <w:lang w:eastAsia="zh-CN"/>
        </w:rPr>
        <w:t>10.1.4</w:t>
      </w:r>
      <w:r>
        <w:rPr>
          <w:lang w:eastAsia="zh-CN"/>
        </w:rPr>
        <w:t>B</w:t>
      </w:r>
      <w:r w:rsidRPr="00B63FA2">
        <w:rPr>
          <w:lang w:eastAsia="zh-CN"/>
        </w:rPr>
        <w:t>.1.1-1</w:t>
      </w:r>
      <w:r w:rsidRPr="00B63FA2">
        <w:t xml:space="preserve">: </w:t>
      </w:r>
      <w:r w:rsidRPr="00B63FA2">
        <w:rPr>
          <w:lang w:eastAsia="zh-CN"/>
        </w:rPr>
        <w:t>SS-</w:t>
      </w:r>
      <w:r w:rsidRPr="00B63FA2">
        <w:t>RSRP Inter frequency Absolute accuracy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BE0199" w:rsidRPr="00B63FA2" w14:paraId="3E02D9C1" w14:textId="77777777" w:rsidTr="00BE0199">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46C693CB" w14:textId="77777777" w:rsidR="00BE0199" w:rsidRPr="00B63FA2" w:rsidRDefault="00BE0199" w:rsidP="00F37389">
            <w:pPr>
              <w:pStyle w:val="TAH"/>
            </w:pPr>
            <w:r w:rsidRPr="00B63FA2">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4B20A265" w14:textId="77777777" w:rsidR="00BE0199" w:rsidRPr="00B63FA2" w:rsidRDefault="00BE0199" w:rsidP="00F37389">
            <w:pPr>
              <w:pStyle w:val="TAH"/>
            </w:pPr>
            <w:r w:rsidRPr="00B63FA2">
              <w:t>Conditions</w:t>
            </w:r>
          </w:p>
        </w:tc>
      </w:tr>
      <w:tr w:rsidR="00BE0199" w:rsidRPr="00B63FA2" w14:paraId="5D25ADE3" w14:textId="77777777" w:rsidTr="00BE0199">
        <w:trPr>
          <w:jc w:val="center"/>
        </w:trPr>
        <w:tc>
          <w:tcPr>
            <w:tcW w:w="1033" w:type="dxa"/>
            <w:tcBorders>
              <w:top w:val="single" w:sz="6" w:space="0" w:color="auto"/>
              <w:left w:val="single" w:sz="4" w:space="0" w:color="auto"/>
              <w:right w:val="single" w:sz="6" w:space="0" w:color="auto"/>
            </w:tcBorders>
            <w:shd w:val="clear" w:color="auto" w:fill="auto"/>
            <w:vAlign w:val="center"/>
          </w:tcPr>
          <w:p w14:paraId="0E688B85" w14:textId="77777777" w:rsidR="00BE0199" w:rsidRPr="00B63FA2" w:rsidRDefault="00BE0199" w:rsidP="00F37389">
            <w:pPr>
              <w:pStyle w:val="TAH"/>
            </w:pPr>
            <w:r w:rsidRPr="00B63FA2">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5BBD2EF4" w14:textId="77777777" w:rsidR="00BE0199" w:rsidRPr="00B63FA2" w:rsidRDefault="00BE0199" w:rsidP="00F37389">
            <w:pPr>
              <w:pStyle w:val="TAH"/>
            </w:pPr>
            <w:r w:rsidRPr="00B63FA2">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03BF24FB" w14:textId="77777777" w:rsidR="00BE0199" w:rsidRPr="00B63FA2" w:rsidRDefault="00BE0199" w:rsidP="00F37389">
            <w:pPr>
              <w:pStyle w:val="TAH"/>
            </w:pPr>
            <w:r w:rsidRPr="00B63FA2">
              <w:t>SSB Ês/Iot</w:t>
            </w:r>
            <w:r w:rsidRPr="00B63FA2">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6FA5898" w14:textId="77777777" w:rsidR="00BE0199" w:rsidRPr="00B63FA2" w:rsidRDefault="00BE0199" w:rsidP="00F37389">
            <w:pPr>
              <w:pStyle w:val="TAH"/>
            </w:pPr>
            <w:r w:rsidRPr="00B63FA2">
              <w:t>Io</w:t>
            </w:r>
            <w:r w:rsidRPr="00B63FA2">
              <w:rPr>
                <w:vertAlign w:val="superscript"/>
              </w:rPr>
              <w:t xml:space="preserve"> Note 1</w:t>
            </w:r>
            <w:r w:rsidRPr="00B63FA2">
              <w:t xml:space="preserve"> range</w:t>
            </w:r>
          </w:p>
        </w:tc>
      </w:tr>
      <w:tr w:rsidR="00BE0199" w:rsidRPr="00B63FA2" w14:paraId="7EA62F8D" w14:textId="77777777" w:rsidTr="00BE0199">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098CC22C" w14:textId="77777777" w:rsidR="00BE0199" w:rsidRPr="00B63FA2" w:rsidRDefault="00BE0199" w:rsidP="00F37389">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7801CA41" w14:textId="77777777" w:rsidR="00BE0199" w:rsidRPr="00B63FA2" w:rsidRDefault="00BE0199" w:rsidP="00F37389">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77B90942" w14:textId="77777777" w:rsidR="00BE0199" w:rsidRPr="00B63FA2" w:rsidRDefault="00BE0199" w:rsidP="00F37389">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0A52DAE" w14:textId="77777777" w:rsidR="00BE0199" w:rsidRPr="00B63FA2" w:rsidRDefault="00BE0199" w:rsidP="00F37389">
            <w:pPr>
              <w:pStyle w:val="TAH"/>
            </w:pPr>
            <w:r w:rsidRPr="00B63FA2">
              <w:t>NR operating band groups</w:t>
            </w:r>
            <w:r w:rsidRPr="00B63FA2">
              <w:rPr>
                <w:vertAlign w:val="superscript"/>
              </w:rPr>
              <w:t xml:space="preserve"> Note 3</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2BD613B3" w14:textId="77777777" w:rsidR="00BE0199" w:rsidRPr="00B63FA2" w:rsidRDefault="00BE0199" w:rsidP="00F37389">
            <w:pPr>
              <w:pStyle w:val="TAH"/>
            </w:pPr>
            <w:r w:rsidRPr="00B63FA2">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4EBE894D" w14:textId="77777777" w:rsidR="00BE0199" w:rsidRPr="00B63FA2" w:rsidRDefault="00BE0199" w:rsidP="00F37389">
            <w:pPr>
              <w:pStyle w:val="TAH"/>
            </w:pPr>
            <w:r w:rsidRPr="00B63FA2">
              <w:t>Maximum Io</w:t>
            </w:r>
          </w:p>
        </w:tc>
      </w:tr>
      <w:tr w:rsidR="00BE0199" w:rsidRPr="00B63FA2" w14:paraId="37F2B90B" w14:textId="77777777" w:rsidTr="00BE0199">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487B3998" w14:textId="77777777" w:rsidR="00BE0199" w:rsidRPr="00B63FA2" w:rsidRDefault="00BE0199" w:rsidP="00F37389">
            <w:pPr>
              <w:pStyle w:val="TAH"/>
            </w:pPr>
            <w:r w:rsidRPr="00B63FA2">
              <w:t>dB</w:t>
            </w:r>
          </w:p>
        </w:tc>
        <w:tc>
          <w:tcPr>
            <w:tcW w:w="1049" w:type="dxa"/>
            <w:tcBorders>
              <w:top w:val="single" w:sz="6" w:space="0" w:color="auto"/>
              <w:left w:val="single" w:sz="6" w:space="0" w:color="auto"/>
              <w:right w:val="single" w:sz="6" w:space="0" w:color="auto"/>
            </w:tcBorders>
            <w:shd w:val="clear" w:color="auto" w:fill="auto"/>
            <w:vAlign w:val="center"/>
          </w:tcPr>
          <w:p w14:paraId="3A5D6259" w14:textId="77777777" w:rsidR="00BE0199" w:rsidRPr="00B63FA2" w:rsidRDefault="00BE0199" w:rsidP="00F37389">
            <w:pPr>
              <w:pStyle w:val="TAH"/>
            </w:pPr>
            <w:r w:rsidRPr="00B63FA2">
              <w:t>dB</w:t>
            </w:r>
          </w:p>
        </w:tc>
        <w:tc>
          <w:tcPr>
            <w:tcW w:w="807" w:type="dxa"/>
            <w:tcBorders>
              <w:top w:val="single" w:sz="6" w:space="0" w:color="auto"/>
              <w:left w:val="single" w:sz="6" w:space="0" w:color="auto"/>
              <w:right w:val="single" w:sz="6" w:space="0" w:color="auto"/>
            </w:tcBorders>
            <w:shd w:val="clear" w:color="auto" w:fill="auto"/>
            <w:vAlign w:val="center"/>
          </w:tcPr>
          <w:p w14:paraId="2B92B9EA" w14:textId="77777777" w:rsidR="00BE0199" w:rsidRPr="00B63FA2" w:rsidRDefault="00BE0199" w:rsidP="00F37389">
            <w:pPr>
              <w:pStyle w:val="TAH"/>
            </w:pPr>
            <w:r w:rsidRPr="00B63FA2">
              <w:t>dB</w:t>
            </w:r>
          </w:p>
        </w:tc>
        <w:tc>
          <w:tcPr>
            <w:tcW w:w="2349" w:type="dxa"/>
            <w:tcBorders>
              <w:top w:val="single" w:sz="6" w:space="0" w:color="auto"/>
              <w:left w:val="single" w:sz="6" w:space="0" w:color="auto"/>
              <w:right w:val="single" w:sz="4" w:space="0" w:color="auto"/>
            </w:tcBorders>
            <w:shd w:val="clear" w:color="auto" w:fill="auto"/>
            <w:vAlign w:val="center"/>
          </w:tcPr>
          <w:p w14:paraId="36F307B9" w14:textId="77777777" w:rsidR="00BE0199" w:rsidRPr="00B63FA2" w:rsidRDefault="00BE0199" w:rsidP="00F37389">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247C0326" w14:textId="77777777" w:rsidR="00BE0199" w:rsidRPr="00B63FA2" w:rsidRDefault="00BE0199" w:rsidP="00F37389">
            <w:pPr>
              <w:pStyle w:val="TAH"/>
            </w:pPr>
            <w:r w:rsidRPr="00B63FA2">
              <w:rPr>
                <w:rFonts w:cs="Arial"/>
              </w:rPr>
              <w:t xml:space="preserve">dBm / </w:t>
            </w:r>
            <w:r w:rsidRPr="00B63FA2">
              <w:t>SCS</w:t>
            </w:r>
            <w:r w:rsidRPr="00B63FA2">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44919276" w14:textId="77777777" w:rsidR="00BE0199" w:rsidRPr="00B63FA2" w:rsidRDefault="00BE0199" w:rsidP="00F37389">
            <w:pPr>
              <w:pStyle w:val="TAH"/>
            </w:pPr>
            <w:r w:rsidRPr="00B63FA2">
              <w:t>dBm/BW</w:t>
            </w:r>
            <w:r w:rsidRPr="00B63FA2">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1FAC818D" w14:textId="77777777" w:rsidR="00BE0199" w:rsidRPr="00B63FA2" w:rsidRDefault="00BE0199" w:rsidP="00F37389">
            <w:pPr>
              <w:pStyle w:val="TAH"/>
            </w:pPr>
            <w:r w:rsidRPr="00B63FA2">
              <w:t>dBm/BW</w:t>
            </w:r>
            <w:r w:rsidRPr="00B63FA2">
              <w:rPr>
                <w:vertAlign w:val="subscript"/>
              </w:rPr>
              <w:t>Channel</w:t>
            </w:r>
          </w:p>
        </w:tc>
      </w:tr>
      <w:tr w:rsidR="00BE0199" w:rsidRPr="00B63FA2" w14:paraId="124B67D3" w14:textId="77777777" w:rsidTr="00BE0199">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75B1A506" w14:textId="77777777" w:rsidR="00BE0199" w:rsidRPr="00B63FA2" w:rsidRDefault="00BE0199" w:rsidP="00F37389">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3B14C2B4" w14:textId="77777777" w:rsidR="00BE0199" w:rsidRPr="00B63FA2" w:rsidRDefault="00BE0199" w:rsidP="00F37389">
            <w:pPr>
              <w:pStyle w:val="TAH"/>
            </w:pPr>
          </w:p>
        </w:tc>
        <w:tc>
          <w:tcPr>
            <w:tcW w:w="807" w:type="dxa"/>
            <w:tcBorders>
              <w:left w:val="single" w:sz="6" w:space="0" w:color="auto"/>
              <w:bottom w:val="single" w:sz="6" w:space="0" w:color="auto"/>
              <w:right w:val="single" w:sz="6" w:space="0" w:color="auto"/>
            </w:tcBorders>
            <w:shd w:val="clear" w:color="auto" w:fill="auto"/>
          </w:tcPr>
          <w:p w14:paraId="267E400B" w14:textId="77777777" w:rsidR="00BE0199" w:rsidRPr="00B63FA2" w:rsidRDefault="00BE0199" w:rsidP="00F37389">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546BB8DE" w14:textId="77777777" w:rsidR="00BE0199" w:rsidRPr="00B63FA2" w:rsidRDefault="00BE0199" w:rsidP="00F37389">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439FF271" w14:textId="77777777" w:rsidR="00BE0199" w:rsidRPr="00B63FA2" w:rsidRDefault="00BE0199" w:rsidP="00F37389">
            <w:pPr>
              <w:pStyle w:val="TAH"/>
              <w:rPr>
                <w:rFonts w:cs="Arial"/>
              </w:rPr>
            </w:pPr>
            <w:r w:rsidRPr="00B63FA2">
              <w:t>SCS</w:t>
            </w:r>
            <w:r w:rsidRPr="00B63FA2">
              <w:rPr>
                <w:vertAlign w:val="subscript"/>
              </w:rPr>
              <w:t>SSB</w:t>
            </w:r>
            <w:r w:rsidRPr="00B63FA2">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A24B210" w14:textId="77777777" w:rsidR="00BE0199" w:rsidRPr="00B63FA2" w:rsidRDefault="00BE0199" w:rsidP="00F37389">
            <w:pPr>
              <w:pStyle w:val="TAH"/>
              <w:rPr>
                <w:rFonts w:cs="Arial"/>
              </w:rPr>
            </w:pPr>
            <w:r w:rsidRPr="00B63FA2">
              <w:t>SCS</w:t>
            </w:r>
            <w:r w:rsidRPr="00B63FA2">
              <w:rPr>
                <w:vertAlign w:val="subscript"/>
              </w:rPr>
              <w:t>SSB</w:t>
            </w:r>
            <w:r w:rsidRPr="00B63FA2">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1CD007ED" w14:textId="77777777" w:rsidR="00BE0199" w:rsidRPr="00B63FA2" w:rsidRDefault="00BE0199" w:rsidP="00F37389">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73CCC917" w14:textId="77777777" w:rsidR="00BE0199" w:rsidRPr="00B63FA2" w:rsidRDefault="00BE0199" w:rsidP="00F37389">
            <w:pPr>
              <w:pStyle w:val="TAH"/>
            </w:pPr>
          </w:p>
        </w:tc>
      </w:tr>
      <w:tr w:rsidR="00BE0199" w:rsidRPr="00B63FA2" w14:paraId="3019EB08" w14:textId="77777777" w:rsidTr="00BE0199">
        <w:trPr>
          <w:jc w:val="center"/>
        </w:trPr>
        <w:tc>
          <w:tcPr>
            <w:tcW w:w="1033" w:type="dxa"/>
            <w:tcBorders>
              <w:top w:val="single" w:sz="6" w:space="0" w:color="auto"/>
              <w:left w:val="single" w:sz="4" w:space="0" w:color="auto"/>
              <w:right w:val="single" w:sz="6" w:space="0" w:color="auto"/>
            </w:tcBorders>
            <w:shd w:val="clear" w:color="auto" w:fill="auto"/>
            <w:vAlign w:val="center"/>
          </w:tcPr>
          <w:p w14:paraId="71DAD5DA" w14:textId="77777777" w:rsidR="00BE0199" w:rsidRPr="00B63FA2" w:rsidRDefault="00BE0199" w:rsidP="00F37389">
            <w:pPr>
              <w:pStyle w:val="TAC"/>
            </w:pPr>
          </w:p>
        </w:tc>
        <w:tc>
          <w:tcPr>
            <w:tcW w:w="1049" w:type="dxa"/>
            <w:tcBorders>
              <w:top w:val="single" w:sz="6" w:space="0" w:color="auto"/>
              <w:left w:val="single" w:sz="6" w:space="0" w:color="auto"/>
              <w:right w:val="single" w:sz="6" w:space="0" w:color="auto"/>
            </w:tcBorders>
            <w:shd w:val="clear" w:color="auto" w:fill="auto"/>
            <w:vAlign w:val="center"/>
          </w:tcPr>
          <w:p w14:paraId="734B01FB" w14:textId="77777777" w:rsidR="00BE0199" w:rsidRPr="00B63FA2" w:rsidRDefault="00BE0199" w:rsidP="00F37389">
            <w:pPr>
              <w:pStyle w:val="TAC"/>
            </w:pPr>
          </w:p>
        </w:tc>
        <w:tc>
          <w:tcPr>
            <w:tcW w:w="807" w:type="dxa"/>
            <w:tcBorders>
              <w:top w:val="single" w:sz="6" w:space="0" w:color="auto"/>
              <w:left w:val="single" w:sz="6" w:space="0" w:color="auto"/>
              <w:right w:val="single" w:sz="6" w:space="0" w:color="auto"/>
            </w:tcBorders>
            <w:shd w:val="clear" w:color="auto" w:fill="auto"/>
            <w:vAlign w:val="center"/>
          </w:tcPr>
          <w:p w14:paraId="1F97E8B5" w14:textId="77777777" w:rsidR="00BE0199" w:rsidRPr="00B63FA2" w:rsidRDefault="00BE0199" w:rsidP="00F37389">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21C7183C" w14:textId="77777777" w:rsidR="00BE0199" w:rsidRPr="00B63FA2" w:rsidRDefault="00BE0199" w:rsidP="00F37389">
            <w:pPr>
              <w:pStyle w:val="TAC"/>
            </w:pPr>
            <w:r w:rsidRPr="00B63FA2">
              <w:t>NR_FDD_FR1_A, NR_TDD_FR1_A,</w:t>
            </w:r>
          </w:p>
          <w:p w14:paraId="6DF97D47" w14:textId="77777777" w:rsidR="00BE0199" w:rsidRPr="00B63FA2" w:rsidRDefault="00BE0199" w:rsidP="00F37389">
            <w:pPr>
              <w:pStyle w:val="TAC"/>
            </w:pPr>
            <w:r w:rsidRPr="00B63FA2">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747F193" w14:textId="77777777" w:rsidR="00BE0199" w:rsidRPr="00B63FA2" w:rsidRDefault="00BE0199" w:rsidP="00F37389">
            <w:pPr>
              <w:pStyle w:val="TAC"/>
            </w:pPr>
            <w:r w:rsidRPr="00B63FA2">
              <w:t>-121</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E0B53B8" w14:textId="77777777" w:rsidR="00BE0199" w:rsidRPr="00B63FA2" w:rsidRDefault="00BE0199" w:rsidP="00F37389">
            <w:pPr>
              <w:pStyle w:val="TAC"/>
            </w:pPr>
            <w:r w:rsidRPr="00B63FA2">
              <w:t>-118</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53977FFA" w14:textId="77777777" w:rsidR="00BE0199" w:rsidRPr="00B63FA2" w:rsidRDefault="00BE0199" w:rsidP="00F37389">
            <w:pPr>
              <w:pStyle w:val="TAC"/>
            </w:pPr>
            <w:r w:rsidRPr="00B63FA2">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6157441" w14:textId="77777777" w:rsidR="00BE0199" w:rsidRPr="00B63FA2" w:rsidRDefault="00BE0199" w:rsidP="00F37389">
            <w:pPr>
              <w:pStyle w:val="TAC"/>
            </w:pPr>
            <w:r w:rsidRPr="00B63FA2">
              <w:t>-70</w:t>
            </w:r>
          </w:p>
        </w:tc>
      </w:tr>
      <w:tr w:rsidR="00BE0199" w:rsidRPr="00B63FA2" w14:paraId="041219FB" w14:textId="77777777" w:rsidTr="00BE0199">
        <w:trPr>
          <w:jc w:val="center"/>
        </w:trPr>
        <w:tc>
          <w:tcPr>
            <w:tcW w:w="1033" w:type="dxa"/>
            <w:tcBorders>
              <w:left w:val="single" w:sz="4" w:space="0" w:color="auto"/>
              <w:right w:val="single" w:sz="6" w:space="0" w:color="auto"/>
            </w:tcBorders>
            <w:shd w:val="clear" w:color="auto" w:fill="auto"/>
            <w:vAlign w:val="center"/>
          </w:tcPr>
          <w:p w14:paraId="6D5A70D7" w14:textId="77777777" w:rsidR="00BE0199" w:rsidRPr="00B63FA2" w:rsidRDefault="00BE0199" w:rsidP="00F37389">
            <w:pPr>
              <w:pStyle w:val="TAC"/>
            </w:pPr>
          </w:p>
        </w:tc>
        <w:tc>
          <w:tcPr>
            <w:tcW w:w="1049" w:type="dxa"/>
            <w:tcBorders>
              <w:left w:val="single" w:sz="6" w:space="0" w:color="auto"/>
              <w:right w:val="single" w:sz="6" w:space="0" w:color="auto"/>
            </w:tcBorders>
            <w:shd w:val="clear" w:color="auto" w:fill="auto"/>
            <w:vAlign w:val="center"/>
          </w:tcPr>
          <w:p w14:paraId="41A7C744" w14:textId="77777777" w:rsidR="00BE0199" w:rsidRPr="00B63FA2" w:rsidRDefault="00BE0199" w:rsidP="00F37389">
            <w:pPr>
              <w:pStyle w:val="TAC"/>
            </w:pPr>
          </w:p>
        </w:tc>
        <w:tc>
          <w:tcPr>
            <w:tcW w:w="807" w:type="dxa"/>
            <w:tcBorders>
              <w:left w:val="single" w:sz="6" w:space="0" w:color="auto"/>
              <w:right w:val="single" w:sz="6" w:space="0" w:color="auto"/>
            </w:tcBorders>
            <w:shd w:val="clear" w:color="auto" w:fill="auto"/>
            <w:vAlign w:val="center"/>
          </w:tcPr>
          <w:p w14:paraId="5C94498D" w14:textId="77777777" w:rsidR="00BE0199" w:rsidRPr="00B63FA2" w:rsidRDefault="00BE0199" w:rsidP="00F37389">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3FD69BDC" w14:textId="77777777" w:rsidR="00BE0199" w:rsidRPr="00B63FA2" w:rsidRDefault="00BE0199" w:rsidP="00F37389">
            <w:pPr>
              <w:pStyle w:val="TAC"/>
            </w:pPr>
            <w:r w:rsidRPr="00B63FA2">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7262782" w14:textId="77777777" w:rsidR="00BE0199" w:rsidRPr="00B63FA2" w:rsidRDefault="00BE0199" w:rsidP="00F37389">
            <w:pPr>
              <w:pStyle w:val="TAC"/>
            </w:pPr>
            <w:r w:rsidRPr="00B63FA2">
              <w:t>-120.5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DC65EDE" w14:textId="77777777" w:rsidR="00BE0199" w:rsidRPr="00B63FA2" w:rsidRDefault="00BE0199" w:rsidP="00F37389">
            <w:pPr>
              <w:pStyle w:val="TAC"/>
              <w:rPr>
                <w:lang w:val="sv-SE"/>
              </w:rPr>
            </w:pPr>
            <w:r w:rsidRPr="00B63FA2">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E327724" w14:textId="77777777" w:rsidR="00BE0199" w:rsidRPr="00B63FA2" w:rsidRDefault="00BE0199" w:rsidP="00F37389">
            <w:pPr>
              <w:pStyle w:val="TAC"/>
            </w:pPr>
            <w:r w:rsidRPr="00B63FA2">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11169BC" w14:textId="77777777" w:rsidR="00BE0199" w:rsidRPr="00B63FA2" w:rsidRDefault="00BE0199" w:rsidP="00F37389">
            <w:pPr>
              <w:pStyle w:val="TAC"/>
            </w:pPr>
            <w:r w:rsidRPr="00B63FA2">
              <w:t>-70</w:t>
            </w:r>
          </w:p>
        </w:tc>
      </w:tr>
      <w:tr w:rsidR="00BE0199" w:rsidRPr="00B63FA2" w14:paraId="60BD43E5" w14:textId="77777777" w:rsidTr="00BE0199">
        <w:trPr>
          <w:jc w:val="center"/>
        </w:trPr>
        <w:tc>
          <w:tcPr>
            <w:tcW w:w="1033" w:type="dxa"/>
            <w:tcBorders>
              <w:left w:val="single" w:sz="4" w:space="0" w:color="auto"/>
              <w:right w:val="single" w:sz="6" w:space="0" w:color="auto"/>
            </w:tcBorders>
            <w:shd w:val="clear" w:color="auto" w:fill="auto"/>
            <w:vAlign w:val="center"/>
          </w:tcPr>
          <w:p w14:paraId="457B6D01" w14:textId="77777777" w:rsidR="00BE0199" w:rsidRPr="00B63FA2" w:rsidRDefault="00BE0199" w:rsidP="00F37389">
            <w:pPr>
              <w:pStyle w:val="TAC"/>
            </w:pPr>
          </w:p>
        </w:tc>
        <w:tc>
          <w:tcPr>
            <w:tcW w:w="1049" w:type="dxa"/>
            <w:tcBorders>
              <w:left w:val="single" w:sz="6" w:space="0" w:color="auto"/>
              <w:right w:val="single" w:sz="6" w:space="0" w:color="auto"/>
            </w:tcBorders>
            <w:shd w:val="clear" w:color="auto" w:fill="auto"/>
            <w:vAlign w:val="center"/>
          </w:tcPr>
          <w:p w14:paraId="2B118965" w14:textId="77777777" w:rsidR="00BE0199" w:rsidRPr="00B63FA2" w:rsidRDefault="00BE0199" w:rsidP="00F37389">
            <w:pPr>
              <w:pStyle w:val="TAC"/>
            </w:pPr>
          </w:p>
        </w:tc>
        <w:tc>
          <w:tcPr>
            <w:tcW w:w="807" w:type="dxa"/>
            <w:tcBorders>
              <w:left w:val="single" w:sz="6" w:space="0" w:color="auto"/>
              <w:right w:val="single" w:sz="6" w:space="0" w:color="auto"/>
            </w:tcBorders>
            <w:shd w:val="clear" w:color="auto" w:fill="auto"/>
            <w:vAlign w:val="center"/>
          </w:tcPr>
          <w:p w14:paraId="5AD0ACD9" w14:textId="77777777" w:rsidR="00BE0199" w:rsidRPr="00B63FA2" w:rsidRDefault="00BE0199" w:rsidP="00F37389">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283F3C6" w14:textId="77777777" w:rsidR="00BE0199" w:rsidRPr="00B63FA2" w:rsidRDefault="00BE0199" w:rsidP="00F37389">
            <w:pPr>
              <w:pStyle w:val="TAC"/>
            </w:pPr>
            <w:r w:rsidRPr="00B63FA2">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B2BBED4" w14:textId="77777777" w:rsidR="00BE0199" w:rsidRPr="00B63FA2" w:rsidRDefault="00BE0199" w:rsidP="00F37389">
            <w:pPr>
              <w:pStyle w:val="TAC"/>
            </w:pPr>
            <w:r w:rsidRPr="00B63FA2">
              <w:t>-120</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0844CB4C" w14:textId="77777777" w:rsidR="00BE0199" w:rsidRPr="00B63FA2" w:rsidRDefault="00BE0199" w:rsidP="00F37389">
            <w:pPr>
              <w:pStyle w:val="TAC"/>
              <w:rPr>
                <w:lang w:val="sv-SE"/>
              </w:rPr>
            </w:pPr>
            <w:r w:rsidRPr="00B63FA2">
              <w:t>-117</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5237D4E3" w14:textId="77777777" w:rsidR="00BE0199" w:rsidRPr="00B63FA2" w:rsidRDefault="00BE0199" w:rsidP="00F37389">
            <w:pPr>
              <w:pStyle w:val="TAC"/>
            </w:pPr>
            <w:r w:rsidRPr="00B63FA2">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42EEDDBC" w14:textId="77777777" w:rsidR="00BE0199" w:rsidRPr="00B63FA2" w:rsidRDefault="00BE0199" w:rsidP="00F37389">
            <w:pPr>
              <w:pStyle w:val="TAC"/>
            </w:pPr>
            <w:r w:rsidRPr="00B63FA2">
              <w:t>-70</w:t>
            </w:r>
          </w:p>
        </w:tc>
      </w:tr>
      <w:tr w:rsidR="00BE0199" w:rsidRPr="00B63FA2" w14:paraId="5A81F174" w14:textId="77777777" w:rsidTr="00BE0199">
        <w:trPr>
          <w:jc w:val="center"/>
        </w:trPr>
        <w:tc>
          <w:tcPr>
            <w:tcW w:w="1033" w:type="dxa"/>
            <w:tcBorders>
              <w:left w:val="single" w:sz="4" w:space="0" w:color="auto"/>
              <w:right w:val="single" w:sz="6" w:space="0" w:color="auto"/>
            </w:tcBorders>
            <w:shd w:val="clear" w:color="auto" w:fill="auto"/>
            <w:vAlign w:val="center"/>
          </w:tcPr>
          <w:p w14:paraId="57E296C9" w14:textId="77777777" w:rsidR="00BE0199" w:rsidRPr="00B63FA2" w:rsidRDefault="00BE0199" w:rsidP="00F37389">
            <w:pPr>
              <w:pStyle w:val="TAC"/>
            </w:pPr>
            <w:r w:rsidRPr="00B63FA2">
              <w:sym w:font="Symbol" w:char="F0B1"/>
            </w:r>
            <w:r>
              <w:t>6</w:t>
            </w:r>
          </w:p>
        </w:tc>
        <w:tc>
          <w:tcPr>
            <w:tcW w:w="1049" w:type="dxa"/>
            <w:tcBorders>
              <w:left w:val="single" w:sz="6" w:space="0" w:color="auto"/>
              <w:right w:val="single" w:sz="6" w:space="0" w:color="auto"/>
            </w:tcBorders>
            <w:shd w:val="clear" w:color="auto" w:fill="auto"/>
            <w:vAlign w:val="center"/>
          </w:tcPr>
          <w:p w14:paraId="2ABF7AC2" w14:textId="77777777" w:rsidR="00BE0199" w:rsidRPr="00B63FA2" w:rsidRDefault="00BE0199" w:rsidP="00F37389">
            <w:pPr>
              <w:pStyle w:val="TAC"/>
            </w:pPr>
            <w:r w:rsidRPr="00B63FA2">
              <w:sym w:font="Symbol" w:char="F0B1"/>
            </w:r>
            <w:r>
              <w:t>10.5</w:t>
            </w:r>
          </w:p>
        </w:tc>
        <w:tc>
          <w:tcPr>
            <w:tcW w:w="807" w:type="dxa"/>
            <w:tcBorders>
              <w:left w:val="single" w:sz="6" w:space="0" w:color="auto"/>
              <w:right w:val="single" w:sz="6" w:space="0" w:color="auto"/>
            </w:tcBorders>
            <w:shd w:val="clear" w:color="auto" w:fill="auto"/>
            <w:vAlign w:val="center"/>
          </w:tcPr>
          <w:p w14:paraId="0ED520DF" w14:textId="77777777" w:rsidR="00BE0199" w:rsidRPr="00B63FA2" w:rsidRDefault="00BE0199" w:rsidP="00F37389">
            <w:pPr>
              <w:pStyle w:val="TAC"/>
            </w:pPr>
            <w:r w:rsidRPr="00B63FA2">
              <w:sym w:font="Symbol" w:char="F0B3"/>
            </w:r>
            <w:r w:rsidRPr="00B63FA2">
              <w:t>-</w:t>
            </w:r>
            <w:r>
              <w:rPr>
                <w:lang w:eastAsia="zh-CN"/>
              </w:rPr>
              <w:t>4</w:t>
            </w: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215ACDED" w14:textId="77777777" w:rsidR="00BE0199" w:rsidRPr="00B63FA2" w:rsidRDefault="00BE0199" w:rsidP="00F37389">
            <w:pPr>
              <w:pStyle w:val="TAC"/>
              <w:rPr>
                <w:lang w:val="sv-SE"/>
              </w:rPr>
            </w:pPr>
            <w:r w:rsidRPr="00B63FA2">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39AB871" w14:textId="77777777" w:rsidR="00BE0199" w:rsidRPr="00B63FA2" w:rsidRDefault="00BE0199" w:rsidP="00F37389">
            <w:pPr>
              <w:pStyle w:val="TAC"/>
            </w:pPr>
            <w:r w:rsidRPr="00B63FA2">
              <w:t>-119.5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1A29B7F" w14:textId="77777777" w:rsidR="00BE0199" w:rsidRPr="00B63FA2" w:rsidRDefault="00BE0199" w:rsidP="00F37389">
            <w:pPr>
              <w:pStyle w:val="TAC"/>
            </w:pPr>
            <w:r w:rsidRPr="00B63FA2">
              <w:t>-116.5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63425CF" w14:textId="77777777" w:rsidR="00BE0199" w:rsidRPr="00B63FA2" w:rsidRDefault="00BE0199" w:rsidP="00F37389">
            <w:pPr>
              <w:pStyle w:val="TAC"/>
            </w:pPr>
            <w:r w:rsidRPr="00B63FA2">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99B6BC2" w14:textId="77777777" w:rsidR="00BE0199" w:rsidRPr="00B63FA2" w:rsidRDefault="00BE0199" w:rsidP="00F37389">
            <w:pPr>
              <w:pStyle w:val="TAC"/>
            </w:pPr>
            <w:r w:rsidRPr="00B63FA2">
              <w:t>-70</w:t>
            </w:r>
          </w:p>
        </w:tc>
      </w:tr>
      <w:tr w:rsidR="00BE0199" w:rsidRPr="00B63FA2" w14:paraId="7E774135" w14:textId="77777777" w:rsidTr="00BE0199">
        <w:trPr>
          <w:jc w:val="center"/>
        </w:trPr>
        <w:tc>
          <w:tcPr>
            <w:tcW w:w="1033" w:type="dxa"/>
            <w:tcBorders>
              <w:left w:val="single" w:sz="4" w:space="0" w:color="auto"/>
              <w:right w:val="single" w:sz="6" w:space="0" w:color="auto"/>
            </w:tcBorders>
            <w:shd w:val="clear" w:color="auto" w:fill="auto"/>
            <w:vAlign w:val="center"/>
          </w:tcPr>
          <w:p w14:paraId="4618D245" w14:textId="77777777" w:rsidR="00BE0199" w:rsidRPr="00B63FA2" w:rsidRDefault="00BE0199" w:rsidP="00F37389">
            <w:pPr>
              <w:pStyle w:val="TAC"/>
            </w:pPr>
          </w:p>
        </w:tc>
        <w:tc>
          <w:tcPr>
            <w:tcW w:w="1049" w:type="dxa"/>
            <w:tcBorders>
              <w:left w:val="single" w:sz="6" w:space="0" w:color="auto"/>
              <w:right w:val="single" w:sz="6" w:space="0" w:color="auto"/>
            </w:tcBorders>
            <w:shd w:val="clear" w:color="auto" w:fill="auto"/>
            <w:vAlign w:val="center"/>
          </w:tcPr>
          <w:p w14:paraId="414786D2" w14:textId="77777777" w:rsidR="00BE0199" w:rsidRPr="00B63FA2" w:rsidRDefault="00BE0199" w:rsidP="00F37389">
            <w:pPr>
              <w:pStyle w:val="TAC"/>
            </w:pPr>
          </w:p>
        </w:tc>
        <w:tc>
          <w:tcPr>
            <w:tcW w:w="807" w:type="dxa"/>
            <w:tcBorders>
              <w:left w:val="single" w:sz="6" w:space="0" w:color="auto"/>
              <w:right w:val="single" w:sz="6" w:space="0" w:color="auto"/>
            </w:tcBorders>
            <w:shd w:val="clear" w:color="auto" w:fill="auto"/>
            <w:vAlign w:val="center"/>
          </w:tcPr>
          <w:p w14:paraId="700BF363" w14:textId="77777777" w:rsidR="00BE0199" w:rsidRPr="00B63FA2" w:rsidRDefault="00BE0199" w:rsidP="00F37389">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58519A6" w14:textId="77777777" w:rsidR="00BE0199" w:rsidRPr="00B63FA2" w:rsidDel="00836998" w:rsidRDefault="00BE0199" w:rsidP="00F37389">
            <w:pPr>
              <w:pStyle w:val="TAC"/>
              <w:rPr>
                <w:lang w:val="sv-SE"/>
              </w:rPr>
            </w:pPr>
            <w:r w:rsidRPr="00B63FA2">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E35B25F" w14:textId="77777777" w:rsidR="00BE0199" w:rsidRPr="00B63FA2" w:rsidRDefault="00BE0199" w:rsidP="00F37389">
            <w:pPr>
              <w:pStyle w:val="TAC"/>
            </w:pPr>
            <w:r w:rsidRPr="00B63FA2">
              <w:t>-119</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D08C1C6" w14:textId="77777777" w:rsidR="00BE0199" w:rsidRPr="00B63FA2" w:rsidRDefault="00BE0199" w:rsidP="00F37389">
            <w:pPr>
              <w:pStyle w:val="TAC"/>
              <w:rPr>
                <w:lang w:val="sv-SE"/>
              </w:rPr>
            </w:pPr>
            <w:r w:rsidRPr="00B63FA2">
              <w:t>-116</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33FEABE9" w14:textId="77777777" w:rsidR="00BE0199" w:rsidRPr="00B63FA2" w:rsidRDefault="00BE0199" w:rsidP="00F37389">
            <w:pPr>
              <w:pStyle w:val="TAC"/>
            </w:pPr>
            <w:r w:rsidRPr="00B63FA2">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4C15E176" w14:textId="77777777" w:rsidR="00BE0199" w:rsidRPr="00B63FA2" w:rsidRDefault="00BE0199" w:rsidP="00F37389">
            <w:pPr>
              <w:pStyle w:val="TAC"/>
            </w:pPr>
            <w:r w:rsidRPr="00B63FA2">
              <w:t>-70</w:t>
            </w:r>
          </w:p>
        </w:tc>
      </w:tr>
      <w:tr w:rsidR="00BE0199" w:rsidRPr="00B63FA2" w14:paraId="7027AD44" w14:textId="77777777" w:rsidTr="00BE0199">
        <w:trPr>
          <w:jc w:val="center"/>
        </w:trPr>
        <w:tc>
          <w:tcPr>
            <w:tcW w:w="1033" w:type="dxa"/>
            <w:tcBorders>
              <w:left w:val="single" w:sz="4" w:space="0" w:color="auto"/>
              <w:right w:val="single" w:sz="6" w:space="0" w:color="auto"/>
            </w:tcBorders>
            <w:shd w:val="clear" w:color="auto" w:fill="auto"/>
            <w:vAlign w:val="center"/>
          </w:tcPr>
          <w:p w14:paraId="400D8A30" w14:textId="77777777" w:rsidR="00BE0199" w:rsidRPr="00B63FA2" w:rsidRDefault="00BE0199" w:rsidP="00F37389">
            <w:pPr>
              <w:pStyle w:val="TAC"/>
            </w:pPr>
          </w:p>
        </w:tc>
        <w:tc>
          <w:tcPr>
            <w:tcW w:w="1049" w:type="dxa"/>
            <w:tcBorders>
              <w:left w:val="single" w:sz="6" w:space="0" w:color="auto"/>
              <w:right w:val="single" w:sz="6" w:space="0" w:color="auto"/>
            </w:tcBorders>
            <w:shd w:val="clear" w:color="auto" w:fill="auto"/>
            <w:vAlign w:val="center"/>
          </w:tcPr>
          <w:p w14:paraId="627B17B2" w14:textId="77777777" w:rsidR="00BE0199" w:rsidRPr="00B63FA2" w:rsidRDefault="00BE0199" w:rsidP="00F37389">
            <w:pPr>
              <w:pStyle w:val="TAC"/>
            </w:pPr>
          </w:p>
        </w:tc>
        <w:tc>
          <w:tcPr>
            <w:tcW w:w="807" w:type="dxa"/>
            <w:tcBorders>
              <w:left w:val="single" w:sz="6" w:space="0" w:color="auto"/>
              <w:right w:val="single" w:sz="6" w:space="0" w:color="auto"/>
            </w:tcBorders>
            <w:shd w:val="clear" w:color="auto" w:fill="auto"/>
            <w:vAlign w:val="center"/>
          </w:tcPr>
          <w:p w14:paraId="2748F3B6" w14:textId="77777777" w:rsidR="00BE0199" w:rsidRPr="00B63FA2" w:rsidRDefault="00BE0199" w:rsidP="00F37389">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34BA641C" w14:textId="77777777" w:rsidR="00BE0199" w:rsidRPr="00B63FA2" w:rsidRDefault="00BE0199" w:rsidP="00F37389">
            <w:pPr>
              <w:pStyle w:val="TAC"/>
              <w:rPr>
                <w:lang w:val="sv-SE"/>
              </w:rPr>
            </w:pPr>
            <w:r w:rsidRPr="00B63FA2">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D9F5B96" w14:textId="77777777" w:rsidR="00BE0199" w:rsidRPr="00B63FA2" w:rsidRDefault="00BE0199" w:rsidP="00F37389">
            <w:pPr>
              <w:pStyle w:val="TAC"/>
            </w:pPr>
            <w:r w:rsidRPr="00B63FA2">
              <w:t>-118.5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5898C65" w14:textId="77777777" w:rsidR="00BE0199" w:rsidRPr="00B63FA2" w:rsidRDefault="00BE0199" w:rsidP="00F37389">
            <w:pPr>
              <w:pStyle w:val="TAC"/>
            </w:pPr>
            <w:r w:rsidRPr="00B63FA2">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58DBBEC1" w14:textId="77777777" w:rsidR="00BE0199" w:rsidRPr="00B63FA2" w:rsidRDefault="00BE0199" w:rsidP="00F37389">
            <w:pPr>
              <w:pStyle w:val="TAC"/>
            </w:pPr>
            <w:r w:rsidRPr="00B63FA2">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0131D792" w14:textId="77777777" w:rsidR="00BE0199" w:rsidRPr="00B63FA2" w:rsidRDefault="00BE0199" w:rsidP="00F37389">
            <w:pPr>
              <w:pStyle w:val="TAC"/>
            </w:pPr>
            <w:r w:rsidRPr="00B63FA2">
              <w:t>-70</w:t>
            </w:r>
          </w:p>
        </w:tc>
      </w:tr>
      <w:tr w:rsidR="00BE0199" w:rsidRPr="00B63FA2" w14:paraId="7FA9670B" w14:textId="77777777" w:rsidTr="00BE0199">
        <w:trPr>
          <w:jc w:val="center"/>
        </w:trPr>
        <w:tc>
          <w:tcPr>
            <w:tcW w:w="1033" w:type="dxa"/>
            <w:tcBorders>
              <w:left w:val="single" w:sz="4" w:space="0" w:color="auto"/>
              <w:right w:val="single" w:sz="6" w:space="0" w:color="auto"/>
            </w:tcBorders>
            <w:shd w:val="clear" w:color="auto" w:fill="auto"/>
            <w:vAlign w:val="center"/>
          </w:tcPr>
          <w:p w14:paraId="3D2EF082" w14:textId="77777777" w:rsidR="00BE0199" w:rsidRPr="00B63FA2" w:rsidRDefault="00BE0199" w:rsidP="00F37389">
            <w:pPr>
              <w:pStyle w:val="TAC"/>
            </w:pPr>
          </w:p>
        </w:tc>
        <w:tc>
          <w:tcPr>
            <w:tcW w:w="1049" w:type="dxa"/>
            <w:tcBorders>
              <w:left w:val="single" w:sz="6" w:space="0" w:color="auto"/>
              <w:right w:val="single" w:sz="6" w:space="0" w:color="auto"/>
            </w:tcBorders>
            <w:shd w:val="clear" w:color="auto" w:fill="auto"/>
            <w:vAlign w:val="center"/>
          </w:tcPr>
          <w:p w14:paraId="4CCD7255" w14:textId="77777777" w:rsidR="00BE0199" w:rsidRPr="00B63FA2" w:rsidRDefault="00BE0199" w:rsidP="00F37389">
            <w:pPr>
              <w:pStyle w:val="TAC"/>
            </w:pPr>
          </w:p>
        </w:tc>
        <w:tc>
          <w:tcPr>
            <w:tcW w:w="807" w:type="dxa"/>
            <w:tcBorders>
              <w:left w:val="single" w:sz="6" w:space="0" w:color="auto"/>
              <w:right w:val="single" w:sz="6" w:space="0" w:color="auto"/>
            </w:tcBorders>
            <w:shd w:val="clear" w:color="auto" w:fill="auto"/>
            <w:vAlign w:val="center"/>
          </w:tcPr>
          <w:p w14:paraId="00A80F2F" w14:textId="77777777" w:rsidR="00BE0199" w:rsidRPr="00B63FA2" w:rsidRDefault="00BE0199" w:rsidP="00F37389">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4A5B2B8E" w14:textId="77777777" w:rsidR="00BE0199" w:rsidRPr="00B63FA2" w:rsidDel="00836998" w:rsidRDefault="00BE0199" w:rsidP="00F37389">
            <w:pPr>
              <w:pStyle w:val="TAC"/>
              <w:rPr>
                <w:lang w:eastAsia="zh-CN"/>
              </w:rPr>
            </w:pPr>
            <w:r w:rsidRPr="00B63FA2">
              <w:rPr>
                <w:lang w:eastAsia="zh-CN"/>
              </w:rPr>
              <w:t>NR</w:t>
            </w:r>
            <w:r w:rsidRPr="00B63FA2">
              <w:t>_</w:t>
            </w:r>
            <w:r w:rsidRPr="00B63FA2">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6A2CA3E" w14:textId="77777777" w:rsidR="00BE0199" w:rsidRPr="00B63FA2" w:rsidRDefault="00BE0199" w:rsidP="00F37389">
            <w:pPr>
              <w:pStyle w:val="TAC"/>
            </w:pPr>
            <w:r w:rsidRPr="00B63FA2">
              <w:t>-118</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4E3581CB" w14:textId="77777777" w:rsidR="00BE0199" w:rsidRPr="00B63FA2" w:rsidRDefault="00BE0199" w:rsidP="00F37389">
            <w:pPr>
              <w:pStyle w:val="TAC"/>
              <w:rPr>
                <w:rFonts w:cs="Arial"/>
                <w:lang w:val="sv-SE"/>
              </w:rPr>
            </w:pPr>
            <w:r w:rsidRPr="00B63FA2">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75C11758" w14:textId="77777777" w:rsidR="00BE0199" w:rsidRPr="00B63FA2" w:rsidRDefault="00BE0199" w:rsidP="00F37389">
            <w:pPr>
              <w:pStyle w:val="TAC"/>
            </w:pPr>
            <w:r w:rsidRPr="00B63FA2">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0BA97991" w14:textId="77777777" w:rsidR="00BE0199" w:rsidRPr="00B63FA2" w:rsidRDefault="00BE0199" w:rsidP="00F37389">
            <w:pPr>
              <w:pStyle w:val="TAC"/>
            </w:pPr>
            <w:r w:rsidRPr="00B63FA2">
              <w:t>-70</w:t>
            </w:r>
          </w:p>
        </w:tc>
      </w:tr>
      <w:tr w:rsidR="00BE0199" w:rsidRPr="00B63FA2" w14:paraId="32AB332E" w14:textId="77777777" w:rsidTr="00BE0199">
        <w:trPr>
          <w:jc w:val="center"/>
        </w:trPr>
        <w:tc>
          <w:tcPr>
            <w:tcW w:w="1033" w:type="dxa"/>
            <w:tcBorders>
              <w:left w:val="single" w:sz="4" w:space="0" w:color="auto"/>
              <w:bottom w:val="single" w:sz="4" w:space="0" w:color="auto"/>
              <w:right w:val="single" w:sz="6" w:space="0" w:color="auto"/>
            </w:tcBorders>
            <w:shd w:val="clear" w:color="auto" w:fill="auto"/>
            <w:vAlign w:val="center"/>
          </w:tcPr>
          <w:p w14:paraId="20E31A1E" w14:textId="77777777" w:rsidR="00BE0199" w:rsidRPr="00B63FA2" w:rsidRDefault="00BE0199" w:rsidP="00F37389">
            <w:pPr>
              <w:pStyle w:val="TAC"/>
            </w:pPr>
          </w:p>
        </w:tc>
        <w:tc>
          <w:tcPr>
            <w:tcW w:w="1049" w:type="dxa"/>
            <w:tcBorders>
              <w:left w:val="single" w:sz="6" w:space="0" w:color="auto"/>
              <w:bottom w:val="single" w:sz="4" w:space="0" w:color="auto"/>
              <w:right w:val="single" w:sz="6" w:space="0" w:color="auto"/>
            </w:tcBorders>
            <w:shd w:val="clear" w:color="auto" w:fill="auto"/>
            <w:vAlign w:val="center"/>
          </w:tcPr>
          <w:p w14:paraId="436DB3F6" w14:textId="77777777" w:rsidR="00BE0199" w:rsidRPr="00B63FA2" w:rsidRDefault="00BE0199" w:rsidP="00F37389">
            <w:pPr>
              <w:pStyle w:val="TAC"/>
            </w:pPr>
          </w:p>
        </w:tc>
        <w:tc>
          <w:tcPr>
            <w:tcW w:w="807" w:type="dxa"/>
            <w:tcBorders>
              <w:left w:val="single" w:sz="6" w:space="0" w:color="auto"/>
              <w:bottom w:val="single" w:sz="4" w:space="0" w:color="auto"/>
              <w:right w:val="single" w:sz="6" w:space="0" w:color="auto"/>
            </w:tcBorders>
            <w:shd w:val="clear" w:color="auto" w:fill="auto"/>
            <w:vAlign w:val="center"/>
          </w:tcPr>
          <w:p w14:paraId="629DADA5" w14:textId="77777777" w:rsidR="00BE0199" w:rsidRPr="00B63FA2" w:rsidRDefault="00BE0199" w:rsidP="00F37389">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561B8581" w14:textId="77777777" w:rsidR="00BE0199" w:rsidRPr="00B63FA2" w:rsidRDefault="00BE0199" w:rsidP="00F37389">
            <w:pPr>
              <w:pStyle w:val="TAC"/>
              <w:rPr>
                <w:lang w:eastAsia="zh-CN"/>
              </w:rPr>
            </w:pPr>
            <w:r w:rsidRPr="00B63FA2">
              <w:rPr>
                <w:lang w:eastAsia="zh-CN"/>
              </w:rPr>
              <w:t>NR</w:t>
            </w:r>
            <w:r w:rsidRPr="00B63FA2">
              <w:t>_</w:t>
            </w:r>
            <w:r w:rsidRPr="00B63FA2">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8DD9BA6" w14:textId="77777777" w:rsidR="00BE0199" w:rsidRPr="00B63FA2" w:rsidRDefault="00BE0199" w:rsidP="00F37389">
            <w:pPr>
              <w:pStyle w:val="TAC"/>
            </w:pPr>
            <w:r w:rsidRPr="00B63FA2">
              <w:t>-117.5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8A91DD2" w14:textId="77777777" w:rsidR="00BE0199" w:rsidRPr="00B63FA2" w:rsidRDefault="00BE0199" w:rsidP="00F37389">
            <w:pPr>
              <w:pStyle w:val="TAC"/>
              <w:rPr>
                <w:rFonts w:cs="Arial"/>
                <w:lang w:val="sv-SE"/>
              </w:rPr>
            </w:pPr>
            <w:r w:rsidRPr="00B63FA2">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3AE9FE7F" w14:textId="77777777" w:rsidR="00BE0199" w:rsidRPr="00B63FA2" w:rsidRDefault="00BE0199" w:rsidP="00F37389">
            <w:pPr>
              <w:pStyle w:val="TAC"/>
            </w:pPr>
            <w:r w:rsidRPr="00B63FA2">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DD5159E" w14:textId="77777777" w:rsidR="00BE0199" w:rsidRPr="00B63FA2" w:rsidRDefault="00BE0199" w:rsidP="00F37389">
            <w:pPr>
              <w:pStyle w:val="TAC"/>
            </w:pPr>
            <w:r w:rsidRPr="00B63FA2">
              <w:t>-70</w:t>
            </w:r>
          </w:p>
        </w:tc>
      </w:tr>
      <w:tr w:rsidR="00BE0199" w:rsidRPr="00B63FA2" w14:paraId="730C9056" w14:textId="77777777" w:rsidTr="00BE0199">
        <w:trPr>
          <w:jc w:val="center"/>
        </w:trPr>
        <w:tc>
          <w:tcPr>
            <w:tcW w:w="1033" w:type="dxa"/>
            <w:tcBorders>
              <w:top w:val="single" w:sz="4" w:space="0" w:color="auto"/>
              <w:left w:val="single" w:sz="4" w:space="0" w:color="auto"/>
              <w:bottom w:val="single" w:sz="4" w:space="0" w:color="auto"/>
              <w:right w:val="single" w:sz="6" w:space="0" w:color="auto"/>
            </w:tcBorders>
            <w:shd w:val="clear" w:color="auto" w:fill="auto"/>
            <w:vAlign w:val="center"/>
          </w:tcPr>
          <w:p w14:paraId="6CD72AF3" w14:textId="77777777" w:rsidR="00BE0199" w:rsidRPr="00B63FA2" w:rsidRDefault="00BE0199" w:rsidP="00F37389">
            <w:pPr>
              <w:pStyle w:val="TAC"/>
            </w:pPr>
            <w:r w:rsidRPr="00B63FA2">
              <w:sym w:font="Symbol" w:char="F0B1"/>
            </w:r>
            <w:r>
              <w:t>9.5</w:t>
            </w:r>
          </w:p>
        </w:tc>
        <w:tc>
          <w:tcPr>
            <w:tcW w:w="1049" w:type="dxa"/>
            <w:tcBorders>
              <w:top w:val="single" w:sz="4" w:space="0" w:color="auto"/>
              <w:left w:val="single" w:sz="6" w:space="0" w:color="auto"/>
              <w:bottom w:val="single" w:sz="4" w:space="0" w:color="auto"/>
              <w:right w:val="single" w:sz="6" w:space="0" w:color="auto"/>
            </w:tcBorders>
            <w:shd w:val="clear" w:color="auto" w:fill="auto"/>
            <w:vAlign w:val="center"/>
          </w:tcPr>
          <w:p w14:paraId="159791CF" w14:textId="77777777" w:rsidR="00BE0199" w:rsidRPr="00B63FA2" w:rsidRDefault="00BE0199" w:rsidP="00F37389">
            <w:pPr>
              <w:pStyle w:val="TAC"/>
            </w:pPr>
            <w:r w:rsidRPr="00B63FA2">
              <w:sym w:font="Symbol" w:char="F0B1"/>
            </w:r>
            <w:r w:rsidRPr="00B63FA2">
              <w:t>1</w:t>
            </w:r>
            <w:r>
              <w:t>2.5</w:t>
            </w:r>
          </w:p>
        </w:tc>
        <w:tc>
          <w:tcPr>
            <w:tcW w:w="807" w:type="dxa"/>
            <w:tcBorders>
              <w:top w:val="single" w:sz="4" w:space="0" w:color="auto"/>
              <w:left w:val="single" w:sz="6" w:space="0" w:color="auto"/>
              <w:bottom w:val="single" w:sz="4" w:space="0" w:color="auto"/>
              <w:right w:val="single" w:sz="4" w:space="0" w:color="auto"/>
            </w:tcBorders>
            <w:shd w:val="clear" w:color="auto" w:fill="auto"/>
            <w:vAlign w:val="center"/>
          </w:tcPr>
          <w:p w14:paraId="72C16A78" w14:textId="77777777" w:rsidR="00BE0199" w:rsidRPr="00B63FA2" w:rsidRDefault="00BE0199" w:rsidP="00F37389">
            <w:pPr>
              <w:pStyle w:val="TAC"/>
            </w:pPr>
            <w:r w:rsidRPr="00B63FA2">
              <w:sym w:font="Symbol" w:char="F0B3"/>
            </w:r>
            <w:r w:rsidRPr="00B63FA2">
              <w:t>-</w:t>
            </w:r>
            <w:r>
              <w:rPr>
                <w:lang w:eastAsia="zh-CN"/>
              </w:rPr>
              <w:t>4</w:t>
            </w:r>
          </w:p>
        </w:tc>
        <w:tc>
          <w:tcPr>
            <w:tcW w:w="2349" w:type="dxa"/>
            <w:tcBorders>
              <w:top w:val="single" w:sz="6" w:space="0" w:color="auto"/>
              <w:left w:val="single" w:sz="4" w:space="0" w:color="auto"/>
              <w:bottom w:val="single" w:sz="6" w:space="0" w:color="auto"/>
              <w:right w:val="single" w:sz="4" w:space="0" w:color="auto"/>
            </w:tcBorders>
            <w:shd w:val="clear" w:color="auto" w:fill="auto"/>
            <w:vAlign w:val="center"/>
          </w:tcPr>
          <w:p w14:paraId="011E673F" w14:textId="77777777" w:rsidR="00BE0199" w:rsidRPr="00B63FA2" w:rsidRDefault="00BE0199" w:rsidP="00F37389">
            <w:pPr>
              <w:pStyle w:val="TAC"/>
            </w:pPr>
            <w:r w:rsidRPr="00B63FA2">
              <w:t xml:space="preserve">NR_FDD_FR1_A, NR_TDD_FR1_A, </w:t>
            </w:r>
          </w:p>
          <w:p w14:paraId="066B93DD" w14:textId="77777777" w:rsidR="00BE0199" w:rsidRPr="00B63FA2" w:rsidRDefault="00BE0199" w:rsidP="00F37389">
            <w:pPr>
              <w:pStyle w:val="TAC"/>
            </w:pPr>
            <w:r w:rsidRPr="00B63FA2">
              <w:t>NR_SDL_FR1_A, NR_FDD_FR1_B, NR_TDD_FR1_C, NR_FDD_FR1_D, NR_TDD_FR1_D, NR_FDD_FR1_E, NR_TDD_FR1_E, NR_FDD_FR1_F,</w:t>
            </w:r>
          </w:p>
          <w:p w14:paraId="68142CB2" w14:textId="77777777" w:rsidR="00BE0199" w:rsidRPr="00B63FA2" w:rsidRDefault="00BE0199" w:rsidP="00F37389">
            <w:pPr>
              <w:pStyle w:val="TAC"/>
              <w:rPr>
                <w:lang w:val="sv-FI" w:eastAsia="zh-CN"/>
              </w:rPr>
            </w:pPr>
            <w:r w:rsidRPr="00B63FA2">
              <w:rPr>
                <w:lang w:val="sv-FI"/>
              </w:rPr>
              <w:t>NR_FDD_FR1_G, NR_FDD_FR1_H</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903A2D4" w14:textId="77777777" w:rsidR="00BE0199" w:rsidRPr="00B63FA2" w:rsidRDefault="00BE0199" w:rsidP="00F37389">
            <w:pPr>
              <w:pStyle w:val="TAC"/>
            </w:pPr>
            <w:r w:rsidRPr="00B63FA2">
              <w:t>N/A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4B8A8AC3" w14:textId="77777777" w:rsidR="00BE0199" w:rsidRPr="00B63FA2" w:rsidRDefault="00BE0199" w:rsidP="00F37389">
            <w:pPr>
              <w:pStyle w:val="TAC"/>
              <w:rPr>
                <w:rFonts w:cs="Arial"/>
              </w:rPr>
            </w:pPr>
            <w:r w:rsidRPr="00B63FA2">
              <w:rPr>
                <w:lang w:eastAsia="zh-CN"/>
              </w:rPr>
              <w:t>N/A</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CFA3C53" w14:textId="77777777" w:rsidR="00BE0199" w:rsidRPr="00B63FA2" w:rsidRDefault="00BE0199" w:rsidP="00F37389">
            <w:pPr>
              <w:pStyle w:val="TAC"/>
            </w:pPr>
            <w:r w:rsidRPr="00B63FA2">
              <w:t>-70</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46E8FBB1" w14:textId="77777777" w:rsidR="00BE0199" w:rsidRPr="00B63FA2" w:rsidRDefault="00BE0199" w:rsidP="00F37389">
            <w:pPr>
              <w:pStyle w:val="TAC"/>
            </w:pPr>
            <w:r w:rsidRPr="00B63FA2">
              <w:t>-50</w:t>
            </w:r>
          </w:p>
        </w:tc>
      </w:tr>
      <w:tr w:rsidR="00BE0199" w:rsidRPr="00B63FA2" w14:paraId="3846F0C6" w14:textId="77777777" w:rsidTr="00BE0199">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440A27AE" w14:textId="77777777" w:rsidR="00BE0199" w:rsidRPr="00B63FA2" w:rsidRDefault="00BE0199" w:rsidP="00F37389">
            <w:pPr>
              <w:pStyle w:val="TAN"/>
            </w:pPr>
            <w:r w:rsidRPr="00B63FA2">
              <w:t>NOTE 1:</w:t>
            </w:r>
            <w:r w:rsidRPr="00B63FA2">
              <w:tab/>
              <w:t>Io is assumed to have constant EPRE across the bandwidth.</w:t>
            </w:r>
          </w:p>
          <w:p w14:paraId="54A1228A" w14:textId="77777777" w:rsidR="00BE0199" w:rsidRPr="00B63FA2" w:rsidRDefault="00BE0199" w:rsidP="00F37389">
            <w:pPr>
              <w:pStyle w:val="TAN"/>
            </w:pPr>
            <w:r w:rsidRPr="00B63FA2">
              <w:t>NOTE 2:</w:t>
            </w:r>
            <w:r w:rsidRPr="00B63FA2">
              <w:tab/>
              <w:t>Void</w:t>
            </w:r>
          </w:p>
          <w:p w14:paraId="44B6EA4A" w14:textId="77777777" w:rsidR="00BE0199" w:rsidRPr="00B63FA2" w:rsidRDefault="00BE0199" w:rsidP="00F37389">
            <w:pPr>
              <w:pStyle w:val="TAN"/>
            </w:pPr>
            <w:r w:rsidRPr="00B63FA2">
              <w:t>NOTE 3:</w:t>
            </w:r>
            <w:r w:rsidRPr="00B63FA2">
              <w:tab/>
              <w:t>NR operating band groups in FR1 are as defined in clause 3.5.2.</w:t>
            </w:r>
          </w:p>
        </w:tc>
      </w:tr>
    </w:tbl>
    <w:p w14:paraId="148FB83F" w14:textId="41931FEC" w:rsidR="00BE0199" w:rsidRDefault="00BE0199" w:rsidP="00BE0199">
      <w:pPr>
        <w:rPr>
          <w:lang w:eastAsia="zh-CN"/>
        </w:rPr>
      </w:pPr>
    </w:p>
    <w:p w14:paraId="35F8EA56" w14:textId="77777777" w:rsidR="0083456E" w:rsidRPr="000752BE" w:rsidRDefault="0083456E" w:rsidP="0083456E">
      <w:pPr>
        <w:pStyle w:val="Heading3"/>
        <w:rPr>
          <w:lang w:val="en-US" w:eastAsia="ko-KR"/>
        </w:rPr>
      </w:pPr>
      <w:r>
        <w:rPr>
          <w:lang w:val="en-US" w:eastAsia="ko-KR"/>
        </w:rPr>
        <w:t>10.1.4C</w:t>
      </w:r>
      <w:r w:rsidRPr="009C5807">
        <w:rPr>
          <w:lang w:val="en-US" w:eastAsia="ko-KR"/>
        </w:rPr>
        <w:tab/>
        <w:t xml:space="preserve">Inter-frequency RSRP accuracy requirements </w:t>
      </w:r>
      <w:r w:rsidRPr="009C5807">
        <w:rPr>
          <w:lang w:val="en-US" w:eastAsia="zh-CN"/>
        </w:rPr>
        <w:t>for</w:t>
      </w:r>
      <w:r w:rsidRPr="009C5807">
        <w:rPr>
          <w:lang w:val="en-US" w:eastAsia="ko-KR"/>
        </w:rPr>
        <w:t xml:space="preserve"> FR1</w:t>
      </w:r>
      <w:r w:rsidRPr="000752BE">
        <w:rPr>
          <w:lang w:val="en-US"/>
        </w:rPr>
        <w:t xml:space="preserve"> </w:t>
      </w:r>
      <w:r>
        <w:rPr>
          <w:lang w:val="en-US"/>
        </w:rPr>
        <w:t>SAN</w:t>
      </w:r>
    </w:p>
    <w:p w14:paraId="2942BA96" w14:textId="77777777" w:rsidR="0083456E" w:rsidRPr="009C5807" w:rsidRDefault="0083456E" w:rsidP="0083456E">
      <w:pPr>
        <w:pStyle w:val="Heading4"/>
        <w:rPr>
          <w:lang w:val="en-US" w:eastAsia="zh-CN"/>
        </w:rPr>
      </w:pPr>
      <w:r>
        <w:rPr>
          <w:lang w:val="en-US" w:eastAsia="zh-CN"/>
        </w:rPr>
        <w:t>10.1.4C</w:t>
      </w:r>
      <w:r w:rsidRPr="009C5807">
        <w:rPr>
          <w:lang w:val="en-US" w:eastAsia="zh-CN"/>
        </w:rPr>
        <w:t>.1</w:t>
      </w:r>
      <w:r w:rsidRPr="009C5807">
        <w:rPr>
          <w:lang w:val="en-US" w:eastAsia="zh-CN"/>
        </w:rPr>
        <w:tab/>
      </w:r>
      <w:r w:rsidRPr="009C5807">
        <w:rPr>
          <w:lang w:val="en-US" w:eastAsia="ko-KR"/>
        </w:rPr>
        <w:t>Inter-frequency SS-RSRP accuracy requirements</w:t>
      </w:r>
    </w:p>
    <w:p w14:paraId="7FFCE20F" w14:textId="77777777" w:rsidR="0083456E" w:rsidRPr="009C5807" w:rsidRDefault="0083456E" w:rsidP="0083456E">
      <w:pPr>
        <w:pStyle w:val="Heading5"/>
        <w:rPr>
          <w:lang w:val="en-US" w:eastAsia="zh-CN"/>
        </w:rPr>
      </w:pPr>
      <w:r>
        <w:rPr>
          <w:lang w:val="en-US" w:eastAsia="zh-CN"/>
        </w:rPr>
        <w:t>10.1.4C</w:t>
      </w:r>
      <w:r w:rsidRPr="009C5807">
        <w:rPr>
          <w:lang w:val="en-US" w:eastAsia="zh-CN"/>
        </w:rPr>
        <w:t>.1.1</w:t>
      </w:r>
      <w:r w:rsidRPr="009C5807">
        <w:rPr>
          <w:lang w:val="en-US" w:eastAsia="zh-CN"/>
        </w:rPr>
        <w:tab/>
      </w:r>
      <w:r w:rsidRPr="009C5807">
        <w:rPr>
          <w:lang w:eastAsia="zh-CN"/>
        </w:rPr>
        <w:t>Absolute</w:t>
      </w:r>
      <w:r w:rsidRPr="009C5807">
        <w:t xml:space="preserve"> Accuracy of </w:t>
      </w:r>
      <w:r w:rsidRPr="009C5807">
        <w:rPr>
          <w:lang w:eastAsia="zh-CN"/>
        </w:rPr>
        <w:t>SS-RSRP</w:t>
      </w:r>
      <w:r w:rsidRPr="009C5807">
        <w:rPr>
          <w:lang w:val="en-US" w:eastAsia="zh-CN"/>
        </w:rPr>
        <w:t xml:space="preserve"> in FR1</w:t>
      </w:r>
    </w:p>
    <w:p w14:paraId="237943ED" w14:textId="77777777" w:rsidR="0083456E" w:rsidRPr="009C5807" w:rsidRDefault="0083456E" w:rsidP="0083456E">
      <w:pPr>
        <w:rPr>
          <w:rFonts w:cs="v4.2.0"/>
          <w:i/>
        </w:rPr>
      </w:pPr>
      <w:r w:rsidRPr="009C5807">
        <w:rPr>
          <w:rFonts w:cs="v4.2.0"/>
        </w:rPr>
        <w:t>The requirements for absolute accuracy of</w:t>
      </w:r>
      <w:r w:rsidRPr="009C5807">
        <w:rPr>
          <w:rFonts w:cs="v4.2.0"/>
          <w:lang w:eastAsia="zh-CN"/>
        </w:rPr>
        <w:t xml:space="preserve"> SS-RSRP</w:t>
      </w:r>
      <w:r w:rsidRPr="009C5807">
        <w:rPr>
          <w:rFonts w:cs="v4.2.0"/>
        </w:rPr>
        <w:t xml:space="preserve"> in this clause apply to a cell on a frequency in FR1 that has different carrier frequency from the serving cell.</w:t>
      </w:r>
    </w:p>
    <w:p w14:paraId="7E2F92EA" w14:textId="77777777" w:rsidR="0083456E" w:rsidRPr="009C5807" w:rsidRDefault="0083456E" w:rsidP="0083456E">
      <w:pPr>
        <w:rPr>
          <w:rFonts w:cs="v4.2.0"/>
        </w:rPr>
      </w:pPr>
      <w:r w:rsidRPr="009C5807">
        <w:rPr>
          <w:rFonts w:cs="v4.2.0"/>
        </w:rPr>
        <w:t xml:space="preserve">The accuracy requirements in Table </w:t>
      </w:r>
      <w:r>
        <w:rPr>
          <w:rFonts w:cs="v4.2.0"/>
          <w:lang w:eastAsia="zh-CN"/>
        </w:rPr>
        <w:t>10.1.4C</w:t>
      </w:r>
      <w:r w:rsidRPr="009C5807">
        <w:rPr>
          <w:rFonts w:cs="v4.2.0"/>
          <w:lang w:eastAsia="zh-CN"/>
        </w:rPr>
        <w:t>.1.1</w:t>
      </w:r>
      <w:r w:rsidRPr="009C5807">
        <w:rPr>
          <w:rFonts w:cs="v4.2.0"/>
        </w:rPr>
        <w:t>-1 are valid under the following conditions:</w:t>
      </w:r>
    </w:p>
    <w:p w14:paraId="02242794" w14:textId="77777777" w:rsidR="0083456E" w:rsidRPr="009C5807" w:rsidRDefault="0083456E" w:rsidP="0083456E">
      <w:pPr>
        <w:pStyle w:val="B10"/>
        <w:rPr>
          <w:lang w:eastAsia="zh-CN"/>
        </w:rPr>
      </w:pPr>
      <w:r w:rsidRPr="009C5807">
        <w:t>-</w:t>
      </w:r>
      <w:r w:rsidRPr="009C5807">
        <w:tab/>
        <w:t>Conditions defined in clause 7.3 of TS 38.101-1 [18] for reference sensitivity are fulfilled.</w:t>
      </w:r>
    </w:p>
    <w:p w14:paraId="400F02F3" w14:textId="77777777" w:rsidR="0083456E" w:rsidRDefault="0083456E" w:rsidP="0083456E">
      <w:pPr>
        <w:pStyle w:val="B10"/>
      </w:pPr>
      <w:r w:rsidRPr="009C5807">
        <w:t>-</w:t>
      </w:r>
      <w:r w:rsidRPr="009C5807">
        <w:tab/>
        <w:t xml:space="preserve">Conditions for inter-frequency measurements are fulfilled according to Annex B.2.3 for a corresponding Band </w:t>
      </w:r>
      <w:r w:rsidRPr="009C5807">
        <w:rPr>
          <w:rFonts w:cs="v4.2.0"/>
          <w:lang w:eastAsia="ko-KR"/>
        </w:rPr>
        <w:t>for each relevant SSB</w:t>
      </w:r>
      <w:r w:rsidRPr="009C5807">
        <w:t>.</w:t>
      </w:r>
    </w:p>
    <w:p w14:paraId="1AF1083D" w14:textId="77777777" w:rsidR="0083456E" w:rsidRPr="00F641C2" w:rsidRDefault="0083456E" w:rsidP="0083456E">
      <w:pPr>
        <w:pStyle w:val="B10"/>
        <w:rPr>
          <w:lang w:eastAsia="zh-CN"/>
        </w:rPr>
      </w:pPr>
      <w:r w:rsidRPr="009C5807">
        <w:t>-</w:t>
      </w:r>
      <w:r w:rsidRPr="009C5807">
        <w:tab/>
      </w:r>
      <w:r w:rsidRPr="004B7BCD">
        <w:t xml:space="preserve">Valid information for the </w:t>
      </w:r>
      <w:r>
        <w:t>SAN</w:t>
      </w:r>
      <w:r w:rsidRPr="004B7BCD">
        <w:t xml:space="preserve"> serving the target cell has been provided</w:t>
      </w:r>
      <w:r w:rsidRPr="009C5807">
        <w:t>.</w:t>
      </w:r>
    </w:p>
    <w:p w14:paraId="2BD5BC1E" w14:textId="77777777" w:rsidR="0083456E" w:rsidRPr="009C5807" w:rsidRDefault="0083456E" w:rsidP="0083456E">
      <w:pPr>
        <w:pStyle w:val="TH"/>
      </w:pPr>
      <w:r w:rsidRPr="009C5807">
        <w:t xml:space="preserve">Table </w:t>
      </w:r>
      <w:r>
        <w:rPr>
          <w:lang w:eastAsia="zh-CN"/>
        </w:rPr>
        <w:t>10.1.4C</w:t>
      </w:r>
      <w:r w:rsidRPr="009C5807">
        <w:rPr>
          <w:lang w:eastAsia="zh-CN"/>
        </w:rPr>
        <w:t>.1.1-1</w:t>
      </w:r>
      <w:r w:rsidRPr="009C5807">
        <w:t xml:space="preserve">: </w:t>
      </w:r>
      <w:r w:rsidRPr="009C5807">
        <w:rPr>
          <w:lang w:eastAsia="zh-CN"/>
        </w:rPr>
        <w:t>SS-</w:t>
      </w:r>
      <w:r w:rsidRPr="009C5807">
        <w:t>RSRP Inter frequency Absolute accuracy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83456E" w:rsidRPr="009C5807" w14:paraId="2B679841" w14:textId="77777777" w:rsidTr="00E65BA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419E87F7" w14:textId="77777777" w:rsidR="0083456E" w:rsidRPr="009C5807" w:rsidRDefault="0083456E" w:rsidP="00E65BA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79D2E9FD" w14:textId="77777777" w:rsidR="0083456E" w:rsidRPr="009C5807" w:rsidRDefault="0083456E" w:rsidP="00E65BA1">
            <w:pPr>
              <w:pStyle w:val="TAH"/>
            </w:pPr>
            <w:r w:rsidRPr="009C5807">
              <w:t>Conditions</w:t>
            </w:r>
          </w:p>
        </w:tc>
      </w:tr>
      <w:tr w:rsidR="0083456E" w:rsidRPr="009C5807" w14:paraId="436778CF" w14:textId="77777777" w:rsidTr="00E65BA1">
        <w:trPr>
          <w:jc w:val="center"/>
        </w:trPr>
        <w:tc>
          <w:tcPr>
            <w:tcW w:w="1033" w:type="dxa"/>
            <w:tcBorders>
              <w:top w:val="single" w:sz="6" w:space="0" w:color="auto"/>
              <w:left w:val="single" w:sz="4" w:space="0" w:color="auto"/>
              <w:right w:val="single" w:sz="6" w:space="0" w:color="auto"/>
            </w:tcBorders>
            <w:shd w:val="clear" w:color="auto" w:fill="auto"/>
            <w:vAlign w:val="center"/>
          </w:tcPr>
          <w:p w14:paraId="4048CD81" w14:textId="77777777" w:rsidR="0083456E" w:rsidRPr="009C5807" w:rsidRDefault="0083456E" w:rsidP="00E65BA1">
            <w:pPr>
              <w:pStyle w:val="TAH"/>
            </w:pPr>
            <w:r w:rsidRPr="009C5807">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4400AA2D" w14:textId="77777777" w:rsidR="0083456E" w:rsidRPr="009C5807" w:rsidRDefault="0083456E" w:rsidP="00E65BA1">
            <w:pPr>
              <w:pStyle w:val="TAH"/>
            </w:pPr>
            <w:r w:rsidRPr="009C5807">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688D51CB" w14:textId="77777777" w:rsidR="0083456E" w:rsidRPr="009C5807" w:rsidRDefault="0083456E" w:rsidP="00E65BA1">
            <w:pPr>
              <w:pStyle w:val="TAH"/>
            </w:pPr>
            <w:r w:rsidRPr="009C5807">
              <w:t>SSB Ês/Iot</w:t>
            </w:r>
            <w:r w:rsidRPr="009C5807">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1087C399" w14:textId="77777777" w:rsidR="0083456E" w:rsidRPr="009C5807" w:rsidRDefault="0083456E" w:rsidP="00E65BA1">
            <w:pPr>
              <w:pStyle w:val="TAH"/>
            </w:pPr>
            <w:r w:rsidRPr="009C5807">
              <w:t>Io</w:t>
            </w:r>
            <w:r w:rsidRPr="009C5807">
              <w:rPr>
                <w:vertAlign w:val="superscript"/>
              </w:rPr>
              <w:t xml:space="preserve"> Note 1</w:t>
            </w:r>
            <w:r w:rsidRPr="009C5807">
              <w:t xml:space="preserve"> range</w:t>
            </w:r>
          </w:p>
        </w:tc>
      </w:tr>
      <w:tr w:rsidR="0083456E" w:rsidRPr="009C5807" w14:paraId="333A202F" w14:textId="77777777" w:rsidTr="00E65BA1">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739267D3" w14:textId="77777777" w:rsidR="0083456E" w:rsidRPr="009C5807" w:rsidRDefault="0083456E" w:rsidP="00E65BA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52A6068F" w14:textId="77777777" w:rsidR="0083456E" w:rsidRPr="009C5807" w:rsidRDefault="0083456E" w:rsidP="00E65BA1">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46566DFF" w14:textId="77777777" w:rsidR="0083456E" w:rsidRPr="009C5807" w:rsidRDefault="0083456E" w:rsidP="00E65BA1">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7CC6A580" w14:textId="77777777" w:rsidR="0083456E" w:rsidRPr="009C5807" w:rsidRDefault="0083456E" w:rsidP="00E65BA1">
            <w:pPr>
              <w:pStyle w:val="TAH"/>
            </w:pPr>
            <w:r w:rsidRPr="009C5807">
              <w:t>NR operating band groups</w:t>
            </w:r>
            <w:r w:rsidRPr="009C5807">
              <w:rPr>
                <w:vertAlign w:val="superscript"/>
              </w:rPr>
              <w:t xml:space="preserve"> Note 3</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6BC825D8" w14:textId="77777777" w:rsidR="0083456E" w:rsidRPr="009C5807" w:rsidRDefault="0083456E"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7860C388" w14:textId="77777777" w:rsidR="0083456E" w:rsidRPr="009C5807" w:rsidRDefault="0083456E" w:rsidP="00E65BA1">
            <w:pPr>
              <w:pStyle w:val="TAH"/>
            </w:pPr>
            <w:r w:rsidRPr="009C5807">
              <w:t>Maximum Io</w:t>
            </w:r>
          </w:p>
        </w:tc>
      </w:tr>
      <w:tr w:rsidR="0083456E" w:rsidRPr="009C5807" w14:paraId="0AB45321" w14:textId="77777777" w:rsidTr="00E65BA1">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57F17494" w14:textId="77777777" w:rsidR="0083456E" w:rsidRPr="009C5807" w:rsidRDefault="0083456E" w:rsidP="00E65BA1">
            <w:pPr>
              <w:pStyle w:val="TAH"/>
            </w:pPr>
            <w:r w:rsidRPr="009C5807">
              <w:t>dB</w:t>
            </w:r>
          </w:p>
        </w:tc>
        <w:tc>
          <w:tcPr>
            <w:tcW w:w="1049" w:type="dxa"/>
            <w:tcBorders>
              <w:top w:val="single" w:sz="6" w:space="0" w:color="auto"/>
              <w:left w:val="single" w:sz="6" w:space="0" w:color="auto"/>
              <w:right w:val="single" w:sz="6" w:space="0" w:color="auto"/>
            </w:tcBorders>
            <w:shd w:val="clear" w:color="auto" w:fill="auto"/>
            <w:vAlign w:val="center"/>
          </w:tcPr>
          <w:p w14:paraId="651232DF" w14:textId="77777777" w:rsidR="0083456E" w:rsidRPr="009C5807" w:rsidRDefault="0083456E" w:rsidP="00E65BA1">
            <w:pPr>
              <w:pStyle w:val="TAH"/>
            </w:pPr>
            <w:r w:rsidRPr="009C5807">
              <w:t>dB</w:t>
            </w:r>
          </w:p>
        </w:tc>
        <w:tc>
          <w:tcPr>
            <w:tcW w:w="807" w:type="dxa"/>
            <w:tcBorders>
              <w:top w:val="single" w:sz="6" w:space="0" w:color="auto"/>
              <w:left w:val="single" w:sz="6" w:space="0" w:color="auto"/>
              <w:right w:val="single" w:sz="6" w:space="0" w:color="auto"/>
            </w:tcBorders>
            <w:shd w:val="clear" w:color="auto" w:fill="auto"/>
            <w:vAlign w:val="center"/>
          </w:tcPr>
          <w:p w14:paraId="06367E71" w14:textId="77777777" w:rsidR="0083456E" w:rsidRPr="009C5807" w:rsidRDefault="0083456E" w:rsidP="00E65BA1">
            <w:pPr>
              <w:pStyle w:val="TAH"/>
            </w:pPr>
            <w:r w:rsidRPr="009C5807">
              <w:t>dB</w:t>
            </w:r>
          </w:p>
        </w:tc>
        <w:tc>
          <w:tcPr>
            <w:tcW w:w="2349" w:type="dxa"/>
            <w:tcBorders>
              <w:top w:val="single" w:sz="6" w:space="0" w:color="auto"/>
              <w:left w:val="single" w:sz="6" w:space="0" w:color="auto"/>
              <w:right w:val="single" w:sz="4" w:space="0" w:color="auto"/>
            </w:tcBorders>
            <w:shd w:val="clear" w:color="auto" w:fill="auto"/>
            <w:vAlign w:val="center"/>
          </w:tcPr>
          <w:p w14:paraId="739D57F7" w14:textId="77777777" w:rsidR="0083456E" w:rsidRPr="009C5807" w:rsidRDefault="0083456E" w:rsidP="00E65BA1">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7644914B" w14:textId="77777777" w:rsidR="0083456E" w:rsidRPr="009C5807" w:rsidRDefault="0083456E"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3F86E01C" w14:textId="77777777" w:rsidR="0083456E" w:rsidRPr="009C5807" w:rsidRDefault="0083456E"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3450615F" w14:textId="77777777" w:rsidR="0083456E" w:rsidRPr="009C5807" w:rsidRDefault="0083456E" w:rsidP="00E65BA1">
            <w:pPr>
              <w:pStyle w:val="TAH"/>
            </w:pPr>
            <w:r w:rsidRPr="009C5807">
              <w:t>dBm/BW</w:t>
            </w:r>
            <w:r w:rsidRPr="009C5807">
              <w:rPr>
                <w:vertAlign w:val="subscript"/>
              </w:rPr>
              <w:t>Channel</w:t>
            </w:r>
          </w:p>
        </w:tc>
      </w:tr>
      <w:tr w:rsidR="0083456E" w:rsidRPr="009C5807" w14:paraId="30731232" w14:textId="77777777" w:rsidTr="00E65BA1">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42E5D5C1" w14:textId="77777777" w:rsidR="0083456E" w:rsidRPr="009C5807" w:rsidRDefault="0083456E" w:rsidP="00E65BA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064632DF" w14:textId="77777777" w:rsidR="0083456E" w:rsidRPr="009C5807" w:rsidRDefault="0083456E" w:rsidP="00E65BA1">
            <w:pPr>
              <w:pStyle w:val="TAH"/>
            </w:pPr>
          </w:p>
        </w:tc>
        <w:tc>
          <w:tcPr>
            <w:tcW w:w="807" w:type="dxa"/>
            <w:tcBorders>
              <w:left w:val="single" w:sz="6" w:space="0" w:color="auto"/>
              <w:bottom w:val="single" w:sz="6" w:space="0" w:color="auto"/>
              <w:right w:val="single" w:sz="6" w:space="0" w:color="auto"/>
            </w:tcBorders>
            <w:shd w:val="clear" w:color="auto" w:fill="auto"/>
          </w:tcPr>
          <w:p w14:paraId="4E1A3BC0" w14:textId="77777777" w:rsidR="0083456E" w:rsidRPr="009C5807" w:rsidRDefault="0083456E" w:rsidP="00E65BA1">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5F730B11" w14:textId="77777777" w:rsidR="0083456E" w:rsidRPr="009C5807" w:rsidRDefault="0083456E" w:rsidP="00E65BA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B7C6E9B" w14:textId="77777777" w:rsidR="0083456E" w:rsidRPr="009C5807" w:rsidRDefault="0083456E" w:rsidP="00E65BA1">
            <w:pPr>
              <w:pStyle w:val="TAH"/>
              <w:rPr>
                <w:rFonts w:cs="Arial"/>
              </w:rPr>
            </w:pPr>
            <w:r w:rsidRPr="009C5807">
              <w:t>SCS</w:t>
            </w:r>
            <w:r w:rsidRPr="009C5807">
              <w:rPr>
                <w:vertAlign w:val="subscript"/>
              </w:rPr>
              <w:t>SSB</w:t>
            </w:r>
            <w:r w:rsidRPr="009C5807">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4FAC0B92" w14:textId="77777777" w:rsidR="0083456E" w:rsidRPr="009C5807" w:rsidRDefault="0083456E"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1644C306" w14:textId="77777777" w:rsidR="0083456E" w:rsidRPr="009C5807" w:rsidRDefault="0083456E" w:rsidP="00E65BA1">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66FA6EA1" w14:textId="77777777" w:rsidR="0083456E" w:rsidRPr="009C5807" w:rsidRDefault="0083456E" w:rsidP="00E65BA1">
            <w:pPr>
              <w:pStyle w:val="TAH"/>
            </w:pPr>
          </w:p>
        </w:tc>
      </w:tr>
      <w:tr w:rsidR="00B72DB6" w:rsidRPr="009C5807" w14:paraId="32416BF2" w14:textId="77777777" w:rsidTr="00E65BA1">
        <w:trPr>
          <w:jc w:val="center"/>
        </w:trPr>
        <w:tc>
          <w:tcPr>
            <w:tcW w:w="1033" w:type="dxa"/>
            <w:tcBorders>
              <w:top w:val="single" w:sz="6" w:space="0" w:color="auto"/>
              <w:left w:val="single" w:sz="4" w:space="0" w:color="auto"/>
              <w:right w:val="single" w:sz="6" w:space="0" w:color="auto"/>
            </w:tcBorders>
            <w:shd w:val="clear" w:color="auto" w:fill="auto"/>
          </w:tcPr>
          <w:p w14:paraId="498DDDBB" w14:textId="411B6ABA" w:rsidR="00B72DB6" w:rsidRPr="009C5807" w:rsidRDefault="00B72DB6" w:rsidP="00B72DB6">
            <w:pPr>
              <w:pStyle w:val="TAC"/>
            </w:pPr>
            <w:r w:rsidRPr="009C5807">
              <w:sym w:font="Symbol" w:char="F0B1"/>
            </w:r>
            <w:r>
              <w:t>[4.5]</w:t>
            </w:r>
          </w:p>
        </w:tc>
        <w:tc>
          <w:tcPr>
            <w:tcW w:w="1049" w:type="dxa"/>
            <w:tcBorders>
              <w:top w:val="single" w:sz="6" w:space="0" w:color="auto"/>
              <w:left w:val="single" w:sz="6" w:space="0" w:color="auto"/>
              <w:right w:val="single" w:sz="6" w:space="0" w:color="auto"/>
            </w:tcBorders>
            <w:shd w:val="clear" w:color="auto" w:fill="auto"/>
          </w:tcPr>
          <w:p w14:paraId="62803968" w14:textId="53DA3770" w:rsidR="00B72DB6" w:rsidRPr="009C5807" w:rsidRDefault="00B72DB6" w:rsidP="00B72DB6">
            <w:pPr>
              <w:pStyle w:val="TAC"/>
            </w:pPr>
            <w:r w:rsidRPr="009C5807">
              <w:sym w:font="Symbol" w:char="F0B1"/>
            </w:r>
            <w:r>
              <w:t>[9]</w:t>
            </w:r>
          </w:p>
        </w:tc>
        <w:tc>
          <w:tcPr>
            <w:tcW w:w="807" w:type="dxa"/>
            <w:tcBorders>
              <w:top w:val="single" w:sz="6" w:space="0" w:color="auto"/>
              <w:left w:val="single" w:sz="6" w:space="0" w:color="auto"/>
              <w:right w:val="single" w:sz="6" w:space="0" w:color="auto"/>
            </w:tcBorders>
            <w:shd w:val="clear" w:color="auto" w:fill="auto"/>
            <w:vAlign w:val="center"/>
          </w:tcPr>
          <w:p w14:paraId="6C2728E4" w14:textId="1439459A" w:rsidR="00B72DB6" w:rsidRPr="009C5807" w:rsidRDefault="00B72DB6" w:rsidP="00B72DB6">
            <w:pPr>
              <w:pStyle w:val="TAC"/>
            </w:pPr>
            <w:r w:rsidRPr="009C5807">
              <w:sym w:font="Symbol" w:char="F0B3"/>
            </w:r>
            <w:r w:rsidRPr="009C5807">
              <w:t>-</w:t>
            </w:r>
            <w:r w:rsidRPr="009C5807">
              <w:rPr>
                <w:lang w:eastAsia="zh-CN"/>
              </w:rPr>
              <w:t>6</w:t>
            </w: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35589210" w14:textId="6ADC156A" w:rsidR="00B72DB6" w:rsidRPr="009C5807" w:rsidRDefault="00B72DB6" w:rsidP="00B72DB6">
            <w:pPr>
              <w:pStyle w:val="TAC"/>
            </w:pPr>
            <w:r w:rsidRPr="009C5807">
              <w:t>NR_FDD</w:t>
            </w:r>
            <w:r w:rsidRPr="003646C5">
              <w:t>_</w:t>
            </w:r>
            <w:r>
              <w:t>SAB</w:t>
            </w:r>
            <w:r w:rsidRPr="009C5807">
              <w:t>_FR1_A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1E8448F" w14:textId="77777777" w:rsidR="00B72DB6" w:rsidRPr="009C5807" w:rsidRDefault="00B72DB6" w:rsidP="00B72DB6">
            <w:pPr>
              <w:pStyle w:val="TAC"/>
            </w:pPr>
            <w:r w:rsidRPr="009C5807">
              <w:t>-121</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69AE622" w14:textId="77777777" w:rsidR="00B72DB6" w:rsidRPr="009C5807" w:rsidRDefault="00B72DB6" w:rsidP="00B72DB6">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5F7B8B6E"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1A0D613" w14:textId="77777777" w:rsidR="00B72DB6" w:rsidRPr="009C5807" w:rsidRDefault="00B72DB6" w:rsidP="00B72DB6">
            <w:pPr>
              <w:pStyle w:val="TAC"/>
            </w:pPr>
            <w:r w:rsidRPr="009C5807">
              <w:t>-70</w:t>
            </w:r>
          </w:p>
        </w:tc>
      </w:tr>
      <w:tr w:rsidR="00B72DB6" w:rsidRPr="009C5807" w14:paraId="575DCA43" w14:textId="77777777" w:rsidTr="00E65BA1">
        <w:trPr>
          <w:jc w:val="center"/>
        </w:trPr>
        <w:tc>
          <w:tcPr>
            <w:tcW w:w="1033" w:type="dxa"/>
            <w:tcBorders>
              <w:top w:val="single" w:sz="4" w:space="0" w:color="auto"/>
              <w:left w:val="single" w:sz="4" w:space="0" w:color="auto"/>
              <w:bottom w:val="single" w:sz="4" w:space="0" w:color="auto"/>
              <w:right w:val="single" w:sz="6" w:space="0" w:color="auto"/>
            </w:tcBorders>
            <w:shd w:val="clear" w:color="auto" w:fill="auto"/>
          </w:tcPr>
          <w:p w14:paraId="12D702FA" w14:textId="758DA3AB" w:rsidR="00B72DB6" w:rsidRPr="009C5807" w:rsidRDefault="00B72DB6" w:rsidP="00B72DB6">
            <w:pPr>
              <w:pStyle w:val="TAC"/>
            </w:pPr>
            <w:r w:rsidRPr="009C5807">
              <w:sym w:font="Symbol" w:char="F0B1"/>
            </w:r>
            <w:r>
              <w:t>[8]</w:t>
            </w:r>
          </w:p>
        </w:tc>
        <w:tc>
          <w:tcPr>
            <w:tcW w:w="1049" w:type="dxa"/>
            <w:tcBorders>
              <w:top w:val="single" w:sz="4" w:space="0" w:color="auto"/>
              <w:left w:val="single" w:sz="6" w:space="0" w:color="auto"/>
              <w:bottom w:val="single" w:sz="4" w:space="0" w:color="auto"/>
              <w:right w:val="single" w:sz="6" w:space="0" w:color="auto"/>
            </w:tcBorders>
            <w:shd w:val="clear" w:color="auto" w:fill="auto"/>
          </w:tcPr>
          <w:p w14:paraId="5D99DF0D" w14:textId="55CCCB1C" w:rsidR="00B72DB6" w:rsidRPr="009C5807" w:rsidRDefault="00B72DB6" w:rsidP="00B72DB6">
            <w:pPr>
              <w:pStyle w:val="TAC"/>
            </w:pPr>
            <w:r w:rsidRPr="009C5807">
              <w:sym w:font="Symbol" w:char="F0B1"/>
            </w:r>
            <w:r>
              <w:t>[11]</w:t>
            </w:r>
          </w:p>
        </w:tc>
        <w:tc>
          <w:tcPr>
            <w:tcW w:w="807" w:type="dxa"/>
            <w:tcBorders>
              <w:top w:val="single" w:sz="4" w:space="0" w:color="auto"/>
              <w:left w:val="single" w:sz="6" w:space="0" w:color="auto"/>
              <w:bottom w:val="single" w:sz="4" w:space="0" w:color="auto"/>
              <w:right w:val="single" w:sz="4" w:space="0" w:color="auto"/>
            </w:tcBorders>
            <w:shd w:val="clear" w:color="auto" w:fill="auto"/>
            <w:vAlign w:val="center"/>
          </w:tcPr>
          <w:p w14:paraId="730ED255" w14:textId="61549976" w:rsidR="00B72DB6" w:rsidRPr="009C5807" w:rsidRDefault="00B72DB6" w:rsidP="00B72DB6">
            <w:pPr>
              <w:pStyle w:val="TAC"/>
            </w:pPr>
            <w:r w:rsidRPr="009C5807">
              <w:sym w:font="Symbol" w:char="F0B3"/>
            </w:r>
            <w:r w:rsidRPr="009C5807">
              <w:t>-</w:t>
            </w:r>
            <w:r w:rsidRPr="009C5807">
              <w:rPr>
                <w:lang w:eastAsia="zh-CN"/>
              </w:rPr>
              <w:t>6</w:t>
            </w:r>
          </w:p>
        </w:tc>
        <w:tc>
          <w:tcPr>
            <w:tcW w:w="2349" w:type="dxa"/>
            <w:tcBorders>
              <w:top w:val="single" w:sz="6" w:space="0" w:color="auto"/>
              <w:left w:val="single" w:sz="4" w:space="0" w:color="auto"/>
              <w:bottom w:val="single" w:sz="6" w:space="0" w:color="auto"/>
              <w:right w:val="single" w:sz="4" w:space="0" w:color="auto"/>
            </w:tcBorders>
            <w:shd w:val="clear" w:color="auto" w:fill="auto"/>
            <w:vAlign w:val="center"/>
          </w:tcPr>
          <w:p w14:paraId="1AA7F434" w14:textId="09F21F54" w:rsidR="00B72DB6" w:rsidRPr="009C5807" w:rsidRDefault="00B72DB6" w:rsidP="00B72DB6">
            <w:pPr>
              <w:pStyle w:val="TAC"/>
              <w:rPr>
                <w:lang w:val="sv-FI" w:eastAsia="zh-CN"/>
              </w:rPr>
            </w:pPr>
            <w:r w:rsidRPr="009C5807">
              <w:t>NR_FDD</w:t>
            </w:r>
            <w:r w:rsidRPr="00C47750">
              <w:t>_SAB</w:t>
            </w:r>
            <w:r w:rsidRPr="009C5807">
              <w:t>_FR1_A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85022F7" w14:textId="77777777" w:rsidR="00B72DB6" w:rsidRPr="009C5807" w:rsidRDefault="00B72DB6" w:rsidP="00B72DB6">
            <w:pPr>
              <w:pStyle w:val="TAC"/>
            </w:pPr>
            <w:r w:rsidRPr="009C5807">
              <w:t>N/A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55A40C8" w14:textId="77777777" w:rsidR="00B72DB6" w:rsidRPr="009C5807" w:rsidRDefault="00B72DB6" w:rsidP="00B72DB6">
            <w:pPr>
              <w:pStyle w:val="TAC"/>
              <w:rPr>
                <w:rFonts w:cs="Arial"/>
              </w:rPr>
            </w:pPr>
            <w:r w:rsidRPr="009C5807">
              <w:rPr>
                <w:lang w:eastAsia="zh-CN"/>
              </w:rPr>
              <w:t>N/A</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22743DCE" w14:textId="77777777" w:rsidR="00B72DB6" w:rsidRPr="009C5807" w:rsidRDefault="00B72DB6" w:rsidP="00B72DB6">
            <w:pPr>
              <w:pStyle w:val="TAC"/>
            </w:pPr>
            <w:r w:rsidRPr="009C5807">
              <w:t>-70</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6073D922" w14:textId="77777777" w:rsidR="00B72DB6" w:rsidRPr="009C5807" w:rsidRDefault="00B72DB6" w:rsidP="00B72DB6">
            <w:pPr>
              <w:pStyle w:val="TAC"/>
            </w:pPr>
            <w:r w:rsidRPr="009C5807">
              <w:t>-50</w:t>
            </w:r>
          </w:p>
        </w:tc>
      </w:tr>
      <w:tr w:rsidR="0083456E" w:rsidRPr="009C5807" w14:paraId="556B22D4"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44254F2C" w14:textId="77777777" w:rsidR="0083456E" w:rsidRPr="009C5807" w:rsidRDefault="0083456E" w:rsidP="00E65BA1">
            <w:pPr>
              <w:pStyle w:val="TAN"/>
            </w:pPr>
            <w:r w:rsidRPr="009C5807">
              <w:t>NOTE 1:</w:t>
            </w:r>
            <w:r w:rsidRPr="009C5807">
              <w:tab/>
              <w:t>Io is assumed to have constant EPRE across the bandwidth.</w:t>
            </w:r>
          </w:p>
          <w:p w14:paraId="665B14DD" w14:textId="77777777" w:rsidR="0083456E" w:rsidRPr="009C5807" w:rsidRDefault="0083456E" w:rsidP="00E65BA1">
            <w:pPr>
              <w:pStyle w:val="TAN"/>
            </w:pPr>
            <w:r w:rsidRPr="009C5807">
              <w:t>NOTE 2:</w:t>
            </w:r>
            <w:r w:rsidRPr="009C5807">
              <w:tab/>
              <w:t>Void</w:t>
            </w:r>
          </w:p>
          <w:p w14:paraId="4F3C3FDF" w14:textId="77777777" w:rsidR="0083456E" w:rsidRPr="009C5807" w:rsidRDefault="0083456E" w:rsidP="00E65BA1">
            <w:pPr>
              <w:pStyle w:val="TAN"/>
            </w:pPr>
            <w:r w:rsidRPr="009C5807">
              <w:t>NOTE 3:</w:t>
            </w:r>
            <w:r w:rsidRPr="009C5807">
              <w:tab/>
              <w:t>NR operating band groups in FR1 are as defined in clause 3.5.2.</w:t>
            </w:r>
          </w:p>
        </w:tc>
      </w:tr>
    </w:tbl>
    <w:p w14:paraId="0A241089" w14:textId="77777777" w:rsidR="0083456E" w:rsidRPr="009C5807" w:rsidRDefault="0083456E" w:rsidP="0083456E">
      <w:pPr>
        <w:rPr>
          <w:lang w:eastAsia="zh-CN"/>
        </w:rPr>
      </w:pPr>
    </w:p>
    <w:p w14:paraId="249B125E" w14:textId="77777777" w:rsidR="0083456E" w:rsidRPr="009C5807" w:rsidRDefault="0083456E" w:rsidP="0083456E">
      <w:pPr>
        <w:pStyle w:val="Heading5"/>
      </w:pPr>
      <w:r>
        <w:t>10.1.4C</w:t>
      </w:r>
      <w:r w:rsidRPr="009C5807">
        <w:t>.1.2</w:t>
      </w:r>
      <w:r w:rsidRPr="009C5807">
        <w:tab/>
        <w:t>Relative Accuracy of SS-RSRP in FR1</w:t>
      </w:r>
    </w:p>
    <w:p w14:paraId="6C1C5545" w14:textId="77777777" w:rsidR="0083456E" w:rsidRPr="009C5807" w:rsidRDefault="0083456E" w:rsidP="0083456E">
      <w:pPr>
        <w:rPr>
          <w:rFonts w:cs="v4.2.0"/>
          <w:i/>
        </w:rPr>
      </w:pPr>
      <w:r w:rsidRPr="009C5807">
        <w:rPr>
          <w:rFonts w:cs="v4.2.0"/>
        </w:rPr>
        <w:t xml:space="preserve">The relative accuracy of </w:t>
      </w:r>
      <w:r w:rsidRPr="009C5807">
        <w:rPr>
          <w:rFonts w:cs="v4.2.0"/>
          <w:lang w:eastAsia="zh-CN"/>
        </w:rPr>
        <w:t>SS-RSRP</w:t>
      </w:r>
      <w:r w:rsidRPr="009C5807">
        <w:rPr>
          <w:rFonts w:cs="v4.2.0"/>
        </w:rPr>
        <w:t xml:space="preserve"> in inter frequency case is defined as the RSRP measured from one cell on a frequency in FR1compared to the RSRP measured from another cell on a different frequency in FR1.</w:t>
      </w:r>
    </w:p>
    <w:p w14:paraId="16002FF4" w14:textId="77777777" w:rsidR="0083456E" w:rsidRPr="009C5807" w:rsidRDefault="0083456E" w:rsidP="0083456E">
      <w:pPr>
        <w:rPr>
          <w:rFonts w:cs="v4.2.0"/>
        </w:rPr>
      </w:pPr>
      <w:r w:rsidRPr="009C5807">
        <w:rPr>
          <w:rFonts w:cs="v4.2.0"/>
        </w:rPr>
        <w:t xml:space="preserve">The accuracy requirements in Table </w:t>
      </w:r>
      <w:r>
        <w:rPr>
          <w:rFonts w:cs="v4.2.0"/>
          <w:lang w:eastAsia="zh-CN"/>
        </w:rPr>
        <w:t>10.1.4C</w:t>
      </w:r>
      <w:r w:rsidRPr="009C5807">
        <w:rPr>
          <w:rFonts w:cs="v4.2.0"/>
          <w:lang w:eastAsia="zh-CN"/>
        </w:rPr>
        <w:t>.1.2</w:t>
      </w:r>
      <w:r w:rsidRPr="009C5807">
        <w:rPr>
          <w:rFonts w:cs="v4.2.0"/>
        </w:rPr>
        <w:t>-1 are valid under the following conditions:</w:t>
      </w:r>
    </w:p>
    <w:p w14:paraId="203C6F18" w14:textId="77777777" w:rsidR="0083456E" w:rsidRPr="009C5807" w:rsidRDefault="0083456E" w:rsidP="0083456E">
      <w:pPr>
        <w:pStyle w:val="B10"/>
        <w:rPr>
          <w:lang w:eastAsia="zh-CN"/>
        </w:rPr>
      </w:pPr>
      <w:r w:rsidRPr="009C5807">
        <w:t>-</w:t>
      </w:r>
      <w:r w:rsidRPr="009C5807">
        <w:tab/>
        <w:t>Conditions defined in clause 7.3 of TS 38.101-1 [18] Clause 7.3 for reference sensitivity are fulfilled.</w:t>
      </w:r>
    </w:p>
    <w:p w14:paraId="497EC230" w14:textId="77777777" w:rsidR="0083456E" w:rsidRPr="009C5807" w:rsidRDefault="0083456E" w:rsidP="0083456E">
      <w:pPr>
        <w:pStyle w:val="B10"/>
        <w:rPr>
          <w:lang w:eastAsia="zh-CN"/>
        </w:rPr>
      </w:pPr>
      <w:r w:rsidRPr="009C5807">
        <w:t>-</w:t>
      </w:r>
      <w:r w:rsidRPr="009C5807">
        <w:tab/>
        <w:t xml:space="preserve">Conditions for inter-frequency measurements are fulfilled according to Annex B.2.3 for a corresponding Band </w:t>
      </w:r>
      <w:r w:rsidRPr="009C5807">
        <w:rPr>
          <w:rFonts w:cs="v4.2.0"/>
          <w:lang w:eastAsia="ko-KR"/>
        </w:rPr>
        <w:t>for each relevant SSB</w:t>
      </w:r>
      <w:r w:rsidRPr="009C5807">
        <w:t>.</w:t>
      </w:r>
    </w:p>
    <w:p w14:paraId="1EEC7671" w14:textId="77777777" w:rsidR="0083456E" w:rsidRPr="009C5807" w:rsidRDefault="0083456E" w:rsidP="0083456E">
      <w:pPr>
        <w:pStyle w:val="B10"/>
      </w:pPr>
      <w:r w:rsidRPr="009C5807">
        <w:t>-</w:t>
      </w:r>
      <w:r w:rsidRPr="009C5807">
        <w:tab/>
        <w:t>|SSB_RP1</w:t>
      </w:r>
      <w:r w:rsidRPr="009C5807">
        <w:rPr>
          <w:vertAlign w:val="subscript"/>
        </w:rPr>
        <w:t>dBm</w:t>
      </w:r>
      <w:r w:rsidRPr="009C5807">
        <w:t xml:space="preserve"> - SSB_RP2</w:t>
      </w:r>
      <w:r w:rsidRPr="009C5807">
        <w:rPr>
          <w:vertAlign w:val="subscript"/>
        </w:rPr>
        <w:t>dBm</w:t>
      </w:r>
      <w:r w:rsidRPr="009C5807">
        <w:t xml:space="preserve">| </w:t>
      </w:r>
      <w:r w:rsidRPr="009C5807">
        <w:rPr>
          <w:rFonts w:hint="eastAsia"/>
        </w:rPr>
        <w:t>≤</w:t>
      </w:r>
      <w:r w:rsidRPr="009C5807">
        <w:t xml:space="preserve"> 27 dB</w:t>
      </w:r>
      <w:r w:rsidRPr="009C5807">
        <w:rPr>
          <w:noProof/>
          <w:lang w:val="en-US" w:eastAsia="zh-CN"/>
        </w:rPr>
        <w:t xml:space="preserve"> </w:t>
      </w:r>
    </w:p>
    <w:p w14:paraId="7088A012" w14:textId="77777777" w:rsidR="0083456E" w:rsidRDefault="0083456E" w:rsidP="0083456E">
      <w:pPr>
        <w:pStyle w:val="B10"/>
      </w:pPr>
      <w:r w:rsidRPr="009C5807">
        <w:t>-</w:t>
      </w:r>
      <w:r w:rsidRPr="009C5807">
        <w:tab/>
        <w:t xml:space="preserve">|Channel 1_Io </w:t>
      </w:r>
      <w:r w:rsidRPr="009C5807">
        <w:noBreakHyphen/>
        <w:t xml:space="preserve">Channel 2_Io | </w:t>
      </w:r>
      <w:r w:rsidRPr="009C5807">
        <w:sym w:font="Symbol" w:char="F0A3"/>
      </w:r>
      <w:r w:rsidRPr="009C5807">
        <w:t xml:space="preserve"> 20 dB</w:t>
      </w:r>
    </w:p>
    <w:p w14:paraId="4471B645" w14:textId="77777777" w:rsidR="0083456E" w:rsidRPr="00F641C2" w:rsidRDefault="0083456E" w:rsidP="0083456E">
      <w:pPr>
        <w:pStyle w:val="B10"/>
        <w:rPr>
          <w:lang w:eastAsia="zh-CN"/>
        </w:rPr>
      </w:pPr>
      <w:r w:rsidRPr="009C5807">
        <w:t>-</w:t>
      </w:r>
      <w:r w:rsidRPr="009C5807">
        <w:tab/>
      </w:r>
      <w:r w:rsidRPr="004B7BCD">
        <w:t xml:space="preserve">Valid information for the </w:t>
      </w:r>
      <w:r>
        <w:t>SAN</w:t>
      </w:r>
      <w:r w:rsidRPr="004B7BCD">
        <w:t xml:space="preserve"> serving the target cell has been provided</w:t>
      </w:r>
      <w:r w:rsidRPr="009C5807">
        <w:t>.</w:t>
      </w:r>
    </w:p>
    <w:p w14:paraId="596A45EA" w14:textId="77777777" w:rsidR="0083456E" w:rsidRPr="009C5807" w:rsidRDefault="0083456E" w:rsidP="0083456E">
      <w:pPr>
        <w:pStyle w:val="TH"/>
      </w:pPr>
      <w:r w:rsidRPr="009C5807">
        <w:t xml:space="preserve">Table </w:t>
      </w:r>
      <w:r>
        <w:t>10.1.4C</w:t>
      </w:r>
      <w:r w:rsidRPr="009C5807">
        <w:t>.1.2-1: SS-RSRP Inter frequency relative accuracy in FR1</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83456E" w:rsidRPr="009C5807" w14:paraId="00586DCE" w14:textId="77777777" w:rsidTr="00E65BA1">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5D08FB79" w14:textId="77777777" w:rsidR="0083456E" w:rsidRPr="009C5807" w:rsidRDefault="0083456E" w:rsidP="00E65BA1">
            <w:pPr>
              <w:pStyle w:val="TAH"/>
            </w:pPr>
            <w:r w:rsidRPr="009C5807">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3CA42627" w14:textId="77777777" w:rsidR="0083456E" w:rsidRPr="009C5807" w:rsidRDefault="0083456E" w:rsidP="00E65BA1">
            <w:pPr>
              <w:pStyle w:val="TAH"/>
            </w:pPr>
            <w:r w:rsidRPr="009C5807">
              <w:t>Conditions</w:t>
            </w:r>
          </w:p>
        </w:tc>
      </w:tr>
      <w:tr w:rsidR="0083456E" w:rsidRPr="009C5807" w14:paraId="2C65D79A" w14:textId="77777777" w:rsidTr="00E65BA1">
        <w:trPr>
          <w:jc w:val="center"/>
        </w:trPr>
        <w:tc>
          <w:tcPr>
            <w:tcW w:w="1036" w:type="dxa"/>
            <w:tcBorders>
              <w:top w:val="single" w:sz="6" w:space="0" w:color="auto"/>
              <w:left w:val="single" w:sz="4" w:space="0" w:color="auto"/>
              <w:right w:val="single" w:sz="6" w:space="0" w:color="auto"/>
            </w:tcBorders>
            <w:shd w:val="clear" w:color="auto" w:fill="auto"/>
            <w:vAlign w:val="center"/>
          </w:tcPr>
          <w:p w14:paraId="5B791DD3" w14:textId="77777777" w:rsidR="0083456E" w:rsidRPr="009C5807" w:rsidRDefault="0083456E" w:rsidP="00E65BA1">
            <w:pPr>
              <w:pStyle w:val="TAH"/>
            </w:pPr>
            <w:r w:rsidRPr="009C5807">
              <w:t>Normal condition</w:t>
            </w:r>
          </w:p>
        </w:tc>
        <w:tc>
          <w:tcPr>
            <w:tcW w:w="1055" w:type="dxa"/>
            <w:tcBorders>
              <w:top w:val="single" w:sz="6" w:space="0" w:color="auto"/>
              <w:left w:val="single" w:sz="6" w:space="0" w:color="auto"/>
              <w:right w:val="single" w:sz="6" w:space="0" w:color="auto"/>
            </w:tcBorders>
            <w:shd w:val="clear" w:color="auto" w:fill="auto"/>
            <w:vAlign w:val="center"/>
          </w:tcPr>
          <w:p w14:paraId="507A0504" w14:textId="77777777" w:rsidR="0083456E" w:rsidRPr="009C5807" w:rsidRDefault="0083456E" w:rsidP="00E65BA1">
            <w:pPr>
              <w:pStyle w:val="TAH"/>
            </w:pPr>
            <w:r w:rsidRPr="009C5807">
              <w:t>Extreme condition</w:t>
            </w:r>
          </w:p>
        </w:tc>
        <w:tc>
          <w:tcPr>
            <w:tcW w:w="833" w:type="dxa"/>
            <w:tcBorders>
              <w:top w:val="single" w:sz="6" w:space="0" w:color="auto"/>
              <w:left w:val="single" w:sz="6" w:space="0" w:color="auto"/>
              <w:right w:val="single" w:sz="6" w:space="0" w:color="auto"/>
            </w:tcBorders>
            <w:shd w:val="clear" w:color="auto" w:fill="auto"/>
            <w:vAlign w:val="center"/>
          </w:tcPr>
          <w:p w14:paraId="741F38C0" w14:textId="77777777" w:rsidR="0083456E" w:rsidRPr="009C5807" w:rsidRDefault="0083456E" w:rsidP="00E65BA1">
            <w:pPr>
              <w:pStyle w:val="TAH"/>
            </w:pPr>
            <w:r w:rsidRPr="009C5807">
              <w:t>SSB Ês/Iot</w:t>
            </w:r>
            <w:r w:rsidRPr="009C5807">
              <w:rPr>
                <w:vertAlign w:val="superscript"/>
              </w:rPr>
              <w:t xml:space="preserve"> Note 2</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CD116D5" w14:textId="77777777" w:rsidR="0083456E" w:rsidRPr="009C5807" w:rsidRDefault="0083456E" w:rsidP="00E65BA1">
            <w:pPr>
              <w:pStyle w:val="TAH"/>
            </w:pPr>
            <w:r w:rsidRPr="009C5807">
              <w:t>Io</w:t>
            </w:r>
            <w:r w:rsidRPr="009C5807">
              <w:rPr>
                <w:vertAlign w:val="superscript"/>
              </w:rPr>
              <w:t xml:space="preserve"> Note 1</w:t>
            </w:r>
            <w:r w:rsidRPr="009C5807">
              <w:t xml:space="preserve"> range</w:t>
            </w:r>
          </w:p>
        </w:tc>
      </w:tr>
      <w:tr w:rsidR="0083456E" w:rsidRPr="009C5807" w14:paraId="3543F43D" w14:textId="77777777" w:rsidTr="00E65BA1">
        <w:trPr>
          <w:jc w:val="center"/>
        </w:trPr>
        <w:tc>
          <w:tcPr>
            <w:tcW w:w="1036" w:type="dxa"/>
            <w:tcBorders>
              <w:left w:val="single" w:sz="4" w:space="0" w:color="auto"/>
              <w:bottom w:val="single" w:sz="6" w:space="0" w:color="auto"/>
              <w:right w:val="single" w:sz="6" w:space="0" w:color="auto"/>
            </w:tcBorders>
            <w:shd w:val="clear" w:color="auto" w:fill="auto"/>
            <w:vAlign w:val="center"/>
          </w:tcPr>
          <w:p w14:paraId="5A0CE9EA" w14:textId="77777777" w:rsidR="0083456E" w:rsidRPr="009C5807" w:rsidRDefault="0083456E" w:rsidP="00E65BA1">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3C768DF9" w14:textId="77777777" w:rsidR="0083456E" w:rsidRPr="009C5807" w:rsidRDefault="0083456E" w:rsidP="00E65BA1">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2B316CBD" w14:textId="77777777" w:rsidR="0083456E" w:rsidRPr="009C5807" w:rsidRDefault="0083456E" w:rsidP="00E65BA1">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22255BFD" w14:textId="77777777" w:rsidR="0083456E" w:rsidRPr="009C5807" w:rsidRDefault="0083456E" w:rsidP="00E65BA1">
            <w:pPr>
              <w:pStyle w:val="TAH"/>
            </w:pPr>
            <w:r w:rsidRPr="009C5807">
              <w:t>NR operating band groups</w:t>
            </w:r>
            <w:r w:rsidRPr="009C5807">
              <w:rPr>
                <w:vertAlign w:val="superscript"/>
              </w:rPr>
              <w:t xml:space="preserve"> Note 3</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0E46BDC6" w14:textId="77777777" w:rsidR="0083456E" w:rsidRPr="009C5807" w:rsidRDefault="0083456E"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4AEB05A2" w14:textId="77777777" w:rsidR="0083456E" w:rsidRPr="009C5807" w:rsidRDefault="0083456E" w:rsidP="00E65BA1">
            <w:pPr>
              <w:pStyle w:val="TAH"/>
            </w:pPr>
            <w:r w:rsidRPr="009C5807">
              <w:t>Maximum Io</w:t>
            </w:r>
          </w:p>
        </w:tc>
      </w:tr>
      <w:tr w:rsidR="0083456E" w:rsidRPr="009C5807" w14:paraId="7392A1DD" w14:textId="77777777" w:rsidTr="00E65BA1">
        <w:trPr>
          <w:trHeight w:val="308"/>
          <w:jc w:val="center"/>
        </w:trPr>
        <w:tc>
          <w:tcPr>
            <w:tcW w:w="1036" w:type="dxa"/>
            <w:tcBorders>
              <w:top w:val="single" w:sz="6" w:space="0" w:color="auto"/>
              <w:left w:val="single" w:sz="4" w:space="0" w:color="auto"/>
              <w:right w:val="single" w:sz="6" w:space="0" w:color="auto"/>
            </w:tcBorders>
            <w:shd w:val="clear" w:color="auto" w:fill="auto"/>
            <w:vAlign w:val="center"/>
          </w:tcPr>
          <w:p w14:paraId="0AFDA094" w14:textId="77777777" w:rsidR="0083456E" w:rsidRPr="009C5807" w:rsidRDefault="0083456E" w:rsidP="00E65BA1">
            <w:pPr>
              <w:pStyle w:val="TAH"/>
            </w:pPr>
            <w:r w:rsidRPr="009C5807">
              <w:t>dB</w:t>
            </w:r>
          </w:p>
        </w:tc>
        <w:tc>
          <w:tcPr>
            <w:tcW w:w="1055" w:type="dxa"/>
            <w:tcBorders>
              <w:top w:val="single" w:sz="6" w:space="0" w:color="auto"/>
              <w:left w:val="single" w:sz="6" w:space="0" w:color="auto"/>
              <w:right w:val="single" w:sz="6" w:space="0" w:color="auto"/>
            </w:tcBorders>
            <w:shd w:val="clear" w:color="auto" w:fill="auto"/>
            <w:vAlign w:val="center"/>
          </w:tcPr>
          <w:p w14:paraId="3F060E21" w14:textId="77777777" w:rsidR="0083456E" w:rsidRPr="009C5807" w:rsidRDefault="0083456E" w:rsidP="00E65BA1">
            <w:pPr>
              <w:pStyle w:val="TAH"/>
            </w:pPr>
            <w:r w:rsidRPr="009C5807">
              <w:t>dB</w:t>
            </w:r>
          </w:p>
        </w:tc>
        <w:tc>
          <w:tcPr>
            <w:tcW w:w="833" w:type="dxa"/>
            <w:tcBorders>
              <w:top w:val="single" w:sz="6" w:space="0" w:color="auto"/>
              <w:left w:val="single" w:sz="6" w:space="0" w:color="auto"/>
              <w:right w:val="single" w:sz="6" w:space="0" w:color="auto"/>
            </w:tcBorders>
            <w:shd w:val="clear" w:color="auto" w:fill="auto"/>
            <w:vAlign w:val="center"/>
          </w:tcPr>
          <w:p w14:paraId="6658E2F3" w14:textId="77777777" w:rsidR="0083456E" w:rsidRPr="009C5807" w:rsidRDefault="0083456E" w:rsidP="00E65BA1">
            <w:pPr>
              <w:pStyle w:val="TAH"/>
            </w:pPr>
            <w:r w:rsidRPr="009C5807">
              <w:t>dB</w:t>
            </w:r>
          </w:p>
        </w:tc>
        <w:tc>
          <w:tcPr>
            <w:tcW w:w="2530" w:type="dxa"/>
            <w:tcBorders>
              <w:top w:val="single" w:sz="6" w:space="0" w:color="auto"/>
              <w:left w:val="single" w:sz="6" w:space="0" w:color="auto"/>
              <w:right w:val="single" w:sz="4" w:space="0" w:color="auto"/>
            </w:tcBorders>
            <w:shd w:val="clear" w:color="auto" w:fill="auto"/>
            <w:vAlign w:val="center"/>
          </w:tcPr>
          <w:p w14:paraId="7B0771BF" w14:textId="77777777" w:rsidR="0083456E" w:rsidRPr="009C5807" w:rsidRDefault="0083456E" w:rsidP="00E65BA1">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67A394AF" w14:textId="77777777" w:rsidR="0083456E" w:rsidRPr="009C5807" w:rsidRDefault="0083456E"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098BF7C9" w14:textId="77777777" w:rsidR="0083456E" w:rsidRPr="009C5807" w:rsidRDefault="0083456E"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59AD974F" w14:textId="77777777" w:rsidR="0083456E" w:rsidRPr="009C5807" w:rsidRDefault="0083456E" w:rsidP="00E65BA1">
            <w:pPr>
              <w:pStyle w:val="TAH"/>
            </w:pPr>
            <w:r w:rsidRPr="009C5807">
              <w:t>dBm/BW</w:t>
            </w:r>
            <w:r w:rsidRPr="009C5807">
              <w:rPr>
                <w:vertAlign w:val="subscript"/>
              </w:rPr>
              <w:t>Channel</w:t>
            </w:r>
          </w:p>
        </w:tc>
      </w:tr>
      <w:tr w:rsidR="0083456E" w:rsidRPr="009C5807" w14:paraId="4E9CF28B" w14:textId="77777777" w:rsidTr="00E65BA1">
        <w:trPr>
          <w:trHeight w:val="307"/>
          <w:jc w:val="center"/>
        </w:trPr>
        <w:tc>
          <w:tcPr>
            <w:tcW w:w="1036" w:type="dxa"/>
            <w:tcBorders>
              <w:left w:val="single" w:sz="4" w:space="0" w:color="auto"/>
              <w:bottom w:val="single" w:sz="6" w:space="0" w:color="auto"/>
              <w:right w:val="single" w:sz="6" w:space="0" w:color="auto"/>
            </w:tcBorders>
            <w:shd w:val="clear" w:color="auto" w:fill="auto"/>
            <w:vAlign w:val="center"/>
          </w:tcPr>
          <w:p w14:paraId="5B589844" w14:textId="77777777" w:rsidR="0083456E" w:rsidRPr="009C5807" w:rsidRDefault="0083456E" w:rsidP="00E65BA1">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70D641A4" w14:textId="77777777" w:rsidR="0083456E" w:rsidRPr="009C5807" w:rsidRDefault="0083456E" w:rsidP="00E65BA1">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66A121B8" w14:textId="77777777" w:rsidR="0083456E" w:rsidRPr="009C5807" w:rsidRDefault="0083456E" w:rsidP="00E65BA1">
            <w:pPr>
              <w:pStyle w:val="TAH"/>
            </w:pPr>
          </w:p>
        </w:tc>
        <w:tc>
          <w:tcPr>
            <w:tcW w:w="2530" w:type="dxa"/>
            <w:tcBorders>
              <w:left w:val="single" w:sz="6" w:space="0" w:color="auto"/>
              <w:bottom w:val="single" w:sz="6" w:space="0" w:color="auto"/>
              <w:right w:val="single" w:sz="4" w:space="0" w:color="auto"/>
            </w:tcBorders>
            <w:shd w:val="clear" w:color="auto" w:fill="auto"/>
            <w:vAlign w:val="center"/>
          </w:tcPr>
          <w:p w14:paraId="4E977479" w14:textId="77777777" w:rsidR="0083456E" w:rsidRPr="009C5807" w:rsidRDefault="0083456E" w:rsidP="00E65BA1">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235C1DA0" w14:textId="77777777" w:rsidR="0083456E" w:rsidRPr="009C5807" w:rsidRDefault="0083456E" w:rsidP="00E65BA1">
            <w:pPr>
              <w:pStyle w:val="TAH"/>
              <w:rPr>
                <w:rFonts w:cs="Arial"/>
              </w:rPr>
            </w:pPr>
            <w:r w:rsidRPr="009C5807">
              <w:t>SCS</w:t>
            </w:r>
            <w:r w:rsidRPr="009C5807">
              <w:rPr>
                <w:vertAlign w:val="subscript"/>
              </w:rPr>
              <w:t>SSB</w:t>
            </w:r>
            <w:r w:rsidRPr="009C5807">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1FE94A89" w14:textId="77777777" w:rsidR="0083456E" w:rsidRPr="009C5807" w:rsidRDefault="0083456E"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53DD2137" w14:textId="77777777" w:rsidR="0083456E" w:rsidRPr="009C5807" w:rsidRDefault="0083456E" w:rsidP="00E65BA1">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655024B4" w14:textId="77777777" w:rsidR="0083456E" w:rsidRPr="009C5807" w:rsidRDefault="0083456E" w:rsidP="00E65BA1">
            <w:pPr>
              <w:pStyle w:val="TAH"/>
            </w:pPr>
          </w:p>
        </w:tc>
      </w:tr>
      <w:tr w:rsidR="00B72DB6" w:rsidRPr="009C5807" w14:paraId="5F74E045" w14:textId="77777777" w:rsidTr="00E65BA1">
        <w:trPr>
          <w:jc w:val="center"/>
        </w:trPr>
        <w:tc>
          <w:tcPr>
            <w:tcW w:w="1036" w:type="dxa"/>
            <w:tcBorders>
              <w:top w:val="single" w:sz="6" w:space="0" w:color="auto"/>
              <w:left w:val="single" w:sz="4" w:space="0" w:color="auto"/>
              <w:right w:val="single" w:sz="6" w:space="0" w:color="auto"/>
            </w:tcBorders>
            <w:shd w:val="clear" w:color="auto" w:fill="auto"/>
          </w:tcPr>
          <w:p w14:paraId="7611A093" w14:textId="2C98D1E8" w:rsidR="00B72DB6" w:rsidRPr="009C5807" w:rsidRDefault="00B72DB6" w:rsidP="00B72DB6">
            <w:pPr>
              <w:pStyle w:val="TAC"/>
            </w:pPr>
            <w:r w:rsidRPr="009C5807">
              <w:sym w:font="Symbol" w:char="F0B1"/>
            </w:r>
            <w:r>
              <w:t>[4.5]</w:t>
            </w:r>
          </w:p>
        </w:tc>
        <w:tc>
          <w:tcPr>
            <w:tcW w:w="1055" w:type="dxa"/>
            <w:tcBorders>
              <w:top w:val="single" w:sz="6" w:space="0" w:color="auto"/>
              <w:left w:val="single" w:sz="6" w:space="0" w:color="auto"/>
              <w:right w:val="single" w:sz="6" w:space="0" w:color="auto"/>
            </w:tcBorders>
            <w:shd w:val="clear" w:color="auto" w:fill="auto"/>
          </w:tcPr>
          <w:p w14:paraId="1D4A1EB1" w14:textId="7DB977DC" w:rsidR="00B72DB6" w:rsidRPr="009C5807" w:rsidRDefault="00B72DB6" w:rsidP="00B72DB6">
            <w:pPr>
              <w:pStyle w:val="TAC"/>
            </w:pPr>
            <w:r w:rsidRPr="009C5807">
              <w:sym w:font="Symbol" w:char="F0B1"/>
            </w:r>
            <w:r>
              <w:t>[6]</w:t>
            </w:r>
          </w:p>
        </w:tc>
        <w:tc>
          <w:tcPr>
            <w:tcW w:w="833" w:type="dxa"/>
            <w:tcBorders>
              <w:top w:val="single" w:sz="6" w:space="0" w:color="auto"/>
              <w:left w:val="single" w:sz="6" w:space="0" w:color="auto"/>
              <w:right w:val="single" w:sz="6" w:space="0" w:color="auto"/>
            </w:tcBorders>
            <w:shd w:val="clear" w:color="auto" w:fill="auto"/>
            <w:vAlign w:val="center"/>
          </w:tcPr>
          <w:p w14:paraId="3F88265F" w14:textId="2434F18D" w:rsidR="00B72DB6" w:rsidRPr="009C5807" w:rsidRDefault="00B72DB6" w:rsidP="00B72DB6">
            <w:pPr>
              <w:pStyle w:val="TAC"/>
            </w:pPr>
            <w:r w:rsidRPr="009C5807">
              <w:sym w:font="Symbol" w:char="F0B3"/>
            </w:r>
            <w:r w:rsidRPr="009C5807">
              <w:t>-</w:t>
            </w:r>
            <w:r w:rsidRPr="009C5807">
              <w:rPr>
                <w:lang w:eastAsia="zh-CN"/>
              </w:rPr>
              <w:t>6</w:t>
            </w: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6534DB95" w14:textId="51C63AE7" w:rsidR="00B72DB6" w:rsidRPr="009C5807" w:rsidRDefault="00B72DB6" w:rsidP="00B72DB6">
            <w:pPr>
              <w:pStyle w:val="TAC"/>
            </w:pPr>
            <w:r w:rsidRPr="009C5807">
              <w:t>NR_FDD</w:t>
            </w:r>
            <w:r w:rsidRPr="003646C5">
              <w:t>_</w:t>
            </w:r>
            <w:r>
              <w:t>SAB</w:t>
            </w:r>
            <w:r w:rsidRPr="009C5807">
              <w:t>_FR1_A</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37D8D180" w14:textId="77777777" w:rsidR="00B72DB6" w:rsidRPr="009C5807" w:rsidRDefault="00B72DB6" w:rsidP="00B72DB6">
            <w:pPr>
              <w:pStyle w:val="TAC"/>
            </w:pPr>
            <w:r w:rsidRPr="009C5807">
              <w:t>-121</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13E9E455" w14:textId="77777777" w:rsidR="00B72DB6" w:rsidRPr="009C5807" w:rsidRDefault="00B72DB6" w:rsidP="00B72DB6">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0EE959A3"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9208401" w14:textId="77777777" w:rsidR="00B72DB6" w:rsidRPr="009C5807" w:rsidRDefault="00B72DB6" w:rsidP="00B72DB6">
            <w:pPr>
              <w:pStyle w:val="TAC"/>
            </w:pPr>
            <w:r w:rsidRPr="009C5807">
              <w:t>-50</w:t>
            </w:r>
          </w:p>
        </w:tc>
      </w:tr>
      <w:tr w:rsidR="0083456E" w:rsidRPr="009C5807" w14:paraId="3A70D100"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21CCA2F7" w14:textId="77777777" w:rsidR="0083456E" w:rsidRPr="009C5807" w:rsidRDefault="0083456E" w:rsidP="00E65BA1">
            <w:pPr>
              <w:pStyle w:val="TAN"/>
            </w:pPr>
            <w:r w:rsidRPr="009C5807">
              <w:t>NOTE 1:</w:t>
            </w:r>
            <w:r w:rsidRPr="009C5807">
              <w:tab/>
              <w:t>Io is assumed to have constant EPRE across the bandwidth.</w:t>
            </w:r>
          </w:p>
          <w:p w14:paraId="4294A6C9" w14:textId="77777777" w:rsidR="0083456E" w:rsidRPr="009C5807" w:rsidRDefault="0083456E" w:rsidP="00E65BA1">
            <w:pPr>
              <w:pStyle w:val="TAN"/>
              <w:rPr>
                <w:lang w:eastAsia="zh-CN"/>
              </w:rPr>
            </w:pPr>
            <w:r w:rsidRPr="009C5807">
              <w:t>NOTE 2:</w:t>
            </w:r>
            <w:r w:rsidRPr="009C5807">
              <w:tab/>
            </w:r>
            <w:r w:rsidRPr="009C5807">
              <w:rPr>
                <w:lang w:eastAsia="zh-CN"/>
              </w:rPr>
              <w:t xml:space="preserve">The parameter </w:t>
            </w:r>
            <w:r w:rsidRPr="009C5807">
              <w:t>SSB Ês/Iot</w:t>
            </w:r>
            <w:r w:rsidRPr="009C5807">
              <w:rPr>
                <w:lang w:eastAsia="zh-CN"/>
              </w:rPr>
              <w:t xml:space="preserve"> is the minimum SSB </w:t>
            </w:r>
            <w:r w:rsidRPr="009C5807">
              <w:t>Ês/Iot</w:t>
            </w:r>
            <w:r w:rsidRPr="009C5807">
              <w:rPr>
                <w:lang w:eastAsia="zh-CN"/>
              </w:rPr>
              <w:t xml:space="preserve"> of the pair of cells to which the requirement applies.</w:t>
            </w:r>
          </w:p>
          <w:p w14:paraId="5BCF4AAE" w14:textId="77777777" w:rsidR="0083456E" w:rsidRPr="009C5807" w:rsidRDefault="0083456E" w:rsidP="00E65BA1">
            <w:pPr>
              <w:pStyle w:val="TAN"/>
            </w:pPr>
            <w:r w:rsidRPr="009C5807">
              <w:t>NOTE 3:</w:t>
            </w:r>
            <w:r w:rsidRPr="009C5807">
              <w:tab/>
              <w:t>NR operating band groups in FR1 are as defined in clause 3.5.2.</w:t>
            </w:r>
          </w:p>
        </w:tc>
      </w:tr>
    </w:tbl>
    <w:p w14:paraId="443C7BFF" w14:textId="77777777" w:rsidR="0083456E" w:rsidRPr="00B63FA2" w:rsidRDefault="0083456E" w:rsidP="00BE0199">
      <w:pPr>
        <w:rPr>
          <w:lang w:eastAsia="zh-CN"/>
        </w:rPr>
      </w:pPr>
    </w:p>
    <w:p w14:paraId="45C3C39A" w14:textId="1AAED58E" w:rsidR="001F5A79" w:rsidRPr="009C5807" w:rsidRDefault="001F5A79" w:rsidP="00967CF8">
      <w:pPr>
        <w:pStyle w:val="Heading3"/>
        <w:rPr>
          <w:lang w:val="en-US"/>
        </w:rPr>
      </w:pPr>
      <w:r w:rsidRPr="009C5807">
        <w:rPr>
          <w:lang w:val="en-US"/>
        </w:rPr>
        <w:t>1</w:t>
      </w:r>
      <w:r w:rsidR="00967CF8" w:rsidRPr="009C5807">
        <w:rPr>
          <w:lang w:val="en-US"/>
        </w:rPr>
        <w:t>0.1.5</w:t>
      </w:r>
      <w:r w:rsidRPr="009C5807">
        <w:rPr>
          <w:lang w:val="en-US"/>
        </w:rPr>
        <w:tab/>
        <w:t>Inter-frequency RSRP accuracy requirements for FR2</w:t>
      </w:r>
    </w:p>
    <w:p w14:paraId="0233B73A" w14:textId="19F8AF44" w:rsidR="001F5A79" w:rsidRPr="009C5807" w:rsidRDefault="001F5A79" w:rsidP="00967CF8">
      <w:pPr>
        <w:pStyle w:val="Heading4"/>
        <w:rPr>
          <w:lang w:val="en-US"/>
        </w:rPr>
      </w:pPr>
      <w:r w:rsidRPr="009C5807">
        <w:rPr>
          <w:lang w:val="en-US"/>
        </w:rPr>
        <w:t>1</w:t>
      </w:r>
      <w:r w:rsidR="00967CF8" w:rsidRPr="009C5807">
        <w:rPr>
          <w:lang w:val="en-US"/>
        </w:rPr>
        <w:t>0.1.5.1</w:t>
      </w:r>
      <w:r w:rsidRPr="009C5807">
        <w:rPr>
          <w:lang w:val="en-US"/>
        </w:rPr>
        <w:tab/>
        <w:t>Inter-frequency SS-RSRP accuracy requirements</w:t>
      </w:r>
    </w:p>
    <w:p w14:paraId="1508DC1A" w14:textId="1ED4D7DF" w:rsidR="001F5A79" w:rsidRPr="009C5807" w:rsidRDefault="001F5A79" w:rsidP="00967CF8">
      <w:pPr>
        <w:pStyle w:val="Heading5"/>
        <w:rPr>
          <w:lang w:val="en-US" w:eastAsia="zh-CN"/>
        </w:rPr>
      </w:pPr>
      <w:r w:rsidRPr="009C5807">
        <w:rPr>
          <w:lang w:val="en-US" w:eastAsia="zh-CN"/>
        </w:rPr>
        <w:t>1</w:t>
      </w:r>
      <w:r w:rsidR="00967CF8" w:rsidRPr="009C5807">
        <w:rPr>
          <w:lang w:val="en-US" w:eastAsia="zh-CN"/>
        </w:rPr>
        <w:t>0.1.5.1.1</w:t>
      </w:r>
      <w:r w:rsidRPr="009C5807">
        <w:rPr>
          <w:lang w:val="en-US" w:eastAsia="zh-CN"/>
        </w:rPr>
        <w:tab/>
        <w:t>Absolute SS-RSRP Accuracy</w:t>
      </w:r>
    </w:p>
    <w:p w14:paraId="0FF0957C" w14:textId="77777777" w:rsidR="001F5A79" w:rsidRPr="009C5807" w:rsidRDefault="001F5A79" w:rsidP="001F5A79">
      <w:pPr>
        <w:rPr>
          <w:rFonts w:cs="v4.2.0"/>
          <w:i/>
        </w:rPr>
      </w:pPr>
      <w:r w:rsidRPr="009C5807">
        <w:rPr>
          <w:rFonts w:cs="v4.2.0"/>
        </w:rPr>
        <w:t xml:space="preserve">Unless otherwise specified, the requirements for absolute accuracy of </w:t>
      </w:r>
      <w:r w:rsidRPr="009C5807">
        <w:rPr>
          <w:rFonts w:cs="v4.2.0"/>
          <w:lang w:eastAsia="zh-CN"/>
        </w:rPr>
        <w:t>SS-RSRP</w:t>
      </w:r>
      <w:r w:rsidRPr="009C5807">
        <w:rPr>
          <w:rFonts w:cs="v4.2.0"/>
        </w:rPr>
        <w:t xml:space="preserve"> in this clause apply to a cell on a frequency in FR2 that is on a different frequency than the serving cell.</w:t>
      </w:r>
    </w:p>
    <w:p w14:paraId="1BA37DD5"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10.1.5.1.1</w:t>
      </w:r>
      <w:r w:rsidRPr="009C5807">
        <w:rPr>
          <w:rFonts w:cs="v4.2.0"/>
        </w:rPr>
        <w:t>-1 are valid under the following conditions:</w:t>
      </w:r>
    </w:p>
    <w:p w14:paraId="6A1F084D" w14:textId="77777777" w:rsidR="001F5A79" w:rsidRPr="009C5807" w:rsidRDefault="001F5A79" w:rsidP="00EF1BE1">
      <w:pPr>
        <w:pStyle w:val="B10"/>
        <w:rPr>
          <w:lang w:eastAsia="zh-CN"/>
        </w:rPr>
      </w:pPr>
      <w:r w:rsidRPr="009C5807">
        <w:t>-</w:t>
      </w:r>
      <w:r w:rsidRPr="009C5807">
        <w:tab/>
        <w:t>Conditions defined in clause 7.3 of TS</w:t>
      </w:r>
      <w:r w:rsidRPr="009C5807">
        <w:rPr>
          <w:rFonts w:ascii="MS Gothic" w:eastAsia="MS Gothic" w:hAnsi="MS Gothic"/>
          <w:lang w:val="en-US" w:eastAsia="ko-KR"/>
        </w:rPr>
        <w:t> </w:t>
      </w:r>
      <w:r w:rsidRPr="009C5807">
        <w:t>38.101-2 [19] for reference sensitivity are fulfilled.</w:t>
      </w:r>
    </w:p>
    <w:p w14:paraId="438E6D74" w14:textId="77777777" w:rsidR="001F5A79" w:rsidRPr="009C5807" w:rsidRDefault="001F5A79" w:rsidP="00EF1BE1">
      <w:pPr>
        <w:pStyle w:val="B10"/>
        <w:rPr>
          <w:lang w:eastAsia="zh-CN"/>
        </w:rPr>
      </w:pPr>
      <w:r w:rsidRPr="009C5807">
        <w:t>-</w:t>
      </w:r>
      <w:r w:rsidRPr="009C5807">
        <w:tab/>
        <w:t>Conditions for inter-frequency measurements are fulfilled according to Annex B.2.3 for a corresponding Band</w:t>
      </w:r>
      <w:r w:rsidRPr="009C5807">
        <w:rPr>
          <w:rFonts w:cs="v4.2.0"/>
          <w:lang w:eastAsia="ko-KR"/>
        </w:rPr>
        <w:t xml:space="preserve"> for each relevant SSB</w:t>
      </w:r>
      <w:r w:rsidRPr="009C5807">
        <w:t>.</w:t>
      </w:r>
    </w:p>
    <w:p w14:paraId="4A09E22B" w14:textId="77777777" w:rsidR="001F5A79" w:rsidRPr="009C5807" w:rsidRDefault="001F5A79" w:rsidP="00EF1BE1">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78365C17" w14:textId="77777777" w:rsidR="001F5A79" w:rsidRPr="009C5807" w:rsidRDefault="001F5A79" w:rsidP="001F5A79">
      <w:pPr>
        <w:keepNext/>
        <w:keepLines/>
        <w:spacing w:before="60"/>
        <w:jc w:val="center"/>
      </w:pPr>
      <w:r w:rsidRPr="009C5807">
        <w:rPr>
          <w:rFonts w:ascii="Arial" w:hAnsi="Arial"/>
          <w:b/>
        </w:rPr>
        <w:t xml:space="preserve">Table </w:t>
      </w:r>
      <w:r w:rsidRPr="009C5807">
        <w:rPr>
          <w:rFonts w:ascii="Arial" w:hAnsi="Arial"/>
          <w:b/>
          <w:lang w:eastAsia="zh-CN"/>
        </w:rPr>
        <w:t>10.1.5.1.1-1</w:t>
      </w:r>
      <w:r w:rsidRPr="009C5807">
        <w:rPr>
          <w:rFonts w:ascii="Arial" w:hAnsi="Arial"/>
          <w:b/>
        </w:rPr>
        <w:t xml:space="preserve">: </w:t>
      </w:r>
      <w:r w:rsidRPr="009C5807">
        <w:rPr>
          <w:rFonts w:ascii="Arial" w:hAnsi="Arial"/>
          <w:b/>
          <w:lang w:eastAsia="zh-CN"/>
        </w:rPr>
        <w:t>SS-RSRP</w:t>
      </w:r>
      <w:r w:rsidRPr="009C5807">
        <w:rPr>
          <w:rFonts w:ascii="Arial" w:hAnsi="Arial"/>
          <w:b/>
        </w:rPr>
        <w:t xml:space="preserve"> Inter frequency absolute accuracy</w:t>
      </w:r>
      <w:r w:rsidRPr="009C5807">
        <w:rPr>
          <w:rFonts w:ascii="Arial" w:hAnsi="Arial"/>
          <w:b/>
          <w:lang w:eastAsia="zh-CN"/>
        </w:rPr>
        <w:t xml:space="preserve"> in FR2</w:t>
      </w:r>
    </w:p>
    <w:tbl>
      <w:tblPr>
        <w:tblW w:w="8720" w:type="dxa"/>
        <w:jc w:val="center"/>
        <w:tblLook w:val="01E0" w:firstRow="1" w:lastRow="1" w:firstColumn="1" w:lastColumn="1" w:noHBand="0" w:noVBand="0"/>
      </w:tblPr>
      <w:tblGrid>
        <w:gridCol w:w="1111"/>
        <w:gridCol w:w="1110"/>
        <w:gridCol w:w="1110"/>
        <w:gridCol w:w="1116"/>
        <w:gridCol w:w="1116"/>
        <w:gridCol w:w="1578"/>
        <w:gridCol w:w="1579"/>
      </w:tblGrid>
      <w:tr w:rsidR="001F5A79" w:rsidRPr="009C5807" w14:paraId="3A831D6E" w14:textId="77777777" w:rsidTr="00DF3064">
        <w:trPr>
          <w:jc w:val="center"/>
        </w:trPr>
        <w:tc>
          <w:tcPr>
            <w:tcW w:w="2221" w:type="dxa"/>
            <w:gridSpan w:val="2"/>
            <w:tcBorders>
              <w:top w:val="single" w:sz="6" w:space="0" w:color="auto"/>
              <w:left w:val="single" w:sz="4" w:space="0" w:color="auto"/>
              <w:right w:val="single" w:sz="6" w:space="0" w:color="auto"/>
            </w:tcBorders>
            <w:shd w:val="clear" w:color="auto" w:fill="auto"/>
            <w:vAlign w:val="center"/>
          </w:tcPr>
          <w:p w14:paraId="5877E1B4" w14:textId="77777777" w:rsidR="001F5A79" w:rsidRPr="009C5807" w:rsidRDefault="001F5A79" w:rsidP="008B5C3E">
            <w:pPr>
              <w:pStyle w:val="TAH"/>
            </w:pPr>
            <w:r w:rsidRPr="009C5807">
              <w:t>Accuracy</w:t>
            </w:r>
          </w:p>
        </w:tc>
        <w:tc>
          <w:tcPr>
            <w:tcW w:w="6499" w:type="dxa"/>
            <w:gridSpan w:val="5"/>
            <w:tcBorders>
              <w:top w:val="single" w:sz="4" w:space="0" w:color="auto"/>
              <w:left w:val="single" w:sz="4" w:space="0" w:color="auto"/>
              <w:right w:val="single" w:sz="4" w:space="0" w:color="auto"/>
            </w:tcBorders>
            <w:vAlign w:val="center"/>
          </w:tcPr>
          <w:p w14:paraId="0A1AA045" w14:textId="77777777" w:rsidR="001F5A79" w:rsidRPr="009C5807" w:rsidRDefault="001F5A79" w:rsidP="008B5C3E">
            <w:pPr>
              <w:pStyle w:val="TAH"/>
            </w:pPr>
            <w:r w:rsidRPr="009C5807">
              <w:t>Conditions</w:t>
            </w:r>
          </w:p>
        </w:tc>
      </w:tr>
      <w:tr w:rsidR="001F5A79" w:rsidRPr="009C5807" w14:paraId="139AAF10" w14:textId="77777777" w:rsidTr="00DF3064">
        <w:trPr>
          <w:jc w:val="center"/>
        </w:trPr>
        <w:tc>
          <w:tcPr>
            <w:tcW w:w="1111" w:type="dxa"/>
            <w:tcBorders>
              <w:top w:val="single" w:sz="6" w:space="0" w:color="auto"/>
              <w:left w:val="single" w:sz="4" w:space="0" w:color="auto"/>
              <w:right w:val="single" w:sz="6" w:space="0" w:color="auto"/>
            </w:tcBorders>
            <w:shd w:val="clear" w:color="auto" w:fill="auto"/>
            <w:vAlign w:val="center"/>
          </w:tcPr>
          <w:p w14:paraId="530CDECD" w14:textId="77777777" w:rsidR="001F5A79" w:rsidRPr="009C5807" w:rsidRDefault="001F5A79" w:rsidP="008B5C3E">
            <w:pPr>
              <w:pStyle w:val="TAH"/>
            </w:pPr>
            <w:r w:rsidRPr="009C5807">
              <w:t>Normal condition</w:t>
            </w:r>
          </w:p>
        </w:tc>
        <w:tc>
          <w:tcPr>
            <w:tcW w:w="1110" w:type="dxa"/>
            <w:tcBorders>
              <w:top w:val="single" w:sz="6" w:space="0" w:color="auto"/>
              <w:left w:val="single" w:sz="6" w:space="0" w:color="auto"/>
              <w:right w:val="single" w:sz="6" w:space="0" w:color="auto"/>
            </w:tcBorders>
            <w:shd w:val="clear" w:color="auto" w:fill="auto"/>
            <w:vAlign w:val="center"/>
          </w:tcPr>
          <w:p w14:paraId="2FCC3025" w14:textId="77777777" w:rsidR="001F5A79" w:rsidRPr="009C5807" w:rsidRDefault="001F5A79" w:rsidP="008B5C3E">
            <w:pPr>
              <w:pStyle w:val="TAH"/>
            </w:pPr>
            <w:r w:rsidRPr="009C5807">
              <w:t>Extreme condition</w:t>
            </w:r>
          </w:p>
        </w:tc>
        <w:tc>
          <w:tcPr>
            <w:tcW w:w="1110" w:type="dxa"/>
            <w:tcBorders>
              <w:top w:val="single" w:sz="4" w:space="0" w:color="auto"/>
              <w:left w:val="single" w:sz="4" w:space="0" w:color="auto"/>
              <w:right w:val="single" w:sz="4" w:space="0" w:color="auto"/>
            </w:tcBorders>
          </w:tcPr>
          <w:p w14:paraId="475FD4D5" w14:textId="77777777" w:rsidR="001F5A79" w:rsidRPr="009C5807" w:rsidRDefault="001F5A79" w:rsidP="008B5C3E">
            <w:pPr>
              <w:pStyle w:val="TAH"/>
            </w:pPr>
            <w:r w:rsidRPr="009C5807">
              <w:rPr>
                <w:rFonts w:cs="Arial"/>
              </w:rPr>
              <w:t>SSB Ês/Iot</w:t>
            </w:r>
          </w:p>
        </w:tc>
        <w:tc>
          <w:tcPr>
            <w:tcW w:w="5389" w:type="dxa"/>
            <w:gridSpan w:val="4"/>
            <w:tcBorders>
              <w:top w:val="single" w:sz="4" w:space="0" w:color="auto"/>
              <w:left w:val="single" w:sz="4" w:space="0" w:color="auto"/>
              <w:bottom w:val="single" w:sz="6" w:space="0" w:color="auto"/>
              <w:right w:val="single" w:sz="4" w:space="0" w:color="auto"/>
            </w:tcBorders>
            <w:shd w:val="clear" w:color="auto" w:fill="auto"/>
            <w:vAlign w:val="center"/>
          </w:tcPr>
          <w:p w14:paraId="4274BD9B" w14:textId="77777777" w:rsidR="001F5A79" w:rsidRPr="009C5807" w:rsidRDefault="001F5A79" w:rsidP="008B5C3E">
            <w:pPr>
              <w:pStyle w:val="TAH"/>
            </w:pPr>
            <w:r w:rsidRPr="009C5807">
              <w:t>Io</w:t>
            </w:r>
            <w:r w:rsidRPr="009C5807">
              <w:rPr>
                <w:vertAlign w:val="superscript"/>
              </w:rPr>
              <w:t xml:space="preserve"> Note 2</w:t>
            </w:r>
            <w:r w:rsidRPr="009C5807">
              <w:t xml:space="preserve"> range</w:t>
            </w:r>
          </w:p>
        </w:tc>
      </w:tr>
      <w:tr w:rsidR="001F5A79" w:rsidRPr="009C5807" w14:paraId="791F43EA" w14:textId="77777777" w:rsidTr="00DF3064">
        <w:trPr>
          <w:jc w:val="center"/>
        </w:trPr>
        <w:tc>
          <w:tcPr>
            <w:tcW w:w="1111" w:type="dxa"/>
            <w:tcBorders>
              <w:left w:val="single" w:sz="4" w:space="0" w:color="auto"/>
              <w:bottom w:val="single" w:sz="6" w:space="0" w:color="auto"/>
              <w:right w:val="single" w:sz="6" w:space="0" w:color="auto"/>
            </w:tcBorders>
            <w:shd w:val="clear" w:color="auto" w:fill="auto"/>
            <w:vAlign w:val="center"/>
          </w:tcPr>
          <w:p w14:paraId="303AC4CB" w14:textId="77777777" w:rsidR="001F5A79" w:rsidRPr="009C5807" w:rsidRDefault="001F5A79" w:rsidP="008B5C3E">
            <w:pPr>
              <w:pStyle w:val="TAH"/>
            </w:pPr>
          </w:p>
        </w:tc>
        <w:tc>
          <w:tcPr>
            <w:tcW w:w="1110" w:type="dxa"/>
            <w:tcBorders>
              <w:left w:val="single" w:sz="6" w:space="0" w:color="auto"/>
              <w:bottom w:val="single" w:sz="6" w:space="0" w:color="auto"/>
              <w:right w:val="single" w:sz="6" w:space="0" w:color="auto"/>
            </w:tcBorders>
            <w:shd w:val="clear" w:color="auto" w:fill="auto"/>
            <w:vAlign w:val="center"/>
          </w:tcPr>
          <w:p w14:paraId="599C5A44" w14:textId="77777777" w:rsidR="001F5A79" w:rsidRPr="009C5807" w:rsidRDefault="001F5A79" w:rsidP="008B5C3E">
            <w:pPr>
              <w:pStyle w:val="TAH"/>
            </w:pPr>
          </w:p>
        </w:tc>
        <w:tc>
          <w:tcPr>
            <w:tcW w:w="1110" w:type="dxa"/>
            <w:tcBorders>
              <w:left w:val="single" w:sz="4" w:space="0" w:color="auto"/>
              <w:bottom w:val="single" w:sz="6" w:space="0" w:color="auto"/>
              <w:right w:val="single" w:sz="4" w:space="0" w:color="auto"/>
            </w:tcBorders>
            <w:vAlign w:val="center"/>
          </w:tcPr>
          <w:p w14:paraId="5E3FB739" w14:textId="77777777" w:rsidR="001F5A79" w:rsidRPr="009C5807" w:rsidRDefault="001F5A79" w:rsidP="008B5C3E">
            <w:pPr>
              <w:pStyle w:val="TAH"/>
            </w:pPr>
          </w:p>
        </w:tc>
        <w:tc>
          <w:tcPr>
            <w:tcW w:w="381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4D64DB59" w14:textId="77777777" w:rsidR="001F5A79" w:rsidRPr="009C5807" w:rsidRDefault="001F5A79" w:rsidP="008B5C3E">
            <w:pPr>
              <w:pStyle w:val="TAH"/>
            </w:pPr>
            <w:r w:rsidRPr="009C5807">
              <w:t>Minimum Io</w:t>
            </w:r>
          </w:p>
        </w:tc>
        <w:tc>
          <w:tcPr>
            <w:tcW w:w="1579" w:type="dxa"/>
            <w:tcBorders>
              <w:top w:val="single" w:sz="4" w:space="0" w:color="auto"/>
              <w:left w:val="single" w:sz="6" w:space="0" w:color="auto"/>
              <w:bottom w:val="single" w:sz="6" w:space="0" w:color="auto"/>
              <w:right w:val="single" w:sz="4" w:space="0" w:color="auto"/>
            </w:tcBorders>
            <w:shd w:val="clear" w:color="auto" w:fill="auto"/>
            <w:vAlign w:val="center"/>
          </w:tcPr>
          <w:p w14:paraId="313FD6C6" w14:textId="77777777" w:rsidR="001F5A79" w:rsidRPr="009C5807" w:rsidRDefault="001F5A79" w:rsidP="008B5C3E">
            <w:pPr>
              <w:pStyle w:val="TAH"/>
            </w:pPr>
            <w:r w:rsidRPr="009C5807">
              <w:t>Maximum Io</w:t>
            </w:r>
          </w:p>
        </w:tc>
      </w:tr>
      <w:tr w:rsidR="001F5A79" w:rsidRPr="009C5807" w14:paraId="7509E169" w14:textId="77777777" w:rsidTr="00DF3064">
        <w:trPr>
          <w:jc w:val="center"/>
        </w:trPr>
        <w:tc>
          <w:tcPr>
            <w:tcW w:w="1111" w:type="dxa"/>
            <w:tcBorders>
              <w:top w:val="single" w:sz="6" w:space="0" w:color="auto"/>
              <w:left w:val="single" w:sz="4" w:space="0" w:color="auto"/>
              <w:right w:val="single" w:sz="6" w:space="0" w:color="auto"/>
            </w:tcBorders>
            <w:shd w:val="clear" w:color="auto" w:fill="auto"/>
            <w:vAlign w:val="center"/>
          </w:tcPr>
          <w:p w14:paraId="3F7D6DFB" w14:textId="77777777" w:rsidR="001F5A79" w:rsidRPr="009C5807" w:rsidRDefault="001F5A79" w:rsidP="008B5C3E">
            <w:pPr>
              <w:pStyle w:val="TAH"/>
            </w:pPr>
            <w:r w:rsidRPr="009C5807">
              <w:t>dB</w:t>
            </w:r>
          </w:p>
        </w:tc>
        <w:tc>
          <w:tcPr>
            <w:tcW w:w="1110" w:type="dxa"/>
            <w:tcBorders>
              <w:top w:val="single" w:sz="6" w:space="0" w:color="auto"/>
              <w:left w:val="single" w:sz="6" w:space="0" w:color="auto"/>
              <w:right w:val="single" w:sz="6" w:space="0" w:color="auto"/>
            </w:tcBorders>
            <w:shd w:val="clear" w:color="auto" w:fill="auto"/>
            <w:vAlign w:val="center"/>
          </w:tcPr>
          <w:p w14:paraId="49F10755" w14:textId="77777777" w:rsidR="001F5A79" w:rsidRPr="009C5807" w:rsidRDefault="001F5A79" w:rsidP="008B5C3E">
            <w:pPr>
              <w:pStyle w:val="TAH"/>
            </w:pPr>
            <w:r w:rsidRPr="009C5807">
              <w:t>dB</w:t>
            </w:r>
          </w:p>
        </w:tc>
        <w:tc>
          <w:tcPr>
            <w:tcW w:w="1110" w:type="dxa"/>
            <w:tcBorders>
              <w:top w:val="single" w:sz="6" w:space="0" w:color="auto"/>
              <w:left w:val="single" w:sz="4" w:space="0" w:color="auto"/>
              <w:right w:val="single" w:sz="4" w:space="0" w:color="auto"/>
            </w:tcBorders>
            <w:vAlign w:val="center"/>
          </w:tcPr>
          <w:p w14:paraId="3EB316DB" w14:textId="77777777" w:rsidR="001F5A79" w:rsidRPr="009C5807" w:rsidRDefault="001F5A79" w:rsidP="008B5C3E">
            <w:pPr>
              <w:pStyle w:val="TAH"/>
              <w:rPr>
                <w:rFonts w:cs="Arial"/>
              </w:rPr>
            </w:pPr>
            <w:r w:rsidRPr="009C5807">
              <w:t>dB</w:t>
            </w:r>
          </w:p>
        </w:tc>
        <w:tc>
          <w:tcPr>
            <w:tcW w:w="2232"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77809444" w14:textId="77777777" w:rsidR="001F5A79" w:rsidRPr="009C5807" w:rsidRDefault="001F5A79" w:rsidP="008B5C3E">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1578" w:type="dxa"/>
            <w:tcBorders>
              <w:top w:val="single" w:sz="6" w:space="0" w:color="auto"/>
              <w:left w:val="single" w:sz="6" w:space="0" w:color="auto"/>
              <w:right w:val="single" w:sz="6" w:space="0" w:color="auto"/>
            </w:tcBorders>
            <w:shd w:val="clear" w:color="auto" w:fill="auto"/>
            <w:vAlign w:val="center"/>
          </w:tcPr>
          <w:p w14:paraId="1AC4E433" w14:textId="77777777" w:rsidR="001F5A79" w:rsidRPr="009C5807" w:rsidRDefault="001F5A79" w:rsidP="008B5C3E">
            <w:pPr>
              <w:pStyle w:val="TAH"/>
            </w:pPr>
            <w:r w:rsidRPr="009C5807">
              <w:t>dBm/BW</w:t>
            </w:r>
            <w:r w:rsidRPr="009C5807">
              <w:rPr>
                <w:vertAlign w:val="subscript"/>
              </w:rPr>
              <w:t>Channel</w:t>
            </w:r>
          </w:p>
        </w:tc>
        <w:tc>
          <w:tcPr>
            <w:tcW w:w="1579" w:type="dxa"/>
            <w:tcBorders>
              <w:top w:val="single" w:sz="6" w:space="0" w:color="auto"/>
              <w:left w:val="single" w:sz="6" w:space="0" w:color="auto"/>
              <w:right w:val="single" w:sz="4" w:space="0" w:color="auto"/>
            </w:tcBorders>
            <w:shd w:val="clear" w:color="auto" w:fill="auto"/>
            <w:vAlign w:val="center"/>
          </w:tcPr>
          <w:p w14:paraId="0E7336CC" w14:textId="77777777" w:rsidR="001F5A79" w:rsidRPr="009C5807" w:rsidRDefault="001F5A79" w:rsidP="008B5C3E">
            <w:pPr>
              <w:pStyle w:val="TAH"/>
            </w:pPr>
            <w:r w:rsidRPr="009C5807">
              <w:t>dBm/BW</w:t>
            </w:r>
            <w:r w:rsidRPr="009C5807">
              <w:rPr>
                <w:vertAlign w:val="subscript"/>
              </w:rPr>
              <w:t>Channel</w:t>
            </w:r>
          </w:p>
        </w:tc>
      </w:tr>
      <w:tr w:rsidR="001F5A79" w:rsidRPr="009C5807" w14:paraId="62FE2DC7" w14:textId="77777777" w:rsidTr="00DF3064">
        <w:trPr>
          <w:jc w:val="center"/>
        </w:trPr>
        <w:tc>
          <w:tcPr>
            <w:tcW w:w="1111" w:type="dxa"/>
            <w:tcBorders>
              <w:left w:val="single" w:sz="4" w:space="0" w:color="auto"/>
              <w:bottom w:val="single" w:sz="6" w:space="0" w:color="auto"/>
              <w:right w:val="single" w:sz="6" w:space="0" w:color="auto"/>
            </w:tcBorders>
            <w:shd w:val="clear" w:color="auto" w:fill="auto"/>
            <w:vAlign w:val="center"/>
          </w:tcPr>
          <w:p w14:paraId="171966EB" w14:textId="77777777" w:rsidR="001F5A79" w:rsidRPr="009C5807" w:rsidRDefault="001F5A79" w:rsidP="008B5C3E">
            <w:pPr>
              <w:pStyle w:val="TAH"/>
            </w:pPr>
          </w:p>
        </w:tc>
        <w:tc>
          <w:tcPr>
            <w:tcW w:w="1110" w:type="dxa"/>
            <w:tcBorders>
              <w:left w:val="single" w:sz="6" w:space="0" w:color="auto"/>
              <w:bottom w:val="single" w:sz="6" w:space="0" w:color="auto"/>
              <w:right w:val="single" w:sz="6" w:space="0" w:color="auto"/>
            </w:tcBorders>
            <w:shd w:val="clear" w:color="auto" w:fill="auto"/>
            <w:vAlign w:val="center"/>
          </w:tcPr>
          <w:p w14:paraId="448DFCE5" w14:textId="77777777" w:rsidR="001F5A79" w:rsidRPr="009C5807" w:rsidRDefault="001F5A79" w:rsidP="008B5C3E">
            <w:pPr>
              <w:pStyle w:val="TAH"/>
            </w:pPr>
          </w:p>
        </w:tc>
        <w:tc>
          <w:tcPr>
            <w:tcW w:w="1110" w:type="dxa"/>
            <w:tcBorders>
              <w:left w:val="single" w:sz="4" w:space="0" w:color="auto"/>
              <w:bottom w:val="single" w:sz="6" w:space="0" w:color="auto"/>
              <w:right w:val="single" w:sz="4" w:space="0" w:color="auto"/>
            </w:tcBorders>
          </w:tcPr>
          <w:p w14:paraId="162BA786" w14:textId="77777777" w:rsidR="001F5A79" w:rsidRPr="009C5807" w:rsidRDefault="001F5A79" w:rsidP="008B5C3E">
            <w:pPr>
              <w:pStyle w:val="TAH"/>
            </w:pPr>
          </w:p>
        </w:tc>
        <w:tc>
          <w:tcPr>
            <w:tcW w:w="1116" w:type="dxa"/>
            <w:tcBorders>
              <w:top w:val="single" w:sz="6" w:space="0" w:color="auto"/>
              <w:left w:val="single" w:sz="4" w:space="0" w:color="auto"/>
              <w:bottom w:val="single" w:sz="6" w:space="0" w:color="auto"/>
              <w:right w:val="single" w:sz="6" w:space="0" w:color="auto"/>
            </w:tcBorders>
            <w:shd w:val="clear" w:color="auto" w:fill="auto"/>
            <w:vAlign w:val="center"/>
          </w:tcPr>
          <w:p w14:paraId="23C67A5A" w14:textId="77777777" w:rsidR="001F5A79" w:rsidRPr="009C5807" w:rsidRDefault="001F5A79" w:rsidP="008B5C3E">
            <w:pPr>
              <w:pStyle w:val="TAH"/>
            </w:pPr>
            <w:r w:rsidRPr="009C5807">
              <w:t>SCS</w:t>
            </w:r>
            <w:r w:rsidRPr="009C5807">
              <w:rPr>
                <w:vertAlign w:val="subscript"/>
              </w:rPr>
              <w:t>SSB</w:t>
            </w:r>
            <w:r w:rsidRPr="009C5807">
              <w:rPr>
                <w:rFonts w:cs="Arial"/>
              </w:rPr>
              <w:t xml:space="preserve"> = 120kHz</w:t>
            </w:r>
          </w:p>
        </w:tc>
        <w:tc>
          <w:tcPr>
            <w:tcW w:w="1116" w:type="dxa"/>
            <w:tcBorders>
              <w:top w:val="single" w:sz="6" w:space="0" w:color="auto"/>
              <w:left w:val="single" w:sz="4" w:space="0" w:color="auto"/>
              <w:bottom w:val="single" w:sz="6" w:space="0" w:color="auto"/>
              <w:right w:val="single" w:sz="6" w:space="0" w:color="auto"/>
            </w:tcBorders>
            <w:shd w:val="clear" w:color="auto" w:fill="auto"/>
            <w:vAlign w:val="center"/>
          </w:tcPr>
          <w:p w14:paraId="10508ACB" w14:textId="77777777" w:rsidR="001F5A79" w:rsidRPr="009C5807" w:rsidRDefault="001F5A79" w:rsidP="008B5C3E">
            <w:pPr>
              <w:pStyle w:val="TAH"/>
            </w:pPr>
            <w:r w:rsidRPr="009C5807">
              <w:t>SCS</w:t>
            </w:r>
            <w:r w:rsidRPr="009C5807">
              <w:rPr>
                <w:vertAlign w:val="subscript"/>
              </w:rPr>
              <w:t>SSB</w:t>
            </w:r>
            <w:r w:rsidRPr="009C5807">
              <w:rPr>
                <w:rFonts w:cs="Arial"/>
              </w:rPr>
              <w:t xml:space="preserve"> = 240kHz</w:t>
            </w:r>
          </w:p>
        </w:tc>
        <w:tc>
          <w:tcPr>
            <w:tcW w:w="1578" w:type="dxa"/>
            <w:tcBorders>
              <w:left w:val="single" w:sz="6" w:space="0" w:color="auto"/>
              <w:bottom w:val="single" w:sz="6" w:space="0" w:color="auto"/>
              <w:right w:val="single" w:sz="6" w:space="0" w:color="auto"/>
            </w:tcBorders>
            <w:shd w:val="clear" w:color="auto" w:fill="auto"/>
            <w:vAlign w:val="center"/>
          </w:tcPr>
          <w:p w14:paraId="7CE934C8" w14:textId="77777777" w:rsidR="001F5A79" w:rsidRPr="009C5807" w:rsidRDefault="001F5A79" w:rsidP="008B5C3E">
            <w:pPr>
              <w:pStyle w:val="TAH"/>
            </w:pPr>
          </w:p>
        </w:tc>
        <w:tc>
          <w:tcPr>
            <w:tcW w:w="1579" w:type="dxa"/>
            <w:tcBorders>
              <w:left w:val="single" w:sz="6" w:space="0" w:color="auto"/>
              <w:bottom w:val="single" w:sz="6" w:space="0" w:color="auto"/>
              <w:right w:val="single" w:sz="4" w:space="0" w:color="auto"/>
            </w:tcBorders>
            <w:shd w:val="clear" w:color="auto" w:fill="auto"/>
            <w:vAlign w:val="center"/>
          </w:tcPr>
          <w:p w14:paraId="199ACEDA" w14:textId="77777777" w:rsidR="001F5A79" w:rsidRPr="009C5807" w:rsidRDefault="001F5A79" w:rsidP="008B5C3E">
            <w:pPr>
              <w:pStyle w:val="TAH"/>
            </w:pPr>
          </w:p>
        </w:tc>
      </w:tr>
      <w:tr w:rsidR="008356AB" w:rsidRPr="009C5807" w14:paraId="53696E97" w14:textId="77777777" w:rsidTr="00DF3064">
        <w:trPr>
          <w:jc w:val="center"/>
        </w:trPr>
        <w:tc>
          <w:tcPr>
            <w:tcW w:w="1111" w:type="dxa"/>
            <w:tcBorders>
              <w:top w:val="single" w:sz="6" w:space="0" w:color="auto"/>
              <w:left w:val="single" w:sz="4" w:space="0" w:color="auto"/>
              <w:right w:val="single" w:sz="6" w:space="0" w:color="auto"/>
            </w:tcBorders>
            <w:shd w:val="clear" w:color="auto" w:fill="auto"/>
            <w:vAlign w:val="center"/>
          </w:tcPr>
          <w:p w14:paraId="4C2F080E" w14:textId="79E0F041" w:rsidR="008356AB" w:rsidRPr="009C5807" w:rsidRDefault="008356AB" w:rsidP="008B5C3E">
            <w:pPr>
              <w:pStyle w:val="TAC"/>
            </w:pPr>
            <w:r w:rsidRPr="009C5807">
              <w:sym w:font="Symbol" w:char="F0B1"/>
            </w:r>
            <w:r w:rsidRPr="009C5807">
              <w:t>6</w:t>
            </w:r>
          </w:p>
        </w:tc>
        <w:tc>
          <w:tcPr>
            <w:tcW w:w="1110" w:type="dxa"/>
            <w:tcBorders>
              <w:top w:val="single" w:sz="6" w:space="0" w:color="auto"/>
              <w:left w:val="single" w:sz="6" w:space="0" w:color="auto"/>
              <w:right w:val="single" w:sz="6" w:space="0" w:color="auto"/>
            </w:tcBorders>
            <w:shd w:val="clear" w:color="auto" w:fill="auto"/>
            <w:vAlign w:val="center"/>
          </w:tcPr>
          <w:p w14:paraId="4354D5FB" w14:textId="21836821" w:rsidR="008356AB" w:rsidRPr="009C5807" w:rsidRDefault="008356AB" w:rsidP="008B5C3E">
            <w:pPr>
              <w:pStyle w:val="TAC"/>
            </w:pPr>
            <w:r w:rsidRPr="009C5807">
              <w:sym w:font="Symbol" w:char="F0B1"/>
            </w:r>
            <w:r w:rsidRPr="009C5807">
              <w:t>9</w:t>
            </w:r>
          </w:p>
        </w:tc>
        <w:tc>
          <w:tcPr>
            <w:tcW w:w="1110" w:type="dxa"/>
            <w:tcBorders>
              <w:top w:val="single" w:sz="6" w:space="0" w:color="auto"/>
              <w:left w:val="single" w:sz="4" w:space="0" w:color="auto"/>
              <w:right w:val="single" w:sz="4" w:space="0" w:color="auto"/>
            </w:tcBorders>
            <w:vAlign w:val="center"/>
          </w:tcPr>
          <w:p w14:paraId="28A1D04F" w14:textId="77777777" w:rsidR="008356AB" w:rsidRPr="009C5807" w:rsidRDefault="008356AB" w:rsidP="008B5C3E">
            <w:pPr>
              <w:pStyle w:val="TAC"/>
            </w:pPr>
            <w:r w:rsidRPr="009C5807">
              <w:rPr>
                <w:rFonts w:eastAsia="Yu Mincho" w:cs="Arial"/>
                <w:lang w:eastAsia="ja-JP"/>
              </w:rPr>
              <w:t>≥-4</w:t>
            </w:r>
          </w:p>
        </w:tc>
        <w:tc>
          <w:tcPr>
            <w:tcW w:w="2232"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62C11D2C" w14:textId="77777777" w:rsidR="008356AB" w:rsidRPr="009C5807" w:rsidRDefault="008356AB" w:rsidP="008B5C3E">
            <w:pPr>
              <w:pStyle w:val="TAC"/>
              <w:rPr>
                <w:rFonts w:eastAsia="Yu Mincho"/>
                <w:lang w:eastAsia="ja-JP"/>
              </w:rPr>
            </w:pPr>
            <w:r w:rsidRPr="009C5807">
              <w:t>Same value as SSB_RP in Table B.2.3-2, according to UE Power class, operating band and angle of arrival</w:t>
            </w:r>
          </w:p>
        </w:tc>
        <w:tc>
          <w:tcPr>
            <w:tcW w:w="1578" w:type="dxa"/>
            <w:tcBorders>
              <w:top w:val="single" w:sz="6" w:space="0" w:color="auto"/>
              <w:left w:val="single" w:sz="6" w:space="0" w:color="auto"/>
              <w:bottom w:val="single" w:sz="6" w:space="0" w:color="auto"/>
              <w:right w:val="single" w:sz="6" w:space="0" w:color="auto"/>
            </w:tcBorders>
            <w:shd w:val="clear" w:color="auto" w:fill="auto"/>
            <w:vAlign w:val="center"/>
          </w:tcPr>
          <w:p w14:paraId="2588FCD9" w14:textId="77777777" w:rsidR="008356AB" w:rsidRPr="009C5807" w:rsidRDefault="008356AB" w:rsidP="008B5C3E">
            <w:pPr>
              <w:pStyle w:val="TAC"/>
            </w:pPr>
            <w:r w:rsidRPr="009C5807">
              <w:rPr>
                <w:lang w:eastAsia="zh-CN"/>
              </w:rPr>
              <w:t>N/A</w:t>
            </w:r>
          </w:p>
        </w:tc>
        <w:tc>
          <w:tcPr>
            <w:tcW w:w="1579" w:type="dxa"/>
            <w:tcBorders>
              <w:top w:val="single" w:sz="6" w:space="0" w:color="auto"/>
              <w:left w:val="single" w:sz="6" w:space="0" w:color="auto"/>
              <w:bottom w:val="single" w:sz="6" w:space="0" w:color="auto"/>
              <w:right w:val="single" w:sz="4" w:space="0" w:color="auto"/>
            </w:tcBorders>
            <w:shd w:val="clear" w:color="auto" w:fill="auto"/>
            <w:vAlign w:val="center"/>
          </w:tcPr>
          <w:p w14:paraId="1358DED6" w14:textId="77777777" w:rsidR="008356AB" w:rsidRPr="009C5807" w:rsidRDefault="008356AB" w:rsidP="008B5C3E">
            <w:pPr>
              <w:pStyle w:val="TAC"/>
            </w:pPr>
            <w:r w:rsidRPr="009C5807">
              <w:t>-70</w:t>
            </w:r>
          </w:p>
        </w:tc>
      </w:tr>
      <w:tr w:rsidR="008356AB" w:rsidRPr="009C5807" w14:paraId="7F6DA689" w14:textId="77777777" w:rsidTr="00DF3064">
        <w:trPr>
          <w:jc w:val="center"/>
        </w:trPr>
        <w:tc>
          <w:tcPr>
            <w:tcW w:w="1111" w:type="dxa"/>
            <w:tcBorders>
              <w:top w:val="single" w:sz="6" w:space="0" w:color="auto"/>
              <w:left w:val="single" w:sz="4" w:space="0" w:color="auto"/>
              <w:bottom w:val="single" w:sz="6" w:space="0" w:color="auto"/>
              <w:right w:val="single" w:sz="6" w:space="0" w:color="auto"/>
            </w:tcBorders>
            <w:shd w:val="clear" w:color="auto" w:fill="auto"/>
            <w:vAlign w:val="center"/>
          </w:tcPr>
          <w:p w14:paraId="0EC46F33" w14:textId="7C7E4E71" w:rsidR="008356AB" w:rsidRPr="009C5807" w:rsidRDefault="008356AB" w:rsidP="008B5C3E">
            <w:pPr>
              <w:pStyle w:val="TAC"/>
            </w:pPr>
            <w:r w:rsidRPr="009C5807">
              <w:sym w:font="Symbol" w:char="F0B1"/>
            </w:r>
            <w:r w:rsidRPr="009C5807">
              <w:t>8</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tcPr>
          <w:p w14:paraId="20EAB0ED" w14:textId="143DA24D" w:rsidR="008356AB" w:rsidRPr="009C5807" w:rsidRDefault="008356AB" w:rsidP="008B5C3E">
            <w:pPr>
              <w:pStyle w:val="TAC"/>
            </w:pPr>
            <w:r w:rsidRPr="009C5807">
              <w:sym w:font="Symbol" w:char="F0B1"/>
            </w:r>
            <w:r w:rsidRPr="009C5807">
              <w:t>11</w:t>
            </w:r>
          </w:p>
        </w:tc>
        <w:tc>
          <w:tcPr>
            <w:tcW w:w="1110" w:type="dxa"/>
            <w:tcBorders>
              <w:left w:val="single" w:sz="4" w:space="0" w:color="auto"/>
              <w:bottom w:val="single" w:sz="6" w:space="0" w:color="auto"/>
              <w:right w:val="single" w:sz="4" w:space="0" w:color="auto"/>
            </w:tcBorders>
          </w:tcPr>
          <w:p w14:paraId="66922CD1" w14:textId="77777777" w:rsidR="008356AB" w:rsidRPr="009C5807" w:rsidRDefault="008356AB" w:rsidP="008B5C3E">
            <w:pPr>
              <w:pStyle w:val="TAC"/>
            </w:pPr>
          </w:p>
        </w:tc>
        <w:tc>
          <w:tcPr>
            <w:tcW w:w="2232"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10CE3B06" w14:textId="77777777" w:rsidR="008356AB" w:rsidRPr="009C5807" w:rsidRDefault="008356AB" w:rsidP="008B5C3E">
            <w:pPr>
              <w:pStyle w:val="TAC"/>
            </w:pPr>
            <w:r w:rsidRPr="009C5807">
              <w:t>N/A</w:t>
            </w:r>
          </w:p>
        </w:tc>
        <w:tc>
          <w:tcPr>
            <w:tcW w:w="1578" w:type="dxa"/>
            <w:tcBorders>
              <w:top w:val="single" w:sz="6" w:space="0" w:color="auto"/>
              <w:left w:val="single" w:sz="6" w:space="0" w:color="auto"/>
              <w:bottom w:val="single" w:sz="6" w:space="0" w:color="auto"/>
              <w:right w:val="single" w:sz="6" w:space="0" w:color="auto"/>
            </w:tcBorders>
            <w:shd w:val="clear" w:color="auto" w:fill="auto"/>
            <w:vAlign w:val="center"/>
          </w:tcPr>
          <w:p w14:paraId="52BB1AA3" w14:textId="77777777" w:rsidR="008356AB" w:rsidRPr="009C5807" w:rsidRDefault="008356AB" w:rsidP="008B5C3E">
            <w:pPr>
              <w:pStyle w:val="TAC"/>
            </w:pPr>
            <w:r w:rsidRPr="009C5807">
              <w:t>-70</w:t>
            </w:r>
          </w:p>
        </w:tc>
        <w:tc>
          <w:tcPr>
            <w:tcW w:w="1579" w:type="dxa"/>
            <w:tcBorders>
              <w:top w:val="single" w:sz="6" w:space="0" w:color="auto"/>
              <w:left w:val="single" w:sz="6" w:space="0" w:color="auto"/>
              <w:bottom w:val="single" w:sz="6" w:space="0" w:color="auto"/>
              <w:right w:val="single" w:sz="4" w:space="0" w:color="auto"/>
            </w:tcBorders>
            <w:shd w:val="clear" w:color="auto" w:fill="auto"/>
            <w:vAlign w:val="center"/>
          </w:tcPr>
          <w:p w14:paraId="6EF9C7AA" w14:textId="77777777" w:rsidR="008356AB" w:rsidRPr="009C5807" w:rsidRDefault="008356AB" w:rsidP="008B5C3E">
            <w:pPr>
              <w:pStyle w:val="TAC"/>
            </w:pPr>
            <w:r w:rsidRPr="009C5807">
              <w:t>-50</w:t>
            </w:r>
          </w:p>
        </w:tc>
      </w:tr>
      <w:tr w:rsidR="001F5A79" w:rsidRPr="009C5807" w14:paraId="6B6E3FD0" w14:textId="77777777" w:rsidTr="00DF3064">
        <w:trPr>
          <w:jc w:val="center"/>
        </w:trPr>
        <w:tc>
          <w:tcPr>
            <w:tcW w:w="8720"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C9AD79F" w14:textId="77777777" w:rsidR="001F5A79" w:rsidRPr="009C5807" w:rsidRDefault="001F5A79" w:rsidP="008B5C3E">
            <w:pPr>
              <w:pStyle w:val="TAN"/>
            </w:pPr>
            <w:r w:rsidRPr="009C5807">
              <w:t>Note 1:</w:t>
            </w:r>
            <w:r w:rsidRPr="009C5807">
              <w:tab/>
              <w:t>Values based on Refsens and EIS spherical coverage as defined in clauses 7.3.2 and 7.3.4 of TS 38.101-2 [19]. Applicable side condition selected depending on angle of arrival.</w:t>
            </w:r>
          </w:p>
          <w:p w14:paraId="4B4EC05C" w14:textId="77777777" w:rsidR="001F5A79" w:rsidRPr="009C5807" w:rsidRDefault="001F5A79" w:rsidP="008B5C3E">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27365BD8" w14:textId="77777777" w:rsidR="001F5A79" w:rsidRPr="009C5807" w:rsidRDefault="001F5A79" w:rsidP="008B5C3E">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7F93004D" w14:textId="77777777" w:rsidR="001F5A79" w:rsidRPr="009C5807" w:rsidRDefault="001F5A79" w:rsidP="001F5A79">
      <w:pPr>
        <w:rPr>
          <w:lang w:eastAsia="zh-CN"/>
        </w:rPr>
      </w:pPr>
    </w:p>
    <w:p w14:paraId="457F7FFC" w14:textId="088A9ECB" w:rsidR="001F5A79" w:rsidRPr="009C5807" w:rsidRDefault="001F5A79" w:rsidP="00967CF8">
      <w:pPr>
        <w:pStyle w:val="Heading5"/>
        <w:rPr>
          <w:lang w:val="en-US" w:eastAsia="zh-CN"/>
        </w:rPr>
      </w:pPr>
      <w:r w:rsidRPr="009C5807">
        <w:rPr>
          <w:lang w:val="en-US" w:eastAsia="zh-CN"/>
        </w:rPr>
        <w:t>1</w:t>
      </w:r>
      <w:r w:rsidR="00967CF8" w:rsidRPr="009C5807">
        <w:rPr>
          <w:lang w:val="en-US" w:eastAsia="zh-CN"/>
        </w:rPr>
        <w:t>0.1.5.1.2</w:t>
      </w:r>
      <w:r w:rsidRPr="009C5807">
        <w:rPr>
          <w:lang w:val="en-US" w:eastAsia="zh-CN"/>
        </w:rPr>
        <w:tab/>
        <w:t>Relative SS-RSRP Accuracy</w:t>
      </w:r>
    </w:p>
    <w:p w14:paraId="475DC3AF" w14:textId="77777777" w:rsidR="001F5A79" w:rsidRPr="009C5807" w:rsidRDefault="001F5A79" w:rsidP="001F5A79">
      <w:pPr>
        <w:rPr>
          <w:rFonts w:cs="v4.2.0"/>
          <w:i/>
        </w:rPr>
      </w:pPr>
      <w:r w:rsidRPr="009C5807">
        <w:rPr>
          <w:rFonts w:cs="v4.2.0"/>
        </w:rPr>
        <w:t xml:space="preserve">The relative accuracy of </w:t>
      </w:r>
      <w:r w:rsidRPr="009C5807">
        <w:rPr>
          <w:rFonts w:cs="v4.2.0"/>
          <w:lang w:eastAsia="zh-CN"/>
        </w:rPr>
        <w:t>SS-RSRP</w:t>
      </w:r>
      <w:r w:rsidRPr="009C5807">
        <w:rPr>
          <w:rFonts w:cs="v4.2.0"/>
        </w:rPr>
        <w:t xml:space="preserve"> is defined as the </w:t>
      </w:r>
      <w:r w:rsidRPr="009C5807">
        <w:rPr>
          <w:rFonts w:cs="v4.2.0"/>
          <w:lang w:eastAsia="zh-CN"/>
        </w:rPr>
        <w:t>SS-RSRP</w:t>
      </w:r>
      <w:r w:rsidRPr="009C5807">
        <w:rPr>
          <w:rFonts w:cs="v4.2.0"/>
        </w:rPr>
        <w:t xml:space="preserve"> measured from one cell on a frequency in FR2 compared to the </w:t>
      </w:r>
      <w:r w:rsidRPr="009C5807">
        <w:rPr>
          <w:rFonts w:cs="v4.2.0"/>
          <w:lang w:eastAsia="zh-CN"/>
        </w:rPr>
        <w:t>SS-RSRP</w:t>
      </w:r>
      <w:r w:rsidRPr="009C5807">
        <w:rPr>
          <w:rFonts w:cs="v4.2.0"/>
        </w:rPr>
        <w:t xml:space="preserve"> measured from another cell on another frequency in FR2.</w:t>
      </w:r>
    </w:p>
    <w:p w14:paraId="7328E1F2" w14:textId="77777777" w:rsidR="001F5A79" w:rsidRPr="009C5807" w:rsidRDefault="001F5A79" w:rsidP="001F5A79">
      <w:pPr>
        <w:rPr>
          <w:rFonts w:cs="v4.2.0"/>
        </w:rPr>
      </w:pPr>
      <w:r w:rsidRPr="009C5807">
        <w:rPr>
          <w:rFonts w:cs="v4.2.0"/>
        </w:rPr>
        <w:t xml:space="preserve">The accuracy requirements in Table </w:t>
      </w:r>
      <w:r w:rsidRPr="009C5807">
        <w:rPr>
          <w:lang w:eastAsia="zh-CN"/>
        </w:rPr>
        <w:t>10</w:t>
      </w:r>
      <w:r w:rsidRPr="009C5807">
        <w:t>.1.5.1</w:t>
      </w:r>
      <w:r w:rsidRPr="009C5807">
        <w:rPr>
          <w:lang w:eastAsia="zh-CN"/>
        </w:rPr>
        <w:t>.2</w:t>
      </w:r>
      <w:r w:rsidRPr="009C5807">
        <w:rPr>
          <w:rFonts w:cs="v4.2.0"/>
        </w:rPr>
        <w:t>-1 are valid under the following conditions:</w:t>
      </w:r>
    </w:p>
    <w:p w14:paraId="0270E4CC" w14:textId="77777777" w:rsidR="001F5A79" w:rsidRPr="009C5807" w:rsidRDefault="001F5A79" w:rsidP="00EF1BE1">
      <w:pPr>
        <w:pStyle w:val="B10"/>
        <w:rPr>
          <w:lang w:eastAsia="zh-CN"/>
        </w:rPr>
      </w:pPr>
      <w:r w:rsidRPr="009C5807">
        <w:t>-</w:t>
      </w:r>
      <w:r w:rsidRPr="009C5807">
        <w:tab/>
        <w:t>Conditions defined in 38.101-2 [19] Clause 7.3 for reference sensitivity are fulfilled.</w:t>
      </w:r>
    </w:p>
    <w:p w14:paraId="40061E88" w14:textId="77777777" w:rsidR="001F5A79" w:rsidRPr="009C5807" w:rsidRDefault="001F5A79" w:rsidP="00EF1BE1">
      <w:pPr>
        <w:pStyle w:val="B10"/>
        <w:rPr>
          <w:lang w:eastAsia="zh-CN"/>
        </w:rPr>
      </w:pPr>
      <w:r w:rsidRPr="009C5807">
        <w:t>-</w:t>
      </w:r>
      <w:r w:rsidRPr="009C5807">
        <w:tab/>
        <w:t xml:space="preserve">Conditions for inter-frequency measurements are fulfilled according to Annex B.2.3 for a corresponding Band </w:t>
      </w:r>
      <w:r w:rsidRPr="009C5807">
        <w:rPr>
          <w:rFonts w:cs="v4.2.0"/>
          <w:lang w:eastAsia="ko-KR"/>
        </w:rPr>
        <w:t>for each relevant SSB</w:t>
      </w:r>
      <w:r w:rsidRPr="009C5807">
        <w:t>.</w:t>
      </w:r>
    </w:p>
    <w:p w14:paraId="45CE18A1" w14:textId="77777777" w:rsidR="001F5A79" w:rsidRPr="009C5807" w:rsidRDefault="001F5A79" w:rsidP="00EF1BE1">
      <w:pPr>
        <w:pStyle w:val="B10"/>
      </w:pPr>
      <w:r w:rsidRPr="009C5807">
        <w:t>-</w:t>
      </w:r>
      <w:r w:rsidRPr="009C5807">
        <w:tab/>
        <w:t>|SSB_RP1</w:t>
      </w:r>
      <w:r w:rsidRPr="009C5807">
        <w:rPr>
          <w:vertAlign w:val="subscript"/>
        </w:rPr>
        <w:t>dBm</w:t>
      </w:r>
      <w:r w:rsidRPr="009C5807">
        <w:t xml:space="preserve"> - SSB_RP2</w:t>
      </w:r>
      <w:r w:rsidRPr="009C5807">
        <w:rPr>
          <w:vertAlign w:val="subscript"/>
        </w:rPr>
        <w:t>dBm</w:t>
      </w:r>
      <w:r w:rsidRPr="009C5807">
        <w:t xml:space="preserve">| </w:t>
      </w:r>
      <w:r w:rsidRPr="009C5807">
        <w:rPr>
          <w:rFonts w:hint="eastAsia"/>
        </w:rPr>
        <w:t>≤</w:t>
      </w:r>
      <w:r w:rsidRPr="009C5807">
        <w:t xml:space="preserve"> 27dB</w:t>
      </w:r>
    </w:p>
    <w:p w14:paraId="0E93C570" w14:textId="79ABC3A0" w:rsidR="001F5A79" w:rsidRPr="009C5807" w:rsidRDefault="001F5A79" w:rsidP="00EF1BE1">
      <w:pPr>
        <w:pStyle w:val="B10"/>
        <w:rPr>
          <w:lang w:eastAsia="zh-CN"/>
        </w:rPr>
      </w:pPr>
      <w:r w:rsidRPr="009C5807">
        <w:t>-</w:t>
      </w:r>
      <w:r w:rsidRPr="009C5807">
        <w:tab/>
        <w:t xml:space="preserve">|Channel 1_Io </w:t>
      </w:r>
      <w:r w:rsidRPr="009C5807">
        <w:noBreakHyphen/>
        <w:t xml:space="preserve">Channel 2_Io | </w:t>
      </w:r>
      <w:r w:rsidRPr="009C5807">
        <w:sym w:font="Symbol" w:char="F0A3"/>
      </w:r>
      <w:r w:rsidRPr="009C5807">
        <w:t xml:space="preserve"> 20 dB</w:t>
      </w:r>
    </w:p>
    <w:p w14:paraId="560A1135" w14:textId="77777777" w:rsidR="001F5A79" w:rsidRPr="009C5807" w:rsidRDefault="001F5A79" w:rsidP="00EF1BE1">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5B430EF2" w14:textId="77777777" w:rsidR="001F5A79" w:rsidRPr="009C5807" w:rsidRDefault="001F5A79" w:rsidP="00EF1BE1">
      <w:pPr>
        <w:pStyle w:val="TH"/>
      </w:pPr>
      <w:r w:rsidRPr="009C5807">
        <w:t xml:space="preserve">Table </w:t>
      </w:r>
      <w:r w:rsidRPr="009C5807">
        <w:rPr>
          <w:lang w:eastAsia="zh-CN"/>
        </w:rPr>
        <w:t>10.1.5.1.2</w:t>
      </w:r>
      <w:r w:rsidRPr="009C5807">
        <w:t xml:space="preserve">-1: </w:t>
      </w:r>
      <w:r w:rsidRPr="009C5807">
        <w:rPr>
          <w:lang w:eastAsia="zh-CN"/>
        </w:rPr>
        <w:t>SS-RSRP</w:t>
      </w:r>
      <w:r w:rsidRPr="009C5807">
        <w:t xml:space="preserve"> Inter frequency relative accuracy in FR2</w:t>
      </w:r>
    </w:p>
    <w:tbl>
      <w:tblPr>
        <w:tblW w:w="7019" w:type="dxa"/>
        <w:jc w:val="center"/>
        <w:tblLook w:val="01E0" w:firstRow="1" w:lastRow="1" w:firstColumn="1" w:lastColumn="1" w:noHBand="0" w:noVBand="0"/>
      </w:tblPr>
      <w:tblGrid>
        <w:gridCol w:w="1030"/>
        <w:gridCol w:w="1029"/>
        <w:gridCol w:w="1029"/>
        <w:gridCol w:w="1224"/>
        <w:gridCol w:w="1224"/>
        <w:gridCol w:w="1483"/>
      </w:tblGrid>
      <w:tr w:rsidR="001F5A79" w:rsidRPr="009C5807" w14:paraId="7A0261E9" w14:textId="77777777" w:rsidTr="00DF3064">
        <w:trPr>
          <w:jc w:val="center"/>
        </w:trPr>
        <w:tc>
          <w:tcPr>
            <w:tcW w:w="2059" w:type="dxa"/>
            <w:gridSpan w:val="2"/>
            <w:tcBorders>
              <w:top w:val="single" w:sz="6" w:space="0" w:color="auto"/>
              <w:left w:val="single" w:sz="4" w:space="0" w:color="auto"/>
              <w:right w:val="single" w:sz="6" w:space="0" w:color="auto"/>
            </w:tcBorders>
            <w:shd w:val="clear" w:color="auto" w:fill="auto"/>
            <w:vAlign w:val="center"/>
          </w:tcPr>
          <w:p w14:paraId="36A13AF2" w14:textId="77777777" w:rsidR="001F5A79" w:rsidRPr="009C5807" w:rsidRDefault="001F5A79" w:rsidP="008B5C3E">
            <w:pPr>
              <w:pStyle w:val="TAH"/>
            </w:pPr>
            <w:r w:rsidRPr="009C5807">
              <w:t>Accuracy</w:t>
            </w:r>
          </w:p>
        </w:tc>
        <w:tc>
          <w:tcPr>
            <w:tcW w:w="4960" w:type="dxa"/>
            <w:gridSpan w:val="4"/>
            <w:tcBorders>
              <w:top w:val="single" w:sz="6" w:space="0" w:color="auto"/>
              <w:left w:val="single" w:sz="4" w:space="0" w:color="auto"/>
              <w:right w:val="single" w:sz="4" w:space="0" w:color="auto"/>
            </w:tcBorders>
            <w:vAlign w:val="center"/>
          </w:tcPr>
          <w:p w14:paraId="625F385E" w14:textId="77777777" w:rsidR="001F5A79" w:rsidRPr="009C5807" w:rsidRDefault="001F5A79" w:rsidP="008B5C3E">
            <w:pPr>
              <w:pStyle w:val="TAH"/>
            </w:pPr>
            <w:r w:rsidRPr="009C5807">
              <w:t>Conditions</w:t>
            </w:r>
          </w:p>
        </w:tc>
      </w:tr>
      <w:tr w:rsidR="001F5A79" w:rsidRPr="009C5807" w14:paraId="0382EADD" w14:textId="77777777" w:rsidTr="00DF3064">
        <w:trPr>
          <w:jc w:val="center"/>
        </w:trPr>
        <w:tc>
          <w:tcPr>
            <w:tcW w:w="1030" w:type="dxa"/>
            <w:tcBorders>
              <w:top w:val="single" w:sz="6" w:space="0" w:color="auto"/>
              <w:left w:val="single" w:sz="4" w:space="0" w:color="auto"/>
              <w:right w:val="single" w:sz="6" w:space="0" w:color="auto"/>
            </w:tcBorders>
            <w:shd w:val="clear" w:color="auto" w:fill="auto"/>
            <w:vAlign w:val="center"/>
          </w:tcPr>
          <w:p w14:paraId="487319D6" w14:textId="77777777" w:rsidR="001F5A79" w:rsidRPr="009C5807" w:rsidRDefault="001F5A79" w:rsidP="008B5C3E">
            <w:pPr>
              <w:pStyle w:val="TAH"/>
            </w:pPr>
            <w:r w:rsidRPr="009C5807">
              <w:t>Normal condition</w:t>
            </w:r>
          </w:p>
        </w:tc>
        <w:tc>
          <w:tcPr>
            <w:tcW w:w="1029" w:type="dxa"/>
            <w:tcBorders>
              <w:top w:val="single" w:sz="6" w:space="0" w:color="auto"/>
              <w:left w:val="single" w:sz="6" w:space="0" w:color="auto"/>
              <w:right w:val="single" w:sz="6" w:space="0" w:color="auto"/>
            </w:tcBorders>
            <w:shd w:val="clear" w:color="auto" w:fill="auto"/>
            <w:vAlign w:val="center"/>
          </w:tcPr>
          <w:p w14:paraId="02B2F9B1" w14:textId="77777777" w:rsidR="001F5A79" w:rsidRPr="009C5807" w:rsidRDefault="001F5A79" w:rsidP="008B5C3E">
            <w:pPr>
              <w:pStyle w:val="TAH"/>
            </w:pPr>
            <w:r w:rsidRPr="009C5807">
              <w:t>Extreme condition</w:t>
            </w:r>
          </w:p>
        </w:tc>
        <w:tc>
          <w:tcPr>
            <w:tcW w:w="1029" w:type="dxa"/>
            <w:tcBorders>
              <w:top w:val="single" w:sz="6" w:space="0" w:color="auto"/>
              <w:left w:val="single" w:sz="4" w:space="0" w:color="auto"/>
              <w:right w:val="single" w:sz="4" w:space="0" w:color="auto"/>
            </w:tcBorders>
          </w:tcPr>
          <w:p w14:paraId="2721B1B3" w14:textId="77777777" w:rsidR="001F5A79" w:rsidRPr="009C5807" w:rsidRDefault="001F5A79" w:rsidP="008B5C3E">
            <w:pPr>
              <w:pStyle w:val="TAH"/>
            </w:pPr>
            <w:r w:rsidRPr="009C5807">
              <w:rPr>
                <w:rFonts w:cs="Arial"/>
              </w:rPr>
              <w:t>SSB Ês/Iot</w:t>
            </w:r>
          </w:p>
        </w:tc>
        <w:tc>
          <w:tcPr>
            <w:tcW w:w="3931" w:type="dxa"/>
            <w:gridSpan w:val="3"/>
            <w:tcBorders>
              <w:top w:val="single" w:sz="6" w:space="0" w:color="auto"/>
              <w:left w:val="single" w:sz="4" w:space="0" w:color="auto"/>
              <w:bottom w:val="single" w:sz="6" w:space="0" w:color="auto"/>
              <w:right w:val="single" w:sz="4" w:space="0" w:color="auto"/>
            </w:tcBorders>
            <w:shd w:val="clear" w:color="auto" w:fill="auto"/>
            <w:vAlign w:val="center"/>
          </w:tcPr>
          <w:p w14:paraId="52AAF4EC" w14:textId="77777777" w:rsidR="001F5A79" w:rsidRPr="009C5807" w:rsidRDefault="001F5A79" w:rsidP="008B5C3E">
            <w:pPr>
              <w:pStyle w:val="TAH"/>
            </w:pPr>
            <w:r w:rsidRPr="009C5807">
              <w:t>Io</w:t>
            </w:r>
            <w:r w:rsidRPr="009C5807">
              <w:rPr>
                <w:vertAlign w:val="superscript"/>
              </w:rPr>
              <w:t xml:space="preserve"> Note 2</w:t>
            </w:r>
            <w:r w:rsidRPr="009C5807">
              <w:t xml:space="preserve"> range</w:t>
            </w:r>
          </w:p>
        </w:tc>
      </w:tr>
      <w:tr w:rsidR="001F5A79" w:rsidRPr="009C5807" w14:paraId="21EA0943" w14:textId="77777777" w:rsidTr="00DF3064">
        <w:trPr>
          <w:jc w:val="center"/>
        </w:trPr>
        <w:tc>
          <w:tcPr>
            <w:tcW w:w="1030" w:type="dxa"/>
            <w:tcBorders>
              <w:left w:val="single" w:sz="4" w:space="0" w:color="auto"/>
              <w:right w:val="single" w:sz="6" w:space="0" w:color="auto"/>
            </w:tcBorders>
            <w:shd w:val="clear" w:color="auto" w:fill="auto"/>
            <w:vAlign w:val="center"/>
          </w:tcPr>
          <w:p w14:paraId="5078CDB1" w14:textId="77777777" w:rsidR="001F5A79" w:rsidRPr="009C5807" w:rsidRDefault="001F5A79" w:rsidP="008B5C3E">
            <w:pPr>
              <w:pStyle w:val="TAH"/>
            </w:pPr>
          </w:p>
        </w:tc>
        <w:tc>
          <w:tcPr>
            <w:tcW w:w="1029" w:type="dxa"/>
            <w:tcBorders>
              <w:left w:val="single" w:sz="6" w:space="0" w:color="auto"/>
              <w:right w:val="single" w:sz="6" w:space="0" w:color="auto"/>
            </w:tcBorders>
            <w:shd w:val="clear" w:color="auto" w:fill="auto"/>
            <w:vAlign w:val="center"/>
          </w:tcPr>
          <w:p w14:paraId="4577DBFD" w14:textId="77777777" w:rsidR="001F5A79" w:rsidRPr="009C5807" w:rsidRDefault="001F5A79" w:rsidP="008B5C3E">
            <w:pPr>
              <w:pStyle w:val="TAH"/>
            </w:pPr>
          </w:p>
        </w:tc>
        <w:tc>
          <w:tcPr>
            <w:tcW w:w="1029" w:type="dxa"/>
            <w:tcBorders>
              <w:left w:val="single" w:sz="4" w:space="0" w:color="auto"/>
              <w:right w:val="single" w:sz="4" w:space="0" w:color="auto"/>
            </w:tcBorders>
            <w:vAlign w:val="center"/>
          </w:tcPr>
          <w:p w14:paraId="223F46D6" w14:textId="77777777" w:rsidR="001F5A79" w:rsidRPr="009C5807" w:rsidRDefault="001F5A79" w:rsidP="008B5C3E">
            <w:pPr>
              <w:pStyle w:val="TAH"/>
            </w:pPr>
          </w:p>
        </w:tc>
        <w:tc>
          <w:tcPr>
            <w:tcW w:w="24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708D55FB" w14:textId="77777777" w:rsidR="001F5A79" w:rsidRPr="009C5807" w:rsidRDefault="001F5A79" w:rsidP="008B5C3E">
            <w:pPr>
              <w:pStyle w:val="TAH"/>
              <w:rPr>
                <w:rFonts w:cs="Arial"/>
              </w:rPr>
            </w:pPr>
            <w:r w:rsidRPr="009C5807">
              <w:t>Minimum Io</w:t>
            </w:r>
          </w:p>
        </w:tc>
        <w:tc>
          <w:tcPr>
            <w:tcW w:w="1483" w:type="dxa"/>
            <w:tcBorders>
              <w:top w:val="single" w:sz="6" w:space="0" w:color="auto"/>
              <w:left w:val="single" w:sz="6" w:space="0" w:color="auto"/>
              <w:right w:val="single" w:sz="4" w:space="0" w:color="auto"/>
            </w:tcBorders>
            <w:shd w:val="clear" w:color="auto" w:fill="auto"/>
            <w:vAlign w:val="center"/>
          </w:tcPr>
          <w:p w14:paraId="79288101" w14:textId="77777777" w:rsidR="001F5A79" w:rsidRPr="009C5807" w:rsidRDefault="001F5A79" w:rsidP="008B5C3E">
            <w:pPr>
              <w:pStyle w:val="TAH"/>
            </w:pPr>
            <w:r w:rsidRPr="009C5807">
              <w:t>Maximum Io</w:t>
            </w:r>
          </w:p>
        </w:tc>
      </w:tr>
      <w:tr w:rsidR="001F5A79" w:rsidRPr="009C5807" w14:paraId="45C0C9D0" w14:textId="77777777" w:rsidTr="00DF3064">
        <w:trPr>
          <w:jc w:val="center"/>
        </w:trPr>
        <w:tc>
          <w:tcPr>
            <w:tcW w:w="1030" w:type="dxa"/>
            <w:tcBorders>
              <w:top w:val="single" w:sz="6" w:space="0" w:color="auto"/>
              <w:left w:val="single" w:sz="4" w:space="0" w:color="auto"/>
              <w:right w:val="single" w:sz="6" w:space="0" w:color="auto"/>
            </w:tcBorders>
            <w:shd w:val="clear" w:color="auto" w:fill="auto"/>
            <w:vAlign w:val="center"/>
          </w:tcPr>
          <w:p w14:paraId="2A721998" w14:textId="77777777" w:rsidR="001F5A79" w:rsidRPr="009C5807" w:rsidRDefault="001F5A79" w:rsidP="008B5C3E">
            <w:pPr>
              <w:pStyle w:val="TAH"/>
            </w:pPr>
            <w:r w:rsidRPr="009C5807">
              <w:t>dB</w:t>
            </w:r>
          </w:p>
        </w:tc>
        <w:tc>
          <w:tcPr>
            <w:tcW w:w="1029" w:type="dxa"/>
            <w:tcBorders>
              <w:top w:val="single" w:sz="6" w:space="0" w:color="auto"/>
              <w:left w:val="single" w:sz="6" w:space="0" w:color="auto"/>
              <w:right w:val="single" w:sz="6" w:space="0" w:color="auto"/>
            </w:tcBorders>
            <w:shd w:val="clear" w:color="auto" w:fill="auto"/>
            <w:vAlign w:val="center"/>
          </w:tcPr>
          <w:p w14:paraId="764CB648" w14:textId="77777777" w:rsidR="001F5A79" w:rsidRPr="009C5807" w:rsidRDefault="001F5A79" w:rsidP="008B5C3E">
            <w:pPr>
              <w:pStyle w:val="TAH"/>
            </w:pPr>
            <w:r w:rsidRPr="009C5807">
              <w:t>dB</w:t>
            </w:r>
          </w:p>
        </w:tc>
        <w:tc>
          <w:tcPr>
            <w:tcW w:w="1029" w:type="dxa"/>
            <w:tcBorders>
              <w:top w:val="single" w:sz="6" w:space="0" w:color="auto"/>
              <w:left w:val="single" w:sz="4" w:space="0" w:color="auto"/>
              <w:right w:val="single" w:sz="4" w:space="0" w:color="auto"/>
            </w:tcBorders>
            <w:vAlign w:val="center"/>
          </w:tcPr>
          <w:p w14:paraId="77F9CEBB" w14:textId="77777777" w:rsidR="001F5A79" w:rsidRPr="009C5807" w:rsidRDefault="001F5A79" w:rsidP="008B5C3E">
            <w:pPr>
              <w:pStyle w:val="TAH"/>
              <w:rPr>
                <w:rFonts w:cs="Arial"/>
              </w:rPr>
            </w:pPr>
            <w:r w:rsidRPr="009C5807">
              <w:t>dB</w:t>
            </w:r>
          </w:p>
        </w:tc>
        <w:tc>
          <w:tcPr>
            <w:tcW w:w="24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457CCF66" w14:textId="77777777" w:rsidR="001F5A79" w:rsidRPr="009C5807" w:rsidRDefault="001F5A79" w:rsidP="008B5C3E">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1483" w:type="dxa"/>
            <w:tcBorders>
              <w:top w:val="single" w:sz="6" w:space="0" w:color="auto"/>
              <w:left w:val="single" w:sz="6" w:space="0" w:color="auto"/>
              <w:right w:val="single" w:sz="4" w:space="0" w:color="auto"/>
            </w:tcBorders>
            <w:shd w:val="clear" w:color="auto" w:fill="auto"/>
            <w:vAlign w:val="center"/>
          </w:tcPr>
          <w:p w14:paraId="602D5272" w14:textId="77777777" w:rsidR="001F5A79" w:rsidRPr="009C5807" w:rsidRDefault="001F5A79" w:rsidP="008B5C3E">
            <w:pPr>
              <w:pStyle w:val="TAH"/>
            </w:pPr>
            <w:r w:rsidRPr="009C5807">
              <w:t>dBm/BW</w:t>
            </w:r>
            <w:r w:rsidRPr="009C5807">
              <w:rPr>
                <w:vertAlign w:val="subscript"/>
              </w:rPr>
              <w:t>Channel</w:t>
            </w:r>
          </w:p>
        </w:tc>
      </w:tr>
      <w:tr w:rsidR="001F5A79" w:rsidRPr="009C5807" w14:paraId="61F2B6BE" w14:textId="77777777" w:rsidTr="00DF3064">
        <w:trPr>
          <w:jc w:val="center"/>
        </w:trPr>
        <w:tc>
          <w:tcPr>
            <w:tcW w:w="1030" w:type="dxa"/>
            <w:tcBorders>
              <w:left w:val="single" w:sz="4" w:space="0" w:color="auto"/>
              <w:bottom w:val="single" w:sz="6" w:space="0" w:color="auto"/>
              <w:right w:val="single" w:sz="6" w:space="0" w:color="auto"/>
            </w:tcBorders>
            <w:shd w:val="clear" w:color="auto" w:fill="auto"/>
            <w:vAlign w:val="center"/>
          </w:tcPr>
          <w:p w14:paraId="100B07B5" w14:textId="77777777" w:rsidR="001F5A79" w:rsidRPr="009C5807" w:rsidRDefault="001F5A79" w:rsidP="008B5C3E">
            <w:pPr>
              <w:pStyle w:val="TAH"/>
            </w:pPr>
          </w:p>
        </w:tc>
        <w:tc>
          <w:tcPr>
            <w:tcW w:w="1029" w:type="dxa"/>
            <w:tcBorders>
              <w:left w:val="single" w:sz="6" w:space="0" w:color="auto"/>
              <w:bottom w:val="single" w:sz="6" w:space="0" w:color="auto"/>
              <w:right w:val="single" w:sz="6" w:space="0" w:color="auto"/>
            </w:tcBorders>
            <w:shd w:val="clear" w:color="auto" w:fill="auto"/>
            <w:vAlign w:val="center"/>
          </w:tcPr>
          <w:p w14:paraId="123367C0" w14:textId="77777777" w:rsidR="001F5A79" w:rsidRPr="009C5807" w:rsidRDefault="001F5A79" w:rsidP="008B5C3E">
            <w:pPr>
              <w:pStyle w:val="TAH"/>
            </w:pPr>
          </w:p>
        </w:tc>
        <w:tc>
          <w:tcPr>
            <w:tcW w:w="1029" w:type="dxa"/>
            <w:tcBorders>
              <w:left w:val="single" w:sz="4" w:space="0" w:color="auto"/>
              <w:bottom w:val="single" w:sz="6" w:space="0" w:color="auto"/>
              <w:right w:val="single" w:sz="4" w:space="0" w:color="auto"/>
            </w:tcBorders>
          </w:tcPr>
          <w:p w14:paraId="591FDEAE" w14:textId="77777777" w:rsidR="001F5A79" w:rsidRPr="009C5807" w:rsidRDefault="001F5A79" w:rsidP="008B5C3E">
            <w:pPr>
              <w:pStyle w:val="TAH"/>
            </w:pPr>
          </w:p>
        </w:tc>
        <w:tc>
          <w:tcPr>
            <w:tcW w:w="1224" w:type="dxa"/>
            <w:tcBorders>
              <w:top w:val="single" w:sz="6" w:space="0" w:color="auto"/>
              <w:left w:val="single" w:sz="4" w:space="0" w:color="auto"/>
              <w:bottom w:val="single" w:sz="6" w:space="0" w:color="auto"/>
              <w:right w:val="single" w:sz="6" w:space="0" w:color="auto"/>
            </w:tcBorders>
            <w:shd w:val="clear" w:color="auto" w:fill="auto"/>
            <w:vAlign w:val="center"/>
          </w:tcPr>
          <w:p w14:paraId="36AEA050" w14:textId="77777777" w:rsidR="001F5A79" w:rsidRPr="009C5807" w:rsidRDefault="001F5A79" w:rsidP="008B5C3E">
            <w:pPr>
              <w:pStyle w:val="TAH"/>
            </w:pPr>
            <w:r w:rsidRPr="009C5807">
              <w:t>SCS</w:t>
            </w:r>
            <w:r w:rsidRPr="009C5807">
              <w:rPr>
                <w:vertAlign w:val="subscript"/>
              </w:rPr>
              <w:t>SSB</w:t>
            </w:r>
            <w:r w:rsidRPr="009C5807">
              <w:rPr>
                <w:rFonts w:cs="Arial"/>
              </w:rPr>
              <w:t xml:space="preserve"> = 120kHz</w:t>
            </w:r>
          </w:p>
        </w:tc>
        <w:tc>
          <w:tcPr>
            <w:tcW w:w="1224" w:type="dxa"/>
            <w:tcBorders>
              <w:top w:val="single" w:sz="6" w:space="0" w:color="auto"/>
              <w:left w:val="single" w:sz="4" w:space="0" w:color="auto"/>
              <w:bottom w:val="single" w:sz="6" w:space="0" w:color="auto"/>
              <w:right w:val="single" w:sz="6" w:space="0" w:color="auto"/>
            </w:tcBorders>
            <w:shd w:val="clear" w:color="auto" w:fill="auto"/>
            <w:vAlign w:val="center"/>
          </w:tcPr>
          <w:p w14:paraId="6448F480" w14:textId="77777777" w:rsidR="001F5A79" w:rsidRPr="009C5807" w:rsidRDefault="001F5A79" w:rsidP="008B5C3E">
            <w:pPr>
              <w:pStyle w:val="TAH"/>
            </w:pPr>
            <w:r w:rsidRPr="009C5807">
              <w:t>SCS</w:t>
            </w:r>
            <w:r w:rsidRPr="009C5807">
              <w:rPr>
                <w:vertAlign w:val="subscript"/>
              </w:rPr>
              <w:t>SSB</w:t>
            </w:r>
            <w:r w:rsidRPr="009C5807">
              <w:rPr>
                <w:rFonts w:cs="Arial"/>
              </w:rPr>
              <w:t xml:space="preserve"> = 240kHz</w:t>
            </w:r>
          </w:p>
        </w:tc>
        <w:tc>
          <w:tcPr>
            <w:tcW w:w="1483" w:type="dxa"/>
            <w:tcBorders>
              <w:left w:val="single" w:sz="6" w:space="0" w:color="auto"/>
              <w:bottom w:val="single" w:sz="6" w:space="0" w:color="auto"/>
              <w:right w:val="single" w:sz="4" w:space="0" w:color="auto"/>
            </w:tcBorders>
            <w:shd w:val="clear" w:color="auto" w:fill="auto"/>
            <w:vAlign w:val="center"/>
          </w:tcPr>
          <w:p w14:paraId="5DD8D1BA" w14:textId="77777777" w:rsidR="001F5A79" w:rsidRPr="009C5807" w:rsidRDefault="001F5A79" w:rsidP="008B5C3E">
            <w:pPr>
              <w:pStyle w:val="TAH"/>
            </w:pPr>
          </w:p>
        </w:tc>
      </w:tr>
      <w:tr w:rsidR="001F5A79" w:rsidRPr="009C5807" w14:paraId="30800DF4" w14:textId="77777777" w:rsidTr="00DF3064">
        <w:trPr>
          <w:jc w:val="center"/>
        </w:trPr>
        <w:tc>
          <w:tcPr>
            <w:tcW w:w="1030" w:type="dxa"/>
            <w:tcBorders>
              <w:top w:val="single" w:sz="6" w:space="0" w:color="auto"/>
              <w:left w:val="single" w:sz="4" w:space="0" w:color="auto"/>
              <w:bottom w:val="single" w:sz="6" w:space="0" w:color="auto"/>
              <w:right w:val="single" w:sz="6" w:space="0" w:color="auto"/>
            </w:tcBorders>
            <w:shd w:val="clear" w:color="auto" w:fill="auto"/>
            <w:vAlign w:val="center"/>
          </w:tcPr>
          <w:p w14:paraId="37597FA0" w14:textId="77777777" w:rsidR="001F5A79" w:rsidRPr="009C5807" w:rsidRDefault="001F5A79" w:rsidP="008B5C3E">
            <w:pPr>
              <w:pStyle w:val="TAC"/>
            </w:pPr>
            <w:r w:rsidRPr="009C5807">
              <w:sym w:font="Symbol" w:char="F0B1"/>
            </w:r>
            <w:r w:rsidRPr="009C5807">
              <w:t>6</w:t>
            </w:r>
          </w:p>
        </w:tc>
        <w:tc>
          <w:tcPr>
            <w:tcW w:w="1029" w:type="dxa"/>
            <w:tcBorders>
              <w:top w:val="single" w:sz="6" w:space="0" w:color="auto"/>
              <w:left w:val="single" w:sz="6" w:space="0" w:color="auto"/>
              <w:bottom w:val="single" w:sz="6" w:space="0" w:color="auto"/>
              <w:right w:val="single" w:sz="6" w:space="0" w:color="auto"/>
            </w:tcBorders>
            <w:shd w:val="clear" w:color="auto" w:fill="auto"/>
            <w:vAlign w:val="center"/>
          </w:tcPr>
          <w:p w14:paraId="7F81E67A" w14:textId="77777777" w:rsidR="001F5A79" w:rsidRPr="009C5807" w:rsidRDefault="001F5A79" w:rsidP="008B5C3E">
            <w:pPr>
              <w:pStyle w:val="TAC"/>
            </w:pPr>
            <w:r w:rsidRPr="009C5807">
              <w:sym w:font="Symbol" w:char="F0B1"/>
            </w:r>
            <w:r w:rsidRPr="009C5807">
              <w:t>9</w:t>
            </w:r>
          </w:p>
        </w:tc>
        <w:tc>
          <w:tcPr>
            <w:tcW w:w="1029" w:type="dxa"/>
            <w:tcBorders>
              <w:top w:val="single" w:sz="6" w:space="0" w:color="auto"/>
              <w:left w:val="single" w:sz="4" w:space="0" w:color="auto"/>
              <w:bottom w:val="single" w:sz="6" w:space="0" w:color="auto"/>
              <w:right w:val="single" w:sz="4" w:space="0" w:color="auto"/>
            </w:tcBorders>
            <w:vAlign w:val="center"/>
          </w:tcPr>
          <w:p w14:paraId="3573CFDB" w14:textId="77777777" w:rsidR="001F5A79" w:rsidRPr="009C5807" w:rsidRDefault="001F5A79" w:rsidP="008B5C3E">
            <w:pPr>
              <w:pStyle w:val="TAC"/>
            </w:pPr>
            <w:r w:rsidRPr="009C5807">
              <w:rPr>
                <w:rFonts w:eastAsia="Yu Mincho" w:cs="Arial"/>
                <w:lang w:eastAsia="ja-JP"/>
              </w:rPr>
              <w:t>≥-4</w:t>
            </w:r>
          </w:p>
        </w:tc>
        <w:tc>
          <w:tcPr>
            <w:tcW w:w="244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36F9D003" w14:textId="77777777" w:rsidR="001F5A79" w:rsidRPr="009C5807" w:rsidRDefault="001F5A79" w:rsidP="008B5C3E">
            <w:pPr>
              <w:pStyle w:val="TAC"/>
              <w:rPr>
                <w:rFonts w:eastAsia="Yu Mincho"/>
                <w:lang w:eastAsia="ja-JP"/>
              </w:rPr>
            </w:pPr>
            <w:r w:rsidRPr="009C5807">
              <w:t>Same value as SSB_RP in Table B.2.3-2, according to UE Power class, operating band and angle of arrival</w:t>
            </w:r>
          </w:p>
        </w:tc>
        <w:tc>
          <w:tcPr>
            <w:tcW w:w="1483" w:type="dxa"/>
            <w:tcBorders>
              <w:top w:val="single" w:sz="6" w:space="0" w:color="auto"/>
              <w:left w:val="single" w:sz="6" w:space="0" w:color="auto"/>
              <w:bottom w:val="single" w:sz="6" w:space="0" w:color="auto"/>
              <w:right w:val="single" w:sz="4" w:space="0" w:color="auto"/>
            </w:tcBorders>
            <w:shd w:val="clear" w:color="auto" w:fill="auto"/>
            <w:vAlign w:val="center"/>
          </w:tcPr>
          <w:p w14:paraId="28ADD98F" w14:textId="77777777" w:rsidR="001F5A79" w:rsidRPr="009C5807" w:rsidRDefault="001F5A79" w:rsidP="008B5C3E">
            <w:pPr>
              <w:pStyle w:val="TAC"/>
            </w:pPr>
            <w:r w:rsidRPr="009C5807">
              <w:t>-50</w:t>
            </w:r>
          </w:p>
        </w:tc>
      </w:tr>
      <w:tr w:rsidR="001F5A79" w:rsidRPr="009C5807" w14:paraId="354F348A" w14:textId="77777777" w:rsidTr="00DF3064">
        <w:trPr>
          <w:jc w:val="center"/>
        </w:trPr>
        <w:tc>
          <w:tcPr>
            <w:tcW w:w="7019" w:type="dxa"/>
            <w:gridSpan w:val="6"/>
            <w:tcBorders>
              <w:top w:val="single" w:sz="6" w:space="0" w:color="auto"/>
              <w:left w:val="single" w:sz="4" w:space="0" w:color="auto"/>
              <w:bottom w:val="single" w:sz="4" w:space="0" w:color="auto"/>
              <w:right w:val="single" w:sz="4" w:space="0" w:color="auto"/>
            </w:tcBorders>
            <w:shd w:val="clear" w:color="auto" w:fill="auto"/>
            <w:vAlign w:val="center"/>
          </w:tcPr>
          <w:p w14:paraId="3BA41CA9" w14:textId="77777777" w:rsidR="001F5A79" w:rsidRPr="009C5807" w:rsidRDefault="001F5A79" w:rsidP="008B5C3E">
            <w:pPr>
              <w:pStyle w:val="TAN"/>
            </w:pPr>
            <w:r w:rsidRPr="009C5807">
              <w:t>Note 1:</w:t>
            </w:r>
            <w:r w:rsidRPr="009C5807">
              <w:tab/>
              <w:t>Values based on Refsens and EIS spherical coverage as defined in clauses 7.3.2 and 7.3.4 of TS 38.101-2 [19]. Applicable side condition selected depending on angle of arrival.</w:t>
            </w:r>
          </w:p>
          <w:p w14:paraId="21EC6320" w14:textId="77777777" w:rsidR="001F5A79" w:rsidRPr="009C5807" w:rsidRDefault="001F5A79" w:rsidP="008B5C3E">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04A39367" w14:textId="77777777" w:rsidR="001F5A79" w:rsidRPr="009C5807" w:rsidRDefault="001F5A79" w:rsidP="008B5C3E">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p w14:paraId="125A828E" w14:textId="77777777" w:rsidR="001F5A79" w:rsidRPr="009C5807" w:rsidRDefault="001F5A79" w:rsidP="008B5C3E">
            <w:pPr>
              <w:pStyle w:val="TAN"/>
            </w:pPr>
            <w:r w:rsidRPr="009C5807">
              <w:t>Note 4:</w:t>
            </w:r>
            <w:r w:rsidRPr="009C5807">
              <w:tab/>
              <w:t>The parameter SSB Ês/Iot is the minimum SSB Ês/Iot of the pair of cells to which the requirement applies.</w:t>
            </w:r>
          </w:p>
        </w:tc>
      </w:tr>
    </w:tbl>
    <w:p w14:paraId="3A9F5964" w14:textId="77777777" w:rsidR="001F5A79" w:rsidRPr="009C5807" w:rsidRDefault="001F5A79" w:rsidP="001F5A79"/>
    <w:p w14:paraId="0E352134" w14:textId="1692D3BA" w:rsidR="001F5A79" w:rsidRPr="009C5807" w:rsidRDefault="001F5A79" w:rsidP="00967CF8">
      <w:pPr>
        <w:pStyle w:val="Heading4"/>
        <w:rPr>
          <w:lang w:val="en-US"/>
        </w:rPr>
      </w:pPr>
      <w:r w:rsidRPr="009C5807">
        <w:rPr>
          <w:lang w:val="en-US"/>
        </w:rPr>
        <w:t>1</w:t>
      </w:r>
      <w:r w:rsidR="00967CF8" w:rsidRPr="009C5807">
        <w:rPr>
          <w:lang w:val="en-US"/>
        </w:rPr>
        <w:t>0.1.5.2</w:t>
      </w:r>
      <w:r w:rsidRPr="009C5807">
        <w:rPr>
          <w:lang w:val="en-US"/>
        </w:rPr>
        <w:tab/>
        <w:t>Void</w:t>
      </w:r>
    </w:p>
    <w:p w14:paraId="2747937F" w14:textId="77777777" w:rsidR="001F5A79" w:rsidRPr="009C5807" w:rsidRDefault="001F5A79" w:rsidP="001F5A79">
      <w:pPr>
        <w:rPr>
          <w:lang w:val="en-US"/>
        </w:rPr>
      </w:pPr>
    </w:p>
    <w:p w14:paraId="2EB13CAA" w14:textId="77777777" w:rsidR="0058566D" w:rsidRDefault="0058566D" w:rsidP="0058566D">
      <w:pPr>
        <w:pStyle w:val="Heading4"/>
        <w:rPr>
          <w:lang w:val="en-US"/>
        </w:rPr>
      </w:pPr>
      <w:bookmarkStart w:id="6" w:name="_Hlk517166845"/>
      <w:r>
        <w:rPr>
          <w:lang w:val="en-US"/>
        </w:rPr>
        <w:t>10.1.5.3</w:t>
      </w:r>
      <w:r>
        <w:rPr>
          <w:lang w:val="en-US"/>
        </w:rPr>
        <w:tab/>
        <w:t>Inter-frequency CSI-RSRP accuracy requirements</w:t>
      </w:r>
    </w:p>
    <w:p w14:paraId="607107B1" w14:textId="77777777" w:rsidR="0058566D" w:rsidRDefault="0058566D" w:rsidP="0058566D">
      <w:pPr>
        <w:pStyle w:val="Heading5"/>
        <w:rPr>
          <w:lang w:val="en-US" w:eastAsia="zh-CN"/>
        </w:rPr>
      </w:pPr>
      <w:r>
        <w:rPr>
          <w:lang w:val="en-US" w:eastAsia="zh-CN"/>
        </w:rPr>
        <w:t>10.1.5.3.1</w:t>
      </w:r>
      <w:r>
        <w:rPr>
          <w:lang w:val="en-US" w:eastAsia="zh-CN"/>
        </w:rPr>
        <w:tab/>
        <w:t>Absolute CSI-RSRP Accuracy</w:t>
      </w:r>
    </w:p>
    <w:p w14:paraId="6B410B82" w14:textId="77777777" w:rsidR="0058566D" w:rsidRDefault="0058566D" w:rsidP="0058566D">
      <w:pPr>
        <w:rPr>
          <w:rFonts w:cs="v4.2.0"/>
        </w:rPr>
      </w:pPr>
      <w:r>
        <w:rPr>
          <w:rFonts w:cs="v4.2.0"/>
        </w:rPr>
        <w:t xml:space="preserve">Unless otherwise specified, the requirements for absolute accuracy of </w:t>
      </w:r>
      <w:r>
        <w:rPr>
          <w:rFonts w:cs="v4.2.0"/>
          <w:lang w:eastAsia="zh-CN"/>
        </w:rPr>
        <w:t>CSI-RSRP</w:t>
      </w:r>
      <w:r>
        <w:rPr>
          <w:rFonts w:cs="v4.2.0"/>
        </w:rPr>
        <w:t xml:space="preserve"> in this clause apply to a cell on a frequency in FR2 where the CSI-RS resources to be measured have the different center frequency as the CSI-RS resources indicated for measurement in the serving cell.</w:t>
      </w:r>
    </w:p>
    <w:p w14:paraId="39635DE2" w14:textId="77777777" w:rsidR="0058566D" w:rsidRDefault="0058566D" w:rsidP="0058566D">
      <w:pPr>
        <w:rPr>
          <w:rFonts w:cs="v4.2.0"/>
        </w:rPr>
      </w:pPr>
      <w:r>
        <w:rPr>
          <w:rFonts w:cs="v4.2.0"/>
        </w:rPr>
        <w:t xml:space="preserve">The accuracy requirements in Table </w:t>
      </w:r>
      <w:r>
        <w:rPr>
          <w:rFonts w:cs="v4.2.0"/>
          <w:lang w:eastAsia="zh-CN"/>
        </w:rPr>
        <w:t>10.1.5.3.1</w:t>
      </w:r>
      <w:r>
        <w:rPr>
          <w:rFonts w:cs="v4.2.0"/>
        </w:rPr>
        <w:t>-1 are valid under the following conditions:</w:t>
      </w:r>
    </w:p>
    <w:p w14:paraId="3415710F" w14:textId="77777777" w:rsidR="0058566D" w:rsidRDefault="0058566D" w:rsidP="0058566D">
      <w:pPr>
        <w:pStyle w:val="B10"/>
        <w:rPr>
          <w:lang w:eastAsia="zh-CN"/>
        </w:rPr>
      </w:pPr>
      <w:r>
        <w:t>-</w:t>
      </w:r>
      <w:r>
        <w:tab/>
        <w:t>Conditions defined in clause 7.3 of TS</w:t>
      </w:r>
      <w:r>
        <w:rPr>
          <w:rFonts w:ascii="MS Gothic" w:eastAsia="MS Gothic" w:hAnsi="MS Gothic" w:hint="eastAsia"/>
          <w:lang w:val="en-US" w:eastAsia="ko-KR"/>
        </w:rPr>
        <w:t> </w:t>
      </w:r>
      <w:r>
        <w:t>38.101-2 [19] for reference sensitivity are fulfilled.</w:t>
      </w:r>
    </w:p>
    <w:p w14:paraId="359F0AA4" w14:textId="77777777" w:rsidR="0058566D" w:rsidRDefault="0058566D" w:rsidP="0058566D">
      <w:pPr>
        <w:pStyle w:val="B10"/>
      </w:pPr>
      <w:r>
        <w:t>-</w:t>
      </w:r>
      <w:r>
        <w:tab/>
        <w:t>Conditions for inter-frequency measurements are fulfilled according to Annex B.2.3 for a corresponding Band</w:t>
      </w:r>
      <w:r>
        <w:rPr>
          <w:rFonts w:cs="v4.2.0"/>
          <w:lang w:eastAsia="ko-KR"/>
        </w:rPr>
        <w:t xml:space="preserve"> for each relevant associated SSB</w:t>
      </w:r>
      <w:r>
        <w:t>.</w:t>
      </w:r>
    </w:p>
    <w:p w14:paraId="31680647" w14:textId="77777777" w:rsidR="0058566D" w:rsidRDefault="0058566D" w:rsidP="0058566D">
      <w:pPr>
        <w:pStyle w:val="B10"/>
      </w:pPr>
      <w:r>
        <w:t>-</w:t>
      </w:r>
      <w:r>
        <w:tab/>
      </w:r>
      <w:r w:rsidRPr="00B25D3D">
        <w:t>Conditions for int</w:t>
      </w:r>
      <w:r>
        <w:t>er</w:t>
      </w:r>
      <w:r w:rsidRPr="00B25D3D">
        <w:t xml:space="preserve">-frequency measurements are fulfilled according </w:t>
      </w:r>
      <w:r w:rsidRPr="0075641C">
        <w:t>to Annex B.</w:t>
      </w:r>
      <w:r>
        <w:t>2</w:t>
      </w:r>
      <w:r w:rsidRPr="0075641C">
        <w:t>.</w:t>
      </w:r>
      <w:r>
        <w:t>9</w:t>
      </w:r>
      <w:r w:rsidRPr="00B25D3D">
        <w:t xml:space="preserve"> for a corresponding Band </w:t>
      </w:r>
      <w:r w:rsidRPr="00B25D3D">
        <w:rPr>
          <w:rFonts w:cs="v4.2.0"/>
          <w:lang w:eastAsia="ko-KR"/>
        </w:rPr>
        <w:t xml:space="preserve">for </w:t>
      </w:r>
      <w:r>
        <w:rPr>
          <w:rFonts w:cs="v4.2.0"/>
          <w:lang w:eastAsia="ko-KR"/>
        </w:rPr>
        <w:t>each relevant CSI-RS to be measured.</w:t>
      </w:r>
    </w:p>
    <w:p w14:paraId="7EC59D51" w14:textId="77777777" w:rsidR="0058566D" w:rsidRPr="00573A53" w:rsidRDefault="0058566D" w:rsidP="0058566D">
      <w:pPr>
        <w:pStyle w:val="B10"/>
        <w:rPr>
          <w:lang w:eastAsia="zh-CN"/>
        </w:rPr>
      </w:pPr>
      <w:r>
        <w:rPr>
          <w:rFonts w:hint="eastAsia"/>
          <w:lang w:eastAsia="zh-CN"/>
        </w:rPr>
        <w:t>-</w:t>
      </w:r>
      <w:r>
        <w:tab/>
      </w:r>
      <w:r w:rsidRPr="006820F3">
        <w:t>The bandwidth of CSI-RS is 48 PRBs and the density is 3. The performance with larger bandwidth of CSI-RS is equal to or better than the accuracy requirements in Table 10.1.</w:t>
      </w:r>
      <w:r>
        <w:rPr>
          <w:rFonts w:hint="eastAsia"/>
          <w:lang w:eastAsia="zh-CN"/>
        </w:rPr>
        <w:t>5</w:t>
      </w:r>
      <w:r w:rsidRPr="006820F3">
        <w:t>.</w:t>
      </w:r>
      <w:r>
        <w:rPr>
          <w:rFonts w:hint="eastAsia"/>
          <w:lang w:eastAsia="zh-CN"/>
        </w:rPr>
        <w:t>3</w:t>
      </w:r>
      <w:r w:rsidRPr="006820F3">
        <w:t>.1-1.</w:t>
      </w:r>
    </w:p>
    <w:p w14:paraId="7E313039" w14:textId="05BBE9F2" w:rsidR="0058566D" w:rsidRDefault="0058566D" w:rsidP="0058566D">
      <w:pPr>
        <w:pStyle w:val="B10"/>
      </w:pPr>
      <w:r>
        <w:t>-</w:t>
      </w:r>
      <w:r>
        <w:tab/>
      </w:r>
      <w:r>
        <w:rPr>
          <w:rFonts w:hint="eastAsia"/>
          <w:lang w:eastAsia="zh-CN"/>
        </w:rPr>
        <w:t>The</w:t>
      </w:r>
      <w:r w:rsidRPr="003A519B">
        <w:t xml:space="preserve"> timing offset between the reference measurement timing and the target CSI-RS in one layer </w:t>
      </w:r>
      <w:r>
        <w:t xml:space="preserve">is </w:t>
      </w:r>
      <w:r w:rsidRPr="003A519B">
        <w:t>no larger than CP</w:t>
      </w:r>
      <w:r>
        <w:t>.</w:t>
      </w:r>
    </w:p>
    <w:p w14:paraId="150AA1DD" w14:textId="39407A97" w:rsidR="008935F7" w:rsidRDefault="008935F7" w:rsidP="00AB368A">
      <w:pPr>
        <w:pStyle w:val="NO"/>
        <w:rPr>
          <w:lang w:eastAsia="zh-CN"/>
        </w:rPr>
      </w:pPr>
      <w:r w:rsidRPr="001D14D7">
        <w:rPr>
          <w:lang w:eastAsia="zh-CN"/>
        </w:rPr>
        <w:t>Note:</w:t>
      </w:r>
      <w:r w:rsidR="00AB368A">
        <w:rPr>
          <w:lang w:eastAsia="zh-CN"/>
        </w:rPr>
        <w:tab/>
      </w:r>
      <w:r w:rsidRPr="001D14D7">
        <w:rPr>
          <w:lang w:eastAsia="zh-CN"/>
        </w:rPr>
        <w:t xml:space="preserve">The reference measurement timing for one layer for inter-frequency measurement is </w:t>
      </w:r>
      <w:r w:rsidRPr="001D14D7">
        <w:rPr>
          <w:rFonts w:hint="eastAsia"/>
          <w:lang w:eastAsia="zh-CN"/>
        </w:rPr>
        <w:t>u</w:t>
      </w:r>
      <w:r w:rsidRPr="001D14D7">
        <w:rPr>
          <w:lang w:eastAsia="zh-CN"/>
        </w:rPr>
        <w:t>p to UE implementation and shall be based on the timing of one of the target cells.</w:t>
      </w:r>
    </w:p>
    <w:p w14:paraId="56B92EFB" w14:textId="77777777" w:rsidR="0058566D" w:rsidRDefault="0058566D" w:rsidP="0058566D">
      <w:pPr>
        <w:pStyle w:val="B10"/>
      </w:pPr>
      <w:r>
        <w:t>-</w:t>
      </w:r>
      <w:r>
        <w:tab/>
        <w:t xml:space="preserve">The measured signals are in the directions covered by the percentile EIS spherical coverage of the UE, defined in </w:t>
      </w:r>
      <w:r>
        <w:rPr>
          <w:rFonts w:cs="Arial"/>
        </w:rPr>
        <w:t>clause 7.3.4 of TS 38.101-2 [19]</w:t>
      </w:r>
      <w:r>
        <w:t>.</w:t>
      </w:r>
    </w:p>
    <w:p w14:paraId="194C363E" w14:textId="77777777" w:rsidR="0058566D" w:rsidRDefault="0058566D" w:rsidP="00F37389">
      <w:pPr>
        <w:pStyle w:val="TH"/>
      </w:pPr>
      <w:r>
        <w:t xml:space="preserve">Table </w:t>
      </w:r>
      <w:r>
        <w:rPr>
          <w:lang w:eastAsia="zh-CN"/>
        </w:rPr>
        <w:t>10.1.5.3.1-1</w:t>
      </w:r>
      <w:r>
        <w:t xml:space="preserve">: </w:t>
      </w:r>
      <w:r>
        <w:rPr>
          <w:lang w:eastAsia="zh-CN"/>
        </w:rPr>
        <w:t>CSI-RSRP</w:t>
      </w:r>
      <w:r>
        <w:t xml:space="preserve"> Inter frequency absolute accuracy</w:t>
      </w:r>
      <w:r>
        <w:rPr>
          <w:lang w:eastAsia="zh-CN"/>
        </w:rPr>
        <w:t xml:space="preserve"> in FR2</w:t>
      </w:r>
    </w:p>
    <w:tbl>
      <w:tblPr>
        <w:tblW w:w="8720" w:type="dxa"/>
        <w:jc w:val="center"/>
        <w:tblLook w:val="01E0" w:firstRow="1" w:lastRow="1" w:firstColumn="1" w:lastColumn="1" w:noHBand="0" w:noVBand="0"/>
      </w:tblPr>
      <w:tblGrid>
        <w:gridCol w:w="1111"/>
        <w:gridCol w:w="1110"/>
        <w:gridCol w:w="1110"/>
        <w:gridCol w:w="1116"/>
        <w:gridCol w:w="1116"/>
        <w:gridCol w:w="1578"/>
        <w:gridCol w:w="1579"/>
      </w:tblGrid>
      <w:tr w:rsidR="0058566D" w14:paraId="517355A8" w14:textId="77777777" w:rsidTr="008935F7">
        <w:trPr>
          <w:jc w:val="center"/>
        </w:trPr>
        <w:tc>
          <w:tcPr>
            <w:tcW w:w="2221" w:type="dxa"/>
            <w:gridSpan w:val="2"/>
            <w:tcBorders>
              <w:top w:val="single" w:sz="6" w:space="0" w:color="auto"/>
              <w:left w:val="single" w:sz="4" w:space="0" w:color="auto"/>
              <w:bottom w:val="nil"/>
              <w:right w:val="single" w:sz="6" w:space="0" w:color="auto"/>
            </w:tcBorders>
            <w:vAlign w:val="center"/>
            <w:hideMark/>
          </w:tcPr>
          <w:p w14:paraId="1BC9A0F2" w14:textId="77777777" w:rsidR="0058566D" w:rsidRDefault="0058566D" w:rsidP="008935F7">
            <w:pPr>
              <w:pStyle w:val="TAH"/>
            </w:pPr>
            <w:r>
              <w:t>Accuracy</w:t>
            </w:r>
          </w:p>
        </w:tc>
        <w:tc>
          <w:tcPr>
            <w:tcW w:w="6499" w:type="dxa"/>
            <w:gridSpan w:val="5"/>
            <w:tcBorders>
              <w:top w:val="single" w:sz="4" w:space="0" w:color="auto"/>
              <w:left w:val="single" w:sz="4" w:space="0" w:color="auto"/>
              <w:bottom w:val="nil"/>
              <w:right w:val="single" w:sz="4" w:space="0" w:color="auto"/>
            </w:tcBorders>
            <w:vAlign w:val="center"/>
            <w:hideMark/>
          </w:tcPr>
          <w:p w14:paraId="21303523" w14:textId="77777777" w:rsidR="0058566D" w:rsidRDefault="0058566D" w:rsidP="008935F7">
            <w:pPr>
              <w:pStyle w:val="TAH"/>
            </w:pPr>
            <w:r>
              <w:t>Conditions</w:t>
            </w:r>
          </w:p>
        </w:tc>
      </w:tr>
      <w:tr w:rsidR="0058566D" w14:paraId="32A88E55" w14:textId="77777777" w:rsidTr="008935F7">
        <w:trPr>
          <w:jc w:val="center"/>
        </w:trPr>
        <w:tc>
          <w:tcPr>
            <w:tcW w:w="1111" w:type="dxa"/>
            <w:tcBorders>
              <w:top w:val="single" w:sz="6" w:space="0" w:color="auto"/>
              <w:left w:val="single" w:sz="4" w:space="0" w:color="auto"/>
              <w:bottom w:val="nil"/>
              <w:right w:val="single" w:sz="6" w:space="0" w:color="auto"/>
            </w:tcBorders>
            <w:vAlign w:val="center"/>
            <w:hideMark/>
          </w:tcPr>
          <w:p w14:paraId="50A9F4FB" w14:textId="77777777" w:rsidR="0058566D" w:rsidRDefault="0058566D" w:rsidP="008935F7">
            <w:pPr>
              <w:pStyle w:val="TAH"/>
            </w:pPr>
            <w:r>
              <w:t>Normal condition</w:t>
            </w:r>
          </w:p>
        </w:tc>
        <w:tc>
          <w:tcPr>
            <w:tcW w:w="1110" w:type="dxa"/>
            <w:tcBorders>
              <w:top w:val="single" w:sz="6" w:space="0" w:color="auto"/>
              <w:left w:val="single" w:sz="6" w:space="0" w:color="auto"/>
              <w:bottom w:val="nil"/>
              <w:right w:val="single" w:sz="6" w:space="0" w:color="auto"/>
            </w:tcBorders>
            <w:vAlign w:val="center"/>
            <w:hideMark/>
          </w:tcPr>
          <w:p w14:paraId="2328310E" w14:textId="77777777" w:rsidR="0058566D" w:rsidRDefault="0058566D" w:rsidP="008935F7">
            <w:pPr>
              <w:pStyle w:val="TAH"/>
            </w:pPr>
            <w:r>
              <w:t>Extreme condition</w:t>
            </w:r>
          </w:p>
        </w:tc>
        <w:tc>
          <w:tcPr>
            <w:tcW w:w="1110" w:type="dxa"/>
            <w:tcBorders>
              <w:top w:val="single" w:sz="4" w:space="0" w:color="auto"/>
              <w:left w:val="single" w:sz="4" w:space="0" w:color="auto"/>
              <w:bottom w:val="nil"/>
              <w:right w:val="single" w:sz="4" w:space="0" w:color="auto"/>
            </w:tcBorders>
            <w:hideMark/>
          </w:tcPr>
          <w:p w14:paraId="57EEA0D4" w14:textId="77777777" w:rsidR="0058566D" w:rsidRDefault="0058566D" w:rsidP="008935F7">
            <w:pPr>
              <w:pStyle w:val="TAH"/>
            </w:pPr>
            <w:r>
              <w:rPr>
                <w:rFonts w:cs="Arial"/>
              </w:rPr>
              <w:t>CSI-RS Ês/Iot</w:t>
            </w:r>
          </w:p>
        </w:tc>
        <w:tc>
          <w:tcPr>
            <w:tcW w:w="5389" w:type="dxa"/>
            <w:gridSpan w:val="4"/>
            <w:tcBorders>
              <w:top w:val="single" w:sz="4" w:space="0" w:color="auto"/>
              <w:left w:val="single" w:sz="4" w:space="0" w:color="auto"/>
              <w:bottom w:val="single" w:sz="6" w:space="0" w:color="auto"/>
              <w:right w:val="single" w:sz="4" w:space="0" w:color="auto"/>
            </w:tcBorders>
            <w:vAlign w:val="center"/>
            <w:hideMark/>
          </w:tcPr>
          <w:p w14:paraId="789CCE70" w14:textId="77777777" w:rsidR="0058566D" w:rsidRDefault="0058566D" w:rsidP="008935F7">
            <w:pPr>
              <w:pStyle w:val="TAH"/>
            </w:pPr>
            <w:r>
              <w:t>Io</w:t>
            </w:r>
            <w:r>
              <w:rPr>
                <w:vertAlign w:val="superscript"/>
              </w:rPr>
              <w:t xml:space="preserve"> Note 2</w:t>
            </w:r>
            <w:r>
              <w:t xml:space="preserve"> range</w:t>
            </w:r>
          </w:p>
        </w:tc>
      </w:tr>
      <w:tr w:rsidR="0058566D" w14:paraId="2BBA7031" w14:textId="77777777" w:rsidTr="008935F7">
        <w:trPr>
          <w:jc w:val="center"/>
        </w:trPr>
        <w:tc>
          <w:tcPr>
            <w:tcW w:w="1111" w:type="dxa"/>
            <w:tcBorders>
              <w:top w:val="nil"/>
              <w:left w:val="single" w:sz="4" w:space="0" w:color="auto"/>
              <w:bottom w:val="single" w:sz="6" w:space="0" w:color="auto"/>
              <w:right w:val="single" w:sz="6" w:space="0" w:color="auto"/>
            </w:tcBorders>
            <w:vAlign w:val="center"/>
          </w:tcPr>
          <w:p w14:paraId="07691F3C" w14:textId="77777777" w:rsidR="0058566D" w:rsidRDefault="0058566D" w:rsidP="008935F7">
            <w:pPr>
              <w:pStyle w:val="TAH"/>
            </w:pPr>
          </w:p>
        </w:tc>
        <w:tc>
          <w:tcPr>
            <w:tcW w:w="1110" w:type="dxa"/>
            <w:tcBorders>
              <w:top w:val="nil"/>
              <w:left w:val="single" w:sz="6" w:space="0" w:color="auto"/>
              <w:bottom w:val="single" w:sz="6" w:space="0" w:color="auto"/>
              <w:right w:val="single" w:sz="6" w:space="0" w:color="auto"/>
            </w:tcBorders>
            <w:vAlign w:val="center"/>
          </w:tcPr>
          <w:p w14:paraId="66DFF7CB" w14:textId="77777777" w:rsidR="0058566D" w:rsidRDefault="0058566D" w:rsidP="008935F7">
            <w:pPr>
              <w:pStyle w:val="TAH"/>
            </w:pPr>
          </w:p>
        </w:tc>
        <w:tc>
          <w:tcPr>
            <w:tcW w:w="1110" w:type="dxa"/>
            <w:tcBorders>
              <w:top w:val="nil"/>
              <w:left w:val="single" w:sz="4" w:space="0" w:color="auto"/>
              <w:bottom w:val="single" w:sz="6" w:space="0" w:color="auto"/>
              <w:right w:val="single" w:sz="4" w:space="0" w:color="auto"/>
            </w:tcBorders>
            <w:vAlign w:val="center"/>
          </w:tcPr>
          <w:p w14:paraId="39320D06" w14:textId="77777777" w:rsidR="0058566D" w:rsidRDefault="0058566D" w:rsidP="008935F7">
            <w:pPr>
              <w:pStyle w:val="TAH"/>
            </w:pPr>
          </w:p>
        </w:tc>
        <w:tc>
          <w:tcPr>
            <w:tcW w:w="3810" w:type="dxa"/>
            <w:gridSpan w:val="3"/>
            <w:tcBorders>
              <w:top w:val="single" w:sz="4" w:space="0" w:color="auto"/>
              <w:left w:val="single" w:sz="4" w:space="0" w:color="auto"/>
              <w:bottom w:val="single" w:sz="6" w:space="0" w:color="auto"/>
              <w:right w:val="single" w:sz="6" w:space="0" w:color="auto"/>
            </w:tcBorders>
            <w:vAlign w:val="center"/>
            <w:hideMark/>
          </w:tcPr>
          <w:p w14:paraId="502A76B2" w14:textId="77777777" w:rsidR="0058566D" w:rsidRDefault="0058566D" w:rsidP="008935F7">
            <w:pPr>
              <w:pStyle w:val="TAH"/>
            </w:pPr>
            <w:r>
              <w:t>Minimum Io</w:t>
            </w:r>
          </w:p>
        </w:tc>
        <w:tc>
          <w:tcPr>
            <w:tcW w:w="1579" w:type="dxa"/>
            <w:tcBorders>
              <w:top w:val="single" w:sz="4" w:space="0" w:color="auto"/>
              <w:left w:val="single" w:sz="6" w:space="0" w:color="auto"/>
              <w:bottom w:val="single" w:sz="6" w:space="0" w:color="auto"/>
              <w:right w:val="single" w:sz="4" w:space="0" w:color="auto"/>
            </w:tcBorders>
            <w:vAlign w:val="center"/>
            <w:hideMark/>
          </w:tcPr>
          <w:p w14:paraId="08186A80" w14:textId="77777777" w:rsidR="0058566D" w:rsidRDefault="0058566D" w:rsidP="008935F7">
            <w:pPr>
              <w:pStyle w:val="TAH"/>
            </w:pPr>
            <w:r>
              <w:t>Maximum Io</w:t>
            </w:r>
          </w:p>
        </w:tc>
      </w:tr>
      <w:tr w:rsidR="0058566D" w14:paraId="4A61B153" w14:textId="77777777" w:rsidTr="008935F7">
        <w:trPr>
          <w:jc w:val="center"/>
        </w:trPr>
        <w:tc>
          <w:tcPr>
            <w:tcW w:w="1111" w:type="dxa"/>
            <w:tcBorders>
              <w:top w:val="single" w:sz="6" w:space="0" w:color="auto"/>
              <w:left w:val="single" w:sz="4" w:space="0" w:color="auto"/>
              <w:bottom w:val="nil"/>
              <w:right w:val="single" w:sz="6" w:space="0" w:color="auto"/>
            </w:tcBorders>
            <w:vAlign w:val="center"/>
            <w:hideMark/>
          </w:tcPr>
          <w:p w14:paraId="2A6ECA6A" w14:textId="77777777" w:rsidR="0058566D" w:rsidRDefault="0058566D" w:rsidP="008935F7">
            <w:pPr>
              <w:pStyle w:val="TAH"/>
            </w:pPr>
            <w:r>
              <w:t>dB</w:t>
            </w:r>
          </w:p>
        </w:tc>
        <w:tc>
          <w:tcPr>
            <w:tcW w:w="1110" w:type="dxa"/>
            <w:tcBorders>
              <w:top w:val="single" w:sz="6" w:space="0" w:color="auto"/>
              <w:left w:val="single" w:sz="6" w:space="0" w:color="auto"/>
              <w:bottom w:val="nil"/>
              <w:right w:val="single" w:sz="6" w:space="0" w:color="auto"/>
            </w:tcBorders>
            <w:vAlign w:val="center"/>
            <w:hideMark/>
          </w:tcPr>
          <w:p w14:paraId="77580A57" w14:textId="77777777" w:rsidR="0058566D" w:rsidRDefault="0058566D" w:rsidP="008935F7">
            <w:pPr>
              <w:pStyle w:val="TAH"/>
            </w:pPr>
            <w:r>
              <w:t>dB</w:t>
            </w:r>
          </w:p>
        </w:tc>
        <w:tc>
          <w:tcPr>
            <w:tcW w:w="1110" w:type="dxa"/>
            <w:tcBorders>
              <w:top w:val="single" w:sz="6" w:space="0" w:color="auto"/>
              <w:left w:val="single" w:sz="4" w:space="0" w:color="auto"/>
              <w:bottom w:val="nil"/>
              <w:right w:val="single" w:sz="4" w:space="0" w:color="auto"/>
            </w:tcBorders>
            <w:vAlign w:val="center"/>
            <w:hideMark/>
          </w:tcPr>
          <w:p w14:paraId="0791908A" w14:textId="77777777" w:rsidR="0058566D" w:rsidRDefault="0058566D" w:rsidP="008935F7">
            <w:pPr>
              <w:pStyle w:val="TAH"/>
              <w:rPr>
                <w:rFonts w:cs="Arial"/>
              </w:rPr>
            </w:pPr>
            <w:r>
              <w:t>dB</w:t>
            </w:r>
          </w:p>
        </w:tc>
        <w:tc>
          <w:tcPr>
            <w:tcW w:w="2232" w:type="dxa"/>
            <w:gridSpan w:val="2"/>
            <w:tcBorders>
              <w:top w:val="single" w:sz="6" w:space="0" w:color="auto"/>
              <w:left w:val="single" w:sz="4" w:space="0" w:color="auto"/>
              <w:bottom w:val="single" w:sz="6" w:space="0" w:color="auto"/>
              <w:right w:val="single" w:sz="6" w:space="0" w:color="auto"/>
            </w:tcBorders>
            <w:vAlign w:val="center"/>
            <w:hideMark/>
          </w:tcPr>
          <w:p w14:paraId="7662A505" w14:textId="77777777" w:rsidR="0058566D" w:rsidRDefault="0058566D" w:rsidP="008935F7">
            <w:pPr>
              <w:pStyle w:val="TAH"/>
            </w:pPr>
            <w:r>
              <w:rPr>
                <w:rFonts w:cs="Arial"/>
              </w:rPr>
              <w:t xml:space="preserve">dBm / </w:t>
            </w:r>
            <w:r>
              <w:t>SCS</w:t>
            </w:r>
            <w:r>
              <w:rPr>
                <w:vertAlign w:val="subscript"/>
              </w:rPr>
              <w:t>CSI-RS</w:t>
            </w:r>
            <w:r>
              <w:rPr>
                <w:vertAlign w:val="superscript"/>
              </w:rPr>
              <w:t xml:space="preserve"> Note 1</w:t>
            </w:r>
          </w:p>
        </w:tc>
        <w:tc>
          <w:tcPr>
            <w:tcW w:w="1578" w:type="dxa"/>
            <w:tcBorders>
              <w:top w:val="single" w:sz="6" w:space="0" w:color="auto"/>
              <w:left w:val="single" w:sz="6" w:space="0" w:color="auto"/>
              <w:bottom w:val="nil"/>
              <w:right w:val="single" w:sz="6" w:space="0" w:color="auto"/>
            </w:tcBorders>
            <w:vAlign w:val="center"/>
            <w:hideMark/>
          </w:tcPr>
          <w:p w14:paraId="41619512" w14:textId="77777777" w:rsidR="0058566D" w:rsidRDefault="0058566D" w:rsidP="008935F7">
            <w:pPr>
              <w:pStyle w:val="TAH"/>
            </w:pPr>
            <w:r>
              <w:t>dBm/BW</w:t>
            </w:r>
            <w:r>
              <w:rPr>
                <w:vertAlign w:val="subscript"/>
              </w:rPr>
              <w:t>Channel</w:t>
            </w:r>
          </w:p>
        </w:tc>
        <w:tc>
          <w:tcPr>
            <w:tcW w:w="1579" w:type="dxa"/>
            <w:tcBorders>
              <w:top w:val="single" w:sz="6" w:space="0" w:color="auto"/>
              <w:left w:val="single" w:sz="6" w:space="0" w:color="auto"/>
              <w:bottom w:val="nil"/>
              <w:right w:val="single" w:sz="4" w:space="0" w:color="auto"/>
            </w:tcBorders>
            <w:vAlign w:val="center"/>
            <w:hideMark/>
          </w:tcPr>
          <w:p w14:paraId="57A0AEE0" w14:textId="77777777" w:rsidR="0058566D" w:rsidRDefault="0058566D" w:rsidP="008935F7">
            <w:pPr>
              <w:pStyle w:val="TAH"/>
            </w:pPr>
            <w:r>
              <w:t>dBm/BW</w:t>
            </w:r>
            <w:r>
              <w:rPr>
                <w:vertAlign w:val="subscript"/>
              </w:rPr>
              <w:t>Channel</w:t>
            </w:r>
          </w:p>
        </w:tc>
      </w:tr>
      <w:tr w:rsidR="0058566D" w14:paraId="409B8E8C" w14:textId="77777777" w:rsidTr="008935F7">
        <w:trPr>
          <w:jc w:val="center"/>
        </w:trPr>
        <w:tc>
          <w:tcPr>
            <w:tcW w:w="1111" w:type="dxa"/>
            <w:tcBorders>
              <w:top w:val="nil"/>
              <w:left w:val="single" w:sz="4" w:space="0" w:color="auto"/>
              <w:bottom w:val="single" w:sz="6" w:space="0" w:color="auto"/>
              <w:right w:val="single" w:sz="6" w:space="0" w:color="auto"/>
            </w:tcBorders>
            <w:vAlign w:val="center"/>
          </w:tcPr>
          <w:p w14:paraId="20DC90D9" w14:textId="77777777" w:rsidR="0058566D" w:rsidRDefault="0058566D" w:rsidP="008935F7">
            <w:pPr>
              <w:pStyle w:val="TAH"/>
            </w:pPr>
          </w:p>
        </w:tc>
        <w:tc>
          <w:tcPr>
            <w:tcW w:w="1110" w:type="dxa"/>
            <w:tcBorders>
              <w:top w:val="nil"/>
              <w:left w:val="single" w:sz="6" w:space="0" w:color="auto"/>
              <w:bottom w:val="single" w:sz="6" w:space="0" w:color="auto"/>
              <w:right w:val="single" w:sz="6" w:space="0" w:color="auto"/>
            </w:tcBorders>
            <w:vAlign w:val="center"/>
          </w:tcPr>
          <w:p w14:paraId="48ADAA8D" w14:textId="77777777" w:rsidR="0058566D" w:rsidRDefault="0058566D" w:rsidP="008935F7">
            <w:pPr>
              <w:pStyle w:val="TAH"/>
            </w:pPr>
          </w:p>
        </w:tc>
        <w:tc>
          <w:tcPr>
            <w:tcW w:w="1110" w:type="dxa"/>
            <w:tcBorders>
              <w:top w:val="nil"/>
              <w:left w:val="single" w:sz="4" w:space="0" w:color="auto"/>
              <w:bottom w:val="single" w:sz="6" w:space="0" w:color="auto"/>
              <w:right w:val="single" w:sz="4" w:space="0" w:color="auto"/>
            </w:tcBorders>
          </w:tcPr>
          <w:p w14:paraId="4974B545" w14:textId="77777777" w:rsidR="0058566D" w:rsidRDefault="0058566D" w:rsidP="008935F7">
            <w:pPr>
              <w:pStyle w:val="TAH"/>
            </w:pPr>
          </w:p>
        </w:tc>
        <w:tc>
          <w:tcPr>
            <w:tcW w:w="1116" w:type="dxa"/>
            <w:tcBorders>
              <w:top w:val="single" w:sz="6" w:space="0" w:color="auto"/>
              <w:left w:val="single" w:sz="4" w:space="0" w:color="auto"/>
              <w:bottom w:val="single" w:sz="6" w:space="0" w:color="auto"/>
              <w:right w:val="single" w:sz="6" w:space="0" w:color="auto"/>
            </w:tcBorders>
            <w:vAlign w:val="center"/>
            <w:hideMark/>
          </w:tcPr>
          <w:p w14:paraId="1D5AEDF0" w14:textId="77777777" w:rsidR="0058566D" w:rsidRDefault="0058566D" w:rsidP="008935F7">
            <w:pPr>
              <w:pStyle w:val="TAH"/>
            </w:pPr>
            <w:r>
              <w:t>SCS</w:t>
            </w:r>
            <w:r>
              <w:rPr>
                <w:vertAlign w:val="subscript"/>
              </w:rPr>
              <w:t>CSI-RS</w:t>
            </w:r>
            <w:r>
              <w:rPr>
                <w:rFonts w:cs="Arial"/>
              </w:rPr>
              <w:t xml:space="preserve"> = 60kHz</w:t>
            </w:r>
          </w:p>
        </w:tc>
        <w:tc>
          <w:tcPr>
            <w:tcW w:w="1116" w:type="dxa"/>
            <w:tcBorders>
              <w:top w:val="single" w:sz="6" w:space="0" w:color="auto"/>
              <w:left w:val="single" w:sz="4" w:space="0" w:color="auto"/>
              <w:bottom w:val="single" w:sz="6" w:space="0" w:color="auto"/>
              <w:right w:val="single" w:sz="6" w:space="0" w:color="auto"/>
            </w:tcBorders>
            <w:vAlign w:val="center"/>
            <w:hideMark/>
          </w:tcPr>
          <w:p w14:paraId="4466C9CF" w14:textId="77777777" w:rsidR="0058566D" w:rsidRDefault="0058566D" w:rsidP="008935F7">
            <w:pPr>
              <w:pStyle w:val="TAH"/>
            </w:pPr>
            <w:r>
              <w:t>SCS</w:t>
            </w:r>
            <w:r>
              <w:rPr>
                <w:vertAlign w:val="subscript"/>
              </w:rPr>
              <w:t>CSI-RS</w:t>
            </w:r>
            <w:r>
              <w:rPr>
                <w:rFonts w:cs="Arial"/>
              </w:rPr>
              <w:t xml:space="preserve"> = 120kHz</w:t>
            </w:r>
          </w:p>
        </w:tc>
        <w:tc>
          <w:tcPr>
            <w:tcW w:w="1578" w:type="dxa"/>
            <w:tcBorders>
              <w:top w:val="nil"/>
              <w:left w:val="single" w:sz="6" w:space="0" w:color="auto"/>
              <w:bottom w:val="single" w:sz="6" w:space="0" w:color="auto"/>
              <w:right w:val="single" w:sz="6" w:space="0" w:color="auto"/>
            </w:tcBorders>
            <w:vAlign w:val="center"/>
          </w:tcPr>
          <w:p w14:paraId="3658D7D3" w14:textId="77777777" w:rsidR="0058566D" w:rsidRDefault="0058566D" w:rsidP="008935F7">
            <w:pPr>
              <w:pStyle w:val="TAH"/>
            </w:pPr>
          </w:p>
        </w:tc>
        <w:tc>
          <w:tcPr>
            <w:tcW w:w="1579" w:type="dxa"/>
            <w:tcBorders>
              <w:top w:val="nil"/>
              <w:left w:val="single" w:sz="6" w:space="0" w:color="auto"/>
              <w:bottom w:val="single" w:sz="6" w:space="0" w:color="auto"/>
              <w:right w:val="single" w:sz="4" w:space="0" w:color="auto"/>
            </w:tcBorders>
            <w:vAlign w:val="center"/>
          </w:tcPr>
          <w:p w14:paraId="095C9A63" w14:textId="77777777" w:rsidR="0058566D" w:rsidRDefault="0058566D" w:rsidP="008935F7">
            <w:pPr>
              <w:pStyle w:val="TAH"/>
            </w:pPr>
          </w:p>
        </w:tc>
      </w:tr>
      <w:tr w:rsidR="0058566D" w14:paraId="1FFBB557" w14:textId="77777777" w:rsidTr="008935F7">
        <w:trPr>
          <w:jc w:val="center"/>
        </w:trPr>
        <w:tc>
          <w:tcPr>
            <w:tcW w:w="1111" w:type="dxa"/>
            <w:tcBorders>
              <w:top w:val="single" w:sz="6" w:space="0" w:color="auto"/>
              <w:left w:val="single" w:sz="4" w:space="0" w:color="auto"/>
              <w:bottom w:val="nil"/>
              <w:right w:val="single" w:sz="6" w:space="0" w:color="auto"/>
            </w:tcBorders>
            <w:vAlign w:val="center"/>
            <w:hideMark/>
          </w:tcPr>
          <w:p w14:paraId="2AB86EBF" w14:textId="77777777" w:rsidR="0058566D" w:rsidRDefault="0058566D" w:rsidP="008935F7">
            <w:pPr>
              <w:pStyle w:val="TAC"/>
            </w:pPr>
            <w:r>
              <w:sym w:font="Symbol" w:char="F0B1"/>
            </w:r>
            <w:r>
              <w:t>6</w:t>
            </w:r>
          </w:p>
        </w:tc>
        <w:tc>
          <w:tcPr>
            <w:tcW w:w="1110" w:type="dxa"/>
            <w:tcBorders>
              <w:top w:val="single" w:sz="6" w:space="0" w:color="auto"/>
              <w:left w:val="single" w:sz="6" w:space="0" w:color="auto"/>
              <w:bottom w:val="nil"/>
              <w:right w:val="single" w:sz="6" w:space="0" w:color="auto"/>
            </w:tcBorders>
            <w:vAlign w:val="center"/>
            <w:hideMark/>
          </w:tcPr>
          <w:p w14:paraId="007D5FB8" w14:textId="77777777" w:rsidR="0058566D" w:rsidRDefault="0058566D" w:rsidP="008935F7">
            <w:pPr>
              <w:pStyle w:val="TAC"/>
            </w:pPr>
            <w:r>
              <w:sym w:font="Symbol" w:char="F0B1"/>
            </w:r>
            <w:r>
              <w:t>9</w:t>
            </w:r>
          </w:p>
        </w:tc>
        <w:tc>
          <w:tcPr>
            <w:tcW w:w="1110" w:type="dxa"/>
            <w:tcBorders>
              <w:top w:val="single" w:sz="6" w:space="0" w:color="auto"/>
              <w:left w:val="single" w:sz="4" w:space="0" w:color="auto"/>
              <w:bottom w:val="nil"/>
              <w:right w:val="single" w:sz="4" w:space="0" w:color="auto"/>
            </w:tcBorders>
            <w:vAlign w:val="center"/>
            <w:hideMark/>
          </w:tcPr>
          <w:p w14:paraId="64CDD083" w14:textId="77777777" w:rsidR="0058566D" w:rsidRDefault="0058566D" w:rsidP="008935F7">
            <w:pPr>
              <w:pStyle w:val="TAC"/>
            </w:pPr>
            <w:r>
              <w:rPr>
                <w:rFonts w:eastAsia="Yu Mincho" w:cs="Arial"/>
                <w:lang w:eastAsia="ja-JP"/>
              </w:rPr>
              <w:t>≥-4</w:t>
            </w:r>
          </w:p>
        </w:tc>
        <w:tc>
          <w:tcPr>
            <w:tcW w:w="2232" w:type="dxa"/>
            <w:gridSpan w:val="2"/>
            <w:tcBorders>
              <w:top w:val="single" w:sz="6" w:space="0" w:color="auto"/>
              <w:left w:val="single" w:sz="4" w:space="0" w:color="auto"/>
              <w:bottom w:val="single" w:sz="6" w:space="0" w:color="auto"/>
              <w:right w:val="single" w:sz="6" w:space="0" w:color="auto"/>
            </w:tcBorders>
            <w:vAlign w:val="center"/>
            <w:hideMark/>
          </w:tcPr>
          <w:p w14:paraId="46C5140C" w14:textId="77777777" w:rsidR="0058566D" w:rsidRDefault="0058566D" w:rsidP="008935F7">
            <w:pPr>
              <w:pStyle w:val="TAC"/>
              <w:rPr>
                <w:rFonts w:eastAsia="Yu Mincho"/>
                <w:lang w:eastAsia="ja-JP"/>
              </w:rPr>
            </w:pPr>
            <w:r>
              <w:t>Same value as CSI_RP in Table B.2.9-2, according to UE Power class, operating band and angle of arrival</w:t>
            </w:r>
          </w:p>
        </w:tc>
        <w:tc>
          <w:tcPr>
            <w:tcW w:w="1578" w:type="dxa"/>
            <w:tcBorders>
              <w:top w:val="single" w:sz="6" w:space="0" w:color="auto"/>
              <w:left w:val="single" w:sz="6" w:space="0" w:color="auto"/>
              <w:bottom w:val="single" w:sz="6" w:space="0" w:color="auto"/>
              <w:right w:val="single" w:sz="6" w:space="0" w:color="auto"/>
            </w:tcBorders>
            <w:vAlign w:val="center"/>
            <w:hideMark/>
          </w:tcPr>
          <w:p w14:paraId="119EE93A" w14:textId="77777777" w:rsidR="0058566D" w:rsidRDefault="0058566D" w:rsidP="008935F7">
            <w:pPr>
              <w:pStyle w:val="TAC"/>
            </w:pPr>
            <w:r>
              <w:rPr>
                <w:lang w:eastAsia="zh-CN"/>
              </w:rPr>
              <w:t>N/A</w:t>
            </w:r>
          </w:p>
        </w:tc>
        <w:tc>
          <w:tcPr>
            <w:tcW w:w="1579" w:type="dxa"/>
            <w:tcBorders>
              <w:top w:val="single" w:sz="6" w:space="0" w:color="auto"/>
              <w:left w:val="single" w:sz="6" w:space="0" w:color="auto"/>
              <w:bottom w:val="single" w:sz="6" w:space="0" w:color="auto"/>
              <w:right w:val="single" w:sz="4" w:space="0" w:color="auto"/>
            </w:tcBorders>
            <w:vAlign w:val="center"/>
            <w:hideMark/>
          </w:tcPr>
          <w:p w14:paraId="186619E2" w14:textId="77777777" w:rsidR="0058566D" w:rsidRDefault="0058566D" w:rsidP="008935F7">
            <w:pPr>
              <w:pStyle w:val="TAC"/>
            </w:pPr>
            <w:r>
              <w:t>-70</w:t>
            </w:r>
          </w:p>
        </w:tc>
      </w:tr>
      <w:tr w:rsidR="0058566D" w14:paraId="630C9565" w14:textId="77777777" w:rsidTr="008935F7">
        <w:trPr>
          <w:jc w:val="center"/>
        </w:trPr>
        <w:tc>
          <w:tcPr>
            <w:tcW w:w="1111" w:type="dxa"/>
            <w:tcBorders>
              <w:top w:val="single" w:sz="6" w:space="0" w:color="auto"/>
              <w:left w:val="single" w:sz="4" w:space="0" w:color="auto"/>
              <w:bottom w:val="single" w:sz="6" w:space="0" w:color="auto"/>
              <w:right w:val="single" w:sz="6" w:space="0" w:color="auto"/>
            </w:tcBorders>
            <w:vAlign w:val="center"/>
            <w:hideMark/>
          </w:tcPr>
          <w:p w14:paraId="166893F7" w14:textId="77777777" w:rsidR="0058566D" w:rsidRDefault="0058566D" w:rsidP="008935F7">
            <w:pPr>
              <w:pStyle w:val="TAC"/>
            </w:pPr>
            <w:r>
              <w:sym w:font="Symbol" w:char="F0B1"/>
            </w:r>
            <w:r>
              <w:t>8</w:t>
            </w:r>
          </w:p>
        </w:tc>
        <w:tc>
          <w:tcPr>
            <w:tcW w:w="1110" w:type="dxa"/>
            <w:tcBorders>
              <w:top w:val="single" w:sz="6" w:space="0" w:color="auto"/>
              <w:left w:val="single" w:sz="6" w:space="0" w:color="auto"/>
              <w:bottom w:val="single" w:sz="6" w:space="0" w:color="auto"/>
              <w:right w:val="single" w:sz="6" w:space="0" w:color="auto"/>
            </w:tcBorders>
            <w:vAlign w:val="center"/>
            <w:hideMark/>
          </w:tcPr>
          <w:p w14:paraId="4501178A" w14:textId="77777777" w:rsidR="0058566D" w:rsidRDefault="0058566D" w:rsidP="008935F7">
            <w:pPr>
              <w:pStyle w:val="TAC"/>
            </w:pPr>
            <w:r>
              <w:sym w:font="Symbol" w:char="F0B1"/>
            </w:r>
            <w:r>
              <w:t>11</w:t>
            </w:r>
          </w:p>
        </w:tc>
        <w:tc>
          <w:tcPr>
            <w:tcW w:w="1110" w:type="dxa"/>
            <w:tcBorders>
              <w:top w:val="nil"/>
              <w:left w:val="single" w:sz="4" w:space="0" w:color="auto"/>
              <w:bottom w:val="single" w:sz="6" w:space="0" w:color="auto"/>
              <w:right w:val="single" w:sz="4" w:space="0" w:color="auto"/>
            </w:tcBorders>
          </w:tcPr>
          <w:p w14:paraId="55F0D46F" w14:textId="77777777" w:rsidR="0058566D" w:rsidRDefault="0058566D" w:rsidP="008935F7">
            <w:pPr>
              <w:pStyle w:val="TAC"/>
            </w:pPr>
          </w:p>
        </w:tc>
        <w:tc>
          <w:tcPr>
            <w:tcW w:w="2232" w:type="dxa"/>
            <w:gridSpan w:val="2"/>
            <w:tcBorders>
              <w:top w:val="single" w:sz="6" w:space="0" w:color="auto"/>
              <w:left w:val="single" w:sz="4" w:space="0" w:color="auto"/>
              <w:bottom w:val="single" w:sz="6" w:space="0" w:color="auto"/>
              <w:right w:val="single" w:sz="6" w:space="0" w:color="auto"/>
            </w:tcBorders>
            <w:vAlign w:val="center"/>
            <w:hideMark/>
          </w:tcPr>
          <w:p w14:paraId="13129539" w14:textId="77777777" w:rsidR="0058566D" w:rsidRDefault="0058566D" w:rsidP="008935F7">
            <w:pPr>
              <w:pStyle w:val="TAC"/>
            </w:pPr>
            <w:r>
              <w:t>N/A</w:t>
            </w:r>
          </w:p>
        </w:tc>
        <w:tc>
          <w:tcPr>
            <w:tcW w:w="1578" w:type="dxa"/>
            <w:tcBorders>
              <w:top w:val="single" w:sz="6" w:space="0" w:color="auto"/>
              <w:left w:val="single" w:sz="6" w:space="0" w:color="auto"/>
              <w:bottom w:val="single" w:sz="6" w:space="0" w:color="auto"/>
              <w:right w:val="single" w:sz="6" w:space="0" w:color="auto"/>
            </w:tcBorders>
            <w:vAlign w:val="center"/>
            <w:hideMark/>
          </w:tcPr>
          <w:p w14:paraId="4AF35897" w14:textId="77777777" w:rsidR="0058566D" w:rsidRDefault="0058566D" w:rsidP="008935F7">
            <w:pPr>
              <w:pStyle w:val="TAC"/>
            </w:pPr>
            <w:r>
              <w:t>-70</w:t>
            </w:r>
          </w:p>
        </w:tc>
        <w:tc>
          <w:tcPr>
            <w:tcW w:w="1579" w:type="dxa"/>
            <w:tcBorders>
              <w:top w:val="single" w:sz="6" w:space="0" w:color="auto"/>
              <w:left w:val="single" w:sz="6" w:space="0" w:color="auto"/>
              <w:bottom w:val="single" w:sz="6" w:space="0" w:color="auto"/>
              <w:right w:val="single" w:sz="4" w:space="0" w:color="auto"/>
            </w:tcBorders>
            <w:vAlign w:val="center"/>
            <w:hideMark/>
          </w:tcPr>
          <w:p w14:paraId="749A6B20" w14:textId="77777777" w:rsidR="0058566D" w:rsidRDefault="0058566D" w:rsidP="008935F7">
            <w:pPr>
              <w:pStyle w:val="TAC"/>
            </w:pPr>
            <w:r>
              <w:t>-50</w:t>
            </w:r>
          </w:p>
        </w:tc>
      </w:tr>
      <w:tr w:rsidR="0058566D" w14:paraId="5682C672" w14:textId="77777777" w:rsidTr="008935F7">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74CC3DBF" w14:textId="77777777" w:rsidR="0058566D" w:rsidRDefault="0058566D" w:rsidP="008935F7">
            <w:pPr>
              <w:pStyle w:val="TAN"/>
            </w:pPr>
            <w:r>
              <w:t>Note 1:</w:t>
            </w:r>
            <w:r>
              <w:tab/>
              <w:t>Values based on Refsens and EIS spherical coverage as defined in clauses 7.3.2 and 7.3.4 of TS 38.101-2 [19]. Applicable side condition selected depending on angle of arrival.</w:t>
            </w:r>
          </w:p>
          <w:p w14:paraId="5A69C477" w14:textId="77777777" w:rsidR="0058566D" w:rsidRDefault="0058566D" w:rsidP="008935F7">
            <w:pPr>
              <w:pStyle w:val="TAN"/>
            </w:pPr>
            <w:r>
              <w:t>Note 2:</w:t>
            </w:r>
            <w:r>
              <w:tab/>
            </w:r>
            <w:r>
              <w:rPr>
                <w:rFonts w:eastAsia="MS Mincho"/>
              </w:rPr>
              <w:t>Io specified at the Reference point, and assumed to have constant EPRE across the bandwidth</w:t>
            </w:r>
            <w:r>
              <w:t>.</w:t>
            </w:r>
          </w:p>
          <w:p w14:paraId="26A301A4" w14:textId="77777777" w:rsidR="0058566D" w:rsidRDefault="0058566D" w:rsidP="008935F7">
            <w:pPr>
              <w:pStyle w:val="TAN"/>
            </w:pPr>
            <w:r>
              <w:t>Note 3:</w:t>
            </w:r>
            <w:r>
              <w:tab/>
              <w:t>In the test cases, the CSI-RS Ês/Iot and related parameters may need to be adjusted to ensure Ês/Iot at UE baseband is above the value defined in this table.</w:t>
            </w:r>
          </w:p>
        </w:tc>
      </w:tr>
    </w:tbl>
    <w:p w14:paraId="7203E365" w14:textId="77777777" w:rsidR="0058566D" w:rsidRDefault="0058566D" w:rsidP="0058566D">
      <w:pPr>
        <w:rPr>
          <w:lang w:eastAsia="zh-CN"/>
        </w:rPr>
      </w:pPr>
    </w:p>
    <w:p w14:paraId="1A378DAF" w14:textId="77777777" w:rsidR="0058566D" w:rsidRDefault="0058566D" w:rsidP="0058566D">
      <w:pPr>
        <w:pStyle w:val="Heading5"/>
        <w:rPr>
          <w:lang w:val="en-US" w:eastAsia="zh-CN"/>
        </w:rPr>
      </w:pPr>
      <w:r>
        <w:rPr>
          <w:lang w:val="en-US" w:eastAsia="zh-CN"/>
        </w:rPr>
        <w:t>10.1.5.3.2</w:t>
      </w:r>
      <w:r>
        <w:rPr>
          <w:lang w:val="en-US" w:eastAsia="zh-CN"/>
        </w:rPr>
        <w:tab/>
        <w:t>Relative CSI-RSRP Accuracy</w:t>
      </w:r>
    </w:p>
    <w:p w14:paraId="60432CF1" w14:textId="77777777" w:rsidR="0058566D" w:rsidRDefault="0058566D" w:rsidP="0058566D">
      <w:pPr>
        <w:rPr>
          <w:rFonts w:cs="v4.2.0"/>
        </w:rPr>
      </w:pPr>
      <w:r>
        <w:rPr>
          <w:rFonts w:cs="v4.2.0"/>
        </w:rPr>
        <w:t xml:space="preserve">The relative accuracy of </w:t>
      </w:r>
      <w:r>
        <w:rPr>
          <w:rFonts w:cs="v4.2.0"/>
          <w:lang w:eastAsia="zh-CN"/>
        </w:rPr>
        <w:t>CSI-RSRP</w:t>
      </w:r>
      <w:r>
        <w:rPr>
          <w:rFonts w:cs="v4.2.0"/>
        </w:rPr>
        <w:t xml:space="preserve"> in inter frequency case is defined as the </w:t>
      </w:r>
      <w:r>
        <w:rPr>
          <w:rFonts w:cs="v4.2.0"/>
          <w:lang w:eastAsia="zh-CN"/>
        </w:rPr>
        <w:t>CSI-RSRP</w:t>
      </w:r>
      <w:r>
        <w:rPr>
          <w:rFonts w:cs="v4.2.0"/>
        </w:rPr>
        <w:t xml:space="preserve"> measured from one cell on a frequency in FR2 compared to the </w:t>
      </w:r>
      <w:r>
        <w:rPr>
          <w:rFonts w:cs="v4.2.0"/>
          <w:lang w:eastAsia="zh-CN"/>
        </w:rPr>
        <w:t>CSI-RSRP</w:t>
      </w:r>
      <w:r>
        <w:rPr>
          <w:rFonts w:cs="v4.2.0"/>
        </w:rPr>
        <w:t xml:space="preserve"> measured from another cell on another frequency in FR2.</w:t>
      </w:r>
    </w:p>
    <w:p w14:paraId="0C200680" w14:textId="77777777" w:rsidR="0058566D" w:rsidRDefault="0058566D" w:rsidP="0058566D">
      <w:pPr>
        <w:rPr>
          <w:rFonts w:cs="v4.2.0"/>
        </w:rPr>
      </w:pPr>
      <w:r>
        <w:rPr>
          <w:rFonts w:cs="v4.2.0"/>
        </w:rPr>
        <w:t xml:space="preserve">The accuracy requirements in Table </w:t>
      </w:r>
      <w:r>
        <w:rPr>
          <w:lang w:eastAsia="zh-CN"/>
        </w:rPr>
        <w:t>10.1.5.3.2</w:t>
      </w:r>
      <w:r>
        <w:rPr>
          <w:rFonts w:cs="v4.2.0"/>
        </w:rPr>
        <w:t>-1 are valid under the following conditions:</w:t>
      </w:r>
    </w:p>
    <w:p w14:paraId="43A61406" w14:textId="77777777" w:rsidR="0058566D" w:rsidRDefault="0058566D" w:rsidP="0058566D">
      <w:pPr>
        <w:pStyle w:val="B10"/>
        <w:rPr>
          <w:lang w:eastAsia="zh-CN"/>
        </w:rPr>
      </w:pPr>
      <w:r>
        <w:t>-</w:t>
      </w:r>
      <w:r>
        <w:tab/>
        <w:t>Conditions defined in 38.101-2 [19] Clause 7.3 for reference sensitivity are fulfilled.</w:t>
      </w:r>
    </w:p>
    <w:p w14:paraId="555AF482" w14:textId="77777777" w:rsidR="0058566D" w:rsidRDefault="0058566D" w:rsidP="0058566D">
      <w:pPr>
        <w:pStyle w:val="B10"/>
      </w:pPr>
      <w:r>
        <w:t>-</w:t>
      </w:r>
      <w:r>
        <w:tab/>
        <w:t xml:space="preserve">Conditions for inter-frequency measurements are fulfilled according to Annex B.2.3 for a corresponding Band </w:t>
      </w:r>
      <w:r>
        <w:rPr>
          <w:rFonts w:cs="v4.2.0"/>
          <w:lang w:eastAsia="ko-KR"/>
        </w:rPr>
        <w:t>for each relevant associated SSB</w:t>
      </w:r>
      <w:r>
        <w:t>.</w:t>
      </w:r>
    </w:p>
    <w:p w14:paraId="1D630043" w14:textId="77777777" w:rsidR="0058566D" w:rsidRDefault="0058566D" w:rsidP="0058566D">
      <w:pPr>
        <w:pStyle w:val="B10"/>
      </w:pPr>
      <w:r>
        <w:t>-</w:t>
      </w:r>
      <w:r>
        <w:tab/>
      </w:r>
      <w:r w:rsidRPr="00B25D3D">
        <w:t>Conditions for int</w:t>
      </w:r>
      <w:r>
        <w:t>er</w:t>
      </w:r>
      <w:r w:rsidRPr="00B25D3D">
        <w:t xml:space="preserve">-frequency measurements are fulfilled according </w:t>
      </w:r>
      <w:r w:rsidRPr="0075641C">
        <w:t>to Annex B.</w:t>
      </w:r>
      <w:r>
        <w:t>2</w:t>
      </w:r>
      <w:r w:rsidRPr="0075641C">
        <w:t>.</w:t>
      </w:r>
      <w:r>
        <w:t>9</w:t>
      </w:r>
      <w:r w:rsidRPr="00B25D3D">
        <w:t xml:space="preserve"> for a corresponding Band </w:t>
      </w:r>
      <w:r w:rsidRPr="00B25D3D">
        <w:rPr>
          <w:rFonts w:cs="v4.2.0"/>
          <w:lang w:eastAsia="ko-KR"/>
        </w:rPr>
        <w:t xml:space="preserve">for </w:t>
      </w:r>
      <w:r>
        <w:rPr>
          <w:rFonts w:cs="v4.2.0"/>
          <w:lang w:eastAsia="ko-KR"/>
        </w:rPr>
        <w:t>each relevant CSI-RS to be measured.</w:t>
      </w:r>
    </w:p>
    <w:p w14:paraId="7A0DC66E" w14:textId="77777777" w:rsidR="0058566D" w:rsidRPr="00573A53" w:rsidRDefault="0058566D" w:rsidP="0058566D">
      <w:pPr>
        <w:pStyle w:val="B10"/>
        <w:rPr>
          <w:lang w:eastAsia="zh-CN"/>
        </w:rPr>
      </w:pPr>
      <w:r>
        <w:rPr>
          <w:rFonts w:hint="eastAsia"/>
          <w:lang w:eastAsia="zh-CN"/>
        </w:rPr>
        <w:t>-</w:t>
      </w:r>
      <w:r>
        <w:tab/>
      </w:r>
      <w:r w:rsidRPr="006820F3">
        <w:t>The bandwidth of CSI-RS is 48 PRBs and the density is 3. The performance with larger bandwidth of CSI-RS is equal to or better than the accuracy requirements in Table 10.1.</w:t>
      </w:r>
      <w:r>
        <w:rPr>
          <w:rFonts w:hint="eastAsia"/>
          <w:lang w:eastAsia="zh-CN"/>
        </w:rPr>
        <w:t>5</w:t>
      </w:r>
      <w:r w:rsidRPr="006820F3">
        <w:t>.</w:t>
      </w:r>
      <w:r>
        <w:rPr>
          <w:rFonts w:hint="eastAsia"/>
          <w:lang w:eastAsia="zh-CN"/>
        </w:rPr>
        <w:t>3</w:t>
      </w:r>
      <w:r w:rsidRPr="006820F3">
        <w:t>.</w:t>
      </w:r>
      <w:r>
        <w:rPr>
          <w:rFonts w:hint="eastAsia"/>
          <w:lang w:eastAsia="zh-CN"/>
        </w:rPr>
        <w:t>2</w:t>
      </w:r>
      <w:r w:rsidRPr="006820F3">
        <w:t>-1.</w:t>
      </w:r>
      <w:r>
        <w:t xml:space="preserve"> </w:t>
      </w:r>
    </w:p>
    <w:p w14:paraId="7D825DB9" w14:textId="77777777" w:rsidR="0058566D" w:rsidRDefault="0058566D" w:rsidP="0058566D">
      <w:pPr>
        <w:pStyle w:val="B10"/>
        <w:rPr>
          <w:lang w:eastAsia="zh-CN"/>
        </w:rPr>
      </w:pPr>
      <w:r>
        <w:t>-</w:t>
      </w:r>
      <w:r>
        <w:tab/>
      </w:r>
      <w:r>
        <w:rPr>
          <w:rFonts w:hint="eastAsia"/>
          <w:lang w:eastAsia="zh-CN"/>
        </w:rPr>
        <w:t>The</w:t>
      </w:r>
      <w:r w:rsidRPr="003A519B">
        <w:t xml:space="preserve"> timing offset between the reference measurement timing and the target CSI-RS in one layer </w:t>
      </w:r>
      <w:r>
        <w:t xml:space="preserve">is </w:t>
      </w:r>
      <w:r w:rsidRPr="003A519B">
        <w:t>no larger than CP</w:t>
      </w:r>
      <w:r>
        <w:t>.</w:t>
      </w:r>
    </w:p>
    <w:p w14:paraId="0D52747A" w14:textId="08F5D3E8" w:rsidR="0058566D" w:rsidRPr="00573A53" w:rsidRDefault="0058566D" w:rsidP="00AB368A">
      <w:pPr>
        <w:pStyle w:val="NO"/>
        <w:rPr>
          <w:lang w:eastAsia="zh-CN"/>
        </w:rPr>
      </w:pPr>
      <w:r w:rsidRPr="001D14D7">
        <w:rPr>
          <w:lang w:eastAsia="zh-CN"/>
        </w:rPr>
        <w:t>Note:</w:t>
      </w:r>
      <w:r w:rsidR="00AB368A">
        <w:rPr>
          <w:lang w:eastAsia="zh-CN"/>
        </w:rPr>
        <w:tab/>
      </w:r>
      <w:r w:rsidRPr="001D14D7">
        <w:rPr>
          <w:lang w:eastAsia="zh-CN"/>
        </w:rPr>
        <w:t xml:space="preserve">The reference measurement timing for one layer for inter-frequency measurement is </w:t>
      </w:r>
      <w:r w:rsidRPr="001D14D7">
        <w:rPr>
          <w:rFonts w:hint="eastAsia"/>
          <w:lang w:eastAsia="zh-CN"/>
        </w:rPr>
        <w:t>u</w:t>
      </w:r>
      <w:r w:rsidRPr="001D14D7">
        <w:rPr>
          <w:lang w:eastAsia="zh-CN"/>
        </w:rPr>
        <w:t xml:space="preserve">p to UE implementation and shall be based on the timing of one of the target cells. </w:t>
      </w:r>
    </w:p>
    <w:p w14:paraId="2F4B1FF2" w14:textId="77777777" w:rsidR="0058566D" w:rsidRDefault="0058566D" w:rsidP="0058566D">
      <w:pPr>
        <w:pStyle w:val="B10"/>
      </w:pPr>
      <w:r>
        <w:t>-</w:t>
      </w:r>
      <w:r>
        <w:tab/>
        <w:t>|CSI_RP1</w:t>
      </w:r>
      <w:r>
        <w:rPr>
          <w:vertAlign w:val="subscript"/>
        </w:rPr>
        <w:t>dBm</w:t>
      </w:r>
      <w:r>
        <w:t xml:space="preserve"> - CSI_RP2</w:t>
      </w:r>
      <w:r>
        <w:rPr>
          <w:vertAlign w:val="subscript"/>
        </w:rPr>
        <w:t>dBm</w:t>
      </w:r>
      <w:r>
        <w:t xml:space="preserve">| </w:t>
      </w:r>
      <w:r>
        <w:rPr>
          <w:rFonts w:hint="eastAsia"/>
        </w:rPr>
        <w:t>≤</w:t>
      </w:r>
      <w:r>
        <w:t xml:space="preserve"> 27dB</w:t>
      </w:r>
    </w:p>
    <w:p w14:paraId="70156685" w14:textId="3A1473E8" w:rsidR="0058566D" w:rsidRDefault="0058566D" w:rsidP="0058566D">
      <w:pPr>
        <w:pStyle w:val="B10"/>
        <w:rPr>
          <w:lang w:eastAsia="zh-CN"/>
        </w:rPr>
      </w:pPr>
      <w:r>
        <w:t>-</w:t>
      </w:r>
      <w:r>
        <w:tab/>
        <w:t xml:space="preserve">|Channel 1_Io </w:t>
      </w:r>
      <w:r>
        <w:noBreakHyphen/>
        <w:t xml:space="preserve">Channel 2_Io | </w:t>
      </w:r>
      <w:r>
        <w:sym w:font="Symbol" w:char="F0A3"/>
      </w:r>
      <w:r>
        <w:t xml:space="preserve"> 20 dB</w:t>
      </w:r>
    </w:p>
    <w:p w14:paraId="000AF3D5" w14:textId="77777777" w:rsidR="0058566D" w:rsidRDefault="0058566D" w:rsidP="0058566D">
      <w:pPr>
        <w:pStyle w:val="B10"/>
      </w:pPr>
      <w:r>
        <w:t>-</w:t>
      </w:r>
      <w:r>
        <w:tab/>
        <w:t xml:space="preserve">The measured signals are in the directions covered by the percentile EIS spherical coverage of the UE, defined in </w:t>
      </w:r>
      <w:r>
        <w:rPr>
          <w:rFonts w:cs="Arial"/>
        </w:rPr>
        <w:t>clause 7.3.4 of TS 38.101-2 [19]</w:t>
      </w:r>
      <w:r>
        <w:t>.</w:t>
      </w:r>
    </w:p>
    <w:p w14:paraId="0338E6DC" w14:textId="77777777" w:rsidR="0058566D" w:rsidRDefault="0058566D" w:rsidP="0058566D">
      <w:pPr>
        <w:pStyle w:val="TH"/>
      </w:pPr>
      <w:r>
        <w:t xml:space="preserve">Table </w:t>
      </w:r>
      <w:r>
        <w:rPr>
          <w:lang w:eastAsia="zh-CN"/>
        </w:rPr>
        <w:t>10.1.5.3.2</w:t>
      </w:r>
      <w:r>
        <w:t xml:space="preserve">-1: </w:t>
      </w:r>
      <w:r>
        <w:rPr>
          <w:lang w:eastAsia="zh-CN"/>
        </w:rPr>
        <w:t>CSI-RSRP</w:t>
      </w:r>
      <w:r>
        <w:t xml:space="preserve"> Inter frequency relative accuracy in FR2</w:t>
      </w:r>
    </w:p>
    <w:tbl>
      <w:tblPr>
        <w:tblW w:w="7019" w:type="dxa"/>
        <w:jc w:val="center"/>
        <w:tblLook w:val="01E0" w:firstRow="1" w:lastRow="1" w:firstColumn="1" w:lastColumn="1" w:noHBand="0" w:noVBand="0"/>
      </w:tblPr>
      <w:tblGrid>
        <w:gridCol w:w="1030"/>
        <w:gridCol w:w="1029"/>
        <w:gridCol w:w="1029"/>
        <w:gridCol w:w="1224"/>
        <w:gridCol w:w="1224"/>
        <w:gridCol w:w="1483"/>
      </w:tblGrid>
      <w:tr w:rsidR="0058566D" w14:paraId="7EB94D75" w14:textId="77777777" w:rsidTr="008935F7">
        <w:trPr>
          <w:jc w:val="center"/>
        </w:trPr>
        <w:tc>
          <w:tcPr>
            <w:tcW w:w="2059" w:type="dxa"/>
            <w:gridSpan w:val="2"/>
            <w:tcBorders>
              <w:top w:val="single" w:sz="6" w:space="0" w:color="auto"/>
              <w:left w:val="single" w:sz="4" w:space="0" w:color="auto"/>
              <w:bottom w:val="nil"/>
              <w:right w:val="single" w:sz="6" w:space="0" w:color="auto"/>
            </w:tcBorders>
            <w:vAlign w:val="center"/>
            <w:hideMark/>
          </w:tcPr>
          <w:p w14:paraId="38FD3235" w14:textId="77777777" w:rsidR="0058566D" w:rsidRDefault="0058566D" w:rsidP="008935F7">
            <w:pPr>
              <w:pStyle w:val="TAH"/>
            </w:pPr>
            <w:r>
              <w:t>Accuracy</w:t>
            </w:r>
          </w:p>
        </w:tc>
        <w:tc>
          <w:tcPr>
            <w:tcW w:w="4960" w:type="dxa"/>
            <w:gridSpan w:val="4"/>
            <w:tcBorders>
              <w:top w:val="single" w:sz="6" w:space="0" w:color="auto"/>
              <w:left w:val="single" w:sz="4" w:space="0" w:color="auto"/>
              <w:bottom w:val="nil"/>
              <w:right w:val="single" w:sz="4" w:space="0" w:color="auto"/>
            </w:tcBorders>
            <w:vAlign w:val="center"/>
            <w:hideMark/>
          </w:tcPr>
          <w:p w14:paraId="647BDC24" w14:textId="77777777" w:rsidR="0058566D" w:rsidRDefault="0058566D" w:rsidP="008935F7">
            <w:pPr>
              <w:pStyle w:val="TAH"/>
            </w:pPr>
            <w:r>
              <w:t>Conditions</w:t>
            </w:r>
          </w:p>
        </w:tc>
      </w:tr>
      <w:tr w:rsidR="0058566D" w14:paraId="647A10A2" w14:textId="77777777" w:rsidTr="008935F7">
        <w:trPr>
          <w:jc w:val="center"/>
        </w:trPr>
        <w:tc>
          <w:tcPr>
            <w:tcW w:w="1030" w:type="dxa"/>
            <w:tcBorders>
              <w:top w:val="single" w:sz="6" w:space="0" w:color="auto"/>
              <w:left w:val="single" w:sz="4" w:space="0" w:color="auto"/>
              <w:bottom w:val="nil"/>
              <w:right w:val="single" w:sz="6" w:space="0" w:color="auto"/>
            </w:tcBorders>
            <w:vAlign w:val="center"/>
            <w:hideMark/>
          </w:tcPr>
          <w:p w14:paraId="25DD6F6D" w14:textId="77777777" w:rsidR="0058566D" w:rsidRDefault="0058566D" w:rsidP="008935F7">
            <w:pPr>
              <w:pStyle w:val="TAH"/>
            </w:pPr>
            <w:r>
              <w:t>Normal condition</w:t>
            </w:r>
          </w:p>
        </w:tc>
        <w:tc>
          <w:tcPr>
            <w:tcW w:w="1029" w:type="dxa"/>
            <w:tcBorders>
              <w:top w:val="single" w:sz="6" w:space="0" w:color="auto"/>
              <w:left w:val="single" w:sz="6" w:space="0" w:color="auto"/>
              <w:bottom w:val="nil"/>
              <w:right w:val="single" w:sz="6" w:space="0" w:color="auto"/>
            </w:tcBorders>
            <w:vAlign w:val="center"/>
            <w:hideMark/>
          </w:tcPr>
          <w:p w14:paraId="3B086E0F" w14:textId="77777777" w:rsidR="0058566D" w:rsidRDefault="0058566D" w:rsidP="008935F7">
            <w:pPr>
              <w:pStyle w:val="TAH"/>
            </w:pPr>
            <w:r>
              <w:t>Extreme condition</w:t>
            </w:r>
          </w:p>
        </w:tc>
        <w:tc>
          <w:tcPr>
            <w:tcW w:w="1029" w:type="dxa"/>
            <w:tcBorders>
              <w:top w:val="single" w:sz="6" w:space="0" w:color="auto"/>
              <w:left w:val="single" w:sz="4" w:space="0" w:color="auto"/>
              <w:bottom w:val="nil"/>
              <w:right w:val="single" w:sz="4" w:space="0" w:color="auto"/>
            </w:tcBorders>
            <w:hideMark/>
          </w:tcPr>
          <w:p w14:paraId="4D72F789" w14:textId="77777777" w:rsidR="0058566D" w:rsidRDefault="0058566D" w:rsidP="008935F7">
            <w:pPr>
              <w:pStyle w:val="TAH"/>
            </w:pPr>
            <w:r>
              <w:rPr>
                <w:rFonts w:cs="Arial"/>
              </w:rPr>
              <w:t>CSI-RS Ês/Iot</w:t>
            </w:r>
          </w:p>
        </w:tc>
        <w:tc>
          <w:tcPr>
            <w:tcW w:w="3931" w:type="dxa"/>
            <w:gridSpan w:val="3"/>
            <w:tcBorders>
              <w:top w:val="single" w:sz="6" w:space="0" w:color="auto"/>
              <w:left w:val="single" w:sz="4" w:space="0" w:color="auto"/>
              <w:bottom w:val="single" w:sz="6" w:space="0" w:color="auto"/>
              <w:right w:val="single" w:sz="4" w:space="0" w:color="auto"/>
            </w:tcBorders>
            <w:vAlign w:val="center"/>
            <w:hideMark/>
          </w:tcPr>
          <w:p w14:paraId="4E8F248D" w14:textId="77777777" w:rsidR="0058566D" w:rsidRDefault="0058566D" w:rsidP="008935F7">
            <w:pPr>
              <w:pStyle w:val="TAH"/>
            </w:pPr>
            <w:r>
              <w:t>Io</w:t>
            </w:r>
            <w:r>
              <w:rPr>
                <w:vertAlign w:val="superscript"/>
              </w:rPr>
              <w:t xml:space="preserve"> Note 2</w:t>
            </w:r>
            <w:r>
              <w:t xml:space="preserve"> range</w:t>
            </w:r>
          </w:p>
        </w:tc>
      </w:tr>
      <w:tr w:rsidR="0058566D" w14:paraId="4245ADF1" w14:textId="77777777" w:rsidTr="008935F7">
        <w:trPr>
          <w:jc w:val="center"/>
        </w:trPr>
        <w:tc>
          <w:tcPr>
            <w:tcW w:w="1030" w:type="dxa"/>
            <w:tcBorders>
              <w:top w:val="nil"/>
              <w:left w:val="single" w:sz="4" w:space="0" w:color="auto"/>
              <w:bottom w:val="nil"/>
              <w:right w:val="single" w:sz="6" w:space="0" w:color="auto"/>
            </w:tcBorders>
            <w:vAlign w:val="center"/>
          </w:tcPr>
          <w:p w14:paraId="39DD07C5" w14:textId="77777777" w:rsidR="0058566D" w:rsidRDefault="0058566D" w:rsidP="008935F7">
            <w:pPr>
              <w:pStyle w:val="TAH"/>
            </w:pPr>
          </w:p>
        </w:tc>
        <w:tc>
          <w:tcPr>
            <w:tcW w:w="1029" w:type="dxa"/>
            <w:tcBorders>
              <w:top w:val="nil"/>
              <w:left w:val="single" w:sz="6" w:space="0" w:color="auto"/>
              <w:bottom w:val="nil"/>
              <w:right w:val="single" w:sz="6" w:space="0" w:color="auto"/>
            </w:tcBorders>
            <w:vAlign w:val="center"/>
          </w:tcPr>
          <w:p w14:paraId="6F7FE023" w14:textId="77777777" w:rsidR="0058566D" w:rsidRDefault="0058566D" w:rsidP="008935F7">
            <w:pPr>
              <w:pStyle w:val="TAH"/>
            </w:pPr>
          </w:p>
        </w:tc>
        <w:tc>
          <w:tcPr>
            <w:tcW w:w="1029" w:type="dxa"/>
            <w:tcBorders>
              <w:top w:val="nil"/>
              <w:left w:val="single" w:sz="4" w:space="0" w:color="auto"/>
              <w:bottom w:val="nil"/>
              <w:right w:val="single" w:sz="4" w:space="0" w:color="auto"/>
            </w:tcBorders>
            <w:vAlign w:val="center"/>
          </w:tcPr>
          <w:p w14:paraId="17C69B2C" w14:textId="77777777" w:rsidR="0058566D" w:rsidRDefault="0058566D" w:rsidP="008935F7">
            <w:pPr>
              <w:pStyle w:val="TAH"/>
            </w:pPr>
          </w:p>
        </w:tc>
        <w:tc>
          <w:tcPr>
            <w:tcW w:w="2448" w:type="dxa"/>
            <w:gridSpan w:val="2"/>
            <w:tcBorders>
              <w:top w:val="single" w:sz="6" w:space="0" w:color="auto"/>
              <w:left w:val="single" w:sz="4" w:space="0" w:color="auto"/>
              <w:bottom w:val="single" w:sz="6" w:space="0" w:color="auto"/>
              <w:right w:val="single" w:sz="6" w:space="0" w:color="auto"/>
            </w:tcBorders>
            <w:vAlign w:val="center"/>
            <w:hideMark/>
          </w:tcPr>
          <w:p w14:paraId="393BB596" w14:textId="77777777" w:rsidR="0058566D" w:rsidRDefault="0058566D" w:rsidP="008935F7">
            <w:pPr>
              <w:pStyle w:val="TAH"/>
              <w:rPr>
                <w:rFonts w:cs="Arial"/>
              </w:rPr>
            </w:pPr>
            <w:r>
              <w:t>Minimum Io</w:t>
            </w:r>
          </w:p>
        </w:tc>
        <w:tc>
          <w:tcPr>
            <w:tcW w:w="1483" w:type="dxa"/>
            <w:tcBorders>
              <w:top w:val="single" w:sz="6" w:space="0" w:color="auto"/>
              <w:left w:val="single" w:sz="6" w:space="0" w:color="auto"/>
              <w:bottom w:val="nil"/>
              <w:right w:val="single" w:sz="4" w:space="0" w:color="auto"/>
            </w:tcBorders>
            <w:vAlign w:val="center"/>
            <w:hideMark/>
          </w:tcPr>
          <w:p w14:paraId="42B203B9" w14:textId="77777777" w:rsidR="0058566D" w:rsidRDefault="0058566D" w:rsidP="008935F7">
            <w:pPr>
              <w:pStyle w:val="TAH"/>
            </w:pPr>
            <w:r>
              <w:t>Maximum Io</w:t>
            </w:r>
          </w:p>
        </w:tc>
      </w:tr>
      <w:tr w:rsidR="0058566D" w14:paraId="27404B53" w14:textId="77777777" w:rsidTr="008935F7">
        <w:trPr>
          <w:jc w:val="center"/>
        </w:trPr>
        <w:tc>
          <w:tcPr>
            <w:tcW w:w="1030" w:type="dxa"/>
            <w:tcBorders>
              <w:top w:val="single" w:sz="6" w:space="0" w:color="auto"/>
              <w:left w:val="single" w:sz="4" w:space="0" w:color="auto"/>
              <w:bottom w:val="nil"/>
              <w:right w:val="single" w:sz="6" w:space="0" w:color="auto"/>
            </w:tcBorders>
            <w:vAlign w:val="center"/>
            <w:hideMark/>
          </w:tcPr>
          <w:p w14:paraId="062ED94F" w14:textId="77777777" w:rsidR="0058566D" w:rsidRDefault="0058566D" w:rsidP="008935F7">
            <w:pPr>
              <w:pStyle w:val="TAH"/>
            </w:pPr>
            <w:r>
              <w:t>dB</w:t>
            </w:r>
          </w:p>
        </w:tc>
        <w:tc>
          <w:tcPr>
            <w:tcW w:w="1029" w:type="dxa"/>
            <w:tcBorders>
              <w:top w:val="single" w:sz="6" w:space="0" w:color="auto"/>
              <w:left w:val="single" w:sz="6" w:space="0" w:color="auto"/>
              <w:bottom w:val="nil"/>
              <w:right w:val="single" w:sz="6" w:space="0" w:color="auto"/>
            </w:tcBorders>
            <w:vAlign w:val="center"/>
            <w:hideMark/>
          </w:tcPr>
          <w:p w14:paraId="4E536E9C" w14:textId="77777777" w:rsidR="0058566D" w:rsidRDefault="0058566D" w:rsidP="008935F7">
            <w:pPr>
              <w:pStyle w:val="TAH"/>
            </w:pPr>
            <w:r>
              <w:t>dB</w:t>
            </w:r>
          </w:p>
        </w:tc>
        <w:tc>
          <w:tcPr>
            <w:tcW w:w="1029" w:type="dxa"/>
            <w:tcBorders>
              <w:top w:val="single" w:sz="6" w:space="0" w:color="auto"/>
              <w:left w:val="single" w:sz="4" w:space="0" w:color="auto"/>
              <w:bottom w:val="nil"/>
              <w:right w:val="single" w:sz="4" w:space="0" w:color="auto"/>
            </w:tcBorders>
            <w:vAlign w:val="center"/>
            <w:hideMark/>
          </w:tcPr>
          <w:p w14:paraId="71C73860" w14:textId="77777777" w:rsidR="0058566D" w:rsidRDefault="0058566D" w:rsidP="008935F7">
            <w:pPr>
              <w:pStyle w:val="TAH"/>
              <w:rPr>
                <w:rFonts w:cs="Arial"/>
              </w:rPr>
            </w:pPr>
            <w:r>
              <w:t>dB</w:t>
            </w:r>
          </w:p>
        </w:tc>
        <w:tc>
          <w:tcPr>
            <w:tcW w:w="2448" w:type="dxa"/>
            <w:gridSpan w:val="2"/>
            <w:tcBorders>
              <w:top w:val="single" w:sz="6" w:space="0" w:color="auto"/>
              <w:left w:val="single" w:sz="4" w:space="0" w:color="auto"/>
              <w:bottom w:val="single" w:sz="6" w:space="0" w:color="auto"/>
              <w:right w:val="single" w:sz="6" w:space="0" w:color="auto"/>
            </w:tcBorders>
            <w:vAlign w:val="center"/>
            <w:hideMark/>
          </w:tcPr>
          <w:p w14:paraId="02CAB5B0" w14:textId="77777777" w:rsidR="0058566D" w:rsidRDefault="0058566D" w:rsidP="008935F7">
            <w:pPr>
              <w:pStyle w:val="TAH"/>
            </w:pPr>
            <w:r>
              <w:rPr>
                <w:rFonts w:cs="Arial"/>
              </w:rPr>
              <w:t xml:space="preserve">dBm / </w:t>
            </w:r>
            <w:r>
              <w:t>SCS</w:t>
            </w:r>
            <w:r>
              <w:rPr>
                <w:vertAlign w:val="subscript"/>
              </w:rPr>
              <w:t>CSI-RS</w:t>
            </w:r>
            <w:r>
              <w:rPr>
                <w:vertAlign w:val="superscript"/>
              </w:rPr>
              <w:t xml:space="preserve"> Note 1</w:t>
            </w:r>
          </w:p>
        </w:tc>
        <w:tc>
          <w:tcPr>
            <w:tcW w:w="1483" w:type="dxa"/>
            <w:tcBorders>
              <w:top w:val="single" w:sz="6" w:space="0" w:color="auto"/>
              <w:left w:val="single" w:sz="6" w:space="0" w:color="auto"/>
              <w:bottom w:val="nil"/>
              <w:right w:val="single" w:sz="4" w:space="0" w:color="auto"/>
            </w:tcBorders>
            <w:vAlign w:val="center"/>
            <w:hideMark/>
          </w:tcPr>
          <w:p w14:paraId="35A8C953" w14:textId="77777777" w:rsidR="0058566D" w:rsidRDefault="0058566D" w:rsidP="008935F7">
            <w:pPr>
              <w:pStyle w:val="TAH"/>
            </w:pPr>
            <w:r>
              <w:t>dBm/BW</w:t>
            </w:r>
            <w:r>
              <w:rPr>
                <w:vertAlign w:val="subscript"/>
              </w:rPr>
              <w:t>Channel</w:t>
            </w:r>
          </w:p>
        </w:tc>
      </w:tr>
      <w:tr w:rsidR="0058566D" w14:paraId="48586AB9" w14:textId="77777777" w:rsidTr="008935F7">
        <w:trPr>
          <w:jc w:val="center"/>
        </w:trPr>
        <w:tc>
          <w:tcPr>
            <w:tcW w:w="1030" w:type="dxa"/>
            <w:tcBorders>
              <w:top w:val="nil"/>
              <w:left w:val="single" w:sz="4" w:space="0" w:color="auto"/>
              <w:bottom w:val="single" w:sz="6" w:space="0" w:color="auto"/>
              <w:right w:val="single" w:sz="6" w:space="0" w:color="auto"/>
            </w:tcBorders>
            <w:vAlign w:val="center"/>
          </w:tcPr>
          <w:p w14:paraId="68967548" w14:textId="77777777" w:rsidR="0058566D" w:rsidRDefault="0058566D" w:rsidP="008935F7">
            <w:pPr>
              <w:pStyle w:val="TAH"/>
            </w:pPr>
          </w:p>
        </w:tc>
        <w:tc>
          <w:tcPr>
            <w:tcW w:w="1029" w:type="dxa"/>
            <w:tcBorders>
              <w:top w:val="nil"/>
              <w:left w:val="single" w:sz="6" w:space="0" w:color="auto"/>
              <w:bottom w:val="single" w:sz="6" w:space="0" w:color="auto"/>
              <w:right w:val="single" w:sz="6" w:space="0" w:color="auto"/>
            </w:tcBorders>
            <w:vAlign w:val="center"/>
          </w:tcPr>
          <w:p w14:paraId="6F1E4BF5" w14:textId="77777777" w:rsidR="0058566D" w:rsidRDefault="0058566D" w:rsidP="008935F7">
            <w:pPr>
              <w:pStyle w:val="TAH"/>
            </w:pPr>
          </w:p>
        </w:tc>
        <w:tc>
          <w:tcPr>
            <w:tcW w:w="1029" w:type="dxa"/>
            <w:tcBorders>
              <w:top w:val="nil"/>
              <w:left w:val="single" w:sz="4" w:space="0" w:color="auto"/>
              <w:bottom w:val="single" w:sz="6" w:space="0" w:color="auto"/>
              <w:right w:val="single" w:sz="4" w:space="0" w:color="auto"/>
            </w:tcBorders>
          </w:tcPr>
          <w:p w14:paraId="7854D90E" w14:textId="77777777" w:rsidR="0058566D" w:rsidRDefault="0058566D" w:rsidP="008935F7">
            <w:pPr>
              <w:pStyle w:val="TAH"/>
            </w:pPr>
          </w:p>
        </w:tc>
        <w:tc>
          <w:tcPr>
            <w:tcW w:w="1224" w:type="dxa"/>
            <w:tcBorders>
              <w:top w:val="single" w:sz="6" w:space="0" w:color="auto"/>
              <w:left w:val="single" w:sz="4" w:space="0" w:color="auto"/>
              <w:bottom w:val="single" w:sz="6" w:space="0" w:color="auto"/>
              <w:right w:val="single" w:sz="6" w:space="0" w:color="auto"/>
            </w:tcBorders>
            <w:vAlign w:val="center"/>
            <w:hideMark/>
          </w:tcPr>
          <w:p w14:paraId="6A17F362" w14:textId="77777777" w:rsidR="0058566D" w:rsidRDefault="0058566D" w:rsidP="008935F7">
            <w:pPr>
              <w:pStyle w:val="TAH"/>
            </w:pPr>
            <w:r>
              <w:t>SCS</w:t>
            </w:r>
            <w:r>
              <w:rPr>
                <w:vertAlign w:val="subscript"/>
              </w:rPr>
              <w:t>CSI-RS</w:t>
            </w:r>
            <w:r>
              <w:rPr>
                <w:rFonts w:cs="Arial"/>
              </w:rPr>
              <w:t xml:space="preserve"> = 60kHz</w:t>
            </w:r>
          </w:p>
        </w:tc>
        <w:tc>
          <w:tcPr>
            <w:tcW w:w="1224" w:type="dxa"/>
            <w:tcBorders>
              <w:top w:val="single" w:sz="6" w:space="0" w:color="auto"/>
              <w:left w:val="single" w:sz="4" w:space="0" w:color="auto"/>
              <w:bottom w:val="single" w:sz="6" w:space="0" w:color="auto"/>
              <w:right w:val="single" w:sz="6" w:space="0" w:color="auto"/>
            </w:tcBorders>
            <w:vAlign w:val="center"/>
            <w:hideMark/>
          </w:tcPr>
          <w:p w14:paraId="33E0D5D6" w14:textId="77777777" w:rsidR="0058566D" w:rsidRDefault="0058566D" w:rsidP="008935F7">
            <w:pPr>
              <w:pStyle w:val="TAH"/>
            </w:pPr>
            <w:r>
              <w:t>SCS</w:t>
            </w:r>
            <w:r>
              <w:rPr>
                <w:vertAlign w:val="subscript"/>
              </w:rPr>
              <w:t>CSI-RS</w:t>
            </w:r>
            <w:r>
              <w:rPr>
                <w:rFonts w:cs="Arial"/>
              </w:rPr>
              <w:t xml:space="preserve"> = 120kHz</w:t>
            </w:r>
          </w:p>
        </w:tc>
        <w:tc>
          <w:tcPr>
            <w:tcW w:w="1483" w:type="dxa"/>
            <w:tcBorders>
              <w:top w:val="nil"/>
              <w:left w:val="single" w:sz="6" w:space="0" w:color="auto"/>
              <w:bottom w:val="single" w:sz="6" w:space="0" w:color="auto"/>
              <w:right w:val="single" w:sz="4" w:space="0" w:color="auto"/>
            </w:tcBorders>
            <w:vAlign w:val="center"/>
          </w:tcPr>
          <w:p w14:paraId="53784769" w14:textId="77777777" w:rsidR="0058566D" w:rsidRDefault="0058566D" w:rsidP="008935F7">
            <w:pPr>
              <w:pStyle w:val="TAH"/>
            </w:pPr>
          </w:p>
        </w:tc>
      </w:tr>
      <w:tr w:rsidR="0058566D" w14:paraId="7D27D15D" w14:textId="77777777" w:rsidTr="008935F7">
        <w:trPr>
          <w:jc w:val="center"/>
        </w:trPr>
        <w:tc>
          <w:tcPr>
            <w:tcW w:w="1030" w:type="dxa"/>
            <w:tcBorders>
              <w:top w:val="single" w:sz="6" w:space="0" w:color="auto"/>
              <w:left w:val="single" w:sz="4" w:space="0" w:color="auto"/>
              <w:bottom w:val="single" w:sz="6" w:space="0" w:color="auto"/>
              <w:right w:val="single" w:sz="6" w:space="0" w:color="auto"/>
            </w:tcBorders>
            <w:vAlign w:val="center"/>
            <w:hideMark/>
          </w:tcPr>
          <w:p w14:paraId="03032469" w14:textId="77777777" w:rsidR="0058566D" w:rsidRDefault="0058566D" w:rsidP="008935F7">
            <w:pPr>
              <w:pStyle w:val="TAC"/>
            </w:pPr>
            <w:r>
              <w:sym w:font="Symbol" w:char="F0B1"/>
            </w:r>
            <w:r>
              <w:t>6</w:t>
            </w:r>
          </w:p>
        </w:tc>
        <w:tc>
          <w:tcPr>
            <w:tcW w:w="1029" w:type="dxa"/>
            <w:tcBorders>
              <w:top w:val="single" w:sz="6" w:space="0" w:color="auto"/>
              <w:left w:val="single" w:sz="6" w:space="0" w:color="auto"/>
              <w:bottom w:val="single" w:sz="6" w:space="0" w:color="auto"/>
              <w:right w:val="single" w:sz="6" w:space="0" w:color="auto"/>
            </w:tcBorders>
            <w:vAlign w:val="center"/>
            <w:hideMark/>
          </w:tcPr>
          <w:p w14:paraId="2A988485" w14:textId="77777777" w:rsidR="0058566D" w:rsidRDefault="0058566D" w:rsidP="008935F7">
            <w:pPr>
              <w:pStyle w:val="TAC"/>
            </w:pPr>
            <w:r>
              <w:sym w:font="Symbol" w:char="F0B1"/>
            </w:r>
            <w:r>
              <w:t>9</w:t>
            </w:r>
          </w:p>
        </w:tc>
        <w:tc>
          <w:tcPr>
            <w:tcW w:w="1029" w:type="dxa"/>
            <w:tcBorders>
              <w:top w:val="single" w:sz="6" w:space="0" w:color="auto"/>
              <w:left w:val="single" w:sz="4" w:space="0" w:color="auto"/>
              <w:bottom w:val="single" w:sz="6" w:space="0" w:color="auto"/>
              <w:right w:val="single" w:sz="4" w:space="0" w:color="auto"/>
            </w:tcBorders>
            <w:vAlign w:val="center"/>
            <w:hideMark/>
          </w:tcPr>
          <w:p w14:paraId="3820BAE3" w14:textId="77777777" w:rsidR="0058566D" w:rsidRDefault="0058566D" w:rsidP="008935F7">
            <w:pPr>
              <w:pStyle w:val="TAC"/>
            </w:pPr>
            <w:r>
              <w:rPr>
                <w:rFonts w:eastAsia="Yu Mincho" w:cs="Arial"/>
                <w:lang w:eastAsia="ja-JP"/>
              </w:rPr>
              <w:t>≥-4</w:t>
            </w:r>
          </w:p>
        </w:tc>
        <w:tc>
          <w:tcPr>
            <w:tcW w:w="2448" w:type="dxa"/>
            <w:gridSpan w:val="2"/>
            <w:tcBorders>
              <w:top w:val="single" w:sz="6" w:space="0" w:color="auto"/>
              <w:left w:val="single" w:sz="4" w:space="0" w:color="auto"/>
              <w:bottom w:val="single" w:sz="6" w:space="0" w:color="auto"/>
              <w:right w:val="single" w:sz="6" w:space="0" w:color="auto"/>
            </w:tcBorders>
            <w:vAlign w:val="center"/>
            <w:hideMark/>
          </w:tcPr>
          <w:p w14:paraId="5AAE5567" w14:textId="77777777" w:rsidR="0058566D" w:rsidRDefault="0058566D" w:rsidP="008935F7">
            <w:pPr>
              <w:pStyle w:val="TAC"/>
              <w:rPr>
                <w:rFonts w:eastAsia="Yu Mincho"/>
                <w:lang w:eastAsia="ja-JP"/>
              </w:rPr>
            </w:pPr>
            <w:r>
              <w:t>Same value as CSI_RP in Table B.2.9-2, according to UE Power class, operating band and angle of arrival</w:t>
            </w:r>
          </w:p>
        </w:tc>
        <w:tc>
          <w:tcPr>
            <w:tcW w:w="1483" w:type="dxa"/>
            <w:tcBorders>
              <w:top w:val="single" w:sz="6" w:space="0" w:color="auto"/>
              <w:left w:val="single" w:sz="6" w:space="0" w:color="auto"/>
              <w:bottom w:val="single" w:sz="6" w:space="0" w:color="auto"/>
              <w:right w:val="single" w:sz="4" w:space="0" w:color="auto"/>
            </w:tcBorders>
            <w:vAlign w:val="center"/>
            <w:hideMark/>
          </w:tcPr>
          <w:p w14:paraId="6D0F406F" w14:textId="77777777" w:rsidR="0058566D" w:rsidRDefault="0058566D" w:rsidP="008935F7">
            <w:pPr>
              <w:pStyle w:val="TAC"/>
            </w:pPr>
            <w:r>
              <w:t>-50</w:t>
            </w:r>
          </w:p>
        </w:tc>
      </w:tr>
      <w:tr w:rsidR="0058566D" w14:paraId="7FC05F3D" w14:textId="77777777" w:rsidTr="008935F7">
        <w:trPr>
          <w:jc w:val="center"/>
        </w:trPr>
        <w:tc>
          <w:tcPr>
            <w:tcW w:w="7019" w:type="dxa"/>
            <w:gridSpan w:val="6"/>
            <w:tcBorders>
              <w:top w:val="single" w:sz="6" w:space="0" w:color="auto"/>
              <w:left w:val="single" w:sz="4" w:space="0" w:color="auto"/>
              <w:bottom w:val="single" w:sz="4" w:space="0" w:color="auto"/>
              <w:right w:val="single" w:sz="4" w:space="0" w:color="auto"/>
            </w:tcBorders>
            <w:vAlign w:val="center"/>
            <w:hideMark/>
          </w:tcPr>
          <w:p w14:paraId="7B97E47A" w14:textId="77777777" w:rsidR="0058566D" w:rsidRDefault="0058566D" w:rsidP="008935F7">
            <w:pPr>
              <w:pStyle w:val="TAN"/>
            </w:pPr>
            <w:r>
              <w:t>Note 1:</w:t>
            </w:r>
            <w:r>
              <w:tab/>
              <w:t>Values based on Refsens and EIS spherical coverage as defined in clauses 7.3.2 and 7.3.4 of TS 38.101-2 [19]. Applicable side condition selected depending on angle of arrival.</w:t>
            </w:r>
          </w:p>
          <w:p w14:paraId="0D251ABA" w14:textId="77777777" w:rsidR="0058566D" w:rsidRDefault="0058566D" w:rsidP="008935F7">
            <w:pPr>
              <w:pStyle w:val="TAN"/>
            </w:pPr>
            <w:r>
              <w:t>Note 2:</w:t>
            </w:r>
            <w:r>
              <w:tab/>
            </w:r>
            <w:r>
              <w:rPr>
                <w:rFonts w:eastAsia="MS Mincho"/>
              </w:rPr>
              <w:t>Io specified at the Reference point, and assumed to have constant EPRE across the bandwidth</w:t>
            </w:r>
            <w:r>
              <w:t>.</w:t>
            </w:r>
          </w:p>
          <w:p w14:paraId="637F1587" w14:textId="77777777" w:rsidR="0058566D" w:rsidRDefault="0058566D" w:rsidP="008935F7">
            <w:pPr>
              <w:pStyle w:val="TAN"/>
            </w:pPr>
            <w:r>
              <w:t>Note 3:</w:t>
            </w:r>
            <w:r>
              <w:tab/>
              <w:t>In the test cases, the CSI-RS Ês/Iot and related parameters may need to be adjusted to ensure Ês/Iot at UE baseband is above the value defined in this table.</w:t>
            </w:r>
          </w:p>
          <w:p w14:paraId="1D69D295" w14:textId="77777777" w:rsidR="0058566D" w:rsidRDefault="0058566D" w:rsidP="008935F7">
            <w:pPr>
              <w:pStyle w:val="TAN"/>
            </w:pPr>
            <w:r>
              <w:t>Note 4:</w:t>
            </w:r>
            <w:r>
              <w:tab/>
              <w:t>The parameter CSI-RS Ês/Iot is the minimum CSI-RS Ês/Iot of the pair of cells to which the requirement applies.</w:t>
            </w:r>
          </w:p>
        </w:tc>
      </w:tr>
    </w:tbl>
    <w:p w14:paraId="1212A172" w14:textId="77777777" w:rsidR="0058566D" w:rsidRPr="00504B1A" w:rsidRDefault="0058566D" w:rsidP="0058566D">
      <w:pPr>
        <w:rPr>
          <w:noProof/>
        </w:rPr>
      </w:pPr>
    </w:p>
    <w:p w14:paraId="0FDAD441" w14:textId="77777777" w:rsidR="00BE0199" w:rsidRPr="00B63FA2" w:rsidRDefault="00BE0199" w:rsidP="00F37389">
      <w:pPr>
        <w:pStyle w:val="Heading3"/>
        <w:rPr>
          <w:lang w:val="en-US"/>
        </w:rPr>
      </w:pPr>
      <w:r w:rsidRPr="00B63FA2">
        <w:rPr>
          <w:lang w:val="en-US"/>
        </w:rPr>
        <w:t>10.1.5</w:t>
      </w:r>
      <w:r>
        <w:rPr>
          <w:lang w:val="en-US"/>
        </w:rPr>
        <w:t>B</w:t>
      </w:r>
      <w:r w:rsidRPr="00B63FA2">
        <w:rPr>
          <w:lang w:val="en-US"/>
        </w:rPr>
        <w:tab/>
        <w:t xml:space="preserve">Inter-frequency RSRP accuracy requirements for FR2 </w:t>
      </w:r>
      <w:r>
        <w:rPr>
          <w:lang w:val="en-US"/>
        </w:rPr>
        <w:t>for CA/DC Idle Mode Measurements</w:t>
      </w:r>
    </w:p>
    <w:p w14:paraId="590D6D13" w14:textId="77777777" w:rsidR="00BE0199" w:rsidRDefault="00BE0199" w:rsidP="00F37389">
      <w:pPr>
        <w:pStyle w:val="Heading4"/>
        <w:rPr>
          <w:lang w:val="en-US"/>
        </w:rPr>
      </w:pPr>
      <w:r w:rsidRPr="00B63FA2">
        <w:rPr>
          <w:lang w:val="en-US"/>
        </w:rPr>
        <w:t>10.1.5</w:t>
      </w:r>
      <w:r>
        <w:rPr>
          <w:lang w:val="en-US"/>
        </w:rPr>
        <w:t>B</w:t>
      </w:r>
      <w:r w:rsidRPr="00B63FA2">
        <w:rPr>
          <w:lang w:val="en-US"/>
        </w:rPr>
        <w:t>.1</w:t>
      </w:r>
      <w:r w:rsidRPr="00B63FA2">
        <w:rPr>
          <w:lang w:val="en-US"/>
        </w:rPr>
        <w:tab/>
        <w:t>Inter-frequency SS-RSRP accuracy requirements</w:t>
      </w:r>
    </w:p>
    <w:p w14:paraId="731E49DE" w14:textId="77777777" w:rsidR="00BE0199" w:rsidRPr="00691C10" w:rsidRDefault="00BE0199" w:rsidP="00BE0199">
      <w:pPr>
        <w:jc w:val="both"/>
        <w:rPr>
          <w:rFonts w:cs="v4.2.0"/>
        </w:rPr>
      </w:pPr>
      <w:r w:rsidRPr="00691C10">
        <w:rPr>
          <w:rFonts w:cs="v4.2.0"/>
        </w:rPr>
        <w:t>The requirements in this clause are applicable for a UE:</w:t>
      </w:r>
    </w:p>
    <w:p w14:paraId="6C04ACED" w14:textId="77777777" w:rsidR="00BE0199" w:rsidRPr="00691C10" w:rsidRDefault="00BE0199" w:rsidP="00BE0199">
      <w:pPr>
        <w:pStyle w:val="B10"/>
        <w:rPr>
          <w:rFonts w:cs="v4.2.0"/>
        </w:rPr>
      </w:pPr>
      <w:r w:rsidRPr="00691C10">
        <w:rPr>
          <w:rFonts w:cs="v4.2.0"/>
        </w:rPr>
        <w:t>-</w:t>
      </w:r>
      <w:r w:rsidRPr="00691C10">
        <w:rPr>
          <w:rFonts w:cs="v4.2.0"/>
        </w:rPr>
        <w:tab/>
        <w:t>in state RRC_IDLE</w:t>
      </w:r>
      <w:r>
        <w:rPr>
          <w:rFonts w:cs="v4.2.0"/>
        </w:rPr>
        <w:t xml:space="preserve"> or RRC INACTIVE</w:t>
      </w:r>
    </w:p>
    <w:p w14:paraId="0A6AF3DE" w14:textId="77777777" w:rsidR="00BE0199" w:rsidRPr="00691C10" w:rsidRDefault="00BE0199" w:rsidP="00BE0199">
      <w:pPr>
        <w:pStyle w:val="B10"/>
      </w:pPr>
      <w:r w:rsidRPr="00691C10">
        <w:t>-</w:t>
      </w:r>
      <w:r w:rsidRPr="00691C10">
        <w:tab/>
        <w:t>that is synchronised to the cell that is measured.</w:t>
      </w:r>
    </w:p>
    <w:p w14:paraId="441A3130" w14:textId="77777777" w:rsidR="00BE0199" w:rsidRDefault="00BE0199" w:rsidP="00F37389">
      <w:r w:rsidRPr="00691C10">
        <w:t xml:space="preserve">The requirements are for absolute accuracy of </w:t>
      </w:r>
      <w:r>
        <w:t>SS-</w:t>
      </w:r>
      <w:r w:rsidRPr="00691C10">
        <w:t>RSRP.</w:t>
      </w:r>
    </w:p>
    <w:p w14:paraId="3BDDD85A" w14:textId="77777777" w:rsidR="00BE0199" w:rsidRPr="00B63FA2" w:rsidRDefault="00BE0199" w:rsidP="00F37389">
      <w:pPr>
        <w:pStyle w:val="Heading5"/>
        <w:rPr>
          <w:lang w:val="en-US" w:eastAsia="zh-CN"/>
        </w:rPr>
      </w:pPr>
      <w:r w:rsidRPr="00B63FA2">
        <w:rPr>
          <w:lang w:val="en-US" w:eastAsia="zh-CN"/>
        </w:rPr>
        <w:t>10.1.5</w:t>
      </w:r>
      <w:r>
        <w:rPr>
          <w:lang w:val="en-US" w:eastAsia="zh-CN"/>
        </w:rPr>
        <w:t>B</w:t>
      </w:r>
      <w:r w:rsidRPr="00B63FA2">
        <w:rPr>
          <w:lang w:val="en-US" w:eastAsia="zh-CN"/>
        </w:rPr>
        <w:t>.1.1</w:t>
      </w:r>
      <w:r w:rsidRPr="00B63FA2">
        <w:rPr>
          <w:lang w:val="en-US" w:eastAsia="zh-CN"/>
        </w:rPr>
        <w:tab/>
        <w:t>Absolute SS-RSRP Accuracy</w:t>
      </w:r>
    </w:p>
    <w:p w14:paraId="48C1CD56" w14:textId="77777777" w:rsidR="00BE0199" w:rsidRPr="00B63FA2" w:rsidRDefault="00BE0199" w:rsidP="00BE0199">
      <w:pPr>
        <w:rPr>
          <w:rFonts w:cs="v4.2.0"/>
          <w:i/>
        </w:rPr>
      </w:pPr>
      <w:r w:rsidRPr="00B63FA2">
        <w:rPr>
          <w:rFonts w:cs="v4.2.0"/>
        </w:rPr>
        <w:t xml:space="preserve">Unless otherwise specified, the requirements for absolute accuracy of </w:t>
      </w:r>
      <w:r w:rsidRPr="00B63FA2">
        <w:rPr>
          <w:rFonts w:cs="v4.2.0"/>
          <w:lang w:eastAsia="zh-CN"/>
        </w:rPr>
        <w:t>SS-RSRP</w:t>
      </w:r>
      <w:r w:rsidRPr="00B63FA2">
        <w:rPr>
          <w:rFonts w:cs="v4.2.0"/>
        </w:rPr>
        <w:t xml:space="preserve"> in this clause apply to a cell on a frequency in FR2 that is on a different frequency than the serving cell.</w:t>
      </w:r>
    </w:p>
    <w:p w14:paraId="4DEF3183" w14:textId="77777777" w:rsidR="00BE0199" w:rsidRPr="00B63FA2" w:rsidRDefault="00BE0199" w:rsidP="00BE0199">
      <w:pPr>
        <w:rPr>
          <w:rFonts w:cs="v4.2.0"/>
        </w:rPr>
      </w:pPr>
      <w:r w:rsidRPr="00B63FA2">
        <w:rPr>
          <w:rFonts w:cs="v4.2.0"/>
        </w:rPr>
        <w:t xml:space="preserve">The accuracy requirements in Table </w:t>
      </w:r>
      <w:r w:rsidRPr="00B63FA2">
        <w:rPr>
          <w:rFonts w:cs="v4.2.0"/>
          <w:lang w:eastAsia="zh-CN"/>
        </w:rPr>
        <w:t>10.1.5</w:t>
      </w:r>
      <w:r>
        <w:rPr>
          <w:rFonts w:cs="v4.2.0"/>
          <w:lang w:eastAsia="zh-CN"/>
        </w:rPr>
        <w:t>B</w:t>
      </w:r>
      <w:r w:rsidRPr="00B63FA2">
        <w:rPr>
          <w:rFonts w:cs="v4.2.0"/>
          <w:lang w:eastAsia="zh-CN"/>
        </w:rPr>
        <w:t>.1.1</w:t>
      </w:r>
      <w:r w:rsidRPr="00B63FA2">
        <w:rPr>
          <w:rFonts w:cs="v4.2.0"/>
        </w:rPr>
        <w:t>-1 are valid under the following conditions:</w:t>
      </w:r>
    </w:p>
    <w:p w14:paraId="6C4B3D30" w14:textId="77777777" w:rsidR="00BE0199" w:rsidRPr="00B63FA2" w:rsidRDefault="00BE0199" w:rsidP="00F37389">
      <w:pPr>
        <w:pStyle w:val="B10"/>
        <w:rPr>
          <w:lang w:eastAsia="zh-CN"/>
        </w:rPr>
      </w:pPr>
      <w:r w:rsidRPr="00B63FA2">
        <w:t>-</w:t>
      </w:r>
      <w:r w:rsidRPr="00B63FA2">
        <w:tab/>
        <w:t>Conditions defined in clause 7.3 of TS</w:t>
      </w:r>
      <w:r w:rsidRPr="00B63FA2">
        <w:rPr>
          <w:rFonts w:ascii="MS Gothic" w:eastAsia="MS Gothic" w:hAnsi="MS Gothic"/>
          <w:lang w:val="en-US" w:eastAsia="ko-KR"/>
        </w:rPr>
        <w:t> </w:t>
      </w:r>
      <w:r w:rsidRPr="00B63FA2">
        <w:t>38.101-2 [19] for reference sensitivity are fulfilled.</w:t>
      </w:r>
    </w:p>
    <w:p w14:paraId="1D774909" w14:textId="77777777" w:rsidR="00BE0199" w:rsidRPr="00B63FA2" w:rsidRDefault="00BE0199" w:rsidP="00F37389">
      <w:pPr>
        <w:pStyle w:val="B10"/>
        <w:rPr>
          <w:lang w:eastAsia="zh-CN"/>
        </w:rPr>
      </w:pPr>
      <w:r w:rsidRPr="00B63FA2">
        <w:t>-</w:t>
      </w:r>
      <w:r w:rsidRPr="00B63FA2">
        <w:tab/>
        <w:t>Conditions for inter-frequency measurements are fulfilled according to Annex B.</w:t>
      </w:r>
      <w:r>
        <w:t>1</w:t>
      </w:r>
      <w:r w:rsidRPr="00B63FA2">
        <w:t>.3 for a corresponding Band</w:t>
      </w:r>
      <w:r w:rsidRPr="00B63FA2">
        <w:rPr>
          <w:rFonts w:cs="v4.2.0"/>
          <w:lang w:eastAsia="ko-KR"/>
        </w:rPr>
        <w:t xml:space="preserve"> for each relevant SSB</w:t>
      </w:r>
      <w:r w:rsidRPr="00B63FA2">
        <w:t>.</w:t>
      </w:r>
    </w:p>
    <w:p w14:paraId="043995A5" w14:textId="77777777" w:rsidR="00BE0199" w:rsidRPr="00B63FA2" w:rsidRDefault="00BE0199" w:rsidP="00F37389">
      <w:pPr>
        <w:pStyle w:val="B10"/>
      </w:pPr>
      <w:r w:rsidRPr="00B63FA2">
        <w:t>-</w:t>
      </w:r>
      <w:r w:rsidRPr="00B63FA2">
        <w:tab/>
        <w:t xml:space="preserve">The measured signals are in the directions covered by the percentile EIS spherical coverage of the UE, defined in </w:t>
      </w:r>
      <w:r w:rsidRPr="00B63FA2">
        <w:rPr>
          <w:rFonts w:cs="Arial"/>
        </w:rPr>
        <w:t>clause 7.3.4 of TS 38.101-2 [19]</w:t>
      </w:r>
      <w:r w:rsidRPr="00B63FA2">
        <w:t>.</w:t>
      </w:r>
    </w:p>
    <w:p w14:paraId="302E9756" w14:textId="77777777" w:rsidR="00BE0199" w:rsidRPr="00B63FA2" w:rsidRDefault="00BE0199" w:rsidP="00F37389">
      <w:pPr>
        <w:pStyle w:val="TH"/>
      </w:pPr>
      <w:r w:rsidRPr="00B63FA2">
        <w:t xml:space="preserve">Table </w:t>
      </w:r>
      <w:r w:rsidRPr="00B63FA2">
        <w:rPr>
          <w:lang w:eastAsia="zh-CN"/>
        </w:rPr>
        <w:t>10.1.5</w:t>
      </w:r>
      <w:r>
        <w:rPr>
          <w:lang w:eastAsia="zh-CN"/>
        </w:rPr>
        <w:t>B</w:t>
      </w:r>
      <w:r w:rsidRPr="00B63FA2">
        <w:rPr>
          <w:lang w:eastAsia="zh-CN"/>
        </w:rPr>
        <w:t>.1.1-1</w:t>
      </w:r>
      <w:r w:rsidRPr="00B63FA2">
        <w:t xml:space="preserve">: </w:t>
      </w:r>
      <w:r w:rsidRPr="00B63FA2">
        <w:rPr>
          <w:lang w:eastAsia="zh-CN"/>
        </w:rPr>
        <w:t>SS-RSRP</w:t>
      </w:r>
      <w:r w:rsidRPr="00B63FA2">
        <w:t xml:space="preserve"> Inter frequency absolute accuracy</w:t>
      </w:r>
      <w:r w:rsidRPr="00B63FA2">
        <w:rPr>
          <w:lang w:eastAsia="zh-CN"/>
        </w:rPr>
        <w:t xml:space="preserve"> in FR2</w:t>
      </w:r>
    </w:p>
    <w:tbl>
      <w:tblPr>
        <w:tblW w:w="8720" w:type="dxa"/>
        <w:jc w:val="center"/>
        <w:tblLook w:val="01E0" w:firstRow="1" w:lastRow="1" w:firstColumn="1" w:lastColumn="1" w:noHBand="0" w:noVBand="0"/>
      </w:tblPr>
      <w:tblGrid>
        <w:gridCol w:w="1111"/>
        <w:gridCol w:w="1110"/>
        <w:gridCol w:w="1110"/>
        <w:gridCol w:w="1116"/>
        <w:gridCol w:w="1116"/>
        <w:gridCol w:w="1578"/>
        <w:gridCol w:w="1579"/>
      </w:tblGrid>
      <w:tr w:rsidR="00BE0199" w:rsidRPr="00B63FA2" w14:paraId="1503E3D2" w14:textId="77777777" w:rsidTr="00BE0199">
        <w:trPr>
          <w:jc w:val="center"/>
        </w:trPr>
        <w:tc>
          <w:tcPr>
            <w:tcW w:w="2221" w:type="dxa"/>
            <w:gridSpan w:val="2"/>
            <w:tcBorders>
              <w:top w:val="single" w:sz="6" w:space="0" w:color="auto"/>
              <w:left w:val="single" w:sz="4" w:space="0" w:color="auto"/>
              <w:right w:val="single" w:sz="6" w:space="0" w:color="auto"/>
            </w:tcBorders>
            <w:shd w:val="clear" w:color="auto" w:fill="auto"/>
            <w:vAlign w:val="center"/>
          </w:tcPr>
          <w:p w14:paraId="06708128" w14:textId="77777777" w:rsidR="00BE0199" w:rsidRPr="00B63FA2" w:rsidRDefault="00BE0199" w:rsidP="00F37389">
            <w:pPr>
              <w:pStyle w:val="TAH"/>
            </w:pPr>
            <w:r w:rsidRPr="00B63FA2">
              <w:t>Accuracy</w:t>
            </w:r>
          </w:p>
        </w:tc>
        <w:tc>
          <w:tcPr>
            <w:tcW w:w="6499" w:type="dxa"/>
            <w:gridSpan w:val="5"/>
            <w:tcBorders>
              <w:top w:val="single" w:sz="4" w:space="0" w:color="auto"/>
              <w:left w:val="single" w:sz="4" w:space="0" w:color="auto"/>
              <w:right w:val="single" w:sz="4" w:space="0" w:color="auto"/>
            </w:tcBorders>
            <w:vAlign w:val="center"/>
          </w:tcPr>
          <w:p w14:paraId="251796E0" w14:textId="77777777" w:rsidR="00BE0199" w:rsidRPr="00B63FA2" w:rsidRDefault="00BE0199" w:rsidP="00F37389">
            <w:pPr>
              <w:pStyle w:val="TAH"/>
            </w:pPr>
            <w:r w:rsidRPr="00B63FA2">
              <w:t>Conditions</w:t>
            </w:r>
          </w:p>
        </w:tc>
      </w:tr>
      <w:tr w:rsidR="00BE0199" w:rsidRPr="00B63FA2" w14:paraId="4EDE6FA9" w14:textId="77777777" w:rsidTr="00BE0199">
        <w:trPr>
          <w:jc w:val="center"/>
        </w:trPr>
        <w:tc>
          <w:tcPr>
            <w:tcW w:w="1111" w:type="dxa"/>
            <w:tcBorders>
              <w:top w:val="single" w:sz="6" w:space="0" w:color="auto"/>
              <w:left w:val="single" w:sz="4" w:space="0" w:color="auto"/>
              <w:right w:val="single" w:sz="6" w:space="0" w:color="auto"/>
            </w:tcBorders>
            <w:shd w:val="clear" w:color="auto" w:fill="auto"/>
            <w:vAlign w:val="center"/>
          </w:tcPr>
          <w:p w14:paraId="5147BDF7" w14:textId="77777777" w:rsidR="00BE0199" w:rsidRPr="00B63FA2" w:rsidRDefault="00BE0199" w:rsidP="00F37389">
            <w:pPr>
              <w:pStyle w:val="TAH"/>
            </w:pPr>
            <w:r w:rsidRPr="00B63FA2">
              <w:t>Normal condition</w:t>
            </w:r>
          </w:p>
        </w:tc>
        <w:tc>
          <w:tcPr>
            <w:tcW w:w="1110" w:type="dxa"/>
            <w:tcBorders>
              <w:top w:val="single" w:sz="6" w:space="0" w:color="auto"/>
              <w:left w:val="single" w:sz="6" w:space="0" w:color="auto"/>
              <w:right w:val="single" w:sz="6" w:space="0" w:color="auto"/>
            </w:tcBorders>
            <w:shd w:val="clear" w:color="auto" w:fill="auto"/>
            <w:vAlign w:val="center"/>
          </w:tcPr>
          <w:p w14:paraId="484F7BEE" w14:textId="77777777" w:rsidR="00BE0199" w:rsidRPr="00B63FA2" w:rsidRDefault="00BE0199" w:rsidP="00F37389">
            <w:pPr>
              <w:pStyle w:val="TAH"/>
            </w:pPr>
            <w:r w:rsidRPr="00B63FA2">
              <w:t>Extreme condition</w:t>
            </w:r>
          </w:p>
        </w:tc>
        <w:tc>
          <w:tcPr>
            <w:tcW w:w="1110" w:type="dxa"/>
            <w:tcBorders>
              <w:top w:val="single" w:sz="4" w:space="0" w:color="auto"/>
              <w:left w:val="single" w:sz="4" w:space="0" w:color="auto"/>
              <w:right w:val="single" w:sz="4" w:space="0" w:color="auto"/>
            </w:tcBorders>
          </w:tcPr>
          <w:p w14:paraId="2C523314" w14:textId="77777777" w:rsidR="00BE0199" w:rsidRPr="00B63FA2" w:rsidRDefault="00BE0199" w:rsidP="00F37389">
            <w:pPr>
              <w:pStyle w:val="TAH"/>
            </w:pPr>
            <w:r w:rsidRPr="00B63FA2">
              <w:rPr>
                <w:rFonts w:cs="Arial"/>
              </w:rPr>
              <w:t>SSB Ês/Iot</w:t>
            </w:r>
          </w:p>
        </w:tc>
        <w:tc>
          <w:tcPr>
            <w:tcW w:w="5389" w:type="dxa"/>
            <w:gridSpan w:val="4"/>
            <w:tcBorders>
              <w:top w:val="single" w:sz="4" w:space="0" w:color="auto"/>
              <w:left w:val="single" w:sz="4" w:space="0" w:color="auto"/>
              <w:bottom w:val="single" w:sz="6" w:space="0" w:color="auto"/>
              <w:right w:val="single" w:sz="4" w:space="0" w:color="auto"/>
            </w:tcBorders>
            <w:shd w:val="clear" w:color="auto" w:fill="auto"/>
            <w:vAlign w:val="center"/>
          </w:tcPr>
          <w:p w14:paraId="687E4308" w14:textId="77777777" w:rsidR="00BE0199" w:rsidRPr="00B63FA2" w:rsidRDefault="00BE0199" w:rsidP="00F37389">
            <w:pPr>
              <w:pStyle w:val="TAH"/>
            </w:pPr>
            <w:r w:rsidRPr="00B63FA2">
              <w:t>Io</w:t>
            </w:r>
            <w:r w:rsidRPr="00B63FA2">
              <w:rPr>
                <w:vertAlign w:val="superscript"/>
              </w:rPr>
              <w:t xml:space="preserve"> Note 2</w:t>
            </w:r>
            <w:r w:rsidRPr="00B63FA2">
              <w:t xml:space="preserve"> range</w:t>
            </w:r>
          </w:p>
        </w:tc>
      </w:tr>
      <w:tr w:rsidR="00BE0199" w:rsidRPr="00B63FA2" w14:paraId="08B44E76" w14:textId="77777777" w:rsidTr="00BE0199">
        <w:trPr>
          <w:jc w:val="center"/>
        </w:trPr>
        <w:tc>
          <w:tcPr>
            <w:tcW w:w="1111" w:type="dxa"/>
            <w:tcBorders>
              <w:left w:val="single" w:sz="4" w:space="0" w:color="auto"/>
              <w:bottom w:val="single" w:sz="6" w:space="0" w:color="auto"/>
              <w:right w:val="single" w:sz="6" w:space="0" w:color="auto"/>
            </w:tcBorders>
            <w:shd w:val="clear" w:color="auto" w:fill="auto"/>
            <w:vAlign w:val="center"/>
          </w:tcPr>
          <w:p w14:paraId="466E737F" w14:textId="77777777" w:rsidR="00BE0199" w:rsidRPr="00B63FA2" w:rsidRDefault="00BE0199" w:rsidP="00F37389">
            <w:pPr>
              <w:pStyle w:val="TAH"/>
            </w:pPr>
          </w:p>
        </w:tc>
        <w:tc>
          <w:tcPr>
            <w:tcW w:w="1110" w:type="dxa"/>
            <w:tcBorders>
              <w:left w:val="single" w:sz="6" w:space="0" w:color="auto"/>
              <w:bottom w:val="single" w:sz="6" w:space="0" w:color="auto"/>
              <w:right w:val="single" w:sz="6" w:space="0" w:color="auto"/>
            </w:tcBorders>
            <w:shd w:val="clear" w:color="auto" w:fill="auto"/>
            <w:vAlign w:val="center"/>
          </w:tcPr>
          <w:p w14:paraId="1651A575" w14:textId="77777777" w:rsidR="00BE0199" w:rsidRPr="00B63FA2" w:rsidRDefault="00BE0199" w:rsidP="00F37389">
            <w:pPr>
              <w:pStyle w:val="TAH"/>
            </w:pPr>
          </w:p>
        </w:tc>
        <w:tc>
          <w:tcPr>
            <w:tcW w:w="1110" w:type="dxa"/>
            <w:tcBorders>
              <w:left w:val="single" w:sz="4" w:space="0" w:color="auto"/>
              <w:bottom w:val="single" w:sz="6" w:space="0" w:color="auto"/>
              <w:right w:val="single" w:sz="4" w:space="0" w:color="auto"/>
            </w:tcBorders>
            <w:vAlign w:val="center"/>
          </w:tcPr>
          <w:p w14:paraId="55453692" w14:textId="77777777" w:rsidR="00BE0199" w:rsidRPr="00B63FA2" w:rsidRDefault="00BE0199" w:rsidP="00F37389">
            <w:pPr>
              <w:pStyle w:val="TAH"/>
            </w:pPr>
          </w:p>
        </w:tc>
        <w:tc>
          <w:tcPr>
            <w:tcW w:w="381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5B4B5A4D" w14:textId="77777777" w:rsidR="00BE0199" w:rsidRPr="00B63FA2" w:rsidRDefault="00BE0199" w:rsidP="00F37389">
            <w:pPr>
              <w:pStyle w:val="TAH"/>
            </w:pPr>
            <w:r w:rsidRPr="00B63FA2">
              <w:t>Minimum Io</w:t>
            </w:r>
          </w:p>
        </w:tc>
        <w:tc>
          <w:tcPr>
            <w:tcW w:w="1579" w:type="dxa"/>
            <w:tcBorders>
              <w:top w:val="single" w:sz="4" w:space="0" w:color="auto"/>
              <w:left w:val="single" w:sz="6" w:space="0" w:color="auto"/>
              <w:bottom w:val="single" w:sz="6" w:space="0" w:color="auto"/>
              <w:right w:val="single" w:sz="4" w:space="0" w:color="auto"/>
            </w:tcBorders>
            <w:shd w:val="clear" w:color="auto" w:fill="auto"/>
            <w:vAlign w:val="center"/>
          </w:tcPr>
          <w:p w14:paraId="74D41EF3" w14:textId="77777777" w:rsidR="00BE0199" w:rsidRPr="00B63FA2" w:rsidRDefault="00BE0199" w:rsidP="00F37389">
            <w:pPr>
              <w:pStyle w:val="TAH"/>
            </w:pPr>
            <w:r w:rsidRPr="00B63FA2">
              <w:t>Maximum Io</w:t>
            </w:r>
          </w:p>
        </w:tc>
      </w:tr>
      <w:tr w:rsidR="00BE0199" w:rsidRPr="00B63FA2" w14:paraId="3B697F93" w14:textId="77777777" w:rsidTr="00BE0199">
        <w:trPr>
          <w:jc w:val="center"/>
        </w:trPr>
        <w:tc>
          <w:tcPr>
            <w:tcW w:w="1111" w:type="dxa"/>
            <w:tcBorders>
              <w:top w:val="single" w:sz="6" w:space="0" w:color="auto"/>
              <w:left w:val="single" w:sz="4" w:space="0" w:color="auto"/>
              <w:right w:val="single" w:sz="6" w:space="0" w:color="auto"/>
            </w:tcBorders>
            <w:shd w:val="clear" w:color="auto" w:fill="auto"/>
            <w:vAlign w:val="center"/>
          </w:tcPr>
          <w:p w14:paraId="0832B3DA" w14:textId="77777777" w:rsidR="00BE0199" w:rsidRPr="00B63FA2" w:rsidRDefault="00BE0199" w:rsidP="00F37389">
            <w:pPr>
              <w:pStyle w:val="TAH"/>
            </w:pPr>
            <w:r w:rsidRPr="00B63FA2">
              <w:t>dB</w:t>
            </w:r>
          </w:p>
        </w:tc>
        <w:tc>
          <w:tcPr>
            <w:tcW w:w="1110" w:type="dxa"/>
            <w:tcBorders>
              <w:top w:val="single" w:sz="6" w:space="0" w:color="auto"/>
              <w:left w:val="single" w:sz="6" w:space="0" w:color="auto"/>
              <w:right w:val="single" w:sz="6" w:space="0" w:color="auto"/>
            </w:tcBorders>
            <w:shd w:val="clear" w:color="auto" w:fill="auto"/>
            <w:vAlign w:val="center"/>
          </w:tcPr>
          <w:p w14:paraId="1C2A6167" w14:textId="77777777" w:rsidR="00BE0199" w:rsidRPr="00B63FA2" w:rsidRDefault="00BE0199" w:rsidP="00F37389">
            <w:pPr>
              <w:pStyle w:val="TAH"/>
            </w:pPr>
            <w:r w:rsidRPr="00B63FA2">
              <w:t>dB</w:t>
            </w:r>
          </w:p>
        </w:tc>
        <w:tc>
          <w:tcPr>
            <w:tcW w:w="1110" w:type="dxa"/>
            <w:tcBorders>
              <w:top w:val="single" w:sz="6" w:space="0" w:color="auto"/>
              <w:left w:val="single" w:sz="4" w:space="0" w:color="auto"/>
              <w:right w:val="single" w:sz="4" w:space="0" w:color="auto"/>
            </w:tcBorders>
            <w:vAlign w:val="center"/>
          </w:tcPr>
          <w:p w14:paraId="20E77088" w14:textId="77777777" w:rsidR="00BE0199" w:rsidRPr="00B63FA2" w:rsidRDefault="00BE0199" w:rsidP="00F37389">
            <w:pPr>
              <w:pStyle w:val="TAH"/>
              <w:rPr>
                <w:rFonts w:cs="Arial"/>
              </w:rPr>
            </w:pPr>
            <w:r w:rsidRPr="00B63FA2">
              <w:t>dB</w:t>
            </w:r>
          </w:p>
        </w:tc>
        <w:tc>
          <w:tcPr>
            <w:tcW w:w="2232"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69D4C927" w14:textId="77777777" w:rsidR="00BE0199" w:rsidRPr="00B63FA2" w:rsidRDefault="00BE0199" w:rsidP="00F37389">
            <w:pPr>
              <w:pStyle w:val="TAH"/>
            </w:pPr>
            <w:r w:rsidRPr="00B63FA2">
              <w:rPr>
                <w:rFonts w:cs="Arial"/>
              </w:rPr>
              <w:t xml:space="preserve">dBm / </w:t>
            </w:r>
            <w:r w:rsidRPr="00B63FA2">
              <w:t>SCS</w:t>
            </w:r>
            <w:r w:rsidRPr="00B63FA2">
              <w:rPr>
                <w:vertAlign w:val="subscript"/>
              </w:rPr>
              <w:t>SSB</w:t>
            </w:r>
            <w:r w:rsidRPr="00B63FA2">
              <w:rPr>
                <w:vertAlign w:val="superscript"/>
              </w:rPr>
              <w:t xml:space="preserve"> Note 1</w:t>
            </w:r>
          </w:p>
        </w:tc>
        <w:tc>
          <w:tcPr>
            <w:tcW w:w="1578" w:type="dxa"/>
            <w:tcBorders>
              <w:top w:val="single" w:sz="6" w:space="0" w:color="auto"/>
              <w:left w:val="single" w:sz="6" w:space="0" w:color="auto"/>
              <w:right w:val="single" w:sz="6" w:space="0" w:color="auto"/>
            </w:tcBorders>
            <w:shd w:val="clear" w:color="auto" w:fill="auto"/>
            <w:vAlign w:val="center"/>
          </w:tcPr>
          <w:p w14:paraId="2335BC67" w14:textId="77777777" w:rsidR="00BE0199" w:rsidRPr="00B63FA2" w:rsidRDefault="00BE0199" w:rsidP="00F37389">
            <w:pPr>
              <w:pStyle w:val="TAH"/>
            </w:pPr>
            <w:r w:rsidRPr="00B63FA2">
              <w:t>dBm/BW</w:t>
            </w:r>
            <w:r w:rsidRPr="00B63FA2">
              <w:rPr>
                <w:vertAlign w:val="subscript"/>
              </w:rPr>
              <w:t>Channel</w:t>
            </w:r>
          </w:p>
        </w:tc>
        <w:tc>
          <w:tcPr>
            <w:tcW w:w="1579" w:type="dxa"/>
            <w:tcBorders>
              <w:top w:val="single" w:sz="6" w:space="0" w:color="auto"/>
              <w:left w:val="single" w:sz="6" w:space="0" w:color="auto"/>
              <w:right w:val="single" w:sz="4" w:space="0" w:color="auto"/>
            </w:tcBorders>
            <w:shd w:val="clear" w:color="auto" w:fill="auto"/>
            <w:vAlign w:val="center"/>
          </w:tcPr>
          <w:p w14:paraId="5F899016" w14:textId="77777777" w:rsidR="00BE0199" w:rsidRPr="00B63FA2" w:rsidRDefault="00BE0199" w:rsidP="00F37389">
            <w:pPr>
              <w:pStyle w:val="TAH"/>
            </w:pPr>
            <w:r w:rsidRPr="00B63FA2">
              <w:t>dBm/BW</w:t>
            </w:r>
            <w:r w:rsidRPr="00B63FA2">
              <w:rPr>
                <w:vertAlign w:val="subscript"/>
              </w:rPr>
              <w:t>Channel</w:t>
            </w:r>
          </w:p>
        </w:tc>
      </w:tr>
      <w:tr w:rsidR="00BE0199" w:rsidRPr="00B63FA2" w14:paraId="68034919" w14:textId="77777777" w:rsidTr="00BE0199">
        <w:trPr>
          <w:jc w:val="center"/>
        </w:trPr>
        <w:tc>
          <w:tcPr>
            <w:tcW w:w="1111" w:type="dxa"/>
            <w:tcBorders>
              <w:left w:val="single" w:sz="4" w:space="0" w:color="auto"/>
              <w:bottom w:val="single" w:sz="6" w:space="0" w:color="auto"/>
              <w:right w:val="single" w:sz="6" w:space="0" w:color="auto"/>
            </w:tcBorders>
            <w:shd w:val="clear" w:color="auto" w:fill="auto"/>
            <w:vAlign w:val="center"/>
          </w:tcPr>
          <w:p w14:paraId="594FED3D" w14:textId="77777777" w:rsidR="00BE0199" w:rsidRPr="00B63FA2" w:rsidRDefault="00BE0199" w:rsidP="00F37389">
            <w:pPr>
              <w:pStyle w:val="TAH"/>
            </w:pPr>
          </w:p>
        </w:tc>
        <w:tc>
          <w:tcPr>
            <w:tcW w:w="1110" w:type="dxa"/>
            <w:tcBorders>
              <w:left w:val="single" w:sz="6" w:space="0" w:color="auto"/>
              <w:bottom w:val="single" w:sz="6" w:space="0" w:color="auto"/>
              <w:right w:val="single" w:sz="6" w:space="0" w:color="auto"/>
            </w:tcBorders>
            <w:shd w:val="clear" w:color="auto" w:fill="auto"/>
            <w:vAlign w:val="center"/>
          </w:tcPr>
          <w:p w14:paraId="6A4D17E5" w14:textId="77777777" w:rsidR="00BE0199" w:rsidRPr="00B63FA2" w:rsidRDefault="00BE0199" w:rsidP="00F37389">
            <w:pPr>
              <w:pStyle w:val="TAH"/>
            </w:pPr>
          </w:p>
        </w:tc>
        <w:tc>
          <w:tcPr>
            <w:tcW w:w="1110" w:type="dxa"/>
            <w:tcBorders>
              <w:left w:val="single" w:sz="4" w:space="0" w:color="auto"/>
              <w:bottom w:val="single" w:sz="6" w:space="0" w:color="auto"/>
              <w:right w:val="single" w:sz="4" w:space="0" w:color="auto"/>
            </w:tcBorders>
          </w:tcPr>
          <w:p w14:paraId="2A9AAB1F" w14:textId="77777777" w:rsidR="00BE0199" w:rsidRPr="00B63FA2" w:rsidRDefault="00BE0199" w:rsidP="00F37389">
            <w:pPr>
              <w:pStyle w:val="TAH"/>
            </w:pPr>
          </w:p>
        </w:tc>
        <w:tc>
          <w:tcPr>
            <w:tcW w:w="1116" w:type="dxa"/>
            <w:tcBorders>
              <w:top w:val="single" w:sz="6" w:space="0" w:color="auto"/>
              <w:left w:val="single" w:sz="4" w:space="0" w:color="auto"/>
              <w:bottom w:val="single" w:sz="6" w:space="0" w:color="auto"/>
              <w:right w:val="single" w:sz="6" w:space="0" w:color="auto"/>
            </w:tcBorders>
            <w:shd w:val="clear" w:color="auto" w:fill="auto"/>
            <w:vAlign w:val="center"/>
          </w:tcPr>
          <w:p w14:paraId="0AA39291" w14:textId="77777777" w:rsidR="00BE0199" w:rsidRPr="00B63FA2" w:rsidRDefault="00BE0199" w:rsidP="00F37389">
            <w:pPr>
              <w:pStyle w:val="TAH"/>
            </w:pPr>
            <w:r w:rsidRPr="00B63FA2">
              <w:t>SCS</w:t>
            </w:r>
            <w:r w:rsidRPr="00B63FA2">
              <w:rPr>
                <w:vertAlign w:val="subscript"/>
              </w:rPr>
              <w:t>SSB</w:t>
            </w:r>
            <w:r w:rsidRPr="00B63FA2">
              <w:rPr>
                <w:rFonts w:cs="Arial"/>
              </w:rPr>
              <w:t xml:space="preserve"> = 120kHz</w:t>
            </w:r>
          </w:p>
        </w:tc>
        <w:tc>
          <w:tcPr>
            <w:tcW w:w="1116" w:type="dxa"/>
            <w:tcBorders>
              <w:top w:val="single" w:sz="6" w:space="0" w:color="auto"/>
              <w:left w:val="single" w:sz="4" w:space="0" w:color="auto"/>
              <w:bottom w:val="single" w:sz="6" w:space="0" w:color="auto"/>
              <w:right w:val="single" w:sz="6" w:space="0" w:color="auto"/>
            </w:tcBorders>
            <w:shd w:val="clear" w:color="auto" w:fill="auto"/>
            <w:vAlign w:val="center"/>
          </w:tcPr>
          <w:p w14:paraId="403A7109" w14:textId="77777777" w:rsidR="00BE0199" w:rsidRPr="00B63FA2" w:rsidRDefault="00BE0199" w:rsidP="00F37389">
            <w:pPr>
              <w:pStyle w:val="TAH"/>
            </w:pPr>
            <w:r w:rsidRPr="00B63FA2">
              <w:t>SCS</w:t>
            </w:r>
            <w:r w:rsidRPr="00B63FA2">
              <w:rPr>
                <w:vertAlign w:val="subscript"/>
              </w:rPr>
              <w:t>SSB</w:t>
            </w:r>
            <w:r w:rsidRPr="00B63FA2">
              <w:rPr>
                <w:rFonts w:cs="Arial"/>
              </w:rPr>
              <w:t xml:space="preserve"> = 240kHz</w:t>
            </w:r>
          </w:p>
        </w:tc>
        <w:tc>
          <w:tcPr>
            <w:tcW w:w="1578" w:type="dxa"/>
            <w:tcBorders>
              <w:left w:val="single" w:sz="6" w:space="0" w:color="auto"/>
              <w:bottom w:val="single" w:sz="6" w:space="0" w:color="auto"/>
              <w:right w:val="single" w:sz="6" w:space="0" w:color="auto"/>
            </w:tcBorders>
            <w:shd w:val="clear" w:color="auto" w:fill="auto"/>
            <w:vAlign w:val="center"/>
          </w:tcPr>
          <w:p w14:paraId="1D0F2E21" w14:textId="77777777" w:rsidR="00BE0199" w:rsidRPr="00B63FA2" w:rsidRDefault="00BE0199" w:rsidP="00F37389">
            <w:pPr>
              <w:pStyle w:val="TAH"/>
            </w:pPr>
          </w:p>
        </w:tc>
        <w:tc>
          <w:tcPr>
            <w:tcW w:w="1579" w:type="dxa"/>
            <w:tcBorders>
              <w:left w:val="single" w:sz="6" w:space="0" w:color="auto"/>
              <w:bottom w:val="single" w:sz="6" w:space="0" w:color="auto"/>
              <w:right w:val="single" w:sz="4" w:space="0" w:color="auto"/>
            </w:tcBorders>
            <w:shd w:val="clear" w:color="auto" w:fill="auto"/>
            <w:vAlign w:val="center"/>
          </w:tcPr>
          <w:p w14:paraId="6A6962E1" w14:textId="77777777" w:rsidR="00BE0199" w:rsidRPr="00B63FA2" w:rsidRDefault="00BE0199" w:rsidP="00F37389">
            <w:pPr>
              <w:pStyle w:val="TAH"/>
            </w:pPr>
          </w:p>
        </w:tc>
      </w:tr>
      <w:tr w:rsidR="00BE0199" w:rsidRPr="00B63FA2" w14:paraId="675E30A7" w14:textId="77777777" w:rsidTr="00BE0199">
        <w:trPr>
          <w:jc w:val="center"/>
        </w:trPr>
        <w:tc>
          <w:tcPr>
            <w:tcW w:w="1111" w:type="dxa"/>
            <w:tcBorders>
              <w:top w:val="single" w:sz="6" w:space="0" w:color="auto"/>
              <w:left w:val="single" w:sz="4" w:space="0" w:color="auto"/>
              <w:right w:val="single" w:sz="6" w:space="0" w:color="auto"/>
            </w:tcBorders>
            <w:shd w:val="clear" w:color="auto" w:fill="auto"/>
            <w:vAlign w:val="center"/>
          </w:tcPr>
          <w:p w14:paraId="61182B7B" w14:textId="77777777" w:rsidR="00BE0199" w:rsidRPr="00B63FA2" w:rsidRDefault="00BE0199" w:rsidP="00F37389">
            <w:pPr>
              <w:pStyle w:val="TAC"/>
            </w:pPr>
            <w:r w:rsidRPr="00B63FA2">
              <w:sym w:font="Symbol" w:char="F0B1"/>
            </w:r>
            <w:r>
              <w:t>7.5</w:t>
            </w:r>
          </w:p>
        </w:tc>
        <w:tc>
          <w:tcPr>
            <w:tcW w:w="1110" w:type="dxa"/>
            <w:tcBorders>
              <w:top w:val="single" w:sz="6" w:space="0" w:color="auto"/>
              <w:left w:val="single" w:sz="6" w:space="0" w:color="auto"/>
              <w:right w:val="single" w:sz="6" w:space="0" w:color="auto"/>
            </w:tcBorders>
            <w:shd w:val="clear" w:color="auto" w:fill="auto"/>
            <w:vAlign w:val="center"/>
          </w:tcPr>
          <w:p w14:paraId="774900FF" w14:textId="77777777" w:rsidR="00BE0199" w:rsidRPr="00B63FA2" w:rsidRDefault="00BE0199" w:rsidP="00F37389">
            <w:pPr>
              <w:pStyle w:val="TAC"/>
            </w:pPr>
            <w:r w:rsidRPr="00B63FA2">
              <w:sym w:font="Symbol" w:char="F0B1"/>
            </w:r>
            <w:r>
              <w:t>10.5</w:t>
            </w:r>
          </w:p>
        </w:tc>
        <w:tc>
          <w:tcPr>
            <w:tcW w:w="1110" w:type="dxa"/>
            <w:tcBorders>
              <w:top w:val="single" w:sz="6" w:space="0" w:color="auto"/>
              <w:left w:val="single" w:sz="4" w:space="0" w:color="auto"/>
              <w:right w:val="single" w:sz="4" w:space="0" w:color="auto"/>
            </w:tcBorders>
            <w:vAlign w:val="center"/>
          </w:tcPr>
          <w:p w14:paraId="46B82561" w14:textId="77777777" w:rsidR="00BE0199" w:rsidRPr="00B63FA2" w:rsidRDefault="00BE0199" w:rsidP="00F37389">
            <w:pPr>
              <w:pStyle w:val="TAC"/>
            </w:pPr>
            <w:r w:rsidRPr="00B63FA2">
              <w:rPr>
                <w:rFonts w:eastAsia="Yu Mincho" w:cs="Arial"/>
                <w:lang w:eastAsia="ja-JP"/>
              </w:rPr>
              <w:t>≥-4</w:t>
            </w:r>
          </w:p>
        </w:tc>
        <w:tc>
          <w:tcPr>
            <w:tcW w:w="2232"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217EE610" w14:textId="77777777" w:rsidR="00BE0199" w:rsidRPr="00B63FA2" w:rsidRDefault="00BE0199" w:rsidP="00F37389">
            <w:pPr>
              <w:pStyle w:val="TAC"/>
              <w:rPr>
                <w:rFonts w:eastAsia="Yu Mincho"/>
                <w:lang w:eastAsia="ja-JP"/>
              </w:rPr>
            </w:pPr>
            <w:r w:rsidRPr="00B63FA2">
              <w:t>Same value as SSB_RP in Table B.2.3-2, according to UE Power class, operating band and angle of arrival</w:t>
            </w:r>
          </w:p>
        </w:tc>
        <w:tc>
          <w:tcPr>
            <w:tcW w:w="1578" w:type="dxa"/>
            <w:tcBorders>
              <w:top w:val="single" w:sz="6" w:space="0" w:color="auto"/>
              <w:left w:val="single" w:sz="6" w:space="0" w:color="auto"/>
              <w:bottom w:val="single" w:sz="6" w:space="0" w:color="auto"/>
              <w:right w:val="single" w:sz="6" w:space="0" w:color="auto"/>
            </w:tcBorders>
            <w:shd w:val="clear" w:color="auto" w:fill="auto"/>
            <w:vAlign w:val="center"/>
          </w:tcPr>
          <w:p w14:paraId="1C4CB5E7" w14:textId="77777777" w:rsidR="00BE0199" w:rsidRPr="00B63FA2" w:rsidRDefault="00BE0199" w:rsidP="00F37389">
            <w:pPr>
              <w:pStyle w:val="TAC"/>
            </w:pPr>
            <w:r w:rsidRPr="00B63FA2">
              <w:rPr>
                <w:lang w:eastAsia="zh-CN"/>
              </w:rPr>
              <w:t>N/A</w:t>
            </w:r>
          </w:p>
        </w:tc>
        <w:tc>
          <w:tcPr>
            <w:tcW w:w="1579" w:type="dxa"/>
            <w:tcBorders>
              <w:top w:val="single" w:sz="6" w:space="0" w:color="auto"/>
              <w:left w:val="single" w:sz="6" w:space="0" w:color="auto"/>
              <w:bottom w:val="single" w:sz="6" w:space="0" w:color="auto"/>
              <w:right w:val="single" w:sz="4" w:space="0" w:color="auto"/>
            </w:tcBorders>
            <w:shd w:val="clear" w:color="auto" w:fill="auto"/>
            <w:vAlign w:val="center"/>
          </w:tcPr>
          <w:p w14:paraId="45EB1A56" w14:textId="77777777" w:rsidR="00BE0199" w:rsidRPr="00B63FA2" w:rsidRDefault="00BE0199" w:rsidP="00F37389">
            <w:pPr>
              <w:pStyle w:val="TAC"/>
            </w:pPr>
            <w:r w:rsidRPr="00B63FA2">
              <w:t>-70</w:t>
            </w:r>
          </w:p>
        </w:tc>
      </w:tr>
      <w:tr w:rsidR="00BE0199" w:rsidRPr="00B63FA2" w14:paraId="74FAB4A9" w14:textId="77777777" w:rsidTr="00BE0199">
        <w:trPr>
          <w:jc w:val="center"/>
        </w:trPr>
        <w:tc>
          <w:tcPr>
            <w:tcW w:w="1111" w:type="dxa"/>
            <w:tcBorders>
              <w:top w:val="single" w:sz="6" w:space="0" w:color="auto"/>
              <w:left w:val="single" w:sz="4" w:space="0" w:color="auto"/>
              <w:bottom w:val="single" w:sz="6" w:space="0" w:color="auto"/>
              <w:right w:val="single" w:sz="6" w:space="0" w:color="auto"/>
            </w:tcBorders>
            <w:shd w:val="clear" w:color="auto" w:fill="auto"/>
            <w:vAlign w:val="center"/>
          </w:tcPr>
          <w:p w14:paraId="237D6796" w14:textId="77777777" w:rsidR="00BE0199" w:rsidRPr="00B63FA2" w:rsidRDefault="00BE0199" w:rsidP="00F37389">
            <w:pPr>
              <w:pStyle w:val="TAC"/>
            </w:pPr>
            <w:r w:rsidRPr="00B63FA2">
              <w:sym w:font="Symbol" w:char="F0B1"/>
            </w:r>
            <w:r>
              <w:t>9.5</w:t>
            </w:r>
          </w:p>
        </w:tc>
        <w:tc>
          <w:tcPr>
            <w:tcW w:w="1110" w:type="dxa"/>
            <w:tcBorders>
              <w:top w:val="single" w:sz="6" w:space="0" w:color="auto"/>
              <w:left w:val="single" w:sz="6" w:space="0" w:color="auto"/>
              <w:bottom w:val="single" w:sz="6" w:space="0" w:color="auto"/>
              <w:right w:val="single" w:sz="6" w:space="0" w:color="auto"/>
            </w:tcBorders>
            <w:shd w:val="clear" w:color="auto" w:fill="auto"/>
            <w:vAlign w:val="center"/>
          </w:tcPr>
          <w:p w14:paraId="1CFBB512" w14:textId="77777777" w:rsidR="00BE0199" w:rsidRPr="00B63FA2" w:rsidRDefault="00BE0199" w:rsidP="00F37389">
            <w:pPr>
              <w:pStyle w:val="TAC"/>
            </w:pPr>
            <w:r w:rsidRPr="00B63FA2">
              <w:sym w:font="Symbol" w:char="F0B1"/>
            </w:r>
            <w:r w:rsidRPr="00B63FA2">
              <w:t>1</w:t>
            </w:r>
            <w:r>
              <w:t>2.5</w:t>
            </w:r>
          </w:p>
        </w:tc>
        <w:tc>
          <w:tcPr>
            <w:tcW w:w="1110" w:type="dxa"/>
            <w:tcBorders>
              <w:left w:val="single" w:sz="4" w:space="0" w:color="auto"/>
              <w:bottom w:val="single" w:sz="6" w:space="0" w:color="auto"/>
              <w:right w:val="single" w:sz="4" w:space="0" w:color="auto"/>
            </w:tcBorders>
          </w:tcPr>
          <w:p w14:paraId="7F5E2344" w14:textId="77777777" w:rsidR="00BE0199" w:rsidRPr="00B63FA2" w:rsidRDefault="00BE0199" w:rsidP="00F37389">
            <w:pPr>
              <w:pStyle w:val="TAC"/>
            </w:pPr>
          </w:p>
        </w:tc>
        <w:tc>
          <w:tcPr>
            <w:tcW w:w="2232"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597BDC97" w14:textId="77777777" w:rsidR="00BE0199" w:rsidRPr="00B63FA2" w:rsidRDefault="00BE0199" w:rsidP="00F37389">
            <w:pPr>
              <w:pStyle w:val="TAC"/>
            </w:pPr>
            <w:r w:rsidRPr="00B63FA2">
              <w:t>N/A</w:t>
            </w:r>
          </w:p>
        </w:tc>
        <w:tc>
          <w:tcPr>
            <w:tcW w:w="1578" w:type="dxa"/>
            <w:tcBorders>
              <w:top w:val="single" w:sz="6" w:space="0" w:color="auto"/>
              <w:left w:val="single" w:sz="6" w:space="0" w:color="auto"/>
              <w:bottom w:val="single" w:sz="6" w:space="0" w:color="auto"/>
              <w:right w:val="single" w:sz="6" w:space="0" w:color="auto"/>
            </w:tcBorders>
            <w:shd w:val="clear" w:color="auto" w:fill="auto"/>
            <w:vAlign w:val="center"/>
          </w:tcPr>
          <w:p w14:paraId="7FCA747A" w14:textId="77777777" w:rsidR="00BE0199" w:rsidRPr="00B63FA2" w:rsidRDefault="00BE0199" w:rsidP="00F37389">
            <w:pPr>
              <w:pStyle w:val="TAC"/>
            </w:pPr>
            <w:r w:rsidRPr="00B63FA2">
              <w:t>-70</w:t>
            </w:r>
          </w:p>
        </w:tc>
        <w:tc>
          <w:tcPr>
            <w:tcW w:w="1579" w:type="dxa"/>
            <w:tcBorders>
              <w:top w:val="single" w:sz="6" w:space="0" w:color="auto"/>
              <w:left w:val="single" w:sz="6" w:space="0" w:color="auto"/>
              <w:bottom w:val="single" w:sz="6" w:space="0" w:color="auto"/>
              <w:right w:val="single" w:sz="4" w:space="0" w:color="auto"/>
            </w:tcBorders>
            <w:shd w:val="clear" w:color="auto" w:fill="auto"/>
            <w:vAlign w:val="center"/>
          </w:tcPr>
          <w:p w14:paraId="14E3748B" w14:textId="77777777" w:rsidR="00BE0199" w:rsidRPr="00B63FA2" w:rsidRDefault="00BE0199" w:rsidP="00F37389">
            <w:pPr>
              <w:pStyle w:val="TAC"/>
            </w:pPr>
            <w:r w:rsidRPr="00B63FA2">
              <w:t>-50</w:t>
            </w:r>
          </w:p>
        </w:tc>
      </w:tr>
      <w:tr w:rsidR="00BE0199" w:rsidRPr="00B63FA2" w14:paraId="2D3A4E92" w14:textId="77777777" w:rsidTr="00BE0199">
        <w:trPr>
          <w:jc w:val="center"/>
        </w:trPr>
        <w:tc>
          <w:tcPr>
            <w:tcW w:w="8720"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0F1B220" w14:textId="77777777" w:rsidR="00BE0199" w:rsidRPr="00B63FA2" w:rsidRDefault="00BE0199" w:rsidP="00F37389">
            <w:pPr>
              <w:pStyle w:val="TAN"/>
            </w:pPr>
            <w:r w:rsidRPr="00B63FA2">
              <w:t>Note 1:</w:t>
            </w:r>
            <w:r w:rsidRPr="00B63FA2">
              <w:tab/>
              <w:t>Values based on Refsens and EIS spherical coverage as defined in clauses 7.3.2 and 7.3.4 of TS 38.101-2 [19]. Applicable side condition selected depending on angle of arrival.</w:t>
            </w:r>
          </w:p>
          <w:p w14:paraId="634B63D8" w14:textId="77777777" w:rsidR="00BE0199" w:rsidRPr="00B63FA2" w:rsidRDefault="00BE0199" w:rsidP="00F37389">
            <w:pPr>
              <w:pStyle w:val="TAN"/>
            </w:pPr>
            <w:r w:rsidRPr="00B63FA2">
              <w:t>Note 2:</w:t>
            </w:r>
            <w:r w:rsidRPr="00B63FA2">
              <w:tab/>
            </w:r>
            <w:r w:rsidRPr="00B63FA2">
              <w:rPr>
                <w:rFonts w:eastAsia="MS Mincho"/>
              </w:rPr>
              <w:t>Io specified at the Reference point, and assumed to have constant EPRE across the bandwidth</w:t>
            </w:r>
            <w:r w:rsidRPr="00B63FA2">
              <w:t>.</w:t>
            </w:r>
          </w:p>
          <w:p w14:paraId="5E4236B9" w14:textId="77777777" w:rsidR="00BE0199" w:rsidRPr="00B63FA2" w:rsidRDefault="00BE0199" w:rsidP="00F37389">
            <w:pPr>
              <w:pStyle w:val="TAN"/>
            </w:pPr>
            <w:r w:rsidRPr="00B63FA2">
              <w:t>Note 3:</w:t>
            </w:r>
            <w:r w:rsidRPr="00B63FA2">
              <w:tab/>
              <w:t xml:space="preserve">In the test cases, the SSB </w:t>
            </w:r>
            <w:r w:rsidRPr="00B63FA2">
              <w:rPr>
                <w:rFonts w:hint="eastAsia"/>
              </w:rPr>
              <w:t>Ê</w:t>
            </w:r>
            <w:r w:rsidRPr="00B63FA2">
              <w:t xml:space="preserve">s/Iot and related parameters may need to be adjusted to ensure </w:t>
            </w:r>
            <w:r w:rsidRPr="00B63FA2">
              <w:rPr>
                <w:rFonts w:hint="eastAsia"/>
              </w:rPr>
              <w:t>Ê</w:t>
            </w:r>
            <w:r w:rsidRPr="00B63FA2">
              <w:t>s/Iot at UE baseband is above the value defined in this table.</w:t>
            </w:r>
          </w:p>
        </w:tc>
      </w:tr>
    </w:tbl>
    <w:p w14:paraId="30E4F814" w14:textId="77777777" w:rsidR="00BE0199" w:rsidRPr="00B63FA2" w:rsidRDefault="00BE0199" w:rsidP="00BE0199">
      <w:pPr>
        <w:rPr>
          <w:lang w:eastAsia="zh-CN"/>
        </w:rPr>
      </w:pPr>
    </w:p>
    <w:p w14:paraId="7FF22D2C" w14:textId="15904739" w:rsidR="001F5A79" w:rsidRPr="009C5807" w:rsidRDefault="001F5A79" w:rsidP="00967CF8">
      <w:pPr>
        <w:pStyle w:val="Heading3"/>
      </w:pPr>
      <w:r w:rsidRPr="009C5807">
        <w:rPr>
          <w:lang w:val="en-US"/>
        </w:rPr>
        <w:t>1</w:t>
      </w:r>
      <w:r w:rsidR="00967CF8" w:rsidRPr="009C5807">
        <w:rPr>
          <w:lang w:val="en-US"/>
        </w:rPr>
        <w:t>0.1.6</w:t>
      </w:r>
      <w:r w:rsidR="00B36247">
        <w:rPr>
          <w:lang w:val="en-US" w:eastAsia="ko-KR"/>
        </w:rPr>
        <w:tab/>
      </w:r>
      <w:r w:rsidRPr="009C5807">
        <w:t>RSRP Measurement Report Mapping</w:t>
      </w:r>
    </w:p>
    <w:p w14:paraId="08BC007A" w14:textId="12BA3F20" w:rsidR="001F5A79" w:rsidRPr="009C5807" w:rsidRDefault="001F5A79" w:rsidP="001F5A79">
      <w:pPr>
        <w:rPr>
          <w:rFonts w:cs="v4.2.0"/>
        </w:rPr>
      </w:pPr>
      <w:r w:rsidRPr="009C5807">
        <w:rPr>
          <w:rFonts w:cs="v4.2.0"/>
        </w:rPr>
        <w:t xml:space="preserve">The reporting range of SS-RSRP </w:t>
      </w:r>
      <w:r w:rsidR="00550E13">
        <w:rPr>
          <w:rFonts w:cs="v4.2.0"/>
        </w:rPr>
        <w:t xml:space="preserve">and CSI-RSRP </w:t>
      </w:r>
      <w:r w:rsidRPr="009C5807">
        <w:rPr>
          <w:rFonts w:cs="v4.2.0"/>
        </w:rPr>
        <w:t>for L3 reporting is defined from -1</w:t>
      </w:r>
      <w:r w:rsidRPr="009C5807">
        <w:rPr>
          <w:rFonts w:cs="v4.2.0"/>
          <w:lang w:eastAsia="zh-CN"/>
        </w:rPr>
        <w:t>56</w:t>
      </w:r>
      <w:r w:rsidRPr="009C5807">
        <w:rPr>
          <w:rFonts w:cs="v4.2.0"/>
        </w:rPr>
        <w:t xml:space="preserve"> dBm to -31 dBm with 1 dB resolution. The reporting range of SS-RSRP and CSI-RSRP for L1 reporting is defined from -140 to -44 dBm with 1 dB resolution.</w:t>
      </w:r>
    </w:p>
    <w:p w14:paraId="2F6AF5CE" w14:textId="77777777" w:rsidR="001F5A79" w:rsidRPr="009C5807" w:rsidRDefault="001F5A79" w:rsidP="001F5A79">
      <w:pPr>
        <w:rPr>
          <w:rFonts w:cs="v4.2.0"/>
        </w:rPr>
      </w:pPr>
      <w:r w:rsidRPr="009C5807">
        <w:rPr>
          <w:rFonts w:cs="v4.2.0"/>
        </w:rPr>
        <w:t>The mapping of measured quantity is defined in Table 10.1.6.1-1. The range in the signalling may be larger than the guaranteed accuracy range.</w:t>
      </w:r>
    </w:p>
    <w:p w14:paraId="35649D21" w14:textId="29681288" w:rsidR="001F5A79" w:rsidRPr="009C5807" w:rsidRDefault="001F5A79" w:rsidP="001F5A79">
      <w:pPr>
        <w:rPr>
          <w:rFonts w:cs="v4.2.0"/>
        </w:rPr>
      </w:pPr>
      <w:r w:rsidRPr="009C5807">
        <w:rPr>
          <w:rFonts w:cs="v4.2.0"/>
        </w:rPr>
        <w:t xml:space="preserve">The reporting range of differential SS-RSRP and CSI-RSRP for L1 reporting </w:t>
      </w:r>
      <w:r w:rsidR="00550E13">
        <w:rPr>
          <w:rFonts w:cs="v4.2.0" w:hint="eastAsia"/>
          <w:lang w:eastAsia="zh-CN"/>
        </w:rPr>
        <w:t xml:space="preserve">and L3 reporting </w:t>
      </w:r>
      <w:r w:rsidRPr="009C5807">
        <w:rPr>
          <w:rFonts w:cs="v4.2.0"/>
        </w:rPr>
        <w:t xml:space="preserve">is defined from 0 </w:t>
      </w:r>
      <w:r w:rsidR="00550E13">
        <w:rPr>
          <w:rFonts w:cs="v4.2.0" w:hint="eastAsia"/>
          <w:lang w:eastAsia="zh-CN"/>
        </w:rPr>
        <w:t>dB</w:t>
      </w:r>
      <w:r w:rsidRPr="009C5807">
        <w:rPr>
          <w:rFonts w:cs="v4.2.0"/>
        </w:rPr>
        <w:t xml:space="preserve"> to -30 dB with 2 dB resolution.</w:t>
      </w:r>
    </w:p>
    <w:p w14:paraId="6FECC4CA" w14:textId="77777777" w:rsidR="001F5A79" w:rsidRPr="009C5807" w:rsidRDefault="001F5A79" w:rsidP="001F5A79">
      <w:pPr>
        <w:rPr>
          <w:rFonts w:cs="v4.2.0"/>
        </w:rPr>
      </w:pPr>
      <w:r w:rsidRPr="009C5807">
        <w:rPr>
          <w:rFonts w:cs="v4.2.0"/>
        </w:rPr>
        <w:t>The mapping of measured quantity is defined in Table 10.1.6.1-2. The range in the signalling may be larger than the guaranteed accuracy range.</w:t>
      </w:r>
    </w:p>
    <w:p w14:paraId="6946765C" w14:textId="77777777" w:rsidR="001F5A79" w:rsidRPr="009C5807" w:rsidRDefault="001F5A79" w:rsidP="00DB6585">
      <w:pPr>
        <w:pStyle w:val="TH"/>
      </w:pPr>
      <w:r w:rsidRPr="009C5807">
        <w:t>Table 10.1.6.1-1: SS-RSRP and CSI-RSRP measurement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2154"/>
        <w:gridCol w:w="2268"/>
        <w:gridCol w:w="710"/>
      </w:tblGrid>
      <w:tr w:rsidR="001F5A79" w:rsidRPr="009C5807" w14:paraId="25AB6FE6" w14:textId="77777777" w:rsidTr="00DF3064">
        <w:trPr>
          <w:trHeight w:val="300"/>
          <w:jc w:val="center"/>
        </w:trPr>
        <w:tc>
          <w:tcPr>
            <w:tcW w:w="1640" w:type="dxa"/>
            <w:shd w:val="clear" w:color="auto" w:fill="auto"/>
            <w:noWrap/>
            <w:hideMark/>
          </w:tcPr>
          <w:p w14:paraId="4F37A6B9" w14:textId="77777777" w:rsidR="001F5A79" w:rsidRPr="009C5807" w:rsidRDefault="001F5A79" w:rsidP="00DB6585">
            <w:pPr>
              <w:pStyle w:val="TAH"/>
              <w:rPr>
                <w:lang w:eastAsia="ko-KR"/>
              </w:rPr>
            </w:pPr>
            <w:r w:rsidRPr="009C5807">
              <w:rPr>
                <w:lang w:eastAsia="ko-KR"/>
              </w:rPr>
              <w:t>Reported value</w:t>
            </w:r>
          </w:p>
        </w:tc>
        <w:tc>
          <w:tcPr>
            <w:tcW w:w="2154" w:type="dxa"/>
            <w:shd w:val="clear" w:color="auto" w:fill="auto"/>
            <w:noWrap/>
            <w:hideMark/>
          </w:tcPr>
          <w:p w14:paraId="2503F85A" w14:textId="2AAE5AD9" w:rsidR="001F5A79" w:rsidRPr="009C5807" w:rsidRDefault="001F5A79" w:rsidP="00DB6585">
            <w:pPr>
              <w:pStyle w:val="TAH"/>
              <w:rPr>
                <w:lang w:eastAsia="ko-KR"/>
              </w:rPr>
            </w:pPr>
            <w:r w:rsidRPr="009C5807">
              <w:rPr>
                <w:lang w:eastAsia="ko-KR"/>
              </w:rPr>
              <w:t>Measured quantity value (L3 SS-RSRP)</w:t>
            </w:r>
            <w:r w:rsidR="00550E13">
              <w:rPr>
                <w:rFonts w:hint="eastAsia"/>
                <w:lang w:eastAsia="zh-CN"/>
              </w:rPr>
              <w:t xml:space="preserve"> and CSI-RSRP</w:t>
            </w:r>
          </w:p>
        </w:tc>
        <w:tc>
          <w:tcPr>
            <w:tcW w:w="2268" w:type="dxa"/>
          </w:tcPr>
          <w:p w14:paraId="245B52D0" w14:textId="77777777" w:rsidR="001F5A79" w:rsidRPr="009C5807" w:rsidRDefault="001F5A79" w:rsidP="00DB6585">
            <w:pPr>
              <w:pStyle w:val="TAH"/>
              <w:rPr>
                <w:lang w:eastAsia="ko-KR"/>
              </w:rPr>
            </w:pPr>
            <w:r w:rsidRPr="009C5807">
              <w:rPr>
                <w:lang w:eastAsia="ko-KR"/>
              </w:rPr>
              <w:t>Measured quantity value (L1 SS-RSRP and CSI-RSRP)</w:t>
            </w:r>
          </w:p>
        </w:tc>
        <w:tc>
          <w:tcPr>
            <w:tcW w:w="710" w:type="dxa"/>
            <w:shd w:val="clear" w:color="auto" w:fill="auto"/>
            <w:noWrap/>
            <w:hideMark/>
          </w:tcPr>
          <w:p w14:paraId="5E84BF4A" w14:textId="77777777" w:rsidR="001F5A79" w:rsidRPr="009C5807" w:rsidRDefault="001F5A79" w:rsidP="00DB6585">
            <w:pPr>
              <w:pStyle w:val="TAH"/>
              <w:rPr>
                <w:lang w:eastAsia="ko-KR"/>
              </w:rPr>
            </w:pPr>
            <w:r w:rsidRPr="009C5807">
              <w:rPr>
                <w:lang w:eastAsia="ko-KR"/>
              </w:rPr>
              <w:t>Unit</w:t>
            </w:r>
          </w:p>
        </w:tc>
      </w:tr>
      <w:tr w:rsidR="001F5A79" w:rsidRPr="009C5807" w14:paraId="4564982C" w14:textId="77777777" w:rsidTr="00DF3064">
        <w:trPr>
          <w:trHeight w:val="300"/>
          <w:jc w:val="center"/>
        </w:trPr>
        <w:tc>
          <w:tcPr>
            <w:tcW w:w="1640" w:type="dxa"/>
            <w:shd w:val="clear" w:color="auto" w:fill="auto"/>
            <w:noWrap/>
            <w:hideMark/>
          </w:tcPr>
          <w:p w14:paraId="3CF08141" w14:textId="77777777" w:rsidR="001F5A79" w:rsidRPr="009C5807" w:rsidRDefault="001F5A79" w:rsidP="00DB6585">
            <w:pPr>
              <w:pStyle w:val="TAL"/>
              <w:rPr>
                <w:lang w:eastAsia="ko-KR"/>
              </w:rPr>
            </w:pPr>
            <w:r w:rsidRPr="009C5807">
              <w:rPr>
                <w:lang w:eastAsia="ko-KR"/>
              </w:rPr>
              <w:t>RSRP_0</w:t>
            </w:r>
          </w:p>
        </w:tc>
        <w:tc>
          <w:tcPr>
            <w:tcW w:w="2154" w:type="dxa"/>
            <w:shd w:val="clear" w:color="auto" w:fill="auto"/>
            <w:noWrap/>
            <w:hideMark/>
          </w:tcPr>
          <w:p w14:paraId="719B6504" w14:textId="77777777" w:rsidR="001F5A79" w:rsidRPr="009C5807" w:rsidRDefault="001F5A79" w:rsidP="00DB6585">
            <w:pPr>
              <w:pStyle w:val="TAL"/>
              <w:rPr>
                <w:lang w:eastAsia="ko-KR"/>
              </w:rPr>
            </w:pPr>
            <w:r w:rsidRPr="009C5807">
              <w:rPr>
                <w:lang w:eastAsia="ko-KR"/>
              </w:rPr>
              <w:t>SS-RSRP&lt;-156</w:t>
            </w:r>
          </w:p>
        </w:tc>
        <w:tc>
          <w:tcPr>
            <w:tcW w:w="2268" w:type="dxa"/>
          </w:tcPr>
          <w:p w14:paraId="717F3273"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37BF6A7A" w14:textId="77777777" w:rsidR="001F5A79" w:rsidRPr="009C5807" w:rsidRDefault="001F5A79" w:rsidP="00DB6585">
            <w:pPr>
              <w:pStyle w:val="TAL"/>
              <w:rPr>
                <w:lang w:eastAsia="ko-KR"/>
              </w:rPr>
            </w:pPr>
            <w:r w:rsidRPr="009C5807">
              <w:rPr>
                <w:lang w:eastAsia="ko-KR"/>
              </w:rPr>
              <w:t>dBm</w:t>
            </w:r>
          </w:p>
        </w:tc>
      </w:tr>
      <w:tr w:rsidR="001F5A79" w:rsidRPr="009C5807" w14:paraId="410A3A02" w14:textId="77777777" w:rsidTr="00DF3064">
        <w:trPr>
          <w:trHeight w:val="300"/>
          <w:jc w:val="center"/>
        </w:trPr>
        <w:tc>
          <w:tcPr>
            <w:tcW w:w="1640" w:type="dxa"/>
            <w:shd w:val="clear" w:color="auto" w:fill="auto"/>
            <w:noWrap/>
            <w:hideMark/>
          </w:tcPr>
          <w:p w14:paraId="3F2E9F42" w14:textId="77777777" w:rsidR="001F5A79" w:rsidRPr="009C5807" w:rsidRDefault="001F5A79" w:rsidP="00DB6585">
            <w:pPr>
              <w:pStyle w:val="TAL"/>
              <w:rPr>
                <w:lang w:eastAsia="ko-KR"/>
              </w:rPr>
            </w:pPr>
            <w:r w:rsidRPr="009C5807">
              <w:rPr>
                <w:lang w:eastAsia="ko-KR"/>
              </w:rPr>
              <w:t>RSRP_1</w:t>
            </w:r>
          </w:p>
        </w:tc>
        <w:tc>
          <w:tcPr>
            <w:tcW w:w="2154" w:type="dxa"/>
            <w:shd w:val="clear" w:color="auto" w:fill="auto"/>
            <w:noWrap/>
            <w:hideMark/>
          </w:tcPr>
          <w:p w14:paraId="7AA0878E" w14:textId="77777777" w:rsidR="001F5A79" w:rsidRPr="009C5807" w:rsidRDefault="001F5A79" w:rsidP="00DB6585">
            <w:pPr>
              <w:pStyle w:val="TAL"/>
              <w:rPr>
                <w:lang w:eastAsia="ko-KR"/>
              </w:rPr>
            </w:pPr>
            <w:r w:rsidRPr="009C5807">
              <w:rPr>
                <w:lang w:eastAsia="ko-KR"/>
              </w:rPr>
              <w:t>-156</w:t>
            </w:r>
            <w:r w:rsidRPr="009C5807">
              <w:rPr>
                <w:rFonts w:hint="eastAsia"/>
                <w:lang w:eastAsia="ko-KR"/>
              </w:rPr>
              <w:t>≤</w:t>
            </w:r>
            <w:r w:rsidRPr="009C5807">
              <w:rPr>
                <w:lang w:eastAsia="ko-KR"/>
              </w:rPr>
              <w:t xml:space="preserve"> SS-RSRP&lt;-155</w:t>
            </w:r>
          </w:p>
        </w:tc>
        <w:tc>
          <w:tcPr>
            <w:tcW w:w="2268" w:type="dxa"/>
          </w:tcPr>
          <w:p w14:paraId="7B7D57F4"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12A43822" w14:textId="77777777" w:rsidR="001F5A79" w:rsidRPr="009C5807" w:rsidRDefault="001F5A79" w:rsidP="00DB6585">
            <w:pPr>
              <w:pStyle w:val="TAL"/>
              <w:rPr>
                <w:lang w:eastAsia="ko-KR"/>
              </w:rPr>
            </w:pPr>
            <w:r w:rsidRPr="009C5807">
              <w:rPr>
                <w:lang w:eastAsia="ko-KR"/>
              </w:rPr>
              <w:t>dBm</w:t>
            </w:r>
          </w:p>
        </w:tc>
      </w:tr>
      <w:tr w:rsidR="001F5A79" w:rsidRPr="009C5807" w14:paraId="6A642C93" w14:textId="77777777" w:rsidTr="00DF3064">
        <w:trPr>
          <w:trHeight w:val="300"/>
          <w:jc w:val="center"/>
        </w:trPr>
        <w:tc>
          <w:tcPr>
            <w:tcW w:w="1640" w:type="dxa"/>
            <w:shd w:val="clear" w:color="auto" w:fill="auto"/>
            <w:noWrap/>
            <w:hideMark/>
          </w:tcPr>
          <w:p w14:paraId="40602768" w14:textId="77777777" w:rsidR="001F5A79" w:rsidRPr="009C5807" w:rsidRDefault="001F5A79" w:rsidP="00DB6585">
            <w:pPr>
              <w:pStyle w:val="TAL"/>
              <w:rPr>
                <w:lang w:eastAsia="ko-KR"/>
              </w:rPr>
            </w:pPr>
            <w:r w:rsidRPr="009C5807">
              <w:rPr>
                <w:lang w:eastAsia="ko-KR"/>
              </w:rPr>
              <w:t>RSRP_2</w:t>
            </w:r>
          </w:p>
        </w:tc>
        <w:tc>
          <w:tcPr>
            <w:tcW w:w="2154" w:type="dxa"/>
            <w:shd w:val="clear" w:color="auto" w:fill="auto"/>
            <w:noWrap/>
            <w:hideMark/>
          </w:tcPr>
          <w:p w14:paraId="43D4A1F7" w14:textId="77777777" w:rsidR="001F5A79" w:rsidRPr="009C5807" w:rsidRDefault="001F5A79" w:rsidP="00DB6585">
            <w:pPr>
              <w:pStyle w:val="TAL"/>
              <w:rPr>
                <w:lang w:eastAsia="ko-KR"/>
              </w:rPr>
            </w:pPr>
            <w:r w:rsidRPr="009C5807">
              <w:rPr>
                <w:lang w:eastAsia="ko-KR"/>
              </w:rPr>
              <w:t>-155</w:t>
            </w:r>
            <w:r w:rsidRPr="009C5807">
              <w:rPr>
                <w:rFonts w:hint="eastAsia"/>
                <w:lang w:eastAsia="ko-KR"/>
              </w:rPr>
              <w:t>≤</w:t>
            </w:r>
            <w:r w:rsidRPr="009C5807">
              <w:rPr>
                <w:lang w:eastAsia="ko-KR"/>
              </w:rPr>
              <w:t xml:space="preserve"> SS-RSRP&lt;-154</w:t>
            </w:r>
          </w:p>
        </w:tc>
        <w:tc>
          <w:tcPr>
            <w:tcW w:w="2268" w:type="dxa"/>
          </w:tcPr>
          <w:p w14:paraId="4F564AC2"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3C7EE000" w14:textId="77777777" w:rsidR="001F5A79" w:rsidRPr="009C5807" w:rsidRDefault="001F5A79" w:rsidP="00DB6585">
            <w:pPr>
              <w:pStyle w:val="TAL"/>
              <w:rPr>
                <w:lang w:eastAsia="ko-KR"/>
              </w:rPr>
            </w:pPr>
            <w:r w:rsidRPr="009C5807">
              <w:rPr>
                <w:lang w:eastAsia="ko-KR"/>
              </w:rPr>
              <w:t>dBm</w:t>
            </w:r>
          </w:p>
        </w:tc>
      </w:tr>
      <w:tr w:rsidR="001F5A79" w:rsidRPr="009C5807" w14:paraId="4F10027A" w14:textId="77777777" w:rsidTr="00DF3064">
        <w:trPr>
          <w:trHeight w:val="300"/>
          <w:jc w:val="center"/>
        </w:trPr>
        <w:tc>
          <w:tcPr>
            <w:tcW w:w="1640" w:type="dxa"/>
            <w:shd w:val="clear" w:color="auto" w:fill="auto"/>
            <w:noWrap/>
            <w:hideMark/>
          </w:tcPr>
          <w:p w14:paraId="200EF5AC" w14:textId="77777777" w:rsidR="001F5A79" w:rsidRPr="009C5807" w:rsidRDefault="001F5A79" w:rsidP="00DB6585">
            <w:pPr>
              <w:pStyle w:val="TAL"/>
              <w:rPr>
                <w:lang w:eastAsia="ko-KR"/>
              </w:rPr>
            </w:pPr>
            <w:r w:rsidRPr="009C5807">
              <w:rPr>
                <w:lang w:eastAsia="ko-KR"/>
              </w:rPr>
              <w:t>RSRP_3</w:t>
            </w:r>
          </w:p>
        </w:tc>
        <w:tc>
          <w:tcPr>
            <w:tcW w:w="2154" w:type="dxa"/>
            <w:shd w:val="clear" w:color="auto" w:fill="auto"/>
            <w:noWrap/>
            <w:hideMark/>
          </w:tcPr>
          <w:p w14:paraId="78F37B08" w14:textId="77777777" w:rsidR="001F5A79" w:rsidRPr="009C5807" w:rsidRDefault="001F5A79" w:rsidP="00DB6585">
            <w:pPr>
              <w:pStyle w:val="TAL"/>
              <w:rPr>
                <w:lang w:eastAsia="ko-KR"/>
              </w:rPr>
            </w:pPr>
            <w:r w:rsidRPr="009C5807">
              <w:rPr>
                <w:lang w:eastAsia="ko-KR"/>
              </w:rPr>
              <w:t>-154</w:t>
            </w:r>
            <w:r w:rsidRPr="009C5807">
              <w:rPr>
                <w:rFonts w:hint="eastAsia"/>
                <w:lang w:eastAsia="ko-KR"/>
              </w:rPr>
              <w:t>≤</w:t>
            </w:r>
            <w:r w:rsidRPr="009C5807">
              <w:rPr>
                <w:lang w:eastAsia="ko-KR"/>
              </w:rPr>
              <w:t xml:space="preserve"> SS-RSRP&lt;-153</w:t>
            </w:r>
          </w:p>
        </w:tc>
        <w:tc>
          <w:tcPr>
            <w:tcW w:w="2268" w:type="dxa"/>
          </w:tcPr>
          <w:p w14:paraId="2FC3E0E9"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08981FFE" w14:textId="77777777" w:rsidR="001F5A79" w:rsidRPr="009C5807" w:rsidRDefault="001F5A79" w:rsidP="00DB6585">
            <w:pPr>
              <w:pStyle w:val="TAL"/>
              <w:rPr>
                <w:lang w:eastAsia="ko-KR"/>
              </w:rPr>
            </w:pPr>
            <w:r w:rsidRPr="009C5807">
              <w:rPr>
                <w:lang w:eastAsia="ko-KR"/>
              </w:rPr>
              <w:t>dBm</w:t>
            </w:r>
          </w:p>
        </w:tc>
      </w:tr>
      <w:tr w:rsidR="001F5A79" w:rsidRPr="009C5807" w14:paraId="0BE52EF6" w14:textId="77777777" w:rsidTr="00DF3064">
        <w:trPr>
          <w:trHeight w:val="300"/>
          <w:jc w:val="center"/>
        </w:trPr>
        <w:tc>
          <w:tcPr>
            <w:tcW w:w="1640" w:type="dxa"/>
            <w:shd w:val="clear" w:color="auto" w:fill="auto"/>
            <w:noWrap/>
            <w:hideMark/>
          </w:tcPr>
          <w:p w14:paraId="343BECCB" w14:textId="77777777" w:rsidR="001F5A79" w:rsidRPr="009C5807" w:rsidRDefault="001F5A79" w:rsidP="00DB6585">
            <w:pPr>
              <w:pStyle w:val="TAL"/>
              <w:rPr>
                <w:lang w:eastAsia="ko-KR"/>
              </w:rPr>
            </w:pPr>
            <w:r w:rsidRPr="009C5807">
              <w:rPr>
                <w:lang w:eastAsia="ko-KR"/>
              </w:rPr>
              <w:t>RSRP_4</w:t>
            </w:r>
          </w:p>
        </w:tc>
        <w:tc>
          <w:tcPr>
            <w:tcW w:w="2154" w:type="dxa"/>
            <w:shd w:val="clear" w:color="auto" w:fill="auto"/>
            <w:noWrap/>
            <w:hideMark/>
          </w:tcPr>
          <w:p w14:paraId="79F805DA" w14:textId="77777777" w:rsidR="001F5A79" w:rsidRPr="009C5807" w:rsidRDefault="001F5A79" w:rsidP="00DB6585">
            <w:pPr>
              <w:pStyle w:val="TAL"/>
              <w:rPr>
                <w:lang w:eastAsia="ko-KR"/>
              </w:rPr>
            </w:pPr>
            <w:r w:rsidRPr="009C5807">
              <w:rPr>
                <w:lang w:eastAsia="ko-KR"/>
              </w:rPr>
              <w:t>-153</w:t>
            </w:r>
            <w:r w:rsidRPr="009C5807">
              <w:rPr>
                <w:rFonts w:hint="eastAsia"/>
                <w:lang w:eastAsia="ko-KR"/>
              </w:rPr>
              <w:t>≤</w:t>
            </w:r>
            <w:r w:rsidRPr="009C5807">
              <w:rPr>
                <w:lang w:eastAsia="ko-KR"/>
              </w:rPr>
              <w:t xml:space="preserve"> SS-RSRP&lt;-152</w:t>
            </w:r>
          </w:p>
        </w:tc>
        <w:tc>
          <w:tcPr>
            <w:tcW w:w="2268" w:type="dxa"/>
          </w:tcPr>
          <w:p w14:paraId="3B0581CB"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5D511D7D" w14:textId="77777777" w:rsidR="001F5A79" w:rsidRPr="009C5807" w:rsidRDefault="001F5A79" w:rsidP="00DB6585">
            <w:pPr>
              <w:pStyle w:val="TAL"/>
              <w:rPr>
                <w:lang w:eastAsia="ko-KR"/>
              </w:rPr>
            </w:pPr>
            <w:r w:rsidRPr="009C5807">
              <w:rPr>
                <w:lang w:eastAsia="ko-KR"/>
              </w:rPr>
              <w:t>dBm</w:t>
            </w:r>
          </w:p>
        </w:tc>
      </w:tr>
      <w:tr w:rsidR="001F5A79" w:rsidRPr="009C5807" w14:paraId="03443E65" w14:textId="77777777" w:rsidTr="00DF3064">
        <w:trPr>
          <w:trHeight w:val="300"/>
          <w:jc w:val="center"/>
        </w:trPr>
        <w:tc>
          <w:tcPr>
            <w:tcW w:w="1640" w:type="dxa"/>
            <w:shd w:val="clear" w:color="auto" w:fill="auto"/>
            <w:noWrap/>
            <w:hideMark/>
          </w:tcPr>
          <w:p w14:paraId="72475214" w14:textId="77777777" w:rsidR="001F5A79" w:rsidRPr="009C5807" w:rsidRDefault="001F5A79" w:rsidP="00DB6585">
            <w:pPr>
              <w:pStyle w:val="TAL"/>
              <w:rPr>
                <w:lang w:eastAsia="ko-KR"/>
              </w:rPr>
            </w:pPr>
            <w:r w:rsidRPr="009C5807">
              <w:rPr>
                <w:lang w:eastAsia="ko-KR"/>
              </w:rPr>
              <w:t>RSRP_5</w:t>
            </w:r>
          </w:p>
        </w:tc>
        <w:tc>
          <w:tcPr>
            <w:tcW w:w="2154" w:type="dxa"/>
            <w:shd w:val="clear" w:color="auto" w:fill="auto"/>
            <w:noWrap/>
            <w:hideMark/>
          </w:tcPr>
          <w:p w14:paraId="3524CABE" w14:textId="77777777" w:rsidR="001F5A79" w:rsidRPr="009C5807" w:rsidRDefault="001F5A79" w:rsidP="00DB6585">
            <w:pPr>
              <w:pStyle w:val="TAL"/>
              <w:rPr>
                <w:lang w:eastAsia="ko-KR"/>
              </w:rPr>
            </w:pPr>
            <w:r w:rsidRPr="009C5807">
              <w:rPr>
                <w:lang w:eastAsia="ko-KR"/>
              </w:rPr>
              <w:t>-152</w:t>
            </w:r>
            <w:r w:rsidRPr="009C5807">
              <w:rPr>
                <w:rFonts w:hint="eastAsia"/>
                <w:lang w:eastAsia="ko-KR"/>
              </w:rPr>
              <w:t>≤</w:t>
            </w:r>
            <w:r w:rsidRPr="009C5807">
              <w:rPr>
                <w:lang w:eastAsia="ko-KR"/>
              </w:rPr>
              <w:t xml:space="preserve"> SS-RSRP&lt;-151</w:t>
            </w:r>
          </w:p>
        </w:tc>
        <w:tc>
          <w:tcPr>
            <w:tcW w:w="2268" w:type="dxa"/>
          </w:tcPr>
          <w:p w14:paraId="5F82B011"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33A95C3C" w14:textId="77777777" w:rsidR="001F5A79" w:rsidRPr="009C5807" w:rsidRDefault="001F5A79" w:rsidP="00DB6585">
            <w:pPr>
              <w:pStyle w:val="TAL"/>
              <w:rPr>
                <w:lang w:eastAsia="ko-KR"/>
              </w:rPr>
            </w:pPr>
            <w:r w:rsidRPr="009C5807">
              <w:rPr>
                <w:lang w:eastAsia="ko-KR"/>
              </w:rPr>
              <w:t>dBm</w:t>
            </w:r>
          </w:p>
        </w:tc>
      </w:tr>
      <w:tr w:rsidR="001F5A79" w:rsidRPr="009C5807" w14:paraId="537EF7E4" w14:textId="77777777" w:rsidTr="00DF3064">
        <w:trPr>
          <w:trHeight w:val="300"/>
          <w:jc w:val="center"/>
        </w:trPr>
        <w:tc>
          <w:tcPr>
            <w:tcW w:w="1640" w:type="dxa"/>
            <w:shd w:val="clear" w:color="auto" w:fill="auto"/>
            <w:noWrap/>
            <w:hideMark/>
          </w:tcPr>
          <w:p w14:paraId="6C1A5EF0" w14:textId="77777777" w:rsidR="001F5A79" w:rsidRPr="009C5807" w:rsidRDefault="001F5A79" w:rsidP="00DB6585">
            <w:pPr>
              <w:pStyle w:val="TAL"/>
              <w:rPr>
                <w:lang w:eastAsia="ko-KR"/>
              </w:rPr>
            </w:pPr>
            <w:r w:rsidRPr="009C5807">
              <w:rPr>
                <w:lang w:eastAsia="ko-KR"/>
              </w:rPr>
              <w:t>RSRP_6</w:t>
            </w:r>
          </w:p>
        </w:tc>
        <w:tc>
          <w:tcPr>
            <w:tcW w:w="2154" w:type="dxa"/>
            <w:shd w:val="clear" w:color="auto" w:fill="auto"/>
            <w:noWrap/>
            <w:hideMark/>
          </w:tcPr>
          <w:p w14:paraId="4AB90A83" w14:textId="77777777" w:rsidR="001F5A79" w:rsidRPr="009C5807" w:rsidRDefault="001F5A79" w:rsidP="00DB6585">
            <w:pPr>
              <w:pStyle w:val="TAL"/>
              <w:rPr>
                <w:lang w:eastAsia="ko-KR"/>
              </w:rPr>
            </w:pPr>
            <w:r w:rsidRPr="009C5807">
              <w:rPr>
                <w:lang w:eastAsia="ko-KR"/>
              </w:rPr>
              <w:t>-151</w:t>
            </w:r>
            <w:r w:rsidRPr="009C5807">
              <w:rPr>
                <w:rFonts w:hint="eastAsia"/>
                <w:lang w:eastAsia="ko-KR"/>
              </w:rPr>
              <w:t>≤</w:t>
            </w:r>
            <w:r w:rsidRPr="009C5807">
              <w:rPr>
                <w:lang w:eastAsia="ko-KR"/>
              </w:rPr>
              <w:t xml:space="preserve"> SS-RSRP&lt;-150</w:t>
            </w:r>
          </w:p>
        </w:tc>
        <w:tc>
          <w:tcPr>
            <w:tcW w:w="2268" w:type="dxa"/>
          </w:tcPr>
          <w:p w14:paraId="37D50E98"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039DB03E" w14:textId="77777777" w:rsidR="001F5A79" w:rsidRPr="009C5807" w:rsidRDefault="001F5A79" w:rsidP="00DB6585">
            <w:pPr>
              <w:pStyle w:val="TAL"/>
              <w:rPr>
                <w:lang w:eastAsia="ko-KR"/>
              </w:rPr>
            </w:pPr>
            <w:r w:rsidRPr="009C5807">
              <w:rPr>
                <w:lang w:eastAsia="ko-KR"/>
              </w:rPr>
              <w:t>dBm</w:t>
            </w:r>
          </w:p>
        </w:tc>
      </w:tr>
      <w:tr w:rsidR="001F5A79" w:rsidRPr="009C5807" w14:paraId="7960CABA" w14:textId="77777777" w:rsidTr="00DF3064">
        <w:trPr>
          <w:trHeight w:val="300"/>
          <w:jc w:val="center"/>
        </w:trPr>
        <w:tc>
          <w:tcPr>
            <w:tcW w:w="1640" w:type="dxa"/>
            <w:shd w:val="clear" w:color="auto" w:fill="auto"/>
            <w:noWrap/>
            <w:hideMark/>
          </w:tcPr>
          <w:p w14:paraId="48F8B69A" w14:textId="77777777" w:rsidR="001F5A79" w:rsidRPr="009C5807" w:rsidRDefault="001F5A79" w:rsidP="00DB6585">
            <w:pPr>
              <w:pStyle w:val="TAL"/>
              <w:rPr>
                <w:lang w:eastAsia="ko-KR"/>
              </w:rPr>
            </w:pPr>
            <w:r w:rsidRPr="009C5807">
              <w:rPr>
                <w:lang w:eastAsia="ko-KR"/>
              </w:rPr>
              <w:t>RSRP_7</w:t>
            </w:r>
          </w:p>
        </w:tc>
        <w:tc>
          <w:tcPr>
            <w:tcW w:w="2154" w:type="dxa"/>
            <w:shd w:val="clear" w:color="auto" w:fill="auto"/>
            <w:noWrap/>
            <w:hideMark/>
          </w:tcPr>
          <w:p w14:paraId="08820472" w14:textId="77777777" w:rsidR="001F5A79" w:rsidRPr="009C5807" w:rsidRDefault="001F5A79" w:rsidP="00DB6585">
            <w:pPr>
              <w:pStyle w:val="TAL"/>
              <w:rPr>
                <w:lang w:eastAsia="ko-KR"/>
              </w:rPr>
            </w:pPr>
            <w:r w:rsidRPr="009C5807">
              <w:rPr>
                <w:lang w:eastAsia="ko-KR"/>
              </w:rPr>
              <w:t>-150</w:t>
            </w:r>
            <w:r w:rsidRPr="009C5807">
              <w:rPr>
                <w:rFonts w:hint="eastAsia"/>
                <w:lang w:eastAsia="ko-KR"/>
              </w:rPr>
              <w:t>≤</w:t>
            </w:r>
            <w:r w:rsidRPr="009C5807">
              <w:rPr>
                <w:lang w:eastAsia="ko-KR"/>
              </w:rPr>
              <w:t xml:space="preserve"> SS-RSRP&lt;-149</w:t>
            </w:r>
          </w:p>
        </w:tc>
        <w:tc>
          <w:tcPr>
            <w:tcW w:w="2268" w:type="dxa"/>
          </w:tcPr>
          <w:p w14:paraId="7EF13C5D"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07A5A969" w14:textId="77777777" w:rsidR="001F5A79" w:rsidRPr="009C5807" w:rsidRDefault="001F5A79" w:rsidP="00DB6585">
            <w:pPr>
              <w:pStyle w:val="TAL"/>
              <w:rPr>
                <w:lang w:eastAsia="ko-KR"/>
              </w:rPr>
            </w:pPr>
            <w:r w:rsidRPr="009C5807">
              <w:rPr>
                <w:lang w:eastAsia="ko-KR"/>
              </w:rPr>
              <w:t>dBm</w:t>
            </w:r>
          </w:p>
        </w:tc>
      </w:tr>
      <w:tr w:rsidR="001F5A79" w:rsidRPr="009C5807" w14:paraId="6D15BC6C" w14:textId="77777777" w:rsidTr="00DF3064">
        <w:trPr>
          <w:trHeight w:val="300"/>
          <w:jc w:val="center"/>
        </w:trPr>
        <w:tc>
          <w:tcPr>
            <w:tcW w:w="1640" w:type="dxa"/>
            <w:shd w:val="clear" w:color="auto" w:fill="auto"/>
            <w:noWrap/>
            <w:hideMark/>
          </w:tcPr>
          <w:p w14:paraId="114E3A82" w14:textId="77777777" w:rsidR="001F5A79" w:rsidRPr="009C5807" w:rsidRDefault="001F5A79" w:rsidP="00DB6585">
            <w:pPr>
              <w:pStyle w:val="TAL"/>
              <w:rPr>
                <w:lang w:eastAsia="ko-KR"/>
              </w:rPr>
            </w:pPr>
            <w:r w:rsidRPr="009C5807">
              <w:rPr>
                <w:lang w:eastAsia="ko-KR"/>
              </w:rPr>
              <w:t>RSRP_8</w:t>
            </w:r>
          </w:p>
        </w:tc>
        <w:tc>
          <w:tcPr>
            <w:tcW w:w="2154" w:type="dxa"/>
            <w:shd w:val="clear" w:color="auto" w:fill="auto"/>
            <w:noWrap/>
            <w:hideMark/>
          </w:tcPr>
          <w:p w14:paraId="0127474D" w14:textId="77777777" w:rsidR="001F5A79" w:rsidRPr="009C5807" w:rsidRDefault="001F5A79" w:rsidP="00DB6585">
            <w:pPr>
              <w:pStyle w:val="TAL"/>
              <w:rPr>
                <w:lang w:eastAsia="ko-KR"/>
              </w:rPr>
            </w:pPr>
            <w:r w:rsidRPr="009C5807">
              <w:rPr>
                <w:lang w:eastAsia="ko-KR"/>
              </w:rPr>
              <w:t>-149</w:t>
            </w:r>
            <w:r w:rsidRPr="009C5807">
              <w:rPr>
                <w:rFonts w:hint="eastAsia"/>
                <w:lang w:eastAsia="ko-KR"/>
              </w:rPr>
              <w:t>≤</w:t>
            </w:r>
            <w:r w:rsidRPr="009C5807">
              <w:rPr>
                <w:lang w:eastAsia="ko-KR"/>
              </w:rPr>
              <w:t xml:space="preserve"> SS-RSRP&lt;-148</w:t>
            </w:r>
          </w:p>
        </w:tc>
        <w:tc>
          <w:tcPr>
            <w:tcW w:w="2268" w:type="dxa"/>
          </w:tcPr>
          <w:p w14:paraId="5AE6FFAE"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6AEBA494" w14:textId="77777777" w:rsidR="001F5A79" w:rsidRPr="009C5807" w:rsidRDefault="001F5A79" w:rsidP="00DB6585">
            <w:pPr>
              <w:pStyle w:val="TAL"/>
              <w:rPr>
                <w:lang w:eastAsia="ko-KR"/>
              </w:rPr>
            </w:pPr>
            <w:r w:rsidRPr="009C5807">
              <w:rPr>
                <w:lang w:eastAsia="ko-KR"/>
              </w:rPr>
              <w:t>dBm</w:t>
            </w:r>
          </w:p>
        </w:tc>
      </w:tr>
      <w:tr w:rsidR="001F5A79" w:rsidRPr="009C5807" w14:paraId="2E26E1FC" w14:textId="77777777" w:rsidTr="00DF3064">
        <w:trPr>
          <w:trHeight w:val="300"/>
          <w:jc w:val="center"/>
        </w:trPr>
        <w:tc>
          <w:tcPr>
            <w:tcW w:w="1640" w:type="dxa"/>
            <w:shd w:val="clear" w:color="auto" w:fill="auto"/>
            <w:noWrap/>
            <w:hideMark/>
          </w:tcPr>
          <w:p w14:paraId="75EA6268" w14:textId="77777777" w:rsidR="001F5A79" w:rsidRPr="009C5807" w:rsidRDefault="001F5A79" w:rsidP="00DB6585">
            <w:pPr>
              <w:pStyle w:val="TAL"/>
              <w:rPr>
                <w:lang w:eastAsia="ko-KR"/>
              </w:rPr>
            </w:pPr>
            <w:r w:rsidRPr="009C5807">
              <w:rPr>
                <w:lang w:eastAsia="ko-KR"/>
              </w:rPr>
              <w:t>RSRP_9</w:t>
            </w:r>
          </w:p>
        </w:tc>
        <w:tc>
          <w:tcPr>
            <w:tcW w:w="2154" w:type="dxa"/>
            <w:shd w:val="clear" w:color="auto" w:fill="auto"/>
            <w:noWrap/>
            <w:hideMark/>
          </w:tcPr>
          <w:p w14:paraId="3BCE34A1" w14:textId="77777777" w:rsidR="001F5A79" w:rsidRPr="009C5807" w:rsidRDefault="001F5A79" w:rsidP="00DB6585">
            <w:pPr>
              <w:pStyle w:val="TAL"/>
              <w:rPr>
                <w:lang w:eastAsia="ko-KR"/>
              </w:rPr>
            </w:pPr>
            <w:r w:rsidRPr="009C5807">
              <w:rPr>
                <w:lang w:eastAsia="ko-KR"/>
              </w:rPr>
              <w:t>-148</w:t>
            </w:r>
            <w:r w:rsidRPr="009C5807">
              <w:rPr>
                <w:rFonts w:hint="eastAsia"/>
                <w:lang w:eastAsia="ko-KR"/>
              </w:rPr>
              <w:t>≤</w:t>
            </w:r>
            <w:r w:rsidRPr="009C5807">
              <w:rPr>
                <w:lang w:eastAsia="ko-KR"/>
              </w:rPr>
              <w:t xml:space="preserve"> SS-RSRP&lt;-147</w:t>
            </w:r>
          </w:p>
        </w:tc>
        <w:tc>
          <w:tcPr>
            <w:tcW w:w="2268" w:type="dxa"/>
          </w:tcPr>
          <w:p w14:paraId="70C5E046"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7239CAD2" w14:textId="77777777" w:rsidR="001F5A79" w:rsidRPr="009C5807" w:rsidRDefault="001F5A79" w:rsidP="00DB6585">
            <w:pPr>
              <w:pStyle w:val="TAL"/>
              <w:rPr>
                <w:lang w:eastAsia="ko-KR"/>
              </w:rPr>
            </w:pPr>
            <w:r w:rsidRPr="009C5807">
              <w:rPr>
                <w:lang w:eastAsia="ko-KR"/>
              </w:rPr>
              <w:t>dBm</w:t>
            </w:r>
          </w:p>
        </w:tc>
      </w:tr>
      <w:tr w:rsidR="001F5A79" w:rsidRPr="009C5807" w14:paraId="6DFFBDAA" w14:textId="77777777" w:rsidTr="00DF3064">
        <w:trPr>
          <w:trHeight w:val="300"/>
          <w:jc w:val="center"/>
        </w:trPr>
        <w:tc>
          <w:tcPr>
            <w:tcW w:w="1640" w:type="dxa"/>
            <w:shd w:val="clear" w:color="auto" w:fill="auto"/>
            <w:noWrap/>
            <w:hideMark/>
          </w:tcPr>
          <w:p w14:paraId="24B85897" w14:textId="77777777" w:rsidR="001F5A79" w:rsidRPr="009C5807" w:rsidRDefault="001F5A79" w:rsidP="00DB6585">
            <w:pPr>
              <w:pStyle w:val="TAL"/>
              <w:rPr>
                <w:lang w:eastAsia="ko-KR"/>
              </w:rPr>
            </w:pPr>
            <w:r w:rsidRPr="009C5807">
              <w:rPr>
                <w:lang w:eastAsia="ko-KR"/>
              </w:rPr>
              <w:t>RSRP_10</w:t>
            </w:r>
          </w:p>
        </w:tc>
        <w:tc>
          <w:tcPr>
            <w:tcW w:w="2154" w:type="dxa"/>
            <w:shd w:val="clear" w:color="auto" w:fill="auto"/>
            <w:noWrap/>
            <w:hideMark/>
          </w:tcPr>
          <w:p w14:paraId="4F2B5CBD" w14:textId="77777777" w:rsidR="001F5A79" w:rsidRPr="009C5807" w:rsidRDefault="001F5A79" w:rsidP="00DB6585">
            <w:pPr>
              <w:pStyle w:val="TAL"/>
              <w:rPr>
                <w:lang w:eastAsia="ko-KR"/>
              </w:rPr>
            </w:pPr>
            <w:r w:rsidRPr="009C5807">
              <w:rPr>
                <w:lang w:eastAsia="ko-KR"/>
              </w:rPr>
              <w:t>-147</w:t>
            </w:r>
            <w:r w:rsidRPr="009C5807">
              <w:rPr>
                <w:rFonts w:hint="eastAsia"/>
                <w:lang w:eastAsia="ko-KR"/>
              </w:rPr>
              <w:t>≤</w:t>
            </w:r>
            <w:r w:rsidRPr="009C5807">
              <w:rPr>
                <w:lang w:eastAsia="ko-KR"/>
              </w:rPr>
              <w:t xml:space="preserve"> SS-RSRP&lt;-146</w:t>
            </w:r>
          </w:p>
        </w:tc>
        <w:tc>
          <w:tcPr>
            <w:tcW w:w="2268" w:type="dxa"/>
          </w:tcPr>
          <w:p w14:paraId="4D91AE3A"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68D5D2AA" w14:textId="77777777" w:rsidR="001F5A79" w:rsidRPr="009C5807" w:rsidRDefault="001F5A79" w:rsidP="00DB6585">
            <w:pPr>
              <w:pStyle w:val="TAL"/>
              <w:rPr>
                <w:lang w:eastAsia="ko-KR"/>
              </w:rPr>
            </w:pPr>
            <w:r w:rsidRPr="009C5807">
              <w:rPr>
                <w:lang w:eastAsia="ko-KR"/>
              </w:rPr>
              <w:t>dBm</w:t>
            </w:r>
          </w:p>
        </w:tc>
      </w:tr>
      <w:tr w:rsidR="001F5A79" w:rsidRPr="009C5807" w14:paraId="734BB402" w14:textId="77777777" w:rsidTr="00DF3064">
        <w:trPr>
          <w:trHeight w:val="300"/>
          <w:jc w:val="center"/>
        </w:trPr>
        <w:tc>
          <w:tcPr>
            <w:tcW w:w="1640" w:type="dxa"/>
            <w:shd w:val="clear" w:color="auto" w:fill="auto"/>
            <w:noWrap/>
            <w:hideMark/>
          </w:tcPr>
          <w:p w14:paraId="071C10E8" w14:textId="77777777" w:rsidR="001F5A79" w:rsidRPr="009C5807" w:rsidRDefault="001F5A79" w:rsidP="00DB6585">
            <w:pPr>
              <w:pStyle w:val="TAL"/>
              <w:rPr>
                <w:lang w:eastAsia="ko-KR"/>
              </w:rPr>
            </w:pPr>
            <w:r w:rsidRPr="009C5807">
              <w:rPr>
                <w:lang w:eastAsia="ko-KR"/>
              </w:rPr>
              <w:t>RSRP_11</w:t>
            </w:r>
          </w:p>
        </w:tc>
        <w:tc>
          <w:tcPr>
            <w:tcW w:w="2154" w:type="dxa"/>
            <w:shd w:val="clear" w:color="auto" w:fill="auto"/>
            <w:noWrap/>
            <w:hideMark/>
          </w:tcPr>
          <w:p w14:paraId="5AC1485B" w14:textId="77777777" w:rsidR="001F5A79" w:rsidRPr="009C5807" w:rsidRDefault="001F5A79" w:rsidP="00DB6585">
            <w:pPr>
              <w:pStyle w:val="TAL"/>
              <w:rPr>
                <w:lang w:eastAsia="ko-KR"/>
              </w:rPr>
            </w:pPr>
            <w:r w:rsidRPr="009C5807">
              <w:rPr>
                <w:lang w:eastAsia="ko-KR"/>
              </w:rPr>
              <w:t>-146</w:t>
            </w:r>
            <w:r w:rsidRPr="009C5807">
              <w:rPr>
                <w:rFonts w:hint="eastAsia"/>
                <w:lang w:eastAsia="ko-KR"/>
              </w:rPr>
              <w:t>≤</w:t>
            </w:r>
            <w:r w:rsidRPr="009C5807">
              <w:rPr>
                <w:lang w:eastAsia="ko-KR"/>
              </w:rPr>
              <w:t xml:space="preserve"> SS-RSRP&lt;-145</w:t>
            </w:r>
          </w:p>
        </w:tc>
        <w:tc>
          <w:tcPr>
            <w:tcW w:w="2268" w:type="dxa"/>
          </w:tcPr>
          <w:p w14:paraId="4401AE1D"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0F816D53" w14:textId="77777777" w:rsidR="001F5A79" w:rsidRPr="009C5807" w:rsidRDefault="001F5A79" w:rsidP="00DB6585">
            <w:pPr>
              <w:pStyle w:val="TAL"/>
              <w:rPr>
                <w:lang w:eastAsia="ko-KR"/>
              </w:rPr>
            </w:pPr>
            <w:r w:rsidRPr="009C5807">
              <w:rPr>
                <w:lang w:eastAsia="ko-KR"/>
              </w:rPr>
              <w:t>dBm</w:t>
            </w:r>
          </w:p>
        </w:tc>
      </w:tr>
      <w:tr w:rsidR="001F5A79" w:rsidRPr="009C5807" w14:paraId="4CCA1404" w14:textId="77777777" w:rsidTr="00DF3064">
        <w:trPr>
          <w:trHeight w:val="300"/>
          <w:jc w:val="center"/>
        </w:trPr>
        <w:tc>
          <w:tcPr>
            <w:tcW w:w="1640" w:type="dxa"/>
            <w:shd w:val="clear" w:color="auto" w:fill="auto"/>
            <w:noWrap/>
            <w:hideMark/>
          </w:tcPr>
          <w:p w14:paraId="3A45AD09" w14:textId="77777777" w:rsidR="001F5A79" w:rsidRPr="009C5807" w:rsidRDefault="001F5A79" w:rsidP="00DB6585">
            <w:pPr>
              <w:pStyle w:val="TAL"/>
              <w:rPr>
                <w:lang w:eastAsia="ko-KR"/>
              </w:rPr>
            </w:pPr>
            <w:r w:rsidRPr="009C5807">
              <w:rPr>
                <w:lang w:eastAsia="ko-KR"/>
              </w:rPr>
              <w:t>RSRP_12</w:t>
            </w:r>
          </w:p>
        </w:tc>
        <w:tc>
          <w:tcPr>
            <w:tcW w:w="2154" w:type="dxa"/>
            <w:shd w:val="clear" w:color="auto" w:fill="auto"/>
            <w:noWrap/>
            <w:hideMark/>
          </w:tcPr>
          <w:p w14:paraId="1E0BF2EF" w14:textId="77777777" w:rsidR="001F5A79" w:rsidRPr="009C5807" w:rsidRDefault="001F5A79" w:rsidP="00DB6585">
            <w:pPr>
              <w:pStyle w:val="TAL"/>
              <w:rPr>
                <w:lang w:eastAsia="ko-KR"/>
              </w:rPr>
            </w:pPr>
            <w:r w:rsidRPr="009C5807">
              <w:rPr>
                <w:lang w:eastAsia="ko-KR"/>
              </w:rPr>
              <w:t>-145</w:t>
            </w:r>
            <w:r w:rsidRPr="009C5807">
              <w:rPr>
                <w:rFonts w:hint="eastAsia"/>
                <w:lang w:eastAsia="ko-KR"/>
              </w:rPr>
              <w:t>≤</w:t>
            </w:r>
            <w:r w:rsidRPr="009C5807">
              <w:rPr>
                <w:lang w:eastAsia="ko-KR"/>
              </w:rPr>
              <w:t xml:space="preserve"> SS-RSRP&lt;-144</w:t>
            </w:r>
          </w:p>
        </w:tc>
        <w:tc>
          <w:tcPr>
            <w:tcW w:w="2268" w:type="dxa"/>
          </w:tcPr>
          <w:p w14:paraId="4B738B4C"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2AB3BF99" w14:textId="77777777" w:rsidR="001F5A79" w:rsidRPr="009C5807" w:rsidRDefault="001F5A79" w:rsidP="00DB6585">
            <w:pPr>
              <w:pStyle w:val="TAL"/>
              <w:rPr>
                <w:lang w:eastAsia="ko-KR"/>
              </w:rPr>
            </w:pPr>
            <w:r w:rsidRPr="009C5807">
              <w:rPr>
                <w:lang w:eastAsia="ko-KR"/>
              </w:rPr>
              <w:t>dBm</w:t>
            </w:r>
          </w:p>
        </w:tc>
      </w:tr>
      <w:tr w:rsidR="001F5A79" w:rsidRPr="009C5807" w14:paraId="7A3139E4" w14:textId="77777777" w:rsidTr="00DF3064">
        <w:trPr>
          <w:trHeight w:val="300"/>
          <w:jc w:val="center"/>
        </w:trPr>
        <w:tc>
          <w:tcPr>
            <w:tcW w:w="1640" w:type="dxa"/>
            <w:shd w:val="clear" w:color="auto" w:fill="auto"/>
            <w:noWrap/>
            <w:hideMark/>
          </w:tcPr>
          <w:p w14:paraId="7F6EC992" w14:textId="77777777" w:rsidR="001F5A79" w:rsidRPr="009C5807" w:rsidRDefault="001F5A79" w:rsidP="00DB6585">
            <w:pPr>
              <w:pStyle w:val="TAL"/>
              <w:rPr>
                <w:lang w:eastAsia="ko-KR"/>
              </w:rPr>
            </w:pPr>
            <w:r w:rsidRPr="009C5807">
              <w:rPr>
                <w:lang w:eastAsia="ko-KR"/>
              </w:rPr>
              <w:t>RSRP_13</w:t>
            </w:r>
          </w:p>
        </w:tc>
        <w:tc>
          <w:tcPr>
            <w:tcW w:w="2154" w:type="dxa"/>
            <w:shd w:val="clear" w:color="auto" w:fill="auto"/>
            <w:noWrap/>
            <w:hideMark/>
          </w:tcPr>
          <w:p w14:paraId="5837EA5C" w14:textId="77777777" w:rsidR="001F5A79" w:rsidRPr="009C5807" w:rsidRDefault="001F5A79" w:rsidP="00DB6585">
            <w:pPr>
              <w:pStyle w:val="TAL"/>
              <w:rPr>
                <w:lang w:eastAsia="ko-KR"/>
              </w:rPr>
            </w:pPr>
            <w:r w:rsidRPr="009C5807">
              <w:rPr>
                <w:lang w:eastAsia="ko-KR"/>
              </w:rPr>
              <w:t>-144</w:t>
            </w:r>
            <w:r w:rsidRPr="009C5807">
              <w:rPr>
                <w:rFonts w:hint="eastAsia"/>
                <w:lang w:eastAsia="ko-KR"/>
              </w:rPr>
              <w:t>≤</w:t>
            </w:r>
            <w:r w:rsidRPr="009C5807">
              <w:rPr>
                <w:lang w:eastAsia="ko-KR"/>
              </w:rPr>
              <w:t xml:space="preserve"> SS-RSRP&lt;-143</w:t>
            </w:r>
          </w:p>
        </w:tc>
        <w:tc>
          <w:tcPr>
            <w:tcW w:w="2268" w:type="dxa"/>
          </w:tcPr>
          <w:p w14:paraId="7426C33B"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0E1C9949" w14:textId="77777777" w:rsidR="001F5A79" w:rsidRPr="009C5807" w:rsidRDefault="001F5A79" w:rsidP="00DB6585">
            <w:pPr>
              <w:pStyle w:val="TAL"/>
              <w:rPr>
                <w:lang w:eastAsia="ko-KR"/>
              </w:rPr>
            </w:pPr>
            <w:r w:rsidRPr="009C5807">
              <w:rPr>
                <w:lang w:eastAsia="ko-KR"/>
              </w:rPr>
              <w:t>dBm</w:t>
            </w:r>
          </w:p>
        </w:tc>
      </w:tr>
      <w:tr w:rsidR="001F5A79" w:rsidRPr="009C5807" w14:paraId="0A7EC05E" w14:textId="77777777" w:rsidTr="00DF3064">
        <w:trPr>
          <w:trHeight w:val="300"/>
          <w:jc w:val="center"/>
        </w:trPr>
        <w:tc>
          <w:tcPr>
            <w:tcW w:w="1640" w:type="dxa"/>
            <w:shd w:val="clear" w:color="auto" w:fill="auto"/>
            <w:noWrap/>
            <w:hideMark/>
          </w:tcPr>
          <w:p w14:paraId="4D86DEC2" w14:textId="77777777" w:rsidR="001F5A79" w:rsidRPr="009C5807" w:rsidRDefault="001F5A79" w:rsidP="00DB6585">
            <w:pPr>
              <w:pStyle w:val="TAL"/>
              <w:rPr>
                <w:lang w:eastAsia="ko-KR"/>
              </w:rPr>
            </w:pPr>
            <w:r w:rsidRPr="009C5807">
              <w:rPr>
                <w:lang w:eastAsia="ko-KR"/>
              </w:rPr>
              <w:t>RSRP_14</w:t>
            </w:r>
          </w:p>
        </w:tc>
        <w:tc>
          <w:tcPr>
            <w:tcW w:w="2154" w:type="dxa"/>
            <w:shd w:val="clear" w:color="auto" w:fill="auto"/>
            <w:noWrap/>
            <w:hideMark/>
          </w:tcPr>
          <w:p w14:paraId="4A1C86ED" w14:textId="77777777" w:rsidR="001F5A79" w:rsidRPr="009C5807" w:rsidRDefault="001F5A79" w:rsidP="00DB6585">
            <w:pPr>
              <w:pStyle w:val="TAL"/>
              <w:rPr>
                <w:lang w:eastAsia="ko-KR"/>
              </w:rPr>
            </w:pPr>
            <w:r w:rsidRPr="009C5807">
              <w:rPr>
                <w:lang w:eastAsia="ko-KR"/>
              </w:rPr>
              <w:t>-143</w:t>
            </w:r>
            <w:r w:rsidRPr="009C5807">
              <w:rPr>
                <w:rFonts w:hint="eastAsia"/>
                <w:lang w:eastAsia="ko-KR"/>
              </w:rPr>
              <w:t>≤</w:t>
            </w:r>
            <w:r w:rsidRPr="009C5807">
              <w:rPr>
                <w:lang w:eastAsia="ko-KR"/>
              </w:rPr>
              <w:t xml:space="preserve"> SS-RSRP&lt;-142</w:t>
            </w:r>
          </w:p>
        </w:tc>
        <w:tc>
          <w:tcPr>
            <w:tcW w:w="2268" w:type="dxa"/>
          </w:tcPr>
          <w:p w14:paraId="437112C1"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63E95C17" w14:textId="77777777" w:rsidR="001F5A79" w:rsidRPr="009C5807" w:rsidRDefault="001F5A79" w:rsidP="00DB6585">
            <w:pPr>
              <w:pStyle w:val="TAL"/>
              <w:rPr>
                <w:lang w:eastAsia="ko-KR"/>
              </w:rPr>
            </w:pPr>
            <w:r w:rsidRPr="009C5807">
              <w:rPr>
                <w:lang w:eastAsia="ko-KR"/>
              </w:rPr>
              <w:t>dBm</w:t>
            </w:r>
          </w:p>
        </w:tc>
      </w:tr>
      <w:tr w:rsidR="001F5A79" w:rsidRPr="009C5807" w14:paraId="5B7A8FF7" w14:textId="77777777" w:rsidTr="00DF3064">
        <w:trPr>
          <w:trHeight w:val="300"/>
          <w:jc w:val="center"/>
        </w:trPr>
        <w:tc>
          <w:tcPr>
            <w:tcW w:w="1640" w:type="dxa"/>
            <w:shd w:val="clear" w:color="auto" w:fill="auto"/>
            <w:noWrap/>
            <w:hideMark/>
          </w:tcPr>
          <w:p w14:paraId="3BA679BD" w14:textId="77777777" w:rsidR="001F5A79" w:rsidRPr="009C5807" w:rsidRDefault="001F5A79" w:rsidP="00DB6585">
            <w:pPr>
              <w:pStyle w:val="TAL"/>
              <w:rPr>
                <w:lang w:eastAsia="ko-KR"/>
              </w:rPr>
            </w:pPr>
            <w:r w:rsidRPr="009C5807">
              <w:rPr>
                <w:lang w:eastAsia="ko-KR"/>
              </w:rPr>
              <w:t>RSRP_15</w:t>
            </w:r>
          </w:p>
        </w:tc>
        <w:tc>
          <w:tcPr>
            <w:tcW w:w="2154" w:type="dxa"/>
            <w:shd w:val="clear" w:color="auto" w:fill="auto"/>
            <w:noWrap/>
            <w:hideMark/>
          </w:tcPr>
          <w:p w14:paraId="7C992C36" w14:textId="77777777" w:rsidR="001F5A79" w:rsidRPr="009C5807" w:rsidRDefault="001F5A79" w:rsidP="00DB6585">
            <w:pPr>
              <w:pStyle w:val="TAL"/>
              <w:rPr>
                <w:lang w:eastAsia="ko-KR"/>
              </w:rPr>
            </w:pPr>
            <w:r w:rsidRPr="009C5807">
              <w:rPr>
                <w:lang w:eastAsia="ko-KR"/>
              </w:rPr>
              <w:t>-142</w:t>
            </w:r>
            <w:r w:rsidRPr="009C5807">
              <w:rPr>
                <w:rFonts w:hint="eastAsia"/>
                <w:lang w:eastAsia="ko-KR"/>
              </w:rPr>
              <w:t>≤</w:t>
            </w:r>
            <w:r w:rsidRPr="009C5807">
              <w:rPr>
                <w:lang w:eastAsia="ko-KR"/>
              </w:rPr>
              <w:t xml:space="preserve"> SS-RSRP&lt;-141</w:t>
            </w:r>
          </w:p>
        </w:tc>
        <w:tc>
          <w:tcPr>
            <w:tcW w:w="2268" w:type="dxa"/>
          </w:tcPr>
          <w:p w14:paraId="1B420AAE"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4FA080D0" w14:textId="77777777" w:rsidR="001F5A79" w:rsidRPr="009C5807" w:rsidRDefault="001F5A79" w:rsidP="00DB6585">
            <w:pPr>
              <w:pStyle w:val="TAL"/>
              <w:rPr>
                <w:lang w:eastAsia="ko-KR"/>
              </w:rPr>
            </w:pPr>
            <w:r w:rsidRPr="009C5807">
              <w:rPr>
                <w:lang w:eastAsia="ko-KR"/>
              </w:rPr>
              <w:t>dBm</w:t>
            </w:r>
          </w:p>
        </w:tc>
      </w:tr>
      <w:tr w:rsidR="001F5A79" w:rsidRPr="009C5807" w14:paraId="3B15F32B" w14:textId="77777777" w:rsidTr="00DF3064">
        <w:trPr>
          <w:trHeight w:val="300"/>
          <w:jc w:val="center"/>
        </w:trPr>
        <w:tc>
          <w:tcPr>
            <w:tcW w:w="1640" w:type="dxa"/>
            <w:shd w:val="clear" w:color="auto" w:fill="auto"/>
            <w:noWrap/>
            <w:hideMark/>
          </w:tcPr>
          <w:p w14:paraId="07F1DFDC" w14:textId="77777777" w:rsidR="001F5A79" w:rsidRPr="009C5807" w:rsidRDefault="001F5A79" w:rsidP="00DB6585">
            <w:pPr>
              <w:pStyle w:val="TAL"/>
              <w:rPr>
                <w:lang w:eastAsia="ko-KR"/>
              </w:rPr>
            </w:pPr>
            <w:r w:rsidRPr="009C5807">
              <w:rPr>
                <w:lang w:eastAsia="ko-KR"/>
              </w:rPr>
              <w:t>RSRP_16</w:t>
            </w:r>
          </w:p>
        </w:tc>
        <w:tc>
          <w:tcPr>
            <w:tcW w:w="2154" w:type="dxa"/>
            <w:shd w:val="clear" w:color="auto" w:fill="auto"/>
            <w:noWrap/>
            <w:hideMark/>
          </w:tcPr>
          <w:p w14:paraId="6525A854" w14:textId="77777777" w:rsidR="001F5A79" w:rsidRPr="009C5807" w:rsidRDefault="001F5A79" w:rsidP="00DB6585">
            <w:pPr>
              <w:pStyle w:val="TAL"/>
              <w:rPr>
                <w:lang w:eastAsia="ko-KR"/>
              </w:rPr>
            </w:pPr>
            <w:r w:rsidRPr="009C5807">
              <w:rPr>
                <w:lang w:eastAsia="ko-KR"/>
              </w:rPr>
              <w:t>-141</w:t>
            </w:r>
            <w:r w:rsidRPr="009C5807">
              <w:rPr>
                <w:rFonts w:hint="eastAsia"/>
                <w:lang w:eastAsia="ko-KR"/>
              </w:rPr>
              <w:t>≤</w:t>
            </w:r>
            <w:r w:rsidRPr="009C5807">
              <w:t xml:space="preserve"> </w:t>
            </w:r>
            <w:r w:rsidRPr="009C5807">
              <w:rPr>
                <w:lang w:eastAsia="ko-KR"/>
              </w:rPr>
              <w:t>SS-RSRP&lt;-140</w:t>
            </w:r>
          </w:p>
        </w:tc>
        <w:tc>
          <w:tcPr>
            <w:tcW w:w="2268" w:type="dxa"/>
          </w:tcPr>
          <w:p w14:paraId="70B77B33" w14:textId="77777777" w:rsidR="001F5A79" w:rsidRPr="009C5807" w:rsidRDefault="001F5A79" w:rsidP="00DB6585">
            <w:pPr>
              <w:pStyle w:val="TAL"/>
              <w:rPr>
                <w:lang w:eastAsia="ko-KR"/>
              </w:rPr>
            </w:pPr>
            <w:r w:rsidRPr="009C5807">
              <w:rPr>
                <w:lang w:eastAsia="ko-KR"/>
              </w:rPr>
              <w:t>RSRP&lt;-140</w:t>
            </w:r>
          </w:p>
        </w:tc>
        <w:tc>
          <w:tcPr>
            <w:tcW w:w="710" w:type="dxa"/>
            <w:shd w:val="clear" w:color="auto" w:fill="auto"/>
            <w:noWrap/>
            <w:hideMark/>
          </w:tcPr>
          <w:p w14:paraId="49FE47D1" w14:textId="77777777" w:rsidR="001F5A79" w:rsidRPr="009C5807" w:rsidRDefault="001F5A79" w:rsidP="00DB6585">
            <w:pPr>
              <w:pStyle w:val="TAL"/>
              <w:rPr>
                <w:lang w:eastAsia="ko-KR"/>
              </w:rPr>
            </w:pPr>
            <w:r w:rsidRPr="009C5807">
              <w:rPr>
                <w:lang w:eastAsia="ko-KR"/>
              </w:rPr>
              <w:t>dBm</w:t>
            </w:r>
          </w:p>
        </w:tc>
      </w:tr>
      <w:tr w:rsidR="001F5A79" w:rsidRPr="009C5807" w14:paraId="1BF4CCF3" w14:textId="77777777" w:rsidTr="00DF3064">
        <w:trPr>
          <w:trHeight w:val="300"/>
          <w:jc w:val="center"/>
        </w:trPr>
        <w:tc>
          <w:tcPr>
            <w:tcW w:w="1640" w:type="dxa"/>
            <w:shd w:val="clear" w:color="auto" w:fill="auto"/>
            <w:noWrap/>
          </w:tcPr>
          <w:p w14:paraId="541E9515" w14:textId="77777777" w:rsidR="001F5A79" w:rsidRPr="009C5807" w:rsidRDefault="001F5A79" w:rsidP="00DB6585">
            <w:pPr>
              <w:pStyle w:val="TAL"/>
              <w:rPr>
                <w:lang w:eastAsia="ko-KR"/>
              </w:rPr>
            </w:pPr>
            <w:r w:rsidRPr="009C5807">
              <w:rPr>
                <w:lang w:eastAsia="ko-KR"/>
              </w:rPr>
              <w:t>RSRP_17</w:t>
            </w:r>
          </w:p>
        </w:tc>
        <w:tc>
          <w:tcPr>
            <w:tcW w:w="2154" w:type="dxa"/>
            <w:shd w:val="clear" w:color="auto" w:fill="auto"/>
            <w:noWrap/>
          </w:tcPr>
          <w:p w14:paraId="344A2603" w14:textId="77777777" w:rsidR="001F5A79" w:rsidRPr="009C5807" w:rsidRDefault="001F5A79" w:rsidP="00DB6585">
            <w:pPr>
              <w:pStyle w:val="TAL"/>
              <w:rPr>
                <w:lang w:eastAsia="ko-KR"/>
              </w:rPr>
            </w:pPr>
            <w:r w:rsidRPr="009C5807">
              <w:rPr>
                <w:lang w:eastAsia="ko-KR"/>
              </w:rPr>
              <w:t>-140</w:t>
            </w:r>
            <w:r w:rsidRPr="009C5807">
              <w:rPr>
                <w:rFonts w:hint="eastAsia"/>
                <w:lang w:eastAsia="ko-KR"/>
              </w:rPr>
              <w:t>≤</w:t>
            </w:r>
            <w:r w:rsidRPr="009C5807">
              <w:t xml:space="preserve"> </w:t>
            </w:r>
            <w:r w:rsidRPr="009C5807">
              <w:rPr>
                <w:lang w:eastAsia="ko-KR"/>
              </w:rPr>
              <w:t>SS-RSRP&lt;-139</w:t>
            </w:r>
          </w:p>
        </w:tc>
        <w:tc>
          <w:tcPr>
            <w:tcW w:w="2268" w:type="dxa"/>
          </w:tcPr>
          <w:p w14:paraId="1BA123B3" w14:textId="77777777" w:rsidR="001F5A79" w:rsidRPr="009C5807" w:rsidRDefault="001F5A79" w:rsidP="00DB6585">
            <w:pPr>
              <w:pStyle w:val="TAL"/>
              <w:rPr>
                <w:lang w:eastAsia="ko-KR"/>
              </w:rPr>
            </w:pPr>
            <w:r w:rsidRPr="009C5807">
              <w:rPr>
                <w:lang w:eastAsia="ko-KR"/>
              </w:rPr>
              <w:t>-140</w:t>
            </w:r>
            <w:r w:rsidRPr="009C5807">
              <w:rPr>
                <w:rFonts w:hint="eastAsia"/>
                <w:lang w:eastAsia="ko-KR"/>
              </w:rPr>
              <w:t>≤</w:t>
            </w:r>
            <w:r w:rsidRPr="009C5807">
              <w:rPr>
                <w:lang w:eastAsia="ko-KR"/>
              </w:rPr>
              <w:t>RSRP&lt;-139</w:t>
            </w:r>
          </w:p>
        </w:tc>
        <w:tc>
          <w:tcPr>
            <w:tcW w:w="710" w:type="dxa"/>
            <w:shd w:val="clear" w:color="auto" w:fill="auto"/>
            <w:noWrap/>
          </w:tcPr>
          <w:p w14:paraId="0FE33F01" w14:textId="77777777" w:rsidR="001F5A79" w:rsidRPr="009C5807" w:rsidRDefault="001F5A79" w:rsidP="00DB6585">
            <w:pPr>
              <w:pStyle w:val="TAL"/>
              <w:rPr>
                <w:lang w:eastAsia="ko-KR"/>
              </w:rPr>
            </w:pPr>
            <w:r w:rsidRPr="009C5807">
              <w:rPr>
                <w:lang w:eastAsia="ko-KR"/>
              </w:rPr>
              <w:t>dBm</w:t>
            </w:r>
          </w:p>
        </w:tc>
      </w:tr>
      <w:tr w:rsidR="001F5A79" w:rsidRPr="009C5807" w14:paraId="38A0DCEF" w14:textId="77777777" w:rsidTr="00DF3064">
        <w:trPr>
          <w:trHeight w:val="300"/>
          <w:jc w:val="center"/>
        </w:trPr>
        <w:tc>
          <w:tcPr>
            <w:tcW w:w="1640" w:type="dxa"/>
            <w:shd w:val="clear" w:color="auto" w:fill="auto"/>
            <w:noWrap/>
          </w:tcPr>
          <w:p w14:paraId="196759FA" w14:textId="77777777" w:rsidR="001F5A79" w:rsidRPr="009C5807" w:rsidRDefault="001F5A79" w:rsidP="00DB6585">
            <w:pPr>
              <w:pStyle w:val="TAL"/>
              <w:rPr>
                <w:lang w:eastAsia="ko-KR"/>
              </w:rPr>
            </w:pPr>
            <w:r w:rsidRPr="009C5807">
              <w:rPr>
                <w:lang w:eastAsia="ko-KR"/>
              </w:rPr>
              <w:t>RSRP_18</w:t>
            </w:r>
          </w:p>
        </w:tc>
        <w:tc>
          <w:tcPr>
            <w:tcW w:w="2154" w:type="dxa"/>
            <w:shd w:val="clear" w:color="auto" w:fill="auto"/>
            <w:noWrap/>
          </w:tcPr>
          <w:p w14:paraId="2CF37B2D" w14:textId="77777777" w:rsidR="001F5A79" w:rsidRPr="009C5807" w:rsidRDefault="001F5A79" w:rsidP="00DB6585">
            <w:pPr>
              <w:pStyle w:val="TAL"/>
              <w:rPr>
                <w:lang w:eastAsia="ko-KR"/>
              </w:rPr>
            </w:pPr>
            <w:r w:rsidRPr="009C5807">
              <w:rPr>
                <w:lang w:eastAsia="ko-KR"/>
              </w:rPr>
              <w:t>-139</w:t>
            </w:r>
            <w:r w:rsidRPr="009C5807">
              <w:rPr>
                <w:rFonts w:hint="eastAsia"/>
                <w:lang w:eastAsia="ko-KR"/>
              </w:rPr>
              <w:t>≤</w:t>
            </w:r>
            <w:r w:rsidRPr="009C5807">
              <w:t xml:space="preserve"> </w:t>
            </w:r>
            <w:r w:rsidRPr="009C5807">
              <w:rPr>
                <w:lang w:eastAsia="ko-KR"/>
              </w:rPr>
              <w:t>SS-RSRP&lt;-138</w:t>
            </w:r>
          </w:p>
        </w:tc>
        <w:tc>
          <w:tcPr>
            <w:tcW w:w="2268" w:type="dxa"/>
          </w:tcPr>
          <w:p w14:paraId="13C93F66" w14:textId="77777777" w:rsidR="001F5A79" w:rsidRPr="009C5807" w:rsidRDefault="001F5A79" w:rsidP="00DB6585">
            <w:pPr>
              <w:pStyle w:val="TAL"/>
              <w:rPr>
                <w:lang w:eastAsia="ko-KR"/>
              </w:rPr>
            </w:pPr>
            <w:r w:rsidRPr="009C5807">
              <w:rPr>
                <w:lang w:eastAsia="ko-KR"/>
              </w:rPr>
              <w:t>-139</w:t>
            </w:r>
            <w:r w:rsidRPr="009C5807">
              <w:rPr>
                <w:rFonts w:hint="eastAsia"/>
                <w:lang w:eastAsia="ko-KR"/>
              </w:rPr>
              <w:t>≤</w:t>
            </w:r>
            <w:r w:rsidRPr="009C5807">
              <w:t xml:space="preserve"> </w:t>
            </w:r>
            <w:r w:rsidRPr="009C5807">
              <w:rPr>
                <w:lang w:eastAsia="ko-KR"/>
              </w:rPr>
              <w:t>RSRP&lt;-138</w:t>
            </w:r>
          </w:p>
        </w:tc>
        <w:tc>
          <w:tcPr>
            <w:tcW w:w="710" w:type="dxa"/>
            <w:shd w:val="clear" w:color="auto" w:fill="auto"/>
            <w:noWrap/>
          </w:tcPr>
          <w:p w14:paraId="2A91DB90" w14:textId="77777777" w:rsidR="001F5A79" w:rsidRPr="009C5807" w:rsidRDefault="001F5A79" w:rsidP="00DB6585">
            <w:pPr>
              <w:pStyle w:val="TAL"/>
              <w:rPr>
                <w:lang w:eastAsia="ko-KR"/>
              </w:rPr>
            </w:pPr>
            <w:r w:rsidRPr="009C5807">
              <w:rPr>
                <w:lang w:eastAsia="ko-KR"/>
              </w:rPr>
              <w:t>dBm</w:t>
            </w:r>
          </w:p>
        </w:tc>
      </w:tr>
      <w:tr w:rsidR="001F5A79" w:rsidRPr="009C5807" w14:paraId="600C9457" w14:textId="77777777" w:rsidTr="00DF3064">
        <w:trPr>
          <w:trHeight w:val="300"/>
          <w:jc w:val="center"/>
        </w:trPr>
        <w:tc>
          <w:tcPr>
            <w:tcW w:w="1640" w:type="dxa"/>
            <w:shd w:val="clear" w:color="auto" w:fill="auto"/>
            <w:noWrap/>
          </w:tcPr>
          <w:p w14:paraId="0E488A74" w14:textId="77777777" w:rsidR="001F5A79" w:rsidRPr="009C5807" w:rsidRDefault="001F5A79" w:rsidP="00DB6585">
            <w:pPr>
              <w:pStyle w:val="TAL"/>
              <w:rPr>
                <w:lang w:eastAsia="ko-KR"/>
              </w:rPr>
            </w:pPr>
            <w:r w:rsidRPr="009C5807">
              <w:rPr>
                <w:lang w:eastAsia="ko-KR"/>
              </w:rPr>
              <w:t>…</w:t>
            </w:r>
          </w:p>
        </w:tc>
        <w:tc>
          <w:tcPr>
            <w:tcW w:w="2154" w:type="dxa"/>
            <w:shd w:val="clear" w:color="auto" w:fill="auto"/>
            <w:noWrap/>
          </w:tcPr>
          <w:p w14:paraId="0FF43E83" w14:textId="77777777" w:rsidR="001F5A79" w:rsidRPr="009C5807" w:rsidRDefault="001F5A79" w:rsidP="00DB6585">
            <w:pPr>
              <w:pStyle w:val="TAL"/>
              <w:rPr>
                <w:lang w:eastAsia="ko-KR"/>
              </w:rPr>
            </w:pPr>
            <w:r w:rsidRPr="009C5807">
              <w:rPr>
                <w:lang w:eastAsia="ko-KR"/>
              </w:rPr>
              <w:t>…</w:t>
            </w:r>
          </w:p>
        </w:tc>
        <w:tc>
          <w:tcPr>
            <w:tcW w:w="2268" w:type="dxa"/>
          </w:tcPr>
          <w:p w14:paraId="280EEE2D" w14:textId="77777777" w:rsidR="001F5A79" w:rsidRPr="009C5807" w:rsidRDefault="001F5A79" w:rsidP="00DB6585">
            <w:pPr>
              <w:pStyle w:val="TAL"/>
              <w:rPr>
                <w:lang w:eastAsia="ko-KR"/>
              </w:rPr>
            </w:pPr>
          </w:p>
        </w:tc>
        <w:tc>
          <w:tcPr>
            <w:tcW w:w="710" w:type="dxa"/>
            <w:shd w:val="clear" w:color="auto" w:fill="auto"/>
            <w:noWrap/>
          </w:tcPr>
          <w:p w14:paraId="5FD3EBDE" w14:textId="77777777" w:rsidR="001F5A79" w:rsidRPr="009C5807" w:rsidRDefault="001F5A79" w:rsidP="00DB6585">
            <w:pPr>
              <w:pStyle w:val="TAL"/>
              <w:rPr>
                <w:lang w:eastAsia="ko-KR"/>
              </w:rPr>
            </w:pPr>
            <w:r w:rsidRPr="009C5807">
              <w:rPr>
                <w:lang w:eastAsia="ko-KR"/>
              </w:rPr>
              <w:t>…</w:t>
            </w:r>
          </w:p>
        </w:tc>
      </w:tr>
      <w:tr w:rsidR="001F5A79" w:rsidRPr="009C5807" w14:paraId="3EE28410" w14:textId="77777777" w:rsidTr="00DF3064">
        <w:trPr>
          <w:trHeight w:val="300"/>
          <w:jc w:val="center"/>
        </w:trPr>
        <w:tc>
          <w:tcPr>
            <w:tcW w:w="1640" w:type="dxa"/>
            <w:shd w:val="clear" w:color="auto" w:fill="auto"/>
            <w:noWrap/>
          </w:tcPr>
          <w:p w14:paraId="5DA3AEA3" w14:textId="77777777" w:rsidR="001F5A79" w:rsidRPr="009C5807" w:rsidRDefault="001F5A79" w:rsidP="00DB6585">
            <w:pPr>
              <w:pStyle w:val="TAL"/>
              <w:rPr>
                <w:lang w:eastAsia="ko-KR"/>
              </w:rPr>
            </w:pPr>
            <w:r w:rsidRPr="009C5807">
              <w:rPr>
                <w:lang w:eastAsia="ko-KR"/>
              </w:rPr>
              <w:t>RSRP_111</w:t>
            </w:r>
          </w:p>
        </w:tc>
        <w:tc>
          <w:tcPr>
            <w:tcW w:w="2154" w:type="dxa"/>
            <w:shd w:val="clear" w:color="auto" w:fill="auto"/>
            <w:noWrap/>
          </w:tcPr>
          <w:p w14:paraId="6B6F85AB" w14:textId="77777777" w:rsidR="001F5A79" w:rsidRPr="009C5807" w:rsidRDefault="001F5A79" w:rsidP="00DB6585">
            <w:pPr>
              <w:pStyle w:val="TAL"/>
              <w:rPr>
                <w:lang w:eastAsia="ko-KR"/>
              </w:rPr>
            </w:pPr>
            <w:r w:rsidRPr="009C5807">
              <w:rPr>
                <w:lang w:eastAsia="ko-KR"/>
              </w:rPr>
              <w:t>-46</w:t>
            </w:r>
            <w:r w:rsidRPr="009C5807">
              <w:rPr>
                <w:rFonts w:hint="eastAsia"/>
                <w:lang w:eastAsia="ko-KR"/>
              </w:rPr>
              <w:t>≤</w:t>
            </w:r>
            <w:r w:rsidRPr="009C5807">
              <w:t xml:space="preserve"> </w:t>
            </w:r>
            <w:r w:rsidRPr="009C5807">
              <w:rPr>
                <w:lang w:eastAsia="ko-KR"/>
              </w:rPr>
              <w:t>SS-RSRP&lt;-45</w:t>
            </w:r>
          </w:p>
        </w:tc>
        <w:tc>
          <w:tcPr>
            <w:tcW w:w="2268" w:type="dxa"/>
          </w:tcPr>
          <w:p w14:paraId="3067E4E3" w14:textId="77777777" w:rsidR="001F5A79" w:rsidRPr="009C5807" w:rsidRDefault="001F5A79" w:rsidP="00DB6585">
            <w:pPr>
              <w:pStyle w:val="TAL"/>
              <w:rPr>
                <w:lang w:eastAsia="ko-KR"/>
              </w:rPr>
            </w:pPr>
            <w:r w:rsidRPr="009C5807">
              <w:rPr>
                <w:lang w:eastAsia="ko-KR"/>
              </w:rPr>
              <w:t>-46</w:t>
            </w:r>
            <w:r w:rsidRPr="009C5807">
              <w:rPr>
                <w:rFonts w:hint="eastAsia"/>
                <w:lang w:eastAsia="ko-KR"/>
              </w:rPr>
              <w:t>≤</w:t>
            </w:r>
            <w:r w:rsidRPr="009C5807">
              <w:t xml:space="preserve"> </w:t>
            </w:r>
            <w:r w:rsidRPr="009C5807">
              <w:rPr>
                <w:lang w:eastAsia="ko-KR"/>
              </w:rPr>
              <w:t>RSRP&lt;-45</w:t>
            </w:r>
          </w:p>
        </w:tc>
        <w:tc>
          <w:tcPr>
            <w:tcW w:w="710" w:type="dxa"/>
            <w:shd w:val="clear" w:color="auto" w:fill="auto"/>
            <w:noWrap/>
          </w:tcPr>
          <w:p w14:paraId="1CC4A45F" w14:textId="77777777" w:rsidR="001F5A79" w:rsidRPr="009C5807" w:rsidRDefault="001F5A79" w:rsidP="00DB6585">
            <w:pPr>
              <w:pStyle w:val="TAL"/>
              <w:rPr>
                <w:lang w:eastAsia="ko-KR"/>
              </w:rPr>
            </w:pPr>
            <w:r w:rsidRPr="009C5807">
              <w:rPr>
                <w:lang w:eastAsia="ko-KR"/>
              </w:rPr>
              <w:t>dBm</w:t>
            </w:r>
          </w:p>
        </w:tc>
      </w:tr>
      <w:tr w:rsidR="001F5A79" w:rsidRPr="009C5807" w14:paraId="295A3523" w14:textId="77777777" w:rsidTr="00DF3064">
        <w:trPr>
          <w:trHeight w:val="300"/>
          <w:jc w:val="center"/>
        </w:trPr>
        <w:tc>
          <w:tcPr>
            <w:tcW w:w="1640" w:type="dxa"/>
            <w:shd w:val="clear" w:color="auto" w:fill="auto"/>
            <w:noWrap/>
          </w:tcPr>
          <w:p w14:paraId="12F13275" w14:textId="77777777" w:rsidR="001F5A79" w:rsidRPr="009C5807" w:rsidRDefault="001F5A79" w:rsidP="00DB6585">
            <w:pPr>
              <w:pStyle w:val="TAL"/>
              <w:rPr>
                <w:lang w:eastAsia="ko-KR"/>
              </w:rPr>
            </w:pPr>
            <w:r w:rsidRPr="009C5807">
              <w:rPr>
                <w:lang w:eastAsia="ko-KR"/>
              </w:rPr>
              <w:t>RSRP_112</w:t>
            </w:r>
          </w:p>
        </w:tc>
        <w:tc>
          <w:tcPr>
            <w:tcW w:w="2154" w:type="dxa"/>
            <w:shd w:val="clear" w:color="auto" w:fill="auto"/>
            <w:noWrap/>
          </w:tcPr>
          <w:p w14:paraId="4A296169" w14:textId="77777777" w:rsidR="001F5A79" w:rsidRPr="009C5807" w:rsidRDefault="001F5A79" w:rsidP="00DB6585">
            <w:pPr>
              <w:pStyle w:val="TAL"/>
              <w:rPr>
                <w:lang w:eastAsia="ko-KR"/>
              </w:rPr>
            </w:pPr>
            <w:r w:rsidRPr="009C5807">
              <w:rPr>
                <w:lang w:eastAsia="ko-KR"/>
              </w:rPr>
              <w:t>-45</w:t>
            </w:r>
            <w:r w:rsidRPr="009C5807">
              <w:rPr>
                <w:rFonts w:hint="eastAsia"/>
                <w:lang w:eastAsia="ko-KR"/>
              </w:rPr>
              <w:t>≤</w:t>
            </w:r>
            <w:r w:rsidRPr="009C5807">
              <w:t xml:space="preserve"> </w:t>
            </w:r>
            <w:r w:rsidRPr="009C5807">
              <w:rPr>
                <w:lang w:eastAsia="ko-KR"/>
              </w:rPr>
              <w:t>SS-RSRP&lt;-44</w:t>
            </w:r>
          </w:p>
        </w:tc>
        <w:tc>
          <w:tcPr>
            <w:tcW w:w="2268" w:type="dxa"/>
          </w:tcPr>
          <w:p w14:paraId="308AC7BF" w14:textId="77777777" w:rsidR="001F5A79" w:rsidRPr="009C5807" w:rsidRDefault="001F5A79" w:rsidP="00DB6585">
            <w:pPr>
              <w:pStyle w:val="TAL"/>
              <w:rPr>
                <w:lang w:eastAsia="ko-KR"/>
              </w:rPr>
            </w:pPr>
            <w:r w:rsidRPr="009C5807">
              <w:rPr>
                <w:lang w:eastAsia="ko-KR"/>
              </w:rPr>
              <w:t>-45</w:t>
            </w:r>
            <w:r w:rsidRPr="009C5807">
              <w:rPr>
                <w:rFonts w:hint="eastAsia"/>
                <w:lang w:eastAsia="ko-KR"/>
              </w:rPr>
              <w:t>≤</w:t>
            </w:r>
            <w:r w:rsidRPr="009C5807">
              <w:t xml:space="preserve"> RSRP</w:t>
            </w:r>
            <w:r w:rsidRPr="009C5807">
              <w:rPr>
                <w:lang w:eastAsia="ko-KR"/>
              </w:rPr>
              <w:t>&lt;-44</w:t>
            </w:r>
          </w:p>
        </w:tc>
        <w:tc>
          <w:tcPr>
            <w:tcW w:w="710" w:type="dxa"/>
            <w:shd w:val="clear" w:color="auto" w:fill="auto"/>
            <w:noWrap/>
          </w:tcPr>
          <w:p w14:paraId="571DB29E" w14:textId="77777777" w:rsidR="001F5A79" w:rsidRPr="009C5807" w:rsidRDefault="001F5A79" w:rsidP="00DB6585">
            <w:pPr>
              <w:pStyle w:val="TAL"/>
              <w:rPr>
                <w:lang w:eastAsia="ko-KR"/>
              </w:rPr>
            </w:pPr>
            <w:r w:rsidRPr="009C5807">
              <w:rPr>
                <w:lang w:eastAsia="ko-KR"/>
              </w:rPr>
              <w:t>dBm</w:t>
            </w:r>
          </w:p>
        </w:tc>
      </w:tr>
      <w:tr w:rsidR="001F5A79" w:rsidRPr="009C5807" w14:paraId="0B3FED9E" w14:textId="77777777" w:rsidTr="00DF3064">
        <w:trPr>
          <w:trHeight w:val="300"/>
          <w:jc w:val="center"/>
        </w:trPr>
        <w:tc>
          <w:tcPr>
            <w:tcW w:w="1640" w:type="dxa"/>
            <w:shd w:val="clear" w:color="auto" w:fill="auto"/>
            <w:noWrap/>
          </w:tcPr>
          <w:p w14:paraId="04B53C1C" w14:textId="77777777" w:rsidR="001F5A79" w:rsidRPr="009C5807" w:rsidRDefault="001F5A79" w:rsidP="00DB6585">
            <w:pPr>
              <w:pStyle w:val="TAL"/>
              <w:rPr>
                <w:lang w:eastAsia="ko-KR"/>
              </w:rPr>
            </w:pPr>
            <w:r w:rsidRPr="009C5807">
              <w:rPr>
                <w:lang w:eastAsia="ko-KR"/>
              </w:rPr>
              <w:t>RSRP_113</w:t>
            </w:r>
          </w:p>
        </w:tc>
        <w:tc>
          <w:tcPr>
            <w:tcW w:w="2154" w:type="dxa"/>
            <w:shd w:val="clear" w:color="auto" w:fill="auto"/>
            <w:noWrap/>
          </w:tcPr>
          <w:p w14:paraId="37CFC115" w14:textId="77777777" w:rsidR="001F5A79" w:rsidRPr="009C5807" w:rsidRDefault="001F5A79" w:rsidP="00DB6585">
            <w:pPr>
              <w:pStyle w:val="TAL"/>
              <w:rPr>
                <w:lang w:eastAsia="ko-KR"/>
              </w:rPr>
            </w:pPr>
            <w:r w:rsidRPr="009C5807">
              <w:rPr>
                <w:lang w:eastAsia="ko-KR"/>
              </w:rPr>
              <w:t>-44</w:t>
            </w:r>
            <w:r w:rsidRPr="009C5807">
              <w:rPr>
                <w:rFonts w:hint="eastAsia"/>
                <w:lang w:eastAsia="ko-KR"/>
              </w:rPr>
              <w:t>≤</w:t>
            </w:r>
            <w:r w:rsidRPr="009C5807">
              <w:t xml:space="preserve"> </w:t>
            </w:r>
            <w:r w:rsidRPr="009C5807">
              <w:rPr>
                <w:lang w:eastAsia="ko-KR"/>
              </w:rPr>
              <w:t>SS-RSRP&lt;-43</w:t>
            </w:r>
          </w:p>
        </w:tc>
        <w:tc>
          <w:tcPr>
            <w:tcW w:w="2268" w:type="dxa"/>
          </w:tcPr>
          <w:p w14:paraId="382F2456" w14:textId="77777777" w:rsidR="001F5A79" w:rsidRPr="009C5807" w:rsidRDefault="001F5A79" w:rsidP="00DB6585">
            <w:pPr>
              <w:pStyle w:val="TAL"/>
              <w:rPr>
                <w:lang w:eastAsia="ko-KR"/>
              </w:rPr>
            </w:pPr>
            <w:r w:rsidRPr="009C5807">
              <w:rPr>
                <w:lang w:eastAsia="ko-KR"/>
              </w:rPr>
              <w:t>-44</w:t>
            </w:r>
            <w:r w:rsidRPr="009C5807">
              <w:rPr>
                <w:rFonts w:hint="eastAsia"/>
                <w:lang w:eastAsia="ko-KR"/>
              </w:rPr>
              <w:t>≤</w:t>
            </w:r>
            <w:r w:rsidRPr="009C5807">
              <w:t xml:space="preserve"> RSRP</w:t>
            </w:r>
          </w:p>
        </w:tc>
        <w:tc>
          <w:tcPr>
            <w:tcW w:w="710" w:type="dxa"/>
            <w:shd w:val="clear" w:color="auto" w:fill="auto"/>
            <w:noWrap/>
          </w:tcPr>
          <w:p w14:paraId="0391CBB1" w14:textId="77777777" w:rsidR="001F5A79" w:rsidRPr="009C5807" w:rsidRDefault="001F5A79" w:rsidP="00DB6585">
            <w:pPr>
              <w:pStyle w:val="TAL"/>
              <w:rPr>
                <w:lang w:eastAsia="ko-KR"/>
              </w:rPr>
            </w:pPr>
            <w:r w:rsidRPr="009C5807">
              <w:rPr>
                <w:lang w:eastAsia="ko-KR"/>
              </w:rPr>
              <w:t>dBm</w:t>
            </w:r>
          </w:p>
        </w:tc>
      </w:tr>
      <w:tr w:rsidR="001F5A79" w:rsidRPr="009C5807" w14:paraId="3D047853" w14:textId="77777777" w:rsidTr="00DF3064">
        <w:trPr>
          <w:trHeight w:val="300"/>
          <w:jc w:val="center"/>
        </w:trPr>
        <w:tc>
          <w:tcPr>
            <w:tcW w:w="1640" w:type="dxa"/>
            <w:shd w:val="clear" w:color="auto" w:fill="auto"/>
            <w:noWrap/>
          </w:tcPr>
          <w:p w14:paraId="2E8B6F3C" w14:textId="77777777" w:rsidR="001F5A79" w:rsidRPr="009C5807" w:rsidRDefault="001F5A79" w:rsidP="00DB6585">
            <w:pPr>
              <w:pStyle w:val="TAL"/>
              <w:rPr>
                <w:lang w:eastAsia="ko-KR"/>
              </w:rPr>
            </w:pPr>
            <w:r w:rsidRPr="009C5807">
              <w:rPr>
                <w:lang w:eastAsia="ko-KR"/>
              </w:rPr>
              <w:t>RSRP_114</w:t>
            </w:r>
          </w:p>
        </w:tc>
        <w:tc>
          <w:tcPr>
            <w:tcW w:w="2154" w:type="dxa"/>
            <w:shd w:val="clear" w:color="auto" w:fill="auto"/>
            <w:noWrap/>
          </w:tcPr>
          <w:p w14:paraId="36372A69" w14:textId="77777777" w:rsidR="001F5A79" w:rsidRPr="009C5807" w:rsidRDefault="001F5A79" w:rsidP="00DB6585">
            <w:pPr>
              <w:pStyle w:val="TAL"/>
              <w:rPr>
                <w:lang w:eastAsia="ko-KR"/>
              </w:rPr>
            </w:pPr>
            <w:r w:rsidRPr="009C5807">
              <w:rPr>
                <w:lang w:eastAsia="ko-KR"/>
              </w:rPr>
              <w:t>-43</w:t>
            </w:r>
            <w:r w:rsidRPr="009C5807">
              <w:rPr>
                <w:rFonts w:hint="eastAsia"/>
                <w:lang w:eastAsia="ko-KR"/>
              </w:rPr>
              <w:t>≤</w:t>
            </w:r>
            <w:r w:rsidRPr="009C5807">
              <w:t xml:space="preserve"> </w:t>
            </w:r>
            <w:r w:rsidRPr="009C5807">
              <w:rPr>
                <w:lang w:eastAsia="ko-KR"/>
              </w:rPr>
              <w:t>SS-RSRP&lt;-42</w:t>
            </w:r>
          </w:p>
        </w:tc>
        <w:tc>
          <w:tcPr>
            <w:tcW w:w="2268" w:type="dxa"/>
          </w:tcPr>
          <w:p w14:paraId="7D62E145"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5569202E" w14:textId="77777777" w:rsidR="001F5A79" w:rsidRPr="009C5807" w:rsidRDefault="001F5A79" w:rsidP="00DB6585">
            <w:pPr>
              <w:pStyle w:val="TAL"/>
              <w:rPr>
                <w:lang w:eastAsia="ko-KR"/>
              </w:rPr>
            </w:pPr>
            <w:r w:rsidRPr="009C5807">
              <w:rPr>
                <w:lang w:eastAsia="ko-KR"/>
              </w:rPr>
              <w:t>dBm</w:t>
            </w:r>
          </w:p>
        </w:tc>
      </w:tr>
      <w:tr w:rsidR="001F5A79" w:rsidRPr="009C5807" w14:paraId="58603B1E" w14:textId="77777777" w:rsidTr="00DF3064">
        <w:trPr>
          <w:trHeight w:val="300"/>
          <w:jc w:val="center"/>
        </w:trPr>
        <w:tc>
          <w:tcPr>
            <w:tcW w:w="1640" w:type="dxa"/>
            <w:shd w:val="clear" w:color="auto" w:fill="auto"/>
            <w:noWrap/>
          </w:tcPr>
          <w:p w14:paraId="6F88EC67" w14:textId="77777777" w:rsidR="001F5A79" w:rsidRPr="009C5807" w:rsidRDefault="001F5A79" w:rsidP="00DB6585">
            <w:pPr>
              <w:pStyle w:val="TAL"/>
              <w:rPr>
                <w:lang w:eastAsia="ko-KR"/>
              </w:rPr>
            </w:pPr>
            <w:r w:rsidRPr="009C5807">
              <w:rPr>
                <w:lang w:eastAsia="ko-KR"/>
              </w:rPr>
              <w:t>RSRP_115</w:t>
            </w:r>
          </w:p>
        </w:tc>
        <w:tc>
          <w:tcPr>
            <w:tcW w:w="2154" w:type="dxa"/>
            <w:shd w:val="clear" w:color="auto" w:fill="auto"/>
            <w:noWrap/>
          </w:tcPr>
          <w:p w14:paraId="72E22CF7" w14:textId="77777777" w:rsidR="001F5A79" w:rsidRPr="009C5807" w:rsidRDefault="001F5A79" w:rsidP="00DB6585">
            <w:pPr>
              <w:pStyle w:val="TAL"/>
              <w:rPr>
                <w:lang w:eastAsia="ko-KR"/>
              </w:rPr>
            </w:pPr>
            <w:r w:rsidRPr="009C5807">
              <w:rPr>
                <w:lang w:eastAsia="ko-KR"/>
              </w:rPr>
              <w:t>-42</w:t>
            </w:r>
            <w:r w:rsidRPr="009C5807">
              <w:rPr>
                <w:rFonts w:hint="eastAsia"/>
                <w:lang w:eastAsia="ko-KR"/>
              </w:rPr>
              <w:t>≤</w:t>
            </w:r>
            <w:r w:rsidRPr="009C5807">
              <w:t xml:space="preserve"> </w:t>
            </w:r>
            <w:r w:rsidRPr="009C5807">
              <w:rPr>
                <w:lang w:eastAsia="ko-KR"/>
              </w:rPr>
              <w:t>SS-RSRP&lt;-41</w:t>
            </w:r>
          </w:p>
        </w:tc>
        <w:tc>
          <w:tcPr>
            <w:tcW w:w="2268" w:type="dxa"/>
          </w:tcPr>
          <w:p w14:paraId="69E4022E"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6B3481B0" w14:textId="77777777" w:rsidR="001F5A79" w:rsidRPr="009C5807" w:rsidRDefault="001F5A79" w:rsidP="00DB6585">
            <w:pPr>
              <w:pStyle w:val="TAL"/>
              <w:rPr>
                <w:lang w:eastAsia="ko-KR"/>
              </w:rPr>
            </w:pPr>
            <w:r w:rsidRPr="009C5807">
              <w:rPr>
                <w:lang w:eastAsia="ko-KR"/>
              </w:rPr>
              <w:t>dBm</w:t>
            </w:r>
          </w:p>
        </w:tc>
      </w:tr>
      <w:tr w:rsidR="001F5A79" w:rsidRPr="009C5807" w14:paraId="4799A496" w14:textId="77777777" w:rsidTr="00DF3064">
        <w:trPr>
          <w:trHeight w:val="300"/>
          <w:jc w:val="center"/>
        </w:trPr>
        <w:tc>
          <w:tcPr>
            <w:tcW w:w="1640" w:type="dxa"/>
            <w:shd w:val="clear" w:color="auto" w:fill="auto"/>
            <w:noWrap/>
          </w:tcPr>
          <w:p w14:paraId="7EC8C33D" w14:textId="77777777" w:rsidR="001F5A79" w:rsidRPr="009C5807" w:rsidRDefault="001F5A79" w:rsidP="00DB6585">
            <w:pPr>
              <w:pStyle w:val="TAL"/>
              <w:rPr>
                <w:lang w:eastAsia="ko-KR"/>
              </w:rPr>
            </w:pPr>
            <w:r w:rsidRPr="009C5807">
              <w:rPr>
                <w:lang w:eastAsia="ko-KR"/>
              </w:rPr>
              <w:t>RSRP_116</w:t>
            </w:r>
          </w:p>
        </w:tc>
        <w:tc>
          <w:tcPr>
            <w:tcW w:w="2154" w:type="dxa"/>
            <w:shd w:val="clear" w:color="auto" w:fill="auto"/>
            <w:noWrap/>
          </w:tcPr>
          <w:p w14:paraId="76F6F717" w14:textId="77777777" w:rsidR="001F5A79" w:rsidRPr="009C5807" w:rsidRDefault="001F5A79" w:rsidP="00DB6585">
            <w:pPr>
              <w:pStyle w:val="TAL"/>
              <w:rPr>
                <w:lang w:eastAsia="ko-KR"/>
              </w:rPr>
            </w:pPr>
            <w:r w:rsidRPr="009C5807">
              <w:rPr>
                <w:lang w:eastAsia="ko-KR"/>
              </w:rPr>
              <w:t>-41</w:t>
            </w:r>
            <w:r w:rsidRPr="009C5807">
              <w:rPr>
                <w:rFonts w:hint="eastAsia"/>
                <w:lang w:eastAsia="ko-KR"/>
              </w:rPr>
              <w:t>≤</w:t>
            </w:r>
            <w:r w:rsidRPr="009C5807">
              <w:t xml:space="preserve"> </w:t>
            </w:r>
            <w:r w:rsidRPr="009C5807">
              <w:rPr>
                <w:lang w:eastAsia="ko-KR"/>
              </w:rPr>
              <w:t>SS-RSRP&lt;-40</w:t>
            </w:r>
          </w:p>
        </w:tc>
        <w:tc>
          <w:tcPr>
            <w:tcW w:w="2268" w:type="dxa"/>
          </w:tcPr>
          <w:p w14:paraId="7B7217FA"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630EBDF1" w14:textId="77777777" w:rsidR="001F5A79" w:rsidRPr="009C5807" w:rsidRDefault="001F5A79" w:rsidP="00DB6585">
            <w:pPr>
              <w:pStyle w:val="TAL"/>
              <w:rPr>
                <w:lang w:eastAsia="ko-KR"/>
              </w:rPr>
            </w:pPr>
            <w:r w:rsidRPr="009C5807">
              <w:rPr>
                <w:lang w:eastAsia="ko-KR"/>
              </w:rPr>
              <w:t>dBm</w:t>
            </w:r>
          </w:p>
        </w:tc>
      </w:tr>
      <w:tr w:rsidR="001F5A79" w:rsidRPr="009C5807" w14:paraId="24FBEE3C" w14:textId="77777777" w:rsidTr="00DF3064">
        <w:trPr>
          <w:trHeight w:val="300"/>
          <w:jc w:val="center"/>
        </w:trPr>
        <w:tc>
          <w:tcPr>
            <w:tcW w:w="1640" w:type="dxa"/>
            <w:shd w:val="clear" w:color="auto" w:fill="auto"/>
            <w:noWrap/>
          </w:tcPr>
          <w:p w14:paraId="6C4BE6C1" w14:textId="77777777" w:rsidR="001F5A79" w:rsidRPr="009C5807" w:rsidRDefault="001F5A79" w:rsidP="00DB6585">
            <w:pPr>
              <w:pStyle w:val="TAL"/>
              <w:rPr>
                <w:lang w:eastAsia="ko-KR"/>
              </w:rPr>
            </w:pPr>
            <w:r w:rsidRPr="009C5807">
              <w:rPr>
                <w:lang w:eastAsia="ko-KR"/>
              </w:rPr>
              <w:t>RSRP_117</w:t>
            </w:r>
          </w:p>
        </w:tc>
        <w:tc>
          <w:tcPr>
            <w:tcW w:w="2154" w:type="dxa"/>
            <w:shd w:val="clear" w:color="auto" w:fill="auto"/>
            <w:noWrap/>
          </w:tcPr>
          <w:p w14:paraId="36E07944" w14:textId="77777777" w:rsidR="001F5A79" w:rsidRPr="009C5807" w:rsidRDefault="001F5A79" w:rsidP="00DB6585">
            <w:pPr>
              <w:pStyle w:val="TAL"/>
              <w:rPr>
                <w:lang w:eastAsia="ko-KR"/>
              </w:rPr>
            </w:pPr>
            <w:r w:rsidRPr="009C5807">
              <w:rPr>
                <w:lang w:eastAsia="ko-KR"/>
              </w:rPr>
              <w:t>-40</w:t>
            </w:r>
            <w:r w:rsidRPr="009C5807">
              <w:rPr>
                <w:rFonts w:hint="eastAsia"/>
                <w:lang w:eastAsia="ko-KR"/>
              </w:rPr>
              <w:t>≤</w:t>
            </w:r>
            <w:r w:rsidRPr="009C5807">
              <w:t xml:space="preserve"> </w:t>
            </w:r>
            <w:r w:rsidRPr="009C5807">
              <w:rPr>
                <w:lang w:eastAsia="ko-KR"/>
              </w:rPr>
              <w:t>SS-RSRP&lt;-39</w:t>
            </w:r>
          </w:p>
        </w:tc>
        <w:tc>
          <w:tcPr>
            <w:tcW w:w="2268" w:type="dxa"/>
          </w:tcPr>
          <w:p w14:paraId="5C9908FB"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75FA78DF" w14:textId="77777777" w:rsidR="001F5A79" w:rsidRPr="009C5807" w:rsidRDefault="001F5A79" w:rsidP="00DB6585">
            <w:pPr>
              <w:pStyle w:val="TAL"/>
              <w:rPr>
                <w:lang w:eastAsia="ko-KR"/>
              </w:rPr>
            </w:pPr>
            <w:r w:rsidRPr="009C5807">
              <w:rPr>
                <w:lang w:eastAsia="ko-KR"/>
              </w:rPr>
              <w:t>dBm</w:t>
            </w:r>
          </w:p>
        </w:tc>
      </w:tr>
      <w:tr w:rsidR="001F5A79" w:rsidRPr="009C5807" w14:paraId="06BDD06C" w14:textId="77777777" w:rsidTr="00DF3064">
        <w:trPr>
          <w:trHeight w:val="300"/>
          <w:jc w:val="center"/>
        </w:trPr>
        <w:tc>
          <w:tcPr>
            <w:tcW w:w="1640" w:type="dxa"/>
            <w:shd w:val="clear" w:color="auto" w:fill="auto"/>
            <w:noWrap/>
          </w:tcPr>
          <w:p w14:paraId="6FEF4AF0" w14:textId="77777777" w:rsidR="001F5A79" w:rsidRPr="009C5807" w:rsidRDefault="001F5A79" w:rsidP="00DB6585">
            <w:pPr>
              <w:pStyle w:val="TAL"/>
              <w:rPr>
                <w:lang w:eastAsia="ko-KR"/>
              </w:rPr>
            </w:pPr>
            <w:r w:rsidRPr="009C5807">
              <w:rPr>
                <w:lang w:eastAsia="ko-KR"/>
              </w:rPr>
              <w:t>RSRP_118</w:t>
            </w:r>
          </w:p>
        </w:tc>
        <w:tc>
          <w:tcPr>
            <w:tcW w:w="2154" w:type="dxa"/>
            <w:shd w:val="clear" w:color="auto" w:fill="auto"/>
            <w:noWrap/>
          </w:tcPr>
          <w:p w14:paraId="4A1ABC8B" w14:textId="77777777" w:rsidR="001F5A79" w:rsidRPr="009C5807" w:rsidRDefault="001F5A79" w:rsidP="00DB6585">
            <w:pPr>
              <w:pStyle w:val="TAL"/>
              <w:rPr>
                <w:lang w:eastAsia="ko-KR"/>
              </w:rPr>
            </w:pPr>
            <w:r w:rsidRPr="009C5807">
              <w:rPr>
                <w:lang w:eastAsia="ko-KR"/>
              </w:rPr>
              <w:t>-39</w:t>
            </w:r>
            <w:r w:rsidRPr="009C5807">
              <w:rPr>
                <w:rFonts w:hint="eastAsia"/>
                <w:lang w:eastAsia="ko-KR"/>
              </w:rPr>
              <w:t>≤</w:t>
            </w:r>
            <w:r w:rsidRPr="009C5807">
              <w:t xml:space="preserve"> </w:t>
            </w:r>
            <w:r w:rsidRPr="009C5807">
              <w:rPr>
                <w:lang w:eastAsia="ko-KR"/>
              </w:rPr>
              <w:t>SS-RSRP&lt;-38</w:t>
            </w:r>
          </w:p>
        </w:tc>
        <w:tc>
          <w:tcPr>
            <w:tcW w:w="2268" w:type="dxa"/>
          </w:tcPr>
          <w:p w14:paraId="7EBFF4F0"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2524903A" w14:textId="77777777" w:rsidR="001F5A79" w:rsidRPr="009C5807" w:rsidRDefault="001F5A79" w:rsidP="00DB6585">
            <w:pPr>
              <w:pStyle w:val="TAL"/>
              <w:rPr>
                <w:lang w:eastAsia="ko-KR"/>
              </w:rPr>
            </w:pPr>
            <w:r w:rsidRPr="009C5807">
              <w:rPr>
                <w:lang w:eastAsia="ko-KR"/>
              </w:rPr>
              <w:t>dBm</w:t>
            </w:r>
          </w:p>
        </w:tc>
      </w:tr>
      <w:tr w:rsidR="001F5A79" w:rsidRPr="009C5807" w14:paraId="635423CF" w14:textId="77777777" w:rsidTr="00DF3064">
        <w:trPr>
          <w:trHeight w:val="300"/>
          <w:jc w:val="center"/>
        </w:trPr>
        <w:tc>
          <w:tcPr>
            <w:tcW w:w="1640" w:type="dxa"/>
            <w:shd w:val="clear" w:color="auto" w:fill="auto"/>
            <w:noWrap/>
          </w:tcPr>
          <w:p w14:paraId="3AF1806C" w14:textId="77777777" w:rsidR="001F5A79" w:rsidRPr="009C5807" w:rsidRDefault="001F5A79" w:rsidP="00DB6585">
            <w:pPr>
              <w:pStyle w:val="TAL"/>
              <w:rPr>
                <w:lang w:eastAsia="ko-KR"/>
              </w:rPr>
            </w:pPr>
            <w:r w:rsidRPr="009C5807">
              <w:rPr>
                <w:lang w:eastAsia="ko-KR"/>
              </w:rPr>
              <w:t>RSRP_119</w:t>
            </w:r>
          </w:p>
        </w:tc>
        <w:tc>
          <w:tcPr>
            <w:tcW w:w="2154" w:type="dxa"/>
            <w:shd w:val="clear" w:color="auto" w:fill="auto"/>
            <w:noWrap/>
          </w:tcPr>
          <w:p w14:paraId="5DD88A1F" w14:textId="77777777" w:rsidR="001F5A79" w:rsidRPr="009C5807" w:rsidRDefault="001F5A79" w:rsidP="00DB6585">
            <w:pPr>
              <w:pStyle w:val="TAL"/>
              <w:rPr>
                <w:lang w:eastAsia="ko-KR"/>
              </w:rPr>
            </w:pPr>
            <w:r w:rsidRPr="009C5807">
              <w:rPr>
                <w:lang w:eastAsia="ko-KR"/>
              </w:rPr>
              <w:t>-38</w:t>
            </w:r>
            <w:r w:rsidRPr="009C5807">
              <w:rPr>
                <w:rFonts w:hint="eastAsia"/>
                <w:lang w:eastAsia="ko-KR"/>
              </w:rPr>
              <w:t>≤</w:t>
            </w:r>
            <w:r w:rsidRPr="009C5807">
              <w:t xml:space="preserve"> </w:t>
            </w:r>
            <w:r w:rsidRPr="009C5807">
              <w:rPr>
                <w:lang w:eastAsia="ko-KR"/>
              </w:rPr>
              <w:t>SS-RSRP&lt;-37</w:t>
            </w:r>
          </w:p>
        </w:tc>
        <w:tc>
          <w:tcPr>
            <w:tcW w:w="2268" w:type="dxa"/>
          </w:tcPr>
          <w:p w14:paraId="5737ADC3"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0E11FE44" w14:textId="77777777" w:rsidR="001F5A79" w:rsidRPr="009C5807" w:rsidRDefault="001F5A79" w:rsidP="00DB6585">
            <w:pPr>
              <w:pStyle w:val="TAL"/>
              <w:rPr>
                <w:lang w:eastAsia="ko-KR"/>
              </w:rPr>
            </w:pPr>
            <w:r w:rsidRPr="009C5807">
              <w:rPr>
                <w:lang w:eastAsia="ko-KR"/>
              </w:rPr>
              <w:t>dBm</w:t>
            </w:r>
          </w:p>
        </w:tc>
      </w:tr>
      <w:tr w:rsidR="001F5A79" w:rsidRPr="009C5807" w14:paraId="7090928A" w14:textId="77777777" w:rsidTr="00DF3064">
        <w:trPr>
          <w:trHeight w:val="300"/>
          <w:jc w:val="center"/>
        </w:trPr>
        <w:tc>
          <w:tcPr>
            <w:tcW w:w="1640" w:type="dxa"/>
            <w:shd w:val="clear" w:color="auto" w:fill="auto"/>
            <w:noWrap/>
          </w:tcPr>
          <w:p w14:paraId="2DEEA360" w14:textId="77777777" w:rsidR="001F5A79" w:rsidRPr="009C5807" w:rsidRDefault="001F5A79" w:rsidP="00DB6585">
            <w:pPr>
              <w:pStyle w:val="TAL"/>
              <w:rPr>
                <w:lang w:eastAsia="ko-KR"/>
              </w:rPr>
            </w:pPr>
            <w:r w:rsidRPr="009C5807">
              <w:rPr>
                <w:lang w:eastAsia="ko-KR"/>
              </w:rPr>
              <w:t>RSRP_120</w:t>
            </w:r>
          </w:p>
        </w:tc>
        <w:tc>
          <w:tcPr>
            <w:tcW w:w="2154" w:type="dxa"/>
            <w:shd w:val="clear" w:color="auto" w:fill="auto"/>
            <w:noWrap/>
          </w:tcPr>
          <w:p w14:paraId="36FE7849" w14:textId="77777777" w:rsidR="001F5A79" w:rsidRPr="009C5807" w:rsidRDefault="001F5A79" w:rsidP="00DB6585">
            <w:pPr>
              <w:pStyle w:val="TAL"/>
              <w:rPr>
                <w:lang w:eastAsia="ko-KR"/>
              </w:rPr>
            </w:pPr>
            <w:r w:rsidRPr="009C5807">
              <w:rPr>
                <w:lang w:eastAsia="ko-KR"/>
              </w:rPr>
              <w:t>-37</w:t>
            </w:r>
            <w:r w:rsidRPr="009C5807">
              <w:rPr>
                <w:rFonts w:hint="eastAsia"/>
                <w:lang w:eastAsia="ko-KR"/>
              </w:rPr>
              <w:t>≤</w:t>
            </w:r>
            <w:r w:rsidRPr="009C5807">
              <w:t xml:space="preserve"> </w:t>
            </w:r>
            <w:r w:rsidRPr="009C5807">
              <w:rPr>
                <w:lang w:eastAsia="ko-KR"/>
              </w:rPr>
              <w:t>SS-RSRP&lt;-36</w:t>
            </w:r>
          </w:p>
        </w:tc>
        <w:tc>
          <w:tcPr>
            <w:tcW w:w="2268" w:type="dxa"/>
          </w:tcPr>
          <w:p w14:paraId="5B595D43"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0E5BBDE4" w14:textId="77777777" w:rsidR="001F5A79" w:rsidRPr="009C5807" w:rsidRDefault="001F5A79" w:rsidP="00DB6585">
            <w:pPr>
              <w:pStyle w:val="TAL"/>
              <w:rPr>
                <w:lang w:eastAsia="ko-KR"/>
              </w:rPr>
            </w:pPr>
            <w:r w:rsidRPr="009C5807">
              <w:rPr>
                <w:lang w:eastAsia="ko-KR"/>
              </w:rPr>
              <w:t>dBm</w:t>
            </w:r>
          </w:p>
        </w:tc>
      </w:tr>
      <w:tr w:rsidR="001F5A79" w:rsidRPr="009C5807" w14:paraId="55BC2993" w14:textId="77777777" w:rsidTr="00DF3064">
        <w:trPr>
          <w:trHeight w:val="300"/>
          <w:jc w:val="center"/>
        </w:trPr>
        <w:tc>
          <w:tcPr>
            <w:tcW w:w="1640" w:type="dxa"/>
            <w:shd w:val="clear" w:color="auto" w:fill="auto"/>
            <w:noWrap/>
          </w:tcPr>
          <w:p w14:paraId="7552B99B" w14:textId="77777777" w:rsidR="001F5A79" w:rsidRPr="009C5807" w:rsidRDefault="001F5A79" w:rsidP="00DB6585">
            <w:pPr>
              <w:pStyle w:val="TAL"/>
              <w:rPr>
                <w:lang w:eastAsia="ko-KR"/>
              </w:rPr>
            </w:pPr>
            <w:r w:rsidRPr="009C5807">
              <w:rPr>
                <w:lang w:eastAsia="ko-KR"/>
              </w:rPr>
              <w:t>RSRP_121</w:t>
            </w:r>
          </w:p>
        </w:tc>
        <w:tc>
          <w:tcPr>
            <w:tcW w:w="2154" w:type="dxa"/>
            <w:shd w:val="clear" w:color="auto" w:fill="auto"/>
            <w:noWrap/>
          </w:tcPr>
          <w:p w14:paraId="01A76AB8" w14:textId="77777777" w:rsidR="001F5A79" w:rsidRPr="009C5807" w:rsidRDefault="001F5A79" w:rsidP="00DB6585">
            <w:pPr>
              <w:pStyle w:val="TAL"/>
              <w:rPr>
                <w:lang w:eastAsia="ko-KR"/>
              </w:rPr>
            </w:pPr>
            <w:r w:rsidRPr="009C5807">
              <w:rPr>
                <w:lang w:eastAsia="ko-KR"/>
              </w:rPr>
              <w:t>-36</w:t>
            </w:r>
            <w:r w:rsidRPr="009C5807">
              <w:rPr>
                <w:rFonts w:hint="eastAsia"/>
                <w:lang w:eastAsia="ko-KR"/>
              </w:rPr>
              <w:t>≤</w:t>
            </w:r>
            <w:r w:rsidRPr="009C5807">
              <w:t xml:space="preserve"> </w:t>
            </w:r>
            <w:r w:rsidRPr="009C5807">
              <w:rPr>
                <w:lang w:eastAsia="ko-KR"/>
              </w:rPr>
              <w:t>SS-RSRP&lt;-35</w:t>
            </w:r>
          </w:p>
        </w:tc>
        <w:tc>
          <w:tcPr>
            <w:tcW w:w="2268" w:type="dxa"/>
          </w:tcPr>
          <w:p w14:paraId="0EB5CE9E"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6FC43899" w14:textId="77777777" w:rsidR="001F5A79" w:rsidRPr="009C5807" w:rsidRDefault="001F5A79" w:rsidP="00DB6585">
            <w:pPr>
              <w:pStyle w:val="TAL"/>
              <w:rPr>
                <w:lang w:eastAsia="ko-KR"/>
              </w:rPr>
            </w:pPr>
            <w:r w:rsidRPr="009C5807">
              <w:rPr>
                <w:lang w:eastAsia="ko-KR"/>
              </w:rPr>
              <w:t>dBm</w:t>
            </w:r>
          </w:p>
        </w:tc>
      </w:tr>
      <w:tr w:rsidR="001F5A79" w:rsidRPr="009C5807" w14:paraId="0714E8BD" w14:textId="77777777" w:rsidTr="00DF3064">
        <w:trPr>
          <w:trHeight w:val="300"/>
          <w:jc w:val="center"/>
        </w:trPr>
        <w:tc>
          <w:tcPr>
            <w:tcW w:w="1640" w:type="dxa"/>
            <w:shd w:val="clear" w:color="auto" w:fill="auto"/>
            <w:noWrap/>
          </w:tcPr>
          <w:p w14:paraId="2E93C27F" w14:textId="77777777" w:rsidR="001F5A79" w:rsidRPr="009C5807" w:rsidRDefault="001F5A79" w:rsidP="00DB6585">
            <w:pPr>
              <w:pStyle w:val="TAL"/>
              <w:rPr>
                <w:lang w:eastAsia="ko-KR"/>
              </w:rPr>
            </w:pPr>
            <w:r w:rsidRPr="009C5807">
              <w:rPr>
                <w:lang w:eastAsia="ko-KR"/>
              </w:rPr>
              <w:t>RSRP_122</w:t>
            </w:r>
          </w:p>
        </w:tc>
        <w:tc>
          <w:tcPr>
            <w:tcW w:w="2154" w:type="dxa"/>
            <w:shd w:val="clear" w:color="auto" w:fill="auto"/>
            <w:noWrap/>
          </w:tcPr>
          <w:p w14:paraId="759950A9" w14:textId="77777777" w:rsidR="001F5A79" w:rsidRPr="009C5807" w:rsidRDefault="001F5A79" w:rsidP="00DB6585">
            <w:pPr>
              <w:pStyle w:val="TAL"/>
              <w:rPr>
                <w:lang w:eastAsia="ko-KR"/>
              </w:rPr>
            </w:pPr>
            <w:r w:rsidRPr="009C5807">
              <w:rPr>
                <w:lang w:eastAsia="ko-KR"/>
              </w:rPr>
              <w:t>-35</w:t>
            </w:r>
            <w:r w:rsidRPr="009C5807">
              <w:rPr>
                <w:rFonts w:hint="eastAsia"/>
                <w:lang w:eastAsia="ko-KR"/>
              </w:rPr>
              <w:t>≤</w:t>
            </w:r>
            <w:r w:rsidRPr="009C5807">
              <w:t xml:space="preserve"> </w:t>
            </w:r>
            <w:r w:rsidRPr="009C5807">
              <w:rPr>
                <w:lang w:eastAsia="ko-KR"/>
              </w:rPr>
              <w:t>SS-RSRP&lt;-34</w:t>
            </w:r>
          </w:p>
        </w:tc>
        <w:tc>
          <w:tcPr>
            <w:tcW w:w="2268" w:type="dxa"/>
          </w:tcPr>
          <w:p w14:paraId="15B84B06"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5A22E0BF" w14:textId="77777777" w:rsidR="001F5A79" w:rsidRPr="009C5807" w:rsidRDefault="001F5A79" w:rsidP="00DB6585">
            <w:pPr>
              <w:pStyle w:val="TAL"/>
              <w:rPr>
                <w:lang w:eastAsia="ko-KR"/>
              </w:rPr>
            </w:pPr>
            <w:r w:rsidRPr="009C5807">
              <w:rPr>
                <w:lang w:eastAsia="ko-KR"/>
              </w:rPr>
              <w:t>dBm</w:t>
            </w:r>
          </w:p>
        </w:tc>
      </w:tr>
      <w:tr w:rsidR="001F5A79" w:rsidRPr="009C5807" w14:paraId="254BC156" w14:textId="77777777" w:rsidTr="00DF3064">
        <w:trPr>
          <w:trHeight w:val="300"/>
          <w:jc w:val="center"/>
        </w:trPr>
        <w:tc>
          <w:tcPr>
            <w:tcW w:w="1640" w:type="dxa"/>
            <w:shd w:val="clear" w:color="auto" w:fill="auto"/>
            <w:noWrap/>
          </w:tcPr>
          <w:p w14:paraId="48315CF9" w14:textId="77777777" w:rsidR="001F5A79" w:rsidRPr="009C5807" w:rsidRDefault="001F5A79" w:rsidP="00DB6585">
            <w:pPr>
              <w:pStyle w:val="TAL"/>
              <w:rPr>
                <w:lang w:eastAsia="ko-KR"/>
              </w:rPr>
            </w:pPr>
            <w:r w:rsidRPr="009C5807">
              <w:rPr>
                <w:lang w:eastAsia="ko-KR"/>
              </w:rPr>
              <w:t>RSRP_123</w:t>
            </w:r>
          </w:p>
        </w:tc>
        <w:tc>
          <w:tcPr>
            <w:tcW w:w="2154" w:type="dxa"/>
            <w:shd w:val="clear" w:color="auto" w:fill="auto"/>
            <w:noWrap/>
          </w:tcPr>
          <w:p w14:paraId="28C88CC8" w14:textId="77777777" w:rsidR="001F5A79" w:rsidRPr="009C5807" w:rsidRDefault="001F5A79" w:rsidP="00DB6585">
            <w:pPr>
              <w:pStyle w:val="TAL"/>
              <w:rPr>
                <w:lang w:eastAsia="ko-KR"/>
              </w:rPr>
            </w:pPr>
            <w:r w:rsidRPr="009C5807">
              <w:rPr>
                <w:lang w:eastAsia="ko-KR"/>
              </w:rPr>
              <w:t>-34</w:t>
            </w:r>
            <w:r w:rsidRPr="009C5807">
              <w:rPr>
                <w:rFonts w:hint="eastAsia"/>
                <w:lang w:eastAsia="ko-KR"/>
              </w:rPr>
              <w:t>≤</w:t>
            </w:r>
            <w:r w:rsidRPr="009C5807">
              <w:t xml:space="preserve"> </w:t>
            </w:r>
            <w:r w:rsidRPr="009C5807">
              <w:rPr>
                <w:lang w:eastAsia="ko-KR"/>
              </w:rPr>
              <w:t>SS-RSRP&lt;-33</w:t>
            </w:r>
          </w:p>
        </w:tc>
        <w:tc>
          <w:tcPr>
            <w:tcW w:w="2268" w:type="dxa"/>
          </w:tcPr>
          <w:p w14:paraId="30CDA3B5"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5C0E226E" w14:textId="77777777" w:rsidR="001F5A79" w:rsidRPr="009C5807" w:rsidRDefault="001F5A79" w:rsidP="00DB6585">
            <w:pPr>
              <w:pStyle w:val="TAL"/>
              <w:rPr>
                <w:lang w:eastAsia="ko-KR"/>
              </w:rPr>
            </w:pPr>
            <w:r w:rsidRPr="009C5807">
              <w:rPr>
                <w:lang w:eastAsia="ko-KR"/>
              </w:rPr>
              <w:t>dBm</w:t>
            </w:r>
          </w:p>
        </w:tc>
      </w:tr>
      <w:tr w:rsidR="001F5A79" w:rsidRPr="009C5807" w14:paraId="315D29A4" w14:textId="77777777" w:rsidTr="00DF3064">
        <w:trPr>
          <w:trHeight w:val="300"/>
          <w:jc w:val="center"/>
        </w:trPr>
        <w:tc>
          <w:tcPr>
            <w:tcW w:w="1640" w:type="dxa"/>
            <w:shd w:val="clear" w:color="auto" w:fill="auto"/>
            <w:noWrap/>
          </w:tcPr>
          <w:p w14:paraId="6644BEE1" w14:textId="77777777" w:rsidR="001F5A79" w:rsidRPr="009C5807" w:rsidRDefault="001F5A79" w:rsidP="00DB6585">
            <w:pPr>
              <w:pStyle w:val="TAL"/>
              <w:rPr>
                <w:lang w:eastAsia="ko-KR"/>
              </w:rPr>
            </w:pPr>
            <w:r w:rsidRPr="009C5807">
              <w:rPr>
                <w:lang w:eastAsia="ko-KR"/>
              </w:rPr>
              <w:t>RSRP_124</w:t>
            </w:r>
          </w:p>
        </w:tc>
        <w:tc>
          <w:tcPr>
            <w:tcW w:w="2154" w:type="dxa"/>
            <w:shd w:val="clear" w:color="auto" w:fill="auto"/>
            <w:noWrap/>
          </w:tcPr>
          <w:p w14:paraId="765BB83E" w14:textId="77777777" w:rsidR="001F5A79" w:rsidRPr="009C5807" w:rsidRDefault="001F5A79" w:rsidP="00DB6585">
            <w:pPr>
              <w:pStyle w:val="TAL"/>
              <w:rPr>
                <w:lang w:eastAsia="ko-KR"/>
              </w:rPr>
            </w:pPr>
            <w:r w:rsidRPr="009C5807">
              <w:rPr>
                <w:lang w:eastAsia="ko-KR"/>
              </w:rPr>
              <w:t>-33</w:t>
            </w:r>
            <w:r w:rsidRPr="009C5807">
              <w:rPr>
                <w:rFonts w:hint="eastAsia"/>
                <w:lang w:eastAsia="ko-KR"/>
              </w:rPr>
              <w:t>≤</w:t>
            </w:r>
            <w:r w:rsidRPr="009C5807">
              <w:t xml:space="preserve"> </w:t>
            </w:r>
            <w:r w:rsidRPr="009C5807">
              <w:rPr>
                <w:lang w:eastAsia="ko-KR"/>
              </w:rPr>
              <w:t>SS-RSRP&lt;-32</w:t>
            </w:r>
          </w:p>
        </w:tc>
        <w:tc>
          <w:tcPr>
            <w:tcW w:w="2268" w:type="dxa"/>
          </w:tcPr>
          <w:p w14:paraId="37B8220D"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tcPr>
          <w:p w14:paraId="2DFF2C8F" w14:textId="77777777" w:rsidR="001F5A79" w:rsidRPr="009C5807" w:rsidRDefault="001F5A79" w:rsidP="00DB6585">
            <w:pPr>
              <w:pStyle w:val="TAL"/>
              <w:rPr>
                <w:lang w:eastAsia="ko-KR"/>
              </w:rPr>
            </w:pPr>
            <w:r w:rsidRPr="009C5807">
              <w:rPr>
                <w:lang w:eastAsia="ko-KR"/>
              </w:rPr>
              <w:t>dBm</w:t>
            </w:r>
          </w:p>
        </w:tc>
      </w:tr>
      <w:tr w:rsidR="001F5A79" w:rsidRPr="009C5807" w14:paraId="385ED8AB" w14:textId="77777777" w:rsidTr="00DF3064">
        <w:trPr>
          <w:trHeight w:val="300"/>
          <w:jc w:val="center"/>
        </w:trPr>
        <w:tc>
          <w:tcPr>
            <w:tcW w:w="1640" w:type="dxa"/>
            <w:shd w:val="clear" w:color="auto" w:fill="auto"/>
            <w:noWrap/>
            <w:hideMark/>
          </w:tcPr>
          <w:p w14:paraId="5E133B30" w14:textId="77777777" w:rsidR="001F5A79" w:rsidRPr="009C5807" w:rsidRDefault="001F5A79" w:rsidP="00DB6585">
            <w:pPr>
              <w:pStyle w:val="TAL"/>
              <w:rPr>
                <w:lang w:eastAsia="ko-KR"/>
              </w:rPr>
            </w:pPr>
            <w:r w:rsidRPr="009C5807">
              <w:rPr>
                <w:lang w:eastAsia="ko-KR"/>
              </w:rPr>
              <w:t>RSRP_125</w:t>
            </w:r>
          </w:p>
        </w:tc>
        <w:tc>
          <w:tcPr>
            <w:tcW w:w="2154" w:type="dxa"/>
            <w:shd w:val="clear" w:color="auto" w:fill="auto"/>
            <w:noWrap/>
            <w:hideMark/>
          </w:tcPr>
          <w:p w14:paraId="22D28CA3" w14:textId="77777777" w:rsidR="001F5A79" w:rsidRPr="009C5807" w:rsidRDefault="001F5A79" w:rsidP="00DB6585">
            <w:pPr>
              <w:pStyle w:val="TAL"/>
              <w:rPr>
                <w:lang w:eastAsia="ko-KR"/>
              </w:rPr>
            </w:pPr>
            <w:r w:rsidRPr="009C5807">
              <w:rPr>
                <w:lang w:eastAsia="ko-KR"/>
              </w:rPr>
              <w:t>-32</w:t>
            </w:r>
            <w:r w:rsidRPr="009C5807">
              <w:rPr>
                <w:rFonts w:hint="eastAsia"/>
                <w:lang w:eastAsia="ko-KR"/>
              </w:rPr>
              <w:t>≤</w:t>
            </w:r>
            <w:r w:rsidRPr="009C5807">
              <w:t xml:space="preserve"> </w:t>
            </w:r>
            <w:r w:rsidRPr="009C5807">
              <w:rPr>
                <w:lang w:eastAsia="ko-KR"/>
              </w:rPr>
              <w:t>SS-RSRP&lt;-31</w:t>
            </w:r>
          </w:p>
        </w:tc>
        <w:tc>
          <w:tcPr>
            <w:tcW w:w="2268" w:type="dxa"/>
          </w:tcPr>
          <w:p w14:paraId="026A07C9"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38B950D5" w14:textId="77777777" w:rsidR="001F5A79" w:rsidRPr="009C5807" w:rsidRDefault="001F5A79" w:rsidP="00DB6585">
            <w:pPr>
              <w:pStyle w:val="TAL"/>
              <w:rPr>
                <w:lang w:eastAsia="ko-KR"/>
              </w:rPr>
            </w:pPr>
            <w:r w:rsidRPr="009C5807">
              <w:rPr>
                <w:lang w:eastAsia="ko-KR"/>
              </w:rPr>
              <w:t>dBm</w:t>
            </w:r>
          </w:p>
        </w:tc>
      </w:tr>
      <w:tr w:rsidR="001F5A79" w:rsidRPr="009C5807" w14:paraId="4B0EC5D3" w14:textId="77777777" w:rsidTr="00DF3064">
        <w:trPr>
          <w:trHeight w:val="300"/>
          <w:jc w:val="center"/>
        </w:trPr>
        <w:tc>
          <w:tcPr>
            <w:tcW w:w="1640" w:type="dxa"/>
            <w:shd w:val="clear" w:color="auto" w:fill="auto"/>
            <w:noWrap/>
            <w:hideMark/>
          </w:tcPr>
          <w:p w14:paraId="29AAE812" w14:textId="77777777" w:rsidR="001F5A79" w:rsidRPr="009C5807" w:rsidRDefault="001F5A79" w:rsidP="00DB6585">
            <w:pPr>
              <w:pStyle w:val="TAL"/>
              <w:rPr>
                <w:lang w:eastAsia="ko-KR"/>
              </w:rPr>
            </w:pPr>
            <w:r w:rsidRPr="009C5807">
              <w:rPr>
                <w:lang w:eastAsia="ko-KR"/>
              </w:rPr>
              <w:t>RSRP_126</w:t>
            </w:r>
          </w:p>
        </w:tc>
        <w:tc>
          <w:tcPr>
            <w:tcW w:w="2154" w:type="dxa"/>
            <w:shd w:val="clear" w:color="auto" w:fill="auto"/>
            <w:noWrap/>
            <w:hideMark/>
          </w:tcPr>
          <w:p w14:paraId="1C95CD1D" w14:textId="77777777" w:rsidR="001F5A79" w:rsidRPr="009C5807" w:rsidRDefault="001F5A79" w:rsidP="00DB6585">
            <w:pPr>
              <w:pStyle w:val="TAL"/>
              <w:rPr>
                <w:lang w:eastAsia="ko-KR"/>
              </w:rPr>
            </w:pPr>
            <w:r w:rsidRPr="009C5807">
              <w:rPr>
                <w:lang w:eastAsia="ko-KR"/>
              </w:rPr>
              <w:t>-31</w:t>
            </w:r>
            <w:r w:rsidRPr="009C5807">
              <w:rPr>
                <w:rFonts w:hint="eastAsia"/>
                <w:lang w:eastAsia="ko-KR"/>
              </w:rPr>
              <w:t>≤</w:t>
            </w:r>
            <w:r w:rsidRPr="009C5807">
              <w:t xml:space="preserve"> </w:t>
            </w:r>
            <w:r w:rsidRPr="009C5807">
              <w:rPr>
                <w:lang w:eastAsia="ko-KR"/>
              </w:rPr>
              <w:t>SS-RSRP</w:t>
            </w:r>
          </w:p>
        </w:tc>
        <w:tc>
          <w:tcPr>
            <w:tcW w:w="2268" w:type="dxa"/>
          </w:tcPr>
          <w:p w14:paraId="39EA8B75" w14:textId="77777777" w:rsidR="001F5A79" w:rsidRPr="009C5807" w:rsidRDefault="001F5A79" w:rsidP="00DB6585">
            <w:pPr>
              <w:pStyle w:val="TAL"/>
              <w:rPr>
                <w:lang w:eastAsia="ko-KR"/>
              </w:rPr>
            </w:pPr>
            <w:r w:rsidRPr="009C5807">
              <w:rPr>
                <w:lang w:eastAsia="ko-KR"/>
              </w:rPr>
              <w:t>Not valid</w:t>
            </w:r>
          </w:p>
        </w:tc>
        <w:tc>
          <w:tcPr>
            <w:tcW w:w="710" w:type="dxa"/>
            <w:shd w:val="clear" w:color="auto" w:fill="auto"/>
            <w:noWrap/>
            <w:hideMark/>
          </w:tcPr>
          <w:p w14:paraId="75F4CAA3" w14:textId="77777777" w:rsidR="001F5A79" w:rsidRPr="009C5807" w:rsidRDefault="001F5A79" w:rsidP="00DB6585">
            <w:pPr>
              <w:pStyle w:val="TAL"/>
              <w:rPr>
                <w:lang w:eastAsia="ko-KR"/>
              </w:rPr>
            </w:pPr>
            <w:r w:rsidRPr="009C5807">
              <w:rPr>
                <w:lang w:eastAsia="ko-KR"/>
              </w:rPr>
              <w:t>dBm</w:t>
            </w:r>
          </w:p>
        </w:tc>
      </w:tr>
      <w:tr w:rsidR="001F5A79" w:rsidRPr="009C5807" w14:paraId="339DF269" w14:textId="77777777" w:rsidTr="00DF3064">
        <w:trPr>
          <w:trHeight w:val="300"/>
          <w:jc w:val="center"/>
        </w:trPr>
        <w:tc>
          <w:tcPr>
            <w:tcW w:w="1640" w:type="dxa"/>
            <w:shd w:val="clear" w:color="auto" w:fill="auto"/>
            <w:noWrap/>
            <w:hideMark/>
          </w:tcPr>
          <w:p w14:paraId="10C81E2D" w14:textId="77777777" w:rsidR="001F5A79" w:rsidRPr="009C5807" w:rsidRDefault="001F5A79" w:rsidP="00DB6585">
            <w:pPr>
              <w:pStyle w:val="TAL"/>
              <w:rPr>
                <w:lang w:eastAsia="ko-KR"/>
              </w:rPr>
            </w:pPr>
            <w:r w:rsidRPr="009C5807">
              <w:rPr>
                <w:lang w:eastAsia="ko-KR"/>
              </w:rPr>
              <w:t xml:space="preserve">RSRP_127 </w:t>
            </w:r>
            <w:r w:rsidRPr="009C5807">
              <w:rPr>
                <w:lang w:eastAsia="zh-CN"/>
              </w:rPr>
              <w:t>(Note)</w:t>
            </w:r>
          </w:p>
        </w:tc>
        <w:tc>
          <w:tcPr>
            <w:tcW w:w="2154" w:type="dxa"/>
            <w:shd w:val="clear" w:color="auto" w:fill="auto"/>
            <w:noWrap/>
            <w:hideMark/>
          </w:tcPr>
          <w:p w14:paraId="683A54C0" w14:textId="77777777" w:rsidR="001F5A79" w:rsidRPr="009C5807" w:rsidRDefault="001F5A79" w:rsidP="00DB6585">
            <w:pPr>
              <w:pStyle w:val="TAL"/>
              <w:rPr>
                <w:lang w:eastAsia="ko-KR"/>
              </w:rPr>
            </w:pPr>
            <w:r w:rsidRPr="009C5807">
              <w:rPr>
                <w:lang w:eastAsia="ko-KR"/>
              </w:rPr>
              <w:t>Infinity</w:t>
            </w:r>
          </w:p>
        </w:tc>
        <w:tc>
          <w:tcPr>
            <w:tcW w:w="2268" w:type="dxa"/>
          </w:tcPr>
          <w:p w14:paraId="20D230A1" w14:textId="77777777" w:rsidR="001F5A79" w:rsidRPr="009C5807" w:rsidRDefault="001F5A79" w:rsidP="00DB6585">
            <w:pPr>
              <w:pStyle w:val="TAL"/>
              <w:rPr>
                <w:lang w:eastAsia="ko-KR"/>
              </w:rPr>
            </w:pPr>
            <w:r w:rsidRPr="009C5807">
              <w:rPr>
                <w:lang w:eastAsia="zh-CN"/>
              </w:rPr>
              <w:t>Infinity</w:t>
            </w:r>
          </w:p>
        </w:tc>
        <w:tc>
          <w:tcPr>
            <w:tcW w:w="710" w:type="dxa"/>
            <w:shd w:val="clear" w:color="auto" w:fill="auto"/>
            <w:noWrap/>
            <w:hideMark/>
          </w:tcPr>
          <w:p w14:paraId="3AA05306" w14:textId="77777777" w:rsidR="001F5A79" w:rsidRPr="009C5807" w:rsidRDefault="001F5A79" w:rsidP="00DB6585">
            <w:pPr>
              <w:pStyle w:val="TAL"/>
              <w:rPr>
                <w:lang w:eastAsia="ko-KR"/>
              </w:rPr>
            </w:pPr>
            <w:r w:rsidRPr="009C5807">
              <w:rPr>
                <w:lang w:eastAsia="ko-KR"/>
              </w:rPr>
              <w:t>dBm</w:t>
            </w:r>
          </w:p>
        </w:tc>
      </w:tr>
      <w:tr w:rsidR="001F5A79" w:rsidRPr="009C5807" w14:paraId="5FE7802E" w14:textId="77777777" w:rsidTr="00DF3064">
        <w:trPr>
          <w:trHeight w:val="300"/>
          <w:jc w:val="center"/>
        </w:trPr>
        <w:tc>
          <w:tcPr>
            <w:tcW w:w="6772" w:type="dxa"/>
            <w:gridSpan w:val="4"/>
            <w:shd w:val="clear" w:color="auto" w:fill="auto"/>
            <w:noWrap/>
          </w:tcPr>
          <w:p w14:paraId="4D6968D5" w14:textId="77777777" w:rsidR="001F5A79" w:rsidRPr="009C5807" w:rsidRDefault="001F5A79" w:rsidP="00DB6585">
            <w:pPr>
              <w:pStyle w:val="TAN"/>
              <w:rPr>
                <w:lang w:eastAsia="ko-KR"/>
              </w:rPr>
            </w:pPr>
            <w:r w:rsidRPr="009C5807">
              <w:rPr>
                <w:lang w:eastAsia="zh-CN"/>
              </w:rPr>
              <w:t>Note:</w:t>
            </w:r>
            <w:r w:rsidRPr="009C5807">
              <w:rPr>
                <w:sz w:val="28"/>
                <w:lang w:val="en-US"/>
              </w:rPr>
              <w:tab/>
            </w:r>
            <w:r w:rsidRPr="009C5807">
              <w:rPr>
                <w:lang w:eastAsia="zh-CN"/>
              </w:rPr>
              <w:t>The value of RSRP_127 is applicable for RSRP threshold configured by the network as defined in TS 38.331 [2], but not for the purpose of measurement reporting.</w:t>
            </w:r>
          </w:p>
        </w:tc>
      </w:tr>
    </w:tbl>
    <w:p w14:paraId="4F2D4585" w14:textId="77777777" w:rsidR="001F5A79" w:rsidRPr="009C5807" w:rsidRDefault="001F5A79" w:rsidP="001F5A79"/>
    <w:p w14:paraId="16D0CCDF" w14:textId="7EEC35CB" w:rsidR="001F5A79" w:rsidRPr="009C5807" w:rsidRDefault="001F5A79" w:rsidP="00EF1BE1">
      <w:pPr>
        <w:pStyle w:val="TH"/>
      </w:pPr>
      <w:r w:rsidRPr="009C5807">
        <w:t>Table 10.1.6.1-2: Differential SS-RSRP and CSI-RSRP measurement (for L1 reporting</w:t>
      </w:r>
      <w:r w:rsidR="00550E13" w:rsidRPr="00550E13">
        <w:rPr>
          <w:rFonts w:hint="eastAsia"/>
          <w:lang w:eastAsia="zh-CN"/>
        </w:rPr>
        <w:t xml:space="preserve"> </w:t>
      </w:r>
      <w:r w:rsidR="00550E13">
        <w:rPr>
          <w:rFonts w:hint="eastAsia"/>
          <w:lang w:eastAsia="zh-CN"/>
        </w:rPr>
        <w:t>and L3 reporting</w:t>
      </w:r>
      <w:r w:rsidRPr="009C5807">
        <w:t>)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3034"/>
        <w:gridCol w:w="883"/>
      </w:tblGrid>
      <w:tr w:rsidR="001F5A79" w:rsidRPr="009C5807" w14:paraId="022AB7D8" w14:textId="77777777" w:rsidTr="00DF3064">
        <w:trPr>
          <w:trHeight w:val="300"/>
          <w:jc w:val="center"/>
        </w:trPr>
        <w:tc>
          <w:tcPr>
            <w:tcW w:w="1817" w:type="dxa"/>
            <w:shd w:val="clear" w:color="auto" w:fill="auto"/>
            <w:noWrap/>
            <w:hideMark/>
          </w:tcPr>
          <w:p w14:paraId="63503A69" w14:textId="77777777" w:rsidR="001F5A79" w:rsidRPr="009C5807" w:rsidRDefault="001F5A79" w:rsidP="00DB6585">
            <w:pPr>
              <w:pStyle w:val="TAH"/>
              <w:rPr>
                <w:lang w:eastAsia="zh-CN"/>
              </w:rPr>
            </w:pPr>
            <w:r w:rsidRPr="009C5807">
              <w:rPr>
                <w:lang w:eastAsia="zh-CN"/>
              </w:rPr>
              <w:t>Reported value</w:t>
            </w:r>
          </w:p>
        </w:tc>
        <w:tc>
          <w:tcPr>
            <w:tcW w:w="3034" w:type="dxa"/>
          </w:tcPr>
          <w:p w14:paraId="17DDBF37" w14:textId="77777777" w:rsidR="001F5A79" w:rsidRPr="009C5807" w:rsidRDefault="001F5A79" w:rsidP="00DB6585">
            <w:pPr>
              <w:pStyle w:val="TAH"/>
              <w:rPr>
                <w:lang w:eastAsia="zh-CN"/>
              </w:rPr>
            </w:pPr>
            <w:r w:rsidRPr="009C5807">
              <w:rPr>
                <w:lang w:eastAsia="zh-CN"/>
              </w:rPr>
              <w:t>Measured quantity value (difference in measured RSRP from strongest RSRP)</w:t>
            </w:r>
          </w:p>
        </w:tc>
        <w:tc>
          <w:tcPr>
            <w:tcW w:w="883" w:type="dxa"/>
            <w:shd w:val="clear" w:color="auto" w:fill="auto"/>
            <w:noWrap/>
            <w:hideMark/>
          </w:tcPr>
          <w:p w14:paraId="30FD5821" w14:textId="77777777" w:rsidR="001F5A79" w:rsidRPr="009C5807" w:rsidRDefault="001F5A79" w:rsidP="00DB6585">
            <w:pPr>
              <w:pStyle w:val="TAH"/>
              <w:rPr>
                <w:lang w:eastAsia="zh-CN"/>
              </w:rPr>
            </w:pPr>
            <w:r w:rsidRPr="009C5807">
              <w:rPr>
                <w:lang w:eastAsia="zh-CN"/>
              </w:rPr>
              <w:t>Unit</w:t>
            </w:r>
          </w:p>
        </w:tc>
      </w:tr>
      <w:tr w:rsidR="001F5A79" w:rsidRPr="009C5807" w14:paraId="3D74581C" w14:textId="77777777" w:rsidTr="00DF3064">
        <w:trPr>
          <w:trHeight w:val="300"/>
          <w:jc w:val="center"/>
        </w:trPr>
        <w:tc>
          <w:tcPr>
            <w:tcW w:w="1817" w:type="dxa"/>
            <w:shd w:val="clear" w:color="auto" w:fill="auto"/>
            <w:noWrap/>
            <w:hideMark/>
          </w:tcPr>
          <w:p w14:paraId="3BDB8261" w14:textId="77777777" w:rsidR="001F5A79" w:rsidRPr="009C5807" w:rsidRDefault="001F5A79" w:rsidP="00DB6585">
            <w:pPr>
              <w:pStyle w:val="TAL"/>
              <w:rPr>
                <w:lang w:eastAsia="zh-CN"/>
              </w:rPr>
            </w:pPr>
            <w:r w:rsidRPr="009C5807">
              <w:rPr>
                <w:lang w:eastAsia="zh-CN"/>
              </w:rPr>
              <w:t>DIFFRSRP_0</w:t>
            </w:r>
          </w:p>
        </w:tc>
        <w:tc>
          <w:tcPr>
            <w:tcW w:w="3034" w:type="dxa"/>
          </w:tcPr>
          <w:p w14:paraId="6F25A3D2" w14:textId="77777777" w:rsidR="001F5A79" w:rsidRPr="009C5807" w:rsidRDefault="001F5A79" w:rsidP="00DB6585">
            <w:pPr>
              <w:pStyle w:val="TAL"/>
              <w:rPr>
                <w:lang w:eastAsia="zh-CN"/>
              </w:rPr>
            </w:pPr>
            <w:r w:rsidRPr="009C5807">
              <w:rPr>
                <w:lang w:eastAsia="zh-CN"/>
              </w:rPr>
              <w:t>0</w:t>
            </w:r>
            <w:r w:rsidRPr="009C5807">
              <w:rPr>
                <w:rFonts w:hint="eastAsia"/>
                <w:lang w:eastAsia="zh-CN"/>
              </w:rPr>
              <w:t>≥Δ</w:t>
            </w:r>
            <w:r w:rsidRPr="009C5807">
              <w:rPr>
                <w:lang w:eastAsia="zh-CN"/>
              </w:rPr>
              <w:t>RSRP&gt;-2</w:t>
            </w:r>
          </w:p>
        </w:tc>
        <w:tc>
          <w:tcPr>
            <w:tcW w:w="883" w:type="dxa"/>
            <w:shd w:val="clear" w:color="auto" w:fill="auto"/>
            <w:noWrap/>
            <w:hideMark/>
          </w:tcPr>
          <w:p w14:paraId="120AA54E" w14:textId="77777777" w:rsidR="001F5A79" w:rsidRPr="009C5807" w:rsidRDefault="001F5A79" w:rsidP="00DB6585">
            <w:pPr>
              <w:pStyle w:val="TAL"/>
              <w:rPr>
                <w:lang w:eastAsia="zh-CN"/>
              </w:rPr>
            </w:pPr>
            <w:r w:rsidRPr="009C5807">
              <w:rPr>
                <w:lang w:eastAsia="zh-CN"/>
              </w:rPr>
              <w:t>dB</w:t>
            </w:r>
          </w:p>
        </w:tc>
      </w:tr>
      <w:tr w:rsidR="001F5A79" w:rsidRPr="009C5807" w14:paraId="401240BF" w14:textId="77777777" w:rsidTr="00DF3064">
        <w:trPr>
          <w:trHeight w:val="300"/>
          <w:jc w:val="center"/>
        </w:trPr>
        <w:tc>
          <w:tcPr>
            <w:tcW w:w="1817" w:type="dxa"/>
            <w:shd w:val="clear" w:color="auto" w:fill="auto"/>
            <w:noWrap/>
          </w:tcPr>
          <w:p w14:paraId="3364FB8C" w14:textId="77777777" w:rsidR="001F5A79" w:rsidRPr="009C5807" w:rsidRDefault="001F5A79" w:rsidP="00DB6585">
            <w:pPr>
              <w:pStyle w:val="TAL"/>
              <w:rPr>
                <w:lang w:eastAsia="zh-CN"/>
              </w:rPr>
            </w:pPr>
            <w:r w:rsidRPr="009C5807">
              <w:rPr>
                <w:lang w:eastAsia="zh-CN"/>
              </w:rPr>
              <w:t>DIFFRSRP_1</w:t>
            </w:r>
          </w:p>
        </w:tc>
        <w:tc>
          <w:tcPr>
            <w:tcW w:w="3034" w:type="dxa"/>
          </w:tcPr>
          <w:p w14:paraId="4412E760" w14:textId="77777777" w:rsidR="001F5A79" w:rsidRPr="009C5807" w:rsidRDefault="001F5A79" w:rsidP="00DB6585">
            <w:pPr>
              <w:pStyle w:val="TAL"/>
              <w:rPr>
                <w:lang w:eastAsia="zh-CN"/>
              </w:rPr>
            </w:pPr>
            <w:r w:rsidRPr="009C5807">
              <w:rPr>
                <w:lang w:eastAsia="zh-CN"/>
              </w:rPr>
              <w:t>-2</w:t>
            </w:r>
            <w:r w:rsidRPr="009C5807">
              <w:rPr>
                <w:rFonts w:hint="eastAsia"/>
                <w:lang w:eastAsia="zh-CN"/>
              </w:rPr>
              <w:t>≥Δ</w:t>
            </w:r>
            <w:r w:rsidRPr="009C5807">
              <w:rPr>
                <w:lang w:eastAsia="zh-CN"/>
              </w:rPr>
              <w:t>RSRP&gt;-4</w:t>
            </w:r>
          </w:p>
        </w:tc>
        <w:tc>
          <w:tcPr>
            <w:tcW w:w="883" w:type="dxa"/>
            <w:shd w:val="clear" w:color="auto" w:fill="auto"/>
            <w:noWrap/>
          </w:tcPr>
          <w:p w14:paraId="24432C96" w14:textId="77777777" w:rsidR="001F5A79" w:rsidRPr="009C5807" w:rsidRDefault="001F5A79" w:rsidP="00DB6585">
            <w:pPr>
              <w:pStyle w:val="TAL"/>
              <w:rPr>
                <w:lang w:eastAsia="zh-CN"/>
              </w:rPr>
            </w:pPr>
            <w:r w:rsidRPr="009C5807">
              <w:rPr>
                <w:lang w:eastAsia="zh-CN"/>
              </w:rPr>
              <w:t>dB</w:t>
            </w:r>
          </w:p>
        </w:tc>
      </w:tr>
      <w:tr w:rsidR="001F5A79" w:rsidRPr="009C5807" w14:paraId="180B1A58" w14:textId="77777777" w:rsidTr="00DF3064">
        <w:trPr>
          <w:trHeight w:val="300"/>
          <w:jc w:val="center"/>
        </w:trPr>
        <w:tc>
          <w:tcPr>
            <w:tcW w:w="1817" w:type="dxa"/>
            <w:shd w:val="clear" w:color="auto" w:fill="auto"/>
            <w:noWrap/>
          </w:tcPr>
          <w:p w14:paraId="174AB974" w14:textId="77777777" w:rsidR="001F5A79" w:rsidRPr="009C5807" w:rsidRDefault="001F5A79" w:rsidP="00DB6585">
            <w:pPr>
              <w:pStyle w:val="TAL"/>
              <w:rPr>
                <w:lang w:eastAsia="zh-CN"/>
              </w:rPr>
            </w:pPr>
            <w:r w:rsidRPr="009C5807">
              <w:rPr>
                <w:lang w:eastAsia="zh-CN"/>
              </w:rPr>
              <w:t>DIFFRSRP_2</w:t>
            </w:r>
          </w:p>
        </w:tc>
        <w:tc>
          <w:tcPr>
            <w:tcW w:w="3034" w:type="dxa"/>
          </w:tcPr>
          <w:p w14:paraId="28B9575B" w14:textId="77777777" w:rsidR="001F5A79" w:rsidRPr="009C5807" w:rsidRDefault="001F5A79" w:rsidP="00DB6585">
            <w:pPr>
              <w:pStyle w:val="TAL"/>
              <w:rPr>
                <w:lang w:eastAsia="zh-CN"/>
              </w:rPr>
            </w:pPr>
            <w:r w:rsidRPr="009C5807">
              <w:rPr>
                <w:lang w:eastAsia="zh-CN"/>
              </w:rPr>
              <w:t>-4</w:t>
            </w:r>
            <w:r w:rsidRPr="009C5807">
              <w:rPr>
                <w:rFonts w:hint="eastAsia"/>
                <w:lang w:eastAsia="zh-CN"/>
              </w:rPr>
              <w:t>≥Δ</w:t>
            </w:r>
            <w:r w:rsidRPr="009C5807">
              <w:rPr>
                <w:lang w:eastAsia="zh-CN"/>
              </w:rPr>
              <w:t>RSRP&gt;-6</w:t>
            </w:r>
          </w:p>
        </w:tc>
        <w:tc>
          <w:tcPr>
            <w:tcW w:w="883" w:type="dxa"/>
            <w:shd w:val="clear" w:color="auto" w:fill="auto"/>
            <w:noWrap/>
          </w:tcPr>
          <w:p w14:paraId="69590B15" w14:textId="77777777" w:rsidR="001F5A79" w:rsidRPr="009C5807" w:rsidRDefault="001F5A79" w:rsidP="00DB6585">
            <w:pPr>
              <w:pStyle w:val="TAL"/>
              <w:rPr>
                <w:lang w:eastAsia="zh-CN"/>
              </w:rPr>
            </w:pPr>
            <w:r w:rsidRPr="009C5807">
              <w:rPr>
                <w:lang w:eastAsia="zh-CN"/>
              </w:rPr>
              <w:t>dB</w:t>
            </w:r>
          </w:p>
        </w:tc>
      </w:tr>
      <w:tr w:rsidR="001F5A79" w:rsidRPr="009C5807" w14:paraId="1A6C2BCE" w14:textId="77777777" w:rsidTr="00DF3064">
        <w:trPr>
          <w:trHeight w:val="300"/>
          <w:jc w:val="center"/>
        </w:trPr>
        <w:tc>
          <w:tcPr>
            <w:tcW w:w="1817" w:type="dxa"/>
            <w:shd w:val="clear" w:color="auto" w:fill="auto"/>
            <w:noWrap/>
          </w:tcPr>
          <w:p w14:paraId="7CFE6327" w14:textId="77777777" w:rsidR="001F5A79" w:rsidRPr="009C5807" w:rsidRDefault="001F5A79" w:rsidP="00DB6585">
            <w:pPr>
              <w:pStyle w:val="TAL"/>
              <w:rPr>
                <w:lang w:eastAsia="zh-CN"/>
              </w:rPr>
            </w:pPr>
            <w:r w:rsidRPr="009C5807">
              <w:rPr>
                <w:lang w:eastAsia="zh-CN"/>
              </w:rPr>
              <w:t>DIFFRSRP_3</w:t>
            </w:r>
          </w:p>
        </w:tc>
        <w:tc>
          <w:tcPr>
            <w:tcW w:w="3034" w:type="dxa"/>
          </w:tcPr>
          <w:p w14:paraId="462ED06B" w14:textId="77777777" w:rsidR="001F5A79" w:rsidRPr="009C5807" w:rsidRDefault="001F5A79" w:rsidP="00DB6585">
            <w:pPr>
              <w:pStyle w:val="TAL"/>
              <w:rPr>
                <w:lang w:eastAsia="zh-CN"/>
              </w:rPr>
            </w:pPr>
            <w:r w:rsidRPr="009C5807">
              <w:rPr>
                <w:lang w:eastAsia="zh-CN"/>
              </w:rPr>
              <w:t>-6</w:t>
            </w:r>
            <w:r w:rsidRPr="009C5807">
              <w:rPr>
                <w:rFonts w:hint="eastAsia"/>
                <w:lang w:eastAsia="zh-CN"/>
              </w:rPr>
              <w:t>≥Δ</w:t>
            </w:r>
            <w:r w:rsidRPr="009C5807">
              <w:rPr>
                <w:lang w:eastAsia="zh-CN"/>
              </w:rPr>
              <w:t>RSRP&gt;-8</w:t>
            </w:r>
          </w:p>
        </w:tc>
        <w:tc>
          <w:tcPr>
            <w:tcW w:w="883" w:type="dxa"/>
            <w:shd w:val="clear" w:color="auto" w:fill="auto"/>
            <w:noWrap/>
          </w:tcPr>
          <w:p w14:paraId="0CFE7F74" w14:textId="77777777" w:rsidR="001F5A79" w:rsidRPr="009C5807" w:rsidRDefault="001F5A79" w:rsidP="00DB6585">
            <w:pPr>
              <w:pStyle w:val="TAL"/>
              <w:rPr>
                <w:lang w:eastAsia="zh-CN"/>
              </w:rPr>
            </w:pPr>
            <w:r w:rsidRPr="009C5807">
              <w:rPr>
                <w:lang w:eastAsia="zh-CN"/>
              </w:rPr>
              <w:t>dB</w:t>
            </w:r>
          </w:p>
        </w:tc>
      </w:tr>
      <w:tr w:rsidR="001F5A79" w:rsidRPr="009C5807" w14:paraId="02C63D99" w14:textId="77777777" w:rsidTr="00DF3064">
        <w:trPr>
          <w:trHeight w:val="300"/>
          <w:jc w:val="center"/>
        </w:trPr>
        <w:tc>
          <w:tcPr>
            <w:tcW w:w="1817" w:type="dxa"/>
            <w:shd w:val="clear" w:color="auto" w:fill="auto"/>
            <w:noWrap/>
          </w:tcPr>
          <w:p w14:paraId="42D94D2F" w14:textId="77777777" w:rsidR="001F5A79" w:rsidRPr="009C5807" w:rsidRDefault="001F5A79" w:rsidP="00DB6585">
            <w:pPr>
              <w:pStyle w:val="TAL"/>
              <w:rPr>
                <w:lang w:eastAsia="zh-CN"/>
              </w:rPr>
            </w:pPr>
            <w:r w:rsidRPr="009C5807">
              <w:rPr>
                <w:lang w:eastAsia="zh-CN"/>
              </w:rPr>
              <w:t>DIFFRSRP_4</w:t>
            </w:r>
          </w:p>
        </w:tc>
        <w:tc>
          <w:tcPr>
            <w:tcW w:w="3034" w:type="dxa"/>
          </w:tcPr>
          <w:p w14:paraId="2572EBA1" w14:textId="77777777" w:rsidR="001F5A79" w:rsidRPr="009C5807" w:rsidRDefault="001F5A79" w:rsidP="00DB6585">
            <w:pPr>
              <w:pStyle w:val="TAL"/>
              <w:rPr>
                <w:lang w:eastAsia="zh-CN"/>
              </w:rPr>
            </w:pPr>
            <w:r w:rsidRPr="009C5807">
              <w:rPr>
                <w:lang w:eastAsia="zh-CN"/>
              </w:rPr>
              <w:t>-8</w:t>
            </w:r>
            <w:r w:rsidRPr="009C5807">
              <w:rPr>
                <w:rFonts w:hint="eastAsia"/>
                <w:lang w:eastAsia="zh-CN"/>
              </w:rPr>
              <w:t>≥Δ</w:t>
            </w:r>
            <w:r w:rsidRPr="009C5807">
              <w:rPr>
                <w:lang w:eastAsia="zh-CN"/>
              </w:rPr>
              <w:t>RSRP&gt;-10</w:t>
            </w:r>
          </w:p>
        </w:tc>
        <w:tc>
          <w:tcPr>
            <w:tcW w:w="883" w:type="dxa"/>
            <w:shd w:val="clear" w:color="auto" w:fill="auto"/>
            <w:noWrap/>
          </w:tcPr>
          <w:p w14:paraId="44C63403" w14:textId="77777777" w:rsidR="001F5A79" w:rsidRPr="009C5807" w:rsidRDefault="001F5A79" w:rsidP="00DB6585">
            <w:pPr>
              <w:pStyle w:val="TAL"/>
              <w:rPr>
                <w:lang w:eastAsia="zh-CN"/>
              </w:rPr>
            </w:pPr>
            <w:r w:rsidRPr="009C5807">
              <w:rPr>
                <w:lang w:eastAsia="zh-CN"/>
              </w:rPr>
              <w:t>dB</w:t>
            </w:r>
          </w:p>
        </w:tc>
      </w:tr>
      <w:tr w:rsidR="001F5A79" w:rsidRPr="009C5807" w14:paraId="6A324CA5" w14:textId="77777777" w:rsidTr="00DF3064">
        <w:trPr>
          <w:trHeight w:val="300"/>
          <w:jc w:val="center"/>
        </w:trPr>
        <w:tc>
          <w:tcPr>
            <w:tcW w:w="1817" w:type="dxa"/>
            <w:shd w:val="clear" w:color="auto" w:fill="auto"/>
            <w:noWrap/>
          </w:tcPr>
          <w:p w14:paraId="0A35B648" w14:textId="77777777" w:rsidR="001F5A79" w:rsidRPr="009C5807" w:rsidRDefault="001F5A79" w:rsidP="00DB6585">
            <w:pPr>
              <w:pStyle w:val="TAL"/>
              <w:rPr>
                <w:lang w:eastAsia="zh-CN"/>
              </w:rPr>
            </w:pPr>
            <w:r w:rsidRPr="009C5807">
              <w:rPr>
                <w:lang w:eastAsia="zh-CN"/>
              </w:rPr>
              <w:t>DIFFRSRP_5</w:t>
            </w:r>
          </w:p>
        </w:tc>
        <w:tc>
          <w:tcPr>
            <w:tcW w:w="3034" w:type="dxa"/>
          </w:tcPr>
          <w:p w14:paraId="499E9544" w14:textId="77777777" w:rsidR="001F5A79" w:rsidRPr="009C5807" w:rsidRDefault="001F5A79" w:rsidP="00DB6585">
            <w:pPr>
              <w:pStyle w:val="TAL"/>
              <w:rPr>
                <w:lang w:eastAsia="zh-CN"/>
              </w:rPr>
            </w:pPr>
            <w:r w:rsidRPr="009C5807">
              <w:rPr>
                <w:lang w:eastAsia="zh-CN"/>
              </w:rPr>
              <w:t>-10</w:t>
            </w:r>
            <w:r w:rsidRPr="009C5807">
              <w:rPr>
                <w:rFonts w:hint="eastAsia"/>
                <w:lang w:eastAsia="zh-CN"/>
              </w:rPr>
              <w:t>≥Δ</w:t>
            </w:r>
            <w:r w:rsidRPr="009C5807">
              <w:rPr>
                <w:lang w:eastAsia="zh-CN"/>
              </w:rPr>
              <w:t>RSRP&gt;-12</w:t>
            </w:r>
          </w:p>
        </w:tc>
        <w:tc>
          <w:tcPr>
            <w:tcW w:w="883" w:type="dxa"/>
            <w:shd w:val="clear" w:color="auto" w:fill="auto"/>
            <w:noWrap/>
          </w:tcPr>
          <w:p w14:paraId="63D12982" w14:textId="77777777" w:rsidR="001F5A79" w:rsidRPr="009C5807" w:rsidRDefault="001F5A79" w:rsidP="00DB6585">
            <w:pPr>
              <w:pStyle w:val="TAL"/>
              <w:rPr>
                <w:lang w:eastAsia="zh-CN"/>
              </w:rPr>
            </w:pPr>
            <w:r w:rsidRPr="009C5807">
              <w:rPr>
                <w:lang w:eastAsia="zh-CN"/>
              </w:rPr>
              <w:t>dB</w:t>
            </w:r>
          </w:p>
        </w:tc>
      </w:tr>
      <w:tr w:rsidR="001F5A79" w:rsidRPr="009C5807" w14:paraId="57233116" w14:textId="77777777" w:rsidTr="00DF3064">
        <w:trPr>
          <w:trHeight w:val="300"/>
          <w:jc w:val="center"/>
        </w:trPr>
        <w:tc>
          <w:tcPr>
            <w:tcW w:w="1817" w:type="dxa"/>
            <w:shd w:val="clear" w:color="auto" w:fill="auto"/>
            <w:noWrap/>
          </w:tcPr>
          <w:p w14:paraId="26B34FC7" w14:textId="77777777" w:rsidR="001F5A79" w:rsidRPr="009C5807" w:rsidRDefault="001F5A79" w:rsidP="00DB6585">
            <w:pPr>
              <w:pStyle w:val="TAL"/>
              <w:rPr>
                <w:lang w:eastAsia="zh-CN"/>
              </w:rPr>
            </w:pPr>
            <w:r w:rsidRPr="009C5807">
              <w:rPr>
                <w:lang w:eastAsia="zh-CN"/>
              </w:rPr>
              <w:t>DIFFRSRP_6</w:t>
            </w:r>
          </w:p>
        </w:tc>
        <w:tc>
          <w:tcPr>
            <w:tcW w:w="3034" w:type="dxa"/>
          </w:tcPr>
          <w:p w14:paraId="4808461B" w14:textId="77777777" w:rsidR="001F5A79" w:rsidRPr="009C5807" w:rsidRDefault="001F5A79" w:rsidP="00DB6585">
            <w:pPr>
              <w:pStyle w:val="TAL"/>
              <w:rPr>
                <w:lang w:eastAsia="zh-CN"/>
              </w:rPr>
            </w:pPr>
            <w:r w:rsidRPr="009C5807">
              <w:rPr>
                <w:lang w:eastAsia="zh-CN"/>
              </w:rPr>
              <w:t>-12</w:t>
            </w:r>
            <w:r w:rsidRPr="009C5807">
              <w:rPr>
                <w:rFonts w:hint="eastAsia"/>
                <w:lang w:eastAsia="zh-CN"/>
              </w:rPr>
              <w:t>≥Δ</w:t>
            </w:r>
            <w:r w:rsidRPr="009C5807">
              <w:rPr>
                <w:lang w:eastAsia="zh-CN"/>
              </w:rPr>
              <w:t>RSRP&gt;-14</w:t>
            </w:r>
          </w:p>
        </w:tc>
        <w:tc>
          <w:tcPr>
            <w:tcW w:w="883" w:type="dxa"/>
            <w:shd w:val="clear" w:color="auto" w:fill="auto"/>
            <w:noWrap/>
          </w:tcPr>
          <w:p w14:paraId="00765839" w14:textId="77777777" w:rsidR="001F5A79" w:rsidRPr="009C5807" w:rsidRDefault="001F5A79" w:rsidP="00DB6585">
            <w:pPr>
              <w:pStyle w:val="TAL"/>
              <w:rPr>
                <w:lang w:eastAsia="zh-CN"/>
              </w:rPr>
            </w:pPr>
            <w:r w:rsidRPr="009C5807">
              <w:rPr>
                <w:lang w:eastAsia="zh-CN"/>
              </w:rPr>
              <w:t>dB</w:t>
            </w:r>
          </w:p>
        </w:tc>
      </w:tr>
      <w:tr w:rsidR="001F5A79" w:rsidRPr="009C5807" w14:paraId="59A247FD" w14:textId="77777777" w:rsidTr="00DF3064">
        <w:trPr>
          <w:trHeight w:val="300"/>
          <w:jc w:val="center"/>
        </w:trPr>
        <w:tc>
          <w:tcPr>
            <w:tcW w:w="1817" w:type="dxa"/>
            <w:shd w:val="clear" w:color="auto" w:fill="auto"/>
            <w:noWrap/>
          </w:tcPr>
          <w:p w14:paraId="7C1F038A" w14:textId="77777777" w:rsidR="001F5A79" w:rsidRPr="009C5807" w:rsidRDefault="001F5A79" w:rsidP="00DB6585">
            <w:pPr>
              <w:pStyle w:val="TAL"/>
              <w:rPr>
                <w:lang w:eastAsia="zh-CN"/>
              </w:rPr>
            </w:pPr>
            <w:r w:rsidRPr="009C5807">
              <w:rPr>
                <w:lang w:eastAsia="zh-CN"/>
              </w:rPr>
              <w:t>DIFFRSRP_7</w:t>
            </w:r>
          </w:p>
        </w:tc>
        <w:tc>
          <w:tcPr>
            <w:tcW w:w="3034" w:type="dxa"/>
          </w:tcPr>
          <w:p w14:paraId="4CD7B5AD" w14:textId="77777777" w:rsidR="001F5A79" w:rsidRPr="009C5807" w:rsidRDefault="001F5A79" w:rsidP="00DB6585">
            <w:pPr>
              <w:pStyle w:val="TAL"/>
              <w:rPr>
                <w:lang w:eastAsia="zh-CN"/>
              </w:rPr>
            </w:pPr>
            <w:r w:rsidRPr="009C5807">
              <w:rPr>
                <w:lang w:eastAsia="zh-CN"/>
              </w:rPr>
              <w:t>-14</w:t>
            </w:r>
            <w:r w:rsidRPr="009C5807">
              <w:rPr>
                <w:rFonts w:hint="eastAsia"/>
                <w:lang w:eastAsia="zh-CN"/>
              </w:rPr>
              <w:t>≥Δ</w:t>
            </w:r>
            <w:r w:rsidRPr="009C5807">
              <w:rPr>
                <w:lang w:eastAsia="zh-CN"/>
              </w:rPr>
              <w:t>RSRP&gt;-16</w:t>
            </w:r>
          </w:p>
        </w:tc>
        <w:tc>
          <w:tcPr>
            <w:tcW w:w="883" w:type="dxa"/>
            <w:shd w:val="clear" w:color="auto" w:fill="auto"/>
            <w:noWrap/>
          </w:tcPr>
          <w:p w14:paraId="0A618119" w14:textId="77777777" w:rsidR="001F5A79" w:rsidRPr="009C5807" w:rsidRDefault="001F5A79" w:rsidP="00DB6585">
            <w:pPr>
              <w:pStyle w:val="TAL"/>
              <w:rPr>
                <w:lang w:eastAsia="zh-CN"/>
              </w:rPr>
            </w:pPr>
            <w:r w:rsidRPr="009C5807">
              <w:rPr>
                <w:lang w:eastAsia="zh-CN"/>
              </w:rPr>
              <w:t>dB</w:t>
            </w:r>
          </w:p>
        </w:tc>
      </w:tr>
      <w:tr w:rsidR="001F5A79" w:rsidRPr="009C5807" w14:paraId="1FC4D32D" w14:textId="77777777" w:rsidTr="00DF3064">
        <w:trPr>
          <w:trHeight w:val="300"/>
          <w:jc w:val="center"/>
        </w:trPr>
        <w:tc>
          <w:tcPr>
            <w:tcW w:w="1817" w:type="dxa"/>
            <w:shd w:val="clear" w:color="auto" w:fill="auto"/>
            <w:noWrap/>
          </w:tcPr>
          <w:p w14:paraId="41B09FAF" w14:textId="77777777" w:rsidR="001F5A79" w:rsidRPr="009C5807" w:rsidRDefault="001F5A79" w:rsidP="00DB6585">
            <w:pPr>
              <w:pStyle w:val="TAL"/>
              <w:rPr>
                <w:lang w:eastAsia="zh-CN"/>
              </w:rPr>
            </w:pPr>
            <w:r w:rsidRPr="009C5807">
              <w:rPr>
                <w:lang w:eastAsia="zh-CN"/>
              </w:rPr>
              <w:t>DIFFRSRP_8</w:t>
            </w:r>
          </w:p>
        </w:tc>
        <w:tc>
          <w:tcPr>
            <w:tcW w:w="3034" w:type="dxa"/>
          </w:tcPr>
          <w:p w14:paraId="2FEAD032" w14:textId="77777777" w:rsidR="001F5A79" w:rsidRPr="009C5807" w:rsidRDefault="001F5A79" w:rsidP="00DB6585">
            <w:pPr>
              <w:pStyle w:val="TAL"/>
              <w:rPr>
                <w:lang w:eastAsia="zh-CN"/>
              </w:rPr>
            </w:pPr>
            <w:r w:rsidRPr="009C5807">
              <w:rPr>
                <w:lang w:eastAsia="zh-CN"/>
              </w:rPr>
              <w:t>-16</w:t>
            </w:r>
            <w:r w:rsidRPr="009C5807">
              <w:rPr>
                <w:rFonts w:hint="eastAsia"/>
                <w:lang w:eastAsia="zh-CN"/>
              </w:rPr>
              <w:t>≥Δ</w:t>
            </w:r>
            <w:r w:rsidRPr="009C5807">
              <w:rPr>
                <w:lang w:eastAsia="zh-CN"/>
              </w:rPr>
              <w:t>RSRP&gt;-18</w:t>
            </w:r>
          </w:p>
        </w:tc>
        <w:tc>
          <w:tcPr>
            <w:tcW w:w="883" w:type="dxa"/>
            <w:shd w:val="clear" w:color="auto" w:fill="auto"/>
            <w:noWrap/>
          </w:tcPr>
          <w:p w14:paraId="5E41DCEA" w14:textId="77777777" w:rsidR="001F5A79" w:rsidRPr="009C5807" w:rsidRDefault="001F5A79" w:rsidP="00DB6585">
            <w:pPr>
              <w:pStyle w:val="TAL"/>
              <w:rPr>
                <w:lang w:eastAsia="zh-CN"/>
              </w:rPr>
            </w:pPr>
            <w:r w:rsidRPr="009C5807">
              <w:rPr>
                <w:lang w:eastAsia="zh-CN"/>
              </w:rPr>
              <w:t>dB</w:t>
            </w:r>
          </w:p>
        </w:tc>
      </w:tr>
      <w:tr w:rsidR="001F5A79" w:rsidRPr="009C5807" w14:paraId="1D4FCBC8" w14:textId="77777777" w:rsidTr="00DF3064">
        <w:trPr>
          <w:trHeight w:val="300"/>
          <w:jc w:val="center"/>
        </w:trPr>
        <w:tc>
          <w:tcPr>
            <w:tcW w:w="1817" w:type="dxa"/>
            <w:shd w:val="clear" w:color="auto" w:fill="auto"/>
            <w:noWrap/>
          </w:tcPr>
          <w:p w14:paraId="5CE63AD7" w14:textId="77777777" w:rsidR="001F5A79" w:rsidRPr="009C5807" w:rsidRDefault="001F5A79" w:rsidP="00DB6585">
            <w:pPr>
              <w:pStyle w:val="TAL"/>
              <w:rPr>
                <w:lang w:eastAsia="zh-CN"/>
              </w:rPr>
            </w:pPr>
            <w:r w:rsidRPr="009C5807">
              <w:rPr>
                <w:lang w:eastAsia="zh-CN"/>
              </w:rPr>
              <w:t>DIFFRSRP_9</w:t>
            </w:r>
          </w:p>
        </w:tc>
        <w:tc>
          <w:tcPr>
            <w:tcW w:w="3034" w:type="dxa"/>
          </w:tcPr>
          <w:p w14:paraId="076C2D9D" w14:textId="77777777" w:rsidR="001F5A79" w:rsidRPr="009C5807" w:rsidRDefault="001F5A79" w:rsidP="00DB6585">
            <w:pPr>
              <w:pStyle w:val="TAL"/>
              <w:rPr>
                <w:lang w:eastAsia="zh-CN"/>
              </w:rPr>
            </w:pPr>
            <w:r w:rsidRPr="009C5807">
              <w:rPr>
                <w:lang w:eastAsia="zh-CN"/>
              </w:rPr>
              <w:t>-18</w:t>
            </w:r>
            <w:r w:rsidRPr="009C5807">
              <w:rPr>
                <w:rFonts w:hint="eastAsia"/>
                <w:lang w:eastAsia="zh-CN"/>
              </w:rPr>
              <w:t>≥Δ</w:t>
            </w:r>
            <w:r w:rsidRPr="009C5807">
              <w:rPr>
                <w:lang w:eastAsia="zh-CN"/>
              </w:rPr>
              <w:t>RSRP&gt;-20</w:t>
            </w:r>
          </w:p>
        </w:tc>
        <w:tc>
          <w:tcPr>
            <w:tcW w:w="883" w:type="dxa"/>
            <w:shd w:val="clear" w:color="auto" w:fill="auto"/>
            <w:noWrap/>
          </w:tcPr>
          <w:p w14:paraId="5C1E9BE7" w14:textId="77777777" w:rsidR="001F5A79" w:rsidRPr="009C5807" w:rsidRDefault="001F5A79" w:rsidP="00DB6585">
            <w:pPr>
              <w:pStyle w:val="TAL"/>
              <w:rPr>
                <w:lang w:eastAsia="zh-CN"/>
              </w:rPr>
            </w:pPr>
            <w:r w:rsidRPr="009C5807">
              <w:rPr>
                <w:lang w:eastAsia="zh-CN"/>
              </w:rPr>
              <w:t>dB</w:t>
            </w:r>
          </w:p>
        </w:tc>
      </w:tr>
      <w:tr w:rsidR="001F5A79" w:rsidRPr="009C5807" w14:paraId="4CC5FECE" w14:textId="77777777" w:rsidTr="00DF3064">
        <w:trPr>
          <w:trHeight w:val="300"/>
          <w:jc w:val="center"/>
        </w:trPr>
        <w:tc>
          <w:tcPr>
            <w:tcW w:w="1817" w:type="dxa"/>
            <w:shd w:val="clear" w:color="auto" w:fill="auto"/>
            <w:noWrap/>
          </w:tcPr>
          <w:p w14:paraId="1949697C" w14:textId="77777777" w:rsidR="001F5A79" w:rsidRPr="009C5807" w:rsidRDefault="001F5A79" w:rsidP="00DB6585">
            <w:pPr>
              <w:pStyle w:val="TAL"/>
              <w:rPr>
                <w:lang w:eastAsia="zh-CN"/>
              </w:rPr>
            </w:pPr>
            <w:r w:rsidRPr="009C5807">
              <w:rPr>
                <w:lang w:eastAsia="zh-CN"/>
              </w:rPr>
              <w:t>DIFFRSRP_10</w:t>
            </w:r>
          </w:p>
        </w:tc>
        <w:tc>
          <w:tcPr>
            <w:tcW w:w="3034" w:type="dxa"/>
          </w:tcPr>
          <w:p w14:paraId="30608BDF" w14:textId="77777777" w:rsidR="001F5A79" w:rsidRPr="009C5807" w:rsidRDefault="001F5A79" w:rsidP="00DB6585">
            <w:pPr>
              <w:pStyle w:val="TAL"/>
              <w:rPr>
                <w:lang w:eastAsia="zh-CN"/>
              </w:rPr>
            </w:pPr>
            <w:r w:rsidRPr="009C5807">
              <w:rPr>
                <w:lang w:eastAsia="zh-CN"/>
              </w:rPr>
              <w:t>-20</w:t>
            </w:r>
            <w:r w:rsidRPr="009C5807">
              <w:rPr>
                <w:rFonts w:hint="eastAsia"/>
                <w:lang w:eastAsia="zh-CN"/>
              </w:rPr>
              <w:t>≥Δ</w:t>
            </w:r>
            <w:r w:rsidRPr="009C5807">
              <w:rPr>
                <w:lang w:eastAsia="zh-CN"/>
              </w:rPr>
              <w:t>RSRP&gt;-22</w:t>
            </w:r>
          </w:p>
        </w:tc>
        <w:tc>
          <w:tcPr>
            <w:tcW w:w="883" w:type="dxa"/>
            <w:shd w:val="clear" w:color="auto" w:fill="auto"/>
            <w:noWrap/>
          </w:tcPr>
          <w:p w14:paraId="02E2AAFB" w14:textId="77777777" w:rsidR="001F5A79" w:rsidRPr="009C5807" w:rsidRDefault="001F5A79" w:rsidP="00DB6585">
            <w:pPr>
              <w:pStyle w:val="TAL"/>
              <w:rPr>
                <w:lang w:eastAsia="zh-CN"/>
              </w:rPr>
            </w:pPr>
            <w:r w:rsidRPr="009C5807">
              <w:rPr>
                <w:lang w:eastAsia="zh-CN"/>
              </w:rPr>
              <w:t>dB</w:t>
            </w:r>
          </w:p>
        </w:tc>
      </w:tr>
      <w:tr w:rsidR="001F5A79" w:rsidRPr="009C5807" w14:paraId="631D9578" w14:textId="77777777" w:rsidTr="00DF3064">
        <w:trPr>
          <w:trHeight w:val="300"/>
          <w:jc w:val="center"/>
        </w:trPr>
        <w:tc>
          <w:tcPr>
            <w:tcW w:w="1817" w:type="dxa"/>
            <w:shd w:val="clear" w:color="auto" w:fill="auto"/>
            <w:noWrap/>
          </w:tcPr>
          <w:p w14:paraId="62CCF157" w14:textId="77777777" w:rsidR="001F5A79" w:rsidRPr="009C5807" w:rsidRDefault="001F5A79" w:rsidP="00DB6585">
            <w:pPr>
              <w:pStyle w:val="TAL"/>
              <w:rPr>
                <w:lang w:eastAsia="zh-CN"/>
              </w:rPr>
            </w:pPr>
            <w:r w:rsidRPr="009C5807">
              <w:rPr>
                <w:lang w:eastAsia="zh-CN"/>
              </w:rPr>
              <w:t>DIFFRSRP_11</w:t>
            </w:r>
          </w:p>
        </w:tc>
        <w:tc>
          <w:tcPr>
            <w:tcW w:w="3034" w:type="dxa"/>
          </w:tcPr>
          <w:p w14:paraId="6B53728A" w14:textId="77777777" w:rsidR="001F5A79" w:rsidRPr="009C5807" w:rsidRDefault="001F5A79" w:rsidP="00DB6585">
            <w:pPr>
              <w:pStyle w:val="TAL"/>
              <w:rPr>
                <w:lang w:eastAsia="zh-CN"/>
              </w:rPr>
            </w:pPr>
            <w:r w:rsidRPr="009C5807">
              <w:rPr>
                <w:lang w:eastAsia="zh-CN"/>
              </w:rPr>
              <w:t>-22</w:t>
            </w:r>
            <w:r w:rsidRPr="009C5807">
              <w:rPr>
                <w:rFonts w:hint="eastAsia"/>
                <w:lang w:eastAsia="zh-CN"/>
              </w:rPr>
              <w:t>≥Δ</w:t>
            </w:r>
            <w:r w:rsidRPr="009C5807">
              <w:rPr>
                <w:lang w:eastAsia="zh-CN"/>
              </w:rPr>
              <w:t>RSRP&gt;-24</w:t>
            </w:r>
          </w:p>
        </w:tc>
        <w:tc>
          <w:tcPr>
            <w:tcW w:w="883" w:type="dxa"/>
            <w:shd w:val="clear" w:color="auto" w:fill="auto"/>
            <w:noWrap/>
          </w:tcPr>
          <w:p w14:paraId="7B5E1376" w14:textId="77777777" w:rsidR="001F5A79" w:rsidRPr="009C5807" w:rsidRDefault="001F5A79" w:rsidP="00DB6585">
            <w:pPr>
              <w:pStyle w:val="TAL"/>
              <w:rPr>
                <w:lang w:eastAsia="zh-CN"/>
              </w:rPr>
            </w:pPr>
            <w:r w:rsidRPr="009C5807">
              <w:rPr>
                <w:lang w:eastAsia="zh-CN"/>
              </w:rPr>
              <w:t>dB</w:t>
            </w:r>
          </w:p>
        </w:tc>
      </w:tr>
      <w:tr w:rsidR="001F5A79" w:rsidRPr="009C5807" w14:paraId="3C62B21C" w14:textId="77777777" w:rsidTr="00DF3064">
        <w:trPr>
          <w:trHeight w:val="300"/>
          <w:jc w:val="center"/>
        </w:trPr>
        <w:tc>
          <w:tcPr>
            <w:tcW w:w="1817" w:type="dxa"/>
            <w:shd w:val="clear" w:color="auto" w:fill="auto"/>
            <w:noWrap/>
          </w:tcPr>
          <w:p w14:paraId="00FC0353" w14:textId="77777777" w:rsidR="001F5A79" w:rsidRPr="009C5807" w:rsidRDefault="001F5A79" w:rsidP="00DB6585">
            <w:pPr>
              <w:pStyle w:val="TAL"/>
              <w:rPr>
                <w:lang w:eastAsia="zh-CN"/>
              </w:rPr>
            </w:pPr>
            <w:r w:rsidRPr="009C5807">
              <w:rPr>
                <w:lang w:eastAsia="zh-CN"/>
              </w:rPr>
              <w:t>DIFFRSRP_12</w:t>
            </w:r>
          </w:p>
        </w:tc>
        <w:tc>
          <w:tcPr>
            <w:tcW w:w="3034" w:type="dxa"/>
          </w:tcPr>
          <w:p w14:paraId="5F183BC0" w14:textId="77777777" w:rsidR="001F5A79" w:rsidRPr="009C5807" w:rsidRDefault="001F5A79" w:rsidP="00DB6585">
            <w:pPr>
              <w:pStyle w:val="TAL"/>
              <w:rPr>
                <w:lang w:eastAsia="zh-CN"/>
              </w:rPr>
            </w:pPr>
            <w:r w:rsidRPr="009C5807">
              <w:rPr>
                <w:lang w:eastAsia="zh-CN"/>
              </w:rPr>
              <w:t>-24</w:t>
            </w:r>
            <w:r w:rsidRPr="009C5807">
              <w:rPr>
                <w:rFonts w:hint="eastAsia"/>
                <w:lang w:eastAsia="zh-CN"/>
              </w:rPr>
              <w:t>≥Δ</w:t>
            </w:r>
            <w:r w:rsidRPr="009C5807">
              <w:rPr>
                <w:lang w:eastAsia="zh-CN"/>
              </w:rPr>
              <w:t>RSRP&gt;-26</w:t>
            </w:r>
          </w:p>
        </w:tc>
        <w:tc>
          <w:tcPr>
            <w:tcW w:w="883" w:type="dxa"/>
            <w:shd w:val="clear" w:color="auto" w:fill="auto"/>
            <w:noWrap/>
          </w:tcPr>
          <w:p w14:paraId="3FB92239" w14:textId="77777777" w:rsidR="001F5A79" w:rsidRPr="009C5807" w:rsidRDefault="001F5A79" w:rsidP="00DB6585">
            <w:pPr>
              <w:pStyle w:val="TAL"/>
              <w:rPr>
                <w:lang w:eastAsia="zh-CN"/>
              </w:rPr>
            </w:pPr>
            <w:r w:rsidRPr="009C5807">
              <w:rPr>
                <w:lang w:eastAsia="zh-CN"/>
              </w:rPr>
              <w:t>dB</w:t>
            </w:r>
          </w:p>
        </w:tc>
      </w:tr>
      <w:tr w:rsidR="001F5A79" w:rsidRPr="009C5807" w14:paraId="12D08BBF" w14:textId="77777777" w:rsidTr="00DF3064">
        <w:trPr>
          <w:trHeight w:val="300"/>
          <w:jc w:val="center"/>
        </w:trPr>
        <w:tc>
          <w:tcPr>
            <w:tcW w:w="1817" w:type="dxa"/>
            <w:shd w:val="clear" w:color="auto" w:fill="auto"/>
            <w:noWrap/>
          </w:tcPr>
          <w:p w14:paraId="3157A800" w14:textId="77777777" w:rsidR="001F5A79" w:rsidRPr="009C5807" w:rsidRDefault="001F5A79" w:rsidP="00DB6585">
            <w:pPr>
              <w:pStyle w:val="TAL"/>
              <w:rPr>
                <w:lang w:eastAsia="zh-CN"/>
              </w:rPr>
            </w:pPr>
            <w:r w:rsidRPr="009C5807">
              <w:rPr>
                <w:lang w:eastAsia="zh-CN"/>
              </w:rPr>
              <w:t>DIFFRSRP_13</w:t>
            </w:r>
          </w:p>
        </w:tc>
        <w:tc>
          <w:tcPr>
            <w:tcW w:w="3034" w:type="dxa"/>
          </w:tcPr>
          <w:p w14:paraId="0AD4DAF3" w14:textId="77777777" w:rsidR="001F5A79" w:rsidRPr="009C5807" w:rsidRDefault="001F5A79" w:rsidP="00DB6585">
            <w:pPr>
              <w:pStyle w:val="TAL"/>
              <w:rPr>
                <w:lang w:eastAsia="zh-CN"/>
              </w:rPr>
            </w:pPr>
            <w:r w:rsidRPr="009C5807">
              <w:rPr>
                <w:lang w:eastAsia="zh-CN"/>
              </w:rPr>
              <w:t>-26</w:t>
            </w:r>
            <w:r w:rsidRPr="009C5807">
              <w:rPr>
                <w:rFonts w:hint="eastAsia"/>
                <w:lang w:eastAsia="zh-CN"/>
              </w:rPr>
              <w:t>≥Δ</w:t>
            </w:r>
            <w:r w:rsidRPr="009C5807">
              <w:rPr>
                <w:lang w:eastAsia="zh-CN"/>
              </w:rPr>
              <w:t>RSRP&gt;-28</w:t>
            </w:r>
          </w:p>
        </w:tc>
        <w:tc>
          <w:tcPr>
            <w:tcW w:w="883" w:type="dxa"/>
            <w:shd w:val="clear" w:color="auto" w:fill="auto"/>
            <w:noWrap/>
          </w:tcPr>
          <w:p w14:paraId="22E052AD" w14:textId="77777777" w:rsidR="001F5A79" w:rsidRPr="009C5807" w:rsidRDefault="001F5A79" w:rsidP="00DB6585">
            <w:pPr>
              <w:pStyle w:val="TAL"/>
              <w:rPr>
                <w:lang w:eastAsia="zh-CN"/>
              </w:rPr>
            </w:pPr>
            <w:r w:rsidRPr="009C5807">
              <w:rPr>
                <w:lang w:eastAsia="zh-CN"/>
              </w:rPr>
              <w:t>dB</w:t>
            </w:r>
          </w:p>
        </w:tc>
      </w:tr>
      <w:tr w:rsidR="001F5A79" w:rsidRPr="009C5807" w14:paraId="1F59B809" w14:textId="77777777" w:rsidTr="00DF3064">
        <w:trPr>
          <w:trHeight w:val="300"/>
          <w:jc w:val="center"/>
        </w:trPr>
        <w:tc>
          <w:tcPr>
            <w:tcW w:w="1817" w:type="dxa"/>
            <w:shd w:val="clear" w:color="auto" w:fill="auto"/>
            <w:noWrap/>
          </w:tcPr>
          <w:p w14:paraId="658DCA25" w14:textId="77777777" w:rsidR="001F5A79" w:rsidRPr="009C5807" w:rsidRDefault="001F5A79" w:rsidP="00DB6585">
            <w:pPr>
              <w:pStyle w:val="TAL"/>
              <w:rPr>
                <w:lang w:eastAsia="zh-CN"/>
              </w:rPr>
            </w:pPr>
            <w:r w:rsidRPr="009C5807">
              <w:rPr>
                <w:lang w:eastAsia="zh-CN"/>
              </w:rPr>
              <w:t>DIFFRSRP_14</w:t>
            </w:r>
          </w:p>
        </w:tc>
        <w:tc>
          <w:tcPr>
            <w:tcW w:w="3034" w:type="dxa"/>
          </w:tcPr>
          <w:p w14:paraId="0B90CA48" w14:textId="77777777" w:rsidR="001F5A79" w:rsidRPr="009C5807" w:rsidRDefault="001F5A79" w:rsidP="00DB6585">
            <w:pPr>
              <w:pStyle w:val="TAL"/>
              <w:rPr>
                <w:lang w:eastAsia="zh-CN"/>
              </w:rPr>
            </w:pPr>
            <w:r w:rsidRPr="009C5807">
              <w:rPr>
                <w:lang w:eastAsia="zh-CN"/>
              </w:rPr>
              <w:t>-28</w:t>
            </w:r>
            <w:r w:rsidRPr="009C5807">
              <w:rPr>
                <w:rFonts w:hint="eastAsia"/>
                <w:lang w:eastAsia="zh-CN"/>
              </w:rPr>
              <w:t>≥Δ</w:t>
            </w:r>
            <w:r w:rsidRPr="009C5807">
              <w:rPr>
                <w:lang w:eastAsia="zh-CN"/>
              </w:rPr>
              <w:t>RSRP&gt;-30</w:t>
            </w:r>
          </w:p>
        </w:tc>
        <w:tc>
          <w:tcPr>
            <w:tcW w:w="883" w:type="dxa"/>
            <w:shd w:val="clear" w:color="auto" w:fill="auto"/>
            <w:noWrap/>
          </w:tcPr>
          <w:p w14:paraId="4CACE1A8" w14:textId="77777777" w:rsidR="001F5A79" w:rsidRPr="009C5807" w:rsidRDefault="001F5A79" w:rsidP="00DB6585">
            <w:pPr>
              <w:pStyle w:val="TAL"/>
              <w:rPr>
                <w:lang w:eastAsia="zh-CN"/>
              </w:rPr>
            </w:pPr>
            <w:r w:rsidRPr="009C5807">
              <w:rPr>
                <w:lang w:eastAsia="zh-CN"/>
              </w:rPr>
              <w:t>dB</w:t>
            </w:r>
          </w:p>
        </w:tc>
      </w:tr>
      <w:tr w:rsidR="001F5A79" w:rsidRPr="009C5807" w14:paraId="12870475" w14:textId="77777777" w:rsidTr="00DF3064">
        <w:trPr>
          <w:trHeight w:val="300"/>
          <w:jc w:val="center"/>
        </w:trPr>
        <w:tc>
          <w:tcPr>
            <w:tcW w:w="1817" w:type="dxa"/>
            <w:shd w:val="clear" w:color="auto" w:fill="auto"/>
            <w:noWrap/>
          </w:tcPr>
          <w:p w14:paraId="4FF5E81E" w14:textId="77777777" w:rsidR="001F5A79" w:rsidRPr="009C5807" w:rsidRDefault="001F5A79" w:rsidP="00DB6585">
            <w:pPr>
              <w:pStyle w:val="TAL"/>
              <w:rPr>
                <w:lang w:eastAsia="zh-CN"/>
              </w:rPr>
            </w:pPr>
            <w:r w:rsidRPr="009C5807">
              <w:rPr>
                <w:lang w:eastAsia="zh-CN"/>
              </w:rPr>
              <w:t>DIFFRSRP_15</w:t>
            </w:r>
          </w:p>
        </w:tc>
        <w:tc>
          <w:tcPr>
            <w:tcW w:w="3034" w:type="dxa"/>
          </w:tcPr>
          <w:p w14:paraId="27D69F3E" w14:textId="77777777" w:rsidR="001F5A79" w:rsidRPr="009C5807" w:rsidRDefault="001F5A79" w:rsidP="00DB6585">
            <w:pPr>
              <w:pStyle w:val="TAL"/>
              <w:rPr>
                <w:lang w:eastAsia="zh-CN"/>
              </w:rPr>
            </w:pPr>
            <w:r w:rsidRPr="009C5807">
              <w:rPr>
                <w:lang w:eastAsia="zh-CN"/>
              </w:rPr>
              <w:t>-30</w:t>
            </w:r>
            <w:r w:rsidRPr="009C5807">
              <w:rPr>
                <w:rFonts w:hint="eastAsia"/>
                <w:lang w:eastAsia="zh-CN"/>
              </w:rPr>
              <w:t>≥Δ</w:t>
            </w:r>
            <w:r w:rsidRPr="009C5807">
              <w:rPr>
                <w:lang w:eastAsia="zh-CN"/>
              </w:rPr>
              <w:t>RSRP</w:t>
            </w:r>
          </w:p>
        </w:tc>
        <w:tc>
          <w:tcPr>
            <w:tcW w:w="883" w:type="dxa"/>
            <w:shd w:val="clear" w:color="auto" w:fill="auto"/>
            <w:noWrap/>
          </w:tcPr>
          <w:p w14:paraId="6FA7C6EA" w14:textId="77777777" w:rsidR="001F5A79" w:rsidRPr="009C5807" w:rsidRDefault="001F5A79" w:rsidP="00DB6585">
            <w:pPr>
              <w:pStyle w:val="TAL"/>
              <w:rPr>
                <w:lang w:eastAsia="zh-CN"/>
              </w:rPr>
            </w:pPr>
            <w:r w:rsidRPr="009C5807">
              <w:rPr>
                <w:lang w:eastAsia="zh-CN"/>
              </w:rPr>
              <w:t>dB</w:t>
            </w:r>
          </w:p>
        </w:tc>
      </w:tr>
      <w:bookmarkEnd w:id="6"/>
    </w:tbl>
    <w:p w14:paraId="60C2C34F" w14:textId="77777777" w:rsidR="001F5A79" w:rsidRPr="009C5807" w:rsidRDefault="001F5A79" w:rsidP="001F5A79">
      <w:pPr>
        <w:rPr>
          <w:lang w:val="en-US" w:eastAsia="ko-KR"/>
        </w:rPr>
      </w:pPr>
    </w:p>
    <w:p w14:paraId="2ACBA07E" w14:textId="1201F8BC" w:rsidR="001F5A79" w:rsidRPr="009C5807" w:rsidRDefault="001F5A79" w:rsidP="00967CF8">
      <w:pPr>
        <w:pStyle w:val="Heading3"/>
        <w:rPr>
          <w:lang w:val="en-US"/>
        </w:rPr>
      </w:pPr>
      <w:r w:rsidRPr="009C5807">
        <w:rPr>
          <w:lang w:val="en-US" w:eastAsia="ko-KR"/>
        </w:rPr>
        <w:t>1</w:t>
      </w:r>
      <w:r w:rsidR="00967CF8" w:rsidRPr="009C5807">
        <w:rPr>
          <w:lang w:val="en-US" w:eastAsia="ko-KR"/>
        </w:rPr>
        <w:t>0.1.7</w:t>
      </w:r>
      <w:r w:rsidRPr="009C5807">
        <w:rPr>
          <w:lang w:val="en-US"/>
        </w:rPr>
        <w:tab/>
        <w:t>Intra-frequency RSRQ accuracy requirements for FR1</w:t>
      </w:r>
    </w:p>
    <w:p w14:paraId="60D8BFBD" w14:textId="51CAB952" w:rsidR="001F5A79" w:rsidRPr="009C5807" w:rsidRDefault="001F5A79" w:rsidP="00967CF8">
      <w:pPr>
        <w:pStyle w:val="Heading4"/>
        <w:rPr>
          <w:lang w:val="en-US" w:eastAsia="zh-CN"/>
        </w:rPr>
      </w:pPr>
      <w:r w:rsidRPr="009C5807">
        <w:rPr>
          <w:lang w:val="en-US" w:eastAsia="zh-CN"/>
        </w:rPr>
        <w:t>1</w:t>
      </w:r>
      <w:r w:rsidR="00967CF8" w:rsidRPr="009C5807">
        <w:rPr>
          <w:lang w:val="en-US" w:eastAsia="zh-CN"/>
        </w:rPr>
        <w:t>0.1.7.1</w:t>
      </w:r>
      <w:r w:rsidRPr="009C5807">
        <w:rPr>
          <w:lang w:val="en-US" w:eastAsia="zh-CN"/>
        </w:rPr>
        <w:tab/>
      </w:r>
      <w:r w:rsidRPr="009C5807">
        <w:rPr>
          <w:lang w:val="en-US" w:eastAsia="ko-KR"/>
        </w:rPr>
        <w:t>Intra-frequency SS-RSRQ accuracy requirements</w:t>
      </w:r>
      <w:r w:rsidRPr="009C5807">
        <w:rPr>
          <w:lang w:val="en-US" w:eastAsia="zh-CN"/>
        </w:rPr>
        <w:t xml:space="preserve"> in FR1</w:t>
      </w:r>
    </w:p>
    <w:p w14:paraId="764097D0" w14:textId="65C8216A" w:rsidR="001F5A79" w:rsidRPr="009C5807" w:rsidRDefault="001F5A79" w:rsidP="00967CF8">
      <w:pPr>
        <w:pStyle w:val="Heading5"/>
      </w:pPr>
      <w:r w:rsidRPr="009C5807">
        <w:rPr>
          <w:lang w:eastAsia="zh-CN"/>
        </w:rPr>
        <w:t>1</w:t>
      </w:r>
      <w:r w:rsidR="00967CF8" w:rsidRPr="009C5807">
        <w:rPr>
          <w:lang w:eastAsia="zh-CN"/>
        </w:rPr>
        <w:t>0.</w:t>
      </w:r>
      <w:r w:rsidR="00967CF8" w:rsidRPr="009C5807">
        <w:t>1</w:t>
      </w:r>
      <w:r w:rsidR="00967CF8" w:rsidRPr="009C5807">
        <w:rPr>
          <w:lang w:eastAsia="zh-CN"/>
        </w:rPr>
        <w:t>.</w:t>
      </w:r>
      <w:r w:rsidR="00967CF8" w:rsidRPr="009C5807">
        <w:t>7</w:t>
      </w:r>
      <w:r w:rsidR="00967CF8" w:rsidRPr="009C5807">
        <w:rPr>
          <w:lang w:eastAsia="zh-CN"/>
        </w:rPr>
        <w:t>.</w:t>
      </w:r>
      <w:r w:rsidR="00967CF8" w:rsidRPr="009C5807">
        <w:t>1</w:t>
      </w:r>
      <w:r w:rsidR="00967CF8" w:rsidRPr="009C5807">
        <w:rPr>
          <w:lang w:eastAsia="zh-CN"/>
        </w:rPr>
        <w:t>.1</w:t>
      </w:r>
      <w:r w:rsidRPr="009C5807">
        <w:tab/>
        <w:t xml:space="preserve">Absolute </w:t>
      </w:r>
      <w:r w:rsidRPr="009C5807">
        <w:rPr>
          <w:lang w:val="en-US" w:eastAsia="ko-KR"/>
        </w:rPr>
        <w:t xml:space="preserve">SS-RSRQ </w:t>
      </w:r>
      <w:r w:rsidRPr="009C5807">
        <w:t>Accuracy in FR1</w:t>
      </w:r>
    </w:p>
    <w:p w14:paraId="679B6BFE" w14:textId="13261806" w:rsidR="00B03A04" w:rsidRDefault="00CA0012" w:rsidP="00B03A04">
      <w:pPr>
        <w:rPr>
          <w:rFonts w:cs="v4.2.0"/>
          <w:i/>
        </w:rPr>
      </w:pPr>
      <w:r>
        <w:rPr>
          <w:rFonts w:cs="v4.2.0"/>
        </w:rPr>
        <w:t xml:space="preserve">Unless otherwise specified, the requirements for absolute accuracy of </w:t>
      </w:r>
      <w:r>
        <w:rPr>
          <w:rFonts w:cs="v4.2.0"/>
          <w:lang w:eastAsia="zh-CN"/>
        </w:rPr>
        <w:t>SS-RSRQ</w:t>
      </w:r>
      <w:r>
        <w:rPr>
          <w:rFonts w:cs="v4.2.0"/>
        </w:rPr>
        <w:t xml:space="preserve"> in this clause apply to a cell on the same frequency as that of the serving cell in FR1.</w:t>
      </w:r>
      <w:r>
        <w:rPr>
          <w:lang w:eastAsia="zh-CN"/>
        </w:rPr>
        <w:t xml:space="preserve"> The </w:t>
      </w:r>
      <w:r>
        <w:t xml:space="preserve">accuracy requirements in this clause are also applicable when </w:t>
      </w:r>
      <w:r>
        <w:rPr>
          <w:rFonts w:cs="v4.2.0"/>
          <w:i/>
          <w:iCs/>
          <w:lang w:eastAsia="zh-CN"/>
        </w:rPr>
        <w:t xml:space="preserve">highSpeedMeasFlag-r16 </w:t>
      </w:r>
      <w:r>
        <w:t xml:space="preserve">or </w:t>
      </w:r>
      <w:r w:rsidRPr="00C55ADC">
        <w:rPr>
          <w:i/>
        </w:rPr>
        <w:t>highSpeedMeasCA-Scell-r17</w:t>
      </w:r>
      <w:r>
        <w:rPr>
          <w:i/>
        </w:rPr>
        <w:t xml:space="preserve"> </w:t>
      </w:r>
      <w:r>
        <w:t>is configured.</w:t>
      </w:r>
    </w:p>
    <w:p w14:paraId="397EA250"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10.1.7.1.1</w:t>
      </w:r>
      <w:r w:rsidRPr="009C5807">
        <w:rPr>
          <w:rFonts w:cs="v4.2.0"/>
        </w:rPr>
        <w:t>-1 are valid under the following conditions:</w:t>
      </w:r>
    </w:p>
    <w:p w14:paraId="4A25AF7A" w14:textId="77777777" w:rsidR="001F5A79" w:rsidRPr="009C5807" w:rsidRDefault="001F5A79" w:rsidP="001D4E56">
      <w:pPr>
        <w:pStyle w:val="B10"/>
        <w:rPr>
          <w:lang w:eastAsia="zh-CN"/>
        </w:rPr>
      </w:pPr>
      <w:r w:rsidRPr="009C5807">
        <w:t>-</w:t>
      </w:r>
      <w:r w:rsidRPr="009C5807">
        <w:tab/>
        <w:t>Conditions defined in clause 7.3 of TS 38.101-1 [18] for reference sensitivity are fulfilled.</w:t>
      </w:r>
    </w:p>
    <w:p w14:paraId="22C9C20D" w14:textId="77777777" w:rsidR="001F5A79" w:rsidRPr="009C5807" w:rsidRDefault="001F5A79" w:rsidP="001D4E56">
      <w:pPr>
        <w:pStyle w:val="B10"/>
        <w:rPr>
          <w:lang w:eastAsia="zh-CN"/>
        </w:rPr>
      </w:pPr>
      <w:r w:rsidRPr="009C5807">
        <w:t>-</w:t>
      </w:r>
      <w:r w:rsidRPr="009C5807">
        <w:rPr>
          <w:rFonts w:ascii="Arial" w:hAnsi="Arial"/>
          <w:sz w:val="28"/>
          <w:lang w:val="en-US"/>
        </w:rPr>
        <w:tab/>
      </w:r>
      <w:r w:rsidRPr="009C5807">
        <w:t xml:space="preserve">Conditions for intra-frequency measurements are fulfilled according to Annex B.2.2 for a corresponding Band </w:t>
      </w:r>
      <w:r w:rsidRPr="009C5807">
        <w:rPr>
          <w:rFonts w:cs="v4.2.0"/>
          <w:lang w:eastAsia="ko-KR"/>
        </w:rPr>
        <w:t>for each relevant SSB</w:t>
      </w:r>
      <w:r w:rsidRPr="009C5807">
        <w:t>.</w:t>
      </w:r>
    </w:p>
    <w:p w14:paraId="31262153" w14:textId="77777777" w:rsidR="001F5A79" w:rsidRPr="009C5807" w:rsidRDefault="001F5A79" w:rsidP="001D4E56">
      <w:pPr>
        <w:pStyle w:val="TH"/>
        <w:rPr>
          <w:lang w:eastAsia="zh-CN"/>
        </w:rPr>
      </w:pPr>
      <w:r w:rsidRPr="009C5807">
        <w:t xml:space="preserve">Table </w:t>
      </w:r>
      <w:r w:rsidRPr="009C5807">
        <w:rPr>
          <w:lang w:eastAsia="zh-CN"/>
        </w:rPr>
        <w:t>10.1.7.1.1-1</w:t>
      </w:r>
      <w:r w:rsidRPr="009C5807">
        <w:t xml:space="preserve">: </w:t>
      </w:r>
      <w:r w:rsidRPr="009C5807">
        <w:rPr>
          <w:lang w:eastAsia="zh-CN"/>
        </w:rPr>
        <w:t>SS-RSRQ</w:t>
      </w:r>
      <w:r w:rsidRPr="009C5807">
        <w:t xml:space="preserve"> Intra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4"/>
        <w:gridCol w:w="1048"/>
        <w:gridCol w:w="805"/>
        <w:gridCol w:w="2317"/>
        <w:gridCol w:w="1003"/>
        <w:gridCol w:w="1085"/>
        <w:gridCol w:w="1440"/>
        <w:gridCol w:w="1440"/>
      </w:tblGrid>
      <w:tr w:rsidR="001F5A79" w:rsidRPr="009C5807" w14:paraId="349567A4" w14:textId="77777777" w:rsidTr="00B03A04">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1ED93443" w14:textId="77777777" w:rsidR="001F5A79" w:rsidRPr="009C5807" w:rsidRDefault="001F5A79" w:rsidP="00B03A04">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0DB6B048" w14:textId="77777777" w:rsidR="001F5A79" w:rsidRPr="009C5807" w:rsidRDefault="001F5A79" w:rsidP="00B03A04">
            <w:pPr>
              <w:pStyle w:val="TAH"/>
            </w:pPr>
            <w:r w:rsidRPr="009C5807">
              <w:t>Conditions</w:t>
            </w:r>
          </w:p>
        </w:tc>
      </w:tr>
      <w:tr w:rsidR="001F5A79" w:rsidRPr="009C5807" w14:paraId="4E5C8377" w14:textId="77777777" w:rsidTr="00B03A04">
        <w:trPr>
          <w:jc w:val="center"/>
        </w:trPr>
        <w:tc>
          <w:tcPr>
            <w:tcW w:w="1034" w:type="dxa"/>
            <w:tcBorders>
              <w:top w:val="single" w:sz="6" w:space="0" w:color="auto"/>
              <w:left w:val="single" w:sz="4" w:space="0" w:color="auto"/>
              <w:right w:val="single" w:sz="6" w:space="0" w:color="auto"/>
            </w:tcBorders>
            <w:shd w:val="clear" w:color="auto" w:fill="auto"/>
          </w:tcPr>
          <w:p w14:paraId="62B5BBDE" w14:textId="77777777" w:rsidR="001F5A79" w:rsidRPr="009C5807" w:rsidRDefault="001F5A79" w:rsidP="00B03A04">
            <w:pPr>
              <w:pStyle w:val="TAH"/>
            </w:pPr>
            <w:r w:rsidRPr="009C5807">
              <w:t>Normal condition</w:t>
            </w:r>
          </w:p>
        </w:tc>
        <w:tc>
          <w:tcPr>
            <w:tcW w:w="1048" w:type="dxa"/>
            <w:tcBorders>
              <w:top w:val="single" w:sz="6" w:space="0" w:color="auto"/>
              <w:left w:val="single" w:sz="6" w:space="0" w:color="auto"/>
              <w:right w:val="single" w:sz="6" w:space="0" w:color="auto"/>
            </w:tcBorders>
            <w:shd w:val="clear" w:color="auto" w:fill="auto"/>
          </w:tcPr>
          <w:p w14:paraId="70F523D0" w14:textId="77777777" w:rsidR="001F5A79" w:rsidRPr="009C5807" w:rsidRDefault="001F5A79" w:rsidP="00B03A04">
            <w:pPr>
              <w:pStyle w:val="TAH"/>
            </w:pPr>
            <w:r w:rsidRPr="009C5807">
              <w:t>Extreme condition</w:t>
            </w:r>
          </w:p>
        </w:tc>
        <w:tc>
          <w:tcPr>
            <w:tcW w:w="805" w:type="dxa"/>
            <w:tcBorders>
              <w:top w:val="single" w:sz="6" w:space="0" w:color="auto"/>
              <w:left w:val="single" w:sz="6" w:space="0" w:color="auto"/>
              <w:right w:val="single" w:sz="6" w:space="0" w:color="auto"/>
            </w:tcBorders>
            <w:shd w:val="clear" w:color="auto" w:fill="auto"/>
          </w:tcPr>
          <w:p w14:paraId="076BDF8C" w14:textId="77777777" w:rsidR="001F5A79" w:rsidRPr="009C5807" w:rsidRDefault="001F5A79" w:rsidP="00B03A04">
            <w:pPr>
              <w:pStyle w:val="TAH"/>
            </w:pPr>
            <w:r w:rsidRPr="009C5807">
              <w:t>SSB Ês/Iot</w:t>
            </w:r>
          </w:p>
        </w:tc>
        <w:tc>
          <w:tcPr>
            <w:tcW w:w="7285" w:type="dxa"/>
            <w:gridSpan w:val="5"/>
            <w:tcBorders>
              <w:top w:val="single" w:sz="6" w:space="0" w:color="auto"/>
              <w:left w:val="single" w:sz="6" w:space="0" w:color="auto"/>
              <w:bottom w:val="single" w:sz="6" w:space="0" w:color="auto"/>
              <w:right w:val="single" w:sz="4" w:space="0" w:color="auto"/>
            </w:tcBorders>
            <w:shd w:val="clear" w:color="auto" w:fill="auto"/>
          </w:tcPr>
          <w:p w14:paraId="506BB06F" w14:textId="77777777" w:rsidR="001F5A79" w:rsidRPr="009C5807" w:rsidRDefault="001F5A79" w:rsidP="00B03A04">
            <w:pPr>
              <w:pStyle w:val="TAH"/>
            </w:pPr>
            <w:r w:rsidRPr="009C5807">
              <w:t>Io</w:t>
            </w:r>
            <w:r w:rsidRPr="009C5807">
              <w:rPr>
                <w:vertAlign w:val="superscript"/>
                <w:lang w:eastAsia="zh-CN"/>
              </w:rPr>
              <w:t xml:space="preserve"> Note 1</w:t>
            </w:r>
            <w:r w:rsidRPr="009C5807">
              <w:t xml:space="preserve"> range</w:t>
            </w:r>
          </w:p>
        </w:tc>
      </w:tr>
      <w:tr w:rsidR="001F5A79" w:rsidRPr="009C5807" w14:paraId="4BF115F0" w14:textId="77777777" w:rsidTr="00B03A04">
        <w:trPr>
          <w:jc w:val="center"/>
        </w:trPr>
        <w:tc>
          <w:tcPr>
            <w:tcW w:w="1034" w:type="dxa"/>
            <w:tcBorders>
              <w:left w:val="single" w:sz="4" w:space="0" w:color="auto"/>
              <w:bottom w:val="single" w:sz="6" w:space="0" w:color="auto"/>
              <w:right w:val="single" w:sz="6" w:space="0" w:color="auto"/>
            </w:tcBorders>
            <w:shd w:val="clear" w:color="auto" w:fill="auto"/>
          </w:tcPr>
          <w:p w14:paraId="4E2C50B5" w14:textId="77777777" w:rsidR="001F5A79" w:rsidRPr="009C5807" w:rsidRDefault="001F5A79" w:rsidP="00B03A04">
            <w:pPr>
              <w:pStyle w:val="TAH"/>
            </w:pPr>
          </w:p>
        </w:tc>
        <w:tc>
          <w:tcPr>
            <w:tcW w:w="1048" w:type="dxa"/>
            <w:tcBorders>
              <w:left w:val="single" w:sz="6" w:space="0" w:color="auto"/>
              <w:bottom w:val="single" w:sz="6" w:space="0" w:color="auto"/>
              <w:right w:val="single" w:sz="6" w:space="0" w:color="auto"/>
            </w:tcBorders>
            <w:shd w:val="clear" w:color="auto" w:fill="auto"/>
          </w:tcPr>
          <w:p w14:paraId="15211FD9" w14:textId="77777777" w:rsidR="001F5A79" w:rsidRPr="009C5807" w:rsidRDefault="001F5A79" w:rsidP="00B03A04">
            <w:pPr>
              <w:pStyle w:val="TAH"/>
            </w:pPr>
          </w:p>
        </w:tc>
        <w:tc>
          <w:tcPr>
            <w:tcW w:w="805" w:type="dxa"/>
            <w:tcBorders>
              <w:left w:val="single" w:sz="6" w:space="0" w:color="auto"/>
              <w:bottom w:val="single" w:sz="6" w:space="0" w:color="auto"/>
              <w:right w:val="single" w:sz="6" w:space="0" w:color="auto"/>
            </w:tcBorders>
            <w:shd w:val="clear" w:color="auto" w:fill="auto"/>
          </w:tcPr>
          <w:p w14:paraId="32CF977B" w14:textId="77777777" w:rsidR="001F5A79" w:rsidRPr="009C5807" w:rsidRDefault="001F5A79" w:rsidP="00B03A04">
            <w:pPr>
              <w:pStyle w:val="TAH"/>
            </w:pPr>
          </w:p>
        </w:tc>
        <w:tc>
          <w:tcPr>
            <w:tcW w:w="2317" w:type="dxa"/>
            <w:tcBorders>
              <w:top w:val="single" w:sz="6" w:space="0" w:color="auto"/>
              <w:left w:val="single" w:sz="6" w:space="0" w:color="auto"/>
              <w:bottom w:val="single" w:sz="4" w:space="0" w:color="auto"/>
              <w:right w:val="single" w:sz="4" w:space="0" w:color="auto"/>
            </w:tcBorders>
            <w:shd w:val="clear" w:color="auto" w:fill="auto"/>
          </w:tcPr>
          <w:p w14:paraId="60F326BE" w14:textId="77777777" w:rsidR="001F5A79" w:rsidRPr="009C5807" w:rsidRDefault="001F5A79" w:rsidP="00B03A04">
            <w:pPr>
              <w:pStyle w:val="TAH"/>
            </w:pPr>
            <w:r w:rsidRPr="009C5807">
              <w:t>NR operating band groups</w:t>
            </w:r>
            <w:r w:rsidRPr="009C5807">
              <w:rPr>
                <w:vertAlign w:val="superscript"/>
              </w:rPr>
              <w:t xml:space="preserve"> </w:t>
            </w:r>
            <w:r w:rsidRPr="009C5807">
              <w:rPr>
                <w:vertAlign w:val="superscript"/>
                <w:lang w:eastAsia="zh-CN"/>
              </w:rPr>
              <w:t>Note 3</w:t>
            </w:r>
          </w:p>
        </w:tc>
        <w:tc>
          <w:tcPr>
            <w:tcW w:w="3528" w:type="dxa"/>
            <w:gridSpan w:val="3"/>
            <w:tcBorders>
              <w:top w:val="single" w:sz="4" w:space="0" w:color="auto"/>
              <w:left w:val="single" w:sz="4" w:space="0" w:color="auto"/>
              <w:bottom w:val="single" w:sz="6" w:space="0" w:color="auto"/>
              <w:right w:val="single" w:sz="6" w:space="0" w:color="auto"/>
            </w:tcBorders>
            <w:shd w:val="clear" w:color="auto" w:fill="auto"/>
          </w:tcPr>
          <w:p w14:paraId="6B2237CA" w14:textId="77777777" w:rsidR="001F5A79" w:rsidRPr="009C5807" w:rsidRDefault="001F5A79" w:rsidP="00B03A04">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1AC32863" w14:textId="77777777" w:rsidR="001F5A79" w:rsidRPr="009C5807" w:rsidRDefault="001F5A79" w:rsidP="00B03A04">
            <w:pPr>
              <w:pStyle w:val="TAH"/>
            </w:pPr>
            <w:r w:rsidRPr="009C5807">
              <w:t>Maximum Io</w:t>
            </w:r>
          </w:p>
        </w:tc>
      </w:tr>
      <w:tr w:rsidR="00486FFB" w:rsidRPr="009C5807" w14:paraId="0F154A82" w14:textId="77777777" w:rsidTr="00B03A04">
        <w:trPr>
          <w:trHeight w:val="308"/>
          <w:jc w:val="center"/>
        </w:trPr>
        <w:tc>
          <w:tcPr>
            <w:tcW w:w="1034" w:type="dxa"/>
            <w:tcBorders>
              <w:top w:val="single" w:sz="6" w:space="0" w:color="auto"/>
              <w:left w:val="single" w:sz="4" w:space="0" w:color="auto"/>
              <w:right w:val="single" w:sz="6" w:space="0" w:color="auto"/>
            </w:tcBorders>
            <w:shd w:val="clear" w:color="auto" w:fill="auto"/>
          </w:tcPr>
          <w:p w14:paraId="7AE365F6" w14:textId="77777777" w:rsidR="00486FFB" w:rsidRPr="009C5807" w:rsidRDefault="00486FFB" w:rsidP="00B03A04">
            <w:pPr>
              <w:pStyle w:val="TAH"/>
            </w:pPr>
            <w:r w:rsidRPr="009C5807">
              <w:t>dB</w:t>
            </w:r>
          </w:p>
        </w:tc>
        <w:tc>
          <w:tcPr>
            <w:tcW w:w="1048" w:type="dxa"/>
            <w:tcBorders>
              <w:top w:val="single" w:sz="6" w:space="0" w:color="auto"/>
              <w:left w:val="single" w:sz="6" w:space="0" w:color="auto"/>
              <w:right w:val="single" w:sz="6" w:space="0" w:color="auto"/>
            </w:tcBorders>
            <w:shd w:val="clear" w:color="auto" w:fill="auto"/>
          </w:tcPr>
          <w:p w14:paraId="00CB7D0A" w14:textId="77777777" w:rsidR="00486FFB" w:rsidRPr="009C5807" w:rsidRDefault="00486FFB" w:rsidP="00B03A04">
            <w:pPr>
              <w:pStyle w:val="TAH"/>
            </w:pPr>
            <w:r w:rsidRPr="009C5807">
              <w:t>dB</w:t>
            </w:r>
          </w:p>
        </w:tc>
        <w:tc>
          <w:tcPr>
            <w:tcW w:w="805" w:type="dxa"/>
            <w:tcBorders>
              <w:top w:val="single" w:sz="6" w:space="0" w:color="auto"/>
              <w:left w:val="single" w:sz="6" w:space="0" w:color="auto"/>
              <w:right w:val="single" w:sz="4" w:space="0" w:color="auto"/>
            </w:tcBorders>
            <w:shd w:val="clear" w:color="auto" w:fill="auto"/>
          </w:tcPr>
          <w:p w14:paraId="1988A70D" w14:textId="77777777" w:rsidR="00486FFB" w:rsidRPr="009C5807" w:rsidRDefault="00486FFB" w:rsidP="00B03A04">
            <w:pPr>
              <w:pStyle w:val="TAH"/>
            </w:pPr>
            <w:r w:rsidRPr="009C5807">
              <w:t>dB</w:t>
            </w:r>
          </w:p>
        </w:tc>
        <w:tc>
          <w:tcPr>
            <w:tcW w:w="2317" w:type="dxa"/>
            <w:tcBorders>
              <w:top w:val="single" w:sz="4" w:space="0" w:color="auto"/>
              <w:left w:val="single" w:sz="4" w:space="0" w:color="auto"/>
              <w:right w:val="single" w:sz="4" w:space="0" w:color="auto"/>
            </w:tcBorders>
            <w:shd w:val="clear" w:color="auto" w:fill="auto"/>
          </w:tcPr>
          <w:p w14:paraId="2A7D5CF7" w14:textId="77777777" w:rsidR="00486FFB" w:rsidRPr="009C5807" w:rsidRDefault="00486FFB" w:rsidP="00B03A04">
            <w:pPr>
              <w:pStyle w:val="TAH"/>
            </w:pPr>
          </w:p>
        </w:tc>
        <w:tc>
          <w:tcPr>
            <w:tcW w:w="2088" w:type="dxa"/>
            <w:gridSpan w:val="2"/>
            <w:tcBorders>
              <w:top w:val="single" w:sz="6" w:space="0" w:color="auto"/>
              <w:left w:val="single" w:sz="4" w:space="0" w:color="auto"/>
              <w:bottom w:val="single" w:sz="6" w:space="0" w:color="auto"/>
              <w:right w:val="single" w:sz="6" w:space="0" w:color="auto"/>
            </w:tcBorders>
            <w:shd w:val="clear" w:color="auto" w:fill="auto"/>
          </w:tcPr>
          <w:p w14:paraId="26643A66" w14:textId="77777777" w:rsidR="00486FFB" w:rsidRPr="009C5807" w:rsidRDefault="00486FFB" w:rsidP="00B03A04">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6E2121E6" w14:textId="77777777" w:rsidR="00486FFB" w:rsidRPr="009C5807" w:rsidRDefault="00486FFB" w:rsidP="00B03A04">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081E57A7" w14:textId="77777777" w:rsidR="00486FFB" w:rsidRPr="009C5807" w:rsidRDefault="00486FFB" w:rsidP="00B03A04">
            <w:pPr>
              <w:pStyle w:val="TAH"/>
            </w:pPr>
            <w:r w:rsidRPr="009C5807">
              <w:t>dBm/BW</w:t>
            </w:r>
            <w:r w:rsidRPr="009C5807">
              <w:rPr>
                <w:vertAlign w:val="subscript"/>
              </w:rPr>
              <w:t>Channel</w:t>
            </w:r>
          </w:p>
        </w:tc>
      </w:tr>
      <w:tr w:rsidR="00486FFB" w:rsidRPr="009C5807" w14:paraId="06679A64" w14:textId="77777777" w:rsidTr="00B03A04">
        <w:trPr>
          <w:trHeight w:val="307"/>
          <w:jc w:val="center"/>
        </w:trPr>
        <w:tc>
          <w:tcPr>
            <w:tcW w:w="1034" w:type="dxa"/>
            <w:tcBorders>
              <w:left w:val="single" w:sz="4" w:space="0" w:color="auto"/>
              <w:bottom w:val="single" w:sz="6" w:space="0" w:color="auto"/>
              <w:right w:val="single" w:sz="6" w:space="0" w:color="auto"/>
            </w:tcBorders>
            <w:shd w:val="clear" w:color="auto" w:fill="auto"/>
          </w:tcPr>
          <w:p w14:paraId="3ED8107A" w14:textId="77777777" w:rsidR="00486FFB" w:rsidRPr="009C5807" w:rsidRDefault="00486FFB" w:rsidP="00B03A04">
            <w:pPr>
              <w:pStyle w:val="TAH"/>
            </w:pPr>
          </w:p>
        </w:tc>
        <w:tc>
          <w:tcPr>
            <w:tcW w:w="1048" w:type="dxa"/>
            <w:tcBorders>
              <w:left w:val="single" w:sz="6" w:space="0" w:color="auto"/>
              <w:bottom w:val="single" w:sz="6" w:space="0" w:color="auto"/>
              <w:right w:val="single" w:sz="6" w:space="0" w:color="auto"/>
            </w:tcBorders>
            <w:shd w:val="clear" w:color="auto" w:fill="auto"/>
          </w:tcPr>
          <w:p w14:paraId="01FCFB74" w14:textId="77777777" w:rsidR="00486FFB" w:rsidRPr="009C5807" w:rsidRDefault="00486FFB" w:rsidP="00B03A04">
            <w:pPr>
              <w:pStyle w:val="TAH"/>
            </w:pPr>
          </w:p>
        </w:tc>
        <w:tc>
          <w:tcPr>
            <w:tcW w:w="805" w:type="dxa"/>
            <w:tcBorders>
              <w:left w:val="single" w:sz="6" w:space="0" w:color="auto"/>
              <w:bottom w:val="single" w:sz="6" w:space="0" w:color="auto"/>
              <w:right w:val="single" w:sz="4" w:space="0" w:color="auto"/>
            </w:tcBorders>
            <w:shd w:val="clear" w:color="auto" w:fill="auto"/>
          </w:tcPr>
          <w:p w14:paraId="61475087" w14:textId="77777777" w:rsidR="00486FFB" w:rsidRPr="009C5807" w:rsidRDefault="00486FFB" w:rsidP="00B03A04">
            <w:pPr>
              <w:pStyle w:val="TAH"/>
            </w:pPr>
          </w:p>
        </w:tc>
        <w:tc>
          <w:tcPr>
            <w:tcW w:w="2317" w:type="dxa"/>
            <w:tcBorders>
              <w:left w:val="single" w:sz="4" w:space="0" w:color="auto"/>
              <w:bottom w:val="single" w:sz="4" w:space="0" w:color="auto"/>
              <w:right w:val="single" w:sz="4" w:space="0" w:color="auto"/>
            </w:tcBorders>
            <w:shd w:val="clear" w:color="auto" w:fill="auto"/>
          </w:tcPr>
          <w:p w14:paraId="07E93E83" w14:textId="77777777" w:rsidR="00486FFB" w:rsidRPr="009C5807" w:rsidRDefault="00486FFB" w:rsidP="00B03A04">
            <w:pPr>
              <w:pStyle w:val="TAH"/>
            </w:pP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1A0FEE8D" w14:textId="77777777" w:rsidR="00486FFB" w:rsidRPr="009C5807" w:rsidRDefault="00486FFB" w:rsidP="00B03A04">
            <w:pPr>
              <w:pStyle w:val="TAH"/>
              <w:rPr>
                <w:rFonts w:cs="Arial"/>
              </w:rPr>
            </w:pPr>
            <w:r w:rsidRPr="009C5807">
              <w:t>SCS</w:t>
            </w:r>
            <w:r w:rsidRPr="009C5807">
              <w:rPr>
                <w:vertAlign w:val="subscript"/>
              </w:rPr>
              <w:t>SSB</w:t>
            </w:r>
            <w:r w:rsidRPr="009C5807">
              <w:rPr>
                <w:rFonts w:cs="Arial"/>
              </w:rPr>
              <w:t xml:space="preserve"> = 15 kHz</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703F4B38" w14:textId="77777777" w:rsidR="00486FFB" w:rsidRPr="009C5807" w:rsidRDefault="00486FFB" w:rsidP="00B03A04">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4735A5CB" w14:textId="77777777" w:rsidR="00486FFB" w:rsidRPr="009C5807" w:rsidRDefault="00486FFB" w:rsidP="00B03A04">
            <w:pPr>
              <w:pStyle w:val="TAH"/>
            </w:pPr>
          </w:p>
        </w:tc>
        <w:tc>
          <w:tcPr>
            <w:tcW w:w="1440" w:type="dxa"/>
            <w:tcBorders>
              <w:left w:val="single" w:sz="6" w:space="0" w:color="auto"/>
              <w:bottom w:val="single" w:sz="6" w:space="0" w:color="auto"/>
              <w:right w:val="single" w:sz="4" w:space="0" w:color="auto"/>
            </w:tcBorders>
            <w:shd w:val="clear" w:color="auto" w:fill="auto"/>
          </w:tcPr>
          <w:p w14:paraId="70263FB9" w14:textId="77777777" w:rsidR="00486FFB" w:rsidRPr="009C5807" w:rsidRDefault="00486FFB" w:rsidP="00B03A04">
            <w:pPr>
              <w:pStyle w:val="TAH"/>
            </w:pPr>
          </w:p>
        </w:tc>
      </w:tr>
      <w:tr w:rsidR="0058457E" w:rsidRPr="009C5807" w14:paraId="1C9F59D7" w14:textId="77777777" w:rsidTr="00B03A04">
        <w:trPr>
          <w:jc w:val="center"/>
        </w:trPr>
        <w:tc>
          <w:tcPr>
            <w:tcW w:w="1034" w:type="dxa"/>
            <w:tcBorders>
              <w:top w:val="single" w:sz="6" w:space="0" w:color="auto"/>
              <w:left w:val="single" w:sz="4" w:space="0" w:color="auto"/>
              <w:right w:val="single" w:sz="6" w:space="0" w:color="auto"/>
            </w:tcBorders>
            <w:shd w:val="clear" w:color="auto" w:fill="auto"/>
          </w:tcPr>
          <w:p w14:paraId="4F9A9D4F" w14:textId="6E71D65D" w:rsidR="0058457E" w:rsidRPr="009C5807" w:rsidRDefault="0058457E" w:rsidP="00B03A04">
            <w:pPr>
              <w:pStyle w:val="TAC"/>
            </w:pPr>
          </w:p>
        </w:tc>
        <w:tc>
          <w:tcPr>
            <w:tcW w:w="1048" w:type="dxa"/>
            <w:tcBorders>
              <w:top w:val="single" w:sz="6" w:space="0" w:color="auto"/>
              <w:left w:val="single" w:sz="6" w:space="0" w:color="auto"/>
              <w:right w:val="single" w:sz="6" w:space="0" w:color="auto"/>
            </w:tcBorders>
            <w:shd w:val="clear" w:color="auto" w:fill="auto"/>
          </w:tcPr>
          <w:p w14:paraId="7991B544" w14:textId="7FC973F1" w:rsidR="0058457E" w:rsidRPr="009C5807" w:rsidRDefault="0058457E" w:rsidP="00B03A04">
            <w:pPr>
              <w:pStyle w:val="TAC"/>
            </w:pPr>
          </w:p>
        </w:tc>
        <w:tc>
          <w:tcPr>
            <w:tcW w:w="805" w:type="dxa"/>
            <w:tcBorders>
              <w:top w:val="single" w:sz="6" w:space="0" w:color="auto"/>
              <w:left w:val="single" w:sz="6" w:space="0" w:color="auto"/>
              <w:right w:val="single" w:sz="6" w:space="0" w:color="auto"/>
            </w:tcBorders>
            <w:shd w:val="clear" w:color="auto" w:fill="auto"/>
          </w:tcPr>
          <w:p w14:paraId="65E3DC2D" w14:textId="05AAAD5D" w:rsidR="0058457E" w:rsidRPr="009C5807" w:rsidRDefault="0058457E" w:rsidP="00B03A04">
            <w:pPr>
              <w:pStyle w:val="TAC"/>
            </w:pPr>
          </w:p>
        </w:tc>
        <w:tc>
          <w:tcPr>
            <w:tcW w:w="2317" w:type="dxa"/>
            <w:tcBorders>
              <w:top w:val="single" w:sz="4" w:space="0" w:color="auto"/>
              <w:left w:val="single" w:sz="6" w:space="0" w:color="auto"/>
              <w:bottom w:val="single" w:sz="6" w:space="0" w:color="auto"/>
              <w:right w:val="single" w:sz="4" w:space="0" w:color="auto"/>
            </w:tcBorders>
            <w:shd w:val="clear" w:color="auto" w:fill="auto"/>
          </w:tcPr>
          <w:p w14:paraId="71828888" w14:textId="77777777" w:rsidR="0058457E" w:rsidRPr="009C5807" w:rsidRDefault="0058457E" w:rsidP="00B03A04">
            <w:pPr>
              <w:pStyle w:val="TAC"/>
            </w:pPr>
            <w:r w:rsidRPr="009C5807">
              <w:t>NR_FDD_FR1_A, NR_TDD_FR1_A,</w:t>
            </w:r>
          </w:p>
          <w:p w14:paraId="37BCAF9C" w14:textId="77777777" w:rsidR="0058457E" w:rsidRPr="009C5807" w:rsidRDefault="0058457E" w:rsidP="00B03A04">
            <w:pPr>
              <w:pStyle w:val="TAC"/>
            </w:pPr>
            <w:r w:rsidRPr="009C5807">
              <w:t>NR_SDL_FR1_A</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5CA9C438" w14:textId="77777777" w:rsidR="0058457E" w:rsidRPr="009C5807" w:rsidRDefault="0058457E" w:rsidP="00B03A04">
            <w:pPr>
              <w:pStyle w:val="TAC"/>
            </w:pPr>
            <w:r w:rsidRPr="009C5807">
              <w:t>-121</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77D97C4C" w14:textId="77777777" w:rsidR="0058457E" w:rsidRPr="009C5807" w:rsidRDefault="0058457E" w:rsidP="00B03A04">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D825549"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C0EBE17" w14:textId="77777777" w:rsidR="0058457E" w:rsidRPr="009C5807" w:rsidRDefault="0058457E" w:rsidP="00B03A04">
            <w:pPr>
              <w:pStyle w:val="TAC"/>
            </w:pPr>
            <w:r w:rsidRPr="009C5807">
              <w:t>-50</w:t>
            </w:r>
          </w:p>
        </w:tc>
      </w:tr>
      <w:tr w:rsidR="0058457E" w:rsidRPr="009C5807" w14:paraId="59F0ADF7" w14:textId="77777777" w:rsidTr="00B03A04">
        <w:trPr>
          <w:jc w:val="center"/>
        </w:trPr>
        <w:tc>
          <w:tcPr>
            <w:tcW w:w="1034" w:type="dxa"/>
            <w:tcBorders>
              <w:left w:val="single" w:sz="4" w:space="0" w:color="auto"/>
              <w:right w:val="single" w:sz="6" w:space="0" w:color="auto"/>
            </w:tcBorders>
            <w:shd w:val="clear" w:color="auto" w:fill="auto"/>
          </w:tcPr>
          <w:p w14:paraId="28464CA5" w14:textId="77777777" w:rsidR="0058457E" w:rsidRPr="009C5807" w:rsidRDefault="0058457E" w:rsidP="00B03A04">
            <w:pPr>
              <w:pStyle w:val="TAC"/>
            </w:pPr>
          </w:p>
        </w:tc>
        <w:tc>
          <w:tcPr>
            <w:tcW w:w="1048" w:type="dxa"/>
            <w:tcBorders>
              <w:left w:val="single" w:sz="6" w:space="0" w:color="auto"/>
              <w:right w:val="single" w:sz="6" w:space="0" w:color="auto"/>
            </w:tcBorders>
            <w:shd w:val="clear" w:color="auto" w:fill="auto"/>
          </w:tcPr>
          <w:p w14:paraId="2BF730FB" w14:textId="77777777" w:rsidR="0058457E" w:rsidRPr="009C5807" w:rsidRDefault="0058457E" w:rsidP="00B03A04">
            <w:pPr>
              <w:pStyle w:val="TAC"/>
            </w:pPr>
          </w:p>
        </w:tc>
        <w:tc>
          <w:tcPr>
            <w:tcW w:w="805" w:type="dxa"/>
            <w:tcBorders>
              <w:left w:val="single" w:sz="6" w:space="0" w:color="auto"/>
              <w:right w:val="single" w:sz="6" w:space="0" w:color="auto"/>
            </w:tcBorders>
            <w:shd w:val="clear" w:color="auto" w:fill="auto"/>
          </w:tcPr>
          <w:p w14:paraId="451EDB42" w14:textId="77777777" w:rsidR="0058457E" w:rsidRPr="009C5807" w:rsidRDefault="0058457E" w:rsidP="00B03A04">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4BCE5728" w14:textId="77777777" w:rsidR="0058457E" w:rsidRPr="009C5807" w:rsidRDefault="0058457E" w:rsidP="00B03A04">
            <w:pPr>
              <w:pStyle w:val="TAC"/>
            </w:pPr>
            <w:r w:rsidRPr="009C5807">
              <w:t>NR_FDD_FR1_B</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45F26DC0" w14:textId="77777777" w:rsidR="0058457E" w:rsidRPr="009C5807" w:rsidRDefault="0058457E" w:rsidP="00B03A04">
            <w:pPr>
              <w:pStyle w:val="TAC"/>
            </w:pPr>
            <w:r w:rsidRPr="009C5807">
              <w:t>-120.5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00693EE3" w14:textId="77777777" w:rsidR="0058457E" w:rsidRPr="009C5807" w:rsidRDefault="0058457E" w:rsidP="00B03A04">
            <w:pPr>
              <w:pStyle w:val="TAC"/>
              <w:rPr>
                <w:rFonts w:cs="Arial"/>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09E3FAA" w14:textId="77777777" w:rsidR="0058457E" w:rsidRPr="009C5807" w:rsidRDefault="0058457E" w:rsidP="00B03A04">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1FD3540" w14:textId="77777777" w:rsidR="0058457E" w:rsidRPr="009C5807" w:rsidRDefault="0058457E" w:rsidP="00B03A04">
            <w:pPr>
              <w:pStyle w:val="TAC"/>
            </w:pPr>
            <w:r w:rsidRPr="009C5807">
              <w:t>-50</w:t>
            </w:r>
          </w:p>
        </w:tc>
      </w:tr>
      <w:tr w:rsidR="0058457E" w:rsidRPr="009C5807" w14:paraId="6A850071" w14:textId="77777777" w:rsidTr="00B03A04">
        <w:trPr>
          <w:jc w:val="center"/>
        </w:trPr>
        <w:tc>
          <w:tcPr>
            <w:tcW w:w="1034" w:type="dxa"/>
            <w:tcBorders>
              <w:left w:val="single" w:sz="4" w:space="0" w:color="auto"/>
              <w:right w:val="single" w:sz="6" w:space="0" w:color="auto"/>
            </w:tcBorders>
            <w:shd w:val="clear" w:color="auto" w:fill="auto"/>
          </w:tcPr>
          <w:p w14:paraId="014ED525" w14:textId="77777777" w:rsidR="0058457E" w:rsidRPr="009C5807" w:rsidRDefault="0058457E" w:rsidP="00B03A04">
            <w:pPr>
              <w:pStyle w:val="TAC"/>
            </w:pPr>
          </w:p>
        </w:tc>
        <w:tc>
          <w:tcPr>
            <w:tcW w:w="1048" w:type="dxa"/>
            <w:tcBorders>
              <w:left w:val="single" w:sz="6" w:space="0" w:color="auto"/>
              <w:right w:val="single" w:sz="6" w:space="0" w:color="auto"/>
            </w:tcBorders>
            <w:shd w:val="clear" w:color="auto" w:fill="auto"/>
          </w:tcPr>
          <w:p w14:paraId="48539BF2" w14:textId="77777777" w:rsidR="0058457E" w:rsidRPr="009C5807" w:rsidRDefault="0058457E" w:rsidP="00B03A04">
            <w:pPr>
              <w:pStyle w:val="TAC"/>
            </w:pPr>
          </w:p>
        </w:tc>
        <w:tc>
          <w:tcPr>
            <w:tcW w:w="805" w:type="dxa"/>
            <w:tcBorders>
              <w:left w:val="single" w:sz="6" w:space="0" w:color="auto"/>
              <w:right w:val="single" w:sz="6" w:space="0" w:color="auto"/>
            </w:tcBorders>
            <w:shd w:val="clear" w:color="auto" w:fill="auto"/>
          </w:tcPr>
          <w:p w14:paraId="4A9272E6" w14:textId="77777777" w:rsidR="0058457E" w:rsidRPr="009C5807" w:rsidRDefault="0058457E" w:rsidP="00B03A04">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6F4EBAA4" w14:textId="77777777" w:rsidR="0058457E" w:rsidRPr="009C5807" w:rsidRDefault="0058457E" w:rsidP="00B03A04">
            <w:pPr>
              <w:pStyle w:val="TAC"/>
            </w:pPr>
            <w:r w:rsidRPr="009C5807">
              <w:t>NR_TDD_FR1_C</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3A5B24A8" w14:textId="77777777" w:rsidR="0058457E" w:rsidRPr="009C5807" w:rsidRDefault="0058457E" w:rsidP="00B03A04">
            <w:pPr>
              <w:pStyle w:val="TAC"/>
            </w:pPr>
            <w:r w:rsidRPr="009C5807">
              <w:t>-120</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559A1D44" w14:textId="77777777" w:rsidR="0058457E" w:rsidRPr="009C5807" w:rsidRDefault="0058457E" w:rsidP="00B03A04">
            <w:pPr>
              <w:pStyle w:val="TAC"/>
              <w:rPr>
                <w:rFonts w:cs="Arial"/>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461AA8C"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1D88578" w14:textId="77777777" w:rsidR="0058457E" w:rsidRPr="009C5807" w:rsidRDefault="0058457E" w:rsidP="00B03A04">
            <w:pPr>
              <w:pStyle w:val="TAC"/>
            </w:pPr>
            <w:r w:rsidRPr="009C5807">
              <w:t>-50</w:t>
            </w:r>
          </w:p>
        </w:tc>
      </w:tr>
      <w:tr w:rsidR="00BF46B4" w:rsidRPr="009C5807" w14:paraId="70776B3B" w14:textId="77777777" w:rsidTr="00B03A04">
        <w:trPr>
          <w:jc w:val="center"/>
        </w:trPr>
        <w:tc>
          <w:tcPr>
            <w:tcW w:w="1034" w:type="dxa"/>
            <w:tcBorders>
              <w:left w:val="single" w:sz="4" w:space="0" w:color="auto"/>
              <w:right w:val="single" w:sz="6" w:space="0" w:color="auto"/>
            </w:tcBorders>
            <w:shd w:val="clear" w:color="auto" w:fill="auto"/>
          </w:tcPr>
          <w:p w14:paraId="0B6EE392" w14:textId="7A337136" w:rsidR="00BF46B4" w:rsidRPr="009C5807" w:rsidRDefault="00BF46B4" w:rsidP="00B03A04">
            <w:pPr>
              <w:pStyle w:val="TAC"/>
            </w:pPr>
            <w:r w:rsidRPr="009C5807">
              <w:sym w:font="Symbol" w:char="F0B1"/>
            </w:r>
            <w:r w:rsidRPr="009C5807">
              <w:t>2.5</w:t>
            </w:r>
          </w:p>
        </w:tc>
        <w:tc>
          <w:tcPr>
            <w:tcW w:w="1048" w:type="dxa"/>
            <w:tcBorders>
              <w:left w:val="single" w:sz="6" w:space="0" w:color="auto"/>
              <w:right w:val="single" w:sz="6" w:space="0" w:color="auto"/>
            </w:tcBorders>
            <w:shd w:val="clear" w:color="auto" w:fill="auto"/>
          </w:tcPr>
          <w:p w14:paraId="381D0D77" w14:textId="228B2BB7" w:rsidR="00BF46B4" w:rsidRPr="009C5807" w:rsidRDefault="00BF46B4" w:rsidP="00B03A04">
            <w:pPr>
              <w:pStyle w:val="TAC"/>
            </w:pPr>
            <w:r w:rsidRPr="009C5807">
              <w:sym w:font="Symbol" w:char="F0B1"/>
            </w:r>
            <w:r w:rsidRPr="009C5807">
              <w:t>4</w:t>
            </w:r>
          </w:p>
        </w:tc>
        <w:tc>
          <w:tcPr>
            <w:tcW w:w="805" w:type="dxa"/>
            <w:tcBorders>
              <w:left w:val="single" w:sz="6" w:space="0" w:color="auto"/>
              <w:right w:val="single" w:sz="6" w:space="0" w:color="auto"/>
            </w:tcBorders>
            <w:shd w:val="clear" w:color="auto" w:fill="auto"/>
          </w:tcPr>
          <w:p w14:paraId="4D9A5543" w14:textId="5018D223" w:rsidR="00BF46B4" w:rsidRPr="009C5807" w:rsidRDefault="00BF46B4" w:rsidP="00B03A04">
            <w:pPr>
              <w:pStyle w:val="TAC"/>
            </w:pPr>
            <w:r w:rsidRPr="009C5807">
              <w:sym w:font="Symbol" w:char="F0B3"/>
            </w:r>
            <w:r w:rsidRPr="009C5807">
              <w:t>-3</w:t>
            </w: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34C5CCAC" w14:textId="77777777" w:rsidR="00BF46B4" w:rsidRPr="009C5807" w:rsidRDefault="00BF46B4" w:rsidP="00B03A04">
            <w:pPr>
              <w:pStyle w:val="TAC"/>
              <w:rPr>
                <w:lang w:val="sv-SE"/>
              </w:rPr>
            </w:pPr>
            <w:r w:rsidRPr="009C5807">
              <w:rPr>
                <w:lang w:val="sv-SE"/>
              </w:rPr>
              <w:t>NR_FDD_FR1_D, NR_TDD_FR1_D</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2349BA74" w14:textId="77777777" w:rsidR="00BF46B4" w:rsidRPr="009C5807" w:rsidRDefault="00BF46B4" w:rsidP="00B03A04">
            <w:pPr>
              <w:pStyle w:val="TAC"/>
            </w:pPr>
            <w:r w:rsidRPr="009C5807">
              <w:t>-119.5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5E82B10E" w14:textId="77777777" w:rsidR="00BF46B4" w:rsidRPr="009C5807" w:rsidRDefault="00BF46B4" w:rsidP="00B03A04">
            <w:pPr>
              <w:pStyle w:val="TAC"/>
              <w:rPr>
                <w:rFonts w:cs="Arial"/>
              </w:rPr>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6CF59C6" w14:textId="77777777" w:rsidR="00BF46B4" w:rsidRPr="009C5807" w:rsidRDefault="00BF46B4"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BB3EC26" w14:textId="77777777" w:rsidR="00BF46B4" w:rsidRPr="009C5807" w:rsidRDefault="00BF46B4" w:rsidP="00B03A04">
            <w:pPr>
              <w:pStyle w:val="TAC"/>
            </w:pPr>
            <w:r w:rsidRPr="009C5807">
              <w:t>-50</w:t>
            </w:r>
          </w:p>
        </w:tc>
      </w:tr>
      <w:tr w:rsidR="0058457E" w:rsidRPr="009C5807" w14:paraId="1714D3F8" w14:textId="77777777" w:rsidTr="00B03A04">
        <w:trPr>
          <w:jc w:val="center"/>
        </w:trPr>
        <w:tc>
          <w:tcPr>
            <w:tcW w:w="1034" w:type="dxa"/>
            <w:tcBorders>
              <w:left w:val="single" w:sz="4" w:space="0" w:color="auto"/>
              <w:right w:val="single" w:sz="6" w:space="0" w:color="auto"/>
            </w:tcBorders>
            <w:shd w:val="clear" w:color="auto" w:fill="auto"/>
          </w:tcPr>
          <w:p w14:paraId="3059B956" w14:textId="77777777" w:rsidR="0058457E" w:rsidRPr="009C5807" w:rsidRDefault="0058457E" w:rsidP="00B03A04">
            <w:pPr>
              <w:pStyle w:val="TAC"/>
            </w:pPr>
          </w:p>
        </w:tc>
        <w:tc>
          <w:tcPr>
            <w:tcW w:w="1048" w:type="dxa"/>
            <w:tcBorders>
              <w:left w:val="single" w:sz="6" w:space="0" w:color="auto"/>
              <w:right w:val="single" w:sz="6" w:space="0" w:color="auto"/>
            </w:tcBorders>
            <w:shd w:val="clear" w:color="auto" w:fill="auto"/>
          </w:tcPr>
          <w:p w14:paraId="7D27D84D" w14:textId="77777777" w:rsidR="0058457E" w:rsidRPr="009C5807" w:rsidRDefault="0058457E" w:rsidP="00B03A04">
            <w:pPr>
              <w:pStyle w:val="TAC"/>
            </w:pPr>
          </w:p>
        </w:tc>
        <w:tc>
          <w:tcPr>
            <w:tcW w:w="805" w:type="dxa"/>
            <w:tcBorders>
              <w:left w:val="single" w:sz="6" w:space="0" w:color="auto"/>
              <w:right w:val="single" w:sz="6" w:space="0" w:color="auto"/>
            </w:tcBorders>
            <w:shd w:val="clear" w:color="auto" w:fill="auto"/>
          </w:tcPr>
          <w:p w14:paraId="7CA20DC9" w14:textId="77777777" w:rsidR="0058457E" w:rsidRPr="009C5807" w:rsidRDefault="0058457E" w:rsidP="00B03A04">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6FF7D61F" w14:textId="77777777" w:rsidR="0058457E" w:rsidRPr="009C5807" w:rsidDel="00836998" w:rsidRDefault="0058457E" w:rsidP="00B03A04">
            <w:pPr>
              <w:pStyle w:val="TAC"/>
              <w:rPr>
                <w:lang w:val="sv-SE"/>
              </w:rPr>
            </w:pPr>
            <w:r w:rsidRPr="009C5807">
              <w:rPr>
                <w:lang w:val="sv-SE"/>
              </w:rPr>
              <w:t>NR_FDD_FR1_E, NR_TDD_FR1_E</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11DE5814" w14:textId="77777777" w:rsidR="0058457E" w:rsidRPr="009C5807" w:rsidRDefault="0058457E" w:rsidP="00B03A04">
            <w:pPr>
              <w:pStyle w:val="TAC"/>
            </w:pPr>
            <w:r w:rsidRPr="009C5807">
              <w:t>-119</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19E5B1A3" w14:textId="77777777" w:rsidR="0058457E" w:rsidRPr="009C5807" w:rsidRDefault="0058457E" w:rsidP="00B03A04">
            <w:pPr>
              <w:pStyle w:val="TAC"/>
              <w:rPr>
                <w:rFonts w:cs="Arial"/>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BDC80CD"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545EFFE" w14:textId="77777777" w:rsidR="0058457E" w:rsidRPr="009C5807" w:rsidRDefault="0058457E" w:rsidP="00B03A04">
            <w:pPr>
              <w:pStyle w:val="TAC"/>
            </w:pPr>
            <w:r w:rsidRPr="009C5807">
              <w:t>-50</w:t>
            </w:r>
          </w:p>
        </w:tc>
      </w:tr>
      <w:tr w:rsidR="00D94CA6" w:rsidRPr="009C5807" w14:paraId="75191782" w14:textId="77777777" w:rsidTr="00B03A04">
        <w:trPr>
          <w:jc w:val="center"/>
        </w:trPr>
        <w:tc>
          <w:tcPr>
            <w:tcW w:w="1034" w:type="dxa"/>
            <w:tcBorders>
              <w:left w:val="single" w:sz="4" w:space="0" w:color="auto"/>
              <w:right w:val="single" w:sz="6" w:space="0" w:color="auto"/>
            </w:tcBorders>
            <w:shd w:val="clear" w:color="auto" w:fill="auto"/>
          </w:tcPr>
          <w:p w14:paraId="4D26C291" w14:textId="77777777" w:rsidR="00D94CA6" w:rsidRPr="009C5807" w:rsidRDefault="00D94CA6" w:rsidP="00B03A04">
            <w:pPr>
              <w:pStyle w:val="TAC"/>
            </w:pPr>
          </w:p>
        </w:tc>
        <w:tc>
          <w:tcPr>
            <w:tcW w:w="1048" w:type="dxa"/>
            <w:tcBorders>
              <w:left w:val="single" w:sz="6" w:space="0" w:color="auto"/>
              <w:right w:val="single" w:sz="6" w:space="0" w:color="auto"/>
            </w:tcBorders>
            <w:shd w:val="clear" w:color="auto" w:fill="auto"/>
          </w:tcPr>
          <w:p w14:paraId="63030539" w14:textId="77777777" w:rsidR="00D94CA6" w:rsidRPr="009C5807" w:rsidRDefault="00D94CA6" w:rsidP="00B03A04">
            <w:pPr>
              <w:pStyle w:val="TAC"/>
            </w:pPr>
          </w:p>
        </w:tc>
        <w:tc>
          <w:tcPr>
            <w:tcW w:w="805" w:type="dxa"/>
            <w:tcBorders>
              <w:left w:val="single" w:sz="6" w:space="0" w:color="auto"/>
              <w:right w:val="single" w:sz="6" w:space="0" w:color="auto"/>
            </w:tcBorders>
            <w:shd w:val="clear" w:color="auto" w:fill="auto"/>
          </w:tcPr>
          <w:p w14:paraId="05EC3FAA" w14:textId="77777777" w:rsidR="00D94CA6" w:rsidRPr="009C5807" w:rsidRDefault="00D94CA6" w:rsidP="00B03A04">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53531C12" w14:textId="4ED6B22F" w:rsidR="00D94CA6" w:rsidRPr="009C5807" w:rsidRDefault="00D94CA6" w:rsidP="00B03A04">
            <w:pPr>
              <w:pStyle w:val="TAC"/>
              <w:rPr>
                <w:lang w:val="sv-SE"/>
              </w:rPr>
            </w:pPr>
            <w:r w:rsidRPr="009C5807">
              <w:rPr>
                <w:lang w:eastAsia="zh-CN"/>
              </w:rPr>
              <w:t>NR_FDD_FR1_F</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3668CB09" w14:textId="1D7E8AF2" w:rsidR="00D94CA6" w:rsidRPr="009C5807" w:rsidRDefault="00D94CA6" w:rsidP="00B03A04">
            <w:pPr>
              <w:pStyle w:val="TAC"/>
            </w:pPr>
            <w:r w:rsidRPr="009C5807">
              <w:t>-118.5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6D41F2B5" w14:textId="1AA51F89" w:rsidR="00D94CA6" w:rsidRPr="009C5807" w:rsidRDefault="00D94CA6" w:rsidP="00B03A04">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608ECD0" w14:textId="4BB79865" w:rsidR="00D94CA6" w:rsidRPr="009C5807" w:rsidRDefault="00D94CA6"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F71A021" w14:textId="5D5E3B6C" w:rsidR="00D94CA6" w:rsidRPr="009C5807" w:rsidRDefault="00D94CA6" w:rsidP="00B03A04">
            <w:pPr>
              <w:pStyle w:val="TAC"/>
            </w:pPr>
            <w:r w:rsidRPr="009C5807">
              <w:t>-50</w:t>
            </w:r>
          </w:p>
        </w:tc>
      </w:tr>
      <w:tr w:rsidR="00D94CA6" w:rsidRPr="009C5807" w14:paraId="676580D6" w14:textId="77777777" w:rsidTr="00B03A04">
        <w:trPr>
          <w:jc w:val="center"/>
        </w:trPr>
        <w:tc>
          <w:tcPr>
            <w:tcW w:w="1034" w:type="dxa"/>
            <w:tcBorders>
              <w:left w:val="single" w:sz="4" w:space="0" w:color="auto"/>
              <w:right w:val="single" w:sz="6" w:space="0" w:color="auto"/>
            </w:tcBorders>
            <w:shd w:val="clear" w:color="auto" w:fill="auto"/>
          </w:tcPr>
          <w:p w14:paraId="15148BC4" w14:textId="77777777" w:rsidR="00D94CA6" w:rsidRPr="009C5807" w:rsidRDefault="00D94CA6" w:rsidP="00B03A04">
            <w:pPr>
              <w:pStyle w:val="TAC"/>
            </w:pPr>
          </w:p>
        </w:tc>
        <w:tc>
          <w:tcPr>
            <w:tcW w:w="1048" w:type="dxa"/>
            <w:tcBorders>
              <w:left w:val="single" w:sz="6" w:space="0" w:color="auto"/>
              <w:right w:val="single" w:sz="6" w:space="0" w:color="auto"/>
            </w:tcBorders>
            <w:shd w:val="clear" w:color="auto" w:fill="auto"/>
          </w:tcPr>
          <w:p w14:paraId="50429A4C" w14:textId="77777777" w:rsidR="00D94CA6" w:rsidRPr="009C5807" w:rsidRDefault="00D94CA6" w:rsidP="00B03A04">
            <w:pPr>
              <w:pStyle w:val="TAC"/>
            </w:pPr>
          </w:p>
        </w:tc>
        <w:tc>
          <w:tcPr>
            <w:tcW w:w="805" w:type="dxa"/>
            <w:tcBorders>
              <w:left w:val="single" w:sz="6" w:space="0" w:color="auto"/>
              <w:right w:val="single" w:sz="6" w:space="0" w:color="auto"/>
            </w:tcBorders>
            <w:shd w:val="clear" w:color="auto" w:fill="auto"/>
          </w:tcPr>
          <w:p w14:paraId="26262303" w14:textId="77777777" w:rsidR="00D94CA6" w:rsidRPr="009C5807" w:rsidRDefault="00D94CA6" w:rsidP="00B03A04">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2019F5EB" w14:textId="77777777" w:rsidR="00D94CA6" w:rsidRPr="009C5807" w:rsidDel="00836998" w:rsidRDefault="00D94CA6" w:rsidP="00B03A04">
            <w:pPr>
              <w:pStyle w:val="TAC"/>
              <w:rPr>
                <w:lang w:eastAsia="zh-CN"/>
              </w:rPr>
            </w:pPr>
            <w:r w:rsidRPr="009C5807">
              <w:rPr>
                <w:lang w:eastAsia="zh-CN"/>
              </w:rPr>
              <w:t>NR</w:t>
            </w:r>
            <w:r w:rsidRPr="009C5807">
              <w:t>_</w:t>
            </w:r>
            <w:r w:rsidRPr="009C5807">
              <w:rPr>
                <w:lang w:eastAsia="zh-CN"/>
              </w:rPr>
              <w:t>FDD_FR1_G</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1EFC0B52" w14:textId="77777777" w:rsidR="00D94CA6" w:rsidRPr="009C5807" w:rsidRDefault="00D94CA6" w:rsidP="00B03A04">
            <w:pPr>
              <w:pStyle w:val="TAC"/>
            </w:pPr>
            <w:r w:rsidRPr="009C5807">
              <w:t>-118</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464AFF30" w14:textId="77777777" w:rsidR="00D94CA6" w:rsidRPr="009C5807" w:rsidRDefault="00D94CA6" w:rsidP="00B03A04">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62CA955" w14:textId="77777777" w:rsidR="00D94CA6" w:rsidRPr="009C5807" w:rsidRDefault="00D94CA6"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A68F400" w14:textId="77777777" w:rsidR="00D94CA6" w:rsidRPr="009C5807" w:rsidRDefault="00D94CA6" w:rsidP="00B03A04">
            <w:pPr>
              <w:pStyle w:val="TAC"/>
            </w:pPr>
            <w:r w:rsidRPr="009C5807">
              <w:t>-50</w:t>
            </w:r>
          </w:p>
        </w:tc>
      </w:tr>
      <w:tr w:rsidR="00D94CA6" w:rsidRPr="009C5807" w14:paraId="36DA390B" w14:textId="77777777" w:rsidTr="00B03A04">
        <w:trPr>
          <w:jc w:val="center"/>
        </w:trPr>
        <w:tc>
          <w:tcPr>
            <w:tcW w:w="1034" w:type="dxa"/>
            <w:tcBorders>
              <w:left w:val="single" w:sz="4" w:space="0" w:color="auto"/>
              <w:right w:val="single" w:sz="6" w:space="0" w:color="auto"/>
            </w:tcBorders>
            <w:shd w:val="clear" w:color="auto" w:fill="auto"/>
          </w:tcPr>
          <w:p w14:paraId="3C0C6D9B" w14:textId="77777777" w:rsidR="00D94CA6" w:rsidRPr="009C5807" w:rsidRDefault="00D94CA6" w:rsidP="00B03A04">
            <w:pPr>
              <w:pStyle w:val="TAC"/>
            </w:pPr>
          </w:p>
        </w:tc>
        <w:tc>
          <w:tcPr>
            <w:tcW w:w="1048" w:type="dxa"/>
            <w:tcBorders>
              <w:left w:val="single" w:sz="6" w:space="0" w:color="auto"/>
              <w:right w:val="single" w:sz="6" w:space="0" w:color="auto"/>
            </w:tcBorders>
            <w:shd w:val="clear" w:color="auto" w:fill="auto"/>
          </w:tcPr>
          <w:p w14:paraId="43D5A14F" w14:textId="77777777" w:rsidR="00D94CA6" w:rsidRPr="009C5807" w:rsidRDefault="00D94CA6" w:rsidP="00B03A04">
            <w:pPr>
              <w:pStyle w:val="TAC"/>
            </w:pPr>
          </w:p>
        </w:tc>
        <w:tc>
          <w:tcPr>
            <w:tcW w:w="805" w:type="dxa"/>
            <w:tcBorders>
              <w:left w:val="single" w:sz="6" w:space="0" w:color="auto"/>
              <w:right w:val="single" w:sz="6" w:space="0" w:color="auto"/>
            </w:tcBorders>
            <w:shd w:val="clear" w:color="auto" w:fill="auto"/>
          </w:tcPr>
          <w:p w14:paraId="759A30E8" w14:textId="77777777" w:rsidR="00D94CA6" w:rsidRPr="009C5807" w:rsidRDefault="00D94CA6" w:rsidP="00B03A04">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375332FC" w14:textId="77777777" w:rsidR="00D94CA6" w:rsidRPr="009C5807" w:rsidRDefault="00D94CA6" w:rsidP="00B03A04">
            <w:pPr>
              <w:pStyle w:val="TAC"/>
              <w:rPr>
                <w:lang w:eastAsia="zh-CN"/>
              </w:rPr>
            </w:pPr>
            <w:r w:rsidRPr="009C5807">
              <w:rPr>
                <w:lang w:eastAsia="zh-CN"/>
              </w:rPr>
              <w:t>NR</w:t>
            </w:r>
            <w:r w:rsidRPr="009C5807">
              <w:t>_</w:t>
            </w:r>
            <w:r w:rsidRPr="009C5807">
              <w:rPr>
                <w:lang w:eastAsia="zh-CN"/>
              </w:rPr>
              <w:t>FDD_FR1_H</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0DD7CD62" w14:textId="77777777" w:rsidR="00D94CA6" w:rsidRPr="009C5807" w:rsidRDefault="00D94CA6" w:rsidP="00B03A04">
            <w:pPr>
              <w:pStyle w:val="TAC"/>
            </w:pPr>
            <w:r w:rsidRPr="009C5807">
              <w:t>-117.5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2AEEE84B" w14:textId="77777777" w:rsidR="00D94CA6" w:rsidRPr="009C5807" w:rsidRDefault="00D94CA6" w:rsidP="00B03A04">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A5247DC" w14:textId="77777777" w:rsidR="00D94CA6" w:rsidRPr="009C5807" w:rsidRDefault="00D94CA6"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19B88C2" w14:textId="77777777" w:rsidR="00D94CA6" w:rsidRPr="009C5807" w:rsidRDefault="00D94CA6" w:rsidP="00B03A04">
            <w:pPr>
              <w:pStyle w:val="TAC"/>
            </w:pPr>
            <w:r w:rsidRPr="009C5807">
              <w:t>-50</w:t>
            </w:r>
          </w:p>
        </w:tc>
      </w:tr>
      <w:tr w:rsidR="00D94CA6" w:rsidRPr="009C5807" w14:paraId="7C929B54" w14:textId="77777777" w:rsidTr="00B03A04">
        <w:trPr>
          <w:jc w:val="center"/>
        </w:trPr>
        <w:tc>
          <w:tcPr>
            <w:tcW w:w="1034" w:type="dxa"/>
            <w:tcBorders>
              <w:top w:val="single" w:sz="6" w:space="0" w:color="auto"/>
              <w:left w:val="single" w:sz="4" w:space="0" w:color="auto"/>
              <w:bottom w:val="single" w:sz="6" w:space="0" w:color="auto"/>
              <w:right w:val="single" w:sz="6" w:space="0" w:color="auto"/>
            </w:tcBorders>
            <w:shd w:val="clear" w:color="auto" w:fill="auto"/>
          </w:tcPr>
          <w:p w14:paraId="6CCB282B" w14:textId="77777777" w:rsidR="00D94CA6" w:rsidRPr="009C5807" w:rsidRDefault="00D94CA6" w:rsidP="00B03A04">
            <w:pPr>
              <w:pStyle w:val="TAC"/>
            </w:pPr>
            <w:r w:rsidRPr="009C5807">
              <w:sym w:font="Symbol" w:char="F0B1"/>
            </w:r>
            <w:r w:rsidRPr="009C5807">
              <w:t>3.5</w:t>
            </w:r>
          </w:p>
        </w:tc>
        <w:tc>
          <w:tcPr>
            <w:tcW w:w="1048" w:type="dxa"/>
            <w:tcBorders>
              <w:top w:val="single" w:sz="6" w:space="0" w:color="auto"/>
              <w:left w:val="single" w:sz="6" w:space="0" w:color="auto"/>
              <w:bottom w:val="single" w:sz="6" w:space="0" w:color="auto"/>
              <w:right w:val="single" w:sz="6" w:space="0" w:color="auto"/>
            </w:tcBorders>
            <w:shd w:val="clear" w:color="auto" w:fill="auto"/>
          </w:tcPr>
          <w:p w14:paraId="48D0FD45" w14:textId="77777777" w:rsidR="00D94CA6" w:rsidRPr="009C5807" w:rsidRDefault="00D94CA6" w:rsidP="00B03A04">
            <w:pPr>
              <w:pStyle w:val="TAC"/>
            </w:pPr>
            <w:r w:rsidRPr="009C5807">
              <w:sym w:font="Symbol" w:char="F0B1"/>
            </w:r>
            <w:r w:rsidRPr="009C5807">
              <w:t>4</w:t>
            </w:r>
          </w:p>
        </w:tc>
        <w:tc>
          <w:tcPr>
            <w:tcW w:w="805" w:type="dxa"/>
            <w:tcBorders>
              <w:top w:val="single" w:sz="6" w:space="0" w:color="auto"/>
              <w:left w:val="single" w:sz="6" w:space="0" w:color="auto"/>
              <w:bottom w:val="single" w:sz="6" w:space="0" w:color="auto"/>
              <w:right w:val="single" w:sz="6" w:space="0" w:color="auto"/>
            </w:tcBorders>
            <w:shd w:val="clear" w:color="auto" w:fill="auto"/>
          </w:tcPr>
          <w:p w14:paraId="14911F74" w14:textId="258BE33B" w:rsidR="00D94CA6" w:rsidRPr="009C5807" w:rsidRDefault="00D94CA6" w:rsidP="00B03A04">
            <w:pPr>
              <w:pStyle w:val="TAC"/>
            </w:pPr>
            <w:r w:rsidRPr="009C5807">
              <w:sym w:font="Symbol" w:char="F0B3"/>
            </w:r>
            <w:r w:rsidRPr="009C5807">
              <w:t>-6</w:t>
            </w: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1E706163" w14:textId="77777777" w:rsidR="00D94CA6" w:rsidRPr="009C5807" w:rsidRDefault="00D94CA6" w:rsidP="00B03A04">
            <w:pPr>
              <w:pStyle w:val="TAC"/>
            </w:pPr>
            <w:r w:rsidRPr="009C5807">
              <w:t>Note 2</w:t>
            </w:r>
          </w:p>
        </w:tc>
        <w:tc>
          <w:tcPr>
            <w:tcW w:w="1003" w:type="dxa"/>
            <w:tcBorders>
              <w:top w:val="single" w:sz="6" w:space="0" w:color="auto"/>
              <w:left w:val="single" w:sz="4" w:space="0" w:color="auto"/>
              <w:bottom w:val="single" w:sz="4" w:space="0" w:color="auto"/>
              <w:right w:val="single" w:sz="6" w:space="0" w:color="auto"/>
            </w:tcBorders>
            <w:shd w:val="clear" w:color="auto" w:fill="auto"/>
          </w:tcPr>
          <w:p w14:paraId="5854C7F0" w14:textId="77777777" w:rsidR="00D94CA6" w:rsidRPr="009C5807" w:rsidRDefault="00D94CA6" w:rsidP="00B03A04">
            <w:pPr>
              <w:pStyle w:val="TAC"/>
            </w:pPr>
            <w:r w:rsidRPr="009C5807">
              <w:t>Note 2</w:t>
            </w:r>
          </w:p>
        </w:tc>
        <w:tc>
          <w:tcPr>
            <w:tcW w:w="1085" w:type="dxa"/>
            <w:tcBorders>
              <w:top w:val="single" w:sz="6" w:space="0" w:color="auto"/>
              <w:left w:val="single" w:sz="4" w:space="0" w:color="auto"/>
              <w:bottom w:val="single" w:sz="4" w:space="0" w:color="auto"/>
              <w:right w:val="single" w:sz="6" w:space="0" w:color="auto"/>
            </w:tcBorders>
            <w:shd w:val="clear" w:color="auto" w:fill="auto"/>
          </w:tcPr>
          <w:p w14:paraId="47872C23" w14:textId="77777777" w:rsidR="00D94CA6" w:rsidRPr="009C5807" w:rsidRDefault="00D94CA6" w:rsidP="00B03A04">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27B50E69" w14:textId="77777777" w:rsidR="00D94CA6" w:rsidRPr="009C5807" w:rsidRDefault="00D94CA6" w:rsidP="00B03A04">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67F6A7DC" w14:textId="77777777" w:rsidR="00D94CA6" w:rsidRPr="009C5807" w:rsidRDefault="00D94CA6" w:rsidP="00B03A04">
            <w:pPr>
              <w:pStyle w:val="TAC"/>
            </w:pPr>
            <w:r w:rsidRPr="009C5807">
              <w:t>Note 2</w:t>
            </w:r>
          </w:p>
        </w:tc>
      </w:tr>
      <w:tr w:rsidR="00D94CA6" w:rsidRPr="009C5807" w14:paraId="72E2B160"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F5DE1C0" w14:textId="77777777" w:rsidR="00D94CA6" w:rsidRPr="009C5807" w:rsidRDefault="00D94CA6" w:rsidP="00BF46B4">
            <w:pPr>
              <w:pStyle w:val="TAN"/>
            </w:pPr>
            <w:r w:rsidRPr="009C5807">
              <w:t>NOTE 1:</w:t>
            </w:r>
            <w:r w:rsidRPr="009C5807">
              <w:tab/>
              <w:t>Io is assumed to have constant EPRE across the bandwidth.</w:t>
            </w:r>
          </w:p>
          <w:p w14:paraId="6FAA3C84" w14:textId="77777777" w:rsidR="00D94CA6" w:rsidRPr="009C5807" w:rsidRDefault="00D94CA6" w:rsidP="00BF46B4">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70E095E0" w14:textId="77777777" w:rsidR="00D94CA6" w:rsidRPr="009C5807" w:rsidRDefault="00D94CA6" w:rsidP="00BF46B4">
            <w:pPr>
              <w:pStyle w:val="TAN"/>
            </w:pPr>
            <w:r w:rsidRPr="009C5807">
              <w:t>NOTE 3:</w:t>
            </w:r>
            <w:r w:rsidRPr="009C5807">
              <w:tab/>
              <w:t>NR operating band groups in FR1 are as defined in clause 3.5.2.</w:t>
            </w:r>
          </w:p>
        </w:tc>
      </w:tr>
    </w:tbl>
    <w:p w14:paraId="7DBBAB94" w14:textId="77777777" w:rsidR="001F5A79" w:rsidRPr="009C5807" w:rsidRDefault="001F5A79" w:rsidP="001F5A79"/>
    <w:p w14:paraId="04C2AB3D" w14:textId="77777777" w:rsidR="00550E13" w:rsidRDefault="00550E13" w:rsidP="00550E13">
      <w:pPr>
        <w:pStyle w:val="Heading4"/>
        <w:rPr>
          <w:lang w:val="en-US"/>
        </w:rPr>
      </w:pPr>
      <w:r>
        <w:rPr>
          <w:lang w:val="en-US"/>
        </w:rPr>
        <w:t>10.1.7.2</w:t>
      </w:r>
      <w:r>
        <w:rPr>
          <w:lang w:val="en-US"/>
        </w:rPr>
        <w:tab/>
        <w:t>Intra-frequency CSI-RSRQ accuracy requirements</w:t>
      </w:r>
    </w:p>
    <w:p w14:paraId="3B2FE841" w14:textId="77777777" w:rsidR="00550E13" w:rsidRDefault="00550E13" w:rsidP="00550E13">
      <w:pPr>
        <w:pStyle w:val="Heading5"/>
      </w:pPr>
      <w:r>
        <w:t>10.1.7.2.1</w:t>
      </w:r>
      <w:r>
        <w:tab/>
        <w:t xml:space="preserve">Absolute </w:t>
      </w:r>
      <w:r>
        <w:rPr>
          <w:lang w:val="en-US"/>
        </w:rPr>
        <w:t xml:space="preserve">CSI-RSRQ </w:t>
      </w:r>
      <w:r>
        <w:t>Accuracy</w:t>
      </w:r>
    </w:p>
    <w:p w14:paraId="37EDCCB6" w14:textId="77777777" w:rsidR="00550E13" w:rsidRDefault="00550E13" w:rsidP="00550E13">
      <w:pPr>
        <w:rPr>
          <w:rFonts w:cs="v4.2.0"/>
          <w:i/>
        </w:rPr>
      </w:pPr>
      <w:r>
        <w:rPr>
          <w:rFonts w:cs="v4.2.0"/>
        </w:rPr>
        <w:t xml:space="preserve">Unless otherwise specified, the requirements for absolute accuracy of </w:t>
      </w:r>
      <w:r>
        <w:rPr>
          <w:rFonts w:cs="v4.2.0"/>
          <w:lang w:eastAsia="zh-CN"/>
        </w:rPr>
        <w:t>CSI-RSRQ</w:t>
      </w:r>
      <w:r>
        <w:rPr>
          <w:rFonts w:cs="v4.2.0"/>
        </w:rPr>
        <w:t xml:space="preserve"> in this clause apply to the </w:t>
      </w:r>
      <w:r>
        <w:rPr>
          <w:rFonts w:cs="v4.2.0" w:hint="eastAsia"/>
          <w:lang w:eastAsia="zh-CN"/>
        </w:rPr>
        <w:t>intra-frequency measurement defined in 9.10.2.1</w:t>
      </w:r>
      <w:r>
        <w:rPr>
          <w:rFonts w:cs="v4.2.0"/>
        </w:rPr>
        <w:t xml:space="preserve"> in FR1.</w:t>
      </w:r>
    </w:p>
    <w:p w14:paraId="38D33B22" w14:textId="77777777" w:rsidR="00550E13" w:rsidRDefault="00550E13" w:rsidP="00550E13">
      <w:pPr>
        <w:rPr>
          <w:rFonts w:cs="v4.2.0"/>
        </w:rPr>
      </w:pPr>
      <w:r>
        <w:rPr>
          <w:rFonts w:cs="v4.2.0"/>
        </w:rPr>
        <w:t xml:space="preserve">The accuracy requirements in Table </w:t>
      </w:r>
      <w:r>
        <w:rPr>
          <w:rFonts w:cs="v4.2.0"/>
          <w:lang w:eastAsia="zh-CN"/>
        </w:rPr>
        <w:t>10.1.7.2.1</w:t>
      </w:r>
      <w:r>
        <w:rPr>
          <w:rFonts w:cs="v4.2.0"/>
        </w:rPr>
        <w:t>-1 are valid under the following conditions:</w:t>
      </w:r>
    </w:p>
    <w:p w14:paraId="1A90591A" w14:textId="77777777" w:rsidR="00550E13" w:rsidRPr="00B25D3D" w:rsidRDefault="00550E13" w:rsidP="00550E13">
      <w:pPr>
        <w:pStyle w:val="B10"/>
        <w:rPr>
          <w:rFonts w:cs="v4.2.0"/>
        </w:rPr>
      </w:pPr>
      <w:r>
        <w:t>-</w:t>
      </w:r>
      <w:r>
        <w:tab/>
      </w:r>
      <w:r w:rsidRPr="00B25D3D">
        <w:t>Conditions defined in clause 7.3 of TS 38.101-1 [18] for reference sensitivity are fulfilled.</w:t>
      </w:r>
    </w:p>
    <w:p w14:paraId="2EB6F471" w14:textId="77777777" w:rsidR="00550E13" w:rsidRPr="00A77D90" w:rsidRDefault="00550E13" w:rsidP="00550E13">
      <w:pPr>
        <w:pStyle w:val="B10"/>
        <w:rPr>
          <w:lang w:eastAsia="zh-CN"/>
        </w:rPr>
      </w:pPr>
      <w:r w:rsidRPr="00B25D3D">
        <w:t>-</w:t>
      </w:r>
      <w:r w:rsidRPr="00B25D3D">
        <w:tab/>
        <w:t xml:space="preserve">Conditions for intra-frequency measurements are fulfilled according to Annex B.2.2 for a corresponding Band </w:t>
      </w:r>
      <w:r w:rsidRPr="00B25D3D">
        <w:rPr>
          <w:rFonts w:cs="v4.2.0"/>
          <w:lang w:eastAsia="ko-KR"/>
        </w:rPr>
        <w:t xml:space="preserve">for </w:t>
      </w:r>
      <w:r>
        <w:rPr>
          <w:rFonts w:cs="v4.2.0"/>
          <w:lang w:eastAsia="ko-KR"/>
        </w:rPr>
        <w:t>associated SSB</w:t>
      </w:r>
      <w:r w:rsidRPr="00B25D3D">
        <w:t>.</w:t>
      </w:r>
    </w:p>
    <w:p w14:paraId="3BCC5D28" w14:textId="77777777" w:rsidR="00550E13" w:rsidRDefault="00550E13" w:rsidP="00550E13">
      <w:pPr>
        <w:pStyle w:val="B10"/>
        <w:rPr>
          <w:lang w:eastAsia="zh-CN"/>
        </w:rPr>
      </w:pPr>
      <w:r w:rsidRPr="00B25D3D">
        <w:t>-</w:t>
      </w:r>
      <w:r w:rsidRPr="00B25D3D">
        <w:tab/>
        <w:t>Conditions for intra-frequency measurements are fulfilled according to Annex B.2.</w:t>
      </w:r>
      <w:r>
        <w:rPr>
          <w:rFonts w:hint="eastAsia"/>
          <w:lang w:eastAsia="zh-CN"/>
        </w:rPr>
        <w:t>8</w:t>
      </w:r>
      <w:r w:rsidRPr="00B25D3D">
        <w:t xml:space="preserve"> for a corresponding Band </w:t>
      </w:r>
      <w:r w:rsidRPr="00B25D3D">
        <w:rPr>
          <w:rFonts w:cs="v4.2.0"/>
          <w:lang w:eastAsia="ko-KR"/>
        </w:rPr>
        <w:t xml:space="preserve">for </w:t>
      </w:r>
      <w:r>
        <w:rPr>
          <w:rFonts w:cs="v4.2.0" w:hint="eastAsia"/>
          <w:lang w:eastAsia="zh-CN"/>
        </w:rPr>
        <w:t>each relevant CSI-RS</w:t>
      </w:r>
      <w:r w:rsidRPr="00B25D3D">
        <w:t>.</w:t>
      </w:r>
    </w:p>
    <w:p w14:paraId="2A1E93A9" w14:textId="77777777" w:rsidR="00550E13" w:rsidRDefault="00550E13" w:rsidP="00F37389">
      <w:pPr>
        <w:pStyle w:val="B10"/>
        <w:ind w:leftChars="142"/>
        <w:rPr>
          <w:lang w:eastAsia="zh-CN"/>
        </w:rPr>
      </w:pPr>
      <w:r w:rsidRPr="00B25D3D">
        <w:t>-</w:t>
      </w:r>
      <w:r w:rsidRPr="00B25D3D">
        <w:tab/>
      </w:r>
      <w:r w:rsidRPr="00155D8C">
        <w:rPr>
          <w:lang w:eastAsia="zh-CN"/>
        </w:rPr>
        <w:t xml:space="preserve">The bandwidth of CSI-RS is 48 PRBs and the density is 3. </w:t>
      </w:r>
    </w:p>
    <w:p w14:paraId="721382D9" w14:textId="77777777" w:rsidR="00550E13" w:rsidRPr="0036349C" w:rsidRDefault="00550E13" w:rsidP="00F37389">
      <w:pPr>
        <w:pStyle w:val="B20"/>
        <w:rPr>
          <w:lang w:eastAsia="zh-CN"/>
        </w:rPr>
      </w:pPr>
      <w:r w:rsidRPr="000A7AFA">
        <w:rPr>
          <w:rFonts w:hint="eastAsia"/>
          <w:lang w:eastAsia="zh-CN"/>
        </w:rPr>
        <w:t>•</w:t>
      </w:r>
      <w:r w:rsidRPr="000A7AFA">
        <w:rPr>
          <w:lang w:eastAsia="zh-CN"/>
        </w:rPr>
        <w:tab/>
        <w:t xml:space="preserve">The performance with larger bandwidth of CSI-RS is equal to or better than the accuracy requirements in Table </w:t>
      </w:r>
      <w:r>
        <w:rPr>
          <w:rFonts w:cs="v4.2.0"/>
          <w:lang w:eastAsia="zh-CN"/>
        </w:rPr>
        <w:t>10.1.7.2.1</w:t>
      </w:r>
      <w:r>
        <w:rPr>
          <w:rFonts w:cs="v4.2.0"/>
        </w:rPr>
        <w:t>-1</w:t>
      </w:r>
      <w:r w:rsidRPr="000A7AFA">
        <w:rPr>
          <w:lang w:eastAsia="zh-CN"/>
        </w:rPr>
        <w:t>.</w:t>
      </w:r>
    </w:p>
    <w:p w14:paraId="718FB178" w14:textId="6BB1938B" w:rsidR="00550E13" w:rsidRDefault="00550E13" w:rsidP="00550E13">
      <w:pPr>
        <w:pStyle w:val="B10"/>
        <w:rPr>
          <w:lang w:eastAsia="zh-CN"/>
        </w:rPr>
      </w:pPr>
      <w:r>
        <w:rPr>
          <w:rFonts w:hint="eastAsia"/>
          <w:lang w:eastAsia="zh-CN"/>
        </w:rPr>
        <w:t>-</w:t>
      </w:r>
      <w:r>
        <w:tab/>
      </w:r>
      <w:r>
        <w:rPr>
          <w:rFonts w:hint="eastAsia"/>
          <w:lang w:eastAsia="zh-CN"/>
        </w:rPr>
        <w:t>T</w:t>
      </w:r>
      <w:r w:rsidRPr="00952C56">
        <w:rPr>
          <w:lang w:eastAsia="zh-CN"/>
        </w:rPr>
        <w:t xml:space="preserve">he timing offset between the reference measurement timing and the target CSI-RS in one layer is </w:t>
      </w:r>
      <w:r>
        <w:rPr>
          <w:lang w:eastAsia="zh-CN"/>
        </w:rPr>
        <w:t>no larger than</w:t>
      </w:r>
      <w:r w:rsidRPr="00952C56">
        <w:rPr>
          <w:lang w:eastAsia="zh-CN"/>
        </w:rPr>
        <w:t xml:space="preserve"> </w:t>
      </w:r>
      <w:r>
        <w:rPr>
          <w:rFonts w:hint="eastAsia"/>
          <w:lang w:eastAsia="zh-CN"/>
        </w:rPr>
        <w:t xml:space="preserve">CP. </w:t>
      </w:r>
    </w:p>
    <w:p w14:paraId="16762AD8" w14:textId="735FB7A0" w:rsidR="00550E13" w:rsidRDefault="00550E13" w:rsidP="00AB368A">
      <w:pPr>
        <w:pStyle w:val="NO"/>
        <w:rPr>
          <w:lang w:eastAsia="zh-CN"/>
        </w:rPr>
      </w:pPr>
      <w:r w:rsidRPr="005854E7">
        <w:rPr>
          <w:lang w:eastAsia="zh-CN"/>
        </w:rPr>
        <w:t>Note:</w:t>
      </w:r>
      <w:r w:rsidR="00AB368A">
        <w:rPr>
          <w:lang w:eastAsia="zh-CN"/>
        </w:rPr>
        <w:tab/>
      </w:r>
      <w:r w:rsidRPr="005854E7">
        <w:rPr>
          <w:lang w:eastAsia="zh-CN"/>
        </w:rPr>
        <w:t>The reference measurement timing for one layer for intra-frequency measurement is serving cell timing.</w:t>
      </w:r>
    </w:p>
    <w:p w14:paraId="4340FDBA" w14:textId="77777777" w:rsidR="00550E13" w:rsidRPr="00CD2669" w:rsidRDefault="00550E13" w:rsidP="00F37389">
      <w:pPr>
        <w:pStyle w:val="TH"/>
        <w:rPr>
          <w:lang w:eastAsia="zh-CN"/>
        </w:rPr>
      </w:pPr>
      <w:r w:rsidRPr="00CD2669">
        <w:t>Table 10.1.7.2.1-1: CSI-RSRQ Intra frequency absolute accuracy in FR1</w:t>
      </w:r>
    </w:p>
    <w:tbl>
      <w:tblPr>
        <w:tblW w:w="10172" w:type="dxa"/>
        <w:jc w:val="center"/>
        <w:tblLook w:val="01E0" w:firstRow="1" w:lastRow="1" w:firstColumn="1" w:lastColumn="1" w:noHBand="0" w:noVBand="0"/>
      </w:tblPr>
      <w:tblGrid>
        <w:gridCol w:w="1029"/>
        <w:gridCol w:w="1035"/>
        <w:gridCol w:w="746"/>
        <w:gridCol w:w="1930"/>
        <w:gridCol w:w="898"/>
        <w:gridCol w:w="827"/>
        <w:gridCol w:w="827"/>
        <w:gridCol w:w="1440"/>
        <w:gridCol w:w="1440"/>
      </w:tblGrid>
      <w:tr w:rsidR="00550E13" w:rsidRPr="009C5807" w14:paraId="0B82815A" w14:textId="77777777" w:rsidTr="008935F7">
        <w:trPr>
          <w:jc w:val="center"/>
        </w:trPr>
        <w:tc>
          <w:tcPr>
            <w:tcW w:w="2064"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2F52A88E" w14:textId="77777777" w:rsidR="00550E13" w:rsidRPr="009C5807" w:rsidRDefault="00550E13" w:rsidP="008935F7">
            <w:pPr>
              <w:pStyle w:val="TAH"/>
            </w:pPr>
            <w:r w:rsidRPr="009C5807">
              <w:t>Accuracy</w:t>
            </w:r>
          </w:p>
        </w:tc>
        <w:tc>
          <w:tcPr>
            <w:tcW w:w="8108"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11191D37" w14:textId="77777777" w:rsidR="00550E13" w:rsidRPr="009C5807" w:rsidRDefault="00550E13" w:rsidP="008935F7">
            <w:pPr>
              <w:pStyle w:val="TAH"/>
            </w:pPr>
            <w:r w:rsidRPr="009C5807">
              <w:t>Conditions</w:t>
            </w:r>
          </w:p>
        </w:tc>
      </w:tr>
      <w:tr w:rsidR="00550E13" w:rsidRPr="009C5807" w14:paraId="4C5B4AB7" w14:textId="77777777" w:rsidTr="008935F7">
        <w:trPr>
          <w:jc w:val="center"/>
        </w:trPr>
        <w:tc>
          <w:tcPr>
            <w:tcW w:w="1029" w:type="dxa"/>
            <w:tcBorders>
              <w:top w:val="single" w:sz="6" w:space="0" w:color="auto"/>
              <w:left w:val="single" w:sz="4" w:space="0" w:color="auto"/>
              <w:right w:val="single" w:sz="6" w:space="0" w:color="auto"/>
            </w:tcBorders>
            <w:shd w:val="clear" w:color="auto" w:fill="auto"/>
            <w:vAlign w:val="center"/>
          </w:tcPr>
          <w:p w14:paraId="28A92048" w14:textId="77777777" w:rsidR="00550E13" w:rsidRPr="009C5807" w:rsidRDefault="00550E13" w:rsidP="008935F7">
            <w:pPr>
              <w:pStyle w:val="TAH"/>
            </w:pPr>
            <w:r w:rsidRPr="009C5807">
              <w:t>Normal condition</w:t>
            </w:r>
          </w:p>
        </w:tc>
        <w:tc>
          <w:tcPr>
            <w:tcW w:w="1035" w:type="dxa"/>
            <w:tcBorders>
              <w:top w:val="single" w:sz="6" w:space="0" w:color="auto"/>
              <w:left w:val="single" w:sz="6" w:space="0" w:color="auto"/>
              <w:right w:val="single" w:sz="6" w:space="0" w:color="auto"/>
            </w:tcBorders>
            <w:shd w:val="clear" w:color="auto" w:fill="auto"/>
            <w:vAlign w:val="center"/>
          </w:tcPr>
          <w:p w14:paraId="7B4821AD" w14:textId="77777777" w:rsidR="00550E13" w:rsidRPr="009C5807" w:rsidRDefault="00550E13" w:rsidP="008935F7">
            <w:pPr>
              <w:pStyle w:val="TAH"/>
            </w:pPr>
            <w:r w:rsidRPr="009C5807">
              <w:t>Extreme condition</w:t>
            </w:r>
          </w:p>
        </w:tc>
        <w:tc>
          <w:tcPr>
            <w:tcW w:w="746" w:type="dxa"/>
            <w:tcBorders>
              <w:top w:val="single" w:sz="6" w:space="0" w:color="auto"/>
              <w:left w:val="single" w:sz="6" w:space="0" w:color="auto"/>
              <w:right w:val="single" w:sz="6" w:space="0" w:color="auto"/>
            </w:tcBorders>
            <w:shd w:val="clear" w:color="auto" w:fill="auto"/>
            <w:vAlign w:val="center"/>
          </w:tcPr>
          <w:p w14:paraId="1940DA8B" w14:textId="77777777" w:rsidR="00550E13" w:rsidRPr="009C5807" w:rsidRDefault="00550E13" w:rsidP="008935F7">
            <w:pPr>
              <w:pStyle w:val="TAH"/>
            </w:pPr>
            <w:r>
              <w:rPr>
                <w:rFonts w:hint="eastAsia"/>
                <w:lang w:eastAsia="zh-CN"/>
              </w:rPr>
              <w:t>CSI-RS</w:t>
            </w:r>
            <w:r w:rsidRPr="009C5807">
              <w:t xml:space="preserve"> Ês/Iot</w:t>
            </w:r>
          </w:p>
        </w:tc>
        <w:tc>
          <w:tcPr>
            <w:tcW w:w="7362"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680CC12A" w14:textId="77777777" w:rsidR="00550E13" w:rsidRPr="009C5807" w:rsidRDefault="00550E13" w:rsidP="008935F7">
            <w:pPr>
              <w:pStyle w:val="TAH"/>
            </w:pPr>
            <w:r w:rsidRPr="009C5807">
              <w:t>Io</w:t>
            </w:r>
            <w:r w:rsidRPr="009C5807">
              <w:rPr>
                <w:vertAlign w:val="superscript"/>
                <w:lang w:eastAsia="zh-CN"/>
              </w:rPr>
              <w:t xml:space="preserve"> Note 1</w:t>
            </w:r>
            <w:r w:rsidRPr="009C5807">
              <w:t xml:space="preserve"> range</w:t>
            </w:r>
          </w:p>
        </w:tc>
      </w:tr>
      <w:tr w:rsidR="00550E13" w:rsidRPr="009C5807" w14:paraId="747247E2" w14:textId="77777777" w:rsidTr="008935F7">
        <w:trPr>
          <w:jc w:val="center"/>
        </w:trPr>
        <w:tc>
          <w:tcPr>
            <w:tcW w:w="1029" w:type="dxa"/>
            <w:tcBorders>
              <w:left w:val="single" w:sz="4" w:space="0" w:color="auto"/>
              <w:bottom w:val="single" w:sz="6" w:space="0" w:color="auto"/>
              <w:right w:val="single" w:sz="6" w:space="0" w:color="auto"/>
            </w:tcBorders>
            <w:shd w:val="clear" w:color="auto" w:fill="auto"/>
            <w:vAlign w:val="center"/>
          </w:tcPr>
          <w:p w14:paraId="654E1BE1" w14:textId="77777777" w:rsidR="00550E13" w:rsidRPr="009C5807" w:rsidRDefault="00550E13" w:rsidP="008935F7">
            <w:pPr>
              <w:pStyle w:val="TAH"/>
            </w:pPr>
          </w:p>
        </w:tc>
        <w:tc>
          <w:tcPr>
            <w:tcW w:w="1035" w:type="dxa"/>
            <w:tcBorders>
              <w:left w:val="single" w:sz="6" w:space="0" w:color="auto"/>
              <w:bottom w:val="single" w:sz="6" w:space="0" w:color="auto"/>
              <w:right w:val="single" w:sz="6" w:space="0" w:color="auto"/>
            </w:tcBorders>
            <w:shd w:val="clear" w:color="auto" w:fill="auto"/>
            <w:vAlign w:val="center"/>
          </w:tcPr>
          <w:p w14:paraId="009078EF" w14:textId="77777777" w:rsidR="00550E13" w:rsidRPr="009C5807" w:rsidRDefault="00550E13" w:rsidP="008935F7">
            <w:pPr>
              <w:pStyle w:val="TAH"/>
            </w:pPr>
          </w:p>
        </w:tc>
        <w:tc>
          <w:tcPr>
            <w:tcW w:w="746" w:type="dxa"/>
            <w:tcBorders>
              <w:left w:val="single" w:sz="6" w:space="0" w:color="auto"/>
              <w:bottom w:val="single" w:sz="6" w:space="0" w:color="auto"/>
              <w:right w:val="single" w:sz="6" w:space="0" w:color="auto"/>
            </w:tcBorders>
            <w:shd w:val="clear" w:color="auto" w:fill="auto"/>
            <w:vAlign w:val="center"/>
          </w:tcPr>
          <w:p w14:paraId="417C1568" w14:textId="77777777" w:rsidR="00550E13" w:rsidRPr="009C5807" w:rsidRDefault="00550E13" w:rsidP="008935F7">
            <w:pPr>
              <w:pStyle w:val="TAH"/>
            </w:pPr>
          </w:p>
        </w:tc>
        <w:tc>
          <w:tcPr>
            <w:tcW w:w="1930" w:type="dxa"/>
            <w:tcBorders>
              <w:top w:val="single" w:sz="6" w:space="0" w:color="auto"/>
              <w:left w:val="single" w:sz="6" w:space="0" w:color="auto"/>
              <w:bottom w:val="single" w:sz="4" w:space="0" w:color="auto"/>
              <w:right w:val="single" w:sz="4" w:space="0" w:color="auto"/>
            </w:tcBorders>
            <w:shd w:val="clear" w:color="auto" w:fill="auto"/>
            <w:vAlign w:val="center"/>
          </w:tcPr>
          <w:p w14:paraId="504E138B" w14:textId="77777777" w:rsidR="00550E13" w:rsidRPr="009C5807" w:rsidRDefault="00550E13" w:rsidP="008935F7">
            <w:pPr>
              <w:pStyle w:val="TAH"/>
            </w:pPr>
            <w:r w:rsidRPr="009C5807">
              <w:t>NR operating band groups</w:t>
            </w:r>
            <w:r w:rsidRPr="009C5807">
              <w:rPr>
                <w:vertAlign w:val="superscript"/>
              </w:rPr>
              <w:t xml:space="preserve"> </w:t>
            </w:r>
            <w:r w:rsidRPr="009C5807">
              <w:rPr>
                <w:vertAlign w:val="superscript"/>
                <w:lang w:eastAsia="zh-CN"/>
              </w:rPr>
              <w:t>Note 3</w:t>
            </w:r>
          </w:p>
        </w:tc>
        <w:tc>
          <w:tcPr>
            <w:tcW w:w="3992"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5E509BDA" w14:textId="77777777" w:rsidR="00550E13" w:rsidRPr="009C5807" w:rsidRDefault="00550E13" w:rsidP="008935F7">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5577EAA9" w14:textId="77777777" w:rsidR="00550E13" w:rsidRPr="009C5807" w:rsidRDefault="00550E13" w:rsidP="008935F7">
            <w:pPr>
              <w:pStyle w:val="TAH"/>
            </w:pPr>
            <w:r w:rsidRPr="009C5807">
              <w:t>Maximum Io</w:t>
            </w:r>
          </w:p>
        </w:tc>
      </w:tr>
      <w:tr w:rsidR="00550E13" w:rsidRPr="009C5807" w14:paraId="7C0C0CAB" w14:textId="77777777" w:rsidTr="008935F7">
        <w:trPr>
          <w:trHeight w:val="308"/>
          <w:jc w:val="center"/>
        </w:trPr>
        <w:tc>
          <w:tcPr>
            <w:tcW w:w="1029" w:type="dxa"/>
            <w:tcBorders>
              <w:top w:val="single" w:sz="6" w:space="0" w:color="auto"/>
              <w:left w:val="single" w:sz="4" w:space="0" w:color="auto"/>
              <w:right w:val="single" w:sz="6" w:space="0" w:color="auto"/>
            </w:tcBorders>
            <w:shd w:val="clear" w:color="auto" w:fill="auto"/>
          </w:tcPr>
          <w:p w14:paraId="5F3C97EB" w14:textId="77777777" w:rsidR="00550E13" w:rsidRPr="009C5807" w:rsidRDefault="00550E13" w:rsidP="008935F7">
            <w:pPr>
              <w:pStyle w:val="TAH"/>
            </w:pPr>
            <w:r w:rsidRPr="009C5807">
              <w:t>dB</w:t>
            </w:r>
          </w:p>
        </w:tc>
        <w:tc>
          <w:tcPr>
            <w:tcW w:w="1035" w:type="dxa"/>
            <w:tcBorders>
              <w:top w:val="single" w:sz="6" w:space="0" w:color="auto"/>
              <w:left w:val="single" w:sz="6" w:space="0" w:color="auto"/>
              <w:right w:val="single" w:sz="6" w:space="0" w:color="auto"/>
            </w:tcBorders>
            <w:shd w:val="clear" w:color="auto" w:fill="auto"/>
          </w:tcPr>
          <w:p w14:paraId="329D0516" w14:textId="77777777" w:rsidR="00550E13" w:rsidRPr="009C5807" w:rsidRDefault="00550E13" w:rsidP="008935F7">
            <w:pPr>
              <w:pStyle w:val="TAH"/>
            </w:pPr>
            <w:r w:rsidRPr="009C5807">
              <w:t>dB</w:t>
            </w:r>
          </w:p>
        </w:tc>
        <w:tc>
          <w:tcPr>
            <w:tcW w:w="746" w:type="dxa"/>
            <w:tcBorders>
              <w:top w:val="single" w:sz="6" w:space="0" w:color="auto"/>
              <w:left w:val="single" w:sz="6" w:space="0" w:color="auto"/>
              <w:right w:val="single" w:sz="4" w:space="0" w:color="auto"/>
            </w:tcBorders>
            <w:shd w:val="clear" w:color="auto" w:fill="auto"/>
          </w:tcPr>
          <w:p w14:paraId="4CD8FA5A" w14:textId="77777777" w:rsidR="00550E13" w:rsidRPr="009C5807" w:rsidRDefault="00550E13" w:rsidP="008935F7">
            <w:pPr>
              <w:pStyle w:val="TAH"/>
            </w:pPr>
            <w:r w:rsidRPr="009C5807">
              <w:t>dB</w:t>
            </w:r>
          </w:p>
        </w:tc>
        <w:tc>
          <w:tcPr>
            <w:tcW w:w="1930" w:type="dxa"/>
            <w:tcBorders>
              <w:top w:val="single" w:sz="4" w:space="0" w:color="auto"/>
              <w:left w:val="single" w:sz="4" w:space="0" w:color="auto"/>
              <w:right w:val="single" w:sz="4" w:space="0" w:color="auto"/>
            </w:tcBorders>
            <w:shd w:val="clear" w:color="auto" w:fill="auto"/>
          </w:tcPr>
          <w:p w14:paraId="3B0934F9" w14:textId="77777777" w:rsidR="00550E13" w:rsidRPr="009C5807" w:rsidRDefault="00550E13" w:rsidP="008935F7">
            <w:pPr>
              <w:pStyle w:val="TAH"/>
            </w:pPr>
          </w:p>
        </w:tc>
        <w:tc>
          <w:tcPr>
            <w:tcW w:w="2552" w:type="dxa"/>
            <w:gridSpan w:val="3"/>
            <w:tcBorders>
              <w:top w:val="single" w:sz="6" w:space="0" w:color="auto"/>
              <w:left w:val="single" w:sz="4" w:space="0" w:color="auto"/>
              <w:bottom w:val="single" w:sz="6" w:space="0" w:color="auto"/>
              <w:right w:val="single" w:sz="6" w:space="0" w:color="auto"/>
            </w:tcBorders>
            <w:shd w:val="clear" w:color="auto" w:fill="auto"/>
          </w:tcPr>
          <w:p w14:paraId="6B420BF9" w14:textId="77777777" w:rsidR="00550E13" w:rsidRPr="009C5807" w:rsidRDefault="00550E13" w:rsidP="008935F7">
            <w:pPr>
              <w:pStyle w:val="TAH"/>
              <w:rPr>
                <w:lang w:eastAsia="zh-CN"/>
              </w:rPr>
            </w:pPr>
            <w:r w:rsidRPr="009C5807">
              <w:rPr>
                <w:rFonts w:cs="Arial"/>
              </w:rPr>
              <w:t xml:space="preserve">dBm / </w:t>
            </w:r>
            <w:r w:rsidRPr="009C5807">
              <w:t>SCS</w:t>
            </w:r>
            <w:r>
              <w:rPr>
                <w:rFonts w:hint="eastAsia"/>
                <w:vertAlign w:val="subscript"/>
                <w:lang w:eastAsia="zh-CN"/>
              </w:rPr>
              <w:t>CSI-RS</w:t>
            </w:r>
          </w:p>
        </w:tc>
        <w:tc>
          <w:tcPr>
            <w:tcW w:w="1440" w:type="dxa"/>
            <w:tcBorders>
              <w:top w:val="single" w:sz="6" w:space="0" w:color="auto"/>
              <w:left w:val="single" w:sz="6" w:space="0" w:color="auto"/>
              <w:right w:val="single" w:sz="6" w:space="0" w:color="auto"/>
            </w:tcBorders>
            <w:shd w:val="clear" w:color="auto" w:fill="auto"/>
          </w:tcPr>
          <w:p w14:paraId="5FD22F4A" w14:textId="77777777" w:rsidR="00550E13" w:rsidRPr="009C5807" w:rsidRDefault="00550E13" w:rsidP="008935F7">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1D6D1003" w14:textId="77777777" w:rsidR="00550E13" w:rsidRPr="009C5807" w:rsidRDefault="00550E13" w:rsidP="008935F7">
            <w:pPr>
              <w:pStyle w:val="TAH"/>
            </w:pPr>
            <w:r w:rsidRPr="009C5807">
              <w:t>dBm/BW</w:t>
            </w:r>
            <w:r w:rsidRPr="009C5807">
              <w:rPr>
                <w:vertAlign w:val="subscript"/>
              </w:rPr>
              <w:t>Channel</w:t>
            </w:r>
          </w:p>
        </w:tc>
      </w:tr>
      <w:tr w:rsidR="00550E13" w:rsidRPr="009C5807" w14:paraId="7F65ED24" w14:textId="77777777" w:rsidTr="008935F7">
        <w:trPr>
          <w:trHeight w:val="307"/>
          <w:jc w:val="center"/>
        </w:trPr>
        <w:tc>
          <w:tcPr>
            <w:tcW w:w="1029" w:type="dxa"/>
            <w:tcBorders>
              <w:left w:val="single" w:sz="4" w:space="0" w:color="auto"/>
              <w:bottom w:val="single" w:sz="6" w:space="0" w:color="auto"/>
              <w:right w:val="single" w:sz="6" w:space="0" w:color="auto"/>
            </w:tcBorders>
            <w:shd w:val="clear" w:color="auto" w:fill="auto"/>
          </w:tcPr>
          <w:p w14:paraId="754EE432" w14:textId="77777777" w:rsidR="00550E13" w:rsidRPr="009C5807" w:rsidRDefault="00550E13" w:rsidP="008935F7">
            <w:pPr>
              <w:pStyle w:val="TAH"/>
            </w:pPr>
          </w:p>
        </w:tc>
        <w:tc>
          <w:tcPr>
            <w:tcW w:w="1035" w:type="dxa"/>
            <w:tcBorders>
              <w:left w:val="single" w:sz="6" w:space="0" w:color="auto"/>
              <w:bottom w:val="single" w:sz="6" w:space="0" w:color="auto"/>
              <w:right w:val="single" w:sz="6" w:space="0" w:color="auto"/>
            </w:tcBorders>
            <w:shd w:val="clear" w:color="auto" w:fill="auto"/>
          </w:tcPr>
          <w:p w14:paraId="6E95378A" w14:textId="77777777" w:rsidR="00550E13" w:rsidRPr="009C5807" w:rsidRDefault="00550E13" w:rsidP="008935F7">
            <w:pPr>
              <w:pStyle w:val="TAH"/>
            </w:pPr>
          </w:p>
        </w:tc>
        <w:tc>
          <w:tcPr>
            <w:tcW w:w="746" w:type="dxa"/>
            <w:tcBorders>
              <w:left w:val="single" w:sz="6" w:space="0" w:color="auto"/>
              <w:bottom w:val="single" w:sz="6" w:space="0" w:color="auto"/>
              <w:right w:val="single" w:sz="4" w:space="0" w:color="auto"/>
            </w:tcBorders>
            <w:shd w:val="clear" w:color="auto" w:fill="auto"/>
          </w:tcPr>
          <w:p w14:paraId="6D80A031" w14:textId="77777777" w:rsidR="00550E13" w:rsidRPr="009C5807" w:rsidRDefault="00550E13" w:rsidP="008935F7">
            <w:pPr>
              <w:pStyle w:val="TAH"/>
            </w:pPr>
          </w:p>
        </w:tc>
        <w:tc>
          <w:tcPr>
            <w:tcW w:w="1930" w:type="dxa"/>
            <w:tcBorders>
              <w:left w:val="single" w:sz="4" w:space="0" w:color="auto"/>
              <w:bottom w:val="single" w:sz="4" w:space="0" w:color="auto"/>
              <w:right w:val="single" w:sz="4" w:space="0" w:color="auto"/>
            </w:tcBorders>
            <w:shd w:val="clear" w:color="auto" w:fill="auto"/>
          </w:tcPr>
          <w:p w14:paraId="7A8E69C3" w14:textId="77777777" w:rsidR="00550E13" w:rsidRPr="009C5807" w:rsidRDefault="00550E13" w:rsidP="008935F7">
            <w:pPr>
              <w:pStyle w:val="TAH"/>
            </w:pPr>
          </w:p>
        </w:tc>
        <w:tc>
          <w:tcPr>
            <w:tcW w:w="898" w:type="dxa"/>
            <w:tcBorders>
              <w:top w:val="single" w:sz="6" w:space="0" w:color="auto"/>
              <w:left w:val="single" w:sz="4" w:space="0" w:color="auto"/>
              <w:bottom w:val="single" w:sz="6" w:space="0" w:color="auto"/>
              <w:right w:val="single" w:sz="6" w:space="0" w:color="auto"/>
            </w:tcBorders>
            <w:shd w:val="clear" w:color="auto" w:fill="auto"/>
          </w:tcPr>
          <w:p w14:paraId="447C68AF" w14:textId="77777777" w:rsidR="00550E13" w:rsidRPr="009C5807" w:rsidRDefault="00550E13" w:rsidP="008935F7">
            <w:pPr>
              <w:pStyle w:val="TAH"/>
              <w:rPr>
                <w:rFonts w:cs="Arial"/>
              </w:rPr>
            </w:pPr>
            <w:r w:rsidRPr="009C5807">
              <w:t>SCS</w:t>
            </w:r>
            <w:r>
              <w:rPr>
                <w:rFonts w:hint="eastAsia"/>
                <w:vertAlign w:val="subscript"/>
                <w:lang w:eastAsia="zh-CN"/>
              </w:rPr>
              <w:t>CSI-RS</w:t>
            </w:r>
            <w:r w:rsidRPr="009C5807">
              <w:rPr>
                <w:rFonts w:cs="Arial"/>
              </w:rPr>
              <w:t xml:space="preserve"> = 15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3C8CB60" w14:textId="77777777" w:rsidR="00550E13" w:rsidRPr="009C5807" w:rsidRDefault="00550E13" w:rsidP="008935F7">
            <w:pPr>
              <w:pStyle w:val="TAH"/>
              <w:rPr>
                <w:rFonts w:cs="Arial"/>
              </w:rPr>
            </w:pPr>
            <w:r w:rsidRPr="009C5807">
              <w:t>SCS</w:t>
            </w:r>
            <w:r>
              <w:rPr>
                <w:rFonts w:hint="eastAsia"/>
                <w:vertAlign w:val="subscript"/>
                <w:lang w:eastAsia="zh-CN"/>
              </w:rPr>
              <w:t>CSI-RS</w:t>
            </w:r>
            <w:r w:rsidRPr="009C5807">
              <w:rPr>
                <w:rFonts w:cs="Arial"/>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92F1EDA" w14:textId="77777777" w:rsidR="00550E13" w:rsidRPr="009C5807" w:rsidRDefault="00550E13" w:rsidP="008935F7">
            <w:pPr>
              <w:pStyle w:val="TAH"/>
              <w:rPr>
                <w:rFonts w:cs="Arial"/>
              </w:rPr>
            </w:pPr>
            <w:r w:rsidRPr="009C5807">
              <w:t>SCS</w:t>
            </w:r>
            <w:r>
              <w:rPr>
                <w:rFonts w:hint="eastAsia"/>
                <w:vertAlign w:val="subscript"/>
                <w:lang w:eastAsia="zh-CN"/>
              </w:rPr>
              <w:t>CSI-RS</w:t>
            </w:r>
            <w:r w:rsidRPr="009C5807">
              <w:rPr>
                <w:rFonts w:cs="Arial"/>
              </w:rPr>
              <w:t xml:space="preserve"> =</w:t>
            </w:r>
            <w:r>
              <w:rPr>
                <w:rFonts w:cs="Arial" w:hint="eastAsia"/>
                <w:lang w:eastAsia="zh-CN"/>
              </w:rPr>
              <w:t xml:space="preserve"> 6</w:t>
            </w:r>
            <w:r w:rsidRPr="009C5807">
              <w:rPr>
                <w:rFonts w:cs="Arial"/>
              </w:rPr>
              <w:t>0 kHz</w:t>
            </w:r>
          </w:p>
        </w:tc>
        <w:tc>
          <w:tcPr>
            <w:tcW w:w="1440" w:type="dxa"/>
            <w:tcBorders>
              <w:left w:val="single" w:sz="6" w:space="0" w:color="auto"/>
              <w:bottom w:val="single" w:sz="6" w:space="0" w:color="auto"/>
              <w:right w:val="single" w:sz="6" w:space="0" w:color="auto"/>
            </w:tcBorders>
            <w:shd w:val="clear" w:color="auto" w:fill="auto"/>
          </w:tcPr>
          <w:p w14:paraId="1FBF9080" w14:textId="77777777" w:rsidR="00550E13" w:rsidRPr="009C5807" w:rsidRDefault="00550E13" w:rsidP="008935F7">
            <w:pPr>
              <w:pStyle w:val="TAH"/>
            </w:pPr>
          </w:p>
        </w:tc>
        <w:tc>
          <w:tcPr>
            <w:tcW w:w="1440" w:type="dxa"/>
            <w:tcBorders>
              <w:left w:val="single" w:sz="6" w:space="0" w:color="auto"/>
              <w:bottom w:val="single" w:sz="6" w:space="0" w:color="auto"/>
              <w:right w:val="single" w:sz="4" w:space="0" w:color="auto"/>
            </w:tcBorders>
            <w:shd w:val="clear" w:color="auto" w:fill="auto"/>
          </w:tcPr>
          <w:p w14:paraId="1317495B" w14:textId="77777777" w:rsidR="00550E13" w:rsidRPr="009C5807" w:rsidRDefault="00550E13" w:rsidP="008935F7">
            <w:pPr>
              <w:pStyle w:val="TAH"/>
            </w:pPr>
          </w:p>
        </w:tc>
      </w:tr>
      <w:tr w:rsidR="00550E13" w:rsidRPr="009C5807" w14:paraId="39485B30" w14:textId="77777777" w:rsidTr="008935F7">
        <w:trPr>
          <w:jc w:val="center"/>
        </w:trPr>
        <w:tc>
          <w:tcPr>
            <w:tcW w:w="1029" w:type="dxa"/>
            <w:tcBorders>
              <w:top w:val="single" w:sz="6" w:space="0" w:color="auto"/>
              <w:left w:val="single" w:sz="4" w:space="0" w:color="auto"/>
              <w:right w:val="single" w:sz="6" w:space="0" w:color="auto"/>
            </w:tcBorders>
            <w:shd w:val="clear" w:color="auto" w:fill="auto"/>
          </w:tcPr>
          <w:p w14:paraId="04476A0E" w14:textId="77777777" w:rsidR="00550E13" w:rsidRPr="009C5807" w:rsidRDefault="00550E13" w:rsidP="008935F7">
            <w:pPr>
              <w:pStyle w:val="TAC"/>
            </w:pPr>
          </w:p>
        </w:tc>
        <w:tc>
          <w:tcPr>
            <w:tcW w:w="1035" w:type="dxa"/>
            <w:tcBorders>
              <w:top w:val="single" w:sz="6" w:space="0" w:color="auto"/>
              <w:left w:val="single" w:sz="6" w:space="0" w:color="auto"/>
              <w:right w:val="single" w:sz="6" w:space="0" w:color="auto"/>
            </w:tcBorders>
            <w:shd w:val="clear" w:color="auto" w:fill="auto"/>
          </w:tcPr>
          <w:p w14:paraId="42BC44D2" w14:textId="77777777" w:rsidR="00550E13" w:rsidRPr="009C5807" w:rsidRDefault="00550E13" w:rsidP="008935F7">
            <w:pPr>
              <w:pStyle w:val="TAC"/>
            </w:pPr>
          </w:p>
        </w:tc>
        <w:tc>
          <w:tcPr>
            <w:tcW w:w="746" w:type="dxa"/>
            <w:tcBorders>
              <w:top w:val="single" w:sz="6" w:space="0" w:color="auto"/>
              <w:left w:val="single" w:sz="6" w:space="0" w:color="auto"/>
              <w:right w:val="single" w:sz="6" w:space="0" w:color="auto"/>
            </w:tcBorders>
            <w:shd w:val="clear" w:color="auto" w:fill="auto"/>
          </w:tcPr>
          <w:p w14:paraId="4BA90CCC" w14:textId="77777777" w:rsidR="00550E13" w:rsidRPr="009C5807" w:rsidRDefault="00550E13" w:rsidP="008935F7">
            <w:pPr>
              <w:pStyle w:val="TAC"/>
            </w:pPr>
          </w:p>
        </w:tc>
        <w:tc>
          <w:tcPr>
            <w:tcW w:w="1930" w:type="dxa"/>
            <w:tcBorders>
              <w:top w:val="single" w:sz="4" w:space="0" w:color="auto"/>
              <w:left w:val="single" w:sz="6" w:space="0" w:color="auto"/>
              <w:bottom w:val="single" w:sz="6" w:space="0" w:color="auto"/>
              <w:right w:val="single" w:sz="6" w:space="0" w:color="auto"/>
            </w:tcBorders>
            <w:shd w:val="clear" w:color="auto" w:fill="auto"/>
          </w:tcPr>
          <w:p w14:paraId="2F5CC627" w14:textId="77777777" w:rsidR="00550E13" w:rsidRPr="009C5807" w:rsidRDefault="00550E13" w:rsidP="008935F7">
            <w:pPr>
              <w:pStyle w:val="TAC"/>
            </w:pPr>
            <w:r w:rsidRPr="009C5807">
              <w:t>NR_FDD_FR1_A, NR_TDD_FR1_A,</w:t>
            </w:r>
          </w:p>
          <w:p w14:paraId="152A8A0E" w14:textId="77777777" w:rsidR="00550E13" w:rsidRPr="009C5807" w:rsidRDefault="00550E13" w:rsidP="008935F7">
            <w:pPr>
              <w:pStyle w:val="TAC"/>
            </w:pPr>
            <w:r w:rsidRPr="009C5807">
              <w:t>NR_SDL_FR1_A</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1BFF044B" w14:textId="77777777" w:rsidR="00550E13" w:rsidRPr="009C5807" w:rsidRDefault="00550E13" w:rsidP="008935F7">
            <w:pPr>
              <w:pStyle w:val="TAC"/>
            </w:pPr>
            <w:r w:rsidRPr="009C5807">
              <w:t>-121</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154767B" w14:textId="77777777" w:rsidR="00550E13" w:rsidRPr="009C5807" w:rsidRDefault="00550E13" w:rsidP="008935F7">
            <w:pPr>
              <w:pStyle w:val="TAC"/>
              <w:rPr>
                <w:rFonts w:cs="Arial"/>
              </w:rPr>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052203B" w14:textId="77777777" w:rsidR="00550E13" w:rsidRPr="009C5807" w:rsidRDefault="00550E13" w:rsidP="008935F7">
            <w:pPr>
              <w:pStyle w:val="TAC"/>
              <w:rPr>
                <w:rFonts w:cs="Arial"/>
              </w:rPr>
            </w:pPr>
            <w:r w:rsidRPr="003719CA">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9AB3F37" w14:textId="77777777" w:rsidR="00550E13" w:rsidRPr="009C5807" w:rsidRDefault="00550E13"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9A4FB45" w14:textId="77777777" w:rsidR="00550E13" w:rsidRPr="009C5807" w:rsidRDefault="00550E13" w:rsidP="008935F7">
            <w:pPr>
              <w:pStyle w:val="TAC"/>
            </w:pPr>
            <w:r w:rsidRPr="009C5807">
              <w:t>-50</w:t>
            </w:r>
          </w:p>
        </w:tc>
      </w:tr>
      <w:tr w:rsidR="00550E13" w:rsidRPr="009C5807" w14:paraId="6825F519" w14:textId="77777777" w:rsidTr="008935F7">
        <w:trPr>
          <w:jc w:val="center"/>
        </w:trPr>
        <w:tc>
          <w:tcPr>
            <w:tcW w:w="1029" w:type="dxa"/>
            <w:tcBorders>
              <w:left w:val="single" w:sz="4" w:space="0" w:color="auto"/>
              <w:right w:val="single" w:sz="6" w:space="0" w:color="auto"/>
            </w:tcBorders>
            <w:shd w:val="clear" w:color="auto" w:fill="auto"/>
          </w:tcPr>
          <w:p w14:paraId="27DF011A" w14:textId="77777777" w:rsidR="00550E13" w:rsidRPr="009C5807" w:rsidRDefault="00550E13" w:rsidP="008935F7">
            <w:pPr>
              <w:pStyle w:val="TAC"/>
            </w:pPr>
          </w:p>
        </w:tc>
        <w:tc>
          <w:tcPr>
            <w:tcW w:w="1035" w:type="dxa"/>
            <w:tcBorders>
              <w:left w:val="single" w:sz="6" w:space="0" w:color="auto"/>
              <w:right w:val="single" w:sz="6" w:space="0" w:color="auto"/>
            </w:tcBorders>
            <w:shd w:val="clear" w:color="auto" w:fill="auto"/>
          </w:tcPr>
          <w:p w14:paraId="313A12EB" w14:textId="77777777" w:rsidR="00550E13" w:rsidRPr="009C5807" w:rsidRDefault="00550E13" w:rsidP="008935F7">
            <w:pPr>
              <w:pStyle w:val="TAC"/>
            </w:pPr>
          </w:p>
        </w:tc>
        <w:tc>
          <w:tcPr>
            <w:tcW w:w="746" w:type="dxa"/>
            <w:tcBorders>
              <w:left w:val="single" w:sz="6" w:space="0" w:color="auto"/>
              <w:right w:val="single" w:sz="6" w:space="0" w:color="auto"/>
            </w:tcBorders>
            <w:shd w:val="clear" w:color="auto" w:fill="auto"/>
          </w:tcPr>
          <w:p w14:paraId="1BF49E5C" w14:textId="77777777" w:rsidR="00550E13" w:rsidRPr="009C5807" w:rsidRDefault="00550E13" w:rsidP="008935F7">
            <w:pPr>
              <w:pStyle w:val="TAC"/>
            </w:pPr>
          </w:p>
        </w:tc>
        <w:tc>
          <w:tcPr>
            <w:tcW w:w="1930" w:type="dxa"/>
            <w:tcBorders>
              <w:top w:val="single" w:sz="6" w:space="0" w:color="auto"/>
              <w:left w:val="single" w:sz="6" w:space="0" w:color="auto"/>
              <w:bottom w:val="single" w:sz="6" w:space="0" w:color="auto"/>
              <w:right w:val="single" w:sz="6" w:space="0" w:color="auto"/>
            </w:tcBorders>
            <w:shd w:val="clear" w:color="auto" w:fill="auto"/>
          </w:tcPr>
          <w:p w14:paraId="126BF2DC" w14:textId="77777777" w:rsidR="00550E13" w:rsidRPr="009C5807" w:rsidRDefault="00550E13" w:rsidP="008935F7">
            <w:pPr>
              <w:pStyle w:val="TAC"/>
            </w:pPr>
            <w:r w:rsidRPr="009C5807">
              <w:t>NR_FDD_FR1_B</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5250A7AE" w14:textId="77777777" w:rsidR="00550E13" w:rsidRPr="009C5807" w:rsidRDefault="00550E13" w:rsidP="008935F7">
            <w:pPr>
              <w:pStyle w:val="TAC"/>
            </w:pPr>
            <w:r w:rsidRPr="009C5807">
              <w:t>-120.5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B3D9C2B" w14:textId="77777777" w:rsidR="00550E13" w:rsidRPr="009C5807" w:rsidRDefault="00550E13" w:rsidP="008935F7">
            <w:pPr>
              <w:pStyle w:val="TAC"/>
              <w:rPr>
                <w:rFonts w:cs="Arial"/>
                <w:lang w:val="sv-SE"/>
              </w:rPr>
            </w:pPr>
            <w:r w:rsidRPr="009C5807">
              <w:t>-117.5</w:t>
            </w:r>
          </w:p>
          <w:p w14:paraId="059D1549" w14:textId="77777777" w:rsidR="00550E13" w:rsidRPr="009C5807" w:rsidRDefault="00550E13" w:rsidP="008935F7">
            <w:pPr>
              <w:pStyle w:val="TAC"/>
              <w:jc w:val="left"/>
              <w:rPr>
                <w:rFonts w:cs="Arial"/>
                <w:lang w:val="sv-SE" w:eastAsia="zh-CN"/>
              </w:rPr>
            </w:pP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6464824" w14:textId="77777777" w:rsidR="00550E13" w:rsidRPr="009C5807" w:rsidRDefault="00550E13" w:rsidP="008935F7">
            <w:pPr>
              <w:pStyle w:val="TAC"/>
              <w:rPr>
                <w:rFonts w:cs="Arial"/>
                <w:lang w:val="sv-SE"/>
              </w:rPr>
            </w:pPr>
            <w:r w:rsidRPr="003719CA">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14A76E2" w14:textId="77777777" w:rsidR="00550E13" w:rsidRPr="009C5807" w:rsidRDefault="00550E13" w:rsidP="008935F7">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0BF5B80" w14:textId="77777777" w:rsidR="00550E13" w:rsidRPr="009C5807" w:rsidRDefault="00550E13" w:rsidP="008935F7">
            <w:pPr>
              <w:pStyle w:val="TAC"/>
            </w:pPr>
            <w:r w:rsidRPr="009C5807">
              <w:t>-50</w:t>
            </w:r>
          </w:p>
        </w:tc>
      </w:tr>
      <w:tr w:rsidR="00550E13" w:rsidRPr="009C5807" w14:paraId="3A7F3F8A" w14:textId="77777777" w:rsidTr="008935F7">
        <w:trPr>
          <w:jc w:val="center"/>
        </w:trPr>
        <w:tc>
          <w:tcPr>
            <w:tcW w:w="1029" w:type="dxa"/>
            <w:tcBorders>
              <w:left w:val="single" w:sz="4" w:space="0" w:color="auto"/>
              <w:right w:val="single" w:sz="6" w:space="0" w:color="auto"/>
            </w:tcBorders>
            <w:shd w:val="clear" w:color="auto" w:fill="auto"/>
          </w:tcPr>
          <w:p w14:paraId="13389CE2" w14:textId="77777777" w:rsidR="00550E13" w:rsidRPr="009C5807" w:rsidRDefault="00550E13" w:rsidP="008935F7">
            <w:pPr>
              <w:pStyle w:val="TAC"/>
            </w:pPr>
          </w:p>
        </w:tc>
        <w:tc>
          <w:tcPr>
            <w:tcW w:w="1035" w:type="dxa"/>
            <w:tcBorders>
              <w:left w:val="single" w:sz="6" w:space="0" w:color="auto"/>
              <w:right w:val="single" w:sz="6" w:space="0" w:color="auto"/>
            </w:tcBorders>
            <w:shd w:val="clear" w:color="auto" w:fill="auto"/>
          </w:tcPr>
          <w:p w14:paraId="7DE74F55" w14:textId="77777777" w:rsidR="00550E13" w:rsidRPr="009C5807" w:rsidRDefault="00550E13" w:rsidP="008935F7">
            <w:pPr>
              <w:pStyle w:val="TAC"/>
            </w:pPr>
          </w:p>
        </w:tc>
        <w:tc>
          <w:tcPr>
            <w:tcW w:w="746" w:type="dxa"/>
            <w:tcBorders>
              <w:left w:val="single" w:sz="6" w:space="0" w:color="auto"/>
              <w:right w:val="single" w:sz="6" w:space="0" w:color="auto"/>
            </w:tcBorders>
            <w:shd w:val="clear" w:color="auto" w:fill="auto"/>
          </w:tcPr>
          <w:p w14:paraId="2DDB69CA" w14:textId="77777777" w:rsidR="00550E13" w:rsidRPr="009C5807" w:rsidRDefault="00550E13" w:rsidP="008935F7">
            <w:pPr>
              <w:pStyle w:val="TAC"/>
            </w:pPr>
          </w:p>
        </w:tc>
        <w:tc>
          <w:tcPr>
            <w:tcW w:w="1930" w:type="dxa"/>
            <w:tcBorders>
              <w:top w:val="single" w:sz="6" w:space="0" w:color="auto"/>
              <w:left w:val="single" w:sz="6" w:space="0" w:color="auto"/>
              <w:bottom w:val="single" w:sz="6" w:space="0" w:color="auto"/>
              <w:right w:val="single" w:sz="6" w:space="0" w:color="auto"/>
            </w:tcBorders>
            <w:shd w:val="clear" w:color="auto" w:fill="auto"/>
          </w:tcPr>
          <w:p w14:paraId="5576323D" w14:textId="77777777" w:rsidR="00550E13" w:rsidRPr="009C5807" w:rsidRDefault="00550E13" w:rsidP="008935F7">
            <w:pPr>
              <w:pStyle w:val="TAC"/>
            </w:pPr>
            <w:r w:rsidRPr="009C5807">
              <w:t>NR_TDD_FR1_C</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32722F6B" w14:textId="77777777" w:rsidR="00550E13" w:rsidRPr="009C5807" w:rsidRDefault="00550E13" w:rsidP="008935F7">
            <w:pPr>
              <w:pStyle w:val="TAC"/>
            </w:pPr>
            <w:r w:rsidRPr="009C5807">
              <w:t>-120</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191ECDE" w14:textId="77777777" w:rsidR="00550E13" w:rsidRPr="009C5807" w:rsidRDefault="00550E13" w:rsidP="008935F7">
            <w:pPr>
              <w:pStyle w:val="TAC"/>
              <w:rPr>
                <w:rFonts w:cs="Arial"/>
                <w:lang w:val="sv-SE"/>
              </w:rPr>
            </w:pPr>
            <w:r w:rsidRPr="009C5807">
              <w:t>-117</w:t>
            </w:r>
          </w:p>
          <w:p w14:paraId="3638E80D" w14:textId="77777777" w:rsidR="00550E13" w:rsidRPr="009C5807" w:rsidRDefault="00550E13" w:rsidP="008935F7">
            <w:pPr>
              <w:pStyle w:val="TAC"/>
              <w:rPr>
                <w:rFonts w:cs="Arial"/>
                <w:lang w:val="sv-SE"/>
              </w:rPr>
            </w:pP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02B07AD" w14:textId="77777777" w:rsidR="00550E13" w:rsidRPr="009C5807" w:rsidRDefault="00550E13" w:rsidP="008935F7">
            <w:pPr>
              <w:pStyle w:val="TAC"/>
              <w:rPr>
                <w:rFonts w:cs="Arial"/>
                <w:lang w:val="sv-SE"/>
              </w:rPr>
            </w:pPr>
            <w:r w:rsidRPr="003719CA">
              <w:t>-114</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DD2403A" w14:textId="77777777" w:rsidR="00550E13" w:rsidRPr="009C5807" w:rsidRDefault="00550E13"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5F6DCBF" w14:textId="77777777" w:rsidR="00550E13" w:rsidRPr="009C5807" w:rsidRDefault="00550E13" w:rsidP="008935F7">
            <w:pPr>
              <w:pStyle w:val="TAC"/>
            </w:pPr>
            <w:r w:rsidRPr="009C5807">
              <w:t>-50</w:t>
            </w:r>
          </w:p>
        </w:tc>
      </w:tr>
      <w:tr w:rsidR="00550E13" w:rsidRPr="009C5807" w14:paraId="790F9C25" w14:textId="77777777" w:rsidTr="008935F7">
        <w:trPr>
          <w:jc w:val="center"/>
        </w:trPr>
        <w:tc>
          <w:tcPr>
            <w:tcW w:w="1029" w:type="dxa"/>
            <w:tcBorders>
              <w:left w:val="single" w:sz="4" w:space="0" w:color="auto"/>
              <w:right w:val="single" w:sz="6" w:space="0" w:color="auto"/>
            </w:tcBorders>
            <w:shd w:val="clear" w:color="auto" w:fill="auto"/>
          </w:tcPr>
          <w:p w14:paraId="3EB554CB" w14:textId="77777777" w:rsidR="00550E13" w:rsidRPr="009C5807" w:rsidRDefault="00550E13" w:rsidP="008935F7">
            <w:pPr>
              <w:pStyle w:val="TAC"/>
            </w:pPr>
            <w:r w:rsidRPr="009C5807">
              <w:sym w:font="Symbol" w:char="F0B1"/>
            </w:r>
            <w:r w:rsidRPr="009C5807">
              <w:t>2.5</w:t>
            </w:r>
          </w:p>
        </w:tc>
        <w:tc>
          <w:tcPr>
            <w:tcW w:w="1035" w:type="dxa"/>
            <w:tcBorders>
              <w:left w:val="single" w:sz="6" w:space="0" w:color="auto"/>
              <w:right w:val="single" w:sz="6" w:space="0" w:color="auto"/>
            </w:tcBorders>
            <w:shd w:val="clear" w:color="auto" w:fill="auto"/>
          </w:tcPr>
          <w:p w14:paraId="4D82CA69" w14:textId="77777777" w:rsidR="00550E13" w:rsidRPr="009C5807" w:rsidRDefault="00550E13" w:rsidP="008935F7">
            <w:pPr>
              <w:pStyle w:val="TAC"/>
            </w:pPr>
            <w:r w:rsidRPr="009C5807">
              <w:sym w:font="Symbol" w:char="F0B1"/>
            </w:r>
            <w:r w:rsidRPr="009C5807">
              <w:t>4</w:t>
            </w:r>
          </w:p>
        </w:tc>
        <w:tc>
          <w:tcPr>
            <w:tcW w:w="746" w:type="dxa"/>
            <w:tcBorders>
              <w:left w:val="single" w:sz="6" w:space="0" w:color="auto"/>
              <w:right w:val="single" w:sz="6" w:space="0" w:color="auto"/>
            </w:tcBorders>
            <w:shd w:val="clear" w:color="auto" w:fill="auto"/>
          </w:tcPr>
          <w:p w14:paraId="2D9BEFBE" w14:textId="77777777" w:rsidR="00550E13" w:rsidRPr="009C5807" w:rsidRDefault="00550E13" w:rsidP="008935F7">
            <w:pPr>
              <w:pStyle w:val="TAC"/>
            </w:pPr>
            <w:r w:rsidRPr="009C5807">
              <w:sym w:font="Symbol" w:char="F0B3"/>
            </w:r>
            <w:r w:rsidRPr="009C5807">
              <w:t>-3</w:t>
            </w:r>
          </w:p>
        </w:tc>
        <w:tc>
          <w:tcPr>
            <w:tcW w:w="1930" w:type="dxa"/>
            <w:tcBorders>
              <w:top w:val="single" w:sz="6" w:space="0" w:color="auto"/>
              <w:left w:val="single" w:sz="6" w:space="0" w:color="auto"/>
              <w:bottom w:val="single" w:sz="6" w:space="0" w:color="auto"/>
              <w:right w:val="single" w:sz="6" w:space="0" w:color="auto"/>
            </w:tcBorders>
            <w:shd w:val="clear" w:color="auto" w:fill="auto"/>
          </w:tcPr>
          <w:p w14:paraId="52491E72" w14:textId="77777777" w:rsidR="00550E13" w:rsidRPr="009C5807" w:rsidRDefault="00550E13" w:rsidP="008935F7">
            <w:pPr>
              <w:pStyle w:val="TAC"/>
              <w:rPr>
                <w:lang w:val="sv-SE"/>
              </w:rPr>
            </w:pPr>
            <w:r w:rsidRPr="009C5807">
              <w:rPr>
                <w:lang w:val="sv-SE"/>
              </w:rPr>
              <w:t>NR_FDD_FR1_D, NR_TDD_FR1_D</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5A21CDC2" w14:textId="77777777" w:rsidR="00550E13" w:rsidRPr="009C5807" w:rsidRDefault="00550E13" w:rsidP="008935F7">
            <w:pPr>
              <w:pStyle w:val="TAC"/>
            </w:pPr>
            <w:r w:rsidRPr="009C5807">
              <w:t>-119.5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DDF7D37" w14:textId="77777777" w:rsidR="00550E13" w:rsidRPr="009C5807" w:rsidRDefault="00550E13" w:rsidP="008935F7">
            <w:pPr>
              <w:pStyle w:val="TAC"/>
              <w:rPr>
                <w:rFonts w:cs="Arial"/>
              </w:rPr>
            </w:pPr>
            <w:r w:rsidRPr="009C5807">
              <w:t>-116.5</w:t>
            </w:r>
          </w:p>
          <w:p w14:paraId="61D39CD7" w14:textId="77777777" w:rsidR="00550E13" w:rsidRPr="009C5807" w:rsidRDefault="00550E13" w:rsidP="008935F7">
            <w:pPr>
              <w:pStyle w:val="TAC"/>
              <w:rPr>
                <w:rFonts w:cs="Arial"/>
              </w:rPr>
            </w:pP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E34D999" w14:textId="77777777" w:rsidR="00550E13" w:rsidRPr="009C5807" w:rsidRDefault="00550E13" w:rsidP="008935F7">
            <w:pPr>
              <w:pStyle w:val="TAC"/>
              <w:rPr>
                <w:rFonts w:cs="Arial"/>
              </w:rPr>
            </w:pPr>
            <w:r w:rsidRPr="003719CA">
              <w:t>-113.5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C8C6EDE" w14:textId="77777777" w:rsidR="00550E13" w:rsidRPr="009C5807" w:rsidRDefault="00550E13"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285FB89" w14:textId="77777777" w:rsidR="00550E13" w:rsidRPr="009C5807" w:rsidRDefault="00550E13" w:rsidP="008935F7">
            <w:pPr>
              <w:pStyle w:val="TAC"/>
            </w:pPr>
            <w:r w:rsidRPr="009C5807">
              <w:t>-50</w:t>
            </w:r>
          </w:p>
        </w:tc>
      </w:tr>
      <w:tr w:rsidR="00550E13" w:rsidRPr="009C5807" w14:paraId="3FCD39C4" w14:textId="77777777" w:rsidTr="008935F7">
        <w:trPr>
          <w:jc w:val="center"/>
        </w:trPr>
        <w:tc>
          <w:tcPr>
            <w:tcW w:w="1029" w:type="dxa"/>
            <w:tcBorders>
              <w:left w:val="single" w:sz="4" w:space="0" w:color="auto"/>
              <w:right w:val="single" w:sz="6" w:space="0" w:color="auto"/>
            </w:tcBorders>
            <w:shd w:val="clear" w:color="auto" w:fill="auto"/>
          </w:tcPr>
          <w:p w14:paraId="66E62E6D" w14:textId="77777777" w:rsidR="00550E13" w:rsidRPr="009C5807" w:rsidRDefault="00550E13" w:rsidP="008935F7">
            <w:pPr>
              <w:pStyle w:val="TAC"/>
            </w:pPr>
          </w:p>
        </w:tc>
        <w:tc>
          <w:tcPr>
            <w:tcW w:w="1035" w:type="dxa"/>
            <w:tcBorders>
              <w:left w:val="single" w:sz="6" w:space="0" w:color="auto"/>
              <w:right w:val="single" w:sz="6" w:space="0" w:color="auto"/>
            </w:tcBorders>
            <w:shd w:val="clear" w:color="auto" w:fill="auto"/>
          </w:tcPr>
          <w:p w14:paraId="278FF686" w14:textId="77777777" w:rsidR="00550E13" w:rsidRPr="009C5807" w:rsidRDefault="00550E13" w:rsidP="008935F7">
            <w:pPr>
              <w:pStyle w:val="TAC"/>
            </w:pPr>
          </w:p>
        </w:tc>
        <w:tc>
          <w:tcPr>
            <w:tcW w:w="746" w:type="dxa"/>
            <w:tcBorders>
              <w:left w:val="single" w:sz="6" w:space="0" w:color="auto"/>
              <w:right w:val="single" w:sz="6" w:space="0" w:color="auto"/>
            </w:tcBorders>
            <w:shd w:val="clear" w:color="auto" w:fill="auto"/>
          </w:tcPr>
          <w:p w14:paraId="58F12DDF" w14:textId="77777777" w:rsidR="00550E13" w:rsidRPr="009C5807" w:rsidRDefault="00550E13" w:rsidP="008935F7">
            <w:pPr>
              <w:pStyle w:val="TAC"/>
            </w:pPr>
          </w:p>
        </w:tc>
        <w:tc>
          <w:tcPr>
            <w:tcW w:w="1930" w:type="dxa"/>
            <w:tcBorders>
              <w:top w:val="single" w:sz="6" w:space="0" w:color="auto"/>
              <w:left w:val="single" w:sz="6" w:space="0" w:color="auto"/>
              <w:bottom w:val="single" w:sz="6" w:space="0" w:color="auto"/>
              <w:right w:val="single" w:sz="6" w:space="0" w:color="auto"/>
            </w:tcBorders>
            <w:shd w:val="clear" w:color="auto" w:fill="auto"/>
          </w:tcPr>
          <w:p w14:paraId="3779B0E2" w14:textId="77777777" w:rsidR="00550E13" w:rsidRPr="009C5807" w:rsidDel="00836998" w:rsidRDefault="00550E13" w:rsidP="008935F7">
            <w:pPr>
              <w:pStyle w:val="TAC"/>
              <w:rPr>
                <w:lang w:val="sv-SE"/>
              </w:rPr>
            </w:pPr>
            <w:r w:rsidRPr="009C5807">
              <w:rPr>
                <w:lang w:val="sv-SE"/>
              </w:rPr>
              <w:t>NR_FDD_FR1_E, NR_TDD_FR1_E</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5283A504" w14:textId="77777777" w:rsidR="00550E13" w:rsidRPr="009C5807" w:rsidRDefault="00550E13" w:rsidP="008935F7">
            <w:pPr>
              <w:pStyle w:val="TAC"/>
            </w:pPr>
            <w:r w:rsidRPr="009C5807">
              <w:t>-119</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F5E7F45" w14:textId="77777777" w:rsidR="00550E13" w:rsidRPr="009C5807" w:rsidRDefault="00550E13" w:rsidP="008935F7">
            <w:pPr>
              <w:pStyle w:val="TAC"/>
              <w:rPr>
                <w:rFonts w:cs="Arial"/>
                <w:lang w:val="sv-SE"/>
              </w:rPr>
            </w:pPr>
            <w:r w:rsidRPr="009C5807">
              <w:t>-116</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745345D" w14:textId="77777777" w:rsidR="00550E13" w:rsidRPr="009C5807" w:rsidRDefault="00550E13" w:rsidP="008935F7">
            <w:pPr>
              <w:pStyle w:val="TAC"/>
              <w:rPr>
                <w:rFonts w:cs="Arial"/>
                <w:lang w:val="sv-SE"/>
              </w:rPr>
            </w:pPr>
            <w:r w:rsidRPr="003719CA">
              <w:t>-113</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4F69367" w14:textId="77777777" w:rsidR="00550E13" w:rsidRPr="009C5807" w:rsidRDefault="00550E13"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2819211" w14:textId="77777777" w:rsidR="00550E13" w:rsidRPr="009C5807" w:rsidRDefault="00550E13" w:rsidP="008935F7">
            <w:pPr>
              <w:pStyle w:val="TAC"/>
            </w:pPr>
            <w:r w:rsidRPr="009C5807">
              <w:t>-50</w:t>
            </w:r>
          </w:p>
        </w:tc>
      </w:tr>
      <w:tr w:rsidR="00550E13" w:rsidRPr="009C5807" w14:paraId="41C9E3F7" w14:textId="77777777" w:rsidTr="008935F7">
        <w:trPr>
          <w:jc w:val="center"/>
        </w:trPr>
        <w:tc>
          <w:tcPr>
            <w:tcW w:w="1029" w:type="dxa"/>
            <w:tcBorders>
              <w:left w:val="single" w:sz="4" w:space="0" w:color="auto"/>
              <w:right w:val="single" w:sz="6" w:space="0" w:color="auto"/>
            </w:tcBorders>
            <w:shd w:val="clear" w:color="auto" w:fill="auto"/>
          </w:tcPr>
          <w:p w14:paraId="3F2DF8C2" w14:textId="77777777" w:rsidR="00550E13" w:rsidRPr="009C5807" w:rsidRDefault="00550E13" w:rsidP="008935F7">
            <w:pPr>
              <w:pStyle w:val="TAC"/>
            </w:pPr>
          </w:p>
        </w:tc>
        <w:tc>
          <w:tcPr>
            <w:tcW w:w="1035" w:type="dxa"/>
            <w:tcBorders>
              <w:left w:val="single" w:sz="6" w:space="0" w:color="auto"/>
              <w:right w:val="single" w:sz="6" w:space="0" w:color="auto"/>
            </w:tcBorders>
            <w:shd w:val="clear" w:color="auto" w:fill="auto"/>
          </w:tcPr>
          <w:p w14:paraId="61AD122D" w14:textId="77777777" w:rsidR="00550E13" w:rsidRPr="009C5807" w:rsidRDefault="00550E13" w:rsidP="008935F7">
            <w:pPr>
              <w:pStyle w:val="TAC"/>
            </w:pPr>
          </w:p>
        </w:tc>
        <w:tc>
          <w:tcPr>
            <w:tcW w:w="746" w:type="dxa"/>
            <w:tcBorders>
              <w:left w:val="single" w:sz="6" w:space="0" w:color="auto"/>
              <w:right w:val="single" w:sz="6" w:space="0" w:color="auto"/>
            </w:tcBorders>
            <w:shd w:val="clear" w:color="auto" w:fill="auto"/>
          </w:tcPr>
          <w:p w14:paraId="479F312C" w14:textId="77777777" w:rsidR="00550E13" w:rsidRPr="009C5807" w:rsidRDefault="00550E13" w:rsidP="008935F7">
            <w:pPr>
              <w:pStyle w:val="TAC"/>
            </w:pPr>
          </w:p>
        </w:tc>
        <w:tc>
          <w:tcPr>
            <w:tcW w:w="1930" w:type="dxa"/>
            <w:tcBorders>
              <w:top w:val="single" w:sz="6" w:space="0" w:color="auto"/>
              <w:left w:val="single" w:sz="6" w:space="0" w:color="auto"/>
              <w:bottom w:val="single" w:sz="6" w:space="0" w:color="auto"/>
              <w:right w:val="single" w:sz="6" w:space="0" w:color="auto"/>
            </w:tcBorders>
            <w:shd w:val="clear" w:color="auto" w:fill="auto"/>
          </w:tcPr>
          <w:p w14:paraId="412E433F" w14:textId="77777777" w:rsidR="00550E13" w:rsidRPr="009C5807" w:rsidRDefault="00550E13" w:rsidP="008935F7">
            <w:pPr>
              <w:pStyle w:val="TAC"/>
              <w:rPr>
                <w:lang w:val="sv-SE"/>
              </w:rPr>
            </w:pPr>
            <w:r w:rsidRPr="009C5807">
              <w:rPr>
                <w:lang w:eastAsia="zh-CN"/>
              </w:rPr>
              <w:t>NR_FDD_FR1_F</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26D68EB2" w14:textId="77777777" w:rsidR="00550E13" w:rsidRPr="009C5807" w:rsidRDefault="00550E13" w:rsidP="008935F7">
            <w:pPr>
              <w:pStyle w:val="TAC"/>
            </w:pPr>
            <w:r w:rsidRPr="009C5807">
              <w:t>-118.5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02D0F18" w14:textId="77777777" w:rsidR="00550E13" w:rsidRPr="009C5807" w:rsidRDefault="00550E13" w:rsidP="008935F7">
            <w:pPr>
              <w:pStyle w:val="TAC"/>
              <w:rPr>
                <w:lang w:eastAsia="zh-CN"/>
              </w:rPr>
            </w:pPr>
            <w:r w:rsidRPr="009C5807">
              <w:rPr>
                <w:rFonts w:cs="Arial"/>
              </w:rPr>
              <w:t>-115.5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BA8C9B0" w14:textId="77777777" w:rsidR="00550E13" w:rsidRPr="009C5807" w:rsidRDefault="00550E13" w:rsidP="008935F7">
            <w:pPr>
              <w:pStyle w:val="TAC"/>
            </w:pPr>
            <w:r w:rsidRPr="003719CA">
              <w:t>-112.5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54E20BC" w14:textId="77777777" w:rsidR="00550E13" w:rsidRPr="009C5807" w:rsidRDefault="00550E13"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14A7DD4" w14:textId="77777777" w:rsidR="00550E13" w:rsidRPr="009C5807" w:rsidRDefault="00550E13" w:rsidP="008935F7">
            <w:pPr>
              <w:pStyle w:val="TAC"/>
            </w:pPr>
            <w:r w:rsidRPr="009C5807">
              <w:t>-50</w:t>
            </w:r>
          </w:p>
        </w:tc>
      </w:tr>
      <w:tr w:rsidR="00550E13" w:rsidRPr="009C5807" w14:paraId="12221123" w14:textId="77777777" w:rsidTr="008935F7">
        <w:trPr>
          <w:jc w:val="center"/>
        </w:trPr>
        <w:tc>
          <w:tcPr>
            <w:tcW w:w="1029" w:type="dxa"/>
            <w:tcBorders>
              <w:left w:val="single" w:sz="4" w:space="0" w:color="auto"/>
              <w:right w:val="single" w:sz="6" w:space="0" w:color="auto"/>
            </w:tcBorders>
            <w:shd w:val="clear" w:color="auto" w:fill="auto"/>
          </w:tcPr>
          <w:p w14:paraId="793B4C2D" w14:textId="77777777" w:rsidR="00550E13" w:rsidRPr="009C5807" w:rsidRDefault="00550E13" w:rsidP="008935F7">
            <w:pPr>
              <w:pStyle w:val="TAC"/>
            </w:pPr>
          </w:p>
        </w:tc>
        <w:tc>
          <w:tcPr>
            <w:tcW w:w="1035" w:type="dxa"/>
            <w:tcBorders>
              <w:left w:val="single" w:sz="6" w:space="0" w:color="auto"/>
              <w:right w:val="single" w:sz="6" w:space="0" w:color="auto"/>
            </w:tcBorders>
            <w:shd w:val="clear" w:color="auto" w:fill="auto"/>
          </w:tcPr>
          <w:p w14:paraId="72E64531" w14:textId="77777777" w:rsidR="00550E13" w:rsidRPr="009C5807" w:rsidRDefault="00550E13" w:rsidP="008935F7">
            <w:pPr>
              <w:pStyle w:val="TAC"/>
            </w:pPr>
          </w:p>
        </w:tc>
        <w:tc>
          <w:tcPr>
            <w:tcW w:w="746" w:type="dxa"/>
            <w:tcBorders>
              <w:left w:val="single" w:sz="6" w:space="0" w:color="auto"/>
              <w:right w:val="single" w:sz="6" w:space="0" w:color="auto"/>
            </w:tcBorders>
            <w:shd w:val="clear" w:color="auto" w:fill="auto"/>
          </w:tcPr>
          <w:p w14:paraId="06F969E8" w14:textId="77777777" w:rsidR="00550E13" w:rsidRPr="009C5807" w:rsidRDefault="00550E13" w:rsidP="008935F7">
            <w:pPr>
              <w:pStyle w:val="TAC"/>
            </w:pPr>
          </w:p>
        </w:tc>
        <w:tc>
          <w:tcPr>
            <w:tcW w:w="1930" w:type="dxa"/>
            <w:tcBorders>
              <w:top w:val="single" w:sz="6" w:space="0" w:color="auto"/>
              <w:left w:val="single" w:sz="6" w:space="0" w:color="auto"/>
              <w:bottom w:val="single" w:sz="6" w:space="0" w:color="auto"/>
              <w:right w:val="single" w:sz="6" w:space="0" w:color="auto"/>
            </w:tcBorders>
            <w:shd w:val="clear" w:color="auto" w:fill="auto"/>
          </w:tcPr>
          <w:p w14:paraId="29609B8F" w14:textId="77777777" w:rsidR="00550E13" w:rsidRPr="009C5807" w:rsidDel="00836998" w:rsidRDefault="00550E13" w:rsidP="008935F7">
            <w:pPr>
              <w:pStyle w:val="TAC"/>
              <w:rPr>
                <w:lang w:eastAsia="zh-CN"/>
              </w:rPr>
            </w:pPr>
            <w:r w:rsidRPr="009C5807">
              <w:rPr>
                <w:lang w:eastAsia="zh-CN"/>
              </w:rPr>
              <w:t>NR</w:t>
            </w:r>
            <w:r w:rsidRPr="009C5807">
              <w:t>_</w:t>
            </w:r>
            <w:r w:rsidRPr="009C5807">
              <w:rPr>
                <w:lang w:eastAsia="zh-CN"/>
              </w:rPr>
              <w:t>FDD_FR1_G</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7A3C9237" w14:textId="77777777" w:rsidR="00550E13" w:rsidRPr="009C5807" w:rsidRDefault="00550E13" w:rsidP="008935F7">
            <w:pPr>
              <w:pStyle w:val="TAC"/>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0C23CF3" w14:textId="77777777" w:rsidR="00550E13" w:rsidRPr="009C5807" w:rsidRDefault="00550E13" w:rsidP="008935F7">
            <w:pPr>
              <w:pStyle w:val="TAC"/>
              <w:rPr>
                <w:rFonts w:cs="Arial"/>
                <w:lang w:val="sv-SE" w:eastAsia="zh-CN"/>
              </w:rPr>
            </w:pPr>
            <w:r w:rsidRPr="009C5807">
              <w:rPr>
                <w:rFonts w:cs="Arial"/>
              </w:rPr>
              <w:t>-115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6A8D839" w14:textId="77777777" w:rsidR="00550E13" w:rsidRPr="009C5807" w:rsidRDefault="00550E13" w:rsidP="008935F7">
            <w:pPr>
              <w:pStyle w:val="TAC"/>
              <w:rPr>
                <w:rFonts w:cs="Arial"/>
                <w:lang w:val="sv-SE"/>
              </w:rPr>
            </w:pPr>
            <w:r w:rsidRPr="003719CA">
              <w:t>-112</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67BC10D" w14:textId="77777777" w:rsidR="00550E13" w:rsidRPr="009C5807" w:rsidRDefault="00550E13"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4A9D375" w14:textId="77777777" w:rsidR="00550E13" w:rsidRPr="009C5807" w:rsidRDefault="00550E13" w:rsidP="008935F7">
            <w:pPr>
              <w:pStyle w:val="TAC"/>
            </w:pPr>
            <w:r w:rsidRPr="009C5807">
              <w:t>-50</w:t>
            </w:r>
          </w:p>
        </w:tc>
      </w:tr>
      <w:tr w:rsidR="00550E13" w:rsidRPr="009C5807" w14:paraId="44FA137A" w14:textId="77777777" w:rsidTr="008935F7">
        <w:trPr>
          <w:jc w:val="center"/>
        </w:trPr>
        <w:tc>
          <w:tcPr>
            <w:tcW w:w="1029" w:type="dxa"/>
            <w:tcBorders>
              <w:left w:val="single" w:sz="4" w:space="0" w:color="auto"/>
              <w:right w:val="single" w:sz="6" w:space="0" w:color="auto"/>
            </w:tcBorders>
            <w:shd w:val="clear" w:color="auto" w:fill="auto"/>
          </w:tcPr>
          <w:p w14:paraId="3FF83931" w14:textId="77777777" w:rsidR="00550E13" w:rsidRPr="009C5807" w:rsidRDefault="00550E13" w:rsidP="008935F7">
            <w:pPr>
              <w:pStyle w:val="TAC"/>
            </w:pPr>
          </w:p>
        </w:tc>
        <w:tc>
          <w:tcPr>
            <w:tcW w:w="1035" w:type="dxa"/>
            <w:tcBorders>
              <w:left w:val="single" w:sz="6" w:space="0" w:color="auto"/>
              <w:right w:val="single" w:sz="6" w:space="0" w:color="auto"/>
            </w:tcBorders>
            <w:shd w:val="clear" w:color="auto" w:fill="auto"/>
          </w:tcPr>
          <w:p w14:paraId="30B6DF99" w14:textId="77777777" w:rsidR="00550E13" w:rsidRPr="009C5807" w:rsidRDefault="00550E13" w:rsidP="008935F7">
            <w:pPr>
              <w:pStyle w:val="TAC"/>
            </w:pPr>
          </w:p>
        </w:tc>
        <w:tc>
          <w:tcPr>
            <w:tcW w:w="746" w:type="dxa"/>
            <w:tcBorders>
              <w:left w:val="single" w:sz="6" w:space="0" w:color="auto"/>
              <w:right w:val="single" w:sz="6" w:space="0" w:color="auto"/>
            </w:tcBorders>
            <w:shd w:val="clear" w:color="auto" w:fill="auto"/>
          </w:tcPr>
          <w:p w14:paraId="72ACBF67" w14:textId="77777777" w:rsidR="00550E13" w:rsidRPr="009C5807" w:rsidRDefault="00550E13" w:rsidP="008935F7">
            <w:pPr>
              <w:pStyle w:val="TAC"/>
            </w:pPr>
          </w:p>
        </w:tc>
        <w:tc>
          <w:tcPr>
            <w:tcW w:w="1930" w:type="dxa"/>
            <w:tcBorders>
              <w:top w:val="single" w:sz="6" w:space="0" w:color="auto"/>
              <w:left w:val="single" w:sz="6" w:space="0" w:color="auto"/>
              <w:bottom w:val="single" w:sz="6" w:space="0" w:color="auto"/>
              <w:right w:val="single" w:sz="6" w:space="0" w:color="auto"/>
            </w:tcBorders>
            <w:shd w:val="clear" w:color="auto" w:fill="auto"/>
          </w:tcPr>
          <w:p w14:paraId="6837D5EA" w14:textId="77777777" w:rsidR="00550E13" w:rsidRPr="009C5807" w:rsidRDefault="00550E13" w:rsidP="008935F7">
            <w:pPr>
              <w:pStyle w:val="TAC"/>
              <w:rPr>
                <w:lang w:eastAsia="zh-CN"/>
              </w:rPr>
            </w:pPr>
            <w:r w:rsidRPr="009C5807">
              <w:rPr>
                <w:lang w:eastAsia="zh-CN"/>
              </w:rPr>
              <w:t>NR</w:t>
            </w:r>
            <w:r w:rsidRPr="009C5807">
              <w:t>_</w:t>
            </w:r>
            <w:r w:rsidRPr="009C5807">
              <w:rPr>
                <w:lang w:eastAsia="zh-CN"/>
              </w:rPr>
              <w:t>FDD_FR1_H</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411669D2" w14:textId="77777777" w:rsidR="00550E13" w:rsidRPr="009C5807" w:rsidRDefault="00550E13" w:rsidP="008935F7">
            <w:pPr>
              <w:pStyle w:val="TAC"/>
            </w:pPr>
            <w:r w:rsidRPr="009C5807">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3E661C7" w14:textId="77777777" w:rsidR="00550E13" w:rsidRPr="009C5807" w:rsidRDefault="00550E13" w:rsidP="008935F7">
            <w:pPr>
              <w:pStyle w:val="TAC"/>
              <w:rPr>
                <w:rFonts w:cs="Arial"/>
                <w:lang w:val="sv-SE" w:eastAsia="zh-CN"/>
              </w:rPr>
            </w:pPr>
            <w:r w:rsidRPr="009C5807">
              <w:rPr>
                <w:rFonts w:cs="Arial"/>
              </w:rPr>
              <w:t>-114.5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841C386" w14:textId="77777777" w:rsidR="00550E13" w:rsidRPr="009C5807" w:rsidRDefault="00550E13" w:rsidP="008935F7">
            <w:pPr>
              <w:pStyle w:val="TAC"/>
              <w:rPr>
                <w:rFonts w:cs="Arial"/>
                <w:lang w:val="sv-SE"/>
              </w:rPr>
            </w:pPr>
            <w:r w:rsidRPr="003719CA">
              <w:t>-111.5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DF68FF2" w14:textId="77777777" w:rsidR="00550E13" w:rsidRPr="009C5807" w:rsidRDefault="00550E13"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6FD0D75" w14:textId="77777777" w:rsidR="00550E13" w:rsidRPr="009C5807" w:rsidRDefault="00550E13" w:rsidP="008935F7">
            <w:pPr>
              <w:pStyle w:val="TAC"/>
            </w:pPr>
            <w:r w:rsidRPr="009C5807">
              <w:t>-50</w:t>
            </w:r>
          </w:p>
        </w:tc>
      </w:tr>
      <w:tr w:rsidR="00550E13" w:rsidRPr="009C5807" w14:paraId="0DA3F22F" w14:textId="77777777" w:rsidTr="008935F7">
        <w:trPr>
          <w:jc w:val="center"/>
        </w:trPr>
        <w:tc>
          <w:tcPr>
            <w:tcW w:w="1029" w:type="dxa"/>
            <w:tcBorders>
              <w:top w:val="single" w:sz="6" w:space="0" w:color="auto"/>
              <w:left w:val="single" w:sz="4" w:space="0" w:color="auto"/>
              <w:bottom w:val="single" w:sz="6" w:space="0" w:color="auto"/>
              <w:right w:val="single" w:sz="6" w:space="0" w:color="auto"/>
            </w:tcBorders>
            <w:shd w:val="clear" w:color="auto" w:fill="auto"/>
          </w:tcPr>
          <w:p w14:paraId="48C9FE38" w14:textId="77777777" w:rsidR="00550E13" w:rsidRPr="009C5807" w:rsidRDefault="00550E13" w:rsidP="008935F7">
            <w:pPr>
              <w:pStyle w:val="TAC"/>
            </w:pPr>
            <w:r w:rsidRPr="009C5807">
              <w:sym w:font="Symbol" w:char="F0B1"/>
            </w:r>
            <w:r w:rsidRPr="009C5807">
              <w:t>3.5</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082A8E74" w14:textId="77777777" w:rsidR="00550E13" w:rsidRPr="009C5807" w:rsidRDefault="00550E13" w:rsidP="008935F7">
            <w:pPr>
              <w:pStyle w:val="TAC"/>
            </w:pPr>
            <w:r w:rsidRPr="009C5807">
              <w:sym w:font="Symbol" w:char="F0B1"/>
            </w:r>
            <w:r w:rsidRPr="009C5807">
              <w:t>4</w:t>
            </w:r>
          </w:p>
        </w:tc>
        <w:tc>
          <w:tcPr>
            <w:tcW w:w="746" w:type="dxa"/>
            <w:tcBorders>
              <w:top w:val="single" w:sz="6" w:space="0" w:color="auto"/>
              <w:left w:val="single" w:sz="6" w:space="0" w:color="auto"/>
              <w:bottom w:val="single" w:sz="6" w:space="0" w:color="auto"/>
              <w:right w:val="single" w:sz="6" w:space="0" w:color="auto"/>
            </w:tcBorders>
            <w:shd w:val="clear" w:color="auto" w:fill="auto"/>
          </w:tcPr>
          <w:p w14:paraId="63A79F07" w14:textId="77777777" w:rsidR="00550E13" w:rsidRPr="009C5807" w:rsidRDefault="00550E13" w:rsidP="008935F7">
            <w:pPr>
              <w:pStyle w:val="TAC"/>
            </w:pPr>
            <w:r w:rsidRPr="009C5807">
              <w:sym w:font="Symbol" w:char="F0B3"/>
            </w:r>
            <w:r w:rsidRPr="009C5807">
              <w:t>-6</w:t>
            </w:r>
          </w:p>
        </w:tc>
        <w:tc>
          <w:tcPr>
            <w:tcW w:w="1930" w:type="dxa"/>
            <w:tcBorders>
              <w:top w:val="single" w:sz="6" w:space="0" w:color="auto"/>
              <w:left w:val="single" w:sz="6" w:space="0" w:color="auto"/>
              <w:bottom w:val="single" w:sz="6" w:space="0" w:color="auto"/>
              <w:right w:val="single" w:sz="6" w:space="0" w:color="auto"/>
            </w:tcBorders>
            <w:shd w:val="clear" w:color="auto" w:fill="auto"/>
          </w:tcPr>
          <w:p w14:paraId="308CB3CC" w14:textId="77777777" w:rsidR="00550E13" w:rsidRPr="009C5807" w:rsidRDefault="00550E13" w:rsidP="008935F7">
            <w:pPr>
              <w:pStyle w:val="TAC"/>
            </w:pPr>
            <w:r w:rsidRPr="009C5807">
              <w:t>Note 2</w:t>
            </w: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20DA744D" w14:textId="77777777" w:rsidR="00550E13" w:rsidRPr="009C5807" w:rsidRDefault="00550E13" w:rsidP="008935F7">
            <w:pPr>
              <w:pStyle w:val="TAC"/>
            </w:pPr>
            <w:r w:rsidRPr="009C5807">
              <w:t>Note 2</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7AC639E" w14:textId="77777777" w:rsidR="00550E13" w:rsidRPr="009C5807" w:rsidRDefault="00550E13" w:rsidP="008935F7">
            <w:pPr>
              <w:pStyle w:val="TAC"/>
              <w:rPr>
                <w:lang w:eastAsia="zh-CN"/>
              </w:rPr>
            </w:pPr>
            <w:r w:rsidRPr="009C5807">
              <w:t>Note 2</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B76A6B3" w14:textId="77777777" w:rsidR="00550E13" w:rsidRPr="009C5807" w:rsidRDefault="00550E13" w:rsidP="008935F7">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01E5F613" w14:textId="77777777" w:rsidR="00550E13" w:rsidRPr="009C5807" w:rsidRDefault="00550E13" w:rsidP="008935F7">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6E1DF098" w14:textId="77777777" w:rsidR="00550E13" w:rsidRPr="009C5807" w:rsidRDefault="00550E13" w:rsidP="008935F7">
            <w:pPr>
              <w:pStyle w:val="TAC"/>
            </w:pPr>
            <w:r w:rsidRPr="009C5807">
              <w:t>Note 2</w:t>
            </w:r>
          </w:p>
        </w:tc>
      </w:tr>
      <w:tr w:rsidR="00550E13" w:rsidRPr="009C5807" w14:paraId="23C70C4B" w14:textId="77777777" w:rsidTr="008935F7">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658E9BF6" w14:textId="77777777" w:rsidR="00550E13" w:rsidRPr="009C5807" w:rsidRDefault="00550E13" w:rsidP="008935F7">
            <w:pPr>
              <w:pStyle w:val="TAN"/>
            </w:pPr>
            <w:r w:rsidRPr="009C5807">
              <w:t>NOTE 1:</w:t>
            </w:r>
            <w:r w:rsidRPr="009C5807">
              <w:tab/>
              <w:t>Io is assumed to have constant EPRE across the bandwidth.</w:t>
            </w:r>
          </w:p>
          <w:p w14:paraId="2B02109F" w14:textId="77777777" w:rsidR="00550E13" w:rsidRPr="009C5807" w:rsidRDefault="00550E13" w:rsidP="008935F7">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09447EF4" w14:textId="77777777" w:rsidR="00550E13" w:rsidRPr="009C5807" w:rsidRDefault="00550E13" w:rsidP="008935F7">
            <w:pPr>
              <w:pStyle w:val="TAN"/>
            </w:pPr>
            <w:r w:rsidRPr="009C5807">
              <w:t>NOTE 3:</w:t>
            </w:r>
            <w:r w:rsidRPr="009C5807">
              <w:tab/>
              <w:t>NR operating band groups in FR1 are as defined in clause 3.5.2.</w:t>
            </w:r>
          </w:p>
        </w:tc>
      </w:tr>
    </w:tbl>
    <w:p w14:paraId="262F4ED2" w14:textId="77777777" w:rsidR="00550E13" w:rsidRPr="009E0798" w:rsidRDefault="00550E13" w:rsidP="00550E13">
      <w:pPr>
        <w:rPr>
          <w:lang w:eastAsia="zh-CN"/>
        </w:rPr>
      </w:pPr>
    </w:p>
    <w:p w14:paraId="2B61651B" w14:textId="77777777" w:rsidR="00BE0199" w:rsidRPr="009C5807" w:rsidRDefault="00BE0199" w:rsidP="00BE0199">
      <w:pPr>
        <w:pStyle w:val="Heading3"/>
        <w:rPr>
          <w:lang w:val="en-US"/>
        </w:rPr>
      </w:pPr>
      <w:r w:rsidRPr="009C5807">
        <w:rPr>
          <w:lang w:val="en-US" w:eastAsia="ko-KR"/>
        </w:rPr>
        <w:t>10.1.7</w:t>
      </w:r>
      <w:r>
        <w:rPr>
          <w:lang w:val="en-US" w:eastAsia="ko-KR"/>
        </w:rPr>
        <w:t>B</w:t>
      </w:r>
      <w:r w:rsidRPr="009C5807">
        <w:rPr>
          <w:lang w:val="en-US"/>
        </w:rPr>
        <w:tab/>
        <w:t>Intra-frequency RSRQ accuracy requirements for FR1</w:t>
      </w:r>
      <w:r w:rsidRPr="00A25B8E">
        <w:rPr>
          <w:lang w:val="en-US"/>
        </w:rPr>
        <w:t xml:space="preserve"> </w:t>
      </w:r>
      <w:r>
        <w:rPr>
          <w:lang w:val="en-US"/>
        </w:rPr>
        <w:t>for CA/DC Idle Mode Measurements</w:t>
      </w:r>
    </w:p>
    <w:p w14:paraId="52709676" w14:textId="77777777" w:rsidR="00BE0199" w:rsidRDefault="00BE0199" w:rsidP="00BE0199">
      <w:pPr>
        <w:pStyle w:val="Heading4"/>
        <w:rPr>
          <w:lang w:val="en-US" w:eastAsia="zh-CN"/>
        </w:rPr>
      </w:pPr>
      <w:r w:rsidRPr="009C5807">
        <w:rPr>
          <w:lang w:val="en-US" w:eastAsia="zh-CN"/>
        </w:rPr>
        <w:t>10.1.7</w:t>
      </w:r>
      <w:r>
        <w:rPr>
          <w:lang w:val="en-US" w:eastAsia="zh-CN"/>
        </w:rPr>
        <w:t>B</w:t>
      </w:r>
      <w:r w:rsidRPr="009C5807">
        <w:rPr>
          <w:lang w:val="en-US" w:eastAsia="zh-CN"/>
        </w:rPr>
        <w:t>.1</w:t>
      </w:r>
      <w:r w:rsidRPr="009C5807">
        <w:rPr>
          <w:lang w:val="en-US" w:eastAsia="zh-CN"/>
        </w:rPr>
        <w:tab/>
      </w:r>
      <w:r w:rsidRPr="009C5807">
        <w:rPr>
          <w:lang w:val="en-US" w:eastAsia="ko-KR"/>
        </w:rPr>
        <w:t>Intra-frequency SS-RSRQ accuracy requirements</w:t>
      </w:r>
      <w:r w:rsidRPr="009C5807">
        <w:rPr>
          <w:lang w:val="en-US" w:eastAsia="zh-CN"/>
        </w:rPr>
        <w:t xml:space="preserve"> in FR1</w:t>
      </w:r>
    </w:p>
    <w:p w14:paraId="4449004D" w14:textId="77777777" w:rsidR="00BE0199" w:rsidRPr="00691C10" w:rsidRDefault="00BE0199" w:rsidP="00BE0199">
      <w:pPr>
        <w:jc w:val="both"/>
        <w:rPr>
          <w:rFonts w:cs="v4.2.0"/>
        </w:rPr>
      </w:pPr>
      <w:r w:rsidRPr="00691C10">
        <w:rPr>
          <w:rFonts w:cs="v4.2.0"/>
        </w:rPr>
        <w:t>The requirements in this clause are applicable for a UE:</w:t>
      </w:r>
    </w:p>
    <w:p w14:paraId="3F9D5A72" w14:textId="77777777" w:rsidR="00BE0199" w:rsidRPr="00691C10" w:rsidRDefault="00BE0199" w:rsidP="00BE0199">
      <w:pPr>
        <w:pStyle w:val="B10"/>
        <w:rPr>
          <w:rFonts w:cs="v4.2.0"/>
        </w:rPr>
      </w:pPr>
      <w:r w:rsidRPr="00691C10">
        <w:rPr>
          <w:rFonts w:cs="v4.2.0"/>
        </w:rPr>
        <w:t>-</w:t>
      </w:r>
      <w:r w:rsidRPr="00691C10">
        <w:rPr>
          <w:rFonts w:cs="v4.2.0"/>
        </w:rPr>
        <w:tab/>
        <w:t>in state RRC_IDLE</w:t>
      </w:r>
      <w:r>
        <w:rPr>
          <w:rFonts w:cs="v4.2.0"/>
        </w:rPr>
        <w:t xml:space="preserve"> or RRC INACTIVE</w:t>
      </w:r>
    </w:p>
    <w:p w14:paraId="12A3A467" w14:textId="77777777" w:rsidR="00BE0199" w:rsidRPr="00691C10" w:rsidRDefault="00BE0199" w:rsidP="00BE0199">
      <w:pPr>
        <w:pStyle w:val="B10"/>
      </w:pPr>
      <w:r w:rsidRPr="00691C10">
        <w:t>-</w:t>
      </w:r>
      <w:r w:rsidRPr="00691C10">
        <w:tab/>
        <w:t>that is synchronised to the cell that is measured.</w:t>
      </w:r>
    </w:p>
    <w:p w14:paraId="2AE6C6DB" w14:textId="77777777" w:rsidR="00BE0199" w:rsidRDefault="00BE0199" w:rsidP="00F37389">
      <w:r w:rsidRPr="00691C10">
        <w:t xml:space="preserve">The requirements are for absolute accuracy of </w:t>
      </w:r>
      <w:r>
        <w:t>SS-</w:t>
      </w:r>
      <w:r w:rsidRPr="00691C10">
        <w:t>RSR</w:t>
      </w:r>
      <w:r>
        <w:t>Q</w:t>
      </w:r>
      <w:r w:rsidRPr="00691C10">
        <w:t>.</w:t>
      </w:r>
    </w:p>
    <w:p w14:paraId="72678550" w14:textId="77777777" w:rsidR="00BE0199" w:rsidRPr="009C5807" w:rsidRDefault="00BE0199" w:rsidP="00BE0199">
      <w:pPr>
        <w:pStyle w:val="Heading5"/>
      </w:pPr>
      <w:r w:rsidRPr="009C5807">
        <w:rPr>
          <w:lang w:eastAsia="zh-CN"/>
        </w:rPr>
        <w:t>10.</w:t>
      </w:r>
      <w:r w:rsidRPr="009C5807">
        <w:t>1</w:t>
      </w:r>
      <w:r w:rsidRPr="009C5807">
        <w:rPr>
          <w:lang w:eastAsia="zh-CN"/>
        </w:rPr>
        <w:t>.</w:t>
      </w:r>
      <w:r w:rsidRPr="009C5807">
        <w:t>7</w:t>
      </w:r>
      <w:r>
        <w:t>B</w:t>
      </w:r>
      <w:r w:rsidRPr="009C5807">
        <w:rPr>
          <w:lang w:eastAsia="zh-CN"/>
        </w:rPr>
        <w:t>.</w:t>
      </w:r>
      <w:r w:rsidRPr="009C5807">
        <w:t>1</w:t>
      </w:r>
      <w:r w:rsidRPr="009C5807">
        <w:rPr>
          <w:lang w:eastAsia="zh-CN"/>
        </w:rPr>
        <w:t>.1</w:t>
      </w:r>
      <w:r w:rsidRPr="009C5807">
        <w:tab/>
        <w:t xml:space="preserve">Absolute </w:t>
      </w:r>
      <w:r w:rsidRPr="009C5807">
        <w:rPr>
          <w:lang w:val="en-US" w:eastAsia="ko-KR"/>
        </w:rPr>
        <w:t xml:space="preserve">SS-RSRQ </w:t>
      </w:r>
      <w:r w:rsidRPr="009C5807">
        <w:t>Accuracy in FR1</w:t>
      </w:r>
    </w:p>
    <w:p w14:paraId="08725264" w14:textId="77777777" w:rsidR="00BE0199" w:rsidRPr="009C5807" w:rsidRDefault="00BE0199" w:rsidP="00BE0199">
      <w:pPr>
        <w:rPr>
          <w:rFonts w:cs="v4.2.0"/>
          <w:i/>
        </w:rPr>
      </w:pPr>
      <w:r w:rsidRPr="009C5807">
        <w:rPr>
          <w:rFonts w:cs="v4.2.0"/>
        </w:rPr>
        <w:t xml:space="preserve">Unless otherwise specified, the requirements for absolute accuracy of </w:t>
      </w:r>
      <w:r w:rsidRPr="009C5807">
        <w:rPr>
          <w:rFonts w:cs="v4.2.0"/>
          <w:lang w:eastAsia="zh-CN"/>
        </w:rPr>
        <w:t>SS-RSRQ</w:t>
      </w:r>
      <w:r w:rsidRPr="009C5807">
        <w:rPr>
          <w:rFonts w:cs="v4.2.0"/>
        </w:rPr>
        <w:t xml:space="preserve"> in this clause apply to the serving cell in FR1.</w:t>
      </w:r>
    </w:p>
    <w:p w14:paraId="24CF716A" w14:textId="77777777" w:rsidR="00BE0199" w:rsidRPr="009C5807" w:rsidRDefault="00BE0199" w:rsidP="00BE0199">
      <w:pPr>
        <w:rPr>
          <w:rFonts w:cs="v4.2.0"/>
        </w:rPr>
      </w:pPr>
      <w:r w:rsidRPr="009C5807">
        <w:rPr>
          <w:rFonts w:cs="v4.2.0"/>
        </w:rPr>
        <w:t xml:space="preserve">The accuracy requirements in Table </w:t>
      </w:r>
      <w:r w:rsidRPr="009C5807">
        <w:rPr>
          <w:rFonts w:cs="v4.2.0"/>
          <w:lang w:eastAsia="zh-CN"/>
        </w:rPr>
        <w:t>10.1.7</w:t>
      </w:r>
      <w:r>
        <w:rPr>
          <w:rFonts w:cs="v4.2.0"/>
          <w:lang w:eastAsia="zh-CN"/>
        </w:rPr>
        <w:t>B</w:t>
      </w:r>
      <w:r w:rsidRPr="009C5807">
        <w:rPr>
          <w:rFonts w:cs="v4.2.0"/>
          <w:lang w:eastAsia="zh-CN"/>
        </w:rPr>
        <w:t>.1.1</w:t>
      </w:r>
      <w:r w:rsidRPr="009C5807">
        <w:rPr>
          <w:rFonts w:cs="v4.2.0"/>
        </w:rPr>
        <w:t>-1 are valid under the following conditions:</w:t>
      </w:r>
    </w:p>
    <w:p w14:paraId="453EB3FE" w14:textId="77777777" w:rsidR="00BE0199" w:rsidRPr="009C5807" w:rsidRDefault="00BE0199" w:rsidP="00BE0199">
      <w:pPr>
        <w:pStyle w:val="B10"/>
        <w:rPr>
          <w:lang w:eastAsia="zh-CN"/>
        </w:rPr>
      </w:pPr>
      <w:r w:rsidRPr="009C5807">
        <w:t>-</w:t>
      </w:r>
      <w:r w:rsidRPr="009C5807">
        <w:tab/>
        <w:t>Conditions defined in clause 7.3 of TS 38.101-1 [18] for reference sensitivity are fulfilled.</w:t>
      </w:r>
    </w:p>
    <w:p w14:paraId="118BF1DD" w14:textId="77777777" w:rsidR="00BE0199" w:rsidRPr="009C5807" w:rsidRDefault="00BE0199" w:rsidP="00BE0199">
      <w:pPr>
        <w:pStyle w:val="B10"/>
        <w:rPr>
          <w:lang w:eastAsia="zh-CN"/>
        </w:rPr>
      </w:pPr>
      <w:r w:rsidRPr="009C5807">
        <w:t>-</w:t>
      </w:r>
      <w:r w:rsidRPr="009C5807">
        <w:rPr>
          <w:rFonts w:ascii="Arial" w:hAnsi="Arial"/>
          <w:sz w:val="28"/>
          <w:lang w:val="en-US"/>
        </w:rPr>
        <w:tab/>
      </w:r>
      <w:r w:rsidRPr="009C5807">
        <w:t>Conditions for intra-frequency measurements are fulfilled according to Annex B.</w:t>
      </w:r>
      <w:r>
        <w:t>1</w:t>
      </w:r>
      <w:r w:rsidRPr="009C5807">
        <w:t xml:space="preserve">.2 for a corresponding Band </w:t>
      </w:r>
      <w:r w:rsidRPr="009C5807">
        <w:rPr>
          <w:rFonts w:cs="v4.2.0"/>
          <w:lang w:eastAsia="ko-KR"/>
        </w:rPr>
        <w:t>for each relevant SSB</w:t>
      </w:r>
      <w:r w:rsidRPr="009C5807">
        <w:t>.</w:t>
      </w:r>
    </w:p>
    <w:p w14:paraId="40CA75EA" w14:textId="77777777" w:rsidR="00BE0199" w:rsidRPr="009C5807" w:rsidRDefault="00BE0199" w:rsidP="00BE0199">
      <w:pPr>
        <w:pStyle w:val="TH"/>
        <w:rPr>
          <w:lang w:eastAsia="zh-CN"/>
        </w:rPr>
      </w:pPr>
      <w:r w:rsidRPr="009C5807">
        <w:t xml:space="preserve">Table </w:t>
      </w:r>
      <w:r w:rsidRPr="009C5807">
        <w:rPr>
          <w:lang w:eastAsia="zh-CN"/>
        </w:rPr>
        <w:t>10.1.7</w:t>
      </w:r>
      <w:r>
        <w:rPr>
          <w:lang w:eastAsia="zh-CN"/>
        </w:rPr>
        <w:t>B</w:t>
      </w:r>
      <w:r w:rsidRPr="009C5807">
        <w:rPr>
          <w:lang w:eastAsia="zh-CN"/>
        </w:rPr>
        <w:t>.1.1-1</w:t>
      </w:r>
      <w:r w:rsidRPr="009C5807">
        <w:t xml:space="preserve">: </w:t>
      </w:r>
      <w:r w:rsidRPr="009C5807">
        <w:rPr>
          <w:lang w:eastAsia="zh-CN"/>
        </w:rPr>
        <w:t>SS-RSRQ</w:t>
      </w:r>
      <w:r w:rsidRPr="009C5807">
        <w:t xml:space="preserve"> Intra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4"/>
        <w:gridCol w:w="1048"/>
        <w:gridCol w:w="805"/>
        <w:gridCol w:w="2317"/>
        <w:gridCol w:w="1003"/>
        <w:gridCol w:w="1085"/>
        <w:gridCol w:w="1440"/>
        <w:gridCol w:w="1440"/>
      </w:tblGrid>
      <w:tr w:rsidR="00BE0199" w:rsidRPr="009C5807" w14:paraId="6DFF3C10" w14:textId="77777777" w:rsidTr="00BE0199">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321A688D" w14:textId="77777777" w:rsidR="00BE0199" w:rsidRPr="009C5807" w:rsidRDefault="00BE0199" w:rsidP="00BE0199">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3A29BB32" w14:textId="77777777" w:rsidR="00BE0199" w:rsidRPr="009C5807" w:rsidRDefault="00BE0199" w:rsidP="00BE0199">
            <w:pPr>
              <w:pStyle w:val="TAH"/>
            </w:pPr>
            <w:r w:rsidRPr="009C5807">
              <w:t>Conditions</w:t>
            </w:r>
          </w:p>
        </w:tc>
      </w:tr>
      <w:tr w:rsidR="00BE0199" w:rsidRPr="009C5807" w14:paraId="5277AE7B" w14:textId="77777777" w:rsidTr="00BE0199">
        <w:trPr>
          <w:jc w:val="center"/>
        </w:trPr>
        <w:tc>
          <w:tcPr>
            <w:tcW w:w="1034" w:type="dxa"/>
            <w:tcBorders>
              <w:top w:val="single" w:sz="6" w:space="0" w:color="auto"/>
              <w:left w:val="single" w:sz="4" w:space="0" w:color="auto"/>
              <w:right w:val="single" w:sz="6" w:space="0" w:color="auto"/>
            </w:tcBorders>
            <w:shd w:val="clear" w:color="auto" w:fill="auto"/>
            <w:vAlign w:val="center"/>
          </w:tcPr>
          <w:p w14:paraId="73B015EA" w14:textId="77777777" w:rsidR="00BE0199" w:rsidRPr="009C5807" w:rsidRDefault="00BE0199" w:rsidP="00BE0199">
            <w:pPr>
              <w:pStyle w:val="TAH"/>
            </w:pPr>
            <w:r w:rsidRPr="009C5807">
              <w:t>Normal condition</w:t>
            </w:r>
          </w:p>
        </w:tc>
        <w:tc>
          <w:tcPr>
            <w:tcW w:w="1048" w:type="dxa"/>
            <w:tcBorders>
              <w:top w:val="single" w:sz="6" w:space="0" w:color="auto"/>
              <w:left w:val="single" w:sz="6" w:space="0" w:color="auto"/>
              <w:right w:val="single" w:sz="6" w:space="0" w:color="auto"/>
            </w:tcBorders>
            <w:shd w:val="clear" w:color="auto" w:fill="auto"/>
            <w:vAlign w:val="center"/>
          </w:tcPr>
          <w:p w14:paraId="4545A59F" w14:textId="77777777" w:rsidR="00BE0199" w:rsidRPr="009C5807" w:rsidRDefault="00BE0199" w:rsidP="00BE0199">
            <w:pPr>
              <w:pStyle w:val="TAH"/>
            </w:pPr>
            <w:r w:rsidRPr="009C5807">
              <w:t>Extreme condition</w:t>
            </w:r>
          </w:p>
        </w:tc>
        <w:tc>
          <w:tcPr>
            <w:tcW w:w="805" w:type="dxa"/>
            <w:tcBorders>
              <w:top w:val="single" w:sz="6" w:space="0" w:color="auto"/>
              <w:left w:val="single" w:sz="6" w:space="0" w:color="auto"/>
              <w:right w:val="single" w:sz="6" w:space="0" w:color="auto"/>
            </w:tcBorders>
            <w:shd w:val="clear" w:color="auto" w:fill="auto"/>
            <w:vAlign w:val="center"/>
          </w:tcPr>
          <w:p w14:paraId="1BEFA918" w14:textId="77777777" w:rsidR="00BE0199" w:rsidRPr="009C5807" w:rsidRDefault="00BE0199" w:rsidP="00BE0199">
            <w:pPr>
              <w:pStyle w:val="TAH"/>
            </w:pPr>
            <w:r w:rsidRPr="009C5807">
              <w:t>SSB Ês/Iot</w:t>
            </w:r>
          </w:p>
        </w:tc>
        <w:tc>
          <w:tcPr>
            <w:tcW w:w="7285"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436B983" w14:textId="77777777" w:rsidR="00BE0199" w:rsidRPr="009C5807" w:rsidRDefault="00BE0199" w:rsidP="00BE0199">
            <w:pPr>
              <w:pStyle w:val="TAH"/>
            </w:pPr>
            <w:r w:rsidRPr="009C5807">
              <w:t>Io</w:t>
            </w:r>
            <w:r w:rsidRPr="009C5807">
              <w:rPr>
                <w:vertAlign w:val="superscript"/>
                <w:lang w:eastAsia="zh-CN"/>
              </w:rPr>
              <w:t xml:space="preserve"> Note 1</w:t>
            </w:r>
            <w:r w:rsidRPr="009C5807">
              <w:t xml:space="preserve"> range</w:t>
            </w:r>
          </w:p>
        </w:tc>
      </w:tr>
      <w:tr w:rsidR="00BE0199" w:rsidRPr="009C5807" w14:paraId="429C086E" w14:textId="77777777" w:rsidTr="00BE0199">
        <w:trPr>
          <w:jc w:val="center"/>
        </w:trPr>
        <w:tc>
          <w:tcPr>
            <w:tcW w:w="1034" w:type="dxa"/>
            <w:tcBorders>
              <w:left w:val="single" w:sz="4" w:space="0" w:color="auto"/>
              <w:bottom w:val="single" w:sz="6" w:space="0" w:color="auto"/>
              <w:right w:val="single" w:sz="6" w:space="0" w:color="auto"/>
            </w:tcBorders>
            <w:shd w:val="clear" w:color="auto" w:fill="auto"/>
            <w:vAlign w:val="center"/>
          </w:tcPr>
          <w:p w14:paraId="546D80FF" w14:textId="77777777" w:rsidR="00BE0199" w:rsidRPr="009C5807" w:rsidRDefault="00BE0199" w:rsidP="00BE0199">
            <w:pPr>
              <w:pStyle w:val="TAH"/>
            </w:pPr>
          </w:p>
        </w:tc>
        <w:tc>
          <w:tcPr>
            <w:tcW w:w="1048" w:type="dxa"/>
            <w:tcBorders>
              <w:left w:val="single" w:sz="6" w:space="0" w:color="auto"/>
              <w:bottom w:val="single" w:sz="6" w:space="0" w:color="auto"/>
              <w:right w:val="single" w:sz="6" w:space="0" w:color="auto"/>
            </w:tcBorders>
            <w:shd w:val="clear" w:color="auto" w:fill="auto"/>
            <w:vAlign w:val="center"/>
          </w:tcPr>
          <w:p w14:paraId="07FA8816" w14:textId="77777777" w:rsidR="00BE0199" w:rsidRPr="009C5807" w:rsidRDefault="00BE0199" w:rsidP="00BE0199">
            <w:pPr>
              <w:pStyle w:val="TAH"/>
            </w:pPr>
          </w:p>
        </w:tc>
        <w:tc>
          <w:tcPr>
            <w:tcW w:w="805" w:type="dxa"/>
            <w:tcBorders>
              <w:left w:val="single" w:sz="6" w:space="0" w:color="auto"/>
              <w:bottom w:val="single" w:sz="6" w:space="0" w:color="auto"/>
              <w:right w:val="single" w:sz="6" w:space="0" w:color="auto"/>
            </w:tcBorders>
            <w:shd w:val="clear" w:color="auto" w:fill="auto"/>
            <w:vAlign w:val="center"/>
          </w:tcPr>
          <w:p w14:paraId="3143787A" w14:textId="77777777" w:rsidR="00BE0199" w:rsidRPr="009C5807" w:rsidRDefault="00BE0199" w:rsidP="00BE0199">
            <w:pPr>
              <w:pStyle w:val="TAH"/>
            </w:pPr>
          </w:p>
        </w:tc>
        <w:tc>
          <w:tcPr>
            <w:tcW w:w="2317" w:type="dxa"/>
            <w:tcBorders>
              <w:top w:val="single" w:sz="6" w:space="0" w:color="auto"/>
              <w:left w:val="single" w:sz="6" w:space="0" w:color="auto"/>
              <w:bottom w:val="single" w:sz="4" w:space="0" w:color="auto"/>
              <w:right w:val="single" w:sz="4" w:space="0" w:color="auto"/>
            </w:tcBorders>
            <w:shd w:val="clear" w:color="auto" w:fill="auto"/>
            <w:vAlign w:val="center"/>
          </w:tcPr>
          <w:p w14:paraId="0471BAEA" w14:textId="77777777" w:rsidR="00BE0199" w:rsidRPr="009C5807" w:rsidRDefault="00BE0199" w:rsidP="00BE0199">
            <w:pPr>
              <w:pStyle w:val="TAH"/>
            </w:pPr>
            <w:r w:rsidRPr="009C5807">
              <w:t>NR operating band groups</w:t>
            </w:r>
            <w:r w:rsidRPr="009C5807">
              <w:rPr>
                <w:vertAlign w:val="superscript"/>
              </w:rPr>
              <w:t xml:space="preserve"> </w:t>
            </w:r>
            <w:r w:rsidRPr="009C5807">
              <w:rPr>
                <w:vertAlign w:val="superscript"/>
                <w:lang w:eastAsia="zh-CN"/>
              </w:rPr>
              <w:t>Note 3</w:t>
            </w:r>
          </w:p>
        </w:tc>
        <w:tc>
          <w:tcPr>
            <w:tcW w:w="352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1A1C4747" w14:textId="77777777" w:rsidR="00BE0199" w:rsidRPr="009C5807" w:rsidRDefault="00BE0199" w:rsidP="00BE0199">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49E71EF9" w14:textId="77777777" w:rsidR="00BE0199" w:rsidRPr="009C5807" w:rsidRDefault="00BE0199" w:rsidP="00BE0199">
            <w:pPr>
              <w:pStyle w:val="TAH"/>
            </w:pPr>
            <w:r w:rsidRPr="009C5807">
              <w:t>Maximum Io</w:t>
            </w:r>
          </w:p>
        </w:tc>
      </w:tr>
      <w:tr w:rsidR="00BE0199" w:rsidRPr="009C5807" w14:paraId="6042E373" w14:textId="77777777" w:rsidTr="00BE0199">
        <w:trPr>
          <w:trHeight w:val="308"/>
          <w:jc w:val="center"/>
        </w:trPr>
        <w:tc>
          <w:tcPr>
            <w:tcW w:w="1034" w:type="dxa"/>
            <w:tcBorders>
              <w:top w:val="single" w:sz="6" w:space="0" w:color="auto"/>
              <w:left w:val="single" w:sz="4" w:space="0" w:color="auto"/>
              <w:right w:val="single" w:sz="6" w:space="0" w:color="auto"/>
            </w:tcBorders>
            <w:shd w:val="clear" w:color="auto" w:fill="auto"/>
          </w:tcPr>
          <w:p w14:paraId="76FC32DB" w14:textId="77777777" w:rsidR="00BE0199" w:rsidRPr="009C5807" w:rsidRDefault="00BE0199" w:rsidP="00BE0199">
            <w:pPr>
              <w:pStyle w:val="TAH"/>
            </w:pPr>
            <w:r w:rsidRPr="009C5807">
              <w:t>dB</w:t>
            </w:r>
          </w:p>
        </w:tc>
        <w:tc>
          <w:tcPr>
            <w:tcW w:w="1048" w:type="dxa"/>
            <w:tcBorders>
              <w:top w:val="single" w:sz="6" w:space="0" w:color="auto"/>
              <w:left w:val="single" w:sz="6" w:space="0" w:color="auto"/>
              <w:right w:val="single" w:sz="6" w:space="0" w:color="auto"/>
            </w:tcBorders>
            <w:shd w:val="clear" w:color="auto" w:fill="auto"/>
          </w:tcPr>
          <w:p w14:paraId="44380607" w14:textId="77777777" w:rsidR="00BE0199" w:rsidRPr="009C5807" w:rsidRDefault="00BE0199" w:rsidP="00BE0199">
            <w:pPr>
              <w:pStyle w:val="TAH"/>
            </w:pPr>
            <w:r w:rsidRPr="009C5807">
              <w:t>dB</w:t>
            </w:r>
          </w:p>
        </w:tc>
        <w:tc>
          <w:tcPr>
            <w:tcW w:w="805" w:type="dxa"/>
            <w:tcBorders>
              <w:top w:val="single" w:sz="6" w:space="0" w:color="auto"/>
              <w:left w:val="single" w:sz="6" w:space="0" w:color="auto"/>
              <w:right w:val="single" w:sz="4" w:space="0" w:color="auto"/>
            </w:tcBorders>
            <w:shd w:val="clear" w:color="auto" w:fill="auto"/>
          </w:tcPr>
          <w:p w14:paraId="344C07CC" w14:textId="77777777" w:rsidR="00BE0199" w:rsidRPr="009C5807" w:rsidRDefault="00BE0199" w:rsidP="00BE0199">
            <w:pPr>
              <w:pStyle w:val="TAH"/>
            </w:pPr>
            <w:r w:rsidRPr="009C5807">
              <w:t>dB</w:t>
            </w:r>
          </w:p>
        </w:tc>
        <w:tc>
          <w:tcPr>
            <w:tcW w:w="2317" w:type="dxa"/>
            <w:tcBorders>
              <w:top w:val="single" w:sz="4" w:space="0" w:color="auto"/>
              <w:left w:val="single" w:sz="4" w:space="0" w:color="auto"/>
              <w:right w:val="single" w:sz="4" w:space="0" w:color="auto"/>
            </w:tcBorders>
            <w:shd w:val="clear" w:color="auto" w:fill="auto"/>
          </w:tcPr>
          <w:p w14:paraId="63D3DB00" w14:textId="77777777" w:rsidR="00BE0199" w:rsidRPr="009C5807" w:rsidRDefault="00BE0199" w:rsidP="00BE0199">
            <w:pPr>
              <w:pStyle w:val="TAH"/>
            </w:pPr>
          </w:p>
        </w:tc>
        <w:tc>
          <w:tcPr>
            <w:tcW w:w="2088" w:type="dxa"/>
            <w:gridSpan w:val="2"/>
            <w:tcBorders>
              <w:top w:val="single" w:sz="6" w:space="0" w:color="auto"/>
              <w:left w:val="single" w:sz="4" w:space="0" w:color="auto"/>
              <w:bottom w:val="single" w:sz="6" w:space="0" w:color="auto"/>
              <w:right w:val="single" w:sz="6" w:space="0" w:color="auto"/>
            </w:tcBorders>
            <w:shd w:val="clear" w:color="auto" w:fill="auto"/>
          </w:tcPr>
          <w:p w14:paraId="51856A30" w14:textId="77777777" w:rsidR="00BE0199" w:rsidRPr="009C5807" w:rsidRDefault="00BE0199" w:rsidP="00BE0199">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06478F74" w14:textId="77777777" w:rsidR="00BE0199" w:rsidRPr="009C5807" w:rsidRDefault="00BE0199" w:rsidP="00BE0199">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02570AB8" w14:textId="77777777" w:rsidR="00BE0199" w:rsidRPr="009C5807" w:rsidRDefault="00BE0199" w:rsidP="00BE0199">
            <w:pPr>
              <w:pStyle w:val="TAH"/>
            </w:pPr>
            <w:r w:rsidRPr="009C5807">
              <w:t>dBm/BW</w:t>
            </w:r>
            <w:r w:rsidRPr="009C5807">
              <w:rPr>
                <w:vertAlign w:val="subscript"/>
              </w:rPr>
              <w:t>Channel</w:t>
            </w:r>
          </w:p>
        </w:tc>
      </w:tr>
      <w:tr w:rsidR="00BE0199" w:rsidRPr="009C5807" w14:paraId="7BAA6868" w14:textId="77777777" w:rsidTr="00BE0199">
        <w:trPr>
          <w:trHeight w:val="307"/>
          <w:jc w:val="center"/>
        </w:trPr>
        <w:tc>
          <w:tcPr>
            <w:tcW w:w="1034" w:type="dxa"/>
            <w:tcBorders>
              <w:left w:val="single" w:sz="4" w:space="0" w:color="auto"/>
              <w:bottom w:val="single" w:sz="6" w:space="0" w:color="auto"/>
              <w:right w:val="single" w:sz="6" w:space="0" w:color="auto"/>
            </w:tcBorders>
            <w:shd w:val="clear" w:color="auto" w:fill="auto"/>
          </w:tcPr>
          <w:p w14:paraId="011C8BE0" w14:textId="77777777" w:rsidR="00BE0199" w:rsidRPr="009C5807" w:rsidRDefault="00BE0199" w:rsidP="00BE0199">
            <w:pPr>
              <w:pStyle w:val="TAH"/>
            </w:pPr>
          </w:p>
        </w:tc>
        <w:tc>
          <w:tcPr>
            <w:tcW w:w="1048" w:type="dxa"/>
            <w:tcBorders>
              <w:left w:val="single" w:sz="6" w:space="0" w:color="auto"/>
              <w:bottom w:val="single" w:sz="6" w:space="0" w:color="auto"/>
              <w:right w:val="single" w:sz="6" w:space="0" w:color="auto"/>
            </w:tcBorders>
            <w:shd w:val="clear" w:color="auto" w:fill="auto"/>
          </w:tcPr>
          <w:p w14:paraId="3F2EB35E" w14:textId="77777777" w:rsidR="00BE0199" w:rsidRPr="009C5807" w:rsidRDefault="00BE0199" w:rsidP="00BE0199">
            <w:pPr>
              <w:pStyle w:val="TAH"/>
            </w:pPr>
          </w:p>
        </w:tc>
        <w:tc>
          <w:tcPr>
            <w:tcW w:w="805" w:type="dxa"/>
            <w:tcBorders>
              <w:left w:val="single" w:sz="6" w:space="0" w:color="auto"/>
              <w:bottom w:val="single" w:sz="6" w:space="0" w:color="auto"/>
              <w:right w:val="single" w:sz="4" w:space="0" w:color="auto"/>
            </w:tcBorders>
            <w:shd w:val="clear" w:color="auto" w:fill="auto"/>
          </w:tcPr>
          <w:p w14:paraId="7DA3F051" w14:textId="77777777" w:rsidR="00BE0199" w:rsidRPr="009C5807" w:rsidRDefault="00BE0199" w:rsidP="00BE0199">
            <w:pPr>
              <w:pStyle w:val="TAH"/>
            </w:pPr>
          </w:p>
        </w:tc>
        <w:tc>
          <w:tcPr>
            <w:tcW w:w="2317" w:type="dxa"/>
            <w:tcBorders>
              <w:left w:val="single" w:sz="4" w:space="0" w:color="auto"/>
              <w:bottom w:val="single" w:sz="4" w:space="0" w:color="auto"/>
              <w:right w:val="single" w:sz="4" w:space="0" w:color="auto"/>
            </w:tcBorders>
            <w:shd w:val="clear" w:color="auto" w:fill="auto"/>
          </w:tcPr>
          <w:p w14:paraId="1547508F" w14:textId="77777777" w:rsidR="00BE0199" w:rsidRPr="009C5807" w:rsidRDefault="00BE0199" w:rsidP="00BE0199">
            <w:pPr>
              <w:pStyle w:val="TAH"/>
            </w:pP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6BEA3E9C" w14:textId="77777777" w:rsidR="00BE0199" w:rsidRPr="009C5807" w:rsidRDefault="00BE0199" w:rsidP="00BE0199">
            <w:pPr>
              <w:pStyle w:val="TAH"/>
              <w:rPr>
                <w:rFonts w:cs="Arial"/>
              </w:rPr>
            </w:pPr>
            <w:r w:rsidRPr="009C5807">
              <w:t>SCS</w:t>
            </w:r>
            <w:r w:rsidRPr="009C5807">
              <w:rPr>
                <w:vertAlign w:val="subscript"/>
              </w:rPr>
              <w:t>SSB</w:t>
            </w:r>
            <w:r w:rsidRPr="009C5807">
              <w:rPr>
                <w:rFonts w:cs="Arial"/>
              </w:rPr>
              <w:t xml:space="preserve"> = 15 kHz</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1470DD83" w14:textId="77777777" w:rsidR="00BE0199" w:rsidRPr="009C5807" w:rsidRDefault="00BE0199" w:rsidP="00BE0199">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48EEA15D" w14:textId="77777777" w:rsidR="00BE0199" w:rsidRPr="009C5807" w:rsidRDefault="00BE0199" w:rsidP="00BE0199">
            <w:pPr>
              <w:pStyle w:val="TAH"/>
            </w:pPr>
          </w:p>
        </w:tc>
        <w:tc>
          <w:tcPr>
            <w:tcW w:w="1440" w:type="dxa"/>
            <w:tcBorders>
              <w:left w:val="single" w:sz="6" w:space="0" w:color="auto"/>
              <w:bottom w:val="single" w:sz="6" w:space="0" w:color="auto"/>
              <w:right w:val="single" w:sz="4" w:space="0" w:color="auto"/>
            </w:tcBorders>
            <w:shd w:val="clear" w:color="auto" w:fill="auto"/>
          </w:tcPr>
          <w:p w14:paraId="05B13E29" w14:textId="77777777" w:rsidR="00BE0199" w:rsidRPr="009C5807" w:rsidRDefault="00BE0199" w:rsidP="00BE0199">
            <w:pPr>
              <w:pStyle w:val="TAH"/>
            </w:pPr>
          </w:p>
        </w:tc>
      </w:tr>
      <w:tr w:rsidR="00BE0199" w:rsidRPr="009C5807" w14:paraId="4360C3A0" w14:textId="77777777" w:rsidTr="00BE0199">
        <w:trPr>
          <w:jc w:val="center"/>
        </w:trPr>
        <w:tc>
          <w:tcPr>
            <w:tcW w:w="1034" w:type="dxa"/>
            <w:tcBorders>
              <w:top w:val="single" w:sz="6" w:space="0" w:color="auto"/>
              <w:left w:val="single" w:sz="4" w:space="0" w:color="auto"/>
              <w:right w:val="single" w:sz="6" w:space="0" w:color="auto"/>
            </w:tcBorders>
            <w:shd w:val="clear" w:color="auto" w:fill="auto"/>
          </w:tcPr>
          <w:p w14:paraId="537462DA" w14:textId="77777777" w:rsidR="00BE0199" w:rsidRPr="009C5807" w:rsidRDefault="00BE0199" w:rsidP="00BE0199">
            <w:pPr>
              <w:pStyle w:val="TAC"/>
            </w:pPr>
          </w:p>
        </w:tc>
        <w:tc>
          <w:tcPr>
            <w:tcW w:w="1048" w:type="dxa"/>
            <w:tcBorders>
              <w:top w:val="single" w:sz="6" w:space="0" w:color="auto"/>
              <w:left w:val="single" w:sz="6" w:space="0" w:color="auto"/>
              <w:right w:val="single" w:sz="6" w:space="0" w:color="auto"/>
            </w:tcBorders>
            <w:shd w:val="clear" w:color="auto" w:fill="auto"/>
          </w:tcPr>
          <w:p w14:paraId="330135D0" w14:textId="77777777" w:rsidR="00BE0199" w:rsidRPr="009C5807" w:rsidRDefault="00BE0199" w:rsidP="00BE0199">
            <w:pPr>
              <w:pStyle w:val="TAC"/>
            </w:pPr>
          </w:p>
        </w:tc>
        <w:tc>
          <w:tcPr>
            <w:tcW w:w="805" w:type="dxa"/>
            <w:tcBorders>
              <w:top w:val="single" w:sz="6" w:space="0" w:color="auto"/>
              <w:left w:val="single" w:sz="6" w:space="0" w:color="auto"/>
              <w:right w:val="single" w:sz="6" w:space="0" w:color="auto"/>
            </w:tcBorders>
            <w:shd w:val="clear" w:color="auto" w:fill="auto"/>
          </w:tcPr>
          <w:p w14:paraId="507A46A0" w14:textId="77777777" w:rsidR="00BE0199" w:rsidRPr="009C5807" w:rsidRDefault="00BE0199" w:rsidP="00BE0199">
            <w:pPr>
              <w:pStyle w:val="TAC"/>
            </w:pPr>
          </w:p>
        </w:tc>
        <w:tc>
          <w:tcPr>
            <w:tcW w:w="2317" w:type="dxa"/>
            <w:tcBorders>
              <w:top w:val="single" w:sz="4" w:space="0" w:color="auto"/>
              <w:left w:val="single" w:sz="6" w:space="0" w:color="auto"/>
              <w:bottom w:val="single" w:sz="6" w:space="0" w:color="auto"/>
              <w:right w:val="single" w:sz="4" w:space="0" w:color="auto"/>
            </w:tcBorders>
            <w:shd w:val="clear" w:color="auto" w:fill="auto"/>
          </w:tcPr>
          <w:p w14:paraId="7DF44EB3" w14:textId="77777777" w:rsidR="00BE0199" w:rsidRPr="009C5807" w:rsidRDefault="00BE0199" w:rsidP="00BE0199">
            <w:pPr>
              <w:pStyle w:val="TAC"/>
            </w:pPr>
            <w:r w:rsidRPr="009C5807">
              <w:t>NR_FDD_FR1_A, NR_TDD_FR1_A,</w:t>
            </w:r>
          </w:p>
          <w:p w14:paraId="207C1C6B" w14:textId="77777777" w:rsidR="00BE0199" w:rsidRPr="009C5807" w:rsidRDefault="00BE0199" w:rsidP="00BE0199">
            <w:pPr>
              <w:pStyle w:val="TAC"/>
            </w:pPr>
            <w:r w:rsidRPr="009C5807">
              <w:t>NR_SDL_FR1_A</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545B0438" w14:textId="77777777" w:rsidR="00BE0199" w:rsidRPr="009C5807" w:rsidRDefault="00BE0199" w:rsidP="00BE0199">
            <w:pPr>
              <w:pStyle w:val="TAC"/>
            </w:pPr>
            <w:r w:rsidRPr="009C5807">
              <w:t>-121</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42BDBFE5" w14:textId="77777777" w:rsidR="00BE0199" w:rsidRPr="009C5807" w:rsidRDefault="00BE0199" w:rsidP="00BE0199">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4778F15"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9B8D8C4" w14:textId="77777777" w:rsidR="00BE0199" w:rsidRPr="009C5807" w:rsidRDefault="00BE0199" w:rsidP="00BE0199">
            <w:pPr>
              <w:pStyle w:val="TAC"/>
            </w:pPr>
            <w:r w:rsidRPr="009C5807">
              <w:t>-50</w:t>
            </w:r>
          </w:p>
        </w:tc>
      </w:tr>
      <w:tr w:rsidR="00BE0199" w:rsidRPr="009C5807" w14:paraId="1FA0CB0F" w14:textId="77777777" w:rsidTr="00BE0199">
        <w:trPr>
          <w:jc w:val="center"/>
        </w:trPr>
        <w:tc>
          <w:tcPr>
            <w:tcW w:w="1034" w:type="dxa"/>
            <w:tcBorders>
              <w:left w:val="single" w:sz="4" w:space="0" w:color="auto"/>
              <w:right w:val="single" w:sz="6" w:space="0" w:color="auto"/>
            </w:tcBorders>
            <w:shd w:val="clear" w:color="auto" w:fill="auto"/>
          </w:tcPr>
          <w:p w14:paraId="723DA4AB" w14:textId="77777777" w:rsidR="00BE0199" w:rsidRPr="009C5807" w:rsidRDefault="00BE0199" w:rsidP="00BE0199">
            <w:pPr>
              <w:pStyle w:val="TAC"/>
            </w:pPr>
          </w:p>
        </w:tc>
        <w:tc>
          <w:tcPr>
            <w:tcW w:w="1048" w:type="dxa"/>
            <w:tcBorders>
              <w:left w:val="single" w:sz="6" w:space="0" w:color="auto"/>
              <w:right w:val="single" w:sz="6" w:space="0" w:color="auto"/>
            </w:tcBorders>
            <w:shd w:val="clear" w:color="auto" w:fill="auto"/>
          </w:tcPr>
          <w:p w14:paraId="41E32244" w14:textId="77777777" w:rsidR="00BE0199" w:rsidRPr="009C5807" w:rsidRDefault="00BE0199" w:rsidP="00BE0199">
            <w:pPr>
              <w:pStyle w:val="TAC"/>
            </w:pPr>
          </w:p>
        </w:tc>
        <w:tc>
          <w:tcPr>
            <w:tcW w:w="805" w:type="dxa"/>
            <w:tcBorders>
              <w:left w:val="single" w:sz="6" w:space="0" w:color="auto"/>
              <w:right w:val="single" w:sz="6" w:space="0" w:color="auto"/>
            </w:tcBorders>
            <w:shd w:val="clear" w:color="auto" w:fill="auto"/>
          </w:tcPr>
          <w:p w14:paraId="41A66524" w14:textId="77777777" w:rsidR="00BE0199" w:rsidRPr="009C5807" w:rsidRDefault="00BE0199" w:rsidP="00BE0199">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2782F923" w14:textId="77777777" w:rsidR="00BE0199" w:rsidRPr="009C5807" w:rsidRDefault="00BE0199" w:rsidP="00BE0199">
            <w:pPr>
              <w:pStyle w:val="TAC"/>
            </w:pPr>
            <w:r w:rsidRPr="009C5807">
              <w:t>NR_FDD_FR1_B</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669C6C22" w14:textId="77777777" w:rsidR="00BE0199" w:rsidRPr="009C5807" w:rsidRDefault="00BE0199" w:rsidP="00BE0199">
            <w:pPr>
              <w:pStyle w:val="TAC"/>
            </w:pPr>
            <w:r w:rsidRPr="009C5807">
              <w:t>-120.5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19ED4BF1" w14:textId="77777777" w:rsidR="00BE0199" w:rsidRPr="009C5807" w:rsidRDefault="00BE0199" w:rsidP="00BE0199">
            <w:pPr>
              <w:pStyle w:val="TAC"/>
              <w:rPr>
                <w:rFonts w:cs="Arial"/>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F870C21" w14:textId="77777777" w:rsidR="00BE0199" w:rsidRPr="009C5807" w:rsidRDefault="00BE0199" w:rsidP="00BE0199">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AE934F1" w14:textId="77777777" w:rsidR="00BE0199" w:rsidRPr="009C5807" w:rsidRDefault="00BE0199" w:rsidP="00BE0199">
            <w:pPr>
              <w:pStyle w:val="TAC"/>
            </w:pPr>
            <w:r w:rsidRPr="009C5807">
              <w:t>-50</w:t>
            </w:r>
          </w:p>
        </w:tc>
      </w:tr>
      <w:tr w:rsidR="00BE0199" w:rsidRPr="009C5807" w14:paraId="50217505" w14:textId="77777777" w:rsidTr="00BE0199">
        <w:trPr>
          <w:jc w:val="center"/>
        </w:trPr>
        <w:tc>
          <w:tcPr>
            <w:tcW w:w="1034" w:type="dxa"/>
            <w:tcBorders>
              <w:left w:val="single" w:sz="4" w:space="0" w:color="auto"/>
              <w:right w:val="single" w:sz="6" w:space="0" w:color="auto"/>
            </w:tcBorders>
            <w:shd w:val="clear" w:color="auto" w:fill="auto"/>
          </w:tcPr>
          <w:p w14:paraId="769AB931" w14:textId="77777777" w:rsidR="00BE0199" w:rsidRPr="009C5807" w:rsidRDefault="00BE0199" w:rsidP="00BE0199">
            <w:pPr>
              <w:pStyle w:val="TAC"/>
            </w:pPr>
          </w:p>
        </w:tc>
        <w:tc>
          <w:tcPr>
            <w:tcW w:w="1048" w:type="dxa"/>
            <w:tcBorders>
              <w:left w:val="single" w:sz="6" w:space="0" w:color="auto"/>
              <w:right w:val="single" w:sz="6" w:space="0" w:color="auto"/>
            </w:tcBorders>
            <w:shd w:val="clear" w:color="auto" w:fill="auto"/>
          </w:tcPr>
          <w:p w14:paraId="28BF763A" w14:textId="77777777" w:rsidR="00BE0199" w:rsidRPr="009C5807" w:rsidRDefault="00BE0199" w:rsidP="00BE0199">
            <w:pPr>
              <w:pStyle w:val="TAC"/>
            </w:pPr>
          </w:p>
        </w:tc>
        <w:tc>
          <w:tcPr>
            <w:tcW w:w="805" w:type="dxa"/>
            <w:tcBorders>
              <w:left w:val="single" w:sz="6" w:space="0" w:color="auto"/>
              <w:right w:val="single" w:sz="6" w:space="0" w:color="auto"/>
            </w:tcBorders>
            <w:shd w:val="clear" w:color="auto" w:fill="auto"/>
          </w:tcPr>
          <w:p w14:paraId="5427586D" w14:textId="77777777" w:rsidR="00BE0199" w:rsidRPr="009C5807" w:rsidRDefault="00BE0199" w:rsidP="00BE0199">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047820C6" w14:textId="77777777" w:rsidR="00BE0199" w:rsidRPr="009C5807" w:rsidRDefault="00BE0199" w:rsidP="00BE0199">
            <w:pPr>
              <w:pStyle w:val="TAC"/>
            </w:pPr>
            <w:r w:rsidRPr="009C5807">
              <w:t>NR_TDD_FR1_C</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0F8DF0DF" w14:textId="77777777" w:rsidR="00BE0199" w:rsidRPr="009C5807" w:rsidRDefault="00BE0199" w:rsidP="00BE0199">
            <w:pPr>
              <w:pStyle w:val="TAC"/>
            </w:pPr>
            <w:r w:rsidRPr="009C5807">
              <w:t>-120</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535E638B" w14:textId="77777777" w:rsidR="00BE0199" w:rsidRPr="009C5807" w:rsidRDefault="00BE0199" w:rsidP="00BE0199">
            <w:pPr>
              <w:pStyle w:val="TAC"/>
              <w:rPr>
                <w:rFonts w:cs="Arial"/>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71D9EBD"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65FB14B" w14:textId="77777777" w:rsidR="00BE0199" w:rsidRPr="009C5807" w:rsidRDefault="00BE0199" w:rsidP="00BE0199">
            <w:pPr>
              <w:pStyle w:val="TAC"/>
            </w:pPr>
            <w:r w:rsidRPr="009C5807">
              <w:t>-50</w:t>
            </w:r>
          </w:p>
        </w:tc>
      </w:tr>
      <w:tr w:rsidR="00BE0199" w:rsidRPr="009C5807" w14:paraId="28FEFCDD" w14:textId="77777777" w:rsidTr="00BE0199">
        <w:trPr>
          <w:jc w:val="center"/>
        </w:trPr>
        <w:tc>
          <w:tcPr>
            <w:tcW w:w="1034" w:type="dxa"/>
            <w:tcBorders>
              <w:left w:val="single" w:sz="4" w:space="0" w:color="auto"/>
              <w:right w:val="single" w:sz="6" w:space="0" w:color="auto"/>
            </w:tcBorders>
            <w:shd w:val="clear" w:color="auto" w:fill="auto"/>
          </w:tcPr>
          <w:p w14:paraId="2E931483" w14:textId="77777777" w:rsidR="00BE0199" w:rsidRPr="009C5807" w:rsidRDefault="00BE0199" w:rsidP="00BE0199">
            <w:pPr>
              <w:pStyle w:val="TAC"/>
            </w:pPr>
            <w:r w:rsidRPr="009C5807">
              <w:sym w:font="Symbol" w:char="F0B1"/>
            </w:r>
            <w:r>
              <w:t>4</w:t>
            </w:r>
          </w:p>
        </w:tc>
        <w:tc>
          <w:tcPr>
            <w:tcW w:w="1048" w:type="dxa"/>
            <w:tcBorders>
              <w:left w:val="single" w:sz="6" w:space="0" w:color="auto"/>
              <w:right w:val="single" w:sz="6" w:space="0" w:color="auto"/>
            </w:tcBorders>
            <w:shd w:val="clear" w:color="auto" w:fill="auto"/>
          </w:tcPr>
          <w:p w14:paraId="5B86BB4E" w14:textId="77777777" w:rsidR="00BE0199" w:rsidRPr="009C5807" w:rsidRDefault="00BE0199" w:rsidP="00BE0199">
            <w:pPr>
              <w:pStyle w:val="TAC"/>
            </w:pPr>
            <w:r w:rsidRPr="009C5807">
              <w:sym w:font="Symbol" w:char="F0B1"/>
            </w:r>
            <w:r>
              <w:t>5.5</w:t>
            </w:r>
          </w:p>
        </w:tc>
        <w:tc>
          <w:tcPr>
            <w:tcW w:w="805" w:type="dxa"/>
            <w:tcBorders>
              <w:left w:val="single" w:sz="6" w:space="0" w:color="auto"/>
              <w:right w:val="single" w:sz="6" w:space="0" w:color="auto"/>
            </w:tcBorders>
            <w:shd w:val="clear" w:color="auto" w:fill="auto"/>
          </w:tcPr>
          <w:p w14:paraId="5ACC97BF" w14:textId="77777777" w:rsidR="00BE0199" w:rsidRPr="009C5807" w:rsidRDefault="00BE0199" w:rsidP="00BE0199">
            <w:pPr>
              <w:pStyle w:val="TAC"/>
            </w:pPr>
            <w:r w:rsidRPr="009C5807">
              <w:sym w:font="Symbol" w:char="F0B3"/>
            </w:r>
            <w:r w:rsidRPr="009C5807">
              <w:t>-3</w:t>
            </w: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75E65040" w14:textId="77777777" w:rsidR="00BE0199" w:rsidRPr="009C5807" w:rsidRDefault="00BE0199" w:rsidP="00BE0199">
            <w:pPr>
              <w:pStyle w:val="TAC"/>
              <w:rPr>
                <w:lang w:val="sv-SE"/>
              </w:rPr>
            </w:pPr>
            <w:r w:rsidRPr="009C5807">
              <w:rPr>
                <w:lang w:val="sv-SE"/>
              </w:rPr>
              <w:t>NR_FDD_FR1_D, NR_TDD_FR1_D</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1FA1AD99" w14:textId="77777777" w:rsidR="00BE0199" w:rsidRPr="009C5807" w:rsidRDefault="00BE0199" w:rsidP="00BE0199">
            <w:pPr>
              <w:pStyle w:val="TAC"/>
            </w:pPr>
            <w:r w:rsidRPr="009C5807">
              <w:t>-119.5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188D9449" w14:textId="77777777" w:rsidR="00BE0199" w:rsidRPr="009C5807" w:rsidRDefault="00BE0199" w:rsidP="00BE0199">
            <w:pPr>
              <w:pStyle w:val="TAC"/>
              <w:rPr>
                <w:rFonts w:cs="Arial"/>
              </w:rPr>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A7E75DC"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07C3B62" w14:textId="77777777" w:rsidR="00BE0199" w:rsidRPr="009C5807" w:rsidRDefault="00BE0199" w:rsidP="00BE0199">
            <w:pPr>
              <w:pStyle w:val="TAC"/>
            </w:pPr>
            <w:r w:rsidRPr="009C5807">
              <w:t>-50</w:t>
            </w:r>
          </w:p>
        </w:tc>
      </w:tr>
      <w:tr w:rsidR="00BE0199" w:rsidRPr="009C5807" w14:paraId="0463DBE8" w14:textId="77777777" w:rsidTr="00BE0199">
        <w:trPr>
          <w:jc w:val="center"/>
        </w:trPr>
        <w:tc>
          <w:tcPr>
            <w:tcW w:w="1034" w:type="dxa"/>
            <w:tcBorders>
              <w:left w:val="single" w:sz="4" w:space="0" w:color="auto"/>
              <w:right w:val="single" w:sz="6" w:space="0" w:color="auto"/>
            </w:tcBorders>
            <w:shd w:val="clear" w:color="auto" w:fill="auto"/>
          </w:tcPr>
          <w:p w14:paraId="59377117" w14:textId="77777777" w:rsidR="00BE0199" w:rsidRPr="009C5807" w:rsidRDefault="00BE0199" w:rsidP="00BE0199">
            <w:pPr>
              <w:pStyle w:val="TAC"/>
            </w:pPr>
          </w:p>
        </w:tc>
        <w:tc>
          <w:tcPr>
            <w:tcW w:w="1048" w:type="dxa"/>
            <w:tcBorders>
              <w:left w:val="single" w:sz="6" w:space="0" w:color="auto"/>
              <w:right w:val="single" w:sz="6" w:space="0" w:color="auto"/>
            </w:tcBorders>
            <w:shd w:val="clear" w:color="auto" w:fill="auto"/>
          </w:tcPr>
          <w:p w14:paraId="3EFA7225" w14:textId="77777777" w:rsidR="00BE0199" w:rsidRPr="009C5807" w:rsidRDefault="00BE0199" w:rsidP="00BE0199">
            <w:pPr>
              <w:pStyle w:val="TAC"/>
            </w:pPr>
          </w:p>
        </w:tc>
        <w:tc>
          <w:tcPr>
            <w:tcW w:w="805" w:type="dxa"/>
            <w:tcBorders>
              <w:left w:val="single" w:sz="6" w:space="0" w:color="auto"/>
              <w:right w:val="single" w:sz="6" w:space="0" w:color="auto"/>
            </w:tcBorders>
            <w:shd w:val="clear" w:color="auto" w:fill="auto"/>
          </w:tcPr>
          <w:p w14:paraId="28F9D9C6" w14:textId="77777777" w:rsidR="00BE0199" w:rsidRPr="009C5807" w:rsidRDefault="00BE0199" w:rsidP="00BE0199">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14243CBA" w14:textId="77777777" w:rsidR="00BE0199" w:rsidRPr="009C5807" w:rsidDel="00836998" w:rsidRDefault="00BE0199" w:rsidP="00BE0199">
            <w:pPr>
              <w:pStyle w:val="TAC"/>
              <w:rPr>
                <w:lang w:val="sv-SE"/>
              </w:rPr>
            </w:pPr>
            <w:r w:rsidRPr="009C5807">
              <w:rPr>
                <w:lang w:val="sv-SE"/>
              </w:rPr>
              <w:t>NR_FDD_FR1_E, NR_TDD_FR1_E</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4D3A5D19" w14:textId="77777777" w:rsidR="00BE0199" w:rsidRPr="009C5807" w:rsidRDefault="00BE0199" w:rsidP="00BE0199">
            <w:pPr>
              <w:pStyle w:val="TAC"/>
            </w:pPr>
            <w:r w:rsidRPr="009C5807">
              <w:t>-119</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53126465" w14:textId="77777777" w:rsidR="00BE0199" w:rsidRPr="009C5807" w:rsidRDefault="00BE0199" w:rsidP="00BE0199">
            <w:pPr>
              <w:pStyle w:val="TAC"/>
              <w:rPr>
                <w:rFonts w:cs="Arial"/>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3A24824"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3B65191" w14:textId="77777777" w:rsidR="00BE0199" w:rsidRPr="009C5807" w:rsidRDefault="00BE0199" w:rsidP="00BE0199">
            <w:pPr>
              <w:pStyle w:val="TAC"/>
            </w:pPr>
            <w:r w:rsidRPr="009C5807">
              <w:t>-50</w:t>
            </w:r>
          </w:p>
        </w:tc>
      </w:tr>
      <w:tr w:rsidR="00BE0199" w:rsidRPr="009C5807" w14:paraId="68CBC53B" w14:textId="77777777" w:rsidTr="00BE0199">
        <w:trPr>
          <w:jc w:val="center"/>
        </w:trPr>
        <w:tc>
          <w:tcPr>
            <w:tcW w:w="1034" w:type="dxa"/>
            <w:tcBorders>
              <w:left w:val="single" w:sz="4" w:space="0" w:color="auto"/>
              <w:right w:val="single" w:sz="6" w:space="0" w:color="auto"/>
            </w:tcBorders>
            <w:shd w:val="clear" w:color="auto" w:fill="auto"/>
          </w:tcPr>
          <w:p w14:paraId="05F7F78D" w14:textId="77777777" w:rsidR="00BE0199" w:rsidRPr="009C5807" w:rsidRDefault="00BE0199" w:rsidP="00BE0199">
            <w:pPr>
              <w:pStyle w:val="TAC"/>
            </w:pPr>
          </w:p>
        </w:tc>
        <w:tc>
          <w:tcPr>
            <w:tcW w:w="1048" w:type="dxa"/>
            <w:tcBorders>
              <w:left w:val="single" w:sz="6" w:space="0" w:color="auto"/>
              <w:right w:val="single" w:sz="6" w:space="0" w:color="auto"/>
            </w:tcBorders>
            <w:shd w:val="clear" w:color="auto" w:fill="auto"/>
          </w:tcPr>
          <w:p w14:paraId="14E08C68" w14:textId="77777777" w:rsidR="00BE0199" w:rsidRPr="009C5807" w:rsidRDefault="00BE0199" w:rsidP="00BE0199">
            <w:pPr>
              <w:pStyle w:val="TAC"/>
            </w:pPr>
          </w:p>
        </w:tc>
        <w:tc>
          <w:tcPr>
            <w:tcW w:w="805" w:type="dxa"/>
            <w:tcBorders>
              <w:left w:val="single" w:sz="6" w:space="0" w:color="auto"/>
              <w:right w:val="single" w:sz="6" w:space="0" w:color="auto"/>
            </w:tcBorders>
            <w:shd w:val="clear" w:color="auto" w:fill="auto"/>
          </w:tcPr>
          <w:p w14:paraId="05771D65" w14:textId="77777777" w:rsidR="00BE0199" w:rsidRPr="009C5807" w:rsidRDefault="00BE0199" w:rsidP="00BE0199">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45AF543A" w14:textId="77777777" w:rsidR="00BE0199" w:rsidRPr="009C5807" w:rsidRDefault="00BE0199" w:rsidP="00BE0199">
            <w:pPr>
              <w:pStyle w:val="TAC"/>
              <w:rPr>
                <w:lang w:val="sv-SE"/>
              </w:rPr>
            </w:pPr>
            <w:r w:rsidRPr="009C5807">
              <w:rPr>
                <w:lang w:eastAsia="zh-CN"/>
              </w:rPr>
              <w:t>NR_FDD_FR1_F</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723F192C" w14:textId="77777777" w:rsidR="00BE0199" w:rsidRPr="009C5807" w:rsidRDefault="00BE0199" w:rsidP="00BE0199">
            <w:pPr>
              <w:pStyle w:val="TAC"/>
            </w:pPr>
            <w:r w:rsidRPr="009C5807">
              <w:t>-118.5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79B5A098" w14:textId="77777777" w:rsidR="00BE0199" w:rsidRPr="009C5807" w:rsidRDefault="00BE0199" w:rsidP="00BE0199">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7DEF1E9"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EF359E0" w14:textId="77777777" w:rsidR="00BE0199" w:rsidRPr="009C5807" w:rsidRDefault="00BE0199" w:rsidP="00BE0199">
            <w:pPr>
              <w:pStyle w:val="TAC"/>
            </w:pPr>
            <w:r w:rsidRPr="009C5807">
              <w:t>-50</w:t>
            </w:r>
          </w:p>
        </w:tc>
      </w:tr>
      <w:tr w:rsidR="00BE0199" w:rsidRPr="009C5807" w14:paraId="6E210A1F" w14:textId="77777777" w:rsidTr="00BE0199">
        <w:trPr>
          <w:jc w:val="center"/>
        </w:trPr>
        <w:tc>
          <w:tcPr>
            <w:tcW w:w="1034" w:type="dxa"/>
            <w:tcBorders>
              <w:left w:val="single" w:sz="4" w:space="0" w:color="auto"/>
              <w:right w:val="single" w:sz="6" w:space="0" w:color="auto"/>
            </w:tcBorders>
            <w:shd w:val="clear" w:color="auto" w:fill="auto"/>
          </w:tcPr>
          <w:p w14:paraId="6C5A66FC" w14:textId="77777777" w:rsidR="00BE0199" w:rsidRPr="009C5807" w:rsidRDefault="00BE0199" w:rsidP="00BE0199">
            <w:pPr>
              <w:pStyle w:val="TAC"/>
            </w:pPr>
          </w:p>
        </w:tc>
        <w:tc>
          <w:tcPr>
            <w:tcW w:w="1048" w:type="dxa"/>
            <w:tcBorders>
              <w:left w:val="single" w:sz="6" w:space="0" w:color="auto"/>
              <w:right w:val="single" w:sz="6" w:space="0" w:color="auto"/>
            </w:tcBorders>
            <w:shd w:val="clear" w:color="auto" w:fill="auto"/>
          </w:tcPr>
          <w:p w14:paraId="632DC9BB" w14:textId="77777777" w:rsidR="00BE0199" w:rsidRPr="009C5807" w:rsidRDefault="00BE0199" w:rsidP="00BE0199">
            <w:pPr>
              <w:pStyle w:val="TAC"/>
            </w:pPr>
          </w:p>
        </w:tc>
        <w:tc>
          <w:tcPr>
            <w:tcW w:w="805" w:type="dxa"/>
            <w:tcBorders>
              <w:left w:val="single" w:sz="6" w:space="0" w:color="auto"/>
              <w:right w:val="single" w:sz="6" w:space="0" w:color="auto"/>
            </w:tcBorders>
            <w:shd w:val="clear" w:color="auto" w:fill="auto"/>
          </w:tcPr>
          <w:p w14:paraId="6EA0F242" w14:textId="77777777" w:rsidR="00BE0199" w:rsidRPr="009C5807" w:rsidRDefault="00BE0199" w:rsidP="00BE0199">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2F7ABA53" w14:textId="77777777" w:rsidR="00BE0199" w:rsidRPr="009C5807" w:rsidDel="00836998" w:rsidRDefault="00BE0199" w:rsidP="00BE0199">
            <w:pPr>
              <w:pStyle w:val="TAC"/>
              <w:rPr>
                <w:lang w:eastAsia="zh-CN"/>
              </w:rPr>
            </w:pPr>
            <w:r w:rsidRPr="009C5807">
              <w:rPr>
                <w:lang w:eastAsia="zh-CN"/>
              </w:rPr>
              <w:t>NR</w:t>
            </w:r>
            <w:r w:rsidRPr="009C5807">
              <w:t>_</w:t>
            </w:r>
            <w:r w:rsidRPr="009C5807">
              <w:rPr>
                <w:lang w:eastAsia="zh-CN"/>
              </w:rPr>
              <w:t>FDD_FR1_G</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124ACECF" w14:textId="77777777" w:rsidR="00BE0199" w:rsidRPr="009C5807" w:rsidRDefault="00BE0199" w:rsidP="00BE0199">
            <w:pPr>
              <w:pStyle w:val="TAC"/>
            </w:pPr>
            <w:r w:rsidRPr="009C5807">
              <w:t>-118</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5AEC87B5" w14:textId="77777777" w:rsidR="00BE0199" w:rsidRPr="009C5807" w:rsidRDefault="00BE0199" w:rsidP="00BE0199">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F1F008C"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364D3E0" w14:textId="77777777" w:rsidR="00BE0199" w:rsidRPr="009C5807" w:rsidRDefault="00BE0199" w:rsidP="00BE0199">
            <w:pPr>
              <w:pStyle w:val="TAC"/>
            </w:pPr>
            <w:r w:rsidRPr="009C5807">
              <w:t>-50</w:t>
            </w:r>
          </w:p>
        </w:tc>
      </w:tr>
      <w:tr w:rsidR="00BE0199" w:rsidRPr="009C5807" w14:paraId="2B5D61ED" w14:textId="77777777" w:rsidTr="00BE0199">
        <w:trPr>
          <w:jc w:val="center"/>
        </w:trPr>
        <w:tc>
          <w:tcPr>
            <w:tcW w:w="1034" w:type="dxa"/>
            <w:tcBorders>
              <w:left w:val="single" w:sz="4" w:space="0" w:color="auto"/>
              <w:right w:val="single" w:sz="6" w:space="0" w:color="auto"/>
            </w:tcBorders>
            <w:shd w:val="clear" w:color="auto" w:fill="auto"/>
          </w:tcPr>
          <w:p w14:paraId="048E27A0" w14:textId="77777777" w:rsidR="00BE0199" w:rsidRPr="009C5807" w:rsidRDefault="00BE0199" w:rsidP="00BE0199">
            <w:pPr>
              <w:pStyle w:val="TAC"/>
            </w:pPr>
          </w:p>
        </w:tc>
        <w:tc>
          <w:tcPr>
            <w:tcW w:w="1048" w:type="dxa"/>
            <w:tcBorders>
              <w:left w:val="single" w:sz="6" w:space="0" w:color="auto"/>
              <w:right w:val="single" w:sz="6" w:space="0" w:color="auto"/>
            </w:tcBorders>
            <w:shd w:val="clear" w:color="auto" w:fill="auto"/>
          </w:tcPr>
          <w:p w14:paraId="5C92C904" w14:textId="77777777" w:rsidR="00BE0199" w:rsidRPr="009C5807" w:rsidRDefault="00BE0199" w:rsidP="00BE0199">
            <w:pPr>
              <w:pStyle w:val="TAC"/>
            </w:pPr>
          </w:p>
        </w:tc>
        <w:tc>
          <w:tcPr>
            <w:tcW w:w="805" w:type="dxa"/>
            <w:tcBorders>
              <w:left w:val="single" w:sz="6" w:space="0" w:color="auto"/>
              <w:right w:val="single" w:sz="6" w:space="0" w:color="auto"/>
            </w:tcBorders>
            <w:shd w:val="clear" w:color="auto" w:fill="auto"/>
          </w:tcPr>
          <w:p w14:paraId="06367885" w14:textId="77777777" w:rsidR="00BE0199" w:rsidRPr="009C5807" w:rsidRDefault="00BE0199" w:rsidP="00BE0199">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72BA4687" w14:textId="77777777" w:rsidR="00BE0199" w:rsidRPr="009C5807" w:rsidRDefault="00BE0199" w:rsidP="00BE0199">
            <w:pPr>
              <w:pStyle w:val="TAC"/>
              <w:rPr>
                <w:lang w:eastAsia="zh-CN"/>
              </w:rPr>
            </w:pPr>
            <w:r w:rsidRPr="009C5807">
              <w:rPr>
                <w:lang w:eastAsia="zh-CN"/>
              </w:rPr>
              <w:t>NR</w:t>
            </w:r>
            <w:r w:rsidRPr="009C5807">
              <w:t>_</w:t>
            </w:r>
            <w:r w:rsidRPr="009C5807">
              <w:rPr>
                <w:lang w:eastAsia="zh-CN"/>
              </w:rPr>
              <w:t>FDD_FR1_H</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6F309C6E" w14:textId="77777777" w:rsidR="00BE0199" w:rsidRPr="009C5807" w:rsidRDefault="00BE0199" w:rsidP="00BE0199">
            <w:pPr>
              <w:pStyle w:val="TAC"/>
            </w:pPr>
            <w:r w:rsidRPr="009C5807">
              <w:t>-117.5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36EE1DAD" w14:textId="77777777" w:rsidR="00BE0199" w:rsidRPr="009C5807" w:rsidRDefault="00BE0199" w:rsidP="00BE0199">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7F5371C"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5500F07" w14:textId="77777777" w:rsidR="00BE0199" w:rsidRPr="009C5807" w:rsidRDefault="00BE0199" w:rsidP="00BE0199">
            <w:pPr>
              <w:pStyle w:val="TAC"/>
            </w:pPr>
            <w:r w:rsidRPr="009C5807">
              <w:t>-50</w:t>
            </w:r>
          </w:p>
        </w:tc>
      </w:tr>
      <w:tr w:rsidR="00BE0199" w:rsidRPr="009C5807" w14:paraId="41CB51CA" w14:textId="77777777" w:rsidTr="00BE0199">
        <w:trPr>
          <w:jc w:val="center"/>
        </w:trPr>
        <w:tc>
          <w:tcPr>
            <w:tcW w:w="1034" w:type="dxa"/>
            <w:tcBorders>
              <w:top w:val="single" w:sz="6" w:space="0" w:color="auto"/>
              <w:left w:val="single" w:sz="4" w:space="0" w:color="auto"/>
              <w:bottom w:val="single" w:sz="6" w:space="0" w:color="auto"/>
              <w:right w:val="single" w:sz="6" w:space="0" w:color="auto"/>
            </w:tcBorders>
            <w:shd w:val="clear" w:color="auto" w:fill="auto"/>
          </w:tcPr>
          <w:p w14:paraId="38828788" w14:textId="77777777" w:rsidR="00BE0199" w:rsidRPr="009C5807" w:rsidRDefault="00BE0199" w:rsidP="00BE0199">
            <w:pPr>
              <w:pStyle w:val="TAC"/>
            </w:pPr>
            <w:r w:rsidRPr="009C5807">
              <w:sym w:font="Symbol" w:char="F0B1"/>
            </w:r>
            <w:r w:rsidRPr="009C5807">
              <w:t>5</w:t>
            </w:r>
          </w:p>
        </w:tc>
        <w:tc>
          <w:tcPr>
            <w:tcW w:w="1048" w:type="dxa"/>
            <w:tcBorders>
              <w:top w:val="single" w:sz="6" w:space="0" w:color="auto"/>
              <w:left w:val="single" w:sz="6" w:space="0" w:color="auto"/>
              <w:bottom w:val="single" w:sz="6" w:space="0" w:color="auto"/>
              <w:right w:val="single" w:sz="6" w:space="0" w:color="auto"/>
            </w:tcBorders>
            <w:shd w:val="clear" w:color="auto" w:fill="auto"/>
          </w:tcPr>
          <w:p w14:paraId="02963C5C" w14:textId="77777777" w:rsidR="00BE0199" w:rsidRPr="009C5807" w:rsidRDefault="00BE0199" w:rsidP="00BE0199">
            <w:pPr>
              <w:pStyle w:val="TAC"/>
            </w:pPr>
            <w:r w:rsidRPr="009C5807">
              <w:sym w:font="Symbol" w:char="F0B1"/>
            </w:r>
            <w:r>
              <w:t>5.5</w:t>
            </w:r>
          </w:p>
        </w:tc>
        <w:tc>
          <w:tcPr>
            <w:tcW w:w="805" w:type="dxa"/>
            <w:tcBorders>
              <w:top w:val="single" w:sz="6" w:space="0" w:color="auto"/>
              <w:left w:val="single" w:sz="6" w:space="0" w:color="auto"/>
              <w:bottom w:val="single" w:sz="6" w:space="0" w:color="auto"/>
              <w:right w:val="single" w:sz="6" w:space="0" w:color="auto"/>
            </w:tcBorders>
            <w:shd w:val="clear" w:color="auto" w:fill="auto"/>
          </w:tcPr>
          <w:p w14:paraId="589641A1" w14:textId="77777777" w:rsidR="00BE0199" w:rsidRPr="009C5807" w:rsidRDefault="00BE0199" w:rsidP="00BE0199">
            <w:pPr>
              <w:pStyle w:val="TAC"/>
            </w:pPr>
            <w:r w:rsidRPr="009C5807">
              <w:sym w:font="Symbol" w:char="F0B3"/>
            </w:r>
            <w:r w:rsidRPr="009C5807">
              <w:t>-</w:t>
            </w:r>
            <w:r>
              <w:t>4</w:t>
            </w: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17609DC7" w14:textId="77777777" w:rsidR="00BE0199" w:rsidRPr="009C5807" w:rsidRDefault="00BE0199" w:rsidP="00BE0199">
            <w:pPr>
              <w:pStyle w:val="TAC"/>
            </w:pPr>
            <w:r w:rsidRPr="009C5807">
              <w:t>Note 2</w:t>
            </w:r>
          </w:p>
        </w:tc>
        <w:tc>
          <w:tcPr>
            <w:tcW w:w="1003" w:type="dxa"/>
            <w:tcBorders>
              <w:top w:val="single" w:sz="6" w:space="0" w:color="auto"/>
              <w:left w:val="single" w:sz="4" w:space="0" w:color="auto"/>
              <w:bottom w:val="single" w:sz="4" w:space="0" w:color="auto"/>
              <w:right w:val="single" w:sz="6" w:space="0" w:color="auto"/>
            </w:tcBorders>
            <w:shd w:val="clear" w:color="auto" w:fill="auto"/>
          </w:tcPr>
          <w:p w14:paraId="70918F11" w14:textId="77777777" w:rsidR="00BE0199" w:rsidRPr="009C5807" w:rsidRDefault="00BE0199" w:rsidP="00BE0199">
            <w:pPr>
              <w:pStyle w:val="TAC"/>
            </w:pPr>
            <w:r w:rsidRPr="009C5807">
              <w:t>Note 2</w:t>
            </w:r>
          </w:p>
        </w:tc>
        <w:tc>
          <w:tcPr>
            <w:tcW w:w="1085" w:type="dxa"/>
            <w:tcBorders>
              <w:top w:val="single" w:sz="6" w:space="0" w:color="auto"/>
              <w:left w:val="single" w:sz="4" w:space="0" w:color="auto"/>
              <w:bottom w:val="single" w:sz="4" w:space="0" w:color="auto"/>
              <w:right w:val="single" w:sz="6" w:space="0" w:color="auto"/>
            </w:tcBorders>
            <w:shd w:val="clear" w:color="auto" w:fill="auto"/>
          </w:tcPr>
          <w:p w14:paraId="1B2A6CB9" w14:textId="77777777" w:rsidR="00BE0199" w:rsidRPr="009C5807" w:rsidRDefault="00BE0199" w:rsidP="00BE0199">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4599BE43" w14:textId="77777777" w:rsidR="00BE0199" w:rsidRPr="009C5807" w:rsidRDefault="00BE0199" w:rsidP="00BE0199">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3624EE00" w14:textId="77777777" w:rsidR="00BE0199" w:rsidRPr="009C5807" w:rsidRDefault="00BE0199" w:rsidP="00BE0199">
            <w:pPr>
              <w:pStyle w:val="TAC"/>
            </w:pPr>
            <w:r w:rsidRPr="009C5807">
              <w:t>Note 2</w:t>
            </w:r>
          </w:p>
        </w:tc>
      </w:tr>
      <w:tr w:rsidR="00BE0199" w:rsidRPr="009C5807" w14:paraId="5F25DDD1" w14:textId="77777777" w:rsidTr="00BE0199">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300D796B" w14:textId="77777777" w:rsidR="00BE0199" w:rsidRPr="009C5807" w:rsidRDefault="00BE0199" w:rsidP="00BE0199">
            <w:pPr>
              <w:pStyle w:val="TAN"/>
            </w:pPr>
            <w:r w:rsidRPr="009C5807">
              <w:t>NOTE 1:</w:t>
            </w:r>
            <w:r w:rsidRPr="009C5807">
              <w:tab/>
              <w:t>Io is assumed to have constant EPRE across the bandwidth.</w:t>
            </w:r>
          </w:p>
          <w:p w14:paraId="0FF7B8D8" w14:textId="77777777" w:rsidR="00BE0199" w:rsidRPr="009C5807" w:rsidRDefault="00BE0199" w:rsidP="00BE0199">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2D7AE813" w14:textId="77777777" w:rsidR="00BE0199" w:rsidRPr="009C5807" w:rsidRDefault="00BE0199" w:rsidP="00BE0199">
            <w:pPr>
              <w:pStyle w:val="TAN"/>
            </w:pPr>
            <w:r w:rsidRPr="009C5807">
              <w:t>NOTE 3:</w:t>
            </w:r>
            <w:r w:rsidRPr="009C5807">
              <w:tab/>
              <w:t>NR operating band groups in FR1 are as defined in clause 3.5.2.</w:t>
            </w:r>
          </w:p>
        </w:tc>
      </w:tr>
    </w:tbl>
    <w:p w14:paraId="4ABB8E9D" w14:textId="44ADAAD5" w:rsidR="00BE0199" w:rsidRDefault="00BE0199" w:rsidP="00BE0199"/>
    <w:p w14:paraId="2A398832" w14:textId="77777777" w:rsidR="00C51082" w:rsidRPr="009C5807" w:rsidRDefault="00C51082" w:rsidP="00C51082">
      <w:pPr>
        <w:pStyle w:val="Heading3"/>
        <w:rPr>
          <w:lang w:val="en-US"/>
        </w:rPr>
      </w:pPr>
      <w:r>
        <w:rPr>
          <w:lang w:val="en-US" w:eastAsia="ko-KR"/>
        </w:rPr>
        <w:t>10.1.7C</w:t>
      </w:r>
      <w:r w:rsidRPr="009C5807">
        <w:rPr>
          <w:lang w:val="en-US"/>
        </w:rPr>
        <w:tab/>
        <w:t>Intra-frequency RSRQ accuracy requirements for FR1</w:t>
      </w:r>
      <w:r w:rsidRPr="000752BE">
        <w:rPr>
          <w:lang w:val="en-US"/>
        </w:rPr>
        <w:t xml:space="preserve"> </w:t>
      </w:r>
      <w:r>
        <w:rPr>
          <w:lang w:val="en-US"/>
        </w:rPr>
        <w:t>SAN</w:t>
      </w:r>
    </w:p>
    <w:p w14:paraId="7C2AC22C" w14:textId="77777777" w:rsidR="00C51082" w:rsidRPr="009C5807" w:rsidRDefault="00C51082" w:rsidP="00C51082">
      <w:pPr>
        <w:pStyle w:val="Heading4"/>
        <w:rPr>
          <w:lang w:val="en-US" w:eastAsia="zh-CN"/>
        </w:rPr>
      </w:pPr>
      <w:r>
        <w:rPr>
          <w:lang w:val="en-US" w:eastAsia="zh-CN"/>
        </w:rPr>
        <w:t>10.1.7C</w:t>
      </w:r>
      <w:r w:rsidRPr="009C5807">
        <w:rPr>
          <w:lang w:val="en-US" w:eastAsia="zh-CN"/>
        </w:rPr>
        <w:t>.1</w:t>
      </w:r>
      <w:r w:rsidRPr="009C5807">
        <w:rPr>
          <w:lang w:val="en-US" w:eastAsia="zh-CN"/>
        </w:rPr>
        <w:tab/>
      </w:r>
      <w:r w:rsidRPr="009C5807">
        <w:rPr>
          <w:lang w:val="en-US" w:eastAsia="ko-KR"/>
        </w:rPr>
        <w:t>Intra-frequency SS-RSRQ accuracy requirements</w:t>
      </w:r>
      <w:r w:rsidRPr="009C5807">
        <w:rPr>
          <w:lang w:val="en-US" w:eastAsia="zh-CN"/>
        </w:rPr>
        <w:t xml:space="preserve"> in FR1</w:t>
      </w:r>
    </w:p>
    <w:p w14:paraId="0F68144A" w14:textId="77777777" w:rsidR="00C51082" w:rsidRPr="009C5807" w:rsidRDefault="00C51082" w:rsidP="00C51082">
      <w:pPr>
        <w:pStyle w:val="Heading5"/>
      </w:pPr>
      <w:r>
        <w:rPr>
          <w:lang w:eastAsia="zh-CN"/>
        </w:rPr>
        <w:t>10.1.7C</w:t>
      </w:r>
      <w:r w:rsidRPr="009C5807">
        <w:rPr>
          <w:lang w:eastAsia="zh-CN"/>
        </w:rPr>
        <w:t>.</w:t>
      </w:r>
      <w:r w:rsidRPr="009C5807">
        <w:t>1</w:t>
      </w:r>
      <w:r w:rsidRPr="009C5807">
        <w:rPr>
          <w:lang w:eastAsia="zh-CN"/>
        </w:rPr>
        <w:t>.1</w:t>
      </w:r>
      <w:r w:rsidRPr="009C5807">
        <w:tab/>
        <w:t xml:space="preserve">Absolute </w:t>
      </w:r>
      <w:r w:rsidRPr="009C5807">
        <w:rPr>
          <w:lang w:val="en-US" w:eastAsia="ko-KR"/>
        </w:rPr>
        <w:t xml:space="preserve">SS-RSRQ </w:t>
      </w:r>
      <w:r w:rsidRPr="009C5807">
        <w:t>Accuracy in FR1</w:t>
      </w:r>
    </w:p>
    <w:p w14:paraId="26DF0991" w14:textId="77777777" w:rsidR="00C51082" w:rsidRDefault="00C51082" w:rsidP="00C51082">
      <w:pPr>
        <w:rPr>
          <w:rFonts w:cs="v4.2.0"/>
          <w:i/>
        </w:rPr>
      </w:pPr>
      <w:r>
        <w:rPr>
          <w:rFonts w:cs="v4.2.0"/>
        </w:rPr>
        <w:t xml:space="preserve">Unless otherwise specified, the requirements for absolute accuracy of </w:t>
      </w:r>
      <w:r>
        <w:rPr>
          <w:rFonts w:cs="v4.2.0"/>
          <w:lang w:eastAsia="zh-CN"/>
        </w:rPr>
        <w:t>SS-RSRQ</w:t>
      </w:r>
      <w:r>
        <w:rPr>
          <w:rFonts w:cs="v4.2.0"/>
        </w:rPr>
        <w:t xml:space="preserve"> in this clause apply to a cell</w:t>
      </w:r>
      <w:r w:rsidRPr="000752BE">
        <w:rPr>
          <w:rFonts w:cs="v4.2.0"/>
        </w:rPr>
        <w:t xml:space="preserve"> </w:t>
      </w:r>
      <w:r>
        <w:rPr>
          <w:rFonts w:cs="v4.2.0"/>
        </w:rPr>
        <w:t>on the same frequency as that of the serving cell in FR1.</w:t>
      </w:r>
      <w:r>
        <w:rPr>
          <w:lang w:eastAsia="zh-CN"/>
        </w:rPr>
        <w:t xml:space="preserve"> </w:t>
      </w:r>
    </w:p>
    <w:p w14:paraId="557EB95F" w14:textId="77777777" w:rsidR="00C51082" w:rsidRPr="009C5807" w:rsidRDefault="00C51082" w:rsidP="00C51082">
      <w:pPr>
        <w:rPr>
          <w:rFonts w:cs="v4.2.0"/>
        </w:rPr>
      </w:pPr>
      <w:r w:rsidRPr="009C5807">
        <w:rPr>
          <w:rFonts w:cs="v4.2.0"/>
        </w:rPr>
        <w:t xml:space="preserve">The accuracy requirements in Table </w:t>
      </w:r>
      <w:r>
        <w:rPr>
          <w:rFonts w:cs="v4.2.0"/>
          <w:lang w:eastAsia="zh-CN"/>
        </w:rPr>
        <w:t>10.1.7C</w:t>
      </w:r>
      <w:r w:rsidRPr="009C5807">
        <w:rPr>
          <w:rFonts w:cs="v4.2.0"/>
          <w:lang w:eastAsia="zh-CN"/>
        </w:rPr>
        <w:t>.1.1</w:t>
      </w:r>
      <w:r w:rsidRPr="009C5807">
        <w:rPr>
          <w:rFonts w:cs="v4.2.0"/>
        </w:rPr>
        <w:t>-1 are valid under the following conditions:</w:t>
      </w:r>
    </w:p>
    <w:p w14:paraId="799A461A" w14:textId="77777777" w:rsidR="00C51082" w:rsidRPr="009C5807" w:rsidRDefault="00C51082" w:rsidP="00C51082">
      <w:pPr>
        <w:pStyle w:val="B10"/>
        <w:rPr>
          <w:lang w:eastAsia="zh-CN"/>
        </w:rPr>
      </w:pPr>
      <w:r w:rsidRPr="009C5807">
        <w:t>-</w:t>
      </w:r>
      <w:r w:rsidRPr="009C5807">
        <w:tab/>
        <w:t>Conditions defined in clause 7.3 of TS 38.101-1 [18] for reference sensitivity are fulfilled.</w:t>
      </w:r>
    </w:p>
    <w:p w14:paraId="2E80566C" w14:textId="77777777" w:rsidR="00C51082" w:rsidRDefault="00C51082" w:rsidP="00C51082">
      <w:pPr>
        <w:pStyle w:val="B10"/>
      </w:pPr>
      <w:r w:rsidRPr="009C5807">
        <w:t>-</w:t>
      </w:r>
      <w:r w:rsidRPr="009C5807">
        <w:rPr>
          <w:rFonts w:ascii="Arial" w:hAnsi="Arial"/>
          <w:sz w:val="28"/>
          <w:lang w:val="en-US"/>
        </w:rPr>
        <w:tab/>
      </w:r>
      <w:r w:rsidRPr="009C5807">
        <w:t xml:space="preserve">Conditions for intra-frequency measurements are fulfilled according to Annex B.2.2 for a corresponding Band </w:t>
      </w:r>
      <w:r w:rsidRPr="009C5807">
        <w:rPr>
          <w:rFonts w:cs="v4.2.0"/>
          <w:lang w:eastAsia="ko-KR"/>
        </w:rPr>
        <w:t>for each relevant SSB</w:t>
      </w:r>
      <w:r w:rsidRPr="009C5807">
        <w:t>.</w:t>
      </w:r>
    </w:p>
    <w:p w14:paraId="0C803432" w14:textId="77777777" w:rsidR="00C51082" w:rsidRPr="00F641C2" w:rsidRDefault="00C51082" w:rsidP="00C51082">
      <w:pPr>
        <w:pStyle w:val="B10"/>
        <w:rPr>
          <w:lang w:eastAsia="zh-CN"/>
        </w:rPr>
      </w:pPr>
      <w:r w:rsidRPr="009C5807">
        <w:t>-</w:t>
      </w:r>
      <w:r w:rsidRPr="009C5807">
        <w:tab/>
      </w:r>
      <w:r w:rsidRPr="004B7BCD">
        <w:t xml:space="preserve">Valid information for the </w:t>
      </w:r>
      <w:r>
        <w:t>SAN</w:t>
      </w:r>
      <w:r w:rsidRPr="004B7BCD">
        <w:t xml:space="preserve"> serving the target cell has been provided</w:t>
      </w:r>
      <w:r w:rsidRPr="009C5807">
        <w:t>.</w:t>
      </w:r>
    </w:p>
    <w:p w14:paraId="2D5F162A" w14:textId="77777777" w:rsidR="00C51082" w:rsidRPr="009C5807" w:rsidRDefault="00C51082" w:rsidP="00C51082">
      <w:pPr>
        <w:pStyle w:val="TH"/>
        <w:rPr>
          <w:lang w:eastAsia="zh-CN"/>
        </w:rPr>
      </w:pPr>
      <w:r w:rsidRPr="009C5807">
        <w:t xml:space="preserve">Table </w:t>
      </w:r>
      <w:r>
        <w:rPr>
          <w:lang w:eastAsia="zh-CN"/>
        </w:rPr>
        <w:t>10.1.7C</w:t>
      </w:r>
      <w:r w:rsidRPr="009C5807">
        <w:rPr>
          <w:lang w:eastAsia="zh-CN"/>
        </w:rPr>
        <w:t>.1.1-1</w:t>
      </w:r>
      <w:r w:rsidRPr="009C5807">
        <w:t xml:space="preserve">: </w:t>
      </w:r>
      <w:r w:rsidRPr="009C5807">
        <w:rPr>
          <w:lang w:eastAsia="zh-CN"/>
        </w:rPr>
        <w:t>SS-RSRQ</w:t>
      </w:r>
      <w:r w:rsidRPr="009C5807">
        <w:t xml:space="preserve"> Intra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4"/>
        <w:gridCol w:w="1048"/>
        <w:gridCol w:w="805"/>
        <w:gridCol w:w="2317"/>
        <w:gridCol w:w="1003"/>
        <w:gridCol w:w="1085"/>
        <w:gridCol w:w="1440"/>
        <w:gridCol w:w="1440"/>
      </w:tblGrid>
      <w:tr w:rsidR="00C51082" w:rsidRPr="009C5807" w14:paraId="1F32F93A" w14:textId="77777777" w:rsidTr="00E65BA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33E22559" w14:textId="77777777" w:rsidR="00C51082" w:rsidRPr="009C5807" w:rsidRDefault="00C51082" w:rsidP="00E65BA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05BF83E1" w14:textId="77777777" w:rsidR="00C51082" w:rsidRPr="009C5807" w:rsidRDefault="00C51082" w:rsidP="00E65BA1">
            <w:pPr>
              <w:pStyle w:val="TAH"/>
            </w:pPr>
            <w:r w:rsidRPr="009C5807">
              <w:t>Conditions</w:t>
            </w:r>
          </w:p>
        </w:tc>
      </w:tr>
      <w:tr w:rsidR="00C51082" w:rsidRPr="009C5807" w14:paraId="3F61174B" w14:textId="77777777" w:rsidTr="00E65BA1">
        <w:trPr>
          <w:jc w:val="center"/>
        </w:trPr>
        <w:tc>
          <w:tcPr>
            <w:tcW w:w="1034" w:type="dxa"/>
            <w:tcBorders>
              <w:top w:val="single" w:sz="6" w:space="0" w:color="auto"/>
              <w:left w:val="single" w:sz="4" w:space="0" w:color="auto"/>
              <w:right w:val="single" w:sz="6" w:space="0" w:color="auto"/>
            </w:tcBorders>
            <w:shd w:val="clear" w:color="auto" w:fill="auto"/>
          </w:tcPr>
          <w:p w14:paraId="018FD92D" w14:textId="77777777" w:rsidR="00C51082" w:rsidRPr="009C5807" w:rsidRDefault="00C51082" w:rsidP="00E65BA1">
            <w:pPr>
              <w:pStyle w:val="TAH"/>
            </w:pPr>
            <w:r w:rsidRPr="009C5807">
              <w:t>Normal condition</w:t>
            </w:r>
          </w:p>
        </w:tc>
        <w:tc>
          <w:tcPr>
            <w:tcW w:w="1048" w:type="dxa"/>
            <w:tcBorders>
              <w:top w:val="single" w:sz="6" w:space="0" w:color="auto"/>
              <w:left w:val="single" w:sz="6" w:space="0" w:color="auto"/>
              <w:right w:val="single" w:sz="6" w:space="0" w:color="auto"/>
            </w:tcBorders>
            <w:shd w:val="clear" w:color="auto" w:fill="auto"/>
          </w:tcPr>
          <w:p w14:paraId="068B422F" w14:textId="77777777" w:rsidR="00C51082" w:rsidRPr="009C5807" w:rsidRDefault="00C51082" w:rsidP="00E65BA1">
            <w:pPr>
              <w:pStyle w:val="TAH"/>
            </w:pPr>
            <w:r w:rsidRPr="009C5807">
              <w:t>Extreme condition</w:t>
            </w:r>
          </w:p>
        </w:tc>
        <w:tc>
          <w:tcPr>
            <w:tcW w:w="805" w:type="dxa"/>
            <w:tcBorders>
              <w:top w:val="single" w:sz="6" w:space="0" w:color="auto"/>
              <w:left w:val="single" w:sz="6" w:space="0" w:color="auto"/>
              <w:right w:val="single" w:sz="6" w:space="0" w:color="auto"/>
            </w:tcBorders>
            <w:shd w:val="clear" w:color="auto" w:fill="auto"/>
          </w:tcPr>
          <w:p w14:paraId="2776A658" w14:textId="77777777" w:rsidR="00C51082" w:rsidRPr="009C5807" w:rsidRDefault="00C51082" w:rsidP="00E65BA1">
            <w:pPr>
              <w:pStyle w:val="TAH"/>
            </w:pPr>
            <w:r w:rsidRPr="009C5807">
              <w:t>SSB Ês/Iot</w:t>
            </w:r>
          </w:p>
        </w:tc>
        <w:tc>
          <w:tcPr>
            <w:tcW w:w="7285" w:type="dxa"/>
            <w:gridSpan w:val="5"/>
            <w:tcBorders>
              <w:top w:val="single" w:sz="6" w:space="0" w:color="auto"/>
              <w:left w:val="single" w:sz="6" w:space="0" w:color="auto"/>
              <w:bottom w:val="single" w:sz="6" w:space="0" w:color="auto"/>
              <w:right w:val="single" w:sz="4" w:space="0" w:color="auto"/>
            </w:tcBorders>
            <w:shd w:val="clear" w:color="auto" w:fill="auto"/>
          </w:tcPr>
          <w:p w14:paraId="0DD855D2" w14:textId="77777777" w:rsidR="00C51082" w:rsidRPr="009C5807" w:rsidRDefault="00C51082" w:rsidP="00E65BA1">
            <w:pPr>
              <w:pStyle w:val="TAH"/>
            </w:pPr>
            <w:r w:rsidRPr="009C5807">
              <w:t>Io</w:t>
            </w:r>
            <w:r w:rsidRPr="009C5807">
              <w:rPr>
                <w:vertAlign w:val="superscript"/>
                <w:lang w:eastAsia="zh-CN"/>
              </w:rPr>
              <w:t xml:space="preserve"> Note 1</w:t>
            </w:r>
            <w:r w:rsidRPr="009C5807">
              <w:t xml:space="preserve"> range</w:t>
            </w:r>
          </w:p>
        </w:tc>
      </w:tr>
      <w:tr w:rsidR="00C51082" w:rsidRPr="009C5807" w14:paraId="5C243EA2" w14:textId="77777777" w:rsidTr="00E65BA1">
        <w:trPr>
          <w:jc w:val="center"/>
        </w:trPr>
        <w:tc>
          <w:tcPr>
            <w:tcW w:w="1034" w:type="dxa"/>
            <w:tcBorders>
              <w:left w:val="single" w:sz="4" w:space="0" w:color="auto"/>
              <w:bottom w:val="single" w:sz="6" w:space="0" w:color="auto"/>
              <w:right w:val="single" w:sz="6" w:space="0" w:color="auto"/>
            </w:tcBorders>
            <w:shd w:val="clear" w:color="auto" w:fill="auto"/>
          </w:tcPr>
          <w:p w14:paraId="0AC76AB5" w14:textId="77777777" w:rsidR="00C51082" w:rsidRPr="009C5807" w:rsidRDefault="00C51082" w:rsidP="00E65BA1">
            <w:pPr>
              <w:pStyle w:val="TAH"/>
            </w:pPr>
          </w:p>
        </w:tc>
        <w:tc>
          <w:tcPr>
            <w:tcW w:w="1048" w:type="dxa"/>
            <w:tcBorders>
              <w:left w:val="single" w:sz="6" w:space="0" w:color="auto"/>
              <w:bottom w:val="single" w:sz="6" w:space="0" w:color="auto"/>
              <w:right w:val="single" w:sz="6" w:space="0" w:color="auto"/>
            </w:tcBorders>
            <w:shd w:val="clear" w:color="auto" w:fill="auto"/>
          </w:tcPr>
          <w:p w14:paraId="1F556471" w14:textId="77777777" w:rsidR="00C51082" w:rsidRPr="009C5807" w:rsidRDefault="00C51082" w:rsidP="00E65BA1">
            <w:pPr>
              <w:pStyle w:val="TAH"/>
            </w:pPr>
          </w:p>
        </w:tc>
        <w:tc>
          <w:tcPr>
            <w:tcW w:w="805" w:type="dxa"/>
            <w:tcBorders>
              <w:left w:val="single" w:sz="6" w:space="0" w:color="auto"/>
              <w:bottom w:val="single" w:sz="6" w:space="0" w:color="auto"/>
              <w:right w:val="single" w:sz="6" w:space="0" w:color="auto"/>
            </w:tcBorders>
            <w:shd w:val="clear" w:color="auto" w:fill="auto"/>
          </w:tcPr>
          <w:p w14:paraId="29FB0FDB" w14:textId="77777777" w:rsidR="00C51082" w:rsidRPr="009C5807" w:rsidRDefault="00C51082" w:rsidP="00E65BA1">
            <w:pPr>
              <w:pStyle w:val="TAH"/>
            </w:pPr>
          </w:p>
        </w:tc>
        <w:tc>
          <w:tcPr>
            <w:tcW w:w="2317" w:type="dxa"/>
            <w:tcBorders>
              <w:top w:val="single" w:sz="6" w:space="0" w:color="auto"/>
              <w:left w:val="single" w:sz="6" w:space="0" w:color="auto"/>
              <w:bottom w:val="single" w:sz="4" w:space="0" w:color="auto"/>
              <w:right w:val="single" w:sz="4" w:space="0" w:color="auto"/>
            </w:tcBorders>
            <w:shd w:val="clear" w:color="auto" w:fill="auto"/>
          </w:tcPr>
          <w:p w14:paraId="1F9BFF01" w14:textId="77777777" w:rsidR="00C51082" w:rsidRPr="009C5807" w:rsidRDefault="00C51082" w:rsidP="00E65BA1">
            <w:pPr>
              <w:pStyle w:val="TAH"/>
            </w:pPr>
            <w:r w:rsidRPr="009C5807">
              <w:t>NR operating band groups</w:t>
            </w:r>
            <w:r w:rsidRPr="009C5807">
              <w:rPr>
                <w:vertAlign w:val="superscript"/>
              </w:rPr>
              <w:t xml:space="preserve"> </w:t>
            </w:r>
            <w:r w:rsidRPr="009C5807">
              <w:rPr>
                <w:vertAlign w:val="superscript"/>
                <w:lang w:eastAsia="zh-CN"/>
              </w:rPr>
              <w:t>Note 3</w:t>
            </w:r>
          </w:p>
        </w:tc>
        <w:tc>
          <w:tcPr>
            <w:tcW w:w="3528" w:type="dxa"/>
            <w:gridSpan w:val="3"/>
            <w:tcBorders>
              <w:top w:val="single" w:sz="4" w:space="0" w:color="auto"/>
              <w:left w:val="single" w:sz="4" w:space="0" w:color="auto"/>
              <w:bottom w:val="single" w:sz="6" w:space="0" w:color="auto"/>
              <w:right w:val="single" w:sz="6" w:space="0" w:color="auto"/>
            </w:tcBorders>
            <w:shd w:val="clear" w:color="auto" w:fill="auto"/>
          </w:tcPr>
          <w:p w14:paraId="3E9296EA" w14:textId="77777777" w:rsidR="00C51082" w:rsidRPr="009C5807" w:rsidRDefault="00C51082"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18B468C6" w14:textId="77777777" w:rsidR="00C51082" w:rsidRPr="009C5807" w:rsidRDefault="00C51082" w:rsidP="00E65BA1">
            <w:pPr>
              <w:pStyle w:val="TAH"/>
            </w:pPr>
            <w:r w:rsidRPr="009C5807">
              <w:t>Maximum Io</w:t>
            </w:r>
          </w:p>
        </w:tc>
      </w:tr>
      <w:tr w:rsidR="00C51082" w:rsidRPr="009C5807" w14:paraId="7613EC10" w14:textId="77777777" w:rsidTr="00E65BA1">
        <w:trPr>
          <w:trHeight w:val="308"/>
          <w:jc w:val="center"/>
        </w:trPr>
        <w:tc>
          <w:tcPr>
            <w:tcW w:w="1034" w:type="dxa"/>
            <w:tcBorders>
              <w:top w:val="single" w:sz="6" w:space="0" w:color="auto"/>
              <w:left w:val="single" w:sz="4" w:space="0" w:color="auto"/>
              <w:right w:val="single" w:sz="6" w:space="0" w:color="auto"/>
            </w:tcBorders>
            <w:shd w:val="clear" w:color="auto" w:fill="auto"/>
          </w:tcPr>
          <w:p w14:paraId="7583AA5C" w14:textId="77777777" w:rsidR="00C51082" w:rsidRPr="009C5807" w:rsidRDefault="00C51082" w:rsidP="00E65BA1">
            <w:pPr>
              <w:pStyle w:val="TAH"/>
            </w:pPr>
            <w:r w:rsidRPr="009C5807">
              <w:t>dB</w:t>
            </w:r>
          </w:p>
        </w:tc>
        <w:tc>
          <w:tcPr>
            <w:tcW w:w="1048" w:type="dxa"/>
            <w:tcBorders>
              <w:top w:val="single" w:sz="6" w:space="0" w:color="auto"/>
              <w:left w:val="single" w:sz="6" w:space="0" w:color="auto"/>
              <w:right w:val="single" w:sz="6" w:space="0" w:color="auto"/>
            </w:tcBorders>
            <w:shd w:val="clear" w:color="auto" w:fill="auto"/>
          </w:tcPr>
          <w:p w14:paraId="572B7FA2" w14:textId="77777777" w:rsidR="00C51082" w:rsidRPr="009C5807" w:rsidRDefault="00C51082" w:rsidP="00E65BA1">
            <w:pPr>
              <w:pStyle w:val="TAH"/>
            </w:pPr>
            <w:r w:rsidRPr="009C5807">
              <w:t>dB</w:t>
            </w:r>
          </w:p>
        </w:tc>
        <w:tc>
          <w:tcPr>
            <w:tcW w:w="805" w:type="dxa"/>
            <w:tcBorders>
              <w:top w:val="single" w:sz="6" w:space="0" w:color="auto"/>
              <w:left w:val="single" w:sz="6" w:space="0" w:color="auto"/>
              <w:right w:val="single" w:sz="4" w:space="0" w:color="auto"/>
            </w:tcBorders>
            <w:shd w:val="clear" w:color="auto" w:fill="auto"/>
          </w:tcPr>
          <w:p w14:paraId="3ACC5F91" w14:textId="77777777" w:rsidR="00C51082" w:rsidRPr="009C5807" w:rsidRDefault="00C51082" w:rsidP="00E65BA1">
            <w:pPr>
              <w:pStyle w:val="TAH"/>
            </w:pPr>
            <w:r w:rsidRPr="009C5807">
              <w:t>dB</w:t>
            </w:r>
          </w:p>
        </w:tc>
        <w:tc>
          <w:tcPr>
            <w:tcW w:w="2317" w:type="dxa"/>
            <w:tcBorders>
              <w:top w:val="single" w:sz="4" w:space="0" w:color="auto"/>
              <w:left w:val="single" w:sz="4" w:space="0" w:color="auto"/>
              <w:right w:val="single" w:sz="4" w:space="0" w:color="auto"/>
            </w:tcBorders>
            <w:shd w:val="clear" w:color="auto" w:fill="auto"/>
          </w:tcPr>
          <w:p w14:paraId="4D7AFEDD" w14:textId="77777777" w:rsidR="00C51082" w:rsidRPr="009C5807" w:rsidRDefault="00C51082" w:rsidP="00E65BA1">
            <w:pPr>
              <w:pStyle w:val="TAH"/>
            </w:pPr>
          </w:p>
        </w:tc>
        <w:tc>
          <w:tcPr>
            <w:tcW w:w="2088" w:type="dxa"/>
            <w:gridSpan w:val="2"/>
            <w:tcBorders>
              <w:top w:val="single" w:sz="6" w:space="0" w:color="auto"/>
              <w:left w:val="single" w:sz="4" w:space="0" w:color="auto"/>
              <w:bottom w:val="single" w:sz="6" w:space="0" w:color="auto"/>
              <w:right w:val="single" w:sz="6" w:space="0" w:color="auto"/>
            </w:tcBorders>
            <w:shd w:val="clear" w:color="auto" w:fill="auto"/>
          </w:tcPr>
          <w:p w14:paraId="02903F2D" w14:textId="77777777" w:rsidR="00C51082" w:rsidRPr="009C5807" w:rsidRDefault="00C51082"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72D4617C" w14:textId="77777777" w:rsidR="00C51082" w:rsidRPr="009C5807" w:rsidRDefault="00C51082"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58ACBE78" w14:textId="77777777" w:rsidR="00C51082" w:rsidRPr="009C5807" w:rsidRDefault="00C51082" w:rsidP="00E65BA1">
            <w:pPr>
              <w:pStyle w:val="TAH"/>
            </w:pPr>
            <w:r w:rsidRPr="009C5807">
              <w:t>dBm/BW</w:t>
            </w:r>
            <w:r w:rsidRPr="009C5807">
              <w:rPr>
                <w:vertAlign w:val="subscript"/>
              </w:rPr>
              <w:t>Channel</w:t>
            </w:r>
          </w:p>
        </w:tc>
      </w:tr>
      <w:tr w:rsidR="00C51082" w:rsidRPr="009C5807" w14:paraId="6BCF7391" w14:textId="77777777" w:rsidTr="00E65BA1">
        <w:trPr>
          <w:trHeight w:val="307"/>
          <w:jc w:val="center"/>
        </w:trPr>
        <w:tc>
          <w:tcPr>
            <w:tcW w:w="1034" w:type="dxa"/>
            <w:tcBorders>
              <w:left w:val="single" w:sz="4" w:space="0" w:color="auto"/>
              <w:bottom w:val="single" w:sz="6" w:space="0" w:color="auto"/>
              <w:right w:val="single" w:sz="6" w:space="0" w:color="auto"/>
            </w:tcBorders>
            <w:shd w:val="clear" w:color="auto" w:fill="auto"/>
          </w:tcPr>
          <w:p w14:paraId="75542648" w14:textId="77777777" w:rsidR="00C51082" w:rsidRPr="009C5807" w:rsidRDefault="00C51082" w:rsidP="00E65BA1">
            <w:pPr>
              <w:pStyle w:val="TAH"/>
            </w:pPr>
          </w:p>
        </w:tc>
        <w:tc>
          <w:tcPr>
            <w:tcW w:w="1048" w:type="dxa"/>
            <w:tcBorders>
              <w:left w:val="single" w:sz="6" w:space="0" w:color="auto"/>
              <w:bottom w:val="single" w:sz="6" w:space="0" w:color="auto"/>
              <w:right w:val="single" w:sz="6" w:space="0" w:color="auto"/>
            </w:tcBorders>
            <w:shd w:val="clear" w:color="auto" w:fill="auto"/>
          </w:tcPr>
          <w:p w14:paraId="384D9DC1" w14:textId="77777777" w:rsidR="00C51082" w:rsidRPr="009C5807" w:rsidRDefault="00C51082" w:rsidP="00E65BA1">
            <w:pPr>
              <w:pStyle w:val="TAH"/>
            </w:pPr>
          </w:p>
        </w:tc>
        <w:tc>
          <w:tcPr>
            <w:tcW w:w="805" w:type="dxa"/>
            <w:tcBorders>
              <w:left w:val="single" w:sz="6" w:space="0" w:color="auto"/>
              <w:bottom w:val="single" w:sz="6" w:space="0" w:color="auto"/>
              <w:right w:val="single" w:sz="4" w:space="0" w:color="auto"/>
            </w:tcBorders>
            <w:shd w:val="clear" w:color="auto" w:fill="auto"/>
          </w:tcPr>
          <w:p w14:paraId="14A9C9DC" w14:textId="77777777" w:rsidR="00C51082" w:rsidRPr="009C5807" w:rsidRDefault="00C51082" w:rsidP="00E65BA1">
            <w:pPr>
              <w:pStyle w:val="TAH"/>
            </w:pPr>
          </w:p>
        </w:tc>
        <w:tc>
          <w:tcPr>
            <w:tcW w:w="2317" w:type="dxa"/>
            <w:tcBorders>
              <w:left w:val="single" w:sz="4" w:space="0" w:color="auto"/>
              <w:bottom w:val="single" w:sz="4" w:space="0" w:color="auto"/>
              <w:right w:val="single" w:sz="4" w:space="0" w:color="auto"/>
            </w:tcBorders>
            <w:shd w:val="clear" w:color="auto" w:fill="auto"/>
          </w:tcPr>
          <w:p w14:paraId="50B1C11B" w14:textId="77777777" w:rsidR="00C51082" w:rsidRPr="009C5807" w:rsidRDefault="00C51082" w:rsidP="00E65BA1">
            <w:pPr>
              <w:pStyle w:val="TAH"/>
            </w:pP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4E4A0DE3" w14:textId="77777777" w:rsidR="00C51082" w:rsidRPr="009C5807" w:rsidRDefault="00C51082" w:rsidP="00E65BA1">
            <w:pPr>
              <w:pStyle w:val="TAH"/>
              <w:rPr>
                <w:rFonts w:cs="Arial"/>
              </w:rPr>
            </w:pPr>
            <w:r w:rsidRPr="009C5807">
              <w:t>SCS</w:t>
            </w:r>
            <w:r w:rsidRPr="009C5807">
              <w:rPr>
                <w:vertAlign w:val="subscript"/>
              </w:rPr>
              <w:t>SSB</w:t>
            </w:r>
            <w:r w:rsidRPr="009C5807">
              <w:rPr>
                <w:rFonts w:cs="Arial"/>
              </w:rPr>
              <w:t xml:space="preserve"> = 15 kHz</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0A039895" w14:textId="77777777" w:rsidR="00C51082" w:rsidRPr="009C5807" w:rsidRDefault="00C51082"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47013ACF" w14:textId="77777777" w:rsidR="00C51082" w:rsidRPr="009C5807" w:rsidRDefault="00C51082" w:rsidP="00E65BA1">
            <w:pPr>
              <w:pStyle w:val="TAH"/>
            </w:pPr>
          </w:p>
        </w:tc>
        <w:tc>
          <w:tcPr>
            <w:tcW w:w="1440" w:type="dxa"/>
            <w:tcBorders>
              <w:left w:val="single" w:sz="6" w:space="0" w:color="auto"/>
              <w:bottom w:val="single" w:sz="6" w:space="0" w:color="auto"/>
              <w:right w:val="single" w:sz="4" w:space="0" w:color="auto"/>
            </w:tcBorders>
            <w:shd w:val="clear" w:color="auto" w:fill="auto"/>
          </w:tcPr>
          <w:p w14:paraId="1539F743" w14:textId="77777777" w:rsidR="00C51082" w:rsidRPr="009C5807" w:rsidRDefault="00C51082" w:rsidP="00E65BA1">
            <w:pPr>
              <w:pStyle w:val="TAH"/>
            </w:pPr>
          </w:p>
        </w:tc>
      </w:tr>
      <w:tr w:rsidR="00B72DB6" w:rsidRPr="009C5807" w14:paraId="03685059" w14:textId="77777777" w:rsidTr="00E65BA1">
        <w:trPr>
          <w:jc w:val="center"/>
        </w:trPr>
        <w:tc>
          <w:tcPr>
            <w:tcW w:w="1034" w:type="dxa"/>
            <w:tcBorders>
              <w:top w:val="single" w:sz="6" w:space="0" w:color="auto"/>
              <w:left w:val="single" w:sz="4" w:space="0" w:color="auto"/>
              <w:right w:val="single" w:sz="6" w:space="0" w:color="auto"/>
            </w:tcBorders>
            <w:shd w:val="clear" w:color="auto" w:fill="auto"/>
          </w:tcPr>
          <w:p w14:paraId="109184A7" w14:textId="4F38372B" w:rsidR="00B72DB6" w:rsidRPr="009C5807" w:rsidRDefault="00B72DB6" w:rsidP="00B72DB6">
            <w:pPr>
              <w:pStyle w:val="TAC"/>
            </w:pPr>
            <w:r w:rsidRPr="009C5807">
              <w:sym w:font="Symbol" w:char="F0B1"/>
            </w:r>
            <w:r>
              <w:t>[2.5]</w:t>
            </w:r>
          </w:p>
        </w:tc>
        <w:tc>
          <w:tcPr>
            <w:tcW w:w="1048" w:type="dxa"/>
            <w:tcBorders>
              <w:top w:val="single" w:sz="6" w:space="0" w:color="auto"/>
              <w:left w:val="single" w:sz="6" w:space="0" w:color="auto"/>
              <w:right w:val="single" w:sz="6" w:space="0" w:color="auto"/>
            </w:tcBorders>
            <w:shd w:val="clear" w:color="auto" w:fill="auto"/>
          </w:tcPr>
          <w:p w14:paraId="399AC1A0" w14:textId="3AA95D64" w:rsidR="00B72DB6" w:rsidRPr="009C5807" w:rsidRDefault="00B72DB6" w:rsidP="00B72DB6">
            <w:pPr>
              <w:pStyle w:val="TAC"/>
            </w:pPr>
            <w:r w:rsidRPr="009C5807">
              <w:sym w:font="Symbol" w:char="F0B1"/>
            </w:r>
            <w:r>
              <w:t>[4]</w:t>
            </w:r>
          </w:p>
        </w:tc>
        <w:tc>
          <w:tcPr>
            <w:tcW w:w="805" w:type="dxa"/>
            <w:tcBorders>
              <w:top w:val="single" w:sz="6" w:space="0" w:color="auto"/>
              <w:left w:val="single" w:sz="6" w:space="0" w:color="auto"/>
              <w:right w:val="single" w:sz="6" w:space="0" w:color="auto"/>
            </w:tcBorders>
            <w:shd w:val="clear" w:color="auto" w:fill="auto"/>
          </w:tcPr>
          <w:p w14:paraId="0102F17E" w14:textId="3C69A215" w:rsidR="00B72DB6" w:rsidRPr="009C5807" w:rsidRDefault="00B72DB6" w:rsidP="00B72DB6">
            <w:pPr>
              <w:pStyle w:val="TAC"/>
            </w:pPr>
            <w:r w:rsidRPr="009C5807">
              <w:sym w:font="Symbol" w:char="F0B3"/>
            </w:r>
            <w:r w:rsidRPr="009C5807">
              <w:t>-3</w:t>
            </w:r>
          </w:p>
        </w:tc>
        <w:tc>
          <w:tcPr>
            <w:tcW w:w="2317" w:type="dxa"/>
            <w:tcBorders>
              <w:top w:val="single" w:sz="4" w:space="0" w:color="auto"/>
              <w:left w:val="single" w:sz="6" w:space="0" w:color="auto"/>
              <w:bottom w:val="single" w:sz="6" w:space="0" w:color="auto"/>
              <w:right w:val="single" w:sz="4" w:space="0" w:color="auto"/>
            </w:tcBorders>
            <w:shd w:val="clear" w:color="auto" w:fill="auto"/>
          </w:tcPr>
          <w:p w14:paraId="68F7247F" w14:textId="17FF7187" w:rsidR="00B72DB6" w:rsidRPr="009C5807" w:rsidRDefault="00B72DB6" w:rsidP="00B72DB6">
            <w:pPr>
              <w:pStyle w:val="TAC"/>
            </w:pPr>
            <w:r w:rsidRPr="009C5807">
              <w:t>NR_FDD</w:t>
            </w:r>
            <w:r w:rsidRPr="003646C5">
              <w:t>_</w:t>
            </w:r>
            <w:r>
              <w:t>SAB</w:t>
            </w:r>
            <w:r w:rsidRPr="009C5807">
              <w:t>_FR1_A</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6C3FFF0A" w14:textId="77777777" w:rsidR="00B72DB6" w:rsidRPr="009C5807" w:rsidRDefault="00B72DB6" w:rsidP="00B72DB6">
            <w:pPr>
              <w:pStyle w:val="TAC"/>
            </w:pPr>
            <w:r w:rsidRPr="009C5807">
              <w:t>-121</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6E28254E" w14:textId="77777777" w:rsidR="00B72DB6" w:rsidRPr="009C5807" w:rsidRDefault="00B72DB6" w:rsidP="00B72DB6">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52C1926"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7CD8B5D" w14:textId="77777777" w:rsidR="00B72DB6" w:rsidRPr="009C5807" w:rsidRDefault="00B72DB6" w:rsidP="00B72DB6">
            <w:pPr>
              <w:pStyle w:val="TAC"/>
            </w:pPr>
            <w:r w:rsidRPr="009C5807">
              <w:t>-50</w:t>
            </w:r>
          </w:p>
        </w:tc>
      </w:tr>
      <w:tr w:rsidR="00B72DB6" w:rsidRPr="009C5807" w14:paraId="6AC4600B" w14:textId="77777777" w:rsidTr="00E65BA1">
        <w:trPr>
          <w:jc w:val="center"/>
        </w:trPr>
        <w:tc>
          <w:tcPr>
            <w:tcW w:w="1034" w:type="dxa"/>
            <w:tcBorders>
              <w:top w:val="single" w:sz="6" w:space="0" w:color="auto"/>
              <w:left w:val="single" w:sz="4" w:space="0" w:color="auto"/>
              <w:bottom w:val="single" w:sz="6" w:space="0" w:color="auto"/>
              <w:right w:val="single" w:sz="6" w:space="0" w:color="auto"/>
            </w:tcBorders>
            <w:shd w:val="clear" w:color="auto" w:fill="auto"/>
          </w:tcPr>
          <w:p w14:paraId="53DF067A" w14:textId="0E7086F8" w:rsidR="00B72DB6" w:rsidRPr="009C5807" w:rsidRDefault="00B72DB6" w:rsidP="00B72DB6">
            <w:pPr>
              <w:pStyle w:val="TAC"/>
            </w:pPr>
            <w:r w:rsidRPr="009C5807">
              <w:sym w:font="Symbol" w:char="F0B1"/>
            </w:r>
            <w:r>
              <w:t>[3.5]</w:t>
            </w:r>
          </w:p>
        </w:tc>
        <w:tc>
          <w:tcPr>
            <w:tcW w:w="1048" w:type="dxa"/>
            <w:tcBorders>
              <w:top w:val="single" w:sz="6" w:space="0" w:color="auto"/>
              <w:left w:val="single" w:sz="6" w:space="0" w:color="auto"/>
              <w:bottom w:val="single" w:sz="6" w:space="0" w:color="auto"/>
              <w:right w:val="single" w:sz="6" w:space="0" w:color="auto"/>
            </w:tcBorders>
            <w:shd w:val="clear" w:color="auto" w:fill="auto"/>
          </w:tcPr>
          <w:p w14:paraId="2E084D3D" w14:textId="0DF69012" w:rsidR="00B72DB6" w:rsidRPr="009C5807" w:rsidRDefault="00B72DB6" w:rsidP="00B72DB6">
            <w:pPr>
              <w:pStyle w:val="TAC"/>
            </w:pPr>
            <w:r w:rsidRPr="009C5807">
              <w:sym w:font="Symbol" w:char="F0B1"/>
            </w:r>
            <w:r>
              <w:t>[4]</w:t>
            </w:r>
          </w:p>
        </w:tc>
        <w:tc>
          <w:tcPr>
            <w:tcW w:w="805" w:type="dxa"/>
            <w:tcBorders>
              <w:top w:val="single" w:sz="6" w:space="0" w:color="auto"/>
              <w:left w:val="single" w:sz="6" w:space="0" w:color="auto"/>
              <w:bottom w:val="single" w:sz="6" w:space="0" w:color="auto"/>
              <w:right w:val="single" w:sz="6" w:space="0" w:color="auto"/>
            </w:tcBorders>
            <w:shd w:val="clear" w:color="auto" w:fill="auto"/>
          </w:tcPr>
          <w:p w14:paraId="0F87EB9D" w14:textId="4DFB5753" w:rsidR="00B72DB6" w:rsidRPr="009C5807" w:rsidRDefault="00B72DB6" w:rsidP="00B72DB6">
            <w:pPr>
              <w:pStyle w:val="TAC"/>
            </w:pPr>
            <w:r w:rsidRPr="009C5807">
              <w:sym w:font="Symbol" w:char="F0B3"/>
            </w:r>
            <w:r w:rsidRPr="009C5807">
              <w:t>-6</w:t>
            </w: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6C66A054" w14:textId="659443E9" w:rsidR="00B72DB6" w:rsidRPr="009C5807" w:rsidRDefault="00B72DB6" w:rsidP="00B72DB6">
            <w:pPr>
              <w:pStyle w:val="TAC"/>
            </w:pPr>
            <w:r w:rsidRPr="009C5807">
              <w:t>Note 2</w:t>
            </w:r>
          </w:p>
        </w:tc>
        <w:tc>
          <w:tcPr>
            <w:tcW w:w="1003" w:type="dxa"/>
            <w:tcBorders>
              <w:top w:val="single" w:sz="6" w:space="0" w:color="auto"/>
              <w:left w:val="single" w:sz="4" w:space="0" w:color="auto"/>
              <w:bottom w:val="single" w:sz="4" w:space="0" w:color="auto"/>
              <w:right w:val="single" w:sz="6" w:space="0" w:color="auto"/>
            </w:tcBorders>
            <w:shd w:val="clear" w:color="auto" w:fill="auto"/>
          </w:tcPr>
          <w:p w14:paraId="38219C7E" w14:textId="77777777" w:rsidR="00B72DB6" w:rsidRPr="009C5807" w:rsidRDefault="00B72DB6" w:rsidP="00B72DB6">
            <w:pPr>
              <w:pStyle w:val="TAC"/>
            </w:pPr>
            <w:r w:rsidRPr="009C5807">
              <w:t>Note 2</w:t>
            </w:r>
          </w:p>
        </w:tc>
        <w:tc>
          <w:tcPr>
            <w:tcW w:w="1085" w:type="dxa"/>
            <w:tcBorders>
              <w:top w:val="single" w:sz="6" w:space="0" w:color="auto"/>
              <w:left w:val="single" w:sz="4" w:space="0" w:color="auto"/>
              <w:bottom w:val="single" w:sz="4" w:space="0" w:color="auto"/>
              <w:right w:val="single" w:sz="6" w:space="0" w:color="auto"/>
            </w:tcBorders>
            <w:shd w:val="clear" w:color="auto" w:fill="auto"/>
          </w:tcPr>
          <w:p w14:paraId="7C7D6FDA" w14:textId="77777777" w:rsidR="00B72DB6" w:rsidRPr="009C5807" w:rsidRDefault="00B72DB6" w:rsidP="00B72DB6">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7338F57A" w14:textId="77777777" w:rsidR="00B72DB6" w:rsidRPr="009C5807" w:rsidRDefault="00B72DB6" w:rsidP="00B72DB6">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6B2E501D" w14:textId="77777777" w:rsidR="00B72DB6" w:rsidRPr="009C5807" w:rsidRDefault="00B72DB6" w:rsidP="00B72DB6">
            <w:pPr>
              <w:pStyle w:val="TAC"/>
            </w:pPr>
            <w:r w:rsidRPr="009C5807">
              <w:t>Note 2</w:t>
            </w:r>
          </w:p>
        </w:tc>
      </w:tr>
      <w:tr w:rsidR="00C51082" w:rsidRPr="009C5807" w14:paraId="6FA2FF49"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0AA57B6A" w14:textId="77777777" w:rsidR="00C51082" w:rsidRPr="009C5807" w:rsidRDefault="00C51082" w:rsidP="00E65BA1">
            <w:pPr>
              <w:pStyle w:val="TAN"/>
            </w:pPr>
            <w:r w:rsidRPr="009C5807">
              <w:t>NOTE 1:</w:t>
            </w:r>
            <w:r w:rsidRPr="009C5807">
              <w:tab/>
              <w:t>Io is assumed to have constant EPRE across the bandwidth.</w:t>
            </w:r>
          </w:p>
          <w:p w14:paraId="097C36E7" w14:textId="77777777" w:rsidR="00C51082" w:rsidRPr="009C5807" w:rsidRDefault="00C51082" w:rsidP="00E65BA1">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7D52E187" w14:textId="77777777" w:rsidR="00C51082" w:rsidRPr="009C5807" w:rsidRDefault="00C51082" w:rsidP="00E65BA1">
            <w:pPr>
              <w:pStyle w:val="TAN"/>
            </w:pPr>
            <w:r w:rsidRPr="009C5807">
              <w:t>NOTE 3:</w:t>
            </w:r>
            <w:r w:rsidRPr="009C5807">
              <w:tab/>
              <w:t>NR operating band groups in FR1 are as defined in clause 3.5.2.</w:t>
            </w:r>
          </w:p>
        </w:tc>
      </w:tr>
    </w:tbl>
    <w:p w14:paraId="5B288E7A" w14:textId="77777777" w:rsidR="00C51082" w:rsidRPr="00090858" w:rsidRDefault="00C51082" w:rsidP="00C51082">
      <w:pPr>
        <w:rPr>
          <w:noProof/>
        </w:rPr>
      </w:pPr>
    </w:p>
    <w:p w14:paraId="23B248C6" w14:textId="62E58CAE" w:rsidR="001F5A79" w:rsidRPr="009C5807" w:rsidRDefault="001F5A79" w:rsidP="00967CF8">
      <w:pPr>
        <w:pStyle w:val="Heading3"/>
        <w:rPr>
          <w:lang w:val="en-US"/>
        </w:rPr>
      </w:pPr>
      <w:r w:rsidRPr="009C5807">
        <w:rPr>
          <w:lang w:val="en-US" w:eastAsia="ko-KR"/>
        </w:rPr>
        <w:t>1</w:t>
      </w:r>
      <w:r w:rsidR="00967CF8" w:rsidRPr="009C5807">
        <w:rPr>
          <w:lang w:val="en-US" w:eastAsia="ko-KR"/>
        </w:rPr>
        <w:t>0.1.8</w:t>
      </w:r>
      <w:r w:rsidRPr="009C5807">
        <w:rPr>
          <w:lang w:val="en-US"/>
        </w:rPr>
        <w:tab/>
        <w:t>Intra-frequency RSRQ accuracy requirements for FR2</w:t>
      </w:r>
    </w:p>
    <w:p w14:paraId="099E9F16" w14:textId="5BACB19D" w:rsidR="001F5A79" w:rsidRPr="009C5807" w:rsidRDefault="001F5A79" w:rsidP="00967CF8">
      <w:pPr>
        <w:pStyle w:val="Heading4"/>
        <w:rPr>
          <w:lang w:val="en-US" w:eastAsia="zh-CN"/>
        </w:rPr>
      </w:pPr>
      <w:r w:rsidRPr="009C5807">
        <w:rPr>
          <w:lang w:val="en-US"/>
        </w:rPr>
        <w:t>1</w:t>
      </w:r>
      <w:r w:rsidR="00967CF8" w:rsidRPr="009C5807">
        <w:rPr>
          <w:lang w:val="en-US"/>
        </w:rPr>
        <w:t>0.1.8.</w:t>
      </w:r>
      <w:r w:rsidR="00967CF8" w:rsidRPr="009C5807">
        <w:rPr>
          <w:lang w:val="en-US" w:eastAsia="zh-CN"/>
        </w:rPr>
        <w:t>1</w:t>
      </w:r>
      <w:r w:rsidRPr="009C5807">
        <w:rPr>
          <w:lang w:val="en-US" w:eastAsia="zh-CN"/>
        </w:rPr>
        <w:tab/>
      </w:r>
      <w:r w:rsidRPr="009C5807">
        <w:rPr>
          <w:lang w:val="en-US" w:eastAsia="ko-KR"/>
        </w:rPr>
        <w:t>Intra</w:t>
      </w:r>
      <w:r w:rsidRPr="009C5807">
        <w:rPr>
          <w:lang w:val="en-US"/>
        </w:rPr>
        <w:t xml:space="preserve">-frequency </w:t>
      </w:r>
      <w:r w:rsidRPr="009C5807">
        <w:rPr>
          <w:lang w:val="en-US" w:eastAsia="ko-KR"/>
        </w:rPr>
        <w:t>SS-RSRQ</w:t>
      </w:r>
      <w:r w:rsidRPr="009C5807">
        <w:rPr>
          <w:lang w:val="en-US"/>
        </w:rPr>
        <w:t xml:space="preserve"> accuracy requirements </w:t>
      </w:r>
      <w:r w:rsidRPr="009C5807">
        <w:rPr>
          <w:lang w:val="en-US" w:eastAsia="zh-CN"/>
        </w:rPr>
        <w:t>in FR2</w:t>
      </w:r>
    </w:p>
    <w:p w14:paraId="2549C997" w14:textId="1E5F7ABD" w:rsidR="001F5A79" w:rsidRPr="009C5807" w:rsidRDefault="001F5A79" w:rsidP="00967CF8">
      <w:pPr>
        <w:pStyle w:val="Heading5"/>
      </w:pPr>
      <w:r w:rsidRPr="009C5807">
        <w:rPr>
          <w:lang w:eastAsia="zh-CN"/>
        </w:rPr>
        <w:t>1</w:t>
      </w:r>
      <w:r w:rsidR="00967CF8" w:rsidRPr="009C5807">
        <w:rPr>
          <w:lang w:eastAsia="zh-CN"/>
        </w:rPr>
        <w:t>0.</w:t>
      </w:r>
      <w:r w:rsidR="00967CF8" w:rsidRPr="009C5807">
        <w:t>1</w:t>
      </w:r>
      <w:r w:rsidR="00967CF8" w:rsidRPr="009C5807">
        <w:rPr>
          <w:lang w:eastAsia="zh-CN"/>
        </w:rPr>
        <w:t>.</w:t>
      </w:r>
      <w:r w:rsidR="00967CF8" w:rsidRPr="009C5807">
        <w:t>8</w:t>
      </w:r>
      <w:r w:rsidR="00967CF8" w:rsidRPr="009C5807">
        <w:rPr>
          <w:lang w:eastAsia="zh-CN"/>
        </w:rPr>
        <w:t>.</w:t>
      </w:r>
      <w:r w:rsidR="00967CF8" w:rsidRPr="009C5807">
        <w:t>1</w:t>
      </w:r>
      <w:r w:rsidR="00967CF8" w:rsidRPr="009C5807">
        <w:rPr>
          <w:lang w:eastAsia="zh-CN"/>
        </w:rPr>
        <w:t>.1</w:t>
      </w:r>
      <w:r w:rsidRPr="009C5807">
        <w:tab/>
        <w:t xml:space="preserve">Absolute </w:t>
      </w:r>
      <w:r w:rsidRPr="009C5807">
        <w:rPr>
          <w:lang w:val="en-US" w:eastAsia="ko-KR"/>
        </w:rPr>
        <w:t xml:space="preserve">SS-RSRQ </w:t>
      </w:r>
      <w:r w:rsidRPr="009C5807">
        <w:t>Accuracy in FR2</w:t>
      </w:r>
    </w:p>
    <w:p w14:paraId="1AC75AFB" w14:textId="77777777" w:rsidR="001F5A79" w:rsidRPr="009C5807" w:rsidRDefault="001F5A79" w:rsidP="001F5A79">
      <w:pPr>
        <w:rPr>
          <w:i/>
        </w:rPr>
      </w:pPr>
      <w:r w:rsidRPr="009C5807">
        <w:rPr>
          <w:rFonts w:cs="v4.2.0"/>
        </w:rPr>
        <w:t xml:space="preserve">Unless otherwise specified, the requirements </w:t>
      </w:r>
      <w:r w:rsidRPr="009C5807">
        <w:t xml:space="preserve">for </w:t>
      </w:r>
      <w:r w:rsidRPr="009C5807">
        <w:rPr>
          <w:rFonts w:cs="v4.2.0"/>
        </w:rPr>
        <w:t xml:space="preserve">absolute accuracy of </w:t>
      </w:r>
      <w:r w:rsidRPr="009C5807">
        <w:rPr>
          <w:rFonts w:cs="v4.2.0"/>
          <w:lang w:eastAsia="zh-CN"/>
        </w:rPr>
        <w:t>SS-RSRQ</w:t>
      </w:r>
      <w:r w:rsidRPr="009C5807">
        <w:rPr>
          <w:rFonts w:cs="v4.2.0"/>
        </w:rPr>
        <w:t xml:space="preserve"> in this clause apply to a cell on the same frequency as that of the serving cell in FR2.</w:t>
      </w:r>
    </w:p>
    <w:p w14:paraId="6CFA20B4"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10.1.8.1.1</w:t>
      </w:r>
      <w:r w:rsidRPr="009C5807">
        <w:rPr>
          <w:rFonts w:cs="v4.2.0"/>
        </w:rPr>
        <w:t>-1 are valid under the following conditions:</w:t>
      </w:r>
    </w:p>
    <w:p w14:paraId="52C58B35" w14:textId="77777777" w:rsidR="001F5A79" w:rsidRPr="009C5807" w:rsidRDefault="001F5A79" w:rsidP="001F5A79">
      <w:pPr>
        <w:ind w:left="568" w:hanging="284"/>
        <w:rPr>
          <w:lang w:eastAsia="zh-CN"/>
        </w:rPr>
      </w:pPr>
      <w:r w:rsidRPr="009C5807">
        <w:t>-</w:t>
      </w:r>
      <w:r w:rsidRPr="009C5807">
        <w:rPr>
          <w:rFonts w:ascii="Arial" w:hAnsi="Arial"/>
          <w:sz w:val="28"/>
          <w:lang w:val="en-US"/>
        </w:rPr>
        <w:tab/>
      </w:r>
      <w:r w:rsidRPr="009C5807">
        <w:t>Conditions defined in clause 7.3 of TS 38.101-2 [19] for reference sensitivity are fulfilled.</w:t>
      </w:r>
    </w:p>
    <w:p w14:paraId="7F7A46CB" w14:textId="77777777" w:rsidR="001F5A79" w:rsidRPr="009C5807" w:rsidRDefault="001F5A79" w:rsidP="001F5A79">
      <w:pPr>
        <w:ind w:left="568" w:hanging="284"/>
      </w:pPr>
      <w:r w:rsidRPr="009C5807">
        <w:t>-</w:t>
      </w:r>
      <w:r w:rsidRPr="009C5807">
        <w:rPr>
          <w:rFonts w:ascii="Arial" w:hAnsi="Arial"/>
          <w:sz w:val="28"/>
          <w:lang w:val="en-US"/>
        </w:rPr>
        <w:tab/>
      </w:r>
      <w:r w:rsidRPr="009C5807">
        <w:t xml:space="preserve">Conditions for intra-frequency measurements are fulfilled according to Annex B.2.2 for a corresponding Band </w:t>
      </w:r>
      <w:r w:rsidRPr="009C5807">
        <w:rPr>
          <w:rFonts w:cs="v4.2.0"/>
          <w:lang w:eastAsia="ko-KR"/>
        </w:rPr>
        <w:t>for each relevant SSB</w:t>
      </w:r>
      <w:r w:rsidRPr="009C5807">
        <w:t xml:space="preserve">. </w:t>
      </w:r>
    </w:p>
    <w:p w14:paraId="10FAD216" w14:textId="77777777" w:rsidR="001F5A79" w:rsidRPr="009C5807" w:rsidRDefault="001F5A79" w:rsidP="001F5A79">
      <w:pPr>
        <w:ind w:left="568" w:hanging="284"/>
        <w:rPr>
          <w:lang w:eastAsia="zh-CN"/>
        </w:rPr>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015A3EAF" w14:textId="77777777" w:rsidR="001F5A79" w:rsidRPr="009C5807" w:rsidRDefault="001F5A79" w:rsidP="001D4E56">
      <w:pPr>
        <w:pStyle w:val="TH"/>
        <w:rPr>
          <w:lang w:eastAsia="zh-CN"/>
        </w:rPr>
      </w:pPr>
      <w:r w:rsidRPr="009C5807">
        <w:t xml:space="preserve">Table </w:t>
      </w:r>
      <w:r w:rsidRPr="009C5807">
        <w:rPr>
          <w:lang w:eastAsia="zh-CN"/>
        </w:rPr>
        <w:t>10.1.8.1.1-1</w:t>
      </w:r>
      <w:r w:rsidRPr="009C5807">
        <w:t xml:space="preserve">: </w:t>
      </w:r>
      <w:r w:rsidRPr="009C5807">
        <w:rPr>
          <w:lang w:eastAsia="zh-CN"/>
        </w:rPr>
        <w:t>SS-RSRQ</w:t>
      </w:r>
      <w:r w:rsidRPr="009C5807">
        <w:t xml:space="preserve"> Intra frequency absolute accuracy</w:t>
      </w:r>
      <w:r w:rsidRPr="009C5807">
        <w:rPr>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1F5A79" w:rsidRPr="009C5807" w14:paraId="3951595C" w14:textId="77777777" w:rsidTr="00DF3064">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2364E3" w14:textId="77777777" w:rsidR="001F5A79" w:rsidRPr="009C5807" w:rsidRDefault="001F5A79" w:rsidP="00DB6585">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2EE243D7" w14:textId="77777777" w:rsidR="001F5A79" w:rsidRPr="009C5807" w:rsidRDefault="001F5A79" w:rsidP="00DB6585">
            <w:pPr>
              <w:pStyle w:val="TAH"/>
            </w:pPr>
            <w:r w:rsidRPr="009C5807">
              <w:t>Conditions</w:t>
            </w:r>
          </w:p>
        </w:tc>
      </w:tr>
      <w:tr w:rsidR="001F5A79" w:rsidRPr="009C5807" w14:paraId="2BE944B8" w14:textId="77777777" w:rsidTr="00DB6585">
        <w:trPr>
          <w:jc w:val="center"/>
        </w:trPr>
        <w:tc>
          <w:tcPr>
            <w:tcW w:w="1122" w:type="dxa"/>
            <w:tcBorders>
              <w:left w:val="single" w:sz="4" w:space="0" w:color="auto"/>
              <w:right w:val="single" w:sz="4" w:space="0" w:color="auto"/>
            </w:tcBorders>
            <w:shd w:val="clear" w:color="auto" w:fill="auto"/>
            <w:vAlign w:val="center"/>
          </w:tcPr>
          <w:p w14:paraId="00DDF87D" w14:textId="77777777" w:rsidR="001F5A79" w:rsidRPr="009C5807" w:rsidRDefault="001F5A79" w:rsidP="00DB6585">
            <w:pPr>
              <w:pStyle w:val="TAH"/>
            </w:pPr>
            <w:r w:rsidRPr="009C5807">
              <w:t>Normal condition</w:t>
            </w:r>
          </w:p>
        </w:tc>
        <w:tc>
          <w:tcPr>
            <w:tcW w:w="1119" w:type="dxa"/>
            <w:tcBorders>
              <w:left w:val="single" w:sz="4" w:space="0" w:color="auto"/>
              <w:right w:val="single" w:sz="4" w:space="0" w:color="auto"/>
            </w:tcBorders>
            <w:shd w:val="clear" w:color="auto" w:fill="auto"/>
            <w:vAlign w:val="center"/>
          </w:tcPr>
          <w:p w14:paraId="5E92939F" w14:textId="77777777" w:rsidR="001F5A79" w:rsidRPr="009C5807" w:rsidRDefault="001F5A79" w:rsidP="00DB6585">
            <w:pPr>
              <w:pStyle w:val="TAH"/>
            </w:pPr>
            <w:r w:rsidRPr="009C5807">
              <w:t>Extreme condition</w:t>
            </w:r>
          </w:p>
        </w:tc>
        <w:tc>
          <w:tcPr>
            <w:tcW w:w="1119" w:type="dxa"/>
            <w:tcBorders>
              <w:left w:val="single" w:sz="4" w:space="0" w:color="auto"/>
              <w:right w:val="single" w:sz="4" w:space="0" w:color="auto"/>
            </w:tcBorders>
          </w:tcPr>
          <w:p w14:paraId="38362E27" w14:textId="77777777" w:rsidR="001F5A79" w:rsidRPr="009C5807" w:rsidRDefault="001F5A79" w:rsidP="00DB6585">
            <w:pPr>
              <w:pStyle w:val="TAH"/>
            </w:pPr>
            <w:r w:rsidRPr="009C5807">
              <w:rPr>
                <w:rFonts w:cs="Arial"/>
              </w:rPr>
              <w:t>SSB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9568FC" w14:textId="77777777" w:rsidR="001F5A79" w:rsidRPr="009C5807" w:rsidRDefault="001F5A79" w:rsidP="00DB6585">
            <w:pPr>
              <w:pStyle w:val="TAH"/>
            </w:pPr>
            <w:r w:rsidRPr="009C5807">
              <w:t>Io</w:t>
            </w:r>
            <w:r w:rsidRPr="009C5807">
              <w:rPr>
                <w:vertAlign w:val="superscript"/>
              </w:rPr>
              <w:t xml:space="preserve"> Note 2</w:t>
            </w:r>
            <w:r w:rsidRPr="009C5807">
              <w:t xml:space="preserve"> range</w:t>
            </w:r>
          </w:p>
        </w:tc>
      </w:tr>
      <w:tr w:rsidR="001F5A79" w:rsidRPr="009C5807" w14:paraId="09161B93" w14:textId="77777777" w:rsidTr="00485F6E">
        <w:trPr>
          <w:jc w:val="center"/>
        </w:trPr>
        <w:tc>
          <w:tcPr>
            <w:tcW w:w="1122" w:type="dxa"/>
            <w:tcBorders>
              <w:left w:val="single" w:sz="4" w:space="0" w:color="auto"/>
              <w:bottom w:val="single" w:sz="4" w:space="0" w:color="auto"/>
              <w:right w:val="single" w:sz="4" w:space="0" w:color="auto"/>
            </w:tcBorders>
            <w:shd w:val="clear" w:color="auto" w:fill="auto"/>
          </w:tcPr>
          <w:p w14:paraId="2EFE1106"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shd w:val="clear" w:color="auto" w:fill="auto"/>
          </w:tcPr>
          <w:p w14:paraId="63DFE646"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tcPr>
          <w:p w14:paraId="1F91F621" w14:textId="77777777" w:rsidR="001F5A79" w:rsidRPr="009C5807" w:rsidRDefault="001F5A79" w:rsidP="00485F6E">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3D9C1CA4" w14:textId="77777777" w:rsidR="001F5A79" w:rsidRPr="009C5807" w:rsidRDefault="001F5A79" w:rsidP="00485F6E">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9039273" w14:textId="77777777" w:rsidR="001F5A79" w:rsidRPr="009C5807" w:rsidRDefault="001F5A79" w:rsidP="00485F6E">
            <w:pPr>
              <w:pStyle w:val="TAH"/>
            </w:pPr>
            <w:r w:rsidRPr="009C5807">
              <w:t>Maximum Io</w:t>
            </w:r>
          </w:p>
        </w:tc>
      </w:tr>
      <w:tr w:rsidR="00DB6585" w:rsidRPr="009C5807" w14:paraId="6761F655" w14:textId="77777777" w:rsidTr="00485F6E">
        <w:trPr>
          <w:jc w:val="center"/>
        </w:trPr>
        <w:tc>
          <w:tcPr>
            <w:tcW w:w="1122" w:type="dxa"/>
            <w:tcBorders>
              <w:top w:val="single" w:sz="4" w:space="0" w:color="auto"/>
              <w:left w:val="single" w:sz="4" w:space="0" w:color="auto"/>
              <w:right w:val="single" w:sz="4" w:space="0" w:color="auto"/>
            </w:tcBorders>
            <w:shd w:val="clear" w:color="auto" w:fill="auto"/>
          </w:tcPr>
          <w:p w14:paraId="302C890E" w14:textId="77777777" w:rsidR="00DB6585" w:rsidRPr="009C5807" w:rsidRDefault="00DB6585" w:rsidP="00485F6E">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3792AFD5" w14:textId="77777777" w:rsidR="00DB6585" w:rsidRPr="009C5807" w:rsidRDefault="00DB6585" w:rsidP="00485F6E">
            <w:pPr>
              <w:pStyle w:val="TAH"/>
            </w:pPr>
            <w:r w:rsidRPr="009C5807">
              <w:t>dB</w:t>
            </w:r>
          </w:p>
        </w:tc>
        <w:tc>
          <w:tcPr>
            <w:tcW w:w="1119" w:type="dxa"/>
            <w:tcBorders>
              <w:top w:val="single" w:sz="4" w:space="0" w:color="auto"/>
              <w:left w:val="single" w:sz="4" w:space="0" w:color="auto"/>
              <w:right w:val="single" w:sz="4" w:space="0" w:color="auto"/>
            </w:tcBorders>
          </w:tcPr>
          <w:p w14:paraId="11705EBD" w14:textId="77777777" w:rsidR="00DB6585" w:rsidRPr="009C5807" w:rsidRDefault="00DB6585" w:rsidP="00485F6E">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1EEF42C4" w14:textId="77777777" w:rsidR="00DB6585" w:rsidRPr="009C5807" w:rsidRDefault="00DB6585" w:rsidP="00485F6E">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5BE12554" w14:textId="77777777" w:rsidR="00DB6585" w:rsidRPr="009C5807" w:rsidRDefault="00DB6585" w:rsidP="00485F6E">
            <w:pPr>
              <w:pStyle w:val="TAH"/>
            </w:pPr>
            <w:r w:rsidRPr="009C5807">
              <w:t>dBm/BW</w:t>
            </w:r>
            <w:r w:rsidRPr="009C5807">
              <w:rPr>
                <w:vertAlign w:val="subscript"/>
              </w:rPr>
              <w:t>Channel</w:t>
            </w:r>
          </w:p>
        </w:tc>
      </w:tr>
      <w:tr w:rsidR="00DB6585" w:rsidRPr="009C5807" w14:paraId="516E4B61" w14:textId="77777777" w:rsidTr="00485F6E">
        <w:trPr>
          <w:jc w:val="center"/>
        </w:trPr>
        <w:tc>
          <w:tcPr>
            <w:tcW w:w="1122" w:type="dxa"/>
            <w:tcBorders>
              <w:left w:val="single" w:sz="4" w:space="0" w:color="auto"/>
              <w:bottom w:val="single" w:sz="4" w:space="0" w:color="auto"/>
              <w:right w:val="single" w:sz="4" w:space="0" w:color="auto"/>
            </w:tcBorders>
            <w:shd w:val="clear" w:color="auto" w:fill="auto"/>
          </w:tcPr>
          <w:p w14:paraId="34340D85" w14:textId="77777777" w:rsidR="00DB6585" w:rsidRPr="009C5807" w:rsidRDefault="00DB6585" w:rsidP="00485F6E">
            <w:pPr>
              <w:pStyle w:val="TAH"/>
            </w:pPr>
          </w:p>
        </w:tc>
        <w:tc>
          <w:tcPr>
            <w:tcW w:w="1119" w:type="dxa"/>
            <w:tcBorders>
              <w:left w:val="single" w:sz="4" w:space="0" w:color="auto"/>
              <w:bottom w:val="single" w:sz="4" w:space="0" w:color="auto"/>
              <w:right w:val="single" w:sz="4" w:space="0" w:color="auto"/>
            </w:tcBorders>
            <w:shd w:val="clear" w:color="auto" w:fill="auto"/>
          </w:tcPr>
          <w:p w14:paraId="4BF77DB5" w14:textId="77777777" w:rsidR="00DB6585" w:rsidRPr="009C5807" w:rsidRDefault="00DB6585" w:rsidP="00485F6E">
            <w:pPr>
              <w:pStyle w:val="TAH"/>
            </w:pPr>
          </w:p>
        </w:tc>
        <w:tc>
          <w:tcPr>
            <w:tcW w:w="1119" w:type="dxa"/>
            <w:tcBorders>
              <w:left w:val="single" w:sz="4" w:space="0" w:color="auto"/>
              <w:bottom w:val="single" w:sz="4" w:space="0" w:color="auto"/>
              <w:right w:val="single" w:sz="4" w:space="0" w:color="auto"/>
            </w:tcBorders>
          </w:tcPr>
          <w:p w14:paraId="709E7326" w14:textId="77777777" w:rsidR="00DB6585" w:rsidRPr="009C5807" w:rsidRDefault="00DB6585" w:rsidP="00485F6E">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09B47650" w14:textId="77777777" w:rsidR="00DB6585" w:rsidRPr="009C5807" w:rsidRDefault="00DB6585" w:rsidP="00485F6E">
            <w:pPr>
              <w:pStyle w:val="TAH"/>
            </w:pPr>
            <w:r w:rsidRPr="009C5807">
              <w:t>SCS</w:t>
            </w:r>
            <w:r w:rsidRPr="009C5807">
              <w:rPr>
                <w:vertAlign w:val="subscript"/>
              </w:rPr>
              <w:t>SSB</w:t>
            </w:r>
            <w:r w:rsidRPr="009C5807">
              <w:rPr>
                <w:rFonts w:cs="Arial"/>
              </w:rPr>
              <w:t xml:space="preserve"> = 120kHz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6B2B9820" w14:textId="77777777" w:rsidR="00DB6585" w:rsidRPr="009C5807" w:rsidRDefault="00DB6585" w:rsidP="00485F6E">
            <w:pPr>
              <w:pStyle w:val="TAH"/>
            </w:pPr>
            <w:r w:rsidRPr="009C5807">
              <w:t>SCS</w:t>
            </w:r>
            <w:r w:rsidRPr="009C5807">
              <w:rPr>
                <w:vertAlign w:val="subscript"/>
              </w:rPr>
              <w:t>SSB</w:t>
            </w:r>
            <w:r w:rsidRPr="009C5807">
              <w:rPr>
                <w:rFonts w:cs="Arial"/>
              </w:rPr>
              <w:t xml:space="preserve"> = 240kHz</w:t>
            </w:r>
          </w:p>
        </w:tc>
        <w:tc>
          <w:tcPr>
            <w:tcW w:w="2268" w:type="dxa"/>
            <w:tcBorders>
              <w:left w:val="single" w:sz="4" w:space="0" w:color="auto"/>
              <w:bottom w:val="single" w:sz="4" w:space="0" w:color="auto"/>
              <w:right w:val="single" w:sz="4" w:space="0" w:color="auto"/>
            </w:tcBorders>
            <w:shd w:val="clear" w:color="auto" w:fill="auto"/>
          </w:tcPr>
          <w:p w14:paraId="02780541" w14:textId="77777777" w:rsidR="00DB6585" w:rsidRPr="009C5807" w:rsidRDefault="00DB6585" w:rsidP="00485F6E">
            <w:pPr>
              <w:pStyle w:val="TAH"/>
            </w:pPr>
          </w:p>
        </w:tc>
      </w:tr>
      <w:tr w:rsidR="00DB6585" w:rsidRPr="009C5807" w14:paraId="702C85EC"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F4EADFF" w14:textId="77777777" w:rsidR="00DB6585" w:rsidRPr="009C5807" w:rsidRDefault="00DB6585" w:rsidP="00485F6E">
            <w:pPr>
              <w:pStyle w:val="TAC"/>
            </w:pPr>
            <w:r w:rsidRPr="009C5807">
              <w:sym w:font="Symbol" w:char="F0B1"/>
            </w:r>
            <w:r w:rsidRPr="009C5807">
              <w:t>2.5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5875CD60" w14:textId="77777777" w:rsidR="00DB6585" w:rsidRPr="009C5807" w:rsidRDefault="00DB6585"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3A54CF7D" w14:textId="77777777" w:rsidR="00DB6585" w:rsidRPr="009C5807" w:rsidRDefault="00DB6585" w:rsidP="00485F6E">
            <w:pPr>
              <w:pStyle w:val="TAC"/>
            </w:pPr>
            <w:r w:rsidRPr="009C5807">
              <w:rPr>
                <w:rFonts w:hint="eastAsia"/>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62A8D2AA" w14:textId="77777777" w:rsidR="00DB6585" w:rsidRPr="009C5807" w:rsidRDefault="00DB6585" w:rsidP="00485F6E">
            <w:pPr>
              <w:pStyle w:val="TAL"/>
              <w:jc w:val="center"/>
              <w:rPr>
                <w:rFonts w:eastAsia="Yu Mincho"/>
                <w:lang w:eastAsia="ja-JP"/>
              </w:rPr>
            </w:pPr>
            <w:r w:rsidRPr="009C5807">
              <w:t>Same value as SSB_RP in Table B.2.2-2,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01A69EF3" w14:textId="77777777" w:rsidR="00DB6585" w:rsidRPr="009C5807" w:rsidRDefault="00DB6585" w:rsidP="00485F6E">
            <w:pPr>
              <w:pStyle w:val="TAC"/>
            </w:pPr>
            <w:r w:rsidRPr="009C5807">
              <w:t>-50</w:t>
            </w:r>
          </w:p>
        </w:tc>
      </w:tr>
      <w:tr w:rsidR="00DB6585" w:rsidRPr="009C5807" w14:paraId="028630F9"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71AB108" w14:textId="77777777" w:rsidR="00DB6585" w:rsidRPr="009C5807" w:rsidRDefault="00DB6585" w:rsidP="00485F6E">
            <w:pPr>
              <w:pStyle w:val="TAC"/>
            </w:pPr>
            <w:r w:rsidRPr="009C5807">
              <w:sym w:font="Symbol" w:char="F0B1"/>
            </w:r>
            <w:r w:rsidRPr="009C5807">
              <w:t>3.5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560686DA" w14:textId="77777777" w:rsidR="00DB6585" w:rsidRPr="009C5807" w:rsidRDefault="00DB6585"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53703847" w14:textId="77777777" w:rsidR="00DB6585" w:rsidRPr="009C5807" w:rsidRDefault="00DB6585" w:rsidP="00485F6E">
            <w:pPr>
              <w:pStyle w:val="TAC"/>
            </w:pPr>
            <w:r w:rsidRPr="009C5807">
              <w:rPr>
                <w:rFonts w:eastAsia="Yu Mincho" w:cs="Arial"/>
                <w:lang w:eastAsia="ja-JP"/>
              </w:rPr>
              <w:t>≥-6</w:t>
            </w:r>
          </w:p>
        </w:tc>
        <w:tc>
          <w:tcPr>
            <w:tcW w:w="3161" w:type="dxa"/>
            <w:gridSpan w:val="2"/>
            <w:tcBorders>
              <w:left w:val="single" w:sz="4" w:space="0" w:color="auto"/>
              <w:bottom w:val="single" w:sz="4" w:space="0" w:color="auto"/>
              <w:right w:val="single" w:sz="4" w:space="0" w:color="auto"/>
            </w:tcBorders>
            <w:shd w:val="clear" w:color="auto" w:fill="auto"/>
          </w:tcPr>
          <w:p w14:paraId="132BE8E4" w14:textId="77777777" w:rsidR="00DB6585" w:rsidRPr="009C5807" w:rsidRDefault="00DB6585" w:rsidP="00485F6E">
            <w:pPr>
              <w:keepNext/>
              <w:keepLines/>
              <w:spacing w:after="0"/>
              <w:jc w:val="center"/>
              <w:rPr>
                <w:rFonts w:ascii="Arial" w:hAnsi="Arial"/>
                <w:sz w:val="18"/>
              </w:rPr>
            </w:pPr>
          </w:p>
        </w:tc>
        <w:tc>
          <w:tcPr>
            <w:tcW w:w="2268" w:type="dxa"/>
            <w:tcBorders>
              <w:left w:val="single" w:sz="4" w:space="0" w:color="auto"/>
              <w:bottom w:val="single" w:sz="4" w:space="0" w:color="auto"/>
              <w:right w:val="single" w:sz="4" w:space="0" w:color="auto"/>
            </w:tcBorders>
            <w:shd w:val="clear" w:color="auto" w:fill="auto"/>
          </w:tcPr>
          <w:p w14:paraId="1692384A" w14:textId="77777777" w:rsidR="00DB6585" w:rsidRPr="009C5807" w:rsidRDefault="00DB6585" w:rsidP="00485F6E">
            <w:pPr>
              <w:keepNext/>
              <w:keepLines/>
              <w:spacing w:after="0"/>
              <w:jc w:val="center"/>
              <w:rPr>
                <w:rFonts w:ascii="Arial" w:hAnsi="Arial"/>
                <w:sz w:val="18"/>
              </w:rPr>
            </w:pPr>
          </w:p>
        </w:tc>
      </w:tr>
      <w:tr w:rsidR="001F5A79" w:rsidRPr="009C5807" w14:paraId="5122C4EE" w14:textId="77777777" w:rsidTr="00DF3064">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1117BDF" w14:textId="77777777" w:rsidR="001F5A79" w:rsidRPr="009C5807" w:rsidRDefault="001F5A79" w:rsidP="001D4E56">
            <w:pPr>
              <w:pStyle w:val="TAN"/>
            </w:pPr>
            <w:r w:rsidRPr="009C5807">
              <w:t>Note 1:</w:t>
            </w:r>
            <w:r w:rsidRPr="009C5807">
              <w:tab/>
              <w:t>Values based on Refsens and EIS spherical coverage as defined in clauses 7.3.2 and 7.3.4 of TS 38.101-2 [19]. Applicable side condition selected depending on angle of arrival.</w:t>
            </w:r>
          </w:p>
          <w:p w14:paraId="46CA1BCA" w14:textId="77777777" w:rsidR="001F5A79" w:rsidRPr="009C5807" w:rsidRDefault="001F5A79" w:rsidP="001D4E56">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5298F603" w14:textId="77777777" w:rsidR="001F5A79" w:rsidRPr="009C5807" w:rsidRDefault="001F5A79" w:rsidP="001D4E56">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3DE9B142" w14:textId="77777777" w:rsidR="001F5A79" w:rsidRPr="009C5807" w:rsidRDefault="001F5A79" w:rsidP="001F5A79"/>
    <w:p w14:paraId="54C69207" w14:textId="77777777" w:rsidR="008935F7" w:rsidRDefault="008935F7" w:rsidP="008935F7">
      <w:pPr>
        <w:pStyle w:val="Heading4"/>
        <w:rPr>
          <w:lang w:val="en-US"/>
        </w:rPr>
      </w:pPr>
      <w:r>
        <w:rPr>
          <w:lang w:val="en-US"/>
        </w:rPr>
        <w:t>10.1.8.2</w:t>
      </w:r>
      <w:r>
        <w:rPr>
          <w:lang w:val="en-US"/>
        </w:rPr>
        <w:tab/>
        <w:t>Intra-frequency CSI-RSRQ accuracy requirements</w:t>
      </w:r>
    </w:p>
    <w:p w14:paraId="60DD012A" w14:textId="77777777" w:rsidR="008935F7" w:rsidRDefault="008935F7" w:rsidP="008935F7">
      <w:pPr>
        <w:pStyle w:val="Heading5"/>
      </w:pPr>
      <w:r>
        <w:t>10.1.8.2.1</w:t>
      </w:r>
      <w:r>
        <w:tab/>
        <w:t xml:space="preserve">Absolute </w:t>
      </w:r>
      <w:r>
        <w:rPr>
          <w:lang w:val="en-US"/>
        </w:rPr>
        <w:t xml:space="preserve">CSI-RSRQ </w:t>
      </w:r>
      <w:r>
        <w:t>Accuracy</w:t>
      </w:r>
    </w:p>
    <w:p w14:paraId="1982944F" w14:textId="77777777" w:rsidR="008935F7" w:rsidRDefault="008935F7" w:rsidP="008935F7">
      <w:pPr>
        <w:rPr>
          <w:rFonts w:cs="v4.2.0"/>
        </w:rPr>
      </w:pPr>
      <w:r>
        <w:rPr>
          <w:rFonts w:cs="v4.2.0"/>
        </w:rPr>
        <w:t xml:space="preserve">Unless otherwise specified, the requirements for absolute accuracy of </w:t>
      </w:r>
      <w:r>
        <w:rPr>
          <w:rFonts w:cs="v4.2.0"/>
          <w:lang w:eastAsia="zh-CN"/>
        </w:rPr>
        <w:t>CSI-RSRQ</w:t>
      </w:r>
      <w:r>
        <w:rPr>
          <w:rFonts w:cs="v4.2.0"/>
        </w:rPr>
        <w:t xml:space="preserve"> in this clause apply to the </w:t>
      </w:r>
      <w:r>
        <w:rPr>
          <w:rFonts w:cs="v4.2.0" w:hint="eastAsia"/>
          <w:lang w:eastAsia="zh-CN"/>
        </w:rPr>
        <w:t>intra-frequency measurement defined in 9.10.2.1</w:t>
      </w:r>
      <w:r>
        <w:rPr>
          <w:rFonts w:cs="v4.2.0"/>
        </w:rPr>
        <w:t xml:space="preserve"> in FR2.</w:t>
      </w:r>
    </w:p>
    <w:p w14:paraId="41804B54" w14:textId="77777777" w:rsidR="008935F7" w:rsidRDefault="008935F7" w:rsidP="008935F7">
      <w:pPr>
        <w:rPr>
          <w:rFonts w:cs="v4.2.0"/>
        </w:rPr>
      </w:pPr>
      <w:r>
        <w:rPr>
          <w:rFonts w:cs="v4.2.0"/>
        </w:rPr>
        <w:t xml:space="preserve">The accuracy requirements in Table </w:t>
      </w:r>
      <w:r>
        <w:rPr>
          <w:rFonts w:cs="v4.2.0"/>
          <w:lang w:eastAsia="zh-CN"/>
        </w:rPr>
        <w:t>10.1.8.2.1</w:t>
      </w:r>
      <w:r>
        <w:rPr>
          <w:rFonts w:cs="v4.2.0"/>
        </w:rPr>
        <w:t>-1 are valid under the following conditions:</w:t>
      </w:r>
    </w:p>
    <w:p w14:paraId="71D6AAEE" w14:textId="77777777" w:rsidR="008935F7" w:rsidRDefault="008935F7" w:rsidP="008935F7">
      <w:pPr>
        <w:pStyle w:val="B10"/>
        <w:rPr>
          <w:lang w:eastAsia="zh-CN"/>
        </w:rPr>
      </w:pPr>
      <w:r>
        <w:t>-</w:t>
      </w:r>
      <w:r>
        <w:tab/>
        <w:t>Conditions defined in clause 7.3 of TS 38.101-2 [19] for reference sensitivity are fulfilled.</w:t>
      </w:r>
    </w:p>
    <w:p w14:paraId="53686F5C" w14:textId="77777777" w:rsidR="008935F7" w:rsidRDefault="008935F7" w:rsidP="008935F7">
      <w:pPr>
        <w:pStyle w:val="B10"/>
        <w:rPr>
          <w:lang w:eastAsia="zh-CN"/>
        </w:rPr>
      </w:pPr>
      <w:r>
        <w:t>-</w:t>
      </w:r>
      <w:r>
        <w:tab/>
        <w:t xml:space="preserve">Conditions for intra-frequency measurements are fulfilled according to Annex B.2.2 for a corresponding Band </w:t>
      </w:r>
      <w:r>
        <w:rPr>
          <w:rFonts w:cs="v4.2.0"/>
          <w:lang w:eastAsia="ko-KR"/>
        </w:rPr>
        <w:t>for each relevant SSB</w:t>
      </w:r>
      <w:r>
        <w:t>.</w:t>
      </w:r>
    </w:p>
    <w:p w14:paraId="688502D9" w14:textId="77777777" w:rsidR="008935F7" w:rsidRPr="00A96A32" w:rsidRDefault="008935F7" w:rsidP="008935F7">
      <w:pPr>
        <w:pStyle w:val="B10"/>
        <w:rPr>
          <w:lang w:eastAsia="zh-CN"/>
        </w:rPr>
      </w:pPr>
      <w:r w:rsidRPr="00B25D3D">
        <w:t>-</w:t>
      </w:r>
      <w:r w:rsidRPr="00B25D3D">
        <w:tab/>
        <w:t>Conditions for intra-frequency measurements are fulfilled according to Annex B.2.</w:t>
      </w:r>
      <w:r>
        <w:rPr>
          <w:rFonts w:hint="eastAsia"/>
          <w:lang w:eastAsia="zh-CN"/>
        </w:rPr>
        <w:t>8</w:t>
      </w:r>
      <w:r w:rsidRPr="00B25D3D">
        <w:t xml:space="preserve"> for a corresponding Band </w:t>
      </w:r>
      <w:r w:rsidRPr="00B25D3D">
        <w:rPr>
          <w:rFonts w:cs="v4.2.0"/>
          <w:lang w:eastAsia="ko-KR"/>
        </w:rPr>
        <w:t xml:space="preserve">for </w:t>
      </w:r>
      <w:r>
        <w:rPr>
          <w:rFonts w:cs="v4.2.0" w:hint="eastAsia"/>
          <w:lang w:eastAsia="zh-CN"/>
        </w:rPr>
        <w:t>each relevant CSI-RS</w:t>
      </w:r>
      <w:r w:rsidRPr="00B25D3D">
        <w:t>.</w:t>
      </w:r>
    </w:p>
    <w:p w14:paraId="51CB2449" w14:textId="77777777" w:rsidR="008935F7" w:rsidRDefault="008935F7" w:rsidP="008935F7">
      <w:pPr>
        <w:pStyle w:val="B10"/>
        <w:rPr>
          <w:lang w:eastAsia="zh-CN"/>
        </w:rPr>
      </w:pPr>
      <w:r>
        <w:rPr>
          <w:rFonts w:hint="eastAsia"/>
          <w:lang w:eastAsia="zh-CN"/>
        </w:rPr>
        <w:t>-</w:t>
      </w:r>
      <w:r>
        <w:rPr>
          <w:rFonts w:hint="eastAsia"/>
          <w:lang w:eastAsia="zh-CN"/>
        </w:rPr>
        <w:tab/>
        <w:t xml:space="preserve">The bandwidth of CSI-RS is 48 PRBs and the density is 3. </w:t>
      </w:r>
    </w:p>
    <w:p w14:paraId="793BDC1C" w14:textId="77777777" w:rsidR="008935F7" w:rsidRPr="00F65AE5" w:rsidRDefault="008935F7" w:rsidP="00F37389">
      <w:pPr>
        <w:pStyle w:val="B20"/>
        <w:rPr>
          <w:lang w:eastAsia="zh-CN"/>
        </w:rPr>
      </w:pPr>
      <w:r>
        <w:rPr>
          <w:rFonts w:hint="eastAsia"/>
          <w:lang w:eastAsia="zh-CN"/>
        </w:rPr>
        <w:t>•</w:t>
      </w:r>
      <w:r>
        <w:rPr>
          <w:lang w:eastAsia="zh-CN"/>
        </w:rPr>
        <w:tab/>
        <w:t xml:space="preserve">The performance with larger bandwidth of CSI-RS is equal to or better than the accuracy requirements in Table </w:t>
      </w:r>
      <w:r>
        <w:rPr>
          <w:rFonts w:cs="v4.2.0"/>
          <w:lang w:eastAsia="zh-CN"/>
        </w:rPr>
        <w:t>10.1.8.2.1</w:t>
      </w:r>
      <w:r>
        <w:rPr>
          <w:rFonts w:cs="v4.2.0"/>
        </w:rPr>
        <w:t>-1</w:t>
      </w:r>
      <w:r>
        <w:rPr>
          <w:lang w:eastAsia="zh-CN"/>
        </w:rPr>
        <w:t>.</w:t>
      </w:r>
    </w:p>
    <w:p w14:paraId="087804FA" w14:textId="6BA805BD" w:rsidR="008935F7" w:rsidRDefault="008935F7" w:rsidP="008935F7">
      <w:pPr>
        <w:pStyle w:val="B10"/>
        <w:rPr>
          <w:lang w:eastAsia="zh-CN"/>
        </w:rPr>
      </w:pPr>
      <w:r>
        <w:rPr>
          <w:rFonts w:hint="eastAsia"/>
          <w:lang w:eastAsia="zh-CN"/>
        </w:rPr>
        <w:t>-</w:t>
      </w:r>
      <w:r>
        <w:tab/>
      </w:r>
      <w:r>
        <w:rPr>
          <w:rFonts w:hint="eastAsia"/>
          <w:lang w:eastAsia="zh-CN"/>
        </w:rPr>
        <w:t>T</w:t>
      </w:r>
      <w:r w:rsidRPr="00952C56">
        <w:rPr>
          <w:lang w:eastAsia="zh-CN"/>
        </w:rPr>
        <w:t xml:space="preserve">he timing offset between the reference measurement timing and the target CSI-RS in one layer is </w:t>
      </w:r>
      <w:r>
        <w:rPr>
          <w:lang w:eastAsia="zh-CN"/>
        </w:rPr>
        <w:t>no larger than</w:t>
      </w:r>
      <w:r w:rsidRPr="00952C56">
        <w:rPr>
          <w:lang w:eastAsia="zh-CN"/>
        </w:rPr>
        <w:t xml:space="preserve"> </w:t>
      </w:r>
      <w:r>
        <w:rPr>
          <w:rFonts w:hint="eastAsia"/>
          <w:lang w:eastAsia="zh-CN"/>
        </w:rPr>
        <w:t>CP.</w:t>
      </w:r>
    </w:p>
    <w:p w14:paraId="27F10884" w14:textId="079255FF" w:rsidR="008935F7" w:rsidRDefault="008935F7" w:rsidP="00AB368A">
      <w:pPr>
        <w:pStyle w:val="NO"/>
        <w:rPr>
          <w:lang w:eastAsia="zh-CN"/>
        </w:rPr>
      </w:pPr>
      <w:r w:rsidRPr="005854E7">
        <w:rPr>
          <w:lang w:eastAsia="zh-CN"/>
        </w:rPr>
        <w:t>Note:</w:t>
      </w:r>
      <w:r w:rsidR="00AB368A">
        <w:rPr>
          <w:lang w:eastAsia="zh-CN"/>
        </w:rPr>
        <w:tab/>
      </w:r>
      <w:r w:rsidRPr="005854E7">
        <w:rPr>
          <w:lang w:eastAsia="zh-CN"/>
        </w:rPr>
        <w:t>The reference measurement timing for one layer for intra-frequency measurement is serving cell timing.</w:t>
      </w:r>
    </w:p>
    <w:p w14:paraId="2CF30D51" w14:textId="77777777" w:rsidR="008935F7" w:rsidRPr="005560E1" w:rsidRDefault="008935F7" w:rsidP="008935F7">
      <w:pPr>
        <w:pStyle w:val="B10"/>
        <w:rPr>
          <w:lang w:eastAsia="zh-CN"/>
        </w:rPr>
      </w:pPr>
      <w:r>
        <w:t>-</w:t>
      </w:r>
      <w:r>
        <w:tab/>
        <w:t xml:space="preserve">The measured signals are in the directions covered by the percentile EIS spherical coverage of the UE, defined in </w:t>
      </w:r>
      <w:r>
        <w:rPr>
          <w:rFonts w:cs="Arial"/>
        </w:rPr>
        <w:t>clause 7.3.4 of TS 38.101-2 [19]</w:t>
      </w:r>
      <w:r>
        <w:t>.</w:t>
      </w:r>
    </w:p>
    <w:p w14:paraId="03529EE4" w14:textId="77777777" w:rsidR="008935F7" w:rsidRDefault="008935F7" w:rsidP="008935F7">
      <w:pPr>
        <w:pStyle w:val="TH"/>
        <w:rPr>
          <w:lang w:eastAsia="zh-CN"/>
        </w:rPr>
      </w:pPr>
      <w:r>
        <w:t>Table 10.1.8.2.1-1: CSI-RSRQ Intra frequency absolute accuracy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8935F7" w:rsidRPr="009C5807" w14:paraId="6A3A42AA" w14:textId="77777777" w:rsidTr="008935F7">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A648BA" w14:textId="77777777" w:rsidR="008935F7" w:rsidRPr="009C5807" w:rsidRDefault="008935F7" w:rsidP="008935F7">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6D40CE61" w14:textId="77777777" w:rsidR="008935F7" w:rsidRPr="009C5807" w:rsidRDefault="008935F7" w:rsidP="008935F7">
            <w:pPr>
              <w:pStyle w:val="TAH"/>
            </w:pPr>
            <w:r w:rsidRPr="009C5807">
              <w:t>Conditions</w:t>
            </w:r>
          </w:p>
        </w:tc>
      </w:tr>
      <w:tr w:rsidR="008935F7" w:rsidRPr="009C5807" w14:paraId="1087C7EB" w14:textId="77777777" w:rsidTr="008935F7">
        <w:trPr>
          <w:jc w:val="center"/>
        </w:trPr>
        <w:tc>
          <w:tcPr>
            <w:tcW w:w="1122" w:type="dxa"/>
            <w:tcBorders>
              <w:left w:val="single" w:sz="4" w:space="0" w:color="auto"/>
              <w:right w:val="single" w:sz="4" w:space="0" w:color="auto"/>
            </w:tcBorders>
            <w:shd w:val="clear" w:color="auto" w:fill="auto"/>
            <w:vAlign w:val="center"/>
          </w:tcPr>
          <w:p w14:paraId="581C7575" w14:textId="77777777" w:rsidR="008935F7" w:rsidRPr="009C5807" w:rsidRDefault="008935F7" w:rsidP="008935F7">
            <w:pPr>
              <w:pStyle w:val="TAH"/>
            </w:pPr>
            <w:r w:rsidRPr="009C5807">
              <w:t>Normal condition</w:t>
            </w:r>
          </w:p>
        </w:tc>
        <w:tc>
          <w:tcPr>
            <w:tcW w:w="1119" w:type="dxa"/>
            <w:tcBorders>
              <w:left w:val="single" w:sz="4" w:space="0" w:color="auto"/>
              <w:right w:val="single" w:sz="4" w:space="0" w:color="auto"/>
            </w:tcBorders>
            <w:shd w:val="clear" w:color="auto" w:fill="auto"/>
            <w:vAlign w:val="center"/>
          </w:tcPr>
          <w:p w14:paraId="56D2F374" w14:textId="77777777" w:rsidR="008935F7" w:rsidRPr="009C5807" w:rsidRDefault="008935F7" w:rsidP="008935F7">
            <w:pPr>
              <w:pStyle w:val="TAH"/>
            </w:pPr>
            <w:r w:rsidRPr="009C5807">
              <w:t>Extreme condition</w:t>
            </w:r>
          </w:p>
        </w:tc>
        <w:tc>
          <w:tcPr>
            <w:tcW w:w="1119" w:type="dxa"/>
            <w:tcBorders>
              <w:left w:val="single" w:sz="4" w:space="0" w:color="auto"/>
              <w:right w:val="single" w:sz="4" w:space="0" w:color="auto"/>
            </w:tcBorders>
          </w:tcPr>
          <w:p w14:paraId="75D27CD5" w14:textId="77777777" w:rsidR="008935F7" w:rsidRPr="009C5807" w:rsidRDefault="008935F7" w:rsidP="008935F7">
            <w:pPr>
              <w:pStyle w:val="TAH"/>
            </w:pPr>
            <w:r>
              <w:rPr>
                <w:rFonts w:cs="Arial" w:hint="eastAsia"/>
                <w:lang w:eastAsia="zh-CN"/>
              </w:rPr>
              <w:t>CSI-RS</w:t>
            </w:r>
            <w:r w:rsidRPr="009C5807">
              <w:rPr>
                <w:rFonts w:cs="Arial"/>
              </w:rPr>
              <w:t xml:space="preserve">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0BF376" w14:textId="77777777" w:rsidR="008935F7" w:rsidRPr="009C5807" w:rsidRDefault="008935F7" w:rsidP="008935F7">
            <w:pPr>
              <w:pStyle w:val="TAH"/>
            </w:pPr>
            <w:r w:rsidRPr="009C5807">
              <w:t>Io</w:t>
            </w:r>
            <w:r w:rsidRPr="009C5807">
              <w:rPr>
                <w:vertAlign w:val="superscript"/>
              </w:rPr>
              <w:t xml:space="preserve"> Note 2</w:t>
            </w:r>
            <w:r w:rsidRPr="009C5807">
              <w:t xml:space="preserve"> range</w:t>
            </w:r>
          </w:p>
        </w:tc>
      </w:tr>
      <w:tr w:rsidR="008935F7" w:rsidRPr="009C5807" w14:paraId="467450DC" w14:textId="77777777" w:rsidTr="008935F7">
        <w:trPr>
          <w:jc w:val="center"/>
        </w:trPr>
        <w:tc>
          <w:tcPr>
            <w:tcW w:w="1122" w:type="dxa"/>
            <w:tcBorders>
              <w:left w:val="single" w:sz="4" w:space="0" w:color="auto"/>
              <w:bottom w:val="single" w:sz="4" w:space="0" w:color="auto"/>
              <w:right w:val="single" w:sz="4" w:space="0" w:color="auto"/>
            </w:tcBorders>
            <w:shd w:val="clear" w:color="auto" w:fill="auto"/>
          </w:tcPr>
          <w:p w14:paraId="440D31E0"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shd w:val="clear" w:color="auto" w:fill="auto"/>
          </w:tcPr>
          <w:p w14:paraId="493F3E5C"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tcPr>
          <w:p w14:paraId="1A481D0D" w14:textId="77777777" w:rsidR="008935F7" w:rsidRPr="009C5807" w:rsidRDefault="008935F7" w:rsidP="008935F7">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5B8F3617" w14:textId="77777777" w:rsidR="008935F7" w:rsidRPr="009C5807" w:rsidRDefault="008935F7" w:rsidP="008935F7">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01AFD4E" w14:textId="77777777" w:rsidR="008935F7" w:rsidRPr="009C5807" w:rsidRDefault="008935F7" w:rsidP="008935F7">
            <w:pPr>
              <w:pStyle w:val="TAH"/>
            </w:pPr>
            <w:r w:rsidRPr="009C5807">
              <w:t>Maximum Io</w:t>
            </w:r>
          </w:p>
        </w:tc>
      </w:tr>
      <w:tr w:rsidR="008935F7" w:rsidRPr="009C5807" w14:paraId="2D54611A" w14:textId="77777777" w:rsidTr="008935F7">
        <w:trPr>
          <w:jc w:val="center"/>
        </w:trPr>
        <w:tc>
          <w:tcPr>
            <w:tcW w:w="1122" w:type="dxa"/>
            <w:tcBorders>
              <w:top w:val="single" w:sz="4" w:space="0" w:color="auto"/>
              <w:left w:val="single" w:sz="4" w:space="0" w:color="auto"/>
              <w:right w:val="single" w:sz="4" w:space="0" w:color="auto"/>
            </w:tcBorders>
            <w:shd w:val="clear" w:color="auto" w:fill="auto"/>
          </w:tcPr>
          <w:p w14:paraId="774ED23F" w14:textId="77777777" w:rsidR="008935F7" w:rsidRPr="009C5807" w:rsidRDefault="008935F7" w:rsidP="008935F7">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25E4C249" w14:textId="77777777" w:rsidR="008935F7" w:rsidRPr="009C5807" w:rsidRDefault="008935F7" w:rsidP="008935F7">
            <w:pPr>
              <w:pStyle w:val="TAH"/>
            </w:pPr>
            <w:r w:rsidRPr="009C5807">
              <w:t>dB</w:t>
            </w:r>
          </w:p>
        </w:tc>
        <w:tc>
          <w:tcPr>
            <w:tcW w:w="1119" w:type="dxa"/>
            <w:tcBorders>
              <w:top w:val="single" w:sz="4" w:space="0" w:color="auto"/>
              <w:left w:val="single" w:sz="4" w:space="0" w:color="auto"/>
              <w:right w:val="single" w:sz="4" w:space="0" w:color="auto"/>
            </w:tcBorders>
          </w:tcPr>
          <w:p w14:paraId="53FE26B0" w14:textId="77777777" w:rsidR="008935F7" w:rsidRPr="009C5807" w:rsidRDefault="008935F7" w:rsidP="008935F7">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581F024E" w14:textId="77777777" w:rsidR="008935F7" w:rsidRPr="009C5807" w:rsidRDefault="008935F7" w:rsidP="008935F7">
            <w:pPr>
              <w:pStyle w:val="TAH"/>
            </w:pPr>
            <w:r w:rsidRPr="009C5807">
              <w:rPr>
                <w:rFonts w:cs="Arial"/>
              </w:rPr>
              <w:t xml:space="preserve">dBm / </w:t>
            </w:r>
            <w:r w:rsidRPr="009C5807">
              <w:t>SCS</w:t>
            </w:r>
            <w:r>
              <w:rPr>
                <w:rFonts w:hint="eastAsia"/>
                <w:vertAlign w:val="subscript"/>
                <w:lang w:eastAsia="zh-CN"/>
              </w:rPr>
              <w:t>CSI-RS</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38A85868" w14:textId="77777777" w:rsidR="008935F7" w:rsidRPr="009C5807" w:rsidRDefault="008935F7" w:rsidP="008935F7">
            <w:pPr>
              <w:pStyle w:val="TAH"/>
            </w:pPr>
            <w:r w:rsidRPr="009C5807">
              <w:t>dBm/BW</w:t>
            </w:r>
            <w:r w:rsidRPr="009C5807">
              <w:rPr>
                <w:vertAlign w:val="subscript"/>
              </w:rPr>
              <w:t>Channel</w:t>
            </w:r>
          </w:p>
        </w:tc>
      </w:tr>
      <w:tr w:rsidR="008935F7" w:rsidRPr="009C5807" w14:paraId="62031123" w14:textId="77777777" w:rsidTr="008935F7">
        <w:trPr>
          <w:jc w:val="center"/>
        </w:trPr>
        <w:tc>
          <w:tcPr>
            <w:tcW w:w="1122" w:type="dxa"/>
            <w:tcBorders>
              <w:left w:val="single" w:sz="4" w:space="0" w:color="auto"/>
              <w:bottom w:val="single" w:sz="4" w:space="0" w:color="auto"/>
              <w:right w:val="single" w:sz="4" w:space="0" w:color="auto"/>
            </w:tcBorders>
            <w:shd w:val="clear" w:color="auto" w:fill="auto"/>
          </w:tcPr>
          <w:p w14:paraId="191DFBB0"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shd w:val="clear" w:color="auto" w:fill="auto"/>
          </w:tcPr>
          <w:p w14:paraId="2E4D4F3A"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tcPr>
          <w:p w14:paraId="66E53810" w14:textId="77777777" w:rsidR="008935F7" w:rsidRPr="009C5807" w:rsidRDefault="008935F7" w:rsidP="008935F7">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02A4AF68" w14:textId="77777777" w:rsidR="008935F7" w:rsidRPr="009C5807" w:rsidRDefault="008935F7" w:rsidP="008935F7">
            <w:pPr>
              <w:pStyle w:val="TAH"/>
            </w:pPr>
            <w:r w:rsidRPr="009C5807">
              <w:t>SCS</w:t>
            </w:r>
            <w:r>
              <w:rPr>
                <w:rFonts w:hint="eastAsia"/>
                <w:vertAlign w:val="subscript"/>
                <w:lang w:eastAsia="zh-CN"/>
              </w:rPr>
              <w:t>CSI-RS</w:t>
            </w:r>
            <w:r w:rsidRPr="009C5807">
              <w:rPr>
                <w:rFonts w:cs="Arial"/>
              </w:rPr>
              <w:t xml:space="preserve"> = </w:t>
            </w:r>
            <w:r>
              <w:rPr>
                <w:rFonts w:cs="Arial" w:hint="eastAsia"/>
                <w:lang w:eastAsia="zh-CN"/>
              </w:rPr>
              <w:t>60</w:t>
            </w:r>
            <w:r w:rsidRPr="009C5807">
              <w:rPr>
                <w:rFonts w:cs="Arial"/>
              </w:rPr>
              <w:t>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02E9EA59" w14:textId="77777777" w:rsidR="008935F7" w:rsidRPr="009C5807" w:rsidRDefault="008935F7" w:rsidP="008935F7">
            <w:pPr>
              <w:pStyle w:val="TAH"/>
            </w:pPr>
            <w:r w:rsidRPr="009C5807">
              <w:t>SCS</w:t>
            </w:r>
            <w:r>
              <w:rPr>
                <w:rFonts w:hint="eastAsia"/>
                <w:vertAlign w:val="subscript"/>
                <w:lang w:eastAsia="zh-CN"/>
              </w:rPr>
              <w:t>CSI-RS</w:t>
            </w:r>
            <w:r w:rsidRPr="009C5807">
              <w:rPr>
                <w:rFonts w:cs="Arial"/>
              </w:rPr>
              <w:t xml:space="preserve"> = </w:t>
            </w:r>
            <w:r>
              <w:rPr>
                <w:rFonts w:cs="Arial" w:hint="eastAsia"/>
                <w:lang w:eastAsia="zh-CN"/>
              </w:rPr>
              <w:t>120</w:t>
            </w:r>
            <w:r w:rsidRPr="009C5807">
              <w:rPr>
                <w:rFonts w:cs="Arial"/>
              </w:rPr>
              <w:t>kHz</w:t>
            </w:r>
          </w:p>
        </w:tc>
        <w:tc>
          <w:tcPr>
            <w:tcW w:w="2268" w:type="dxa"/>
            <w:tcBorders>
              <w:left w:val="single" w:sz="4" w:space="0" w:color="auto"/>
              <w:bottom w:val="single" w:sz="4" w:space="0" w:color="auto"/>
              <w:right w:val="single" w:sz="4" w:space="0" w:color="auto"/>
            </w:tcBorders>
            <w:shd w:val="clear" w:color="auto" w:fill="auto"/>
          </w:tcPr>
          <w:p w14:paraId="62D00956" w14:textId="77777777" w:rsidR="008935F7" w:rsidRPr="009C5807" w:rsidRDefault="008935F7" w:rsidP="008935F7">
            <w:pPr>
              <w:pStyle w:val="TAH"/>
            </w:pPr>
          </w:p>
        </w:tc>
      </w:tr>
      <w:tr w:rsidR="008935F7" w:rsidRPr="009C5807" w14:paraId="7EBEB2DC" w14:textId="77777777" w:rsidTr="008935F7">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AB5494D" w14:textId="77777777" w:rsidR="008935F7" w:rsidRPr="009C5807" w:rsidRDefault="008935F7" w:rsidP="008935F7">
            <w:pPr>
              <w:pStyle w:val="TAC"/>
            </w:pPr>
            <w:r w:rsidRPr="009C5807">
              <w:sym w:font="Symbol" w:char="F0B1"/>
            </w:r>
            <w:r w:rsidRPr="009C5807">
              <w:t>2.5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07C9E3CC" w14:textId="77777777" w:rsidR="008935F7" w:rsidRPr="009C5807" w:rsidRDefault="008935F7" w:rsidP="008935F7">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6734ADE6" w14:textId="77777777" w:rsidR="008935F7" w:rsidRPr="009C5807" w:rsidRDefault="008935F7" w:rsidP="008935F7">
            <w:pPr>
              <w:pStyle w:val="TAC"/>
            </w:pPr>
            <w:r w:rsidRPr="009C5807">
              <w:rPr>
                <w:rFonts w:hint="eastAsia"/>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6B003182" w14:textId="77777777" w:rsidR="008935F7" w:rsidRPr="009C5807" w:rsidRDefault="008935F7" w:rsidP="008935F7">
            <w:pPr>
              <w:pStyle w:val="TAL"/>
              <w:jc w:val="center"/>
              <w:rPr>
                <w:rFonts w:eastAsia="Yu Mincho"/>
                <w:lang w:eastAsia="ja-JP"/>
              </w:rPr>
            </w:pPr>
            <w:r w:rsidRPr="009C5807">
              <w:t xml:space="preserve">Same value as </w:t>
            </w:r>
            <w:r>
              <w:rPr>
                <w:rFonts w:hint="eastAsia"/>
                <w:lang w:eastAsia="zh-CN"/>
              </w:rPr>
              <w:t>CSI</w:t>
            </w:r>
            <w:r w:rsidRPr="009C5807">
              <w:t>_RP in Table B.2.</w:t>
            </w:r>
            <w:r>
              <w:rPr>
                <w:rFonts w:hint="eastAsia"/>
                <w:lang w:eastAsia="zh-CN"/>
              </w:rPr>
              <w:t>8</w:t>
            </w:r>
            <w:r w:rsidRPr="009C5807">
              <w:t>-2,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01784A15" w14:textId="77777777" w:rsidR="008935F7" w:rsidRPr="009C5807" w:rsidRDefault="008935F7" w:rsidP="008935F7">
            <w:pPr>
              <w:pStyle w:val="TAC"/>
            </w:pPr>
            <w:r w:rsidRPr="009C5807">
              <w:t>-50</w:t>
            </w:r>
          </w:p>
        </w:tc>
      </w:tr>
      <w:tr w:rsidR="008935F7" w:rsidRPr="009C5807" w14:paraId="5AA38BEB" w14:textId="77777777" w:rsidTr="008935F7">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4E09AB4" w14:textId="77777777" w:rsidR="008935F7" w:rsidRPr="009C5807" w:rsidRDefault="008935F7" w:rsidP="008935F7">
            <w:pPr>
              <w:pStyle w:val="TAC"/>
            </w:pPr>
            <w:r w:rsidRPr="009C5807">
              <w:sym w:font="Symbol" w:char="F0B1"/>
            </w:r>
            <w:r w:rsidRPr="009C5807">
              <w:t>3.5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679BEFA3" w14:textId="77777777" w:rsidR="008935F7" w:rsidRPr="009C5807" w:rsidRDefault="008935F7" w:rsidP="008935F7">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644530FB" w14:textId="77777777" w:rsidR="008935F7" w:rsidRPr="009C5807" w:rsidRDefault="008935F7" w:rsidP="008935F7">
            <w:pPr>
              <w:pStyle w:val="TAC"/>
            </w:pPr>
            <w:r w:rsidRPr="009C5807">
              <w:rPr>
                <w:rFonts w:eastAsia="Yu Mincho" w:cs="Arial"/>
                <w:lang w:eastAsia="ja-JP"/>
              </w:rPr>
              <w:t>≥-6</w:t>
            </w:r>
          </w:p>
        </w:tc>
        <w:tc>
          <w:tcPr>
            <w:tcW w:w="3161" w:type="dxa"/>
            <w:gridSpan w:val="2"/>
            <w:tcBorders>
              <w:left w:val="single" w:sz="4" w:space="0" w:color="auto"/>
              <w:bottom w:val="single" w:sz="4" w:space="0" w:color="auto"/>
              <w:right w:val="single" w:sz="4" w:space="0" w:color="auto"/>
            </w:tcBorders>
            <w:shd w:val="clear" w:color="auto" w:fill="auto"/>
          </w:tcPr>
          <w:p w14:paraId="4D74F52F" w14:textId="77777777" w:rsidR="008935F7" w:rsidRPr="009C5807" w:rsidRDefault="008935F7" w:rsidP="008935F7">
            <w:pPr>
              <w:keepNext/>
              <w:keepLines/>
              <w:spacing w:after="0"/>
              <w:jc w:val="center"/>
              <w:rPr>
                <w:rFonts w:ascii="Arial" w:hAnsi="Arial"/>
                <w:sz w:val="18"/>
              </w:rPr>
            </w:pPr>
          </w:p>
        </w:tc>
        <w:tc>
          <w:tcPr>
            <w:tcW w:w="2268" w:type="dxa"/>
            <w:tcBorders>
              <w:left w:val="single" w:sz="4" w:space="0" w:color="auto"/>
              <w:bottom w:val="single" w:sz="4" w:space="0" w:color="auto"/>
              <w:right w:val="single" w:sz="4" w:space="0" w:color="auto"/>
            </w:tcBorders>
            <w:shd w:val="clear" w:color="auto" w:fill="auto"/>
          </w:tcPr>
          <w:p w14:paraId="1AEEEA69" w14:textId="77777777" w:rsidR="008935F7" w:rsidRPr="009C5807" w:rsidRDefault="008935F7" w:rsidP="008935F7">
            <w:pPr>
              <w:keepNext/>
              <w:keepLines/>
              <w:spacing w:after="0"/>
              <w:jc w:val="center"/>
              <w:rPr>
                <w:rFonts w:ascii="Arial" w:hAnsi="Arial"/>
                <w:sz w:val="18"/>
              </w:rPr>
            </w:pPr>
          </w:p>
        </w:tc>
      </w:tr>
      <w:tr w:rsidR="008935F7" w:rsidRPr="009C5807" w14:paraId="64625506" w14:textId="77777777" w:rsidTr="008935F7">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F3BA50A" w14:textId="77777777" w:rsidR="008935F7" w:rsidRPr="009C5807" w:rsidRDefault="008935F7" w:rsidP="008935F7">
            <w:pPr>
              <w:pStyle w:val="TAN"/>
            </w:pPr>
            <w:r w:rsidRPr="009C5807">
              <w:t>Note 1:</w:t>
            </w:r>
            <w:r w:rsidRPr="009C5807">
              <w:tab/>
              <w:t>Values based on Refsens and EIS spherical coverage as defined in clauses 7.3.2 and 7.3.4 of TS 38.101-2 [19]. Applicable side condition selected depending on angle of arrival.</w:t>
            </w:r>
          </w:p>
          <w:p w14:paraId="3E375556" w14:textId="77777777" w:rsidR="008935F7" w:rsidRPr="009C5807" w:rsidRDefault="008935F7" w:rsidP="008935F7">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6BD1A2E0" w14:textId="77777777" w:rsidR="008935F7" w:rsidRPr="009C5807" w:rsidRDefault="008935F7" w:rsidP="008935F7">
            <w:pPr>
              <w:pStyle w:val="TAN"/>
            </w:pPr>
            <w:r w:rsidRPr="009C5807">
              <w:t>Note 3:</w:t>
            </w:r>
            <w:r w:rsidRPr="009C5807">
              <w:tab/>
              <w:t xml:space="preserve">In the test cases, the </w:t>
            </w:r>
            <w:r>
              <w:rPr>
                <w:rFonts w:hint="eastAsia"/>
                <w:lang w:eastAsia="zh-CN"/>
              </w:rPr>
              <w:t>CSI-RS</w:t>
            </w:r>
            <w:r w:rsidRPr="009C5807">
              <w:t xml:space="preserve">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05F214DE" w14:textId="77777777" w:rsidR="008935F7" w:rsidRPr="00691C10" w:rsidRDefault="008935F7" w:rsidP="008935F7">
      <w:pPr>
        <w:jc w:val="both"/>
        <w:rPr>
          <w:rFonts w:cs="v4.2.0"/>
        </w:rPr>
      </w:pPr>
    </w:p>
    <w:p w14:paraId="00E5A76E" w14:textId="77777777" w:rsidR="00BE0199" w:rsidRPr="009C5807" w:rsidRDefault="00BE0199" w:rsidP="00BE0199">
      <w:pPr>
        <w:pStyle w:val="Heading3"/>
        <w:rPr>
          <w:lang w:val="en-US"/>
        </w:rPr>
      </w:pPr>
      <w:r w:rsidRPr="009C5807">
        <w:rPr>
          <w:lang w:val="en-US" w:eastAsia="ko-KR"/>
        </w:rPr>
        <w:t>10.1.8</w:t>
      </w:r>
      <w:r>
        <w:rPr>
          <w:lang w:val="en-US" w:eastAsia="ko-KR"/>
        </w:rPr>
        <w:t>B</w:t>
      </w:r>
      <w:r w:rsidRPr="009C5807">
        <w:rPr>
          <w:lang w:val="en-US"/>
        </w:rPr>
        <w:tab/>
        <w:t>Intra-frequency RSRQ accuracy requirements for FR2</w:t>
      </w:r>
      <w:r w:rsidRPr="00F629ED">
        <w:rPr>
          <w:lang w:val="en-US"/>
        </w:rPr>
        <w:t xml:space="preserve"> </w:t>
      </w:r>
      <w:r>
        <w:rPr>
          <w:lang w:val="en-US"/>
        </w:rPr>
        <w:t>for CA/DC Idle Mode Measurements</w:t>
      </w:r>
    </w:p>
    <w:p w14:paraId="0554DE56" w14:textId="77777777" w:rsidR="00BE0199" w:rsidRDefault="00BE0199" w:rsidP="00BE0199">
      <w:pPr>
        <w:pStyle w:val="Heading4"/>
        <w:rPr>
          <w:lang w:val="en-US" w:eastAsia="zh-CN"/>
        </w:rPr>
      </w:pPr>
      <w:r w:rsidRPr="009C5807">
        <w:rPr>
          <w:lang w:val="en-US"/>
        </w:rPr>
        <w:t>10.1.8</w:t>
      </w:r>
      <w:r>
        <w:rPr>
          <w:lang w:val="en-US"/>
        </w:rPr>
        <w:t>B</w:t>
      </w:r>
      <w:r w:rsidRPr="009C5807">
        <w:rPr>
          <w:lang w:val="en-US"/>
        </w:rPr>
        <w:t>.</w:t>
      </w:r>
      <w:r w:rsidRPr="009C5807">
        <w:rPr>
          <w:lang w:val="en-US" w:eastAsia="zh-CN"/>
        </w:rPr>
        <w:t>1</w:t>
      </w:r>
      <w:r w:rsidRPr="009C5807">
        <w:rPr>
          <w:lang w:val="en-US" w:eastAsia="zh-CN"/>
        </w:rPr>
        <w:tab/>
      </w:r>
      <w:r w:rsidRPr="009C5807">
        <w:rPr>
          <w:lang w:val="en-US" w:eastAsia="ko-KR"/>
        </w:rPr>
        <w:t>Intra</w:t>
      </w:r>
      <w:r w:rsidRPr="009C5807">
        <w:rPr>
          <w:lang w:val="en-US"/>
        </w:rPr>
        <w:t xml:space="preserve">-frequency </w:t>
      </w:r>
      <w:r w:rsidRPr="009C5807">
        <w:rPr>
          <w:lang w:val="en-US" w:eastAsia="ko-KR"/>
        </w:rPr>
        <w:t>SS-RSRQ</w:t>
      </w:r>
      <w:r w:rsidRPr="009C5807">
        <w:rPr>
          <w:lang w:val="en-US"/>
        </w:rPr>
        <w:t xml:space="preserve"> accuracy requirements </w:t>
      </w:r>
      <w:r w:rsidRPr="009C5807">
        <w:rPr>
          <w:lang w:val="en-US" w:eastAsia="zh-CN"/>
        </w:rPr>
        <w:t>in FR2</w:t>
      </w:r>
    </w:p>
    <w:p w14:paraId="23E245A3" w14:textId="77777777" w:rsidR="00BE0199" w:rsidRPr="00691C10" w:rsidRDefault="00BE0199" w:rsidP="00BE0199">
      <w:pPr>
        <w:jc w:val="both"/>
        <w:rPr>
          <w:rFonts w:cs="v4.2.0"/>
        </w:rPr>
      </w:pPr>
      <w:r w:rsidRPr="00691C10">
        <w:rPr>
          <w:rFonts w:cs="v4.2.0"/>
        </w:rPr>
        <w:t>The requirements in this clause are applicable for a UE:</w:t>
      </w:r>
    </w:p>
    <w:p w14:paraId="3A964CA0" w14:textId="77777777" w:rsidR="00BE0199" w:rsidRPr="00691C10" w:rsidRDefault="00BE0199" w:rsidP="00BE0199">
      <w:pPr>
        <w:pStyle w:val="B10"/>
        <w:rPr>
          <w:rFonts w:cs="v4.2.0"/>
        </w:rPr>
      </w:pPr>
      <w:r w:rsidRPr="00691C10">
        <w:rPr>
          <w:rFonts w:cs="v4.2.0"/>
        </w:rPr>
        <w:t>-</w:t>
      </w:r>
      <w:r w:rsidRPr="00691C10">
        <w:rPr>
          <w:rFonts w:cs="v4.2.0"/>
        </w:rPr>
        <w:tab/>
        <w:t>in state RRC_IDLE</w:t>
      </w:r>
      <w:r>
        <w:rPr>
          <w:rFonts w:cs="v4.2.0"/>
        </w:rPr>
        <w:t xml:space="preserve"> or RRC INACTIVE</w:t>
      </w:r>
    </w:p>
    <w:p w14:paraId="3306587A" w14:textId="77777777" w:rsidR="00BE0199" w:rsidRPr="00691C10" w:rsidRDefault="00BE0199" w:rsidP="00BE0199">
      <w:pPr>
        <w:pStyle w:val="B10"/>
      </w:pPr>
      <w:r w:rsidRPr="00691C10">
        <w:t>-</w:t>
      </w:r>
      <w:r w:rsidRPr="00691C10">
        <w:tab/>
        <w:t>that is synchronised to the cell that is measured.</w:t>
      </w:r>
    </w:p>
    <w:p w14:paraId="157D00E9" w14:textId="77777777" w:rsidR="00BE0199" w:rsidRPr="00F629ED" w:rsidRDefault="00BE0199" w:rsidP="00F37389">
      <w:r w:rsidRPr="00691C10">
        <w:t xml:space="preserve">The requirements are for absolute accuracy of </w:t>
      </w:r>
      <w:r>
        <w:t>SS-</w:t>
      </w:r>
      <w:r w:rsidRPr="00691C10">
        <w:t>RSR</w:t>
      </w:r>
      <w:r>
        <w:t>Q</w:t>
      </w:r>
      <w:r w:rsidRPr="00691C10">
        <w:t>.</w:t>
      </w:r>
    </w:p>
    <w:p w14:paraId="7798B425" w14:textId="77777777" w:rsidR="00BE0199" w:rsidRPr="009C5807" w:rsidRDefault="00BE0199" w:rsidP="00BE0199">
      <w:pPr>
        <w:pStyle w:val="Heading5"/>
      </w:pPr>
      <w:r w:rsidRPr="009C5807">
        <w:rPr>
          <w:lang w:eastAsia="zh-CN"/>
        </w:rPr>
        <w:t>10.</w:t>
      </w:r>
      <w:r w:rsidRPr="009C5807">
        <w:t>1</w:t>
      </w:r>
      <w:r w:rsidRPr="009C5807">
        <w:rPr>
          <w:lang w:eastAsia="zh-CN"/>
        </w:rPr>
        <w:t>.</w:t>
      </w:r>
      <w:r w:rsidRPr="009C5807">
        <w:t>8</w:t>
      </w:r>
      <w:r>
        <w:t>B</w:t>
      </w:r>
      <w:r w:rsidRPr="009C5807">
        <w:rPr>
          <w:lang w:eastAsia="zh-CN"/>
        </w:rPr>
        <w:t>.</w:t>
      </w:r>
      <w:r w:rsidRPr="009C5807">
        <w:t>1</w:t>
      </w:r>
      <w:r w:rsidRPr="009C5807">
        <w:rPr>
          <w:lang w:eastAsia="zh-CN"/>
        </w:rPr>
        <w:t>.1</w:t>
      </w:r>
      <w:r w:rsidRPr="009C5807">
        <w:tab/>
        <w:t xml:space="preserve">Absolute </w:t>
      </w:r>
      <w:r w:rsidRPr="009C5807">
        <w:rPr>
          <w:lang w:val="en-US" w:eastAsia="ko-KR"/>
        </w:rPr>
        <w:t xml:space="preserve">SS-RSRQ </w:t>
      </w:r>
      <w:r w:rsidRPr="009C5807">
        <w:t>Accuracy in FR2</w:t>
      </w:r>
    </w:p>
    <w:p w14:paraId="3843F6EA" w14:textId="77777777" w:rsidR="00BE0199" w:rsidRPr="009C5807" w:rsidRDefault="00BE0199" w:rsidP="00BE0199">
      <w:pPr>
        <w:rPr>
          <w:i/>
        </w:rPr>
      </w:pPr>
      <w:r w:rsidRPr="009C5807">
        <w:rPr>
          <w:rFonts w:cs="v4.2.0"/>
        </w:rPr>
        <w:t xml:space="preserve">Unless otherwise specified, the requirements </w:t>
      </w:r>
      <w:r w:rsidRPr="009C5807">
        <w:t xml:space="preserve">for </w:t>
      </w:r>
      <w:r w:rsidRPr="009C5807">
        <w:rPr>
          <w:rFonts w:cs="v4.2.0"/>
        </w:rPr>
        <w:t xml:space="preserve">absolute accuracy of </w:t>
      </w:r>
      <w:r w:rsidRPr="009C5807">
        <w:rPr>
          <w:rFonts w:cs="v4.2.0"/>
          <w:lang w:eastAsia="zh-CN"/>
        </w:rPr>
        <w:t>SS-RSRQ</w:t>
      </w:r>
      <w:r w:rsidRPr="009C5807">
        <w:rPr>
          <w:rFonts w:cs="v4.2.0"/>
        </w:rPr>
        <w:t xml:space="preserve"> in this clause apply to the serving cell in FR2.</w:t>
      </w:r>
    </w:p>
    <w:p w14:paraId="22643212" w14:textId="77777777" w:rsidR="00BE0199" w:rsidRPr="009C5807" w:rsidRDefault="00BE0199" w:rsidP="00BE0199">
      <w:pPr>
        <w:rPr>
          <w:rFonts w:cs="v4.2.0"/>
        </w:rPr>
      </w:pPr>
      <w:r w:rsidRPr="009C5807">
        <w:rPr>
          <w:rFonts w:cs="v4.2.0"/>
        </w:rPr>
        <w:t xml:space="preserve">The accuracy requirements in Table </w:t>
      </w:r>
      <w:r w:rsidRPr="009C5807">
        <w:rPr>
          <w:rFonts w:cs="v4.2.0"/>
          <w:lang w:eastAsia="zh-CN"/>
        </w:rPr>
        <w:t>10.1.8</w:t>
      </w:r>
      <w:r>
        <w:rPr>
          <w:rFonts w:cs="v4.2.0"/>
          <w:lang w:eastAsia="zh-CN"/>
        </w:rPr>
        <w:t>B</w:t>
      </w:r>
      <w:r w:rsidRPr="009C5807">
        <w:rPr>
          <w:rFonts w:cs="v4.2.0"/>
          <w:lang w:eastAsia="zh-CN"/>
        </w:rPr>
        <w:t>.1.1</w:t>
      </w:r>
      <w:r w:rsidRPr="009C5807">
        <w:rPr>
          <w:rFonts w:cs="v4.2.0"/>
        </w:rPr>
        <w:t>-1 are valid under the following conditions:</w:t>
      </w:r>
    </w:p>
    <w:p w14:paraId="78E1A5D1" w14:textId="77777777" w:rsidR="00BE0199" w:rsidRPr="009C5807" w:rsidRDefault="00BE0199" w:rsidP="00F37389">
      <w:pPr>
        <w:pStyle w:val="B10"/>
        <w:rPr>
          <w:lang w:eastAsia="zh-CN"/>
        </w:rPr>
      </w:pPr>
      <w:r w:rsidRPr="009C5807">
        <w:t>-</w:t>
      </w:r>
      <w:r w:rsidRPr="009C5807">
        <w:rPr>
          <w:rFonts w:ascii="Arial" w:hAnsi="Arial"/>
          <w:sz w:val="28"/>
          <w:lang w:val="en-US"/>
        </w:rPr>
        <w:tab/>
      </w:r>
      <w:r w:rsidRPr="009C5807">
        <w:t>Conditions defined in clause 7.3 of TS 38.101-2 [19] for reference sensitivity are fulfilled.</w:t>
      </w:r>
    </w:p>
    <w:p w14:paraId="03A3357F" w14:textId="77777777" w:rsidR="00BE0199" w:rsidRPr="009C5807" w:rsidRDefault="00BE0199" w:rsidP="00F37389">
      <w:pPr>
        <w:pStyle w:val="B10"/>
      </w:pPr>
      <w:r w:rsidRPr="009C5807">
        <w:t>-</w:t>
      </w:r>
      <w:r w:rsidRPr="009C5807">
        <w:rPr>
          <w:rFonts w:ascii="Arial" w:hAnsi="Arial"/>
          <w:sz w:val="28"/>
          <w:lang w:val="en-US"/>
        </w:rPr>
        <w:tab/>
      </w:r>
      <w:r w:rsidRPr="009C5807">
        <w:t>Conditions for intra-frequency measurements are fulfilled according to Annex B.</w:t>
      </w:r>
      <w:r>
        <w:t>1</w:t>
      </w:r>
      <w:r w:rsidRPr="009C5807">
        <w:t xml:space="preserve">.2 for a corresponding Band </w:t>
      </w:r>
      <w:r w:rsidRPr="009C5807">
        <w:rPr>
          <w:rFonts w:cs="v4.2.0"/>
          <w:lang w:eastAsia="ko-KR"/>
        </w:rPr>
        <w:t>for each relevant SSB</w:t>
      </w:r>
      <w:r w:rsidRPr="009C5807">
        <w:t xml:space="preserve">. </w:t>
      </w:r>
    </w:p>
    <w:p w14:paraId="2747F246" w14:textId="77777777" w:rsidR="00BE0199" w:rsidRPr="009C5807" w:rsidRDefault="00BE0199" w:rsidP="00F37389">
      <w:pPr>
        <w:pStyle w:val="B10"/>
        <w:rPr>
          <w:lang w:eastAsia="zh-CN"/>
        </w:rPr>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0E26368F" w14:textId="77777777" w:rsidR="00BE0199" w:rsidRPr="009C5807" w:rsidRDefault="00BE0199" w:rsidP="00BE0199">
      <w:pPr>
        <w:pStyle w:val="TH"/>
        <w:rPr>
          <w:lang w:eastAsia="zh-CN"/>
        </w:rPr>
      </w:pPr>
      <w:r w:rsidRPr="009C5807">
        <w:t xml:space="preserve">Table </w:t>
      </w:r>
      <w:r w:rsidRPr="009C5807">
        <w:rPr>
          <w:lang w:eastAsia="zh-CN"/>
        </w:rPr>
        <w:t>10.1.8</w:t>
      </w:r>
      <w:r>
        <w:rPr>
          <w:lang w:eastAsia="zh-CN"/>
        </w:rPr>
        <w:t>B</w:t>
      </w:r>
      <w:r w:rsidRPr="009C5807">
        <w:rPr>
          <w:lang w:eastAsia="zh-CN"/>
        </w:rPr>
        <w:t>.1.1-1</w:t>
      </w:r>
      <w:r w:rsidRPr="009C5807">
        <w:t xml:space="preserve">: </w:t>
      </w:r>
      <w:r w:rsidRPr="009C5807">
        <w:rPr>
          <w:lang w:eastAsia="zh-CN"/>
        </w:rPr>
        <w:t>SS-RSRQ</w:t>
      </w:r>
      <w:r w:rsidRPr="009C5807">
        <w:t xml:space="preserve"> Intra frequency absolute accuracy</w:t>
      </w:r>
      <w:r w:rsidRPr="009C5807">
        <w:rPr>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BE0199" w:rsidRPr="009C5807" w14:paraId="30289D1A" w14:textId="77777777" w:rsidTr="00BE0199">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07B83B" w14:textId="77777777" w:rsidR="00BE0199" w:rsidRPr="009C5807" w:rsidRDefault="00BE0199" w:rsidP="00BE0199">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223396B0" w14:textId="77777777" w:rsidR="00BE0199" w:rsidRPr="009C5807" w:rsidRDefault="00BE0199" w:rsidP="00BE0199">
            <w:pPr>
              <w:pStyle w:val="TAH"/>
            </w:pPr>
            <w:r w:rsidRPr="009C5807">
              <w:t>Conditions</w:t>
            </w:r>
          </w:p>
        </w:tc>
      </w:tr>
      <w:tr w:rsidR="00BE0199" w:rsidRPr="009C5807" w14:paraId="1C11318B" w14:textId="77777777" w:rsidTr="00BE0199">
        <w:trPr>
          <w:jc w:val="center"/>
        </w:trPr>
        <w:tc>
          <w:tcPr>
            <w:tcW w:w="1122" w:type="dxa"/>
            <w:tcBorders>
              <w:left w:val="single" w:sz="4" w:space="0" w:color="auto"/>
              <w:right w:val="single" w:sz="4" w:space="0" w:color="auto"/>
            </w:tcBorders>
            <w:shd w:val="clear" w:color="auto" w:fill="auto"/>
            <w:vAlign w:val="center"/>
          </w:tcPr>
          <w:p w14:paraId="211FCD02" w14:textId="77777777" w:rsidR="00BE0199" w:rsidRPr="009C5807" w:rsidRDefault="00BE0199" w:rsidP="00BE0199">
            <w:pPr>
              <w:pStyle w:val="TAH"/>
            </w:pPr>
            <w:r w:rsidRPr="009C5807">
              <w:t>Normal condition</w:t>
            </w:r>
          </w:p>
        </w:tc>
        <w:tc>
          <w:tcPr>
            <w:tcW w:w="1119" w:type="dxa"/>
            <w:tcBorders>
              <w:left w:val="single" w:sz="4" w:space="0" w:color="auto"/>
              <w:right w:val="single" w:sz="4" w:space="0" w:color="auto"/>
            </w:tcBorders>
            <w:shd w:val="clear" w:color="auto" w:fill="auto"/>
            <w:vAlign w:val="center"/>
          </w:tcPr>
          <w:p w14:paraId="5C08820B" w14:textId="77777777" w:rsidR="00BE0199" w:rsidRPr="009C5807" w:rsidRDefault="00BE0199" w:rsidP="00BE0199">
            <w:pPr>
              <w:pStyle w:val="TAH"/>
            </w:pPr>
            <w:r w:rsidRPr="009C5807">
              <w:t>Extreme condition</w:t>
            </w:r>
          </w:p>
        </w:tc>
        <w:tc>
          <w:tcPr>
            <w:tcW w:w="1119" w:type="dxa"/>
            <w:tcBorders>
              <w:left w:val="single" w:sz="4" w:space="0" w:color="auto"/>
              <w:right w:val="single" w:sz="4" w:space="0" w:color="auto"/>
            </w:tcBorders>
          </w:tcPr>
          <w:p w14:paraId="4D71C24D" w14:textId="77777777" w:rsidR="00BE0199" w:rsidRPr="009C5807" w:rsidRDefault="00BE0199" w:rsidP="00BE0199">
            <w:pPr>
              <w:pStyle w:val="TAH"/>
            </w:pPr>
            <w:r w:rsidRPr="009C5807">
              <w:rPr>
                <w:rFonts w:cs="Arial"/>
              </w:rPr>
              <w:t>SSB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37E9CD" w14:textId="77777777" w:rsidR="00BE0199" w:rsidRPr="009C5807" w:rsidRDefault="00BE0199" w:rsidP="00BE0199">
            <w:pPr>
              <w:pStyle w:val="TAH"/>
            </w:pPr>
            <w:r w:rsidRPr="009C5807">
              <w:t>Io</w:t>
            </w:r>
            <w:r w:rsidRPr="009C5807">
              <w:rPr>
                <w:vertAlign w:val="superscript"/>
              </w:rPr>
              <w:t xml:space="preserve"> Note 2</w:t>
            </w:r>
            <w:r w:rsidRPr="009C5807">
              <w:t xml:space="preserve"> range</w:t>
            </w:r>
          </w:p>
        </w:tc>
      </w:tr>
      <w:tr w:rsidR="00BE0199" w:rsidRPr="009C5807" w14:paraId="5DC4A32A" w14:textId="77777777" w:rsidTr="00BE0199">
        <w:trPr>
          <w:jc w:val="center"/>
        </w:trPr>
        <w:tc>
          <w:tcPr>
            <w:tcW w:w="1122" w:type="dxa"/>
            <w:tcBorders>
              <w:left w:val="single" w:sz="4" w:space="0" w:color="auto"/>
              <w:bottom w:val="single" w:sz="4" w:space="0" w:color="auto"/>
              <w:right w:val="single" w:sz="4" w:space="0" w:color="auto"/>
            </w:tcBorders>
            <w:shd w:val="clear" w:color="auto" w:fill="auto"/>
          </w:tcPr>
          <w:p w14:paraId="5AA673B1" w14:textId="77777777" w:rsidR="00BE0199" w:rsidRPr="009C5807" w:rsidRDefault="00BE0199" w:rsidP="00BE0199">
            <w:pPr>
              <w:pStyle w:val="TAH"/>
            </w:pPr>
          </w:p>
        </w:tc>
        <w:tc>
          <w:tcPr>
            <w:tcW w:w="1119" w:type="dxa"/>
            <w:tcBorders>
              <w:left w:val="single" w:sz="4" w:space="0" w:color="auto"/>
              <w:bottom w:val="single" w:sz="4" w:space="0" w:color="auto"/>
              <w:right w:val="single" w:sz="4" w:space="0" w:color="auto"/>
            </w:tcBorders>
            <w:shd w:val="clear" w:color="auto" w:fill="auto"/>
          </w:tcPr>
          <w:p w14:paraId="3EB1311B" w14:textId="77777777" w:rsidR="00BE0199" w:rsidRPr="009C5807" w:rsidRDefault="00BE0199" w:rsidP="00BE0199">
            <w:pPr>
              <w:pStyle w:val="TAH"/>
            </w:pPr>
          </w:p>
        </w:tc>
        <w:tc>
          <w:tcPr>
            <w:tcW w:w="1119" w:type="dxa"/>
            <w:tcBorders>
              <w:left w:val="single" w:sz="4" w:space="0" w:color="auto"/>
              <w:bottom w:val="single" w:sz="4" w:space="0" w:color="auto"/>
              <w:right w:val="single" w:sz="4" w:space="0" w:color="auto"/>
            </w:tcBorders>
          </w:tcPr>
          <w:p w14:paraId="2EB5B08D" w14:textId="77777777" w:rsidR="00BE0199" w:rsidRPr="009C5807" w:rsidRDefault="00BE0199" w:rsidP="00BE0199">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0B42DF9A" w14:textId="77777777" w:rsidR="00BE0199" w:rsidRPr="009C5807" w:rsidRDefault="00BE0199" w:rsidP="00BE0199">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F88CA46" w14:textId="77777777" w:rsidR="00BE0199" w:rsidRPr="009C5807" w:rsidRDefault="00BE0199" w:rsidP="00BE0199">
            <w:pPr>
              <w:pStyle w:val="TAH"/>
            </w:pPr>
            <w:r w:rsidRPr="009C5807">
              <w:t>Maximum Io</w:t>
            </w:r>
          </w:p>
        </w:tc>
      </w:tr>
      <w:tr w:rsidR="00BE0199" w:rsidRPr="009C5807" w14:paraId="1280C27F" w14:textId="77777777" w:rsidTr="00BE0199">
        <w:trPr>
          <w:jc w:val="center"/>
        </w:trPr>
        <w:tc>
          <w:tcPr>
            <w:tcW w:w="1122" w:type="dxa"/>
            <w:tcBorders>
              <w:top w:val="single" w:sz="4" w:space="0" w:color="auto"/>
              <w:left w:val="single" w:sz="4" w:space="0" w:color="auto"/>
              <w:right w:val="single" w:sz="4" w:space="0" w:color="auto"/>
            </w:tcBorders>
            <w:shd w:val="clear" w:color="auto" w:fill="auto"/>
          </w:tcPr>
          <w:p w14:paraId="5BB463E3" w14:textId="77777777" w:rsidR="00BE0199" w:rsidRPr="009C5807" w:rsidRDefault="00BE0199" w:rsidP="00BE0199">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3268EF4E" w14:textId="77777777" w:rsidR="00BE0199" w:rsidRPr="009C5807" w:rsidRDefault="00BE0199" w:rsidP="00BE0199">
            <w:pPr>
              <w:pStyle w:val="TAH"/>
            </w:pPr>
            <w:r w:rsidRPr="009C5807">
              <w:t>dB</w:t>
            </w:r>
          </w:p>
        </w:tc>
        <w:tc>
          <w:tcPr>
            <w:tcW w:w="1119" w:type="dxa"/>
            <w:tcBorders>
              <w:top w:val="single" w:sz="4" w:space="0" w:color="auto"/>
              <w:left w:val="single" w:sz="4" w:space="0" w:color="auto"/>
              <w:right w:val="single" w:sz="4" w:space="0" w:color="auto"/>
            </w:tcBorders>
          </w:tcPr>
          <w:p w14:paraId="7EB15621" w14:textId="77777777" w:rsidR="00BE0199" w:rsidRPr="009C5807" w:rsidRDefault="00BE0199" w:rsidP="00BE0199">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7442252C" w14:textId="77777777" w:rsidR="00BE0199" w:rsidRPr="009C5807" w:rsidRDefault="00BE0199" w:rsidP="00BE0199">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28990C7C" w14:textId="77777777" w:rsidR="00BE0199" w:rsidRPr="009C5807" w:rsidRDefault="00BE0199" w:rsidP="00BE0199">
            <w:pPr>
              <w:pStyle w:val="TAH"/>
            </w:pPr>
            <w:r w:rsidRPr="009C5807">
              <w:t>dBm/BW</w:t>
            </w:r>
            <w:r w:rsidRPr="009C5807">
              <w:rPr>
                <w:vertAlign w:val="subscript"/>
              </w:rPr>
              <w:t>Channel</w:t>
            </w:r>
          </w:p>
        </w:tc>
      </w:tr>
      <w:tr w:rsidR="00BE0199" w:rsidRPr="009C5807" w14:paraId="57D30B71" w14:textId="77777777" w:rsidTr="00BE0199">
        <w:trPr>
          <w:jc w:val="center"/>
        </w:trPr>
        <w:tc>
          <w:tcPr>
            <w:tcW w:w="1122" w:type="dxa"/>
            <w:tcBorders>
              <w:left w:val="single" w:sz="4" w:space="0" w:color="auto"/>
              <w:bottom w:val="single" w:sz="4" w:space="0" w:color="auto"/>
              <w:right w:val="single" w:sz="4" w:space="0" w:color="auto"/>
            </w:tcBorders>
            <w:shd w:val="clear" w:color="auto" w:fill="auto"/>
          </w:tcPr>
          <w:p w14:paraId="70B2469E" w14:textId="77777777" w:rsidR="00BE0199" w:rsidRPr="009C5807" w:rsidRDefault="00BE0199" w:rsidP="00BE0199">
            <w:pPr>
              <w:pStyle w:val="TAH"/>
            </w:pPr>
          </w:p>
        </w:tc>
        <w:tc>
          <w:tcPr>
            <w:tcW w:w="1119" w:type="dxa"/>
            <w:tcBorders>
              <w:left w:val="single" w:sz="4" w:space="0" w:color="auto"/>
              <w:bottom w:val="single" w:sz="4" w:space="0" w:color="auto"/>
              <w:right w:val="single" w:sz="4" w:space="0" w:color="auto"/>
            </w:tcBorders>
            <w:shd w:val="clear" w:color="auto" w:fill="auto"/>
          </w:tcPr>
          <w:p w14:paraId="024C1C5B" w14:textId="77777777" w:rsidR="00BE0199" w:rsidRPr="009C5807" w:rsidRDefault="00BE0199" w:rsidP="00BE0199">
            <w:pPr>
              <w:pStyle w:val="TAH"/>
            </w:pPr>
          </w:p>
        </w:tc>
        <w:tc>
          <w:tcPr>
            <w:tcW w:w="1119" w:type="dxa"/>
            <w:tcBorders>
              <w:left w:val="single" w:sz="4" w:space="0" w:color="auto"/>
              <w:bottom w:val="single" w:sz="4" w:space="0" w:color="auto"/>
              <w:right w:val="single" w:sz="4" w:space="0" w:color="auto"/>
            </w:tcBorders>
          </w:tcPr>
          <w:p w14:paraId="3CE87366" w14:textId="77777777" w:rsidR="00BE0199" w:rsidRPr="009C5807" w:rsidRDefault="00BE0199" w:rsidP="00BE0199">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3C9FED91" w14:textId="77777777" w:rsidR="00BE0199" w:rsidRPr="009C5807" w:rsidRDefault="00BE0199" w:rsidP="00BE0199">
            <w:pPr>
              <w:pStyle w:val="TAH"/>
            </w:pPr>
            <w:r w:rsidRPr="009C5807">
              <w:t>SCS</w:t>
            </w:r>
            <w:r w:rsidRPr="009C5807">
              <w:rPr>
                <w:vertAlign w:val="subscript"/>
              </w:rPr>
              <w:t>SSB</w:t>
            </w:r>
            <w:r w:rsidRPr="009C5807">
              <w:rPr>
                <w:rFonts w:cs="Arial"/>
              </w:rPr>
              <w:t xml:space="preserve"> = 120kHz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5E69B887" w14:textId="77777777" w:rsidR="00BE0199" w:rsidRPr="009C5807" w:rsidRDefault="00BE0199" w:rsidP="00BE0199">
            <w:pPr>
              <w:pStyle w:val="TAH"/>
            </w:pPr>
            <w:r w:rsidRPr="009C5807">
              <w:t>SCS</w:t>
            </w:r>
            <w:r w:rsidRPr="009C5807">
              <w:rPr>
                <w:vertAlign w:val="subscript"/>
              </w:rPr>
              <w:t>SSB</w:t>
            </w:r>
            <w:r w:rsidRPr="009C5807">
              <w:rPr>
                <w:rFonts w:cs="Arial"/>
              </w:rPr>
              <w:t xml:space="preserve"> = 240kHz</w:t>
            </w:r>
          </w:p>
        </w:tc>
        <w:tc>
          <w:tcPr>
            <w:tcW w:w="2268" w:type="dxa"/>
            <w:tcBorders>
              <w:left w:val="single" w:sz="4" w:space="0" w:color="auto"/>
              <w:bottom w:val="single" w:sz="4" w:space="0" w:color="auto"/>
              <w:right w:val="single" w:sz="4" w:space="0" w:color="auto"/>
            </w:tcBorders>
            <w:shd w:val="clear" w:color="auto" w:fill="auto"/>
          </w:tcPr>
          <w:p w14:paraId="18D8FF9E" w14:textId="77777777" w:rsidR="00BE0199" w:rsidRPr="009C5807" w:rsidRDefault="00BE0199" w:rsidP="00BE0199">
            <w:pPr>
              <w:pStyle w:val="TAH"/>
            </w:pPr>
          </w:p>
        </w:tc>
      </w:tr>
      <w:tr w:rsidR="00BE0199" w:rsidRPr="009C5807" w14:paraId="452438B9" w14:textId="77777777" w:rsidTr="00BE0199">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566ACCFC" w14:textId="77777777" w:rsidR="00BE0199" w:rsidRPr="009C5807" w:rsidRDefault="00BE0199" w:rsidP="00BE0199">
            <w:pPr>
              <w:pStyle w:val="TAC"/>
            </w:pPr>
            <w:r w:rsidRPr="009C5807">
              <w:sym w:font="Symbol" w:char="F0B1"/>
            </w:r>
            <w:r>
              <w:t>4</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5A46BEB4" w14:textId="77777777" w:rsidR="00BE0199" w:rsidRPr="009C5807" w:rsidRDefault="00BE0199" w:rsidP="00BE0199">
            <w:pPr>
              <w:pStyle w:val="TAC"/>
            </w:pPr>
            <w:r w:rsidRPr="009C5807">
              <w:sym w:font="Symbol" w:char="F0B1"/>
            </w:r>
            <w:r>
              <w:t>5.5</w:t>
            </w:r>
          </w:p>
        </w:tc>
        <w:tc>
          <w:tcPr>
            <w:tcW w:w="1119" w:type="dxa"/>
            <w:tcBorders>
              <w:top w:val="single" w:sz="4" w:space="0" w:color="auto"/>
              <w:left w:val="single" w:sz="4" w:space="0" w:color="auto"/>
              <w:bottom w:val="single" w:sz="4" w:space="0" w:color="auto"/>
              <w:right w:val="single" w:sz="4" w:space="0" w:color="auto"/>
            </w:tcBorders>
          </w:tcPr>
          <w:p w14:paraId="670EF374" w14:textId="77777777" w:rsidR="00BE0199" w:rsidRPr="009C5807" w:rsidRDefault="00BE0199" w:rsidP="00BE0199">
            <w:pPr>
              <w:pStyle w:val="TAC"/>
            </w:pPr>
            <w:r w:rsidRPr="009C5807">
              <w:rPr>
                <w:rFonts w:hint="eastAsia"/>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439E90D7" w14:textId="77777777" w:rsidR="00BE0199" w:rsidRPr="009C5807" w:rsidRDefault="00BE0199" w:rsidP="00BE0199">
            <w:pPr>
              <w:pStyle w:val="TAL"/>
              <w:jc w:val="center"/>
              <w:rPr>
                <w:rFonts w:eastAsia="Yu Mincho"/>
                <w:lang w:eastAsia="ja-JP"/>
              </w:rPr>
            </w:pPr>
            <w:r w:rsidRPr="009C5807">
              <w:t>Same value as SSB_RP in Table B.2.2-2,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352770EE" w14:textId="77777777" w:rsidR="00BE0199" w:rsidRPr="009C5807" w:rsidRDefault="00BE0199" w:rsidP="00BE0199">
            <w:pPr>
              <w:pStyle w:val="TAC"/>
            </w:pPr>
            <w:r w:rsidRPr="009C5807">
              <w:t>-50</w:t>
            </w:r>
          </w:p>
        </w:tc>
      </w:tr>
      <w:tr w:rsidR="00BE0199" w:rsidRPr="009C5807" w14:paraId="3CA9BC9F" w14:textId="77777777" w:rsidTr="00BE0199">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19A0D804" w14:textId="77777777" w:rsidR="00BE0199" w:rsidRPr="009C5807" w:rsidRDefault="00BE0199" w:rsidP="00BE0199">
            <w:pPr>
              <w:pStyle w:val="TAC"/>
            </w:pPr>
            <w:r w:rsidRPr="009C5807">
              <w:sym w:font="Symbol" w:char="F0B1"/>
            </w:r>
            <w:r>
              <w:t>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4A8BDDE1" w14:textId="77777777" w:rsidR="00BE0199" w:rsidRPr="009C5807" w:rsidRDefault="00BE0199" w:rsidP="00BE0199">
            <w:pPr>
              <w:pStyle w:val="TAC"/>
            </w:pPr>
            <w:r w:rsidRPr="009C5807">
              <w:sym w:font="Symbol" w:char="F0B1"/>
            </w:r>
            <w:r>
              <w:t>5.5</w:t>
            </w:r>
          </w:p>
        </w:tc>
        <w:tc>
          <w:tcPr>
            <w:tcW w:w="1119" w:type="dxa"/>
            <w:tcBorders>
              <w:top w:val="single" w:sz="4" w:space="0" w:color="auto"/>
              <w:left w:val="single" w:sz="4" w:space="0" w:color="auto"/>
              <w:bottom w:val="single" w:sz="4" w:space="0" w:color="auto"/>
              <w:right w:val="single" w:sz="4" w:space="0" w:color="auto"/>
            </w:tcBorders>
          </w:tcPr>
          <w:p w14:paraId="72CBE511" w14:textId="77777777" w:rsidR="00BE0199" w:rsidRPr="009C5807" w:rsidRDefault="00BE0199" w:rsidP="00BE0199">
            <w:pPr>
              <w:pStyle w:val="TAC"/>
            </w:pPr>
            <w:r w:rsidRPr="009C5807">
              <w:rPr>
                <w:rFonts w:eastAsia="Yu Mincho" w:cs="Arial"/>
                <w:lang w:eastAsia="ja-JP"/>
              </w:rPr>
              <w:t>≥-</w:t>
            </w:r>
            <w:r>
              <w:rPr>
                <w:rFonts w:eastAsia="Yu Mincho" w:cs="Arial"/>
                <w:lang w:eastAsia="ja-JP"/>
              </w:rPr>
              <w:t>4</w:t>
            </w:r>
          </w:p>
        </w:tc>
        <w:tc>
          <w:tcPr>
            <w:tcW w:w="3161" w:type="dxa"/>
            <w:gridSpan w:val="2"/>
            <w:tcBorders>
              <w:left w:val="single" w:sz="4" w:space="0" w:color="auto"/>
              <w:bottom w:val="single" w:sz="4" w:space="0" w:color="auto"/>
              <w:right w:val="single" w:sz="4" w:space="0" w:color="auto"/>
            </w:tcBorders>
            <w:shd w:val="clear" w:color="auto" w:fill="auto"/>
          </w:tcPr>
          <w:p w14:paraId="131F9F56" w14:textId="77777777" w:rsidR="00BE0199" w:rsidRPr="009C5807" w:rsidRDefault="00BE0199" w:rsidP="00BE0199">
            <w:pPr>
              <w:keepNext/>
              <w:keepLines/>
              <w:spacing w:after="0"/>
              <w:jc w:val="center"/>
              <w:rPr>
                <w:rFonts w:ascii="Arial" w:hAnsi="Arial"/>
                <w:sz w:val="18"/>
              </w:rPr>
            </w:pPr>
          </w:p>
        </w:tc>
        <w:tc>
          <w:tcPr>
            <w:tcW w:w="2268" w:type="dxa"/>
            <w:tcBorders>
              <w:left w:val="single" w:sz="4" w:space="0" w:color="auto"/>
              <w:bottom w:val="single" w:sz="4" w:space="0" w:color="auto"/>
              <w:right w:val="single" w:sz="4" w:space="0" w:color="auto"/>
            </w:tcBorders>
            <w:shd w:val="clear" w:color="auto" w:fill="auto"/>
          </w:tcPr>
          <w:p w14:paraId="3F3057EC" w14:textId="77777777" w:rsidR="00BE0199" w:rsidRPr="009C5807" w:rsidRDefault="00BE0199" w:rsidP="00BE0199">
            <w:pPr>
              <w:keepNext/>
              <w:keepLines/>
              <w:spacing w:after="0"/>
              <w:jc w:val="center"/>
              <w:rPr>
                <w:rFonts w:ascii="Arial" w:hAnsi="Arial"/>
                <w:sz w:val="18"/>
              </w:rPr>
            </w:pPr>
          </w:p>
        </w:tc>
      </w:tr>
      <w:tr w:rsidR="00BE0199" w:rsidRPr="009C5807" w14:paraId="487BDE98" w14:textId="77777777" w:rsidTr="00BE0199">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6B5E8F7" w14:textId="77777777" w:rsidR="00BE0199" w:rsidRPr="009C5807" w:rsidRDefault="00BE0199" w:rsidP="00BE0199">
            <w:pPr>
              <w:pStyle w:val="TAN"/>
            </w:pPr>
            <w:r w:rsidRPr="009C5807">
              <w:t>Note 1:</w:t>
            </w:r>
            <w:r w:rsidRPr="009C5807">
              <w:tab/>
              <w:t>Values based on Refsens and EIS spherical coverage as defined in clauses 7.3.2 and 7.3.4 of TS 38.101-2 [19]. Applicable side condition selected depending on angle of arrival.</w:t>
            </w:r>
          </w:p>
          <w:p w14:paraId="1BB73754" w14:textId="77777777" w:rsidR="00BE0199" w:rsidRPr="009C5807" w:rsidRDefault="00BE0199" w:rsidP="00BE0199">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5ED2650F" w14:textId="77777777" w:rsidR="00BE0199" w:rsidRPr="009C5807" w:rsidRDefault="00BE0199" w:rsidP="00BE0199">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53174782" w14:textId="77777777" w:rsidR="00BE0199" w:rsidRDefault="00BE0199" w:rsidP="00BE0199">
      <w:pPr>
        <w:rPr>
          <w:noProof/>
        </w:rPr>
      </w:pPr>
    </w:p>
    <w:p w14:paraId="4941FFCD" w14:textId="3E1747B2" w:rsidR="001F5A79" w:rsidRPr="009C5807" w:rsidRDefault="001F5A79" w:rsidP="00967CF8">
      <w:pPr>
        <w:pStyle w:val="Heading3"/>
        <w:rPr>
          <w:lang w:val="en-US"/>
        </w:rPr>
      </w:pPr>
      <w:r w:rsidRPr="009C5807">
        <w:rPr>
          <w:lang w:val="en-US"/>
        </w:rPr>
        <w:t>1</w:t>
      </w:r>
      <w:r w:rsidR="00967CF8" w:rsidRPr="009C5807">
        <w:rPr>
          <w:lang w:val="en-US"/>
        </w:rPr>
        <w:t>0.1.9</w:t>
      </w:r>
      <w:r w:rsidRPr="009C5807">
        <w:rPr>
          <w:lang w:val="en-US"/>
        </w:rPr>
        <w:tab/>
        <w:t xml:space="preserve">Inter-frequency RSRQ accuracy requirements for </w:t>
      </w:r>
      <w:r w:rsidRPr="009C5807">
        <w:rPr>
          <w:lang w:val="en-US" w:eastAsia="ko-KR"/>
        </w:rPr>
        <w:t>FR1</w:t>
      </w:r>
    </w:p>
    <w:p w14:paraId="03FF389D" w14:textId="7BD9882A" w:rsidR="001F5A79" w:rsidRPr="009C5807" w:rsidRDefault="001F5A79" w:rsidP="00967CF8">
      <w:pPr>
        <w:pStyle w:val="Heading4"/>
        <w:rPr>
          <w:lang w:val="en-US" w:eastAsia="zh-CN"/>
        </w:rPr>
      </w:pPr>
      <w:r w:rsidRPr="009C5807">
        <w:rPr>
          <w:lang w:val="en-US" w:eastAsia="zh-CN"/>
        </w:rPr>
        <w:t>1</w:t>
      </w:r>
      <w:r w:rsidR="00967CF8" w:rsidRPr="009C5807">
        <w:rPr>
          <w:lang w:val="en-US" w:eastAsia="zh-CN"/>
        </w:rPr>
        <w:t>0.1.9.1</w:t>
      </w:r>
      <w:r w:rsidRPr="009C5807">
        <w:rPr>
          <w:lang w:val="en-US" w:eastAsia="zh-CN"/>
        </w:rPr>
        <w:tab/>
      </w:r>
      <w:r w:rsidRPr="009C5807">
        <w:rPr>
          <w:lang w:val="en-US" w:eastAsia="ko-KR"/>
        </w:rPr>
        <w:t>Inter-frequency SS-RSRQ accuracy requirements</w:t>
      </w:r>
      <w:r w:rsidRPr="009C5807">
        <w:rPr>
          <w:lang w:val="en-US" w:eastAsia="zh-CN"/>
        </w:rPr>
        <w:t xml:space="preserve"> in FR1</w:t>
      </w:r>
    </w:p>
    <w:p w14:paraId="712B8A0B" w14:textId="189BAB06" w:rsidR="001F5A79" w:rsidRPr="009C5807" w:rsidRDefault="001F5A79" w:rsidP="00967CF8">
      <w:pPr>
        <w:pStyle w:val="Heading5"/>
        <w:rPr>
          <w:lang w:val="en-US" w:eastAsia="zh-CN"/>
        </w:rPr>
      </w:pPr>
      <w:r w:rsidRPr="009C5807">
        <w:rPr>
          <w:lang w:val="en-US" w:eastAsia="zh-CN"/>
        </w:rPr>
        <w:t>1</w:t>
      </w:r>
      <w:r w:rsidR="00967CF8" w:rsidRPr="009C5807">
        <w:rPr>
          <w:lang w:val="en-US" w:eastAsia="zh-CN"/>
        </w:rPr>
        <w:t>0.1.9.1.1</w:t>
      </w:r>
      <w:r w:rsidRPr="009C5807">
        <w:rPr>
          <w:lang w:val="en-US" w:eastAsia="zh-CN"/>
        </w:rPr>
        <w:tab/>
      </w:r>
      <w:r w:rsidR="00BE0199">
        <w:rPr>
          <w:noProof/>
        </w:rPr>
        <w:t>Absolute</w:t>
      </w:r>
      <w:r w:rsidRPr="009C5807">
        <w:t xml:space="preserve"> Accuracy of </w:t>
      </w:r>
      <w:r w:rsidRPr="009C5807">
        <w:rPr>
          <w:lang w:eastAsia="zh-CN"/>
        </w:rPr>
        <w:t>SS-RSRQ</w:t>
      </w:r>
      <w:r w:rsidRPr="009C5807">
        <w:rPr>
          <w:lang w:val="en-US" w:eastAsia="zh-CN"/>
        </w:rPr>
        <w:t xml:space="preserve"> in FR1</w:t>
      </w:r>
    </w:p>
    <w:p w14:paraId="2E5BABE0" w14:textId="5DCF20F6" w:rsidR="001F5A79" w:rsidRPr="009C5807" w:rsidRDefault="00CA0012" w:rsidP="001F5A79">
      <w:pPr>
        <w:rPr>
          <w:rFonts w:cs="v4.2.0"/>
          <w:i/>
        </w:rPr>
      </w:pPr>
      <w:r w:rsidRPr="009C5807">
        <w:rPr>
          <w:rFonts w:cs="v4.2.0"/>
        </w:rPr>
        <w:t>The requirements for absolute accuracy of</w:t>
      </w:r>
      <w:r w:rsidRPr="009C5807">
        <w:rPr>
          <w:rFonts w:cs="v4.2.0"/>
          <w:lang w:eastAsia="zh-CN"/>
        </w:rPr>
        <w:t xml:space="preserve"> SS-RSRQ</w:t>
      </w:r>
      <w:r w:rsidRPr="009C5807">
        <w:rPr>
          <w:rFonts w:cs="v4.2.0"/>
        </w:rPr>
        <w:t xml:space="preserve"> in this clause apply to a cell on a frequency in FR1 that has different carrier frequency from the serving cell.</w:t>
      </w:r>
      <w:r>
        <w:rPr>
          <w:rFonts w:cs="v4.2.0"/>
        </w:rPr>
        <w:t xml:space="preserve"> </w:t>
      </w:r>
      <w:r>
        <w:rPr>
          <w:lang w:eastAsia="zh-CN"/>
        </w:rPr>
        <w:t xml:space="preserve">The </w:t>
      </w:r>
      <w:r>
        <w:t xml:space="preserve">accuracy requirements in this clause are also applicable when </w:t>
      </w:r>
      <w:r w:rsidRPr="00C55ADC">
        <w:rPr>
          <w:i/>
          <w:iCs/>
          <w:lang w:eastAsia="zh-CN"/>
        </w:rPr>
        <w:t>highSpeedMeasInterFreq-r17</w:t>
      </w:r>
      <w:r>
        <w:rPr>
          <w:i/>
          <w:iCs/>
          <w:lang w:eastAsia="zh-CN"/>
        </w:rPr>
        <w:t xml:space="preserve"> </w:t>
      </w:r>
      <w:r>
        <w:t>is configured.</w:t>
      </w:r>
    </w:p>
    <w:p w14:paraId="0DDD8F2A"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10.1.9.1.1</w:t>
      </w:r>
      <w:r w:rsidRPr="009C5807">
        <w:rPr>
          <w:rFonts w:cs="v4.2.0"/>
        </w:rPr>
        <w:t>-1 are valid under the following conditions:</w:t>
      </w:r>
    </w:p>
    <w:p w14:paraId="07C9E91F" w14:textId="77777777" w:rsidR="001F5A79" w:rsidRPr="009C5807" w:rsidRDefault="001F5A79" w:rsidP="001F5A79">
      <w:pPr>
        <w:ind w:left="568" w:hanging="284"/>
        <w:rPr>
          <w:lang w:eastAsia="zh-CN"/>
        </w:rPr>
      </w:pPr>
      <w:r w:rsidRPr="009C5807">
        <w:t>-</w:t>
      </w:r>
      <w:r w:rsidRPr="009C5807">
        <w:rPr>
          <w:rFonts w:ascii="Arial" w:hAnsi="Arial"/>
          <w:sz w:val="28"/>
          <w:lang w:val="en-US"/>
        </w:rPr>
        <w:tab/>
      </w:r>
      <w:r w:rsidRPr="009C5807">
        <w:t>Conditions defined in clause 7.3 of TS 38.101-1 [18] for reference sensitivity are fulfilled.</w:t>
      </w:r>
    </w:p>
    <w:p w14:paraId="6800F9D7" w14:textId="77777777" w:rsidR="001F5A79" w:rsidRPr="009C5807" w:rsidRDefault="001F5A79" w:rsidP="001F5A79">
      <w:pPr>
        <w:ind w:left="568" w:hanging="284"/>
        <w:rPr>
          <w:lang w:eastAsia="zh-CN"/>
        </w:rPr>
      </w:pPr>
      <w:r w:rsidRPr="009C5807">
        <w:t>-</w:t>
      </w:r>
      <w:r w:rsidRPr="009C5807">
        <w:rPr>
          <w:rFonts w:ascii="Arial" w:hAnsi="Arial"/>
          <w:sz w:val="28"/>
          <w:lang w:val="en-US"/>
        </w:rPr>
        <w:tab/>
      </w:r>
      <w:r w:rsidRPr="009C5807">
        <w:t xml:space="preserve">Conditions for inter-frequency measurements are fulfilled according to Annex B.2.3 for a corresponding Band </w:t>
      </w:r>
      <w:r w:rsidRPr="009C5807">
        <w:rPr>
          <w:rFonts w:cs="v4.2.0"/>
          <w:lang w:eastAsia="ko-KR"/>
        </w:rPr>
        <w:t>for each relevant SSB</w:t>
      </w:r>
      <w:r w:rsidRPr="009C5807">
        <w:t>.</w:t>
      </w:r>
    </w:p>
    <w:p w14:paraId="087D9410" w14:textId="77777777" w:rsidR="001F5A79" w:rsidRPr="009C5807" w:rsidRDefault="001F5A79" w:rsidP="00D638F6">
      <w:pPr>
        <w:pStyle w:val="TAH"/>
        <w:rPr>
          <w:lang w:eastAsia="zh-CN"/>
        </w:rPr>
      </w:pPr>
      <w:r w:rsidRPr="009C5807">
        <w:t xml:space="preserve">Table </w:t>
      </w:r>
      <w:r w:rsidRPr="009C5807">
        <w:rPr>
          <w:lang w:eastAsia="zh-CN"/>
        </w:rPr>
        <w:t>10.1.9.1.1</w:t>
      </w:r>
      <w:r w:rsidRPr="009C5807">
        <w:t xml:space="preserve">-1: </w:t>
      </w:r>
      <w:r w:rsidRPr="009C5807">
        <w:rPr>
          <w:lang w:eastAsia="zh-CN"/>
        </w:rPr>
        <w:t>SS-RSRQ</w:t>
      </w:r>
      <w:r w:rsidRPr="009C5807">
        <w:t xml:space="preserve"> Inter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1F5A79" w:rsidRPr="009C5807" w14:paraId="64AEC1CF" w14:textId="77777777" w:rsidTr="00DF3064">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54A5CCF4" w14:textId="77777777" w:rsidR="001F5A79" w:rsidRPr="009C5807" w:rsidRDefault="001F5A79" w:rsidP="00BF46B4">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77B48DBF" w14:textId="77777777" w:rsidR="001F5A79" w:rsidRPr="009C5807" w:rsidRDefault="001F5A79" w:rsidP="00BF46B4">
            <w:pPr>
              <w:pStyle w:val="TAH"/>
            </w:pPr>
            <w:r w:rsidRPr="009C5807">
              <w:t>Conditions</w:t>
            </w:r>
          </w:p>
        </w:tc>
      </w:tr>
      <w:tr w:rsidR="001F5A79" w:rsidRPr="009C5807" w14:paraId="151CC09D" w14:textId="77777777" w:rsidTr="00DA6941">
        <w:trPr>
          <w:jc w:val="center"/>
        </w:trPr>
        <w:tc>
          <w:tcPr>
            <w:tcW w:w="1035" w:type="dxa"/>
            <w:tcBorders>
              <w:top w:val="single" w:sz="6" w:space="0" w:color="auto"/>
              <w:left w:val="single" w:sz="4" w:space="0" w:color="auto"/>
              <w:right w:val="single" w:sz="6" w:space="0" w:color="auto"/>
            </w:tcBorders>
            <w:shd w:val="clear" w:color="auto" w:fill="auto"/>
            <w:vAlign w:val="center"/>
          </w:tcPr>
          <w:p w14:paraId="1F4E11EB" w14:textId="77777777" w:rsidR="001F5A79" w:rsidRPr="009C5807" w:rsidRDefault="001F5A79" w:rsidP="00BF46B4">
            <w:pPr>
              <w:pStyle w:val="TAH"/>
            </w:pPr>
            <w:r w:rsidRPr="009C5807">
              <w:t>Normal condition</w:t>
            </w:r>
          </w:p>
        </w:tc>
        <w:tc>
          <w:tcPr>
            <w:tcW w:w="1047" w:type="dxa"/>
            <w:tcBorders>
              <w:top w:val="single" w:sz="6" w:space="0" w:color="auto"/>
              <w:left w:val="single" w:sz="6" w:space="0" w:color="auto"/>
              <w:right w:val="single" w:sz="6" w:space="0" w:color="auto"/>
            </w:tcBorders>
            <w:shd w:val="clear" w:color="auto" w:fill="auto"/>
            <w:vAlign w:val="center"/>
          </w:tcPr>
          <w:p w14:paraId="1112378B" w14:textId="77777777" w:rsidR="001F5A79" w:rsidRPr="009C5807" w:rsidRDefault="001F5A79" w:rsidP="00BF46B4">
            <w:pPr>
              <w:pStyle w:val="TAH"/>
            </w:pPr>
            <w:r w:rsidRPr="009C5807">
              <w:t>Extreme condition</w:t>
            </w:r>
          </w:p>
        </w:tc>
        <w:tc>
          <w:tcPr>
            <w:tcW w:w="802" w:type="dxa"/>
            <w:tcBorders>
              <w:top w:val="single" w:sz="6" w:space="0" w:color="auto"/>
              <w:left w:val="single" w:sz="6" w:space="0" w:color="auto"/>
              <w:right w:val="single" w:sz="6" w:space="0" w:color="auto"/>
            </w:tcBorders>
            <w:shd w:val="clear" w:color="auto" w:fill="auto"/>
            <w:vAlign w:val="center"/>
          </w:tcPr>
          <w:p w14:paraId="02E99ACE" w14:textId="77777777" w:rsidR="001F5A79" w:rsidRPr="009C5807" w:rsidRDefault="001F5A79" w:rsidP="00BF46B4">
            <w:pPr>
              <w:pStyle w:val="TAH"/>
            </w:pPr>
            <w:r w:rsidRPr="009C5807">
              <w:t>SSB Ês/Iot</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6E47301" w14:textId="77777777" w:rsidR="001F5A79" w:rsidRPr="009C5807" w:rsidRDefault="001F5A79" w:rsidP="00BF46B4">
            <w:pPr>
              <w:pStyle w:val="TAH"/>
            </w:pPr>
            <w:r w:rsidRPr="009C5807">
              <w:t>Io</w:t>
            </w:r>
            <w:r w:rsidRPr="009C5807">
              <w:rPr>
                <w:vertAlign w:val="superscript"/>
                <w:lang w:eastAsia="zh-CN"/>
              </w:rPr>
              <w:t xml:space="preserve"> Note 1</w:t>
            </w:r>
            <w:r w:rsidRPr="009C5807">
              <w:t xml:space="preserve"> range</w:t>
            </w:r>
          </w:p>
        </w:tc>
      </w:tr>
      <w:tr w:rsidR="001F5A79" w:rsidRPr="009C5807" w14:paraId="0DD44283" w14:textId="77777777" w:rsidTr="00DA6941">
        <w:trPr>
          <w:jc w:val="center"/>
        </w:trPr>
        <w:tc>
          <w:tcPr>
            <w:tcW w:w="1035" w:type="dxa"/>
            <w:tcBorders>
              <w:left w:val="single" w:sz="4" w:space="0" w:color="auto"/>
              <w:bottom w:val="single" w:sz="6" w:space="0" w:color="auto"/>
              <w:right w:val="single" w:sz="6" w:space="0" w:color="auto"/>
            </w:tcBorders>
            <w:shd w:val="clear" w:color="auto" w:fill="auto"/>
            <w:vAlign w:val="center"/>
          </w:tcPr>
          <w:p w14:paraId="0B1609F3" w14:textId="77777777" w:rsidR="001F5A79" w:rsidRPr="009C5807" w:rsidRDefault="001F5A79" w:rsidP="00BF46B4">
            <w:pPr>
              <w:pStyle w:val="TAH"/>
            </w:pPr>
          </w:p>
        </w:tc>
        <w:tc>
          <w:tcPr>
            <w:tcW w:w="1047" w:type="dxa"/>
            <w:tcBorders>
              <w:left w:val="single" w:sz="6" w:space="0" w:color="auto"/>
              <w:bottom w:val="single" w:sz="6" w:space="0" w:color="auto"/>
              <w:right w:val="single" w:sz="6" w:space="0" w:color="auto"/>
            </w:tcBorders>
            <w:shd w:val="clear" w:color="auto" w:fill="auto"/>
            <w:vAlign w:val="center"/>
          </w:tcPr>
          <w:p w14:paraId="67886A9E" w14:textId="77777777" w:rsidR="001F5A79" w:rsidRPr="009C5807" w:rsidRDefault="001F5A79" w:rsidP="00BF46B4">
            <w:pPr>
              <w:pStyle w:val="TAH"/>
            </w:pPr>
          </w:p>
        </w:tc>
        <w:tc>
          <w:tcPr>
            <w:tcW w:w="802" w:type="dxa"/>
            <w:tcBorders>
              <w:left w:val="single" w:sz="6" w:space="0" w:color="auto"/>
              <w:bottom w:val="single" w:sz="6" w:space="0" w:color="auto"/>
              <w:right w:val="single" w:sz="6" w:space="0" w:color="auto"/>
            </w:tcBorders>
            <w:shd w:val="clear" w:color="auto" w:fill="auto"/>
            <w:vAlign w:val="center"/>
          </w:tcPr>
          <w:p w14:paraId="776F2A34" w14:textId="77777777" w:rsidR="001F5A79" w:rsidRPr="009C5807" w:rsidRDefault="001F5A79" w:rsidP="00DA6941">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vAlign w:val="center"/>
          </w:tcPr>
          <w:p w14:paraId="7EB301ED" w14:textId="77777777" w:rsidR="001F5A79" w:rsidRPr="009C5807" w:rsidRDefault="001F5A79" w:rsidP="00BF46B4">
            <w:pPr>
              <w:pStyle w:val="TAH"/>
            </w:pPr>
            <w:r w:rsidRPr="009C5807">
              <w:t>NR operating band groups</w:t>
            </w:r>
            <w:r w:rsidRPr="009C5807">
              <w:rPr>
                <w:vertAlign w:val="superscript"/>
              </w:rPr>
              <w:t xml:space="preserve"> </w:t>
            </w:r>
            <w:r w:rsidRPr="009C5807">
              <w:rPr>
                <w:vertAlign w:val="superscript"/>
                <w:lang w:eastAsia="zh-CN"/>
              </w:rPr>
              <w:t>Note 3</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345DD6D0" w14:textId="77777777" w:rsidR="001F5A79" w:rsidRPr="009C5807" w:rsidRDefault="001F5A79" w:rsidP="00BF46B4">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F06AAD4" w14:textId="77777777" w:rsidR="001F5A79" w:rsidRPr="009C5807" w:rsidRDefault="001F5A79" w:rsidP="00BF46B4">
            <w:pPr>
              <w:pStyle w:val="TAH"/>
            </w:pPr>
            <w:r w:rsidRPr="009C5807">
              <w:t>Maximum Io</w:t>
            </w:r>
          </w:p>
        </w:tc>
      </w:tr>
      <w:tr w:rsidR="001F5A79" w:rsidRPr="009C5807" w14:paraId="66C653EC" w14:textId="77777777" w:rsidTr="00485F6E">
        <w:trPr>
          <w:trHeight w:val="308"/>
          <w:jc w:val="center"/>
        </w:trPr>
        <w:tc>
          <w:tcPr>
            <w:tcW w:w="1035" w:type="dxa"/>
            <w:tcBorders>
              <w:top w:val="single" w:sz="6" w:space="0" w:color="auto"/>
              <w:left w:val="single" w:sz="4" w:space="0" w:color="auto"/>
              <w:right w:val="single" w:sz="6" w:space="0" w:color="auto"/>
            </w:tcBorders>
            <w:shd w:val="clear" w:color="auto" w:fill="auto"/>
          </w:tcPr>
          <w:p w14:paraId="2308579C" w14:textId="77777777" w:rsidR="001F5A79" w:rsidRPr="009C5807" w:rsidRDefault="001F5A79" w:rsidP="00485F6E">
            <w:pPr>
              <w:pStyle w:val="TAH"/>
            </w:pPr>
            <w:r w:rsidRPr="009C5807">
              <w:t>dB</w:t>
            </w:r>
          </w:p>
        </w:tc>
        <w:tc>
          <w:tcPr>
            <w:tcW w:w="1047" w:type="dxa"/>
            <w:tcBorders>
              <w:top w:val="single" w:sz="6" w:space="0" w:color="auto"/>
              <w:left w:val="single" w:sz="6" w:space="0" w:color="auto"/>
              <w:right w:val="single" w:sz="6" w:space="0" w:color="auto"/>
            </w:tcBorders>
            <w:shd w:val="clear" w:color="auto" w:fill="auto"/>
          </w:tcPr>
          <w:p w14:paraId="1215C21C" w14:textId="77777777" w:rsidR="001F5A79" w:rsidRPr="009C5807" w:rsidRDefault="001F5A79" w:rsidP="00485F6E">
            <w:pPr>
              <w:pStyle w:val="TAH"/>
            </w:pPr>
            <w:r w:rsidRPr="009C5807">
              <w:t>dB</w:t>
            </w:r>
          </w:p>
        </w:tc>
        <w:tc>
          <w:tcPr>
            <w:tcW w:w="802" w:type="dxa"/>
            <w:tcBorders>
              <w:top w:val="single" w:sz="6" w:space="0" w:color="auto"/>
              <w:left w:val="single" w:sz="6" w:space="0" w:color="auto"/>
              <w:right w:val="single" w:sz="6" w:space="0" w:color="auto"/>
            </w:tcBorders>
            <w:shd w:val="clear" w:color="auto" w:fill="auto"/>
          </w:tcPr>
          <w:p w14:paraId="67C455C1" w14:textId="77777777" w:rsidR="001F5A79" w:rsidRPr="009C5807" w:rsidRDefault="001F5A79" w:rsidP="00485F6E">
            <w:pPr>
              <w:pStyle w:val="TAH"/>
            </w:pPr>
            <w:r w:rsidRPr="009C5807">
              <w:t>dB</w:t>
            </w:r>
          </w:p>
        </w:tc>
        <w:tc>
          <w:tcPr>
            <w:tcW w:w="2298" w:type="dxa"/>
            <w:tcBorders>
              <w:top w:val="single" w:sz="6" w:space="0" w:color="auto"/>
              <w:left w:val="single" w:sz="6" w:space="0" w:color="auto"/>
              <w:right w:val="single" w:sz="4" w:space="0" w:color="auto"/>
            </w:tcBorders>
            <w:shd w:val="clear" w:color="auto" w:fill="auto"/>
          </w:tcPr>
          <w:p w14:paraId="721AC60B" w14:textId="77777777" w:rsidR="001F5A79" w:rsidRPr="009C5807" w:rsidRDefault="001F5A79" w:rsidP="00485F6E">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082C9AA5" w14:textId="77777777" w:rsidR="001F5A79" w:rsidRPr="009C5807" w:rsidRDefault="001F5A79" w:rsidP="00485F6E">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32356F27" w14:textId="77777777" w:rsidR="001F5A79" w:rsidRPr="009C5807" w:rsidRDefault="001F5A79" w:rsidP="00485F6E">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46F60262" w14:textId="77777777" w:rsidR="001F5A79" w:rsidRPr="009C5807" w:rsidRDefault="001F5A79" w:rsidP="00485F6E">
            <w:pPr>
              <w:pStyle w:val="TAH"/>
            </w:pPr>
            <w:r w:rsidRPr="009C5807">
              <w:t>dBm/BW</w:t>
            </w:r>
            <w:r w:rsidRPr="009C5807">
              <w:rPr>
                <w:vertAlign w:val="subscript"/>
              </w:rPr>
              <w:t>Channel</w:t>
            </w:r>
          </w:p>
        </w:tc>
      </w:tr>
      <w:tr w:rsidR="001F5A79" w:rsidRPr="009C5807" w14:paraId="1017EAD0" w14:textId="77777777" w:rsidTr="00485F6E">
        <w:trPr>
          <w:trHeight w:val="307"/>
          <w:jc w:val="center"/>
        </w:trPr>
        <w:tc>
          <w:tcPr>
            <w:tcW w:w="1035" w:type="dxa"/>
            <w:tcBorders>
              <w:left w:val="single" w:sz="4" w:space="0" w:color="auto"/>
              <w:bottom w:val="single" w:sz="6" w:space="0" w:color="auto"/>
              <w:right w:val="single" w:sz="6" w:space="0" w:color="auto"/>
            </w:tcBorders>
            <w:shd w:val="clear" w:color="auto" w:fill="auto"/>
          </w:tcPr>
          <w:p w14:paraId="618E7B45" w14:textId="77777777" w:rsidR="001F5A79" w:rsidRPr="009C5807" w:rsidRDefault="001F5A79" w:rsidP="00485F6E">
            <w:pPr>
              <w:pStyle w:val="TAH"/>
            </w:pPr>
          </w:p>
        </w:tc>
        <w:tc>
          <w:tcPr>
            <w:tcW w:w="1047" w:type="dxa"/>
            <w:tcBorders>
              <w:left w:val="single" w:sz="6" w:space="0" w:color="auto"/>
              <w:bottom w:val="single" w:sz="6" w:space="0" w:color="auto"/>
              <w:right w:val="single" w:sz="6" w:space="0" w:color="auto"/>
            </w:tcBorders>
            <w:shd w:val="clear" w:color="auto" w:fill="auto"/>
          </w:tcPr>
          <w:p w14:paraId="321BED8B" w14:textId="77777777" w:rsidR="001F5A79" w:rsidRPr="009C5807" w:rsidRDefault="001F5A79" w:rsidP="00485F6E">
            <w:pPr>
              <w:pStyle w:val="TAH"/>
            </w:pPr>
          </w:p>
        </w:tc>
        <w:tc>
          <w:tcPr>
            <w:tcW w:w="802" w:type="dxa"/>
            <w:tcBorders>
              <w:left w:val="single" w:sz="6" w:space="0" w:color="auto"/>
              <w:bottom w:val="single" w:sz="6" w:space="0" w:color="auto"/>
              <w:right w:val="single" w:sz="6" w:space="0" w:color="auto"/>
            </w:tcBorders>
            <w:shd w:val="clear" w:color="auto" w:fill="auto"/>
          </w:tcPr>
          <w:p w14:paraId="7474C16A" w14:textId="77777777" w:rsidR="001F5A79" w:rsidRPr="009C5807" w:rsidRDefault="001F5A79" w:rsidP="00485F6E">
            <w:pPr>
              <w:pStyle w:val="TAH"/>
            </w:pPr>
          </w:p>
        </w:tc>
        <w:tc>
          <w:tcPr>
            <w:tcW w:w="2298" w:type="dxa"/>
            <w:tcBorders>
              <w:left w:val="single" w:sz="6" w:space="0" w:color="auto"/>
              <w:bottom w:val="single" w:sz="6" w:space="0" w:color="auto"/>
              <w:right w:val="single" w:sz="4" w:space="0" w:color="auto"/>
            </w:tcBorders>
            <w:shd w:val="clear" w:color="auto" w:fill="auto"/>
          </w:tcPr>
          <w:p w14:paraId="3E2CEA22" w14:textId="77777777" w:rsidR="001F5A79" w:rsidRPr="009C5807" w:rsidRDefault="001F5A79" w:rsidP="00485F6E">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C1EE01C" w14:textId="77777777" w:rsidR="001F5A79" w:rsidRPr="009C5807" w:rsidRDefault="001F5A79" w:rsidP="00485F6E">
            <w:pPr>
              <w:pStyle w:val="TAH"/>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7887022" w14:textId="77777777" w:rsidR="001F5A79" w:rsidRPr="009C5807" w:rsidRDefault="001F5A79" w:rsidP="00485F6E">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384299A6" w14:textId="77777777" w:rsidR="001F5A79" w:rsidRPr="009C5807" w:rsidRDefault="001F5A79" w:rsidP="00485F6E">
            <w:pPr>
              <w:pStyle w:val="TAH"/>
            </w:pPr>
          </w:p>
        </w:tc>
        <w:tc>
          <w:tcPr>
            <w:tcW w:w="1440" w:type="dxa"/>
            <w:tcBorders>
              <w:left w:val="single" w:sz="6" w:space="0" w:color="auto"/>
              <w:bottom w:val="single" w:sz="6" w:space="0" w:color="auto"/>
              <w:right w:val="single" w:sz="4" w:space="0" w:color="auto"/>
            </w:tcBorders>
            <w:shd w:val="clear" w:color="auto" w:fill="auto"/>
          </w:tcPr>
          <w:p w14:paraId="6E0D5237" w14:textId="77777777" w:rsidR="001F5A79" w:rsidRPr="009C5807" w:rsidRDefault="001F5A79" w:rsidP="00485F6E">
            <w:pPr>
              <w:pStyle w:val="TAH"/>
            </w:pPr>
          </w:p>
        </w:tc>
      </w:tr>
      <w:tr w:rsidR="0058457E" w:rsidRPr="009C5807" w14:paraId="67CD9CD0" w14:textId="77777777" w:rsidTr="00485F6E">
        <w:trPr>
          <w:jc w:val="center"/>
        </w:trPr>
        <w:tc>
          <w:tcPr>
            <w:tcW w:w="1035" w:type="dxa"/>
            <w:tcBorders>
              <w:top w:val="single" w:sz="6" w:space="0" w:color="auto"/>
              <w:left w:val="single" w:sz="4" w:space="0" w:color="auto"/>
              <w:right w:val="single" w:sz="6" w:space="0" w:color="auto"/>
            </w:tcBorders>
            <w:shd w:val="clear" w:color="auto" w:fill="auto"/>
          </w:tcPr>
          <w:p w14:paraId="0097F785" w14:textId="532B2FBA" w:rsidR="0058457E" w:rsidRPr="009C5807" w:rsidRDefault="0058457E" w:rsidP="00485F6E">
            <w:pPr>
              <w:pStyle w:val="TAC"/>
            </w:pPr>
          </w:p>
        </w:tc>
        <w:tc>
          <w:tcPr>
            <w:tcW w:w="1047" w:type="dxa"/>
            <w:tcBorders>
              <w:top w:val="single" w:sz="6" w:space="0" w:color="auto"/>
              <w:left w:val="single" w:sz="6" w:space="0" w:color="auto"/>
              <w:right w:val="single" w:sz="6" w:space="0" w:color="auto"/>
            </w:tcBorders>
            <w:shd w:val="clear" w:color="auto" w:fill="auto"/>
          </w:tcPr>
          <w:p w14:paraId="60FF6781" w14:textId="59F62661" w:rsidR="0058457E" w:rsidRPr="009C5807" w:rsidRDefault="0058457E" w:rsidP="00485F6E">
            <w:pPr>
              <w:pStyle w:val="TAC"/>
            </w:pPr>
          </w:p>
        </w:tc>
        <w:tc>
          <w:tcPr>
            <w:tcW w:w="802" w:type="dxa"/>
            <w:tcBorders>
              <w:top w:val="single" w:sz="6" w:space="0" w:color="auto"/>
              <w:left w:val="single" w:sz="6" w:space="0" w:color="auto"/>
              <w:right w:val="single" w:sz="6" w:space="0" w:color="auto"/>
            </w:tcBorders>
            <w:shd w:val="clear" w:color="auto" w:fill="auto"/>
          </w:tcPr>
          <w:p w14:paraId="4132B6ED" w14:textId="1F8C0706"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1A07917" w14:textId="77777777" w:rsidR="0058457E" w:rsidRPr="009C5807" w:rsidRDefault="0058457E" w:rsidP="00485F6E">
            <w:pPr>
              <w:pStyle w:val="TAC"/>
            </w:pPr>
            <w:r w:rsidRPr="009C5807">
              <w:t>NR_FDD_FR1_A, NR_TDD_FR1_A,</w:t>
            </w:r>
          </w:p>
          <w:p w14:paraId="14523CC7" w14:textId="77777777" w:rsidR="0058457E" w:rsidRPr="009C5807" w:rsidRDefault="0058457E" w:rsidP="00485F6E">
            <w:pPr>
              <w:pStyle w:val="TAC"/>
            </w:pPr>
            <w:r w:rsidRPr="009C5807">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1F25478" w14:textId="77777777" w:rsidR="0058457E" w:rsidRPr="009C5807" w:rsidRDefault="0058457E" w:rsidP="00485F6E">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89F3F95" w14:textId="77777777" w:rsidR="0058457E" w:rsidRPr="009C5807" w:rsidRDefault="0058457E" w:rsidP="00485F6E">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057159D"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7E503C0" w14:textId="77777777" w:rsidR="0058457E" w:rsidRPr="009C5807" w:rsidRDefault="0058457E" w:rsidP="00485F6E">
            <w:pPr>
              <w:pStyle w:val="TAC"/>
            </w:pPr>
            <w:r w:rsidRPr="009C5807">
              <w:t>-50</w:t>
            </w:r>
          </w:p>
        </w:tc>
      </w:tr>
      <w:tr w:rsidR="0058457E" w:rsidRPr="009C5807" w14:paraId="79CD5D72" w14:textId="77777777" w:rsidTr="00485F6E">
        <w:trPr>
          <w:jc w:val="center"/>
        </w:trPr>
        <w:tc>
          <w:tcPr>
            <w:tcW w:w="1035" w:type="dxa"/>
            <w:tcBorders>
              <w:left w:val="single" w:sz="4" w:space="0" w:color="auto"/>
              <w:right w:val="single" w:sz="6" w:space="0" w:color="auto"/>
            </w:tcBorders>
            <w:shd w:val="clear" w:color="auto" w:fill="auto"/>
          </w:tcPr>
          <w:p w14:paraId="5605BD04"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35311A0C"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37C0FECC"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1FBBA0B" w14:textId="77777777" w:rsidR="0058457E" w:rsidRPr="009C5807" w:rsidRDefault="0058457E" w:rsidP="00485F6E">
            <w:pPr>
              <w:pStyle w:val="TAC"/>
            </w:pPr>
            <w:r w:rsidRPr="009C5807">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11CFAFC" w14:textId="77777777" w:rsidR="0058457E" w:rsidRPr="009C5807" w:rsidRDefault="0058457E" w:rsidP="00485F6E">
            <w:pPr>
              <w:pStyle w:val="TAC"/>
            </w:pPr>
            <w:r w:rsidRPr="009C5807">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FD557DC" w14:textId="77777777" w:rsidR="0058457E" w:rsidRPr="009C5807" w:rsidRDefault="0058457E" w:rsidP="00485F6E">
            <w:pPr>
              <w:pStyle w:val="TAC"/>
              <w:rPr>
                <w:rFonts w:cs="Arial"/>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6987A3F" w14:textId="77777777" w:rsidR="0058457E" w:rsidRPr="009C5807" w:rsidRDefault="0058457E" w:rsidP="00485F6E">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296AF3B" w14:textId="77777777" w:rsidR="0058457E" w:rsidRPr="009C5807" w:rsidRDefault="0058457E" w:rsidP="00485F6E">
            <w:pPr>
              <w:pStyle w:val="TAC"/>
            </w:pPr>
            <w:r w:rsidRPr="009C5807">
              <w:t>-50</w:t>
            </w:r>
          </w:p>
        </w:tc>
      </w:tr>
      <w:tr w:rsidR="0058457E" w:rsidRPr="009C5807" w14:paraId="71ED1C02" w14:textId="77777777" w:rsidTr="00485F6E">
        <w:trPr>
          <w:jc w:val="center"/>
        </w:trPr>
        <w:tc>
          <w:tcPr>
            <w:tcW w:w="1035" w:type="dxa"/>
            <w:tcBorders>
              <w:left w:val="single" w:sz="4" w:space="0" w:color="auto"/>
              <w:right w:val="single" w:sz="6" w:space="0" w:color="auto"/>
            </w:tcBorders>
            <w:shd w:val="clear" w:color="auto" w:fill="auto"/>
          </w:tcPr>
          <w:p w14:paraId="5686D7A6"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0E0BD140"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766744D6"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2C8B59B" w14:textId="77777777" w:rsidR="0058457E" w:rsidRPr="009C5807" w:rsidRDefault="0058457E" w:rsidP="00485F6E">
            <w:pPr>
              <w:pStyle w:val="TAC"/>
            </w:pPr>
            <w:r w:rsidRPr="009C5807">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8EC02DB" w14:textId="77777777" w:rsidR="0058457E" w:rsidRPr="009C5807" w:rsidRDefault="0058457E" w:rsidP="00485F6E">
            <w:pPr>
              <w:pStyle w:val="TAC"/>
            </w:pPr>
            <w:r w:rsidRPr="009C5807">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13655AA" w14:textId="77777777" w:rsidR="0058457E" w:rsidRPr="009C5807" w:rsidRDefault="0058457E" w:rsidP="00485F6E">
            <w:pPr>
              <w:pStyle w:val="TAC"/>
              <w:rPr>
                <w:rFonts w:cs="Arial"/>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C8126E3"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1BD9AEB" w14:textId="77777777" w:rsidR="0058457E" w:rsidRPr="009C5807" w:rsidRDefault="0058457E" w:rsidP="00485F6E">
            <w:pPr>
              <w:pStyle w:val="TAC"/>
            </w:pPr>
            <w:r w:rsidRPr="009C5807">
              <w:t>-50</w:t>
            </w:r>
          </w:p>
        </w:tc>
      </w:tr>
      <w:tr w:rsidR="00DA6941" w:rsidRPr="009C5807" w14:paraId="42D40467" w14:textId="77777777" w:rsidTr="00485F6E">
        <w:trPr>
          <w:jc w:val="center"/>
        </w:trPr>
        <w:tc>
          <w:tcPr>
            <w:tcW w:w="1035" w:type="dxa"/>
            <w:tcBorders>
              <w:left w:val="single" w:sz="4" w:space="0" w:color="auto"/>
              <w:right w:val="single" w:sz="6" w:space="0" w:color="auto"/>
            </w:tcBorders>
            <w:shd w:val="clear" w:color="auto" w:fill="auto"/>
          </w:tcPr>
          <w:p w14:paraId="3058757C" w14:textId="6CCA6034" w:rsidR="00DA6941" w:rsidRPr="009C5807" w:rsidRDefault="00DA6941" w:rsidP="00485F6E">
            <w:pPr>
              <w:pStyle w:val="TAC"/>
            </w:pPr>
            <w:r w:rsidRPr="009C5807">
              <w:sym w:font="Symbol" w:char="F0B1"/>
            </w:r>
            <w:r w:rsidRPr="009C5807">
              <w:t>2.5</w:t>
            </w:r>
          </w:p>
        </w:tc>
        <w:tc>
          <w:tcPr>
            <w:tcW w:w="1047" w:type="dxa"/>
            <w:tcBorders>
              <w:left w:val="single" w:sz="6" w:space="0" w:color="auto"/>
              <w:right w:val="single" w:sz="6" w:space="0" w:color="auto"/>
            </w:tcBorders>
            <w:shd w:val="clear" w:color="auto" w:fill="auto"/>
          </w:tcPr>
          <w:p w14:paraId="4C9FDA28" w14:textId="2AD9906C" w:rsidR="00DA6941" w:rsidRPr="009C5807" w:rsidRDefault="00DA6941" w:rsidP="00485F6E">
            <w:pPr>
              <w:pStyle w:val="TAC"/>
            </w:pPr>
            <w:r w:rsidRPr="009C5807">
              <w:sym w:font="Symbol" w:char="F0B1"/>
            </w:r>
            <w:r w:rsidRPr="009C5807">
              <w:t>4</w:t>
            </w:r>
          </w:p>
        </w:tc>
        <w:tc>
          <w:tcPr>
            <w:tcW w:w="802" w:type="dxa"/>
            <w:tcBorders>
              <w:left w:val="single" w:sz="6" w:space="0" w:color="auto"/>
              <w:right w:val="single" w:sz="6" w:space="0" w:color="auto"/>
            </w:tcBorders>
            <w:shd w:val="clear" w:color="auto" w:fill="auto"/>
          </w:tcPr>
          <w:p w14:paraId="2B810EA5" w14:textId="77863781" w:rsidR="00DA6941" w:rsidRPr="009C5807" w:rsidRDefault="00DA6941" w:rsidP="00485F6E">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11B88D1" w14:textId="77777777" w:rsidR="00DA6941" w:rsidRPr="009C5807" w:rsidRDefault="00DA6941" w:rsidP="00485F6E">
            <w:pPr>
              <w:pStyle w:val="TAC"/>
              <w:rPr>
                <w:lang w:val="sv-SE"/>
              </w:rPr>
            </w:pPr>
            <w:r w:rsidRPr="009C5807">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85C683B" w14:textId="77777777" w:rsidR="00DA6941" w:rsidRPr="009C5807" w:rsidRDefault="00DA6941" w:rsidP="00485F6E">
            <w:pPr>
              <w:pStyle w:val="TAC"/>
            </w:pPr>
            <w:r w:rsidRPr="009C5807">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C178304" w14:textId="77777777" w:rsidR="00DA6941" w:rsidRPr="009C5807" w:rsidRDefault="00DA6941" w:rsidP="00485F6E">
            <w:pPr>
              <w:pStyle w:val="TAC"/>
              <w:rPr>
                <w:rFonts w:cs="Arial"/>
              </w:rPr>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D09F349" w14:textId="77777777" w:rsidR="00DA6941" w:rsidRPr="009C5807" w:rsidRDefault="00DA6941"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1C7389F" w14:textId="77777777" w:rsidR="00DA6941" w:rsidRPr="009C5807" w:rsidRDefault="00DA6941" w:rsidP="00485F6E">
            <w:pPr>
              <w:pStyle w:val="TAC"/>
            </w:pPr>
            <w:r w:rsidRPr="009C5807">
              <w:t>-50</w:t>
            </w:r>
          </w:p>
        </w:tc>
      </w:tr>
      <w:tr w:rsidR="0058457E" w:rsidRPr="009C5807" w14:paraId="3059B944" w14:textId="77777777" w:rsidTr="00485F6E">
        <w:trPr>
          <w:jc w:val="center"/>
        </w:trPr>
        <w:tc>
          <w:tcPr>
            <w:tcW w:w="1035" w:type="dxa"/>
            <w:tcBorders>
              <w:left w:val="single" w:sz="4" w:space="0" w:color="auto"/>
              <w:right w:val="single" w:sz="6" w:space="0" w:color="auto"/>
            </w:tcBorders>
            <w:shd w:val="clear" w:color="auto" w:fill="auto"/>
          </w:tcPr>
          <w:p w14:paraId="5AB9B8AF"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21EF068A"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69DAA45D"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3E06186" w14:textId="77777777" w:rsidR="0058457E" w:rsidRPr="009C5807" w:rsidDel="00836998" w:rsidRDefault="0058457E" w:rsidP="00485F6E">
            <w:pPr>
              <w:pStyle w:val="TAC"/>
              <w:rPr>
                <w:lang w:val="sv-SE"/>
              </w:rPr>
            </w:pPr>
            <w:r w:rsidRPr="009C5807">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20A0E12" w14:textId="77777777" w:rsidR="0058457E" w:rsidRPr="009C5807" w:rsidRDefault="0058457E" w:rsidP="00485F6E">
            <w:pPr>
              <w:pStyle w:val="TAC"/>
            </w:pPr>
            <w:r w:rsidRPr="009C5807">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6CAB1D0" w14:textId="77777777" w:rsidR="0058457E" w:rsidRPr="009C5807" w:rsidRDefault="0058457E" w:rsidP="00485F6E">
            <w:pPr>
              <w:pStyle w:val="TAC"/>
              <w:rPr>
                <w:rFonts w:cs="Arial"/>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9145A46"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CD7DD82" w14:textId="77777777" w:rsidR="0058457E" w:rsidRPr="009C5807" w:rsidRDefault="0058457E" w:rsidP="00485F6E">
            <w:pPr>
              <w:pStyle w:val="TAC"/>
            </w:pPr>
            <w:r w:rsidRPr="009C5807">
              <w:t>-50</w:t>
            </w:r>
          </w:p>
        </w:tc>
      </w:tr>
      <w:tr w:rsidR="00D94CA6" w:rsidRPr="009C5807" w14:paraId="67C8E71B" w14:textId="77777777" w:rsidTr="00485F6E">
        <w:trPr>
          <w:jc w:val="center"/>
        </w:trPr>
        <w:tc>
          <w:tcPr>
            <w:tcW w:w="1035" w:type="dxa"/>
            <w:tcBorders>
              <w:left w:val="single" w:sz="4" w:space="0" w:color="auto"/>
              <w:right w:val="single" w:sz="6" w:space="0" w:color="auto"/>
            </w:tcBorders>
            <w:shd w:val="clear" w:color="auto" w:fill="auto"/>
          </w:tcPr>
          <w:p w14:paraId="07D4E23D" w14:textId="77777777" w:rsidR="00D94CA6" w:rsidRPr="009C5807" w:rsidRDefault="00D94CA6" w:rsidP="00485F6E">
            <w:pPr>
              <w:pStyle w:val="TAC"/>
            </w:pPr>
          </w:p>
        </w:tc>
        <w:tc>
          <w:tcPr>
            <w:tcW w:w="1047" w:type="dxa"/>
            <w:tcBorders>
              <w:left w:val="single" w:sz="6" w:space="0" w:color="auto"/>
              <w:right w:val="single" w:sz="6" w:space="0" w:color="auto"/>
            </w:tcBorders>
            <w:shd w:val="clear" w:color="auto" w:fill="auto"/>
          </w:tcPr>
          <w:p w14:paraId="0CF7F22A" w14:textId="77777777" w:rsidR="00D94CA6" w:rsidRPr="009C5807" w:rsidRDefault="00D94CA6" w:rsidP="00485F6E">
            <w:pPr>
              <w:pStyle w:val="TAC"/>
            </w:pPr>
          </w:p>
        </w:tc>
        <w:tc>
          <w:tcPr>
            <w:tcW w:w="802" w:type="dxa"/>
            <w:tcBorders>
              <w:left w:val="single" w:sz="6" w:space="0" w:color="auto"/>
              <w:right w:val="single" w:sz="6" w:space="0" w:color="auto"/>
            </w:tcBorders>
            <w:shd w:val="clear" w:color="auto" w:fill="auto"/>
          </w:tcPr>
          <w:p w14:paraId="1F11EAFC" w14:textId="77777777" w:rsidR="00D94CA6" w:rsidRPr="009C5807" w:rsidRDefault="00D94CA6"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D708218" w14:textId="6933406B" w:rsidR="00D94CA6" w:rsidRPr="009C5807" w:rsidRDefault="00D94CA6" w:rsidP="00485F6E">
            <w:pPr>
              <w:pStyle w:val="TAC"/>
              <w:rPr>
                <w:lang w:val="sv-SE"/>
              </w:rPr>
            </w:pPr>
            <w:r w:rsidRPr="009C5807">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03B7D34" w14:textId="6E3B27F4" w:rsidR="00D94CA6" w:rsidRPr="009C5807" w:rsidRDefault="00D94CA6" w:rsidP="00485F6E">
            <w:pPr>
              <w:pStyle w:val="TAC"/>
            </w:pPr>
            <w:r w:rsidRPr="009C5807">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53F0D5A" w14:textId="6E78A8BC" w:rsidR="00D94CA6" w:rsidRPr="009C5807" w:rsidRDefault="00D94CA6" w:rsidP="00485F6E">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EF03141" w14:textId="25EE201F" w:rsidR="00D94CA6" w:rsidRPr="009C5807" w:rsidRDefault="00D94CA6"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F9E5252" w14:textId="3B53076D" w:rsidR="00D94CA6" w:rsidRPr="009C5807" w:rsidRDefault="00D94CA6" w:rsidP="00485F6E">
            <w:pPr>
              <w:pStyle w:val="TAC"/>
            </w:pPr>
            <w:r w:rsidRPr="009C5807">
              <w:t>-50</w:t>
            </w:r>
          </w:p>
        </w:tc>
      </w:tr>
      <w:tr w:rsidR="0058457E" w:rsidRPr="009C5807" w14:paraId="231027A9" w14:textId="77777777" w:rsidTr="00485F6E">
        <w:trPr>
          <w:jc w:val="center"/>
        </w:trPr>
        <w:tc>
          <w:tcPr>
            <w:tcW w:w="1035" w:type="dxa"/>
            <w:tcBorders>
              <w:left w:val="single" w:sz="4" w:space="0" w:color="auto"/>
              <w:right w:val="single" w:sz="6" w:space="0" w:color="auto"/>
            </w:tcBorders>
            <w:shd w:val="clear" w:color="auto" w:fill="auto"/>
          </w:tcPr>
          <w:p w14:paraId="7D25350C"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17711B47"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69302777"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766F4AA" w14:textId="77777777" w:rsidR="0058457E" w:rsidRPr="009C5807" w:rsidDel="00836998" w:rsidRDefault="0058457E" w:rsidP="00485F6E">
            <w:pPr>
              <w:pStyle w:val="TAC"/>
              <w:rPr>
                <w:lang w:eastAsia="zh-CN"/>
              </w:rPr>
            </w:pPr>
            <w:r w:rsidRPr="009C5807">
              <w:rPr>
                <w:lang w:eastAsia="zh-CN"/>
              </w:rPr>
              <w:t>NR</w:t>
            </w:r>
            <w:r w:rsidRPr="009C5807">
              <w:t>_</w:t>
            </w:r>
            <w:r w:rsidRPr="009C5807">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3C5284D" w14:textId="77777777" w:rsidR="0058457E" w:rsidRPr="009C5807" w:rsidRDefault="0058457E" w:rsidP="00485F6E">
            <w:pPr>
              <w:pStyle w:val="TAC"/>
            </w:pPr>
            <w:r w:rsidRPr="009C5807">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DA7E643" w14:textId="77777777" w:rsidR="0058457E" w:rsidRPr="009C5807" w:rsidRDefault="0058457E" w:rsidP="00485F6E">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D39A5CE"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79AA748" w14:textId="77777777" w:rsidR="0058457E" w:rsidRPr="009C5807" w:rsidRDefault="0058457E" w:rsidP="00485F6E">
            <w:pPr>
              <w:pStyle w:val="TAC"/>
            </w:pPr>
            <w:r w:rsidRPr="009C5807">
              <w:t>-50</w:t>
            </w:r>
          </w:p>
        </w:tc>
      </w:tr>
      <w:tr w:rsidR="0058457E" w:rsidRPr="009C5807" w14:paraId="60BB49CC" w14:textId="77777777" w:rsidTr="00485F6E">
        <w:trPr>
          <w:jc w:val="center"/>
        </w:trPr>
        <w:tc>
          <w:tcPr>
            <w:tcW w:w="1035" w:type="dxa"/>
            <w:tcBorders>
              <w:left w:val="single" w:sz="4" w:space="0" w:color="auto"/>
              <w:right w:val="single" w:sz="6" w:space="0" w:color="auto"/>
            </w:tcBorders>
            <w:shd w:val="clear" w:color="auto" w:fill="auto"/>
          </w:tcPr>
          <w:p w14:paraId="3DCE4235"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2CCEAD7E"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0FE28422"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FF3B928" w14:textId="77777777" w:rsidR="0058457E" w:rsidRPr="009C5807" w:rsidRDefault="0058457E" w:rsidP="00485F6E">
            <w:pPr>
              <w:pStyle w:val="TAC"/>
              <w:rPr>
                <w:lang w:eastAsia="zh-CN"/>
              </w:rPr>
            </w:pPr>
            <w:r w:rsidRPr="009C5807">
              <w:rPr>
                <w:lang w:eastAsia="zh-CN"/>
              </w:rPr>
              <w:t>NR</w:t>
            </w:r>
            <w:r w:rsidRPr="009C5807">
              <w:t>_</w:t>
            </w:r>
            <w:r w:rsidRPr="009C5807">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4132533" w14:textId="77777777" w:rsidR="0058457E" w:rsidRPr="009C5807" w:rsidRDefault="0058457E" w:rsidP="00485F6E">
            <w:pPr>
              <w:pStyle w:val="TAC"/>
            </w:pPr>
            <w:r w:rsidRPr="009C5807">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D86DE22" w14:textId="77777777" w:rsidR="0058457E" w:rsidRPr="009C5807" w:rsidRDefault="0058457E" w:rsidP="00485F6E">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A049891"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D5DC0D4" w14:textId="77777777" w:rsidR="0058457E" w:rsidRPr="009C5807" w:rsidRDefault="0058457E" w:rsidP="00485F6E">
            <w:pPr>
              <w:pStyle w:val="TAC"/>
            </w:pPr>
            <w:r w:rsidRPr="009C5807">
              <w:t>-50</w:t>
            </w:r>
          </w:p>
        </w:tc>
      </w:tr>
      <w:tr w:rsidR="0058457E" w:rsidRPr="009C5807" w14:paraId="5594EAC2" w14:textId="77777777" w:rsidTr="00485F6E">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0C0B0D93" w14:textId="77777777" w:rsidR="0058457E" w:rsidRPr="009C5807" w:rsidRDefault="0058457E" w:rsidP="00485F6E">
            <w:pPr>
              <w:pStyle w:val="TAC"/>
            </w:pPr>
            <w:r w:rsidRPr="009C5807">
              <w:sym w:font="Symbol" w:char="F0B1"/>
            </w:r>
            <w:r w:rsidRPr="009C5807">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1F147A8D" w14:textId="77777777" w:rsidR="0058457E" w:rsidRPr="009C5807" w:rsidRDefault="0058457E" w:rsidP="00485F6E">
            <w:pPr>
              <w:pStyle w:val="TAC"/>
            </w:pPr>
            <w:r w:rsidRPr="009C5807">
              <w:sym w:font="Symbol" w:char="F0B1"/>
            </w:r>
            <w:r w:rsidRPr="009C5807">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6FAE24E6" w14:textId="44AB8524" w:rsidR="0058457E" w:rsidRPr="009C5807" w:rsidRDefault="0058457E" w:rsidP="00485F6E">
            <w:pPr>
              <w:pStyle w:val="TAC"/>
            </w:pPr>
            <w:r w:rsidRPr="009C5807">
              <w:sym w:font="Symbol" w:char="F0B3"/>
            </w:r>
            <w:r w:rsidRPr="009C5807">
              <w:t>-</w:t>
            </w:r>
            <w:r w:rsidRPr="009C5807">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6CA75CF" w14:textId="77777777" w:rsidR="0058457E" w:rsidRPr="009C5807" w:rsidRDefault="0058457E" w:rsidP="00485F6E">
            <w:pPr>
              <w:pStyle w:val="TAC"/>
            </w:pPr>
            <w:r w:rsidRPr="009C5807">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20162931" w14:textId="77777777" w:rsidR="0058457E" w:rsidRPr="009C5807" w:rsidRDefault="0058457E" w:rsidP="00485F6E">
            <w:pPr>
              <w:pStyle w:val="TAC"/>
            </w:pPr>
            <w:r w:rsidRPr="009C5807">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0D370FFA" w14:textId="77777777" w:rsidR="0058457E" w:rsidRPr="009C5807" w:rsidRDefault="0058457E" w:rsidP="00485F6E">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146C8EC3" w14:textId="77777777" w:rsidR="0058457E" w:rsidRPr="009C5807" w:rsidRDefault="0058457E" w:rsidP="00485F6E">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23AD975F" w14:textId="77777777" w:rsidR="0058457E" w:rsidRPr="009C5807" w:rsidRDefault="0058457E" w:rsidP="00485F6E">
            <w:pPr>
              <w:pStyle w:val="TAC"/>
            </w:pPr>
            <w:r w:rsidRPr="009C5807">
              <w:t>Note 2</w:t>
            </w:r>
          </w:p>
        </w:tc>
      </w:tr>
      <w:tr w:rsidR="001F5A79" w:rsidRPr="009C5807" w14:paraId="6CFE86B3"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4CFEE6BF" w14:textId="77777777" w:rsidR="001F5A79" w:rsidRPr="009C5807" w:rsidRDefault="001F5A79" w:rsidP="00BF46B4">
            <w:pPr>
              <w:pStyle w:val="TAN"/>
            </w:pPr>
            <w:r w:rsidRPr="009C5807">
              <w:t>NOTE 1:</w:t>
            </w:r>
            <w:r w:rsidRPr="009C5807">
              <w:tab/>
              <w:t>Io is assumed to have constant EPRE across the bandwidth.</w:t>
            </w:r>
          </w:p>
          <w:p w14:paraId="69E71828" w14:textId="77777777" w:rsidR="001F5A79" w:rsidRPr="009C5807" w:rsidRDefault="001F5A79" w:rsidP="00BF46B4">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6196B083" w14:textId="77777777" w:rsidR="001F5A79" w:rsidRPr="009C5807" w:rsidRDefault="001F5A79" w:rsidP="00BF46B4">
            <w:pPr>
              <w:pStyle w:val="TAN"/>
            </w:pPr>
            <w:r w:rsidRPr="009C5807">
              <w:t>NOTE 3:</w:t>
            </w:r>
            <w:r w:rsidRPr="009C5807">
              <w:tab/>
              <w:t>NR operating band groups in FR1 are as defined in clause 3.5.2.</w:t>
            </w:r>
          </w:p>
        </w:tc>
      </w:tr>
    </w:tbl>
    <w:p w14:paraId="7B827D8E" w14:textId="77777777" w:rsidR="001F5A79" w:rsidRPr="009C5807" w:rsidRDefault="001F5A79" w:rsidP="001F5A79">
      <w:pPr>
        <w:rPr>
          <w:lang w:eastAsia="zh-CN"/>
        </w:rPr>
      </w:pPr>
    </w:p>
    <w:p w14:paraId="5817AC97" w14:textId="0926287D" w:rsidR="001F5A79" w:rsidRPr="009C5807" w:rsidRDefault="001F5A79" w:rsidP="00967CF8">
      <w:pPr>
        <w:pStyle w:val="Heading5"/>
      </w:pPr>
      <w:r w:rsidRPr="009C5807">
        <w:rPr>
          <w:lang w:eastAsia="zh-CN"/>
        </w:rPr>
        <w:t>1</w:t>
      </w:r>
      <w:r w:rsidR="00967CF8" w:rsidRPr="009C5807">
        <w:rPr>
          <w:lang w:eastAsia="zh-CN"/>
        </w:rPr>
        <w:t>0.</w:t>
      </w:r>
      <w:r w:rsidR="00967CF8" w:rsidRPr="009C5807">
        <w:t>1</w:t>
      </w:r>
      <w:r w:rsidR="00967CF8" w:rsidRPr="009C5807">
        <w:rPr>
          <w:lang w:eastAsia="zh-CN"/>
        </w:rPr>
        <w:t>.9.1.2</w:t>
      </w:r>
      <w:r w:rsidRPr="009C5807">
        <w:tab/>
        <w:t xml:space="preserve">Relative Accuracy of </w:t>
      </w:r>
      <w:r w:rsidRPr="009C5807">
        <w:rPr>
          <w:lang w:eastAsia="zh-CN"/>
        </w:rPr>
        <w:t>SS-RSRQ</w:t>
      </w:r>
      <w:r w:rsidRPr="009C5807">
        <w:t xml:space="preserve"> in FR1</w:t>
      </w:r>
    </w:p>
    <w:p w14:paraId="1F450E60" w14:textId="280C0228" w:rsidR="001F5A79" w:rsidRPr="009C5807" w:rsidRDefault="00CA0012" w:rsidP="001F5A79">
      <w:pPr>
        <w:rPr>
          <w:rFonts w:cs="v4.2.0"/>
          <w:i/>
        </w:rPr>
      </w:pPr>
      <w:r w:rsidRPr="009C5807">
        <w:rPr>
          <w:rFonts w:cs="v4.2.0"/>
        </w:rPr>
        <w:t xml:space="preserve">The relative accuracy of </w:t>
      </w:r>
      <w:r w:rsidRPr="009C5807">
        <w:rPr>
          <w:rFonts w:cs="v4.2.0"/>
          <w:lang w:eastAsia="zh-CN"/>
        </w:rPr>
        <w:t>SS-RSRQ</w:t>
      </w:r>
      <w:r w:rsidRPr="009C5807">
        <w:rPr>
          <w:rFonts w:cs="v4.2.0"/>
        </w:rPr>
        <w:t xml:space="preserve"> in inter frequency case is defined as the RSRQ measured from one cell on a frequency in FR1 compared to the RSRP measured from another cell on a different frequency in FR1.</w:t>
      </w:r>
      <w:r>
        <w:rPr>
          <w:rFonts w:cs="v4.2.0"/>
        </w:rPr>
        <w:t xml:space="preserve"> </w:t>
      </w:r>
      <w:r>
        <w:rPr>
          <w:lang w:eastAsia="zh-CN"/>
        </w:rPr>
        <w:t xml:space="preserve">The </w:t>
      </w:r>
      <w:r>
        <w:t xml:space="preserve">accuracy requirements in this clause are also applicable when </w:t>
      </w:r>
      <w:r w:rsidRPr="00C55ADC">
        <w:rPr>
          <w:i/>
          <w:iCs/>
          <w:lang w:eastAsia="zh-CN"/>
        </w:rPr>
        <w:t>highSpeedMeasInterFreq-r17</w:t>
      </w:r>
      <w:r>
        <w:rPr>
          <w:i/>
          <w:iCs/>
          <w:lang w:eastAsia="zh-CN"/>
        </w:rPr>
        <w:t xml:space="preserve"> </w:t>
      </w:r>
      <w:r>
        <w:t>is configured.</w:t>
      </w:r>
    </w:p>
    <w:p w14:paraId="37453378"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10.1.9.1.2</w:t>
      </w:r>
      <w:r w:rsidRPr="009C5807">
        <w:rPr>
          <w:rFonts w:cs="v4.2.0"/>
        </w:rPr>
        <w:t>-1 are valid under the following conditions:</w:t>
      </w:r>
    </w:p>
    <w:p w14:paraId="74D45E14" w14:textId="77777777" w:rsidR="001F5A79" w:rsidRPr="009C5807" w:rsidRDefault="001F5A79" w:rsidP="001F5A79">
      <w:pPr>
        <w:ind w:left="568" w:hanging="284"/>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122A1D27" w14:textId="77777777" w:rsidR="001F5A79" w:rsidRPr="009C5807" w:rsidRDefault="001F5A79" w:rsidP="001F5A79">
      <w:pPr>
        <w:ind w:left="568" w:hanging="284"/>
        <w:rPr>
          <w:lang w:eastAsia="zh-CN"/>
        </w:rPr>
      </w:pPr>
      <w:r w:rsidRPr="009C5807">
        <w:t>-</w:t>
      </w:r>
      <w:r w:rsidRPr="009C5807">
        <w:rPr>
          <w:rFonts w:ascii="Arial" w:hAnsi="Arial"/>
          <w:sz w:val="28"/>
          <w:lang w:val="en-US"/>
        </w:rPr>
        <w:tab/>
      </w:r>
      <w:r w:rsidRPr="009C5807">
        <w:t xml:space="preserve">Conditions for inter-frequency measurements are fulfilled according to Annex B.2.3 for a corresponding Band </w:t>
      </w:r>
      <w:r w:rsidRPr="009C5807">
        <w:rPr>
          <w:rFonts w:cs="v4.2.0"/>
          <w:lang w:eastAsia="ko-KR"/>
        </w:rPr>
        <w:t>for each relevant SSB</w:t>
      </w:r>
      <w:r w:rsidRPr="009C5807">
        <w:t>.</w:t>
      </w:r>
    </w:p>
    <w:p w14:paraId="74AD2C9E" w14:textId="77777777" w:rsidR="001F5A79" w:rsidRPr="009C5807" w:rsidRDefault="001F5A79" w:rsidP="001F5A79">
      <w:pPr>
        <w:ind w:left="568" w:hanging="284"/>
        <w:rPr>
          <w:rFonts w:cs="v4.2.0"/>
          <w:sz w:val="18"/>
        </w:rPr>
      </w:pPr>
      <w:r w:rsidRPr="009C5807">
        <w:t>-</w:t>
      </w:r>
      <w:r w:rsidRPr="009C5807">
        <w:rPr>
          <w:rFonts w:ascii="Arial" w:hAnsi="Arial"/>
          <w:sz w:val="28"/>
          <w:lang w:val="en-US"/>
        </w:rPr>
        <w:tab/>
      </w:r>
      <w:r w:rsidRPr="009C5807">
        <w:t>|SSB_RP1</w:t>
      </w:r>
      <w:r w:rsidRPr="009C5807">
        <w:rPr>
          <w:vertAlign w:val="subscript"/>
        </w:rPr>
        <w:t>dBm</w:t>
      </w:r>
      <w:r w:rsidRPr="009C5807">
        <w:t xml:space="preserve"> - SSB_RP2</w:t>
      </w:r>
      <w:r w:rsidRPr="009C5807">
        <w:rPr>
          <w:vertAlign w:val="subscript"/>
        </w:rPr>
        <w:t>dBm</w:t>
      </w:r>
      <w:r w:rsidRPr="009C5807">
        <w:t xml:space="preserve">| </w:t>
      </w:r>
      <w:r w:rsidRPr="009C5807">
        <w:rPr>
          <w:rFonts w:hint="eastAsia"/>
        </w:rPr>
        <w:t>≤</w:t>
      </w:r>
      <w:r w:rsidRPr="009C5807">
        <w:t xml:space="preserve"> 27 dB</w:t>
      </w:r>
    </w:p>
    <w:p w14:paraId="3295A63B" w14:textId="1AD6F7F8" w:rsidR="001F5A79" w:rsidRPr="009C5807" w:rsidRDefault="001F5A79" w:rsidP="001F5A79">
      <w:pPr>
        <w:ind w:left="568" w:hanging="284"/>
        <w:rPr>
          <w:lang w:eastAsia="zh-CN"/>
        </w:rPr>
      </w:pPr>
      <w:r w:rsidRPr="009C5807">
        <w:t>-</w:t>
      </w:r>
      <w:r w:rsidRPr="009C5807">
        <w:rPr>
          <w:rFonts w:ascii="Arial" w:hAnsi="Arial"/>
          <w:sz w:val="28"/>
          <w:lang w:val="en-US"/>
        </w:rPr>
        <w:tab/>
      </w:r>
      <w:r w:rsidRPr="009C5807">
        <w:t xml:space="preserve">|Channel 1_Io </w:t>
      </w:r>
      <w:r w:rsidRPr="009C5807">
        <w:noBreakHyphen/>
        <w:t xml:space="preserve">Channel 2_Io | </w:t>
      </w:r>
      <w:r w:rsidRPr="009C5807">
        <w:sym w:font="Symbol" w:char="F0A3"/>
      </w:r>
      <w:r w:rsidRPr="009C5807">
        <w:t xml:space="preserve"> 20 dB</w:t>
      </w:r>
    </w:p>
    <w:p w14:paraId="3216F096" w14:textId="77777777" w:rsidR="001F5A79" w:rsidRPr="009C5807" w:rsidRDefault="001F5A79" w:rsidP="001D4E56">
      <w:pPr>
        <w:pStyle w:val="TH"/>
        <w:rPr>
          <w:sz w:val="22"/>
          <w:szCs w:val="22"/>
          <w:lang w:eastAsia="zh-CN"/>
        </w:rPr>
      </w:pPr>
      <w:r w:rsidRPr="009C5807">
        <w:t xml:space="preserve">Table </w:t>
      </w:r>
      <w:r w:rsidRPr="009C5807">
        <w:rPr>
          <w:lang w:eastAsia="zh-CN"/>
        </w:rPr>
        <w:t>10.1.9.1.2</w:t>
      </w:r>
      <w:r w:rsidRPr="009C5807">
        <w:t xml:space="preserve">-1: </w:t>
      </w:r>
      <w:r w:rsidRPr="009C5807">
        <w:rPr>
          <w:lang w:eastAsia="zh-CN"/>
        </w:rPr>
        <w:t>SS-RSRQ</w:t>
      </w:r>
      <w:r w:rsidRPr="009C5807">
        <w:t xml:space="preserve"> Inter frequency relative accuracy</w:t>
      </w:r>
      <w:r w:rsidRPr="009C5807">
        <w:rPr>
          <w:sz w:val="22"/>
          <w:szCs w:val="22"/>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1F5A79" w:rsidRPr="009C5807" w14:paraId="70538039" w14:textId="77777777" w:rsidTr="00DF3064">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35188B73" w14:textId="77777777" w:rsidR="001F5A79" w:rsidRPr="009C5807" w:rsidRDefault="001F5A79" w:rsidP="00486FFB">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09AA9645" w14:textId="77777777" w:rsidR="001F5A79" w:rsidRPr="009C5807" w:rsidRDefault="001F5A79" w:rsidP="00486FFB">
            <w:pPr>
              <w:pStyle w:val="TAH"/>
            </w:pPr>
            <w:r w:rsidRPr="009C5807">
              <w:t>Conditions</w:t>
            </w:r>
          </w:p>
        </w:tc>
      </w:tr>
      <w:tr w:rsidR="00486FFB" w:rsidRPr="009C5807" w14:paraId="6B6C7F17" w14:textId="77777777" w:rsidTr="00486FFB">
        <w:trPr>
          <w:jc w:val="center"/>
        </w:trPr>
        <w:tc>
          <w:tcPr>
            <w:tcW w:w="1035" w:type="dxa"/>
            <w:tcBorders>
              <w:top w:val="single" w:sz="4" w:space="0" w:color="auto"/>
              <w:left w:val="single" w:sz="4" w:space="0" w:color="auto"/>
              <w:right w:val="single" w:sz="4" w:space="0" w:color="auto"/>
            </w:tcBorders>
            <w:shd w:val="clear" w:color="auto" w:fill="auto"/>
            <w:vAlign w:val="center"/>
          </w:tcPr>
          <w:p w14:paraId="4E6AFC86" w14:textId="77777777" w:rsidR="00486FFB" w:rsidRPr="009C5807" w:rsidRDefault="00486FFB" w:rsidP="00486FFB">
            <w:pPr>
              <w:pStyle w:val="TAH"/>
            </w:pPr>
            <w:r w:rsidRPr="009C5807">
              <w:t>Normal condition</w:t>
            </w:r>
          </w:p>
        </w:tc>
        <w:tc>
          <w:tcPr>
            <w:tcW w:w="1047" w:type="dxa"/>
            <w:tcBorders>
              <w:top w:val="single" w:sz="4" w:space="0" w:color="auto"/>
              <w:left w:val="single" w:sz="4" w:space="0" w:color="auto"/>
              <w:right w:val="single" w:sz="4" w:space="0" w:color="auto"/>
            </w:tcBorders>
            <w:shd w:val="clear" w:color="auto" w:fill="auto"/>
            <w:vAlign w:val="center"/>
          </w:tcPr>
          <w:p w14:paraId="79667738" w14:textId="77777777" w:rsidR="00486FFB" w:rsidRPr="009C5807" w:rsidRDefault="00486FFB" w:rsidP="00486FFB">
            <w:pPr>
              <w:pStyle w:val="TAH"/>
            </w:pPr>
            <w:r w:rsidRPr="009C5807">
              <w:t>Extreme condition</w:t>
            </w:r>
          </w:p>
        </w:tc>
        <w:tc>
          <w:tcPr>
            <w:tcW w:w="802" w:type="dxa"/>
            <w:tcBorders>
              <w:top w:val="single" w:sz="4" w:space="0" w:color="auto"/>
              <w:left w:val="single" w:sz="4" w:space="0" w:color="auto"/>
              <w:right w:val="single" w:sz="4" w:space="0" w:color="auto"/>
            </w:tcBorders>
            <w:shd w:val="clear" w:color="auto" w:fill="auto"/>
            <w:vAlign w:val="center"/>
          </w:tcPr>
          <w:p w14:paraId="6AF897AD" w14:textId="5856D606" w:rsidR="00486FFB" w:rsidRPr="009C5807" w:rsidRDefault="00486FFB" w:rsidP="00486FFB">
            <w:pPr>
              <w:pStyle w:val="TAH"/>
            </w:pPr>
            <w:r w:rsidRPr="009C5807">
              <w:t>SSB Ês/Iot</w:t>
            </w:r>
            <w:r w:rsidRPr="009C5807">
              <w:rPr>
                <w:vertAlign w:val="superscript"/>
                <w:lang w:eastAsia="zh-CN"/>
              </w:rPr>
              <w:t xml:space="preserve"> </w:t>
            </w:r>
          </w:p>
        </w:tc>
        <w:tc>
          <w:tcPr>
            <w:tcW w:w="7288"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DDFBD42" w14:textId="77777777" w:rsidR="00486FFB" w:rsidRPr="009C5807" w:rsidRDefault="00486FFB" w:rsidP="00486FFB">
            <w:pPr>
              <w:pStyle w:val="TAH"/>
            </w:pPr>
            <w:r w:rsidRPr="009C5807">
              <w:t>Io</w:t>
            </w:r>
            <w:r w:rsidRPr="009C5807">
              <w:rPr>
                <w:vertAlign w:val="superscript"/>
                <w:lang w:eastAsia="zh-CN"/>
              </w:rPr>
              <w:t xml:space="preserve"> Note 1</w:t>
            </w:r>
            <w:r w:rsidRPr="009C5807">
              <w:t xml:space="preserve"> range</w:t>
            </w:r>
          </w:p>
        </w:tc>
      </w:tr>
      <w:tr w:rsidR="00486FFB" w:rsidRPr="009C5807" w14:paraId="0FB27C74" w14:textId="77777777" w:rsidTr="00486FFB">
        <w:trPr>
          <w:jc w:val="center"/>
        </w:trPr>
        <w:tc>
          <w:tcPr>
            <w:tcW w:w="1035" w:type="dxa"/>
            <w:tcBorders>
              <w:left w:val="single" w:sz="4" w:space="0" w:color="auto"/>
              <w:bottom w:val="single" w:sz="4" w:space="0" w:color="auto"/>
              <w:right w:val="single" w:sz="4" w:space="0" w:color="auto"/>
            </w:tcBorders>
            <w:shd w:val="clear" w:color="auto" w:fill="auto"/>
            <w:vAlign w:val="center"/>
          </w:tcPr>
          <w:p w14:paraId="3C5487B2" w14:textId="77777777" w:rsidR="00486FFB" w:rsidRPr="009C5807" w:rsidRDefault="00486FFB" w:rsidP="00486FFB">
            <w:pPr>
              <w:pStyle w:val="TAH"/>
            </w:pPr>
          </w:p>
        </w:tc>
        <w:tc>
          <w:tcPr>
            <w:tcW w:w="1047" w:type="dxa"/>
            <w:tcBorders>
              <w:left w:val="single" w:sz="4" w:space="0" w:color="auto"/>
              <w:bottom w:val="single" w:sz="4" w:space="0" w:color="auto"/>
              <w:right w:val="single" w:sz="4" w:space="0" w:color="auto"/>
            </w:tcBorders>
            <w:shd w:val="clear" w:color="auto" w:fill="auto"/>
            <w:vAlign w:val="center"/>
          </w:tcPr>
          <w:p w14:paraId="11E698B3" w14:textId="77777777" w:rsidR="00486FFB" w:rsidRPr="009C5807" w:rsidRDefault="00486FFB" w:rsidP="00486FFB">
            <w:pPr>
              <w:pStyle w:val="TAH"/>
            </w:pPr>
          </w:p>
        </w:tc>
        <w:tc>
          <w:tcPr>
            <w:tcW w:w="802" w:type="dxa"/>
            <w:tcBorders>
              <w:left w:val="single" w:sz="4" w:space="0" w:color="auto"/>
              <w:bottom w:val="single" w:sz="4" w:space="0" w:color="auto"/>
              <w:right w:val="single" w:sz="4" w:space="0" w:color="auto"/>
            </w:tcBorders>
            <w:shd w:val="clear" w:color="auto" w:fill="auto"/>
          </w:tcPr>
          <w:p w14:paraId="567CC71E" w14:textId="165D78ED" w:rsidR="00486FFB" w:rsidRPr="009C5807" w:rsidRDefault="00486FFB" w:rsidP="00486FFB">
            <w:pPr>
              <w:pStyle w:val="TAH"/>
            </w:pPr>
            <w:r w:rsidRPr="009C5807">
              <w:rPr>
                <w:vertAlign w:val="superscript"/>
                <w:lang w:eastAsia="zh-CN"/>
              </w:rPr>
              <w:t>Note 2</w:t>
            </w:r>
          </w:p>
        </w:tc>
        <w:tc>
          <w:tcPr>
            <w:tcW w:w="2298" w:type="dxa"/>
            <w:tcBorders>
              <w:top w:val="single" w:sz="6" w:space="0" w:color="auto"/>
              <w:left w:val="single" w:sz="4" w:space="0" w:color="auto"/>
              <w:bottom w:val="single" w:sz="6" w:space="0" w:color="auto"/>
              <w:right w:val="single" w:sz="4" w:space="0" w:color="auto"/>
            </w:tcBorders>
            <w:shd w:val="clear" w:color="auto" w:fill="auto"/>
            <w:vAlign w:val="center"/>
          </w:tcPr>
          <w:p w14:paraId="0BEFBDAB" w14:textId="77777777" w:rsidR="00486FFB" w:rsidRPr="009C5807" w:rsidRDefault="00486FFB" w:rsidP="00486FFB">
            <w:pPr>
              <w:pStyle w:val="TAH"/>
            </w:pPr>
            <w:r w:rsidRPr="009C5807">
              <w:t>NR operating band groups</w:t>
            </w:r>
            <w:r w:rsidRPr="009C5807">
              <w:rPr>
                <w:vertAlign w:val="superscript"/>
              </w:rPr>
              <w:t xml:space="preserve"> </w:t>
            </w:r>
            <w:r w:rsidRPr="009C5807">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074BEE97" w14:textId="77777777" w:rsidR="00486FFB" w:rsidRPr="009C5807" w:rsidRDefault="00486FFB" w:rsidP="00486FFB">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70CC371" w14:textId="77777777" w:rsidR="00486FFB" w:rsidRPr="009C5807" w:rsidRDefault="00486FFB" w:rsidP="00486FFB">
            <w:pPr>
              <w:pStyle w:val="TAH"/>
            </w:pPr>
            <w:r w:rsidRPr="009C5807">
              <w:t>Maximum Io</w:t>
            </w:r>
          </w:p>
        </w:tc>
      </w:tr>
      <w:tr w:rsidR="001F5A79" w:rsidRPr="009C5807" w14:paraId="32E91C71" w14:textId="77777777" w:rsidTr="00485F6E">
        <w:trPr>
          <w:trHeight w:val="308"/>
          <w:jc w:val="center"/>
        </w:trPr>
        <w:tc>
          <w:tcPr>
            <w:tcW w:w="1035" w:type="dxa"/>
            <w:tcBorders>
              <w:top w:val="single" w:sz="4" w:space="0" w:color="auto"/>
              <w:left w:val="single" w:sz="4" w:space="0" w:color="auto"/>
              <w:right w:val="single" w:sz="6" w:space="0" w:color="auto"/>
            </w:tcBorders>
            <w:shd w:val="clear" w:color="auto" w:fill="auto"/>
          </w:tcPr>
          <w:p w14:paraId="4D5D1CAC" w14:textId="77777777" w:rsidR="001F5A79" w:rsidRPr="009C5807" w:rsidRDefault="001F5A79" w:rsidP="00485F6E">
            <w:pPr>
              <w:pStyle w:val="TAC"/>
            </w:pPr>
            <w:r w:rsidRPr="009C5807">
              <w:t>dB</w:t>
            </w:r>
          </w:p>
        </w:tc>
        <w:tc>
          <w:tcPr>
            <w:tcW w:w="1047" w:type="dxa"/>
            <w:tcBorders>
              <w:top w:val="single" w:sz="4" w:space="0" w:color="auto"/>
              <w:left w:val="single" w:sz="6" w:space="0" w:color="auto"/>
              <w:right w:val="single" w:sz="6" w:space="0" w:color="auto"/>
            </w:tcBorders>
            <w:shd w:val="clear" w:color="auto" w:fill="auto"/>
          </w:tcPr>
          <w:p w14:paraId="0821C49C" w14:textId="77777777" w:rsidR="001F5A79" w:rsidRPr="009C5807" w:rsidRDefault="001F5A79" w:rsidP="00485F6E">
            <w:pPr>
              <w:pStyle w:val="TAC"/>
            </w:pPr>
            <w:r w:rsidRPr="009C5807">
              <w:t>dB</w:t>
            </w:r>
          </w:p>
        </w:tc>
        <w:tc>
          <w:tcPr>
            <w:tcW w:w="802" w:type="dxa"/>
            <w:tcBorders>
              <w:top w:val="single" w:sz="4" w:space="0" w:color="auto"/>
              <w:left w:val="single" w:sz="6" w:space="0" w:color="auto"/>
              <w:right w:val="single" w:sz="6" w:space="0" w:color="auto"/>
            </w:tcBorders>
            <w:shd w:val="clear" w:color="auto" w:fill="auto"/>
          </w:tcPr>
          <w:p w14:paraId="12804B26" w14:textId="77777777" w:rsidR="001F5A79" w:rsidRPr="009C5807" w:rsidRDefault="001F5A79" w:rsidP="00485F6E">
            <w:pPr>
              <w:pStyle w:val="TAC"/>
            </w:pPr>
            <w:r w:rsidRPr="009C5807">
              <w:t>dB</w:t>
            </w:r>
          </w:p>
        </w:tc>
        <w:tc>
          <w:tcPr>
            <w:tcW w:w="2298" w:type="dxa"/>
            <w:tcBorders>
              <w:top w:val="single" w:sz="6" w:space="0" w:color="auto"/>
              <w:left w:val="single" w:sz="6" w:space="0" w:color="auto"/>
              <w:right w:val="single" w:sz="4" w:space="0" w:color="auto"/>
            </w:tcBorders>
            <w:shd w:val="clear" w:color="auto" w:fill="auto"/>
          </w:tcPr>
          <w:p w14:paraId="5ECFA64D" w14:textId="77777777" w:rsidR="001F5A79" w:rsidRPr="009C5807" w:rsidRDefault="001F5A79" w:rsidP="00485F6E">
            <w:pPr>
              <w:pStyle w:val="TAC"/>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5F2BCC56" w14:textId="77777777" w:rsidR="001F5A79" w:rsidRPr="009C5807" w:rsidRDefault="001F5A79" w:rsidP="00485F6E">
            <w:pPr>
              <w:pStyle w:val="TAC"/>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2E4ADC74" w14:textId="77777777" w:rsidR="001F5A79" w:rsidRPr="009C5807" w:rsidRDefault="001F5A79" w:rsidP="00485F6E">
            <w:pPr>
              <w:pStyle w:val="TAC"/>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08F8267C" w14:textId="77777777" w:rsidR="001F5A79" w:rsidRPr="009C5807" w:rsidRDefault="001F5A79" w:rsidP="00485F6E">
            <w:pPr>
              <w:pStyle w:val="TAC"/>
            </w:pPr>
            <w:r w:rsidRPr="009C5807">
              <w:t>dBm/BW</w:t>
            </w:r>
            <w:r w:rsidRPr="009C5807">
              <w:rPr>
                <w:vertAlign w:val="subscript"/>
              </w:rPr>
              <w:t>Channel</w:t>
            </w:r>
          </w:p>
        </w:tc>
      </w:tr>
      <w:tr w:rsidR="001F5A79" w:rsidRPr="009C5807" w14:paraId="3266DD89" w14:textId="77777777" w:rsidTr="00485F6E">
        <w:trPr>
          <w:trHeight w:val="307"/>
          <w:jc w:val="center"/>
        </w:trPr>
        <w:tc>
          <w:tcPr>
            <w:tcW w:w="1035" w:type="dxa"/>
            <w:tcBorders>
              <w:left w:val="single" w:sz="4" w:space="0" w:color="auto"/>
              <w:bottom w:val="single" w:sz="6" w:space="0" w:color="auto"/>
              <w:right w:val="single" w:sz="6" w:space="0" w:color="auto"/>
            </w:tcBorders>
            <w:shd w:val="clear" w:color="auto" w:fill="auto"/>
          </w:tcPr>
          <w:p w14:paraId="33F4FA23" w14:textId="77777777" w:rsidR="001F5A79" w:rsidRPr="009C5807" w:rsidRDefault="001F5A79" w:rsidP="00485F6E">
            <w:pPr>
              <w:pStyle w:val="TAC"/>
            </w:pPr>
          </w:p>
        </w:tc>
        <w:tc>
          <w:tcPr>
            <w:tcW w:w="1047" w:type="dxa"/>
            <w:tcBorders>
              <w:left w:val="single" w:sz="6" w:space="0" w:color="auto"/>
              <w:bottom w:val="single" w:sz="6" w:space="0" w:color="auto"/>
              <w:right w:val="single" w:sz="6" w:space="0" w:color="auto"/>
            </w:tcBorders>
            <w:shd w:val="clear" w:color="auto" w:fill="auto"/>
          </w:tcPr>
          <w:p w14:paraId="582CD772" w14:textId="77777777" w:rsidR="001F5A79" w:rsidRPr="009C5807" w:rsidRDefault="001F5A79" w:rsidP="00485F6E">
            <w:pPr>
              <w:pStyle w:val="TAC"/>
            </w:pPr>
          </w:p>
        </w:tc>
        <w:tc>
          <w:tcPr>
            <w:tcW w:w="802" w:type="dxa"/>
            <w:tcBorders>
              <w:left w:val="single" w:sz="6" w:space="0" w:color="auto"/>
              <w:bottom w:val="single" w:sz="6" w:space="0" w:color="auto"/>
              <w:right w:val="single" w:sz="6" w:space="0" w:color="auto"/>
            </w:tcBorders>
            <w:shd w:val="clear" w:color="auto" w:fill="auto"/>
          </w:tcPr>
          <w:p w14:paraId="4B521C3C" w14:textId="77777777" w:rsidR="001F5A79" w:rsidRPr="009C5807" w:rsidRDefault="001F5A79" w:rsidP="00485F6E">
            <w:pPr>
              <w:pStyle w:val="TAC"/>
            </w:pPr>
          </w:p>
        </w:tc>
        <w:tc>
          <w:tcPr>
            <w:tcW w:w="2298" w:type="dxa"/>
            <w:tcBorders>
              <w:left w:val="single" w:sz="6" w:space="0" w:color="auto"/>
              <w:bottom w:val="single" w:sz="6" w:space="0" w:color="auto"/>
              <w:right w:val="single" w:sz="4" w:space="0" w:color="auto"/>
            </w:tcBorders>
            <w:shd w:val="clear" w:color="auto" w:fill="auto"/>
          </w:tcPr>
          <w:p w14:paraId="28121240" w14:textId="77777777" w:rsidR="001F5A79" w:rsidRPr="009C5807" w:rsidRDefault="001F5A79" w:rsidP="00485F6E">
            <w:pPr>
              <w:pStyle w:val="TAC"/>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852DCAB" w14:textId="77777777" w:rsidR="001F5A79" w:rsidRPr="009C5807" w:rsidRDefault="001F5A79" w:rsidP="00485F6E">
            <w:pPr>
              <w:pStyle w:val="TAC"/>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DE86788" w14:textId="77777777" w:rsidR="001F5A79" w:rsidRPr="009C5807" w:rsidRDefault="001F5A79" w:rsidP="00485F6E">
            <w:pPr>
              <w:pStyle w:val="TAC"/>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57D8BD52" w14:textId="77777777" w:rsidR="001F5A79" w:rsidRPr="009C5807" w:rsidRDefault="001F5A79" w:rsidP="00485F6E">
            <w:pPr>
              <w:pStyle w:val="TAC"/>
            </w:pPr>
          </w:p>
        </w:tc>
        <w:tc>
          <w:tcPr>
            <w:tcW w:w="1440" w:type="dxa"/>
            <w:tcBorders>
              <w:left w:val="single" w:sz="6" w:space="0" w:color="auto"/>
              <w:bottom w:val="single" w:sz="6" w:space="0" w:color="auto"/>
              <w:right w:val="single" w:sz="4" w:space="0" w:color="auto"/>
            </w:tcBorders>
            <w:shd w:val="clear" w:color="auto" w:fill="auto"/>
          </w:tcPr>
          <w:p w14:paraId="30E3E8CD" w14:textId="77777777" w:rsidR="001F5A79" w:rsidRPr="009C5807" w:rsidRDefault="001F5A79" w:rsidP="00485F6E">
            <w:pPr>
              <w:pStyle w:val="TAC"/>
            </w:pPr>
          </w:p>
        </w:tc>
      </w:tr>
      <w:tr w:rsidR="0058457E" w:rsidRPr="009C5807" w14:paraId="10E48521" w14:textId="77777777" w:rsidTr="00485F6E">
        <w:trPr>
          <w:jc w:val="center"/>
        </w:trPr>
        <w:tc>
          <w:tcPr>
            <w:tcW w:w="1035" w:type="dxa"/>
            <w:tcBorders>
              <w:top w:val="single" w:sz="6" w:space="0" w:color="auto"/>
              <w:left w:val="single" w:sz="4" w:space="0" w:color="auto"/>
              <w:right w:val="single" w:sz="6" w:space="0" w:color="auto"/>
            </w:tcBorders>
            <w:shd w:val="clear" w:color="auto" w:fill="auto"/>
          </w:tcPr>
          <w:p w14:paraId="2F4D9B2D" w14:textId="078C68FD" w:rsidR="0058457E" w:rsidRPr="009C5807" w:rsidRDefault="0058457E" w:rsidP="00485F6E">
            <w:pPr>
              <w:pStyle w:val="TAC"/>
            </w:pPr>
          </w:p>
        </w:tc>
        <w:tc>
          <w:tcPr>
            <w:tcW w:w="1047" w:type="dxa"/>
            <w:tcBorders>
              <w:top w:val="single" w:sz="6" w:space="0" w:color="auto"/>
              <w:left w:val="single" w:sz="6" w:space="0" w:color="auto"/>
              <w:right w:val="single" w:sz="6" w:space="0" w:color="auto"/>
            </w:tcBorders>
            <w:shd w:val="clear" w:color="auto" w:fill="auto"/>
          </w:tcPr>
          <w:p w14:paraId="4F46CEFC" w14:textId="18AEDE21" w:rsidR="0058457E" w:rsidRPr="009C5807" w:rsidRDefault="0058457E" w:rsidP="00485F6E">
            <w:pPr>
              <w:pStyle w:val="TAC"/>
            </w:pPr>
          </w:p>
        </w:tc>
        <w:tc>
          <w:tcPr>
            <w:tcW w:w="802" w:type="dxa"/>
            <w:tcBorders>
              <w:top w:val="single" w:sz="6" w:space="0" w:color="auto"/>
              <w:left w:val="single" w:sz="6" w:space="0" w:color="auto"/>
              <w:right w:val="single" w:sz="6" w:space="0" w:color="auto"/>
            </w:tcBorders>
            <w:shd w:val="clear" w:color="auto" w:fill="auto"/>
          </w:tcPr>
          <w:p w14:paraId="6A7F77E1" w14:textId="2052846C"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726E6E1" w14:textId="77777777" w:rsidR="0058457E" w:rsidRPr="009C5807" w:rsidRDefault="0058457E" w:rsidP="00485F6E">
            <w:pPr>
              <w:pStyle w:val="TAC"/>
            </w:pPr>
            <w:r w:rsidRPr="009C5807">
              <w:t>NR_FDD_FR1_A, NR_TDD_FR1_A,</w:t>
            </w:r>
          </w:p>
          <w:p w14:paraId="6A740E0B" w14:textId="77777777" w:rsidR="0058457E" w:rsidRPr="009C5807" w:rsidRDefault="0058457E" w:rsidP="00485F6E">
            <w:pPr>
              <w:pStyle w:val="TAC"/>
            </w:pPr>
            <w:r w:rsidRPr="009C5807">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14BA0B4" w14:textId="7E2E8CF6" w:rsidR="0058457E" w:rsidRPr="009C5807" w:rsidRDefault="0058457E" w:rsidP="00485F6E">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D60D1A9" w14:textId="5AE2B8D2" w:rsidR="0058457E" w:rsidRPr="009C5807" w:rsidRDefault="0058457E" w:rsidP="00485F6E">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6582A0C"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F51D1A5" w14:textId="77777777" w:rsidR="0058457E" w:rsidRPr="009C5807" w:rsidRDefault="0058457E" w:rsidP="00485F6E">
            <w:pPr>
              <w:pStyle w:val="TAC"/>
            </w:pPr>
            <w:r w:rsidRPr="009C5807">
              <w:t>-50</w:t>
            </w:r>
          </w:p>
        </w:tc>
      </w:tr>
      <w:tr w:rsidR="0058457E" w:rsidRPr="009C5807" w14:paraId="672D2146" w14:textId="77777777" w:rsidTr="00485F6E">
        <w:trPr>
          <w:jc w:val="center"/>
        </w:trPr>
        <w:tc>
          <w:tcPr>
            <w:tcW w:w="1035" w:type="dxa"/>
            <w:tcBorders>
              <w:left w:val="single" w:sz="4" w:space="0" w:color="auto"/>
              <w:right w:val="single" w:sz="6" w:space="0" w:color="auto"/>
            </w:tcBorders>
            <w:shd w:val="clear" w:color="auto" w:fill="auto"/>
          </w:tcPr>
          <w:p w14:paraId="29D402D4"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457D4F90"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73622B44"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822B562" w14:textId="77777777" w:rsidR="0058457E" w:rsidRPr="009C5807" w:rsidRDefault="0058457E" w:rsidP="00485F6E">
            <w:pPr>
              <w:pStyle w:val="TAC"/>
            </w:pPr>
            <w:r w:rsidRPr="009C5807">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69536D0" w14:textId="46D92914" w:rsidR="0058457E" w:rsidRPr="009C5807" w:rsidRDefault="0058457E" w:rsidP="00485F6E">
            <w:pPr>
              <w:pStyle w:val="TAC"/>
            </w:pPr>
            <w:r w:rsidRPr="009C5807">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564849C" w14:textId="1409C779" w:rsidR="0058457E" w:rsidRPr="009C5807" w:rsidRDefault="0058457E" w:rsidP="00485F6E">
            <w:pPr>
              <w:pStyle w:val="TAC"/>
              <w:rPr>
                <w:rFonts w:cs="Arial"/>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C400D3F" w14:textId="77777777" w:rsidR="0058457E" w:rsidRPr="009C5807" w:rsidRDefault="0058457E" w:rsidP="00485F6E">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048E2AE" w14:textId="77777777" w:rsidR="0058457E" w:rsidRPr="009C5807" w:rsidRDefault="0058457E" w:rsidP="00485F6E">
            <w:pPr>
              <w:pStyle w:val="TAC"/>
            </w:pPr>
            <w:r w:rsidRPr="009C5807">
              <w:t>-50</w:t>
            </w:r>
          </w:p>
        </w:tc>
      </w:tr>
      <w:tr w:rsidR="0058457E" w:rsidRPr="009C5807" w14:paraId="54BBE3C9" w14:textId="77777777" w:rsidTr="00485F6E">
        <w:trPr>
          <w:jc w:val="center"/>
        </w:trPr>
        <w:tc>
          <w:tcPr>
            <w:tcW w:w="1035" w:type="dxa"/>
            <w:tcBorders>
              <w:left w:val="single" w:sz="4" w:space="0" w:color="auto"/>
              <w:right w:val="single" w:sz="6" w:space="0" w:color="auto"/>
            </w:tcBorders>
            <w:shd w:val="clear" w:color="auto" w:fill="auto"/>
          </w:tcPr>
          <w:p w14:paraId="49626221"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5E5B74D0"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759D2DD2"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9F3BE76" w14:textId="77777777" w:rsidR="0058457E" w:rsidRPr="009C5807" w:rsidRDefault="0058457E" w:rsidP="00485F6E">
            <w:pPr>
              <w:pStyle w:val="TAC"/>
            </w:pPr>
            <w:r w:rsidRPr="009C5807">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6DE815F" w14:textId="56363350" w:rsidR="0058457E" w:rsidRPr="009C5807" w:rsidRDefault="0058457E" w:rsidP="00485F6E">
            <w:pPr>
              <w:pStyle w:val="TAC"/>
            </w:pPr>
            <w:r w:rsidRPr="009C5807">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115DE73" w14:textId="785B7367" w:rsidR="0058457E" w:rsidRPr="009C5807" w:rsidRDefault="0058457E" w:rsidP="00485F6E">
            <w:pPr>
              <w:pStyle w:val="TAC"/>
              <w:rPr>
                <w:rFonts w:cs="Arial"/>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F039973"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822A90B" w14:textId="77777777" w:rsidR="0058457E" w:rsidRPr="009C5807" w:rsidRDefault="0058457E" w:rsidP="00485F6E">
            <w:pPr>
              <w:pStyle w:val="TAC"/>
            </w:pPr>
            <w:r w:rsidRPr="009C5807">
              <w:t>-50</w:t>
            </w:r>
          </w:p>
        </w:tc>
      </w:tr>
      <w:tr w:rsidR="005F7B84" w:rsidRPr="009C5807" w14:paraId="54357853" w14:textId="77777777" w:rsidTr="00485F6E">
        <w:trPr>
          <w:jc w:val="center"/>
        </w:trPr>
        <w:tc>
          <w:tcPr>
            <w:tcW w:w="1035" w:type="dxa"/>
            <w:tcBorders>
              <w:left w:val="single" w:sz="4" w:space="0" w:color="auto"/>
              <w:right w:val="single" w:sz="6" w:space="0" w:color="auto"/>
            </w:tcBorders>
            <w:shd w:val="clear" w:color="auto" w:fill="auto"/>
          </w:tcPr>
          <w:p w14:paraId="471E7939" w14:textId="50EE2F62" w:rsidR="005F7B84" w:rsidRPr="009C5807" w:rsidRDefault="005F7B84" w:rsidP="00485F6E">
            <w:pPr>
              <w:pStyle w:val="TAC"/>
            </w:pPr>
            <w:r w:rsidRPr="009C5807">
              <w:sym w:font="Symbol" w:char="F0B1"/>
            </w:r>
            <w:r w:rsidRPr="009C5807">
              <w:t>3</w:t>
            </w:r>
          </w:p>
        </w:tc>
        <w:tc>
          <w:tcPr>
            <w:tcW w:w="1047" w:type="dxa"/>
            <w:tcBorders>
              <w:left w:val="single" w:sz="6" w:space="0" w:color="auto"/>
              <w:right w:val="single" w:sz="6" w:space="0" w:color="auto"/>
            </w:tcBorders>
            <w:shd w:val="clear" w:color="auto" w:fill="auto"/>
          </w:tcPr>
          <w:p w14:paraId="771D6C6D" w14:textId="5C9CB398" w:rsidR="005F7B84" w:rsidRPr="009C5807" w:rsidRDefault="005F7B84" w:rsidP="00485F6E">
            <w:pPr>
              <w:pStyle w:val="TAC"/>
            </w:pPr>
            <w:r w:rsidRPr="009C5807">
              <w:sym w:font="Symbol" w:char="F0B1"/>
            </w:r>
            <w:r w:rsidRPr="009C5807">
              <w:t>4</w:t>
            </w:r>
          </w:p>
        </w:tc>
        <w:tc>
          <w:tcPr>
            <w:tcW w:w="802" w:type="dxa"/>
            <w:tcBorders>
              <w:left w:val="single" w:sz="6" w:space="0" w:color="auto"/>
              <w:right w:val="single" w:sz="6" w:space="0" w:color="auto"/>
            </w:tcBorders>
            <w:shd w:val="clear" w:color="auto" w:fill="auto"/>
          </w:tcPr>
          <w:p w14:paraId="3ED580F1" w14:textId="02A2A4C4" w:rsidR="005F7B84" w:rsidRPr="009C5807" w:rsidRDefault="005F7B84" w:rsidP="00485F6E">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FC07465" w14:textId="77777777" w:rsidR="005F7B84" w:rsidRPr="009C5807" w:rsidRDefault="005F7B84" w:rsidP="00485F6E">
            <w:pPr>
              <w:pStyle w:val="TAC"/>
              <w:rPr>
                <w:lang w:val="sv-FI"/>
              </w:rPr>
            </w:pPr>
            <w:r w:rsidRPr="009C5807">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53E0E2D" w14:textId="77777777" w:rsidR="005F7B84" w:rsidRPr="009C5807" w:rsidRDefault="005F7B84" w:rsidP="00485F6E">
            <w:pPr>
              <w:pStyle w:val="TAC"/>
            </w:pPr>
            <w:r w:rsidRPr="009C5807">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8B292C4" w14:textId="77777777" w:rsidR="005F7B84" w:rsidRPr="009C5807" w:rsidRDefault="005F7B84" w:rsidP="00485F6E">
            <w:pPr>
              <w:pStyle w:val="TAC"/>
              <w:rPr>
                <w:rFonts w:cs="Arial"/>
              </w:rPr>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5B52871" w14:textId="77777777" w:rsidR="005F7B84" w:rsidRPr="009C5807" w:rsidRDefault="005F7B84"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1DD5C93" w14:textId="77777777" w:rsidR="005F7B84" w:rsidRPr="009C5807" w:rsidRDefault="005F7B84" w:rsidP="00485F6E">
            <w:pPr>
              <w:pStyle w:val="TAC"/>
            </w:pPr>
            <w:r w:rsidRPr="009C5807">
              <w:t>-50</w:t>
            </w:r>
          </w:p>
        </w:tc>
      </w:tr>
      <w:tr w:rsidR="0058457E" w:rsidRPr="009C5807" w14:paraId="3B95ECE8" w14:textId="77777777" w:rsidTr="00485F6E">
        <w:trPr>
          <w:jc w:val="center"/>
        </w:trPr>
        <w:tc>
          <w:tcPr>
            <w:tcW w:w="1035" w:type="dxa"/>
            <w:tcBorders>
              <w:left w:val="single" w:sz="4" w:space="0" w:color="auto"/>
              <w:right w:val="single" w:sz="6" w:space="0" w:color="auto"/>
            </w:tcBorders>
            <w:shd w:val="clear" w:color="auto" w:fill="auto"/>
          </w:tcPr>
          <w:p w14:paraId="2255EAFC"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55248F6D"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769F262E"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288ADE4" w14:textId="77777777" w:rsidR="0058457E" w:rsidRPr="009C5807" w:rsidDel="00836998" w:rsidRDefault="0058457E" w:rsidP="00485F6E">
            <w:pPr>
              <w:pStyle w:val="TAC"/>
              <w:rPr>
                <w:lang w:val="sv-SE"/>
              </w:rPr>
            </w:pPr>
            <w:r w:rsidRPr="009C5807">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083F558" w14:textId="67673379" w:rsidR="0058457E" w:rsidRPr="009C5807" w:rsidRDefault="0058457E" w:rsidP="00485F6E">
            <w:pPr>
              <w:pStyle w:val="TAC"/>
            </w:pPr>
            <w:r w:rsidRPr="009C5807">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16811ED" w14:textId="7D2E88F0" w:rsidR="0058457E" w:rsidRPr="009C5807" w:rsidRDefault="0058457E" w:rsidP="00485F6E">
            <w:pPr>
              <w:pStyle w:val="TAC"/>
              <w:rPr>
                <w:rFonts w:cs="Arial"/>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0848C96"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8122805" w14:textId="77777777" w:rsidR="0058457E" w:rsidRPr="009C5807" w:rsidRDefault="0058457E" w:rsidP="00485F6E">
            <w:pPr>
              <w:pStyle w:val="TAC"/>
            </w:pPr>
            <w:r w:rsidRPr="009C5807">
              <w:t>-50</w:t>
            </w:r>
          </w:p>
        </w:tc>
      </w:tr>
      <w:tr w:rsidR="00D94CA6" w:rsidRPr="009C5807" w14:paraId="6DFFB82F" w14:textId="77777777" w:rsidTr="00485F6E">
        <w:trPr>
          <w:jc w:val="center"/>
        </w:trPr>
        <w:tc>
          <w:tcPr>
            <w:tcW w:w="1035" w:type="dxa"/>
            <w:tcBorders>
              <w:left w:val="single" w:sz="4" w:space="0" w:color="auto"/>
              <w:right w:val="single" w:sz="6" w:space="0" w:color="auto"/>
            </w:tcBorders>
            <w:shd w:val="clear" w:color="auto" w:fill="auto"/>
          </w:tcPr>
          <w:p w14:paraId="7BA7D33E" w14:textId="77777777" w:rsidR="00D94CA6" w:rsidRPr="009C5807" w:rsidRDefault="00D94CA6" w:rsidP="00485F6E">
            <w:pPr>
              <w:pStyle w:val="TAC"/>
            </w:pPr>
          </w:p>
        </w:tc>
        <w:tc>
          <w:tcPr>
            <w:tcW w:w="1047" w:type="dxa"/>
            <w:tcBorders>
              <w:left w:val="single" w:sz="6" w:space="0" w:color="auto"/>
              <w:right w:val="single" w:sz="6" w:space="0" w:color="auto"/>
            </w:tcBorders>
            <w:shd w:val="clear" w:color="auto" w:fill="auto"/>
          </w:tcPr>
          <w:p w14:paraId="705FDFBE" w14:textId="77777777" w:rsidR="00D94CA6" w:rsidRPr="009C5807" w:rsidRDefault="00D94CA6" w:rsidP="00485F6E">
            <w:pPr>
              <w:pStyle w:val="TAC"/>
            </w:pPr>
          </w:p>
        </w:tc>
        <w:tc>
          <w:tcPr>
            <w:tcW w:w="802" w:type="dxa"/>
            <w:tcBorders>
              <w:left w:val="single" w:sz="6" w:space="0" w:color="auto"/>
              <w:right w:val="single" w:sz="6" w:space="0" w:color="auto"/>
            </w:tcBorders>
            <w:shd w:val="clear" w:color="auto" w:fill="auto"/>
          </w:tcPr>
          <w:p w14:paraId="29175D5B" w14:textId="77777777" w:rsidR="00D94CA6" w:rsidRPr="009C5807" w:rsidRDefault="00D94CA6"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065441B" w14:textId="243CE6F6" w:rsidR="00D94CA6" w:rsidRPr="009C5807" w:rsidRDefault="00D94CA6" w:rsidP="00485F6E">
            <w:pPr>
              <w:pStyle w:val="TAC"/>
              <w:rPr>
                <w:lang w:val="sv-SE"/>
              </w:rPr>
            </w:pPr>
            <w:r w:rsidRPr="009C5807">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7F25D55" w14:textId="4F75377E" w:rsidR="00D94CA6" w:rsidRPr="009C5807" w:rsidRDefault="00D94CA6" w:rsidP="00485F6E">
            <w:pPr>
              <w:pStyle w:val="TAC"/>
            </w:pPr>
            <w:r w:rsidRPr="009C5807">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7F34F16" w14:textId="5EDECB97" w:rsidR="00D94CA6" w:rsidRPr="009C5807" w:rsidRDefault="00D94CA6" w:rsidP="00485F6E">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C2DD29E" w14:textId="2435527F" w:rsidR="00D94CA6" w:rsidRPr="009C5807" w:rsidRDefault="00D94CA6"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4F59FC9" w14:textId="2CAAA888" w:rsidR="00D94CA6" w:rsidRPr="009C5807" w:rsidRDefault="00D94CA6" w:rsidP="00485F6E">
            <w:pPr>
              <w:pStyle w:val="TAC"/>
            </w:pPr>
            <w:r w:rsidRPr="009C5807">
              <w:t>-50</w:t>
            </w:r>
          </w:p>
        </w:tc>
      </w:tr>
      <w:tr w:rsidR="0058457E" w:rsidRPr="009C5807" w14:paraId="38D0714C" w14:textId="77777777" w:rsidTr="00485F6E">
        <w:trPr>
          <w:jc w:val="center"/>
        </w:trPr>
        <w:tc>
          <w:tcPr>
            <w:tcW w:w="1035" w:type="dxa"/>
            <w:tcBorders>
              <w:left w:val="single" w:sz="4" w:space="0" w:color="auto"/>
              <w:right w:val="single" w:sz="6" w:space="0" w:color="auto"/>
            </w:tcBorders>
            <w:shd w:val="clear" w:color="auto" w:fill="auto"/>
          </w:tcPr>
          <w:p w14:paraId="01AE56C1"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1842CEC2"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56029523"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C203416" w14:textId="77777777" w:rsidR="0058457E" w:rsidRPr="009C5807" w:rsidDel="00836998" w:rsidRDefault="0058457E" w:rsidP="00485F6E">
            <w:pPr>
              <w:pStyle w:val="TAC"/>
              <w:rPr>
                <w:lang w:eastAsia="zh-CN"/>
              </w:rPr>
            </w:pPr>
            <w:r w:rsidRPr="009C5807">
              <w:rPr>
                <w:lang w:eastAsia="zh-CN"/>
              </w:rPr>
              <w:t>NR_FDD_FR1_G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A7AF7B3" w14:textId="7D48532C" w:rsidR="0058457E" w:rsidRPr="009C5807" w:rsidRDefault="0058457E" w:rsidP="00485F6E">
            <w:pPr>
              <w:pStyle w:val="TAC"/>
            </w:pPr>
            <w:r w:rsidRPr="009C5807">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A7D615A" w14:textId="5AABC614" w:rsidR="0058457E" w:rsidRPr="009C5807" w:rsidRDefault="0058457E" w:rsidP="00485F6E">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70C6C92"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2AE03B2" w14:textId="77777777" w:rsidR="0058457E" w:rsidRPr="009C5807" w:rsidRDefault="0058457E" w:rsidP="00485F6E">
            <w:pPr>
              <w:pStyle w:val="TAC"/>
            </w:pPr>
            <w:r w:rsidRPr="009C5807">
              <w:t>-50</w:t>
            </w:r>
          </w:p>
        </w:tc>
      </w:tr>
      <w:tr w:rsidR="0058457E" w:rsidRPr="009C5807" w14:paraId="4339942C" w14:textId="77777777" w:rsidTr="00485F6E">
        <w:trPr>
          <w:trHeight w:val="65"/>
          <w:jc w:val="center"/>
        </w:trPr>
        <w:tc>
          <w:tcPr>
            <w:tcW w:w="1035" w:type="dxa"/>
            <w:tcBorders>
              <w:left w:val="single" w:sz="4" w:space="0" w:color="auto"/>
              <w:right w:val="single" w:sz="6" w:space="0" w:color="auto"/>
            </w:tcBorders>
            <w:shd w:val="clear" w:color="auto" w:fill="auto"/>
          </w:tcPr>
          <w:p w14:paraId="2F973BD7" w14:textId="77777777" w:rsidR="0058457E" w:rsidRPr="009C5807" w:rsidRDefault="0058457E" w:rsidP="00485F6E">
            <w:pPr>
              <w:pStyle w:val="TAC"/>
            </w:pPr>
          </w:p>
        </w:tc>
        <w:tc>
          <w:tcPr>
            <w:tcW w:w="1047" w:type="dxa"/>
            <w:tcBorders>
              <w:left w:val="single" w:sz="6" w:space="0" w:color="auto"/>
              <w:right w:val="single" w:sz="6" w:space="0" w:color="auto"/>
            </w:tcBorders>
            <w:shd w:val="clear" w:color="auto" w:fill="auto"/>
          </w:tcPr>
          <w:p w14:paraId="57DF68AB" w14:textId="77777777" w:rsidR="0058457E" w:rsidRPr="009C5807" w:rsidRDefault="0058457E" w:rsidP="00485F6E">
            <w:pPr>
              <w:pStyle w:val="TAC"/>
            </w:pPr>
          </w:p>
        </w:tc>
        <w:tc>
          <w:tcPr>
            <w:tcW w:w="802" w:type="dxa"/>
            <w:tcBorders>
              <w:left w:val="single" w:sz="6" w:space="0" w:color="auto"/>
              <w:right w:val="single" w:sz="6" w:space="0" w:color="auto"/>
            </w:tcBorders>
            <w:shd w:val="clear" w:color="auto" w:fill="auto"/>
          </w:tcPr>
          <w:p w14:paraId="30BF3F7D" w14:textId="77777777" w:rsidR="0058457E" w:rsidRPr="009C5807" w:rsidRDefault="0058457E" w:rsidP="00485F6E">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3F3704F" w14:textId="77777777" w:rsidR="0058457E" w:rsidRPr="009C5807" w:rsidRDefault="0058457E" w:rsidP="00485F6E">
            <w:pPr>
              <w:pStyle w:val="TAC"/>
              <w:rPr>
                <w:lang w:eastAsia="zh-CN"/>
              </w:rPr>
            </w:pPr>
            <w:r w:rsidRPr="009C5807">
              <w:rPr>
                <w:lang w:eastAsia="zh-CN"/>
              </w:rPr>
              <w:t>NR_FDD_FR1_H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D284EA2" w14:textId="0ADADA4A" w:rsidR="0058457E" w:rsidRPr="009C5807" w:rsidRDefault="0058457E" w:rsidP="00485F6E">
            <w:pPr>
              <w:pStyle w:val="TAC"/>
            </w:pPr>
            <w:r w:rsidRPr="009C5807">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E5D5EB7" w14:textId="08F50760" w:rsidR="0058457E" w:rsidRPr="009C5807" w:rsidRDefault="0058457E" w:rsidP="00485F6E">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F075F5B"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8E20DD5" w14:textId="77777777" w:rsidR="0058457E" w:rsidRPr="009C5807" w:rsidRDefault="0058457E" w:rsidP="00485F6E">
            <w:pPr>
              <w:pStyle w:val="TAC"/>
            </w:pPr>
            <w:r w:rsidRPr="009C5807">
              <w:t>-50</w:t>
            </w:r>
          </w:p>
        </w:tc>
      </w:tr>
      <w:tr w:rsidR="0058457E" w:rsidRPr="009C5807" w14:paraId="3D1B3D51" w14:textId="77777777" w:rsidTr="00485F6E">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12F63620" w14:textId="77777777" w:rsidR="0058457E" w:rsidRPr="009C5807" w:rsidRDefault="0058457E" w:rsidP="00485F6E">
            <w:pPr>
              <w:pStyle w:val="TAC"/>
            </w:pPr>
            <w:r w:rsidRPr="009C5807">
              <w:sym w:font="Symbol" w:char="F0B1"/>
            </w:r>
            <w:r w:rsidRPr="009C5807">
              <w:t>4</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0A8730CF" w14:textId="77777777" w:rsidR="0058457E" w:rsidRPr="009C5807" w:rsidRDefault="0058457E" w:rsidP="00485F6E">
            <w:pPr>
              <w:pStyle w:val="TAC"/>
            </w:pPr>
            <w:r w:rsidRPr="009C5807">
              <w:sym w:font="Symbol" w:char="F0B1"/>
            </w:r>
            <w:r w:rsidRPr="009C5807">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7F683E1A" w14:textId="6E3443C8" w:rsidR="0058457E" w:rsidRPr="009C5807" w:rsidRDefault="0058457E" w:rsidP="00485F6E">
            <w:pPr>
              <w:pStyle w:val="TAC"/>
            </w:pPr>
            <w:r w:rsidRPr="009C5807">
              <w:sym w:font="Symbol" w:char="F0B3"/>
            </w:r>
            <w:r w:rsidRPr="009C5807">
              <w:t>-</w:t>
            </w:r>
            <w:r w:rsidRPr="009C5807">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D236188" w14:textId="77777777" w:rsidR="0058457E" w:rsidRPr="009C5807" w:rsidRDefault="0058457E" w:rsidP="00485F6E">
            <w:pPr>
              <w:pStyle w:val="TAC"/>
            </w:pPr>
            <w:r w:rsidRPr="009C5807">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31618270" w14:textId="77777777" w:rsidR="0058457E" w:rsidRPr="009C5807" w:rsidRDefault="0058457E" w:rsidP="00485F6E">
            <w:pPr>
              <w:pStyle w:val="TAC"/>
            </w:pPr>
            <w:r w:rsidRPr="009C5807">
              <w:t>Note 3</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04D5C8F9" w14:textId="77777777" w:rsidR="0058457E" w:rsidRPr="009C5807" w:rsidRDefault="0058457E" w:rsidP="00485F6E">
            <w:pPr>
              <w:pStyle w:val="TAC"/>
              <w:rPr>
                <w:lang w:eastAsia="zh-CN"/>
              </w:rPr>
            </w:pPr>
            <w:r w:rsidRPr="009C5807">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188BBA79" w14:textId="77777777" w:rsidR="0058457E" w:rsidRPr="009C5807" w:rsidRDefault="0058457E" w:rsidP="00485F6E">
            <w:pPr>
              <w:pStyle w:val="TAC"/>
            </w:pPr>
            <w:r w:rsidRPr="009C5807">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437D6868" w14:textId="77777777" w:rsidR="0058457E" w:rsidRPr="009C5807" w:rsidRDefault="0058457E" w:rsidP="00485F6E">
            <w:pPr>
              <w:pStyle w:val="TAC"/>
            </w:pPr>
            <w:r w:rsidRPr="009C5807">
              <w:t>Note 3</w:t>
            </w:r>
          </w:p>
        </w:tc>
      </w:tr>
      <w:tr w:rsidR="001F5A79" w:rsidRPr="009C5807" w14:paraId="17D51419"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90C169B" w14:textId="77777777" w:rsidR="001F5A79" w:rsidRPr="009C5807" w:rsidRDefault="001F5A79" w:rsidP="00867E51">
            <w:pPr>
              <w:pStyle w:val="TAN"/>
            </w:pPr>
            <w:r w:rsidRPr="009C5807">
              <w:t>N</w:t>
            </w:r>
            <w:r w:rsidRPr="009C5807">
              <w:rPr>
                <w:lang w:eastAsia="zh-CN"/>
              </w:rPr>
              <w:t>OTE</w:t>
            </w:r>
            <w:r w:rsidRPr="009C5807">
              <w:t xml:space="preserve"> 1:</w:t>
            </w:r>
            <w:r w:rsidRPr="009C5807">
              <w:tab/>
              <w:t>Io is assumed to have constant EPRE across the bandwidth.</w:t>
            </w:r>
          </w:p>
          <w:p w14:paraId="3FCC0B68" w14:textId="77777777" w:rsidR="001F5A79" w:rsidRPr="009C5807" w:rsidRDefault="001F5A79" w:rsidP="00867E51">
            <w:pPr>
              <w:pStyle w:val="TAN"/>
            </w:pPr>
            <w:r w:rsidRPr="009C5807">
              <w:t>N</w:t>
            </w:r>
            <w:r w:rsidRPr="009C5807">
              <w:rPr>
                <w:lang w:eastAsia="zh-CN"/>
              </w:rPr>
              <w:t>OTE</w:t>
            </w:r>
            <w:r w:rsidRPr="009C5807">
              <w:t xml:space="preserve"> 2:</w:t>
            </w:r>
            <w:r w:rsidRPr="009C5807">
              <w:tab/>
            </w:r>
            <w:r w:rsidRPr="009C5807">
              <w:rPr>
                <w:lang w:eastAsia="zh-CN"/>
              </w:rPr>
              <w:t xml:space="preserve">The parameter SSB </w:t>
            </w:r>
            <w:r w:rsidRPr="009C5807">
              <w:t>Ês/Iot</w:t>
            </w:r>
            <w:r w:rsidRPr="009C5807">
              <w:rPr>
                <w:lang w:eastAsia="zh-CN"/>
              </w:rPr>
              <w:t xml:space="preserve"> is the minimum SSB </w:t>
            </w:r>
            <w:r w:rsidRPr="009C5807">
              <w:t>Ês/Iot</w:t>
            </w:r>
            <w:r w:rsidRPr="009C5807">
              <w:rPr>
                <w:lang w:eastAsia="zh-CN"/>
              </w:rPr>
              <w:t xml:space="preserve"> of the pair of cells to which the requirement applies.</w:t>
            </w:r>
          </w:p>
          <w:p w14:paraId="11DE591E" w14:textId="77777777" w:rsidR="001F5A79" w:rsidRPr="009C5807" w:rsidRDefault="001F5A79" w:rsidP="00867E51">
            <w:pPr>
              <w:pStyle w:val="TAN"/>
              <w:rPr>
                <w:rFonts w:cs="Arial"/>
              </w:rPr>
            </w:pPr>
            <w:r w:rsidRPr="009C5807">
              <w:t>N</w:t>
            </w:r>
            <w:r w:rsidRPr="009C5807">
              <w:rPr>
                <w:lang w:eastAsia="zh-CN"/>
              </w:rPr>
              <w:t>OTE</w:t>
            </w:r>
            <w:r w:rsidRPr="009C5807">
              <w:t xml:space="preserve"> 3:</w:t>
            </w:r>
            <w:r w:rsidRPr="009C5807">
              <w:tab/>
            </w:r>
            <w:r w:rsidRPr="009C5807">
              <w:rPr>
                <w:rFonts w:cs="Arial"/>
              </w:rPr>
              <w:t>The same bands and the same Io conditions for each band apply for this requirement as for the corresponding highest accuracy requirement.</w:t>
            </w:r>
          </w:p>
          <w:p w14:paraId="1A0DA08D" w14:textId="77777777" w:rsidR="001F5A79" w:rsidRPr="009C5807" w:rsidRDefault="001F5A79" w:rsidP="00867E51">
            <w:pPr>
              <w:pStyle w:val="TAN"/>
            </w:pPr>
            <w:r w:rsidRPr="009C5807">
              <w:t>NOTE 4:</w:t>
            </w:r>
            <w:r w:rsidRPr="009C5807">
              <w:tab/>
              <w:t>NR operating band groups in FR1 are as defined in clause 3.5.2.</w:t>
            </w:r>
          </w:p>
        </w:tc>
      </w:tr>
    </w:tbl>
    <w:p w14:paraId="6470B282" w14:textId="77777777" w:rsidR="001F5A79" w:rsidRPr="009C5807" w:rsidRDefault="001F5A79" w:rsidP="001F5A79">
      <w:pPr>
        <w:rPr>
          <w:lang w:eastAsia="ko-KR"/>
        </w:rPr>
      </w:pPr>
    </w:p>
    <w:p w14:paraId="05A93602" w14:textId="77777777" w:rsidR="008935F7" w:rsidRDefault="008935F7" w:rsidP="008935F7">
      <w:pPr>
        <w:pStyle w:val="Heading4"/>
        <w:rPr>
          <w:lang w:val="en-US"/>
        </w:rPr>
      </w:pPr>
      <w:r>
        <w:rPr>
          <w:lang w:val="en-US"/>
        </w:rPr>
        <w:t>10.1.9.2</w:t>
      </w:r>
      <w:r>
        <w:rPr>
          <w:lang w:val="en-US"/>
        </w:rPr>
        <w:tab/>
        <w:t>Int</w:t>
      </w:r>
      <w:r>
        <w:rPr>
          <w:rFonts w:hint="eastAsia"/>
          <w:lang w:val="en-US" w:eastAsia="zh-CN"/>
        </w:rPr>
        <w:t>er</w:t>
      </w:r>
      <w:r>
        <w:rPr>
          <w:lang w:val="en-US"/>
        </w:rPr>
        <w:t>-frequency CSI-RSRQ accuracy requirements</w:t>
      </w:r>
    </w:p>
    <w:p w14:paraId="4789AE89" w14:textId="77777777" w:rsidR="008935F7" w:rsidRDefault="008935F7" w:rsidP="008935F7">
      <w:pPr>
        <w:pStyle w:val="Heading5"/>
      </w:pPr>
      <w:r>
        <w:t>10.1.9.2.1</w:t>
      </w:r>
      <w:r>
        <w:tab/>
        <w:t xml:space="preserve">Absolute </w:t>
      </w:r>
      <w:r>
        <w:rPr>
          <w:lang w:val="en-US"/>
        </w:rPr>
        <w:t xml:space="preserve">CSI-RSRQ </w:t>
      </w:r>
      <w:r>
        <w:t>Accuracy</w:t>
      </w:r>
    </w:p>
    <w:p w14:paraId="07F9A660" w14:textId="77777777" w:rsidR="008935F7" w:rsidRDefault="008935F7" w:rsidP="008935F7">
      <w:pPr>
        <w:rPr>
          <w:rFonts w:cs="v4.2.0"/>
          <w:i/>
        </w:rPr>
      </w:pPr>
      <w:r>
        <w:rPr>
          <w:rFonts w:cs="v4.2.0"/>
        </w:rPr>
        <w:t xml:space="preserve">Unless otherwise specified, the requirements for absolute accuracy of </w:t>
      </w:r>
      <w:r>
        <w:rPr>
          <w:rFonts w:cs="v4.2.0"/>
          <w:lang w:eastAsia="zh-CN"/>
        </w:rPr>
        <w:t>CSI-RSRQ</w:t>
      </w:r>
      <w:r>
        <w:rPr>
          <w:rFonts w:cs="v4.2.0"/>
        </w:rPr>
        <w:t xml:space="preserve"> in this clause apply to the </w:t>
      </w:r>
      <w:r>
        <w:rPr>
          <w:rFonts w:cs="v4.2.0" w:hint="eastAsia"/>
          <w:lang w:eastAsia="zh-CN"/>
        </w:rPr>
        <w:t>inter-frequency measurement defined in 9.10.3.1</w:t>
      </w:r>
      <w:r>
        <w:rPr>
          <w:rFonts w:cs="v4.2.0"/>
        </w:rPr>
        <w:t xml:space="preserve"> in FR</w:t>
      </w:r>
      <w:r>
        <w:rPr>
          <w:rFonts w:cs="v4.2.0" w:hint="eastAsia"/>
          <w:lang w:eastAsia="zh-CN"/>
        </w:rPr>
        <w:t>1</w:t>
      </w:r>
      <w:r>
        <w:rPr>
          <w:rFonts w:cs="v4.2.0"/>
        </w:rPr>
        <w:t>.</w:t>
      </w:r>
    </w:p>
    <w:p w14:paraId="0F7053DF" w14:textId="77777777" w:rsidR="008935F7" w:rsidRDefault="008935F7" w:rsidP="008935F7">
      <w:pPr>
        <w:rPr>
          <w:rFonts w:cs="v4.2.0"/>
        </w:rPr>
      </w:pPr>
      <w:r>
        <w:rPr>
          <w:rFonts w:cs="v4.2.0"/>
        </w:rPr>
        <w:t xml:space="preserve">The accuracy requirements in Table </w:t>
      </w:r>
      <w:r>
        <w:rPr>
          <w:rFonts w:cs="v4.2.0"/>
          <w:lang w:eastAsia="zh-CN"/>
        </w:rPr>
        <w:t>10.1.9.2.1</w:t>
      </w:r>
      <w:r>
        <w:rPr>
          <w:rFonts w:cs="v4.2.0"/>
        </w:rPr>
        <w:t>-1 are valid under the following conditions:</w:t>
      </w:r>
    </w:p>
    <w:p w14:paraId="634E3ED1" w14:textId="77777777" w:rsidR="008935F7" w:rsidRPr="00B25D3D" w:rsidRDefault="008935F7" w:rsidP="008935F7">
      <w:pPr>
        <w:pStyle w:val="B10"/>
        <w:rPr>
          <w:rFonts w:cs="v4.2.0"/>
        </w:rPr>
      </w:pPr>
      <w:r>
        <w:t>-</w:t>
      </w:r>
      <w:r>
        <w:tab/>
      </w:r>
      <w:r w:rsidRPr="00B25D3D">
        <w:t>Conditions defined in clause 7.3 of TS 38.101-</w:t>
      </w:r>
      <w:r>
        <w:rPr>
          <w:rFonts w:hint="eastAsia"/>
          <w:lang w:eastAsia="zh-CN"/>
        </w:rPr>
        <w:t>1</w:t>
      </w:r>
      <w:r w:rsidRPr="00B25D3D">
        <w:t xml:space="preserve"> [1</w:t>
      </w:r>
      <w:r>
        <w:rPr>
          <w:rFonts w:hint="eastAsia"/>
          <w:lang w:eastAsia="zh-CN"/>
        </w:rPr>
        <w:t>8</w:t>
      </w:r>
      <w:r w:rsidRPr="00B25D3D">
        <w:t>] for reference sensitivity are fulfilled.</w:t>
      </w:r>
    </w:p>
    <w:p w14:paraId="4BCCC997" w14:textId="77777777" w:rsidR="008935F7" w:rsidRPr="00C25316" w:rsidRDefault="008935F7" w:rsidP="008935F7">
      <w:pPr>
        <w:pStyle w:val="B10"/>
        <w:rPr>
          <w:lang w:eastAsia="zh-CN"/>
        </w:rPr>
      </w:pPr>
      <w:r w:rsidRPr="00B25D3D">
        <w:t>-</w:t>
      </w:r>
      <w:r w:rsidRPr="00B25D3D">
        <w:tab/>
        <w:t>Conditions for int</w:t>
      </w:r>
      <w:r>
        <w:rPr>
          <w:rFonts w:hint="eastAsia"/>
          <w:lang w:eastAsia="zh-CN"/>
        </w:rPr>
        <w:t>er</w:t>
      </w:r>
      <w:r w:rsidRPr="00B25D3D">
        <w:t>-frequency measurements are fulfilled according to Annex B.2.</w:t>
      </w:r>
      <w:r>
        <w:rPr>
          <w:rFonts w:hint="eastAsia"/>
          <w:lang w:eastAsia="zh-CN"/>
        </w:rPr>
        <w:t>3</w:t>
      </w:r>
      <w:r w:rsidRPr="00B25D3D">
        <w:t xml:space="preserve"> for a corresponding Band </w:t>
      </w:r>
      <w:r w:rsidRPr="00B25D3D">
        <w:rPr>
          <w:rFonts w:cs="v4.2.0"/>
          <w:lang w:eastAsia="ko-KR"/>
        </w:rPr>
        <w:t xml:space="preserve">for </w:t>
      </w:r>
      <w:r>
        <w:rPr>
          <w:rFonts w:cs="v4.2.0"/>
          <w:lang w:eastAsia="ko-KR"/>
        </w:rPr>
        <w:t>associated SSB</w:t>
      </w:r>
      <w:r w:rsidRPr="00B25D3D">
        <w:t>.</w:t>
      </w:r>
    </w:p>
    <w:p w14:paraId="0A5E94C1" w14:textId="77777777" w:rsidR="008935F7" w:rsidRDefault="008935F7" w:rsidP="008935F7">
      <w:pPr>
        <w:pStyle w:val="B10"/>
        <w:rPr>
          <w:lang w:eastAsia="zh-CN"/>
        </w:rPr>
      </w:pPr>
      <w:r w:rsidRPr="00B25D3D">
        <w:t>-</w:t>
      </w:r>
      <w:r w:rsidRPr="00B25D3D">
        <w:tab/>
        <w:t>Conditions for int</w:t>
      </w:r>
      <w:r>
        <w:rPr>
          <w:rFonts w:hint="eastAsia"/>
          <w:lang w:eastAsia="zh-CN"/>
        </w:rPr>
        <w:t>er</w:t>
      </w:r>
      <w:r w:rsidRPr="00B25D3D">
        <w:t>-frequency measurements are fulfilled according to Annex B.2.</w:t>
      </w:r>
      <w:r>
        <w:rPr>
          <w:rFonts w:hint="eastAsia"/>
          <w:lang w:eastAsia="zh-CN"/>
        </w:rPr>
        <w:t>9</w:t>
      </w:r>
      <w:r w:rsidRPr="00B25D3D">
        <w:t xml:space="preserve"> for a corresponding Band </w:t>
      </w:r>
      <w:r w:rsidRPr="00B25D3D">
        <w:rPr>
          <w:rFonts w:cs="v4.2.0"/>
          <w:lang w:eastAsia="ko-KR"/>
        </w:rPr>
        <w:t xml:space="preserve">for </w:t>
      </w:r>
      <w:r>
        <w:rPr>
          <w:rFonts w:cs="v4.2.0" w:hint="eastAsia"/>
          <w:lang w:eastAsia="zh-CN"/>
        </w:rPr>
        <w:t>each relevant CSI-RS</w:t>
      </w:r>
      <w:r w:rsidRPr="00B25D3D">
        <w:t>.</w:t>
      </w:r>
    </w:p>
    <w:p w14:paraId="697D5CFE" w14:textId="77777777" w:rsidR="008935F7" w:rsidRDefault="008935F7" w:rsidP="008935F7">
      <w:pPr>
        <w:pStyle w:val="B10"/>
        <w:rPr>
          <w:lang w:eastAsia="zh-CN"/>
        </w:rPr>
      </w:pPr>
      <w:r>
        <w:rPr>
          <w:lang w:eastAsia="zh-CN"/>
        </w:rPr>
        <w:t>-</w:t>
      </w:r>
      <w:r>
        <w:rPr>
          <w:lang w:eastAsia="zh-CN"/>
        </w:rPr>
        <w:tab/>
        <w:t xml:space="preserve">The bandwidth of CSI-RS is 48 PRBs and the density is 3. </w:t>
      </w:r>
    </w:p>
    <w:p w14:paraId="096574E9" w14:textId="77777777" w:rsidR="008935F7" w:rsidRPr="003D160B" w:rsidRDefault="008935F7" w:rsidP="00F37389">
      <w:pPr>
        <w:pStyle w:val="B10"/>
        <w:ind w:leftChars="342" w:left="968"/>
        <w:rPr>
          <w:lang w:eastAsia="zh-CN"/>
        </w:rPr>
      </w:pPr>
      <w:r>
        <w:rPr>
          <w:rFonts w:hint="eastAsia"/>
          <w:lang w:eastAsia="zh-CN"/>
        </w:rPr>
        <w:t>•</w:t>
      </w:r>
      <w:r>
        <w:rPr>
          <w:lang w:eastAsia="zh-CN"/>
        </w:rPr>
        <w:tab/>
        <w:t xml:space="preserve">The performance with larger bandwidth of CSI-RS is equal to or better than the accuracy requirements in Table </w:t>
      </w:r>
      <w:r>
        <w:rPr>
          <w:rFonts w:cs="v4.2.0"/>
          <w:lang w:eastAsia="zh-CN"/>
        </w:rPr>
        <w:t>10.1.9.2.1</w:t>
      </w:r>
      <w:r>
        <w:rPr>
          <w:rFonts w:cs="v4.2.0"/>
        </w:rPr>
        <w:t>-1</w:t>
      </w:r>
      <w:r>
        <w:rPr>
          <w:lang w:eastAsia="zh-CN"/>
        </w:rPr>
        <w:t>.</w:t>
      </w:r>
    </w:p>
    <w:p w14:paraId="1442D30F" w14:textId="31842547" w:rsidR="008935F7" w:rsidRDefault="008935F7" w:rsidP="008935F7">
      <w:pPr>
        <w:pStyle w:val="B10"/>
        <w:rPr>
          <w:lang w:eastAsia="zh-CN"/>
        </w:rPr>
      </w:pPr>
      <w:r>
        <w:rPr>
          <w:rFonts w:hint="eastAsia"/>
          <w:lang w:eastAsia="zh-CN"/>
        </w:rPr>
        <w:t>-</w:t>
      </w:r>
      <w:r>
        <w:tab/>
      </w:r>
      <w:r>
        <w:rPr>
          <w:rFonts w:hint="eastAsia"/>
          <w:lang w:eastAsia="zh-CN"/>
        </w:rPr>
        <w:t>T</w:t>
      </w:r>
      <w:r w:rsidRPr="00952C56">
        <w:rPr>
          <w:lang w:eastAsia="zh-CN"/>
        </w:rPr>
        <w:t xml:space="preserve">he timing offset between the reference measurement timing and the target CSI-RS in one layer is </w:t>
      </w:r>
      <w:r>
        <w:rPr>
          <w:lang w:eastAsia="zh-CN"/>
        </w:rPr>
        <w:t>no larger than</w:t>
      </w:r>
      <w:r w:rsidRPr="00952C56">
        <w:rPr>
          <w:lang w:eastAsia="zh-CN"/>
        </w:rPr>
        <w:t xml:space="preserve"> </w:t>
      </w:r>
      <w:r>
        <w:rPr>
          <w:lang w:eastAsia="zh-CN"/>
        </w:rPr>
        <w:t>CP</w:t>
      </w:r>
      <w:r>
        <w:rPr>
          <w:rFonts w:hint="eastAsia"/>
          <w:lang w:eastAsia="zh-CN"/>
        </w:rPr>
        <w:t>.</w:t>
      </w:r>
    </w:p>
    <w:p w14:paraId="3596E80A" w14:textId="31EE3794" w:rsidR="008935F7" w:rsidRPr="0084651C" w:rsidRDefault="008935F7" w:rsidP="00AB368A">
      <w:pPr>
        <w:pStyle w:val="NO"/>
        <w:rPr>
          <w:lang w:eastAsia="zh-CN"/>
        </w:rPr>
      </w:pPr>
      <w:r w:rsidRPr="001D14D7">
        <w:rPr>
          <w:lang w:eastAsia="zh-CN"/>
        </w:rPr>
        <w:t>Note:</w:t>
      </w:r>
      <w:r w:rsidR="00AB368A">
        <w:rPr>
          <w:lang w:eastAsia="zh-CN"/>
        </w:rPr>
        <w:tab/>
      </w:r>
      <w:r w:rsidRPr="001D14D7">
        <w:rPr>
          <w:lang w:eastAsia="zh-CN"/>
        </w:rPr>
        <w:t xml:space="preserve">The reference measurement timing for one layer for inter-frequency measurement is </w:t>
      </w:r>
      <w:r w:rsidRPr="001D14D7">
        <w:rPr>
          <w:rFonts w:hint="eastAsia"/>
          <w:lang w:eastAsia="zh-CN"/>
        </w:rPr>
        <w:t>u</w:t>
      </w:r>
      <w:r w:rsidRPr="001D14D7">
        <w:rPr>
          <w:lang w:eastAsia="zh-CN"/>
        </w:rPr>
        <w:t>p to UE implementation and shall be based on the timing of one of the target cells.</w:t>
      </w:r>
    </w:p>
    <w:p w14:paraId="400F0C08" w14:textId="77777777" w:rsidR="008935F7" w:rsidRDefault="008935F7" w:rsidP="008935F7">
      <w:pPr>
        <w:pStyle w:val="TH"/>
      </w:pPr>
      <w:r>
        <w:t>Table 10.1.9.2.1-1: CSI-RSRQ Int</w:t>
      </w:r>
      <w:r>
        <w:rPr>
          <w:rFonts w:hint="eastAsia"/>
          <w:lang w:eastAsia="zh-CN"/>
        </w:rPr>
        <w:t>er</w:t>
      </w:r>
      <w:r>
        <w:t xml:space="preserve"> frequency absolute accuracy in FR1</w:t>
      </w:r>
    </w:p>
    <w:tbl>
      <w:tblPr>
        <w:tblW w:w="10172" w:type="dxa"/>
        <w:jc w:val="center"/>
        <w:tblLook w:val="01E0" w:firstRow="1" w:lastRow="1" w:firstColumn="1" w:lastColumn="1" w:noHBand="0" w:noVBand="0"/>
      </w:tblPr>
      <w:tblGrid>
        <w:gridCol w:w="1030"/>
        <w:gridCol w:w="1033"/>
        <w:gridCol w:w="739"/>
        <w:gridCol w:w="1881"/>
        <w:gridCol w:w="895"/>
        <w:gridCol w:w="887"/>
        <w:gridCol w:w="827"/>
        <w:gridCol w:w="1440"/>
        <w:gridCol w:w="1440"/>
      </w:tblGrid>
      <w:tr w:rsidR="008935F7" w:rsidRPr="009C5807" w14:paraId="1A7DD02F" w14:textId="77777777" w:rsidTr="008935F7">
        <w:trPr>
          <w:jc w:val="center"/>
        </w:trPr>
        <w:tc>
          <w:tcPr>
            <w:tcW w:w="2063"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1C4D6467" w14:textId="77777777" w:rsidR="008935F7" w:rsidRPr="009C5807" w:rsidRDefault="008935F7" w:rsidP="008935F7">
            <w:pPr>
              <w:pStyle w:val="TAH"/>
            </w:pPr>
            <w:r w:rsidRPr="009C5807">
              <w:t>Accuracy</w:t>
            </w:r>
          </w:p>
        </w:tc>
        <w:tc>
          <w:tcPr>
            <w:tcW w:w="8109"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6011808F" w14:textId="77777777" w:rsidR="008935F7" w:rsidRPr="009C5807" w:rsidRDefault="008935F7" w:rsidP="008935F7">
            <w:pPr>
              <w:pStyle w:val="TAH"/>
            </w:pPr>
            <w:r w:rsidRPr="009C5807">
              <w:t>Conditions</w:t>
            </w:r>
          </w:p>
        </w:tc>
      </w:tr>
      <w:tr w:rsidR="008935F7" w:rsidRPr="009C5807" w14:paraId="048F888A" w14:textId="77777777" w:rsidTr="008935F7">
        <w:trPr>
          <w:jc w:val="center"/>
        </w:trPr>
        <w:tc>
          <w:tcPr>
            <w:tcW w:w="1030" w:type="dxa"/>
            <w:tcBorders>
              <w:top w:val="single" w:sz="6" w:space="0" w:color="auto"/>
              <w:left w:val="single" w:sz="4" w:space="0" w:color="auto"/>
              <w:right w:val="single" w:sz="6" w:space="0" w:color="auto"/>
            </w:tcBorders>
            <w:shd w:val="clear" w:color="auto" w:fill="auto"/>
            <w:vAlign w:val="center"/>
          </w:tcPr>
          <w:p w14:paraId="67A85391" w14:textId="77777777" w:rsidR="008935F7" w:rsidRPr="009C5807" w:rsidRDefault="008935F7" w:rsidP="008935F7">
            <w:pPr>
              <w:pStyle w:val="TAH"/>
            </w:pPr>
            <w:r w:rsidRPr="009C5807">
              <w:t>Normal condition</w:t>
            </w:r>
          </w:p>
        </w:tc>
        <w:tc>
          <w:tcPr>
            <w:tcW w:w="1033" w:type="dxa"/>
            <w:tcBorders>
              <w:top w:val="single" w:sz="6" w:space="0" w:color="auto"/>
              <w:left w:val="single" w:sz="6" w:space="0" w:color="auto"/>
              <w:right w:val="single" w:sz="6" w:space="0" w:color="auto"/>
            </w:tcBorders>
            <w:shd w:val="clear" w:color="auto" w:fill="auto"/>
            <w:vAlign w:val="center"/>
          </w:tcPr>
          <w:p w14:paraId="3F9AE03B" w14:textId="77777777" w:rsidR="008935F7" w:rsidRPr="009C5807" w:rsidRDefault="008935F7" w:rsidP="008935F7">
            <w:pPr>
              <w:pStyle w:val="TAH"/>
            </w:pPr>
            <w:r w:rsidRPr="009C5807">
              <w:t>Extreme condition</w:t>
            </w:r>
          </w:p>
        </w:tc>
        <w:tc>
          <w:tcPr>
            <w:tcW w:w="739" w:type="dxa"/>
            <w:tcBorders>
              <w:top w:val="single" w:sz="6" w:space="0" w:color="auto"/>
              <w:left w:val="single" w:sz="6" w:space="0" w:color="auto"/>
              <w:right w:val="single" w:sz="6" w:space="0" w:color="auto"/>
            </w:tcBorders>
            <w:shd w:val="clear" w:color="auto" w:fill="auto"/>
            <w:vAlign w:val="center"/>
          </w:tcPr>
          <w:p w14:paraId="33990942" w14:textId="77777777" w:rsidR="008935F7" w:rsidRPr="009C5807" w:rsidRDefault="008935F7" w:rsidP="008935F7">
            <w:pPr>
              <w:pStyle w:val="TAH"/>
            </w:pPr>
            <w:r>
              <w:rPr>
                <w:rFonts w:hint="eastAsia"/>
                <w:lang w:eastAsia="zh-CN"/>
              </w:rPr>
              <w:t>CSI-RS</w:t>
            </w:r>
            <w:r w:rsidRPr="009C5807">
              <w:t xml:space="preserve"> Ês/Iot</w:t>
            </w:r>
          </w:p>
        </w:tc>
        <w:tc>
          <w:tcPr>
            <w:tcW w:w="7370"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1104E9F1" w14:textId="77777777" w:rsidR="008935F7" w:rsidRPr="009C5807" w:rsidRDefault="008935F7" w:rsidP="008935F7">
            <w:pPr>
              <w:pStyle w:val="TAH"/>
            </w:pPr>
            <w:r w:rsidRPr="009C5807">
              <w:t>Io</w:t>
            </w:r>
            <w:r w:rsidRPr="009C5807">
              <w:rPr>
                <w:vertAlign w:val="superscript"/>
                <w:lang w:eastAsia="zh-CN"/>
              </w:rPr>
              <w:t xml:space="preserve"> Note 1</w:t>
            </w:r>
            <w:r w:rsidRPr="009C5807">
              <w:t xml:space="preserve"> range</w:t>
            </w:r>
          </w:p>
        </w:tc>
      </w:tr>
      <w:tr w:rsidR="008935F7" w:rsidRPr="009C5807" w14:paraId="110D2D31" w14:textId="77777777" w:rsidTr="008935F7">
        <w:trPr>
          <w:jc w:val="center"/>
        </w:trPr>
        <w:tc>
          <w:tcPr>
            <w:tcW w:w="1030" w:type="dxa"/>
            <w:tcBorders>
              <w:left w:val="single" w:sz="4" w:space="0" w:color="auto"/>
              <w:bottom w:val="single" w:sz="6" w:space="0" w:color="auto"/>
              <w:right w:val="single" w:sz="6" w:space="0" w:color="auto"/>
            </w:tcBorders>
            <w:shd w:val="clear" w:color="auto" w:fill="auto"/>
            <w:vAlign w:val="center"/>
          </w:tcPr>
          <w:p w14:paraId="1175BC46" w14:textId="77777777" w:rsidR="008935F7" w:rsidRPr="009C5807" w:rsidRDefault="008935F7" w:rsidP="008935F7">
            <w:pPr>
              <w:pStyle w:val="TAH"/>
            </w:pPr>
          </w:p>
        </w:tc>
        <w:tc>
          <w:tcPr>
            <w:tcW w:w="1033" w:type="dxa"/>
            <w:tcBorders>
              <w:left w:val="single" w:sz="6" w:space="0" w:color="auto"/>
              <w:bottom w:val="single" w:sz="6" w:space="0" w:color="auto"/>
              <w:right w:val="single" w:sz="6" w:space="0" w:color="auto"/>
            </w:tcBorders>
            <w:shd w:val="clear" w:color="auto" w:fill="auto"/>
            <w:vAlign w:val="center"/>
          </w:tcPr>
          <w:p w14:paraId="6CC48E5C" w14:textId="77777777" w:rsidR="008935F7" w:rsidRPr="009C5807" w:rsidRDefault="008935F7" w:rsidP="008935F7">
            <w:pPr>
              <w:pStyle w:val="TAH"/>
            </w:pPr>
          </w:p>
        </w:tc>
        <w:tc>
          <w:tcPr>
            <w:tcW w:w="739" w:type="dxa"/>
            <w:tcBorders>
              <w:left w:val="single" w:sz="6" w:space="0" w:color="auto"/>
              <w:bottom w:val="single" w:sz="6" w:space="0" w:color="auto"/>
              <w:right w:val="single" w:sz="6" w:space="0" w:color="auto"/>
            </w:tcBorders>
            <w:shd w:val="clear" w:color="auto" w:fill="auto"/>
            <w:vAlign w:val="center"/>
          </w:tcPr>
          <w:p w14:paraId="4B9663D2" w14:textId="77777777" w:rsidR="008935F7" w:rsidRPr="009C5807" w:rsidRDefault="008935F7" w:rsidP="008935F7">
            <w:pPr>
              <w:pStyle w:val="TAH"/>
            </w:pPr>
          </w:p>
        </w:tc>
        <w:tc>
          <w:tcPr>
            <w:tcW w:w="1881" w:type="dxa"/>
            <w:tcBorders>
              <w:top w:val="single" w:sz="6" w:space="0" w:color="auto"/>
              <w:left w:val="single" w:sz="6" w:space="0" w:color="auto"/>
              <w:bottom w:val="single" w:sz="6" w:space="0" w:color="auto"/>
              <w:right w:val="single" w:sz="4" w:space="0" w:color="auto"/>
            </w:tcBorders>
            <w:shd w:val="clear" w:color="auto" w:fill="auto"/>
            <w:vAlign w:val="center"/>
          </w:tcPr>
          <w:p w14:paraId="638047A1" w14:textId="77777777" w:rsidR="008935F7" w:rsidRPr="009C5807" w:rsidRDefault="008935F7" w:rsidP="008935F7">
            <w:pPr>
              <w:pStyle w:val="TAH"/>
            </w:pPr>
            <w:r w:rsidRPr="009C5807">
              <w:t>NR operating band groups</w:t>
            </w:r>
            <w:r w:rsidRPr="009C5807">
              <w:rPr>
                <w:vertAlign w:val="superscript"/>
              </w:rPr>
              <w:t xml:space="preserve"> </w:t>
            </w:r>
            <w:r w:rsidRPr="009C5807">
              <w:rPr>
                <w:vertAlign w:val="superscript"/>
                <w:lang w:eastAsia="zh-CN"/>
              </w:rPr>
              <w:t>Note 3</w:t>
            </w:r>
          </w:p>
        </w:tc>
        <w:tc>
          <w:tcPr>
            <w:tcW w:w="4049"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4B48CB3F" w14:textId="77777777" w:rsidR="008935F7" w:rsidRPr="009C5807" w:rsidRDefault="008935F7" w:rsidP="008935F7">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42AA0EF9" w14:textId="77777777" w:rsidR="008935F7" w:rsidRPr="009C5807" w:rsidRDefault="008935F7" w:rsidP="008935F7">
            <w:pPr>
              <w:pStyle w:val="TAH"/>
            </w:pPr>
            <w:r w:rsidRPr="009C5807">
              <w:t>Maximum Io</w:t>
            </w:r>
          </w:p>
        </w:tc>
      </w:tr>
      <w:tr w:rsidR="008935F7" w:rsidRPr="009C5807" w14:paraId="1F836DDA" w14:textId="77777777" w:rsidTr="008935F7">
        <w:trPr>
          <w:trHeight w:val="308"/>
          <w:jc w:val="center"/>
        </w:trPr>
        <w:tc>
          <w:tcPr>
            <w:tcW w:w="1030" w:type="dxa"/>
            <w:tcBorders>
              <w:top w:val="single" w:sz="6" w:space="0" w:color="auto"/>
              <w:left w:val="single" w:sz="4" w:space="0" w:color="auto"/>
              <w:right w:val="single" w:sz="6" w:space="0" w:color="auto"/>
            </w:tcBorders>
            <w:shd w:val="clear" w:color="auto" w:fill="auto"/>
          </w:tcPr>
          <w:p w14:paraId="418B7642" w14:textId="77777777" w:rsidR="008935F7" w:rsidRPr="009C5807" w:rsidRDefault="008935F7" w:rsidP="008935F7">
            <w:pPr>
              <w:pStyle w:val="TAH"/>
            </w:pPr>
            <w:r w:rsidRPr="009C5807">
              <w:t>dB</w:t>
            </w:r>
          </w:p>
        </w:tc>
        <w:tc>
          <w:tcPr>
            <w:tcW w:w="1033" w:type="dxa"/>
            <w:tcBorders>
              <w:top w:val="single" w:sz="6" w:space="0" w:color="auto"/>
              <w:left w:val="single" w:sz="6" w:space="0" w:color="auto"/>
              <w:right w:val="single" w:sz="6" w:space="0" w:color="auto"/>
            </w:tcBorders>
            <w:shd w:val="clear" w:color="auto" w:fill="auto"/>
          </w:tcPr>
          <w:p w14:paraId="1E44AA6E" w14:textId="77777777" w:rsidR="008935F7" w:rsidRPr="009C5807" w:rsidRDefault="008935F7" w:rsidP="008935F7">
            <w:pPr>
              <w:pStyle w:val="TAH"/>
            </w:pPr>
            <w:r w:rsidRPr="009C5807">
              <w:t>dB</w:t>
            </w:r>
          </w:p>
        </w:tc>
        <w:tc>
          <w:tcPr>
            <w:tcW w:w="739" w:type="dxa"/>
            <w:tcBorders>
              <w:top w:val="single" w:sz="6" w:space="0" w:color="auto"/>
              <w:left w:val="single" w:sz="6" w:space="0" w:color="auto"/>
              <w:right w:val="single" w:sz="6" w:space="0" w:color="auto"/>
            </w:tcBorders>
            <w:shd w:val="clear" w:color="auto" w:fill="auto"/>
          </w:tcPr>
          <w:p w14:paraId="4B4AF961" w14:textId="77777777" w:rsidR="008935F7" w:rsidRPr="009C5807" w:rsidRDefault="008935F7" w:rsidP="008935F7">
            <w:pPr>
              <w:pStyle w:val="TAH"/>
            </w:pPr>
            <w:r w:rsidRPr="009C5807">
              <w:t>dB</w:t>
            </w:r>
          </w:p>
        </w:tc>
        <w:tc>
          <w:tcPr>
            <w:tcW w:w="1881" w:type="dxa"/>
            <w:tcBorders>
              <w:top w:val="single" w:sz="6" w:space="0" w:color="auto"/>
              <w:left w:val="single" w:sz="6" w:space="0" w:color="auto"/>
              <w:right w:val="single" w:sz="4" w:space="0" w:color="auto"/>
            </w:tcBorders>
            <w:shd w:val="clear" w:color="auto" w:fill="auto"/>
          </w:tcPr>
          <w:p w14:paraId="164DD9A7" w14:textId="77777777" w:rsidR="008935F7" w:rsidRPr="009C5807" w:rsidRDefault="008935F7" w:rsidP="008935F7">
            <w:pPr>
              <w:pStyle w:val="TAH"/>
            </w:pPr>
          </w:p>
        </w:tc>
        <w:tc>
          <w:tcPr>
            <w:tcW w:w="2609" w:type="dxa"/>
            <w:gridSpan w:val="3"/>
            <w:tcBorders>
              <w:top w:val="single" w:sz="6" w:space="0" w:color="auto"/>
              <w:left w:val="single" w:sz="4" w:space="0" w:color="auto"/>
              <w:bottom w:val="single" w:sz="6" w:space="0" w:color="auto"/>
              <w:right w:val="single" w:sz="6" w:space="0" w:color="auto"/>
            </w:tcBorders>
            <w:shd w:val="clear" w:color="auto" w:fill="auto"/>
          </w:tcPr>
          <w:p w14:paraId="43A3A639" w14:textId="77777777" w:rsidR="008935F7" w:rsidRPr="009C5807" w:rsidRDefault="008935F7" w:rsidP="008935F7">
            <w:pPr>
              <w:pStyle w:val="TAH"/>
              <w:rPr>
                <w:lang w:eastAsia="zh-CN"/>
              </w:rPr>
            </w:pPr>
            <w:r w:rsidRPr="009C5807">
              <w:rPr>
                <w:rFonts w:cs="Arial"/>
              </w:rPr>
              <w:t xml:space="preserve">dBm / </w:t>
            </w:r>
            <w:r w:rsidRPr="009C5807">
              <w:t>SCS</w:t>
            </w:r>
            <w:r>
              <w:rPr>
                <w:rFonts w:hint="eastAsia"/>
                <w:vertAlign w:val="subscript"/>
                <w:lang w:eastAsia="zh-CN"/>
              </w:rPr>
              <w:t>CSI-RS</w:t>
            </w:r>
          </w:p>
        </w:tc>
        <w:tc>
          <w:tcPr>
            <w:tcW w:w="1440" w:type="dxa"/>
            <w:tcBorders>
              <w:top w:val="single" w:sz="6" w:space="0" w:color="auto"/>
              <w:left w:val="single" w:sz="6" w:space="0" w:color="auto"/>
              <w:right w:val="single" w:sz="6" w:space="0" w:color="auto"/>
            </w:tcBorders>
            <w:shd w:val="clear" w:color="auto" w:fill="auto"/>
          </w:tcPr>
          <w:p w14:paraId="782CA847" w14:textId="77777777" w:rsidR="008935F7" w:rsidRPr="009C5807" w:rsidRDefault="008935F7" w:rsidP="008935F7">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6440A83F" w14:textId="77777777" w:rsidR="008935F7" w:rsidRPr="009C5807" w:rsidRDefault="008935F7" w:rsidP="008935F7">
            <w:pPr>
              <w:pStyle w:val="TAH"/>
            </w:pPr>
            <w:r w:rsidRPr="009C5807">
              <w:t>dBm/BW</w:t>
            </w:r>
            <w:r w:rsidRPr="009C5807">
              <w:rPr>
                <w:vertAlign w:val="subscript"/>
              </w:rPr>
              <w:t>Channel</w:t>
            </w:r>
          </w:p>
        </w:tc>
      </w:tr>
      <w:tr w:rsidR="008935F7" w:rsidRPr="009C5807" w14:paraId="7412A359" w14:textId="77777777" w:rsidTr="008935F7">
        <w:trPr>
          <w:trHeight w:val="307"/>
          <w:jc w:val="center"/>
        </w:trPr>
        <w:tc>
          <w:tcPr>
            <w:tcW w:w="1030" w:type="dxa"/>
            <w:tcBorders>
              <w:left w:val="single" w:sz="4" w:space="0" w:color="auto"/>
              <w:bottom w:val="single" w:sz="6" w:space="0" w:color="auto"/>
              <w:right w:val="single" w:sz="6" w:space="0" w:color="auto"/>
            </w:tcBorders>
            <w:shd w:val="clear" w:color="auto" w:fill="auto"/>
          </w:tcPr>
          <w:p w14:paraId="101A0C6E" w14:textId="77777777" w:rsidR="008935F7" w:rsidRPr="009C5807" w:rsidRDefault="008935F7" w:rsidP="008935F7">
            <w:pPr>
              <w:pStyle w:val="TAH"/>
            </w:pPr>
          </w:p>
        </w:tc>
        <w:tc>
          <w:tcPr>
            <w:tcW w:w="1033" w:type="dxa"/>
            <w:tcBorders>
              <w:left w:val="single" w:sz="6" w:space="0" w:color="auto"/>
              <w:bottom w:val="single" w:sz="6" w:space="0" w:color="auto"/>
              <w:right w:val="single" w:sz="6" w:space="0" w:color="auto"/>
            </w:tcBorders>
            <w:shd w:val="clear" w:color="auto" w:fill="auto"/>
          </w:tcPr>
          <w:p w14:paraId="525B8F55" w14:textId="77777777" w:rsidR="008935F7" w:rsidRPr="009C5807" w:rsidRDefault="008935F7" w:rsidP="008935F7">
            <w:pPr>
              <w:pStyle w:val="TAH"/>
            </w:pPr>
          </w:p>
        </w:tc>
        <w:tc>
          <w:tcPr>
            <w:tcW w:w="739" w:type="dxa"/>
            <w:tcBorders>
              <w:left w:val="single" w:sz="6" w:space="0" w:color="auto"/>
              <w:bottom w:val="single" w:sz="6" w:space="0" w:color="auto"/>
              <w:right w:val="single" w:sz="6" w:space="0" w:color="auto"/>
            </w:tcBorders>
            <w:shd w:val="clear" w:color="auto" w:fill="auto"/>
          </w:tcPr>
          <w:p w14:paraId="1D9692A3" w14:textId="77777777" w:rsidR="008935F7" w:rsidRPr="009C5807" w:rsidRDefault="008935F7" w:rsidP="008935F7">
            <w:pPr>
              <w:pStyle w:val="TAH"/>
            </w:pPr>
          </w:p>
        </w:tc>
        <w:tc>
          <w:tcPr>
            <w:tcW w:w="1881" w:type="dxa"/>
            <w:tcBorders>
              <w:left w:val="single" w:sz="6" w:space="0" w:color="auto"/>
              <w:bottom w:val="single" w:sz="6" w:space="0" w:color="auto"/>
              <w:right w:val="single" w:sz="4" w:space="0" w:color="auto"/>
            </w:tcBorders>
            <w:shd w:val="clear" w:color="auto" w:fill="auto"/>
          </w:tcPr>
          <w:p w14:paraId="34843A20" w14:textId="77777777" w:rsidR="008935F7" w:rsidRPr="009C5807" w:rsidRDefault="008935F7" w:rsidP="008935F7">
            <w:pPr>
              <w:pStyle w:val="TAH"/>
            </w:pP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4FB6BF55" w14:textId="77777777" w:rsidR="008935F7" w:rsidRPr="009C5807" w:rsidRDefault="008935F7" w:rsidP="008935F7">
            <w:pPr>
              <w:pStyle w:val="TAH"/>
              <w:rPr>
                <w:rFonts w:cs="Arial"/>
              </w:rPr>
            </w:pPr>
            <w:r w:rsidRPr="009C5807">
              <w:t>SCS</w:t>
            </w:r>
            <w:r>
              <w:rPr>
                <w:rFonts w:hint="eastAsia"/>
                <w:vertAlign w:val="subscript"/>
                <w:lang w:eastAsia="zh-CN"/>
              </w:rPr>
              <w:t>CSI-RS</w:t>
            </w:r>
            <w:r w:rsidRPr="009C5807">
              <w:rPr>
                <w:rFonts w:cs="Arial"/>
              </w:rPr>
              <w:t xml:space="preserve"> = 15 kHz</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30D6F453" w14:textId="77777777" w:rsidR="008935F7" w:rsidRPr="009C5807" w:rsidRDefault="008935F7" w:rsidP="008935F7">
            <w:pPr>
              <w:pStyle w:val="TAC"/>
              <w:rPr>
                <w:rFonts w:cs="Arial"/>
              </w:rPr>
            </w:pPr>
            <w:r w:rsidRPr="00AC722A">
              <w:rPr>
                <w:b/>
              </w:rPr>
              <w:t>SCS</w:t>
            </w:r>
            <w:r w:rsidRPr="005560E1">
              <w:rPr>
                <w:b/>
                <w:vertAlign w:val="subscript"/>
              </w:rPr>
              <w:t>CSI-RS</w:t>
            </w:r>
            <w:r w:rsidRPr="00AC722A">
              <w:rPr>
                <w:b/>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167E2D4" w14:textId="77777777" w:rsidR="008935F7" w:rsidRPr="009C5807" w:rsidRDefault="008935F7" w:rsidP="008935F7">
            <w:pPr>
              <w:pStyle w:val="TAC"/>
              <w:rPr>
                <w:rFonts w:cs="Arial"/>
              </w:rPr>
            </w:pPr>
            <w:r w:rsidRPr="00AC722A">
              <w:rPr>
                <w:b/>
              </w:rPr>
              <w:t>SCS</w:t>
            </w:r>
            <w:r w:rsidRPr="005560E1">
              <w:rPr>
                <w:b/>
                <w:vertAlign w:val="subscript"/>
              </w:rPr>
              <w:t>CSI-RS</w:t>
            </w:r>
            <w:r w:rsidRPr="00AC722A">
              <w:rPr>
                <w:b/>
              </w:rPr>
              <w:t xml:space="preserve"> = </w:t>
            </w:r>
            <w:r>
              <w:rPr>
                <w:rFonts w:hint="eastAsia"/>
                <w:b/>
                <w:lang w:eastAsia="zh-CN"/>
              </w:rPr>
              <w:t>6</w:t>
            </w:r>
            <w:r w:rsidRPr="00AC722A">
              <w:rPr>
                <w:b/>
              </w:rPr>
              <w:t>0 kHz</w:t>
            </w:r>
          </w:p>
        </w:tc>
        <w:tc>
          <w:tcPr>
            <w:tcW w:w="1440" w:type="dxa"/>
            <w:tcBorders>
              <w:left w:val="single" w:sz="6" w:space="0" w:color="auto"/>
              <w:bottom w:val="single" w:sz="6" w:space="0" w:color="auto"/>
              <w:right w:val="single" w:sz="6" w:space="0" w:color="auto"/>
            </w:tcBorders>
            <w:shd w:val="clear" w:color="auto" w:fill="auto"/>
          </w:tcPr>
          <w:p w14:paraId="4975AE37" w14:textId="77777777" w:rsidR="008935F7" w:rsidRPr="009C5807" w:rsidRDefault="008935F7" w:rsidP="008935F7">
            <w:pPr>
              <w:pStyle w:val="TAH"/>
            </w:pPr>
          </w:p>
        </w:tc>
        <w:tc>
          <w:tcPr>
            <w:tcW w:w="1440" w:type="dxa"/>
            <w:tcBorders>
              <w:left w:val="single" w:sz="6" w:space="0" w:color="auto"/>
              <w:bottom w:val="single" w:sz="6" w:space="0" w:color="auto"/>
              <w:right w:val="single" w:sz="4" w:space="0" w:color="auto"/>
            </w:tcBorders>
            <w:shd w:val="clear" w:color="auto" w:fill="auto"/>
          </w:tcPr>
          <w:p w14:paraId="42A94D98" w14:textId="77777777" w:rsidR="008935F7" w:rsidRPr="009C5807" w:rsidRDefault="008935F7" w:rsidP="008935F7">
            <w:pPr>
              <w:pStyle w:val="TAH"/>
            </w:pPr>
          </w:p>
        </w:tc>
      </w:tr>
      <w:tr w:rsidR="008935F7" w:rsidRPr="009C5807" w14:paraId="47B7AAB4" w14:textId="77777777" w:rsidTr="008935F7">
        <w:trPr>
          <w:jc w:val="center"/>
        </w:trPr>
        <w:tc>
          <w:tcPr>
            <w:tcW w:w="1030" w:type="dxa"/>
            <w:tcBorders>
              <w:top w:val="single" w:sz="6" w:space="0" w:color="auto"/>
              <w:left w:val="single" w:sz="4" w:space="0" w:color="auto"/>
              <w:right w:val="single" w:sz="6" w:space="0" w:color="auto"/>
            </w:tcBorders>
            <w:shd w:val="clear" w:color="auto" w:fill="auto"/>
          </w:tcPr>
          <w:p w14:paraId="0A117317" w14:textId="77777777" w:rsidR="008935F7" w:rsidRPr="009C5807" w:rsidRDefault="008935F7" w:rsidP="008935F7">
            <w:pPr>
              <w:pStyle w:val="TAC"/>
            </w:pPr>
          </w:p>
        </w:tc>
        <w:tc>
          <w:tcPr>
            <w:tcW w:w="1033" w:type="dxa"/>
            <w:tcBorders>
              <w:top w:val="single" w:sz="6" w:space="0" w:color="auto"/>
              <w:left w:val="single" w:sz="6" w:space="0" w:color="auto"/>
              <w:right w:val="single" w:sz="6" w:space="0" w:color="auto"/>
            </w:tcBorders>
            <w:shd w:val="clear" w:color="auto" w:fill="auto"/>
          </w:tcPr>
          <w:p w14:paraId="5A78E03E" w14:textId="77777777" w:rsidR="008935F7" w:rsidRPr="009C5807" w:rsidRDefault="008935F7" w:rsidP="008935F7">
            <w:pPr>
              <w:pStyle w:val="TAC"/>
            </w:pPr>
          </w:p>
        </w:tc>
        <w:tc>
          <w:tcPr>
            <w:tcW w:w="739" w:type="dxa"/>
            <w:tcBorders>
              <w:top w:val="single" w:sz="6" w:space="0" w:color="auto"/>
              <w:left w:val="single" w:sz="6" w:space="0" w:color="auto"/>
              <w:right w:val="single" w:sz="6" w:space="0" w:color="auto"/>
            </w:tcBorders>
            <w:shd w:val="clear" w:color="auto" w:fill="auto"/>
          </w:tcPr>
          <w:p w14:paraId="6A3F8EC6" w14:textId="77777777" w:rsidR="008935F7" w:rsidRPr="009C5807" w:rsidRDefault="008935F7" w:rsidP="008935F7">
            <w:pPr>
              <w:pStyle w:val="TAC"/>
            </w:pP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2355437C" w14:textId="77777777" w:rsidR="008935F7" w:rsidRPr="009C5807" w:rsidRDefault="008935F7" w:rsidP="008935F7">
            <w:pPr>
              <w:pStyle w:val="TAC"/>
            </w:pPr>
            <w:r w:rsidRPr="009C5807">
              <w:t>NR_FDD_FR1_A, NR_TDD_FR1_A,</w:t>
            </w:r>
          </w:p>
          <w:p w14:paraId="190AA1B3" w14:textId="77777777" w:rsidR="008935F7" w:rsidRPr="009C5807" w:rsidRDefault="008935F7" w:rsidP="008935F7">
            <w:pPr>
              <w:pStyle w:val="TAC"/>
            </w:pPr>
            <w:r w:rsidRPr="009C5807">
              <w:t>NR_SDL_FR1_A</w:t>
            </w: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47EA059A" w14:textId="77777777" w:rsidR="008935F7" w:rsidRPr="009C5807" w:rsidRDefault="008935F7" w:rsidP="008935F7">
            <w:pPr>
              <w:pStyle w:val="TAC"/>
            </w:pPr>
            <w:r w:rsidRPr="009C5807">
              <w:t>-121</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77E5B9E9" w14:textId="77777777" w:rsidR="008935F7" w:rsidRPr="009C5807" w:rsidRDefault="008935F7" w:rsidP="008935F7">
            <w:pPr>
              <w:pStyle w:val="TAC"/>
              <w:rPr>
                <w:rFonts w:cs="Arial"/>
              </w:rPr>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31A1F19" w14:textId="77777777" w:rsidR="008935F7" w:rsidRPr="009C5807" w:rsidRDefault="008935F7" w:rsidP="008935F7">
            <w:pPr>
              <w:pStyle w:val="TAC"/>
              <w:rPr>
                <w:rFonts w:cs="Arial"/>
              </w:rPr>
            </w:pPr>
            <w:r w:rsidRPr="00C3342A">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C27DADF"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0048039" w14:textId="77777777" w:rsidR="008935F7" w:rsidRPr="009C5807" w:rsidRDefault="008935F7" w:rsidP="008935F7">
            <w:pPr>
              <w:pStyle w:val="TAC"/>
            </w:pPr>
            <w:r w:rsidRPr="009C5807">
              <w:t>-50</w:t>
            </w:r>
          </w:p>
        </w:tc>
      </w:tr>
      <w:tr w:rsidR="008935F7" w:rsidRPr="009C5807" w14:paraId="1689EDF7" w14:textId="77777777" w:rsidTr="008935F7">
        <w:trPr>
          <w:jc w:val="center"/>
        </w:trPr>
        <w:tc>
          <w:tcPr>
            <w:tcW w:w="1030" w:type="dxa"/>
            <w:tcBorders>
              <w:left w:val="single" w:sz="4" w:space="0" w:color="auto"/>
              <w:right w:val="single" w:sz="6" w:space="0" w:color="auto"/>
            </w:tcBorders>
            <w:shd w:val="clear" w:color="auto" w:fill="auto"/>
          </w:tcPr>
          <w:p w14:paraId="6C1C845F" w14:textId="77777777" w:rsidR="008935F7" w:rsidRPr="009C5807" w:rsidRDefault="008935F7" w:rsidP="008935F7">
            <w:pPr>
              <w:pStyle w:val="TAC"/>
            </w:pPr>
          </w:p>
        </w:tc>
        <w:tc>
          <w:tcPr>
            <w:tcW w:w="1033" w:type="dxa"/>
            <w:tcBorders>
              <w:left w:val="single" w:sz="6" w:space="0" w:color="auto"/>
              <w:right w:val="single" w:sz="6" w:space="0" w:color="auto"/>
            </w:tcBorders>
            <w:shd w:val="clear" w:color="auto" w:fill="auto"/>
          </w:tcPr>
          <w:p w14:paraId="1D0F1511" w14:textId="77777777" w:rsidR="008935F7" w:rsidRPr="009C5807" w:rsidRDefault="008935F7" w:rsidP="008935F7">
            <w:pPr>
              <w:pStyle w:val="TAC"/>
            </w:pPr>
          </w:p>
        </w:tc>
        <w:tc>
          <w:tcPr>
            <w:tcW w:w="739" w:type="dxa"/>
            <w:tcBorders>
              <w:left w:val="single" w:sz="6" w:space="0" w:color="auto"/>
              <w:right w:val="single" w:sz="6" w:space="0" w:color="auto"/>
            </w:tcBorders>
            <w:shd w:val="clear" w:color="auto" w:fill="auto"/>
          </w:tcPr>
          <w:p w14:paraId="66A7FE05" w14:textId="77777777" w:rsidR="008935F7" w:rsidRPr="009C5807" w:rsidRDefault="008935F7" w:rsidP="008935F7">
            <w:pPr>
              <w:pStyle w:val="TAC"/>
            </w:pP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55C905A5" w14:textId="77777777" w:rsidR="008935F7" w:rsidRPr="009C5807" w:rsidRDefault="008935F7" w:rsidP="008935F7">
            <w:pPr>
              <w:pStyle w:val="TAC"/>
            </w:pPr>
            <w:r w:rsidRPr="009C5807">
              <w:t>NR_FDD_FR1_B</w:t>
            </w: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1BEA6023" w14:textId="77777777" w:rsidR="008935F7" w:rsidRPr="009C5807" w:rsidRDefault="008935F7" w:rsidP="008935F7">
            <w:pPr>
              <w:pStyle w:val="TAC"/>
            </w:pPr>
            <w:r w:rsidRPr="009C5807">
              <w:t>-120.5</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0976E65A" w14:textId="77777777" w:rsidR="008935F7" w:rsidRPr="009C5807" w:rsidRDefault="008935F7" w:rsidP="008935F7">
            <w:pPr>
              <w:pStyle w:val="TAC"/>
              <w:rPr>
                <w:rFonts w:cs="Arial"/>
                <w:lang w:val="sv-SE"/>
              </w:rPr>
            </w:pPr>
            <w:r w:rsidRPr="009C5807">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16FB0AF" w14:textId="77777777" w:rsidR="008935F7" w:rsidRPr="009C5807" w:rsidRDefault="008935F7" w:rsidP="008935F7">
            <w:pPr>
              <w:pStyle w:val="TAC"/>
              <w:rPr>
                <w:rFonts w:cs="Arial"/>
                <w:lang w:val="sv-SE"/>
              </w:rPr>
            </w:pPr>
            <w:r w:rsidRPr="00C3342A">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4DA06F0" w14:textId="77777777" w:rsidR="008935F7" w:rsidRPr="009C5807" w:rsidRDefault="008935F7" w:rsidP="008935F7">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B48E51A" w14:textId="77777777" w:rsidR="008935F7" w:rsidRPr="009C5807" w:rsidRDefault="008935F7" w:rsidP="008935F7">
            <w:pPr>
              <w:pStyle w:val="TAC"/>
            </w:pPr>
            <w:r w:rsidRPr="009C5807">
              <w:t>-50</w:t>
            </w:r>
          </w:p>
        </w:tc>
      </w:tr>
      <w:tr w:rsidR="008935F7" w:rsidRPr="009C5807" w14:paraId="256C7398" w14:textId="77777777" w:rsidTr="008935F7">
        <w:trPr>
          <w:jc w:val="center"/>
        </w:trPr>
        <w:tc>
          <w:tcPr>
            <w:tcW w:w="1030" w:type="dxa"/>
            <w:tcBorders>
              <w:left w:val="single" w:sz="4" w:space="0" w:color="auto"/>
              <w:right w:val="single" w:sz="6" w:space="0" w:color="auto"/>
            </w:tcBorders>
            <w:shd w:val="clear" w:color="auto" w:fill="auto"/>
          </w:tcPr>
          <w:p w14:paraId="447AD633" w14:textId="77777777" w:rsidR="008935F7" w:rsidRPr="009C5807" w:rsidRDefault="008935F7" w:rsidP="008935F7">
            <w:pPr>
              <w:pStyle w:val="TAC"/>
            </w:pPr>
          </w:p>
        </w:tc>
        <w:tc>
          <w:tcPr>
            <w:tcW w:w="1033" w:type="dxa"/>
            <w:tcBorders>
              <w:left w:val="single" w:sz="6" w:space="0" w:color="auto"/>
              <w:right w:val="single" w:sz="6" w:space="0" w:color="auto"/>
            </w:tcBorders>
            <w:shd w:val="clear" w:color="auto" w:fill="auto"/>
          </w:tcPr>
          <w:p w14:paraId="37784895" w14:textId="77777777" w:rsidR="008935F7" w:rsidRPr="009C5807" w:rsidRDefault="008935F7" w:rsidP="008935F7">
            <w:pPr>
              <w:pStyle w:val="TAC"/>
            </w:pPr>
          </w:p>
        </w:tc>
        <w:tc>
          <w:tcPr>
            <w:tcW w:w="739" w:type="dxa"/>
            <w:tcBorders>
              <w:left w:val="single" w:sz="6" w:space="0" w:color="auto"/>
              <w:right w:val="single" w:sz="6" w:space="0" w:color="auto"/>
            </w:tcBorders>
            <w:shd w:val="clear" w:color="auto" w:fill="auto"/>
          </w:tcPr>
          <w:p w14:paraId="1C853EBE" w14:textId="77777777" w:rsidR="008935F7" w:rsidRPr="009C5807" w:rsidRDefault="008935F7" w:rsidP="008935F7">
            <w:pPr>
              <w:pStyle w:val="TAC"/>
            </w:pP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3EC4C4DB" w14:textId="77777777" w:rsidR="008935F7" w:rsidRPr="009C5807" w:rsidRDefault="008935F7" w:rsidP="008935F7">
            <w:pPr>
              <w:pStyle w:val="TAC"/>
            </w:pPr>
            <w:r w:rsidRPr="009C5807">
              <w:t>NR_TDD_FR1_C</w:t>
            </w: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1DC0EA7D" w14:textId="77777777" w:rsidR="008935F7" w:rsidRPr="009C5807" w:rsidRDefault="008935F7" w:rsidP="008935F7">
            <w:pPr>
              <w:pStyle w:val="TAC"/>
            </w:pPr>
            <w:r w:rsidRPr="009C5807">
              <w:t>-120</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0CF08A97" w14:textId="77777777" w:rsidR="008935F7" w:rsidRPr="009C5807" w:rsidRDefault="008935F7" w:rsidP="008935F7">
            <w:pPr>
              <w:pStyle w:val="TAC"/>
              <w:rPr>
                <w:rFonts w:cs="Arial"/>
                <w:lang w:val="sv-SE"/>
              </w:rPr>
            </w:pPr>
            <w:r w:rsidRPr="009C5807">
              <w:t>-117</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30179C8" w14:textId="77777777" w:rsidR="008935F7" w:rsidRPr="009C5807" w:rsidRDefault="008935F7" w:rsidP="008935F7">
            <w:pPr>
              <w:pStyle w:val="TAC"/>
              <w:rPr>
                <w:rFonts w:cs="Arial"/>
                <w:lang w:val="sv-SE"/>
              </w:rPr>
            </w:pPr>
            <w:r w:rsidRPr="00C3342A">
              <w:t>-114</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AA9A699"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9693D97" w14:textId="77777777" w:rsidR="008935F7" w:rsidRPr="009C5807" w:rsidRDefault="008935F7" w:rsidP="008935F7">
            <w:pPr>
              <w:pStyle w:val="TAC"/>
            </w:pPr>
            <w:r w:rsidRPr="009C5807">
              <w:t>-50</w:t>
            </w:r>
          </w:p>
        </w:tc>
      </w:tr>
      <w:tr w:rsidR="008935F7" w:rsidRPr="009C5807" w14:paraId="350EF21E" w14:textId="77777777" w:rsidTr="008935F7">
        <w:trPr>
          <w:jc w:val="center"/>
        </w:trPr>
        <w:tc>
          <w:tcPr>
            <w:tcW w:w="1030" w:type="dxa"/>
            <w:tcBorders>
              <w:left w:val="single" w:sz="4" w:space="0" w:color="auto"/>
              <w:right w:val="single" w:sz="6" w:space="0" w:color="auto"/>
            </w:tcBorders>
            <w:shd w:val="clear" w:color="auto" w:fill="auto"/>
          </w:tcPr>
          <w:p w14:paraId="4C9B485D" w14:textId="77777777" w:rsidR="008935F7" w:rsidRPr="009C5807" w:rsidRDefault="008935F7" w:rsidP="008935F7">
            <w:pPr>
              <w:pStyle w:val="TAC"/>
            </w:pPr>
            <w:r w:rsidRPr="009C5807">
              <w:sym w:font="Symbol" w:char="F0B1"/>
            </w:r>
            <w:r w:rsidRPr="009C5807">
              <w:t>2.5</w:t>
            </w:r>
          </w:p>
        </w:tc>
        <w:tc>
          <w:tcPr>
            <w:tcW w:w="1033" w:type="dxa"/>
            <w:tcBorders>
              <w:left w:val="single" w:sz="6" w:space="0" w:color="auto"/>
              <w:right w:val="single" w:sz="6" w:space="0" w:color="auto"/>
            </w:tcBorders>
            <w:shd w:val="clear" w:color="auto" w:fill="auto"/>
          </w:tcPr>
          <w:p w14:paraId="7C33EFD3" w14:textId="77777777" w:rsidR="008935F7" w:rsidRPr="009C5807" w:rsidRDefault="008935F7" w:rsidP="008935F7">
            <w:pPr>
              <w:pStyle w:val="TAC"/>
            </w:pPr>
            <w:r w:rsidRPr="009C5807">
              <w:sym w:font="Symbol" w:char="F0B1"/>
            </w:r>
            <w:r w:rsidRPr="009C5807">
              <w:t>4</w:t>
            </w:r>
          </w:p>
        </w:tc>
        <w:tc>
          <w:tcPr>
            <w:tcW w:w="739" w:type="dxa"/>
            <w:tcBorders>
              <w:left w:val="single" w:sz="6" w:space="0" w:color="auto"/>
              <w:right w:val="single" w:sz="6" w:space="0" w:color="auto"/>
            </w:tcBorders>
            <w:shd w:val="clear" w:color="auto" w:fill="auto"/>
          </w:tcPr>
          <w:p w14:paraId="6F845BE6" w14:textId="77777777" w:rsidR="008935F7" w:rsidRPr="009C5807" w:rsidRDefault="008935F7" w:rsidP="008935F7">
            <w:pPr>
              <w:pStyle w:val="TAC"/>
            </w:pPr>
            <w:r w:rsidRPr="009C5807">
              <w:sym w:font="Symbol" w:char="F0B3"/>
            </w:r>
            <w:r w:rsidRPr="009C5807">
              <w:t>-3</w:t>
            </w: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43C67646" w14:textId="77777777" w:rsidR="008935F7" w:rsidRPr="009C5807" w:rsidRDefault="008935F7" w:rsidP="008935F7">
            <w:pPr>
              <w:pStyle w:val="TAC"/>
              <w:rPr>
                <w:lang w:val="sv-SE"/>
              </w:rPr>
            </w:pPr>
            <w:r w:rsidRPr="009C5807">
              <w:rPr>
                <w:lang w:val="sv-SE"/>
              </w:rPr>
              <w:t>NR_FDD_FR1_D, NR_TDD_FR1_D</w:t>
            </w: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2FB42EAD" w14:textId="77777777" w:rsidR="008935F7" w:rsidRPr="009C5807" w:rsidRDefault="008935F7" w:rsidP="008935F7">
            <w:pPr>
              <w:pStyle w:val="TAC"/>
            </w:pPr>
            <w:r w:rsidRPr="009C5807">
              <w:t>-119.5</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2E6F751F" w14:textId="77777777" w:rsidR="008935F7" w:rsidRPr="009C5807" w:rsidRDefault="008935F7" w:rsidP="008935F7">
            <w:pPr>
              <w:pStyle w:val="TAC"/>
              <w:rPr>
                <w:rFonts w:cs="Arial"/>
              </w:rPr>
            </w:pPr>
            <w:r w:rsidRPr="009C5807">
              <w:t>-116.5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4ECEAAD" w14:textId="77777777" w:rsidR="008935F7" w:rsidRPr="009C5807" w:rsidRDefault="008935F7" w:rsidP="008935F7">
            <w:pPr>
              <w:pStyle w:val="TAC"/>
              <w:rPr>
                <w:rFonts w:cs="Arial"/>
              </w:rPr>
            </w:pPr>
            <w:r w:rsidRPr="00C3342A">
              <w:t>-113.5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FF39C1C"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FB88690" w14:textId="77777777" w:rsidR="008935F7" w:rsidRPr="009C5807" w:rsidRDefault="008935F7" w:rsidP="008935F7">
            <w:pPr>
              <w:pStyle w:val="TAC"/>
            </w:pPr>
            <w:r w:rsidRPr="009C5807">
              <w:t>-50</w:t>
            </w:r>
          </w:p>
        </w:tc>
      </w:tr>
      <w:tr w:rsidR="008935F7" w:rsidRPr="009C5807" w14:paraId="3F95F59B" w14:textId="77777777" w:rsidTr="008935F7">
        <w:trPr>
          <w:jc w:val="center"/>
        </w:trPr>
        <w:tc>
          <w:tcPr>
            <w:tcW w:w="1030" w:type="dxa"/>
            <w:tcBorders>
              <w:left w:val="single" w:sz="4" w:space="0" w:color="auto"/>
              <w:right w:val="single" w:sz="6" w:space="0" w:color="auto"/>
            </w:tcBorders>
            <w:shd w:val="clear" w:color="auto" w:fill="auto"/>
          </w:tcPr>
          <w:p w14:paraId="196B3E65" w14:textId="77777777" w:rsidR="008935F7" w:rsidRPr="009C5807" w:rsidRDefault="008935F7" w:rsidP="008935F7">
            <w:pPr>
              <w:pStyle w:val="TAC"/>
            </w:pPr>
          </w:p>
        </w:tc>
        <w:tc>
          <w:tcPr>
            <w:tcW w:w="1033" w:type="dxa"/>
            <w:tcBorders>
              <w:left w:val="single" w:sz="6" w:space="0" w:color="auto"/>
              <w:right w:val="single" w:sz="6" w:space="0" w:color="auto"/>
            </w:tcBorders>
            <w:shd w:val="clear" w:color="auto" w:fill="auto"/>
          </w:tcPr>
          <w:p w14:paraId="424565D5" w14:textId="77777777" w:rsidR="008935F7" w:rsidRPr="009C5807" w:rsidRDefault="008935F7" w:rsidP="008935F7">
            <w:pPr>
              <w:pStyle w:val="TAC"/>
            </w:pPr>
          </w:p>
        </w:tc>
        <w:tc>
          <w:tcPr>
            <w:tcW w:w="739" w:type="dxa"/>
            <w:tcBorders>
              <w:left w:val="single" w:sz="6" w:space="0" w:color="auto"/>
              <w:right w:val="single" w:sz="6" w:space="0" w:color="auto"/>
            </w:tcBorders>
            <w:shd w:val="clear" w:color="auto" w:fill="auto"/>
          </w:tcPr>
          <w:p w14:paraId="7B607E9B" w14:textId="77777777" w:rsidR="008935F7" w:rsidRPr="009C5807" w:rsidRDefault="008935F7" w:rsidP="008935F7">
            <w:pPr>
              <w:pStyle w:val="TAC"/>
            </w:pP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3FE60588" w14:textId="77777777" w:rsidR="008935F7" w:rsidRPr="009C5807" w:rsidDel="00836998" w:rsidRDefault="008935F7" w:rsidP="008935F7">
            <w:pPr>
              <w:pStyle w:val="TAC"/>
              <w:rPr>
                <w:lang w:val="sv-SE"/>
              </w:rPr>
            </w:pPr>
            <w:r w:rsidRPr="009C5807">
              <w:rPr>
                <w:lang w:val="sv-SE"/>
              </w:rPr>
              <w:t>NR_FDD_FR1_E, NR_TDD_FR1_E</w:t>
            </w: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766F0ABE" w14:textId="77777777" w:rsidR="008935F7" w:rsidRPr="009C5807" w:rsidRDefault="008935F7" w:rsidP="008935F7">
            <w:pPr>
              <w:pStyle w:val="TAC"/>
            </w:pPr>
            <w:r w:rsidRPr="009C5807">
              <w:t>-119</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1CFC2126" w14:textId="77777777" w:rsidR="008935F7" w:rsidRPr="009C5807" w:rsidRDefault="008935F7" w:rsidP="008935F7">
            <w:pPr>
              <w:pStyle w:val="TAC"/>
              <w:rPr>
                <w:rFonts w:cs="Arial"/>
                <w:lang w:val="sv-SE"/>
              </w:rPr>
            </w:pPr>
            <w:r w:rsidRPr="009C5807">
              <w:t>-116</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F9067AE" w14:textId="77777777" w:rsidR="008935F7" w:rsidRPr="009C5807" w:rsidRDefault="008935F7" w:rsidP="008935F7">
            <w:pPr>
              <w:pStyle w:val="TAC"/>
              <w:rPr>
                <w:rFonts w:cs="Arial"/>
                <w:lang w:val="sv-SE"/>
              </w:rPr>
            </w:pPr>
            <w:r w:rsidRPr="00C3342A">
              <w:t>-113</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1E62C85"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646A788" w14:textId="77777777" w:rsidR="008935F7" w:rsidRPr="009C5807" w:rsidRDefault="008935F7" w:rsidP="008935F7">
            <w:pPr>
              <w:pStyle w:val="TAC"/>
            </w:pPr>
            <w:r w:rsidRPr="009C5807">
              <w:t>-50</w:t>
            </w:r>
          </w:p>
        </w:tc>
      </w:tr>
      <w:tr w:rsidR="008935F7" w:rsidRPr="009C5807" w14:paraId="79F2FF26" w14:textId="77777777" w:rsidTr="008935F7">
        <w:trPr>
          <w:jc w:val="center"/>
        </w:trPr>
        <w:tc>
          <w:tcPr>
            <w:tcW w:w="1030" w:type="dxa"/>
            <w:tcBorders>
              <w:left w:val="single" w:sz="4" w:space="0" w:color="auto"/>
              <w:right w:val="single" w:sz="6" w:space="0" w:color="auto"/>
            </w:tcBorders>
            <w:shd w:val="clear" w:color="auto" w:fill="auto"/>
          </w:tcPr>
          <w:p w14:paraId="76FC160B" w14:textId="77777777" w:rsidR="008935F7" w:rsidRPr="009C5807" w:rsidRDefault="008935F7" w:rsidP="008935F7">
            <w:pPr>
              <w:pStyle w:val="TAC"/>
            </w:pPr>
          </w:p>
        </w:tc>
        <w:tc>
          <w:tcPr>
            <w:tcW w:w="1033" w:type="dxa"/>
            <w:tcBorders>
              <w:left w:val="single" w:sz="6" w:space="0" w:color="auto"/>
              <w:right w:val="single" w:sz="6" w:space="0" w:color="auto"/>
            </w:tcBorders>
            <w:shd w:val="clear" w:color="auto" w:fill="auto"/>
          </w:tcPr>
          <w:p w14:paraId="3FE6A2ED" w14:textId="77777777" w:rsidR="008935F7" w:rsidRPr="009C5807" w:rsidRDefault="008935F7" w:rsidP="008935F7">
            <w:pPr>
              <w:pStyle w:val="TAC"/>
            </w:pPr>
          </w:p>
        </w:tc>
        <w:tc>
          <w:tcPr>
            <w:tcW w:w="739" w:type="dxa"/>
            <w:tcBorders>
              <w:left w:val="single" w:sz="6" w:space="0" w:color="auto"/>
              <w:right w:val="single" w:sz="6" w:space="0" w:color="auto"/>
            </w:tcBorders>
            <w:shd w:val="clear" w:color="auto" w:fill="auto"/>
          </w:tcPr>
          <w:p w14:paraId="0E052C8D" w14:textId="77777777" w:rsidR="008935F7" w:rsidRPr="009C5807" w:rsidRDefault="008935F7" w:rsidP="008935F7">
            <w:pPr>
              <w:pStyle w:val="TAC"/>
            </w:pP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778AD784" w14:textId="77777777" w:rsidR="008935F7" w:rsidRPr="009C5807" w:rsidRDefault="008935F7" w:rsidP="008935F7">
            <w:pPr>
              <w:pStyle w:val="TAC"/>
              <w:rPr>
                <w:lang w:val="sv-SE"/>
              </w:rPr>
            </w:pPr>
            <w:r w:rsidRPr="009C5807">
              <w:rPr>
                <w:lang w:eastAsia="zh-CN"/>
              </w:rPr>
              <w:t>NR_FDD_FR1_F</w:t>
            </w: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247AC8EF" w14:textId="77777777" w:rsidR="008935F7" w:rsidRPr="009C5807" w:rsidRDefault="008935F7" w:rsidP="008935F7">
            <w:pPr>
              <w:pStyle w:val="TAC"/>
            </w:pPr>
            <w:r w:rsidRPr="009C5807">
              <w:t>-118.5</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157B348C" w14:textId="77777777" w:rsidR="008935F7" w:rsidRPr="009C5807" w:rsidRDefault="008935F7" w:rsidP="008935F7">
            <w:pPr>
              <w:pStyle w:val="TAC"/>
            </w:pPr>
            <w:r w:rsidRPr="009C5807">
              <w:rPr>
                <w:rFonts w:cs="Arial"/>
              </w:rPr>
              <w:t>-115.5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29B896B" w14:textId="77777777" w:rsidR="008935F7" w:rsidRPr="009C5807" w:rsidRDefault="008935F7" w:rsidP="008935F7">
            <w:pPr>
              <w:pStyle w:val="TAC"/>
            </w:pPr>
            <w:r w:rsidRPr="00C3342A">
              <w:t>-112.5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3F3AE4F"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672B76A" w14:textId="77777777" w:rsidR="008935F7" w:rsidRPr="009C5807" w:rsidRDefault="008935F7" w:rsidP="008935F7">
            <w:pPr>
              <w:pStyle w:val="TAC"/>
            </w:pPr>
            <w:r w:rsidRPr="009C5807">
              <w:t>-50</w:t>
            </w:r>
          </w:p>
        </w:tc>
      </w:tr>
      <w:tr w:rsidR="008935F7" w:rsidRPr="009C5807" w14:paraId="2D6D2366" w14:textId="77777777" w:rsidTr="008935F7">
        <w:trPr>
          <w:jc w:val="center"/>
        </w:trPr>
        <w:tc>
          <w:tcPr>
            <w:tcW w:w="1030" w:type="dxa"/>
            <w:tcBorders>
              <w:left w:val="single" w:sz="4" w:space="0" w:color="auto"/>
              <w:right w:val="single" w:sz="6" w:space="0" w:color="auto"/>
            </w:tcBorders>
            <w:shd w:val="clear" w:color="auto" w:fill="auto"/>
          </w:tcPr>
          <w:p w14:paraId="7A3343FF" w14:textId="77777777" w:rsidR="008935F7" w:rsidRPr="009C5807" w:rsidRDefault="008935F7" w:rsidP="008935F7">
            <w:pPr>
              <w:pStyle w:val="TAC"/>
            </w:pPr>
          </w:p>
        </w:tc>
        <w:tc>
          <w:tcPr>
            <w:tcW w:w="1033" w:type="dxa"/>
            <w:tcBorders>
              <w:left w:val="single" w:sz="6" w:space="0" w:color="auto"/>
              <w:right w:val="single" w:sz="6" w:space="0" w:color="auto"/>
            </w:tcBorders>
            <w:shd w:val="clear" w:color="auto" w:fill="auto"/>
          </w:tcPr>
          <w:p w14:paraId="1BC47CC2" w14:textId="77777777" w:rsidR="008935F7" w:rsidRPr="009C5807" w:rsidRDefault="008935F7" w:rsidP="008935F7">
            <w:pPr>
              <w:pStyle w:val="TAC"/>
            </w:pPr>
          </w:p>
        </w:tc>
        <w:tc>
          <w:tcPr>
            <w:tcW w:w="739" w:type="dxa"/>
            <w:tcBorders>
              <w:left w:val="single" w:sz="6" w:space="0" w:color="auto"/>
              <w:right w:val="single" w:sz="6" w:space="0" w:color="auto"/>
            </w:tcBorders>
            <w:shd w:val="clear" w:color="auto" w:fill="auto"/>
          </w:tcPr>
          <w:p w14:paraId="5BF2E056" w14:textId="77777777" w:rsidR="008935F7" w:rsidRPr="009C5807" w:rsidRDefault="008935F7" w:rsidP="008935F7">
            <w:pPr>
              <w:pStyle w:val="TAC"/>
            </w:pP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0F95367C" w14:textId="77777777" w:rsidR="008935F7" w:rsidRPr="009C5807" w:rsidDel="00836998" w:rsidRDefault="008935F7" w:rsidP="008935F7">
            <w:pPr>
              <w:pStyle w:val="TAC"/>
              <w:rPr>
                <w:lang w:eastAsia="zh-CN"/>
              </w:rPr>
            </w:pPr>
            <w:r w:rsidRPr="009C5807">
              <w:rPr>
                <w:lang w:eastAsia="zh-CN"/>
              </w:rPr>
              <w:t>NR</w:t>
            </w:r>
            <w:r w:rsidRPr="009C5807">
              <w:t>_</w:t>
            </w:r>
            <w:r w:rsidRPr="009C5807">
              <w:rPr>
                <w:lang w:eastAsia="zh-CN"/>
              </w:rPr>
              <w:t>FDD_FR1_G</w:t>
            </w: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6A57F475" w14:textId="77777777" w:rsidR="008935F7" w:rsidRPr="009C5807" w:rsidRDefault="008935F7" w:rsidP="008935F7">
            <w:pPr>
              <w:pStyle w:val="TAC"/>
            </w:pPr>
            <w:r w:rsidRPr="009C5807">
              <w:t>-118</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4B4A1C4C" w14:textId="77777777" w:rsidR="008935F7" w:rsidRPr="009C5807" w:rsidRDefault="008935F7" w:rsidP="008935F7">
            <w:pPr>
              <w:pStyle w:val="TAC"/>
              <w:rPr>
                <w:rFonts w:cs="Arial"/>
                <w:lang w:val="sv-SE"/>
              </w:rPr>
            </w:pPr>
            <w:r w:rsidRPr="009C5807">
              <w:rPr>
                <w:rFonts w:cs="Arial"/>
              </w:rPr>
              <w:t>-115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52C69BF" w14:textId="77777777" w:rsidR="008935F7" w:rsidRPr="009C5807" w:rsidRDefault="008935F7" w:rsidP="008935F7">
            <w:pPr>
              <w:pStyle w:val="TAC"/>
              <w:rPr>
                <w:rFonts w:cs="Arial"/>
                <w:lang w:val="sv-SE"/>
              </w:rPr>
            </w:pPr>
            <w:r w:rsidRPr="00C3342A">
              <w:t>-112</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3E1B1EF"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473E6E1" w14:textId="77777777" w:rsidR="008935F7" w:rsidRPr="009C5807" w:rsidRDefault="008935F7" w:rsidP="008935F7">
            <w:pPr>
              <w:pStyle w:val="TAC"/>
            </w:pPr>
            <w:r w:rsidRPr="009C5807">
              <w:t>-50</w:t>
            </w:r>
          </w:p>
        </w:tc>
      </w:tr>
      <w:tr w:rsidR="008935F7" w:rsidRPr="009C5807" w14:paraId="698E3601" w14:textId="77777777" w:rsidTr="008935F7">
        <w:trPr>
          <w:jc w:val="center"/>
        </w:trPr>
        <w:tc>
          <w:tcPr>
            <w:tcW w:w="1030" w:type="dxa"/>
            <w:tcBorders>
              <w:left w:val="single" w:sz="4" w:space="0" w:color="auto"/>
              <w:right w:val="single" w:sz="6" w:space="0" w:color="auto"/>
            </w:tcBorders>
            <w:shd w:val="clear" w:color="auto" w:fill="auto"/>
          </w:tcPr>
          <w:p w14:paraId="4EF3DBD7" w14:textId="77777777" w:rsidR="008935F7" w:rsidRPr="009C5807" w:rsidRDefault="008935F7" w:rsidP="008935F7">
            <w:pPr>
              <w:pStyle w:val="TAC"/>
            </w:pPr>
          </w:p>
        </w:tc>
        <w:tc>
          <w:tcPr>
            <w:tcW w:w="1033" w:type="dxa"/>
            <w:tcBorders>
              <w:left w:val="single" w:sz="6" w:space="0" w:color="auto"/>
              <w:right w:val="single" w:sz="6" w:space="0" w:color="auto"/>
            </w:tcBorders>
            <w:shd w:val="clear" w:color="auto" w:fill="auto"/>
          </w:tcPr>
          <w:p w14:paraId="7C45B47F" w14:textId="77777777" w:rsidR="008935F7" w:rsidRPr="009C5807" w:rsidRDefault="008935F7" w:rsidP="008935F7">
            <w:pPr>
              <w:pStyle w:val="TAC"/>
            </w:pPr>
          </w:p>
        </w:tc>
        <w:tc>
          <w:tcPr>
            <w:tcW w:w="739" w:type="dxa"/>
            <w:tcBorders>
              <w:left w:val="single" w:sz="6" w:space="0" w:color="auto"/>
              <w:right w:val="single" w:sz="6" w:space="0" w:color="auto"/>
            </w:tcBorders>
            <w:shd w:val="clear" w:color="auto" w:fill="auto"/>
          </w:tcPr>
          <w:p w14:paraId="192A73D6" w14:textId="77777777" w:rsidR="008935F7" w:rsidRPr="009C5807" w:rsidRDefault="008935F7" w:rsidP="008935F7">
            <w:pPr>
              <w:pStyle w:val="TAC"/>
            </w:pP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0CAA8A6C" w14:textId="77777777" w:rsidR="008935F7" w:rsidRPr="009C5807" w:rsidRDefault="008935F7" w:rsidP="008935F7">
            <w:pPr>
              <w:pStyle w:val="TAC"/>
              <w:rPr>
                <w:lang w:eastAsia="zh-CN"/>
              </w:rPr>
            </w:pPr>
            <w:r w:rsidRPr="009C5807">
              <w:rPr>
                <w:lang w:eastAsia="zh-CN"/>
              </w:rPr>
              <w:t>NR</w:t>
            </w:r>
            <w:r w:rsidRPr="009C5807">
              <w:t>_</w:t>
            </w:r>
            <w:r w:rsidRPr="009C5807">
              <w:rPr>
                <w:lang w:eastAsia="zh-CN"/>
              </w:rPr>
              <w:t>FDD_FR1_H</w:t>
            </w:r>
          </w:p>
        </w:tc>
        <w:tc>
          <w:tcPr>
            <w:tcW w:w="895" w:type="dxa"/>
            <w:tcBorders>
              <w:top w:val="single" w:sz="6" w:space="0" w:color="auto"/>
              <w:left w:val="single" w:sz="4" w:space="0" w:color="auto"/>
              <w:bottom w:val="single" w:sz="6" w:space="0" w:color="auto"/>
              <w:right w:val="single" w:sz="6" w:space="0" w:color="auto"/>
            </w:tcBorders>
            <w:shd w:val="clear" w:color="auto" w:fill="auto"/>
          </w:tcPr>
          <w:p w14:paraId="058D1520" w14:textId="77777777" w:rsidR="008935F7" w:rsidRPr="009C5807" w:rsidRDefault="008935F7" w:rsidP="008935F7">
            <w:pPr>
              <w:pStyle w:val="TAC"/>
            </w:pPr>
            <w:r w:rsidRPr="009C5807">
              <w:t>-117.5</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10700F78" w14:textId="77777777" w:rsidR="008935F7" w:rsidRPr="009C5807" w:rsidRDefault="008935F7" w:rsidP="008935F7">
            <w:pPr>
              <w:pStyle w:val="TAC"/>
              <w:rPr>
                <w:rFonts w:cs="Arial"/>
                <w:lang w:val="sv-SE"/>
              </w:rPr>
            </w:pPr>
            <w:r w:rsidRPr="009C5807">
              <w:rPr>
                <w:rFonts w:cs="Arial"/>
              </w:rPr>
              <w:t>-114.5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60E33D4" w14:textId="77777777" w:rsidR="008935F7" w:rsidRPr="009C5807" w:rsidRDefault="008935F7" w:rsidP="008935F7">
            <w:pPr>
              <w:pStyle w:val="TAC"/>
              <w:rPr>
                <w:rFonts w:cs="Arial"/>
                <w:lang w:val="sv-SE"/>
              </w:rPr>
            </w:pPr>
            <w:r w:rsidRPr="00C3342A">
              <w:t>-111.5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9E71F8F"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2B29F19" w14:textId="77777777" w:rsidR="008935F7" w:rsidRPr="009C5807" w:rsidRDefault="008935F7" w:rsidP="008935F7">
            <w:pPr>
              <w:pStyle w:val="TAC"/>
            </w:pPr>
            <w:r w:rsidRPr="009C5807">
              <w:t>-50</w:t>
            </w:r>
          </w:p>
        </w:tc>
      </w:tr>
      <w:tr w:rsidR="008935F7" w:rsidRPr="009C5807" w14:paraId="5E50586E" w14:textId="77777777" w:rsidTr="008935F7">
        <w:trPr>
          <w:jc w:val="center"/>
        </w:trPr>
        <w:tc>
          <w:tcPr>
            <w:tcW w:w="1030" w:type="dxa"/>
            <w:tcBorders>
              <w:top w:val="single" w:sz="6" w:space="0" w:color="auto"/>
              <w:left w:val="single" w:sz="4" w:space="0" w:color="auto"/>
              <w:bottom w:val="single" w:sz="6" w:space="0" w:color="auto"/>
              <w:right w:val="single" w:sz="6" w:space="0" w:color="auto"/>
            </w:tcBorders>
            <w:shd w:val="clear" w:color="auto" w:fill="auto"/>
          </w:tcPr>
          <w:p w14:paraId="0FBABFD9" w14:textId="77777777" w:rsidR="008935F7" w:rsidRPr="009C5807" w:rsidRDefault="008935F7" w:rsidP="008935F7">
            <w:pPr>
              <w:pStyle w:val="TAC"/>
            </w:pPr>
            <w:r w:rsidRPr="009C5807">
              <w:sym w:font="Symbol" w:char="F0B1"/>
            </w:r>
            <w:r w:rsidRPr="009C5807">
              <w:t>3.5</w:t>
            </w:r>
          </w:p>
        </w:tc>
        <w:tc>
          <w:tcPr>
            <w:tcW w:w="1033" w:type="dxa"/>
            <w:tcBorders>
              <w:top w:val="single" w:sz="6" w:space="0" w:color="auto"/>
              <w:left w:val="single" w:sz="6" w:space="0" w:color="auto"/>
              <w:bottom w:val="single" w:sz="6" w:space="0" w:color="auto"/>
              <w:right w:val="single" w:sz="6" w:space="0" w:color="auto"/>
            </w:tcBorders>
            <w:shd w:val="clear" w:color="auto" w:fill="auto"/>
          </w:tcPr>
          <w:p w14:paraId="0A5EA880" w14:textId="77777777" w:rsidR="008935F7" w:rsidRPr="009C5807" w:rsidRDefault="008935F7" w:rsidP="008935F7">
            <w:pPr>
              <w:pStyle w:val="TAC"/>
            </w:pPr>
            <w:r w:rsidRPr="009C5807">
              <w:sym w:font="Symbol" w:char="F0B1"/>
            </w:r>
            <w:r w:rsidRPr="009C5807">
              <w:t>4</w:t>
            </w:r>
          </w:p>
        </w:tc>
        <w:tc>
          <w:tcPr>
            <w:tcW w:w="739" w:type="dxa"/>
            <w:tcBorders>
              <w:top w:val="single" w:sz="6" w:space="0" w:color="auto"/>
              <w:left w:val="single" w:sz="6" w:space="0" w:color="auto"/>
              <w:bottom w:val="single" w:sz="6" w:space="0" w:color="auto"/>
              <w:right w:val="single" w:sz="6" w:space="0" w:color="auto"/>
            </w:tcBorders>
            <w:shd w:val="clear" w:color="auto" w:fill="auto"/>
          </w:tcPr>
          <w:p w14:paraId="6C72E09B" w14:textId="77777777" w:rsidR="008935F7" w:rsidRPr="009C5807" w:rsidRDefault="008935F7" w:rsidP="008935F7">
            <w:pPr>
              <w:pStyle w:val="TAC"/>
            </w:pPr>
            <w:r w:rsidRPr="009C5807">
              <w:sym w:font="Symbol" w:char="F0B3"/>
            </w:r>
            <w:r w:rsidRPr="009C5807">
              <w:t>-</w:t>
            </w:r>
            <w:r w:rsidRPr="009C5807">
              <w:rPr>
                <w:lang w:eastAsia="zh-CN"/>
              </w:rPr>
              <w:t>6</w:t>
            </w:r>
          </w:p>
        </w:tc>
        <w:tc>
          <w:tcPr>
            <w:tcW w:w="1881" w:type="dxa"/>
            <w:tcBorders>
              <w:top w:val="single" w:sz="6" w:space="0" w:color="auto"/>
              <w:left w:val="single" w:sz="6" w:space="0" w:color="auto"/>
              <w:bottom w:val="single" w:sz="6" w:space="0" w:color="auto"/>
              <w:right w:val="single" w:sz="4" w:space="0" w:color="auto"/>
            </w:tcBorders>
            <w:shd w:val="clear" w:color="auto" w:fill="auto"/>
          </w:tcPr>
          <w:p w14:paraId="0E1F9DA9" w14:textId="77777777" w:rsidR="008935F7" w:rsidRPr="009C5807" w:rsidRDefault="008935F7" w:rsidP="008935F7">
            <w:pPr>
              <w:pStyle w:val="TAC"/>
            </w:pPr>
            <w:r w:rsidRPr="009C5807">
              <w:t>Note 2</w:t>
            </w:r>
          </w:p>
        </w:tc>
        <w:tc>
          <w:tcPr>
            <w:tcW w:w="895" w:type="dxa"/>
            <w:tcBorders>
              <w:top w:val="single" w:sz="6" w:space="0" w:color="auto"/>
              <w:left w:val="single" w:sz="4" w:space="0" w:color="auto"/>
              <w:bottom w:val="single" w:sz="4" w:space="0" w:color="auto"/>
              <w:right w:val="single" w:sz="6" w:space="0" w:color="auto"/>
            </w:tcBorders>
            <w:shd w:val="clear" w:color="auto" w:fill="auto"/>
          </w:tcPr>
          <w:p w14:paraId="6DF01FE7" w14:textId="77777777" w:rsidR="008935F7" w:rsidRPr="009C5807" w:rsidRDefault="008935F7" w:rsidP="008935F7">
            <w:pPr>
              <w:pStyle w:val="TAC"/>
            </w:pPr>
            <w:r w:rsidRPr="009C5807">
              <w:t>Note 2</w:t>
            </w:r>
          </w:p>
        </w:tc>
        <w:tc>
          <w:tcPr>
            <w:tcW w:w="887" w:type="dxa"/>
            <w:tcBorders>
              <w:top w:val="single" w:sz="6" w:space="0" w:color="auto"/>
              <w:left w:val="single" w:sz="4" w:space="0" w:color="auto"/>
              <w:bottom w:val="single" w:sz="6" w:space="0" w:color="auto"/>
              <w:right w:val="single" w:sz="6" w:space="0" w:color="auto"/>
            </w:tcBorders>
            <w:shd w:val="clear" w:color="auto" w:fill="auto"/>
          </w:tcPr>
          <w:p w14:paraId="3004D402" w14:textId="77777777" w:rsidR="008935F7" w:rsidRPr="009C5807" w:rsidRDefault="008935F7" w:rsidP="008935F7">
            <w:pPr>
              <w:pStyle w:val="TAC"/>
              <w:rPr>
                <w:lang w:eastAsia="zh-CN"/>
              </w:rPr>
            </w:pPr>
            <w:r w:rsidRPr="009C5807">
              <w:t>Note 2</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4462A91" w14:textId="77777777" w:rsidR="008935F7" w:rsidRPr="009C5807" w:rsidRDefault="008935F7" w:rsidP="008935F7">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52DBCE59" w14:textId="77777777" w:rsidR="008935F7" w:rsidRPr="009C5807" w:rsidRDefault="008935F7" w:rsidP="008935F7">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558805B8" w14:textId="77777777" w:rsidR="008935F7" w:rsidRPr="009C5807" w:rsidRDefault="008935F7" w:rsidP="008935F7">
            <w:pPr>
              <w:pStyle w:val="TAC"/>
            </w:pPr>
            <w:r w:rsidRPr="009C5807">
              <w:t>Note 2</w:t>
            </w:r>
          </w:p>
        </w:tc>
      </w:tr>
      <w:tr w:rsidR="008935F7" w:rsidRPr="009C5807" w14:paraId="1C546A4E" w14:textId="77777777" w:rsidTr="008935F7">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4B5D6614" w14:textId="77777777" w:rsidR="008935F7" w:rsidRPr="009C5807" w:rsidRDefault="008935F7" w:rsidP="008935F7">
            <w:pPr>
              <w:pStyle w:val="TAN"/>
            </w:pPr>
            <w:r w:rsidRPr="009C5807">
              <w:t>NOTE 1:</w:t>
            </w:r>
            <w:r w:rsidRPr="009C5807">
              <w:tab/>
              <w:t>Io is assumed to have constant EPRE across the bandwidth.</w:t>
            </w:r>
          </w:p>
          <w:p w14:paraId="5921D93E" w14:textId="77777777" w:rsidR="008935F7" w:rsidRPr="009C5807" w:rsidRDefault="008935F7" w:rsidP="008935F7">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02980069" w14:textId="77777777" w:rsidR="008935F7" w:rsidRPr="009C5807" w:rsidRDefault="008935F7" w:rsidP="008935F7">
            <w:pPr>
              <w:pStyle w:val="TAN"/>
            </w:pPr>
            <w:r w:rsidRPr="009C5807">
              <w:t>NOTE 3:</w:t>
            </w:r>
            <w:r w:rsidRPr="009C5807">
              <w:tab/>
              <w:t>NR operating band groups in FR1 are as defined in clause 3.5.2.</w:t>
            </w:r>
          </w:p>
        </w:tc>
      </w:tr>
    </w:tbl>
    <w:p w14:paraId="6D7EE19E" w14:textId="77777777" w:rsidR="008935F7" w:rsidRPr="00FC4D7D" w:rsidRDefault="008935F7" w:rsidP="008935F7">
      <w:pPr>
        <w:rPr>
          <w:lang w:eastAsia="zh-CN"/>
        </w:rPr>
      </w:pPr>
    </w:p>
    <w:p w14:paraId="37A24C7B" w14:textId="77777777" w:rsidR="008935F7" w:rsidRDefault="008935F7" w:rsidP="008935F7">
      <w:pPr>
        <w:pStyle w:val="Heading5"/>
      </w:pPr>
      <w:r>
        <w:t>10.1.9.2.2</w:t>
      </w:r>
      <w:r>
        <w:tab/>
        <w:t xml:space="preserve">Relative </w:t>
      </w:r>
      <w:r>
        <w:rPr>
          <w:lang w:val="en-US"/>
        </w:rPr>
        <w:t xml:space="preserve">CSI-RSRQ </w:t>
      </w:r>
      <w:r>
        <w:t>Accuracy</w:t>
      </w:r>
    </w:p>
    <w:p w14:paraId="685CDBAE" w14:textId="77777777" w:rsidR="008935F7" w:rsidRDefault="008935F7" w:rsidP="008935F7">
      <w:pPr>
        <w:rPr>
          <w:rFonts w:cs="v4.2.0"/>
          <w:i/>
        </w:rPr>
      </w:pPr>
      <w:r>
        <w:rPr>
          <w:rFonts w:cs="v4.2.0"/>
        </w:rPr>
        <w:t xml:space="preserve">The relative accuracy of </w:t>
      </w:r>
      <w:r>
        <w:rPr>
          <w:rFonts w:cs="v4.2.0"/>
          <w:lang w:eastAsia="zh-CN"/>
        </w:rPr>
        <w:t>CSI-RSRQ</w:t>
      </w:r>
      <w:r>
        <w:rPr>
          <w:rFonts w:cs="v4.2.0"/>
        </w:rPr>
        <w:t xml:space="preserve"> is defined as the </w:t>
      </w:r>
      <w:r>
        <w:rPr>
          <w:rFonts w:cs="v4.2.0"/>
          <w:lang w:eastAsia="zh-CN"/>
        </w:rPr>
        <w:t>CSI-RSRQ</w:t>
      </w:r>
      <w:r>
        <w:rPr>
          <w:rFonts w:cs="v4.2.0"/>
        </w:rPr>
        <w:t xml:space="preserve"> measured from one cell compared to the </w:t>
      </w:r>
      <w:r>
        <w:rPr>
          <w:rFonts w:cs="v4.2.0"/>
          <w:lang w:eastAsia="zh-CN"/>
        </w:rPr>
        <w:t>CSI-RSRQ</w:t>
      </w:r>
      <w:r>
        <w:rPr>
          <w:rFonts w:cs="v4.2.0"/>
        </w:rPr>
        <w:t xml:space="preserve"> measured from another cell with the same center frequency, or between any two CSI-RSRQ levels measured on the same cell in FR1.</w:t>
      </w:r>
    </w:p>
    <w:p w14:paraId="4D64899D" w14:textId="77777777" w:rsidR="008935F7" w:rsidRDefault="008935F7" w:rsidP="008935F7">
      <w:pPr>
        <w:rPr>
          <w:rFonts w:cs="v4.2.0"/>
        </w:rPr>
      </w:pPr>
      <w:r>
        <w:rPr>
          <w:rFonts w:cs="v4.2.0"/>
        </w:rPr>
        <w:t xml:space="preserve">The accuracy requirements in Table </w:t>
      </w:r>
      <w:r>
        <w:rPr>
          <w:lang w:eastAsia="zh-CN"/>
        </w:rPr>
        <w:t>10.1.9</w:t>
      </w:r>
      <w:r>
        <w:t>.2</w:t>
      </w:r>
      <w:r>
        <w:rPr>
          <w:lang w:eastAsia="zh-CN"/>
        </w:rPr>
        <w:t>.2</w:t>
      </w:r>
      <w:r>
        <w:rPr>
          <w:rFonts w:cs="v4.2.0"/>
        </w:rPr>
        <w:t>-1 are valid under the following conditions:</w:t>
      </w:r>
    </w:p>
    <w:p w14:paraId="250018FD" w14:textId="77777777" w:rsidR="008935F7" w:rsidRDefault="008935F7" w:rsidP="00F37389">
      <w:pPr>
        <w:pStyle w:val="B10"/>
        <w:rPr>
          <w:lang w:eastAsia="zh-CN"/>
        </w:rPr>
      </w:pPr>
      <w:r>
        <w:t>-</w:t>
      </w:r>
      <w:r>
        <w:tab/>
        <w:t>Conditions defined in clause 7.3 of TS 38.101-</w:t>
      </w:r>
      <w:r>
        <w:rPr>
          <w:rFonts w:hint="eastAsia"/>
          <w:lang w:eastAsia="zh-CN"/>
        </w:rPr>
        <w:t>1</w:t>
      </w:r>
      <w:r>
        <w:t xml:space="preserve"> [1</w:t>
      </w:r>
      <w:r>
        <w:rPr>
          <w:rFonts w:hint="eastAsia"/>
          <w:lang w:eastAsia="zh-CN"/>
        </w:rPr>
        <w:t>8</w:t>
      </w:r>
      <w:r>
        <w:t>] for reference sensitivity are fulfilled.</w:t>
      </w:r>
    </w:p>
    <w:p w14:paraId="0FCB6A4B" w14:textId="77777777" w:rsidR="008935F7" w:rsidRDefault="008935F7" w:rsidP="00F37389">
      <w:pPr>
        <w:pStyle w:val="B10"/>
        <w:rPr>
          <w:lang w:eastAsia="zh-CN"/>
        </w:rPr>
      </w:pPr>
      <w:r>
        <w:t>-</w:t>
      </w:r>
      <w:r>
        <w:tab/>
        <w:t>Conditions for int</w:t>
      </w:r>
      <w:r>
        <w:rPr>
          <w:rFonts w:hint="eastAsia"/>
          <w:lang w:eastAsia="zh-CN"/>
        </w:rPr>
        <w:t>er</w:t>
      </w:r>
      <w:r>
        <w:t>-frequency measurements are fulfilled according to Annex B.2.</w:t>
      </w:r>
      <w:r>
        <w:rPr>
          <w:rFonts w:hint="eastAsia"/>
          <w:lang w:eastAsia="zh-CN"/>
        </w:rPr>
        <w:t>3</w:t>
      </w:r>
      <w:r>
        <w:t xml:space="preserve"> for a corresponding Band for the associated SSB.</w:t>
      </w:r>
    </w:p>
    <w:p w14:paraId="09B9848F" w14:textId="77777777" w:rsidR="008935F7" w:rsidRPr="00826487" w:rsidRDefault="008935F7" w:rsidP="008935F7">
      <w:pPr>
        <w:pStyle w:val="B10"/>
        <w:rPr>
          <w:lang w:eastAsia="zh-CN"/>
        </w:rPr>
      </w:pPr>
      <w:r w:rsidRPr="00B25D3D">
        <w:t>-</w:t>
      </w:r>
      <w:r w:rsidRPr="00B25D3D">
        <w:tab/>
        <w:t>Conditions for int</w:t>
      </w:r>
      <w:r>
        <w:rPr>
          <w:rFonts w:hint="eastAsia"/>
          <w:lang w:eastAsia="zh-CN"/>
        </w:rPr>
        <w:t>er</w:t>
      </w:r>
      <w:r w:rsidRPr="00B25D3D">
        <w:t>-frequency measurements are fulfilled according to Annex B.2.</w:t>
      </w:r>
      <w:r>
        <w:rPr>
          <w:rFonts w:hint="eastAsia"/>
          <w:lang w:eastAsia="zh-CN"/>
        </w:rPr>
        <w:t>9</w:t>
      </w:r>
      <w:r w:rsidRPr="00B25D3D">
        <w:t xml:space="preserve"> for a corresponding Band </w:t>
      </w:r>
      <w:r w:rsidRPr="00B25D3D">
        <w:rPr>
          <w:rFonts w:cs="v4.2.0"/>
          <w:lang w:eastAsia="ko-KR"/>
        </w:rPr>
        <w:t xml:space="preserve">for </w:t>
      </w:r>
      <w:r>
        <w:rPr>
          <w:rFonts w:cs="v4.2.0" w:hint="eastAsia"/>
          <w:lang w:eastAsia="zh-CN"/>
        </w:rPr>
        <w:t>each relevant CSI-RS</w:t>
      </w:r>
      <w:r w:rsidRPr="00B25D3D">
        <w:t>.</w:t>
      </w:r>
    </w:p>
    <w:p w14:paraId="2D1F161A" w14:textId="77777777" w:rsidR="008935F7" w:rsidRDefault="008935F7" w:rsidP="008935F7">
      <w:pPr>
        <w:pStyle w:val="B10"/>
        <w:rPr>
          <w:lang w:eastAsia="zh-CN"/>
        </w:rPr>
      </w:pPr>
      <w:r>
        <w:rPr>
          <w:lang w:eastAsia="zh-CN"/>
        </w:rPr>
        <w:t>-</w:t>
      </w:r>
      <w:r>
        <w:rPr>
          <w:lang w:eastAsia="zh-CN"/>
        </w:rPr>
        <w:tab/>
        <w:t xml:space="preserve">The bandwidth of CSI-RS is 48 PRBs and the density is 3. </w:t>
      </w:r>
    </w:p>
    <w:p w14:paraId="1C9FA71C" w14:textId="77777777" w:rsidR="008935F7" w:rsidRPr="002D1E2A" w:rsidRDefault="008935F7" w:rsidP="00F37389">
      <w:pPr>
        <w:pStyle w:val="B20"/>
        <w:rPr>
          <w:lang w:eastAsia="zh-CN"/>
        </w:rPr>
      </w:pPr>
      <w:r>
        <w:rPr>
          <w:rFonts w:hint="eastAsia"/>
          <w:lang w:eastAsia="zh-CN"/>
        </w:rPr>
        <w:t>•</w:t>
      </w:r>
      <w:r>
        <w:rPr>
          <w:lang w:eastAsia="zh-CN"/>
        </w:rPr>
        <w:tab/>
        <w:t>The performance with larger bandwidth of CSI-RS is equal to or better than the accuracy requirements in Table 10.1.9</w:t>
      </w:r>
      <w:r>
        <w:t>.2</w:t>
      </w:r>
      <w:r>
        <w:rPr>
          <w:lang w:eastAsia="zh-CN"/>
        </w:rPr>
        <w:t>.2</w:t>
      </w:r>
      <w:r>
        <w:rPr>
          <w:rFonts w:cs="v4.2.0"/>
        </w:rPr>
        <w:t>-1</w:t>
      </w:r>
      <w:r>
        <w:rPr>
          <w:lang w:eastAsia="zh-CN"/>
        </w:rPr>
        <w:t>.</w:t>
      </w:r>
    </w:p>
    <w:p w14:paraId="33DA9179" w14:textId="0CBBE961" w:rsidR="008935F7" w:rsidRDefault="008935F7" w:rsidP="008935F7">
      <w:pPr>
        <w:pStyle w:val="B10"/>
        <w:rPr>
          <w:lang w:eastAsia="zh-CN"/>
        </w:rPr>
      </w:pPr>
      <w:r>
        <w:rPr>
          <w:rFonts w:hint="eastAsia"/>
          <w:lang w:eastAsia="zh-CN"/>
        </w:rPr>
        <w:t>-</w:t>
      </w:r>
      <w:r>
        <w:tab/>
      </w:r>
      <w:r>
        <w:rPr>
          <w:rFonts w:hint="eastAsia"/>
          <w:lang w:eastAsia="zh-CN"/>
        </w:rPr>
        <w:t>T</w:t>
      </w:r>
      <w:r w:rsidRPr="00952C56">
        <w:rPr>
          <w:lang w:eastAsia="zh-CN"/>
        </w:rPr>
        <w:t xml:space="preserve">he timing offset between the reference measurement timing and the target CSI-RS in one layer is </w:t>
      </w:r>
      <w:r>
        <w:rPr>
          <w:lang w:eastAsia="zh-CN"/>
        </w:rPr>
        <w:t>no larger than</w:t>
      </w:r>
      <w:r w:rsidRPr="00952C56">
        <w:rPr>
          <w:lang w:eastAsia="zh-CN"/>
        </w:rPr>
        <w:t xml:space="preserve"> </w:t>
      </w:r>
      <w:r>
        <w:rPr>
          <w:lang w:eastAsia="zh-CN"/>
        </w:rPr>
        <w:t>CP</w:t>
      </w:r>
      <w:r>
        <w:rPr>
          <w:rFonts w:hint="eastAsia"/>
          <w:lang w:eastAsia="zh-CN"/>
        </w:rPr>
        <w:t>.</w:t>
      </w:r>
    </w:p>
    <w:p w14:paraId="1FF4DBF2" w14:textId="638B5B61" w:rsidR="008935F7" w:rsidRDefault="008935F7" w:rsidP="00AB368A">
      <w:pPr>
        <w:pStyle w:val="NO"/>
        <w:rPr>
          <w:lang w:eastAsia="zh-CN"/>
        </w:rPr>
      </w:pPr>
      <w:r w:rsidRPr="001D14D7">
        <w:rPr>
          <w:lang w:eastAsia="zh-CN"/>
        </w:rPr>
        <w:t>Note:</w:t>
      </w:r>
      <w:r w:rsidR="00AB368A">
        <w:rPr>
          <w:lang w:eastAsia="zh-CN"/>
        </w:rPr>
        <w:tab/>
      </w:r>
      <w:r w:rsidRPr="001D14D7">
        <w:rPr>
          <w:lang w:eastAsia="zh-CN"/>
        </w:rPr>
        <w:t xml:space="preserve">The reference measurement timing for one layer for inter-frequency measurement is </w:t>
      </w:r>
      <w:r w:rsidRPr="001D14D7">
        <w:rPr>
          <w:rFonts w:hint="eastAsia"/>
          <w:lang w:eastAsia="zh-CN"/>
        </w:rPr>
        <w:t>u</w:t>
      </w:r>
      <w:r w:rsidRPr="001D14D7">
        <w:rPr>
          <w:lang w:eastAsia="zh-CN"/>
        </w:rPr>
        <w:t>p to UE implementation and shall be based on the timing of one of the target cells.</w:t>
      </w:r>
    </w:p>
    <w:p w14:paraId="3F8D3113" w14:textId="77777777" w:rsidR="008935F7" w:rsidRDefault="008935F7" w:rsidP="008935F7">
      <w:pPr>
        <w:pStyle w:val="TH"/>
      </w:pPr>
      <w:r>
        <w:t>Table 10.1.9.2.2-1: CSI-RSRQ Int</w:t>
      </w:r>
      <w:r>
        <w:rPr>
          <w:rFonts w:hint="eastAsia"/>
          <w:lang w:eastAsia="zh-CN"/>
        </w:rPr>
        <w:t>er</w:t>
      </w:r>
      <w:r>
        <w:t xml:space="preserve"> frequency relative accuracy in FR1</w:t>
      </w:r>
    </w:p>
    <w:tbl>
      <w:tblPr>
        <w:tblW w:w="10172" w:type="dxa"/>
        <w:jc w:val="center"/>
        <w:tblLook w:val="01E0" w:firstRow="1" w:lastRow="1" w:firstColumn="1" w:lastColumn="1" w:noHBand="0" w:noVBand="0"/>
      </w:tblPr>
      <w:tblGrid>
        <w:gridCol w:w="1031"/>
        <w:gridCol w:w="1034"/>
        <w:gridCol w:w="745"/>
        <w:gridCol w:w="1921"/>
        <w:gridCol w:w="907"/>
        <w:gridCol w:w="827"/>
        <w:gridCol w:w="827"/>
        <w:gridCol w:w="1440"/>
        <w:gridCol w:w="1440"/>
      </w:tblGrid>
      <w:tr w:rsidR="008935F7" w:rsidRPr="009C5807" w14:paraId="09D44A29" w14:textId="77777777" w:rsidTr="008935F7">
        <w:trPr>
          <w:jc w:val="center"/>
        </w:trPr>
        <w:tc>
          <w:tcPr>
            <w:tcW w:w="2065"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26A07148" w14:textId="77777777" w:rsidR="008935F7" w:rsidRPr="009C5807" w:rsidRDefault="008935F7" w:rsidP="008935F7">
            <w:pPr>
              <w:pStyle w:val="TAH"/>
            </w:pPr>
            <w:r w:rsidRPr="009C5807">
              <w:t>Accuracy</w:t>
            </w:r>
          </w:p>
        </w:tc>
        <w:tc>
          <w:tcPr>
            <w:tcW w:w="8107"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7426A6A7" w14:textId="77777777" w:rsidR="008935F7" w:rsidRPr="009C5807" w:rsidRDefault="008935F7" w:rsidP="008935F7">
            <w:pPr>
              <w:pStyle w:val="TAH"/>
            </w:pPr>
            <w:r w:rsidRPr="009C5807">
              <w:t>Conditions</w:t>
            </w:r>
          </w:p>
        </w:tc>
      </w:tr>
      <w:tr w:rsidR="008935F7" w:rsidRPr="009C5807" w14:paraId="42B4EBD5" w14:textId="77777777" w:rsidTr="008935F7">
        <w:trPr>
          <w:jc w:val="center"/>
        </w:trPr>
        <w:tc>
          <w:tcPr>
            <w:tcW w:w="1031" w:type="dxa"/>
            <w:tcBorders>
              <w:top w:val="single" w:sz="4" w:space="0" w:color="auto"/>
              <w:left w:val="single" w:sz="4" w:space="0" w:color="auto"/>
              <w:right w:val="single" w:sz="4" w:space="0" w:color="auto"/>
            </w:tcBorders>
            <w:shd w:val="clear" w:color="auto" w:fill="auto"/>
            <w:vAlign w:val="center"/>
          </w:tcPr>
          <w:p w14:paraId="302DB32E" w14:textId="77777777" w:rsidR="008935F7" w:rsidRPr="009C5807" w:rsidRDefault="008935F7" w:rsidP="008935F7">
            <w:pPr>
              <w:pStyle w:val="TAH"/>
            </w:pPr>
            <w:r w:rsidRPr="009C5807">
              <w:t>Normal condition</w:t>
            </w:r>
          </w:p>
        </w:tc>
        <w:tc>
          <w:tcPr>
            <w:tcW w:w="1034" w:type="dxa"/>
            <w:tcBorders>
              <w:top w:val="single" w:sz="4" w:space="0" w:color="auto"/>
              <w:left w:val="single" w:sz="4" w:space="0" w:color="auto"/>
              <w:right w:val="single" w:sz="4" w:space="0" w:color="auto"/>
            </w:tcBorders>
            <w:shd w:val="clear" w:color="auto" w:fill="auto"/>
            <w:vAlign w:val="center"/>
          </w:tcPr>
          <w:p w14:paraId="643FAC99" w14:textId="77777777" w:rsidR="008935F7" w:rsidRPr="009C5807" w:rsidRDefault="008935F7" w:rsidP="008935F7">
            <w:pPr>
              <w:pStyle w:val="TAH"/>
            </w:pPr>
            <w:r w:rsidRPr="009C5807">
              <w:t>Extreme condition</w:t>
            </w:r>
          </w:p>
        </w:tc>
        <w:tc>
          <w:tcPr>
            <w:tcW w:w="745" w:type="dxa"/>
            <w:tcBorders>
              <w:top w:val="single" w:sz="4" w:space="0" w:color="auto"/>
              <w:left w:val="single" w:sz="4" w:space="0" w:color="auto"/>
              <w:right w:val="single" w:sz="4" w:space="0" w:color="auto"/>
            </w:tcBorders>
            <w:shd w:val="clear" w:color="auto" w:fill="auto"/>
            <w:vAlign w:val="center"/>
          </w:tcPr>
          <w:p w14:paraId="79CD4EF5" w14:textId="77777777" w:rsidR="008935F7" w:rsidRPr="009C5807" w:rsidRDefault="008935F7" w:rsidP="008935F7">
            <w:pPr>
              <w:pStyle w:val="TAH"/>
            </w:pPr>
            <w:r>
              <w:rPr>
                <w:rFonts w:hint="eastAsia"/>
                <w:lang w:eastAsia="zh-CN"/>
              </w:rPr>
              <w:t>CSI-RS</w:t>
            </w:r>
            <w:r w:rsidRPr="009C5807">
              <w:t xml:space="preserve"> Ês/Iot</w:t>
            </w:r>
            <w:r w:rsidRPr="009C5807">
              <w:rPr>
                <w:vertAlign w:val="superscript"/>
                <w:lang w:eastAsia="zh-CN"/>
              </w:rPr>
              <w:t xml:space="preserve"> </w:t>
            </w:r>
          </w:p>
        </w:tc>
        <w:tc>
          <w:tcPr>
            <w:tcW w:w="7362" w:type="dxa"/>
            <w:gridSpan w:val="6"/>
            <w:tcBorders>
              <w:top w:val="single" w:sz="6" w:space="0" w:color="auto"/>
              <w:left w:val="single" w:sz="4" w:space="0" w:color="auto"/>
              <w:bottom w:val="single" w:sz="6" w:space="0" w:color="auto"/>
              <w:right w:val="single" w:sz="4" w:space="0" w:color="auto"/>
            </w:tcBorders>
            <w:shd w:val="clear" w:color="auto" w:fill="auto"/>
            <w:vAlign w:val="center"/>
          </w:tcPr>
          <w:p w14:paraId="545B03FD" w14:textId="77777777" w:rsidR="008935F7" w:rsidRPr="009C5807" w:rsidRDefault="008935F7" w:rsidP="008935F7">
            <w:pPr>
              <w:pStyle w:val="TAH"/>
            </w:pPr>
            <w:r w:rsidRPr="009C5807">
              <w:t>Io</w:t>
            </w:r>
            <w:r w:rsidRPr="009C5807">
              <w:rPr>
                <w:vertAlign w:val="superscript"/>
                <w:lang w:eastAsia="zh-CN"/>
              </w:rPr>
              <w:t xml:space="preserve"> Note 1</w:t>
            </w:r>
            <w:r w:rsidRPr="009C5807">
              <w:t xml:space="preserve"> range</w:t>
            </w:r>
          </w:p>
        </w:tc>
      </w:tr>
      <w:tr w:rsidR="008935F7" w:rsidRPr="009C5807" w14:paraId="1C43215E" w14:textId="77777777" w:rsidTr="008935F7">
        <w:trPr>
          <w:jc w:val="center"/>
        </w:trPr>
        <w:tc>
          <w:tcPr>
            <w:tcW w:w="1031" w:type="dxa"/>
            <w:tcBorders>
              <w:left w:val="single" w:sz="4" w:space="0" w:color="auto"/>
              <w:bottom w:val="single" w:sz="4" w:space="0" w:color="auto"/>
              <w:right w:val="single" w:sz="4" w:space="0" w:color="auto"/>
            </w:tcBorders>
            <w:shd w:val="clear" w:color="auto" w:fill="auto"/>
            <w:vAlign w:val="center"/>
          </w:tcPr>
          <w:p w14:paraId="31C82BF0" w14:textId="77777777" w:rsidR="008935F7" w:rsidRPr="009C5807" w:rsidRDefault="008935F7" w:rsidP="008935F7">
            <w:pPr>
              <w:pStyle w:val="TAH"/>
            </w:pPr>
          </w:p>
        </w:tc>
        <w:tc>
          <w:tcPr>
            <w:tcW w:w="1034" w:type="dxa"/>
            <w:tcBorders>
              <w:left w:val="single" w:sz="4" w:space="0" w:color="auto"/>
              <w:bottom w:val="single" w:sz="4" w:space="0" w:color="auto"/>
              <w:right w:val="single" w:sz="4" w:space="0" w:color="auto"/>
            </w:tcBorders>
            <w:shd w:val="clear" w:color="auto" w:fill="auto"/>
            <w:vAlign w:val="center"/>
          </w:tcPr>
          <w:p w14:paraId="674A5CB1" w14:textId="77777777" w:rsidR="008935F7" w:rsidRPr="009C5807" w:rsidRDefault="008935F7" w:rsidP="008935F7">
            <w:pPr>
              <w:pStyle w:val="TAH"/>
            </w:pPr>
          </w:p>
        </w:tc>
        <w:tc>
          <w:tcPr>
            <w:tcW w:w="745" w:type="dxa"/>
            <w:tcBorders>
              <w:left w:val="single" w:sz="4" w:space="0" w:color="auto"/>
              <w:bottom w:val="single" w:sz="4" w:space="0" w:color="auto"/>
              <w:right w:val="single" w:sz="4" w:space="0" w:color="auto"/>
            </w:tcBorders>
            <w:shd w:val="clear" w:color="auto" w:fill="auto"/>
          </w:tcPr>
          <w:p w14:paraId="2AD2EF95" w14:textId="77777777" w:rsidR="008935F7" w:rsidRPr="009C5807" w:rsidRDefault="008935F7" w:rsidP="008935F7">
            <w:pPr>
              <w:pStyle w:val="TAH"/>
            </w:pPr>
            <w:r w:rsidRPr="009C5807">
              <w:rPr>
                <w:vertAlign w:val="superscript"/>
                <w:lang w:eastAsia="zh-CN"/>
              </w:rPr>
              <w:t>Note 2</w:t>
            </w:r>
          </w:p>
        </w:tc>
        <w:tc>
          <w:tcPr>
            <w:tcW w:w="1921" w:type="dxa"/>
            <w:tcBorders>
              <w:top w:val="single" w:sz="6" w:space="0" w:color="auto"/>
              <w:left w:val="single" w:sz="4" w:space="0" w:color="auto"/>
              <w:bottom w:val="single" w:sz="6" w:space="0" w:color="auto"/>
              <w:right w:val="single" w:sz="4" w:space="0" w:color="auto"/>
            </w:tcBorders>
            <w:shd w:val="clear" w:color="auto" w:fill="auto"/>
            <w:vAlign w:val="center"/>
          </w:tcPr>
          <w:p w14:paraId="793DF593" w14:textId="77777777" w:rsidR="008935F7" w:rsidRPr="009C5807" w:rsidRDefault="008935F7" w:rsidP="008935F7">
            <w:pPr>
              <w:pStyle w:val="TAH"/>
            </w:pPr>
            <w:r w:rsidRPr="009C5807">
              <w:t>NR operating band groups</w:t>
            </w:r>
            <w:r w:rsidRPr="009C5807">
              <w:rPr>
                <w:vertAlign w:val="superscript"/>
              </w:rPr>
              <w:t xml:space="preserve"> </w:t>
            </w:r>
            <w:r w:rsidRPr="009C5807">
              <w:rPr>
                <w:vertAlign w:val="superscript"/>
                <w:lang w:eastAsia="zh-CN"/>
              </w:rPr>
              <w:t>Note 4</w:t>
            </w:r>
          </w:p>
        </w:tc>
        <w:tc>
          <w:tcPr>
            <w:tcW w:w="4001"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59030F6C" w14:textId="77777777" w:rsidR="008935F7" w:rsidRPr="009C5807" w:rsidRDefault="008935F7" w:rsidP="008935F7">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6573885C" w14:textId="77777777" w:rsidR="008935F7" w:rsidRPr="009C5807" w:rsidRDefault="008935F7" w:rsidP="008935F7">
            <w:pPr>
              <w:pStyle w:val="TAH"/>
            </w:pPr>
            <w:r w:rsidRPr="009C5807">
              <w:t>Maximum Io</w:t>
            </w:r>
          </w:p>
        </w:tc>
      </w:tr>
      <w:tr w:rsidR="008935F7" w:rsidRPr="009C5807" w14:paraId="66A5D066" w14:textId="77777777" w:rsidTr="008935F7">
        <w:trPr>
          <w:trHeight w:val="308"/>
          <w:jc w:val="center"/>
        </w:trPr>
        <w:tc>
          <w:tcPr>
            <w:tcW w:w="1031" w:type="dxa"/>
            <w:tcBorders>
              <w:top w:val="single" w:sz="4" w:space="0" w:color="auto"/>
              <w:left w:val="single" w:sz="4" w:space="0" w:color="auto"/>
              <w:right w:val="single" w:sz="6" w:space="0" w:color="auto"/>
            </w:tcBorders>
            <w:shd w:val="clear" w:color="auto" w:fill="auto"/>
          </w:tcPr>
          <w:p w14:paraId="5663D4DC" w14:textId="77777777" w:rsidR="008935F7" w:rsidRPr="00AF6339" w:rsidRDefault="008935F7" w:rsidP="008935F7">
            <w:pPr>
              <w:pStyle w:val="TAC"/>
              <w:rPr>
                <w:b/>
              </w:rPr>
            </w:pPr>
            <w:r w:rsidRPr="00AF6339">
              <w:rPr>
                <w:b/>
              </w:rPr>
              <w:t>dB</w:t>
            </w:r>
          </w:p>
        </w:tc>
        <w:tc>
          <w:tcPr>
            <w:tcW w:w="1034" w:type="dxa"/>
            <w:tcBorders>
              <w:top w:val="single" w:sz="4" w:space="0" w:color="auto"/>
              <w:left w:val="single" w:sz="6" w:space="0" w:color="auto"/>
              <w:right w:val="single" w:sz="6" w:space="0" w:color="auto"/>
            </w:tcBorders>
            <w:shd w:val="clear" w:color="auto" w:fill="auto"/>
          </w:tcPr>
          <w:p w14:paraId="4EE9E139" w14:textId="77777777" w:rsidR="008935F7" w:rsidRPr="00AF6339" w:rsidRDefault="008935F7" w:rsidP="008935F7">
            <w:pPr>
              <w:pStyle w:val="TAC"/>
              <w:rPr>
                <w:b/>
              </w:rPr>
            </w:pPr>
            <w:r w:rsidRPr="00AF6339">
              <w:rPr>
                <w:b/>
              </w:rPr>
              <w:t>dB</w:t>
            </w:r>
          </w:p>
        </w:tc>
        <w:tc>
          <w:tcPr>
            <w:tcW w:w="745" w:type="dxa"/>
            <w:tcBorders>
              <w:top w:val="single" w:sz="4" w:space="0" w:color="auto"/>
              <w:left w:val="single" w:sz="6" w:space="0" w:color="auto"/>
              <w:right w:val="single" w:sz="6" w:space="0" w:color="auto"/>
            </w:tcBorders>
            <w:shd w:val="clear" w:color="auto" w:fill="auto"/>
          </w:tcPr>
          <w:p w14:paraId="7D7237B9" w14:textId="77777777" w:rsidR="008935F7" w:rsidRPr="00AF6339" w:rsidRDefault="008935F7" w:rsidP="008935F7">
            <w:pPr>
              <w:pStyle w:val="TAC"/>
              <w:rPr>
                <w:b/>
              </w:rPr>
            </w:pPr>
            <w:r w:rsidRPr="00AF6339">
              <w:rPr>
                <w:b/>
              </w:rPr>
              <w:t>dB</w:t>
            </w:r>
          </w:p>
        </w:tc>
        <w:tc>
          <w:tcPr>
            <w:tcW w:w="1921" w:type="dxa"/>
            <w:tcBorders>
              <w:top w:val="single" w:sz="6" w:space="0" w:color="auto"/>
              <w:left w:val="single" w:sz="6" w:space="0" w:color="auto"/>
              <w:right w:val="single" w:sz="4" w:space="0" w:color="auto"/>
            </w:tcBorders>
            <w:shd w:val="clear" w:color="auto" w:fill="auto"/>
          </w:tcPr>
          <w:p w14:paraId="21D0A341" w14:textId="77777777" w:rsidR="008935F7" w:rsidRPr="00AF6339" w:rsidRDefault="008935F7" w:rsidP="008935F7">
            <w:pPr>
              <w:pStyle w:val="TAC"/>
              <w:rPr>
                <w:b/>
              </w:rPr>
            </w:pPr>
          </w:p>
        </w:tc>
        <w:tc>
          <w:tcPr>
            <w:tcW w:w="2561" w:type="dxa"/>
            <w:gridSpan w:val="3"/>
            <w:tcBorders>
              <w:top w:val="single" w:sz="6" w:space="0" w:color="auto"/>
              <w:left w:val="single" w:sz="4" w:space="0" w:color="auto"/>
              <w:bottom w:val="single" w:sz="6" w:space="0" w:color="auto"/>
              <w:right w:val="single" w:sz="6" w:space="0" w:color="auto"/>
            </w:tcBorders>
            <w:shd w:val="clear" w:color="auto" w:fill="auto"/>
          </w:tcPr>
          <w:p w14:paraId="5C13AF95" w14:textId="77777777" w:rsidR="008935F7" w:rsidRPr="00AF6339" w:rsidRDefault="008935F7" w:rsidP="008935F7">
            <w:pPr>
              <w:pStyle w:val="TAC"/>
              <w:rPr>
                <w:b/>
                <w:lang w:eastAsia="zh-CN"/>
              </w:rPr>
            </w:pPr>
            <w:r w:rsidRPr="00AF6339">
              <w:rPr>
                <w:rFonts w:cs="Arial"/>
                <w:b/>
              </w:rPr>
              <w:t xml:space="preserve">dBm / </w:t>
            </w:r>
            <w:r w:rsidRPr="00AF6339">
              <w:rPr>
                <w:b/>
              </w:rPr>
              <w:t>SCS</w:t>
            </w:r>
            <w:r w:rsidRPr="00AF6339">
              <w:rPr>
                <w:rFonts w:hint="eastAsia"/>
                <w:b/>
                <w:vertAlign w:val="subscript"/>
                <w:lang w:eastAsia="zh-CN"/>
              </w:rPr>
              <w:t>CSI-RS</w:t>
            </w:r>
          </w:p>
        </w:tc>
        <w:tc>
          <w:tcPr>
            <w:tcW w:w="1440" w:type="dxa"/>
            <w:tcBorders>
              <w:top w:val="single" w:sz="6" w:space="0" w:color="auto"/>
              <w:left w:val="single" w:sz="6" w:space="0" w:color="auto"/>
              <w:right w:val="single" w:sz="6" w:space="0" w:color="auto"/>
            </w:tcBorders>
            <w:shd w:val="clear" w:color="auto" w:fill="auto"/>
          </w:tcPr>
          <w:p w14:paraId="7A43BF17" w14:textId="77777777" w:rsidR="008935F7" w:rsidRPr="00AF6339" w:rsidRDefault="008935F7" w:rsidP="008935F7">
            <w:pPr>
              <w:pStyle w:val="TAC"/>
              <w:rPr>
                <w:b/>
              </w:rPr>
            </w:pPr>
            <w:r w:rsidRPr="005560E1">
              <w:rPr>
                <w:b/>
              </w:rPr>
              <w:t>dBm/BW</w:t>
            </w:r>
            <w:r w:rsidRPr="00AF6339">
              <w:rPr>
                <w:b/>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1406DF00" w14:textId="77777777" w:rsidR="008935F7" w:rsidRPr="00AF6339" w:rsidRDefault="008935F7" w:rsidP="008935F7">
            <w:pPr>
              <w:pStyle w:val="TAC"/>
              <w:rPr>
                <w:b/>
              </w:rPr>
            </w:pPr>
            <w:r w:rsidRPr="00AF6339">
              <w:rPr>
                <w:b/>
              </w:rPr>
              <w:t>dBm/BW</w:t>
            </w:r>
            <w:r w:rsidRPr="00AF6339">
              <w:rPr>
                <w:b/>
                <w:vertAlign w:val="subscript"/>
              </w:rPr>
              <w:t>Channel</w:t>
            </w:r>
          </w:p>
        </w:tc>
      </w:tr>
      <w:tr w:rsidR="008935F7" w:rsidRPr="009C5807" w14:paraId="5B68B6B7" w14:textId="77777777" w:rsidTr="008935F7">
        <w:trPr>
          <w:trHeight w:val="307"/>
          <w:jc w:val="center"/>
        </w:trPr>
        <w:tc>
          <w:tcPr>
            <w:tcW w:w="1031" w:type="dxa"/>
            <w:tcBorders>
              <w:left w:val="single" w:sz="4" w:space="0" w:color="auto"/>
              <w:bottom w:val="single" w:sz="6" w:space="0" w:color="auto"/>
              <w:right w:val="single" w:sz="6" w:space="0" w:color="auto"/>
            </w:tcBorders>
            <w:shd w:val="clear" w:color="auto" w:fill="auto"/>
          </w:tcPr>
          <w:p w14:paraId="0238CB40" w14:textId="77777777" w:rsidR="008935F7" w:rsidRPr="00AF6339" w:rsidRDefault="008935F7" w:rsidP="008935F7">
            <w:pPr>
              <w:pStyle w:val="TAC"/>
              <w:rPr>
                <w:b/>
              </w:rPr>
            </w:pPr>
          </w:p>
        </w:tc>
        <w:tc>
          <w:tcPr>
            <w:tcW w:w="1034" w:type="dxa"/>
            <w:tcBorders>
              <w:left w:val="single" w:sz="6" w:space="0" w:color="auto"/>
              <w:bottom w:val="single" w:sz="6" w:space="0" w:color="auto"/>
              <w:right w:val="single" w:sz="6" w:space="0" w:color="auto"/>
            </w:tcBorders>
            <w:shd w:val="clear" w:color="auto" w:fill="auto"/>
          </w:tcPr>
          <w:p w14:paraId="57DA02D5" w14:textId="77777777" w:rsidR="008935F7" w:rsidRPr="00AF6339" w:rsidRDefault="008935F7" w:rsidP="008935F7">
            <w:pPr>
              <w:pStyle w:val="TAC"/>
              <w:rPr>
                <w:b/>
              </w:rPr>
            </w:pPr>
          </w:p>
        </w:tc>
        <w:tc>
          <w:tcPr>
            <w:tcW w:w="745" w:type="dxa"/>
            <w:tcBorders>
              <w:left w:val="single" w:sz="6" w:space="0" w:color="auto"/>
              <w:bottom w:val="single" w:sz="6" w:space="0" w:color="auto"/>
              <w:right w:val="single" w:sz="6" w:space="0" w:color="auto"/>
            </w:tcBorders>
            <w:shd w:val="clear" w:color="auto" w:fill="auto"/>
          </w:tcPr>
          <w:p w14:paraId="61AB8224" w14:textId="77777777" w:rsidR="008935F7" w:rsidRPr="00AF6339" w:rsidRDefault="008935F7" w:rsidP="008935F7">
            <w:pPr>
              <w:pStyle w:val="TAC"/>
              <w:rPr>
                <w:b/>
              </w:rPr>
            </w:pPr>
          </w:p>
        </w:tc>
        <w:tc>
          <w:tcPr>
            <w:tcW w:w="1921" w:type="dxa"/>
            <w:tcBorders>
              <w:left w:val="single" w:sz="6" w:space="0" w:color="auto"/>
              <w:bottom w:val="single" w:sz="6" w:space="0" w:color="auto"/>
              <w:right w:val="single" w:sz="4" w:space="0" w:color="auto"/>
            </w:tcBorders>
            <w:shd w:val="clear" w:color="auto" w:fill="auto"/>
          </w:tcPr>
          <w:p w14:paraId="0BAC8AFA" w14:textId="77777777" w:rsidR="008935F7" w:rsidRPr="00AF6339" w:rsidRDefault="008935F7" w:rsidP="008935F7">
            <w:pPr>
              <w:pStyle w:val="TAC"/>
              <w:rPr>
                <w:b/>
              </w:rPr>
            </w:pP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755C61DF" w14:textId="77777777" w:rsidR="008935F7" w:rsidRPr="00AF6339" w:rsidRDefault="008935F7" w:rsidP="008935F7">
            <w:pPr>
              <w:pStyle w:val="TAC"/>
              <w:rPr>
                <w:rFonts w:cs="Arial"/>
                <w:b/>
              </w:rPr>
            </w:pPr>
            <w:r w:rsidRPr="00AF6339">
              <w:rPr>
                <w:b/>
              </w:rPr>
              <w:t>SCS</w:t>
            </w:r>
            <w:r w:rsidRPr="00AF6339">
              <w:rPr>
                <w:rFonts w:hint="eastAsia"/>
                <w:b/>
                <w:vertAlign w:val="subscript"/>
                <w:lang w:eastAsia="zh-CN"/>
              </w:rPr>
              <w:t>CSI-RS</w:t>
            </w:r>
            <w:r w:rsidRPr="00AF6339">
              <w:rPr>
                <w:rFonts w:cs="Arial"/>
                <w:b/>
              </w:rPr>
              <w:t xml:space="preserve"> = 15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423AC08" w14:textId="77777777" w:rsidR="008935F7" w:rsidRPr="009C5807" w:rsidRDefault="008935F7" w:rsidP="008935F7">
            <w:pPr>
              <w:pStyle w:val="TAC"/>
              <w:rPr>
                <w:rFonts w:cs="Arial"/>
              </w:rPr>
            </w:pPr>
            <w:r w:rsidRPr="00AF6339">
              <w:rPr>
                <w:b/>
              </w:rPr>
              <w:t>SCS</w:t>
            </w:r>
            <w:r w:rsidRPr="00AF6339">
              <w:rPr>
                <w:rFonts w:hint="eastAsia"/>
                <w:b/>
                <w:vertAlign w:val="subscript"/>
                <w:lang w:eastAsia="zh-CN"/>
              </w:rPr>
              <w:t>CSI-RS</w:t>
            </w:r>
            <w:r w:rsidRPr="00AF6339">
              <w:rPr>
                <w:rFonts w:cs="Arial"/>
                <w:b/>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78BB136" w14:textId="77777777" w:rsidR="008935F7" w:rsidRPr="00AF6339" w:rsidRDefault="008935F7" w:rsidP="008935F7">
            <w:pPr>
              <w:pStyle w:val="TAC"/>
              <w:rPr>
                <w:rFonts w:cs="Arial"/>
                <w:b/>
              </w:rPr>
            </w:pPr>
            <w:r w:rsidRPr="00AF6339">
              <w:rPr>
                <w:b/>
              </w:rPr>
              <w:t>SCS</w:t>
            </w:r>
            <w:r w:rsidRPr="00AF6339">
              <w:rPr>
                <w:rFonts w:hint="eastAsia"/>
                <w:b/>
                <w:vertAlign w:val="subscript"/>
                <w:lang w:eastAsia="zh-CN"/>
              </w:rPr>
              <w:t>CSI-RS</w:t>
            </w:r>
            <w:r w:rsidRPr="00AF6339">
              <w:rPr>
                <w:rFonts w:cs="Arial"/>
                <w:b/>
              </w:rPr>
              <w:t xml:space="preserve"> = </w:t>
            </w:r>
            <w:r>
              <w:rPr>
                <w:rFonts w:cs="Arial" w:hint="eastAsia"/>
                <w:b/>
                <w:lang w:eastAsia="zh-CN"/>
              </w:rPr>
              <w:t>6</w:t>
            </w:r>
            <w:r w:rsidRPr="00AF6339">
              <w:rPr>
                <w:rFonts w:cs="Arial"/>
                <w:b/>
              </w:rPr>
              <w:t>0 kHz</w:t>
            </w:r>
          </w:p>
        </w:tc>
        <w:tc>
          <w:tcPr>
            <w:tcW w:w="1440" w:type="dxa"/>
            <w:tcBorders>
              <w:left w:val="single" w:sz="6" w:space="0" w:color="auto"/>
              <w:bottom w:val="single" w:sz="6" w:space="0" w:color="auto"/>
              <w:right w:val="single" w:sz="6" w:space="0" w:color="auto"/>
            </w:tcBorders>
            <w:shd w:val="clear" w:color="auto" w:fill="auto"/>
          </w:tcPr>
          <w:p w14:paraId="651A134C" w14:textId="77777777" w:rsidR="008935F7" w:rsidRPr="005560E1" w:rsidRDefault="008935F7" w:rsidP="008935F7">
            <w:pPr>
              <w:pStyle w:val="TAC"/>
              <w:rPr>
                <w:b/>
              </w:rPr>
            </w:pPr>
          </w:p>
        </w:tc>
        <w:tc>
          <w:tcPr>
            <w:tcW w:w="1440" w:type="dxa"/>
            <w:tcBorders>
              <w:left w:val="single" w:sz="6" w:space="0" w:color="auto"/>
              <w:bottom w:val="single" w:sz="6" w:space="0" w:color="auto"/>
              <w:right w:val="single" w:sz="4" w:space="0" w:color="auto"/>
            </w:tcBorders>
            <w:shd w:val="clear" w:color="auto" w:fill="auto"/>
          </w:tcPr>
          <w:p w14:paraId="34632AAB" w14:textId="77777777" w:rsidR="008935F7" w:rsidRPr="00AF6339" w:rsidRDefault="008935F7" w:rsidP="008935F7">
            <w:pPr>
              <w:pStyle w:val="TAC"/>
              <w:rPr>
                <w:b/>
              </w:rPr>
            </w:pPr>
          </w:p>
        </w:tc>
      </w:tr>
      <w:tr w:rsidR="008935F7" w:rsidRPr="009C5807" w14:paraId="17E9B7A3" w14:textId="77777777" w:rsidTr="008935F7">
        <w:trPr>
          <w:jc w:val="center"/>
        </w:trPr>
        <w:tc>
          <w:tcPr>
            <w:tcW w:w="1031" w:type="dxa"/>
            <w:tcBorders>
              <w:top w:val="single" w:sz="6" w:space="0" w:color="auto"/>
              <w:left w:val="single" w:sz="4" w:space="0" w:color="auto"/>
              <w:right w:val="single" w:sz="6" w:space="0" w:color="auto"/>
            </w:tcBorders>
            <w:shd w:val="clear" w:color="auto" w:fill="auto"/>
          </w:tcPr>
          <w:p w14:paraId="5B366717" w14:textId="77777777" w:rsidR="008935F7" w:rsidRPr="009C5807" w:rsidRDefault="008935F7" w:rsidP="008935F7">
            <w:pPr>
              <w:pStyle w:val="TAC"/>
            </w:pPr>
          </w:p>
        </w:tc>
        <w:tc>
          <w:tcPr>
            <w:tcW w:w="1034" w:type="dxa"/>
            <w:tcBorders>
              <w:top w:val="single" w:sz="6" w:space="0" w:color="auto"/>
              <w:left w:val="single" w:sz="6" w:space="0" w:color="auto"/>
              <w:right w:val="single" w:sz="6" w:space="0" w:color="auto"/>
            </w:tcBorders>
            <w:shd w:val="clear" w:color="auto" w:fill="auto"/>
          </w:tcPr>
          <w:p w14:paraId="511DCAAD" w14:textId="77777777" w:rsidR="008935F7" w:rsidRPr="009C5807" w:rsidRDefault="008935F7" w:rsidP="008935F7">
            <w:pPr>
              <w:pStyle w:val="TAC"/>
            </w:pPr>
          </w:p>
        </w:tc>
        <w:tc>
          <w:tcPr>
            <w:tcW w:w="745" w:type="dxa"/>
            <w:tcBorders>
              <w:top w:val="single" w:sz="6" w:space="0" w:color="auto"/>
              <w:left w:val="single" w:sz="6" w:space="0" w:color="auto"/>
              <w:right w:val="single" w:sz="6" w:space="0" w:color="auto"/>
            </w:tcBorders>
            <w:shd w:val="clear" w:color="auto" w:fill="auto"/>
          </w:tcPr>
          <w:p w14:paraId="7EF52935" w14:textId="77777777" w:rsidR="008935F7" w:rsidRPr="009C5807" w:rsidRDefault="008935F7" w:rsidP="008935F7">
            <w:pPr>
              <w:pStyle w:val="TAC"/>
            </w:pP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1E3AD8B5" w14:textId="77777777" w:rsidR="008935F7" w:rsidRPr="009C5807" w:rsidRDefault="008935F7" w:rsidP="008935F7">
            <w:pPr>
              <w:pStyle w:val="TAC"/>
            </w:pPr>
            <w:r w:rsidRPr="009C5807">
              <w:t>NR_FDD_FR1_A, NR_TDD_FR1_A,</w:t>
            </w:r>
          </w:p>
          <w:p w14:paraId="5298545F" w14:textId="77777777" w:rsidR="008935F7" w:rsidRPr="009C5807" w:rsidRDefault="008935F7" w:rsidP="008935F7">
            <w:pPr>
              <w:pStyle w:val="TAC"/>
            </w:pPr>
            <w:r w:rsidRPr="009C5807">
              <w:t>NR_SDL_FR1_A</w:t>
            </w: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38E99854" w14:textId="77777777" w:rsidR="008935F7" w:rsidRPr="009C5807" w:rsidRDefault="008935F7" w:rsidP="008935F7">
            <w:pPr>
              <w:pStyle w:val="TAC"/>
            </w:pPr>
            <w:r w:rsidRPr="009C5807">
              <w:t>-121</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485A3DB" w14:textId="77777777" w:rsidR="008935F7" w:rsidRPr="009C5807" w:rsidRDefault="008935F7" w:rsidP="008935F7">
            <w:pPr>
              <w:pStyle w:val="TAC"/>
              <w:rPr>
                <w:rFonts w:cs="Arial"/>
              </w:rPr>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5EC047D" w14:textId="77777777" w:rsidR="008935F7" w:rsidRPr="009C5807" w:rsidRDefault="008935F7" w:rsidP="008935F7">
            <w:pPr>
              <w:pStyle w:val="TAC"/>
              <w:rPr>
                <w:rFonts w:cs="Arial"/>
              </w:rPr>
            </w:pPr>
            <w:r w:rsidRPr="00BB519F">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A751A09"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97490F4" w14:textId="77777777" w:rsidR="008935F7" w:rsidRPr="009C5807" w:rsidRDefault="008935F7" w:rsidP="008935F7">
            <w:pPr>
              <w:pStyle w:val="TAC"/>
            </w:pPr>
            <w:r w:rsidRPr="009C5807">
              <w:t>-50</w:t>
            </w:r>
          </w:p>
        </w:tc>
      </w:tr>
      <w:tr w:rsidR="008935F7" w:rsidRPr="009C5807" w14:paraId="26FBFEFA" w14:textId="77777777" w:rsidTr="008935F7">
        <w:trPr>
          <w:jc w:val="center"/>
        </w:trPr>
        <w:tc>
          <w:tcPr>
            <w:tcW w:w="1031" w:type="dxa"/>
            <w:tcBorders>
              <w:left w:val="single" w:sz="4" w:space="0" w:color="auto"/>
              <w:right w:val="single" w:sz="6" w:space="0" w:color="auto"/>
            </w:tcBorders>
            <w:shd w:val="clear" w:color="auto" w:fill="auto"/>
          </w:tcPr>
          <w:p w14:paraId="7C369744" w14:textId="77777777" w:rsidR="008935F7" w:rsidRPr="009C5807" w:rsidRDefault="008935F7" w:rsidP="008935F7">
            <w:pPr>
              <w:pStyle w:val="TAC"/>
            </w:pPr>
          </w:p>
        </w:tc>
        <w:tc>
          <w:tcPr>
            <w:tcW w:w="1034" w:type="dxa"/>
            <w:tcBorders>
              <w:left w:val="single" w:sz="6" w:space="0" w:color="auto"/>
              <w:right w:val="single" w:sz="6" w:space="0" w:color="auto"/>
            </w:tcBorders>
            <w:shd w:val="clear" w:color="auto" w:fill="auto"/>
          </w:tcPr>
          <w:p w14:paraId="55560E9A" w14:textId="77777777" w:rsidR="008935F7" w:rsidRPr="009C5807" w:rsidRDefault="008935F7" w:rsidP="008935F7">
            <w:pPr>
              <w:pStyle w:val="TAC"/>
            </w:pPr>
          </w:p>
        </w:tc>
        <w:tc>
          <w:tcPr>
            <w:tcW w:w="745" w:type="dxa"/>
            <w:tcBorders>
              <w:left w:val="single" w:sz="6" w:space="0" w:color="auto"/>
              <w:right w:val="single" w:sz="6" w:space="0" w:color="auto"/>
            </w:tcBorders>
            <w:shd w:val="clear" w:color="auto" w:fill="auto"/>
          </w:tcPr>
          <w:p w14:paraId="617B105F" w14:textId="77777777" w:rsidR="008935F7" w:rsidRPr="009C5807" w:rsidRDefault="008935F7" w:rsidP="008935F7">
            <w:pPr>
              <w:pStyle w:val="TAC"/>
            </w:pP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492FF1F7" w14:textId="77777777" w:rsidR="008935F7" w:rsidRPr="009C5807" w:rsidRDefault="008935F7" w:rsidP="008935F7">
            <w:pPr>
              <w:pStyle w:val="TAC"/>
            </w:pPr>
            <w:r w:rsidRPr="009C5807">
              <w:t>NR_FDD_FR1_B</w:t>
            </w: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4F626852" w14:textId="77777777" w:rsidR="008935F7" w:rsidRPr="009C5807" w:rsidRDefault="008935F7" w:rsidP="008935F7">
            <w:pPr>
              <w:pStyle w:val="TAC"/>
            </w:pPr>
            <w:r w:rsidRPr="009C5807">
              <w:t>-120.5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D48F898" w14:textId="77777777" w:rsidR="008935F7" w:rsidRPr="009C5807" w:rsidRDefault="008935F7" w:rsidP="008935F7">
            <w:pPr>
              <w:pStyle w:val="TAC"/>
              <w:rPr>
                <w:rFonts w:cs="Arial"/>
                <w:lang w:val="sv-SE"/>
              </w:rPr>
            </w:pPr>
            <w:r w:rsidRPr="009C5807">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3759AC9" w14:textId="77777777" w:rsidR="008935F7" w:rsidRPr="009C5807" w:rsidRDefault="008935F7" w:rsidP="008935F7">
            <w:pPr>
              <w:pStyle w:val="TAC"/>
              <w:rPr>
                <w:rFonts w:cs="Arial"/>
                <w:lang w:val="sv-SE"/>
              </w:rPr>
            </w:pPr>
            <w:r w:rsidRPr="00BB519F">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1BFFA5F" w14:textId="77777777" w:rsidR="008935F7" w:rsidRPr="009C5807" w:rsidRDefault="008935F7" w:rsidP="008935F7">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CF4D0D4" w14:textId="77777777" w:rsidR="008935F7" w:rsidRPr="009C5807" w:rsidRDefault="008935F7" w:rsidP="008935F7">
            <w:pPr>
              <w:pStyle w:val="TAC"/>
            </w:pPr>
            <w:r w:rsidRPr="009C5807">
              <w:t>-50</w:t>
            </w:r>
          </w:p>
        </w:tc>
      </w:tr>
      <w:tr w:rsidR="008935F7" w:rsidRPr="009C5807" w14:paraId="406938BD" w14:textId="77777777" w:rsidTr="008935F7">
        <w:trPr>
          <w:jc w:val="center"/>
        </w:trPr>
        <w:tc>
          <w:tcPr>
            <w:tcW w:w="1031" w:type="dxa"/>
            <w:tcBorders>
              <w:left w:val="single" w:sz="4" w:space="0" w:color="auto"/>
              <w:right w:val="single" w:sz="6" w:space="0" w:color="auto"/>
            </w:tcBorders>
            <w:shd w:val="clear" w:color="auto" w:fill="auto"/>
          </w:tcPr>
          <w:p w14:paraId="2C718BDF" w14:textId="77777777" w:rsidR="008935F7" w:rsidRPr="009C5807" w:rsidRDefault="008935F7" w:rsidP="008935F7">
            <w:pPr>
              <w:pStyle w:val="TAC"/>
            </w:pPr>
          </w:p>
        </w:tc>
        <w:tc>
          <w:tcPr>
            <w:tcW w:w="1034" w:type="dxa"/>
            <w:tcBorders>
              <w:left w:val="single" w:sz="6" w:space="0" w:color="auto"/>
              <w:right w:val="single" w:sz="6" w:space="0" w:color="auto"/>
            </w:tcBorders>
            <w:shd w:val="clear" w:color="auto" w:fill="auto"/>
          </w:tcPr>
          <w:p w14:paraId="1B0FB5B1" w14:textId="77777777" w:rsidR="008935F7" w:rsidRPr="009C5807" w:rsidRDefault="008935F7" w:rsidP="008935F7">
            <w:pPr>
              <w:pStyle w:val="TAC"/>
            </w:pPr>
          </w:p>
        </w:tc>
        <w:tc>
          <w:tcPr>
            <w:tcW w:w="745" w:type="dxa"/>
            <w:tcBorders>
              <w:left w:val="single" w:sz="6" w:space="0" w:color="auto"/>
              <w:right w:val="single" w:sz="6" w:space="0" w:color="auto"/>
            </w:tcBorders>
            <w:shd w:val="clear" w:color="auto" w:fill="auto"/>
          </w:tcPr>
          <w:p w14:paraId="44BA0C4F" w14:textId="77777777" w:rsidR="008935F7" w:rsidRPr="009C5807" w:rsidRDefault="008935F7" w:rsidP="008935F7">
            <w:pPr>
              <w:pStyle w:val="TAC"/>
            </w:pP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307717B4" w14:textId="77777777" w:rsidR="008935F7" w:rsidRPr="009C5807" w:rsidRDefault="008935F7" w:rsidP="008935F7">
            <w:pPr>
              <w:pStyle w:val="TAC"/>
            </w:pPr>
            <w:r w:rsidRPr="009C5807">
              <w:t>NR_TDD_FR1_C</w:t>
            </w: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63D52889" w14:textId="77777777" w:rsidR="008935F7" w:rsidRPr="009C5807" w:rsidRDefault="008935F7" w:rsidP="008935F7">
            <w:pPr>
              <w:pStyle w:val="TAC"/>
            </w:pPr>
            <w:r w:rsidRPr="009C5807">
              <w:t>-120</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380E8F0" w14:textId="77777777" w:rsidR="008935F7" w:rsidRPr="009C5807" w:rsidRDefault="008935F7" w:rsidP="008935F7">
            <w:pPr>
              <w:pStyle w:val="TAC"/>
              <w:rPr>
                <w:rFonts w:cs="Arial"/>
                <w:lang w:val="sv-SE"/>
              </w:rPr>
            </w:pPr>
            <w:r w:rsidRPr="009C5807">
              <w:t>-117</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374F883" w14:textId="77777777" w:rsidR="008935F7" w:rsidRPr="009C5807" w:rsidRDefault="008935F7" w:rsidP="008935F7">
            <w:pPr>
              <w:pStyle w:val="TAC"/>
              <w:rPr>
                <w:rFonts w:cs="Arial"/>
                <w:lang w:val="sv-SE"/>
              </w:rPr>
            </w:pPr>
            <w:r w:rsidRPr="00BB519F">
              <w:t>-114</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96E6B58"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C18D9D2" w14:textId="77777777" w:rsidR="008935F7" w:rsidRPr="009C5807" w:rsidRDefault="008935F7" w:rsidP="008935F7">
            <w:pPr>
              <w:pStyle w:val="TAC"/>
            </w:pPr>
            <w:r w:rsidRPr="009C5807">
              <w:t>-50</w:t>
            </w:r>
          </w:p>
        </w:tc>
      </w:tr>
      <w:tr w:rsidR="008935F7" w:rsidRPr="009C5807" w14:paraId="6A15D71C" w14:textId="77777777" w:rsidTr="008935F7">
        <w:trPr>
          <w:jc w:val="center"/>
        </w:trPr>
        <w:tc>
          <w:tcPr>
            <w:tcW w:w="1031" w:type="dxa"/>
            <w:tcBorders>
              <w:left w:val="single" w:sz="4" w:space="0" w:color="auto"/>
              <w:right w:val="single" w:sz="6" w:space="0" w:color="auto"/>
            </w:tcBorders>
            <w:shd w:val="clear" w:color="auto" w:fill="auto"/>
          </w:tcPr>
          <w:p w14:paraId="1FB27045" w14:textId="77777777" w:rsidR="008935F7" w:rsidRPr="009C5807" w:rsidRDefault="008935F7" w:rsidP="008935F7">
            <w:pPr>
              <w:pStyle w:val="TAC"/>
            </w:pPr>
            <w:r w:rsidRPr="009C5807">
              <w:sym w:font="Symbol" w:char="F0B1"/>
            </w:r>
            <w:r w:rsidRPr="009C5807">
              <w:t>3</w:t>
            </w:r>
          </w:p>
        </w:tc>
        <w:tc>
          <w:tcPr>
            <w:tcW w:w="1034" w:type="dxa"/>
            <w:tcBorders>
              <w:left w:val="single" w:sz="6" w:space="0" w:color="auto"/>
              <w:right w:val="single" w:sz="6" w:space="0" w:color="auto"/>
            </w:tcBorders>
            <w:shd w:val="clear" w:color="auto" w:fill="auto"/>
          </w:tcPr>
          <w:p w14:paraId="1B89D718" w14:textId="77777777" w:rsidR="008935F7" w:rsidRPr="009C5807" w:rsidRDefault="008935F7" w:rsidP="008935F7">
            <w:pPr>
              <w:pStyle w:val="TAC"/>
            </w:pPr>
            <w:r w:rsidRPr="009C5807">
              <w:sym w:font="Symbol" w:char="F0B1"/>
            </w:r>
            <w:r w:rsidRPr="009C5807">
              <w:t>4</w:t>
            </w:r>
          </w:p>
        </w:tc>
        <w:tc>
          <w:tcPr>
            <w:tcW w:w="745" w:type="dxa"/>
            <w:tcBorders>
              <w:left w:val="single" w:sz="6" w:space="0" w:color="auto"/>
              <w:right w:val="single" w:sz="6" w:space="0" w:color="auto"/>
            </w:tcBorders>
            <w:shd w:val="clear" w:color="auto" w:fill="auto"/>
          </w:tcPr>
          <w:p w14:paraId="120D66E6" w14:textId="77777777" w:rsidR="008935F7" w:rsidRPr="009C5807" w:rsidRDefault="008935F7" w:rsidP="008935F7">
            <w:pPr>
              <w:pStyle w:val="TAC"/>
            </w:pPr>
            <w:r w:rsidRPr="009C5807">
              <w:sym w:font="Symbol" w:char="F0B3"/>
            </w:r>
            <w:r w:rsidRPr="009C5807">
              <w:t>-3</w:t>
            </w: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27313B5B" w14:textId="77777777" w:rsidR="008935F7" w:rsidRPr="009C5807" w:rsidRDefault="008935F7" w:rsidP="008935F7">
            <w:pPr>
              <w:pStyle w:val="TAC"/>
              <w:rPr>
                <w:lang w:val="sv-FI"/>
              </w:rPr>
            </w:pPr>
            <w:r w:rsidRPr="009C5807">
              <w:rPr>
                <w:lang w:val="sv-SE"/>
              </w:rPr>
              <w:t>NR_FDD_FR1_D, NR_TDD_FR1_D</w:t>
            </w: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26BED592" w14:textId="77777777" w:rsidR="008935F7" w:rsidRPr="009C5807" w:rsidRDefault="008935F7" w:rsidP="008935F7">
            <w:pPr>
              <w:pStyle w:val="TAC"/>
            </w:pPr>
            <w:r w:rsidRPr="009C5807">
              <w:t>-119.5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2140EC5" w14:textId="77777777" w:rsidR="008935F7" w:rsidRPr="009C5807" w:rsidRDefault="008935F7" w:rsidP="008935F7">
            <w:pPr>
              <w:pStyle w:val="TAC"/>
              <w:rPr>
                <w:rFonts w:cs="Arial"/>
              </w:rPr>
            </w:pPr>
            <w:r w:rsidRPr="009C5807">
              <w:t>-116.5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6874F0B" w14:textId="77777777" w:rsidR="008935F7" w:rsidRPr="009C5807" w:rsidRDefault="008935F7" w:rsidP="008935F7">
            <w:pPr>
              <w:pStyle w:val="TAC"/>
              <w:rPr>
                <w:rFonts w:cs="Arial"/>
              </w:rPr>
            </w:pPr>
            <w:r w:rsidRPr="00BB519F">
              <w:t>-113.5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FF02AAC"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BA1D283" w14:textId="77777777" w:rsidR="008935F7" w:rsidRPr="009C5807" w:rsidRDefault="008935F7" w:rsidP="008935F7">
            <w:pPr>
              <w:pStyle w:val="TAC"/>
            </w:pPr>
            <w:r w:rsidRPr="009C5807">
              <w:t>-50</w:t>
            </w:r>
          </w:p>
        </w:tc>
      </w:tr>
      <w:tr w:rsidR="008935F7" w:rsidRPr="009C5807" w14:paraId="0BEB0CAF" w14:textId="77777777" w:rsidTr="008935F7">
        <w:trPr>
          <w:jc w:val="center"/>
        </w:trPr>
        <w:tc>
          <w:tcPr>
            <w:tcW w:w="1031" w:type="dxa"/>
            <w:tcBorders>
              <w:left w:val="single" w:sz="4" w:space="0" w:color="auto"/>
              <w:right w:val="single" w:sz="6" w:space="0" w:color="auto"/>
            </w:tcBorders>
            <w:shd w:val="clear" w:color="auto" w:fill="auto"/>
          </w:tcPr>
          <w:p w14:paraId="62EA401C" w14:textId="77777777" w:rsidR="008935F7" w:rsidRPr="009C5807" w:rsidRDefault="008935F7" w:rsidP="008935F7">
            <w:pPr>
              <w:pStyle w:val="TAC"/>
            </w:pPr>
          </w:p>
        </w:tc>
        <w:tc>
          <w:tcPr>
            <w:tcW w:w="1034" w:type="dxa"/>
            <w:tcBorders>
              <w:left w:val="single" w:sz="6" w:space="0" w:color="auto"/>
              <w:right w:val="single" w:sz="6" w:space="0" w:color="auto"/>
            </w:tcBorders>
            <w:shd w:val="clear" w:color="auto" w:fill="auto"/>
          </w:tcPr>
          <w:p w14:paraId="4FAA6470" w14:textId="77777777" w:rsidR="008935F7" w:rsidRPr="009C5807" w:rsidRDefault="008935F7" w:rsidP="008935F7">
            <w:pPr>
              <w:pStyle w:val="TAC"/>
            </w:pPr>
          </w:p>
        </w:tc>
        <w:tc>
          <w:tcPr>
            <w:tcW w:w="745" w:type="dxa"/>
            <w:tcBorders>
              <w:left w:val="single" w:sz="6" w:space="0" w:color="auto"/>
              <w:right w:val="single" w:sz="6" w:space="0" w:color="auto"/>
            </w:tcBorders>
            <w:shd w:val="clear" w:color="auto" w:fill="auto"/>
          </w:tcPr>
          <w:p w14:paraId="56DBF69A" w14:textId="77777777" w:rsidR="008935F7" w:rsidRPr="009C5807" w:rsidRDefault="008935F7" w:rsidP="008935F7">
            <w:pPr>
              <w:pStyle w:val="TAC"/>
            </w:pP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4F904A96" w14:textId="77777777" w:rsidR="008935F7" w:rsidRPr="009C5807" w:rsidDel="00836998" w:rsidRDefault="008935F7" w:rsidP="008935F7">
            <w:pPr>
              <w:pStyle w:val="TAC"/>
              <w:rPr>
                <w:lang w:val="sv-SE"/>
              </w:rPr>
            </w:pPr>
            <w:r w:rsidRPr="009C5807">
              <w:rPr>
                <w:lang w:val="sv-SE"/>
              </w:rPr>
              <w:t>NR_FDD_FR1_E, NR_TDD_FR1_E</w:t>
            </w: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6D8A31C2" w14:textId="77777777" w:rsidR="008935F7" w:rsidRPr="009C5807" w:rsidRDefault="008935F7" w:rsidP="008935F7">
            <w:pPr>
              <w:pStyle w:val="TAC"/>
            </w:pPr>
            <w:r w:rsidRPr="009C5807">
              <w:t>-119</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9A3D470" w14:textId="77777777" w:rsidR="008935F7" w:rsidRPr="009C5807" w:rsidRDefault="008935F7" w:rsidP="008935F7">
            <w:pPr>
              <w:pStyle w:val="TAC"/>
              <w:rPr>
                <w:rFonts w:cs="Arial"/>
                <w:lang w:val="sv-SE"/>
              </w:rPr>
            </w:pPr>
            <w:r w:rsidRPr="009C5807">
              <w:t>-116</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D19BB5B" w14:textId="77777777" w:rsidR="008935F7" w:rsidRPr="009C5807" w:rsidRDefault="008935F7" w:rsidP="008935F7">
            <w:pPr>
              <w:pStyle w:val="TAC"/>
              <w:rPr>
                <w:rFonts w:cs="Arial"/>
                <w:lang w:val="sv-SE"/>
              </w:rPr>
            </w:pPr>
            <w:r w:rsidRPr="00BB519F">
              <w:t>-113</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F3576C2"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119F579" w14:textId="77777777" w:rsidR="008935F7" w:rsidRPr="009C5807" w:rsidRDefault="008935F7" w:rsidP="008935F7">
            <w:pPr>
              <w:pStyle w:val="TAC"/>
            </w:pPr>
            <w:r w:rsidRPr="009C5807">
              <w:t>-50</w:t>
            </w:r>
          </w:p>
        </w:tc>
      </w:tr>
      <w:tr w:rsidR="008935F7" w:rsidRPr="009C5807" w14:paraId="557C2049" w14:textId="77777777" w:rsidTr="008935F7">
        <w:trPr>
          <w:jc w:val="center"/>
        </w:trPr>
        <w:tc>
          <w:tcPr>
            <w:tcW w:w="1031" w:type="dxa"/>
            <w:tcBorders>
              <w:left w:val="single" w:sz="4" w:space="0" w:color="auto"/>
              <w:right w:val="single" w:sz="6" w:space="0" w:color="auto"/>
            </w:tcBorders>
            <w:shd w:val="clear" w:color="auto" w:fill="auto"/>
          </w:tcPr>
          <w:p w14:paraId="53525470" w14:textId="77777777" w:rsidR="008935F7" w:rsidRPr="009C5807" w:rsidRDefault="008935F7" w:rsidP="008935F7">
            <w:pPr>
              <w:pStyle w:val="TAC"/>
            </w:pPr>
          </w:p>
        </w:tc>
        <w:tc>
          <w:tcPr>
            <w:tcW w:w="1034" w:type="dxa"/>
            <w:tcBorders>
              <w:left w:val="single" w:sz="6" w:space="0" w:color="auto"/>
              <w:right w:val="single" w:sz="6" w:space="0" w:color="auto"/>
            </w:tcBorders>
            <w:shd w:val="clear" w:color="auto" w:fill="auto"/>
          </w:tcPr>
          <w:p w14:paraId="187E35BD" w14:textId="77777777" w:rsidR="008935F7" w:rsidRPr="009C5807" w:rsidRDefault="008935F7" w:rsidP="008935F7">
            <w:pPr>
              <w:pStyle w:val="TAC"/>
            </w:pPr>
          </w:p>
        </w:tc>
        <w:tc>
          <w:tcPr>
            <w:tcW w:w="745" w:type="dxa"/>
            <w:tcBorders>
              <w:left w:val="single" w:sz="6" w:space="0" w:color="auto"/>
              <w:right w:val="single" w:sz="6" w:space="0" w:color="auto"/>
            </w:tcBorders>
            <w:shd w:val="clear" w:color="auto" w:fill="auto"/>
          </w:tcPr>
          <w:p w14:paraId="3CE06076" w14:textId="77777777" w:rsidR="008935F7" w:rsidRPr="009C5807" w:rsidRDefault="008935F7" w:rsidP="008935F7">
            <w:pPr>
              <w:pStyle w:val="TAC"/>
            </w:pP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06E16FAE" w14:textId="77777777" w:rsidR="008935F7" w:rsidRPr="009C5807" w:rsidRDefault="008935F7" w:rsidP="008935F7">
            <w:pPr>
              <w:pStyle w:val="TAC"/>
              <w:rPr>
                <w:lang w:val="sv-SE"/>
              </w:rPr>
            </w:pPr>
            <w:r w:rsidRPr="009C5807">
              <w:rPr>
                <w:lang w:eastAsia="zh-CN"/>
              </w:rPr>
              <w:t>NR_FDD_FR1_F</w:t>
            </w: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11860D67" w14:textId="77777777" w:rsidR="008935F7" w:rsidRPr="009C5807" w:rsidRDefault="008935F7" w:rsidP="008935F7">
            <w:pPr>
              <w:pStyle w:val="TAC"/>
            </w:pPr>
            <w:r w:rsidRPr="009C5807">
              <w:t>-118.5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EBCDBD1" w14:textId="77777777" w:rsidR="008935F7" w:rsidRPr="009C5807" w:rsidRDefault="008935F7" w:rsidP="008935F7">
            <w:pPr>
              <w:pStyle w:val="TAC"/>
            </w:pPr>
            <w:r w:rsidRPr="009C5807">
              <w:rPr>
                <w:rFonts w:cs="Arial"/>
              </w:rPr>
              <w:t>-115.5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E49D1FF" w14:textId="77777777" w:rsidR="008935F7" w:rsidRPr="009C5807" w:rsidRDefault="008935F7" w:rsidP="008935F7">
            <w:pPr>
              <w:pStyle w:val="TAC"/>
            </w:pPr>
            <w:r w:rsidRPr="00BB519F">
              <w:t>-112.5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109DAC9"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21B1EDF" w14:textId="77777777" w:rsidR="008935F7" w:rsidRPr="009C5807" w:rsidRDefault="008935F7" w:rsidP="008935F7">
            <w:pPr>
              <w:pStyle w:val="TAC"/>
            </w:pPr>
            <w:r w:rsidRPr="009C5807">
              <w:t>-50</w:t>
            </w:r>
          </w:p>
        </w:tc>
      </w:tr>
      <w:tr w:rsidR="008935F7" w:rsidRPr="009C5807" w14:paraId="00069DC2" w14:textId="77777777" w:rsidTr="008935F7">
        <w:trPr>
          <w:jc w:val="center"/>
        </w:trPr>
        <w:tc>
          <w:tcPr>
            <w:tcW w:w="1031" w:type="dxa"/>
            <w:tcBorders>
              <w:left w:val="single" w:sz="4" w:space="0" w:color="auto"/>
              <w:right w:val="single" w:sz="6" w:space="0" w:color="auto"/>
            </w:tcBorders>
            <w:shd w:val="clear" w:color="auto" w:fill="auto"/>
          </w:tcPr>
          <w:p w14:paraId="15EF711B" w14:textId="77777777" w:rsidR="008935F7" w:rsidRPr="009C5807" w:rsidRDefault="008935F7" w:rsidP="008935F7">
            <w:pPr>
              <w:pStyle w:val="TAC"/>
            </w:pPr>
          </w:p>
        </w:tc>
        <w:tc>
          <w:tcPr>
            <w:tcW w:w="1034" w:type="dxa"/>
            <w:tcBorders>
              <w:left w:val="single" w:sz="6" w:space="0" w:color="auto"/>
              <w:right w:val="single" w:sz="6" w:space="0" w:color="auto"/>
            </w:tcBorders>
            <w:shd w:val="clear" w:color="auto" w:fill="auto"/>
          </w:tcPr>
          <w:p w14:paraId="1DD2D175" w14:textId="77777777" w:rsidR="008935F7" w:rsidRPr="009C5807" w:rsidRDefault="008935F7" w:rsidP="008935F7">
            <w:pPr>
              <w:pStyle w:val="TAC"/>
            </w:pPr>
          </w:p>
        </w:tc>
        <w:tc>
          <w:tcPr>
            <w:tcW w:w="745" w:type="dxa"/>
            <w:tcBorders>
              <w:left w:val="single" w:sz="6" w:space="0" w:color="auto"/>
              <w:right w:val="single" w:sz="6" w:space="0" w:color="auto"/>
            </w:tcBorders>
            <w:shd w:val="clear" w:color="auto" w:fill="auto"/>
          </w:tcPr>
          <w:p w14:paraId="3BBA3545" w14:textId="77777777" w:rsidR="008935F7" w:rsidRPr="009C5807" w:rsidRDefault="008935F7" w:rsidP="008935F7">
            <w:pPr>
              <w:pStyle w:val="TAC"/>
            </w:pP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719A61A5" w14:textId="77777777" w:rsidR="008935F7" w:rsidRPr="009C5807" w:rsidDel="00836998" w:rsidRDefault="008935F7" w:rsidP="008935F7">
            <w:pPr>
              <w:pStyle w:val="TAC"/>
              <w:rPr>
                <w:lang w:eastAsia="zh-CN"/>
              </w:rPr>
            </w:pPr>
            <w:r w:rsidRPr="009C5807">
              <w:rPr>
                <w:lang w:eastAsia="zh-CN"/>
              </w:rPr>
              <w:t>NR_FDD_FR1_G</w:t>
            </w: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4AA0DF04" w14:textId="77777777" w:rsidR="008935F7" w:rsidRPr="009C5807" w:rsidRDefault="008935F7" w:rsidP="008935F7">
            <w:pPr>
              <w:pStyle w:val="TAC"/>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89881D5" w14:textId="77777777" w:rsidR="008935F7" w:rsidRPr="009C5807" w:rsidRDefault="008935F7" w:rsidP="008935F7">
            <w:pPr>
              <w:pStyle w:val="TAC"/>
              <w:rPr>
                <w:rFonts w:cs="Arial"/>
                <w:lang w:val="sv-SE"/>
              </w:rPr>
            </w:pPr>
            <w:r w:rsidRPr="009C5807">
              <w:rPr>
                <w:rFonts w:cs="Arial"/>
              </w:rPr>
              <w:t>-115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DB99901" w14:textId="77777777" w:rsidR="008935F7" w:rsidRPr="009C5807" w:rsidRDefault="008935F7" w:rsidP="008935F7">
            <w:pPr>
              <w:pStyle w:val="TAC"/>
              <w:rPr>
                <w:rFonts w:cs="Arial"/>
                <w:lang w:val="sv-SE"/>
              </w:rPr>
            </w:pPr>
            <w:r w:rsidRPr="00BB519F">
              <w:t>-112</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42F7FEC"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D4B624A" w14:textId="77777777" w:rsidR="008935F7" w:rsidRPr="009C5807" w:rsidRDefault="008935F7" w:rsidP="008935F7">
            <w:pPr>
              <w:pStyle w:val="TAC"/>
            </w:pPr>
            <w:r w:rsidRPr="009C5807">
              <w:t>-50</w:t>
            </w:r>
          </w:p>
        </w:tc>
      </w:tr>
      <w:tr w:rsidR="008935F7" w:rsidRPr="009C5807" w14:paraId="790B41AF" w14:textId="77777777" w:rsidTr="008935F7">
        <w:trPr>
          <w:trHeight w:val="65"/>
          <w:jc w:val="center"/>
        </w:trPr>
        <w:tc>
          <w:tcPr>
            <w:tcW w:w="1031" w:type="dxa"/>
            <w:tcBorders>
              <w:left w:val="single" w:sz="4" w:space="0" w:color="auto"/>
              <w:right w:val="single" w:sz="6" w:space="0" w:color="auto"/>
            </w:tcBorders>
            <w:shd w:val="clear" w:color="auto" w:fill="auto"/>
          </w:tcPr>
          <w:p w14:paraId="18DECC1C" w14:textId="77777777" w:rsidR="008935F7" w:rsidRPr="009C5807" w:rsidRDefault="008935F7" w:rsidP="008935F7">
            <w:pPr>
              <w:pStyle w:val="TAC"/>
            </w:pPr>
          </w:p>
        </w:tc>
        <w:tc>
          <w:tcPr>
            <w:tcW w:w="1034" w:type="dxa"/>
            <w:tcBorders>
              <w:left w:val="single" w:sz="6" w:space="0" w:color="auto"/>
              <w:right w:val="single" w:sz="6" w:space="0" w:color="auto"/>
            </w:tcBorders>
            <w:shd w:val="clear" w:color="auto" w:fill="auto"/>
          </w:tcPr>
          <w:p w14:paraId="3648FD3B" w14:textId="77777777" w:rsidR="008935F7" w:rsidRPr="009C5807" w:rsidRDefault="008935F7" w:rsidP="008935F7">
            <w:pPr>
              <w:pStyle w:val="TAC"/>
            </w:pPr>
          </w:p>
        </w:tc>
        <w:tc>
          <w:tcPr>
            <w:tcW w:w="745" w:type="dxa"/>
            <w:tcBorders>
              <w:left w:val="single" w:sz="6" w:space="0" w:color="auto"/>
              <w:right w:val="single" w:sz="6" w:space="0" w:color="auto"/>
            </w:tcBorders>
            <w:shd w:val="clear" w:color="auto" w:fill="auto"/>
          </w:tcPr>
          <w:p w14:paraId="29278444" w14:textId="77777777" w:rsidR="008935F7" w:rsidRPr="009C5807" w:rsidRDefault="008935F7" w:rsidP="008935F7">
            <w:pPr>
              <w:pStyle w:val="TAC"/>
            </w:pP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6C09DF12" w14:textId="77777777" w:rsidR="008935F7" w:rsidRPr="009C5807" w:rsidRDefault="008935F7" w:rsidP="008935F7">
            <w:pPr>
              <w:pStyle w:val="TAC"/>
              <w:rPr>
                <w:lang w:eastAsia="zh-CN"/>
              </w:rPr>
            </w:pPr>
            <w:r w:rsidRPr="009C5807">
              <w:rPr>
                <w:lang w:eastAsia="zh-CN"/>
              </w:rPr>
              <w:t>NR_FDD_FR1_H</w:t>
            </w:r>
          </w:p>
        </w:tc>
        <w:tc>
          <w:tcPr>
            <w:tcW w:w="907" w:type="dxa"/>
            <w:tcBorders>
              <w:top w:val="single" w:sz="6" w:space="0" w:color="auto"/>
              <w:left w:val="single" w:sz="4" w:space="0" w:color="auto"/>
              <w:bottom w:val="single" w:sz="6" w:space="0" w:color="auto"/>
              <w:right w:val="single" w:sz="6" w:space="0" w:color="auto"/>
            </w:tcBorders>
            <w:shd w:val="clear" w:color="auto" w:fill="auto"/>
          </w:tcPr>
          <w:p w14:paraId="51BFA27C" w14:textId="77777777" w:rsidR="008935F7" w:rsidRPr="009C5807" w:rsidRDefault="008935F7" w:rsidP="008935F7">
            <w:pPr>
              <w:pStyle w:val="TAC"/>
            </w:pPr>
            <w:r w:rsidRPr="009C5807">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FC94D15" w14:textId="77777777" w:rsidR="008935F7" w:rsidRPr="009C5807" w:rsidRDefault="008935F7" w:rsidP="008935F7">
            <w:pPr>
              <w:pStyle w:val="TAC"/>
              <w:rPr>
                <w:rFonts w:cs="Arial"/>
                <w:lang w:val="sv-SE"/>
              </w:rPr>
            </w:pPr>
            <w:r w:rsidRPr="009C5807">
              <w:rPr>
                <w:rFonts w:cs="Arial"/>
              </w:rPr>
              <w:t>-114.5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89EF6E5" w14:textId="77777777" w:rsidR="008935F7" w:rsidRPr="009C5807" w:rsidRDefault="008935F7" w:rsidP="008935F7">
            <w:pPr>
              <w:pStyle w:val="TAC"/>
              <w:rPr>
                <w:rFonts w:cs="Arial"/>
                <w:lang w:val="sv-SE"/>
              </w:rPr>
            </w:pPr>
            <w:r w:rsidRPr="00BB519F">
              <w:t>-111.5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57287FA" w14:textId="77777777" w:rsidR="008935F7" w:rsidRPr="009C5807" w:rsidRDefault="008935F7" w:rsidP="008935F7">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5D78B63" w14:textId="77777777" w:rsidR="008935F7" w:rsidRPr="009C5807" w:rsidRDefault="008935F7" w:rsidP="008935F7">
            <w:pPr>
              <w:pStyle w:val="TAC"/>
            </w:pPr>
            <w:r w:rsidRPr="009C5807">
              <w:t>-50</w:t>
            </w:r>
          </w:p>
        </w:tc>
      </w:tr>
      <w:tr w:rsidR="008935F7" w:rsidRPr="009C5807" w14:paraId="3BA2CA62" w14:textId="77777777" w:rsidTr="008935F7">
        <w:trPr>
          <w:jc w:val="center"/>
        </w:trPr>
        <w:tc>
          <w:tcPr>
            <w:tcW w:w="1031" w:type="dxa"/>
            <w:tcBorders>
              <w:top w:val="single" w:sz="6" w:space="0" w:color="auto"/>
              <w:left w:val="single" w:sz="4" w:space="0" w:color="auto"/>
              <w:bottom w:val="single" w:sz="6" w:space="0" w:color="auto"/>
              <w:right w:val="single" w:sz="6" w:space="0" w:color="auto"/>
            </w:tcBorders>
            <w:shd w:val="clear" w:color="auto" w:fill="auto"/>
          </w:tcPr>
          <w:p w14:paraId="3FE3C5EB" w14:textId="77777777" w:rsidR="008935F7" w:rsidRPr="009C5807" w:rsidRDefault="008935F7" w:rsidP="008935F7">
            <w:pPr>
              <w:pStyle w:val="TAC"/>
            </w:pPr>
            <w:r w:rsidRPr="009C5807">
              <w:sym w:font="Symbol" w:char="F0B1"/>
            </w:r>
            <w:r w:rsidRPr="009C5807">
              <w:t>4</w:t>
            </w:r>
          </w:p>
        </w:tc>
        <w:tc>
          <w:tcPr>
            <w:tcW w:w="1034" w:type="dxa"/>
            <w:tcBorders>
              <w:top w:val="single" w:sz="6" w:space="0" w:color="auto"/>
              <w:left w:val="single" w:sz="6" w:space="0" w:color="auto"/>
              <w:bottom w:val="single" w:sz="6" w:space="0" w:color="auto"/>
              <w:right w:val="single" w:sz="6" w:space="0" w:color="auto"/>
            </w:tcBorders>
            <w:shd w:val="clear" w:color="auto" w:fill="auto"/>
          </w:tcPr>
          <w:p w14:paraId="202C9F37" w14:textId="77777777" w:rsidR="008935F7" w:rsidRPr="009C5807" w:rsidRDefault="008935F7" w:rsidP="008935F7">
            <w:pPr>
              <w:pStyle w:val="TAC"/>
            </w:pPr>
            <w:r w:rsidRPr="009C5807">
              <w:sym w:font="Symbol" w:char="F0B1"/>
            </w:r>
            <w:r w:rsidRPr="009C5807">
              <w:t>4</w:t>
            </w:r>
          </w:p>
        </w:tc>
        <w:tc>
          <w:tcPr>
            <w:tcW w:w="745" w:type="dxa"/>
            <w:tcBorders>
              <w:top w:val="single" w:sz="6" w:space="0" w:color="auto"/>
              <w:left w:val="single" w:sz="6" w:space="0" w:color="auto"/>
              <w:bottom w:val="single" w:sz="6" w:space="0" w:color="auto"/>
              <w:right w:val="single" w:sz="6" w:space="0" w:color="auto"/>
            </w:tcBorders>
            <w:shd w:val="clear" w:color="auto" w:fill="auto"/>
          </w:tcPr>
          <w:p w14:paraId="6AE4C876" w14:textId="77777777" w:rsidR="008935F7" w:rsidRPr="009C5807" w:rsidRDefault="008935F7" w:rsidP="008935F7">
            <w:pPr>
              <w:pStyle w:val="TAC"/>
            </w:pPr>
            <w:r w:rsidRPr="009C5807">
              <w:sym w:font="Symbol" w:char="F0B3"/>
            </w:r>
            <w:r w:rsidRPr="009C5807">
              <w:t>-</w:t>
            </w:r>
            <w:r w:rsidRPr="009C5807">
              <w:rPr>
                <w:lang w:eastAsia="zh-CN"/>
              </w:rPr>
              <w:t>6</w:t>
            </w:r>
          </w:p>
        </w:tc>
        <w:tc>
          <w:tcPr>
            <w:tcW w:w="1921" w:type="dxa"/>
            <w:tcBorders>
              <w:top w:val="single" w:sz="6" w:space="0" w:color="auto"/>
              <w:left w:val="single" w:sz="6" w:space="0" w:color="auto"/>
              <w:bottom w:val="single" w:sz="6" w:space="0" w:color="auto"/>
              <w:right w:val="single" w:sz="4" w:space="0" w:color="auto"/>
            </w:tcBorders>
            <w:shd w:val="clear" w:color="auto" w:fill="auto"/>
          </w:tcPr>
          <w:p w14:paraId="65EB3BA5" w14:textId="77777777" w:rsidR="008935F7" w:rsidRPr="009C5807" w:rsidRDefault="008935F7" w:rsidP="008935F7">
            <w:pPr>
              <w:pStyle w:val="TAC"/>
            </w:pPr>
            <w:r w:rsidRPr="009C5807">
              <w:t>Note 3</w:t>
            </w:r>
          </w:p>
        </w:tc>
        <w:tc>
          <w:tcPr>
            <w:tcW w:w="907" w:type="dxa"/>
            <w:tcBorders>
              <w:top w:val="single" w:sz="6" w:space="0" w:color="auto"/>
              <w:left w:val="single" w:sz="4" w:space="0" w:color="auto"/>
              <w:bottom w:val="single" w:sz="4" w:space="0" w:color="auto"/>
              <w:right w:val="single" w:sz="6" w:space="0" w:color="auto"/>
            </w:tcBorders>
            <w:shd w:val="clear" w:color="auto" w:fill="auto"/>
          </w:tcPr>
          <w:p w14:paraId="0C5C0E9F" w14:textId="77777777" w:rsidR="008935F7" w:rsidRPr="009C5807" w:rsidRDefault="008935F7" w:rsidP="008935F7">
            <w:pPr>
              <w:pStyle w:val="TAC"/>
            </w:pPr>
            <w:r w:rsidRPr="009C5807">
              <w:t>Note 3</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2A9AFE5" w14:textId="77777777" w:rsidR="008935F7" w:rsidRPr="009C5807" w:rsidRDefault="008935F7" w:rsidP="008935F7">
            <w:pPr>
              <w:pStyle w:val="TAC"/>
              <w:rPr>
                <w:lang w:eastAsia="zh-CN"/>
              </w:rPr>
            </w:pPr>
            <w:r w:rsidRPr="009C5807">
              <w:t>Note 3</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2CDBEA2" w14:textId="77777777" w:rsidR="008935F7" w:rsidRPr="009C5807" w:rsidRDefault="008935F7" w:rsidP="008935F7">
            <w:pPr>
              <w:pStyle w:val="TAC"/>
              <w:rPr>
                <w:lang w:eastAsia="zh-CN"/>
              </w:rPr>
            </w:pPr>
            <w:r w:rsidRPr="009C5807">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2A17098C" w14:textId="77777777" w:rsidR="008935F7" w:rsidRPr="009C5807" w:rsidRDefault="008935F7" w:rsidP="008935F7">
            <w:pPr>
              <w:pStyle w:val="TAC"/>
            </w:pPr>
            <w:r w:rsidRPr="009C5807">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50D5F848" w14:textId="77777777" w:rsidR="008935F7" w:rsidRPr="009C5807" w:rsidRDefault="008935F7" w:rsidP="008935F7">
            <w:pPr>
              <w:pStyle w:val="TAC"/>
            </w:pPr>
            <w:r w:rsidRPr="009C5807">
              <w:t>Note 3</w:t>
            </w:r>
          </w:p>
        </w:tc>
      </w:tr>
      <w:tr w:rsidR="008935F7" w:rsidRPr="009C5807" w14:paraId="565DDC01" w14:textId="77777777" w:rsidTr="008935F7">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6F3ADE7A" w14:textId="77777777" w:rsidR="008935F7" w:rsidRPr="009C5807" w:rsidRDefault="008935F7" w:rsidP="008935F7">
            <w:pPr>
              <w:pStyle w:val="TAN"/>
            </w:pPr>
            <w:r w:rsidRPr="009C5807">
              <w:t>N</w:t>
            </w:r>
            <w:r w:rsidRPr="009C5807">
              <w:rPr>
                <w:lang w:eastAsia="zh-CN"/>
              </w:rPr>
              <w:t>OTE</w:t>
            </w:r>
            <w:r w:rsidRPr="009C5807">
              <w:t xml:space="preserve"> 1:</w:t>
            </w:r>
            <w:r w:rsidRPr="009C5807">
              <w:tab/>
              <w:t>Io is assumed to have constant EPRE across the bandwidth.</w:t>
            </w:r>
          </w:p>
          <w:p w14:paraId="4075D619" w14:textId="77777777" w:rsidR="008935F7" w:rsidRPr="009C5807" w:rsidRDefault="008935F7" w:rsidP="008935F7">
            <w:pPr>
              <w:pStyle w:val="TAN"/>
            </w:pPr>
            <w:r w:rsidRPr="009C5807">
              <w:t>N</w:t>
            </w:r>
            <w:r w:rsidRPr="009C5807">
              <w:rPr>
                <w:lang w:eastAsia="zh-CN"/>
              </w:rPr>
              <w:t>OTE</w:t>
            </w:r>
            <w:r w:rsidRPr="009C5807">
              <w:t xml:space="preserve"> 2:</w:t>
            </w:r>
            <w:r w:rsidRPr="009C5807">
              <w:tab/>
            </w:r>
            <w:r w:rsidRPr="009C5807">
              <w:rPr>
                <w:lang w:eastAsia="zh-CN"/>
              </w:rPr>
              <w:t xml:space="preserve">The parameter </w:t>
            </w:r>
            <w:r>
              <w:rPr>
                <w:rFonts w:hint="eastAsia"/>
                <w:lang w:eastAsia="zh-CN"/>
              </w:rPr>
              <w:t>CSI-RS</w:t>
            </w:r>
            <w:r w:rsidRPr="009C5807">
              <w:rPr>
                <w:lang w:eastAsia="zh-CN"/>
              </w:rPr>
              <w:t xml:space="preserve"> </w:t>
            </w:r>
            <w:r w:rsidRPr="009C5807">
              <w:t>Ês/Iot</w:t>
            </w:r>
            <w:r w:rsidRPr="009C5807">
              <w:rPr>
                <w:lang w:eastAsia="zh-CN"/>
              </w:rPr>
              <w:t xml:space="preserve"> is the minimum </w:t>
            </w:r>
            <w:r>
              <w:rPr>
                <w:rFonts w:hint="eastAsia"/>
                <w:lang w:eastAsia="zh-CN"/>
              </w:rPr>
              <w:t>CSI-RS</w:t>
            </w:r>
            <w:r w:rsidRPr="009C5807">
              <w:rPr>
                <w:lang w:eastAsia="zh-CN"/>
              </w:rPr>
              <w:t xml:space="preserve"> </w:t>
            </w:r>
            <w:r w:rsidRPr="009C5807">
              <w:t>Ês/Iot</w:t>
            </w:r>
            <w:r w:rsidRPr="009C5807">
              <w:rPr>
                <w:lang w:eastAsia="zh-CN"/>
              </w:rPr>
              <w:t xml:space="preserve"> of the pair of cells to which the requirement applies.</w:t>
            </w:r>
          </w:p>
          <w:p w14:paraId="03A34697" w14:textId="77777777" w:rsidR="008935F7" w:rsidRPr="009C5807" w:rsidRDefault="008935F7" w:rsidP="008935F7">
            <w:pPr>
              <w:pStyle w:val="TAN"/>
              <w:rPr>
                <w:rFonts w:cs="Arial"/>
              </w:rPr>
            </w:pPr>
            <w:r w:rsidRPr="009C5807">
              <w:t>N</w:t>
            </w:r>
            <w:r w:rsidRPr="009C5807">
              <w:rPr>
                <w:lang w:eastAsia="zh-CN"/>
              </w:rPr>
              <w:t>OTE</w:t>
            </w:r>
            <w:r w:rsidRPr="009C5807">
              <w:t xml:space="preserve"> 3:</w:t>
            </w:r>
            <w:r w:rsidRPr="009C5807">
              <w:tab/>
            </w:r>
            <w:r w:rsidRPr="009C5807">
              <w:rPr>
                <w:rFonts w:cs="Arial"/>
              </w:rPr>
              <w:t>The same bands and the same Io conditions for each band apply for this requirement as for the corresponding highest accuracy requirement.</w:t>
            </w:r>
          </w:p>
          <w:p w14:paraId="29D7C99A" w14:textId="77777777" w:rsidR="008935F7" w:rsidRPr="009C5807" w:rsidRDefault="008935F7" w:rsidP="008935F7">
            <w:pPr>
              <w:pStyle w:val="TAN"/>
            </w:pPr>
            <w:r w:rsidRPr="009C5807">
              <w:t>NOTE 4:</w:t>
            </w:r>
            <w:r w:rsidRPr="009C5807">
              <w:tab/>
              <w:t>NR operating band groups in FR1 are as defined in clause 3.5.2.</w:t>
            </w:r>
          </w:p>
        </w:tc>
      </w:tr>
    </w:tbl>
    <w:p w14:paraId="2656A39F" w14:textId="77777777" w:rsidR="008935F7" w:rsidRPr="008E4344" w:rsidRDefault="008935F7" w:rsidP="008935F7"/>
    <w:p w14:paraId="1CD2D2D9" w14:textId="77777777" w:rsidR="00BE0199" w:rsidRPr="009C5807" w:rsidRDefault="00BE0199" w:rsidP="00BE0199">
      <w:pPr>
        <w:pStyle w:val="Heading3"/>
        <w:rPr>
          <w:lang w:val="en-US"/>
        </w:rPr>
      </w:pPr>
      <w:r w:rsidRPr="009C5807">
        <w:rPr>
          <w:lang w:val="en-US"/>
        </w:rPr>
        <w:t>10.1.9</w:t>
      </w:r>
      <w:r>
        <w:rPr>
          <w:lang w:val="en-US"/>
        </w:rPr>
        <w:t>B</w:t>
      </w:r>
      <w:r w:rsidRPr="009C5807">
        <w:rPr>
          <w:lang w:val="en-US"/>
        </w:rPr>
        <w:tab/>
        <w:t xml:space="preserve">Inter-frequency RSRQ accuracy requirements for </w:t>
      </w:r>
      <w:r w:rsidRPr="009C5807">
        <w:rPr>
          <w:lang w:val="en-US" w:eastAsia="ko-KR"/>
        </w:rPr>
        <w:t>FR1</w:t>
      </w:r>
      <w:r w:rsidRPr="008E4344">
        <w:rPr>
          <w:lang w:val="en-US"/>
        </w:rPr>
        <w:t xml:space="preserve"> </w:t>
      </w:r>
      <w:r>
        <w:rPr>
          <w:lang w:val="en-US"/>
        </w:rPr>
        <w:t>for CA/DC Idle Mode Measurements</w:t>
      </w:r>
    </w:p>
    <w:p w14:paraId="5EEF8A06" w14:textId="77777777" w:rsidR="00BE0199" w:rsidRDefault="00BE0199" w:rsidP="00BE0199">
      <w:pPr>
        <w:pStyle w:val="Heading4"/>
        <w:rPr>
          <w:lang w:val="en-US" w:eastAsia="zh-CN"/>
        </w:rPr>
      </w:pPr>
      <w:r w:rsidRPr="009C5807">
        <w:rPr>
          <w:lang w:val="en-US" w:eastAsia="zh-CN"/>
        </w:rPr>
        <w:t>10.1.9</w:t>
      </w:r>
      <w:r>
        <w:rPr>
          <w:lang w:val="en-US" w:eastAsia="zh-CN"/>
        </w:rPr>
        <w:t>B</w:t>
      </w:r>
      <w:r w:rsidRPr="009C5807">
        <w:rPr>
          <w:lang w:val="en-US" w:eastAsia="zh-CN"/>
        </w:rPr>
        <w:t>.1</w:t>
      </w:r>
      <w:r w:rsidRPr="009C5807">
        <w:rPr>
          <w:lang w:val="en-US" w:eastAsia="zh-CN"/>
        </w:rPr>
        <w:tab/>
      </w:r>
      <w:r w:rsidRPr="009C5807">
        <w:rPr>
          <w:lang w:val="en-US" w:eastAsia="ko-KR"/>
        </w:rPr>
        <w:t>Inter-frequency SS-RSRQ accuracy requirements</w:t>
      </w:r>
      <w:r w:rsidRPr="009C5807">
        <w:rPr>
          <w:lang w:val="en-US" w:eastAsia="zh-CN"/>
        </w:rPr>
        <w:t xml:space="preserve"> in FR1</w:t>
      </w:r>
    </w:p>
    <w:p w14:paraId="268EF50D" w14:textId="77777777" w:rsidR="00BE0199" w:rsidRPr="00691C10" w:rsidRDefault="00BE0199" w:rsidP="00BE0199">
      <w:pPr>
        <w:jc w:val="both"/>
        <w:rPr>
          <w:rFonts w:cs="v4.2.0"/>
        </w:rPr>
      </w:pPr>
      <w:r w:rsidRPr="00691C10">
        <w:rPr>
          <w:rFonts w:cs="v4.2.0"/>
        </w:rPr>
        <w:t>The requirements in this clause are applicable for a UE:</w:t>
      </w:r>
    </w:p>
    <w:p w14:paraId="555BCAA3" w14:textId="77777777" w:rsidR="00BE0199" w:rsidRPr="00691C10" w:rsidRDefault="00BE0199" w:rsidP="00BE0199">
      <w:pPr>
        <w:pStyle w:val="B10"/>
        <w:rPr>
          <w:rFonts w:cs="v4.2.0"/>
        </w:rPr>
      </w:pPr>
      <w:r w:rsidRPr="00691C10">
        <w:rPr>
          <w:rFonts w:cs="v4.2.0"/>
        </w:rPr>
        <w:t>-</w:t>
      </w:r>
      <w:r w:rsidRPr="00691C10">
        <w:rPr>
          <w:rFonts w:cs="v4.2.0"/>
        </w:rPr>
        <w:tab/>
        <w:t>in state RRC_IDLE</w:t>
      </w:r>
      <w:r>
        <w:rPr>
          <w:rFonts w:cs="v4.2.0"/>
        </w:rPr>
        <w:t xml:space="preserve"> or RRC INACTIVE</w:t>
      </w:r>
    </w:p>
    <w:p w14:paraId="3D79C407" w14:textId="77777777" w:rsidR="00BE0199" w:rsidRPr="00691C10" w:rsidRDefault="00BE0199" w:rsidP="00BE0199">
      <w:pPr>
        <w:pStyle w:val="B10"/>
      </w:pPr>
      <w:r w:rsidRPr="00691C10">
        <w:t>-</w:t>
      </w:r>
      <w:r w:rsidRPr="00691C10">
        <w:tab/>
        <w:t>that is synchronised to the cell that is measured.</w:t>
      </w:r>
    </w:p>
    <w:p w14:paraId="03622134" w14:textId="77777777" w:rsidR="00BE0199" w:rsidRPr="008E4344" w:rsidRDefault="00BE0199" w:rsidP="00F37389">
      <w:r w:rsidRPr="00691C10">
        <w:t xml:space="preserve">The requirements are for absolute accuracy of </w:t>
      </w:r>
      <w:r>
        <w:t>SS-</w:t>
      </w:r>
      <w:r w:rsidRPr="00691C10">
        <w:t>RSR</w:t>
      </w:r>
      <w:r>
        <w:t>Q</w:t>
      </w:r>
      <w:r w:rsidRPr="00691C10">
        <w:t>.</w:t>
      </w:r>
    </w:p>
    <w:p w14:paraId="66A08781" w14:textId="77777777" w:rsidR="00BE0199" w:rsidRPr="009C5807" w:rsidRDefault="00BE0199" w:rsidP="00BE0199">
      <w:pPr>
        <w:pStyle w:val="Heading5"/>
        <w:rPr>
          <w:lang w:val="en-US" w:eastAsia="zh-CN"/>
        </w:rPr>
      </w:pPr>
      <w:r w:rsidRPr="009C5807">
        <w:rPr>
          <w:lang w:val="en-US" w:eastAsia="zh-CN"/>
        </w:rPr>
        <w:t>10.1.9</w:t>
      </w:r>
      <w:r>
        <w:rPr>
          <w:lang w:val="en-US" w:eastAsia="zh-CN"/>
        </w:rPr>
        <w:t>B</w:t>
      </w:r>
      <w:r w:rsidRPr="009C5807">
        <w:rPr>
          <w:lang w:val="en-US" w:eastAsia="zh-CN"/>
        </w:rPr>
        <w:t>.1.1</w:t>
      </w:r>
      <w:r w:rsidRPr="009C5807">
        <w:rPr>
          <w:lang w:val="en-US" w:eastAsia="zh-CN"/>
        </w:rPr>
        <w:tab/>
      </w:r>
      <w:r>
        <w:rPr>
          <w:noProof/>
        </w:rPr>
        <w:t>Absolute</w:t>
      </w:r>
      <w:r w:rsidRPr="009C5807">
        <w:t xml:space="preserve"> Accuracy of </w:t>
      </w:r>
      <w:r w:rsidRPr="009C5807">
        <w:rPr>
          <w:lang w:eastAsia="zh-CN"/>
        </w:rPr>
        <w:t>SS-RSRQ</w:t>
      </w:r>
      <w:r w:rsidRPr="009C5807">
        <w:rPr>
          <w:lang w:val="en-US" w:eastAsia="zh-CN"/>
        </w:rPr>
        <w:t xml:space="preserve"> in FR1</w:t>
      </w:r>
    </w:p>
    <w:p w14:paraId="377B41DF" w14:textId="77777777" w:rsidR="00BE0199" w:rsidRPr="009C5807" w:rsidRDefault="00BE0199" w:rsidP="00BE0199">
      <w:pPr>
        <w:rPr>
          <w:rFonts w:cs="v4.2.0"/>
          <w:i/>
        </w:rPr>
      </w:pPr>
      <w:r w:rsidRPr="009C5807">
        <w:rPr>
          <w:rFonts w:cs="v4.2.0"/>
        </w:rPr>
        <w:t>The requirements for absolute accuracy of</w:t>
      </w:r>
      <w:r w:rsidRPr="009C5807">
        <w:rPr>
          <w:rFonts w:cs="v4.2.0"/>
          <w:lang w:eastAsia="zh-CN"/>
        </w:rPr>
        <w:t xml:space="preserve"> SS-RSRQ</w:t>
      </w:r>
      <w:r w:rsidRPr="009C5807">
        <w:rPr>
          <w:rFonts w:cs="v4.2.0"/>
        </w:rPr>
        <w:t xml:space="preserve"> in this clause apply to a cell on a frequency in FR1 that has different carrier frequency from the serving cell.</w:t>
      </w:r>
    </w:p>
    <w:p w14:paraId="0E9AD1F8" w14:textId="77777777" w:rsidR="00BE0199" w:rsidRPr="009C5807" w:rsidRDefault="00BE0199" w:rsidP="00BE0199">
      <w:pPr>
        <w:rPr>
          <w:rFonts w:cs="v4.2.0"/>
        </w:rPr>
      </w:pPr>
      <w:r w:rsidRPr="009C5807">
        <w:rPr>
          <w:rFonts w:cs="v4.2.0"/>
        </w:rPr>
        <w:t xml:space="preserve">The accuracy requirements in Table </w:t>
      </w:r>
      <w:r w:rsidRPr="009C5807">
        <w:rPr>
          <w:rFonts w:cs="v4.2.0"/>
          <w:lang w:eastAsia="zh-CN"/>
        </w:rPr>
        <w:t>10.1.9</w:t>
      </w:r>
      <w:r>
        <w:rPr>
          <w:rFonts w:cs="v4.2.0"/>
          <w:lang w:eastAsia="zh-CN"/>
        </w:rPr>
        <w:t>B</w:t>
      </w:r>
      <w:r w:rsidRPr="009C5807">
        <w:rPr>
          <w:rFonts w:cs="v4.2.0"/>
          <w:lang w:eastAsia="zh-CN"/>
        </w:rPr>
        <w:t>.1.1</w:t>
      </w:r>
      <w:r w:rsidRPr="009C5807">
        <w:rPr>
          <w:rFonts w:cs="v4.2.0"/>
        </w:rPr>
        <w:t>-1 are valid under the following conditions:</w:t>
      </w:r>
    </w:p>
    <w:p w14:paraId="6475D548" w14:textId="77777777" w:rsidR="00BE0199" w:rsidRPr="009C5807" w:rsidRDefault="00BE0199" w:rsidP="00F37389">
      <w:pPr>
        <w:pStyle w:val="B10"/>
        <w:rPr>
          <w:lang w:eastAsia="zh-CN"/>
        </w:rPr>
      </w:pPr>
      <w:r w:rsidRPr="009C5807">
        <w:t>-</w:t>
      </w:r>
      <w:r w:rsidRPr="009C5807">
        <w:rPr>
          <w:rFonts w:ascii="Arial" w:hAnsi="Arial"/>
          <w:sz w:val="28"/>
          <w:lang w:val="en-US"/>
        </w:rPr>
        <w:tab/>
      </w:r>
      <w:r w:rsidRPr="009C5807">
        <w:t>Conditions defined in clause 7.3 of TS 38.101-1 [18] for reference sensitivity are fulfilled.</w:t>
      </w:r>
    </w:p>
    <w:p w14:paraId="17842238" w14:textId="77777777" w:rsidR="00BE0199" w:rsidRPr="009C5807" w:rsidRDefault="00BE0199" w:rsidP="00F37389">
      <w:pPr>
        <w:pStyle w:val="B10"/>
        <w:rPr>
          <w:lang w:eastAsia="zh-CN"/>
        </w:rPr>
      </w:pPr>
      <w:r w:rsidRPr="009C5807">
        <w:t>-</w:t>
      </w:r>
      <w:r w:rsidRPr="009C5807">
        <w:rPr>
          <w:rFonts w:ascii="Arial" w:hAnsi="Arial"/>
          <w:sz w:val="28"/>
          <w:lang w:val="en-US"/>
        </w:rPr>
        <w:tab/>
      </w:r>
      <w:r w:rsidRPr="009C5807">
        <w:t>Conditions for inter-frequency measurements are fulfilled according to Annex B.</w:t>
      </w:r>
      <w:r>
        <w:t>1</w:t>
      </w:r>
      <w:r w:rsidRPr="009C5807">
        <w:t xml:space="preserve">.3 for a corresponding Band </w:t>
      </w:r>
      <w:r w:rsidRPr="009C5807">
        <w:rPr>
          <w:rFonts w:cs="v4.2.0"/>
          <w:lang w:eastAsia="ko-KR"/>
        </w:rPr>
        <w:t>for each relevant SSB</w:t>
      </w:r>
      <w:r w:rsidRPr="009C5807">
        <w:t>.</w:t>
      </w:r>
    </w:p>
    <w:p w14:paraId="432189DF" w14:textId="77777777" w:rsidR="00BE0199" w:rsidRPr="009C5807" w:rsidRDefault="00BE0199" w:rsidP="00F37389">
      <w:pPr>
        <w:pStyle w:val="TH"/>
        <w:rPr>
          <w:lang w:eastAsia="zh-CN"/>
        </w:rPr>
      </w:pPr>
      <w:r w:rsidRPr="009C5807">
        <w:t xml:space="preserve">Table </w:t>
      </w:r>
      <w:r w:rsidRPr="009C5807">
        <w:rPr>
          <w:lang w:eastAsia="zh-CN"/>
        </w:rPr>
        <w:t>10.1.9</w:t>
      </w:r>
      <w:r>
        <w:rPr>
          <w:lang w:eastAsia="zh-CN"/>
        </w:rPr>
        <w:t>B</w:t>
      </w:r>
      <w:r w:rsidRPr="009C5807">
        <w:rPr>
          <w:lang w:eastAsia="zh-CN"/>
        </w:rPr>
        <w:t>.1.1</w:t>
      </w:r>
      <w:r w:rsidRPr="009C5807">
        <w:t xml:space="preserve">-1: </w:t>
      </w:r>
      <w:r w:rsidRPr="009C5807">
        <w:rPr>
          <w:lang w:eastAsia="zh-CN"/>
        </w:rPr>
        <w:t>SS-RSRQ</w:t>
      </w:r>
      <w:r w:rsidRPr="009C5807">
        <w:t xml:space="preserve"> Inter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BE0199" w:rsidRPr="009C5807" w14:paraId="118715F1" w14:textId="77777777" w:rsidTr="00BE0199">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78B30D72" w14:textId="77777777" w:rsidR="00BE0199" w:rsidRPr="009C5807" w:rsidRDefault="00BE0199" w:rsidP="00BE0199">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0817BBAA" w14:textId="77777777" w:rsidR="00BE0199" w:rsidRPr="009C5807" w:rsidRDefault="00BE0199" w:rsidP="00BE0199">
            <w:pPr>
              <w:pStyle w:val="TAH"/>
            </w:pPr>
            <w:r w:rsidRPr="009C5807">
              <w:t>Conditions</w:t>
            </w:r>
          </w:p>
        </w:tc>
      </w:tr>
      <w:tr w:rsidR="00BE0199" w:rsidRPr="009C5807" w14:paraId="7B673468" w14:textId="77777777" w:rsidTr="00BE0199">
        <w:trPr>
          <w:jc w:val="center"/>
        </w:trPr>
        <w:tc>
          <w:tcPr>
            <w:tcW w:w="1035" w:type="dxa"/>
            <w:tcBorders>
              <w:top w:val="single" w:sz="6" w:space="0" w:color="auto"/>
              <w:left w:val="single" w:sz="4" w:space="0" w:color="auto"/>
              <w:right w:val="single" w:sz="6" w:space="0" w:color="auto"/>
            </w:tcBorders>
            <w:shd w:val="clear" w:color="auto" w:fill="auto"/>
            <w:vAlign w:val="center"/>
          </w:tcPr>
          <w:p w14:paraId="06618656" w14:textId="77777777" w:rsidR="00BE0199" w:rsidRPr="009C5807" w:rsidRDefault="00BE0199" w:rsidP="00BE0199">
            <w:pPr>
              <w:pStyle w:val="TAH"/>
            </w:pPr>
            <w:r w:rsidRPr="009C5807">
              <w:t>Normal condition</w:t>
            </w:r>
          </w:p>
        </w:tc>
        <w:tc>
          <w:tcPr>
            <w:tcW w:w="1047" w:type="dxa"/>
            <w:tcBorders>
              <w:top w:val="single" w:sz="6" w:space="0" w:color="auto"/>
              <w:left w:val="single" w:sz="6" w:space="0" w:color="auto"/>
              <w:right w:val="single" w:sz="6" w:space="0" w:color="auto"/>
            </w:tcBorders>
            <w:shd w:val="clear" w:color="auto" w:fill="auto"/>
            <w:vAlign w:val="center"/>
          </w:tcPr>
          <w:p w14:paraId="666B452A" w14:textId="77777777" w:rsidR="00BE0199" w:rsidRPr="009C5807" w:rsidRDefault="00BE0199" w:rsidP="00BE0199">
            <w:pPr>
              <w:pStyle w:val="TAH"/>
            </w:pPr>
            <w:r w:rsidRPr="009C5807">
              <w:t>Extreme condition</w:t>
            </w:r>
          </w:p>
        </w:tc>
        <w:tc>
          <w:tcPr>
            <w:tcW w:w="802" w:type="dxa"/>
            <w:tcBorders>
              <w:top w:val="single" w:sz="6" w:space="0" w:color="auto"/>
              <w:left w:val="single" w:sz="6" w:space="0" w:color="auto"/>
              <w:right w:val="single" w:sz="6" w:space="0" w:color="auto"/>
            </w:tcBorders>
            <w:shd w:val="clear" w:color="auto" w:fill="auto"/>
            <w:vAlign w:val="center"/>
          </w:tcPr>
          <w:p w14:paraId="3C4957BD" w14:textId="77777777" w:rsidR="00BE0199" w:rsidRPr="009C5807" w:rsidRDefault="00BE0199" w:rsidP="00BE0199">
            <w:pPr>
              <w:pStyle w:val="TAH"/>
            </w:pPr>
            <w:r w:rsidRPr="009C5807">
              <w:t>SSB Ês/Iot</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4B7D4AF" w14:textId="77777777" w:rsidR="00BE0199" w:rsidRPr="009C5807" w:rsidRDefault="00BE0199" w:rsidP="00BE0199">
            <w:pPr>
              <w:pStyle w:val="TAH"/>
            </w:pPr>
            <w:r w:rsidRPr="009C5807">
              <w:t>Io</w:t>
            </w:r>
            <w:r w:rsidRPr="009C5807">
              <w:rPr>
                <w:vertAlign w:val="superscript"/>
                <w:lang w:eastAsia="zh-CN"/>
              </w:rPr>
              <w:t xml:space="preserve"> Note 1</w:t>
            </w:r>
            <w:r w:rsidRPr="009C5807">
              <w:t xml:space="preserve"> range</w:t>
            </w:r>
          </w:p>
        </w:tc>
      </w:tr>
      <w:tr w:rsidR="00BE0199" w:rsidRPr="009C5807" w14:paraId="39B77B40" w14:textId="77777777" w:rsidTr="00BE0199">
        <w:trPr>
          <w:jc w:val="center"/>
        </w:trPr>
        <w:tc>
          <w:tcPr>
            <w:tcW w:w="1035" w:type="dxa"/>
            <w:tcBorders>
              <w:left w:val="single" w:sz="4" w:space="0" w:color="auto"/>
              <w:bottom w:val="single" w:sz="6" w:space="0" w:color="auto"/>
              <w:right w:val="single" w:sz="6" w:space="0" w:color="auto"/>
            </w:tcBorders>
            <w:shd w:val="clear" w:color="auto" w:fill="auto"/>
            <w:vAlign w:val="center"/>
          </w:tcPr>
          <w:p w14:paraId="41527D21" w14:textId="77777777" w:rsidR="00BE0199" w:rsidRPr="009C5807" w:rsidRDefault="00BE0199" w:rsidP="00BE0199">
            <w:pPr>
              <w:pStyle w:val="TAH"/>
            </w:pPr>
          </w:p>
        </w:tc>
        <w:tc>
          <w:tcPr>
            <w:tcW w:w="1047" w:type="dxa"/>
            <w:tcBorders>
              <w:left w:val="single" w:sz="6" w:space="0" w:color="auto"/>
              <w:bottom w:val="single" w:sz="6" w:space="0" w:color="auto"/>
              <w:right w:val="single" w:sz="6" w:space="0" w:color="auto"/>
            </w:tcBorders>
            <w:shd w:val="clear" w:color="auto" w:fill="auto"/>
            <w:vAlign w:val="center"/>
          </w:tcPr>
          <w:p w14:paraId="149744DD" w14:textId="77777777" w:rsidR="00BE0199" w:rsidRPr="009C5807" w:rsidRDefault="00BE0199" w:rsidP="00BE0199">
            <w:pPr>
              <w:pStyle w:val="TAH"/>
            </w:pPr>
          </w:p>
        </w:tc>
        <w:tc>
          <w:tcPr>
            <w:tcW w:w="802" w:type="dxa"/>
            <w:tcBorders>
              <w:left w:val="single" w:sz="6" w:space="0" w:color="auto"/>
              <w:bottom w:val="single" w:sz="6" w:space="0" w:color="auto"/>
              <w:right w:val="single" w:sz="6" w:space="0" w:color="auto"/>
            </w:tcBorders>
            <w:shd w:val="clear" w:color="auto" w:fill="auto"/>
            <w:vAlign w:val="center"/>
          </w:tcPr>
          <w:p w14:paraId="0A399F04" w14:textId="77777777" w:rsidR="00BE0199" w:rsidRPr="009C5807" w:rsidRDefault="00BE0199" w:rsidP="00BE0199">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vAlign w:val="center"/>
          </w:tcPr>
          <w:p w14:paraId="5F960FED" w14:textId="77777777" w:rsidR="00BE0199" w:rsidRPr="009C5807" w:rsidRDefault="00BE0199" w:rsidP="00BE0199">
            <w:pPr>
              <w:pStyle w:val="TAH"/>
            </w:pPr>
            <w:r w:rsidRPr="009C5807">
              <w:t>NR operating band groups</w:t>
            </w:r>
            <w:r w:rsidRPr="009C5807">
              <w:rPr>
                <w:vertAlign w:val="superscript"/>
              </w:rPr>
              <w:t xml:space="preserve"> </w:t>
            </w:r>
            <w:r w:rsidRPr="009C5807">
              <w:rPr>
                <w:vertAlign w:val="superscript"/>
                <w:lang w:eastAsia="zh-CN"/>
              </w:rPr>
              <w:t>Note 3</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1AEDEF23" w14:textId="77777777" w:rsidR="00BE0199" w:rsidRPr="009C5807" w:rsidRDefault="00BE0199" w:rsidP="00BE0199">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34FBC4BE" w14:textId="77777777" w:rsidR="00BE0199" w:rsidRPr="009C5807" w:rsidRDefault="00BE0199" w:rsidP="00BE0199">
            <w:pPr>
              <w:pStyle w:val="TAH"/>
            </w:pPr>
            <w:r w:rsidRPr="009C5807">
              <w:t>Maximum Io</w:t>
            </w:r>
          </w:p>
        </w:tc>
      </w:tr>
      <w:tr w:rsidR="00BE0199" w:rsidRPr="009C5807" w14:paraId="79D6EABF" w14:textId="77777777" w:rsidTr="00BE0199">
        <w:trPr>
          <w:trHeight w:val="308"/>
          <w:jc w:val="center"/>
        </w:trPr>
        <w:tc>
          <w:tcPr>
            <w:tcW w:w="1035" w:type="dxa"/>
            <w:tcBorders>
              <w:top w:val="single" w:sz="6" w:space="0" w:color="auto"/>
              <w:left w:val="single" w:sz="4" w:space="0" w:color="auto"/>
              <w:right w:val="single" w:sz="6" w:space="0" w:color="auto"/>
            </w:tcBorders>
            <w:shd w:val="clear" w:color="auto" w:fill="auto"/>
          </w:tcPr>
          <w:p w14:paraId="4F001200" w14:textId="77777777" w:rsidR="00BE0199" w:rsidRPr="009C5807" w:rsidRDefault="00BE0199" w:rsidP="00BE0199">
            <w:pPr>
              <w:pStyle w:val="TAH"/>
            </w:pPr>
            <w:r w:rsidRPr="009C5807">
              <w:t>dB</w:t>
            </w:r>
          </w:p>
        </w:tc>
        <w:tc>
          <w:tcPr>
            <w:tcW w:w="1047" w:type="dxa"/>
            <w:tcBorders>
              <w:top w:val="single" w:sz="6" w:space="0" w:color="auto"/>
              <w:left w:val="single" w:sz="6" w:space="0" w:color="auto"/>
              <w:right w:val="single" w:sz="6" w:space="0" w:color="auto"/>
            </w:tcBorders>
            <w:shd w:val="clear" w:color="auto" w:fill="auto"/>
          </w:tcPr>
          <w:p w14:paraId="50BF7C57" w14:textId="77777777" w:rsidR="00BE0199" w:rsidRPr="009C5807" w:rsidRDefault="00BE0199" w:rsidP="00BE0199">
            <w:pPr>
              <w:pStyle w:val="TAH"/>
            </w:pPr>
            <w:r w:rsidRPr="009C5807">
              <w:t>dB</w:t>
            </w:r>
          </w:p>
        </w:tc>
        <w:tc>
          <w:tcPr>
            <w:tcW w:w="802" w:type="dxa"/>
            <w:tcBorders>
              <w:top w:val="single" w:sz="6" w:space="0" w:color="auto"/>
              <w:left w:val="single" w:sz="6" w:space="0" w:color="auto"/>
              <w:right w:val="single" w:sz="6" w:space="0" w:color="auto"/>
            </w:tcBorders>
            <w:shd w:val="clear" w:color="auto" w:fill="auto"/>
          </w:tcPr>
          <w:p w14:paraId="5D11F67C" w14:textId="77777777" w:rsidR="00BE0199" w:rsidRPr="009C5807" w:rsidRDefault="00BE0199" w:rsidP="00BE0199">
            <w:pPr>
              <w:pStyle w:val="TAH"/>
            </w:pPr>
            <w:r w:rsidRPr="009C5807">
              <w:t>dB</w:t>
            </w:r>
          </w:p>
        </w:tc>
        <w:tc>
          <w:tcPr>
            <w:tcW w:w="2298" w:type="dxa"/>
            <w:tcBorders>
              <w:top w:val="single" w:sz="6" w:space="0" w:color="auto"/>
              <w:left w:val="single" w:sz="6" w:space="0" w:color="auto"/>
              <w:right w:val="single" w:sz="4" w:space="0" w:color="auto"/>
            </w:tcBorders>
            <w:shd w:val="clear" w:color="auto" w:fill="auto"/>
          </w:tcPr>
          <w:p w14:paraId="1529EDEF" w14:textId="77777777" w:rsidR="00BE0199" w:rsidRPr="009C5807" w:rsidRDefault="00BE0199" w:rsidP="00BE0199">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0499991C" w14:textId="77777777" w:rsidR="00BE0199" w:rsidRPr="009C5807" w:rsidRDefault="00BE0199" w:rsidP="00BE0199">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13936BE4" w14:textId="77777777" w:rsidR="00BE0199" w:rsidRPr="009C5807" w:rsidRDefault="00BE0199" w:rsidP="00BE0199">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199EBD75" w14:textId="77777777" w:rsidR="00BE0199" w:rsidRPr="009C5807" w:rsidRDefault="00BE0199" w:rsidP="00BE0199">
            <w:pPr>
              <w:pStyle w:val="TAH"/>
            </w:pPr>
            <w:r w:rsidRPr="009C5807">
              <w:t>dBm/BW</w:t>
            </w:r>
            <w:r w:rsidRPr="009C5807">
              <w:rPr>
                <w:vertAlign w:val="subscript"/>
              </w:rPr>
              <w:t>Channel</w:t>
            </w:r>
          </w:p>
        </w:tc>
      </w:tr>
      <w:tr w:rsidR="00BE0199" w:rsidRPr="009C5807" w14:paraId="4E3658C3" w14:textId="77777777" w:rsidTr="00BE0199">
        <w:trPr>
          <w:trHeight w:val="307"/>
          <w:jc w:val="center"/>
        </w:trPr>
        <w:tc>
          <w:tcPr>
            <w:tcW w:w="1035" w:type="dxa"/>
            <w:tcBorders>
              <w:left w:val="single" w:sz="4" w:space="0" w:color="auto"/>
              <w:bottom w:val="single" w:sz="6" w:space="0" w:color="auto"/>
              <w:right w:val="single" w:sz="6" w:space="0" w:color="auto"/>
            </w:tcBorders>
            <w:shd w:val="clear" w:color="auto" w:fill="auto"/>
          </w:tcPr>
          <w:p w14:paraId="44F898E6" w14:textId="77777777" w:rsidR="00BE0199" w:rsidRPr="009C5807" w:rsidRDefault="00BE0199" w:rsidP="00BE0199">
            <w:pPr>
              <w:pStyle w:val="TAH"/>
            </w:pPr>
          </w:p>
        </w:tc>
        <w:tc>
          <w:tcPr>
            <w:tcW w:w="1047" w:type="dxa"/>
            <w:tcBorders>
              <w:left w:val="single" w:sz="6" w:space="0" w:color="auto"/>
              <w:bottom w:val="single" w:sz="6" w:space="0" w:color="auto"/>
              <w:right w:val="single" w:sz="6" w:space="0" w:color="auto"/>
            </w:tcBorders>
            <w:shd w:val="clear" w:color="auto" w:fill="auto"/>
          </w:tcPr>
          <w:p w14:paraId="100E7E9B" w14:textId="77777777" w:rsidR="00BE0199" w:rsidRPr="009C5807" w:rsidRDefault="00BE0199" w:rsidP="00BE0199">
            <w:pPr>
              <w:pStyle w:val="TAH"/>
            </w:pPr>
          </w:p>
        </w:tc>
        <w:tc>
          <w:tcPr>
            <w:tcW w:w="802" w:type="dxa"/>
            <w:tcBorders>
              <w:left w:val="single" w:sz="6" w:space="0" w:color="auto"/>
              <w:bottom w:val="single" w:sz="6" w:space="0" w:color="auto"/>
              <w:right w:val="single" w:sz="6" w:space="0" w:color="auto"/>
            </w:tcBorders>
            <w:shd w:val="clear" w:color="auto" w:fill="auto"/>
          </w:tcPr>
          <w:p w14:paraId="171BCBFD" w14:textId="77777777" w:rsidR="00BE0199" w:rsidRPr="009C5807" w:rsidRDefault="00BE0199" w:rsidP="00BE0199">
            <w:pPr>
              <w:pStyle w:val="TAH"/>
            </w:pPr>
          </w:p>
        </w:tc>
        <w:tc>
          <w:tcPr>
            <w:tcW w:w="2298" w:type="dxa"/>
            <w:tcBorders>
              <w:left w:val="single" w:sz="6" w:space="0" w:color="auto"/>
              <w:bottom w:val="single" w:sz="6" w:space="0" w:color="auto"/>
              <w:right w:val="single" w:sz="4" w:space="0" w:color="auto"/>
            </w:tcBorders>
            <w:shd w:val="clear" w:color="auto" w:fill="auto"/>
          </w:tcPr>
          <w:p w14:paraId="206D6DEC" w14:textId="77777777" w:rsidR="00BE0199" w:rsidRPr="009C5807" w:rsidRDefault="00BE0199" w:rsidP="00BE0199">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11EB560" w14:textId="77777777" w:rsidR="00BE0199" w:rsidRPr="009C5807" w:rsidRDefault="00BE0199" w:rsidP="00BE0199">
            <w:pPr>
              <w:pStyle w:val="TAH"/>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220F805" w14:textId="77777777" w:rsidR="00BE0199" w:rsidRPr="009C5807" w:rsidRDefault="00BE0199" w:rsidP="00BE0199">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35D7B0FB" w14:textId="77777777" w:rsidR="00BE0199" w:rsidRPr="009C5807" w:rsidRDefault="00BE0199" w:rsidP="00BE0199">
            <w:pPr>
              <w:pStyle w:val="TAH"/>
            </w:pPr>
          </w:p>
        </w:tc>
        <w:tc>
          <w:tcPr>
            <w:tcW w:w="1440" w:type="dxa"/>
            <w:tcBorders>
              <w:left w:val="single" w:sz="6" w:space="0" w:color="auto"/>
              <w:bottom w:val="single" w:sz="6" w:space="0" w:color="auto"/>
              <w:right w:val="single" w:sz="4" w:space="0" w:color="auto"/>
            </w:tcBorders>
            <w:shd w:val="clear" w:color="auto" w:fill="auto"/>
          </w:tcPr>
          <w:p w14:paraId="2EAD6CDE" w14:textId="77777777" w:rsidR="00BE0199" w:rsidRPr="009C5807" w:rsidRDefault="00BE0199" w:rsidP="00BE0199">
            <w:pPr>
              <w:pStyle w:val="TAH"/>
            </w:pPr>
          </w:p>
        </w:tc>
      </w:tr>
      <w:tr w:rsidR="00BE0199" w:rsidRPr="009C5807" w14:paraId="4A2F8874" w14:textId="77777777" w:rsidTr="00BE0199">
        <w:trPr>
          <w:jc w:val="center"/>
        </w:trPr>
        <w:tc>
          <w:tcPr>
            <w:tcW w:w="1035" w:type="dxa"/>
            <w:tcBorders>
              <w:top w:val="single" w:sz="6" w:space="0" w:color="auto"/>
              <w:left w:val="single" w:sz="4" w:space="0" w:color="auto"/>
              <w:right w:val="single" w:sz="6" w:space="0" w:color="auto"/>
            </w:tcBorders>
            <w:shd w:val="clear" w:color="auto" w:fill="auto"/>
          </w:tcPr>
          <w:p w14:paraId="15F8220F" w14:textId="77777777" w:rsidR="00BE0199" w:rsidRPr="009C5807" w:rsidRDefault="00BE0199" w:rsidP="00BE0199">
            <w:pPr>
              <w:pStyle w:val="TAC"/>
            </w:pPr>
          </w:p>
        </w:tc>
        <w:tc>
          <w:tcPr>
            <w:tcW w:w="1047" w:type="dxa"/>
            <w:tcBorders>
              <w:top w:val="single" w:sz="6" w:space="0" w:color="auto"/>
              <w:left w:val="single" w:sz="6" w:space="0" w:color="auto"/>
              <w:right w:val="single" w:sz="6" w:space="0" w:color="auto"/>
            </w:tcBorders>
            <w:shd w:val="clear" w:color="auto" w:fill="auto"/>
          </w:tcPr>
          <w:p w14:paraId="6B3F5E88" w14:textId="77777777" w:rsidR="00BE0199" w:rsidRPr="009C5807" w:rsidRDefault="00BE0199" w:rsidP="00BE0199">
            <w:pPr>
              <w:pStyle w:val="TAC"/>
            </w:pPr>
          </w:p>
        </w:tc>
        <w:tc>
          <w:tcPr>
            <w:tcW w:w="802" w:type="dxa"/>
            <w:tcBorders>
              <w:top w:val="single" w:sz="6" w:space="0" w:color="auto"/>
              <w:left w:val="single" w:sz="6" w:space="0" w:color="auto"/>
              <w:right w:val="single" w:sz="6" w:space="0" w:color="auto"/>
            </w:tcBorders>
            <w:shd w:val="clear" w:color="auto" w:fill="auto"/>
          </w:tcPr>
          <w:p w14:paraId="791A7360" w14:textId="77777777" w:rsidR="00BE0199" w:rsidRPr="009C5807" w:rsidRDefault="00BE0199" w:rsidP="00BE0199">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6C92057" w14:textId="77777777" w:rsidR="00BE0199" w:rsidRPr="009C5807" w:rsidRDefault="00BE0199" w:rsidP="00BE0199">
            <w:pPr>
              <w:pStyle w:val="TAC"/>
            </w:pPr>
            <w:r w:rsidRPr="009C5807">
              <w:t>NR_FDD_FR1_A, NR_TDD_FR1_A,</w:t>
            </w:r>
          </w:p>
          <w:p w14:paraId="6CEA63D3" w14:textId="77777777" w:rsidR="00BE0199" w:rsidRPr="009C5807" w:rsidRDefault="00BE0199" w:rsidP="00BE0199">
            <w:pPr>
              <w:pStyle w:val="TAC"/>
            </w:pPr>
            <w:r w:rsidRPr="009C5807">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70474A9" w14:textId="77777777" w:rsidR="00BE0199" w:rsidRPr="009C5807" w:rsidRDefault="00BE0199" w:rsidP="00BE0199">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00FC5D87" w14:textId="77777777" w:rsidR="00BE0199" w:rsidRPr="009C5807" w:rsidRDefault="00BE0199" w:rsidP="00BE0199">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C9CA755"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0CC56EC" w14:textId="77777777" w:rsidR="00BE0199" w:rsidRPr="009C5807" w:rsidRDefault="00BE0199" w:rsidP="00BE0199">
            <w:pPr>
              <w:pStyle w:val="TAC"/>
            </w:pPr>
            <w:r w:rsidRPr="009C5807">
              <w:t>-50</w:t>
            </w:r>
          </w:p>
        </w:tc>
      </w:tr>
      <w:tr w:rsidR="00BE0199" w:rsidRPr="009C5807" w14:paraId="58084D41" w14:textId="77777777" w:rsidTr="00BE0199">
        <w:trPr>
          <w:jc w:val="center"/>
        </w:trPr>
        <w:tc>
          <w:tcPr>
            <w:tcW w:w="1035" w:type="dxa"/>
            <w:tcBorders>
              <w:left w:val="single" w:sz="4" w:space="0" w:color="auto"/>
              <w:right w:val="single" w:sz="6" w:space="0" w:color="auto"/>
            </w:tcBorders>
            <w:shd w:val="clear" w:color="auto" w:fill="auto"/>
          </w:tcPr>
          <w:p w14:paraId="1C92B97D" w14:textId="77777777" w:rsidR="00BE0199" w:rsidRPr="009C5807" w:rsidRDefault="00BE0199" w:rsidP="00BE0199">
            <w:pPr>
              <w:pStyle w:val="TAC"/>
            </w:pPr>
          </w:p>
        </w:tc>
        <w:tc>
          <w:tcPr>
            <w:tcW w:w="1047" w:type="dxa"/>
            <w:tcBorders>
              <w:left w:val="single" w:sz="6" w:space="0" w:color="auto"/>
              <w:right w:val="single" w:sz="6" w:space="0" w:color="auto"/>
            </w:tcBorders>
            <w:shd w:val="clear" w:color="auto" w:fill="auto"/>
          </w:tcPr>
          <w:p w14:paraId="43E2A0BD" w14:textId="77777777" w:rsidR="00BE0199" w:rsidRPr="009C5807" w:rsidRDefault="00BE0199" w:rsidP="00BE0199">
            <w:pPr>
              <w:pStyle w:val="TAC"/>
            </w:pPr>
          </w:p>
        </w:tc>
        <w:tc>
          <w:tcPr>
            <w:tcW w:w="802" w:type="dxa"/>
            <w:tcBorders>
              <w:left w:val="single" w:sz="6" w:space="0" w:color="auto"/>
              <w:right w:val="single" w:sz="6" w:space="0" w:color="auto"/>
            </w:tcBorders>
            <w:shd w:val="clear" w:color="auto" w:fill="auto"/>
          </w:tcPr>
          <w:p w14:paraId="683D5291" w14:textId="77777777" w:rsidR="00BE0199" w:rsidRPr="009C5807" w:rsidRDefault="00BE0199" w:rsidP="00BE0199">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39571B3" w14:textId="77777777" w:rsidR="00BE0199" w:rsidRPr="009C5807" w:rsidRDefault="00BE0199" w:rsidP="00BE0199">
            <w:pPr>
              <w:pStyle w:val="TAC"/>
            </w:pPr>
            <w:r w:rsidRPr="009C5807">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7379E84" w14:textId="77777777" w:rsidR="00BE0199" w:rsidRPr="009C5807" w:rsidRDefault="00BE0199" w:rsidP="00BE0199">
            <w:pPr>
              <w:pStyle w:val="TAC"/>
            </w:pPr>
            <w:r w:rsidRPr="009C5807">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5BC91A86" w14:textId="77777777" w:rsidR="00BE0199" w:rsidRPr="009C5807" w:rsidRDefault="00BE0199" w:rsidP="00BE0199">
            <w:pPr>
              <w:pStyle w:val="TAC"/>
              <w:rPr>
                <w:rFonts w:cs="Arial"/>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D0B6816" w14:textId="77777777" w:rsidR="00BE0199" w:rsidRPr="009C5807" w:rsidRDefault="00BE0199" w:rsidP="00BE0199">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9A4F2ED" w14:textId="77777777" w:rsidR="00BE0199" w:rsidRPr="009C5807" w:rsidRDefault="00BE0199" w:rsidP="00BE0199">
            <w:pPr>
              <w:pStyle w:val="TAC"/>
            </w:pPr>
            <w:r w:rsidRPr="009C5807">
              <w:t>-50</w:t>
            </w:r>
          </w:p>
        </w:tc>
      </w:tr>
      <w:tr w:rsidR="00BE0199" w:rsidRPr="009C5807" w14:paraId="7BA8C844" w14:textId="77777777" w:rsidTr="00BE0199">
        <w:trPr>
          <w:jc w:val="center"/>
        </w:trPr>
        <w:tc>
          <w:tcPr>
            <w:tcW w:w="1035" w:type="dxa"/>
            <w:tcBorders>
              <w:left w:val="single" w:sz="4" w:space="0" w:color="auto"/>
              <w:right w:val="single" w:sz="6" w:space="0" w:color="auto"/>
            </w:tcBorders>
            <w:shd w:val="clear" w:color="auto" w:fill="auto"/>
          </w:tcPr>
          <w:p w14:paraId="5188AAAD" w14:textId="77777777" w:rsidR="00BE0199" w:rsidRPr="009C5807" w:rsidRDefault="00BE0199" w:rsidP="00BE0199">
            <w:pPr>
              <w:pStyle w:val="TAC"/>
            </w:pPr>
          </w:p>
        </w:tc>
        <w:tc>
          <w:tcPr>
            <w:tcW w:w="1047" w:type="dxa"/>
            <w:tcBorders>
              <w:left w:val="single" w:sz="6" w:space="0" w:color="auto"/>
              <w:right w:val="single" w:sz="6" w:space="0" w:color="auto"/>
            </w:tcBorders>
            <w:shd w:val="clear" w:color="auto" w:fill="auto"/>
          </w:tcPr>
          <w:p w14:paraId="0308968D" w14:textId="77777777" w:rsidR="00BE0199" w:rsidRPr="009C5807" w:rsidRDefault="00BE0199" w:rsidP="00BE0199">
            <w:pPr>
              <w:pStyle w:val="TAC"/>
            </w:pPr>
          </w:p>
        </w:tc>
        <w:tc>
          <w:tcPr>
            <w:tcW w:w="802" w:type="dxa"/>
            <w:tcBorders>
              <w:left w:val="single" w:sz="6" w:space="0" w:color="auto"/>
              <w:right w:val="single" w:sz="6" w:space="0" w:color="auto"/>
            </w:tcBorders>
            <w:shd w:val="clear" w:color="auto" w:fill="auto"/>
          </w:tcPr>
          <w:p w14:paraId="7B8461AE" w14:textId="77777777" w:rsidR="00BE0199" w:rsidRPr="009C5807" w:rsidRDefault="00BE0199" w:rsidP="00BE0199">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0A454D7" w14:textId="77777777" w:rsidR="00BE0199" w:rsidRPr="009C5807" w:rsidRDefault="00BE0199" w:rsidP="00BE0199">
            <w:pPr>
              <w:pStyle w:val="TAC"/>
            </w:pPr>
            <w:r w:rsidRPr="009C5807">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B5773A0" w14:textId="77777777" w:rsidR="00BE0199" w:rsidRPr="009C5807" w:rsidRDefault="00BE0199" w:rsidP="00BE0199">
            <w:pPr>
              <w:pStyle w:val="TAC"/>
            </w:pPr>
            <w:r w:rsidRPr="009C5807">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4FBB1D1" w14:textId="77777777" w:rsidR="00BE0199" w:rsidRPr="009C5807" w:rsidRDefault="00BE0199" w:rsidP="00BE0199">
            <w:pPr>
              <w:pStyle w:val="TAC"/>
              <w:rPr>
                <w:rFonts w:cs="Arial"/>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6E17FF6"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3F6BC76" w14:textId="77777777" w:rsidR="00BE0199" w:rsidRPr="009C5807" w:rsidRDefault="00BE0199" w:rsidP="00BE0199">
            <w:pPr>
              <w:pStyle w:val="TAC"/>
            </w:pPr>
            <w:r w:rsidRPr="009C5807">
              <w:t>-50</w:t>
            </w:r>
          </w:p>
        </w:tc>
      </w:tr>
      <w:tr w:rsidR="00BE0199" w:rsidRPr="009C5807" w14:paraId="05DA1224" w14:textId="77777777" w:rsidTr="00BE0199">
        <w:trPr>
          <w:jc w:val="center"/>
        </w:trPr>
        <w:tc>
          <w:tcPr>
            <w:tcW w:w="1035" w:type="dxa"/>
            <w:tcBorders>
              <w:left w:val="single" w:sz="4" w:space="0" w:color="auto"/>
              <w:right w:val="single" w:sz="6" w:space="0" w:color="auto"/>
            </w:tcBorders>
            <w:shd w:val="clear" w:color="auto" w:fill="auto"/>
          </w:tcPr>
          <w:p w14:paraId="1517CAE6" w14:textId="77777777" w:rsidR="00BE0199" w:rsidRPr="009C5807" w:rsidRDefault="00BE0199" w:rsidP="00BE0199">
            <w:pPr>
              <w:pStyle w:val="TAC"/>
            </w:pPr>
            <w:r w:rsidRPr="009C5807">
              <w:sym w:font="Symbol" w:char="F0B1"/>
            </w:r>
            <w:r>
              <w:t>4</w:t>
            </w:r>
          </w:p>
        </w:tc>
        <w:tc>
          <w:tcPr>
            <w:tcW w:w="1047" w:type="dxa"/>
            <w:tcBorders>
              <w:left w:val="single" w:sz="6" w:space="0" w:color="auto"/>
              <w:right w:val="single" w:sz="6" w:space="0" w:color="auto"/>
            </w:tcBorders>
            <w:shd w:val="clear" w:color="auto" w:fill="auto"/>
          </w:tcPr>
          <w:p w14:paraId="4CCF8623" w14:textId="77777777" w:rsidR="00BE0199" w:rsidRPr="009C5807" w:rsidRDefault="00BE0199" w:rsidP="00BE0199">
            <w:pPr>
              <w:pStyle w:val="TAC"/>
            </w:pPr>
            <w:r w:rsidRPr="009C5807">
              <w:sym w:font="Symbol" w:char="F0B1"/>
            </w:r>
            <w:r>
              <w:t>5.5</w:t>
            </w:r>
          </w:p>
        </w:tc>
        <w:tc>
          <w:tcPr>
            <w:tcW w:w="802" w:type="dxa"/>
            <w:tcBorders>
              <w:left w:val="single" w:sz="6" w:space="0" w:color="auto"/>
              <w:right w:val="single" w:sz="6" w:space="0" w:color="auto"/>
            </w:tcBorders>
            <w:shd w:val="clear" w:color="auto" w:fill="auto"/>
          </w:tcPr>
          <w:p w14:paraId="5059C97A" w14:textId="77777777" w:rsidR="00BE0199" w:rsidRPr="009C5807" w:rsidRDefault="00BE0199" w:rsidP="00BE0199">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F932237" w14:textId="77777777" w:rsidR="00BE0199" w:rsidRPr="009C5807" w:rsidRDefault="00BE0199" w:rsidP="00BE0199">
            <w:pPr>
              <w:pStyle w:val="TAC"/>
              <w:rPr>
                <w:lang w:val="sv-SE"/>
              </w:rPr>
            </w:pPr>
            <w:r w:rsidRPr="009C5807">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A946A19" w14:textId="77777777" w:rsidR="00BE0199" w:rsidRPr="009C5807" w:rsidRDefault="00BE0199" w:rsidP="00BE0199">
            <w:pPr>
              <w:pStyle w:val="TAC"/>
            </w:pPr>
            <w:r w:rsidRPr="009C5807">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5AB74448" w14:textId="77777777" w:rsidR="00BE0199" w:rsidRPr="009C5807" w:rsidRDefault="00BE0199" w:rsidP="00BE0199">
            <w:pPr>
              <w:pStyle w:val="TAC"/>
              <w:rPr>
                <w:rFonts w:cs="Arial"/>
              </w:rPr>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3C35A05"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8613FD1" w14:textId="77777777" w:rsidR="00BE0199" w:rsidRPr="009C5807" w:rsidRDefault="00BE0199" w:rsidP="00BE0199">
            <w:pPr>
              <w:pStyle w:val="TAC"/>
            </w:pPr>
            <w:r w:rsidRPr="009C5807">
              <w:t>-50</w:t>
            </w:r>
          </w:p>
        </w:tc>
      </w:tr>
      <w:tr w:rsidR="00BE0199" w:rsidRPr="009C5807" w14:paraId="05F7AF8F" w14:textId="77777777" w:rsidTr="00BE0199">
        <w:trPr>
          <w:jc w:val="center"/>
        </w:trPr>
        <w:tc>
          <w:tcPr>
            <w:tcW w:w="1035" w:type="dxa"/>
            <w:tcBorders>
              <w:left w:val="single" w:sz="4" w:space="0" w:color="auto"/>
              <w:right w:val="single" w:sz="6" w:space="0" w:color="auto"/>
            </w:tcBorders>
            <w:shd w:val="clear" w:color="auto" w:fill="auto"/>
          </w:tcPr>
          <w:p w14:paraId="19F6A10F" w14:textId="77777777" w:rsidR="00BE0199" w:rsidRPr="009C5807" w:rsidRDefault="00BE0199" w:rsidP="00BE0199">
            <w:pPr>
              <w:pStyle w:val="TAC"/>
            </w:pPr>
          </w:p>
        </w:tc>
        <w:tc>
          <w:tcPr>
            <w:tcW w:w="1047" w:type="dxa"/>
            <w:tcBorders>
              <w:left w:val="single" w:sz="6" w:space="0" w:color="auto"/>
              <w:right w:val="single" w:sz="6" w:space="0" w:color="auto"/>
            </w:tcBorders>
            <w:shd w:val="clear" w:color="auto" w:fill="auto"/>
          </w:tcPr>
          <w:p w14:paraId="258D75D9" w14:textId="77777777" w:rsidR="00BE0199" w:rsidRPr="009C5807" w:rsidRDefault="00BE0199" w:rsidP="00BE0199">
            <w:pPr>
              <w:pStyle w:val="TAC"/>
            </w:pPr>
          </w:p>
        </w:tc>
        <w:tc>
          <w:tcPr>
            <w:tcW w:w="802" w:type="dxa"/>
            <w:tcBorders>
              <w:left w:val="single" w:sz="6" w:space="0" w:color="auto"/>
              <w:right w:val="single" w:sz="6" w:space="0" w:color="auto"/>
            </w:tcBorders>
            <w:shd w:val="clear" w:color="auto" w:fill="auto"/>
          </w:tcPr>
          <w:p w14:paraId="3EEEBE8E" w14:textId="77777777" w:rsidR="00BE0199" w:rsidRPr="009C5807" w:rsidRDefault="00BE0199" w:rsidP="00BE0199">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68111451" w14:textId="77777777" w:rsidR="00BE0199" w:rsidRPr="009C5807" w:rsidDel="00836998" w:rsidRDefault="00BE0199" w:rsidP="00BE0199">
            <w:pPr>
              <w:pStyle w:val="TAC"/>
              <w:rPr>
                <w:lang w:val="sv-SE"/>
              </w:rPr>
            </w:pPr>
            <w:r w:rsidRPr="009C5807">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245533F" w14:textId="77777777" w:rsidR="00BE0199" w:rsidRPr="009C5807" w:rsidRDefault="00BE0199" w:rsidP="00BE0199">
            <w:pPr>
              <w:pStyle w:val="TAC"/>
            </w:pPr>
            <w:r w:rsidRPr="009C5807">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8978056" w14:textId="77777777" w:rsidR="00BE0199" w:rsidRPr="009C5807" w:rsidRDefault="00BE0199" w:rsidP="00BE0199">
            <w:pPr>
              <w:pStyle w:val="TAC"/>
              <w:rPr>
                <w:rFonts w:cs="Arial"/>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723452D"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F219255" w14:textId="77777777" w:rsidR="00BE0199" w:rsidRPr="009C5807" w:rsidRDefault="00BE0199" w:rsidP="00BE0199">
            <w:pPr>
              <w:pStyle w:val="TAC"/>
            </w:pPr>
            <w:r w:rsidRPr="009C5807">
              <w:t>-50</w:t>
            </w:r>
          </w:p>
        </w:tc>
      </w:tr>
      <w:tr w:rsidR="00BE0199" w:rsidRPr="009C5807" w14:paraId="455D34A7" w14:textId="77777777" w:rsidTr="00BE0199">
        <w:trPr>
          <w:jc w:val="center"/>
        </w:trPr>
        <w:tc>
          <w:tcPr>
            <w:tcW w:w="1035" w:type="dxa"/>
            <w:tcBorders>
              <w:left w:val="single" w:sz="4" w:space="0" w:color="auto"/>
              <w:right w:val="single" w:sz="6" w:space="0" w:color="auto"/>
            </w:tcBorders>
            <w:shd w:val="clear" w:color="auto" w:fill="auto"/>
          </w:tcPr>
          <w:p w14:paraId="0A16AAEA" w14:textId="77777777" w:rsidR="00BE0199" w:rsidRPr="009C5807" w:rsidRDefault="00BE0199" w:rsidP="00BE0199">
            <w:pPr>
              <w:pStyle w:val="TAC"/>
            </w:pPr>
          </w:p>
        </w:tc>
        <w:tc>
          <w:tcPr>
            <w:tcW w:w="1047" w:type="dxa"/>
            <w:tcBorders>
              <w:left w:val="single" w:sz="6" w:space="0" w:color="auto"/>
              <w:right w:val="single" w:sz="6" w:space="0" w:color="auto"/>
            </w:tcBorders>
            <w:shd w:val="clear" w:color="auto" w:fill="auto"/>
          </w:tcPr>
          <w:p w14:paraId="22A77BB2" w14:textId="77777777" w:rsidR="00BE0199" w:rsidRPr="009C5807" w:rsidRDefault="00BE0199" w:rsidP="00BE0199">
            <w:pPr>
              <w:pStyle w:val="TAC"/>
            </w:pPr>
          </w:p>
        </w:tc>
        <w:tc>
          <w:tcPr>
            <w:tcW w:w="802" w:type="dxa"/>
            <w:tcBorders>
              <w:left w:val="single" w:sz="6" w:space="0" w:color="auto"/>
              <w:right w:val="single" w:sz="6" w:space="0" w:color="auto"/>
            </w:tcBorders>
            <w:shd w:val="clear" w:color="auto" w:fill="auto"/>
          </w:tcPr>
          <w:p w14:paraId="0E412758" w14:textId="77777777" w:rsidR="00BE0199" w:rsidRPr="009C5807" w:rsidRDefault="00BE0199" w:rsidP="00BE0199">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48F1FFA" w14:textId="77777777" w:rsidR="00BE0199" w:rsidRPr="009C5807" w:rsidRDefault="00BE0199" w:rsidP="00BE0199">
            <w:pPr>
              <w:pStyle w:val="TAC"/>
              <w:rPr>
                <w:lang w:val="sv-SE"/>
              </w:rPr>
            </w:pPr>
            <w:r w:rsidRPr="009C5807">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1CA9ED3" w14:textId="77777777" w:rsidR="00BE0199" w:rsidRPr="009C5807" w:rsidRDefault="00BE0199" w:rsidP="00BE0199">
            <w:pPr>
              <w:pStyle w:val="TAC"/>
            </w:pPr>
            <w:r w:rsidRPr="009C5807">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53BD8CC" w14:textId="77777777" w:rsidR="00BE0199" w:rsidRPr="009C5807" w:rsidRDefault="00BE0199" w:rsidP="00BE0199">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3F8E347"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E33D41E" w14:textId="77777777" w:rsidR="00BE0199" w:rsidRPr="009C5807" w:rsidRDefault="00BE0199" w:rsidP="00BE0199">
            <w:pPr>
              <w:pStyle w:val="TAC"/>
            </w:pPr>
            <w:r w:rsidRPr="009C5807">
              <w:t>-50</w:t>
            </w:r>
          </w:p>
        </w:tc>
      </w:tr>
      <w:tr w:rsidR="00BE0199" w:rsidRPr="009C5807" w14:paraId="2A4B829E" w14:textId="77777777" w:rsidTr="00BE0199">
        <w:trPr>
          <w:jc w:val="center"/>
        </w:trPr>
        <w:tc>
          <w:tcPr>
            <w:tcW w:w="1035" w:type="dxa"/>
            <w:tcBorders>
              <w:left w:val="single" w:sz="4" w:space="0" w:color="auto"/>
              <w:right w:val="single" w:sz="6" w:space="0" w:color="auto"/>
            </w:tcBorders>
            <w:shd w:val="clear" w:color="auto" w:fill="auto"/>
          </w:tcPr>
          <w:p w14:paraId="23B9B586" w14:textId="77777777" w:rsidR="00BE0199" w:rsidRPr="009C5807" w:rsidRDefault="00BE0199" w:rsidP="00BE0199">
            <w:pPr>
              <w:pStyle w:val="TAC"/>
            </w:pPr>
          </w:p>
        </w:tc>
        <w:tc>
          <w:tcPr>
            <w:tcW w:w="1047" w:type="dxa"/>
            <w:tcBorders>
              <w:left w:val="single" w:sz="6" w:space="0" w:color="auto"/>
              <w:right w:val="single" w:sz="6" w:space="0" w:color="auto"/>
            </w:tcBorders>
            <w:shd w:val="clear" w:color="auto" w:fill="auto"/>
          </w:tcPr>
          <w:p w14:paraId="26759AC4" w14:textId="77777777" w:rsidR="00BE0199" w:rsidRPr="009C5807" w:rsidRDefault="00BE0199" w:rsidP="00BE0199">
            <w:pPr>
              <w:pStyle w:val="TAC"/>
            </w:pPr>
          </w:p>
        </w:tc>
        <w:tc>
          <w:tcPr>
            <w:tcW w:w="802" w:type="dxa"/>
            <w:tcBorders>
              <w:left w:val="single" w:sz="6" w:space="0" w:color="auto"/>
              <w:right w:val="single" w:sz="6" w:space="0" w:color="auto"/>
            </w:tcBorders>
            <w:shd w:val="clear" w:color="auto" w:fill="auto"/>
          </w:tcPr>
          <w:p w14:paraId="08BF16D1" w14:textId="77777777" w:rsidR="00BE0199" w:rsidRPr="009C5807" w:rsidRDefault="00BE0199" w:rsidP="00BE0199">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5DAF996" w14:textId="77777777" w:rsidR="00BE0199" w:rsidRPr="009C5807" w:rsidDel="00836998" w:rsidRDefault="00BE0199" w:rsidP="00BE0199">
            <w:pPr>
              <w:pStyle w:val="TAC"/>
              <w:rPr>
                <w:lang w:eastAsia="zh-CN"/>
              </w:rPr>
            </w:pPr>
            <w:r w:rsidRPr="009C5807">
              <w:rPr>
                <w:lang w:eastAsia="zh-CN"/>
              </w:rPr>
              <w:t>NR</w:t>
            </w:r>
            <w:r w:rsidRPr="009C5807">
              <w:t>_</w:t>
            </w:r>
            <w:r w:rsidRPr="009C5807">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CA5C908" w14:textId="77777777" w:rsidR="00BE0199" w:rsidRPr="009C5807" w:rsidRDefault="00BE0199" w:rsidP="00BE0199">
            <w:pPr>
              <w:pStyle w:val="TAC"/>
            </w:pPr>
            <w:r w:rsidRPr="009C5807">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5F1E1411" w14:textId="77777777" w:rsidR="00BE0199" w:rsidRPr="009C5807" w:rsidRDefault="00BE0199" w:rsidP="00BE0199">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FF4BA0D"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A925174" w14:textId="77777777" w:rsidR="00BE0199" w:rsidRPr="009C5807" w:rsidRDefault="00BE0199" w:rsidP="00BE0199">
            <w:pPr>
              <w:pStyle w:val="TAC"/>
            </w:pPr>
            <w:r w:rsidRPr="009C5807">
              <w:t>-50</w:t>
            </w:r>
          </w:p>
        </w:tc>
      </w:tr>
      <w:tr w:rsidR="00BE0199" w:rsidRPr="009C5807" w14:paraId="72734BF8" w14:textId="77777777" w:rsidTr="00BE0199">
        <w:trPr>
          <w:jc w:val="center"/>
        </w:trPr>
        <w:tc>
          <w:tcPr>
            <w:tcW w:w="1035" w:type="dxa"/>
            <w:tcBorders>
              <w:left w:val="single" w:sz="4" w:space="0" w:color="auto"/>
              <w:right w:val="single" w:sz="6" w:space="0" w:color="auto"/>
            </w:tcBorders>
            <w:shd w:val="clear" w:color="auto" w:fill="auto"/>
          </w:tcPr>
          <w:p w14:paraId="2DDEB912" w14:textId="77777777" w:rsidR="00BE0199" w:rsidRPr="009C5807" w:rsidRDefault="00BE0199" w:rsidP="00BE0199">
            <w:pPr>
              <w:pStyle w:val="TAC"/>
            </w:pPr>
          </w:p>
        </w:tc>
        <w:tc>
          <w:tcPr>
            <w:tcW w:w="1047" w:type="dxa"/>
            <w:tcBorders>
              <w:left w:val="single" w:sz="6" w:space="0" w:color="auto"/>
              <w:right w:val="single" w:sz="6" w:space="0" w:color="auto"/>
            </w:tcBorders>
            <w:shd w:val="clear" w:color="auto" w:fill="auto"/>
          </w:tcPr>
          <w:p w14:paraId="546EC0ED" w14:textId="77777777" w:rsidR="00BE0199" w:rsidRPr="009C5807" w:rsidRDefault="00BE0199" w:rsidP="00BE0199">
            <w:pPr>
              <w:pStyle w:val="TAC"/>
            </w:pPr>
          </w:p>
        </w:tc>
        <w:tc>
          <w:tcPr>
            <w:tcW w:w="802" w:type="dxa"/>
            <w:tcBorders>
              <w:left w:val="single" w:sz="6" w:space="0" w:color="auto"/>
              <w:right w:val="single" w:sz="6" w:space="0" w:color="auto"/>
            </w:tcBorders>
            <w:shd w:val="clear" w:color="auto" w:fill="auto"/>
          </w:tcPr>
          <w:p w14:paraId="37EC38B0" w14:textId="77777777" w:rsidR="00BE0199" w:rsidRPr="009C5807" w:rsidRDefault="00BE0199" w:rsidP="00BE0199">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C4783B0" w14:textId="77777777" w:rsidR="00BE0199" w:rsidRPr="009C5807" w:rsidRDefault="00BE0199" w:rsidP="00BE0199">
            <w:pPr>
              <w:pStyle w:val="TAC"/>
              <w:rPr>
                <w:lang w:eastAsia="zh-CN"/>
              </w:rPr>
            </w:pPr>
            <w:r w:rsidRPr="009C5807">
              <w:rPr>
                <w:lang w:eastAsia="zh-CN"/>
              </w:rPr>
              <w:t>NR</w:t>
            </w:r>
            <w:r w:rsidRPr="009C5807">
              <w:t>_</w:t>
            </w:r>
            <w:r w:rsidRPr="009C5807">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E93E947" w14:textId="77777777" w:rsidR="00BE0199" w:rsidRPr="009C5807" w:rsidRDefault="00BE0199" w:rsidP="00BE0199">
            <w:pPr>
              <w:pStyle w:val="TAC"/>
            </w:pPr>
            <w:r w:rsidRPr="009C5807">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B6929D3" w14:textId="77777777" w:rsidR="00BE0199" w:rsidRPr="009C5807" w:rsidRDefault="00BE0199" w:rsidP="00BE0199">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C76661C" w14:textId="77777777" w:rsidR="00BE0199" w:rsidRPr="009C5807" w:rsidRDefault="00BE0199" w:rsidP="00BE0199">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5380DBA" w14:textId="77777777" w:rsidR="00BE0199" w:rsidRPr="009C5807" w:rsidRDefault="00BE0199" w:rsidP="00BE0199">
            <w:pPr>
              <w:pStyle w:val="TAC"/>
            </w:pPr>
            <w:r w:rsidRPr="009C5807">
              <w:t>-50</w:t>
            </w:r>
          </w:p>
        </w:tc>
      </w:tr>
      <w:tr w:rsidR="00BE0199" w:rsidRPr="009C5807" w14:paraId="64BA736A" w14:textId="77777777" w:rsidTr="00BE0199">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4C365A29" w14:textId="77777777" w:rsidR="00BE0199" w:rsidRPr="009C5807" w:rsidRDefault="00BE0199" w:rsidP="00BE0199">
            <w:pPr>
              <w:pStyle w:val="TAC"/>
            </w:pPr>
            <w:r w:rsidRPr="009C5807">
              <w:sym w:font="Symbol" w:char="F0B1"/>
            </w:r>
            <w:r w:rsidRPr="009C5807">
              <w:t>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5C2DB47B" w14:textId="77777777" w:rsidR="00BE0199" w:rsidRPr="009C5807" w:rsidRDefault="00BE0199" w:rsidP="00BE0199">
            <w:pPr>
              <w:pStyle w:val="TAC"/>
            </w:pPr>
            <w:r w:rsidRPr="009C5807">
              <w:sym w:font="Symbol" w:char="F0B1"/>
            </w:r>
            <w:r>
              <w:t>5.5</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6071A780" w14:textId="77777777" w:rsidR="00BE0199" w:rsidRPr="009C5807" w:rsidRDefault="00BE0199" w:rsidP="00BE0199">
            <w:pPr>
              <w:pStyle w:val="TAC"/>
            </w:pPr>
            <w:r w:rsidRPr="009C5807">
              <w:sym w:font="Symbol" w:char="F0B3"/>
            </w:r>
            <w:r w:rsidRPr="009C5807">
              <w:t>-</w:t>
            </w:r>
            <w:r>
              <w:rPr>
                <w:lang w:eastAsia="zh-CN"/>
              </w:rPr>
              <w:t>4</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333CB05" w14:textId="77777777" w:rsidR="00BE0199" w:rsidRPr="009C5807" w:rsidRDefault="00BE0199" w:rsidP="00BE0199">
            <w:pPr>
              <w:pStyle w:val="TAC"/>
            </w:pPr>
            <w:r w:rsidRPr="009C5807">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75003968" w14:textId="77777777" w:rsidR="00BE0199" w:rsidRPr="009C5807" w:rsidRDefault="00BE0199" w:rsidP="00BE0199">
            <w:pPr>
              <w:pStyle w:val="TAC"/>
            </w:pPr>
            <w:r w:rsidRPr="009C5807">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24A74CA3" w14:textId="77777777" w:rsidR="00BE0199" w:rsidRPr="009C5807" w:rsidRDefault="00BE0199" w:rsidP="00BE0199">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4133CB60" w14:textId="77777777" w:rsidR="00BE0199" w:rsidRPr="009C5807" w:rsidRDefault="00BE0199" w:rsidP="00BE0199">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7B0E0A9F" w14:textId="77777777" w:rsidR="00BE0199" w:rsidRPr="009C5807" w:rsidRDefault="00BE0199" w:rsidP="00BE0199">
            <w:pPr>
              <w:pStyle w:val="TAC"/>
            </w:pPr>
            <w:r w:rsidRPr="009C5807">
              <w:t>Note 2</w:t>
            </w:r>
          </w:p>
        </w:tc>
      </w:tr>
      <w:tr w:rsidR="00BE0199" w:rsidRPr="009C5807" w14:paraId="6654B401" w14:textId="77777777" w:rsidTr="00BE0199">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FEA9ADF" w14:textId="77777777" w:rsidR="00BE0199" w:rsidRPr="009C5807" w:rsidRDefault="00BE0199" w:rsidP="00BE0199">
            <w:pPr>
              <w:pStyle w:val="TAN"/>
            </w:pPr>
            <w:r w:rsidRPr="009C5807">
              <w:t>NOTE 1:</w:t>
            </w:r>
            <w:r w:rsidRPr="009C5807">
              <w:tab/>
              <w:t>Io is assumed to have constant EPRE across the bandwidth.</w:t>
            </w:r>
          </w:p>
          <w:p w14:paraId="46445665" w14:textId="77777777" w:rsidR="00BE0199" w:rsidRPr="009C5807" w:rsidRDefault="00BE0199" w:rsidP="00BE0199">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46B3446C" w14:textId="77777777" w:rsidR="00BE0199" w:rsidRPr="009C5807" w:rsidRDefault="00BE0199" w:rsidP="00BE0199">
            <w:pPr>
              <w:pStyle w:val="TAN"/>
            </w:pPr>
            <w:r w:rsidRPr="009C5807">
              <w:t>NOTE 3:</w:t>
            </w:r>
            <w:r w:rsidRPr="009C5807">
              <w:tab/>
              <w:t>NR operating band groups in FR1 are as defined in clause 3.5.2.</w:t>
            </w:r>
          </w:p>
        </w:tc>
      </w:tr>
    </w:tbl>
    <w:p w14:paraId="5A8A8339" w14:textId="1CCB83FA" w:rsidR="00BE0199" w:rsidRDefault="00BE0199" w:rsidP="00BE0199">
      <w:pPr>
        <w:rPr>
          <w:lang w:eastAsia="zh-CN"/>
        </w:rPr>
      </w:pPr>
    </w:p>
    <w:p w14:paraId="611E93AC" w14:textId="77777777" w:rsidR="00A57E1D" w:rsidRPr="009C5807" w:rsidRDefault="00A57E1D" w:rsidP="00A57E1D">
      <w:pPr>
        <w:pStyle w:val="Heading3"/>
        <w:rPr>
          <w:lang w:val="en-US"/>
        </w:rPr>
      </w:pPr>
      <w:r>
        <w:rPr>
          <w:lang w:val="en-US"/>
        </w:rPr>
        <w:t>10.1.9C</w:t>
      </w:r>
      <w:r w:rsidRPr="009C5807">
        <w:rPr>
          <w:lang w:val="en-US"/>
        </w:rPr>
        <w:tab/>
        <w:t xml:space="preserve">Inter-frequency RSRQ accuracy requirements for </w:t>
      </w:r>
      <w:r w:rsidRPr="009C5807">
        <w:rPr>
          <w:lang w:val="en-US" w:eastAsia="ko-KR"/>
        </w:rPr>
        <w:t>FR1</w:t>
      </w:r>
      <w:r w:rsidRPr="000752BE">
        <w:rPr>
          <w:lang w:val="en-US"/>
        </w:rPr>
        <w:t xml:space="preserve"> </w:t>
      </w:r>
      <w:r>
        <w:rPr>
          <w:lang w:val="en-US"/>
        </w:rPr>
        <w:t>SAN</w:t>
      </w:r>
    </w:p>
    <w:p w14:paraId="6D140C0B" w14:textId="77777777" w:rsidR="00A57E1D" w:rsidRPr="009C5807" w:rsidRDefault="00A57E1D" w:rsidP="00A57E1D">
      <w:pPr>
        <w:pStyle w:val="Heading4"/>
        <w:rPr>
          <w:lang w:val="en-US" w:eastAsia="zh-CN"/>
        </w:rPr>
      </w:pPr>
      <w:r>
        <w:rPr>
          <w:lang w:val="en-US" w:eastAsia="zh-CN"/>
        </w:rPr>
        <w:t>10.1.9C</w:t>
      </w:r>
      <w:r w:rsidRPr="009C5807">
        <w:rPr>
          <w:lang w:val="en-US" w:eastAsia="zh-CN"/>
        </w:rPr>
        <w:t>.1</w:t>
      </w:r>
      <w:r w:rsidRPr="009C5807">
        <w:rPr>
          <w:lang w:val="en-US" w:eastAsia="zh-CN"/>
        </w:rPr>
        <w:tab/>
      </w:r>
      <w:r w:rsidRPr="009C5807">
        <w:rPr>
          <w:lang w:val="en-US" w:eastAsia="ko-KR"/>
        </w:rPr>
        <w:t>Inter-frequency SS-RSRQ accuracy requirements</w:t>
      </w:r>
      <w:r w:rsidRPr="009C5807">
        <w:rPr>
          <w:lang w:val="en-US" w:eastAsia="zh-CN"/>
        </w:rPr>
        <w:t xml:space="preserve"> in FR1</w:t>
      </w:r>
    </w:p>
    <w:p w14:paraId="351EE4AD" w14:textId="77777777" w:rsidR="00A57E1D" w:rsidRPr="009C5807" w:rsidRDefault="00A57E1D" w:rsidP="00A57E1D">
      <w:pPr>
        <w:pStyle w:val="Heading5"/>
        <w:rPr>
          <w:lang w:val="en-US" w:eastAsia="zh-CN"/>
        </w:rPr>
      </w:pPr>
      <w:r>
        <w:rPr>
          <w:lang w:val="en-US" w:eastAsia="zh-CN"/>
        </w:rPr>
        <w:t>10.1.9C</w:t>
      </w:r>
      <w:r w:rsidRPr="009C5807">
        <w:rPr>
          <w:lang w:val="en-US" w:eastAsia="zh-CN"/>
        </w:rPr>
        <w:t>.1.1</w:t>
      </w:r>
      <w:r w:rsidRPr="009C5807">
        <w:rPr>
          <w:lang w:val="en-US" w:eastAsia="zh-CN"/>
        </w:rPr>
        <w:tab/>
      </w:r>
      <w:r>
        <w:rPr>
          <w:noProof/>
        </w:rPr>
        <w:t>Absolute</w:t>
      </w:r>
      <w:r w:rsidRPr="009C5807">
        <w:t xml:space="preserve"> Accuracy of </w:t>
      </w:r>
      <w:r w:rsidRPr="009C5807">
        <w:rPr>
          <w:lang w:eastAsia="zh-CN"/>
        </w:rPr>
        <w:t>SS-RSRQ</w:t>
      </w:r>
      <w:r w:rsidRPr="009C5807">
        <w:rPr>
          <w:lang w:val="en-US" w:eastAsia="zh-CN"/>
        </w:rPr>
        <w:t xml:space="preserve"> in FR1</w:t>
      </w:r>
    </w:p>
    <w:p w14:paraId="7D37A33A" w14:textId="77777777" w:rsidR="00A57E1D" w:rsidRPr="009C5807" w:rsidRDefault="00A57E1D" w:rsidP="00A57E1D">
      <w:pPr>
        <w:rPr>
          <w:rFonts w:cs="v4.2.0"/>
          <w:i/>
        </w:rPr>
      </w:pPr>
      <w:r w:rsidRPr="009C5807">
        <w:rPr>
          <w:rFonts w:cs="v4.2.0"/>
        </w:rPr>
        <w:t>The requirements for absolute accuracy of</w:t>
      </w:r>
      <w:r w:rsidRPr="009C5807">
        <w:rPr>
          <w:rFonts w:cs="v4.2.0"/>
          <w:lang w:eastAsia="zh-CN"/>
        </w:rPr>
        <w:t xml:space="preserve"> SS-RSRQ</w:t>
      </w:r>
      <w:r w:rsidRPr="009C5807">
        <w:rPr>
          <w:rFonts w:cs="v4.2.0"/>
        </w:rPr>
        <w:t xml:space="preserve"> in this clause apply to a cell on a frequency in FR1 that has different carrier frequency from the serving cell.</w:t>
      </w:r>
    </w:p>
    <w:p w14:paraId="5A7DD4DD" w14:textId="77777777" w:rsidR="00A57E1D" w:rsidRPr="009C5807" w:rsidRDefault="00A57E1D" w:rsidP="00A57E1D">
      <w:pPr>
        <w:rPr>
          <w:rFonts w:cs="v4.2.0"/>
        </w:rPr>
      </w:pPr>
      <w:r w:rsidRPr="009C5807">
        <w:rPr>
          <w:rFonts w:cs="v4.2.0"/>
        </w:rPr>
        <w:t xml:space="preserve">The accuracy requirements in Table </w:t>
      </w:r>
      <w:r>
        <w:rPr>
          <w:rFonts w:cs="v4.2.0"/>
          <w:lang w:eastAsia="zh-CN"/>
        </w:rPr>
        <w:t>10.1.9C</w:t>
      </w:r>
      <w:r w:rsidRPr="009C5807">
        <w:rPr>
          <w:rFonts w:cs="v4.2.0"/>
          <w:lang w:eastAsia="zh-CN"/>
        </w:rPr>
        <w:t>.1.1</w:t>
      </w:r>
      <w:r w:rsidRPr="009C5807">
        <w:rPr>
          <w:rFonts w:cs="v4.2.0"/>
        </w:rPr>
        <w:t>-1 are valid under the following conditions:</w:t>
      </w:r>
    </w:p>
    <w:p w14:paraId="285C1899" w14:textId="77777777" w:rsidR="00A57E1D" w:rsidRPr="009C5807" w:rsidRDefault="00A57E1D" w:rsidP="00A57E1D">
      <w:pPr>
        <w:ind w:left="568" w:hanging="284"/>
        <w:rPr>
          <w:lang w:eastAsia="zh-CN"/>
        </w:rPr>
      </w:pPr>
      <w:r w:rsidRPr="009C5807">
        <w:t>-</w:t>
      </w:r>
      <w:r w:rsidRPr="009C5807">
        <w:rPr>
          <w:rFonts w:ascii="Arial" w:hAnsi="Arial"/>
          <w:sz w:val="28"/>
          <w:lang w:val="en-US"/>
        </w:rPr>
        <w:tab/>
      </w:r>
      <w:r w:rsidRPr="009C5807">
        <w:t>Conditions defined in clause 7.3 of TS 38.101-1 [18] for reference sensitivity are fulfilled.</w:t>
      </w:r>
    </w:p>
    <w:p w14:paraId="70287827" w14:textId="77777777" w:rsidR="00A57E1D" w:rsidRDefault="00A57E1D" w:rsidP="00A57E1D">
      <w:pPr>
        <w:ind w:left="568" w:hanging="284"/>
      </w:pPr>
      <w:r w:rsidRPr="009C5807">
        <w:t>-</w:t>
      </w:r>
      <w:r w:rsidRPr="009C5807">
        <w:rPr>
          <w:rFonts w:ascii="Arial" w:hAnsi="Arial"/>
          <w:sz w:val="28"/>
          <w:lang w:val="en-US"/>
        </w:rPr>
        <w:tab/>
      </w:r>
      <w:r w:rsidRPr="009C5807">
        <w:t xml:space="preserve">Conditions for inter-frequency measurements are fulfilled according to Annex B.2.3 for a corresponding Band </w:t>
      </w:r>
      <w:r w:rsidRPr="009C5807">
        <w:rPr>
          <w:rFonts w:cs="v4.2.0"/>
          <w:lang w:eastAsia="ko-KR"/>
        </w:rPr>
        <w:t>for each relevant SSB</w:t>
      </w:r>
      <w:r w:rsidRPr="009C5807">
        <w:t>.</w:t>
      </w:r>
    </w:p>
    <w:p w14:paraId="5B965073" w14:textId="77777777" w:rsidR="00A57E1D" w:rsidRPr="00F641C2" w:rsidRDefault="00A57E1D" w:rsidP="00A57E1D">
      <w:pPr>
        <w:pStyle w:val="B10"/>
        <w:rPr>
          <w:lang w:eastAsia="zh-CN"/>
        </w:rPr>
      </w:pPr>
      <w:r w:rsidRPr="009C5807">
        <w:t>-</w:t>
      </w:r>
      <w:r w:rsidRPr="009C5807">
        <w:tab/>
      </w:r>
      <w:r w:rsidRPr="004B7BCD">
        <w:t xml:space="preserve">Valid information for the </w:t>
      </w:r>
      <w:r>
        <w:t>SAN</w:t>
      </w:r>
      <w:r w:rsidRPr="004B7BCD">
        <w:t xml:space="preserve"> serving the target cell has been provided</w:t>
      </w:r>
      <w:r w:rsidRPr="009C5807">
        <w:t>.</w:t>
      </w:r>
    </w:p>
    <w:p w14:paraId="3099355A" w14:textId="77777777" w:rsidR="00A57E1D" w:rsidRPr="009C5807" w:rsidRDefault="00A57E1D" w:rsidP="00A57E1D">
      <w:pPr>
        <w:pStyle w:val="TH"/>
        <w:rPr>
          <w:lang w:eastAsia="zh-CN"/>
        </w:rPr>
      </w:pPr>
      <w:r w:rsidRPr="009C5807">
        <w:t xml:space="preserve">Table </w:t>
      </w:r>
      <w:r>
        <w:rPr>
          <w:lang w:eastAsia="zh-CN"/>
        </w:rPr>
        <w:t>10.1.9C</w:t>
      </w:r>
      <w:r w:rsidRPr="009C5807">
        <w:rPr>
          <w:lang w:eastAsia="zh-CN"/>
        </w:rPr>
        <w:t>.1.1</w:t>
      </w:r>
      <w:r w:rsidRPr="009C5807">
        <w:t xml:space="preserve">-1: </w:t>
      </w:r>
      <w:r w:rsidRPr="009C5807">
        <w:rPr>
          <w:lang w:eastAsia="zh-CN"/>
        </w:rPr>
        <w:t>SS-RSRQ</w:t>
      </w:r>
      <w:r w:rsidRPr="009C5807">
        <w:t xml:space="preserve"> Inter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A57E1D" w:rsidRPr="009C5807" w14:paraId="0C623246" w14:textId="77777777" w:rsidTr="00E65BA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00A094EB" w14:textId="77777777" w:rsidR="00A57E1D" w:rsidRPr="009C5807" w:rsidRDefault="00A57E1D" w:rsidP="00E65BA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2B7D98F8" w14:textId="77777777" w:rsidR="00A57E1D" w:rsidRPr="009C5807" w:rsidRDefault="00A57E1D" w:rsidP="00E65BA1">
            <w:pPr>
              <w:pStyle w:val="TAH"/>
            </w:pPr>
            <w:r w:rsidRPr="009C5807">
              <w:t>Conditions</w:t>
            </w:r>
          </w:p>
        </w:tc>
      </w:tr>
      <w:tr w:rsidR="00A57E1D" w:rsidRPr="009C5807" w14:paraId="61ADD169" w14:textId="77777777" w:rsidTr="00E65BA1">
        <w:trPr>
          <w:jc w:val="center"/>
        </w:trPr>
        <w:tc>
          <w:tcPr>
            <w:tcW w:w="1035" w:type="dxa"/>
            <w:tcBorders>
              <w:top w:val="single" w:sz="6" w:space="0" w:color="auto"/>
              <w:left w:val="single" w:sz="4" w:space="0" w:color="auto"/>
              <w:right w:val="single" w:sz="6" w:space="0" w:color="auto"/>
            </w:tcBorders>
            <w:shd w:val="clear" w:color="auto" w:fill="auto"/>
            <w:vAlign w:val="center"/>
          </w:tcPr>
          <w:p w14:paraId="2E2F4DAF" w14:textId="77777777" w:rsidR="00A57E1D" w:rsidRPr="009C5807" w:rsidRDefault="00A57E1D" w:rsidP="00E65BA1">
            <w:pPr>
              <w:pStyle w:val="TAH"/>
            </w:pPr>
            <w:r w:rsidRPr="009C5807">
              <w:t>Normal condition</w:t>
            </w:r>
          </w:p>
        </w:tc>
        <w:tc>
          <w:tcPr>
            <w:tcW w:w="1047" w:type="dxa"/>
            <w:tcBorders>
              <w:top w:val="single" w:sz="6" w:space="0" w:color="auto"/>
              <w:left w:val="single" w:sz="6" w:space="0" w:color="auto"/>
              <w:right w:val="single" w:sz="6" w:space="0" w:color="auto"/>
            </w:tcBorders>
            <w:shd w:val="clear" w:color="auto" w:fill="auto"/>
            <w:vAlign w:val="center"/>
          </w:tcPr>
          <w:p w14:paraId="67C3EEC7" w14:textId="77777777" w:rsidR="00A57E1D" w:rsidRPr="009C5807" w:rsidRDefault="00A57E1D" w:rsidP="00E65BA1">
            <w:pPr>
              <w:pStyle w:val="TAH"/>
            </w:pPr>
            <w:r w:rsidRPr="009C5807">
              <w:t>Extreme condition</w:t>
            </w:r>
          </w:p>
        </w:tc>
        <w:tc>
          <w:tcPr>
            <w:tcW w:w="802" w:type="dxa"/>
            <w:tcBorders>
              <w:top w:val="single" w:sz="6" w:space="0" w:color="auto"/>
              <w:left w:val="single" w:sz="6" w:space="0" w:color="auto"/>
              <w:right w:val="single" w:sz="6" w:space="0" w:color="auto"/>
            </w:tcBorders>
            <w:shd w:val="clear" w:color="auto" w:fill="auto"/>
            <w:vAlign w:val="center"/>
          </w:tcPr>
          <w:p w14:paraId="62AC3354" w14:textId="77777777" w:rsidR="00A57E1D" w:rsidRPr="009C5807" w:rsidRDefault="00A57E1D" w:rsidP="00E65BA1">
            <w:pPr>
              <w:pStyle w:val="TAH"/>
            </w:pPr>
            <w:r w:rsidRPr="009C5807">
              <w:t>SSB Ês/Iot</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0339F662" w14:textId="77777777" w:rsidR="00A57E1D" w:rsidRPr="009C5807" w:rsidRDefault="00A57E1D" w:rsidP="00E65BA1">
            <w:pPr>
              <w:pStyle w:val="TAH"/>
            </w:pPr>
            <w:r w:rsidRPr="009C5807">
              <w:t>Io</w:t>
            </w:r>
            <w:r w:rsidRPr="009C5807">
              <w:rPr>
                <w:vertAlign w:val="superscript"/>
                <w:lang w:eastAsia="zh-CN"/>
              </w:rPr>
              <w:t xml:space="preserve"> Note 1</w:t>
            </w:r>
            <w:r w:rsidRPr="009C5807">
              <w:t xml:space="preserve"> range</w:t>
            </w:r>
          </w:p>
        </w:tc>
      </w:tr>
      <w:tr w:rsidR="00A57E1D" w:rsidRPr="009C5807" w14:paraId="77C1AD8F" w14:textId="77777777" w:rsidTr="00E65BA1">
        <w:trPr>
          <w:jc w:val="center"/>
        </w:trPr>
        <w:tc>
          <w:tcPr>
            <w:tcW w:w="1035" w:type="dxa"/>
            <w:tcBorders>
              <w:left w:val="single" w:sz="4" w:space="0" w:color="auto"/>
              <w:bottom w:val="single" w:sz="6" w:space="0" w:color="auto"/>
              <w:right w:val="single" w:sz="6" w:space="0" w:color="auto"/>
            </w:tcBorders>
            <w:shd w:val="clear" w:color="auto" w:fill="auto"/>
            <w:vAlign w:val="center"/>
          </w:tcPr>
          <w:p w14:paraId="644791BF" w14:textId="77777777" w:rsidR="00A57E1D" w:rsidRPr="009C5807" w:rsidRDefault="00A57E1D" w:rsidP="00E65BA1">
            <w:pPr>
              <w:pStyle w:val="TAH"/>
            </w:pPr>
          </w:p>
        </w:tc>
        <w:tc>
          <w:tcPr>
            <w:tcW w:w="1047" w:type="dxa"/>
            <w:tcBorders>
              <w:left w:val="single" w:sz="6" w:space="0" w:color="auto"/>
              <w:bottom w:val="single" w:sz="6" w:space="0" w:color="auto"/>
              <w:right w:val="single" w:sz="6" w:space="0" w:color="auto"/>
            </w:tcBorders>
            <w:shd w:val="clear" w:color="auto" w:fill="auto"/>
            <w:vAlign w:val="center"/>
          </w:tcPr>
          <w:p w14:paraId="28AF2CBF" w14:textId="77777777" w:rsidR="00A57E1D" w:rsidRPr="009C5807" w:rsidRDefault="00A57E1D" w:rsidP="00E65BA1">
            <w:pPr>
              <w:pStyle w:val="TAH"/>
            </w:pPr>
          </w:p>
        </w:tc>
        <w:tc>
          <w:tcPr>
            <w:tcW w:w="802" w:type="dxa"/>
            <w:tcBorders>
              <w:left w:val="single" w:sz="6" w:space="0" w:color="auto"/>
              <w:bottom w:val="single" w:sz="6" w:space="0" w:color="auto"/>
              <w:right w:val="single" w:sz="6" w:space="0" w:color="auto"/>
            </w:tcBorders>
            <w:shd w:val="clear" w:color="auto" w:fill="auto"/>
            <w:vAlign w:val="center"/>
          </w:tcPr>
          <w:p w14:paraId="6354657D" w14:textId="77777777" w:rsidR="00A57E1D" w:rsidRPr="009C5807" w:rsidRDefault="00A57E1D" w:rsidP="00E65BA1">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vAlign w:val="center"/>
          </w:tcPr>
          <w:p w14:paraId="37C65EE7" w14:textId="77777777" w:rsidR="00A57E1D" w:rsidRPr="009C5807" w:rsidRDefault="00A57E1D" w:rsidP="00E65BA1">
            <w:pPr>
              <w:pStyle w:val="TAH"/>
            </w:pPr>
            <w:r w:rsidRPr="009C5807">
              <w:t>NR operating band groups</w:t>
            </w:r>
            <w:r w:rsidRPr="009C5807">
              <w:rPr>
                <w:vertAlign w:val="superscript"/>
              </w:rPr>
              <w:t xml:space="preserve"> </w:t>
            </w:r>
            <w:r w:rsidRPr="009C5807">
              <w:rPr>
                <w:vertAlign w:val="superscript"/>
                <w:lang w:eastAsia="zh-CN"/>
              </w:rPr>
              <w:t>Note 3</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50338C5F" w14:textId="77777777" w:rsidR="00A57E1D" w:rsidRPr="009C5807" w:rsidRDefault="00A57E1D"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649D0B26" w14:textId="77777777" w:rsidR="00A57E1D" w:rsidRPr="009C5807" w:rsidRDefault="00A57E1D" w:rsidP="00E65BA1">
            <w:pPr>
              <w:pStyle w:val="TAH"/>
            </w:pPr>
            <w:r w:rsidRPr="009C5807">
              <w:t>Maximum Io</w:t>
            </w:r>
          </w:p>
        </w:tc>
      </w:tr>
      <w:tr w:rsidR="00A57E1D" w:rsidRPr="009C5807" w14:paraId="13357BFC" w14:textId="77777777" w:rsidTr="00E65BA1">
        <w:trPr>
          <w:trHeight w:val="308"/>
          <w:jc w:val="center"/>
        </w:trPr>
        <w:tc>
          <w:tcPr>
            <w:tcW w:w="1035" w:type="dxa"/>
            <w:tcBorders>
              <w:top w:val="single" w:sz="6" w:space="0" w:color="auto"/>
              <w:left w:val="single" w:sz="4" w:space="0" w:color="auto"/>
              <w:right w:val="single" w:sz="6" w:space="0" w:color="auto"/>
            </w:tcBorders>
            <w:shd w:val="clear" w:color="auto" w:fill="auto"/>
          </w:tcPr>
          <w:p w14:paraId="5C2C3159" w14:textId="77777777" w:rsidR="00A57E1D" w:rsidRPr="009C5807" w:rsidRDefault="00A57E1D" w:rsidP="00E65BA1">
            <w:pPr>
              <w:pStyle w:val="TAH"/>
            </w:pPr>
            <w:r w:rsidRPr="009C5807">
              <w:t>dB</w:t>
            </w:r>
          </w:p>
        </w:tc>
        <w:tc>
          <w:tcPr>
            <w:tcW w:w="1047" w:type="dxa"/>
            <w:tcBorders>
              <w:top w:val="single" w:sz="6" w:space="0" w:color="auto"/>
              <w:left w:val="single" w:sz="6" w:space="0" w:color="auto"/>
              <w:right w:val="single" w:sz="6" w:space="0" w:color="auto"/>
            </w:tcBorders>
            <w:shd w:val="clear" w:color="auto" w:fill="auto"/>
          </w:tcPr>
          <w:p w14:paraId="266DFA7A" w14:textId="77777777" w:rsidR="00A57E1D" w:rsidRPr="009C5807" w:rsidRDefault="00A57E1D" w:rsidP="00E65BA1">
            <w:pPr>
              <w:pStyle w:val="TAH"/>
            </w:pPr>
            <w:r w:rsidRPr="009C5807">
              <w:t>dB</w:t>
            </w:r>
          </w:p>
        </w:tc>
        <w:tc>
          <w:tcPr>
            <w:tcW w:w="802" w:type="dxa"/>
            <w:tcBorders>
              <w:top w:val="single" w:sz="6" w:space="0" w:color="auto"/>
              <w:left w:val="single" w:sz="6" w:space="0" w:color="auto"/>
              <w:right w:val="single" w:sz="6" w:space="0" w:color="auto"/>
            </w:tcBorders>
            <w:shd w:val="clear" w:color="auto" w:fill="auto"/>
          </w:tcPr>
          <w:p w14:paraId="642ED74F" w14:textId="77777777" w:rsidR="00A57E1D" w:rsidRPr="009C5807" w:rsidRDefault="00A57E1D" w:rsidP="00E65BA1">
            <w:pPr>
              <w:pStyle w:val="TAH"/>
            </w:pPr>
            <w:r w:rsidRPr="009C5807">
              <w:t>dB</w:t>
            </w:r>
          </w:p>
        </w:tc>
        <w:tc>
          <w:tcPr>
            <w:tcW w:w="2298" w:type="dxa"/>
            <w:tcBorders>
              <w:top w:val="single" w:sz="6" w:space="0" w:color="auto"/>
              <w:left w:val="single" w:sz="6" w:space="0" w:color="auto"/>
              <w:right w:val="single" w:sz="4" w:space="0" w:color="auto"/>
            </w:tcBorders>
            <w:shd w:val="clear" w:color="auto" w:fill="auto"/>
          </w:tcPr>
          <w:p w14:paraId="7406EC5B" w14:textId="77777777" w:rsidR="00A57E1D" w:rsidRPr="009C5807" w:rsidRDefault="00A57E1D" w:rsidP="00E65BA1">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48A64629" w14:textId="77777777" w:rsidR="00A57E1D" w:rsidRPr="009C5807" w:rsidRDefault="00A57E1D"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2DDE6A56" w14:textId="77777777" w:rsidR="00A57E1D" w:rsidRPr="009C5807" w:rsidRDefault="00A57E1D"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48A23E1B" w14:textId="77777777" w:rsidR="00A57E1D" w:rsidRPr="009C5807" w:rsidRDefault="00A57E1D" w:rsidP="00E65BA1">
            <w:pPr>
              <w:pStyle w:val="TAH"/>
            </w:pPr>
            <w:r w:rsidRPr="009C5807">
              <w:t>dBm/BW</w:t>
            </w:r>
            <w:r w:rsidRPr="009C5807">
              <w:rPr>
                <w:vertAlign w:val="subscript"/>
              </w:rPr>
              <w:t>Channel</w:t>
            </w:r>
          </w:p>
        </w:tc>
      </w:tr>
      <w:tr w:rsidR="00A57E1D" w:rsidRPr="009C5807" w14:paraId="22F2541D" w14:textId="77777777" w:rsidTr="00E65BA1">
        <w:trPr>
          <w:trHeight w:val="307"/>
          <w:jc w:val="center"/>
        </w:trPr>
        <w:tc>
          <w:tcPr>
            <w:tcW w:w="1035" w:type="dxa"/>
            <w:tcBorders>
              <w:left w:val="single" w:sz="4" w:space="0" w:color="auto"/>
              <w:bottom w:val="single" w:sz="6" w:space="0" w:color="auto"/>
              <w:right w:val="single" w:sz="6" w:space="0" w:color="auto"/>
            </w:tcBorders>
            <w:shd w:val="clear" w:color="auto" w:fill="auto"/>
          </w:tcPr>
          <w:p w14:paraId="05E234CA" w14:textId="77777777" w:rsidR="00A57E1D" w:rsidRPr="009C5807" w:rsidRDefault="00A57E1D" w:rsidP="00E65BA1">
            <w:pPr>
              <w:pStyle w:val="TAH"/>
            </w:pPr>
          </w:p>
        </w:tc>
        <w:tc>
          <w:tcPr>
            <w:tcW w:w="1047" w:type="dxa"/>
            <w:tcBorders>
              <w:left w:val="single" w:sz="6" w:space="0" w:color="auto"/>
              <w:bottom w:val="single" w:sz="6" w:space="0" w:color="auto"/>
              <w:right w:val="single" w:sz="6" w:space="0" w:color="auto"/>
            </w:tcBorders>
            <w:shd w:val="clear" w:color="auto" w:fill="auto"/>
          </w:tcPr>
          <w:p w14:paraId="520FCC60" w14:textId="77777777" w:rsidR="00A57E1D" w:rsidRPr="009C5807" w:rsidRDefault="00A57E1D" w:rsidP="00E65BA1">
            <w:pPr>
              <w:pStyle w:val="TAH"/>
            </w:pPr>
          </w:p>
        </w:tc>
        <w:tc>
          <w:tcPr>
            <w:tcW w:w="802" w:type="dxa"/>
            <w:tcBorders>
              <w:left w:val="single" w:sz="6" w:space="0" w:color="auto"/>
              <w:bottom w:val="single" w:sz="6" w:space="0" w:color="auto"/>
              <w:right w:val="single" w:sz="6" w:space="0" w:color="auto"/>
            </w:tcBorders>
            <w:shd w:val="clear" w:color="auto" w:fill="auto"/>
          </w:tcPr>
          <w:p w14:paraId="4320520C" w14:textId="77777777" w:rsidR="00A57E1D" w:rsidRPr="009C5807" w:rsidRDefault="00A57E1D" w:rsidP="00E65BA1">
            <w:pPr>
              <w:pStyle w:val="TAH"/>
            </w:pPr>
          </w:p>
        </w:tc>
        <w:tc>
          <w:tcPr>
            <w:tcW w:w="2298" w:type="dxa"/>
            <w:tcBorders>
              <w:left w:val="single" w:sz="6" w:space="0" w:color="auto"/>
              <w:bottom w:val="single" w:sz="6" w:space="0" w:color="auto"/>
              <w:right w:val="single" w:sz="4" w:space="0" w:color="auto"/>
            </w:tcBorders>
            <w:shd w:val="clear" w:color="auto" w:fill="auto"/>
          </w:tcPr>
          <w:p w14:paraId="49F861A9" w14:textId="77777777" w:rsidR="00A57E1D" w:rsidRPr="009C5807" w:rsidRDefault="00A57E1D" w:rsidP="00E65BA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8C77F4A" w14:textId="77777777" w:rsidR="00A57E1D" w:rsidRPr="009C5807" w:rsidRDefault="00A57E1D" w:rsidP="00E65BA1">
            <w:pPr>
              <w:pStyle w:val="TAH"/>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86B0D20" w14:textId="77777777" w:rsidR="00A57E1D" w:rsidRPr="009C5807" w:rsidRDefault="00A57E1D"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3DE37D43" w14:textId="77777777" w:rsidR="00A57E1D" w:rsidRPr="009C5807" w:rsidRDefault="00A57E1D" w:rsidP="00E65BA1">
            <w:pPr>
              <w:pStyle w:val="TAH"/>
            </w:pPr>
          </w:p>
        </w:tc>
        <w:tc>
          <w:tcPr>
            <w:tcW w:w="1440" w:type="dxa"/>
            <w:tcBorders>
              <w:left w:val="single" w:sz="6" w:space="0" w:color="auto"/>
              <w:bottom w:val="single" w:sz="6" w:space="0" w:color="auto"/>
              <w:right w:val="single" w:sz="4" w:space="0" w:color="auto"/>
            </w:tcBorders>
            <w:shd w:val="clear" w:color="auto" w:fill="auto"/>
          </w:tcPr>
          <w:p w14:paraId="5B4937E6" w14:textId="77777777" w:rsidR="00A57E1D" w:rsidRPr="009C5807" w:rsidRDefault="00A57E1D" w:rsidP="00E65BA1">
            <w:pPr>
              <w:pStyle w:val="TAH"/>
            </w:pPr>
          </w:p>
        </w:tc>
      </w:tr>
      <w:tr w:rsidR="00B72DB6" w:rsidRPr="009C5807" w14:paraId="62B621DD" w14:textId="77777777" w:rsidTr="00E65BA1">
        <w:trPr>
          <w:jc w:val="center"/>
        </w:trPr>
        <w:tc>
          <w:tcPr>
            <w:tcW w:w="1035" w:type="dxa"/>
            <w:tcBorders>
              <w:top w:val="single" w:sz="6" w:space="0" w:color="auto"/>
              <w:left w:val="single" w:sz="4" w:space="0" w:color="auto"/>
              <w:right w:val="single" w:sz="6" w:space="0" w:color="auto"/>
            </w:tcBorders>
            <w:shd w:val="clear" w:color="auto" w:fill="auto"/>
          </w:tcPr>
          <w:p w14:paraId="4591A30B" w14:textId="4701A9F4" w:rsidR="00B72DB6" w:rsidRPr="009C5807" w:rsidRDefault="00B72DB6" w:rsidP="00B72DB6">
            <w:pPr>
              <w:pStyle w:val="TAC"/>
            </w:pPr>
            <w:r w:rsidRPr="009C5807">
              <w:sym w:font="Symbol" w:char="F0B1"/>
            </w:r>
            <w:r>
              <w:t>[2.5]</w:t>
            </w:r>
          </w:p>
        </w:tc>
        <w:tc>
          <w:tcPr>
            <w:tcW w:w="1047" w:type="dxa"/>
            <w:tcBorders>
              <w:top w:val="single" w:sz="6" w:space="0" w:color="auto"/>
              <w:left w:val="single" w:sz="6" w:space="0" w:color="auto"/>
              <w:right w:val="single" w:sz="6" w:space="0" w:color="auto"/>
            </w:tcBorders>
            <w:shd w:val="clear" w:color="auto" w:fill="auto"/>
          </w:tcPr>
          <w:p w14:paraId="7F28B3E9" w14:textId="25E1BDF3" w:rsidR="00B72DB6" w:rsidRPr="009C5807" w:rsidRDefault="00B72DB6" w:rsidP="00B72DB6">
            <w:pPr>
              <w:pStyle w:val="TAC"/>
            </w:pPr>
            <w:r w:rsidRPr="009C5807">
              <w:sym w:font="Symbol" w:char="F0B1"/>
            </w:r>
            <w:r>
              <w:t>[4]</w:t>
            </w:r>
          </w:p>
        </w:tc>
        <w:tc>
          <w:tcPr>
            <w:tcW w:w="802" w:type="dxa"/>
            <w:tcBorders>
              <w:top w:val="single" w:sz="6" w:space="0" w:color="auto"/>
              <w:left w:val="single" w:sz="6" w:space="0" w:color="auto"/>
              <w:right w:val="single" w:sz="6" w:space="0" w:color="auto"/>
            </w:tcBorders>
            <w:shd w:val="clear" w:color="auto" w:fill="auto"/>
          </w:tcPr>
          <w:p w14:paraId="578AE675" w14:textId="6192574C" w:rsidR="00B72DB6" w:rsidRPr="009C5807" w:rsidRDefault="00B72DB6" w:rsidP="00B72DB6">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6B7F73D" w14:textId="20348ABD" w:rsidR="00B72DB6" w:rsidRPr="009C5807" w:rsidRDefault="00B72DB6" w:rsidP="00B72DB6">
            <w:pPr>
              <w:pStyle w:val="TAC"/>
            </w:pPr>
            <w:r w:rsidRPr="009C5807">
              <w:t>NR_FDD</w:t>
            </w:r>
            <w:r w:rsidRPr="003646C5">
              <w:t>_</w:t>
            </w:r>
            <w:r>
              <w:t>SAB</w:t>
            </w:r>
            <w:r w:rsidRPr="009C5807">
              <w:t>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A94A5BE" w14:textId="77777777" w:rsidR="00B72DB6" w:rsidRPr="009C5807" w:rsidRDefault="00B72DB6" w:rsidP="00B72DB6">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3A747E9" w14:textId="77777777" w:rsidR="00B72DB6" w:rsidRPr="009C5807" w:rsidRDefault="00B72DB6" w:rsidP="00B72DB6">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37E7FFA"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700547C" w14:textId="77777777" w:rsidR="00B72DB6" w:rsidRPr="009C5807" w:rsidRDefault="00B72DB6" w:rsidP="00B72DB6">
            <w:pPr>
              <w:pStyle w:val="TAC"/>
            </w:pPr>
            <w:r w:rsidRPr="009C5807">
              <w:t>-50</w:t>
            </w:r>
          </w:p>
        </w:tc>
      </w:tr>
      <w:tr w:rsidR="00B72DB6" w:rsidRPr="009C5807" w14:paraId="3B7F30E2" w14:textId="77777777" w:rsidTr="00E65BA1">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003E0F34" w14:textId="6040D19E" w:rsidR="00B72DB6" w:rsidRPr="009C5807" w:rsidRDefault="00B72DB6" w:rsidP="00B72DB6">
            <w:pPr>
              <w:pStyle w:val="TAC"/>
            </w:pPr>
            <w:r w:rsidRPr="009C5807">
              <w:sym w:font="Symbol" w:char="F0B1"/>
            </w:r>
            <w:r>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67D9F14A" w14:textId="31B67909" w:rsidR="00B72DB6" w:rsidRPr="009C5807" w:rsidRDefault="00B72DB6" w:rsidP="00B72DB6">
            <w:pPr>
              <w:pStyle w:val="TAC"/>
            </w:pPr>
            <w:r w:rsidRPr="009C5807">
              <w:sym w:font="Symbol" w:char="F0B1"/>
            </w:r>
            <w:r>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2F0A94F4" w14:textId="65A116ED" w:rsidR="00B72DB6" w:rsidRPr="009C5807" w:rsidRDefault="00B72DB6" w:rsidP="00B72DB6">
            <w:pPr>
              <w:pStyle w:val="TAC"/>
            </w:pPr>
            <w:r w:rsidRPr="009C5807">
              <w:sym w:font="Symbol" w:char="F0B3"/>
            </w:r>
            <w:r w:rsidRPr="009C5807">
              <w:t>-</w:t>
            </w:r>
            <w:r w:rsidRPr="009C5807">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4011A2D" w14:textId="5008ECAA" w:rsidR="00B72DB6" w:rsidRPr="009C5807" w:rsidRDefault="00B72DB6" w:rsidP="00B72DB6">
            <w:pPr>
              <w:pStyle w:val="TAC"/>
            </w:pPr>
            <w:r w:rsidRPr="009C5807">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7955F966" w14:textId="77777777" w:rsidR="00B72DB6" w:rsidRPr="009C5807" w:rsidRDefault="00B72DB6" w:rsidP="00B72DB6">
            <w:pPr>
              <w:pStyle w:val="TAC"/>
            </w:pPr>
            <w:r w:rsidRPr="009C5807">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724DC213" w14:textId="77777777" w:rsidR="00B72DB6" w:rsidRPr="009C5807" w:rsidRDefault="00B72DB6" w:rsidP="00B72DB6">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2C1B5534" w14:textId="77777777" w:rsidR="00B72DB6" w:rsidRPr="009C5807" w:rsidRDefault="00B72DB6" w:rsidP="00B72DB6">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2FA080F0" w14:textId="77777777" w:rsidR="00B72DB6" w:rsidRPr="009C5807" w:rsidRDefault="00B72DB6" w:rsidP="00B72DB6">
            <w:pPr>
              <w:pStyle w:val="TAC"/>
            </w:pPr>
            <w:r w:rsidRPr="009C5807">
              <w:t>Note 2</w:t>
            </w:r>
          </w:p>
        </w:tc>
      </w:tr>
      <w:tr w:rsidR="00A57E1D" w:rsidRPr="009C5807" w14:paraId="1DB65D1E"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98322B3" w14:textId="77777777" w:rsidR="00A57E1D" w:rsidRPr="009C5807" w:rsidRDefault="00A57E1D" w:rsidP="00E65BA1">
            <w:pPr>
              <w:pStyle w:val="TAN"/>
            </w:pPr>
            <w:r w:rsidRPr="009C5807">
              <w:t>NOTE 1:</w:t>
            </w:r>
            <w:r w:rsidRPr="009C5807">
              <w:tab/>
              <w:t>Io is assumed to have constant EPRE across the bandwidth.</w:t>
            </w:r>
          </w:p>
          <w:p w14:paraId="56D6E346" w14:textId="77777777" w:rsidR="00A57E1D" w:rsidRPr="009C5807" w:rsidRDefault="00A57E1D" w:rsidP="00E65BA1">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0CD9E1C1" w14:textId="77777777" w:rsidR="00A57E1D" w:rsidRPr="009C5807" w:rsidRDefault="00A57E1D" w:rsidP="00E65BA1">
            <w:pPr>
              <w:pStyle w:val="TAN"/>
            </w:pPr>
            <w:r w:rsidRPr="009C5807">
              <w:t>NOTE 3:</w:t>
            </w:r>
            <w:r w:rsidRPr="009C5807">
              <w:tab/>
              <w:t>NR operating band groups in FR1 are as defined in clause 3.5.2.</w:t>
            </w:r>
          </w:p>
        </w:tc>
      </w:tr>
    </w:tbl>
    <w:p w14:paraId="781EFD9E" w14:textId="77777777" w:rsidR="00A57E1D" w:rsidRPr="009C5807" w:rsidRDefault="00A57E1D" w:rsidP="00A57E1D">
      <w:pPr>
        <w:rPr>
          <w:lang w:eastAsia="zh-CN"/>
        </w:rPr>
      </w:pPr>
    </w:p>
    <w:p w14:paraId="57F49FAA" w14:textId="77777777" w:rsidR="00A57E1D" w:rsidRPr="009C5807" w:rsidRDefault="00A57E1D" w:rsidP="00A57E1D">
      <w:pPr>
        <w:pStyle w:val="Heading5"/>
      </w:pPr>
      <w:r>
        <w:rPr>
          <w:lang w:eastAsia="zh-CN"/>
        </w:rPr>
        <w:t>10.1.9C</w:t>
      </w:r>
      <w:r w:rsidRPr="009C5807">
        <w:rPr>
          <w:lang w:eastAsia="zh-CN"/>
        </w:rPr>
        <w:t>.1.2</w:t>
      </w:r>
      <w:r w:rsidRPr="009C5807">
        <w:tab/>
        <w:t xml:space="preserve">Relative Accuracy of </w:t>
      </w:r>
      <w:r w:rsidRPr="009C5807">
        <w:rPr>
          <w:lang w:eastAsia="zh-CN"/>
        </w:rPr>
        <w:t>SS-RSRQ</w:t>
      </w:r>
      <w:r w:rsidRPr="009C5807">
        <w:t xml:space="preserve"> in FR1</w:t>
      </w:r>
    </w:p>
    <w:p w14:paraId="5E9E33F8" w14:textId="77777777" w:rsidR="00A57E1D" w:rsidRPr="009C5807" w:rsidRDefault="00A57E1D" w:rsidP="00A57E1D">
      <w:pPr>
        <w:rPr>
          <w:rFonts w:cs="v4.2.0"/>
          <w:i/>
        </w:rPr>
      </w:pPr>
      <w:r w:rsidRPr="009C5807">
        <w:rPr>
          <w:rFonts w:cs="v4.2.0"/>
        </w:rPr>
        <w:t xml:space="preserve">The relative accuracy of </w:t>
      </w:r>
      <w:r w:rsidRPr="009C5807">
        <w:rPr>
          <w:rFonts w:cs="v4.2.0"/>
          <w:lang w:eastAsia="zh-CN"/>
        </w:rPr>
        <w:t>SS-RSRQ</w:t>
      </w:r>
      <w:r w:rsidRPr="009C5807">
        <w:rPr>
          <w:rFonts w:cs="v4.2.0"/>
        </w:rPr>
        <w:t xml:space="preserve"> in inter frequency case is defined as the RSRQ measured from one cell on a frequency in FR1 compared to the RSRP measured from another cell on a different frequency in FR1.</w:t>
      </w:r>
    </w:p>
    <w:p w14:paraId="763C8A8E" w14:textId="77777777" w:rsidR="00A57E1D" w:rsidRPr="009C5807" w:rsidRDefault="00A57E1D" w:rsidP="00A57E1D">
      <w:pPr>
        <w:rPr>
          <w:rFonts w:cs="v4.2.0"/>
        </w:rPr>
      </w:pPr>
      <w:r w:rsidRPr="009C5807">
        <w:rPr>
          <w:rFonts w:cs="v4.2.0"/>
        </w:rPr>
        <w:t xml:space="preserve">The accuracy requirements in Table </w:t>
      </w:r>
      <w:r>
        <w:rPr>
          <w:rFonts w:cs="v4.2.0"/>
          <w:lang w:eastAsia="zh-CN"/>
        </w:rPr>
        <w:t>10.1.9C</w:t>
      </w:r>
      <w:r w:rsidRPr="009C5807">
        <w:rPr>
          <w:rFonts w:cs="v4.2.0"/>
          <w:lang w:eastAsia="zh-CN"/>
        </w:rPr>
        <w:t>.1.2</w:t>
      </w:r>
      <w:r w:rsidRPr="009C5807">
        <w:rPr>
          <w:rFonts w:cs="v4.2.0"/>
        </w:rPr>
        <w:t>-1 are valid under the following conditions:</w:t>
      </w:r>
    </w:p>
    <w:p w14:paraId="0B9C6525" w14:textId="77777777" w:rsidR="00A57E1D" w:rsidRPr="009C5807" w:rsidRDefault="00A57E1D" w:rsidP="00A57E1D">
      <w:pPr>
        <w:ind w:left="568" w:hanging="284"/>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09E10427" w14:textId="77777777" w:rsidR="00A57E1D" w:rsidRPr="009C5807" w:rsidRDefault="00A57E1D" w:rsidP="00A57E1D">
      <w:pPr>
        <w:ind w:left="568" w:hanging="284"/>
        <w:rPr>
          <w:lang w:eastAsia="zh-CN"/>
        </w:rPr>
      </w:pPr>
      <w:r w:rsidRPr="009C5807">
        <w:t>-</w:t>
      </w:r>
      <w:r w:rsidRPr="009C5807">
        <w:rPr>
          <w:rFonts w:ascii="Arial" w:hAnsi="Arial"/>
          <w:sz w:val="28"/>
          <w:lang w:val="en-US"/>
        </w:rPr>
        <w:tab/>
      </w:r>
      <w:r w:rsidRPr="009C5807">
        <w:t xml:space="preserve">Conditions for inter-frequency measurements are fulfilled according to Annex B.2.3 for a corresponding Band </w:t>
      </w:r>
      <w:r w:rsidRPr="009C5807">
        <w:rPr>
          <w:rFonts w:cs="v4.2.0"/>
          <w:lang w:eastAsia="ko-KR"/>
        </w:rPr>
        <w:t>for each relevant SSB</w:t>
      </w:r>
      <w:r w:rsidRPr="009C5807">
        <w:t>.</w:t>
      </w:r>
    </w:p>
    <w:p w14:paraId="1868F921" w14:textId="77777777" w:rsidR="00A57E1D" w:rsidRPr="009C5807" w:rsidRDefault="00A57E1D" w:rsidP="00A57E1D">
      <w:pPr>
        <w:ind w:left="568" w:hanging="284"/>
        <w:rPr>
          <w:rFonts w:cs="v4.2.0"/>
          <w:sz w:val="18"/>
        </w:rPr>
      </w:pPr>
      <w:r w:rsidRPr="009C5807">
        <w:t>-</w:t>
      </w:r>
      <w:r w:rsidRPr="009C5807">
        <w:rPr>
          <w:rFonts w:ascii="Arial" w:hAnsi="Arial"/>
          <w:sz w:val="28"/>
          <w:lang w:val="en-US"/>
        </w:rPr>
        <w:tab/>
      </w:r>
      <w:r w:rsidRPr="009C5807">
        <w:t>|SSB_RP1</w:t>
      </w:r>
      <w:r w:rsidRPr="009C5807">
        <w:rPr>
          <w:vertAlign w:val="subscript"/>
        </w:rPr>
        <w:t>dBm</w:t>
      </w:r>
      <w:r w:rsidRPr="009C5807">
        <w:t xml:space="preserve"> - SSB_RP2</w:t>
      </w:r>
      <w:r w:rsidRPr="009C5807">
        <w:rPr>
          <w:vertAlign w:val="subscript"/>
        </w:rPr>
        <w:t>dBm</w:t>
      </w:r>
      <w:r w:rsidRPr="009C5807">
        <w:t xml:space="preserve">| </w:t>
      </w:r>
      <w:r w:rsidRPr="009C5807">
        <w:rPr>
          <w:rFonts w:hint="eastAsia"/>
        </w:rPr>
        <w:t>≤</w:t>
      </w:r>
      <w:r w:rsidRPr="009C5807">
        <w:t xml:space="preserve"> 27 dB</w:t>
      </w:r>
    </w:p>
    <w:p w14:paraId="0E2A19DE" w14:textId="77777777" w:rsidR="00A57E1D" w:rsidRDefault="00A57E1D" w:rsidP="00A57E1D">
      <w:pPr>
        <w:ind w:left="568" w:hanging="284"/>
      </w:pPr>
      <w:r w:rsidRPr="009C5807">
        <w:t>-</w:t>
      </w:r>
      <w:r w:rsidRPr="009C5807">
        <w:rPr>
          <w:rFonts w:ascii="Arial" w:hAnsi="Arial"/>
          <w:sz w:val="28"/>
          <w:lang w:val="en-US"/>
        </w:rPr>
        <w:tab/>
      </w:r>
      <w:r w:rsidRPr="009C5807">
        <w:t xml:space="preserve">|Channel 1_Io </w:t>
      </w:r>
      <w:r w:rsidRPr="009C5807">
        <w:noBreakHyphen/>
        <w:t xml:space="preserve">Channel 2_Io | </w:t>
      </w:r>
      <w:r w:rsidRPr="009C5807">
        <w:sym w:font="Symbol" w:char="F0A3"/>
      </w:r>
      <w:r w:rsidRPr="009C5807">
        <w:t xml:space="preserve"> 20 dB</w:t>
      </w:r>
    </w:p>
    <w:p w14:paraId="002F19F1" w14:textId="77777777" w:rsidR="00A57E1D" w:rsidRPr="009C5807" w:rsidRDefault="00A57E1D" w:rsidP="00A57E1D">
      <w:pPr>
        <w:pStyle w:val="B10"/>
        <w:rPr>
          <w:lang w:eastAsia="zh-CN"/>
        </w:rPr>
      </w:pPr>
      <w:r w:rsidRPr="009C5807">
        <w:t>-</w:t>
      </w:r>
      <w:r w:rsidRPr="009C5807">
        <w:tab/>
      </w:r>
      <w:r w:rsidRPr="004B7BCD">
        <w:t xml:space="preserve">Valid information for the </w:t>
      </w:r>
      <w:r>
        <w:t>SAN</w:t>
      </w:r>
      <w:r w:rsidRPr="004B7BCD">
        <w:t xml:space="preserve"> serving the target cell has been provided</w:t>
      </w:r>
      <w:r w:rsidRPr="009C5807">
        <w:t>.</w:t>
      </w:r>
    </w:p>
    <w:p w14:paraId="2A02E02F" w14:textId="77777777" w:rsidR="00A57E1D" w:rsidRPr="009C5807" w:rsidRDefault="00A57E1D" w:rsidP="00A57E1D">
      <w:pPr>
        <w:pStyle w:val="TH"/>
        <w:rPr>
          <w:sz w:val="22"/>
          <w:szCs w:val="22"/>
          <w:lang w:eastAsia="zh-CN"/>
        </w:rPr>
      </w:pPr>
      <w:r w:rsidRPr="009C5807">
        <w:t xml:space="preserve">Table </w:t>
      </w:r>
      <w:r>
        <w:rPr>
          <w:lang w:eastAsia="zh-CN"/>
        </w:rPr>
        <w:t>10.1.9C</w:t>
      </w:r>
      <w:r w:rsidRPr="009C5807">
        <w:rPr>
          <w:lang w:eastAsia="zh-CN"/>
        </w:rPr>
        <w:t>.1.2</w:t>
      </w:r>
      <w:r w:rsidRPr="009C5807">
        <w:t xml:space="preserve">-1: </w:t>
      </w:r>
      <w:r w:rsidRPr="009C5807">
        <w:rPr>
          <w:lang w:eastAsia="zh-CN"/>
        </w:rPr>
        <w:t>SS-RSRQ</w:t>
      </w:r>
      <w:r w:rsidRPr="009C5807">
        <w:t xml:space="preserve"> Inter frequency relative accuracy</w:t>
      </w:r>
      <w:r w:rsidRPr="009C5807">
        <w:rPr>
          <w:sz w:val="22"/>
          <w:szCs w:val="22"/>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A57E1D" w:rsidRPr="009C5807" w14:paraId="589DA917" w14:textId="77777777" w:rsidTr="00E65BA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4B5F364E" w14:textId="77777777" w:rsidR="00A57E1D" w:rsidRPr="009C5807" w:rsidRDefault="00A57E1D" w:rsidP="00E65BA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1EB31E49" w14:textId="77777777" w:rsidR="00A57E1D" w:rsidRPr="009C5807" w:rsidRDefault="00A57E1D" w:rsidP="00E65BA1">
            <w:pPr>
              <w:pStyle w:val="TAH"/>
            </w:pPr>
            <w:r w:rsidRPr="009C5807">
              <w:t>Conditions</w:t>
            </w:r>
          </w:p>
        </w:tc>
      </w:tr>
      <w:tr w:rsidR="00A57E1D" w:rsidRPr="009C5807" w14:paraId="00A75020" w14:textId="77777777" w:rsidTr="00E65BA1">
        <w:trPr>
          <w:jc w:val="center"/>
        </w:trPr>
        <w:tc>
          <w:tcPr>
            <w:tcW w:w="1035" w:type="dxa"/>
            <w:tcBorders>
              <w:top w:val="single" w:sz="4" w:space="0" w:color="auto"/>
              <w:left w:val="single" w:sz="4" w:space="0" w:color="auto"/>
              <w:right w:val="single" w:sz="4" w:space="0" w:color="auto"/>
            </w:tcBorders>
            <w:shd w:val="clear" w:color="auto" w:fill="auto"/>
            <w:vAlign w:val="center"/>
          </w:tcPr>
          <w:p w14:paraId="336CB7A4" w14:textId="77777777" w:rsidR="00A57E1D" w:rsidRPr="009C5807" w:rsidRDefault="00A57E1D" w:rsidP="00E65BA1">
            <w:pPr>
              <w:pStyle w:val="TAH"/>
            </w:pPr>
            <w:r w:rsidRPr="009C5807">
              <w:t>Normal condition</w:t>
            </w:r>
          </w:p>
        </w:tc>
        <w:tc>
          <w:tcPr>
            <w:tcW w:w="1047" w:type="dxa"/>
            <w:tcBorders>
              <w:top w:val="single" w:sz="4" w:space="0" w:color="auto"/>
              <w:left w:val="single" w:sz="4" w:space="0" w:color="auto"/>
              <w:right w:val="single" w:sz="4" w:space="0" w:color="auto"/>
            </w:tcBorders>
            <w:shd w:val="clear" w:color="auto" w:fill="auto"/>
            <w:vAlign w:val="center"/>
          </w:tcPr>
          <w:p w14:paraId="6CCDD1B6" w14:textId="77777777" w:rsidR="00A57E1D" w:rsidRPr="009C5807" w:rsidRDefault="00A57E1D" w:rsidP="00E65BA1">
            <w:pPr>
              <w:pStyle w:val="TAH"/>
            </w:pPr>
            <w:r w:rsidRPr="009C5807">
              <w:t>Extreme condition</w:t>
            </w:r>
          </w:p>
        </w:tc>
        <w:tc>
          <w:tcPr>
            <w:tcW w:w="802" w:type="dxa"/>
            <w:tcBorders>
              <w:top w:val="single" w:sz="4" w:space="0" w:color="auto"/>
              <w:left w:val="single" w:sz="4" w:space="0" w:color="auto"/>
              <w:right w:val="single" w:sz="4" w:space="0" w:color="auto"/>
            </w:tcBorders>
            <w:shd w:val="clear" w:color="auto" w:fill="auto"/>
            <w:vAlign w:val="center"/>
          </w:tcPr>
          <w:p w14:paraId="2EF329BB" w14:textId="77777777" w:rsidR="00A57E1D" w:rsidRPr="009C5807" w:rsidRDefault="00A57E1D" w:rsidP="00E65BA1">
            <w:pPr>
              <w:pStyle w:val="TAH"/>
            </w:pPr>
            <w:r w:rsidRPr="009C5807">
              <w:t>SSB Ês/Iot</w:t>
            </w:r>
            <w:r w:rsidRPr="009C5807">
              <w:rPr>
                <w:vertAlign w:val="superscript"/>
                <w:lang w:eastAsia="zh-CN"/>
              </w:rPr>
              <w:t xml:space="preserve"> </w:t>
            </w:r>
          </w:p>
        </w:tc>
        <w:tc>
          <w:tcPr>
            <w:tcW w:w="7288"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194B317" w14:textId="77777777" w:rsidR="00A57E1D" w:rsidRPr="009C5807" w:rsidRDefault="00A57E1D" w:rsidP="00E65BA1">
            <w:pPr>
              <w:pStyle w:val="TAH"/>
            </w:pPr>
            <w:r w:rsidRPr="009C5807">
              <w:t>Io</w:t>
            </w:r>
            <w:r w:rsidRPr="009C5807">
              <w:rPr>
                <w:vertAlign w:val="superscript"/>
                <w:lang w:eastAsia="zh-CN"/>
              </w:rPr>
              <w:t xml:space="preserve"> Note 1</w:t>
            </w:r>
            <w:r w:rsidRPr="009C5807">
              <w:t xml:space="preserve"> range</w:t>
            </w:r>
          </w:p>
        </w:tc>
      </w:tr>
      <w:tr w:rsidR="00A57E1D" w:rsidRPr="009C5807" w14:paraId="3777DBAF" w14:textId="77777777" w:rsidTr="00E65BA1">
        <w:trPr>
          <w:jc w:val="center"/>
        </w:trPr>
        <w:tc>
          <w:tcPr>
            <w:tcW w:w="1035" w:type="dxa"/>
            <w:tcBorders>
              <w:left w:val="single" w:sz="4" w:space="0" w:color="auto"/>
              <w:bottom w:val="single" w:sz="4" w:space="0" w:color="auto"/>
              <w:right w:val="single" w:sz="4" w:space="0" w:color="auto"/>
            </w:tcBorders>
            <w:shd w:val="clear" w:color="auto" w:fill="auto"/>
            <w:vAlign w:val="center"/>
          </w:tcPr>
          <w:p w14:paraId="2DB99C24" w14:textId="77777777" w:rsidR="00A57E1D" w:rsidRPr="009C5807" w:rsidRDefault="00A57E1D" w:rsidP="00E65BA1">
            <w:pPr>
              <w:pStyle w:val="TAH"/>
            </w:pPr>
          </w:p>
        </w:tc>
        <w:tc>
          <w:tcPr>
            <w:tcW w:w="1047" w:type="dxa"/>
            <w:tcBorders>
              <w:left w:val="single" w:sz="4" w:space="0" w:color="auto"/>
              <w:bottom w:val="single" w:sz="4" w:space="0" w:color="auto"/>
              <w:right w:val="single" w:sz="4" w:space="0" w:color="auto"/>
            </w:tcBorders>
            <w:shd w:val="clear" w:color="auto" w:fill="auto"/>
            <w:vAlign w:val="center"/>
          </w:tcPr>
          <w:p w14:paraId="44A7D39E" w14:textId="77777777" w:rsidR="00A57E1D" w:rsidRPr="009C5807" w:rsidRDefault="00A57E1D" w:rsidP="00E65BA1">
            <w:pPr>
              <w:pStyle w:val="TAH"/>
            </w:pPr>
          </w:p>
        </w:tc>
        <w:tc>
          <w:tcPr>
            <w:tcW w:w="802" w:type="dxa"/>
            <w:tcBorders>
              <w:left w:val="single" w:sz="4" w:space="0" w:color="auto"/>
              <w:bottom w:val="single" w:sz="4" w:space="0" w:color="auto"/>
              <w:right w:val="single" w:sz="4" w:space="0" w:color="auto"/>
            </w:tcBorders>
            <w:shd w:val="clear" w:color="auto" w:fill="auto"/>
          </w:tcPr>
          <w:p w14:paraId="756E1EC3" w14:textId="77777777" w:rsidR="00A57E1D" w:rsidRPr="009C5807" w:rsidRDefault="00A57E1D" w:rsidP="00E65BA1">
            <w:pPr>
              <w:pStyle w:val="TAH"/>
            </w:pPr>
            <w:r w:rsidRPr="009C5807">
              <w:rPr>
                <w:vertAlign w:val="superscript"/>
                <w:lang w:eastAsia="zh-CN"/>
              </w:rPr>
              <w:t>Note 2</w:t>
            </w:r>
          </w:p>
        </w:tc>
        <w:tc>
          <w:tcPr>
            <w:tcW w:w="2298" w:type="dxa"/>
            <w:tcBorders>
              <w:top w:val="single" w:sz="6" w:space="0" w:color="auto"/>
              <w:left w:val="single" w:sz="4" w:space="0" w:color="auto"/>
              <w:bottom w:val="single" w:sz="6" w:space="0" w:color="auto"/>
              <w:right w:val="single" w:sz="4" w:space="0" w:color="auto"/>
            </w:tcBorders>
            <w:shd w:val="clear" w:color="auto" w:fill="auto"/>
            <w:vAlign w:val="center"/>
          </w:tcPr>
          <w:p w14:paraId="1C9F1694" w14:textId="77777777" w:rsidR="00A57E1D" w:rsidRPr="009C5807" w:rsidRDefault="00A57E1D" w:rsidP="00E65BA1">
            <w:pPr>
              <w:pStyle w:val="TAH"/>
            </w:pPr>
            <w:r w:rsidRPr="009C5807">
              <w:t>NR operating band groups</w:t>
            </w:r>
            <w:r w:rsidRPr="009C5807">
              <w:rPr>
                <w:vertAlign w:val="superscript"/>
              </w:rPr>
              <w:t xml:space="preserve"> </w:t>
            </w:r>
            <w:r w:rsidRPr="009C5807">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1E31E96F" w14:textId="77777777" w:rsidR="00A57E1D" w:rsidRPr="009C5807" w:rsidRDefault="00A57E1D"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7BD50D9B" w14:textId="77777777" w:rsidR="00A57E1D" w:rsidRPr="009C5807" w:rsidRDefault="00A57E1D" w:rsidP="00E65BA1">
            <w:pPr>
              <w:pStyle w:val="TAH"/>
            </w:pPr>
            <w:r w:rsidRPr="009C5807">
              <w:t>Maximum Io</w:t>
            </w:r>
          </w:p>
        </w:tc>
      </w:tr>
      <w:tr w:rsidR="00A57E1D" w:rsidRPr="009C5807" w14:paraId="016D14EB" w14:textId="77777777" w:rsidTr="00E65BA1">
        <w:trPr>
          <w:trHeight w:val="308"/>
          <w:jc w:val="center"/>
        </w:trPr>
        <w:tc>
          <w:tcPr>
            <w:tcW w:w="1035" w:type="dxa"/>
            <w:tcBorders>
              <w:top w:val="single" w:sz="4" w:space="0" w:color="auto"/>
              <w:left w:val="single" w:sz="4" w:space="0" w:color="auto"/>
              <w:right w:val="single" w:sz="6" w:space="0" w:color="auto"/>
            </w:tcBorders>
            <w:shd w:val="clear" w:color="auto" w:fill="auto"/>
          </w:tcPr>
          <w:p w14:paraId="0C33A377" w14:textId="77777777" w:rsidR="00A57E1D" w:rsidRPr="009C5807" w:rsidRDefault="00A57E1D" w:rsidP="00E65BA1">
            <w:pPr>
              <w:pStyle w:val="TAC"/>
            </w:pPr>
            <w:r w:rsidRPr="009C5807">
              <w:t>dB</w:t>
            </w:r>
          </w:p>
        </w:tc>
        <w:tc>
          <w:tcPr>
            <w:tcW w:w="1047" w:type="dxa"/>
            <w:tcBorders>
              <w:top w:val="single" w:sz="4" w:space="0" w:color="auto"/>
              <w:left w:val="single" w:sz="6" w:space="0" w:color="auto"/>
              <w:right w:val="single" w:sz="6" w:space="0" w:color="auto"/>
            </w:tcBorders>
            <w:shd w:val="clear" w:color="auto" w:fill="auto"/>
          </w:tcPr>
          <w:p w14:paraId="3412CC5F" w14:textId="77777777" w:rsidR="00A57E1D" w:rsidRPr="009C5807" w:rsidRDefault="00A57E1D" w:rsidP="00E65BA1">
            <w:pPr>
              <w:pStyle w:val="TAC"/>
            </w:pPr>
            <w:r w:rsidRPr="009C5807">
              <w:t>dB</w:t>
            </w:r>
          </w:p>
        </w:tc>
        <w:tc>
          <w:tcPr>
            <w:tcW w:w="802" w:type="dxa"/>
            <w:tcBorders>
              <w:top w:val="single" w:sz="4" w:space="0" w:color="auto"/>
              <w:left w:val="single" w:sz="6" w:space="0" w:color="auto"/>
              <w:right w:val="single" w:sz="6" w:space="0" w:color="auto"/>
            </w:tcBorders>
            <w:shd w:val="clear" w:color="auto" w:fill="auto"/>
          </w:tcPr>
          <w:p w14:paraId="50371E92" w14:textId="77777777" w:rsidR="00A57E1D" w:rsidRPr="009C5807" w:rsidRDefault="00A57E1D" w:rsidP="00E65BA1">
            <w:pPr>
              <w:pStyle w:val="TAC"/>
            </w:pPr>
            <w:r w:rsidRPr="009C5807">
              <w:t>dB</w:t>
            </w:r>
          </w:p>
        </w:tc>
        <w:tc>
          <w:tcPr>
            <w:tcW w:w="2298" w:type="dxa"/>
            <w:tcBorders>
              <w:top w:val="single" w:sz="6" w:space="0" w:color="auto"/>
              <w:left w:val="single" w:sz="6" w:space="0" w:color="auto"/>
              <w:right w:val="single" w:sz="4" w:space="0" w:color="auto"/>
            </w:tcBorders>
            <w:shd w:val="clear" w:color="auto" w:fill="auto"/>
          </w:tcPr>
          <w:p w14:paraId="6D9C9A82" w14:textId="77777777" w:rsidR="00A57E1D" w:rsidRPr="009C5807" w:rsidRDefault="00A57E1D" w:rsidP="00E65BA1">
            <w:pPr>
              <w:pStyle w:val="TAC"/>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2BE05468" w14:textId="77777777" w:rsidR="00A57E1D" w:rsidRPr="009C5807" w:rsidRDefault="00A57E1D" w:rsidP="00E65BA1">
            <w:pPr>
              <w:pStyle w:val="TAC"/>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5812D1E7" w14:textId="77777777" w:rsidR="00A57E1D" w:rsidRPr="009C5807" w:rsidRDefault="00A57E1D" w:rsidP="00E65BA1">
            <w:pPr>
              <w:pStyle w:val="TAC"/>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650B66A1" w14:textId="77777777" w:rsidR="00A57E1D" w:rsidRPr="009C5807" w:rsidRDefault="00A57E1D" w:rsidP="00E65BA1">
            <w:pPr>
              <w:pStyle w:val="TAC"/>
            </w:pPr>
            <w:r w:rsidRPr="009C5807">
              <w:t>dBm/BW</w:t>
            </w:r>
            <w:r w:rsidRPr="009C5807">
              <w:rPr>
                <w:vertAlign w:val="subscript"/>
              </w:rPr>
              <w:t>Channel</w:t>
            </w:r>
          </w:p>
        </w:tc>
      </w:tr>
      <w:tr w:rsidR="00A57E1D" w:rsidRPr="009C5807" w14:paraId="78127B83" w14:textId="77777777" w:rsidTr="00E65BA1">
        <w:trPr>
          <w:trHeight w:val="307"/>
          <w:jc w:val="center"/>
        </w:trPr>
        <w:tc>
          <w:tcPr>
            <w:tcW w:w="1035" w:type="dxa"/>
            <w:tcBorders>
              <w:left w:val="single" w:sz="4" w:space="0" w:color="auto"/>
              <w:bottom w:val="single" w:sz="6" w:space="0" w:color="auto"/>
              <w:right w:val="single" w:sz="6" w:space="0" w:color="auto"/>
            </w:tcBorders>
            <w:shd w:val="clear" w:color="auto" w:fill="auto"/>
          </w:tcPr>
          <w:p w14:paraId="50C83A76" w14:textId="77777777" w:rsidR="00A57E1D" w:rsidRPr="009C5807" w:rsidRDefault="00A57E1D" w:rsidP="00E65BA1">
            <w:pPr>
              <w:pStyle w:val="TAC"/>
            </w:pPr>
          </w:p>
        </w:tc>
        <w:tc>
          <w:tcPr>
            <w:tcW w:w="1047" w:type="dxa"/>
            <w:tcBorders>
              <w:left w:val="single" w:sz="6" w:space="0" w:color="auto"/>
              <w:bottom w:val="single" w:sz="6" w:space="0" w:color="auto"/>
              <w:right w:val="single" w:sz="6" w:space="0" w:color="auto"/>
            </w:tcBorders>
            <w:shd w:val="clear" w:color="auto" w:fill="auto"/>
          </w:tcPr>
          <w:p w14:paraId="2C779876" w14:textId="77777777" w:rsidR="00A57E1D" w:rsidRPr="009C5807" w:rsidRDefault="00A57E1D" w:rsidP="00E65BA1">
            <w:pPr>
              <w:pStyle w:val="TAC"/>
            </w:pPr>
          </w:p>
        </w:tc>
        <w:tc>
          <w:tcPr>
            <w:tcW w:w="802" w:type="dxa"/>
            <w:tcBorders>
              <w:left w:val="single" w:sz="6" w:space="0" w:color="auto"/>
              <w:bottom w:val="single" w:sz="6" w:space="0" w:color="auto"/>
              <w:right w:val="single" w:sz="6" w:space="0" w:color="auto"/>
            </w:tcBorders>
            <w:shd w:val="clear" w:color="auto" w:fill="auto"/>
          </w:tcPr>
          <w:p w14:paraId="0320B2C6" w14:textId="77777777" w:rsidR="00A57E1D" w:rsidRPr="009C5807" w:rsidRDefault="00A57E1D" w:rsidP="00E65BA1">
            <w:pPr>
              <w:pStyle w:val="TAC"/>
            </w:pPr>
          </w:p>
        </w:tc>
        <w:tc>
          <w:tcPr>
            <w:tcW w:w="2298" w:type="dxa"/>
            <w:tcBorders>
              <w:left w:val="single" w:sz="6" w:space="0" w:color="auto"/>
              <w:bottom w:val="single" w:sz="6" w:space="0" w:color="auto"/>
              <w:right w:val="single" w:sz="4" w:space="0" w:color="auto"/>
            </w:tcBorders>
            <w:shd w:val="clear" w:color="auto" w:fill="auto"/>
          </w:tcPr>
          <w:p w14:paraId="1877097C" w14:textId="77777777" w:rsidR="00A57E1D" w:rsidRPr="009C5807" w:rsidRDefault="00A57E1D" w:rsidP="00E65BA1">
            <w:pPr>
              <w:pStyle w:val="TAC"/>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9B38C54" w14:textId="77777777" w:rsidR="00A57E1D" w:rsidRPr="009C5807" w:rsidRDefault="00A57E1D" w:rsidP="00E65BA1">
            <w:pPr>
              <w:pStyle w:val="TAC"/>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81B386C" w14:textId="77777777" w:rsidR="00A57E1D" w:rsidRPr="009C5807" w:rsidRDefault="00A57E1D" w:rsidP="00E65BA1">
            <w:pPr>
              <w:pStyle w:val="TAC"/>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77507321" w14:textId="77777777" w:rsidR="00A57E1D" w:rsidRPr="009C5807" w:rsidRDefault="00A57E1D" w:rsidP="00E65BA1">
            <w:pPr>
              <w:pStyle w:val="TAC"/>
            </w:pPr>
          </w:p>
        </w:tc>
        <w:tc>
          <w:tcPr>
            <w:tcW w:w="1440" w:type="dxa"/>
            <w:tcBorders>
              <w:left w:val="single" w:sz="6" w:space="0" w:color="auto"/>
              <w:bottom w:val="single" w:sz="6" w:space="0" w:color="auto"/>
              <w:right w:val="single" w:sz="4" w:space="0" w:color="auto"/>
            </w:tcBorders>
            <w:shd w:val="clear" w:color="auto" w:fill="auto"/>
          </w:tcPr>
          <w:p w14:paraId="645DA868" w14:textId="77777777" w:rsidR="00A57E1D" w:rsidRPr="009C5807" w:rsidRDefault="00A57E1D" w:rsidP="00E65BA1">
            <w:pPr>
              <w:pStyle w:val="TAC"/>
            </w:pPr>
          </w:p>
        </w:tc>
      </w:tr>
      <w:tr w:rsidR="00B72DB6" w:rsidRPr="009C5807" w14:paraId="1F5D153D" w14:textId="77777777" w:rsidTr="00E65BA1">
        <w:trPr>
          <w:jc w:val="center"/>
        </w:trPr>
        <w:tc>
          <w:tcPr>
            <w:tcW w:w="1035" w:type="dxa"/>
            <w:tcBorders>
              <w:top w:val="single" w:sz="6" w:space="0" w:color="auto"/>
              <w:left w:val="single" w:sz="4" w:space="0" w:color="auto"/>
              <w:right w:val="single" w:sz="6" w:space="0" w:color="auto"/>
            </w:tcBorders>
            <w:shd w:val="clear" w:color="auto" w:fill="auto"/>
          </w:tcPr>
          <w:p w14:paraId="781959B5" w14:textId="404E118E" w:rsidR="00B72DB6" w:rsidRPr="009C5807" w:rsidRDefault="00B72DB6" w:rsidP="00B72DB6">
            <w:pPr>
              <w:pStyle w:val="TAC"/>
            </w:pPr>
            <w:r w:rsidRPr="009C5807">
              <w:sym w:font="Symbol" w:char="F0B1"/>
            </w:r>
            <w:r>
              <w:t>[3]</w:t>
            </w:r>
          </w:p>
        </w:tc>
        <w:tc>
          <w:tcPr>
            <w:tcW w:w="1047" w:type="dxa"/>
            <w:tcBorders>
              <w:top w:val="single" w:sz="6" w:space="0" w:color="auto"/>
              <w:left w:val="single" w:sz="6" w:space="0" w:color="auto"/>
              <w:right w:val="single" w:sz="6" w:space="0" w:color="auto"/>
            </w:tcBorders>
            <w:shd w:val="clear" w:color="auto" w:fill="auto"/>
          </w:tcPr>
          <w:p w14:paraId="7F935E2D" w14:textId="0E0452C6" w:rsidR="00B72DB6" w:rsidRPr="009C5807" w:rsidRDefault="00B72DB6" w:rsidP="00B72DB6">
            <w:pPr>
              <w:pStyle w:val="TAC"/>
            </w:pPr>
            <w:r w:rsidRPr="009C5807">
              <w:sym w:font="Symbol" w:char="F0B1"/>
            </w:r>
            <w:r>
              <w:t>[4]</w:t>
            </w:r>
          </w:p>
        </w:tc>
        <w:tc>
          <w:tcPr>
            <w:tcW w:w="802" w:type="dxa"/>
            <w:tcBorders>
              <w:top w:val="single" w:sz="6" w:space="0" w:color="auto"/>
              <w:left w:val="single" w:sz="6" w:space="0" w:color="auto"/>
              <w:right w:val="single" w:sz="6" w:space="0" w:color="auto"/>
            </w:tcBorders>
            <w:shd w:val="clear" w:color="auto" w:fill="auto"/>
          </w:tcPr>
          <w:p w14:paraId="5390D411" w14:textId="17DB4AB3" w:rsidR="00B72DB6" w:rsidRPr="009C5807" w:rsidRDefault="00B72DB6" w:rsidP="00B72DB6">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624636B" w14:textId="2FCCB067" w:rsidR="00B72DB6" w:rsidRPr="009C5807" w:rsidRDefault="00B72DB6" w:rsidP="00B72DB6">
            <w:pPr>
              <w:pStyle w:val="TAC"/>
            </w:pPr>
            <w:r w:rsidRPr="009C5807">
              <w:t>NR_FDD</w:t>
            </w:r>
            <w:r w:rsidRPr="003646C5">
              <w:t>_</w:t>
            </w:r>
            <w:r>
              <w:t>SAB</w:t>
            </w:r>
            <w:r w:rsidRPr="009C5807">
              <w:t>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D06F881" w14:textId="77777777" w:rsidR="00B72DB6" w:rsidRPr="009C5807" w:rsidRDefault="00B72DB6" w:rsidP="00B72DB6">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F7857C9" w14:textId="77777777" w:rsidR="00B72DB6" w:rsidRPr="009C5807" w:rsidRDefault="00B72DB6" w:rsidP="00B72DB6">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6CC9BA8"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27C2324" w14:textId="77777777" w:rsidR="00B72DB6" w:rsidRPr="009C5807" w:rsidRDefault="00B72DB6" w:rsidP="00B72DB6">
            <w:pPr>
              <w:pStyle w:val="TAC"/>
            </w:pPr>
            <w:r w:rsidRPr="009C5807">
              <w:t>-50</w:t>
            </w:r>
          </w:p>
        </w:tc>
      </w:tr>
      <w:tr w:rsidR="00B72DB6" w:rsidRPr="009C5807" w14:paraId="2A1FB4F1" w14:textId="77777777" w:rsidTr="00E65BA1">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5104940F" w14:textId="56E835C4" w:rsidR="00B72DB6" w:rsidRPr="009C5807" w:rsidRDefault="00B72DB6" w:rsidP="00B72DB6">
            <w:pPr>
              <w:pStyle w:val="TAC"/>
            </w:pPr>
            <w:r w:rsidRPr="009C5807">
              <w:sym w:font="Symbol" w:char="F0B1"/>
            </w:r>
            <w:r>
              <w:t>[4]</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37B0E78E" w14:textId="2563971E" w:rsidR="00B72DB6" w:rsidRPr="009C5807" w:rsidRDefault="00B72DB6" w:rsidP="00B72DB6">
            <w:pPr>
              <w:pStyle w:val="TAC"/>
            </w:pPr>
            <w:r w:rsidRPr="009C5807">
              <w:sym w:font="Symbol" w:char="F0B1"/>
            </w:r>
            <w:r>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18AFFFD7" w14:textId="42CDF212" w:rsidR="00B72DB6" w:rsidRPr="009C5807" w:rsidRDefault="00B72DB6" w:rsidP="00B72DB6">
            <w:pPr>
              <w:pStyle w:val="TAC"/>
            </w:pPr>
            <w:r w:rsidRPr="009C5807">
              <w:sym w:font="Symbol" w:char="F0B3"/>
            </w:r>
            <w:r w:rsidRPr="009C5807">
              <w:t>-</w:t>
            </w:r>
            <w:r w:rsidRPr="009C5807">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2F698FF" w14:textId="4CCF0E6F" w:rsidR="00B72DB6" w:rsidRPr="009C5807" w:rsidRDefault="00B72DB6" w:rsidP="00B72DB6">
            <w:pPr>
              <w:pStyle w:val="TAC"/>
            </w:pPr>
            <w:r w:rsidRPr="009C5807">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395849D3" w14:textId="77777777" w:rsidR="00B72DB6" w:rsidRPr="009C5807" w:rsidRDefault="00B72DB6" w:rsidP="00B72DB6">
            <w:pPr>
              <w:pStyle w:val="TAC"/>
            </w:pPr>
            <w:r w:rsidRPr="009C5807">
              <w:t>Note 3</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0B14FFAB" w14:textId="77777777" w:rsidR="00B72DB6" w:rsidRPr="009C5807" w:rsidRDefault="00B72DB6" w:rsidP="00B72DB6">
            <w:pPr>
              <w:pStyle w:val="TAC"/>
              <w:rPr>
                <w:lang w:eastAsia="zh-CN"/>
              </w:rPr>
            </w:pPr>
            <w:r w:rsidRPr="009C5807">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3FA0F8B2" w14:textId="77777777" w:rsidR="00B72DB6" w:rsidRPr="009C5807" w:rsidRDefault="00B72DB6" w:rsidP="00B72DB6">
            <w:pPr>
              <w:pStyle w:val="TAC"/>
            </w:pPr>
            <w:r w:rsidRPr="009C5807">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1D7199A3" w14:textId="77777777" w:rsidR="00B72DB6" w:rsidRPr="009C5807" w:rsidRDefault="00B72DB6" w:rsidP="00B72DB6">
            <w:pPr>
              <w:pStyle w:val="TAC"/>
            </w:pPr>
            <w:r w:rsidRPr="009C5807">
              <w:t>Note 3</w:t>
            </w:r>
          </w:p>
        </w:tc>
      </w:tr>
      <w:tr w:rsidR="00A57E1D" w:rsidRPr="009C5807" w14:paraId="417488CE"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D6D5A45" w14:textId="77777777" w:rsidR="00A57E1D" w:rsidRPr="009C5807" w:rsidRDefault="00A57E1D" w:rsidP="00E65BA1">
            <w:pPr>
              <w:pStyle w:val="TAN"/>
            </w:pPr>
            <w:r w:rsidRPr="009C5807">
              <w:t>N</w:t>
            </w:r>
            <w:r w:rsidRPr="009C5807">
              <w:rPr>
                <w:lang w:eastAsia="zh-CN"/>
              </w:rPr>
              <w:t>OTE</w:t>
            </w:r>
            <w:r w:rsidRPr="009C5807">
              <w:t xml:space="preserve"> 1:</w:t>
            </w:r>
            <w:r w:rsidRPr="009C5807">
              <w:tab/>
              <w:t>Io is assumed to have constant EPRE across the bandwidth.</w:t>
            </w:r>
          </w:p>
          <w:p w14:paraId="072CBEF2" w14:textId="77777777" w:rsidR="00A57E1D" w:rsidRPr="009C5807" w:rsidRDefault="00A57E1D" w:rsidP="00E65BA1">
            <w:pPr>
              <w:pStyle w:val="TAN"/>
            </w:pPr>
            <w:r w:rsidRPr="009C5807">
              <w:t>N</w:t>
            </w:r>
            <w:r w:rsidRPr="009C5807">
              <w:rPr>
                <w:lang w:eastAsia="zh-CN"/>
              </w:rPr>
              <w:t>OTE</w:t>
            </w:r>
            <w:r w:rsidRPr="009C5807">
              <w:t xml:space="preserve"> 2:</w:t>
            </w:r>
            <w:r w:rsidRPr="009C5807">
              <w:tab/>
            </w:r>
            <w:r w:rsidRPr="009C5807">
              <w:rPr>
                <w:lang w:eastAsia="zh-CN"/>
              </w:rPr>
              <w:t xml:space="preserve">The parameter SSB </w:t>
            </w:r>
            <w:r w:rsidRPr="009C5807">
              <w:t>Ês/Iot</w:t>
            </w:r>
            <w:r w:rsidRPr="009C5807">
              <w:rPr>
                <w:lang w:eastAsia="zh-CN"/>
              </w:rPr>
              <w:t xml:space="preserve"> is the minimum SSB </w:t>
            </w:r>
            <w:r w:rsidRPr="009C5807">
              <w:t>Ês/Iot</w:t>
            </w:r>
            <w:r w:rsidRPr="009C5807">
              <w:rPr>
                <w:lang w:eastAsia="zh-CN"/>
              </w:rPr>
              <w:t xml:space="preserve"> of the pair of cells to which the requirement applies.</w:t>
            </w:r>
          </w:p>
          <w:p w14:paraId="5AA5EE07" w14:textId="77777777" w:rsidR="00A57E1D" w:rsidRPr="009C5807" w:rsidRDefault="00A57E1D" w:rsidP="00E65BA1">
            <w:pPr>
              <w:pStyle w:val="TAN"/>
              <w:rPr>
                <w:rFonts w:cs="Arial"/>
              </w:rPr>
            </w:pPr>
            <w:r w:rsidRPr="009C5807">
              <w:t>N</w:t>
            </w:r>
            <w:r w:rsidRPr="009C5807">
              <w:rPr>
                <w:lang w:eastAsia="zh-CN"/>
              </w:rPr>
              <w:t>OTE</w:t>
            </w:r>
            <w:r w:rsidRPr="009C5807">
              <w:t xml:space="preserve"> 3:</w:t>
            </w:r>
            <w:r w:rsidRPr="009C5807">
              <w:tab/>
            </w:r>
            <w:r w:rsidRPr="009C5807">
              <w:rPr>
                <w:rFonts w:cs="Arial"/>
              </w:rPr>
              <w:t>The same bands and the same Io conditions for each band apply for this requirement as for the corresponding highest accuracy requirement.</w:t>
            </w:r>
          </w:p>
          <w:p w14:paraId="2AA97183" w14:textId="77777777" w:rsidR="00A57E1D" w:rsidRPr="009C5807" w:rsidRDefault="00A57E1D" w:rsidP="00E65BA1">
            <w:pPr>
              <w:pStyle w:val="TAN"/>
            </w:pPr>
            <w:r w:rsidRPr="009C5807">
              <w:t>NOTE 4:</w:t>
            </w:r>
            <w:r w:rsidRPr="009C5807">
              <w:tab/>
              <w:t>NR operating band groups in FR1 are as defined in clause 3.5.2.</w:t>
            </w:r>
          </w:p>
        </w:tc>
      </w:tr>
    </w:tbl>
    <w:p w14:paraId="4692C5B7" w14:textId="77777777" w:rsidR="00A57E1D" w:rsidRPr="009C5807" w:rsidRDefault="00A57E1D" w:rsidP="00BE0199">
      <w:pPr>
        <w:rPr>
          <w:lang w:eastAsia="zh-CN"/>
        </w:rPr>
      </w:pPr>
    </w:p>
    <w:p w14:paraId="527D249B" w14:textId="049B7393" w:rsidR="001F5A79" w:rsidRPr="009C5807" w:rsidRDefault="001F5A79" w:rsidP="00967CF8">
      <w:pPr>
        <w:pStyle w:val="Heading3"/>
        <w:rPr>
          <w:lang w:val="en-US" w:eastAsia="ko-KR"/>
        </w:rPr>
      </w:pPr>
      <w:r w:rsidRPr="009C5807">
        <w:rPr>
          <w:lang w:val="en-US" w:eastAsia="ko-KR"/>
        </w:rPr>
        <w:t>1</w:t>
      </w:r>
      <w:r w:rsidR="00967CF8" w:rsidRPr="009C5807">
        <w:rPr>
          <w:lang w:val="en-US" w:eastAsia="ko-KR"/>
        </w:rPr>
        <w:t>0.1.1</w:t>
      </w:r>
      <w:r w:rsidRPr="009C5807">
        <w:rPr>
          <w:lang w:val="en-US" w:eastAsia="ko-KR"/>
        </w:rPr>
        <w:t>0</w:t>
      </w:r>
      <w:r w:rsidRPr="009C5807">
        <w:rPr>
          <w:lang w:val="en-US" w:eastAsia="ko-KR"/>
        </w:rPr>
        <w:tab/>
        <w:t xml:space="preserve">Inter-frequency RSRQ accuracy requirements </w:t>
      </w:r>
      <w:r w:rsidRPr="009C5807">
        <w:rPr>
          <w:lang w:val="en-US" w:eastAsia="zh-CN"/>
        </w:rPr>
        <w:t>for</w:t>
      </w:r>
      <w:r w:rsidRPr="009C5807">
        <w:rPr>
          <w:lang w:val="en-US" w:eastAsia="ko-KR"/>
        </w:rPr>
        <w:t xml:space="preserve"> FR2</w:t>
      </w:r>
    </w:p>
    <w:p w14:paraId="25F2200F" w14:textId="77777777" w:rsidR="001F5A79" w:rsidRPr="009C5807" w:rsidRDefault="001F5A79" w:rsidP="00C575EA">
      <w:pPr>
        <w:pStyle w:val="Heading4"/>
        <w:rPr>
          <w:lang w:val="en-US" w:eastAsia="zh-CN"/>
        </w:rPr>
      </w:pPr>
      <w:r w:rsidRPr="009C5807">
        <w:rPr>
          <w:lang w:val="en-US" w:eastAsia="zh-CN"/>
        </w:rPr>
        <w:t>1</w:t>
      </w:r>
      <w:r w:rsidRPr="00C575EA">
        <w:t>0.1.10.1</w:t>
      </w:r>
      <w:r w:rsidRPr="00C575EA">
        <w:tab/>
        <w:t>Inter-frequency SS-RSRQ accuracy requirements in FR2</w:t>
      </w:r>
    </w:p>
    <w:p w14:paraId="54C49971" w14:textId="26FCC0D3" w:rsidR="001F5A79" w:rsidRPr="009C5807" w:rsidRDefault="001F5A79" w:rsidP="00C575EA">
      <w:pPr>
        <w:pStyle w:val="Heading5"/>
        <w:rPr>
          <w:lang w:val="en-US" w:eastAsia="zh-CN"/>
        </w:rPr>
      </w:pPr>
      <w:r w:rsidRPr="009C5807">
        <w:rPr>
          <w:lang w:val="en-US" w:eastAsia="zh-CN"/>
        </w:rPr>
        <w:t>10.1.10.1.1</w:t>
      </w:r>
      <w:r w:rsidRPr="009C5807">
        <w:rPr>
          <w:lang w:val="en-US" w:eastAsia="zh-CN"/>
        </w:rPr>
        <w:tab/>
      </w:r>
      <w:r w:rsidR="00C87F52" w:rsidRPr="004424FD">
        <w:rPr>
          <w:lang w:eastAsia="zh-CN"/>
        </w:rPr>
        <w:t>Absolute</w:t>
      </w:r>
      <w:r w:rsidRPr="009C5807">
        <w:t xml:space="preserve"> Accuracy of </w:t>
      </w:r>
      <w:r w:rsidRPr="009C5807">
        <w:rPr>
          <w:lang w:eastAsia="zh-CN"/>
        </w:rPr>
        <w:t>SS-RSRQ</w:t>
      </w:r>
      <w:r w:rsidRPr="009C5807">
        <w:rPr>
          <w:lang w:val="en-US" w:eastAsia="zh-CN"/>
        </w:rPr>
        <w:t xml:space="preserve"> in FR2</w:t>
      </w:r>
    </w:p>
    <w:p w14:paraId="153F7485" w14:textId="77777777" w:rsidR="001F5A79" w:rsidRPr="009C5807" w:rsidRDefault="001F5A79" w:rsidP="001F5A79">
      <w:pPr>
        <w:rPr>
          <w:rFonts w:cs="v4.2.0"/>
          <w:i/>
        </w:rPr>
      </w:pPr>
      <w:r w:rsidRPr="009C5807">
        <w:rPr>
          <w:rFonts w:cs="v4.2.0"/>
        </w:rPr>
        <w:t>The requirements for absolute accuracy of</w:t>
      </w:r>
      <w:r w:rsidRPr="009C5807">
        <w:rPr>
          <w:rFonts w:cs="v4.2.0"/>
          <w:lang w:eastAsia="zh-CN"/>
        </w:rPr>
        <w:t xml:space="preserve"> SS-RSRQ</w:t>
      </w:r>
      <w:r w:rsidRPr="009C5807">
        <w:rPr>
          <w:rFonts w:cs="v4.2.0"/>
        </w:rPr>
        <w:t xml:space="preserve"> in this clause apply to a cell on a frequency in FR2 that has different carrier frequency from the serving cell.</w:t>
      </w:r>
    </w:p>
    <w:p w14:paraId="3E65DE72"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10.1.10.1.1</w:t>
      </w:r>
      <w:r w:rsidRPr="009C5807">
        <w:rPr>
          <w:rFonts w:cs="v4.2.0"/>
        </w:rPr>
        <w:t>-1 are valid under the following conditions:</w:t>
      </w:r>
    </w:p>
    <w:p w14:paraId="651383DE" w14:textId="77777777" w:rsidR="001F5A79" w:rsidRPr="009C5807" w:rsidRDefault="001F5A79" w:rsidP="001F5A79">
      <w:pPr>
        <w:ind w:left="568" w:hanging="284"/>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38B6CE4A" w14:textId="77777777" w:rsidR="001F5A79" w:rsidRPr="009C5807" w:rsidRDefault="001F5A79" w:rsidP="001F5A79">
      <w:pPr>
        <w:ind w:left="568" w:hanging="284"/>
      </w:pPr>
      <w:r w:rsidRPr="009C5807">
        <w:t>-</w:t>
      </w:r>
      <w:r w:rsidRPr="009C5807">
        <w:rPr>
          <w:rFonts w:ascii="Arial" w:hAnsi="Arial"/>
          <w:sz w:val="28"/>
          <w:lang w:val="en-US"/>
        </w:rPr>
        <w:tab/>
      </w:r>
      <w:r w:rsidRPr="009C5807">
        <w:t xml:space="preserve">Conditions for inter-frequency measurements are fulfilled according to Annex B.2.3 for a corresponding Band </w:t>
      </w:r>
      <w:r w:rsidRPr="009C5807">
        <w:rPr>
          <w:rFonts w:cs="v4.2.0"/>
          <w:lang w:eastAsia="ko-KR"/>
        </w:rPr>
        <w:t>for each relevant SSB</w:t>
      </w:r>
      <w:r w:rsidRPr="009C5807">
        <w:t>.</w:t>
      </w:r>
    </w:p>
    <w:p w14:paraId="5814C346" w14:textId="77777777" w:rsidR="001F5A79" w:rsidRPr="009C5807" w:rsidRDefault="001F5A79" w:rsidP="001F5A79">
      <w:pPr>
        <w:ind w:left="568" w:hanging="284"/>
        <w:rPr>
          <w:lang w:eastAsia="zh-CN"/>
        </w:rPr>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2F943ED4" w14:textId="77777777" w:rsidR="001F5A79" w:rsidRPr="009C5807" w:rsidRDefault="001F5A79" w:rsidP="001D4E56">
      <w:pPr>
        <w:pStyle w:val="TH"/>
        <w:rPr>
          <w:lang w:eastAsia="zh-CN"/>
        </w:rPr>
      </w:pPr>
      <w:r w:rsidRPr="009C5807">
        <w:t xml:space="preserve">Table </w:t>
      </w:r>
      <w:r w:rsidRPr="009C5807">
        <w:rPr>
          <w:lang w:eastAsia="zh-CN"/>
        </w:rPr>
        <w:t>10.1.10.1.1</w:t>
      </w:r>
      <w:r w:rsidRPr="009C5807">
        <w:t xml:space="preserve">-1: </w:t>
      </w:r>
      <w:r w:rsidRPr="009C5807">
        <w:rPr>
          <w:lang w:eastAsia="zh-CN"/>
        </w:rPr>
        <w:t>SS-RSRQ</w:t>
      </w:r>
      <w:r w:rsidRPr="009C5807">
        <w:t xml:space="preserve"> Inter frequency absolute accuracy</w:t>
      </w:r>
      <w:r w:rsidRPr="009C5807">
        <w:rPr>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1F5A79" w:rsidRPr="009C5807" w14:paraId="3FF847C2" w14:textId="77777777" w:rsidTr="00DF3064">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3B2228" w14:textId="77777777" w:rsidR="001F5A79" w:rsidRPr="009C5807" w:rsidRDefault="001F5A79" w:rsidP="00DC28F6">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289A3BE3" w14:textId="77777777" w:rsidR="001F5A79" w:rsidRPr="009C5807" w:rsidRDefault="001F5A79" w:rsidP="00DC28F6">
            <w:pPr>
              <w:pStyle w:val="TAH"/>
            </w:pPr>
            <w:r w:rsidRPr="009C5807">
              <w:t>Conditions</w:t>
            </w:r>
          </w:p>
        </w:tc>
      </w:tr>
      <w:tr w:rsidR="001F5A79" w:rsidRPr="009C5807" w14:paraId="5A757736" w14:textId="77777777" w:rsidTr="00DB6585">
        <w:trPr>
          <w:jc w:val="center"/>
        </w:trPr>
        <w:tc>
          <w:tcPr>
            <w:tcW w:w="1122" w:type="dxa"/>
            <w:tcBorders>
              <w:top w:val="single" w:sz="4" w:space="0" w:color="auto"/>
              <w:left w:val="single" w:sz="4" w:space="0" w:color="auto"/>
              <w:right w:val="single" w:sz="4" w:space="0" w:color="auto"/>
            </w:tcBorders>
            <w:shd w:val="clear" w:color="auto" w:fill="auto"/>
            <w:vAlign w:val="center"/>
          </w:tcPr>
          <w:p w14:paraId="32E5C494" w14:textId="77777777" w:rsidR="001F5A79" w:rsidRPr="009C5807" w:rsidRDefault="001F5A79" w:rsidP="00DC28F6">
            <w:pPr>
              <w:pStyle w:val="TAH"/>
            </w:pPr>
            <w:r w:rsidRPr="009C5807">
              <w:t>Normal condition</w:t>
            </w:r>
          </w:p>
        </w:tc>
        <w:tc>
          <w:tcPr>
            <w:tcW w:w="1119" w:type="dxa"/>
            <w:tcBorders>
              <w:top w:val="single" w:sz="4" w:space="0" w:color="auto"/>
              <w:left w:val="single" w:sz="4" w:space="0" w:color="auto"/>
              <w:right w:val="single" w:sz="4" w:space="0" w:color="auto"/>
            </w:tcBorders>
            <w:shd w:val="clear" w:color="auto" w:fill="auto"/>
            <w:vAlign w:val="center"/>
          </w:tcPr>
          <w:p w14:paraId="33B33935" w14:textId="77777777" w:rsidR="001F5A79" w:rsidRPr="009C5807" w:rsidRDefault="001F5A79" w:rsidP="00DC28F6">
            <w:pPr>
              <w:pStyle w:val="TAH"/>
            </w:pPr>
            <w:r w:rsidRPr="009C5807">
              <w:t>Extreme condition</w:t>
            </w:r>
          </w:p>
        </w:tc>
        <w:tc>
          <w:tcPr>
            <w:tcW w:w="1119" w:type="dxa"/>
            <w:tcBorders>
              <w:left w:val="single" w:sz="4" w:space="0" w:color="auto"/>
              <w:right w:val="single" w:sz="4" w:space="0" w:color="auto"/>
            </w:tcBorders>
          </w:tcPr>
          <w:p w14:paraId="7DA67F1E" w14:textId="77777777" w:rsidR="001F5A79" w:rsidRPr="009C5807" w:rsidRDefault="001F5A79" w:rsidP="00DC28F6">
            <w:pPr>
              <w:pStyle w:val="TAH"/>
            </w:pPr>
            <w:r w:rsidRPr="009C5807">
              <w:rPr>
                <w:rFonts w:cs="Arial"/>
              </w:rPr>
              <w:t>SSB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7678C12" w14:textId="77777777" w:rsidR="001F5A79" w:rsidRPr="009C5807" w:rsidRDefault="001F5A79" w:rsidP="00DC28F6">
            <w:pPr>
              <w:pStyle w:val="TAH"/>
            </w:pPr>
            <w:r w:rsidRPr="009C5807">
              <w:t>Io</w:t>
            </w:r>
            <w:r w:rsidRPr="009C5807">
              <w:rPr>
                <w:vertAlign w:val="superscript"/>
              </w:rPr>
              <w:t xml:space="preserve"> Note 2</w:t>
            </w:r>
            <w:r w:rsidRPr="009C5807">
              <w:t xml:space="preserve"> range</w:t>
            </w:r>
          </w:p>
        </w:tc>
      </w:tr>
      <w:tr w:rsidR="001F5A79" w:rsidRPr="009C5807" w14:paraId="66F0EB35" w14:textId="77777777" w:rsidTr="00DB6585">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676B4960" w14:textId="77777777" w:rsidR="001F5A79" w:rsidRPr="009C5807" w:rsidRDefault="001F5A79" w:rsidP="00DC28F6">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19EAE442" w14:textId="77777777" w:rsidR="001F5A79" w:rsidRPr="009C5807" w:rsidRDefault="001F5A79" w:rsidP="00DC28F6">
            <w:pPr>
              <w:pStyle w:val="TAH"/>
            </w:pPr>
          </w:p>
        </w:tc>
        <w:tc>
          <w:tcPr>
            <w:tcW w:w="1119" w:type="dxa"/>
            <w:tcBorders>
              <w:left w:val="single" w:sz="4" w:space="0" w:color="auto"/>
              <w:bottom w:val="single" w:sz="4" w:space="0" w:color="auto"/>
              <w:right w:val="single" w:sz="4" w:space="0" w:color="auto"/>
            </w:tcBorders>
            <w:vAlign w:val="center"/>
          </w:tcPr>
          <w:p w14:paraId="63437F88" w14:textId="77777777" w:rsidR="001F5A79" w:rsidRPr="009C5807" w:rsidRDefault="001F5A79" w:rsidP="00DC28F6">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807028" w14:textId="77777777" w:rsidR="001F5A79" w:rsidRPr="009C5807" w:rsidRDefault="001F5A79" w:rsidP="00DC28F6">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D5B69A6" w14:textId="77777777" w:rsidR="001F5A79" w:rsidRPr="009C5807" w:rsidRDefault="001F5A79" w:rsidP="00DC28F6">
            <w:pPr>
              <w:pStyle w:val="TAH"/>
            </w:pPr>
            <w:r w:rsidRPr="009C5807">
              <w:t>Maximum Io</w:t>
            </w:r>
          </w:p>
        </w:tc>
      </w:tr>
      <w:tr w:rsidR="001F5A79" w:rsidRPr="009C5807" w14:paraId="40ECBBBA" w14:textId="77777777" w:rsidTr="00485F6E">
        <w:trPr>
          <w:jc w:val="center"/>
        </w:trPr>
        <w:tc>
          <w:tcPr>
            <w:tcW w:w="1122" w:type="dxa"/>
            <w:tcBorders>
              <w:top w:val="single" w:sz="4" w:space="0" w:color="auto"/>
              <w:left w:val="single" w:sz="4" w:space="0" w:color="auto"/>
              <w:right w:val="single" w:sz="4" w:space="0" w:color="auto"/>
            </w:tcBorders>
            <w:shd w:val="clear" w:color="auto" w:fill="auto"/>
          </w:tcPr>
          <w:p w14:paraId="437C2B4B" w14:textId="77777777" w:rsidR="001F5A79" w:rsidRPr="009C5807" w:rsidRDefault="001F5A79" w:rsidP="00485F6E">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0D95AA53" w14:textId="77777777" w:rsidR="001F5A79" w:rsidRPr="009C5807" w:rsidRDefault="001F5A79" w:rsidP="00485F6E">
            <w:pPr>
              <w:pStyle w:val="TAH"/>
            </w:pPr>
            <w:r w:rsidRPr="009C5807">
              <w:t>dB</w:t>
            </w:r>
          </w:p>
        </w:tc>
        <w:tc>
          <w:tcPr>
            <w:tcW w:w="1119" w:type="dxa"/>
            <w:tcBorders>
              <w:top w:val="single" w:sz="4" w:space="0" w:color="auto"/>
              <w:left w:val="single" w:sz="4" w:space="0" w:color="auto"/>
              <w:right w:val="single" w:sz="4" w:space="0" w:color="auto"/>
            </w:tcBorders>
          </w:tcPr>
          <w:p w14:paraId="41B3EFF8" w14:textId="77777777" w:rsidR="001F5A79" w:rsidRPr="009C5807" w:rsidRDefault="001F5A79" w:rsidP="00485F6E">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2F09D151" w14:textId="77777777" w:rsidR="001F5A79" w:rsidRPr="009C5807" w:rsidRDefault="001F5A79" w:rsidP="00485F6E">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26AFCA33" w14:textId="77777777" w:rsidR="001F5A79" w:rsidRPr="009C5807" w:rsidRDefault="001F5A79" w:rsidP="00485F6E">
            <w:pPr>
              <w:pStyle w:val="TAH"/>
            </w:pPr>
            <w:r w:rsidRPr="009C5807">
              <w:t>dBm/BW</w:t>
            </w:r>
            <w:r w:rsidRPr="009C5807">
              <w:rPr>
                <w:vertAlign w:val="subscript"/>
              </w:rPr>
              <w:t>Channel</w:t>
            </w:r>
          </w:p>
        </w:tc>
      </w:tr>
      <w:tr w:rsidR="001F5A79" w:rsidRPr="009C5807" w14:paraId="22AA47B9" w14:textId="77777777" w:rsidTr="00485F6E">
        <w:trPr>
          <w:jc w:val="center"/>
        </w:trPr>
        <w:tc>
          <w:tcPr>
            <w:tcW w:w="1122" w:type="dxa"/>
            <w:tcBorders>
              <w:left w:val="single" w:sz="4" w:space="0" w:color="auto"/>
              <w:bottom w:val="single" w:sz="4" w:space="0" w:color="auto"/>
              <w:right w:val="single" w:sz="4" w:space="0" w:color="auto"/>
            </w:tcBorders>
            <w:shd w:val="clear" w:color="auto" w:fill="auto"/>
          </w:tcPr>
          <w:p w14:paraId="54EAA70F"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shd w:val="clear" w:color="auto" w:fill="auto"/>
          </w:tcPr>
          <w:p w14:paraId="4917D825"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tcPr>
          <w:p w14:paraId="32CBDA49" w14:textId="77777777" w:rsidR="001F5A79" w:rsidRPr="009C5807" w:rsidRDefault="001F5A79" w:rsidP="00485F6E">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5181EA00" w14:textId="77777777" w:rsidR="001F5A79" w:rsidRPr="009C5807" w:rsidRDefault="001F5A79" w:rsidP="00485F6E">
            <w:pPr>
              <w:pStyle w:val="TAH"/>
            </w:pPr>
            <w:r w:rsidRPr="009C5807">
              <w:t>SCS</w:t>
            </w:r>
            <w:r w:rsidRPr="009C5807">
              <w:rPr>
                <w:vertAlign w:val="subscript"/>
              </w:rPr>
              <w:t>SSB</w:t>
            </w:r>
            <w:r w:rsidRPr="009C5807">
              <w:rPr>
                <w:rFonts w:cs="Arial"/>
              </w:rPr>
              <w:t xml:space="preserve"> = 120kHz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7FFAE6C6" w14:textId="77777777" w:rsidR="001F5A79" w:rsidRPr="009C5807" w:rsidRDefault="001F5A79" w:rsidP="00485F6E">
            <w:pPr>
              <w:pStyle w:val="TAH"/>
            </w:pPr>
            <w:r w:rsidRPr="009C5807">
              <w:t>SCS</w:t>
            </w:r>
            <w:r w:rsidRPr="009C5807">
              <w:rPr>
                <w:vertAlign w:val="subscript"/>
              </w:rPr>
              <w:t>SSB</w:t>
            </w:r>
            <w:r w:rsidRPr="009C5807">
              <w:rPr>
                <w:rFonts w:cs="Arial"/>
              </w:rPr>
              <w:t xml:space="preserve"> = 240kHz</w:t>
            </w:r>
          </w:p>
        </w:tc>
        <w:tc>
          <w:tcPr>
            <w:tcW w:w="2268" w:type="dxa"/>
            <w:tcBorders>
              <w:left w:val="single" w:sz="4" w:space="0" w:color="auto"/>
              <w:bottom w:val="single" w:sz="4" w:space="0" w:color="auto"/>
              <w:right w:val="single" w:sz="4" w:space="0" w:color="auto"/>
            </w:tcBorders>
            <w:shd w:val="clear" w:color="auto" w:fill="auto"/>
          </w:tcPr>
          <w:p w14:paraId="577445E5" w14:textId="77777777" w:rsidR="001F5A79" w:rsidRPr="009C5807" w:rsidRDefault="001F5A79" w:rsidP="00485F6E">
            <w:pPr>
              <w:pStyle w:val="TAH"/>
            </w:pPr>
          </w:p>
        </w:tc>
      </w:tr>
      <w:tr w:rsidR="004E78C2" w:rsidRPr="009C5807" w14:paraId="7352CD52"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98E3C66" w14:textId="77777777" w:rsidR="004E78C2" w:rsidRPr="009C5807" w:rsidRDefault="004E78C2" w:rsidP="00485F6E">
            <w:pPr>
              <w:pStyle w:val="TAC"/>
            </w:pPr>
            <w:r w:rsidRPr="009C5807">
              <w:sym w:font="Symbol" w:char="F0B1"/>
            </w:r>
            <w:r w:rsidRPr="009C5807">
              <w:t>2.5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60B01E19" w14:textId="77777777" w:rsidR="004E78C2" w:rsidRPr="009C5807" w:rsidRDefault="004E78C2"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5F7F8776" w14:textId="77777777" w:rsidR="004E78C2" w:rsidRPr="009C5807" w:rsidRDefault="004E78C2" w:rsidP="00485F6E">
            <w:pPr>
              <w:pStyle w:val="TAC"/>
            </w:pPr>
            <w:r w:rsidRPr="009C5807">
              <w:rPr>
                <w:rFonts w:eastAsia="Yu Mincho" w:cs="Arial"/>
                <w:lang w:eastAsia="ja-JP"/>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3A7CA6AA" w14:textId="6468C57F" w:rsidR="004E78C2" w:rsidRPr="009C5807" w:rsidRDefault="004E78C2" w:rsidP="00485F6E">
            <w:pPr>
              <w:pStyle w:val="TAC"/>
              <w:rPr>
                <w:rFonts w:eastAsia="Yu Mincho"/>
                <w:lang w:eastAsia="ja-JP"/>
              </w:rPr>
            </w:pPr>
            <w:r w:rsidRPr="009C5807">
              <w:t>Same value as SSB_RP in Table B.2.2-2,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5B1297B4" w14:textId="77777777" w:rsidR="004E78C2" w:rsidRPr="009C5807" w:rsidRDefault="004E78C2" w:rsidP="00485F6E">
            <w:pPr>
              <w:pStyle w:val="TAC"/>
            </w:pPr>
            <w:r w:rsidRPr="009C5807">
              <w:t>-50</w:t>
            </w:r>
          </w:p>
        </w:tc>
      </w:tr>
      <w:tr w:rsidR="004E78C2" w:rsidRPr="009C5807" w14:paraId="3261537A"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4A9BC96F" w14:textId="77777777" w:rsidR="004E78C2" w:rsidRPr="009C5807" w:rsidRDefault="004E78C2" w:rsidP="00485F6E">
            <w:pPr>
              <w:pStyle w:val="TAC"/>
            </w:pPr>
            <w:r w:rsidRPr="009C5807">
              <w:sym w:font="Symbol" w:char="F0B1"/>
            </w:r>
            <w:r w:rsidRPr="009C5807">
              <w:t>3.5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558B90E6" w14:textId="77777777" w:rsidR="004E78C2" w:rsidRPr="009C5807" w:rsidRDefault="004E78C2"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66429EC5" w14:textId="77777777" w:rsidR="004E78C2" w:rsidRPr="009C5807" w:rsidRDefault="004E78C2" w:rsidP="00485F6E">
            <w:pPr>
              <w:pStyle w:val="TAC"/>
            </w:pPr>
            <w:r w:rsidRPr="009C5807">
              <w:rPr>
                <w:rFonts w:eastAsia="Yu Mincho" w:cs="Arial"/>
                <w:lang w:eastAsia="ja-JP"/>
              </w:rPr>
              <w:t>≥-4</w:t>
            </w:r>
          </w:p>
        </w:tc>
        <w:tc>
          <w:tcPr>
            <w:tcW w:w="3161" w:type="dxa"/>
            <w:gridSpan w:val="2"/>
            <w:tcBorders>
              <w:left w:val="single" w:sz="4" w:space="0" w:color="auto"/>
              <w:bottom w:val="single" w:sz="4" w:space="0" w:color="auto"/>
              <w:right w:val="single" w:sz="4" w:space="0" w:color="auto"/>
            </w:tcBorders>
            <w:shd w:val="clear" w:color="auto" w:fill="auto"/>
          </w:tcPr>
          <w:p w14:paraId="24D1D5E4" w14:textId="6F0315D0" w:rsidR="004E78C2" w:rsidRPr="009C5807" w:rsidRDefault="004E78C2" w:rsidP="00485F6E">
            <w:pPr>
              <w:pStyle w:val="TAC"/>
            </w:pPr>
          </w:p>
        </w:tc>
        <w:tc>
          <w:tcPr>
            <w:tcW w:w="2268" w:type="dxa"/>
            <w:tcBorders>
              <w:left w:val="single" w:sz="4" w:space="0" w:color="auto"/>
              <w:bottom w:val="single" w:sz="4" w:space="0" w:color="auto"/>
              <w:right w:val="single" w:sz="4" w:space="0" w:color="auto"/>
            </w:tcBorders>
            <w:shd w:val="clear" w:color="auto" w:fill="auto"/>
          </w:tcPr>
          <w:p w14:paraId="21075C01" w14:textId="77777777" w:rsidR="004E78C2" w:rsidRPr="009C5807" w:rsidRDefault="004E78C2" w:rsidP="00485F6E">
            <w:pPr>
              <w:pStyle w:val="TAC"/>
            </w:pPr>
          </w:p>
        </w:tc>
      </w:tr>
      <w:tr w:rsidR="001F5A79" w:rsidRPr="009C5807" w14:paraId="6990F161" w14:textId="77777777" w:rsidTr="00DF3064">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ACC433D" w14:textId="77777777" w:rsidR="001F5A79" w:rsidRPr="009C5807" w:rsidRDefault="001F5A79" w:rsidP="00DC28F6">
            <w:pPr>
              <w:pStyle w:val="TAN"/>
            </w:pPr>
            <w:r w:rsidRPr="009C5807">
              <w:t>Note 1:</w:t>
            </w:r>
            <w:r w:rsidRPr="009C5807">
              <w:tab/>
              <w:t>Values based on Refsens and EIS spherical coverage as defined in clauses 7.3.2 and 7.3.4 of TS 38.101-2 [19]. Applicable side condition selected depending on angle of arrival.</w:t>
            </w:r>
          </w:p>
          <w:p w14:paraId="693C65C8" w14:textId="77777777" w:rsidR="001F5A79" w:rsidRPr="009C5807" w:rsidRDefault="001F5A79" w:rsidP="00DC28F6">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4D1995B4" w14:textId="77777777" w:rsidR="001F5A79" w:rsidRPr="009C5807" w:rsidRDefault="001F5A79" w:rsidP="00DC28F6">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78891204" w14:textId="77777777" w:rsidR="001F5A79" w:rsidRPr="009C5807" w:rsidRDefault="001F5A79" w:rsidP="001F5A79">
      <w:pPr>
        <w:rPr>
          <w:lang w:eastAsia="zh-CN"/>
        </w:rPr>
      </w:pPr>
    </w:p>
    <w:p w14:paraId="3D85265A" w14:textId="77777777" w:rsidR="001F5A79" w:rsidRPr="009C5807" w:rsidRDefault="001F5A79" w:rsidP="00B36247">
      <w:pPr>
        <w:pStyle w:val="Heading5"/>
      </w:pPr>
      <w:r w:rsidRPr="009C5807">
        <w:rPr>
          <w:lang w:eastAsia="zh-CN"/>
        </w:rPr>
        <w:t>10</w:t>
      </w:r>
      <w:r w:rsidRPr="009C5807">
        <w:t>.1.</w:t>
      </w:r>
      <w:r w:rsidRPr="009C5807">
        <w:rPr>
          <w:lang w:eastAsia="zh-CN"/>
        </w:rPr>
        <w:t>10</w:t>
      </w:r>
      <w:r w:rsidRPr="009C5807">
        <w:t>.</w:t>
      </w:r>
      <w:r w:rsidRPr="009C5807">
        <w:rPr>
          <w:lang w:eastAsia="zh-CN"/>
        </w:rPr>
        <w:t>1.2</w:t>
      </w:r>
      <w:r w:rsidRPr="009C5807">
        <w:tab/>
        <w:t xml:space="preserve">Relative Accuracy of </w:t>
      </w:r>
      <w:r w:rsidRPr="009C5807">
        <w:rPr>
          <w:lang w:eastAsia="zh-CN"/>
        </w:rPr>
        <w:t>SS-RSRQ</w:t>
      </w:r>
      <w:r w:rsidRPr="009C5807">
        <w:t xml:space="preserve"> in FR2</w:t>
      </w:r>
    </w:p>
    <w:p w14:paraId="381D3120" w14:textId="77777777" w:rsidR="001F5A79" w:rsidRPr="009C5807" w:rsidRDefault="001F5A79" w:rsidP="001F5A79">
      <w:pPr>
        <w:rPr>
          <w:rFonts w:cs="v4.2.0"/>
          <w:i/>
        </w:rPr>
      </w:pPr>
      <w:r w:rsidRPr="009C5807">
        <w:rPr>
          <w:rFonts w:cs="v4.2.0"/>
        </w:rPr>
        <w:t xml:space="preserve">The relative accuracy of </w:t>
      </w:r>
      <w:r w:rsidRPr="009C5807">
        <w:rPr>
          <w:rFonts w:cs="v4.2.0"/>
          <w:lang w:eastAsia="zh-CN"/>
        </w:rPr>
        <w:t>SS-RSRQ</w:t>
      </w:r>
      <w:r w:rsidRPr="009C5807">
        <w:rPr>
          <w:rFonts w:cs="v4.2.0"/>
        </w:rPr>
        <w:t xml:space="preserve"> in inter frequency case is defined as the RSRQ measured from one cell on a frequency in FR2 compared to the RSRP measured from another cell on a different frequency in FR2.</w:t>
      </w:r>
    </w:p>
    <w:p w14:paraId="52F257B7"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10.1.10.1.2</w:t>
      </w:r>
      <w:r w:rsidRPr="009C5807">
        <w:rPr>
          <w:rFonts w:cs="v4.2.0"/>
        </w:rPr>
        <w:t>-1 are valid under the following conditions:</w:t>
      </w:r>
    </w:p>
    <w:p w14:paraId="361BDF13" w14:textId="77777777" w:rsidR="001F5A79" w:rsidRPr="009C5807" w:rsidRDefault="001F5A79" w:rsidP="0093237A">
      <w:pPr>
        <w:pStyle w:val="B10"/>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66499C57" w14:textId="77777777" w:rsidR="001F5A79" w:rsidRPr="009C5807" w:rsidRDefault="001F5A79" w:rsidP="0093237A">
      <w:pPr>
        <w:pStyle w:val="B10"/>
        <w:rPr>
          <w:lang w:eastAsia="zh-CN"/>
        </w:rPr>
      </w:pPr>
      <w:r w:rsidRPr="009C5807">
        <w:t>-</w:t>
      </w:r>
      <w:r w:rsidRPr="009C5807">
        <w:rPr>
          <w:rFonts w:ascii="Arial" w:hAnsi="Arial"/>
          <w:sz w:val="28"/>
          <w:lang w:val="en-US"/>
        </w:rPr>
        <w:tab/>
      </w:r>
      <w:r w:rsidRPr="009C5807">
        <w:t xml:space="preserve">Conditions for inter-frequency measurements are fulfilled according to Annex B.2.3 for a corresponding Band </w:t>
      </w:r>
      <w:r w:rsidRPr="009C5807">
        <w:rPr>
          <w:rFonts w:cs="v4.2.0"/>
          <w:lang w:eastAsia="ko-KR"/>
        </w:rPr>
        <w:t>for each relevant SSB</w:t>
      </w:r>
      <w:r w:rsidRPr="009C5807">
        <w:t>.</w:t>
      </w:r>
    </w:p>
    <w:p w14:paraId="30FF978A" w14:textId="77777777" w:rsidR="001F5A79" w:rsidRPr="009C5807" w:rsidRDefault="001F5A79" w:rsidP="0093237A">
      <w:pPr>
        <w:pStyle w:val="B10"/>
        <w:rPr>
          <w:rFonts w:cs="v4.2.0"/>
          <w:sz w:val="18"/>
        </w:rPr>
      </w:pPr>
      <w:r w:rsidRPr="009C5807">
        <w:t>-</w:t>
      </w:r>
      <w:r w:rsidRPr="009C5807">
        <w:rPr>
          <w:rFonts w:ascii="Arial" w:hAnsi="Arial"/>
          <w:sz w:val="28"/>
          <w:lang w:val="en-US"/>
        </w:rPr>
        <w:tab/>
      </w:r>
      <w:r w:rsidRPr="009C5807">
        <w:t>|SSB_RP1</w:t>
      </w:r>
      <w:r w:rsidRPr="009C5807">
        <w:rPr>
          <w:vertAlign w:val="subscript"/>
        </w:rPr>
        <w:t>dBm</w:t>
      </w:r>
      <w:r w:rsidRPr="009C5807">
        <w:t xml:space="preserve"> - SSB_RP2</w:t>
      </w:r>
      <w:r w:rsidRPr="009C5807">
        <w:rPr>
          <w:vertAlign w:val="subscript"/>
        </w:rPr>
        <w:t>dBm</w:t>
      </w:r>
      <w:r w:rsidRPr="009C5807">
        <w:t xml:space="preserve">| </w:t>
      </w:r>
      <w:r w:rsidRPr="009C5807">
        <w:sym w:font="Symbol" w:char="F0A3"/>
      </w:r>
      <w:r w:rsidRPr="009C5807">
        <w:t xml:space="preserve"> 27 dB</w:t>
      </w:r>
    </w:p>
    <w:p w14:paraId="58654C1E" w14:textId="77777777" w:rsidR="001F5A79" w:rsidRPr="009C5807" w:rsidRDefault="001F5A79" w:rsidP="0093237A">
      <w:pPr>
        <w:pStyle w:val="B10"/>
      </w:pPr>
      <w:r w:rsidRPr="009C5807">
        <w:t>-</w:t>
      </w:r>
      <w:r w:rsidRPr="009C5807">
        <w:rPr>
          <w:rFonts w:ascii="Arial" w:hAnsi="Arial"/>
          <w:sz w:val="28"/>
          <w:lang w:val="en-US"/>
        </w:rPr>
        <w:tab/>
      </w:r>
      <w:r w:rsidRPr="009C5807">
        <w:t xml:space="preserve">| Channel 1_Io </w:t>
      </w:r>
      <w:r w:rsidRPr="009C5807">
        <w:noBreakHyphen/>
        <w:t xml:space="preserve">Channel 2_Io | </w:t>
      </w:r>
      <w:r w:rsidRPr="009C5807">
        <w:sym w:font="Symbol" w:char="F0A3"/>
      </w:r>
      <w:r w:rsidRPr="009C5807">
        <w:t xml:space="preserve"> 20 dB</w:t>
      </w:r>
    </w:p>
    <w:p w14:paraId="41260393" w14:textId="77777777" w:rsidR="001F5A79" w:rsidRPr="009C5807" w:rsidRDefault="001F5A79" w:rsidP="0093237A">
      <w:pPr>
        <w:pStyle w:val="B10"/>
        <w:rPr>
          <w:lang w:eastAsia="zh-CN"/>
        </w:rPr>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6A63EEB9" w14:textId="77777777" w:rsidR="001F5A79" w:rsidRPr="009C5807" w:rsidRDefault="001F5A79" w:rsidP="0093237A">
      <w:pPr>
        <w:pStyle w:val="TH"/>
        <w:rPr>
          <w:sz w:val="22"/>
          <w:szCs w:val="22"/>
          <w:lang w:eastAsia="zh-CN"/>
        </w:rPr>
      </w:pPr>
      <w:r w:rsidRPr="009C5807">
        <w:t xml:space="preserve">Table </w:t>
      </w:r>
      <w:r w:rsidRPr="009C5807">
        <w:rPr>
          <w:lang w:eastAsia="zh-CN"/>
        </w:rPr>
        <w:t>10.1.10.1.2</w:t>
      </w:r>
      <w:r w:rsidRPr="009C5807">
        <w:t xml:space="preserve">-1: </w:t>
      </w:r>
      <w:r w:rsidRPr="009C5807">
        <w:rPr>
          <w:lang w:eastAsia="zh-CN"/>
        </w:rPr>
        <w:t>SS-RSRQ</w:t>
      </w:r>
      <w:r w:rsidRPr="009C5807">
        <w:t xml:space="preserve"> Inter frequency relative accuracy</w:t>
      </w:r>
      <w:r w:rsidRPr="009C5807">
        <w:rPr>
          <w:sz w:val="22"/>
          <w:szCs w:val="22"/>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1F5A79" w:rsidRPr="009C5807" w14:paraId="644FBB0F" w14:textId="77777777" w:rsidTr="00DF3064">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CA249F" w14:textId="77777777" w:rsidR="001F5A79" w:rsidRPr="009C5807" w:rsidRDefault="001F5A79" w:rsidP="00DC28F6">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63EBB370" w14:textId="77777777" w:rsidR="001F5A79" w:rsidRPr="009C5807" w:rsidRDefault="001F5A79" w:rsidP="00DC28F6">
            <w:pPr>
              <w:pStyle w:val="TAH"/>
            </w:pPr>
            <w:r w:rsidRPr="009C5807">
              <w:t>Conditions</w:t>
            </w:r>
          </w:p>
        </w:tc>
      </w:tr>
      <w:tr w:rsidR="001F5A79" w:rsidRPr="009C5807" w14:paraId="69D63317" w14:textId="77777777" w:rsidTr="00DC28F6">
        <w:trPr>
          <w:jc w:val="center"/>
        </w:trPr>
        <w:tc>
          <w:tcPr>
            <w:tcW w:w="1122" w:type="dxa"/>
            <w:tcBorders>
              <w:top w:val="single" w:sz="4" w:space="0" w:color="auto"/>
              <w:left w:val="single" w:sz="4" w:space="0" w:color="auto"/>
              <w:right w:val="single" w:sz="4" w:space="0" w:color="auto"/>
            </w:tcBorders>
            <w:shd w:val="clear" w:color="auto" w:fill="auto"/>
            <w:vAlign w:val="center"/>
          </w:tcPr>
          <w:p w14:paraId="61C81373" w14:textId="77777777" w:rsidR="001F5A79" w:rsidRPr="009C5807" w:rsidRDefault="001F5A79" w:rsidP="00DC28F6">
            <w:pPr>
              <w:pStyle w:val="TAH"/>
            </w:pPr>
            <w:r w:rsidRPr="009C5807">
              <w:t>Normal condition</w:t>
            </w:r>
          </w:p>
        </w:tc>
        <w:tc>
          <w:tcPr>
            <w:tcW w:w="1119" w:type="dxa"/>
            <w:tcBorders>
              <w:top w:val="single" w:sz="4" w:space="0" w:color="auto"/>
              <w:left w:val="single" w:sz="4" w:space="0" w:color="auto"/>
              <w:right w:val="single" w:sz="4" w:space="0" w:color="auto"/>
            </w:tcBorders>
            <w:shd w:val="clear" w:color="auto" w:fill="auto"/>
            <w:vAlign w:val="center"/>
          </w:tcPr>
          <w:p w14:paraId="539F1D49" w14:textId="77777777" w:rsidR="001F5A79" w:rsidRPr="009C5807" w:rsidRDefault="001F5A79" w:rsidP="00DC28F6">
            <w:pPr>
              <w:pStyle w:val="TAH"/>
            </w:pPr>
            <w:r w:rsidRPr="009C5807">
              <w:t>Extreme condition</w:t>
            </w:r>
          </w:p>
        </w:tc>
        <w:tc>
          <w:tcPr>
            <w:tcW w:w="1119" w:type="dxa"/>
            <w:tcBorders>
              <w:top w:val="single" w:sz="4" w:space="0" w:color="auto"/>
              <w:left w:val="single" w:sz="4" w:space="0" w:color="auto"/>
              <w:right w:val="single" w:sz="4" w:space="0" w:color="auto"/>
            </w:tcBorders>
          </w:tcPr>
          <w:p w14:paraId="1A3352B0" w14:textId="77777777" w:rsidR="001F5A79" w:rsidRPr="009C5807" w:rsidRDefault="001F5A79" w:rsidP="00DC28F6">
            <w:pPr>
              <w:pStyle w:val="TAH"/>
            </w:pPr>
            <w:r w:rsidRPr="009C5807">
              <w:rPr>
                <w:rFonts w:cs="Arial"/>
              </w:rPr>
              <w:t>SSB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F7E342" w14:textId="77777777" w:rsidR="001F5A79" w:rsidRPr="009C5807" w:rsidRDefault="001F5A79" w:rsidP="00DC28F6">
            <w:pPr>
              <w:pStyle w:val="TAH"/>
            </w:pPr>
            <w:r w:rsidRPr="009C5807">
              <w:t>Io</w:t>
            </w:r>
            <w:r w:rsidRPr="009C5807">
              <w:rPr>
                <w:vertAlign w:val="superscript"/>
              </w:rPr>
              <w:t xml:space="preserve"> Note 2</w:t>
            </w:r>
            <w:r w:rsidRPr="009C5807">
              <w:t xml:space="preserve"> range</w:t>
            </w:r>
          </w:p>
        </w:tc>
      </w:tr>
      <w:tr w:rsidR="001F5A79" w:rsidRPr="009C5807" w14:paraId="7A5FBD1A" w14:textId="77777777" w:rsidTr="00DC28F6">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5972EA92" w14:textId="77777777" w:rsidR="001F5A79" w:rsidRPr="009C5807" w:rsidRDefault="001F5A79" w:rsidP="00DC28F6">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289DCE7D" w14:textId="77777777" w:rsidR="001F5A79" w:rsidRPr="009C5807" w:rsidRDefault="001F5A79" w:rsidP="00DC28F6">
            <w:pPr>
              <w:pStyle w:val="TAH"/>
            </w:pPr>
          </w:p>
        </w:tc>
        <w:tc>
          <w:tcPr>
            <w:tcW w:w="1119" w:type="dxa"/>
            <w:tcBorders>
              <w:left w:val="single" w:sz="4" w:space="0" w:color="auto"/>
              <w:bottom w:val="single" w:sz="4" w:space="0" w:color="auto"/>
              <w:right w:val="single" w:sz="4" w:space="0" w:color="auto"/>
            </w:tcBorders>
            <w:vAlign w:val="center"/>
          </w:tcPr>
          <w:p w14:paraId="49075705" w14:textId="77777777" w:rsidR="001F5A79" w:rsidRPr="009C5807" w:rsidRDefault="001F5A79" w:rsidP="00DC28F6">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A22AD7" w14:textId="77777777" w:rsidR="001F5A79" w:rsidRPr="009C5807" w:rsidRDefault="001F5A79" w:rsidP="00DC28F6">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D5253A6" w14:textId="77777777" w:rsidR="001F5A79" w:rsidRPr="009C5807" w:rsidRDefault="001F5A79" w:rsidP="00DC28F6">
            <w:pPr>
              <w:pStyle w:val="TAH"/>
            </w:pPr>
            <w:r w:rsidRPr="009C5807">
              <w:t>Maximum Io</w:t>
            </w:r>
          </w:p>
        </w:tc>
      </w:tr>
      <w:tr w:rsidR="001F5A79" w:rsidRPr="009C5807" w14:paraId="3EFAE1EF" w14:textId="77777777" w:rsidTr="00485F6E">
        <w:trPr>
          <w:jc w:val="center"/>
        </w:trPr>
        <w:tc>
          <w:tcPr>
            <w:tcW w:w="1122" w:type="dxa"/>
            <w:tcBorders>
              <w:top w:val="single" w:sz="4" w:space="0" w:color="auto"/>
              <w:left w:val="single" w:sz="4" w:space="0" w:color="auto"/>
              <w:right w:val="single" w:sz="4" w:space="0" w:color="auto"/>
            </w:tcBorders>
            <w:shd w:val="clear" w:color="auto" w:fill="auto"/>
          </w:tcPr>
          <w:p w14:paraId="45E67852" w14:textId="77777777" w:rsidR="001F5A79" w:rsidRPr="009C5807" w:rsidRDefault="001F5A79" w:rsidP="00485F6E">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35A2AE97" w14:textId="77777777" w:rsidR="001F5A79" w:rsidRPr="009C5807" w:rsidRDefault="001F5A79" w:rsidP="00485F6E">
            <w:pPr>
              <w:pStyle w:val="TAH"/>
            </w:pPr>
            <w:r w:rsidRPr="009C5807">
              <w:t>dB</w:t>
            </w:r>
          </w:p>
        </w:tc>
        <w:tc>
          <w:tcPr>
            <w:tcW w:w="1119" w:type="dxa"/>
            <w:tcBorders>
              <w:top w:val="single" w:sz="4" w:space="0" w:color="auto"/>
              <w:left w:val="single" w:sz="4" w:space="0" w:color="auto"/>
              <w:right w:val="single" w:sz="4" w:space="0" w:color="auto"/>
            </w:tcBorders>
          </w:tcPr>
          <w:p w14:paraId="3D10B7AA" w14:textId="77777777" w:rsidR="001F5A79" w:rsidRPr="009C5807" w:rsidRDefault="001F5A79" w:rsidP="00485F6E">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4562C24F" w14:textId="77777777" w:rsidR="001F5A79" w:rsidRPr="009C5807" w:rsidRDefault="001F5A79" w:rsidP="00485F6E">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78C52A76" w14:textId="77777777" w:rsidR="001F5A79" w:rsidRPr="009C5807" w:rsidRDefault="001F5A79" w:rsidP="00485F6E">
            <w:pPr>
              <w:pStyle w:val="TAH"/>
            </w:pPr>
            <w:r w:rsidRPr="009C5807">
              <w:t>dBm/BW</w:t>
            </w:r>
            <w:r w:rsidRPr="009C5807">
              <w:rPr>
                <w:vertAlign w:val="subscript"/>
              </w:rPr>
              <w:t>Channel</w:t>
            </w:r>
          </w:p>
        </w:tc>
      </w:tr>
      <w:tr w:rsidR="001F5A79" w:rsidRPr="009C5807" w14:paraId="7D2DA359" w14:textId="77777777" w:rsidTr="00485F6E">
        <w:trPr>
          <w:jc w:val="center"/>
        </w:trPr>
        <w:tc>
          <w:tcPr>
            <w:tcW w:w="1122" w:type="dxa"/>
            <w:tcBorders>
              <w:left w:val="single" w:sz="4" w:space="0" w:color="auto"/>
              <w:bottom w:val="single" w:sz="4" w:space="0" w:color="auto"/>
              <w:right w:val="single" w:sz="4" w:space="0" w:color="auto"/>
            </w:tcBorders>
            <w:shd w:val="clear" w:color="auto" w:fill="auto"/>
          </w:tcPr>
          <w:p w14:paraId="39BA6B69"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shd w:val="clear" w:color="auto" w:fill="auto"/>
          </w:tcPr>
          <w:p w14:paraId="3FB76FF7"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tcPr>
          <w:p w14:paraId="7B4F21E1" w14:textId="77777777" w:rsidR="001F5A79" w:rsidRPr="009C5807" w:rsidRDefault="001F5A79" w:rsidP="00485F6E">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25D3BC10" w14:textId="77777777" w:rsidR="001F5A79" w:rsidRPr="009C5807" w:rsidRDefault="001F5A79" w:rsidP="00485F6E">
            <w:pPr>
              <w:pStyle w:val="TAH"/>
            </w:pPr>
            <w:r w:rsidRPr="009C5807">
              <w:t>SCS</w:t>
            </w:r>
            <w:r w:rsidRPr="009C5807">
              <w:rPr>
                <w:vertAlign w:val="subscript"/>
              </w:rPr>
              <w:t>SSB</w:t>
            </w:r>
            <w:r w:rsidRPr="009C5807">
              <w:rPr>
                <w:rFonts w:cs="Arial"/>
              </w:rPr>
              <w:t xml:space="preserve"> = 120kHz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46E26716" w14:textId="77777777" w:rsidR="001F5A79" w:rsidRPr="009C5807" w:rsidRDefault="001F5A79" w:rsidP="00485F6E">
            <w:pPr>
              <w:pStyle w:val="TAH"/>
            </w:pPr>
            <w:r w:rsidRPr="009C5807">
              <w:t>SCS</w:t>
            </w:r>
            <w:r w:rsidRPr="009C5807">
              <w:rPr>
                <w:vertAlign w:val="subscript"/>
              </w:rPr>
              <w:t>SSB</w:t>
            </w:r>
            <w:r w:rsidRPr="009C5807">
              <w:rPr>
                <w:rFonts w:cs="Arial"/>
              </w:rPr>
              <w:t xml:space="preserve"> = 240kHz</w:t>
            </w:r>
          </w:p>
        </w:tc>
        <w:tc>
          <w:tcPr>
            <w:tcW w:w="2268" w:type="dxa"/>
            <w:tcBorders>
              <w:left w:val="single" w:sz="4" w:space="0" w:color="auto"/>
              <w:bottom w:val="single" w:sz="4" w:space="0" w:color="auto"/>
              <w:right w:val="single" w:sz="4" w:space="0" w:color="auto"/>
            </w:tcBorders>
            <w:shd w:val="clear" w:color="auto" w:fill="auto"/>
          </w:tcPr>
          <w:p w14:paraId="76999673" w14:textId="77777777" w:rsidR="001F5A79" w:rsidRPr="009C5807" w:rsidRDefault="001F5A79" w:rsidP="00485F6E">
            <w:pPr>
              <w:pStyle w:val="TAH"/>
            </w:pPr>
          </w:p>
        </w:tc>
      </w:tr>
      <w:tr w:rsidR="001F5A79" w:rsidRPr="009C5807" w14:paraId="4C598D63"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5AE08AFC" w14:textId="77777777" w:rsidR="001F5A79" w:rsidRPr="009C5807" w:rsidRDefault="001F5A79" w:rsidP="00485F6E">
            <w:pPr>
              <w:pStyle w:val="TAC"/>
            </w:pPr>
            <w:r w:rsidRPr="009C5807">
              <w:sym w:font="Symbol" w:char="F0B1"/>
            </w:r>
            <w:r w:rsidRPr="009C5807">
              <w:t>3</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7340D6E9" w14:textId="77777777" w:rsidR="001F5A79" w:rsidRPr="009C5807" w:rsidRDefault="001F5A79"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1981A208" w14:textId="77777777" w:rsidR="001F5A79" w:rsidRPr="009C5807" w:rsidRDefault="001F5A79" w:rsidP="00485F6E">
            <w:pPr>
              <w:pStyle w:val="TAC"/>
            </w:pPr>
            <w:r w:rsidRPr="009C5807">
              <w:rPr>
                <w:rFonts w:eastAsia="Yu Mincho" w:cs="Arial"/>
                <w:lang w:eastAsia="ja-JP"/>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1D31CA46" w14:textId="77777777" w:rsidR="001F5A79" w:rsidRPr="009C5807" w:rsidRDefault="001F5A79" w:rsidP="00485F6E">
            <w:pPr>
              <w:pStyle w:val="TAC"/>
              <w:rPr>
                <w:rFonts w:eastAsia="Yu Mincho"/>
                <w:lang w:eastAsia="ja-JP"/>
              </w:rPr>
            </w:pPr>
            <w:r w:rsidRPr="009C5807">
              <w:t>Same value as SSB_RP in Table B.2.2-2,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1A29B034" w14:textId="77777777" w:rsidR="001F5A79" w:rsidRPr="009C5807" w:rsidRDefault="001F5A79" w:rsidP="00485F6E">
            <w:pPr>
              <w:pStyle w:val="TAC"/>
            </w:pPr>
            <w:r w:rsidRPr="009C5807">
              <w:t>-50</w:t>
            </w:r>
          </w:p>
        </w:tc>
      </w:tr>
      <w:tr w:rsidR="001F5A79" w:rsidRPr="009C5807" w14:paraId="149FEF60"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291E848" w14:textId="77777777" w:rsidR="001F5A79" w:rsidRPr="009C5807" w:rsidRDefault="001F5A79"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5288D96A" w14:textId="77777777" w:rsidR="001F5A79" w:rsidRPr="009C5807" w:rsidRDefault="001F5A79"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67098761" w14:textId="77777777" w:rsidR="001F5A79" w:rsidRPr="009C5807" w:rsidRDefault="001F5A79" w:rsidP="00485F6E">
            <w:pPr>
              <w:pStyle w:val="TAC"/>
            </w:pPr>
            <w:r w:rsidRPr="009C5807">
              <w:rPr>
                <w:rFonts w:eastAsia="Yu Mincho" w:cs="Arial"/>
                <w:lang w:eastAsia="ja-JP"/>
              </w:rPr>
              <w:t>≥-4</w:t>
            </w:r>
          </w:p>
        </w:tc>
        <w:tc>
          <w:tcPr>
            <w:tcW w:w="3161" w:type="dxa"/>
            <w:gridSpan w:val="2"/>
            <w:tcBorders>
              <w:left w:val="single" w:sz="4" w:space="0" w:color="auto"/>
              <w:bottom w:val="single" w:sz="4" w:space="0" w:color="auto"/>
              <w:right w:val="single" w:sz="4" w:space="0" w:color="auto"/>
            </w:tcBorders>
            <w:shd w:val="clear" w:color="auto" w:fill="auto"/>
          </w:tcPr>
          <w:p w14:paraId="739B8634" w14:textId="77777777" w:rsidR="001F5A79" w:rsidRPr="009C5807" w:rsidRDefault="001F5A79" w:rsidP="00485F6E">
            <w:pPr>
              <w:pStyle w:val="TAC"/>
            </w:pPr>
          </w:p>
        </w:tc>
        <w:tc>
          <w:tcPr>
            <w:tcW w:w="2268" w:type="dxa"/>
            <w:tcBorders>
              <w:left w:val="single" w:sz="4" w:space="0" w:color="auto"/>
              <w:bottom w:val="single" w:sz="4" w:space="0" w:color="auto"/>
              <w:right w:val="single" w:sz="4" w:space="0" w:color="auto"/>
            </w:tcBorders>
            <w:shd w:val="clear" w:color="auto" w:fill="auto"/>
          </w:tcPr>
          <w:p w14:paraId="30785D4C" w14:textId="77777777" w:rsidR="001F5A79" w:rsidRPr="009C5807" w:rsidRDefault="001F5A79" w:rsidP="00485F6E">
            <w:pPr>
              <w:pStyle w:val="TAC"/>
            </w:pPr>
          </w:p>
        </w:tc>
      </w:tr>
      <w:tr w:rsidR="001F5A79" w:rsidRPr="009C5807" w14:paraId="745FE25C" w14:textId="77777777" w:rsidTr="00DF3064">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6AEE348" w14:textId="77777777" w:rsidR="001F5A79" w:rsidRPr="009C5807" w:rsidRDefault="001F5A79" w:rsidP="00DC28F6">
            <w:pPr>
              <w:pStyle w:val="TAN"/>
            </w:pPr>
            <w:r w:rsidRPr="009C5807">
              <w:t>Note 1:</w:t>
            </w:r>
            <w:r w:rsidRPr="009C5807">
              <w:tab/>
              <w:t>Values based on Refsens and EIS spherical coverage as defined in clauses 7.3.2 and 7.3.4 of TS 38.101-2 [19]. Applicable side condition selected depending on angle of arrival.</w:t>
            </w:r>
          </w:p>
          <w:p w14:paraId="0E521DD9" w14:textId="77777777" w:rsidR="001F5A79" w:rsidRPr="009C5807" w:rsidRDefault="001F5A79" w:rsidP="00DC28F6">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7F4FB564" w14:textId="77777777" w:rsidR="001F5A79" w:rsidRPr="009C5807" w:rsidRDefault="001F5A79" w:rsidP="00DC28F6">
            <w:pPr>
              <w:pStyle w:val="TAN"/>
            </w:pPr>
            <w:r w:rsidRPr="009C5807">
              <w:t>Note 3:</w:t>
            </w:r>
            <w:r w:rsidRPr="009C5807">
              <w:tab/>
            </w:r>
            <w:r w:rsidRPr="009C5807">
              <w:rPr>
                <w:lang w:eastAsia="zh-CN"/>
              </w:rPr>
              <w:t xml:space="preserve">The parameter SSB </w:t>
            </w:r>
            <w:r w:rsidRPr="009C5807">
              <w:t>Ês/Iot</w:t>
            </w:r>
            <w:r w:rsidRPr="009C5807">
              <w:rPr>
                <w:lang w:eastAsia="zh-CN"/>
              </w:rPr>
              <w:t xml:space="preserve"> is the minimum SSB </w:t>
            </w:r>
            <w:r w:rsidRPr="009C5807">
              <w:t>Ês/Iot</w:t>
            </w:r>
            <w:r w:rsidRPr="009C5807">
              <w:rPr>
                <w:lang w:eastAsia="zh-CN"/>
              </w:rPr>
              <w:t xml:space="preserve"> of the pair of cells to which the requirement applies</w:t>
            </w:r>
            <w:r w:rsidRPr="009C5807">
              <w:t>.</w:t>
            </w:r>
          </w:p>
          <w:p w14:paraId="2FEEB9EF" w14:textId="77777777" w:rsidR="001F5A79" w:rsidRPr="009C5807" w:rsidRDefault="001F5A79" w:rsidP="00DC28F6">
            <w:pPr>
              <w:pStyle w:val="TAN"/>
            </w:pPr>
            <w:r w:rsidRPr="009C5807">
              <w:t>Note 4:</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1D7BC9C7" w14:textId="77777777" w:rsidR="001F5A79" w:rsidRPr="009C5807" w:rsidRDefault="001F5A79" w:rsidP="001F5A79"/>
    <w:p w14:paraId="66547667" w14:textId="77777777" w:rsidR="008935F7" w:rsidRDefault="008935F7" w:rsidP="008935F7">
      <w:pPr>
        <w:pStyle w:val="Heading4"/>
        <w:rPr>
          <w:lang w:val="en-US"/>
        </w:rPr>
      </w:pPr>
      <w:r>
        <w:rPr>
          <w:lang w:val="en-US"/>
        </w:rPr>
        <w:t>10.1.10.2</w:t>
      </w:r>
      <w:r>
        <w:rPr>
          <w:lang w:val="en-US"/>
        </w:rPr>
        <w:tab/>
        <w:t>Int</w:t>
      </w:r>
      <w:r>
        <w:rPr>
          <w:rFonts w:hint="eastAsia"/>
          <w:lang w:val="en-US" w:eastAsia="zh-CN"/>
        </w:rPr>
        <w:t>er</w:t>
      </w:r>
      <w:r>
        <w:rPr>
          <w:lang w:val="en-US"/>
        </w:rPr>
        <w:t>-frequency CSI-RSRQ accuracy requirements</w:t>
      </w:r>
    </w:p>
    <w:p w14:paraId="514F28FB" w14:textId="77777777" w:rsidR="008935F7" w:rsidRDefault="008935F7" w:rsidP="008935F7">
      <w:pPr>
        <w:pStyle w:val="Heading5"/>
      </w:pPr>
      <w:r>
        <w:t>10.1.10.2.1</w:t>
      </w:r>
      <w:r>
        <w:tab/>
        <w:t xml:space="preserve">Absolute </w:t>
      </w:r>
      <w:r>
        <w:rPr>
          <w:lang w:val="en-US"/>
        </w:rPr>
        <w:t xml:space="preserve">CSI-RSRQ </w:t>
      </w:r>
      <w:r>
        <w:t>Accuracy</w:t>
      </w:r>
    </w:p>
    <w:p w14:paraId="64E3FDAC" w14:textId="77777777" w:rsidR="008935F7" w:rsidRDefault="008935F7" w:rsidP="008935F7">
      <w:pPr>
        <w:rPr>
          <w:rFonts w:cs="v4.2.0"/>
          <w:i/>
        </w:rPr>
      </w:pPr>
      <w:r>
        <w:rPr>
          <w:rFonts w:cs="v4.2.0"/>
        </w:rPr>
        <w:t xml:space="preserve">Unless otherwise specified, the requirements for absolute accuracy of </w:t>
      </w:r>
      <w:r>
        <w:rPr>
          <w:rFonts w:cs="v4.2.0"/>
          <w:lang w:eastAsia="zh-CN"/>
        </w:rPr>
        <w:t>CSI-RSRQ</w:t>
      </w:r>
      <w:r>
        <w:rPr>
          <w:rFonts w:cs="v4.2.0"/>
        </w:rPr>
        <w:t xml:space="preserve"> in this clause apply </w:t>
      </w:r>
      <w:r w:rsidRPr="00455BD2">
        <w:rPr>
          <w:rFonts w:cs="v4.2.0"/>
        </w:rPr>
        <w:t>the inter-frequency measurement defined in 9.10.3.1 in FR</w:t>
      </w:r>
      <w:r>
        <w:rPr>
          <w:rFonts w:cs="v4.2.0" w:hint="eastAsia"/>
          <w:lang w:eastAsia="zh-CN"/>
        </w:rPr>
        <w:t>2</w:t>
      </w:r>
      <w:r>
        <w:rPr>
          <w:rFonts w:cs="v4.2.0"/>
        </w:rPr>
        <w:t>.</w:t>
      </w:r>
    </w:p>
    <w:p w14:paraId="19879D2F" w14:textId="77777777" w:rsidR="008935F7" w:rsidRDefault="008935F7" w:rsidP="008935F7">
      <w:pPr>
        <w:rPr>
          <w:rFonts w:cs="v4.2.0"/>
        </w:rPr>
      </w:pPr>
      <w:r>
        <w:rPr>
          <w:rFonts w:cs="v4.2.0"/>
        </w:rPr>
        <w:t xml:space="preserve">The accuracy requirements in Table </w:t>
      </w:r>
      <w:r>
        <w:rPr>
          <w:rFonts w:cs="v4.2.0"/>
          <w:lang w:eastAsia="zh-CN"/>
        </w:rPr>
        <w:t>10.1.10.2.1</w:t>
      </w:r>
      <w:r>
        <w:rPr>
          <w:rFonts w:cs="v4.2.0"/>
        </w:rPr>
        <w:t>-1 are valid under the following conditions:</w:t>
      </w:r>
    </w:p>
    <w:p w14:paraId="02A5C48F" w14:textId="77777777" w:rsidR="008935F7" w:rsidRPr="00B25D3D" w:rsidRDefault="008935F7" w:rsidP="008935F7">
      <w:pPr>
        <w:pStyle w:val="B10"/>
        <w:rPr>
          <w:rFonts w:cs="v4.2.0"/>
        </w:rPr>
      </w:pPr>
      <w:r>
        <w:t>-</w:t>
      </w:r>
      <w:r>
        <w:tab/>
      </w:r>
      <w:r w:rsidRPr="00B25D3D">
        <w:t>Conditions defined in clause 7.3 of TS 38.101-</w:t>
      </w:r>
      <w:r>
        <w:rPr>
          <w:rFonts w:hint="eastAsia"/>
          <w:lang w:eastAsia="zh-CN"/>
        </w:rPr>
        <w:t>2</w:t>
      </w:r>
      <w:r w:rsidRPr="00B25D3D">
        <w:t xml:space="preserve"> [1</w:t>
      </w:r>
      <w:r>
        <w:rPr>
          <w:rFonts w:hint="eastAsia"/>
          <w:lang w:eastAsia="zh-CN"/>
        </w:rPr>
        <w:t>9</w:t>
      </w:r>
      <w:r w:rsidRPr="00B25D3D">
        <w:t>] for reference sensitivity are fulfilled.</w:t>
      </w:r>
    </w:p>
    <w:p w14:paraId="2C724312" w14:textId="77777777" w:rsidR="008935F7" w:rsidRDefault="008935F7" w:rsidP="008935F7">
      <w:pPr>
        <w:pStyle w:val="B10"/>
        <w:rPr>
          <w:lang w:eastAsia="zh-CN"/>
        </w:rPr>
      </w:pPr>
      <w:r w:rsidRPr="00B25D3D">
        <w:t>-</w:t>
      </w:r>
      <w:r w:rsidRPr="00B25D3D">
        <w:tab/>
        <w:t>C</w:t>
      </w:r>
      <w:r>
        <w:t>onditions for int</w:t>
      </w:r>
      <w:r>
        <w:rPr>
          <w:rFonts w:hint="eastAsia"/>
          <w:lang w:eastAsia="zh-CN"/>
        </w:rPr>
        <w:t>er</w:t>
      </w:r>
      <w:r w:rsidRPr="00B25D3D">
        <w:t>-frequency measurements are fulfilled according to Annex B.2.</w:t>
      </w:r>
      <w:r>
        <w:rPr>
          <w:rFonts w:hint="eastAsia"/>
          <w:lang w:eastAsia="zh-CN"/>
        </w:rPr>
        <w:t>3</w:t>
      </w:r>
      <w:r w:rsidRPr="00B25D3D">
        <w:t xml:space="preserve"> for a corresponding Band </w:t>
      </w:r>
      <w:r w:rsidRPr="00B25D3D">
        <w:rPr>
          <w:rFonts w:cs="v4.2.0"/>
          <w:lang w:eastAsia="ko-KR"/>
        </w:rPr>
        <w:t xml:space="preserve">for </w:t>
      </w:r>
      <w:r>
        <w:rPr>
          <w:rFonts w:cs="v4.2.0"/>
          <w:lang w:eastAsia="ko-KR"/>
        </w:rPr>
        <w:t>associated SSB</w:t>
      </w:r>
      <w:r w:rsidRPr="00B25D3D">
        <w:t>.</w:t>
      </w:r>
    </w:p>
    <w:p w14:paraId="3683C7F5" w14:textId="77777777" w:rsidR="008935F7" w:rsidRPr="000D22F0" w:rsidRDefault="008935F7" w:rsidP="008935F7">
      <w:pPr>
        <w:pStyle w:val="B10"/>
        <w:rPr>
          <w:lang w:eastAsia="zh-CN"/>
        </w:rPr>
      </w:pPr>
      <w:r w:rsidRPr="00B25D3D">
        <w:t>-</w:t>
      </w:r>
      <w:r w:rsidRPr="00B25D3D">
        <w:tab/>
        <w:t>Conditions for int</w:t>
      </w:r>
      <w:r>
        <w:rPr>
          <w:rFonts w:hint="eastAsia"/>
          <w:lang w:eastAsia="zh-CN"/>
        </w:rPr>
        <w:t>er</w:t>
      </w:r>
      <w:r w:rsidRPr="00B25D3D">
        <w:t>-frequency measurements are fulfilled according to Annex B.2.</w:t>
      </w:r>
      <w:r>
        <w:rPr>
          <w:rFonts w:hint="eastAsia"/>
          <w:lang w:eastAsia="zh-CN"/>
        </w:rPr>
        <w:t>9</w:t>
      </w:r>
      <w:r w:rsidRPr="00B25D3D">
        <w:t xml:space="preserve"> for a corresponding Band </w:t>
      </w:r>
      <w:r w:rsidRPr="00B25D3D">
        <w:rPr>
          <w:rFonts w:cs="v4.2.0"/>
          <w:lang w:eastAsia="ko-KR"/>
        </w:rPr>
        <w:t xml:space="preserve">for </w:t>
      </w:r>
      <w:r>
        <w:rPr>
          <w:rFonts w:cs="v4.2.0" w:hint="eastAsia"/>
          <w:lang w:eastAsia="zh-CN"/>
        </w:rPr>
        <w:t>each relevant CSI-RS</w:t>
      </w:r>
      <w:r w:rsidRPr="00B25D3D">
        <w:t>.</w:t>
      </w:r>
    </w:p>
    <w:p w14:paraId="789AD83E" w14:textId="1EC22187" w:rsidR="008935F7" w:rsidRDefault="008935F7" w:rsidP="008935F7">
      <w:pPr>
        <w:pStyle w:val="B10"/>
        <w:rPr>
          <w:lang w:eastAsia="zh-CN"/>
        </w:rPr>
      </w:pPr>
      <w:r>
        <w:rPr>
          <w:lang w:eastAsia="zh-CN"/>
        </w:rPr>
        <w:t>-</w:t>
      </w:r>
      <w:r>
        <w:rPr>
          <w:lang w:eastAsia="zh-CN"/>
        </w:rPr>
        <w:tab/>
        <w:t>The bandwidth of CSI-RS is 48 PRBs and the density is 3.</w:t>
      </w:r>
    </w:p>
    <w:p w14:paraId="6766C559" w14:textId="77777777" w:rsidR="008935F7" w:rsidRPr="00960D22" w:rsidRDefault="008935F7" w:rsidP="00F37389">
      <w:pPr>
        <w:pStyle w:val="B10"/>
        <w:ind w:leftChars="342" w:left="968"/>
        <w:rPr>
          <w:lang w:eastAsia="zh-CN"/>
        </w:rPr>
      </w:pPr>
      <w:r>
        <w:rPr>
          <w:rFonts w:hint="eastAsia"/>
          <w:lang w:eastAsia="zh-CN"/>
        </w:rPr>
        <w:t>•</w:t>
      </w:r>
      <w:r>
        <w:rPr>
          <w:lang w:eastAsia="zh-CN"/>
        </w:rPr>
        <w:tab/>
        <w:t xml:space="preserve">The performance with larger bandwidth of CSI-RS is equal to or better than the accuracy requirements in Table </w:t>
      </w:r>
      <w:r>
        <w:rPr>
          <w:rFonts w:cs="v4.2.0"/>
          <w:lang w:eastAsia="zh-CN"/>
        </w:rPr>
        <w:t>10.1.10.2.1</w:t>
      </w:r>
      <w:r>
        <w:rPr>
          <w:rFonts w:cs="v4.2.0"/>
        </w:rPr>
        <w:t>-1</w:t>
      </w:r>
      <w:r>
        <w:rPr>
          <w:lang w:eastAsia="zh-CN"/>
        </w:rPr>
        <w:t>.</w:t>
      </w:r>
    </w:p>
    <w:p w14:paraId="6CADC6DD" w14:textId="733A99A6" w:rsidR="008935F7" w:rsidRDefault="008935F7" w:rsidP="008935F7">
      <w:pPr>
        <w:pStyle w:val="B10"/>
        <w:rPr>
          <w:lang w:eastAsia="zh-CN"/>
        </w:rPr>
      </w:pPr>
      <w:r>
        <w:rPr>
          <w:rFonts w:hint="eastAsia"/>
          <w:lang w:eastAsia="zh-CN"/>
        </w:rPr>
        <w:t>-</w:t>
      </w:r>
      <w:r>
        <w:tab/>
      </w:r>
      <w:r>
        <w:rPr>
          <w:rFonts w:hint="eastAsia"/>
          <w:lang w:eastAsia="zh-CN"/>
        </w:rPr>
        <w:t>T</w:t>
      </w:r>
      <w:r w:rsidRPr="00952C56">
        <w:rPr>
          <w:lang w:eastAsia="zh-CN"/>
        </w:rPr>
        <w:t xml:space="preserve">he timing offset between the reference measurement timing and the target CSI-RS in one layer is </w:t>
      </w:r>
      <w:r>
        <w:rPr>
          <w:lang w:eastAsia="zh-CN"/>
        </w:rPr>
        <w:t>no larger than</w:t>
      </w:r>
      <w:r>
        <w:rPr>
          <w:rFonts w:hint="eastAsia"/>
          <w:lang w:eastAsia="zh-CN"/>
        </w:rPr>
        <w:t xml:space="preserve"> </w:t>
      </w:r>
      <w:r>
        <w:rPr>
          <w:lang w:eastAsia="zh-CN"/>
        </w:rPr>
        <w:t>CP</w:t>
      </w:r>
      <w:r>
        <w:rPr>
          <w:rFonts w:hint="eastAsia"/>
          <w:lang w:eastAsia="zh-CN"/>
        </w:rPr>
        <w:t xml:space="preserve">. </w:t>
      </w:r>
    </w:p>
    <w:p w14:paraId="2A257895" w14:textId="5A7F6A5C" w:rsidR="008935F7" w:rsidRPr="00E63349" w:rsidRDefault="008935F7" w:rsidP="00AB368A">
      <w:pPr>
        <w:pStyle w:val="NO"/>
        <w:rPr>
          <w:lang w:eastAsia="zh-CN"/>
        </w:rPr>
      </w:pPr>
      <w:r w:rsidRPr="001D14D7">
        <w:rPr>
          <w:lang w:eastAsia="zh-CN"/>
        </w:rPr>
        <w:t xml:space="preserve">Note: </w:t>
      </w:r>
      <w:r w:rsidR="00AB368A">
        <w:rPr>
          <w:lang w:eastAsia="zh-CN"/>
        </w:rPr>
        <w:tab/>
      </w:r>
      <w:r w:rsidRPr="001D14D7">
        <w:rPr>
          <w:lang w:eastAsia="zh-CN"/>
        </w:rPr>
        <w:t xml:space="preserve">The reference measurement timing for one layer for inter-frequency measurement is </w:t>
      </w:r>
      <w:r w:rsidRPr="001D14D7">
        <w:rPr>
          <w:rFonts w:hint="eastAsia"/>
          <w:lang w:eastAsia="zh-CN"/>
        </w:rPr>
        <w:t>u</w:t>
      </w:r>
      <w:r w:rsidRPr="001D14D7">
        <w:rPr>
          <w:lang w:eastAsia="zh-CN"/>
        </w:rPr>
        <w:t>p to UE implementation and shall be based on the timing of one of the target cells.</w:t>
      </w:r>
    </w:p>
    <w:p w14:paraId="766DF09C" w14:textId="77777777" w:rsidR="008935F7" w:rsidRDefault="008935F7" w:rsidP="008935F7">
      <w:pPr>
        <w:pStyle w:val="TH"/>
        <w:rPr>
          <w:lang w:eastAsia="zh-CN"/>
        </w:rPr>
      </w:pPr>
      <w:r>
        <w:t>Table 10.1.10.2.1-1: CSI-RSRQ Int</w:t>
      </w:r>
      <w:r>
        <w:rPr>
          <w:rFonts w:hint="eastAsia"/>
          <w:lang w:eastAsia="zh-CN"/>
        </w:rPr>
        <w:t>er</w:t>
      </w:r>
      <w:r>
        <w:t xml:space="preserve"> frequency absolute accuracy in FR</w:t>
      </w:r>
      <w:r>
        <w:rPr>
          <w:rFonts w:hint="eastAsia"/>
          <w:lang w:eastAsia="zh-CN"/>
        </w:rPr>
        <w:t>2</w:t>
      </w:r>
    </w:p>
    <w:tbl>
      <w:tblPr>
        <w:tblW w:w="8789" w:type="dxa"/>
        <w:jc w:val="center"/>
        <w:tblLook w:val="01E0" w:firstRow="1" w:lastRow="1" w:firstColumn="1" w:lastColumn="1" w:noHBand="0" w:noVBand="0"/>
      </w:tblPr>
      <w:tblGrid>
        <w:gridCol w:w="1122"/>
        <w:gridCol w:w="1119"/>
        <w:gridCol w:w="1119"/>
        <w:gridCol w:w="1580"/>
        <w:gridCol w:w="1581"/>
        <w:gridCol w:w="2268"/>
      </w:tblGrid>
      <w:tr w:rsidR="008935F7" w:rsidRPr="009C5807" w14:paraId="79083FF6" w14:textId="77777777" w:rsidTr="008935F7">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B47B71" w14:textId="77777777" w:rsidR="008935F7" w:rsidRPr="009C5807" w:rsidRDefault="008935F7" w:rsidP="008935F7">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10F0981D" w14:textId="77777777" w:rsidR="008935F7" w:rsidRPr="009C5807" w:rsidRDefault="008935F7" w:rsidP="008935F7">
            <w:pPr>
              <w:pStyle w:val="TAH"/>
            </w:pPr>
            <w:r w:rsidRPr="009C5807">
              <w:t>Conditions</w:t>
            </w:r>
          </w:p>
        </w:tc>
      </w:tr>
      <w:tr w:rsidR="008935F7" w:rsidRPr="009C5807" w14:paraId="336D19D7" w14:textId="77777777" w:rsidTr="008935F7">
        <w:trPr>
          <w:jc w:val="center"/>
        </w:trPr>
        <w:tc>
          <w:tcPr>
            <w:tcW w:w="1122" w:type="dxa"/>
            <w:tcBorders>
              <w:top w:val="single" w:sz="4" w:space="0" w:color="auto"/>
              <w:left w:val="single" w:sz="4" w:space="0" w:color="auto"/>
              <w:right w:val="single" w:sz="4" w:space="0" w:color="auto"/>
            </w:tcBorders>
            <w:shd w:val="clear" w:color="auto" w:fill="auto"/>
            <w:vAlign w:val="center"/>
          </w:tcPr>
          <w:p w14:paraId="4C8ABFBF" w14:textId="77777777" w:rsidR="008935F7" w:rsidRPr="009C5807" w:rsidRDefault="008935F7" w:rsidP="008935F7">
            <w:pPr>
              <w:pStyle w:val="TAH"/>
            </w:pPr>
            <w:r w:rsidRPr="009C5807">
              <w:t>Normal condition</w:t>
            </w:r>
          </w:p>
        </w:tc>
        <w:tc>
          <w:tcPr>
            <w:tcW w:w="1119" w:type="dxa"/>
            <w:tcBorders>
              <w:top w:val="single" w:sz="4" w:space="0" w:color="auto"/>
              <w:left w:val="single" w:sz="4" w:space="0" w:color="auto"/>
              <w:right w:val="single" w:sz="4" w:space="0" w:color="auto"/>
            </w:tcBorders>
            <w:shd w:val="clear" w:color="auto" w:fill="auto"/>
            <w:vAlign w:val="center"/>
          </w:tcPr>
          <w:p w14:paraId="01EAD423" w14:textId="77777777" w:rsidR="008935F7" w:rsidRPr="009C5807" w:rsidRDefault="008935F7" w:rsidP="008935F7">
            <w:pPr>
              <w:pStyle w:val="TAH"/>
            </w:pPr>
            <w:r w:rsidRPr="009C5807">
              <w:t>Extreme condition</w:t>
            </w:r>
          </w:p>
        </w:tc>
        <w:tc>
          <w:tcPr>
            <w:tcW w:w="1119" w:type="dxa"/>
            <w:tcBorders>
              <w:left w:val="single" w:sz="4" w:space="0" w:color="auto"/>
              <w:right w:val="single" w:sz="4" w:space="0" w:color="auto"/>
            </w:tcBorders>
          </w:tcPr>
          <w:p w14:paraId="28D8FCB6" w14:textId="77777777" w:rsidR="008935F7" w:rsidRPr="009C5807" w:rsidRDefault="008935F7" w:rsidP="008935F7">
            <w:pPr>
              <w:pStyle w:val="TAH"/>
            </w:pPr>
            <w:r>
              <w:rPr>
                <w:rFonts w:cs="Arial" w:hint="eastAsia"/>
                <w:lang w:eastAsia="zh-CN"/>
              </w:rPr>
              <w:t>CSI-RS</w:t>
            </w:r>
            <w:r w:rsidRPr="009C5807">
              <w:rPr>
                <w:rFonts w:cs="Arial"/>
              </w:rPr>
              <w:t xml:space="preserve">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639C3A" w14:textId="77777777" w:rsidR="008935F7" w:rsidRPr="009C5807" w:rsidRDefault="008935F7" w:rsidP="008935F7">
            <w:pPr>
              <w:pStyle w:val="TAH"/>
            </w:pPr>
            <w:r w:rsidRPr="009C5807">
              <w:t>Io</w:t>
            </w:r>
            <w:r w:rsidRPr="009C5807">
              <w:rPr>
                <w:vertAlign w:val="superscript"/>
              </w:rPr>
              <w:t xml:space="preserve"> Note 2</w:t>
            </w:r>
            <w:r w:rsidRPr="009C5807">
              <w:t xml:space="preserve"> range</w:t>
            </w:r>
          </w:p>
        </w:tc>
      </w:tr>
      <w:tr w:rsidR="008935F7" w:rsidRPr="009C5807" w14:paraId="1900C947" w14:textId="77777777" w:rsidTr="008935F7">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7B850C7E"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3A3D313D"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vAlign w:val="center"/>
          </w:tcPr>
          <w:p w14:paraId="5896C78D" w14:textId="77777777" w:rsidR="008935F7" w:rsidRPr="009C5807" w:rsidRDefault="008935F7" w:rsidP="008935F7">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72569F" w14:textId="77777777" w:rsidR="008935F7" w:rsidRPr="009C5807" w:rsidRDefault="008935F7" w:rsidP="008935F7">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C71E8E7" w14:textId="77777777" w:rsidR="008935F7" w:rsidRPr="009C5807" w:rsidRDefault="008935F7" w:rsidP="008935F7">
            <w:pPr>
              <w:pStyle w:val="TAH"/>
            </w:pPr>
            <w:r w:rsidRPr="009C5807">
              <w:t>Maximum Io</w:t>
            </w:r>
          </w:p>
        </w:tc>
      </w:tr>
      <w:tr w:rsidR="008935F7" w:rsidRPr="009C5807" w14:paraId="7FC8B5CE" w14:textId="77777777" w:rsidTr="008935F7">
        <w:trPr>
          <w:jc w:val="center"/>
        </w:trPr>
        <w:tc>
          <w:tcPr>
            <w:tcW w:w="1122" w:type="dxa"/>
            <w:tcBorders>
              <w:top w:val="single" w:sz="4" w:space="0" w:color="auto"/>
              <w:left w:val="single" w:sz="4" w:space="0" w:color="auto"/>
              <w:right w:val="single" w:sz="4" w:space="0" w:color="auto"/>
            </w:tcBorders>
            <w:shd w:val="clear" w:color="auto" w:fill="auto"/>
          </w:tcPr>
          <w:p w14:paraId="4E3656B9" w14:textId="77777777" w:rsidR="008935F7" w:rsidRPr="009C5807" w:rsidRDefault="008935F7" w:rsidP="008935F7">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15A9DE50" w14:textId="77777777" w:rsidR="008935F7" w:rsidRPr="009C5807" w:rsidRDefault="008935F7" w:rsidP="008935F7">
            <w:pPr>
              <w:pStyle w:val="TAH"/>
            </w:pPr>
            <w:r w:rsidRPr="009C5807">
              <w:t>dB</w:t>
            </w:r>
          </w:p>
        </w:tc>
        <w:tc>
          <w:tcPr>
            <w:tcW w:w="1119" w:type="dxa"/>
            <w:tcBorders>
              <w:top w:val="single" w:sz="4" w:space="0" w:color="auto"/>
              <w:left w:val="single" w:sz="4" w:space="0" w:color="auto"/>
              <w:right w:val="single" w:sz="4" w:space="0" w:color="auto"/>
            </w:tcBorders>
          </w:tcPr>
          <w:p w14:paraId="30C25424" w14:textId="77777777" w:rsidR="008935F7" w:rsidRPr="009C5807" w:rsidRDefault="008935F7" w:rsidP="008935F7">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2A22C1F2" w14:textId="77777777" w:rsidR="008935F7" w:rsidRPr="009C5807" w:rsidRDefault="008935F7" w:rsidP="008935F7">
            <w:pPr>
              <w:pStyle w:val="TAH"/>
            </w:pPr>
            <w:r w:rsidRPr="009C5807">
              <w:rPr>
                <w:rFonts w:cs="Arial"/>
              </w:rPr>
              <w:t xml:space="preserve">dBm / </w:t>
            </w:r>
            <w:r w:rsidRPr="009C5807">
              <w:t>SCS</w:t>
            </w:r>
            <w:r>
              <w:rPr>
                <w:rFonts w:hint="eastAsia"/>
                <w:vertAlign w:val="subscript"/>
                <w:lang w:eastAsia="zh-CN"/>
              </w:rPr>
              <w:t>CSI-RS</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127724BA" w14:textId="77777777" w:rsidR="008935F7" w:rsidRPr="009C5807" w:rsidRDefault="008935F7" w:rsidP="008935F7">
            <w:pPr>
              <w:pStyle w:val="TAH"/>
            </w:pPr>
            <w:r w:rsidRPr="009C5807">
              <w:t>dBm/BW</w:t>
            </w:r>
            <w:r w:rsidRPr="009C5807">
              <w:rPr>
                <w:vertAlign w:val="subscript"/>
              </w:rPr>
              <w:t>Channel</w:t>
            </w:r>
          </w:p>
        </w:tc>
      </w:tr>
      <w:tr w:rsidR="008935F7" w:rsidRPr="009C5807" w14:paraId="3E68EA26" w14:textId="77777777" w:rsidTr="008935F7">
        <w:trPr>
          <w:jc w:val="center"/>
        </w:trPr>
        <w:tc>
          <w:tcPr>
            <w:tcW w:w="1122" w:type="dxa"/>
            <w:tcBorders>
              <w:left w:val="single" w:sz="4" w:space="0" w:color="auto"/>
              <w:bottom w:val="single" w:sz="4" w:space="0" w:color="auto"/>
              <w:right w:val="single" w:sz="4" w:space="0" w:color="auto"/>
            </w:tcBorders>
            <w:shd w:val="clear" w:color="auto" w:fill="auto"/>
          </w:tcPr>
          <w:p w14:paraId="51F38F8E"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shd w:val="clear" w:color="auto" w:fill="auto"/>
          </w:tcPr>
          <w:p w14:paraId="07D70DD6"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tcPr>
          <w:p w14:paraId="603A76A6" w14:textId="77777777" w:rsidR="008935F7" w:rsidRPr="009C5807" w:rsidRDefault="008935F7" w:rsidP="008935F7">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3DE6A914" w14:textId="77777777" w:rsidR="008935F7" w:rsidRPr="009C5807" w:rsidRDefault="008935F7" w:rsidP="008935F7">
            <w:pPr>
              <w:pStyle w:val="TAH"/>
            </w:pPr>
            <w:r w:rsidRPr="009C5807">
              <w:t>SCS</w:t>
            </w:r>
            <w:r>
              <w:rPr>
                <w:rFonts w:hint="eastAsia"/>
                <w:vertAlign w:val="subscript"/>
                <w:lang w:eastAsia="zh-CN"/>
              </w:rPr>
              <w:t>CSI-RS</w:t>
            </w:r>
            <w:r w:rsidRPr="009C5807">
              <w:rPr>
                <w:rFonts w:cs="Arial"/>
              </w:rPr>
              <w:t xml:space="preserve"> = </w:t>
            </w:r>
            <w:r>
              <w:rPr>
                <w:rFonts w:cs="Arial" w:hint="eastAsia"/>
                <w:lang w:eastAsia="zh-CN"/>
              </w:rPr>
              <w:t>6</w:t>
            </w:r>
            <w:r w:rsidRPr="009C5807">
              <w:rPr>
                <w:rFonts w:cs="Arial"/>
              </w:rPr>
              <w:t>0kHz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54F137E2" w14:textId="77777777" w:rsidR="008935F7" w:rsidRPr="009C5807" w:rsidRDefault="008935F7" w:rsidP="008935F7">
            <w:pPr>
              <w:pStyle w:val="TAH"/>
            </w:pPr>
            <w:r w:rsidRPr="009C5807">
              <w:t>SCS</w:t>
            </w:r>
            <w:r>
              <w:rPr>
                <w:rFonts w:hint="eastAsia"/>
                <w:vertAlign w:val="subscript"/>
                <w:lang w:eastAsia="zh-CN"/>
              </w:rPr>
              <w:t>CSI-RS</w:t>
            </w:r>
            <w:r w:rsidRPr="009C5807">
              <w:rPr>
                <w:rFonts w:cs="Arial"/>
              </w:rPr>
              <w:t xml:space="preserve"> = </w:t>
            </w:r>
            <w:r>
              <w:rPr>
                <w:rFonts w:cs="Arial" w:hint="eastAsia"/>
                <w:lang w:eastAsia="zh-CN"/>
              </w:rPr>
              <w:t>12</w:t>
            </w:r>
            <w:r w:rsidRPr="009C5807">
              <w:rPr>
                <w:rFonts w:cs="Arial"/>
              </w:rPr>
              <w:t>0kHz</w:t>
            </w:r>
          </w:p>
        </w:tc>
        <w:tc>
          <w:tcPr>
            <w:tcW w:w="2268" w:type="dxa"/>
            <w:tcBorders>
              <w:left w:val="single" w:sz="4" w:space="0" w:color="auto"/>
              <w:bottom w:val="single" w:sz="4" w:space="0" w:color="auto"/>
              <w:right w:val="single" w:sz="4" w:space="0" w:color="auto"/>
            </w:tcBorders>
            <w:shd w:val="clear" w:color="auto" w:fill="auto"/>
          </w:tcPr>
          <w:p w14:paraId="44F9CE37" w14:textId="77777777" w:rsidR="008935F7" w:rsidRPr="009C5807" w:rsidRDefault="008935F7" w:rsidP="008935F7">
            <w:pPr>
              <w:pStyle w:val="TAH"/>
            </w:pPr>
          </w:p>
        </w:tc>
      </w:tr>
      <w:tr w:rsidR="008935F7" w:rsidRPr="009C5807" w14:paraId="5C6E1A2F" w14:textId="77777777" w:rsidTr="008935F7">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59EB894C" w14:textId="77777777" w:rsidR="008935F7" w:rsidRPr="009C5807" w:rsidRDefault="008935F7" w:rsidP="008935F7">
            <w:pPr>
              <w:pStyle w:val="TAC"/>
            </w:pPr>
            <w:r w:rsidRPr="009C5807">
              <w:sym w:font="Symbol" w:char="F0B1"/>
            </w:r>
            <w:r w:rsidRPr="009C5807">
              <w:t>2.5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3BFF0C1D" w14:textId="77777777" w:rsidR="008935F7" w:rsidRPr="009C5807" w:rsidRDefault="008935F7" w:rsidP="008935F7">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428096C4" w14:textId="77777777" w:rsidR="008935F7" w:rsidRPr="009C5807" w:rsidRDefault="008935F7" w:rsidP="008935F7">
            <w:pPr>
              <w:pStyle w:val="TAC"/>
            </w:pPr>
            <w:r w:rsidRPr="009C5807">
              <w:rPr>
                <w:rFonts w:eastAsia="Yu Mincho" w:cs="Arial"/>
                <w:lang w:eastAsia="ja-JP"/>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5A24BC10" w14:textId="77777777" w:rsidR="008935F7" w:rsidRPr="009C5807" w:rsidRDefault="008935F7" w:rsidP="008935F7">
            <w:pPr>
              <w:pStyle w:val="TAC"/>
              <w:rPr>
                <w:rFonts w:eastAsia="Yu Mincho"/>
                <w:lang w:eastAsia="ja-JP"/>
              </w:rPr>
            </w:pPr>
            <w:r w:rsidRPr="009C5807">
              <w:t xml:space="preserve">Same value as </w:t>
            </w:r>
            <w:r>
              <w:rPr>
                <w:rFonts w:hint="eastAsia"/>
                <w:lang w:eastAsia="zh-CN"/>
              </w:rPr>
              <w:t>CSI</w:t>
            </w:r>
            <w:r w:rsidRPr="009C5807">
              <w:t>_RP in Table B.2.</w:t>
            </w:r>
            <w:r>
              <w:rPr>
                <w:rFonts w:hint="eastAsia"/>
                <w:lang w:eastAsia="zh-CN"/>
              </w:rPr>
              <w:t>9</w:t>
            </w:r>
            <w:r w:rsidRPr="009C5807">
              <w:t>-2,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4E4F8A01" w14:textId="77777777" w:rsidR="008935F7" w:rsidRPr="009C5807" w:rsidRDefault="008935F7" w:rsidP="008935F7">
            <w:pPr>
              <w:pStyle w:val="TAC"/>
            </w:pPr>
            <w:r w:rsidRPr="009C5807">
              <w:t>-50</w:t>
            </w:r>
          </w:p>
        </w:tc>
      </w:tr>
      <w:tr w:rsidR="008935F7" w:rsidRPr="009C5807" w14:paraId="71B64ECB" w14:textId="77777777" w:rsidTr="008935F7">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6EF6467" w14:textId="77777777" w:rsidR="008935F7" w:rsidRPr="009C5807" w:rsidRDefault="008935F7" w:rsidP="008935F7">
            <w:pPr>
              <w:pStyle w:val="TAC"/>
            </w:pPr>
            <w:r w:rsidRPr="009C5807">
              <w:sym w:font="Symbol" w:char="F0B1"/>
            </w:r>
            <w:r w:rsidRPr="009C5807">
              <w:t>3.5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28EB8967" w14:textId="77777777" w:rsidR="008935F7" w:rsidRPr="009C5807" w:rsidRDefault="008935F7" w:rsidP="008935F7">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6F0300EB" w14:textId="77777777" w:rsidR="008935F7" w:rsidRPr="009C5807" w:rsidRDefault="008935F7" w:rsidP="008935F7">
            <w:pPr>
              <w:pStyle w:val="TAC"/>
            </w:pPr>
            <w:r w:rsidRPr="009C5807">
              <w:rPr>
                <w:rFonts w:eastAsia="Yu Mincho" w:cs="Arial"/>
                <w:lang w:eastAsia="ja-JP"/>
              </w:rPr>
              <w:t>≥-4</w:t>
            </w:r>
          </w:p>
        </w:tc>
        <w:tc>
          <w:tcPr>
            <w:tcW w:w="3161" w:type="dxa"/>
            <w:gridSpan w:val="2"/>
            <w:tcBorders>
              <w:left w:val="single" w:sz="4" w:space="0" w:color="auto"/>
              <w:bottom w:val="single" w:sz="4" w:space="0" w:color="auto"/>
              <w:right w:val="single" w:sz="4" w:space="0" w:color="auto"/>
            </w:tcBorders>
            <w:shd w:val="clear" w:color="auto" w:fill="auto"/>
          </w:tcPr>
          <w:p w14:paraId="614722AB" w14:textId="77777777" w:rsidR="008935F7" w:rsidRPr="009C5807" w:rsidRDefault="008935F7" w:rsidP="008935F7">
            <w:pPr>
              <w:pStyle w:val="TAC"/>
            </w:pPr>
          </w:p>
        </w:tc>
        <w:tc>
          <w:tcPr>
            <w:tcW w:w="2268" w:type="dxa"/>
            <w:tcBorders>
              <w:left w:val="single" w:sz="4" w:space="0" w:color="auto"/>
              <w:bottom w:val="single" w:sz="4" w:space="0" w:color="auto"/>
              <w:right w:val="single" w:sz="4" w:space="0" w:color="auto"/>
            </w:tcBorders>
            <w:shd w:val="clear" w:color="auto" w:fill="auto"/>
          </w:tcPr>
          <w:p w14:paraId="0109D829" w14:textId="77777777" w:rsidR="008935F7" w:rsidRPr="009C5807" w:rsidRDefault="008935F7" w:rsidP="008935F7">
            <w:pPr>
              <w:pStyle w:val="TAC"/>
            </w:pPr>
          </w:p>
        </w:tc>
      </w:tr>
      <w:tr w:rsidR="008935F7" w:rsidRPr="009C5807" w14:paraId="2D557782" w14:textId="77777777" w:rsidTr="008935F7">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9F9C0E6" w14:textId="77777777" w:rsidR="008935F7" w:rsidRPr="009C5807" w:rsidRDefault="008935F7" w:rsidP="008935F7">
            <w:pPr>
              <w:pStyle w:val="TAN"/>
            </w:pPr>
            <w:r w:rsidRPr="009C5807">
              <w:t>Note 1:</w:t>
            </w:r>
            <w:r w:rsidRPr="009C5807">
              <w:tab/>
              <w:t>Values based on Refsens and EIS spherical coverage as defined in clauses 7.3.2 and 7.3.4 of TS 38.101-2 [19]. Applicable side condition selected depending on angle of arrival.</w:t>
            </w:r>
          </w:p>
          <w:p w14:paraId="7D6A265F" w14:textId="77777777" w:rsidR="008935F7" w:rsidRPr="009C5807" w:rsidRDefault="008935F7" w:rsidP="008935F7">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6C4EFD39" w14:textId="77777777" w:rsidR="008935F7" w:rsidRPr="009C5807" w:rsidRDefault="008935F7" w:rsidP="008935F7">
            <w:pPr>
              <w:pStyle w:val="TAN"/>
            </w:pPr>
            <w:r w:rsidRPr="009C5807">
              <w:t>Note 3:</w:t>
            </w:r>
            <w:r w:rsidRPr="009C5807">
              <w:tab/>
              <w:t xml:space="preserve">In the test cases, the </w:t>
            </w:r>
            <w:r>
              <w:rPr>
                <w:rFonts w:hint="eastAsia"/>
                <w:lang w:eastAsia="zh-CN"/>
              </w:rPr>
              <w:t>CSI-RS</w:t>
            </w:r>
            <w:r w:rsidRPr="009C5807">
              <w:t xml:space="preserve">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42D67D2F" w14:textId="77777777" w:rsidR="008935F7" w:rsidRPr="00DC18B8" w:rsidRDefault="008935F7" w:rsidP="008935F7">
      <w:pPr>
        <w:rPr>
          <w:lang w:eastAsia="zh-CN"/>
        </w:rPr>
      </w:pPr>
    </w:p>
    <w:p w14:paraId="398D4E70" w14:textId="77777777" w:rsidR="008935F7" w:rsidRDefault="008935F7" w:rsidP="008935F7">
      <w:pPr>
        <w:pStyle w:val="Heading5"/>
      </w:pPr>
      <w:r>
        <w:t>10.1.10.2.2</w:t>
      </w:r>
      <w:r>
        <w:tab/>
        <w:t xml:space="preserve">Relative </w:t>
      </w:r>
      <w:r>
        <w:rPr>
          <w:lang w:val="en-US"/>
        </w:rPr>
        <w:t xml:space="preserve">CSI-RSRQ </w:t>
      </w:r>
      <w:r>
        <w:t>Accuracy</w:t>
      </w:r>
    </w:p>
    <w:p w14:paraId="7D06FAC5" w14:textId="77777777" w:rsidR="008935F7" w:rsidRDefault="008935F7" w:rsidP="008935F7">
      <w:pPr>
        <w:rPr>
          <w:rFonts w:cs="v4.2.0"/>
          <w:i/>
        </w:rPr>
      </w:pPr>
      <w:r>
        <w:rPr>
          <w:rFonts w:cs="v4.2.0"/>
        </w:rPr>
        <w:t xml:space="preserve">The relative accuracy of </w:t>
      </w:r>
      <w:r>
        <w:rPr>
          <w:rFonts w:cs="v4.2.0"/>
          <w:lang w:eastAsia="zh-CN"/>
        </w:rPr>
        <w:t>CSI-RSRQ</w:t>
      </w:r>
      <w:r>
        <w:rPr>
          <w:rFonts w:cs="v4.2.0"/>
        </w:rPr>
        <w:t xml:space="preserve"> is defined as the </w:t>
      </w:r>
      <w:r>
        <w:rPr>
          <w:rFonts w:cs="v4.2.0"/>
          <w:lang w:eastAsia="zh-CN"/>
        </w:rPr>
        <w:t>CSI-RSRQ</w:t>
      </w:r>
      <w:r>
        <w:rPr>
          <w:rFonts w:cs="v4.2.0"/>
        </w:rPr>
        <w:t xml:space="preserve"> measured from one cell compared to the </w:t>
      </w:r>
      <w:r>
        <w:rPr>
          <w:rFonts w:cs="v4.2.0"/>
          <w:lang w:eastAsia="zh-CN"/>
        </w:rPr>
        <w:t>CSI-RSRQ</w:t>
      </w:r>
      <w:r>
        <w:rPr>
          <w:rFonts w:cs="v4.2.0"/>
        </w:rPr>
        <w:t xml:space="preserve"> measured from another cell with the same center frequency, or between any two CSI-RSRQ levels measured on the same cell in FR</w:t>
      </w:r>
      <w:r>
        <w:rPr>
          <w:rFonts w:cs="v4.2.0" w:hint="eastAsia"/>
          <w:lang w:eastAsia="zh-CN"/>
        </w:rPr>
        <w:t>2</w:t>
      </w:r>
      <w:r>
        <w:rPr>
          <w:rFonts w:cs="v4.2.0"/>
        </w:rPr>
        <w:t>.</w:t>
      </w:r>
    </w:p>
    <w:p w14:paraId="0FCF60D7" w14:textId="77777777" w:rsidR="008935F7" w:rsidRDefault="008935F7" w:rsidP="008935F7">
      <w:pPr>
        <w:rPr>
          <w:rFonts w:cs="v4.2.0"/>
        </w:rPr>
      </w:pPr>
      <w:r>
        <w:rPr>
          <w:rFonts w:cs="v4.2.0"/>
        </w:rPr>
        <w:t xml:space="preserve">The accuracy requirements in Table </w:t>
      </w:r>
      <w:r>
        <w:rPr>
          <w:lang w:eastAsia="zh-CN"/>
        </w:rPr>
        <w:t>10.1.10</w:t>
      </w:r>
      <w:r>
        <w:t>.2</w:t>
      </w:r>
      <w:r>
        <w:rPr>
          <w:lang w:eastAsia="zh-CN"/>
        </w:rPr>
        <w:t>.2</w:t>
      </w:r>
      <w:r>
        <w:rPr>
          <w:rFonts w:cs="v4.2.0"/>
        </w:rPr>
        <w:t>-1 are valid under the following conditions:</w:t>
      </w:r>
    </w:p>
    <w:p w14:paraId="21C2C298" w14:textId="77777777" w:rsidR="008935F7" w:rsidRDefault="008935F7" w:rsidP="00F37389">
      <w:pPr>
        <w:pStyle w:val="B10"/>
        <w:rPr>
          <w:lang w:eastAsia="zh-CN"/>
        </w:rPr>
      </w:pPr>
      <w:r>
        <w:t>-</w:t>
      </w:r>
      <w:r>
        <w:tab/>
        <w:t>Conditions defined in clause 7.3 of TS </w:t>
      </w:r>
      <w:bookmarkStart w:id="7" w:name="OLE_LINK8"/>
      <w:r>
        <w:t>38.101-</w:t>
      </w:r>
      <w:r>
        <w:rPr>
          <w:rFonts w:hint="eastAsia"/>
          <w:lang w:eastAsia="zh-CN"/>
        </w:rPr>
        <w:t>2</w:t>
      </w:r>
      <w:r>
        <w:t xml:space="preserve"> </w:t>
      </w:r>
      <w:bookmarkEnd w:id="7"/>
      <w:r>
        <w:t>[1</w:t>
      </w:r>
      <w:r>
        <w:rPr>
          <w:rFonts w:hint="eastAsia"/>
          <w:lang w:eastAsia="zh-CN"/>
        </w:rPr>
        <w:t>9</w:t>
      </w:r>
      <w:r>
        <w:t>] for reference sensitivity are fulfilled.</w:t>
      </w:r>
    </w:p>
    <w:p w14:paraId="47AFF452" w14:textId="77777777" w:rsidR="008935F7" w:rsidRDefault="008935F7" w:rsidP="00F37389">
      <w:pPr>
        <w:pStyle w:val="B10"/>
        <w:rPr>
          <w:lang w:eastAsia="zh-CN"/>
        </w:rPr>
      </w:pPr>
      <w:r>
        <w:t>-</w:t>
      </w:r>
      <w:r>
        <w:tab/>
        <w:t>Conditions for int</w:t>
      </w:r>
      <w:r>
        <w:rPr>
          <w:rFonts w:hint="eastAsia"/>
          <w:lang w:eastAsia="zh-CN"/>
        </w:rPr>
        <w:t>er</w:t>
      </w:r>
      <w:r>
        <w:t>-frequency measurements are fulfilled according to Annex B.2.</w:t>
      </w:r>
      <w:r>
        <w:rPr>
          <w:rFonts w:hint="eastAsia"/>
          <w:lang w:eastAsia="zh-CN"/>
        </w:rPr>
        <w:t>3</w:t>
      </w:r>
      <w:r>
        <w:t xml:space="preserve"> for a corresponding Band for the associated SSB.</w:t>
      </w:r>
    </w:p>
    <w:p w14:paraId="443CC2FC" w14:textId="77777777" w:rsidR="008935F7" w:rsidRPr="000D22F0" w:rsidRDefault="008935F7" w:rsidP="008935F7">
      <w:pPr>
        <w:pStyle w:val="B10"/>
        <w:rPr>
          <w:lang w:eastAsia="zh-CN"/>
        </w:rPr>
      </w:pPr>
      <w:r w:rsidRPr="00B25D3D">
        <w:t>-</w:t>
      </w:r>
      <w:r w:rsidRPr="00B25D3D">
        <w:tab/>
        <w:t>Conditions for int</w:t>
      </w:r>
      <w:r>
        <w:rPr>
          <w:rFonts w:hint="eastAsia"/>
          <w:lang w:eastAsia="zh-CN"/>
        </w:rPr>
        <w:t>er</w:t>
      </w:r>
      <w:r w:rsidRPr="00B25D3D">
        <w:t>-frequency measurements are fulfilled according to Annex B.2.</w:t>
      </w:r>
      <w:r>
        <w:rPr>
          <w:rFonts w:hint="eastAsia"/>
          <w:lang w:eastAsia="zh-CN"/>
        </w:rPr>
        <w:t>9</w:t>
      </w:r>
      <w:r w:rsidRPr="00B25D3D">
        <w:t xml:space="preserve"> for a corresponding Band </w:t>
      </w:r>
      <w:r w:rsidRPr="00B25D3D">
        <w:rPr>
          <w:rFonts w:cs="v4.2.0"/>
          <w:lang w:eastAsia="ko-KR"/>
        </w:rPr>
        <w:t xml:space="preserve">for </w:t>
      </w:r>
      <w:r>
        <w:rPr>
          <w:rFonts w:cs="v4.2.0" w:hint="eastAsia"/>
          <w:lang w:eastAsia="zh-CN"/>
        </w:rPr>
        <w:t>each relevant CSI-RS</w:t>
      </w:r>
      <w:r w:rsidRPr="00B25D3D">
        <w:t>.</w:t>
      </w:r>
    </w:p>
    <w:p w14:paraId="6A11052D" w14:textId="77777777" w:rsidR="008935F7" w:rsidRDefault="008935F7" w:rsidP="008935F7">
      <w:pPr>
        <w:pStyle w:val="B10"/>
        <w:rPr>
          <w:lang w:eastAsia="zh-CN"/>
        </w:rPr>
      </w:pPr>
      <w:r>
        <w:rPr>
          <w:lang w:eastAsia="zh-CN"/>
        </w:rPr>
        <w:t>-</w:t>
      </w:r>
      <w:r>
        <w:rPr>
          <w:lang w:eastAsia="zh-CN"/>
        </w:rPr>
        <w:tab/>
        <w:t xml:space="preserve">The bandwidth of CSI-RS is 48 PRBs and the density is 3. </w:t>
      </w:r>
    </w:p>
    <w:p w14:paraId="2A008211" w14:textId="77777777" w:rsidR="008935F7" w:rsidRPr="00960D22" w:rsidRDefault="008935F7" w:rsidP="00F37389">
      <w:pPr>
        <w:pStyle w:val="B20"/>
        <w:rPr>
          <w:lang w:eastAsia="zh-CN"/>
        </w:rPr>
      </w:pPr>
      <w:r>
        <w:rPr>
          <w:rFonts w:hint="eastAsia"/>
          <w:lang w:eastAsia="zh-CN"/>
        </w:rPr>
        <w:t>•</w:t>
      </w:r>
      <w:r>
        <w:rPr>
          <w:lang w:eastAsia="zh-CN"/>
        </w:rPr>
        <w:tab/>
        <w:t>The performance with larger bandwidth of CSI-RS is equal to or better than the accuracy requirements in Table 10.1.10</w:t>
      </w:r>
      <w:r>
        <w:t>.2</w:t>
      </w:r>
      <w:r>
        <w:rPr>
          <w:lang w:eastAsia="zh-CN"/>
        </w:rPr>
        <w:t>.2</w:t>
      </w:r>
      <w:r>
        <w:rPr>
          <w:rFonts w:cs="v4.2.0"/>
        </w:rPr>
        <w:t>-1</w:t>
      </w:r>
      <w:r>
        <w:rPr>
          <w:lang w:eastAsia="zh-CN"/>
        </w:rPr>
        <w:t>.</w:t>
      </w:r>
    </w:p>
    <w:p w14:paraId="708A7D2C" w14:textId="4FABB804" w:rsidR="008935F7" w:rsidRDefault="008935F7" w:rsidP="008935F7">
      <w:pPr>
        <w:pStyle w:val="B10"/>
        <w:rPr>
          <w:lang w:eastAsia="zh-CN"/>
        </w:rPr>
      </w:pPr>
      <w:r>
        <w:rPr>
          <w:rFonts w:hint="eastAsia"/>
          <w:lang w:eastAsia="zh-CN"/>
        </w:rPr>
        <w:t>-</w:t>
      </w:r>
      <w:r>
        <w:tab/>
      </w:r>
      <w:r>
        <w:rPr>
          <w:rFonts w:hint="eastAsia"/>
          <w:lang w:eastAsia="zh-CN"/>
        </w:rPr>
        <w:t>T</w:t>
      </w:r>
      <w:r w:rsidRPr="00952C56">
        <w:rPr>
          <w:lang w:eastAsia="zh-CN"/>
        </w:rPr>
        <w:t xml:space="preserve">he timing offset between the reference measurement timing and the target CSI-RS in one layer is </w:t>
      </w:r>
      <w:r>
        <w:rPr>
          <w:lang w:eastAsia="zh-CN"/>
        </w:rPr>
        <w:t>no larger than</w:t>
      </w:r>
      <w:r w:rsidRPr="00952C56">
        <w:rPr>
          <w:lang w:eastAsia="zh-CN"/>
        </w:rPr>
        <w:t xml:space="preserve"> </w:t>
      </w:r>
      <w:r>
        <w:rPr>
          <w:lang w:eastAsia="zh-CN"/>
        </w:rPr>
        <w:t>CP</w:t>
      </w:r>
      <w:r>
        <w:rPr>
          <w:rFonts w:hint="eastAsia"/>
          <w:lang w:eastAsia="zh-CN"/>
        </w:rPr>
        <w:t>.</w:t>
      </w:r>
    </w:p>
    <w:p w14:paraId="09BF637F" w14:textId="65203E6F" w:rsidR="008935F7" w:rsidRPr="00E63349" w:rsidRDefault="008935F7" w:rsidP="00AB368A">
      <w:pPr>
        <w:pStyle w:val="NO"/>
        <w:rPr>
          <w:lang w:eastAsia="zh-CN"/>
        </w:rPr>
      </w:pPr>
      <w:r w:rsidRPr="001D14D7">
        <w:rPr>
          <w:lang w:eastAsia="zh-CN"/>
        </w:rPr>
        <w:t xml:space="preserve">Note: </w:t>
      </w:r>
      <w:r w:rsidR="00AB368A">
        <w:rPr>
          <w:lang w:eastAsia="zh-CN"/>
        </w:rPr>
        <w:tab/>
      </w:r>
      <w:r w:rsidRPr="001D14D7">
        <w:rPr>
          <w:lang w:eastAsia="zh-CN"/>
        </w:rPr>
        <w:t xml:space="preserve">The reference measurement timing for one layer for inter-frequency measurement is </w:t>
      </w:r>
      <w:r w:rsidRPr="001D14D7">
        <w:rPr>
          <w:rFonts w:hint="eastAsia"/>
          <w:lang w:eastAsia="zh-CN"/>
        </w:rPr>
        <w:t>u</w:t>
      </w:r>
      <w:r w:rsidRPr="001D14D7">
        <w:rPr>
          <w:lang w:eastAsia="zh-CN"/>
        </w:rPr>
        <w:t>p to UE implementation and shall be based on the timing of one of the target cells.</w:t>
      </w:r>
    </w:p>
    <w:p w14:paraId="6B96AD43" w14:textId="77777777" w:rsidR="008935F7" w:rsidRDefault="008935F7" w:rsidP="008935F7">
      <w:pPr>
        <w:pStyle w:val="TH"/>
        <w:rPr>
          <w:lang w:eastAsia="zh-CN"/>
        </w:rPr>
      </w:pPr>
      <w:r>
        <w:t>Table 10.1.10.2.2-1: CSI-RSRQ Int</w:t>
      </w:r>
      <w:r>
        <w:rPr>
          <w:rFonts w:hint="eastAsia"/>
          <w:lang w:eastAsia="zh-CN"/>
        </w:rPr>
        <w:t>er</w:t>
      </w:r>
      <w:r>
        <w:t xml:space="preserve"> frequency relative accuracy in FR</w:t>
      </w:r>
      <w:r>
        <w:rPr>
          <w:rFonts w:hint="eastAsia"/>
          <w:lang w:eastAsia="zh-CN"/>
        </w:rPr>
        <w:t>2</w:t>
      </w:r>
    </w:p>
    <w:tbl>
      <w:tblPr>
        <w:tblW w:w="8789" w:type="dxa"/>
        <w:jc w:val="center"/>
        <w:tblLook w:val="01E0" w:firstRow="1" w:lastRow="1" w:firstColumn="1" w:lastColumn="1" w:noHBand="0" w:noVBand="0"/>
      </w:tblPr>
      <w:tblGrid>
        <w:gridCol w:w="1122"/>
        <w:gridCol w:w="1119"/>
        <w:gridCol w:w="1119"/>
        <w:gridCol w:w="1580"/>
        <w:gridCol w:w="1581"/>
        <w:gridCol w:w="2268"/>
      </w:tblGrid>
      <w:tr w:rsidR="008935F7" w:rsidRPr="009C5807" w14:paraId="1366980E" w14:textId="77777777" w:rsidTr="008935F7">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81C546" w14:textId="77777777" w:rsidR="008935F7" w:rsidRPr="009C5807" w:rsidRDefault="008935F7" w:rsidP="008935F7">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2379D17E" w14:textId="77777777" w:rsidR="008935F7" w:rsidRPr="009C5807" w:rsidRDefault="008935F7" w:rsidP="008935F7">
            <w:pPr>
              <w:pStyle w:val="TAH"/>
            </w:pPr>
            <w:r w:rsidRPr="009C5807">
              <w:t>Conditions</w:t>
            </w:r>
          </w:p>
        </w:tc>
      </w:tr>
      <w:tr w:rsidR="008935F7" w:rsidRPr="009C5807" w14:paraId="2EA79808" w14:textId="77777777" w:rsidTr="008935F7">
        <w:trPr>
          <w:jc w:val="center"/>
        </w:trPr>
        <w:tc>
          <w:tcPr>
            <w:tcW w:w="1122" w:type="dxa"/>
            <w:tcBorders>
              <w:top w:val="single" w:sz="4" w:space="0" w:color="auto"/>
              <w:left w:val="single" w:sz="4" w:space="0" w:color="auto"/>
              <w:right w:val="single" w:sz="4" w:space="0" w:color="auto"/>
            </w:tcBorders>
            <w:shd w:val="clear" w:color="auto" w:fill="auto"/>
            <w:vAlign w:val="center"/>
          </w:tcPr>
          <w:p w14:paraId="61E41D49" w14:textId="77777777" w:rsidR="008935F7" w:rsidRPr="009C5807" w:rsidRDefault="008935F7" w:rsidP="008935F7">
            <w:pPr>
              <w:pStyle w:val="TAH"/>
            </w:pPr>
            <w:r w:rsidRPr="009C5807">
              <w:t>Normal condition</w:t>
            </w:r>
          </w:p>
        </w:tc>
        <w:tc>
          <w:tcPr>
            <w:tcW w:w="1119" w:type="dxa"/>
            <w:tcBorders>
              <w:top w:val="single" w:sz="4" w:space="0" w:color="auto"/>
              <w:left w:val="single" w:sz="4" w:space="0" w:color="auto"/>
              <w:right w:val="single" w:sz="4" w:space="0" w:color="auto"/>
            </w:tcBorders>
            <w:shd w:val="clear" w:color="auto" w:fill="auto"/>
            <w:vAlign w:val="center"/>
          </w:tcPr>
          <w:p w14:paraId="07446F50" w14:textId="77777777" w:rsidR="008935F7" w:rsidRPr="009C5807" w:rsidRDefault="008935F7" w:rsidP="008935F7">
            <w:pPr>
              <w:pStyle w:val="TAH"/>
            </w:pPr>
            <w:r w:rsidRPr="009C5807">
              <w:t>Extreme condition</w:t>
            </w:r>
          </w:p>
        </w:tc>
        <w:tc>
          <w:tcPr>
            <w:tcW w:w="1119" w:type="dxa"/>
            <w:tcBorders>
              <w:top w:val="single" w:sz="4" w:space="0" w:color="auto"/>
              <w:left w:val="single" w:sz="4" w:space="0" w:color="auto"/>
              <w:right w:val="single" w:sz="4" w:space="0" w:color="auto"/>
            </w:tcBorders>
          </w:tcPr>
          <w:p w14:paraId="676EF1DA" w14:textId="77777777" w:rsidR="008935F7" w:rsidRPr="009C5807" w:rsidRDefault="008935F7" w:rsidP="008935F7">
            <w:pPr>
              <w:pStyle w:val="TAH"/>
            </w:pPr>
            <w:r>
              <w:rPr>
                <w:rFonts w:cs="Arial" w:hint="eastAsia"/>
                <w:lang w:eastAsia="zh-CN"/>
              </w:rPr>
              <w:t>CSI-RS</w:t>
            </w:r>
            <w:r w:rsidRPr="009C5807">
              <w:rPr>
                <w:rFonts w:cs="Arial"/>
              </w:rPr>
              <w:t xml:space="preserve">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413554" w14:textId="77777777" w:rsidR="008935F7" w:rsidRPr="009C5807" w:rsidRDefault="008935F7" w:rsidP="008935F7">
            <w:pPr>
              <w:pStyle w:val="TAH"/>
            </w:pPr>
            <w:r w:rsidRPr="009C5807">
              <w:t>Io</w:t>
            </w:r>
            <w:r w:rsidRPr="009C5807">
              <w:rPr>
                <w:vertAlign w:val="superscript"/>
              </w:rPr>
              <w:t xml:space="preserve"> Note 2</w:t>
            </w:r>
            <w:r w:rsidRPr="009C5807">
              <w:t xml:space="preserve"> range</w:t>
            </w:r>
          </w:p>
        </w:tc>
      </w:tr>
      <w:tr w:rsidR="008935F7" w:rsidRPr="009C5807" w14:paraId="247AE621" w14:textId="77777777" w:rsidTr="008935F7">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6E802D71"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465C2D47"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vAlign w:val="center"/>
          </w:tcPr>
          <w:p w14:paraId="5941E5EB" w14:textId="77777777" w:rsidR="008935F7" w:rsidRPr="009C5807" w:rsidRDefault="008935F7" w:rsidP="008935F7">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1E3C24" w14:textId="77777777" w:rsidR="008935F7" w:rsidRPr="009C5807" w:rsidRDefault="008935F7" w:rsidP="008935F7">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2F60DC4" w14:textId="77777777" w:rsidR="008935F7" w:rsidRPr="009C5807" w:rsidRDefault="008935F7" w:rsidP="008935F7">
            <w:pPr>
              <w:pStyle w:val="TAH"/>
            </w:pPr>
            <w:r w:rsidRPr="009C5807">
              <w:t>Maximum Io</w:t>
            </w:r>
          </w:p>
        </w:tc>
      </w:tr>
      <w:tr w:rsidR="008935F7" w:rsidRPr="009C5807" w14:paraId="325142C3" w14:textId="77777777" w:rsidTr="008935F7">
        <w:trPr>
          <w:jc w:val="center"/>
        </w:trPr>
        <w:tc>
          <w:tcPr>
            <w:tcW w:w="1122" w:type="dxa"/>
            <w:tcBorders>
              <w:top w:val="single" w:sz="4" w:space="0" w:color="auto"/>
              <w:left w:val="single" w:sz="4" w:space="0" w:color="auto"/>
              <w:right w:val="single" w:sz="4" w:space="0" w:color="auto"/>
            </w:tcBorders>
            <w:shd w:val="clear" w:color="auto" w:fill="auto"/>
          </w:tcPr>
          <w:p w14:paraId="19DB563C" w14:textId="77777777" w:rsidR="008935F7" w:rsidRPr="009C5807" w:rsidRDefault="008935F7" w:rsidP="008935F7">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0E87F1E6" w14:textId="77777777" w:rsidR="008935F7" w:rsidRPr="009C5807" w:rsidRDefault="008935F7" w:rsidP="008935F7">
            <w:pPr>
              <w:pStyle w:val="TAH"/>
            </w:pPr>
            <w:r w:rsidRPr="009C5807">
              <w:t>dB</w:t>
            </w:r>
          </w:p>
        </w:tc>
        <w:tc>
          <w:tcPr>
            <w:tcW w:w="1119" w:type="dxa"/>
            <w:tcBorders>
              <w:top w:val="single" w:sz="4" w:space="0" w:color="auto"/>
              <w:left w:val="single" w:sz="4" w:space="0" w:color="auto"/>
              <w:right w:val="single" w:sz="4" w:space="0" w:color="auto"/>
            </w:tcBorders>
          </w:tcPr>
          <w:p w14:paraId="1057BD94" w14:textId="77777777" w:rsidR="008935F7" w:rsidRPr="009C5807" w:rsidRDefault="008935F7" w:rsidP="008935F7">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11109303" w14:textId="77777777" w:rsidR="008935F7" w:rsidRPr="009C5807" w:rsidRDefault="008935F7" w:rsidP="008935F7">
            <w:pPr>
              <w:pStyle w:val="TAH"/>
            </w:pPr>
            <w:r w:rsidRPr="009C5807">
              <w:rPr>
                <w:rFonts w:cs="Arial"/>
              </w:rPr>
              <w:t xml:space="preserve">dBm / </w:t>
            </w:r>
            <w:r w:rsidRPr="009C5807">
              <w:t>SCS</w:t>
            </w:r>
            <w:r>
              <w:rPr>
                <w:rFonts w:hint="eastAsia"/>
                <w:vertAlign w:val="subscript"/>
                <w:lang w:eastAsia="zh-CN"/>
              </w:rPr>
              <w:t>CSI-RS</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43E48F10" w14:textId="77777777" w:rsidR="008935F7" w:rsidRPr="009C5807" w:rsidRDefault="008935F7" w:rsidP="008935F7">
            <w:pPr>
              <w:pStyle w:val="TAH"/>
            </w:pPr>
            <w:r w:rsidRPr="009C5807">
              <w:t>dBm/BW</w:t>
            </w:r>
            <w:r w:rsidRPr="009C5807">
              <w:rPr>
                <w:vertAlign w:val="subscript"/>
              </w:rPr>
              <w:t>Channel</w:t>
            </w:r>
          </w:p>
        </w:tc>
      </w:tr>
      <w:tr w:rsidR="008935F7" w:rsidRPr="009C5807" w14:paraId="293168C7" w14:textId="77777777" w:rsidTr="008935F7">
        <w:trPr>
          <w:jc w:val="center"/>
        </w:trPr>
        <w:tc>
          <w:tcPr>
            <w:tcW w:w="1122" w:type="dxa"/>
            <w:tcBorders>
              <w:left w:val="single" w:sz="4" w:space="0" w:color="auto"/>
              <w:bottom w:val="single" w:sz="4" w:space="0" w:color="auto"/>
              <w:right w:val="single" w:sz="4" w:space="0" w:color="auto"/>
            </w:tcBorders>
            <w:shd w:val="clear" w:color="auto" w:fill="auto"/>
          </w:tcPr>
          <w:p w14:paraId="727B0688"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shd w:val="clear" w:color="auto" w:fill="auto"/>
          </w:tcPr>
          <w:p w14:paraId="74B68B7C" w14:textId="77777777" w:rsidR="008935F7" w:rsidRPr="009C5807" w:rsidRDefault="008935F7" w:rsidP="008935F7">
            <w:pPr>
              <w:pStyle w:val="TAH"/>
            </w:pPr>
          </w:p>
        </w:tc>
        <w:tc>
          <w:tcPr>
            <w:tcW w:w="1119" w:type="dxa"/>
            <w:tcBorders>
              <w:left w:val="single" w:sz="4" w:space="0" w:color="auto"/>
              <w:bottom w:val="single" w:sz="4" w:space="0" w:color="auto"/>
              <w:right w:val="single" w:sz="4" w:space="0" w:color="auto"/>
            </w:tcBorders>
          </w:tcPr>
          <w:p w14:paraId="1A120C76" w14:textId="77777777" w:rsidR="008935F7" w:rsidRPr="009C5807" w:rsidRDefault="008935F7" w:rsidP="008935F7">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174BA72" w14:textId="77777777" w:rsidR="008935F7" w:rsidRPr="009C5807" w:rsidRDefault="008935F7" w:rsidP="008935F7">
            <w:pPr>
              <w:pStyle w:val="TAH"/>
            </w:pPr>
            <w:r w:rsidRPr="009C5807">
              <w:t>SCS</w:t>
            </w:r>
            <w:r>
              <w:rPr>
                <w:rFonts w:hint="eastAsia"/>
                <w:vertAlign w:val="subscript"/>
                <w:lang w:eastAsia="zh-CN"/>
              </w:rPr>
              <w:t>CSI-RS</w:t>
            </w:r>
            <w:r w:rsidRPr="009C5807">
              <w:rPr>
                <w:rFonts w:cs="Arial"/>
              </w:rPr>
              <w:t xml:space="preserve"> = </w:t>
            </w:r>
            <w:r>
              <w:rPr>
                <w:rFonts w:cs="Arial" w:hint="eastAsia"/>
                <w:lang w:eastAsia="zh-CN"/>
              </w:rPr>
              <w:t>60</w:t>
            </w:r>
            <w:r w:rsidRPr="009C5807">
              <w:rPr>
                <w:rFonts w:cs="Arial"/>
              </w:rPr>
              <w:t>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36218E5E" w14:textId="77777777" w:rsidR="008935F7" w:rsidRPr="009C5807" w:rsidRDefault="008935F7" w:rsidP="008935F7">
            <w:pPr>
              <w:pStyle w:val="TAH"/>
            </w:pPr>
            <w:r w:rsidRPr="009C5807">
              <w:t>SCS</w:t>
            </w:r>
            <w:r>
              <w:rPr>
                <w:rFonts w:hint="eastAsia"/>
                <w:vertAlign w:val="subscript"/>
                <w:lang w:eastAsia="zh-CN"/>
              </w:rPr>
              <w:t xml:space="preserve">CSI-RS </w:t>
            </w:r>
            <w:r w:rsidRPr="009C5807">
              <w:rPr>
                <w:rFonts w:cs="Arial"/>
              </w:rPr>
              <w:t xml:space="preserve">= </w:t>
            </w:r>
            <w:r>
              <w:rPr>
                <w:rFonts w:cs="Arial" w:hint="eastAsia"/>
                <w:lang w:eastAsia="zh-CN"/>
              </w:rPr>
              <w:t>120</w:t>
            </w:r>
            <w:r w:rsidRPr="009C5807">
              <w:rPr>
                <w:rFonts w:cs="Arial"/>
              </w:rPr>
              <w:t>kHz</w:t>
            </w:r>
          </w:p>
        </w:tc>
        <w:tc>
          <w:tcPr>
            <w:tcW w:w="2268" w:type="dxa"/>
            <w:tcBorders>
              <w:left w:val="single" w:sz="4" w:space="0" w:color="auto"/>
              <w:bottom w:val="single" w:sz="4" w:space="0" w:color="auto"/>
              <w:right w:val="single" w:sz="4" w:space="0" w:color="auto"/>
            </w:tcBorders>
            <w:shd w:val="clear" w:color="auto" w:fill="auto"/>
          </w:tcPr>
          <w:p w14:paraId="405F75A7" w14:textId="77777777" w:rsidR="008935F7" w:rsidRPr="009C5807" w:rsidRDefault="008935F7" w:rsidP="008935F7">
            <w:pPr>
              <w:pStyle w:val="TAH"/>
            </w:pPr>
          </w:p>
        </w:tc>
      </w:tr>
      <w:tr w:rsidR="008935F7" w:rsidRPr="009C5807" w14:paraId="3445FCED" w14:textId="77777777" w:rsidTr="008935F7">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678D5D5A" w14:textId="77777777" w:rsidR="008935F7" w:rsidRPr="009C5807" w:rsidRDefault="008935F7" w:rsidP="008935F7">
            <w:pPr>
              <w:pStyle w:val="TAC"/>
            </w:pPr>
            <w:r w:rsidRPr="009C5807">
              <w:sym w:font="Symbol" w:char="F0B1"/>
            </w:r>
            <w:r w:rsidRPr="009C5807">
              <w:t>3</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35433557" w14:textId="77777777" w:rsidR="008935F7" w:rsidRPr="009C5807" w:rsidRDefault="008935F7" w:rsidP="008935F7">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6E6216CE" w14:textId="77777777" w:rsidR="008935F7" w:rsidRPr="009C5807" w:rsidRDefault="008935F7" w:rsidP="008935F7">
            <w:pPr>
              <w:pStyle w:val="TAC"/>
            </w:pPr>
            <w:r w:rsidRPr="009C5807">
              <w:rPr>
                <w:rFonts w:eastAsia="Yu Mincho" w:cs="Arial"/>
                <w:lang w:eastAsia="ja-JP"/>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4411D2A0" w14:textId="77777777" w:rsidR="008935F7" w:rsidRPr="009C5807" w:rsidRDefault="008935F7" w:rsidP="008935F7">
            <w:pPr>
              <w:pStyle w:val="TAC"/>
              <w:rPr>
                <w:rFonts w:eastAsia="Yu Mincho"/>
                <w:lang w:eastAsia="ja-JP"/>
              </w:rPr>
            </w:pPr>
            <w:r w:rsidRPr="009C5807">
              <w:t xml:space="preserve">Same value as </w:t>
            </w:r>
            <w:r>
              <w:rPr>
                <w:rFonts w:hint="eastAsia"/>
                <w:lang w:eastAsia="zh-CN"/>
              </w:rPr>
              <w:t>CSI</w:t>
            </w:r>
            <w:r w:rsidRPr="009C5807">
              <w:t>_RP in Table B.2.</w:t>
            </w:r>
            <w:r>
              <w:rPr>
                <w:rFonts w:hint="eastAsia"/>
                <w:lang w:eastAsia="zh-CN"/>
              </w:rPr>
              <w:t>9</w:t>
            </w:r>
            <w:r w:rsidRPr="009C5807">
              <w:t>-2,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7ACA0C47" w14:textId="77777777" w:rsidR="008935F7" w:rsidRPr="009C5807" w:rsidRDefault="008935F7" w:rsidP="008935F7">
            <w:pPr>
              <w:pStyle w:val="TAC"/>
            </w:pPr>
            <w:r w:rsidRPr="009C5807">
              <w:t>-50</w:t>
            </w:r>
          </w:p>
        </w:tc>
      </w:tr>
      <w:tr w:rsidR="008935F7" w:rsidRPr="009C5807" w14:paraId="3B359809" w14:textId="77777777" w:rsidTr="008935F7">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C04D0C2" w14:textId="77777777" w:rsidR="008935F7" w:rsidRPr="009C5807" w:rsidRDefault="008935F7" w:rsidP="008935F7">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5FC99950" w14:textId="77777777" w:rsidR="008935F7" w:rsidRPr="009C5807" w:rsidRDefault="008935F7" w:rsidP="008935F7">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540B6F33" w14:textId="77777777" w:rsidR="008935F7" w:rsidRPr="009C5807" w:rsidRDefault="008935F7" w:rsidP="008935F7">
            <w:pPr>
              <w:pStyle w:val="TAC"/>
            </w:pPr>
            <w:r w:rsidRPr="009C5807">
              <w:rPr>
                <w:rFonts w:eastAsia="Yu Mincho" w:cs="Arial"/>
                <w:lang w:eastAsia="ja-JP"/>
              </w:rPr>
              <w:t>≥-4</w:t>
            </w:r>
          </w:p>
        </w:tc>
        <w:tc>
          <w:tcPr>
            <w:tcW w:w="3161" w:type="dxa"/>
            <w:gridSpan w:val="2"/>
            <w:tcBorders>
              <w:left w:val="single" w:sz="4" w:space="0" w:color="auto"/>
              <w:bottom w:val="single" w:sz="4" w:space="0" w:color="auto"/>
              <w:right w:val="single" w:sz="4" w:space="0" w:color="auto"/>
            </w:tcBorders>
            <w:shd w:val="clear" w:color="auto" w:fill="auto"/>
          </w:tcPr>
          <w:p w14:paraId="55B5C8E6" w14:textId="77777777" w:rsidR="008935F7" w:rsidRPr="009C5807" w:rsidRDefault="008935F7" w:rsidP="008935F7">
            <w:pPr>
              <w:pStyle w:val="TAC"/>
            </w:pPr>
          </w:p>
        </w:tc>
        <w:tc>
          <w:tcPr>
            <w:tcW w:w="2268" w:type="dxa"/>
            <w:tcBorders>
              <w:left w:val="single" w:sz="4" w:space="0" w:color="auto"/>
              <w:bottom w:val="single" w:sz="4" w:space="0" w:color="auto"/>
              <w:right w:val="single" w:sz="4" w:space="0" w:color="auto"/>
            </w:tcBorders>
            <w:shd w:val="clear" w:color="auto" w:fill="auto"/>
          </w:tcPr>
          <w:p w14:paraId="39E9036F" w14:textId="77777777" w:rsidR="008935F7" w:rsidRPr="009C5807" w:rsidRDefault="008935F7" w:rsidP="008935F7">
            <w:pPr>
              <w:pStyle w:val="TAC"/>
            </w:pPr>
          </w:p>
        </w:tc>
      </w:tr>
      <w:tr w:rsidR="008935F7" w:rsidRPr="009C5807" w14:paraId="188DE7C1" w14:textId="77777777" w:rsidTr="008935F7">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2165B87" w14:textId="77777777" w:rsidR="008935F7" w:rsidRPr="009C5807" w:rsidRDefault="008935F7" w:rsidP="008935F7">
            <w:pPr>
              <w:pStyle w:val="TAN"/>
            </w:pPr>
            <w:r w:rsidRPr="009C5807">
              <w:t>Note 1:</w:t>
            </w:r>
            <w:r w:rsidRPr="009C5807">
              <w:tab/>
              <w:t>Values based on Refsens and EIS spherical coverage as defined in clauses 7.3.2 and 7.3.4 of TS 38.101-2 [19]. Applicable side condition selected depending on angle of arrival.</w:t>
            </w:r>
          </w:p>
          <w:p w14:paraId="7EC1FDBD" w14:textId="77777777" w:rsidR="008935F7" w:rsidRPr="009C5807" w:rsidRDefault="008935F7" w:rsidP="008935F7">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73304899" w14:textId="77777777" w:rsidR="008935F7" w:rsidRPr="009C5807" w:rsidRDefault="008935F7" w:rsidP="008935F7">
            <w:pPr>
              <w:pStyle w:val="TAN"/>
            </w:pPr>
            <w:r w:rsidRPr="009C5807">
              <w:t>Note 3:</w:t>
            </w:r>
            <w:r w:rsidRPr="009C5807">
              <w:tab/>
            </w:r>
            <w:r w:rsidRPr="009C5807">
              <w:rPr>
                <w:lang w:eastAsia="zh-CN"/>
              </w:rPr>
              <w:t xml:space="preserve">The parameter </w:t>
            </w:r>
            <w:r>
              <w:rPr>
                <w:rFonts w:hint="eastAsia"/>
                <w:lang w:eastAsia="zh-CN"/>
              </w:rPr>
              <w:t>CSI-RS</w:t>
            </w:r>
            <w:r w:rsidRPr="009C5807">
              <w:rPr>
                <w:lang w:eastAsia="zh-CN"/>
              </w:rPr>
              <w:t xml:space="preserve"> </w:t>
            </w:r>
            <w:r w:rsidRPr="009C5807">
              <w:t>Ês/Iot</w:t>
            </w:r>
            <w:r w:rsidRPr="009C5807">
              <w:rPr>
                <w:lang w:eastAsia="zh-CN"/>
              </w:rPr>
              <w:t xml:space="preserve"> is the minimum </w:t>
            </w:r>
            <w:r>
              <w:rPr>
                <w:rFonts w:hint="eastAsia"/>
                <w:lang w:eastAsia="zh-CN"/>
              </w:rPr>
              <w:t>CSI-RS</w:t>
            </w:r>
            <w:r w:rsidRPr="009C5807">
              <w:rPr>
                <w:lang w:eastAsia="zh-CN"/>
              </w:rPr>
              <w:t xml:space="preserve"> </w:t>
            </w:r>
            <w:r w:rsidRPr="009C5807">
              <w:t>Ês/Iot</w:t>
            </w:r>
            <w:r w:rsidRPr="009C5807">
              <w:rPr>
                <w:lang w:eastAsia="zh-CN"/>
              </w:rPr>
              <w:t xml:space="preserve"> of the pair of cells to which the requirement applies</w:t>
            </w:r>
            <w:r w:rsidRPr="009C5807">
              <w:t>.</w:t>
            </w:r>
          </w:p>
          <w:p w14:paraId="1E5E090D" w14:textId="77777777" w:rsidR="008935F7" w:rsidRPr="009C5807" w:rsidRDefault="008935F7" w:rsidP="008935F7">
            <w:pPr>
              <w:pStyle w:val="TAN"/>
            </w:pPr>
            <w:r w:rsidRPr="009C5807">
              <w:t>Note 4:</w:t>
            </w:r>
            <w:r w:rsidRPr="009C5807">
              <w:tab/>
              <w:t xml:space="preserve">In the test cases, the </w:t>
            </w:r>
            <w:r>
              <w:rPr>
                <w:rFonts w:hint="eastAsia"/>
                <w:lang w:eastAsia="zh-CN"/>
              </w:rPr>
              <w:t>CSI-RS</w:t>
            </w:r>
            <w:r w:rsidRPr="009C5807">
              <w:t xml:space="preserve">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17009B27" w14:textId="77777777" w:rsidR="008935F7" w:rsidRPr="00910215" w:rsidRDefault="008935F7" w:rsidP="006A3653">
      <w:pPr>
        <w:rPr>
          <w:noProof/>
          <w:lang w:eastAsia="zh-CN"/>
        </w:rPr>
      </w:pPr>
    </w:p>
    <w:p w14:paraId="19629B5E" w14:textId="22990139" w:rsidR="00C87F52" w:rsidRPr="009C5807" w:rsidRDefault="00C87F52" w:rsidP="003B17B3">
      <w:pPr>
        <w:pStyle w:val="Heading3"/>
        <w:rPr>
          <w:lang w:val="en-US" w:eastAsia="ko-KR"/>
        </w:rPr>
      </w:pPr>
      <w:r w:rsidRPr="009C5807">
        <w:rPr>
          <w:lang w:val="en-US" w:eastAsia="ko-KR"/>
        </w:rPr>
        <w:t>10.1.10</w:t>
      </w:r>
      <w:r>
        <w:rPr>
          <w:lang w:val="en-US" w:eastAsia="ko-KR"/>
        </w:rPr>
        <w:t>B</w:t>
      </w:r>
      <w:r w:rsidRPr="009C5807">
        <w:rPr>
          <w:lang w:val="en-US" w:eastAsia="ko-KR"/>
        </w:rPr>
        <w:tab/>
      </w:r>
      <w:r w:rsidR="003B17B3">
        <w:rPr>
          <w:lang w:val="en-US" w:eastAsia="ko-KR"/>
        </w:rPr>
        <w:tab/>
      </w:r>
      <w:r w:rsidRPr="009C5807">
        <w:rPr>
          <w:lang w:val="en-US" w:eastAsia="ko-KR"/>
        </w:rPr>
        <w:t xml:space="preserve">Inter-frequency RSRQ accuracy requirements </w:t>
      </w:r>
      <w:r w:rsidRPr="009C5807">
        <w:rPr>
          <w:lang w:val="en-US" w:eastAsia="zh-CN"/>
        </w:rPr>
        <w:t>for</w:t>
      </w:r>
      <w:r w:rsidRPr="009C5807">
        <w:rPr>
          <w:lang w:val="en-US" w:eastAsia="ko-KR"/>
        </w:rPr>
        <w:t xml:space="preserve"> FR2</w:t>
      </w:r>
      <w:r w:rsidRPr="003F0C82">
        <w:rPr>
          <w:lang w:val="en-US"/>
        </w:rPr>
        <w:t xml:space="preserve"> </w:t>
      </w:r>
      <w:r>
        <w:rPr>
          <w:lang w:val="en-US"/>
        </w:rPr>
        <w:t>for CA/DC Idle Mode Measurements</w:t>
      </w:r>
    </w:p>
    <w:p w14:paraId="76EF3026" w14:textId="77777777" w:rsidR="00C87F52" w:rsidRDefault="00C87F52" w:rsidP="00F37389">
      <w:pPr>
        <w:pStyle w:val="Heading4"/>
        <w:rPr>
          <w:lang w:val="en-US" w:eastAsia="zh-CN"/>
        </w:rPr>
      </w:pPr>
      <w:r w:rsidRPr="009C5807">
        <w:rPr>
          <w:lang w:val="en-US" w:eastAsia="zh-CN"/>
        </w:rPr>
        <w:t>10.1.10</w:t>
      </w:r>
      <w:r>
        <w:rPr>
          <w:lang w:val="en-US" w:eastAsia="zh-CN"/>
        </w:rPr>
        <w:t>B</w:t>
      </w:r>
      <w:r w:rsidRPr="009C5807">
        <w:rPr>
          <w:lang w:val="en-US" w:eastAsia="zh-CN"/>
        </w:rPr>
        <w:t>.1</w:t>
      </w:r>
      <w:r w:rsidRPr="009C5807">
        <w:rPr>
          <w:lang w:val="en-US" w:eastAsia="zh-CN"/>
        </w:rPr>
        <w:tab/>
      </w:r>
      <w:r w:rsidRPr="009C5807">
        <w:rPr>
          <w:lang w:val="en-US" w:eastAsia="ko-KR"/>
        </w:rPr>
        <w:t>Inter-frequency SS-RSRQ accuracy requirements</w:t>
      </w:r>
      <w:r w:rsidRPr="009C5807">
        <w:rPr>
          <w:lang w:val="en-US" w:eastAsia="zh-CN"/>
        </w:rPr>
        <w:t xml:space="preserve"> in FR2</w:t>
      </w:r>
    </w:p>
    <w:p w14:paraId="51171B30" w14:textId="77777777" w:rsidR="00C87F52" w:rsidRPr="00691C10" w:rsidRDefault="00C87F52" w:rsidP="00C87F52">
      <w:pPr>
        <w:jc w:val="both"/>
        <w:rPr>
          <w:rFonts w:cs="v4.2.0"/>
        </w:rPr>
      </w:pPr>
      <w:r w:rsidRPr="00691C10">
        <w:rPr>
          <w:rFonts w:cs="v4.2.0"/>
        </w:rPr>
        <w:t>The requirements in this clause are applicable for a UE:</w:t>
      </w:r>
    </w:p>
    <w:p w14:paraId="7E7AE42A" w14:textId="77777777" w:rsidR="00C87F52" w:rsidRPr="00691C10" w:rsidRDefault="00C87F52" w:rsidP="00C87F52">
      <w:pPr>
        <w:pStyle w:val="B10"/>
        <w:rPr>
          <w:rFonts w:cs="v4.2.0"/>
        </w:rPr>
      </w:pPr>
      <w:r w:rsidRPr="00691C10">
        <w:rPr>
          <w:rFonts w:cs="v4.2.0"/>
        </w:rPr>
        <w:t>-</w:t>
      </w:r>
      <w:r w:rsidRPr="00691C10">
        <w:rPr>
          <w:rFonts w:cs="v4.2.0"/>
        </w:rPr>
        <w:tab/>
        <w:t>in state RRC_IDLE</w:t>
      </w:r>
      <w:r>
        <w:rPr>
          <w:rFonts w:cs="v4.2.0"/>
        </w:rPr>
        <w:t xml:space="preserve"> or RRC INACTIVE</w:t>
      </w:r>
    </w:p>
    <w:p w14:paraId="4B901665" w14:textId="77777777" w:rsidR="00C87F52" w:rsidRPr="00691C10" w:rsidRDefault="00C87F52" w:rsidP="00C87F52">
      <w:pPr>
        <w:pStyle w:val="B10"/>
      </w:pPr>
      <w:r w:rsidRPr="00691C10">
        <w:t>-</w:t>
      </w:r>
      <w:r w:rsidRPr="00691C10">
        <w:tab/>
        <w:t>that is synchronised to the cell that is measured.</w:t>
      </w:r>
    </w:p>
    <w:p w14:paraId="71B7F356" w14:textId="77777777" w:rsidR="00C87F52" w:rsidRPr="009C5807" w:rsidRDefault="00C87F52" w:rsidP="00F37389">
      <w:pPr>
        <w:rPr>
          <w:rFonts w:ascii="Arial" w:hAnsi="Arial"/>
          <w:sz w:val="24"/>
          <w:lang w:val="en-US" w:eastAsia="zh-CN"/>
        </w:rPr>
      </w:pPr>
      <w:r w:rsidRPr="00691C10">
        <w:t xml:space="preserve">The requirements are for absolute accuracy of </w:t>
      </w:r>
      <w:r>
        <w:t>SS-</w:t>
      </w:r>
      <w:r w:rsidRPr="00691C10">
        <w:t>RSR</w:t>
      </w:r>
      <w:r>
        <w:t>Q</w:t>
      </w:r>
      <w:r w:rsidRPr="00691C10">
        <w:t>.</w:t>
      </w:r>
    </w:p>
    <w:p w14:paraId="38FF117F" w14:textId="77777777" w:rsidR="00C87F52" w:rsidRPr="009C5807" w:rsidRDefault="00C87F52" w:rsidP="00F37389">
      <w:pPr>
        <w:pStyle w:val="Heading5"/>
        <w:rPr>
          <w:lang w:val="en-US" w:eastAsia="zh-CN"/>
        </w:rPr>
      </w:pPr>
      <w:r w:rsidRPr="009C5807">
        <w:rPr>
          <w:lang w:val="en-US" w:eastAsia="zh-CN"/>
        </w:rPr>
        <w:t>10.1.10</w:t>
      </w:r>
      <w:r>
        <w:rPr>
          <w:lang w:val="en-US" w:eastAsia="zh-CN"/>
        </w:rPr>
        <w:t>B</w:t>
      </w:r>
      <w:r w:rsidRPr="009C5807">
        <w:rPr>
          <w:lang w:val="en-US" w:eastAsia="zh-CN"/>
        </w:rPr>
        <w:t>.1.1</w:t>
      </w:r>
      <w:r w:rsidRPr="009C5807">
        <w:rPr>
          <w:lang w:val="en-US" w:eastAsia="zh-CN"/>
        </w:rPr>
        <w:tab/>
      </w:r>
      <w:r w:rsidRPr="004424FD">
        <w:rPr>
          <w:lang w:eastAsia="zh-CN"/>
        </w:rPr>
        <w:t>Absolute</w:t>
      </w:r>
      <w:r w:rsidRPr="009C5807">
        <w:t xml:space="preserve"> Accuracy of </w:t>
      </w:r>
      <w:r w:rsidRPr="009C5807">
        <w:rPr>
          <w:lang w:eastAsia="zh-CN"/>
        </w:rPr>
        <w:t>SS-RSRQ</w:t>
      </w:r>
      <w:r w:rsidRPr="009C5807">
        <w:rPr>
          <w:lang w:val="en-US" w:eastAsia="zh-CN"/>
        </w:rPr>
        <w:t xml:space="preserve"> in FR2</w:t>
      </w:r>
    </w:p>
    <w:p w14:paraId="2C4EF44E" w14:textId="77777777" w:rsidR="00C87F52" w:rsidRPr="009C5807" w:rsidRDefault="00C87F52" w:rsidP="00C87F52">
      <w:pPr>
        <w:rPr>
          <w:rFonts w:cs="v4.2.0"/>
          <w:i/>
        </w:rPr>
      </w:pPr>
      <w:r w:rsidRPr="009C5807">
        <w:rPr>
          <w:rFonts w:cs="v4.2.0"/>
        </w:rPr>
        <w:t>The requirements for absolute accuracy of</w:t>
      </w:r>
      <w:r w:rsidRPr="009C5807">
        <w:rPr>
          <w:rFonts w:cs="v4.2.0"/>
          <w:lang w:eastAsia="zh-CN"/>
        </w:rPr>
        <w:t xml:space="preserve"> SS-RSRQ</w:t>
      </w:r>
      <w:r w:rsidRPr="009C5807">
        <w:rPr>
          <w:rFonts w:cs="v4.2.0"/>
        </w:rPr>
        <w:t xml:space="preserve"> in this clause apply to a cell on a frequency in FR2 that has different carrier frequency from the serving cell.</w:t>
      </w:r>
    </w:p>
    <w:p w14:paraId="6BFF0C88" w14:textId="77777777" w:rsidR="00C87F52" w:rsidRPr="009C5807" w:rsidRDefault="00C87F52" w:rsidP="00C87F52">
      <w:pPr>
        <w:rPr>
          <w:rFonts w:cs="v4.2.0"/>
        </w:rPr>
      </w:pPr>
      <w:r w:rsidRPr="009C5807">
        <w:rPr>
          <w:rFonts w:cs="v4.2.0"/>
        </w:rPr>
        <w:t xml:space="preserve">The accuracy requirements in Table </w:t>
      </w:r>
      <w:r w:rsidRPr="009C5807">
        <w:rPr>
          <w:rFonts w:cs="v4.2.0"/>
          <w:lang w:eastAsia="zh-CN"/>
        </w:rPr>
        <w:t>10.1.10</w:t>
      </w:r>
      <w:r>
        <w:rPr>
          <w:rFonts w:cs="v4.2.0"/>
          <w:lang w:eastAsia="zh-CN"/>
        </w:rPr>
        <w:t>B</w:t>
      </w:r>
      <w:r w:rsidRPr="009C5807">
        <w:rPr>
          <w:rFonts w:cs="v4.2.0"/>
          <w:lang w:eastAsia="zh-CN"/>
        </w:rPr>
        <w:t>.1.1</w:t>
      </w:r>
      <w:r w:rsidRPr="009C5807">
        <w:rPr>
          <w:rFonts w:cs="v4.2.0"/>
        </w:rPr>
        <w:t>-1 are valid under the following conditions:</w:t>
      </w:r>
    </w:p>
    <w:p w14:paraId="3290A017" w14:textId="77777777" w:rsidR="00C87F52" w:rsidRPr="009C5807" w:rsidRDefault="00C87F52" w:rsidP="00F37389">
      <w:pPr>
        <w:pStyle w:val="B10"/>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715A4E5F" w14:textId="77777777" w:rsidR="00C87F52" w:rsidRPr="009C5807" w:rsidRDefault="00C87F52" w:rsidP="00F37389">
      <w:pPr>
        <w:pStyle w:val="B10"/>
      </w:pPr>
      <w:r w:rsidRPr="009C5807">
        <w:t>-</w:t>
      </w:r>
      <w:r w:rsidRPr="009C5807">
        <w:rPr>
          <w:rFonts w:ascii="Arial" w:hAnsi="Arial"/>
          <w:sz w:val="28"/>
          <w:lang w:val="en-US"/>
        </w:rPr>
        <w:tab/>
      </w:r>
      <w:r w:rsidRPr="009C5807">
        <w:t>Conditions for inter-frequency measurements are fulfilled according to Annex B.</w:t>
      </w:r>
      <w:r>
        <w:t>1</w:t>
      </w:r>
      <w:r w:rsidRPr="009C5807">
        <w:t xml:space="preserve">.3 for a corresponding Band </w:t>
      </w:r>
      <w:r w:rsidRPr="009C5807">
        <w:rPr>
          <w:rFonts w:cs="v4.2.0"/>
          <w:lang w:eastAsia="ko-KR"/>
        </w:rPr>
        <w:t>for each relevant SSB</w:t>
      </w:r>
      <w:r w:rsidRPr="009C5807">
        <w:t>.</w:t>
      </w:r>
    </w:p>
    <w:p w14:paraId="307D7F4F" w14:textId="77777777" w:rsidR="00C87F52" w:rsidRPr="009C5807" w:rsidRDefault="00C87F52" w:rsidP="00F37389">
      <w:pPr>
        <w:pStyle w:val="B10"/>
        <w:rPr>
          <w:lang w:eastAsia="zh-CN"/>
        </w:rPr>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5989C9A5" w14:textId="77777777" w:rsidR="00C87F52" w:rsidRPr="009C5807" w:rsidRDefault="00C87F52" w:rsidP="00C87F52">
      <w:pPr>
        <w:pStyle w:val="TH"/>
        <w:rPr>
          <w:lang w:eastAsia="zh-CN"/>
        </w:rPr>
      </w:pPr>
      <w:r w:rsidRPr="009C5807">
        <w:t xml:space="preserve">Table </w:t>
      </w:r>
      <w:r w:rsidRPr="009C5807">
        <w:rPr>
          <w:lang w:eastAsia="zh-CN"/>
        </w:rPr>
        <w:t>10.1.10</w:t>
      </w:r>
      <w:r>
        <w:rPr>
          <w:lang w:eastAsia="zh-CN"/>
        </w:rPr>
        <w:t>B</w:t>
      </w:r>
      <w:r w:rsidRPr="009C5807">
        <w:rPr>
          <w:lang w:eastAsia="zh-CN"/>
        </w:rPr>
        <w:t>.1.1</w:t>
      </w:r>
      <w:r w:rsidRPr="009C5807">
        <w:t xml:space="preserve">-1: </w:t>
      </w:r>
      <w:r w:rsidRPr="009C5807">
        <w:rPr>
          <w:lang w:eastAsia="zh-CN"/>
        </w:rPr>
        <w:t>SS-RSRQ</w:t>
      </w:r>
      <w:r w:rsidRPr="009C5807">
        <w:t xml:space="preserve"> Inter frequency absolute accuracy</w:t>
      </w:r>
      <w:r w:rsidRPr="009C5807">
        <w:rPr>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C87F52" w:rsidRPr="009C5807" w14:paraId="6286D287" w14:textId="77777777" w:rsidTr="008935F7">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09B7E1" w14:textId="77777777" w:rsidR="00C87F52" w:rsidRPr="009C5807" w:rsidRDefault="00C87F52" w:rsidP="008935F7">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0DDFECA9" w14:textId="77777777" w:rsidR="00C87F52" w:rsidRPr="009C5807" w:rsidRDefault="00C87F52" w:rsidP="008935F7">
            <w:pPr>
              <w:pStyle w:val="TAH"/>
            </w:pPr>
            <w:r w:rsidRPr="009C5807">
              <w:t>Conditions</w:t>
            </w:r>
          </w:p>
        </w:tc>
      </w:tr>
      <w:tr w:rsidR="00C87F52" w:rsidRPr="009C5807" w14:paraId="394BA0C5" w14:textId="77777777" w:rsidTr="008935F7">
        <w:trPr>
          <w:jc w:val="center"/>
        </w:trPr>
        <w:tc>
          <w:tcPr>
            <w:tcW w:w="1122" w:type="dxa"/>
            <w:tcBorders>
              <w:top w:val="single" w:sz="4" w:space="0" w:color="auto"/>
              <w:left w:val="single" w:sz="4" w:space="0" w:color="auto"/>
              <w:right w:val="single" w:sz="4" w:space="0" w:color="auto"/>
            </w:tcBorders>
            <w:shd w:val="clear" w:color="auto" w:fill="auto"/>
            <w:vAlign w:val="center"/>
          </w:tcPr>
          <w:p w14:paraId="69477BA7" w14:textId="77777777" w:rsidR="00C87F52" w:rsidRPr="009C5807" w:rsidRDefault="00C87F52" w:rsidP="008935F7">
            <w:pPr>
              <w:pStyle w:val="TAH"/>
            </w:pPr>
            <w:r w:rsidRPr="009C5807">
              <w:t>Normal condition</w:t>
            </w:r>
          </w:p>
        </w:tc>
        <w:tc>
          <w:tcPr>
            <w:tcW w:w="1119" w:type="dxa"/>
            <w:tcBorders>
              <w:top w:val="single" w:sz="4" w:space="0" w:color="auto"/>
              <w:left w:val="single" w:sz="4" w:space="0" w:color="auto"/>
              <w:right w:val="single" w:sz="4" w:space="0" w:color="auto"/>
            </w:tcBorders>
            <w:shd w:val="clear" w:color="auto" w:fill="auto"/>
            <w:vAlign w:val="center"/>
          </w:tcPr>
          <w:p w14:paraId="765FA41C" w14:textId="77777777" w:rsidR="00C87F52" w:rsidRPr="009C5807" w:rsidRDefault="00C87F52" w:rsidP="008935F7">
            <w:pPr>
              <w:pStyle w:val="TAH"/>
            </w:pPr>
            <w:r w:rsidRPr="009C5807">
              <w:t>Extreme condition</w:t>
            </w:r>
          </w:p>
        </w:tc>
        <w:tc>
          <w:tcPr>
            <w:tcW w:w="1119" w:type="dxa"/>
            <w:tcBorders>
              <w:left w:val="single" w:sz="4" w:space="0" w:color="auto"/>
              <w:right w:val="single" w:sz="4" w:space="0" w:color="auto"/>
            </w:tcBorders>
          </w:tcPr>
          <w:p w14:paraId="4E27BC55" w14:textId="77777777" w:rsidR="00C87F52" w:rsidRPr="009C5807" w:rsidRDefault="00C87F52" w:rsidP="008935F7">
            <w:pPr>
              <w:pStyle w:val="TAH"/>
            </w:pPr>
            <w:r w:rsidRPr="009C5807">
              <w:rPr>
                <w:rFonts w:cs="Arial"/>
              </w:rPr>
              <w:t>SSB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70F3F3" w14:textId="77777777" w:rsidR="00C87F52" w:rsidRPr="009C5807" w:rsidRDefault="00C87F52" w:rsidP="008935F7">
            <w:pPr>
              <w:pStyle w:val="TAH"/>
            </w:pPr>
            <w:r w:rsidRPr="009C5807">
              <w:t>Io</w:t>
            </w:r>
            <w:r w:rsidRPr="009C5807">
              <w:rPr>
                <w:vertAlign w:val="superscript"/>
              </w:rPr>
              <w:t xml:space="preserve"> Note 2</w:t>
            </w:r>
            <w:r w:rsidRPr="009C5807">
              <w:t xml:space="preserve"> range</w:t>
            </w:r>
          </w:p>
        </w:tc>
      </w:tr>
      <w:tr w:rsidR="00C87F52" w:rsidRPr="009C5807" w14:paraId="348554B4" w14:textId="77777777" w:rsidTr="008935F7">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25638A32" w14:textId="77777777" w:rsidR="00C87F52" w:rsidRPr="009C5807" w:rsidRDefault="00C87F52" w:rsidP="008935F7">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76B977D4" w14:textId="77777777" w:rsidR="00C87F52" w:rsidRPr="009C5807" w:rsidRDefault="00C87F52" w:rsidP="008935F7">
            <w:pPr>
              <w:pStyle w:val="TAH"/>
            </w:pPr>
          </w:p>
        </w:tc>
        <w:tc>
          <w:tcPr>
            <w:tcW w:w="1119" w:type="dxa"/>
            <w:tcBorders>
              <w:left w:val="single" w:sz="4" w:space="0" w:color="auto"/>
              <w:bottom w:val="single" w:sz="4" w:space="0" w:color="auto"/>
              <w:right w:val="single" w:sz="4" w:space="0" w:color="auto"/>
            </w:tcBorders>
            <w:vAlign w:val="center"/>
          </w:tcPr>
          <w:p w14:paraId="4436EDC9" w14:textId="77777777" w:rsidR="00C87F52" w:rsidRPr="009C5807" w:rsidRDefault="00C87F52" w:rsidP="008935F7">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4D15E9" w14:textId="77777777" w:rsidR="00C87F52" w:rsidRPr="009C5807" w:rsidRDefault="00C87F52" w:rsidP="008935F7">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A4E2F9C" w14:textId="77777777" w:rsidR="00C87F52" w:rsidRPr="009C5807" w:rsidRDefault="00C87F52" w:rsidP="008935F7">
            <w:pPr>
              <w:pStyle w:val="TAH"/>
            </w:pPr>
            <w:r w:rsidRPr="009C5807">
              <w:t>Maximum Io</w:t>
            </w:r>
          </w:p>
        </w:tc>
      </w:tr>
      <w:tr w:rsidR="00C87F52" w:rsidRPr="009C5807" w14:paraId="6FF56911" w14:textId="77777777" w:rsidTr="008935F7">
        <w:trPr>
          <w:jc w:val="center"/>
        </w:trPr>
        <w:tc>
          <w:tcPr>
            <w:tcW w:w="1122" w:type="dxa"/>
            <w:tcBorders>
              <w:top w:val="single" w:sz="4" w:space="0" w:color="auto"/>
              <w:left w:val="single" w:sz="4" w:space="0" w:color="auto"/>
              <w:right w:val="single" w:sz="4" w:space="0" w:color="auto"/>
            </w:tcBorders>
            <w:shd w:val="clear" w:color="auto" w:fill="auto"/>
          </w:tcPr>
          <w:p w14:paraId="7A0F5FD8" w14:textId="77777777" w:rsidR="00C87F52" w:rsidRPr="009C5807" w:rsidRDefault="00C87F52" w:rsidP="008935F7">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3ADCD53C" w14:textId="77777777" w:rsidR="00C87F52" w:rsidRPr="009C5807" w:rsidRDefault="00C87F52" w:rsidP="008935F7">
            <w:pPr>
              <w:pStyle w:val="TAH"/>
            </w:pPr>
            <w:r w:rsidRPr="009C5807">
              <w:t>dB</w:t>
            </w:r>
          </w:p>
        </w:tc>
        <w:tc>
          <w:tcPr>
            <w:tcW w:w="1119" w:type="dxa"/>
            <w:tcBorders>
              <w:top w:val="single" w:sz="4" w:space="0" w:color="auto"/>
              <w:left w:val="single" w:sz="4" w:space="0" w:color="auto"/>
              <w:right w:val="single" w:sz="4" w:space="0" w:color="auto"/>
            </w:tcBorders>
          </w:tcPr>
          <w:p w14:paraId="44ED2AB3" w14:textId="77777777" w:rsidR="00C87F52" w:rsidRPr="009C5807" w:rsidRDefault="00C87F52" w:rsidP="008935F7">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598BEEF1" w14:textId="77777777" w:rsidR="00C87F52" w:rsidRPr="009C5807" w:rsidRDefault="00C87F52" w:rsidP="008935F7">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685A6C30" w14:textId="77777777" w:rsidR="00C87F52" w:rsidRPr="009C5807" w:rsidRDefault="00C87F52" w:rsidP="008935F7">
            <w:pPr>
              <w:pStyle w:val="TAH"/>
            </w:pPr>
            <w:r w:rsidRPr="009C5807">
              <w:t>dBm/BW</w:t>
            </w:r>
            <w:r w:rsidRPr="009C5807">
              <w:rPr>
                <w:vertAlign w:val="subscript"/>
              </w:rPr>
              <w:t>Channel</w:t>
            </w:r>
          </w:p>
        </w:tc>
      </w:tr>
      <w:tr w:rsidR="00C87F52" w:rsidRPr="009C5807" w14:paraId="4191D675" w14:textId="77777777" w:rsidTr="008935F7">
        <w:trPr>
          <w:jc w:val="center"/>
        </w:trPr>
        <w:tc>
          <w:tcPr>
            <w:tcW w:w="1122" w:type="dxa"/>
            <w:tcBorders>
              <w:left w:val="single" w:sz="4" w:space="0" w:color="auto"/>
              <w:bottom w:val="single" w:sz="4" w:space="0" w:color="auto"/>
              <w:right w:val="single" w:sz="4" w:space="0" w:color="auto"/>
            </w:tcBorders>
            <w:shd w:val="clear" w:color="auto" w:fill="auto"/>
          </w:tcPr>
          <w:p w14:paraId="34CCA624" w14:textId="77777777" w:rsidR="00C87F52" w:rsidRPr="009C5807" w:rsidRDefault="00C87F52" w:rsidP="008935F7">
            <w:pPr>
              <w:pStyle w:val="TAH"/>
            </w:pPr>
          </w:p>
        </w:tc>
        <w:tc>
          <w:tcPr>
            <w:tcW w:w="1119" w:type="dxa"/>
            <w:tcBorders>
              <w:left w:val="single" w:sz="4" w:space="0" w:color="auto"/>
              <w:bottom w:val="single" w:sz="4" w:space="0" w:color="auto"/>
              <w:right w:val="single" w:sz="4" w:space="0" w:color="auto"/>
            </w:tcBorders>
            <w:shd w:val="clear" w:color="auto" w:fill="auto"/>
          </w:tcPr>
          <w:p w14:paraId="2A0E7B63" w14:textId="77777777" w:rsidR="00C87F52" w:rsidRPr="009C5807" w:rsidRDefault="00C87F52" w:rsidP="008935F7">
            <w:pPr>
              <w:pStyle w:val="TAH"/>
            </w:pPr>
          </w:p>
        </w:tc>
        <w:tc>
          <w:tcPr>
            <w:tcW w:w="1119" w:type="dxa"/>
            <w:tcBorders>
              <w:left w:val="single" w:sz="4" w:space="0" w:color="auto"/>
              <w:bottom w:val="single" w:sz="4" w:space="0" w:color="auto"/>
              <w:right w:val="single" w:sz="4" w:space="0" w:color="auto"/>
            </w:tcBorders>
          </w:tcPr>
          <w:p w14:paraId="08A0434F" w14:textId="77777777" w:rsidR="00C87F52" w:rsidRPr="009C5807" w:rsidRDefault="00C87F52" w:rsidP="008935F7">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0742E5F9" w14:textId="77777777" w:rsidR="00C87F52" w:rsidRPr="009C5807" w:rsidRDefault="00C87F52" w:rsidP="008935F7">
            <w:pPr>
              <w:pStyle w:val="TAH"/>
            </w:pPr>
            <w:r w:rsidRPr="009C5807">
              <w:t>SCS</w:t>
            </w:r>
            <w:r w:rsidRPr="009C5807">
              <w:rPr>
                <w:vertAlign w:val="subscript"/>
              </w:rPr>
              <w:t>SSB</w:t>
            </w:r>
            <w:r w:rsidRPr="009C5807">
              <w:rPr>
                <w:rFonts w:cs="Arial"/>
              </w:rPr>
              <w:t xml:space="preserve"> = 120kHz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2C7D44BF" w14:textId="77777777" w:rsidR="00C87F52" w:rsidRPr="009C5807" w:rsidRDefault="00C87F52" w:rsidP="008935F7">
            <w:pPr>
              <w:pStyle w:val="TAH"/>
            </w:pPr>
            <w:r w:rsidRPr="009C5807">
              <w:t>SCS</w:t>
            </w:r>
            <w:r w:rsidRPr="009C5807">
              <w:rPr>
                <w:vertAlign w:val="subscript"/>
              </w:rPr>
              <w:t>SSB</w:t>
            </w:r>
            <w:r w:rsidRPr="009C5807">
              <w:rPr>
                <w:rFonts w:cs="Arial"/>
              </w:rPr>
              <w:t xml:space="preserve"> = 240kHz</w:t>
            </w:r>
          </w:p>
        </w:tc>
        <w:tc>
          <w:tcPr>
            <w:tcW w:w="2268" w:type="dxa"/>
            <w:tcBorders>
              <w:left w:val="single" w:sz="4" w:space="0" w:color="auto"/>
              <w:bottom w:val="single" w:sz="4" w:space="0" w:color="auto"/>
              <w:right w:val="single" w:sz="4" w:space="0" w:color="auto"/>
            </w:tcBorders>
            <w:shd w:val="clear" w:color="auto" w:fill="auto"/>
          </w:tcPr>
          <w:p w14:paraId="5CC30B35" w14:textId="77777777" w:rsidR="00C87F52" w:rsidRPr="009C5807" w:rsidRDefault="00C87F52" w:rsidP="008935F7">
            <w:pPr>
              <w:pStyle w:val="TAH"/>
            </w:pPr>
          </w:p>
        </w:tc>
      </w:tr>
      <w:tr w:rsidR="00C87F52" w:rsidRPr="009C5807" w14:paraId="7A1B1E12" w14:textId="77777777" w:rsidTr="008935F7">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12DD170E" w14:textId="77777777" w:rsidR="00C87F52" w:rsidRPr="009C5807" w:rsidRDefault="00C87F52" w:rsidP="008935F7">
            <w:pPr>
              <w:pStyle w:val="TAC"/>
            </w:pPr>
            <w:r w:rsidRPr="009C5807">
              <w:sym w:font="Symbol" w:char="F0B1"/>
            </w:r>
            <w:r>
              <w:t>4</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46CA31AD" w14:textId="77777777" w:rsidR="00C87F52" w:rsidRPr="009C5807" w:rsidRDefault="00C87F52" w:rsidP="008935F7">
            <w:pPr>
              <w:pStyle w:val="TAC"/>
            </w:pPr>
            <w:r w:rsidRPr="009C5807">
              <w:sym w:font="Symbol" w:char="F0B1"/>
            </w:r>
            <w:r>
              <w:t>5.5</w:t>
            </w:r>
          </w:p>
        </w:tc>
        <w:tc>
          <w:tcPr>
            <w:tcW w:w="1119" w:type="dxa"/>
            <w:tcBorders>
              <w:top w:val="single" w:sz="4" w:space="0" w:color="auto"/>
              <w:left w:val="single" w:sz="4" w:space="0" w:color="auto"/>
              <w:bottom w:val="single" w:sz="4" w:space="0" w:color="auto"/>
              <w:right w:val="single" w:sz="4" w:space="0" w:color="auto"/>
            </w:tcBorders>
          </w:tcPr>
          <w:p w14:paraId="55E09F86" w14:textId="77777777" w:rsidR="00C87F52" w:rsidRPr="009C5807" w:rsidRDefault="00C87F52" w:rsidP="008935F7">
            <w:pPr>
              <w:pStyle w:val="TAC"/>
            </w:pPr>
            <w:r w:rsidRPr="009C5807">
              <w:rPr>
                <w:rFonts w:eastAsia="Yu Mincho" w:cs="Arial"/>
                <w:lang w:eastAsia="ja-JP"/>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2554C42E" w14:textId="77777777" w:rsidR="00C87F52" w:rsidRPr="009C5807" w:rsidRDefault="00C87F52" w:rsidP="008935F7">
            <w:pPr>
              <w:pStyle w:val="TAC"/>
              <w:rPr>
                <w:rFonts w:eastAsia="Yu Mincho"/>
                <w:lang w:eastAsia="ja-JP"/>
              </w:rPr>
            </w:pPr>
            <w:r w:rsidRPr="009C5807">
              <w:t>Same value as SSB_RP in Table B.2.2-2,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3FF6CCC9" w14:textId="77777777" w:rsidR="00C87F52" w:rsidRPr="009C5807" w:rsidRDefault="00C87F52" w:rsidP="008935F7">
            <w:pPr>
              <w:pStyle w:val="TAC"/>
            </w:pPr>
            <w:r w:rsidRPr="009C5807">
              <w:t>-50</w:t>
            </w:r>
          </w:p>
        </w:tc>
      </w:tr>
      <w:tr w:rsidR="00C87F52" w:rsidRPr="009C5807" w14:paraId="6C9C4C5F" w14:textId="77777777" w:rsidTr="008935F7">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D5D9DAF" w14:textId="77777777" w:rsidR="00C87F52" w:rsidRPr="009C5807" w:rsidRDefault="00C87F52" w:rsidP="008935F7">
            <w:pPr>
              <w:pStyle w:val="TAC"/>
            </w:pPr>
            <w:r w:rsidRPr="009C5807">
              <w:sym w:font="Symbol" w:char="F0B1"/>
            </w:r>
            <w:r w:rsidRPr="009C5807">
              <w:t>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0B773A3D" w14:textId="77777777" w:rsidR="00C87F52" w:rsidRPr="009C5807" w:rsidRDefault="00C87F52" w:rsidP="008935F7">
            <w:pPr>
              <w:pStyle w:val="TAC"/>
            </w:pPr>
            <w:r w:rsidRPr="009C5807">
              <w:sym w:font="Symbol" w:char="F0B1"/>
            </w:r>
            <w:r>
              <w:t>5.5</w:t>
            </w:r>
          </w:p>
        </w:tc>
        <w:tc>
          <w:tcPr>
            <w:tcW w:w="1119" w:type="dxa"/>
            <w:tcBorders>
              <w:top w:val="single" w:sz="4" w:space="0" w:color="auto"/>
              <w:left w:val="single" w:sz="4" w:space="0" w:color="auto"/>
              <w:bottom w:val="single" w:sz="4" w:space="0" w:color="auto"/>
              <w:right w:val="single" w:sz="4" w:space="0" w:color="auto"/>
            </w:tcBorders>
          </w:tcPr>
          <w:p w14:paraId="7801ECC8" w14:textId="77777777" w:rsidR="00C87F52" w:rsidRPr="009C5807" w:rsidRDefault="00C87F52" w:rsidP="008935F7">
            <w:pPr>
              <w:pStyle w:val="TAC"/>
            </w:pPr>
            <w:r w:rsidRPr="009C5807">
              <w:rPr>
                <w:rFonts w:eastAsia="Yu Mincho" w:cs="Arial"/>
                <w:lang w:eastAsia="ja-JP"/>
              </w:rPr>
              <w:t>≥-4</w:t>
            </w:r>
          </w:p>
        </w:tc>
        <w:tc>
          <w:tcPr>
            <w:tcW w:w="3161" w:type="dxa"/>
            <w:gridSpan w:val="2"/>
            <w:tcBorders>
              <w:left w:val="single" w:sz="4" w:space="0" w:color="auto"/>
              <w:bottom w:val="single" w:sz="4" w:space="0" w:color="auto"/>
              <w:right w:val="single" w:sz="4" w:space="0" w:color="auto"/>
            </w:tcBorders>
            <w:shd w:val="clear" w:color="auto" w:fill="auto"/>
          </w:tcPr>
          <w:p w14:paraId="7CE59E74" w14:textId="77777777" w:rsidR="00C87F52" w:rsidRPr="009C5807" w:rsidRDefault="00C87F52" w:rsidP="008935F7">
            <w:pPr>
              <w:pStyle w:val="TAC"/>
            </w:pPr>
          </w:p>
        </w:tc>
        <w:tc>
          <w:tcPr>
            <w:tcW w:w="2268" w:type="dxa"/>
            <w:tcBorders>
              <w:left w:val="single" w:sz="4" w:space="0" w:color="auto"/>
              <w:bottom w:val="single" w:sz="4" w:space="0" w:color="auto"/>
              <w:right w:val="single" w:sz="4" w:space="0" w:color="auto"/>
            </w:tcBorders>
            <w:shd w:val="clear" w:color="auto" w:fill="auto"/>
          </w:tcPr>
          <w:p w14:paraId="0FFCB444" w14:textId="77777777" w:rsidR="00C87F52" w:rsidRPr="009C5807" w:rsidRDefault="00C87F52" w:rsidP="008935F7">
            <w:pPr>
              <w:pStyle w:val="TAC"/>
            </w:pPr>
          </w:p>
        </w:tc>
      </w:tr>
      <w:tr w:rsidR="00C87F52" w:rsidRPr="009C5807" w14:paraId="6971AEB2" w14:textId="77777777" w:rsidTr="008935F7">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32AD724" w14:textId="77777777" w:rsidR="00C87F52" w:rsidRPr="009C5807" w:rsidRDefault="00C87F52" w:rsidP="008935F7">
            <w:pPr>
              <w:pStyle w:val="TAN"/>
            </w:pPr>
            <w:r w:rsidRPr="009C5807">
              <w:t>Note 1:</w:t>
            </w:r>
            <w:r w:rsidRPr="009C5807">
              <w:tab/>
              <w:t>Values based on Refsens and EIS spherical coverage as defined in clauses 7.3.2 and 7.3.4 of TS 38.101-2 [19]. Applicable side condition selected depending on angle of arrival.</w:t>
            </w:r>
          </w:p>
          <w:p w14:paraId="5D8C5904" w14:textId="77777777" w:rsidR="00C87F52" w:rsidRPr="009C5807" w:rsidRDefault="00C87F52" w:rsidP="008935F7">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6C3FDF98" w14:textId="77777777" w:rsidR="00C87F52" w:rsidRPr="009C5807" w:rsidRDefault="00C87F52" w:rsidP="008935F7">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4947D2D5" w14:textId="77777777" w:rsidR="00C87F52" w:rsidRPr="009C5807" w:rsidRDefault="00C87F52" w:rsidP="00C87F52">
      <w:pPr>
        <w:rPr>
          <w:lang w:eastAsia="zh-CN"/>
        </w:rPr>
      </w:pPr>
    </w:p>
    <w:p w14:paraId="30F88F91" w14:textId="1E83FC69" w:rsidR="001F5A79" w:rsidRPr="009C5807" w:rsidRDefault="001F5A79" w:rsidP="00967CF8">
      <w:pPr>
        <w:pStyle w:val="Heading3"/>
        <w:rPr>
          <w:lang w:val="en-US" w:eastAsia="ko-KR"/>
        </w:rPr>
      </w:pPr>
      <w:r w:rsidRPr="009C5807">
        <w:rPr>
          <w:lang w:val="en-US" w:eastAsia="ko-KR"/>
        </w:rPr>
        <w:t>1</w:t>
      </w:r>
      <w:r w:rsidR="00967CF8" w:rsidRPr="009C5807">
        <w:rPr>
          <w:lang w:val="en-US" w:eastAsia="ko-KR"/>
        </w:rPr>
        <w:t>0.1.1</w:t>
      </w:r>
      <w:r w:rsidRPr="009C5807">
        <w:rPr>
          <w:lang w:val="en-US" w:eastAsia="ko-KR"/>
        </w:rPr>
        <w:t>1</w:t>
      </w:r>
      <w:r w:rsidRPr="009C5807">
        <w:rPr>
          <w:lang w:val="en-US" w:eastAsia="ko-KR"/>
        </w:rPr>
        <w:tab/>
        <w:t>RSRQ report mapping</w:t>
      </w:r>
    </w:p>
    <w:p w14:paraId="4AA870F6" w14:textId="2298FD08" w:rsidR="001F5A79" w:rsidRPr="009C5807" w:rsidRDefault="001F5A79" w:rsidP="001F5A79">
      <w:pPr>
        <w:keepNext/>
        <w:keepLines/>
        <w:spacing w:before="120"/>
        <w:ind w:left="1418" w:hanging="1418"/>
        <w:outlineLvl w:val="3"/>
        <w:rPr>
          <w:rFonts w:ascii="Arial" w:hAnsi="Arial"/>
          <w:sz w:val="24"/>
          <w:lang w:val="en-US" w:eastAsia="zh-CN"/>
        </w:rPr>
      </w:pPr>
      <w:r w:rsidRPr="009C5807">
        <w:rPr>
          <w:rFonts w:ascii="Arial" w:hAnsi="Arial"/>
          <w:sz w:val="24"/>
          <w:lang w:val="en-US" w:eastAsia="zh-CN"/>
        </w:rPr>
        <w:t>10.1.11.1</w:t>
      </w:r>
      <w:r w:rsidRPr="009C5807">
        <w:rPr>
          <w:rFonts w:ascii="Arial" w:hAnsi="Arial"/>
          <w:sz w:val="24"/>
          <w:lang w:val="en-US" w:eastAsia="zh-CN"/>
        </w:rPr>
        <w:tab/>
      </w:r>
      <w:r w:rsidRPr="009C5807">
        <w:rPr>
          <w:rFonts w:ascii="Arial" w:hAnsi="Arial"/>
          <w:sz w:val="24"/>
          <w:lang w:val="en-US" w:eastAsia="ko-KR"/>
        </w:rPr>
        <w:t xml:space="preserve">SS-RSRQ </w:t>
      </w:r>
      <w:r w:rsidR="008935F7">
        <w:rPr>
          <w:rFonts w:ascii="Arial" w:hAnsi="Arial" w:hint="eastAsia"/>
          <w:sz w:val="24"/>
          <w:lang w:val="en-US" w:eastAsia="zh-CN"/>
        </w:rPr>
        <w:t xml:space="preserve">and CSI-RSRQ </w:t>
      </w:r>
      <w:r w:rsidRPr="009C5807">
        <w:rPr>
          <w:rFonts w:ascii="Arial" w:hAnsi="Arial"/>
          <w:sz w:val="24"/>
          <w:lang w:val="en-US" w:eastAsia="ko-KR"/>
        </w:rPr>
        <w:t>measurement report mapping</w:t>
      </w:r>
    </w:p>
    <w:p w14:paraId="3B026B8D" w14:textId="519E9879" w:rsidR="001F5A79" w:rsidRPr="009C5807" w:rsidRDefault="001F5A79" w:rsidP="001F5A79">
      <w:pPr>
        <w:rPr>
          <w:rFonts w:cs="v4.2.0"/>
        </w:rPr>
      </w:pPr>
      <w:r w:rsidRPr="009C5807">
        <w:rPr>
          <w:sz w:val="22"/>
          <w:szCs w:val="22"/>
        </w:rPr>
        <w:t>T</w:t>
      </w:r>
      <w:r w:rsidRPr="009C5807">
        <w:rPr>
          <w:rFonts w:cs="v4.2.0"/>
        </w:rPr>
        <w:t xml:space="preserve">he reporting range of SS-RSRQ </w:t>
      </w:r>
      <w:r w:rsidR="00567E6C">
        <w:rPr>
          <w:rFonts w:cs="v4.2.0" w:hint="eastAsia"/>
          <w:lang w:eastAsia="zh-CN"/>
        </w:rPr>
        <w:t xml:space="preserve">and CSI-RSRQ measurement </w:t>
      </w:r>
      <w:r w:rsidRPr="009C5807">
        <w:rPr>
          <w:rFonts w:cs="v4.2.0"/>
        </w:rPr>
        <w:t>is defined from -</w:t>
      </w:r>
      <w:r w:rsidRPr="009C5807">
        <w:rPr>
          <w:rFonts w:cs="v4.2.0"/>
          <w:lang w:eastAsia="zh-CN"/>
        </w:rPr>
        <w:t>43</w:t>
      </w:r>
      <w:r w:rsidRPr="009C5807">
        <w:rPr>
          <w:rFonts w:cs="v4.2.0"/>
        </w:rPr>
        <w:t xml:space="preserve"> dB to 20 dB with 0.5 dB resolution. The mapping of measured quantity is defined in Table 10.1.11.1-1. The range in the signalling may be larger than the guaranteed accuracy range.</w:t>
      </w:r>
    </w:p>
    <w:p w14:paraId="66E4E66C" w14:textId="54B94A88" w:rsidR="001F5A79" w:rsidRPr="009C5807" w:rsidRDefault="001F5A79" w:rsidP="0093237A">
      <w:pPr>
        <w:pStyle w:val="TH"/>
      </w:pPr>
      <w:r w:rsidRPr="009C5807">
        <w:t xml:space="preserve">Table 10.1.11.1-1: SS-RSRQ </w:t>
      </w:r>
      <w:r w:rsidR="00567E6C">
        <w:rPr>
          <w:rFonts w:hint="eastAsia"/>
          <w:lang w:eastAsia="zh-CN"/>
        </w:rPr>
        <w:t xml:space="preserve">and CSI-RSRQ </w:t>
      </w:r>
      <w:r w:rsidRPr="009C5807">
        <w:t>measurement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2154"/>
        <w:gridCol w:w="710"/>
      </w:tblGrid>
      <w:tr w:rsidR="001F5A79" w:rsidRPr="009C5807" w14:paraId="44975563" w14:textId="77777777" w:rsidTr="00DF3064">
        <w:trPr>
          <w:trHeight w:val="300"/>
          <w:jc w:val="center"/>
        </w:trPr>
        <w:tc>
          <w:tcPr>
            <w:tcW w:w="1640" w:type="dxa"/>
            <w:shd w:val="clear" w:color="auto" w:fill="auto"/>
            <w:noWrap/>
            <w:hideMark/>
          </w:tcPr>
          <w:p w14:paraId="7668B424" w14:textId="77777777" w:rsidR="001F5A79" w:rsidRPr="009C5807" w:rsidRDefault="001F5A79" w:rsidP="00DC28F6">
            <w:pPr>
              <w:pStyle w:val="TAH"/>
              <w:rPr>
                <w:lang w:eastAsia="ko-KR"/>
              </w:rPr>
            </w:pPr>
            <w:r w:rsidRPr="009C5807">
              <w:rPr>
                <w:lang w:eastAsia="ko-KR"/>
              </w:rPr>
              <w:t>Reported value</w:t>
            </w:r>
          </w:p>
        </w:tc>
        <w:tc>
          <w:tcPr>
            <w:tcW w:w="2154" w:type="dxa"/>
            <w:shd w:val="clear" w:color="auto" w:fill="auto"/>
            <w:noWrap/>
            <w:hideMark/>
          </w:tcPr>
          <w:p w14:paraId="29D3D366" w14:textId="77777777" w:rsidR="001F5A79" w:rsidRPr="009C5807" w:rsidRDefault="001F5A79" w:rsidP="00DC28F6">
            <w:pPr>
              <w:pStyle w:val="TAH"/>
              <w:rPr>
                <w:lang w:eastAsia="ko-KR"/>
              </w:rPr>
            </w:pPr>
            <w:r w:rsidRPr="009C5807">
              <w:rPr>
                <w:lang w:eastAsia="ko-KR"/>
              </w:rPr>
              <w:t>Measured quantity value</w:t>
            </w:r>
          </w:p>
        </w:tc>
        <w:tc>
          <w:tcPr>
            <w:tcW w:w="710" w:type="dxa"/>
            <w:shd w:val="clear" w:color="auto" w:fill="auto"/>
            <w:noWrap/>
            <w:hideMark/>
          </w:tcPr>
          <w:p w14:paraId="3E61AF85" w14:textId="77777777" w:rsidR="001F5A79" w:rsidRPr="009C5807" w:rsidRDefault="001F5A79" w:rsidP="00DC28F6">
            <w:pPr>
              <w:pStyle w:val="TAH"/>
              <w:rPr>
                <w:lang w:eastAsia="ko-KR"/>
              </w:rPr>
            </w:pPr>
            <w:r w:rsidRPr="009C5807">
              <w:rPr>
                <w:lang w:eastAsia="ko-KR"/>
              </w:rPr>
              <w:t>Unit</w:t>
            </w:r>
          </w:p>
        </w:tc>
      </w:tr>
      <w:tr w:rsidR="001F5A79" w:rsidRPr="009C5807" w14:paraId="40320AF1" w14:textId="77777777" w:rsidTr="00485F6E">
        <w:trPr>
          <w:trHeight w:val="300"/>
          <w:jc w:val="center"/>
        </w:trPr>
        <w:tc>
          <w:tcPr>
            <w:tcW w:w="1640" w:type="dxa"/>
            <w:shd w:val="clear" w:color="auto" w:fill="auto"/>
            <w:noWrap/>
            <w:hideMark/>
          </w:tcPr>
          <w:p w14:paraId="7CB38928" w14:textId="77777777" w:rsidR="001F5A79" w:rsidRPr="009C5807" w:rsidRDefault="001F5A79" w:rsidP="00485F6E">
            <w:pPr>
              <w:pStyle w:val="TAC"/>
              <w:rPr>
                <w:lang w:eastAsia="ko-KR"/>
              </w:rPr>
            </w:pPr>
            <w:r w:rsidRPr="009C5807">
              <w:t>SS-RSRQ_0</w:t>
            </w:r>
          </w:p>
        </w:tc>
        <w:tc>
          <w:tcPr>
            <w:tcW w:w="2154" w:type="dxa"/>
            <w:shd w:val="clear" w:color="auto" w:fill="auto"/>
            <w:noWrap/>
            <w:hideMark/>
          </w:tcPr>
          <w:p w14:paraId="0EA1CDB4" w14:textId="77777777" w:rsidR="001F5A79" w:rsidRPr="009C5807" w:rsidRDefault="001F5A79" w:rsidP="00485F6E">
            <w:pPr>
              <w:pStyle w:val="TAC"/>
              <w:rPr>
                <w:lang w:eastAsia="ko-KR"/>
              </w:rPr>
            </w:pPr>
            <w:r w:rsidRPr="009C5807">
              <w:t>SS-RSRQ&lt;-43</w:t>
            </w:r>
          </w:p>
        </w:tc>
        <w:tc>
          <w:tcPr>
            <w:tcW w:w="710" w:type="dxa"/>
            <w:shd w:val="clear" w:color="auto" w:fill="auto"/>
            <w:noWrap/>
            <w:hideMark/>
          </w:tcPr>
          <w:p w14:paraId="705D23C4" w14:textId="77777777" w:rsidR="001F5A79" w:rsidRPr="009C5807" w:rsidRDefault="001F5A79" w:rsidP="00485F6E">
            <w:pPr>
              <w:pStyle w:val="TAC"/>
              <w:rPr>
                <w:lang w:eastAsia="ko-KR"/>
              </w:rPr>
            </w:pPr>
            <w:r w:rsidRPr="009C5807">
              <w:t>dB</w:t>
            </w:r>
          </w:p>
        </w:tc>
      </w:tr>
      <w:tr w:rsidR="001F5A79" w:rsidRPr="009C5807" w14:paraId="01B45A8F" w14:textId="77777777" w:rsidTr="00485F6E">
        <w:trPr>
          <w:trHeight w:val="300"/>
          <w:jc w:val="center"/>
        </w:trPr>
        <w:tc>
          <w:tcPr>
            <w:tcW w:w="1640" w:type="dxa"/>
            <w:shd w:val="clear" w:color="auto" w:fill="auto"/>
            <w:noWrap/>
            <w:hideMark/>
          </w:tcPr>
          <w:p w14:paraId="5ADA9963" w14:textId="77777777" w:rsidR="001F5A79" w:rsidRPr="009C5807" w:rsidRDefault="001F5A79" w:rsidP="00485F6E">
            <w:pPr>
              <w:pStyle w:val="TAC"/>
              <w:rPr>
                <w:lang w:eastAsia="ko-KR"/>
              </w:rPr>
            </w:pPr>
            <w:r w:rsidRPr="009C5807">
              <w:t>SS-RSRQ_1</w:t>
            </w:r>
          </w:p>
        </w:tc>
        <w:tc>
          <w:tcPr>
            <w:tcW w:w="2154" w:type="dxa"/>
            <w:shd w:val="clear" w:color="auto" w:fill="auto"/>
            <w:noWrap/>
            <w:hideMark/>
          </w:tcPr>
          <w:p w14:paraId="0F3B6301" w14:textId="77777777" w:rsidR="001F5A79" w:rsidRPr="009C5807" w:rsidRDefault="001F5A79" w:rsidP="00485F6E">
            <w:pPr>
              <w:pStyle w:val="TAC"/>
              <w:rPr>
                <w:lang w:eastAsia="ko-KR"/>
              </w:rPr>
            </w:pPr>
            <w:r w:rsidRPr="009C5807">
              <w:t>-43</w:t>
            </w:r>
            <w:r w:rsidRPr="009C5807">
              <w:rPr>
                <w:rFonts w:hint="eastAsia"/>
              </w:rPr>
              <w:t>≤</w:t>
            </w:r>
            <w:r w:rsidRPr="009C5807">
              <w:t xml:space="preserve"> SS-RSRQ&lt;-42.5</w:t>
            </w:r>
          </w:p>
        </w:tc>
        <w:tc>
          <w:tcPr>
            <w:tcW w:w="710" w:type="dxa"/>
            <w:shd w:val="clear" w:color="auto" w:fill="auto"/>
            <w:noWrap/>
            <w:hideMark/>
          </w:tcPr>
          <w:p w14:paraId="7451D063" w14:textId="77777777" w:rsidR="001F5A79" w:rsidRPr="009C5807" w:rsidRDefault="001F5A79" w:rsidP="00485F6E">
            <w:pPr>
              <w:pStyle w:val="TAC"/>
              <w:rPr>
                <w:lang w:eastAsia="ko-KR"/>
              </w:rPr>
            </w:pPr>
            <w:r w:rsidRPr="009C5807">
              <w:t>dB</w:t>
            </w:r>
          </w:p>
        </w:tc>
      </w:tr>
      <w:tr w:rsidR="001F5A79" w:rsidRPr="009C5807" w14:paraId="7CA9F6C6" w14:textId="77777777" w:rsidTr="00485F6E">
        <w:trPr>
          <w:trHeight w:val="300"/>
          <w:jc w:val="center"/>
        </w:trPr>
        <w:tc>
          <w:tcPr>
            <w:tcW w:w="1640" w:type="dxa"/>
            <w:shd w:val="clear" w:color="auto" w:fill="auto"/>
            <w:noWrap/>
            <w:hideMark/>
          </w:tcPr>
          <w:p w14:paraId="7F02C556" w14:textId="77777777" w:rsidR="001F5A79" w:rsidRPr="009C5807" w:rsidRDefault="001F5A79" w:rsidP="00485F6E">
            <w:pPr>
              <w:pStyle w:val="TAC"/>
              <w:rPr>
                <w:lang w:eastAsia="ko-KR"/>
              </w:rPr>
            </w:pPr>
            <w:r w:rsidRPr="009C5807">
              <w:t>SS-RSRQ_2</w:t>
            </w:r>
          </w:p>
        </w:tc>
        <w:tc>
          <w:tcPr>
            <w:tcW w:w="2154" w:type="dxa"/>
            <w:shd w:val="clear" w:color="auto" w:fill="auto"/>
            <w:noWrap/>
            <w:hideMark/>
          </w:tcPr>
          <w:p w14:paraId="28596696" w14:textId="77777777" w:rsidR="001F5A79" w:rsidRPr="009C5807" w:rsidRDefault="001F5A79" w:rsidP="00485F6E">
            <w:pPr>
              <w:pStyle w:val="TAC"/>
              <w:rPr>
                <w:lang w:eastAsia="ko-KR"/>
              </w:rPr>
            </w:pPr>
            <w:r w:rsidRPr="009C5807">
              <w:t>-42.5</w:t>
            </w:r>
            <w:r w:rsidRPr="009C5807">
              <w:rPr>
                <w:rFonts w:hint="eastAsia"/>
              </w:rPr>
              <w:t>≤</w:t>
            </w:r>
            <w:r w:rsidRPr="009C5807">
              <w:t xml:space="preserve"> SS-RSRQ&lt;-42</w:t>
            </w:r>
          </w:p>
        </w:tc>
        <w:tc>
          <w:tcPr>
            <w:tcW w:w="710" w:type="dxa"/>
            <w:shd w:val="clear" w:color="auto" w:fill="auto"/>
            <w:noWrap/>
            <w:hideMark/>
          </w:tcPr>
          <w:p w14:paraId="08C15A18" w14:textId="77777777" w:rsidR="001F5A79" w:rsidRPr="009C5807" w:rsidRDefault="001F5A79" w:rsidP="00485F6E">
            <w:pPr>
              <w:pStyle w:val="TAC"/>
              <w:rPr>
                <w:lang w:eastAsia="ko-KR"/>
              </w:rPr>
            </w:pPr>
            <w:r w:rsidRPr="009C5807">
              <w:t>dB</w:t>
            </w:r>
          </w:p>
        </w:tc>
      </w:tr>
      <w:tr w:rsidR="001F5A79" w:rsidRPr="009C5807" w14:paraId="39B613E1" w14:textId="77777777" w:rsidTr="00485F6E">
        <w:trPr>
          <w:trHeight w:val="300"/>
          <w:jc w:val="center"/>
        </w:trPr>
        <w:tc>
          <w:tcPr>
            <w:tcW w:w="1640" w:type="dxa"/>
            <w:shd w:val="clear" w:color="auto" w:fill="auto"/>
            <w:noWrap/>
            <w:hideMark/>
          </w:tcPr>
          <w:p w14:paraId="1F6D02A4" w14:textId="77777777" w:rsidR="001F5A79" w:rsidRPr="009C5807" w:rsidRDefault="001F5A79" w:rsidP="00485F6E">
            <w:pPr>
              <w:pStyle w:val="TAC"/>
              <w:rPr>
                <w:lang w:eastAsia="ko-KR"/>
              </w:rPr>
            </w:pPr>
            <w:r w:rsidRPr="009C5807">
              <w:t>SS-RSRQ_3</w:t>
            </w:r>
          </w:p>
        </w:tc>
        <w:tc>
          <w:tcPr>
            <w:tcW w:w="2154" w:type="dxa"/>
            <w:shd w:val="clear" w:color="auto" w:fill="auto"/>
            <w:noWrap/>
            <w:hideMark/>
          </w:tcPr>
          <w:p w14:paraId="340B1908" w14:textId="77777777" w:rsidR="001F5A79" w:rsidRPr="009C5807" w:rsidRDefault="001F5A79" w:rsidP="00485F6E">
            <w:pPr>
              <w:pStyle w:val="TAC"/>
              <w:rPr>
                <w:lang w:eastAsia="ko-KR"/>
              </w:rPr>
            </w:pPr>
            <w:r w:rsidRPr="009C5807">
              <w:t>-42</w:t>
            </w:r>
            <w:r w:rsidRPr="009C5807">
              <w:rPr>
                <w:rFonts w:hint="eastAsia"/>
              </w:rPr>
              <w:t>≤</w:t>
            </w:r>
            <w:r w:rsidRPr="009C5807">
              <w:t xml:space="preserve"> SS-RSRQ&lt;-41.5</w:t>
            </w:r>
          </w:p>
        </w:tc>
        <w:tc>
          <w:tcPr>
            <w:tcW w:w="710" w:type="dxa"/>
            <w:shd w:val="clear" w:color="auto" w:fill="auto"/>
            <w:noWrap/>
            <w:hideMark/>
          </w:tcPr>
          <w:p w14:paraId="28CC1E60" w14:textId="77777777" w:rsidR="001F5A79" w:rsidRPr="009C5807" w:rsidRDefault="001F5A79" w:rsidP="00485F6E">
            <w:pPr>
              <w:pStyle w:val="TAC"/>
              <w:rPr>
                <w:lang w:eastAsia="ko-KR"/>
              </w:rPr>
            </w:pPr>
            <w:r w:rsidRPr="009C5807">
              <w:t>dB</w:t>
            </w:r>
          </w:p>
        </w:tc>
      </w:tr>
      <w:tr w:rsidR="001F5A79" w:rsidRPr="009C5807" w14:paraId="3FF7B40A" w14:textId="77777777" w:rsidTr="00485F6E">
        <w:trPr>
          <w:trHeight w:val="300"/>
          <w:jc w:val="center"/>
        </w:trPr>
        <w:tc>
          <w:tcPr>
            <w:tcW w:w="1640" w:type="dxa"/>
            <w:shd w:val="clear" w:color="auto" w:fill="auto"/>
            <w:noWrap/>
            <w:hideMark/>
          </w:tcPr>
          <w:p w14:paraId="192571C3" w14:textId="77777777" w:rsidR="001F5A79" w:rsidRPr="009C5807" w:rsidRDefault="001F5A79" w:rsidP="00485F6E">
            <w:pPr>
              <w:pStyle w:val="TAC"/>
              <w:rPr>
                <w:lang w:eastAsia="ko-KR"/>
              </w:rPr>
            </w:pPr>
            <w:r w:rsidRPr="009C5807">
              <w:t>SS-RSRQ_4</w:t>
            </w:r>
          </w:p>
        </w:tc>
        <w:tc>
          <w:tcPr>
            <w:tcW w:w="2154" w:type="dxa"/>
            <w:shd w:val="clear" w:color="auto" w:fill="auto"/>
            <w:noWrap/>
            <w:hideMark/>
          </w:tcPr>
          <w:p w14:paraId="4C8A0335" w14:textId="77777777" w:rsidR="001F5A79" w:rsidRPr="009C5807" w:rsidRDefault="001F5A79" w:rsidP="00485F6E">
            <w:pPr>
              <w:pStyle w:val="TAC"/>
              <w:rPr>
                <w:lang w:eastAsia="ko-KR"/>
              </w:rPr>
            </w:pPr>
            <w:r w:rsidRPr="009C5807">
              <w:t>-41.5</w:t>
            </w:r>
            <w:r w:rsidRPr="009C5807">
              <w:rPr>
                <w:rFonts w:hint="eastAsia"/>
              </w:rPr>
              <w:t>≤</w:t>
            </w:r>
            <w:r w:rsidRPr="009C5807">
              <w:t xml:space="preserve"> SS-RSRQ&lt;-41</w:t>
            </w:r>
          </w:p>
        </w:tc>
        <w:tc>
          <w:tcPr>
            <w:tcW w:w="710" w:type="dxa"/>
            <w:shd w:val="clear" w:color="auto" w:fill="auto"/>
            <w:noWrap/>
            <w:hideMark/>
          </w:tcPr>
          <w:p w14:paraId="65A9D906" w14:textId="77777777" w:rsidR="001F5A79" w:rsidRPr="009C5807" w:rsidRDefault="001F5A79" w:rsidP="00485F6E">
            <w:pPr>
              <w:pStyle w:val="TAC"/>
              <w:rPr>
                <w:lang w:eastAsia="ko-KR"/>
              </w:rPr>
            </w:pPr>
            <w:r w:rsidRPr="009C5807">
              <w:t>dB</w:t>
            </w:r>
          </w:p>
        </w:tc>
      </w:tr>
      <w:tr w:rsidR="001F5A79" w:rsidRPr="009C5807" w14:paraId="49A645B2" w14:textId="77777777" w:rsidTr="00485F6E">
        <w:trPr>
          <w:trHeight w:val="300"/>
          <w:jc w:val="center"/>
        </w:trPr>
        <w:tc>
          <w:tcPr>
            <w:tcW w:w="1640" w:type="dxa"/>
            <w:shd w:val="clear" w:color="auto" w:fill="auto"/>
            <w:noWrap/>
            <w:hideMark/>
          </w:tcPr>
          <w:p w14:paraId="1CC2BCF3" w14:textId="77777777" w:rsidR="001F5A79" w:rsidRPr="009C5807" w:rsidRDefault="001F5A79" w:rsidP="00485F6E">
            <w:pPr>
              <w:pStyle w:val="TAC"/>
              <w:rPr>
                <w:lang w:eastAsia="ko-KR"/>
              </w:rPr>
            </w:pPr>
            <w:r w:rsidRPr="009C5807">
              <w:rPr>
                <w:lang w:eastAsia="ko-KR"/>
              </w:rPr>
              <w:t>..</w:t>
            </w:r>
          </w:p>
        </w:tc>
        <w:tc>
          <w:tcPr>
            <w:tcW w:w="2154" w:type="dxa"/>
            <w:shd w:val="clear" w:color="auto" w:fill="auto"/>
            <w:noWrap/>
            <w:hideMark/>
          </w:tcPr>
          <w:p w14:paraId="75D77D88" w14:textId="77777777" w:rsidR="001F5A79" w:rsidRPr="009C5807" w:rsidRDefault="001F5A79" w:rsidP="00485F6E">
            <w:pPr>
              <w:pStyle w:val="TAC"/>
              <w:rPr>
                <w:lang w:eastAsia="ko-KR"/>
              </w:rPr>
            </w:pPr>
            <w:r w:rsidRPr="009C5807">
              <w:rPr>
                <w:lang w:eastAsia="ko-KR"/>
              </w:rPr>
              <w:t>..</w:t>
            </w:r>
          </w:p>
        </w:tc>
        <w:tc>
          <w:tcPr>
            <w:tcW w:w="710" w:type="dxa"/>
            <w:shd w:val="clear" w:color="auto" w:fill="auto"/>
            <w:noWrap/>
            <w:hideMark/>
          </w:tcPr>
          <w:p w14:paraId="66F7C0A4" w14:textId="77777777" w:rsidR="001F5A79" w:rsidRPr="009C5807" w:rsidRDefault="001F5A79" w:rsidP="00485F6E">
            <w:pPr>
              <w:pStyle w:val="TAC"/>
              <w:rPr>
                <w:lang w:eastAsia="ko-KR"/>
              </w:rPr>
            </w:pPr>
            <w:r w:rsidRPr="009C5807">
              <w:rPr>
                <w:lang w:eastAsia="ko-KR"/>
              </w:rPr>
              <w:t>…</w:t>
            </w:r>
          </w:p>
        </w:tc>
      </w:tr>
      <w:tr w:rsidR="001F5A79" w:rsidRPr="009C5807" w14:paraId="6BB6039B" w14:textId="77777777" w:rsidTr="00485F6E">
        <w:trPr>
          <w:trHeight w:val="300"/>
          <w:jc w:val="center"/>
        </w:trPr>
        <w:tc>
          <w:tcPr>
            <w:tcW w:w="1640" w:type="dxa"/>
            <w:shd w:val="clear" w:color="auto" w:fill="auto"/>
            <w:noWrap/>
            <w:hideMark/>
          </w:tcPr>
          <w:p w14:paraId="0ACC89A5" w14:textId="77777777" w:rsidR="001F5A79" w:rsidRPr="009C5807" w:rsidRDefault="001F5A79" w:rsidP="00485F6E">
            <w:pPr>
              <w:pStyle w:val="TAC"/>
              <w:rPr>
                <w:lang w:eastAsia="ko-KR"/>
              </w:rPr>
            </w:pPr>
            <w:r w:rsidRPr="009C5807">
              <w:t>SS-RSRQ_122</w:t>
            </w:r>
          </w:p>
        </w:tc>
        <w:tc>
          <w:tcPr>
            <w:tcW w:w="2154" w:type="dxa"/>
            <w:shd w:val="clear" w:color="auto" w:fill="auto"/>
            <w:noWrap/>
            <w:hideMark/>
          </w:tcPr>
          <w:p w14:paraId="63C93975" w14:textId="77777777" w:rsidR="001F5A79" w:rsidRPr="009C5807" w:rsidRDefault="001F5A79" w:rsidP="00485F6E">
            <w:pPr>
              <w:pStyle w:val="TAC"/>
              <w:rPr>
                <w:lang w:eastAsia="ko-KR"/>
              </w:rPr>
            </w:pPr>
            <w:r w:rsidRPr="009C5807">
              <w:t>17.5</w:t>
            </w:r>
            <w:r w:rsidRPr="009C5807">
              <w:rPr>
                <w:rFonts w:hint="eastAsia"/>
              </w:rPr>
              <w:t>≤</w:t>
            </w:r>
            <w:r w:rsidRPr="009C5807">
              <w:t xml:space="preserve"> SS-RSRQ&lt;18</w:t>
            </w:r>
          </w:p>
        </w:tc>
        <w:tc>
          <w:tcPr>
            <w:tcW w:w="710" w:type="dxa"/>
            <w:shd w:val="clear" w:color="auto" w:fill="auto"/>
            <w:noWrap/>
            <w:hideMark/>
          </w:tcPr>
          <w:p w14:paraId="39AE3863" w14:textId="77777777" w:rsidR="001F5A79" w:rsidRPr="009C5807" w:rsidRDefault="001F5A79" w:rsidP="00485F6E">
            <w:pPr>
              <w:pStyle w:val="TAC"/>
              <w:rPr>
                <w:lang w:eastAsia="ko-KR"/>
              </w:rPr>
            </w:pPr>
            <w:r w:rsidRPr="009C5807">
              <w:t>dB</w:t>
            </w:r>
          </w:p>
        </w:tc>
      </w:tr>
      <w:tr w:rsidR="001F5A79" w:rsidRPr="009C5807" w14:paraId="673246FE" w14:textId="77777777" w:rsidTr="00485F6E">
        <w:trPr>
          <w:trHeight w:val="300"/>
          <w:jc w:val="center"/>
        </w:trPr>
        <w:tc>
          <w:tcPr>
            <w:tcW w:w="1640" w:type="dxa"/>
            <w:shd w:val="clear" w:color="auto" w:fill="auto"/>
            <w:noWrap/>
            <w:hideMark/>
          </w:tcPr>
          <w:p w14:paraId="40B542C0" w14:textId="77777777" w:rsidR="001F5A79" w:rsidRPr="009C5807" w:rsidRDefault="001F5A79" w:rsidP="00485F6E">
            <w:pPr>
              <w:pStyle w:val="TAC"/>
              <w:rPr>
                <w:lang w:eastAsia="ko-KR"/>
              </w:rPr>
            </w:pPr>
            <w:r w:rsidRPr="009C5807">
              <w:t>SS-RSRQ_123</w:t>
            </w:r>
          </w:p>
        </w:tc>
        <w:tc>
          <w:tcPr>
            <w:tcW w:w="2154" w:type="dxa"/>
            <w:shd w:val="clear" w:color="auto" w:fill="auto"/>
            <w:noWrap/>
            <w:hideMark/>
          </w:tcPr>
          <w:p w14:paraId="04CE99E5" w14:textId="77777777" w:rsidR="001F5A79" w:rsidRPr="009C5807" w:rsidRDefault="001F5A79" w:rsidP="00485F6E">
            <w:pPr>
              <w:pStyle w:val="TAC"/>
              <w:rPr>
                <w:lang w:eastAsia="ko-KR"/>
              </w:rPr>
            </w:pPr>
            <w:r w:rsidRPr="009C5807">
              <w:t>18</w:t>
            </w:r>
            <w:r w:rsidRPr="009C5807">
              <w:rPr>
                <w:rFonts w:hint="eastAsia"/>
              </w:rPr>
              <w:t>≤</w:t>
            </w:r>
            <w:r w:rsidRPr="009C5807">
              <w:t xml:space="preserve"> SS-RSRQ&lt;18.5</w:t>
            </w:r>
          </w:p>
        </w:tc>
        <w:tc>
          <w:tcPr>
            <w:tcW w:w="710" w:type="dxa"/>
            <w:shd w:val="clear" w:color="auto" w:fill="auto"/>
            <w:noWrap/>
            <w:hideMark/>
          </w:tcPr>
          <w:p w14:paraId="04F28704" w14:textId="77777777" w:rsidR="001F5A79" w:rsidRPr="009C5807" w:rsidRDefault="001F5A79" w:rsidP="00485F6E">
            <w:pPr>
              <w:pStyle w:val="TAC"/>
              <w:rPr>
                <w:lang w:eastAsia="ko-KR"/>
              </w:rPr>
            </w:pPr>
            <w:r w:rsidRPr="009C5807">
              <w:t>dB</w:t>
            </w:r>
          </w:p>
        </w:tc>
      </w:tr>
      <w:tr w:rsidR="001F5A79" w:rsidRPr="009C5807" w14:paraId="0C90B8C3" w14:textId="77777777" w:rsidTr="00485F6E">
        <w:trPr>
          <w:trHeight w:val="300"/>
          <w:jc w:val="center"/>
        </w:trPr>
        <w:tc>
          <w:tcPr>
            <w:tcW w:w="1640" w:type="dxa"/>
            <w:shd w:val="clear" w:color="auto" w:fill="auto"/>
            <w:noWrap/>
            <w:hideMark/>
          </w:tcPr>
          <w:p w14:paraId="0EDA745D" w14:textId="77777777" w:rsidR="001F5A79" w:rsidRPr="009C5807" w:rsidRDefault="001F5A79" w:rsidP="00485F6E">
            <w:pPr>
              <w:pStyle w:val="TAC"/>
              <w:rPr>
                <w:lang w:eastAsia="ko-KR"/>
              </w:rPr>
            </w:pPr>
            <w:r w:rsidRPr="009C5807">
              <w:t>SS-RSRQ_124</w:t>
            </w:r>
          </w:p>
        </w:tc>
        <w:tc>
          <w:tcPr>
            <w:tcW w:w="2154" w:type="dxa"/>
            <w:shd w:val="clear" w:color="auto" w:fill="auto"/>
            <w:noWrap/>
            <w:hideMark/>
          </w:tcPr>
          <w:p w14:paraId="6DAED173" w14:textId="77777777" w:rsidR="001F5A79" w:rsidRPr="009C5807" w:rsidRDefault="001F5A79" w:rsidP="00485F6E">
            <w:pPr>
              <w:pStyle w:val="TAC"/>
              <w:rPr>
                <w:lang w:eastAsia="ko-KR"/>
              </w:rPr>
            </w:pPr>
            <w:r w:rsidRPr="009C5807">
              <w:t>18.5</w:t>
            </w:r>
            <w:r w:rsidRPr="009C5807">
              <w:rPr>
                <w:rFonts w:hint="eastAsia"/>
              </w:rPr>
              <w:t>≤</w:t>
            </w:r>
            <w:r w:rsidRPr="009C5807">
              <w:t xml:space="preserve"> SS-RSRQ&lt;19</w:t>
            </w:r>
          </w:p>
        </w:tc>
        <w:tc>
          <w:tcPr>
            <w:tcW w:w="710" w:type="dxa"/>
            <w:shd w:val="clear" w:color="auto" w:fill="auto"/>
            <w:noWrap/>
            <w:hideMark/>
          </w:tcPr>
          <w:p w14:paraId="66A6156C" w14:textId="77777777" w:rsidR="001F5A79" w:rsidRPr="009C5807" w:rsidRDefault="001F5A79" w:rsidP="00485F6E">
            <w:pPr>
              <w:pStyle w:val="TAC"/>
              <w:rPr>
                <w:lang w:eastAsia="ko-KR"/>
              </w:rPr>
            </w:pPr>
            <w:r w:rsidRPr="009C5807">
              <w:t>dB</w:t>
            </w:r>
          </w:p>
        </w:tc>
      </w:tr>
      <w:tr w:rsidR="001F5A79" w:rsidRPr="009C5807" w14:paraId="3DE1B188" w14:textId="77777777" w:rsidTr="00485F6E">
        <w:trPr>
          <w:trHeight w:val="300"/>
          <w:jc w:val="center"/>
        </w:trPr>
        <w:tc>
          <w:tcPr>
            <w:tcW w:w="1640" w:type="dxa"/>
            <w:shd w:val="clear" w:color="auto" w:fill="auto"/>
            <w:noWrap/>
            <w:hideMark/>
          </w:tcPr>
          <w:p w14:paraId="270CD33A" w14:textId="77777777" w:rsidR="001F5A79" w:rsidRPr="009C5807" w:rsidRDefault="001F5A79" w:rsidP="00485F6E">
            <w:pPr>
              <w:pStyle w:val="TAC"/>
              <w:rPr>
                <w:lang w:eastAsia="ko-KR"/>
              </w:rPr>
            </w:pPr>
            <w:r w:rsidRPr="009C5807">
              <w:t>SS-RSRQ_125</w:t>
            </w:r>
          </w:p>
        </w:tc>
        <w:tc>
          <w:tcPr>
            <w:tcW w:w="2154" w:type="dxa"/>
            <w:shd w:val="clear" w:color="auto" w:fill="auto"/>
            <w:noWrap/>
            <w:hideMark/>
          </w:tcPr>
          <w:p w14:paraId="32102F5D" w14:textId="77777777" w:rsidR="001F5A79" w:rsidRPr="009C5807" w:rsidRDefault="001F5A79" w:rsidP="00485F6E">
            <w:pPr>
              <w:pStyle w:val="TAC"/>
              <w:rPr>
                <w:lang w:eastAsia="ko-KR"/>
              </w:rPr>
            </w:pPr>
            <w:r w:rsidRPr="009C5807">
              <w:t>19</w:t>
            </w:r>
            <w:r w:rsidRPr="009C5807">
              <w:rPr>
                <w:rFonts w:hint="eastAsia"/>
              </w:rPr>
              <w:t>≤</w:t>
            </w:r>
            <w:r w:rsidRPr="009C5807">
              <w:t xml:space="preserve"> SS-RSRQ&lt;19.5</w:t>
            </w:r>
          </w:p>
        </w:tc>
        <w:tc>
          <w:tcPr>
            <w:tcW w:w="710" w:type="dxa"/>
            <w:shd w:val="clear" w:color="auto" w:fill="auto"/>
            <w:noWrap/>
            <w:hideMark/>
          </w:tcPr>
          <w:p w14:paraId="31F5CDB7" w14:textId="77777777" w:rsidR="001F5A79" w:rsidRPr="009C5807" w:rsidRDefault="001F5A79" w:rsidP="00485F6E">
            <w:pPr>
              <w:pStyle w:val="TAC"/>
              <w:rPr>
                <w:lang w:eastAsia="ko-KR"/>
              </w:rPr>
            </w:pPr>
            <w:r w:rsidRPr="009C5807">
              <w:t>dB</w:t>
            </w:r>
          </w:p>
        </w:tc>
      </w:tr>
      <w:tr w:rsidR="001F5A79" w:rsidRPr="009C5807" w14:paraId="7940B2BF" w14:textId="77777777" w:rsidTr="00485F6E">
        <w:trPr>
          <w:trHeight w:val="300"/>
          <w:jc w:val="center"/>
        </w:trPr>
        <w:tc>
          <w:tcPr>
            <w:tcW w:w="1640" w:type="dxa"/>
            <w:shd w:val="clear" w:color="auto" w:fill="auto"/>
            <w:noWrap/>
            <w:hideMark/>
          </w:tcPr>
          <w:p w14:paraId="16649642" w14:textId="77777777" w:rsidR="001F5A79" w:rsidRPr="009C5807" w:rsidRDefault="001F5A79" w:rsidP="00485F6E">
            <w:pPr>
              <w:pStyle w:val="TAC"/>
              <w:rPr>
                <w:lang w:eastAsia="ko-KR"/>
              </w:rPr>
            </w:pPr>
            <w:r w:rsidRPr="009C5807">
              <w:t>SS-RSRQ_126</w:t>
            </w:r>
          </w:p>
        </w:tc>
        <w:tc>
          <w:tcPr>
            <w:tcW w:w="2154" w:type="dxa"/>
            <w:shd w:val="clear" w:color="auto" w:fill="auto"/>
            <w:noWrap/>
            <w:hideMark/>
          </w:tcPr>
          <w:p w14:paraId="2BE53260" w14:textId="77777777" w:rsidR="001F5A79" w:rsidRPr="009C5807" w:rsidRDefault="001F5A79" w:rsidP="00485F6E">
            <w:pPr>
              <w:pStyle w:val="TAC"/>
              <w:rPr>
                <w:lang w:eastAsia="ko-KR"/>
              </w:rPr>
            </w:pPr>
            <w:r w:rsidRPr="009C5807">
              <w:t>19.5</w:t>
            </w:r>
            <w:r w:rsidRPr="009C5807">
              <w:rPr>
                <w:rFonts w:hint="eastAsia"/>
              </w:rPr>
              <w:t>≤</w:t>
            </w:r>
            <w:r w:rsidRPr="009C5807">
              <w:t xml:space="preserve"> SS-RSRQ&lt;20</w:t>
            </w:r>
          </w:p>
        </w:tc>
        <w:tc>
          <w:tcPr>
            <w:tcW w:w="710" w:type="dxa"/>
            <w:shd w:val="clear" w:color="auto" w:fill="auto"/>
            <w:noWrap/>
            <w:hideMark/>
          </w:tcPr>
          <w:p w14:paraId="12CA62E5" w14:textId="77777777" w:rsidR="001F5A79" w:rsidRPr="009C5807" w:rsidRDefault="001F5A79" w:rsidP="00485F6E">
            <w:pPr>
              <w:pStyle w:val="TAC"/>
              <w:rPr>
                <w:lang w:eastAsia="ko-KR"/>
              </w:rPr>
            </w:pPr>
            <w:r w:rsidRPr="009C5807">
              <w:t>dB</w:t>
            </w:r>
          </w:p>
        </w:tc>
      </w:tr>
      <w:tr w:rsidR="001F5A79" w:rsidRPr="009C5807" w14:paraId="1DBAEFFA" w14:textId="77777777" w:rsidTr="00485F6E">
        <w:trPr>
          <w:trHeight w:val="300"/>
          <w:jc w:val="center"/>
        </w:trPr>
        <w:tc>
          <w:tcPr>
            <w:tcW w:w="1640" w:type="dxa"/>
            <w:shd w:val="clear" w:color="auto" w:fill="auto"/>
            <w:noWrap/>
          </w:tcPr>
          <w:p w14:paraId="42163522" w14:textId="77777777" w:rsidR="001F5A79" w:rsidRPr="009C5807" w:rsidRDefault="001F5A79" w:rsidP="00485F6E">
            <w:pPr>
              <w:pStyle w:val="TAC"/>
            </w:pPr>
            <w:r w:rsidRPr="009C5807">
              <w:t>SS-RSRQ_127</w:t>
            </w:r>
          </w:p>
        </w:tc>
        <w:tc>
          <w:tcPr>
            <w:tcW w:w="2154" w:type="dxa"/>
            <w:shd w:val="clear" w:color="auto" w:fill="auto"/>
            <w:noWrap/>
          </w:tcPr>
          <w:p w14:paraId="69013AFB" w14:textId="77777777" w:rsidR="001F5A79" w:rsidRPr="009C5807" w:rsidRDefault="001F5A79" w:rsidP="00485F6E">
            <w:pPr>
              <w:pStyle w:val="TAC"/>
            </w:pPr>
            <w:r w:rsidRPr="009C5807">
              <w:t xml:space="preserve">20 </w:t>
            </w:r>
            <w:r w:rsidRPr="009C5807">
              <w:rPr>
                <w:rFonts w:hint="eastAsia"/>
              </w:rPr>
              <w:t>≤</w:t>
            </w:r>
            <w:r w:rsidRPr="009C5807">
              <w:t xml:space="preserve"> SS-RSRQ</w:t>
            </w:r>
          </w:p>
        </w:tc>
        <w:tc>
          <w:tcPr>
            <w:tcW w:w="710" w:type="dxa"/>
            <w:shd w:val="clear" w:color="auto" w:fill="auto"/>
            <w:noWrap/>
          </w:tcPr>
          <w:p w14:paraId="6F40A305" w14:textId="77777777" w:rsidR="001F5A79" w:rsidRPr="009C5807" w:rsidRDefault="001F5A79" w:rsidP="00485F6E">
            <w:pPr>
              <w:pStyle w:val="TAC"/>
            </w:pPr>
            <w:r w:rsidRPr="009C5807">
              <w:t>dB</w:t>
            </w:r>
          </w:p>
        </w:tc>
      </w:tr>
    </w:tbl>
    <w:p w14:paraId="279518B9" w14:textId="77777777" w:rsidR="001F5A79" w:rsidRPr="009C5807" w:rsidRDefault="001F5A79" w:rsidP="001F5A79">
      <w:pPr>
        <w:rPr>
          <w:lang w:val="en-US" w:eastAsia="ko-KR"/>
        </w:rPr>
      </w:pPr>
    </w:p>
    <w:p w14:paraId="1DE22EF3" w14:textId="721BC9BD" w:rsidR="001F5A79" w:rsidRPr="009C5807" w:rsidRDefault="001F5A79" w:rsidP="00967CF8">
      <w:pPr>
        <w:pStyle w:val="Heading3"/>
        <w:rPr>
          <w:lang w:val="en-US" w:eastAsia="ko-KR"/>
        </w:rPr>
      </w:pPr>
      <w:r w:rsidRPr="009C5807">
        <w:rPr>
          <w:lang w:val="en-US" w:eastAsia="ko-KR"/>
        </w:rPr>
        <w:t>1</w:t>
      </w:r>
      <w:r w:rsidR="00967CF8" w:rsidRPr="009C5807">
        <w:rPr>
          <w:lang w:val="en-US" w:eastAsia="ko-KR"/>
        </w:rPr>
        <w:t>0.1.1</w:t>
      </w:r>
      <w:r w:rsidRPr="009C5807">
        <w:rPr>
          <w:lang w:val="en-US" w:eastAsia="ko-KR"/>
        </w:rPr>
        <w:t>2</w:t>
      </w:r>
      <w:r w:rsidRPr="009C5807">
        <w:rPr>
          <w:lang w:val="en-US" w:eastAsia="ko-KR"/>
        </w:rPr>
        <w:tab/>
        <w:t xml:space="preserve">Intra-frequency SINR accuracy requirements </w:t>
      </w:r>
      <w:r w:rsidRPr="009C5807">
        <w:rPr>
          <w:lang w:val="en-US" w:eastAsia="zh-CN"/>
        </w:rPr>
        <w:t>for</w:t>
      </w:r>
      <w:r w:rsidRPr="009C5807">
        <w:rPr>
          <w:lang w:val="en-US" w:eastAsia="ko-KR"/>
        </w:rPr>
        <w:t xml:space="preserve"> FR1</w:t>
      </w:r>
    </w:p>
    <w:p w14:paraId="092FED88" w14:textId="77777777" w:rsidR="001F5A79" w:rsidRPr="009C5807" w:rsidRDefault="001F5A79" w:rsidP="009D3C60">
      <w:pPr>
        <w:pStyle w:val="Heading4"/>
        <w:rPr>
          <w:lang w:val="en-US" w:eastAsia="zh-CN"/>
        </w:rPr>
      </w:pPr>
      <w:r w:rsidRPr="009C5807">
        <w:rPr>
          <w:lang w:val="en-US" w:eastAsia="zh-CN"/>
        </w:rPr>
        <w:t>10.1.12.1</w:t>
      </w:r>
      <w:r w:rsidRPr="009C5807">
        <w:rPr>
          <w:lang w:val="en-US" w:eastAsia="zh-CN"/>
        </w:rPr>
        <w:tab/>
      </w:r>
      <w:r w:rsidRPr="009C5807">
        <w:rPr>
          <w:lang w:val="en-US" w:eastAsia="ko-KR"/>
        </w:rPr>
        <w:t>Intra-frequency SS-SINR accuracy requirements</w:t>
      </w:r>
      <w:r w:rsidRPr="009C5807">
        <w:rPr>
          <w:lang w:val="en-US" w:eastAsia="zh-CN"/>
        </w:rPr>
        <w:t xml:space="preserve"> in FR1</w:t>
      </w:r>
    </w:p>
    <w:p w14:paraId="0EB8384D" w14:textId="77777777" w:rsidR="001F5A79" w:rsidRPr="009C5807" w:rsidRDefault="001F5A79" w:rsidP="009D3C60">
      <w:pPr>
        <w:pStyle w:val="Heading5"/>
      </w:pPr>
      <w:r w:rsidRPr="009C5807">
        <w:rPr>
          <w:lang w:eastAsia="zh-CN"/>
        </w:rPr>
        <w:t>10.1.12</w:t>
      </w:r>
      <w:r w:rsidRPr="009C5807">
        <w:t>.1</w:t>
      </w:r>
      <w:r w:rsidRPr="009C5807">
        <w:rPr>
          <w:lang w:eastAsia="zh-CN"/>
        </w:rPr>
        <w:t>.1</w:t>
      </w:r>
      <w:r w:rsidRPr="009C5807">
        <w:tab/>
        <w:t xml:space="preserve">Absolute </w:t>
      </w:r>
      <w:r w:rsidRPr="009C5807">
        <w:rPr>
          <w:lang w:val="en-US" w:eastAsia="ko-KR"/>
        </w:rPr>
        <w:t xml:space="preserve">SS-SINR </w:t>
      </w:r>
      <w:r w:rsidRPr="009C5807">
        <w:t>Accuracy in FR1</w:t>
      </w:r>
    </w:p>
    <w:p w14:paraId="4C5496CC" w14:textId="77777777" w:rsidR="001F5A79" w:rsidRPr="009C5807" w:rsidRDefault="001F5A79" w:rsidP="001F5A79">
      <w:pPr>
        <w:rPr>
          <w:rFonts w:cs="v4.2.0"/>
          <w:i/>
        </w:rPr>
      </w:pPr>
      <w:r w:rsidRPr="009C5807">
        <w:rPr>
          <w:rFonts w:cs="v4.2.0"/>
        </w:rPr>
        <w:t xml:space="preserve">Unless otherwise specified, the requirements for absolute accuracy of </w:t>
      </w:r>
      <w:r w:rsidRPr="009C5807">
        <w:rPr>
          <w:rFonts w:cs="v4.2.0"/>
          <w:lang w:eastAsia="zh-CN"/>
        </w:rPr>
        <w:t>SS-SINR</w:t>
      </w:r>
      <w:r w:rsidRPr="009C5807">
        <w:rPr>
          <w:rFonts w:cs="v4.2.0"/>
        </w:rPr>
        <w:t xml:space="preserve"> in this clause apply to a cell on the same frequency as that of the serving cell in FR1.</w:t>
      </w:r>
    </w:p>
    <w:p w14:paraId="6429EC1F"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10.1.12.1.1</w:t>
      </w:r>
      <w:r w:rsidRPr="009C5807">
        <w:rPr>
          <w:rFonts w:cs="v4.2.0"/>
        </w:rPr>
        <w:t>-1 are valid under the following conditions:</w:t>
      </w:r>
    </w:p>
    <w:p w14:paraId="37543D33" w14:textId="77777777" w:rsidR="001F5A79" w:rsidRPr="009C5807" w:rsidRDefault="001F5A79" w:rsidP="00D638F6">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35BCA27F" w14:textId="77777777" w:rsidR="001F5A79" w:rsidRPr="009C5807" w:rsidRDefault="001F5A79" w:rsidP="00D638F6">
      <w:pPr>
        <w:pStyle w:val="B10"/>
      </w:pPr>
      <w:r w:rsidRPr="009C5807">
        <w:t>-</w:t>
      </w:r>
      <w:r w:rsidRPr="009C5807">
        <w:rPr>
          <w:rFonts w:ascii="Arial" w:hAnsi="Arial"/>
          <w:sz w:val="28"/>
          <w:lang w:val="en-US"/>
        </w:rPr>
        <w:tab/>
      </w:r>
      <w:r w:rsidRPr="009C5807">
        <w:t>Conditions for intra-frequency measurements are fulfilled according to Annex B.2.2 for a corresponding Band.</w:t>
      </w:r>
    </w:p>
    <w:p w14:paraId="20B2BB3B" w14:textId="77777777" w:rsidR="001F5A79" w:rsidRPr="009C5807" w:rsidRDefault="001F5A79" w:rsidP="0093237A">
      <w:pPr>
        <w:pStyle w:val="TH"/>
        <w:rPr>
          <w:lang w:eastAsia="zh-CN"/>
        </w:rPr>
      </w:pPr>
      <w:r w:rsidRPr="009C5807">
        <w:t xml:space="preserve">Table </w:t>
      </w:r>
      <w:r w:rsidRPr="009C5807">
        <w:rPr>
          <w:lang w:eastAsia="zh-CN"/>
        </w:rPr>
        <w:t>10.1.12.1.1-1</w:t>
      </w:r>
      <w:r w:rsidRPr="009C5807">
        <w:t xml:space="preserve">: </w:t>
      </w:r>
      <w:r w:rsidRPr="009C5807">
        <w:rPr>
          <w:lang w:eastAsia="zh-CN"/>
        </w:rPr>
        <w:t>SS-SINR</w:t>
      </w:r>
      <w:r w:rsidRPr="009C5807">
        <w:t xml:space="preserve"> Intra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1F5A79" w:rsidRPr="009C5807" w14:paraId="22991575" w14:textId="77777777" w:rsidTr="00B03A04">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03C578CA" w14:textId="77777777" w:rsidR="001F5A79" w:rsidRPr="009C5807" w:rsidRDefault="001F5A79" w:rsidP="00B03A04">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49B79342" w14:textId="77777777" w:rsidR="001F5A79" w:rsidRPr="009C5807" w:rsidRDefault="001F5A79" w:rsidP="00B03A04">
            <w:pPr>
              <w:pStyle w:val="TAH"/>
            </w:pPr>
            <w:r w:rsidRPr="009C5807">
              <w:t>Conditions</w:t>
            </w:r>
          </w:p>
        </w:tc>
      </w:tr>
      <w:tr w:rsidR="00CF56CF" w:rsidRPr="009C5807" w14:paraId="7956F2AB" w14:textId="77777777" w:rsidTr="00B03A04">
        <w:trPr>
          <w:jc w:val="center"/>
        </w:trPr>
        <w:tc>
          <w:tcPr>
            <w:tcW w:w="1035" w:type="dxa"/>
            <w:tcBorders>
              <w:top w:val="single" w:sz="4" w:space="0" w:color="auto"/>
              <w:left w:val="single" w:sz="4" w:space="0" w:color="auto"/>
              <w:right w:val="single" w:sz="4" w:space="0" w:color="auto"/>
            </w:tcBorders>
            <w:shd w:val="clear" w:color="auto" w:fill="auto"/>
          </w:tcPr>
          <w:p w14:paraId="65D8F21C" w14:textId="77777777" w:rsidR="00CF56CF" w:rsidRPr="009C5807" w:rsidRDefault="00CF56CF" w:rsidP="00B03A04">
            <w:pPr>
              <w:pStyle w:val="TAH"/>
            </w:pPr>
            <w:r w:rsidRPr="009C5807">
              <w:t>Normal condition</w:t>
            </w:r>
          </w:p>
        </w:tc>
        <w:tc>
          <w:tcPr>
            <w:tcW w:w="1047" w:type="dxa"/>
            <w:tcBorders>
              <w:top w:val="single" w:sz="4" w:space="0" w:color="auto"/>
              <w:left w:val="single" w:sz="4" w:space="0" w:color="auto"/>
              <w:right w:val="single" w:sz="4" w:space="0" w:color="auto"/>
            </w:tcBorders>
            <w:shd w:val="clear" w:color="auto" w:fill="auto"/>
          </w:tcPr>
          <w:p w14:paraId="4ECCF663" w14:textId="77777777" w:rsidR="00CF56CF" w:rsidRPr="009C5807" w:rsidRDefault="00CF56CF" w:rsidP="00B03A04">
            <w:pPr>
              <w:pStyle w:val="TAH"/>
            </w:pPr>
            <w:r w:rsidRPr="009C5807">
              <w:t>Extreme condition</w:t>
            </w:r>
          </w:p>
        </w:tc>
        <w:tc>
          <w:tcPr>
            <w:tcW w:w="802" w:type="dxa"/>
            <w:tcBorders>
              <w:top w:val="single" w:sz="4" w:space="0" w:color="auto"/>
              <w:left w:val="single" w:sz="4" w:space="0" w:color="auto"/>
              <w:right w:val="single" w:sz="4" w:space="0" w:color="auto"/>
            </w:tcBorders>
            <w:shd w:val="clear" w:color="auto" w:fill="auto"/>
          </w:tcPr>
          <w:p w14:paraId="2815021E" w14:textId="741D6098" w:rsidR="00CF56CF" w:rsidRPr="009C5807" w:rsidRDefault="00CF56CF" w:rsidP="00B03A04">
            <w:pPr>
              <w:pStyle w:val="TAH"/>
            </w:pPr>
            <w:r w:rsidRPr="009C5807">
              <w:t>SSB Ês/Iot</w:t>
            </w:r>
          </w:p>
        </w:tc>
        <w:tc>
          <w:tcPr>
            <w:tcW w:w="7288" w:type="dxa"/>
            <w:gridSpan w:val="5"/>
            <w:tcBorders>
              <w:top w:val="single" w:sz="6" w:space="0" w:color="auto"/>
              <w:left w:val="single" w:sz="4" w:space="0" w:color="auto"/>
              <w:bottom w:val="single" w:sz="6" w:space="0" w:color="auto"/>
              <w:right w:val="single" w:sz="4" w:space="0" w:color="auto"/>
            </w:tcBorders>
            <w:shd w:val="clear" w:color="auto" w:fill="auto"/>
          </w:tcPr>
          <w:p w14:paraId="48FEFDAF" w14:textId="77777777" w:rsidR="00CF56CF" w:rsidRPr="009C5807" w:rsidRDefault="00CF56CF" w:rsidP="00B03A04">
            <w:pPr>
              <w:pStyle w:val="TAH"/>
            </w:pPr>
            <w:r w:rsidRPr="009C5807">
              <w:t>Io</w:t>
            </w:r>
            <w:r w:rsidRPr="009C5807">
              <w:rPr>
                <w:vertAlign w:val="superscript"/>
                <w:lang w:eastAsia="zh-CN"/>
              </w:rPr>
              <w:t xml:space="preserve"> Note 1</w:t>
            </w:r>
            <w:r w:rsidRPr="009C5807">
              <w:t xml:space="preserve"> range</w:t>
            </w:r>
          </w:p>
        </w:tc>
      </w:tr>
      <w:tr w:rsidR="00CF56CF" w:rsidRPr="009C5807" w14:paraId="38BAD647" w14:textId="77777777" w:rsidTr="00B03A04">
        <w:trPr>
          <w:jc w:val="center"/>
        </w:trPr>
        <w:tc>
          <w:tcPr>
            <w:tcW w:w="1035" w:type="dxa"/>
            <w:tcBorders>
              <w:left w:val="single" w:sz="4" w:space="0" w:color="auto"/>
              <w:bottom w:val="single" w:sz="4" w:space="0" w:color="auto"/>
              <w:right w:val="single" w:sz="4" w:space="0" w:color="auto"/>
            </w:tcBorders>
            <w:shd w:val="clear" w:color="auto" w:fill="auto"/>
          </w:tcPr>
          <w:p w14:paraId="17A890FF" w14:textId="77777777" w:rsidR="00CF56CF" w:rsidRPr="009C5807" w:rsidRDefault="00CF56CF" w:rsidP="00B03A04">
            <w:pPr>
              <w:pStyle w:val="TAH"/>
            </w:pPr>
          </w:p>
        </w:tc>
        <w:tc>
          <w:tcPr>
            <w:tcW w:w="1047" w:type="dxa"/>
            <w:tcBorders>
              <w:left w:val="single" w:sz="4" w:space="0" w:color="auto"/>
              <w:bottom w:val="single" w:sz="4" w:space="0" w:color="auto"/>
              <w:right w:val="single" w:sz="4" w:space="0" w:color="auto"/>
            </w:tcBorders>
            <w:shd w:val="clear" w:color="auto" w:fill="auto"/>
          </w:tcPr>
          <w:p w14:paraId="38CF3851" w14:textId="77777777" w:rsidR="00CF56CF" w:rsidRPr="009C5807" w:rsidRDefault="00CF56CF" w:rsidP="00B03A04">
            <w:pPr>
              <w:pStyle w:val="TAH"/>
            </w:pPr>
          </w:p>
        </w:tc>
        <w:tc>
          <w:tcPr>
            <w:tcW w:w="802" w:type="dxa"/>
            <w:tcBorders>
              <w:left w:val="single" w:sz="4" w:space="0" w:color="auto"/>
              <w:bottom w:val="single" w:sz="4" w:space="0" w:color="auto"/>
              <w:right w:val="single" w:sz="4" w:space="0" w:color="auto"/>
            </w:tcBorders>
            <w:shd w:val="clear" w:color="auto" w:fill="auto"/>
          </w:tcPr>
          <w:p w14:paraId="00B03F51" w14:textId="08A5AF32" w:rsidR="00CF56CF" w:rsidRPr="009C5807" w:rsidRDefault="00CF56CF" w:rsidP="00B03A04">
            <w:pPr>
              <w:pStyle w:val="TAH"/>
            </w:pPr>
            <w:r w:rsidRPr="009C5807">
              <w:rPr>
                <w:vertAlign w:val="superscript"/>
                <w:lang w:eastAsia="zh-CN"/>
              </w:rPr>
              <w:t>Note 3</w:t>
            </w:r>
          </w:p>
        </w:tc>
        <w:tc>
          <w:tcPr>
            <w:tcW w:w="2298" w:type="dxa"/>
            <w:tcBorders>
              <w:top w:val="single" w:sz="6" w:space="0" w:color="auto"/>
              <w:left w:val="single" w:sz="4" w:space="0" w:color="auto"/>
              <w:bottom w:val="single" w:sz="6" w:space="0" w:color="auto"/>
              <w:right w:val="single" w:sz="4" w:space="0" w:color="auto"/>
            </w:tcBorders>
            <w:shd w:val="clear" w:color="auto" w:fill="auto"/>
          </w:tcPr>
          <w:p w14:paraId="0479A945" w14:textId="77777777" w:rsidR="00CF56CF" w:rsidRPr="009C5807" w:rsidRDefault="00CF56CF" w:rsidP="00B03A04">
            <w:pPr>
              <w:pStyle w:val="TAH"/>
            </w:pPr>
            <w:r w:rsidRPr="009C5807">
              <w:t>NR operating band groups</w:t>
            </w:r>
            <w:r w:rsidRPr="009C5807">
              <w:rPr>
                <w:vertAlign w:val="superscript"/>
              </w:rPr>
              <w:t xml:space="preserve"> </w:t>
            </w:r>
            <w:r w:rsidRPr="009C5807">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tcPr>
          <w:p w14:paraId="4A5F814D" w14:textId="77777777" w:rsidR="00CF56CF" w:rsidRPr="009C5807" w:rsidRDefault="00CF56CF" w:rsidP="00B03A04">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4CF04604" w14:textId="77777777" w:rsidR="00CF56CF" w:rsidRPr="009C5807" w:rsidRDefault="00CF56CF" w:rsidP="00B03A04">
            <w:pPr>
              <w:pStyle w:val="TAH"/>
            </w:pPr>
            <w:r w:rsidRPr="009C5807">
              <w:t>Maximum Io</w:t>
            </w:r>
          </w:p>
        </w:tc>
      </w:tr>
      <w:tr w:rsidR="001F5A79" w:rsidRPr="009C5807" w14:paraId="45314E20" w14:textId="77777777" w:rsidTr="00B03A04">
        <w:trPr>
          <w:trHeight w:val="308"/>
          <w:jc w:val="center"/>
        </w:trPr>
        <w:tc>
          <w:tcPr>
            <w:tcW w:w="1035" w:type="dxa"/>
            <w:tcBorders>
              <w:top w:val="single" w:sz="4" w:space="0" w:color="auto"/>
              <w:left w:val="single" w:sz="4" w:space="0" w:color="auto"/>
              <w:right w:val="single" w:sz="6" w:space="0" w:color="auto"/>
            </w:tcBorders>
            <w:shd w:val="clear" w:color="auto" w:fill="auto"/>
          </w:tcPr>
          <w:p w14:paraId="72BB3EED" w14:textId="77777777" w:rsidR="001F5A79" w:rsidRPr="009C5807" w:rsidRDefault="001F5A79" w:rsidP="00B03A04">
            <w:pPr>
              <w:pStyle w:val="TAH"/>
            </w:pPr>
            <w:r w:rsidRPr="009C5807">
              <w:t>dB</w:t>
            </w:r>
          </w:p>
        </w:tc>
        <w:tc>
          <w:tcPr>
            <w:tcW w:w="1047" w:type="dxa"/>
            <w:tcBorders>
              <w:top w:val="single" w:sz="4" w:space="0" w:color="auto"/>
              <w:left w:val="single" w:sz="6" w:space="0" w:color="auto"/>
              <w:right w:val="single" w:sz="6" w:space="0" w:color="auto"/>
            </w:tcBorders>
            <w:shd w:val="clear" w:color="auto" w:fill="auto"/>
          </w:tcPr>
          <w:p w14:paraId="146A01D6" w14:textId="77777777" w:rsidR="001F5A79" w:rsidRPr="009C5807" w:rsidRDefault="001F5A79" w:rsidP="00B03A04">
            <w:pPr>
              <w:pStyle w:val="TAH"/>
            </w:pPr>
            <w:r w:rsidRPr="009C5807">
              <w:t>dB</w:t>
            </w:r>
          </w:p>
        </w:tc>
        <w:tc>
          <w:tcPr>
            <w:tcW w:w="802" w:type="dxa"/>
            <w:tcBorders>
              <w:top w:val="single" w:sz="4" w:space="0" w:color="auto"/>
              <w:left w:val="single" w:sz="6" w:space="0" w:color="auto"/>
              <w:right w:val="single" w:sz="6" w:space="0" w:color="auto"/>
            </w:tcBorders>
            <w:shd w:val="clear" w:color="auto" w:fill="auto"/>
          </w:tcPr>
          <w:p w14:paraId="41D52C69" w14:textId="77777777" w:rsidR="001F5A79" w:rsidRPr="009C5807" w:rsidRDefault="001F5A79" w:rsidP="00B03A04">
            <w:pPr>
              <w:pStyle w:val="TAH"/>
            </w:pPr>
            <w:r w:rsidRPr="009C5807">
              <w:t>dB</w:t>
            </w:r>
          </w:p>
        </w:tc>
        <w:tc>
          <w:tcPr>
            <w:tcW w:w="2298" w:type="dxa"/>
            <w:tcBorders>
              <w:top w:val="single" w:sz="6" w:space="0" w:color="auto"/>
              <w:left w:val="single" w:sz="6" w:space="0" w:color="auto"/>
              <w:right w:val="single" w:sz="4" w:space="0" w:color="auto"/>
            </w:tcBorders>
            <w:shd w:val="clear" w:color="auto" w:fill="auto"/>
          </w:tcPr>
          <w:p w14:paraId="2A157E6E" w14:textId="77777777" w:rsidR="001F5A79" w:rsidRPr="009C5807" w:rsidRDefault="001F5A79" w:rsidP="00B03A04">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15A003FA" w14:textId="77777777" w:rsidR="001F5A79" w:rsidRPr="009C5807" w:rsidRDefault="001F5A79" w:rsidP="00B03A04">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36C54245" w14:textId="77777777" w:rsidR="001F5A79" w:rsidRPr="009C5807" w:rsidRDefault="001F5A79" w:rsidP="00B03A04">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488C309A" w14:textId="77777777" w:rsidR="001F5A79" w:rsidRPr="009C5807" w:rsidRDefault="001F5A79" w:rsidP="00B03A04">
            <w:pPr>
              <w:pStyle w:val="TAH"/>
            </w:pPr>
            <w:r w:rsidRPr="009C5807">
              <w:t>dBm/BW</w:t>
            </w:r>
            <w:r w:rsidRPr="009C5807">
              <w:rPr>
                <w:vertAlign w:val="subscript"/>
              </w:rPr>
              <w:t>Channel</w:t>
            </w:r>
          </w:p>
        </w:tc>
      </w:tr>
      <w:tr w:rsidR="001F5A79" w:rsidRPr="009C5807" w14:paraId="683FCB5D" w14:textId="77777777" w:rsidTr="00B03A04">
        <w:trPr>
          <w:trHeight w:val="307"/>
          <w:jc w:val="center"/>
        </w:trPr>
        <w:tc>
          <w:tcPr>
            <w:tcW w:w="1035" w:type="dxa"/>
            <w:tcBorders>
              <w:left w:val="single" w:sz="4" w:space="0" w:color="auto"/>
              <w:bottom w:val="single" w:sz="6" w:space="0" w:color="auto"/>
              <w:right w:val="single" w:sz="6" w:space="0" w:color="auto"/>
            </w:tcBorders>
            <w:shd w:val="clear" w:color="auto" w:fill="auto"/>
          </w:tcPr>
          <w:p w14:paraId="0F8EF4B9" w14:textId="77777777" w:rsidR="001F5A79" w:rsidRPr="009C5807" w:rsidRDefault="001F5A79" w:rsidP="00B03A04">
            <w:pPr>
              <w:pStyle w:val="TAH"/>
            </w:pPr>
          </w:p>
        </w:tc>
        <w:tc>
          <w:tcPr>
            <w:tcW w:w="1047" w:type="dxa"/>
            <w:tcBorders>
              <w:left w:val="single" w:sz="6" w:space="0" w:color="auto"/>
              <w:bottom w:val="single" w:sz="6" w:space="0" w:color="auto"/>
              <w:right w:val="single" w:sz="6" w:space="0" w:color="auto"/>
            </w:tcBorders>
            <w:shd w:val="clear" w:color="auto" w:fill="auto"/>
          </w:tcPr>
          <w:p w14:paraId="7A4F218A" w14:textId="77777777" w:rsidR="001F5A79" w:rsidRPr="009C5807" w:rsidRDefault="001F5A79" w:rsidP="00B03A04">
            <w:pPr>
              <w:pStyle w:val="TAH"/>
            </w:pPr>
          </w:p>
        </w:tc>
        <w:tc>
          <w:tcPr>
            <w:tcW w:w="802" w:type="dxa"/>
            <w:tcBorders>
              <w:left w:val="single" w:sz="6" w:space="0" w:color="auto"/>
              <w:bottom w:val="single" w:sz="6" w:space="0" w:color="auto"/>
              <w:right w:val="single" w:sz="6" w:space="0" w:color="auto"/>
            </w:tcBorders>
            <w:shd w:val="clear" w:color="auto" w:fill="auto"/>
          </w:tcPr>
          <w:p w14:paraId="48C69E26" w14:textId="77777777" w:rsidR="001F5A79" w:rsidRPr="009C5807" w:rsidRDefault="001F5A79" w:rsidP="00B03A04">
            <w:pPr>
              <w:pStyle w:val="TAH"/>
            </w:pPr>
          </w:p>
        </w:tc>
        <w:tc>
          <w:tcPr>
            <w:tcW w:w="2298" w:type="dxa"/>
            <w:tcBorders>
              <w:left w:val="single" w:sz="6" w:space="0" w:color="auto"/>
              <w:bottom w:val="single" w:sz="6" w:space="0" w:color="auto"/>
              <w:right w:val="single" w:sz="4" w:space="0" w:color="auto"/>
            </w:tcBorders>
            <w:shd w:val="clear" w:color="auto" w:fill="auto"/>
          </w:tcPr>
          <w:p w14:paraId="06ADEAC1" w14:textId="77777777" w:rsidR="001F5A79" w:rsidRPr="009C5807" w:rsidRDefault="001F5A79" w:rsidP="00B03A04">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913A483" w14:textId="77777777" w:rsidR="001F5A79" w:rsidRPr="009C5807" w:rsidRDefault="001F5A79" w:rsidP="00B03A04">
            <w:pPr>
              <w:pStyle w:val="TAH"/>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19B0A7B" w14:textId="77777777" w:rsidR="001F5A79" w:rsidRPr="009C5807" w:rsidRDefault="001F5A79" w:rsidP="00B03A04">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13EE092C" w14:textId="77777777" w:rsidR="001F5A79" w:rsidRPr="009C5807" w:rsidRDefault="001F5A79" w:rsidP="00B03A04">
            <w:pPr>
              <w:pStyle w:val="TAH"/>
            </w:pPr>
          </w:p>
        </w:tc>
        <w:tc>
          <w:tcPr>
            <w:tcW w:w="1440" w:type="dxa"/>
            <w:tcBorders>
              <w:left w:val="single" w:sz="6" w:space="0" w:color="auto"/>
              <w:bottom w:val="single" w:sz="6" w:space="0" w:color="auto"/>
              <w:right w:val="single" w:sz="4" w:space="0" w:color="auto"/>
            </w:tcBorders>
            <w:shd w:val="clear" w:color="auto" w:fill="auto"/>
          </w:tcPr>
          <w:p w14:paraId="2DE29375" w14:textId="77777777" w:rsidR="001F5A79" w:rsidRPr="009C5807" w:rsidRDefault="001F5A79" w:rsidP="00B03A04">
            <w:pPr>
              <w:pStyle w:val="TAH"/>
            </w:pPr>
          </w:p>
        </w:tc>
      </w:tr>
      <w:tr w:rsidR="0058457E" w:rsidRPr="009C5807" w14:paraId="4195CB19" w14:textId="77777777" w:rsidTr="00B03A04">
        <w:trPr>
          <w:jc w:val="center"/>
        </w:trPr>
        <w:tc>
          <w:tcPr>
            <w:tcW w:w="1035" w:type="dxa"/>
            <w:tcBorders>
              <w:top w:val="single" w:sz="6" w:space="0" w:color="auto"/>
              <w:left w:val="single" w:sz="4" w:space="0" w:color="auto"/>
              <w:right w:val="single" w:sz="6" w:space="0" w:color="auto"/>
            </w:tcBorders>
            <w:shd w:val="clear" w:color="auto" w:fill="auto"/>
          </w:tcPr>
          <w:p w14:paraId="7269A325" w14:textId="5F3BBB16" w:rsidR="0058457E" w:rsidRPr="009C5807" w:rsidRDefault="0058457E" w:rsidP="00B03A04">
            <w:pPr>
              <w:pStyle w:val="TAC"/>
            </w:pPr>
          </w:p>
        </w:tc>
        <w:tc>
          <w:tcPr>
            <w:tcW w:w="1047" w:type="dxa"/>
            <w:tcBorders>
              <w:top w:val="single" w:sz="6" w:space="0" w:color="auto"/>
              <w:left w:val="single" w:sz="6" w:space="0" w:color="auto"/>
              <w:right w:val="single" w:sz="6" w:space="0" w:color="auto"/>
            </w:tcBorders>
            <w:shd w:val="clear" w:color="auto" w:fill="auto"/>
          </w:tcPr>
          <w:p w14:paraId="59A4C604" w14:textId="18A07881" w:rsidR="0058457E" w:rsidRPr="009C5807" w:rsidRDefault="0058457E" w:rsidP="00B03A04">
            <w:pPr>
              <w:pStyle w:val="TAC"/>
            </w:pPr>
          </w:p>
        </w:tc>
        <w:tc>
          <w:tcPr>
            <w:tcW w:w="802" w:type="dxa"/>
            <w:tcBorders>
              <w:top w:val="single" w:sz="6" w:space="0" w:color="auto"/>
              <w:left w:val="single" w:sz="6" w:space="0" w:color="auto"/>
              <w:right w:val="single" w:sz="6" w:space="0" w:color="auto"/>
            </w:tcBorders>
            <w:shd w:val="clear" w:color="auto" w:fill="auto"/>
          </w:tcPr>
          <w:p w14:paraId="214D5FCC" w14:textId="5E204FC1" w:rsidR="0058457E" w:rsidRPr="009C5807" w:rsidRDefault="0058457E" w:rsidP="00B03A04">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060CE81" w14:textId="77777777" w:rsidR="0058457E" w:rsidRPr="009C5807" w:rsidRDefault="0058457E" w:rsidP="00B03A04">
            <w:pPr>
              <w:pStyle w:val="TAC"/>
            </w:pPr>
            <w:r w:rsidRPr="009C5807">
              <w:t>NR_FDD_FR1_A, NR_TDD_FR1_A,</w:t>
            </w:r>
          </w:p>
          <w:p w14:paraId="0CDF09F3" w14:textId="77777777" w:rsidR="0058457E" w:rsidRPr="009C5807" w:rsidRDefault="0058457E" w:rsidP="00B03A04">
            <w:pPr>
              <w:pStyle w:val="TAC"/>
            </w:pPr>
            <w:r w:rsidRPr="009C5807">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38D7602" w14:textId="77777777" w:rsidR="0058457E" w:rsidRPr="009C5807" w:rsidRDefault="0058457E" w:rsidP="00B03A04">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4F5168C" w14:textId="77777777" w:rsidR="0058457E" w:rsidRPr="009C5807" w:rsidRDefault="0058457E" w:rsidP="00B03A04">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96EE150"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DC6757A" w14:textId="77777777" w:rsidR="0058457E" w:rsidRPr="009C5807" w:rsidRDefault="0058457E" w:rsidP="00B03A04">
            <w:pPr>
              <w:pStyle w:val="TAC"/>
            </w:pPr>
            <w:r w:rsidRPr="009C5807">
              <w:t>-50</w:t>
            </w:r>
          </w:p>
        </w:tc>
      </w:tr>
      <w:tr w:rsidR="0058457E" w:rsidRPr="009C5807" w14:paraId="00995400" w14:textId="77777777" w:rsidTr="00B03A04">
        <w:trPr>
          <w:jc w:val="center"/>
        </w:trPr>
        <w:tc>
          <w:tcPr>
            <w:tcW w:w="1035" w:type="dxa"/>
            <w:tcBorders>
              <w:left w:val="single" w:sz="4" w:space="0" w:color="auto"/>
              <w:right w:val="single" w:sz="6" w:space="0" w:color="auto"/>
            </w:tcBorders>
            <w:shd w:val="clear" w:color="auto" w:fill="auto"/>
          </w:tcPr>
          <w:p w14:paraId="2A9D48A3" w14:textId="77777777" w:rsidR="0058457E" w:rsidRPr="009C5807" w:rsidRDefault="0058457E" w:rsidP="00B03A04">
            <w:pPr>
              <w:pStyle w:val="TAC"/>
            </w:pPr>
          </w:p>
        </w:tc>
        <w:tc>
          <w:tcPr>
            <w:tcW w:w="1047" w:type="dxa"/>
            <w:tcBorders>
              <w:left w:val="single" w:sz="6" w:space="0" w:color="auto"/>
              <w:right w:val="single" w:sz="6" w:space="0" w:color="auto"/>
            </w:tcBorders>
            <w:shd w:val="clear" w:color="auto" w:fill="auto"/>
          </w:tcPr>
          <w:p w14:paraId="6EF864C9" w14:textId="77777777" w:rsidR="0058457E" w:rsidRPr="009C5807" w:rsidRDefault="0058457E" w:rsidP="00B03A04">
            <w:pPr>
              <w:pStyle w:val="TAC"/>
            </w:pPr>
          </w:p>
        </w:tc>
        <w:tc>
          <w:tcPr>
            <w:tcW w:w="802" w:type="dxa"/>
            <w:tcBorders>
              <w:left w:val="single" w:sz="6" w:space="0" w:color="auto"/>
              <w:right w:val="single" w:sz="6" w:space="0" w:color="auto"/>
            </w:tcBorders>
            <w:shd w:val="clear" w:color="auto" w:fill="auto"/>
          </w:tcPr>
          <w:p w14:paraId="4A3F6F7A" w14:textId="77777777" w:rsidR="0058457E" w:rsidRPr="009C5807" w:rsidRDefault="0058457E" w:rsidP="00B03A04">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EA469EB" w14:textId="77777777" w:rsidR="0058457E" w:rsidRPr="009C5807" w:rsidRDefault="0058457E" w:rsidP="00B03A04">
            <w:pPr>
              <w:pStyle w:val="TAC"/>
            </w:pPr>
            <w:r w:rsidRPr="009C5807">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4804AF8" w14:textId="77777777" w:rsidR="0058457E" w:rsidRPr="009C5807" w:rsidRDefault="0058457E" w:rsidP="00B03A04">
            <w:pPr>
              <w:pStyle w:val="TAC"/>
            </w:pPr>
            <w:r w:rsidRPr="009C5807">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8C8C377" w14:textId="77777777" w:rsidR="0058457E" w:rsidRPr="009C5807" w:rsidRDefault="0058457E" w:rsidP="00B03A04">
            <w:pPr>
              <w:pStyle w:val="TAC"/>
              <w:rPr>
                <w:rFonts w:cs="Arial"/>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8FF8EFC" w14:textId="77777777" w:rsidR="0058457E" w:rsidRPr="009C5807" w:rsidRDefault="0058457E" w:rsidP="00B03A04">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F1D42D2" w14:textId="77777777" w:rsidR="0058457E" w:rsidRPr="009C5807" w:rsidRDefault="0058457E" w:rsidP="00B03A04">
            <w:pPr>
              <w:pStyle w:val="TAC"/>
            </w:pPr>
            <w:r w:rsidRPr="009C5807">
              <w:t>-50</w:t>
            </w:r>
          </w:p>
        </w:tc>
      </w:tr>
      <w:tr w:rsidR="0058457E" w:rsidRPr="009C5807" w14:paraId="22652CA0" w14:textId="77777777" w:rsidTr="00B03A04">
        <w:trPr>
          <w:jc w:val="center"/>
        </w:trPr>
        <w:tc>
          <w:tcPr>
            <w:tcW w:w="1035" w:type="dxa"/>
            <w:tcBorders>
              <w:left w:val="single" w:sz="4" w:space="0" w:color="auto"/>
              <w:right w:val="single" w:sz="6" w:space="0" w:color="auto"/>
            </w:tcBorders>
            <w:shd w:val="clear" w:color="auto" w:fill="auto"/>
          </w:tcPr>
          <w:p w14:paraId="15383215" w14:textId="77777777" w:rsidR="0058457E" w:rsidRPr="009C5807" w:rsidRDefault="0058457E" w:rsidP="00B03A04">
            <w:pPr>
              <w:pStyle w:val="TAC"/>
            </w:pPr>
          </w:p>
        </w:tc>
        <w:tc>
          <w:tcPr>
            <w:tcW w:w="1047" w:type="dxa"/>
            <w:tcBorders>
              <w:left w:val="single" w:sz="6" w:space="0" w:color="auto"/>
              <w:right w:val="single" w:sz="6" w:space="0" w:color="auto"/>
            </w:tcBorders>
            <w:shd w:val="clear" w:color="auto" w:fill="auto"/>
          </w:tcPr>
          <w:p w14:paraId="27E61E4E" w14:textId="77777777" w:rsidR="0058457E" w:rsidRPr="009C5807" w:rsidRDefault="0058457E" w:rsidP="00B03A04">
            <w:pPr>
              <w:pStyle w:val="TAC"/>
            </w:pPr>
          </w:p>
        </w:tc>
        <w:tc>
          <w:tcPr>
            <w:tcW w:w="802" w:type="dxa"/>
            <w:tcBorders>
              <w:left w:val="single" w:sz="6" w:space="0" w:color="auto"/>
              <w:right w:val="single" w:sz="6" w:space="0" w:color="auto"/>
            </w:tcBorders>
            <w:shd w:val="clear" w:color="auto" w:fill="auto"/>
          </w:tcPr>
          <w:p w14:paraId="42257109" w14:textId="77777777" w:rsidR="0058457E" w:rsidRPr="009C5807" w:rsidRDefault="0058457E" w:rsidP="00B03A04">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16E4E89" w14:textId="77777777" w:rsidR="0058457E" w:rsidRPr="009C5807" w:rsidRDefault="0058457E" w:rsidP="00B03A04">
            <w:pPr>
              <w:pStyle w:val="TAC"/>
            </w:pPr>
            <w:r w:rsidRPr="009C5807">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FC79AE9" w14:textId="77777777" w:rsidR="0058457E" w:rsidRPr="009C5807" w:rsidRDefault="0058457E" w:rsidP="00B03A04">
            <w:pPr>
              <w:pStyle w:val="TAC"/>
            </w:pPr>
            <w:r w:rsidRPr="009C5807">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578EBEE0" w14:textId="77777777" w:rsidR="0058457E" w:rsidRPr="009C5807" w:rsidRDefault="0058457E" w:rsidP="00B03A04">
            <w:pPr>
              <w:pStyle w:val="TAC"/>
              <w:rPr>
                <w:rFonts w:cs="Arial"/>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A3D7650"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2F093DC" w14:textId="77777777" w:rsidR="0058457E" w:rsidRPr="009C5807" w:rsidRDefault="0058457E" w:rsidP="00B03A04">
            <w:pPr>
              <w:pStyle w:val="TAC"/>
            </w:pPr>
            <w:r w:rsidRPr="009C5807">
              <w:t>-50</w:t>
            </w:r>
          </w:p>
        </w:tc>
      </w:tr>
      <w:tr w:rsidR="00195AA3" w:rsidRPr="009C5807" w14:paraId="6A821C55" w14:textId="77777777" w:rsidTr="00B03A04">
        <w:trPr>
          <w:jc w:val="center"/>
        </w:trPr>
        <w:tc>
          <w:tcPr>
            <w:tcW w:w="1035" w:type="dxa"/>
            <w:tcBorders>
              <w:left w:val="single" w:sz="4" w:space="0" w:color="auto"/>
              <w:right w:val="single" w:sz="6" w:space="0" w:color="auto"/>
            </w:tcBorders>
            <w:shd w:val="clear" w:color="auto" w:fill="auto"/>
          </w:tcPr>
          <w:p w14:paraId="1E6DB777" w14:textId="5A0C9725" w:rsidR="00195AA3" w:rsidRPr="009C5807" w:rsidRDefault="00195AA3" w:rsidP="00B03A04">
            <w:pPr>
              <w:pStyle w:val="TAC"/>
            </w:pPr>
            <w:r w:rsidRPr="009C5807">
              <w:sym w:font="Symbol" w:char="F0B1"/>
            </w:r>
            <w:r w:rsidRPr="009C5807">
              <w:t>3.0</w:t>
            </w:r>
          </w:p>
        </w:tc>
        <w:tc>
          <w:tcPr>
            <w:tcW w:w="1047" w:type="dxa"/>
            <w:tcBorders>
              <w:left w:val="single" w:sz="6" w:space="0" w:color="auto"/>
              <w:right w:val="single" w:sz="6" w:space="0" w:color="auto"/>
            </w:tcBorders>
            <w:shd w:val="clear" w:color="auto" w:fill="auto"/>
          </w:tcPr>
          <w:p w14:paraId="722412B0" w14:textId="300F57F6" w:rsidR="00195AA3" w:rsidRPr="009C5807" w:rsidRDefault="00195AA3" w:rsidP="00B03A04">
            <w:pPr>
              <w:pStyle w:val="TAC"/>
            </w:pPr>
            <w:r w:rsidRPr="009C5807">
              <w:sym w:font="Symbol" w:char="F0B1"/>
            </w:r>
            <w:r w:rsidRPr="009C5807">
              <w:t>4</w:t>
            </w:r>
          </w:p>
        </w:tc>
        <w:tc>
          <w:tcPr>
            <w:tcW w:w="802" w:type="dxa"/>
            <w:tcBorders>
              <w:left w:val="single" w:sz="6" w:space="0" w:color="auto"/>
              <w:right w:val="single" w:sz="6" w:space="0" w:color="auto"/>
            </w:tcBorders>
            <w:shd w:val="clear" w:color="auto" w:fill="auto"/>
          </w:tcPr>
          <w:p w14:paraId="6CEDEE8F" w14:textId="57AE32F6" w:rsidR="00195AA3" w:rsidRPr="009C5807" w:rsidRDefault="00195AA3" w:rsidP="00B03A04">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EE5D144" w14:textId="77777777" w:rsidR="00195AA3" w:rsidRPr="009C5807" w:rsidRDefault="00195AA3" w:rsidP="00B03A04">
            <w:pPr>
              <w:pStyle w:val="TAC"/>
              <w:rPr>
                <w:lang w:val="sv-SE"/>
              </w:rPr>
            </w:pPr>
            <w:r w:rsidRPr="009C5807">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19A1E81" w14:textId="77777777" w:rsidR="00195AA3" w:rsidRPr="009C5807" w:rsidRDefault="00195AA3" w:rsidP="00B03A04">
            <w:pPr>
              <w:pStyle w:val="TAC"/>
            </w:pPr>
            <w:r w:rsidRPr="009C5807">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0911DFF" w14:textId="77777777" w:rsidR="00195AA3" w:rsidRPr="009C5807" w:rsidRDefault="00195AA3" w:rsidP="00B03A04">
            <w:pPr>
              <w:pStyle w:val="TAC"/>
              <w:rPr>
                <w:rFonts w:cs="Arial"/>
              </w:rPr>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A387F06" w14:textId="77777777" w:rsidR="00195AA3" w:rsidRPr="009C5807" w:rsidRDefault="00195AA3"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46DFCA4" w14:textId="77777777" w:rsidR="00195AA3" w:rsidRPr="009C5807" w:rsidRDefault="00195AA3" w:rsidP="00B03A04">
            <w:pPr>
              <w:pStyle w:val="TAC"/>
            </w:pPr>
            <w:r w:rsidRPr="009C5807">
              <w:t>-50</w:t>
            </w:r>
          </w:p>
        </w:tc>
      </w:tr>
      <w:tr w:rsidR="0058457E" w:rsidRPr="009C5807" w14:paraId="3C9FDB77" w14:textId="77777777" w:rsidTr="00B03A04">
        <w:trPr>
          <w:jc w:val="center"/>
        </w:trPr>
        <w:tc>
          <w:tcPr>
            <w:tcW w:w="1035" w:type="dxa"/>
            <w:tcBorders>
              <w:left w:val="single" w:sz="4" w:space="0" w:color="auto"/>
              <w:right w:val="single" w:sz="6" w:space="0" w:color="auto"/>
            </w:tcBorders>
            <w:shd w:val="clear" w:color="auto" w:fill="auto"/>
          </w:tcPr>
          <w:p w14:paraId="1C85D348" w14:textId="77777777" w:rsidR="0058457E" w:rsidRPr="009C5807" w:rsidRDefault="0058457E" w:rsidP="00B03A04">
            <w:pPr>
              <w:pStyle w:val="TAC"/>
            </w:pPr>
          </w:p>
        </w:tc>
        <w:tc>
          <w:tcPr>
            <w:tcW w:w="1047" w:type="dxa"/>
            <w:tcBorders>
              <w:left w:val="single" w:sz="6" w:space="0" w:color="auto"/>
              <w:right w:val="single" w:sz="6" w:space="0" w:color="auto"/>
            </w:tcBorders>
            <w:shd w:val="clear" w:color="auto" w:fill="auto"/>
          </w:tcPr>
          <w:p w14:paraId="550721EF" w14:textId="77777777" w:rsidR="0058457E" w:rsidRPr="009C5807" w:rsidRDefault="0058457E" w:rsidP="00B03A04">
            <w:pPr>
              <w:pStyle w:val="TAC"/>
            </w:pPr>
          </w:p>
        </w:tc>
        <w:tc>
          <w:tcPr>
            <w:tcW w:w="802" w:type="dxa"/>
            <w:tcBorders>
              <w:left w:val="single" w:sz="6" w:space="0" w:color="auto"/>
              <w:right w:val="single" w:sz="6" w:space="0" w:color="auto"/>
            </w:tcBorders>
            <w:shd w:val="clear" w:color="auto" w:fill="auto"/>
          </w:tcPr>
          <w:p w14:paraId="0DADB12F" w14:textId="77777777" w:rsidR="0058457E" w:rsidRPr="009C5807" w:rsidRDefault="0058457E" w:rsidP="00B03A04">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B730601" w14:textId="77777777" w:rsidR="0058457E" w:rsidRPr="009C5807" w:rsidDel="00836998" w:rsidRDefault="0058457E" w:rsidP="00B03A04">
            <w:pPr>
              <w:pStyle w:val="TAC"/>
              <w:rPr>
                <w:lang w:val="sv-SE"/>
              </w:rPr>
            </w:pPr>
            <w:r w:rsidRPr="009C5807">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6BA3B76" w14:textId="77777777" w:rsidR="0058457E" w:rsidRPr="009C5807" w:rsidRDefault="0058457E" w:rsidP="00B03A04">
            <w:pPr>
              <w:pStyle w:val="TAC"/>
            </w:pPr>
            <w:r w:rsidRPr="009C5807">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1881BAD" w14:textId="77777777" w:rsidR="0058457E" w:rsidRPr="009C5807" w:rsidRDefault="0058457E" w:rsidP="00B03A04">
            <w:pPr>
              <w:pStyle w:val="TAC"/>
              <w:rPr>
                <w:rFonts w:cs="Arial"/>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D9A6E5A"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8883682" w14:textId="77777777" w:rsidR="0058457E" w:rsidRPr="009C5807" w:rsidRDefault="0058457E" w:rsidP="00B03A04">
            <w:pPr>
              <w:pStyle w:val="TAC"/>
            </w:pPr>
            <w:r w:rsidRPr="009C5807">
              <w:t>-50</w:t>
            </w:r>
          </w:p>
        </w:tc>
      </w:tr>
      <w:tr w:rsidR="00D94CA6" w:rsidRPr="009C5807" w14:paraId="6F5276C7" w14:textId="77777777" w:rsidTr="00B03A04">
        <w:trPr>
          <w:jc w:val="center"/>
        </w:trPr>
        <w:tc>
          <w:tcPr>
            <w:tcW w:w="1035" w:type="dxa"/>
            <w:tcBorders>
              <w:left w:val="single" w:sz="4" w:space="0" w:color="auto"/>
              <w:right w:val="single" w:sz="6" w:space="0" w:color="auto"/>
            </w:tcBorders>
            <w:shd w:val="clear" w:color="auto" w:fill="auto"/>
          </w:tcPr>
          <w:p w14:paraId="461F3E5E" w14:textId="77777777" w:rsidR="00D94CA6" w:rsidRPr="009C5807" w:rsidRDefault="00D94CA6" w:rsidP="00B03A04">
            <w:pPr>
              <w:pStyle w:val="TAC"/>
            </w:pPr>
          </w:p>
        </w:tc>
        <w:tc>
          <w:tcPr>
            <w:tcW w:w="1047" w:type="dxa"/>
            <w:tcBorders>
              <w:left w:val="single" w:sz="6" w:space="0" w:color="auto"/>
              <w:right w:val="single" w:sz="6" w:space="0" w:color="auto"/>
            </w:tcBorders>
            <w:shd w:val="clear" w:color="auto" w:fill="auto"/>
          </w:tcPr>
          <w:p w14:paraId="37A88307" w14:textId="77777777" w:rsidR="00D94CA6" w:rsidRPr="009C5807" w:rsidRDefault="00D94CA6" w:rsidP="00B03A04">
            <w:pPr>
              <w:pStyle w:val="TAC"/>
            </w:pPr>
          </w:p>
        </w:tc>
        <w:tc>
          <w:tcPr>
            <w:tcW w:w="802" w:type="dxa"/>
            <w:tcBorders>
              <w:left w:val="single" w:sz="6" w:space="0" w:color="auto"/>
              <w:right w:val="single" w:sz="6" w:space="0" w:color="auto"/>
            </w:tcBorders>
            <w:shd w:val="clear" w:color="auto" w:fill="auto"/>
          </w:tcPr>
          <w:p w14:paraId="56B76614" w14:textId="77777777" w:rsidR="00D94CA6" w:rsidRPr="009C5807" w:rsidRDefault="00D94CA6" w:rsidP="00B03A04">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4D3F27E" w14:textId="156B3A06" w:rsidR="00D94CA6" w:rsidRPr="009C5807" w:rsidRDefault="00D94CA6" w:rsidP="00B03A04">
            <w:pPr>
              <w:pStyle w:val="TAC"/>
              <w:rPr>
                <w:lang w:val="sv-SE"/>
              </w:rPr>
            </w:pPr>
            <w:r w:rsidRPr="009C5807">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20AB4D2" w14:textId="4D9DC25C" w:rsidR="00D94CA6" w:rsidRPr="009C5807" w:rsidRDefault="00D94CA6" w:rsidP="00B03A04">
            <w:pPr>
              <w:pStyle w:val="TAC"/>
            </w:pPr>
            <w:r w:rsidRPr="009C5807">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FC7CF74" w14:textId="38361685" w:rsidR="00D94CA6" w:rsidRPr="009C5807" w:rsidRDefault="00D94CA6" w:rsidP="00B03A04">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F6E75F3" w14:textId="0E0AB0A8" w:rsidR="00D94CA6" w:rsidRPr="009C5807" w:rsidRDefault="00D94CA6"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BAFB8D5" w14:textId="4B27C352" w:rsidR="00D94CA6" w:rsidRPr="009C5807" w:rsidRDefault="00D94CA6" w:rsidP="00B03A04">
            <w:pPr>
              <w:pStyle w:val="TAC"/>
            </w:pPr>
            <w:r w:rsidRPr="009C5807">
              <w:t>-50</w:t>
            </w:r>
          </w:p>
        </w:tc>
      </w:tr>
      <w:tr w:rsidR="0058457E" w:rsidRPr="009C5807" w14:paraId="28936218" w14:textId="77777777" w:rsidTr="00B03A04">
        <w:trPr>
          <w:jc w:val="center"/>
        </w:trPr>
        <w:tc>
          <w:tcPr>
            <w:tcW w:w="1035" w:type="dxa"/>
            <w:tcBorders>
              <w:left w:val="single" w:sz="4" w:space="0" w:color="auto"/>
              <w:right w:val="single" w:sz="6" w:space="0" w:color="auto"/>
            </w:tcBorders>
            <w:shd w:val="clear" w:color="auto" w:fill="auto"/>
          </w:tcPr>
          <w:p w14:paraId="5BB32D95" w14:textId="77777777" w:rsidR="0058457E" w:rsidRPr="009C5807" w:rsidRDefault="0058457E" w:rsidP="00B03A04">
            <w:pPr>
              <w:pStyle w:val="TAC"/>
            </w:pPr>
          </w:p>
        </w:tc>
        <w:tc>
          <w:tcPr>
            <w:tcW w:w="1047" w:type="dxa"/>
            <w:tcBorders>
              <w:left w:val="single" w:sz="6" w:space="0" w:color="auto"/>
              <w:right w:val="single" w:sz="6" w:space="0" w:color="auto"/>
            </w:tcBorders>
            <w:shd w:val="clear" w:color="auto" w:fill="auto"/>
          </w:tcPr>
          <w:p w14:paraId="03E8A6AB" w14:textId="77777777" w:rsidR="0058457E" w:rsidRPr="009C5807" w:rsidRDefault="0058457E" w:rsidP="00B03A04">
            <w:pPr>
              <w:pStyle w:val="TAC"/>
            </w:pPr>
          </w:p>
        </w:tc>
        <w:tc>
          <w:tcPr>
            <w:tcW w:w="802" w:type="dxa"/>
            <w:tcBorders>
              <w:left w:val="single" w:sz="6" w:space="0" w:color="auto"/>
              <w:right w:val="single" w:sz="6" w:space="0" w:color="auto"/>
            </w:tcBorders>
            <w:shd w:val="clear" w:color="auto" w:fill="auto"/>
          </w:tcPr>
          <w:p w14:paraId="0F4E9310" w14:textId="77777777" w:rsidR="0058457E" w:rsidRPr="009C5807" w:rsidRDefault="0058457E" w:rsidP="00B03A04">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46C9558" w14:textId="77777777" w:rsidR="0058457E" w:rsidRPr="009C5807" w:rsidDel="00836998" w:rsidRDefault="0058457E" w:rsidP="00B03A04">
            <w:pPr>
              <w:pStyle w:val="TAC"/>
              <w:rPr>
                <w:lang w:eastAsia="zh-CN"/>
              </w:rPr>
            </w:pPr>
            <w:r w:rsidRPr="009C5807">
              <w:rPr>
                <w:lang w:eastAsia="zh-CN"/>
              </w:rPr>
              <w:t>NR</w:t>
            </w:r>
            <w:r w:rsidRPr="009C5807">
              <w:t>_</w:t>
            </w:r>
            <w:r w:rsidRPr="009C5807">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4AA2436" w14:textId="77777777" w:rsidR="0058457E" w:rsidRPr="009C5807" w:rsidRDefault="0058457E" w:rsidP="00B03A04">
            <w:pPr>
              <w:pStyle w:val="TAC"/>
            </w:pPr>
            <w:r w:rsidRPr="009C5807">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E3C2440" w14:textId="77777777" w:rsidR="0058457E" w:rsidRPr="009C5807" w:rsidRDefault="0058457E" w:rsidP="00B03A04">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4479607"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95337E1" w14:textId="77777777" w:rsidR="0058457E" w:rsidRPr="009C5807" w:rsidRDefault="0058457E" w:rsidP="00B03A04">
            <w:pPr>
              <w:pStyle w:val="TAC"/>
            </w:pPr>
            <w:r w:rsidRPr="009C5807">
              <w:t>-50</w:t>
            </w:r>
          </w:p>
        </w:tc>
      </w:tr>
      <w:tr w:rsidR="0058457E" w:rsidRPr="009C5807" w14:paraId="1B2BF763" w14:textId="77777777" w:rsidTr="00B03A04">
        <w:trPr>
          <w:trHeight w:val="65"/>
          <w:jc w:val="center"/>
        </w:trPr>
        <w:tc>
          <w:tcPr>
            <w:tcW w:w="1035" w:type="dxa"/>
            <w:tcBorders>
              <w:left w:val="single" w:sz="4" w:space="0" w:color="auto"/>
              <w:right w:val="single" w:sz="6" w:space="0" w:color="auto"/>
            </w:tcBorders>
            <w:shd w:val="clear" w:color="auto" w:fill="auto"/>
          </w:tcPr>
          <w:p w14:paraId="392704C4" w14:textId="77777777" w:rsidR="0058457E" w:rsidRPr="009C5807" w:rsidRDefault="0058457E" w:rsidP="00B03A04">
            <w:pPr>
              <w:pStyle w:val="TAC"/>
            </w:pPr>
          </w:p>
        </w:tc>
        <w:tc>
          <w:tcPr>
            <w:tcW w:w="1047" w:type="dxa"/>
            <w:tcBorders>
              <w:left w:val="single" w:sz="6" w:space="0" w:color="auto"/>
              <w:right w:val="single" w:sz="6" w:space="0" w:color="auto"/>
            </w:tcBorders>
            <w:shd w:val="clear" w:color="auto" w:fill="auto"/>
          </w:tcPr>
          <w:p w14:paraId="28EEA913" w14:textId="77777777" w:rsidR="0058457E" w:rsidRPr="009C5807" w:rsidRDefault="0058457E" w:rsidP="00B03A04">
            <w:pPr>
              <w:pStyle w:val="TAC"/>
            </w:pPr>
          </w:p>
        </w:tc>
        <w:tc>
          <w:tcPr>
            <w:tcW w:w="802" w:type="dxa"/>
            <w:tcBorders>
              <w:left w:val="single" w:sz="6" w:space="0" w:color="auto"/>
              <w:right w:val="single" w:sz="6" w:space="0" w:color="auto"/>
            </w:tcBorders>
            <w:shd w:val="clear" w:color="auto" w:fill="auto"/>
          </w:tcPr>
          <w:p w14:paraId="66D8F785" w14:textId="77777777" w:rsidR="0058457E" w:rsidRPr="009C5807" w:rsidRDefault="0058457E" w:rsidP="00B03A04">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C9C9D4F" w14:textId="77777777" w:rsidR="0058457E" w:rsidRPr="009C5807" w:rsidRDefault="0058457E" w:rsidP="00B03A04">
            <w:pPr>
              <w:pStyle w:val="TAC"/>
              <w:rPr>
                <w:lang w:eastAsia="zh-CN"/>
              </w:rPr>
            </w:pPr>
            <w:r w:rsidRPr="009C5807">
              <w:rPr>
                <w:lang w:eastAsia="zh-CN"/>
              </w:rPr>
              <w:t>NR</w:t>
            </w:r>
            <w:r w:rsidRPr="009C5807">
              <w:t>_</w:t>
            </w:r>
            <w:r w:rsidRPr="009C5807">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F4B9A12" w14:textId="77777777" w:rsidR="0058457E" w:rsidRPr="009C5807" w:rsidRDefault="0058457E" w:rsidP="00B03A04">
            <w:pPr>
              <w:pStyle w:val="TAC"/>
            </w:pPr>
            <w:r w:rsidRPr="009C5807">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2626B1F" w14:textId="77777777" w:rsidR="0058457E" w:rsidRPr="009C5807" w:rsidRDefault="0058457E" w:rsidP="00B03A04">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4B46225" w14:textId="77777777" w:rsidR="0058457E" w:rsidRPr="009C5807" w:rsidRDefault="0058457E" w:rsidP="00B03A04">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7261622" w14:textId="77777777" w:rsidR="0058457E" w:rsidRPr="009C5807" w:rsidRDefault="0058457E" w:rsidP="00B03A04">
            <w:pPr>
              <w:pStyle w:val="TAC"/>
            </w:pPr>
            <w:r w:rsidRPr="009C5807">
              <w:t>-50</w:t>
            </w:r>
          </w:p>
        </w:tc>
      </w:tr>
      <w:tr w:rsidR="0058457E" w:rsidRPr="009C5807" w14:paraId="44C8807E" w14:textId="77777777" w:rsidTr="00B03A04">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00BE4D10" w14:textId="77777777" w:rsidR="0058457E" w:rsidRPr="009C5807" w:rsidRDefault="0058457E" w:rsidP="00B03A04">
            <w:pPr>
              <w:pStyle w:val="TAC"/>
            </w:pPr>
            <w:r w:rsidRPr="009C5807">
              <w:sym w:font="Symbol" w:char="F0B1"/>
            </w:r>
            <w:r w:rsidRPr="009C5807">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1F9F05DA" w14:textId="77777777" w:rsidR="0058457E" w:rsidRPr="009C5807" w:rsidRDefault="0058457E" w:rsidP="00B03A04">
            <w:pPr>
              <w:pStyle w:val="TAC"/>
            </w:pPr>
            <w:r w:rsidRPr="009C5807">
              <w:sym w:font="Symbol" w:char="F0B1"/>
            </w:r>
            <w:r w:rsidRPr="009C5807">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32B04806" w14:textId="7489AEA0" w:rsidR="0058457E" w:rsidRPr="009C5807" w:rsidRDefault="0058457E" w:rsidP="00B03A04">
            <w:pPr>
              <w:pStyle w:val="TAC"/>
            </w:pPr>
            <w:r w:rsidRPr="009C5807">
              <w:sym w:font="Symbol" w:char="F0B3"/>
            </w:r>
            <w:r w:rsidRPr="009C5807">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FC7ECA1" w14:textId="77777777" w:rsidR="0058457E" w:rsidRPr="009C5807" w:rsidRDefault="0058457E" w:rsidP="00B03A04">
            <w:pPr>
              <w:pStyle w:val="TAC"/>
            </w:pPr>
            <w:r w:rsidRPr="009C5807">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23CDA189" w14:textId="77777777" w:rsidR="0058457E" w:rsidRPr="009C5807" w:rsidRDefault="0058457E" w:rsidP="00B03A04">
            <w:pPr>
              <w:pStyle w:val="TAC"/>
            </w:pPr>
            <w:r w:rsidRPr="009C5807">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22BADA14" w14:textId="77777777" w:rsidR="0058457E" w:rsidRPr="009C5807" w:rsidRDefault="0058457E" w:rsidP="00B03A04">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754CF02A" w14:textId="77777777" w:rsidR="0058457E" w:rsidRPr="009C5807" w:rsidRDefault="0058457E" w:rsidP="00B03A04">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23A67AFA" w14:textId="77777777" w:rsidR="0058457E" w:rsidRPr="009C5807" w:rsidRDefault="0058457E" w:rsidP="00B03A04">
            <w:pPr>
              <w:pStyle w:val="TAC"/>
            </w:pPr>
            <w:r w:rsidRPr="009C5807">
              <w:t>Note 2</w:t>
            </w:r>
          </w:p>
        </w:tc>
      </w:tr>
      <w:tr w:rsidR="001F5A79" w:rsidRPr="009C5807" w14:paraId="64457A1F"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AF63A0A" w14:textId="77777777" w:rsidR="001F5A79" w:rsidRPr="009C5807" w:rsidRDefault="001F5A79" w:rsidP="00281723">
            <w:pPr>
              <w:pStyle w:val="TAN"/>
            </w:pPr>
            <w:r w:rsidRPr="009C5807">
              <w:t>NOTE 1:</w:t>
            </w:r>
            <w:r w:rsidRPr="009C5807">
              <w:tab/>
              <w:t>Io is assumed to have constant EPRE across the bandwidth.</w:t>
            </w:r>
          </w:p>
          <w:p w14:paraId="331D6A6D" w14:textId="77777777" w:rsidR="001F5A79" w:rsidRPr="009C5807" w:rsidRDefault="001F5A79" w:rsidP="00281723">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5D66A7CC" w14:textId="77777777" w:rsidR="00B03A04" w:rsidRDefault="00B03A04" w:rsidP="00B03A04">
            <w:pPr>
              <w:pStyle w:val="TAN"/>
              <w:rPr>
                <w:rFonts w:cs="Arial"/>
              </w:rPr>
            </w:pPr>
            <w:r>
              <w:rPr>
                <w:rFonts w:cs="Arial"/>
              </w:rPr>
              <w:t>NOTE 3:</w:t>
            </w:r>
            <w:r>
              <w:rPr>
                <w:rFonts w:cs="Arial"/>
              </w:rPr>
              <w:tab/>
              <w:t xml:space="preserve">The requirements apply for SSB Ês/Iot </w:t>
            </w:r>
            <w:r>
              <w:rPr>
                <w:rFonts w:cs="Arial" w:hint="eastAsia"/>
                <w:lang w:val="en-US"/>
              </w:rPr>
              <w:t>≤</w:t>
            </w:r>
            <w:r>
              <w:rPr>
                <w:rFonts w:cs="Arial"/>
              </w:rPr>
              <w:t xml:space="preserve"> 25 dB under non-HST scenarios.</w:t>
            </w:r>
          </w:p>
          <w:p w14:paraId="464035BE" w14:textId="77777777" w:rsidR="00B03A04" w:rsidRDefault="00B03A04" w:rsidP="00B03A04">
            <w:pPr>
              <w:pStyle w:val="TAN"/>
            </w:pPr>
            <w:r>
              <w:rPr>
                <w:rFonts w:cs="Arial"/>
              </w:rPr>
              <w:t>NOTE 4:</w:t>
            </w:r>
            <w:r>
              <w:rPr>
                <w:rFonts w:cs="Arial"/>
              </w:rPr>
              <w:tab/>
            </w:r>
            <w:r>
              <w:t>NR operating band groups in FR1 are as defined in clause 3.5.2.</w:t>
            </w:r>
          </w:p>
          <w:p w14:paraId="34B37969" w14:textId="285AA4CC" w:rsidR="001F5A79" w:rsidRPr="009C5807" w:rsidRDefault="00B03A04" w:rsidP="00B03A04">
            <w:pPr>
              <w:pStyle w:val="TAN"/>
            </w:pPr>
            <w:r w:rsidRPr="009C5807">
              <w:rPr>
                <w:rFonts w:cs="Arial"/>
              </w:rPr>
              <w:t xml:space="preserve">NOTE </w:t>
            </w:r>
            <w:r>
              <w:rPr>
                <w:rFonts w:cs="Arial"/>
              </w:rPr>
              <w:t>5</w:t>
            </w:r>
            <w:r w:rsidRPr="009C5807">
              <w:rPr>
                <w:rFonts w:cs="Arial"/>
              </w:rPr>
              <w:t>:</w:t>
            </w:r>
            <w:r w:rsidRPr="009C5807">
              <w:rPr>
                <w:rFonts w:cs="Arial"/>
              </w:rPr>
              <w:tab/>
              <w:t xml:space="preserve">The requirements apply for SSB Ês/Iot </w:t>
            </w:r>
            <w:r w:rsidRPr="009C5807">
              <w:rPr>
                <w:rFonts w:cs="Arial" w:hint="eastAsia"/>
              </w:rPr>
              <w:t>≤</w:t>
            </w:r>
            <w:r w:rsidRPr="009C5807">
              <w:rPr>
                <w:rFonts w:cs="Arial"/>
              </w:rPr>
              <w:t>5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586AF451" w14:textId="77777777" w:rsidR="001F5A79" w:rsidRPr="009C5807" w:rsidRDefault="001F5A79" w:rsidP="001F5A79"/>
    <w:p w14:paraId="11105B43" w14:textId="77777777" w:rsidR="00567E6C" w:rsidRDefault="00567E6C" w:rsidP="00F37389">
      <w:pPr>
        <w:pStyle w:val="Heading4"/>
        <w:rPr>
          <w:lang w:val="en-US" w:eastAsia="zh-CN"/>
        </w:rPr>
      </w:pPr>
      <w:r>
        <w:rPr>
          <w:lang w:val="en-US" w:eastAsia="zh-CN"/>
        </w:rPr>
        <w:t>10.1.12.2</w:t>
      </w:r>
      <w:r w:rsidRPr="009C5807">
        <w:rPr>
          <w:lang w:val="en-US" w:eastAsia="zh-CN"/>
        </w:rPr>
        <w:tab/>
      </w:r>
      <w:r w:rsidRPr="009C5807">
        <w:rPr>
          <w:lang w:val="en-US" w:eastAsia="ko-KR"/>
        </w:rPr>
        <w:t xml:space="preserve">Intra-frequency </w:t>
      </w:r>
      <w:r>
        <w:rPr>
          <w:lang w:val="en-US" w:eastAsia="ko-KR"/>
        </w:rPr>
        <w:t>CSI-SINR</w:t>
      </w:r>
      <w:r w:rsidRPr="009C5807">
        <w:rPr>
          <w:lang w:val="en-US" w:eastAsia="ko-KR"/>
        </w:rPr>
        <w:t xml:space="preserve"> accuracy requirements</w:t>
      </w:r>
      <w:r w:rsidRPr="009C5807">
        <w:rPr>
          <w:lang w:val="en-US" w:eastAsia="zh-CN"/>
        </w:rPr>
        <w:t xml:space="preserve"> in FR1</w:t>
      </w:r>
    </w:p>
    <w:p w14:paraId="3B89D475" w14:textId="77777777" w:rsidR="00567E6C" w:rsidRPr="009C5807" w:rsidRDefault="00567E6C" w:rsidP="00F37389">
      <w:pPr>
        <w:pStyle w:val="Heading5"/>
      </w:pPr>
      <w:r>
        <w:rPr>
          <w:lang w:eastAsia="zh-CN"/>
        </w:rPr>
        <w:t>10.1.12.2</w:t>
      </w:r>
      <w:r w:rsidRPr="009C5807">
        <w:rPr>
          <w:lang w:eastAsia="zh-CN"/>
        </w:rPr>
        <w:t>.1</w:t>
      </w:r>
      <w:r w:rsidRPr="009C5807">
        <w:tab/>
        <w:t xml:space="preserve">Absolute </w:t>
      </w:r>
      <w:r>
        <w:rPr>
          <w:lang w:val="en-US" w:eastAsia="ko-KR"/>
        </w:rPr>
        <w:t>CSI-SINR</w:t>
      </w:r>
      <w:r w:rsidRPr="009C5807">
        <w:rPr>
          <w:lang w:val="en-US" w:eastAsia="ko-KR"/>
        </w:rPr>
        <w:t xml:space="preserve"> </w:t>
      </w:r>
      <w:r w:rsidRPr="009C5807">
        <w:t>Accuracy in FR1</w:t>
      </w:r>
    </w:p>
    <w:p w14:paraId="31A87268" w14:textId="77777777" w:rsidR="00567E6C" w:rsidRPr="009C5807" w:rsidRDefault="00567E6C" w:rsidP="00567E6C">
      <w:pPr>
        <w:rPr>
          <w:rFonts w:cs="v4.2.0"/>
          <w:i/>
        </w:rPr>
      </w:pPr>
      <w:r w:rsidRPr="009C5807">
        <w:rPr>
          <w:rFonts w:cs="v4.2.0"/>
        </w:rPr>
        <w:t xml:space="preserve">Unless otherwise specified, the requirements for absolute accuracy of </w:t>
      </w:r>
      <w:r>
        <w:rPr>
          <w:rFonts w:cs="v4.2.0"/>
          <w:lang w:eastAsia="zh-CN"/>
        </w:rPr>
        <w:t>CSI-SINR</w:t>
      </w:r>
      <w:r w:rsidRPr="009C5807">
        <w:rPr>
          <w:rFonts w:cs="v4.2.0"/>
        </w:rPr>
        <w:t xml:space="preserve"> in this clause apply to a cell on the same frequency as that of the serving cell in FR1.</w:t>
      </w:r>
    </w:p>
    <w:p w14:paraId="2639DAD2" w14:textId="77777777" w:rsidR="00567E6C" w:rsidRPr="009C5807" w:rsidRDefault="00567E6C" w:rsidP="00567E6C">
      <w:pPr>
        <w:rPr>
          <w:rFonts w:cs="v4.2.0"/>
        </w:rPr>
      </w:pPr>
      <w:r w:rsidRPr="009C5807">
        <w:rPr>
          <w:rFonts w:cs="v4.2.0"/>
        </w:rPr>
        <w:t xml:space="preserve">The accuracy requirements in Table </w:t>
      </w:r>
      <w:r>
        <w:rPr>
          <w:rFonts w:cs="v4.2.0"/>
          <w:lang w:eastAsia="zh-CN"/>
        </w:rPr>
        <w:t>10.1.12.2</w:t>
      </w:r>
      <w:r w:rsidRPr="009C5807">
        <w:rPr>
          <w:rFonts w:cs="v4.2.0"/>
          <w:lang w:eastAsia="zh-CN"/>
        </w:rPr>
        <w:t>.1</w:t>
      </w:r>
      <w:r w:rsidRPr="009C5807">
        <w:rPr>
          <w:rFonts w:cs="v4.2.0"/>
        </w:rPr>
        <w:t>-1 are valid under the following conditions:</w:t>
      </w:r>
    </w:p>
    <w:p w14:paraId="148C785E" w14:textId="77777777" w:rsidR="00567E6C" w:rsidRPr="009C5807" w:rsidRDefault="00567E6C" w:rsidP="00567E6C">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6BF26BF6" w14:textId="77777777" w:rsidR="00567E6C" w:rsidRDefault="00567E6C" w:rsidP="00567E6C">
      <w:pPr>
        <w:pStyle w:val="B10"/>
      </w:pPr>
      <w:r w:rsidRPr="009C5807">
        <w:t>-</w:t>
      </w:r>
      <w:r w:rsidRPr="009C5807">
        <w:rPr>
          <w:rFonts w:ascii="Arial" w:hAnsi="Arial"/>
          <w:sz w:val="28"/>
          <w:lang w:val="en-US"/>
        </w:rPr>
        <w:tab/>
      </w:r>
      <w:r w:rsidRPr="009C5807">
        <w:t>Conditions for intra-frequency measurements are fulfilled according to Annex B.2.</w:t>
      </w:r>
      <w:r>
        <w:rPr>
          <w:rFonts w:hint="eastAsia"/>
          <w:lang w:eastAsia="zh-CN"/>
        </w:rPr>
        <w:t>8</w:t>
      </w:r>
      <w:r w:rsidRPr="009C5807">
        <w:t xml:space="preserve"> for a corresponding Band.</w:t>
      </w:r>
    </w:p>
    <w:p w14:paraId="4E24B6F3" w14:textId="386FEE06" w:rsidR="00567E6C" w:rsidRDefault="00567E6C" w:rsidP="00567E6C">
      <w:pPr>
        <w:pStyle w:val="B10"/>
        <w:rPr>
          <w:lang w:eastAsia="zh-CN"/>
        </w:rPr>
      </w:pPr>
      <w:r w:rsidRPr="009C5807">
        <w:t>-</w:t>
      </w:r>
      <w:r w:rsidRPr="009C5807">
        <w:tab/>
        <w:t xml:space="preserve">The </w:t>
      </w:r>
      <w:r>
        <w:t xml:space="preserve">timing offset </w:t>
      </w:r>
      <w:r w:rsidRPr="009C5807">
        <w:t xml:space="preserve">between </w:t>
      </w:r>
      <w:r w:rsidRPr="00AC34AD">
        <w:t>the reference measurement timing and the target CSI-RS in one layer</w:t>
      </w:r>
      <w:r>
        <w:t xml:space="preserve"> </w:t>
      </w:r>
      <w:r w:rsidRPr="009C5807">
        <w:t xml:space="preserve">is </w:t>
      </w:r>
      <w:r>
        <w:t>no larger than CP</w:t>
      </w:r>
      <w:r>
        <w:rPr>
          <w:rFonts w:hint="eastAsia"/>
          <w:lang w:eastAsia="zh-CN"/>
        </w:rPr>
        <w:t>.</w:t>
      </w:r>
    </w:p>
    <w:p w14:paraId="390B4109" w14:textId="3EB31706" w:rsidR="00567E6C" w:rsidRDefault="00567E6C" w:rsidP="00F37389">
      <w:pPr>
        <w:pStyle w:val="B20"/>
        <w:rPr>
          <w:lang w:eastAsia="zh-CN"/>
        </w:rPr>
      </w:pPr>
      <w:r>
        <w:rPr>
          <w:rFonts w:hint="eastAsia"/>
          <w:lang w:eastAsia="zh-CN"/>
        </w:rPr>
        <w:t>•</w:t>
      </w:r>
      <w:r>
        <w:rPr>
          <w:lang w:eastAsia="zh-CN"/>
        </w:rPr>
        <w:tab/>
      </w:r>
      <w:r w:rsidRPr="0074207F">
        <w:rPr>
          <w:lang w:eastAsia="zh-CN"/>
        </w:rPr>
        <w:t>Note: The reference measurement timing for intra-frequency measurement is serving cell timing.</w:t>
      </w:r>
    </w:p>
    <w:p w14:paraId="0C315FB6" w14:textId="77777777" w:rsidR="00567E6C" w:rsidRDefault="00567E6C" w:rsidP="00567E6C">
      <w:pPr>
        <w:pStyle w:val="B10"/>
        <w:rPr>
          <w:lang w:eastAsia="zh-CN"/>
        </w:rPr>
      </w:pPr>
      <w:r>
        <w:rPr>
          <w:lang w:eastAsia="zh-CN"/>
        </w:rPr>
        <w:t>-</w:t>
      </w:r>
      <w:r>
        <w:rPr>
          <w:lang w:eastAsia="zh-CN"/>
        </w:rPr>
        <w:tab/>
        <w:t xml:space="preserve">The bandwidth of CSI-RS is 48 PRBs and the density is 3. </w:t>
      </w:r>
    </w:p>
    <w:p w14:paraId="5D317B65" w14:textId="77777777" w:rsidR="00567E6C" w:rsidRPr="00D93B5F" w:rsidRDefault="00567E6C" w:rsidP="00F37389">
      <w:pPr>
        <w:pStyle w:val="B20"/>
        <w:rPr>
          <w:lang w:eastAsia="zh-CN"/>
        </w:rPr>
      </w:pPr>
      <w:r>
        <w:rPr>
          <w:rFonts w:hint="eastAsia"/>
          <w:lang w:eastAsia="zh-CN"/>
        </w:rPr>
        <w:t>•</w:t>
      </w:r>
      <w:r>
        <w:rPr>
          <w:lang w:eastAsia="zh-CN"/>
        </w:rPr>
        <w:tab/>
        <w:t>The performance with larger bandwidth of CSI-RS is equal to or better than the accuracy requirements in Table 10.1.12.2</w:t>
      </w:r>
      <w:r w:rsidRPr="009C5807">
        <w:rPr>
          <w:lang w:eastAsia="zh-CN"/>
        </w:rPr>
        <w:t>.1-1</w:t>
      </w:r>
      <w:r>
        <w:rPr>
          <w:lang w:eastAsia="zh-CN"/>
        </w:rPr>
        <w:t>.</w:t>
      </w:r>
    </w:p>
    <w:p w14:paraId="4E57A6F6" w14:textId="77777777" w:rsidR="00567E6C" w:rsidRDefault="00567E6C" w:rsidP="00567E6C">
      <w:pPr>
        <w:pStyle w:val="TH"/>
        <w:rPr>
          <w:lang w:eastAsia="zh-CN"/>
        </w:rPr>
      </w:pPr>
      <w:r w:rsidRPr="009C5807">
        <w:t xml:space="preserve">Table </w:t>
      </w:r>
      <w:r>
        <w:rPr>
          <w:lang w:eastAsia="zh-CN"/>
        </w:rPr>
        <w:t>10.1.12.2</w:t>
      </w:r>
      <w:r w:rsidRPr="009C5807">
        <w:rPr>
          <w:lang w:eastAsia="zh-CN"/>
        </w:rPr>
        <w:t>.1-1</w:t>
      </w:r>
      <w:r w:rsidRPr="009C5807">
        <w:t xml:space="preserve">: </w:t>
      </w:r>
      <w:r>
        <w:rPr>
          <w:lang w:eastAsia="zh-CN"/>
        </w:rPr>
        <w:t>CSI-SINR</w:t>
      </w:r>
      <w:r w:rsidRPr="009C5807">
        <w:t xml:space="preserve"> Intra frequency absolute accuracy</w:t>
      </w:r>
      <w:r w:rsidRPr="009C5807">
        <w:rPr>
          <w:lang w:eastAsia="zh-CN"/>
        </w:rPr>
        <w:t xml:space="preserve"> in FR1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26"/>
        <w:gridCol w:w="1026"/>
        <w:gridCol w:w="707"/>
        <w:gridCol w:w="2045"/>
        <w:gridCol w:w="822"/>
        <w:gridCol w:w="827"/>
        <w:gridCol w:w="819"/>
        <w:gridCol w:w="1304"/>
        <w:gridCol w:w="1047"/>
      </w:tblGrid>
      <w:tr w:rsidR="00567E6C" w:rsidRPr="00C32E45" w14:paraId="53CEB8E3" w14:textId="77777777" w:rsidTr="00567E6C">
        <w:trPr>
          <w:jc w:val="center"/>
        </w:trPr>
        <w:tc>
          <w:tcPr>
            <w:tcW w:w="0" w:type="auto"/>
            <w:gridSpan w:val="2"/>
            <w:shd w:val="clear" w:color="auto" w:fill="auto"/>
            <w:vAlign w:val="center"/>
          </w:tcPr>
          <w:p w14:paraId="13ACF9F8" w14:textId="77777777" w:rsidR="00567E6C" w:rsidRPr="00C32E45" w:rsidRDefault="00567E6C" w:rsidP="00F37389">
            <w:pPr>
              <w:pStyle w:val="TAH"/>
            </w:pPr>
            <w:r w:rsidRPr="00C32E45">
              <w:t>Accuracy</w:t>
            </w:r>
          </w:p>
        </w:tc>
        <w:tc>
          <w:tcPr>
            <w:tcW w:w="0" w:type="auto"/>
            <w:gridSpan w:val="7"/>
            <w:shd w:val="clear" w:color="auto" w:fill="auto"/>
            <w:vAlign w:val="center"/>
          </w:tcPr>
          <w:p w14:paraId="6DFE6752" w14:textId="77777777" w:rsidR="00567E6C" w:rsidRPr="00C32E45" w:rsidRDefault="00567E6C" w:rsidP="00F37389">
            <w:pPr>
              <w:pStyle w:val="TAH"/>
            </w:pPr>
            <w:r w:rsidRPr="00C32E45">
              <w:t>Conditions</w:t>
            </w:r>
          </w:p>
        </w:tc>
      </w:tr>
      <w:tr w:rsidR="00567E6C" w:rsidRPr="00C32E45" w14:paraId="7EAE7AA7" w14:textId="77777777" w:rsidTr="00567E6C">
        <w:trPr>
          <w:jc w:val="center"/>
        </w:trPr>
        <w:tc>
          <w:tcPr>
            <w:tcW w:w="0" w:type="auto"/>
            <w:vMerge w:val="restart"/>
            <w:shd w:val="clear" w:color="auto" w:fill="auto"/>
            <w:vAlign w:val="center"/>
          </w:tcPr>
          <w:p w14:paraId="3C97BF4C" w14:textId="77777777" w:rsidR="00567E6C" w:rsidRPr="00C32E45" w:rsidRDefault="00567E6C" w:rsidP="00F37389">
            <w:pPr>
              <w:pStyle w:val="TAH"/>
            </w:pPr>
            <w:r w:rsidRPr="00C32E45">
              <w:t>Normal condition</w:t>
            </w:r>
          </w:p>
        </w:tc>
        <w:tc>
          <w:tcPr>
            <w:tcW w:w="0" w:type="auto"/>
            <w:vMerge w:val="restart"/>
            <w:shd w:val="clear" w:color="auto" w:fill="auto"/>
            <w:vAlign w:val="center"/>
          </w:tcPr>
          <w:p w14:paraId="2492907E" w14:textId="77777777" w:rsidR="00567E6C" w:rsidRPr="00C32E45" w:rsidRDefault="00567E6C" w:rsidP="00F37389">
            <w:pPr>
              <w:pStyle w:val="TAH"/>
            </w:pPr>
            <w:r w:rsidRPr="00C32E45">
              <w:t>Extreme condition</w:t>
            </w:r>
          </w:p>
        </w:tc>
        <w:tc>
          <w:tcPr>
            <w:tcW w:w="0" w:type="auto"/>
            <w:vMerge w:val="restart"/>
            <w:shd w:val="clear" w:color="auto" w:fill="auto"/>
            <w:vAlign w:val="center"/>
          </w:tcPr>
          <w:p w14:paraId="25BDE8FF" w14:textId="77777777" w:rsidR="00567E6C" w:rsidRPr="00C32E45" w:rsidRDefault="00567E6C" w:rsidP="00F37389">
            <w:pPr>
              <w:pStyle w:val="TAH"/>
            </w:pPr>
            <w:r>
              <w:t xml:space="preserve">CSI-RS </w:t>
            </w:r>
            <w:r w:rsidRPr="00C32E45">
              <w:t>Ês/Iot</w:t>
            </w:r>
          </w:p>
        </w:tc>
        <w:tc>
          <w:tcPr>
            <w:tcW w:w="0" w:type="auto"/>
            <w:gridSpan w:val="6"/>
            <w:shd w:val="clear" w:color="auto" w:fill="auto"/>
            <w:vAlign w:val="center"/>
          </w:tcPr>
          <w:p w14:paraId="01A05376" w14:textId="77777777" w:rsidR="00567E6C" w:rsidRPr="00C32E45" w:rsidRDefault="00567E6C" w:rsidP="00F37389">
            <w:pPr>
              <w:pStyle w:val="TAH"/>
            </w:pPr>
            <w:r w:rsidRPr="00C32E45">
              <w:t>Io</w:t>
            </w:r>
            <w:r w:rsidRPr="00C32E45">
              <w:rPr>
                <w:vertAlign w:val="superscript"/>
              </w:rPr>
              <w:t xml:space="preserve"> Note 1</w:t>
            </w:r>
            <w:r w:rsidRPr="00C32E45">
              <w:t xml:space="preserve"> range</w:t>
            </w:r>
          </w:p>
        </w:tc>
      </w:tr>
      <w:tr w:rsidR="00567E6C" w:rsidRPr="00C32E45" w14:paraId="69067E95" w14:textId="77777777" w:rsidTr="00567E6C">
        <w:trPr>
          <w:jc w:val="center"/>
        </w:trPr>
        <w:tc>
          <w:tcPr>
            <w:tcW w:w="0" w:type="auto"/>
            <w:vMerge/>
            <w:shd w:val="clear" w:color="auto" w:fill="auto"/>
            <w:vAlign w:val="center"/>
          </w:tcPr>
          <w:p w14:paraId="06A45FFE" w14:textId="77777777" w:rsidR="00567E6C" w:rsidRPr="00C32E45" w:rsidRDefault="00567E6C" w:rsidP="00F37389">
            <w:pPr>
              <w:pStyle w:val="TAH"/>
            </w:pPr>
          </w:p>
        </w:tc>
        <w:tc>
          <w:tcPr>
            <w:tcW w:w="0" w:type="auto"/>
            <w:vMerge/>
            <w:shd w:val="clear" w:color="auto" w:fill="auto"/>
            <w:vAlign w:val="center"/>
          </w:tcPr>
          <w:p w14:paraId="6B0353EF" w14:textId="77777777" w:rsidR="00567E6C" w:rsidRPr="00C32E45" w:rsidRDefault="00567E6C" w:rsidP="00F37389">
            <w:pPr>
              <w:pStyle w:val="TAH"/>
            </w:pPr>
          </w:p>
        </w:tc>
        <w:tc>
          <w:tcPr>
            <w:tcW w:w="0" w:type="auto"/>
            <w:vMerge/>
            <w:shd w:val="clear" w:color="auto" w:fill="auto"/>
            <w:vAlign w:val="center"/>
          </w:tcPr>
          <w:p w14:paraId="79B7EEA8" w14:textId="77777777" w:rsidR="00567E6C" w:rsidRPr="00C32E45" w:rsidRDefault="00567E6C" w:rsidP="00F37389">
            <w:pPr>
              <w:pStyle w:val="TAH"/>
            </w:pPr>
          </w:p>
        </w:tc>
        <w:tc>
          <w:tcPr>
            <w:tcW w:w="1960" w:type="dxa"/>
            <w:shd w:val="clear" w:color="auto" w:fill="auto"/>
            <w:vAlign w:val="center"/>
          </w:tcPr>
          <w:p w14:paraId="204BA688" w14:textId="77777777" w:rsidR="00567E6C" w:rsidRPr="00C32E45" w:rsidRDefault="00567E6C" w:rsidP="00F37389">
            <w:pPr>
              <w:pStyle w:val="TAH"/>
            </w:pPr>
            <w:r w:rsidRPr="00C32E45">
              <w:t>NR operating band groups</w:t>
            </w:r>
            <w:r w:rsidRPr="00C32E45">
              <w:rPr>
                <w:vertAlign w:val="superscript"/>
              </w:rPr>
              <w:t xml:space="preserve"> </w:t>
            </w:r>
          </w:p>
        </w:tc>
        <w:tc>
          <w:tcPr>
            <w:tcW w:w="3857" w:type="dxa"/>
            <w:gridSpan w:val="4"/>
            <w:shd w:val="clear" w:color="auto" w:fill="auto"/>
            <w:vAlign w:val="center"/>
          </w:tcPr>
          <w:p w14:paraId="114080DB" w14:textId="77777777" w:rsidR="00567E6C" w:rsidRPr="00C32E45" w:rsidRDefault="00567E6C" w:rsidP="00F37389">
            <w:pPr>
              <w:pStyle w:val="TAH"/>
            </w:pPr>
            <w:r w:rsidRPr="00C32E45">
              <w:t>Minimum Io</w:t>
            </w:r>
          </w:p>
        </w:tc>
        <w:tc>
          <w:tcPr>
            <w:tcW w:w="0" w:type="auto"/>
            <w:shd w:val="clear" w:color="auto" w:fill="auto"/>
            <w:vAlign w:val="center"/>
          </w:tcPr>
          <w:p w14:paraId="729C160A" w14:textId="77777777" w:rsidR="00567E6C" w:rsidRPr="00C32E45" w:rsidRDefault="00567E6C" w:rsidP="00F37389">
            <w:pPr>
              <w:pStyle w:val="TAH"/>
            </w:pPr>
            <w:r w:rsidRPr="00C32E45">
              <w:t>Maximum Io</w:t>
            </w:r>
          </w:p>
        </w:tc>
      </w:tr>
      <w:tr w:rsidR="00567E6C" w:rsidRPr="00C32E45" w14:paraId="4090CA10" w14:textId="77777777" w:rsidTr="00567E6C">
        <w:trPr>
          <w:trHeight w:val="120"/>
          <w:jc w:val="center"/>
        </w:trPr>
        <w:tc>
          <w:tcPr>
            <w:tcW w:w="0" w:type="auto"/>
            <w:vMerge w:val="restart"/>
            <w:shd w:val="clear" w:color="auto" w:fill="auto"/>
            <w:vAlign w:val="center"/>
          </w:tcPr>
          <w:p w14:paraId="39330B32" w14:textId="77777777" w:rsidR="00567E6C" w:rsidRPr="00C32E45" w:rsidRDefault="00567E6C" w:rsidP="00F37389">
            <w:pPr>
              <w:pStyle w:val="TAH"/>
              <w:rPr>
                <w:lang w:eastAsia="zh-CN"/>
              </w:rPr>
            </w:pPr>
            <w:r w:rsidRPr="00C32E45">
              <w:t>dB</w:t>
            </w:r>
          </w:p>
        </w:tc>
        <w:tc>
          <w:tcPr>
            <w:tcW w:w="0" w:type="auto"/>
            <w:vMerge w:val="restart"/>
            <w:shd w:val="clear" w:color="auto" w:fill="auto"/>
            <w:vAlign w:val="center"/>
          </w:tcPr>
          <w:p w14:paraId="76415AAC" w14:textId="77777777" w:rsidR="00567E6C" w:rsidRPr="00C32E45" w:rsidRDefault="00567E6C" w:rsidP="00F37389">
            <w:pPr>
              <w:pStyle w:val="TAH"/>
              <w:rPr>
                <w:lang w:eastAsia="zh-CN"/>
              </w:rPr>
            </w:pPr>
            <w:r w:rsidRPr="00C32E45">
              <w:t>dB</w:t>
            </w:r>
          </w:p>
        </w:tc>
        <w:tc>
          <w:tcPr>
            <w:tcW w:w="0" w:type="auto"/>
            <w:vMerge w:val="restart"/>
            <w:shd w:val="clear" w:color="auto" w:fill="auto"/>
            <w:vAlign w:val="center"/>
          </w:tcPr>
          <w:p w14:paraId="44406CB3" w14:textId="77777777" w:rsidR="00567E6C" w:rsidRPr="00C32E45" w:rsidRDefault="00567E6C" w:rsidP="00F37389">
            <w:pPr>
              <w:pStyle w:val="TAH"/>
            </w:pPr>
            <w:r w:rsidRPr="00C32E45">
              <w:t>dB</w:t>
            </w:r>
          </w:p>
        </w:tc>
        <w:tc>
          <w:tcPr>
            <w:tcW w:w="1960" w:type="dxa"/>
            <w:vMerge w:val="restart"/>
            <w:shd w:val="clear" w:color="auto" w:fill="auto"/>
            <w:vAlign w:val="center"/>
          </w:tcPr>
          <w:p w14:paraId="7696DE60" w14:textId="77777777" w:rsidR="00567E6C" w:rsidRPr="00C32E45" w:rsidRDefault="00567E6C" w:rsidP="00F37389">
            <w:pPr>
              <w:pStyle w:val="TAH"/>
            </w:pPr>
          </w:p>
        </w:tc>
        <w:tc>
          <w:tcPr>
            <w:tcW w:w="2387" w:type="dxa"/>
            <w:gridSpan w:val="3"/>
            <w:shd w:val="clear" w:color="auto" w:fill="auto"/>
            <w:vAlign w:val="center"/>
          </w:tcPr>
          <w:p w14:paraId="14DDF06E" w14:textId="77777777" w:rsidR="00567E6C" w:rsidRPr="00C32E45" w:rsidRDefault="00567E6C" w:rsidP="00F37389">
            <w:pPr>
              <w:pStyle w:val="TAH"/>
            </w:pPr>
            <w:r w:rsidRPr="00C32E45">
              <w:rPr>
                <w:rFonts w:cs="Arial"/>
              </w:rPr>
              <w:t xml:space="preserve">dBm / </w:t>
            </w:r>
            <w:r w:rsidRPr="00C32E45">
              <w:t>SCS</w:t>
            </w:r>
          </w:p>
        </w:tc>
        <w:tc>
          <w:tcPr>
            <w:tcW w:w="0" w:type="auto"/>
            <w:vMerge w:val="restart"/>
            <w:shd w:val="clear" w:color="auto" w:fill="auto"/>
            <w:vAlign w:val="center"/>
          </w:tcPr>
          <w:p w14:paraId="215D60A3" w14:textId="77777777" w:rsidR="00567E6C" w:rsidRPr="00C32E45" w:rsidRDefault="00567E6C" w:rsidP="00F37389">
            <w:pPr>
              <w:pStyle w:val="TAH"/>
            </w:pPr>
            <w:r w:rsidRPr="00C32E45">
              <w:t xml:space="preserve">dBm/BW </w:t>
            </w:r>
            <w:r w:rsidRPr="00C32E45">
              <w:rPr>
                <w:vertAlign w:val="subscript"/>
              </w:rPr>
              <w:t>Channel</w:t>
            </w:r>
          </w:p>
        </w:tc>
        <w:tc>
          <w:tcPr>
            <w:tcW w:w="0" w:type="auto"/>
            <w:vMerge w:val="restart"/>
            <w:shd w:val="clear" w:color="auto" w:fill="auto"/>
            <w:vAlign w:val="center"/>
          </w:tcPr>
          <w:p w14:paraId="16511B4B" w14:textId="77777777" w:rsidR="00567E6C" w:rsidRPr="00C32E45" w:rsidRDefault="00567E6C" w:rsidP="00F37389">
            <w:pPr>
              <w:pStyle w:val="TAH"/>
            </w:pPr>
            <w:r w:rsidRPr="00C32E45">
              <w:t xml:space="preserve">dBm/BW </w:t>
            </w:r>
            <w:r w:rsidRPr="00C32E45">
              <w:rPr>
                <w:vertAlign w:val="subscript"/>
              </w:rPr>
              <w:t>Channel</w:t>
            </w:r>
          </w:p>
        </w:tc>
      </w:tr>
      <w:tr w:rsidR="00567E6C" w:rsidRPr="00C32E45" w14:paraId="687DFE9C" w14:textId="77777777" w:rsidTr="00567E6C">
        <w:trPr>
          <w:trHeight w:val="43"/>
          <w:jc w:val="center"/>
        </w:trPr>
        <w:tc>
          <w:tcPr>
            <w:tcW w:w="0" w:type="auto"/>
            <w:vMerge/>
            <w:shd w:val="clear" w:color="auto" w:fill="auto"/>
            <w:vAlign w:val="center"/>
          </w:tcPr>
          <w:p w14:paraId="0DA49C09" w14:textId="77777777" w:rsidR="00567E6C" w:rsidRPr="00C32E45" w:rsidRDefault="00567E6C" w:rsidP="00F37389">
            <w:pPr>
              <w:pStyle w:val="TAH"/>
            </w:pPr>
          </w:p>
        </w:tc>
        <w:tc>
          <w:tcPr>
            <w:tcW w:w="0" w:type="auto"/>
            <w:vMerge/>
            <w:shd w:val="clear" w:color="auto" w:fill="auto"/>
            <w:vAlign w:val="center"/>
          </w:tcPr>
          <w:p w14:paraId="7F02BF09" w14:textId="77777777" w:rsidR="00567E6C" w:rsidRPr="00C32E45" w:rsidRDefault="00567E6C" w:rsidP="00F37389">
            <w:pPr>
              <w:pStyle w:val="TAH"/>
            </w:pPr>
          </w:p>
        </w:tc>
        <w:tc>
          <w:tcPr>
            <w:tcW w:w="0" w:type="auto"/>
            <w:vMerge/>
            <w:shd w:val="clear" w:color="auto" w:fill="auto"/>
            <w:vAlign w:val="center"/>
          </w:tcPr>
          <w:p w14:paraId="2767BE32" w14:textId="77777777" w:rsidR="00567E6C" w:rsidRPr="00C32E45" w:rsidRDefault="00567E6C" w:rsidP="00F37389">
            <w:pPr>
              <w:pStyle w:val="TAH"/>
            </w:pPr>
          </w:p>
        </w:tc>
        <w:tc>
          <w:tcPr>
            <w:tcW w:w="1960" w:type="dxa"/>
            <w:vMerge/>
            <w:shd w:val="clear" w:color="auto" w:fill="auto"/>
            <w:vAlign w:val="center"/>
          </w:tcPr>
          <w:p w14:paraId="51F85CCE" w14:textId="77777777" w:rsidR="00567E6C" w:rsidRPr="00C32E45" w:rsidRDefault="00567E6C" w:rsidP="00F37389">
            <w:pPr>
              <w:pStyle w:val="TAH"/>
            </w:pPr>
          </w:p>
        </w:tc>
        <w:tc>
          <w:tcPr>
            <w:tcW w:w="2387" w:type="dxa"/>
            <w:gridSpan w:val="3"/>
            <w:shd w:val="clear" w:color="auto" w:fill="auto"/>
            <w:vAlign w:val="center"/>
          </w:tcPr>
          <w:p w14:paraId="400D201B" w14:textId="77777777" w:rsidR="00567E6C" w:rsidRPr="00C32E45" w:rsidRDefault="00567E6C" w:rsidP="00F37389">
            <w:pPr>
              <w:pStyle w:val="TAH"/>
              <w:rPr>
                <w:rFonts w:cs="Arial"/>
              </w:rPr>
            </w:pPr>
            <w:r w:rsidRPr="00C32E45">
              <w:t>SCS (kHz)</w:t>
            </w:r>
          </w:p>
        </w:tc>
        <w:tc>
          <w:tcPr>
            <w:tcW w:w="0" w:type="auto"/>
            <w:vMerge/>
            <w:shd w:val="clear" w:color="auto" w:fill="auto"/>
            <w:vAlign w:val="center"/>
          </w:tcPr>
          <w:p w14:paraId="52957A68" w14:textId="77777777" w:rsidR="00567E6C" w:rsidRPr="00C32E45" w:rsidRDefault="00567E6C" w:rsidP="00F37389">
            <w:pPr>
              <w:pStyle w:val="TAH"/>
            </w:pPr>
          </w:p>
        </w:tc>
        <w:tc>
          <w:tcPr>
            <w:tcW w:w="0" w:type="auto"/>
            <w:vMerge/>
            <w:shd w:val="clear" w:color="auto" w:fill="auto"/>
            <w:vAlign w:val="center"/>
          </w:tcPr>
          <w:p w14:paraId="4B85D660" w14:textId="77777777" w:rsidR="00567E6C" w:rsidRPr="00C32E45" w:rsidRDefault="00567E6C" w:rsidP="00F37389">
            <w:pPr>
              <w:pStyle w:val="TAH"/>
            </w:pPr>
          </w:p>
        </w:tc>
      </w:tr>
      <w:tr w:rsidR="00567E6C" w:rsidRPr="00C32E45" w14:paraId="7160E936" w14:textId="77777777" w:rsidTr="00567E6C">
        <w:trPr>
          <w:trHeight w:val="315"/>
          <w:jc w:val="center"/>
        </w:trPr>
        <w:tc>
          <w:tcPr>
            <w:tcW w:w="0" w:type="auto"/>
            <w:vMerge w:val="restart"/>
            <w:shd w:val="clear" w:color="auto" w:fill="auto"/>
            <w:vAlign w:val="center"/>
          </w:tcPr>
          <w:p w14:paraId="449D896D" w14:textId="77777777" w:rsidR="00567E6C" w:rsidRPr="0024545C" w:rsidRDefault="00567E6C" w:rsidP="00F37389">
            <w:pPr>
              <w:pStyle w:val="TAC"/>
              <w:rPr>
                <w:lang w:eastAsia="zh-CN"/>
              </w:rPr>
            </w:pPr>
            <w:r w:rsidRPr="00714130">
              <w:rPr>
                <w:lang w:eastAsia="zh-CN"/>
              </w:rPr>
              <w:sym w:font="Symbol" w:char="F0B1"/>
            </w:r>
            <w:r>
              <w:rPr>
                <w:lang w:eastAsia="zh-CN"/>
              </w:rPr>
              <w:t>3</w:t>
            </w:r>
          </w:p>
        </w:tc>
        <w:tc>
          <w:tcPr>
            <w:tcW w:w="0" w:type="auto"/>
            <w:vMerge w:val="restart"/>
            <w:shd w:val="clear" w:color="auto" w:fill="auto"/>
            <w:vAlign w:val="center"/>
          </w:tcPr>
          <w:p w14:paraId="6AAE03DF" w14:textId="77777777" w:rsidR="00567E6C" w:rsidRPr="00C32E45" w:rsidRDefault="00567E6C" w:rsidP="00F37389">
            <w:pPr>
              <w:pStyle w:val="TAC"/>
              <w:rPr>
                <w:b/>
                <w:lang w:eastAsia="zh-CN"/>
              </w:rPr>
            </w:pPr>
            <w:r w:rsidRPr="00714130">
              <w:rPr>
                <w:lang w:eastAsia="zh-CN"/>
              </w:rPr>
              <w:sym w:font="Symbol" w:char="F0B1"/>
            </w:r>
            <w:r>
              <w:rPr>
                <w:lang w:eastAsia="zh-CN"/>
              </w:rPr>
              <w:t>4</w:t>
            </w:r>
          </w:p>
        </w:tc>
        <w:tc>
          <w:tcPr>
            <w:tcW w:w="0" w:type="auto"/>
            <w:vMerge w:val="restart"/>
            <w:shd w:val="clear" w:color="auto" w:fill="auto"/>
            <w:vAlign w:val="center"/>
          </w:tcPr>
          <w:p w14:paraId="30D763B8" w14:textId="77777777" w:rsidR="00567E6C" w:rsidRPr="00C32E45" w:rsidRDefault="00567E6C" w:rsidP="00F37389">
            <w:pPr>
              <w:pStyle w:val="TAC"/>
              <w:rPr>
                <w:b/>
              </w:rPr>
            </w:pPr>
            <w:r w:rsidRPr="00C32E45">
              <w:rPr>
                <w:sz w:val="16"/>
                <w:szCs w:val="16"/>
              </w:rPr>
              <w:sym w:font="Symbol" w:char="F0B3"/>
            </w:r>
            <w:r w:rsidRPr="0098004A">
              <w:rPr>
                <w:sz w:val="16"/>
                <w:szCs w:val="16"/>
              </w:rPr>
              <w:t>-</w:t>
            </w:r>
            <w:r>
              <w:rPr>
                <w:sz w:val="16"/>
                <w:szCs w:val="16"/>
              </w:rPr>
              <w:t>3</w:t>
            </w:r>
          </w:p>
        </w:tc>
        <w:tc>
          <w:tcPr>
            <w:tcW w:w="1960" w:type="dxa"/>
            <w:vMerge/>
            <w:shd w:val="clear" w:color="auto" w:fill="auto"/>
            <w:vAlign w:val="center"/>
          </w:tcPr>
          <w:p w14:paraId="52195E4A" w14:textId="77777777" w:rsidR="00567E6C" w:rsidRPr="00C32E45" w:rsidRDefault="00567E6C" w:rsidP="00567E6C">
            <w:pPr>
              <w:keepNext/>
              <w:keepLines/>
              <w:spacing w:after="0"/>
              <w:jc w:val="center"/>
              <w:rPr>
                <w:rFonts w:ascii="Arial" w:hAnsi="Arial"/>
                <w:b/>
                <w:sz w:val="18"/>
              </w:rPr>
            </w:pPr>
          </w:p>
        </w:tc>
        <w:tc>
          <w:tcPr>
            <w:tcW w:w="795" w:type="dxa"/>
            <w:shd w:val="clear" w:color="auto" w:fill="auto"/>
            <w:vAlign w:val="center"/>
          </w:tcPr>
          <w:p w14:paraId="32430B8F" w14:textId="77777777" w:rsidR="00567E6C" w:rsidRPr="00C32E45" w:rsidRDefault="00567E6C" w:rsidP="00F37389">
            <w:pPr>
              <w:pStyle w:val="TAH"/>
            </w:pPr>
            <w:r w:rsidRPr="00C32E45">
              <w:t xml:space="preserve">15 </w:t>
            </w:r>
          </w:p>
        </w:tc>
        <w:tc>
          <w:tcPr>
            <w:tcW w:w="808" w:type="dxa"/>
            <w:shd w:val="clear" w:color="auto" w:fill="auto"/>
            <w:vAlign w:val="center"/>
          </w:tcPr>
          <w:p w14:paraId="511F3C26" w14:textId="77777777" w:rsidR="00567E6C" w:rsidRPr="00C32E45" w:rsidRDefault="00567E6C" w:rsidP="00F37389">
            <w:pPr>
              <w:pStyle w:val="TAH"/>
            </w:pPr>
            <w:r w:rsidRPr="00C32E45">
              <w:rPr>
                <w:rFonts w:hint="eastAsia"/>
                <w:lang w:eastAsia="zh-CN"/>
              </w:rPr>
              <w:t>3</w:t>
            </w:r>
            <w:r w:rsidRPr="00C32E45">
              <w:rPr>
                <w:lang w:eastAsia="zh-CN"/>
              </w:rPr>
              <w:t>0</w:t>
            </w:r>
          </w:p>
        </w:tc>
        <w:tc>
          <w:tcPr>
            <w:tcW w:w="0" w:type="auto"/>
            <w:shd w:val="clear" w:color="auto" w:fill="auto"/>
            <w:vAlign w:val="center"/>
          </w:tcPr>
          <w:p w14:paraId="3653576B" w14:textId="77777777" w:rsidR="00567E6C" w:rsidRPr="00C32E45" w:rsidRDefault="00567E6C" w:rsidP="00F37389">
            <w:pPr>
              <w:pStyle w:val="TAH"/>
            </w:pPr>
            <w:r w:rsidRPr="00C32E45">
              <w:rPr>
                <w:rFonts w:hint="eastAsia"/>
                <w:lang w:eastAsia="zh-CN"/>
              </w:rPr>
              <w:t>6</w:t>
            </w:r>
            <w:r w:rsidRPr="00C32E45">
              <w:rPr>
                <w:lang w:eastAsia="zh-CN"/>
              </w:rPr>
              <w:t>0</w:t>
            </w:r>
          </w:p>
        </w:tc>
        <w:tc>
          <w:tcPr>
            <w:tcW w:w="0" w:type="auto"/>
            <w:vMerge/>
            <w:shd w:val="clear" w:color="auto" w:fill="auto"/>
            <w:vAlign w:val="center"/>
          </w:tcPr>
          <w:p w14:paraId="364D8701" w14:textId="77777777" w:rsidR="00567E6C" w:rsidRPr="00C32E45" w:rsidRDefault="00567E6C" w:rsidP="00567E6C">
            <w:pPr>
              <w:keepNext/>
              <w:keepLines/>
              <w:spacing w:after="0"/>
              <w:jc w:val="center"/>
              <w:rPr>
                <w:rFonts w:ascii="Arial" w:hAnsi="Arial"/>
                <w:b/>
                <w:sz w:val="16"/>
                <w:szCs w:val="16"/>
              </w:rPr>
            </w:pPr>
          </w:p>
        </w:tc>
        <w:tc>
          <w:tcPr>
            <w:tcW w:w="0" w:type="auto"/>
            <w:vMerge/>
            <w:shd w:val="clear" w:color="auto" w:fill="auto"/>
            <w:vAlign w:val="center"/>
          </w:tcPr>
          <w:p w14:paraId="5740F0C0" w14:textId="77777777" w:rsidR="00567E6C" w:rsidRPr="00C32E45" w:rsidRDefault="00567E6C" w:rsidP="00567E6C">
            <w:pPr>
              <w:keepNext/>
              <w:keepLines/>
              <w:spacing w:after="0"/>
              <w:jc w:val="center"/>
              <w:rPr>
                <w:rFonts w:ascii="Arial" w:hAnsi="Arial"/>
                <w:b/>
                <w:sz w:val="16"/>
                <w:szCs w:val="16"/>
              </w:rPr>
            </w:pPr>
          </w:p>
        </w:tc>
      </w:tr>
      <w:tr w:rsidR="00567E6C" w:rsidRPr="0098004A" w14:paraId="2C0AD545" w14:textId="77777777" w:rsidTr="00567E6C">
        <w:trPr>
          <w:jc w:val="center"/>
        </w:trPr>
        <w:tc>
          <w:tcPr>
            <w:tcW w:w="0" w:type="auto"/>
            <w:vMerge/>
            <w:shd w:val="clear" w:color="auto" w:fill="auto"/>
            <w:vAlign w:val="center"/>
          </w:tcPr>
          <w:p w14:paraId="2DDFB94D" w14:textId="77777777" w:rsidR="00567E6C" w:rsidRPr="00C32E45" w:rsidRDefault="00567E6C" w:rsidP="00F37389">
            <w:pPr>
              <w:pStyle w:val="TAC"/>
              <w:rPr>
                <w:sz w:val="16"/>
                <w:szCs w:val="16"/>
              </w:rPr>
            </w:pPr>
          </w:p>
        </w:tc>
        <w:tc>
          <w:tcPr>
            <w:tcW w:w="0" w:type="auto"/>
            <w:vMerge/>
            <w:shd w:val="clear" w:color="auto" w:fill="auto"/>
            <w:vAlign w:val="center"/>
          </w:tcPr>
          <w:p w14:paraId="7AD47C09" w14:textId="77777777" w:rsidR="00567E6C" w:rsidRPr="00C32E45" w:rsidRDefault="00567E6C" w:rsidP="00F37389">
            <w:pPr>
              <w:pStyle w:val="TAC"/>
              <w:rPr>
                <w:sz w:val="16"/>
                <w:szCs w:val="16"/>
              </w:rPr>
            </w:pPr>
          </w:p>
        </w:tc>
        <w:tc>
          <w:tcPr>
            <w:tcW w:w="0" w:type="auto"/>
            <w:vMerge/>
            <w:shd w:val="clear" w:color="auto" w:fill="auto"/>
            <w:vAlign w:val="center"/>
          </w:tcPr>
          <w:p w14:paraId="44A766E5" w14:textId="77777777" w:rsidR="00567E6C" w:rsidRPr="00C32E45" w:rsidRDefault="00567E6C" w:rsidP="00F37389">
            <w:pPr>
              <w:pStyle w:val="TAC"/>
              <w:rPr>
                <w:sz w:val="16"/>
                <w:szCs w:val="16"/>
              </w:rPr>
            </w:pPr>
          </w:p>
        </w:tc>
        <w:tc>
          <w:tcPr>
            <w:tcW w:w="1960" w:type="dxa"/>
            <w:shd w:val="clear" w:color="auto" w:fill="auto"/>
            <w:vAlign w:val="center"/>
          </w:tcPr>
          <w:p w14:paraId="65234252" w14:textId="77777777" w:rsidR="00567E6C" w:rsidRPr="00F37389" w:rsidRDefault="00567E6C" w:rsidP="00567E6C">
            <w:pPr>
              <w:pStyle w:val="TAC"/>
              <w:rPr>
                <w:lang w:eastAsia="zh-CN"/>
              </w:rPr>
            </w:pPr>
            <w:r w:rsidRPr="00F37389">
              <w:rPr>
                <w:lang w:eastAsia="zh-CN"/>
              </w:rPr>
              <w:t>NR_FDD_FR1_A, NR_TDD_FR1_A,</w:t>
            </w:r>
          </w:p>
          <w:p w14:paraId="14B4298B" w14:textId="77777777" w:rsidR="00567E6C" w:rsidRPr="00F37389" w:rsidRDefault="00567E6C" w:rsidP="00567E6C">
            <w:pPr>
              <w:pStyle w:val="TAC"/>
              <w:rPr>
                <w:lang w:eastAsia="zh-CN"/>
              </w:rPr>
            </w:pPr>
            <w:r w:rsidRPr="00F37389">
              <w:rPr>
                <w:lang w:eastAsia="zh-CN"/>
              </w:rPr>
              <w:t>NR_SDL_FR1_A</w:t>
            </w:r>
          </w:p>
        </w:tc>
        <w:tc>
          <w:tcPr>
            <w:tcW w:w="795" w:type="dxa"/>
            <w:shd w:val="clear" w:color="auto" w:fill="auto"/>
            <w:vAlign w:val="center"/>
          </w:tcPr>
          <w:p w14:paraId="5EAA8699" w14:textId="77777777" w:rsidR="00567E6C" w:rsidRPr="00F37389" w:rsidRDefault="00567E6C" w:rsidP="00567E6C">
            <w:pPr>
              <w:pStyle w:val="TAC"/>
              <w:rPr>
                <w:lang w:eastAsia="zh-CN"/>
              </w:rPr>
            </w:pPr>
            <w:r w:rsidRPr="00F37389">
              <w:rPr>
                <w:lang w:eastAsia="zh-CN"/>
              </w:rPr>
              <w:t>-121</w:t>
            </w:r>
          </w:p>
        </w:tc>
        <w:tc>
          <w:tcPr>
            <w:tcW w:w="808" w:type="dxa"/>
            <w:shd w:val="clear" w:color="auto" w:fill="auto"/>
            <w:vAlign w:val="center"/>
          </w:tcPr>
          <w:p w14:paraId="4EFA71E6" w14:textId="77777777" w:rsidR="00567E6C" w:rsidRPr="00F37389" w:rsidRDefault="00567E6C" w:rsidP="00567E6C">
            <w:pPr>
              <w:pStyle w:val="TAC"/>
              <w:rPr>
                <w:lang w:eastAsia="zh-CN"/>
              </w:rPr>
            </w:pPr>
            <w:r w:rsidRPr="00F37389">
              <w:rPr>
                <w:lang w:eastAsia="zh-CN"/>
              </w:rPr>
              <w:t>-118</w:t>
            </w:r>
          </w:p>
        </w:tc>
        <w:tc>
          <w:tcPr>
            <w:tcW w:w="0" w:type="auto"/>
            <w:shd w:val="clear" w:color="auto" w:fill="auto"/>
            <w:vAlign w:val="center"/>
          </w:tcPr>
          <w:p w14:paraId="78F067FB" w14:textId="77777777" w:rsidR="00567E6C" w:rsidRPr="00C32E45" w:rsidRDefault="00567E6C" w:rsidP="00F37389">
            <w:pPr>
              <w:pStyle w:val="TAC"/>
              <w:rPr>
                <w:lang w:eastAsia="zh-CN"/>
              </w:rPr>
            </w:pPr>
            <w:r w:rsidRPr="0098004A">
              <w:rPr>
                <w:rFonts w:hint="eastAsia"/>
                <w:lang w:eastAsia="zh-CN"/>
              </w:rPr>
              <w:t>-</w:t>
            </w:r>
            <w:r w:rsidRPr="0098004A">
              <w:rPr>
                <w:lang w:eastAsia="zh-CN"/>
              </w:rPr>
              <w:t>115</w:t>
            </w:r>
          </w:p>
        </w:tc>
        <w:tc>
          <w:tcPr>
            <w:tcW w:w="0" w:type="auto"/>
            <w:shd w:val="clear" w:color="auto" w:fill="auto"/>
            <w:vAlign w:val="center"/>
          </w:tcPr>
          <w:p w14:paraId="39D209CF" w14:textId="77777777" w:rsidR="00567E6C" w:rsidRPr="00C32E45" w:rsidRDefault="00567E6C" w:rsidP="00F37389">
            <w:pPr>
              <w:pStyle w:val="TAC"/>
            </w:pPr>
            <w:r w:rsidRPr="00C32E45">
              <w:t>N/A</w:t>
            </w:r>
          </w:p>
        </w:tc>
        <w:tc>
          <w:tcPr>
            <w:tcW w:w="0" w:type="auto"/>
            <w:shd w:val="clear" w:color="auto" w:fill="auto"/>
            <w:vAlign w:val="center"/>
          </w:tcPr>
          <w:p w14:paraId="49CF2D54" w14:textId="77777777" w:rsidR="00567E6C" w:rsidRPr="00C32E45" w:rsidRDefault="00567E6C" w:rsidP="00F37389">
            <w:pPr>
              <w:pStyle w:val="TAC"/>
            </w:pPr>
            <w:r w:rsidRPr="00C32E45">
              <w:t>-70</w:t>
            </w:r>
          </w:p>
        </w:tc>
      </w:tr>
      <w:tr w:rsidR="00567E6C" w:rsidRPr="0098004A" w14:paraId="280AB1B6" w14:textId="77777777" w:rsidTr="00567E6C">
        <w:trPr>
          <w:jc w:val="center"/>
        </w:trPr>
        <w:tc>
          <w:tcPr>
            <w:tcW w:w="0" w:type="auto"/>
            <w:vMerge/>
            <w:shd w:val="clear" w:color="auto" w:fill="auto"/>
            <w:vAlign w:val="center"/>
          </w:tcPr>
          <w:p w14:paraId="36A4852B" w14:textId="77777777" w:rsidR="00567E6C" w:rsidRPr="00C32E45" w:rsidRDefault="00567E6C" w:rsidP="00F37389">
            <w:pPr>
              <w:pStyle w:val="TAC"/>
              <w:rPr>
                <w:sz w:val="16"/>
                <w:szCs w:val="16"/>
              </w:rPr>
            </w:pPr>
          </w:p>
        </w:tc>
        <w:tc>
          <w:tcPr>
            <w:tcW w:w="0" w:type="auto"/>
            <w:vMerge/>
            <w:shd w:val="clear" w:color="auto" w:fill="auto"/>
            <w:vAlign w:val="center"/>
          </w:tcPr>
          <w:p w14:paraId="609598F0" w14:textId="77777777" w:rsidR="00567E6C" w:rsidRPr="00C32E45" w:rsidRDefault="00567E6C" w:rsidP="00F37389">
            <w:pPr>
              <w:pStyle w:val="TAC"/>
              <w:rPr>
                <w:sz w:val="16"/>
                <w:szCs w:val="16"/>
              </w:rPr>
            </w:pPr>
          </w:p>
        </w:tc>
        <w:tc>
          <w:tcPr>
            <w:tcW w:w="0" w:type="auto"/>
            <w:vMerge/>
            <w:shd w:val="clear" w:color="auto" w:fill="auto"/>
            <w:vAlign w:val="center"/>
          </w:tcPr>
          <w:p w14:paraId="6619129E" w14:textId="77777777" w:rsidR="00567E6C" w:rsidRPr="00C32E45" w:rsidRDefault="00567E6C" w:rsidP="00F37389">
            <w:pPr>
              <w:pStyle w:val="TAC"/>
              <w:rPr>
                <w:sz w:val="16"/>
                <w:szCs w:val="16"/>
              </w:rPr>
            </w:pPr>
          </w:p>
        </w:tc>
        <w:tc>
          <w:tcPr>
            <w:tcW w:w="1960" w:type="dxa"/>
            <w:shd w:val="clear" w:color="auto" w:fill="auto"/>
            <w:vAlign w:val="center"/>
          </w:tcPr>
          <w:p w14:paraId="6AEC12A9" w14:textId="77777777" w:rsidR="00567E6C" w:rsidRPr="00F37389" w:rsidRDefault="00567E6C" w:rsidP="00567E6C">
            <w:pPr>
              <w:pStyle w:val="TAC"/>
              <w:rPr>
                <w:lang w:eastAsia="zh-CN"/>
              </w:rPr>
            </w:pPr>
            <w:r w:rsidRPr="00F37389">
              <w:rPr>
                <w:lang w:eastAsia="zh-CN"/>
              </w:rPr>
              <w:t>NR_FDD_FR1_B</w:t>
            </w:r>
          </w:p>
        </w:tc>
        <w:tc>
          <w:tcPr>
            <w:tcW w:w="795" w:type="dxa"/>
            <w:shd w:val="clear" w:color="auto" w:fill="auto"/>
          </w:tcPr>
          <w:p w14:paraId="7D94C05F" w14:textId="77777777" w:rsidR="00567E6C" w:rsidRPr="00F37389" w:rsidRDefault="00567E6C" w:rsidP="00567E6C">
            <w:pPr>
              <w:pStyle w:val="TAC"/>
              <w:rPr>
                <w:lang w:eastAsia="zh-CN"/>
              </w:rPr>
            </w:pPr>
            <w:r w:rsidRPr="00F37389">
              <w:rPr>
                <w:lang w:eastAsia="zh-CN"/>
              </w:rPr>
              <w:t>-120.5</w:t>
            </w:r>
          </w:p>
        </w:tc>
        <w:tc>
          <w:tcPr>
            <w:tcW w:w="808" w:type="dxa"/>
            <w:shd w:val="clear" w:color="auto" w:fill="auto"/>
            <w:vAlign w:val="center"/>
          </w:tcPr>
          <w:p w14:paraId="4EA4FAC4" w14:textId="77777777" w:rsidR="00567E6C" w:rsidRPr="00F37389" w:rsidRDefault="00567E6C" w:rsidP="00567E6C">
            <w:pPr>
              <w:pStyle w:val="TAC"/>
              <w:rPr>
                <w:lang w:eastAsia="zh-CN"/>
              </w:rPr>
            </w:pPr>
            <w:r w:rsidRPr="00F37389">
              <w:rPr>
                <w:lang w:eastAsia="zh-CN"/>
              </w:rPr>
              <w:t>-117.5</w:t>
            </w:r>
          </w:p>
        </w:tc>
        <w:tc>
          <w:tcPr>
            <w:tcW w:w="0" w:type="auto"/>
            <w:shd w:val="clear" w:color="auto" w:fill="auto"/>
            <w:vAlign w:val="center"/>
          </w:tcPr>
          <w:p w14:paraId="2A350D97" w14:textId="77777777" w:rsidR="00567E6C" w:rsidRPr="00C32E45" w:rsidRDefault="00567E6C" w:rsidP="00F37389">
            <w:pPr>
              <w:pStyle w:val="TAC"/>
              <w:rPr>
                <w:lang w:val="sv-SE" w:eastAsia="zh-CN"/>
              </w:rPr>
            </w:pPr>
            <w:r w:rsidRPr="0098004A">
              <w:rPr>
                <w:rFonts w:hint="eastAsia"/>
                <w:lang w:val="sv-SE" w:eastAsia="zh-CN"/>
              </w:rPr>
              <w:t>-</w:t>
            </w:r>
            <w:r w:rsidRPr="0098004A">
              <w:rPr>
                <w:lang w:val="sv-SE" w:eastAsia="zh-CN"/>
              </w:rPr>
              <w:t>114.5</w:t>
            </w:r>
          </w:p>
        </w:tc>
        <w:tc>
          <w:tcPr>
            <w:tcW w:w="0" w:type="auto"/>
            <w:shd w:val="clear" w:color="auto" w:fill="auto"/>
            <w:vAlign w:val="center"/>
          </w:tcPr>
          <w:p w14:paraId="50573245" w14:textId="77777777" w:rsidR="00567E6C" w:rsidRPr="00C32E45" w:rsidRDefault="00567E6C" w:rsidP="00F37389">
            <w:pPr>
              <w:pStyle w:val="TAC"/>
            </w:pPr>
            <w:r w:rsidRPr="00C32E45">
              <w:t>N/A</w:t>
            </w:r>
          </w:p>
        </w:tc>
        <w:tc>
          <w:tcPr>
            <w:tcW w:w="0" w:type="auto"/>
            <w:shd w:val="clear" w:color="auto" w:fill="auto"/>
            <w:vAlign w:val="center"/>
          </w:tcPr>
          <w:p w14:paraId="3C3067CB" w14:textId="77777777" w:rsidR="00567E6C" w:rsidRPr="00C32E45" w:rsidRDefault="00567E6C" w:rsidP="00F37389">
            <w:pPr>
              <w:pStyle w:val="TAC"/>
            </w:pPr>
            <w:r w:rsidRPr="00C32E45">
              <w:t>-70</w:t>
            </w:r>
          </w:p>
        </w:tc>
      </w:tr>
      <w:tr w:rsidR="00567E6C" w:rsidRPr="0098004A" w14:paraId="545728D2" w14:textId="77777777" w:rsidTr="00567E6C">
        <w:trPr>
          <w:jc w:val="center"/>
        </w:trPr>
        <w:tc>
          <w:tcPr>
            <w:tcW w:w="0" w:type="auto"/>
            <w:vMerge/>
            <w:shd w:val="clear" w:color="auto" w:fill="auto"/>
            <w:vAlign w:val="center"/>
          </w:tcPr>
          <w:p w14:paraId="3D505A3A" w14:textId="77777777" w:rsidR="00567E6C" w:rsidRPr="00C32E45" w:rsidRDefault="00567E6C" w:rsidP="00F37389">
            <w:pPr>
              <w:pStyle w:val="TAC"/>
              <w:rPr>
                <w:sz w:val="16"/>
                <w:szCs w:val="16"/>
              </w:rPr>
            </w:pPr>
          </w:p>
        </w:tc>
        <w:tc>
          <w:tcPr>
            <w:tcW w:w="0" w:type="auto"/>
            <w:vMerge/>
            <w:shd w:val="clear" w:color="auto" w:fill="auto"/>
            <w:vAlign w:val="center"/>
          </w:tcPr>
          <w:p w14:paraId="4EA22502" w14:textId="77777777" w:rsidR="00567E6C" w:rsidRPr="00C32E45" w:rsidRDefault="00567E6C" w:rsidP="00F37389">
            <w:pPr>
              <w:pStyle w:val="TAC"/>
              <w:rPr>
                <w:sz w:val="16"/>
                <w:szCs w:val="16"/>
              </w:rPr>
            </w:pPr>
          </w:p>
        </w:tc>
        <w:tc>
          <w:tcPr>
            <w:tcW w:w="0" w:type="auto"/>
            <w:vMerge/>
            <w:shd w:val="clear" w:color="auto" w:fill="auto"/>
            <w:vAlign w:val="center"/>
          </w:tcPr>
          <w:p w14:paraId="3D729192" w14:textId="77777777" w:rsidR="00567E6C" w:rsidRPr="00C32E45" w:rsidRDefault="00567E6C" w:rsidP="00F37389">
            <w:pPr>
              <w:pStyle w:val="TAC"/>
              <w:rPr>
                <w:sz w:val="16"/>
                <w:szCs w:val="16"/>
              </w:rPr>
            </w:pPr>
          </w:p>
        </w:tc>
        <w:tc>
          <w:tcPr>
            <w:tcW w:w="1960" w:type="dxa"/>
            <w:shd w:val="clear" w:color="auto" w:fill="auto"/>
            <w:vAlign w:val="center"/>
          </w:tcPr>
          <w:p w14:paraId="6F4771B1" w14:textId="77777777" w:rsidR="00567E6C" w:rsidRPr="00F37389" w:rsidRDefault="00567E6C" w:rsidP="00567E6C">
            <w:pPr>
              <w:pStyle w:val="TAC"/>
              <w:rPr>
                <w:lang w:eastAsia="zh-CN"/>
              </w:rPr>
            </w:pPr>
            <w:r w:rsidRPr="00F37389">
              <w:rPr>
                <w:lang w:eastAsia="zh-CN"/>
              </w:rPr>
              <w:t>NR_TDD_FR1_C</w:t>
            </w:r>
          </w:p>
        </w:tc>
        <w:tc>
          <w:tcPr>
            <w:tcW w:w="795" w:type="dxa"/>
            <w:shd w:val="clear" w:color="auto" w:fill="auto"/>
            <w:vAlign w:val="center"/>
          </w:tcPr>
          <w:p w14:paraId="22E18378" w14:textId="77777777" w:rsidR="00567E6C" w:rsidRPr="00F37389" w:rsidRDefault="00567E6C" w:rsidP="00567E6C">
            <w:pPr>
              <w:pStyle w:val="TAC"/>
              <w:rPr>
                <w:lang w:eastAsia="zh-CN"/>
              </w:rPr>
            </w:pPr>
            <w:r w:rsidRPr="00F37389">
              <w:rPr>
                <w:lang w:eastAsia="zh-CN"/>
              </w:rPr>
              <w:t>-120</w:t>
            </w:r>
          </w:p>
        </w:tc>
        <w:tc>
          <w:tcPr>
            <w:tcW w:w="808" w:type="dxa"/>
            <w:shd w:val="clear" w:color="auto" w:fill="auto"/>
            <w:vAlign w:val="center"/>
          </w:tcPr>
          <w:p w14:paraId="407D6949" w14:textId="77777777" w:rsidR="00567E6C" w:rsidRPr="00F37389" w:rsidRDefault="00567E6C" w:rsidP="00567E6C">
            <w:pPr>
              <w:pStyle w:val="TAC"/>
              <w:rPr>
                <w:lang w:eastAsia="zh-CN"/>
              </w:rPr>
            </w:pPr>
            <w:r w:rsidRPr="00F37389">
              <w:rPr>
                <w:lang w:eastAsia="zh-CN"/>
              </w:rPr>
              <w:t>-117</w:t>
            </w:r>
          </w:p>
        </w:tc>
        <w:tc>
          <w:tcPr>
            <w:tcW w:w="0" w:type="auto"/>
            <w:shd w:val="clear" w:color="auto" w:fill="auto"/>
            <w:vAlign w:val="center"/>
          </w:tcPr>
          <w:p w14:paraId="263CF56E" w14:textId="77777777" w:rsidR="00567E6C" w:rsidRPr="00C32E45" w:rsidDel="00FA4A82" w:rsidRDefault="00567E6C" w:rsidP="00F37389">
            <w:pPr>
              <w:pStyle w:val="TAC"/>
              <w:rPr>
                <w:lang w:eastAsia="zh-CN"/>
              </w:rPr>
            </w:pPr>
            <w:r w:rsidRPr="0098004A">
              <w:rPr>
                <w:rFonts w:hint="eastAsia"/>
                <w:lang w:eastAsia="zh-CN"/>
              </w:rPr>
              <w:t>-</w:t>
            </w:r>
            <w:r w:rsidRPr="0098004A">
              <w:rPr>
                <w:lang w:eastAsia="zh-CN"/>
              </w:rPr>
              <w:t>114</w:t>
            </w:r>
          </w:p>
        </w:tc>
        <w:tc>
          <w:tcPr>
            <w:tcW w:w="0" w:type="auto"/>
            <w:shd w:val="clear" w:color="auto" w:fill="auto"/>
            <w:vAlign w:val="center"/>
          </w:tcPr>
          <w:p w14:paraId="0BA0439F" w14:textId="77777777" w:rsidR="00567E6C" w:rsidRPr="00C32E45" w:rsidRDefault="00567E6C" w:rsidP="00F37389">
            <w:pPr>
              <w:pStyle w:val="TAC"/>
            </w:pPr>
            <w:r w:rsidRPr="00C32E45">
              <w:t>N/A</w:t>
            </w:r>
          </w:p>
        </w:tc>
        <w:tc>
          <w:tcPr>
            <w:tcW w:w="0" w:type="auto"/>
            <w:shd w:val="clear" w:color="auto" w:fill="auto"/>
            <w:vAlign w:val="center"/>
          </w:tcPr>
          <w:p w14:paraId="1E4EE941" w14:textId="77777777" w:rsidR="00567E6C" w:rsidRPr="00C32E45" w:rsidRDefault="00567E6C" w:rsidP="00F37389">
            <w:pPr>
              <w:pStyle w:val="TAC"/>
            </w:pPr>
            <w:r w:rsidRPr="00C32E45">
              <w:t>-70</w:t>
            </w:r>
          </w:p>
        </w:tc>
      </w:tr>
      <w:tr w:rsidR="00567E6C" w:rsidRPr="0098004A" w14:paraId="7BD79A0D" w14:textId="77777777" w:rsidTr="00567E6C">
        <w:trPr>
          <w:jc w:val="center"/>
        </w:trPr>
        <w:tc>
          <w:tcPr>
            <w:tcW w:w="0" w:type="auto"/>
            <w:vMerge/>
            <w:shd w:val="clear" w:color="auto" w:fill="auto"/>
            <w:vAlign w:val="center"/>
          </w:tcPr>
          <w:p w14:paraId="2EC5E1B2" w14:textId="77777777" w:rsidR="00567E6C" w:rsidRPr="00C32E45" w:rsidRDefault="00567E6C" w:rsidP="00F37389">
            <w:pPr>
              <w:pStyle w:val="TAC"/>
              <w:rPr>
                <w:sz w:val="16"/>
                <w:szCs w:val="16"/>
              </w:rPr>
            </w:pPr>
          </w:p>
        </w:tc>
        <w:tc>
          <w:tcPr>
            <w:tcW w:w="0" w:type="auto"/>
            <w:vMerge/>
            <w:shd w:val="clear" w:color="auto" w:fill="auto"/>
            <w:vAlign w:val="center"/>
          </w:tcPr>
          <w:p w14:paraId="78704898" w14:textId="77777777" w:rsidR="00567E6C" w:rsidRPr="00C32E45" w:rsidRDefault="00567E6C" w:rsidP="00F37389">
            <w:pPr>
              <w:pStyle w:val="TAC"/>
              <w:rPr>
                <w:sz w:val="16"/>
                <w:szCs w:val="16"/>
              </w:rPr>
            </w:pPr>
          </w:p>
        </w:tc>
        <w:tc>
          <w:tcPr>
            <w:tcW w:w="0" w:type="auto"/>
            <w:vMerge/>
            <w:shd w:val="clear" w:color="auto" w:fill="auto"/>
            <w:vAlign w:val="center"/>
          </w:tcPr>
          <w:p w14:paraId="069DF4BF" w14:textId="77777777" w:rsidR="00567E6C" w:rsidRPr="00C32E45" w:rsidRDefault="00567E6C" w:rsidP="00F37389">
            <w:pPr>
              <w:pStyle w:val="TAC"/>
              <w:rPr>
                <w:sz w:val="16"/>
                <w:szCs w:val="16"/>
              </w:rPr>
            </w:pPr>
          </w:p>
        </w:tc>
        <w:tc>
          <w:tcPr>
            <w:tcW w:w="1960" w:type="dxa"/>
            <w:shd w:val="clear" w:color="auto" w:fill="auto"/>
            <w:vAlign w:val="center"/>
          </w:tcPr>
          <w:p w14:paraId="74C2EADF" w14:textId="77777777" w:rsidR="00567E6C" w:rsidRPr="00F37389" w:rsidRDefault="00567E6C" w:rsidP="00567E6C">
            <w:pPr>
              <w:pStyle w:val="TAC"/>
              <w:rPr>
                <w:lang w:eastAsia="zh-CN"/>
              </w:rPr>
            </w:pPr>
            <w:r w:rsidRPr="00F37389">
              <w:rPr>
                <w:lang w:eastAsia="zh-CN"/>
              </w:rPr>
              <w:t>NR_FDD_FR1_D, NR_TDD_FR1_D</w:t>
            </w:r>
          </w:p>
        </w:tc>
        <w:tc>
          <w:tcPr>
            <w:tcW w:w="795" w:type="dxa"/>
            <w:shd w:val="clear" w:color="auto" w:fill="auto"/>
            <w:vAlign w:val="center"/>
          </w:tcPr>
          <w:p w14:paraId="74B962A5" w14:textId="77777777" w:rsidR="00567E6C" w:rsidRPr="00F37389" w:rsidDel="00FA4A82" w:rsidRDefault="00567E6C" w:rsidP="00567E6C">
            <w:pPr>
              <w:pStyle w:val="TAC"/>
              <w:rPr>
                <w:lang w:eastAsia="zh-CN"/>
              </w:rPr>
            </w:pPr>
            <w:r w:rsidRPr="00F37389">
              <w:rPr>
                <w:lang w:eastAsia="zh-CN"/>
              </w:rPr>
              <w:t>-119.5</w:t>
            </w:r>
          </w:p>
        </w:tc>
        <w:tc>
          <w:tcPr>
            <w:tcW w:w="808" w:type="dxa"/>
            <w:shd w:val="clear" w:color="auto" w:fill="auto"/>
            <w:vAlign w:val="center"/>
          </w:tcPr>
          <w:p w14:paraId="070A5B0A" w14:textId="77777777" w:rsidR="00567E6C" w:rsidRPr="00F37389" w:rsidDel="00FA4A82" w:rsidRDefault="00567E6C" w:rsidP="00567E6C">
            <w:pPr>
              <w:pStyle w:val="TAC"/>
              <w:rPr>
                <w:lang w:eastAsia="zh-CN"/>
              </w:rPr>
            </w:pPr>
            <w:r w:rsidRPr="00F37389">
              <w:rPr>
                <w:lang w:eastAsia="zh-CN"/>
              </w:rPr>
              <w:t>-116.5</w:t>
            </w:r>
          </w:p>
        </w:tc>
        <w:tc>
          <w:tcPr>
            <w:tcW w:w="0" w:type="auto"/>
            <w:shd w:val="clear" w:color="auto" w:fill="auto"/>
            <w:vAlign w:val="center"/>
          </w:tcPr>
          <w:p w14:paraId="3353554B" w14:textId="77777777" w:rsidR="00567E6C" w:rsidRPr="00C32E45" w:rsidRDefault="00567E6C" w:rsidP="00F37389">
            <w:pPr>
              <w:pStyle w:val="TAC"/>
              <w:rPr>
                <w:lang w:val="sv-SE" w:eastAsia="zh-CN"/>
              </w:rPr>
            </w:pPr>
            <w:r w:rsidRPr="0098004A">
              <w:rPr>
                <w:rFonts w:hint="eastAsia"/>
                <w:lang w:val="sv-SE" w:eastAsia="zh-CN"/>
              </w:rPr>
              <w:t>-</w:t>
            </w:r>
            <w:r w:rsidRPr="0098004A">
              <w:rPr>
                <w:lang w:val="sv-SE" w:eastAsia="zh-CN"/>
              </w:rPr>
              <w:t>113.5</w:t>
            </w:r>
          </w:p>
        </w:tc>
        <w:tc>
          <w:tcPr>
            <w:tcW w:w="0" w:type="auto"/>
            <w:shd w:val="clear" w:color="auto" w:fill="auto"/>
            <w:vAlign w:val="center"/>
          </w:tcPr>
          <w:p w14:paraId="1EFBDCBD" w14:textId="77777777" w:rsidR="00567E6C" w:rsidRPr="00C32E45" w:rsidRDefault="00567E6C" w:rsidP="00F37389">
            <w:pPr>
              <w:pStyle w:val="TAC"/>
            </w:pPr>
            <w:r w:rsidRPr="00C32E45">
              <w:t>N/A</w:t>
            </w:r>
          </w:p>
        </w:tc>
        <w:tc>
          <w:tcPr>
            <w:tcW w:w="0" w:type="auto"/>
            <w:shd w:val="clear" w:color="auto" w:fill="auto"/>
            <w:vAlign w:val="center"/>
          </w:tcPr>
          <w:p w14:paraId="3F5004DE" w14:textId="77777777" w:rsidR="00567E6C" w:rsidRPr="00C32E45" w:rsidRDefault="00567E6C" w:rsidP="00F37389">
            <w:pPr>
              <w:pStyle w:val="TAC"/>
            </w:pPr>
            <w:r w:rsidRPr="00C32E45">
              <w:t>-70</w:t>
            </w:r>
          </w:p>
        </w:tc>
      </w:tr>
      <w:tr w:rsidR="00567E6C" w:rsidRPr="0098004A" w14:paraId="231B8AD6" w14:textId="77777777" w:rsidTr="00567E6C">
        <w:trPr>
          <w:jc w:val="center"/>
        </w:trPr>
        <w:tc>
          <w:tcPr>
            <w:tcW w:w="0" w:type="auto"/>
            <w:vMerge/>
            <w:shd w:val="clear" w:color="auto" w:fill="auto"/>
            <w:vAlign w:val="center"/>
          </w:tcPr>
          <w:p w14:paraId="193DEA06" w14:textId="77777777" w:rsidR="00567E6C" w:rsidRPr="0098004A" w:rsidRDefault="00567E6C" w:rsidP="00F37389">
            <w:pPr>
              <w:pStyle w:val="TAC"/>
              <w:rPr>
                <w:sz w:val="16"/>
                <w:szCs w:val="16"/>
              </w:rPr>
            </w:pPr>
          </w:p>
        </w:tc>
        <w:tc>
          <w:tcPr>
            <w:tcW w:w="0" w:type="auto"/>
            <w:vMerge/>
            <w:shd w:val="clear" w:color="auto" w:fill="auto"/>
            <w:vAlign w:val="center"/>
          </w:tcPr>
          <w:p w14:paraId="7747A10C" w14:textId="77777777" w:rsidR="00567E6C" w:rsidRPr="0098004A" w:rsidRDefault="00567E6C" w:rsidP="00F37389">
            <w:pPr>
              <w:pStyle w:val="TAC"/>
              <w:rPr>
                <w:sz w:val="16"/>
                <w:szCs w:val="16"/>
              </w:rPr>
            </w:pPr>
          </w:p>
        </w:tc>
        <w:tc>
          <w:tcPr>
            <w:tcW w:w="0" w:type="auto"/>
            <w:vMerge/>
            <w:shd w:val="clear" w:color="auto" w:fill="auto"/>
            <w:vAlign w:val="center"/>
          </w:tcPr>
          <w:p w14:paraId="11FA4465" w14:textId="77777777" w:rsidR="00567E6C" w:rsidRPr="0098004A" w:rsidRDefault="00567E6C" w:rsidP="00F37389">
            <w:pPr>
              <w:pStyle w:val="TAC"/>
              <w:rPr>
                <w:sz w:val="16"/>
                <w:szCs w:val="16"/>
              </w:rPr>
            </w:pPr>
          </w:p>
        </w:tc>
        <w:tc>
          <w:tcPr>
            <w:tcW w:w="1960" w:type="dxa"/>
            <w:shd w:val="clear" w:color="auto" w:fill="auto"/>
            <w:vAlign w:val="center"/>
          </w:tcPr>
          <w:p w14:paraId="491E940F" w14:textId="77777777" w:rsidR="00567E6C" w:rsidRPr="00F37389" w:rsidDel="00836998" w:rsidRDefault="00567E6C" w:rsidP="00567E6C">
            <w:pPr>
              <w:pStyle w:val="TAC"/>
              <w:rPr>
                <w:lang w:eastAsia="zh-CN"/>
              </w:rPr>
            </w:pPr>
            <w:r w:rsidRPr="00F37389">
              <w:rPr>
                <w:lang w:eastAsia="zh-CN"/>
              </w:rPr>
              <w:t>NR_FDD_FR1_E, NR_TDD_FR1_E</w:t>
            </w:r>
          </w:p>
        </w:tc>
        <w:tc>
          <w:tcPr>
            <w:tcW w:w="795" w:type="dxa"/>
            <w:shd w:val="clear" w:color="auto" w:fill="auto"/>
            <w:vAlign w:val="center"/>
          </w:tcPr>
          <w:p w14:paraId="3522D439" w14:textId="77777777" w:rsidR="00567E6C" w:rsidRPr="00F37389" w:rsidRDefault="00567E6C" w:rsidP="00567E6C">
            <w:pPr>
              <w:pStyle w:val="TAC"/>
              <w:rPr>
                <w:lang w:eastAsia="zh-CN"/>
              </w:rPr>
            </w:pPr>
            <w:r w:rsidRPr="00F37389">
              <w:rPr>
                <w:lang w:eastAsia="zh-CN"/>
              </w:rPr>
              <w:t>-119</w:t>
            </w:r>
          </w:p>
        </w:tc>
        <w:tc>
          <w:tcPr>
            <w:tcW w:w="808" w:type="dxa"/>
            <w:shd w:val="clear" w:color="auto" w:fill="auto"/>
            <w:vAlign w:val="center"/>
          </w:tcPr>
          <w:p w14:paraId="14346135" w14:textId="77777777" w:rsidR="00567E6C" w:rsidRPr="00F37389" w:rsidRDefault="00567E6C" w:rsidP="00567E6C">
            <w:pPr>
              <w:pStyle w:val="TAC"/>
              <w:rPr>
                <w:lang w:eastAsia="zh-CN"/>
              </w:rPr>
            </w:pPr>
            <w:r w:rsidRPr="00F37389">
              <w:rPr>
                <w:lang w:eastAsia="zh-CN"/>
              </w:rPr>
              <w:t>-116</w:t>
            </w:r>
          </w:p>
        </w:tc>
        <w:tc>
          <w:tcPr>
            <w:tcW w:w="0" w:type="auto"/>
            <w:shd w:val="clear" w:color="auto" w:fill="auto"/>
            <w:vAlign w:val="center"/>
          </w:tcPr>
          <w:p w14:paraId="3881E135" w14:textId="77777777" w:rsidR="00567E6C" w:rsidRPr="0098004A" w:rsidRDefault="00567E6C" w:rsidP="00F37389">
            <w:pPr>
              <w:pStyle w:val="TAC"/>
              <w:rPr>
                <w:rFonts w:cs="Arial"/>
                <w:lang w:eastAsia="zh-CN"/>
              </w:rPr>
            </w:pPr>
            <w:r w:rsidRPr="0098004A">
              <w:rPr>
                <w:rFonts w:cs="Arial" w:hint="eastAsia"/>
                <w:lang w:eastAsia="zh-CN"/>
              </w:rPr>
              <w:t>-</w:t>
            </w:r>
            <w:r w:rsidRPr="0098004A">
              <w:rPr>
                <w:rFonts w:cs="Arial"/>
                <w:lang w:eastAsia="zh-CN"/>
              </w:rPr>
              <w:t>113</w:t>
            </w:r>
          </w:p>
        </w:tc>
        <w:tc>
          <w:tcPr>
            <w:tcW w:w="0" w:type="auto"/>
            <w:shd w:val="clear" w:color="auto" w:fill="auto"/>
            <w:vAlign w:val="center"/>
          </w:tcPr>
          <w:p w14:paraId="69A97582" w14:textId="77777777" w:rsidR="00567E6C" w:rsidRPr="00C32E45" w:rsidRDefault="00567E6C" w:rsidP="00F37389">
            <w:pPr>
              <w:pStyle w:val="TAC"/>
            </w:pPr>
            <w:r w:rsidRPr="00C32E45">
              <w:t>N/A</w:t>
            </w:r>
          </w:p>
        </w:tc>
        <w:tc>
          <w:tcPr>
            <w:tcW w:w="0" w:type="auto"/>
            <w:shd w:val="clear" w:color="auto" w:fill="auto"/>
            <w:vAlign w:val="center"/>
          </w:tcPr>
          <w:p w14:paraId="250DF277" w14:textId="77777777" w:rsidR="00567E6C" w:rsidRPr="00C32E45" w:rsidRDefault="00567E6C" w:rsidP="00F37389">
            <w:pPr>
              <w:pStyle w:val="TAC"/>
            </w:pPr>
            <w:r w:rsidRPr="00C32E45">
              <w:t>-70</w:t>
            </w:r>
          </w:p>
        </w:tc>
      </w:tr>
      <w:tr w:rsidR="00567E6C" w:rsidRPr="0098004A" w14:paraId="558F212B" w14:textId="77777777" w:rsidTr="00567E6C">
        <w:trPr>
          <w:jc w:val="center"/>
        </w:trPr>
        <w:tc>
          <w:tcPr>
            <w:tcW w:w="0" w:type="auto"/>
            <w:vMerge/>
            <w:shd w:val="clear" w:color="auto" w:fill="auto"/>
            <w:vAlign w:val="center"/>
          </w:tcPr>
          <w:p w14:paraId="72A9F1C8" w14:textId="77777777" w:rsidR="00567E6C" w:rsidRPr="0098004A" w:rsidRDefault="00567E6C" w:rsidP="00F37389">
            <w:pPr>
              <w:pStyle w:val="TAC"/>
              <w:rPr>
                <w:sz w:val="16"/>
                <w:szCs w:val="16"/>
              </w:rPr>
            </w:pPr>
          </w:p>
        </w:tc>
        <w:tc>
          <w:tcPr>
            <w:tcW w:w="0" w:type="auto"/>
            <w:vMerge/>
            <w:shd w:val="clear" w:color="auto" w:fill="auto"/>
            <w:vAlign w:val="center"/>
          </w:tcPr>
          <w:p w14:paraId="7CAD6EC7" w14:textId="77777777" w:rsidR="00567E6C" w:rsidRPr="0098004A" w:rsidRDefault="00567E6C" w:rsidP="00F37389">
            <w:pPr>
              <w:pStyle w:val="TAC"/>
              <w:rPr>
                <w:sz w:val="16"/>
                <w:szCs w:val="16"/>
              </w:rPr>
            </w:pPr>
          </w:p>
        </w:tc>
        <w:tc>
          <w:tcPr>
            <w:tcW w:w="0" w:type="auto"/>
            <w:vMerge/>
            <w:shd w:val="clear" w:color="auto" w:fill="auto"/>
            <w:vAlign w:val="center"/>
          </w:tcPr>
          <w:p w14:paraId="247FC281" w14:textId="77777777" w:rsidR="00567E6C" w:rsidRPr="0098004A" w:rsidRDefault="00567E6C" w:rsidP="00F37389">
            <w:pPr>
              <w:pStyle w:val="TAC"/>
              <w:rPr>
                <w:sz w:val="16"/>
                <w:szCs w:val="16"/>
              </w:rPr>
            </w:pPr>
          </w:p>
        </w:tc>
        <w:tc>
          <w:tcPr>
            <w:tcW w:w="1960" w:type="dxa"/>
            <w:shd w:val="clear" w:color="auto" w:fill="auto"/>
            <w:vAlign w:val="center"/>
          </w:tcPr>
          <w:p w14:paraId="54558C3B" w14:textId="77777777" w:rsidR="00567E6C" w:rsidRPr="00F37389" w:rsidRDefault="00567E6C" w:rsidP="00567E6C">
            <w:pPr>
              <w:pStyle w:val="TAC"/>
              <w:rPr>
                <w:lang w:eastAsia="zh-CN"/>
              </w:rPr>
            </w:pPr>
            <w:r w:rsidRPr="00F37389">
              <w:rPr>
                <w:lang w:eastAsia="zh-CN"/>
              </w:rPr>
              <w:t>NR_FDD_FR1_F</w:t>
            </w:r>
          </w:p>
        </w:tc>
        <w:tc>
          <w:tcPr>
            <w:tcW w:w="795" w:type="dxa"/>
            <w:shd w:val="clear" w:color="auto" w:fill="auto"/>
            <w:vAlign w:val="center"/>
          </w:tcPr>
          <w:p w14:paraId="70F18434" w14:textId="77777777" w:rsidR="00567E6C" w:rsidRPr="00F37389" w:rsidRDefault="00567E6C" w:rsidP="00567E6C">
            <w:pPr>
              <w:pStyle w:val="TAC"/>
              <w:rPr>
                <w:lang w:eastAsia="zh-CN"/>
              </w:rPr>
            </w:pPr>
            <w:r w:rsidRPr="00F37389">
              <w:rPr>
                <w:lang w:eastAsia="zh-CN"/>
              </w:rPr>
              <w:t>-118.5</w:t>
            </w:r>
          </w:p>
        </w:tc>
        <w:tc>
          <w:tcPr>
            <w:tcW w:w="808" w:type="dxa"/>
            <w:shd w:val="clear" w:color="auto" w:fill="auto"/>
            <w:vAlign w:val="center"/>
          </w:tcPr>
          <w:p w14:paraId="7C69B7BF" w14:textId="77777777" w:rsidR="00567E6C" w:rsidRPr="00F37389" w:rsidRDefault="00567E6C" w:rsidP="00567E6C">
            <w:pPr>
              <w:pStyle w:val="TAC"/>
              <w:rPr>
                <w:lang w:eastAsia="zh-CN"/>
              </w:rPr>
            </w:pPr>
            <w:r w:rsidRPr="00F37389">
              <w:rPr>
                <w:lang w:eastAsia="zh-CN"/>
              </w:rPr>
              <w:t>-115.5</w:t>
            </w:r>
          </w:p>
        </w:tc>
        <w:tc>
          <w:tcPr>
            <w:tcW w:w="0" w:type="auto"/>
            <w:shd w:val="clear" w:color="auto" w:fill="auto"/>
            <w:vAlign w:val="center"/>
          </w:tcPr>
          <w:p w14:paraId="7EBB1A23" w14:textId="77777777" w:rsidR="00567E6C" w:rsidRPr="0098004A" w:rsidRDefault="00567E6C" w:rsidP="00F37389">
            <w:pPr>
              <w:pStyle w:val="TAC"/>
              <w:rPr>
                <w:rFonts w:cs="Arial"/>
                <w:lang w:eastAsia="zh-CN"/>
              </w:rPr>
            </w:pPr>
            <w:r w:rsidRPr="0098004A">
              <w:rPr>
                <w:rFonts w:cs="Arial" w:hint="eastAsia"/>
                <w:lang w:eastAsia="zh-CN"/>
              </w:rPr>
              <w:t>-</w:t>
            </w:r>
            <w:r w:rsidRPr="0098004A">
              <w:rPr>
                <w:rFonts w:cs="Arial"/>
                <w:lang w:eastAsia="zh-CN"/>
              </w:rPr>
              <w:t>112.5</w:t>
            </w:r>
          </w:p>
        </w:tc>
        <w:tc>
          <w:tcPr>
            <w:tcW w:w="0" w:type="auto"/>
            <w:shd w:val="clear" w:color="auto" w:fill="auto"/>
            <w:vAlign w:val="center"/>
          </w:tcPr>
          <w:p w14:paraId="6AE6A560" w14:textId="77777777" w:rsidR="00567E6C" w:rsidRPr="00C32E45" w:rsidRDefault="00567E6C" w:rsidP="00F37389">
            <w:pPr>
              <w:pStyle w:val="TAC"/>
            </w:pPr>
            <w:r w:rsidRPr="00C32E45">
              <w:t>N/A</w:t>
            </w:r>
          </w:p>
        </w:tc>
        <w:tc>
          <w:tcPr>
            <w:tcW w:w="0" w:type="auto"/>
            <w:shd w:val="clear" w:color="auto" w:fill="auto"/>
            <w:vAlign w:val="center"/>
          </w:tcPr>
          <w:p w14:paraId="2D634D09" w14:textId="77777777" w:rsidR="00567E6C" w:rsidRPr="00C32E45" w:rsidRDefault="00567E6C" w:rsidP="00F37389">
            <w:pPr>
              <w:pStyle w:val="TAC"/>
            </w:pPr>
            <w:r w:rsidRPr="00C32E45">
              <w:t>-70</w:t>
            </w:r>
          </w:p>
        </w:tc>
      </w:tr>
      <w:tr w:rsidR="00567E6C" w:rsidRPr="0098004A" w14:paraId="098F07EC" w14:textId="77777777" w:rsidTr="00567E6C">
        <w:trPr>
          <w:jc w:val="center"/>
        </w:trPr>
        <w:tc>
          <w:tcPr>
            <w:tcW w:w="0" w:type="auto"/>
            <w:vMerge/>
            <w:shd w:val="clear" w:color="auto" w:fill="auto"/>
            <w:vAlign w:val="center"/>
          </w:tcPr>
          <w:p w14:paraId="6EF852B9" w14:textId="77777777" w:rsidR="00567E6C" w:rsidRPr="0098004A" w:rsidRDefault="00567E6C" w:rsidP="00F37389">
            <w:pPr>
              <w:pStyle w:val="TAC"/>
              <w:rPr>
                <w:sz w:val="16"/>
                <w:szCs w:val="16"/>
              </w:rPr>
            </w:pPr>
          </w:p>
        </w:tc>
        <w:tc>
          <w:tcPr>
            <w:tcW w:w="0" w:type="auto"/>
            <w:vMerge/>
            <w:shd w:val="clear" w:color="auto" w:fill="auto"/>
            <w:vAlign w:val="center"/>
          </w:tcPr>
          <w:p w14:paraId="478A76D2" w14:textId="77777777" w:rsidR="00567E6C" w:rsidRPr="0098004A" w:rsidRDefault="00567E6C" w:rsidP="00F37389">
            <w:pPr>
              <w:pStyle w:val="TAC"/>
              <w:rPr>
                <w:sz w:val="16"/>
                <w:szCs w:val="16"/>
              </w:rPr>
            </w:pPr>
          </w:p>
        </w:tc>
        <w:tc>
          <w:tcPr>
            <w:tcW w:w="0" w:type="auto"/>
            <w:vMerge/>
            <w:shd w:val="clear" w:color="auto" w:fill="auto"/>
            <w:vAlign w:val="center"/>
          </w:tcPr>
          <w:p w14:paraId="25FD3A9F" w14:textId="77777777" w:rsidR="00567E6C" w:rsidRPr="0098004A" w:rsidRDefault="00567E6C" w:rsidP="00F37389">
            <w:pPr>
              <w:pStyle w:val="TAC"/>
              <w:rPr>
                <w:sz w:val="16"/>
                <w:szCs w:val="16"/>
              </w:rPr>
            </w:pPr>
          </w:p>
        </w:tc>
        <w:tc>
          <w:tcPr>
            <w:tcW w:w="1960" w:type="dxa"/>
            <w:shd w:val="clear" w:color="auto" w:fill="auto"/>
            <w:vAlign w:val="center"/>
          </w:tcPr>
          <w:p w14:paraId="7EBEA18D" w14:textId="77777777" w:rsidR="00567E6C" w:rsidRPr="00F37389" w:rsidDel="00836998" w:rsidRDefault="00567E6C" w:rsidP="00567E6C">
            <w:pPr>
              <w:pStyle w:val="TAC"/>
              <w:rPr>
                <w:lang w:eastAsia="zh-CN"/>
              </w:rPr>
            </w:pPr>
            <w:r w:rsidRPr="00F37389">
              <w:rPr>
                <w:lang w:eastAsia="zh-CN"/>
              </w:rPr>
              <w:t>NR_FDD_FR1_G</w:t>
            </w:r>
          </w:p>
        </w:tc>
        <w:tc>
          <w:tcPr>
            <w:tcW w:w="795" w:type="dxa"/>
            <w:shd w:val="clear" w:color="auto" w:fill="auto"/>
            <w:vAlign w:val="center"/>
          </w:tcPr>
          <w:p w14:paraId="72489C79" w14:textId="77777777" w:rsidR="00567E6C" w:rsidRPr="00F37389" w:rsidRDefault="00567E6C" w:rsidP="00567E6C">
            <w:pPr>
              <w:pStyle w:val="TAC"/>
              <w:rPr>
                <w:lang w:eastAsia="zh-CN"/>
              </w:rPr>
            </w:pPr>
            <w:r w:rsidRPr="00F37389">
              <w:rPr>
                <w:lang w:eastAsia="zh-CN"/>
              </w:rPr>
              <w:t>-118</w:t>
            </w:r>
          </w:p>
        </w:tc>
        <w:tc>
          <w:tcPr>
            <w:tcW w:w="808" w:type="dxa"/>
            <w:shd w:val="clear" w:color="auto" w:fill="auto"/>
            <w:vAlign w:val="center"/>
          </w:tcPr>
          <w:p w14:paraId="66A7D0B4" w14:textId="77777777" w:rsidR="00567E6C" w:rsidRPr="00F37389" w:rsidRDefault="00567E6C" w:rsidP="00567E6C">
            <w:pPr>
              <w:pStyle w:val="TAC"/>
              <w:rPr>
                <w:lang w:eastAsia="zh-CN"/>
              </w:rPr>
            </w:pPr>
            <w:r w:rsidRPr="00F37389">
              <w:rPr>
                <w:lang w:eastAsia="zh-CN"/>
              </w:rPr>
              <w:t>-115</w:t>
            </w:r>
          </w:p>
        </w:tc>
        <w:tc>
          <w:tcPr>
            <w:tcW w:w="0" w:type="auto"/>
            <w:shd w:val="clear" w:color="auto" w:fill="auto"/>
            <w:vAlign w:val="center"/>
          </w:tcPr>
          <w:p w14:paraId="4EFE883E" w14:textId="77777777" w:rsidR="00567E6C" w:rsidRPr="0098004A" w:rsidRDefault="00567E6C" w:rsidP="00F37389">
            <w:pPr>
              <w:pStyle w:val="TAC"/>
              <w:rPr>
                <w:rFonts w:cs="Arial"/>
                <w:lang w:eastAsia="zh-CN"/>
              </w:rPr>
            </w:pPr>
            <w:r w:rsidRPr="0098004A">
              <w:rPr>
                <w:rFonts w:cs="Arial" w:hint="eastAsia"/>
                <w:lang w:eastAsia="zh-CN"/>
              </w:rPr>
              <w:t>-</w:t>
            </w:r>
            <w:r w:rsidRPr="0098004A">
              <w:rPr>
                <w:rFonts w:cs="Arial"/>
                <w:lang w:eastAsia="zh-CN"/>
              </w:rPr>
              <w:t>112</w:t>
            </w:r>
          </w:p>
        </w:tc>
        <w:tc>
          <w:tcPr>
            <w:tcW w:w="0" w:type="auto"/>
            <w:shd w:val="clear" w:color="auto" w:fill="auto"/>
            <w:vAlign w:val="center"/>
          </w:tcPr>
          <w:p w14:paraId="15BDA039" w14:textId="77777777" w:rsidR="00567E6C" w:rsidRPr="00C32E45" w:rsidRDefault="00567E6C" w:rsidP="00F37389">
            <w:pPr>
              <w:pStyle w:val="TAC"/>
            </w:pPr>
            <w:r w:rsidRPr="00C32E45">
              <w:t>N/A</w:t>
            </w:r>
          </w:p>
        </w:tc>
        <w:tc>
          <w:tcPr>
            <w:tcW w:w="0" w:type="auto"/>
            <w:shd w:val="clear" w:color="auto" w:fill="auto"/>
            <w:vAlign w:val="center"/>
          </w:tcPr>
          <w:p w14:paraId="26B85B30" w14:textId="77777777" w:rsidR="00567E6C" w:rsidRPr="00C32E45" w:rsidRDefault="00567E6C" w:rsidP="00F37389">
            <w:pPr>
              <w:pStyle w:val="TAC"/>
            </w:pPr>
            <w:r w:rsidRPr="00C32E45">
              <w:t>-70</w:t>
            </w:r>
          </w:p>
        </w:tc>
      </w:tr>
      <w:tr w:rsidR="00567E6C" w:rsidRPr="0098004A" w14:paraId="7061E87A" w14:textId="77777777" w:rsidTr="00567E6C">
        <w:trPr>
          <w:jc w:val="center"/>
        </w:trPr>
        <w:tc>
          <w:tcPr>
            <w:tcW w:w="0" w:type="auto"/>
            <w:vMerge/>
            <w:shd w:val="clear" w:color="auto" w:fill="auto"/>
            <w:vAlign w:val="center"/>
          </w:tcPr>
          <w:p w14:paraId="4F2FA726" w14:textId="77777777" w:rsidR="00567E6C" w:rsidRPr="0098004A" w:rsidRDefault="00567E6C" w:rsidP="00F37389">
            <w:pPr>
              <w:pStyle w:val="TAC"/>
              <w:rPr>
                <w:sz w:val="16"/>
                <w:szCs w:val="16"/>
              </w:rPr>
            </w:pPr>
          </w:p>
        </w:tc>
        <w:tc>
          <w:tcPr>
            <w:tcW w:w="0" w:type="auto"/>
            <w:vMerge/>
            <w:shd w:val="clear" w:color="auto" w:fill="auto"/>
            <w:vAlign w:val="center"/>
          </w:tcPr>
          <w:p w14:paraId="722C4268" w14:textId="77777777" w:rsidR="00567E6C" w:rsidRPr="0098004A" w:rsidRDefault="00567E6C" w:rsidP="00F37389">
            <w:pPr>
              <w:pStyle w:val="TAC"/>
              <w:rPr>
                <w:sz w:val="16"/>
                <w:szCs w:val="16"/>
              </w:rPr>
            </w:pPr>
          </w:p>
        </w:tc>
        <w:tc>
          <w:tcPr>
            <w:tcW w:w="0" w:type="auto"/>
            <w:vMerge/>
            <w:shd w:val="clear" w:color="auto" w:fill="auto"/>
            <w:vAlign w:val="center"/>
          </w:tcPr>
          <w:p w14:paraId="26FC7550" w14:textId="77777777" w:rsidR="00567E6C" w:rsidRPr="0098004A" w:rsidRDefault="00567E6C" w:rsidP="00F37389">
            <w:pPr>
              <w:pStyle w:val="TAC"/>
              <w:rPr>
                <w:sz w:val="16"/>
                <w:szCs w:val="16"/>
              </w:rPr>
            </w:pPr>
          </w:p>
        </w:tc>
        <w:tc>
          <w:tcPr>
            <w:tcW w:w="1960" w:type="dxa"/>
            <w:shd w:val="clear" w:color="auto" w:fill="auto"/>
            <w:vAlign w:val="center"/>
          </w:tcPr>
          <w:p w14:paraId="3E2D3656" w14:textId="77777777" w:rsidR="00567E6C" w:rsidRPr="00F37389" w:rsidRDefault="00567E6C" w:rsidP="00567E6C">
            <w:pPr>
              <w:pStyle w:val="TAC"/>
              <w:rPr>
                <w:lang w:eastAsia="zh-CN"/>
              </w:rPr>
            </w:pPr>
            <w:r w:rsidRPr="00F37389">
              <w:rPr>
                <w:lang w:eastAsia="zh-CN"/>
              </w:rPr>
              <w:t>NR_FDD_FR1_H</w:t>
            </w:r>
          </w:p>
        </w:tc>
        <w:tc>
          <w:tcPr>
            <w:tcW w:w="795" w:type="dxa"/>
            <w:shd w:val="clear" w:color="auto" w:fill="auto"/>
            <w:vAlign w:val="center"/>
          </w:tcPr>
          <w:p w14:paraId="678A4487" w14:textId="77777777" w:rsidR="00567E6C" w:rsidRPr="00F37389" w:rsidRDefault="00567E6C" w:rsidP="00567E6C">
            <w:pPr>
              <w:pStyle w:val="TAC"/>
              <w:rPr>
                <w:lang w:eastAsia="zh-CN"/>
              </w:rPr>
            </w:pPr>
            <w:r w:rsidRPr="00F37389">
              <w:rPr>
                <w:lang w:eastAsia="zh-CN"/>
              </w:rPr>
              <w:t>-117.5</w:t>
            </w:r>
          </w:p>
        </w:tc>
        <w:tc>
          <w:tcPr>
            <w:tcW w:w="808" w:type="dxa"/>
            <w:shd w:val="clear" w:color="auto" w:fill="auto"/>
            <w:vAlign w:val="center"/>
          </w:tcPr>
          <w:p w14:paraId="3E73CD3A" w14:textId="77777777" w:rsidR="00567E6C" w:rsidRPr="00F37389" w:rsidRDefault="00567E6C" w:rsidP="00567E6C">
            <w:pPr>
              <w:pStyle w:val="TAC"/>
              <w:rPr>
                <w:lang w:eastAsia="zh-CN"/>
              </w:rPr>
            </w:pPr>
            <w:r w:rsidRPr="00F37389">
              <w:rPr>
                <w:lang w:eastAsia="zh-CN"/>
              </w:rPr>
              <w:t>-114.5</w:t>
            </w:r>
          </w:p>
        </w:tc>
        <w:tc>
          <w:tcPr>
            <w:tcW w:w="0" w:type="auto"/>
            <w:shd w:val="clear" w:color="auto" w:fill="auto"/>
            <w:vAlign w:val="center"/>
          </w:tcPr>
          <w:p w14:paraId="7B951045" w14:textId="77777777" w:rsidR="00567E6C" w:rsidRPr="0098004A" w:rsidRDefault="00567E6C" w:rsidP="00F37389">
            <w:pPr>
              <w:pStyle w:val="TAC"/>
              <w:rPr>
                <w:rFonts w:cs="Arial"/>
                <w:lang w:eastAsia="zh-CN"/>
              </w:rPr>
            </w:pPr>
            <w:r w:rsidRPr="0098004A">
              <w:rPr>
                <w:rFonts w:cs="Arial" w:hint="eastAsia"/>
                <w:lang w:eastAsia="zh-CN"/>
              </w:rPr>
              <w:t>-</w:t>
            </w:r>
            <w:r w:rsidRPr="0098004A">
              <w:rPr>
                <w:rFonts w:cs="Arial"/>
                <w:lang w:eastAsia="zh-CN"/>
              </w:rPr>
              <w:t>111.5</w:t>
            </w:r>
          </w:p>
        </w:tc>
        <w:tc>
          <w:tcPr>
            <w:tcW w:w="0" w:type="auto"/>
            <w:shd w:val="clear" w:color="auto" w:fill="auto"/>
            <w:vAlign w:val="center"/>
          </w:tcPr>
          <w:p w14:paraId="209E1DFB" w14:textId="77777777" w:rsidR="00567E6C" w:rsidRPr="00C32E45" w:rsidRDefault="00567E6C" w:rsidP="00F37389">
            <w:pPr>
              <w:pStyle w:val="TAC"/>
            </w:pPr>
            <w:r w:rsidRPr="00C32E45">
              <w:t>N/A</w:t>
            </w:r>
          </w:p>
        </w:tc>
        <w:tc>
          <w:tcPr>
            <w:tcW w:w="0" w:type="auto"/>
            <w:shd w:val="clear" w:color="auto" w:fill="auto"/>
            <w:vAlign w:val="center"/>
          </w:tcPr>
          <w:p w14:paraId="6CF0E3D9" w14:textId="77777777" w:rsidR="00567E6C" w:rsidRPr="00C32E45" w:rsidRDefault="00567E6C" w:rsidP="00F37389">
            <w:pPr>
              <w:pStyle w:val="TAC"/>
            </w:pPr>
            <w:r w:rsidRPr="00C32E45">
              <w:t>-70</w:t>
            </w:r>
          </w:p>
        </w:tc>
      </w:tr>
      <w:tr w:rsidR="00567E6C" w:rsidRPr="00C32E45" w14:paraId="2D79237C" w14:textId="77777777" w:rsidTr="00567E6C">
        <w:trPr>
          <w:jc w:val="center"/>
        </w:trPr>
        <w:tc>
          <w:tcPr>
            <w:tcW w:w="0" w:type="auto"/>
            <w:shd w:val="clear" w:color="auto" w:fill="auto"/>
            <w:vAlign w:val="center"/>
          </w:tcPr>
          <w:p w14:paraId="772078D8" w14:textId="77777777" w:rsidR="00567E6C" w:rsidRPr="00F37389" w:rsidRDefault="00567E6C" w:rsidP="00F37389">
            <w:pPr>
              <w:pStyle w:val="TAC"/>
              <w:rPr>
                <w:lang w:eastAsia="zh-CN"/>
              </w:rPr>
            </w:pPr>
            <w:r w:rsidRPr="00714130">
              <w:rPr>
                <w:lang w:eastAsia="zh-CN"/>
              </w:rPr>
              <w:sym w:font="Symbol" w:char="F0B1"/>
            </w:r>
            <w:r>
              <w:rPr>
                <w:lang w:eastAsia="zh-CN"/>
              </w:rPr>
              <w:t>3.5</w:t>
            </w:r>
          </w:p>
        </w:tc>
        <w:tc>
          <w:tcPr>
            <w:tcW w:w="0" w:type="auto"/>
            <w:shd w:val="clear" w:color="auto" w:fill="auto"/>
            <w:vAlign w:val="center"/>
          </w:tcPr>
          <w:p w14:paraId="33C8DF4B" w14:textId="77777777" w:rsidR="00567E6C" w:rsidRPr="00F37389" w:rsidRDefault="00567E6C" w:rsidP="00F37389">
            <w:pPr>
              <w:pStyle w:val="TAC"/>
              <w:rPr>
                <w:lang w:eastAsia="zh-CN"/>
              </w:rPr>
            </w:pPr>
            <w:r w:rsidRPr="00714130">
              <w:rPr>
                <w:lang w:eastAsia="zh-CN"/>
              </w:rPr>
              <w:sym w:font="Symbol" w:char="F0B1"/>
            </w:r>
            <w:r>
              <w:rPr>
                <w:lang w:eastAsia="zh-CN"/>
              </w:rPr>
              <w:t>4</w:t>
            </w:r>
          </w:p>
        </w:tc>
        <w:tc>
          <w:tcPr>
            <w:tcW w:w="0" w:type="auto"/>
            <w:shd w:val="clear" w:color="auto" w:fill="auto"/>
            <w:vAlign w:val="center"/>
          </w:tcPr>
          <w:p w14:paraId="3C2B1E95" w14:textId="77777777" w:rsidR="00567E6C" w:rsidRPr="00F37389" w:rsidRDefault="00567E6C" w:rsidP="00F37389">
            <w:pPr>
              <w:pStyle w:val="TAC"/>
              <w:rPr>
                <w:lang w:eastAsia="zh-CN"/>
              </w:rPr>
            </w:pPr>
            <w:r w:rsidRPr="00F37389">
              <w:rPr>
                <w:lang w:eastAsia="zh-CN"/>
              </w:rPr>
              <w:sym w:font="Symbol" w:char="F0B3"/>
            </w:r>
            <w:r w:rsidRPr="00F37389">
              <w:rPr>
                <w:lang w:eastAsia="zh-CN"/>
              </w:rPr>
              <w:t>-6</w:t>
            </w:r>
          </w:p>
        </w:tc>
        <w:tc>
          <w:tcPr>
            <w:tcW w:w="1960" w:type="dxa"/>
            <w:shd w:val="clear" w:color="auto" w:fill="auto"/>
            <w:vAlign w:val="center"/>
          </w:tcPr>
          <w:p w14:paraId="5D4107E7" w14:textId="77777777" w:rsidR="00567E6C" w:rsidRPr="00F37389" w:rsidRDefault="00567E6C" w:rsidP="00F37389">
            <w:pPr>
              <w:pStyle w:val="TAC"/>
              <w:rPr>
                <w:lang w:eastAsia="zh-CN"/>
              </w:rPr>
            </w:pPr>
            <w:r w:rsidRPr="00F37389">
              <w:rPr>
                <w:lang w:eastAsia="zh-CN"/>
              </w:rPr>
              <w:t>Note 2</w:t>
            </w:r>
          </w:p>
        </w:tc>
        <w:tc>
          <w:tcPr>
            <w:tcW w:w="795" w:type="dxa"/>
            <w:shd w:val="clear" w:color="auto" w:fill="auto"/>
            <w:vAlign w:val="center"/>
          </w:tcPr>
          <w:p w14:paraId="22D91797" w14:textId="77777777" w:rsidR="00567E6C" w:rsidRPr="00F37389" w:rsidRDefault="00567E6C" w:rsidP="00F37389">
            <w:pPr>
              <w:pStyle w:val="TAC"/>
              <w:rPr>
                <w:lang w:eastAsia="zh-CN"/>
              </w:rPr>
            </w:pPr>
            <w:r w:rsidRPr="00F37389">
              <w:rPr>
                <w:lang w:eastAsia="zh-CN"/>
              </w:rPr>
              <w:t>Note 2</w:t>
            </w:r>
          </w:p>
        </w:tc>
        <w:tc>
          <w:tcPr>
            <w:tcW w:w="808" w:type="dxa"/>
            <w:shd w:val="clear" w:color="auto" w:fill="auto"/>
            <w:vAlign w:val="center"/>
          </w:tcPr>
          <w:p w14:paraId="7D6ABA31" w14:textId="77777777" w:rsidR="00567E6C" w:rsidRPr="00F37389" w:rsidRDefault="00567E6C" w:rsidP="00F37389">
            <w:pPr>
              <w:pStyle w:val="TAC"/>
              <w:rPr>
                <w:lang w:eastAsia="zh-CN"/>
              </w:rPr>
            </w:pPr>
            <w:r w:rsidRPr="00F37389">
              <w:rPr>
                <w:lang w:eastAsia="zh-CN"/>
              </w:rPr>
              <w:t>Note 2</w:t>
            </w:r>
          </w:p>
        </w:tc>
        <w:tc>
          <w:tcPr>
            <w:tcW w:w="0" w:type="auto"/>
            <w:shd w:val="clear" w:color="auto" w:fill="auto"/>
            <w:vAlign w:val="center"/>
          </w:tcPr>
          <w:p w14:paraId="0275EECD" w14:textId="77777777" w:rsidR="00567E6C" w:rsidRPr="00C32E45" w:rsidRDefault="00567E6C" w:rsidP="00F37389">
            <w:pPr>
              <w:pStyle w:val="TAC"/>
              <w:rPr>
                <w:lang w:eastAsia="zh-CN"/>
              </w:rPr>
            </w:pPr>
            <w:r w:rsidRPr="003631EC">
              <w:t>Note 2</w:t>
            </w:r>
          </w:p>
        </w:tc>
        <w:tc>
          <w:tcPr>
            <w:tcW w:w="0" w:type="auto"/>
            <w:shd w:val="clear" w:color="auto" w:fill="auto"/>
            <w:vAlign w:val="center"/>
          </w:tcPr>
          <w:p w14:paraId="0156F1D6" w14:textId="77777777" w:rsidR="00567E6C" w:rsidRPr="00C32E45" w:rsidRDefault="00567E6C" w:rsidP="00F37389">
            <w:pPr>
              <w:pStyle w:val="TAC"/>
              <w:rPr>
                <w:lang w:eastAsia="zh-CN"/>
              </w:rPr>
            </w:pPr>
            <w:r>
              <w:rPr>
                <w:rFonts w:hint="eastAsia"/>
                <w:lang w:eastAsia="zh-CN"/>
              </w:rPr>
              <w:t>N</w:t>
            </w:r>
            <w:r>
              <w:rPr>
                <w:lang w:eastAsia="zh-CN"/>
              </w:rPr>
              <w:t>/A</w:t>
            </w:r>
          </w:p>
        </w:tc>
        <w:tc>
          <w:tcPr>
            <w:tcW w:w="0" w:type="auto"/>
            <w:shd w:val="clear" w:color="auto" w:fill="auto"/>
            <w:vAlign w:val="center"/>
          </w:tcPr>
          <w:p w14:paraId="7F885D88" w14:textId="77777777" w:rsidR="00567E6C" w:rsidRPr="00C32E45" w:rsidRDefault="00567E6C" w:rsidP="00F37389">
            <w:pPr>
              <w:pStyle w:val="TAC"/>
            </w:pPr>
            <w:r w:rsidRPr="003631EC">
              <w:t>Note 2</w:t>
            </w:r>
          </w:p>
        </w:tc>
      </w:tr>
      <w:tr w:rsidR="00567E6C" w:rsidRPr="00C32E45" w14:paraId="50A3B6AA" w14:textId="77777777" w:rsidTr="00567E6C">
        <w:trPr>
          <w:jc w:val="center"/>
        </w:trPr>
        <w:tc>
          <w:tcPr>
            <w:tcW w:w="0" w:type="auto"/>
            <w:gridSpan w:val="9"/>
            <w:shd w:val="clear" w:color="auto" w:fill="auto"/>
            <w:vAlign w:val="center"/>
          </w:tcPr>
          <w:p w14:paraId="1B53273D" w14:textId="77777777" w:rsidR="00567E6C" w:rsidRDefault="00567E6C" w:rsidP="00F37389">
            <w:pPr>
              <w:pStyle w:val="TAN"/>
            </w:pPr>
            <w:r w:rsidRPr="00C32E45">
              <w:t>NOTE 1:</w:t>
            </w:r>
            <w:r w:rsidRPr="00C32E45">
              <w:tab/>
              <w:t>Io is assumed to have constant EPRE across the bandwidth.</w:t>
            </w:r>
          </w:p>
          <w:p w14:paraId="601504CF" w14:textId="77777777" w:rsidR="00567E6C" w:rsidRPr="003631EC" w:rsidRDefault="00567E6C" w:rsidP="00567E6C">
            <w:pPr>
              <w:pStyle w:val="TAN"/>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21665523" w14:textId="77777777" w:rsidR="00567E6C" w:rsidRDefault="00567E6C" w:rsidP="00567E6C">
            <w:pPr>
              <w:pStyle w:val="TAN"/>
              <w:rPr>
                <w:rFonts w:cs="Arial"/>
              </w:rPr>
            </w:pPr>
            <w:r w:rsidRPr="00C32E45">
              <w:t xml:space="preserve">NOTE </w:t>
            </w:r>
            <w:r>
              <w:t>3</w:t>
            </w:r>
            <w:r w:rsidRPr="00C32E45">
              <w:t>:</w:t>
            </w:r>
            <w:r w:rsidRPr="00C32E45">
              <w:tab/>
              <w:t>NR operating band groups in FR1 are as defined in clause 3.5.2.</w:t>
            </w:r>
            <w:r>
              <w:rPr>
                <w:rFonts w:cs="Arial"/>
              </w:rPr>
              <w:t xml:space="preserve"> </w:t>
            </w:r>
          </w:p>
          <w:p w14:paraId="6DDCF4AE" w14:textId="77777777" w:rsidR="00567E6C" w:rsidRPr="0088567D" w:rsidRDefault="00567E6C" w:rsidP="00770F31">
            <w:pPr>
              <w:pStyle w:val="TAN"/>
              <w:rPr>
                <w:rFonts w:cs="Arial"/>
                <w:lang w:eastAsia="zh-CN"/>
              </w:rPr>
            </w:pPr>
            <w:r>
              <w:rPr>
                <w:rFonts w:cs="Arial"/>
              </w:rPr>
              <w:t>NOTE 4:</w:t>
            </w:r>
            <w:r>
              <w:rPr>
                <w:rFonts w:cs="Arial"/>
              </w:rPr>
              <w:tab/>
              <w:t xml:space="preserve">The requirements apply for CSI-RS Ês/Iot </w:t>
            </w:r>
            <w:r>
              <w:rPr>
                <w:rFonts w:cs="Arial" w:hint="eastAsia"/>
                <w:lang w:val="en-US"/>
              </w:rPr>
              <w:t>≤</w:t>
            </w:r>
            <w:r>
              <w:rPr>
                <w:rFonts w:cs="Arial"/>
              </w:rPr>
              <w:t xml:space="preserve">XdB. X=15 if </w:t>
            </w:r>
            <w:r>
              <w:t>timing offset</w:t>
            </w:r>
            <w:r w:rsidRPr="009C5807">
              <w:t xml:space="preserve"> between </w:t>
            </w:r>
            <w:r w:rsidRPr="00AC34AD">
              <w:t>the reference measurement timing and the target CSI-RS</w:t>
            </w:r>
            <w:r>
              <w:t xml:space="preserve"> is </w:t>
            </w:r>
            <w:r>
              <w:rPr>
                <w:rFonts w:cs="Arial" w:hint="eastAsia"/>
                <w:lang w:val="en-US" w:eastAsia="zh-CN"/>
              </w:rPr>
              <w:t>n</w:t>
            </w:r>
            <w:r>
              <w:rPr>
                <w:rFonts w:cs="Arial"/>
                <w:lang w:val="en-US" w:eastAsia="zh-CN"/>
              </w:rPr>
              <w:t>o larger than</w:t>
            </w:r>
            <w:r>
              <w:rPr>
                <w:rFonts w:cs="Arial" w:hint="eastAsia"/>
                <w:lang w:val="en-US" w:eastAsia="zh-CN"/>
              </w:rPr>
              <w:t xml:space="preserve"> </w:t>
            </w:r>
            <w:r>
              <w:rPr>
                <w:rFonts w:cs="Arial"/>
                <w:lang w:val="en-US" w:eastAsia="zh-CN"/>
              </w:rPr>
              <w:t xml:space="preserve">0.5*CP, and </w:t>
            </w:r>
            <w:r>
              <w:rPr>
                <w:rFonts w:cs="Arial"/>
              </w:rPr>
              <w:t xml:space="preserve">X=4 if </w:t>
            </w:r>
            <w:r>
              <w:t>timing offset</w:t>
            </w:r>
            <w:r w:rsidRPr="009C5807">
              <w:t xml:space="preserve"> between </w:t>
            </w:r>
            <w:r w:rsidRPr="00AC34AD">
              <w:t>the reference measurement timing and the target CSI-RS</w:t>
            </w:r>
            <w:r>
              <w:t xml:space="preserve"> is larger than 0.5*CP but no larger than CP</w:t>
            </w:r>
            <w:r>
              <w:rPr>
                <w:rFonts w:cs="Arial"/>
                <w:lang w:val="en-US" w:eastAsia="zh-CN"/>
              </w:rPr>
              <w:t>.</w:t>
            </w:r>
          </w:p>
        </w:tc>
      </w:tr>
    </w:tbl>
    <w:p w14:paraId="280C98C0" w14:textId="3B9FA811" w:rsidR="00567E6C" w:rsidRDefault="00567E6C" w:rsidP="00567E6C">
      <w:pPr>
        <w:rPr>
          <w:rFonts w:cs="v4.2.0"/>
          <w:i/>
        </w:rPr>
      </w:pPr>
    </w:p>
    <w:p w14:paraId="084D3C8F" w14:textId="4D59B129" w:rsidR="00A57E1D" w:rsidRPr="009C5807" w:rsidRDefault="00A57E1D" w:rsidP="00A57E1D">
      <w:pPr>
        <w:pStyle w:val="Heading3"/>
        <w:rPr>
          <w:lang w:val="en-US" w:eastAsia="ko-KR"/>
        </w:rPr>
      </w:pPr>
      <w:r>
        <w:rPr>
          <w:lang w:val="en-US" w:eastAsia="ko-KR"/>
        </w:rPr>
        <w:t>10.1.12C</w:t>
      </w:r>
      <w:r>
        <w:rPr>
          <w:lang w:val="en-US" w:eastAsia="ko-KR"/>
        </w:rPr>
        <w:tab/>
      </w:r>
      <w:r w:rsidRPr="009C5807">
        <w:rPr>
          <w:lang w:val="en-US" w:eastAsia="ko-KR"/>
        </w:rPr>
        <w:t xml:space="preserve">Intra-frequency SINR accuracy requirements </w:t>
      </w:r>
      <w:r w:rsidRPr="009C5807">
        <w:rPr>
          <w:lang w:val="en-US" w:eastAsia="zh-CN"/>
        </w:rPr>
        <w:t>for</w:t>
      </w:r>
      <w:r w:rsidRPr="009C5807">
        <w:rPr>
          <w:lang w:val="en-US" w:eastAsia="ko-KR"/>
        </w:rPr>
        <w:t xml:space="preserve"> FR1</w:t>
      </w:r>
      <w:r w:rsidRPr="000752BE">
        <w:rPr>
          <w:lang w:val="en-US"/>
        </w:rPr>
        <w:t xml:space="preserve"> </w:t>
      </w:r>
      <w:r>
        <w:rPr>
          <w:lang w:val="en-US"/>
        </w:rPr>
        <w:t>SAN</w:t>
      </w:r>
    </w:p>
    <w:p w14:paraId="1618FE36" w14:textId="77777777" w:rsidR="00A57E1D" w:rsidRPr="009C5807" w:rsidRDefault="00A57E1D" w:rsidP="00A57E1D">
      <w:pPr>
        <w:pStyle w:val="Heading4"/>
        <w:rPr>
          <w:lang w:val="en-US" w:eastAsia="zh-CN"/>
        </w:rPr>
      </w:pPr>
      <w:r>
        <w:rPr>
          <w:lang w:val="en-US" w:eastAsia="zh-CN"/>
        </w:rPr>
        <w:t>10.1.12C</w:t>
      </w:r>
      <w:r w:rsidRPr="009C5807">
        <w:rPr>
          <w:lang w:val="en-US" w:eastAsia="zh-CN"/>
        </w:rPr>
        <w:t>.1</w:t>
      </w:r>
      <w:r w:rsidRPr="009C5807">
        <w:rPr>
          <w:lang w:val="en-US" w:eastAsia="zh-CN"/>
        </w:rPr>
        <w:tab/>
      </w:r>
      <w:r w:rsidRPr="009C5807">
        <w:rPr>
          <w:lang w:val="en-US" w:eastAsia="ko-KR"/>
        </w:rPr>
        <w:t>Intra-frequency SS-SINR accuracy requirements</w:t>
      </w:r>
      <w:r w:rsidRPr="009C5807">
        <w:rPr>
          <w:lang w:val="en-US" w:eastAsia="zh-CN"/>
        </w:rPr>
        <w:t xml:space="preserve"> in FR1</w:t>
      </w:r>
    </w:p>
    <w:p w14:paraId="57DD234D" w14:textId="77777777" w:rsidR="00A57E1D" w:rsidRPr="009C5807" w:rsidRDefault="00A57E1D" w:rsidP="00A57E1D">
      <w:pPr>
        <w:pStyle w:val="Heading5"/>
      </w:pPr>
      <w:r>
        <w:rPr>
          <w:lang w:eastAsia="zh-CN"/>
        </w:rPr>
        <w:t>10.1.12C</w:t>
      </w:r>
      <w:r w:rsidRPr="009C5807">
        <w:t>.1</w:t>
      </w:r>
      <w:r w:rsidRPr="009C5807">
        <w:rPr>
          <w:lang w:eastAsia="zh-CN"/>
        </w:rPr>
        <w:t>.1</w:t>
      </w:r>
      <w:r w:rsidRPr="009C5807">
        <w:tab/>
        <w:t xml:space="preserve">Absolute </w:t>
      </w:r>
      <w:r w:rsidRPr="009C5807">
        <w:rPr>
          <w:lang w:val="en-US" w:eastAsia="ko-KR"/>
        </w:rPr>
        <w:t xml:space="preserve">SS-SINR </w:t>
      </w:r>
      <w:r w:rsidRPr="009C5807">
        <w:t>Accuracy in FR1</w:t>
      </w:r>
    </w:p>
    <w:p w14:paraId="59A017F7" w14:textId="77777777" w:rsidR="00A57E1D" w:rsidRPr="009C5807" w:rsidRDefault="00A57E1D" w:rsidP="00A57E1D">
      <w:pPr>
        <w:rPr>
          <w:rFonts w:cs="v4.2.0"/>
          <w:i/>
        </w:rPr>
      </w:pPr>
      <w:r w:rsidRPr="009C5807">
        <w:rPr>
          <w:rFonts w:cs="v4.2.0"/>
        </w:rPr>
        <w:t xml:space="preserve">Unless otherwise specified, the requirements for absolute accuracy of </w:t>
      </w:r>
      <w:r w:rsidRPr="009C5807">
        <w:rPr>
          <w:rFonts w:cs="v4.2.0"/>
          <w:lang w:eastAsia="zh-CN"/>
        </w:rPr>
        <w:t>SS-SINR</w:t>
      </w:r>
      <w:r w:rsidRPr="009C5807">
        <w:rPr>
          <w:rFonts w:cs="v4.2.0"/>
        </w:rPr>
        <w:t xml:space="preserve"> in this clause apply to a cell on the same frequency as that of the serving cell in FR1.</w:t>
      </w:r>
    </w:p>
    <w:p w14:paraId="6DC43425" w14:textId="77777777" w:rsidR="00A57E1D" w:rsidRPr="009C5807" w:rsidRDefault="00A57E1D" w:rsidP="00A57E1D">
      <w:pPr>
        <w:rPr>
          <w:rFonts w:cs="v4.2.0"/>
        </w:rPr>
      </w:pPr>
      <w:r w:rsidRPr="009C5807">
        <w:rPr>
          <w:rFonts w:cs="v4.2.0"/>
        </w:rPr>
        <w:t xml:space="preserve">The accuracy requirements in Table </w:t>
      </w:r>
      <w:r>
        <w:rPr>
          <w:rFonts w:cs="v4.2.0"/>
          <w:lang w:eastAsia="zh-CN"/>
        </w:rPr>
        <w:t>10.1.12C</w:t>
      </w:r>
      <w:r w:rsidRPr="009C5807">
        <w:rPr>
          <w:rFonts w:cs="v4.2.0"/>
          <w:lang w:eastAsia="zh-CN"/>
        </w:rPr>
        <w:t>.1.1</w:t>
      </w:r>
      <w:r w:rsidRPr="009C5807">
        <w:rPr>
          <w:rFonts w:cs="v4.2.0"/>
        </w:rPr>
        <w:t>-1 are valid under the following conditions:</w:t>
      </w:r>
    </w:p>
    <w:p w14:paraId="1B117258" w14:textId="77777777" w:rsidR="00A57E1D" w:rsidRPr="009C5807" w:rsidRDefault="00A57E1D" w:rsidP="00A57E1D">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075C5A09" w14:textId="77777777" w:rsidR="00A57E1D" w:rsidRDefault="00A57E1D" w:rsidP="00A57E1D">
      <w:pPr>
        <w:pStyle w:val="B10"/>
      </w:pPr>
      <w:r w:rsidRPr="009C5807">
        <w:t>-</w:t>
      </w:r>
      <w:r w:rsidRPr="009C5807">
        <w:rPr>
          <w:rFonts w:ascii="Arial" w:hAnsi="Arial"/>
          <w:sz w:val="28"/>
          <w:lang w:val="en-US"/>
        </w:rPr>
        <w:tab/>
      </w:r>
      <w:r w:rsidRPr="009C5807">
        <w:t>Conditions for intra-frequency measurements are fulfilled according to Annex B.2.2 for a corresponding Band.</w:t>
      </w:r>
    </w:p>
    <w:p w14:paraId="7CF6CA5B" w14:textId="77777777" w:rsidR="00A57E1D" w:rsidRPr="00F641C2" w:rsidRDefault="00A57E1D" w:rsidP="00A57E1D">
      <w:pPr>
        <w:pStyle w:val="B10"/>
      </w:pPr>
      <w:r w:rsidRPr="009C5807">
        <w:t>-</w:t>
      </w:r>
      <w:r w:rsidRPr="009C5807">
        <w:tab/>
      </w:r>
      <w:r w:rsidRPr="004B7BCD">
        <w:t xml:space="preserve">Valid information for the </w:t>
      </w:r>
      <w:r>
        <w:t>SAN</w:t>
      </w:r>
      <w:r w:rsidRPr="004B7BCD">
        <w:t xml:space="preserve"> serving the target cell has been provided</w:t>
      </w:r>
      <w:r w:rsidRPr="009C5807">
        <w:t>.</w:t>
      </w:r>
    </w:p>
    <w:p w14:paraId="22BE0304" w14:textId="77777777" w:rsidR="00A57E1D" w:rsidRPr="009C5807" w:rsidRDefault="00A57E1D" w:rsidP="00A57E1D">
      <w:pPr>
        <w:pStyle w:val="TH"/>
        <w:rPr>
          <w:lang w:eastAsia="zh-CN"/>
        </w:rPr>
      </w:pPr>
      <w:r w:rsidRPr="009C5807">
        <w:t xml:space="preserve">Table </w:t>
      </w:r>
      <w:r>
        <w:rPr>
          <w:lang w:eastAsia="zh-CN"/>
        </w:rPr>
        <w:t>10.1.12C</w:t>
      </w:r>
      <w:r w:rsidRPr="009C5807">
        <w:rPr>
          <w:lang w:eastAsia="zh-CN"/>
        </w:rPr>
        <w:t>.1.1-1</w:t>
      </w:r>
      <w:r w:rsidRPr="009C5807">
        <w:t xml:space="preserve">: </w:t>
      </w:r>
      <w:r w:rsidRPr="009C5807">
        <w:rPr>
          <w:lang w:eastAsia="zh-CN"/>
        </w:rPr>
        <w:t>SS-SINR</w:t>
      </w:r>
      <w:r w:rsidRPr="009C5807">
        <w:t xml:space="preserve"> Intra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A57E1D" w:rsidRPr="009C5807" w14:paraId="7D8DB1B7" w14:textId="77777777" w:rsidTr="00E65BA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6E8670F7" w14:textId="77777777" w:rsidR="00A57E1D" w:rsidRPr="009C5807" w:rsidRDefault="00A57E1D" w:rsidP="00E65BA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36A89CA2" w14:textId="77777777" w:rsidR="00A57E1D" w:rsidRPr="009C5807" w:rsidRDefault="00A57E1D" w:rsidP="00E65BA1">
            <w:pPr>
              <w:pStyle w:val="TAH"/>
            </w:pPr>
            <w:r w:rsidRPr="009C5807">
              <w:t>Conditions</w:t>
            </w:r>
          </w:p>
        </w:tc>
      </w:tr>
      <w:tr w:rsidR="00A57E1D" w:rsidRPr="009C5807" w14:paraId="040CFB09" w14:textId="77777777" w:rsidTr="00E65BA1">
        <w:trPr>
          <w:jc w:val="center"/>
        </w:trPr>
        <w:tc>
          <w:tcPr>
            <w:tcW w:w="1035" w:type="dxa"/>
            <w:tcBorders>
              <w:top w:val="single" w:sz="4" w:space="0" w:color="auto"/>
              <w:left w:val="single" w:sz="4" w:space="0" w:color="auto"/>
              <w:right w:val="single" w:sz="4" w:space="0" w:color="auto"/>
            </w:tcBorders>
            <w:shd w:val="clear" w:color="auto" w:fill="auto"/>
          </w:tcPr>
          <w:p w14:paraId="3FE7A288" w14:textId="77777777" w:rsidR="00A57E1D" w:rsidRPr="009C5807" w:rsidRDefault="00A57E1D" w:rsidP="00E65BA1">
            <w:pPr>
              <w:pStyle w:val="TAH"/>
            </w:pPr>
            <w:r w:rsidRPr="009C5807">
              <w:t>Normal condition</w:t>
            </w:r>
          </w:p>
        </w:tc>
        <w:tc>
          <w:tcPr>
            <w:tcW w:w="1047" w:type="dxa"/>
            <w:tcBorders>
              <w:top w:val="single" w:sz="4" w:space="0" w:color="auto"/>
              <w:left w:val="single" w:sz="4" w:space="0" w:color="auto"/>
              <w:right w:val="single" w:sz="4" w:space="0" w:color="auto"/>
            </w:tcBorders>
            <w:shd w:val="clear" w:color="auto" w:fill="auto"/>
          </w:tcPr>
          <w:p w14:paraId="3453085C" w14:textId="77777777" w:rsidR="00A57E1D" w:rsidRPr="009C5807" w:rsidRDefault="00A57E1D" w:rsidP="00E65BA1">
            <w:pPr>
              <w:pStyle w:val="TAH"/>
            </w:pPr>
            <w:r w:rsidRPr="009C5807">
              <w:t>Extreme condition</w:t>
            </w:r>
          </w:p>
        </w:tc>
        <w:tc>
          <w:tcPr>
            <w:tcW w:w="802" w:type="dxa"/>
            <w:tcBorders>
              <w:top w:val="single" w:sz="4" w:space="0" w:color="auto"/>
              <w:left w:val="single" w:sz="4" w:space="0" w:color="auto"/>
              <w:right w:val="single" w:sz="4" w:space="0" w:color="auto"/>
            </w:tcBorders>
            <w:shd w:val="clear" w:color="auto" w:fill="auto"/>
          </w:tcPr>
          <w:p w14:paraId="707479CD" w14:textId="77777777" w:rsidR="00A57E1D" w:rsidRPr="009C5807" w:rsidRDefault="00A57E1D" w:rsidP="00E65BA1">
            <w:pPr>
              <w:pStyle w:val="TAH"/>
            </w:pPr>
            <w:r w:rsidRPr="009C5807">
              <w:t>SSB Ês/Iot</w:t>
            </w:r>
          </w:p>
        </w:tc>
        <w:tc>
          <w:tcPr>
            <w:tcW w:w="7288" w:type="dxa"/>
            <w:gridSpan w:val="5"/>
            <w:tcBorders>
              <w:top w:val="single" w:sz="6" w:space="0" w:color="auto"/>
              <w:left w:val="single" w:sz="4" w:space="0" w:color="auto"/>
              <w:bottom w:val="single" w:sz="6" w:space="0" w:color="auto"/>
              <w:right w:val="single" w:sz="4" w:space="0" w:color="auto"/>
            </w:tcBorders>
            <w:shd w:val="clear" w:color="auto" w:fill="auto"/>
          </w:tcPr>
          <w:p w14:paraId="3F719925" w14:textId="77777777" w:rsidR="00A57E1D" w:rsidRPr="009C5807" w:rsidRDefault="00A57E1D" w:rsidP="00E65BA1">
            <w:pPr>
              <w:pStyle w:val="TAH"/>
            </w:pPr>
            <w:r w:rsidRPr="009C5807">
              <w:t>Io</w:t>
            </w:r>
            <w:r w:rsidRPr="009C5807">
              <w:rPr>
                <w:vertAlign w:val="superscript"/>
                <w:lang w:eastAsia="zh-CN"/>
              </w:rPr>
              <w:t xml:space="preserve"> Note 1</w:t>
            </w:r>
            <w:r w:rsidRPr="009C5807">
              <w:t xml:space="preserve"> range</w:t>
            </w:r>
          </w:p>
        </w:tc>
      </w:tr>
      <w:tr w:rsidR="00A57E1D" w:rsidRPr="009C5807" w14:paraId="3C3EFA9D" w14:textId="77777777" w:rsidTr="00E65BA1">
        <w:trPr>
          <w:jc w:val="center"/>
        </w:trPr>
        <w:tc>
          <w:tcPr>
            <w:tcW w:w="1035" w:type="dxa"/>
            <w:tcBorders>
              <w:left w:val="single" w:sz="4" w:space="0" w:color="auto"/>
              <w:bottom w:val="single" w:sz="4" w:space="0" w:color="auto"/>
              <w:right w:val="single" w:sz="4" w:space="0" w:color="auto"/>
            </w:tcBorders>
            <w:shd w:val="clear" w:color="auto" w:fill="auto"/>
          </w:tcPr>
          <w:p w14:paraId="01072C8A" w14:textId="77777777" w:rsidR="00A57E1D" w:rsidRPr="009C5807" w:rsidRDefault="00A57E1D" w:rsidP="00E65BA1">
            <w:pPr>
              <w:pStyle w:val="TAH"/>
            </w:pPr>
          </w:p>
        </w:tc>
        <w:tc>
          <w:tcPr>
            <w:tcW w:w="1047" w:type="dxa"/>
            <w:tcBorders>
              <w:left w:val="single" w:sz="4" w:space="0" w:color="auto"/>
              <w:bottom w:val="single" w:sz="4" w:space="0" w:color="auto"/>
              <w:right w:val="single" w:sz="4" w:space="0" w:color="auto"/>
            </w:tcBorders>
            <w:shd w:val="clear" w:color="auto" w:fill="auto"/>
          </w:tcPr>
          <w:p w14:paraId="0B445A51" w14:textId="77777777" w:rsidR="00A57E1D" w:rsidRPr="009C5807" w:rsidRDefault="00A57E1D" w:rsidP="00E65BA1">
            <w:pPr>
              <w:pStyle w:val="TAH"/>
            </w:pPr>
          </w:p>
        </w:tc>
        <w:tc>
          <w:tcPr>
            <w:tcW w:w="802" w:type="dxa"/>
            <w:tcBorders>
              <w:left w:val="single" w:sz="4" w:space="0" w:color="auto"/>
              <w:bottom w:val="single" w:sz="4" w:space="0" w:color="auto"/>
              <w:right w:val="single" w:sz="4" w:space="0" w:color="auto"/>
            </w:tcBorders>
            <w:shd w:val="clear" w:color="auto" w:fill="auto"/>
          </w:tcPr>
          <w:p w14:paraId="58498109" w14:textId="77777777" w:rsidR="00A57E1D" w:rsidRPr="009C5807" w:rsidRDefault="00A57E1D" w:rsidP="00E65BA1">
            <w:pPr>
              <w:pStyle w:val="TAH"/>
            </w:pPr>
            <w:r w:rsidRPr="009C5807">
              <w:rPr>
                <w:vertAlign w:val="superscript"/>
                <w:lang w:eastAsia="zh-CN"/>
              </w:rPr>
              <w:t>Note 3</w:t>
            </w:r>
          </w:p>
        </w:tc>
        <w:tc>
          <w:tcPr>
            <w:tcW w:w="2298" w:type="dxa"/>
            <w:tcBorders>
              <w:top w:val="single" w:sz="6" w:space="0" w:color="auto"/>
              <w:left w:val="single" w:sz="4" w:space="0" w:color="auto"/>
              <w:bottom w:val="single" w:sz="6" w:space="0" w:color="auto"/>
              <w:right w:val="single" w:sz="4" w:space="0" w:color="auto"/>
            </w:tcBorders>
            <w:shd w:val="clear" w:color="auto" w:fill="auto"/>
          </w:tcPr>
          <w:p w14:paraId="16E810AC" w14:textId="77777777" w:rsidR="00A57E1D" w:rsidRPr="009C5807" w:rsidRDefault="00A57E1D" w:rsidP="00E65BA1">
            <w:pPr>
              <w:pStyle w:val="TAH"/>
            </w:pPr>
            <w:r w:rsidRPr="009C5807">
              <w:t>NR operating band groups</w:t>
            </w:r>
            <w:r w:rsidRPr="009C5807">
              <w:rPr>
                <w:vertAlign w:val="superscript"/>
              </w:rPr>
              <w:t xml:space="preserve"> </w:t>
            </w:r>
            <w:r w:rsidRPr="009C5807">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tcPr>
          <w:p w14:paraId="5FD462E9" w14:textId="77777777" w:rsidR="00A57E1D" w:rsidRPr="009C5807" w:rsidRDefault="00A57E1D"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71E368F9" w14:textId="77777777" w:rsidR="00A57E1D" w:rsidRPr="009C5807" w:rsidRDefault="00A57E1D" w:rsidP="00E65BA1">
            <w:pPr>
              <w:pStyle w:val="TAH"/>
            </w:pPr>
            <w:r w:rsidRPr="009C5807">
              <w:t>Maximum Io</w:t>
            </w:r>
          </w:p>
        </w:tc>
      </w:tr>
      <w:tr w:rsidR="00A57E1D" w:rsidRPr="009C5807" w14:paraId="04E443A1" w14:textId="77777777" w:rsidTr="00E65BA1">
        <w:trPr>
          <w:trHeight w:val="308"/>
          <w:jc w:val="center"/>
        </w:trPr>
        <w:tc>
          <w:tcPr>
            <w:tcW w:w="1035" w:type="dxa"/>
            <w:tcBorders>
              <w:top w:val="single" w:sz="4" w:space="0" w:color="auto"/>
              <w:left w:val="single" w:sz="4" w:space="0" w:color="auto"/>
              <w:right w:val="single" w:sz="6" w:space="0" w:color="auto"/>
            </w:tcBorders>
            <w:shd w:val="clear" w:color="auto" w:fill="auto"/>
          </w:tcPr>
          <w:p w14:paraId="57213113" w14:textId="77777777" w:rsidR="00A57E1D" w:rsidRPr="009C5807" w:rsidRDefault="00A57E1D" w:rsidP="00E65BA1">
            <w:pPr>
              <w:pStyle w:val="TAH"/>
            </w:pPr>
            <w:r w:rsidRPr="009C5807">
              <w:t>dB</w:t>
            </w:r>
          </w:p>
        </w:tc>
        <w:tc>
          <w:tcPr>
            <w:tcW w:w="1047" w:type="dxa"/>
            <w:tcBorders>
              <w:top w:val="single" w:sz="4" w:space="0" w:color="auto"/>
              <w:left w:val="single" w:sz="6" w:space="0" w:color="auto"/>
              <w:right w:val="single" w:sz="6" w:space="0" w:color="auto"/>
            </w:tcBorders>
            <w:shd w:val="clear" w:color="auto" w:fill="auto"/>
          </w:tcPr>
          <w:p w14:paraId="2F649027" w14:textId="77777777" w:rsidR="00A57E1D" w:rsidRPr="009C5807" w:rsidRDefault="00A57E1D" w:rsidP="00E65BA1">
            <w:pPr>
              <w:pStyle w:val="TAH"/>
            </w:pPr>
            <w:r w:rsidRPr="009C5807">
              <w:t>dB</w:t>
            </w:r>
          </w:p>
        </w:tc>
        <w:tc>
          <w:tcPr>
            <w:tcW w:w="802" w:type="dxa"/>
            <w:tcBorders>
              <w:top w:val="single" w:sz="4" w:space="0" w:color="auto"/>
              <w:left w:val="single" w:sz="6" w:space="0" w:color="auto"/>
              <w:right w:val="single" w:sz="6" w:space="0" w:color="auto"/>
            </w:tcBorders>
            <w:shd w:val="clear" w:color="auto" w:fill="auto"/>
          </w:tcPr>
          <w:p w14:paraId="3FFAF160" w14:textId="77777777" w:rsidR="00A57E1D" w:rsidRPr="009C5807" w:rsidRDefault="00A57E1D" w:rsidP="00E65BA1">
            <w:pPr>
              <w:pStyle w:val="TAH"/>
            </w:pPr>
            <w:r w:rsidRPr="009C5807">
              <w:t>dB</w:t>
            </w:r>
          </w:p>
        </w:tc>
        <w:tc>
          <w:tcPr>
            <w:tcW w:w="2298" w:type="dxa"/>
            <w:tcBorders>
              <w:top w:val="single" w:sz="6" w:space="0" w:color="auto"/>
              <w:left w:val="single" w:sz="6" w:space="0" w:color="auto"/>
              <w:right w:val="single" w:sz="4" w:space="0" w:color="auto"/>
            </w:tcBorders>
            <w:shd w:val="clear" w:color="auto" w:fill="auto"/>
          </w:tcPr>
          <w:p w14:paraId="190AB51D" w14:textId="77777777" w:rsidR="00A57E1D" w:rsidRPr="009C5807" w:rsidRDefault="00A57E1D" w:rsidP="00E65BA1">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4AD2C6B7" w14:textId="77777777" w:rsidR="00A57E1D" w:rsidRPr="009C5807" w:rsidRDefault="00A57E1D"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131E48A1" w14:textId="77777777" w:rsidR="00A57E1D" w:rsidRPr="009C5807" w:rsidRDefault="00A57E1D"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0BD4FC6B" w14:textId="77777777" w:rsidR="00A57E1D" w:rsidRPr="009C5807" w:rsidRDefault="00A57E1D" w:rsidP="00E65BA1">
            <w:pPr>
              <w:pStyle w:val="TAH"/>
            </w:pPr>
            <w:r w:rsidRPr="009C5807">
              <w:t>dBm/BW</w:t>
            </w:r>
            <w:r w:rsidRPr="009C5807">
              <w:rPr>
                <w:vertAlign w:val="subscript"/>
              </w:rPr>
              <w:t>Channel</w:t>
            </w:r>
          </w:p>
        </w:tc>
      </w:tr>
      <w:tr w:rsidR="00A57E1D" w:rsidRPr="009C5807" w14:paraId="559301F6" w14:textId="77777777" w:rsidTr="00E65BA1">
        <w:trPr>
          <w:trHeight w:val="307"/>
          <w:jc w:val="center"/>
        </w:trPr>
        <w:tc>
          <w:tcPr>
            <w:tcW w:w="1035" w:type="dxa"/>
            <w:tcBorders>
              <w:left w:val="single" w:sz="4" w:space="0" w:color="auto"/>
              <w:bottom w:val="single" w:sz="6" w:space="0" w:color="auto"/>
              <w:right w:val="single" w:sz="6" w:space="0" w:color="auto"/>
            </w:tcBorders>
            <w:shd w:val="clear" w:color="auto" w:fill="auto"/>
          </w:tcPr>
          <w:p w14:paraId="44033827" w14:textId="77777777" w:rsidR="00A57E1D" w:rsidRPr="009C5807" w:rsidRDefault="00A57E1D" w:rsidP="00E65BA1">
            <w:pPr>
              <w:pStyle w:val="TAH"/>
            </w:pPr>
          </w:p>
        </w:tc>
        <w:tc>
          <w:tcPr>
            <w:tcW w:w="1047" w:type="dxa"/>
            <w:tcBorders>
              <w:left w:val="single" w:sz="6" w:space="0" w:color="auto"/>
              <w:bottom w:val="single" w:sz="6" w:space="0" w:color="auto"/>
              <w:right w:val="single" w:sz="6" w:space="0" w:color="auto"/>
            </w:tcBorders>
            <w:shd w:val="clear" w:color="auto" w:fill="auto"/>
          </w:tcPr>
          <w:p w14:paraId="4A8E00A4" w14:textId="77777777" w:rsidR="00A57E1D" w:rsidRPr="009C5807" w:rsidRDefault="00A57E1D" w:rsidP="00E65BA1">
            <w:pPr>
              <w:pStyle w:val="TAH"/>
            </w:pPr>
          </w:p>
        </w:tc>
        <w:tc>
          <w:tcPr>
            <w:tcW w:w="802" w:type="dxa"/>
            <w:tcBorders>
              <w:left w:val="single" w:sz="6" w:space="0" w:color="auto"/>
              <w:bottom w:val="single" w:sz="6" w:space="0" w:color="auto"/>
              <w:right w:val="single" w:sz="6" w:space="0" w:color="auto"/>
            </w:tcBorders>
            <w:shd w:val="clear" w:color="auto" w:fill="auto"/>
          </w:tcPr>
          <w:p w14:paraId="44BB7090" w14:textId="77777777" w:rsidR="00A57E1D" w:rsidRPr="009C5807" w:rsidRDefault="00A57E1D" w:rsidP="00E65BA1">
            <w:pPr>
              <w:pStyle w:val="TAH"/>
            </w:pPr>
          </w:p>
        </w:tc>
        <w:tc>
          <w:tcPr>
            <w:tcW w:w="2298" w:type="dxa"/>
            <w:tcBorders>
              <w:left w:val="single" w:sz="6" w:space="0" w:color="auto"/>
              <w:bottom w:val="single" w:sz="6" w:space="0" w:color="auto"/>
              <w:right w:val="single" w:sz="4" w:space="0" w:color="auto"/>
            </w:tcBorders>
            <w:shd w:val="clear" w:color="auto" w:fill="auto"/>
          </w:tcPr>
          <w:p w14:paraId="65DA2E1C" w14:textId="77777777" w:rsidR="00A57E1D" w:rsidRPr="009C5807" w:rsidRDefault="00A57E1D" w:rsidP="00E65BA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E27D44A" w14:textId="77777777" w:rsidR="00A57E1D" w:rsidRPr="009C5807" w:rsidRDefault="00A57E1D" w:rsidP="00E65BA1">
            <w:pPr>
              <w:pStyle w:val="TAH"/>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59081F34" w14:textId="77777777" w:rsidR="00A57E1D" w:rsidRPr="009C5807" w:rsidRDefault="00A57E1D"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27A205B4" w14:textId="77777777" w:rsidR="00A57E1D" w:rsidRPr="009C5807" w:rsidRDefault="00A57E1D" w:rsidP="00E65BA1">
            <w:pPr>
              <w:pStyle w:val="TAH"/>
            </w:pPr>
          </w:p>
        </w:tc>
        <w:tc>
          <w:tcPr>
            <w:tcW w:w="1440" w:type="dxa"/>
            <w:tcBorders>
              <w:left w:val="single" w:sz="6" w:space="0" w:color="auto"/>
              <w:bottom w:val="single" w:sz="6" w:space="0" w:color="auto"/>
              <w:right w:val="single" w:sz="4" w:space="0" w:color="auto"/>
            </w:tcBorders>
            <w:shd w:val="clear" w:color="auto" w:fill="auto"/>
          </w:tcPr>
          <w:p w14:paraId="0DC18EE1" w14:textId="77777777" w:rsidR="00A57E1D" w:rsidRPr="009C5807" w:rsidRDefault="00A57E1D" w:rsidP="00E65BA1">
            <w:pPr>
              <w:pStyle w:val="TAH"/>
            </w:pPr>
          </w:p>
        </w:tc>
      </w:tr>
      <w:tr w:rsidR="00B72DB6" w:rsidRPr="009C5807" w14:paraId="5BD19149" w14:textId="77777777" w:rsidTr="00E65BA1">
        <w:trPr>
          <w:jc w:val="center"/>
        </w:trPr>
        <w:tc>
          <w:tcPr>
            <w:tcW w:w="1035" w:type="dxa"/>
            <w:tcBorders>
              <w:top w:val="single" w:sz="6" w:space="0" w:color="auto"/>
              <w:left w:val="single" w:sz="4" w:space="0" w:color="auto"/>
              <w:right w:val="single" w:sz="6" w:space="0" w:color="auto"/>
            </w:tcBorders>
            <w:shd w:val="clear" w:color="auto" w:fill="auto"/>
          </w:tcPr>
          <w:p w14:paraId="03BF2B5D" w14:textId="78A9177D" w:rsidR="00B72DB6" w:rsidRPr="009C5807" w:rsidRDefault="00B72DB6" w:rsidP="00B72DB6">
            <w:pPr>
              <w:pStyle w:val="TAC"/>
            </w:pPr>
            <w:r w:rsidRPr="009C5807">
              <w:sym w:font="Symbol" w:char="F0B1"/>
            </w:r>
            <w:r>
              <w:t>[3]</w:t>
            </w:r>
          </w:p>
        </w:tc>
        <w:tc>
          <w:tcPr>
            <w:tcW w:w="1047" w:type="dxa"/>
            <w:tcBorders>
              <w:top w:val="single" w:sz="6" w:space="0" w:color="auto"/>
              <w:left w:val="single" w:sz="6" w:space="0" w:color="auto"/>
              <w:right w:val="single" w:sz="6" w:space="0" w:color="auto"/>
            </w:tcBorders>
            <w:shd w:val="clear" w:color="auto" w:fill="auto"/>
          </w:tcPr>
          <w:p w14:paraId="57EF3EF7" w14:textId="09F6FC17" w:rsidR="00B72DB6" w:rsidRPr="009C5807" w:rsidRDefault="00B72DB6" w:rsidP="00B72DB6">
            <w:pPr>
              <w:pStyle w:val="TAC"/>
            </w:pPr>
            <w:r w:rsidRPr="009C5807">
              <w:sym w:font="Symbol" w:char="F0B1"/>
            </w:r>
            <w:r>
              <w:t>[4]</w:t>
            </w:r>
          </w:p>
        </w:tc>
        <w:tc>
          <w:tcPr>
            <w:tcW w:w="802" w:type="dxa"/>
            <w:tcBorders>
              <w:top w:val="single" w:sz="6" w:space="0" w:color="auto"/>
              <w:left w:val="single" w:sz="6" w:space="0" w:color="auto"/>
              <w:right w:val="single" w:sz="6" w:space="0" w:color="auto"/>
            </w:tcBorders>
            <w:shd w:val="clear" w:color="auto" w:fill="auto"/>
          </w:tcPr>
          <w:p w14:paraId="104F5BB5" w14:textId="46B5A944" w:rsidR="00B72DB6" w:rsidRPr="009C5807" w:rsidRDefault="00B72DB6" w:rsidP="00B72DB6">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F7DD74A" w14:textId="1890CB97" w:rsidR="00B72DB6" w:rsidRPr="009C5807" w:rsidRDefault="00B72DB6" w:rsidP="00B72DB6">
            <w:pPr>
              <w:pStyle w:val="TAC"/>
            </w:pPr>
            <w:r w:rsidRPr="009C5807">
              <w:t>NR_FDD</w:t>
            </w:r>
            <w:r w:rsidRPr="003646C5">
              <w:t>_</w:t>
            </w:r>
            <w:r>
              <w:t>SAB</w:t>
            </w:r>
            <w:r w:rsidRPr="009C5807">
              <w:t>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9B915FD" w14:textId="77777777" w:rsidR="00B72DB6" w:rsidRPr="009C5807" w:rsidRDefault="00B72DB6" w:rsidP="00B72DB6">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C8D5829" w14:textId="77777777" w:rsidR="00B72DB6" w:rsidRPr="009C5807" w:rsidRDefault="00B72DB6" w:rsidP="00B72DB6">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57C0127"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144E9FE" w14:textId="77777777" w:rsidR="00B72DB6" w:rsidRPr="009C5807" w:rsidRDefault="00B72DB6" w:rsidP="00B72DB6">
            <w:pPr>
              <w:pStyle w:val="TAC"/>
            </w:pPr>
            <w:r w:rsidRPr="009C5807">
              <w:t>-50</w:t>
            </w:r>
          </w:p>
        </w:tc>
      </w:tr>
      <w:tr w:rsidR="00B72DB6" w:rsidRPr="009C5807" w14:paraId="39B5DA88" w14:textId="77777777" w:rsidTr="00E65BA1">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11BF7976" w14:textId="6331C490" w:rsidR="00B72DB6" w:rsidRPr="009C5807" w:rsidRDefault="00B72DB6" w:rsidP="00B72DB6">
            <w:pPr>
              <w:pStyle w:val="TAC"/>
            </w:pPr>
            <w:r w:rsidRPr="009C5807">
              <w:sym w:font="Symbol" w:char="F0B1"/>
            </w:r>
            <w:r>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79A35278" w14:textId="074EA9B9" w:rsidR="00B72DB6" w:rsidRPr="009C5807" w:rsidRDefault="00B72DB6" w:rsidP="00B72DB6">
            <w:pPr>
              <w:pStyle w:val="TAC"/>
            </w:pPr>
            <w:r w:rsidRPr="009C5807">
              <w:sym w:font="Symbol" w:char="F0B1"/>
            </w:r>
            <w:r>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099FC50D" w14:textId="00DA25BD" w:rsidR="00B72DB6" w:rsidRPr="009C5807" w:rsidRDefault="00B72DB6" w:rsidP="00B72DB6">
            <w:pPr>
              <w:pStyle w:val="TAC"/>
            </w:pPr>
            <w:r w:rsidRPr="009C5807">
              <w:sym w:font="Symbol" w:char="F0B3"/>
            </w:r>
            <w:r w:rsidRPr="009C5807">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1573626" w14:textId="62EE3177" w:rsidR="00B72DB6" w:rsidRPr="009C5807" w:rsidRDefault="00B72DB6" w:rsidP="00B72DB6">
            <w:pPr>
              <w:pStyle w:val="TAC"/>
            </w:pPr>
            <w:r w:rsidRPr="009C5807">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19C53303" w14:textId="77777777" w:rsidR="00B72DB6" w:rsidRPr="009C5807" w:rsidRDefault="00B72DB6" w:rsidP="00B72DB6">
            <w:pPr>
              <w:pStyle w:val="TAC"/>
            </w:pPr>
            <w:r w:rsidRPr="009C5807">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3D42C073" w14:textId="77777777" w:rsidR="00B72DB6" w:rsidRPr="009C5807" w:rsidRDefault="00B72DB6" w:rsidP="00B72DB6">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44DDC4C2" w14:textId="77777777" w:rsidR="00B72DB6" w:rsidRPr="009C5807" w:rsidRDefault="00B72DB6" w:rsidP="00B72DB6">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0AD21D2C" w14:textId="77777777" w:rsidR="00B72DB6" w:rsidRPr="009C5807" w:rsidRDefault="00B72DB6" w:rsidP="00B72DB6">
            <w:pPr>
              <w:pStyle w:val="TAC"/>
            </w:pPr>
            <w:r w:rsidRPr="009C5807">
              <w:t>Note 2</w:t>
            </w:r>
          </w:p>
        </w:tc>
      </w:tr>
      <w:tr w:rsidR="00A57E1D" w:rsidRPr="009C5807" w14:paraId="66137447"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08D5A11" w14:textId="77777777" w:rsidR="00A57E1D" w:rsidRPr="009C5807" w:rsidRDefault="00A57E1D" w:rsidP="00E65BA1">
            <w:pPr>
              <w:pStyle w:val="TAN"/>
            </w:pPr>
            <w:r w:rsidRPr="009C5807">
              <w:t>NOTE 1:</w:t>
            </w:r>
            <w:r w:rsidRPr="009C5807">
              <w:tab/>
              <w:t>Io is assumed to have constant EPRE across the bandwidth.</w:t>
            </w:r>
          </w:p>
          <w:p w14:paraId="19C4FCAB" w14:textId="77777777" w:rsidR="00A57E1D" w:rsidRPr="009C5807" w:rsidRDefault="00A57E1D" w:rsidP="00E65BA1">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351DF254" w14:textId="77777777" w:rsidR="00A57E1D" w:rsidRDefault="00A57E1D" w:rsidP="00E65BA1">
            <w:pPr>
              <w:pStyle w:val="TAN"/>
              <w:rPr>
                <w:rFonts w:cs="Arial"/>
              </w:rPr>
            </w:pPr>
            <w:r>
              <w:rPr>
                <w:rFonts w:cs="Arial"/>
              </w:rPr>
              <w:t>NOTE 3:</w:t>
            </w:r>
            <w:r>
              <w:rPr>
                <w:rFonts w:cs="Arial"/>
              </w:rPr>
              <w:tab/>
              <w:t xml:space="preserve">The requirements apply for SSB Ês/Iot </w:t>
            </w:r>
            <w:r>
              <w:rPr>
                <w:rFonts w:cs="Arial" w:hint="eastAsia"/>
                <w:lang w:val="en-US"/>
              </w:rPr>
              <w:t>≤</w:t>
            </w:r>
            <w:r>
              <w:rPr>
                <w:rFonts w:cs="Arial"/>
              </w:rPr>
              <w:t xml:space="preserve"> 25 dB under non-HST scenarios.</w:t>
            </w:r>
          </w:p>
          <w:p w14:paraId="58E661EC" w14:textId="77777777" w:rsidR="00A57E1D" w:rsidRDefault="00A57E1D" w:rsidP="00E65BA1">
            <w:pPr>
              <w:pStyle w:val="TAN"/>
            </w:pPr>
            <w:r>
              <w:rPr>
                <w:rFonts w:cs="Arial"/>
              </w:rPr>
              <w:t>NOTE 4:</w:t>
            </w:r>
            <w:r>
              <w:rPr>
                <w:rFonts w:cs="Arial"/>
              </w:rPr>
              <w:tab/>
            </w:r>
            <w:r>
              <w:t>NR operating band groups in FR1 are as defined in clause 3.5.2.</w:t>
            </w:r>
          </w:p>
          <w:p w14:paraId="194779AC" w14:textId="77777777" w:rsidR="00A57E1D" w:rsidRPr="009C5807" w:rsidRDefault="00A57E1D" w:rsidP="00E65BA1">
            <w:pPr>
              <w:pStyle w:val="TAN"/>
            </w:pPr>
            <w:r w:rsidRPr="009C5807">
              <w:rPr>
                <w:rFonts w:cs="Arial"/>
              </w:rPr>
              <w:t xml:space="preserve">NOTE </w:t>
            </w:r>
            <w:r>
              <w:rPr>
                <w:rFonts w:cs="Arial"/>
              </w:rPr>
              <w:t>5</w:t>
            </w:r>
            <w:r w:rsidRPr="009C5807">
              <w:rPr>
                <w:rFonts w:cs="Arial"/>
              </w:rPr>
              <w:t>:</w:t>
            </w:r>
            <w:r w:rsidRPr="009C5807">
              <w:rPr>
                <w:rFonts w:cs="Arial"/>
              </w:rPr>
              <w:tab/>
              <w:t xml:space="preserve">The requirements apply for SSB Ês/Iot </w:t>
            </w:r>
            <w:r w:rsidRPr="009C5807">
              <w:rPr>
                <w:rFonts w:cs="Arial" w:hint="eastAsia"/>
              </w:rPr>
              <w:t>≤</w:t>
            </w:r>
            <w:r w:rsidRPr="009C5807">
              <w:rPr>
                <w:rFonts w:cs="Arial"/>
              </w:rPr>
              <w:t>5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76FF63E5" w14:textId="77777777" w:rsidR="00A57E1D" w:rsidRPr="009C5807" w:rsidRDefault="00A57E1D" w:rsidP="00A57E1D"/>
    <w:p w14:paraId="1A2BA756" w14:textId="488D54FE" w:rsidR="001F5A79" w:rsidRPr="009C5807" w:rsidRDefault="001F5A79" w:rsidP="00967CF8">
      <w:pPr>
        <w:pStyle w:val="Heading3"/>
        <w:rPr>
          <w:lang w:val="en-US" w:eastAsia="ko-KR"/>
        </w:rPr>
      </w:pPr>
      <w:r w:rsidRPr="009C5807">
        <w:rPr>
          <w:lang w:val="en-US" w:eastAsia="ko-KR"/>
        </w:rPr>
        <w:t>1</w:t>
      </w:r>
      <w:r w:rsidR="00967CF8" w:rsidRPr="009C5807">
        <w:rPr>
          <w:lang w:val="en-US" w:eastAsia="ko-KR"/>
        </w:rPr>
        <w:t>0.1.1</w:t>
      </w:r>
      <w:r w:rsidRPr="009C5807">
        <w:rPr>
          <w:lang w:val="en-US" w:eastAsia="ko-KR"/>
        </w:rPr>
        <w:t>3</w:t>
      </w:r>
      <w:r w:rsidRPr="009C5807">
        <w:rPr>
          <w:lang w:val="en-US" w:eastAsia="ko-KR"/>
        </w:rPr>
        <w:tab/>
        <w:t xml:space="preserve">Intra-frequency SINR accuracy requirements </w:t>
      </w:r>
      <w:r w:rsidRPr="009C5807">
        <w:rPr>
          <w:lang w:val="en-US" w:eastAsia="zh-CN"/>
        </w:rPr>
        <w:t>for</w:t>
      </w:r>
      <w:r w:rsidRPr="009C5807">
        <w:rPr>
          <w:lang w:val="en-US" w:eastAsia="ko-KR"/>
        </w:rPr>
        <w:t xml:space="preserve"> FR2</w:t>
      </w:r>
    </w:p>
    <w:p w14:paraId="17BF54E7" w14:textId="77777777" w:rsidR="001F5A79" w:rsidRPr="009C5807" w:rsidRDefault="001F5A79" w:rsidP="009D3C60">
      <w:pPr>
        <w:pStyle w:val="Heading4"/>
        <w:rPr>
          <w:lang w:val="en-US" w:eastAsia="zh-CN"/>
        </w:rPr>
      </w:pPr>
      <w:r w:rsidRPr="009C5807">
        <w:rPr>
          <w:lang w:val="en-US" w:eastAsia="zh-CN"/>
        </w:rPr>
        <w:t>10.1.13.1</w:t>
      </w:r>
      <w:r w:rsidRPr="009C5807">
        <w:rPr>
          <w:lang w:val="en-US" w:eastAsia="zh-CN"/>
        </w:rPr>
        <w:tab/>
      </w:r>
      <w:r w:rsidRPr="009C5807">
        <w:rPr>
          <w:lang w:val="en-US" w:eastAsia="ko-KR"/>
        </w:rPr>
        <w:t>Intra-frequency SS-SINR accuracy requirements</w:t>
      </w:r>
      <w:r w:rsidRPr="009C5807">
        <w:rPr>
          <w:lang w:val="en-US" w:eastAsia="zh-CN"/>
        </w:rPr>
        <w:t xml:space="preserve"> in FR2</w:t>
      </w:r>
    </w:p>
    <w:p w14:paraId="2228E069" w14:textId="77777777" w:rsidR="001F5A79" w:rsidRPr="009C5807" w:rsidRDefault="001F5A79" w:rsidP="009D3C60">
      <w:pPr>
        <w:pStyle w:val="Heading5"/>
      </w:pPr>
      <w:r w:rsidRPr="009C5807">
        <w:rPr>
          <w:lang w:eastAsia="zh-CN"/>
        </w:rPr>
        <w:t>10.1.13</w:t>
      </w:r>
      <w:r w:rsidRPr="009C5807">
        <w:t>.1</w:t>
      </w:r>
      <w:r w:rsidRPr="009C5807">
        <w:rPr>
          <w:lang w:eastAsia="zh-CN"/>
        </w:rPr>
        <w:t>.1</w:t>
      </w:r>
      <w:r w:rsidRPr="009C5807">
        <w:tab/>
        <w:t xml:space="preserve">Absolute </w:t>
      </w:r>
      <w:r w:rsidRPr="009C5807">
        <w:rPr>
          <w:lang w:val="en-US" w:eastAsia="ko-KR"/>
        </w:rPr>
        <w:t xml:space="preserve">SS-SINR </w:t>
      </w:r>
      <w:r w:rsidRPr="009C5807">
        <w:t>Accuracy in FR2</w:t>
      </w:r>
    </w:p>
    <w:p w14:paraId="1535E25B" w14:textId="77777777" w:rsidR="001F5A79" w:rsidRPr="009C5807" w:rsidRDefault="001F5A79" w:rsidP="001F5A79">
      <w:pPr>
        <w:rPr>
          <w:rFonts w:cs="v4.2.0"/>
          <w:i/>
        </w:rPr>
      </w:pPr>
      <w:r w:rsidRPr="009C5807">
        <w:rPr>
          <w:rFonts w:cs="v4.2.0"/>
        </w:rPr>
        <w:t xml:space="preserve">Unless otherwise specified, the requirements for absolute accuracy of </w:t>
      </w:r>
      <w:r w:rsidRPr="009C5807">
        <w:rPr>
          <w:rFonts w:cs="v4.2.0"/>
          <w:lang w:eastAsia="zh-CN"/>
        </w:rPr>
        <w:t>SS-SINR</w:t>
      </w:r>
      <w:r w:rsidRPr="009C5807">
        <w:rPr>
          <w:rFonts w:cs="v4.2.0"/>
        </w:rPr>
        <w:t xml:space="preserve"> in this clause apply to a cell on the same frequency as that of the serving cell in FR2.</w:t>
      </w:r>
    </w:p>
    <w:p w14:paraId="4F39781A"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10.1.13.1.1</w:t>
      </w:r>
      <w:r w:rsidRPr="009C5807">
        <w:rPr>
          <w:rFonts w:cs="v4.2.0"/>
        </w:rPr>
        <w:t>-1 are valid under the following conditions:</w:t>
      </w:r>
    </w:p>
    <w:p w14:paraId="6AC15C61" w14:textId="77777777" w:rsidR="001F5A79" w:rsidRPr="009C5807" w:rsidRDefault="001F5A79" w:rsidP="0093237A">
      <w:pPr>
        <w:pStyle w:val="B10"/>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1701D466" w14:textId="77777777" w:rsidR="001F5A79" w:rsidRPr="009C5807" w:rsidRDefault="001F5A79" w:rsidP="0093237A">
      <w:pPr>
        <w:pStyle w:val="B10"/>
      </w:pPr>
      <w:r w:rsidRPr="009C5807">
        <w:t>-</w:t>
      </w:r>
      <w:r w:rsidRPr="009C5807">
        <w:rPr>
          <w:rFonts w:ascii="Arial" w:hAnsi="Arial"/>
          <w:sz w:val="28"/>
          <w:lang w:val="en-US"/>
        </w:rPr>
        <w:tab/>
      </w:r>
      <w:r w:rsidRPr="009C5807">
        <w:t>Conditions for intra-frequency measurements are fulfilled according to Annex B.2.2 for a corresponding Band.</w:t>
      </w:r>
    </w:p>
    <w:p w14:paraId="3C3E1AC2" w14:textId="77777777" w:rsidR="001F5A79" w:rsidRPr="009C5807" w:rsidRDefault="001F5A79" w:rsidP="0093237A">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359545D1" w14:textId="77777777" w:rsidR="001F5A79" w:rsidRPr="009C5807" w:rsidRDefault="001F5A79" w:rsidP="0093237A">
      <w:pPr>
        <w:pStyle w:val="TH"/>
        <w:rPr>
          <w:lang w:eastAsia="zh-CN"/>
        </w:rPr>
      </w:pPr>
      <w:r w:rsidRPr="009C5807">
        <w:t xml:space="preserve">Table </w:t>
      </w:r>
      <w:r w:rsidRPr="009C5807">
        <w:rPr>
          <w:lang w:eastAsia="zh-CN"/>
        </w:rPr>
        <w:t>10.1.13.1.1-1</w:t>
      </w:r>
      <w:r w:rsidRPr="009C5807">
        <w:t xml:space="preserve">: </w:t>
      </w:r>
      <w:r w:rsidRPr="009C5807">
        <w:rPr>
          <w:lang w:eastAsia="zh-CN"/>
        </w:rPr>
        <w:t>SS-SINR</w:t>
      </w:r>
      <w:r w:rsidRPr="009C5807">
        <w:t xml:space="preserve"> Intra frequency absolute accuracy</w:t>
      </w:r>
      <w:r w:rsidRPr="009C5807">
        <w:rPr>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1F5A79" w:rsidRPr="009C5807" w14:paraId="660FE8E0" w14:textId="77777777" w:rsidTr="00DF3064">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A42563" w14:textId="77777777" w:rsidR="001F5A79" w:rsidRPr="009C5807" w:rsidRDefault="001F5A79" w:rsidP="00DC28F6">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463B2539" w14:textId="77777777" w:rsidR="001F5A79" w:rsidRPr="009C5807" w:rsidRDefault="001F5A79" w:rsidP="00DC28F6">
            <w:pPr>
              <w:pStyle w:val="TAH"/>
            </w:pPr>
            <w:r w:rsidRPr="009C5807">
              <w:t>Conditions</w:t>
            </w:r>
          </w:p>
        </w:tc>
      </w:tr>
      <w:tr w:rsidR="001F5A79" w:rsidRPr="009C5807" w14:paraId="230EE57A" w14:textId="77777777" w:rsidTr="00DB6585">
        <w:trPr>
          <w:jc w:val="center"/>
        </w:trPr>
        <w:tc>
          <w:tcPr>
            <w:tcW w:w="1122" w:type="dxa"/>
            <w:tcBorders>
              <w:top w:val="single" w:sz="4" w:space="0" w:color="auto"/>
              <w:left w:val="single" w:sz="4" w:space="0" w:color="auto"/>
              <w:right w:val="single" w:sz="4" w:space="0" w:color="auto"/>
            </w:tcBorders>
            <w:shd w:val="clear" w:color="auto" w:fill="auto"/>
            <w:vAlign w:val="center"/>
          </w:tcPr>
          <w:p w14:paraId="0B65CC2B" w14:textId="77777777" w:rsidR="001F5A79" w:rsidRPr="009C5807" w:rsidRDefault="001F5A79" w:rsidP="00DC28F6">
            <w:pPr>
              <w:pStyle w:val="TAH"/>
            </w:pPr>
            <w:r w:rsidRPr="009C5807">
              <w:t>Normal condition</w:t>
            </w:r>
          </w:p>
        </w:tc>
        <w:tc>
          <w:tcPr>
            <w:tcW w:w="1119" w:type="dxa"/>
            <w:tcBorders>
              <w:top w:val="single" w:sz="4" w:space="0" w:color="auto"/>
              <w:left w:val="single" w:sz="4" w:space="0" w:color="auto"/>
              <w:right w:val="single" w:sz="4" w:space="0" w:color="auto"/>
            </w:tcBorders>
            <w:shd w:val="clear" w:color="auto" w:fill="auto"/>
            <w:vAlign w:val="center"/>
          </w:tcPr>
          <w:p w14:paraId="5B564B96" w14:textId="77777777" w:rsidR="001F5A79" w:rsidRPr="009C5807" w:rsidRDefault="001F5A79" w:rsidP="00DC28F6">
            <w:pPr>
              <w:pStyle w:val="TAH"/>
            </w:pPr>
            <w:r w:rsidRPr="009C5807">
              <w:t>Extreme condition</w:t>
            </w:r>
          </w:p>
        </w:tc>
        <w:tc>
          <w:tcPr>
            <w:tcW w:w="1119" w:type="dxa"/>
            <w:tcBorders>
              <w:top w:val="single" w:sz="4" w:space="0" w:color="auto"/>
              <w:left w:val="single" w:sz="4" w:space="0" w:color="auto"/>
              <w:right w:val="single" w:sz="4" w:space="0" w:color="auto"/>
            </w:tcBorders>
          </w:tcPr>
          <w:p w14:paraId="189E9BA7" w14:textId="77777777" w:rsidR="001F5A79" w:rsidRPr="009C5807" w:rsidRDefault="001F5A79" w:rsidP="00DC28F6">
            <w:pPr>
              <w:pStyle w:val="TAH"/>
            </w:pPr>
            <w:r w:rsidRPr="009C5807">
              <w:rPr>
                <w:rFonts w:cs="Arial"/>
              </w:rPr>
              <w:t>SSB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C60733" w14:textId="77777777" w:rsidR="001F5A79" w:rsidRPr="009C5807" w:rsidRDefault="001F5A79" w:rsidP="00DC28F6">
            <w:pPr>
              <w:pStyle w:val="TAH"/>
            </w:pPr>
            <w:r w:rsidRPr="009C5807">
              <w:t>Io</w:t>
            </w:r>
            <w:r w:rsidRPr="009C5807">
              <w:rPr>
                <w:vertAlign w:val="superscript"/>
              </w:rPr>
              <w:t xml:space="preserve"> Note 2</w:t>
            </w:r>
            <w:r w:rsidRPr="009C5807">
              <w:t xml:space="preserve"> range</w:t>
            </w:r>
          </w:p>
        </w:tc>
      </w:tr>
      <w:tr w:rsidR="001F5A79" w:rsidRPr="009C5807" w14:paraId="38303255" w14:textId="77777777" w:rsidTr="00DB6585">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0D864AC5" w14:textId="77777777" w:rsidR="001F5A79" w:rsidRPr="009C5807" w:rsidRDefault="001F5A79" w:rsidP="00DC28F6">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73EF2C0C" w14:textId="77777777" w:rsidR="001F5A79" w:rsidRPr="009C5807" w:rsidRDefault="001F5A79" w:rsidP="00DC28F6">
            <w:pPr>
              <w:pStyle w:val="TAH"/>
            </w:pPr>
          </w:p>
        </w:tc>
        <w:tc>
          <w:tcPr>
            <w:tcW w:w="1119" w:type="dxa"/>
            <w:tcBorders>
              <w:left w:val="single" w:sz="4" w:space="0" w:color="auto"/>
              <w:bottom w:val="single" w:sz="4" w:space="0" w:color="auto"/>
              <w:right w:val="single" w:sz="4" w:space="0" w:color="auto"/>
            </w:tcBorders>
            <w:vAlign w:val="center"/>
          </w:tcPr>
          <w:p w14:paraId="3979C950" w14:textId="77777777" w:rsidR="001F5A79" w:rsidRPr="009C5807" w:rsidRDefault="001F5A79" w:rsidP="00DC28F6">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2CCCC5" w14:textId="77777777" w:rsidR="001F5A79" w:rsidRPr="009C5807" w:rsidRDefault="001F5A79" w:rsidP="00DC28F6">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1B858B7" w14:textId="77777777" w:rsidR="001F5A79" w:rsidRPr="009C5807" w:rsidRDefault="001F5A79" w:rsidP="00DC28F6">
            <w:pPr>
              <w:pStyle w:val="TAH"/>
            </w:pPr>
            <w:r w:rsidRPr="009C5807">
              <w:t>Maximum Io</w:t>
            </w:r>
          </w:p>
        </w:tc>
      </w:tr>
      <w:tr w:rsidR="001F5A79" w:rsidRPr="009C5807" w14:paraId="26CDA58B" w14:textId="77777777" w:rsidTr="00DB6585">
        <w:trPr>
          <w:jc w:val="center"/>
        </w:trPr>
        <w:tc>
          <w:tcPr>
            <w:tcW w:w="1122" w:type="dxa"/>
            <w:tcBorders>
              <w:top w:val="single" w:sz="4" w:space="0" w:color="auto"/>
              <w:left w:val="single" w:sz="4" w:space="0" w:color="auto"/>
              <w:right w:val="single" w:sz="4" w:space="0" w:color="auto"/>
            </w:tcBorders>
            <w:shd w:val="clear" w:color="auto" w:fill="auto"/>
            <w:vAlign w:val="center"/>
          </w:tcPr>
          <w:p w14:paraId="2C07B628" w14:textId="77777777" w:rsidR="001F5A79" w:rsidRPr="009C5807" w:rsidRDefault="001F5A79" w:rsidP="00DC28F6">
            <w:pPr>
              <w:pStyle w:val="TAH"/>
            </w:pPr>
            <w:r w:rsidRPr="009C5807">
              <w:t>dB</w:t>
            </w:r>
          </w:p>
        </w:tc>
        <w:tc>
          <w:tcPr>
            <w:tcW w:w="1119" w:type="dxa"/>
            <w:tcBorders>
              <w:top w:val="single" w:sz="4" w:space="0" w:color="auto"/>
              <w:left w:val="single" w:sz="4" w:space="0" w:color="auto"/>
              <w:right w:val="single" w:sz="4" w:space="0" w:color="auto"/>
            </w:tcBorders>
            <w:shd w:val="clear" w:color="auto" w:fill="auto"/>
            <w:vAlign w:val="center"/>
          </w:tcPr>
          <w:p w14:paraId="3EE3D6C0" w14:textId="77777777" w:rsidR="001F5A79" w:rsidRPr="009C5807" w:rsidRDefault="001F5A79" w:rsidP="00DC28F6">
            <w:pPr>
              <w:pStyle w:val="TAH"/>
            </w:pPr>
            <w:r w:rsidRPr="009C5807">
              <w:t>dB</w:t>
            </w:r>
          </w:p>
        </w:tc>
        <w:tc>
          <w:tcPr>
            <w:tcW w:w="1119" w:type="dxa"/>
            <w:tcBorders>
              <w:top w:val="single" w:sz="4" w:space="0" w:color="auto"/>
              <w:left w:val="single" w:sz="4" w:space="0" w:color="auto"/>
              <w:right w:val="single" w:sz="4" w:space="0" w:color="auto"/>
            </w:tcBorders>
            <w:vAlign w:val="center"/>
          </w:tcPr>
          <w:p w14:paraId="45B262C2" w14:textId="77777777" w:rsidR="001F5A79" w:rsidRPr="009C5807" w:rsidRDefault="001F5A79" w:rsidP="00DC28F6">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83929A" w14:textId="77777777" w:rsidR="001F5A79" w:rsidRPr="009C5807" w:rsidRDefault="001F5A79" w:rsidP="00DC28F6">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vAlign w:val="center"/>
          </w:tcPr>
          <w:p w14:paraId="3D9C0DE3" w14:textId="77777777" w:rsidR="001F5A79" w:rsidRPr="009C5807" w:rsidRDefault="001F5A79" w:rsidP="00DC28F6">
            <w:pPr>
              <w:pStyle w:val="TAH"/>
            </w:pPr>
            <w:r w:rsidRPr="009C5807">
              <w:t>dBm/BW</w:t>
            </w:r>
            <w:r w:rsidRPr="009C5807">
              <w:rPr>
                <w:vertAlign w:val="subscript"/>
              </w:rPr>
              <w:t>Channel</w:t>
            </w:r>
          </w:p>
        </w:tc>
      </w:tr>
      <w:tr w:rsidR="001F5A79" w:rsidRPr="009C5807" w14:paraId="55210031" w14:textId="77777777" w:rsidTr="00DB6585">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3A548470" w14:textId="77777777" w:rsidR="001F5A79" w:rsidRPr="009C5807" w:rsidRDefault="001F5A79" w:rsidP="00DC28F6">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57698657" w14:textId="77777777" w:rsidR="001F5A79" w:rsidRPr="009C5807" w:rsidRDefault="001F5A79" w:rsidP="00DC28F6">
            <w:pPr>
              <w:pStyle w:val="TAH"/>
            </w:pPr>
          </w:p>
        </w:tc>
        <w:tc>
          <w:tcPr>
            <w:tcW w:w="1119" w:type="dxa"/>
            <w:tcBorders>
              <w:left w:val="single" w:sz="4" w:space="0" w:color="auto"/>
              <w:bottom w:val="single" w:sz="4" w:space="0" w:color="auto"/>
              <w:right w:val="single" w:sz="4" w:space="0" w:color="auto"/>
            </w:tcBorders>
            <w:vAlign w:val="center"/>
          </w:tcPr>
          <w:p w14:paraId="0653A6A7" w14:textId="77777777" w:rsidR="001F5A79" w:rsidRPr="009C5807" w:rsidRDefault="001F5A79" w:rsidP="00DC28F6">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22D0F7C" w14:textId="77777777" w:rsidR="001F5A79" w:rsidRPr="009C5807" w:rsidRDefault="001F5A79" w:rsidP="00DC28F6">
            <w:pPr>
              <w:pStyle w:val="TAH"/>
            </w:pPr>
            <w:r w:rsidRPr="009C5807">
              <w:t>SCS</w:t>
            </w:r>
            <w:r w:rsidRPr="009C5807">
              <w:rPr>
                <w:vertAlign w:val="subscript"/>
              </w:rPr>
              <w:t>SSB</w:t>
            </w:r>
            <w:r w:rsidRPr="009C5807">
              <w:rPr>
                <w:rFonts w:cs="Arial"/>
              </w:rPr>
              <w:t xml:space="preserve"> = 120kHz</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14:paraId="25B7F871" w14:textId="77777777" w:rsidR="001F5A79" w:rsidRPr="009C5807" w:rsidRDefault="001F5A79" w:rsidP="00DC28F6">
            <w:pPr>
              <w:pStyle w:val="TAH"/>
            </w:pPr>
            <w:r w:rsidRPr="009C5807">
              <w:t>SCS</w:t>
            </w:r>
            <w:r w:rsidRPr="009C5807">
              <w:rPr>
                <w:vertAlign w:val="subscript"/>
              </w:rPr>
              <w:t>SSB</w:t>
            </w:r>
            <w:r w:rsidRPr="009C5807">
              <w:rPr>
                <w:rFonts w:cs="Arial"/>
              </w:rPr>
              <w:t xml:space="preserve"> = 240kHz</w:t>
            </w:r>
          </w:p>
        </w:tc>
        <w:tc>
          <w:tcPr>
            <w:tcW w:w="2268" w:type="dxa"/>
            <w:tcBorders>
              <w:left w:val="single" w:sz="4" w:space="0" w:color="auto"/>
              <w:bottom w:val="single" w:sz="4" w:space="0" w:color="auto"/>
              <w:right w:val="single" w:sz="4" w:space="0" w:color="auto"/>
            </w:tcBorders>
            <w:shd w:val="clear" w:color="auto" w:fill="auto"/>
            <w:vAlign w:val="center"/>
          </w:tcPr>
          <w:p w14:paraId="1DC2CC36" w14:textId="77777777" w:rsidR="001F5A79" w:rsidRPr="009C5807" w:rsidRDefault="001F5A79" w:rsidP="00DC28F6">
            <w:pPr>
              <w:pStyle w:val="TAH"/>
            </w:pPr>
          </w:p>
        </w:tc>
      </w:tr>
      <w:tr w:rsidR="001F5A79" w:rsidRPr="009C5807" w14:paraId="776C8D54"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6E114A10" w14:textId="77777777" w:rsidR="001F5A79" w:rsidRPr="009C5807" w:rsidRDefault="001F5A79" w:rsidP="00485F6E">
            <w:pPr>
              <w:pStyle w:val="TAC"/>
            </w:pPr>
            <w:r w:rsidRPr="009C5807">
              <w:sym w:font="Symbol" w:char="F0B1"/>
            </w:r>
            <w:r w:rsidRPr="009C5807">
              <w:t>3</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28534817" w14:textId="77777777" w:rsidR="001F5A79" w:rsidRPr="009C5807" w:rsidRDefault="001F5A79"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1E0172FF" w14:textId="77777777" w:rsidR="001F5A79" w:rsidRPr="009C5807" w:rsidRDefault="001F5A79" w:rsidP="00485F6E">
            <w:pPr>
              <w:pStyle w:val="TAC"/>
            </w:pPr>
            <w:r w:rsidRPr="009C5807">
              <w:rPr>
                <w:rFonts w:eastAsia="Yu Mincho" w:cs="Arial"/>
                <w:lang w:eastAsia="ja-JP"/>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38A575E8" w14:textId="77777777" w:rsidR="001F5A79" w:rsidRPr="009C5807" w:rsidRDefault="001F5A79" w:rsidP="00485F6E">
            <w:pPr>
              <w:pStyle w:val="TAC"/>
              <w:rPr>
                <w:rFonts w:eastAsia="Yu Mincho"/>
                <w:lang w:eastAsia="ja-JP"/>
              </w:rPr>
            </w:pPr>
            <w:r w:rsidRPr="009C5807">
              <w:t>Same value as SSB_RP in Table B.2.2-2,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3EA913E2" w14:textId="77777777" w:rsidR="001F5A79" w:rsidRPr="009C5807" w:rsidRDefault="001F5A79" w:rsidP="00485F6E">
            <w:pPr>
              <w:pStyle w:val="TAC"/>
            </w:pPr>
            <w:r w:rsidRPr="009C5807">
              <w:t>-50</w:t>
            </w:r>
          </w:p>
        </w:tc>
      </w:tr>
      <w:tr w:rsidR="001F5A79" w:rsidRPr="009C5807" w14:paraId="405BD0DA"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1A76D39E" w14:textId="77777777" w:rsidR="001F5A79" w:rsidRPr="009C5807" w:rsidRDefault="001F5A79" w:rsidP="00485F6E">
            <w:pPr>
              <w:pStyle w:val="TAC"/>
            </w:pPr>
            <w:r w:rsidRPr="009C5807">
              <w:sym w:font="Symbol" w:char="F0B1"/>
            </w:r>
            <w:r w:rsidRPr="009C5807">
              <w:t>3.5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5BA110DD" w14:textId="77777777" w:rsidR="001F5A79" w:rsidRPr="009C5807" w:rsidRDefault="001F5A79"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4D10DE87" w14:textId="77777777" w:rsidR="001F5A79" w:rsidRPr="009C5807" w:rsidRDefault="001F5A79" w:rsidP="00485F6E">
            <w:pPr>
              <w:pStyle w:val="TAC"/>
            </w:pPr>
            <w:r w:rsidRPr="009C5807">
              <w:rPr>
                <w:rFonts w:eastAsia="Yu Mincho" w:cs="Arial"/>
                <w:lang w:eastAsia="ja-JP"/>
              </w:rPr>
              <w:t>≥-6</w:t>
            </w:r>
          </w:p>
        </w:tc>
        <w:tc>
          <w:tcPr>
            <w:tcW w:w="3161" w:type="dxa"/>
            <w:gridSpan w:val="2"/>
            <w:tcBorders>
              <w:left w:val="single" w:sz="4" w:space="0" w:color="auto"/>
              <w:bottom w:val="single" w:sz="4" w:space="0" w:color="auto"/>
              <w:right w:val="single" w:sz="4" w:space="0" w:color="auto"/>
            </w:tcBorders>
            <w:shd w:val="clear" w:color="auto" w:fill="auto"/>
          </w:tcPr>
          <w:p w14:paraId="1B35BEA2" w14:textId="77777777" w:rsidR="001F5A79" w:rsidRPr="009C5807" w:rsidRDefault="001F5A79" w:rsidP="00485F6E">
            <w:pPr>
              <w:pStyle w:val="TAC"/>
            </w:pPr>
          </w:p>
        </w:tc>
        <w:tc>
          <w:tcPr>
            <w:tcW w:w="2268" w:type="dxa"/>
            <w:tcBorders>
              <w:left w:val="single" w:sz="4" w:space="0" w:color="auto"/>
              <w:bottom w:val="single" w:sz="4" w:space="0" w:color="auto"/>
              <w:right w:val="single" w:sz="4" w:space="0" w:color="auto"/>
            </w:tcBorders>
            <w:shd w:val="clear" w:color="auto" w:fill="auto"/>
          </w:tcPr>
          <w:p w14:paraId="77DEFB4E" w14:textId="77777777" w:rsidR="001F5A79" w:rsidRPr="009C5807" w:rsidRDefault="001F5A79" w:rsidP="00485F6E">
            <w:pPr>
              <w:pStyle w:val="TAC"/>
            </w:pPr>
          </w:p>
        </w:tc>
      </w:tr>
      <w:tr w:rsidR="001F5A79" w:rsidRPr="009C5807" w14:paraId="7CB4DD77" w14:textId="77777777" w:rsidTr="00DF3064">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D681C3B" w14:textId="77777777" w:rsidR="001F5A79" w:rsidRPr="009C5807" w:rsidRDefault="001F5A79" w:rsidP="00DC28F6">
            <w:pPr>
              <w:pStyle w:val="TAN"/>
            </w:pPr>
            <w:r w:rsidRPr="009C5807">
              <w:t>Note 1:</w:t>
            </w:r>
            <w:r w:rsidRPr="009C5807">
              <w:tab/>
              <w:t>Values based on Refsens and EIS spherical coverage as defined in clauses 7.3.2 and 7.3.4 of TS 38.101-2 [19]. Applicable side condition selected depending on angle of arrival.</w:t>
            </w:r>
          </w:p>
          <w:p w14:paraId="3E0FBF87" w14:textId="77777777" w:rsidR="001F5A79" w:rsidRPr="009C5807" w:rsidRDefault="001F5A79" w:rsidP="00DC28F6">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7D336B71" w14:textId="77777777" w:rsidR="001F5A79" w:rsidRPr="009C5807" w:rsidRDefault="001F5A79" w:rsidP="00DC28F6">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p w14:paraId="38ADC03E" w14:textId="77777777" w:rsidR="001F5A79" w:rsidRPr="009C5807" w:rsidRDefault="001F5A79" w:rsidP="00DC28F6">
            <w:pPr>
              <w:pStyle w:val="TAN"/>
            </w:pPr>
            <w:r w:rsidRPr="009C5807">
              <w:t>Note 4:</w:t>
            </w:r>
            <w:r w:rsidRPr="009C5807">
              <w:tab/>
            </w:r>
            <w:r w:rsidRPr="009C5807">
              <w:rPr>
                <w:rFonts w:cs="Arial"/>
              </w:rPr>
              <w:t xml:space="preserve">The requirements apply for SSB Ês/Iot </w:t>
            </w:r>
            <w:r w:rsidRPr="009C5807">
              <w:rPr>
                <w:rFonts w:cs="Arial" w:hint="eastAsia"/>
              </w:rPr>
              <w:t>≤</w:t>
            </w:r>
            <w:r w:rsidRPr="009C5807">
              <w:rPr>
                <w:rFonts w:cs="Arial"/>
              </w:rPr>
              <w:t xml:space="preserve"> 25 dB.</w:t>
            </w:r>
          </w:p>
        </w:tc>
      </w:tr>
    </w:tbl>
    <w:p w14:paraId="41A1215B" w14:textId="77777777" w:rsidR="001F5A79" w:rsidRPr="009C5807" w:rsidRDefault="001F5A79" w:rsidP="001F5A79"/>
    <w:p w14:paraId="07822AC0" w14:textId="77777777" w:rsidR="00567E6C" w:rsidRPr="009C5807" w:rsidRDefault="00567E6C" w:rsidP="00F37389">
      <w:pPr>
        <w:pStyle w:val="Heading4"/>
        <w:rPr>
          <w:lang w:val="en-US" w:eastAsia="zh-CN"/>
        </w:rPr>
      </w:pPr>
      <w:r>
        <w:rPr>
          <w:lang w:val="en-US" w:eastAsia="zh-CN"/>
        </w:rPr>
        <w:t>10.1.13.2</w:t>
      </w:r>
      <w:r w:rsidRPr="009C5807">
        <w:rPr>
          <w:lang w:val="en-US" w:eastAsia="zh-CN"/>
        </w:rPr>
        <w:tab/>
      </w:r>
      <w:r w:rsidRPr="009C5807">
        <w:rPr>
          <w:lang w:val="en-US" w:eastAsia="ko-KR"/>
        </w:rPr>
        <w:t xml:space="preserve">Intra-frequency </w:t>
      </w:r>
      <w:r>
        <w:rPr>
          <w:lang w:val="en-US" w:eastAsia="ko-KR"/>
        </w:rPr>
        <w:t>CSI-SINR</w:t>
      </w:r>
      <w:r w:rsidRPr="009C5807">
        <w:rPr>
          <w:lang w:val="en-US" w:eastAsia="ko-KR"/>
        </w:rPr>
        <w:t xml:space="preserve"> accuracy requirements</w:t>
      </w:r>
      <w:r w:rsidRPr="009C5807">
        <w:rPr>
          <w:lang w:val="en-US" w:eastAsia="zh-CN"/>
        </w:rPr>
        <w:t xml:space="preserve"> in FR</w:t>
      </w:r>
      <w:r>
        <w:rPr>
          <w:lang w:val="en-US" w:eastAsia="zh-CN"/>
        </w:rPr>
        <w:t>2</w:t>
      </w:r>
    </w:p>
    <w:p w14:paraId="27AECCD6" w14:textId="77777777" w:rsidR="00567E6C" w:rsidRPr="009C5807" w:rsidRDefault="00567E6C" w:rsidP="00F37389">
      <w:pPr>
        <w:pStyle w:val="Heading5"/>
      </w:pPr>
      <w:r>
        <w:rPr>
          <w:lang w:eastAsia="zh-CN"/>
        </w:rPr>
        <w:t>10.1.13.2</w:t>
      </w:r>
      <w:r w:rsidRPr="009C5807">
        <w:rPr>
          <w:lang w:eastAsia="zh-CN"/>
        </w:rPr>
        <w:t>.1</w:t>
      </w:r>
      <w:r w:rsidRPr="009C5807">
        <w:tab/>
        <w:t xml:space="preserve">Absolute </w:t>
      </w:r>
      <w:r>
        <w:rPr>
          <w:lang w:val="en-US" w:eastAsia="ko-KR"/>
        </w:rPr>
        <w:t>CSI-SINR</w:t>
      </w:r>
      <w:r w:rsidRPr="009C5807">
        <w:rPr>
          <w:lang w:val="en-US" w:eastAsia="ko-KR"/>
        </w:rPr>
        <w:t xml:space="preserve"> </w:t>
      </w:r>
      <w:r w:rsidRPr="009C5807">
        <w:t>Accuracy in FR</w:t>
      </w:r>
      <w:r>
        <w:t>2</w:t>
      </w:r>
    </w:p>
    <w:p w14:paraId="77F4F359" w14:textId="77777777" w:rsidR="00567E6C" w:rsidRPr="009C5807" w:rsidRDefault="00567E6C" w:rsidP="00567E6C">
      <w:pPr>
        <w:rPr>
          <w:rFonts w:cs="v4.2.0"/>
          <w:i/>
        </w:rPr>
      </w:pPr>
      <w:r w:rsidRPr="009C5807">
        <w:rPr>
          <w:rFonts w:cs="v4.2.0"/>
        </w:rPr>
        <w:t xml:space="preserve">Unless otherwise specified, the requirements for absolute accuracy of </w:t>
      </w:r>
      <w:r>
        <w:rPr>
          <w:rFonts w:cs="v4.2.0"/>
          <w:lang w:eastAsia="zh-CN"/>
        </w:rPr>
        <w:t>CSI-SINR</w:t>
      </w:r>
      <w:r w:rsidRPr="009C5807">
        <w:rPr>
          <w:rFonts w:cs="v4.2.0"/>
        </w:rPr>
        <w:t xml:space="preserve"> in this clause apply to a cell on the same frequency as that of the serving cell in FR</w:t>
      </w:r>
      <w:r>
        <w:rPr>
          <w:rFonts w:cs="v4.2.0"/>
        </w:rPr>
        <w:t>2</w:t>
      </w:r>
      <w:r w:rsidRPr="009C5807">
        <w:rPr>
          <w:rFonts w:cs="v4.2.0"/>
        </w:rPr>
        <w:t>.</w:t>
      </w:r>
    </w:p>
    <w:p w14:paraId="0B2893B9" w14:textId="77777777" w:rsidR="00567E6C" w:rsidRPr="009C5807" w:rsidRDefault="00567E6C" w:rsidP="00567E6C">
      <w:pPr>
        <w:rPr>
          <w:rFonts w:cs="v4.2.0"/>
        </w:rPr>
      </w:pPr>
      <w:r w:rsidRPr="009C5807">
        <w:rPr>
          <w:rFonts w:cs="v4.2.0"/>
        </w:rPr>
        <w:t xml:space="preserve">The accuracy requirements in Table </w:t>
      </w:r>
      <w:r>
        <w:rPr>
          <w:rFonts w:cs="v4.2.0"/>
          <w:lang w:eastAsia="zh-CN"/>
        </w:rPr>
        <w:t>10.1.13.2</w:t>
      </w:r>
      <w:r w:rsidRPr="009C5807">
        <w:rPr>
          <w:rFonts w:cs="v4.2.0"/>
          <w:lang w:eastAsia="zh-CN"/>
        </w:rPr>
        <w:t>.1</w:t>
      </w:r>
      <w:r w:rsidRPr="009C5807">
        <w:rPr>
          <w:rFonts w:cs="v4.2.0"/>
        </w:rPr>
        <w:t>-1 are valid under the following conditions:</w:t>
      </w:r>
    </w:p>
    <w:p w14:paraId="2EB7D362" w14:textId="77777777" w:rsidR="00567E6C" w:rsidRPr="009C5807" w:rsidRDefault="00567E6C" w:rsidP="00567E6C">
      <w:pPr>
        <w:pStyle w:val="B10"/>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5D3532C3" w14:textId="77777777" w:rsidR="00567E6C" w:rsidRPr="009C5807" w:rsidRDefault="00567E6C" w:rsidP="00567E6C">
      <w:pPr>
        <w:pStyle w:val="B10"/>
      </w:pPr>
      <w:r w:rsidRPr="009C5807">
        <w:t>-</w:t>
      </w:r>
      <w:r w:rsidRPr="009C5807">
        <w:rPr>
          <w:rFonts w:ascii="Arial" w:hAnsi="Arial"/>
          <w:sz w:val="28"/>
          <w:lang w:val="en-US"/>
        </w:rPr>
        <w:tab/>
      </w:r>
      <w:r w:rsidRPr="009C5807">
        <w:t>Conditions for inter-frequency measurements are fulfilled according to Annex B.2.</w:t>
      </w:r>
      <w:r>
        <w:rPr>
          <w:rFonts w:hint="eastAsia"/>
          <w:lang w:eastAsia="zh-CN"/>
        </w:rPr>
        <w:t>8</w:t>
      </w:r>
      <w:r w:rsidRPr="009C5807">
        <w:t xml:space="preserve"> for a corresponding Band.</w:t>
      </w:r>
    </w:p>
    <w:p w14:paraId="5CE94CB6" w14:textId="77777777" w:rsidR="00567E6C" w:rsidRPr="009C5807" w:rsidRDefault="00567E6C" w:rsidP="00567E6C">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7D30D534" w14:textId="57D91443" w:rsidR="00567E6C" w:rsidRDefault="00567E6C" w:rsidP="00567E6C">
      <w:pPr>
        <w:pStyle w:val="B10"/>
        <w:rPr>
          <w:lang w:eastAsia="zh-CN"/>
        </w:rPr>
      </w:pPr>
      <w:r w:rsidRPr="009C5807">
        <w:t>-</w:t>
      </w:r>
      <w:r w:rsidRPr="009C5807">
        <w:tab/>
        <w:t xml:space="preserve">The </w:t>
      </w:r>
      <w:r>
        <w:t xml:space="preserve">timing offset </w:t>
      </w:r>
      <w:r w:rsidRPr="009C5807">
        <w:t xml:space="preserve">between </w:t>
      </w:r>
      <w:r w:rsidRPr="00B14CFE">
        <w:t>the reference measurement timing and the target CSI-RS in one layer</w:t>
      </w:r>
      <w:r>
        <w:t xml:space="preserve"> </w:t>
      </w:r>
      <w:r w:rsidRPr="009C5807">
        <w:t xml:space="preserve">is </w:t>
      </w:r>
      <w:r>
        <w:t>no larger than CP</w:t>
      </w:r>
      <w:r>
        <w:rPr>
          <w:rFonts w:hint="eastAsia"/>
          <w:lang w:eastAsia="zh-CN"/>
        </w:rPr>
        <w:t>.</w:t>
      </w:r>
    </w:p>
    <w:p w14:paraId="3DEB4241" w14:textId="39DF62AA" w:rsidR="00567E6C" w:rsidRDefault="00567E6C" w:rsidP="00F37389">
      <w:pPr>
        <w:pStyle w:val="B20"/>
        <w:rPr>
          <w:lang w:eastAsia="zh-CN"/>
        </w:rPr>
      </w:pPr>
      <w:r>
        <w:rPr>
          <w:rFonts w:hint="eastAsia"/>
          <w:lang w:eastAsia="zh-CN"/>
        </w:rPr>
        <w:t>•</w:t>
      </w:r>
      <w:r>
        <w:rPr>
          <w:lang w:eastAsia="zh-CN"/>
        </w:rPr>
        <w:tab/>
      </w:r>
      <w:r w:rsidRPr="0074207F">
        <w:rPr>
          <w:lang w:eastAsia="zh-CN"/>
        </w:rPr>
        <w:t>Note: The reference measurement timing for intra-frequency measurement is serving cell timing.</w:t>
      </w:r>
    </w:p>
    <w:p w14:paraId="4B586677" w14:textId="77777777" w:rsidR="00567E6C" w:rsidRDefault="00567E6C" w:rsidP="00567E6C">
      <w:pPr>
        <w:pStyle w:val="B10"/>
        <w:rPr>
          <w:lang w:eastAsia="zh-CN"/>
        </w:rPr>
      </w:pPr>
      <w:r>
        <w:rPr>
          <w:lang w:eastAsia="zh-CN"/>
        </w:rPr>
        <w:t>-</w:t>
      </w:r>
      <w:r>
        <w:rPr>
          <w:lang w:eastAsia="zh-CN"/>
        </w:rPr>
        <w:tab/>
        <w:t xml:space="preserve">The bandwidth of CSI-RS is 48 PRBs and the density is 3. </w:t>
      </w:r>
    </w:p>
    <w:p w14:paraId="195FC397" w14:textId="77777777" w:rsidR="00567E6C" w:rsidRPr="001908FE" w:rsidRDefault="00567E6C" w:rsidP="00F37389">
      <w:pPr>
        <w:pStyle w:val="B20"/>
        <w:rPr>
          <w:lang w:eastAsia="zh-CN"/>
        </w:rPr>
      </w:pPr>
      <w:r>
        <w:rPr>
          <w:rFonts w:hint="eastAsia"/>
          <w:lang w:eastAsia="zh-CN"/>
        </w:rPr>
        <w:t>•</w:t>
      </w:r>
      <w:r>
        <w:rPr>
          <w:lang w:eastAsia="zh-CN"/>
        </w:rPr>
        <w:tab/>
        <w:t>The performance with larger bandwidth of CSI-RS is equal to or better than the accuracy requirements in Table 10.1.13.2</w:t>
      </w:r>
      <w:r w:rsidRPr="009C5807">
        <w:rPr>
          <w:lang w:eastAsia="zh-CN"/>
        </w:rPr>
        <w:t>.1-1</w:t>
      </w:r>
      <w:r>
        <w:rPr>
          <w:lang w:eastAsia="zh-CN"/>
        </w:rPr>
        <w:t>.</w:t>
      </w:r>
    </w:p>
    <w:p w14:paraId="09DF41F7" w14:textId="77777777" w:rsidR="00567E6C" w:rsidRDefault="00567E6C" w:rsidP="00567E6C">
      <w:pPr>
        <w:pStyle w:val="TH"/>
        <w:rPr>
          <w:lang w:eastAsia="zh-CN"/>
        </w:rPr>
      </w:pPr>
      <w:r w:rsidRPr="009C5807">
        <w:t xml:space="preserve">Table </w:t>
      </w:r>
      <w:bookmarkStart w:id="8" w:name="OLE_LINK3"/>
      <w:r>
        <w:rPr>
          <w:lang w:eastAsia="zh-CN"/>
        </w:rPr>
        <w:t>10.1.13.2</w:t>
      </w:r>
      <w:r w:rsidRPr="009C5807">
        <w:rPr>
          <w:lang w:eastAsia="zh-CN"/>
        </w:rPr>
        <w:t>.1-1</w:t>
      </w:r>
      <w:bookmarkEnd w:id="8"/>
      <w:r w:rsidRPr="009C5807">
        <w:t xml:space="preserve">: </w:t>
      </w:r>
      <w:r>
        <w:rPr>
          <w:lang w:eastAsia="zh-CN"/>
        </w:rPr>
        <w:t>CSI-SINR</w:t>
      </w:r>
      <w:r w:rsidRPr="009C5807">
        <w:t xml:space="preserve"> Intra frequency absolute accuracy</w:t>
      </w:r>
      <w:r w:rsidRPr="009C5807">
        <w:rPr>
          <w:lang w:eastAsia="zh-CN"/>
        </w:rPr>
        <w:t xml:space="preserve"> in FR</w:t>
      </w:r>
      <w:r>
        <w:rPr>
          <w:lang w:eastAsia="zh-CN"/>
        </w:rPr>
        <w:t>2</w:t>
      </w:r>
    </w:p>
    <w:tbl>
      <w:tblPr>
        <w:tblW w:w="8789" w:type="dxa"/>
        <w:jc w:val="center"/>
        <w:tblLook w:val="01E0" w:firstRow="1" w:lastRow="1" w:firstColumn="1" w:lastColumn="1" w:noHBand="0" w:noVBand="0"/>
      </w:tblPr>
      <w:tblGrid>
        <w:gridCol w:w="1122"/>
        <w:gridCol w:w="1119"/>
        <w:gridCol w:w="1119"/>
        <w:gridCol w:w="1580"/>
        <w:gridCol w:w="1581"/>
        <w:gridCol w:w="2268"/>
      </w:tblGrid>
      <w:tr w:rsidR="00567E6C" w14:paraId="7879197E" w14:textId="77777777" w:rsidTr="00567E6C">
        <w:trPr>
          <w:jc w:val="center"/>
        </w:trPr>
        <w:tc>
          <w:tcPr>
            <w:tcW w:w="2241" w:type="dxa"/>
            <w:gridSpan w:val="2"/>
            <w:tcBorders>
              <w:top w:val="single" w:sz="4" w:space="0" w:color="auto"/>
              <w:left w:val="single" w:sz="4" w:space="0" w:color="auto"/>
              <w:bottom w:val="single" w:sz="4" w:space="0" w:color="auto"/>
              <w:right w:val="single" w:sz="4" w:space="0" w:color="auto"/>
            </w:tcBorders>
            <w:vAlign w:val="center"/>
            <w:hideMark/>
          </w:tcPr>
          <w:p w14:paraId="54F2467E" w14:textId="77777777" w:rsidR="00567E6C" w:rsidRDefault="00567E6C" w:rsidP="00567E6C">
            <w:pPr>
              <w:pStyle w:val="TAH"/>
            </w:pPr>
            <w:r>
              <w:t>Accuracy</w:t>
            </w:r>
          </w:p>
        </w:tc>
        <w:tc>
          <w:tcPr>
            <w:tcW w:w="6548" w:type="dxa"/>
            <w:gridSpan w:val="4"/>
            <w:tcBorders>
              <w:top w:val="single" w:sz="4" w:space="0" w:color="auto"/>
              <w:left w:val="single" w:sz="4" w:space="0" w:color="auto"/>
              <w:bottom w:val="single" w:sz="4" w:space="0" w:color="auto"/>
              <w:right w:val="single" w:sz="4" w:space="0" w:color="auto"/>
            </w:tcBorders>
            <w:vAlign w:val="center"/>
            <w:hideMark/>
          </w:tcPr>
          <w:p w14:paraId="6D873E97" w14:textId="77777777" w:rsidR="00567E6C" w:rsidRDefault="00567E6C" w:rsidP="00567E6C">
            <w:pPr>
              <w:pStyle w:val="TAH"/>
            </w:pPr>
            <w:r>
              <w:t>Conditions</w:t>
            </w:r>
          </w:p>
        </w:tc>
      </w:tr>
      <w:tr w:rsidR="00567E6C" w14:paraId="19A6D2C5" w14:textId="77777777" w:rsidTr="00567E6C">
        <w:trPr>
          <w:jc w:val="center"/>
        </w:trPr>
        <w:tc>
          <w:tcPr>
            <w:tcW w:w="1122" w:type="dxa"/>
            <w:tcBorders>
              <w:top w:val="nil"/>
              <w:left w:val="single" w:sz="4" w:space="0" w:color="auto"/>
              <w:bottom w:val="nil"/>
              <w:right w:val="single" w:sz="4" w:space="0" w:color="auto"/>
            </w:tcBorders>
            <w:vAlign w:val="center"/>
            <w:hideMark/>
          </w:tcPr>
          <w:p w14:paraId="58D3F3AD" w14:textId="77777777" w:rsidR="00567E6C" w:rsidRDefault="00567E6C" w:rsidP="00567E6C">
            <w:pPr>
              <w:pStyle w:val="TAH"/>
            </w:pPr>
            <w:r>
              <w:t>Normal condition</w:t>
            </w:r>
          </w:p>
        </w:tc>
        <w:tc>
          <w:tcPr>
            <w:tcW w:w="1119" w:type="dxa"/>
            <w:tcBorders>
              <w:top w:val="nil"/>
              <w:left w:val="single" w:sz="4" w:space="0" w:color="auto"/>
              <w:bottom w:val="nil"/>
              <w:right w:val="single" w:sz="4" w:space="0" w:color="auto"/>
            </w:tcBorders>
            <w:vAlign w:val="center"/>
            <w:hideMark/>
          </w:tcPr>
          <w:p w14:paraId="56382C42" w14:textId="77777777" w:rsidR="00567E6C" w:rsidRDefault="00567E6C" w:rsidP="00567E6C">
            <w:pPr>
              <w:pStyle w:val="TAH"/>
            </w:pPr>
            <w:r>
              <w:t>Extreme condition</w:t>
            </w:r>
          </w:p>
        </w:tc>
        <w:tc>
          <w:tcPr>
            <w:tcW w:w="1119" w:type="dxa"/>
            <w:tcBorders>
              <w:top w:val="nil"/>
              <w:left w:val="single" w:sz="4" w:space="0" w:color="auto"/>
              <w:bottom w:val="nil"/>
              <w:right w:val="single" w:sz="4" w:space="0" w:color="auto"/>
            </w:tcBorders>
            <w:hideMark/>
          </w:tcPr>
          <w:p w14:paraId="4406B5D8" w14:textId="77777777" w:rsidR="00567E6C" w:rsidRDefault="00567E6C" w:rsidP="00567E6C">
            <w:pPr>
              <w:pStyle w:val="TAH"/>
            </w:pPr>
            <w:r>
              <w:rPr>
                <w:rFonts w:cs="Arial"/>
                <w:lang w:eastAsia="zh-CN"/>
              </w:rPr>
              <w:t>CSI-RS</w:t>
            </w:r>
            <w:r>
              <w:rPr>
                <w:rFonts w:cs="Arial"/>
              </w:rPr>
              <w:t xml:space="preserve"> Ês/Iot</w:t>
            </w:r>
          </w:p>
        </w:tc>
        <w:tc>
          <w:tcPr>
            <w:tcW w:w="5429" w:type="dxa"/>
            <w:gridSpan w:val="3"/>
            <w:tcBorders>
              <w:top w:val="single" w:sz="4" w:space="0" w:color="auto"/>
              <w:left w:val="single" w:sz="4" w:space="0" w:color="auto"/>
              <w:bottom w:val="single" w:sz="4" w:space="0" w:color="auto"/>
              <w:right w:val="single" w:sz="4" w:space="0" w:color="auto"/>
            </w:tcBorders>
            <w:vAlign w:val="center"/>
            <w:hideMark/>
          </w:tcPr>
          <w:p w14:paraId="507AFF74" w14:textId="77777777" w:rsidR="00567E6C" w:rsidRDefault="00567E6C" w:rsidP="00567E6C">
            <w:pPr>
              <w:pStyle w:val="TAH"/>
            </w:pPr>
            <w:r>
              <w:t>Io</w:t>
            </w:r>
            <w:r>
              <w:rPr>
                <w:vertAlign w:val="superscript"/>
              </w:rPr>
              <w:t xml:space="preserve"> Note 2</w:t>
            </w:r>
            <w:r>
              <w:t xml:space="preserve"> range</w:t>
            </w:r>
          </w:p>
        </w:tc>
      </w:tr>
      <w:tr w:rsidR="00567E6C" w14:paraId="407B6595" w14:textId="77777777" w:rsidTr="00567E6C">
        <w:trPr>
          <w:jc w:val="center"/>
        </w:trPr>
        <w:tc>
          <w:tcPr>
            <w:tcW w:w="1122" w:type="dxa"/>
            <w:tcBorders>
              <w:top w:val="nil"/>
              <w:left w:val="single" w:sz="4" w:space="0" w:color="auto"/>
              <w:bottom w:val="single" w:sz="4" w:space="0" w:color="auto"/>
              <w:right w:val="single" w:sz="4" w:space="0" w:color="auto"/>
            </w:tcBorders>
          </w:tcPr>
          <w:p w14:paraId="2FF089F0"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39E882C5"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27ED9D74" w14:textId="77777777" w:rsidR="00567E6C" w:rsidRDefault="00567E6C" w:rsidP="00567E6C">
            <w:pPr>
              <w:pStyle w:val="TAH"/>
            </w:pPr>
          </w:p>
        </w:tc>
        <w:tc>
          <w:tcPr>
            <w:tcW w:w="3161" w:type="dxa"/>
            <w:gridSpan w:val="2"/>
            <w:tcBorders>
              <w:top w:val="single" w:sz="4" w:space="0" w:color="auto"/>
              <w:left w:val="single" w:sz="4" w:space="0" w:color="auto"/>
              <w:bottom w:val="single" w:sz="4" w:space="0" w:color="auto"/>
              <w:right w:val="single" w:sz="4" w:space="0" w:color="auto"/>
            </w:tcBorders>
            <w:hideMark/>
          </w:tcPr>
          <w:p w14:paraId="61BE3578" w14:textId="77777777" w:rsidR="00567E6C" w:rsidRDefault="00567E6C" w:rsidP="00567E6C">
            <w:pPr>
              <w:pStyle w:val="TAH"/>
            </w:pPr>
            <w:r>
              <w:t>Minimum Io</w:t>
            </w:r>
          </w:p>
        </w:tc>
        <w:tc>
          <w:tcPr>
            <w:tcW w:w="2268" w:type="dxa"/>
            <w:tcBorders>
              <w:top w:val="single" w:sz="4" w:space="0" w:color="auto"/>
              <w:left w:val="single" w:sz="4" w:space="0" w:color="auto"/>
              <w:bottom w:val="single" w:sz="4" w:space="0" w:color="auto"/>
              <w:right w:val="single" w:sz="4" w:space="0" w:color="auto"/>
            </w:tcBorders>
            <w:hideMark/>
          </w:tcPr>
          <w:p w14:paraId="59161DA0" w14:textId="77777777" w:rsidR="00567E6C" w:rsidRDefault="00567E6C" w:rsidP="00567E6C">
            <w:pPr>
              <w:pStyle w:val="TAH"/>
            </w:pPr>
            <w:r>
              <w:t>Maximum Io</w:t>
            </w:r>
          </w:p>
        </w:tc>
      </w:tr>
      <w:tr w:rsidR="00567E6C" w14:paraId="1E0D1E22" w14:textId="77777777" w:rsidTr="00567E6C">
        <w:trPr>
          <w:jc w:val="center"/>
        </w:trPr>
        <w:tc>
          <w:tcPr>
            <w:tcW w:w="1122" w:type="dxa"/>
            <w:tcBorders>
              <w:top w:val="single" w:sz="4" w:space="0" w:color="auto"/>
              <w:left w:val="single" w:sz="4" w:space="0" w:color="auto"/>
              <w:bottom w:val="nil"/>
              <w:right w:val="single" w:sz="4" w:space="0" w:color="auto"/>
            </w:tcBorders>
            <w:hideMark/>
          </w:tcPr>
          <w:p w14:paraId="58F4D287" w14:textId="77777777" w:rsidR="00567E6C" w:rsidRDefault="00567E6C" w:rsidP="00567E6C">
            <w:pPr>
              <w:pStyle w:val="TAH"/>
            </w:pPr>
            <w:r>
              <w:t>dB</w:t>
            </w:r>
          </w:p>
        </w:tc>
        <w:tc>
          <w:tcPr>
            <w:tcW w:w="1119" w:type="dxa"/>
            <w:tcBorders>
              <w:top w:val="single" w:sz="4" w:space="0" w:color="auto"/>
              <w:left w:val="single" w:sz="4" w:space="0" w:color="auto"/>
              <w:bottom w:val="nil"/>
              <w:right w:val="single" w:sz="4" w:space="0" w:color="auto"/>
            </w:tcBorders>
            <w:hideMark/>
          </w:tcPr>
          <w:p w14:paraId="433D773C" w14:textId="77777777" w:rsidR="00567E6C" w:rsidRDefault="00567E6C" w:rsidP="00567E6C">
            <w:pPr>
              <w:pStyle w:val="TAH"/>
            </w:pPr>
            <w:r>
              <w:t>dB</w:t>
            </w:r>
          </w:p>
        </w:tc>
        <w:tc>
          <w:tcPr>
            <w:tcW w:w="1119" w:type="dxa"/>
            <w:tcBorders>
              <w:top w:val="single" w:sz="4" w:space="0" w:color="auto"/>
              <w:left w:val="single" w:sz="4" w:space="0" w:color="auto"/>
              <w:bottom w:val="nil"/>
              <w:right w:val="single" w:sz="4" w:space="0" w:color="auto"/>
            </w:tcBorders>
            <w:hideMark/>
          </w:tcPr>
          <w:p w14:paraId="28140BBF" w14:textId="77777777" w:rsidR="00567E6C" w:rsidRDefault="00567E6C" w:rsidP="00567E6C">
            <w:pPr>
              <w:pStyle w:val="TAH"/>
              <w:rPr>
                <w:rFonts w:cs="Arial"/>
              </w:rPr>
            </w:pPr>
            <w:r>
              <w:t>dB</w:t>
            </w:r>
          </w:p>
        </w:tc>
        <w:tc>
          <w:tcPr>
            <w:tcW w:w="3161" w:type="dxa"/>
            <w:gridSpan w:val="2"/>
            <w:tcBorders>
              <w:top w:val="single" w:sz="4" w:space="0" w:color="auto"/>
              <w:left w:val="single" w:sz="4" w:space="0" w:color="auto"/>
              <w:bottom w:val="single" w:sz="4" w:space="0" w:color="auto"/>
              <w:right w:val="single" w:sz="4" w:space="0" w:color="auto"/>
            </w:tcBorders>
            <w:hideMark/>
          </w:tcPr>
          <w:p w14:paraId="241354C9" w14:textId="77777777" w:rsidR="00567E6C" w:rsidRDefault="00567E6C" w:rsidP="00567E6C">
            <w:pPr>
              <w:pStyle w:val="TAH"/>
            </w:pPr>
            <w:r>
              <w:rPr>
                <w:rFonts w:cs="Arial"/>
              </w:rPr>
              <w:t xml:space="preserve">dBm / </w:t>
            </w:r>
            <w:r>
              <w:t>SCS</w:t>
            </w:r>
            <w:r>
              <w:rPr>
                <w:vertAlign w:val="subscript"/>
                <w:lang w:eastAsia="zh-CN"/>
              </w:rPr>
              <w:t>CSI-RS</w:t>
            </w:r>
            <w:r>
              <w:rPr>
                <w:vertAlign w:val="superscript"/>
              </w:rPr>
              <w:t xml:space="preserve"> Note 1</w:t>
            </w:r>
          </w:p>
        </w:tc>
        <w:tc>
          <w:tcPr>
            <w:tcW w:w="2268" w:type="dxa"/>
            <w:tcBorders>
              <w:top w:val="single" w:sz="4" w:space="0" w:color="auto"/>
              <w:left w:val="single" w:sz="4" w:space="0" w:color="auto"/>
              <w:bottom w:val="nil"/>
              <w:right w:val="single" w:sz="4" w:space="0" w:color="auto"/>
            </w:tcBorders>
            <w:hideMark/>
          </w:tcPr>
          <w:p w14:paraId="14A877EB" w14:textId="77777777" w:rsidR="00567E6C" w:rsidRDefault="00567E6C" w:rsidP="00567E6C">
            <w:pPr>
              <w:pStyle w:val="TAH"/>
            </w:pPr>
            <w:r>
              <w:t>dBm/BW</w:t>
            </w:r>
            <w:r>
              <w:rPr>
                <w:vertAlign w:val="subscript"/>
              </w:rPr>
              <w:t>Channel</w:t>
            </w:r>
          </w:p>
        </w:tc>
      </w:tr>
      <w:tr w:rsidR="00567E6C" w14:paraId="67255ADD" w14:textId="77777777" w:rsidTr="00567E6C">
        <w:trPr>
          <w:jc w:val="center"/>
        </w:trPr>
        <w:tc>
          <w:tcPr>
            <w:tcW w:w="1122" w:type="dxa"/>
            <w:tcBorders>
              <w:top w:val="nil"/>
              <w:left w:val="single" w:sz="4" w:space="0" w:color="auto"/>
              <w:bottom w:val="single" w:sz="4" w:space="0" w:color="auto"/>
              <w:right w:val="single" w:sz="4" w:space="0" w:color="auto"/>
            </w:tcBorders>
          </w:tcPr>
          <w:p w14:paraId="7849B4D2"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3EAADE84"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3C273C1B" w14:textId="77777777" w:rsidR="00567E6C" w:rsidRDefault="00567E6C" w:rsidP="00567E6C">
            <w:pPr>
              <w:pStyle w:val="TAH"/>
            </w:pPr>
          </w:p>
        </w:tc>
        <w:tc>
          <w:tcPr>
            <w:tcW w:w="1580" w:type="dxa"/>
            <w:tcBorders>
              <w:top w:val="single" w:sz="4" w:space="0" w:color="auto"/>
              <w:left w:val="single" w:sz="4" w:space="0" w:color="auto"/>
              <w:bottom w:val="single" w:sz="4" w:space="0" w:color="auto"/>
              <w:right w:val="single" w:sz="4" w:space="0" w:color="auto"/>
            </w:tcBorders>
            <w:hideMark/>
          </w:tcPr>
          <w:p w14:paraId="48399C98" w14:textId="77777777" w:rsidR="00567E6C" w:rsidRDefault="00567E6C" w:rsidP="00567E6C">
            <w:pPr>
              <w:pStyle w:val="TAH"/>
            </w:pPr>
            <w:r>
              <w:t>SCS</w:t>
            </w:r>
            <w:r>
              <w:rPr>
                <w:vertAlign w:val="subscript"/>
                <w:lang w:eastAsia="zh-CN"/>
              </w:rPr>
              <w:t>CSI-RS</w:t>
            </w:r>
            <w:r>
              <w:rPr>
                <w:rFonts w:cs="Arial"/>
              </w:rPr>
              <w:t xml:space="preserve"> = 60kHz</w:t>
            </w:r>
          </w:p>
        </w:tc>
        <w:tc>
          <w:tcPr>
            <w:tcW w:w="1581" w:type="dxa"/>
            <w:tcBorders>
              <w:top w:val="single" w:sz="4" w:space="0" w:color="auto"/>
              <w:left w:val="single" w:sz="4" w:space="0" w:color="auto"/>
              <w:bottom w:val="single" w:sz="4" w:space="0" w:color="auto"/>
              <w:right w:val="single" w:sz="4" w:space="0" w:color="auto"/>
            </w:tcBorders>
            <w:hideMark/>
          </w:tcPr>
          <w:p w14:paraId="65394351" w14:textId="77777777" w:rsidR="00567E6C" w:rsidRDefault="00567E6C" w:rsidP="00567E6C">
            <w:pPr>
              <w:pStyle w:val="TAH"/>
            </w:pPr>
            <w:r>
              <w:t>SCS</w:t>
            </w:r>
            <w:r>
              <w:rPr>
                <w:vertAlign w:val="subscript"/>
                <w:lang w:eastAsia="zh-CN"/>
              </w:rPr>
              <w:t>CSI-RS</w:t>
            </w:r>
            <w:r>
              <w:rPr>
                <w:rFonts w:cs="Arial"/>
              </w:rPr>
              <w:t xml:space="preserve"> = 120kHz</w:t>
            </w:r>
          </w:p>
        </w:tc>
        <w:tc>
          <w:tcPr>
            <w:tcW w:w="2268" w:type="dxa"/>
            <w:tcBorders>
              <w:top w:val="nil"/>
              <w:left w:val="single" w:sz="4" w:space="0" w:color="auto"/>
              <w:bottom w:val="single" w:sz="4" w:space="0" w:color="auto"/>
              <w:right w:val="single" w:sz="4" w:space="0" w:color="auto"/>
            </w:tcBorders>
          </w:tcPr>
          <w:p w14:paraId="60D85AEF" w14:textId="77777777" w:rsidR="00567E6C" w:rsidRDefault="00567E6C" w:rsidP="00567E6C">
            <w:pPr>
              <w:pStyle w:val="TAH"/>
            </w:pPr>
          </w:p>
        </w:tc>
      </w:tr>
      <w:tr w:rsidR="00567E6C" w14:paraId="2C233124" w14:textId="77777777" w:rsidTr="00567E6C">
        <w:trPr>
          <w:trHeight w:val="465"/>
          <w:jc w:val="center"/>
        </w:trPr>
        <w:tc>
          <w:tcPr>
            <w:tcW w:w="1122" w:type="dxa"/>
            <w:tcBorders>
              <w:top w:val="single" w:sz="4" w:space="0" w:color="auto"/>
              <w:left w:val="single" w:sz="4" w:space="0" w:color="auto"/>
              <w:bottom w:val="single" w:sz="4" w:space="0" w:color="auto"/>
              <w:right w:val="single" w:sz="4" w:space="0" w:color="auto"/>
            </w:tcBorders>
            <w:hideMark/>
          </w:tcPr>
          <w:p w14:paraId="1F1BBA89" w14:textId="77777777" w:rsidR="00567E6C" w:rsidRDefault="00567E6C" w:rsidP="00567E6C">
            <w:pPr>
              <w:pStyle w:val="TAC"/>
            </w:pPr>
            <w:r w:rsidRPr="00714130">
              <w:rPr>
                <w:lang w:eastAsia="zh-CN"/>
              </w:rPr>
              <w:sym w:font="Symbol" w:char="F0B1"/>
            </w:r>
            <w:r>
              <w:rPr>
                <w:lang w:eastAsia="zh-CN"/>
              </w:rPr>
              <w:t>3</w:t>
            </w:r>
          </w:p>
        </w:tc>
        <w:tc>
          <w:tcPr>
            <w:tcW w:w="1119" w:type="dxa"/>
            <w:tcBorders>
              <w:top w:val="single" w:sz="4" w:space="0" w:color="auto"/>
              <w:left w:val="single" w:sz="4" w:space="0" w:color="auto"/>
              <w:bottom w:val="single" w:sz="4" w:space="0" w:color="auto"/>
              <w:right w:val="single" w:sz="4" w:space="0" w:color="auto"/>
            </w:tcBorders>
            <w:hideMark/>
          </w:tcPr>
          <w:p w14:paraId="05CFE2FA" w14:textId="77777777" w:rsidR="00567E6C" w:rsidRDefault="00567E6C" w:rsidP="00567E6C">
            <w:pPr>
              <w:pStyle w:val="TAC"/>
            </w:pPr>
            <w:r w:rsidRPr="00714130">
              <w:rPr>
                <w:lang w:eastAsia="zh-CN"/>
              </w:rPr>
              <w:sym w:font="Symbol" w:char="F0B1"/>
            </w:r>
            <w:r>
              <w:rPr>
                <w:lang w:eastAsia="zh-CN"/>
              </w:rPr>
              <w:t>4</w:t>
            </w:r>
          </w:p>
        </w:tc>
        <w:tc>
          <w:tcPr>
            <w:tcW w:w="1119" w:type="dxa"/>
            <w:tcBorders>
              <w:top w:val="single" w:sz="4" w:space="0" w:color="auto"/>
              <w:left w:val="single" w:sz="4" w:space="0" w:color="auto"/>
              <w:bottom w:val="single" w:sz="4" w:space="0" w:color="auto"/>
              <w:right w:val="single" w:sz="4" w:space="0" w:color="auto"/>
            </w:tcBorders>
            <w:hideMark/>
          </w:tcPr>
          <w:p w14:paraId="1343560F" w14:textId="77777777" w:rsidR="00567E6C" w:rsidRDefault="00567E6C" w:rsidP="00567E6C">
            <w:pPr>
              <w:pStyle w:val="TAC"/>
            </w:pPr>
            <w:r>
              <w:rPr>
                <w:rFonts w:eastAsia="Yu Mincho" w:cs="Arial"/>
                <w:lang w:eastAsia="ja-JP"/>
              </w:rPr>
              <w:t>≥</w:t>
            </w:r>
            <w:r>
              <w:t>-3</w:t>
            </w:r>
          </w:p>
        </w:tc>
        <w:tc>
          <w:tcPr>
            <w:tcW w:w="3161" w:type="dxa"/>
            <w:gridSpan w:val="2"/>
            <w:vMerge w:val="restart"/>
            <w:tcBorders>
              <w:top w:val="single" w:sz="4" w:space="0" w:color="auto"/>
              <w:left w:val="single" w:sz="4" w:space="0" w:color="auto"/>
              <w:right w:val="single" w:sz="4" w:space="0" w:color="auto"/>
            </w:tcBorders>
            <w:hideMark/>
          </w:tcPr>
          <w:p w14:paraId="19492AA2" w14:textId="77777777" w:rsidR="00567E6C" w:rsidRDefault="00567E6C" w:rsidP="00567E6C">
            <w:pPr>
              <w:pStyle w:val="TAL"/>
              <w:jc w:val="center"/>
              <w:rPr>
                <w:rFonts w:eastAsia="Yu Mincho"/>
                <w:lang w:eastAsia="ja-JP"/>
              </w:rPr>
            </w:pPr>
            <w:r>
              <w:t xml:space="preserve">Same value as </w:t>
            </w:r>
            <w:r>
              <w:rPr>
                <w:lang w:eastAsia="zh-CN"/>
              </w:rPr>
              <w:t>CSI</w:t>
            </w:r>
            <w:r>
              <w:t>_RP in Table B.2.</w:t>
            </w:r>
            <w:r>
              <w:rPr>
                <w:rFonts w:hint="eastAsia"/>
                <w:lang w:eastAsia="zh-CN"/>
              </w:rPr>
              <w:t>8</w:t>
            </w:r>
            <w:r>
              <w:t>-2, according to UE Power class, operating band and angle of arrival</w:t>
            </w:r>
          </w:p>
        </w:tc>
        <w:tc>
          <w:tcPr>
            <w:tcW w:w="2268" w:type="dxa"/>
            <w:vMerge w:val="restart"/>
            <w:tcBorders>
              <w:top w:val="single" w:sz="4" w:space="0" w:color="auto"/>
              <w:left w:val="single" w:sz="4" w:space="0" w:color="auto"/>
              <w:right w:val="single" w:sz="4" w:space="0" w:color="auto"/>
            </w:tcBorders>
            <w:hideMark/>
          </w:tcPr>
          <w:p w14:paraId="26F550A2" w14:textId="77777777" w:rsidR="00567E6C" w:rsidRDefault="00567E6C" w:rsidP="00567E6C">
            <w:pPr>
              <w:pStyle w:val="TAC"/>
            </w:pPr>
            <w:r>
              <w:t>-50</w:t>
            </w:r>
          </w:p>
        </w:tc>
      </w:tr>
      <w:tr w:rsidR="00567E6C" w14:paraId="4D441A75" w14:textId="77777777" w:rsidTr="00567E6C">
        <w:trPr>
          <w:trHeight w:val="465"/>
          <w:jc w:val="center"/>
        </w:trPr>
        <w:tc>
          <w:tcPr>
            <w:tcW w:w="1122" w:type="dxa"/>
            <w:tcBorders>
              <w:top w:val="single" w:sz="4" w:space="0" w:color="auto"/>
              <w:left w:val="single" w:sz="4" w:space="0" w:color="auto"/>
              <w:bottom w:val="single" w:sz="4" w:space="0" w:color="auto"/>
              <w:right w:val="single" w:sz="4" w:space="0" w:color="auto"/>
            </w:tcBorders>
            <w:hideMark/>
          </w:tcPr>
          <w:p w14:paraId="5D210732" w14:textId="77777777" w:rsidR="00567E6C" w:rsidRDefault="00567E6C" w:rsidP="00567E6C">
            <w:pPr>
              <w:pStyle w:val="TAC"/>
            </w:pPr>
            <w:r w:rsidRPr="00714130">
              <w:rPr>
                <w:lang w:eastAsia="zh-CN"/>
              </w:rPr>
              <w:sym w:font="Symbol" w:char="F0B1"/>
            </w:r>
            <w:r>
              <w:rPr>
                <w:lang w:eastAsia="zh-CN"/>
              </w:rPr>
              <w:t>3.5</w:t>
            </w:r>
          </w:p>
        </w:tc>
        <w:tc>
          <w:tcPr>
            <w:tcW w:w="1119" w:type="dxa"/>
            <w:tcBorders>
              <w:top w:val="single" w:sz="4" w:space="0" w:color="auto"/>
              <w:left w:val="single" w:sz="4" w:space="0" w:color="auto"/>
              <w:bottom w:val="single" w:sz="4" w:space="0" w:color="auto"/>
              <w:right w:val="single" w:sz="4" w:space="0" w:color="auto"/>
            </w:tcBorders>
            <w:hideMark/>
          </w:tcPr>
          <w:p w14:paraId="571DF030" w14:textId="77777777" w:rsidR="00567E6C" w:rsidRDefault="00567E6C" w:rsidP="00567E6C">
            <w:pPr>
              <w:pStyle w:val="TAC"/>
            </w:pPr>
            <w:r w:rsidRPr="00714130">
              <w:rPr>
                <w:lang w:eastAsia="zh-CN"/>
              </w:rPr>
              <w:sym w:font="Symbol" w:char="F0B1"/>
            </w:r>
            <w:r>
              <w:rPr>
                <w:lang w:eastAsia="zh-CN"/>
              </w:rPr>
              <w:t>4</w:t>
            </w:r>
          </w:p>
        </w:tc>
        <w:tc>
          <w:tcPr>
            <w:tcW w:w="1119" w:type="dxa"/>
            <w:tcBorders>
              <w:top w:val="single" w:sz="4" w:space="0" w:color="auto"/>
              <w:left w:val="single" w:sz="4" w:space="0" w:color="auto"/>
              <w:bottom w:val="single" w:sz="4" w:space="0" w:color="auto"/>
              <w:right w:val="single" w:sz="4" w:space="0" w:color="auto"/>
            </w:tcBorders>
            <w:hideMark/>
          </w:tcPr>
          <w:p w14:paraId="32945846" w14:textId="77777777" w:rsidR="00567E6C" w:rsidRDefault="00567E6C" w:rsidP="00567E6C">
            <w:pPr>
              <w:pStyle w:val="TAC"/>
            </w:pPr>
            <w:r>
              <w:rPr>
                <w:rFonts w:eastAsia="Yu Mincho" w:cs="Arial"/>
                <w:lang w:eastAsia="ja-JP"/>
              </w:rPr>
              <w:t>≥-6</w:t>
            </w:r>
          </w:p>
        </w:tc>
        <w:tc>
          <w:tcPr>
            <w:tcW w:w="3161" w:type="dxa"/>
            <w:gridSpan w:val="2"/>
            <w:vMerge/>
            <w:tcBorders>
              <w:left w:val="single" w:sz="4" w:space="0" w:color="auto"/>
              <w:bottom w:val="single" w:sz="4" w:space="0" w:color="auto"/>
              <w:right w:val="single" w:sz="4" w:space="0" w:color="auto"/>
            </w:tcBorders>
          </w:tcPr>
          <w:p w14:paraId="000B526C" w14:textId="77777777" w:rsidR="00567E6C" w:rsidRDefault="00567E6C" w:rsidP="00567E6C">
            <w:pPr>
              <w:keepNext/>
              <w:keepLines/>
              <w:spacing w:after="0"/>
              <w:jc w:val="center"/>
              <w:rPr>
                <w:rFonts w:ascii="Arial" w:hAnsi="Arial"/>
                <w:sz w:val="18"/>
              </w:rPr>
            </w:pPr>
          </w:p>
        </w:tc>
        <w:tc>
          <w:tcPr>
            <w:tcW w:w="2268" w:type="dxa"/>
            <w:vMerge/>
            <w:tcBorders>
              <w:left w:val="single" w:sz="4" w:space="0" w:color="auto"/>
              <w:bottom w:val="single" w:sz="4" w:space="0" w:color="auto"/>
              <w:right w:val="single" w:sz="4" w:space="0" w:color="auto"/>
            </w:tcBorders>
          </w:tcPr>
          <w:p w14:paraId="4D65964E" w14:textId="77777777" w:rsidR="00567E6C" w:rsidRDefault="00567E6C" w:rsidP="00567E6C">
            <w:pPr>
              <w:keepNext/>
              <w:keepLines/>
              <w:spacing w:after="0"/>
              <w:jc w:val="center"/>
              <w:rPr>
                <w:rFonts w:ascii="Arial" w:hAnsi="Arial"/>
                <w:sz w:val="18"/>
              </w:rPr>
            </w:pPr>
          </w:p>
        </w:tc>
      </w:tr>
      <w:tr w:rsidR="00567E6C" w14:paraId="0EBF74FF" w14:textId="77777777" w:rsidTr="00567E6C">
        <w:trPr>
          <w:jc w:val="center"/>
        </w:trPr>
        <w:tc>
          <w:tcPr>
            <w:tcW w:w="8789" w:type="dxa"/>
            <w:gridSpan w:val="6"/>
            <w:tcBorders>
              <w:top w:val="single" w:sz="4" w:space="0" w:color="auto"/>
              <w:left w:val="single" w:sz="4" w:space="0" w:color="auto"/>
              <w:bottom w:val="single" w:sz="4" w:space="0" w:color="auto"/>
              <w:right w:val="single" w:sz="4" w:space="0" w:color="auto"/>
            </w:tcBorders>
            <w:vAlign w:val="center"/>
            <w:hideMark/>
          </w:tcPr>
          <w:p w14:paraId="48B7E61A" w14:textId="77777777" w:rsidR="00567E6C" w:rsidRDefault="00567E6C" w:rsidP="00567E6C">
            <w:pPr>
              <w:pStyle w:val="TAN"/>
            </w:pPr>
            <w:r>
              <w:t>Note 1:</w:t>
            </w:r>
            <w:r>
              <w:tab/>
              <w:t>Values based on Refsens and EIS spherical coverage as defined in clauses 7.3.2 and 7.3.4 of TS 38.101-2 [19]. Applicable side condition selected depending on angle of arrival.</w:t>
            </w:r>
          </w:p>
          <w:p w14:paraId="520346FD" w14:textId="77777777" w:rsidR="00567E6C" w:rsidRDefault="00567E6C" w:rsidP="00567E6C">
            <w:pPr>
              <w:pStyle w:val="TAN"/>
            </w:pPr>
            <w:r>
              <w:t>Note 2:</w:t>
            </w:r>
            <w:r>
              <w:tab/>
            </w:r>
            <w:r>
              <w:rPr>
                <w:rFonts w:eastAsia="MS Mincho"/>
              </w:rPr>
              <w:t>Io specified at the Reference point, and assumed to have constant EPRE across the bandwidth</w:t>
            </w:r>
            <w:r>
              <w:t>.</w:t>
            </w:r>
          </w:p>
          <w:p w14:paraId="62C7460E" w14:textId="77777777" w:rsidR="00567E6C" w:rsidRDefault="00567E6C" w:rsidP="00567E6C">
            <w:pPr>
              <w:pStyle w:val="TAN"/>
            </w:pPr>
            <w:r>
              <w:t>Note 3:</w:t>
            </w:r>
            <w:r>
              <w:tab/>
              <w:t>In the test cases, the CSI-RS Ês/Iot and related parameters may need to be adjusted to ensure Ês/Iot at UE baseband is above the value defined in this table.</w:t>
            </w:r>
          </w:p>
          <w:p w14:paraId="11D76161" w14:textId="77777777" w:rsidR="00567E6C" w:rsidRDefault="00567E6C" w:rsidP="00567E6C">
            <w:pPr>
              <w:pStyle w:val="TAN"/>
            </w:pPr>
            <w:r>
              <w:rPr>
                <w:rFonts w:cs="Arial"/>
              </w:rPr>
              <w:t>Note 4:</w:t>
            </w:r>
            <w:r>
              <w:rPr>
                <w:rFonts w:cs="Arial"/>
              </w:rPr>
              <w:tab/>
              <w:t xml:space="preserve">The requirements apply for CSI-RS Ês/Iot </w:t>
            </w:r>
            <w:r>
              <w:rPr>
                <w:rFonts w:cs="Arial" w:hint="eastAsia"/>
                <w:lang w:val="en-US"/>
              </w:rPr>
              <w:t>≤</w:t>
            </w:r>
            <w:r>
              <w:rPr>
                <w:rFonts w:cs="Arial"/>
              </w:rPr>
              <w:t xml:space="preserve">XdB. X=15 if </w:t>
            </w:r>
            <w:r>
              <w:t>timing offset</w:t>
            </w:r>
            <w:r w:rsidRPr="009C5807">
              <w:t xml:space="preserve"> between </w:t>
            </w:r>
            <w:r w:rsidRPr="00AC34AD">
              <w:t>the reference measurement timing and the target CSI-RS</w:t>
            </w:r>
            <w:r>
              <w:t xml:space="preserve"> is </w:t>
            </w:r>
            <w:r>
              <w:rPr>
                <w:rFonts w:cs="Arial" w:hint="eastAsia"/>
                <w:lang w:val="en-US" w:eastAsia="zh-CN"/>
              </w:rPr>
              <w:t>n</w:t>
            </w:r>
            <w:r>
              <w:rPr>
                <w:rFonts w:cs="Arial"/>
                <w:lang w:val="en-US" w:eastAsia="zh-CN"/>
              </w:rPr>
              <w:t>o larger than</w:t>
            </w:r>
            <w:r>
              <w:rPr>
                <w:rFonts w:cs="Arial" w:hint="eastAsia"/>
                <w:lang w:val="en-US" w:eastAsia="zh-CN"/>
              </w:rPr>
              <w:t xml:space="preserve"> </w:t>
            </w:r>
            <w:r>
              <w:rPr>
                <w:rFonts w:cs="Arial"/>
                <w:lang w:val="en-US" w:eastAsia="zh-CN"/>
              </w:rPr>
              <w:t xml:space="preserve">0.5*CP, and </w:t>
            </w:r>
            <w:r>
              <w:rPr>
                <w:rFonts w:cs="Arial"/>
              </w:rPr>
              <w:t xml:space="preserve">X=4 if </w:t>
            </w:r>
            <w:r>
              <w:t>timing offset</w:t>
            </w:r>
            <w:r w:rsidRPr="009C5807">
              <w:t xml:space="preserve"> between </w:t>
            </w:r>
            <w:r w:rsidRPr="00AC34AD">
              <w:t>the reference measurement timing and the target CSI-RS</w:t>
            </w:r>
            <w:r>
              <w:t xml:space="preserve"> is larger than 0.5*CP but no larger than CP</w:t>
            </w:r>
            <w:r>
              <w:rPr>
                <w:rFonts w:cs="Arial"/>
                <w:lang w:val="en-US" w:eastAsia="zh-CN"/>
              </w:rPr>
              <w:t>.</w:t>
            </w:r>
          </w:p>
        </w:tc>
      </w:tr>
    </w:tbl>
    <w:p w14:paraId="4D6A4DDA" w14:textId="77777777" w:rsidR="00567E6C" w:rsidRPr="009C5807" w:rsidRDefault="00567E6C" w:rsidP="00567E6C">
      <w:pPr>
        <w:rPr>
          <w:rFonts w:cs="v4.2.0"/>
          <w:i/>
        </w:rPr>
      </w:pPr>
    </w:p>
    <w:p w14:paraId="5D89751A" w14:textId="08C9C0AD" w:rsidR="001F5A79" w:rsidRPr="009C5807" w:rsidRDefault="001F5A79" w:rsidP="00967CF8">
      <w:pPr>
        <w:pStyle w:val="Heading3"/>
        <w:rPr>
          <w:lang w:val="en-US" w:eastAsia="ko-KR"/>
        </w:rPr>
      </w:pPr>
      <w:r w:rsidRPr="009C5807">
        <w:rPr>
          <w:lang w:val="en-US" w:eastAsia="ko-KR"/>
        </w:rPr>
        <w:t>1</w:t>
      </w:r>
      <w:r w:rsidR="00967CF8" w:rsidRPr="009C5807">
        <w:rPr>
          <w:lang w:val="en-US" w:eastAsia="ko-KR"/>
        </w:rPr>
        <w:t>0.1.1</w:t>
      </w:r>
      <w:r w:rsidRPr="009C5807">
        <w:rPr>
          <w:lang w:val="en-US" w:eastAsia="ko-KR"/>
        </w:rPr>
        <w:t>4</w:t>
      </w:r>
      <w:r w:rsidRPr="009C5807">
        <w:rPr>
          <w:lang w:val="en-US" w:eastAsia="ko-KR"/>
        </w:rPr>
        <w:tab/>
        <w:t xml:space="preserve">Inter-frequency SINR accuracy requirements </w:t>
      </w:r>
      <w:r w:rsidRPr="009C5807">
        <w:rPr>
          <w:lang w:val="en-US" w:eastAsia="zh-CN"/>
        </w:rPr>
        <w:t>for</w:t>
      </w:r>
      <w:r w:rsidRPr="009C5807">
        <w:rPr>
          <w:lang w:val="en-US" w:eastAsia="ko-KR"/>
        </w:rPr>
        <w:t xml:space="preserve"> FR1</w:t>
      </w:r>
    </w:p>
    <w:p w14:paraId="7D5E4680" w14:textId="77777777" w:rsidR="001F5A79" w:rsidRPr="009C5807" w:rsidRDefault="001F5A79" w:rsidP="009D3C60">
      <w:pPr>
        <w:pStyle w:val="Heading4"/>
        <w:rPr>
          <w:lang w:val="en-US" w:eastAsia="zh-CN"/>
        </w:rPr>
      </w:pPr>
      <w:r w:rsidRPr="009C5807">
        <w:rPr>
          <w:lang w:val="en-US" w:eastAsia="zh-CN"/>
        </w:rPr>
        <w:t>10.1.14.1</w:t>
      </w:r>
      <w:r w:rsidRPr="009C5807">
        <w:rPr>
          <w:lang w:val="en-US" w:eastAsia="zh-CN"/>
        </w:rPr>
        <w:tab/>
      </w:r>
      <w:r w:rsidRPr="009C5807">
        <w:rPr>
          <w:lang w:val="en-US" w:eastAsia="ko-KR"/>
        </w:rPr>
        <w:t>Inter-frequency SS-SINR accuracy requirements</w:t>
      </w:r>
      <w:r w:rsidRPr="009C5807">
        <w:rPr>
          <w:lang w:val="en-US" w:eastAsia="zh-CN"/>
        </w:rPr>
        <w:t xml:space="preserve"> in FR1</w:t>
      </w:r>
    </w:p>
    <w:p w14:paraId="24C39776" w14:textId="77777777" w:rsidR="001F5A79" w:rsidRPr="009C5807" w:rsidRDefault="001F5A79" w:rsidP="009D3C60">
      <w:pPr>
        <w:pStyle w:val="Heading5"/>
        <w:rPr>
          <w:lang w:val="en-US" w:eastAsia="zh-CN"/>
        </w:rPr>
      </w:pPr>
      <w:r w:rsidRPr="009C5807">
        <w:rPr>
          <w:lang w:val="en-US" w:eastAsia="zh-CN"/>
        </w:rPr>
        <w:t>10.1.14.1.1</w:t>
      </w:r>
      <w:r w:rsidRPr="009C5807">
        <w:rPr>
          <w:lang w:val="en-US" w:eastAsia="zh-CN"/>
        </w:rPr>
        <w:tab/>
      </w:r>
      <w:r w:rsidRPr="009C5807">
        <w:rPr>
          <w:lang w:eastAsia="zh-CN"/>
        </w:rPr>
        <w:t>Aboslute</w:t>
      </w:r>
      <w:r w:rsidRPr="009C5807">
        <w:t xml:space="preserve"> Accuracy of </w:t>
      </w:r>
      <w:r w:rsidRPr="009C5807">
        <w:rPr>
          <w:lang w:eastAsia="zh-CN"/>
        </w:rPr>
        <w:t>SS-SINR</w:t>
      </w:r>
      <w:r w:rsidRPr="009C5807">
        <w:rPr>
          <w:lang w:val="en-US" w:eastAsia="zh-CN"/>
        </w:rPr>
        <w:t xml:space="preserve"> in FR1</w:t>
      </w:r>
    </w:p>
    <w:p w14:paraId="7E964030" w14:textId="77777777" w:rsidR="001F5A79" w:rsidRPr="009C5807" w:rsidRDefault="001F5A79" w:rsidP="001F5A79">
      <w:pPr>
        <w:rPr>
          <w:rFonts w:cs="v4.2.0"/>
          <w:i/>
        </w:rPr>
      </w:pPr>
      <w:r w:rsidRPr="009C5807">
        <w:rPr>
          <w:rFonts w:cs="v4.2.0"/>
        </w:rPr>
        <w:t>The requirements for absolute accuracy of</w:t>
      </w:r>
      <w:r w:rsidRPr="009C5807">
        <w:rPr>
          <w:rFonts w:cs="v4.2.0"/>
          <w:lang w:eastAsia="zh-CN"/>
        </w:rPr>
        <w:t xml:space="preserve"> SS-SINR</w:t>
      </w:r>
      <w:r w:rsidRPr="009C5807">
        <w:rPr>
          <w:rFonts w:cs="v4.2.0"/>
        </w:rPr>
        <w:t xml:space="preserve"> in this clause apply to a cell on a frequency in FR1 that has different carrier frequency from the serving cell.</w:t>
      </w:r>
    </w:p>
    <w:p w14:paraId="652965B9"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10.1.14.1.1</w:t>
      </w:r>
      <w:r w:rsidRPr="009C5807">
        <w:rPr>
          <w:rFonts w:cs="v4.2.0"/>
        </w:rPr>
        <w:t>-1 are valid under the following conditions:</w:t>
      </w:r>
    </w:p>
    <w:p w14:paraId="003066D1" w14:textId="77777777" w:rsidR="001F5A79" w:rsidRPr="009C5807" w:rsidRDefault="001F5A79" w:rsidP="0093237A">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5BE51606" w14:textId="77777777" w:rsidR="001F5A79" w:rsidRPr="009C5807" w:rsidRDefault="001F5A79" w:rsidP="0093237A">
      <w:pPr>
        <w:pStyle w:val="B10"/>
      </w:pPr>
      <w:r w:rsidRPr="009C5807">
        <w:t>-</w:t>
      </w:r>
      <w:r w:rsidRPr="009C5807">
        <w:rPr>
          <w:rFonts w:ascii="Arial" w:hAnsi="Arial"/>
          <w:sz w:val="28"/>
          <w:lang w:val="en-US"/>
        </w:rPr>
        <w:tab/>
      </w:r>
      <w:r w:rsidRPr="009C5807">
        <w:t>Conditions for inter-frequency measurements are fulfilled according to Annex B.2.3 for a corresponding Band.</w:t>
      </w:r>
    </w:p>
    <w:p w14:paraId="7E8AC390" w14:textId="77777777" w:rsidR="001F5A79" w:rsidRPr="009C5807" w:rsidRDefault="001F5A79" w:rsidP="0093237A">
      <w:pPr>
        <w:pStyle w:val="TH"/>
        <w:rPr>
          <w:lang w:eastAsia="zh-CN"/>
        </w:rPr>
      </w:pPr>
      <w:r w:rsidRPr="009C5807">
        <w:t xml:space="preserve">Table </w:t>
      </w:r>
      <w:r w:rsidRPr="009C5807">
        <w:rPr>
          <w:lang w:eastAsia="zh-CN"/>
        </w:rPr>
        <w:t>10.1.14.1.1</w:t>
      </w:r>
      <w:r w:rsidRPr="009C5807">
        <w:t xml:space="preserve">-1: </w:t>
      </w:r>
      <w:r w:rsidRPr="009C5807">
        <w:rPr>
          <w:lang w:eastAsia="zh-CN"/>
        </w:rPr>
        <w:t>SS-SINR</w:t>
      </w:r>
      <w:r w:rsidRPr="009C5807">
        <w:t xml:space="preserve"> Inter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1F5A79" w:rsidRPr="009C5807" w14:paraId="365473B6" w14:textId="77777777" w:rsidTr="00A22C44">
        <w:trPr>
          <w:trHeight w:val="187"/>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2C7D5C4E" w14:textId="77777777" w:rsidR="001F5A79" w:rsidRPr="009C5807" w:rsidRDefault="001F5A79" w:rsidP="00CF56CF">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604AF2E0" w14:textId="77777777" w:rsidR="001F5A79" w:rsidRPr="009C5807" w:rsidRDefault="001F5A79" w:rsidP="00CF56CF">
            <w:pPr>
              <w:pStyle w:val="TAH"/>
            </w:pPr>
            <w:r w:rsidRPr="009C5807">
              <w:t>Conditions</w:t>
            </w:r>
          </w:p>
        </w:tc>
      </w:tr>
      <w:tr w:rsidR="00CF56CF" w:rsidRPr="009C5807" w14:paraId="14F99BD9" w14:textId="77777777" w:rsidTr="00A22C44">
        <w:trPr>
          <w:trHeight w:val="187"/>
          <w:jc w:val="center"/>
        </w:trPr>
        <w:tc>
          <w:tcPr>
            <w:tcW w:w="1035" w:type="dxa"/>
            <w:tcBorders>
              <w:top w:val="single" w:sz="4" w:space="0" w:color="auto"/>
              <w:left w:val="single" w:sz="4" w:space="0" w:color="auto"/>
              <w:right w:val="single" w:sz="4" w:space="0" w:color="auto"/>
            </w:tcBorders>
            <w:shd w:val="clear" w:color="auto" w:fill="auto"/>
          </w:tcPr>
          <w:p w14:paraId="60E7DC04" w14:textId="77777777" w:rsidR="00CF56CF" w:rsidRPr="009C5807" w:rsidRDefault="00CF56CF" w:rsidP="00CF56CF">
            <w:pPr>
              <w:pStyle w:val="TAH"/>
            </w:pPr>
            <w:r w:rsidRPr="009C5807">
              <w:t>Normal condition</w:t>
            </w:r>
          </w:p>
        </w:tc>
        <w:tc>
          <w:tcPr>
            <w:tcW w:w="1047" w:type="dxa"/>
            <w:tcBorders>
              <w:top w:val="single" w:sz="4" w:space="0" w:color="auto"/>
              <w:left w:val="single" w:sz="4" w:space="0" w:color="auto"/>
              <w:right w:val="single" w:sz="4" w:space="0" w:color="auto"/>
            </w:tcBorders>
            <w:shd w:val="clear" w:color="auto" w:fill="auto"/>
          </w:tcPr>
          <w:p w14:paraId="39F0698F" w14:textId="77777777" w:rsidR="00CF56CF" w:rsidRPr="009C5807" w:rsidRDefault="00CF56CF" w:rsidP="00CF56CF">
            <w:pPr>
              <w:pStyle w:val="TAH"/>
            </w:pPr>
            <w:r w:rsidRPr="009C5807">
              <w:t>Extreme condition</w:t>
            </w:r>
          </w:p>
        </w:tc>
        <w:tc>
          <w:tcPr>
            <w:tcW w:w="802" w:type="dxa"/>
            <w:vMerge w:val="restart"/>
            <w:tcBorders>
              <w:top w:val="single" w:sz="6" w:space="0" w:color="auto"/>
              <w:left w:val="single" w:sz="4" w:space="0" w:color="auto"/>
              <w:bottom w:val="single" w:sz="6" w:space="0" w:color="auto"/>
              <w:right w:val="single" w:sz="6" w:space="0" w:color="auto"/>
            </w:tcBorders>
            <w:shd w:val="clear" w:color="auto" w:fill="auto"/>
          </w:tcPr>
          <w:p w14:paraId="570E6033" w14:textId="77777777" w:rsidR="00CF56CF" w:rsidRPr="009C5807" w:rsidRDefault="00CF56CF" w:rsidP="00CF56CF">
            <w:pPr>
              <w:pStyle w:val="TAH"/>
            </w:pPr>
            <w:r w:rsidRPr="009C5807">
              <w:t>SSB Ês/Iot</w:t>
            </w:r>
            <w:r w:rsidRPr="009C5807">
              <w:rPr>
                <w:vertAlign w:val="superscript"/>
                <w:lang w:eastAsia="zh-CN"/>
              </w:rPr>
              <w:t xml:space="preserve"> Note 3</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tcPr>
          <w:p w14:paraId="5D8D68C8" w14:textId="77777777" w:rsidR="00CF56CF" w:rsidRPr="009C5807" w:rsidRDefault="00CF56CF" w:rsidP="00CF56CF">
            <w:pPr>
              <w:pStyle w:val="TAH"/>
            </w:pPr>
            <w:r w:rsidRPr="009C5807">
              <w:t>Io</w:t>
            </w:r>
            <w:r w:rsidRPr="009C5807">
              <w:rPr>
                <w:vertAlign w:val="superscript"/>
                <w:lang w:eastAsia="zh-CN"/>
              </w:rPr>
              <w:t xml:space="preserve"> Note 1</w:t>
            </w:r>
            <w:r w:rsidRPr="009C5807">
              <w:t xml:space="preserve"> range</w:t>
            </w:r>
          </w:p>
        </w:tc>
      </w:tr>
      <w:tr w:rsidR="00CF56CF" w:rsidRPr="009C5807" w14:paraId="76B13383" w14:textId="77777777" w:rsidTr="00A22C44">
        <w:trPr>
          <w:trHeight w:val="187"/>
          <w:jc w:val="center"/>
        </w:trPr>
        <w:tc>
          <w:tcPr>
            <w:tcW w:w="1035" w:type="dxa"/>
            <w:tcBorders>
              <w:left w:val="single" w:sz="4" w:space="0" w:color="auto"/>
              <w:bottom w:val="single" w:sz="4" w:space="0" w:color="auto"/>
              <w:right w:val="single" w:sz="4" w:space="0" w:color="auto"/>
            </w:tcBorders>
            <w:shd w:val="clear" w:color="auto" w:fill="auto"/>
          </w:tcPr>
          <w:p w14:paraId="46DC897B" w14:textId="77777777" w:rsidR="00CF56CF" w:rsidRPr="009C5807" w:rsidRDefault="00CF56CF" w:rsidP="00CF56CF">
            <w:pPr>
              <w:pStyle w:val="TAH"/>
            </w:pPr>
          </w:p>
        </w:tc>
        <w:tc>
          <w:tcPr>
            <w:tcW w:w="1047" w:type="dxa"/>
            <w:tcBorders>
              <w:left w:val="single" w:sz="4" w:space="0" w:color="auto"/>
              <w:bottom w:val="single" w:sz="4" w:space="0" w:color="auto"/>
              <w:right w:val="single" w:sz="4" w:space="0" w:color="auto"/>
            </w:tcBorders>
            <w:shd w:val="clear" w:color="auto" w:fill="auto"/>
          </w:tcPr>
          <w:p w14:paraId="15930FA0" w14:textId="77777777" w:rsidR="00CF56CF" w:rsidRPr="009C5807" w:rsidRDefault="00CF56CF" w:rsidP="00CF56CF">
            <w:pPr>
              <w:pStyle w:val="TAH"/>
            </w:pPr>
          </w:p>
        </w:tc>
        <w:tc>
          <w:tcPr>
            <w:tcW w:w="802" w:type="dxa"/>
            <w:vMerge/>
            <w:tcBorders>
              <w:top w:val="single" w:sz="6" w:space="0" w:color="auto"/>
              <w:left w:val="single" w:sz="4" w:space="0" w:color="auto"/>
              <w:bottom w:val="single" w:sz="6" w:space="0" w:color="auto"/>
              <w:right w:val="single" w:sz="6" w:space="0" w:color="auto"/>
            </w:tcBorders>
            <w:shd w:val="clear" w:color="auto" w:fill="auto"/>
          </w:tcPr>
          <w:p w14:paraId="45CB1BBB" w14:textId="77777777" w:rsidR="00CF56CF" w:rsidRPr="009C5807" w:rsidRDefault="00CF56CF" w:rsidP="00CF56CF">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BF3AE07" w14:textId="77777777" w:rsidR="00CF56CF" w:rsidRPr="009C5807" w:rsidRDefault="00CF56CF" w:rsidP="00CF56CF">
            <w:pPr>
              <w:pStyle w:val="TAH"/>
            </w:pPr>
            <w:r w:rsidRPr="009C5807">
              <w:t>NR operating band groups</w:t>
            </w:r>
            <w:r w:rsidRPr="009C5807">
              <w:rPr>
                <w:vertAlign w:val="superscript"/>
              </w:rPr>
              <w:t xml:space="preserve"> </w:t>
            </w:r>
            <w:r w:rsidRPr="009C5807">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tcPr>
          <w:p w14:paraId="6E67F4E4" w14:textId="77777777" w:rsidR="00CF56CF" w:rsidRPr="009C5807" w:rsidRDefault="00CF56CF" w:rsidP="00CF56CF">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252AD16E" w14:textId="77777777" w:rsidR="00CF56CF" w:rsidRPr="009C5807" w:rsidRDefault="00CF56CF" w:rsidP="00CF56CF">
            <w:pPr>
              <w:pStyle w:val="TAH"/>
            </w:pPr>
            <w:r w:rsidRPr="009C5807">
              <w:t>Maximum Io</w:t>
            </w:r>
          </w:p>
        </w:tc>
      </w:tr>
      <w:tr w:rsidR="001F5A79" w:rsidRPr="009C5807" w14:paraId="3C4A20E7" w14:textId="77777777" w:rsidTr="00A22C44">
        <w:trPr>
          <w:trHeight w:val="187"/>
          <w:jc w:val="center"/>
        </w:trPr>
        <w:tc>
          <w:tcPr>
            <w:tcW w:w="1035" w:type="dxa"/>
            <w:tcBorders>
              <w:top w:val="single" w:sz="4" w:space="0" w:color="auto"/>
              <w:left w:val="single" w:sz="4" w:space="0" w:color="auto"/>
              <w:right w:val="single" w:sz="6" w:space="0" w:color="auto"/>
            </w:tcBorders>
            <w:shd w:val="clear" w:color="auto" w:fill="auto"/>
          </w:tcPr>
          <w:p w14:paraId="07121E88" w14:textId="77777777" w:rsidR="001F5A79" w:rsidRPr="009C5807" w:rsidRDefault="001F5A79" w:rsidP="00CF56CF">
            <w:pPr>
              <w:pStyle w:val="TAH"/>
            </w:pPr>
            <w:r w:rsidRPr="009C5807">
              <w:t>dB</w:t>
            </w:r>
          </w:p>
        </w:tc>
        <w:tc>
          <w:tcPr>
            <w:tcW w:w="1047" w:type="dxa"/>
            <w:tcBorders>
              <w:top w:val="single" w:sz="4" w:space="0" w:color="auto"/>
              <w:left w:val="single" w:sz="6" w:space="0" w:color="auto"/>
              <w:right w:val="single" w:sz="6" w:space="0" w:color="auto"/>
            </w:tcBorders>
            <w:shd w:val="clear" w:color="auto" w:fill="auto"/>
          </w:tcPr>
          <w:p w14:paraId="5D29F749" w14:textId="77777777" w:rsidR="001F5A79" w:rsidRPr="009C5807" w:rsidRDefault="001F5A79" w:rsidP="00CF56CF">
            <w:pPr>
              <w:pStyle w:val="TAH"/>
            </w:pPr>
            <w:r w:rsidRPr="009C5807">
              <w:t>dB</w:t>
            </w:r>
          </w:p>
        </w:tc>
        <w:tc>
          <w:tcPr>
            <w:tcW w:w="802" w:type="dxa"/>
            <w:tcBorders>
              <w:top w:val="single" w:sz="6" w:space="0" w:color="auto"/>
              <w:left w:val="single" w:sz="6" w:space="0" w:color="auto"/>
              <w:right w:val="single" w:sz="6" w:space="0" w:color="auto"/>
            </w:tcBorders>
            <w:shd w:val="clear" w:color="auto" w:fill="auto"/>
          </w:tcPr>
          <w:p w14:paraId="2E0087FC" w14:textId="77777777" w:rsidR="001F5A79" w:rsidRPr="009C5807" w:rsidRDefault="001F5A79" w:rsidP="00CF56CF">
            <w:pPr>
              <w:pStyle w:val="TAH"/>
            </w:pPr>
            <w:r w:rsidRPr="009C5807">
              <w:t>dB</w:t>
            </w:r>
          </w:p>
        </w:tc>
        <w:tc>
          <w:tcPr>
            <w:tcW w:w="2298" w:type="dxa"/>
            <w:tcBorders>
              <w:top w:val="single" w:sz="6" w:space="0" w:color="auto"/>
              <w:left w:val="single" w:sz="6" w:space="0" w:color="auto"/>
              <w:right w:val="single" w:sz="4" w:space="0" w:color="auto"/>
            </w:tcBorders>
            <w:shd w:val="clear" w:color="auto" w:fill="auto"/>
          </w:tcPr>
          <w:p w14:paraId="656D8791" w14:textId="77777777" w:rsidR="001F5A79" w:rsidRPr="009C5807" w:rsidRDefault="001F5A79" w:rsidP="00CF56CF">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35F6A848" w14:textId="77777777" w:rsidR="001F5A79" w:rsidRPr="009C5807" w:rsidRDefault="001F5A79" w:rsidP="00CF56CF">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52A2AD7E" w14:textId="77777777" w:rsidR="001F5A79" w:rsidRPr="009C5807" w:rsidRDefault="001F5A79" w:rsidP="00CF56CF">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45E6A4B9" w14:textId="77777777" w:rsidR="001F5A79" w:rsidRPr="009C5807" w:rsidRDefault="001F5A79" w:rsidP="00CF56CF">
            <w:pPr>
              <w:pStyle w:val="TAH"/>
            </w:pPr>
            <w:r w:rsidRPr="009C5807">
              <w:t>dBm/BW</w:t>
            </w:r>
            <w:r w:rsidRPr="009C5807">
              <w:rPr>
                <w:vertAlign w:val="subscript"/>
              </w:rPr>
              <w:t>Channel</w:t>
            </w:r>
          </w:p>
        </w:tc>
      </w:tr>
      <w:tr w:rsidR="001F5A79" w:rsidRPr="009C5807" w14:paraId="66A785BC" w14:textId="77777777" w:rsidTr="00A22C44">
        <w:trPr>
          <w:trHeight w:val="187"/>
          <w:jc w:val="center"/>
        </w:trPr>
        <w:tc>
          <w:tcPr>
            <w:tcW w:w="1035" w:type="dxa"/>
            <w:tcBorders>
              <w:left w:val="single" w:sz="4" w:space="0" w:color="auto"/>
              <w:bottom w:val="single" w:sz="6" w:space="0" w:color="auto"/>
              <w:right w:val="single" w:sz="6" w:space="0" w:color="auto"/>
            </w:tcBorders>
            <w:shd w:val="clear" w:color="auto" w:fill="auto"/>
          </w:tcPr>
          <w:p w14:paraId="02DD13A4" w14:textId="77777777" w:rsidR="001F5A79" w:rsidRPr="009C5807" w:rsidRDefault="001F5A79" w:rsidP="00CF56CF">
            <w:pPr>
              <w:pStyle w:val="TAH"/>
            </w:pPr>
          </w:p>
        </w:tc>
        <w:tc>
          <w:tcPr>
            <w:tcW w:w="1047" w:type="dxa"/>
            <w:tcBorders>
              <w:left w:val="single" w:sz="6" w:space="0" w:color="auto"/>
              <w:bottom w:val="single" w:sz="6" w:space="0" w:color="auto"/>
              <w:right w:val="single" w:sz="6" w:space="0" w:color="auto"/>
            </w:tcBorders>
            <w:shd w:val="clear" w:color="auto" w:fill="auto"/>
          </w:tcPr>
          <w:p w14:paraId="76472642" w14:textId="77777777" w:rsidR="001F5A79" w:rsidRPr="009C5807" w:rsidRDefault="001F5A79" w:rsidP="00CF56CF">
            <w:pPr>
              <w:pStyle w:val="TAH"/>
            </w:pPr>
          </w:p>
        </w:tc>
        <w:tc>
          <w:tcPr>
            <w:tcW w:w="802" w:type="dxa"/>
            <w:tcBorders>
              <w:left w:val="single" w:sz="6" w:space="0" w:color="auto"/>
              <w:bottom w:val="single" w:sz="6" w:space="0" w:color="auto"/>
              <w:right w:val="single" w:sz="6" w:space="0" w:color="auto"/>
            </w:tcBorders>
            <w:shd w:val="clear" w:color="auto" w:fill="auto"/>
          </w:tcPr>
          <w:p w14:paraId="2293AE36" w14:textId="77777777" w:rsidR="001F5A79" w:rsidRPr="009C5807" w:rsidRDefault="001F5A79" w:rsidP="00CF56CF">
            <w:pPr>
              <w:pStyle w:val="TAH"/>
            </w:pPr>
          </w:p>
        </w:tc>
        <w:tc>
          <w:tcPr>
            <w:tcW w:w="2298" w:type="dxa"/>
            <w:tcBorders>
              <w:left w:val="single" w:sz="6" w:space="0" w:color="auto"/>
              <w:bottom w:val="single" w:sz="6" w:space="0" w:color="auto"/>
              <w:right w:val="single" w:sz="4" w:space="0" w:color="auto"/>
            </w:tcBorders>
            <w:shd w:val="clear" w:color="auto" w:fill="auto"/>
          </w:tcPr>
          <w:p w14:paraId="168F1E51" w14:textId="77777777" w:rsidR="001F5A79" w:rsidRPr="009C5807" w:rsidRDefault="001F5A79" w:rsidP="00CF56CF">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B8AD4F5" w14:textId="77777777" w:rsidR="001F5A79" w:rsidRPr="009C5807" w:rsidRDefault="001F5A79" w:rsidP="00CF56CF">
            <w:pPr>
              <w:pStyle w:val="TAH"/>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8187213" w14:textId="77777777" w:rsidR="001F5A79" w:rsidRPr="009C5807" w:rsidRDefault="001F5A79" w:rsidP="00CF56CF">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0CDD3027" w14:textId="77777777" w:rsidR="001F5A79" w:rsidRPr="009C5807" w:rsidRDefault="001F5A79" w:rsidP="00CF56CF">
            <w:pPr>
              <w:pStyle w:val="TAH"/>
            </w:pPr>
          </w:p>
        </w:tc>
        <w:tc>
          <w:tcPr>
            <w:tcW w:w="1440" w:type="dxa"/>
            <w:tcBorders>
              <w:left w:val="single" w:sz="6" w:space="0" w:color="auto"/>
              <w:bottom w:val="single" w:sz="6" w:space="0" w:color="auto"/>
              <w:right w:val="single" w:sz="4" w:space="0" w:color="auto"/>
            </w:tcBorders>
            <w:shd w:val="clear" w:color="auto" w:fill="auto"/>
          </w:tcPr>
          <w:p w14:paraId="1C8CF534" w14:textId="77777777" w:rsidR="001F5A79" w:rsidRPr="009C5807" w:rsidRDefault="001F5A79" w:rsidP="00CF56CF">
            <w:pPr>
              <w:pStyle w:val="TAH"/>
            </w:pPr>
          </w:p>
        </w:tc>
      </w:tr>
      <w:tr w:rsidR="0058457E" w:rsidRPr="009C5807" w14:paraId="51BA2748" w14:textId="77777777" w:rsidTr="00A22C44">
        <w:trPr>
          <w:trHeight w:val="187"/>
          <w:jc w:val="center"/>
        </w:trPr>
        <w:tc>
          <w:tcPr>
            <w:tcW w:w="1035" w:type="dxa"/>
            <w:tcBorders>
              <w:top w:val="single" w:sz="6" w:space="0" w:color="auto"/>
              <w:left w:val="single" w:sz="4" w:space="0" w:color="auto"/>
              <w:right w:val="single" w:sz="6" w:space="0" w:color="auto"/>
            </w:tcBorders>
            <w:shd w:val="clear" w:color="auto" w:fill="auto"/>
          </w:tcPr>
          <w:p w14:paraId="43C25FD4" w14:textId="1F9F4DF5" w:rsidR="0058457E" w:rsidRPr="009C5807" w:rsidRDefault="0058457E" w:rsidP="00CF56CF">
            <w:pPr>
              <w:pStyle w:val="TAC"/>
            </w:pPr>
          </w:p>
        </w:tc>
        <w:tc>
          <w:tcPr>
            <w:tcW w:w="1047" w:type="dxa"/>
            <w:tcBorders>
              <w:top w:val="single" w:sz="6" w:space="0" w:color="auto"/>
              <w:left w:val="single" w:sz="6" w:space="0" w:color="auto"/>
              <w:right w:val="single" w:sz="6" w:space="0" w:color="auto"/>
            </w:tcBorders>
            <w:shd w:val="clear" w:color="auto" w:fill="auto"/>
          </w:tcPr>
          <w:p w14:paraId="12E31C63" w14:textId="1E00CC03" w:rsidR="0058457E" w:rsidRPr="009C5807" w:rsidRDefault="0058457E" w:rsidP="00CF56CF">
            <w:pPr>
              <w:pStyle w:val="TAC"/>
            </w:pPr>
          </w:p>
        </w:tc>
        <w:tc>
          <w:tcPr>
            <w:tcW w:w="802" w:type="dxa"/>
            <w:tcBorders>
              <w:top w:val="single" w:sz="6" w:space="0" w:color="auto"/>
              <w:left w:val="single" w:sz="6" w:space="0" w:color="auto"/>
              <w:right w:val="single" w:sz="6" w:space="0" w:color="auto"/>
            </w:tcBorders>
            <w:shd w:val="clear" w:color="auto" w:fill="auto"/>
          </w:tcPr>
          <w:p w14:paraId="2DC4C9AC" w14:textId="6AE994DD" w:rsidR="0058457E" w:rsidRPr="009C5807" w:rsidRDefault="0058457E" w:rsidP="00CF56CF">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1799ECD" w14:textId="77777777" w:rsidR="0058457E" w:rsidRPr="009C5807" w:rsidRDefault="0058457E" w:rsidP="00CF56CF">
            <w:pPr>
              <w:pStyle w:val="TAC"/>
            </w:pPr>
            <w:r w:rsidRPr="009C5807">
              <w:t>NR_FDD_FR1_A, NR_TDD_FR1_A,</w:t>
            </w:r>
          </w:p>
          <w:p w14:paraId="61CE1E13" w14:textId="77777777" w:rsidR="0058457E" w:rsidRPr="009C5807" w:rsidRDefault="0058457E" w:rsidP="00CF56CF">
            <w:pPr>
              <w:pStyle w:val="TAC"/>
            </w:pPr>
            <w:r w:rsidRPr="009C5807">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B64A5A1" w14:textId="77777777" w:rsidR="0058457E" w:rsidRPr="009C5807" w:rsidRDefault="0058457E" w:rsidP="00CF56CF">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F32EC74" w14:textId="77777777" w:rsidR="0058457E" w:rsidRPr="009C5807" w:rsidRDefault="0058457E" w:rsidP="00CF56CF">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FA5E53E"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A588A31" w14:textId="77777777" w:rsidR="0058457E" w:rsidRPr="009C5807" w:rsidRDefault="0058457E" w:rsidP="00CF56CF">
            <w:pPr>
              <w:pStyle w:val="TAC"/>
            </w:pPr>
            <w:r w:rsidRPr="009C5807">
              <w:t>-50</w:t>
            </w:r>
          </w:p>
        </w:tc>
      </w:tr>
      <w:tr w:rsidR="0058457E" w:rsidRPr="009C5807" w14:paraId="1D9A7278" w14:textId="77777777" w:rsidTr="00A22C44">
        <w:trPr>
          <w:trHeight w:val="187"/>
          <w:jc w:val="center"/>
        </w:trPr>
        <w:tc>
          <w:tcPr>
            <w:tcW w:w="1035" w:type="dxa"/>
            <w:tcBorders>
              <w:left w:val="single" w:sz="4" w:space="0" w:color="auto"/>
              <w:right w:val="single" w:sz="6" w:space="0" w:color="auto"/>
            </w:tcBorders>
            <w:shd w:val="clear" w:color="auto" w:fill="auto"/>
          </w:tcPr>
          <w:p w14:paraId="6D81D8CF"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29676D5E" w14:textId="77777777" w:rsidR="0058457E" w:rsidRPr="009C5807" w:rsidRDefault="0058457E" w:rsidP="00CF56CF">
            <w:pPr>
              <w:pStyle w:val="TAC"/>
            </w:pPr>
          </w:p>
        </w:tc>
        <w:tc>
          <w:tcPr>
            <w:tcW w:w="802" w:type="dxa"/>
            <w:tcBorders>
              <w:left w:val="single" w:sz="6" w:space="0" w:color="auto"/>
              <w:right w:val="single" w:sz="6" w:space="0" w:color="auto"/>
            </w:tcBorders>
            <w:shd w:val="clear" w:color="auto" w:fill="auto"/>
          </w:tcPr>
          <w:p w14:paraId="7FDB85D6" w14:textId="77777777" w:rsidR="0058457E" w:rsidRPr="009C5807" w:rsidRDefault="0058457E" w:rsidP="00CF56CF">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3AA6904" w14:textId="77777777" w:rsidR="0058457E" w:rsidRPr="009C5807" w:rsidRDefault="0058457E" w:rsidP="00CF56CF">
            <w:pPr>
              <w:pStyle w:val="TAC"/>
            </w:pPr>
            <w:r w:rsidRPr="009C5807">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B8B851C" w14:textId="77777777" w:rsidR="0058457E" w:rsidRPr="009C5807" w:rsidRDefault="0058457E" w:rsidP="00CF56CF">
            <w:pPr>
              <w:pStyle w:val="TAC"/>
            </w:pPr>
            <w:r w:rsidRPr="009C5807">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27E6807" w14:textId="77777777" w:rsidR="0058457E" w:rsidRPr="009C5807" w:rsidRDefault="0058457E" w:rsidP="00CF56CF">
            <w:pPr>
              <w:pStyle w:val="TAC"/>
              <w:rPr>
                <w:rFonts w:cs="Arial"/>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6699AC1" w14:textId="77777777" w:rsidR="0058457E" w:rsidRPr="009C5807" w:rsidRDefault="0058457E" w:rsidP="00CF56CF">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C629928" w14:textId="77777777" w:rsidR="0058457E" w:rsidRPr="009C5807" w:rsidRDefault="0058457E" w:rsidP="00CF56CF">
            <w:pPr>
              <w:pStyle w:val="TAC"/>
            </w:pPr>
            <w:r w:rsidRPr="009C5807">
              <w:t>-50</w:t>
            </w:r>
          </w:p>
        </w:tc>
      </w:tr>
      <w:tr w:rsidR="0058457E" w:rsidRPr="009C5807" w14:paraId="56D6AA64" w14:textId="77777777" w:rsidTr="00A22C44">
        <w:trPr>
          <w:trHeight w:val="187"/>
          <w:jc w:val="center"/>
        </w:trPr>
        <w:tc>
          <w:tcPr>
            <w:tcW w:w="1035" w:type="dxa"/>
            <w:tcBorders>
              <w:left w:val="single" w:sz="4" w:space="0" w:color="auto"/>
              <w:right w:val="single" w:sz="6" w:space="0" w:color="auto"/>
            </w:tcBorders>
            <w:shd w:val="clear" w:color="auto" w:fill="auto"/>
          </w:tcPr>
          <w:p w14:paraId="49261E77"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566B8FE6" w14:textId="77777777" w:rsidR="0058457E" w:rsidRPr="009C5807" w:rsidRDefault="0058457E" w:rsidP="00CF56CF">
            <w:pPr>
              <w:pStyle w:val="TAC"/>
            </w:pPr>
          </w:p>
        </w:tc>
        <w:tc>
          <w:tcPr>
            <w:tcW w:w="802" w:type="dxa"/>
            <w:tcBorders>
              <w:left w:val="single" w:sz="6" w:space="0" w:color="auto"/>
              <w:right w:val="single" w:sz="6" w:space="0" w:color="auto"/>
            </w:tcBorders>
            <w:shd w:val="clear" w:color="auto" w:fill="auto"/>
          </w:tcPr>
          <w:p w14:paraId="777C4E22" w14:textId="77777777" w:rsidR="0058457E" w:rsidRPr="009C5807" w:rsidRDefault="0058457E" w:rsidP="00CF56CF">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6CE578C" w14:textId="77777777" w:rsidR="0058457E" w:rsidRPr="009C5807" w:rsidRDefault="0058457E" w:rsidP="00CF56CF">
            <w:pPr>
              <w:pStyle w:val="TAC"/>
            </w:pPr>
            <w:r w:rsidRPr="009C5807">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50196F5" w14:textId="77777777" w:rsidR="0058457E" w:rsidRPr="009C5807" w:rsidRDefault="0058457E" w:rsidP="00CF56CF">
            <w:pPr>
              <w:pStyle w:val="TAC"/>
            </w:pPr>
            <w:r w:rsidRPr="009C5807">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09093403" w14:textId="77777777" w:rsidR="0058457E" w:rsidRPr="009C5807" w:rsidRDefault="0058457E" w:rsidP="00CF56CF">
            <w:pPr>
              <w:pStyle w:val="TAC"/>
              <w:rPr>
                <w:rFonts w:cs="Arial"/>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11D05FF"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17BD63D" w14:textId="77777777" w:rsidR="0058457E" w:rsidRPr="009C5807" w:rsidRDefault="0058457E" w:rsidP="00CF56CF">
            <w:pPr>
              <w:pStyle w:val="TAC"/>
            </w:pPr>
            <w:r w:rsidRPr="009C5807">
              <w:t>-50</w:t>
            </w:r>
          </w:p>
        </w:tc>
      </w:tr>
      <w:tr w:rsidR="00195AA3" w:rsidRPr="009C5807" w14:paraId="3DD36CF4" w14:textId="77777777" w:rsidTr="00A22C44">
        <w:trPr>
          <w:trHeight w:val="187"/>
          <w:jc w:val="center"/>
        </w:trPr>
        <w:tc>
          <w:tcPr>
            <w:tcW w:w="1035" w:type="dxa"/>
            <w:tcBorders>
              <w:left w:val="single" w:sz="4" w:space="0" w:color="auto"/>
              <w:right w:val="single" w:sz="6" w:space="0" w:color="auto"/>
            </w:tcBorders>
            <w:shd w:val="clear" w:color="auto" w:fill="auto"/>
          </w:tcPr>
          <w:p w14:paraId="04539C11" w14:textId="11818B36" w:rsidR="00195AA3" w:rsidRPr="009C5807" w:rsidRDefault="00195AA3" w:rsidP="00CF56CF">
            <w:pPr>
              <w:pStyle w:val="TAC"/>
            </w:pPr>
            <w:r w:rsidRPr="009C5807">
              <w:sym w:font="Symbol" w:char="F0B1"/>
            </w:r>
            <w:r w:rsidRPr="009C5807">
              <w:t>3.0</w:t>
            </w:r>
          </w:p>
        </w:tc>
        <w:tc>
          <w:tcPr>
            <w:tcW w:w="1047" w:type="dxa"/>
            <w:tcBorders>
              <w:left w:val="single" w:sz="6" w:space="0" w:color="auto"/>
              <w:right w:val="single" w:sz="6" w:space="0" w:color="auto"/>
            </w:tcBorders>
            <w:shd w:val="clear" w:color="auto" w:fill="auto"/>
          </w:tcPr>
          <w:p w14:paraId="1696F492" w14:textId="31C6606C" w:rsidR="00195AA3" w:rsidRPr="009C5807" w:rsidRDefault="00195AA3" w:rsidP="00CF56CF">
            <w:pPr>
              <w:pStyle w:val="TAC"/>
            </w:pPr>
            <w:r w:rsidRPr="009C5807">
              <w:sym w:font="Symbol" w:char="F0B1"/>
            </w:r>
            <w:r w:rsidRPr="009C5807">
              <w:t>4</w:t>
            </w:r>
          </w:p>
        </w:tc>
        <w:tc>
          <w:tcPr>
            <w:tcW w:w="802" w:type="dxa"/>
            <w:tcBorders>
              <w:left w:val="single" w:sz="6" w:space="0" w:color="auto"/>
              <w:right w:val="single" w:sz="6" w:space="0" w:color="auto"/>
            </w:tcBorders>
            <w:shd w:val="clear" w:color="auto" w:fill="auto"/>
          </w:tcPr>
          <w:p w14:paraId="383147F3" w14:textId="226DE5DB" w:rsidR="00195AA3" w:rsidRPr="009C5807" w:rsidRDefault="00195AA3" w:rsidP="00CF56CF">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5A216FC" w14:textId="77777777" w:rsidR="00195AA3" w:rsidRPr="009C5807" w:rsidRDefault="00195AA3" w:rsidP="00CF56CF">
            <w:pPr>
              <w:pStyle w:val="TAC"/>
              <w:rPr>
                <w:lang w:val="sv-SE"/>
              </w:rPr>
            </w:pPr>
            <w:r w:rsidRPr="009C5807">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65895FE" w14:textId="77777777" w:rsidR="00195AA3" w:rsidRPr="009C5807" w:rsidRDefault="00195AA3" w:rsidP="00CF56CF">
            <w:pPr>
              <w:pStyle w:val="TAC"/>
            </w:pPr>
            <w:r w:rsidRPr="009C5807">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F7EFFF3" w14:textId="77777777" w:rsidR="00195AA3" w:rsidRPr="009C5807" w:rsidRDefault="00195AA3" w:rsidP="00CF56CF">
            <w:pPr>
              <w:pStyle w:val="TAC"/>
              <w:rPr>
                <w:rFonts w:cs="Arial"/>
              </w:rPr>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62DDC7A" w14:textId="77777777" w:rsidR="00195AA3" w:rsidRPr="009C5807" w:rsidRDefault="00195AA3"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8700DEF" w14:textId="77777777" w:rsidR="00195AA3" w:rsidRPr="009C5807" w:rsidRDefault="00195AA3" w:rsidP="00CF56CF">
            <w:pPr>
              <w:pStyle w:val="TAC"/>
            </w:pPr>
            <w:r w:rsidRPr="009C5807">
              <w:t>-50</w:t>
            </w:r>
          </w:p>
        </w:tc>
      </w:tr>
      <w:tr w:rsidR="0058457E" w:rsidRPr="009C5807" w14:paraId="1CDCB9CB" w14:textId="77777777" w:rsidTr="00A22C44">
        <w:trPr>
          <w:trHeight w:val="187"/>
          <w:jc w:val="center"/>
        </w:trPr>
        <w:tc>
          <w:tcPr>
            <w:tcW w:w="1035" w:type="dxa"/>
            <w:tcBorders>
              <w:left w:val="single" w:sz="4" w:space="0" w:color="auto"/>
              <w:right w:val="single" w:sz="6" w:space="0" w:color="auto"/>
            </w:tcBorders>
            <w:shd w:val="clear" w:color="auto" w:fill="auto"/>
          </w:tcPr>
          <w:p w14:paraId="7307B264"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095399CC" w14:textId="77777777" w:rsidR="0058457E" w:rsidRPr="009C5807" w:rsidRDefault="0058457E" w:rsidP="00CF56CF">
            <w:pPr>
              <w:pStyle w:val="TAC"/>
            </w:pPr>
          </w:p>
        </w:tc>
        <w:tc>
          <w:tcPr>
            <w:tcW w:w="802" w:type="dxa"/>
            <w:tcBorders>
              <w:left w:val="single" w:sz="6" w:space="0" w:color="auto"/>
              <w:right w:val="single" w:sz="6" w:space="0" w:color="auto"/>
            </w:tcBorders>
            <w:shd w:val="clear" w:color="auto" w:fill="auto"/>
          </w:tcPr>
          <w:p w14:paraId="673FD723" w14:textId="77777777" w:rsidR="0058457E" w:rsidRPr="009C5807" w:rsidRDefault="0058457E" w:rsidP="00CF56CF">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72D441E" w14:textId="77777777" w:rsidR="0058457E" w:rsidRPr="009C5807" w:rsidDel="00836998" w:rsidRDefault="0058457E" w:rsidP="00CF56CF">
            <w:pPr>
              <w:pStyle w:val="TAC"/>
              <w:rPr>
                <w:lang w:val="sv-SE"/>
              </w:rPr>
            </w:pPr>
            <w:r w:rsidRPr="009C5807">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E9AE3AD" w14:textId="77777777" w:rsidR="0058457E" w:rsidRPr="009C5807" w:rsidRDefault="0058457E" w:rsidP="00CF56CF">
            <w:pPr>
              <w:pStyle w:val="TAC"/>
            </w:pPr>
            <w:r w:rsidRPr="009C5807">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571D4734" w14:textId="77777777" w:rsidR="0058457E" w:rsidRPr="009C5807" w:rsidRDefault="0058457E" w:rsidP="00CF56CF">
            <w:pPr>
              <w:pStyle w:val="TAC"/>
              <w:rPr>
                <w:rFonts w:cs="Arial"/>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9416A30"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D93742C" w14:textId="77777777" w:rsidR="0058457E" w:rsidRPr="009C5807" w:rsidRDefault="0058457E" w:rsidP="00CF56CF">
            <w:pPr>
              <w:pStyle w:val="TAC"/>
            </w:pPr>
            <w:r w:rsidRPr="009C5807">
              <w:t>-50</w:t>
            </w:r>
          </w:p>
        </w:tc>
      </w:tr>
      <w:tr w:rsidR="00D94CA6" w:rsidRPr="009C5807" w14:paraId="7E023BAC" w14:textId="77777777" w:rsidTr="00A22C44">
        <w:trPr>
          <w:trHeight w:val="187"/>
          <w:jc w:val="center"/>
        </w:trPr>
        <w:tc>
          <w:tcPr>
            <w:tcW w:w="1035" w:type="dxa"/>
            <w:tcBorders>
              <w:left w:val="single" w:sz="4" w:space="0" w:color="auto"/>
              <w:right w:val="single" w:sz="6" w:space="0" w:color="auto"/>
            </w:tcBorders>
            <w:shd w:val="clear" w:color="auto" w:fill="auto"/>
          </w:tcPr>
          <w:p w14:paraId="13CB97C9" w14:textId="77777777" w:rsidR="00D94CA6" w:rsidRPr="009C5807" w:rsidRDefault="00D94CA6" w:rsidP="00CF56CF">
            <w:pPr>
              <w:pStyle w:val="TAC"/>
            </w:pPr>
          </w:p>
        </w:tc>
        <w:tc>
          <w:tcPr>
            <w:tcW w:w="1047" w:type="dxa"/>
            <w:tcBorders>
              <w:left w:val="single" w:sz="6" w:space="0" w:color="auto"/>
              <w:right w:val="single" w:sz="6" w:space="0" w:color="auto"/>
            </w:tcBorders>
            <w:shd w:val="clear" w:color="auto" w:fill="auto"/>
          </w:tcPr>
          <w:p w14:paraId="048ABE35" w14:textId="77777777" w:rsidR="00D94CA6" w:rsidRPr="009C5807" w:rsidRDefault="00D94CA6" w:rsidP="00CF56CF">
            <w:pPr>
              <w:pStyle w:val="TAC"/>
            </w:pPr>
          </w:p>
        </w:tc>
        <w:tc>
          <w:tcPr>
            <w:tcW w:w="802" w:type="dxa"/>
            <w:tcBorders>
              <w:left w:val="single" w:sz="6" w:space="0" w:color="auto"/>
              <w:right w:val="single" w:sz="6" w:space="0" w:color="auto"/>
            </w:tcBorders>
            <w:shd w:val="clear" w:color="auto" w:fill="auto"/>
          </w:tcPr>
          <w:p w14:paraId="59AFB5F8" w14:textId="77777777" w:rsidR="00D94CA6" w:rsidRPr="009C5807" w:rsidRDefault="00D94CA6" w:rsidP="00CF56CF">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4E4C635" w14:textId="2D507760" w:rsidR="00D94CA6" w:rsidRPr="009C5807" w:rsidRDefault="00D94CA6" w:rsidP="00CF56CF">
            <w:pPr>
              <w:pStyle w:val="TAC"/>
              <w:rPr>
                <w:lang w:val="sv-SE"/>
              </w:rPr>
            </w:pPr>
            <w:r w:rsidRPr="009C5807">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794B44D" w14:textId="03006C07" w:rsidR="00D94CA6" w:rsidRPr="009C5807" w:rsidRDefault="00D94CA6" w:rsidP="00CF56CF">
            <w:pPr>
              <w:pStyle w:val="TAC"/>
            </w:pPr>
            <w:r w:rsidRPr="009C5807">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ED5A7AB" w14:textId="423D0D54" w:rsidR="00D94CA6" w:rsidRPr="009C5807" w:rsidRDefault="00D94CA6" w:rsidP="00CF56CF">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58E1FB8" w14:textId="3B351F9E" w:rsidR="00D94CA6" w:rsidRPr="009C5807" w:rsidRDefault="00D94CA6"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8638C17" w14:textId="000AC18D" w:rsidR="00D94CA6" w:rsidRPr="009C5807" w:rsidRDefault="00D94CA6" w:rsidP="00CF56CF">
            <w:pPr>
              <w:pStyle w:val="TAC"/>
            </w:pPr>
            <w:r w:rsidRPr="009C5807">
              <w:t>-50</w:t>
            </w:r>
          </w:p>
        </w:tc>
      </w:tr>
      <w:tr w:rsidR="0058457E" w:rsidRPr="009C5807" w14:paraId="5C960EB2" w14:textId="77777777" w:rsidTr="00A22C44">
        <w:trPr>
          <w:trHeight w:val="187"/>
          <w:jc w:val="center"/>
        </w:trPr>
        <w:tc>
          <w:tcPr>
            <w:tcW w:w="1035" w:type="dxa"/>
            <w:tcBorders>
              <w:left w:val="single" w:sz="4" w:space="0" w:color="auto"/>
              <w:right w:val="single" w:sz="6" w:space="0" w:color="auto"/>
            </w:tcBorders>
            <w:shd w:val="clear" w:color="auto" w:fill="auto"/>
          </w:tcPr>
          <w:p w14:paraId="5AD05352"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051961EF" w14:textId="77777777" w:rsidR="0058457E" w:rsidRPr="009C5807" w:rsidRDefault="0058457E" w:rsidP="00CF56CF">
            <w:pPr>
              <w:pStyle w:val="TAC"/>
            </w:pPr>
          </w:p>
        </w:tc>
        <w:tc>
          <w:tcPr>
            <w:tcW w:w="802" w:type="dxa"/>
            <w:tcBorders>
              <w:left w:val="single" w:sz="6" w:space="0" w:color="auto"/>
              <w:right w:val="single" w:sz="6" w:space="0" w:color="auto"/>
            </w:tcBorders>
            <w:shd w:val="clear" w:color="auto" w:fill="auto"/>
          </w:tcPr>
          <w:p w14:paraId="39CECBF1" w14:textId="77777777" w:rsidR="0058457E" w:rsidRPr="009C5807" w:rsidRDefault="0058457E" w:rsidP="00CF56CF">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D72A648" w14:textId="77777777" w:rsidR="0058457E" w:rsidRPr="009C5807" w:rsidDel="00836998" w:rsidRDefault="0058457E" w:rsidP="00CF56CF">
            <w:pPr>
              <w:pStyle w:val="TAC"/>
              <w:rPr>
                <w:lang w:eastAsia="zh-CN"/>
              </w:rPr>
            </w:pPr>
            <w:r w:rsidRPr="009C5807">
              <w:rPr>
                <w:lang w:eastAsia="zh-CN"/>
              </w:rPr>
              <w:t>NR</w:t>
            </w:r>
            <w:r w:rsidRPr="009C5807">
              <w:t>_</w:t>
            </w:r>
            <w:r w:rsidRPr="009C5807">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261E7CE" w14:textId="77777777" w:rsidR="0058457E" w:rsidRPr="009C5807" w:rsidRDefault="0058457E" w:rsidP="00CF56CF">
            <w:pPr>
              <w:pStyle w:val="TAC"/>
            </w:pPr>
            <w:r w:rsidRPr="009C5807">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106A6E6" w14:textId="77777777" w:rsidR="0058457E" w:rsidRPr="009C5807" w:rsidRDefault="0058457E" w:rsidP="00CF56CF">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73D8FF6"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FC89201" w14:textId="77777777" w:rsidR="0058457E" w:rsidRPr="009C5807" w:rsidRDefault="0058457E" w:rsidP="00CF56CF">
            <w:pPr>
              <w:pStyle w:val="TAC"/>
            </w:pPr>
            <w:r w:rsidRPr="009C5807">
              <w:t>-50</w:t>
            </w:r>
          </w:p>
        </w:tc>
      </w:tr>
      <w:tr w:rsidR="0058457E" w:rsidRPr="009C5807" w14:paraId="12D0F3F7" w14:textId="77777777" w:rsidTr="00A22C44">
        <w:trPr>
          <w:trHeight w:val="187"/>
          <w:jc w:val="center"/>
        </w:trPr>
        <w:tc>
          <w:tcPr>
            <w:tcW w:w="1035" w:type="dxa"/>
            <w:tcBorders>
              <w:left w:val="single" w:sz="4" w:space="0" w:color="auto"/>
              <w:right w:val="single" w:sz="6" w:space="0" w:color="auto"/>
            </w:tcBorders>
            <w:shd w:val="clear" w:color="auto" w:fill="auto"/>
          </w:tcPr>
          <w:p w14:paraId="03BEB6CF"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4677C524" w14:textId="77777777" w:rsidR="0058457E" w:rsidRPr="009C5807" w:rsidRDefault="0058457E" w:rsidP="00CF56CF">
            <w:pPr>
              <w:pStyle w:val="TAC"/>
            </w:pPr>
          </w:p>
        </w:tc>
        <w:tc>
          <w:tcPr>
            <w:tcW w:w="802" w:type="dxa"/>
            <w:tcBorders>
              <w:left w:val="single" w:sz="6" w:space="0" w:color="auto"/>
              <w:right w:val="single" w:sz="6" w:space="0" w:color="auto"/>
            </w:tcBorders>
            <w:shd w:val="clear" w:color="auto" w:fill="auto"/>
          </w:tcPr>
          <w:p w14:paraId="7BD2DAC7" w14:textId="77777777" w:rsidR="0058457E" w:rsidRPr="009C5807" w:rsidRDefault="0058457E" w:rsidP="00CF56CF">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6320094A" w14:textId="77777777" w:rsidR="0058457E" w:rsidRPr="009C5807" w:rsidRDefault="0058457E" w:rsidP="00CF56CF">
            <w:pPr>
              <w:pStyle w:val="TAC"/>
              <w:rPr>
                <w:lang w:eastAsia="zh-CN"/>
              </w:rPr>
            </w:pPr>
            <w:r w:rsidRPr="009C5807">
              <w:rPr>
                <w:lang w:eastAsia="zh-CN"/>
              </w:rPr>
              <w:t>NR</w:t>
            </w:r>
            <w:r w:rsidRPr="009C5807">
              <w:t>_</w:t>
            </w:r>
            <w:r w:rsidRPr="009C5807">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F11459B" w14:textId="77777777" w:rsidR="0058457E" w:rsidRPr="009C5807" w:rsidRDefault="0058457E" w:rsidP="00CF56CF">
            <w:pPr>
              <w:pStyle w:val="TAC"/>
            </w:pPr>
            <w:r w:rsidRPr="009C5807">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4A83076" w14:textId="77777777" w:rsidR="0058457E" w:rsidRPr="009C5807" w:rsidRDefault="0058457E" w:rsidP="00CF56CF">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35800F3"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2293B33" w14:textId="77777777" w:rsidR="0058457E" w:rsidRPr="009C5807" w:rsidRDefault="0058457E" w:rsidP="00CF56CF">
            <w:pPr>
              <w:pStyle w:val="TAC"/>
            </w:pPr>
            <w:r w:rsidRPr="009C5807">
              <w:t>-50</w:t>
            </w:r>
          </w:p>
        </w:tc>
      </w:tr>
      <w:tr w:rsidR="0058457E" w:rsidRPr="009C5807" w14:paraId="648B65D7" w14:textId="77777777" w:rsidTr="00A22C44">
        <w:trPr>
          <w:trHeight w:val="187"/>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752BF570" w14:textId="77777777" w:rsidR="0058457E" w:rsidRPr="009C5807" w:rsidRDefault="0058457E" w:rsidP="00CF56CF">
            <w:pPr>
              <w:pStyle w:val="TAC"/>
            </w:pPr>
            <w:r w:rsidRPr="009C5807">
              <w:sym w:font="Symbol" w:char="F0B1"/>
            </w:r>
            <w:r w:rsidRPr="009C5807">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3273B80F" w14:textId="77777777" w:rsidR="0058457E" w:rsidRPr="009C5807" w:rsidRDefault="0058457E" w:rsidP="00CF56CF">
            <w:pPr>
              <w:pStyle w:val="TAC"/>
            </w:pPr>
            <w:r w:rsidRPr="009C5807">
              <w:sym w:font="Symbol" w:char="F0B1"/>
            </w:r>
            <w:r w:rsidRPr="009C5807">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1C68E05B" w14:textId="6ABB4920" w:rsidR="0058457E" w:rsidRPr="009C5807" w:rsidRDefault="0058457E" w:rsidP="00CF56CF">
            <w:pPr>
              <w:pStyle w:val="TAC"/>
            </w:pPr>
            <w:r w:rsidRPr="009C5807">
              <w:sym w:font="Symbol" w:char="F0B3"/>
            </w:r>
            <w:r w:rsidRPr="009C5807">
              <w:t>-</w:t>
            </w:r>
            <w:r w:rsidRPr="009C5807">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E73D2C7" w14:textId="77777777" w:rsidR="0058457E" w:rsidRPr="009C5807" w:rsidRDefault="0058457E" w:rsidP="00CF56CF">
            <w:pPr>
              <w:pStyle w:val="TAC"/>
            </w:pPr>
            <w:r w:rsidRPr="009C5807">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3C6A26B0" w14:textId="77777777" w:rsidR="0058457E" w:rsidRPr="009C5807" w:rsidRDefault="0058457E" w:rsidP="00CF56CF">
            <w:pPr>
              <w:pStyle w:val="TAC"/>
            </w:pPr>
            <w:r w:rsidRPr="009C5807">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4F5AF44B" w14:textId="77777777" w:rsidR="0058457E" w:rsidRPr="009C5807" w:rsidRDefault="0058457E" w:rsidP="00CF56CF">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6F5AD096" w14:textId="77777777" w:rsidR="0058457E" w:rsidRPr="009C5807" w:rsidRDefault="0058457E" w:rsidP="00CF56CF">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0A01078D" w14:textId="77777777" w:rsidR="0058457E" w:rsidRPr="009C5807" w:rsidRDefault="0058457E" w:rsidP="00CF56CF">
            <w:pPr>
              <w:pStyle w:val="TAC"/>
            </w:pPr>
            <w:r w:rsidRPr="009C5807">
              <w:t>Note 2</w:t>
            </w:r>
          </w:p>
        </w:tc>
      </w:tr>
      <w:tr w:rsidR="001F5A79" w:rsidRPr="009C5807" w14:paraId="7C16700C"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07132D4B" w14:textId="77777777" w:rsidR="006055B0" w:rsidRPr="009C5807" w:rsidRDefault="006055B0" w:rsidP="006055B0">
            <w:pPr>
              <w:pStyle w:val="TAN"/>
            </w:pPr>
            <w:r w:rsidRPr="009C5807">
              <w:t>NOTE 1:</w:t>
            </w:r>
            <w:r w:rsidRPr="009C5807">
              <w:tab/>
              <w:t>Io is assumed to have constant EPRE across the bandwidth.</w:t>
            </w:r>
          </w:p>
          <w:p w14:paraId="05BD45FB" w14:textId="77777777" w:rsidR="006055B0" w:rsidRPr="009C5807" w:rsidRDefault="006055B0" w:rsidP="006055B0">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49325658" w14:textId="77777777" w:rsidR="006055B0" w:rsidRPr="009C5807" w:rsidRDefault="006055B0" w:rsidP="006055B0">
            <w:pPr>
              <w:pStyle w:val="TAN"/>
              <w:rPr>
                <w:rFonts w:cs="Arial"/>
              </w:rPr>
            </w:pPr>
            <w:r w:rsidRPr="009C5807">
              <w:rPr>
                <w:rFonts w:cs="Arial"/>
              </w:rPr>
              <w:t>NOTE 3:</w:t>
            </w:r>
            <w:r w:rsidRPr="009C5807">
              <w:rPr>
                <w:rFonts w:cs="Arial"/>
              </w:rPr>
              <w:tab/>
              <w:t xml:space="preserve">The requirements apply for SSB Ês/Iot </w:t>
            </w:r>
            <w:r w:rsidRPr="009C5807">
              <w:rPr>
                <w:rFonts w:cs="Arial" w:hint="eastAsia"/>
              </w:rPr>
              <w:t>≤</w:t>
            </w:r>
            <w:r w:rsidRPr="009C5807">
              <w:rPr>
                <w:rFonts w:cs="Arial"/>
              </w:rPr>
              <w:t xml:space="preserve"> 25 dB.</w:t>
            </w:r>
          </w:p>
          <w:p w14:paraId="2B275599" w14:textId="77777777" w:rsidR="006055B0" w:rsidRDefault="006055B0" w:rsidP="006055B0">
            <w:pPr>
              <w:pStyle w:val="TAN"/>
            </w:pPr>
            <w:r w:rsidRPr="009C5807">
              <w:rPr>
                <w:rFonts w:cs="Arial"/>
              </w:rPr>
              <w:t>NOTE 4:</w:t>
            </w:r>
            <w:r w:rsidRPr="009C5807">
              <w:rPr>
                <w:rFonts w:cs="Arial"/>
              </w:rPr>
              <w:tab/>
            </w:r>
            <w:r w:rsidRPr="009C5807">
              <w:t>NR operating band groups in FR1 are as defined in clause 3.5.2.</w:t>
            </w:r>
          </w:p>
          <w:p w14:paraId="01037119" w14:textId="1F0B8A14" w:rsidR="001F5A79" w:rsidRPr="009C5807" w:rsidRDefault="006055B0" w:rsidP="006055B0">
            <w:pPr>
              <w:pStyle w:val="TAN"/>
            </w:pPr>
            <w:r w:rsidRPr="009C5807">
              <w:rPr>
                <w:rFonts w:cs="Arial"/>
              </w:rPr>
              <w:t xml:space="preserve">NOTE </w:t>
            </w:r>
            <w:r>
              <w:rPr>
                <w:rFonts w:cs="Arial"/>
              </w:rPr>
              <w:t>5</w:t>
            </w:r>
            <w:r w:rsidRPr="009C5807">
              <w:rPr>
                <w:rFonts w:cs="Arial"/>
              </w:rPr>
              <w:t>:</w:t>
            </w:r>
            <w:r w:rsidRPr="009C5807">
              <w:rPr>
                <w:rFonts w:cs="Arial"/>
              </w:rPr>
              <w:tab/>
              <w:t xml:space="preserve">The requirements apply for SSB Ês/Iot </w:t>
            </w:r>
            <w:r w:rsidRPr="009C5807">
              <w:rPr>
                <w:rFonts w:cs="Arial" w:hint="eastAsia"/>
              </w:rPr>
              <w:t>≤</w:t>
            </w:r>
            <w:r>
              <w:rPr>
                <w:rFonts w:cs="Arial" w:hint="eastAsia"/>
                <w:lang w:eastAsia="zh-CN"/>
              </w:rPr>
              <w:t xml:space="preserve"> </w:t>
            </w:r>
            <w:r>
              <w:rPr>
                <w:rFonts w:cs="Arial"/>
              </w:rPr>
              <w:t>[5]</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03D57465" w14:textId="77777777" w:rsidR="001F5A79" w:rsidRPr="009C5807" w:rsidRDefault="001F5A79" w:rsidP="001F5A79">
      <w:pPr>
        <w:rPr>
          <w:lang w:eastAsia="ko-KR"/>
        </w:rPr>
      </w:pPr>
    </w:p>
    <w:p w14:paraId="2EDEE6B0" w14:textId="77777777" w:rsidR="001F5A79" w:rsidRPr="009C5807" w:rsidRDefault="001F5A79" w:rsidP="009D3C60">
      <w:pPr>
        <w:pStyle w:val="Heading5"/>
      </w:pPr>
      <w:r w:rsidRPr="009C5807">
        <w:rPr>
          <w:lang w:eastAsia="zh-CN"/>
        </w:rPr>
        <w:t>1</w:t>
      </w:r>
      <w:r w:rsidRPr="009C5807">
        <w:t>0.1.14.1.2</w:t>
      </w:r>
      <w:r w:rsidRPr="009C5807">
        <w:tab/>
        <w:t>Relative Accuracy of SS-SINR in FR1</w:t>
      </w:r>
    </w:p>
    <w:p w14:paraId="3844B6EB" w14:textId="77777777" w:rsidR="001F5A79" w:rsidRPr="009C5807" w:rsidRDefault="001F5A79" w:rsidP="001F5A79">
      <w:pPr>
        <w:rPr>
          <w:rFonts w:cs="v4.2.0"/>
          <w:i/>
        </w:rPr>
      </w:pPr>
      <w:r w:rsidRPr="009C5807">
        <w:rPr>
          <w:rFonts w:cs="v4.2.0"/>
        </w:rPr>
        <w:t xml:space="preserve">The relative accuracy of </w:t>
      </w:r>
      <w:r w:rsidRPr="009C5807">
        <w:rPr>
          <w:rFonts w:cs="v4.2.0"/>
          <w:lang w:eastAsia="zh-CN"/>
        </w:rPr>
        <w:t>SS-SINR</w:t>
      </w:r>
      <w:r w:rsidRPr="009C5807">
        <w:rPr>
          <w:rFonts w:cs="v4.2.0"/>
        </w:rPr>
        <w:t xml:space="preserve"> in inter frequency case is defined as the SS-SINR measured from one cell on a frequency in FR1 compared to the SS-SINR measured from another cell on a different frequency in FR1.</w:t>
      </w:r>
    </w:p>
    <w:p w14:paraId="3F2A2C10"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10.1.14.1.2</w:t>
      </w:r>
      <w:r w:rsidRPr="009C5807">
        <w:rPr>
          <w:rFonts w:cs="v4.2.0"/>
        </w:rPr>
        <w:t>-1 are valid under the following conditions:</w:t>
      </w:r>
    </w:p>
    <w:p w14:paraId="4FE941B8" w14:textId="77777777" w:rsidR="001F5A79" w:rsidRPr="009C5807" w:rsidRDefault="001F5A79" w:rsidP="00D638F6">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428B1CDD" w14:textId="77777777" w:rsidR="001F5A79" w:rsidRPr="009C5807" w:rsidRDefault="001F5A79" w:rsidP="00D638F6">
      <w:pPr>
        <w:pStyle w:val="B10"/>
      </w:pPr>
      <w:r w:rsidRPr="009C5807">
        <w:t>-</w:t>
      </w:r>
      <w:r w:rsidRPr="009C5807">
        <w:rPr>
          <w:rFonts w:ascii="Arial" w:hAnsi="Arial"/>
          <w:sz w:val="28"/>
          <w:lang w:val="en-US"/>
        </w:rPr>
        <w:tab/>
      </w:r>
      <w:r w:rsidRPr="009C5807">
        <w:t>Conditions for inter-frequency measurements are fulfilled according to Annex B.2.3 for a corresponding Band.</w:t>
      </w:r>
    </w:p>
    <w:p w14:paraId="6DDF2F23" w14:textId="77777777" w:rsidR="001F5A79" w:rsidRPr="009C5807" w:rsidRDefault="001F5A79" w:rsidP="00D638F6">
      <w:pPr>
        <w:pStyle w:val="B10"/>
        <w:rPr>
          <w:rFonts w:cs="v4.2.0"/>
          <w:sz w:val="18"/>
        </w:rPr>
      </w:pPr>
      <w:r w:rsidRPr="009C5807">
        <w:t>-</w:t>
      </w:r>
      <w:r w:rsidRPr="009C5807">
        <w:rPr>
          <w:rFonts w:ascii="Arial" w:hAnsi="Arial"/>
          <w:sz w:val="28"/>
          <w:lang w:val="en-US"/>
        </w:rPr>
        <w:tab/>
      </w:r>
      <w:r w:rsidRPr="009C5807">
        <w:t>|SSB_RP1</w:t>
      </w:r>
      <w:r w:rsidRPr="009C5807">
        <w:rPr>
          <w:vertAlign w:val="subscript"/>
        </w:rPr>
        <w:t>dBm</w:t>
      </w:r>
      <w:r w:rsidRPr="009C5807">
        <w:t xml:space="preserve"> - SSB_RP2</w:t>
      </w:r>
      <w:r w:rsidRPr="009C5807">
        <w:rPr>
          <w:vertAlign w:val="subscript"/>
        </w:rPr>
        <w:t>dBm</w:t>
      </w:r>
      <w:r w:rsidRPr="009C5807">
        <w:t xml:space="preserve">| </w:t>
      </w:r>
      <w:r w:rsidRPr="009C5807">
        <w:rPr>
          <w:rFonts w:hint="eastAsia"/>
        </w:rPr>
        <w:t>≤</w:t>
      </w:r>
      <w:r w:rsidRPr="009C5807">
        <w:t xml:space="preserve"> 27 dB</w:t>
      </w:r>
    </w:p>
    <w:p w14:paraId="26203E4A" w14:textId="77777777" w:rsidR="001F5A79" w:rsidRPr="009C5807" w:rsidRDefault="001F5A79" w:rsidP="00D638F6">
      <w:pPr>
        <w:pStyle w:val="B10"/>
      </w:pPr>
      <w:r w:rsidRPr="009C5807">
        <w:t>-</w:t>
      </w:r>
      <w:r w:rsidRPr="009C5807">
        <w:rPr>
          <w:rFonts w:ascii="Arial" w:hAnsi="Arial"/>
          <w:sz w:val="28"/>
          <w:lang w:val="en-US"/>
        </w:rPr>
        <w:tab/>
      </w:r>
      <w:r w:rsidRPr="009C5807">
        <w:t xml:space="preserve">| Channel 1_Io </w:t>
      </w:r>
      <w:r w:rsidRPr="009C5807">
        <w:noBreakHyphen/>
        <w:t xml:space="preserve">Channel 2_Io | </w:t>
      </w:r>
      <w:r w:rsidRPr="009C5807">
        <w:sym w:font="Symbol" w:char="F0A3"/>
      </w:r>
      <w:r w:rsidRPr="009C5807">
        <w:t xml:space="preserve"> 20 dB</w:t>
      </w:r>
    </w:p>
    <w:p w14:paraId="3E025800" w14:textId="77777777" w:rsidR="001F5A79" w:rsidRPr="009C5807" w:rsidRDefault="001F5A79" w:rsidP="0093237A">
      <w:pPr>
        <w:pStyle w:val="TH"/>
        <w:rPr>
          <w:sz w:val="22"/>
          <w:szCs w:val="22"/>
          <w:lang w:eastAsia="zh-CN"/>
        </w:rPr>
      </w:pPr>
      <w:r w:rsidRPr="009C5807">
        <w:t xml:space="preserve">Table </w:t>
      </w:r>
      <w:r w:rsidRPr="009C5807">
        <w:rPr>
          <w:lang w:eastAsia="zh-CN"/>
        </w:rPr>
        <w:t>10.1.14.1.2</w:t>
      </w:r>
      <w:r w:rsidRPr="009C5807">
        <w:t xml:space="preserve">-1: </w:t>
      </w:r>
      <w:r w:rsidRPr="009C5807">
        <w:rPr>
          <w:lang w:eastAsia="zh-CN"/>
        </w:rPr>
        <w:t>SS-SINR</w:t>
      </w:r>
      <w:r w:rsidRPr="009C5807">
        <w:t xml:space="preserve"> Inter frequency relative accuracy</w:t>
      </w:r>
      <w:r w:rsidRPr="009C5807">
        <w:rPr>
          <w:sz w:val="22"/>
          <w:szCs w:val="22"/>
          <w:lang w:eastAsia="zh-CN"/>
        </w:rPr>
        <w:t xml:space="preserve"> in FR1</w:t>
      </w:r>
    </w:p>
    <w:tbl>
      <w:tblPr>
        <w:tblW w:w="10172" w:type="dxa"/>
        <w:jc w:val="center"/>
        <w:tblLook w:val="01E0" w:firstRow="1" w:lastRow="1" w:firstColumn="1" w:lastColumn="1" w:noHBand="0" w:noVBand="0"/>
      </w:tblPr>
      <w:tblGrid>
        <w:gridCol w:w="1033"/>
        <w:gridCol w:w="1047"/>
        <w:gridCol w:w="951"/>
        <w:gridCol w:w="2122"/>
        <w:gridCol w:w="1107"/>
        <w:gridCol w:w="1032"/>
        <w:gridCol w:w="1440"/>
        <w:gridCol w:w="1440"/>
      </w:tblGrid>
      <w:tr w:rsidR="001F5A79" w:rsidRPr="009C5807" w14:paraId="373CA228" w14:textId="77777777" w:rsidTr="00DF3064">
        <w:trPr>
          <w:jc w:val="center"/>
        </w:trPr>
        <w:tc>
          <w:tcPr>
            <w:tcW w:w="2080"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7AF6DDE6" w14:textId="77777777" w:rsidR="001F5A79" w:rsidRPr="009C5807" w:rsidRDefault="001F5A79" w:rsidP="00CF56CF">
            <w:pPr>
              <w:pStyle w:val="TAH"/>
            </w:pPr>
            <w:r w:rsidRPr="009C5807">
              <w:t>Accuracy</w:t>
            </w:r>
          </w:p>
        </w:tc>
        <w:tc>
          <w:tcPr>
            <w:tcW w:w="8092"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6BABC1F4" w14:textId="77777777" w:rsidR="001F5A79" w:rsidRPr="009C5807" w:rsidRDefault="001F5A79" w:rsidP="00CF56CF">
            <w:pPr>
              <w:pStyle w:val="TAH"/>
            </w:pPr>
            <w:r w:rsidRPr="009C5807">
              <w:t>Conditions</w:t>
            </w:r>
          </w:p>
        </w:tc>
      </w:tr>
      <w:tr w:rsidR="00CF56CF" w:rsidRPr="009C5807" w14:paraId="795397EF" w14:textId="77777777" w:rsidTr="00CF56CF">
        <w:trPr>
          <w:jc w:val="center"/>
        </w:trPr>
        <w:tc>
          <w:tcPr>
            <w:tcW w:w="1033" w:type="dxa"/>
            <w:tcBorders>
              <w:top w:val="single" w:sz="4" w:space="0" w:color="auto"/>
              <w:left w:val="single" w:sz="4" w:space="0" w:color="auto"/>
              <w:right w:val="single" w:sz="4" w:space="0" w:color="auto"/>
            </w:tcBorders>
            <w:shd w:val="clear" w:color="auto" w:fill="auto"/>
          </w:tcPr>
          <w:p w14:paraId="2C259D64" w14:textId="77777777" w:rsidR="00CF56CF" w:rsidRPr="009C5807" w:rsidRDefault="00CF56CF" w:rsidP="00CF56CF">
            <w:pPr>
              <w:pStyle w:val="TAH"/>
            </w:pPr>
            <w:r w:rsidRPr="009C5807">
              <w:t>Normal condition</w:t>
            </w:r>
          </w:p>
        </w:tc>
        <w:tc>
          <w:tcPr>
            <w:tcW w:w="1047" w:type="dxa"/>
            <w:tcBorders>
              <w:top w:val="single" w:sz="4" w:space="0" w:color="auto"/>
              <w:left w:val="single" w:sz="4" w:space="0" w:color="auto"/>
              <w:right w:val="single" w:sz="4" w:space="0" w:color="auto"/>
            </w:tcBorders>
            <w:shd w:val="clear" w:color="auto" w:fill="auto"/>
          </w:tcPr>
          <w:p w14:paraId="3A13DC65" w14:textId="77777777" w:rsidR="00CF56CF" w:rsidRPr="009C5807" w:rsidRDefault="00CF56CF" w:rsidP="00CF56CF">
            <w:pPr>
              <w:pStyle w:val="TAH"/>
            </w:pPr>
            <w:r w:rsidRPr="009C5807">
              <w:t>Extreme condition</w:t>
            </w:r>
          </w:p>
        </w:tc>
        <w:tc>
          <w:tcPr>
            <w:tcW w:w="951" w:type="dxa"/>
            <w:tcBorders>
              <w:top w:val="single" w:sz="4" w:space="0" w:color="auto"/>
              <w:left w:val="single" w:sz="4" w:space="0" w:color="auto"/>
              <w:right w:val="single" w:sz="4" w:space="0" w:color="auto"/>
            </w:tcBorders>
            <w:shd w:val="clear" w:color="auto" w:fill="auto"/>
          </w:tcPr>
          <w:p w14:paraId="26FAEB14" w14:textId="4D4980D6" w:rsidR="00CF56CF" w:rsidRPr="009C5807" w:rsidRDefault="00CF56CF" w:rsidP="00CF56CF">
            <w:pPr>
              <w:pStyle w:val="TAH"/>
            </w:pPr>
            <w:r w:rsidRPr="009C5807">
              <w:t>SSB Ês/Iot</w:t>
            </w:r>
            <w:r w:rsidRPr="009C5807">
              <w:rPr>
                <w:vertAlign w:val="superscript"/>
                <w:lang w:eastAsia="zh-CN"/>
              </w:rPr>
              <w:t xml:space="preserve"> </w:t>
            </w:r>
          </w:p>
        </w:tc>
        <w:tc>
          <w:tcPr>
            <w:tcW w:w="7141" w:type="dxa"/>
            <w:gridSpan w:val="5"/>
            <w:tcBorders>
              <w:top w:val="single" w:sz="6" w:space="0" w:color="auto"/>
              <w:left w:val="single" w:sz="4" w:space="0" w:color="auto"/>
              <w:bottom w:val="single" w:sz="6" w:space="0" w:color="auto"/>
              <w:right w:val="single" w:sz="4" w:space="0" w:color="auto"/>
            </w:tcBorders>
            <w:shd w:val="clear" w:color="auto" w:fill="auto"/>
          </w:tcPr>
          <w:p w14:paraId="031936AF" w14:textId="77777777" w:rsidR="00CF56CF" w:rsidRPr="009C5807" w:rsidRDefault="00CF56CF" w:rsidP="00CF56CF">
            <w:pPr>
              <w:pStyle w:val="TAH"/>
            </w:pPr>
            <w:r w:rsidRPr="009C5807">
              <w:t>Io</w:t>
            </w:r>
            <w:r w:rsidRPr="009C5807">
              <w:rPr>
                <w:vertAlign w:val="superscript"/>
                <w:lang w:eastAsia="zh-CN"/>
              </w:rPr>
              <w:t xml:space="preserve"> Note 1</w:t>
            </w:r>
            <w:r w:rsidRPr="009C5807">
              <w:t xml:space="preserve"> range</w:t>
            </w:r>
          </w:p>
        </w:tc>
      </w:tr>
      <w:tr w:rsidR="00CF56CF" w:rsidRPr="009C5807" w14:paraId="290AB079" w14:textId="77777777" w:rsidTr="00CF56CF">
        <w:trPr>
          <w:jc w:val="center"/>
        </w:trPr>
        <w:tc>
          <w:tcPr>
            <w:tcW w:w="1033" w:type="dxa"/>
            <w:tcBorders>
              <w:left w:val="single" w:sz="4" w:space="0" w:color="auto"/>
              <w:bottom w:val="single" w:sz="4" w:space="0" w:color="auto"/>
              <w:right w:val="single" w:sz="4" w:space="0" w:color="auto"/>
            </w:tcBorders>
            <w:shd w:val="clear" w:color="auto" w:fill="auto"/>
          </w:tcPr>
          <w:p w14:paraId="16F8AD28" w14:textId="77777777" w:rsidR="00CF56CF" w:rsidRPr="009C5807" w:rsidRDefault="00CF56CF" w:rsidP="00CF56CF">
            <w:pPr>
              <w:pStyle w:val="TAH"/>
            </w:pPr>
          </w:p>
        </w:tc>
        <w:tc>
          <w:tcPr>
            <w:tcW w:w="1047" w:type="dxa"/>
            <w:tcBorders>
              <w:left w:val="single" w:sz="4" w:space="0" w:color="auto"/>
              <w:bottom w:val="single" w:sz="4" w:space="0" w:color="auto"/>
              <w:right w:val="single" w:sz="4" w:space="0" w:color="auto"/>
            </w:tcBorders>
            <w:shd w:val="clear" w:color="auto" w:fill="auto"/>
          </w:tcPr>
          <w:p w14:paraId="5D178F5A" w14:textId="77777777" w:rsidR="00CF56CF" w:rsidRPr="009C5807" w:rsidRDefault="00CF56CF" w:rsidP="00CF56CF">
            <w:pPr>
              <w:pStyle w:val="TAH"/>
            </w:pPr>
          </w:p>
        </w:tc>
        <w:tc>
          <w:tcPr>
            <w:tcW w:w="951" w:type="dxa"/>
            <w:tcBorders>
              <w:left w:val="single" w:sz="4" w:space="0" w:color="auto"/>
              <w:bottom w:val="single" w:sz="4" w:space="0" w:color="auto"/>
              <w:right w:val="single" w:sz="4" w:space="0" w:color="auto"/>
            </w:tcBorders>
            <w:shd w:val="clear" w:color="auto" w:fill="auto"/>
          </w:tcPr>
          <w:p w14:paraId="6BE355E5" w14:textId="17E06DFB" w:rsidR="00CF56CF" w:rsidRPr="009C5807" w:rsidRDefault="00CF56CF" w:rsidP="00CF56CF">
            <w:pPr>
              <w:pStyle w:val="TAH"/>
            </w:pPr>
            <w:r w:rsidRPr="009C5807">
              <w:rPr>
                <w:vertAlign w:val="superscript"/>
                <w:lang w:eastAsia="zh-CN"/>
              </w:rPr>
              <w:t>Note 2,4</w:t>
            </w:r>
          </w:p>
        </w:tc>
        <w:tc>
          <w:tcPr>
            <w:tcW w:w="2122" w:type="dxa"/>
            <w:tcBorders>
              <w:top w:val="single" w:sz="6" w:space="0" w:color="auto"/>
              <w:left w:val="single" w:sz="4" w:space="0" w:color="auto"/>
              <w:bottom w:val="single" w:sz="6" w:space="0" w:color="auto"/>
              <w:right w:val="single" w:sz="4" w:space="0" w:color="auto"/>
            </w:tcBorders>
            <w:shd w:val="clear" w:color="auto" w:fill="auto"/>
          </w:tcPr>
          <w:p w14:paraId="0B63291B" w14:textId="77777777" w:rsidR="00CF56CF" w:rsidRPr="009C5807" w:rsidRDefault="00CF56CF" w:rsidP="00CF56CF">
            <w:pPr>
              <w:pStyle w:val="TAH"/>
            </w:pPr>
            <w:r w:rsidRPr="009C5807">
              <w:t>NR operating band groups</w:t>
            </w:r>
            <w:r w:rsidRPr="009C5807">
              <w:rPr>
                <w:vertAlign w:val="superscript"/>
              </w:rPr>
              <w:t xml:space="preserve"> Note 5</w:t>
            </w:r>
          </w:p>
        </w:tc>
        <w:tc>
          <w:tcPr>
            <w:tcW w:w="3579" w:type="dxa"/>
            <w:gridSpan w:val="3"/>
            <w:tcBorders>
              <w:top w:val="single" w:sz="4" w:space="0" w:color="auto"/>
              <w:left w:val="single" w:sz="4" w:space="0" w:color="auto"/>
              <w:bottom w:val="single" w:sz="6" w:space="0" w:color="auto"/>
              <w:right w:val="single" w:sz="6" w:space="0" w:color="auto"/>
            </w:tcBorders>
            <w:shd w:val="clear" w:color="auto" w:fill="auto"/>
          </w:tcPr>
          <w:p w14:paraId="762CAE79" w14:textId="77777777" w:rsidR="00CF56CF" w:rsidRPr="009C5807" w:rsidRDefault="00CF56CF" w:rsidP="00CF56CF">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2B2E449B" w14:textId="77777777" w:rsidR="00CF56CF" w:rsidRPr="009C5807" w:rsidRDefault="00CF56CF" w:rsidP="00CF56CF">
            <w:pPr>
              <w:pStyle w:val="TAH"/>
            </w:pPr>
            <w:r w:rsidRPr="009C5807">
              <w:t>Maximum Io</w:t>
            </w:r>
          </w:p>
        </w:tc>
      </w:tr>
      <w:tr w:rsidR="001F5A79" w:rsidRPr="009C5807" w14:paraId="4FC9DFFD" w14:textId="77777777" w:rsidTr="00CF56CF">
        <w:trPr>
          <w:trHeight w:val="308"/>
          <w:jc w:val="center"/>
        </w:trPr>
        <w:tc>
          <w:tcPr>
            <w:tcW w:w="1033" w:type="dxa"/>
            <w:tcBorders>
              <w:top w:val="single" w:sz="4" w:space="0" w:color="auto"/>
              <w:left w:val="single" w:sz="4" w:space="0" w:color="auto"/>
              <w:right w:val="single" w:sz="6" w:space="0" w:color="auto"/>
            </w:tcBorders>
            <w:shd w:val="clear" w:color="auto" w:fill="auto"/>
          </w:tcPr>
          <w:p w14:paraId="1A20D459" w14:textId="77777777" w:rsidR="001F5A79" w:rsidRPr="009C5807" w:rsidRDefault="001F5A79" w:rsidP="00CF56CF">
            <w:pPr>
              <w:pStyle w:val="TAH"/>
            </w:pPr>
            <w:r w:rsidRPr="009C5807">
              <w:t>dB</w:t>
            </w:r>
          </w:p>
        </w:tc>
        <w:tc>
          <w:tcPr>
            <w:tcW w:w="1047" w:type="dxa"/>
            <w:tcBorders>
              <w:top w:val="single" w:sz="4" w:space="0" w:color="auto"/>
              <w:left w:val="single" w:sz="6" w:space="0" w:color="auto"/>
              <w:right w:val="single" w:sz="6" w:space="0" w:color="auto"/>
            </w:tcBorders>
            <w:shd w:val="clear" w:color="auto" w:fill="auto"/>
          </w:tcPr>
          <w:p w14:paraId="787F0B42" w14:textId="77777777" w:rsidR="001F5A79" w:rsidRPr="009C5807" w:rsidRDefault="001F5A79" w:rsidP="00CF56CF">
            <w:pPr>
              <w:pStyle w:val="TAH"/>
            </w:pPr>
            <w:r w:rsidRPr="009C5807">
              <w:t>dB</w:t>
            </w:r>
          </w:p>
        </w:tc>
        <w:tc>
          <w:tcPr>
            <w:tcW w:w="951" w:type="dxa"/>
            <w:tcBorders>
              <w:top w:val="single" w:sz="4" w:space="0" w:color="auto"/>
              <w:left w:val="single" w:sz="6" w:space="0" w:color="auto"/>
              <w:right w:val="single" w:sz="6" w:space="0" w:color="auto"/>
            </w:tcBorders>
            <w:shd w:val="clear" w:color="auto" w:fill="auto"/>
          </w:tcPr>
          <w:p w14:paraId="3CDFD445" w14:textId="77777777" w:rsidR="001F5A79" w:rsidRPr="009C5807" w:rsidRDefault="001F5A79" w:rsidP="00CF56CF">
            <w:pPr>
              <w:pStyle w:val="TAH"/>
            </w:pPr>
            <w:r w:rsidRPr="009C5807">
              <w:t>dB</w:t>
            </w:r>
          </w:p>
        </w:tc>
        <w:tc>
          <w:tcPr>
            <w:tcW w:w="2122" w:type="dxa"/>
            <w:tcBorders>
              <w:top w:val="single" w:sz="6" w:space="0" w:color="auto"/>
              <w:left w:val="single" w:sz="6" w:space="0" w:color="auto"/>
              <w:right w:val="single" w:sz="4" w:space="0" w:color="auto"/>
            </w:tcBorders>
            <w:shd w:val="clear" w:color="auto" w:fill="auto"/>
          </w:tcPr>
          <w:p w14:paraId="71DF271E" w14:textId="77777777" w:rsidR="001F5A79" w:rsidRPr="009C5807" w:rsidRDefault="001F5A79" w:rsidP="00CF56CF">
            <w:pPr>
              <w:pStyle w:val="TAH"/>
            </w:pPr>
          </w:p>
        </w:tc>
        <w:tc>
          <w:tcPr>
            <w:tcW w:w="2139" w:type="dxa"/>
            <w:gridSpan w:val="2"/>
            <w:tcBorders>
              <w:top w:val="single" w:sz="6" w:space="0" w:color="auto"/>
              <w:left w:val="single" w:sz="4" w:space="0" w:color="auto"/>
              <w:bottom w:val="single" w:sz="6" w:space="0" w:color="auto"/>
              <w:right w:val="single" w:sz="6" w:space="0" w:color="auto"/>
            </w:tcBorders>
            <w:shd w:val="clear" w:color="auto" w:fill="auto"/>
          </w:tcPr>
          <w:p w14:paraId="18EC91C0" w14:textId="77777777" w:rsidR="001F5A79" w:rsidRPr="009C5807" w:rsidRDefault="001F5A79" w:rsidP="00CF56CF">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46A0434C" w14:textId="77777777" w:rsidR="001F5A79" w:rsidRPr="009C5807" w:rsidRDefault="001F5A79" w:rsidP="00CF56CF">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0D429E91" w14:textId="77777777" w:rsidR="001F5A79" w:rsidRPr="009C5807" w:rsidRDefault="001F5A79" w:rsidP="00CF56CF">
            <w:pPr>
              <w:pStyle w:val="TAH"/>
            </w:pPr>
            <w:r w:rsidRPr="009C5807">
              <w:t>dBm/BW</w:t>
            </w:r>
            <w:r w:rsidRPr="009C5807">
              <w:rPr>
                <w:vertAlign w:val="subscript"/>
              </w:rPr>
              <w:t>Channel</w:t>
            </w:r>
          </w:p>
        </w:tc>
      </w:tr>
      <w:tr w:rsidR="001F5A79" w:rsidRPr="009C5807" w14:paraId="053746D6" w14:textId="77777777" w:rsidTr="00CF56CF">
        <w:trPr>
          <w:trHeight w:val="307"/>
          <w:jc w:val="center"/>
        </w:trPr>
        <w:tc>
          <w:tcPr>
            <w:tcW w:w="1033" w:type="dxa"/>
            <w:tcBorders>
              <w:left w:val="single" w:sz="4" w:space="0" w:color="auto"/>
              <w:bottom w:val="single" w:sz="6" w:space="0" w:color="auto"/>
              <w:right w:val="single" w:sz="6" w:space="0" w:color="auto"/>
            </w:tcBorders>
            <w:shd w:val="clear" w:color="auto" w:fill="auto"/>
          </w:tcPr>
          <w:p w14:paraId="0EA2D969" w14:textId="77777777" w:rsidR="001F5A79" w:rsidRPr="009C5807" w:rsidRDefault="001F5A79" w:rsidP="00CF56CF">
            <w:pPr>
              <w:pStyle w:val="TAH"/>
            </w:pPr>
          </w:p>
        </w:tc>
        <w:tc>
          <w:tcPr>
            <w:tcW w:w="1047" w:type="dxa"/>
            <w:tcBorders>
              <w:left w:val="single" w:sz="6" w:space="0" w:color="auto"/>
              <w:bottom w:val="single" w:sz="6" w:space="0" w:color="auto"/>
              <w:right w:val="single" w:sz="6" w:space="0" w:color="auto"/>
            </w:tcBorders>
            <w:shd w:val="clear" w:color="auto" w:fill="auto"/>
          </w:tcPr>
          <w:p w14:paraId="187B4539" w14:textId="77777777" w:rsidR="001F5A79" w:rsidRPr="009C5807" w:rsidRDefault="001F5A79" w:rsidP="00CF56CF">
            <w:pPr>
              <w:pStyle w:val="TAH"/>
            </w:pPr>
          </w:p>
        </w:tc>
        <w:tc>
          <w:tcPr>
            <w:tcW w:w="951" w:type="dxa"/>
            <w:tcBorders>
              <w:left w:val="single" w:sz="6" w:space="0" w:color="auto"/>
              <w:bottom w:val="single" w:sz="6" w:space="0" w:color="auto"/>
              <w:right w:val="single" w:sz="6" w:space="0" w:color="auto"/>
            </w:tcBorders>
            <w:shd w:val="clear" w:color="auto" w:fill="auto"/>
          </w:tcPr>
          <w:p w14:paraId="4C1B5866" w14:textId="77777777" w:rsidR="001F5A79" w:rsidRPr="009C5807" w:rsidRDefault="001F5A79" w:rsidP="00CF56CF">
            <w:pPr>
              <w:pStyle w:val="TAH"/>
            </w:pPr>
          </w:p>
        </w:tc>
        <w:tc>
          <w:tcPr>
            <w:tcW w:w="2122" w:type="dxa"/>
            <w:tcBorders>
              <w:left w:val="single" w:sz="6" w:space="0" w:color="auto"/>
              <w:bottom w:val="single" w:sz="6" w:space="0" w:color="auto"/>
              <w:right w:val="single" w:sz="4" w:space="0" w:color="auto"/>
            </w:tcBorders>
            <w:shd w:val="clear" w:color="auto" w:fill="auto"/>
          </w:tcPr>
          <w:p w14:paraId="501B1FD7" w14:textId="77777777" w:rsidR="001F5A79" w:rsidRPr="009C5807" w:rsidRDefault="001F5A79" w:rsidP="00CF56CF">
            <w:pPr>
              <w:pStyle w:val="TAH"/>
            </w:pP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3BA14C54" w14:textId="77777777" w:rsidR="001F5A79" w:rsidRPr="009C5807" w:rsidRDefault="001F5A79" w:rsidP="00CF56CF">
            <w:pPr>
              <w:pStyle w:val="TAH"/>
              <w:rPr>
                <w:rFonts w:cs="Arial"/>
              </w:rPr>
            </w:pPr>
            <w:r w:rsidRPr="009C5807">
              <w:t>SCS</w:t>
            </w:r>
            <w:r w:rsidRPr="009C5807">
              <w:rPr>
                <w:vertAlign w:val="subscript"/>
              </w:rPr>
              <w:t>SSB</w:t>
            </w:r>
            <w:r w:rsidRPr="009C5807">
              <w:rPr>
                <w:rFonts w:cs="Arial"/>
              </w:rPr>
              <w:t xml:space="preserve"> = 120 kHz</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35FA0876" w14:textId="77777777" w:rsidR="001F5A79" w:rsidRPr="009C5807" w:rsidRDefault="001F5A79" w:rsidP="00CF56CF">
            <w:pPr>
              <w:pStyle w:val="TAH"/>
              <w:rPr>
                <w:rFonts w:cs="Arial"/>
              </w:rPr>
            </w:pPr>
            <w:r w:rsidRPr="009C5807">
              <w:t>SCS</w:t>
            </w:r>
            <w:r w:rsidRPr="009C5807">
              <w:rPr>
                <w:vertAlign w:val="subscript"/>
              </w:rPr>
              <w:t>SSB</w:t>
            </w:r>
            <w:r w:rsidRPr="009C5807">
              <w:rPr>
                <w:rFonts w:cs="Arial"/>
              </w:rPr>
              <w:t xml:space="preserve"> = 240 kHz</w:t>
            </w:r>
          </w:p>
        </w:tc>
        <w:tc>
          <w:tcPr>
            <w:tcW w:w="1440" w:type="dxa"/>
            <w:tcBorders>
              <w:left w:val="single" w:sz="6" w:space="0" w:color="auto"/>
              <w:bottom w:val="single" w:sz="6" w:space="0" w:color="auto"/>
              <w:right w:val="single" w:sz="6" w:space="0" w:color="auto"/>
            </w:tcBorders>
            <w:shd w:val="clear" w:color="auto" w:fill="auto"/>
          </w:tcPr>
          <w:p w14:paraId="54235774" w14:textId="77777777" w:rsidR="001F5A79" w:rsidRPr="009C5807" w:rsidRDefault="001F5A79" w:rsidP="00CF56CF">
            <w:pPr>
              <w:pStyle w:val="TAH"/>
            </w:pPr>
          </w:p>
        </w:tc>
        <w:tc>
          <w:tcPr>
            <w:tcW w:w="1440" w:type="dxa"/>
            <w:tcBorders>
              <w:left w:val="single" w:sz="6" w:space="0" w:color="auto"/>
              <w:bottom w:val="single" w:sz="6" w:space="0" w:color="auto"/>
              <w:right w:val="single" w:sz="4" w:space="0" w:color="auto"/>
            </w:tcBorders>
            <w:shd w:val="clear" w:color="auto" w:fill="auto"/>
          </w:tcPr>
          <w:p w14:paraId="6ADEED02" w14:textId="77777777" w:rsidR="001F5A79" w:rsidRPr="009C5807" w:rsidRDefault="001F5A79" w:rsidP="00CF56CF">
            <w:pPr>
              <w:pStyle w:val="TAH"/>
            </w:pPr>
          </w:p>
        </w:tc>
      </w:tr>
      <w:tr w:rsidR="0058457E" w:rsidRPr="009C5807" w14:paraId="37D09146" w14:textId="77777777" w:rsidTr="00CF56CF">
        <w:trPr>
          <w:jc w:val="center"/>
        </w:trPr>
        <w:tc>
          <w:tcPr>
            <w:tcW w:w="1033" w:type="dxa"/>
            <w:tcBorders>
              <w:top w:val="single" w:sz="6" w:space="0" w:color="auto"/>
              <w:left w:val="single" w:sz="4" w:space="0" w:color="auto"/>
              <w:right w:val="single" w:sz="6" w:space="0" w:color="auto"/>
            </w:tcBorders>
            <w:shd w:val="clear" w:color="auto" w:fill="auto"/>
          </w:tcPr>
          <w:p w14:paraId="34A542CE" w14:textId="75E0DB65" w:rsidR="0058457E" w:rsidRPr="009C5807" w:rsidRDefault="0058457E" w:rsidP="00CF56CF">
            <w:pPr>
              <w:pStyle w:val="TAC"/>
              <w:rPr>
                <w:lang w:eastAsia="zh-CN"/>
              </w:rPr>
            </w:pPr>
          </w:p>
        </w:tc>
        <w:tc>
          <w:tcPr>
            <w:tcW w:w="1047" w:type="dxa"/>
            <w:tcBorders>
              <w:top w:val="single" w:sz="6" w:space="0" w:color="auto"/>
              <w:left w:val="single" w:sz="6" w:space="0" w:color="auto"/>
              <w:right w:val="single" w:sz="6" w:space="0" w:color="auto"/>
            </w:tcBorders>
            <w:shd w:val="clear" w:color="auto" w:fill="auto"/>
          </w:tcPr>
          <w:p w14:paraId="4300A21E" w14:textId="2EEC398A" w:rsidR="0058457E" w:rsidRPr="009C5807" w:rsidRDefault="0058457E" w:rsidP="00CF56CF">
            <w:pPr>
              <w:pStyle w:val="TAC"/>
              <w:rPr>
                <w:lang w:eastAsia="zh-CN"/>
              </w:rPr>
            </w:pPr>
          </w:p>
        </w:tc>
        <w:tc>
          <w:tcPr>
            <w:tcW w:w="951" w:type="dxa"/>
            <w:tcBorders>
              <w:top w:val="single" w:sz="6" w:space="0" w:color="auto"/>
              <w:left w:val="single" w:sz="6" w:space="0" w:color="auto"/>
              <w:right w:val="single" w:sz="6" w:space="0" w:color="auto"/>
            </w:tcBorders>
            <w:shd w:val="clear" w:color="auto" w:fill="auto"/>
          </w:tcPr>
          <w:p w14:paraId="0A58251B" w14:textId="56F277D6" w:rsidR="0058457E" w:rsidRPr="009C5807" w:rsidRDefault="0058457E" w:rsidP="00CF56CF">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387DA42B" w14:textId="5109F370" w:rsidR="0058457E" w:rsidRPr="009C5807" w:rsidRDefault="0058457E" w:rsidP="00CF56CF">
            <w:pPr>
              <w:pStyle w:val="TAC"/>
            </w:pPr>
            <w:r w:rsidRPr="009C5807">
              <w:t>NR_FDD_FR1_A, NR_TDD_FR1_A,</w:t>
            </w:r>
            <w:r w:rsidR="00991E68">
              <w:t xml:space="preserve"> </w:t>
            </w:r>
            <w:r w:rsidRPr="009C5807">
              <w:t>NR_SDL_FR1_A</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470FDC76" w14:textId="77777777" w:rsidR="0058457E" w:rsidRPr="009C5807" w:rsidRDefault="0058457E" w:rsidP="00CF56CF">
            <w:pPr>
              <w:pStyle w:val="TAC"/>
            </w:pPr>
            <w:r w:rsidRPr="009C5807">
              <w:t>-121</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468988B6" w14:textId="77777777" w:rsidR="0058457E" w:rsidRPr="009C5807" w:rsidRDefault="0058457E" w:rsidP="00CF56CF">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54E92E6"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26640CB" w14:textId="77777777" w:rsidR="0058457E" w:rsidRPr="009C5807" w:rsidRDefault="0058457E" w:rsidP="00CF56CF">
            <w:pPr>
              <w:pStyle w:val="TAC"/>
            </w:pPr>
            <w:r w:rsidRPr="009C5807">
              <w:t>-50</w:t>
            </w:r>
          </w:p>
        </w:tc>
      </w:tr>
      <w:tr w:rsidR="0058457E" w:rsidRPr="009C5807" w14:paraId="72C6F052" w14:textId="77777777" w:rsidTr="00CF56CF">
        <w:trPr>
          <w:jc w:val="center"/>
        </w:trPr>
        <w:tc>
          <w:tcPr>
            <w:tcW w:w="1033" w:type="dxa"/>
            <w:tcBorders>
              <w:left w:val="single" w:sz="4" w:space="0" w:color="auto"/>
              <w:right w:val="single" w:sz="6" w:space="0" w:color="auto"/>
            </w:tcBorders>
            <w:shd w:val="clear" w:color="auto" w:fill="auto"/>
          </w:tcPr>
          <w:p w14:paraId="576208FD"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66FFB497" w14:textId="77777777" w:rsidR="0058457E" w:rsidRPr="009C5807" w:rsidRDefault="0058457E" w:rsidP="00CF56CF">
            <w:pPr>
              <w:pStyle w:val="TAC"/>
            </w:pPr>
          </w:p>
        </w:tc>
        <w:tc>
          <w:tcPr>
            <w:tcW w:w="951" w:type="dxa"/>
            <w:tcBorders>
              <w:left w:val="single" w:sz="6" w:space="0" w:color="auto"/>
              <w:right w:val="single" w:sz="6" w:space="0" w:color="auto"/>
            </w:tcBorders>
            <w:shd w:val="clear" w:color="auto" w:fill="auto"/>
          </w:tcPr>
          <w:p w14:paraId="7ABFE728" w14:textId="77777777" w:rsidR="0058457E" w:rsidRPr="009C5807" w:rsidRDefault="0058457E" w:rsidP="00CF56CF">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2F13F5B9" w14:textId="77777777" w:rsidR="0058457E" w:rsidRPr="009C5807" w:rsidRDefault="0058457E" w:rsidP="00CF56CF">
            <w:pPr>
              <w:pStyle w:val="TAC"/>
            </w:pPr>
            <w:r w:rsidRPr="009C5807">
              <w:t>NR_FDD_FR1_B</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2BC68E5A" w14:textId="77777777" w:rsidR="0058457E" w:rsidRPr="009C5807" w:rsidRDefault="0058457E" w:rsidP="00CF56CF">
            <w:pPr>
              <w:pStyle w:val="TAC"/>
            </w:pPr>
            <w:r w:rsidRPr="009C5807">
              <w:t>-120.5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7B4FEBDB" w14:textId="77777777" w:rsidR="0058457E" w:rsidRPr="009C5807" w:rsidRDefault="0058457E" w:rsidP="00CF56CF">
            <w:pPr>
              <w:pStyle w:val="TAC"/>
              <w:rPr>
                <w:rFonts w:cs="Arial"/>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418369B" w14:textId="77777777" w:rsidR="0058457E" w:rsidRPr="009C5807" w:rsidRDefault="0058457E" w:rsidP="00CF56CF">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FF3B07F" w14:textId="77777777" w:rsidR="0058457E" w:rsidRPr="009C5807" w:rsidRDefault="0058457E" w:rsidP="00CF56CF">
            <w:pPr>
              <w:pStyle w:val="TAC"/>
            </w:pPr>
            <w:r w:rsidRPr="009C5807">
              <w:t>-50</w:t>
            </w:r>
          </w:p>
        </w:tc>
      </w:tr>
      <w:tr w:rsidR="0058457E" w:rsidRPr="009C5807" w14:paraId="76ED34F3" w14:textId="77777777" w:rsidTr="00CF56CF">
        <w:trPr>
          <w:jc w:val="center"/>
        </w:trPr>
        <w:tc>
          <w:tcPr>
            <w:tcW w:w="1033" w:type="dxa"/>
            <w:tcBorders>
              <w:left w:val="single" w:sz="4" w:space="0" w:color="auto"/>
              <w:right w:val="single" w:sz="6" w:space="0" w:color="auto"/>
            </w:tcBorders>
            <w:shd w:val="clear" w:color="auto" w:fill="auto"/>
          </w:tcPr>
          <w:p w14:paraId="54FE611D"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3DE081F5" w14:textId="77777777" w:rsidR="0058457E" w:rsidRPr="009C5807" w:rsidRDefault="0058457E" w:rsidP="00CF56CF">
            <w:pPr>
              <w:pStyle w:val="TAC"/>
            </w:pPr>
          </w:p>
        </w:tc>
        <w:tc>
          <w:tcPr>
            <w:tcW w:w="951" w:type="dxa"/>
            <w:tcBorders>
              <w:left w:val="single" w:sz="6" w:space="0" w:color="auto"/>
              <w:right w:val="single" w:sz="6" w:space="0" w:color="auto"/>
            </w:tcBorders>
            <w:shd w:val="clear" w:color="auto" w:fill="auto"/>
          </w:tcPr>
          <w:p w14:paraId="68E66779" w14:textId="77777777" w:rsidR="0058457E" w:rsidRPr="009C5807" w:rsidRDefault="0058457E" w:rsidP="00CF56CF">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6A1C7422" w14:textId="77777777" w:rsidR="0058457E" w:rsidRPr="009C5807" w:rsidRDefault="0058457E" w:rsidP="00CF56CF">
            <w:pPr>
              <w:pStyle w:val="TAC"/>
            </w:pPr>
            <w:r w:rsidRPr="009C5807">
              <w:t>NR_TDD_FR1_C</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60A01AC2" w14:textId="77777777" w:rsidR="0058457E" w:rsidRPr="009C5807" w:rsidRDefault="0058457E" w:rsidP="00CF56CF">
            <w:pPr>
              <w:pStyle w:val="TAC"/>
            </w:pPr>
            <w:r w:rsidRPr="009C5807">
              <w:t>-120</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792F7F95" w14:textId="77777777" w:rsidR="0058457E" w:rsidRPr="009C5807" w:rsidRDefault="0058457E" w:rsidP="00CF56CF">
            <w:pPr>
              <w:pStyle w:val="TAC"/>
              <w:rPr>
                <w:rFonts w:cs="Arial"/>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E3E61AE"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A360F14" w14:textId="77777777" w:rsidR="0058457E" w:rsidRPr="009C5807" w:rsidRDefault="0058457E" w:rsidP="00CF56CF">
            <w:pPr>
              <w:pStyle w:val="TAC"/>
            </w:pPr>
            <w:r w:rsidRPr="009C5807">
              <w:t>-50</w:t>
            </w:r>
          </w:p>
        </w:tc>
      </w:tr>
      <w:tr w:rsidR="003250ED" w:rsidRPr="009C5807" w14:paraId="729DCDC5" w14:textId="77777777" w:rsidTr="00CF56CF">
        <w:trPr>
          <w:jc w:val="center"/>
        </w:trPr>
        <w:tc>
          <w:tcPr>
            <w:tcW w:w="1033" w:type="dxa"/>
            <w:tcBorders>
              <w:left w:val="single" w:sz="4" w:space="0" w:color="auto"/>
              <w:right w:val="single" w:sz="6" w:space="0" w:color="auto"/>
            </w:tcBorders>
            <w:shd w:val="clear" w:color="auto" w:fill="auto"/>
          </w:tcPr>
          <w:p w14:paraId="05154172" w14:textId="4E4D96B2" w:rsidR="003250ED" w:rsidRPr="009C5807" w:rsidRDefault="003250ED" w:rsidP="00CF56CF">
            <w:pPr>
              <w:pStyle w:val="TAC"/>
            </w:pPr>
            <w:r w:rsidRPr="009C5807">
              <w:sym w:font="Symbol" w:char="F0B1"/>
            </w:r>
            <w:r w:rsidRPr="009C5807">
              <w:t>3.5</w:t>
            </w:r>
          </w:p>
        </w:tc>
        <w:tc>
          <w:tcPr>
            <w:tcW w:w="1047" w:type="dxa"/>
            <w:tcBorders>
              <w:left w:val="single" w:sz="6" w:space="0" w:color="auto"/>
              <w:right w:val="single" w:sz="6" w:space="0" w:color="auto"/>
            </w:tcBorders>
            <w:shd w:val="clear" w:color="auto" w:fill="auto"/>
          </w:tcPr>
          <w:p w14:paraId="1B7C6CF0" w14:textId="55A73846" w:rsidR="003250ED" w:rsidRPr="009C5807" w:rsidRDefault="003250ED" w:rsidP="00CF56CF">
            <w:pPr>
              <w:pStyle w:val="TAC"/>
            </w:pPr>
            <w:r w:rsidRPr="009C5807">
              <w:sym w:font="Symbol" w:char="F0B1"/>
            </w:r>
            <w:r w:rsidRPr="009C5807">
              <w:t>4</w:t>
            </w:r>
          </w:p>
        </w:tc>
        <w:tc>
          <w:tcPr>
            <w:tcW w:w="951" w:type="dxa"/>
            <w:tcBorders>
              <w:left w:val="single" w:sz="6" w:space="0" w:color="auto"/>
              <w:right w:val="single" w:sz="6" w:space="0" w:color="auto"/>
            </w:tcBorders>
            <w:shd w:val="clear" w:color="auto" w:fill="auto"/>
          </w:tcPr>
          <w:p w14:paraId="0F6BE159" w14:textId="0B26C3E1" w:rsidR="003250ED" w:rsidRPr="009C5807" w:rsidRDefault="003250ED" w:rsidP="00CF56CF">
            <w:pPr>
              <w:pStyle w:val="TAC"/>
            </w:pPr>
            <w:r w:rsidRPr="009C5807">
              <w:sym w:font="Symbol" w:char="F0B3"/>
            </w:r>
            <w:r w:rsidRPr="009C5807">
              <w:rPr>
                <w:lang w:eastAsia="zh-CN"/>
              </w:rPr>
              <w:t>-3</w:t>
            </w: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38B0C29D" w14:textId="77777777" w:rsidR="003250ED" w:rsidRPr="009C5807" w:rsidRDefault="003250ED" w:rsidP="00CF56CF">
            <w:pPr>
              <w:pStyle w:val="TAC"/>
              <w:rPr>
                <w:lang w:val="sv-SE"/>
              </w:rPr>
            </w:pPr>
            <w:r w:rsidRPr="009C5807">
              <w:rPr>
                <w:lang w:val="sv-SE"/>
              </w:rPr>
              <w:t>NR_FDD_FR1_D, NR_TDD_FR1_D</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7026CC1C" w14:textId="77777777" w:rsidR="003250ED" w:rsidRPr="009C5807" w:rsidRDefault="003250ED" w:rsidP="00CF56CF">
            <w:pPr>
              <w:pStyle w:val="TAC"/>
            </w:pPr>
            <w:r w:rsidRPr="009C5807">
              <w:t>-119.5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1B714E87" w14:textId="77777777" w:rsidR="003250ED" w:rsidRPr="009C5807" w:rsidRDefault="003250ED" w:rsidP="00CF56CF">
            <w:pPr>
              <w:pStyle w:val="TAC"/>
              <w:rPr>
                <w:rFonts w:cs="Arial"/>
              </w:rPr>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4DE4A5C" w14:textId="77777777" w:rsidR="003250ED" w:rsidRPr="009C5807" w:rsidRDefault="003250ED"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ED7A9E7" w14:textId="77777777" w:rsidR="003250ED" w:rsidRPr="009C5807" w:rsidRDefault="003250ED" w:rsidP="00CF56CF">
            <w:pPr>
              <w:pStyle w:val="TAC"/>
            </w:pPr>
            <w:r w:rsidRPr="009C5807">
              <w:t>-50</w:t>
            </w:r>
          </w:p>
        </w:tc>
      </w:tr>
      <w:tr w:rsidR="0058457E" w:rsidRPr="009C5807" w14:paraId="3283EA2B" w14:textId="77777777" w:rsidTr="00CF56CF">
        <w:trPr>
          <w:jc w:val="center"/>
        </w:trPr>
        <w:tc>
          <w:tcPr>
            <w:tcW w:w="1033" w:type="dxa"/>
            <w:tcBorders>
              <w:left w:val="single" w:sz="4" w:space="0" w:color="auto"/>
              <w:right w:val="single" w:sz="6" w:space="0" w:color="auto"/>
            </w:tcBorders>
            <w:shd w:val="clear" w:color="auto" w:fill="auto"/>
          </w:tcPr>
          <w:p w14:paraId="2AEBEA04"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377D6136" w14:textId="77777777" w:rsidR="0058457E" w:rsidRPr="009C5807" w:rsidRDefault="0058457E" w:rsidP="00CF56CF">
            <w:pPr>
              <w:pStyle w:val="TAC"/>
            </w:pPr>
          </w:p>
        </w:tc>
        <w:tc>
          <w:tcPr>
            <w:tcW w:w="951" w:type="dxa"/>
            <w:tcBorders>
              <w:left w:val="single" w:sz="6" w:space="0" w:color="auto"/>
              <w:right w:val="single" w:sz="6" w:space="0" w:color="auto"/>
            </w:tcBorders>
            <w:shd w:val="clear" w:color="auto" w:fill="auto"/>
          </w:tcPr>
          <w:p w14:paraId="60073293" w14:textId="77777777" w:rsidR="0058457E" w:rsidRPr="009C5807" w:rsidRDefault="0058457E" w:rsidP="00CF56CF">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0F2C2911" w14:textId="77777777" w:rsidR="0058457E" w:rsidRPr="009C5807" w:rsidDel="00836998" w:rsidRDefault="0058457E" w:rsidP="00CF56CF">
            <w:pPr>
              <w:pStyle w:val="TAC"/>
              <w:rPr>
                <w:lang w:val="sv-SE"/>
              </w:rPr>
            </w:pPr>
            <w:r w:rsidRPr="009C5807">
              <w:rPr>
                <w:lang w:val="sv-SE"/>
              </w:rPr>
              <w:t>NR_FDD_FR1_E, NR_TDD_FR1_E</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2C3027BA" w14:textId="77777777" w:rsidR="0058457E" w:rsidRPr="009C5807" w:rsidRDefault="0058457E" w:rsidP="00CF56CF">
            <w:pPr>
              <w:pStyle w:val="TAC"/>
            </w:pPr>
            <w:r w:rsidRPr="009C5807">
              <w:t>-119</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4E70C709" w14:textId="77777777" w:rsidR="0058457E" w:rsidRPr="009C5807" w:rsidRDefault="0058457E" w:rsidP="00CF56CF">
            <w:pPr>
              <w:pStyle w:val="TAC"/>
              <w:rPr>
                <w:rFonts w:cs="Arial"/>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7909483"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09E432C" w14:textId="77777777" w:rsidR="0058457E" w:rsidRPr="009C5807" w:rsidRDefault="0058457E" w:rsidP="00CF56CF">
            <w:pPr>
              <w:pStyle w:val="TAC"/>
            </w:pPr>
            <w:r w:rsidRPr="009C5807">
              <w:t>-50</w:t>
            </w:r>
          </w:p>
        </w:tc>
      </w:tr>
      <w:tr w:rsidR="00D94CA6" w:rsidRPr="009C5807" w14:paraId="6FFC5878" w14:textId="77777777" w:rsidTr="00CF56CF">
        <w:trPr>
          <w:jc w:val="center"/>
        </w:trPr>
        <w:tc>
          <w:tcPr>
            <w:tcW w:w="1033" w:type="dxa"/>
            <w:tcBorders>
              <w:left w:val="single" w:sz="4" w:space="0" w:color="auto"/>
              <w:right w:val="single" w:sz="6" w:space="0" w:color="auto"/>
            </w:tcBorders>
            <w:shd w:val="clear" w:color="auto" w:fill="auto"/>
          </w:tcPr>
          <w:p w14:paraId="5E4A4075" w14:textId="77777777" w:rsidR="00D94CA6" w:rsidRPr="009C5807" w:rsidRDefault="00D94CA6" w:rsidP="00CF56CF">
            <w:pPr>
              <w:pStyle w:val="TAC"/>
            </w:pPr>
          </w:p>
        </w:tc>
        <w:tc>
          <w:tcPr>
            <w:tcW w:w="1047" w:type="dxa"/>
            <w:tcBorders>
              <w:left w:val="single" w:sz="6" w:space="0" w:color="auto"/>
              <w:right w:val="single" w:sz="6" w:space="0" w:color="auto"/>
            </w:tcBorders>
            <w:shd w:val="clear" w:color="auto" w:fill="auto"/>
          </w:tcPr>
          <w:p w14:paraId="6197A56A" w14:textId="77777777" w:rsidR="00D94CA6" w:rsidRPr="009C5807" w:rsidRDefault="00D94CA6" w:rsidP="00CF56CF">
            <w:pPr>
              <w:pStyle w:val="TAC"/>
            </w:pPr>
          </w:p>
        </w:tc>
        <w:tc>
          <w:tcPr>
            <w:tcW w:w="951" w:type="dxa"/>
            <w:tcBorders>
              <w:left w:val="single" w:sz="6" w:space="0" w:color="auto"/>
              <w:right w:val="single" w:sz="6" w:space="0" w:color="auto"/>
            </w:tcBorders>
            <w:shd w:val="clear" w:color="auto" w:fill="auto"/>
          </w:tcPr>
          <w:p w14:paraId="11B1B657" w14:textId="77777777" w:rsidR="00D94CA6" w:rsidRPr="009C5807" w:rsidRDefault="00D94CA6" w:rsidP="00CF56CF">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69ACF17C" w14:textId="38E837C1" w:rsidR="00D94CA6" w:rsidRPr="009C5807" w:rsidRDefault="00D94CA6" w:rsidP="00CF56CF">
            <w:pPr>
              <w:pStyle w:val="TAC"/>
              <w:rPr>
                <w:lang w:val="sv-SE"/>
              </w:rPr>
            </w:pPr>
            <w:r w:rsidRPr="009C5807">
              <w:rPr>
                <w:lang w:eastAsia="zh-CN"/>
              </w:rPr>
              <w:t>NR_FDD_FR1_F</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2AB8FFA2" w14:textId="3FAFB99C" w:rsidR="00D94CA6" w:rsidRPr="009C5807" w:rsidRDefault="00D94CA6" w:rsidP="00CF56CF">
            <w:pPr>
              <w:pStyle w:val="TAC"/>
            </w:pPr>
            <w:r w:rsidRPr="009C5807">
              <w:t>-118.5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1633BEAC" w14:textId="53706EFC" w:rsidR="00D94CA6" w:rsidRPr="009C5807" w:rsidRDefault="00D94CA6" w:rsidP="00CF56CF">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A2697A3" w14:textId="1B5EA72B" w:rsidR="00D94CA6" w:rsidRPr="009C5807" w:rsidRDefault="00D94CA6"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594292D" w14:textId="193FEC7F" w:rsidR="00D94CA6" w:rsidRPr="009C5807" w:rsidRDefault="00D94CA6" w:rsidP="00CF56CF">
            <w:pPr>
              <w:pStyle w:val="TAC"/>
            </w:pPr>
            <w:r w:rsidRPr="009C5807">
              <w:t>-50</w:t>
            </w:r>
          </w:p>
        </w:tc>
      </w:tr>
      <w:tr w:rsidR="0058457E" w:rsidRPr="009C5807" w14:paraId="761F3589" w14:textId="77777777" w:rsidTr="00CF56CF">
        <w:trPr>
          <w:jc w:val="center"/>
        </w:trPr>
        <w:tc>
          <w:tcPr>
            <w:tcW w:w="1033" w:type="dxa"/>
            <w:tcBorders>
              <w:left w:val="single" w:sz="4" w:space="0" w:color="auto"/>
              <w:right w:val="single" w:sz="6" w:space="0" w:color="auto"/>
            </w:tcBorders>
            <w:shd w:val="clear" w:color="auto" w:fill="auto"/>
          </w:tcPr>
          <w:p w14:paraId="09BB3EC7"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6F6412E2" w14:textId="77777777" w:rsidR="0058457E" w:rsidRPr="009C5807" w:rsidRDefault="0058457E" w:rsidP="00CF56CF">
            <w:pPr>
              <w:pStyle w:val="TAC"/>
            </w:pPr>
          </w:p>
        </w:tc>
        <w:tc>
          <w:tcPr>
            <w:tcW w:w="951" w:type="dxa"/>
            <w:tcBorders>
              <w:left w:val="single" w:sz="6" w:space="0" w:color="auto"/>
              <w:right w:val="single" w:sz="6" w:space="0" w:color="auto"/>
            </w:tcBorders>
            <w:shd w:val="clear" w:color="auto" w:fill="auto"/>
          </w:tcPr>
          <w:p w14:paraId="6D3569F3" w14:textId="77777777" w:rsidR="0058457E" w:rsidRPr="009C5807" w:rsidRDefault="0058457E" w:rsidP="00CF56CF">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352E873D" w14:textId="77777777" w:rsidR="0058457E" w:rsidRPr="009C5807" w:rsidDel="00836998" w:rsidRDefault="0058457E" w:rsidP="00CF56CF">
            <w:pPr>
              <w:pStyle w:val="TAC"/>
              <w:rPr>
                <w:lang w:eastAsia="zh-CN"/>
              </w:rPr>
            </w:pPr>
            <w:r w:rsidRPr="009C5807">
              <w:rPr>
                <w:lang w:eastAsia="zh-CN"/>
              </w:rPr>
              <w:t>NR_FDD_FR1_G</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550701A8" w14:textId="77777777" w:rsidR="0058457E" w:rsidRPr="009C5807" w:rsidRDefault="0058457E" w:rsidP="00CF56CF">
            <w:pPr>
              <w:pStyle w:val="TAC"/>
            </w:pPr>
            <w:r w:rsidRPr="009C5807">
              <w:t>-118</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08D76359" w14:textId="77777777" w:rsidR="0058457E" w:rsidRPr="009C5807" w:rsidRDefault="0058457E" w:rsidP="00CF56CF">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A0B1497"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621B4BB" w14:textId="77777777" w:rsidR="0058457E" w:rsidRPr="009C5807" w:rsidRDefault="0058457E" w:rsidP="00CF56CF">
            <w:pPr>
              <w:pStyle w:val="TAC"/>
            </w:pPr>
            <w:r w:rsidRPr="009C5807">
              <w:t>-50</w:t>
            </w:r>
          </w:p>
        </w:tc>
      </w:tr>
      <w:tr w:rsidR="0058457E" w:rsidRPr="009C5807" w14:paraId="22803A08" w14:textId="77777777" w:rsidTr="00CF56CF">
        <w:trPr>
          <w:jc w:val="center"/>
        </w:trPr>
        <w:tc>
          <w:tcPr>
            <w:tcW w:w="1033" w:type="dxa"/>
            <w:tcBorders>
              <w:left w:val="single" w:sz="4" w:space="0" w:color="auto"/>
              <w:right w:val="single" w:sz="6" w:space="0" w:color="auto"/>
            </w:tcBorders>
            <w:shd w:val="clear" w:color="auto" w:fill="auto"/>
          </w:tcPr>
          <w:p w14:paraId="2655AD2D" w14:textId="77777777" w:rsidR="0058457E" w:rsidRPr="009C5807" w:rsidRDefault="0058457E" w:rsidP="00CF56CF">
            <w:pPr>
              <w:pStyle w:val="TAC"/>
            </w:pPr>
          </w:p>
        </w:tc>
        <w:tc>
          <w:tcPr>
            <w:tcW w:w="1047" w:type="dxa"/>
            <w:tcBorders>
              <w:left w:val="single" w:sz="6" w:space="0" w:color="auto"/>
              <w:right w:val="single" w:sz="6" w:space="0" w:color="auto"/>
            </w:tcBorders>
            <w:shd w:val="clear" w:color="auto" w:fill="auto"/>
          </w:tcPr>
          <w:p w14:paraId="3FE15A1C" w14:textId="77777777" w:rsidR="0058457E" w:rsidRPr="009C5807" w:rsidRDefault="0058457E" w:rsidP="00CF56CF">
            <w:pPr>
              <w:pStyle w:val="TAC"/>
            </w:pPr>
          </w:p>
        </w:tc>
        <w:tc>
          <w:tcPr>
            <w:tcW w:w="951" w:type="dxa"/>
            <w:tcBorders>
              <w:left w:val="single" w:sz="6" w:space="0" w:color="auto"/>
              <w:right w:val="single" w:sz="6" w:space="0" w:color="auto"/>
            </w:tcBorders>
            <w:shd w:val="clear" w:color="auto" w:fill="auto"/>
          </w:tcPr>
          <w:p w14:paraId="434AB7F1" w14:textId="77777777" w:rsidR="0058457E" w:rsidRPr="009C5807" w:rsidRDefault="0058457E" w:rsidP="00CF56CF">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247F753D" w14:textId="77777777" w:rsidR="0058457E" w:rsidRPr="009C5807" w:rsidRDefault="0058457E" w:rsidP="00CF56CF">
            <w:pPr>
              <w:pStyle w:val="TAC"/>
              <w:rPr>
                <w:lang w:eastAsia="zh-CN"/>
              </w:rPr>
            </w:pPr>
            <w:r w:rsidRPr="009C5807">
              <w:rPr>
                <w:lang w:eastAsia="zh-CN"/>
              </w:rPr>
              <w:t>NR_FDD_FR1_H</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48C17316" w14:textId="77777777" w:rsidR="0058457E" w:rsidRPr="009C5807" w:rsidRDefault="0058457E" w:rsidP="00CF56CF">
            <w:pPr>
              <w:pStyle w:val="TAC"/>
            </w:pPr>
            <w:r w:rsidRPr="009C5807">
              <w:t>-117.5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4068E93C" w14:textId="77777777" w:rsidR="0058457E" w:rsidRPr="009C5807" w:rsidRDefault="0058457E" w:rsidP="00CF56CF">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3C87F43" w14:textId="77777777" w:rsidR="0058457E" w:rsidRPr="009C5807" w:rsidRDefault="0058457E" w:rsidP="00CF56CF">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DC6E65D" w14:textId="77777777" w:rsidR="0058457E" w:rsidRPr="009C5807" w:rsidRDefault="0058457E" w:rsidP="00CF56CF">
            <w:pPr>
              <w:pStyle w:val="TAC"/>
            </w:pPr>
            <w:r w:rsidRPr="009C5807">
              <w:t>-50</w:t>
            </w:r>
          </w:p>
        </w:tc>
      </w:tr>
      <w:tr w:rsidR="0058457E" w:rsidRPr="009C5807" w14:paraId="05DDADF6" w14:textId="77777777" w:rsidTr="00CF56CF">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2C3EF9E2" w14:textId="77777777" w:rsidR="0058457E" w:rsidRPr="009C5807" w:rsidRDefault="0058457E" w:rsidP="00CF56CF">
            <w:pPr>
              <w:pStyle w:val="TAC"/>
              <w:rPr>
                <w:lang w:eastAsia="zh-CN"/>
              </w:rPr>
            </w:pPr>
            <w:r w:rsidRPr="009C5807">
              <w:sym w:font="Symbol" w:char="F0B1"/>
            </w:r>
            <w:r w:rsidRPr="009C5807">
              <w:t>4</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070516B1" w14:textId="77777777" w:rsidR="0058457E" w:rsidRPr="009C5807" w:rsidRDefault="0058457E" w:rsidP="00CF56CF">
            <w:pPr>
              <w:pStyle w:val="TAC"/>
              <w:rPr>
                <w:lang w:eastAsia="zh-CN"/>
              </w:rPr>
            </w:pPr>
            <w:r w:rsidRPr="009C5807">
              <w:sym w:font="Symbol" w:char="F0B1"/>
            </w:r>
            <w:r w:rsidRPr="009C5807">
              <w:t>4</w:t>
            </w:r>
          </w:p>
        </w:tc>
        <w:tc>
          <w:tcPr>
            <w:tcW w:w="951" w:type="dxa"/>
            <w:tcBorders>
              <w:top w:val="single" w:sz="6" w:space="0" w:color="auto"/>
              <w:left w:val="single" w:sz="6" w:space="0" w:color="auto"/>
              <w:bottom w:val="single" w:sz="6" w:space="0" w:color="auto"/>
              <w:right w:val="single" w:sz="6" w:space="0" w:color="auto"/>
            </w:tcBorders>
            <w:shd w:val="clear" w:color="auto" w:fill="auto"/>
          </w:tcPr>
          <w:p w14:paraId="694431A1" w14:textId="1E0FC2AE" w:rsidR="0058457E" w:rsidRPr="009C5807" w:rsidRDefault="0058457E" w:rsidP="00CF56CF">
            <w:pPr>
              <w:pStyle w:val="TAC"/>
            </w:pPr>
            <w:r w:rsidRPr="009C5807">
              <w:sym w:font="Symbol" w:char="F0B3"/>
            </w:r>
            <w:r w:rsidRPr="009C5807">
              <w:rPr>
                <w:lang w:eastAsia="zh-CN"/>
              </w:rPr>
              <w:t>-6</w:t>
            </w: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7830E991" w14:textId="77777777" w:rsidR="0058457E" w:rsidRPr="009C5807" w:rsidRDefault="0058457E" w:rsidP="00CF56CF">
            <w:pPr>
              <w:pStyle w:val="TAC"/>
            </w:pPr>
            <w:r w:rsidRPr="009C5807">
              <w:t>Note 3</w:t>
            </w:r>
          </w:p>
        </w:tc>
        <w:tc>
          <w:tcPr>
            <w:tcW w:w="1107" w:type="dxa"/>
            <w:tcBorders>
              <w:top w:val="single" w:sz="6" w:space="0" w:color="auto"/>
              <w:left w:val="single" w:sz="4" w:space="0" w:color="auto"/>
              <w:bottom w:val="single" w:sz="4" w:space="0" w:color="auto"/>
              <w:right w:val="single" w:sz="6" w:space="0" w:color="auto"/>
            </w:tcBorders>
            <w:shd w:val="clear" w:color="auto" w:fill="auto"/>
          </w:tcPr>
          <w:p w14:paraId="077D5817" w14:textId="77777777" w:rsidR="0058457E" w:rsidRPr="009C5807" w:rsidRDefault="0058457E" w:rsidP="00CF56CF">
            <w:pPr>
              <w:pStyle w:val="TAC"/>
            </w:pPr>
            <w:r w:rsidRPr="009C5807">
              <w:t>Note 3</w:t>
            </w:r>
          </w:p>
        </w:tc>
        <w:tc>
          <w:tcPr>
            <w:tcW w:w="1032" w:type="dxa"/>
            <w:tcBorders>
              <w:top w:val="single" w:sz="6" w:space="0" w:color="auto"/>
              <w:left w:val="single" w:sz="4" w:space="0" w:color="auto"/>
              <w:bottom w:val="single" w:sz="4" w:space="0" w:color="auto"/>
              <w:right w:val="single" w:sz="6" w:space="0" w:color="auto"/>
            </w:tcBorders>
            <w:shd w:val="clear" w:color="auto" w:fill="auto"/>
          </w:tcPr>
          <w:p w14:paraId="6EA919EF" w14:textId="77777777" w:rsidR="0058457E" w:rsidRPr="009C5807" w:rsidRDefault="0058457E" w:rsidP="00CF56CF">
            <w:pPr>
              <w:pStyle w:val="TAC"/>
              <w:rPr>
                <w:lang w:eastAsia="zh-CN"/>
              </w:rPr>
            </w:pPr>
            <w:r w:rsidRPr="009C5807">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6854CCC6" w14:textId="77777777" w:rsidR="0058457E" w:rsidRPr="009C5807" w:rsidRDefault="0058457E" w:rsidP="00CF56CF">
            <w:pPr>
              <w:pStyle w:val="TAC"/>
            </w:pPr>
            <w:r w:rsidRPr="009C5807">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1840B7F3" w14:textId="77777777" w:rsidR="0058457E" w:rsidRPr="009C5807" w:rsidRDefault="0058457E" w:rsidP="00CF56CF">
            <w:pPr>
              <w:pStyle w:val="TAC"/>
            </w:pPr>
            <w:r w:rsidRPr="009C5807">
              <w:t>Note 3</w:t>
            </w:r>
          </w:p>
        </w:tc>
      </w:tr>
      <w:tr w:rsidR="001F5A79" w:rsidRPr="009C5807" w14:paraId="02C92EE2" w14:textId="77777777" w:rsidTr="00DF3064">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4B2FF8E5" w14:textId="77777777" w:rsidR="006055B0" w:rsidRPr="009C5807" w:rsidRDefault="006055B0" w:rsidP="006055B0">
            <w:pPr>
              <w:pStyle w:val="TAN"/>
            </w:pPr>
            <w:r w:rsidRPr="009C5807">
              <w:t>N</w:t>
            </w:r>
            <w:r w:rsidRPr="009C5807">
              <w:rPr>
                <w:lang w:eastAsia="zh-CN"/>
              </w:rPr>
              <w:t>OTE</w:t>
            </w:r>
            <w:r w:rsidRPr="009C5807">
              <w:t xml:space="preserve"> 1:</w:t>
            </w:r>
            <w:r w:rsidRPr="009C5807">
              <w:tab/>
              <w:t>Io is assumed to have constant EPRE across the bandwidth.</w:t>
            </w:r>
          </w:p>
          <w:p w14:paraId="0A6C3DCA" w14:textId="77777777" w:rsidR="006055B0" w:rsidRPr="009C5807" w:rsidRDefault="006055B0" w:rsidP="006055B0">
            <w:pPr>
              <w:pStyle w:val="TAN"/>
            </w:pPr>
            <w:r w:rsidRPr="009C5807">
              <w:t>N</w:t>
            </w:r>
            <w:r w:rsidRPr="009C5807">
              <w:rPr>
                <w:lang w:eastAsia="zh-CN"/>
              </w:rPr>
              <w:t>OTE</w:t>
            </w:r>
            <w:r w:rsidRPr="009C5807">
              <w:t xml:space="preserve"> 2:</w:t>
            </w:r>
            <w:r w:rsidRPr="009C5807">
              <w:tab/>
            </w:r>
            <w:r w:rsidRPr="009C5807">
              <w:rPr>
                <w:lang w:eastAsia="zh-CN"/>
              </w:rPr>
              <w:t xml:space="preserve">The parameter </w:t>
            </w:r>
            <w:r w:rsidRPr="009C5807">
              <w:t>SSB Ês/Iot</w:t>
            </w:r>
            <w:r w:rsidRPr="009C5807">
              <w:rPr>
                <w:lang w:eastAsia="zh-CN"/>
              </w:rPr>
              <w:t xml:space="preserve"> is the minimum </w:t>
            </w:r>
            <w:r w:rsidRPr="009C5807">
              <w:t>SSB Ês/Iot</w:t>
            </w:r>
            <w:r w:rsidRPr="009C5807">
              <w:rPr>
                <w:lang w:eastAsia="zh-CN"/>
              </w:rPr>
              <w:t xml:space="preserve"> of the pair of cells to which the requirement applies.</w:t>
            </w:r>
          </w:p>
          <w:p w14:paraId="758B24A1" w14:textId="77777777" w:rsidR="006055B0" w:rsidRPr="009C5807" w:rsidRDefault="006055B0" w:rsidP="006055B0">
            <w:pPr>
              <w:pStyle w:val="TAN"/>
              <w:rPr>
                <w:rFonts w:cs="Arial"/>
              </w:rPr>
            </w:pPr>
            <w:r w:rsidRPr="009C5807">
              <w:t>N</w:t>
            </w:r>
            <w:r w:rsidRPr="009C5807">
              <w:rPr>
                <w:lang w:eastAsia="zh-CN"/>
              </w:rPr>
              <w:t>OTE</w:t>
            </w:r>
            <w:r w:rsidRPr="009C5807">
              <w:t xml:space="preserve"> 3:</w:t>
            </w:r>
            <w:r w:rsidRPr="009C5807">
              <w:tab/>
            </w:r>
            <w:r w:rsidRPr="009C5807">
              <w:rPr>
                <w:rFonts w:cs="Arial"/>
              </w:rPr>
              <w:t>The same bands and the same Io conditions for each band apply for this requirement as for the corresponding highest accuracy requirement.</w:t>
            </w:r>
          </w:p>
          <w:p w14:paraId="760921CE" w14:textId="77777777" w:rsidR="006055B0" w:rsidRPr="009C5807" w:rsidRDefault="006055B0" w:rsidP="006055B0">
            <w:pPr>
              <w:pStyle w:val="TAN"/>
              <w:rPr>
                <w:rFonts w:cs="Arial"/>
              </w:rPr>
            </w:pPr>
            <w:r w:rsidRPr="009C5807">
              <w:rPr>
                <w:rFonts w:cs="Arial"/>
              </w:rPr>
              <w:t>NOTE 4:</w:t>
            </w:r>
            <w:r w:rsidRPr="009C5807">
              <w:rPr>
                <w:rFonts w:cs="Arial"/>
              </w:rPr>
              <w:tab/>
              <w:t xml:space="preserve">The requirements apply for SSB Ês/Iot </w:t>
            </w:r>
            <w:r w:rsidRPr="009C5807">
              <w:rPr>
                <w:rFonts w:cs="Arial" w:hint="eastAsia"/>
              </w:rPr>
              <w:t>≤</w:t>
            </w:r>
            <w:r w:rsidRPr="009C5807">
              <w:rPr>
                <w:rFonts w:cs="Arial"/>
              </w:rPr>
              <w:t xml:space="preserve"> [25] dB.</w:t>
            </w:r>
          </w:p>
          <w:p w14:paraId="5762DCA3" w14:textId="77777777" w:rsidR="006055B0" w:rsidRDefault="006055B0" w:rsidP="006055B0">
            <w:pPr>
              <w:pStyle w:val="TAN"/>
            </w:pPr>
            <w:r w:rsidRPr="009C5807">
              <w:rPr>
                <w:rFonts w:cs="Arial"/>
              </w:rPr>
              <w:t>NOTE 5:</w:t>
            </w:r>
            <w:r w:rsidRPr="009C5807">
              <w:rPr>
                <w:rFonts w:cs="Arial"/>
              </w:rPr>
              <w:tab/>
            </w:r>
            <w:r w:rsidRPr="009C5807">
              <w:t>NR operating band groups in FR1 are as defined in clause 3.5.2.</w:t>
            </w:r>
          </w:p>
          <w:p w14:paraId="64EA1234" w14:textId="06B73C59" w:rsidR="001F5A79" w:rsidRPr="009C5807" w:rsidRDefault="006055B0" w:rsidP="006055B0">
            <w:pPr>
              <w:pStyle w:val="TAN"/>
            </w:pPr>
            <w:r w:rsidRPr="009C5807">
              <w:rPr>
                <w:rFonts w:cs="Arial"/>
              </w:rPr>
              <w:t xml:space="preserve">NOTE </w:t>
            </w:r>
            <w:r>
              <w:rPr>
                <w:rFonts w:cs="Arial"/>
              </w:rPr>
              <w:t>6</w:t>
            </w:r>
            <w:r w:rsidRPr="009C5807">
              <w:rPr>
                <w:rFonts w:cs="Arial"/>
              </w:rPr>
              <w:t>:</w:t>
            </w:r>
            <w:r w:rsidRPr="009C5807">
              <w:rPr>
                <w:rFonts w:cs="Arial"/>
              </w:rPr>
              <w:tab/>
              <w:t xml:space="preserve">The requirements apply for SSB Ês/Iot </w:t>
            </w:r>
            <w:r w:rsidRPr="009C5807">
              <w:rPr>
                <w:rFonts w:cs="Arial" w:hint="eastAsia"/>
              </w:rPr>
              <w:t>≤</w:t>
            </w:r>
            <w:r>
              <w:rPr>
                <w:rFonts w:cs="Arial" w:hint="eastAsia"/>
                <w:lang w:eastAsia="zh-CN"/>
              </w:rPr>
              <w:t xml:space="preserve"> </w:t>
            </w:r>
            <w:r>
              <w:rPr>
                <w:rFonts w:cs="Arial"/>
              </w:rPr>
              <w:t>[5]</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7B184D58" w14:textId="77777777" w:rsidR="001F5A79" w:rsidRPr="009C5807" w:rsidRDefault="001F5A79" w:rsidP="001F5A79">
      <w:pPr>
        <w:rPr>
          <w:lang w:eastAsia="ko-KR"/>
        </w:rPr>
      </w:pPr>
    </w:p>
    <w:p w14:paraId="2CBB8B3D" w14:textId="77777777" w:rsidR="00567E6C" w:rsidRPr="009C5807" w:rsidRDefault="00567E6C" w:rsidP="00F37389">
      <w:pPr>
        <w:pStyle w:val="Heading4"/>
        <w:rPr>
          <w:lang w:val="en-US" w:eastAsia="zh-CN"/>
        </w:rPr>
      </w:pPr>
      <w:r>
        <w:rPr>
          <w:lang w:val="en-US" w:eastAsia="zh-CN"/>
        </w:rPr>
        <w:t>10.1.14.2</w:t>
      </w:r>
      <w:r w:rsidRPr="009C5807">
        <w:rPr>
          <w:lang w:val="en-US" w:eastAsia="zh-CN"/>
        </w:rPr>
        <w:tab/>
      </w:r>
      <w:r w:rsidRPr="009C5807">
        <w:rPr>
          <w:lang w:val="en-US" w:eastAsia="ko-KR"/>
        </w:rPr>
        <w:t xml:space="preserve">Inter-frequency </w:t>
      </w:r>
      <w:r>
        <w:rPr>
          <w:lang w:val="en-US" w:eastAsia="ko-KR"/>
        </w:rPr>
        <w:t>CSI-SINR</w:t>
      </w:r>
      <w:r w:rsidRPr="009C5807">
        <w:rPr>
          <w:lang w:val="en-US" w:eastAsia="ko-KR"/>
        </w:rPr>
        <w:t xml:space="preserve"> accuracy requirements</w:t>
      </w:r>
      <w:r w:rsidRPr="009C5807">
        <w:rPr>
          <w:lang w:val="en-US" w:eastAsia="zh-CN"/>
        </w:rPr>
        <w:t xml:space="preserve"> in FR1</w:t>
      </w:r>
    </w:p>
    <w:p w14:paraId="31D97967" w14:textId="77777777" w:rsidR="00567E6C" w:rsidRPr="009C5807" w:rsidRDefault="00567E6C" w:rsidP="00F37389">
      <w:pPr>
        <w:pStyle w:val="Heading5"/>
        <w:rPr>
          <w:lang w:val="en-US" w:eastAsia="zh-CN"/>
        </w:rPr>
      </w:pPr>
      <w:r>
        <w:rPr>
          <w:lang w:val="en-US" w:eastAsia="zh-CN"/>
        </w:rPr>
        <w:t>10.1.14.2</w:t>
      </w:r>
      <w:r w:rsidRPr="009C5807">
        <w:rPr>
          <w:lang w:val="en-US" w:eastAsia="zh-CN"/>
        </w:rPr>
        <w:t>.1</w:t>
      </w:r>
      <w:r w:rsidRPr="009C5807">
        <w:rPr>
          <w:lang w:val="en-US" w:eastAsia="zh-CN"/>
        </w:rPr>
        <w:tab/>
      </w:r>
      <w:r w:rsidRPr="009C5807">
        <w:rPr>
          <w:lang w:eastAsia="zh-CN"/>
        </w:rPr>
        <w:t>Aboslute</w:t>
      </w:r>
      <w:r w:rsidRPr="009C5807">
        <w:t xml:space="preserve"> Accuracy of </w:t>
      </w:r>
      <w:r>
        <w:rPr>
          <w:lang w:eastAsia="zh-CN"/>
        </w:rPr>
        <w:t>CSI-SINR</w:t>
      </w:r>
      <w:r w:rsidRPr="009C5807">
        <w:rPr>
          <w:lang w:val="en-US" w:eastAsia="zh-CN"/>
        </w:rPr>
        <w:t xml:space="preserve"> in FR1</w:t>
      </w:r>
    </w:p>
    <w:p w14:paraId="7F1340E0" w14:textId="77777777" w:rsidR="00567E6C" w:rsidRPr="009C5807" w:rsidRDefault="00567E6C" w:rsidP="00567E6C">
      <w:pPr>
        <w:rPr>
          <w:rFonts w:cs="v4.2.0"/>
          <w:i/>
        </w:rPr>
      </w:pPr>
      <w:r w:rsidRPr="009C5807">
        <w:rPr>
          <w:rFonts w:cs="v4.2.0"/>
        </w:rPr>
        <w:t>The requirements for absolute accuracy of</w:t>
      </w:r>
      <w:r w:rsidRPr="009C5807">
        <w:rPr>
          <w:rFonts w:cs="v4.2.0"/>
          <w:lang w:eastAsia="zh-CN"/>
        </w:rPr>
        <w:t xml:space="preserve"> </w:t>
      </w:r>
      <w:r>
        <w:rPr>
          <w:rFonts w:cs="v4.2.0"/>
          <w:lang w:eastAsia="zh-CN"/>
        </w:rPr>
        <w:t>CSI-SINR</w:t>
      </w:r>
      <w:r w:rsidRPr="009C5807">
        <w:rPr>
          <w:rFonts w:cs="v4.2.0"/>
        </w:rPr>
        <w:t xml:space="preserve"> in this clause apply to a cell on a frequency in FR1 that has different carrier frequency from the serving cell.</w:t>
      </w:r>
    </w:p>
    <w:p w14:paraId="20ACD720" w14:textId="77777777" w:rsidR="00567E6C" w:rsidRPr="009C5807" w:rsidRDefault="00567E6C" w:rsidP="00567E6C">
      <w:pPr>
        <w:rPr>
          <w:rFonts w:cs="v4.2.0"/>
        </w:rPr>
      </w:pPr>
      <w:r w:rsidRPr="009C5807">
        <w:rPr>
          <w:rFonts w:cs="v4.2.0"/>
        </w:rPr>
        <w:t xml:space="preserve">The accuracy requirements in Table </w:t>
      </w:r>
      <w:r>
        <w:rPr>
          <w:rFonts w:cs="v4.2.0"/>
          <w:lang w:eastAsia="zh-CN"/>
        </w:rPr>
        <w:t>10.1.14.2</w:t>
      </w:r>
      <w:r w:rsidRPr="009C5807">
        <w:rPr>
          <w:rFonts w:cs="v4.2.0"/>
          <w:lang w:eastAsia="zh-CN"/>
        </w:rPr>
        <w:t>.1</w:t>
      </w:r>
      <w:r w:rsidRPr="009C5807">
        <w:rPr>
          <w:rFonts w:cs="v4.2.0"/>
        </w:rPr>
        <w:t>-1 are valid under the following conditions:</w:t>
      </w:r>
    </w:p>
    <w:p w14:paraId="21C5A2F2" w14:textId="77777777" w:rsidR="00567E6C" w:rsidRPr="009C5807" w:rsidRDefault="00567E6C" w:rsidP="00567E6C">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3608D9DC" w14:textId="77777777" w:rsidR="00567E6C" w:rsidRDefault="00567E6C" w:rsidP="00567E6C">
      <w:pPr>
        <w:pStyle w:val="B10"/>
      </w:pPr>
      <w:r w:rsidRPr="009C5807">
        <w:t>-</w:t>
      </w:r>
      <w:r w:rsidRPr="009C5807">
        <w:rPr>
          <w:rFonts w:ascii="Arial" w:hAnsi="Arial"/>
          <w:sz w:val="28"/>
          <w:lang w:val="en-US"/>
        </w:rPr>
        <w:tab/>
      </w:r>
      <w:r w:rsidRPr="009C5807">
        <w:t>Conditions for inter-frequency measurements are fulfilled according to Annex B.2.</w:t>
      </w:r>
      <w:r>
        <w:rPr>
          <w:rFonts w:hint="eastAsia"/>
          <w:lang w:eastAsia="zh-CN"/>
        </w:rPr>
        <w:t>9</w:t>
      </w:r>
      <w:r w:rsidRPr="009C5807">
        <w:t xml:space="preserve"> for a corresponding Band.</w:t>
      </w:r>
    </w:p>
    <w:p w14:paraId="0C9A8C64" w14:textId="69310D98" w:rsidR="00567E6C" w:rsidRDefault="00567E6C" w:rsidP="00567E6C">
      <w:pPr>
        <w:pStyle w:val="B10"/>
        <w:rPr>
          <w:lang w:eastAsia="zh-CN"/>
        </w:rPr>
      </w:pPr>
      <w:r w:rsidRPr="009C5807">
        <w:t>-</w:t>
      </w:r>
      <w:r w:rsidRPr="009C5807">
        <w:tab/>
        <w:t xml:space="preserve">The </w:t>
      </w:r>
      <w:r>
        <w:t xml:space="preserve">timing offset </w:t>
      </w:r>
      <w:r w:rsidRPr="009C5807">
        <w:t xml:space="preserve">between </w:t>
      </w:r>
      <w:r w:rsidRPr="007C71DE">
        <w:t>the reference measurement timing and the target CSI-RS in one layer</w:t>
      </w:r>
      <w:r>
        <w:t xml:space="preserve"> </w:t>
      </w:r>
      <w:r w:rsidRPr="009C5807">
        <w:t xml:space="preserve">is </w:t>
      </w:r>
      <w:r>
        <w:t>no larger than CP</w:t>
      </w:r>
      <w:r>
        <w:rPr>
          <w:rFonts w:hint="eastAsia"/>
          <w:lang w:eastAsia="zh-CN"/>
        </w:rPr>
        <w:t>.</w:t>
      </w:r>
    </w:p>
    <w:p w14:paraId="19E36CB8" w14:textId="5FFE58D2" w:rsidR="00567E6C" w:rsidRDefault="00567E6C" w:rsidP="00F37389">
      <w:pPr>
        <w:pStyle w:val="B20"/>
        <w:rPr>
          <w:lang w:eastAsia="zh-CN"/>
        </w:rPr>
      </w:pPr>
      <w:r>
        <w:rPr>
          <w:rFonts w:hint="eastAsia"/>
          <w:lang w:eastAsia="zh-CN"/>
        </w:rPr>
        <w:t>•</w:t>
      </w:r>
      <w:r>
        <w:rPr>
          <w:lang w:eastAsia="zh-CN"/>
        </w:rPr>
        <w:tab/>
      </w:r>
      <w:r w:rsidRPr="0074207F">
        <w:rPr>
          <w:lang w:eastAsia="zh-CN"/>
        </w:rPr>
        <w:t>Note: The reference measurement timing for inter-frequency measurement is up to UE implementation and shall be based on the timing of one of the target cells.</w:t>
      </w:r>
    </w:p>
    <w:p w14:paraId="020AD978" w14:textId="77777777" w:rsidR="00567E6C" w:rsidRDefault="00567E6C" w:rsidP="00567E6C">
      <w:pPr>
        <w:pStyle w:val="B10"/>
        <w:rPr>
          <w:lang w:eastAsia="zh-CN"/>
        </w:rPr>
      </w:pPr>
      <w:r>
        <w:rPr>
          <w:lang w:eastAsia="zh-CN"/>
        </w:rPr>
        <w:t>-</w:t>
      </w:r>
      <w:r>
        <w:rPr>
          <w:lang w:eastAsia="zh-CN"/>
        </w:rPr>
        <w:tab/>
        <w:t xml:space="preserve">The bandwidth of CSI-RS is 48 PRBs and the density is 3. </w:t>
      </w:r>
    </w:p>
    <w:p w14:paraId="75458E08" w14:textId="612CEA2B" w:rsidR="00567E6C" w:rsidRPr="006B1BC4" w:rsidRDefault="00567E6C" w:rsidP="00F37389">
      <w:pPr>
        <w:pStyle w:val="B20"/>
        <w:rPr>
          <w:lang w:eastAsia="zh-CN"/>
        </w:rPr>
      </w:pPr>
      <w:r>
        <w:rPr>
          <w:rFonts w:hint="eastAsia"/>
          <w:lang w:eastAsia="zh-CN"/>
        </w:rPr>
        <w:t>•</w:t>
      </w:r>
      <w:r>
        <w:rPr>
          <w:lang w:eastAsia="zh-CN"/>
        </w:rPr>
        <w:tab/>
        <w:t>The performance with larger bandwidth of CSI-RS is equal to or better than the accuracy requirements in Table 10.1.14.2</w:t>
      </w:r>
      <w:r w:rsidRPr="009C5807">
        <w:rPr>
          <w:lang w:eastAsia="zh-CN"/>
        </w:rPr>
        <w:t>.1</w:t>
      </w:r>
      <w:r w:rsidRPr="009C5807">
        <w:t>-1</w:t>
      </w:r>
      <w:r>
        <w:rPr>
          <w:lang w:eastAsia="zh-CN"/>
        </w:rPr>
        <w:t>.</w:t>
      </w:r>
    </w:p>
    <w:p w14:paraId="0866C704" w14:textId="77777777" w:rsidR="00567E6C" w:rsidRDefault="00567E6C" w:rsidP="00567E6C">
      <w:pPr>
        <w:pStyle w:val="TH"/>
        <w:rPr>
          <w:lang w:eastAsia="zh-CN"/>
        </w:rPr>
      </w:pPr>
      <w:r w:rsidRPr="009C5807">
        <w:t xml:space="preserve">Table </w:t>
      </w:r>
      <w:r>
        <w:rPr>
          <w:lang w:eastAsia="zh-CN"/>
        </w:rPr>
        <w:t>10.1.14.2</w:t>
      </w:r>
      <w:r w:rsidRPr="009C5807">
        <w:rPr>
          <w:lang w:eastAsia="zh-CN"/>
        </w:rPr>
        <w:t>.1</w:t>
      </w:r>
      <w:r w:rsidRPr="009C5807">
        <w:t xml:space="preserve">-1: </w:t>
      </w:r>
      <w:r>
        <w:rPr>
          <w:lang w:eastAsia="zh-CN"/>
        </w:rPr>
        <w:t>CSI-SINR</w:t>
      </w:r>
      <w:r w:rsidRPr="009C5807">
        <w:t xml:space="preserve"> Inter frequency absolute accuracy</w:t>
      </w:r>
      <w:r w:rsidRPr="009C5807">
        <w:rPr>
          <w:lang w:eastAsia="zh-CN"/>
        </w:rPr>
        <w:t xml:space="preserve"> in FR1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26"/>
        <w:gridCol w:w="1026"/>
        <w:gridCol w:w="707"/>
        <w:gridCol w:w="2008"/>
        <w:gridCol w:w="803"/>
        <w:gridCol w:w="814"/>
        <w:gridCol w:w="815"/>
        <w:gridCol w:w="1377"/>
        <w:gridCol w:w="1047"/>
      </w:tblGrid>
      <w:tr w:rsidR="00567E6C" w:rsidRPr="00C32E45" w14:paraId="41793FE7" w14:textId="77777777" w:rsidTr="00567E6C">
        <w:trPr>
          <w:jc w:val="center"/>
        </w:trPr>
        <w:tc>
          <w:tcPr>
            <w:tcW w:w="0" w:type="auto"/>
            <w:gridSpan w:val="2"/>
            <w:shd w:val="clear" w:color="auto" w:fill="auto"/>
            <w:vAlign w:val="center"/>
          </w:tcPr>
          <w:p w14:paraId="69EDA377" w14:textId="77777777" w:rsidR="00567E6C" w:rsidRPr="00C32E45" w:rsidRDefault="00567E6C" w:rsidP="00F37389">
            <w:pPr>
              <w:pStyle w:val="TAH"/>
            </w:pPr>
            <w:r w:rsidRPr="00C32E45">
              <w:t>Accuracy</w:t>
            </w:r>
          </w:p>
        </w:tc>
        <w:tc>
          <w:tcPr>
            <w:tcW w:w="0" w:type="auto"/>
            <w:gridSpan w:val="7"/>
            <w:shd w:val="clear" w:color="auto" w:fill="auto"/>
            <w:vAlign w:val="center"/>
          </w:tcPr>
          <w:p w14:paraId="5CA50337" w14:textId="77777777" w:rsidR="00567E6C" w:rsidRPr="00C32E45" w:rsidRDefault="00567E6C" w:rsidP="00F37389">
            <w:pPr>
              <w:pStyle w:val="TAH"/>
            </w:pPr>
            <w:r w:rsidRPr="00C32E45">
              <w:t>Conditions</w:t>
            </w:r>
          </w:p>
        </w:tc>
      </w:tr>
      <w:tr w:rsidR="00567E6C" w:rsidRPr="00C32E45" w14:paraId="18BE1C17" w14:textId="77777777" w:rsidTr="00567E6C">
        <w:trPr>
          <w:jc w:val="center"/>
        </w:trPr>
        <w:tc>
          <w:tcPr>
            <w:tcW w:w="0" w:type="auto"/>
            <w:vMerge w:val="restart"/>
            <w:shd w:val="clear" w:color="auto" w:fill="auto"/>
            <w:vAlign w:val="center"/>
          </w:tcPr>
          <w:p w14:paraId="63956279" w14:textId="77777777" w:rsidR="00567E6C" w:rsidRPr="00C32E45" w:rsidRDefault="00567E6C" w:rsidP="00F37389">
            <w:pPr>
              <w:pStyle w:val="TAH"/>
            </w:pPr>
            <w:r w:rsidRPr="00C32E45">
              <w:t>Normal condition</w:t>
            </w:r>
          </w:p>
        </w:tc>
        <w:tc>
          <w:tcPr>
            <w:tcW w:w="0" w:type="auto"/>
            <w:vMerge w:val="restart"/>
            <w:shd w:val="clear" w:color="auto" w:fill="auto"/>
            <w:vAlign w:val="center"/>
          </w:tcPr>
          <w:p w14:paraId="74EFA8D3" w14:textId="77777777" w:rsidR="00567E6C" w:rsidRPr="00C32E45" w:rsidRDefault="00567E6C" w:rsidP="00F37389">
            <w:pPr>
              <w:pStyle w:val="TAH"/>
            </w:pPr>
            <w:r w:rsidRPr="00C32E45">
              <w:t>Extreme condition</w:t>
            </w:r>
          </w:p>
        </w:tc>
        <w:tc>
          <w:tcPr>
            <w:tcW w:w="0" w:type="auto"/>
            <w:vMerge w:val="restart"/>
            <w:shd w:val="clear" w:color="auto" w:fill="auto"/>
            <w:vAlign w:val="center"/>
          </w:tcPr>
          <w:p w14:paraId="292CA3EF" w14:textId="77777777" w:rsidR="00567E6C" w:rsidRPr="00C32E45" w:rsidRDefault="00567E6C" w:rsidP="00F37389">
            <w:pPr>
              <w:pStyle w:val="TAH"/>
            </w:pPr>
            <w:r>
              <w:t xml:space="preserve">CSI-RS </w:t>
            </w:r>
            <w:r w:rsidRPr="00C32E45">
              <w:t>Ês/Iot</w:t>
            </w:r>
          </w:p>
        </w:tc>
        <w:tc>
          <w:tcPr>
            <w:tcW w:w="0" w:type="auto"/>
            <w:gridSpan w:val="6"/>
            <w:shd w:val="clear" w:color="auto" w:fill="auto"/>
            <w:vAlign w:val="center"/>
          </w:tcPr>
          <w:p w14:paraId="3099D647" w14:textId="77777777" w:rsidR="00567E6C" w:rsidRPr="00C32E45" w:rsidRDefault="00567E6C" w:rsidP="00F37389">
            <w:pPr>
              <w:pStyle w:val="TAH"/>
            </w:pPr>
            <w:r w:rsidRPr="00C32E45">
              <w:t>Io</w:t>
            </w:r>
            <w:r w:rsidRPr="00C32E45">
              <w:rPr>
                <w:vertAlign w:val="superscript"/>
              </w:rPr>
              <w:t xml:space="preserve"> Note 1</w:t>
            </w:r>
            <w:r w:rsidRPr="00C32E45">
              <w:t xml:space="preserve"> range</w:t>
            </w:r>
          </w:p>
        </w:tc>
      </w:tr>
      <w:tr w:rsidR="00567E6C" w:rsidRPr="00C32E45" w14:paraId="269BAB81" w14:textId="77777777" w:rsidTr="00567E6C">
        <w:trPr>
          <w:jc w:val="center"/>
        </w:trPr>
        <w:tc>
          <w:tcPr>
            <w:tcW w:w="0" w:type="auto"/>
            <w:vMerge/>
            <w:shd w:val="clear" w:color="auto" w:fill="auto"/>
            <w:vAlign w:val="center"/>
          </w:tcPr>
          <w:p w14:paraId="50485DF8" w14:textId="77777777" w:rsidR="00567E6C" w:rsidRPr="00C32E45" w:rsidRDefault="00567E6C" w:rsidP="00F37389">
            <w:pPr>
              <w:pStyle w:val="TAH"/>
            </w:pPr>
          </w:p>
        </w:tc>
        <w:tc>
          <w:tcPr>
            <w:tcW w:w="0" w:type="auto"/>
            <w:vMerge/>
            <w:shd w:val="clear" w:color="auto" w:fill="auto"/>
            <w:vAlign w:val="center"/>
          </w:tcPr>
          <w:p w14:paraId="0349D51B" w14:textId="77777777" w:rsidR="00567E6C" w:rsidRPr="00C32E45" w:rsidRDefault="00567E6C" w:rsidP="00F37389">
            <w:pPr>
              <w:pStyle w:val="TAH"/>
            </w:pPr>
          </w:p>
        </w:tc>
        <w:tc>
          <w:tcPr>
            <w:tcW w:w="0" w:type="auto"/>
            <w:vMerge/>
            <w:shd w:val="clear" w:color="auto" w:fill="auto"/>
            <w:vAlign w:val="center"/>
          </w:tcPr>
          <w:p w14:paraId="42811066" w14:textId="77777777" w:rsidR="00567E6C" w:rsidRPr="00C32E45" w:rsidRDefault="00567E6C" w:rsidP="00F37389">
            <w:pPr>
              <w:pStyle w:val="TAH"/>
            </w:pPr>
          </w:p>
        </w:tc>
        <w:tc>
          <w:tcPr>
            <w:tcW w:w="1789" w:type="dxa"/>
            <w:shd w:val="clear" w:color="auto" w:fill="auto"/>
            <w:vAlign w:val="center"/>
          </w:tcPr>
          <w:p w14:paraId="6C5EFD9C" w14:textId="77777777" w:rsidR="00567E6C" w:rsidRPr="00C32E45" w:rsidRDefault="00567E6C" w:rsidP="00F37389">
            <w:pPr>
              <w:pStyle w:val="TAH"/>
            </w:pPr>
            <w:r w:rsidRPr="00C32E45">
              <w:t>NR operating band groups</w:t>
            </w:r>
            <w:r w:rsidRPr="00C32E45">
              <w:rPr>
                <w:vertAlign w:val="superscript"/>
              </w:rPr>
              <w:t xml:space="preserve"> </w:t>
            </w:r>
          </w:p>
        </w:tc>
        <w:tc>
          <w:tcPr>
            <w:tcW w:w="3744" w:type="dxa"/>
            <w:gridSpan w:val="4"/>
            <w:shd w:val="clear" w:color="auto" w:fill="auto"/>
            <w:vAlign w:val="center"/>
          </w:tcPr>
          <w:p w14:paraId="13343160" w14:textId="77777777" w:rsidR="00567E6C" w:rsidRPr="00C32E45" w:rsidRDefault="00567E6C" w:rsidP="00F37389">
            <w:pPr>
              <w:pStyle w:val="TAH"/>
            </w:pPr>
            <w:r w:rsidRPr="00C32E45">
              <w:t>Minimum Io</w:t>
            </w:r>
          </w:p>
        </w:tc>
        <w:tc>
          <w:tcPr>
            <w:tcW w:w="0" w:type="auto"/>
            <w:shd w:val="clear" w:color="auto" w:fill="auto"/>
            <w:vAlign w:val="center"/>
          </w:tcPr>
          <w:p w14:paraId="5456F256" w14:textId="77777777" w:rsidR="00567E6C" w:rsidRPr="00C32E45" w:rsidRDefault="00567E6C" w:rsidP="00F37389">
            <w:pPr>
              <w:pStyle w:val="TAH"/>
            </w:pPr>
            <w:r w:rsidRPr="00C32E45">
              <w:t>Maximum Io</w:t>
            </w:r>
          </w:p>
        </w:tc>
      </w:tr>
      <w:tr w:rsidR="00567E6C" w:rsidRPr="00C32E45" w14:paraId="499E86B4" w14:textId="77777777" w:rsidTr="00567E6C">
        <w:trPr>
          <w:trHeight w:val="120"/>
          <w:jc w:val="center"/>
        </w:trPr>
        <w:tc>
          <w:tcPr>
            <w:tcW w:w="0" w:type="auto"/>
            <w:vMerge w:val="restart"/>
            <w:shd w:val="clear" w:color="auto" w:fill="auto"/>
            <w:vAlign w:val="center"/>
          </w:tcPr>
          <w:p w14:paraId="3D0F3AAC" w14:textId="77777777" w:rsidR="00567E6C" w:rsidRPr="00C32E45" w:rsidRDefault="00567E6C" w:rsidP="00F37389">
            <w:pPr>
              <w:pStyle w:val="TAH"/>
              <w:rPr>
                <w:lang w:eastAsia="zh-CN"/>
              </w:rPr>
            </w:pPr>
            <w:r w:rsidRPr="00C32E45">
              <w:t>dB</w:t>
            </w:r>
          </w:p>
        </w:tc>
        <w:tc>
          <w:tcPr>
            <w:tcW w:w="0" w:type="auto"/>
            <w:vMerge w:val="restart"/>
            <w:shd w:val="clear" w:color="auto" w:fill="auto"/>
            <w:vAlign w:val="center"/>
          </w:tcPr>
          <w:p w14:paraId="0C4AA4EA" w14:textId="77777777" w:rsidR="00567E6C" w:rsidRPr="00C32E45" w:rsidRDefault="00567E6C" w:rsidP="00F37389">
            <w:pPr>
              <w:pStyle w:val="TAH"/>
              <w:rPr>
                <w:lang w:eastAsia="zh-CN"/>
              </w:rPr>
            </w:pPr>
            <w:r w:rsidRPr="00C32E45">
              <w:t>dB</w:t>
            </w:r>
          </w:p>
        </w:tc>
        <w:tc>
          <w:tcPr>
            <w:tcW w:w="0" w:type="auto"/>
            <w:vMerge w:val="restart"/>
            <w:shd w:val="clear" w:color="auto" w:fill="auto"/>
            <w:vAlign w:val="center"/>
          </w:tcPr>
          <w:p w14:paraId="26A562FA" w14:textId="77777777" w:rsidR="00567E6C" w:rsidRPr="00C32E45" w:rsidRDefault="00567E6C" w:rsidP="00F37389">
            <w:pPr>
              <w:pStyle w:val="TAH"/>
            </w:pPr>
            <w:r w:rsidRPr="00C32E45">
              <w:t>dB</w:t>
            </w:r>
          </w:p>
        </w:tc>
        <w:tc>
          <w:tcPr>
            <w:tcW w:w="1760" w:type="dxa"/>
            <w:vMerge w:val="restart"/>
            <w:shd w:val="clear" w:color="auto" w:fill="auto"/>
            <w:vAlign w:val="center"/>
          </w:tcPr>
          <w:p w14:paraId="31D2CC9D" w14:textId="77777777" w:rsidR="00567E6C" w:rsidRPr="00C32E45" w:rsidRDefault="00567E6C" w:rsidP="00F37389">
            <w:pPr>
              <w:pStyle w:val="TAH"/>
            </w:pPr>
          </w:p>
        </w:tc>
        <w:tc>
          <w:tcPr>
            <w:tcW w:w="2098" w:type="dxa"/>
            <w:gridSpan w:val="3"/>
            <w:shd w:val="clear" w:color="auto" w:fill="auto"/>
            <w:vAlign w:val="center"/>
          </w:tcPr>
          <w:p w14:paraId="7F007AEC" w14:textId="77777777" w:rsidR="00567E6C" w:rsidRPr="00C32E45" w:rsidRDefault="00567E6C" w:rsidP="00F37389">
            <w:pPr>
              <w:pStyle w:val="TAH"/>
            </w:pPr>
            <w:r w:rsidRPr="00C32E45">
              <w:rPr>
                <w:rFonts w:cs="Arial"/>
              </w:rPr>
              <w:t xml:space="preserve">dBm / </w:t>
            </w:r>
            <w:r w:rsidRPr="00C32E45">
              <w:t>SCS</w:t>
            </w:r>
          </w:p>
        </w:tc>
        <w:tc>
          <w:tcPr>
            <w:tcW w:w="0" w:type="auto"/>
            <w:vMerge w:val="restart"/>
            <w:shd w:val="clear" w:color="auto" w:fill="auto"/>
            <w:vAlign w:val="center"/>
          </w:tcPr>
          <w:p w14:paraId="5078B269" w14:textId="77777777" w:rsidR="00567E6C" w:rsidRPr="00C32E45" w:rsidRDefault="00567E6C" w:rsidP="00F37389">
            <w:pPr>
              <w:pStyle w:val="TAH"/>
            </w:pPr>
            <w:r w:rsidRPr="00C32E45">
              <w:t xml:space="preserve">dBm/BW </w:t>
            </w:r>
            <w:r w:rsidRPr="00C32E45">
              <w:rPr>
                <w:vertAlign w:val="subscript"/>
              </w:rPr>
              <w:t>Channel</w:t>
            </w:r>
          </w:p>
        </w:tc>
        <w:tc>
          <w:tcPr>
            <w:tcW w:w="0" w:type="auto"/>
            <w:vMerge w:val="restart"/>
            <w:shd w:val="clear" w:color="auto" w:fill="auto"/>
            <w:vAlign w:val="center"/>
          </w:tcPr>
          <w:p w14:paraId="41613798" w14:textId="77777777" w:rsidR="00567E6C" w:rsidRPr="00C32E45" w:rsidRDefault="00567E6C" w:rsidP="00F37389">
            <w:pPr>
              <w:pStyle w:val="TAH"/>
            </w:pPr>
            <w:r w:rsidRPr="00C32E45">
              <w:t xml:space="preserve">dBm/BW </w:t>
            </w:r>
            <w:r w:rsidRPr="00C32E45">
              <w:rPr>
                <w:vertAlign w:val="subscript"/>
              </w:rPr>
              <w:t>Channel</w:t>
            </w:r>
          </w:p>
        </w:tc>
      </w:tr>
      <w:tr w:rsidR="00567E6C" w:rsidRPr="00C32E45" w14:paraId="0142BD7B" w14:textId="77777777" w:rsidTr="00567E6C">
        <w:trPr>
          <w:trHeight w:val="43"/>
          <w:jc w:val="center"/>
        </w:trPr>
        <w:tc>
          <w:tcPr>
            <w:tcW w:w="0" w:type="auto"/>
            <w:vMerge/>
            <w:shd w:val="clear" w:color="auto" w:fill="auto"/>
            <w:vAlign w:val="center"/>
          </w:tcPr>
          <w:p w14:paraId="61A281FA" w14:textId="77777777" w:rsidR="00567E6C" w:rsidRPr="00C32E45" w:rsidRDefault="00567E6C" w:rsidP="00F37389">
            <w:pPr>
              <w:pStyle w:val="TAH"/>
            </w:pPr>
          </w:p>
        </w:tc>
        <w:tc>
          <w:tcPr>
            <w:tcW w:w="0" w:type="auto"/>
            <w:vMerge/>
            <w:shd w:val="clear" w:color="auto" w:fill="auto"/>
            <w:vAlign w:val="center"/>
          </w:tcPr>
          <w:p w14:paraId="326144D0" w14:textId="77777777" w:rsidR="00567E6C" w:rsidRPr="00C32E45" w:rsidRDefault="00567E6C" w:rsidP="00F37389">
            <w:pPr>
              <w:pStyle w:val="TAH"/>
            </w:pPr>
          </w:p>
        </w:tc>
        <w:tc>
          <w:tcPr>
            <w:tcW w:w="0" w:type="auto"/>
            <w:vMerge/>
            <w:shd w:val="clear" w:color="auto" w:fill="auto"/>
            <w:vAlign w:val="center"/>
          </w:tcPr>
          <w:p w14:paraId="5899B61A" w14:textId="77777777" w:rsidR="00567E6C" w:rsidRPr="00C32E45" w:rsidRDefault="00567E6C" w:rsidP="00F37389">
            <w:pPr>
              <w:pStyle w:val="TAH"/>
            </w:pPr>
          </w:p>
        </w:tc>
        <w:tc>
          <w:tcPr>
            <w:tcW w:w="1760" w:type="dxa"/>
            <w:vMerge/>
            <w:shd w:val="clear" w:color="auto" w:fill="auto"/>
            <w:vAlign w:val="center"/>
          </w:tcPr>
          <w:p w14:paraId="1BEBFBC8" w14:textId="77777777" w:rsidR="00567E6C" w:rsidRPr="00C32E45" w:rsidRDefault="00567E6C" w:rsidP="00F37389">
            <w:pPr>
              <w:pStyle w:val="TAH"/>
            </w:pPr>
          </w:p>
        </w:tc>
        <w:tc>
          <w:tcPr>
            <w:tcW w:w="2098" w:type="dxa"/>
            <w:gridSpan w:val="3"/>
            <w:shd w:val="clear" w:color="auto" w:fill="auto"/>
            <w:vAlign w:val="center"/>
          </w:tcPr>
          <w:p w14:paraId="4726F68E" w14:textId="77777777" w:rsidR="00567E6C" w:rsidRPr="00C32E45" w:rsidRDefault="00567E6C" w:rsidP="00F37389">
            <w:pPr>
              <w:pStyle w:val="TAH"/>
              <w:rPr>
                <w:rFonts w:cs="Arial"/>
              </w:rPr>
            </w:pPr>
            <w:r w:rsidRPr="00C32E45">
              <w:t>SCS (kHz)</w:t>
            </w:r>
          </w:p>
        </w:tc>
        <w:tc>
          <w:tcPr>
            <w:tcW w:w="0" w:type="auto"/>
            <w:vMerge/>
            <w:shd w:val="clear" w:color="auto" w:fill="auto"/>
            <w:vAlign w:val="center"/>
          </w:tcPr>
          <w:p w14:paraId="3CCD89B1" w14:textId="77777777" w:rsidR="00567E6C" w:rsidRPr="00C32E45" w:rsidRDefault="00567E6C" w:rsidP="00F37389">
            <w:pPr>
              <w:pStyle w:val="TAH"/>
            </w:pPr>
          </w:p>
        </w:tc>
        <w:tc>
          <w:tcPr>
            <w:tcW w:w="0" w:type="auto"/>
            <w:vMerge/>
            <w:shd w:val="clear" w:color="auto" w:fill="auto"/>
            <w:vAlign w:val="center"/>
          </w:tcPr>
          <w:p w14:paraId="3428188E" w14:textId="77777777" w:rsidR="00567E6C" w:rsidRPr="00C32E45" w:rsidRDefault="00567E6C" w:rsidP="00F37389">
            <w:pPr>
              <w:pStyle w:val="TAH"/>
            </w:pPr>
          </w:p>
        </w:tc>
      </w:tr>
      <w:tr w:rsidR="00567E6C" w:rsidRPr="00C32E45" w14:paraId="5A96C4F0" w14:textId="77777777" w:rsidTr="00567E6C">
        <w:trPr>
          <w:trHeight w:val="315"/>
          <w:jc w:val="center"/>
        </w:trPr>
        <w:tc>
          <w:tcPr>
            <w:tcW w:w="0" w:type="auto"/>
            <w:vMerge w:val="restart"/>
            <w:shd w:val="clear" w:color="auto" w:fill="auto"/>
            <w:vAlign w:val="center"/>
          </w:tcPr>
          <w:p w14:paraId="786BCC81" w14:textId="77777777" w:rsidR="00567E6C" w:rsidRPr="0024545C" w:rsidRDefault="00567E6C" w:rsidP="00F37389">
            <w:pPr>
              <w:pStyle w:val="TAC"/>
              <w:rPr>
                <w:lang w:eastAsia="zh-CN"/>
              </w:rPr>
            </w:pPr>
            <w:r w:rsidRPr="00714130">
              <w:rPr>
                <w:lang w:eastAsia="zh-CN"/>
              </w:rPr>
              <w:sym w:font="Symbol" w:char="F0B1"/>
            </w:r>
            <w:r>
              <w:rPr>
                <w:lang w:eastAsia="zh-CN"/>
              </w:rPr>
              <w:t>3</w:t>
            </w:r>
          </w:p>
        </w:tc>
        <w:tc>
          <w:tcPr>
            <w:tcW w:w="0" w:type="auto"/>
            <w:vMerge w:val="restart"/>
            <w:shd w:val="clear" w:color="auto" w:fill="auto"/>
            <w:vAlign w:val="center"/>
          </w:tcPr>
          <w:p w14:paraId="5A91733D" w14:textId="77777777" w:rsidR="00567E6C" w:rsidRPr="00C32E45" w:rsidRDefault="00567E6C" w:rsidP="00F37389">
            <w:pPr>
              <w:pStyle w:val="TAC"/>
              <w:rPr>
                <w:b/>
                <w:lang w:eastAsia="zh-CN"/>
              </w:rPr>
            </w:pPr>
            <w:r w:rsidRPr="00714130">
              <w:rPr>
                <w:lang w:eastAsia="zh-CN"/>
              </w:rPr>
              <w:sym w:font="Symbol" w:char="F0B1"/>
            </w:r>
            <w:r>
              <w:rPr>
                <w:lang w:eastAsia="zh-CN"/>
              </w:rPr>
              <w:t>4</w:t>
            </w:r>
          </w:p>
        </w:tc>
        <w:tc>
          <w:tcPr>
            <w:tcW w:w="0" w:type="auto"/>
            <w:vMerge w:val="restart"/>
            <w:shd w:val="clear" w:color="auto" w:fill="auto"/>
            <w:vAlign w:val="center"/>
          </w:tcPr>
          <w:p w14:paraId="18FED2A4" w14:textId="77777777" w:rsidR="00567E6C" w:rsidRPr="00C32E45" w:rsidRDefault="00567E6C" w:rsidP="00F37389">
            <w:pPr>
              <w:pStyle w:val="TAC"/>
              <w:rPr>
                <w:b/>
              </w:rPr>
            </w:pPr>
            <w:r w:rsidRPr="00C32E45">
              <w:rPr>
                <w:sz w:val="16"/>
                <w:szCs w:val="16"/>
              </w:rPr>
              <w:sym w:font="Symbol" w:char="F0B3"/>
            </w:r>
            <w:r w:rsidRPr="0098004A">
              <w:rPr>
                <w:sz w:val="16"/>
                <w:szCs w:val="16"/>
              </w:rPr>
              <w:t>-</w:t>
            </w:r>
            <w:r>
              <w:rPr>
                <w:sz w:val="16"/>
                <w:szCs w:val="16"/>
              </w:rPr>
              <w:t>3</w:t>
            </w:r>
          </w:p>
        </w:tc>
        <w:tc>
          <w:tcPr>
            <w:tcW w:w="1760" w:type="dxa"/>
            <w:vMerge/>
            <w:shd w:val="clear" w:color="auto" w:fill="auto"/>
            <w:vAlign w:val="center"/>
          </w:tcPr>
          <w:p w14:paraId="02E38B23" w14:textId="77777777" w:rsidR="00567E6C" w:rsidRPr="00C32E45" w:rsidRDefault="00567E6C" w:rsidP="00567E6C">
            <w:pPr>
              <w:keepNext/>
              <w:keepLines/>
              <w:spacing w:after="0"/>
              <w:jc w:val="center"/>
              <w:rPr>
                <w:rFonts w:ascii="Arial" w:hAnsi="Arial"/>
                <w:b/>
                <w:sz w:val="18"/>
              </w:rPr>
            </w:pPr>
          </w:p>
        </w:tc>
        <w:tc>
          <w:tcPr>
            <w:tcW w:w="714" w:type="dxa"/>
            <w:shd w:val="clear" w:color="auto" w:fill="auto"/>
            <w:vAlign w:val="center"/>
          </w:tcPr>
          <w:p w14:paraId="6E5D81F9" w14:textId="77777777" w:rsidR="00567E6C" w:rsidRPr="00C32E45" w:rsidRDefault="00567E6C" w:rsidP="00567E6C">
            <w:pPr>
              <w:keepNext/>
              <w:keepLines/>
              <w:spacing w:after="0"/>
              <w:jc w:val="center"/>
              <w:rPr>
                <w:rFonts w:ascii="Arial" w:hAnsi="Arial" w:cs="Arial"/>
                <w:b/>
                <w:sz w:val="18"/>
              </w:rPr>
            </w:pPr>
            <w:r w:rsidRPr="00C32E45">
              <w:rPr>
                <w:rFonts w:ascii="Arial" w:hAnsi="Arial" w:cs="Arial"/>
                <w:b/>
                <w:sz w:val="18"/>
              </w:rPr>
              <w:t xml:space="preserve">15 </w:t>
            </w:r>
          </w:p>
        </w:tc>
        <w:tc>
          <w:tcPr>
            <w:tcW w:w="745" w:type="dxa"/>
            <w:shd w:val="clear" w:color="auto" w:fill="auto"/>
            <w:vAlign w:val="center"/>
          </w:tcPr>
          <w:p w14:paraId="14501982" w14:textId="77777777" w:rsidR="00567E6C" w:rsidRPr="00C32E45" w:rsidRDefault="00567E6C" w:rsidP="00567E6C">
            <w:pPr>
              <w:keepNext/>
              <w:keepLines/>
              <w:spacing w:after="0"/>
              <w:jc w:val="center"/>
              <w:rPr>
                <w:rFonts w:ascii="Arial" w:hAnsi="Arial"/>
                <w:b/>
                <w:sz w:val="18"/>
              </w:rPr>
            </w:pPr>
            <w:r w:rsidRPr="00C32E45">
              <w:rPr>
                <w:rFonts w:ascii="Arial" w:hAnsi="Arial" w:hint="eastAsia"/>
                <w:b/>
                <w:sz w:val="18"/>
                <w:lang w:eastAsia="zh-CN"/>
              </w:rPr>
              <w:t>3</w:t>
            </w:r>
            <w:r w:rsidRPr="00C32E45">
              <w:rPr>
                <w:rFonts w:ascii="Arial" w:hAnsi="Arial"/>
                <w:b/>
                <w:sz w:val="18"/>
                <w:lang w:eastAsia="zh-CN"/>
              </w:rPr>
              <w:t>0</w:t>
            </w:r>
          </w:p>
        </w:tc>
        <w:tc>
          <w:tcPr>
            <w:tcW w:w="0" w:type="auto"/>
            <w:shd w:val="clear" w:color="auto" w:fill="auto"/>
            <w:vAlign w:val="center"/>
          </w:tcPr>
          <w:p w14:paraId="5FEF57EE" w14:textId="77777777" w:rsidR="00567E6C" w:rsidRPr="00C32E45" w:rsidRDefault="00567E6C" w:rsidP="00567E6C">
            <w:pPr>
              <w:keepNext/>
              <w:keepLines/>
              <w:spacing w:after="0"/>
              <w:jc w:val="center"/>
              <w:rPr>
                <w:rFonts w:ascii="Arial" w:hAnsi="Arial"/>
                <w:b/>
                <w:sz w:val="18"/>
              </w:rPr>
            </w:pPr>
            <w:r w:rsidRPr="00C32E45">
              <w:rPr>
                <w:rFonts w:ascii="Arial" w:hAnsi="Arial" w:hint="eastAsia"/>
                <w:b/>
                <w:sz w:val="18"/>
                <w:lang w:eastAsia="zh-CN"/>
              </w:rPr>
              <w:t>6</w:t>
            </w:r>
            <w:r w:rsidRPr="00C32E45">
              <w:rPr>
                <w:rFonts w:ascii="Arial" w:hAnsi="Arial"/>
                <w:b/>
                <w:sz w:val="18"/>
                <w:lang w:eastAsia="zh-CN"/>
              </w:rPr>
              <w:t>0</w:t>
            </w:r>
          </w:p>
        </w:tc>
        <w:tc>
          <w:tcPr>
            <w:tcW w:w="0" w:type="auto"/>
            <w:vMerge/>
            <w:shd w:val="clear" w:color="auto" w:fill="auto"/>
            <w:vAlign w:val="center"/>
          </w:tcPr>
          <w:p w14:paraId="7C0D3F24" w14:textId="77777777" w:rsidR="00567E6C" w:rsidRPr="00C32E45" w:rsidRDefault="00567E6C" w:rsidP="00567E6C">
            <w:pPr>
              <w:keepNext/>
              <w:keepLines/>
              <w:spacing w:after="0"/>
              <w:jc w:val="center"/>
              <w:rPr>
                <w:rFonts w:ascii="Arial" w:hAnsi="Arial"/>
                <w:b/>
                <w:sz w:val="16"/>
                <w:szCs w:val="16"/>
              </w:rPr>
            </w:pPr>
          </w:p>
        </w:tc>
        <w:tc>
          <w:tcPr>
            <w:tcW w:w="0" w:type="auto"/>
            <w:vMerge/>
            <w:shd w:val="clear" w:color="auto" w:fill="auto"/>
            <w:vAlign w:val="center"/>
          </w:tcPr>
          <w:p w14:paraId="233C47AF" w14:textId="77777777" w:rsidR="00567E6C" w:rsidRPr="00C32E45" w:rsidRDefault="00567E6C" w:rsidP="00567E6C">
            <w:pPr>
              <w:keepNext/>
              <w:keepLines/>
              <w:spacing w:after="0"/>
              <w:jc w:val="center"/>
              <w:rPr>
                <w:rFonts w:ascii="Arial" w:hAnsi="Arial"/>
                <w:b/>
                <w:sz w:val="16"/>
                <w:szCs w:val="16"/>
              </w:rPr>
            </w:pPr>
          </w:p>
        </w:tc>
      </w:tr>
      <w:tr w:rsidR="00567E6C" w:rsidRPr="0098004A" w14:paraId="7EC093FA" w14:textId="77777777" w:rsidTr="00567E6C">
        <w:trPr>
          <w:jc w:val="center"/>
        </w:trPr>
        <w:tc>
          <w:tcPr>
            <w:tcW w:w="0" w:type="auto"/>
            <w:vMerge/>
            <w:shd w:val="clear" w:color="auto" w:fill="auto"/>
            <w:vAlign w:val="center"/>
          </w:tcPr>
          <w:p w14:paraId="650E0626"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660ECD46"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60E5DEBA" w14:textId="77777777" w:rsidR="00567E6C" w:rsidRPr="00C32E45" w:rsidRDefault="00567E6C" w:rsidP="00567E6C">
            <w:pPr>
              <w:keepNext/>
              <w:keepLines/>
              <w:spacing w:after="0"/>
              <w:jc w:val="center"/>
              <w:rPr>
                <w:rFonts w:ascii="Arial" w:hAnsi="Arial"/>
                <w:sz w:val="16"/>
                <w:szCs w:val="16"/>
              </w:rPr>
            </w:pPr>
          </w:p>
        </w:tc>
        <w:tc>
          <w:tcPr>
            <w:tcW w:w="1760" w:type="dxa"/>
            <w:shd w:val="clear" w:color="auto" w:fill="auto"/>
            <w:vAlign w:val="center"/>
          </w:tcPr>
          <w:p w14:paraId="6D9E7FC7" w14:textId="77777777" w:rsidR="00567E6C" w:rsidRPr="00F37389" w:rsidRDefault="00567E6C" w:rsidP="00567E6C">
            <w:pPr>
              <w:pStyle w:val="TAC"/>
              <w:rPr>
                <w:lang w:eastAsia="zh-CN"/>
              </w:rPr>
            </w:pPr>
            <w:r w:rsidRPr="00F37389">
              <w:rPr>
                <w:lang w:eastAsia="zh-CN"/>
              </w:rPr>
              <w:t>NR_FDD_FR1_A, NR_TDD_FR1_A,</w:t>
            </w:r>
          </w:p>
          <w:p w14:paraId="7498D8F2" w14:textId="77777777" w:rsidR="00567E6C" w:rsidRPr="00F37389" w:rsidRDefault="00567E6C" w:rsidP="00567E6C">
            <w:pPr>
              <w:pStyle w:val="TAC"/>
              <w:rPr>
                <w:lang w:eastAsia="zh-CN"/>
              </w:rPr>
            </w:pPr>
            <w:r w:rsidRPr="00F37389">
              <w:rPr>
                <w:lang w:eastAsia="zh-CN"/>
              </w:rPr>
              <w:t>NR_SDL_FR1_A</w:t>
            </w:r>
          </w:p>
        </w:tc>
        <w:tc>
          <w:tcPr>
            <w:tcW w:w="714" w:type="dxa"/>
            <w:shd w:val="clear" w:color="auto" w:fill="auto"/>
            <w:vAlign w:val="center"/>
          </w:tcPr>
          <w:p w14:paraId="26C7AC3C" w14:textId="77777777" w:rsidR="00567E6C" w:rsidRPr="00F37389" w:rsidRDefault="00567E6C" w:rsidP="00567E6C">
            <w:pPr>
              <w:pStyle w:val="TAC"/>
              <w:rPr>
                <w:lang w:eastAsia="zh-CN"/>
              </w:rPr>
            </w:pPr>
            <w:r w:rsidRPr="00F37389">
              <w:rPr>
                <w:lang w:eastAsia="zh-CN"/>
              </w:rPr>
              <w:t>-121</w:t>
            </w:r>
          </w:p>
        </w:tc>
        <w:tc>
          <w:tcPr>
            <w:tcW w:w="745" w:type="dxa"/>
            <w:shd w:val="clear" w:color="auto" w:fill="auto"/>
            <w:vAlign w:val="center"/>
          </w:tcPr>
          <w:p w14:paraId="55273810" w14:textId="77777777" w:rsidR="00567E6C" w:rsidRPr="00F37389" w:rsidRDefault="00567E6C" w:rsidP="00567E6C">
            <w:pPr>
              <w:pStyle w:val="TAC"/>
              <w:rPr>
                <w:lang w:eastAsia="zh-CN"/>
              </w:rPr>
            </w:pPr>
            <w:r w:rsidRPr="00F37389">
              <w:rPr>
                <w:lang w:eastAsia="zh-CN"/>
              </w:rPr>
              <w:t>-118</w:t>
            </w:r>
          </w:p>
        </w:tc>
        <w:tc>
          <w:tcPr>
            <w:tcW w:w="0" w:type="auto"/>
            <w:shd w:val="clear" w:color="auto" w:fill="auto"/>
            <w:vAlign w:val="center"/>
          </w:tcPr>
          <w:p w14:paraId="5C9E957A" w14:textId="77777777" w:rsidR="00567E6C" w:rsidRPr="00C32E45" w:rsidRDefault="00567E6C" w:rsidP="00F37389">
            <w:pPr>
              <w:pStyle w:val="TAC"/>
              <w:rPr>
                <w:lang w:eastAsia="zh-CN"/>
              </w:rPr>
            </w:pPr>
            <w:r w:rsidRPr="0098004A">
              <w:rPr>
                <w:rFonts w:hint="eastAsia"/>
                <w:lang w:eastAsia="zh-CN"/>
              </w:rPr>
              <w:t>-</w:t>
            </w:r>
            <w:r w:rsidRPr="0098004A">
              <w:rPr>
                <w:lang w:eastAsia="zh-CN"/>
              </w:rPr>
              <w:t>115</w:t>
            </w:r>
          </w:p>
        </w:tc>
        <w:tc>
          <w:tcPr>
            <w:tcW w:w="0" w:type="auto"/>
            <w:shd w:val="clear" w:color="auto" w:fill="auto"/>
            <w:vAlign w:val="center"/>
          </w:tcPr>
          <w:p w14:paraId="4AD95717" w14:textId="77777777" w:rsidR="00567E6C" w:rsidRPr="00C32E45" w:rsidRDefault="00567E6C" w:rsidP="00F37389">
            <w:pPr>
              <w:pStyle w:val="TAC"/>
            </w:pPr>
            <w:r w:rsidRPr="00C32E45">
              <w:t>N/A</w:t>
            </w:r>
          </w:p>
        </w:tc>
        <w:tc>
          <w:tcPr>
            <w:tcW w:w="0" w:type="auto"/>
            <w:shd w:val="clear" w:color="auto" w:fill="auto"/>
            <w:vAlign w:val="center"/>
          </w:tcPr>
          <w:p w14:paraId="0EEEEB2B" w14:textId="77777777" w:rsidR="00567E6C" w:rsidRPr="00C32E45" w:rsidRDefault="00567E6C" w:rsidP="00F37389">
            <w:pPr>
              <w:pStyle w:val="TAC"/>
            </w:pPr>
            <w:r w:rsidRPr="00C32E45">
              <w:t>-70</w:t>
            </w:r>
          </w:p>
        </w:tc>
      </w:tr>
      <w:tr w:rsidR="00567E6C" w:rsidRPr="0098004A" w14:paraId="42C161C9" w14:textId="77777777" w:rsidTr="00567E6C">
        <w:trPr>
          <w:jc w:val="center"/>
        </w:trPr>
        <w:tc>
          <w:tcPr>
            <w:tcW w:w="0" w:type="auto"/>
            <w:vMerge/>
            <w:shd w:val="clear" w:color="auto" w:fill="auto"/>
            <w:vAlign w:val="center"/>
          </w:tcPr>
          <w:p w14:paraId="3CF9E956"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5A796A79"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7EF682D0" w14:textId="77777777" w:rsidR="00567E6C" w:rsidRPr="00C32E45" w:rsidRDefault="00567E6C" w:rsidP="00567E6C">
            <w:pPr>
              <w:keepNext/>
              <w:keepLines/>
              <w:spacing w:after="0"/>
              <w:jc w:val="center"/>
              <w:rPr>
                <w:rFonts w:ascii="Arial" w:hAnsi="Arial"/>
                <w:sz w:val="16"/>
                <w:szCs w:val="16"/>
              </w:rPr>
            </w:pPr>
          </w:p>
        </w:tc>
        <w:tc>
          <w:tcPr>
            <w:tcW w:w="1760" w:type="dxa"/>
            <w:shd w:val="clear" w:color="auto" w:fill="auto"/>
            <w:vAlign w:val="center"/>
          </w:tcPr>
          <w:p w14:paraId="5205641E" w14:textId="77777777" w:rsidR="00567E6C" w:rsidRPr="00F37389" w:rsidRDefault="00567E6C" w:rsidP="00567E6C">
            <w:pPr>
              <w:pStyle w:val="TAC"/>
              <w:rPr>
                <w:lang w:eastAsia="zh-CN"/>
              </w:rPr>
            </w:pPr>
            <w:r w:rsidRPr="00F37389">
              <w:rPr>
                <w:lang w:eastAsia="zh-CN"/>
              </w:rPr>
              <w:t>NR_FDD_FR1_B</w:t>
            </w:r>
          </w:p>
        </w:tc>
        <w:tc>
          <w:tcPr>
            <w:tcW w:w="714" w:type="dxa"/>
            <w:shd w:val="clear" w:color="auto" w:fill="auto"/>
          </w:tcPr>
          <w:p w14:paraId="33DEA4CC" w14:textId="77777777" w:rsidR="00567E6C" w:rsidRPr="00F37389" w:rsidRDefault="00567E6C" w:rsidP="00567E6C">
            <w:pPr>
              <w:pStyle w:val="TAC"/>
              <w:rPr>
                <w:lang w:eastAsia="zh-CN"/>
              </w:rPr>
            </w:pPr>
            <w:r w:rsidRPr="00F37389">
              <w:rPr>
                <w:lang w:eastAsia="zh-CN"/>
              </w:rPr>
              <w:t>-120.5</w:t>
            </w:r>
          </w:p>
        </w:tc>
        <w:tc>
          <w:tcPr>
            <w:tcW w:w="745" w:type="dxa"/>
            <w:shd w:val="clear" w:color="auto" w:fill="auto"/>
            <w:vAlign w:val="center"/>
          </w:tcPr>
          <w:p w14:paraId="7F64EE09" w14:textId="77777777" w:rsidR="00567E6C" w:rsidRPr="00F37389" w:rsidRDefault="00567E6C" w:rsidP="00567E6C">
            <w:pPr>
              <w:pStyle w:val="TAC"/>
              <w:rPr>
                <w:lang w:eastAsia="zh-CN"/>
              </w:rPr>
            </w:pPr>
            <w:r w:rsidRPr="00F37389">
              <w:rPr>
                <w:lang w:eastAsia="zh-CN"/>
              </w:rPr>
              <w:t>-117.5</w:t>
            </w:r>
          </w:p>
        </w:tc>
        <w:tc>
          <w:tcPr>
            <w:tcW w:w="0" w:type="auto"/>
            <w:shd w:val="clear" w:color="auto" w:fill="auto"/>
            <w:vAlign w:val="center"/>
          </w:tcPr>
          <w:p w14:paraId="5E0CDDDB" w14:textId="77777777" w:rsidR="00567E6C" w:rsidRPr="00C32E45" w:rsidRDefault="00567E6C" w:rsidP="00F37389">
            <w:pPr>
              <w:pStyle w:val="TAC"/>
              <w:rPr>
                <w:lang w:val="sv-SE" w:eastAsia="zh-CN"/>
              </w:rPr>
            </w:pPr>
            <w:r w:rsidRPr="0098004A">
              <w:rPr>
                <w:rFonts w:hint="eastAsia"/>
                <w:lang w:val="sv-SE" w:eastAsia="zh-CN"/>
              </w:rPr>
              <w:t>-</w:t>
            </w:r>
            <w:r w:rsidRPr="0098004A">
              <w:rPr>
                <w:lang w:val="sv-SE" w:eastAsia="zh-CN"/>
              </w:rPr>
              <w:t>114.5</w:t>
            </w:r>
          </w:p>
        </w:tc>
        <w:tc>
          <w:tcPr>
            <w:tcW w:w="0" w:type="auto"/>
            <w:shd w:val="clear" w:color="auto" w:fill="auto"/>
            <w:vAlign w:val="center"/>
          </w:tcPr>
          <w:p w14:paraId="2EA80DE0" w14:textId="77777777" w:rsidR="00567E6C" w:rsidRPr="00C32E45" w:rsidRDefault="00567E6C" w:rsidP="00F37389">
            <w:pPr>
              <w:pStyle w:val="TAC"/>
            </w:pPr>
            <w:r w:rsidRPr="00C32E45">
              <w:t>N/A</w:t>
            </w:r>
          </w:p>
        </w:tc>
        <w:tc>
          <w:tcPr>
            <w:tcW w:w="0" w:type="auto"/>
            <w:shd w:val="clear" w:color="auto" w:fill="auto"/>
            <w:vAlign w:val="center"/>
          </w:tcPr>
          <w:p w14:paraId="002912C3" w14:textId="77777777" w:rsidR="00567E6C" w:rsidRPr="00C32E45" w:rsidRDefault="00567E6C" w:rsidP="00F37389">
            <w:pPr>
              <w:pStyle w:val="TAC"/>
            </w:pPr>
            <w:r w:rsidRPr="00C32E45">
              <w:t>-70</w:t>
            </w:r>
          </w:p>
        </w:tc>
      </w:tr>
      <w:tr w:rsidR="00567E6C" w:rsidRPr="0098004A" w14:paraId="591ACA8F" w14:textId="77777777" w:rsidTr="00567E6C">
        <w:trPr>
          <w:jc w:val="center"/>
        </w:trPr>
        <w:tc>
          <w:tcPr>
            <w:tcW w:w="0" w:type="auto"/>
            <w:vMerge/>
            <w:shd w:val="clear" w:color="auto" w:fill="auto"/>
            <w:vAlign w:val="center"/>
          </w:tcPr>
          <w:p w14:paraId="0FD1368A"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6825F7D0"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13A0E2CC" w14:textId="77777777" w:rsidR="00567E6C" w:rsidRPr="00C32E45" w:rsidRDefault="00567E6C" w:rsidP="00567E6C">
            <w:pPr>
              <w:keepNext/>
              <w:keepLines/>
              <w:spacing w:after="0"/>
              <w:jc w:val="center"/>
              <w:rPr>
                <w:rFonts w:ascii="Arial" w:hAnsi="Arial"/>
                <w:sz w:val="16"/>
                <w:szCs w:val="16"/>
              </w:rPr>
            </w:pPr>
          </w:p>
        </w:tc>
        <w:tc>
          <w:tcPr>
            <w:tcW w:w="1760" w:type="dxa"/>
            <w:shd w:val="clear" w:color="auto" w:fill="auto"/>
            <w:vAlign w:val="center"/>
          </w:tcPr>
          <w:p w14:paraId="1E2965BB" w14:textId="77777777" w:rsidR="00567E6C" w:rsidRPr="00F37389" w:rsidRDefault="00567E6C" w:rsidP="00567E6C">
            <w:pPr>
              <w:pStyle w:val="TAC"/>
              <w:rPr>
                <w:lang w:eastAsia="zh-CN"/>
              </w:rPr>
            </w:pPr>
            <w:r w:rsidRPr="00F37389">
              <w:rPr>
                <w:lang w:eastAsia="zh-CN"/>
              </w:rPr>
              <w:t>NR_TDD_FR1_C</w:t>
            </w:r>
          </w:p>
        </w:tc>
        <w:tc>
          <w:tcPr>
            <w:tcW w:w="714" w:type="dxa"/>
            <w:shd w:val="clear" w:color="auto" w:fill="auto"/>
            <w:vAlign w:val="center"/>
          </w:tcPr>
          <w:p w14:paraId="3530848F" w14:textId="77777777" w:rsidR="00567E6C" w:rsidRPr="00F37389" w:rsidRDefault="00567E6C" w:rsidP="00567E6C">
            <w:pPr>
              <w:pStyle w:val="TAC"/>
              <w:rPr>
                <w:lang w:eastAsia="zh-CN"/>
              </w:rPr>
            </w:pPr>
            <w:r w:rsidRPr="00F37389">
              <w:rPr>
                <w:lang w:eastAsia="zh-CN"/>
              </w:rPr>
              <w:t>-120</w:t>
            </w:r>
          </w:p>
        </w:tc>
        <w:tc>
          <w:tcPr>
            <w:tcW w:w="745" w:type="dxa"/>
            <w:shd w:val="clear" w:color="auto" w:fill="auto"/>
            <w:vAlign w:val="center"/>
          </w:tcPr>
          <w:p w14:paraId="215A42AF" w14:textId="77777777" w:rsidR="00567E6C" w:rsidRPr="00F37389" w:rsidRDefault="00567E6C" w:rsidP="00567E6C">
            <w:pPr>
              <w:pStyle w:val="TAC"/>
              <w:rPr>
                <w:lang w:eastAsia="zh-CN"/>
              </w:rPr>
            </w:pPr>
            <w:r w:rsidRPr="00F37389">
              <w:rPr>
                <w:lang w:eastAsia="zh-CN"/>
              </w:rPr>
              <w:t>-117</w:t>
            </w:r>
          </w:p>
        </w:tc>
        <w:tc>
          <w:tcPr>
            <w:tcW w:w="0" w:type="auto"/>
            <w:shd w:val="clear" w:color="auto" w:fill="auto"/>
            <w:vAlign w:val="center"/>
          </w:tcPr>
          <w:p w14:paraId="1EBCFA29" w14:textId="77777777" w:rsidR="00567E6C" w:rsidRPr="00C32E45" w:rsidDel="00FA4A82" w:rsidRDefault="00567E6C" w:rsidP="00F37389">
            <w:pPr>
              <w:pStyle w:val="TAC"/>
              <w:rPr>
                <w:lang w:eastAsia="zh-CN"/>
              </w:rPr>
            </w:pPr>
            <w:r w:rsidRPr="0098004A">
              <w:rPr>
                <w:rFonts w:hint="eastAsia"/>
                <w:lang w:eastAsia="zh-CN"/>
              </w:rPr>
              <w:t>-</w:t>
            </w:r>
            <w:r w:rsidRPr="0098004A">
              <w:rPr>
                <w:lang w:eastAsia="zh-CN"/>
              </w:rPr>
              <w:t>114</w:t>
            </w:r>
          </w:p>
        </w:tc>
        <w:tc>
          <w:tcPr>
            <w:tcW w:w="0" w:type="auto"/>
            <w:shd w:val="clear" w:color="auto" w:fill="auto"/>
            <w:vAlign w:val="center"/>
          </w:tcPr>
          <w:p w14:paraId="52D5AE6A" w14:textId="77777777" w:rsidR="00567E6C" w:rsidRPr="00C32E45" w:rsidRDefault="00567E6C" w:rsidP="00F37389">
            <w:pPr>
              <w:pStyle w:val="TAC"/>
            </w:pPr>
            <w:r w:rsidRPr="00C32E45">
              <w:t>N/A</w:t>
            </w:r>
          </w:p>
        </w:tc>
        <w:tc>
          <w:tcPr>
            <w:tcW w:w="0" w:type="auto"/>
            <w:shd w:val="clear" w:color="auto" w:fill="auto"/>
            <w:vAlign w:val="center"/>
          </w:tcPr>
          <w:p w14:paraId="6A910933" w14:textId="77777777" w:rsidR="00567E6C" w:rsidRPr="00C32E45" w:rsidRDefault="00567E6C" w:rsidP="00F37389">
            <w:pPr>
              <w:pStyle w:val="TAC"/>
            </w:pPr>
            <w:r w:rsidRPr="00C32E45">
              <w:t>-70</w:t>
            </w:r>
          </w:p>
        </w:tc>
      </w:tr>
      <w:tr w:rsidR="00567E6C" w:rsidRPr="0098004A" w14:paraId="27DE89E3" w14:textId="77777777" w:rsidTr="00567E6C">
        <w:trPr>
          <w:jc w:val="center"/>
        </w:trPr>
        <w:tc>
          <w:tcPr>
            <w:tcW w:w="0" w:type="auto"/>
            <w:vMerge/>
            <w:shd w:val="clear" w:color="auto" w:fill="auto"/>
            <w:vAlign w:val="center"/>
          </w:tcPr>
          <w:p w14:paraId="73D9B267"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019E0D30"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276C8FFA" w14:textId="77777777" w:rsidR="00567E6C" w:rsidRPr="00C32E45" w:rsidRDefault="00567E6C" w:rsidP="00567E6C">
            <w:pPr>
              <w:keepNext/>
              <w:keepLines/>
              <w:spacing w:after="0"/>
              <w:jc w:val="center"/>
              <w:rPr>
                <w:rFonts w:ascii="Arial" w:hAnsi="Arial"/>
                <w:sz w:val="16"/>
                <w:szCs w:val="16"/>
              </w:rPr>
            </w:pPr>
          </w:p>
        </w:tc>
        <w:tc>
          <w:tcPr>
            <w:tcW w:w="1760" w:type="dxa"/>
            <w:shd w:val="clear" w:color="auto" w:fill="auto"/>
            <w:vAlign w:val="center"/>
          </w:tcPr>
          <w:p w14:paraId="0ADC43BD" w14:textId="77777777" w:rsidR="00567E6C" w:rsidRPr="00F37389" w:rsidRDefault="00567E6C" w:rsidP="00567E6C">
            <w:pPr>
              <w:pStyle w:val="TAC"/>
              <w:rPr>
                <w:lang w:eastAsia="zh-CN"/>
              </w:rPr>
            </w:pPr>
            <w:r w:rsidRPr="00F37389">
              <w:rPr>
                <w:lang w:eastAsia="zh-CN"/>
              </w:rPr>
              <w:t>NR_FDD_FR1_D, NR_TDD_FR1_D</w:t>
            </w:r>
          </w:p>
        </w:tc>
        <w:tc>
          <w:tcPr>
            <w:tcW w:w="714" w:type="dxa"/>
            <w:shd w:val="clear" w:color="auto" w:fill="auto"/>
            <w:vAlign w:val="center"/>
          </w:tcPr>
          <w:p w14:paraId="3F1F6770" w14:textId="77777777" w:rsidR="00567E6C" w:rsidRPr="00F37389" w:rsidDel="00FA4A82" w:rsidRDefault="00567E6C" w:rsidP="00567E6C">
            <w:pPr>
              <w:pStyle w:val="TAC"/>
              <w:rPr>
                <w:lang w:eastAsia="zh-CN"/>
              </w:rPr>
            </w:pPr>
            <w:r w:rsidRPr="00F37389">
              <w:rPr>
                <w:lang w:eastAsia="zh-CN"/>
              </w:rPr>
              <w:t>-119.5</w:t>
            </w:r>
          </w:p>
        </w:tc>
        <w:tc>
          <w:tcPr>
            <w:tcW w:w="745" w:type="dxa"/>
            <w:shd w:val="clear" w:color="auto" w:fill="auto"/>
            <w:vAlign w:val="center"/>
          </w:tcPr>
          <w:p w14:paraId="32D0179B" w14:textId="77777777" w:rsidR="00567E6C" w:rsidRPr="00F37389" w:rsidDel="00FA4A82" w:rsidRDefault="00567E6C" w:rsidP="00567E6C">
            <w:pPr>
              <w:pStyle w:val="TAC"/>
              <w:rPr>
                <w:lang w:eastAsia="zh-CN"/>
              </w:rPr>
            </w:pPr>
            <w:r w:rsidRPr="00F37389">
              <w:rPr>
                <w:lang w:eastAsia="zh-CN"/>
              </w:rPr>
              <w:t>-116.5</w:t>
            </w:r>
          </w:p>
        </w:tc>
        <w:tc>
          <w:tcPr>
            <w:tcW w:w="0" w:type="auto"/>
            <w:shd w:val="clear" w:color="auto" w:fill="auto"/>
            <w:vAlign w:val="center"/>
          </w:tcPr>
          <w:p w14:paraId="74266448" w14:textId="77777777" w:rsidR="00567E6C" w:rsidRPr="00C32E45" w:rsidRDefault="00567E6C" w:rsidP="00F37389">
            <w:pPr>
              <w:pStyle w:val="TAC"/>
              <w:rPr>
                <w:lang w:val="sv-SE" w:eastAsia="zh-CN"/>
              </w:rPr>
            </w:pPr>
            <w:r w:rsidRPr="0098004A">
              <w:rPr>
                <w:rFonts w:hint="eastAsia"/>
                <w:lang w:val="sv-SE" w:eastAsia="zh-CN"/>
              </w:rPr>
              <w:t>-</w:t>
            </w:r>
            <w:r w:rsidRPr="0098004A">
              <w:rPr>
                <w:lang w:val="sv-SE" w:eastAsia="zh-CN"/>
              </w:rPr>
              <w:t>113.5</w:t>
            </w:r>
          </w:p>
        </w:tc>
        <w:tc>
          <w:tcPr>
            <w:tcW w:w="0" w:type="auto"/>
            <w:shd w:val="clear" w:color="auto" w:fill="auto"/>
            <w:vAlign w:val="center"/>
          </w:tcPr>
          <w:p w14:paraId="7FE2093A" w14:textId="77777777" w:rsidR="00567E6C" w:rsidRPr="00C32E45" w:rsidRDefault="00567E6C" w:rsidP="00F37389">
            <w:pPr>
              <w:pStyle w:val="TAC"/>
            </w:pPr>
            <w:r w:rsidRPr="00C32E45">
              <w:t>N/A</w:t>
            </w:r>
          </w:p>
        </w:tc>
        <w:tc>
          <w:tcPr>
            <w:tcW w:w="0" w:type="auto"/>
            <w:shd w:val="clear" w:color="auto" w:fill="auto"/>
            <w:vAlign w:val="center"/>
          </w:tcPr>
          <w:p w14:paraId="1D88E5A4" w14:textId="77777777" w:rsidR="00567E6C" w:rsidRPr="00C32E45" w:rsidRDefault="00567E6C" w:rsidP="00F37389">
            <w:pPr>
              <w:pStyle w:val="TAC"/>
            </w:pPr>
            <w:r w:rsidRPr="00C32E45">
              <w:t>-70</w:t>
            </w:r>
          </w:p>
        </w:tc>
      </w:tr>
      <w:tr w:rsidR="00567E6C" w:rsidRPr="0098004A" w14:paraId="1EE4920B" w14:textId="77777777" w:rsidTr="00567E6C">
        <w:trPr>
          <w:jc w:val="center"/>
        </w:trPr>
        <w:tc>
          <w:tcPr>
            <w:tcW w:w="0" w:type="auto"/>
            <w:vMerge/>
            <w:shd w:val="clear" w:color="auto" w:fill="auto"/>
            <w:vAlign w:val="center"/>
          </w:tcPr>
          <w:p w14:paraId="1F5CA3FB"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400B97D8"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17CD1422" w14:textId="77777777" w:rsidR="00567E6C" w:rsidRPr="0098004A" w:rsidRDefault="00567E6C" w:rsidP="00567E6C">
            <w:pPr>
              <w:keepNext/>
              <w:keepLines/>
              <w:spacing w:after="0"/>
              <w:jc w:val="center"/>
              <w:rPr>
                <w:rFonts w:ascii="Arial" w:hAnsi="Arial"/>
                <w:sz w:val="16"/>
                <w:szCs w:val="16"/>
              </w:rPr>
            </w:pPr>
          </w:p>
        </w:tc>
        <w:tc>
          <w:tcPr>
            <w:tcW w:w="1760" w:type="dxa"/>
            <w:shd w:val="clear" w:color="auto" w:fill="auto"/>
            <w:vAlign w:val="center"/>
          </w:tcPr>
          <w:p w14:paraId="318A2DF3" w14:textId="77777777" w:rsidR="00567E6C" w:rsidRPr="00F37389" w:rsidDel="00836998" w:rsidRDefault="00567E6C" w:rsidP="00567E6C">
            <w:pPr>
              <w:pStyle w:val="TAC"/>
              <w:rPr>
                <w:lang w:eastAsia="zh-CN"/>
              </w:rPr>
            </w:pPr>
            <w:r w:rsidRPr="00F37389">
              <w:rPr>
                <w:lang w:eastAsia="zh-CN"/>
              </w:rPr>
              <w:t>NR_FDD_FR1_E, NR_TDD_FR1_E</w:t>
            </w:r>
          </w:p>
        </w:tc>
        <w:tc>
          <w:tcPr>
            <w:tcW w:w="714" w:type="dxa"/>
            <w:shd w:val="clear" w:color="auto" w:fill="auto"/>
            <w:vAlign w:val="center"/>
          </w:tcPr>
          <w:p w14:paraId="1D1195B3" w14:textId="77777777" w:rsidR="00567E6C" w:rsidRPr="00F37389" w:rsidRDefault="00567E6C" w:rsidP="00567E6C">
            <w:pPr>
              <w:pStyle w:val="TAC"/>
              <w:rPr>
                <w:lang w:eastAsia="zh-CN"/>
              </w:rPr>
            </w:pPr>
            <w:r w:rsidRPr="00F37389">
              <w:rPr>
                <w:lang w:eastAsia="zh-CN"/>
              </w:rPr>
              <w:t>-119</w:t>
            </w:r>
          </w:p>
        </w:tc>
        <w:tc>
          <w:tcPr>
            <w:tcW w:w="745" w:type="dxa"/>
            <w:shd w:val="clear" w:color="auto" w:fill="auto"/>
            <w:vAlign w:val="center"/>
          </w:tcPr>
          <w:p w14:paraId="46A8C660" w14:textId="77777777" w:rsidR="00567E6C" w:rsidRPr="00F37389" w:rsidRDefault="00567E6C" w:rsidP="00567E6C">
            <w:pPr>
              <w:pStyle w:val="TAC"/>
              <w:rPr>
                <w:lang w:eastAsia="zh-CN"/>
              </w:rPr>
            </w:pPr>
            <w:r w:rsidRPr="00F37389">
              <w:rPr>
                <w:lang w:eastAsia="zh-CN"/>
              </w:rPr>
              <w:t>-116</w:t>
            </w:r>
          </w:p>
        </w:tc>
        <w:tc>
          <w:tcPr>
            <w:tcW w:w="0" w:type="auto"/>
            <w:shd w:val="clear" w:color="auto" w:fill="auto"/>
            <w:vAlign w:val="center"/>
          </w:tcPr>
          <w:p w14:paraId="53CF1C41" w14:textId="77777777" w:rsidR="00567E6C" w:rsidRPr="0098004A" w:rsidRDefault="00567E6C" w:rsidP="00F37389">
            <w:pPr>
              <w:pStyle w:val="TAC"/>
              <w:rPr>
                <w:rFonts w:cs="Arial"/>
                <w:lang w:eastAsia="zh-CN"/>
              </w:rPr>
            </w:pPr>
            <w:r w:rsidRPr="0098004A">
              <w:rPr>
                <w:rFonts w:cs="Arial" w:hint="eastAsia"/>
                <w:lang w:eastAsia="zh-CN"/>
              </w:rPr>
              <w:t>-</w:t>
            </w:r>
            <w:r w:rsidRPr="0098004A">
              <w:rPr>
                <w:rFonts w:cs="Arial"/>
                <w:lang w:eastAsia="zh-CN"/>
              </w:rPr>
              <w:t>113</w:t>
            </w:r>
          </w:p>
        </w:tc>
        <w:tc>
          <w:tcPr>
            <w:tcW w:w="0" w:type="auto"/>
            <w:shd w:val="clear" w:color="auto" w:fill="auto"/>
            <w:vAlign w:val="center"/>
          </w:tcPr>
          <w:p w14:paraId="4B7BB91D" w14:textId="77777777" w:rsidR="00567E6C" w:rsidRPr="00C32E45" w:rsidRDefault="00567E6C" w:rsidP="00F37389">
            <w:pPr>
              <w:pStyle w:val="TAC"/>
            </w:pPr>
            <w:r w:rsidRPr="00C32E45">
              <w:t>N/A</w:t>
            </w:r>
          </w:p>
        </w:tc>
        <w:tc>
          <w:tcPr>
            <w:tcW w:w="0" w:type="auto"/>
            <w:shd w:val="clear" w:color="auto" w:fill="auto"/>
            <w:vAlign w:val="center"/>
          </w:tcPr>
          <w:p w14:paraId="64795CA8" w14:textId="77777777" w:rsidR="00567E6C" w:rsidRPr="00C32E45" w:rsidRDefault="00567E6C" w:rsidP="00F37389">
            <w:pPr>
              <w:pStyle w:val="TAC"/>
            </w:pPr>
            <w:r w:rsidRPr="00C32E45">
              <w:t>-70</w:t>
            </w:r>
          </w:p>
        </w:tc>
      </w:tr>
      <w:tr w:rsidR="00567E6C" w:rsidRPr="0098004A" w14:paraId="04DAF423" w14:textId="77777777" w:rsidTr="00567E6C">
        <w:trPr>
          <w:jc w:val="center"/>
        </w:trPr>
        <w:tc>
          <w:tcPr>
            <w:tcW w:w="0" w:type="auto"/>
            <w:vMerge/>
            <w:shd w:val="clear" w:color="auto" w:fill="auto"/>
            <w:vAlign w:val="center"/>
          </w:tcPr>
          <w:p w14:paraId="41C370E2"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01CE737C"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6831064E" w14:textId="77777777" w:rsidR="00567E6C" w:rsidRPr="0098004A" w:rsidRDefault="00567E6C" w:rsidP="00567E6C">
            <w:pPr>
              <w:keepNext/>
              <w:keepLines/>
              <w:spacing w:after="0"/>
              <w:jc w:val="center"/>
              <w:rPr>
                <w:rFonts w:ascii="Arial" w:hAnsi="Arial"/>
                <w:sz w:val="16"/>
                <w:szCs w:val="16"/>
              </w:rPr>
            </w:pPr>
          </w:p>
        </w:tc>
        <w:tc>
          <w:tcPr>
            <w:tcW w:w="1760" w:type="dxa"/>
            <w:shd w:val="clear" w:color="auto" w:fill="auto"/>
            <w:vAlign w:val="center"/>
          </w:tcPr>
          <w:p w14:paraId="3BCBC943" w14:textId="77777777" w:rsidR="00567E6C" w:rsidRPr="00F37389" w:rsidRDefault="00567E6C" w:rsidP="00567E6C">
            <w:pPr>
              <w:pStyle w:val="TAC"/>
              <w:rPr>
                <w:lang w:eastAsia="zh-CN"/>
              </w:rPr>
            </w:pPr>
            <w:r w:rsidRPr="00F37389">
              <w:rPr>
                <w:lang w:eastAsia="zh-CN"/>
              </w:rPr>
              <w:t>NR_FDD_FR1_F</w:t>
            </w:r>
          </w:p>
        </w:tc>
        <w:tc>
          <w:tcPr>
            <w:tcW w:w="714" w:type="dxa"/>
            <w:shd w:val="clear" w:color="auto" w:fill="auto"/>
            <w:vAlign w:val="center"/>
          </w:tcPr>
          <w:p w14:paraId="13F4E18A" w14:textId="77777777" w:rsidR="00567E6C" w:rsidRPr="00F37389" w:rsidRDefault="00567E6C" w:rsidP="00567E6C">
            <w:pPr>
              <w:pStyle w:val="TAC"/>
              <w:rPr>
                <w:lang w:eastAsia="zh-CN"/>
              </w:rPr>
            </w:pPr>
            <w:r w:rsidRPr="00F37389">
              <w:rPr>
                <w:lang w:eastAsia="zh-CN"/>
              </w:rPr>
              <w:t>-118.5</w:t>
            </w:r>
          </w:p>
        </w:tc>
        <w:tc>
          <w:tcPr>
            <w:tcW w:w="745" w:type="dxa"/>
            <w:shd w:val="clear" w:color="auto" w:fill="auto"/>
            <w:vAlign w:val="center"/>
          </w:tcPr>
          <w:p w14:paraId="347D2893" w14:textId="77777777" w:rsidR="00567E6C" w:rsidRPr="00F37389" w:rsidRDefault="00567E6C" w:rsidP="00567E6C">
            <w:pPr>
              <w:pStyle w:val="TAC"/>
              <w:rPr>
                <w:lang w:eastAsia="zh-CN"/>
              </w:rPr>
            </w:pPr>
            <w:r w:rsidRPr="00F37389">
              <w:rPr>
                <w:lang w:eastAsia="zh-CN"/>
              </w:rPr>
              <w:t>-115.5</w:t>
            </w:r>
          </w:p>
        </w:tc>
        <w:tc>
          <w:tcPr>
            <w:tcW w:w="0" w:type="auto"/>
            <w:shd w:val="clear" w:color="auto" w:fill="auto"/>
            <w:vAlign w:val="center"/>
          </w:tcPr>
          <w:p w14:paraId="408A6725" w14:textId="77777777" w:rsidR="00567E6C" w:rsidRPr="0098004A" w:rsidRDefault="00567E6C" w:rsidP="00F37389">
            <w:pPr>
              <w:pStyle w:val="TAC"/>
              <w:rPr>
                <w:rFonts w:cs="Arial"/>
                <w:lang w:eastAsia="zh-CN"/>
              </w:rPr>
            </w:pPr>
            <w:r w:rsidRPr="0098004A">
              <w:rPr>
                <w:rFonts w:cs="Arial" w:hint="eastAsia"/>
                <w:lang w:eastAsia="zh-CN"/>
              </w:rPr>
              <w:t>-</w:t>
            </w:r>
            <w:r w:rsidRPr="0098004A">
              <w:rPr>
                <w:rFonts w:cs="Arial"/>
                <w:lang w:eastAsia="zh-CN"/>
              </w:rPr>
              <w:t>112.5</w:t>
            </w:r>
          </w:p>
        </w:tc>
        <w:tc>
          <w:tcPr>
            <w:tcW w:w="0" w:type="auto"/>
            <w:shd w:val="clear" w:color="auto" w:fill="auto"/>
            <w:vAlign w:val="center"/>
          </w:tcPr>
          <w:p w14:paraId="18A3C4D2" w14:textId="77777777" w:rsidR="00567E6C" w:rsidRPr="00C32E45" w:rsidRDefault="00567E6C" w:rsidP="00F37389">
            <w:pPr>
              <w:pStyle w:val="TAC"/>
            </w:pPr>
            <w:r w:rsidRPr="00C32E45">
              <w:t>N/A</w:t>
            </w:r>
          </w:p>
        </w:tc>
        <w:tc>
          <w:tcPr>
            <w:tcW w:w="0" w:type="auto"/>
            <w:shd w:val="clear" w:color="auto" w:fill="auto"/>
            <w:vAlign w:val="center"/>
          </w:tcPr>
          <w:p w14:paraId="5DC25F9D" w14:textId="77777777" w:rsidR="00567E6C" w:rsidRPr="00C32E45" w:rsidRDefault="00567E6C" w:rsidP="00F37389">
            <w:pPr>
              <w:pStyle w:val="TAC"/>
            </w:pPr>
            <w:r w:rsidRPr="00C32E45">
              <w:t>-70</w:t>
            </w:r>
          </w:p>
        </w:tc>
      </w:tr>
      <w:tr w:rsidR="00567E6C" w:rsidRPr="0098004A" w14:paraId="483ED40B" w14:textId="77777777" w:rsidTr="00567E6C">
        <w:trPr>
          <w:jc w:val="center"/>
        </w:trPr>
        <w:tc>
          <w:tcPr>
            <w:tcW w:w="0" w:type="auto"/>
            <w:vMerge/>
            <w:shd w:val="clear" w:color="auto" w:fill="auto"/>
            <w:vAlign w:val="center"/>
          </w:tcPr>
          <w:p w14:paraId="5ED49DFB"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1DBD9A06"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0DCAAAFB" w14:textId="77777777" w:rsidR="00567E6C" w:rsidRPr="0098004A" w:rsidRDefault="00567E6C" w:rsidP="00567E6C">
            <w:pPr>
              <w:keepNext/>
              <w:keepLines/>
              <w:spacing w:after="0"/>
              <w:jc w:val="center"/>
              <w:rPr>
                <w:rFonts w:ascii="Arial" w:hAnsi="Arial"/>
                <w:sz w:val="16"/>
                <w:szCs w:val="16"/>
              </w:rPr>
            </w:pPr>
          </w:p>
        </w:tc>
        <w:tc>
          <w:tcPr>
            <w:tcW w:w="1760" w:type="dxa"/>
            <w:shd w:val="clear" w:color="auto" w:fill="auto"/>
            <w:vAlign w:val="center"/>
          </w:tcPr>
          <w:p w14:paraId="330E07A5" w14:textId="77777777" w:rsidR="00567E6C" w:rsidRPr="00F37389" w:rsidDel="00836998" w:rsidRDefault="00567E6C" w:rsidP="00567E6C">
            <w:pPr>
              <w:pStyle w:val="TAC"/>
              <w:rPr>
                <w:lang w:eastAsia="zh-CN"/>
              </w:rPr>
            </w:pPr>
            <w:r w:rsidRPr="00F37389">
              <w:rPr>
                <w:lang w:eastAsia="zh-CN"/>
              </w:rPr>
              <w:t>NR_FDD_FR1_G</w:t>
            </w:r>
          </w:p>
        </w:tc>
        <w:tc>
          <w:tcPr>
            <w:tcW w:w="714" w:type="dxa"/>
            <w:shd w:val="clear" w:color="auto" w:fill="auto"/>
            <w:vAlign w:val="center"/>
          </w:tcPr>
          <w:p w14:paraId="3C482214" w14:textId="77777777" w:rsidR="00567E6C" w:rsidRPr="00F37389" w:rsidRDefault="00567E6C" w:rsidP="00567E6C">
            <w:pPr>
              <w:pStyle w:val="TAC"/>
              <w:rPr>
                <w:lang w:eastAsia="zh-CN"/>
              </w:rPr>
            </w:pPr>
            <w:r w:rsidRPr="00F37389">
              <w:rPr>
                <w:lang w:eastAsia="zh-CN"/>
              </w:rPr>
              <w:t>-118</w:t>
            </w:r>
          </w:p>
        </w:tc>
        <w:tc>
          <w:tcPr>
            <w:tcW w:w="745" w:type="dxa"/>
            <w:shd w:val="clear" w:color="auto" w:fill="auto"/>
            <w:vAlign w:val="center"/>
          </w:tcPr>
          <w:p w14:paraId="36502AA3" w14:textId="77777777" w:rsidR="00567E6C" w:rsidRPr="00F37389" w:rsidRDefault="00567E6C" w:rsidP="00567E6C">
            <w:pPr>
              <w:pStyle w:val="TAC"/>
              <w:rPr>
                <w:lang w:eastAsia="zh-CN"/>
              </w:rPr>
            </w:pPr>
            <w:r w:rsidRPr="00F37389">
              <w:rPr>
                <w:lang w:eastAsia="zh-CN"/>
              </w:rPr>
              <w:t>-115</w:t>
            </w:r>
          </w:p>
        </w:tc>
        <w:tc>
          <w:tcPr>
            <w:tcW w:w="0" w:type="auto"/>
            <w:shd w:val="clear" w:color="auto" w:fill="auto"/>
            <w:vAlign w:val="center"/>
          </w:tcPr>
          <w:p w14:paraId="3C809318" w14:textId="77777777" w:rsidR="00567E6C" w:rsidRPr="0098004A" w:rsidRDefault="00567E6C" w:rsidP="00F37389">
            <w:pPr>
              <w:pStyle w:val="TAC"/>
              <w:rPr>
                <w:rFonts w:cs="Arial"/>
                <w:lang w:eastAsia="zh-CN"/>
              </w:rPr>
            </w:pPr>
            <w:r w:rsidRPr="0098004A">
              <w:rPr>
                <w:rFonts w:cs="Arial" w:hint="eastAsia"/>
                <w:lang w:eastAsia="zh-CN"/>
              </w:rPr>
              <w:t>-</w:t>
            </w:r>
            <w:r w:rsidRPr="0098004A">
              <w:rPr>
                <w:rFonts w:cs="Arial"/>
                <w:lang w:eastAsia="zh-CN"/>
              </w:rPr>
              <w:t>112</w:t>
            </w:r>
          </w:p>
        </w:tc>
        <w:tc>
          <w:tcPr>
            <w:tcW w:w="0" w:type="auto"/>
            <w:shd w:val="clear" w:color="auto" w:fill="auto"/>
            <w:vAlign w:val="center"/>
          </w:tcPr>
          <w:p w14:paraId="2B97DE6E" w14:textId="77777777" w:rsidR="00567E6C" w:rsidRPr="00C32E45" w:rsidRDefault="00567E6C" w:rsidP="00F37389">
            <w:pPr>
              <w:pStyle w:val="TAC"/>
            </w:pPr>
            <w:r w:rsidRPr="00C32E45">
              <w:t>N/A</w:t>
            </w:r>
          </w:p>
        </w:tc>
        <w:tc>
          <w:tcPr>
            <w:tcW w:w="0" w:type="auto"/>
            <w:shd w:val="clear" w:color="auto" w:fill="auto"/>
            <w:vAlign w:val="center"/>
          </w:tcPr>
          <w:p w14:paraId="7C3CEC36" w14:textId="77777777" w:rsidR="00567E6C" w:rsidRPr="00C32E45" w:rsidRDefault="00567E6C" w:rsidP="00F37389">
            <w:pPr>
              <w:pStyle w:val="TAC"/>
            </w:pPr>
            <w:r w:rsidRPr="00C32E45">
              <w:t>-70</w:t>
            </w:r>
          </w:p>
        </w:tc>
      </w:tr>
      <w:tr w:rsidR="00567E6C" w:rsidRPr="0098004A" w14:paraId="417A25F0" w14:textId="77777777" w:rsidTr="00567E6C">
        <w:trPr>
          <w:jc w:val="center"/>
        </w:trPr>
        <w:tc>
          <w:tcPr>
            <w:tcW w:w="0" w:type="auto"/>
            <w:vMerge/>
            <w:shd w:val="clear" w:color="auto" w:fill="auto"/>
            <w:vAlign w:val="center"/>
          </w:tcPr>
          <w:p w14:paraId="2D5990B9"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6011E42B"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296B3318" w14:textId="77777777" w:rsidR="00567E6C" w:rsidRPr="0098004A" w:rsidRDefault="00567E6C" w:rsidP="00567E6C">
            <w:pPr>
              <w:keepNext/>
              <w:keepLines/>
              <w:spacing w:after="0"/>
              <w:jc w:val="center"/>
              <w:rPr>
                <w:rFonts w:ascii="Arial" w:hAnsi="Arial"/>
                <w:sz w:val="16"/>
                <w:szCs w:val="16"/>
              </w:rPr>
            </w:pPr>
          </w:p>
        </w:tc>
        <w:tc>
          <w:tcPr>
            <w:tcW w:w="1760" w:type="dxa"/>
            <w:shd w:val="clear" w:color="auto" w:fill="auto"/>
            <w:vAlign w:val="center"/>
          </w:tcPr>
          <w:p w14:paraId="1093E1A9" w14:textId="77777777" w:rsidR="00567E6C" w:rsidRPr="00F37389" w:rsidRDefault="00567E6C" w:rsidP="00567E6C">
            <w:pPr>
              <w:pStyle w:val="TAC"/>
              <w:rPr>
                <w:lang w:eastAsia="zh-CN"/>
              </w:rPr>
            </w:pPr>
            <w:r w:rsidRPr="00F37389">
              <w:rPr>
                <w:lang w:eastAsia="zh-CN"/>
              </w:rPr>
              <w:t>NR_FDD_FR1_H</w:t>
            </w:r>
          </w:p>
        </w:tc>
        <w:tc>
          <w:tcPr>
            <w:tcW w:w="714" w:type="dxa"/>
            <w:shd w:val="clear" w:color="auto" w:fill="auto"/>
            <w:vAlign w:val="center"/>
          </w:tcPr>
          <w:p w14:paraId="1444BDE1" w14:textId="77777777" w:rsidR="00567E6C" w:rsidRPr="00F37389" w:rsidRDefault="00567E6C" w:rsidP="00567E6C">
            <w:pPr>
              <w:pStyle w:val="TAC"/>
              <w:rPr>
                <w:lang w:eastAsia="zh-CN"/>
              </w:rPr>
            </w:pPr>
            <w:r w:rsidRPr="00F37389">
              <w:rPr>
                <w:lang w:eastAsia="zh-CN"/>
              </w:rPr>
              <w:t>-117.5</w:t>
            </w:r>
          </w:p>
        </w:tc>
        <w:tc>
          <w:tcPr>
            <w:tcW w:w="745" w:type="dxa"/>
            <w:shd w:val="clear" w:color="auto" w:fill="auto"/>
            <w:vAlign w:val="center"/>
          </w:tcPr>
          <w:p w14:paraId="2C351E08" w14:textId="77777777" w:rsidR="00567E6C" w:rsidRPr="00F37389" w:rsidRDefault="00567E6C" w:rsidP="00567E6C">
            <w:pPr>
              <w:pStyle w:val="TAC"/>
              <w:rPr>
                <w:lang w:eastAsia="zh-CN"/>
              </w:rPr>
            </w:pPr>
            <w:r w:rsidRPr="00F37389">
              <w:rPr>
                <w:lang w:eastAsia="zh-CN"/>
              </w:rPr>
              <w:t>-114.5</w:t>
            </w:r>
          </w:p>
        </w:tc>
        <w:tc>
          <w:tcPr>
            <w:tcW w:w="0" w:type="auto"/>
            <w:shd w:val="clear" w:color="auto" w:fill="auto"/>
            <w:vAlign w:val="center"/>
          </w:tcPr>
          <w:p w14:paraId="0CCDE2B7" w14:textId="77777777" w:rsidR="00567E6C" w:rsidRPr="0098004A" w:rsidRDefault="00567E6C" w:rsidP="00F37389">
            <w:pPr>
              <w:pStyle w:val="TAC"/>
              <w:rPr>
                <w:rFonts w:cs="Arial"/>
                <w:lang w:eastAsia="zh-CN"/>
              </w:rPr>
            </w:pPr>
            <w:r w:rsidRPr="0098004A">
              <w:rPr>
                <w:rFonts w:cs="Arial" w:hint="eastAsia"/>
                <w:lang w:eastAsia="zh-CN"/>
              </w:rPr>
              <w:t>-</w:t>
            </w:r>
            <w:r w:rsidRPr="0098004A">
              <w:rPr>
                <w:rFonts w:cs="Arial"/>
                <w:lang w:eastAsia="zh-CN"/>
              </w:rPr>
              <w:t>111.5</w:t>
            </w:r>
          </w:p>
        </w:tc>
        <w:tc>
          <w:tcPr>
            <w:tcW w:w="0" w:type="auto"/>
            <w:shd w:val="clear" w:color="auto" w:fill="auto"/>
            <w:vAlign w:val="center"/>
          </w:tcPr>
          <w:p w14:paraId="517F36BC" w14:textId="77777777" w:rsidR="00567E6C" w:rsidRPr="00C32E45" w:rsidRDefault="00567E6C" w:rsidP="00F37389">
            <w:pPr>
              <w:pStyle w:val="TAC"/>
            </w:pPr>
            <w:r w:rsidRPr="00C32E45">
              <w:t>N/A</w:t>
            </w:r>
          </w:p>
        </w:tc>
        <w:tc>
          <w:tcPr>
            <w:tcW w:w="0" w:type="auto"/>
            <w:shd w:val="clear" w:color="auto" w:fill="auto"/>
            <w:vAlign w:val="center"/>
          </w:tcPr>
          <w:p w14:paraId="1863A33D" w14:textId="77777777" w:rsidR="00567E6C" w:rsidRPr="00C32E45" w:rsidRDefault="00567E6C" w:rsidP="00F37389">
            <w:pPr>
              <w:pStyle w:val="TAC"/>
            </w:pPr>
            <w:r w:rsidRPr="00C32E45">
              <w:t>-70</w:t>
            </w:r>
          </w:p>
        </w:tc>
      </w:tr>
      <w:tr w:rsidR="00567E6C" w:rsidRPr="00C32E45" w14:paraId="63D5FCC0" w14:textId="77777777" w:rsidTr="00567E6C">
        <w:trPr>
          <w:jc w:val="center"/>
        </w:trPr>
        <w:tc>
          <w:tcPr>
            <w:tcW w:w="0" w:type="auto"/>
            <w:shd w:val="clear" w:color="auto" w:fill="auto"/>
            <w:vAlign w:val="center"/>
          </w:tcPr>
          <w:p w14:paraId="060E4CAC" w14:textId="77777777" w:rsidR="00567E6C" w:rsidRPr="00F37389" w:rsidRDefault="00567E6C" w:rsidP="00F37389">
            <w:pPr>
              <w:pStyle w:val="TAC"/>
              <w:rPr>
                <w:lang w:eastAsia="zh-CN"/>
              </w:rPr>
            </w:pPr>
            <w:r w:rsidRPr="00714130">
              <w:rPr>
                <w:lang w:eastAsia="zh-CN"/>
              </w:rPr>
              <w:sym w:font="Symbol" w:char="F0B1"/>
            </w:r>
            <w:r>
              <w:rPr>
                <w:lang w:eastAsia="zh-CN"/>
              </w:rPr>
              <w:t>3.5</w:t>
            </w:r>
          </w:p>
        </w:tc>
        <w:tc>
          <w:tcPr>
            <w:tcW w:w="0" w:type="auto"/>
            <w:shd w:val="clear" w:color="auto" w:fill="auto"/>
            <w:vAlign w:val="center"/>
          </w:tcPr>
          <w:p w14:paraId="6DA005D9" w14:textId="77777777" w:rsidR="00567E6C" w:rsidRPr="00F37389" w:rsidRDefault="00567E6C" w:rsidP="00F37389">
            <w:pPr>
              <w:pStyle w:val="TAC"/>
              <w:rPr>
                <w:lang w:eastAsia="zh-CN"/>
              </w:rPr>
            </w:pPr>
            <w:r w:rsidRPr="00714130">
              <w:rPr>
                <w:lang w:eastAsia="zh-CN"/>
              </w:rPr>
              <w:sym w:font="Symbol" w:char="F0B1"/>
            </w:r>
            <w:r>
              <w:rPr>
                <w:lang w:eastAsia="zh-CN"/>
              </w:rPr>
              <w:t>4</w:t>
            </w:r>
          </w:p>
        </w:tc>
        <w:tc>
          <w:tcPr>
            <w:tcW w:w="0" w:type="auto"/>
            <w:shd w:val="clear" w:color="auto" w:fill="auto"/>
            <w:vAlign w:val="center"/>
          </w:tcPr>
          <w:p w14:paraId="2F0D4BD8" w14:textId="77777777" w:rsidR="00567E6C" w:rsidRPr="00F37389" w:rsidRDefault="00567E6C" w:rsidP="00F37389">
            <w:pPr>
              <w:pStyle w:val="TAC"/>
              <w:rPr>
                <w:lang w:eastAsia="zh-CN"/>
              </w:rPr>
            </w:pPr>
            <w:r w:rsidRPr="00F37389">
              <w:rPr>
                <w:lang w:eastAsia="zh-CN"/>
              </w:rPr>
              <w:sym w:font="Symbol" w:char="F0B3"/>
            </w:r>
            <w:r w:rsidRPr="00F37389">
              <w:rPr>
                <w:lang w:eastAsia="zh-CN"/>
              </w:rPr>
              <w:t>-6</w:t>
            </w:r>
          </w:p>
        </w:tc>
        <w:tc>
          <w:tcPr>
            <w:tcW w:w="1760" w:type="dxa"/>
            <w:shd w:val="clear" w:color="auto" w:fill="auto"/>
            <w:vAlign w:val="center"/>
          </w:tcPr>
          <w:p w14:paraId="2C237A9B" w14:textId="77777777" w:rsidR="00567E6C" w:rsidRPr="00F37389" w:rsidRDefault="00567E6C" w:rsidP="00F37389">
            <w:pPr>
              <w:pStyle w:val="TAC"/>
              <w:rPr>
                <w:lang w:eastAsia="zh-CN"/>
              </w:rPr>
            </w:pPr>
            <w:r w:rsidRPr="00F37389">
              <w:rPr>
                <w:lang w:eastAsia="zh-CN"/>
              </w:rPr>
              <w:t>Note 2</w:t>
            </w:r>
          </w:p>
        </w:tc>
        <w:tc>
          <w:tcPr>
            <w:tcW w:w="714" w:type="dxa"/>
            <w:shd w:val="clear" w:color="auto" w:fill="auto"/>
            <w:vAlign w:val="center"/>
          </w:tcPr>
          <w:p w14:paraId="68235DAE" w14:textId="77777777" w:rsidR="00567E6C" w:rsidRPr="00F37389" w:rsidRDefault="00567E6C" w:rsidP="00F37389">
            <w:pPr>
              <w:pStyle w:val="TAC"/>
              <w:rPr>
                <w:lang w:eastAsia="zh-CN"/>
              </w:rPr>
            </w:pPr>
            <w:r w:rsidRPr="00F37389">
              <w:rPr>
                <w:lang w:eastAsia="zh-CN"/>
              </w:rPr>
              <w:t>Note 2</w:t>
            </w:r>
          </w:p>
        </w:tc>
        <w:tc>
          <w:tcPr>
            <w:tcW w:w="745" w:type="dxa"/>
            <w:shd w:val="clear" w:color="auto" w:fill="auto"/>
            <w:vAlign w:val="center"/>
          </w:tcPr>
          <w:p w14:paraId="2FCDC017" w14:textId="77777777" w:rsidR="00567E6C" w:rsidRPr="00F37389" w:rsidRDefault="00567E6C" w:rsidP="00F37389">
            <w:pPr>
              <w:pStyle w:val="TAC"/>
              <w:rPr>
                <w:lang w:eastAsia="zh-CN"/>
              </w:rPr>
            </w:pPr>
            <w:r w:rsidRPr="00F37389">
              <w:rPr>
                <w:lang w:eastAsia="zh-CN"/>
              </w:rPr>
              <w:t>Note 2</w:t>
            </w:r>
          </w:p>
        </w:tc>
        <w:tc>
          <w:tcPr>
            <w:tcW w:w="0" w:type="auto"/>
            <w:shd w:val="clear" w:color="auto" w:fill="auto"/>
            <w:vAlign w:val="center"/>
          </w:tcPr>
          <w:p w14:paraId="034F1112" w14:textId="77777777" w:rsidR="00567E6C" w:rsidRPr="00C32E45" w:rsidRDefault="00567E6C" w:rsidP="00F37389">
            <w:pPr>
              <w:pStyle w:val="TAC"/>
              <w:rPr>
                <w:lang w:eastAsia="zh-CN"/>
              </w:rPr>
            </w:pPr>
            <w:r w:rsidRPr="003631EC">
              <w:t>Note 2</w:t>
            </w:r>
          </w:p>
        </w:tc>
        <w:tc>
          <w:tcPr>
            <w:tcW w:w="0" w:type="auto"/>
            <w:shd w:val="clear" w:color="auto" w:fill="auto"/>
            <w:vAlign w:val="center"/>
          </w:tcPr>
          <w:p w14:paraId="0B4E836F" w14:textId="77777777" w:rsidR="00567E6C" w:rsidRPr="00C32E45" w:rsidRDefault="00567E6C" w:rsidP="00F37389">
            <w:pPr>
              <w:pStyle w:val="TAC"/>
              <w:rPr>
                <w:lang w:eastAsia="zh-CN"/>
              </w:rPr>
            </w:pPr>
            <w:r>
              <w:rPr>
                <w:rFonts w:hint="eastAsia"/>
                <w:lang w:eastAsia="zh-CN"/>
              </w:rPr>
              <w:t>N</w:t>
            </w:r>
            <w:r>
              <w:rPr>
                <w:lang w:eastAsia="zh-CN"/>
              </w:rPr>
              <w:t>/A</w:t>
            </w:r>
          </w:p>
        </w:tc>
        <w:tc>
          <w:tcPr>
            <w:tcW w:w="0" w:type="auto"/>
            <w:shd w:val="clear" w:color="auto" w:fill="auto"/>
            <w:vAlign w:val="center"/>
          </w:tcPr>
          <w:p w14:paraId="5E14ED07" w14:textId="77777777" w:rsidR="00567E6C" w:rsidRPr="00C32E45" w:rsidRDefault="00567E6C" w:rsidP="00F37389">
            <w:pPr>
              <w:pStyle w:val="TAC"/>
            </w:pPr>
            <w:r w:rsidRPr="003631EC">
              <w:t>Note 2</w:t>
            </w:r>
          </w:p>
        </w:tc>
      </w:tr>
      <w:tr w:rsidR="00567E6C" w:rsidRPr="00C32E45" w14:paraId="371D1BE1" w14:textId="77777777" w:rsidTr="00567E6C">
        <w:trPr>
          <w:jc w:val="center"/>
        </w:trPr>
        <w:tc>
          <w:tcPr>
            <w:tcW w:w="0" w:type="auto"/>
            <w:gridSpan w:val="9"/>
            <w:shd w:val="clear" w:color="auto" w:fill="auto"/>
            <w:vAlign w:val="center"/>
          </w:tcPr>
          <w:p w14:paraId="234E2CCA" w14:textId="77777777" w:rsidR="00567E6C" w:rsidRDefault="00567E6C" w:rsidP="00567E6C">
            <w:pPr>
              <w:keepNext/>
              <w:keepLines/>
              <w:spacing w:after="0"/>
              <w:ind w:left="851" w:hanging="851"/>
              <w:rPr>
                <w:rFonts w:ascii="Arial" w:hAnsi="Arial"/>
                <w:sz w:val="18"/>
              </w:rPr>
            </w:pPr>
            <w:r w:rsidRPr="00C32E45">
              <w:rPr>
                <w:rFonts w:ascii="Arial" w:hAnsi="Arial"/>
                <w:sz w:val="18"/>
              </w:rPr>
              <w:t>NOTE 1:</w:t>
            </w:r>
            <w:r w:rsidRPr="00C32E45">
              <w:rPr>
                <w:rFonts w:ascii="Arial" w:hAnsi="Arial"/>
                <w:sz w:val="18"/>
              </w:rPr>
              <w:tab/>
              <w:t>Io is assumed to have constant EPRE across the bandwidth.</w:t>
            </w:r>
          </w:p>
          <w:p w14:paraId="09190F76" w14:textId="77777777" w:rsidR="00567E6C" w:rsidRPr="003631EC" w:rsidRDefault="00567E6C" w:rsidP="00567E6C">
            <w:pPr>
              <w:pStyle w:val="TAN"/>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2172DFAF" w14:textId="77777777" w:rsidR="00567E6C" w:rsidRDefault="00567E6C" w:rsidP="00567E6C">
            <w:pPr>
              <w:keepNext/>
              <w:keepLines/>
              <w:spacing w:after="0"/>
              <w:ind w:left="851" w:hanging="851"/>
              <w:rPr>
                <w:rFonts w:ascii="Arial" w:hAnsi="Arial"/>
                <w:sz w:val="18"/>
              </w:rPr>
            </w:pPr>
            <w:r w:rsidRPr="00C32E45">
              <w:rPr>
                <w:rFonts w:ascii="Arial" w:hAnsi="Arial"/>
                <w:sz w:val="18"/>
              </w:rPr>
              <w:t xml:space="preserve">NOTE </w:t>
            </w:r>
            <w:r>
              <w:rPr>
                <w:rFonts w:ascii="Arial" w:hAnsi="Arial"/>
                <w:sz w:val="18"/>
              </w:rPr>
              <w:t>3</w:t>
            </w:r>
            <w:r w:rsidRPr="00C32E45">
              <w:rPr>
                <w:rFonts w:ascii="Arial" w:hAnsi="Arial"/>
                <w:sz w:val="18"/>
              </w:rPr>
              <w:t>:</w:t>
            </w:r>
            <w:r w:rsidRPr="00C32E45">
              <w:rPr>
                <w:rFonts w:ascii="Arial" w:hAnsi="Arial"/>
                <w:sz w:val="18"/>
              </w:rPr>
              <w:tab/>
              <w:t>NR operating band groups in FR1 are as defined in clause 3.5.2.</w:t>
            </w:r>
          </w:p>
          <w:p w14:paraId="4EFC10CB" w14:textId="77777777" w:rsidR="00567E6C" w:rsidRPr="00632CF5" w:rsidRDefault="00567E6C" w:rsidP="00567E6C">
            <w:pPr>
              <w:keepNext/>
              <w:keepLines/>
              <w:spacing w:after="0"/>
              <w:ind w:left="851" w:hanging="851"/>
              <w:rPr>
                <w:rFonts w:ascii="Arial" w:hAnsi="Arial"/>
                <w:sz w:val="18"/>
              </w:rPr>
            </w:pPr>
            <w:r w:rsidRPr="00550CC9">
              <w:rPr>
                <w:rFonts w:ascii="Arial" w:hAnsi="Arial"/>
                <w:sz w:val="18"/>
              </w:rPr>
              <w:t>NOTE 4:</w:t>
            </w:r>
            <w:r w:rsidRPr="00550CC9">
              <w:rPr>
                <w:rFonts w:ascii="Arial" w:hAnsi="Arial"/>
                <w:sz w:val="18"/>
              </w:rPr>
              <w:tab/>
              <w:t xml:space="preserve">The requirements apply for CSI-RS Ês/Iot </w:t>
            </w:r>
            <w:r w:rsidRPr="00550CC9">
              <w:rPr>
                <w:rFonts w:ascii="Arial" w:hAnsi="Arial" w:hint="eastAsia"/>
                <w:sz w:val="18"/>
              </w:rPr>
              <w:t>≤</w:t>
            </w:r>
            <w:r>
              <w:rPr>
                <w:rFonts w:ascii="Arial" w:hAnsi="Arial"/>
                <w:sz w:val="18"/>
              </w:rPr>
              <w:t>X</w:t>
            </w:r>
            <w:r w:rsidRPr="00550CC9">
              <w:rPr>
                <w:rFonts w:ascii="Arial" w:hAnsi="Arial"/>
                <w:sz w:val="18"/>
              </w:rPr>
              <w:t>dB.</w:t>
            </w:r>
            <w:r>
              <w:rPr>
                <w:rFonts w:ascii="Arial" w:hAnsi="Arial"/>
                <w:sz w:val="18"/>
              </w:rPr>
              <w:t xml:space="preserve"> </w:t>
            </w:r>
            <w:r w:rsidRPr="004A0983">
              <w:rPr>
                <w:rFonts w:ascii="Arial" w:hAnsi="Arial"/>
                <w:sz w:val="18"/>
              </w:rPr>
              <w:t>X=15 if timing offset between the reference measurement timing and the target CSI-RS is no larger than 0.5*CP, and X=</w:t>
            </w:r>
            <w:r>
              <w:rPr>
                <w:rFonts w:ascii="Arial" w:hAnsi="Arial"/>
                <w:sz w:val="18"/>
              </w:rPr>
              <w:t>4</w:t>
            </w:r>
            <w:r w:rsidRPr="004A0983">
              <w:rPr>
                <w:rFonts w:ascii="Arial" w:hAnsi="Arial"/>
                <w:sz w:val="18"/>
              </w:rPr>
              <w:t xml:space="preserve"> if timing offset between the reference measurement timing and the target CSI-RS is larger than 0.5*CP but no larger than CP.</w:t>
            </w:r>
          </w:p>
        </w:tc>
      </w:tr>
    </w:tbl>
    <w:p w14:paraId="72C3624C" w14:textId="77777777" w:rsidR="00567E6C" w:rsidRPr="009C5807" w:rsidRDefault="00567E6C" w:rsidP="009D3C60">
      <w:pPr>
        <w:pStyle w:val="Heading5"/>
      </w:pPr>
      <w:r>
        <w:rPr>
          <w:lang w:eastAsia="zh-CN"/>
        </w:rPr>
        <w:t>10.1.14.2</w:t>
      </w:r>
      <w:r w:rsidRPr="009C5807">
        <w:rPr>
          <w:lang w:eastAsia="zh-CN"/>
        </w:rPr>
        <w:t>.2</w:t>
      </w:r>
      <w:r w:rsidRPr="009C5807">
        <w:tab/>
        <w:t xml:space="preserve">Relative Accuracy of </w:t>
      </w:r>
      <w:r>
        <w:rPr>
          <w:lang w:eastAsia="zh-CN"/>
        </w:rPr>
        <w:t>CSI-SINR</w:t>
      </w:r>
      <w:r w:rsidRPr="009C5807">
        <w:t xml:space="preserve"> in FR1</w:t>
      </w:r>
    </w:p>
    <w:p w14:paraId="4C9EFC76" w14:textId="77777777" w:rsidR="00567E6C" w:rsidRPr="009C5807" w:rsidRDefault="00567E6C" w:rsidP="00567E6C">
      <w:pPr>
        <w:rPr>
          <w:rFonts w:cs="v4.2.0"/>
          <w:i/>
        </w:rPr>
      </w:pPr>
      <w:r w:rsidRPr="009C5807">
        <w:rPr>
          <w:rFonts w:cs="v4.2.0"/>
        </w:rPr>
        <w:t xml:space="preserve">The relative accuracy of </w:t>
      </w:r>
      <w:r>
        <w:rPr>
          <w:rFonts w:cs="v4.2.0"/>
          <w:lang w:eastAsia="zh-CN"/>
        </w:rPr>
        <w:t>CSI-SINR</w:t>
      </w:r>
      <w:r w:rsidRPr="009C5807">
        <w:rPr>
          <w:rFonts w:cs="v4.2.0"/>
        </w:rPr>
        <w:t xml:space="preserve"> in inter frequency case is defined as the </w:t>
      </w:r>
      <w:r>
        <w:rPr>
          <w:rFonts w:cs="v4.2.0"/>
        </w:rPr>
        <w:t>CSI-SINR</w:t>
      </w:r>
      <w:r w:rsidRPr="009C5807">
        <w:rPr>
          <w:rFonts w:cs="v4.2.0"/>
        </w:rPr>
        <w:t xml:space="preserve"> measured from one cell on a frequency in FR1 compared to the </w:t>
      </w:r>
      <w:r>
        <w:rPr>
          <w:rFonts w:cs="v4.2.0"/>
        </w:rPr>
        <w:t>CSI-SINR</w:t>
      </w:r>
      <w:r w:rsidRPr="009C5807">
        <w:rPr>
          <w:rFonts w:cs="v4.2.0"/>
        </w:rPr>
        <w:t xml:space="preserve"> measured from another cell on a different frequency in FR1.</w:t>
      </w:r>
    </w:p>
    <w:p w14:paraId="0A4828A4" w14:textId="77777777" w:rsidR="00567E6C" w:rsidRPr="009C5807" w:rsidRDefault="00567E6C" w:rsidP="00567E6C">
      <w:pPr>
        <w:rPr>
          <w:rFonts w:cs="v4.2.0"/>
        </w:rPr>
      </w:pPr>
      <w:r w:rsidRPr="009C5807">
        <w:rPr>
          <w:rFonts w:cs="v4.2.0"/>
        </w:rPr>
        <w:t xml:space="preserve">The accuracy requirements in Table </w:t>
      </w:r>
      <w:r>
        <w:rPr>
          <w:rFonts w:cs="v4.2.0"/>
          <w:lang w:eastAsia="zh-CN"/>
        </w:rPr>
        <w:t>10.1.14.2</w:t>
      </w:r>
      <w:r w:rsidRPr="009C5807">
        <w:rPr>
          <w:rFonts w:cs="v4.2.0"/>
          <w:lang w:eastAsia="zh-CN"/>
        </w:rPr>
        <w:t>.2</w:t>
      </w:r>
      <w:r w:rsidRPr="009C5807">
        <w:rPr>
          <w:rFonts w:cs="v4.2.0"/>
        </w:rPr>
        <w:t>-1 are valid under the following conditions:</w:t>
      </w:r>
    </w:p>
    <w:p w14:paraId="0D4BD307" w14:textId="77777777" w:rsidR="00567E6C" w:rsidRPr="009C5807" w:rsidRDefault="00567E6C" w:rsidP="00567E6C">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30EB76E8" w14:textId="77777777" w:rsidR="00567E6C" w:rsidRPr="009C5807" w:rsidRDefault="00567E6C" w:rsidP="00567E6C">
      <w:pPr>
        <w:pStyle w:val="B10"/>
      </w:pPr>
      <w:r w:rsidRPr="009C5807">
        <w:t>-</w:t>
      </w:r>
      <w:r w:rsidRPr="009C5807">
        <w:rPr>
          <w:rFonts w:ascii="Arial" w:hAnsi="Arial"/>
          <w:sz w:val="28"/>
          <w:lang w:val="en-US"/>
        </w:rPr>
        <w:tab/>
      </w:r>
      <w:r w:rsidRPr="009C5807">
        <w:t>Conditions for inter-frequency measurements are fulfilled according to Annex B.2.</w:t>
      </w:r>
      <w:r>
        <w:rPr>
          <w:rFonts w:hint="eastAsia"/>
          <w:lang w:eastAsia="zh-CN"/>
        </w:rPr>
        <w:t>9</w:t>
      </w:r>
      <w:r w:rsidRPr="009C5807">
        <w:t xml:space="preserve"> for a corresponding Band.</w:t>
      </w:r>
    </w:p>
    <w:p w14:paraId="543D6112" w14:textId="77777777" w:rsidR="00567E6C" w:rsidRPr="009C5807" w:rsidRDefault="00567E6C" w:rsidP="00567E6C">
      <w:pPr>
        <w:pStyle w:val="B10"/>
        <w:rPr>
          <w:rFonts w:cs="v4.2.0"/>
          <w:sz w:val="18"/>
        </w:rPr>
      </w:pPr>
      <w:r w:rsidRPr="009C5807">
        <w:t>-</w:t>
      </w:r>
      <w:r w:rsidRPr="009C5807">
        <w:rPr>
          <w:rFonts w:ascii="Arial" w:hAnsi="Arial"/>
          <w:sz w:val="28"/>
          <w:lang w:val="en-US"/>
        </w:rPr>
        <w:tab/>
      </w:r>
      <w:r w:rsidRPr="009C5807">
        <w:t>|</w:t>
      </w:r>
      <w:r>
        <w:t>CSI</w:t>
      </w:r>
      <w:r w:rsidRPr="009C5807">
        <w:t>_RP1</w:t>
      </w:r>
      <w:r w:rsidRPr="009C5807">
        <w:rPr>
          <w:vertAlign w:val="subscript"/>
        </w:rPr>
        <w:t>dBm</w:t>
      </w:r>
      <w:r w:rsidRPr="009C5807">
        <w:t xml:space="preserve"> - </w:t>
      </w:r>
      <w:r>
        <w:t>CSI</w:t>
      </w:r>
      <w:r w:rsidRPr="009C5807">
        <w:t>_RP2</w:t>
      </w:r>
      <w:r w:rsidRPr="009C5807">
        <w:rPr>
          <w:vertAlign w:val="subscript"/>
        </w:rPr>
        <w:t>dBm</w:t>
      </w:r>
      <w:r w:rsidRPr="009C5807">
        <w:t xml:space="preserve">| </w:t>
      </w:r>
      <w:r w:rsidRPr="009C5807">
        <w:rPr>
          <w:rFonts w:hint="eastAsia"/>
        </w:rPr>
        <w:t>≤</w:t>
      </w:r>
      <w:r w:rsidRPr="009C5807">
        <w:t xml:space="preserve"> 27 dB</w:t>
      </w:r>
    </w:p>
    <w:p w14:paraId="51C1D19F" w14:textId="77777777" w:rsidR="00567E6C" w:rsidRDefault="00567E6C" w:rsidP="00567E6C">
      <w:pPr>
        <w:pStyle w:val="B10"/>
      </w:pPr>
      <w:r w:rsidRPr="009C5807">
        <w:t>-</w:t>
      </w:r>
      <w:r w:rsidRPr="009C5807">
        <w:rPr>
          <w:rFonts w:ascii="Arial" w:hAnsi="Arial"/>
          <w:sz w:val="28"/>
          <w:lang w:val="en-US"/>
        </w:rPr>
        <w:tab/>
      </w:r>
      <w:r w:rsidRPr="009C5807">
        <w:t xml:space="preserve">| Channel 1_Io </w:t>
      </w:r>
      <w:r w:rsidRPr="009C5807">
        <w:noBreakHyphen/>
        <w:t xml:space="preserve">Channel 2_Io | </w:t>
      </w:r>
      <w:r w:rsidRPr="009C5807">
        <w:sym w:font="Symbol" w:char="F0A3"/>
      </w:r>
      <w:r w:rsidRPr="009C5807">
        <w:t xml:space="preserve"> 20 dB</w:t>
      </w:r>
    </w:p>
    <w:p w14:paraId="139391B0" w14:textId="77777777" w:rsidR="00567E6C" w:rsidRDefault="00567E6C" w:rsidP="00567E6C">
      <w:pPr>
        <w:pStyle w:val="B10"/>
        <w:rPr>
          <w:lang w:eastAsia="zh-CN"/>
        </w:rPr>
      </w:pPr>
      <w:r w:rsidRPr="009C5807">
        <w:t>-</w:t>
      </w:r>
      <w:r w:rsidRPr="009C5807">
        <w:tab/>
        <w:t xml:space="preserve">The </w:t>
      </w:r>
      <w:r>
        <w:t>timing offset</w:t>
      </w:r>
      <w:r w:rsidRPr="009C5807">
        <w:t xml:space="preserve"> between </w:t>
      </w:r>
      <w:r w:rsidRPr="00247FF1">
        <w:t>the reference measurement timing and the target CSI-RS in one layer</w:t>
      </w:r>
      <w:r>
        <w:t xml:space="preserve"> </w:t>
      </w:r>
      <w:r w:rsidRPr="009C5807">
        <w:t xml:space="preserve">is </w:t>
      </w:r>
      <w:r>
        <w:t>no larger than CP</w:t>
      </w:r>
      <w:r>
        <w:rPr>
          <w:rFonts w:hint="eastAsia"/>
          <w:lang w:eastAsia="zh-CN"/>
        </w:rPr>
        <w:t xml:space="preserve">. </w:t>
      </w:r>
    </w:p>
    <w:p w14:paraId="1F48C702" w14:textId="77777777" w:rsidR="00567E6C" w:rsidRPr="00F37389" w:rsidRDefault="00567E6C">
      <w:pPr>
        <w:numPr>
          <w:ilvl w:val="0"/>
          <w:numId w:val="17"/>
        </w:numPr>
      </w:pPr>
      <w:r w:rsidRPr="0074207F">
        <w:rPr>
          <w:lang w:eastAsia="zh-CN"/>
        </w:rPr>
        <w:t xml:space="preserve">Note: The reference measurement timing for inter-frequency measurement is up to UE implementation and shall be based on the timing of one of the target cells. </w:t>
      </w:r>
    </w:p>
    <w:p w14:paraId="460768CD" w14:textId="77777777" w:rsidR="00567E6C" w:rsidRDefault="00567E6C" w:rsidP="00567E6C">
      <w:pPr>
        <w:pStyle w:val="B10"/>
        <w:rPr>
          <w:lang w:eastAsia="zh-CN"/>
        </w:rPr>
      </w:pPr>
      <w:r>
        <w:rPr>
          <w:lang w:eastAsia="zh-CN"/>
        </w:rPr>
        <w:t>-</w:t>
      </w:r>
      <w:r>
        <w:rPr>
          <w:lang w:eastAsia="zh-CN"/>
        </w:rPr>
        <w:tab/>
        <w:t xml:space="preserve">The bandwidth of CSI-RS is 48 PRBs and the density is 3. </w:t>
      </w:r>
    </w:p>
    <w:p w14:paraId="254C487B" w14:textId="77777777" w:rsidR="00567E6C" w:rsidRPr="00A60E31" w:rsidRDefault="00567E6C" w:rsidP="00567E6C">
      <w:pPr>
        <w:pStyle w:val="B10"/>
        <w:ind w:leftChars="342" w:left="968"/>
        <w:rPr>
          <w:lang w:eastAsia="zh-CN"/>
        </w:rPr>
      </w:pPr>
      <w:r>
        <w:rPr>
          <w:rFonts w:hint="eastAsia"/>
          <w:lang w:eastAsia="zh-CN"/>
        </w:rPr>
        <w:t>•</w:t>
      </w:r>
      <w:r>
        <w:rPr>
          <w:lang w:eastAsia="zh-CN"/>
        </w:rPr>
        <w:tab/>
        <w:t>The performance with larger bandwidth of CSI-RS is equal to or better than the accuracy requirements in Table 10.1.14.2</w:t>
      </w:r>
      <w:r w:rsidRPr="009C5807">
        <w:rPr>
          <w:lang w:eastAsia="zh-CN"/>
        </w:rPr>
        <w:t>.2</w:t>
      </w:r>
      <w:r w:rsidRPr="009C5807">
        <w:t>-1</w:t>
      </w:r>
      <w:r>
        <w:rPr>
          <w:lang w:eastAsia="zh-CN"/>
        </w:rPr>
        <w:t>.</w:t>
      </w:r>
    </w:p>
    <w:p w14:paraId="7A855F83" w14:textId="77777777" w:rsidR="00567E6C" w:rsidRPr="006B1BC4" w:rsidRDefault="00567E6C" w:rsidP="00567E6C">
      <w:pPr>
        <w:pStyle w:val="B10"/>
        <w:rPr>
          <w:lang w:eastAsia="zh-CN"/>
        </w:rPr>
      </w:pPr>
    </w:p>
    <w:p w14:paraId="69AE13B5" w14:textId="77777777" w:rsidR="00567E6C" w:rsidRDefault="00567E6C" w:rsidP="00567E6C">
      <w:pPr>
        <w:pStyle w:val="TH"/>
        <w:rPr>
          <w:sz w:val="22"/>
          <w:szCs w:val="22"/>
          <w:lang w:eastAsia="zh-CN"/>
        </w:rPr>
      </w:pPr>
      <w:r w:rsidRPr="009C5807">
        <w:t xml:space="preserve">Table </w:t>
      </w:r>
      <w:r>
        <w:rPr>
          <w:lang w:eastAsia="zh-CN"/>
        </w:rPr>
        <w:t>10.1.14.2</w:t>
      </w:r>
      <w:r w:rsidRPr="009C5807">
        <w:rPr>
          <w:lang w:eastAsia="zh-CN"/>
        </w:rPr>
        <w:t>.2</w:t>
      </w:r>
      <w:r w:rsidRPr="009C5807">
        <w:t xml:space="preserve">-1: </w:t>
      </w:r>
      <w:r>
        <w:rPr>
          <w:lang w:eastAsia="zh-CN"/>
        </w:rPr>
        <w:t>CSI-SINR</w:t>
      </w:r>
      <w:r w:rsidRPr="009C5807">
        <w:t xml:space="preserve"> Inter frequency relative accuracy</w:t>
      </w:r>
      <w:r w:rsidRPr="009C5807">
        <w:rPr>
          <w:sz w:val="22"/>
          <w:szCs w:val="22"/>
          <w:lang w:eastAsia="zh-CN"/>
        </w:rPr>
        <w:t xml:space="preserve"> in FR1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27"/>
        <w:gridCol w:w="1026"/>
        <w:gridCol w:w="707"/>
        <w:gridCol w:w="1996"/>
        <w:gridCol w:w="814"/>
        <w:gridCol w:w="820"/>
        <w:gridCol w:w="810"/>
        <w:gridCol w:w="1376"/>
        <w:gridCol w:w="1047"/>
      </w:tblGrid>
      <w:tr w:rsidR="00567E6C" w:rsidRPr="00C32E45" w14:paraId="48F2873A" w14:textId="77777777" w:rsidTr="00567E6C">
        <w:trPr>
          <w:jc w:val="center"/>
        </w:trPr>
        <w:tc>
          <w:tcPr>
            <w:tcW w:w="0" w:type="auto"/>
            <w:gridSpan w:val="2"/>
            <w:shd w:val="clear" w:color="auto" w:fill="auto"/>
            <w:vAlign w:val="center"/>
          </w:tcPr>
          <w:p w14:paraId="5636EEFA"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Accuracy</w:t>
            </w:r>
          </w:p>
        </w:tc>
        <w:tc>
          <w:tcPr>
            <w:tcW w:w="0" w:type="auto"/>
            <w:gridSpan w:val="7"/>
            <w:shd w:val="clear" w:color="auto" w:fill="auto"/>
            <w:vAlign w:val="center"/>
          </w:tcPr>
          <w:p w14:paraId="147AE010"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Conditions</w:t>
            </w:r>
          </w:p>
        </w:tc>
      </w:tr>
      <w:tr w:rsidR="00567E6C" w:rsidRPr="00C32E45" w14:paraId="4B81331C" w14:textId="77777777" w:rsidTr="00567E6C">
        <w:trPr>
          <w:jc w:val="center"/>
        </w:trPr>
        <w:tc>
          <w:tcPr>
            <w:tcW w:w="0" w:type="auto"/>
            <w:vMerge w:val="restart"/>
            <w:shd w:val="clear" w:color="auto" w:fill="auto"/>
            <w:vAlign w:val="center"/>
          </w:tcPr>
          <w:p w14:paraId="1B3A8581"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Normal condition</w:t>
            </w:r>
          </w:p>
        </w:tc>
        <w:tc>
          <w:tcPr>
            <w:tcW w:w="0" w:type="auto"/>
            <w:vMerge w:val="restart"/>
            <w:shd w:val="clear" w:color="auto" w:fill="auto"/>
            <w:vAlign w:val="center"/>
          </w:tcPr>
          <w:p w14:paraId="2F2059A4"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Extreme condition</w:t>
            </w:r>
          </w:p>
        </w:tc>
        <w:tc>
          <w:tcPr>
            <w:tcW w:w="0" w:type="auto"/>
            <w:vMerge w:val="restart"/>
            <w:shd w:val="clear" w:color="auto" w:fill="auto"/>
            <w:vAlign w:val="center"/>
          </w:tcPr>
          <w:p w14:paraId="071BAFC4" w14:textId="77777777" w:rsidR="00567E6C" w:rsidRPr="00C32E45" w:rsidRDefault="00567E6C" w:rsidP="00567E6C">
            <w:pPr>
              <w:keepNext/>
              <w:keepLines/>
              <w:spacing w:after="0"/>
              <w:jc w:val="center"/>
              <w:rPr>
                <w:rFonts w:ascii="Arial" w:hAnsi="Arial"/>
                <w:b/>
                <w:sz w:val="18"/>
              </w:rPr>
            </w:pPr>
            <w:r>
              <w:rPr>
                <w:rFonts w:ascii="Arial" w:hAnsi="Arial"/>
                <w:b/>
                <w:sz w:val="18"/>
              </w:rPr>
              <w:t xml:space="preserve">CSI-RS </w:t>
            </w:r>
            <w:r w:rsidRPr="00C32E45">
              <w:rPr>
                <w:rFonts w:ascii="Arial" w:hAnsi="Arial"/>
                <w:b/>
                <w:sz w:val="18"/>
              </w:rPr>
              <w:t>Ês/Iot</w:t>
            </w:r>
            <w:r w:rsidRPr="00632CF5">
              <w:rPr>
                <w:vertAlign w:val="superscript"/>
                <w:lang w:eastAsia="zh-CN"/>
              </w:rPr>
              <w:t xml:space="preserve"> </w:t>
            </w:r>
            <w:r w:rsidRPr="00632CF5">
              <w:rPr>
                <w:rFonts w:ascii="Arial" w:hAnsi="Arial"/>
                <w:b/>
                <w:sz w:val="18"/>
                <w:vertAlign w:val="superscript"/>
              </w:rPr>
              <w:t>Note 3</w:t>
            </w:r>
          </w:p>
        </w:tc>
        <w:tc>
          <w:tcPr>
            <w:tcW w:w="0" w:type="auto"/>
            <w:gridSpan w:val="6"/>
            <w:shd w:val="clear" w:color="auto" w:fill="auto"/>
            <w:vAlign w:val="center"/>
          </w:tcPr>
          <w:p w14:paraId="4C3294BF"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Io</w:t>
            </w:r>
            <w:r w:rsidRPr="00C32E45">
              <w:rPr>
                <w:rFonts w:ascii="Arial" w:hAnsi="Arial"/>
                <w:b/>
                <w:sz w:val="18"/>
                <w:vertAlign w:val="superscript"/>
              </w:rPr>
              <w:t xml:space="preserve"> Note 1</w:t>
            </w:r>
            <w:r w:rsidRPr="00C32E45">
              <w:rPr>
                <w:rFonts w:ascii="Arial" w:hAnsi="Arial"/>
                <w:b/>
                <w:sz w:val="18"/>
              </w:rPr>
              <w:t xml:space="preserve"> range</w:t>
            </w:r>
          </w:p>
        </w:tc>
      </w:tr>
      <w:tr w:rsidR="00567E6C" w:rsidRPr="00C32E45" w14:paraId="3F2DC86A" w14:textId="77777777" w:rsidTr="00567E6C">
        <w:trPr>
          <w:jc w:val="center"/>
        </w:trPr>
        <w:tc>
          <w:tcPr>
            <w:tcW w:w="0" w:type="auto"/>
            <w:vMerge/>
            <w:shd w:val="clear" w:color="auto" w:fill="auto"/>
            <w:vAlign w:val="center"/>
          </w:tcPr>
          <w:p w14:paraId="36929D34" w14:textId="77777777" w:rsidR="00567E6C" w:rsidRPr="00C32E45" w:rsidRDefault="00567E6C" w:rsidP="00567E6C">
            <w:pPr>
              <w:keepNext/>
              <w:keepLines/>
              <w:spacing w:after="0"/>
              <w:jc w:val="center"/>
              <w:rPr>
                <w:rFonts w:ascii="Arial" w:hAnsi="Arial"/>
                <w:b/>
                <w:sz w:val="18"/>
              </w:rPr>
            </w:pPr>
          </w:p>
        </w:tc>
        <w:tc>
          <w:tcPr>
            <w:tcW w:w="0" w:type="auto"/>
            <w:vMerge/>
            <w:shd w:val="clear" w:color="auto" w:fill="auto"/>
            <w:vAlign w:val="center"/>
          </w:tcPr>
          <w:p w14:paraId="31A59A2D" w14:textId="77777777" w:rsidR="00567E6C" w:rsidRPr="00C32E45" w:rsidRDefault="00567E6C" w:rsidP="00567E6C">
            <w:pPr>
              <w:keepNext/>
              <w:keepLines/>
              <w:spacing w:after="0"/>
              <w:jc w:val="center"/>
              <w:rPr>
                <w:rFonts w:ascii="Arial" w:hAnsi="Arial"/>
                <w:b/>
                <w:sz w:val="18"/>
              </w:rPr>
            </w:pPr>
          </w:p>
        </w:tc>
        <w:tc>
          <w:tcPr>
            <w:tcW w:w="0" w:type="auto"/>
            <w:vMerge/>
            <w:shd w:val="clear" w:color="auto" w:fill="auto"/>
            <w:vAlign w:val="center"/>
          </w:tcPr>
          <w:p w14:paraId="3918725C" w14:textId="77777777" w:rsidR="00567E6C" w:rsidRPr="00C32E45" w:rsidRDefault="00567E6C" w:rsidP="00567E6C">
            <w:pPr>
              <w:keepNext/>
              <w:keepLines/>
              <w:spacing w:after="0"/>
              <w:jc w:val="center"/>
              <w:rPr>
                <w:rFonts w:ascii="Arial" w:hAnsi="Arial"/>
                <w:b/>
                <w:sz w:val="18"/>
              </w:rPr>
            </w:pPr>
          </w:p>
        </w:tc>
        <w:tc>
          <w:tcPr>
            <w:tcW w:w="1959" w:type="dxa"/>
            <w:shd w:val="clear" w:color="auto" w:fill="auto"/>
            <w:vAlign w:val="center"/>
          </w:tcPr>
          <w:p w14:paraId="79E80E3B"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NR operating band groups</w:t>
            </w:r>
            <w:r w:rsidRPr="00C32E45">
              <w:rPr>
                <w:rFonts w:ascii="Arial" w:hAnsi="Arial"/>
                <w:b/>
                <w:sz w:val="18"/>
                <w:vertAlign w:val="superscript"/>
              </w:rPr>
              <w:t xml:space="preserve"> </w:t>
            </w:r>
          </w:p>
        </w:tc>
        <w:tc>
          <w:tcPr>
            <w:tcW w:w="3858" w:type="dxa"/>
            <w:gridSpan w:val="4"/>
            <w:shd w:val="clear" w:color="auto" w:fill="auto"/>
            <w:vAlign w:val="center"/>
          </w:tcPr>
          <w:p w14:paraId="5676F354"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Minimum Io</w:t>
            </w:r>
          </w:p>
        </w:tc>
        <w:tc>
          <w:tcPr>
            <w:tcW w:w="0" w:type="auto"/>
            <w:shd w:val="clear" w:color="auto" w:fill="auto"/>
            <w:vAlign w:val="center"/>
          </w:tcPr>
          <w:p w14:paraId="2C61CE22"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Maximum Io</w:t>
            </w:r>
          </w:p>
        </w:tc>
      </w:tr>
      <w:tr w:rsidR="00567E6C" w:rsidRPr="00C32E45" w14:paraId="1BDEB4A3" w14:textId="77777777" w:rsidTr="00567E6C">
        <w:trPr>
          <w:trHeight w:val="120"/>
          <w:jc w:val="center"/>
        </w:trPr>
        <w:tc>
          <w:tcPr>
            <w:tcW w:w="0" w:type="auto"/>
            <w:vMerge w:val="restart"/>
            <w:shd w:val="clear" w:color="auto" w:fill="auto"/>
            <w:vAlign w:val="center"/>
          </w:tcPr>
          <w:p w14:paraId="5A6E7115" w14:textId="77777777" w:rsidR="00567E6C" w:rsidRPr="00C32E45" w:rsidRDefault="00567E6C" w:rsidP="00567E6C">
            <w:pPr>
              <w:keepNext/>
              <w:keepLines/>
              <w:spacing w:after="0"/>
              <w:jc w:val="center"/>
              <w:rPr>
                <w:rFonts w:ascii="Arial" w:hAnsi="Arial"/>
                <w:b/>
                <w:sz w:val="18"/>
                <w:lang w:eastAsia="zh-CN"/>
              </w:rPr>
            </w:pPr>
            <w:r w:rsidRPr="00C32E45">
              <w:rPr>
                <w:rFonts w:ascii="Arial" w:hAnsi="Arial"/>
                <w:b/>
                <w:sz w:val="18"/>
              </w:rPr>
              <w:t>dB</w:t>
            </w:r>
          </w:p>
        </w:tc>
        <w:tc>
          <w:tcPr>
            <w:tcW w:w="0" w:type="auto"/>
            <w:vMerge w:val="restart"/>
            <w:shd w:val="clear" w:color="auto" w:fill="auto"/>
            <w:vAlign w:val="center"/>
          </w:tcPr>
          <w:p w14:paraId="59F52604" w14:textId="77777777" w:rsidR="00567E6C" w:rsidRPr="00C32E45" w:rsidRDefault="00567E6C" w:rsidP="00567E6C">
            <w:pPr>
              <w:keepNext/>
              <w:keepLines/>
              <w:spacing w:after="0"/>
              <w:jc w:val="center"/>
              <w:rPr>
                <w:rFonts w:ascii="Arial" w:hAnsi="Arial"/>
                <w:b/>
                <w:sz w:val="18"/>
                <w:lang w:eastAsia="zh-CN"/>
              </w:rPr>
            </w:pPr>
            <w:r w:rsidRPr="00C32E45">
              <w:rPr>
                <w:rFonts w:ascii="Arial" w:hAnsi="Arial"/>
                <w:b/>
                <w:sz w:val="18"/>
              </w:rPr>
              <w:t>dB</w:t>
            </w:r>
          </w:p>
        </w:tc>
        <w:tc>
          <w:tcPr>
            <w:tcW w:w="0" w:type="auto"/>
            <w:vMerge w:val="restart"/>
            <w:shd w:val="clear" w:color="auto" w:fill="auto"/>
            <w:vAlign w:val="center"/>
          </w:tcPr>
          <w:p w14:paraId="2CC05D2B"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dB</w:t>
            </w:r>
          </w:p>
        </w:tc>
        <w:tc>
          <w:tcPr>
            <w:tcW w:w="1959" w:type="dxa"/>
            <w:vMerge w:val="restart"/>
            <w:shd w:val="clear" w:color="auto" w:fill="auto"/>
            <w:vAlign w:val="center"/>
          </w:tcPr>
          <w:p w14:paraId="6AC2FBCE" w14:textId="77777777" w:rsidR="00567E6C" w:rsidRPr="00C32E45" w:rsidRDefault="00567E6C" w:rsidP="00567E6C">
            <w:pPr>
              <w:keepNext/>
              <w:keepLines/>
              <w:spacing w:after="0"/>
              <w:jc w:val="center"/>
              <w:rPr>
                <w:rFonts w:ascii="Arial" w:hAnsi="Arial"/>
                <w:b/>
                <w:sz w:val="18"/>
              </w:rPr>
            </w:pPr>
          </w:p>
        </w:tc>
        <w:tc>
          <w:tcPr>
            <w:tcW w:w="2385" w:type="dxa"/>
            <w:gridSpan w:val="3"/>
            <w:shd w:val="clear" w:color="auto" w:fill="auto"/>
            <w:vAlign w:val="center"/>
          </w:tcPr>
          <w:p w14:paraId="55430F16" w14:textId="77777777" w:rsidR="00567E6C" w:rsidRPr="00C32E45" w:rsidRDefault="00567E6C" w:rsidP="00567E6C">
            <w:pPr>
              <w:keepNext/>
              <w:keepLines/>
              <w:spacing w:after="0"/>
              <w:jc w:val="center"/>
              <w:rPr>
                <w:rFonts w:ascii="Arial" w:hAnsi="Arial"/>
                <w:b/>
                <w:sz w:val="18"/>
              </w:rPr>
            </w:pPr>
            <w:r w:rsidRPr="00C32E45">
              <w:rPr>
                <w:rFonts w:ascii="Arial" w:hAnsi="Arial" w:cs="Arial"/>
                <w:b/>
                <w:sz w:val="18"/>
              </w:rPr>
              <w:t xml:space="preserve">dBm / </w:t>
            </w:r>
            <w:r w:rsidRPr="00C32E45">
              <w:rPr>
                <w:rFonts w:ascii="Arial" w:hAnsi="Arial"/>
                <w:b/>
                <w:sz w:val="18"/>
              </w:rPr>
              <w:t>SCS</w:t>
            </w:r>
          </w:p>
        </w:tc>
        <w:tc>
          <w:tcPr>
            <w:tcW w:w="0" w:type="auto"/>
            <w:vMerge w:val="restart"/>
            <w:shd w:val="clear" w:color="auto" w:fill="auto"/>
            <w:vAlign w:val="center"/>
          </w:tcPr>
          <w:p w14:paraId="08A6A57F"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 xml:space="preserve">dBm/BW </w:t>
            </w:r>
            <w:r w:rsidRPr="00C32E45">
              <w:rPr>
                <w:rFonts w:ascii="Arial" w:hAnsi="Arial"/>
                <w:b/>
                <w:sz w:val="18"/>
                <w:vertAlign w:val="subscript"/>
              </w:rPr>
              <w:t>Channel</w:t>
            </w:r>
          </w:p>
        </w:tc>
        <w:tc>
          <w:tcPr>
            <w:tcW w:w="0" w:type="auto"/>
            <w:vMerge w:val="restart"/>
            <w:shd w:val="clear" w:color="auto" w:fill="auto"/>
            <w:vAlign w:val="center"/>
          </w:tcPr>
          <w:p w14:paraId="7C27BF31" w14:textId="77777777" w:rsidR="00567E6C" w:rsidRPr="00C32E45" w:rsidRDefault="00567E6C" w:rsidP="00567E6C">
            <w:pPr>
              <w:keepNext/>
              <w:keepLines/>
              <w:spacing w:after="0"/>
              <w:jc w:val="center"/>
              <w:rPr>
                <w:rFonts w:ascii="Arial" w:hAnsi="Arial"/>
                <w:b/>
                <w:sz w:val="18"/>
              </w:rPr>
            </w:pPr>
            <w:r w:rsidRPr="00C32E45">
              <w:rPr>
                <w:rFonts w:ascii="Arial" w:hAnsi="Arial"/>
                <w:b/>
                <w:sz w:val="18"/>
              </w:rPr>
              <w:t xml:space="preserve">dBm/BW </w:t>
            </w:r>
            <w:r w:rsidRPr="00C32E45">
              <w:rPr>
                <w:rFonts w:ascii="Arial" w:hAnsi="Arial"/>
                <w:b/>
                <w:sz w:val="18"/>
                <w:vertAlign w:val="subscript"/>
              </w:rPr>
              <w:t>Channel</w:t>
            </w:r>
          </w:p>
        </w:tc>
      </w:tr>
      <w:tr w:rsidR="00567E6C" w:rsidRPr="00C32E45" w14:paraId="04874517" w14:textId="77777777" w:rsidTr="00567E6C">
        <w:trPr>
          <w:trHeight w:val="43"/>
          <w:jc w:val="center"/>
        </w:trPr>
        <w:tc>
          <w:tcPr>
            <w:tcW w:w="0" w:type="auto"/>
            <w:vMerge/>
            <w:shd w:val="clear" w:color="auto" w:fill="auto"/>
            <w:vAlign w:val="center"/>
          </w:tcPr>
          <w:p w14:paraId="49C4922D" w14:textId="77777777" w:rsidR="00567E6C" w:rsidRPr="00C32E45" w:rsidRDefault="00567E6C" w:rsidP="00567E6C">
            <w:pPr>
              <w:keepNext/>
              <w:keepLines/>
              <w:spacing w:after="0"/>
              <w:jc w:val="center"/>
              <w:rPr>
                <w:rFonts w:ascii="Arial" w:hAnsi="Arial"/>
                <w:b/>
                <w:sz w:val="18"/>
              </w:rPr>
            </w:pPr>
          </w:p>
        </w:tc>
        <w:tc>
          <w:tcPr>
            <w:tcW w:w="0" w:type="auto"/>
            <w:vMerge/>
            <w:shd w:val="clear" w:color="auto" w:fill="auto"/>
            <w:vAlign w:val="center"/>
          </w:tcPr>
          <w:p w14:paraId="1528B4B2" w14:textId="77777777" w:rsidR="00567E6C" w:rsidRPr="00C32E45" w:rsidRDefault="00567E6C" w:rsidP="00567E6C">
            <w:pPr>
              <w:keepNext/>
              <w:keepLines/>
              <w:spacing w:after="0"/>
              <w:jc w:val="center"/>
              <w:rPr>
                <w:rFonts w:ascii="Arial" w:hAnsi="Arial"/>
                <w:b/>
                <w:sz w:val="18"/>
              </w:rPr>
            </w:pPr>
          </w:p>
        </w:tc>
        <w:tc>
          <w:tcPr>
            <w:tcW w:w="0" w:type="auto"/>
            <w:vMerge/>
            <w:shd w:val="clear" w:color="auto" w:fill="auto"/>
            <w:vAlign w:val="center"/>
          </w:tcPr>
          <w:p w14:paraId="55A8DD2A" w14:textId="77777777" w:rsidR="00567E6C" w:rsidRPr="00C32E45" w:rsidRDefault="00567E6C" w:rsidP="00567E6C">
            <w:pPr>
              <w:keepNext/>
              <w:keepLines/>
              <w:spacing w:after="0"/>
              <w:jc w:val="center"/>
              <w:rPr>
                <w:rFonts w:ascii="Arial" w:hAnsi="Arial"/>
                <w:b/>
                <w:sz w:val="18"/>
              </w:rPr>
            </w:pPr>
          </w:p>
        </w:tc>
        <w:tc>
          <w:tcPr>
            <w:tcW w:w="1959" w:type="dxa"/>
            <w:vMerge/>
            <w:shd w:val="clear" w:color="auto" w:fill="auto"/>
            <w:vAlign w:val="center"/>
          </w:tcPr>
          <w:p w14:paraId="4A397F8E" w14:textId="77777777" w:rsidR="00567E6C" w:rsidRPr="00C32E45" w:rsidRDefault="00567E6C" w:rsidP="00567E6C">
            <w:pPr>
              <w:keepNext/>
              <w:keepLines/>
              <w:spacing w:after="0"/>
              <w:jc w:val="center"/>
              <w:rPr>
                <w:rFonts w:ascii="Arial" w:hAnsi="Arial"/>
                <w:b/>
                <w:sz w:val="18"/>
              </w:rPr>
            </w:pPr>
          </w:p>
        </w:tc>
        <w:tc>
          <w:tcPr>
            <w:tcW w:w="2385" w:type="dxa"/>
            <w:gridSpan w:val="3"/>
            <w:shd w:val="clear" w:color="auto" w:fill="auto"/>
            <w:vAlign w:val="center"/>
          </w:tcPr>
          <w:p w14:paraId="1ADF48A0" w14:textId="77777777" w:rsidR="00567E6C" w:rsidRPr="00C32E45" w:rsidRDefault="00567E6C" w:rsidP="00567E6C">
            <w:pPr>
              <w:keepNext/>
              <w:keepLines/>
              <w:spacing w:after="0"/>
              <w:jc w:val="center"/>
              <w:rPr>
                <w:rFonts w:ascii="Arial" w:hAnsi="Arial" w:cs="Arial"/>
                <w:b/>
                <w:sz w:val="18"/>
              </w:rPr>
            </w:pPr>
            <w:r w:rsidRPr="00C32E45">
              <w:rPr>
                <w:rFonts w:ascii="Arial" w:hAnsi="Arial"/>
                <w:b/>
                <w:sz w:val="18"/>
              </w:rPr>
              <w:t>SCS (kHz)</w:t>
            </w:r>
          </w:p>
        </w:tc>
        <w:tc>
          <w:tcPr>
            <w:tcW w:w="0" w:type="auto"/>
            <w:vMerge/>
            <w:shd w:val="clear" w:color="auto" w:fill="auto"/>
            <w:vAlign w:val="center"/>
          </w:tcPr>
          <w:p w14:paraId="02F1D408" w14:textId="77777777" w:rsidR="00567E6C" w:rsidRPr="00C32E45" w:rsidRDefault="00567E6C" w:rsidP="00567E6C">
            <w:pPr>
              <w:keepNext/>
              <w:keepLines/>
              <w:spacing w:after="0"/>
              <w:jc w:val="center"/>
              <w:rPr>
                <w:rFonts w:ascii="Arial" w:hAnsi="Arial"/>
                <w:b/>
                <w:sz w:val="18"/>
              </w:rPr>
            </w:pPr>
          </w:p>
        </w:tc>
        <w:tc>
          <w:tcPr>
            <w:tcW w:w="0" w:type="auto"/>
            <w:vMerge/>
            <w:shd w:val="clear" w:color="auto" w:fill="auto"/>
            <w:vAlign w:val="center"/>
          </w:tcPr>
          <w:p w14:paraId="125FE956" w14:textId="77777777" w:rsidR="00567E6C" w:rsidRPr="00C32E45" w:rsidRDefault="00567E6C" w:rsidP="00567E6C">
            <w:pPr>
              <w:keepNext/>
              <w:keepLines/>
              <w:spacing w:after="0"/>
              <w:jc w:val="center"/>
              <w:rPr>
                <w:rFonts w:ascii="Arial" w:hAnsi="Arial"/>
                <w:b/>
                <w:sz w:val="18"/>
              </w:rPr>
            </w:pPr>
          </w:p>
        </w:tc>
      </w:tr>
      <w:tr w:rsidR="00567E6C" w:rsidRPr="00C32E45" w14:paraId="48411BF7" w14:textId="77777777" w:rsidTr="00567E6C">
        <w:trPr>
          <w:trHeight w:val="315"/>
          <w:jc w:val="center"/>
        </w:trPr>
        <w:tc>
          <w:tcPr>
            <w:tcW w:w="0" w:type="auto"/>
            <w:vMerge w:val="restart"/>
            <w:shd w:val="clear" w:color="auto" w:fill="auto"/>
            <w:vAlign w:val="center"/>
          </w:tcPr>
          <w:p w14:paraId="54723A5A" w14:textId="77777777" w:rsidR="00567E6C" w:rsidRPr="0024545C" w:rsidRDefault="00567E6C" w:rsidP="00567E6C">
            <w:pPr>
              <w:keepNext/>
              <w:keepLines/>
              <w:spacing w:after="0"/>
              <w:jc w:val="center"/>
              <w:rPr>
                <w:rFonts w:ascii="Arial" w:hAnsi="Arial"/>
                <w:sz w:val="18"/>
                <w:lang w:eastAsia="zh-CN"/>
              </w:rPr>
            </w:pPr>
            <w:r w:rsidRPr="00714130">
              <w:rPr>
                <w:rFonts w:ascii="Arial" w:hAnsi="Arial"/>
                <w:sz w:val="18"/>
                <w:lang w:eastAsia="zh-CN"/>
              </w:rPr>
              <w:sym w:font="Symbol" w:char="F0B1"/>
            </w:r>
            <w:r>
              <w:rPr>
                <w:rFonts w:ascii="Arial" w:hAnsi="Arial"/>
                <w:sz w:val="18"/>
                <w:lang w:eastAsia="zh-CN"/>
              </w:rPr>
              <w:t>3.5</w:t>
            </w:r>
          </w:p>
        </w:tc>
        <w:tc>
          <w:tcPr>
            <w:tcW w:w="0" w:type="auto"/>
            <w:vMerge w:val="restart"/>
            <w:shd w:val="clear" w:color="auto" w:fill="auto"/>
            <w:vAlign w:val="center"/>
          </w:tcPr>
          <w:p w14:paraId="3D3574F9" w14:textId="77777777" w:rsidR="00567E6C" w:rsidRPr="00C32E45" w:rsidRDefault="00567E6C" w:rsidP="00567E6C">
            <w:pPr>
              <w:keepNext/>
              <w:keepLines/>
              <w:spacing w:after="0"/>
              <w:jc w:val="center"/>
              <w:rPr>
                <w:rFonts w:ascii="Arial" w:hAnsi="Arial"/>
                <w:b/>
                <w:sz w:val="18"/>
                <w:lang w:eastAsia="zh-CN"/>
              </w:rPr>
            </w:pPr>
            <w:r w:rsidRPr="00714130">
              <w:rPr>
                <w:rFonts w:ascii="Arial" w:hAnsi="Arial"/>
                <w:sz w:val="18"/>
                <w:lang w:eastAsia="zh-CN"/>
              </w:rPr>
              <w:sym w:font="Symbol" w:char="F0B1"/>
            </w:r>
            <w:r>
              <w:rPr>
                <w:rFonts w:ascii="Arial" w:hAnsi="Arial"/>
                <w:sz w:val="18"/>
                <w:lang w:eastAsia="zh-CN"/>
              </w:rPr>
              <w:t>4</w:t>
            </w:r>
          </w:p>
        </w:tc>
        <w:tc>
          <w:tcPr>
            <w:tcW w:w="0" w:type="auto"/>
            <w:vMerge w:val="restart"/>
            <w:shd w:val="clear" w:color="auto" w:fill="auto"/>
            <w:vAlign w:val="center"/>
          </w:tcPr>
          <w:p w14:paraId="46D54BF9" w14:textId="77777777" w:rsidR="00567E6C" w:rsidRPr="00C32E45" w:rsidRDefault="00567E6C" w:rsidP="00567E6C">
            <w:pPr>
              <w:keepNext/>
              <w:keepLines/>
              <w:spacing w:after="0"/>
              <w:jc w:val="center"/>
              <w:rPr>
                <w:rFonts w:ascii="Arial" w:hAnsi="Arial"/>
                <w:b/>
                <w:sz w:val="18"/>
              </w:rPr>
            </w:pPr>
            <w:r w:rsidRPr="00C32E45">
              <w:rPr>
                <w:rFonts w:ascii="Arial" w:hAnsi="Arial"/>
                <w:sz w:val="16"/>
                <w:szCs w:val="16"/>
              </w:rPr>
              <w:sym w:font="Symbol" w:char="F0B3"/>
            </w:r>
            <w:r w:rsidRPr="0098004A">
              <w:rPr>
                <w:rFonts w:ascii="Arial" w:hAnsi="Arial"/>
                <w:sz w:val="16"/>
                <w:szCs w:val="16"/>
              </w:rPr>
              <w:t>-</w:t>
            </w:r>
            <w:r>
              <w:rPr>
                <w:rFonts w:ascii="Arial" w:hAnsi="Arial"/>
                <w:sz w:val="16"/>
                <w:szCs w:val="16"/>
              </w:rPr>
              <w:t>3</w:t>
            </w:r>
          </w:p>
        </w:tc>
        <w:tc>
          <w:tcPr>
            <w:tcW w:w="1959" w:type="dxa"/>
            <w:vMerge/>
            <w:shd w:val="clear" w:color="auto" w:fill="auto"/>
            <w:vAlign w:val="center"/>
          </w:tcPr>
          <w:p w14:paraId="7FD06F49" w14:textId="77777777" w:rsidR="00567E6C" w:rsidRPr="00C32E45" w:rsidRDefault="00567E6C" w:rsidP="00567E6C">
            <w:pPr>
              <w:keepNext/>
              <w:keepLines/>
              <w:spacing w:after="0"/>
              <w:jc w:val="center"/>
              <w:rPr>
                <w:rFonts w:ascii="Arial" w:hAnsi="Arial"/>
                <w:b/>
                <w:sz w:val="18"/>
              </w:rPr>
            </w:pPr>
          </w:p>
        </w:tc>
        <w:tc>
          <w:tcPr>
            <w:tcW w:w="794" w:type="dxa"/>
            <w:shd w:val="clear" w:color="auto" w:fill="auto"/>
            <w:vAlign w:val="center"/>
          </w:tcPr>
          <w:p w14:paraId="7A4A4FEF" w14:textId="77777777" w:rsidR="00567E6C" w:rsidRPr="00C32E45" w:rsidRDefault="00567E6C" w:rsidP="00567E6C">
            <w:pPr>
              <w:keepNext/>
              <w:keepLines/>
              <w:spacing w:after="0"/>
              <w:jc w:val="center"/>
              <w:rPr>
                <w:rFonts w:ascii="Arial" w:hAnsi="Arial" w:cs="Arial"/>
                <w:b/>
                <w:sz w:val="18"/>
              </w:rPr>
            </w:pPr>
            <w:r w:rsidRPr="00C32E45">
              <w:rPr>
                <w:rFonts w:ascii="Arial" w:hAnsi="Arial" w:cs="Arial"/>
                <w:b/>
                <w:sz w:val="18"/>
              </w:rPr>
              <w:t xml:space="preserve">15 </w:t>
            </w:r>
          </w:p>
        </w:tc>
        <w:tc>
          <w:tcPr>
            <w:tcW w:w="808" w:type="dxa"/>
            <w:shd w:val="clear" w:color="auto" w:fill="auto"/>
            <w:vAlign w:val="center"/>
          </w:tcPr>
          <w:p w14:paraId="0FE96CF4" w14:textId="77777777" w:rsidR="00567E6C" w:rsidRPr="00C32E45" w:rsidRDefault="00567E6C" w:rsidP="00567E6C">
            <w:pPr>
              <w:keepNext/>
              <w:keepLines/>
              <w:spacing w:after="0"/>
              <w:jc w:val="center"/>
              <w:rPr>
                <w:rFonts w:ascii="Arial" w:hAnsi="Arial"/>
                <w:b/>
                <w:sz w:val="18"/>
              </w:rPr>
            </w:pPr>
            <w:r w:rsidRPr="00C32E45">
              <w:rPr>
                <w:rFonts w:ascii="Arial" w:hAnsi="Arial" w:hint="eastAsia"/>
                <w:b/>
                <w:sz w:val="18"/>
                <w:lang w:eastAsia="zh-CN"/>
              </w:rPr>
              <w:t>3</w:t>
            </w:r>
            <w:r w:rsidRPr="00C32E45">
              <w:rPr>
                <w:rFonts w:ascii="Arial" w:hAnsi="Arial"/>
                <w:b/>
                <w:sz w:val="18"/>
                <w:lang w:eastAsia="zh-CN"/>
              </w:rPr>
              <w:t>0</w:t>
            </w:r>
          </w:p>
        </w:tc>
        <w:tc>
          <w:tcPr>
            <w:tcW w:w="0" w:type="auto"/>
            <w:shd w:val="clear" w:color="auto" w:fill="auto"/>
            <w:vAlign w:val="center"/>
          </w:tcPr>
          <w:p w14:paraId="09057A20" w14:textId="77777777" w:rsidR="00567E6C" w:rsidRPr="00C32E45" w:rsidRDefault="00567E6C" w:rsidP="00567E6C">
            <w:pPr>
              <w:keepNext/>
              <w:keepLines/>
              <w:spacing w:after="0"/>
              <w:jc w:val="center"/>
              <w:rPr>
                <w:rFonts w:ascii="Arial" w:hAnsi="Arial"/>
                <w:b/>
                <w:sz w:val="18"/>
              </w:rPr>
            </w:pPr>
            <w:r w:rsidRPr="00C32E45">
              <w:rPr>
                <w:rFonts w:ascii="Arial" w:hAnsi="Arial" w:hint="eastAsia"/>
                <w:b/>
                <w:sz w:val="18"/>
                <w:lang w:eastAsia="zh-CN"/>
              </w:rPr>
              <w:t>6</w:t>
            </w:r>
            <w:r w:rsidRPr="00C32E45">
              <w:rPr>
                <w:rFonts w:ascii="Arial" w:hAnsi="Arial"/>
                <w:b/>
                <w:sz w:val="18"/>
                <w:lang w:eastAsia="zh-CN"/>
              </w:rPr>
              <w:t>0</w:t>
            </w:r>
          </w:p>
        </w:tc>
        <w:tc>
          <w:tcPr>
            <w:tcW w:w="0" w:type="auto"/>
            <w:vMerge/>
            <w:shd w:val="clear" w:color="auto" w:fill="auto"/>
            <w:vAlign w:val="center"/>
          </w:tcPr>
          <w:p w14:paraId="322ADAEB" w14:textId="77777777" w:rsidR="00567E6C" w:rsidRPr="00C32E45" w:rsidRDefault="00567E6C" w:rsidP="00567E6C">
            <w:pPr>
              <w:keepNext/>
              <w:keepLines/>
              <w:spacing w:after="0"/>
              <w:jc w:val="center"/>
              <w:rPr>
                <w:rFonts w:ascii="Arial" w:hAnsi="Arial"/>
                <w:b/>
                <w:sz w:val="16"/>
                <w:szCs w:val="16"/>
              </w:rPr>
            </w:pPr>
          </w:p>
        </w:tc>
        <w:tc>
          <w:tcPr>
            <w:tcW w:w="0" w:type="auto"/>
            <w:vMerge/>
            <w:shd w:val="clear" w:color="auto" w:fill="auto"/>
            <w:vAlign w:val="center"/>
          </w:tcPr>
          <w:p w14:paraId="311D332D" w14:textId="77777777" w:rsidR="00567E6C" w:rsidRPr="00C32E45" w:rsidRDefault="00567E6C" w:rsidP="00567E6C">
            <w:pPr>
              <w:keepNext/>
              <w:keepLines/>
              <w:spacing w:after="0"/>
              <w:jc w:val="center"/>
              <w:rPr>
                <w:rFonts w:ascii="Arial" w:hAnsi="Arial"/>
                <w:b/>
                <w:sz w:val="16"/>
                <w:szCs w:val="16"/>
              </w:rPr>
            </w:pPr>
          </w:p>
        </w:tc>
      </w:tr>
      <w:tr w:rsidR="00567E6C" w:rsidRPr="0098004A" w14:paraId="6DB6CCD9" w14:textId="77777777" w:rsidTr="00567E6C">
        <w:trPr>
          <w:jc w:val="center"/>
        </w:trPr>
        <w:tc>
          <w:tcPr>
            <w:tcW w:w="0" w:type="auto"/>
            <w:vMerge/>
            <w:shd w:val="clear" w:color="auto" w:fill="auto"/>
            <w:vAlign w:val="center"/>
          </w:tcPr>
          <w:p w14:paraId="04DAABAD"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53F8B043"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068EDED3" w14:textId="77777777" w:rsidR="00567E6C" w:rsidRPr="00C32E45" w:rsidRDefault="00567E6C" w:rsidP="00567E6C">
            <w:pPr>
              <w:keepNext/>
              <w:keepLines/>
              <w:spacing w:after="0"/>
              <w:jc w:val="center"/>
              <w:rPr>
                <w:rFonts w:ascii="Arial" w:hAnsi="Arial"/>
                <w:sz w:val="16"/>
                <w:szCs w:val="16"/>
              </w:rPr>
            </w:pPr>
          </w:p>
        </w:tc>
        <w:tc>
          <w:tcPr>
            <w:tcW w:w="1959" w:type="dxa"/>
            <w:shd w:val="clear" w:color="auto" w:fill="auto"/>
            <w:vAlign w:val="center"/>
          </w:tcPr>
          <w:p w14:paraId="3206E805" w14:textId="77777777" w:rsidR="00567E6C" w:rsidRPr="0098004A" w:rsidRDefault="00567E6C" w:rsidP="00567E6C">
            <w:pPr>
              <w:pStyle w:val="TAC"/>
              <w:rPr>
                <w:rFonts w:cs="Arial"/>
                <w:sz w:val="16"/>
                <w:szCs w:val="16"/>
              </w:rPr>
            </w:pPr>
            <w:r w:rsidRPr="0098004A">
              <w:rPr>
                <w:rFonts w:cs="Arial"/>
                <w:sz w:val="16"/>
                <w:szCs w:val="16"/>
              </w:rPr>
              <w:t>NR_FDD_FR1_A, NR_TDD_FR1_A,</w:t>
            </w:r>
          </w:p>
          <w:p w14:paraId="4DFFD777" w14:textId="77777777" w:rsidR="00567E6C" w:rsidRPr="0098004A" w:rsidRDefault="00567E6C" w:rsidP="00567E6C">
            <w:pPr>
              <w:pStyle w:val="TAC"/>
              <w:rPr>
                <w:rFonts w:cs="Arial"/>
                <w:sz w:val="16"/>
                <w:szCs w:val="16"/>
              </w:rPr>
            </w:pPr>
            <w:r w:rsidRPr="0098004A">
              <w:rPr>
                <w:rFonts w:cs="Arial"/>
                <w:sz w:val="16"/>
                <w:szCs w:val="16"/>
              </w:rPr>
              <w:t>NR_SDL_FR1_A</w:t>
            </w:r>
          </w:p>
        </w:tc>
        <w:tc>
          <w:tcPr>
            <w:tcW w:w="794" w:type="dxa"/>
            <w:shd w:val="clear" w:color="auto" w:fill="auto"/>
            <w:vAlign w:val="center"/>
          </w:tcPr>
          <w:p w14:paraId="6AF9CD4A" w14:textId="77777777" w:rsidR="00567E6C" w:rsidRPr="0098004A" w:rsidRDefault="00567E6C" w:rsidP="00567E6C">
            <w:pPr>
              <w:pStyle w:val="TAC"/>
              <w:rPr>
                <w:sz w:val="16"/>
                <w:szCs w:val="16"/>
              </w:rPr>
            </w:pPr>
            <w:r w:rsidRPr="0098004A">
              <w:rPr>
                <w:sz w:val="16"/>
                <w:szCs w:val="16"/>
              </w:rPr>
              <w:t>-121</w:t>
            </w:r>
          </w:p>
        </w:tc>
        <w:tc>
          <w:tcPr>
            <w:tcW w:w="808" w:type="dxa"/>
            <w:shd w:val="clear" w:color="auto" w:fill="auto"/>
            <w:vAlign w:val="center"/>
          </w:tcPr>
          <w:p w14:paraId="0C4580A7" w14:textId="77777777" w:rsidR="00567E6C" w:rsidRPr="0098004A" w:rsidRDefault="00567E6C" w:rsidP="00567E6C">
            <w:pPr>
              <w:pStyle w:val="TAC"/>
              <w:rPr>
                <w:sz w:val="16"/>
                <w:szCs w:val="16"/>
              </w:rPr>
            </w:pPr>
            <w:r w:rsidRPr="0098004A">
              <w:rPr>
                <w:sz w:val="16"/>
                <w:szCs w:val="16"/>
              </w:rPr>
              <w:t>-118</w:t>
            </w:r>
          </w:p>
        </w:tc>
        <w:tc>
          <w:tcPr>
            <w:tcW w:w="0" w:type="auto"/>
            <w:shd w:val="clear" w:color="auto" w:fill="auto"/>
            <w:vAlign w:val="center"/>
          </w:tcPr>
          <w:p w14:paraId="61654861" w14:textId="77777777" w:rsidR="00567E6C" w:rsidRPr="00C32E45" w:rsidRDefault="00567E6C" w:rsidP="00567E6C">
            <w:pPr>
              <w:keepNext/>
              <w:keepLines/>
              <w:spacing w:after="0"/>
              <w:jc w:val="center"/>
              <w:rPr>
                <w:rFonts w:ascii="Arial" w:hAnsi="Arial"/>
                <w:sz w:val="16"/>
                <w:szCs w:val="16"/>
                <w:lang w:eastAsia="zh-CN"/>
              </w:rPr>
            </w:pPr>
            <w:r w:rsidRPr="0098004A">
              <w:rPr>
                <w:rFonts w:ascii="Arial" w:hAnsi="Arial" w:hint="eastAsia"/>
                <w:sz w:val="16"/>
                <w:szCs w:val="16"/>
                <w:lang w:eastAsia="zh-CN"/>
              </w:rPr>
              <w:t>-</w:t>
            </w:r>
            <w:r w:rsidRPr="0098004A">
              <w:rPr>
                <w:rFonts w:ascii="Arial" w:hAnsi="Arial"/>
                <w:sz w:val="16"/>
                <w:szCs w:val="16"/>
                <w:lang w:eastAsia="zh-CN"/>
              </w:rPr>
              <w:t>115</w:t>
            </w:r>
          </w:p>
        </w:tc>
        <w:tc>
          <w:tcPr>
            <w:tcW w:w="0" w:type="auto"/>
            <w:shd w:val="clear" w:color="auto" w:fill="auto"/>
            <w:vAlign w:val="center"/>
          </w:tcPr>
          <w:p w14:paraId="0596968C"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N/A</w:t>
            </w:r>
          </w:p>
        </w:tc>
        <w:tc>
          <w:tcPr>
            <w:tcW w:w="0" w:type="auto"/>
            <w:shd w:val="clear" w:color="auto" w:fill="auto"/>
            <w:vAlign w:val="center"/>
          </w:tcPr>
          <w:p w14:paraId="7D1A1C26"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-70</w:t>
            </w:r>
          </w:p>
        </w:tc>
      </w:tr>
      <w:tr w:rsidR="00567E6C" w:rsidRPr="0098004A" w14:paraId="03027048" w14:textId="77777777" w:rsidTr="00567E6C">
        <w:trPr>
          <w:jc w:val="center"/>
        </w:trPr>
        <w:tc>
          <w:tcPr>
            <w:tcW w:w="0" w:type="auto"/>
            <w:vMerge/>
            <w:shd w:val="clear" w:color="auto" w:fill="auto"/>
            <w:vAlign w:val="center"/>
          </w:tcPr>
          <w:p w14:paraId="18DD822B"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04D75D4D"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552316DB" w14:textId="77777777" w:rsidR="00567E6C" w:rsidRPr="00C32E45" w:rsidRDefault="00567E6C" w:rsidP="00567E6C">
            <w:pPr>
              <w:keepNext/>
              <w:keepLines/>
              <w:spacing w:after="0"/>
              <w:jc w:val="center"/>
              <w:rPr>
                <w:rFonts w:ascii="Arial" w:hAnsi="Arial"/>
                <w:sz w:val="16"/>
                <w:szCs w:val="16"/>
              </w:rPr>
            </w:pPr>
          </w:p>
        </w:tc>
        <w:tc>
          <w:tcPr>
            <w:tcW w:w="1959" w:type="dxa"/>
            <w:shd w:val="clear" w:color="auto" w:fill="auto"/>
            <w:vAlign w:val="center"/>
          </w:tcPr>
          <w:p w14:paraId="3E30BF21" w14:textId="77777777" w:rsidR="00567E6C" w:rsidRPr="0098004A" w:rsidRDefault="00567E6C" w:rsidP="00567E6C">
            <w:pPr>
              <w:pStyle w:val="TAC"/>
              <w:rPr>
                <w:sz w:val="16"/>
                <w:szCs w:val="16"/>
              </w:rPr>
            </w:pPr>
            <w:r w:rsidRPr="0098004A">
              <w:rPr>
                <w:sz w:val="16"/>
                <w:szCs w:val="16"/>
              </w:rPr>
              <w:t>NR_FDD_FR1_B</w:t>
            </w:r>
          </w:p>
        </w:tc>
        <w:tc>
          <w:tcPr>
            <w:tcW w:w="794" w:type="dxa"/>
            <w:shd w:val="clear" w:color="auto" w:fill="auto"/>
          </w:tcPr>
          <w:p w14:paraId="6F211A38" w14:textId="77777777" w:rsidR="00567E6C" w:rsidRPr="0098004A" w:rsidRDefault="00567E6C" w:rsidP="00567E6C">
            <w:pPr>
              <w:pStyle w:val="TAC"/>
              <w:rPr>
                <w:sz w:val="16"/>
                <w:szCs w:val="16"/>
              </w:rPr>
            </w:pPr>
            <w:r w:rsidRPr="0098004A">
              <w:rPr>
                <w:sz w:val="16"/>
                <w:szCs w:val="16"/>
              </w:rPr>
              <w:t>-120.5</w:t>
            </w:r>
          </w:p>
        </w:tc>
        <w:tc>
          <w:tcPr>
            <w:tcW w:w="808" w:type="dxa"/>
            <w:shd w:val="clear" w:color="auto" w:fill="auto"/>
            <w:vAlign w:val="center"/>
          </w:tcPr>
          <w:p w14:paraId="63F7D040" w14:textId="77777777" w:rsidR="00567E6C" w:rsidRPr="0098004A" w:rsidRDefault="00567E6C" w:rsidP="00567E6C">
            <w:pPr>
              <w:pStyle w:val="TAC"/>
              <w:rPr>
                <w:sz w:val="16"/>
                <w:szCs w:val="16"/>
                <w:lang w:val="sv-SE"/>
              </w:rPr>
            </w:pPr>
            <w:r w:rsidRPr="0098004A">
              <w:rPr>
                <w:sz w:val="16"/>
                <w:szCs w:val="16"/>
              </w:rPr>
              <w:t>-117.5</w:t>
            </w:r>
          </w:p>
        </w:tc>
        <w:tc>
          <w:tcPr>
            <w:tcW w:w="0" w:type="auto"/>
            <w:shd w:val="clear" w:color="auto" w:fill="auto"/>
            <w:vAlign w:val="center"/>
          </w:tcPr>
          <w:p w14:paraId="34FD1578" w14:textId="77777777" w:rsidR="00567E6C" w:rsidRPr="00C32E45" w:rsidRDefault="00567E6C" w:rsidP="00567E6C">
            <w:pPr>
              <w:keepNext/>
              <w:keepLines/>
              <w:spacing w:after="0"/>
              <w:jc w:val="center"/>
              <w:rPr>
                <w:rFonts w:ascii="Arial" w:hAnsi="Arial"/>
                <w:sz w:val="16"/>
                <w:szCs w:val="16"/>
                <w:lang w:val="sv-SE" w:eastAsia="zh-CN"/>
              </w:rPr>
            </w:pPr>
            <w:r w:rsidRPr="0098004A">
              <w:rPr>
                <w:rFonts w:ascii="Arial" w:hAnsi="Arial" w:hint="eastAsia"/>
                <w:sz w:val="16"/>
                <w:szCs w:val="16"/>
                <w:lang w:val="sv-SE" w:eastAsia="zh-CN"/>
              </w:rPr>
              <w:t>-</w:t>
            </w:r>
            <w:r w:rsidRPr="0098004A">
              <w:rPr>
                <w:rFonts w:ascii="Arial" w:hAnsi="Arial"/>
                <w:sz w:val="16"/>
                <w:szCs w:val="16"/>
                <w:lang w:val="sv-SE" w:eastAsia="zh-CN"/>
              </w:rPr>
              <w:t>114.5</w:t>
            </w:r>
          </w:p>
        </w:tc>
        <w:tc>
          <w:tcPr>
            <w:tcW w:w="0" w:type="auto"/>
            <w:shd w:val="clear" w:color="auto" w:fill="auto"/>
            <w:vAlign w:val="center"/>
          </w:tcPr>
          <w:p w14:paraId="6C2D7DD9"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N/A</w:t>
            </w:r>
          </w:p>
        </w:tc>
        <w:tc>
          <w:tcPr>
            <w:tcW w:w="0" w:type="auto"/>
            <w:shd w:val="clear" w:color="auto" w:fill="auto"/>
            <w:vAlign w:val="center"/>
          </w:tcPr>
          <w:p w14:paraId="2841E532"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-70</w:t>
            </w:r>
          </w:p>
        </w:tc>
      </w:tr>
      <w:tr w:rsidR="00567E6C" w:rsidRPr="0098004A" w14:paraId="0BED129E" w14:textId="77777777" w:rsidTr="00567E6C">
        <w:trPr>
          <w:jc w:val="center"/>
        </w:trPr>
        <w:tc>
          <w:tcPr>
            <w:tcW w:w="0" w:type="auto"/>
            <w:vMerge/>
            <w:shd w:val="clear" w:color="auto" w:fill="auto"/>
            <w:vAlign w:val="center"/>
          </w:tcPr>
          <w:p w14:paraId="0F9A27B7"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27F25BBF"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17B664B6" w14:textId="77777777" w:rsidR="00567E6C" w:rsidRPr="00C32E45" w:rsidRDefault="00567E6C" w:rsidP="00567E6C">
            <w:pPr>
              <w:keepNext/>
              <w:keepLines/>
              <w:spacing w:after="0"/>
              <w:jc w:val="center"/>
              <w:rPr>
                <w:rFonts w:ascii="Arial" w:hAnsi="Arial"/>
                <w:sz w:val="16"/>
                <w:szCs w:val="16"/>
              </w:rPr>
            </w:pPr>
          </w:p>
        </w:tc>
        <w:tc>
          <w:tcPr>
            <w:tcW w:w="1959" w:type="dxa"/>
            <w:shd w:val="clear" w:color="auto" w:fill="auto"/>
            <w:vAlign w:val="center"/>
          </w:tcPr>
          <w:p w14:paraId="4B42680B" w14:textId="77777777" w:rsidR="00567E6C" w:rsidRPr="0098004A" w:rsidRDefault="00567E6C" w:rsidP="00567E6C">
            <w:pPr>
              <w:pStyle w:val="TAC"/>
              <w:rPr>
                <w:sz w:val="16"/>
                <w:szCs w:val="16"/>
              </w:rPr>
            </w:pPr>
            <w:r w:rsidRPr="0098004A">
              <w:rPr>
                <w:sz w:val="16"/>
                <w:szCs w:val="16"/>
              </w:rPr>
              <w:t>NR_TDD_FR1_C</w:t>
            </w:r>
          </w:p>
        </w:tc>
        <w:tc>
          <w:tcPr>
            <w:tcW w:w="794" w:type="dxa"/>
            <w:shd w:val="clear" w:color="auto" w:fill="auto"/>
            <w:vAlign w:val="center"/>
          </w:tcPr>
          <w:p w14:paraId="4D9E443D" w14:textId="77777777" w:rsidR="00567E6C" w:rsidRPr="0098004A" w:rsidRDefault="00567E6C" w:rsidP="00567E6C">
            <w:pPr>
              <w:pStyle w:val="TAC"/>
              <w:rPr>
                <w:sz w:val="16"/>
                <w:szCs w:val="16"/>
              </w:rPr>
            </w:pPr>
            <w:r w:rsidRPr="0098004A">
              <w:rPr>
                <w:sz w:val="16"/>
                <w:szCs w:val="16"/>
              </w:rPr>
              <w:t>-120</w:t>
            </w:r>
          </w:p>
        </w:tc>
        <w:tc>
          <w:tcPr>
            <w:tcW w:w="808" w:type="dxa"/>
            <w:shd w:val="clear" w:color="auto" w:fill="auto"/>
            <w:vAlign w:val="center"/>
          </w:tcPr>
          <w:p w14:paraId="4BACB49F" w14:textId="77777777" w:rsidR="00567E6C" w:rsidRPr="0098004A" w:rsidRDefault="00567E6C" w:rsidP="00567E6C">
            <w:pPr>
              <w:pStyle w:val="TAC"/>
              <w:rPr>
                <w:sz w:val="16"/>
                <w:szCs w:val="16"/>
                <w:lang w:val="sv-SE"/>
              </w:rPr>
            </w:pPr>
            <w:r w:rsidRPr="0098004A">
              <w:rPr>
                <w:sz w:val="16"/>
                <w:szCs w:val="16"/>
              </w:rPr>
              <w:t>-117</w:t>
            </w:r>
          </w:p>
        </w:tc>
        <w:tc>
          <w:tcPr>
            <w:tcW w:w="0" w:type="auto"/>
            <w:shd w:val="clear" w:color="auto" w:fill="auto"/>
            <w:vAlign w:val="center"/>
          </w:tcPr>
          <w:p w14:paraId="3B9A1725" w14:textId="77777777" w:rsidR="00567E6C" w:rsidRPr="00C32E45" w:rsidDel="00FA4A82" w:rsidRDefault="00567E6C" w:rsidP="00567E6C">
            <w:pPr>
              <w:keepNext/>
              <w:keepLines/>
              <w:spacing w:after="0"/>
              <w:jc w:val="center"/>
              <w:rPr>
                <w:rFonts w:ascii="Arial" w:hAnsi="Arial"/>
                <w:sz w:val="16"/>
                <w:szCs w:val="16"/>
                <w:lang w:eastAsia="zh-CN"/>
              </w:rPr>
            </w:pPr>
            <w:r w:rsidRPr="0098004A">
              <w:rPr>
                <w:rFonts w:ascii="Arial" w:hAnsi="Arial" w:hint="eastAsia"/>
                <w:sz w:val="16"/>
                <w:szCs w:val="16"/>
                <w:lang w:eastAsia="zh-CN"/>
              </w:rPr>
              <w:t>-</w:t>
            </w:r>
            <w:r w:rsidRPr="0098004A">
              <w:rPr>
                <w:rFonts w:ascii="Arial" w:hAnsi="Arial"/>
                <w:sz w:val="16"/>
                <w:szCs w:val="16"/>
                <w:lang w:eastAsia="zh-CN"/>
              </w:rPr>
              <w:t>114</w:t>
            </w:r>
          </w:p>
        </w:tc>
        <w:tc>
          <w:tcPr>
            <w:tcW w:w="0" w:type="auto"/>
            <w:shd w:val="clear" w:color="auto" w:fill="auto"/>
            <w:vAlign w:val="center"/>
          </w:tcPr>
          <w:p w14:paraId="2176C90D"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N/A</w:t>
            </w:r>
          </w:p>
        </w:tc>
        <w:tc>
          <w:tcPr>
            <w:tcW w:w="0" w:type="auto"/>
            <w:shd w:val="clear" w:color="auto" w:fill="auto"/>
            <w:vAlign w:val="center"/>
          </w:tcPr>
          <w:p w14:paraId="650BACB2"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-70</w:t>
            </w:r>
          </w:p>
        </w:tc>
      </w:tr>
      <w:tr w:rsidR="00567E6C" w:rsidRPr="0098004A" w14:paraId="60953C4E" w14:textId="77777777" w:rsidTr="00567E6C">
        <w:trPr>
          <w:jc w:val="center"/>
        </w:trPr>
        <w:tc>
          <w:tcPr>
            <w:tcW w:w="0" w:type="auto"/>
            <w:vMerge/>
            <w:shd w:val="clear" w:color="auto" w:fill="auto"/>
            <w:vAlign w:val="center"/>
          </w:tcPr>
          <w:p w14:paraId="20EFE4BB"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2E26AFA7" w14:textId="77777777" w:rsidR="00567E6C" w:rsidRPr="00C32E45"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1D2D6BB8" w14:textId="77777777" w:rsidR="00567E6C" w:rsidRPr="00C32E45" w:rsidRDefault="00567E6C" w:rsidP="00567E6C">
            <w:pPr>
              <w:keepNext/>
              <w:keepLines/>
              <w:spacing w:after="0"/>
              <w:jc w:val="center"/>
              <w:rPr>
                <w:rFonts w:ascii="Arial" w:hAnsi="Arial"/>
                <w:sz w:val="16"/>
                <w:szCs w:val="16"/>
              </w:rPr>
            </w:pPr>
          </w:p>
        </w:tc>
        <w:tc>
          <w:tcPr>
            <w:tcW w:w="1959" w:type="dxa"/>
            <w:shd w:val="clear" w:color="auto" w:fill="auto"/>
            <w:vAlign w:val="center"/>
          </w:tcPr>
          <w:p w14:paraId="728A2158" w14:textId="77777777" w:rsidR="00567E6C" w:rsidRPr="0098004A" w:rsidRDefault="00567E6C" w:rsidP="00567E6C">
            <w:pPr>
              <w:pStyle w:val="TAC"/>
              <w:rPr>
                <w:sz w:val="16"/>
                <w:szCs w:val="16"/>
                <w:lang w:val="sv-SE"/>
              </w:rPr>
            </w:pPr>
            <w:r w:rsidRPr="0098004A">
              <w:rPr>
                <w:sz w:val="16"/>
                <w:szCs w:val="16"/>
                <w:lang w:val="sv-SE"/>
              </w:rPr>
              <w:t>NR_FDD_FR1_D, NR_TDD_FR1_D</w:t>
            </w:r>
          </w:p>
        </w:tc>
        <w:tc>
          <w:tcPr>
            <w:tcW w:w="794" w:type="dxa"/>
            <w:shd w:val="clear" w:color="auto" w:fill="auto"/>
            <w:vAlign w:val="center"/>
          </w:tcPr>
          <w:p w14:paraId="382E3351" w14:textId="77777777" w:rsidR="00567E6C" w:rsidRPr="0098004A" w:rsidDel="00FA4A82" w:rsidRDefault="00567E6C" w:rsidP="00567E6C">
            <w:pPr>
              <w:pStyle w:val="TAC"/>
              <w:rPr>
                <w:sz w:val="16"/>
                <w:szCs w:val="16"/>
              </w:rPr>
            </w:pPr>
            <w:r w:rsidRPr="0098004A">
              <w:rPr>
                <w:sz w:val="16"/>
                <w:szCs w:val="16"/>
              </w:rPr>
              <w:t>-119.5</w:t>
            </w:r>
          </w:p>
        </w:tc>
        <w:tc>
          <w:tcPr>
            <w:tcW w:w="808" w:type="dxa"/>
            <w:shd w:val="clear" w:color="auto" w:fill="auto"/>
            <w:vAlign w:val="center"/>
          </w:tcPr>
          <w:p w14:paraId="5F737820" w14:textId="77777777" w:rsidR="00567E6C" w:rsidRPr="0098004A" w:rsidDel="00FA4A82" w:rsidRDefault="00567E6C" w:rsidP="00567E6C">
            <w:pPr>
              <w:pStyle w:val="TAC"/>
              <w:rPr>
                <w:sz w:val="16"/>
                <w:szCs w:val="16"/>
              </w:rPr>
            </w:pPr>
            <w:r w:rsidRPr="0098004A">
              <w:rPr>
                <w:sz w:val="16"/>
                <w:szCs w:val="16"/>
              </w:rPr>
              <w:t>-116.5</w:t>
            </w:r>
          </w:p>
        </w:tc>
        <w:tc>
          <w:tcPr>
            <w:tcW w:w="0" w:type="auto"/>
            <w:shd w:val="clear" w:color="auto" w:fill="auto"/>
            <w:vAlign w:val="center"/>
          </w:tcPr>
          <w:p w14:paraId="6BD44B53" w14:textId="77777777" w:rsidR="00567E6C" w:rsidRPr="00C32E45" w:rsidRDefault="00567E6C" w:rsidP="00567E6C">
            <w:pPr>
              <w:keepNext/>
              <w:keepLines/>
              <w:spacing w:after="0"/>
              <w:jc w:val="center"/>
              <w:rPr>
                <w:rFonts w:ascii="Arial" w:hAnsi="Arial"/>
                <w:sz w:val="16"/>
                <w:szCs w:val="16"/>
                <w:lang w:val="sv-SE" w:eastAsia="zh-CN"/>
              </w:rPr>
            </w:pPr>
            <w:r w:rsidRPr="0098004A">
              <w:rPr>
                <w:rFonts w:ascii="Arial" w:hAnsi="Arial" w:hint="eastAsia"/>
                <w:sz w:val="16"/>
                <w:szCs w:val="16"/>
                <w:lang w:val="sv-SE" w:eastAsia="zh-CN"/>
              </w:rPr>
              <w:t>-</w:t>
            </w:r>
            <w:r w:rsidRPr="0098004A">
              <w:rPr>
                <w:rFonts w:ascii="Arial" w:hAnsi="Arial"/>
                <w:sz w:val="16"/>
                <w:szCs w:val="16"/>
                <w:lang w:val="sv-SE" w:eastAsia="zh-CN"/>
              </w:rPr>
              <w:t>113.5</w:t>
            </w:r>
          </w:p>
        </w:tc>
        <w:tc>
          <w:tcPr>
            <w:tcW w:w="0" w:type="auto"/>
            <w:shd w:val="clear" w:color="auto" w:fill="auto"/>
            <w:vAlign w:val="center"/>
          </w:tcPr>
          <w:p w14:paraId="4A5A97FA"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N/A</w:t>
            </w:r>
          </w:p>
        </w:tc>
        <w:tc>
          <w:tcPr>
            <w:tcW w:w="0" w:type="auto"/>
            <w:shd w:val="clear" w:color="auto" w:fill="auto"/>
            <w:vAlign w:val="center"/>
          </w:tcPr>
          <w:p w14:paraId="10853029"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-70</w:t>
            </w:r>
          </w:p>
        </w:tc>
      </w:tr>
      <w:tr w:rsidR="00567E6C" w:rsidRPr="0098004A" w14:paraId="5C315B0F" w14:textId="77777777" w:rsidTr="00567E6C">
        <w:trPr>
          <w:jc w:val="center"/>
        </w:trPr>
        <w:tc>
          <w:tcPr>
            <w:tcW w:w="0" w:type="auto"/>
            <w:vMerge/>
            <w:shd w:val="clear" w:color="auto" w:fill="auto"/>
            <w:vAlign w:val="center"/>
          </w:tcPr>
          <w:p w14:paraId="58376B01"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6110EA11"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60F06CCF" w14:textId="77777777" w:rsidR="00567E6C" w:rsidRPr="0098004A" w:rsidRDefault="00567E6C" w:rsidP="00567E6C">
            <w:pPr>
              <w:keepNext/>
              <w:keepLines/>
              <w:spacing w:after="0"/>
              <w:jc w:val="center"/>
              <w:rPr>
                <w:rFonts w:ascii="Arial" w:hAnsi="Arial"/>
                <w:sz w:val="16"/>
                <w:szCs w:val="16"/>
              </w:rPr>
            </w:pPr>
          </w:p>
        </w:tc>
        <w:tc>
          <w:tcPr>
            <w:tcW w:w="1959" w:type="dxa"/>
            <w:shd w:val="clear" w:color="auto" w:fill="auto"/>
            <w:vAlign w:val="center"/>
          </w:tcPr>
          <w:p w14:paraId="028B2ADA" w14:textId="77777777" w:rsidR="00567E6C" w:rsidRPr="0098004A" w:rsidDel="00836998" w:rsidRDefault="00567E6C" w:rsidP="00567E6C">
            <w:pPr>
              <w:pStyle w:val="TAC"/>
              <w:rPr>
                <w:sz w:val="16"/>
                <w:szCs w:val="16"/>
                <w:lang w:val="sv-SE"/>
              </w:rPr>
            </w:pPr>
            <w:r w:rsidRPr="0098004A">
              <w:rPr>
                <w:sz w:val="16"/>
                <w:szCs w:val="16"/>
                <w:lang w:val="sv-SE"/>
              </w:rPr>
              <w:t>NR_FDD_FR1_E, NR_TDD_FR1_E</w:t>
            </w:r>
          </w:p>
        </w:tc>
        <w:tc>
          <w:tcPr>
            <w:tcW w:w="794" w:type="dxa"/>
            <w:shd w:val="clear" w:color="auto" w:fill="auto"/>
            <w:vAlign w:val="center"/>
          </w:tcPr>
          <w:p w14:paraId="2FF7A505" w14:textId="77777777" w:rsidR="00567E6C" w:rsidRPr="0098004A" w:rsidRDefault="00567E6C" w:rsidP="00567E6C">
            <w:pPr>
              <w:pStyle w:val="TAC"/>
              <w:rPr>
                <w:sz w:val="16"/>
                <w:szCs w:val="16"/>
              </w:rPr>
            </w:pPr>
            <w:r w:rsidRPr="0098004A">
              <w:rPr>
                <w:sz w:val="16"/>
                <w:szCs w:val="16"/>
              </w:rPr>
              <w:t>-119</w:t>
            </w:r>
          </w:p>
        </w:tc>
        <w:tc>
          <w:tcPr>
            <w:tcW w:w="808" w:type="dxa"/>
            <w:shd w:val="clear" w:color="auto" w:fill="auto"/>
            <w:vAlign w:val="center"/>
          </w:tcPr>
          <w:p w14:paraId="4A8270A8" w14:textId="77777777" w:rsidR="00567E6C" w:rsidRPr="0098004A" w:rsidRDefault="00567E6C" w:rsidP="00567E6C">
            <w:pPr>
              <w:pStyle w:val="TAC"/>
              <w:rPr>
                <w:sz w:val="16"/>
                <w:szCs w:val="16"/>
                <w:lang w:val="sv-SE"/>
              </w:rPr>
            </w:pPr>
            <w:r w:rsidRPr="0098004A">
              <w:rPr>
                <w:sz w:val="16"/>
                <w:szCs w:val="16"/>
              </w:rPr>
              <w:t>-116</w:t>
            </w:r>
          </w:p>
        </w:tc>
        <w:tc>
          <w:tcPr>
            <w:tcW w:w="0" w:type="auto"/>
            <w:shd w:val="clear" w:color="auto" w:fill="auto"/>
            <w:vAlign w:val="center"/>
          </w:tcPr>
          <w:p w14:paraId="0928C496" w14:textId="77777777" w:rsidR="00567E6C" w:rsidRPr="0098004A" w:rsidRDefault="00567E6C" w:rsidP="00567E6C">
            <w:pPr>
              <w:keepNext/>
              <w:keepLines/>
              <w:spacing w:after="0"/>
              <w:jc w:val="center"/>
              <w:rPr>
                <w:rFonts w:ascii="Arial" w:hAnsi="Arial" w:cs="Arial"/>
                <w:sz w:val="16"/>
                <w:szCs w:val="16"/>
                <w:lang w:eastAsia="zh-CN"/>
              </w:rPr>
            </w:pPr>
            <w:r w:rsidRPr="0098004A">
              <w:rPr>
                <w:rFonts w:ascii="Arial" w:hAnsi="Arial" w:cs="Arial" w:hint="eastAsia"/>
                <w:sz w:val="16"/>
                <w:szCs w:val="16"/>
                <w:lang w:eastAsia="zh-CN"/>
              </w:rPr>
              <w:t>-</w:t>
            </w:r>
            <w:r w:rsidRPr="0098004A">
              <w:rPr>
                <w:rFonts w:ascii="Arial" w:hAnsi="Arial" w:cs="Arial"/>
                <w:sz w:val="16"/>
                <w:szCs w:val="16"/>
                <w:lang w:eastAsia="zh-CN"/>
              </w:rPr>
              <w:t>113</w:t>
            </w:r>
          </w:p>
        </w:tc>
        <w:tc>
          <w:tcPr>
            <w:tcW w:w="0" w:type="auto"/>
            <w:shd w:val="clear" w:color="auto" w:fill="auto"/>
            <w:vAlign w:val="center"/>
          </w:tcPr>
          <w:p w14:paraId="7C0A6303"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N/A</w:t>
            </w:r>
          </w:p>
        </w:tc>
        <w:tc>
          <w:tcPr>
            <w:tcW w:w="0" w:type="auto"/>
            <w:shd w:val="clear" w:color="auto" w:fill="auto"/>
            <w:vAlign w:val="center"/>
          </w:tcPr>
          <w:p w14:paraId="358576F5"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-70</w:t>
            </w:r>
          </w:p>
        </w:tc>
      </w:tr>
      <w:tr w:rsidR="00567E6C" w:rsidRPr="0098004A" w14:paraId="3969D44E" w14:textId="77777777" w:rsidTr="00567E6C">
        <w:trPr>
          <w:jc w:val="center"/>
        </w:trPr>
        <w:tc>
          <w:tcPr>
            <w:tcW w:w="0" w:type="auto"/>
            <w:vMerge/>
            <w:shd w:val="clear" w:color="auto" w:fill="auto"/>
            <w:vAlign w:val="center"/>
          </w:tcPr>
          <w:p w14:paraId="6C7F4848"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6A04D955"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5712705D" w14:textId="77777777" w:rsidR="00567E6C" w:rsidRPr="0098004A" w:rsidRDefault="00567E6C" w:rsidP="00567E6C">
            <w:pPr>
              <w:keepNext/>
              <w:keepLines/>
              <w:spacing w:after="0"/>
              <w:jc w:val="center"/>
              <w:rPr>
                <w:rFonts w:ascii="Arial" w:hAnsi="Arial"/>
                <w:sz w:val="16"/>
                <w:szCs w:val="16"/>
              </w:rPr>
            </w:pPr>
          </w:p>
        </w:tc>
        <w:tc>
          <w:tcPr>
            <w:tcW w:w="1959" w:type="dxa"/>
            <w:shd w:val="clear" w:color="auto" w:fill="auto"/>
            <w:vAlign w:val="center"/>
          </w:tcPr>
          <w:p w14:paraId="796D7B7F" w14:textId="77777777" w:rsidR="00567E6C" w:rsidRPr="0098004A" w:rsidRDefault="00567E6C" w:rsidP="00567E6C">
            <w:pPr>
              <w:pStyle w:val="TAC"/>
              <w:rPr>
                <w:sz w:val="16"/>
                <w:szCs w:val="16"/>
                <w:lang w:val="sv-SE"/>
              </w:rPr>
            </w:pPr>
            <w:r w:rsidRPr="0098004A">
              <w:rPr>
                <w:sz w:val="16"/>
                <w:szCs w:val="16"/>
                <w:lang w:eastAsia="zh-CN"/>
              </w:rPr>
              <w:t>NR_FDD_FR1_F</w:t>
            </w:r>
          </w:p>
        </w:tc>
        <w:tc>
          <w:tcPr>
            <w:tcW w:w="794" w:type="dxa"/>
            <w:shd w:val="clear" w:color="auto" w:fill="auto"/>
            <w:vAlign w:val="center"/>
          </w:tcPr>
          <w:p w14:paraId="78279D90" w14:textId="77777777" w:rsidR="00567E6C" w:rsidRPr="0098004A" w:rsidRDefault="00567E6C" w:rsidP="00567E6C">
            <w:pPr>
              <w:pStyle w:val="TAC"/>
              <w:rPr>
                <w:sz w:val="16"/>
                <w:szCs w:val="16"/>
              </w:rPr>
            </w:pPr>
            <w:r w:rsidRPr="0098004A">
              <w:rPr>
                <w:sz w:val="16"/>
                <w:szCs w:val="16"/>
              </w:rPr>
              <w:t>-118.5</w:t>
            </w:r>
          </w:p>
        </w:tc>
        <w:tc>
          <w:tcPr>
            <w:tcW w:w="808" w:type="dxa"/>
            <w:shd w:val="clear" w:color="auto" w:fill="auto"/>
            <w:vAlign w:val="center"/>
          </w:tcPr>
          <w:p w14:paraId="22D482D8" w14:textId="77777777" w:rsidR="00567E6C" w:rsidRPr="0098004A" w:rsidRDefault="00567E6C" w:rsidP="00567E6C">
            <w:pPr>
              <w:pStyle w:val="TAC"/>
              <w:rPr>
                <w:sz w:val="16"/>
                <w:szCs w:val="16"/>
              </w:rPr>
            </w:pPr>
            <w:r w:rsidRPr="0098004A">
              <w:rPr>
                <w:rFonts w:cs="Arial"/>
                <w:sz w:val="16"/>
                <w:szCs w:val="16"/>
              </w:rPr>
              <w:t>-115.5</w:t>
            </w:r>
          </w:p>
        </w:tc>
        <w:tc>
          <w:tcPr>
            <w:tcW w:w="0" w:type="auto"/>
            <w:shd w:val="clear" w:color="auto" w:fill="auto"/>
            <w:vAlign w:val="center"/>
          </w:tcPr>
          <w:p w14:paraId="4DAC50BD" w14:textId="77777777" w:rsidR="00567E6C" w:rsidRPr="0098004A" w:rsidRDefault="00567E6C" w:rsidP="00567E6C">
            <w:pPr>
              <w:keepNext/>
              <w:keepLines/>
              <w:spacing w:after="0"/>
              <w:jc w:val="center"/>
              <w:rPr>
                <w:rFonts w:ascii="Arial" w:hAnsi="Arial" w:cs="Arial"/>
                <w:sz w:val="16"/>
                <w:szCs w:val="16"/>
                <w:lang w:eastAsia="zh-CN"/>
              </w:rPr>
            </w:pPr>
            <w:r w:rsidRPr="0098004A">
              <w:rPr>
                <w:rFonts w:ascii="Arial" w:hAnsi="Arial" w:cs="Arial" w:hint="eastAsia"/>
                <w:sz w:val="16"/>
                <w:szCs w:val="16"/>
                <w:lang w:eastAsia="zh-CN"/>
              </w:rPr>
              <w:t>-</w:t>
            </w:r>
            <w:r w:rsidRPr="0098004A">
              <w:rPr>
                <w:rFonts w:ascii="Arial" w:hAnsi="Arial" w:cs="Arial"/>
                <w:sz w:val="16"/>
                <w:szCs w:val="16"/>
                <w:lang w:eastAsia="zh-CN"/>
              </w:rPr>
              <w:t>112.5</w:t>
            </w:r>
          </w:p>
        </w:tc>
        <w:tc>
          <w:tcPr>
            <w:tcW w:w="0" w:type="auto"/>
            <w:shd w:val="clear" w:color="auto" w:fill="auto"/>
            <w:vAlign w:val="center"/>
          </w:tcPr>
          <w:p w14:paraId="66A24C4F"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N/A</w:t>
            </w:r>
          </w:p>
        </w:tc>
        <w:tc>
          <w:tcPr>
            <w:tcW w:w="0" w:type="auto"/>
            <w:shd w:val="clear" w:color="auto" w:fill="auto"/>
            <w:vAlign w:val="center"/>
          </w:tcPr>
          <w:p w14:paraId="7B5650E1"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-70</w:t>
            </w:r>
          </w:p>
        </w:tc>
      </w:tr>
      <w:tr w:rsidR="00567E6C" w:rsidRPr="0098004A" w14:paraId="12617E0F" w14:textId="77777777" w:rsidTr="00567E6C">
        <w:trPr>
          <w:jc w:val="center"/>
        </w:trPr>
        <w:tc>
          <w:tcPr>
            <w:tcW w:w="0" w:type="auto"/>
            <w:vMerge/>
            <w:shd w:val="clear" w:color="auto" w:fill="auto"/>
            <w:vAlign w:val="center"/>
          </w:tcPr>
          <w:p w14:paraId="2C0284E3"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77B0B60E"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51451CC3" w14:textId="77777777" w:rsidR="00567E6C" w:rsidRPr="0098004A" w:rsidRDefault="00567E6C" w:rsidP="00567E6C">
            <w:pPr>
              <w:keepNext/>
              <w:keepLines/>
              <w:spacing w:after="0"/>
              <w:jc w:val="center"/>
              <w:rPr>
                <w:rFonts w:ascii="Arial" w:hAnsi="Arial"/>
                <w:sz w:val="16"/>
                <w:szCs w:val="16"/>
              </w:rPr>
            </w:pPr>
          </w:p>
        </w:tc>
        <w:tc>
          <w:tcPr>
            <w:tcW w:w="1959" w:type="dxa"/>
            <w:shd w:val="clear" w:color="auto" w:fill="auto"/>
            <w:vAlign w:val="center"/>
          </w:tcPr>
          <w:p w14:paraId="636D5169" w14:textId="77777777" w:rsidR="00567E6C" w:rsidRPr="0098004A" w:rsidDel="00836998" w:rsidRDefault="00567E6C" w:rsidP="00567E6C">
            <w:pPr>
              <w:pStyle w:val="TAC"/>
              <w:rPr>
                <w:sz w:val="16"/>
                <w:szCs w:val="16"/>
                <w:lang w:eastAsia="zh-CN"/>
              </w:rPr>
            </w:pPr>
            <w:r w:rsidRPr="0098004A">
              <w:rPr>
                <w:sz w:val="16"/>
                <w:szCs w:val="16"/>
                <w:lang w:eastAsia="zh-CN"/>
              </w:rPr>
              <w:t>NR</w:t>
            </w:r>
            <w:r w:rsidRPr="0098004A">
              <w:rPr>
                <w:sz w:val="16"/>
                <w:szCs w:val="16"/>
              </w:rPr>
              <w:t>_</w:t>
            </w:r>
            <w:r w:rsidRPr="0098004A">
              <w:rPr>
                <w:sz w:val="16"/>
                <w:szCs w:val="16"/>
                <w:lang w:eastAsia="zh-CN"/>
              </w:rPr>
              <w:t>FDD_FR1_G</w:t>
            </w:r>
          </w:p>
        </w:tc>
        <w:tc>
          <w:tcPr>
            <w:tcW w:w="794" w:type="dxa"/>
            <w:shd w:val="clear" w:color="auto" w:fill="auto"/>
            <w:vAlign w:val="center"/>
          </w:tcPr>
          <w:p w14:paraId="73D90A8C" w14:textId="77777777" w:rsidR="00567E6C" w:rsidRPr="0098004A" w:rsidRDefault="00567E6C" w:rsidP="00567E6C">
            <w:pPr>
              <w:pStyle w:val="TAC"/>
              <w:rPr>
                <w:sz w:val="16"/>
                <w:szCs w:val="16"/>
              </w:rPr>
            </w:pPr>
            <w:r w:rsidRPr="0098004A">
              <w:rPr>
                <w:sz w:val="16"/>
                <w:szCs w:val="16"/>
              </w:rPr>
              <w:t>-118</w:t>
            </w:r>
          </w:p>
        </w:tc>
        <w:tc>
          <w:tcPr>
            <w:tcW w:w="808" w:type="dxa"/>
            <w:shd w:val="clear" w:color="auto" w:fill="auto"/>
            <w:vAlign w:val="center"/>
          </w:tcPr>
          <w:p w14:paraId="6876A228" w14:textId="77777777" w:rsidR="00567E6C" w:rsidRPr="0098004A" w:rsidRDefault="00567E6C" w:rsidP="00567E6C">
            <w:pPr>
              <w:pStyle w:val="TAC"/>
              <w:rPr>
                <w:rFonts w:cs="Arial"/>
                <w:sz w:val="16"/>
                <w:szCs w:val="16"/>
                <w:lang w:val="sv-SE"/>
              </w:rPr>
            </w:pPr>
            <w:r w:rsidRPr="0098004A">
              <w:rPr>
                <w:rFonts w:cs="Arial"/>
                <w:sz w:val="16"/>
                <w:szCs w:val="16"/>
              </w:rPr>
              <w:t>-115</w:t>
            </w:r>
          </w:p>
        </w:tc>
        <w:tc>
          <w:tcPr>
            <w:tcW w:w="0" w:type="auto"/>
            <w:shd w:val="clear" w:color="auto" w:fill="auto"/>
            <w:vAlign w:val="center"/>
          </w:tcPr>
          <w:p w14:paraId="2A37B7C4" w14:textId="77777777" w:rsidR="00567E6C" w:rsidRPr="0098004A" w:rsidRDefault="00567E6C" w:rsidP="00567E6C">
            <w:pPr>
              <w:keepNext/>
              <w:keepLines/>
              <w:spacing w:after="0"/>
              <w:jc w:val="center"/>
              <w:rPr>
                <w:rFonts w:ascii="Arial" w:hAnsi="Arial" w:cs="Arial"/>
                <w:sz w:val="16"/>
                <w:szCs w:val="16"/>
                <w:lang w:eastAsia="zh-CN"/>
              </w:rPr>
            </w:pPr>
            <w:r w:rsidRPr="0098004A">
              <w:rPr>
                <w:rFonts w:ascii="Arial" w:hAnsi="Arial" w:cs="Arial" w:hint="eastAsia"/>
                <w:sz w:val="16"/>
                <w:szCs w:val="16"/>
                <w:lang w:eastAsia="zh-CN"/>
              </w:rPr>
              <w:t>-</w:t>
            </w:r>
            <w:r w:rsidRPr="0098004A">
              <w:rPr>
                <w:rFonts w:ascii="Arial" w:hAnsi="Arial" w:cs="Arial"/>
                <w:sz w:val="16"/>
                <w:szCs w:val="16"/>
                <w:lang w:eastAsia="zh-CN"/>
              </w:rPr>
              <w:t>112</w:t>
            </w:r>
          </w:p>
        </w:tc>
        <w:tc>
          <w:tcPr>
            <w:tcW w:w="0" w:type="auto"/>
            <w:shd w:val="clear" w:color="auto" w:fill="auto"/>
            <w:vAlign w:val="center"/>
          </w:tcPr>
          <w:p w14:paraId="3691AEDF"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N/A</w:t>
            </w:r>
          </w:p>
        </w:tc>
        <w:tc>
          <w:tcPr>
            <w:tcW w:w="0" w:type="auto"/>
            <w:shd w:val="clear" w:color="auto" w:fill="auto"/>
            <w:vAlign w:val="center"/>
          </w:tcPr>
          <w:p w14:paraId="0DEE8498"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-70</w:t>
            </w:r>
          </w:p>
        </w:tc>
      </w:tr>
      <w:tr w:rsidR="00567E6C" w:rsidRPr="0098004A" w14:paraId="3E7AEE1B" w14:textId="77777777" w:rsidTr="00567E6C">
        <w:trPr>
          <w:jc w:val="center"/>
        </w:trPr>
        <w:tc>
          <w:tcPr>
            <w:tcW w:w="0" w:type="auto"/>
            <w:vMerge/>
            <w:shd w:val="clear" w:color="auto" w:fill="auto"/>
            <w:vAlign w:val="center"/>
          </w:tcPr>
          <w:p w14:paraId="412DB9D3"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123EAC39" w14:textId="77777777" w:rsidR="00567E6C" w:rsidRPr="0098004A" w:rsidRDefault="00567E6C" w:rsidP="00567E6C">
            <w:pPr>
              <w:keepNext/>
              <w:keepLines/>
              <w:spacing w:after="0"/>
              <w:jc w:val="center"/>
              <w:rPr>
                <w:rFonts w:ascii="Arial" w:hAnsi="Arial"/>
                <w:sz w:val="16"/>
                <w:szCs w:val="16"/>
              </w:rPr>
            </w:pPr>
          </w:p>
        </w:tc>
        <w:tc>
          <w:tcPr>
            <w:tcW w:w="0" w:type="auto"/>
            <w:vMerge/>
            <w:shd w:val="clear" w:color="auto" w:fill="auto"/>
            <w:vAlign w:val="center"/>
          </w:tcPr>
          <w:p w14:paraId="0961AEA6" w14:textId="77777777" w:rsidR="00567E6C" w:rsidRPr="0098004A" w:rsidRDefault="00567E6C" w:rsidP="00567E6C">
            <w:pPr>
              <w:keepNext/>
              <w:keepLines/>
              <w:spacing w:after="0"/>
              <w:jc w:val="center"/>
              <w:rPr>
                <w:rFonts w:ascii="Arial" w:hAnsi="Arial"/>
                <w:sz w:val="16"/>
                <w:szCs w:val="16"/>
              </w:rPr>
            </w:pPr>
          </w:p>
        </w:tc>
        <w:tc>
          <w:tcPr>
            <w:tcW w:w="1959" w:type="dxa"/>
            <w:shd w:val="clear" w:color="auto" w:fill="auto"/>
            <w:vAlign w:val="center"/>
          </w:tcPr>
          <w:p w14:paraId="0375C2AB" w14:textId="77777777" w:rsidR="00567E6C" w:rsidRPr="0098004A" w:rsidRDefault="00567E6C" w:rsidP="00567E6C">
            <w:pPr>
              <w:pStyle w:val="TAC"/>
              <w:rPr>
                <w:sz w:val="16"/>
                <w:szCs w:val="16"/>
                <w:lang w:eastAsia="zh-CN"/>
              </w:rPr>
            </w:pPr>
            <w:r w:rsidRPr="0098004A">
              <w:rPr>
                <w:sz w:val="16"/>
                <w:szCs w:val="16"/>
                <w:lang w:eastAsia="zh-CN"/>
              </w:rPr>
              <w:t>NR</w:t>
            </w:r>
            <w:r w:rsidRPr="0098004A">
              <w:rPr>
                <w:sz w:val="16"/>
                <w:szCs w:val="16"/>
              </w:rPr>
              <w:t>_</w:t>
            </w:r>
            <w:r w:rsidRPr="0098004A">
              <w:rPr>
                <w:sz w:val="16"/>
                <w:szCs w:val="16"/>
                <w:lang w:eastAsia="zh-CN"/>
              </w:rPr>
              <w:t>FDD_FR1_H</w:t>
            </w:r>
          </w:p>
        </w:tc>
        <w:tc>
          <w:tcPr>
            <w:tcW w:w="794" w:type="dxa"/>
            <w:shd w:val="clear" w:color="auto" w:fill="auto"/>
            <w:vAlign w:val="center"/>
          </w:tcPr>
          <w:p w14:paraId="57B9BB9D" w14:textId="77777777" w:rsidR="00567E6C" w:rsidRPr="0098004A" w:rsidRDefault="00567E6C" w:rsidP="00567E6C">
            <w:pPr>
              <w:pStyle w:val="TAC"/>
              <w:rPr>
                <w:sz w:val="16"/>
                <w:szCs w:val="16"/>
              </w:rPr>
            </w:pPr>
            <w:r w:rsidRPr="0098004A">
              <w:rPr>
                <w:sz w:val="16"/>
                <w:szCs w:val="16"/>
              </w:rPr>
              <w:t>-117.5</w:t>
            </w:r>
          </w:p>
        </w:tc>
        <w:tc>
          <w:tcPr>
            <w:tcW w:w="808" w:type="dxa"/>
            <w:shd w:val="clear" w:color="auto" w:fill="auto"/>
            <w:vAlign w:val="center"/>
          </w:tcPr>
          <w:p w14:paraId="0B5F574C" w14:textId="77777777" w:rsidR="00567E6C" w:rsidRPr="0098004A" w:rsidRDefault="00567E6C" w:rsidP="00567E6C">
            <w:pPr>
              <w:pStyle w:val="TAC"/>
              <w:rPr>
                <w:rFonts w:cs="Arial"/>
                <w:sz w:val="16"/>
                <w:szCs w:val="16"/>
                <w:lang w:val="sv-SE"/>
              </w:rPr>
            </w:pPr>
            <w:r w:rsidRPr="0098004A">
              <w:rPr>
                <w:rFonts w:cs="Arial"/>
                <w:sz w:val="16"/>
                <w:szCs w:val="16"/>
              </w:rPr>
              <w:t>-114.5</w:t>
            </w:r>
          </w:p>
        </w:tc>
        <w:tc>
          <w:tcPr>
            <w:tcW w:w="0" w:type="auto"/>
            <w:shd w:val="clear" w:color="auto" w:fill="auto"/>
            <w:vAlign w:val="center"/>
          </w:tcPr>
          <w:p w14:paraId="63A4A93E" w14:textId="77777777" w:rsidR="00567E6C" w:rsidRPr="0098004A" w:rsidRDefault="00567E6C" w:rsidP="00567E6C">
            <w:pPr>
              <w:keepNext/>
              <w:keepLines/>
              <w:spacing w:after="0"/>
              <w:jc w:val="center"/>
              <w:rPr>
                <w:rFonts w:ascii="Arial" w:hAnsi="Arial" w:cs="Arial"/>
                <w:sz w:val="16"/>
                <w:szCs w:val="16"/>
                <w:lang w:eastAsia="zh-CN"/>
              </w:rPr>
            </w:pPr>
            <w:r w:rsidRPr="0098004A">
              <w:rPr>
                <w:rFonts w:ascii="Arial" w:hAnsi="Arial" w:cs="Arial" w:hint="eastAsia"/>
                <w:sz w:val="16"/>
                <w:szCs w:val="16"/>
                <w:lang w:eastAsia="zh-CN"/>
              </w:rPr>
              <w:t>-</w:t>
            </w:r>
            <w:r w:rsidRPr="0098004A">
              <w:rPr>
                <w:rFonts w:ascii="Arial" w:hAnsi="Arial" w:cs="Arial"/>
                <w:sz w:val="16"/>
                <w:szCs w:val="16"/>
                <w:lang w:eastAsia="zh-CN"/>
              </w:rPr>
              <w:t>111.5</w:t>
            </w:r>
          </w:p>
        </w:tc>
        <w:tc>
          <w:tcPr>
            <w:tcW w:w="0" w:type="auto"/>
            <w:shd w:val="clear" w:color="auto" w:fill="auto"/>
            <w:vAlign w:val="center"/>
          </w:tcPr>
          <w:p w14:paraId="3EFD96ED"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N/A</w:t>
            </w:r>
          </w:p>
        </w:tc>
        <w:tc>
          <w:tcPr>
            <w:tcW w:w="0" w:type="auto"/>
            <w:shd w:val="clear" w:color="auto" w:fill="auto"/>
            <w:vAlign w:val="center"/>
          </w:tcPr>
          <w:p w14:paraId="2193CF0D"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t>-70</w:t>
            </w:r>
          </w:p>
        </w:tc>
      </w:tr>
      <w:tr w:rsidR="00567E6C" w:rsidRPr="00C32E45" w14:paraId="3D758A36" w14:textId="77777777" w:rsidTr="00567E6C">
        <w:trPr>
          <w:jc w:val="center"/>
        </w:trPr>
        <w:tc>
          <w:tcPr>
            <w:tcW w:w="0" w:type="auto"/>
            <w:shd w:val="clear" w:color="auto" w:fill="auto"/>
            <w:vAlign w:val="center"/>
          </w:tcPr>
          <w:p w14:paraId="0D0D471F" w14:textId="77777777" w:rsidR="00567E6C" w:rsidRPr="00C32E45" w:rsidRDefault="00567E6C" w:rsidP="00567E6C">
            <w:pPr>
              <w:keepNext/>
              <w:keepLines/>
              <w:spacing w:after="0"/>
              <w:jc w:val="center"/>
              <w:rPr>
                <w:rFonts w:ascii="Arial" w:hAnsi="Arial"/>
                <w:sz w:val="16"/>
                <w:szCs w:val="16"/>
              </w:rPr>
            </w:pPr>
            <w:r w:rsidRPr="00714130">
              <w:rPr>
                <w:rFonts w:ascii="Arial" w:hAnsi="Arial"/>
                <w:sz w:val="18"/>
                <w:lang w:eastAsia="zh-CN"/>
              </w:rPr>
              <w:sym w:font="Symbol" w:char="F0B1"/>
            </w:r>
            <w:r>
              <w:rPr>
                <w:rFonts w:ascii="Arial" w:hAnsi="Arial"/>
                <w:sz w:val="18"/>
                <w:lang w:eastAsia="zh-CN"/>
              </w:rPr>
              <w:t>4</w:t>
            </w:r>
          </w:p>
        </w:tc>
        <w:tc>
          <w:tcPr>
            <w:tcW w:w="0" w:type="auto"/>
            <w:shd w:val="clear" w:color="auto" w:fill="auto"/>
            <w:vAlign w:val="center"/>
          </w:tcPr>
          <w:p w14:paraId="516E2469" w14:textId="77777777" w:rsidR="00567E6C" w:rsidRPr="00C32E45" w:rsidRDefault="00567E6C" w:rsidP="00567E6C">
            <w:pPr>
              <w:keepNext/>
              <w:keepLines/>
              <w:spacing w:after="0"/>
              <w:jc w:val="center"/>
              <w:rPr>
                <w:rFonts w:ascii="Arial" w:hAnsi="Arial"/>
                <w:sz w:val="16"/>
                <w:szCs w:val="16"/>
              </w:rPr>
            </w:pPr>
            <w:r w:rsidRPr="00714130">
              <w:rPr>
                <w:rFonts w:ascii="Arial" w:hAnsi="Arial"/>
                <w:sz w:val="18"/>
                <w:lang w:eastAsia="zh-CN"/>
              </w:rPr>
              <w:sym w:font="Symbol" w:char="F0B1"/>
            </w:r>
            <w:r>
              <w:rPr>
                <w:rFonts w:ascii="Arial" w:hAnsi="Arial"/>
                <w:sz w:val="18"/>
                <w:lang w:eastAsia="zh-CN"/>
              </w:rPr>
              <w:t>4</w:t>
            </w:r>
          </w:p>
        </w:tc>
        <w:tc>
          <w:tcPr>
            <w:tcW w:w="0" w:type="auto"/>
            <w:shd w:val="clear" w:color="auto" w:fill="auto"/>
            <w:vAlign w:val="center"/>
          </w:tcPr>
          <w:p w14:paraId="0977BA2C" w14:textId="77777777" w:rsidR="00567E6C" w:rsidRPr="00C32E45" w:rsidRDefault="00567E6C" w:rsidP="00567E6C">
            <w:pPr>
              <w:keepNext/>
              <w:keepLines/>
              <w:spacing w:after="0"/>
              <w:jc w:val="center"/>
              <w:rPr>
                <w:rFonts w:ascii="Arial" w:hAnsi="Arial"/>
                <w:sz w:val="16"/>
                <w:szCs w:val="16"/>
              </w:rPr>
            </w:pPr>
            <w:r w:rsidRPr="00C32E45">
              <w:rPr>
                <w:rFonts w:ascii="Arial" w:hAnsi="Arial"/>
                <w:sz w:val="16"/>
                <w:szCs w:val="16"/>
              </w:rPr>
              <w:sym w:font="Symbol" w:char="F0B3"/>
            </w:r>
            <w:r w:rsidRPr="0098004A">
              <w:rPr>
                <w:rFonts w:ascii="Arial" w:hAnsi="Arial"/>
                <w:sz w:val="16"/>
                <w:szCs w:val="16"/>
              </w:rPr>
              <w:t>-6</w:t>
            </w:r>
          </w:p>
        </w:tc>
        <w:tc>
          <w:tcPr>
            <w:tcW w:w="1959" w:type="dxa"/>
            <w:shd w:val="clear" w:color="auto" w:fill="auto"/>
            <w:vAlign w:val="center"/>
          </w:tcPr>
          <w:p w14:paraId="512DDE49" w14:textId="77777777" w:rsidR="00567E6C" w:rsidRPr="00C32E45" w:rsidRDefault="00567E6C" w:rsidP="00567E6C">
            <w:pPr>
              <w:keepNext/>
              <w:keepLines/>
              <w:spacing w:after="0"/>
              <w:jc w:val="center"/>
              <w:rPr>
                <w:rFonts w:ascii="Arial" w:hAnsi="Arial"/>
                <w:sz w:val="16"/>
                <w:szCs w:val="16"/>
              </w:rPr>
            </w:pPr>
            <w:r w:rsidRPr="003631EC">
              <w:rPr>
                <w:rFonts w:ascii="Arial" w:hAnsi="Arial"/>
                <w:sz w:val="16"/>
                <w:szCs w:val="16"/>
              </w:rPr>
              <w:t>Note 2</w:t>
            </w:r>
          </w:p>
        </w:tc>
        <w:tc>
          <w:tcPr>
            <w:tcW w:w="794" w:type="dxa"/>
            <w:shd w:val="clear" w:color="auto" w:fill="auto"/>
            <w:vAlign w:val="center"/>
          </w:tcPr>
          <w:p w14:paraId="67B5681D" w14:textId="77777777" w:rsidR="00567E6C" w:rsidRPr="00C32E45" w:rsidRDefault="00567E6C" w:rsidP="00567E6C">
            <w:pPr>
              <w:keepNext/>
              <w:keepLines/>
              <w:spacing w:after="0"/>
              <w:jc w:val="center"/>
              <w:rPr>
                <w:rFonts w:ascii="Arial" w:hAnsi="Arial"/>
                <w:sz w:val="16"/>
                <w:szCs w:val="16"/>
              </w:rPr>
            </w:pPr>
            <w:r w:rsidRPr="003631EC">
              <w:rPr>
                <w:rFonts w:ascii="Arial" w:hAnsi="Arial"/>
                <w:sz w:val="16"/>
                <w:szCs w:val="16"/>
              </w:rPr>
              <w:t>Note 2</w:t>
            </w:r>
          </w:p>
        </w:tc>
        <w:tc>
          <w:tcPr>
            <w:tcW w:w="808" w:type="dxa"/>
            <w:shd w:val="clear" w:color="auto" w:fill="auto"/>
            <w:vAlign w:val="center"/>
          </w:tcPr>
          <w:p w14:paraId="35681952" w14:textId="77777777" w:rsidR="00567E6C" w:rsidRPr="00C32E45" w:rsidRDefault="00567E6C" w:rsidP="00567E6C">
            <w:pPr>
              <w:keepNext/>
              <w:keepLines/>
              <w:spacing w:after="0"/>
              <w:jc w:val="center"/>
              <w:rPr>
                <w:rFonts w:ascii="Arial" w:hAnsi="Arial"/>
                <w:sz w:val="16"/>
                <w:szCs w:val="16"/>
                <w:lang w:eastAsia="zh-CN"/>
              </w:rPr>
            </w:pPr>
            <w:r w:rsidRPr="003631EC">
              <w:rPr>
                <w:rFonts w:ascii="Arial" w:hAnsi="Arial"/>
                <w:sz w:val="16"/>
                <w:szCs w:val="16"/>
              </w:rPr>
              <w:t>Note 2</w:t>
            </w:r>
          </w:p>
        </w:tc>
        <w:tc>
          <w:tcPr>
            <w:tcW w:w="0" w:type="auto"/>
            <w:shd w:val="clear" w:color="auto" w:fill="auto"/>
            <w:vAlign w:val="center"/>
          </w:tcPr>
          <w:p w14:paraId="75A03122" w14:textId="77777777" w:rsidR="00567E6C" w:rsidRPr="00C32E45" w:rsidRDefault="00567E6C" w:rsidP="00567E6C">
            <w:pPr>
              <w:keepNext/>
              <w:keepLines/>
              <w:spacing w:after="0"/>
              <w:jc w:val="center"/>
              <w:rPr>
                <w:rFonts w:ascii="Arial" w:hAnsi="Arial"/>
                <w:sz w:val="16"/>
                <w:szCs w:val="16"/>
                <w:lang w:eastAsia="zh-CN"/>
              </w:rPr>
            </w:pPr>
            <w:r w:rsidRPr="003631EC">
              <w:rPr>
                <w:rFonts w:ascii="Arial" w:hAnsi="Arial"/>
                <w:sz w:val="16"/>
                <w:szCs w:val="16"/>
              </w:rPr>
              <w:t>Note 2</w:t>
            </w:r>
          </w:p>
        </w:tc>
        <w:tc>
          <w:tcPr>
            <w:tcW w:w="0" w:type="auto"/>
            <w:shd w:val="clear" w:color="auto" w:fill="auto"/>
            <w:vAlign w:val="center"/>
          </w:tcPr>
          <w:p w14:paraId="1D89D718" w14:textId="77777777" w:rsidR="00567E6C" w:rsidRPr="00C32E45" w:rsidRDefault="00567E6C" w:rsidP="00567E6C">
            <w:pPr>
              <w:keepNext/>
              <w:keepLines/>
              <w:spacing w:after="0"/>
              <w:jc w:val="center"/>
              <w:rPr>
                <w:rFonts w:ascii="Arial" w:hAnsi="Arial"/>
                <w:sz w:val="16"/>
                <w:szCs w:val="16"/>
                <w:lang w:eastAsia="zh-CN"/>
              </w:rPr>
            </w:pPr>
            <w:r>
              <w:rPr>
                <w:rFonts w:ascii="Arial" w:hAnsi="Arial" w:hint="eastAsia"/>
                <w:sz w:val="16"/>
                <w:szCs w:val="16"/>
                <w:lang w:eastAsia="zh-CN"/>
              </w:rPr>
              <w:t>N</w:t>
            </w:r>
            <w:r>
              <w:rPr>
                <w:rFonts w:ascii="Arial" w:hAnsi="Arial"/>
                <w:sz w:val="16"/>
                <w:szCs w:val="16"/>
                <w:lang w:eastAsia="zh-CN"/>
              </w:rPr>
              <w:t>/A</w:t>
            </w:r>
          </w:p>
        </w:tc>
        <w:tc>
          <w:tcPr>
            <w:tcW w:w="0" w:type="auto"/>
            <w:shd w:val="clear" w:color="auto" w:fill="auto"/>
            <w:vAlign w:val="center"/>
          </w:tcPr>
          <w:p w14:paraId="4C0D835E" w14:textId="77777777" w:rsidR="00567E6C" w:rsidRPr="00C32E45" w:rsidRDefault="00567E6C" w:rsidP="00567E6C">
            <w:pPr>
              <w:keepNext/>
              <w:keepLines/>
              <w:spacing w:after="0"/>
              <w:jc w:val="center"/>
              <w:rPr>
                <w:rFonts w:ascii="Arial" w:hAnsi="Arial"/>
                <w:sz w:val="16"/>
                <w:szCs w:val="16"/>
              </w:rPr>
            </w:pPr>
            <w:r w:rsidRPr="003631EC">
              <w:rPr>
                <w:rFonts w:ascii="Arial" w:hAnsi="Arial"/>
                <w:sz w:val="16"/>
                <w:szCs w:val="16"/>
              </w:rPr>
              <w:t>Note 2</w:t>
            </w:r>
          </w:p>
        </w:tc>
      </w:tr>
      <w:tr w:rsidR="00567E6C" w:rsidRPr="00C32E45" w14:paraId="13E80D99" w14:textId="77777777" w:rsidTr="00567E6C">
        <w:trPr>
          <w:jc w:val="center"/>
        </w:trPr>
        <w:tc>
          <w:tcPr>
            <w:tcW w:w="0" w:type="auto"/>
            <w:gridSpan w:val="9"/>
            <w:shd w:val="clear" w:color="auto" w:fill="auto"/>
            <w:vAlign w:val="center"/>
          </w:tcPr>
          <w:p w14:paraId="61440405" w14:textId="77777777" w:rsidR="00567E6C" w:rsidRDefault="00567E6C" w:rsidP="00567E6C">
            <w:pPr>
              <w:keepNext/>
              <w:keepLines/>
              <w:spacing w:after="0"/>
              <w:ind w:left="851" w:hanging="851"/>
              <w:rPr>
                <w:rFonts w:ascii="Arial" w:hAnsi="Arial"/>
                <w:sz w:val="18"/>
              </w:rPr>
            </w:pPr>
            <w:r w:rsidRPr="00C32E45">
              <w:rPr>
                <w:rFonts w:ascii="Arial" w:hAnsi="Arial"/>
                <w:sz w:val="18"/>
              </w:rPr>
              <w:t>NOTE 1:</w:t>
            </w:r>
            <w:r w:rsidRPr="00C32E45">
              <w:rPr>
                <w:rFonts w:ascii="Arial" w:hAnsi="Arial"/>
                <w:sz w:val="18"/>
              </w:rPr>
              <w:tab/>
              <w:t>Io is assumed to have constant EPRE across the bandwidth.</w:t>
            </w:r>
          </w:p>
          <w:p w14:paraId="095B1BD2" w14:textId="77777777" w:rsidR="00567E6C" w:rsidRDefault="00567E6C" w:rsidP="00567E6C">
            <w:pPr>
              <w:pStyle w:val="TAN"/>
              <w:rPr>
                <w:rFonts w:cs="Arial"/>
              </w:rPr>
            </w:pPr>
            <w:r w:rsidRPr="009C5807">
              <w:rPr>
                <w:rFonts w:cs="Arial"/>
              </w:rPr>
              <w:t>N</w:t>
            </w:r>
            <w:r w:rsidRPr="009C5807">
              <w:rPr>
                <w:rFonts w:cs="Arial"/>
                <w:lang w:eastAsia="zh-CN"/>
              </w:rPr>
              <w:t>OTE</w:t>
            </w:r>
            <w:r w:rsidRPr="009C5807">
              <w:rPr>
                <w:rFonts w:cs="Arial"/>
              </w:rPr>
              <w:t xml:space="preserve"> </w:t>
            </w:r>
            <w:r>
              <w:rPr>
                <w:rFonts w:cs="Arial"/>
              </w:rPr>
              <w:t>2</w:t>
            </w:r>
            <w:r w:rsidRPr="009C5807">
              <w:rPr>
                <w:rFonts w:cs="Arial"/>
              </w:rPr>
              <w:t>:</w:t>
            </w:r>
            <w:r w:rsidRPr="009C5807">
              <w:rPr>
                <w:rFonts w:cs="Arial"/>
              </w:rPr>
              <w:tab/>
              <w:t>The same bands and the same Io conditions for each band apply for this requirement as for the corresponding highest accuracy requirement.</w:t>
            </w:r>
          </w:p>
          <w:p w14:paraId="0746FF44" w14:textId="77777777" w:rsidR="00567E6C" w:rsidRPr="0024545C" w:rsidRDefault="00567E6C" w:rsidP="00567E6C">
            <w:pPr>
              <w:pStyle w:val="TAN"/>
            </w:pPr>
            <w:r w:rsidRPr="009C5807">
              <w:t>N</w:t>
            </w:r>
            <w:r w:rsidRPr="009C5807">
              <w:rPr>
                <w:lang w:eastAsia="zh-CN"/>
              </w:rPr>
              <w:t>OTE</w:t>
            </w:r>
            <w:r w:rsidRPr="009C5807">
              <w:t xml:space="preserve"> </w:t>
            </w:r>
            <w:r>
              <w:t>3</w:t>
            </w:r>
            <w:r w:rsidRPr="009C5807">
              <w:t>:</w:t>
            </w:r>
            <w:r w:rsidRPr="009C5807">
              <w:tab/>
            </w:r>
            <w:r w:rsidRPr="009C5807">
              <w:rPr>
                <w:lang w:eastAsia="zh-CN"/>
              </w:rPr>
              <w:t xml:space="preserve">The parameter </w:t>
            </w:r>
            <w:r>
              <w:t>CSI-RS</w:t>
            </w:r>
            <w:r w:rsidRPr="009C5807">
              <w:t xml:space="preserve"> Ês/Iot</w:t>
            </w:r>
            <w:r w:rsidRPr="009C5807">
              <w:rPr>
                <w:lang w:eastAsia="zh-CN"/>
              </w:rPr>
              <w:t xml:space="preserve"> is the minimum </w:t>
            </w:r>
            <w:r>
              <w:t>CSI-RS</w:t>
            </w:r>
            <w:r w:rsidRPr="009C5807">
              <w:t xml:space="preserve"> Ês/Iot</w:t>
            </w:r>
            <w:r w:rsidRPr="009C5807">
              <w:rPr>
                <w:lang w:eastAsia="zh-CN"/>
              </w:rPr>
              <w:t xml:space="preserve"> of the pair of cells to which the requirement applies.</w:t>
            </w:r>
          </w:p>
          <w:p w14:paraId="49BB7B1D" w14:textId="77777777" w:rsidR="00567E6C" w:rsidRDefault="00567E6C" w:rsidP="00567E6C">
            <w:pPr>
              <w:keepNext/>
              <w:keepLines/>
              <w:spacing w:after="0"/>
              <w:ind w:left="851" w:hanging="851"/>
              <w:rPr>
                <w:rFonts w:ascii="Arial" w:hAnsi="Arial"/>
                <w:sz w:val="18"/>
              </w:rPr>
            </w:pPr>
            <w:r w:rsidRPr="00C32E45">
              <w:rPr>
                <w:rFonts w:ascii="Arial" w:hAnsi="Arial"/>
                <w:sz w:val="18"/>
              </w:rPr>
              <w:t xml:space="preserve">NOTE </w:t>
            </w:r>
            <w:r>
              <w:rPr>
                <w:rFonts w:ascii="Arial" w:hAnsi="Arial"/>
                <w:sz w:val="18"/>
              </w:rPr>
              <w:t>4</w:t>
            </w:r>
            <w:r w:rsidRPr="00C32E45">
              <w:rPr>
                <w:rFonts w:ascii="Arial" w:hAnsi="Arial"/>
                <w:sz w:val="18"/>
              </w:rPr>
              <w:t>:</w:t>
            </w:r>
            <w:r w:rsidRPr="00C32E45">
              <w:rPr>
                <w:rFonts w:ascii="Arial" w:hAnsi="Arial"/>
                <w:sz w:val="18"/>
              </w:rPr>
              <w:tab/>
              <w:t>NR operating band groups in FR1 are as defined in clause 3.5.2.</w:t>
            </w:r>
          </w:p>
          <w:p w14:paraId="386EF634" w14:textId="77777777" w:rsidR="00567E6C" w:rsidRPr="00632CF5" w:rsidRDefault="00567E6C" w:rsidP="00567E6C">
            <w:pPr>
              <w:keepNext/>
              <w:keepLines/>
              <w:spacing w:after="0"/>
              <w:ind w:left="851" w:hanging="851"/>
              <w:rPr>
                <w:rFonts w:ascii="Arial" w:hAnsi="Arial"/>
                <w:sz w:val="18"/>
              </w:rPr>
            </w:pPr>
            <w:r w:rsidRPr="00550CC9">
              <w:rPr>
                <w:rFonts w:ascii="Arial" w:hAnsi="Arial"/>
                <w:sz w:val="18"/>
              </w:rPr>
              <w:t xml:space="preserve">NOTE </w:t>
            </w:r>
            <w:r>
              <w:rPr>
                <w:rFonts w:ascii="Arial" w:hAnsi="Arial"/>
                <w:sz w:val="18"/>
              </w:rPr>
              <w:t>5</w:t>
            </w:r>
            <w:r w:rsidRPr="00550CC9">
              <w:rPr>
                <w:rFonts w:ascii="Arial" w:hAnsi="Arial"/>
                <w:sz w:val="18"/>
              </w:rPr>
              <w:t>:</w:t>
            </w:r>
            <w:r w:rsidRPr="00550CC9">
              <w:rPr>
                <w:rFonts w:ascii="Arial" w:hAnsi="Arial"/>
                <w:sz w:val="18"/>
              </w:rPr>
              <w:tab/>
              <w:t xml:space="preserve">The requirements apply for CSI-RS Ês/Iot </w:t>
            </w:r>
            <w:r w:rsidRPr="00550CC9">
              <w:rPr>
                <w:rFonts w:ascii="Arial" w:hAnsi="Arial" w:hint="eastAsia"/>
                <w:sz w:val="18"/>
              </w:rPr>
              <w:t>≤</w:t>
            </w:r>
            <w:r>
              <w:rPr>
                <w:rFonts w:ascii="Arial" w:hAnsi="Arial" w:hint="eastAsia"/>
                <w:sz w:val="18"/>
                <w:lang w:eastAsia="zh-CN"/>
              </w:rPr>
              <w:t xml:space="preserve"> </w:t>
            </w:r>
            <w:r>
              <w:rPr>
                <w:rFonts w:ascii="Arial" w:hAnsi="Arial"/>
                <w:sz w:val="18"/>
              </w:rPr>
              <w:t>X</w:t>
            </w:r>
            <w:r w:rsidRPr="00550CC9">
              <w:rPr>
                <w:rFonts w:ascii="Arial" w:hAnsi="Arial"/>
                <w:sz w:val="18"/>
              </w:rPr>
              <w:t>dB.</w:t>
            </w:r>
            <w:r>
              <w:rPr>
                <w:rFonts w:ascii="Arial" w:hAnsi="Arial"/>
                <w:sz w:val="18"/>
              </w:rPr>
              <w:t xml:space="preserve"> </w:t>
            </w:r>
            <w:r w:rsidRPr="004A0983">
              <w:rPr>
                <w:rFonts w:ascii="Arial" w:hAnsi="Arial"/>
                <w:sz w:val="18"/>
              </w:rPr>
              <w:t>X=15 if timing offset between the reference measurement timing and the target CSI-RS is no larger than 0.5*CP, and X=</w:t>
            </w:r>
            <w:r>
              <w:rPr>
                <w:rFonts w:ascii="Arial" w:hAnsi="Arial"/>
                <w:sz w:val="18"/>
              </w:rPr>
              <w:t>4</w:t>
            </w:r>
            <w:r w:rsidRPr="004A0983">
              <w:rPr>
                <w:rFonts w:ascii="Arial" w:hAnsi="Arial"/>
                <w:sz w:val="18"/>
              </w:rPr>
              <w:t xml:space="preserve"> if timing offset between the reference measurement timing and the target CSI-RS is larger than 0.5*CP but no larger than CP.</w:t>
            </w:r>
          </w:p>
        </w:tc>
      </w:tr>
    </w:tbl>
    <w:p w14:paraId="37D1C2DF" w14:textId="758310B0" w:rsidR="00567E6C" w:rsidRDefault="00567E6C" w:rsidP="00567E6C">
      <w:pPr>
        <w:rPr>
          <w:rFonts w:cs="v4.2.0"/>
        </w:rPr>
      </w:pPr>
    </w:p>
    <w:p w14:paraId="403578AD" w14:textId="77777777" w:rsidR="000F609D" w:rsidRPr="009C5807" w:rsidRDefault="000F609D" w:rsidP="000F609D">
      <w:pPr>
        <w:pStyle w:val="Heading3"/>
        <w:rPr>
          <w:lang w:val="en-US" w:eastAsia="ko-KR"/>
        </w:rPr>
      </w:pPr>
      <w:r>
        <w:rPr>
          <w:lang w:val="en-US" w:eastAsia="ko-KR"/>
        </w:rPr>
        <w:t>10.1.14C</w:t>
      </w:r>
      <w:r w:rsidRPr="009C5807">
        <w:rPr>
          <w:lang w:val="en-US" w:eastAsia="ko-KR"/>
        </w:rPr>
        <w:tab/>
        <w:t xml:space="preserve">Inter-frequency SINR accuracy requirements </w:t>
      </w:r>
      <w:r w:rsidRPr="009C5807">
        <w:rPr>
          <w:lang w:val="en-US" w:eastAsia="zh-CN"/>
        </w:rPr>
        <w:t>for</w:t>
      </w:r>
      <w:r w:rsidRPr="009C5807">
        <w:rPr>
          <w:lang w:val="en-US" w:eastAsia="ko-KR"/>
        </w:rPr>
        <w:t xml:space="preserve"> FR1</w:t>
      </w:r>
      <w:r w:rsidRPr="000752BE">
        <w:rPr>
          <w:lang w:val="en-US"/>
        </w:rPr>
        <w:t xml:space="preserve"> </w:t>
      </w:r>
      <w:r>
        <w:rPr>
          <w:lang w:val="en-US"/>
        </w:rPr>
        <w:t>SAN</w:t>
      </w:r>
    </w:p>
    <w:p w14:paraId="5E636CEC" w14:textId="77777777" w:rsidR="000F609D" w:rsidRPr="009C5807" w:rsidRDefault="000F609D" w:rsidP="000F609D">
      <w:pPr>
        <w:pStyle w:val="Heading4"/>
        <w:rPr>
          <w:lang w:val="en-US" w:eastAsia="zh-CN"/>
        </w:rPr>
      </w:pPr>
      <w:r>
        <w:rPr>
          <w:lang w:val="en-US" w:eastAsia="zh-CN"/>
        </w:rPr>
        <w:t>10.1.14C</w:t>
      </w:r>
      <w:r w:rsidRPr="009C5807">
        <w:rPr>
          <w:lang w:val="en-US" w:eastAsia="zh-CN"/>
        </w:rPr>
        <w:t>.1</w:t>
      </w:r>
      <w:r w:rsidRPr="009C5807">
        <w:rPr>
          <w:lang w:val="en-US" w:eastAsia="zh-CN"/>
        </w:rPr>
        <w:tab/>
      </w:r>
      <w:r w:rsidRPr="009C5807">
        <w:rPr>
          <w:lang w:val="en-US" w:eastAsia="ko-KR"/>
        </w:rPr>
        <w:t>Inter-frequency SS-SINR accuracy requirements</w:t>
      </w:r>
      <w:r w:rsidRPr="009C5807">
        <w:rPr>
          <w:lang w:val="en-US" w:eastAsia="zh-CN"/>
        </w:rPr>
        <w:t xml:space="preserve"> in FR1</w:t>
      </w:r>
    </w:p>
    <w:p w14:paraId="27567F0A" w14:textId="77777777" w:rsidR="000F609D" w:rsidRPr="009C5807" w:rsidRDefault="000F609D" w:rsidP="000F609D">
      <w:pPr>
        <w:pStyle w:val="Heading5"/>
        <w:rPr>
          <w:lang w:val="en-US" w:eastAsia="zh-CN"/>
        </w:rPr>
      </w:pPr>
      <w:r>
        <w:rPr>
          <w:lang w:val="en-US" w:eastAsia="zh-CN"/>
        </w:rPr>
        <w:t>10.1.14C</w:t>
      </w:r>
      <w:r w:rsidRPr="009C5807">
        <w:rPr>
          <w:lang w:val="en-US" w:eastAsia="zh-CN"/>
        </w:rPr>
        <w:t>.1.1</w:t>
      </w:r>
      <w:r w:rsidRPr="009C5807">
        <w:rPr>
          <w:lang w:val="en-US" w:eastAsia="zh-CN"/>
        </w:rPr>
        <w:tab/>
      </w:r>
      <w:r w:rsidRPr="009C5807">
        <w:rPr>
          <w:lang w:eastAsia="zh-CN"/>
        </w:rPr>
        <w:t>Aboslute</w:t>
      </w:r>
      <w:r w:rsidRPr="009C5807">
        <w:t xml:space="preserve"> Accuracy of </w:t>
      </w:r>
      <w:r w:rsidRPr="009C5807">
        <w:rPr>
          <w:lang w:eastAsia="zh-CN"/>
        </w:rPr>
        <w:t>SS-SINR</w:t>
      </w:r>
      <w:r w:rsidRPr="009C5807">
        <w:rPr>
          <w:lang w:val="en-US" w:eastAsia="zh-CN"/>
        </w:rPr>
        <w:t xml:space="preserve"> in FR1</w:t>
      </w:r>
    </w:p>
    <w:p w14:paraId="3C546C4A" w14:textId="77777777" w:rsidR="000F609D" w:rsidRPr="009C5807" w:rsidRDefault="000F609D" w:rsidP="000F609D">
      <w:pPr>
        <w:rPr>
          <w:rFonts w:cs="v4.2.0"/>
          <w:i/>
        </w:rPr>
      </w:pPr>
      <w:r w:rsidRPr="009C5807">
        <w:rPr>
          <w:rFonts w:cs="v4.2.0"/>
        </w:rPr>
        <w:t>The requirements for absolute accuracy of</w:t>
      </w:r>
      <w:r w:rsidRPr="009C5807">
        <w:rPr>
          <w:rFonts w:cs="v4.2.0"/>
          <w:lang w:eastAsia="zh-CN"/>
        </w:rPr>
        <w:t xml:space="preserve"> SS-SINR</w:t>
      </w:r>
      <w:r w:rsidRPr="009C5807">
        <w:rPr>
          <w:rFonts w:cs="v4.2.0"/>
        </w:rPr>
        <w:t xml:space="preserve"> in this clause apply to a cell on a frequency in FR1 that has different carrier frequency from the serving cell.</w:t>
      </w:r>
    </w:p>
    <w:p w14:paraId="0DCB1B91" w14:textId="77777777" w:rsidR="000F609D" w:rsidRPr="009C5807" w:rsidRDefault="000F609D" w:rsidP="000F609D">
      <w:pPr>
        <w:rPr>
          <w:rFonts w:cs="v4.2.0"/>
        </w:rPr>
      </w:pPr>
      <w:r w:rsidRPr="009C5807">
        <w:rPr>
          <w:rFonts w:cs="v4.2.0"/>
        </w:rPr>
        <w:t xml:space="preserve">The accuracy requirements in Table </w:t>
      </w:r>
      <w:r>
        <w:rPr>
          <w:rFonts w:cs="v4.2.0"/>
          <w:lang w:eastAsia="zh-CN"/>
        </w:rPr>
        <w:t>10.1.14C</w:t>
      </w:r>
      <w:r w:rsidRPr="009C5807">
        <w:rPr>
          <w:rFonts w:cs="v4.2.0"/>
          <w:lang w:eastAsia="zh-CN"/>
        </w:rPr>
        <w:t>.1.1</w:t>
      </w:r>
      <w:r w:rsidRPr="009C5807">
        <w:rPr>
          <w:rFonts w:cs="v4.2.0"/>
        </w:rPr>
        <w:t>-1 are valid under the following conditions:</w:t>
      </w:r>
    </w:p>
    <w:p w14:paraId="43ED447F" w14:textId="77777777" w:rsidR="000F609D" w:rsidRPr="009C5807" w:rsidRDefault="000F609D" w:rsidP="000F609D">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0069862C" w14:textId="77777777" w:rsidR="000F609D" w:rsidRDefault="000F609D" w:rsidP="000F609D">
      <w:pPr>
        <w:pStyle w:val="B10"/>
      </w:pPr>
      <w:r w:rsidRPr="009C5807">
        <w:t>-</w:t>
      </w:r>
      <w:r w:rsidRPr="009C5807">
        <w:rPr>
          <w:rFonts w:ascii="Arial" w:hAnsi="Arial"/>
          <w:sz w:val="28"/>
          <w:lang w:val="en-US"/>
        </w:rPr>
        <w:tab/>
      </w:r>
      <w:r w:rsidRPr="009C5807">
        <w:t>Conditions for inter-frequency measurements are fulfilled according to Annex B.2.3 for a corresponding Band.</w:t>
      </w:r>
    </w:p>
    <w:p w14:paraId="6B4CE4C7" w14:textId="77777777" w:rsidR="000F609D" w:rsidRPr="00F641C2" w:rsidRDefault="000F609D" w:rsidP="000F609D">
      <w:pPr>
        <w:pStyle w:val="B10"/>
      </w:pPr>
      <w:r w:rsidRPr="009C5807">
        <w:t>-</w:t>
      </w:r>
      <w:r w:rsidRPr="009C5807">
        <w:tab/>
      </w:r>
      <w:r w:rsidRPr="004B7BCD">
        <w:t xml:space="preserve">Valid information for the </w:t>
      </w:r>
      <w:r>
        <w:t>SAN</w:t>
      </w:r>
      <w:r w:rsidRPr="004B7BCD">
        <w:t xml:space="preserve"> serving the target cell has been provided</w:t>
      </w:r>
      <w:r w:rsidRPr="009C5807">
        <w:t>.</w:t>
      </w:r>
    </w:p>
    <w:p w14:paraId="7FF1993B" w14:textId="77777777" w:rsidR="000F609D" w:rsidRPr="009C5807" w:rsidRDefault="000F609D" w:rsidP="000F609D">
      <w:pPr>
        <w:pStyle w:val="TH"/>
        <w:rPr>
          <w:lang w:eastAsia="zh-CN"/>
        </w:rPr>
      </w:pPr>
      <w:r w:rsidRPr="009C5807">
        <w:t xml:space="preserve">Table </w:t>
      </w:r>
      <w:r>
        <w:rPr>
          <w:lang w:eastAsia="zh-CN"/>
        </w:rPr>
        <w:t>10.1.14C</w:t>
      </w:r>
      <w:r w:rsidRPr="009C5807">
        <w:rPr>
          <w:lang w:eastAsia="zh-CN"/>
        </w:rPr>
        <w:t>.1.1</w:t>
      </w:r>
      <w:r w:rsidRPr="009C5807">
        <w:t xml:space="preserve">-1: </w:t>
      </w:r>
      <w:r w:rsidRPr="009C5807">
        <w:rPr>
          <w:lang w:eastAsia="zh-CN"/>
        </w:rPr>
        <w:t>SS-SINR</w:t>
      </w:r>
      <w:r w:rsidRPr="009C5807">
        <w:t xml:space="preserve"> Inter frequency absolute accuracy</w:t>
      </w:r>
      <w:r w:rsidRPr="009C5807">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0F609D" w:rsidRPr="009C5807" w14:paraId="3BB48B25" w14:textId="77777777" w:rsidTr="00E65BA1">
        <w:trPr>
          <w:trHeight w:val="187"/>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72906D15" w14:textId="77777777" w:rsidR="000F609D" w:rsidRPr="009C5807" w:rsidRDefault="000F609D" w:rsidP="00E65BA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29B5BA30" w14:textId="77777777" w:rsidR="000F609D" w:rsidRPr="009C5807" w:rsidRDefault="000F609D" w:rsidP="00E65BA1">
            <w:pPr>
              <w:pStyle w:val="TAH"/>
            </w:pPr>
            <w:r w:rsidRPr="009C5807">
              <w:t>Conditions</w:t>
            </w:r>
          </w:p>
        </w:tc>
      </w:tr>
      <w:tr w:rsidR="000F609D" w:rsidRPr="009C5807" w14:paraId="43A87474" w14:textId="77777777" w:rsidTr="00E65BA1">
        <w:trPr>
          <w:trHeight w:val="187"/>
          <w:jc w:val="center"/>
        </w:trPr>
        <w:tc>
          <w:tcPr>
            <w:tcW w:w="1035" w:type="dxa"/>
            <w:tcBorders>
              <w:top w:val="single" w:sz="4" w:space="0" w:color="auto"/>
              <w:left w:val="single" w:sz="4" w:space="0" w:color="auto"/>
              <w:right w:val="single" w:sz="4" w:space="0" w:color="auto"/>
            </w:tcBorders>
            <w:shd w:val="clear" w:color="auto" w:fill="auto"/>
          </w:tcPr>
          <w:p w14:paraId="184ADDC4" w14:textId="77777777" w:rsidR="000F609D" w:rsidRPr="009C5807" w:rsidRDefault="000F609D" w:rsidP="00E65BA1">
            <w:pPr>
              <w:pStyle w:val="TAH"/>
            </w:pPr>
            <w:r w:rsidRPr="009C5807">
              <w:t>Normal condition</w:t>
            </w:r>
          </w:p>
        </w:tc>
        <w:tc>
          <w:tcPr>
            <w:tcW w:w="1047" w:type="dxa"/>
            <w:tcBorders>
              <w:top w:val="single" w:sz="4" w:space="0" w:color="auto"/>
              <w:left w:val="single" w:sz="4" w:space="0" w:color="auto"/>
              <w:right w:val="single" w:sz="4" w:space="0" w:color="auto"/>
            </w:tcBorders>
            <w:shd w:val="clear" w:color="auto" w:fill="auto"/>
          </w:tcPr>
          <w:p w14:paraId="0B2A5B15" w14:textId="77777777" w:rsidR="000F609D" w:rsidRPr="009C5807" w:rsidRDefault="000F609D" w:rsidP="00E65BA1">
            <w:pPr>
              <w:pStyle w:val="TAH"/>
            </w:pPr>
            <w:r w:rsidRPr="009C5807">
              <w:t>Extreme condition</w:t>
            </w:r>
          </w:p>
        </w:tc>
        <w:tc>
          <w:tcPr>
            <w:tcW w:w="802" w:type="dxa"/>
            <w:vMerge w:val="restart"/>
            <w:tcBorders>
              <w:top w:val="single" w:sz="6" w:space="0" w:color="auto"/>
              <w:left w:val="single" w:sz="4" w:space="0" w:color="auto"/>
              <w:bottom w:val="single" w:sz="6" w:space="0" w:color="auto"/>
              <w:right w:val="single" w:sz="6" w:space="0" w:color="auto"/>
            </w:tcBorders>
            <w:shd w:val="clear" w:color="auto" w:fill="auto"/>
          </w:tcPr>
          <w:p w14:paraId="72F4F4EA" w14:textId="77777777" w:rsidR="000F609D" w:rsidRPr="009C5807" w:rsidRDefault="000F609D" w:rsidP="00E65BA1">
            <w:pPr>
              <w:pStyle w:val="TAH"/>
            </w:pPr>
            <w:r w:rsidRPr="009C5807">
              <w:t>SSB Ês/Iot</w:t>
            </w:r>
            <w:r w:rsidRPr="009C5807">
              <w:rPr>
                <w:vertAlign w:val="superscript"/>
                <w:lang w:eastAsia="zh-CN"/>
              </w:rPr>
              <w:t xml:space="preserve"> Note 3</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tcPr>
          <w:p w14:paraId="3A64AF5E" w14:textId="77777777" w:rsidR="000F609D" w:rsidRPr="009C5807" w:rsidRDefault="000F609D" w:rsidP="00E65BA1">
            <w:pPr>
              <w:pStyle w:val="TAH"/>
            </w:pPr>
            <w:r w:rsidRPr="009C5807">
              <w:t>Io</w:t>
            </w:r>
            <w:r w:rsidRPr="009C5807">
              <w:rPr>
                <w:vertAlign w:val="superscript"/>
                <w:lang w:eastAsia="zh-CN"/>
              </w:rPr>
              <w:t xml:space="preserve"> Note 1</w:t>
            </w:r>
            <w:r w:rsidRPr="009C5807">
              <w:t xml:space="preserve"> range</w:t>
            </w:r>
          </w:p>
        </w:tc>
      </w:tr>
      <w:tr w:rsidR="000F609D" w:rsidRPr="009C5807" w14:paraId="0F66947D" w14:textId="77777777" w:rsidTr="00E65BA1">
        <w:trPr>
          <w:trHeight w:val="187"/>
          <w:jc w:val="center"/>
        </w:trPr>
        <w:tc>
          <w:tcPr>
            <w:tcW w:w="1035" w:type="dxa"/>
            <w:tcBorders>
              <w:left w:val="single" w:sz="4" w:space="0" w:color="auto"/>
              <w:bottom w:val="single" w:sz="4" w:space="0" w:color="auto"/>
              <w:right w:val="single" w:sz="4" w:space="0" w:color="auto"/>
            </w:tcBorders>
            <w:shd w:val="clear" w:color="auto" w:fill="auto"/>
          </w:tcPr>
          <w:p w14:paraId="30884EAC" w14:textId="77777777" w:rsidR="000F609D" w:rsidRPr="009C5807" w:rsidRDefault="000F609D" w:rsidP="00E65BA1">
            <w:pPr>
              <w:pStyle w:val="TAH"/>
            </w:pPr>
          </w:p>
        </w:tc>
        <w:tc>
          <w:tcPr>
            <w:tcW w:w="1047" w:type="dxa"/>
            <w:tcBorders>
              <w:left w:val="single" w:sz="4" w:space="0" w:color="auto"/>
              <w:bottom w:val="single" w:sz="4" w:space="0" w:color="auto"/>
              <w:right w:val="single" w:sz="4" w:space="0" w:color="auto"/>
            </w:tcBorders>
            <w:shd w:val="clear" w:color="auto" w:fill="auto"/>
          </w:tcPr>
          <w:p w14:paraId="783EEFBA" w14:textId="77777777" w:rsidR="000F609D" w:rsidRPr="009C5807" w:rsidRDefault="000F609D" w:rsidP="00E65BA1">
            <w:pPr>
              <w:pStyle w:val="TAH"/>
            </w:pPr>
          </w:p>
        </w:tc>
        <w:tc>
          <w:tcPr>
            <w:tcW w:w="802" w:type="dxa"/>
            <w:vMerge/>
            <w:tcBorders>
              <w:top w:val="single" w:sz="6" w:space="0" w:color="auto"/>
              <w:left w:val="single" w:sz="4" w:space="0" w:color="auto"/>
              <w:bottom w:val="single" w:sz="6" w:space="0" w:color="auto"/>
              <w:right w:val="single" w:sz="6" w:space="0" w:color="auto"/>
            </w:tcBorders>
            <w:shd w:val="clear" w:color="auto" w:fill="auto"/>
          </w:tcPr>
          <w:p w14:paraId="217FAB35" w14:textId="77777777" w:rsidR="000F609D" w:rsidRPr="009C5807" w:rsidRDefault="000F609D" w:rsidP="00E65BA1">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9D7D4D0" w14:textId="77777777" w:rsidR="000F609D" w:rsidRPr="009C5807" w:rsidRDefault="000F609D" w:rsidP="00E65BA1">
            <w:pPr>
              <w:pStyle w:val="TAH"/>
            </w:pPr>
            <w:r w:rsidRPr="009C5807">
              <w:t>NR operating band groups</w:t>
            </w:r>
            <w:r w:rsidRPr="009C5807">
              <w:rPr>
                <w:vertAlign w:val="superscript"/>
              </w:rPr>
              <w:t xml:space="preserve"> </w:t>
            </w:r>
            <w:r w:rsidRPr="009C5807">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tcPr>
          <w:p w14:paraId="280C111F" w14:textId="77777777" w:rsidR="000F609D" w:rsidRPr="009C5807" w:rsidRDefault="000F609D"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71F998C4" w14:textId="77777777" w:rsidR="000F609D" w:rsidRPr="009C5807" w:rsidRDefault="000F609D" w:rsidP="00E65BA1">
            <w:pPr>
              <w:pStyle w:val="TAH"/>
            </w:pPr>
            <w:r w:rsidRPr="009C5807">
              <w:t>Maximum Io</w:t>
            </w:r>
          </w:p>
        </w:tc>
      </w:tr>
      <w:tr w:rsidR="000F609D" w:rsidRPr="009C5807" w14:paraId="49B5E0EF" w14:textId="77777777" w:rsidTr="00E65BA1">
        <w:trPr>
          <w:trHeight w:val="187"/>
          <w:jc w:val="center"/>
        </w:trPr>
        <w:tc>
          <w:tcPr>
            <w:tcW w:w="1035" w:type="dxa"/>
            <w:tcBorders>
              <w:top w:val="single" w:sz="4" w:space="0" w:color="auto"/>
              <w:left w:val="single" w:sz="4" w:space="0" w:color="auto"/>
              <w:right w:val="single" w:sz="6" w:space="0" w:color="auto"/>
            </w:tcBorders>
            <w:shd w:val="clear" w:color="auto" w:fill="auto"/>
          </w:tcPr>
          <w:p w14:paraId="6D5B277F" w14:textId="77777777" w:rsidR="000F609D" w:rsidRPr="009C5807" w:rsidRDefault="000F609D" w:rsidP="00E65BA1">
            <w:pPr>
              <w:pStyle w:val="TAH"/>
            </w:pPr>
            <w:r w:rsidRPr="009C5807">
              <w:t>dB</w:t>
            </w:r>
          </w:p>
        </w:tc>
        <w:tc>
          <w:tcPr>
            <w:tcW w:w="1047" w:type="dxa"/>
            <w:tcBorders>
              <w:top w:val="single" w:sz="4" w:space="0" w:color="auto"/>
              <w:left w:val="single" w:sz="6" w:space="0" w:color="auto"/>
              <w:right w:val="single" w:sz="6" w:space="0" w:color="auto"/>
            </w:tcBorders>
            <w:shd w:val="clear" w:color="auto" w:fill="auto"/>
          </w:tcPr>
          <w:p w14:paraId="5D0713CB" w14:textId="77777777" w:rsidR="000F609D" w:rsidRPr="009C5807" w:rsidRDefault="000F609D" w:rsidP="00E65BA1">
            <w:pPr>
              <w:pStyle w:val="TAH"/>
            </w:pPr>
            <w:r w:rsidRPr="009C5807">
              <w:t>dB</w:t>
            </w:r>
          </w:p>
        </w:tc>
        <w:tc>
          <w:tcPr>
            <w:tcW w:w="802" w:type="dxa"/>
            <w:tcBorders>
              <w:top w:val="single" w:sz="6" w:space="0" w:color="auto"/>
              <w:left w:val="single" w:sz="6" w:space="0" w:color="auto"/>
              <w:right w:val="single" w:sz="6" w:space="0" w:color="auto"/>
            </w:tcBorders>
            <w:shd w:val="clear" w:color="auto" w:fill="auto"/>
          </w:tcPr>
          <w:p w14:paraId="738F38DF" w14:textId="77777777" w:rsidR="000F609D" w:rsidRPr="009C5807" w:rsidRDefault="000F609D" w:rsidP="00E65BA1">
            <w:pPr>
              <w:pStyle w:val="TAH"/>
            </w:pPr>
            <w:r w:rsidRPr="009C5807">
              <w:t>dB</w:t>
            </w:r>
          </w:p>
        </w:tc>
        <w:tc>
          <w:tcPr>
            <w:tcW w:w="2298" w:type="dxa"/>
            <w:tcBorders>
              <w:top w:val="single" w:sz="6" w:space="0" w:color="auto"/>
              <w:left w:val="single" w:sz="6" w:space="0" w:color="auto"/>
              <w:right w:val="single" w:sz="4" w:space="0" w:color="auto"/>
            </w:tcBorders>
            <w:shd w:val="clear" w:color="auto" w:fill="auto"/>
          </w:tcPr>
          <w:p w14:paraId="5885B2F4" w14:textId="77777777" w:rsidR="000F609D" w:rsidRPr="009C5807" w:rsidRDefault="000F609D" w:rsidP="00E65BA1">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1C2F22DE" w14:textId="77777777" w:rsidR="000F609D" w:rsidRPr="009C5807" w:rsidRDefault="000F609D"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57596B86" w14:textId="77777777" w:rsidR="000F609D" w:rsidRPr="009C5807" w:rsidRDefault="000F609D"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1C7EDB75" w14:textId="77777777" w:rsidR="000F609D" w:rsidRPr="009C5807" w:rsidRDefault="000F609D" w:rsidP="00E65BA1">
            <w:pPr>
              <w:pStyle w:val="TAH"/>
            </w:pPr>
            <w:r w:rsidRPr="009C5807">
              <w:t>dBm/BW</w:t>
            </w:r>
            <w:r w:rsidRPr="009C5807">
              <w:rPr>
                <w:vertAlign w:val="subscript"/>
              </w:rPr>
              <w:t>Channel</w:t>
            </w:r>
          </w:p>
        </w:tc>
      </w:tr>
      <w:tr w:rsidR="000F609D" w:rsidRPr="009C5807" w14:paraId="4767C370" w14:textId="77777777" w:rsidTr="00E65BA1">
        <w:trPr>
          <w:trHeight w:val="187"/>
          <w:jc w:val="center"/>
        </w:trPr>
        <w:tc>
          <w:tcPr>
            <w:tcW w:w="1035" w:type="dxa"/>
            <w:tcBorders>
              <w:left w:val="single" w:sz="4" w:space="0" w:color="auto"/>
              <w:bottom w:val="single" w:sz="6" w:space="0" w:color="auto"/>
              <w:right w:val="single" w:sz="6" w:space="0" w:color="auto"/>
            </w:tcBorders>
            <w:shd w:val="clear" w:color="auto" w:fill="auto"/>
          </w:tcPr>
          <w:p w14:paraId="61830AF6" w14:textId="77777777" w:rsidR="000F609D" w:rsidRPr="009C5807" w:rsidRDefault="000F609D" w:rsidP="00E65BA1">
            <w:pPr>
              <w:pStyle w:val="TAH"/>
            </w:pPr>
          </w:p>
        </w:tc>
        <w:tc>
          <w:tcPr>
            <w:tcW w:w="1047" w:type="dxa"/>
            <w:tcBorders>
              <w:left w:val="single" w:sz="6" w:space="0" w:color="auto"/>
              <w:bottom w:val="single" w:sz="6" w:space="0" w:color="auto"/>
              <w:right w:val="single" w:sz="6" w:space="0" w:color="auto"/>
            </w:tcBorders>
            <w:shd w:val="clear" w:color="auto" w:fill="auto"/>
          </w:tcPr>
          <w:p w14:paraId="7B486CE9" w14:textId="77777777" w:rsidR="000F609D" w:rsidRPr="009C5807" w:rsidRDefault="000F609D" w:rsidP="00E65BA1">
            <w:pPr>
              <w:pStyle w:val="TAH"/>
            </w:pPr>
          </w:p>
        </w:tc>
        <w:tc>
          <w:tcPr>
            <w:tcW w:w="802" w:type="dxa"/>
            <w:tcBorders>
              <w:left w:val="single" w:sz="6" w:space="0" w:color="auto"/>
              <w:bottom w:val="single" w:sz="6" w:space="0" w:color="auto"/>
              <w:right w:val="single" w:sz="6" w:space="0" w:color="auto"/>
            </w:tcBorders>
            <w:shd w:val="clear" w:color="auto" w:fill="auto"/>
          </w:tcPr>
          <w:p w14:paraId="248715EA" w14:textId="77777777" w:rsidR="000F609D" w:rsidRPr="009C5807" w:rsidRDefault="000F609D" w:rsidP="00E65BA1">
            <w:pPr>
              <w:pStyle w:val="TAH"/>
            </w:pPr>
          </w:p>
        </w:tc>
        <w:tc>
          <w:tcPr>
            <w:tcW w:w="2298" w:type="dxa"/>
            <w:tcBorders>
              <w:left w:val="single" w:sz="6" w:space="0" w:color="auto"/>
              <w:bottom w:val="single" w:sz="6" w:space="0" w:color="auto"/>
              <w:right w:val="single" w:sz="4" w:space="0" w:color="auto"/>
            </w:tcBorders>
            <w:shd w:val="clear" w:color="auto" w:fill="auto"/>
          </w:tcPr>
          <w:p w14:paraId="6D6081CE" w14:textId="77777777" w:rsidR="000F609D" w:rsidRPr="009C5807" w:rsidRDefault="000F609D" w:rsidP="00E65BA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A60A6D6" w14:textId="77777777" w:rsidR="000F609D" w:rsidRPr="009C5807" w:rsidRDefault="000F609D" w:rsidP="00E65BA1">
            <w:pPr>
              <w:pStyle w:val="TAH"/>
              <w:rPr>
                <w:rFonts w:cs="Arial"/>
              </w:rPr>
            </w:pPr>
            <w:r w:rsidRPr="009C5807">
              <w:t>SCS</w:t>
            </w:r>
            <w:r w:rsidRPr="009C5807">
              <w:rPr>
                <w:vertAlign w:val="subscript"/>
              </w:rPr>
              <w:t>SSB</w:t>
            </w:r>
            <w:r w:rsidRPr="009C5807">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58ED21E7" w14:textId="77777777" w:rsidR="000F609D" w:rsidRPr="009C5807" w:rsidRDefault="000F609D"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1C3A83AC" w14:textId="77777777" w:rsidR="000F609D" w:rsidRPr="009C5807" w:rsidRDefault="000F609D" w:rsidP="00E65BA1">
            <w:pPr>
              <w:pStyle w:val="TAH"/>
            </w:pPr>
          </w:p>
        </w:tc>
        <w:tc>
          <w:tcPr>
            <w:tcW w:w="1440" w:type="dxa"/>
            <w:tcBorders>
              <w:left w:val="single" w:sz="6" w:space="0" w:color="auto"/>
              <w:bottom w:val="single" w:sz="6" w:space="0" w:color="auto"/>
              <w:right w:val="single" w:sz="4" w:space="0" w:color="auto"/>
            </w:tcBorders>
            <w:shd w:val="clear" w:color="auto" w:fill="auto"/>
          </w:tcPr>
          <w:p w14:paraId="0BDA0E6B" w14:textId="77777777" w:rsidR="000F609D" w:rsidRPr="009C5807" w:rsidRDefault="000F609D" w:rsidP="00E65BA1">
            <w:pPr>
              <w:pStyle w:val="TAH"/>
            </w:pPr>
          </w:p>
        </w:tc>
      </w:tr>
      <w:tr w:rsidR="00B72DB6" w:rsidRPr="009C5807" w14:paraId="5AB6274A" w14:textId="77777777" w:rsidTr="00E65BA1">
        <w:trPr>
          <w:trHeight w:val="187"/>
          <w:jc w:val="center"/>
        </w:trPr>
        <w:tc>
          <w:tcPr>
            <w:tcW w:w="1035" w:type="dxa"/>
            <w:tcBorders>
              <w:top w:val="single" w:sz="6" w:space="0" w:color="auto"/>
              <w:left w:val="single" w:sz="4" w:space="0" w:color="auto"/>
              <w:right w:val="single" w:sz="6" w:space="0" w:color="auto"/>
            </w:tcBorders>
            <w:shd w:val="clear" w:color="auto" w:fill="auto"/>
          </w:tcPr>
          <w:p w14:paraId="72C16BBD" w14:textId="6FD1D6C6" w:rsidR="00B72DB6" w:rsidRPr="009C5807" w:rsidRDefault="00B72DB6" w:rsidP="00B72DB6">
            <w:pPr>
              <w:pStyle w:val="TAC"/>
            </w:pPr>
            <w:r w:rsidRPr="009C5807">
              <w:sym w:font="Symbol" w:char="F0B1"/>
            </w:r>
            <w:r>
              <w:t>[3]</w:t>
            </w:r>
          </w:p>
        </w:tc>
        <w:tc>
          <w:tcPr>
            <w:tcW w:w="1047" w:type="dxa"/>
            <w:tcBorders>
              <w:top w:val="single" w:sz="6" w:space="0" w:color="auto"/>
              <w:left w:val="single" w:sz="6" w:space="0" w:color="auto"/>
              <w:right w:val="single" w:sz="6" w:space="0" w:color="auto"/>
            </w:tcBorders>
            <w:shd w:val="clear" w:color="auto" w:fill="auto"/>
          </w:tcPr>
          <w:p w14:paraId="014F1984" w14:textId="60296F73" w:rsidR="00B72DB6" w:rsidRPr="009C5807" w:rsidRDefault="00B72DB6" w:rsidP="00B72DB6">
            <w:pPr>
              <w:pStyle w:val="TAC"/>
            </w:pPr>
            <w:r w:rsidRPr="009C5807">
              <w:sym w:font="Symbol" w:char="F0B1"/>
            </w:r>
            <w:r>
              <w:t>[4]</w:t>
            </w:r>
          </w:p>
        </w:tc>
        <w:tc>
          <w:tcPr>
            <w:tcW w:w="802" w:type="dxa"/>
            <w:tcBorders>
              <w:top w:val="single" w:sz="6" w:space="0" w:color="auto"/>
              <w:left w:val="single" w:sz="6" w:space="0" w:color="auto"/>
              <w:right w:val="single" w:sz="6" w:space="0" w:color="auto"/>
            </w:tcBorders>
            <w:shd w:val="clear" w:color="auto" w:fill="auto"/>
          </w:tcPr>
          <w:p w14:paraId="52928723" w14:textId="6C08319F" w:rsidR="00B72DB6" w:rsidRPr="009C5807" w:rsidRDefault="00B72DB6" w:rsidP="00B72DB6">
            <w:pPr>
              <w:pStyle w:val="TAC"/>
            </w:pPr>
            <w:r w:rsidRPr="009C5807">
              <w:sym w:font="Symbol" w:char="F0B3"/>
            </w:r>
            <w:r w:rsidRPr="009C5807">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A572DAB" w14:textId="588C2300" w:rsidR="00B72DB6" w:rsidRPr="009C5807" w:rsidRDefault="00B72DB6" w:rsidP="00B72DB6">
            <w:pPr>
              <w:pStyle w:val="TAC"/>
            </w:pPr>
            <w:r w:rsidRPr="009C5807">
              <w:t>NR_FDD</w:t>
            </w:r>
            <w:r w:rsidRPr="003646C5">
              <w:t>_</w:t>
            </w:r>
            <w:r>
              <w:t>SAB</w:t>
            </w:r>
            <w:r w:rsidRPr="009C5807">
              <w:t>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D7FEA43" w14:textId="77777777" w:rsidR="00B72DB6" w:rsidRPr="009C5807" w:rsidRDefault="00B72DB6" w:rsidP="00B72DB6">
            <w:pPr>
              <w:pStyle w:val="TAC"/>
            </w:pPr>
            <w:r w:rsidRPr="009C5807">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0F4AF0D2" w14:textId="77777777" w:rsidR="00B72DB6" w:rsidRPr="009C5807" w:rsidRDefault="00B72DB6" w:rsidP="00B72DB6">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9057205"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0F3F976" w14:textId="77777777" w:rsidR="00B72DB6" w:rsidRPr="009C5807" w:rsidRDefault="00B72DB6" w:rsidP="00B72DB6">
            <w:pPr>
              <w:pStyle w:val="TAC"/>
            </w:pPr>
            <w:r w:rsidRPr="009C5807">
              <w:t>-50</w:t>
            </w:r>
          </w:p>
        </w:tc>
      </w:tr>
      <w:tr w:rsidR="00B72DB6" w:rsidRPr="009C5807" w14:paraId="7163C580" w14:textId="77777777" w:rsidTr="00E65BA1">
        <w:trPr>
          <w:trHeight w:val="187"/>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190E32CD" w14:textId="30A582FE" w:rsidR="00B72DB6" w:rsidRPr="009C5807" w:rsidRDefault="00B72DB6" w:rsidP="00B72DB6">
            <w:pPr>
              <w:pStyle w:val="TAC"/>
            </w:pPr>
            <w:r w:rsidRPr="009C5807">
              <w:sym w:font="Symbol" w:char="F0B1"/>
            </w:r>
            <w:r>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50BFB20C" w14:textId="589F198C" w:rsidR="00B72DB6" w:rsidRPr="009C5807" w:rsidRDefault="00B72DB6" w:rsidP="00B72DB6">
            <w:pPr>
              <w:pStyle w:val="TAC"/>
            </w:pPr>
            <w:r w:rsidRPr="009C5807">
              <w:sym w:font="Symbol" w:char="F0B1"/>
            </w:r>
            <w:r>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651E4C73" w14:textId="24E775D6" w:rsidR="00B72DB6" w:rsidRPr="009C5807" w:rsidRDefault="00B72DB6" w:rsidP="00B72DB6">
            <w:pPr>
              <w:pStyle w:val="TAC"/>
            </w:pPr>
            <w:r w:rsidRPr="009C5807">
              <w:sym w:font="Symbol" w:char="F0B3"/>
            </w:r>
            <w:r w:rsidRPr="009C5807">
              <w:t>-</w:t>
            </w:r>
            <w:r w:rsidRPr="009C5807">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667CCAA" w14:textId="4A670DD4" w:rsidR="00B72DB6" w:rsidRPr="009C5807" w:rsidRDefault="00B72DB6" w:rsidP="00B72DB6">
            <w:pPr>
              <w:pStyle w:val="TAC"/>
            </w:pPr>
            <w:r w:rsidRPr="009C5807">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67237D62" w14:textId="77777777" w:rsidR="00B72DB6" w:rsidRPr="009C5807" w:rsidRDefault="00B72DB6" w:rsidP="00B72DB6">
            <w:pPr>
              <w:pStyle w:val="TAC"/>
            </w:pPr>
            <w:r w:rsidRPr="009C5807">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578DFA75" w14:textId="77777777" w:rsidR="00B72DB6" w:rsidRPr="009C5807" w:rsidRDefault="00B72DB6" w:rsidP="00B72DB6">
            <w:pPr>
              <w:pStyle w:val="TAC"/>
              <w:rPr>
                <w:lang w:eastAsia="zh-CN"/>
              </w:rPr>
            </w:pPr>
            <w:r w:rsidRPr="009C5807">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7CCE3CE2" w14:textId="77777777" w:rsidR="00B72DB6" w:rsidRPr="009C5807" w:rsidRDefault="00B72DB6" w:rsidP="00B72DB6">
            <w:pPr>
              <w:pStyle w:val="TAC"/>
            </w:pPr>
            <w:r w:rsidRPr="009C5807">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0F0296E7" w14:textId="77777777" w:rsidR="00B72DB6" w:rsidRPr="009C5807" w:rsidRDefault="00B72DB6" w:rsidP="00B72DB6">
            <w:pPr>
              <w:pStyle w:val="TAC"/>
            </w:pPr>
            <w:r w:rsidRPr="009C5807">
              <w:t>Note 2</w:t>
            </w:r>
          </w:p>
        </w:tc>
      </w:tr>
      <w:tr w:rsidR="000F609D" w:rsidRPr="009C5807" w14:paraId="70954243"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B9CB870" w14:textId="77777777" w:rsidR="000F609D" w:rsidRPr="009C5807" w:rsidRDefault="000F609D" w:rsidP="00E65BA1">
            <w:pPr>
              <w:pStyle w:val="TAN"/>
            </w:pPr>
            <w:r w:rsidRPr="009C5807">
              <w:t>NOTE 1:</w:t>
            </w:r>
            <w:r w:rsidRPr="009C5807">
              <w:tab/>
              <w:t>Io is assumed to have constant EPRE across the bandwidth.</w:t>
            </w:r>
          </w:p>
          <w:p w14:paraId="665C5AC1" w14:textId="77777777" w:rsidR="000F609D" w:rsidRPr="009C5807" w:rsidRDefault="000F609D" w:rsidP="00E65BA1">
            <w:pPr>
              <w:pStyle w:val="TAN"/>
              <w:rPr>
                <w:rFonts w:cs="Arial"/>
              </w:rPr>
            </w:pPr>
            <w:r w:rsidRPr="009C5807">
              <w:rPr>
                <w:rFonts w:cs="Arial"/>
              </w:rPr>
              <w:t>N</w:t>
            </w:r>
            <w:r w:rsidRPr="009C5807">
              <w:rPr>
                <w:rFonts w:cs="Arial"/>
                <w:lang w:eastAsia="zh-CN"/>
              </w:rPr>
              <w:t>OTE</w:t>
            </w:r>
            <w:r w:rsidRPr="009C5807">
              <w:rPr>
                <w:rFonts w:cs="Arial"/>
              </w:rPr>
              <w:t xml:space="preserve"> 2:</w:t>
            </w:r>
            <w:r w:rsidRPr="009C5807">
              <w:rPr>
                <w:rFonts w:cs="Arial"/>
              </w:rPr>
              <w:tab/>
              <w:t>The same bands and the same Io conditions for each band apply for this requirement as for the corresponding highest accuracy requirement.</w:t>
            </w:r>
          </w:p>
          <w:p w14:paraId="0012958E" w14:textId="77777777" w:rsidR="000F609D" w:rsidRPr="009C5807" w:rsidRDefault="000F609D" w:rsidP="00E65BA1">
            <w:pPr>
              <w:pStyle w:val="TAN"/>
              <w:rPr>
                <w:rFonts w:cs="Arial"/>
              </w:rPr>
            </w:pPr>
            <w:r w:rsidRPr="009C5807">
              <w:rPr>
                <w:rFonts w:cs="Arial"/>
              </w:rPr>
              <w:t>NOTE 3:</w:t>
            </w:r>
            <w:r w:rsidRPr="009C5807">
              <w:rPr>
                <w:rFonts w:cs="Arial"/>
              </w:rPr>
              <w:tab/>
              <w:t xml:space="preserve">The requirements apply for SSB Ês/Iot </w:t>
            </w:r>
            <w:r w:rsidRPr="009C5807">
              <w:rPr>
                <w:rFonts w:cs="Arial" w:hint="eastAsia"/>
              </w:rPr>
              <w:t>≤</w:t>
            </w:r>
            <w:r w:rsidRPr="009C5807">
              <w:rPr>
                <w:rFonts w:cs="Arial"/>
              </w:rPr>
              <w:t xml:space="preserve"> 25 dB.</w:t>
            </w:r>
          </w:p>
          <w:p w14:paraId="64000A3A" w14:textId="77777777" w:rsidR="000F609D" w:rsidRPr="009C5807" w:rsidRDefault="000F609D" w:rsidP="00E65BA1">
            <w:pPr>
              <w:pStyle w:val="TAN"/>
            </w:pPr>
            <w:r w:rsidRPr="009C5807">
              <w:rPr>
                <w:rFonts w:cs="Arial"/>
              </w:rPr>
              <w:t>NOTE 4:</w:t>
            </w:r>
            <w:r w:rsidRPr="009C5807">
              <w:rPr>
                <w:rFonts w:cs="Arial"/>
              </w:rPr>
              <w:tab/>
            </w:r>
            <w:r w:rsidRPr="009C5807">
              <w:t>NR operating band groups in FR1 are as defined in clause 3.5.2.</w:t>
            </w:r>
          </w:p>
        </w:tc>
      </w:tr>
    </w:tbl>
    <w:p w14:paraId="291C0119" w14:textId="77777777" w:rsidR="000F609D" w:rsidRPr="009C5807" w:rsidRDefault="000F609D" w:rsidP="000F609D">
      <w:pPr>
        <w:rPr>
          <w:lang w:eastAsia="ko-KR"/>
        </w:rPr>
      </w:pPr>
    </w:p>
    <w:p w14:paraId="3262E031" w14:textId="77777777" w:rsidR="000F609D" w:rsidRPr="009C5807" w:rsidRDefault="000F609D" w:rsidP="000F609D">
      <w:pPr>
        <w:pStyle w:val="Heading5"/>
      </w:pPr>
      <w:r>
        <w:rPr>
          <w:lang w:eastAsia="zh-CN"/>
        </w:rPr>
        <w:t>10.1.14C</w:t>
      </w:r>
      <w:r w:rsidRPr="009C5807">
        <w:t>.1.2</w:t>
      </w:r>
      <w:r w:rsidRPr="009C5807">
        <w:tab/>
        <w:t>Relative Accuracy of SS-SINR in FR1</w:t>
      </w:r>
    </w:p>
    <w:p w14:paraId="163F95EA" w14:textId="77777777" w:rsidR="000F609D" w:rsidRPr="009C5807" w:rsidRDefault="000F609D" w:rsidP="000F609D">
      <w:pPr>
        <w:rPr>
          <w:rFonts w:cs="v4.2.0"/>
          <w:i/>
        </w:rPr>
      </w:pPr>
      <w:r w:rsidRPr="009C5807">
        <w:rPr>
          <w:rFonts w:cs="v4.2.0"/>
        </w:rPr>
        <w:t xml:space="preserve">The relative accuracy of </w:t>
      </w:r>
      <w:r w:rsidRPr="009C5807">
        <w:rPr>
          <w:rFonts w:cs="v4.2.0"/>
          <w:lang w:eastAsia="zh-CN"/>
        </w:rPr>
        <w:t>SS-SINR</w:t>
      </w:r>
      <w:r w:rsidRPr="009C5807">
        <w:rPr>
          <w:rFonts w:cs="v4.2.0"/>
        </w:rPr>
        <w:t xml:space="preserve"> in inter frequency case is defined as the SS-SINR measured from one cell on a frequency in FR1 compared to the SS-SINR measured from another cell on a different frequency in FR1.</w:t>
      </w:r>
    </w:p>
    <w:p w14:paraId="2066EAE1" w14:textId="77777777" w:rsidR="000F609D" w:rsidRPr="009C5807" w:rsidRDefault="000F609D" w:rsidP="000F609D">
      <w:pPr>
        <w:rPr>
          <w:rFonts w:cs="v4.2.0"/>
        </w:rPr>
      </w:pPr>
      <w:r w:rsidRPr="009C5807">
        <w:rPr>
          <w:rFonts w:cs="v4.2.0"/>
        </w:rPr>
        <w:t xml:space="preserve">The accuracy requirements in Table </w:t>
      </w:r>
      <w:r>
        <w:rPr>
          <w:rFonts w:cs="v4.2.0"/>
          <w:lang w:eastAsia="zh-CN"/>
        </w:rPr>
        <w:t>10.1.14C</w:t>
      </w:r>
      <w:r w:rsidRPr="009C5807">
        <w:rPr>
          <w:rFonts w:cs="v4.2.0"/>
          <w:lang w:eastAsia="zh-CN"/>
        </w:rPr>
        <w:t>.1.2</w:t>
      </w:r>
      <w:r w:rsidRPr="009C5807">
        <w:rPr>
          <w:rFonts w:cs="v4.2.0"/>
        </w:rPr>
        <w:t>-1 are valid under the following conditions:</w:t>
      </w:r>
    </w:p>
    <w:p w14:paraId="274D8E69" w14:textId="77777777" w:rsidR="000F609D" w:rsidRPr="009C5807" w:rsidRDefault="000F609D" w:rsidP="000F609D">
      <w:pPr>
        <w:pStyle w:val="B10"/>
        <w:rPr>
          <w:rFonts w:cs="v4.2.0"/>
        </w:rPr>
      </w:pPr>
      <w:r w:rsidRPr="009C5807">
        <w:t>-</w:t>
      </w:r>
      <w:r w:rsidRPr="009C5807">
        <w:rPr>
          <w:rFonts w:ascii="Arial" w:hAnsi="Arial"/>
          <w:sz w:val="28"/>
          <w:lang w:val="en-US"/>
        </w:rPr>
        <w:tab/>
      </w:r>
      <w:r w:rsidRPr="009C5807">
        <w:t>Conditions defined in clause 7.3 of TS 38.101-1 [18] for reference sensitivity are fulfilled.</w:t>
      </w:r>
    </w:p>
    <w:p w14:paraId="655D0F5C" w14:textId="77777777" w:rsidR="000F609D" w:rsidRPr="009C5807" w:rsidRDefault="000F609D" w:rsidP="000F609D">
      <w:pPr>
        <w:pStyle w:val="B10"/>
      </w:pPr>
      <w:r w:rsidRPr="009C5807">
        <w:t>-</w:t>
      </w:r>
      <w:r w:rsidRPr="009C5807">
        <w:rPr>
          <w:rFonts w:ascii="Arial" w:hAnsi="Arial"/>
          <w:sz w:val="28"/>
          <w:lang w:val="en-US"/>
        </w:rPr>
        <w:tab/>
      </w:r>
      <w:r w:rsidRPr="009C5807">
        <w:t>Conditions for inter-frequency measurements are fulfilled according to Annex B.2.3 for a corresponding Band.</w:t>
      </w:r>
    </w:p>
    <w:p w14:paraId="3E23259F" w14:textId="77777777" w:rsidR="000F609D" w:rsidRPr="009C5807" w:rsidRDefault="000F609D" w:rsidP="000F609D">
      <w:pPr>
        <w:pStyle w:val="B10"/>
        <w:rPr>
          <w:rFonts w:cs="v4.2.0"/>
          <w:sz w:val="18"/>
        </w:rPr>
      </w:pPr>
      <w:r w:rsidRPr="009C5807">
        <w:t>-</w:t>
      </w:r>
      <w:r w:rsidRPr="009C5807">
        <w:rPr>
          <w:rFonts w:ascii="Arial" w:hAnsi="Arial"/>
          <w:sz w:val="28"/>
          <w:lang w:val="en-US"/>
        </w:rPr>
        <w:tab/>
      </w:r>
      <w:r w:rsidRPr="009C5807">
        <w:t>|SSB_RP1</w:t>
      </w:r>
      <w:r w:rsidRPr="009C5807">
        <w:rPr>
          <w:vertAlign w:val="subscript"/>
        </w:rPr>
        <w:t>dBm</w:t>
      </w:r>
      <w:r w:rsidRPr="009C5807">
        <w:t xml:space="preserve"> - SSB_RP2</w:t>
      </w:r>
      <w:r w:rsidRPr="009C5807">
        <w:rPr>
          <w:vertAlign w:val="subscript"/>
        </w:rPr>
        <w:t>dBm</w:t>
      </w:r>
      <w:r w:rsidRPr="009C5807">
        <w:t xml:space="preserve">| </w:t>
      </w:r>
      <w:r w:rsidRPr="009C5807">
        <w:rPr>
          <w:rFonts w:hint="eastAsia"/>
        </w:rPr>
        <w:t>≤</w:t>
      </w:r>
      <w:r w:rsidRPr="009C5807">
        <w:t xml:space="preserve"> 27 dB</w:t>
      </w:r>
    </w:p>
    <w:p w14:paraId="65671F7F" w14:textId="77777777" w:rsidR="000F609D" w:rsidRDefault="000F609D" w:rsidP="000F609D">
      <w:pPr>
        <w:pStyle w:val="B10"/>
      </w:pPr>
      <w:r w:rsidRPr="009C5807">
        <w:t>-</w:t>
      </w:r>
      <w:r w:rsidRPr="009C5807">
        <w:rPr>
          <w:rFonts w:ascii="Arial" w:hAnsi="Arial"/>
          <w:sz w:val="28"/>
          <w:lang w:val="en-US"/>
        </w:rPr>
        <w:tab/>
      </w:r>
      <w:r w:rsidRPr="009C5807">
        <w:t xml:space="preserve">| Channel 1_Io </w:t>
      </w:r>
      <w:r w:rsidRPr="009C5807">
        <w:noBreakHyphen/>
        <w:t xml:space="preserve">Channel 2_Io | </w:t>
      </w:r>
      <w:r w:rsidRPr="009C5807">
        <w:sym w:font="Symbol" w:char="F0A3"/>
      </w:r>
      <w:r w:rsidRPr="009C5807">
        <w:t xml:space="preserve"> 20 dB</w:t>
      </w:r>
    </w:p>
    <w:p w14:paraId="40304A11" w14:textId="77777777" w:rsidR="000F609D" w:rsidRPr="00F641C2" w:rsidRDefault="000F609D" w:rsidP="000F609D">
      <w:pPr>
        <w:pStyle w:val="B10"/>
      </w:pPr>
      <w:r w:rsidRPr="009C5807">
        <w:t>-</w:t>
      </w:r>
      <w:r w:rsidRPr="009C5807">
        <w:tab/>
      </w:r>
      <w:r w:rsidRPr="004B7BCD">
        <w:t xml:space="preserve">Valid information for the </w:t>
      </w:r>
      <w:r>
        <w:t>SAN</w:t>
      </w:r>
      <w:r w:rsidRPr="004B7BCD">
        <w:t xml:space="preserve"> serving the target cell has been provided</w:t>
      </w:r>
      <w:r w:rsidRPr="009C5807">
        <w:t>.</w:t>
      </w:r>
    </w:p>
    <w:p w14:paraId="17963C7B" w14:textId="77777777" w:rsidR="000F609D" w:rsidRPr="009C5807" w:rsidRDefault="000F609D" w:rsidP="000F609D">
      <w:pPr>
        <w:pStyle w:val="TH"/>
        <w:rPr>
          <w:sz w:val="22"/>
          <w:szCs w:val="22"/>
          <w:lang w:eastAsia="zh-CN"/>
        </w:rPr>
      </w:pPr>
      <w:r w:rsidRPr="009C5807">
        <w:t xml:space="preserve">Table </w:t>
      </w:r>
      <w:r>
        <w:rPr>
          <w:lang w:eastAsia="zh-CN"/>
        </w:rPr>
        <w:t>10.1.14C</w:t>
      </w:r>
      <w:r w:rsidRPr="009C5807">
        <w:rPr>
          <w:lang w:eastAsia="zh-CN"/>
        </w:rPr>
        <w:t>.1.2</w:t>
      </w:r>
      <w:r w:rsidRPr="009C5807">
        <w:t xml:space="preserve">-1: </w:t>
      </w:r>
      <w:r w:rsidRPr="009C5807">
        <w:rPr>
          <w:lang w:eastAsia="zh-CN"/>
        </w:rPr>
        <w:t>SS-SINR</w:t>
      </w:r>
      <w:r w:rsidRPr="009C5807">
        <w:t xml:space="preserve"> Inter frequency relative accuracy</w:t>
      </w:r>
      <w:r w:rsidRPr="009C5807">
        <w:rPr>
          <w:sz w:val="22"/>
          <w:szCs w:val="22"/>
          <w:lang w:eastAsia="zh-CN"/>
        </w:rPr>
        <w:t xml:space="preserve"> in FR1</w:t>
      </w:r>
    </w:p>
    <w:tbl>
      <w:tblPr>
        <w:tblW w:w="10172" w:type="dxa"/>
        <w:jc w:val="center"/>
        <w:tblLook w:val="01E0" w:firstRow="1" w:lastRow="1" w:firstColumn="1" w:lastColumn="1" w:noHBand="0" w:noVBand="0"/>
      </w:tblPr>
      <w:tblGrid>
        <w:gridCol w:w="1033"/>
        <w:gridCol w:w="1047"/>
        <w:gridCol w:w="951"/>
        <w:gridCol w:w="2122"/>
        <w:gridCol w:w="1107"/>
        <w:gridCol w:w="1032"/>
        <w:gridCol w:w="1440"/>
        <w:gridCol w:w="1440"/>
      </w:tblGrid>
      <w:tr w:rsidR="000F609D" w:rsidRPr="009C5807" w14:paraId="43C38487" w14:textId="77777777" w:rsidTr="00E65BA1">
        <w:trPr>
          <w:jc w:val="center"/>
        </w:trPr>
        <w:tc>
          <w:tcPr>
            <w:tcW w:w="2080"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799AE70A" w14:textId="77777777" w:rsidR="000F609D" w:rsidRPr="009C5807" w:rsidRDefault="000F609D" w:rsidP="00E65BA1">
            <w:pPr>
              <w:pStyle w:val="TAH"/>
            </w:pPr>
            <w:r w:rsidRPr="009C5807">
              <w:t>Accuracy</w:t>
            </w:r>
          </w:p>
        </w:tc>
        <w:tc>
          <w:tcPr>
            <w:tcW w:w="8092"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469E58DA" w14:textId="77777777" w:rsidR="000F609D" w:rsidRPr="009C5807" w:rsidRDefault="000F609D" w:rsidP="00E65BA1">
            <w:pPr>
              <w:pStyle w:val="TAH"/>
            </w:pPr>
            <w:r w:rsidRPr="009C5807">
              <w:t>Conditions</w:t>
            </w:r>
          </w:p>
        </w:tc>
      </w:tr>
      <w:tr w:rsidR="000F609D" w:rsidRPr="009C5807" w14:paraId="363974FB" w14:textId="77777777" w:rsidTr="00E65BA1">
        <w:trPr>
          <w:jc w:val="center"/>
        </w:trPr>
        <w:tc>
          <w:tcPr>
            <w:tcW w:w="1033" w:type="dxa"/>
            <w:tcBorders>
              <w:top w:val="single" w:sz="4" w:space="0" w:color="auto"/>
              <w:left w:val="single" w:sz="4" w:space="0" w:color="auto"/>
              <w:right w:val="single" w:sz="4" w:space="0" w:color="auto"/>
            </w:tcBorders>
            <w:shd w:val="clear" w:color="auto" w:fill="auto"/>
          </w:tcPr>
          <w:p w14:paraId="3EC00702" w14:textId="77777777" w:rsidR="000F609D" w:rsidRPr="009C5807" w:rsidRDefault="000F609D" w:rsidP="00E65BA1">
            <w:pPr>
              <w:pStyle w:val="TAH"/>
            </w:pPr>
            <w:r w:rsidRPr="009C5807">
              <w:t>Normal condition</w:t>
            </w:r>
          </w:p>
        </w:tc>
        <w:tc>
          <w:tcPr>
            <w:tcW w:w="1047" w:type="dxa"/>
            <w:tcBorders>
              <w:top w:val="single" w:sz="4" w:space="0" w:color="auto"/>
              <w:left w:val="single" w:sz="4" w:space="0" w:color="auto"/>
              <w:right w:val="single" w:sz="4" w:space="0" w:color="auto"/>
            </w:tcBorders>
            <w:shd w:val="clear" w:color="auto" w:fill="auto"/>
          </w:tcPr>
          <w:p w14:paraId="67D9BB01" w14:textId="77777777" w:rsidR="000F609D" w:rsidRPr="009C5807" w:rsidRDefault="000F609D" w:rsidP="00E65BA1">
            <w:pPr>
              <w:pStyle w:val="TAH"/>
            </w:pPr>
            <w:r w:rsidRPr="009C5807">
              <w:t>Extreme condition</w:t>
            </w:r>
          </w:p>
        </w:tc>
        <w:tc>
          <w:tcPr>
            <w:tcW w:w="951" w:type="dxa"/>
            <w:tcBorders>
              <w:top w:val="single" w:sz="4" w:space="0" w:color="auto"/>
              <w:left w:val="single" w:sz="4" w:space="0" w:color="auto"/>
              <w:right w:val="single" w:sz="4" w:space="0" w:color="auto"/>
            </w:tcBorders>
            <w:shd w:val="clear" w:color="auto" w:fill="auto"/>
          </w:tcPr>
          <w:p w14:paraId="26E8090E" w14:textId="77777777" w:rsidR="000F609D" w:rsidRPr="009C5807" w:rsidRDefault="000F609D" w:rsidP="00E65BA1">
            <w:pPr>
              <w:pStyle w:val="TAH"/>
            </w:pPr>
            <w:r w:rsidRPr="009C5807">
              <w:t>SSB Ês/Iot</w:t>
            </w:r>
            <w:r w:rsidRPr="009C5807">
              <w:rPr>
                <w:vertAlign w:val="superscript"/>
                <w:lang w:eastAsia="zh-CN"/>
              </w:rPr>
              <w:t xml:space="preserve"> </w:t>
            </w:r>
          </w:p>
        </w:tc>
        <w:tc>
          <w:tcPr>
            <w:tcW w:w="7141" w:type="dxa"/>
            <w:gridSpan w:val="5"/>
            <w:tcBorders>
              <w:top w:val="single" w:sz="6" w:space="0" w:color="auto"/>
              <w:left w:val="single" w:sz="4" w:space="0" w:color="auto"/>
              <w:bottom w:val="single" w:sz="6" w:space="0" w:color="auto"/>
              <w:right w:val="single" w:sz="4" w:space="0" w:color="auto"/>
            </w:tcBorders>
            <w:shd w:val="clear" w:color="auto" w:fill="auto"/>
          </w:tcPr>
          <w:p w14:paraId="2EB022F2" w14:textId="77777777" w:rsidR="000F609D" w:rsidRPr="009C5807" w:rsidRDefault="000F609D" w:rsidP="00E65BA1">
            <w:pPr>
              <w:pStyle w:val="TAH"/>
            </w:pPr>
            <w:r w:rsidRPr="009C5807">
              <w:t>Io</w:t>
            </w:r>
            <w:r w:rsidRPr="009C5807">
              <w:rPr>
                <w:vertAlign w:val="superscript"/>
                <w:lang w:eastAsia="zh-CN"/>
              </w:rPr>
              <w:t xml:space="preserve"> Note 1</w:t>
            </w:r>
            <w:r w:rsidRPr="009C5807">
              <w:t xml:space="preserve"> range</w:t>
            </w:r>
          </w:p>
        </w:tc>
      </w:tr>
      <w:tr w:rsidR="000F609D" w:rsidRPr="009C5807" w14:paraId="78DA70F3" w14:textId="77777777" w:rsidTr="00E65BA1">
        <w:trPr>
          <w:jc w:val="center"/>
        </w:trPr>
        <w:tc>
          <w:tcPr>
            <w:tcW w:w="1033" w:type="dxa"/>
            <w:tcBorders>
              <w:left w:val="single" w:sz="4" w:space="0" w:color="auto"/>
              <w:bottom w:val="single" w:sz="4" w:space="0" w:color="auto"/>
              <w:right w:val="single" w:sz="4" w:space="0" w:color="auto"/>
            </w:tcBorders>
            <w:shd w:val="clear" w:color="auto" w:fill="auto"/>
          </w:tcPr>
          <w:p w14:paraId="55499D92" w14:textId="77777777" w:rsidR="000F609D" w:rsidRPr="009C5807" w:rsidRDefault="000F609D" w:rsidP="00E65BA1">
            <w:pPr>
              <w:pStyle w:val="TAH"/>
            </w:pPr>
          </w:p>
        </w:tc>
        <w:tc>
          <w:tcPr>
            <w:tcW w:w="1047" w:type="dxa"/>
            <w:tcBorders>
              <w:left w:val="single" w:sz="4" w:space="0" w:color="auto"/>
              <w:bottom w:val="single" w:sz="4" w:space="0" w:color="auto"/>
              <w:right w:val="single" w:sz="4" w:space="0" w:color="auto"/>
            </w:tcBorders>
            <w:shd w:val="clear" w:color="auto" w:fill="auto"/>
          </w:tcPr>
          <w:p w14:paraId="042EC275" w14:textId="77777777" w:rsidR="000F609D" w:rsidRPr="009C5807" w:rsidRDefault="000F609D" w:rsidP="00E65BA1">
            <w:pPr>
              <w:pStyle w:val="TAH"/>
            </w:pPr>
          </w:p>
        </w:tc>
        <w:tc>
          <w:tcPr>
            <w:tcW w:w="951" w:type="dxa"/>
            <w:tcBorders>
              <w:left w:val="single" w:sz="4" w:space="0" w:color="auto"/>
              <w:bottom w:val="single" w:sz="4" w:space="0" w:color="auto"/>
              <w:right w:val="single" w:sz="4" w:space="0" w:color="auto"/>
            </w:tcBorders>
            <w:shd w:val="clear" w:color="auto" w:fill="auto"/>
          </w:tcPr>
          <w:p w14:paraId="10E6C2DF" w14:textId="77777777" w:rsidR="000F609D" w:rsidRPr="009C5807" w:rsidRDefault="000F609D" w:rsidP="00E65BA1">
            <w:pPr>
              <w:pStyle w:val="TAH"/>
            </w:pPr>
            <w:r w:rsidRPr="009C5807">
              <w:rPr>
                <w:vertAlign w:val="superscript"/>
                <w:lang w:eastAsia="zh-CN"/>
              </w:rPr>
              <w:t>Note 2,4</w:t>
            </w:r>
          </w:p>
        </w:tc>
        <w:tc>
          <w:tcPr>
            <w:tcW w:w="2122" w:type="dxa"/>
            <w:tcBorders>
              <w:top w:val="single" w:sz="6" w:space="0" w:color="auto"/>
              <w:left w:val="single" w:sz="4" w:space="0" w:color="auto"/>
              <w:bottom w:val="single" w:sz="6" w:space="0" w:color="auto"/>
              <w:right w:val="single" w:sz="4" w:space="0" w:color="auto"/>
            </w:tcBorders>
            <w:shd w:val="clear" w:color="auto" w:fill="auto"/>
          </w:tcPr>
          <w:p w14:paraId="7FCE999C" w14:textId="77777777" w:rsidR="000F609D" w:rsidRPr="009C5807" w:rsidRDefault="000F609D" w:rsidP="00E65BA1">
            <w:pPr>
              <w:pStyle w:val="TAH"/>
            </w:pPr>
            <w:r w:rsidRPr="009C5807">
              <w:t>NR operating band groups</w:t>
            </w:r>
            <w:r w:rsidRPr="009C5807">
              <w:rPr>
                <w:vertAlign w:val="superscript"/>
              </w:rPr>
              <w:t xml:space="preserve"> Note 5</w:t>
            </w:r>
          </w:p>
        </w:tc>
        <w:tc>
          <w:tcPr>
            <w:tcW w:w="3579" w:type="dxa"/>
            <w:gridSpan w:val="3"/>
            <w:tcBorders>
              <w:top w:val="single" w:sz="4" w:space="0" w:color="auto"/>
              <w:left w:val="single" w:sz="4" w:space="0" w:color="auto"/>
              <w:bottom w:val="single" w:sz="6" w:space="0" w:color="auto"/>
              <w:right w:val="single" w:sz="6" w:space="0" w:color="auto"/>
            </w:tcBorders>
            <w:shd w:val="clear" w:color="auto" w:fill="auto"/>
          </w:tcPr>
          <w:p w14:paraId="33E7E325" w14:textId="77777777" w:rsidR="000F609D" w:rsidRPr="009C5807" w:rsidRDefault="000F609D"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6201C474" w14:textId="77777777" w:rsidR="000F609D" w:rsidRPr="009C5807" w:rsidRDefault="000F609D" w:rsidP="00E65BA1">
            <w:pPr>
              <w:pStyle w:val="TAH"/>
            </w:pPr>
            <w:r w:rsidRPr="009C5807">
              <w:t>Maximum Io</w:t>
            </w:r>
          </w:p>
        </w:tc>
      </w:tr>
      <w:tr w:rsidR="000F609D" w:rsidRPr="009C5807" w14:paraId="7FA31199" w14:textId="77777777" w:rsidTr="00E65BA1">
        <w:trPr>
          <w:trHeight w:val="308"/>
          <w:jc w:val="center"/>
        </w:trPr>
        <w:tc>
          <w:tcPr>
            <w:tcW w:w="1033" w:type="dxa"/>
            <w:tcBorders>
              <w:top w:val="single" w:sz="4" w:space="0" w:color="auto"/>
              <w:left w:val="single" w:sz="4" w:space="0" w:color="auto"/>
              <w:right w:val="single" w:sz="6" w:space="0" w:color="auto"/>
            </w:tcBorders>
            <w:shd w:val="clear" w:color="auto" w:fill="auto"/>
          </w:tcPr>
          <w:p w14:paraId="6F2C202C" w14:textId="77777777" w:rsidR="000F609D" w:rsidRPr="009C5807" w:rsidRDefault="000F609D" w:rsidP="00E65BA1">
            <w:pPr>
              <w:pStyle w:val="TAH"/>
            </w:pPr>
            <w:r w:rsidRPr="009C5807">
              <w:t>dB</w:t>
            </w:r>
          </w:p>
        </w:tc>
        <w:tc>
          <w:tcPr>
            <w:tcW w:w="1047" w:type="dxa"/>
            <w:tcBorders>
              <w:top w:val="single" w:sz="4" w:space="0" w:color="auto"/>
              <w:left w:val="single" w:sz="6" w:space="0" w:color="auto"/>
              <w:right w:val="single" w:sz="6" w:space="0" w:color="auto"/>
            </w:tcBorders>
            <w:shd w:val="clear" w:color="auto" w:fill="auto"/>
          </w:tcPr>
          <w:p w14:paraId="0ADB289B" w14:textId="77777777" w:rsidR="000F609D" w:rsidRPr="009C5807" w:rsidRDefault="000F609D" w:rsidP="00E65BA1">
            <w:pPr>
              <w:pStyle w:val="TAH"/>
            </w:pPr>
            <w:r w:rsidRPr="009C5807">
              <w:t>dB</w:t>
            </w:r>
          </w:p>
        </w:tc>
        <w:tc>
          <w:tcPr>
            <w:tcW w:w="951" w:type="dxa"/>
            <w:tcBorders>
              <w:top w:val="single" w:sz="4" w:space="0" w:color="auto"/>
              <w:left w:val="single" w:sz="6" w:space="0" w:color="auto"/>
              <w:right w:val="single" w:sz="6" w:space="0" w:color="auto"/>
            </w:tcBorders>
            <w:shd w:val="clear" w:color="auto" w:fill="auto"/>
          </w:tcPr>
          <w:p w14:paraId="14B17616" w14:textId="77777777" w:rsidR="000F609D" w:rsidRPr="009C5807" w:rsidRDefault="000F609D" w:rsidP="00E65BA1">
            <w:pPr>
              <w:pStyle w:val="TAH"/>
            </w:pPr>
            <w:r w:rsidRPr="009C5807">
              <w:t>dB</w:t>
            </w:r>
          </w:p>
        </w:tc>
        <w:tc>
          <w:tcPr>
            <w:tcW w:w="2122" w:type="dxa"/>
            <w:tcBorders>
              <w:top w:val="single" w:sz="6" w:space="0" w:color="auto"/>
              <w:left w:val="single" w:sz="6" w:space="0" w:color="auto"/>
              <w:right w:val="single" w:sz="4" w:space="0" w:color="auto"/>
            </w:tcBorders>
            <w:shd w:val="clear" w:color="auto" w:fill="auto"/>
          </w:tcPr>
          <w:p w14:paraId="770BF12C" w14:textId="77777777" w:rsidR="000F609D" w:rsidRPr="009C5807" w:rsidRDefault="000F609D" w:rsidP="00E65BA1">
            <w:pPr>
              <w:pStyle w:val="TAH"/>
            </w:pPr>
          </w:p>
        </w:tc>
        <w:tc>
          <w:tcPr>
            <w:tcW w:w="2139" w:type="dxa"/>
            <w:gridSpan w:val="2"/>
            <w:tcBorders>
              <w:top w:val="single" w:sz="6" w:space="0" w:color="auto"/>
              <w:left w:val="single" w:sz="4" w:space="0" w:color="auto"/>
              <w:bottom w:val="single" w:sz="6" w:space="0" w:color="auto"/>
              <w:right w:val="single" w:sz="6" w:space="0" w:color="auto"/>
            </w:tcBorders>
            <w:shd w:val="clear" w:color="auto" w:fill="auto"/>
          </w:tcPr>
          <w:p w14:paraId="20301441" w14:textId="77777777" w:rsidR="000F609D" w:rsidRPr="009C5807" w:rsidRDefault="000F609D"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6F85D169" w14:textId="77777777" w:rsidR="000F609D" w:rsidRPr="009C5807" w:rsidRDefault="000F609D"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7BBF9424" w14:textId="77777777" w:rsidR="000F609D" w:rsidRPr="009C5807" w:rsidRDefault="000F609D" w:rsidP="00E65BA1">
            <w:pPr>
              <w:pStyle w:val="TAH"/>
            </w:pPr>
            <w:r w:rsidRPr="009C5807">
              <w:t>dBm/BW</w:t>
            </w:r>
            <w:r w:rsidRPr="009C5807">
              <w:rPr>
                <w:vertAlign w:val="subscript"/>
              </w:rPr>
              <w:t>Channel</w:t>
            </w:r>
          </w:p>
        </w:tc>
      </w:tr>
      <w:tr w:rsidR="000F609D" w:rsidRPr="009C5807" w14:paraId="45806966" w14:textId="77777777" w:rsidTr="00E65BA1">
        <w:trPr>
          <w:trHeight w:val="307"/>
          <w:jc w:val="center"/>
        </w:trPr>
        <w:tc>
          <w:tcPr>
            <w:tcW w:w="1033" w:type="dxa"/>
            <w:tcBorders>
              <w:left w:val="single" w:sz="4" w:space="0" w:color="auto"/>
              <w:bottom w:val="single" w:sz="6" w:space="0" w:color="auto"/>
              <w:right w:val="single" w:sz="6" w:space="0" w:color="auto"/>
            </w:tcBorders>
            <w:shd w:val="clear" w:color="auto" w:fill="auto"/>
          </w:tcPr>
          <w:p w14:paraId="2DE729C5" w14:textId="77777777" w:rsidR="000F609D" w:rsidRPr="009C5807" w:rsidRDefault="000F609D" w:rsidP="00E65BA1">
            <w:pPr>
              <w:pStyle w:val="TAH"/>
            </w:pPr>
          </w:p>
        </w:tc>
        <w:tc>
          <w:tcPr>
            <w:tcW w:w="1047" w:type="dxa"/>
            <w:tcBorders>
              <w:left w:val="single" w:sz="6" w:space="0" w:color="auto"/>
              <w:bottom w:val="single" w:sz="6" w:space="0" w:color="auto"/>
              <w:right w:val="single" w:sz="6" w:space="0" w:color="auto"/>
            </w:tcBorders>
            <w:shd w:val="clear" w:color="auto" w:fill="auto"/>
          </w:tcPr>
          <w:p w14:paraId="183A48E7" w14:textId="77777777" w:rsidR="000F609D" w:rsidRPr="009C5807" w:rsidRDefault="000F609D" w:rsidP="00E65BA1">
            <w:pPr>
              <w:pStyle w:val="TAH"/>
            </w:pPr>
          </w:p>
        </w:tc>
        <w:tc>
          <w:tcPr>
            <w:tcW w:w="951" w:type="dxa"/>
            <w:tcBorders>
              <w:left w:val="single" w:sz="6" w:space="0" w:color="auto"/>
              <w:bottom w:val="single" w:sz="6" w:space="0" w:color="auto"/>
              <w:right w:val="single" w:sz="6" w:space="0" w:color="auto"/>
            </w:tcBorders>
            <w:shd w:val="clear" w:color="auto" w:fill="auto"/>
          </w:tcPr>
          <w:p w14:paraId="0F0B93B2" w14:textId="77777777" w:rsidR="000F609D" w:rsidRPr="009C5807" w:rsidRDefault="000F609D" w:rsidP="00E65BA1">
            <w:pPr>
              <w:pStyle w:val="TAH"/>
            </w:pPr>
          </w:p>
        </w:tc>
        <w:tc>
          <w:tcPr>
            <w:tcW w:w="2122" w:type="dxa"/>
            <w:tcBorders>
              <w:left w:val="single" w:sz="6" w:space="0" w:color="auto"/>
              <w:bottom w:val="single" w:sz="6" w:space="0" w:color="auto"/>
              <w:right w:val="single" w:sz="4" w:space="0" w:color="auto"/>
            </w:tcBorders>
            <w:shd w:val="clear" w:color="auto" w:fill="auto"/>
          </w:tcPr>
          <w:p w14:paraId="4A2DDBF8" w14:textId="77777777" w:rsidR="000F609D" w:rsidRPr="009C5807" w:rsidRDefault="000F609D" w:rsidP="00E65BA1">
            <w:pPr>
              <w:pStyle w:val="TAH"/>
            </w:pP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5C5C9DCC" w14:textId="77777777" w:rsidR="000F609D" w:rsidRPr="009C5807" w:rsidRDefault="000F609D" w:rsidP="00E65BA1">
            <w:pPr>
              <w:pStyle w:val="TAH"/>
              <w:rPr>
                <w:rFonts w:cs="Arial"/>
              </w:rPr>
            </w:pPr>
            <w:r w:rsidRPr="009C5807">
              <w:t>SCS</w:t>
            </w:r>
            <w:r w:rsidRPr="009C5807">
              <w:rPr>
                <w:vertAlign w:val="subscript"/>
              </w:rPr>
              <w:t>SSB</w:t>
            </w:r>
            <w:r w:rsidRPr="009C5807">
              <w:rPr>
                <w:rFonts w:cs="Arial"/>
              </w:rPr>
              <w:t xml:space="preserve"> = 120 kHz</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681E79BE" w14:textId="77777777" w:rsidR="000F609D" w:rsidRPr="009C5807" w:rsidRDefault="000F609D" w:rsidP="00E65BA1">
            <w:pPr>
              <w:pStyle w:val="TAH"/>
              <w:rPr>
                <w:rFonts w:cs="Arial"/>
              </w:rPr>
            </w:pPr>
            <w:r w:rsidRPr="009C5807">
              <w:t>SCS</w:t>
            </w:r>
            <w:r w:rsidRPr="009C5807">
              <w:rPr>
                <w:vertAlign w:val="subscript"/>
              </w:rPr>
              <w:t>SSB</w:t>
            </w:r>
            <w:r w:rsidRPr="009C5807">
              <w:rPr>
                <w:rFonts w:cs="Arial"/>
              </w:rPr>
              <w:t xml:space="preserve"> = 240 kHz</w:t>
            </w:r>
          </w:p>
        </w:tc>
        <w:tc>
          <w:tcPr>
            <w:tcW w:w="1440" w:type="dxa"/>
            <w:tcBorders>
              <w:left w:val="single" w:sz="6" w:space="0" w:color="auto"/>
              <w:bottom w:val="single" w:sz="6" w:space="0" w:color="auto"/>
              <w:right w:val="single" w:sz="6" w:space="0" w:color="auto"/>
            </w:tcBorders>
            <w:shd w:val="clear" w:color="auto" w:fill="auto"/>
          </w:tcPr>
          <w:p w14:paraId="743157AB" w14:textId="77777777" w:rsidR="000F609D" w:rsidRPr="009C5807" w:rsidRDefault="000F609D" w:rsidP="00E65BA1">
            <w:pPr>
              <w:pStyle w:val="TAH"/>
            </w:pPr>
          </w:p>
        </w:tc>
        <w:tc>
          <w:tcPr>
            <w:tcW w:w="1440" w:type="dxa"/>
            <w:tcBorders>
              <w:left w:val="single" w:sz="6" w:space="0" w:color="auto"/>
              <w:bottom w:val="single" w:sz="6" w:space="0" w:color="auto"/>
              <w:right w:val="single" w:sz="4" w:space="0" w:color="auto"/>
            </w:tcBorders>
            <w:shd w:val="clear" w:color="auto" w:fill="auto"/>
          </w:tcPr>
          <w:p w14:paraId="23FD3FAC" w14:textId="77777777" w:rsidR="000F609D" w:rsidRPr="009C5807" w:rsidRDefault="000F609D" w:rsidP="00E65BA1">
            <w:pPr>
              <w:pStyle w:val="TAH"/>
            </w:pPr>
          </w:p>
        </w:tc>
      </w:tr>
      <w:tr w:rsidR="00B72DB6" w:rsidRPr="009C5807" w14:paraId="12965FB7" w14:textId="77777777" w:rsidTr="00E65BA1">
        <w:trPr>
          <w:jc w:val="center"/>
        </w:trPr>
        <w:tc>
          <w:tcPr>
            <w:tcW w:w="1033" w:type="dxa"/>
            <w:tcBorders>
              <w:top w:val="single" w:sz="6" w:space="0" w:color="auto"/>
              <w:left w:val="single" w:sz="4" w:space="0" w:color="auto"/>
              <w:right w:val="single" w:sz="6" w:space="0" w:color="auto"/>
            </w:tcBorders>
            <w:shd w:val="clear" w:color="auto" w:fill="auto"/>
          </w:tcPr>
          <w:p w14:paraId="6A584592" w14:textId="6AA3F071" w:rsidR="00B72DB6" w:rsidRPr="009C5807" w:rsidRDefault="00B72DB6" w:rsidP="00B72DB6">
            <w:pPr>
              <w:pStyle w:val="TAC"/>
              <w:rPr>
                <w:lang w:eastAsia="zh-CN"/>
              </w:rPr>
            </w:pPr>
            <w:r w:rsidRPr="009C5807">
              <w:sym w:font="Symbol" w:char="F0B1"/>
            </w:r>
            <w:r>
              <w:t>[3.5]</w:t>
            </w:r>
          </w:p>
        </w:tc>
        <w:tc>
          <w:tcPr>
            <w:tcW w:w="1047" w:type="dxa"/>
            <w:tcBorders>
              <w:top w:val="single" w:sz="6" w:space="0" w:color="auto"/>
              <w:left w:val="single" w:sz="6" w:space="0" w:color="auto"/>
              <w:right w:val="single" w:sz="6" w:space="0" w:color="auto"/>
            </w:tcBorders>
            <w:shd w:val="clear" w:color="auto" w:fill="auto"/>
          </w:tcPr>
          <w:p w14:paraId="5771D1DF" w14:textId="2E4BFE10" w:rsidR="00B72DB6" w:rsidRPr="009C5807" w:rsidRDefault="00B72DB6" w:rsidP="00B72DB6">
            <w:pPr>
              <w:pStyle w:val="TAC"/>
              <w:rPr>
                <w:lang w:eastAsia="zh-CN"/>
              </w:rPr>
            </w:pPr>
            <w:r w:rsidRPr="009C5807">
              <w:sym w:font="Symbol" w:char="F0B1"/>
            </w:r>
            <w:r>
              <w:t>[4]</w:t>
            </w:r>
          </w:p>
        </w:tc>
        <w:tc>
          <w:tcPr>
            <w:tcW w:w="951" w:type="dxa"/>
            <w:tcBorders>
              <w:top w:val="single" w:sz="6" w:space="0" w:color="auto"/>
              <w:left w:val="single" w:sz="6" w:space="0" w:color="auto"/>
              <w:right w:val="single" w:sz="6" w:space="0" w:color="auto"/>
            </w:tcBorders>
            <w:shd w:val="clear" w:color="auto" w:fill="auto"/>
          </w:tcPr>
          <w:p w14:paraId="448D3E10" w14:textId="6FB6E43E" w:rsidR="00B72DB6" w:rsidRPr="009C5807" w:rsidRDefault="00B72DB6" w:rsidP="00B72DB6">
            <w:pPr>
              <w:pStyle w:val="TAC"/>
            </w:pPr>
            <w:r w:rsidRPr="009C5807">
              <w:sym w:font="Symbol" w:char="F0B3"/>
            </w:r>
            <w:r w:rsidRPr="009C5807">
              <w:rPr>
                <w:lang w:eastAsia="zh-CN"/>
              </w:rPr>
              <w:t>-3</w:t>
            </w: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7992D4C9" w14:textId="157BED53" w:rsidR="00B72DB6" w:rsidRPr="009C5807" w:rsidRDefault="00B72DB6" w:rsidP="00B72DB6">
            <w:pPr>
              <w:pStyle w:val="TAC"/>
            </w:pPr>
            <w:r>
              <w:t>NR_FDD</w:t>
            </w:r>
            <w:r w:rsidRPr="003646C5">
              <w:t>_</w:t>
            </w:r>
            <w:r>
              <w:t>SAB_FR1_A</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10FA0F38" w14:textId="77777777" w:rsidR="00B72DB6" w:rsidRPr="009C5807" w:rsidRDefault="00B72DB6" w:rsidP="00B72DB6">
            <w:pPr>
              <w:pStyle w:val="TAC"/>
            </w:pPr>
            <w:r w:rsidRPr="009C5807">
              <w:t>-121</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642695E8" w14:textId="77777777" w:rsidR="00B72DB6" w:rsidRPr="009C5807" w:rsidRDefault="00B72DB6" w:rsidP="00B72DB6">
            <w:pPr>
              <w:pStyle w:val="TAC"/>
              <w:rPr>
                <w:rFonts w:cs="Arial"/>
              </w:rPr>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751D8D2"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9F7CD93" w14:textId="77777777" w:rsidR="00B72DB6" w:rsidRPr="009C5807" w:rsidRDefault="00B72DB6" w:rsidP="00B72DB6">
            <w:pPr>
              <w:pStyle w:val="TAC"/>
            </w:pPr>
            <w:r w:rsidRPr="009C5807">
              <w:t>-50</w:t>
            </w:r>
          </w:p>
        </w:tc>
      </w:tr>
      <w:tr w:rsidR="00B72DB6" w:rsidRPr="009C5807" w14:paraId="6660864D" w14:textId="77777777" w:rsidTr="00E65BA1">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2DE2A4C2" w14:textId="345E6B94" w:rsidR="00B72DB6" w:rsidRPr="009C5807" w:rsidRDefault="00B72DB6" w:rsidP="00B72DB6">
            <w:pPr>
              <w:pStyle w:val="TAC"/>
              <w:rPr>
                <w:lang w:eastAsia="zh-CN"/>
              </w:rPr>
            </w:pPr>
            <w:r w:rsidRPr="009C5807">
              <w:sym w:font="Symbol" w:char="F0B1"/>
            </w:r>
            <w:r>
              <w:t>[4]</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6AD75F92" w14:textId="2551D659" w:rsidR="00B72DB6" w:rsidRPr="009C5807" w:rsidRDefault="00B72DB6" w:rsidP="00B72DB6">
            <w:pPr>
              <w:pStyle w:val="TAC"/>
              <w:rPr>
                <w:lang w:eastAsia="zh-CN"/>
              </w:rPr>
            </w:pPr>
            <w:r w:rsidRPr="009C5807">
              <w:sym w:font="Symbol" w:char="F0B1"/>
            </w:r>
            <w:r>
              <w:t>[4]</w:t>
            </w:r>
          </w:p>
        </w:tc>
        <w:tc>
          <w:tcPr>
            <w:tcW w:w="951" w:type="dxa"/>
            <w:tcBorders>
              <w:top w:val="single" w:sz="6" w:space="0" w:color="auto"/>
              <w:left w:val="single" w:sz="6" w:space="0" w:color="auto"/>
              <w:bottom w:val="single" w:sz="6" w:space="0" w:color="auto"/>
              <w:right w:val="single" w:sz="6" w:space="0" w:color="auto"/>
            </w:tcBorders>
            <w:shd w:val="clear" w:color="auto" w:fill="auto"/>
          </w:tcPr>
          <w:p w14:paraId="637A4D9C" w14:textId="22D9EC0A" w:rsidR="00B72DB6" w:rsidRPr="009C5807" w:rsidRDefault="00B72DB6" w:rsidP="00B72DB6">
            <w:pPr>
              <w:pStyle w:val="TAC"/>
            </w:pPr>
            <w:r w:rsidRPr="009C5807">
              <w:sym w:font="Symbol" w:char="F0B3"/>
            </w:r>
            <w:r w:rsidRPr="009C5807">
              <w:rPr>
                <w:lang w:eastAsia="zh-CN"/>
              </w:rPr>
              <w:t>-6</w:t>
            </w: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66005753" w14:textId="63FE7ED8" w:rsidR="00B72DB6" w:rsidRPr="009C5807" w:rsidRDefault="00B72DB6" w:rsidP="00B72DB6">
            <w:pPr>
              <w:pStyle w:val="TAC"/>
            </w:pPr>
            <w:r w:rsidRPr="009C5807">
              <w:t>Note 3</w:t>
            </w:r>
          </w:p>
        </w:tc>
        <w:tc>
          <w:tcPr>
            <w:tcW w:w="1107" w:type="dxa"/>
            <w:tcBorders>
              <w:top w:val="single" w:sz="6" w:space="0" w:color="auto"/>
              <w:left w:val="single" w:sz="4" w:space="0" w:color="auto"/>
              <w:bottom w:val="single" w:sz="4" w:space="0" w:color="auto"/>
              <w:right w:val="single" w:sz="6" w:space="0" w:color="auto"/>
            </w:tcBorders>
            <w:shd w:val="clear" w:color="auto" w:fill="auto"/>
          </w:tcPr>
          <w:p w14:paraId="3622FC72" w14:textId="77777777" w:rsidR="00B72DB6" w:rsidRPr="009C5807" w:rsidRDefault="00B72DB6" w:rsidP="00B72DB6">
            <w:pPr>
              <w:pStyle w:val="TAC"/>
            </w:pPr>
            <w:r w:rsidRPr="009C5807">
              <w:t>Note 3</w:t>
            </w:r>
          </w:p>
        </w:tc>
        <w:tc>
          <w:tcPr>
            <w:tcW w:w="1032" w:type="dxa"/>
            <w:tcBorders>
              <w:top w:val="single" w:sz="6" w:space="0" w:color="auto"/>
              <w:left w:val="single" w:sz="4" w:space="0" w:color="auto"/>
              <w:bottom w:val="single" w:sz="4" w:space="0" w:color="auto"/>
              <w:right w:val="single" w:sz="6" w:space="0" w:color="auto"/>
            </w:tcBorders>
            <w:shd w:val="clear" w:color="auto" w:fill="auto"/>
          </w:tcPr>
          <w:p w14:paraId="773B6D77" w14:textId="77777777" w:rsidR="00B72DB6" w:rsidRPr="009C5807" w:rsidRDefault="00B72DB6" w:rsidP="00B72DB6">
            <w:pPr>
              <w:pStyle w:val="TAC"/>
              <w:rPr>
                <w:lang w:eastAsia="zh-CN"/>
              </w:rPr>
            </w:pPr>
            <w:r w:rsidRPr="009C5807">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3DE35615" w14:textId="77777777" w:rsidR="00B72DB6" w:rsidRPr="009C5807" w:rsidRDefault="00B72DB6" w:rsidP="00B72DB6">
            <w:pPr>
              <w:pStyle w:val="TAC"/>
            </w:pPr>
            <w:r w:rsidRPr="009C5807">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556A342D" w14:textId="77777777" w:rsidR="00B72DB6" w:rsidRPr="009C5807" w:rsidRDefault="00B72DB6" w:rsidP="00B72DB6">
            <w:pPr>
              <w:pStyle w:val="TAC"/>
            </w:pPr>
            <w:r w:rsidRPr="009C5807">
              <w:t>Note 3</w:t>
            </w:r>
          </w:p>
        </w:tc>
      </w:tr>
      <w:tr w:rsidR="000F609D" w:rsidRPr="009C5807" w14:paraId="3D077DC9"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200D1DA7" w14:textId="77777777" w:rsidR="000F609D" w:rsidRPr="009C5807" w:rsidRDefault="000F609D" w:rsidP="00E65BA1">
            <w:pPr>
              <w:pStyle w:val="TAN"/>
            </w:pPr>
            <w:r w:rsidRPr="009C5807">
              <w:t>N</w:t>
            </w:r>
            <w:r w:rsidRPr="009C5807">
              <w:rPr>
                <w:lang w:eastAsia="zh-CN"/>
              </w:rPr>
              <w:t>OTE</w:t>
            </w:r>
            <w:r w:rsidRPr="009C5807">
              <w:t xml:space="preserve"> 1:</w:t>
            </w:r>
            <w:r w:rsidRPr="009C5807">
              <w:tab/>
              <w:t>Io is assumed to have constant EPRE across the bandwidth.</w:t>
            </w:r>
          </w:p>
          <w:p w14:paraId="323755CD" w14:textId="77777777" w:rsidR="000F609D" w:rsidRPr="009C5807" w:rsidRDefault="000F609D" w:rsidP="00E65BA1">
            <w:pPr>
              <w:pStyle w:val="TAN"/>
            </w:pPr>
            <w:r w:rsidRPr="009C5807">
              <w:t>N</w:t>
            </w:r>
            <w:r w:rsidRPr="009C5807">
              <w:rPr>
                <w:lang w:eastAsia="zh-CN"/>
              </w:rPr>
              <w:t>OTE</w:t>
            </w:r>
            <w:r w:rsidRPr="009C5807">
              <w:t xml:space="preserve"> 2:</w:t>
            </w:r>
            <w:r w:rsidRPr="009C5807">
              <w:tab/>
            </w:r>
            <w:r w:rsidRPr="009C5807">
              <w:rPr>
                <w:lang w:eastAsia="zh-CN"/>
              </w:rPr>
              <w:t xml:space="preserve">The parameter </w:t>
            </w:r>
            <w:r w:rsidRPr="009C5807">
              <w:t>SSB Ês/Iot</w:t>
            </w:r>
            <w:r w:rsidRPr="009C5807">
              <w:rPr>
                <w:lang w:eastAsia="zh-CN"/>
              </w:rPr>
              <w:t xml:space="preserve"> is the minimum </w:t>
            </w:r>
            <w:r w:rsidRPr="009C5807">
              <w:t>SSB Ês/Iot</w:t>
            </w:r>
            <w:r w:rsidRPr="009C5807">
              <w:rPr>
                <w:lang w:eastAsia="zh-CN"/>
              </w:rPr>
              <w:t xml:space="preserve"> of the pair of cells to which the requirement applies.</w:t>
            </w:r>
          </w:p>
          <w:p w14:paraId="0FE373EA" w14:textId="77777777" w:rsidR="000F609D" w:rsidRPr="009C5807" w:rsidRDefault="000F609D" w:rsidP="00E65BA1">
            <w:pPr>
              <w:pStyle w:val="TAN"/>
              <w:rPr>
                <w:rFonts w:cs="Arial"/>
              </w:rPr>
            </w:pPr>
            <w:r w:rsidRPr="009C5807">
              <w:t>N</w:t>
            </w:r>
            <w:r w:rsidRPr="009C5807">
              <w:rPr>
                <w:lang w:eastAsia="zh-CN"/>
              </w:rPr>
              <w:t>OTE</w:t>
            </w:r>
            <w:r w:rsidRPr="009C5807">
              <w:t xml:space="preserve"> 3:</w:t>
            </w:r>
            <w:r w:rsidRPr="009C5807">
              <w:tab/>
            </w:r>
            <w:r w:rsidRPr="009C5807">
              <w:rPr>
                <w:rFonts w:cs="Arial"/>
              </w:rPr>
              <w:t>The same bands and the same Io conditions for each band apply for this requirement as for the corresponding highest accuracy requirement.</w:t>
            </w:r>
          </w:p>
          <w:p w14:paraId="23E294B4" w14:textId="77777777" w:rsidR="000F609D" w:rsidRPr="009C5807" w:rsidRDefault="000F609D" w:rsidP="00E65BA1">
            <w:pPr>
              <w:pStyle w:val="TAN"/>
              <w:rPr>
                <w:rFonts w:cs="Arial"/>
              </w:rPr>
            </w:pPr>
            <w:r w:rsidRPr="009C5807">
              <w:rPr>
                <w:rFonts w:cs="Arial"/>
              </w:rPr>
              <w:t>NOTE 4:</w:t>
            </w:r>
            <w:r w:rsidRPr="009C5807">
              <w:rPr>
                <w:rFonts w:cs="Arial"/>
              </w:rPr>
              <w:tab/>
              <w:t xml:space="preserve">The requirements apply for SSB Ês/Iot </w:t>
            </w:r>
            <w:r w:rsidRPr="009C5807">
              <w:rPr>
                <w:rFonts w:cs="Arial" w:hint="eastAsia"/>
              </w:rPr>
              <w:t>≤</w:t>
            </w:r>
            <w:r w:rsidRPr="009C5807">
              <w:rPr>
                <w:rFonts w:cs="Arial"/>
              </w:rPr>
              <w:t xml:space="preserve"> [25] dB.</w:t>
            </w:r>
          </w:p>
          <w:p w14:paraId="466F75D0" w14:textId="77777777" w:rsidR="000F609D" w:rsidRPr="009C5807" w:rsidRDefault="000F609D" w:rsidP="00E65BA1">
            <w:pPr>
              <w:pStyle w:val="TAN"/>
            </w:pPr>
            <w:r w:rsidRPr="009C5807">
              <w:rPr>
                <w:rFonts w:cs="Arial"/>
              </w:rPr>
              <w:t>NOTE 5:</w:t>
            </w:r>
            <w:r w:rsidRPr="009C5807">
              <w:rPr>
                <w:rFonts w:cs="Arial"/>
              </w:rPr>
              <w:tab/>
            </w:r>
            <w:r w:rsidRPr="009C5807">
              <w:t>NR operating band groups in FR1 are as defined in clause 3.5.2.</w:t>
            </w:r>
          </w:p>
        </w:tc>
      </w:tr>
    </w:tbl>
    <w:p w14:paraId="40242B58" w14:textId="77777777" w:rsidR="000F609D" w:rsidRPr="009C5807" w:rsidRDefault="000F609D" w:rsidP="00567E6C">
      <w:pPr>
        <w:rPr>
          <w:rFonts w:cs="v4.2.0"/>
        </w:rPr>
      </w:pPr>
    </w:p>
    <w:p w14:paraId="6E5C207B" w14:textId="4DDF883B" w:rsidR="001F5A79" w:rsidRPr="009C5807" w:rsidRDefault="001F5A79" w:rsidP="00967CF8">
      <w:pPr>
        <w:pStyle w:val="Heading3"/>
        <w:rPr>
          <w:lang w:val="en-US" w:eastAsia="ko-KR"/>
        </w:rPr>
      </w:pPr>
      <w:r w:rsidRPr="009C5807">
        <w:rPr>
          <w:lang w:val="en-US" w:eastAsia="ko-KR"/>
        </w:rPr>
        <w:t>1</w:t>
      </w:r>
      <w:r w:rsidR="00967CF8" w:rsidRPr="009C5807">
        <w:rPr>
          <w:lang w:val="en-US" w:eastAsia="ko-KR"/>
        </w:rPr>
        <w:t>0.1.1</w:t>
      </w:r>
      <w:r w:rsidRPr="009C5807">
        <w:rPr>
          <w:lang w:val="en-US" w:eastAsia="ko-KR"/>
        </w:rPr>
        <w:t>5</w:t>
      </w:r>
      <w:r w:rsidRPr="009C5807">
        <w:rPr>
          <w:lang w:val="en-US" w:eastAsia="ko-KR"/>
        </w:rPr>
        <w:tab/>
        <w:t xml:space="preserve">Inter-frequency SINR accuracy requirements </w:t>
      </w:r>
      <w:r w:rsidRPr="009C5807">
        <w:rPr>
          <w:lang w:val="en-US" w:eastAsia="zh-CN"/>
        </w:rPr>
        <w:t>for</w:t>
      </w:r>
      <w:r w:rsidRPr="009C5807">
        <w:rPr>
          <w:lang w:val="en-US" w:eastAsia="ko-KR"/>
        </w:rPr>
        <w:t xml:space="preserve"> FR2</w:t>
      </w:r>
    </w:p>
    <w:p w14:paraId="5F56F4A9" w14:textId="77777777" w:rsidR="001F5A79" w:rsidRPr="009C5807" w:rsidRDefault="001F5A79" w:rsidP="009D3C60">
      <w:pPr>
        <w:pStyle w:val="Heading4"/>
        <w:rPr>
          <w:lang w:val="en-US" w:eastAsia="zh-CN"/>
        </w:rPr>
      </w:pPr>
      <w:r w:rsidRPr="009C5807">
        <w:rPr>
          <w:lang w:val="en-US" w:eastAsia="zh-CN"/>
        </w:rPr>
        <w:t>10.1.15.1</w:t>
      </w:r>
      <w:r w:rsidRPr="009C5807">
        <w:rPr>
          <w:lang w:val="en-US" w:eastAsia="zh-CN"/>
        </w:rPr>
        <w:tab/>
      </w:r>
      <w:r w:rsidRPr="009C5807">
        <w:rPr>
          <w:lang w:val="en-US" w:eastAsia="ko-KR"/>
        </w:rPr>
        <w:t>Inter-frequency SS-SINR accuracy requirements</w:t>
      </w:r>
      <w:r w:rsidRPr="009C5807">
        <w:rPr>
          <w:lang w:val="en-US" w:eastAsia="zh-CN"/>
        </w:rPr>
        <w:t xml:space="preserve"> in FR2</w:t>
      </w:r>
    </w:p>
    <w:p w14:paraId="25F4D97A" w14:textId="77777777" w:rsidR="001F5A79" w:rsidRPr="009C5807" w:rsidRDefault="001F5A79" w:rsidP="009D3C60">
      <w:pPr>
        <w:pStyle w:val="Heading5"/>
        <w:rPr>
          <w:lang w:val="en-US" w:eastAsia="zh-CN"/>
        </w:rPr>
      </w:pPr>
      <w:r w:rsidRPr="009C5807">
        <w:rPr>
          <w:lang w:val="en-US" w:eastAsia="zh-CN"/>
        </w:rPr>
        <w:t>10.1.15.1.1</w:t>
      </w:r>
      <w:r w:rsidRPr="009C5807">
        <w:rPr>
          <w:lang w:val="en-US" w:eastAsia="zh-CN"/>
        </w:rPr>
        <w:tab/>
      </w:r>
      <w:r w:rsidRPr="009C5807">
        <w:rPr>
          <w:lang w:eastAsia="zh-CN"/>
        </w:rPr>
        <w:t>Aboslute</w:t>
      </w:r>
      <w:r w:rsidRPr="009C5807">
        <w:t xml:space="preserve"> Accuracy of </w:t>
      </w:r>
      <w:r w:rsidRPr="009C5807">
        <w:rPr>
          <w:lang w:eastAsia="zh-CN"/>
        </w:rPr>
        <w:t>SS-SINR</w:t>
      </w:r>
      <w:r w:rsidRPr="009C5807">
        <w:rPr>
          <w:lang w:val="en-US" w:eastAsia="zh-CN"/>
        </w:rPr>
        <w:t xml:space="preserve"> in FR2</w:t>
      </w:r>
    </w:p>
    <w:p w14:paraId="3D47EE3E" w14:textId="77777777" w:rsidR="001F5A79" w:rsidRPr="009C5807" w:rsidRDefault="001F5A79" w:rsidP="001F5A79">
      <w:pPr>
        <w:rPr>
          <w:rFonts w:cs="v4.2.0"/>
          <w:i/>
        </w:rPr>
      </w:pPr>
      <w:r w:rsidRPr="009C5807">
        <w:rPr>
          <w:rFonts w:cs="v4.2.0"/>
        </w:rPr>
        <w:t>The requirements for absolute accuracy of</w:t>
      </w:r>
      <w:r w:rsidRPr="009C5807">
        <w:rPr>
          <w:rFonts w:cs="v4.2.0"/>
          <w:lang w:eastAsia="zh-CN"/>
        </w:rPr>
        <w:t xml:space="preserve"> SS-SINR</w:t>
      </w:r>
      <w:r w:rsidRPr="009C5807">
        <w:rPr>
          <w:rFonts w:cs="v4.2.0"/>
        </w:rPr>
        <w:t xml:space="preserve"> in this clause apply to a cell on a frequency in FR2 that has different carrier frequency from the serving cell.</w:t>
      </w:r>
    </w:p>
    <w:p w14:paraId="0B8BA0F6"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10.1.15.1.1</w:t>
      </w:r>
      <w:r w:rsidRPr="009C5807">
        <w:rPr>
          <w:rFonts w:cs="v4.2.0"/>
        </w:rPr>
        <w:t>-1 are valid under the following conditions:</w:t>
      </w:r>
    </w:p>
    <w:p w14:paraId="06AAA815" w14:textId="77777777" w:rsidR="001F5A79" w:rsidRPr="009C5807" w:rsidRDefault="001F5A79" w:rsidP="0093237A">
      <w:pPr>
        <w:pStyle w:val="B10"/>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5BFECF45" w14:textId="77777777" w:rsidR="001F5A79" w:rsidRPr="009C5807" w:rsidRDefault="001F5A79" w:rsidP="0093237A">
      <w:pPr>
        <w:pStyle w:val="B10"/>
      </w:pPr>
      <w:r w:rsidRPr="009C5807">
        <w:t>-</w:t>
      </w:r>
      <w:r w:rsidRPr="009C5807">
        <w:rPr>
          <w:rFonts w:ascii="Arial" w:hAnsi="Arial"/>
          <w:sz w:val="28"/>
          <w:lang w:val="en-US"/>
        </w:rPr>
        <w:tab/>
      </w:r>
      <w:r w:rsidRPr="009C5807">
        <w:t>Conditions for inter-frequency measurements are fulfilled according to Annex B.2.3 for a corresponding Band.</w:t>
      </w:r>
    </w:p>
    <w:p w14:paraId="59627942" w14:textId="77777777" w:rsidR="001F5A79" w:rsidRPr="009C5807" w:rsidRDefault="001F5A79" w:rsidP="0093237A">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31D2C819" w14:textId="77777777" w:rsidR="001F5A79" w:rsidRPr="009C5807" w:rsidRDefault="001F5A79" w:rsidP="0093237A">
      <w:pPr>
        <w:pStyle w:val="TH"/>
        <w:rPr>
          <w:lang w:eastAsia="zh-CN"/>
        </w:rPr>
      </w:pPr>
      <w:r w:rsidRPr="009C5807">
        <w:t xml:space="preserve">Table </w:t>
      </w:r>
      <w:r w:rsidRPr="009C5807">
        <w:rPr>
          <w:lang w:eastAsia="zh-CN"/>
        </w:rPr>
        <w:t>10.1.15.1.1</w:t>
      </w:r>
      <w:r w:rsidRPr="009C5807">
        <w:t xml:space="preserve">-1: </w:t>
      </w:r>
      <w:r w:rsidRPr="009C5807">
        <w:rPr>
          <w:lang w:eastAsia="zh-CN"/>
        </w:rPr>
        <w:t>SS-SINR</w:t>
      </w:r>
      <w:r w:rsidRPr="009C5807">
        <w:t xml:space="preserve"> Inter frequency absolute accuracy</w:t>
      </w:r>
      <w:r w:rsidRPr="009C5807">
        <w:rPr>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1F5A79" w:rsidRPr="009C5807" w14:paraId="41E9FB58" w14:textId="77777777" w:rsidTr="00DF3064">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5328DE" w14:textId="77777777" w:rsidR="001F5A79" w:rsidRPr="009C5807" w:rsidRDefault="001F5A79" w:rsidP="00991E68">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5753B8EB" w14:textId="77777777" w:rsidR="001F5A79" w:rsidRPr="009C5807" w:rsidRDefault="001F5A79" w:rsidP="00991E68">
            <w:pPr>
              <w:pStyle w:val="TAH"/>
            </w:pPr>
            <w:r w:rsidRPr="009C5807">
              <w:t>Conditions</w:t>
            </w:r>
          </w:p>
        </w:tc>
      </w:tr>
      <w:tr w:rsidR="001F5A79" w:rsidRPr="009C5807" w14:paraId="538BC35B" w14:textId="77777777" w:rsidTr="00DB6585">
        <w:trPr>
          <w:jc w:val="center"/>
        </w:trPr>
        <w:tc>
          <w:tcPr>
            <w:tcW w:w="1122" w:type="dxa"/>
            <w:tcBorders>
              <w:top w:val="single" w:sz="4" w:space="0" w:color="auto"/>
              <w:left w:val="single" w:sz="4" w:space="0" w:color="auto"/>
              <w:right w:val="single" w:sz="4" w:space="0" w:color="auto"/>
            </w:tcBorders>
            <w:shd w:val="clear" w:color="auto" w:fill="auto"/>
            <w:vAlign w:val="center"/>
          </w:tcPr>
          <w:p w14:paraId="485C2EFE" w14:textId="77777777" w:rsidR="001F5A79" w:rsidRPr="009C5807" w:rsidRDefault="001F5A79" w:rsidP="00991E68">
            <w:pPr>
              <w:pStyle w:val="TAH"/>
            </w:pPr>
            <w:r w:rsidRPr="009C5807">
              <w:t>Normal condition</w:t>
            </w:r>
          </w:p>
        </w:tc>
        <w:tc>
          <w:tcPr>
            <w:tcW w:w="1119" w:type="dxa"/>
            <w:tcBorders>
              <w:top w:val="single" w:sz="4" w:space="0" w:color="auto"/>
              <w:left w:val="single" w:sz="4" w:space="0" w:color="auto"/>
              <w:right w:val="single" w:sz="4" w:space="0" w:color="auto"/>
            </w:tcBorders>
            <w:shd w:val="clear" w:color="auto" w:fill="auto"/>
            <w:vAlign w:val="center"/>
          </w:tcPr>
          <w:p w14:paraId="13839FD1" w14:textId="77777777" w:rsidR="001F5A79" w:rsidRPr="009C5807" w:rsidRDefault="001F5A79" w:rsidP="00991E68">
            <w:pPr>
              <w:pStyle w:val="TAH"/>
            </w:pPr>
            <w:r w:rsidRPr="009C5807">
              <w:t>Extreme condition</w:t>
            </w:r>
          </w:p>
        </w:tc>
        <w:tc>
          <w:tcPr>
            <w:tcW w:w="1119" w:type="dxa"/>
            <w:tcBorders>
              <w:top w:val="single" w:sz="4" w:space="0" w:color="auto"/>
              <w:left w:val="single" w:sz="4" w:space="0" w:color="auto"/>
              <w:right w:val="single" w:sz="4" w:space="0" w:color="auto"/>
            </w:tcBorders>
          </w:tcPr>
          <w:p w14:paraId="3B96CABA" w14:textId="77777777" w:rsidR="001F5A79" w:rsidRPr="009C5807" w:rsidRDefault="001F5A79" w:rsidP="00991E68">
            <w:pPr>
              <w:pStyle w:val="TAH"/>
            </w:pPr>
            <w:r w:rsidRPr="009C5807">
              <w:rPr>
                <w:rFonts w:cs="Arial"/>
              </w:rPr>
              <w:t>SSB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EC0515" w14:textId="77777777" w:rsidR="001F5A79" w:rsidRPr="009C5807" w:rsidRDefault="001F5A79" w:rsidP="00991E68">
            <w:pPr>
              <w:pStyle w:val="TAH"/>
            </w:pPr>
            <w:r w:rsidRPr="009C5807">
              <w:t>Io</w:t>
            </w:r>
            <w:r w:rsidRPr="009C5807">
              <w:rPr>
                <w:vertAlign w:val="superscript"/>
              </w:rPr>
              <w:t xml:space="preserve"> Note 2</w:t>
            </w:r>
            <w:r w:rsidRPr="009C5807">
              <w:t xml:space="preserve"> range</w:t>
            </w:r>
          </w:p>
        </w:tc>
      </w:tr>
      <w:tr w:rsidR="001F5A79" w:rsidRPr="009C5807" w14:paraId="390488EF" w14:textId="77777777" w:rsidTr="00DB6585">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33D253E6" w14:textId="77777777" w:rsidR="001F5A79" w:rsidRPr="009C5807" w:rsidRDefault="001F5A79" w:rsidP="00991E68">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26E9703A" w14:textId="77777777" w:rsidR="001F5A79" w:rsidRPr="009C5807" w:rsidRDefault="001F5A79" w:rsidP="00991E68">
            <w:pPr>
              <w:pStyle w:val="TAH"/>
            </w:pPr>
          </w:p>
        </w:tc>
        <w:tc>
          <w:tcPr>
            <w:tcW w:w="1119" w:type="dxa"/>
            <w:tcBorders>
              <w:left w:val="single" w:sz="4" w:space="0" w:color="auto"/>
              <w:bottom w:val="single" w:sz="4" w:space="0" w:color="auto"/>
              <w:right w:val="single" w:sz="4" w:space="0" w:color="auto"/>
            </w:tcBorders>
            <w:vAlign w:val="center"/>
          </w:tcPr>
          <w:p w14:paraId="64833A75" w14:textId="77777777" w:rsidR="001F5A79" w:rsidRPr="009C5807" w:rsidRDefault="001F5A79" w:rsidP="00991E68">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668F18" w14:textId="77777777" w:rsidR="001F5A79" w:rsidRPr="009C5807" w:rsidRDefault="001F5A79" w:rsidP="00991E68">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E8C5779" w14:textId="77777777" w:rsidR="001F5A79" w:rsidRPr="009C5807" w:rsidRDefault="001F5A79" w:rsidP="00991E68">
            <w:pPr>
              <w:pStyle w:val="TAH"/>
            </w:pPr>
            <w:r w:rsidRPr="009C5807">
              <w:t>Maximum Io</w:t>
            </w:r>
          </w:p>
        </w:tc>
      </w:tr>
      <w:tr w:rsidR="001F5A79" w:rsidRPr="009C5807" w14:paraId="6DC8B118" w14:textId="77777777" w:rsidTr="00485F6E">
        <w:trPr>
          <w:jc w:val="center"/>
        </w:trPr>
        <w:tc>
          <w:tcPr>
            <w:tcW w:w="1122" w:type="dxa"/>
            <w:tcBorders>
              <w:top w:val="single" w:sz="4" w:space="0" w:color="auto"/>
              <w:left w:val="single" w:sz="4" w:space="0" w:color="auto"/>
              <w:right w:val="single" w:sz="4" w:space="0" w:color="auto"/>
            </w:tcBorders>
            <w:shd w:val="clear" w:color="auto" w:fill="auto"/>
          </w:tcPr>
          <w:p w14:paraId="7E0619B4" w14:textId="77777777" w:rsidR="001F5A79" w:rsidRPr="009C5807" w:rsidRDefault="001F5A79" w:rsidP="00485F6E">
            <w:pPr>
              <w:pStyle w:val="TAH"/>
            </w:pPr>
            <w:r w:rsidRPr="009C5807">
              <w:t>dB</w:t>
            </w:r>
          </w:p>
        </w:tc>
        <w:tc>
          <w:tcPr>
            <w:tcW w:w="1119" w:type="dxa"/>
            <w:tcBorders>
              <w:top w:val="single" w:sz="4" w:space="0" w:color="auto"/>
              <w:left w:val="single" w:sz="4" w:space="0" w:color="auto"/>
              <w:right w:val="single" w:sz="4" w:space="0" w:color="auto"/>
            </w:tcBorders>
            <w:shd w:val="clear" w:color="auto" w:fill="auto"/>
          </w:tcPr>
          <w:p w14:paraId="4B150946" w14:textId="77777777" w:rsidR="001F5A79" w:rsidRPr="009C5807" w:rsidRDefault="001F5A79" w:rsidP="00485F6E">
            <w:pPr>
              <w:pStyle w:val="TAH"/>
            </w:pPr>
            <w:r w:rsidRPr="009C5807">
              <w:t>dB</w:t>
            </w:r>
          </w:p>
        </w:tc>
        <w:tc>
          <w:tcPr>
            <w:tcW w:w="1119" w:type="dxa"/>
            <w:tcBorders>
              <w:top w:val="single" w:sz="4" w:space="0" w:color="auto"/>
              <w:left w:val="single" w:sz="4" w:space="0" w:color="auto"/>
              <w:right w:val="single" w:sz="4" w:space="0" w:color="auto"/>
            </w:tcBorders>
          </w:tcPr>
          <w:p w14:paraId="01119814" w14:textId="77777777" w:rsidR="001F5A79" w:rsidRPr="009C5807" w:rsidRDefault="001F5A79" w:rsidP="00485F6E">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tcPr>
          <w:p w14:paraId="1B03DBFC" w14:textId="77777777" w:rsidR="001F5A79" w:rsidRPr="009C5807" w:rsidRDefault="001F5A79" w:rsidP="00485F6E">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tcPr>
          <w:p w14:paraId="7E1B062C" w14:textId="77777777" w:rsidR="001F5A79" w:rsidRPr="009C5807" w:rsidRDefault="001F5A79" w:rsidP="00485F6E">
            <w:pPr>
              <w:pStyle w:val="TAH"/>
            </w:pPr>
            <w:r w:rsidRPr="009C5807">
              <w:t>dBm/BW</w:t>
            </w:r>
            <w:r w:rsidRPr="009C5807">
              <w:rPr>
                <w:vertAlign w:val="subscript"/>
              </w:rPr>
              <w:t>Channel</w:t>
            </w:r>
          </w:p>
        </w:tc>
      </w:tr>
      <w:tr w:rsidR="001F5A79" w:rsidRPr="009C5807" w14:paraId="54C53C79" w14:textId="77777777" w:rsidTr="00485F6E">
        <w:trPr>
          <w:jc w:val="center"/>
        </w:trPr>
        <w:tc>
          <w:tcPr>
            <w:tcW w:w="1122" w:type="dxa"/>
            <w:tcBorders>
              <w:left w:val="single" w:sz="4" w:space="0" w:color="auto"/>
              <w:bottom w:val="single" w:sz="4" w:space="0" w:color="auto"/>
              <w:right w:val="single" w:sz="4" w:space="0" w:color="auto"/>
            </w:tcBorders>
            <w:shd w:val="clear" w:color="auto" w:fill="auto"/>
          </w:tcPr>
          <w:p w14:paraId="473EC58D"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shd w:val="clear" w:color="auto" w:fill="auto"/>
          </w:tcPr>
          <w:p w14:paraId="4E2D9859"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tcPr>
          <w:p w14:paraId="463A7E46" w14:textId="77777777" w:rsidR="001F5A79" w:rsidRPr="009C5807" w:rsidRDefault="001F5A79" w:rsidP="00485F6E">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D0B2B81" w14:textId="77777777" w:rsidR="001F5A79" w:rsidRPr="009C5807" w:rsidRDefault="001F5A79" w:rsidP="00485F6E">
            <w:pPr>
              <w:pStyle w:val="TAH"/>
            </w:pPr>
            <w:r w:rsidRPr="009C5807">
              <w:t>SCS</w:t>
            </w:r>
            <w:r w:rsidRPr="009C5807">
              <w:rPr>
                <w:vertAlign w:val="subscript"/>
              </w:rPr>
              <w:t>SSB</w:t>
            </w:r>
            <w:r w:rsidRPr="009C5807">
              <w:rPr>
                <w:rFonts w:cs="Arial"/>
              </w:rPr>
              <w:t xml:space="preserve"> = 120kHz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4090D92B" w14:textId="77777777" w:rsidR="001F5A79" w:rsidRPr="009C5807" w:rsidRDefault="001F5A79" w:rsidP="00485F6E">
            <w:pPr>
              <w:pStyle w:val="TAH"/>
            </w:pPr>
            <w:r w:rsidRPr="009C5807">
              <w:t>SCS</w:t>
            </w:r>
            <w:r w:rsidRPr="009C5807">
              <w:rPr>
                <w:vertAlign w:val="subscript"/>
              </w:rPr>
              <w:t>SSB</w:t>
            </w:r>
            <w:r w:rsidRPr="009C5807">
              <w:rPr>
                <w:rFonts w:cs="Arial"/>
              </w:rPr>
              <w:t xml:space="preserve"> = 240kHz</w:t>
            </w:r>
          </w:p>
        </w:tc>
        <w:tc>
          <w:tcPr>
            <w:tcW w:w="2268" w:type="dxa"/>
            <w:tcBorders>
              <w:left w:val="single" w:sz="4" w:space="0" w:color="auto"/>
              <w:bottom w:val="single" w:sz="4" w:space="0" w:color="auto"/>
              <w:right w:val="single" w:sz="4" w:space="0" w:color="auto"/>
            </w:tcBorders>
            <w:shd w:val="clear" w:color="auto" w:fill="auto"/>
          </w:tcPr>
          <w:p w14:paraId="0FE81047" w14:textId="77777777" w:rsidR="001F5A79" w:rsidRPr="009C5807" w:rsidRDefault="001F5A79" w:rsidP="00485F6E">
            <w:pPr>
              <w:pStyle w:val="TAH"/>
            </w:pPr>
          </w:p>
        </w:tc>
      </w:tr>
      <w:tr w:rsidR="00CF56CF" w:rsidRPr="009C5807" w14:paraId="040BC3BD"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DADCF24" w14:textId="77777777" w:rsidR="00CF56CF" w:rsidRPr="009C5807" w:rsidRDefault="00CF56CF" w:rsidP="00485F6E">
            <w:pPr>
              <w:pStyle w:val="TAC"/>
            </w:pPr>
            <w:r w:rsidRPr="009C5807">
              <w:sym w:font="Symbol" w:char="F0B1"/>
            </w:r>
            <w:r w:rsidRPr="009C5807">
              <w:t>3</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7FF0621B" w14:textId="77777777" w:rsidR="00CF56CF" w:rsidRPr="009C5807" w:rsidRDefault="00CF56CF"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43F09155" w14:textId="77777777" w:rsidR="00CF56CF" w:rsidRPr="009C5807" w:rsidRDefault="00CF56CF" w:rsidP="00485F6E">
            <w:pPr>
              <w:pStyle w:val="TAC"/>
            </w:pPr>
            <w:r w:rsidRPr="009C5807">
              <w:rPr>
                <w:rFonts w:eastAsia="Yu Mincho" w:cs="Arial"/>
                <w:lang w:eastAsia="ja-JP"/>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7F043687" w14:textId="77777777" w:rsidR="00CF56CF" w:rsidRPr="009C5807" w:rsidRDefault="00CF56CF" w:rsidP="00485F6E">
            <w:pPr>
              <w:pStyle w:val="TAC"/>
              <w:rPr>
                <w:rFonts w:eastAsia="Yu Mincho"/>
                <w:lang w:eastAsia="ja-JP"/>
              </w:rPr>
            </w:pPr>
            <w:r w:rsidRPr="009C5807">
              <w:t>Same value as SSB_RP in Table B.2.2-2,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5FACD246" w14:textId="77777777" w:rsidR="00CF56CF" w:rsidRPr="009C5807" w:rsidRDefault="00CF56CF" w:rsidP="00485F6E">
            <w:pPr>
              <w:pStyle w:val="TAC"/>
            </w:pPr>
            <w:r w:rsidRPr="009C5807">
              <w:t>-50</w:t>
            </w:r>
          </w:p>
        </w:tc>
      </w:tr>
      <w:tr w:rsidR="00CF56CF" w:rsidRPr="009C5807" w14:paraId="72201F08"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5260EA3F" w14:textId="77777777" w:rsidR="00CF56CF" w:rsidRPr="009C5807" w:rsidRDefault="00CF56CF" w:rsidP="00485F6E">
            <w:pPr>
              <w:pStyle w:val="TAC"/>
            </w:pPr>
            <w:r w:rsidRPr="009C5807">
              <w:sym w:font="Symbol" w:char="F0B1"/>
            </w:r>
            <w:r w:rsidRPr="009C5807">
              <w:t>3.5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6B0762C1" w14:textId="77777777" w:rsidR="00CF56CF" w:rsidRPr="009C5807" w:rsidRDefault="00CF56CF"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15646739" w14:textId="77777777" w:rsidR="00CF56CF" w:rsidRPr="009C5807" w:rsidRDefault="00CF56CF" w:rsidP="00485F6E">
            <w:pPr>
              <w:pStyle w:val="TAC"/>
            </w:pPr>
            <w:r w:rsidRPr="009C5807">
              <w:rPr>
                <w:rFonts w:eastAsia="Yu Mincho" w:cs="Arial"/>
                <w:lang w:eastAsia="ja-JP"/>
              </w:rPr>
              <w:t>≥-4</w:t>
            </w:r>
          </w:p>
        </w:tc>
        <w:tc>
          <w:tcPr>
            <w:tcW w:w="3161" w:type="dxa"/>
            <w:gridSpan w:val="2"/>
            <w:tcBorders>
              <w:left w:val="single" w:sz="4" w:space="0" w:color="auto"/>
              <w:bottom w:val="single" w:sz="4" w:space="0" w:color="auto"/>
              <w:right w:val="single" w:sz="4" w:space="0" w:color="auto"/>
            </w:tcBorders>
            <w:shd w:val="clear" w:color="auto" w:fill="auto"/>
          </w:tcPr>
          <w:p w14:paraId="47D8B8C5" w14:textId="77777777" w:rsidR="00CF56CF" w:rsidRPr="009C5807" w:rsidRDefault="00CF56CF" w:rsidP="00485F6E">
            <w:pPr>
              <w:pStyle w:val="TAC"/>
            </w:pPr>
          </w:p>
        </w:tc>
        <w:tc>
          <w:tcPr>
            <w:tcW w:w="2268" w:type="dxa"/>
            <w:tcBorders>
              <w:left w:val="single" w:sz="4" w:space="0" w:color="auto"/>
              <w:bottom w:val="single" w:sz="4" w:space="0" w:color="auto"/>
              <w:right w:val="single" w:sz="4" w:space="0" w:color="auto"/>
            </w:tcBorders>
            <w:shd w:val="clear" w:color="auto" w:fill="auto"/>
          </w:tcPr>
          <w:p w14:paraId="603526D8" w14:textId="77777777" w:rsidR="00CF56CF" w:rsidRPr="009C5807" w:rsidRDefault="00CF56CF" w:rsidP="00485F6E">
            <w:pPr>
              <w:pStyle w:val="TAC"/>
            </w:pPr>
          </w:p>
        </w:tc>
      </w:tr>
      <w:tr w:rsidR="001F5A79" w:rsidRPr="009C5807" w14:paraId="362DCF02" w14:textId="77777777" w:rsidTr="00DF3064">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5536BB1" w14:textId="77777777" w:rsidR="001F5A79" w:rsidRPr="009C5807" w:rsidRDefault="001F5A79" w:rsidP="00991E68">
            <w:pPr>
              <w:pStyle w:val="TAN"/>
            </w:pPr>
            <w:r w:rsidRPr="009C5807">
              <w:t>Note 1:</w:t>
            </w:r>
            <w:r w:rsidRPr="009C5807">
              <w:tab/>
              <w:t>Values based on Refsens and EIS spherical coverage as defined in clauses 7.3.2 and 7.3.4 of TS 38.101-2 [19]. Applicable side condition selected depending on angle of arrival.</w:t>
            </w:r>
          </w:p>
          <w:p w14:paraId="7C5753D1" w14:textId="77777777" w:rsidR="001F5A79" w:rsidRPr="009C5807" w:rsidRDefault="001F5A79" w:rsidP="00991E68">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3D37760E" w14:textId="77777777" w:rsidR="001F5A79" w:rsidRPr="009C5807" w:rsidRDefault="001F5A79" w:rsidP="00991E68">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p w14:paraId="13B8DE1E" w14:textId="77777777" w:rsidR="001F5A79" w:rsidRPr="009C5807" w:rsidRDefault="001F5A79" w:rsidP="00991E68">
            <w:pPr>
              <w:pStyle w:val="TAN"/>
            </w:pPr>
            <w:r w:rsidRPr="009C5807">
              <w:t>Note 4:</w:t>
            </w:r>
            <w:r w:rsidRPr="009C5807">
              <w:tab/>
            </w:r>
            <w:r w:rsidRPr="009C5807">
              <w:rPr>
                <w:rFonts w:cs="Arial"/>
              </w:rPr>
              <w:t xml:space="preserve">The requirements apply for SSB Ês/Iot </w:t>
            </w:r>
            <w:r w:rsidRPr="009C5807">
              <w:rPr>
                <w:rFonts w:cs="Arial" w:hint="eastAsia"/>
              </w:rPr>
              <w:t>≤</w:t>
            </w:r>
            <w:r w:rsidRPr="009C5807">
              <w:rPr>
                <w:rFonts w:cs="Arial"/>
              </w:rPr>
              <w:t xml:space="preserve"> 25 dB.</w:t>
            </w:r>
          </w:p>
        </w:tc>
      </w:tr>
    </w:tbl>
    <w:p w14:paraId="166B5CB7" w14:textId="77777777" w:rsidR="001F5A79" w:rsidRPr="009C5807" w:rsidRDefault="001F5A79" w:rsidP="001F5A79">
      <w:pPr>
        <w:rPr>
          <w:lang w:eastAsia="zh-CN"/>
        </w:rPr>
      </w:pPr>
    </w:p>
    <w:p w14:paraId="2FD09BEB" w14:textId="77777777" w:rsidR="001F5A79" w:rsidRPr="009C5807" w:rsidRDefault="001F5A79" w:rsidP="009D3C60">
      <w:pPr>
        <w:pStyle w:val="Heading5"/>
      </w:pPr>
      <w:r w:rsidRPr="009C5807">
        <w:rPr>
          <w:lang w:eastAsia="zh-CN"/>
        </w:rPr>
        <w:t>10.1.15</w:t>
      </w:r>
      <w:r w:rsidRPr="009C5807">
        <w:t>.</w:t>
      </w:r>
      <w:r w:rsidRPr="009C5807">
        <w:rPr>
          <w:lang w:eastAsia="zh-CN"/>
        </w:rPr>
        <w:t>1.2</w:t>
      </w:r>
      <w:r w:rsidRPr="009C5807">
        <w:tab/>
        <w:t xml:space="preserve">Relative Accuracy of </w:t>
      </w:r>
      <w:r w:rsidRPr="009C5807">
        <w:rPr>
          <w:lang w:eastAsia="zh-CN"/>
        </w:rPr>
        <w:t>SS-SINR</w:t>
      </w:r>
      <w:r w:rsidRPr="009C5807">
        <w:t xml:space="preserve"> in FR2</w:t>
      </w:r>
    </w:p>
    <w:p w14:paraId="70FA4C20" w14:textId="77777777" w:rsidR="001F5A79" w:rsidRPr="009C5807" w:rsidRDefault="001F5A79" w:rsidP="001F5A79">
      <w:pPr>
        <w:rPr>
          <w:i/>
        </w:rPr>
      </w:pPr>
      <w:r w:rsidRPr="009C5807">
        <w:t xml:space="preserve">The relative accuracy of </w:t>
      </w:r>
      <w:r w:rsidRPr="009C5807">
        <w:rPr>
          <w:lang w:eastAsia="zh-CN"/>
        </w:rPr>
        <w:t>SS-SINR</w:t>
      </w:r>
      <w:r w:rsidRPr="009C5807">
        <w:t xml:space="preserve"> in inter frequency case is defined as the SS-SINR measured from one cell on a frequency in FR2 compared to the SS-SINR measured from another cell on a different frequency in FR2.</w:t>
      </w:r>
    </w:p>
    <w:p w14:paraId="4D476BF3"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10.1.15.1.2</w:t>
      </w:r>
      <w:r w:rsidRPr="009C5807">
        <w:rPr>
          <w:rFonts w:cs="v4.2.0"/>
        </w:rPr>
        <w:t>-1 are valid under the following conditions:</w:t>
      </w:r>
    </w:p>
    <w:p w14:paraId="48051AB9" w14:textId="77777777" w:rsidR="001F5A79" w:rsidRPr="009C5807" w:rsidRDefault="001F5A79" w:rsidP="0093237A">
      <w:pPr>
        <w:pStyle w:val="B10"/>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06DF160F" w14:textId="77777777" w:rsidR="001F5A79" w:rsidRPr="009C5807" w:rsidRDefault="001F5A79" w:rsidP="0093237A">
      <w:pPr>
        <w:pStyle w:val="B10"/>
      </w:pPr>
      <w:r w:rsidRPr="009C5807">
        <w:t>-</w:t>
      </w:r>
      <w:r w:rsidRPr="009C5807">
        <w:rPr>
          <w:rFonts w:ascii="Arial" w:hAnsi="Arial"/>
          <w:sz w:val="28"/>
          <w:lang w:val="en-US"/>
        </w:rPr>
        <w:tab/>
      </w:r>
      <w:r w:rsidRPr="009C5807">
        <w:t>Conditions for inter-frequency measurements are fulfilled according to Annex B.2.3 for a corresponding Band.</w:t>
      </w:r>
    </w:p>
    <w:p w14:paraId="375DF1AD" w14:textId="77777777" w:rsidR="001F5A79" w:rsidRPr="009C5807" w:rsidRDefault="001F5A79" w:rsidP="0093237A">
      <w:pPr>
        <w:pStyle w:val="B10"/>
        <w:rPr>
          <w:rFonts w:cs="v4.2.0"/>
          <w:sz w:val="18"/>
        </w:rPr>
      </w:pPr>
      <w:r w:rsidRPr="009C5807">
        <w:t>-</w:t>
      </w:r>
      <w:r w:rsidRPr="009C5807">
        <w:rPr>
          <w:rFonts w:ascii="Arial" w:hAnsi="Arial"/>
          <w:sz w:val="28"/>
          <w:lang w:val="en-US"/>
        </w:rPr>
        <w:tab/>
      </w:r>
      <w:r w:rsidRPr="009C5807">
        <w:t>|SSB_RP1</w:t>
      </w:r>
      <w:r w:rsidRPr="009C5807">
        <w:rPr>
          <w:vertAlign w:val="subscript"/>
        </w:rPr>
        <w:t>dBm</w:t>
      </w:r>
      <w:r w:rsidRPr="009C5807">
        <w:t xml:space="preserve"> - SSB_RP2</w:t>
      </w:r>
      <w:r w:rsidRPr="009C5807">
        <w:rPr>
          <w:vertAlign w:val="subscript"/>
        </w:rPr>
        <w:t>dBm</w:t>
      </w:r>
      <w:r w:rsidRPr="009C5807">
        <w:t xml:space="preserve">| </w:t>
      </w:r>
      <w:r w:rsidRPr="009C5807">
        <w:sym w:font="Symbol" w:char="F0A3"/>
      </w:r>
      <w:r w:rsidRPr="009C5807">
        <w:t xml:space="preserve"> 27 dB</w:t>
      </w:r>
    </w:p>
    <w:p w14:paraId="2A0D447A" w14:textId="77777777" w:rsidR="001F5A79" w:rsidRPr="009C5807" w:rsidRDefault="001F5A79" w:rsidP="0093237A">
      <w:pPr>
        <w:pStyle w:val="B10"/>
      </w:pPr>
      <w:r w:rsidRPr="009C5807">
        <w:t>-</w:t>
      </w:r>
      <w:r w:rsidRPr="009C5807">
        <w:rPr>
          <w:rFonts w:ascii="Arial" w:hAnsi="Arial"/>
          <w:sz w:val="28"/>
          <w:lang w:val="en-US"/>
        </w:rPr>
        <w:tab/>
      </w:r>
      <w:r w:rsidRPr="009C5807">
        <w:t xml:space="preserve">| Channel 1_Io </w:t>
      </w:r>
      <w:r w:rsidRPr="009C5807">
        <w:noBreakHyphen/>
        <w:t xml:space="preserve">Channel 2_Io | </w:t>
      </w:r>
      <w:r w:rsidRPr="009C5807">
        <w:sym w:font="Symbol" w:char="F0A3"/>
      </w:r>
      <w:r w:rsidRPr="009C5807">
        <w:t xml:space="preserve"> 20 dB</w:t>
      </w:r>
    </w:p>
    <w:p w14:paraId="5A08D2DC" w14:textId="77777777" w:rsidR="001F5A79" w:rsidRPr="009C5807" w:rsidRDefault="001F5A79" w:rsidP="0093237A">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1F8E3A42" w14:textId="77777777" w:rsidR="001F5A79" w:rsidRPr="009C5807" w:rsidRDefault="001F5A79" w:rsidP="0093237A">
      <w:pPr>
        <w:pStyle w:val="TH"/>
        <w:rPr>
          <w:sz w:val="22"/>
          <w:szCs w:val="22"/>
          <w:lang w:eastAsia="zh-CN"/>
        </w:rPr>
      </w:pPr>
      <w:r w:rsidRPr="009C5807">
        <w:t xml:space="preserve">Table </w:t>
      </w:r>
      <w:r w:rsidRPr="009C5807">
        <w:rPr>
          <w:lang w:eastAsia="zh-CN"/>
        </w:rPr>
        <w:t>10.1.15.1.2</w:t>
      </w:r>
      <w:r w:rsidRPr="009C5807">
        <w:t xml:space="preserve">-1: </w:t>
      </w:r>
      <w:r w:rsidRPr="009C5807">
        <w:rPr>
          <w:lang w:eastAsia="zh-CN"/>
        </w:rPr>
        <w:t>SS-SINR</w:t>
      </w:r>
      <w:r w:rsidRPr="009C5807">
        <w:t xml:space="preserve"> Inter frequency relative accuracy</w:t>
      </w:r>
      <w:r w:rsidRPr="009C5807">
        <w:rPr>
          <w:sz w:val="22"/>
          <w:szCs w:val="22"/>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1F5A79" w:rsidRPr="009C5807" w14:paraId="3DB0A0EF" w14:textId="77777777" w:rsidTr="00DF3064">
        <w:trPr>
          <w:jc w:val="center"/>
        </w:trPr>
        <w:tc>
          <w:tcPr>
            <w:tcW w:w="2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DC4E1" w14:textId="77777777" w:rsidR="001F5A79" w:rsidRPr="009C5807" w:rsidRDefault="001F5A79" w:rsidP="00F47417">
            <w:pPr>
              <w:pStyle w:val="TAH"/>
            </w:pPr>
            <w:r w:rsidRPr="009C5807">
              <w:t>Accuracy</w:t>
            </w:r>
          </w:p>
        </w:tc>
        <w:tc>
          <w:tcPr>
            <w:tcW w:w="6548" w:type="dxa"/>
            <w:gridSpan w:val="4"/>
            <w:tcBorders>
              <w:top w:val="single" w:sz="4" w:space="0" w:color="auto"/>
              <w:left w:val="single" w:sz="4" w:space="0" w:color="auto"/>
              <w:bottom w:val="single" w:sz="4" w:space="0" w:color="auto"/>
              <w:right w:val="single" w:sz="4" w:space="0" w:color="auto"/>
            </w:tcBorders>
            <w:vAlign w:val="center"/>
          </w:tcPr>
          <w:p w14:paraId="5E56A97A" w14:textId="77777777" w:rsidR="001F5A79" w:rsidRPr="009C5807" w:rsidRDefault="001F5A79" w:rsidP="00F47417">
            <w:pPr>
              <w:pStyle w:val="TAH"/>
            </w:pPr>
            <w:r w:rsidRPr="009C5807">
              <w:t>Conditions</w:t>
            </w:r>
          </w:p>
        </w:tc>
      </w:tr>
      <w:tr w:rsidR="001F5A79" w:rsidRPr="009C5807" w14:paraId="2D5319C7" w14:textId="77777777" w:rsidTr="00991E68">
        <w:trPr>
          <w:jc w:val="center"/>
        </w:trPr>
        <w:tc>
          <w:tcPr>
            <w:tcW w:w="1122" w:type="dxa"/>
            <w:tcBorders>
              <w:top w:val="single" w:sz="4" w:space="0" w:color="auto"/>
              <w:left w:val="single" w:sz="4" w:space="0" w:color="auto"/>
              <w:right w:val="single" w:sz="4" w:space="0" w:color="auto"/>
            </w:tcBorders>
            <w:shd w:val="clear" w:color="auto" w:fill="auto"/>
            <w:vAlign w:val="center"/>
          </w:tcPr>
          <w:p w14:paraId="3C1AD514" w14:textId="77777777" w:rsidR="001F5A79" w:rsidRPr="009C5807" w:rsidRDefault="001F5A79" w:rsidP="00F47417">
            <w:pPr>
              <w:pStyle w:val="TAH"/>
            </w:pPr>
            <w:r w:rsidRPr="009C5807">
              <w:t>Normal condition</w:t>
            </w:r>
          </w:p>
        </w:tc>
        <w:tc>
          <w:tcPr>
            <w:tcW w:w="1119" w:type="dxa"/>
            <w:tcBorders>
              <w:top w:val="single" w:sz="4" w:space="0" w:color="auto"/>
              <w:left w:val="single" w:sz="4" w:space="0" w:color="auto"/>
              <w:right w:val="single" w:sz="4" w:space="0" w:color="auto"/>
            </w:tcBorders>
            <w:shd w:val="clear" w:color="auto" w:fill="auto"/>
            <w:vAlign w:val="center"/>
          </w:tcPr>
          <w:p w14:paraId="6C6D3B73" w14:textId="77777777" w:rsidR="001F5A79" w:rsidRPr="009C5807" w:rsidRDefault="001F5A79" w:rsidP="00F47417">
            <w:pPr>
              <w:pStyle w:val="TAH"/>
            </w:pPr>
            <w:r w:rsidRPr="009C5807">
              <w:t>Extreme condition</w:t>
            </w:r>
          </w:p>
        </w:tc>
        <w:tc>
          <w:tcPr>
            <w:tcW w:w="1119" w:type="dxa"/>
            <w:tcBorders>
              <w:top w:val="single" w:sz="4" w:space="0" w:color="auto"/>
              <w:left w:val="single" w:sz="4" w:space="0" w:color="auto"/>
              <w:right w:val="single" w:sz="4" w:space="0" w:color="auto"/>
            </w:tcBorders>
          </w:tcPr>
          <w:p w14:paraId="358EAD27" w14:textId="77777777" w:rsidR="001F5A79" w:rsidRPr="009C5807" w:rsidRDefault="001F5A79" w:rsidP="00F47417">
            <w:pPr>
              <w:pStyle w:val="TAH"/>
            </w:pPr>
            <w:r w:rsidRPr="009C5807">
              <w:rPr>
                <w:rFonts w:cs="Arial"/>
              </w:rPr>
              <w:t>SSB Ês/Iot</w:t>
            </w:r>
          </w:p>
        </w:tc>
        <w:tc>
          <w:tcPr>
            <w:tcW w:w="542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958D1B" w14:textId="77777777" w:rsidR="001F5A79" w:rsidRPr="009C5807" w:rsidRDefault="001F5A79" w:rsidP="00F47417">
            <w:pPr>
              <w:pStyle w:val="TAH"/>
            </w:pPr>
            <w:r w:rsidRPr="009C5807">
              <w:t>Io</w:t>
            </w:r>
            <w:r w:rsidRPr="009C5807">
              <w:rPr>
                <w:vertAlign w:val="superscript"/>
              </w:rPr>
              <w:t xml:space="preserve"> Note 2</w:t>
            </w:r>
            <w:r w:rsidRPr="009C5807">
              <w:t xml:space="preserve"> range</w:t>
            </w:r>
          </w:p>
        </w:tc>
      </w:tr>
      <w:tr w:rsidR="001F5A79" w:rsidRPr="009C5807" w14:paraId="15D11C6B" w14:textId="77777777" w:rsidTr="00991E68">
        <w:trPr>
          <w:jc w:val="center"/>
        </w:trPr>
        <w:tc>
          <w:tcPr>
            <w:tcW w:w="1122" w:type="dxa"/>
            <w:tcBorders>
              <w:left w:val="single" w:sz="4" w:space="0" w:color="auto"/>
              <w:bottom w:val="single" w:sz="4" w:space="0" w:color="auto"/>
              <w:right w:val="single" w:sz="4" w:space="0" w:color="auto"/>
            </w:tcBorders>
            <w:shd w:val="clear" w:color="auto" w:fill="auto"/>
            <w:vAlign w:val="center"/>
          </w:tcPr>
          <w:p w14:paraId="6810C061" w14:textId="77777777" w:rsidR="001F5A79" w:rsidRPr="009C5807" w:rsidRDefault="001F5A79" w:rsidP="00F47417">
            <w:pPr>
              <w:pStyle w:val="TAH"/>
            </w:pPr>
          </w:p>
        </w:tc>
        <w:tc>
          <w:tcPr>
            <w:tcW w:w="1119" w:type="dxa"/>
            <w:tcBorders>
              <w:left w:val="single" w:sz="4" w:space="0" w:color="auto"/>
              <w:bottom w:val="single" w:sz="4" w:space="0" w:color="auto"/>
              <w:right w:val="single" w:sz="4" w:space="0" w:color="auto"/>
            </w:tcBorders>
            <w:shd w:val="clear" w:color="auto" w:fill="auto"/>
            <w:vAlign w:val="center"/>
          </w:tcPr>
          <w:p w14:paraId="65B14851" w14:textId="77777777" w:rsidR="001F5A79" w:rsidRPr="009C5807" w:rsidRDefault="001F5A79" w:rsidP="00F47417">
            <w:pPr>
              <w:pStyle w:val="TAH"/>
            </w:pPr>
          </w:p>
        </w:tc>
        <w:tc>
          <w:tcPr>
            <w:tcW w:w="1119" w:type="dxa"/>
            <w:tcBorders>
              <w:left w:val="single" w:sz="4" w:space="0" w:color="auto"/>
              <w:bottom w:val="single" w:sz="4" w:space="0" w:color="auto"/>
              <w:right w:val="single" w:sz="4" w:space="0" w:color="auto"/>
            </w:tcBorders>
            <w:vAlign w:val="center"/>
          </w:tcPr>
          <w:p w14:paraId="5D3027A9" w14:textId="77777777" w:rsidR="001F5A79" w:rsidRPr="009C5807" w:rsidRDefault="001F5A79" w:rsidP="00F47417">
            <w:pPr>
              <w:pStyle w:val="TAH"/>
            </w:pP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6E6F3D" w14:textId="77777777" w:rsidR="001F5A79" w:rsidRPr="009C5807" w:rsidRDefault="001F5A79" w:rsidP="00F47417">
            <w:pPr>
              <w:pStyle w:val="TAH"/>
            </w:pPr>
            <w:r w:rsidRPr="009C5807">
              <w:t>Minimum Io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6AE3FC3" w14:textId="77777777" w:rsidR="001F5A79" w:rsidRPr="009C5807" w:rsidRDefault="001F5A79" w:rsidP="00F47417">
            <w:pPr>
              <w:pStyle w:val="TAH"/>
            </w:pPr>
            <w:r w:rsidRPr="009C5807">
              <w:t>Maximum Io</w:t>
            </w:r>
          </w:p>
        </w:tc>
      </w:tr>
      <w:tr w:rsidR="001F5A79" w:rsidRPr="009C5807" w14:paraId="71267617" w14:textId="77777777" w:rsidTr="00991E68">
        <w:trPr>
          <w:jc w:val="center"/>
        </w:trPr>
        <w:tc>
          <w:tcPr>
            <w:tcW w:w="1122" w:type="dxa"/>
            <w:tcBorders>
              <w:top w:val="single" w:sz="4" w:space="0" w:color="auto"/>
              <w:left w:val="single" w:sz="4" w:space="0" w:color="auto"/>
              <w:right w:val="single" w:sz="4" w:space="0" w:color="auto"/>
            </w:tcBorders>
            <w:shd w:val="clear" w:color="auto" w:fill="auto"/>
            <w:vAlign w:val="center"/>
          </w:tcPr>
          <w:p w14:paraId="123C0306" w14:textId="77777777" w:rsidR="001F5A79" w:rsidRPr="009C5807" w:rsidRDefault="001F5A79" w:rsidP="00F47417">
            <w:pPr>
              <w:pStyle w:val="TAH"/>
            </w:pPr>
            <w:r w:rsidRPr="009C5807">
              <w:t>dB</w:t>
            </w:r>
          </w:p>
        </w:tc>
        <w:tc>
          <w:tcPr>
            <w:tcW w:w="1119" w:type="dxa"/>
            <w:tcBorders>
              <w:top w:val="single" w:sz="4" w:space="0" w:color="auto"/>
              <w:left w:val="single" w:sz="4" w:space="0" w:color="auto"/>
              <w:right w:val="single" w:sz="4" w:space="0" w:color="auto"/>
            </w:tcBorders>
            <w:shd w:val="clear" w:color="auto" w:fill="auto"/>
            <w:vAlign w:val="center"/>
          </w:tcPr>
          <w:p w14:paraId="234CC1F7" w14:textId="77777777" w:rsidR="001F5A79" w:rsidRPr="009C5807" w:rsidRDefault="001F5A79" w:rsidP="00F47417">
            <w:pPr>
              <w:pStyle w:val="TAH"/>
            </w:pPr>
            <w:r w:rsidRPr="009C5807">
              <w:t>dB</w:t>
            </w:r>
          </w:p>
        </w:tc>
        <w:tc>
          <w:tcPr>
            <w:tcW w:w="1119" w:type="dxa"/>
            <w:tcBorders>
              <w:top w:val="single" w:sz="4" w:space="0" w:color="auto"/>
              <w:left w:val="single" w:sz="4" w:space="0" w:color="auto"/>
              <w:right w:val="single" w:sz="4" w:space="0" w:color="auto"/>
            </w:tcBorders>
            <w:vAlign w:val="center"/>
          </w:tcPr>
          <w:p w14:paraId="52B9F0D4" w14:textId="77777777" w:rsidR="001F5A79" w:rsidRPr="009C5807" w:rsidRDefault="001F5A79" w:rsidP="00F47417">
            <w:pPr>
              <w:pStyle w:val="TAH"/>
              <w:rPr>
                <w:rFonts w:cs="Arial"/>
              </w:rPr>
            </w:pPr>
            <w:r w:rsidRPr="009C5807">
              <w:t>dB</w:t>
            </w:r>
          </w:p>
        </w:tc>
        <w:tc>
          <w:tcPr>
            <w:tcW w:w="31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58D586" w14:textId="77777777" w:rsidR="001F5A79" w:rsidRPr="009C5807" w:rsidRDefault="001F5A79" w:rsidP="00F47417">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1</w:t>
            </w:r>
          </w:p>
        </w:tc>
        <w:tc>
          <w:tcPr>
            <w:tcW w:w="2268" w:type="dxa"/>
            <w:tcBorders>
              <w:top w:val="single" w:sz="4" w:space="0" w:color="auto"/>
              <w:left w:val="single" w:sz="4" w:space="0" w:color="auto"/>
              <w:right w:val="single" w:sz="4" w:space="0" w:color="auto"/>
            </w:tcBorders>
            <w:shd w:val="clear" w:color="auto" w:fill="auto"/>
            <w:vAlign w:val="center"/>
          </w:tcPr>
          <w:p w14:paraId="65044DB8" w14:textId="77777777" w:rsidR="001F5A79" w:rsidRPr="009C5807" w:rsidRDefault="001F5A79" w:rsidP="00F47417">
            <w:pPr>
              <w:pStyle w:val="TAH"/>
            </w:pPr>
            <w:r w:rsidRPr="009C5807">
              <w:t>dBm/BW</w:t>
            </w:r>
            <w:r w:rsidRPr="009C5807">
              <w:rPr>
                <w:vertAlign w:val="subscript"/>
              </w:rPr>
              <w:t>Channel</w:t>
            </w:r>
          </w:p>
        </w:tc>
      </w:tr>
      <w:tr w:rsidR="001F5A79" w:rsidRPr="009C5807" w14:paraId="5F67A533" w14:textId="77777777" w:rsidTr="00485F6E">
        <w:trPr>
          <w:jc w:val="center"/>
        </w:trPr>
        <w:tc>
          <w:tcPr>
            <w:tcW w:w="1122" w:type="dxa"/>
            <w:tcBorders>
              <w:left w:val="single" w:sz="4" w:space="0" w:color="auto"/>
              <w:bottom w:val="single" w:sz="4" w:space="0" w:color="auto"/>
              <w:right w:val="single" w:sz="4" w:space="0" w:color="auto"/>
            </w:tcBorders>
            <w:shd w:val="clear" w:color="auto" w:fill="auto"/>
          </w:tcPr>
          <w:p w14:paraId="6B8D3FEC"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shd w:val="clear" w:color="auto" w:fill="auto"/>
          </w:tcPr>
          <w:p w14:paraId="24DA2C69" w14:textId="77777777" w:rsidR="001F5A79" w:rsidRPr="009C5807" w:rsidRDefault="001F5A79" w:rsidP="00485F6E">
            <w:pPr>
              <w:pStyle w:val="TAH"/>
            </w:pPr>
          </w:p>
        </w:tc>
        <w:tc>
          <w:tcPr>
            <w:tcW w:w="1119" w:type="dxa"/>
            <w:tcBorders>
              <w:left w:val="single" w:sz="4" w:space="0" w:color="auto"/>
              <w:bottom w:val="single" w:sz="4" w:space="0" w:color="auto"/>
              <w:right w:val="single" w:sz="4" w:space="0" w:color="auto"/>
            </w:tcBorders>
          </w:tcPr>
          <w:p w14:paraId="60E66C5E" w14:textId="77777777" w:rsidR="001F5A79" w:rsidRPr="009C5807" w:rsidRDefault="001F5A79" w:rsidP="00485F6E">
            <w:pPr>
              <w:pStyle w:val="TAH"/>
            </w:pP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02D84325" w14:textId="77777777" w:rsidR="001F5A79" w:rsidRPr="009C5807" w:rsidRDefault="001F5A79" w:rsidP="00485F6E">
            <w:pPr>
              <w:pStyle w:val="TAH"/>
            </w:pPr>
            <w:r w:rsidRPr="009C5807">
              <w:t>SCS</w:t>
            </w:r>
            <w:r w:rsidRPr="009C5807">
              <w:rPr>
                <w:vertAlign w:val="subscript"/>
              </w:rPr>
              <w:t>SSB</w:t>
            </w:r>
            <w:r w:rsidRPr="009C5807">
              <w:rPr>
                <w:rFonts w:cs="Arial"/>
              </w:rPr>
              <w:t xml:space="preserve"> = 120kHz</w:t>
            </w:r>
          </w:p>
        </w:tc>
        <w:tc>
          <w:tcPr>
            <w:tcW w:w="1581" w:type="dxa"/>
            <w:tcBorders>
              <w:top w:val="single" w:sz="4" w:space="0" w:color="auto"/>
              <w:left w:val="single" w:sz="4" w:space="0" w:color="auto"/>
              <w:bottom w:val="single" w:sz="4" w:space="0" w:color="auto"/>
              <w:right w:val="single" w:sz="4" w:space="0" w:color="auto"/>
            </w:tcBorders>
            <w:shd w:val="clear" w:color="auto" w:fill="auto"/>
          </w:tcPr>
          <w:p w14:paraId="3D94929F" w14:textId="77777777" w:rsidR="001F5A79" w:rsidRPr="009C5807" w:rsidRDefault="001F5A79" w:rsidP="00485F6E">
            <w:pPr>
              <w:pStyle w:val="TAH"/>
            </w:pPr>
            <w:r w:rsidRPr="009C5807">
              <w:t>SCS</w:t>
            </w:r>
            <w:r w:rsidRPr="009C5807">
              <w:rPr>
                <w:vertAlign w:val="subscript"/>
              </w:rPr>
              <w:t>SSB</w:t>
            </w:r>
            <w:r w:rsidRPr="009C5807">
              <w:rPr>
                <w:rFonts w:cs="Arial"/>
              </w:rPr>
              <w:t xml:space="preserve"> = 240kHz</w:t>
            </w:r>
          </w:p>
        </w:tc>
        <w:tc>
          <w:tcPr>
            <w:tcW w:w="2268" w:type="dxa"/>
            <w:tcBorders>
              <w:left w:val="single" w:sz="4" w:space="0" w:color="auto"/>
              <w:bottom w:val="single" w:sz="4" w:space="0" w:color="auto"/>
              <w:right w:val="single" w:sz="4" w:space="0" w:color="auto"/>
            </w:tcBorders>
            <w:shd w:val="clear" w:color="auto" w:fill="auto"/>
          </w:tcPr>
          <w:p w14:paraId="07C9AFBD" w14:textId="77777777" w:rsidR="001F5A79" w:rsidRPr="009C5807" w:rsidRDefault="001F5A79" w:rsidP="00485F6E">
            <w:pPr>
              <w:pStyle w:val="TAH"/>
            </w:pPr>
          </w:p>
        </w:tc>
      </w:tr>
      <w:tr w:rsidR="001F5A79" w:rsidRPr="009C5807" w14:paraId="04994589"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6397091" w14:textId="77777777" w:rsidR="001F5A79" w:rsidRPr="009C5807" w:rsidRDefault="001F5A79" w:rsidP="00485F6E">
            <w:pPr>
              <w:pStyle w:val="TAC"/>
            </w:pPr>
            <w:r w:rsidRPr="009C5807">
              <w:sym w:font="Symbol" w:char="F0B1"/>
            </w:r>
            <w:r w:rsidRPr="009C5807">
              <w:t>3.5</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04A038C1" w14:textId="77777777" w:rsidR="001F5A79" w:rsidRPr="009C5807" w:rsidRDefault="001F5A79"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11AE01EF" w14:textId="77777777" w:rsidR="001F5A79" w:rsidRPr="009C5807" w:rsidRDefault="001F5A79" w:rsidP="00485F6E">
            <w:pPr>
              <w:pStyle w:val="TAC"/>
            </w:pPr>
            <w:r w:rsidRPr="009C5807">
              <w:rPr>
                <w:rFonts w:eastAsia="Yu Mincho" w:cs="Arial"/>
                <w:lang w:eastAsia="ja-JP"/>
              </w:rPr>
              <w:t>≥</w:t>
            </w:r>
            <w:r w:rsidRPr="009C5807">
              <w:t>-3</w:t>
            </w:r>
          </w:p>
        </w:tc>
        <w:tc>
          <w:tcPr>
            <w:tcW w:w="3161" w:type="dxa"/>
            <w:gridSpan w:val="2"/>
            <w:tcBorders>
              <w:top w:val="single" w:sz="4" w:space="0" w:color="auto"/>
              <w:left w:val="single" w:sz="4" w:space="0" w:color="auto"/>
              <w:right w:val="single" w:sz="4" w:space="0" w:color="auto"/>
            </w:tcBorders>
            <w:shd w:val="clear" w:color="auto" w:fill="auto"/>
          </w:tcPr>
          <w:p w14:paraId="5B8CDBAE" w14:textId="77777777" w:rsidR="001F5A79" w:rsidRPr="009C5807" w:rsidRDefault="001F5A79" w:rsidP="00485F6E">
            <w:pPr>
              <w:pStyle w:val="TAC"/>
              <w:rPr>
                <w:rFonts w:eastAsia="Yu Mincho"/>
                <w:lang w:eastAsia="ja-JP"/>
              </w:rPr>
            </w:pPr>
            <w:r w:rsidRPr="009C5807">
              <w:t>Same value as SSB_RP in Table B.2.2-2, according to UE Power class, operating band and angle of arrival</w:t>
            </w:r>
          </w:p>
        </w:tc>
        <w:tc>
          <w:tcPr>
            <w:tcW w:w="2268" w:type="dxa"/>
            <w:tcBorders>
              <w:top w:val="single" w:sz="4" w:space="0" w:color="auto"/>
              <w:left w:val="single" w:sz="4" w:space="0" w:color="auto"/>
              <w:right w:val="single" w:sz="4" w:space="0" w:color="auto"/>
            </w:tcBorders>
            <w:shd w:val="clear" w:color="auto" w:fill="auto"/>
          </w:tcPr>
          <w:p w14:paraId="45D48258" w14:textId="77777777" w:rsidR="001F5A79" w:rsidRPr="009C5807" w:rsidRDefault="001F5A79" w:rsidP="00485F6E">
            <w:pPr>
              <w:pStyle w:val="TAC"/>
            </w:pPr>
            <w:r w:rsidRPr="009C5807">
              <w:t>-50</w:t>
            </w:r>
          </w:p>
        </w:tc>
      </w:tr>
      <w:tr w:rsidR="001F5A79" w:rsidRPr="009C5807" w14:paraId="634B1B16" w14:textId="77777777" w:rsidTr="00485F6E">
        <w:trPr>
          <w:trHeight w:val="465"/>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70D4AE6" w14:textId="77777777" w:rsidR="001F5A79" w:rsidRPr="009C5807" w:rsidRDefault="001F5A79"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shd w:val="clear" w:color="auto" w:fill="auto"/>
          </w:tcPr>
          <w:p w14:paraId="23FF20E3" w14:textId="77777777" w:rsidR="001F5A79" w:rsidRPr="009C5807" w:rsidRDefault="001F5A79" w:rsidP="00485F6E">
            <w:pPr>
              <w:pStyle w:val="TAC"/>
            </w:pPr>
            <w:r w:rsidRPr="009C5807">
              <w:sym w:font="Symbol" w:char="F0B1"/>
            </w:r>
            <w:r w:rsidRPr="009C5807">
              <w:t>4</w:t>
            </w:r>
          </w:p>
        </w:tc>
        <w:tc>
          <w:tcPr>
            <w:tcW w:w="1119" w:type="dxa"/>
            <w:tcBorders>
              <w:top w:val="single" w:sz="4" w:space="0" w:color="auto"/>
              <w:left w:val="single" w:sz="4" w:space="0" w:color="auto"/>
              <w:bottom w:val="single" w:sz="4" w:space="0" w:color="auto"/>
              <w:right w:val="single" w:sz="4" w:space="0" w:color="auto"/>
            </w:tcBorders>
          </w:tcPr>
          <w:p w14:paraId="0D9D7B4F" w14:textId="77777777" w:rsidR="001F5A79" w:rsidRPr="009C5807" w:rsidRDefault="001F5A79" w:rsidP="00485F6E">
            <w:pPr>
              <w:pStyle w:val="TAC"/>
            </w:pPr>
            <w:r w:rsidRPr="009C5807">
              <w:rPr>
                <w:rFonts w:eastAsia="Yu Mincho" w:cs="Arial"/>
                <w:lang w:eastAsia="ja-JP"/>
              </w:rPr>
              <w:t>≥-6</w:t>
            </w:r>
          </w:p>
        </w:tc>
        <w:tc>
          <w:tcPr>
            <w:tcW w:w="3161" w:type="dxa"/>
            <w:gridSpan w:val="2"/>
            <w:tcBorders>
              <w:left w:val="single" w:sz="4" w:space="0" w:color="auto"/>
              <w:bottom w:val="single" w:sz="4" w:space="0" w:color="auto"/>
              <w:right w:val="single" w:sz="4" w:space="0" w:color="auto"/>
            </w:tcBorders>
            <w:shd w:val="clear" w:color="auto" w:fill="auto"/>
          </w:tcPr>
          <w:p w14:paraId="6D904D2E" w14:textId="77777777" w:rsidR="001F5A79" w:rsidRPr="009C5807" w:rsidRDefault="001F5A79" w:rsidP="00485F6E">
            <w:pPr>
              <w:pStyle w:val="TAC"/>
            </w:pPr>
          </w:p>
        </w:tc>
        <w:tc>
          <w:tcPr>
            <w:tcW w:w="2268" w:type="dxa"/>
            <w:tcBorders>
              <w:left w:val="single" w:sz="4" w:space="0" w:color="auto"/>
              <w:bottom w:val="single" w:sz="4" w:space="0" w:color="auto"/>
              <w:right w:val="single" w:sz="4" w:space="0" w:color="auto"/>
            </w:tcBorders>
            <w:shd w:val="clear" w:color="auto" w:fill="auto"/>
          </w:tcPr>
          <w:p w14:paraId="53EDC27D" w14:textId="77777777" w:rsidR="001F5A79" w:rsidRPr="009C5807" w:rsidRDefault="001F5A79" w:rsidP="00485F6E">
            <w:pPr>
              <w:pStyle w:val="TAC"/>
            </w:pPr>
          </w:p>
        </w:tc>
      </w:tr>
      <w:tr w:rsidR="001F5A79" w:rsidRPr="009C5807" w14:paraId="3D9A1DE7" w14:textId="77777777" w:rsidTr="00DF3064">
        <w:trPr>
          <w:jc w:val="center"/>
        </w:trPr>
        <w:tc>
          <w:tcPr>
            <w:tcW w:w="878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35B077D" w14:textId="77777777" w:rsidR="001F5A79" w:rsidRPr="009C5807" w:rsidRDefault="001F5A79" w:rsidP="00F47417">
            <w:pPr>
              <w:pStyle w:val="TAN"/>
            </w:pPr>
            <w:r w:rsidRPr="009C5807">
              <w:t>Note 1:</w:t>
            </w:r>
            <w:r w:rsidRPr="009C5807">
              <w:tab/>
              <w:t>Values based on Refsens and EIS spherical coverage as defined in clauses 7.3.2 and 7.3.4 of TS 38.101-2 [19]. Applicable side condition selected depending on angle of arrival.</w:t>
            </w:r>
          </w:p>
          <w:p w14:paraId="663B20D9" w14:textId="77777777" w:rsidR="001F5A79" w:rsidRPr="009C5807" w:rsidRDefault="001F5A79" w:rsidP="00F47417">
            <w:pPr>
              <w:pStyle w:val="TAN"/>
            </w:pPr>
            <w:r w:rsidRPr="009C5807">
              <w:t>Note 2:</w:t>
            </w:r>
            <w:r w:rsidRPr="009C5807">
              <w:tab/>
            </w:r>
            <w:r w:rsidRPr="009C5807">
              <w:rPr>
                <w:rFonts w:eastAsia="MS Mincho"/>
              </w:rPr>
              <w:t>Io specified at the Reference point, and assumed to have constant EPRE across the bandwidth</w:t>
            </w:r>
            <w:r w:rsidRPr="009C5807">
              <w:t>.</w:t>
            </w:r>
          </w:p>
          <w:p w14:paraId="056807E4" w14:textId="77777777" w:rsidR="001F5A79" w:rsidRPr="009C5807" w:rsidRDefault="001F5A79" w:rsidP="00F47417">
            <w:pPr>
              <w:pStyle w:val="TAN"/>
            </w:pPr>
            <w:r w:rsidRPr="009C5807">
              <w:t>Note 3:</w:t>
            </w:r>
            <w:r w:rsidRPr="009C5807">
              <w:tab/>
            </w:r>
            <w:r w:rsidRPr="009C5807">
              <w:rPr>
                <w:lang w:eastAsia="zh-CN"/>
              </w:rPr>
              <w:t xml:space="preserve">The parameter SSB </w:t>
            </w:r>
            <w:r w:rsidRPr="009C5807">
              <w:t>Ês/Iot</w:t>
            </w:r>
            <w:r w:rsidRPr="009C5807">
              <w:rPr>
                <w:lang w:eastAsia="zh-CN"/>
              </w:rPr>
              <w:t xml:space="preserve"> is the minimum SSB </w:t>
            </w:r>
            <w:r w:rsidRPr="009C5807">
              <w:t>Ês/Iot</w:t>
            </w:r>
            <w:r w:rsidRPr="009C5807">
              <w:rPr>
                <w:lang w:eastAsia="zh-CN"/>
              </w:rPr>
              <w:t xml:space="preserve"> of the pair of cells to which the requirement applies</w:t>
            </w:r>
            <w:r w:rsidRPr="009C5807">
              <w:t>.</w:t>
            </w:r>
          </w:p>
          <w:p w14:paraId="03036E41" w14:textId="77777777" w:rsidR="001F5A79" w:rsidRPr="009C5807" w:rsidRDefault="001F5A79" w:rsidP="00F47417">
            <w:pPr>
              <w:pStyle w:val="TAN"/>
            </w:pPr>
            <w:r w:rsidRPr="009C5807">
              <w:t>Note 4:</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p w14:paraId="35A95E79" w14:textId="77777777" w:rsidR="001F5A79" w:rsidRPr="009C5807" w:rsidRDefault="001F5A79" w:rsidP="00F47417">
            <w:pPr>
              <w:pStyle w:val="TAN"/>
            </w:pPr>
            <w:r w:rsidRPr="009C5807">
              <w:t>Note 5:</w:t>
            </w:r>
            <w:r w:rsidRPr="009C5807">
              <w:tab/>
            </w:r>
            <w:r w:rsidRPr="009C5807">
              <w:rPr>
                <w:rFonts w:cs="Arial"/>
              </w:rPr>
              <w:t xml:space="preserve">The requirements apply for SSB Ês/Iot </w:t>
            </w:r>
            <w:r w:rsidRPr="009C5807">
              <w:rPr>
                <w:rFonts w:cs="Arial" w:hint="eastAsia"/>
              </w:rPr>
              <w:t>≤</w:t>
            </w:r>
            <w:r w:rsidRPr="009C5807">
              <w:rPr>
                <w:rFonts w:cs="Arial"/>
              </w:rPr>
              <w:t xml:space="preserve"> 25 dB.</w:t>
            </w:r>
          </w:p>
        </w:tc>
      </w:tr>
    </w:tbl>
    <w:p w14:paraId="5C79FE82" w14:textId="77777777" w:rsidR="001F5A79" w:rsidRPr="009C5807" w:rsidRDefault="001F5A79" w:rsidP="001F5A79"/>
    <w:p w14:paraId="090E7E87" w14:textId="77777777" w:rsidR="00567E6C" w:rsidRPr="009C5807" w:rsidRDefault="00567E6C" w:rsidP="00F37389">
      <w:pPr>
        <w:pStyle w:val="Heading4"/>
        <w:rPr>
          <w:lang w:val="en-US" w:eastAsia="zh-CN"/>
        </w:rPr>
      </w:pPr>
      <w:r>
        <w:rPr>
          <w:lang w:val="en-US" w:eastAsia="zh-CN"/>
        </w:rPr>
        <w:t>10.1.15.2</w:t>
      </w:r>
      <w:r w:rsidRPr="009C5807">
        <w:rPr>
          <w:lang w:val="en-US" w:eastAsia="zh-CN"/>
        </w:rPr>
        <w:tab/>
      </w:r>
      <w:r w:rsidRPr="009C5807">
        <w:rPr>
          <w:lang w:val="en-US" w:eastAsia="ko-KR"/>
        </w:rPr>
        <w:t xml:space="preserve">Inter-frequency </w:t>
      </w:r>
      <w:r>
        <w:rPr>
          <w:lang w:val="en-US" w:eastAsia="ko-KR"/>
        </w:rPr>
        <w:t>CSI-SINR</w:t>
      </w:r>
      <w:r w:rsidRPr="009C5807">
        <w:rPr>
          <w:lang w:val="en-US" w:eastAsia="ko-KR"/>
        </w:rPr>
        <w:t xml:space="preserve"> accuracy requirements</w:t>
      </w:r>
      <w:r w:rsidRPr="009C5807">
        <w:rPr>
          <w:lang w:val="en-US" w:eastAsia="zh-CN"/>
        </w:rPr>
        <w:t xml:space="preserve"> in FR2</w:t>
      </w:r>
    </w:p>
    <w:p w14:paraId="0C18AF94" w14:textId="77777777" w:rsidR="00567E6C" w:rsidRPr="009C5807" w:rsidRDefault="00567E6C" w:rsidP="00F37389">
      <w:pPr>
        <w:pStyle w:val="Heading5"/>
        <w:rPr>
          <w:lang w:val="en-US" w:eastAsia="zh-CN"/>
        </w:rPr>
      </w:pPr>
      <w:r>
        <w:rPr>
          <w:lang w:val="en-US" w:eastAsia="zh-CN"/>
        </w:rPr>
        <w:t>10.1.15.2</w:t>
      </w:r>
      <w:r w:rsidRPr="009C5807">
        <w:rPr>
          <w:lang w:val="en-US" w:eastAsia="zh-CN"/>
        </w:rPr>
        <w:t>.1</w:t>
      </w:r>
      <w:r w:rsidRPr="009C5807">
        <w:rPr>
          <w:lang w:val="en-US" w:eastAsia="zh-CN"/>
        </w:rPr>
        <w:tab/>
      </w:r>
      <w:r w:rsidRPr="009C5807">
        <w:rPr>
          <w:lang w:eastAsia="zh-CN"/>
        </w:rPr>
        <w:t>Aboslute</w:t>
      </w:r>
      <w:r w:rsidRPr="009C5807">
        <w:t xml:space="preserve"> Accuracy of </w:t>
      </w:r>
      <w:r>
        <w:rPr>
          <w:lang w:eastAsia="zh-CN"/>
        </w:rPr>
        <w:t>CSI-SINR</w:t>
      </w:r>
      <w:r w:rsidRPr="009C5807">
        <w:rPr>
          <w:lang w:val="en-US" w:eastAsia="zh-CN"/>
        </w:rPr>
        <w:t xml:space="preserve"> in FR2</w:t>
      </w:r>
    </w:p>
    <w:p w14:paraId="2A146C87" w14:textId="77777777" w:rsidR="00567E6C" w:rsidRPr="009C5807" w:rsidRDefault="00567E6C" w:rsidP="00567E6C">
      <w:pPr>
        <w:rPr>
          <w:rFonts w:cs="v4.2.0"/>
          <w:i/>
        </w:rPr>
      </w:pPr>
      <w:r w:rsidRPr="009C5807">
        <w:rPr>
          <w:rFonts w:cs="v4.2.0"/>
        </w:rPr>
        <w:t>The requirements for absolute accuracy of</w:t>
      </w:r>
      <w:r w:rsidRPr="009C5807">
        <w:rPr>
          <w:rFonts w:cs="v4.2.0"/>
          <w:lang w:eastAsia="zh-CN"/>
        </w:rPr>
        <w:t xml:space="preserve"> </w:t>
      </w:r>
      <w:r>
        <w:rPr>
          <w:rFonts w:cs="v4.2.0"/>
          <w:lang w:eastAsia="zh-CN"/>
        </w:rPr>
        <w:t>CSI-SINR</w:t>
      </w:r>
      <w:r w:rsidRPr="009C5807">
        <w:rPr>
          <w:rFonts w:cs="v4.2.0"/>
        </w:rPr>
        <w:t xml:space="preserve"> in this clause apply to a cell on a frequency in FR2 that has different carrier frequency from the serving cell.</w:t>
      </w:r>
    </w:p>
    <w:p w14:paraId="6C942D83" w14:textId="77777777" w:rsidR="00567E6C" w:rsidRPr="009C5807" w:rsidRDefault="00567E6C" w:rsidP="00567E6C">
      <w:pPr>
        <w:rPr>
          <w:rFonts w:cs="v4.2.0"/>
        </w:rPr>
      </w:pPr>
      <w:r w:rsidRPr="009C5807">
        <w:rPr>
          <w:rFonts w:cs="v4.2.0"/>
        </w:rPr>
        <w:t xml:space="preserve">The accuracy requirements in Table </w:t>
      </w:r>
      <w:r>
        <w:rPr>
          <w:rFonts w:cs="v4.2.0"/>
          <w:lang w:eastAsia="zh-CN"/>
        </w:rPr>
        <w:t>10.1.15.2</w:t>
      </w:r>
      <w:r w:rsidRPr="009C5807">
        <w:rPr>
          <w:rFonts w:cs="v4.2.0"/>
          <w:lang w:eastAsia="zh-CN"/>
        </w:rPr>
        <w:t>.1</w:t>
      </w:r>
      <w:r w:rsidRPr="009C5807">
        <w:rPr>
          <w:rFonts w:cs="v4.2.0"/>
        </w:rPr>
        <w:t>-1 are valid under the following conditions:</w:t>
      </w:r>
    </w:p>
    <w:p w14:paraId="0BA2FCD2" w14:textId="77777777" w:rsidR="00567E6C" w:rsidRPr="009C5807" w:rsidRDefault="00567E6C" w:rsidP="00567E6C">
      <w:pPr>
        <w:pStyle w:val="B10"/>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06C9AC14" w14:textId="77777777" w:rsidR="00567E6C" w:rsidRPr="009C5807" w:rsidRDefault="00567E6C" w:rsidP="00567E6C">
      <w:pPr>
        <w:pStyle w:val="B10"/>
      </w:pPr>
      <w:r w:rsidRPr="009C5807">
        <w:t>-</w:t>
      </w:r>
      <w:r w:rsidRPr="009C5807">
        <w:rPr>
          <w:rFonts w:ascii="Arial" w:hAnsi="Arial"/>
          <w:sz w:val="28"/>
          <w:lang w:val="en-US"/>
        </w:rPr>
        <w:tab/>
      </w:r>
      <w:r w:rsidRPr="009C5807">
        <w:t>Conditions for inter-frequency measurements are fulfilled according to Annex B.2.</w:t>
      </w:r>
      <w:r>
        <w:rPr>
          <w:rFonts w:hint="eastAsia"/>
          <w:lang w:eastAsia="zh-CN"/>
        </w:rPr>
        <w:t>9</w:t>
      </w:r>
      <w:r w:rsidRPr="009C5807">
        <w:t xml:space="preserve"> for a corresponding Band.</w:t>
      </w:r>
    </w:p>
    <w:p w14:paraId="01DB400E" w14:textId="77777777" w:rsidR="00567E6C" w:rsidRDefault="00567E6C" w:rsidP="00567E6C">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533502D2" w14:textId="75C72469" w:rsidR="00567E6C" w:rsidRDefault="00567E6C" w:rsidP="00567E6C">
      <w:pPr>
        <w:pStyle w:val="B10"/>
        <w:rPr>
          <w:lang w:eastAsia="zh-CN"/>
        </w:rPr>
      </w:pPr>
      <w:r w:rsidRPr="009C5807">
        <w:t>-</w:t>
      </w:r>
      <w:r w:rsidRPr="009C5807">
        <w:tab/>
        <w:t xml:space="preserve">The </w:t>
      </w:r>
      <w:r>
        <w:t>timing offset</w:t>
      </w:r>
      <w:r w:rsidRPr="009C5807">
        <w:t xml:space="preserve"> between </w:t>
      </w:r>
      <w:r w:rsidRPr="007A0398">
        <w:t>the reference measurement timing and the target CSI-RS in one layer</w:t>
      </w:r>
      <w:r>
        <w:t xml:space="preserve"> </w:t>
      </w:r>
      <w:r w:rsidRPr="009C5807">
        <w:t xml:space="preserve">is </w:t>
      </w:r>
      <w:r>
        <w:t>no larger than CP</w:t>
      </w:r>
      <w:r>
        <w:rPr>
          <w:rFonts w:hint="eastAsia"/>
          <w:lang w:eastAsia="zh-CN"/>
        </w:rPr>
        <w:t>.</w:t>
      </w:r>
    </w:p>
    <w:p w14:paraId="73CCC481" w14:textId="7C4C0426" w:rsidR="00567E6C" w:rsidRDefault="00567E6C" w:rsidP="00F37389">
      <w:pPr>
        <w:pStyle w:val="B20"/>
        <w:rPr>
          <w:lang w:eastAsia="zh-CN"/>
        </w:rPr>
      </w:pPr>
      <w:r>
        <w:rPr>
          <w:rFonts w:hint="eastAsia"/>
          <w:lang w:eastAsia="zh-CN"/>
        </w:rPr>
        <w:t>•</w:t>
      </w:r>
      <w:r>
        <w:rPr>
          <w:lang w:eastAsia="zh-CN"/>
        </w:rPr>
        <w:tab/>
      </w:r>
      <w:r w:rsidRPr="0074207F">
        <w:rPr>
          <w:lang w:eastAsia="zh-CN"/>
        </w:rPr>
        <w:t>Note: The reference measurement timing for inter-frequency measurement is up to UE implementation and shall be based on the timing of one of the target cells.</w:t>
      </w:r>
    </w:p>
    <w:p w14:paraId="04700B28" w14:textId="77777777" w:rsidR="00567E6C" w:rsidRDefault="00567E6C" w:rsidP="00567E6C">
      <w:pPr>
        <w:pStyle w:val="B10"/>
        <w:rPr>
          <w:lang w:eastAsia="zh-CN"/>
        </w:rPr>
      </w:pPr>
      <w:r>
        <w:rPr>
          <w:lang w:eastAsia="zh-CN"/>
        </w:rPr>
        <w:t>-</w:t>
      </w:r>
      <w:r>
        <w:rPr>
          <w:lang w:eastAsia="zh-CN"/>
        </w:rPr>
        <w:tab/>
        <w:t xml:space="preserve">The bandwidth of CSI-RS is 48 PRBs and the density is 3. </w:t>
      </w:r>
    </w:p>
    <w:p w14:paraId="5968B859" w14:textId="77777777" w:rsidR="00567E6C" w:rsidRPr="006B1BC4" w:rsidRDefault="00567E6C" w:rsidP="00F37389">
      <w:pPr>
        <w:pStyle w:val="B20"/>
        <w:rPr>
          <w:lang w:eastAsia="zh-CN"/>
        </w:rPr>
      </w:pPr>
      <w:r>
        <w:rPr>
          <w:rFonts w:hint="eastAsia"/>
          <w:lang w:eastAsia="zh-CN"/>
        </w:rPr>
        <w:t>•</w:t>
      </w:r>
      <w:r>
        <w:rPr>
          <w:lang w:eastAsia="zh-CN"/>
        </w:rPr>
        <w:tab/>
        <w:t>The performance with larger bandwidth of CSI-RS is equal to or better than the accuracy requirements in Table 10.1.15.2</w:t>
      </w:r>
      <w:r w:rsidRPr="009C5807">
        <w:rPr>
          <w:lang w:eastAsia="zh-CN"/>
        </w:rPr>
        <w:t>.1</w:t>
      </w:r>
      <w:r w:rsidRPr="009C5807">
        <w:t>-1</w:t>
      </w:r>
      <w:r>
        <w:rPr>
          <w:lang w:eastAsia="zh-CN"/>
        </w:rPr>
        <w:t>.</w:t>
      </w:r>
    </w:p>
    <w:p w14:paraId="21751EBA" w14:textId="77777777" w:rsidR="00567E6C" w:rsidRDefault="00567E6C" w:rsidP="00567E6C">
      <w:pPr>
        <w:pStyle w:val="TH"/>
        <w:rPr>
          <w:lang w:eastAsia="zh-CN"/>
        </w:rPr>
      </w:pPr>
      <w:r w:rsidRPr="009C5807">
        <w:t xml:space="preserve">Table </w:t>
      </w:r>
      <w:r>
        <w:rPr>
          <w:lang w:eastAsia="zh-CN"/>
        </w:rPr>
        <w:t>10.1.15.2</w:t>
      </w:r>
      <w:r w:rsidRPr="009C5807">
        <w:rPr>
          <w:lang w:eastAsia="zh-CN"/>
        </w:rPr>
        <w:t>.1</w:t>
      </w:r>
      <w:r w:rsidRPr="009C5807">
        <w:t xml:space="preserve">-1: </w:t>
      </w:r>
      <w:r>
        <w:rPr>
          <w:lang w:eastAsia="zh-CN"/>
        </w:rPr>
        <w:t>CSI-SINR</w:t>
      </w:r>
      <w:r w:rsidRPr="009C5807">
        <w:t xml:space="preserve"> Inter frequency absolute accuracy</w:t>
      </w:r>
      <w:r w:rsidRPr="009C5807">
        <w:rPr>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567E6C" w14:paraId="18D7117F" w14:textId="77777777" w:rsidTr="00567E6C">
        <w:trPr>
          <w:jc w:val="center"/>
        </w:trPr>
        <w:tc>
          <w:tcPr>
            <w:tcW w:w="2241" w:type="dxa"/>
            <w:gridSpan w:val="2"/>
            <w:tcBorders>
              <w:top w:val="single" w:sz="4" w:space="0" w:color="auto"/>
              <w:left w:val="single" w:sz="4" w:space="0" w:color="auto"/>
              <w:bottom w:val="single" w:sz="4" w:space="0" w:color="auto"/>
              <w:right w:val="single" w:sz="4" w:space="0" w:color="auto"/>
            </w:tcBorders>
            <w:vAlign w:val="center"/>
            <w:hideMark/>
          </w:tcPr>
          <w:p w14:paraId="25288ABB" w14:textId="77777777" w:rsidR="00567E6C" w:rsidRDefault="00567E6C" w:rsidP="00567E6C">
            <w:pPr>
              <w:pStyle w:val="TAH"/>
            </w:pPr>
            <w:r>
              <w:t>Accuracy</w:t>
            </w:r>
          </w:p>
        </w:tc>
        <w:tc>
          <w:tcPr>
            <w:tcW w:w="6548" w:type="dxa"/>
            <w:gridSpan w:val="4"/>
            <w:tcBorders>
              <w:top w:val="single" w:sz="4" w:space="0" w:color="auto"/>
              <w:left w:val="single" w:sz="4" w:space="0" w:color="auto"/>
              <w:bottom w:val="single" w:sz="4" w:space="0" w:color="auto"/>
              <w:right w:val="single" w:sz="4" w:space="0" w:color="auto"/>
            </w:tcBorders>
            <w:vAlign w:val="center"/>
            <w:hideMark/>
          </w:tcPr>
          <w:p w14:paraId="1F5EF483" w14:textId="77777777" w:rsidR="00567E6C" w:rsidRDefault="00567E6C" w:rsidP="00567E6C">
            <w:pPr>
              <w:pStyle w:val="TAH"/>
            </w:pPr>
            <w:r>
              <w:t>Conditions</w:t>
            </w:r>
          </w:p>
        </w:tc>
      </w:tr>
      <w:tr w:rsidR="00567E6C" w14:paraId="0810393F" w14:textId="77777777" w:rsidTr="00567E6C">
        <w:trPr>
          <w:jc w:val="center"/>
        </w:trPr>
        <w:tc>
          <w:tcPr>
            <w:tcW w:w="1122" w:type="dxa"/>
            <w:tcBorders>
              <w:top w:val="nil"/>
              <w:left w:val="single" w:sz="4" w:space="0" w:color="auto"/>
              <w:bottom w:val="nil"/>
              <w:right w:val="single" w:sz="4" w:space="0" w:color="auto"/>
            </w:tcBorders>
            <w:vAlign w:val="center"/>
            <w:hideMark/>
          </w:tcPr>
          <w:p w14:paraId="0DC6E8B1" w14:textId="77777777" w:rsidR="00567E6C" w:rsidRDefault="00567E6C" w:rsidP="00567E6C">
            <w:pPr>
              <w:pStyle w:val="TAH"/>
            </w:pPr>
            <w:r>
              <w:t>Normal condition</w:t>
            </w:r>
          </w:p>
        </w:tc>
        <w:tc>
          <w:tcPr>
            <w:tcW w:w="1119" w:type="dxa"/>
            <w:tcBorders>
              <w:top w:val="nil"/>
              <w:left w:val="single" w:sz="4" w:space="0" w:color="auto"/>
              <w:bottom w:val="nil"/>
              <w:right w:val="single" w:sz="4" w:space="0" w:color="auto"/>
            </w:tcBorders>
            <w:vAlign w:val="center"/>
            <w:hideMark/>
          </w:tcPr>
          <w:p w14:paraId="22D98094" w14:textId="77777777" w:rsidR="00567E6C" w:rsidRDefault="00567E6C" w:rsidP="00567E6C">
            <w:pPr>
              <w:pStyle w:val="TAH"/>
            </w:pPr>
            <w:r>
              <w:t>Extreme condition</w:t>
            </w:r>
          </w:p>
        </w:tc>
        <w:tc>
          <w:tcPr>
            <w:tcW w:w="1119" w:type="dxa"/>
            <w:tcBorders>
              <w:top w:val="nil"/>
              <w:left w:val="single" w:sz="4" w:space="0" w:color="auto"/>
              <w:bottom w:val="nil"/>
              <w:right w:val="single" w:sz="4" w:space="0" w:color="auto"/>
            </w:tcBorders>
            <w:hideMark/>
          </w:tcPr>
          <w:p w14:paraId="0D26830A" w14:textId="77777777" w:rsidR="00567E6C" w:rsidRDefault="00567E6C" w:rsidP="00567E6C">
            <w:pPr>
              <w:pStyle w:val="TAH"/>
            </w:pPr>
            <w:r>
              <w:rPr>
                <w:rFonts w:cs="Arial"/>
                <w:lang w:eastAsia="zh-CN"/>
              </w:rPr>
              <w:t>CSI-RS</w:t>
            </w:r>
            <w:r>
              <w:rPr>
                <w:rFonts w:cs="Arial"/>
              </w:rPr>
              <w:t xml:space="preserve"> Ês/Iot</w:t>
            </w:r>
          </w:p>
        </w:tc>
        <w:tc>
          <w:tcPr>
            <w:tcW w:w="5429" w:type="dxa"/>
            <w:gridSpan w:val="3"/>
            <w:tcBorders>
              <w:top w:val="single" w:sz="4" w:space="0" w:color="auto"/>
              <w:left w:val="single" w:sz="4" w:space="0" w:color="auto"/>
              <w:bottom w:val="single" w:sz="4" w:space="0" w:color="auto"/>
              <w:right w:val="single" w:sz="4" w:space="0" w:color="auto"/>
            </w:tcBorders>
            <w:vAlign w:val="center"/>
            <w:hideMark/>
          </w:tcPr>
          <w:p w14:paraId="197DBEDF" w14:textId="77777777" w:rsidR="00567E6C" w:rsidRDefault="00567E6C" w:rsidP="00567E6C">
            <w:pPr>
              <w:pStyle w:val="TAH"/>
            </w:pPr>
            <w:r>
              <w:t>Io</w:t>
            </w:r>
            <w:r>
              <w:rPr>
                <w:vertAlign w:val="superscript"/>
              </w:rPr>
              <w:t xml:space="preserve"> Note 2</w:t>
            </w:r>
            <w:r>
              <w:t xml:space="preserve"> range</w:t>
            </w:r>
          </w:p>
        </w:tc>
      </w:tr>
      <w:tr w:rsidR="00567E6C" w14:paraId="5809B3A4" w14:textId="77777777" w:rsidTr="00567E6C">
        <w:trPr>
          <w:jc w:val="center"/>
        </w:trPr>
        <w:tc>
          <w:tcPr>
            <w:tcW w:w="1122" w:type="dxa"/>
            <w:tcBorders>
              <w:top w:val="nil"/>
              <w:left w:val="single" w:sz="4" w:space="0" w:color="auto"/>
              <w:bottom w:val="single" w:sz="4" w:space="0" w:color="auto"/>
              <w:right w:val="single" w:sz="4" w:space="0" w:color="auto"/>
            </w:tcBorders>
          </w:tcPr>
          <w:p w14:paraId="7170DD42"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11E50FBC"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1B99625C" w14:textId="77777777" w:rsidR="00567E6C" w:rsidRDefault="00567E6C" w:rsidP="00567E6C">
            <w:pPr>
              <w:pStyle w:val="TAH"/>
            </w:pPr>
          </w:p>
        </w:tc>
        <w:tc>
          <w:tcPr>
            <w:tcW w:w="3161" w:type="dxa"/>
            <w:gridSpan w:val="2"/>
            <w:tcBorders>
              <w:top w:val="single" w:sz="4" w:space="0" w:color="auto"/>
              <w:left w:val="single" w:sz="4" w:space="0" w:color="auto"/>
              <w:bottom w:val="single" w:sz="4" w:space="0" w:color="auto"/>
              <w:right w:val="single" w:sz="4" w:space="0" w:color="auto"/>
            </w:tcBorders>
            <w:hideMark/>
          </w:tcPr>
          <w:p w14:paraId="665F2CB3" w14:textId="77777777" w:rsidR="00567E6C" w:rsidRDefault="00567E6C" w:rsidP="00567E6C">
            <w:pPr>
              <w:pStyle w:val="TAH"/>
            </w:pPr>
            <w:r>
              <w:t>Minimum Io</w:t>
            </w:r>
          </w:p>
        </w:tc>
        <w:tc>
          <w:tcPr>
            <w:tcW w:w="2268" w:type="dxa"/>
            <w:tcBorders>
              <w:top w:val="single" w:sz="4" w:space="0" w:color="auto"/>
              <w:left w:val="single" w:sz="4" w:space="0" w:color="auto"/>
              <w:bottom w:val="single" w:sz="4" w:space="0" w:color="auto"/>
              <w:right w:val="single" w:sz="4" w:space="0" w:color="auto"/>
            </w:tcBorders>
            <w:hideMark/>
          </w:tcPr>
          <w:p w14:paraId="6C42C197" w14:textId="77777777" w:rsidR="00567E6C" w:rsidRDefault="00567E6C" w:rsidP="00567E6C">
            <w:pPr>
              <w:pStyle w:val="TAH"/>
            </w:pPr>
            <w:r>
              <w:t>Maximum Io</w:t>
            </w:r>
          </w:p>
        </w:tc>
      </w:tr>
      <w:tr w:rsidR="00567E6C" w14:paraId="0CB9723F" w14:textId="77777777" w:rsidTr="00567E6C">
        <w:trPr>
          <w:jc w:val="center"/>
        </w:trPr>
        <w:tc>
          <w:tcPr>
            <w:tcW w:w="1122" w:type="dxa"/>
            <w:tcBorders>
              <w:top w:val="single" w:sz="4" w:space="0" w:color="auto"/>
              <w:left w:val="single" w:sz="4" w:space="0" w:color="auto"/>
              <w:bottom w:val="nil"/>
              <w:right w:val="single" w:sz="4" w:space="0" w:color="auto"/>
            </w:tcBorders>
            <w:hideMark/>
          </w:tcPr>
          <w:p w14:paraId="073D891A" w14:textId="77777777" w:rsidR="00567E6C" w:rsidRDefault="00567E6C" w:rsidP="00567E6C">
            <w:pPr>
              <w:pStyle w:val="TAH"/>
            </w:pPr>
            <w:r>
              <w:t>dB</w:t>
            </w:r>
          </w:p>
        </w:tc>
        <w:tc>
          <w:tcPr>
            <w:tcW w:w="1119" w:type="dxa"/>
            <w:tcBorders>
              <w:top w:val="single" w:sz="4" w:space="0" w:color="auto"/>
              <w:left w:val="single" w:sz="4" w:space="0" w:color="auto"/>
              <w:bottom w:val="nil"/>
              <w:right w:val="single" w:sz="4" w:space="0" w:color="auto"/>
            </w:tcBorders>
            <w:hideMark/>
          </w:tcPr>
          <w:p w14:paraId="5EC15AD9" w14:textId="77777777" w:rsidR="00567E6C" w:rsidRDefault="00567E6C" w:rsidP="00567E6C">
            <w:pPr>
              <w:pStyle w:val="TAH"/>
            </w:pPr>
            <w:r>
              <w:t>dB</w:t>
            </w:r>
          </w:p>
        </w:tc>
        <w:tc>
          <w:tcPr>
            <w:tcW w:w="1119" w:type="dxa"/>
            <w:tcBorders>
              <w:top w:val="single" w:sz="4" w:space="0" w:color="auto"/>
              <w:left w:val="single" w:sz="4" w:space="0" w:color="auto"/>
              <w:bottom w:val="nil"/>
              <w:right w:val="single" w:sz="4" w:space="0" w:color="auto"/>
            </w:tcBorders>
            <w:hideMark/>
          </w:tcPr>
          <w:p w14:paraId="3AC71DB6" w14:textId="77777777" w:rsidR="00567E6C" w:rsidRDefault="00567E6C" w:rsidP="00567E6C">
            <w:pPr>
              <w:pStyle w:val="TAH"/>
              <w:rPr>
                <w:rFonts w:cs="Arial"/>
              </w:rPr>
            </w:pPr>
            <w:r>
              <w:t>dB</w:t>
            </w:r>
          </w:p>
        </w:tc>
        <w:tc>
          <w:tcPr>
            <w:tcW w:w="3161" w:type="dxa"/>
            <w:gridSpan w:val="2"/>
            <w:tcBorders>
              <w:top w:val="single" w:sz="4" w:space="0" w:color="auto"/>
              <w:left w:val="single" w:sz="4" w:space="0" w:color="auto"/>
              <w:bottom w:val="single" w:sz="4" w:space="0" w:color="auto"/>
              <w:right w:val="single" w:sz="4" w:space="0" w:color="auto"/>
            </w:tcBorders>
            <w:hideMark/>
          </w:tcPr>
          <w:p w14:paraId="03CB91A8" w14:textId="77777777" w:rsidR="00567E6C" w:rsidRDefault="00567E6C" w:rsidP="00567E6C">
            <w:pPr>
              <w:pStyle w:val="TAH"/>
            </w:pPr>
            <w:r>
              <w:rPr>
                <w:rFonts w:cs="Arial"/>
              </w:rPr>
              <w:t xml:space="preserve">dBm / </w:t>
            </w:r>
            <w:r>
              <w:t>SCS</w:t>
            </w:r>
            <w:r>
              <w:rPr>
                <w:vertAlign w:val="subscript"/>
                <w:lang w:eastAsia="zh-CN"/>
              </w:rPr>
              <w:t>CSI-RS</w:t>
            </w:r>
            <w:r>
              <w:rPr>
                <w:vertAlign w:val="superscript"/>
              </w:rPr>
              <w:t xml:space="preserve"> Note 1</w:t>
            </w:r>
          </w:p>
        </w:tc>
        <w:tc>
          <w:tcPr>
            <w:tcW w:w="2268" w:type="dxa"/>
            <w:tcBorders>
              <w:top w:val="single" w:sz="4" w:space="0" w:color="auto"/>
              <w:left w:val="single" w:sz="4" w:space="0" w:color="auto"/>
              <w:bottom w:val="nil"/>
              <w:right w:val="single" w:sz="4" w:space="0" w:color="auto"/>
            </w:tcBorders>
            <w:hideMark/>
          </w:tcPr>
          <w:p w14:paraId="339F98E6" w14:textId="77777777" w:rsidR="00567E6C" w:rsidRDefault="00567E6C" w:rsidP="00567E6C">
            <w:pPr>
              <w:pStyle w:val="TAH"/>
            </w:pPr>
            <w:r>
              <w:t>dBm/BW</w:t>
            </w:r>
            <w:r>
              <w:rPr>
                <w:vertAlign w:val="subscript"/>
              </w:rPr>
              <w:t>Channel</w:t>
            </w:r>
          </w:p>
        </w:tc>
      </w:tr>
      <w:tr w:rsidR="00567E6C" w14:paraId="6C22EFF4" w14:textId="77777777" w:rsidTr="00567E6C">
        <w:trPr>
          <w:jc w:val="center"/>
        </w:trPr>
        <w:tc>
          <w:tcPr>
            <w:tcW w:w="1122" w:type="dxa"/>
            <w:tcBorders>
              <w:top w:val="nil"/>
              <w:left w:val="single" w:sz="4" w:space="0" w:color="auto"/>
              <w:bottom w:val="single" w:sz="4" w:space="0" w:color="auto"/>
              <w:right w:val="single" w:sz="4" w:space="0" w:color="auto"/>
            </w:tcBorders>
          </w:tcPr>
          <w:p w14:paraId="41608153"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2E4E2DF6"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084603EC" w14:textId="77777777" w:rsidR="00567E6C" w:rsidRDefault="00567E6C" w:rsidP="00567E6C">
            <w:pPr>
              <w:pStyle w:val="TAH"/>
            </w:pPr>
          </w:p>
        </w:tc>
        <w:tc>
          <w:tcPr>
            <w:tcW w:w="1580" w:type="dxa"/>
            <w:tcBorders>
              <w:top w:val="single" w:sz="4" w:space="0" w:color="auto"/>
              <w:left w:val="single" w:sz="4" w:space="0" w:color="auto"/>
              <w:bottom w:val="single" w:sz="4" w:space="0" w:color="auto"/>
              <w:right w:val="single" w:sz="4" w:space="0" w:color="auto"/>
            </w:tcBorders>
            <w:hideMark/>
          </w:tcPr>
          <w:p w14:paraId="01112824" w14:textId="77777777" w:rsidR="00567E6C" w:rsidRDefault="00567E6C" w:rsidP="00567E6C">
            <w:pPr>
              <w:pStyle w:val="TAH"/>
            </w:pPr>
            <w:r>
              <w:t>SCS</w:t>
            </w:r>
            <w:r>
              <w:rPr>
                <w:vertAlign w:val="subscript"/>
                <w:lang w:eastAsia="zh-CN"/>
              </w:rPr>
              <w:t>CSI-RS</w:t>
            </w:r>
            <w:r>
              <w:rPr>
                <w:rFonts w:cs="Arial"/>
              </w:rPr>
              <w:t xml:space="preserve"> = 60kHz</w:t>
            </w:r>
          </w:p>
        </w:tc>
        <w:tc>
          <w:tcPr>
            <w:tcW w:w="1581" w:type="dxa"/>
            <w:tcBorders>
              <w:top w:val="single" w:sz="4" w:space="0" w:color="auto"/>
              <w:left w:val="single" w:sz="4" w:space="0" w:color="auto"/>
              <w:bottom w:val="single" w:sz="4" w:space="0" w:color="auto"/>
              <w:right w:val="single" w:sz="4" w:space="0" w:color="auto"/>
            </w:tcBorders>
            <w:hideMark/>
          </w:tcPr>
          <w:p w14:paraId="0A3D916C" w14:textId="77777777" w:rsidR="00567E6C" w:rsidRDefault="00567E6C" w:rsidP="00567E6C">
            <w:pPr>
              <w:pStyle w:val="TAH"/>
            </w:pPr>
            <w:r>
              <w:t>SCS</w:t>
            </w:r>
            <w:r>
              <w:rPr>
                <w:vertAlign w:val="subscript"/>
                <w:lang w:eastAsia="zh-CN"/>
              </w:rPr>
              <w:t>CSI-RS</w:t>
            </w:r>
            <w:r>
              <w:rPr>
                <w:rFonts w:cs="Arial"/>
              </w:rPr>
              <w:t xml:space="preserve"> = 120kHz</w:t>
            </w:r>
          </w:p>
        </w:tc>
        <w:tc>
          <w:tcPr>
            <w:tcW w:w="2268" w:type="dxa"/>
            <w:tcBorders>
              <w:top w:val="nil"/>
              <w:left w:val="single" w:sz="4" w:space="0" w:color="auto"/>
              <w:bottom w:val="single" w:sz="4" w:space="0" w:color="auto"/>
              <w:right w:val="single" w:sz="4" w:space="0" w:color="auto"/>
            </w:tcBorders>
          </w:tcPr>
          <w:p w14:paraId="77009361" w14:textId="77777777" w:rsidR="00567E6C" w:rsidRDefault="00567E6C" w:rsidP="00567E6C">
            <w:pPr>
              <w:pStyle w:val="TAH"/>
            </w:pPr>
          </w:p>
        </w:tc>
      </w:tr>
      <w:tr w:rsidR="00567E6C" w14:paraId="6880AE01" w14:textId="77777777" w:rsidTr="00567E6C">
        <w:trPr>
          <w:trHeight w:val="465"/>
          <w:jc w:val="center"/>
        </w:trPr>
        <w:tc>
          <w:tcPr>
            <w:tcW w:w="1122" w:type="dxa"/>
            <w:tcBorders>
              <w:top w:val="single" w:sz="4" w:space="0" w:color="auto"/>
              <w:left w:val="single" w:sz="4" w:space="0" w:color="auto"/>
              <w:bottom w:val="single" w:sz="4" w:space="0" w:color="auto"/>
              <w:right w:val="single" w:sz="4" w:space="0" w:color="auto"/>
            </w:tcBorders>
          </w:tcPr>
          <w:p w14:paraId="135C41AE" w14:textId="77777777" w:rsidR="00567E6C" w:rsidRDefault="00567E6C" w:rsidP="00567E6C">
            <w:pPr>
              <w:pStyle w:val="TAC"/>
            </w:pPr>
            <w:r w:rsidRPr="00714130">
              <w:rPr>
                <w:lang w:eastAsia="zh-CN"/>
              </w:rPr>
              <w:sym w:font="Symbol" w:char="F0B1"/>
            </w:r>
            <w:r>
              <w:rPr>
                <w:lang w:eastAsia="zh-CN"/>
              </w:rPr>
              <w:t>3</w:t>
            </w:r>
          </w:p>
        </w:tc>
        <w:tc>
          <w:tcPr>
            <w:tcW w:w="1119" w:type="dxa"/>
            <w:tcBorders>
              <w:top w:val="single" w:sz="4" w:space="0" w:color="auto"/>
              <w:left w:val="single" w:sz="4" w:space="0" w:color="auto"/>
              <w:bottom w:val="single" w:sz="4" w:space="0" w:color="auto"/>
              <w:right w:val="single" w:sz="4" w:space="0" w:color="auto"/>
            </w:tcBorders>
          </w:tcPr>
          <w:p w14:paraId="55506230" w14:textId="77777777" w:rsidR="00567E6C" w:rsidRDefault="00567E6C" w:rsidP="00567E6C">
            <w:pPr>
              <w:pStyle w:val="TAC"/>
            </w:pPr>
            <w:r w:rsidRPr="00714130">
              <w:rPr>
                <w:lang w:eastAsia="zh-CN"/>
              </w:rPr>
              <w:sym w:font="Symbol" w:char="F0B1"/>
            </w:r>
            <w:r>
              <w:rPr>
                <w:lang w:eastAsia="zh-CN"/>
              </w:rPr>
              <w:t>4</w:t>
            </w:r>
          </w:p>
        </w:tc>
        <w:tc>
          <w:tcPr>
            <w:tcW w:w="1119" w:type="dxa"/>
            <w:tcBorders>
              <w:top w:val="single" w:sz="4" w:space="0" w:color="auto"/>
              <w:left w:val="single" w:sz="4" w:space="0" w:color="auto"/>
              <w:bottom w:val="single" w:sz="4" w:space="0" w:color="auto"/>
              <w:right w:val="single" w:sz="4" w:space="0" w:color="auto"/>
            </w:tcBorders>
            <w:hideMark/>
          </w:tcPr>
          <w:p w14:paraId="07D3AB33" w14:textId="77777777" w:rsidR="00567E6C" w:rsidRDefault="00567E6C" w:rsidP="00567E6C">
            <w:pPr>
              <w:pStyle w:val="TAC"/>
            </w:pPr>
            <w:r>
              <w:rPr>
                <w:rFonts w:eastAsia="Yu Mincho" w:cs="Arial"/>
                <w:lang w:eastAsia="ja-JP"/>
              </w:rPr>
              <w:t>≥</w:t>
            </w:r>
            <w:r>
              <w:t>-3</w:t>
            </w:r>
          </w:p>
        </w:tc>
        <w:tc>
          <w:tcPr>
            <w:tcW w:w="3161" w:type="dxa"/>
            <w:gridSpan w:val="2"/>
            <w:vMerge w:val="restart"/>
            <w:tcBorders>
              <w:top w:val="single" w:sz="4" w:space="0" w:color="auto"/>
              <w:left w:val="single" w:sz="4" w:space="0" w:color="auto"/>
              <w:right w:val="single" w:sz="4" w:space="0" w:color="auto"/>
            </w:tcBorders>
            <w:hideMark/>
          </w:tcPr>
          <w:p w14:paraId="5E5B7C3F" w14:textId="77777777" w:rsidR="00567E6C" w:rsidRDefault="00567E6C" w:rsidP="00567E6C">
            <w:pPr>
              <w:pStyle w:val="TAL"/>
              <w:jc w:val="center"/>
              <w:rPr>
                <w:rFonts w:eastAsia="Yu Mincho"/>
                <w:lang w:eastAsia="ja-JP"/>
              </w:rPr>
            </w:pPr>
            <w:r>
              <w:t xml:space="preserve">Same value as </w:t>
            </w:r>
            <w:r>
              <w:rPr>
                <w:lang w:eastAsia="zh-CN"/>
              </w:rPr>
              <w:t>CSI</w:t>
            </w:r>
            <w:r>
              <w:t>_RP in Table B.2.</w:t>
            </w:r>
            <w:r>
              <w:rPr>
                <w:rFonts w:hint="eastAsia"/>
                <w:lang w:eastAsia="zh-CN"/>
              </w:rPr>
              <w:t>9</w:t>
            </w:r>
            <w:r>
              <w:t>-2, according to UE Power class, operating band and angle of arrival</w:t>
            </w:r>
          </w:p>
        </w:tc>
        <w:tc>
          <w:tcPr>
            <w:tcW w:w="2268" w:type="dxa"/>
            <w:vMerge w:val="restart"/>
            <w:tcBorders>
              <w:top w:val="single" w:sz="4" w:space="0" w:color="auto"/>
              <w:left w:val="single" w:sz="4" w:space="0" w:color="auto"/>
              <w:right w:val="single" w:sz="4" w:space="0" w:color="auto"/>
            </w:tcBorders>
            <w:hideMark/>
          </w:tcPr>
          <w:p w14:paraId="76BA69FB" w14:textId="77777777" w:rsidR="00567E6C" w:rsidRDefault="00567E6C" w:rsidP="00567E6C">
            <w:pPr>
              <w:pStyle w:val="TAC"/>
            </w:pPr>
            <w:r>
              <w:t>-50</w:t>
            </w:r>
          </w:p>
        </w:tc>
      </w:tr>
      <w:tr w:rsidR="00567E6C" w14:paraId="621F8CE1" w14:textId="77777777" w:rsidTr="00567E6C">
        <w:trPr>
          <w:trHeight w:val="465"/>
          <w:jc w:val="center"/>
        </w:trPr>
        <w:tc>
          <w:tcPr>
            <w:tcW w:w="1122" w:type="dxa"/>
            <w:tcBorders>
              <w:top w:val="single" w:sz="4" w:space="0" w:color="auto"/>
              <w:left w:val="single" w:sz="4" w:space="0" w:color="auto"/>
              <w:bottom w:val="single" w:sz="4" w:space="0" w:color="auto"/>
              <w:right w:val="single" w:sz="4" w:space="0" w:color="auto"/>
            </w:tcBorders>
          </w:tcPr>
          <w:p w14:paraId="2BA044E4" w14:textId="77777777" w:rsidR="00567E6C" w:rsidRDefault="00567E6C" w:rsidP="00567E6C">
            <w:pPr>
              <w:pStyle w:val="TAC"/>
            </w:pPr>
            <w:r>
              <w:rPr>
                <w:lang w:eastAsia="zh-CN"/>
              </w:rPr>
              <w:t>3.5</w:t>
            </w:r>
          </w:p>
        </w:tc>
        <w:tc>
          <w:tcPr>
            <w:tcW w:w="1119" w:type="dxa"/>
            <w:tcBorders>
              <w:top w:val="single" w:sz="4" w:space="0" w:color="auto"/>
              <w:left w:val="single" w:sz="4" w:space="0" w:color="auto"/>
              <w:bottom w:val="single" w:sz="4" w:space="0" w:color="auto"/>
              <w:right w:val="single" w:sz="4" w:space="0" w:color="auto"/>
            </w:tcBorders>
          </w:tcPr>
          <w:p w14:paraId="3E7FA137" w14:textId="77777777" w:rsidR="00567E6C" w:rsidRDefault="00567E6C" w:rsidP="00567E6C">
            <w:pPr>
              <w:pStyle w:val="TAC"/>
            </w:pPr>
            <w:r w:rsidRPr="00714130">
              <w:rPr>
                <w:lang w:eastAsia="zh-CN"/>
              </w:rPr>
              <w:sym w:font="Symbol" w:char="F0B1"/>
            </w:r>
            <w:r>
              <w:rPr>
                <w:lang w:eastAsia="zh-CN"/>
              </w:rPr>
              <w:t>4</w:t>
            </w:r>
          </w:p>
        </w:tc>
        <w:tc>
          <w:tcPr>
            <w:tcW w:w="1119" w:type="dxa"/>
            <w:tcBorders>
              <w:top w:val="single" w:sz="4" w:space="0" w:color="auto"/>
              <w:left w:val="single" w:sz="4" w:space="0" w:color="auto"/>
              <w:bottom w:val="single" w:sz="4" w:space="0" w:color="auto"/>
              <w:right w:val="single" w:sz="4" w:space="0" w:color="auto"/>
            </w:tcBorders>
            <w:hideMark/>
          </w:tcPr>
          <w:p w14:paraId="41589246" w14:textId="77777777" w:rsidR="00567E6C" w:rsidRDefault="00567E6C" w:rsidP="00567E6C">
            <w:pPr>
              <w:pStyle w:val="TAC"/>
            </w:pPr>
            <w:r>
              <w:rPr>
                <w:rFonts w:eastAsia="Yu Mincho" w:cs="Arial"/>
                <w:lang w:eastAsia="ja-JP"/>
              </w:rPr>
              <w:t>≥-4</w:t>
            </w:r>
          </w:p>
        </w:tc>
        <w:tc>
          <w:tcPr>
            <w:tcW w:w="3161" w:type="dxa"/>
            <w:gridSpan w:val="2"/>
            <w:vMerge/>
            <w:tcBorders>
              <w:left w:val="single" w:sz="4" w:space="0" w:color="auto"/>
              <w:bottom w:val="single" w:sz="4" w:space="0" w:color="auto"/>
              <w:right w:val="single" w:sz="4" w:space="0" w:color="auto"/>
            </w:tcBorders>
          </w:tcPr>
          <w:p w14:paraId="7DF0525B" w14:textId="77777777" w:rsidR="00567E6C" w:rsidRDefault="00567E6C" w:rsidP="00567E6C">
            <w:pPr>
              <w:keepNext/>
              <w:keepLines/>
              <w:spacing w:after="0"/>
              <w:jc w:val="center"/>
              <w:rPr>
                <w:rFonts w:ascii="Arial" w:hAnsi="Arial"/>
                <w:sz w:val="18"/>
              </w:rPr>
            </w:pPr>
          </w:p>
        </w:tc>
        <w:tc>
          <w:tcPr>
            <w:tcW w:w="2268" w:type="dxa"/>
            <w:vMerge/>
            <w:tcBorders>
              <w:left w:val="single" w:sz="4" w:space="0" w:color="auto"/>
              <w:bottom w:val="single" w:sz="4" w:space="0" w:color="auto"/>
              <w:right w:val="single" w:sz="4" w:space="0" w:color="auto"/>
            </w:tcBorders>
          </w:tcPr>
          <w:p w14:paraId="07945F7A" w14:textId="77777777" w:rsidR="00567E6C" w:rsidRDefault="00567E6C" w:rsidP="00567E6C">
            <w:pPr>
              <w:keepNext/>
              <w:keepLines/>
              <w:spacing w:after="0"/>
              <w:jc w:val="center"/>
              <w:rPr>
                <w:rFonts w:ascii="Arial" w:hAnsi="Arial"/>
                <w:sz w:val="18"/>
              </w:rPr>
            </w:pPr>
          </w:p>
        </w:tc>
      </w:tr>
      <w:tr w:rsidR="00567E6C" w14:paraId="69A9B42A" w14:textId="77777777" w:rsidTr="00567E6C">
        <w:trPr>
          <w:jc w:val="center"/>
        </w:trPr>
        <w:tc>
          <w:tcPr>
            <w:tcW w:w="8789" w:type="dxa"/>
            <w:gridSpan w:val="6"/>
            <w:tcBorders>
              <w:top w:val="single" w:sz="4" w:space="0" w:color="auto"/>
              <w:left w:val="single" w:sz="4" w:space="0" w:color="auto"/>
              <w:bottom w:val="single" w:sz="4" w:space="0" w:color="auto"/>
              <w:right w:val="single" w:sz="4" w:space="0" w:color="auto"/>
            </w:tcBorders>
            <w:vAlign w:val="center"/>
            <w:hideMark/>
          </w:tcPr>
          <w:p w14:paraId="6F6C9177" w14:textId="77777777" w:rsidR="00567E6C" w:rsidRDefault="00567E6C" w:rsidP="00567E6C">
            <w:pPr>
              <w:pStyle w:val="TAN"/>
            </w:pPr>
            <w:r>
              <w:t>Note 1:</w:t>
            </w:r>
            <w:r>
              <w:tab/>
              <w:t>Values based on Refsens and EIS spherical coverage as defined in clauses 7.3.2 and 7.3.4 of TS 38.101-2 [19]. Applicable side condition selected depending on angle of arrival.</w:t>
            </w:r>
          </w:p>
          <w:p w14:paraId="33157A7E" w14:textId="77777777" w:rsidR="00567E6C" w:rsidRDefault="00567E6C" w:rsidP="00567E6C">
            <w:pPr>
              <w:pStyle w:val="TAN"/>
            </w:pPr>
            <w:r>
              <w:t>Note 2:</w:t>
            </w:r>
            <w:r>
              <w:tab/>
            </w:r>
            <w:r>
              <w:rPr>
                <w:rFonts w:eastAsia="MS Mincho"/>
              </w:rPr>
              <w:t>Io specified at the Reference point, and assumed to have constant EPRE across the bandwidth</w:t>
            </w:r>
            <w:r>
              <w:t>.</w:t>
            </w:r>
          </w:p>
          <w:p w14:paraId="5A08FBC7" w14:textId="77777777" w:rsidR="00567E6C" w:rsidRDefault="00567E6C" w:rsidP="00567E6C">
            <w:pPr>
              <w:pStyle w:val="TAN"/>
            </w:pPr>
            <w:r>
              <w:t>Note 3:</w:t>
            </w:r>
            <w:r>
              <w:tab/>
              <w:t>In the test cases, the CSI-RS Ês/Iot and related parameters may need to be adjusted to ensure Ês/Iot at UE baseband is above the value defined in this table.</w:t>
            </w:r>
          </w:p>
          <w:p w14:paraId="25AFF07D" w14:textId="77777777" w:rsidR="00567E6C" w:rsidRDefault="00567E6C" w:rsidP="00567E6C">
            <w:pPr>
              <w:pStyle w:val="TAN"/>
            </w:pPr>
            <w:r w:rsidRPr="00550CC9">
              <w:t>N</w:t>
            </w:r>
            <w:r>
              <w:t>ote</w:t>
            </w:r>
            <w:r w:rsidRPr="00550CC9">
              <w:t xml:space="preserve"> 4:</w:t>
            </w:r>
            <w:r w:rsidRPr="00550CC9">
              <w:tab/>
              <w:t xml:space="preserve">The requirements apply for CSI-RS Ês/Iot </w:t>
            </w:r>
            <w:r w:rsidRPr="00550CC9">
              <w:rPr>
                <w:rFonts w:hint="eastAsia"/>
              </w:rPr>
              <w:t>≤</w:t>
            </w:r>
            <w:r>
              <w:t>X</w:t>
            </w:r>
            <w:r w:rsidRPr="00550CC9">
              <w:t>dB.</w:t>
            </w:r>
            <w:r>
              <w:t xml:space="preserve"> </w:t>
            </w:r>
            <w:r>
              <w:rPr>
                <w:rFonts w:cs="Arial"/>
              </w:rPr>
              <w:t xml:space="preserve">X=15 if </w:t>
            </w:r>
            <w:r>
              <w:t>timing offset</w:t>
            </w:r>
            <w:r w:rsidRPr="009C5807">
              <w:t xml:space="preserve"> between </w:t>
            </w:r>
            <w:r w:rsidRPr="00AC34AD">
              <w:t>the reference measurement timing and the target CSI-RS</w:t>
            </w:r>
            <w:r>
              <w:t xml:space="preserve"> is </w:t>
            </w:r>
            <w:r>
              <w:rPr>
                <w:rFonts w:cs="Arial" w:hint="eastAsia"/>
                <w:lang w:val="en-US" w:eastAsia="zh-CN"/>
              </w:rPr>
              <w:t>n</w:t>
            </w:r>
            <w:r>
              <w:rPr>
                <w:rFonts w:cs="Arial"/>
                <w:lang w:val="en-US" w:eastAsia="zh-CN"/>
              </w:rPr>
              <w:t>o larger than</w:t>
            </w:r>
            <w:r>
              <w:rPr>
                <w:rFonts w:cs="Arial" w:hint="eastAsia"/>
                <w:lang w:val="en-US" w:eastAsia="zh-CN"/>
              </w:rPr>
              <w:t xml:space="preserve"> </w:t>
            </w:r>
            <w:r>
              <w:rPr>
                <w:rFonts w:cs="Arial"/>
                <w:lang w:val="en-US" w:eastAsia="zh-CN"/>
              </w:rPr>
              <w:t xml:space="preserve">0.5*CP, and </w:t>
            </w:r>
            <w:r>
              <w:rPr>
                <w:rFonts w:cs="Arial"/>
              </w:rPr>
              <w:t xml:space="preserve">X=4 if </w:t>
            </w:r>
            <w:r>
              <w:t>timing offset</w:t>
            </w:r>
            <w:r w:rsidRPr="009C5807">
              <w:t xml:space="preserve"> between </w:t>
            </w:r>
            <w:r w:rsidRPr="00AC34AD">
              <w:t>the reference measurement timing and the target CSI-RS</w:t>
            </w:r>
            <w:r>
              <w:t xml:space="preserve"> is larger than 0.5*CP but no larger than CP</w:t>
            </w:r>
            <w:r>
              <w:rPr>
                <w:rFonts w:cs="Arial"/>
                <w:lang w:val="en-US" w:eastAsia="zh-CN"/>
              </w:rPr>
              <w:t>.</w:t>
            </w:r>
          </w:p>
        </w:tc>
      </w:tr>
    </w:tbl>
    <w:p w14:paraId="60F15132" w14:textId="77777777" w:rsidR="00567E6C" w:rsidRPr="009C5807" w:rsidRDefault="00567E6C" w:rsidP="00567E6C">
      <w:pPr>
        <w:rPr>
          <w:i/>
        </w:rPr>
      </w:pPr>
    </w:p>
    <w:p w14:paraId="2E719769" w14:textId="77777777" w:rsidR="00567E6C" w:rsidRPr="009C5807" w:rsidRDefault="00567E6C" w:rsidP="00F37389">
      <w:pPr>
        <w:pStyle w:val="Heading5"/>
      </w:pPr>
      <w:r>
        <w:rPr>
          <w:lang w:eastAsia="zh-CN"/>
        </w:rPr>
        <w:t>10.1.15.2</w:t>
      </w:r>
      <w:r w:rsidRPr="009C5807">
        <w:rPr>
          <w:lang w:eastAsia="zh-CN"/>
        </w:rPr>
        <w:t>.2</w:t>
      </w:r>
      <w:r w:rsidRPr="009C5807">
        <w:tab/>
        <w:t xml:space="preserve">Relative Accuracy of </w:t>
      </w:r>
      <w:r>
        <w:rPr>
          <w:lang w:eastAsia="zh-CN"/>
        </w:rPr>
        <w:t>CSI-SINR</w:t>
      </w:r>
      <w:r w:rsidRPr="009C5807">
        <w:t xml:space="preserve"> in FR2</w:t>
      </w:r>
    </w:p>
    <w:p w14:paraId="56CA5D0D" w14:textId="77777777" w:rsidR="00567E6C" w:rsidRPr="009C5807" w:rsidRDefault="00567E6C" w:rsidP="00567E6C">
      <w:pPr>
        <w:rPr>
          <w:i/>
        </w:rPr>
      </w:pPr>
      <w:r w:rsidRPr="009C5807">
        <w:t xml:space="preserve">The relative accuracy of </w:t>
      </w:r>
      <w:r>
        <w:rPr>
          <w:lang w:eastAsia="zh-CN"/>
        </w:rPr>
        <w:t>CSI-SINR</w:t>
      </w:r>
      <w:r w:rsidRPr="009C5807">
        <w:t xml:space="preserve"> in inter frequency case is defined as the </w:t>
      </w:r>
      <w:r>
        <w:t>CSI-SINR</w:t>
      </w:r>
      <w:r w:rsidRPr="009C5807">
        <w:t xml:space="preserve"> measured from one cell on a frequency in FR2 compared to the </w:t>
      </w:r>
      <w:r>
        <w:t>CSI-SINR</w:t>
      </w:r>
      <w:r w:rsidRPr="009C5807">
        <w:t xml:space="preserve"> measured from another cell on a different frequency in FR2.</w:t>
      </w:r>
    </w:p>
    <w:p w14:paraId="2C60A79F" w14:textId="77777777" w:rsidR="00567E6C" w:rsidRPr="009C5807" w:rsidRDefault="00567E6C" w:rsidP="00567E6C">
      <w:pPr>
        <w:rPr>
          <w:rFonts w:cs="v4.2.0"/>
        </w:rPr>
      </w:pPr>
      <w:r w:rsidRPr="009C5807">
        <w:rPr>
          <w:rFonts w:cs="v4.2.0"/>
        </w:rPr>
        <w:t xml:space="preserve">The accuracy requirements in Table </w:t>
      </w:r>
      <w:r>
        <w:rPr>
          <w:rFonts w:cs="v4.2.0"/>
          <w:lang w:eastAsia="zh-CN"/>
        </w:rPr>
        <w:t>10.1.15.2</w:t>
      </w:r>
      <w:r w:rsidRPr="009C5807">
        <w:rPr>
          <w:rFonts w:cs="v4.2.0"/>
          <w:lang w:eastAsia="zh-CN"/>
        </w:rPr>
        <w:t>.2</w:t>
      </w:r>
      <w:r w:rsidRPr="009C5807">
        <w:rPr>
          <w:rFonts w:cs="v4.2.0"/>
        </w:rPr>
        <w:t>-1 are valid under the following conditions:</w:t>
      </w:r>
    </w:p>
    <w:p w14:paraId="130B47D2" w14:textId="77777777" w:rsidR="00567E6C" w:rsidRPr="009C5807" w:rsidRDefault="00567E6C" w:rsidP="00567E6C">
      <w:pPr>
        <w:pStyle w:val="B10"/>
        <w:rPr>
          <w:rFonts w:cs="v4.2.0"/>
        </w:rPr>
      </w:pPr>
      <w:r w:rsidRPr="009C5807">
        <w:t>-</w:t>
      </w:r>
      <w:r w:rsidRPr="009C5807">
        <w:rPr>
          <w:rFonts w:ascii="Arial" w:hAnsi="Arial"/>
          <w:sz w:val="28"/>
          <w:lang w:val="en-US"/>
        </w:rPr>
        <w:tab/>
      </w:r>
      <w:r w:rsidRPr="009C5807">
        <w:t>Conditions defined in clause 7.3 of TS 38.101-2 [19] for reference sensitivity are fulfilled.</w:t>
      </w:r>
    </w:p>
    <w:p w14:paraId="32CEFA96" w14:textId="77777777" w:rsidR="00567E6C" w:rsidRPr="009C5807" w:rsidRDefault="00567E6C" w:rsidP="00567E6C">
      <w:pPr>
        <w:pStyle w:val="B10"/>
      </w:pPr>
      <w:r w:rsidRPr="009C5807">
        <w:t>-</w:t>
      </w:r>
      <w:r w:rsidRPr="009C5807">
        <w:rPr>
          <w:rFonts w:ascii="Arial" w:hAnsi="Arial"/>
          <w:sz w:val="28"/>
          <w:lang w:val="en-US"/>
        </w:rPr>
        <w:tab/>
      </w:r>
      <w:r w:rsidRPr="009C5807">
        <w:t>Conditions for inter-frequency measurements are fulfilled according to Annex B.2.</w:t>
      </w:r>
      <w:r>
        <w:t>y</w:t>
      </w:r>
      <w:r w:rsidRPr="009C5807">
        <w:t xml:space="preserve"> for a corresponding Band.</w:t>
      </w:r>
    </w:p>
    <w:p w14:paraId="49702847" w14:textId="77777777" w:rsidR="00567E6C" w:rsidRPr="009C5807" w:rsidRDefault="00567E6C" w:rsidP="00567E6C">
      <w:pPr>
        <w:pStyle w:val="B10"/>
        <w:rPr>
          <w:rFonts w:cs="v4.2.0"/>
          <w:sz w:val="18"/>
        </w:rPr>
      </w:pPr>
      <w:r w:rsidRPr="009C5807">
        <w:t>-</w:t>
      </w:r>
      <w:r w:rsidRPr="009C5807">
        <w:rPr>
          <w:rFonts w:ascii="Arial" w:hAnsi="Arial"/>
          <w:sz w:val="28"/>
          <w:lang w:val="en-US"/>
        </w:rPr>
        <w:tab/>
      </w:r>
      <w:r w:rsidRPr="009C5807">
        <w:t>|</w:t>
      </w:r>
      <w:r>
        <w:t>CSI</w:t>
      </w:r>
      <w:r w:rsidRPr="009C5807">
        <w:t>_RP1</w:t>
      </w:r>
      <w:r w:rsidRPr="009C5807">
        <w:rPr>
          <w:vertAlign w:val="subscript"/>
        </w:rPr>
        <w:t>dBm</w:t>
      </w:r>
      <w:r w:rsidRPr="009C5807">
        <w:t xml:space="preserve"> - </w:t>
      </w:r>
      <w:r>
        <w:t>CSI</w:t>
      </w:r>
      <w:r w:rsidRPr="009C5807">
        <w:t>_RP2</w:t>
      </w:r>
      <w:r w:rsidRPr="009C5807">
        <w:rPr>
          <w:vertAlign w:val="subscript"/>
        </w:rPr>
        <w:t>dBm</w:t>
      </w:r>
      <w:r w:rsidRPr="009C5807">
        <w:t xml:space="preserve">| </w:t>
      </w:r>
      <w:r w:rsidRPr="009C5807">
        <w:sym w:font="Symbol" w:char="F0A3"/>
      </w:r>
      <w:r w:rsidRPr="009C5807">
        <w:t xml:space="preserve"> 27 dB</w:t>
      </w:r>
    </w:p>
    <w:p w14:paraId="6EC61930" w14:textId="77777777" w:rsidR="00567E6C" w:rsidRPr="009C5807" w:rsidRDefault="00567E6C" w:rsidP="00567E6C">
      <w:pPr>
        <w:pStyle w:val="B10"/>
      </w:pPr>
      <w:r w:rsidRPr="009C5807">
        <w:t>-</w:t>
      </w:r>
      <w:r w:rsidRPr="009C5807">
        <w:rPr>
          <w:rFonts w:ascii="Arial" w:hAnsi="Arial"/>
          <w:sz w:val="28"/>
          <w:lang w:val="en-US"/>
        </w:rPr>
        <w:tab/>
      </w:r>
      <w:r w:rsidRPr="009C5807">
        <w:t xml:space="preserve">| Channel 1_Io </w:t>
      </w:r>
      <w:r w:rsidRPr="009C5807">
        <w:noBreakHyphen/>
        <w:t xml:space="preserve">Channel 2_Io | </w:t>
      </w:r>
      <w:r w:rsidRPr="009C5807">
        <w:sym w:font="Symbol" w:char="F0A3"/>
      </w:r>
      <w:r w:rsidRPr="009C5807">
        <w:t xml:space="preserve"> 20 dB</w:t>
      </w:r>
    </w:p>
    <w:p w14:paraId="40C127C5" w14:textId="77777777" w:rsidR="00567E6C" w:rsidRDefault="00567E6C" w:rsidP="00567E6C">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4D1F889B" w14:textId="6FCA6045" w:rsidR="00567E6C" w:rsidRDefault="00567E6C" w:rsidP="00567E6C">
      <w:pPr>
        <w:pStyle w:val="B10"/>
        <w:rPr>
          <w:lang w:eastAsia="zh-CN"/>
        </w:rPr>
      </w:pPr>
      <w:r w:rsidRPr="009C5807">
        <w:t>-</w:t>
      </w:r>
      <w:r w:rsidRPr="009C5807">
        <w:tab/>
        <w:t xml:space="preserve">The </w:t>
      </w:r>
      <w:r>
        <w:t xml:space="preserve">timing offset </w:t>
      </w:r>
      <w:r w:rsidRPr="009C5807">
        <w:t xml:space="preserve">between </w:t>
      </w:r>
      <w:r w:rsidRPr="00EC1602">
        <w:t>the reference measurement timing and the target CSI-RS in one layer</w:t>
      </w:r>
      <w:r>
        <w:t xml:space="preserve"> </w:t>
      </w:r>
      <w:r w:rsidRPr="009C5807">
        <w:t xml:space="preserve">is </w:t>
      </w:r>
      <w:r>
        <w:t>no larger than CP</w:t>
      </w:r>
      <w:r>
        <w:rPr>
          <w:rFonts w:hint="eastAsia"/>
          <w:lang w:eastAsia="zh-CN"/>
        </w:rPr>
        <w:t>.</w:t>
      </w:r>
    </w:p>
    <w:p w14:paraId="41DC1BEC" w14:textId="15BFBFD4" w:rsidR="00567E6C" w:rsidRDefault="00567E6C" w:rsidP="00F37389">
      <w:pPr>
        <w:pStyle w:val="B20"/>
        <w:rPr>
          <w:lang w:eastAsia="zh-CN"/>
        </w:rPr>
      </w:pPr>
      <w:r>
        <w:rPr>
          <w:rFonts w:hint="eastAsia"/>
          <w:lang w:eastAsia="zh-CN"/>
        </w:rPr>
        <w:t>•</w:t>
      </w:r>
      <w:r>
        <w:rPr>
          <w:lang w:eastAsia="zh-CN"/>
        </w:rPr>
        <w:tab/>
      </w:r>
      <w:r w:rsidRPr="0074207F">
        <w:rPr>
          <w:lang w:eastAsia="zh-CN"/>
        </w:rPr>
        <w:t>Note: The reference measurement timing for inter-frequency measurement is up to UE implementation and shall be based on the timing of one of the target cells.</w:t>
      </w:r>
    </w:p>
    <w:p w14:paraId="21C51328" w14:textId="77777777" w:rsidR="00567E6C" w:rsidRDefault="00567E6C" w:rsidP="00567E6C">
      <w:pPr>
        <w:pStyle w:val="B10"/>
        <w:rPr>
          <w:lang w:eastAsia="zh-CN"/>
        </w:rPr>
      </w:pPr>
      <w:r>
        <w:rPr>
          <w:lang w:eastAsia="zh-CN"/>
        </w:rPr>
        <w:t>-</w:t>
      </w:r>
      <w:r>
        <w:rPr>
          <w:lang w:eastAsia="zh-CN"/>
        </w:rPr>
        <w:tab/>
        <w:t xml:space="preserve">The bandwidth of CSI-RS is 48 PRBs and the density is 3. </w:t>
      </w:r>
    </w:p>
    <w:p w14:paraId="207CAAC4" w14:textId="77777777" w:rsidR="00567E6C" w:rsidRPr="006B1BC4" w:rsidRDefault="00567E6C" w:rsidP="00F37389">
      <w:pPr>
        <w:pStyle w:val="B20"/>
        <w:rPr>
          <w:lang w:eastAsia="zh-CN"/>
        </w:rPr>
      </w:pPr>
      <w:r>
        <w:rPr>
          <w:rFonts w:hint="eastAsia"/>
          <w:lang w:eastAsia="zh-CN"/>
        </w:rPr>
        <w:t>•</w:t>
      </w:r>
      <w:r>
        <w:rPr>
          <w:lang w:eastAsia="zh-CN"/>
        </w:rPr>
        <w:tab/>
        <w:t>The performance with larger bandwidth of CSI-RS is equal to or better than the accuracy requirements in Table 10.1.15.2</w:t>
      </w:r>
      <w:r w:rsidRPr="009C5807">
        <w:rPr>
          <w:lang w:eastAsia="zh-CN"/>
        </w:rPr>
        <w:t>.2</w:t>
      </w:r>
      <w:r w:rsidRPr="009C5807">
        <w:t>-1</w:t>
      </w:r>
      <w:r>
        <w:rPr>
          <w:lang w:eastAsia="zh-CN"/>
        </w:rPr>
        <w:t>.</w:t>
      </w:r>
    </w:p>
    <w:p w14:paraId="69AFF4BF" w14:textId="77777777" w:rsidR="00567E6C" w:rsidRDefault="00567E6C" w:rsidP="00567E6C">
      <w:pPr>
        <w:pStyle w:val="TH"/>
        <w:rPr>
          <w:sz w:val="22"/>
          <w:szCs w:val="22"/>
          <w:lang w:eastAsia="zh-CN"/>
        </w:rPr>
      </w:pPr>
      <w:r w:rsidRPr="009C5807">
        <w:t xml:space="preserve">Table </w:t>
      </w:r>
      <w:r>
        <w:rPr>
          <w:lang w:eastAsia="zh-CN"/>
        </w:rPr>
        <w:t>10.1.15.2</w:t>
      </w:r>
      <w:r w:rsidRPr="009C5807">
        <w:rPr>
          <w:lang w:eastAsia="zh-CN"/>
        </w:rPr>
        <w:t>.2</w:t>
      </w:r>
      <w:r w:rsidRPr="009C5807">
        <w:t xml:space="preserve">-1: </w:t>
      </w:r>
      <w:r>
        <w:rPr>
          <w:lang w:eastAsia="zh-CN"/>
        </w:rPr>
        <w:t>CSI-SINR</w:t>
      </w:r>
      <w:r w:rsidRPr="009C5807">
        <w:t xml:space="preserve"> Inter frequency relative accuracy</w:t>
      </w:r>
      <w:r w:rsidRPr="009C5807">
        <w:rPr>
          <w:sz w:val="22"/>
          <w:szCs w:val="22"/>
          <w:lang w:eastAsia="zh-CN"/>
        </w:rPr>
        <w:t xml:space="preserve"> in FR2</w:t>
      </w:r>
    </w:p>
    <w:tbl>
      <w:tblPr>
        <w:tblW w:w="8789" w:type="dxa"/>
        <w:jc w:val="center"/>
        <w:tblLook w:val="01E0" w:firstRow="1" w:lastRow="1" w:firstColumn="1" w:lastColumn="1" w:noHBand="0" w:noVBand="0"/>
      </w:tblPr>
      <w:tblGrid>
        <w:gridCol w:w="1122"/>
        <w:gridCol w:w="1119"/>
        <w:gridCol w:w="1119"/>
        <w:gridCol w:w="1580"/>
        <w:gridCol w:w="1581"/>
        <w:gridCol w:w="2268"/>
      </w:tblGrid>
      <w:tr w:rsidR="00567E6C" w14:paraId="3BC469C8" w14:textId="77777777" w:rsidTr="00567E6C">
        <w:trPr>
          <w:jc w:val="center"/>
        </w:trPr>
        <w:tc>
          <w:tcPr>
            <w:tcW w:w="2241" w:type="dxa"/>
            <w:gridSpan w:val="2"/>
            <w:tcBorders>
              <w:top w:val="single" w:sz="4" w:space="0" w:color="auto"/>
              <w:left w:val="single" w:sz="4" w:space="0" w:color="auto"/>
              <w:bottom w:val="single" w:sz="4" w:space="0" w:color="auto"/>
              <w:right w:val="single" w:sz="4" w:space="0" w:color="auto"/>
            </w:tcBorders>
            <w:vAlign w:val="center"/>
            <w:hideMark/>
          </w:tcPr>
          <w:p w14:paraId="1E4D3189" w14:textId="77777777" w:rsidR="00567E6C" w:rsidRDefault="00567E6C" w:rsidP="00567E6C">
            <w:pPr>
              <w:pStyle w:val="TAH"/>
            </w:pPr>
            <w:r>
              <w:t>Accuracy</w:t>
            </w:r>
          </w:p>
        </w:tc>
        <w:tc>
          <w:tcPr>
            <w:tcW w:w="6548" w:type="dxa"/>
            <w:gridSpan w:val="4"/>
            <w:tcBorders>
              <w:top w:val="single" w:sz="4" w:space="0" w:color="auto"/>
              <w:left w:val="single" w:sz="4" w:space="0" w:color="auto"/>
              <w:bottom w:val="single" w:sz="4" w:space="0" w:color="auto"/>
              <w:right w:val="single" w:sz="4" w:space="0" w:color="auto"/>
            </w:tcBorders>
            <w:vAlign w:val="center"/>
            <w:hideMark/>
          </w:tcPr>
          <w:p w14:paraId="127208B3" w14:textId="77777777" w:rsidR="00567E6C" w:rsidRDefault="00567E6C" w:rsidP="00567E6C">
            <w:pPr>
              <w:pStyle w:val="TAH"/>
            </w:pPr>
            <w:r>
              <w:t>Conditions</w:t>
            </w:r>
          </w:p>
        </w:tc>
      </w:tr>
      <w:tr w:rsidR="00567E6C" w14:paraId="5B6D5B1B" w14:textId="77777777" w:rsidTr="00567E6C">
        <w:trPr>
          <w:jc w:val="center"/>
        </w:trPr>
        <w:tc>
          <w:tcPr>
            <w:tcW w:w="1122" w:type="dxa"/>
            <w:tcBorders>
              <w:top w:val="nil"/>
              <w:left w:val="single" w:sz="4" w:space="0" w:color="auto"/>
              <w:bottom w:val="nil"/>
              <w:right w:val="single" w:sz="4" w:space="0" w:color="auto"/>
            </w:tcBorders>
            <w:vAlign w:val="center"/>
            <w:hideMark/>
          </w:tcPr>
          <w:p w14:paraId="791B04AE" w14:textId="77777777" w:rsidR="00567E6C" w:rsidRDefault="00567E6C" w:rsidP="00567E6C">
            <w:pPr>
              <w:pStyle w:val="TAH"/>
            </w:pPr>
            <w:r>
              <w:t>Normal condition</w:t>
            </w:r>
          </w:p>
        </w:tc>
        <w:tc>
          <w:tcPr>
            <w:tcW w:w="1119" w:type="dxa"/>
            <w:tcBorders>
              <w:top w:val="nil"/>
              <w:left w:val="single" w:sz="4" w:space="0" w:color="auto"/>
              <w:bottom w:val="nil"/>
              <w:right w:val="single" w:sz="4" w:space="0" w:color="auto"/>
            </w:tcBorders>
            <w:vAlign w:val="center"/>
            <w:hideMark/>
          </w:tcPr>
          <w:p w14:paraId="1C8F7E0D" w14:textId="77777777" w:rsidR="00567E6C" w:rsidRDefault="00567E6C" w:rsidP="00567E6C">
            <w:pPr>
              <w:pStyle w:val="TAH"/>
            </w:pPr>
            <w:r>
              <w:t>Extreme condition</w:t>
            </w:r>
          </w:p>
        </w:tc>
        <w:tc>
          <w:tcPr>
            <w:tcW w:w="1119" w:type="dxa"/>
            <w:tcBorders>
              <w:top w:val="nil"/>
              <w:left w:val="single" w:sz="4" w:space="0" w:color="auto"/>
              <w:bottom w:val="nil"/>
              <w:right w:val="single" w:sz="4" w:space="0" w:color="auto"/>
            </w:tcBorders>
            <w:hideMark/>
          </w:tcPr>
          <w:p w14:paraId="47E36F7F" w14:textId="77777777" w:rsidR="00567E6C" w:rsidRDefault="00567E6C" w:rsidP="00567E6C">
            <w:pPr>
              <w:pStyle w:val="TAH"/>
            </w:pPr>
            <w:r>
              <w:rPr>
                <w:rFonts w:cs="Arial"/>
                <w:lang w:eastAsia="zh-CN"/>
              </w:rPr>
              <w:t>CSI-RS</w:t>
            </w:r>
            <w:r>
              <w:rPr>
                <w:rFonts w:cs="Arial"/>
              </w:rPr>
              <w:t xml:space="preserve"> Ês/Iot</w:t>
            </w:r>
          </w:p>
        </w:tc>
        <w:tc>
          <w:tcPr>
            <w:tcW w:w="5429" w:type="dxa"/>
            <w:gridSpan w:val="3"/>
            <w:tcBorders>
              <w:top w:val="single" w:sz="4" w:space="0" w:color="auto"/>
              <w:left w:val="single" w:sz="4" w:space="0" w:color="auto"/>
              <w:bottom w:val="single" w:sz="4" w:space="0" w:color="auto"/>
              <w:right w:val="single" w:sz="4" w:space="0" w:color="auto"/>
            </w:tcBorders>
            <w:vAlign w:val="center"/>
            <w:hideMark/>
          </w:tcPr>
          <w:p w14:paraId="7B392C81" w14:textId="77777777" w:rsidR="00567E6C" w:rsidRDefault="00567E6C" w:rsidP="00567E6C">
            <w:pPr>
              <w:pStyle w:val="TAH"/>
            </w:pPr>
            <w:r>
              <w:t>Io</w:t>
            </w:r>
            <w:r>
              <w:rPr>
                <w:vertAlign w:val="superscript"/>
              </w:rPr>
              <w:t xml:space="preserve"> Note 2</w:t>
            </w:r>
            <w:r>
              <w:t xml:space="preserve"> range</w:t>
            </w:r>
          </w:p>
        </w:tc>
      </w:tr>
      <w:tr w:rsidR="00567E6C" w14:paraId="4A759A96" w14:textId="77777777" w:rsidTr="00567E6C">
        <w:trPr>
          <w:jc w:val="center"/>
        </w:trPr>
        <w:tc>
          <w:tcPr>
            <w:tcW w:w="1122" w:type="dxa"/>
            <w:tcBorders>
              <w:top w:val="nil"/>
              <w:left w:val="single" w:sz="4" w:space="0" w:color="auto"/>
              <w:bottom w:val="single" w:sz="4" w:space="0" w:color="auto"/>
              <w:right w:val="single" w:sz="4" w:space="0" w:color="auto"/>
            </w:tcBorders>
          </w:tcPr>
          <w:p w14:paraId="0D4CF999"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5D100D71"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4BE07DFE" w14:textId="77777777" w:rsidR="00567E6C" w:rsidRDefault="00567E6C" w:rsidP="00567E6C">
            <w:pPr>
              <w:pStyle w:val="TAH"/>
            </w:pPr>
          </w:p>
        </w:tc>
        <w:tc>
          <w:tcPr>
            <w:tcW w:w="3161" w:type="dxa"/>
            <w:gridSpan w:val="2"/>
            <w:tcBorders>
              <w:top w:val="single" w:sz="4" w:space="0" w:color="auto"/>
              <w:left w:val="single" w:sz="4" w:space="0" w:color="auto"/>
              <w:bottom w:val="single" w:sz="4" w:space="0" w:color="auto"/>
              <w:right w:val="single" w:sz="4" w:space="0" w:color="auto"/>
            </w:tcBorders>
            <w:hideMark/>
          </w:tcPr>
          <w:p w14:paraId="7E4E6039" w14:textId="77777777" w:rsidR="00567E6C" w:rsidRDefault="00567E6C" w:rsidP="00567E6C">
            <w:pPr>
              <w:pStyle w:val="TAH"/>
            </w:pPr>
            <w:r>
              <w:t>Minimum Io</w:t>
            </w:r>
          </w:p>
        </w:tc>
        <w:tc>
          <w:tcPr>
            <w:tcW w:w="2268" w:type="dxa"/>
            <w:tcBorders>
              <w:top w:val="single" w:sz="4" w:space="0" w:color="auto"/>
              <w:left w:val="single" w:sz="4" w:space="0" w:color="auto"/>
              <w:bottom w:val="single" w:sz="4" w:space="0" w:color="auto"/>
              <w:right w:val="single" w:sz="4" w:space="0" w:color="auto"/>
            </w:tcBorders>
            <w:hideMark/>
          </w:tcPr>
          <w:p w14:paraId="1FCE5A94" w14:textId="77777777" w:rsidR="00567E6C" w:rsidRDefault="00567E6C" w:rsidP="00567E6C">
            <w:pPr>
              <w:pStyle w:val="TAH"/>
            </w:pPr>
            <w:r>
              <w:t>Maximum Io</w:t>
            </w:r>
          </w:p>
        </w:tc>
      </w:tr>
      <w:tr w:rsidR="00567E6C" w14:paraId="7E18586F" w14:textId="77777777" w:rsidTr="00567E6C">
        <w:trPr>
          <w:jc w:val="center"/>
        </w:trPr>
        <w:tc>
          <w:tcPr>
            <w:tcW w:w="1122" w:type="dxa"/>
            <w:tcBorders>
              <w:top w:val="single" w:sz="4" w:space="0" w:color="auto"/>
              <w:left w:val="single" w:sz="4" w:space="0" w:color="auto"/>
              <w:bottom w:val="nil"/>
              <w:right w:val="single" w:sz="4" w:space="0" w:color="auto"/>
            </w:tcBorders>
            <w:hideMark/>
          </w:tcPr>
          <w:p w14:paraId="1CB83686" w14:textId="77777777" w:rsidR="00567E6C" w:rsidRDefault="00567E6C" w:rsidP="00567E6C">
            <w:pPr>
              <w:pStyle w:val="TAH"/>
            </w:pPr>
            <w:r>
              <w:t>dB</w:t>
            </w:r>
          </w:p>
        </w:tc>
        <w:tc>
          <w:tcPr>
            <w:tcW w:w="1119" w:type="dxa"/>
            <w:tcBorders>
              <w:top w:val="single" w:sz="4" w:space="0" w:color="auto"/>
              <w:left w:val="single" w:sz="4" w:space="0" w:color="auto"/>
              <w:bottom w:val="nil"/>
              <w:right w:val="single" w:sz="4" w:space="0" w:color="auto"/>
            </w:tcBorders>
            <w:hideMark/>
          </w:tcPr>
          <w:p w14:paraId="621077D6" w14:textId="77777777" w:rsidR="00567E6C" w:rsidRDefault="00567E6C" w:rsidP="00567E6C">
            <w:pPr>
              <w:pStyle w:val="TAH"/>
            </w:pPr>
            <w:r>
              <w:t>dB</w:t>
            </w:r>
          </w:p>
        </w:tc>
        <w:tc>
          <w:tcPr>
            <w:tcW w:w="1119" w:type="dxa"/>
            <w:tcBorders>
              <w:top w:val="single" w:sz="4" w:space="0" w:color="auto"/>
              <w:left w:val="single" w:sz="4" w:space="0" w:color="auto"/>
              <w:bottom w:val="nil"/>
              <w:right w:val="single" w:sz="4" w:space="0" w:color="auto"/>
            </w:tcBorders>
            <w:hideMark/>
          </w:tcPr>
          <w:p w14:paraId="2CD23FAF" w14:textId="77777777" w:rsidR="00567E6C" w:rsidRDefault="00567E6C" w:rsidP="00567E6C">
            <w:pPr>
              <w:pStyle w:val="TAH"/>
              <w:rPr>
                <w:rFonts w:cs="Arial"/>
              </w:rPr>
            </w:pPr>
            <w:r>
              <w:t>dB</w:t>
            </w:r>
          </w:p>
        </w:tc>
        <w:tc>
          <w:tcPr>
            <w:tcW w:w="3161" w:type="dxa"/>
            <w:gridSpan w:val="2"/>
            <w:tcBorders>
              <w:top w:val="single" w:sz="4" w:space="0" w:color="auto"/>
              <w:left w:val="single" w:sz="4" w:space="0" w:color="auto"/>
              <w:bottom w:val="single" w:sz="4" w:space="0" w:color="auto"/>
              <w:right w:val="single" w:sz="4" w:space="0" w:color="auto"/>
            </w:tcBorders>
            <w:hideMark/>
          </w:tcPr>
          <w:p w14:paraId="18E1E87B" w14:textId="77777777" w:rsidR="00567E6C" w:rsidRDefault="00567E6C" w:rsidP="00567E6C">
            <w:pPr>
              <w:pStyle w:val="TAH"/>
            </w:pPr>
            <w:r>
              <w:rPr>
                <w:rFonts w:cs="Arial"/>
              </w:rPr>
              <w:t xml:space="preserve">dBm / </w:t>
            </w:r>
            <w:r>
              <w:t>SCS</w:t>
            </w:r>
            <w:r>
              <w:rPr>
                <w:vertAlign w:val="subscript"/>
                <w:lang w:eastAsia="zh-CN"/>
              </w:rPr>
              <w:t>CSI-RS</w:t>
            </w:r>
            <w:r>
              <w:rPr>
                <w:vertAlign w:val="superscript"/>
              </w:rPr>
              <w:t xml:space="preserve"> Note 1</w:t>
            </w:r>
          </w:p>
        </w:tc>
        <w:tc>
          <w:tcPr>
            <w:tcW w:w="2268" w:type="dxa"/>
            <w:tcBorders>
              <w:top w:val="single" w:sz="4" w:space="0" w:color="auto"/>
              <w:left w:val="single" w:sz="4" w:space="0" w:color="auto"/>
              <w:bottom w:val="nil"/>
              <w:right w:val="single" w:sz="4" w:space="0" w:color="auto"/>
            </w:tcBorders>
            <w:hideMark/>
          </w:tcPr>
          <w:p w14:paraId="2DA06A3C" w14:textId="77777777" w:rsidR="00567E6C" w:rsidRDefault="00567E6C" w:rsidP="00567E6C">
            <w:pPr>
              <w:pStyle w:val="TAH"/>
            </w:pPr>
            <w:r>
              <w:t>dBm/BW</w:t>
            </w:r>
            <w:r>
              <w:rPr>
                <w:vertAlign w:val="subscript"/>
              </w:rPr>
              <w:t>Channel</w:t>
            </w:r>
          </w:p>
        </w:tc>
      </w:tr>
      <w:tr w:rsidR="00567E6C" w14:paraId="08832C3B" w14:textId="77777777" w:rsidTr="00567E6C">
        <w:trPr>
          <w:jc w:val="center"/>
        </w:trPr>
        <w:tc>
          <w:tcPr>
            <w:tcW w:w="1122" w:type="dxa"/>
            <w:tcBorders>
              <w:top w:val="nil"/>
              <w:left w:val="single" w:sz="4" w:space="0" w:color="auto"/>
              <w:bottom w:val="single" w:sz="4" w:space="0" w:color="auto"/>
              <w:right w:val="single" w:sz="4" w:space="0" w:color="auto"/>
            </w:tcBorders>
          </w:tcPr>
          <w:p w14:paraId="070595F6"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7C56A6C0" w14:textId="77777777" w:rsidR="00567E6C" w:rsidRDefault="00567E6C" w:rsidP="00567E6C">
            <w:pPr>
              <w:pStyle w:val="TAH"/>
            </w:pPr>
          </w:p>
        </w:tc>
        <w:tc>
          <w:tcPr>
            <w:tcW w:w="1119" w:type="dxa"/>
            <w:tcBorders>
              <w:top w:val="nil"/>
              <w:left w:val="single" w:sz="4" w:space="0" w:color="auto"/>
              <w:bottom w:val="single" w:sz="4" w:space="0" w:color="auto"/>
              <w:right w:val="single" w:sz="4" w:space="0" w:color="auto"/>
            </w:tcBorders>
          </w:tcPr>
          <w:p w14:paraId="23481048" w14:textId="77777777" w:rsidR="00567E6C" w:rsidRDefault="00567E6C" w:rsidP="00567E6C">
            <w:pPr>
              <w:pStyle w:val="TAH"/>
            </w:pPr>
          </w:p>
        </w:tc>
        <w:tc>
          <w:tcPr>
            <w:tcW w:w="1580" w:type="dxa"/>
            <w:tcBorders>
              <w:top w:val="single" w:sz="4" w:space="0" w:color="auto"/>
              <w:left w:val="single" w:sz="4" w:space="0" w:color="auto"/>
              <w:bottom w:val="single" w:sz="4" w:space="0" w:color="auto"/>
              <w:right w:val="single" w:sz="4" w:space="0" w:color="auto"/>
            </w:tcBorders>
            <w:hideMark/>
          </w:tcPr>
          <w:p w14:paraId="1EA56FCD" w14:textId="77777777" w:rsidR="00567E6C" w:rsidRDefault="00567E6C" w:rsidP="00567E6C">
            <w:pPr>
              <w:pStyle w:val="TAH"/>
            </w:pPr>
            <w:r>
              <w:t>SCS</w:t>
            </w:r>
            <w:r>
              <w:rPr>
                <w:vertAlign w:val="subscript"/>
                <w:lang w:eastAsia="zh-CN"/>
              </w:rPr>
              <w:t>CSI-RS</w:t>
            </w:r>
            <w:r>
              <w:rPr>
                <w:rFonts w:cs="Arial"/>
              </w:rPr>
              <w:t xml:space="preserve"> = 60kHz</w:t>
            </w:r>
          </w:p>
        </w:tc>
        <w:tc>
          <w:tcPr>
            <w:tcW w:w="1581" w:type="dxa"/>
            <w:tcBorders>
              <w:top w:val="single" w:sz="4" w:space="0" w:color="auto"/>
              <w:left w:val="single" w:sz="4" w:space="0" w:color="auto"/>
              <w:bottom w:val="single" w:sz="4" w:space="0" w:color="auto"/>
              <w:right w:val="single" w:sz="4" w:space="0" w:color="auto"/>
            </w:tcBorders>
            <w:hideMark/>
          </w:tcPr>
          <w:p w14:paraId="4BBED68D" w14:textId="77777777" w:rsidR="00567E6C" w:rsidRDefault="00567E6C" w:rsidP="00567E6C">
            <w:pPr>
              <w:pStyle w:val="TAH"/>
            </w:pPr>
            <w:r>
              <w:t>SCS</w:t>
            </w:r>
            <w:r>
              <w:rPr>
                <w:vertAlign w:val="subscript"/>
                <w:lang w:eastAsia="zh-CN"/>
              </w:rPr>
              <w:t>CSI-RS</w:t>
            </w:r>
            <w:r>
              <w:rPr>
                <w:rFonts w:cs="Arial"/>
              </w:rPr>
              <w:t xml:space="preserve"> = 120kHz</w:t>
            </w:r>
          </w:p>
        </w:tc>
        <w:tc>
          <w:tcPr>
            <w:tcW w:w="2268" w:type="dxa"/>
            <w:tcBorders>
              <w:top w:val="nil"/>
              <w:left w:val="single" w:sz="4" w:space="0" w:color="auto"/>
              <w:bottom w:val="single" w:sz="4" w:space="0" w:color="auto"/>
              <w:right w:val="single" w:sz="4" w:space="0" w:color="auto"/>
            </w:tcBorders>
          </w:tcPr>
          <w:p w14:paraId="7339B935" w14:textId="77777777" w:rsidR="00567E6C" w:rsidRDefault="00567E6C" w:rsidP="00567E6C">
            <w:pPr>
              <w:pStyle w:val="TAH"/>
            </w:pPr>
          </w:p>
        </w:tc>
      </w:tr>
      <w:tr w:rsidR="00567E6C" w14:paraId="3A2E0F75" w14:textId="77777777" w:rsidTr="00567E6C">
        <w:trPr>
          <w:trHeight w:val="465"/>
          <w:jc w:val="center"/>
        </w:trPr>
        <w:tc>
          <w:tcPr>
            <w:tcW w:w="1122" w:type="dxa"/>
            <w:tcBorders>
              <w:top w:val="single" w:sz="4" w:space="0" w:color="auto"/>
              <w:left w:val="single" w:sz="4" w:space="0" w:color="auto"/>
              <w:bottom w:val="single" w:sz="4" w:space="0" w:color="auto"/>
              <w:right w:val="single" w:sz="4" w:space="0" w:color="auto"/>
            </w:tcBorders>
          </w:tcPr>
          <w:p w14:paraId="2B447E38" w14:textId="77777777" w:rsidR="00567E6C" w:rsidRDefault="00567E6C" w:rsidP="00567E6C">
            <w:pPr>
              <w:pStyle w:val="TAC"/>
            </w:pPr>
            <w:r w:rsidRPr="00714130">
              <w:rPr>
                <w:lang w:eastAsia="zh-CN"/>
              </w:rPr>
              <w:sym w:font="Symbol" w:char="F0B1"/>
            </w:r>
            <w:r>
              <w:rPr>
                <w:lang w:eastAsia="zh-CN"/>
              </w:rPr>
              <w:t>3.5</w:t>
            </w:r>
          </w:p>
        </w:tc>
        <w:tc>
          <w:tcPr>
            <w:tcW w:w="1119" w:type="dxa"/>
            <w:tcBorders>
              <w:top w:val="single" w:sz="4" w:space="0" w:color="auto"/>
              <w:left w:val="single" w:sz="4" w:space="0" w:color="auto"/>
              <w:bottom w:val="single" w:sz="4" w:space="0" w:color="auto"/>
              <w:right w:val="single" w:sz="4" w:space="0" w:color="auto"/>
            </w:tcBorders>
          </w:tcPr>
          <w:p w14:paraId="7DAAF951" w14:textId="77777777" w:rsidR="00567E6C" w:rsidRDefault="00567E6C" w:rsidP="00567E6C">
            <w:pPr>
              <w:pStyle w:val="TAC"/>
            </w:pPr>
            <w:r w:rsidRPr="00714130">
              <w:rPr>
                <w:lang w:eastAsia="zh-CN"/>
              </w:rPr>
              <w:sym w:font="Symbol" w:char="F0B1"/>
            </w:r>
            <w:r>
              <w:rPr>
                <w:lang w:eastAsia="zh-CN"/>
              </w:rPr>
              <w:t>4</w:t>
            </w:r>
          </w:p>
        </w:tc>
        <w:tc>
          <w:tcPr>
            <w:tcW w:w="1119" w:type="dxa"/>
            <w:tcBorders>
              <w:top w:val="single" w:sz="4" w:space="0" w:color="auto"/>
              <w:left w:val="single" w:sz="4" w:space="0" w:color="auto"/>
              <w:bottom w:val="single" w:sz="4" w:space="0" w:color="auto"/>
              <w:right w:val="single" w:sz="4" w:space="0" w:color="auto"/>
            </w:tcBorders>
            <w:hideMark/>
          </w:tcPr>
          <w:p w14:paraId="232B8380" w14:textId="77777777" w:rsidR="00567E6C" w:rsidRDefault="00567E6C" w:rsidP="00567E6C">
            <w:pPr>
              <w:pStyle w:val="TAC"/>
            </w:pPr>
            <w:r>
              <w:rPr>
                <w:rFonts w:eastAsia="Yu Mincho" w:cs="Arial"/>
                <w:lang w:eastAsia="ja-JP"/>
              </w:rPr>
              <w:t>≥</w:t>
            </w:r>
            <w:r>
              <w:t>-3</w:t>
            </w:r>
          </w:p>
        </w:tc>
        <w:tc>
          <w:tcPr>
            <w:tcW w:w="3161" w:type="dxa"/>
            <w:gridSpan w:val="2"/>
            <w:vMerge w:val="restart"/>
            <w:tcBorders>
              <w:top w:val="single" w:sz="4" w:space="0" w:color="auto"/>
              <w:left w:val="single" w:sz="4" w:space="0" w:color="auto"/>
              <w:right w:val="single" w:sz="4" w:space="0" w:color="auto"/>
            </w:tcBorders>
            <w:hideMark/>
          </w:tcPr>
          <w:p w14:paraId="57608EB4" w14:textId="77777777" w:rsidR="00567E6C" w:rsidRDefault="00567E6C" w:rsidP="00567E6C">
            <w:pPr>
              <w:pStyle w:val="TAL"/>
              <w:jc w:val="center"/>
              <w:rPr>
                <w:rFonts w:eastAsia="Yu Mincho"/>
                <w:lang w:eastAsia="ja-JP"/>
              </w:rPr>
            </w:pPr>
            <w:r>
              <w:t xml:space="preserve">Same value as </w:t>
            </w:r>
            <w:r>
              <w:rPr>
                <w:lang w:eastAsia="zh-CN"/>
              </w:rPr>
              <w:t>CSI</w:t>
            </w:r>
            <w:r>
              <w:t>_RP in Table B.2.</w:t>
            </w:r>
            <w:r>
              <w:rPr>
                <w:rFonts w:hint="eastAsia"/>
                <w:lang w:eastAsia="zh-CN"/>
              </w:rPr>
              <w:t>9</w:t>
            </w:r>
            <w:r>
              <w:t>-2, according to UE Power class, operating band and angle of arrival</w:t>
            </w:r>
          </w:p>
        </w:tc>
        <w:tc>
          <w:tcPr>
            <w:tcW w:w="2268" w:type="dxa"/>
            <w:vMerge w:val="restart"/>
            <w:tcBorders>
              <w:top w:val="single" w:sz="4" w:space="0" w:color="auto"/>
              <w:left w:val="single" w:sz="4" w:space="0" w:color="auto"/>
              <w:right w:val="single" w:sz="4" w:space="0" w:color="auto"/>
            </w:tcBorders>
            <w:hideMark/>
          </w:tcPr>
          <w:p w14:paraId="2E4F7AFD" w14:textId="77777777" w:rsidR="00567E6C" w:rsidRDefault="00567E6C" w:rsidP="00567E6C">
            <w:pPr>
              <w:pStyle w:val="TAC"/>
            </w:pPr>
            <w:r>
              <w:t>-50</w:t>
            </w:r>
          </w:p>
        </w:tc>
      </w:tr>
      <w:tr w:rsidR="00567E6C" w14:paraId="35F01B06" w14:textId="77777777" w:rsidTr="00567E6C">
        <w:trPr>
          <w:trHeight w:val="465"/>
          <w:jc w:val="center"/>
        </w:trPr>
        <w:tc>
          <w:tcPr>
            <w:tcW w:w="1122" w:type="dxa"/>
            <w:tcBorders>
              <w:top w:val="single" w:sz="4" w:space="0" w:color="auto"/>
              <w:left w:val="single" w:sz="4" w:space="0" w:color="auto"/>
              <w:bottom w:val="single" w:sz="4" w:space="0" w:color="auto"/>
              <w:right w:val="single" w:sz="4" w:space="0" w:color="auto"/>
            </w:tcBorders>
          </w:tcPr>
          <w:p w14:paraId="1413C34A" w14:textId="77777777" w:rsidR="00567E6C" w:rsidRDefault="00567E6C" w:rsidP="00567E6C">
            <w:pPr>
              <w:pStyle w:val="TAC"/>
            </w:pPr>
            <w:r w:rsidRPr="00714130">
              <w:rPr>
                <w:lang w:eastAsia="zh-CN"/>
              </w:rPr>
              <w:sym w:font="Symbol" w:char="F0B1"/>
            </w:r>
            <w:r>
              <w:rPr>
                <w:lang w:eastAsia="zh-CN"/>
              </w:rPr>
              <w:t>4</w:t>
            </w:r>
          </w:p>
        </w:tc>
        <w:tc>
          <w:tcPr>
            <w:tcW w:w="1119" w:type="dxa"/>
            <w:tcBorders>
              <w:top w:val="single" w:sz="4" w:space="0" w:color="auto"/>
              <w:left w:val="single" w:sz="4" w:space="0" w:color="auto"/>
              <w:bottom w:val="single" w:sz="4" w:space="0" w:color="auto"/>
              <w:right w:val="single" w:sz="4" w:space="0" w:color="auto"/>
            </w:tcBorders>
          </w:tcPr>
          <w:p w14:paraId="5537A1CF" w14:textId="77777777" w:rsidR="00567E6C" w:rsidRDefault="00567E6C" w:rsidP="00567E6C">
            <w:pPr>
              <w:pStyle w:val="TAC"/>
            </w:pPr>
            <w:r w:rsidRPr="00714130">
              <w:rPr>
                <w:lang w:eastAsia="zh-CN"/>
              </w:rPr>
              <w:sym w:font="Symbol" w:char="F0B1"/>
            </w:r>
            <w:r>
              <w:rPr>
                <w:lang w:eastAsia="zh-CN"/>
              </w:rPr>
              <w:t>4</w:t>
            </w:r>
          </w:p>
        </w:tc>
        <w:tc>
          <w:tcPr>
            <w:tcW w:w="1119" w:type="dxa"/>
            <w:tcBorders>
              <w:top w:val="single" w:sz="4" w:space="0" w:color="auto"/>
              <w:left w:val="single" w:sz="4" w:space="0" w:color="auto"/>
              <w:bottom w:val="single" w:sz="4" w:space="0" w:color="auto"/>
              <w:right w:val="single" w:sz="4" w:space="0" w:color="auto"/>
            </w:tcBorders>
            <w:hideMark/>
          </w:tcPr>
          <w:p w14:paraId="52475751" w14:textId="77777777" w:rsidR="00567E6C" w:rsidRDefault="00567E6C" w:rsidP="00567E6C">
            <w:pPr>
              <w:pStyle w:val="TAC"/>
            </w:pPr>
            <w:r>
              <w:rPr>
                <w:rFonts w:eastAsia="Yu Mincho" w:cs="Arial"/>
                <w:lang w:eastAsia="ja-JP"/>
              </w:rPr>
              <w:t>≥-6</w:t>
            </w:r>
          </w:p>
        </w:tc>
        <w:tc>
          <w:tcPr>
            <w:tcW w:w="3161" w:type="dxa"/>
            <w:gridSpan w:val="2"/>
            <w:vMerge/>
            <w:tcBorders>
              <w:left w:val="single" w:sz="4" w:space="0" w:color="auto"/>
              <w:bottom w:val="single" w:sz="4" w:space="0" w:color="auto"/>
              <w:right w:val="single" w:sz="4" w:space="0" w:color="auto"/>
            </w:tcBorders>
          </w:tcPr>
          <w:p w14:paraId="15EDA574" w14:textId="77777777" w:rsidR="00567E6C" w:rsidRDefault="00567E6C" w:rsidP="00567E6C">
            <w:pPr>
              <w:keepNext/>
              <w:keepLines/>
              <w:spacing w:after="0"/>
              <w:jc w:val="center"/>
              <w:rPr>
                <w:rFonts w:ascii="Arial" w:hAnsi="Arial"/>
                <w:sz w:val="18"/>
              </w:rPr>
            </w:pPr>
          </w:p>
        </w:tc>
        <w:tc>
          <w:tcPr>
            <w:tcW w:w="2268" w:type="dxa"/>
            <w:vMerge/>
            <w:tcBorders>
              <w:left w:val="single" w:sz="4" w:space="0" w:color="auto"/>
              <w:bottom w:val="single" w:sz="4" w:space="0" w:color="auto"/>
              <w:right w:val="single" w:sz="4" w:space="0" w:color="auto"/>
            </w:tcBorders>
          </w:tcPr>
          <w:p w14:paraId="58F1239D" w14:textId="77777777" w:rsidR="00567E6C" w:rsidRDefault="00567E6C" w:rsidP="00567E6C">
            <w:pPr>
              <w:keepNext/>
              <w:keepLines/>
              <w:spacing w:after="0"/>
              <w:jc w:val="center"/>
              <w:rPr>
                <w:rFonts w:ascii="Arial" w:hAnsi="Arial"/>
                <w:sz w:val="18"/>
              </w:rPr>
            </w:pPr>
          </w:p>
        </w:tc>
      </w:tr>
      <w:tr w:rsidR="00567E6C" w14:paraId="19318974" w14:textId="77777777" w:rsidTr="00567E6C">
        <w:trPr>
          <w:jc w:val="center"/>
        </w:trPr>
        <w:tc>
          <w:tcPr>
            <w:tcW w:w="8789" w:type="dxa"/>
            <w:gridSpan w:val="6"/>
            <w:tcBorders>
              <w:top w:val="single" w:sz="4" w:space="0" w:color="auto"/>
              <w:left w:val="single" w:sz="4" w:space="0" w:color="auto"/>
              <w:bottom w:val="single" w:sz="4" w:space="0" w:color="auto"/>
              <w:right w:val="single" w:sz="4" w:space="0" w:color="auto"/>
            </w:tcBorders>
            <w:vAlign w:val="center"/>
            <w:hideMark/>
          </w:tcPr>
          <w:p w14:paraId="5749789D" w14:textId="77777777" w:rsidR="00567E6C" w:rsidRDefault="00567E6C" w:rsidP="00567E6C">
            <w:pPr>
              <w:pStyle w:val="TAN"/>
            </w:pPr>
            <w:r>
              <w:t>Note 1:</w:t>
            </w:r>
            <w:r>
              <w:tab/>
              <w:t>Values based on Refsens and EIS spherical coverage as defined in clauses 7.3.2 and 7.3.4 of TS 38.101-2 [19]. Applicable side condition selected depending on angle of arrival.</w:t>
            </w:r>
          </w:p>
          <w:p w14:paraId="38A50B28" w14:textId="77777777" w:rsidR="00567E6C" w:rsidRDefault="00567E6C" w:rsidP="00567E6C">
            <w:pPr>
              <w:pStyle w:val="TAN"/>
            </w:pPr>
            <w:r>
              <w:t>Note 2:</w:t>
            </w:r>
            <w:r>
              <w:tab/>
            </w:r>
            <w:r>
              <w:rPr>
                <w:rFonts w:eastAsia="MS Mincho"/>
              </w:rPr>
              <w:t>Io specified at the Reference point, and assumed to have constant EPRE across the bandwidth</w:t>
            </w:r>
            <w:r>
              <w:t>.</w:t>
            </w:r>
          </w:p>
          <w:p w14:paraId="2EA9DB7E" w14:textId="77777777" w:rsidR="00567E6C" w:rsidRDefault="00567E6C" w:rsidP="00567E6C">
            <w:pPr>
              <w:pStyle w:val="TAN"/>
            </w:pPr>
            <w:r>
              <w:t>Note 3:</w:t>
            </w:r>
            <w:r>
              <w:tab/>
              <w:t>In the test cases, the CSI-RS Ês/Iot and related parameters may need to be adjusted to ensure Ês/Iot at UE baseband is above the value defined in this table.</w:t>
            </w:r>
          </w:p>
          <w:p w14:paraId="45564212" w14:textId="77777777" w:rsidR="00567E6C" w:rsidRDefault="00567E6C" w:rsidP="00567E6C">
            <w:pPr>
              <w:pStyle w:val="TAN"/>
            </w:pPr>
            <w:r w:rsidRPr="00550CC9">
              <w:t>N</w:t>
            </w:r>
            <w:r>
              <w:t>ote</w:t>
            </w:r>
            <w:r w:rsidRPr="00550CC9">
              <w:t xml:space="preserve"> 4:</w:t>
            </w:r>
            <w:r w:rsidRPr="00550CC9">
              <w:tab/>
              <w:t xml:space="preserve">The requirements apply for CSI-RS Ês/Iot </w:t>
            </w:r>
            <w:r w:rsidRPr="00550CC9">
              <w:rPr>
                <w:rFonts w:hint="eastAsia"/>
              </w:rPr>
              <w:t>≤</w:t>
            </w:r>
            <w:r>
              <w:t>X</w:t>
            </w:r>
            <w:r w:rsidRPr="00550CC9">
              <w:t>dB.</w:t>
            </w:r>
            <w:r>
              <w:t xml:space="preserve"> </w:t>
            </w:r>
            <w:r w:rsidRPr="004A0983">
              <w:t>X=15 if timing offset between the reference measurement timing and the target CSI-RS is no larger than 0.5*CP, and X=</w:t>
            </w:r>
            <w:r>
              <w:t>4</w:t>
            </w:r>
            <w:r w:rsidRPr="004A0983">
              <w:t xml:space="preserve"> if timing offset between the reference measurement timing and the target CSI-RS is larger than 0.5*CP but no larger than CP.</w:t>
            </w:r>
          </w:p>
        </w:tc>
      </w:tr>
    </w:tbl>
    <w:p w14:paraId="43368918" w14:textId="77777777" w:rsidR="00567E6C" w:rsidRPr="009C5807" w:rsidRDefault="00567E6C" w:rsidP="00567E6C">
      <w:pPr>
        <w:rPr>
          <w:rFonts w:cs="v4.2.0"/>
        </w:rPr>
      </w:pPr>
    </w:p>
    <w:p w14:paraId="4F25A807" w14:textId="1D85D4BA" w:rsidR="001F5A79" w:rsidRPr="009C5807" w:rsidRDefault="001F5A79" w:rsidP="00967CF8">
      <w:pPr>
        <w:pStyle w:val="Heading3"/>
        <w:rPr>
          <w:lang w:val="en-US" w:eastAsia="ko-KR"/>
        </w:rPr>
      </w:pPr>
      <w:r w:rsidRPr="009C5807">
        <w:rPr>
          <w:lang w:val="en-US" w:eastAsia="ko-KR"/>
        </w:rPr>
        <w:t>1</w:t>
      </w:r>
      <w:r w:rsidR="00967CF8" w:rsidRPr="009C5807">
        <w:rPr>
          <w:lang w:val="en-US" w:eastAsia="ko-KR"/>
        </w:rPr>
        <w:t>0.1.1</w:t>
      </w:r>
      <w:r w:rsidRPr="009C5807">
        <w:rPr>
          <w:lang w:val="en-US" w:eastAsia="ko-KR"/>
        </w:rPr>
        <w:t>6</w:t>
      </w:r>
      <w:r w:rsidRPr="009C5807">
        <w:rPr>
          <w:lang w:val="en-US" w:eastAsia="ko-KR"/>
        </w:rPr>
        <w:tab/>
        <w:t>SINR report mapping</w:t>
      </w:r>
    </w:p>
    <w:p w14:paraId="72ABF679" w14:textId="1A2F60EB" w:rsidR="001F5A79" w:rsidRPr="009C5807" w:rsidRDefault="001F5A79" w:rsidP="009D3C60">
      <w:pPr>
        <w:pStyle w:val="Heading4"/>
        <w:rPr>
          <w:lang w:val="en-US" w:eastAsia="zh-CN"/>
        </w:rPr>
      </w:pPr>
      <w:r w:rsidRPr="009C5807">
        <w:rPr>
          <w:lang w:val="en-US" w:eastAsia="zh-CN"/>
        </w:rPr>
        <w:t>10.1.16.1</w:t>
      </w:r>
      <w:r w:rsidRPr="009C5807">
        <w:rPr>
          <w:lang w:val="en-US" w:eastAsia="zh-CN"/>
        </w:rPr>
        <w:tab/>
      </w:r>
      <w:r w:rsidR="003B67AF" w:rsidRPr="009C5807">
        <w:rPr>
          <w:lang w:val="en-US" w:eastAsia="ko-KR"/>
        </w:rPr>
        <w:t>SS-SINR and CSI-SINR measurement report mapping</w:t>
      </w:r>
    </w:p>
    <w:p w14:paraId="4A1B694E" w14:textId="4D31C3B5" w:rsidR="001F5A79" w:rsidRPr="009C5807" w:rsidRDefault="00340098" w:rsidP="001F5A79">
      <w:pPr>
        <w:rPr>
          <w:rFonts w:cs="v4.2.0"/>
        </w:rPr>
      </w:pPr>
      <w:r w:rsidRPr="009C5807">
        <w:rPr>
          <w:sz w:val="22"/>
          <w:szCs w:val="22"/>
        </w:rPr>
        <w:t>T</w:t>
      </w:r>
      <w:r w:rsidRPr="009C5807">
        <w:rPr>
          <w:rFonts w:cs="v4.2.0"/>
        </w:rPr>
        <w:t xml:space="preserve">he reporting range of SS-SINR and CSI-SINR </w:t>
      </w:r>
      <w:r w:rsidR="00770F31">
        <w:rPr>
          <w:rFonts w:cs="v4.2.0"/>
        </w:rPr>
        <w:t>for L3 reporting</w:t>
      </w:r>
      <w:r w:rsidR="00770F31" w:rsidRPr="009C5807">
        <w:rPr>
          <w:rFonts w:cs="v4.2.0"/>
        </w:rPr>
        <w:t xml:space="preserve"> </w:t>
      </w:r>
      <w:r w:rsidR="00770F31">
        <w:rPr>
          <w:rFonts w:cs="v4.2.0" w:hint="eastAsia"/>
          <w:lang w:eastAsia="zh-CN"/>
        </w:rPr>
        <w:t>and L1 reporing</w:t>
      </w:r>
      <w:r w:rsidR="00770F31" w:rsidDel="00AC3CB5">
        <w:rPr>
          <w:rFonts w:cs="v4.2.0" w:hint="eastAsia"/>
          <w:lang w:eastAsia="zh-CN"/>
        </w:rPr>
        <w:t xml:space="preserve"> </w:t>
      </w:r>
      <w:r w:rsidRPr="009C5807">
        <w:rPr>
          <w:rFonts w:cs="v4.2.0"/>
        </w:rPr>
        <w:t>is defined from -</w:t>
      </w:r>
      <w:r w:rsidRPr="009C5807">
        <w:rPr>
          <w:rFonts w:cs="v4.2.0"/>
          <w:lang w:eastAsia="zh-CN"/>
        </w:rPr>
        <w:t>23</w:t>
      </w:r>
      <w:r w:rsidRPr="009C5807">
        <w:rPr>
          <w:rFonts w:cs="v4.2.0"/>
        </w:rPr>
        <w:t xml:space="preserve"> dB to 40 dB with 0.5 dB resolution</w:t>
      </w:r>
      <w:r w:rsidR="001F5A79" w:rsidRPr="009C5807">
        <w:rPr>
          <w:rFonts w:cs="v4.2.0"/>
        </w:rPr>
        <w:t>. The mapping of measured quantity is defined in Table 10.1.16.1-1. The range in the signalling may be larger than the guaranteed accuracy range.</w:t>
      </w:r>
    </w:p>
    <w:p w14:paraId="71B66371" w14:textId="0262E731" w:rsidR="00073F9E" w:rsidRPr="009C5807" w:rsidRDefault="00073F9E" w:rsidP="00073F9E">
      <w:pPr>
        <w:rPr>
          <w:rFonts w:cs="v4.2.0"/>
        </w:rPr>
      </w:pPr>
      <w:r w:rsidRPr="009C5807">
        <w:rPr>
          <w:rFonts w:cs="v4.2.0"/>
        </w:rPr>
        <w:t xml:space="preserve">The reporting range of differential SS-SINR and CSI-SINR for L1 reporting </w:t>
      </w:r>
      <w:r w:rsidR="00770F31">
        <w:rPr>
          <w:rFonts w:cs="v4.2.0" w:hint="eastAsia"/>
          <w:lang w:eastAsia="zh-CN"/>
        </w:rPr>
        <w:t xml:space="preserve">and L3 reporting </w:t>
      </w:r>
      <w:r w:rsidRPr="009C5807">
        <w:rPr>
          <w:rFonts w:cs="v4.2.0"/>
        </w:rPr>
        <w:t>is defined from -15 dB to 0 dB with 1 dB resolution.</w:t>
      </w:r>
    </w:p>
    <w:p w14:paraId="7D11EB1F" w14:textId="77777777" w:rsidR="00073F9E" w:rsidRPr="009C5807" w:rsidRDefault="00073F9E" w:rsidP="00073F9E">
      <w:pPr>
        <w:rPr>
          <w:rFonts w:cs="v4.2.0"/>
        </w:rPr>
      </w:pPr>
      <w:r w:rsidRPr="009C5807">
        <w:rPr>
          <w:rFonts w:cs="v4.2.0"/>
        </w:rPr>
        <w:t>The mapping of measured quantity is defined in Table 10.1.16.1-2. The range in the signalling may be larger than the guaranteed accuracy range.</w:t>
      </w:r>
    </w:p>
    <w:p w14:paraId="3375F4E1" w14:textId="497E289B" w:rsidR="00073F9E" w:rsidRPr="009C5807" w:rsidRDefault="00073F9E" w:rsidP="0093237A">
      <w:pPr>
        <w:pStyle w:val="TH"/>
      </w:pPr>
      <w:r w:rsidRPr="009C5807">
        <w:t>Table 10.1.16.1-1: SS-SINR and CSI-</w:t>
      </w:r>
      <w:r w:rsidR="00770F31">
        <w:rPr>
          <w:rFonts w:hint="eastAsia"/>
          <w:lang w:eastAsia="zh-CN"/>
        </w:rPr>
        <w:t>SINR</w:t>
      </w:r>
      <w:r w:rsidR="00770F31" w:rsidRPr="009C5807">
        <w:t xml:space="preserve"> </w:t>
      </w:r>
      <w:r w:rsidRPr="009C5807">
        <w:t>measurement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2154"/>
        <w:gridCol w:w="2155"/>
        <w:gridCol w:w="567"/>
      </w:tblGrid>
      <w:tr w:rsidR="00073F9E" w:rsidRPr="009C5807" w14:paraId="08E82B4D" w14:textId="77777777" w:rsidTr="00B4408D">
        <w:trPr>
          <w:trHeight w:val="300"/>
          <w:jc w:val="center"/>
        </w:trPr>
        <w:tc>
          <w:tcPr>
            <w:tcW w:w="1640" w:type="dxa"/>
            <w:shd w:val="clear" w:color="auto" w:fill="auto"/>
            <w:noWrap/>
            <w:vAlign w:val="center"/>
            <w:hideMark/>
          </w:tcPr>
          <w:p w14:paraId="14F2F459" w14:textId="77777777" w:rsidR="00073F9E" w:rsidRPr="009C5807" w:rsidRDefault="00073F9E" w:rsidP="00F47417">
            <w:pPr>
              <w:pStyle w:val="TAH"/>
              <w:rPr>
                <w:lang w:eastAsia="ko-KR"/>
              </w:rPr>
            </w:pPr>
            <w:r w:rsidRPr="009C5807">
              <w:rPr>
                <w:lang w:eastAsia="ko-KR"/>
              </w:rPr>
              <w:t>Reported value</w:t>
            </w:r>
          </w:p>
        </w:tc>
        <w:tc>
          <w:tcPr>
            <w:tcW w:w="2154" w:type="dxa"/>
            <w:shd w:val="clear" w:color="auto" w:fill="auto"/>
            <w:noWrap/>
            <w:vAlign w:val="center"/>
            <w:hideMark/>
          </w:tcPr>
          <w:p w14:paraId="4794B4B3" w14:textId="2C3A0D3E" w:rsidR="00073F9E" w:rsidRPr="009C5807" w:rsidRDefault="00073F9E" w:rsidP="00F47417">
            <w:pPr>
              <w:pStyle w:val="TAH"/>
              <w:rPr>
                <w:lang w:eastAsia="ko-KR"/>
              </w:rPr>
            </w:pPr>
            <w:r w:rsidRPr="009C5807">
              <w:rPr>
                <w:lang w:eastAsia="ko-KR"/>
              </w:rPr>
              <w:t>Measured quantity value (L3 SS-SINR</w:t>
            </w:r>
            <w:r w:rsidR="00770F31">
              <w:rPr>
                <w:lang w:eastAsia="ko-KR"/>
              </w:rPr>
              <w:t xml:space="preserve"> and L3 CSI-SINR</w:t>
            </w:r>
            <w:r w:rsidRPr="009C5807">
              <w:rPr>
                <w:lang w:eastAsia="ko-KR"/>
              </w:rPr>
              <w:t>)</w:t>
            </w:r>
          </w:p>
        </w:tc>
        <w:tc>
          <w:tcPr>
            <w:tcW w:w="2155" w:type="dxa"/>
            <w:vAlign w:val="center"/>
          </w:tcPr>
          <w:p w14:paraId="2EE523F9" w14:textId="77777777" w:rsidR="00073F9E" w:rsidRPr="009C5807" w:rsidRDefault="00073F9E" w:rsidP="00F47417">
            <w:pPr>
              <w:pStyle w:val="TAH"/>
              <w:rPr>
                <w:lang w:eastAsia="ko-KR"/>
              </w:rPr>
            </w:pPr>
            <w:r w:rsidRPr="009C5807">
              <w:rPr>
                <w:lang w:eastAsia="ko-KR"/>
              </w:rPr>
              <w:t>Measured quantity value (L1 SS-SINR and L1 CSI-SINR)</w:t>
            </w:r>
          </w:p>
        </w:tc>
        <w:tc>
          <w:tcPr>
            <w:tcW w:w="567" w:type="dxa"/>
            <w:shd w:val="clear" w:color="auto" w:fill="auto"/>
            <w:noWrap/>
            <w:vAlign w:val="center"/>
            <w:hideMark/>
          </w:tcPr>
          <w:p w14:paraId="27A1E558" w14:textId="77777777" w:rsidR="00073F9E" w:rsidRPr="009C5807" w:rsidRDefault="00073F9E" w:rsidP="00F47417">
            <w:pPr>
              <w:pStyle w:val="TAH"/>
              <w:rPr>
                <w:lang w:eastAsia="ko-KR"/>
              </w:rPr>
            </w:pPr>
            <w:r w:rsidRPr="009C5807">
              <w:rPr>
                <w:lang w:eastAsia="ko-KR"/>
              </w:rPr>
              <w:t>Unit</w:t>
            </w:r>
          </w:p>
        </w:tc>
      </w:tr>
      <w:tr w:rsidR="00073F9E" w:rsidRPr="009C5807" w14:paraId="248C5103" w14:textId="77777777" w:rsidTr="00485F6E">
        <w:trPr>
          <w:trHeight w:val="300"/>
          <w:jc w:val="center"/>
        </w:trPr>
        <w:tc>
          <w:tcPr>
            <w:tcW w:w="1640" w:type="dxa"/>
            <w:shd w:val="clear" w:color="auto" w:fill="auto"/>
            <w:noWrap/>
            <w:hideMark/>
          </w:tcPr>
          <w:p w14:paraId="4DD1E3A4" w14:textId="77777777" w:rsidR="00073F9E" w:rsidRPr="009C5807" w:rsidRDefault="00073F9E" w:rsidP="00485F6E">
            <w:pPr>
              <w:pStyle w:val="TAL"/>
              <w:rPr>
                <w:lang w:eastAsia="ko-KR"/>
              </w:rPr>
            </w:pPr>
            <w:r w:rsidRPr="009C5807">
              <w:t>SINR_0</w:t>
            </w:r>
          </w:p>
        </w:tc>
        <w:tc>
          <w:tcPr>
            <w:tcW w:w="2154" w:type="dxa"/>
            <w:shd w:val="clear" w:color="auto" w:fill="auto"/>
            <w:noWrap/>
            <w:hideMark/>
          </w:tcPr>
          <w:p w14:paraId="0816ED0A" w14:textId="07E8A6DE" w:rsidR="00073F9E" w:rsidRPr="009C5807" w:rsidRDefault="00073F9E" w:rsidP="00485F6E">
            <w:pPr>
              <w:pStyle w:val="TAL"/>
              <w:rPr>
                <w:lang w:eastAsia="ko-KR"/>
              </w:rPr>
            </w:pPr>
            <w:r w:rsidRPr="009C5807">
              <w:t>SINR&lt;-23</w:t>
            </w:r>
          </w:p>
        </w:tc>
        <w:tc>
          <w:tcPr>
            <w:tcW w:w="2155" w:type="dxa"/>
          </w:tcPr>
          <w:p w14:paraId="72903FAB" w14:textId="77777777" w:rsidR="00073F9E" w:rsidRPr="009C5807" w:rsidRDefault="00073F9E" w:rsidP="00485F6E">
            <w:pPr>
              <w:pStyle w:val="TAL"/>
            </w:pPr>
            <w:r w:rsidRPr="009C5807">
              <w:t>SINR&lt;-23</w:t>
            </w:r>
          </w:p>
        </w:tc>
        <w:tc>
          <w:tcPr>
            <w:tcW w:w="567" w:type="dxa"/>
            <w:shd w:val="clear" w:color="auto" w:fill="auto"/>
            <w:noWrap/>
            <w:hideMark/>
          </w:tcPr>
          <w:p w14:paraId="22E77550" w14:textId="77777777" w:rsidR="00073F9E" w:rsidRPr="009C5807" w:rsidRDefault="00073F9E" w:rsidP="00485F6E">
            <w:pPr>
              <w:pStyle w:val="TAL"/>
              <w:rPr>
                <w:lang w:eastAsia="ko-KR"/>
              </w:rPr>
            </w:pPr>
            <w:r w:rsidRPr="009C5807">
              <w:t>dB</w:t>
            </w:r>
          </w:p>
        </w:tc>
      </w:tr>
      <w:tr w:rsidR="00073F9E" w:rsidRPr="009C5807" w14:paraId="2518EE78" w14:textId="77777777" w:rsidTr="00485F6E">
        <w:trPr>
          <w:trHeight w:val="300"/>
          <w:jc w:val="center"/>
        </w:trPr>
        <w:tc>
          <w:tcPr>
            <w:tcW w:w="1640" w:type="dxa"/>
            <w:shd w:val="clear" w:color="auto" w:fill="auto"/>
            <w:noWrap/>
            <w:hideMark/>
          </w:tcPr>
          <w:p w14:paraId="360C967D" w14:textId="77777777" w:rsidR="00073F9E" w:rsidRPr="009C5807" w:rsidRDefault="00073F9E" w:rsidP="00485F6E">
            <w:pPr>
              <w:pStyle w:val="TAL"/>
              <w:rPr>
                <w:lang w:eastAsia="ko-KR"/>
              </w:rPr>
            </w:pPr>
            <w:r w:rsidRPr="009C5807">
              <w:t>SINR_1</w:t>
            </w:r>
          </w:p>
        </w:tc>
        <w:tc>
          <w:tcPr>
            <w:tcW w:w="2154" w:type="dxa"/>
            <w:shd w:val="clear" w:color="auto" w:fill="auto"/>
            <w:noWrap/>
            <w:hideMark/>
          </w:tcPr>
          <w:p w14:paraId="1BF60E4E" w14:textId="03563CFD" w:rsidR="00073F9E" w:rsidRPr="009C5807" w:rsidRDefault="00073F9E" w:rsidP="00485F6E">
            <w:pPr>
              <w:pStyle w:val="TAL"/>
              <w:rPr>
                <w:lang w:eastAsia="ko-KR"/>
              </w:rPr>
            </w:pPr>
            <w:r w:rsidRPr="009C5807">
              <w:t>-23</w:t>
            </w:r>
            <w:r w:rsidRPr="009C5807">
              <w:rPr>
                <w:rFonts w:hint="eastAsia"/>
              </w:rPr>
              <w:t>≤</w:t>
            </w:r>
            <w:r w:rsidRPr="009C5807">
              <w:t xml:space="preserve"> SINR&lt;-22.5</w:t>
            </w:r>
          </w:p>
        </w:tc>
        <w:tc>
          <w:tcPr>
            <w:tcW w:w="2155" w:type="dxa"/>
          </w:tcPr>
          <w:p w14:paraId="498F9875" w14:textId="77777777" w:rsidR="00073F9E" w:rsidRPr="009C5807" w:rsidRDefault="00073F9E" w:rsidP="00485F6E">
            <w:pPr>
              <w:pStyle w:val="TAL"/>
            </w:pPr>
            <w:r w:rsidRPr="009C5807">
              <w:t>-23</w:t>
            </w:r>
            <w:r w:rsidRPr="009C5807">
              <w:rPr>
                <w:rFonts w:hint="eastAsia"/>
              </w:rPr>
              <w:t>≤</w:t>
            </w:r>
            <w:r w:rsidRPr="009C5807">
              <w:t>SINR&lt;-22.5</w:t>
            </w:r>
          </w:p>
        </w:tc>
        <w:tc>
          <w:tcPr>
            <w:tcW w:w="567" w:type="dxa"/>
            <w:shd w:val="clear" w:color="auto" w:fill="auto"/>
            <w:noWrap/>
            <w:hideMark/>
          </w:tcPr>
          <w:p w14:paraId="24D89D58" w14:textId="77777777" w:rsidR="00073F9E" w:rsidRPr="009C5807" w:rsidRDefault="00073F9E" w:rsidP="00485F6E">
            <w:pPr>
              <w:pStyle w:val="TAL"/>
              <w:rPr>
                <w:lang w:eastAsia="ko-KR"/>
              </w:rPr>
            </w:pPr>
            <w:r w:rsidRPr="009C5807">
              <w:t>dB</w:t>
            </w:r>
          </w:p>
        </w:tc>
      </w:tr>
      <w:tr w:rsidR="00073F9E" w:rsidRPr="009C5807" w14:paraId="4D57A104" w14:textId="77777777" w:rsidTr="00485F6E">
        <w:trPr>
          <w:trHeight w:val="300"/>
          <w:jc w:val="center"/>
        </w:trPr>
        <w:tc>
          <w:tcPr>
            <w:tcW w:w="1640" w:type="dxa"/>
            <w:shd w:val="clear" w:color="auto" w:fill="auto"/>
            <w:noWrap/>
            <w:hideMark/>
          </w:tcPr>
          <w:p w14:paraId="48813F98" w14:textId="77777777" w:rsidR="00073F9E" w:rsidRPr="009C5807" w:rsidRDefault="00073F9E" w:rsidP="00485F6E">
            <w:pPr>
              <w:pStyle w:val="TAL"/>
              <w:rPr>
                <w:lang w:eastAsia="ko-KR"/>
              </w:rPr>
            </w:pPr>
            <w:r w:rsidRPr="009C5807">
              <w:t>SINR_2</w:t>
            </w:r>
          </w:p>
        </w:tc>
        <w:tc>
          <w:tcPr>
            <w:tcW w:w="2154" w:type="dxa"/>
            <w:shd w:val="clear" w:color="auto" w:fill="auto"/>
            <w:noWrap/>
            <w:hideMark/>
          </w:tcPr>
          <w:p w14:paraId="2171876F" w14:textId="1E6E5B14" w:rsidR="00073F9E" w:rsidRPr="009C5807" w:rsidRDefault="00073F9E" w:rsidP="00485F6E">
            <w:pPr>
              <w:pStyle w:val="TAL"/>
              <w:rPr>
                <w:lang w:eastAsia="ko-KR"/>
              </w:rPr>
            </w:pPr>
            <w:r w:rsidRPr="009C5807">
              <w:t>-22.5</w:t>
            </w:r>
            <w:r w:rsidRPr="009C5807">
              <w:rPr>
                <w:rFonts w:hint="eastAsia"/>
              </w:rPr>
              <w:t>≤</w:t>
            </w:r>
            <w:r w:rsidRPr="009C5807">
              <w:t xml:space="preserve"> SINR&lt;-22</w:t>
            </w:r>
          </w:p>
        </w:tc>
        <w:tc>
          <w:tcPr>
            <w:tcW w:w="2155" w:type="dxa"/>
          </w:tcPr>
          <w:p w14:paraId="1B655F4E" w14:textId="77777777" w:rsidR="00073F9E" w:rsidRPr="009C5807" w:rsidRDefault="00073F9E" w:rsidP="00485F6E">
            <w:pPr>
              <w:pStyle w:val="TAL"/>
            </w:pPr>
            <w:r w:rsidRPr="009C5807">
              <w:t>-22.5</w:t>
            </w:r>
            <w:r w:rsidRPr="009C5807">
              <w:rPr>
                <w:rFonts w:hint="eastAsia"/>
              </w:rPr>
              <w:t>≤</w:t>
            </w:r>
            <w:r w:rsidRPr="009C5807">
              <w:t>SINR&lt;-22</w:t>
            </w:r>
          </w:p>
        </w:tc>
        <w:tc>
          <w:tcPr>
            <w:tcW w:w="567" w:type="dxa"/>
            <w:shd w:val="clear" w:color="auto" w:fill="auto"/>
            <w:noWrap/>
            <w:hideMark/>
          </w:tcPr>
          <w:p w14:paraId="1B05ECBC" w14:textId="77777777" w:rsidR="00073F9E" w:rsidRPr="009C5807" w:rsidRDefault="00073F9E" w:rsidP="00485F6E">
            <w:pPr>
              <w:pStyle w:val="TAL"/>
              <w:rPr>
                <w:lang w:eastAsia="ko-KR"/>
              </w:rPr>
            </w:pPr>
            <w:r w:rsidRPr="009C5807">
              <w:t>dB</w:t>
            </w:r>
          </w:p>
        </w:tc>
      </w:tr>
      <w:tr w:rsidR="00073F9E" w:rsidRPr="009C5807" w14:paraId="406C9E80" w14:textId="77777777" w:rsidTr="00485F6E">
        <w:trPr>
          <w:trHeight w:val="300"/>
          <w:jc w:val="center"/>
        </w:trPr>
        <w:tc>
          <w:tcPr>
            <w:tcW w:w="1640" w:type="dxa"/>
            <w:shd w:val="clear" w:color="auto" w:fill="auto"/>
            <w:noWrap/>
            <w:hideMark/>
          </w:tcPr>
          <w:p w14:paraId="35C9038D" w14:textId="77777777" w:rsidR="00073F9E" w:rsidRPr="009C5807" w:rsidRDefault="00073F9E" w:rsidP="00485F6E">
            <w:pPr>
              <w:pStyle w:val="TAL"/>
              <w:rPr>
                <w:lang w:eastAsia="ko-KR"/>
              </w:rPr>
            </w:pPr>
            <w:r w:rsidRPr="009C5807">
              <w:t>SINR_3</w:t>
            </w:r>
          </w:p>
        </w:tc>
        <w:tc>
          <w:tcPr>
            <w:tcW w:w="2154" w:type="dxa"/>
            <w:shd w:val="clear" w:color="auto" w:fill="auto"/>
            <w:noWrap/>
            <w:hideMark/>
          </w:tcPr>
          <w:p w14:paraId="7B99FDAE" w14:textId="0AA8C557" w:rsidR="00073F9E" w:rsidRPr="009C5807" w:rsidRDefault="00073F9E" w:rsidP="00485F6E">
            <w:pPr>
              <w:pStyle w:val="TAL"/>
              <w:rPr>
                <w:lang w:eastAsia="ko-KR"/>
              </w:rPr>
            </w:pPr>
            <w:r w:rsidRPr="009C5807">
              <w:t>-22</w:t>
            </w:r>
            <w:r w:rsidRPr="009C5807">
              <w:rPr>
                <w:rFonts w:hint="eastAsia"/>
              </w:rPr>
              <w:t>≤</w:t>
            </w:r>
            <w:r w:rsidRPr="009C5807">
              <w:t xml:space="preserve"> SINR&lt;-21.5</w:t>
            </w:r>
          </w:p>
        </w:tc>
        <w:tc>
          <w:tcPr>
            <w:tcW w:w="2155" w:type="dxa"/>
          </w:tcPr>
          <w:p w14:paraId="5DA5E4A9" w14:textId="77777777" w:rsidR="00073F9E" w:rsidRPr="009C5807" w:rsidRDefault="00073F9E" w:rsidP="00485F6E">
            <w:pPr>
              <w:pStyle w:val="TAL"/>
            </w:pPr>
            <w:r w:rsidRPr="009C5807">
              <w:t>-22</w:t>
            </w:r>
            <w:r w:rsidRPr="009C5807">
              <w:rPr>
                <w:rFonts w:hint="eastAsia"/>
              </w:rPr>
              <w:t>≤</w:t>
            </w:r>
            <w:r w:rsidRPr="009C5807">
              <w:t>SINR&lt;-21.5</w:t>
            </w:r>
          </w:p>
        </w:tc>
        <w:tc>
          <w:tcPr>
            <w:tcW w:w="567" w:type="dxa"/>
            <w:shd w:val="clear" w:color="auto" w:fill="auto"/>
            <w:noWrap/>
            <w:hideMark/>
          </w:tcPr>
          <w:p w14:paraId="40420953" w14:textId="77777777" w:rsidR="00073F9E" w:rsidRPr="009C5807" w:rsidRDefault="00073F9E" w:rsidP="00485F6E">
            <w:pPr>
              <w:pStyle w:val="TAL"/>
              <w:rPr>
                <w:lang w:eastAsia="ko-KR"/>
              </w:rPr>
            </w:pPr>
            <w:r w:rsidRPr="009C5807">
              <w:t>dB</w:t>
            </w:r>
          </w:p>
        </w:tc>
      </w:tr>
      <w:tr w:rsidR="00073F9E" w:rsidRPr="009C5807" w14:paraId="7432F7C9" w14:textId="77777777" w:rsidTr="00485F6E">
        <w:trPr>
          <w:trHeight w:val="300"/>
          <w:jc w:val="center"/>
        </w:trPr>
        <w:tc>
          <w:tcPr>
            <w:tcW w:w="1640" w:type="dxa"/>
            <w:shd w:val="clear" w:color="auto" w:fill="auto"/>
            <w:noWrap/>
            <w:hideMark/>
          </w:tcPr>
          <w:p w14:paraId="22097D2D" w14:textId="77777777" w:rsidR="00073F9E" w:rsidRPr="009C5807" w:rsidRDefault="00073F9E" w:rsidP="00485F6E">
            <w:pPr>
              <w:pStyle w:val="TAL"/>
              <w:rPr>
                <w:lang w:eastAsia="ko-KR"/>
              </w:rPr>
            </w:pPr>
            <w:r w:rsidRPr="009C5807">
              <w:t>SINR_4</w:t>
            </w:r>
          </w:p>
        </w:tc>
        <w:tc>
          <w:tcPr>
            <w:tcW w:w="2154" w:type="dxa"/>
            <w:shd w:val="clear" w:color="auto" w:fill="auto"/>
            <w:noWrap/>
            <w:hideMark/>
          </w:tcPr>
          <w:p w14:paraId="6113F7AB" w14:textId="07A7617E" w:rsidR="00073F9E" w:rsidRPr="009C5807" w:rsidRDefault="00073F9E" w:rsidP="00485F6E">
            <w:pPr>
              <w:pStyle w:val="TAL"/>
              <w:rPr>
                <w:lang w:eastAsia="ko-KR"/>
              </w:rPr>
            </w:pPr>
            <w:r w:rsidRPr="009C5807">
              <w:t>-21.5</w:t>
            </w:r>
            <w:r w:rsidRPr="009C5807">
              <w:rPr>
                <w:rFonts w:hint="eastAsia"/>
              </w:rPr>
              <w:t>≤</w:t>
            </w:r>
            <w:r w:rsidRPr="009C5807">
              <w:t xml:space="preserve"> SINR&lt;-21</w:t>
            </w:r>
          </w:p>
        </w:tc>
        <w:tc>
          <w:tcPr>
            <w:tcW w:w="2155" w:type="dxa"/>
          </w:tcPr>
          <w:p w14:paraId="56115088" w14:textId="77777777" w:rsidR="00073F9E" w:rsidRPr="009C5807" w:rsidRDefault="00073F9E" w:rsidP="00485F6E">
            <w:pPr>
              <w:pStyle w:val="TAL"/>
            </w:pPr>
            <w:r w:rsidRPr="009C5807">
              <w:t>-21.5</w:t>
            </w:r>
            <w:r w:rsidRPr="009C5807">
              <w:rPr>
                <w:rFonts w:hint="eastAsia"/>
              </w:rPr>
              <w:t>≤</w:t>
            </w:r>
            <w:r w:rsidRPr="009C5807">
              <w:t>SINR&lt;-21</w:t>
            </w:r>
          </w:p>
        </w:tc>
        <w:tc>
          <w:tcPr>
            <w:tcW w:w="567" w:type="dxa"/>
            <w:shd w:val="clear" w:color="auto" w:fill="auto"/>
            <w:noWrap/>
            <w:hideMark/>
          </w:tcPr>
          <w:p w14:paraId="714B6372" w14:textId="77777777" w:rsidR="00073F9E" w:rsidRPr="009C5807" w:rsidRDefault="00073F9E" w:rsidP="00485F6E">
            <w:pPr>
              <w:pStyle w:val="TAL"/>
              <w:rPr>
                <w:lang w:eastAsia="ko-KR"/>
              </w:rPr>
            </w:pPr>
            <w:r w:rsidRPr="009C5807">
              <w:t>dB</w:t>
            </w:r>
          </w:p>
        </w:tc>
      </w:tr>
      <w:tr w:rsidR="00073F9E" w:rsidRPr="009C5807" w14:paraId="0A27365D" w14:textId="77777777" w:rsidTr="00485F6E">
        <w:trPr>
          <w:trHeight w:val="300"/>
          <w:jc w:val="center"/>
        </w:trPr>
        <w:tc>
          <w:tcPr>
            <w:tcW w:w="1640" w:type="dxa"/>
            <w:shd w:val="clear" w:color="auto" w:fill="auto"/>
            <w:noWrap/>
            <w:hideMark/>
          </w:tcPr>
          <w:p w14:paraId="6258BF19" w14:textId="77777777" w:rsidR="00073F9E" w:rsidRPr="009C5807" w:rsidRDefault="00073F9E" w:rsidP="00485F6E">
            <w:pPr>
              <w:pStyle w:val="TAL"/>
              <w:rPr>
                <w:lang w:eastAsia="ko-KR"/>
              </w:rPr>
            </w:pPr>
            <w:r w:rsidRPr="009C5807">
              <w:rPr>
                <w:lang w:eastAsia="ko-KR"/>
              </w:rPr>
              <w:t>..</w:t>
            </w:r>
          </w:p>
        </w:tc>
        <w:tc>
          <w:tcPr>
            <w:tcW w:w="2154" w:type="dxa"/>
            <w:shd w:val="clear" w:color="auto" w:fill="auto"/>
            <w:noWrap/>
            <w:hideMark/>
          </w:tcPr>
          <w:p w14:paraId="01A7FD46" w14:textId="77777777" w:rsidR="00073F9E" w:rsidRPr="009C5807" w:rsidRDefault="00073F9E" w:rsidP="00485F6E">
            <w:pPr>
              <w:pStyle w:val="TAL"/>
              <w:rPr>
                <w:lang w:eastAsia="ko-KR"/>
              </w:rPr>
            </w:pPr>
            <w:r w:rsidRPr="009C5807">
              <w:rPr>
                <w:lang w:eastAsia="ko-KR"/>
              </w:rPr>
              <w:t>..</w:t>
            </w:r>
          </w:p>
        </w:tc>
        <w:tc>
          <w:tcPr>
            <w:tcW w:w="2155" w:type="dxa"/>
          </w:tcPr>
          <w:p w14:paraId="24AC1C15" w14:textId="77777777" w:rsidR="00073F9E" w:rsidRPr="009C5807" w:rsidRDefault="00073F9E" w:rsidP="00485F6E">
            <w:pPr>
              <w:pStyle w:val="TAL"/>
              <w:rPr>
                <w:lang w:eastAsia="ko-KR"/>
              </w:rPr>
            </w:pPr>
            <w:r w:rsidRPr="009C5807">
              <w:rPr>
                <w:lang w:eastAsia="ko-KR"/>
              </w:rPr>
              <w:t>..</w:t>
            </w:r>
          </w:p>
        </w:tc>
        <w:tc>
          <w:tcPr>
            <w:tcW w:w="567" w:type="dxa"/>
            <w:shd w:val="clear" w:color="auto" w:fill="auto"/>
            <w:noWrap/>
            <w:hideMark/>
          </w:tcPr>
          <w:p w14:paraId="79BE0733" w14:textId="77777777" w:rsidR="00073F9E" w:rsidRPr="009C5807" w:rsidRDefault="00073F9E" w:rsidP="00485F6E">
            <w:pPr>
              <w:pStyle w:val="TAL"/>
              <w:rPr>
                <w:lang w:eastAsia="ko-KR"/>
              </w:rPr>
            </w:pPr>
            <w:r w:rsidRPr="009C5807">
              <w:rPr>
                <w:lang w:eastAsia="ko-KR"/>
              </w:rPr>
              <w:t>…</w:t>
            </w:r>
          </w:p>
        </w:tc>
      </w:tr>
      <w:tr w:rsidR="00073F9E" w:rsidRPr="009C5807" w14:paraId="01750609" w14:textId="77777777" w:rsidTr="00485F6E">
        <w:trPr>
          <w:trHeight w:val="300"/>
          <w:jc w:val="center"/>
        </w:trPr>
        <w:tc>
          <w:tcPr>
            <w:tcW w:w="1640" w:type="dxa"/>
            <w:shd w:val="clear" w:color="auto" w:fill="auto"/>
            <w:noWrap/>
            <w:hideMark/>
          </w:tcPr>
          <w:p w14:paraId="1D5D4F33" w14:textId="77777777" w:rsidR="00073F9E" w:rsidRPr="009C5807" w:rsidRDefault="00073F9E" w:rsidP="00485F6E">
            <w:pPr>
              <w:pStyle w:val="TAL"/>
              <w:rPr>
                <w:lang w:eastAsia="ko-KR"/>
              </w:rPr>
            </w:pPr>
            <w:r w:rsidRPr="009C5807">
              <w:t>SINR_123</w:t>
            </w:r>
          </w:p>
        </w:tc>
        <w:tc>
          <w:tcPr>
            <w:tcW w:w="2154" w:type="dxa"/>
            <w:shd w:val="clear" w:color="auto" w:fill="auto"/>
            <w:noWrap/>
            <w:hideMark/>
          </w:tcPr>
          <w:p w14:paraId="1FB420F6" w14:textId="3B53CBCE" w:rsidR="00073F9E" w:rsidRPr="009C5807" w:rsidRDefault="00073F9E" w:rsidP="00485F6E">
            <w:pPr>
              <w:pStyle w:val="TAL"/>
              <w:rPr>
                <w:lang w:eastAsia="ko-KR"/>
              </w:rPr>
            </w:pPr>
            <w:r w:rsidRPr="009C5807">
              <w:t>38</w:t>
            </w:r>
            <w:r w:rsidRPr="009C5807">
              <w:rPr>
                <w:rFonts w:hint="eastAsia"/>
              </w:rPr>
              <w:t>≤</w:t>
            </w:r>
            <w:r w:rsidRPr="009C5807">
              <w:t xml:space="preserve"> SINR&lt;38.5</w:t>
            </w:r>
          </w:p>
        </w:tc>
        <w:tc>
          <w:tcPr>
            <w:tcW w:w="2155" w:type="dxa"/>
          </w:tcPr>
          <w:p w14:paraId="5C613124" w14:textId="77777777" w:rsidR="00073F9E" w:rsidRPr="009C5807" w:rsidRDefault="00073F9E" w:rsidP="00485F6E">
            <w:pPr>
              <w:pStyle w:val="TAL"/>
            </w:pPr>
            <w:r w:rsidRPr="009C5807">
              <w:t>38</w:t>
            </w:r>
            <w:r w:rsidRPr="009C5807">
              <w:rPr>
                <w:rFonts w:hint="eastAsia"/>
              </w:rPr>
              <w:t>≤</w:t>
            </w:r>
            <w:r w:rsidRPr="009C5807">
              <w:t>SINR&lt;38.5</w:t>
            </w:r>
          </w:p>
        </w:tc>
        <w:tc>
          <w:tcPr>
            <w:tcW w:w="567" w:type="dxa"/>
            <w:shd w:val="clear" w:color="auto" w:fill="auto"/>
            <w:noWrap/>
            <w:hideMark/>
          </w:tcPr>
          <w:p w14:paraId="17A71FA0" w14:textId="77777777" w:rsidR="00073F9E" w:rsidRPr="009C5807" w:rsidRDefault="00073F9E" w:rsidP="00485F6E">
            <w:pPr>
              <w:pStyle w:val="TAL"/>
              <w:rPr>
                <w:lang w:eastAsia="ko-KR"/>
              </w:rPr>
            </w:pPr>
            <w:r w:rsidRPr="009C5807">
              <w:t>dB</w:t>
            </w:r>
          </w:p>
        </w:tc>
      </w:tr>
      <w:tr w:rsidR="00073F9E" w:rsidRPr="009C5807" w14:paraId="3800ECC9" w14:textId="77777777" w:rsidTr="00485F6E">
        <w:trPr>
          <w:trHeight w:val="300"/>
          <w:jc w:val="center"/>
        </w:trPr>
        <w:tc>
          <w:tcPr>
            <w:tcW w:w="1640" w:type="dxa"/>
            <w:shd w:val="clear" w:color="auto" w:fill="auto"/>
            <w:noWrap/>
            <w:hideMark/>
          </w:tcPr>
          <w:p w14:paraId="017530A2" w14:textId="77777777" w:rsidR="00073F9E" w:rsidRPr="009C5807" w:rsidRDefault="00073F9E" w:rsidP="00485F6E">
            <w:pPr>
              <w:pStyle w:val="TAL"/>
              <w:rPr>
                <w:lang w:eastAsia="ko-KR"/>
              </w:rPr>
            </w:pPr>
            <w:r w:rsidRPr="009C5807">
              <w:t>SINR_124</w:t>
            </w:r>
          </w:p>
        </w:tc>
        <w:tc>
          <w:tcPr>
            <w:tcW w:w="2154" w:type="dxa"/>
            <w:shd w:val="clear" w:color="auto" w:fill="auto"/>
            <w:noWrap/>
            <w:hideMark/>
          </w:tcPr>
          <w:p w14:paraId="07D77486" w14:textId="18BE7E0C" w:rsidR="00073F9E" w:rsidRPr="009C5807" w:rsidRDefault="00073F9E" w:rsidP="00485F6E">
            <w:pPr>
              <w:pStyle w:val="TAL"/>
              <w:rPr>
                <w:lang w:eastAsia="ko-KR"/>
              </w:rPr>
            </w:pPr>
            <w:r w:rsidRPr="009C5807">
              <w:t>38.5</w:t>
            </w:r>
            <w:r w:rsidRPr="009C5807">
              <w:rPr>
                <w:rFonts w:hint="eastAsia"/>
              </w:rPr>
              <w:t>≤</w:t>
            </w:r>
            <w:r w:rsidRPr="009C5807">
              <w:t xml:space="preserve"> SINR&lt;39</w:t>
            </w:r>
          </w:p>
        </w:tc>
        <w:tc>
          <w:tcPr>
            <w:tcW w:w="2155" w:type="dxa"/>
          </w:tcPr>
          <w:p w14:paraId="6F9DE419" w14:textId="77777777" w:rsidR="00073F9E" w:rsidRPr="009C5807" w:rsidRDefault="00073F9E" w:rsidP="00485F6E">
            <w:pPr>
              <w:pStyle w:val="TAL"/>
            </w:pPr>
            <w:r w:rsidRPr="009C5807">
              <w:t>38.5</w:t>
            </w:r>
            <w:r w:rsidRPr="009C5807">
              <w:rPr>
                <w:rFonts w:hint="eastAsia"/>
              </w:rPr>
              <w:t>≤</w:t>
            </w:r>
            <w:r w:rsidRPr="009C5807">
              <w:t>SINR&lt;39</w:t>
            </w:r>
          </w:p>
        </w:tc>
        <w:tc>
          <w:tcPr>
            <w:tcW w:w="567" w:type="dxa"/>
            <w:shd w:val="clear" w:color="auto" w:fill="auto"/>
            <w:noWrap/>
            <w:hideMark/>
          </w:tcPr>
          <w:p w14:paraId="1744731D" w14:textId="77777777" w:rsidR="00073F9E" w:rsidRPr="009C5807" w:rsidRDefault="00073F9E" w:rsidP="00485F6E">
            <w:pPr>
              <w:pStyle w:val="TAL"/>
              <w:rPr>
                <w:lang w:eastAsia="ko-KR"/>
              </w:rPr>
            </w:pPr>
            <w:r w:rsidRPr="009C5807">
              <w:t>dB</w:t>
            </w:r>
          </w:p>
        </w:tc>
      </w:tr>
      <w:tr w:rsidR="00073F9E" w:rsidRPr="009C5807" w14:paraId="49896A99" w14:textId="77777777" w:rsidTr="00485F6E">
        <w:trPr>
          <w:trHeight w:val="300"/>
          <w:jc w:val="center"/>
        </w:trPr>
        <w:tc>
          <w:tcPr>
            <w:tcW w:w="1640" w:type="dxa"/>
            <w:shd w:val="clear" w:color="auto" w:fill="auto"/>
            <w:noWrap/>
            <w:hideMark/>
          </w:tcPr>
          <w:p w14:paraId="1688BF47" w14:textId="77777777" w:rsidR="00073F9E" w:rsidRPr="009C5807" w:rsidRDefault="00073F9E" w:rsidP="00485F6E">
            <w:pPr>
              <w:pStyle w:val="TAL"/>
              <w:rPr>
                <w:lang w:eastAsia="ko-KR"/>
              </w:rPr>
            </w:pPr>
            <w:r w:rsidRPr="009C5807">
              <w:t>SINR_125</w:t>
            </w:r>
          </w:p>
        </w:tc>
        <w:tc>
          <w:tcPr>
            <w:tcW w:w="2154" w:type="dxa"/>
            <w:shd w:val="clear" w:color="auto" w:fill="auto"/>
            <w:noWrap/>
            <w:hideMark/>
          </w:tcPr>
          <w:p w14:paraId="171EBB9F" w14:textId="5EF64E86" w:rsidR="00073F9E" w:rsidRPr="009C5807" w:rsidRDefault="00073F9E" w:rsidP="00485F6E">
            <w:pPr>
              <w:pStyle w:val="TAL"/>
              <w:rPr>
                <w:lang w:eastAsia="ko-KR"/>
              </w:rPr>
            </w:pPr>
            <w:r w:rsidRPr="009C5807">
              <w:t>39</w:t>
            </w:r>
            <w:r w:rsidRPr="009C5807">
              <w:rPr>
                <w:rFonts w:hint="eastAsia"/>
              </w:rPr>
              <w:t>≤</w:t>
            </w:r>
            <w:r w:rsidRPr="009C5807">
              <w:t xml:space="preserve"> SINR&lt;39.5</w:t>
            </w:r>
          </w:p>
        </w:tc>
        <w:tc>
          <w:tcPr>
            <w:tcW w:w="2155" w:type="dxa"/>
          </w:tcPr>
          <w:p w14:paraId="1110786A" w14:textId="77777777" w:rsidR="00073F9E" w:rsidRPr="009C5807" w:rsidRDefault="00073F9E" w:rsidP="00485F6E">
            <w:pPr>
              <w:pStyle w:val="TAL"/>
            </w:pPr>
            <w:r w:rsidRPr="009C5807">
              <w:t>39</w:t>
            </w:r>
            <w:r w:rsidRPr="009C5807">
              <w:rPr>
                <w:rFonts w:hint="eastAsia"/>
              </w:rPr>
              <w:t>≤</w:t>
            </w:r>
            <w:r w:rsidRPr="009C5807">
              <w:t>SINR&lt;39.5</w:t>
            </w:r>
          </w:p>
        </w:tc>
        <w:tc>
          <w:tcPr>
            <w:tcW w:w="567" w:type="dxa"/>
            <w:shd w:val="clear" w:color="auto" w:fill="auto"/>
            <w:noWrap/>
            <w:hideMark/>
          </w:tcPr>
          <w:p w14:paraId="3FE83015" w14:textId="77777777" w:rsidR="00073F9E" w:rsidRPr="009C5807" w:rsidRDefault="00073F9E" w:rsidP="00485F6E">
            <w:pPr>
              <w:pStyle w:val="TAL"/>
              <w:rPr>
                <w:lang w:eastAsia="ko-KR"/>
              </w:rPr>
            </w:pPr>
            <w:r w:rsidRPr="009C5807">
              <w:t>dB</w:t>
            </w:r>
          </w:p>
        </w:tc>
      </w:tr>
      <w:tr w:rsidR="00073F9E" w:rsidRPr="009C5807" w14:paraId="390D4A2E" w14:textId="77777777" w:rsidTr="00485F6E">
        <w:trPr>
          <w:trHeight w:val="300"/>
          <w:jc w:val="center"/>
        </w:trPr>
        <w:tc>
          <w:tcPr>
            <w:tcW w:w="1640" w:type="dxa"/>
            <w:shd w:val="clear" w:color="auto" w:fill="auto"/>
            <w:noWrap/>
            <w:hideMark/>
          </w:tcPr>
          <w:p w14:paraId="37CB48AC" w14:textId="77777777" w:rsidR="00073F9E" w:rsidRPr="009C5807" w:rsidRDefault="00073F9E" w:rsidP="00485F6E">
            <w:pPr>
              <w:pStyle w:val="TAL"/>
              <w:rPr>
                <w:lang w:eastAsia="ko-KR"/>
              </w:rPr>
            </w:pPr>
            <w:r w:rsidRPr="009C5807">
              <w:t>SINR_126</w:t>
            </w:r>
          </w:p>
        </w:tc>
        <w:tc>
          <w:tcPr>
            <w:tcW w:w="2154" w:type="dxa"/>
            <w:shd w:val="clear" w:color="auto" w:fill="auto"/>
            <w:noWrap/>
            <w:hideMark/>
          </w:tcPr>
          <w:p w14:paraId="0CAFC734" w14:textId="2A2F656A" w:rsidR="00073F9E" w:rsidRPr="009C5807" w:rsidRDefault="00073F9E" w:rsidP="00485F6E">
            <w:pPr>
              <w:pStyle w:val="TAL"/>
              <w:rPr>
                <w:lang w:eastAsia="ko-KR"/>
              </w:rPr>
            </w:pPr>
            <w:r w:rsidRPr="009C5807">
              <w:t>39.5</w:t>
            </w:r>
            <w:r w:rsidRPr="009C5807">
              <w:rPr>
                <w:rFonts w:hint="eastAsia"/>
              </w:rPr>
              <w:t>≤</w:t>
            </w:r>
            <w:r w:rsidRPr="009C5807">
              <w:t xml:space="preserve"> SINR&lt;40</w:t>
            </w:r>
          </w:p>
        </w:tc>
        <w:tc>
          <w:tcPr>
            <w:tcW w:w="2155" w:type="dxa"/>
          </w:tcPr>
          <w:p w14:paraId="4E79CBC3" w14:textId="77777777" w:rsidR="00073F9E" w:rsidRPr="009C5807" w:rsidRDefault="00073F9E" w:rsidP="00485F6E">
            <w:pPr>
              <w:pStyle w:val="TAL"/>
            </w:pPr>
            <w:r w:rsidRPr="009C5807">
              <w:t>39.5</w:t>
            </w:r>
            <w:r w:rsidRPr="009C5807">
              <w:rPr>
                <w:rFonts w:hint="eastAsia"/>
              </w:rPr>
              <w:t>≤</w:t>
            </w:r>
            <w:r w:rsidRPr="009C5807">
              <w:t>SINR&lt;40</w:t>
            </w:r>
          </w:p>
        </w:tc>
        <w:tc>
          <w:tcPr>
            <w:tcW w:w="567" w:type="dxa"/>
            <w:shd w:val="clear" w:color="auto" w:fill="auto"/>
            <w:noWrap/>
            <w:hideMark/>
          </w:tcPr>
          <w:p w14:paraId="318AE8AF" w14:textId="77777777" w:rsidR="00073F9E" w:rsidRPr="009C5807" w:rsidRDefault="00073F9E" w:rsidP="00485F6E">
            <w:pPr>
              <w:pStyle w:val="TAL"/>
              <w:rPr>
                <w:lang w:eastAsia="ko-KR"/>
              </w:rPr>
            </w:pPr>
            <w:r w:rsidRPr="009C5807">
              <w:t>dB</w:t>
            </w:r>
          </w:p>
        </w:tc>
      </w:tr>
      <w:tr w:rsidR="00073F9E" w:rsidRPr="009C5807" w14:paraId="7E0751A7" w14:textId="77777777" w:rsidTr="00485F6E">
        <w:trPr>
          <w:trHeight w:val="300"/>
          <w:jc w:val="center"/>
        </w:trPr>
        <w:tc>
          <w:tcPr>
            <w:tcW w:w="1640" w:type="dxa"/>
            <w:shd w:val="clear" w:color="auto" w:fill="auto"/>
            <w:noWrap/>
            <w:hideMark/>
          </w:tcPr>
          <w:p w14:paraId="4DE3A0ED" w14:textId="77777777" w:rsidR="00073F9E" w:rsidRPr="009C5807" w:rsidRDefault="00073F9E" w:rsidP="00485F6E">
            <w:pPr>
              <w:pStyle w:val="TAL"/>
              <w:rPr>
                <w:lang w:eastAsia="ko-KR"/>
              </w:rPr>
            </w:pPr>
            <w:r w:rsidRPr="009C5807">
              <w:t>SINR_127</w:t>
            </w:r>
          </w:p>
        </w:tc>
        <w:tc>
          <w:tcPr>
            <w:tcW w:w="2154" w:type="dxa"/>
            <w:shd w:val="clear" w:color="auto" w:fill="auto"/>
            <w:noWrap/>
            <w:hideMark/>
          </w:tcPr>
          <w:p w14:paraId="30A17240" w14:textId="77525B36" w:rsidR="00073F9E" w:rsidRPr="009C5807" w:rsidRDefault="00073F9E" w:rsidP="00485F6E">
            <w:pPr>
              <w:pStyle w:val="TAL"/>
              <w:rPr>
                <w:lang w:eastAsia="ko-KR"/>
              </w:rPr>
            </w:pPr>
            <w:r w:rsidRPr="009C5807">
              <w:t>40</w:t>
            </w:r>
            <w:r w:rsidRPr="009C5807">
              <w:rPr>
                <w:rFonts w:hint="eastAsia"/>
              </w:rPr>
              <w:t>≤</w:t>
            </w:r>
            <w:r w:rsidRPr="009C5807">
              <w:t xml:space="preserve"> SINR</w:t>
            </w:r>
          </w:p>
        </w:tc>
        <w:tc>
          <w:tcPr>
            <w:tcW w:w="2155" w:type="dxa"/>
          </w:tcPr>
          <w:p w14:paraId="3CA8C609" w14:textId="77777777" w:rsidR="00073F9E" w:rsidRPr="009C5807" w:rsidRDefault="00073F9E" w:rsidP="00485F6E">
            <w:pPr>
              <w:pStyle w:val="TAL"/>
            </w:pPr>
            <w:r w:rsidRPr="009C5807">
              <w:t>40</w:t>
            </w:r>
            <w:r w:rsidRPr="009C5807">
              <w:rPr>
                <w:rFonts w:hint="eastAsia"/>
              </w:rPr>
              <w:t>≤</w:t>
            </w:r>
            <w:r w:rsidRPr="009C5807">
              <w:t>SINR</w:t>
            </w:r>
          </w:p>
        </w:tc>
        <w:tc>
          <w:tcPr>
            <w:tcW w:w="567" w:type="dxa"/>
            <w:shd w:val="clear" w:color="auto" w:fill="auto"/>
            <w:noWrap/>
            <w:hideMark/>
          </w:tcPr>
          <w:p w14:paraId="31C2175E" w14:textId="77777777" w:rsidR="00073F9E" w:rsidRPr="009C5807" w:rsidRDefault="00073F9E" w:rsidP="00485F6E">
            <w:pPr>
              <w:pStyle w:val="TAL"/>
              <w:rPr>
                <w:lang w:eastAsia="ko-KR"/>
              </w:rPr>
            </w:pPr>
            <w:r w:rsidRPr="009C5807">
              <w:t>dB</w:t>
            </w:r>
          </w:p>
        </w:tc>
      </w:tr>
    </w:tbl>
    <w:p w14:paraId="79D47212" w14:textId="77777777" w:rsidR="00073F9E" w:rsidRPr="009C5807" w:rsidRDefault="00073F9E" w:rsidP="00073F9E"/>
    <w:p w14:paraId="662906DC" w14:textId="0CBC1A37" w:rsidR="00073F9E" w:rsidRPr="009C5807" w:rsidRDefault="00073F9E" w:rsidP="0093237A">
      <w:pPr>
        <w:pStyle w:val="TH"/>
      </w:pPr>
      <w:r w:rsidRPr="009C5807">
        <w:t>Table 10.1.16.1-2: Differential SS-SINR and CSI-SINR measurement (for L1 reporting</w:t>
      </w:r>
      <w:r w:rsidR="00770F31">
        <w:rPr>
          <w:rFonts w:hint="eastAsia"/>
          <w:lang w:eastAsia="zh-CN"/>
        </w:rPr>
        <w:t xml:space="preserve"> and L3 reporting</w:t>
      </w:r>
      <w:r w:rsidRPr="009C5807">
        <w:t>)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3034"/>
        <w:gridCol w:w="883"/>
      </w:tblGrid>
      <w:tr w:rsidR="00073F9E" w:rsidRPr="009C5807" w14:paraId="4D0BE045" w14:textId="77777777" w:rsidTr="00B4408D">
        <w:trPr>
          <w:trHeight w:val="300"/>
          <w:jc w:val="center"/>
        </w:trPr>
        <w:tc>
          <w:tcPr>
            <w:tcW w:w="1817" w:type="dxa"/>
            <w:shd w:val="clear" w:color="auto" w:fill="auto"/>
            <w:noWrap/>
            <w:hideMark/>
          </w:tcPr>
          <w:p w14:paraId="4EF91C88" w14:textId="77777777" w:rsidR="00073F9E" w:rsidRPr="009C5807" w:rsidRDefault="00073F9E" w:rsidP="00F47417">
            <w:pPr>
              <w:pStyle w:val="TAH"/>
              <w:rPr>
                <w:lang w:eastAsia="zh-CN"/>
              </w:rPr>
            </w:pPr>
            <w:r w:rsidRPr="009C5807">
              <w:rPr>
                <w:lang w:eastAsia="zh-CN"/>
              </w:rPr>
              <w:t>Reported value</w:t>
            </w:r>
          </w:p>
        </w:tc>
        <w:tc>
          <w:tcPr>
            <w:tcW w:w="3034" w:type="dxa"/>
          </w:tcPr>
          <w:p w14:paraId="45C87BDA" w14:textId="77777777" w:rsidR="00073F9E" w:rsidRPr="009C5807" w:rsidRDefault="00073F9E" w:rsidP="00F47417">
            <w:pPr>
              <w:pStyle w:val="TAH"/>
              <w:rPr>
                <w:lang w:eastAsia="zh-CN"/>
              </w:rPr>
            </w:pPr>
            <w:r w:rsidRPr="009C5807">
              <w:rPr>
                <w:lang w:eastAsia="zh-CN"/>
              </w:rPr>
              <w:t>Measured quantity value (difference in measured SINR from largest SINR)</w:t>
            </w:r>
          </w:p>
        </w:tc>
        <w:tc>
          <w:tcPr>
            <w:tcW w:w="883" w:type="dxa"/>
            <w:shd w:val="clear" w:color="auto" w:fill="auto"/>
            <w:noWrap/>
            <w:hideMark/>
          </w:tcPr>
          <w:p w14:paraId="374429FF" w14:textId="77777777" w:rsidR="00073F9E" w:rsidRPr="009C5807" w:rsidRDefault="00073F9E" w:rsidP="00F47417">
            <w:pPr>
              <w:pStyle w:val="TAH"/>
              <w:rPr>
                <w:lang w:eastAsia="zh-CN"/>
              </w:rPr>
            </w:pPr>
            <w:r w:rsidRPr="009C5807">
              <w:rPr>
                <w:lang w:eastAsia="zh-CN"/>
              </w:rPr>
              <w:t>Unit</w:t>
            </w:r>
          </w:p>
        </w:tc>
      </w:tr>
      <w:tr w:rsidR="00073F9E" w:rsidRPr="009C5807" w14:paraId="5F4DB7DF" w14:textId="77777777" w:rsidTr="00B4408D">
        <w:trPr>
          <w:trHeight w:val="300"/>
          <w:jc w:val="center"/>
        </w:trPr>
        <w:tc>
          <w:tcPr>
            <w:tcW w:w="1817" w:type="dxa"/>
            <w:shd w:val="clear" w:color="auto" w:fill="auto"/>
            <w:noWrap/>
            <w:hideMark/>
          </w:tcPr>
          <w:p w14:paraId="5BA79F97" w14:textId="77777777" w:rsidR="00073F9E" w:rsidRPr="009C5807" w:rsidRDefault="00073F9E" w:rsidP="00F47417">
            <w:pPr>
              <w:pStyle w:val="TAL"/>
              <w:rPr>
                <w:lang w:eastAsia="zh-CN"/>
              </w:rPr>
            </w:pPr>
            <w:r w:rsidRPr="009C5807">
              <w:rPr>
                <w:lang w:eastAsia="zh-CN"/>
              </w:rPr>
              <w:t>DIFFSINR_0</w:t>
            </w:r>
          </w:p>
        </w:tc>
        <w:tc>
          <w:tcPr>
            <w:tcW w:w="3034" w:type="dxa"/>
          </w:tcPr>
          <w:p w14:paraId="48A24C9B" w14:textId="77777777" w:rsidR="00073F9E" w:rsidRPr="009C5807" w:rsidRDefault="00073F9E" w:rsidP="00F47417">
            <w:pPr>
              <w:pStyle w:val="TAL"/>
              <w:rPr>
                <w:lang w:eastAsia="zh-CN"/>
              </w:rPr>
            </w:pPr>
            <w:r w:rsidRPr="009C5807">
              <w:rPr>
                <w:lang w:eastAsia="zh-CN"/>
              </w:rPr>
              <w:t>0</w:t>
            </w:r>
            <w:r w:rsidRPr="009C5807">
              <w:rPr>
                <w:rFonts w:hint="eastAsia"/>
                <w:lang w:eastAsia="zh-CN"/>
              </w:rPr>
              <w:t>≥Δ</w:t>
            </w:r>
            <w:r w:rsidRPr="009C5807">
              <w:rPr>
                <w:lang w:eastAsia="zh-CN"/>
              </w:rPr>
              <w:t>SINR&gt;-1</w:t>
            </w:r>
          </w:p>
        </w:tc>
        <w:tc>
          <w:tcPr>
            <w:tcW w:w="883" w:type="dxa"/>
            <w:shd w:val="clear" w:color="auto" w:fill="auto"/>
            <w:noWrap/>
            <w:hideMark/>
          </w:tcPr>
          <w:p w14:paraId="1561AD9A" w14:textId="77777777" w:rsidR="00073F9E" w:rsidRPr="009C5807" w:rsidRDefault="00073F9E" w:rsidP="00F47417">
            <w:pPr>
              <w:pStyle w:val="TAL"/>
              <w:rPr>
                <w:lang w:eastAsia="zh-CN"/>
              </w:rPr>
            </w:pPr>
            <w:r w:rsidRPr="009C5807">
              <w:rPr>
                <w:lang w:eastAsia="zh-CN"/>
              </w:rPr>
              <w:t>dB</w:t>
            </w:r>
          </w:p>
        </w:tc>
      </w:tr>
      <w:tr w:rsidR="00073F9E" w:rsidRPr="009C5807" w14:paraId="28670D5E" w14:textId="77777777" w:rsidTr="00B4408D">
        <w:trPr>
          <w:trHeight w:val="300"/>
          <w:jc w:val="center"/>
        </w:trPr>
        <w:tc>
          <w:tcPr>
            <w:tcW w:w="1817" w:type="dxa"/>
            <w:shd w:val="clear" w:color="auto" w:fill="auto"/>
            <w:noWrap/>
          </w:tcPr>
          <w:p w14:paraId="4393D86D" w14:textId="77777777" w:rsidR="00073F9E" w:rsidRPr="009C5807" w:rsidRDefault="00073F9E" w:rsidP="00F47417">
            <w:pPr>
              <w:pStyle w:val="TAL"/>
              <w:rPr>
                <w:lang w:eastAsia="zh-CN"/>
              </w:rPr>
            </w:pPr>
            <w:r w:rsidRPr="009C5807">
              <w:rPr>
                <w:lang w:eastAsia="zh-CN"/>
              </w:rPr>
              <w:t>DIFFSINR_1</w:t>
            </w:r>
          </w:p>
        </w:tc>
        <w:tc>
          <w:tcPr>
            <w:tcW w:w="3034" w:type="dxa"/>
          </w:tcPr>
          <w:p w14:paraId="19E2B573" w14:textId="77777777" w:rsidR="00073F9E" w:rsidRPr="009C5807" w:rsidRDefault="00073F9E" w:rsidP="00F47417">
            <w:pPr>
              <w:pStyle w:val="TAL"/>
              <w:rPr>
                <w:lang w:eastAsia="zh-CN"/>
              </w:rPr>
            </w:pPr>
            <w:r w:rsidRPr="009C5807">
              <w:rPr>
                <w:lang w:eastAsia="zh-CN"/>
              </w:rPr>
              <w:t>-1</w:t>
            </w:r>
            <w:r w:rsidRPr="009C5807">
              <w:rPr>
                <w:rFonts w:hint="eastAsia"/>
                <w:lang w:eastAsia="zh-CN"/>
              </w:rPr>
              <w:t>≥Δ</w:t>
            </w:r>
            <w:r w:rsidRPr="009C5807">
              <w:rPr>
                <w:lang w:eastAsia="zh-CN"/>
              </w:rPr>
              <w:t>SINR&gt;-2</w:t>
            </w:r>
          </w:p>
        </w:tc>
        <w:tc>
          <w:tcPr>
            <w:tcW w:w="883" w:type="dxa"/>
            <w:shd w:val="clear" w:color="auto" w:fill="auto"/>
            <w:noWrap/>
          </w:tcPr>
          <w:p w14:paraId="2957CD2D" w14:textId="77777777" w:rsidR="00073F9E" w:rsidRPr="009C5807" w:rsidRDefault="00073F9E" w:rsidP="00F47417">
            <w:pPr>
              <w:pStyle w:val="TAL"/>
              <w:rPr>
                <w:lang w:eastAsia="zh-CN"/>
              </w:rPr>
            </w:pPr>
            <w:r w:rsidRPr="009C5807">
              <w:rPr>
                <w:lang w:eastAsia="zh-CN"/>
              </w:rPr>
              <w:t>dB</w:t>
            </w:r>
          </w:p>
        </w:tc>
      </w:tr>
      <w:tr w:rsidR="00073F9E" w:rsidRPr="009C5807" w14:paraId="0058BF25" w14:textId="77777777" w:rsidTr="00B4408D">
        <w:trPr>
          <w:trHeight w:val="300"/>
          <w:jc w:val="center"/>
        </w:trPr>
        <w:tc>
          <w:tcPr>
            <w:tcW w:w="1817" w:type="dxa"/>
            <w:shd w:val="clear" w:color="auto" w:fill="auto"/>
            <w:noWrap/>
          </w:tcPr>
          <w:p w14:paraId="147896B5" w14:textId="77777777" w:rsidR="00073F9E" w:rsidRPr="009C5807" w:rsidRDefault="00073F9E" w:rsidP="00F47417">
            <w:pPr>
              <w:pStyle w:val="TAL"/>
              <w:rPr>
                <w:lang w:eastAsia="zh-CN"/>
              </w:rPr>
            </w:pPr>
            <w:r w:rsidRPr="009C5807">
              <w:rPr>
                <w:lang w:eastAsia="zh-CN"/>
              </w:rPr>
              <w:t>DIFFSINR_2</w:t>
            </w:r>
          </w:p>
        </w:tc>
        <w:tc>
          <w:tcPr>
            <w:tcW w:w="3034" w:type="dxa"/>
          </w:tcPr>
          <w:p w14:paraId="713A6323" w14:textId="77777777" w:rsidR="00073F9E" w:rsidRPr="009C5807" w:rsidRDefault="00073F9E" w:rsidP="00F47417">
            <w:pPr>
              <w:pStyle w:val="TAL"/>
              <w:rPr>
                <w:lang w:eastAsia="zh-CN"/>
              </w:rPr>
            </w:pPr>
            <w:r w:rsidRPr="009C5807">
              <w:rPr>
                <w:lang w:eastAsia="zh-CN"/>
              </w:rPr>
              <w:t>-2</w:t>
            </w:r>
            <w:r w:rsidRPr="009C5807">
              <w:rPr>
                <w:rFonts w:hint="eastAsia"/>
                <w:lang w:eastAsia="zh-CN"/>
              </w:rPr>
              <w:t>≥Δ</w:t>
            </w:r>
            <w:r w:rsidRPr="009C5807">
              <w:rPr>
                <w:lang w:eastAsia="zh-CN"/>
              </w:rPr>
              <w:t>SINR&gt;-3</w:t>
            </w:r>
          </w:p>
        </w:tc>
        <w:tc>
          <w:tcPr>
            <w:tcW w:w="883" w:type="dxa"/>
            <w:shd w:val="clear" w:color="auto" w:fill="auto"/>
            <w:noWrap/>
          </w:tcPr>
          <w:p w14:paraId="67FA1732" w14:textId="77777777" w:rsidR="00073F9E" w:rsidRPr="009C5807" w:rsidRDefault="00073F9E" w:rsidP="00F47417">
            <w:pPr>
              <w:pStyle w:val="TAL"/>
              <w:rPr>
                <w:lang w:eastAsia="zh-CN"/>
              </w:rPr>
            </w:pPr>
            <w:r w:rsidRPr="009C5807">
              <w:rPr>
                <w:lang w:eastAsia="zh-CN"/>
              </w:rPr>
              <w:t>dB</w:t>
            </w:r>
          </w:p>
        </w:tc>
      </w:tr>
      <w:tr w:rsidR="00073F9E" w:rsidRPr="009C5807" w14:paraId="45540A9C" w14:textId="77777777" w:rsidTr="00B4408D">
        <w:trPr>
          <w:trHeight w:val="300"/>
          <w:jc w:val="center"/>
        </w:trPr>
        <w:tc>
          <w:tcPr>
            <w:tcW w:w="1817" w:type="dxa"/>
            <w:shd w:val="clear" w:color="auto" w:fill="auto"/>
            <w:noWrap/>
          </w:tcPr>
          <w:p w14:paraId="67A9AA15" w14:textId="77777777" w:rsidR="00073F9E" w:rsidRPr="009C5807" w:rsidRDefault="00073F9E" w:rsidP="00F47417">
            <w:pPr>
              <w:pStyle w:val="TAL"/>
              <w:rPr>
                <w:lang w:eastAsia="zh-CN"/>
              </w:rPr>
            </w:pPr>
            <w:r w:rsidRPr="009C5807">
              <w:rPr>
                <w:lang w:eastAsia="zh-CN"/>
              </w:rPr>
              <w:t>DIFFSINR_3</w:t>
            </w:r>
          </w:p>
        </w:tc>
        <w:tc>
          <w:tcPr>
            <w:tcW w:w="3034" w:type="dxa"/>
          </w:tcPr>
          <w:p w14:paraId="72EED7F2" w14:textId="77777777" w:rsidR="00073F9E" w:rsidRPr="009C5807" w:rsidRDefault="00073F9E" w:rsidP="00F47417">
            <w:pPr>
              <w:pStyle w:val="TAL"/>
              <w:rPr>
                <w:lang w:eastAsia="zh-CN"/>
              </w:rPr>
            </w:pPr>
            <w:r w:rsidRPr="009C5807">
              <w:rPr>
                <w:lang w:eastAsia="zh-CN"/>
              </w:rPr>
              <w:t>-3</w:t>
            </w:r>
            <w:r w:rsidRPr="009C5807">
              <w:rPr>
                <w:rFonts w:hint="eastAsia"/>
                <w:lang w:eastAsia="zh-CN"/>
              </w:rPr>
              <w:t>≥Δ</w:t>
            </w:r>
            <w:r w:rsidRPr="009C5807">
              <w:rPr>
                <w:lang w:eastAsia="zh-CN"/>
              </w:rPr>
              <w:t>SINR&gt;-4</w:t>
            </w:r>
          </w:p>
        </w:tc>
        <w:tc>
          <w:tcPr>
            <w:tcW w:w="883" w:type="dxa"/>
            <w:shd w:val="clear" w:color="auto" w:fill="auto"/>
            <w:noWrap/>
          </w:tcPr>
          <w:p w14:paraId="4FDF51DA" w14:textId="77777777" w:rsidR="00073F9E" w:rsidRPr="009C5807" w:rsidRDefault="00073F9E" w:rsidP="00F47417">
            <w:pPr>
              <w:pStyle w:val="TAL"/>
              <w:rPr>
                <w:lang w:eastAsia="zh-CN"/>
              </w:rPr>
            </w:pPr>
            <w:r w:rsidRPr="009C5807">
              <w:rPr>
                <w:lang w:eastAsia="zh-CN"/>
              </w:rPr>
              <w:t>dB</w:t>
            </w:r>
          </w:p>
        </w:tc>
      </w:tr>
      <w:tr w:rsidR="00073F9E" w:rsidRPr="009C5807" w14:paraId="1BF27814" w14:textId="77777777" w:rsidTr="00B4408D">
        <w:trPr>
          <w:trHeight w:val="300"/>
          <w:jc w:val="center"/>
        </w:trPr>
        <w:tc>
          <w:tcPr>
            <w:tcW w:w="1817" w:type="dxa"/>
            <w:shd w:val="clear" w:color="auto" w:fill="auto"/>
            <w:noWrap/>
          </w:tcPr>
          <w:p w14:paraId="4427EA86" w14:textId="77777777" w:rsidR="00073F9E" w:rsidRPr="009C5807" w:rsidRDefault="00073F9E" w:rsidP="00F47417">
            <w:pPr>
              <w:pStyle w:val="TAL"/>
              <w:rPr>
                <w:lang w:eastAsia="zh-CN"/>
              </w:rPr>
            </w:pPr>
            <w:r w:rsidRPr="009C5807">
              <w:rPr>
                <w:lang w:eastAsia="zh-CN"/>
              </w:rPr>
              <w:t>DIFFSINR_4</w:t>
            </w:r>
          </w:p>
        </w:tc>
        <w:tc>
          <w:tcPr>
            <w:tcW w:w="3034" w:type="dxa"/>
          </w:tcPr>
          <w:p w14:paraId="4A5CE714" w14:textId="77777777" w:rsidR="00073F9E" w:rsidRPr="009C5807" w:rsidRDefault="00073F9E" w:rsidP="00F47417">
            <w:pPr>
              <w:pStyle w:val="TAL"/>
              <w:rPr>
                <w:lang w:eastAsia="zh-CN"/>
              </w:rPr>
            </w:pPr>
            <w:r w:rsidRPr="009C5807">
              <w:rPr>
                <w:lang w:eastAsia="zh-CN"/>
              </w:rPr>
              <w:t>-4</w:t>
            </w:r>
            <w:r w:rsidRPr="009C5807">
              <w:rPr>
                <w:rFonts w:hint="eastAsia"/>
                <w:lang w:eastAsia="zh-CN"/>
              </w:rPr>
              <w:t>≥Δ</w:t>
            </w:r>
            <w:r w:rsidRPr="009C5807">
              <w:rPr>
                <w:lang w:eastAsia="zh-CN"/>
              </w:rPr>
              <w:t>SINR&gt;-5</w:t>
            </w:r>
          </w:p>
        </w:tc>
        <w:tc>
          <w:tcPr>
            <w:tcW w:w="883" w:type="dxa"/>
            <w:shd w:val="clear" w:color="auto" w:fill="auto"/>
            <w:noWrap/>
          </w:tcPr>
          <w:p w14:paraId="6919C048" w14:textId="77777777" w:rsidR="00073F9E" w:rsidRPr="009C5807" w:rsidRDefault="00073F9E" w:rsidP="00F47417">
            <w:pPr>
              <w:pStyle w:val="TAL"/>
              <w:rPr>
                <w:lang w:eastAsia="zh-CN"/>
              </w:rPr>
            </w:pPr>
            <w:r w:rsidRPr="009C5807">
              <w:rPr>
                <w:lang w:eastAsia="zh-CN"/>
              </w:rPr>
              <w:t>dB</w:t>
            </w:r>
          </w:p>
        </w:tc>
      </w:tr>
      <w:tr w:rsidR="00073F9E" w:rsidRPr="009C5807" w14:paraId="4F3501C6" w14:textId="77777777" w:rsidTr="00B4408D">
        <w:trPr>
          <w:trHeight w:val="300"/>
          <w:jc w:val="center"/>
        </w:trPr>
        <w:tc>
          <w:tcPr>
            <w:tcW w:w="1817" w:type="dxa"/>
            <w:shd w:val="clear" w:color="auto" w:fill="auto"/>
            <w:noWrap/>
          </w:tcPr>
          <w:p w14:paraId="3FF55CA6" w14:textId="77777777" w:rsidR="00073F9E" w:rsidRPr="009C5807" w:rsidRDefault="00073F9E" w:rsidP="00F47417">
            <w:pPr>
              <w:pStyle w:val="TAL"/>
              <w:rPr>
                <w:lang w:eastAsia="zh-CN"/>
              </w:rPr>
            </w:pPr>
            <w:r w:rsidRPr="009C5807">
              <w:rPr>
                <w:lang w:eastAsia="zh-CN"/>
              </w:rPr>
              <w:t>DIFFSINR_5</w:t>
            </w:r>
          </w:p>
        </w:tc>
        <w:tc>
          <w:tcPr>
            <w:tcW w:w="3034" w:type="dxa"/>
          </w:tcPr>
          <w:p w14:paraId="42F02DC9" w14:textId="77777777" w:rsidR="00073F9E" w:rsidRPr="009C5807" w:rsidRDefault="00073F9E" w:rsidP="00F47417">
            <w:pPr>
              <w:pStyle w:val="TAL"/>
              <w:rPr>
                <w:lang w:eastAsia="zh-CN"/>
              </w:rPr>
            </w:pPr>
            <w:r w:rsidRPr="009C5807">
              <w:rPr>
                <w:lang w:eastAsia="zh-CN"/>
              </w:rPr>
              <w:t>-5</w:t>
            </w:r>
            <w:r w:rsidRPr="009C5807">
              <w:rPr>
                <w:rFonts w:hint="eastAsia"/>
                <w:lang w:eastAsia="zh-CN"/>
              </w:rPr>
              <w:t>≥Δ</w:t>
            </w:r>
            <w:r w:rsidRPr="009C5807">
              <w:rPr>
                <w:lang w:eastAsia="zh-CN"/>
              </w:rPr>
              <w:t>SINR&gt;-6</w:t>
            </w:r>
          </w:p>
        </w:tc>
        <w:tc>
          <w:tcPr>
            <w:tcW w:w="883" w:type="dxa"/>
            <w:shd w:val="clear" w:color="auto" w:fill="auto"/>
            <w:noWrap/>
          </w:tcPr>
          <w:p w14:paraId="13195DED" w14:textId="77777777" w:rsidR="00073F9E" w:rsidRPr="009C5807" w:rsidRDefault="00073F9E" w:rsidP="00F47417">
            <w:pPr>
              <w:pStyle w:val="TAL"/>
              <w:rPr>
                <w:lang w:eastAsia="zh-CN"/>
              </w:rPr>
            </w:pPr>
            <w:r w:rsidRPr="009C5807">
              <w:rPr>
                <w:lang w:eastAsia="zh-CN"/>
              </w:rPr>
              <w:t>dB</w:t>
            </w:r>
          </w:p>
        </w:tc>
      </w:tr>
      <w:tr w:rsidR="00073F9E" w:rsidRPr="009C5807" w14:paraId="2BC2619D" w14:textId="77777777" w:rsidTr="00B4408D">
        <w:trPr>
          <w:trHeight w:val="300"/>
          <w:jc w:val="center"/>
        </w:trPr>
        <w:tc>
          <w:tcPr>
            <w:tcW w:w="1817" w:type="dxa"/>
            <w:shd w:val="clear" w:color="auto" w:fill="auto"/>
            <w:noWrap/>
          </w:tcPr>
          <w:p w14:paraId="3F91D701" w14:textId="77777777" w:rsidR="00073F9E" w:rsidRPr="009C5807" w:rsidRDefault="00073F9E" w:rsidP="00F47417">
            <w:pPr>
              <w:pStyle w:val="TAL"/>
              <w:rPr>
                <w:lang w:eastAsia="zh-CN"/>
              </w:rPr>
            </w:pPr>
            <w:r w:rsidRPr="009C5807">
              <w:rPr>
                <w:lang w:eastAsia="zh-CN"/>
              </w:rPr>
              <w:t>DIFFSINR_6</w:t>
            </w:r>
          </w:p>
        </w:tc>
        <w:tc>
          <w:tcPr>
            <w:tcW w:w="3034" w:type="dxa"/>
          </w:tcPr>
          <w:p w14:paraId="58F2258B" w14:textId="77777777" w:rsidR="00073F9E" w:rsidRPr="009C5807" w:rsidRDefault="00073F9E" w:rsidP="00F47417">
            <w:pPr>
              <w:pStyle w:val="TAL"/>
              <w:rPr>
                <w:lang w:eastAsia="zh-CN"/>
              </w:rPr>
            </w:pPr>
            <w:r w:rsidRPr="009C5807">
              <w:rPr>
                <w:lang w:eastAsia="zh-CN"/>
              </w:rPr>
              <w:t>-6</w:t>
            </w:r>
            <w:r w:rsidRPr="009C5807">
              <w:rPr>
                <w:rFonts w:hint="eastAsia"/>
                <w:lang w:eastAsia="zh-CN"/>
              </w:rPr>
              <w:t>≥Δ</w:t>
            </w:r>
            <w:r w:rsidRPr="009C5807">
              <w:rPr>
                <w:lang w:eastAsia="zh-CN"/>
              </w:rPr>
              <w:t>SINR&gt;-7</w:t>
            </w:r>
          </w:p>
        </w:tc>
        <w:tc>
          <w:tcPr>
            <w:tcW w:w="883" w:type="dxa"/>
            <w:shd w:val="clear" w:color="auto" w:fill="auto"/>
            <w:noWrap/>
          </w:tcPr>
          <w:p w14:paraId="5C9719B7" w14:textId="77777777" w:rsidR="00073F9E" w:rsidRPr="009C5807" w:rsidRDefault="00073F9E" w:rsidP="00F47417">
            <w:pPr>
              <w:pStyle w:val="TAL"/>
              <w:rPr>
                <w:lang w:eastAsia="zh-CN"/>
              </w:rPr>
            </w:pPr>
            <w:r w:rsidRPr="009C5807">
              <w:rPr>
                <w:lang w:eastAsia="zh-CN"/>
              </w:rPr>
              <w:t>dB</w:t>
            </w:r>
          </w:p>
        </w:tc>
      </w:tr>
      <w:tr w:rsidR="00073F9E" w:rsidRPr="009C5807" w14:paraId="7CC585A3" w14:textId="77777777" w:rsidTr="00B4408D">
        <w:trPr>
          <w:trHeight w:val="300"/>
          <w:jc w:val="center"/>
        </w:trPr>
        <w:tc>
          <w:tcPr>
            <w:tcW w:w="1817" w:type="dxa"/>
            <w:shd w:val="clear" w:color="auto" w:fill="auto"/>
            <w:noWrap/>
          </w:tcPr>
          <w:p w14:paraId="5B279F99" w14:textId="77777777" w:rsidR="00073F9E" w:rsidRPr="009C5807" w:rsidRDefault="00073F9E" w:rsidP="00F47417">
            <w:pPr>
              <w:pStyle w:val="TAL"/>
              <w:rPr>
                <w:lang w:eastAsia="zh-CN"/>
              </w:rPr>
            </w:pPr>
            <w:r w:rsidRPr="009C5807">
              <w:rPr>
                <w:lang w:eastAsia="zh-CN"/>
              </w:rPr>
              <w:t>DIFFSINR_7</w:t>
            </w:r>
          </w:p>
        </w:tc>
        <w:tc>
          <w:tcPr>
            <w:tcW w:w="3034" w:type="dxa"/>
          </w:tcPr>
          <w:p w14:paraId="1A228913" w14:textId="77777777" w:rsidR="00073F9E" w:rsidRPr="009C5807" w:rsidRDefault="00073F9E" w:rsidP="00F47417">
            <w:pPr>
              <w:pStyle w:val="TAL"/>
              <w:rPr>
                <w:lang w:eastAsia="zh-CN"/>
              </w:rPr>
            </w:pPr>
            <w:r w:rsidRPr="009C5807">
              <w:rPr>
                <w:lang w:eastAsia="zh-CN"/>
              </w:rPr>
              <w:t>-7</w:t>
            </w:r>
            <w:r w:rsidRPr="009C5807">
              <w:rPr>
                <w:rFonts w:hint="eastAsia"/>
                <w:lang w:eastAsia="zh-CN"/>
              </w:rPr>
              <w:t>≥Δ</w:t>
            </w:r>
            <w:r w:rsidRPr="009C5807">
              <w:rPr>
                <w:lang w:eastAsia="zh-CN"/>
              </w:rPr>
              <w:t>SINR&gt;-8</w:t>
            </w:r>
          </w:p>
        </w:tc>
        <w:tc>
          <w:tcPr>
            <w:tcW w:w="883" w:type="dxa"/>
            <w:shd w:val="clear" w:color="auto" w:fill="auto"/>
            <w:noWrap/>
          </w:tcPr>
          <w:p w14:paraId="39F1653C" w14:textId="77777777" w:rsidR="00073F9E" w:rsidRPr="009C5807" w:rsidRDefault="00073F9E" w:rsidP="00F47417">
            <w:pPr>
              <w:pStyle w:val="TAL"/>
              <w:rPr>
                <w:lang w:eastAsia="zh-CN"/>
              </w:rPr>
            </w:pPr>
            <w:r w:rsidRPr="009C5807">
              <w:rPr>
                <w:lang w:eastAsia="zh-CN"/>
              </w:rPr>
              <w:t>dB</w:t>
            </w:r>
          </w:p>
        </w:tc>
      </w:tr>
      <w:tr w:rsidR="00073F9E" w:rsidRPr="009C5807" w14:paraId="78DD9DCA" w14:textId="77777777" w:rsidTr="00B4408D">
        <w:trPr>
          <w:trHeight w:val="300"/>
          <w:jc w:val="center"/>
        </w:trPr>
        <w:tc>
          <w:tcPr>
            <w:tcW w:w="1817" w:type="dxa"/>
            <w:shd w:val="clear" w:color="auto" w:fill="auto"/>
            <w:noWrap/>
          </w:tcPr>
          <w:p w14:paraId="40A4AC0F" w14:textId="77777777" w:rsidR="00073F9E" w:rsidRPr="009C5807" w:rsidRDefault="00073F9E" w:rsidP="00F47417">
            <w:pPr>
              <w:pStyle w:val="TAL"/>
              <w:rPr>
                <w:lang w:eastAsia="zh-CN"/>
              </w:rPr>
            </w:pPr>
            <w:r w:rsidRPr="009C5807">
              <w:rPr>
                <w:lang w:eastAsia="zh-CN"/>
              </w:rPr>
              <w:t>DIFFSINR_8</w:t>
            </w:r>
          </w:p>
        </w:tc>
        <w:tc>
          <w:tcPr>
            <w:tcW w:w="3034" w:type="dxa"/>
          </w:tcPr>
          <w:p w14:paraId="0869A062" w14:textId="77777777" w:rsidR="00073F9E" w:rsidRPr="009C5807" w:rsidRDefault="00073F9E" w:rsidP="00F47417">
            <w:pPr>
              <w:pStyle w:val="TAL"/>
              <w:rPr>
                <w:lang w:eastAsia="zh-CN"/>
              </w:rPr>
            </w:pPr>
            <w:r w:rsidRPr="009C5807">
              <w:rPr>
                <w:lang w:eastAsia="zh-CN"/>
              </w:rPr>
              <w:t>-8</w:t>
            </w:r>
            <w:r w:rsidRPr="009C5807">
              <w:rPr>
                <w:rFonts w:hint="eastAsia"/>
                <w:lang w:eastAsia="zh-CN"/>
              </w:rPr>
              <w:t>≥Δ</w:t>
            </w:r>
            <w:r w:rsidRPr="009C5807">
              <w:rPr>
                <w:lang w:eastAsia="zh-CN"/>
              </w:rPr>
              <w:t>SINR&gt;-9</w:t>
            </w:r>
          </w:p>
        </w:tc>
        <w:tc>
          <w:tcPr>
            <w:tcW w:w="883" w:type="dxa"/>
            <w:shd w:val="clear" w:color="auto" w:fill="auto"/>
            <w:noWrap/>
          </w:tcPr>
          <w:p w14:paraId="573A766A" w14:textId="77777777" w:rsidR="00073F9E" w:rsidRPr="009C5807" w:rsidRDefault="00073F9E" w:rsidP="00F47417">
            <w:pPr>
              <w:pStyle w:val="TAL"/>
              <w:rPr>
                <w:lang w:eastAsia="zh-CN"/>
              </w:rPr>
            </w:pPr>
            <w:r w:rsidRPr="009C5807">
              <w:rPr>
                <w:lang w:eastAsia="zh-CN"/>
              </w:rPr>
              <w:t>dB</w:t>
            </w:r>
          </w:p>
        </w:tc>
      </w:tr>
      <w:tr w:rsidR="00073F9E" w:rsidRPr="009C5807" w14:paraId="76DFD354" w14:textId="77777777" w:rsidTr="00B4408D">
        <w:trPr>
          <w:trHeight w:val="300"/>
          <w:jc w:val="center"/>
        </w:trPr>
        <w:tc>
          <w:tcPr>
            <w:tcW w:w="1817" w:type="dxa"/>
            <w:shd w:val="clear" w:color="auto" w:fill="auto"/>
            <w:noWrap/>
          </w:tcPr>
          <w:p w14:paraId="68FB540D" w14:textId="77777777" w:rsidR="00073F9E" w:rsidRPr="009C5807" w:rsidRDefault="00073F9E" w:rsidP="00F47417">
            <w:pPr>
              <w:pStyle w:val="TAL"/>
              <w:rPr>
                <w:lang w:eastAsia="zh-CN"/>
              </w:rPr>
            </w:pPr>
            <w:r w:rsidRPr="009C5807">
              <w:rPr>
                <w:lang w:eastAsia="zh-CN"/>
              </w:rPr>
              <w:t>DIFFSINR_9</w:t>
            </w:r>
          </w:p>
        </w:tc>
        <w:tc>
          <w:tcPr>
            <w:tcW w:w="3034" w:type="dxa"/>
          </w:tcPr>
          <w:p w14:paraId="0CD478BA" w14:textId="77777777" w:rsidR="00073F9E" w:rsidRPr="009C5807" w:rsidRDefault="00073F9E" w:rsidP="00F47417">
            <w:pPr>
              <w:pStyle w:val="TAL"/>
              <w:rPr>
                <w:lang w:eastAsia="zh-CN"/>
              </w:rPr>
            </w:pPr>
            <w:r w:rsidRPr="009C5807">
              <w:rPr>
                <w:lang w:eastAsia="zh-CN"/>
              </w:rPr>
              <w:t>-9</w:t>
            </w:r>
            <w:r w:rsidRPr="009C5807">
              <w:rPr>
                <w:rFonts w:hint="eastAsia"/>
                <w:lang w:eastAsia="zh-CN"/>
              </w:rPr>
              <w:t>≥Δ</w:t>
            </w:r>
            <w:r w:rsidRPr="009C5807">
              <w:rPr>
                <w:lang w:eastAsia="zh-CN"/>
              </w:rPr>
              <w:t>SINR&gt;-10</w:t>
            </w:r>
          </w:p>
        </w:tc>
        <w:tc>
          <w:tcPr>
            <w:tcW w:w="883" w:type="dxa"/>
            <w:shd w:val="clear" w:color="auto" w:fill="auto"/>
            <w:noWrap/>
          </w:tcPr>
          <w:p w14:paraId="4E2830AA" w14:textId="77777777" w:rsidR="00073F9E" w:rsidRPr="009C5807" w:rsidRDefault="00073F9E" w:rsidP="00F47417">
            <w:pPr>
              <w:pStyle w:val="TAL"/>
              <w:rPr>
                <w:lang w:eastAsia="zh-CN"/>
              </w:rPr>
            </w:pPr>
            <w:r w:rsidRPr="009C5807">
              <w:rPr>
                <w:lang w:eastAsia="zh-CN"/>
              </w:rPr>
              <w:t>dB</w:t>
            </w:r>
          </w:p>
        </w:tc>
      </w:tr>
      <w:tr w:rsidR="00073F9E" w:rsidRPr="009C5807" w14:paraId="3C463919" w14:textId="77777777" w:rsidTr="00B4408D">
        <w:trPr>
          <w:trHeight w:val="300"/>
          <w:jc w:val="center"/>
        </w:trPr>
        <w:tc>
          <w:tcPr>
            <w:tcW w:w="1817" w:type="dxa"/>
            <w:shd w:val="clear" w:color="auto" w:fill="auto"/>
            <w:noWrap/>
          </w:tcPr>
          <w:p w14:paraId="03BB3B19" w14:textId="77777777" w:rsidR="00073F9E" w:rsidRPr="009C5807" w:rsidRDefault="00073F9E" w:rsidP="00F47417">
            <w:pPr>
              <w:pStyle w:val="TAL"/>
              <w:rPr>
                <w:lang w:eastAsia="zh-CN"/>
              </w:rPr>
            </w:pPr>
            <w:r w:rsidRPr="009C5807">
              <w:rPr>
                <w:lang w:eastAsia="zh-CN"/>
              </w:rPr>
              <w:t>DIFFSINR_10</w:t>
            </w:r>
          </w:p>
        </w:tc>
        <w:tc>
          <w:tcPr>
            <w:tcW w:w="3034" w:type="dxa"/>
          </w:tcPr>
          <w:p w14:paraId="40D6F20B" w14:textId="77777777" w:rsidR="00073F9E" w:rsidRPr="009C5807" w:rsidRDefault="00073F9E" w:rsidP="00F47417">
            <w:pPr>
              <w:pStyle w:val="TAL"/>
              <w:rPr>
                <w:lang w:eastAsia="zh-CN"/>
              </w:rPr>
            </w:pPr>
            <w:r w:rsidRPr="009C5807">
              <w:rPr>
                <w:lang w:eastAsia="zh-CN"/>
              </w:rPr>
              <w:t>-10</w:t>
            </w:r>
            <w:r w:rsidRPr="009C5807">
              <w:rPr>
                <w:rFonts w:hint="eastAsia"/>
                <w:lang w:eastAsia="zh-CN"/>
              </w:rPr>
              <w:t>≥Δ</w:t>
            </w:r>
            <w:r w:rsidRPr="009C5807">
              <w:rPr>
                <w:lang w:eastAsia="zh-CN"/>
              </w:rPr>
              <w:t>SINR&gt;-11</w:t>
            </w:r>
          </w:p>
        </w:tc>
        <w:tc>
          <w:tcPr>
            <w:tcW w:w="883" w:type="dxa"/>
            <w:shd w:val="clear" w:color="auto" w:fill="auto"/>
            <w:noWrap/>
          </w:tcPr>
          <w:p w14:paraId="1110602C" w14:textId="77777777" w:rsidR="00073F9E" w:rsidRPr="009C5807" w:rsidRDefault="00073F9E" w:rsidP="00F47417">
            <w:pPr>
              <w:pStyle w:val="TAL"/>
              <w:rPr>
                <w:lang w:eastAsia="zh-CN"/>
              </w:rPr>
            </w:pPr>
            <w:r w:rsidRPr="009C5807">
              <w:rPr>
                <w:lang w:eastAsia="zh-CN"/>
              </w:rPr>
              <w:t>dB</w:t>
            </w:r>
          </w:p>
        </w:tc>
      </w:tr>
      <w:tr w:rsidR="00073F9E" w:rsidRPr="009C5807" w14:paraId="01364111" w14:textId="77777777" w:rsidTr="00B4408D">
        <w:trPr>
          <w:trHeight w:val="300"/>
          <w:jc w:val="center"/>
        </w:trPr>
        <w:tc>
          <w:tcPr>
            <w:tcW w:w="1817" w:type="dxa"/>
            <w:shd w:val="clear" w:color="auto" w:fill="auto"/>
            <w:noWrap/>
          </w:tcPr>
          <w:p w14:paraId="6D094800" w14:textId="77777777" w:rsidR="00073F9E" w:rsidRPr="009C5807" w:rsidRDefault="00073F9E" w:rsidP="00F47417">
            <w:pPr>
              <w:pStyle w:val="TAL"/>
              <w:rPr>
                <w:lang w:eastAsia="zh-CN"/>
              </w:rPr>
            </w:pPr>
            <w:r w:rsidRPr="009C5807">
              <w:rPr>
                <w:lang w:eastAsia="zh-CN"/>
              </w:rPr>
              <w:t>DIFFSINR_11</w:t>
            </w:r>
          </w:p>
        </w:tc>
        <w:tc>
          <w:tcPr>
            <w:tcW w:w="3034" w:type="dxa"/>
          </w:tcPr>
          <w:p w14:paraId="181C12A0" w14:textId="77777777" w:rsidR="00073F9E" w:rsidRPr="009C5807" w:rsidRDefault="00073F9E" w:rsidP="00F47417">
            <w:pPr>
              <w:pStyle w:val="TAL"/>
              <w:rPr>
                <w:lang w:eastAsia="zh-CN"/>
              </w:rPr>
            </w:pPr>
            <w:r w:rsidRPr="009C5807">
              <w:rPr>
                <w:lang w:eastAsia="zh-CN"/>
              </w:rPr>
              <w:t>-11</w:t>
            </w:r>
            <w:r w:rsidRPr="009C5807">
              <w:rPr>
                <w:rFonts w:hint="eastAsia"/>
                <w:lang w:eastAsia="zh-CN"/>
              </w:rPr>
              <w:t>≥Δ</w:t>
            </w:r>
            <w:r w:rsidRPr="009C5807">
              <w:rPr>
                <w:lang w:eastAsia="zh-CN"/>
              </w:rPr>
              <w:t>SINR&gt;-12</w:t>
            </w:r>
          </w:p>
        </w:tc>
        <w:tc>
          <w:tcPr>
            <w:tcW w:w="883" w:type="dxa"/>
            <w:shd w:val="clear" w:color="auto" w:fill="auto"/>
            <w:noWrap/>
          </w:tcPr>
          <w:p w14:paraId="080349E3" w14:textId="77777777" w:rsidR="00073F9E" w:rsidRPr="009C5807" w:rsidRDefault="00073F9E" w:rsidP="00F47417">
            <w:pPr>
              <w:pStyle w:val="TAL"/>
              <w:rPr>
                <w:lang w:eastAsia="zh-CN"/>
              </w:rPr>
            </w:pPr>
            <w:r w:rsidRPr="009C5807">
              <w:rPr>
                <w:lang w:eastAsia="zh-CN"/>
              </w:rPr>
              <w:t>dB</w:t>
            </w:r>
          </w:p>
        </w:tc>
      </w:tr>
      <w:tr w:rsidR="00073F9E" w:rsidRPr="009C5807" w14:paraId="0D0887E6" w14:textId="77777777" w:rsidTr="00B4408D">
        <w:trPr>
          <w:trHeight w:val="300"/>
          <w:jc w:val="center"/>
        </w:trPr>
        <w:tc>
          <w:tcPr>
            <w:tcW w:w="1817" w:type="dxa"/>
            <w:shd w:val="clear" w:color="auto" w:fill="auto"/>
            <w:noWrap/>
          </w:tcPr>
          <w:p w14:paraId="196AD41D" w14:textId="77777777" w:rsidR="00073F9E" w:rsidRPr="009C5807" w:rsidRDefault="00073F9E" w:rsidP="00F47417">
            <w:pPr>
              <w:pStyle w:val="TAL"/>
              <w:rPr>
                <w:lang w:eastAsia="zh-CN"/>
              </w:rPr>
            </w:pPr>
            <w:r w:rsidRPr="009C5807">
              <w:rPr>
                <w:lang w:eastAsia="zh-CN"/>
              </w:rPr>
              <w:t>DIFFSINR_12</w:t>
            </w:r>
          </w:p>
        </w:tc>
        <w:tc>
          <w:tcPr>
            <w:tcW w:w="3034" w:type="dxa"/>
          </w:tcPr>
          <w:p w14:paraId="32581316" w14:textId="77777777" w:rsidR="00073F9E" w:rsidRPr="009C5807" w:rsidRDefault="00073F9E" w:rsidP="00F47417">
            <w:pPr>
              <w:pStyle w:val="TAL"/>
              <w:rPr>
                <w:lang w:eastAsia="zh-CN"/>
              </w:rPr>
            </w:pPr>
            <w:r w:rsidRPr="009C5807">
              <w:rPr>
                <w:lang w:eastAsia="zh-CN"/>
              </w:rPr>
              <w:t>-12</w:t>
            </w:r>
            <w:r w:rsidRPr="009C5807">
              <w:rPr>
                <w:rFonts w:hint="eastAsia"/>
                <w:lang w:eastAsia="zh-CN"/>
              </w:rPr>
              <w:t>≥Δ</w:t>
            </w:r>
            <w:r w:rsidRPr="009C5807">
              <w:rPr>
                <w:lang w:eastAsia="zh-CN"/>
              </w:rPr>
              <w:t>SINR&gt;-13</w:t>
            </w:r>
          </w:p>
        </w:tc>
        <w:tc>
          <w:tcPr>
            <w:tcW w:w="883" w:type="dxa"/>
            <w:shd w:val="clear" w:color="auto" w:fill="auto"/>
            <w:noWrap/>
          </w:tcPr>
          <w:p w14:paraId="77E0FAF5" w14:textId="77777777" w:rsidR="00073F9E" w:rsidRPr="009C5807" w:rsidRDefault="00073F9E" w:rsidP="00F47417">
            <w:pPr>
              <w:pStyle w:val="TAL"/>
              <w:rPr>
                <w:lang w:eastAsia="zh-CN"/>
              </w:rPr>
            </w:pPr>
            <w:r w:rsidRPr="009C5807">
              <w:rPr>
                <w:lang w:eastAsia="zh-CN"/>
              </w:rPr>
              <w:t>dB</w:t>
            </w:r>
          </w:p>
        </w:tc>
      </w:tr>
      <w:tr w:rsidR="00073F9E" w:rsidRPr="009C5807" w14:paraId="3A48151D" w14:textId="77777777" w:rsidTr="00B4408D">
        <w:trPr>
          <w:trHeight w:val="300"/>
          <w:jc w:val="center"/>
        </w:trPr>
        <w:tc>
          <w:tcPr>
            <w:tcW w:w="1817" w:type="dxa"/>
            <w:shd w:val="clear" w:color="auto" w:fill="auto"/>
            <w:noWrap/>
          </w:tcPr>
          <w:p w14:paraId="1B523A3B" w14:textId="77777777" w:rsidR="00073F9E" w:rsidRPr="009C5807" w:rsidRDefault="00073F9E" w:rsidP="00F47417">
            <w:pPr>
              <w:pStyle w:val="TAL"/>
              <w:rPr>
                <w:lang w:eastAsia="zh-CN"/>
              </w:rPr>
            </w:pPr>
            <w:r w:rsidRPr="009C5807">
              <w:rPr>
                <w:lang w:eastAsia="zh-CN"/>
              </w:rPr>
              <w:t>DIFFSINR_13</w:t>
            </w:r>
          </w:p>
        </w:tc>
        <w:tc>
          <w:tcPr>
            <w:tcW w:w="3034" w:type="dxa"/>
          </w:tcPr>
          <w:p w14:paraId="3C909B56" w14:textId="77777777" w:rsidR="00073F9E" w:rsidRPr="009C5807" w:rsidRDefault="00073F9E" w:rsidP="00F47417">
            <w:pPr>
              <w:pStyle w:val="TAL"/>
              <w:rPr>
                <w:lang w:eastAsia="zh-CN"/>
              </w:rPr>
            </w:pPr>
            <w:r w:rsidRPr="009C5807">
              <w:rPr>
                <w:lang w:eastAsia="zh-CN"/>
              </w:rPr>
              <w:t>-13</w:t>
            </w:r>
            <w:r w:rsidRPr="009C5807">
              <w:rPr>
                <w:rFonts w:hint="eastAsia"/>
                <w:lang w:eastAsia="zh-CN"/>
              </w:rPr>
              <w:t>≥Δ</w:t>
            </w:r>
            <w:r w:rsidRPr="009C5807">
              <w:rPr>
                <w:lang w:eastAsia="zh-CN"/>
              </w:rPr>
              <w:t>SINR&gt;-14</w:t>
            </w:r>
          </w:p>
        </w:tc>
        <w:tc>
          <w:tcPr>
            <w:tcW w:w="883" w:type="dxa"/>
            <w:shd w:val="clear" w:color="auto" w:fill="auto"/>
            <w:noWrap/>
          </w:tcPr>
          <w:p w14:paraId="12A40B09" w14:textId="77777777" w:rsidR="00073F9E" w:rsidRPr="009C5807" w:rsidRDefault="00073F9E" w:rsidP="00F47417">
            <w:pPr>
              <w:pStyle w:val="TAL"/>
              <w:rPr>
                <w:lang w:eastAsia="zh-CN"/>
              </w:rPr>
            </w:pPr>
            <w:r w:rsidRPr="009C5807">
              <w:rPr>
                <w:lang w:eastAsia="zh-CN"/>
              </w:rPr>
              <w:t>dB</w:t>
            </w:r>
          </w:p>
        </w:tc>
      </w:tr>
      <w:tr w:rsidR="00073F9E" w:rsidRPr="009C5807" w14:paraId="2DCEA780" w14:textId="77777777" w:rsidTr="00B4408D">
        <w:trPr>
          <w:trHeight w:val="300"/>
          <w:jc w:val="center"/>
        </w:trPr>
        <w:tc>
          <w:tcPr>
            <w:tcW w:w="1817" w:type="dxa"/>
            <w:shd w:val="clear" w:color="auto" w:fill="auto"/>
            <w:noWrap/>
          </w:tcPr>
          <w:p w14:paraId="7A5EBFE4" w14:textId="77777777" w:rsidR="00073F9E" w:rsidRPr="009C5807" w:rsidRDefault="00073F9E" w:rsidP="00F47417">
            <w:pPr>
              <w:pStyle w:val="TAL"/>
              <w:rPr>
                <w:lang w:eastAsia="zh-CN"/>
              </w:rPr>
            </w:pPr>
            <w:r w:rsidRPr="009C5807">
              <w:rPr>
                <w:lang w:eastAsia="zh-CN"/>
              </w:rPr>
              <w:t>DIFFSINR_14</w:t>
            </w:r>
          </w:p>
        </w:tc>
        <w:tc>
          <w:tcPr>
            <w:tcW w:w="3034" w:type="dxa"/>
          </w:tcPr>
          <w:p w14:paraId="1FF47D2D" w14:textId="77777777" w:rsidR="00073F9E" w:rsidRPr="009C5807" w:rsidRDefault="00073F9E" w:rsidP="00F47417">
            <w:pPr>
              <w:pStyle w:val="TAL"/>
              <w:rPr>
                <w:lang w:eastAsia="zh-CN"/>
              </w:rPr>
            </w:pPr>
            <w:r w:rsidRPr="009C5807">
              <w:rPr>
                <w:lang w:eastAsia="zh-CN"/>
              </w:rPr>
              <w:t>-14</w:t>
            </w:r>
            <w:r w:rsidRPr="009C5807">
              <w:rPr>
                <w:rFonts w:hint="eastAsia"/>
                <w:lang w:eastAsia="zh-CN"/>
              </w:rPr>
              <w:t>≥Δ</w:t>
            </w:r>
            <w:r w:rsidRPr="009C5807">
              <w:rPr>
                <w:lang w:eastAsia="zh-CN"/>
              </w:rPr>
              <w:t>SINR&gt;-15</w:t>
            </w:r>
          </w:p>
        </w:tc>
        <w:tc>
          <w:tcPr>
            <w:tcW w:w="883" w:type="dxa"/>
            <w:shd w:val="clear" w:color="auto" w:fill="auto"/>
            <w:noWrap/>
          </w:tcPr>
          <w:p w14:paraId="0172D7D5" w14:textId="77777777" w:rsidR="00073F9E" w:rsidRPr="009C5807" w:rsidRDefault="00073F9E" w:rsidP="00F47417">
            <w:pPr>
              <w:pStyle w:val="TAL"/>
              <w:rPr>
                <w:lang w:eastAsia="zh-CN"/>
              </w:rPr>
            </w:pPr>
            <w:r w:rsidRPr="009C5807">
              <w:rPr>
                <w:lang w:eastAsia="zh-CN"/>
              </w:rPr>
              <w:t>dB</w:t>
            </w:r>
          </w:p>
        </w:tc>
      </w:tr>
      <w:tr w:rsidR="00073F9E" w:rsidRPr="009C5807" w14:paraId="2B0CF83E" w14:textId="77777777" w:rsidTr="00B4408D">
        <w:trPr>
          <w:trHeight w:val="300"/>
          <w:jc w:val="center"/>
        </w:trPr>
        <w:tc>
          <w:tcPr>
            <w:tcW w:w="1817" w:type="dxa"/>
            <w:shd w:val="clear" w:color="auto" w:fill="auto"/>
            <w:noWrap/>
          </w:tcPr>
          <w:p w14:paraId="6BFC97EA" w14:textId="77777777" w:rsidR="00073F9E" w:rsidRPr="009C5807" w:rsidRDefault="00073F9E" w:rsidP="00F47417">
            <w:pPr>
              <w:pStyle w:val="TAL"/>
              <w:rPr>
                <w:lang w:eastAsia="zh-CN"/>
              </w:rPr>
            </w:pPr>
            <w:r w:rsidRPr="009C5807">
              <w:rPr>
                <w:lang w:eastAsia="zh-CN"/>
              </w:rPr>
              <w:t>DIFFSINR_15</w:t>
            </w:r>
          </w:p>
        </w:tc>
        <w:tc>
          <w:tcPr>
            <w:tcW w:w="3034" w:type="dxa"/>
          </w:tcPr>
          <w:p w14:paraId="545CDD1C" w14:textId="77777777" w:rsidR="00073F9E" w:rsidRPr="009C5807" w:rsidRDefault="00073F9E" w:rsidP="00F47417">
            <w:pPr>
              <w:pStyle w:val="TAL"/>
              <w:rPr>
                <w:lang w:eastAsia="zh-CN"/>
              </w:rPr>
            </w:pPr>
            <w:r w:rsidRPr="009C5807">
              <w:rPr>
                <w:lang w:eastAsia="zh-CN"/>
              </w:rPr>
              <w:t>-15</w:t>
            </w:r>
            <w:r w:rsidRPr="009C5807">
              <w:rPr>
                <w:rFonts w:hint="eastAsia"/>
                <w:lang w:eastAsia="zh-CN"/>
              </w:rPr>
              <w:t>≥Δ</w:t>
            </w:r>
            <w:r w:rsidRPr="009C5807">
              <w:rPr>
                <w:lang w:eastAsia="zh-CN"/>
              </w:rPr>
              <w:t>SINR</w:t>
            </w:r>
          </w:p>
        </w:tc>
        <w:tc>
          <w:tcPr>
            <w:tcW w:w="883" w:type="dxa"/>
            <w:shd w:val="clear" w:color="auto" w:fill="auto"/>
            <w:noWrap/>
          </w:tcPr>
          <w:p w14:paraId="099B6F64" w14:textId="77777777" w:rsidR="00073F9E" w:rsidRPr="009C5807" w:rsidRDefault="00073F9E" w:rsidP="00F47417">
            <w:pPr>
              <w:pStyle w:val="TAL"/>
              <w:rPr>
                <w:lang w:eastAsia="zh-CN"/>
              </w:rPr>
            </w:pPr>
            <w:r w:rsidRPr="009C5807">
              <w:rPr>
                <w:lang w:eastAsia="zh-CN"/>
              </w:rPr>
              <w:t>dB</w:t>
            </w:r>
          </w:p>
        </w:tc>
      </w:tr>
    </w:tbl>
    <w:p w14:paraId="40FCC8F2" w14:textId="77777777" w:rsidR="001F5A79" w:rsidRPr="009C5807" w:rsidRDefault="001F5A79" w:rsidP="001F5A79">
      <w:pPr>
        <w:rPr>
          <w:lang w:val="en-US" w:eastAsia="ko-KR"/>
        </w:rPr>
      </w:pPr>
    </w:p>
    <w:p w14:paraId="3CB5B186" w14:textId="38CF6A8E" w:rsidR="001F5A79" w:rsidRPr="009C5807" w:rsidRDefault="001F5A79" w:rsidP="00967CF8">
      <w:pPr>
        <w:pStyle w:val="Heading3"/>
        <w:rPr>
          <w:lang w:val="en-US"/>
        </w:rPr>
      </w:pPr>
      <w:r w:rsidRPr="009C5807">
        <w:rPr>
          <w:lang w:val="en-US" w:eastAsia="ko-KR"/>
        </w:rPr>
        <w:t>1</w:t>
      </w:r>
      <w:r w:rsidR="00967CF8" w:rsidRPr="009C5807">
        <w:rPr>
          <w:lang w:val="en-US" w:eastAsia="ko-KR"/>
        </w:rPr>
        <w:t>0.1.1</w:t>
      </w:r>
      <w:r w:rsidRPr="009C5807">
        <w:rPr>
          <w:lang w:val="en-US" w:eastAsia="ko-KR"/>
        </w:rPr>
        <w:t>7</w:t>
      </w:r>
      <w:r w:rsidRPr="009C5807">
        <w:rPr>
          <w:lang w:val="en-US"/>
        </w:rPr>
        <w:tab/>
        <w:t>Power Headroom</w:t>
      </w:r>
    </w:p>
    <w:p w14:paraId="216831B5" w14:textId="0A4974A4" w:rsidR="001F5A79" w:rsidRPr="009C5807" w:rsidRDefault="001F5A79" w:rsidP="009D3C60">
      <w:pPr>
        <w:pStyle w:val="Heading4"/>
      </w:pPr>
      <w:r w:rsidRPr="009C5807">
        <w:t>10.1.17.1</w:t>
      </w:r>
      <w:r w:rsidR="00802A28">
        <w:tab/>
      </w:r>
      <w:r w:rsidRPr="009C5807">
        <w:t>Power Headroom Report</w:t>
      </w:r>
    </w:p>
    <w:p w14:paraId="35479FEE" w14:textId="77777777" w:rsidR="001F5A79" w:rsidRPr="009C5807" w:rsidRDefault="001F5A79" w:rsidP="009D3C60">
      <w:pPr>
        <w:pStyle w:val="Heading5"/>
        <w:rPr>
          <w:rFonts w:eastAsia="Malgun Gothic"/>
          <w:lang w:val="en-US" w:eastAsia="ko-KR"/>
        </w:rPr>
      </w:pPr>
      <w:r w:rsidRPr="009C5807">
        <w:rPr>
          <w:lang w:val="en-US" w:eastAsia="ko-KR"/>
        </w:rPr>
        <w:t>10.1.17.1.1</w:t>
      </w:r>
      <w:r w:rsidRPr="009C5807">
        <w:rPr>
          <w:lang w:val="en-US" w:eastAsia="ko-KR"/>
        </w:rPr>
        <w:tab/>
        <w:t>Power Headroom Report Mapping</w:t>
      </w:r>
    </w:p>
    <w:p w14:paraId="17CF49A0" w14:textId="77777777" w:rsidR="001F5A79" w:rsidRPr="009C5807" w:rsidRDefault="001F5A79" w:rsidP="001F5A79">
      <w:r w:rsidRPr="009C5807">
        <w:t>The power headroom reporting range is from -32 ...+38 dB. Table 10.1.17.1-1 defines the report mapping.</w:t>
      </w:r>
    </w:p>
    <w:p w14:paraId="064842A4" w14:textId="77777777" w:rsidR="001F5A79" w:rsidRPr="009C5807" w:rsidRDefault="001F5A79" w:rsidP="0093237A">
      <w:pPr>
        <w:pStyle w:val="TH"/>
      </w:pPr>
      <w:r w:rsidRPr="009C5807">
        <w:t>Table 10.1.17.1-1: Power headroom report mapping</w:t>
      </w:r>
    </w:p>
    <w:tbl>
      <w:tblPr>
        <w:tblW w:w="6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3"/>
        <w:gridCol w:w="3244"/>
      </w:tblGrid>
      <w:tr w:rsidR="001F5A79" w:rsidRPr="009C5807" w14:paraId="0BD79401" w14:textId="77777777" w:rsidTr="00DF3064">
        <w:trPr>
          <w:jc w:val="center"/>
        </w:trPr>
        <w:tc>
          <w:tcPr>
            <w:tcW w:w="3243" w:type="dxa"/>
            <w:shd w:val="clear" w:color="auto" w:fill="auto"/>
          </w:tcPr>
          <w:p w14:paraId="1D3133F2" w14:textId="77777777" w:rsidR="001F5A79" w:rsidRPr="009C5807" w:rsidRDefault="001F5A79" w:rsidP="00F47417">
            <w:pPr>
              <w:pStyle w:val="TAH"/>
              <w:rPr>
                <w:rFonts w:eastAsia="??"/>
              </w:rPr>
            </w:pPr>
            <w:r w:rsidRPr="009C5807">
              <w:t>Reported value</w:t>
            </w:r>
          </w:p>
        </w:tc>
        <w:tc>
          <w:tcPr>
            <w:tcW w:w="3244" w:type="dxa"/>
            <w:shd w:val="clear" w:color="auto" w:fill="auto"/>
          </w:tcPr>
          <w:p w14:paraId="03A27E65" w14:textId="77777777" w:rsidR="001F5A79" w:rsidRPr="009C5807" w:rsidRDefault="001F5A79" w:rsidP="00F47417">
            <w:pPr>
              <w:pStyle w:val="TAH"/>
              <w:rPr>
                <w:rFonts w:eastAsia="??"/>
              </w:rPr>
            </w:pPr>
            <w:r w:rsidRPr="009C5807">
              <w:t>Measured quantity value (dB)</w:t>
            </w:r>
          </w:p>
        </w:tc>
      </w:tr>
      <w:tr w:rsidR="001F5A79" w:rsidRPr="009C5807" w14:paraId="5757BA56" w14:textId="77777777" w:rsidTr="00DF3064">
        <w:trPr>
          <w:jc w:val="center"/>
        </w:trPr>
        <w:tc>
          <w:tcPr>
            <w:tcW w:w="3243" w:type="dxa"/>
            <w:shd w:val="clear" w:color="auto" w:fill="auto"/>
          </w:tcPr>
          <w:p w14:paraId="68559D63" w14:textId="77777777" w:rsidR="001F5A79" w:rsidRPr="009C5807" w:rsidRDefault="001F5A79" w:rsidP="00F47417">
            <w:pPr>
              <w:pStyle w:val="TAC"/>
              <w:rPr>
                <w:rFonts w:eastAsia="??"/>
              </w:rPr>
            </w:pPr>
            <w:r w:rsidRPr="009C5807">
              <w:t>POWER_HEADROOM_0</w:t>
            </w:r>
          </w:p>
        </w:tc>
        <w:tc>
          <w:tcPr>
            <w:tcW w:w="3244" w:type="dxa"/>
            <w:shd w:val="clear" w:color="auto" w:fill="auto"/>
          </w:tcPr>
          <w:p w14:paraId="3783D38E" w14:textId="77777777" w:rsidR="001F5A79" w:rsidRPr="009C5807" w:rsidRDefault="001F5A79" w:rsidP="00F47417">
            <w:pPr>
              <w:pStyle w:val="TAC"/>
              <w:rPr>
                <w:rFonts w:eastAsia="??"/>
              </w:rPr>
            </w:pPr>
            <w:r w:rsidRPr="009C5807">
              <w:t xml:space="preserve">PH </w:t>
            </w:r>
            <w:r w:rsidRPr="009C5807">
              <w:sym w:font="Symbol" w:char="F03C"/>
            </w:r>
            <w:r w:rsidRPr="009C5807">
              <w:t xml:space="preserve"> -32</w:t>
            </w:r>
          </w:p>
        </w:tc>
      </w:tr>
      <w:tr w:rsidR="001F5A79" w:rsidRPr="009C5807" w14:paraId="0145679D" w14:textId="77777777" w:rsidTr="00DF3064">
        <w:trPr>
          <w:jc w:val="center"/>
        </w:trPr>
        <w:tc>
          <w:tcPr>
            <w:tcW w:w="3243" w:type="dxa"/>
            <w:shd w:val="clear" w:color="auto" w:fill="auto"/>
          </w:tcPr>
          <w:p w14:paraId="5B946795" w14:textId="77777777" w:rsidR="001F5A79" w:rsidRPr="009C5807" w:rsidRDefault="001F5A79" w:rsidP="00F47417">
            <w:pPr>
              <w:pStyle w:val="TAC"/>
              <w:rPr>
                <w:rFonts w:eastAsia="??"/>
              </w:rPr>
            </w:pPr>
            <w:r w:rsidRPr="009C5807">
              <w:t>POWER_HEADROOM_1</w:t>
            </w:r>
          </w:p>
        </w:tc>
        <w:tc>
          <w:tcPr>
            <w:tcW w:w="3244" w:type="dxa"/>
            <w:shd w:val="clear" w:color="auto" w:fill="auto"/>
          </w:tcPr>
          <w:p w14:paraId="6756A002" w14:textId="77777777" w:rsidR="001F5A79" w:rsidRPr="009C5807" w:rsidRDefault="001F5A79" w:rsidP="00F47417">
            <w:pPr>
              <w:pStyle w:val="TAC"/>
              <w:rPr>
                <w:rFonts w:eastAsia="??"/>
              </w:rPr>
            </w:pPr>
            <w:r w:rsidRPr="009C5807">
              <w:t xml:space="preserve">-32 </w:t>
            </w:r>
            <w:r w:rsidRPr="009C5807">
              <w:sym w:font="Symbol" w:char="F0A3"/>
            </w:r>
            <w:r w:rsidRPr="009C5807">
              <w:t xml:space="preserve"> PH </w:t>
            </w:r>
            <w:r w:rsidRPr="009C5807">
              <w:sym w:font="Symbol" w:char="F03C"/>
            </w:r>
            <w:r w:rsidRPr="009C5807">
              <w:t xml:space="preserve"> -31</w:t>
            </w:r>
          </w:p>
        </w:tc>
      </w:tr>
      <w:tr w:rsidR="001F5A79" w:rsidRPr="009C5807" w14:paraId="1FA21952" w14:textId="77777777" w:rsidTr="00DF3064">
        <w:trPr>
          <w:jc w:val="center"/>
        </w:trPr>
        <w:tc>
          <w:tcPr>
            <w:tcW w:w="3243" w:type="dxa"/>
            <w:shd w:val="clear" w:color="auto" w:fill="auto"/>
          </w:tcPr>
          <w:p w14:paraId="5EA4A150" w14:textId="77777777" w:rsidR="001F5A79" w:rsidRPr="009C5807" w:rsidRDefault="001F5A79" w:rsidP="00F47417">
            <w:pPr>
              <w:pStyle w:val="TAC"/>
              <w:rPr>
                <w:rFonts w:eastAsia="??"/>
              </w:rPr>
            </w:pPr>
            <w:r w:rsidRPr="009C5807">
              <w:t>POWER_HEADROOM_2</w:t>
            </w:r>
          </w:p>
        </w:tc>
        <w:tc>
          <w:tcPr>
            <w:tcW w:w="3244" w:type="dxa"/>
            <w:shd w:val="clear" w:color="auto" w:fill="auto"/>
          </w:tcPr>
          <w:p w14:paraId="6CCD6B81" w14:textId="77777777" w:rsidR="001F5A79" w:rsidRPr="009C5807" w:rsidRDefault="001F5A79" w:rsidP="00F47417">
            <w:pPr>
              <w:pStyle w:val="TAC"/>
              <w:rPr>
                <w:rFonts w:eastAsia="??"/>
              </w:rPr>
            </w:pPr>
            <w:r w:rsidRPr="009C5807">
              <w:t xml:space="preserve">-31 </w:t>
            </w:r>
            <w:r w:rsidRPr="009C5807">
              <w:sym w:font="Symbol" w:char="F0A3"/>
            </w:r>
            <w:r w:rsidRPr="009C5807">
              <w:t xml:space="preserve"> PH </w:t>
            </w:r>
            <w:r w:rsidRPr="009C5807">
              <w:sym w:font="Symbol" w:char="F03C"/>
            </w:r>
            <w:r w:rsidRPr="009C5807">
              <w:t xml:space="preserve"> -30</w:t>
            </w:r>
          </w:p>
        </w:tc>
      </w:tr>
      <w:tr w:rsidR="001F5A79" w:rsidRPr="009C5807" w14:paraId="26298354" w14:textId="77777777" w:rsidTr="00DF3064">
        <w:trPr>
          <w:jc w:val="center"/>
        </w:trPr>
        <w:tc>
          <w:tcPr>
            <w:tcW w:w="3243" w:type="dxa"/>
            <w:shd w:val="clear" w:color="auto" w:fill="auto"/>
          </w:tcPr>
          <w:p w14:paraId="28B2102B" w14:textId="77777777" w:rsidR="001F5A79" w:rsidRPr="009C5807" w:rsidRDefault="001F5A79" w:rsidP="00F47417">
            <w:pPr>
              <w:pStyle w:val="TAC"/>
              <w:rPr>
                <w:rFonts w:eastAsia="??"/>
              </w:rPr>
            </w:pPr>
            <w:r w:rsidRPr="009C5807">
              <w:t>POWER_HEADROOM_3</w:t>
            </w:r>
          </w:p>
        </w:tc>
        <w:tc>
          <w:tcPr>
            <w:tcW w:w="3244" w:type="dxa"/>
            <w:shd w:val="clear" w:color="auto" w:fill="auto"/>
          </w:tcPr>
          <w:p w14:paraId="52230FFF" w14:textId="77777777" w:rsidR="001F5A79" w:rsidRPr="009C5807" w:rsidRDefault="001F5A79" w:rsidP="00F47417">
            <w:pPr>
              <w:pStyle w:val="TAC"/>
              <w:rPr>
                <w:rFonts w:eastAsia="??"/>
              </w:rPr>
            </w:pPr>
            <w:r w:rsidRPr="009C5807">
              <w:t xml:space="preserve">-30 </w:t>
            </w:r>
            <w:r w:rsidRPr="009C5807">
              <w:sym w:font="Symbol" w:char="F0A3"/>
            </w:r>
            <w:r w:rsidRPr="009C5807">
              <w:t xml:space="preserve"> PH </w:t>
            </w:r>
            <w:r w:rsidRPr="009C5807">
              <w:sym w:font="Symbol" w:char="F03C"/>
            </w:r>
            <w:r w:rsidRPr="009C5807">
              <w:t xml:space="preserve"> -29</w:t>
            </w:r>
          </w:p>
        </w:tc>
      </w:tr>
      <w:tr w:rsidR="001F5A79" w:rsidRPr="009C5807" w14:paraId="12A97C95" w14:textId="77777777" w:rsidTr="00DF3064">
        <w:trPr>
          <w:jc w:val="center"/>
        </w:trPr>
        <w:tc>
          <w:tcPr>
            <w:tcW w:w="3243" w:type="dxa"/>
            <w:shd w:val="clear" w:color="auto" w:fill="auto"/>
          </w:tcPr>
          <w:p w14:paraId="219FF141" w14:textId="77777777" w:rsidR="001F5A79" w:rsidRPr="009C5807" w:rsidRDefault="001F5A79" w:rsidP="00F47417">
            <w:pPr>
              <w:pStyle w:val="TAC"/>
              <w:rPr>
                <w:rFonts w:eastAsia="??"/>
              </w:rPr>
            </w:pPr>
            <w:r w:rsidRPr="009C5807">
              <w:sym w:font="Symbol" w:char="F0BC"/>
            </w:r>
          </w:p>
        </w:tc>
        <w:tc>
          <w:tcPr>
            <w:tcW w:w="3244" w:type="dxa"/>
            <w:shd w:val="clear" w:color="auto" w:fill="auto"/>
          </w:tcPr>
          <w:p w14:paraId="0FF705E3" w14:textId="77777777" w:rsidR="001F5A79" w:rsidRPr="009C5807" w:rsidRDefault="001F5A79" w:rsidP="00F47417">
            <w:pPr>
              <w:pStyle w:val="TAC"/>
              <w:rPr>
                <w:rFonts w:eastAsia="??"/>
              </w:rPr>
            </w:pPr>
            <w:r w:rsidRPr="009C5807">
              <w:sym w:font="Symbol" w:char="F0BC"/>
            </w:r>
          </w:p>
        </w:tc>
      </w:tr>
      <w:tr w:rsidR="001F5A79" w:rsidRPr="009C5807" w14:paraId="30EC7EDA" w14:textId="77777777" w:rsidTr="00DF3064">
        <w:trPr>
          <w:jc w:val="center"/>
        </w:trPr>
        <w:tc>
          <w:tcPr>
            <w:tcW w:w="3243" w:type="dxa"/>
            <w:shd w:val="clear" w:color="auto" w:fill="auto"/>
          </w:tcPr>
          <w:p w14:paraId="0B1D0C91" w14:textId="77777777" w:rsidR="001F5A79" w:rsidRPr="009C5807" w:rsidRDefault="001F5A79" w:rsidP="00F47417">
            <w:pPr>
              <w:pStyle w:val="TAC"/>
              <w:rPr>
                <w:rFonts w:eastAsia="Yu Gothic"/>
              </w:rPr>
            </w:pPr>
            <w:r w:rsidRPr="009C5807">
              <w:rPr>
                <w:rFonts w:eastAsia="Yu Gothic"/>
              </w:rPr>
              <w:t>POWER_HEADROOM_53</w:t>
            </w:r>
          </w:p>
        </w:tc>
        <w:tc>
          <w:tcPr>
            <w:tcW w:w="3244" w:type="dxa"/>
            <w:shd w:val="clear" w:color="auto" w:fill="auto"/>
          </w:tcPr>
          <w:p w14:paraId="7477BF22" w14:textId="77777777" w:rsidR="001F5A79" w:rsidRPr="009C5807" w:rsidRDefault="001F5A79" w:rsidP="00F47417">
            <w:pPr>
              <w:pStyle w:val="TAC"/>
              <w:rPr>
                <w:rFonts w:eastAsia="??"/>
              </w:rPr>
            </w:pPr>
            <w:r w:rsidRPr="009C5807">
              <w:t xml:space="preserve">20 </w:t>
            </w:r>
            <w:r w:rsidRPr="009C5807">
              <w:rPr>
                <w:rFonts w:ascii="Symbol" w:hAnsi="Symbol"/>
              </w:rPr>
              <w:t></w:t>
            </w:r>
            <w:r w:rsidRPr="009C5807">
              <w:t xml:space="preserve"> PH </w:t>
            </w:r>
            <w:r w:rsidRPr="009C5807">
              <w:rPr>
                <w:rFonts w:ascii="Symbol" w:hAnsi="Symbol"/>
              </w:rPr>
              <w:t></w:t>
            </w:r>
            <w:r w:rsidRPr="009C5807">
              <w:t xml:space="preserve"> 21</w:t>
            </w:r>
          </w:p>
        </w:tc>
      </w:tr>
      <w:tr w:rsidR="001F5A79" w:rsidRPr="009C5807" w14:paraId="08C0C857" w14:textId="77777777" w:rsidTr="00DF3064">
        <w:trPr>
          <w:jc w:val="center"/>
        </w:trPr>
        <w:tc>
          <w:tcPr>
            <w:tcW w:w="3243" w:type="dxa"/>
            <w:shd w:val="clear" w:color="auto" w:fill="auto"/>
          </w:tcPr>
          <w:p w14:paraId="7BCB42A4" w14:textId="77777777" w:rsidR="001F5A79" w:rsidRPr="009C5807" w:rsidRDefault="001F5A79" w:rsidP="00F47417">
            <w:pPr>
              <w:pStyle w:val="TAC"/>
              <w:rPr>
                <w:rFonts w:eastAsia="Yu Gothic"/>
              </w:rPr>
            </w:pPr>
            <w:r w:rsidRPr="009C5807">
              <w:rPr>
                <w:rFonts w:eastAsia="Yu Gothic"/>
              </w:rPr>
              <w:t>POWER_HEADROOM_54</w:t>
            </w:r>
          </w:p>
        </w:tc>
        <w:tc>
          <w:tcPr>
            <w:tcW w:w="3244" w:type="dxa"/>
            <w:shd w:val="clear" w:color="auto" w:fill="auto"/>
          </w:tcPr>
          <w:p w14:paraId="3FC8786D" w14:textId="77777777" w:rsidR="001F5A79" w:rsidRPr="009C5807" w:rsidRDefault="001F5A79" w:rsidP="00F47417">
            <w:pPr>
              <w:pStyle w:val="TAC"/>
              <w:rPr>
                <w:rFonts w:eastAsia="??"/>
              </w:rPr>
            </w:pPr>
            <w:r w:rsidRPr="009C5807">
              <w:t xml:space="preserve">21 </w:t>
            </w:r>
            <w:r w:rsidRPr="009C5807">
              <w:rPr>
                <w:rFonts w:ascii="Symbol" w:hAnsi="Symbol"/>
              </w:rPr>
              <w:t></w:t>
            </w:r>
            <w:r w:rsidRPr="009C5807">
              <w:t xml:space="preserve"> PH </w:t>
            </w:r>
            <w:r w:rsidRPr="009C5807">
              <w:rPr>
                <w:rFonts w:ascii="Symbol" w:hAnsi="Symbol"/>
              </w:rPr>
              <w:t></w:t>
            </w:r>
            <w:r w:rsidRPr="009C5807">
              <w:t xml:space="preserve"> 22</w:t>
            </w:r>
          </w:p>
        </w:tc>
      </w:tr>
      <w:tr w:rsidR="001F5A79" w:rsidRPr="009C5807" w14:paraId="66A46338" w14:textId="77777777" w:rsidTr="00DF3064">
        <w:trPr>
          <w:jc w:val="center"/>
        </w:trPr>
        <w:tc>
          <w:tcPr>
            <w:tcW w:w="3243" w:type="dxa"/>
            <w:shd w:val="clear" w:color="auto" w:fill="auto"/>
          </w:tcPr>
          <w:p w14:paraId="66D263CE" w14:textId="77777777" w:rsidR="001F5A79" w:rsidRPr="009C5807" w:rsidRDefault="001F5A79" w:rsidP="00F47417">
            <w:pPr>
              <w:pStyle w:val="TAC"/>
              <w:rPr>
                <w:rFonts w:eastAsia="??"/>
              </w:rPr>
            </w:pPr>
            <w:r w:rsidRPr="009C5807">
              <w:rPr>
                <w:rFonts w:eastAsia="Yu Gothic"/>
              </w:rPr>
              <w:t>POWER_HEADROOM_55</w:t>
            </w:r>
          </w:p>
        </w:tc>
        <w:tc>
          <w:tcPr>
            <w:tcW w:w="3244" w:type="dxa"/>
            <w:shd w:val="clear" w:color="auto" w:fill="auto"/>
          </w:tcPr>
          <w:p w14:paraId="304BCA80" w14:textId="77777777" w:rsidR="001F5A79" w:rsidRPr="009C5807" w:rsidRDefault="001F5A79" w:rsidP="00F47417">
            <w:pPr>
              <w:pStyle w:val="TAC"/>
              <w:rPr>
                <w:rFonts w:eastAsia="??"/>
              </w:rPr>
            </w:pPr>
            <w:r w:rsidRPr="009C5807">
              <w:t xml:space="preserve">22 </w:t>
            </w:r>
            <w:r w:rsidRPr="009C5807">
              <w:rPr>
                <w:rFonts w:ascii="Symbol" w:hAnsi="Symbol"/>
              </w:rPr>
              <w:t></w:t>
            </w:r>
            <w:r w:rsidRPr="009C5807">
              <w:t xml:space="preserve"> PH </w:t>
            </w:r>
            <w:r w:rsidRPr="009C5807">
              <w:rPr>
                <w:rFonts w:ascii="Symbol" w:hAnsi="Symbol"/>
              </w:rPr>
              <w:t></w:t>
            </w:r>
            <w:r w:rsidRPr="009C5807">
              <w:t xml:space="preserve"> 24</w:t>
            </w:r>
          </w:p>
        </w:tc>
      </w:tr>
      <w:tr w:rsidR="001F5A79" w:rsidRPr="009C5807" w14:paraId="4ADA8409" w14:textId="77777777" w:rsidTr="00DF3064">
        <w:trPr>
          <w:jc w:val="center"/>
        </w:trPr>
        <w:tc>
          <w:tcPr>
            <w:tcW w:w="3243" w:type="dxa"/>
            <w:shd w:val="clear" w:color="auto" w:fill="auto"/>
          </w:tcPr>
          <w:p w14:paraId="4B7F4990" w14:textId="77777777" w:rsidR="001F5A79" w:rsidRPr="009C5807" w:rsidRDefault="001F5A79" w:rsidP="00F47417">
            <w:pPr>
              <w:pStyle w:val="TAC"/>
              <w:rPr>
                <w:rFonts w:eastAsia="??"/>
              </w:rPr>
            </w:pPr>
            <w:r w:rsidRPr="009C5807">
              <w:rPr>
                <w:rFonts w:eastAsia="Yu Gothic"/>
              </w:rPr>
              <w:t>POWER_HEADROOM_56</w:t>
            </w:r>
          </w:p>
        </w:tc>
        <w:tc>
          <w:tcPr>
            <w:tcW w:w="3244" w:type="dxa"/>
            <w:shd w:val="clear" w:color="auto" w:fill="auto"/>
          </w:tcPr>
          <w:p w14:paraId="6D35FA91" w14:textId="77777777" w:rsidR="001F5A79" w:rsidRPr="009C5807" w:rsidRDefault="001F5A79" w:rsidP="00F47417">
            <w:pPr>
              <w:pStyle w:val="TAC"/>
              <w:rPr>
                <w:rFonts w:eastAsia="??"/>
              </w:rPr>
            </w:pPr>
            <w:r w:rsidRPr="009C5807">
              <w:t xml:space="preserve">24 </w:t>
            </w:r>
            <w:r w:rsidRPr="009C5807">
              <w:rPr>
                <w:rFonts w:ascii="Symbol" w:hAnsi="Symbol"/>
              </w:rPr>
              <w:t></w:t>
            </w:r>
            <w:r w:rsidRPr="009C5807">
              <w:t xml:space="preserve"> PH </w:t>
            </w:r>
            <w:r w:rsidRPr="009C5807">
              <w:rPr>
                <w:rFonts w:ascii="Symbol" w:hAnsi="Symbol"/>
              </w:rPr>
              <w:t></w:t>
            </w:r>
            <w:r w:rsidRPr="009C5807">
              <w:t xml:space="preserve"> 26</w:t>
            </w:r>
          </w:p>
        </w:tc>
      </w:tr>
      <w:tr w:rsidR="001F5A79" w:rsidRPr="009C5807" w14:paraId="1D0E35F6" w14:textId="77777777" w:rsidTr="00DF3064">
        <w:trPr>
          <w:jc w:val="center"/>
        </w:trPr>
        <w:tc>
          <w:tcPr>
            <w:tcW w:w="3243" w:type="dxa"/>
            <w:shd w:val="clear" w:color="auto" w:fill="auto"/>
          </w:tcPr>
          <w:p w14:paraId="3C0834BF" w14:textId="77777777" w:rsidR="001F5A79" w:rsidRPr="009C5807" w:rsidRDefault="001F5A79" w:rsidP="00F47417">
            <w:pPr>
              <w:pStyle w:val="TAC"/>
              <w:rPr>
                <w:rFonts w:eastAsia="??"/>
              </w:rPr>
            </w:pPr>
            <w:r w:rsidRPr="009C5807">
              <w:rPr>
                <w:rFonts w:eastAsia="Yu Gothic"/>
              </w:rPr>
              <w:t>POWER_HEADROOM_57</w:t>
            </w:r>
          </w:p>
        </w:tc>
        <w:tc>
          <w:tcPr>
            <w:tcW w:w="3244" w:type="dxa"/>
            <w:shd w:val="clear" w:color="auto" w:fill="auto"/>
          </w:tcPr>
          <w:p w14:paraId="21DC574F" w14:textId="77777777" w:rsidR="001F5A79" w:rsidRPr="009C5807" w:rsidRDefault="001F5A79" w:rsidP="00F47417">
            <w:pPr>
              <w:pStyle w:val="TAC"/>
              <w:rPr>
                <w:rFonts w:eastAsia="??"/>
              </w:rPr>
            </w:pPr>
            <w:r w:rsidRPr="009C5807">
              <w:t xml:space="preserve">26 </w:t>
            </w:r>
            <w:r w:rsidRPr="009C5807">
              <w:rPr>
                <w:rFonts w:ascii="Symbol" w:hAnsi="Symbol"/>
              </w:rPr>
              <w:t></w:t>
            </w:r>
            <w:r w:rsidRPr="009C5807">
              <w:t xml:space="preserve"> PH </w:t>
            </w:r>
            <w:r w:rsidRPr="009C5807">
              <w:rPr>
                <w:rFonts w:ascii="Symbol" w:hAnsi="Symbol"/>
              </w:rPr>
              <w:t></w:t>
            </w:r>
            <w:r w:rsidRPr="009C5807">
              <w:t xml:space="preserve"> 28</w:t>
            </w:r>
          </w:p>
        </w:tc>
      </w:tr>
      <w:tr w:rsidR="001F5A79" w:rsidRPr="009C5807" w14:paraId="175C4AE7" w14:textId="77777777" w:rsidTr="00DF3064">
        <w:trPr>
          <w:jc w:val="center"/>
        </w:trPr>
        <w:tc>
          <w:tcPr>
            <w:tcW w:w="3243" w:type="dxa"/>
            <w:shd w:val="clear" w:color="auto" w:fill="auto"/>
          </w:tcPr>
          <w:p w14:paraId="4538E40D" w14:textId="77777777" w:rsidR="001F5A79" w:rsidRPr="009C5807" w:rsidRDefault="001F5A79" w:rsidP="00F47417">
            <w:pPr>
              <w:pStyle w:val="TAC"/>
              <w:rPr>
                <w:rFonts w:eastAsia="??"/>
              </w:rPr>
            </w:pPr>
            <w:r w:rsidRPr="009C5807">
              <w:rPr>
                <w:rFonts w:eastAsia="Yu Gothic"/>
              </w:rPr>
              <w:t>POWER_HEADROOM_58</w:t>
            </w:r>
          </w:p>
        </w:tc>
        <w:tc>
          <w:tcPr>
            <w:tcW w:w="3244" w:type="dxa"/>
            <w:shd w:val="clear" w:color="auto" w:fill="auto"/>
          </w:tcPr>
          <w:p w14:paraId="32919DB7" w14:textId="77777777" w:rsidR="001F5A79" w:rsidRPr="009C5807" w:rsidRDefault="001F5A79" w:rsidP="00F47417">
            <w:pPr>
              <w:pStyle w:val="TAC"/>
              <w:rPr>
                <w:rFonts w:eastAsia="??"/>
              </w:rPr>
            </w:pPr>
            <w:r w:rsidRPr="009C5807">
              <w:t xml:space="preserve">28 </w:t>
            </w:r>
            <w:r w:rsidRPr="009C5807">
              <w:rPr>
                <w:rFonts w:ascii="Symbol" w:hAnsi="Symbol"/>
              </w:rPr>
              <w:t></w:t>
            </w:r>
            <w:r w:rsidRPr="009C5807">
              <w:t xml:space="preserve"> PH </w:t>
            </w:r>
            <w:r w:rsidRPr="009C5807">
              <w:rPr>
                <w:rFonts w:ascii="Symbol" w:hAnsi="Symbol"/>
              </w:rPr>
              <w:t></w:t>
            </w:r>
            <w:r w:rsidRPr="009C5807">
              <w:t xml:space="preserve"> 30</w:t>
            </w:r>
          </w:p>
        </w:tc>
      </w:tr>
      <w:tr w:rsidR="001F5A79" w:rsidRPr="009C5807" w14:paraId="5EF25C3D" w14:textId="77777777" w:rsidTr="00DF3064">
        <w:trPr>
          <w:jc w:val="center"/>
        </w:trPr>
        <w:tc>
          <w:tcPr>
            <w:tcW w:w="3243" w:type="dxa"/>
            <w:shd w:val="clear" w:color="auto" w:fill="auto"/>
          </w:tcPr>
          <w:p w14:paraId="4AB23617" w14:textId="77777777" w:rsidR="001F5A79" w:rsidRPr="009C5807" w:rsidRDefault="001F5A79" w:rsidP="00F47417">
            <w:pPr>
              <w:pStyle w:val="TAC"/>
              <w:rPr>
                <w:rFonts w:eastAsia="??"/>
              </w:rPr>
            </w:pPr>
            <w:r w:rsidRPr="009C5807">
              <w:rPr>
                <w:rFonts w:eastAsia="Yu Gothic"/>
              </w:rPr>
              <w:t>POWER_HEADROOM_59</w:t>
            </w:r>
          </w:p>
        </w:tc>
        <w:tc>
          <w:tcPr>
            <w:tcW w:w="3244" w:type="dxa"/>
            <w:shd w:val="clear" w:color="auto" w:fill="auto"/>
          </w:tcPr>
          <w:p w14:paraId="31D1F6B5" w14:textId="77777777" w:rsidR="001F5A79" w:rsidRPr="009C5807" w:rsidRDefault="001F5A79" w:rsidP="00F47417">
            <w:pPr>
              <w:pStyle w:val="TAC"/>
              <w:rPr>
                <w:rFonts w:eastAsia="??"/>
              </w:rPr>
            </w:pPr>
            <w:r w:rsidRPr="009C5807">
              <w:t xml:space="preserve">30 </w:t>
            </w:r>
            <w:r w:rsidRPr="009C5807">
              <w:rPr>
                <w:rFonts w:ascii="Symbol" w:hAnsi="Symbol"/>
              </w:rPr>
              <w:t></w:t>
            </w:r>
            <w:r w:rsidRPr="009C5807">
              <w:t xml:space="preserve"> PH </w:t>
            </w:r>
            <w:r w:rsidRPr="009C5807">
              <w:rPr>
                <w:rFonts w:ascii="Symbol" w:hAnsi="Symbol"/>
              </w:rPr>
              <w:t></w:t>
            </w:r>
            <w:r w:rsidRPr="009C5807">
              <w:t xml:space="preserve"> 32</w:t>
            </w:r>
          </w:p>
        </w:tc>
      </w:tr>
      <w:tr w:rsidR="001F5A79" w:rsidRPr="009C5807" w14:paraId="241B1E24" w14:textId="77777777" w:rsidTr="00DF3064">
        <w:trPr>
          <w:jc w:val="center"/>
        </w:trPr>
        <w:tc>
          <w:tcPr>
            <w:tcW w:w="3243" w:type="dxa"/>
            <w:shd w:val="clear" w:color="auto" w:fill="auto"/>
          </w:tcPr>
          <w:p w14:paraId="12C96BE0" w14:textId="77777777" w:rsidR="001F5A79" w:rsidRPr="009C5807" w:rsidRDefault="001F5A79" w:rsidP="00F47417">
            <w:pPr>
              <w:pStyle w:val="TAC"/>
              <w:rPr>
                <w:rFonts w:eastAsia="??"/>
              </w:rPr>
            </w:pPr>
            <w:r w:rsidRPr="009C5807">
              <w:rPr>
                <w:rFonts w:eastAsia="Yu Gothic"/>
              </w:rPr>
              <w:t>POWER_HEADROOM_60</w:t>
            </w:r>
          </w:p>
        </w:tc>
        <w:tc>
          <w:tcPr>
            <w:tcW w:w="3244" w:type="dxa"/>
            <w:shd w:val="clear" w:color="auto" w:fill="auto"/>
          </w:tcPr>
          <w:p w14:paraId="543C3070" w14:textId="77777777" w:rsidR="001F5A79" w:rsidRPr="009C5807" w:rsidRDefault="001F5A79" w:rsidP="00F47417">
            <w:pPr>
              <w:pStyle w:val="TAC"/>
              <w:rPr>
                <w:rFonts w:eastAsia="??"/>
              </w:rPr>
            </w:pPr>
            <w:r w:rsidRPr="009C5807">
              <w:t xml:space="preserve">32 </w:t>
            </w:r>
            <w:r w:rsidRPr="009C5807">
              <w:rPr>
                <w:rFonts w:ascii="Symbol" w:hAnsi="Symbol"/>
              </w:rPr>
              <w:t></w:t>
            </w:r>
            <w:r w:rsidRPr="009C5807">
              <w:t xml:space="preserve"> PH </w:t>
            </w:r>
            <w:r w:rsidRPr="009C5807">
              <w:rPr>
                <w:rFonts w:ascii="Symbol" w:hAnsi="Symbol"/>
              </w:rPr>
              <w:t></w:t>
            </w:r>
            <w:r w:rsidRPr="009C5807">
              <w:t xml:space="preserve"> 34</w:t>
            </w:r>
          </w:p>
        </w:tc>
      </w:tr>
      <w:tr w:rsidR="001F5A79" w:rsidRPr="009C5807" w14:paraId="49A79FAA" w14:textId="77777777" w:rsidTr="00DF3064">
        <w:trPr>
          <w:jc w:val="center"/>
        </w:trPr>
        <w:tc>
          <w:tcPr>
            <w:tcW w:w="3243" w:type="dxa"/>
            <w:shd w:val="clear" w:color="auto" w:fill="auto"/>
          </w:tcPr>
          <w:p w14:paraId="3F6022AB" w14:textId="77777777" w:rsidR="001F5A79" w:rsidRPr="009C5807" w:rsidRDefault="001F5A79" w:rsidP="00F47417">
            <w:pPr>
              <w:pStyle w:val="TAC"/>
              <w:rPr>
                <w:rFonts w:eastAsia="??"/>
              </w:rPr>
            </w:pPr>
            <w:r w:rsidRPr="009C5807">
              <w:rPr>
                <w:rFonts w:eastAsia="Yu Gothic"/>
              </w:rPr>
              <w:t>POWER_HEADROOM_61</w:t>
            </w:r>
          </w:p>
        </w:tc>
        <w:tc>
          <w:tcPr>
            <w:tcW w:w="3244" w:type="dxa"/>
            <w:shd w:val="clear" w:color="auto" w:fill="auto"/>
          </w:tcPr>
          <w:p w14:paraId="661EE0EC" w14:textId="77777777" w:rsidR="001F5A79" w:rsidRPr="009C5807" w:rsidRDefault="001F5A79" w:rsidP="00F47417">
            <w:pPr>
              <w:pStyle w:val="TAC"/>
              <w:rPr>
                <w:rFonts w:eastAsia="??"/>
              </w:rPr>
            </w:pPr>
            <w:r w:rsidRPr="009C5807">
              <w:t xml:space="preserve">34 </w:t>
            </w:r>
            <w:r w:rsidRPr="009C5807">
              <w:rPr>
                <w:rFonts w:ascii="Symbol" w:hAnsi="Symbol"/>
              </w:rPr>
              <w:t></w:t>
            </w:r>
            <w:r w:rsidRPr="009C5807">
              <w:t xml:space="preserve"> PH </w:t>
            </w:r>
            <w:r w:rsidRPr="009C5807">
              <w:rPr>
                <w:rFonts w:ascii="Symbol" w:hAnsi="Symbol"/>
              </w:rPr>
              <w:t></w:t>
            </w:r>
            <w:r w:rsidRPr="009C5807">
              <w:t xml:space="preserve"> 36</w:t>
            </w:r>
          </w:p>
        </w:tc>
      </w:tr>
      <w:tr w:rsidR="001F5A79" w:rsidRPr="009C5807" w14:paraId="6B38DF5E" w14:textId="77777777" w:rsidTr="00DF3064">
        <w:trPr>
          <w:jc w:val="center"/>
        </w:trPr>
        <w:tc>
          <w:tcPr>
            <w:tcW w:w="3243" w:type="dxa"/>
            <w:shd w:val="clear" w:color="auto" w:fill="auto"/>
          </w:tcPr>
          <w:p w14:paraId="3EA5261B" w14:textId="77777777" w:rsidR="001F5A79" w:rsidRPr="009C5807" w:rsidRDefault="001F5A79" w:rsidP="00F47417">
            <w:pPr>
              <w:pStyle w:val="TAC"/>
              <w:rPr>
                <w:rFonts w:eastAsia="??"/>
              </w:rPr>
            </w:pPr>
            <w:r w:rsidRPr="009C5807">
              <w:rPr>
                <w:rFonts w:eastAsia="Yu Gothic"/>
              </w:rPr>
              <w:t>POWER_HEADROOM_62</w:t>
            </w:r>
          </w:p>
        </w:tc>
        <w:tc>
          <w:tcPr>
            <w:tcW w:w="3244" w:type="dxa"/>
            <w:shd w:val="clear" w:color="auto" w:fill="auto"/>
          </w:tcPr>
          <w:p w14:paraId="60B3C27B" w14:textId="77777777" w:rsidR="001F5A79" w:rsidRPr="009C5807" w:rsidRDefault="001F5A79" w:rsidP="00F47417">
            <w:pPr>
              <w:pStyle w:val="TAC"/>
              <w:rPr>
                <w:rFonts w:eastAsia="??"/>
              </w:rPr>
            </w:pPr>
            <w:r w:rsidRPr="009C5807">
              <w:t xml:space="preserve">36 </w:t>
            </w:r>
            <w:r w:rsidRPr="009C5807">
              <w:rPr>
                <w:rFonts w:ascii="Symbol" w:hAnsi="Symbol"/>
              </w:rPr>
              <w:t></w:t>
            </w:r>
            <w:r w:rsidRPr="009C5807">
              <w:t xml:space="preserve"> PH </w:t>
            </w:r>
            <w:r w:rsidRPr="009C5807">
              <w:rPr>
                <w:rFonts w:ascii="Symbol" w:hAnsi="Symbol"/>
              </w:rPr>
              <w:t></w:t>
            </w:r>
            <w:r w:rsidRPr="009C5807">
              <w:t xml:space="preserve"> 38</w:t>
            </w:r>
          </w:p>
        </w:tc>
      </w:tr>
      <w:tr w:rsidR="001F5A79" w:rsidRPr="009C5807" w14:paraId="587B363A" w14:textId="77777777" w:rsidTr="00DF3064">
        <w:trPr>
          <w:jc w:val="center"/>
        </w:trPr>
        <w:tc>
          <w:tcPr>
            <w:tcW w:w="3243" w:type="dxa"/>
            <w:shd w:val="clear" w:color="auto" w:fill="auto"/>
          </w:tcPr>
          <w:p w14:paraId="7FDE0E8F" w14:textId="77777777" w:rsidR="001F5A79" w:rsidRPr="009C5807" w:rsidRDefault="001F5A79" w:rsidP="00F47417">
            <w:pPr>
              <w:pStyle w:val="TAC"/>
              <w:rPr>
                <w:rFonts w:eastAsia="??"/>
              </w:rPr>
            </w:pPr>
            <w:r w:rsidRPr="009C5807">
              <w:rPr>
                <w:rFonts w:eastAsia="Yu Gothic"/>
              </w:rPr>
              <w:t>POWER_HEADROOM_63</w:t>
            </w:r>
          </w:p>
        </w:tc>
        <w:tc>
          <w:tcPr>
            <w:tcW w:w="3244" w:type="dxa"/>
            <w:shd w:val="clear" w:color="auto" w:fill="auto"/>
          </w:tcPr>
          <w:p w14:paraId="04E17612" w14:textId="77777777" w:rsidR="001F5A79" w:rsidRPr="009C5807" w:rsidRDefault="001F5A79" w:rsidP="00F47417">
            <w:pPr>
              <w:pStyle w:val="TAC"/>
              <w:rPr>
                <w:rFonts w:eastAsia="??"/>
              </w:rPr>
            </w:pPr>
            <w:r w:rsidRPr="009C5807">
              <w:t xml:space="preserve">PH </w:t>
            </w:r>
            <w:r w:rsidRPr="009C5807">
              <w:rPr>
                <w:rFonts w:hint="eastAsia"/>
              </w:rPr>
              <w:t>≥</w:t>
            </w:r>
            <w:r w:rsidRPr="009C5807">
              <w:t xml:space="preserve"> 38</w:t>
            </w:r>
          </w:p>
        </w:tc>
      </w:tr>
    </w:tbl>
    <w:p w14:paraId="09DC36ED" w14:textId="77777777" w:rsidR="001F5A79" w:rsidRPr="009C5807" w:rsidRDefault="001F5A79" w:rsidP="001F5A79"/>
    <w:p w14:paraId="6033CC21" w14:textId="17D9C06E" w:rsidR="001F5A79" w:rsidRPr="009C5807" w:rsidRDefault="001F5A79" w:rsidP="00967CF8">
      <w:pPr>
        <w:pStyle w:val="Heading3"/>
        <w:rPr>
          <w:lang w:eastAsia="ko-KR"/>
        </w:rPr>
      </w:pPr>
      <w:r w:rsidRPr="009C5807">
        <w:t>1</w:t>
      </w:r>
      <w:r w:rsidR="00967CF8" w:rsidRPr="009C5807">
        <w:t>0.1.1</w:t>
      </w:r>
      <w:r w:rsidRPr="009C5807">
        <w:t>8</w:t>
      </w:r>
      <w:r w:rsidRPr="009C5807">
        <w:tab/>
        <w:t>P</w:t>
      </w:r>
      <w:r w:rsidRPr="009C5807">
        <w:rPr>
          <w:rFonts w:cs="v4.2.0"/>
          <w:vertAlign w:val="subscript"/>
          <w:lang w:eastAsia="zh-CN"/>
        </w:rPr>
        <w:t>CMAX,c,f</w:t>
      </w:r>
    </w:p>
    <w:p w14:paraId="3E2B0A5F" w14:textId="77777777" w:rsidR="001F5A79" w:rsidRPr="009C5807" w:rsidRDefault="001F5A79" w:rsidP="001F5A79">
      <w:r w:rsidRPr="009C5807">
        <w:t xml:space="preserve">The UE is required to report </w:t>
      </w:r>
      <w:r w:rsidRPr="009C5807">
        <w:rPr>
          <w:noProof/>
        </w:rPr>
        <w:t xml:space="preserve">the UE configured maximum output  power </w:t>
      </w:r>
      <w:r w:rsidRPr="009C5807">
        <w:t>(P</w:t>
      </w:r>
      <w:r w:rsidRPr="009C5807">
        <w:rPr>
          <w:vertAlign w:val="subscript"/>
        </w:rPr>
        <w:t>CMAX,c,f</w:t>
      </w:r>
      <w:r w:rsidRPr="009C5807">
        <w:t>) together with the power headroom. This clause defines the requirements for the P</w:t>
      </w:r>
      <w:r w:rsidRPr="009C5807">
        <w:rPr>
          <w:vertAlign w:val="subscript"/>
        </w:rPr>
        <w:t>CMAX,c,f</w:t>
      </w:r>
      <w:r w:rsidRPr="009C5807">
        <w:t xml:space="preserve"> reporting.</w:t>
      </w:r>
    </w:p>
    <w:p w14:paraId="1439A612" w14:textId="77777777" w:rsidR="001F5A79" w:rsidRPr="009C5807" w:rsidRDefault="001F5A79" w:rsidP="00B018D8">
      <w:pPr>
        <w:pStyle w:val="Heading4"/>
      </w:pPr>
      <w:r w:rsidRPr="009C5807">
        <w:t>10.1.18.1</w:t>
      </w:r>
      <w:r w:rsidRPr="009C5807">
        <w:tab/>
        <w:t>Report Mapping</w:t>
      </w:r>
    </w:p>
    <w:p w14:paraId="02A4C5ED" w14:textId="77777777" w:rsidR="001F5A79" w:rsidRPr="009C5807" w:rsidRDefault="001F5A79" w:rsidP="001F5A79">
      <w:r w:rsidRPr="009C5807">
        <w:t>The P</w:t>
      </w:r>
      <w:r w:rsidRPr="009C5807">
        <w:rPr>
          <w:vertAlign w:val="subscript"/>
          <w:lang w:eastAsia="zh-CN"/>
        </w:rPr>
        <w:t>CMAX,c,f</w:t>
      </w:r>
      <w:r w:rsidRPr="009C5807">
        <w:t xml:space="preserve"> reporting range is defined from -29 dBm to 33 dBm with 1 dB resolution. Table 10.1.18.1-1 defines the reporting mapping.</w:t>
      </w:r>
    </w:p>
    <w:p w14:paraId="0649D038" w14:textId="77777777" w:rsidR="001F5A79" w:rsidRPr="009C5807" w:rsidRDefault="001F5A79" w:rsidP="00F47417">
      <w:pPr>
        <w:pStyle w:val="TH"/>
      </w:pPr>
      <w:r w:rsidRPr="009C5807">
        <w:t xml:space="preserve">Table 10.1.18.1-1 </w:t>
      </w:r>
      <w:r w:rsidRPr="009C5807">
        <w:rPr>
          <w:lang w:eastAsia="zh-CN"/>
        </w:rPr>
        <w:t>Mapping of P</w:t>
      </w:r>
      <w:r w:rsidRPr="009C5807">
        <w:rPr>
          <w:vertAlign w:val="subscript"/>
          <w:lang w:eastAsia="zh-CN"/>
        </w:rPr>
        <w:t>CMAX,c.f</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4111"/>
        <w:gridCol w:w="851"/>
      </w:tblGrid>
      <w:tr w:rsidR="001F5A79" w:rsidRPr="009C5807" w14:paraId="6AE11E97" w14:textId="77777777" w:rsidTr="00DF3064">
        <w:tc>
          <w:tcPr>
            <w:tcW w:w="2551" w:type="dxa"/>
            <w:tcBorders>
              <w:top w:val="single" w:sz="4" w:space="0" w:color="auto"/>
              <w:left w:val="single" w:sz="4" w:space="0" w:color="auto"/>
              <w:bottom w:val="single" w:sz="4" w:space="0" w:color="auto"/>
              <w:right w:val="single" w:sz="4" w:space="0" w:color="auto"/>
            </w:tcBorders>
            <w:hideMark/>
          </w:tcPr>
          <w:p w14:paraId="58C5B3E2" w14:textId="77777777" w:rsidR="001F5A79" w:rsidRPr="009C5807" w:rsidRDefault="001F5A79" w:rsidP="00F47417">
            <w:pPr>
              <w:pStyle w:val="TAH"/>
              <w:rPr>
                <w:rFonts w:cs="Arial"/>
                <w:lang w:val="en-US"/>
              </w:rPr>
            </w:pPr>
            <w:r w:rsidRPr="009C5807">
              <w:rPr>
                <w:lang w:val="en-US"/>
              </w:rPr>
              <w:t>Reported value</w:t>
            </w:r>
          </w:p>
        </w:tc>
        <w:tc>
          <w:tcPr>
            <w:tcW w:w="4111" w:type="dxa"/>
            <w:tcBorders>
              <w:top w:val="single" w:sz="4" w:space="0" w:color="auto"/>
              <w:left w:val="single" w:sz="4" w:space="0" w:color="auto"/>
              <w:bottom w:val="single" w:sz="4" w:space="0" w:color="auto"/>
              <w:right w:val="single" w:sz="4" w:space="0" w:color="auto"/>
            </w:tcBorders>
            <w:hideMark/>
          </w:tcPr>
          <w:p w14:paraId="3392D722" w14:textId="77777777" w:rsidR="001F5A79" w:rsidRPr="009C5807" w:rsidRDefault="001F5A79" w:rsidP="00F47417">
            <w:pPr>
              <w:pStyle w:val="TAH"/>
              <w:rPr>
                <w:rFonts w:cs="Arial"/>
                <w:lang w:val="en-US"/>
              </w:rPr>
            </w:pPr>
            <w:r w:rsidRPr="009C5807">
              <w:rPr>
                <w:lang w:val="en-US"/>
              </w:rPr>
              <w:t>Measured quantity value</w:t>
            </w:r>
          </w:p>
        </w:tc>
        <w:tc>
          <w:tcPr>
            <w:tcW w:w="851" w:type="dxa"/>
            <w:tcBorders>
              <w:top w:val="single" w:sz="4" w:space="0" w:color="auto"/>
              <w:left w:val="single" w:sz="4" w:space="0" w:color="auto"/>
              <w:bottom w:val="single" w:sz="4" w:space="0" w:color="auto"/>
              <w:right w:val="single" w:sz="4" w:space="0" w:color="auto"/>
            </w:tcBorders>
            <w:hideMark/>
          </w:tcPr>
          <w:p w14:paraId="23540F71" w14:textId="77777777" w:rsidR="001F5A79" w:rsidRPr="009C5807" w:rsidRDefault="001F5A79" w:rsidP="00F47417">
            <w:pPr>
              <w:pStyle w:val="TAH"/>
              <w:rPr>
                <w:rFonts w:cs="Arial"/>
                <w:lang w:val="en-US"/>
              </w:rPr>
            </w:pPr>
            <w:r w:rsidRPr="009C5807">
              <w:rPr>
                <w:lang w:val="en-US"/>
              </w:rPr>
              <w:t>Unit</w:t>
            </w:r>
          </w:p>
        </w:tc>
      </w:tr>
      <w:tr w:rsidR="001F5A79" w:rsidRPr="009C5807" w14:paraId="1E6C6874" w14:textId="77777777" w:rsidTr="00DF3064">
        <w:tc>
          <w:tcPr>
            <w:tcW w:w="2551" w:type="dxa"/>
            <w:tcBorders>
              <w:top w:val="single" w:sz="4" w:space="0" w:color="auto"/>
              <w:left w:val="single" w:sz="4" w:space="0" w:color="auto"/>
              <w:bottom w:val="single" w:sz="4" w:space="0" w:color="auto"/>
              <w:right w:val="single" w:sz="4" w:space="0" w:color="auto"/>
            </w:tcBorders>
            <w:hideMark/>
          </w:tcPr>
          <w:p w14:paraId="595F7E11" w14:textId="77777777" w:rsidR="001F5A79" w:rsidRPr="009C5807" w:rsidRDefault="001F5A79" w:rsidP="00F47417">
            <w:pPr>
              <w:pStyle w:val="TAC"/>
              <w:rPr>
                <w:lang w:val="en-US"/>
              </w:rPr>
            </w:pPr>
            <w:r w:rsidRPr="009C5807">
              <w:rPr>
                <w:lang w:val="en-US" w:eastAsia="zh-CN"/>
              </w:rPr>
              <w:t>PCMAX_C_</w:t>
            </w:r>
            <w:r w:rsidRPr="009C5807">
              <w:rPr>
                <w:lang w:val="en-US"/>
              </w:rPr>
              <w:t>0</w:t>
            </w:r>
            <w:r w:rsidRPr="009C5807">
              <w:rPr>
                <w:lang w:val="en-US" w:eastAsia="zh-CN"/>
              </w:rPr>
              <w:t>0</w:t>
            </w:r>
          </w:p>
        </w:tc>
        <w:tc>
          <w:tcPr>
            <w:tcW w:w="4111" w:type="dxa"/>
            <w:tcBorders>
              <w:top w:val="single" w:sz="4" w:space="0" w:color="auto"/>
              <w:left w:val="single" w:sz="4" w:space="0" w:color="auto"/>
              <w:bottom w:val="single" w:sz="4" w:space="0" w:color="auto"/>
              <w:right w:val="single" w:sz="4" w:space="0" w:color="auto"/>
            </w:tcBorders>
            <w:hideMark/>
          </w:tcPr>
          <w:p w14:paraId="3F742BB7" w14:textId="77777777" w:rsidR="001F5A79" w:rsidRPr="009C5807" w:rsidRDefault="001F5A79" w:rsidP="00F47417">
            <w:pPr>
              <w:pStyle w:val="TAC"/>
              <w:rPr>
                <w:lang w:val="en-US"/>
              </w:rPr>
            </w:pPr>
            <w:r w:rsidRPr="009C5807">
              <w:rPr>
                <w:lang w:val="en-US"/>
              </w:rPr>
              <w:t>P</w:t>
            </w:r>
            <w:r w:rsidRPr="009C5807">
              <w:rPr>
                <w:vertAlign w:val="subscript"/>
                <w:lang w:val="en-US"/>
              </w:rPr>
              <w:t>CMAX,c,f</w:t>
            </w:r>
            <w:r w:rsidRPr="009C5807">
              <w:rPr>
                <w:lang w:val="en-US"/>
              </w:rPr>
              <w:t xml:space="preserve"> &lt; -</w:t>
            </w:r>
            <w:r w:rsidRPr="009C5807">
              <w:rPr>
                <w:lang w:val="en-US" w:eastAsia="zh-CN"/>
              </w:rPr>
              <w:t>2</w:t>
            </w:r>
            <w:r w:rsidRPr="009C5807">
              <w:rPr>
                <w:lang w:val="en-US"/>
              </w:rPr>
              <w:t>9</w:t>
            </w:r>
          </w:p>
        </w:tc>
        <w:tc>
          <w:tcPr>
            <w:tcW w:w="851" w:type="dxa"/>
            <w:tcBorders>
              <w:top w:val="single" w:sz="4" w:space="0" w:color="auto"/>
              <w:left w:val="single" w:sz="4" w:space="0" w:color="auto"/>
              <w:bottom w:val="single" w:sz="4" w:space="0" w:color="auto"/>
              <w:right w:val="single" w:sz="4" w:space="0" w:color="auto"/>
            </w:tcBorders>
            <w:hideMark/>
          </w:tcPr>
          <w:p w14:paraId="66BDE7A4" w14:textId="77777777" w:rsidR="001F5A79" w:rsidRPr="009C5807" w:rsidRDefault="001F5A79" w:rsidP="00F47417">
            <w:pPr>
              <w:pStyle w:val="TAC"/>
              <w:rPr>
                <w:lang w:val="en-US"/>
              </w:rPr>
            </w:pPr>
            <w:r w:rsidRPr="009C5807">
              <w:rPr>
                <w:lang w:val="en-US"/>
              </w:rPr>
              <w:t>dBm</w:t>
            </w:r>
          </w:p>
        </w:tc>
      </w:tr>
      <w:tr w:rsidR="001F5A79" w:rsidRPr="009C5807" w14:paraId="63AF942B" w14:textId="77777777" w:rsidTr="00DF3064">
        <w:tc>
          <w:tcPr>
            <w:tcW w:w="2551" w:type="dxa"/>
            <w:tcBorders>
              <w:top w:val="single" w:sz="4" w:space="0" w:color="auto"/>
              <w:left w:val="single" w:sz="4" w:space="0" w:color="auto"/>
              <w:bottom w:val="single" w:sz="4" w:space="0" w:color="auto"/>
              <w:right w:val="single" w:sz="4" w:space="0" w:color="auto"/>
            </w:tcBorders>
            <w:hideMark/>
          </w:tcPr>
          <w:p w14:paraId="3FEFF6DE" w14:textId="77777777" w:rsidR="001F5A79" w:rsidRPr="009C5807" w:rsidRDefault="001F5A79" w:rsidP="00F47417">
            <w:pPr>
              <w:pStyle w:val="TAC"/>
              <w:rPr>
                <w:lang w:val="en-US"/>
              </w:rPr>
            </w:pPr>
            <w:r w:rsidRPr="009C5807">
              <w:rPr>
                <w:lang w:val="en-US" w:eastAsia="zh-CN"/>
              </w:rPr>
              <w:t>PCMAX_C_</w:t>
            </w:r>
            <w:r w:rsidRPr="009C5807">
              <w:rPr>
                <w:lang w:val="en-US"/>
              </w:rPr>
              <w:t>0</w:t>
            </w:r>
            <w:r w:rsidRPr="009C5807">
              <w:rPr>
                <w:lang w:val="en-US" w:eastAsia="zh-CN"/>
              </w:rPr>
              <w:t>1</w:t>
            </w:r>
          </w:p>
        </w:tc>
        <w:tc>
          <w:tcPr>
            <w:tcW w:w="4111" w:type="dxa"/>
            <w:tcBorders>
              <w:top w:val="single" w:sz="4" w:space="0" w:color="auto"/>
              <w:left w:val="single" w:sz="4" w:space="0" w:color="auto"/>
              <w:bottom w:val="single" w:sz="4" w:space="0" w:color="auto"/>
              <w:right w:val="single" w:sz="4" w:space="0" w:color="auto"/>
            </w:tcBorders>
            <w:hideMark/>
          </w:tcPr>
          <w:p w14:paraId="73DE7C7C" w14:textId="77777777" w:rsidR="001F5A79" w:rsidRPr="009C5807" w:rsidRDefault="001F5A79" w:rsidP="00F47417">
            <w:pPr>
              <w:pStyle w:val="TAC"/>
              <w:rPr>
                <w:lang w:val="en-US"/>
              </w:rPr>
            </w:pPr>
            <w:r w:rsidRPr="009C5807">
              <w:rPr>
                <w:lang w:val="en-US"/>
              </w:rPr>
              <w:t>-</w:t>
            </w:r>
            <w:r w:rsidRPr="009C5807">
              <w:rPr>
                <w:lang w:val="en-US" w:eastAsia="zh-CN"/>
              </w:rPr>
              <w:t>2</w:t>
            </w:r>
            <w:r w:rsidRPr="009C5807">
              <w:rPr>
                <w:lang w:val="en-US"/>
              </w:rPr>
              <w:t xml:space="preserve">9 </w:t>
            </w:r>
            <w:r w:rsidRPr="009C5807">
              <w:rPr>
                <w:lang w:val="en-US"/>
              </w:rPr>
              <w:sym w:font="Symbol" w:char="F0A3"/>
            </w:r>
            <w:r w:rsidRPr="009C5807">
              <w:rPr>
                <w:lang w:val="en-US"/>
              </w:rPr>
              <w:t xml:space="preserve"> P</w:t>
            </w:r>
            <w:r w:rsidRPr="009C5807">
              <w:rPr>
                <w:vertAlign w:val="subscript"/>
                <w:lang w:val="en-US"/>
              </w:rPr>
              <w:t>CMAX,c,f</w:t>
            </w:r>
            <w:r w:rsidRPr="009C5807">
              <w:rPr>
                <w:lang w:val="en-US"/>
              </w:rPr>
              <w:t xml:space="preserve"> &lt; -</w:t>
            </w:r>
            <w:r w:rsidRPr="009C5807">
              <w:rPr>
                <w:lang w:val="en-US" w:eastAsia="zh-CN"/>
              </w:rPr>
              <w:t>2</w:t>
            </w:r>
            <w:r w:rsidRPr="009C5807">
              <w:rPr>
                <w:lang w:val="en-US"/>
              </w:rPr>
              <w:t>8</w:t>
            </w:r>
          </w:p>
        </w:tc>
        <w:tc>
          <w:tcPr>
            <w:tcW w:w="851" w:type="dxa"/>
            <w:tcBorders>
              <w:top w:val="single" w:sz="4" w:space="0" w:color="auto"/>
              <w:left w:val="single" w:sz="4" w:space="0" w:color="auto"/>
              <w:bottom w:val="single" w:sz="4" w:space="0" w:color="auto"/>
              <w:right w:val="single" w:sz="4" w:space="0" w:color="auto"/>
            </w:tcBorders>
            <w:hideMark/>
          </w:tcPr>
          <w:p w14:paraId="395A9915" w14:textId="77777777" w:rsidR="001F5A79" w:rsidRPr="009C5807" w:rsidRDefault="001F5A79" w:rsidP="00F47417">
            <w:pPr>
              <w:pStyle w:val="TAC"/>
              <w:rPr>
                <w:lang w:val="en-US"/>
              </w:rPr>
            </w:pPr>
            <w:r w:rsidRPr="009C5807">
              <w:rPr>
                <w:lang w:val="en-US"/>
              </w:rPr>
              <w:t>dBm</w:t>
            </w:r>
          </w:p>
        </w:tc>
      </w:tr>
      <w:tr w:rsidR="001F5A79" w:rsidRPr="009C5807" w14:paraId="17E56F31" w14:textId="77777777" w:rsidTr="00DF3064">
        <w:tc>
          <w:tcPr>
            <w:tcW w:w="2551" w:type="dxa"/>
            <w:tcBorders>
              <w:top w:val="single" w:sz="4" w:space="0" w:color="auto"/>
              <w:left w:val="single" w:sz="4" w:space="0" w:color="auto"/>
              <w:bottom w:val="single" w:sz="4" w:space="0" w:color="auto"/>
              <w:right w:val="single" w:sz="4" w:space="0" w:color="auto"/>
            </w:tcBorders>
            <w:hideMark/>
          </w:tcPr>
          <w:p w14:paraId="61D411C8" w14:textId="77777777" w:rsidR="001F5A79" w:rsidRPr="009C5807" w:rsidRDefault="001F5A79" w:rsidP="00F47417">
            <w:pPr>
              <w:pStyle w:val="TAC"/>
              <w:rPr>
                <w:lang w:val="en-US"/>
              </w:rPr>
            </w:pPr>
            <w:r w:rsidRPr="009C5807">
              <w:rPr>
                <w:lang w:val="en-US" w:eastAsia="zh-CN"/>
              </w:rPr>
              <w:t>PCMAX_C_</w:t>
            </w:r>
            <w:r w:rsidRPr="009C5807">
              <w:rPr>
                <w:lang w:val="en-US"/>
              </w:rPr>
              <w:t>02</w:t>
            </w:r>
          </w:p>
        </w:tc>
        <w:tc>
          <w:tcPr>
            <w:tcW w:w="4111" w:type="dxa"/>
            <w:tcBorders>
              <w:top w:val="single" w:sz="4" w:space="0" w:color="auto"/>
              <w:left w:val="single" w:sz="4" w:space="0" w:color="auto"/>
              <w:bottom w:val="single" w:sz="4" w:space="0" w:color="auto"/>
              <w:right w:val="single" w:sz="4" w:space="0" w:color="auto"/>
            </w:tcBorders>
            <w:hideMark/>
          </w:tcPr>
          <w:p w14:paraId="1FBB0F88" w14:textId="77777777" w:rsidR="001F5A79" w:rsidRPr="009C5807" w:rsidRDefault="001F5A79" w:rsidP="00F47417">
            <w:pPr>
              <w:pStyle w:val="TAC"/>
              <w:rPr>
                <w:lang w:val="en-US"/>
              </w:rPr>
            </w:pPr>
            <w:r w:rsidRPr="009C5807">
              <w:rPr>
                <w:lang w:val="en-US"/>
              </w:rPr>
              <w:t>-</w:t>
            </w:r>
            <w:r w:rsidRPr="009C5807">
              <w:rPr>
                <w:lang w:val="en-US" w:eastAsia="zh-CN"/>
              </w:rPr>
              <w:t>2</w:t>
            </w:r>
            <w:r w:rsidRPr="009C5807">
              <w:rPr>
                <w:lang w:val="en-US"/>
              </w:rPr>
              <w:t xml:space="preserve">8 </w:t>
            </w:r>
            <w:r w:rsidRPr="009C5807">
              <w:rPr>
                <w:lang w:val="en-US"/>
              </w:rPr>
              <w:sym w:font="Symbol" w:char="F0A3"/>
            </w:r>
            <w:r w:rsidRPr="009C5807">
              <w:rPr>
                <w:lang w:val="en-US"/>
              </w:rPr>
              <w:t xml:space="preserve"> P</w:t>
            </w:r>
            <w:r w:rsidRPr="009C5807">
              <w:rPr>
                <w:vertAlign w:val="subscript"/>
                <w:lang w:val="en-US"/>
              </w:rPr>
              <w:t>CMAX,c,f</w:t>
            </w:r>
            <w:r w:rsidRPr="009C5807">
              <w:rPr>
                <w:lang w:val="en-US"/>
              </w:rPr>
              <w:t xml:space="preserve"> &lt; -</w:t>
            </w:r>
            <w:r w:rsidRPr="009C5807">
              <w:rPr>
                <w:lang w:val="en-US" w:eastAsia="zh-CN"/>
              </w:rPr>
              <w:t>2</w:t>
            </w:r>
            <w:r w:rsidRPr="009C5807">
              <w:rPr>
                <w:lang w:val="en-US"/>
              </w:rPr>
              <w:t>7</w:t>
            </w:r>
          </w:p>
        </w:tc>
        <w:tc>
          <w:tcPr>
            <w:tcW w:w="851" w:type="dxa"/>
            <w:tcBorders>
              <w:top w:val="single" w:sz="4" w:space="0" w:color="auto"/>
              <w:left w:val="single" w:sz="4" w:space="0" w:color="auto"/>
              <w:bottom w:val="single" w:sz="4" w:space="0" w:color="auto"/>
              <w:right w:val="single" w:sz="4" w:space="0" w:color="auto"/>
            </w:tcBorders>
            <w:hideMark/>
          </w:tcPr>
          <w:p w14:paraId="664FA121" w14:textId="77777777" w:rsidR="001F5A79" w:rsidRPr="009C5807" w:rsidRDefault="001F5A79" w:rsidP="00F47417">
            <w:pPr>
              <w:pStyle w:val="TAC"/>
              <w:rPr>
                <w:lang w:val="en-US"/>
              </w:rPr>
            </w:pPr>
            <w:r w:rsidRPr="009C5807">
              <w:rPr>
                <w:lang w:val="en-US"/>
              </w:rPr>
              <w:t>dBm</w:t>
            </w:r>
          </w:p>
        </w:tc>
      </w:tr>
      <w:tr w:rsidR="001F5A79" w:rsidRPr="009C5807" w14:paraId="0900CCB5" w14:textId="77777777" w:rsidTr="00DF3064">
        <w:tc>
          <w:tcPr>
            <w:tcW w:w="2551" w:type="dxa"/>
            <w:tcBorders>
              <w:top w:val="single" w:sz="4" w:space="0" w:color="auto"/>
              <w:left w:val="single" w:sz="4" w:space="0" w:color="auto"/>
              <w:bottom w:val="single" w:sz="4" w:space="0" w:color="auto"/>
              <w:right w:val="single" w:sz="4" w:space="0" w:color="auto"/>
            </w:tcBorders>
            <w:hideMark/>
          </w:tcPr>
          <w:p w14:paraId="57E77C79" w14:textId="77777777" w:rsidR="001F5A79" w:rsidRPr="009C5807" w:rsidRDefault="001F5A79" w:rsidP="00F47417">
            <w:pPr>
              <w:pStyle w:val="TAC"/>
              <w:rPr>
                <w:lang w:val="en-US"/>
              </w:rPr>
            </w:pPr>
            <w:r w:rsidRPr="009C5807">
              <w:rPr>
                <w:lang w:val="en-US"/>
              </w:rPr>
              <w:t>…</w:t>
            </w:r>
          </w:p>
        </w:tc>
        <w:tc>
          <w:tcPr>
            <w:tcW w:w="4111" w:type="dxa"/>
            <w:tcBorders>
              <w:top w:val="single" w:sz="4" w:space="0" w:color="auto"/>
              <w:left w:val="single" w:sz="4" w:space="0" w:color="auto"/>
              <w:bottom w:val="single" w:sz="4" w:space="0" w:color="auto"/>
              <w:right w:val="single" w:sz="4" w:space="0" w:color="auto"/>
            </w:tcBorders>
            <w:hideMark/>
          </w:tcPr>
          <w:p w14:paraId="669F0758" w14:textId="77777777" w:rsidR="001F5A79" w:rsidRPr="009C5807" w:rsidRDefault="001F5A79" w:rsidP="00F47417">
            <w:pPr>
              <w:pStyle w:val="TAC"/>
              <w:rPr>
                <w:lang w:val="en-US"/>
              </w:rPr>
            </w:pPr>
            <w:r w:rsidRPr="009C5807">
              <w:rPr>
                <w:lang w:val="en-US"/>
              </w:rPr>
              <w:t>…</w:t>
            </w:r>
          </w:p>
        </w:tc>
        <w:tc>
          <w:tcPr>
            <w:tcW w:w="851" w:type="dxa"/>
            <w:tcBorders>
              <w:top w:val="single" w:sz="4" w:space="0" w:color="auto"/>
              <w:left w:val="single" w:sz="4" w:space="0" w:color="auto"/>
              <w:bottom w:val="single" w:sz="4" w:space="0" w:color="auto"/>
              <w:right w:val="single" w:sz="4" w:space="0" w:color="auto"/>
            </w:tcBorders>
            <w:hideMark/>
          </w:tcPr>
          <w:p w14:paraId="7DE9AF8E" w14:textId="77777777" w:rsidR="001F5A79" w:rsidRPr="009C5807" w:rsidRDefault="001F5A79" w:rsidP="00F47417">
            <w:pPr>
              <w:pStyle w:val="TAC"/>
              <w:rPr>
                <w:lang w:val="en-US"/>
              </w:rPr>
            </w:pPr>
            <w:r w:rsidRPr="009C5807">
              <w:rPr>
                <w:lang w:val="en-US"/>
              </w:rPr>
              <w:t>…</w:t>
            </w:r>
          </w:p>
        </w:tc>
      </w:tr>
      <w:tr w:rsidR="001F5A79" w:rsidRPr="009C5807" w14:paraId="25821A30" w14:textId="77777777" w:rsidTr="00DF3064">
        <w:tc>
          <w:tcPr>
            <w:tcW w:w="2551" w:type="dxa"/>
            <w:tcBorders>
              <w:top w:val="single" w:sz="4" w:space="0" w:color="auto"/>
              <w:left w:val="single" w:sz="4" w:space="0" w:color="auto"/>
              <w:bottom w:val="single" w:sz="4" w:space="0" w:color="auto"/>
              <w:right w:val="single" w:sz="4" w:space="0" w:color="auto"/>
            </w:tcBorders>
            <w:hideMark/>
          </w:tcPr>
          <w:p w14:paraId="7EB9E170" w14:textId="77777777" w:rsidR="001F5A79" w:rsidRPr="009C5807" w:rsidRDefault="001F5A79" w:rsidP="00F47417">
            <w:pPr>
              <w:pStyle w:val="TAC"/>
              <w:rPr>
                <w:lang w:val="en-US"/>
              </w:rPr>
            </w:pPr>
            <w:r w:rsidRPr="009C5807">
              <w:rPr>
                <w:lang w:val="en-US" w:eastAsia="zh-CN"/>
              </w:rPr>
              <w:t>PCMAX_C_61</w:t>
            </w:r>
          </w:p>
        </w:tc>
        <w:tc>
          <w:tcPr>
            <w:tcW w:w="4111" w:type="dxa"/>
            <w:tcBorders>
              <w:top w:val="single" w:sz="4" w:space="0" w:color="auto"/>
              <w:left w:val="single" w:sz="4" w:space="0" w:color="auto"/>
              <w:bottom w:val="single" w:sz="4" w:space="0" w:color="auto"/>
              <w:right w:val="single" w:sz="4" w:space="0" w:color="auto"/>
            </w:tcBorders>
            <w:hideMark/>
          </w:tcPr>
          <w:p w14:paraId="3C0A93E7" w14:textId="77777777" w:rsidR="001F5A79" w:rsidRPr="009C5807" w:rsidRDefault="001F5A79" w:rsidP="00F47417">
            <w:pPr>
              <w:pStyle w:val="TAC"/>
              <w:rPr>
                <w:lang w:val="en-US"/>
              </w:rPr>
            </w:pPr>
            <w:r w:rsidRPr="009C5807">
              <w:rPr>
                <w:lang w:val="en-US"/>
              </w:rPr>
              <w:t>3</w:t>
            </w:r>
            <w:r w:rsidRPr="009C5807">
              <w:rPr>
                <w:lang w:val="en-US" w:eastAsia="zh-CN"/>
              </w:rPr>
              <w:t>1</w:t>
            </w:r>
            <w:r w:rsidRPr="009C5807">
              <w:rPr>
                <w:lang w:val="en-US"/>
              </w:rPr>
              <w:t xml:space="preserve"> </w:t>
            </w:r>
            <w:r w:rsidRPr="009C5807">
              <w:rPr>
                <w:lang w:val="en-US"/>
              </w:rPr>
              <w:sym w:font="Symbol" w:char="F0A3"/>
            </w:r>
            <w:r w:rsidRPr="009C5807">
              <w:rPr>
                <w:lang w:val="en-US"/>
              </w:rPr>
              <w:t xml:space="preserve"> P</w:t>
            </w:r>
            <w:r w:rsidRPr="009C5807">
              <w:rPr>
                <w:vertAlign w:val="subscript"/>
                <w:lang w:val="en-US"/>
              </w:rPr>
              <w:t>CMAX,c,f</w:t>
            </w:r>
            <w:r w:rsidRPr="009C5807">
              <w:rPr>
                <w:lang w:val="en-US"/>
              </w:rPr>
              <w:t xml:space="preserve"> &lt; 3</w:t>
            </w:r>
            <w:r w:rsidRPr="009C5807">
              <w:rPr>
                <w:lang w:val="en-US" w:eastAsia="zh-CN"/>
              </w:rPr>
              <w:t>2</w:t>
            </w:r>
          </w:p>
        </w:tc>
        <w:tc>
          <w:tcPr>
            <w:tcW w:w="851" w:type="dxa"/>
            <w:tcBorders>
              <w:top w:val="single" w:sz="4" w:space="0" w:color="auto"/>
              <w:left w:val="single" w:sz="4" w:space="0" w:color="auto"/>
              <w:bottom w:val="single" w:sz="4" w:space="0" w:color="auto"/>
              <w:right w:val="single" w:sz="4" w:space="0" w:color="auto"/>
            </w:tcBorders>
            <w:hideMark/>
          </w:tcPr>
          <w:p w14:paraId="7CD8D576" w14:textId="77777777" w:rsidR="001F5A79" w:rsidRPr="009C5807" w:rsidRDefault="001F5A79" w:rsidP="00F47417">
            <w:pPr>
              <w:pStyle w:val="TAC"/>
              <w:rPr>
                <w:lang w:val="en-US"/>
              </w:rPr>
            </w:pPr>
            <w:r w:rsidRPr="009C5807">
              <w:rPr>
                <w:lang w:val="en-US"/>
              </w:rPr>
              <w:t>dBm</w:t>
            </w:r>
          </w:p>
        </w:tc>
      </w:tr>
      <w:tr w:rsidR="001F5A79" w:rsidRPr="009C5807" w14:paraId="54A4DE9D" w14:textId="77777777" w:rsidTr="00DF3064">
        <w:tc>
          <w:tcPr>
            <w:tcW w:w="2551" w:type="dxa"/>
            <w:tcBorders>
              <w:top w:val="single" w:sz="4" w:space="0" w:color="auto"/>
              <w:left w:val="single" w:sz="4" w:space="0" w:color="auto"/>
              <w:bottom w:val="single" w:sz="4" w:space="0" w:color="auto"/>
              <w:right w:val="single" w:sz="4" w:space="0" w:color="auto"/>
            </w:tcBorders>
            <w:hideMark/>
          </w:tcPr>
          <w:p w14:paraId="0B3362E8" w14:textId="77777777" w:rsidR="001F5A79" w:rsidRPr="009C5807" w:rsidRDefault="001F5A79" w:rsidP="00F47417">
            <w:pPr>
              <w:pStyle w:val="TAC"/>
              <w:rPr>
                <w:lang w:val="en-US"/>
              </w:rPr>
            </w:pPr>
            <w:r w:rsidRPr="009C5807">
              <w:rPr>
                <w:lang w:val="en-US" w:eastAsia="zh-CN"/>
              </w:rPr>
              <w:t>PCMAX_C_62</w:t>
            </w:r>
          </w:p>
        </w:tc>
        <w:tc>
          <w:tcPr>
            <w:tcW w:w="4111" w:type="dxa"/>
            <w:tcBorders>
              <w:top w:val="single" w:sz="4" w:space="0" w:color="auto"/>
              <w:left w:val="single" w:sz="4" w:space="0" w:color="auto"/>
              <w:bottom w:val="single" w:sz="4" w:space="0" w:color="auto"/>
              <w:right w:val="single" w:sz="4" w:space="0" w:color="auto"/>
            </w:tcBorders>
            <w:hideMark/>
          </w:tcPr>
          <w:p w14:paraId="4D660BFD" w14:textId="77777777" w:rsidR="001F5A79" w:rsidRPr="009C5807" w:rsidRDefault="001F5A79" w:rsidP="00F47417">
            <w:pPr>
              <w:pStyle w:val="TAC"/>
              <w:rPr>
                <w:lang w:val="en-US"/>
              </w:rPr>
            </w:pPr>
            <w:r w:rsidRPr="009C5807">
              <w:rPr>
                <w:lang w:val="en-US"/>
              </w:rPr>
              <w:t>3</w:t>
            </w:r>
            <w:r w:rsidRPr="009C5807">
              <w:rPr>
                <w:lang w:val="en-US" w:eastAsia="zh-CN"/>
              </w:rPr>
              <w:t>2</w:t>
            </w:r>
            <w:r w:rsidRPr="009C5807">
              <w:rPr>
                <w:lang w:val="en-US"/>
              </w:rPr>
              <w:t xml:space="preserve"> </w:t>
            </w:r>
            <w:r w:rsidRPr="009C5807">
              <w:rPr>
                <w:lang w:val="en-US"/>
              </w:rPr>
              <w:sym w:font="Symbol" w:char="F0A3"/>
            </w:r>
            <w:r w:rsidRPr="009C5807">
              <w:rPr>
                <w:lang w:val="en-US"/>
              </w:rPr>
              <w:t xml:space="preserve"> P</w:t>
            </w:r>
            <w:r w:rsidRPr="009C5807">
              <w:rPr>
                <w:vertAlign w:val="subscript"/>
                <w:lang w:val="en-US"/>
              </w:rPr>
              <w:t>CMAX,c,f</w:t>
            </w:r>
            <w:r w:rsidRPr="009C5807">
              <w:rPr>
                <w:lang w:val="en-US"/>
              </w:rPr>
              <w:t xml:space="preserve"> &lt; 3</w:t>
            </w:r>
            <w:r w:rsidRPr="009C5807">
              <w:rPr>
                <w:lang w:val="en-US" w:eastAsia="zh-CN"/>
              </w:rPr>
              <w:t>3</w:t>
            </w:r>
          </w:p>
        </w:tc>
        <w:tc>
          <w:tcPr>
            <w:tcW w:w="851" w:type="dxa"/>
            <w:tcBorders>
              <w:top w:val="single" w:sz="4" w:space="0" w:color="auto"/>
              <w:left w:val="single" w:sz="4" w:space="0" w:color="auto"/>
              <w:bottom w:val="single" w:sz="4" w:space="0" w:color="auto"/>
              <w:right w:val="single" w:sz="4" w:space="0" w:color="auto"/>
            </w:tcBorders>
            <w:hideMark/>
          </w:tcPr>
          <w:p w14:paraId="5EE6BB1B" w14:textId="77777777" w:rsidR="001F5A79" w:rsidRPr="009C5807" w:rsidRDefault="001F5A79" w:rsidP="00F47417">
            <w:pPr>
              <w:pStyle w:val="TAC"/>
              <w:rPr>
                <w:lang w:val="en-US"/>
              </w:rPr>
            </w:pPr>
            <w:r w:rsidRPr="009C5807">
              <w:rPr>
                <w:lang w:val="en-US"/>
              </w:rPr>
              <w:t>dBm</w:t>
            </w:r>
          </w:p>
        </w:tc>
      </w:tr>
      <w:tr w:rsidR="001F5A79" w:rsidRPr="009C5807" w14:paraId="75C4984B" w14:textId="77777777" w:rsidTr="00DF3064">
        <w:tc>
          <w:tcPr>
            <w:tcW w:w="2551" w:type="dxa"/>
            <w:tcBorders>
              <w:top w:val="single" w:sz="4" w:space="0" w:color="auto"/>
              <w:left w:val="single" w:sz="4" w:space="0" w:color="auto"/>
              <w:bottom w:val="single" w:sz="4" w:space="0" w:color="auto"/>
              <w:right w:val="single" w:sz="4" w:space="0" w:color="auto"/>
            </w:tcBorders>
            <w:hideMark/>
          </w:tcPr>
          <w:p w14:paraId="53FD04C6" w14:textId="77777777" w:rsidR="001F5A79" w:rsidRPr="009C5807" w:rsidRDefault="001F5A79" w:rsidP="00F47417">
            <w:pPr>
              <w:pStyle w:val="TAC"/>
              <w:rPr>
                <w:lang w:val="en-US"/>
              </w:rPr>
            </w:pPr>
            <w:r w:rsidRPr="009C5807">
              <w:rPr>
                <w:lang w:val="en-US" w:eastAsia="zh-CN"/>
              </w:rPr>
              <w:t>PCMAX_C_63</w:t>
            </w:r>
          </w:p>
        </w:tc>
        <w:tc>
          <w:tcPr>
            <w:tcW w:w="4111" w:type="dxa"/>
            <w:tcBorders>
              <w:top w:val="single" w:sz="4" w:space="0" w:color="auto"/>
              <w:left w:val="single" w:sz="4" w:space="0" w:color="auto"/>
              <w:bottom w:val="single" w:sz="4" w:space="0" w:color="auto"/>
              <w:right w:val="single" w:sz="4" w:space="0" w:color="auto"/>
            </w:tcBorders>
            <w:hideMark/>
          </w:tcPr>
          <w:p w14:paraId="2CAD14AB" w14:textId="77777777" w:rsidR="001F5A79" w:rsidRPr="009C5807" w:rsidRDefault="001F5A79" w:rsidP="00F47417">
            <w:pPr>
              <w:pStyle w:val="TAC"/>
              <w:rPr>
                <w:lang w:val="en-US"/>
              </w:rPr>
            </w:pPr>
            <w:r w:rsidRPr="009C5807">
              <w:rPr>
                <w:lang w:val="en-US"/>
              </w:rPr>
              <w:t>3</w:t>
            </w:r>
            <w:r w:rsidRPr="009C5807">
              <w:rPr>
                <w:lang w:val="en-US" w:eastAsia="zh-CN"/>
              </w:rPr>
              <w:t>3</w:t>
            </w:r>
            <w:r w:rsidRPr="009C5807">
              <w:rPr>
                <w:lang w:val="en-US"/>
              </w:rPr>
              <w:t xml:space="preserve"> </w:t>
            </w:r>
            <w:r w:rsidRPr="009C5807">
              <w:rPr>
                <w:lang w:val="en-US"/>
              </w:rPr>
              <w:sym w:font="Symbol" w:char="F0A3"/>
            </w:r>
            <w:r w:rsidRPr="009C5807">
              <w:rPr>
                <w:lang w:val="en-US"/>
              </w:rPr>
              <w:t xml:space="preserve"> P</w:t>
            </w:r>
            <w:r w:rsidRPr="009C5807">
              <w:rPr>
                <w:vertAlign w:val="subscript"/>
                <w:lang w:val="en-US"/>
              </w:rPr>
              <w:t>CMAX,c,f</w:t>
            </w:r>
          </w:p>
        </w:tc>
        <w:tc>
          <w:tcPr>
            <w:tcW w:w="851" w:type="dxa"/>
            <w:tcBorders>
              <w:top w:val="single" w:sz="4" w:space="0" w:color="auto"/>
              <w:left w:val="single" w:sz="4" w:space="0" w:color="auto"/>
              <w:bottom w:val="single" w:sz="4" w:space="0" w:color="auto"/>
              <w:right w:val="single" w:sz="4" w:space="0" w:color="auto"/>
            </w:tcBorders>
            <w:hideMark/>
          </w:tcPr>
          <w:p w14:paraId="06FEBDD0" w14:textId="77777777" w:rsidR="001F5A79" w:rsidRPr="009C5807" w:rsidRDefault="001F5A79" w:rsidP="00F47417">
            <w:pPr>
              <w:pStyle w:val="TAC"/>
              <w:rPr>
                <w:lang w:val="en-US"/>
              </w:rPr>
            </w:pPr>
            <w:r w:rsidRPr="009C5807">
              <w:rPr>
                <w:lang w:val="en-US"/>
              </w:rPr>
              <w:t>dBm</w:t>
            </w:r>
          </w:p>
        </w:tc>
      </w:tr>
    </w:tbl>
    <w:p w14:paraId="12137D3E" w14:textId="77777777" w:rsidR="001F5A79" w:rsidRPr="009C5807" w:rsidRDefault="001F5A79" w:rsidP="001F5A79">
      <w:pPr>
        <w:rPr>
          <w:noProof/>
        </w:rPr>
      </w:pPr>
    </w:p>
    <w:p w14:paraId="2B1168CC" w14:textId="77777777" w:rsidR="0058457E" w:rsidRPr="009C5807" w:rsidRDefault="0058457E" w:rsidP="0058457E">
      <w:pPr>
        <w:pStyle w:val="Heading3"/>
        <w:rPr>
          <w:lang w:val="en-US"/>
        </w:rPr>
      </w:pPr>
      <w:r w:rsidRPr="009C5807">
        <w:rPr>
          <w:lang w:val="en-US"/>
        </w:rPr>
        <w:t>10.1.19</w:t>
      </w:r>
      <w:r w:rsidRPr="009C5807">
        <w:rPr>
          <w:lang w:val="en-US"/>
        </w:rPr>
        <w:tab/>
        <w:t>L1-RSRP accuracy requirements for FR1</w:t>
      </w:r>
    </w:p>
    <w:p w14:paraId="55EE11DB" w14:textId="64EF649B" w:rsidR="0058457E" w:rsidRDefault="0058457E" w:rsidP="00B018D8">
      <w:pPr>
        <w:pStyle w:val="Heading4"/>
        <w:rPr>
          <w:lang w:val="en-US"/>
        </w:rPr>
      </w:pPr>
      <w:r w:rsidRPr="009C5807">
        <w:rPr>
          <w:lang w:val="en-US"/>
        </w:rPr>
        <w:t>10.1.19.1</w:t>
      </w:r>
      <w:r w:rsidRPr="009C5807">
        <w:rPr>
          <w:lang w:val="en-US"/>
        </w:rPr>
        <w:tab/>
        <w:t>SSB based L1-RSRP accuracy requirements</w:t>
      </w:r>
    </w:p>
    <w:p w14:paraId="4EF37C4E" w14:textId="3B4AFFB6" w:rsidR="00357693" w:rsidRPr="00357693" w:rsidRDefault="00357693" w:rsidP="00357693">
      <w:pPr>
        <w:rPr>
          <w:lang w:val="en-US"/>
        </w:rPr>
      </w:pPr>
      <w:r w:rsidRPr="009C5807">
        <w:rPr>
          <w:rFonts w:cs="v4.2.0"/>
        </w:rPr>
        <w:t>Unless otherwise specified, the requirements for absolute accuracy</w:t>
      </w:r>
      <w:r>
        <w:rPr>
          <w:rFonts w:cs="v4.2.0"/>
        </w:rPr>
        <w:t xml:space="preserve"> and relative accuracy</w:t>
      </w:r>
      <w:r w:rsidRPr="009C5807">
        <w:rPr>
          <w:rFonts w:cs="v4.2.0"/>
        </w:rPr>
        <w:t xml:space="preserve"> of </w:t>
      </w:r>
      <w:r w:rsidRPr="009C5807">
        <w:rPr>
          <w:rFonts w:cs="v4.2.0"/>
          <w:lang w:eastAsia="zh-CN"/>
        </w:rPr>
        <w:t>SSB based L1-</w:t>
      </w:r>
      <w:r w:rsidRPr="009C5807">
        <w:rPr>
          <w:rFonts w:cs="v4.2.0"/>
        </w:rPr>
        <w:t>RSRP in this clause apply to all SSBs of the serving cell configured for L1-RSRP measurement</w:t>
      </w:r>
      <w:r>
        <w:rPr>
          <w:rFonts w:cs="v4.2.0"/>
        </w:rPr>
        <w:t xml:space="preserve"> and all SSBs of cell(s) with different PCI from serving cell configured for L1-RSRP measurement in FR1</w:t>
      </w:r>
      <w:r w:rsidRPr="009C5807">
        <w:rPr>
          <w:rFonts w:cs="v4.2.0"/>
        </w:rPr>
        <w:t>.</w:t>
      </w:r>
    </w:p>
    <w:p w14:paraId="292FDDCB" w14:textId="77777777" w:rsidR="0058457E" w:rsidRPr="009C5807" w:rsidRDefault="0058457E" w:rsidP="00B018D8">
      <w:pPr>
        <w:pStyle w:val="Heading5"/>
      </w:pPr>
      <w:r w:rsidRPr="009C5807">
        <w:t>10.1.19.1.1</w:t>
      </w:r>
      <w:r w:rsidRPr="009C5807">
        <w:tab/>
        <w:t>Absolute Accuracy</w:t>
      </w:r>
    </w:p>
    <w:p w14:paraId="75108B16" w14:textId="77777777" w:rsidR="0058457E" w:rsidRPr="009C5807" w:rsidRDefault="0058457E" w:rsidP="0058457E">
      <w:pPr>
        <w:rPr>
          <w:rFonts w:cs="v4.2.0"/>
        </w:rPr>
      </w:pPr>
      <w:r w:rsidRPr="009C5807">
        <w:rPr>
          <w:rFonts w:cs="v4.2.0"/>
        </w:rPr>
        <w:t xml:space="preserve">The accuracy requirements in Table </w:t>
      </w:r>
      <w:r w:rsidRPr="009C5807">
        <w:rPr>
          <w:rFonts w:cs="v4.2.0"/>
          <w:lang w:eastAsia="zh-CN"/>
        </w:rPr>
        <w:t>10.1.19.1.1</w:t>
      </w:r>
      <w:r w:rsidRPr="009C5807">
        <w:rPr>
          <w:rFonts w:cs="v4.2.0"/>
        </w:rPr>
        <w:t>-1 are valid under the following conditions:</w:t>
      </w:r>
    </w:p>
    <w:p w14:paraId="16B4B432" w14:textId="77777777" w:rsidR="0058457E" w:rsidRPr="009C5807" w:rsidRDefault="0058457E" w:rsidP="0093237A">
      <w:pPr>
        <w:pStyle w:val="B10"/>
        <w:rPr>
          <w:rFonts w:eastAsia="PMingLiU"/>
        </w:rPr>
      </w:pPr>
      <w:r w:rsidRPr="009C5807">
        <w:t>-</w:t>
      </w:r>
      <w:r w:rsidRPr="009C5807">
        <w:tab/>
        <w:t>Conditions defined in clause 7.3 of TS 38.101-1 [18] for reference sensitivity are fulfilled.</w:t>
      </w:r>
    </w:p>
    <w:p w14:paraId="2D71968A" w14:textId="77777777" w:rsidR="0058457E" w:rsidRPr="009C5807" w:rsidRDefault="0058457E" w:rsidP="0093237A">
      <w:pPr>
        <w:pStyle w:val="B10"/>
      </w:pPr>
      <w:r w:rsidRPr="009C5807">
        <w:rPr>
          <w:rFonts w:eastAsia="PMingLiU"/>
        </w:rPr>
        <w:t>-</w:t>
      </w:r>
      <w:r w:rsidRPr="009C5807">
        <w:rPr>
          <w:rFonts w:eastAsia="PMingLiU"/>
        </w:rPr>
        <w:tab/>
      </w:r>
      <w:r w:rsidRPr="009C5807">
        <w:t xml:space="preserve">Conditions for L1-RSRP measurements are fulfilled according to Annex B.2.4.1 for a corresponding Band </w:t>
      </w:r>
      <w:r w:rsidRPr="009C5807">
        <w:rPr>
          <w:rFonts w:eastAsia="PMingLiU"/>
        </w:rPr>
        <w:t>for each relevant SSB</w:t>
      </w:r>
      <w:r w:rsidRPr="009C5807">
        <w:t>.</w:t>
      </w:r>
    </w:p>
    <w:p w14:paraId="79A904B2" w14:textId="77777777" w:rsidR="0058457E" w:rsidRPr="009C5807" w:rsidRDefault="0058457E" w:rsidP="0093237A">
      <w:pPr>
        <w:pStyle w:val="TH"/>
      </w:pPr>
      <w:r w:rsidRPr="009C5807">
        <w:t>Table 10.1.19.1.1-1: SSB based L1-RSRP absolute accuracy in FR1</w:t>
      </w:r>
    </w:p>
    <w:tbl>
      <w:tblPr>
        <w:tblW w:w="10172" w:type="dxa"/>
        <w:jc w:val="center"/>
        <w:tblLook w:val="01E0" w:firstRow="1" w:lastRow="1" w:firstColumn="1" w:lastColumn="1" w:noHBand="0" w:noVBand="0"/>
      </w:tblPr>
      <w:tblGrid>
        <w:gridCol w:w="1036"/>
        <w:gridCol w:w="1126"/>
        <w:gridCol w:w="825"/>
        <w:gridCol w:w="2267"/>
        <w:gridCol w:w="982"/>
        <w:gridCol w:w="1056"/>
        <w:gridCol w:w="1440"/>
        <w:gridCol w:w="1440"/>
      </w:tblGrid>
      <w:tr w:rsidR="0058457E" w:rsidRPr="009C5807" w14:paraId="23516DE4" w14:textId="77777777" w:rsidTr="00B4408D">
        <w:trPr>
          <w:jc w:val="center"/>
        </w:trPr>
        <w:tc>
          <w:tcPr>
            <w:tcW w:w="216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64261553" w14:textId="77777777" w:rsidR="0058457E" w:rsidRPr="009C5807" w:rsidRDefault="0058457E" w:rsidP="00441D94">
            <w:pPr>
              <w:pStyle w:val="TAH"/>
            </w:pPr>
            <w:r w:rsidRPr="009C5807">
              <w:t>Accuracy</w:t>
            </w:r>
          </w:p>
        </w:tc>
        <w:tc>
          <w:tcPr>
            <w:tcW w:w="801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240D0A50" w14:textId="77777777" w:rsidR="0058457E" w:rsidRPr="009C5807" w:rsidRDefault="0058457E" w:rsidP="00441D94">
            <w:pPr>
              <w:pStyle w:val="TAH"/>
            </w:pPr>
            <w:r w:rsidRPr="009C5807">
              <w:t>Conditions</w:t>
            </w:r>
          </w:p>
        </w:tc>
      </w:tr>
      <w:tr w:rsidR="0058457E" w:rsidRPr="009C5807" w14:paraId="25DC1B9E" w14:textId="77777777" w:rsidTr="00F47417">
        <w:trPr>
          <w:jc w:val="center"/>
        </w:trPr>
        <w:tc>
          <w:tcPr>
            <w:tcW w:w="1036" w:type="dxa"/>
            <w:tcBorders>
              <w:top w:val="single" w:sz="6" w:space="0" w:color="auto"/>
              <w:left w:val="single" w:sz="4" w:space="0" w:color="auto"/>
              <w:right w:val="single" w:sz="6" w:space="0" w:color="auto"/>
            </w:tcBorders>
            <w:shd w:val="clear" w:color="auto" w:fill="auto"/>
            <w:vAlign w:val="center"/>
          </w:tcPr>
          <w:p w14:paraId="05F17A9B" w14:textId="77777777" w:rsidR="0058457E" w:rsidRPr="009C5807" w:rsidRDefault="0058457E" w:rsidP="00441D94">
            <w:pPr>
              <w:pStyle w:val="TAH"/>
            </w:pPr>
            <w:r w:rsidRPr="009C5807">
              <w:t>Normal condition</w:t>
            </w:r>
          </w:p>
        </w:tc>
        <w:tc>
          <w:tcPr>
            <w:tcW w:w="1126" w:type="dxa"/>
            <w:tcBorders>
              <w:top w:val="single" w:sz="6" w:space="0" w:color="auto"/>
              <w:left w:val="single" w:sz="6" w:space="0" w:color="auto"/>
              <w:right w:val="single" w:sz="6" w:space="0" w:color="auto"/>
            </w:tcBorders>
            <w:shd w:val="clear" w:color="auto" w:fill="auto"/>
            <w:vAlign w:val="center"/>
          </w:tcPr>
          <w:p w14:paraId="1BF93752" w14:textId="77777777" w:rsidR="0058457E" w:rsidRPr="009C5807" w:rsidRDefault="0058457E" w:rsidP="00441D94">
            <w:pPr>
              <w:pStyle w:val="TAH"/>
            </w:pPr>
            <w:r w:rsidRPr="009C5807">
              <w:t>Extreme condition</w:t>
            </w:r>
          </w:p>
        </w:tc>
        <w:tc>
          <w:tcPr>
            <w:tcW w:w="825" w:type="dxa"/>
            <w:tcBorders>
              <w:top w:val="single" w:sz="6" w:space="0" w:color="auto"/>
              <w:left w:val="single" w:sz="6" w:space="0" w:color="auto"/>
              <w:right w:val="single" w:sz="6" w:space="0" w:color="auto"/>
            </w:tcBorders>
            <w:shd w:val="clear" w:color="auto" w:fill="auto"/>
            <w:vAlign w:val="center"/>
          </w:tcPr>
          <w:p w14:paraId="42CC024E" w14:textId="77777777" w:rsidR="0058457E" w:rsidRPr="009C5807" w:rsidRDefault="0058457E" w:rsidP="00441D94">
            <w:pPr>
              <w:pStyle w:val="TAH"/>
            </w:pPr>
            <w:r w:rsidRPr="009C5807">
              <w:t>SSB Ês/Iot</w:t>
            </w:r>
          </w:p>
        </w:tc>
        <w:tc>
          <w:tcPr>
            <w:tcW w:w="7185"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2781490C" w14:textId="77777777" w:rsidR="0058457E" w:rsidRPr="009C5807" w:rsidRDefault="0058457E" w:rsidP="00441D94">
            <w:pPr>
              <w:pStyle w:val="TAH"/>
            </w:pPr>
            <w:r w:rsidRPr="009C5807">
              <w:t>Io</w:t>
            </w:r>
            <w:r w:rsidRPr="009C5807">
              <w:rPr>
                <w:vertAlign w:val="superscript"/>
              </w:rPr>
              <w:t xml:space="preserve"> Note 1</w:t>
            </w:r>
            <w:r w:rsidRPr="009C5807">
              <w:t xml:space="preserve"> range</w:t>
            </w:r>
          </w:p>
        </w:tc>
      </w:tr>
      <w:tr w:rsidR="0058457E" w:rsidRPr="009C5807" w14:paraId="2E17F596" w14:textId="77777777" w:rsidTr="00F47417">
        <w:trPr>
          <w:jc w:val="center"/>
        </w:trPr>
        <w:tc>
          <w:tcPr>
            <w:tcW w:w="1036" w:type="dxa"/>
            <w:tcBorders>
              <w:left w:val="single" w:sz="4" w:space="0" w:color="auto"/>
              <w:bottom w:val="single" w:sz="6" w:space="0" w:color="auto"/>
              <w:right w:val="single" w:sz="6" w:space="0" w:color="auto"/>
            </w:tcBorders>
            <w:shd w:val="clear" w:color="auto" w:fill="auto"/>
            <w:vAlign w:val="center"/>
          </w:tcPr>
          <w:p w14:paraId="081C301A" w14:textId="77777777" w:rsidR="0058457E" w:rsidRPr="009C5807" w:rsidRDefault="0058457E" w:rsidP="00441D94">
            <w:pPr>
              <w:pStyle w:val="TAH"/>
            </w:pPr>
          </w:p>
        </w:tc>
        <w:tc>
          <w:tcPr>
            <w:tcW w:w="1126" w:type="dxa"/>
            <w:tcBorders>
              <w:left w:val="single" w:sz="6" w:space="0" w:color="auto"/>
              <w:bottom w:val="single" w:sz="6" w:space="0" w:color="auto"/>
              <w:right w:val="single" w:sz="6" w:space="0" w:color="auto"/>
            </w:tcBorders>
            <w:shd w:val="clear" w:color="auto" w:fill="auto"/>
            <w:vAlign w:val="center"/>
          </w:tcPr>
          <w:p w14:paraId="3C6E15A9" w14:textId="77777777" w:rsidR="0058457E" w:rsidRPr="009C5807" w:rsidRDefault="0058457E" w:rsidP="00441D94">
            <w:pPr>
              <w:pStyle w:val="TAH"/>
            </w:pPr>
          </w:p>
        </w:tc>
        <w:tc>
          <w:tcPr>
            <w:tcW w:w="825" w:type="dxa"/>
            <w:tcBorders>
              <w:left w:val="single" w:sz="6" w:space="0" w:color="auto"/>
              <w:bottom w:val="single" w:sz="6" w:space="0" w:color="auto"/>
              <w:right w:val="single" w:sz="6" w:space="0" w:color="auto"/>
            </w:tcBorders>
            <w:shd w:val="clear" w:color="auto" w:fill="auto"/>
            <w:vAlign w:val="center"/>
          </w:tcPr>
          <w:p w14:paraId="6641C16B" w14:textId="77777777" w:rsidR="0058457E" w:rsidRPr="009C5807" w:rsidRDefault="0058457E" w:rsidP="00441D94">
            <w:pPr>
              <w:pStyle w:val="TAH"/>
            </w:pPr>
          </w:p>
        </w:tc>
        <w:tc>
          <w:tcPr>
            <w:tcW w:w="2267" w:type="dxa"/>
            <w:tcBorders>
              <w:top w:val="single" w:sz="6" w:space="0" w:color="auto"/>
              <w:left w:val="single" w:sz="6" w:space="0" w:color="auto"/>
              <w:bottom w:val="single" w:sz="6" w:space="0" w:color="auto"/>
              <w:right w:val="single" w:sz="4" w:space="0" w:color="auto"/>
            </w:tcBorders>
            <w:shd w:val="clear" w:color="auto" w:fill="auto"/>
            <w:vAlign w:val="center"/>
          </w:tcPr>
          <w:p w14:paraId="03A61B96" w14:textId="77777777" w:rsidR="0058457E" w:rsidRPr="009C5807" w:rsidRDefault="0058457E" w:rsidP="00441D94">
            <w:pPr>
              <w:pStyle w:val="TAH"/>
            </w:pPr>
            <w:r w:rsidRPr="009C5807">
              <w:t>NR operating band groups</w:t>
            </w:r>
            <w:r w:rsidRPr="009C5807">
              <w:rPr>
                <w:vertAlign w:val="superscript"/>
              </w:rPr>
              <w:t xml:space="preserve"> Note 2</w:t>
            </w:r>
          </w:p>
        </w:tc>
        <w:tc>
          <w:tcPr>
            <w:tcW w:w="34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167D0AAF" w14:textId="77777777" w:rsidR="0058457E" w:rsidRPr="009C5807" w:rsidRDefault="0058457E" w:rsidP="00441D94">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560F9019" w14:textId="77777777" w:rsidR="0058457E" w:rsidRPr="009C5807" w:rsidRDefault="0058457E" w:rsidP="00441D94">
            <w:pPr>
              <w:pStyle w:val="TAH"/>
            </w:pPr>
            <w:r w:rsidRPr="009C5807">
              <w:t>Maximum Io</w:t>
            </w:r>
          </w:p>
        </w:tc>
      </w:tr>
      <w:tr w:rsidR="0058457E" w:rsidRPr="009C5807" w14:paraId="29417EB9" w14:textId="77777777" w:rsidTr="00F47417">
        <w:trPr>
          <w:trHeight w:val="308"/>
          <w:jc w:val="center"/>
        </w:trPr>
        <w:tc>
          <w:tcPr>
            <w:tcW w:w="1036" w:type="dxa"/>
            <w:tcBorders>
              <w:top w:val="single" w:sz="6" w:space="0" w:color="auto"/>
              <w:left w:val="single" w:sz="4" w:space="0" w:color="auto"/>
              <w:right w:val="single" w:sz="6" w:space="0" w:color="auto"/>
            </w:tcBorders>
            <w:shd w:val="clear" w:color="auto" w:fill="auto"/>
            <w:vAlign w:val="center"/>
          </w:tcPr>
          <w:p w14:paraId="6835418C" w14:textId="77777777" w:rsidR="0058457E" w:rsidRPr="009C5807" w:rsidRDefault="0058457E" w:rsidP="00441D94">
            <w:pPr>
              <w:pStyle w:val="TAH"/>
            </w:pPr>
            <w:r w:rsidRPr="009C5807">
              <w:t>dB</w:t>
            </w:r>
          </w:p>
        </w:tc>
        <w:tc>
          <w:tcPr>
            <w:tcW w:w="1126" w:type="dxa"/>
            <w:tcBorders>
              <w:top w:val="single" w:sz="6" w:space="0" w:color="auto"/>
              <w:left w:val="single" w:sz="6" w:space="0" w:color="auto"/>
              <w:right w:val="single" w:sz="6" w:space="0" w:color="auto"/>
            </w:tcBorders>
            <w:shd w:val="clear" w:color="auto" w:fill="auto"/>
            <w:vAlign w:val="center"/>
          </w:tcPr>
          <w:p w14:paraId="5E2091B1" w14:textId="77777777" w:rsidR="0058457E" w:rsidRPr="009C5807" w:rsidRDefault="0058457E" w:rsidP="00441D94">
            <w:pPr>
              <w:pStyle w:val="TAH"/>
            </w:pPr>
            <w:r w:rsidRPr="009C5807">
              <w:t>dB</w:t>
            </w:r>
          </w:p>
        </w:tc>
        <w:tc>
          <w:tcPr>
            <w:tcW w:w="825" w:type="dxa"/>
            <w:tcBorders>
              <w:top w:val="single" w:sz="6" w:space="0" w:color="auto"/>
              <w:left w:val="single" w:sz="6" w:space="0" w:color="auto"/>
              <w:right w:val="single" w:sz="6" w:space="0" w:color="auto"/>
            </w:tcBorders>
            <w:shd w:val="clear" w:color="auto" w:fill="auto"/>
            <w:vAlign w:val="center"/>
          </w:tcPr>
          <w:p w14:paraId="22821A7B" w14:textId="77777777" w:rsidR="0058457E" w:rsidRPr="009C5807" w:rsidRDefault="0058457E" w:rsidP="00441D94">
            <w:pPr>
              <w:pStyle w:val="TAH"/>
            </w:pPr>
            <w:r w:rsidRPr="009C5807">
              <w:t>dB</w:t>
            </w:r>
          </w:p>
        </w:tc>
        <w:tc>
          <w:tcPr>
            <w:tcW w:w="2267" w:type="dxa"/>
            <w:tcBorders>
              <w:top w:val="single" w:sz="6" w:space="0" w:color="auto"/>
              <w:left w:val="single" w:sz="6" w:space="0" w:color="auto"/>
              <w:right w:val="single" w:sz="4" w:space="0" w:color="auto"/>
            </w:tcBorders>
            <w:shd w:val="clear" w:color="auto" w:fill="auto"/>
            <w:vAlign w:val="center"/>
          </w:tcPr>
          <w:p w14:paraId="743E98BA" w14:textId="77777777" w:rsidR="0058457E" w:rsidRPr="009C5807" w:rsidRDefault="0058457E" w:rsidP="00441D94">
            <w:pPr>
              <w:pStyle w:val="TAH"/>
            </w:pPr>
          </w:p>
        </w:tc>
        <w:tc>
          <w:tcPr>
            <w:tcW w:w="20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207612AE" w14:textId="77777777" w:rsidR="0058457E" w:rsidRPr="009C5807" w:rsidRDefault="0058457E" w:rsidP="00441D94">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6CB76178" w14:textId="77777777" w:rsidR="0058457E" w:rsidRPr="009C5807" w:rsidRDefault="0058457E" w:rsidP="00441D94">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522324A4" w14:textId="77777777" w:rsidR="0058457E" w:rsidRPr="009C5807" w:rsidRDefault="0058457E" w:rsidP="00441D94">
            <w:pPr>
              <w:pStyle w:val="TAH"/>
            </w:pPr>
            <w:r w:rsidRPr="009C5807">
              <w:t>dBm/BW</w:t>
            </w:r>
            <w:r w:rsidRPr="009C5807">
              <w:rPr>
                <w:vertAlign w:val="subscript"/>
              </w:rPr>
              <w:t>Channel</w:t>
            </w:r>
          </w:p>
        </w:tc>
      </w:tr>
      <w:tr w:rsidR="0058457E" w:rsidRPr="009C5807" w14:paraId="1FE24CCF" w14:textId="77777777" w:rsidTr="00485F6E">
        <w:trPr>
          <w:trHeight w:val="307"/>
          <w:jc w:val="center"/>
        </w:trPr>
        <w:tc>
          <w:tcPr>
            <w:tcW w:w="1036" w:type="dxa"/>
            <w:tcBorders>
              <w:left w:val="single" w:sz="4" w:space="0" w:color="auto"/>
              <w:bottom w:val="single" w:sz="6" w:space="0" w:color="auto"/>
              <w:right w:val="single" w:sz="6" w:space="0" w:color="auto"/>
            </w:tcBorders>
            <w:shd w:val="clear" w:color="auto" w:fill="auto"/>
          </w:tcPr>
          <w:p w14:paraId="50A73C33" w14:textId="77777777" w:rsidR="0058457E" w:rsidRPr="009C5807" w:rsidRDefault="0058457E" w:rsidP="00485F6E">
            <w:pPr>
              <w:pStyle w:val="TAH"/>
            </w:pPr>
          </w:p>
        </w:tc>
        <w:tc>
          <w:tcPr>
            <w:tcW w:w="1126" w:type="dxa"/>
            <w:tcBorders>
              <w:left w:val="single" w:sz="6" w:space="0" w:color="auto"/>
              <w:bottom w:val="single" w:sz="6" w:space="0" w:color="auto"/>
              <w:right w:val="single" w:sz="6" w:space="0" w:color="auto"/>
            </w:tcBorders>
            <w:shd w:val="clear" w:color="auto" w:fill="auto"/>
          </w:tcPr>
          <w:p w14:paraId="3ABD44D3" w14:textId="77777777" w:rsidR="0058457E" w:rsidRPr="009C5807" w:rsidRDefault="0058457E" w:rsidP="00485F6E">
            <w:pPr>
              <w:pStyle w:val="TAH"/>
            </w:pPr>
          </w:p>
        </w:tc>
        <w:tc>
          <w:tcPr>
            <w:tcW w:w="825" w:type="dxa"/>
            <w:tcBorders>
              <w:left w:val="single" w:sz="6" w:space="0" w:color="auto"/>
              <w:bottom w:val="single" w:sz="6" w:space="0" w:color="auto"/>
              <w:right w:val="single" w:sz="6" w:space="0" w:color="auto"/>
            </w:tcBorders>
            <w:shd w:val="clear" w:color="auto" w:fill="auto"/>
          </w:tcPr>
          <w:p w14:paraId="0A061365" w14:textId="77777777" w:rsidR="0058457E" w:rsidRPr="009C5807" w:rsidRDefault="0058457E" w:rsidP="00485F6E">
            <w:pPr>
              <w:pStyle w:val="TAH"/>
            </w:pPr>
          </w:p>
        </w:tc>
        <w:tc>
          <w:tcPr>
            <w:tcW w:w="2267" w:type="dxa"/>
            <w:tcBorders>
              <w:left w:val="single" w:sz="6" w:space="0" w:color="auto"/>
              <w:bottom w:val="single" w:sz="6" w:space="0" w:color="auto"/>
              <w:right w:val="single" w:sz="4" w:space="0" w:color="auto"/>
            </w:tcBorders>
            <w:shd w:val="clear" w:color="auto" w:fill="auto"/>
          </w:tcPr>
          <w:p w14:paraId="2622BAC5" w14:textId="77777777" w:rsidR="0058457E" w:rsidRPr="009C5807" w:rsidRDefault="0058457E" w:rsidP="00485F6E">
            <w:pPr>
              <w:pStyle w:val="TAH"/>
            </w:pP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1D63F06F" w14:textId="77777777" w:rsidR="0058457E" w:rsidRPr="009C5807" w:rsidRDefault="0058457E" w:rsidP="00485F6E">
            <w:pPr>
              <w:pStyle w:val="TAH"/>
              <w:rPr>
                <w:rFonts w:cs="Arial"/>
              </w:rPr>
            </w:pPr>
            <w:r w:rsidRPr="009C5807">
              <w:t>SCS</w:t>
            </w:r>
            <w:r w:rsidRPr="009C5807">
              <w:rPr>
                <w:vertAlign w:val="subscript"/>
              </w:rPr>
              <w:t>SSB</w:t>
            </w:r>
            <w:r w:rsidRPr="009C5807">
              <w:rPr>
                <w:rFonts w:cs="Arial"/>
              </w:rPr>
              <w:t xml:space="preserve"> = 15 kHz</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1E0B9623" w14:textId="77777777" w:rsidR="0058457E" w:rsidRPr="009C5807" w:rsidRDefault="0058457E" w:rsidP="00485F6E">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3D8B7EF4" w14:textId="77777777" w:rsidR="0058457E" w:rsidRPr="009C5807" w:rsidRDefault="0058457E" w:rsidP="00485F6E">
            <w:pPr>
              <w:pStyle w:val="TAH"/>
            </w:pPr>
          </w:p>
        </w:tc>
        <w:tc>
          <w:tcPr>
            <w:tcW w:w="1440" w:type="dxa"/>
            <w:tcBorders>
              <w:left w:val="single" w:sz="6" w:space="0" w:color="auto"/>
              <w:bottom w:val="single" w:sz="6" w:space="0" w:color="auto"/>
              <w:right w:val="single" w:sz="4" w:space="0" w:color="auto"/>
            </w:tcBorders>
            <w:shd w:val="clear" w:color="auto" w:fill="auto"/>
          </w:tcPr>
          <w:p w14:paraId="2B921FFF" w14:textId="77777777" w:rsidR="0058457E" w:rsidRPr="009C5807" w:rsidRDefault="0058457E" w:rsidP="00485F6E">
            <w:pPr>
              <w:pStyle w:val="TAH"/>
            </w:pPr>
          </w:p>
        </w:tc>
      </w:tr>
      <w:tr w:rsidR="0058457E" w:rsidRPr="009C5807" w14:paraId="5993AE17" w14:textId="77777777" w:rsidTr="00485F6E">
        <w:trPr>
          <w:jc w:val="center"/>
        </w:trPr>
        <w:tc>
          <w:tcPr>
            <w:tcW w:w="1036" w:type="dxa"/>
            <w:tcBorders>
              <w:top w:val="single" w:sz="6" w:space="0" w:color="auto"/>
              <w:left w:val="single" w:sz="4" w:space="0" w:color="auto"/>
              <w:right w:val="single" w:sz="6" w:space="0" w:color="auto"/>
            </w:tcBorders>
            <w:shd w:val="clear" w:color="auto" w:fill="auto"/>
          </w:tcPr>
          <w:p w14:paraId="47A96C81" w14:textId="258D4CEA" w:rsidR="0058457E" w:rsidRPr="009C5807" w:rsidRDefault="0058457E" w:rsidP="00485F6E">
            <w:pPr>
              <w:pStyle w:val="TAC"/>
            </w:pPr>
          </w:p>
        </w:tc>
        <w:tc>
          <w:tcPr>
            <w:tcW w:w="1126" w:type="dxa"/>
            <w:tcBorders>
              <w:top w:val="single" w:sz="6" w:space="0" w:color="auto"/>
              <w:left w:val="single" w:sz="6" w:space="0" w:color="auto"/>
              <w:right w:val="single" w:sz="6" w:space="0" w:color="auto"/>
            </w:tcBorders>
            <w:shd w:val="clear" w:color="auto" w:fill="auto"/>
          </w:tcPr>
          <w:p w14:paraId="49B45965" w14:textId="5BE2C430" w:rsidR="0058457E" w:rsidRPr="009C5807" w:rsidRDefault="0058457E" w:rsidP="00485F6E">
            <w:pPr>
              <w:pStyle w:val="TAC"/>
            </w:pPr>
          </w:p>
        </w:tc>
        <w:tc>
          <w:tcPr>
            <w:tcW w:w="825" w:type="dxa"/>
            <w:tcBorders>
              <w:top w:val="single" w:sz="6" w:space="0" w:color="auto"/>
              <w:left w:val="single" w:sz="6" w:space="0" w:color="auto"/>
              <w:right w:val="single" w:sz="6" w:space="0" w:color="auto"/>
            </w:tcBorders>
            <w:shd w:val="clear" w:color="auto" w:fill="auto"/>
          </w:tcPr>
          <w:p w14:paraId="26D64AF0" w14:textId="03EDFBD5" w:rsidR="0058457E" w:rsidRPr="009C5807" w:rsidRDefault="0058457E" w:rsidP="00485F6E">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228F9247" w14:textId="5C38C0DE" w:rsidR="0058457E" w:rsidRPr="009C5807" w:rsidRDefault="0058457E" w:rsidP="00485F6E">
            <w:pPr>
              <w:pStyle w:val="TAC"/>
            </w:pPr>
            <w:r w:rsidRPr="009C5807">
              <w:t>NR_FDD_FR1_A, NR_TDD_FR1_A,</w:t>
            </w:r>
            <w:r w:rsidR="00F47417">
              <w:t xml:space="preserve"> </w:t>
            </w:r>
            <w:r w:rsidRPr="009C5807">
              <w:t>NR_SDL_FR1_A</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78EB8169" w14:textId="77777777" w:rsidR="0058457E" w:rsidRPr="009C5807" w:rsidRDefault="0058457E" w:rsidP="00485F6E">
            <w:pPr>
              <w:pStyle w:val="TAC"/>
            </w:pPr>
            <w:r w:rsidRPr="009C5807">
              <w:t>-121</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7DD08E41" w14:textId="77777777" w:rsidR="0058457E" w:rsidRPr="009C5807" w:rsidRDefault="0058457E" w:rsidP="00485F6E">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4EE5038"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58850E2" w14:textId="77777777" w:rsidR="0058457E" w:rsidRPr="009C5807" w:rsidRDefault="0058457E" w:rsidP="00485F6E">
            <w:pPr>
              <w:pStyle w:val="TAC"/>
            </w:pPr>
            <w:r w:rsidRPr="009C5807">
              <w:t>-70</w:t>
            </w:r>
          </w:p>
        </w:tc>
      </w:tr>
      <w:tr w:rsidR="0058457E" w:rsidRPr="009C5807" w14:paraId="0BE27D57" w14:textId="77777777" w:rsidTr="00485F6E">
        <w:trPr>
          <w:jc w:val="center"/>
        </w:trPr>
        <w:tc>
          <w:tcPr>
            <w:tcW w:w="1036" w:type="dxa"/>
            <w:tcBorders>
              <w:left w:val="single" w:sz="4" w:space="0" w:color="auto"/>
              <w:right w:val="single" w:sz="6" w:space="0" w:color="auto"/>
            </w:tcBorders>
            <w:shd w:val="clear" w:color="auto" w:fill="auto"/>
          </w:tcPr>
          <w:p w14:paraId="118A86D8" w14:textId="77777777" w:rsidR="0058457E" w:rsidRPr="009C5807" w:rsidRDefault="0058457E" w:rsidP="00485F6E">
            <w:pPr>
              <w:pStyle w:val="TAC"/>
            </w:pPr>
          </w:p>
        </w:tc>
        <w:tc>
          <w:tcPr>
            <w:tcW w:w="1126" w:type="dxa"/>
            <w:tcBorders>
              <w:left w:val="single" w:sz="6" w:space="0" w:color="auto"/>
              <w:right w:val="single" w:sz="6" w:space="0" w:color="auto"/>
            </w:tcBorders>
            <w:shd w:val="clear" w:color="auto" w:fill="auto"/>
          </w:tcPr>
          <w:p w14:paraId="0A63C1D2" w14:textId="77777777" w:rsidR="0058457E" w:rsidRPr="009C5807" w:rsidRDefault="0058457E" w:rsidP="00485F6E">
            <w:pPr>
              <w:pStyle w:val="TAC"/>
            </w:pPr>
          </w:p>
        </w:tc>
        <w:tc>
          <w:tcPr>
            <w:tcW w:w="825" w:type="dxa"/>
            <w:tcBorders>
              <w:left w:val="single" w:sz="6" w:space="0" w:color="auto"/>
              <w:right w:val="single" w:sz="6" w:space="0" w:color="auto"/>
            </w:tcBorders>
            <w:shd w:val="clear" w:color="auto" w:fill="auto"/>
          </w:tcPr>
          <w:p w14:paraId="300F555B" w14:textId="77777777" w:rsidR="0058457E" w:rsidRPr="009C5807" w:rsidRDefault="0058457E" w:rsidP="00485F6E">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574A4326" w14:textId="77777777" w:rsidR="0058457E" w:rsidRPr="009C5807" w:rsidRDefault="0058457E" w:rsidP="00485F6E">
            <w:pPr>
              <w:pStyle w:val="TAC"/>
            </w:pPr>
            <w:r w:rsidRPr="009C5807">
              <w:t>NR_FDD_FR1_B</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56FEE065" w14:textId="77777777" w:rsidR="0058457E" w:rsidRPr="009C5807" w:rsidRDefault="0058457E" w:rsidP="00485F6E">
            <w:pPr>
              <w:pStyle w:val="TAC"/>
            </w:pPr>
            <w:r w:rsidRPr="009C5807">
              <w:t>-120.5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0AF3697F" w14:textId="77777777" w:rsidR="0058457E" w:rsidRPr="009C5807" w:rsidRDefault="0058457E" w:rsidP="00485F6E">
            <w:pPr>
              <w:pStyle w:val="TAC"/>
              <w:rPr>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722E8B5"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1462ABD" w14:textId="77777777" w:rsidR="0058457E" w:rsidRPr="009C5807" w:rsidRDefault="0058457E" w:rsidP="00485F6E">
            <w:pPr>
              <w:pStyle w:val="TAC"/>
            </w:pPr>
            <w:r w:rsidRPr="009C5807">
              <w:t>-70</w:t>
            </w:r>
          </w:p>
        </w:tc>
      </w:tr>
      <w:tr w:rsidR="0058457E" w:rsidRPr="009C5807" w14:paraId="48CA6F4F" w14:textId="77777777" w:rsidTr="00485F6E">
        <w:trPr>
          <w:jc w:val="center"/>
        </w:trPr>
        <w:tc>
          <w:tcPr>
            <w:tcW w:w="1036" w:type="dxa"/>
            <w:tcBorders>
              <w:left w:val="single" w:sz="4" w:space="0" w:color="auto"/>
              <w:right w:val="single" w:sz="6" w:space="0" w:color="auto"/>
            </w:tcBorders>
            <w:shd w:val="clear" w:color="auto" w:fill="auto"/>
          </w:tcPr>
          <w:p w14:paraId="0AEF1C92" w14:textId="77777777" w:rsidR="0058457E" w:rsidRPr="009C5807" w:rsidRDefault="0058457E" w:rsidP="00485F6E">
            <w:pPr>
              <w:pStyle w:val="TAC"/>
            </w:pPr>
          </w:p>
        </w:tc>
        <w:tc>
          <w:tcPr>
            <w:tcW w:w="1126" w:type="dxa"/>
            <w:tcBorders>
              <w:left w:val="single" w:sz="6" w:space="0" w:color="auto"/>
              <w:right w:val="single" w:sz="6" w:space="0" w:color="auto"/>
            </w:tcBorders>
            <w:shd w:val="clear" w:color="auto" w:fill="auto"/>
          </w:tcPr>
          <w:p w14:paraId="1227B5BA" w14:textId="77777777" w:rsidR="0058457E" w:rsidRPr="009C5807" w:rsidRDefault="0058457E" w:rsidP="00485F6E">
            <w:pPr>
              <w:pStyle w:val="TAC"/>
            </w:pPr>
          </w:p>
        </w:tc>
        <w:tc>
          <w:tcPr>
            <w:tcW w:w="825" w:type="dxa"/>
            <w:tcBorders>
              <w:left w:val="single" w:sz="6" w:space="0" w:color="auto"/>
              <w:right w:val="single" w:sz="6" w:space="0" w:color="auto"/>
            </w:tcBorders>
            <w:shd w:val="clear" w:color="auto" w:fill="auto"/>
          </w:tcPr>
          <w:p w14:paraId="18736C40" w14:textId="77777777" w:rsidR="0058457E" w:rsidRPr="009C5807" w:rsidRDefault="0058457E" w:rsidP="00485F6E">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1F0C9843" w14:textId="77777777" w:rsidR="0058457E" w:rsidRPr="009C5807" w:rsidRDefault="0058457E" w:rsidP="00485F6E">
            <w:pPr>
              <w:pStyle w:val="TAC"/>
            </w:pPr>
            <w:r w:rsidRPr="009C5807">
              <w:t>NR_TDD_FR1_C</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413A00FB" w14:textId="77777777" w:rsidR="0058457E" w:rsidRPr="009C5807" w:rsidRDefault="0058457E" w:rsidP="00485F6E">
            <w:pPr>
              <w:pStyle w:val="TAC"/>
            </w:pPr>
            <w:r w:rsidRPr="009C5807">
              <w:t>-120</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69447153" w14:textId="77777777" w:rsidR="0058457E" w:rsidRPr="009C5807" w:rsidRDefault="0058457E" w:rsidP="00485F6E">
            <w:pPr>
              <w:pStyle w:val="TAC"/>
              <w:rPr>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1BC7CAF"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707FEE5" w14:textId="77777777" w:rsidR="0058457E" w:rsidRPr="009C5807" w:rsidRDefault="0058457E" w:rsidP="00485F6E">
            <w:pPr>
              <w:pStyle w:val="TAC"/>
            </w:pPr>
            <w:r w:rsidRPr="009C5807">
              <w:t>-70</w:t>
            </w:r>
          </w:p>
        </w:tc>
      </w:tr>
      <w:tr w:rsidR="00F47417" w:rsidRPr="009C5807" w14:paraId="54147AA8" w14:textId="77777777" w:rsidTr="00485F6E">
        <w:trPr>
          <w:jc w:val="center"/>
        </w:trPr>
        <w:tc>
          <w:tcPr>
            <w:tcW w:w="1036" w:type="dxa"/>
            <w:tcBorders>
              <w:left w:val="single" w:sz="4" w:space="0" w:color="auto"/>
              <w:right w:val="single" w:sz="6" w:space="0" w:color="auto"/>
            </w:tcBorders>
            <w:shd w:val="clear" w:color="auto" w:fill="auto"/>
          </w:tcPr>
          <w:p w14:paraId="191D0B8F" w14:textId="5D8D3EB5" w:rsidR="00F47417" w:rsidRPr="009C5807" w:rsidRDefault="00F47417" w:rsidP="00485F6E">
            <w:pPr>
              <w:pStyle w:val="TAC"/>
            </w:pPr>
            <w:r w:rsidRPr="009C5807">
              <w:t>±5.0</w:t>
            </w:r>
          </w:p>
        </w:tc>
        <w:tc>
          <w:tcPr>
            <w:tcW w:w="1126" w:type="dxa"/>
            <w:tcBorders>
              <w:left w:val="single" w:sz="6" w:space="0" w:color="auto"/>
              <w:right w:val="single" w:sz="6" w:space="0" w:color="auto"/>
            </w:tcBorders>
            <w:shd w:val="clear" w:color="auto" w:fill="auto"/>
          </w:tcPr>
          <w:p w14:paraId="0A5128F8" w14:textId="0EAB824B" w:rsidR="00F47417" w:rsidRPr="009C5807" w:rsidRDefault="00F47417" w:rsidP="00485F6E">
            <w:pPr>
              <w:pStyle w:val="TAC"/>
            </w:pPr>
            <w:r w:rsidRPr="009C5807">
              <w:t>±9.5</w:t>
            </w:r>
          </w:p>
        </w:tc>
        <w:tc>
          <w:tcPr>
            <w:tcW w:w="825" w:type="dxa"/>
            <w:tcBorders>
              <w:left w:val="single" w:sz="6" w:space="0" w:color="auto"/>
              <w:right w:val="single" w:sz="6" w:space="0" w:color="auto"/>
            </w:tcBorders>
            <w:shd w:val="clear" w:color="auto" w:fill="auto"/>
          </w:tcPr>
          <w:p w14:paraId="669D7886" w14:textId="64B2373C" w:rsidR="00F47417" w:rsidRPr="009C5807" w:rsidRDefault="00F47417" w:rsidP="00485F6E">
            <w:pPr>
              <w:pStyle w:val="TAC"/>
            </w:pPr>
            <w:r w:rsidRPr="009C5807">
              <w:sym w:font="Symbol" w:char="F0B3"/>
            </w:r>
            <w:r w:rsidRPr="009C5807">
              <w:t>-3</w:t>
            </w: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4225A2FE" w14:textId="77777777" w:rsidR="00F47417" w:rsidRPr="009C5807" w:rsidRDefault="00F47417" w:rsidP="00485F6E">
            <w:pPr>
              <w:pStyle w:val="TAC"/>
              <w:rPr>
                <w:lang w:val="sv-SE"/>
              </w:rPr>
            </w:pPr>
            <w:r w:rsidRPr="009C5807">
              <w:rPr>
                <w:lang w:val="sv-SE"/>
              </w:rPr>
              <w:t>NR_FDD_FR1_D, NR_TDD_FR1_D</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38EABCD8" w14:textId="77777777" w:rsidR="00F47417" w:rsidRPr="009C5807" w:rsidDel="00FA4A82" w:rsidRDefault="00F47417" w:rsidP="00485F6E">
            <w:pPr>
              <w:pStyle w:val="TAC"/>
            </w:pPr>
            <w:r w:rsidRPr="009C5807">
              <w:t>-119.5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205B8AC1" w14:textId="77777777" w:rsidR="00F47417" w:rsidRPr="009C5807" w:rsidDel="00FA4A82" w:rsidRDefault="00F47417" w:rsidP="00485F6E">
            <w:pPr>
              <w:pStyle w:val="TAC"/>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2E6D13F" w14:textId="77777777" w:rsidR="00F47417" w:rsidRPr="009C5807" w:rsidRDefault="00F47417"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BF65480" w14:textId="77777777" w:rsidR="00F47417" w:rsidRPr="009C5807" w:rsidRDefault="00F47417" w:rsidP="00485F6E">
            <w:pPr>
              <w:pStyle w:val="TAC"/>
            </w:pPr>
            <w:r w:rsidRPr="009C5807">
              <w:t>-70</w:t>
            </w:r>
          </w:p>
        </w:tc>
      </w:tr>
      <w:tr w:rsidR="0058457E" w:rsidRPr="009C5807" w14:paraId="08D7030A" w14:textId="77777777" w:rsidTr="00485F6E">
        <w:trPr>
          <w:jc w:val="center"/>
        </w:trPr>
        <w:tc>
          <w:tcPr>
            <w:tcW w:w="1036" w:type="dxa"/>
            <w:tcBorders>
              <w:left w:val="single" w:sz="4" w:space="0" w:color="auto"/>
              <w:right w:val="single" w:sz="6" w:space="0" w:color="auto"/>
            </w:tcBorders>
            <w:shd w:val="clear" w:color="auto" w:fill="auto"/>
          </w:tcPr>
          <w:p w14:paraId="30B255CD" w14:textId="77777777" w:rsidR="0058457E" w:rsidRPr="009C5807" w:rsidRDefault="0058457E" w:rsidP="00485F6E">
            <w:pPr>
              <w:pStyle w:val="TAC"/>
            </w:pPr>
          </w:p>
        </w:tc>
        <w:tc>
          <w:tcPr>
            <w:tcW w:w="1126" w:type="dxa"/>
            <w:tcBorders>
              <w:left w:val="single" w:sz="6" w:space="0" w:color="auto"/>
              <w:right w:val="single" w:sz="6" w:space="0" w:color="auto"/>
            </w:tcBorders>
            <w:shd w:val="clear" w:color="auto" w:fill="auto"/>
          </w:tcPr>
          <w:p w14:paraId="449259FC" w14:textId="77777777" w:rsidR="0058457E" w:rsidRPr="009C5807" w:rsidRDefault="0058457E" w:rsidP="00485F6E">
            <w:pPr>
              <w:pStyle w:val="TAC"/>
            </w:pPr>
          </w:p>
        </w:tc>
        <w:tc>
          <w:tcPr>
            <w:tcW w:w="825" w:type="dxa"/>
            <w:tcBorders>
              <w:left w:val="single" w:sz="6" w:space="0" w:color="auto"/>
              <w:right w:val="single" w:sz="6" w:space="0" w:color="auto"/>
            </w:tcBorders>
            <w:shd w:val="clear" w:color="auto" w:fill="auto"/>
          </w:tcPr>
          <w:p w14:paraId="3D930172" w14:textId="77777777" w:rsidR="0058457E" w:rsidRPr="009C5807" w:rsidRDefault="0058457E" w:rsidP="00485F6E">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4BAB57A4" w14:textId="77777777" w:rsidR="0058457E" w:rsidRPr="009C5807" w:rsidDel="00836998" w:rsidRDefault="0058457E" w:rsidP="00485F6E">
            <w:pPr>
              <w:pStyle w:val="TAC"/>
              <w:rPr>
                <w:lang w:val="sv-SE"/>
              </w:rPr>
            </w:pPr>
            <w:r w:rsidRPr="009C5807">
              <w:rPr>
                <w:lang w:val="sv-SE"/>
              </w:rPr>
              <w:t>NR_FDD_FR1_E, NR_TDD_FR1_E</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074E17A2" w14:textId="77777777" w:rsidR="0058457E" w:rsidRPr="009C5807" w:rsidRDefault="0058457E" w:rsidP="00485F6E">
            <w:pPr>
              <w:pStyle w:val="TAC"/>
            </w:pPr>
            <w:r w:rsidRPr="009C5807">
              <w:t>-119</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59ED484A" w14:textId="77777777" w:rsidR="0058457E" w:rsidRPr="009C5807" w:rsidRDefault="0058457E" w:rsidP="00485F6E">
            <w:pPr>
              <w:pStyle w:val="TAC"/>
              <w:rPr>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EFB1FB0"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2FB96DB" w14:textId="77777777" w:rsidR="0058457E" w:rsidRPr="009C5807" w:rsidRDefault="0058457E" w:rsidP="00485F6E">
            <w:pPr>
              <w:pStyle w:val="TAC"/>
            </w:pPr>
            <w:r w:rsidRPr="009C5807">
              <w:t>-70</w:t>
            </w:r>
          </w:p>
        </w:tc>
      </w:tr>
      <w:tr w:rsidR="00D94CA6" w:rsidRPr="009C5807" w14:paraId="27CB0190" w14:textId="77777777" w:rsidTr="00485F6E">
        <w:trPr>
          <w:jc w:val="center"/>
        </w:trPr>
        <w:tc>
          <w:tcPr>
            <w:tcW w:w="1036" w:type="dxa"/>
            <w:tcBorders>
              <w:left w:val="single" w:sz="4" w:space="0" w:color="auto"/>
              <w:right w:val="single" w:sz="6" w:space="0" w:color="auto"/>
            </w:tcBorders>
            <w:shd w:val="clear" w:color="auto" w:fill="auto"/>
          </w:tcPr>
          <w:p w14:paraId="4134256B" w14:textId="77777777" w:rsidR="00D94CA6" w:rsidRPr="009C5807" w:rsidRDefault="00D94CA6" w:rsidP="00485F6E">
            <w:pPr>
              <w:pStyle w:val="TAC"/>
            </w:pPr>
          </w:p>
        </w:tc>
        <w:tc>
          <w:tcPr>
            <w:tcW w:w="1126" w:type="dxa"/>
            <w:tcBorders>
              <w:left w:val="single" w:sz="6" w:space="0" w:color="auto"/>
              <w:right w:val="single" w:sz="6" w:space="0" w:color="auto"/>
            </w:tcBorders>
            <w:shd w:val="clear" w:color="auto" w:fill="auto"/>
          </w:tcPr>
          <w:p w14:paraId="088C5536" w14:textId="77777777" w:rsidR="00D94CA6" w:rsidRPr="009C5807" w:rsidRDefault="00D94CA6" w:rsidP="00485F6E">
            <w:pPr>
              <w:pStyle w:val="TAC"/>
            </w:pPr>
          </w:p>
        </w:tc>
        <w:tc>
          <w:tcPr>
            <w:tcW w:w="825" w:type="dxa"/>
            <w:tcBorders>
              <w:left w:val="single" w:sz="6" w:space="0" w:color="auto"/>
              <w:right w:val="single" w:sz="6" w:space="0" w:color="auto"/>
            </w:tcBorders>
            <w:shd w:val="clear" w:color="auto" w:fill="auto"/>
          </w:tcPr>
          <w:p w14:paraId="0AADBC35" w14:textId="77777777" w:rsidR="00D94CA6" w:rsidRPr="009C5807" w:rsidRDefault="00D94CA6" w:rsidP="00485F6E">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4619EA96" w14:textId="0D865E69" w:rsidR="00D94CA6" w:rsidRPr="009C5807" w:rsidRDefault="00D94CA6" w:rsidP="00485F6E">
            <w:pPr>
              <w:pStyle w:val="TAC"/>
              <w:rPr>
                <w:lang w:val="sv-SE"/>
              </w:rPr>
            </w:pPr>
            <w:r w:rsidRPr="009C5807">
              <w:rPr>
                <w:lang w:eastAsia="zh-CN"/>
              </w:rPr>
              <w:t>NR_FDD_FR1_F</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6B495235" w14:textId="76E08F2C" w:rsidR="00D94CA6" w:rsidRPr="009C5807" w:rsidRDefault="00D94CA6" w:rsidP="00485F6E">
            <w:pPr>
              <w:pStyle w:val="TAC"/>
            </w:pPr>
            <w:r w:rsidRPr="009C5807">
              <w:t>-118.5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76E3B3A9" w14:textId="1FE1918F" w:rsidR="00D94CA6" w:rsidRPr="009C5807" w:rsidRDefault="00D94CA6" w:rsidP="00485F6E">
            <w:pPr>
              <w:pStyle w:val="TAC"/>
            </w:pPr>
            <w:r w:rsidRPr="009C5807">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87056B4" w14:textId="2B99D71E" w:rsidR="00D94CA6" w:rsidRPr="009C5807" w:rsidRDefault="00D94CA6"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8BAF80E" w14:textId="47DE6E44" w:rsidR="00D94CA6" w:rsidRPr="009C5807" w:rsidRDefault="00D94CA6" w:rsidP="00485F6E">
            <w:pPr>
              <w:pStyle w:val="TAC"/>
            </w:pPr>
            <w:r w:rsidRPr="009C5807">
              <w:t>-70</w:t>
            </w:r>
          </w:p>
        </w:tc>
      </w:tr>
      <w:tr w:rsidR="0058457E" w:rsidRPr="009C5807" w14:paraId="7D54E410" w14:textId="77777777" w:rsidTr="00485F6E">
        <w:trPr>
          <w:jc w:val="center"/>
        </w:trPr>
        <w:tc>
          <w:tcPr>
            <w:tcW w:w="1036" w:type="dxa"/>
            <w:tcBorders>
              <w:left w:val="single" w:sz="4" w:space="0" w:color="auto"/>
              <w:right w:val="single" w:sz="6" w:space="0" w:color="auto"/>
            </w:tcBorders>
            <w:shd w:val="clear" w:color="auto" w:fill="auto"/>
          </w:tcPr>
          <w:p w14:paraId="3B9C41F2" w14:textId="77777777" w:rsidR="0058457E" w:rsidRPr="009C5807" w:rsidRDefault="0058457E" w:rsidP="00485F6E">
            <w:pPr>
              <w:pStyle w:val="TAC"/>
            </w:pPr>
          </w:p>
        </w:tc>
        <w:tc>
          <w:tcPr>
            <w:tcW w:w="1126" w:type="dxa"/>
            <w:tcBorders>
              <w:left w:val="single" w:sz="6" w:space="0" w:color="auto"/>
              <w:right w:val="single" w:sz="6" w:space="0" w:color="auto"/>
            </w:tcBorders>
            <w:shd w:val="clear" w:color="auto" w:fill="auto"/>
          </w:tcPr>
          <w:p w14:paraId="749AAAEE" w14:textId="77777777" w:rsidR="0058457E" w:rsidRPr="009C5807" w:rsidRDefault="0058457E" w:rsidP="00485F6E">
            <w:pPr>
              <w:pStyle w:val="TAC"/>
            </w:pPr>
          </w:p>
        </w:tc>
        <w:tc>
          <w:tcPr>
            <w:tcW w:w="825" w:type="dxa"/>
            <w:tcBorders>
              <w:left w:val="single" w:sz="6" w:space="0" w:color="auto"/>
              <w:right w:val="single" w:sz="6" w:space="0" w:color="auto"/>
            </w:tcBorders>
            <w:shd w:val="clear" w:color="auto" w:fill="auto"/>
          </w:tcPr>
          <w:p w14:paraId="6C9C6F0F" w14:textId="77777777" w:rsidR="0058457E" w:rsidRPr="009C5807" w:rsidRDefault="0058457E" w:rsidP="00485F6E">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485D835E" w14:textId="77777777" w:rsidR="0058457E" w:rsidRPr="009C5807" w:rsidDel="00836998" w:rsidRDefault="0058457E" w:rsidP="00485F6E">
            <w:pPr>
              <w:pStyle w:val="TAC"/>
              <w:rPr>
                <w:lang w:eastAsia="zh-CN"/>
              </w:rPr>
            </w:pPr>
            <w:r w:rsidRPr="009C5807">
              <w:rPr>
                <w:lang w:eastAsia="zh-CN"/>
              </w:rPr>
              <w:t>NR</w:t>
            </w:r>
            <w:r w:rsidRPr="009C5807">
              <w:t>_</w:t>
            </w:r>
            <w:r w:rsidRPr="009C5807">
              <w:rPr>
                <w:lang w:eastAsia="zh-CN"/>
              </w:rPr>
              <w:t>FDD_FR1_G</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46857CCC" w14:textId="77777777" w:rsidR="0058457E" w:rsidRPr="009C5807" w:rsidRDefault="0058457E" w:rsidP="00485F6E">
            <w:pPr>
              <w:pStyle w:val="TAC"/>
            </w:pPr>
            <w:r w:rsidRPr="009C5807">
              <w:t>-118</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0A117B2D" w14:textId="77777777" w:rsidR="0058457E" w:rsidRPr="009C5807" w:rsidRDefault="0058457E" w:rsidP="00485F6E">
            <w:pPr>
              <w:pStyle w:val="TAC"/>
              <w:rPr>
                <w:lang w:val="sv-SE"/>
              </w:rPr>
            </w:pPr>
            <w:r w:rsidRPr="009C5807">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BAF1163"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63AEAF7" w14:textId="77777777" w:rsidR="0058457E" w:rsidRPr="009C5807" w:rsidRDefault="0058457E" w:rsidP="00485F6E">
            <w:pPr>
              <w:pStyle w:val="TAC"/>
            </w:pPr>
            <w:r w:rsidRPr="009C5807">
              <w:t>-70</w:t>
            </w:r>
          </w:p>
        </w:tc>
      </w:tr>
      <w:tr w:rsidR="0058457E" w:rsidRPr="009C5807" w14:paraId="17A49CE9" w14:textId="77777777" w:rsidTr="00485F6E">
        <w:trPr>
          <w:jc w:val="center"/>
        </w:trPr>
        <w:tc>
          <w:tcPr>
            <w:tcW w:w="1036" w:type="dxa"/>
            <w:tcBorders>
              <w:left w:val="single" w:sz="4" w:space="0" w:color="auto"/>
              <w:right w:val="single" w:sz="6" w:space="0" w:color="auto"/>
            </w:tcBorders>
            <w:shd w:val="clear" w:color="auto" w:fill="auto"/>
          </w:tcPr>
          <w:p w14:paraId="3CBE2DF4" w14:textId="77777777" w:rsidR="0058457E" w:rsidRPr="009C5807" w:rsidRDefault="0058457E" w:rsidP="00485F6E">
            <w:pPr>
              <w:pStyle w:val="TAC"/>
            </w:pPr>
          </w:p>
        </w:tc>
        <w:tc>
          <w:tcPr>
            <w:tcW w:w="1126" w:type="dxa"/>
            <w:tcBorders>
              <w:left w:val="single" w:sz="6" w:space="0" w:color="auto"/>
              <w:right w:val="single" w:sz="6" w:space="0" w:color="auto"/>
            </w:tcBorders>
            <w:shd w:val="clear" w:color="auto" w:fill="auto"/>
          </w:tcPr>
          <w:p w14:paraId="66F5B218" w14:textId="77777777" w:rsidR="0058457E" w:rsidRPr="009C5807" w:rsidRDefault="0058457E" w:rsidP="00485F6E">
            <w:pPr>
              <w:pStyle w:val="TAC"/>
            </w:pPr>
          </w:p>
        </w:tc>
        <w:tc>
          <w:tcPr>
            <w:tcW w:w="825" w:type="dxa"/>
            <w:tcBorders>
              <w:left w:val="single" w:sz="6" w:space="0" w:color="auto"/>
              <w:right w:val="single" w:sz="6" w:space="0" w:color="auto"/>
            </w:tcBorders>
            <w:shd w:val="clear" w:color="auto" w:fill="auto"/>
          </w:tcPr>
          <w:p w14:paraId="7ABE355B" w14:textId="77777777" w:rsidR="0058457E" w:rsidRPr="009C5807" w:rsidRDefault="0058457E" w:rsidP="00485F6E">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6E11E0D0" w14:textId="77777777" w:rsidR="0058457E" w:rsidRPr="009C5807" w:rsidRDefault="0058457E" w:rsidP="00485F6E">
            <w:pPr>
              <w:pStyle w:val="TAC"/>
              <w:rPr>
                <w:lang w:eastAsia="zh-CN"/>
              </w:rPr>
            </w:pPr>
            <w:r w:rsidRPr="009C5807">
              <w:rPr>
                <w:lang w:eastAsia="zh-CN"/>
              </w:rPr>
              <w:t>NR</w:t>
            </w:r>
            <w:r w:rsidRPr="009C5807">
              <w:t>_</w:t>
            </w:r>
            <w:r w:rsidRPr="009C5807">
              <w:rPr>
                <w:lang w:eastAsia="zh-CN"/>
              </w:rPr>
              <w:t>FDD_FR1_H</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3EEA7609" w14:textId="77777777" w:rsidR="0058457E" w:rsidRPr="009C5807" w:rsidRDefault="0058457E" w:rsidP="00485F6E">
            <w:pPr>
              <w:pStyle w:val="TAC"/>
            </w:pPr>
            <w:r w:rsidRPr="009C5807">
              <w:t>-117.5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43BF1574" w14:textId="77777777" w:rsidR="0058457E" w:rsidRPr="009C5807" w:rsidRDefault="0058457E" w:rsidP="00485F6E">
            <w:pPr>
              <w:pStyle w:val="TAC"/>
              <w:rPr>
                <w:lang w:val="sv-SE"/>
              </w:rPr>
            </w:pPr>
            <w:r w:rsidRPr="009C5807">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4A6E959"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252A584" w14:textId="77777777" w:rsidR="0058457E" w:rsidRPr="009C5807" w:rsidRDefault="0058457E" w:rsidP="00485F6E">
            <w:pPr>
              <w:pStyle w:val="TAC"/>
            </w:pPr>
            <w:r w:rsidRPr="009C5807">
              <w:t>-70</w:t>
            </w:r>
          </w:p>
        </w:tc>
      </w:tr>
      <w:tr w:rsidR="0058457E" w:rsidRPr="009C5807" w14:paraId="43FA0D86" w14:textId="77777777" w:rsidTr="00485F6E">
        <w:trPr>
          <w:jc w:val="center"/>
        </w:trPr>
        <w:tc>
          <w:tcPr>
            <w:tcW w:w="1036" w:type="dxa"/>
            <w:tcBorders>
              <w:top w:val="single" w:sz="6" w:space="0" w:color="auto"/>
              <w:left w:val="single" w:sz="4" w:space="0" w:color="auto"/>
              <w:bottom w:val="single" w:sz="6" w:space="0" w:color="auto"/>
              <w:right w:val="single" w:sz="6" w:space="0" w:color="auto"/>
            </w:tcBorders>
            <w:shd w:val="clear" w:color="auto" w:fill="auto"/>
          </w:tcPr>
          <w:p w14:paraId="212455F6" w14:textId="77777777" w:rsidR="0058457E" w:rsidRPr="009C5807" w:rsidRDefault="0058457E" w:rsidP="00485F6E">
            <w:pPr>
              <w:pStyle w:val="TAC"/>
            </w:pPr>
            <w:r w:rsidRPr="009C5807">
              <w:t>±8.5</w:t>
            </w:r>
          </w:p>
        </w:tc>
        <w:tc>
          <w:tcPr>
            <w:tcW w:w="1126" w:type="dxa"/>
            <w:tcBorders>
              <w:top w:val="single" w:sz="6" w:space="0" w:color="auto"/>
              <w:left w:val="single" w:sz="6" w:space="0" w:color="auto"/>
              <w:bottom w:val="single" w:sz="6" w:space="0" w:color="auto"/>
              <w:right w:val="single" w:sz="6" w:space="0" w:color="auto"/>
            </w:tcBorders>
            <w:shd w:val="clear" w:color="auto" w:fill="auto"/>
          </w:tcPr>
          <w:p w14:paraId="0A028481" w14:textId="77777777" w:rsidR="0058457E" w:rsidRPr="009C5807" w:rsidRDefault="0058457E" w:rsidP="00485F6E">
            <w:pPr>
              <w:pStyle w:val="TAC"/>
            </w:pPr>
            <w:r w:rsidRPr="009C5807">
              <w:t>±11.5</w:t>
            </w:r>
          </w:p>
        </w:tc>
        <w:tc>
          <w:tcPr>
            <w:tcW w:w="825" w:type="dxa"/>
            <w:tcBorders>
              <w:top w:val="single" w:sz="6" w:space="0" w:color="auto"/>
              <w:left w:val="single" w:sz="6" w:space="0" w:color="auto"/>
              <w:bottom w:val="single" w:sz="6" w:space="0" w:color="auto"/>
              <w:right w:val="single" w:sz="6" w:space="0" w:color="auto"/>
            </w:tcBorders>
            <w:shd w:val="clear" w:color="auto" w:fill="auto"/>
          </w:tcPr>
          <w:p w14:paraId="1DA1FCF1" w14:textId="0BE32D28" w:rsidR="0058457E" w:rsidRPr="009C5807" w:rsidRDefault="0058457E" w:rsidP="00485F6E">
            <w:pPr>
              <w:pStyle w:val="TAC"/>
            </w:pPr>
            <w:r w:rsidRPr="009C5807">
              <w:sym w:font="Symbol" w:char="F0B3"/>
            </w:r>
            <w:r w:rsidRPr="009C5807">
              <w:t>-3</w:t>
            </w: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2192A2EC" w14:textId="11A15FA8" w:rsidR="0058457E" w:rsidRPr="00F47417" w:rsidRDefault="0058457E" w:rsidP="00485F6E">
            <w:pPr>
              <w:pStyle w:val="TAC"/>
            </w:pPr>
            <w:r w:rsidRPr="009C5807">
              <w:t>NR_FDD_FR1_A, NR_TDD_FR1_A,</w:t>
            </w:r>
            <w:r w:rsidR="00F47417">
              <w:t xml:space="preserve"> </w:t>
            </w:r>
            <w:r w:rsidRPr="009C5807">
              <w:t>NR_SDL_FR1_A,</w:t>
            </w:r>
            <w:r w:rsidR="00F47417">
              <w:t xml:space="preserve"> </w:t>
            </w:r>
            <w:r w:rsidRPr="009C5807">
              <w:t xml:space="preserve">NR_FDD_FR1_B, NR_TDD_FR1_C, NR_FDD_FR1_D, NR_TDD_FR1_D, NR_FDD_FR1_E, NR_TDD_FR1_E, </w:t>
            </w:r>
            <w:r w:rsidR="00CB340B" w:rsidRPr="009C5807">
              <w:t>NR_FDD_FR1_F,</w:t>
            </w:r>
            <w:r w:rsidR="00F47417">
              <w:t xml:space="preserve"> </w:t>
            </w:r>
            <w:r w:rsidRPr="00F47417">
              <w:t>NR_FDD_FR1_G, NR_FDD_FR1_H,</w:t>
            </w:r>
          </w:p>
        </w:tc>
        <w:tc>
          <w:tcPr>
            <w:tcW w:w="982" w:type="dxa"/>
            <w:tcBorders>
              <w:top w:val="single" w:sz="6" w:space="0" w:color="auto"/>
              <w:left w:val="single" w:sz="4" w:space="0" w:color="auto"/>
              <w:bottom w:val="single" w:sz="4" w:space="0" w:color="auto"/>
              <w:right w:val="single" w:sz="6" w:space="0" w:color="auto"/>
            </w:tcBorders>
            <w:shd w:val="clear" w:color="auto" w:fill="auto"/>
          </w:tcPr>
          <w:p w14:paraId="11810DAE" w14:textId="77777777" w:rsidR="0058457E" w:rsidRPr="009C5807" w:rsidRDefault="0058457E" w:rsidP="00485F6E">
            <w:pPr>
              <w:pStyle w:val="TAC"/>
            </w:pPr>
            <w:r w:rsidRPr="009C5807">
              <w:t>N/A</w:t>
            </w:r>
          </w:p>
        </w:tc>
        <w:tc>
          <w:tcPr>
            <w:tcW w:w="1056" w:type="dxa"/>
            <w:tcBorders>
              <w:top w:val="single" w:sz="6" w:space="0" w:color="auto"/>
              <w:left w:val="single" w:sz="4" w:space="0" w:color="auto"/>
              <w:bottom w:val="single" w:sz="4" w:space="0" w:color="auto"/>
              <w:right w:val="single" w:sz="6" w:space="0" w:color="auto"/>
            </w:tcBorders>
            <w:shd w:val="clear" w:color="auto" w:fill="auto"/>
          </w:tcPr>
          <w:p w14:paraId="1EF68CCD" w14:textId="77777777" w:rsidR="0058457E" w:rsidRPr="009C5807" w:rsidRDefault="0058457E" w:rsidP="00485F6E">
            <w:pPr>
              <w:pStyle w:val="TAC"/>
              <w:rPr>
                <w:lang w:eastAsia="zh-CN"/>
              </w:rPr>
            </w:pPr>
            <w:r w:rsidRPr="009C5807">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73845DF9" w14:textId="77777777" w:rsidR="0058457E" w:rsidRPr="009C5807" w:rsidRDefault="0058457E" w:rsidP="00485F6E">
            <w:pPr>
              <w:pStyle w:val="TAC"/>
            </w:pPr>
            <w:r w:rsidRPr="009C5807">
              <w:t>-70</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381620EE" w14:textId="77777777" w:rsidR="0058457E" w:rsidRPr="009C5807" w:rsidRDefault="0058457E" w:rsidP="00485F6E">
            <w:pPr>
              <w:pStyle w:val="TAC"/>
            </w:pPr>
            <w:r w:rsidRPr="009C5807">
              <w:t>-50</w:t>
            </w:r>
          </w:p>
        </w:tc>
      </w:tr>
      <w:tr w:rsidR="0058457E" w:rsidRPr="009C5807" w14:paraId="3343DB8A" w14:textId="77777777" w:rsidTr="00B4408D">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6AE596F5" w14:textId="77777777" w:rsidR="0058457E" w:rsidRPr="009C5807" w:rsidRDefault="0058457E" w:rsidP="00441D94">
            <w:pPr>
              <w:pStyle w:val="TAN"/>
            </w:pPr>
            <w:r w:rsidRPr="009C5807">
              <w:t>NOTE 1:</w:t>
            </w:r>
            <w:r w:rsidRPr="009C5807">
              <w:tab/>
              <w:t>Io is assumed to have constant EPRE across the bandwidth.</w:t>
            </w:r>
          </w:p>
          <w:p w14:paraId="04DD2793" w14:textId="77777777" w:rsidR="0058457E" w:rsidRPr="009C5807" w:rsidRDefault="0058457E" w:rsidP="00441D94">
            <w:pPr>
              <w:pStyle w:val="TAN"/>
            </w:pPr>
            <w:r w:rsidRPr="009C5807">
              <w:t>NOTE 2:</w:t>
            </w:r>
            <w:r w:rsidRPr="009C5807">
              <w:tab/>
              <w:t>NR operating band groups in FR1 are as defined in clause 3.5.2.</w:t>
            </w:r>
          </w:p>
        </w:tc>
      </w:tr>
    </w:tbl>
    <w:p w14:paraId="4D4A0C42" w14:textId="77777777" w:rsidR="0058457E" w:rsidRPr="009C5807" w:rsidRDefault="0058457E" w:rsidP="0058457E">
      <w:pPr>
        <w:rPr>
          <w:lang w:eastAsia="zh-CN"/>
        </w:rPr>
      </w:pPr>
    </w:p>
    <w:p w14:paraId="2CC512A0" w14:textId="77777777" w:rsidR="0058457E" w:rsidRPr="009C5807" w:rsidRDefault="0058457E" w:rsidP="00B018D8">
      <w:pPr>
        <w:pStyle w:val="Heading5"/>
      </w:pPr>
      <w:r w:rsidRPr="009C5807">
        <w:t>10.1.19.1.2</w:t>
      </w:r>
      <w:r w:rsidRPr="009C5807">
        <w:tab/>
        <w:t>Relative Accuracy</w:t>
      </w:r>
    </w:p>
    <w:p w14:paraId="1F684504" w14:textId="661ACF6F" w:rsidR="0058457E" w:rsidRPr="009C5807" w:rsidRDefault="00357693" w:rsidP="0058457E">
      <w:pPr>
        <w:rPr>
          <w:rFonts w:cs="v4.2.0"/>
          <w:i/>
        </w:rPr>
      </w:pPr>
      <w:r w:rsidRPr="009C5807">
        <w:rPr>
          <w:rFonts w:cs="v4.2.0"/>
        </w:rPr>
        <w:t xml:space="preserve">The relative accuracy of </w:t>
      </w:r>
      <w:r w:rsidRPr="009C5807">
        <w:rPr>
          <w:rFonts w:cs="v4.2.0"/>
          <w:lang w:eastAsia="zh-CN"/>
        </w:rPr>
        <w:t>SSB based L1-</w:t>
      </w:r>
      <w:r w:rsidRPr="009C5807">
        <w:rPr>
          <w:rFonts w:cs="v4.2.0"/>
        </w:rPr>
        <w:t xml:space="preserve">RSRP is defined as the </w:t>
      </w:r>
      <w:r w:rsidRPr="009C5807">
        <w:rPr>
          <w:rFonts w:cs="v4.2.0"/>
          <w:lang w:eastAsia="zh-CN"/>
        </w:rPr>
        <w:t>L1-</w:t>
      </w:r>
      <w:r w:rsidRPr="009C5807">
        <w:rPr>
          <w:rFonts w:cs="v4.2.0"/>
        </w:rPr>
        <w:t xml:space="preserve">RSRP measured from one SSB compared to the </w:t>
      </w:r>
      <w:r w:rsidRPr="009C5807">
        <w:rPr>
          <w:lang w:val="en-US"/>
        </w:rPr>
        <w:t>largest measured value of L1-RSRP among all SSBs of</w:t>
      </w:r>
      <w:r>
        <w:rPr>
          <w:lang w:val="en-US"/>
        </w:rPr>
        <w:t xml:space="preserve"> the</w:t>
      </w:r>
      <w:r w:rsidRPr="009C5807">
        <w:rPr>
          <w:lang w:val="en-US"/>
        </w:rPr>
        <w:t xml:space="preserve"> cell</w:t>
      </w:r>
      <w:r>
        <w:rPr>
          <w:lang w:val="en-US" w:eastAsia="zh-CN"/>
        </w:rPr>
        <w:t xml:space="preserve"> (serving cell or cell with different PCI from serving cell)</w:t>
      </w:r>
      <w:r>
        <w:rPr>
          <w:lang w:val="en-US"/>
        </w:rPr>
        <w:t xml:space="preserve"> on which UE performs L1-RSRP measurements.</w:t>
      </w:r>
    </w:p>
    <w:p w14:paraId="7E2C6977" w14:textId="77777777" w:rsidR="0058457E" w:rsidRPr="009C5807" w:rsidRDefault="0058457E" w:rsidP="0058457E">
      <w:pPr>
        <w:rPr>
          <w:rFonts w:cs="v4.2.0"/>
          <w:lang w:eastAsia="zh-CN"/>
        </w:rPr>
      </w:pPr>
      <w:r w:rsidRPr="009C5807">
        <w:rPr>
          <w:rFonts w:cs="v4.2.0"/>
        </w:rPr>
        <w:t xml:space="preserve">The accuracy requirements in Table </w:t>
      </w:r>
      <w:r w:rsidRPr="009C5807">
        <w:rPr>
          <w:lang w:eastAsia="zh-CN"/>
        </w:rPr>
        <w:t>10.1.19</w:t>
      </w:r>
      <w:r w:rsidRPr="009C5807">
        <w:t>.1</w:t>
      </w:r>
      <w:r w:rsidRPr="009C5807">
        <w:rPr>
          <w:lang w:eastAsia="zh-CN"/>
        </w:rPr>
        <w:t>.2</w:t>
      </w:r>
      <w:r w:rsidRPr="009C5807">
        <w:rPr>
          <w:rFonts w:cs="v4.2.0"/>
        </w:rPr>
        <w:t>-1 are valid under the following conditions:</w:t>
      </w:r>
    </w:p>
    <w:p w14:paraId="08D6F138" w14:textId="77777777" w:rsidR="0058457E" w:rsidRPr="009C5807" w:rsidRDefault="0058457E" w:rsidP="0093237A">
      <w:pPr>
        <w:pStyle w:val="B10"/>
        <w:rPr>
          <w:rFonts w:eastAsia="PMingLiU"/>
        </w:rPr>
      </w:pPr>
      <w:r w:rsidRPr="009C5807">
        <w:t>-</w:t>
      </w:r>
      <w:r w:rsidRPr="009C5807">
        <w:tab/>
        <w:t>Conditions defined in clause 7.3 of TS 38.101-1 [18] for reference sensitivity are fulfilled.</w:t>
      </w:r>
    </w:p>
    <w:p w14:paraId="38F0B5E7" w14:textId="77777777" w:rsidR="0058457E" w:rsidRPr="009C5807" w:rsidRDefault="0058457E" w:rsidP="0093237A">
      <w:pPr>
        <w:pStyle w:val="B10"/>
      </w:pPr>
      <w:r w:rsidRPr="009C5807">
        <w:rPr>
          <w:rFonts w:eastAsia="PMingLiU"/>
        </w:rPr>
        <w:t>-</w:t>
      </w:r>
      <w:r w:rsidRPr="009C5807">
        <w:rPr>
          <w:rFonts w:eastAsia="PMingLiU"/>
        </w:rPr>
        <w:tab/>
      </w:r>
      <w:r w:rsidRPr="009C5807">
        <w:t xml:space="preserve">Conditions for L1-RSRP measurements are fulfilled according to Annex B.2.4.1 for a corresponding Band </w:t>
      </w:r>
      <w:r w:rsidRPr="009C5807">
        <w:rPr>
          <w:rFonts w:eastAsia="PMingLiU"/>
        </w:rPr>
        <w:t>for each relevant SSB</w:t>
      </w:r>
      <w:r w:rsidRPr="009C5807">
        <w:t>.</w:t>
      </w:r>
    </w:p>
    <w:p w14:paraId="057F407A" w14:textId="77777777" w:rsidR="0058457E" w:rsidRPr="009C5807" w:rsidRDefault="0058457E" w:rsidP="000F7DDA">
      <w:pPr>
        <w:pStyle w:val="TH"/>
      </w:pPr>
      <w:r w:rsidRPr="009C5807">
        <w:t>Table 10.1.19.1.2-1: SSB based L1-RSRP relative accuracy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58457E" w:rsidRPr="009C5807" w14:paraId="099B2C47" w14:textId="77777777" w:rsidTr="00B4408D">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7DD94ED3" w14:textId="77777777" w:rsidR="0058457E" w:rsidRPr="009C5807" w:rsidRDefault="0058457E" w:rsidP="00DA694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14B1F1EF" w14:textId="77777777" w:rsidR="0058457E" w:rsidRPr="009C5807" w:rsidRDefault="0058457E" w:rsidP="00DA6941">
            <w:pPr>
              <w:pStyle w:val="TAH"/>
            </w:pPr>
            <w:r w:rsidRPr="009C5807">
              <w:t>Conditions</w:t>
            </w:r>
          </w:p>
        </w:tc>
      </w:tr>
      <w:tr w:rsidR="0058457E" w:rsidRPr="009C5807" w14:paraId="41C39B9C" w14:textId="77777777" w:rsidTr="000F7DDA">
        <w:trPr>
          <w:jc w:val="center"/>
        </w:trPr>
        <w:tc>
          <w:tcPr>
            <w:tcW w:w="1033" w:type="dxa"/>
            <w:tcBorders>
              <w:top w:val="single" w:sz="6" w:space="0" w:color="auto"/>
              <w:left w:val="single" w:sz="4" w:space="0" w:color="auto"/>
              <w:right w:val="single" w:sz="6" w:space="0" w:color="auto"/>
            </w:tcBorders>
            <w:shd w:val="clear" w:color="auto" w:fill="auto"/>
            <w:vAlign w:val="center"/>
          </w:tcPr>
          <w:p w14:paraId="20FE5A17" w14:textId="77777777" w:rsidR="0058457E" w:rsidRPr="009C5807" w:rsidRDefault="0058457E" w:rsidP="00DA6941">
            <w:pPr>
              <w:pStyle w:val="TAH"/>
            </w:pPr>
            <w:r w:rsidRPr="009C5807">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58D2E3F8" w14:textId="77777777" w:rsidR="0058457E" w:rsidRPr="009C5807" w:rsidRDefault="0058457E" w:rsidP="00DA6941">
            <w:pPr>
              <w:pStyle w:val="TAH"/>
            </w:pPr>
            <w:r w:rsidRPr="009C5807">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2D80831A" w14:textId="77777777" w:rsidR="0058457E" w:rsidRPr="009C5807" w:rsidRDefault="0058457E" w:rsidP="00DA6941">
            <w:pPr>
              <w:pStyle w:val="TAH"/>
            </w:pPr>
            <w:r w:rsidRPr="009C5807">
              <w:t>SSB Ês/Iot</w:t>
            </w:r>
            <w:r w:rsidRPr="009C5807">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36324667" w14:textId="77777777" w:rsidR="0058457E" w:rsidRPr="009C5807" w:rsidRDefault="0058457E" w:rsidP="00DA6941">
            <w:pPr>
              <w:pStyle w:val="TAH"/>
            </w:pPr>
            <w:r w:rsidRPr="009C5807">
              <w:t>Io</w:t>
            </w:r>
            <w:r w:rsidRPr="009C5807">
              <w:rPr>
                <w:vertAlign w:val="superscript"/>
              </w:rPr>
              <w:t xml:space="preserve"> Note 1</w:t>
            </w:r>
            <w:r w:rsidRPr="009C5807">
              <w:t xml:space="preserve"> range</w:t>
            </w:r>
          </w:p>
        </w:tc>
      </w:tr>
      <w:tr w:rsidR="0058457E" w:rsidRPr="009C5807" w14:paraId="25F35332" w14:textId="77777777" w:rsidTr="000F7DDA">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08358060" w14:textId="77777777" w:rsidR="0058457E" w:rsidRPr="009C5807" w:rsidRDefault="0058457E" w:rsidP="00DA694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078A880B" w14:textId="77777777" w:rsidR="0058457E" w:rsidRPr="009C5807" w:rsidRDefault="0058457E" w:rsidP="00DA6941">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6891C511" w14:textId="77777777" w:rsidR="0058457E" w:rsidRPr="009C5807" w:rsidRDefault="0058457E" w:rsidP="00DA6941">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3B420A6C" w14:textId="77777777" w:rsidR="0058457E" w:rsidRPr="009C5807" w:rsidRDefault="0058457E" w:rsidP="00DA6941">
            <w:pPr>
              <w:pStyle w:val="TAH"/>
            </w:pPr>
            <w:r w:rsidRPr="009C5807">
              <w:t>NR operating band groups</w:t>
            </w:r>
            <w:r w:rsidRPr="009C5807">
              <w:rPr>
                <w:vertAlign w:val="superscript"/>
              </w:rPr>
              <w:t xml:space="preserve"> Note 4</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6F96A4A1" w14:textId="77777777" w:rsidR="0058457E" w:rsidRPr="009C5807" w:rsidRDefault="0058457E" w:rsidP="00DA694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13694B3" w14:textId="77777777" w:rsidR="0058457E" w:rsidRPr="009C5807" w:rsidRDefault="0058457E" w:rsidP="00DA6941">
            <w:pPr>
              <w:pStyle w:val="TAH"/>
            </w:pPr>
            <w:r w:rsidRPr="009C5807">
              <w:t>Maximum Io</w:t>
            </w:r>
          </w:p>
        </w:tc>
      </w:tr>
      <w:tr w:rsidR="0058457E" w:rsidRPr="009C5807" w14:paraId="5F5DAA68" w14:textId="77777777" w:rsidTr="00B4408D">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02CB798A" w14:textId="77777777" w:rsidR="0058457E" w:rsidRPr="009C5807" w:rsidRDefault="0058457E" w:rsidP="00DA6941">
            <w:pPr>
              <w:pStyle w:val="TAH"/>
            </w:pPr>
            <w:r w:rsidRPr="009C5807">
              <w:t>dB</w:t>
            </w:r>
          </w:p>
        </w:tc>
        <w:tc>
          <w:tcPr>
            <w:tcW w:w="1049" w:type="dxa"/>
            <w:tcBorders>
              <w:top w:val="single" w:sz="6" w:space="0" w:color="auto"/>
              <w:left w:val="single" w:sz="6" w:space="0" w:color="auto"/>
              <w:right w:val="single" w:sz="6" w:space="0" w:color="auto"/>
            </w:tcBorders>
            <w:shd w:val="clear" w:color="auto" w:fill="auto"/>
            <w:vAlign w:val="center"/>
          </w:tcPr>
          <w:p w14:paraId="53024FFA" w14:textId="77777777" w:rsidR="0058457E" w:rsidRPr="009C5807" w:rsidRDefault="0058457E" w:rsidP="00DA6941">
            <w:pPr>
              <w:pStyle w:val="TAH"/>
            </w:pPr>
            <w:r w:rsidRPr="009C5807">
              <w:t>dB</w:t>
            </w:r>
          </w:p>
        </w:tc>
        <w:tc>
          <w:tcPr>
            <w:tcW w:w="807" w:type="dxa"/>
            <w:tcBorders>
              <w:top w:val="single" w:sz="6" w:space="0" w:color="auto"/>
              <w:left w:val="single" w:sz="6" w:space="0" w:color="auto"/>
              <w:right w:val="single" w:sz="6" w:space="0" w:color="auto"/>
            </w:tcBorders>
            <w:shd w:val="clear" w:color="auto" w:fill="auto"/>
            <w:vAlign w:val="center"/>
          </w:tcPr>
          <w:p w14:paraId="1AC30BCB" w14:textId="77777777" w:rsidR="0058457E" w:rsidRPr="009C5807" w:rsidRDefault="0058457E" w:rsidP="00DA6941">
            <w:pPr>
              <w:pStyle w:val="TAH"/>
            </w:pPr>
            <w:r w:rsidRPr="009C5807">
              <w:t>dB</w:t>
            </w:r>
          </w:p>
        </w:tc>
        <w:tc>
          <w:tcPr>
            <w:tcW w:w="2349" w:type="dxa"/>
            <w:tcBorders>
              <w:top w:val="single" w:sz="6" w:space="0" w:color="auto"/>
              <w:left w:val="single" w:sz="6" w:space="0" w:color="auto"/>
              <w:right w:val="single" w:sz="4" w:space="0" w:color="auto"/>
            </w:tcBorders>
            <w:shd w:val="clear" w:color="auto" w:fill="auto"/>
            <w:vAlign w:val="center"/>
          </w:tcPr>
          <w:p w14:paraId="47A83500" w14:textId="77777777" w:rsidR="0058457E" w:rsidRPr="009C5807" w:rsidRDefault="0058457E" w:rsidP="00DA6941">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1B061B11" w14:textId="77777777" w:rsidR="0058457E" w:rsidRPr="009C5807" w:rsidRDefault="0058457E" w:rsidP="00DA694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54491B63" w14:textId="77777777" w:rsidR="0058457E" w:rsidRPr="009C5807" w:rsidRDefault="0058457E" w:rsidP="00DA694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13AC985C" w14:textId="77777777" w:rsidR="0058457E" w:rsidRPr="009C5807" w:rsidRDefault="0058457E" w:rsidP="00DA6941">
            <w:pPr>
              <w:pStyle w:val="TAH"/>
            </w:pPr>
            <w:r w:rsidRPr="009C5807">
              <w:t>dBm/BW</w:t>
            </w:r>
            <w:r w:rsidRPr="009C5807">
              <w:rPr>
                <w:vertAlign w:val="subscript"/>
              </w:rPr>
              <w:t>Channel</w:t>
            </w:r>
          </w:p>
        </w:tc>
      </w:tr>
      <w:tr w:rsidR="0058457E" w:rsidRPr="009C5807" w14:paraId="75173DCA" w14:textId="77777777" w:rsidTr="00B4408D">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275F3F55" w14:textId="77777777" w:rsidR="0058457E" w:rsidRPr="009C5807" w:rsidRDefault="0058457E" w:rsidP="00DA694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0C0D7AC5" w14:textId="77777777" w:rsidR="0058457E" w:rsidRPr="009C5807" w:rsidRDefault="0058457E" w:rsidP="00DA6941">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7C2B97B4" w14:textId="77777777" w:rsidR="0058457E" w:rsidRPr="009C5807" w:rsidRDefault="0058457E" w:rsidP="00DA6941">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2F67C0D0" w14:textId="77777777" w:rsidR="0058457E" w:rsidRPr="009C5807" w:rsidRDefault="0058457E" w:rsidP="00DA694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A5CBF1C" w14:textId="77777777" w:rsidR="0058457E" w:rsidRPr="009C5807" w:rsidRDefault="0058457E" w:rsidP="00DA6941">
            <w:pPr>
              <w:pStyle w:val="TAH"/>
              <w:rPr>
                <w:rFonts w:cs="Arial"/>
              </w:rPr>
            </w:pPr>
            <w:r w:rsidRPr="009C5807">
              <w:t>SCS</w:t>
            </w:r>
            <w:r w:rsidRPr="009C5807">
              <w:rPr>
                <w:vertAlign w:val="subscript"/>
              </w:rPr>
              <w:t>SSB</w:t>
            </w:r>
            <w:r w:rsidRPr="009C5807">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31C5CF5" w14:textId="77777777" w:rsidR="0058457E" w:rsidRPr="009C5807" w:rsidRDefault="0058457E" w:rsidP="00DA694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4226D6EE" w14:textId="77777777" w:rsidR="0058457E" w:rsidRPr="009C5807" w:rsidRDefault="0058457E" w:rsidP="00DA6941">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67103D94" w14:textId="77777777" w:rsidR="0058457E" w:rsidRPr="009C5807" w:rsidRDefault="0058457E" w:rsidP="00DA6941">
            <w:pPr>
              <w:pStyle w:val="TAH"/>
            </w:pPr>
          </w:p>
        </w:tc>
      </w:tr>
      <w:tr w:rsidR="0058457E" w:rsidRPr="009C5807" w14:paraId="2CCE289A" w14:textId="77777777" w:rsidTr="00485F6E">
        <w:trPr>
          <w:jc w:val="center"/>
        </w:trPr>
        <w:tc>
          <w:tcPr>
            <w:tcW w:w="1033" w:type="dxa"/>
            <w:tcBorders>
              <w:top w:val="single" w:sz="6" w:space="0" w:color="auto"/>
              <w:left w:val="single" w:sz="4" w:space="0" w:color="auto"/>
              <w:right w:val="single" w:sz="6" w:space="0" w:color="auto"/>
            </w:tcBorders>
            <w:shd w:val="clear" w:color="auto" w:fill="auto"/>
          </w:tcPr>
          <w:p w14:paraId="17AA6539" w14:textId="575AA860" w:rsidR="0058457E" w:rsidRPr="009C5807" w:rsidRDefault="0058457E" w:rsidP="00485F6E">
            <w:pPr>
              <w:pStyle w:val="TAC"/>
            </w:pPr>
          </w:p>
        </w:tc>
        <w:tc>
          <w:tcPr>
            <w:tcW w:w="1049" w:type="dxa"/>
            <w:tcBorders>
              <w:top w:val="single" w:sz="6" w:space="0" w:color="auto"/>
              <w:left w:val="single" w:sz="6" w:space="0" w:color="auto"/>
              <w:right w:val="single" w:sz="6" w:space="0" w:color="auto"/>
            </w:tcBorders>
            <w:shd w:val="clear" w:color="auto" w:fill="auto"/>
          </w:tcPr>
          <w:p w14:paraId="7EF9F27A" w14:textId="218A7296" w:rsidR="0058457E" w:rsidRPr="009C5807" w:rsidRDefault="0058457E" w:rsidP="00485F6E">
            <w:pPr>
              <w:pStyle w:val="TAC"/>
            </w:pPr>
          </w:p>
        </w:tc>
        <w:tc>
          <w:tcPr>
            <w:tcW w:w="807" w:type="dxa"/>
            <w:tcBorders>
              <w:top w:val="single" w:sz="6" w:space="0" w:color="auto"/>
              <w:left w:val="single" w:sz="6" w:space="0" w:color="auto"/>
              <w:right w:val="single" w:sz="6" w:space="0" w:color="auto"/>
            </w:tcBorders>
            <w:shd w:val="clear" w:color="auto" w:fill="auto"/>
          </w:tcPr>
          <w:p w14:paraId="55D82A0E" w14:textId="09C9E608" w:rsidR="0058457E" w:rsidRPr="009C5807" w:rsidRDefault="0058457E" w:rsidP="00485F6E">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60D23F1D" w14:textId="77777777" w:rsidR="0058457E" w:rsidRPr="009C5807" w:rsidRDefault="0058457E" w:rsidP="00485F6E">
            <w:pPr>
              <w:pStyle w:val="TAC"/>
            </w:pPr>
            <w:r w:rsidRPr="009C5807">
              <w:t>NR_FDD_FR1_A, NR_TDD_FR1_A,</w:t>
            </w:r>
          </w:p>
          <w:p w14:paraId="7CCC282E" w14:textId="77777777" w:rsidR="0058457E" w:rsidRPr="009C5807" w:rsidRDefault="0058457E" w:rsidP="00485F6E">
            <w:pPr>
              <w:pStyle w:val="TAC"/>
            </w:pPr>
            <w:r w:rsidRPr="009C5807">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F2E5516" w14:textId="77777777" w:rsidR="0058457E" w:rsidRPr="009C5807" w:rsidRDefault="0058457E" w:rsidP="00485F6E">
            <w:pPr>
              <w:pStyle w:val="TAC"/>
            </w:pPr>
            <w:r w:rsidRPr="009C5807">
              <w:t>-121</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F8307E1" w14:textId="77777777" w:rsidR="0058457E" w:rsidRPr="009C5807" w:rsidRDefault="0058457E" w:rsidP="00485F6E">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0D2293E"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984F594" w14:textId="77777777" w:rsidR="0058457E" w:rsidRPr="009C5807" w:rsidRDefault="0058457E" w:rsidP="00485F6E">
            <w:pPr>
              <w:pStyle w:val="TAC"/>
            </w:pPr>
            <w:r w:rsidRPr="009C5807">
              <w:t>-50</w:t>
            </w:r>
          </w:p>
        </w:tc>
      </w:tr>
      <w:tr w:rsidR="0058457E" w:rsidRPr="009C5807" w14:paraId="6BD4C4AE" w14:textId="77777777" w:rsidTr="00485F6E">
        <w:trPr>
          <w:jc w:val="center"/>
        </w:trPr>
        <w:tc>
          <w:tcPr>
            <w:tcW w:w="1033" w:type="dxa"/>
            <w:tcBorders>
              <w:left w:val="single" w:sz="4" w:space="0" w:color="auto"/>
              <w:right w:val="single" w:sz="6" w:space="0" w:color="auto"/>
            </w:tcBorders>
            <w:shd w:val="clear" w:color="auto" w:fill="auto"/>
          </w:tcPr>
          <w:p w14:paraId="7BF85CC1" w14:textId="77777777" w:rsidR="0058457E" w:rsidRPr="009C5807" w:rsidRDefault="0058457E" w:rsidP="00485F6E">
            <w:pPr>
              <w:pStyle w:val="TAC"/>
            </w:pPr>
          </w:p>
        </w:tc>
        <w:tc>
          <w:tcPr>
            <w:tcW w:w="1049" w:type="dxa"/>
            <w:tcBorders>
              <w:left w:val="single" w:sz="6" w:space="0" w:color="auto"/>
              <w:right w:val="single" w:sz="6" w:space="0" w:color="auto"/>
            </w:tcBorders>
            <w:shd w:val="clear" w:color="auto" w:fill="auto"/>
          </w:tcPr>
          <w:p w14:paraId="020B5CE4" w14:textId="77777777" w:rsidR="0058457E" w:rsidRPr="009C5807" w:rsidRDefault="0058457E" w:rsidP="00485F6E">
            <w:pPr>
              <w:pStyle w:val="TAC"/>
            </w:pPr>
          </w:p>
        </w:tc>
        <w:tc>
          <w:tcPr>
            <w:tcW w:w="807" w:type="dxa"/>
            <w:tcBorders>
              <w:left w:val="single" w:sz="6" w:space="0" w:color="auto"/>
              <w:right w:val="single" w:sz="6" w:space="0" w:color="auto"/>
            </w:tcBorders>
            <w:shd w:val="clear" w:color="auto" w:fill="auto"/>
          </w:tcPr>
          <w:p w14:paraId="08F74536" w14:textId="77777777" w:rsidR="0058457E" w:rsidRPr="009C5807" w:rsidRDefault="0058457E" w:rsidP="00485F6E">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1126ECCF" w14:textId="77777777" w:rsidR="0058457E" w:rsidRPr="009C5807" w:rsidRDefault="0058457E" w:rsidP="00485F6E">
            <w:pPr>
              <w:pStyle w:val="TAC"/>
            </w:pPr>
            <w:r w:rsidRPr="009C5807">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D57708C" w14:textId="77777777" w:rsidR="0058457E" w:rsidRPr="009C5807" w:rsidRDefault="0058457E" w:rsidP="00485F6E">
            <w:pPr>
              <w:pStyle w:val="TAC"/>
            </w:pPr>
            <w:r w:rsidRPr="009C5807">
              <w:t>-120.5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E856DA9" w14:textId="77777777" w:rsidR="0058457E" w:rsidRPr="009C5807" w:rsidRDefault="0058457E" w:rsidP="00485F6E">
            <w:pPr>
              <w:pStyle w:val="TAC"/>
              <w:rPr>
                <w:lang w:val="sv-SE"/>
              </w:rPr>
            </w:pPr>
            <w:r w:rsidRPr="009C5807">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FCCB078" w14:textId="77777777" w:rsidR="0058457E" w:rsidRPr="009C5807" w:rsidRDefault="0058457E" w:rsidP="00485F6E">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A9AB314" w14:textId="77777777" w:rsidR="0058457E" w:rsidRPr="009C5807" w:rsidRDefault="0058457E" w:rsidP="00485F6E">
            <w:pPr>
              <w:pStyle w:val="TAC"/>
            </w:pPr>
            <w:r w:rsidRPr="009C5807">
              <w:t>-50</w:t>
            </w:r>
          </w:p>
        </w:tc>
      </w:tr>
      <w:tr w:rsidR="0058457E" w:rsidRPr="009C5807" w14:paraId="2E4A73EF" w14:textId="77777777" w:rsidTr="00485F6E">
        <w:trPr>
          <w:jc w:val="center"/>
        </w:trPr>
        <w:tc>
          <w:tcPr>
            <w:tcW w:w="1033" w:type="dxa"/>
            <w:tcBorders>
              <w:left w:val="single" w:sz="4" w:space="0" w:color="auto"/>
              <w:right w:val="single" w:sz="6" w:space="0" w:color="auto"/>
            </w:tcBorders>
            <w:shd w:val="clear" w:color="auto" w:fill="auto"/>
          </w:tcPr>
          <w:p w14:paraId="5C8A2CD0" w14:textId="77777777" w:rsidR="0058457E" w:rsidRPr="009C5807" w:rsidRDefault="0058457E" w:rsidP="00485F6E">
            <w:pPr>
              <w:pStyle w:val="TAC"/>
            </w:pPr>
          </w:p>
        </w:tc>
        <w:tc>
          <w:tcPr>
            <w:tcW w:w="1049" w:type="dxa"/>
            <w:tcBorders>
              <w:left w:val="single" w:sz="6" w:space="0" w:color="auto"/>
              <w:right w:val="single" w:sz="6" w:space="0" w:color="auto"/>
            </w:tcBorders>
            <w:shd w:val="clear" w:color="auto" w:fill="auto"/>
          </w:tcPr>
          <w:p w14:paraId="3BE60D17" w14:textId="77777777" w:rsidR="0058457E" w:rsidRPr="009C5807" w:rsidRDefault="0058457E" w:rsidP="00485F6E">
            <w:pPr>
              <w:pStyle w:val="TAC"/>
            </w:pPr>
          </w:p>
        </w:tc>
        <w:tc>
          <w:tcPr>
            <w:tcW w:w="807" w:type="dxa"/>
            <w:tcBorders>
              <w:left w:val="single" w:sz="6" w:space="0" w:color="auto"/>
              <w:right w:val="single" w:sz="6" w:space="0" w:color="auto"/>
            </w:tcBorders>
            <w:shd w:val="clear" w:color="auto" w:fill="auto"/>
          </w:tcPr>
          <w:p w14:paraId="039109EB" w14:textId="77777777" w:rsidR="0058457E" w:rsidRPr="009C5807" w:rsidRDefault="0058457E" w:rsidP="00485F6E">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6E3638B0" w14:textId="77777777" w:rsidR="0058457E" w:rsidRPr="009C5807" w:rsidRDefault="0058457E" w:rsidP="00485F6E">
            <w:pPr>
              <w:pStyle w:val="TAC"/>
            </w:pPr>
            <w:r w:rsidRPr="009C5807">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1299A3F" w14:textId="77777777" w:rsidR="0058457E" w:rsidRPr="009C5807" w:rsidRDefault="0058457E" w:rsidP="00485F6E">
            <w:pPr>
              <w:pStyle w:val="TAC"/>
            </w:pPr>
            <w:r w:rsidRPr="009C5807">
              <w:t>-120</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40F225A" w14:textId="77777777" w:rsidR="0058457E" w:rsidRPr="009C5807" w:rsidRDefault="0058457E" w:rsidP="00485F6E">
            <w:pPr>
              <w:pStyle w:val="TAC"/>
              <w:rPr>
                <w:lang w:val="sv-SE"/>
              </w:rPr>
            </w:pPr>
            <w:r w:rsidRPr="009C5807">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3A5AAC3"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594F367" w14:textId="77777777" w:rsidR="0058457E" w:rsidRPr="009C5807" w:rsidRDefault="0058457E" w:rsidP="00485F6E">
            <w:pPr>
              <w:pStyle w:val="TAC"/>
            </w:pPr>
            <w:r w:rsidRPr="009C5807">
              <w:t>-50</w:t>
            </w:r>
          </w:p>
        </w:tc>
      </w:tr>
      <w:tr w:rsidR="000F7DDA" w:rsidRPr="009C5807" w14:paraId="3059198E" w14:textId="77777777" w:rsidTr="00485F6E">
        <w:trPr>
          <w:jc w:val="center"/>
        </w:trPr>
        <w:tc>
          <w:tcPr>
            <w:tcW w:w="1033" w:type="dxa"/>
            <w:tcBorders>
              <w:left w:val="single" w:sz="4" w:space="0" w:color="auto"/>
              <w:right w:val="single" w:sz="6" w:space="0" w:color="auto"/>
            </w:tcBorders>
            <w:shd w:val="clear" w:color="auto" w:fill="auto"/>
          </w:tcPr>
          <w:p w14:paraId="794E7688" w14:textId="75E0021B" w:rsidR="000F7DDA" w:rsidRPr="009C5807" w:rsidRDefault="000F7DDA" w:rsidP="00485F6E">
            <w:pPr>
              <w:pStyle w:val="TAC"/>
            </w:pPr>
            <w:r w:rsidRPr="009C5807">
              <w:rPr>
                <w:rFonts w:cs="Arial"/>
              </w:rPr>
              <w:t>±</w:t>
            </w:r>
            <w:r w:rsidRPr="009C5807">
              <w:t>3</w:t>
            </w:r>
          </w:p>
        </w:tc>
        <w:tc>
          <w:tcPr>
            <w:tcW w:w="1049" w:type="dxa"/>
            <w:tcBorders>
              <w:left w:val="single" w:sz="6" w:space="0" w:color="auto"/>
              <w:right w:val="single" w:sz="6" w:space="0" w:color="auto"/>
            </w:tcBorders>
            <w:shd w:val="clear" w:color="auto" w:fill="auto"/>
          </w:tcPr>
          <w:p w14:paraId="52263006" w14:textId="2DBDC14B" w:rsidR="000F7DDA" w:rsidRPr="009C5807" w:rsidRDefault="000F7DDA" w:rsidP="00485F6E">
            <w:pPr>
              <w:pStyle w:val="TAC"/>
            </w:pPr>
            <w:r w:rsidRPr="009C5807">
              <w:rPr>
                <w:rFonts w:cs="Arial"/>
              </w:rPr>
              <w:t>±</w:t>
            </w:r>
            <w:r w:rsidRPr="009C5807">
              <w:t>4</w:t>
            </w:r>
          </w:p>
        </w:tc>
        <w:tc>
          <w:tcPr>
            <w:tcW w:w="807" w:type="dxa"/>
            <w:tcBorders>
              <w:left w:val="single" w:sz="6" w:space="0" w:color="auto"/>
              <w:right w:val="single" w:sz="6" w:space="0" w:color="auto"/>
            </w:tcBorders>
            <w:shd w:val="clear" w:color="auto" w:fill="auto"/>
          </w:tcPr>
          <w:p w14:paraId="1E0D3052" w14:textId="63AD1AE8" w:rsidR="000F7DDA" w:rsidRPr="009C5807" w:rsidRDefault="000F7DDA" w:rsidP="00485F6E">
            <w:pPr>
              <w:pStyle w:val="TAC"/>
            </w:pPr>
            <w:r w:rsidRPr="009C5807">
              <w:sym w:font="Symbol" w:char="F0B3"/>
            </w:r>
            <w:r w:rsidRPr="009C5807">
              <w:t>-3</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7B0380F8" w14:textId="77777777" w:rsidR="000F7DDA" w:rsidRPr="009C5807" w:rsidRDefault="000F7DDA" w:rsidP="00485F6E">
            <w:pPr>
              <w:pStyle w:val="TAC"/>
              <w:rPr>
                <w:lang w:val="sv-SE"/>
              </w:rPr>
            </w:pPr>
            <w:r w:rsidRPr="009C5807">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077995D" w14:textId="77777777" w:rsidR="000F7DDA" w:rsidRPr="009C5807" w:rsidRDefault="000F7DDA" w:rsidP="00485F6E">
            <w:pPr>
              <w:pStyle w:val="TAC"/>
            </w:pPr>
            <w:r w:rsidRPr="009C5807">
              <w:t>-119.5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7435496" w14:textId="77777777" w:rsidR="000F7DDA" w:rsidRPr="009C5807" w:rsidRDefault="000F7DDA" w:rsidP="00485F6E">
            <w:pPr>
              <w:pStyle w:val="TAC"/>
            </w:pPr>
            <w:r w:rsidRPr="009C5807">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D10C321" w14:textId="77777777" w:rsidR="000F7DDA" w:rsidRPr="009C5807" w:rsidRDefault="000F7DDA"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71A8B26" w14:textId="77777777" w:rsidR="000F7DDA" w:rsidRPr="009C5807" w:rsidRDefault="000F7DDA" w:rsidP="00485F6E">
            <w:pPr>
              <w:pStyle w:val="TAC"/>
            </w:pPr>
            <w:r w:rsidRPr="009C5807">
              <w:t>-50</w:t>
            </w:r>
          </w:p>
        </w:tc>
      </w:tr>
      <w:tr w:rsidR="0058457E" w:rsidRPr="009C5807" w14:paraId="6C4A1EA5" w14:textId="77777777" w:rsidTr="00485F6E">
        <w:trPr>
          <w:jc w:val="center"/>
        </w:trPr>
        <w:tc>
          <w:tcPr>
            <w:tcW w:w="1033" w:type="dxa"/>
            <w:tcBorders>
              <w:left w:val="single" w:sz="4" w:space="0" w:color="auto"/>
              <w:right w:val="single" w:sz="6" w:space="0" w:color="auto"/>
            </w:tcBorders>
            <w:shd w:val="clear" w:color="auto" w:fill="auto"/>
          </w:tcPr>
          <w:p w14:paraId="653633E0" w14:textId="77777777" w:rsidR="0058457E" w:rsidRPr="009C5807" w:rsidRDefault="0058457E" w:rsidP="00485F6E">
            <w:pPr>
              <w:pStyle w:val="TAC"/>
            </w:pPr>
          </w:p>
        </w:tc>
        <w:tc>
          <w:tcPr>
            <w:tcW w:w="1049" w:type="dxa"/>
            <w:tcBorders>
              <w:left w:val="single" w:sz="6" w:space="0" w:color="auto"/>
              <w:right w:val="single" w:sz="6" w:space="0" w:color="auto"/>
            </w:tcBorders>
            <w:shd w:val="clear" w:color="auto" w:fill="auto"/>
          </w:tcPr>
          <w:p w14:paraId="6B7109AA" w14:textId="77777777" w:rsidR="0058457E" w:rsidRPr="009C5807" w:rsidRDefault="0058457E" w:rsidP="00485F6E">
            <w:pPr>
              <w:pStyle w:val="TAC"/>
            </w:pPr>
          </w:p>
        </w:tc>
        <w:tc>
          <w:tcPr>
            <w:tcW w:w="807" w:type="dxa"/>
            <w:tcBorders>
              <w:left w:val="single" w:sz="6" w:space="0" w:color="auto"/>
              <w:right w:val="single" w:sz="6" w:space="0" w:color="auto"/>
            </w:tcBorders>
            <w:shd w:val="clear" w:color="auto" w:fill="auto"/>
          </w:tcPr>
          <w:p w14:paraId="6A8CB12C" w14:textId="77777777" w:rsidR="0058457E" w:rsidRPr="009C5807" w:rsidRDefault="0058457E" w:rsidP="00485F6E">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3275CCE9" w14:textId="77777777" w:rsidR="0058457E" w:rsidRPr="009C5807" w:rsidDel="00836998" w:rsidRDefault="0058457E" w:rsidP="00485F6E">
            <w:pPr>
              <w:pStyle w:val="TAC"/>
              <w:rPr>
                <w:lang w:val="sv-SE"/>
              </w:rPr>
            </w:pPr>
            <w:r w:rsidRPr="009C5807">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C42DE02" w14:textId="77777777" w:rsidR="0058457E" w:rsidRPr="009C5807" w:rsidRDefault="0058457E" w:rsidP="00485F6E">
            <w:pPr>
              <w:pStyle w:val="TAC"/>
            </w:pPr>
            <w:r w:rsidRPr="009C5807">
              <w:t>-119</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C4BEAFC" w14:textId="77777777" w:rsidR="0058457E" w:rsidRPr="009C5807" w:rsidRDefault="0058457E" w:rsidP="00485F6E">
            <w:pPr>
              <w:pStyle w:val="TAC"/>
              <w:rPr>
                <w:lang w:val="sv-SE"/>
              </w:rPr>
            </w:pPr>
            <w:r w:rsidRPr="009C5807">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782B3EA"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C3D0734" w14:textId="77777777" w:rsidR="0058457E" w:rsidRPr="009C5807" w:rsidRDefault="0058457E" w:rsidP="00485F6E">
            <w:pPr>
              <w:pStyle w:val="TAC"/>
            </w:pPr>
            <w:r w:rsidRPr="009C5807">
              <w:t>-50</w:t>
            </w:r>
          </w:p>
        </w:tc>
      </w:tr>
      <w:tr w:rsidR="00CB340B" w:rsidRPr="009C5807" w14:paraId="248DA229" w14:textId="77777777" w:rsidTr="00485F6E">
        <w:trPr>
          <w:jc w:val="center"/>
        </w:trPr>
        <w:tc>
          <w:tcPr>
            <w:tcW w:w="1033" w:type="dxa"/>
            <w:tcBorders>
              <w:left w:val="single" w:sz="4" w:space="0" w:color="auto"/>
              <w:right w:val="single" w:sz="6" w:space="0" w:color="auto"/>
            </w:tcBorders>
            <w:shd w:val="clear" w:color="auto" w:fill="auto"/>
          </w:tcPr>
          <w:p w14:paraId="701189CA" w14:textId="77777777" w:rsidR="00CB340B" w:rsidRPr="009C5807" w:rsidRDefault="00CB340B" w:rsidP="00485F6E">
            <w:pPr>
              <w:pStyle w:val="TAC"/>
            </w:pPr>
          </w:p>
        </w:tc>
        <w:tc>
          <w:tcPr>
            <w:tcW w:w="1049" w:type="dxa"/>
            <w:tcBorders>
              <w:left w:val="single" w:sz="6" w:space="0" w:color="auto"/>
              <w:right w:val="single" w:sz="6" w:space="0" w:color="auto"/>
            </w:tcBorders>
            <w:shd w:val="clear" w:color="auto" w:fill="auto"/>
          </w:tcPr>
          <w:p w14:paraId="6BE00C4E" w14:textId="77777777" w:rsidR="00CB340B" w:rsidRPr="009C5807" w:rsidRDefault="00CB340B" w:rsidP="00485F6E">
            <w:pPr>
              <w:pStyle w:val="TAC"/>
            </w:pPr>
          </w:p>
        </w:tc>
        <w:tc>
          <w:tcPr>
            <w:tcW w:w="807" w:type="dxa"/>
            <w:tcBorders>
              <w:left w:val="single" w:sz="6" w:space="0" w:color="auto"/>
              <w:right w:val="single" w:sz="6" w:space="0" w:color="auto"/>
            </w:tcBorders>
            <w:shd w:val="clear" w:color="auto" w:fill="auto"/>
          </w:tcPr>
          <w:p w14:paraId="0D450B58" w14:textId="77777777" w:rsidR="00CB340B" w:rsidRPr="009C5807" w:rsidRDefault="00CB340B" w:rsidP="00485F6E">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2CD0DDF3" w14:textId="4178847B" w:rsidR="00CB340B" w:rsidRPr="009C5807" w:rsidRDefault="00CB340B" w:rsidP="00485F6E">
            <w:pPr>
              <w:pStyle w:val="TAC"/>
              <w:rPr>
                <w:lang w:val="sv-SE"/>
              </w:rPr>
            </w:pPr>
            <w:r w:rsidRPr="009C5807">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3DF88D8" w14:textId="477F3B06" w:rsidR="00CB340B" w:rsidRPr="009C5807" w:rsidRDefault="00CB340B" w:rsidP="00485F6E">
            <w:pPr>
              <w:pStyle w:val="TAC"/>
            </w:pPr>
            <w:r w:rsidRPr="009C5807">
              <w:t>-118.5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191B0F2" w14:textId="770834EF" w:rsidR="00CB340B" w:rsidRPr="009C5807" w:rsidRDefault="00CB340B" w:rsidP="00485F6E">
            <w:pPr>
              <w:pStyle w:val="TAC"/>
            </w:pPr>
            <w:r w:rsidRPr="009C5807">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D3DEBAA" w14:textId="10E3BA46" w:rsidR="00CB340B" w:rsidRPr="009C5807" w:rsidRDefault="00CB340B"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B8691A0" w14:textId="0B6DD63E" w:rsidR="00CB340B" w:rsidRPr="009C5807" w:rsidRDefault="00CB340B" w:rsidP="00485F6E">
            <w:pPr>
              <w:pStyle w:val="TAC"/>
            </w:pPr>
            <w:r w:rsidRPr="009C5807">
              <w:t>-50</w:t>
            </w:r>
          </w:p>
        </w:tc>
      </w:tr>
      <w:tr w:rsidR="0058457E" w:rsidRPr="009C5807" w14:paraId="3869A898" w14:textId="77777777" w:rsidTr="00485F6E">
        <w:trPr>
          <w:jc w:val="center"/>
        </w:trPr>
        <w:tc>
          <w:tcPr>
            <w:tcW w:w="1033" w:type="dxa"/>
            <w:tcBorders>
              <w:left w:val="single" w:sz="4" w:space="0" w:color="auto"/>
              <w:right w:val="single" w:sz="6" w:space="0" w:color="auto"/>
            </w:tcBorders>
            <w:shd w:val="clear" w:color="auto" w:fill="auto"/>
          </w:tcPr>
          <w:p w14:paraId="72868817" w14:textId="77777777" w:rsidR="0058457E" w:rsidRPr="009C5807" w:rsidRDefault="0058457E" w:rsidP="00485F6E">
            <w:pPr>
              <w:pStyle w:val="TAC"/>
            </w:pPr>
          </w:p>
        </w:tc>
        <w:tc>
          <w:tcPr>
            <w:tcW w:w="1049" w:type="dxa"/>
            <w:tcBorders>
              <w:left w:val="single" w:sz="6" w:space="0" w:color="auto"/>
              <w:right w:val="single" w:sz="6" w:space="0" w:color="auto"/>
            </w:tcBorders>
            <w:shd w:val="clear" w:color="auto" w:fill="auto"/>
          </w:tcPr>
          <w:p w14:paraId="2E1FC6C7" w14:textId="77777777" w:rsidR="0058457E" w:rsidRPr="009C5807" w:rsidRDefault="0058457E" w:rsidP="00485F6E">
            <w:pPr>
              <w:pStyle w:val="TAC"/>
            </w:pPr>
          </w:p>
        </w:tc>
        <w:tc>
          <w:tcPr>
            <w:tcW w:w="807" w:type="dxa"/>
            <w:tcBorders>
              <w:left w:val="single" w:sz="6" w:space="0" w:color="auto"/>
              <w:right w:val="single" w:sz="6" w:space="0" w:color="auto"/>
            </w:tcBorders>
            <w:shd w:val="clear" w:color="auto" w:fill="auto"/>
          </w:tcPr>
          <w:p w14:paraId="141993D7" w14:textId="77777777" w:rsidR="0058457E" w:rsidRPr="009C5807" w:rsidRDefault="0058457E" w:rsidP="00485F6E">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344966E3" w14:textId="77777777" w:rsidR="0058457E" w:rsidRPr="009C5807" w:rsidDel="00836998" w:rsidRDefault="0058457E" w:rsidP="00485F6E">
            <w:pPr>
              <w:pStyle w:val="TAC"/>
              <w:rPr>
                <w:lang w:eastAsia="zh-CN"/>
              </w:rPr>
            </w:pPr>
            <w:r w:rsidRPr="009C5807">
              <w:rPr>
                <w:lang w:eastAsia="zh-CN"/>
              </w:rPr>
              <w:t>NR</w:t>
            </w:r>
            <w:r w:rsidRPr="009C5807">
              <w:t>_</w:t>
            </w:r>
            <w:r w:rsidRPr="009C5807">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EFCECC0" w14:textId="77777777" w:rsidR="0058457E" w:rsidRPr="009C5807" w:rsidRDefault="0058457E" w:rsidP="00485F6E">
            <w:pPr>
              <w:pStyle w:val="TAC"/>
            </w:pPr>
            <w:r w:rsidRPr="009C5807">
              <w:t>-118</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8137D3B" w14:textId="77777777" w:rsidR="0058457E" w:rsidRPr="009C5807" w:rsidRDefault="0058457E" w:rsidP="00485F6E">
            <w:pPr>
              <w:pStyle w:val="TAC"/>
              <w:rPr>
                <w:rFonts w:cs="Arial"/>
                <w:lang w:val="sv-SE"/>
              </w:rPr>
            </w:pPr>
            <w:r w:rsidRPr="009C5807">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EB82776"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9CEAA57" w14:textId="77777777" w:rsidR="0058457E" w:rsidRPr="009C5807" w:rsidRDefault="0058457E" w:rsidP="00485F6E">
            <w:pPr>
              <w:pStyle w:val="TAC"/>
            </w:pPr>
            <w:r w:rsidRPr="009C5807">
              <w:t>-50</w:t>
            </w:r>
          </w:p>
        </w:tc>
      </w:tr>
      <w:tr w:rsidR="0058457E" w:rsidRPr="009C5807" w14:paraId="57ABDA33" w14:textId="77777777" w:rsidTr="00485F6E">
        <w:trPr>
          <w:jc w:val="center"/>
        </w:trPr>
        <w:tc>
          <w:tcPr>
            <w:tcW w:w="1033" w:type="dxa"/>
            <w:tcBorders>
              <w:left w:val="single" w:sz="4" w:space="0" w:color="auto"/>
              <w:right w:val="single" w:sz="6" w:space="0" w:color="auto"/>
            </w:tcBorders>
            <w:shd w:val="clear" w:color="auto" w:fill="auto"/>
          </w:tcPr>
          <w:p w14:paraId="487592A7" w14:textId="77777777" w:rsidR="0058457E" w:rsidRPr="009C5807" w:rsidRDefault="0058457E" w:rsidP="00485F6E">
            <w:pPr>
              <w:pStyle w:val="TAC"/>
            </w:pPr>
          </w:p>
        </w:tc>
        <w:tc>
          <w:tcPr>
            <w:tcW w:w="1049" w:type="dxa"/>
            <w:tcBorders>
              <w:left w:val="single" w:sz="6" w:space="0" w:color="auto"/>
              <w:right w:val="single" w:sz="6" w:space="0" w:color="auto"/>
            </w:tcBorders>
            <w:shd w:val="clear" w:color="auto" w:fill="auto"/>
          </w:tcPr>
          <w:p w14:paraId="6187FCCA" w14:textId="77777777" w:rsidR="0058457E" w:rsidRPr="009C5807" w:rsidRDefault="0058457E" w:rsidP="00485F6E">
            <w:pPr>
              <w:pStyle w:val="TAC"/>
            </w:pPr>
          </w:p>
        </w:tc>
        <w:tc>
          <w:tcPr>
            <w:tcW w:w="807" w:type="dxa"/>
            <w:tcBorders>
              <w:left w:val="single" w:sz="6" w:space="0" w:color="auto"/>
              <w:right w:val="single" w:sz="6" w:space="0" w:color="auto"/>
            </w:tcBorders>
            <w:shd w:val="clear" w:color="auto" w:fill="auto"/>
          </w:tcPr>
          <w:p w14:paraId="38F9AF58" w14:textId="77777777" w:rsidR="0058457E" w:rsidRPr="009C5807" w:rsidRDefault="0058457E" w:rsidP="00485F6E">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5DC89444" w14:textId="77777777" w:rsidR="0058457E" w:rsidRPr="009C5807" w:rsidRDefault="0058457E" w:rsidP="00485F6E">
            <w:pPr>
              <w:pStyle w:val="TAC"/>
              <w:rPr>
                <w:lang w:eastAsia="zh-CN"/>
              </w:rPr>
            </w:pPr>
            <w:r w:rsidRPr="009C5807">
              <w:rPr>
                <w:lang w:eastAsia="zh-CN"/>
              </w:rPr>
              <w:t>NR</w:t>
            </w:r>
            <w:r w:rsidRPr="009C5807">
              <w:t>_</w:t>
            </w:r>
            <w:r w:rsidRPr="009C5807">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2ECD19D" w14:textId="77777777" w:rsidR="0058457E" w:rsidRPr="009C5807" w:rsidRDefault="0058457E" w:rsidP="00485F6E">
            <w:pPr>
              <w:pStyle w:val="TAC"/>
            </w:pPr>
            <w:r w:rsidRPr="009C5807">
              <w:t>-117.5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23256DF" w14:textId="77777777" w:rsidR="0058457E" w:rsidRPr="009C5807" w:rsidRDefault="0058457E" w:rsidP="00485F6E">
            <w:pPr>
              <w:pStyle w:val="TAC"/>
              <w:rPr>
                <w:rFonts w:cs="Arial"/>
                <w:lang w:val="sv-SE"/>
              </w:rPr>
            </w:pPr>
            <w:r w:rsidRPr="009C5807">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03B4C9A"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DF69480" w14:textId="77777777" w:rsidR="0058457E" w:rsidRPr="009C5807" w:rsidRDefault="0058457E" w:rsidP="00485F6E">
            <w:pPr>
              <w:pStyle w:val="TAC"/>
            </w:pPr>
            <w:r w:rsidRPr="009C5807">
              <w:t>-50</w:t>
            </w:r>
          </w:p>
        </w:tc>
      </w:tr>
      <w:tr w:rsidR="0058457E" w:rsidRPr="009C5807" w14:paraId="5A0D3305" w14:textId="77777777" w:rsidTr="00B4408D">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76DEBF59" w14:textId="77777777" w:rsidR="0058457E" w:rsidRPr="009C5807" w:rsidRDefault="0058457E" w:rsidP="00DA6941">
            <w:pPr>
              <w:pStyle w:val="TAN"/>
            </w:pPr>
            <w:r w:rsidRPr="009C5807">
              <w:t>NOTE 1:</w:t>
            </w:r>
            <w:r w:rsidRPr="009C5807">
              <w:tab/>
              <w:t>Io is assumed to have constant EPRE across the bandwidth.</w:t>
            </w:r>
          </w:p>
          <w:p w14:paraId="5A5FBDF4" w14:textId="77777777" w:rsidR="0058457E" w:rsidRPr="009C5807" w:rsidRDefault="0058457E" w:rsidP="00DA6941">
            <w:pPr>
              <w:pStyle w:val="TAN"/>
            </w:pPr>
            <w:r w:rsidRPr="009C5807">
              <w:t>NOTE 2:</w:t>
            </w:r>
            <w:r w:rsidRPr="009C5807">
              <w:tab/>
              <w:t>The parameter SSB Ês/Iot is the minimum SSB Ês/Iot of the pair of SSBs to which the requirement applies.</w:t>
            </w:r>
          </w:p>
          <w:p w14:paraId="260726F7" w14:textId="77777777" w:rsidR="0058457E" w:rsidRPr="009C5807" w:rsidRDefault="0058457E" w:rsidP="00DA6941">
            <w:pPr>
              <w:pStyle w:val="TAN"/>
            </w:pPr>
            <w:r w:rsidRPr="009C5807">
              <w:t>NOTE 3:</w:t>
            </w:r>
            <w:r w:rsidRPr="009C5807">
              <w:tab/>
              <w:t>Void</w:t>
            </w:r>
          </w:p>
          <w:p w14:paraId="7B6E85BA" w14:textId="77777777" w:rsidR="0058457E" w:rsidRPr="009C5807" w:rsidRDefault="0058457E" w:rsidP="00DA6941">
            <w:pPr>
              <w:pStyle w:val="TAN"/>
            </w:pPr>
            <w:r w:rsidRPr="009C5807">
              <w:t>NOTE 4:</w:t>
            </w:r>
            <w:r w:rsidRPr="009C5807">
              <w:tab/>
              <w:t>NR operating band groups in FR1 are as defined in clause 3.5.2.</w:t>
            </w:r>
          </w:p>
        </w:tc>
      </w:tr>
    </w:tbl>
    <w:p w14:paraId="476B29CC" w14:textId="77777777" w:rsidR="0058457E" w:rsidRPr="009C5807" w:rsidRDefault="0058457E" w:rsidP="0058457E">
      <w:pPr>
        <w:rPr>
          <w:lang w:eastAsia="ko-KR"/>
        </w:rPr>
      </w:pPr>
    </w:p>
    <w:p w14:paraId="752F4EEC" w14:textId="77777777" w:rsidR="0058457E" w:rsidRPr="009C5807" w:rsidRDefault="0058457E" w:rsidP="00B018D8">
      <w:pPr>
        <w:pStyle w:val="Heading4"/>
        <w:rPr>
          <w:lang w:val="en-US"/>
        </w:rPr>
      </w:pPr>
      <w:r w:rsidRPr="009C5807">
        <w:rPr>
          <w:lang w:val="en-US"/>
        </w:rPr>
        <w:t>10.1.19.2</w:t>
      </w:r>
      <w:r w:rsidRPr="009C5807">
        <w:rPr>
          <w:lang w:val="en-US"/>
        </w:rPr>
        <w:tab/>
        <w:t>CSI-RS based L1-RSRP accuracy requirements</w:t>
      </w:r>
    </w:p>
    <w:p w14:paraId="32F3AF71" w14:textId="77777777" w:rsidR="0058457E" w:rsidRPr="009C5807" w:rsidRDefault="0058457E" w:rsidP="00B018D8">
      <w:pPr>
        <w:pStyle w:val="Heading5"/>
      </w:pPr>
      <w:r w:rsidRPr="009C5807">
        <w:t>10.1.19.2.1</w:t>
      </w:r>
      <w:r w:rsidRPr="009C5807">
        <w:tab/>
        <w:t>Absolute Accuracy</w:t>
      </w:r>
    </w:p>
    <w:p w14:paraId="499E57B2" w14:textId="77777777" w:rsidR="0058457E" w:rsidRPr="009C5807" w:rsidRDefault="0058457E" w:rsidP="0058457E">
      <w:pPr>
        <w:rPr>
          <w:rFonts w:cs="v4.2.0"/>
          <w:i/>
        </w:rPr>
      </w:pPr>
      <w:r w:rsidRPr="009C5807">
        <w:rPr>
          <w:rFonts w:cs="v4.2.0"/>
        </w:rPr>
        <w:t xml:space="preserve">Unless otherwise specified, the requirements for absolute accuracy of </w:t>
      </w:r>
      <w:r w:rsidRPr="009C5807">
        <w:rPr>
          <w:rFonts w:cs="v4.2.0"/>
          <w:lang w:eastAsia="zh-CN"/>
        </w:rPr>
        <w:t>CSI-RS based L1-</w:t>
      </w:r>
      <w:r w:rsidRPr="009C5807">
        <w:rPr>
          <w:rFonts w:cs="v4.2.0"/>
        </w:rPr>
        <w:t>RSRP in this clause apply to all CSI-RS resources of the serving cell configured for L1-RSRP measurement.</w:t>
      </w:r>
    </w:p>
    <w:p w14:paraId="5A9712BE" w14:textId="77777777" w:rsidR="0058457E" w:rsidRPr="009C5807" w:rsidRDefault="0058457E" w:rsidP="0058457E">
      <w:pPr>
        <w:rPr>
          <w:rFonts w:cs="v4.2.0"/>
        </w:rPr>
      </w:pPr>
      <w:r w:rsidRPr="009C5807">
        <w:rPr>
          <w:rFonts w:cs="v4.2.0"/>
        </w:rPr>
        <w:t xml:space="preserve">The accuracy requirements in Table </w:t>
      </w:r>
      <w:r w:rsidRPr="009C5807">
        <w:rPr>
          <w:rFonts w:cs="v4.2.0"/>
          <w:lang w:eastAsia="zh-CN"/>
        </w:rPr>
        <w:t>10.1.19.2.1</w:t>
      </w:r>
      <w:r w:rsidRPr="009C5807">
        <w:rPr>
          <w:rFonts w:cs="v4.2.0"/>
        </w:rPr>
        <w:t>-1 are valid under the following conditions:</w:t>
      </w:r>
    </w:p>
    <w:p w14:paraId="70B6DD02" w14:textId="77777777" w:rsidR="0058457E" w:rsidRPr="009C5807" w:rsidRDefault="0058457E" w:rsidP="0093237A">
      <w:pPr>
        <w:pStyle w:val="B10"/>
        <w:rPr>
          <w:rFonts w:ascii="Arial" w:hAnsi="Arial"/>
          <w:sz w:val="28"/>
        </w:rPr>
      </w:pPr>
      <w:r w:rsidRPr="009C5807">
        <w:t>-</w:t>
      </w:r>
      <w:r w:rsidRPr="009C5807">
        <w:tab/>
        <w:t>Conditions defined in clause 7.3 of TS 38.101-1 [18] for reference sensitivity are fulfilled.</w:t>
      </w:r>
    </w:p>
    <w:p w14:paraId="32499BB3" w14:textId="77777777" w:rsidR="0058457E" w:rsidRPr="009C5807" w:rsidRDefault="0058457E" w:rsidP="0093237A">
      <w:pPr>
        <w:pStyle w:val="B10"/>
        <w:rPr>
          <w:lang w:eastAsia="zh-CN"/>
        </w:rPr>
      </w:pPr>
      <w:r w:rsidRPr="009C5807">
        <w:t>-</w:t>
      </w:r>
      <w:r w:rsidRPr="009C5807">
        <w:rPr>
          <w:rFonts w:ascii="Arial" w:hAnsi="Arial"/>
          <w:sz w:val="28"/>
          <w:lang w:val="en-US"/>
        </w:rPr>
        <w:tab/>
      </w:r>
      <w:r w:rsidRPr="009C5807">
        <w:t xml:space="preserve">Conditions for L1-RSRP measurements are fulfilled according to Annex B.2.4.2 for a corresponding Band </w:t>
      </w:r>
      <w:r w:rsidRPr="009C5807">
        <w:rPr>
          <w:rFonts w:cs="v4.2.0"/>
          <w:lang w:eastAsia="ko-KR"/>
        </w:rPr>
        <w:t>for each relevant CSI-RS</w:t>
      </w:r>
      <w:r w:rsidRPr="009C5807">
        <w:rPr>
          <w:lang w:eastAsia="zh-CN"/>
        </w:rPr>
        <w:t>.</w:t>
      </w:r>
    </w:p>
    <w:p w14:paraId="4CE6F32D" w14:textId="77777777" w:rsidR="0058457E" w:rsidRPr="009C5807" w:rsidRDefault="0058457E" w:rsidP="0093237A">
      <w:pPr>
        <w:pStyle w:val="B10"/>
        <w:rPr>
          <w:lang w:eastAsia="zh-CN"/>
        </w:rPr>
      </w:pPr>
      <w:r w:rsidRPr="009C5807">
        <w:rPr>
          <w:lang w:eastAsia="zh-CN"/>
        </w:rPr>
        <w:t>-</w:t>
      </w:r>
      <w:r w:rsidRPr="009C5807">
        <w:rPr>
          <w:lang w:eastAsia="zh-CN"/>
        </w:rPr>
        <w:tab/>
        <w:t>The bandwidth of CSI-RS is 48 PRBs and the density is 3.</w:t>
      </w:r>
    </w:p>
    <w:p w14:paraId="530BD452" w14:textId="77777777" w:rsidR="0058457E" w:rsidRPr="009C5807" w:rsidRDefault="0058457E" w:rsidP="0058457E">
      <w:pPr>
        <w:tabs>
          <w:tab w:val="left" w:pos="851"/>
        </w:tabs>
        <w:rPr>
          <w:rFonts w:eastAsia="PMingLiU"/>
          <w:lang w:eastAsia="zh-CN"/>
        </w:rPr>
      </w:pPr>
      <w:r w:rsidRPr="009C5807">
        <w:rPr>
          <w:rFonts w:eastAsia="PMingLiU"/>
          <w:lang w:eastAsia="zh-CN"/>
        </w:rPr>
        <w:t>The performance with larger bandwidth of CSI-RS is equal to or better than the accuracy requirements in Table 10.1.19.2.1-1.</w:t>
      </w:r>
    </w:p>
    <w:p w14:paraId="07DD38DE" w14:textId="77777777" w:rsidR="0058457E" w:rsidRPr="009C5807" w:rsidRDefault="0058457E" w:rsidP="0058457E">
      <w:pPr>
        <w:rPr>
          <w:lang w:eastAsia="zh-CN"/>
        </w:rPr>
      </w:pPr>
    </w:p>
    <w:p w14:paraId="4CDB3F6A" w14:textId="77777777" w:rsidR="0058457E" w:rsidRPr="009C5807" w:rsidRDefault="0058457E" w:rsidP="0093237A">
      <w:pPr>
        <w:pStyle w:val="TH"/>
      </w:pPr>
      <w:r w:rsidRPr="009C5807">
        <w:t>Table 10.1.19.2.1-1: CSI-RS based L1-RSRP absolute accuracy in FR1</w:t>
      </w:r>
    </w:p>
    <w:tbl>
      <w:tblPr>
        <w:tblW w:w="10172" w:type="dxa"/>
        <w:jc w:val="center"/>
        <w:tblLook w:val="01E0" w:firstRow="1" w:lastRow="1" w:firstColumn="1" w:lastColumn="1" w:noHBand="0" w:noVBand="0"/>
      </w:tblPr>
      <w:tblGrid>
        <w:gridCol w:w="1031"/>
        <w:gridCol w:w="1043"/>
        <w:gridCol w:w="780"/>
        <w:gridCol w:w="1957"/>
        <w:gridCol w:w="827"/>
        <w:gridCol w:w="827"/>
        <w:gridCol w:w="827"/>
        <w:gridCol w:w="1440"/>
        <w:gridCol w:w="1440"/>
      </w:tblGrid>
      <w:tr w:rsidR="0058457E" w:rsidRPr="009C5807" w14:paraId="57F4EF02" w14:textId="77777777" w:rsidTr="00B4408D">
        <w:trPr>
          <w:jc w:val="center"/>
        </w:trPr>
        <w:tc>
          <w:tcPr>
            <w:tcW w:w="2074"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121CAA24" w14:textId="77777777" w:rsidR="0058457E" w:rsidRPr="009C5807" w:rsidRDefault="0058457E" w:rsidP="00330D9C">
            <w:pPr>
              <w:pStyle w:val="TAH"/>
            </w:pPr>
            <w:r w:rsidRPr="009C5807">
              <w:t>Accuracy</w:t>
            </w:r>
          </w:p>
        </w:tc>
        <w:tc>
          <w:tcPr>
            <w:tcW w:w="8098"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70B7D861" w14:textId="77777777" w:rsidR="0058457E" w:rsidRPr="009C5807" w:rsidRDefault="0058457E" w:rsidP="00330D9C">
            <w:pPr>
              <w:pStyle w:val="TAH"/>
            </w:pPr>
            <w:r w:rsidRPr="009C5807">
              <w:t>Conditions</w:t>
            </w:r>
          </w:p>
        </w:tc>
      </w:tr>
      <w:tr w:rsidR="0058457E" w:rsidRPr="009C5807" w14:paraId="5867D300" w14:textId="77777777" w:rsidTr="005D2E23">
        <w:trPr>
          <w:jc w:val="center"/>
        </w:trPr>
        <w:tc>
          <w:tcPr>
            <w:tcW w:w="1031" w:type="dxa"/>
            <w:tcBorders>
              <w:top w:val="single" w:sz="6" w:space="0" w:color="auto"/>
              <w:left w:val="single" w:sz="4" w:space="0" w:color="auto"/>
              <w:right w:val="single" w:sz="6" w:space="0" w:color="auto"/>
            </w:tcBorders>
            <w:shd w:val="clear" w:color="auto" w:fill="auto"/>
            <w:vAlign w:val="center"/>
          </w:tcPr>
          <w:p w14:paraId="6A81FD9C" w14:textId="77777777" w:rsidR="0058457E" w:rsidRPr="009C5807" w:rsidRDefault="0058457E" w:rsidP="00330D9C">
            <w:pPr>
              <w:pStyle w:val="TAH"/>
            </w:pPr>
            <w:r w:rsidRPr="009C5807">
              <w:t>Normal condition</w:t>
            </w:r>
          </w:p>
        </w:tc>
        <w:tc>
          <w:tcPr>
            <w:tcW w:w="1043" w:type="dxa"/>
            <w:tcBorders>
              <w:top w:val="single" w:sz="6" w:space="0" w:color="auto"/>
              <w:left w:val="single" w:sz="6" w:space="0" w:color="auto"/>
              <w:right w:val="single" w:sz="6" w:space="0" w:color="auto"/>
            </w:tcBorders>
            <w:shd w:val="clear" w:color="auto" w:fill="auto"/>
            <w:vAlign w:val="center"/>
          </w:tcPr>
          <w:p w14:paraId="17EB3A5E" w14:textId="77777777" w:rsidR="0058457E" w:rsidRPr="009C5807" w:rsidRDefault="0058457E" w:rsidP="00330D9C">
            <w:pPr>
              <w:pStyle w:val="TAH"/>
            </w:pPr>
            <w:r w:rsidRPr="009C5807">
              <w:t>Extreme condition</w:t>
            </w:r>
          </w:p>
        </w:tc>
        <w:tc>
          <w:tcPr>
            <w:tcW w:w="780" w:type="dxa"/>
            <w:tcBorders>
              <w:top w:val="single" w:sz="6" w:space="0" w:color="auto"/>
              <w:left w:val="single" w:sz="6" w:space="0" w:color="auto"/>
              <w:right w:val="single" w:sz="6" w:space="0" w:color="auto"/>
            </w:tcBorders>
            <w:shd w:val="clear" w:color="auto" w:fill="auto"/>
            <w:vAlign w:val="center"/>
          </w:tcPr>
          <w:p w14:paraId="362AE2D1" w14:textId="77777777" w:rsidR="0058457E" w:rsidRPr="009C5807" w:rsidRDefault="0058457E" w:rsidP="00330D9C">
            <w:pPr>
              <w:pStyle w:val="TAH"/>
            </w:pPr>
            <w:r w:rsidRPr="009C5807">
              <w:t>CSI-RS Ês/Iot</w:t>
            </w:r>
          </w:p>
        </w:tc>
        <w:tc>
          <w:tcPr>
            <w:tcW w:w="7318"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264C4E62" w14:textId="77777777" w:rsidR="0058457E" w:rsidRPr="009C5807" w:rsidRDefault="0058457E" w:rsidP="00330D9C">
            <w:pPr>
              <w:pStyle w:val="TAH"/>
            </w:pPr>
            <w:r w:rsidRPr="009C5807">
              <w:t>Io</w:t>
            </w:r>
            <w:r w:rsidRPr="009C5807">
              <w:rPr>
                <w:vertAlign w:val="superscript"/>
              </w:rPr>
              <w:t xml:space="preserve"> Note 1</w:t>
            </w:r>
            <w:r w:rsidRPr="009C5807">
              <w:t xml:space="preserve"> range</w:t>
            </w:r>
          </w:p>
        </w:tc>
      </w:tr>
      <w:tr w:rsidR="0058457E" w:rsidRPr="009C5807" w14:paraId="4DBF3F71" w14:textId="77777777" w:rsidTr="005D2E23">
        <w:trPr>
          <w:jc w:val="center"/>
        </w:trPr>
        <w:tc>
          <w:tcPr>
            <w:tcW w:w="1031" w:type="dxa"/>
            <w:tcBorders>
              <w:left w:val="single" w:sz="4" w:space="0" w:color="auto"/>
              <w:bottom w:val="single" w:sz="6" w:space="0" w:color="auto"/>
              <w:right w:val="single" w:sz="6" w:space="0" w:color="auto"/>
            </w:tcBorders>
            <w:shd w:val="clear" w:color="auto" w:fill="auto"/>
            <w:vAlign w:val="center"/>
          </w:tcPr>
          <w:p w14:paraId="22169931" w14:textId="77777777" w:rsidR="0058457E" w:rsidRPr="009C5807" w:rsidRDefault="0058457E" w:rsidP="00330D9C">
            <w:pPr>
              <w:pStyle w:val="TAH"/>
            </w:pPr>
          </w:p>
        </w:tc>
        <w:tc>
          <w:tcPr>
            <w:tcW w:w="1043" w:type="dxa"/>
            <w:tcBorders>
              <w:left w:val="single" w:sz="6" w:space="0" w:color="auto"/>
              <w:bottom w:val="single" w:sz="6" w:space="0" w:color="auto"/>
              <w:right w:val="single" w:sz="6" w:space="0" w:color="auto"/>
            </w:tcBorders>
            <w:shd w:val="clear" w:color="auto" w:fill="auto"/>
            <w:vAlign w:val="center"/>
          </w:tcPr>
          <w:p w14:paraId="57FFBFBF" w14:textId="77777777" w:rsidR="0058457E" w:rsidRPr="009C5807" w:rsidRDefault="0058457E" w:rsidP="00330D9C">
            <w:pPr>
              <w:pStyle w:val="TAH"/>
            </w:pPr>
          </w:p>
        </w:tc>
        <w:tc>
          <w:tcPr>
            <w:tcW w:w="780" w:type="dxa"/>
            <w:tcBorders>
              <w:left w:val="single" w:sz="6" w:space="0" w:color="auto"/>
              <w:bottom w:val="single" w:sz="6" w:space="0" w:color="auto"/>
              <w:right w:val="single" w:sz="6" w:space="0" w:color="auto"/>
            </w:tcBorders>
            <w:shd w:val="clear" w:color="auto" w:fill="auto"/>
            <w:vAlign w:val="center"/>
          </w:tcPr>
          <w:p w14:paraId="096BDF27" w14:textId="77777777" w:rsidR="0058457E" w:rsidRPr="009C5807" w:rsidRDefault="0058457E" w:rsidP="00330D9C">
            <w:pPr>
              <w:pStyle w:val="TAH"/>
            </w:pP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0A5C89B4" w14:textId="77777777" w:rsidR="0058457E" w:rsidRPr="009C5807" w:rsidRDefault="0058457E" w:rsidP="00330D9C">
            <w:pPr>
              <w:pStyle w:val="TAH"/>
            </w:pPr>
            <w:r w:rsidRPr="009C5807">
              <w:t>NR operating band groups</w:t>
            </w:r>
            <w:r w:rsidRPr="009C5807">
              <w:rPr>
                <w:vertAlign w:val="superscript"/>
              </w:rPr>
              <w:t xml:space="preserve"> Note 2</w:t>
            </w:r>
          </w:p>
        </w:tc>
        <w:tc>
          <w:tcPr>
            <w:tcW w:w="3921"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1B1B6A27" w14:textId="77777777" w:rsidR="0058457E" w:rsidRPr="009C5807" w:rsidRDefault="0058457E" w:rsidP="00330D9C">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5C410A5" w14:textId="77777777" w:rsidR="0058457E" w:rsidRPr="009C5807" w:rsidRDefault="0058457E" w:rsidP="00330D9C">
            <w:pPr>
              <w:pStyle w:val="TAH"/>
            </w:pPr>
            <w:r w:rsidRPr="009C5807">
              <w:t>Maximum Io</w:t>
            </w:r>
          </w:p>
        </w:tc>
      </w:tr>
      <w:tr w:rsidR="0058457E" w:rsidRPr="009C5807" w14:paraId="1021E943" w14:textId="77777777" w:rsidTr="0058457E">
        <w:trPr>
          <w:trHeight w:val="308"/>
          <w:jc w:val="center"/>
        </w:trPr>
        <w:tc>
          <w:tcPr>
            <w:tcW w:w="1031" w:type="dxa"/>
            <w:tcBorders>
              <w:top w:val="single" w:sz="6" w:space="0" w:color="auto"/>
              <w:left w:val="single" w:sz="4" w:space="0" w:color="auto"/>
              <w:right w:val="single" w:sz="6" w:space="0" w:color="auto"/>
            </w:tcBorders>
            <w:shd w:val="clear" w:color="auto" w:fill="auto"/>
            <w:vAlign w:val="center"/>
          </w:tcPr>
          <w:p w14:paraId="3CF1A00D" w14:textId="77777777" w:rsidR="0058457E" w:rsidRPr="009C5807" w:rsidRDefault="0058457E" w:rsidP="00330D9C">
            <w:pPr>
              <w:pStyle w:val="TAH"/>
            </w:pPr>
            <w:r w:rsidRPr="009C5807">
              <w:t>dB</w:t>
            </w:r>
          </w:p>
        </w:tc>
        <w:tc>
          <w:tcPr>
            <w:tcW w:w="1043" w:type="dxa"/>
            <w:tcBorders>
              <w:top w:val="single" w:sz="6" w:space="0" w:color="auto"/>
              <w:left w:val="single" w:sz="6" w:space="0" w:color="auto"/>
              <w:right w:val="single" w:sz="6" w:space="0" w:color="auto"/>
            </w:tcBorders>
            <w:shd w:val="clear" w:color="auto" w:fill="auto"/>
            <w:vAlign w:val="center"/>
          </w:tcPr>
          <w:p w14:paraId="1C95EFF0" w14:textId="77777777" w:rsidR="0058457E" w:rsidRPr="009C5807" w:rsidRDefault="0058457E" w:rsidP="00330D9C">
            <w:pPr>
              <w:pStyle w:val="TAH"/>
            </w:pPr>
            <w:r w:rsidRPr="009C5807">
              <w:t>dB</w:t>
            </w:r>
          </w:p>
        </w:tc>
        <w:tc>
          <w:tcPr>
            <w:tcW w:w="780" w:type="dxa"/>
            <w:tcBorders>
              <w:top w:val="single" w:sz="6" w:space="0" w:color="auto"/>
              <w:left w:val="single" w:sz="6" w:space="0" w:color="auto"/>
              <w:right w:val="single" w:sz="6" w:space="0" w:color="auto"/>
            </w:tcBorders>
            <w:shd w:val="clear" w:color="auto" w:fill="auto"/>
            <w:vAlign w:val="center"/>
          </w:tcPr>
          <w:p w14:paraId="3F227C2A" w14:textId="77777777" w:rsidR="0058457E" w:rsidRPr="009C5807" w:rsidRDefault="0058457E" w:rsidP="00330D9C">
            <w:pPr>
              <w:pStyle w:val="TAH"/>
            </w:pPr>
            <w:r w:rsidRPr="009C5807">
              <w:t>dB</w:t>
            </w:r>
          </w:p>
        </w:tc>
        <w:tc>
          <w:tcPr>
            <w:tcW w:w="1957" w:type="dxa"/>
            <w:tcBorders>
              <w:top w:val="single" w:sz="6" w:space="0" w:color="auto"/>
              <w:left w:val="single" w:sz="6" w:space="0" w:color="auto"/>
              <w:right w:val="single" w:sz="4" w:space="0" w:color="auto"/>
            </w:tcBorders>
            <w:shd w:val="clear" w:color="auto" w:fill="auto"/>
            <w:vAlign w:val="center"/>
          </w:tcPr>
          <w:p w14:paraId="29023705" w14:textId="77777777" w:rsidR="0058457E" w:rsidRPr="009C5807" w:rsidRDefault="0058457E" w:rsidP="00330D9C">
            <w:pPr>
              <w:pStyle w:val="TAH"/>
            </w:pPr>
          </w:p>
        </w:tc>
        <w:tc>
          <w:tcPr>
            <w:tcW w:w="2481"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5057389" w14:textId="77777777" w:rsidR="0058457E" w:rsidRPr="009C5807" w:rsidRDefault="0058457E" w:rsidP="00330D9C">
            <w:pPr>
              <w:pStyle w:val="TAH"/>
            </w:pPr>
            <w:r w:rsidRPr="009C5807">
              <w:rPr>
                <w:rFonts w:cs="Arial"/>
              </w:rPr>
              <w:t xml:space="preserve">dBm / </w:t>
            </w:r>
            <w:r w:rsidRPr="009C5807">
              <w:t>SCS</w:t>
            </w:r>
            <w:r w:rsidRPr="009C5807">
              <w:rPr>
                <w:vertAlign w:val="subscript"/>
              </w:rPr>
              <w:t>CSI-RS</w:t>
            </w:r>
          </w:p>
        </w:tc>
        <w:tc>
          <w:tcPr>
            <w:tcW w:w="1440" w:type="dxa"/>
            <w:tcBorders>
              <w:top w:val="single" w:sz="6" w:space="0" w:color="auto"/>
              <w:left w:val="single" w:sz="6" w:space="0" w:color="auto"/>
              <w:right w:val="single" w:sz="6" w:space="0" w:color="auto"/>
            </w:tcBorders>
            <w:shd w:val="clear" w:color="auto" w:fill="auto"/>
            <w:vAlign w:val="center"/>
          </w:tcPr>
          <w:p w14:paraId="4D2E3BDD" w14:textId="77777777" w:rsidR="0058457E" w:rsidRPr="009C5807" w:rsidRDefault="0058457E" w:rsidP="00330D9C">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01BB791C" w14:textId="77777777" w:rsidR="0058457E" w:rsidRPr="009C5807" w:rsidRDefault="0058457E" w:rsidP="00330D9C">
            <w:pPr>
              <w:pStyle w:val="TAH"/>
            </w:pPr>
            <w:r w:rsidRPr="009C5807">
              <w:t>dBm/BW</w:t>
            </w:r>
            <w:r w:rsidRPr="009C5807">
              <w:rPr>
                <w:vertAlign w:val="subscript"/>
              </w:rPr>
              <w:t>Channel</w:t>
            </w:r>
          </w:p>
        </w:tc>
      </w:tr>
      <w:tr w:rsidR="0058457E" w:rsidRPr="009C5807" w14:paraId="0222BF8D" w14:textId="77777777" w:rsidTr="005D2E23">
        <w:trPr>
          <w:trHeight w:val="307"/>
          <w:jc w:val="center"/>
        </w:trPr>
        <w:tc>
          <w:tcPr>
            <w:tcW w:w="1031" w:type="dxa"/>
            <w:tcBorders>
              <w:left w:val="single" w:sz="4" w:space="0" w:color="auto"/>
              <w:bottom w:val="single" w:sz="6" w:space="0" w:color="auto"/>
              <w:right w:val="single" w:sz="6" w:space="0" w:color="auto"/>
            </w:tcBorders>
            <w:shd w:val="clear" w:color="auto" w:fill="auto"/>
            <w:vAlign w:val="center"/>
          </w:tcPr>
          <w:p w14:paraId="7FFE6AC2" w14:textId="77777777" w:rsidR="0058457E" w:rsidRPr="009C5807" w:rsidRDefault="0058457E" w:rsidP="00330D9C">
            <w:pPr>
              <w:pStyle w:val="TAH"/>
            </w:pPr>
          </w:p>
        </w:tc>
        <w:tc>
          <w:tcPr>
            <w:tcW w:w="1043" w:type="dxa"/>
            <w:tcBorders>
              <w:left w:val="single" w:sz="6" w:space="0" w:color="auto"/>
              <w:bottom w:val="single" w:sz="6" w:space="0" w:color="auto"/>
              <w:right w:val="single" w:sz="6" w:space="0" w:color="auto"/>
            </w:tcBorders>
            <w:shd w:val="clear" w:color="auto" w:fill="auto"/>
            <w:vAlign w:val="center"/>
          </w:tcPr>
          <w:p w14:paraId="5E5286E4" w14:textId="77777777" w:rsidR="0058457E" w:rsidRPr="009C5807" w:rsidRDefault="0058457E" w:rsidP="00330D9C">
            <w:pPr>
              <w:pStyle w:val="TAH"/>
            </w:pPr>
          </w:p>
        </w:tc>
        <w:tc>
          <w:tcPr>
            <w:tcW w:w="780" w:type="dxa"/>
            <w:tcBorders>
              <w:left w:val="single" w:sz="6" w:space="0" w:color="auto"/>
              <w:bottom w:val="single" w:sz="6" w:space="0" w:color="auto"/>
              <w:right w:val="single" w:sz="6" w:space="0" w:color="auto"/>
            </w:tcBorders>
            <w:shd w:val="clear" w:color="auto" w:fill="auto"/>
            <w:vAlign w:val="center"/>
          </w:tcPr>
          <w:p w14:paraId="1F0DC0C2" w14:textId="77777777" w:rsidR="0058457E" w:rsidRPr="009C5807" w:rsidRDefault="0058457E" w:rsidP="00330D9C">
            <w:pPr>
              <w:pStyle w:val="TAH"/>
            </w:pPr>
          </w:p>
        </w:tc>
        <w:tc>
          <w:tcPr>
            <w:tcW w:w="1957" w:type="dxa"/>
            <w:tcBorders>
              <w:left w:val="single" w:sz="6" w:space="0" w:color="auto"/>
              <w:bottom w:val="single" w:sz="6" w:space="0" w:color="auto"/>
              <w:right w:val="single" w:sz="4" w:space="0" w:color="auto"/>
            </w:tcBorders>
            <w:shd w:val="clear" w:color="auto" w:fill="auto"/>
            <w:vAlign w:val="center"/>
          </w:tcPr>
          <w:p w14:paraId="6DA8837A" w14:textId="77777777" w:rsidR="0058457E" w:rsidRPr="009C5807" w:rsidRDefault="0058457E" w:rsidP="00330D9C">
            <w:pPr>
              <w:pStyle w:val="TAH"/>
            </w:pP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74C8D794" w14:textId="77777777" w:rsidR="0058457E" w:rsidRPr="009C5807" w:rsidRDefault="0058457E" w:rsidP="00330D9C">
            <w:pPr>
              <w:pStyle w:val="TAH"/>
              <w:rPr>
                <w:rFonts w:cs="Arial"/>
              </w:rPr>
            </w:pPr>
            <w:r w:rsidRPr="009C5807">
              <w:t>SCS</w:t>
            </w:r>
            <w:r w:rsidRPr="009C5807">
              <w:rPr>
                <w:vertAlign w:val="subscript"/>
              </w:rPr>
              <w:t>CSI-RS</w:t>
            </w:r>
            <w:r w:rsidRPr="009C5807">
              <w:rPr>
                <w:rFonts w:cs="Arial"/>
              </w:rPr>
              <w:t xml:space="preserve"> = 15 kHz</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58033722" w14:textId="77777777" w:rsidR="0058457E" w:rsidRPr="009C5807" w:rsidRDefault="0058457E" w:rsidP="00330D9C">
            <w:pPr>
              <w:pStyle w:val="TAH"/>
              <w:rPr>
                <w:rFonts w:cs="Arial"/>
              </w:rPr>
            </w:pPr>
            <w:r w:rsidRPr="009C5807">
              <w:t>SCS</w:t>
            </w:r>
            <w:r w:rsidRPr="009C5807">
              <w:rPr>
                <w:vertAlign w:val="subscript"/>
              </w:rPr>
              <w:t>CSI-RS</w:t>
            </w:r>
            <w:r w:rsidRPr="009C5807">
              <w:rPr>
                <w:rFonts w:cs="Arial"/>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0E6702A0" w14:textId="77777777" w:rsidR="0058457E" w:rsidRPr="009C5807" w:rsidRDefault="0058457E" w:rsidP="00330D9C">
            <w:pPr>
              <w:pStyle w:val="TAH"/>
              <w:rPr>
                <w:rFonts w:cs="Arial"/>
              </w:rPr>
            </w:pPr>
            <w:r w:rsidRPr="009C5807">
              <w:t>SCS</w:t>
            </w:r>
            <w:r w:rsidRPr="009C5807">
              <w:rPr>
                <w:vertAlign w:val="subscript"/>
              </w:rPr>
              <w:t>CSI-RS</w:t>
            </w:r>
            <w:r w:rsidRPr="009C5807">
              <w:rPr>
                <w:rFonts w:cs="Arial"/>
              </w:rPr>
              <w:t xml:space="preserve"> = 60 kHz</w:t>
            </w:r>
          </w:p>
        </w:tc>
        <w:tc>
          <w:tcPr>
            <w:tcW w:w="1440" w:type="dxa"/>
            <w:tcBorders>
              <w:left w:val="single" w:sz="6" w:space="0" w:color="auto"/>
              <w:bottom w:val="single" w:sz="6" w:space="0" w:color="auto"/>
              <w:right w:val="single" w:sz="6" w:space="0" w:color="auto"/>
            </w:tcBorders>
            <w:shd w:val="clear" w:color="auto" w:fill="auto"/>
            <w:vAlign w:val="center"/>
          </w:tcPr>
          <w:p w14:paraId="20DC5D7D" w14:textId="77777777" w:rsidR="0058457E" w:rsidRPr="009C5807" w:rsidRDefault="0058457E" w:rsidP="00330D9C">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40FB4214" w14:textId="77777777" w:rsidR="0058457E" w:rsidRPr="009C5807" w:rsidRDefault="0058457E" w:rsidP="00330D9C">
            <w:pPr>
              <w:pStyle w:val="TAH"/>
            </w:pPr>
          </w:p>
        </w:tc>
      </w:tr>
      <w:tr w:rsidR="0058457E" w:rsidRPr="009C5807" w14:paraId="372855F7" w14:textId="77777777" w:rsidTr="00485F6E">
        <w:trPr>
          <w:jc w:val="center"/>
        </w:trPr>
        <w:tc>
          <w:tcPr>
            <w:tcW w:w="1031" w:type="dxa"/>
            <w:tcBorders>
              <w:top w:val="single" w:sz="6" w:space="0" w:color="auto"/>
              <w:left w:val="single" w:sz="4" w:space="0" w:color="auto"/>
              <w:right w:val="single" w:sz="6" w:space="0" w:color="auto"/>
            </w:tcBorders>
            <w:shd w:val="clear" w:color="auto" w:fill="auto"/>
          </w:tcPr>
          <w:p w14:paraId="0A1B463D" w14:textId="7777DDE2" w:rsidR="0058457E" w:rsidRPr="009C5807" w:rsidRDefault="0058457E" w:rsidP="00485F6E">
            <w:pPr>
              <w:pStyle w:val="TAC"/>
            </w:pPr>
          </w:p>
        </w:tc>
        <w:tc>
          <w:tcPr>
            <w:tcW w:w="1043" w:type="dxa"/>
            <w:tcBorders>
              <w:top w:val="single" w:sz="6" w:space="0" w:color="auto"/>
              <w:left w:val="single" w:sz="6" w:space="0" w:color="auto"/>
              <w:right w:val="single" w:sz="6" w:space="0" w:color="auto"/>
            </w:tcBorders>
            <w:shd w:val="clear" w:color="auto" w:fill="auto"/>
          </w:tcPr>
          <w:p w14:paraId="5362469D" w14:textId="54345A45" w:rsidR="0058457E" w:rsidRPr="009C5807" w:rsidRDefault="0058457E" w:rsidP="00485F6E">
            <w:pPr>
              <w:pStyle w:val="TAC"/>
            </w:pPr>
          </w:p>
        </w:tc>
        <w:tc>
          <w:tcPr>
            <w:tcW w:w="780" w:type="dxa"/>
            <w:tcBorders>
              <w:top w:val="single" w:sz="6" w:space="0" w:color="auto"/>
              <w:left w:val="single" w:sz="6" w:space="0" w:color="auto"/>
              <w:right w:val="single" w:sz="6" w:space="0" w:color="auto"/>
            </w:tcBorders>
            <w:shd w:val="clear" w:color="auto" w:fill="auto"/>
          </w:tcPr>
          <w:p w14:paraId="7C3BC532" w14:textId="1C3C667C" w:rsidR="0058457E" w:rsidRPr="009C5807" w:rsidRDefault="0058457E" w:rsidP="00485F6E">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1C090DB8" w14:textId="77777777" w:rsidR="0058457E" w:rsidRPr="009C5807" w:rsidRDefault="0058457E" w:rsidP="00485F6E">
            <w:pPr>
              <w:pStyle w:val="TAC"/>
            </w:pPr>
            <w:r w:rsidRPr="009C5807">
              <w:t>NR_FDD_FR1_A, NR_TDD_FR1_A,</w:t>
            </w:r>
          </w:p>
          <w:p w14:paraId="22601DBE" w14:textId="77777777" w:rsidR="0058457E" w:rsidRPr="009C5807" w:rsidRDefault="0058457E" w:rsidP="00485F6E">
            <w:pPr>
              <w:pStyle w:val="TAC"/>
            </w:pPr>
            <w:r w:rsidRPr="009C5807">
              <w:t>NR_SDL_FR1_A</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C61C9F4" w14:textId="77777777" w:rsidR="0058457E" w:rsidRPr="009C5807" w:rsidRDefault="0058457E" w:rsidP="00485F6E">
            <w:pPr>
              <w:pStyle w:val="TAC"/>
            </w:pPr>
            <w:r w:rsidRPr="009C5807">
              <w:t>-121</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E8D7DDE" w14:textId="77777777" w:rsidR="0058457E" w:rsidRPr="009C5807" w:rsidRDefault="0058457E" w:rsidP="00485F6E">
            <w:pPr>
              <w:pStyle w:val="TAC"/>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5227A87" w14:textId="77777777" w:rsidR="0058457E" w:rsidRPr="009C5807" w:rsidRDefault="0058457E" w:rsidP="00485F6E">
            <w:pPr>
              <w:pStyle w:val="TAC"/>
            </w:pPr>
            <w:r w:rsidRPr="009C5807">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6C34E75"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DA5A7EF" w14:textId="77777777" w:rsidR="0058457E" w:rsidRPr="009C5807" w:rsidRDefault="0058457E" w:rsidP="00485F6E">
            <w:pPr>
              <w:pStyle w:val="TAC"/>
            </w:pPr>
            <w:r w:rsidRPr="009C5807">
              <w:t>-70</w:t>
            </w:r>
          </w:p>
        </w:tc>
      </w:tr>
      <w:tr w:rsidR="0058457E" w:rsidRPr="009C5807" w14:paraId="527DDE53" w14:textId="77777777" w:rsidTr="00485F6E">
        <w:trPr>
          <w:jc w:val="center"/>
        </w:trPr>
        <w:tc>
          <w:tcPr>
            <w:tcW w:w="1031" w:type="dxa"/>
            <w:tcBorders>
              <w:left w:val="single" w:sz="4" w:space="0" w:color="auto"/>
              <w:right w:val="single" w:sz="6" w:space="0" w:color="auto"/>
            </w:tcBorders>
            <w:shd w:val="clear" w:color="auto" w:fill="auto"/>
          </w:tcPr>
          <w:p w14:paraId="2176ABEA" w14:textId="77777777" w:rsidR="0058457E" w:rsidRPr="009C5807" w:rsidRDefault="0058457E" w:rsidP="00485F6E">
            <w:pPr>
              <w:pStyle w:val="TAC"/>
            </w:pPr>
          </w:p>
        </w:tc>
        <w:tc>
          <w:tcPr>
            <w:tcW w:w="1043" w:type="dxa"/>
            <w:tcBorders>
              <w:left w:val="single" w:sz="6" w:space="0" w:color="auto"/>
              <w:right w:val="single" w:sz="6" w:space="0" w:color="auto"/>
            </w:tcBorders>
            <w:shd w:val="clear" w:color="auto" w:fill="auto"/>
          </w:tcPr>
          <w:p w14:paraId="60ADF8E9" w14:textId="77777777" w:rsidR="0058457E" w:rsidRPr="009C5807" w:rsidRDefault="0058457E" w:rsidP="00485F6E">
            <w:pPr>
              <w:pStyle w:val="TAC"/>
            </w:pPr>
          </w:p>
        </w:tc>
        <w:tc>
          <w:tcPr>
            <w:tcW w:w="780" w:type="dxa"/>
            <w:tcBorders>
              <w:left w:val="single" w:sz="6" w:space="0" w:color="auto"/>
              <w:right w:val="single" w:sz="6" w:space="0" w:color="auto"/>
            </w:tcBorders>
            <w:shd w:val="clear" w:color="auto" w:fill="auto"/>
          </w:tcPr>
          <w:p w14:paraId="0D32F8BC" w14:textId="77777777" w:rsidR="0058457E" w:rsidRPr="009C5807" w:rsidRDefault="0058457E" w:rsidP="00485F6E">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777D01F6" w14:textId="77777777" w:rsidR="0058457E" w:rsidRPr="009C5807" w:rsidRDefault="0058457E" w:rsidP="00485F6E">
            <w:pPr>
              <w:pStyle w:val="TAC"/>
            </w:pPr>
            <w:r w:rsidRPr="009C5807">
              <w:t>NR_FDD_FR1_B</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1C12704" w14:textId="77777777" w:rsidR="0058457E" w:rsidRPr="009C5807" w:rsidRDefault="0058457E" w:rsidP="00485F6E">
            <w:pPr>
              <w:pStyle w:val="TAC"/>
            </w:pPr>
            <w:r w:rsidRPr="009C5807">
              <w:t>-120.5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A02869E" w14:textId="77777777" w:rsidR="0058457E" w:rsidRPr="009C5807" w:rsidRDefault="0058457E" w:rsidP="00485F6E">
            <w:pPr>
              <w:pStyle w:val="TAC"/>
              <w:rPr>
                <w:lang w:val="sv-SE"/>
              </w:rPr>
            </w:pPr>
            <w:r w:rsidRPr="009C5807">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DF31DCA" w14:textId="77777777" w:rsidR="0058457E" w:rsidRPr="009C5807" w:rsidRDefault="0058457E" w:rsidP="00485F6E">
            <w:pPr>
              <w:pStyle w:val="TAC"/>
              <w:rPr>
                <w:lang w:val="sv-SE"/>
              </w:rPr>
            </w:pPr>
            <w:r w:rsidRPr="009C5807">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2CA7F50"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D82EAFD" w14:textId="77777777" w:rsidR="0058457E" w:rsidRPr="009C5807" w:rsidRDefault="0058457E" w:rsidP="00485F6E">
            <w:pPr>
              <w:pStyle w:val="TAC"/>
            </w:pPr>
            <w:r w:rsidRPr="009C5807">
              <w:t>-70</w:t>
            </w:r>
          </w:p>
        </w:tc>
      </w:tr>
      <w:tr w:rsidR="0058457E" w:rsidRPr="009C5807" w14:paraId="1C947D27" w14:textId="77777777" w:rsidTr="00485F6E">
        <w:trPr>
          <w:jc w:val="center"/>
        </w:trPr>
        <w:tc>
          <w:tcPr>
            <w:tcW w:w="1031" w:type="dxa"/>
            <w:tcBorders>
              <w:left w:val="single" w:sz="4" w:space="0" w:color="auto"/>
              <w:right w:val="single" w:sz="6" w:space="0" w:color="auto"/>
            </w:tcBorders>
            <w:shd w:val="clear" w:color="auto" w:fill="auto"/>
          </w:tcPr>
          <w:p w14:paraId="41C6FE14" w14:textId="77777777" w:rsidR="0058457E" w:rsidRPr="009C5807" w:rsidRDefault="0058457E" w:rsidP="00485F6E">
            <w:pPr>
              <w:pStyle w:val="TAC"/>
            </w:pPr>
          </w:p>
        </w:tc>
        <w:tc>
          <w:tcPr>
            <w:tcW w:w="1043" w:type="dxa"/>
            <w:tcBorders>
              <w:left w:val="single" w:sz="6" w:space="0" w:color="auto"/>
              <w:right w:val="single" w:sz="6" w:space="0" w:color="auto"/>
            </w:tcBorders>
            <w:shd w:val="clear" w:color="auto" w:fill="auto"/>
          </w:tcPr>
          <w:p w14:paraId="0A0E1CA3" w14:textId="77777777" w:rsidR="0058457E" w:rsidRPr="009C5807" w:rsidRDefault="0058457E" w:rsidP="00485F6E">
            <w:pPr>
              <w:pStyle w:val="TAC"/>
            </w:pPr>
          </w:p>
        </w:tc>
        <w:tc>
          <w:tcPr>
            <w:tcW w:w="780" w:type="dxa"/>
            <w:tcBorders>
              <w:left w:val="single" w:sz="6" w:space="0" w:color="auto"/>
              <w:right w:val="single" w:sz="6" w:space="0" w:color="auto"/>
            </w:tcBorders>
            <w:shd w:val="clear" w:color="auto" w:fill="auto"/>
          </w:tcPr>
          <w:p w14:paraId="5A6D44BF" w14:textId="77777777" w:rsidR="0058457E" w:rsidRPr="009C5807" w:rsidRDefault="0058457E" w:rsidP="00485F6E">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2CF341AF" w14:textId="77777777" w:rsidR="0058457E" w:rsidRPr="009C5807" w:rsidRDefault="0058457E" w:rsidP="00485F6E">
            <w:pPr>
              <w:pStyle w:val="TAC"/>
            </w:pPr>
            <w:r w:rsidRPr="009C5807">
              <w:t>NR_TDD_FR1_C</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B2B9871" w14:textId="77777777" w:rsidR="0058457E" w:rsidRPr="009C5807" w:rsidRDefault="0058457E" w:rsidP="00485F6E">
            <w:pPr>
              <w:pStyle w:val="TAC"/>
            </w:pPr>
            <w:r w:rsidRPr="009C5807">
              <w:t>-120</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283CD91" w14:textId="77777777" w:rsidR="0058457E" w:rsidRPr="009C5807" w:rsidRDefault="0058457E" w:rsidP="00485F6E">
            <w:pPr>
              <w:pStyle w:val="TAC"/>
              <w:rPr>
                <w:lang w:val="sv-SE"/>
              </w:rPr>
            </w:pPr>
            <w:r w:rsidRPr="009C5807">
              <w:t>-117</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571F517" w14:textId="77777777" w:rsidR="0058457E" w:rsidRPr="009C5807" w:rsidRDefault="0058457E" w:rsidP="00485F6E">
            <w:pPr>
              <w:pStyle w:val="TAC"/>
              <w:rPr>
                <w:lang w:val="sv-SE"/>
              </w:rPr>
            </w:pPr>
            <w:r w:rsidRPr="009C5807">
              <w:t>-114</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FD43CC8"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C2CC529" w14:textId="77777777" w:rsidR="0058457E" w:rsidRPr="009C5807" w:rsidRDefault="0058457E" w:rsidP="00485F6E">
            <w:pPr>
              <w:pStyle w:val="TAC"/>
            </w:pPr>
            <w:r w:rsidRPr="009C5807">
              <w:t>-70</w:t>
            </w:r>
          </w:p>
        </w:tc>
      </w:tr>
      <w:tr w:rsidR="005D2E23" w:rsidRPr="009C5807" w14:paraId="5BE3796C" w14:textId="77777777" w:rsidTr="00485F6E">
        <w:trPr>
          <w:jc w:val="center"/>
        </w:trPr>
        <w:tc>
          <w:tcPr>
            <w:tcW w:w="1031" w:type="dxa"/>
            <w:tcBorders>
              <w:left w:val="single" w:sz="4" w:space="0" w:color="auto"/>
              <w:right w:val="single" w:sz="6" w:space="0" w:color="auto"/>
            </w:tcBorders>
            <w:shd w:val="clear" w:color="auto" w:fill="auto"/>
          </w:tcPr>
          <w:p w14:paraId="0792110C" w14:textId="34343342" w:rsidR="005D2E23" w:rsidRPr="009C5807" w:rsidRDefault="005D2E23" w:rsidP="00485F6E">
            <w:pPr>
              <w:pStyle w:val="TAC"/>
            </w:pPr>
            <w:r w:rsidRPr="009C5807">
              <w:rPr>
                <w:rFonts w:cs="Arial"/>
              </w:rPr>
              <w:t>±</w:t>
            </w:r>
            <w:r w:rsidRPr="009C5807">
              <w:t>5.0</w:t>
            </w:r>
          </w:p>
        </w:tc>
        <w:tc>
          <w:tcPr>
            <w:tcW w:w="1043" w:type="dxa"/>
            <w:tcBorders>
              <w:left w:val="single" w:sz="6" w:space="0" w:color="auto"/>
              <w:right w:val="single" w:sz="6" w:space="0" w:color="auto"/>
            </w:tcBorders>
            <w:shd w:val="clear" w:color="auto" w:fill="auto"/>
          </w:tcPr>
          <w:p w14:paraId="09A49E9A" w14:textId="519F3DEC" w:rsidR="005D2E23" w:rsidRPr="009C5807" w:rsidRDefault="005D2E23" w:rsidP="00485F6E">
            <w:pPr>
              <w:pStyle w:val="TAC"/>
            </w:pPr>
            <w:r w:rsidRPr="009C5807">
              <w:rPr>
                <w:rFonts w:cs="Arial"/>
              </w:rPr>
              <w:t>±</w:t>
            </w:r>
            <w:r w:rsidRPr="009C5807">
              <w:t>9.5</w:t>
            </w:r>
          </w:p>
        </w:tc>
        <w:tc>
          <w:tcPr>
            <w:tcW w:w="780" w:type="dxa"/>
            <w:tcBorders>
              <w:left w:val="single" w:sz="6" w:space="0" w:color="auto"/>
              <w:right w:val="single" w:sz="6" w:space="0" w:color="auto"/>
            </w:tcBorders>
            <w:shd w:val="clear" w:color="auto" w:fill="auto"/>
          </w:tcPr>
          <w:p w14:paraId="0B6537FD" w14:textId="6517637E" w:rsidR="005D2E23" w:rsidRPr="009C5807" w:rsidRDefault="005D2E23" w:rsidP="00485F6E">
            <w:pPr>
              <w:pStyle w:val="TAC"/>
            </w:pPr>
            <w:r w:rsidRPr="009C5807">
              <w:sym w:font="Symbol" w:char="F0B3"/>
            </w:r>
            <w:r w:rsidRPr="009C5807">
              <w:t>-3</w:t>
            </w: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4521A7AC" w14:textId="77777777" w:rsidR="005D2E23" w:rsidRPr="009C5807" w:rsidRDefault="005D2E23" w:rsidP="00485F6E">
            <w:pPr>
              <w:pStyle w:val="TAC"/>
              <w:rPr>
                <w:lang w:val="sv-SE"/>
              </w:rPr>
            </w:pPr>
            <w:r w:rsidRPr="009C5807">
              <w:rPr>
                <w:lang w:val="sv-SE"/>
              </w:rPr>
              <w:t>NR_FDD_FR1_D, NR_TDD_FR1_D</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72A4541" w14:textId="77777777" w:rsidR="005D2E23" w:rsidRPr="009C5807" w:rsidDel="00FA4A82" w:rsidRDefault="005D2E23" w:rsidP="00485F6E">
            <w:pPr>
              <w:pStyle w:val="TAC"/>
            </w:pPr>
            <w:r w:rsidRPr="009C5807">
              <w:t>-119.5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BAFAB4C" w14:textId="77777777" w:rsidR="005D2E23" w:rsidRPr="009C5807" w:rsidDel="00FA4A82" w:rsidRDefault="005D2E23" w:rsidP="00485F6E">
            <w:pPr>
              <w:pStyle w:val="TAC"/>
            </w:pPr>
            <w:r w:rsidRPr="009C5807">
              <w:t>-116.5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D4B76E6" w14:textId="77777777" w:rsidR="005D2E23" w:rsidRPr="009C5807" w:rsidDel="00FA4A82" w:rsidRDefault="005D2E23" w:rsidP="00485F6E">
            <w:pPr>
              <w:pStyle w:val="TAC"/>
            </w:pPr>
            <w:r w:rsidRPr="009C5807">
              <w:t>-113.5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31D2BCC" w14:textId="77777777" w:rsidR="005D2E23" w:rsidRPr="009C5807" w:rsidRDefault="005D2E23"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1260D91" w14:textId="77777777" w:rsidR="005D2E23" w:rsidRPr="009C5807" w:rsidRDefault="005D2E23" w:rsidP="00485F6E">
            <w:pPr>
              <w:pStyle w:val="TAC"/>
            </w:pPr>
            <w:r w:rsidRPr="009C5807">
              <w:t>-70</w:t>
            </w:r>
          </w:p>
        </w:tc>
      </w:tr>
      <w:tr w:rsidR="0058457E" w:rsidRPr="009C5807" w14:paraId="1137EC21" w14:textId="77777777" w:rsidTr="00485F6E">
        <w:trPr>
          <w:jc w:val="center"/>
        </w:trPr>
        <w:tc>
          <w:tcPr>
            <w:tcW w:w="1031" w:type="dxa"/>
            <w:tcBorders>
              <w:left w:val="single" w:sz="4" w:space="0" w:color="auto"/>
              <w:right w:val="single" w:sz="6" w:space="0" w:color="auto"/>
            </w:tcBorders>
            <w:shd w:val="clear" w:color="auto" w:fill="auto"/>
          </w:tcPr>
          <w:p w14:paraId="40B606EA" w14:textId="77777777" w:rsidR="0058457E" w:rsidRPr="009C5807" w:rsidRDefault="0058457E" w:rsidP="00485F6E">
            <w:pPr>
              <w:pStyle w:val="TAC"/>
            </w:pPr>
          </w:p>
        </w:tc>
        <w:tc>
          <w:tcPr>
            <w:tcW w:w="1043" w:type="dxa"/>
            <w:tcBorders>
              <w:left w:val="single" w:sz="6" w:space="0" w:color="auto"/>
              <w:right w:val="single" w:sz="6" w:space="0" w:color="auto"/>
            </w:tcBorders>
            <w:shd w:val="clear" w:color="auto" w:fill="auto"/>
          </w:tcPr>
          <w:p w14:paraId="22342151" w14:textId="77777777" w:rsidR="0058457E" w:rsidRPr="009C5807" w:rsidRDefault="0058457E" w:rsidP="00485F6E">
            <w:pPr>
              <w:pStyle w:val="TAC"/>
            </w:pPr>
          </w:p>
        </w:tc>
        <w:tc>
          <w:tcPr>
            <w:tcW w:w="780" w:type="dxa"/>
            <w:tcBorders>
              <w:left w:val="single" w:sz="6" w:space="0" w:color="auto"/>
              <w:right w:val="single" w:sz="6" w:space="0" w:color="auto"/>
            </w:tcBorders>
            <w:shd w:val="clear" w:color="auto" w:fill="auto"/>
          </w:tcPr>
          <w:p w14:paraId="44EEDFE4" w14:textId="77777777" w:rsidR="0058457E" w:rsidRPr="009C5807" w:rsidRDefault="0058457E" w:rsidP="00485F6E">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1B1001E6" w14:textId="77777777" w:rsidR="0058457E" w:rsidRPr="009C5807" w:rsidDel="00836998" w:rsidRDefault="0058457E" w:rsidP="00485F6E">
            <w:pPr>
              <w:pStyle w:val="TAC"/>
              <w:rPr>
                <w:lang w:val="sv-SE"/>
              </w:rPr>
            </w:pPr>
            <w:r w:rsidRPr="009C5807">
              <w:rPr>
                <w:lang w:val="sv-SE"/>
              </w:rPr>
              <w:t>NR_FDD_FR1_E, NR_TDD_FR1_E</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025A6C0" w14:textId="77777777" w:rsidR="0058457E" w:rsidRPr="009C5807" w:rsidRDefault="0058457E" w:rsidP="00485F6E">
            <w:pPr>
              <w:pStyle w:val="TAC"/>
            </w:pPr>
            <w:r w:rsidRPr="009C5807">
              <w:t>-119</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F7AF78E" w14:textId="77777777" w:rsidR="0058457E" w:rsidRPr="009C5807" w:rsidRDefault="0058457E" w:rsidP="00485F6E">
            <w:pPr>
              <w:pStyle w:val="TAC"/>
              <w:rPr>
                <w:lang w:val="sv-SE"/>
              </w:rPr>
            </w:pPr>
            <w:r w:rsidRPr="009C5807">
              <w:t>-116</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B77DA54" w14:textId="77777777" w:rsidR="0058457E" w:rsidRPr="009C5807" w:rsidRDefault="0058457E" w:rsidP="00485F6E">
            <w:pPr>
              <w:pStyle w:val="TAC"/>
              <w:rPr>
                <w:lang w:val="sv-SE"/>
              </w:rPr>
            </w:pPr>
            <w:r w:rsidRPr="009C5807">
              <w:t>-113</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FFF96E3"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B4C8285" w14:textId="77777777" w:rsidR="0058457E" w:rsidRPr="009C5807" w:rsidRDefault="0058457E" w:rsidP="00485F6E">
            <w:pPr>
              <w:pStyle w:val="TAC"/>
            </w:pPr>
            <w:r w:rsidRPr="009C5807">
              <w:t>-70</w:t>
            </w:r>
          </w:p>
        </w:tc>
      </w:tr>
      <w:tr w:rsidR="00CB340B" w:rsidRPr="009C5807" w14:paraId="5EACB291" w14:textId="77777777" w:rsidTr="00485F6E">
        <w:trPr>
          <w:jc w:val="center"/>
        </w:trPr>
        <w:tc>
          <w:tcPr>
            <w:tcW w:w="1031" w:type="dxa"/>
            <w:tcBorders>
              <w:left w:val="single" w:sz="4" w:space="0" w:color="auto"/>
              <w:right w:val="single" w:sz="6" w:space="0" w:color="auto"/>
            </w:tcBorders>
            <w:shd w:val="clear" w:color="auto" w:fill="auto"/>
          </w:tcPr>
          <w:p w14:paraId="50CD8104" w14:textId="77777777" w:rsidR="00CB340B" w:rsidRPr="009C5807" w:rsidRDefault="00CB340B" w:rsidP="00485F6E">
            <w:pPr>
              <w:pStyle w:val="TAC"/>
            </w:pPr>
          </w:p>
        </w:tc>
        <w:tc>
          <w:tcPr>
            <w:tcW w:w="1043" w:type="dxa"/>
            <w:tcBorders>
              <w:left w:val="single" w:sz="6" w:space="0" w:color="auto"/>
              <w:right w:val="single" w:sz="6" w:space="0" w:color="auto"/>
            </w:tcBorders>
            <w:shd w:val="clear" w:color="auto" w:fill="auto"/>
          </w:tcPr>
          <w:p w14:paraId="76DB5D67" w14:textId="77777777" w:rsidR="00CB340B" w:rsidRPr="009C5807" w:rsidRDefault="00CB340B" w:rsidP="00485F6E">
            <w:pPr>
              <w:pStyle w:val="TAC"/>
            </w:pPr>
          </w:p>
        </w:tc>
        <w:tc>
          <w:tcPr>
            <w:tcW w:w="780" w:type="dxa"/>
            <w:tcBorders>
              <w:left w:val="single" w:sz="6" w:space="0" w:color="auto"/>
              <w:right w:val="single" w:sz="6" w:space="0" w:color="auto"/>
            </w:tcBorders>
            <w:shd w:val="clear" w:color="auto" w:fill="auto"/>
          </w:tcPr>
          <w:p w14:paraId="589B2849" w14:textId="77777777" w:rsidR="00CB340B" w:rsidRPr="009C5807" w:rsidRDefault="00CB340B" w:rsidP="00485F6E">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536559B3" w14:textId="325A2E76" w:rsidR="00CB340B" w:rsidRPr="009C5807" w:rsidRDefault="00CB340B" w:rsidP="00485F6E">
            <w:pPr>
              <w:pStyle w:val="TAC"/>
              <w:rPr>
                <w:lang w:val="sv-SE"/>
              </w:rPr>
            </w:pPr>
            <w:r w:rsidRPr="009C5807">
              <w:rPr>
                <w:lang w:eastAsia="zh-CN"/>
              </w:rPr>
              <w:t>NR_FDD_FR1_F</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22F186B" w14:textId="48B52B3A" w:rsidR="00CB340B" w:rsidRPr="009C5807" w:rsidRDefault="00CB340B" w:rsidP="00485F6E">
            <w:pPr>
              <w:pStyle w:val="TAC"/>
            </w:pPr>
            <w:r w:rsidRPr="009C5807">
              <w:t>-118.5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3C8AC65" w14:textId="6948190C" w:rsidR="00CB340B" w:rsidRPr="009C5807" w:rsidRDefault="00CB340B" w:rsidP="00485F6E">
            <w:pPr>
              <w:pStyle w:val="TAC"/>
            </w:pPr>
            <w:r w:rsidRPr="009C5807">
              <w:rPr>
                <w:rFonts w:cs="Arial"/>
              </w:rPr>
              <w:t>-115.5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48A6B59" w14:textId="0DF5DE6B" w:rsidR="00CB340B" w:rsidRPr="009C5807" w:rsidRDefault="00CB340B" w:rsidP="00485F6E">
            <w:pPr>
              <w:pStyle w:val="TAC"/>
            </w:pPr>
            <w:r w:rsidRPr="009C5807">
              <w:rPr>
                <w:rFonts w:cs="Arial"/>
              </w:rPr>
              <w:t>-112.5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D44E1D8" w14:textId="2C62686B" w:rsidR="00CB340B" w:rsidRPr="009C5807" w:rsidRDefault="00CB340B"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698CAE5" w14:textId="564C9787" w:rsidR="00CB340B" w:rsidRPr="009C5807" w:rsidRDefault="00CB340B" w:rsidP="00485F6E">
            <w:pPr>
              <w:pStyle w:val="TAC"/>
            </w:pPr>
            <w:r w:rsidRPr="009C5807">
              <w:t>-70</w:t>
            </w:r>
          </w:p>
        </w:tc>
      </w:tr>
      <w:tr w:rsidR="0058457E" w:rsidRPr="009C5807" w14:paraId="67996DBE" w14:textId="77777777" w:rsidTr="00485F6E">
        <w:trPr>
          <w:jc w:val="center"/>
        </w:trPr>
        <w:tc>
          <w:tcPr>
            <w:tcW w:w="1031" w:type="dxa"/>
            <w:tcBorders>
              <w:left w:val="single" w:sz="4" w:space="0" w:color="auto"/>
              <w:right w:val="single" w:sz="6" w:space="0" w:color="auto"/>
            </w:tcBorders>
            <w:shd w:val="clear" w:color="auto" w:fill="auto"/>
          </w:tcPr>
          <w:p w14:paraId="296A703A" w14:textId="77777777" w:rsidR="0058457E" w:rsidRPr="009C5807" w:rsidRDefault="0058457E" w:rsidP="00485F6E">
            <w:pPr>
              <w:pStyle w:val="TAC"/>
            </w:pPr>
          </w:p>
        </w:tc>
        <w:tc>
          <w:tcPr>
            <w:tcW w:w="1043" w:type="dxa"/>
            <w:tcBorders>
              <w:left w:val="single" w:sz="6" w:space="0" w:color="auto"/>
              <w:right w:val="single" w:sz="6" w:space="0" w:color="auto"/>
            </w:tcBorders>
            <w:shd w:val="clear" w:color="auto" w:fill="auto"/>
          </w:tcPr>
          <w:p w14:paraId="73602A6C" w14:textId="77777777" w:rsidR="0058457E" w:rsidRPr="009C5807" w:rsidRDefault="0058457E" w:rsidP="00485F6E">
            <w:pPr>
              <w:pStyle w:val="TAC"/>
            </w:pPr>
          </w:p>
        </w:tc>
        <w:tc>
          <w:tcPr>
            <w:tcW w:w="780" w:type="dxa"/>
            <w:tcBorders>
              <w:left w:val="single" w:sz="6" w:space="0" w:color="auto"/>
              <w:right w:val="single" w:sz="6" w:space="0" w:color="auto"/>
            </w:tcBorders>
            <w:shd w:val="clear" w:color="auto" w:fill="auto"/>
          </w:tcPr>
          <w:p w14:paraId="4B486AC5" w14:textId="77777777" w:rsidR="0058457E" w:rsidRPr="009C5807" w:rsidRDefault="0058457E" w:rsidP="00485F6E">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3434D305" w14:textId="77777777" w:rsidR="0058457E" w:rsidRPr="009C5807" w:rsidDel="00836998" w:rsidRDefault="0058457E" w:rsidP="00485F6E">
            <w:pPr>
              <w:pStyle w:val="TAC"/>
              <w:rPr>
                <w:lang w:eastAsia="zh-CN"/>
              </w:rPr>
            </w:pPr>
            <w:r w:rsidRPr="009C5807">
              <w:rPr>
                <w:lang w:eastAsia="zh-CN"/>
              </w:rPr>
              <w:t>NR</w:t>
            </w:r>
            <w:r w:rsidRPr="009C5807">
              <w:t>_</w:t>
            </w:r>
            <w:r w:rsidRPr="009C5807">
              <w:rPr>
                <w:lang w:eastAsia="zh-CN"/>
              </w:rPr>
              <w:t>FDD_FR1_G</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9903D48" w14:textId="77777777" w:rsidR="0058457E" w:rsidRPr="009C5807" w:rsidRDefault="0058457E" w:rsidP="00485F6E">
            <w:pPr>
              <w:pStyle w:val="TAC"/>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D8BE485" w14:textId="77777777" w:rsidR="0058457E" w:rsidRPr="009C5807" w:rsidRDefault="0058457E" w:rsidP="00485F6E">
            <w:pPr>
              <w:pStyle w:val="TAC"/>
              <w:rPr>
                <w:rFonts w:cs="Arial"/>
                <w:lang w:val="sv-SE"/>
              </w:rPr>
            </w:pPr>
            <w:r w:rsidRPr="009C5807">
              <w:rPr>
                <w:rFonts w:cs="Arial"/>
              </w:rPr>
              <w:t>-115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ACABBB3" w14:textId="77777777" w:rsidR="0058457E" w:rsidRPr="009C5807" w:rsidRDefault="0058457E" w:rsidP="00485F6E">
            <w:pPr>
              <w:pStyle w:val="TAC"/>
              <w:rPr>
                <w:rFonts w:cs="Arial"/>
                <w:lang w:val="sv-SE"/>
              </w:rPr>
            </w:pPr>
            <w:r w:rsidRPr="009C5807">
              <w:rPr>
                <w:rFonts w:cs="Arial"/>
              </w:rPr>
              <w:t>-112</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E8FA5C2"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7D6D440" w14:textId="77777777" w:rsidR="0058457E" w:rsidRPr="009C5807" w:rsidRDefault="0058457E" w:rsidP="00485F6E">
            <w:pPr>
              <w:pStyle w:val="TAC"/>
            </w:pPr>
            <w:r w:rsidRPr="009C5807">
              <w:t>-70</w:t>
            </w:r>
          </w:p>
        </w:tc>
      </w:tr>
      <w:tr w:rsidR="0058457E" w:rsidRPr="009C5807" w14:paraId="79B913AA" w14:textId="77777777" w:rsidTr="00485F6E">
        <w:trPr>
          <w:jc w:val="center"/>
        </w:trPr>
        <w:tc>
          <w:tcPr>
            <w:tcW w:w="1031" w:type="dxa"/>
            <w:tcBorders>
              <w:left w:val="single" w:sz="4" w:space="0" w:color="auto"/>
              <w:right w:val="single" w:sz="6" w:space="0" w:color="auto"/>
            </w:tcBorders>
            <w:shd w:val="clear" w:color="auto" w:fill="auto"/>
          </w:tcPr>
          <w:p w14:paraId="041411B5" w14:textId="77777777" w:rsidR="0058457E" w:rsidRPr="009C5807" w:rsidRDefault="0058457E" w:rsidP="00485F6E">
            <w:pPr>
              <w:pStyle w:val="TAC"/>
            </w:pPr>
          </w:p>
        </w:tc>
        <w:tc>
          <w:tcPr>
            <w:tcW w:w="1043" w:type="dxa"/>
            <w:tcBorders>
              <w:left w:val="single" w:sz="6" w:space="0" w:color="auto"/>
              <w:right w:val="single" w:sz="6" w:space="0" w:color="auto"/>
            </w:tcBorders>
            <w:shd w:val="clear" w:color="auto" w:fill="auto"/>
          </w:tcPr>
          <w:p w14:paraId="10F7EDA7" w14:textId="77777777" w:rsidR="0058457E" w:rsidRPr="009C5807" w:rsidRDefault="0058457E" w:rsidP="00485F6E">
            <w:pPr>
              <w:pStyle w:val="TAC"/>
            </w:pPr>
          </w:p>
        </w:tc>
        <w:tc>
          <w:tcPr>
            <w:tcW w:w="780" w:type="dxa"/>
            <w:tcBorders>
              <w:left w:val="single" w:sz="6" w:space="0" w:color="auto"/>
              <w:right w:val="single" w:sz="6" w:space="0" w:color="auto"/>
            </w:tcBorders>
            <w:shd w:val="clear" w:color="auto" w:fill="auto"/>
          </w:tcPr>
          <w:p w14:paraId="1264C92E" w14:textId="77777777" w:rsidR="0058457E" w:rsidRPr="009C5807" w:rsidRDefault="0058457E" w:rsidP="00485F6E">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3F86B550" w14:textId="77777777" w:rsidR="0058457E" w:rsidRPr="009C5807" w:rsidRDefault="0058457E" w:rsidP="00485F6E">
            <w:pPr>
              <w:pStyle w:val="TAC"/>
              <w:rPr>
                <w:lang w:eastAsia="zh-CN"/>
              </w:rPr>
            </w:pPr>
            <w:r w:rsidRPr="009C5807">
              <w:rPr>
                <w:lang w:eastAsia="zh-CN"/>
              </w:rPr>
              <w:t>NR</w:t>
            </w:r>
            <w:r w:rsidRPr="009C5807">
              <w:t>_</w:t>
            </w:r>
            <w:r w:rsidRPr="009C5807">
              <w:rPr>
                <w:lang w:eastAsia="zh-CN"/>
              </w:rPr>
              <w:t>FDD_FR1_H</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DE6A278" w14:textId="77777777" w:rsidR="0058457E" w:rsidRPr="009C5807" w:rsidRDefault="0058457E" w:rsidP="00485F6E">
            <w:pPr>
              <w:pStyle w:val="TAC"/>
            </w:pPr>
            <w:r w:rsidRPr="009C5807">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3F3985C" w14:textId="77777777" w:rsidR="0058457E" w:rsidRPr="009C5807" w:rsidRDefault="0058457E" w:rsidP="00485F6E">
            <w:pPr>
              <w:pStyle w:val="TAC"/>
              <w:rPr>
                <w:rFonts w:cs="Arial"/>
                <w:lang w:val="sv-SE"/>
              </w:rPr>
            </w:pPr>
            <w:r w:rsidRPr="009C5807">
              <w:rPr>
                <w:rFonts w:cs="Arial"/>
              </w:rPr>
              <w:t>-114.5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328AED4" w14:textId="77777777" w:rsidR="0058457E" w:rsidRPr="009C5807" w:rsidRDefault="0058457E" w:rsidP="00485F6E">
            <w:pPr>
              <w:pStyle w:val="TAC"/>
              <w:rPr>
                <w:rFonts w:cs="Arial"/>
                <w:lang w:val="sv-SE"/>
              </w:rPr>
            </w:pPr>
            <w:r w:rsidRPr="009C5807">
              <w:rPr>
                <w:rFonts w:cs="Arial"/>
              </w:rPr>
              <w:t>-111.5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AC7D7B4"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FAAE251" w14:textId="77777777" w:rsidR="0058457E" w:rsidRPr="009C5807" w:rsidRDefault="0058457E" w:rsidP="00485F6E">
            <w:pPr>
              <w:pStyle w:val="TAC"/>
            </w:pPr>
            <w:r w:rsidRPr="009C5807">
              <w:t>-70</w:t>
            </w:r>
          </w:p>
        </w:tc>
      </w:tr>
      <w:tr w:rsidR="0058457E" w:rsidRPr="009C5807" w14:paraId="03639925" w14:textId="77777777" w:rsidTr="00485F6E">
        <w:trPr>
          <w:jc w:val="center"/>
        </w:trPr>
        <w:tc>
          <w:tcPr>
            <w:tcW w:w="1031" w:type="dxa"/>
            <w:tcBorders>
              <w:top w:val="single" w:sz="6" w:space="0" w:color="auto"/>
              <w:left w:val="single" w:sz="4" w:space="0" w:color="auto"/>
              <w:bottom w:val="single" w:sz="6" w:space="0" w:color="auto"/>
              <w:right w:val="single" w:sz="6" w:space="0" w:color="auto"/>
            </w:tcBorders>
            <w:shd w:val="clear" w:color="auto" w:fill="auto"/>
          </w:tcPr>
          <w:p w14:paraId="4C346395" w14:textId="77777777" w:rsidR="0058457E" w:rsidRPr="009C5807" w:rsidRDefault="0058457E" w:rsidP="00485F6E">
            <w:pPr>
              <w:pStyle w:val="TAC"/>
            </w:pPr>
            <w:r w:rsidRPr="009C5807">
              <w:rPr>
                <w:rFonts w:cs="Arial"/>
              </w:rPr>
              <w:t>±</w:t>
            </w:r>
            <w:r w:rsidRPr="009C5807">
              <w:t>8.5</w:t>
            </w:r>
          </w:p>
        </w:tc>
        <w:tc>
          <w:tcPr>
            <w:tcW w:w="1043" w:type="dxa"/>
            <w:tcBorders>
              <w:top w:val="single" w:sz="6" w:space="0" w:color="auto"/>
              <w:left w:val="single" w:sz="6" w:space="0" w:color="auto"/>
              <w:bottom w:val="single" w:sz="6" w:space="0" w:color="auto"/>
              <w:right w:val="single" w:sz="6" w:space="0" w:color="auto"/>
            </w:tcBorders>
            <w:shd w:val="clear" w:color="auto" w:fill="auto"/>
          </w:tcPr>
          <w:p w14:paraId="10DD2AAA" w14:textId="77777777" w:rsidR="0058457E" w:rsidRPr="009C5807" w:rsidRDefault="0058457E" w:rsidP="00485F6E">
            <w:pPr>
              <w:pStyle w:val="TAC"/>
            </w:pPr>
            <w:r w:rsidRPr="009C5807">
              <w:rPr>
                <w:rFonts w:cs="Arial"/>
              </w:rPr>
              <w:t>±</w:t>
            </w:r>
            <w:r w:rsidRPr="009C5807">
              <w:t>11.5</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0FBA85F1" w14:textId="06CD2318" w:rsidR="0058457E" w:rsidRPr="009C5807" w:rsidRDefault="0058457E" w:rsidP="00485F6E">
            <w:pPr>
              <w:pStyle w:val="TAC"/>
            </w:pPr>
            <w:r w:rsidRPr="009C5807">
              <w:sym w:font="Symbol" w:char="F0B3"/>
            </w:r>
            <w:r w:rsidRPr="009C5807">
              <w:t>-3</w:t>
            </w: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01B11B49" w14:textId="06C7F5F0" w:rsidR="0058457E" w:rsidRPr="009C5807" w:rsidRDefault="0058457E" w:rsidP="00485F6E">
            <w:pPr>
              <w:pStyle w:val="TAC"/>
            </w:pPr>
            <w:r w:rsidRPr="009C5807">
              <w:t>NR_FDD_FR1_A, NR_TDD_FR1_A,</w:t>
            </w:r>
          </w:p>
          <w:p w14:paraId="027083DC" w14:textId="77777777" w:rsidR="0058457E" w:rsidRPr="009C5807" w:rsidRDefault="0058457E" w:rsidP="00485F6E">
            <w:pPr>
              <w:pStyle w:val="TAC"/>
            </w:pPr>
            <w:r w:rsidRPr="009C5807">
              <w:t>NR_SDL_FR1_A,</w:t>
            </w:r>
          </w:p>
          <w:p w14:paraId="576F0FC3" w14:textId="77777777" w:rsidR="00CB340B" w:rsidRPr="009C5807" w:rsidRDefault="0058457E" w:rsidP="00485F6E">
            <w:pPr>
              <w:pStyle w:val="TAC"/>
            </w:pPr>
            <w:r w:rsidRPr="009C5807">
              <w:t xml:space="preserve">NR_FDD_FR1_B, NR_TDD_FR1_C, NR_FDD_FR1_D, NR_TDD_FR1_D, NR_FDD_FR1_E, NR_TDD_FR1_E, </w:t>
            </w:r>
            <w:r w:rsidR="00CB340B" w:rsidRPr="009C5807">
              <w:t>NR_FDD_FR1_F,</w:t>
            </w:r>
          </w:p>
          <w:p w14:paraId="317F3537" w14:textId="77777777" w:rsidR="0058457E" w:rsidRPr="009C5807" w:rsidRDefault="0058457E" w:rsidP="00485F6E">
            <w:pPr>
              <w:pStyle w:val="TAC"/>
              <w:rPr>
                <w:lang w:val="sv-FI"/>
              </w:rPr>
            </w:pPr>
            <w:r w:rsidRPr="009C5807">
              <w:rPr>
                <w:lang w:val="sv-FI"/>
              </w:rPr>
              <w:t>NR_FDD_FR1_G, NR_FDD_FR1_H</w:t>
            </w:r>
          </w:p>
        </w:tc>
        <w:tc>
          <w:tcPr>
            <w:tcW w:w="827" w:type="dxa"/>
            <w:tcBorders>
              <w:top w:val="single" w:sz="6" w:space="0" w:color="auto"/>
              <w:left w:val="single" w:sz="4" w:space="0" w:color="auto"/>
              <w:bottom w:val="single" w:sz="4" w:space="0" w:color="auto"/>
              <w:right w:val="single" w:sz="6" w:space="0" w:color="auto"/>
            </w:tcBorders>
            <w:shd w:val="clear" w:color="auto" w:fill="auto"/>
          </w:tcPr>
          <w:p w14:paraId="7829427C" w14:textId="77777777" w:rsidR="0058457E" w:rsidRPr="009C5807" w:rsidRDefault="0058457E" w:rsidP="00485F6E">
            <w:pPr>
              <w:pStyle w:val="TAC"/>
            </w:pPr>
            <w:r w:rsidRPr="009C5807">
              <w:t>N/A</w:t>
            </w:r>
          </w:p>
        </w:tc>
        <w:tc>
          <w:tcPr>
            <w:tcW w:w="827" w:type="dxa"/>
            <w:tcBorders>
              <w:top w:val="single" w:sz="6" w:space="0" w:color="auto"/>
              <w:left w:val="single" w:sz="4" w:space="0" w:color="auto"/>
              <w:bottom w:val="single" w:sz="4" w:space="0" w:color="auto"/>
              <w:right w:val="single" w:sz="6" w:space="0" w:color="auto"/>
            </w:tcBorders>
            <w:shd w:val="clear" w:color="auto" w:fill="auto"/>
          </w:tcPr>
          <w:p w14:paraId="61E87A7E" w14:textId="77777777" w:rsidR="0058457E" w:rsidRPr="009C5807" w:rsidRDefault="0058457E" w:rsidP="00485F6E">
            <w:pPr>
              <w:pStyle w:val="TAC"/>
              <w:rPr>
                <w:lang w:eastAsia="zh-CN"/>
              </w:rPr>
            </w:pPr>
            <w:r w:rsidRPr="009C5807">
              <w:rPr>
                <w:lang w:eastAsia="zh-CN"/>
              </w:rPr>
              <w:t>N/A</w:t>
            </w:r>
          </w:p>
        </w:tc>
        <w:tc>
          <w:tcPr>
            <w:tcW w:w="827" w:type="dxa"/>
            <w:tcBorders>
              <w:top w:val="single" w:sz="6" w:space="0" w:color="auto"/>
              <w:left w:val="single" w:sz="4" w:space="0" w:color="auto"/>
              <w:bottom w:val="single" w:sz="4" w:space="0" w:color="auto"/>
              <w:right w:val="single" w:sz="6" w:space="0" w:color="auto"/>
            </w:tcBorders>
            <w:shd w:val="clear" w:color="auto" w:fill="auto"/>
          </w:tcPr>
          <w:p w14:paraId="2EB01FE5" w14:textId="77777777" w:rsidR="0058457E" w:rsidRPr="009C5807" w:rsidRDefault="0058457E" w:rsidP="00485F6E">
            <w:pPr>
              <w:pStyle w:val="TAC"/>
              <w:rPr>
                <w:lang w:eastAsia="zh-CN"/>
              </w:rPr>
            </w:pPr>
            <w:r w:rsidRPr="009C5807">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35C47227" w14:textId="77777777" w:rsidR="0058457E" w:rsidRPr="009C5807" w:rsidRDefault="0058457E" w:rsidP="00485F6E">
            <w:pPr>
              <w:pStyle w:val="TAC"/>
            </w:pPr>
            <w:r w:rsidRPr="009C5807">
              <w:t>-70</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4C5C1377" w14:textId="77777777" w:rsidR="0058457E" w:rsidRPr="009C5807" w:rsidRDefault="0058457E" w:rsidP="00485F6E">
            <w:pPr>
              <w:pStyle w:val="TAC"/>
            </w:pPr>
            <w:r w:rsidRPr="009C5807">
              <w:t>-50</w:t>
            </w:r>
          </w:p>
        </w:tc>
      </w:tr>
      <w:tr w:rsidR="0058457E" w:rsidRPr="009C5807" w14:paraId="446C1244" w14:textId="77777777" w:rsidTr="00B4408D">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1EF6DCE9" w14:textId="77777777" w:rsidR="0058457E" w:rsidRPr="009C5807" w:rsidRDefault="0058457E" w:rsidP="00330D9C">
            <w:pPr>
              <w:pStyle w:val="TAN"/>
            </w:pPr>
            <w:r w:rsidRPr="009C5807">
              <w:t>NOTE 1:</w:t>
            </w:r>
            <w:r w:rsidRPr="009C5807">
              <w:tab/>
              <w:t>Io is assumed to have constant EPRE across the bandwidth.</w:t>
            </w:r>
          </w:p>
          <w:p w14:paraId="7F85A085" w14:textId="77777777" w:rsidR="0058457E" w:rsidRPr="009C5807" w:rsidRDefault="0058457E" w:rsidP="00330D9C">
            <w:pPr>
              <w:pStyle w:val="TAN"/>
            </w:pPr>
            <w:r w:rsidRPr="009C5807">
              <w:t>NOTE 2:</w:t>
            </w:r>
            <w:r w:rsidRPr="009C5807">
              <w:tab/>
              <w:t>NR operating band groups in FR1 are as defined in clause 3.5.2.</w:t>
            </w:r>
          </w:p>
        </w:tc>
      </w:tr>
    </w:tbl>
    <w:p w14:paraId="01058F9A" w14:textId="77777777" w:rsidR="0058457E" w:rsidRPr="009C5807" w:rsidRDefault="0058457E" w:rsidP="0058457E">
      <w:pPr>
        <w:rPr>
          <w:lang w:eastAsia="zh-CN"/>
        </w:rPr>
      </w:pPr>
    </w:p>
    <w:p w14:paraId="4D62B2B4" w14:textId="77777777" w:rsidR="0058457E" w:rsidRPr="009C5807" w:rsidRDefault="0058457E" w:rsidP="00B018D8">
      <w:pPr>
        <w:pStyle w:val="Heading5"/>
      </w:pPr>
      <w:r w:rsidRPr="009C5807">
        <w:t>10.1.19.2.2</w:t>
      </w:r>
      <w:r w:rsidRPr="009C5807">
        <w:tab/>
        <w:t>Relative Accuracy</w:t>
      </w:r>
    </w:p>
    <w:p w14:paraId="5E6E803A" w14:textId="77777777" w:rsidR="0058457E" w:rsidRPr="009C5807" w:rsidRDefault="0058457E" w:rsidP="0058457E">
      <w:pPr>
        <w:rPr>
          <w:rFonts w:cs="v4.2.0"/>
          <w:i/>
        </w:rPr>
      </w:pPr>
      <w:r w:rsidRPr="009C5807">
        <w:rPr>
          <w:rFonts w:cs="v4.2.0"/>
        </w:rPr>
        <w:t xml:space="preserve">The relative accuracy of </w:t>
      </w:r>
      <w:r w:rsidRPr="009C5807">
        <w:rPr>
          <w:rFonts w:cs="v4.2.0"/>
          <w:lang w:eastAsia="zh-CN"/>
        </w:rPr>
        <w:t>CSI-RS based L1-</w:t>
      </w:r>
      <w:r w:rsidRPr="009C5807">
        <w:rPr>
          <w:rFonts w:cs="v4.2.0"/>
        </w:rPr>
        <w:t xml:space="preserve">RSRP is defined as the </w:t>
      </w:r>
      <w:r w:rsidRPr="009C5807">
        <w:rPr>
          <w:rFonts w:cs="v4.2.0"/>
          <w:lang w:eastAsia="zh-CN"/>
        </w:rPr>
        <w:t>L1-</w:t>
      </w:r>
      <w:r w:rsidRPr="009C5807">
        <w:rPr>
          <w:rFonts w:cs="v4.2.0"/>
        </w:rPr>
        <w:t xml:space="preserve">RSRP measured from one CSI-RS compared to the </w:t>
      </w:r>
      <w:r w:rsidRPr="009C5807">
        <w:rPr>
          <w:lang w:val="en-US"/>
        </w:rPr>
        <w:t>largest measured value of L1-RSRP among all CSI-RS resources of the serving cell</w:t>
      </w:r>
      <w:r w:rsidRPr="009C5807">
        <w:rPr>
          <w:rFonts w:cs="v4.2.0"/>
        </w:rPr>
        <w:t>.</w:t>
      </w:r>
    </w:p>
    <w:p w14:paraId="503A1865" w14:textId="77777777" w:rsidR="0058457E" w:rsidRPr="009C5807" w:rsidRDefault="0058457E" w:rsidP="0058457E">
      <w:pPr>
        <w:rPr>
          <w:rFonts w:cs="v4.2.0"/>
          <w:lang w:eastAsia="zh-CN"/>
        </w:rPr>
      </w:pPr>
      <w:r w:rsidRPr="009C5807">
        <w:rPr>
          <w:rFonts w:cs="v4.2.0"/>
        </w:rPr>
        <w:t xml:space="preserve">The accuracy requirements in Table </w:t>
      </w:r>
      <w:r w:rsidRPr="009C5807">
        <w:rPr>
          <w:lang w:eastAsia="zh-CN"/>
        </w:rPr>
        <w:t>10.1.19.2.2</w:t>
      </w:r>
      <w:r w:rsidRPr="009C5807">
        <w:rPr>
          <w:rFonts w:cs="v4.2.0"/>
        </w:rPr>
        <w:t>-1 are valid under the following conditions:</w:t>
      </w:r>
    </w:p>
    <w:p w14:paraId="5FC6C709" w14:textId="77777777" w:rsidR="0058457E" w:rsidRPr="009C5807" w:rsidRDefault="0058457E" w:rsidP="00D638F6">
      <w:pPr>
        <w:pStyle w:val="B10"/>
        <w:rPr>
          <w:rFonts w:ascii="Arial" w:hAnsi="Arial"/>
          <w:sz w:val="28"/>
        </w:rPr>
      </w:pPr>
      <w:r w:rsidRPr="009C5807">
        <w:t>-</w:t>
      </w:r>
      <w:r w:rsidRPr="009C5807">
        <w:tab/>
        <w:t>Conditions defined in clause 7.3 of TS 38.101-1 [18] for reference sensitivity are fulfilled.</w:t>
      </w:r>
    </w:p>
    <w:p w14:paraId="67CE9722" w14:textId="77777777" w:rsidR="0058457E" w:rsidRPr="009C5807" w:rsidRDefault="0058457E" w:rsidP="00D638F6">
      <w:pPr>
        <w:pStyle w:val="B10"/>
        <w:rPr>
          <w:lang w:eastAsia="zh-CN"/>
        </w:rPr>
      </w:pPr>
      <w:r w:rsidRPr="009C5807">
        <w:t>-</w:t>
      </w:r>
      <w:r w:rsidRPr="009C5807">
        <w:rPr>
          <w:rFonts w:ascii="Arial" w:hAnsi="Arial"/>
          <w:sz w:val="28"/>
          <w:lang w:val="en-US"/>
        </w:rPr>
        <w:tab/>
      </w:r>
      <w:r w:rsidRPr="009C5807">
        <w:t xml:space="preserve">Conditions for L1-RSRP measurements are fulfilled according to Annex B.2.4.2 for a corresponding Band </w:t>
      </w:r>
      <w:r w:rsidRPr="009C5807">
        <w:rPr>
          <w:rFonts w:cs="v4.2.0"/>
          <w:lang w:eastAsia="ko-KR"/>
        </w:rPr>
        <w:t>for each relevant CSI-RS</w:t>
      </w:r>
      <w:r w:rsidRPr="009C5807">
        <w:rPr>
          <w:lang w:eastAsia="zh-CN"/>
        </w:rPr>
        <w:t>.</w:t>
      </w:r>
    </w:p>
    <w:p w14:paraId="7B88DEA5" w14:textId="77777777" w:rsidR="0058457E" w:rsidRPr="009C5807" w:rsidRDefault="0058457E" w:rsidP="00D638F6">
      <w:pPr>
        <w:pStyle w:val="B10"/>
        <w:rPr>
          <w:lang w:eastAsia="zh-CN"/>
        </w:rPr>
      </w:pPr>
      <w:r w:rsidRPr="009C5807">
        <w:rPr>
          <w:lang w:eastAsia="zh-CN"/>
        </w:rPr>
        <w:t>-</w:t>
      </w:r>
      <w:r w:rsidRPr="009C5807">
        <w:rPr>
          <w:lang w:eastAsia="zh-CN"/>
        </w:rPr>
        <w:tab/>
        <w:t>The bandwidth of CSI-RS is 48 PRBs and the density is 3.</w:t>
      </w:r>
    </w:p>
    <w:p w14:paraId="4CD26457" w14:textId="77777777" w:rsidR="0058457E" w:rsidRPr="009C5807" w:rsidRDefault="0058457E" w:rsidP="0058457E">
      <w:pPr>
        <w:tabs>
          <w:tab w:val="left" w:pos="851"/>
        </w:tabs>
        <w:rPr>
          <w:rFonts w:eastAsia="PMingLiU"/>
          <w:lang w:eastAsia="zh-CN"/>
        </w:rPr>
      </w:pPr>
      <w:r w:rsidRPr="009C5807">
        <w:rPr>
          <w:rFonts w:eastAsia="PMingLiU"/>
          <w:lang w:eastAsia="zh-CN"/>
        </w:rPr>
        <w:t>The performance with larger bandwidth of CSI-RS is equal to or better than the accuracy requirements in Table</w:t>
      </w:r>
      <w:r w:rsidRPr="009C5807">
        <w:rPr>
          <w:rFonts w:eastAsia="PMingLiU"/>
          <w:lang w:val="en-US" w:eastAsia="zh-CN"/>
        </w:rPr>
        <w:t> </w:t>
      </w:r>
      <w:r w:rsidRPr="009C5807">
        <w:rPr>
          <w:rFonts w:eastAsia="PMingLiU"/>
          <w:lang w:eastAsia="zh-CN"/>
        </w:rPr>
        <w:t xml:space="preserve">10.1.19.2.2-1. </w:t>
      </w:r>
    </w:p>
    <w:p w14:paraId="3E6035F2" w14:textId="77777777" w:rsidR="0058457E" w:rsidRPr="009C5807" w:rsidRDefault="0058457E" w:rsidP="00330D9C">
      <w:pPr>
        <w:pStyle w:val="TH"/>
      </w:pPr>
      <w:r w:rsidRPr="009C5807">
        <w:t>Table 10.1.19.2.2-1: CSI-RS based L1-RSRP relative accuracy in FR1</w:t>
      </w:r>
    </w:p>
    <w:tbl>
      <w:tblPr>
        <w:tblW w:w="10172" w:type="dxa"/>
        <w:jc w:val="center"/>
        <w:tblLook w:val="01E0" w:firstRow="1" w:lastRow="1" w:firstColumn="1" w:lastColumn="1" w:noHBand="0" w:noVBand="0"/>
      </w:tblPr>
      <w:tblGrid>
        <w:gridCol w:w="1029"/>
        <w:gridCol w:w="1026"/>
        <w:gridCol w:w="798"/>
        <w:gridCol w:w="1958"/>
        <w:gridCol w:w="827"/>
        <w:gridCol w:w="827"/>
        <w:gridCol w:w="827"/>
        <w:gridCol w:w="1440"/>
        <w:gridCol w:w="1440"/>
      </w:tblGrid>
      <w:tr w:rsidR="0058457E" w:rsidRPr="009C5807" w14:paraId="025F1CC7" w14:textId="77777777" w:rsidTr="0058457E">
        <w:trPr>
          <w:jc w:val="center"/>
        </w:trPr>
        <w:tc>
          <w:tcPr>
            <w:tcW w:w="2055"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0C0264AD" w14:textId="77777777" w:rsidR="0058457E" w:rsidRPr="009C5807" w:rsidRDefault="0058457E" w:rsidP="00330D9C">
            <w:pPr>
              <w:pStyle w:val="TAH"/>
            </w:pPr>
            <w:r w:rsidRPr="009C5807">
              <w:t>Accuracy</w:t>
            </w:r>
          </w:p>
        </w:tc>
        <w:tc>
          <w:tcPr>
            <w:tcW w:w="8117"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52DCF991" w14:textId="77777777" w:rsidR="0058457E" w:rsidRPr="009C5807" w:rsidRDefault="0058457E" w:rsidP="00330D9C">
            <w:pPr>
              <w:pStyle w:val="TAH"/>
            </w:pPr>
            <w:r w:rsidRPr="009C5807">
              <w:t>Conditions</w:t>
            </w:r>
          </w:p>
        </w:tc>
      </w:tr>
      <w:tr w:rsidR="0058457E" w:rsidRPr="009C5807" w14:paraId="4326DBAC" w14:textId="77777777" w:rsidTr="004E2099">
        <w:trPr>
          <w:jc w:val="center"/>
        </w:trPr>
        <w:tc>
          <w:tcPr>
            <w:tcW w:w="1029" w:type="dxa"/>
            <w:tcBorders>
              <w:top w:val="single" w:sz="6" w:space="0" w:color="auto"/>
              <w:left w:val="single" w:sz="4" w:space="0" w:color="auto"/>
              <w:right w:val="single" w:sz="6" w:space="0" w:color="auto"/>
            </w:tcBorders>
            <w:shd w:val="clear" w:color="auto" w:fill="auto"/>
            <w:vAlign w:val="center"/>
          </w:tcPr>
          <w:p w14:paraId="15DF9D64" w14:textId="77777777" w:rsidR="0058457E" w:rsidRPr="009C5807" w:rsidRDefault="0058457E" w:rsidP="00330D9C">
            <w:pPr>
              <w:pStyle w:val="TAH"/>
            </w:pPr>
            <w:r w:rsidRPr="009C5807">
              <w:t>Normal condition</w:t>
            </w:r>
          </w:p>
        </w:tc>
        <w:tc>
          <w:tcPr>
            <w:tcW w:w="1026" w:type="dxa"/>
            <w:tcBorders>
              <w:top w:val="single" w:sz="6" w:space="0" w:color="auto"/>
              <w:left w:val="single" w:sz="6" w:space="0" w:color="auto"/>
              <w:right w:val="single" w:sz="6" w:space="0" w:color="auto"/>
            </w:tcBorders>
            <w:shd w:val="clear" w:color="auto" w:fill="auto"/>
            <w:vAlign w:val="center"/>
          </w:tcPr>
          <w:p w14:paraId="3EA5C76B" w14:textId="77777777" w:rsidR="0058457E" w:rsidRPr="009C5807" w:rsidRDefault="0058457E" w:rsidP="00330D9C">
            <w:pPr>
              <w:pStyle w:val="TAH"/>
            </w:pPr>
            <w:r w:rsidRPr="009C5807">
              <w:t>Extreme condition</w:t>
            </w:r>
          </w:p>
        </w:tc>
        <w:tc>
          <w:tcPr>
            <w:tcW w:w="798" w:type="dxa"/>
            <w:tcBorders>
              <w:top w:val="single" w:sz="6" w:space="0" w:color="auto"/>
              <w:left w:val="single" w:sz="6" w:space="0" w:color="auto"/>
              <w:right w:val="single" w:sz="6" w:space="0" w:color="auto"/>
            </w:tcBorders>
            <w:shd w:val="clear" w:color="auto" w:fill="auto"/>
            <w:vAlign w:val="center"/>
          </w:tcPr>
          <w:p w14:paraId="78E0264A" w14:textId="77777777" w:rsidR="0058457E" w:rsidRPr="009C5807" w:rsidRDefault="0058457E" w:rsidP="00330D9C">
            <w:pPr>
              <w:pStyle w:val="TAH"/>
            </w:pPr>
            <w:r w:rsidRPr="009C5807">
              <w:t>CSI-RS Ês/Iot</w:t>
            </w:r>
            <w:r w:rsidRPr="009C5807">
              <w:rPr>
                <w:vertAlign w:val="superscript"/>
              </w:rPr>
              <w:t xml:space="preserve"> Note 2</w:t>
            </w:r>
          </w:p>
        </w:tc>
        <w:tc>
          <w:tcPr>
            <w:tcW w:w="7319"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4A29DD98" w14:textId="77777777" w:rsidR="0058457E" w:rsidRPr="009C5807" w:rsidRDefault="0058457E" w:rsidP="00330D9C">
            <w:pPr>
              <w:pStyle w:val="TAH"/>
            </w:pPr>
            <w:r w:rsidRPr="009C5807">
              <w:t>Io</w:t>
            </w:r>
            <w:r w:rsidRPr="009C5807">
              <w:rPr>
                <w:vertAlign w:val="superscript"/>
              </w:rPr>
              <w:t xml:space="preserve"> Note 1</w:t>
            </w:r>
            <w:r w:rsidRPr="009C5807">
              <w:t xml:space="preserve"> range</w:t>
            </w:r>
          </w:p>
        </w:tc>
      </w:tr>
      <w:tr w:rsidR="0058457E" w:rsidRPr="009C5807" w14:paraId="20515EAF" w14:textId="77777777" w:rsidTr="004E2099">
        <w:trPr>
          <w:jc w:val="center"/>
        </w:trPr>
        <w:tc>
          <w:tcPr>
            <w:tcW w:w="1029" w:type="dxa"/>
            <w:tcBorders>
              <w:left w:val="single" w:sz="4" w:space="0" w:color="auto"/>
              <w:bottom w:val="single" w:sz="6" w:space="0" w:color="auto"/>
              <w:right w:val="single" w:sz="6" w:space="0" w:color="auto"/>
            </w:tcBorders>
            <w:shd w:val="clear" w:color="auto" w:fill="auto"/>
            <w:vAlign w:val="center"/>
          </w:tcPr>
          <w:p w14:paraId="44C62BF4" w14:textId="77777777" w:rsidR="0058457E" w:rsidRPr="009C5807" w:rsidRDefault="0058457E" w:rsidP="00330D9C">
            <w:pPr>
              <w:pStyle w:val="TAH"/>
            </w:pPr>
          </w:p>
        </w:tc>
        <w:tc>
          <w:tcPr>
            <w:tcW w:w="1026" w:type="dxa"/>
            <w:tcBorders>
              <w:left w:val="single" w:sz="6" w:space="0" w:color="auto"/>
              <w:bottom w:val="single" w:sz="6" w:space="0" w:color="auto"/>
              <w:right w:val="single" w:sz="6" w:space="0" w:color="auto"/>
            </w:tcBorders>
            <w:shd w:val="clear" w:color="auto" w:fill="auto"/>
            <w:vAlign w:val="center"/>
          </w:tcPr>
          <w:p w14:paraId="0190FAA6" w14:textId="77777777" w:rsidR="0058457E" w:rsidRPr="009C5807" w:rsidRDefault="0058457E" w:rsidP="00330D9C">
            <w:pPr>
              <w:pStyle w:val="TAH"/>
            </w:pPr>
          </w:p>
        </w:tc>
        <w:tc>
          <w:tcPr>
            <w:tcW w:w="798" w:type="dxa"/>
            <w:tcBorders>
              <w:left w:val="single" w:sz="6" w:space="0" w:color="auto"/>
              <w:bottom w:val="single" w:sz="6" w:space="0" w:color="auto"/>
              <w:right w:val="single" w:sz="6" w:space="0" w:color="auto"/>
            </w:tcBorders>
            <w:shd w:val="clear" w:color="auto" w:fill="auto"/>
            <w:vAlign w:val="center"/>
          </w:tcPr>
          <w:p w14:paraId="31EC5EF7" w14:textId="77777777" w:rsidR="0058457E" w:rsidRPr="009C5807" w:rsidRDefault="0058457E" w:rsidP="00330D9C">
            <w:pPr>
              <w:pStyle w:val="TAH"/>
            </w:pPr>
          </w:p>
        </w:tc>
        <w:tc>
          <w:tcPr>
            <w:tcW w:w="1958" w:type="dxa"/>
            <w:tcBorders>
              <w:top w:val="single" w:sz="6" w:space="0" w:color="auto"/>
              <w:left w:val="single" w:sz="6" w:space="0" w:color="auto"/>
              <w:bottom w:val="single" w:sz="6" w:space="0" w:color="auto"/>
              <w:right w:val="single" w:sz="4" w:space="0" w:color="auto"/>
            </w:tcBorders>
            <w:shd w:val="clear" w:color="auto" w:fill="auto"/>
            <w:vAlign w:val="center"/>
          </w:tcPr>
          <w:p w14:paraId="5403E719" w14:textId="77777777" w:rsidR="0058457E" w:rsidRPr="009C5807" w:rsidRDefault="0058457E" w:rsidP="00330D9C">
            <w:pPr>
              <w:pStyle w:val="TAH"/>
            </w:pPr>
            <w:r w:rsidRPr="009C5807">
              <w:t>NR operating band groups</w:t>
            </w:r>
            <w:r w:rsidRPr="009C5807">
              <w:rPr>
                <w:vertAlign w:val="superscript"/>
              </w:rPr>
              <w:t xml:space="preserve"> Note 4</w:t>
            </w:r>
          </w:p>
        </w:tc>
        <w:tc>
          <w:tcPr>
            <w:tcW w:w="3921"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34C5865B" w14:textId="77777777" w:rsidR="0058457E" w:rsidRPr="009C5807" w:rsidRDefault="0058457E" w:rsidP="00330D9C">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18C0322B" w14:textId="77777777" w:rsidR="0058457E" w:rsidRPr="009C5807" w:rsidRDefault="0058457E" w:rsidP="00330D9C">
            <w:pPr>
              <w:pStyle w:val="TAH"/>
            </w:pPr>
            <w:r w:rsidRPr="009C5807">
              <w:t>Maximum Io</w:t>
            </w:r>
          </w:p>
        </w:tc>
      </w:tr>
      <w:tr w:rsidR="0058457E" w:rsidRPr="009C5807" w14:paraId="767C9413" w14:textId="77777777" w:rsidTr="004E2099">
        <w:trPr>
          <w:trHeight w:val="308"/>
          <w:jc w:val="center"/>
        </w:trPr>
        <w:tc>
          <w:tcPr>
            <w:tcW w:w="1029" w:type="dxa"/>
            <w:tcBorders>
              <w:top w:val="single" w:sz="6" w:space="0" w:color="auto"/>
              <w:left w:val="single" w:sz="4" w:space="0" w:color="auto"/>
              <w:right w:val="single" w:sz="6" w:space="0" w:color="auto"/>
            </w:tcBorders>
            <w:shd w:val="clear" w:color="auto" w:fill="auto"/>
            <w:vAlign w:val="center"/>
          </w:tcPr>
          <w:p w14:paraId="6CAA28DA" w14:textId="77777777" w:rsidR="0058457E" w:rsidRPr="009C5807" w:rsidRDefault="0058457E" w:rsidP="00330D9C">
            <w:pPr>
              <w:pStyle w:val="TAH"/>
            </w:pPr>
            <w:r w:rsidRPr="009C5807">
              <w:t>dB</w:t>
            </w:r>
          </w:p>
        </w:tc>
        <w:tc>
          <w:tcPr>
            <w:tcW w:w="1026" w:type="dxa"/>
            <w:tcBorders>
              <w:top w:val="single" w:sz="6" w:space="0" w:color="auto"/>
              <w:left w:val="single" w:sz="6" w:space="0" w:color="auto"/>
              <w:right w:val="single" w:sz="6" w:space="0" w:color="auto"/>
            </w:tcBorders>
            <w:shd w:val="clear" w:color="auto" w:fill="auto"/>
            <w:vAlign w:val="center"/>
          </w:tcPr>
          <w:p w14:paraId="56EE25C2" w14:textId="77777777" w:rsidR="0058457E" w:rsidRPr="009C5807" w:rsidRDefault="0058457E" w:rsidP="00330D9C">
            <w:pPr>
              <w:pStyle w:val="TAH"/>
            </w:pPr>
            <w:r w:rsidRPr="009C5807">
              <w:t>dB</w:t>
            </w:r>
          </w:p>
        </w:tc>
        <w:tc>
          <w:tcPr>
            <w:tcW w:w="798" w:type="dxa"/>
            <w:tcBorders>
              <w:top w:val="single" w:sz="6" w:space="0" w:color="auto"/>
              <w:left w:val="single" w:sz="6" w:space="0" w:color="auto"/>
              <w:right w:val="single" w:sz="6" w:space="0" w:color="auto"/>
            </w:tcBorders>
            <w:shd w:val="clear" w:color="auto" w:fill="auto"/>
            <w:vAlign w:val="center"/>
          </w:tcPr>
          <w:p w14:paraId="092B7958" w14:textId="77777777" w:rsidR="0058457E" w:rsidRPr="009C5807" w:rsidRDefault="0058457E" w:rsidP="00330D9C">
            <w:pPr>
              <w:pStyle w:val="TAH"/>
            </w:pPr>
            <w:r w:rsidRPr="009C5807">
              <w:t>dB</w:t>
            </w:r>
          </w:p>
        </w:tc>
        <w:tc>
          <w:tcPr>
            <w:tcW w:w="1958" w:type="dxa"/>
            <w:tcBorders>
              <w:top w:val="single" w:sz="6" w:space="0" w:color="auto"/>
              <w:left w:val="single" w:sz="6" w:space="0" w:color="auto"/>
              <w:right w:val="single" w:sz="4" w:space="0" w:color="auto"/>
            </w:tcBorders>
            <w:shd w:val="clear" w:color="auto" w:fill="auto"/>
            <w:vAlign w:val="center"/>
          </w:tcPr>
          <w:p w14:paraId="63DACDBA" w14:textId="77777777" w:rsidR="0058457E" w:rsidRPr="009C5807" w:rsidRDefault="0058457E" w:rsidP="00330D9C">
            <w:pPr>
              <w:pStyle w:val="TAH"/>
            </w:pPr>
          </w:p>
        </w:tc>
        <w:tc>
          <w:tcPr>
            <w:tcW w:w="2481"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5C135194" w14:textId="77777777" w:rsidR="0058457E" w:rsidRPr="009C5807" w:rsidRDefault="0058457E" w:rsidP="00330D9C">
            <w:pPr>
              <w:pStyle w:val="TAH"/>
            </w:pPr>
            <w:r w:rsidRPr="009C5807">
              <w:rPr>
                <w:rFonts w:cs="Arial"/>
              </w:rPr>
              <w:t xml:space="preserve">dBm / </w:t>
            </w:r>
            <w:r w:rsidRPr="009C5807">
              <w:t>SCS</w:t>
            </w:r>
            <w:r w:rsidRPr="009C5807">
              <w:rPr>
                <w:vertAlign w:val="subscript"/>
              </w:rPr>
              <w:t>CSI-RS</w:t>
            </w:r>
          </w:p>
        </w:tc>
        <w:tc>
          <w:tcPr>
            <w:tcW w:w="1440" w:type="dxa"/>
            <w:tcBorders>
              <w:top w:val="single" w:sz="6" w:space="0" w:color="auto"/>
              <w:left w:val="single" w:sz="6" w:space="0" w:color="auto"/>
              <w:right w:val="single" w:sz="6" w:space="0" w:color="auto"/>
            </w:tcBorders>
            <w:shd w:val="clear" w:color="auto" w:fill="auto"/>
            <w:vAlign w:val="center"/>
          </w:tcPr>
          <w:p w14:paraId="6C2D8204" w14:textId="77777777" w:rsidR="0058457E" w:rsidRPr="009C5807" w:rsidRDefault="0058457E" w:rsidP="00330D9C">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28E1B8D5" w14:textId="77777777" w:rsidR="0058457E" w:rsidRPr="009C5807" w:rsidRDefault="0058457E" w:rsidP="00330D9C">
            <w:pPr>
              <w:pStyle w:val="TAH"/>
            </w:pPr>
            <w:r w:rsidRPr="009C5807">
              <w:t>dBm/BW</w:t>
            </w:r>
            <w:r w:rsidRPr="009C5807">
              <w:rPr>
                <w:vertAlign w:val="subscript"/>
              </w:rPr>
              <w:t>Channel</w:t>
            </w:r>
          </w:p>
        </w:tc>
      </w:tr>
      <w:tr w:rsidR="0058457E" w:rsidRPr="009C5807" w14:paraId="71C3840E" w14:textId="77777777" w:rsidTr="00485F6E">
        <w:trPr>
          <w:trHeight w:val="307"/>
          <w:jc w:val="center"/>
        </w:trPr>
        <w:tc>
          <w:tcPr>
            <w:tcW w:w="1029" w:type="dxa"/>
            <w:tcBorders>
              <w:left w:val="single" w:sz="4" w:space="0" w:color="auto"/>
              <w:bottom w:val="single" w:sz="6" w:space="0" w:color="auto"/>
              <w:right w:val="single" w:sz="6" w:space="0" w:color="auto"/>
            </w:tcBorders>
            <w:shd w:val="clear" w:color="auto" w:fill="auto"/>
          </w:tcPr>
          <w:p w14:paraId="24498ECC" w14:textId="77777777" w:rsidR="0058457E" w:rsidRPr="009C5807" w:rsidRDefault="0058457E" w:rsidP="00485F6E">
            <w:pPr>
              <w:pStyle w:val="TAH"/>
            </w:pPr>
          </w:p>
        </w:tc>
        <w:tc>
          <w:tcPr>
            <w:tcW w:w="1026" w:type="dxa"/>
            <w:tcBorders>
              <w:left w:val="single" w:sz="6" w:space="0" w:color="auto"/>
              <w:bottom w:val="single" w:sz="6" w:space="0" w:color="auto"/>
              <w:right w:val="single" w:sz="6" w:space="0" w:color="auto"/>
            </w:tcBorders>
            <w:shd w:val="clear" w:color="auto" w:fill="auto"/>
          </w:tcPr>
          <w:p w14:paraId="34F7DF2F" w14:textId="77777777" w:rsidR="0058457E" w:rsidRPr="009C5807" w:rsidRDefault="0058457E" w:rsidP="00485F6E">
            <w:pPr>
              <w:pStyle w:val="TAH"/>
            </w:pPr>
          </w:p>
        </w:tc>
        <w:tc>
          <w:tcPr>
            <w:tcW w:w="798" w:type="dxa"/>
            <w:tcBorders>
              <w:left w:val="single" w:sz="6" w:space="0" w:color="auto"/>
              <w:bottom w:val="single" w:sz="6" w:space="0" w:color="auto"/>
              <w:right w:val="single" w:sz="6" w:space="0" w:color="auto"/>
            </w:tcBorders>
            <w:shd w:val="clear" w:color="auto" w:fill="auto"/>
          </w:tcPr>
          <w:p w14:paraId="2439D4F5" w14:textId="77777777" w:rsidR="0058457E" w:rsidRPr="009C5807" w:rsidRDefault="0058457E" w:rsidP="00485F6E">
            <w:pPr>
              <w:pStyle w:val="TAH"/>
            </w:pPr>
          </w:p>
        </w:tc>
        <w:tc>
          <w:tcPr>
            <w:tcW w:w="1958" w:type="dxa"/>
            <w:tcBorders>
              <w:left w:val="single" w:sz="6" w:space="0" w:color="auto"/>
              <w:bottom w:val="single" w:sz="6" w:space="0" w:color="auto"/>
              <w:right w:val="single" w:sz="4" w:space="0" w:color="auto"/>
            </w:tcBorders>
            <w:shd w:val="clear" w:color="auto" w:fill="auto"/>
          </w:tcPr>
          <w:p w14:paraId="59AB8E66" w14:textId="77777777" w:rsidR="0058457E" w:rsidRPr="009C5807" w:rsidRDefault="0058457E" w:rsidP="00485F6E">
            <w:pPr>
              <w:pStyle w:val="TAH"/>
            </w:pP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582BF44" w14:textId="77777777" w:rsidR="0058457E" w:rsidRPr="009C5807" w:rsidRDefault="0058457E" w:rsidP="00485F6E">
            <w:pPr>
              <w:pStyle w:val="TAH"/>
              <w:rPr>
                <w:rFonts w:cs="Arial"/>
              </w:rPr>
            </w:pPr>
            <w:r w:rsidRPr="009C5807">
              <w:t>SCS</w:t>
            </w:r>
            <w:r w:rsidRPr="009C5807">
              <w:rPr>
                <w:vertAlign w:val="subscript"/>
              </w:rPr>
              <w:t>CSI-RS</w:t>
            </w:r>
            <w:r w:rsidRPr="009C5807">
              <w:rPr>
                <w:rFonts w:cs="Arial"/>
              </w:rPr>
              <w:t xml:space="preserve"> = 15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3F04FDF" w14:textId="77777777" w:rsidR="0058457E" w:rsidRPr="009C5807" w:rsidRDefault="0058457E" w:rsidP="00485F6E">
            <w:pPr>
              <w:pStyle w:val="TAH"/>
              <w:rPr>
                <w:rFonts w:cs="Arial"/>
              </w:rPr>
            </w:pPr>
            <w:r w:rsidRPr="009C5807">
              <w:t>SCS</w:t>
            </w:r>
            <w:r w:rsidRPr="009C5807">
              <w:rPr>
                <w:vertAlign w:val="subscript"/>
              </w:rPr>
              <w:t>CSI-RS</w:t>
            </w:r>
            <w:r w:rsidRPr="009C5807">
              <w:rPr>
                <w:rFonts w:cs="Arial"/>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534F261" w14:textId="77777777" w:rsidR="0058457E" w:rsidRPr="009C5807" w:rsidRDefault="0058457E" w:rsidP="00485F6E">
            <w:pPr>
              <w:pStyle w:val="TAH"/>
              <w:rPr>
                <w:rFonts w:cs="Arial"/>
              </w:rPr>
            </w:pPr>
            <w:r w:rsidRPr="009C5807">
              <w:t>SCS</w:t>
            </w:r>
            <w:r w:rsidRPr="009C5807">
              <w:rPr>
                <w:vertAlign w:val="subscript"/>
              </w:rPr>
              <w:t>CSI-RS</w:t>
            </w:r>
            <w:r w:rsidRPr="009C5807">
              <w:rPr>
                <w:rFonts w:cs="Arial"/>
              </w:rPr>
              <w:t xml:space="preserve"> = 60 kHz</w:t>
            </w:r>
          </w:p>
        </w:tc>
        <w:tc>
          <w:tcPr>
            <w:tcW w:w="1440" w:type="dxa"/>
            <w:tcBorders>
              <w:left w:val="single" w:sz="6" w:space="0" w:color="auto"/>
              <w:bottom w:val="single" w:sz="6" w:space="0" w:color="auto"/>
              <w:right w:val="single" w:sz="6" w:space="0" w:color="auto"/>
            </w:tcBorders>
            <w:shd w:val="clear" w:color="auto" w:fill="auto"/>
          </w:tcPr>
          <w:p w14:paraId="6B43614E" w14:textId="77777777" w:rsidR="0058457E" w:rsidRPr="009C5807" w:rsidRDefault="0058457E" w:rsidP="00485F6E">
            <w:pPr>
              <w:pStyle w:val="TAH"/>
            </w:pPr>
          </w:p>
        </w:tc>
        <w:tc>
          <w:tcPr>
            <w:tcW w:w="1440" w:type="dxa"/>
            <w:tcBorders>
              <w:left w:val="single" w:sz="6" w:space="0" w:color="auto"/>
              <w:bottom w:val="single" w:sz="6" w:space="0" w:color="auto"/>
              <w:right w:val="single" w:sz="4" w:space="0" w:color="auto"/>
            </w:tcBorders>
            <w:shd w:val="clear" w:color="auto" w:fill="auto"/>
          </w:tcPr>
          <w:p w14:paraId="12F8E706" w14:textId="77777777" w:rsidR="0058457E" w:rsidRPr="009C5807" w:rsidRDefault="0058457E" w:rsidP="00485F6E">
            <w:pPr>
              <w:pStyle w:val="TAH"/>
            </w:pPr>
          </w:p>
        </w:tc>
      </w:tr>
      <w:tr w:rsidR="0058457E" w:rsidRPr="009C5807" w14:paraId="17EF98A4" w14:textId="77777777" w:rsidTr="00485F6E">
        <w:trPr>
          <w:jc w:val="center"/>
        </w:trPr>
        <w:tc>
          <w:tcPr>
            <w:tcW w:w="1029" w:type="dxa"/>
            <w:tcBorders>
              <w:top w:val="single" w:sz="6" w:space="0" w:color="auto"/>
              <w:left w:val="single" w:sz="4" w:space="0" w:color="auto"/>
              <w:right w:val="single" w:sz="6" w:space="0" w:color="auto"/>
            </w:tcBorders>
            <w:shd w:val="clear" w:color="auto" w:fill="auto"/>
          </w:tcPr>
          <w:p w14:paraId="74ADF3BC" w14:textId="7344B776" w:rsidR="0058457E" w:rsidRPr="009C5807" w:rsidRDefault="0058457E" w:rsidP="00485F6E">
            <w:pPr>
              <w:pStyle w:val="TAC"/>
            </w:pPr>
          </w:p>
        </w:tc>
        <w:tc>
          <w:tcPr>
            <w:tcW w:w="1026" w:type="dxa"/>
            <w:tcBorders>
              <w:top w:val="single" w:sz="6" w:space="0" w:color="auto"/>
              <w:left w:val="single" w:sz="6" w:space="0" w:color="auto"/>
              <w:right w:val="single" w:sz="6" w:space="0" w:color="auto"/>
            </w:tcBorders>
            <w:shd w:val="clear" w:color="auto" w:fill="auto"/>
          </w:tcPr>
          <w:p w14:paraId="506C6DCE" w14:textId="628068E3" w:rsidR="0058457E" w:rsidRPr="009C5807" w:rsidRDefault="0058457E" w:rsidP="00485F6E">
            <w:pPr>
              <w:pStyle w:val="TAC"/>
            </w:pPr>
          </w:p>
        </w:tc>
        <w:tc>
          <w:tcPr>
            <w:tcW w:w="798" w:type="dxa"/>
            <w:tcBorders>
              <w:top w:val="single" w:sz="6" w:space="0" w:color="auto"/>
              <w:left w:val="single" w:sz="6" w:space="0" w:color="auto"/>
              <w:right w:val="single" w:sz="6" w:space="0" w:color="auto"/>
            </w:tcBorders>
            <w:shd w:val="clear" w:color="auto" w:fill="auto"/>
          </w:tcPr>
          <w:p w14:paraId="6ABD5113" w14:textId="2F015E03" w:rsidR="0058457E" w:rsidRPr="009C5807" w:rsidRDefault="0058457E" w:rsidP="00485F6E">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7BDC2C8D" w14:textId="77777777" w:rsidR="0058457E" w:rsidRPr="009C5807" w:rsidRDefault="0058457E" w:rsidP="00485F6E">
            <w:pPr>
              <w:pStyle w:val="TAC"/>
            </w:pPr>
            <w:r w:rsidRPr="009C5807">
              <w:t>NR_FDD_FR1_A, NR_TDD_FR1_A,</w:t>
            </w:r>
          </w:p>
          <w:p w14:paraId="48A61795" w14:textId="77777777" w:rsidR="0058457E" w:rsidRPr="009C5807" w:rsidRDefault="0058457E" w:rsidP="00485F6E">
            <w:pPr>
              <w:pStyle w:val="TAC"/>
            </w:pPr>
            <w:r w:rsidRPr="009C5807">
              <w:t>NR_SDL_FR1_A</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6E37A6F" w14:textId="77777777" w:rsidR="0058457E" w:rsidRPr="009C5807" w:rsidRDefault="0058457E" w:rsidP="00485F6E">
            <w:pPr>
              <w:pStyle w:val="TAC"/>
            </w:pPr>
            <w:r w:rsidRPr="009C5807">
              <w:t>-121</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FDCBCDA" w14:textId="77777777" w:rsidR="0058457E" w:rsidRPr="009C5807" w:rsidRDefault="0058457E" w:rsidP="00485F6E">
            <w:pPr>
              <w:pStyle w:val="TAC"/>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245F0CE" w14:textId="77777777" w:rsidR="0058457E" w:rsidRPr="009C5807" w:rsidRDefault="0058457E" w:rsidP="00485F6E">
            <w:pPr>
              <w:pStyle w:val="TAC"/>
            </w:pPr>
            <w:r w:rsidRPr="009C5807">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033E12E"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1529374" w14:textId="77777777" w:rsidR="0058457E" w:rsidRPr="009C5807" w:rsidRDefault="0058457E" w:rsidP="00485F6E">
            <w:pPr>
              <w:pStyle w:val="TAC"/>
            </w:pPr>
            <w:r w:rsidRPr="009C5807">
              <w:t>-50</w:t>
            </w:r>
          </w:p>
        </w:tc>
      </w:tr>
      <w:tr w:rsidR="0058457E" w:rsidRPr="009C5807" w14:paraId="394D79E2" w14:textId="77777777" w:rsidTr="00485F6E">
        <w:trPr>
          <w:jc w:val="center"/>
        </w:trPr>
        <w:tc>
          <w:tcPr>
            <w:tcW w:w="1029" w:type="dxa"/>
            <w:tcBorders>
              <w:left w:val="single" w:sz="4" w:space="0" w:color="auto"/>
              <w:right w:val="single" w:sz="6" w:space="0" w:color="auto"/>
            </w:tcBorders>
            <w:shd w:val="clear" w:color="auto" w:fill="auto"/>
          </w:tcPr>
          <w:p w14:paraId="5DBF9AB3" w14:textId="77777777" w:rsidR="0058457E" w:rsidRPr="009C5807" w:rsidRDefault="0058457E" w:rsidP="00485F6E">
            <w:pPr>
              <w:pStyle w:val="TAC"/>
            </w:pPr>
          </w:p>
        </w:tc>
        <w:tc>
          <w:tcPr>
            <w:tcW w:w="1026" w:type="dxa"/>
            <w:tcBorders>
              <w:left w:val="single" w:sz="6" w:space="0" w:color="auto"/>
              <w:right w:val="single" w:sz="6" w:space="0" w:color="auto"/>
            </w:tcBorders>
            <w:shd w:val="clear" w:color="auto" w:fill="auto"/>
          </w:tcPr>
          <w:p w14:paraId="1A9EBE0A" w14:textId="77777777" w:rsidR="0058457E" w:rsidRPr="009C5807" w:rsidRDefault="0058457E" w:rsidP="00485F6E">
            <w:pPr>
              <w:pStyle w:val="TAC"/>
            </w:pPr>
          </w:p>
        </w:tc>
        <w:tc>
          <w:tcPr>
            <w:tcW w:w="798" w:type="dxa"/>
            <w:tcBorders>
              <w:left w:val="single" w:sz="6" w:space="0" w:color="auto"/>
              <w:right w:val="single" w:sz="6" w:space="0" w:color="auto"/>
            </w:tcBorders>
            <w:shd w:val="clear" w:color="auto" w:fill="auto"/>
          </w:tcPr>
          <w:p w14:paraId="56ED4685" w14:textId="77777777" w:rsidR="0058457E" w:rsidRPr="009C5807" w:rsidRDefault="0058457E" w:rsidP="00485F6E">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67B741B1" w14:textId="77777777" w:rsidR="0058457E" w:rsidRPr="009C5807" w:rsidRDefault="0058457E" w:rsidP="00485F6E">
            <w:pPr>
              <w:pStyle w:val="TAC"/>
            </w:pPr>
            <w:r w:rsidRPr="009C5807">
              <w:t>NR_FDD_FR1_B</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C601A49" w14:textId="77777777" w:rsidR="0058457E" w:rsidRPr="009C5807" w:rsidRDefault="0058457E" w:rsidP="00485F6E">
            <w:pPr>
              <w:pStyle w:val="TAC"/>
            </w:pPr>
            <w:r w:rsidRPr="009C5807">
              <w:t>-120.5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DDD4D72" w14:textId="77777777" w:rsidR="0058457E" w:rsidRPr="009C5807" w:rsidRDefault="0058457E" w:rsidP="00485F6E">
            <w:pPr>
              <w:pStyle w:val="TAC"/>
              <w:rPr>
                <w:lang w:val="sv-SE"/>
              </w:rPr>
            </w:pPr>
            <w:r w:rsidRPr="009C5807">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DF0C9AE" w14:textId="77777777" w:rsidR="0058457E" w:rsidRPr="009C5807" w:rsidRDefault="0058457E" w:rsidP="00485F6E">
            <w:pPr>
              <w:pStyle w:val="TAC"/>
              <w:rPr>
                <w:lang w:val="sv-SE"/>
              </w:rPr>
            </w:pPr>
            <w:r w:rsidRPr="009C5807">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9760C0E" w14:textId="77777777" w:rsidR="0058457E" w:rsidRPr="009C5807" w:rsidRDefault="0058457E" w:rsidP="00485F6E">
            <w:pPr>
              <w:pStyle w:val="TAC"/>
            </w:pPr>
            <w:r w:rsidRPr="009C5807">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0B921AB" w14:textId="77777777" w:rsidR="0058457E" w:rsidRPr="009C5807" w:rsidRDefault="0058457E" w:rsidP="00485F6E">
            <w:pPr>
              <w:pStyle w:val="TAC"/>
            </w:pPr>
            <w:r w:rsidRPr="009C5807">
              <w:t>-50</w:t>
            </w:r>
          </w:p>
        </w:tc>
      </w:tr>
      <w:tr w:rsidR="0058457E" w:rsidRPr="009C5807" w14:paraId="60D7FE58" w14:textId="77777777" w:rsidTr="00485F6E">
        <w:trPr>
          <w:jc w:val="center"/>
        </w:trPr>
        <w:tc>
          <w:tcPr>
            <w:tcW w:w="1029" w:type="dxa"/>
            <w:tcBorders>
              <w:left w:val="single" w:sz="4" w:space="0" w:color="auto"/>
              <w:right w:val="single" w:sz="6" w:space="0" w:color="auto"/>
            </w:tcBorders>
            <w:shd w:val="clear" w:color="auto" w:fill="auto"/>
          </w:tcPr>
          <w:p w14:paraId="6C49A7FE" w14:textId="77777777" w:rsidR="0058457E" w:rsidRPr="009C5807" w:rsidRDefault="0058457E" w:rsidP="00485F6E">
            <w:pPr>
              <w:pStyle w:val="TAC"/>
            </w:pPr>
          </w:p>
        </w:tc>
        <w:tc>
          <w:tcPr>
            <w:tcW w:w="1026" w:type="dxa"/>
            <w:tcBorders>
              <w:left w:val="single" w:sz="6" w:space="0" w:color="auto"/>
              <w:right w:val="single" w:sz="6" w:space="0" w:color="auto"/>
            </w:tcBorders>
            <w:shd w:val="clear" w:color="auto" w:fill="auto"/>
          </w:tcPr>
          <w:p w14:paraId="60BEB3C2" w14:textId="77777777" w:rsidR="0058457E" w:rsidRPr="009C5807" w:rsidRDefault="0058457E" w:rsidP="00485F6E">
            <w:pPr>
              <w:pStyle w:val="TAC"/>
            </w:pPr>
          </w:p>
        </w:tc>
        <w:tc>
          <w:tcPr>
            <w:tcW w:w="798" w:type="dxa"/>
            <w:tcBorders>
              <w:left w:val="single" w:sz="6" w:space="0" w:color="auto"/>
              <w:right w:val="single" w:sz="6" w:space="0" w:color="auto"/>
            </w:tcBorders>
            <w:shd w:val="clear" w:color="auto" w:fill="auto"/>
          </w:tcPr>
          <w:p w14:paraId="0F02F651" w14:textId="77777777" w:rsidR="0058457E" w:rsidRPr="009C5807" w:rsidRDefault="0058457E" w:rsidP="00485F6E">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7FB036EC" w14:textId="77777777" w:rsidR="0058457E" w:rsidRPr="009C5807" w:rsidRDefault="0058457E" w:rsidP="00485F6E">
            <w:pPr>
              <w:pStyle w:val="TAC"/>
            </w:pPr>
            <w:r w:rsidRPr="009C5807">
              <w:t>NR_TDD_FR1_C</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637F01A" w14:textId="77777777" w:rsidR="0058457E" w:rsidRPr="009C5807" w:rsidRDefault="0058457E" w:rsidP="00485F6E">
            <w:pPr>
              <w:pStyle w:val="TAC"/>
            </w:pPr>
            <w:r w:rsidRPr="009C5807">
              <w:t>-120</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B02CC5E" w14:textId="77777777" w:rsidR="0058457E" w:rsidRPr="009C5807" w:rsidRDefault="0058457E" w:rsidP="00485F6E">
            <w:pPr>
              <w:pStyle w:val="TAC"/>
              <w:rPr>
                <w:lang w:val="sv-SE"/>
              </w:rPr>
            </w:pPr>
            <w:r w:rsidRPr="009C5807">
              <w:t>-117</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5671175" w14:textId="77777777" w:rsidR="0058457E" w:rsidRPr="009C5807" w:rsidRDefault="0058457E" w:rsidP="00485F6E">
            <w:pPr>
              <w:pStyle w:val="TAC"/>
              <w:rPr>
                <w:lang w:val="sv-SE"/>
              </w:rPr>
            </w:pPr>
            <w:r w:rsidRPr="009C5807">
              <w:t>-114</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E159125"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C6DF18A" w14:textId="77777777" w:rsidR="0058457E" w:rsidRPr="009C5807" w:rsidRDefault="0058457E" w:rsidP="00485F6E">
            <w:pPr>
              <w:pStyle w:val="TAC"/>
            </w:pPr>
            <w:r w:rsidRPr="009C5807">
              <w:t>-50</w:t>
            </w:r>
          </w:p>
        </w:tc>
      </w:tr>
      <w:tr w:rsidR="00894167" w:rsidRPr="009C5807" w14:paraId="6571401C" w14:textId="77777777" w:rsidTr="00485F6E">
        <w:trPr>
          <w:jc w:val="center"/>
        </w:trPr>
        <w:tc>
          <w:tcPr>
            <w:tcW w:w="1029" w:type="dxa"/>
            <w:tcBorders>
              <w:left w:val="single" w:sz="4" w:space="0" w:color="auto"/>
              <w:right w:val="single" w:sz="6" w:space="0" w:color="auto"/>
            </w:tcBorders>
            <w:shd w:val="clear" w:color="auto" w:fill="auto"/>
          </w:tcPr>
          <w:p w14:paraId="59454D2F" w14:textId="1BD55CFF" w:rsidR="00894167" w:rsidRPr="009C5807" w:rsidRDefault="00894167" w:rsidP="00485F6E">
            <w:pPr>
              <w:pStyle w:val="TAC"/>
            </w:pPr>
            <w:r w:rsidRPr="009C5807">
              <w:rPr>
                <w:rFonts w:cs="Arial"/>
              </w:rPr>
              <w:t>±</w:t>
            </w:r>
            <w:r w:rsidRPr="009C5807">
              <w:t>3</w:t>
            </w:r>
          </w:p>
        </w:tc>
        <w:tc>
          <w:tcPr>
            <w:tcW w:w="1026" w:type="dxa"/>
            <w:tcBorders>
              <w:left w:val="single" w:sz="6" w:space="0" w:color="auto"/>
              <w:right w:val="single" w:sz="6" w:space="0" w:color="auto"/>
            </w:tcBorders>
            <w:shd w:val="clear" w:color="auto" w:fill="auto"/>
          </w:tcPr>
          <w:p w14:paraId="52AEEE66" w14:textId="635D609A" w:rsidR="00894167" w:rsidRPr="009C5807" w:rsidRDefault="00894167" w:rsidP="00485F6E">
            <w:pPr>
              <w:pStyle w:val="TAC"/>
            </w:pPr>
            <w:r w:rsidRPr="009C5807">
              <w:rPr>
                <w:rFonts w:cs="Arial"/>
              </w:rPr>
              <w:t>±</w:t>
            </w:r>
            <w:r w:rsidRPr="009C5807">
              <w:t>4</w:t>
            </w:r>
          </w:p>
        </w:tc>
        <w:tc>
          <w:tcPr>
            <w:tcW w:w="798" w:type="dxa"/>
            <w:tcBorders>
              <w:left w:val="single" w:sz="6" w:space="0" w:color="auto"/>
              <w:right w:val="single" w:sz="6" w:space="0" w:color="auto"/>
            </w:tcBorders>
            <w:shd w:val="clear" w:color="auto" w:fill="auto"/>
          </w:tcPr>
          <w:p w14:paraId="1BFC8F3B" w14:textId="104FD61B" w:rsidR="00894167" w:rsidRPr="009C5807" w:rsidRDefault="00894167" w:rsidP="00485F6E">
            <w:pPr>
              <w:pStyle w:val="TAC"/>
            </w:pPr>
            <w:r w:rsidRPr="009C5807">
              <w:sym w:font="Symbol" w:char="F0B3"/>
            </w:r>
            <w:r w:rsidRPr="009C5807">
              <w:t>-3</w:t>
            </w: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430F8B8C" w14:textId="77777777" w:rsidR="00894167" w:rsidRPr="009C5807" w:rsidRDefault="00894167" w:rsidP="00485F6E">
            <w:pPr>
              <w:pStyle w:val="TAC"/>
              <w:rPr>
                <w:lang w:val="sv-SE"/>
              </w:rPr>
            </w:pPr>
            <w:r w:rsidRPr="009C5807">
              <w:rPr>
                <w:lang w:val="sv-SE"/>
              </w:rPr>
              <w:t>NR_FDD_FR1_D, NR_TDD_FR1_D</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6694DC7" w14:textId="77777777" w:rsidR="00894167" w:rsidRPr="009C5807" w:rsidRDefault="00894167" w:rsidP="00485F6E">
            <w:pPr>
              <w:pStyle w:val="TAC"/>
            </w:pPr>
            <w:r w:rsidRPr="009C5807">
              <w:t>-119.5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0D9B5EA" w14:textId="77777777" w:rsidR="00894167" w:rsidRPr="009C5807" w:rsidRDefault="00894167" w:rsidP="00485F6E">
            <w:pPr>
              <w:pStyle w:val="TAC"/>
            </w:pPr>
            <w:r w:rsidRPr="009C5807">
              <w:t>-116.5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B24BE0E" w14:textId="77777777" w:rsidR="00894167" w:rsidRPr="009C5807" w:rsidRDefault="00894167" w:rsidP="00485F6E">
            <w:pPr>
              <w:pStyle w:val="TAC"/>
            </w:pPr>
            <w:r w:rsidRPr="009C5807">
              <w:t>-113.5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B9BF614" w14:textId="77777777" w:rsidR="00894167" w:rsidRPr="009C5807" w:rsidRDefault="00894167"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93C32B0" w14:textId="77777777" w:rsidR="00894167" w:rsidRPr="009C5807" w:rsidRDefault="00894167" w:rsidP="00485F6E">
            <w:pPr>
              <w:pStyle w:val="TAC"/>
            </w:pPr>
            <w:r w:rsidRPr="009C5807">
              <w:t>-50</w:t>
            </w:r>
          </w:p>
        </w:tc>
      </w:tr>
      <w:tr w:rsidR="0058457E" w:rsidRPr="009C5807" w14:paraId="35899D89" w14:textId="77777777" w:rsidTr="00485F6E">
        <w:trPr>
          <w:jc w:val="center"/>
        </w:trPr>
        <w:tc>
          <w:tcPr>
            <w:tcW w:w="1029" w:type="dxa"/>
            <w:tcBorders>
              <w:left w:val="single" w:sz="4" w:space="0" w:color="auto"/>
              <w:right w:val="single" w:sz="6" w:space="0" w:color="auto"/>
            </w:tcBorders>
            <w:shd w:val="clear" w:color="auto" w:fill="auto"/>
          </w:tcPr>
          <w:p w14:paraId="44B55886" w14:textId="77777777" w:rsidR="0058457E" w:rsidRPr="009C5807" w:rsidRDefault="0058457E" w:rsidP="00485F6E">
            <w:pPr>
              <w:pStyle w:val="TAC"/>
            </w:pPr>
          </w:p>
        </w:tc>
        <w:tc>
          <w:tcPr>
            <w:tcW w:w="1026" w:type="dxa"/>
            <w:tcBorders>
              <w:left w:val="single" w:sz="6" w:space="0" w:color="auto"/>
              <w:right w:val="single" w:sz="6" w:space="0" w:color="auto"/>
            </w:tcBorders>
            <w:shd w:val="clear" w:color="auto" w:fill="auto"/>
          </w:tcPr>
          <w:p w14:paraId="7C11EB29" w14:textId="77777777" w:rsidR="0058457E" w:rsidRPr="009C5807" w:rsidRDefault="0058457E" w:rsidP="00485F6E">
            <w:pPr>
              <w:pStyle w:val="TAC"/>
            </w:pPr>
          </w:p>
        </w:tc>
        <w:tc>
          <w:tcPr>
            <w:tcW w:w="798" w:type="dxa"/>
            <w:tcBorders>
              <w:left w:val="single" w:sz="6" w:space="0" w:color="auto"/>
              <w:right w:val="single" w:sz="6" w:space="0" w:color="auto"/>
            </w:tcBorders>
            <w:shd w:val="clear" w:color="auto" w:fill="auto"/>
          </w:tcPr>
          <w:p w14:paraId="567785F8" w14:textId="77777777" w:rsidR="0058457E" w:rsidRPr="009C5807" w:rsidRDefault="0058457E" w:rsidP="00485F6E">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425B6185" w14:textId="77777777" w:rsidR="0058457E" w:rsidRPr="009C5807" w:rsidDel="00836998" w:rsidRDefault="0058457E" w:rsidP="00485F6E">
            <w:pPr>
              <w:pStyle w:val="TAC"/>
              <w:rPr>
                <w:lang w:val="sv-SE"/>
              </w:rPr>
            </w:pPr>
            <w:r w:rsidRPr="009C5807">
              <w:rPr>
                <w:lang w:val="sv-SE"/>
              </w:rPr>
              <w:t>NR_FDD_FR1_E, NR_TDD_FR1_E</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6B910C5" w14:textId="77777777" w:rsidR="0058457E" w:rsidRPr="009C5807" w:rsidRDefault="0058457E" w:rsidP="00485F6E">
            <w:pPr>
              <w:pStyle w:val="TAC"/>
            </w:pPr>
            <w:r w:rsidRPr="009C5807">
              <w:t>-119</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4C52D28" w14:textId="77777777" w:rsidR="0058457E" w:rsidRPr="009C5807" w:rsidRDefault="0058457E" w:rsidP="00485F6E">
            <w:pPr>
              <w:pStyle w:val="TAC"/>
              <w:rPr>
                <w:lang w:val="sv-SE"/>
              </w:rPr>
            </w:pPr>
            <w:r w:rsidRPr="009C5807">
              <w:t>-116</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B623E55" w14:textId="77777777" w:rsidR="0058457E" w:rsidRPr="009C5807" w:rsidRDefault="0058457E" w:rsidP="00485F6E">
            <w:pPr>
              <w:pStyle w:val="TAC"/>
              <w:rPr>
                <w:lang w:val="sv-SE"/>
              </w:rPr>
            </w:pPr>
            <w:r w:rsidRPr="009C5807">
              <w:t>-113</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2FE24CF"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AD7028C" w14:textId="77777777" w:rsidR="0058457E" w:rsidRPr="009C5807" w:rsidRDefault="0058457E" w:rsidP="00485F6E">
            <w:pPr>
              <w:pStyle w:val="TAC"/>
            </w:pPr>
            <w:r w:rsidRPr="009C5807">
              <w:t>-50</w:t>
            </w:r>
          </w:p>
        </w:tc>
      </w:tr>
      <w:tr w:rsidR="00CB340B" w:rsidRPr="009C5807" w14:paraId="7F56D061" w14:textId="77777777" w:rsidTr="00485F6E">
        <w:trPr>
          <w:jc w:val="center"/>
        </w:trPr>
        <w:tc>
          <w:tcPr>
            <w:tcW w:w="1029" w:type="dxa"/>
            <w:tcBorders>
              <w:left w:val="single" w:sz="4" w:space="0" w:color="auto"/>
              <w:right w:val="single" w:sz="6" w:space="0" w:color="auto"/>
            </w:tcBorders>
            <w:shd w:val="clear" w:color="auto" w:fill="auto"/>
          </w:tcPr>
          <w:p w14:paraId="0136A4D0" w14:textId="77777777" w:rsidR="00CB340B" w:rsidRPr="009C5807" w:rsidRDefault="00CB340B" w:rsidP="00485F6E">
            <w:pPr>
              <w:pStyle w:val="TAC"/>
            </w:pPr>
          </w:p>
        </w:tc>
        <w:tc>
          <w:tcPr>
            <w:tcW w:w="1026" w:type="dxa"/>
            <w:tcBorders>
              <w:left w:val="single" w:sz="6" w:space="0" w:color="auto"/>
              <w:right w:val="single" w:sz="6" w:space="0" w:color="auto"/>
            </w:tcBorders>
            <w:shd w:val="clear" w:color="auto" w:fill="auto"/>
          </w:tcPr>
          <w:p w14:paraId="285D6AA6" w14:textId="77777777" w:rsidR="00CB340B" w:rsidRPr="009C5807" w:rsidRDefault="00CB340B" w:rsidP="00485F6E">
            <w:pPr>
              <w:pStyle w:val="TAC"/>
            </w:pPr>
          </w:p>
        </w:tc>
        <w:tc>
          <w:tcPr>
            <w:tcW w:w="798" w:type="dxa"/>
            <w:tcBorders>
              <w:left w:val="single" w:sz="6" w:space="0" w:color="auto"/>
              <w:right w:val="single" w:sz="6" w:space="0" w:color="auto"/>
            </w:tcBorders>
            <w:shd w:val="clear" w:color="auto" w:fill="auto"/>
          </w:tcPr>
          <w:p w14:paraId="22D126CB" w14:textId="77777777" w:rsidR="00CB340B" w:rsidRPr="009C5807" w:rsidRDefault="00CB340B" w:rsidP="00485F6E">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4CC9F979" w14:textId="370BDF99" w:rsidR="00CB340B" w:rsidRPr="009C5807" w:rsidRDefault="00CB340B" w:rsidP="00485F6E">
            <w:pPr>
              <w:pStyle w:val="TAC"/>
              <w:rPr>
                <w:lang w:val="sv-SE"/>
              </w:rPr>
            </w:pPr>
            <w:r w:rsidRPr="009C5807">
              <w:rPr>
                <w:lang w:eastAsia="zh-CN"/>
              </w:rPr>
              <w:t>NR_FDD_FR1_F</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B74703B" w14:textId="5D8DAF38" w:rsidR="00CB340B" w:rsidRPr="009C5807" w:rsidRDefault="00CB340B" w:rsidP="00485F6E">
            <w:pPr>
              <w:pStyle w:val="TAC"/>
            </w:pPr>
            <w:r w:rsidRPr="009C5807">
              <w:t>-118.5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D0284B7" w14:textId="1F87F1DB" w:rsidR="00CB340B" w:rsidRPr="009C5807" w:rsidRDefault="00CB340B" w:rsidP="00485F6E">
            <w:pPr>
              <w:pStyle w:val="TAC"/>
            </w:pPr>
            <w:r w:rsidRPr="009C5807">
              <w:rPr>
                <w:rFonts w:cs="Arial"/>
              </w:rPr>
              <w:t>-115.5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4AA2EEF" w14:textId="3D56115C" w:rsidR="00CB340B" w:rsidRPr="009C5807" w:rsidRDefault="00CB340B" w:rsidP="00485F6E">
            <w:pPr>
              <w:pStyle w:val="TAC"/>
            </w:pPr>
            <w:r w:rsidRPr="009C5807">
              <w:rPr>
                <w:rFonts w:cs="Arial"/>
              </w:rPr>
              <w:t>-112.5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FD7411F" w14:textId="29E4D61B" w:rsidR="00CB340B" w:rsidRPr="009C5807" w:rsidRDefault="00CB340B"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FEA01E0" w14:textId="4AF6A1ED" w:rsidR="00CB340B" w:rsidRPr="009C5807" w:rsidRDefault="00CB340B" w:rsidP="00485F6E">
            <w:pPr>
              <w:pStyle w:val="TAC"/>
            </w:pPr>
            <w:r w:rsidRPr="009C5807">
              <w:t>-50</w:t>
            </w:r>
          </w:p>
        </w:tc>
      </w:tr>
      <w:tr w:rsidR="0058457E" w:rsidRPr="009C5807" w14:paraId="30913F65" w14:textId="77777777" w:rsidTr="00485F6E">
        <w:trPr>
          <w:jc w:val="center"/>
        </w:trPr>
        <w:tc>
          <w:tcPr>
            <w:tcW w:w="1029" w:type="dxa"/>
            <w:tcBorders>
              <w:left w:val="single" w:sz="4" w:space="0" w:color="auto"/>
              <w:right w:val="single" w:sz="6" w:space="0" w:color="auto"/>
            </w:tcBorders>
            <w:shd w:val="clear" w:color="auto" w:fill="auto"/>
          </w:tcPr>
          <w:p w14:paraId="7B6D6117" w14:textId="77777777" w:rsidR="0058457E" w:rsidRPr="009C5807" w:rsidRDefault="0058457E" w:rsidP="00485F6E">
            <w:pPr>
              <w:pStyle w:val="TAC"/>
            </w:pPr>
          </w:p>
        </w:tc>
        <w:tc>
          <w:tcPr>
            <w:tcW w:w="1026" w:type="dxa"/>
            <w:tcBorders>
              <w:left w:val="single" w:sz="6" w:space="0" w:color="auto"/>
              <w:right w:val="single" w:sz="6" w:space="0" w:color="auto"/>
            </w:tcBorders>
            <w:shd w:val="clear" w:color="auto" w:fill="auto"/>
          </w:tcPr>
          <w:p w14:paraId="2E32A4C5" w14:textId="77777777" w:rsidR="0058457E" w:rsidRPr="009C5807" w:rsidRDefault="0058457E" w:rsidP="00485F6E">
            <w:pPr>
              <w:pStyle w:val="TAC"/>
            </w:pPr>
          </w:p>
        </w:tc>
        <w:tc>
          <w:tcPr>
            <w:tcW w:w="798" w:type="dxa"/>
            <w:tcBorders>
              <w:left w:val="single" w:sz="6" w:space="0" w:color="auto"/>
              <w:right w:val="single" w:sz="6" w:space="0" w:color="auto"/>
            </w:tcBorders>
            <w:shd w:val="clear" w:color="auto" w:fill="auto"/>
          </w:tcPr>
          <w:p w14:paraId="67E7E551" w14:textId="77777777" w:rsidR="0058457E" w:rsidRPr="009C5807" w:rsidRDefault="0058457E" w:rsidP="00485F6E">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465546C4" w14:textId="77777777" w:rsidR="0058457E" w:rsidRPr="009C5807" w:rsidDel="00836998" w:rsidRDefault="0058457E" w:rsidP="00485F6E">
            <w:pPr>
              <w:pStyle w:val="TAC"/>
              <w:rPr>
                <w:lang w:eastAsia="zh-CN"/>
              </w:rPr>
            </w:pPr>
            <w:r w:rsidRPr="009C5807">
              <w:rPr>
                <w:lang w:eastAsia="zh-CN"/>
              </w:rPr>
              <w:t>NR</w:t>
            </w:r>
            <w:r w:rsidRPr="009C5807">
              <w:t>_</w:t>
            </w:r>
            <w:r w:rsidRPr="009C5807">
              <w:rPr>
                <w:lang w:eastAsia="zh-CN"/>
              </w:rPr>
              <w:t>FDD_FR1_G</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088AE16" w14:textId="77777777" w:rsidR="0058457E" w:rsidRPr="009C5807" w:rsidRDefault="0058457E" w:rsidP="00485F6E">
            <w:pPr>
              <w:pStyle w:val="TAC"/>
            </w:pPr>
            <w:r w:rsidRPr="009C5807">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68B5683" w14:textId="77777777" w:rsidR="0058457E" w:rsidRPr="009C5807" w:rsidRDefault="0058457E" w:rsidP="00485F6E">
            <w:pPr>
              <w:pStyle w:val="TAC"/>
              <w:rPr>
                <w:rFonts w:cs="Arial"/>
                <w:lang w:val="sv-SE"/>
              </w:rPr>
            </w:pPr>
            <w:r w:rsidRPr="009C5807">
              <w:rPr>
                <w:rFonts w:cs="Arial"/>
              </w:rPr>
              <w:t>-115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A82B53C" w14:textId="77777777" w:rsidR="0058457E" w:rsidRPr="009C5807" w:rsidRDefault="0058457E" w:rsidP="00485F6E">
            <w:pPr>
              <w:pStyle w:val="TAC"/>
              <w:rPr>
                <w:rFonts w:cs="Arial"/>
                <w:lang w:val="sv-SE"/>
              </w:rPr>
            </w:pPr>
            <w:r w:rsidRPr="009C5807">
              <w:rPr>
                <w:rFonts w:cs="Arial"/>
              </w:rPr>
              <w:t>-112</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36F89E1"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909305D" w14:textId="77777777" w:rsidR="0058457E" w:rsidRPr="009C5807" w:rsidRDefault="0058457E" w:rsidP="00485F6E">
            <w:pPr>
              <w:pStyle w:val="TAC"/>
            </w:pPr>
            <w:r w:rsidRPr="009C5807">
              <w:t>-50</w:t>
            </w:r>
          </w:p>
        </w:tc>
      </w:tr>
      <w:tr w:rsidR="0058457E" w:rsidRPr="009C5807" w14:paraId="7E6D5316" w14:textId="77777777" w:rsidTr="00485F6E">
        <w:trPr>
          <w:jc w:val="center"/>
        </w:trPr>
        <w:tc>
          <w:tcPr>
            <w:tcW w:w="1029" w:type="dxa"/>
            <w:tcBorders>
              <w:left w:val="single" w:sz="4" w:space="0" w:color="auto"/>
              <w:right w:val="single" w:sz="6" w:space="0" w:color="auto"/>
            </w:tcBorders>
            <w:shd w:val="clear" w:color="auto" w:fill="auto"/>
          </w:tcPr>
          <w:p w14:paraId="4F39D6D7" w14:textId="77777777" w:rsidR="0058457E" w:rsidRPr="009C5807" w:rsidRDefault="0058457E" w:rsidP="00485F6E">
            <w:pPr>
              <w:pStyle w:val="TAC"/>
            </w:pPr>
          </w:p>
        </w:tc>
        <w:tc>
          <w:tcPr>
            <w:tcW w:w="1026" w:type="dxa"/>
            <w:tcBorders>
              <w:left w:val="single" w:sz="6" w:space="0" w:color="auto"/>
              <w:right w:val="single" w:sz="6" w:space="0" w:color="auto"/>
            </w:tcBorders>
            <w:shd w:val="clear" w:color="auto" w:fill="auto"/>
          </w:tcPr>
          <w:p w14:paraId="78F3C514" w14:textId="77777777" w:rsidR="0058457E" w:rsidRPr="009C5807" w:rsidRDefault="0058457E" w:rsidP="00485F6E">
            <w:pPr>
              <w:pStyle w:val="TAC"/>
            </w:pPr>
          </w:p>
        </w:tc>
        <w:tc>
          <w:tcPr>
            <w:tcW w:w="798" w:type="dxa"/>
            <w:tcBorders>
              <w:left w:val="single" w:sz="6" w:space="0" w:color="auto"/>
              <w:right w:val="single" w:sz="6" w:space="0" w:color="auto"/>
            </w:tcBorders>
            <w:shd w:val="clear" w:color="auto" w:fill="auto"/>
          </w:tcPr>
          <w:p w14:paraId="3ADC7B57" w14:textId="77777777" w:rsidR="0058457E" w:rsidRPr="009C5807" w:rsidRDefault="0058457E" w:rsidP="00485F6E">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377481D0" w14:textId="77777777" w:rsidR="0058457E" w:rsidRPr="009C5807" w:rsidRDefault="0058457E" w:rsidP="00485F6E">
            <w:pPr>
              <w:pStyle w:val="TAC"/>
              <w:rPr>
                <w:lang w:eastAsia="zh-CN"/>
              </w:rPr>
            </w:pPr>
            <w:r w:rsidRPr="009C5807">
              <w:rPr>
                <w:lang w:eastAsia="zh-CN"/>
              </w:rPr>
              <w:t>NR</w:t>
            </w:r>
            <w:r w:rsidRPr="009C5807">
              <w:t>_</w:t>
            </w:r>
            <w:r w:rsidRPr="009C5807">
              <w:rPr>
                <w:lang w:eastAsia="zh-CN"/>
              </w:rPr>
              <w:t>FDD_FR1_H</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BA4CDCD" w14:textId="77777777" w:rsidR="0058457E" w:rsidRPr="009C5807" w:rsidRDefault="0058457E" w:rsidP="00485F6E">
            <w:pPr>
              <w:pStyle w:val="TAC"/>
            </w:pPr>
            <w:r w:rsidRPr="009C5807">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C77DEA7" w14:textId="77777777" w:rsidR="0058457E" w:rsidRPr="009C5807" w:rsidRDefault="0058457E" w:rsidP="00485F6E">
            <w:pPr>
              <w:pStyle w:val="TAC"/>
              <w:rPr>
                <w:rFonts w:cs="Arial"/>
                <w:lang w:val="sv-SE"/>
              </w:rPr>
            </w:pPr>
            <w:r w:rsidRPr="009C5807">
              <w:rPr>
                <w:rFonts w:cs="Arial"/>
              </w:rPr>
              <w:t>-114.5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DA59AD0" w14:textId="77777777" w:rsidR="0058457E" w:rsidRPr="009C5807" w:rsidRDefault="0058457E" w:rsidP="00485F6E">
            <w:pPr>
              <w:pStyle w:val="TAC"/>
              <w:rPr>
                <w:rFonts w:cs="Arial"/>
                <w:lang w:val="sv-SE"/>
              </w:rPr>
            </w:pPr>
            <w:r w:rsidRPr="009C5807">
              <w:rPr>
                <w:rFonts w:cs="Arial"/>
              </w:rPr>
              <w:t>-111.5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530F7DA" w14:textId="77777777" w:rsidR="0058457E" w:rsidRPr="009C5807" w:rsidRDefault="0058457E" w:rsidP="00485F6E">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2A13B51" w14:textId="77777777" w:rsidR="0058457E" w:rsidRPr="009C5807" w:rsidRDefault="0058457E" w:rsidP="00485F6E">
            <w:pPr>
              <w:pStyle w:val="TAC"/>
            </w:pPr>
            <w:r w:rsidRPr="009C5807">
              <w:t>-50</w:t>
            </w:r>
          </w:p>
        </w:tc>
      </w:tr>
      <w:tr w:rsidR="0058457E" w:rsidRPr="009C5807" w14:paraId="0FFBCDD9" w14:textId="77777777" w:rsidTr="00B4408D">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431969D5" w14:textId="77777777" w:rsidR="0058457E" w:rsidRPr="009C5807" w:rsidRDefault="0058457E" w:rsidP="00330D9C">
            <w:pPr>
              <w:pStyle w:val="TAN"/>
            </w:pPr>
            <w:r w:rsidRPr="009C5807">
              <w:t>NOTE 1:</w:t>
            </w:r>
            <w:r w:rsidRPr="009C5807">
              <w:tab/>
              <w:t>Io is assumed to have constant EPRE across the bandwidth.</w:t>
            </w:r>
          </w:p>
          <w:p w14:paraId="40FDDE14" w14:textId="77777777" w:rsidR="0058457E" w:rsidRPr="009C5807" w:rsidRDefault="0058457E" w:rsidP="00330D9C">
            <w:pPr>
              <w:pStyle w:val="TAN"/>
            </w:pPr>
            <w:r w:rsidRPr="009C5807">
              <w:t>NOTE 2:</w:t>
            </w:r>
            <w:r w:rsidRPr="009C5807">
              <w:tab/>
              <w:t>The parameter CSI-RS Ês/Iot is the minimum CSI-RS Ês/Iot of the pair of CSI-RS resources to which the requirement applies.</w:t>
            </w:r>
          </w:p>
          <w:p w14:paraId="663D8CF7" w14:textId="77777777" w:rsidR="0058457E" w:rsidRPr="009C5807" w:rsidRDefault="0058457E" w:rsidP="00330D9C">
            <w:pPr>
              <w:pStyle w:val="TAN"/>
            </w:pPr>
            <w:r w:rsidRPr="009C5807">
              <w:t>NOTE 3:</w:t>
            </w:r>
            <w:r w:rsidRPr="009C5807">
              <w:tab/>
              <w:t>Void</w:t>
            </w:r>
          </w:p>
          <w:p w14:paraId="6255C88E" w14:textId="77777777" w:rsidR="0058457E" w:rsidRPr="009C5807" w:rsidRDefault="0058457E" w:rsidP="00330D9C">
            <w:pPr>
              <w:pStyle w:val="TAN"/>
            </w:pPr>
            <w:r w:rsidRPr="009C5807">
              <w:t>NOTE 4:</w:t>
            </w:r>
            <w:r w:rsidRPr="009C5807">
              <w:tab/>
              <w:t>NR operating band groups in FR1 are as defined in clause 3.5.2.</w:t>
            </w:r>
          </w:p>
        </w:tc>
      </w:tr>
    </w:tbl>
    <w:p w14:paraId="4A14C4A4" w14:textId="76BB5CE5" w:rsidR="0058457E" w:rsidRDefault="0058457E" w:rsidP="0058457E"/>
    <w:p w14:paraId="47CBB87D" w14:textId="77777777" w:rsidR="00B237B2" w:rsidRPr="009C5807" w:rsidRDefault="00B237B2" w:rsidP="00B237B2">
      <w:pPr>
        <w:pStyle w:val="Heading3"/>
        <w:rPr>
          <w:lang w:val="en-US"/>
        </w:rPr>
      </w:pPr>
      <w:r>
        <w:rPr>
          <w:lang w:val="en-US"/>
        </w:rPr>
        <w:t>10.1.19C</w:t>
      </w:r>
      <w:r w:rsidRPr="009C5807">
        <w:rPr>
          <w:lang w:val="en-US"/>
        </w:rPr>
        <w:tab/>
        <w:t>L1-RSRP accuracy requirements for FR1</w:t>
      </w:r>
      <w:r w:rsidRPr="000752BE">
        <w:rPr>
          <w:lang w:val="en-US"/>
        </w:rPr>
        <w:t xml:space="preserve"> </w:t>
      </w:r>
      <w:r>
        <w:rPr>
          <w:lang w:val="en-US"/>
        </w:rPr>
        <w:t>SAN</w:t>
      </w:r>
    </w:p>
    <w:p w14:paraId="6D7171E4" w14:textId="77777777" w:rsidR="00B237B2" w:rsidRPr="009C5807" w:rsidRDefault="00B237B2" w:rsidP="00B237B2">
      <w:pPr>
        <w:pStyle w:val="Heading4"/>
        <w:rPr>
          <w:lang w:val="en-US"/>
        </w:rPr>
      </w:pPr>
      <w:r>
        <w:rPr>
          <w:lang w:val="en-US"/>
        </w:rPr>
        <w:t>10.1.19C</w:t>
      </w:r>
      <w:r w:rsidRPr="009C5807">
        <w:rPr>
          <w:lang w:val="en-US"/>
        </w:rPr>
        <w:t>.1</w:t>
      </w:r>
      <w:r w:rsidRPr="009C5807">
        <w:rPr>
          <w:lang w:val="en-US"/>
        </w:rPr>
        <w:tab/>
        <w:t>SSB based L1-RSRP accuracy requirements</w:t>
      </w:r>
    </w:p>
    <w:p w14:paraId="342B39E8" w14:textId="77777777" w:rsidR="00B237B2" w:rsidRPr="009C5807" w:rsidRDefault="00B237B2" w:rsidP="00B237B2">
      <w:pPr>
        <w:pStyle w:val="Heading5"/>
      </w:pPr>
      <w:r>
        <w:t>10.1.19C</w:t>
      </w:r>
      <w:r w:rsidRPr="009C5807">
        <w:t>.1.1</w:t>
      </w:r>
      <w:r w:rsidRPr="009C5807">
        <w:tab/>
        <w:t>Absolute Accuracy</w:t>
      </w:r>
    </w:p>
    <w:p w14:paraId="79593957" w14:textId="77777777" w:rsidR="00B237B2" w:rsidRPr="009C5807" w:rsidRDefault="00B237B2" w:rsidP="00B237B2">
      <w:pPr>
        <w:rPr>
          <w:rFonts w:cs="v4.2.0"/>
          <w:i/>
        </w:rPr>
      </w:pPr>
      <w:r w:rsidRPr="009C5807">
        <w:rPr>
          <w:rFonts w:cs="v4.2.0"/>
        </w:rPr>
        <w:t xml:space="preserve">Unless otherwise specified, the requirements for absolute accuracy of </w:t>
      </w:r>
      <w:r w:rsidRPr="009C5807">
        <w:rPr>
          <w:rFonts w:cs="v4.2.0"/>
          <w:lang w:eastAsia="zh-CN"/>
        </w:rPr>
        <w:t>SSB based L1-</w:t>
      </w:r>
      <w:r w:rsidRPr="009C5807">
        <w:rPr>
          <w:rFonts w:cs="v4.2.0"/>
        </w:rPr>
        <w:t>RSRP in this clause apply to all SSBs of the serving cell configured for L1-RSRP measurement.</w:t>
      </w:r>
    </w:p>
    <w:p w14:paraId="6EF9CA6B" w14:textId="77777777" w:rsidR="00B237B2" w:rsidRPr="009C5807" w:rsidRDefault="00B237B2" w:rsidP="00B237B2">
      <w:pPr>
        <w:rPr>
          <w:rFonts w:cs="v4.2.0"/>
        </w:rPr>
      </w:pPr>
      <w:r w:rsidRPr="009C5807">
        <w:rPr>
          <w:rFonts w:cs="v4.2.0"/>
        </w:rPr>
        <w:t xml:space="preserve">The accuracy requirements in Table </w:t>
      </w:r>
      <w:r>
        <w:rPr>
          <w:rFonts w:cs="v4.2.0"/>
          <w:lang w:eastAsia="zh-CN"/>
        </w:rPr>
        <w:t>10.1.19C</w:t>
      </w:r>
      <w:r w:rsidRPr="009C5807">
        <w:rPr>
          <w:rFonts w:cs="v4.2.0"/>
          <w:lang w:eastAsia="zh-CN"/>
        </w:rPr>
        <w:t>.1.1</w:t>
      </w:r>
      <w:r w:rsidRPr="009C5807">
        <w:rPr>
          <w:rFonts w:cs="v4.2.0"/>
        </w:rPr>
        <w:t>-1 are valid under the following conditions:</w:t>
      </w:r>
    </w:p>
    <w:p w14:paraId="7FD768F9" w14:textId="77777777" w:rsidR="00B237B2" w:rsidRPr="009C5807" w:rsidRDefault="00B237B2" w:rsidP="00B237B2">
      <w:pPr>
        <w:pStyle w:val="B10"/>
        <w:rPr>
          <w:rFonts w:eastAsia="PMingLiU"/>
        </w:rPr>
      </w:pPr>
      <w:r w:rsidRPr="009C5807">
        <w:t>-</w:t>
      </w:r>
      <w:r w:rsidRPr="009C5807">
        <w:tab/>
        <w:t>Conditions defined in clause 7.3 of TS 38.101-1 [18] for reference sensitivity are fulfilled.</w:t>
      </w:r>
    </w:p>
    <w:p w14:paraId="05E30D46" w14:textId="77777777" w:rsidR="00B237B2" w:rsidRDefault="00B237B2" w:rsidP="00B237B2">
      <w:pPr>
        <w:pStyle w:val="B10"/>
      </w:pPr>
      <w:r w:rsidRPr="009C5807">
        <w:rPr>
          <w:rFonts w:eastAsia="PMingLiU"/>
        </w:rPr>
        <w:t>-</w:t>
      </w:r>
      <w:r w:rsidRPr="009C5807">
        <w:rPr>
          <w:rFonts w:eastAsia="PMingLiU"/>
        </w:rPr>
        <w:tab/>
      </w:r>
      <w:r w:rsidRPr="009C5807">
        <w:t xml:space="preserve">Conditions for L1-RSRP measurements are fulfilled according to Annex B.2.4.1 for a corresponding Band </w:t>
      </w:r>
      <w:r w:rsidRPr="009C5807">
        <w:rPr>
          <w:rFonts w:eastAsia="PMingLiU"/>
        </w:rPr>
        <w:t>for each relevant SSB</w:t>
      </w:r>
      <w:r w:rsidRPr="009C5807">
        <w:t>.</w:t>
      </w:r>
    </w:p>
    <w:p w14:paraId="7280F0CC" w14:textId="77777777" w:rsidR="00B237B2" w:rsidRPr="00F641C2" w:rsidRDefault="00B237B2" w:rsidP="00B237B2">
      <w:pPr>
        <w:pStyle w:val="B10"/>
      </w:pPr>
      <w:r w:rsidRPr="009C5807">
        <w:t>-</w:t>
      </w:r>
      <w:r w:rsidRPr="009C5807">
        <w:tab/>
      </w:r>
      <w:r w:rsidRPr="004B7BCD">
        <w:t xml:space="preserve">Valid information for the </w:t>
      </w:r>
      <w:r>
        <w:t>SAN</w:t>
      </w:r>
      <w:r w:rsidRPr="004B7BCD">
        <w:t xml:space="preserve"> serving the target cell has been provided</w:t>
      </w:r>
      <w:r w:rsidRPr="009C5807">
        <w:t>.</w:t>
      </w:r>
    </w:p>
    <w:p w14:paraId="57A2AF0E" w14:textId="77777777" w:rsidR="00B237B2" w:rsidRPr="009C5807" w:rsidRDefault="00B237B2" w:rsidP="00B237B2">
      <w:pPr>
        <w:pStyle w:val="TH"/>
      </w:pPr>
      <w:r w:rsidRPr="009C5807">
        <w:t xml:space="preserve">Table </w:t>
      </w:r>
      <w:r>
        <w:t>10.1.19C</w:t>
      </w:r>
      <w:r w:rsidRPr="009C5807">
        <w:t>.1.1-1: SSB based L1-RSRP absolute accuracy in FR1</w:t>
      </w:r>
    </w:p>
    <w:tbl>
      <w:tblPr>
        <w:tblW w:w="10172" w:type="dxa"/>
        <w:jc w:val="center"/>
        <w:tblLook w:val="01E0" w:firstRow="1" w:lastRow="1" w:firstColumn="1" w:lastColumn="1" w:noHBand="0" w:noVBand="0"/>
      </w:tblPr>
      <w:tblGrid>
        <w:gridCol w:w="1036"/>
        <w:gridCol w:w="1126"/>
        <w:gridCol w:w="825"/>
        <w:gridCol w:w="2267"/>
        <w:gridCol w:w="982"/>
        <w:gridCol w:w="1056"/>
        <w:gridCol w:w="1440"/>
        <w:gridCol w:w="1440"/>
      </w:tblGrid>
      <w:tr w:rsidR="00B237B2" w:rsidRPr="009C5807" w14:paraId="2909D6D6" w14:textId="77777777" w:rsidTr="00E65BA1">
        <w:trPr>
          <w:jc w:val="center"/>
        </w:trPr>
        <w:tc>
          <w:tcPr>
            <w:tcW w:w="216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17228A20" w14:textId="77777777" w:rsidR="00B237B2" w:rsidRPr="009C5807" w:rsidRDefault="00B237B2" w:rsidP="00E65BA1">
            <w:pPr>
              <w:pStyle w:val="TAH"/>
            </w:pPr>
            <w:r w:rsidRPr="009C5807">
              <w:t>Accuracy</w:t>
            </w:r>
          </w:p>
        </w:tc>
        <w:tc>
          <w:tcPr>
            <w:tcW w:w="801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23199F88" w14:textId="77777777" w:rsidR="00B237B2" w:rsidRPr="009C5807" w:rsidRDefault="00B237B2" w:rsidP="00E65BA1">
            <w:pPr>
              <w:pStyle w:val="TAH"/>
            </w:pPr>
            <w:r w:rsidRPr="009C5807">
              <w:t>Conditions</w:t>
            </w:r>
          </w:p>
        </w:tc>
      </w:tr>
      <w:tr w:rsidR="00B237B2" w:rsidRPr="009C5807" w14:paraId="2C4D8A6F" w14:textId="77777777" w:rsidTr="00E65BA1">
        <w:trPr>
          <w:jc w:val="center"/>
        </w:trPr>
        <w:tc>
          <w:tcPr>
            <w:tcW w:w="1036" w:type="dxa"/>
            <w:tcBorders>
              <w:top w:val="single" w:sz="6" w:space="0" w:color="auto"/>
              <w:left w:val="single" w:sz="4" w:space="0" w:color="auto"/>
              <w:right w:val="single" w:sz="6" w:space="0" w:color="auto"/>
            </w:tcBorders>
            <w:shd w:val="clear" w:color="auto" w:fill="auto"/>
            <w:vAlign w:val="center"/>
          </w:tcPr>
          <w:p w14:paraId="79838C95" w14:textId="77777777" w:rsidR="00B237B2" w:rsidRPr="009C5807" w:rsidRDefault="00B237B2" w:rsidP="00E65BA1">
            <w:pPr>
              <w:pStyle w:val="TAH"/>
            </w:pPr>
            <w:r w:rsidRPr="009C5807">
              <w:t>Normal condition</w:t>
            </w:r>
          </w:p>
        </w:tc>
        <w:tc>
          <w:tcPr>
            <w:tcW w:w="1126" w:type="dxa"/>
            <w:tcBorders>
              <w:top w:val="single" w:sz="6" w:space="0" w:color="auto"/>
              <w:left w:val="single" w:sz="6" w:space="0" w:color="auto"/>
              <w:right w:val="single" w:sz="6" w:space="0" w:color="auto"/>
            </w:tcBorders>
            <w:shd w:val="clear" w:color="auto" w:fill="auto"/>
            <w:vAlign w:val="center"/>
          </w:tcPr>
          <w:p w14:paraId="46B51CDA" w14:textId="77777777" w:rsidR="00B237B2" w:rsidRPr="009C5807" w:rsidRDefault="00B237B2" w:rsidP="00E65BA1">
            <w:pPr>
              <w:pStyle w:val="TAH"/>
            </w:pPr>
            <w:r w:rsidRPr="009C5807">
              <w:t>Extreme condition</w:t>
            </w:r>
          </w:p>
        </w:tc>
        <w:tc>
          <w:tcPr>
            <w:tcW w:w="825" w:type="dxa"/>
            <w:tcBorders>
              <w:top w:val="single" w:sz="6" w:space="0" w:color="auto"/>
              <w:left w:val="single" w:sz="6" w:space="0" w:color="auto"/>
              <w:right w:val="single" w:sz="6" w:space="0" w:color="auto"/>
            </w:tcBorders>
            <w:shd w:val="clear" w:color="auto" w:fill="auto"/>
            <w:vAlign w:val="center"/>
          </w:tcPr>
          <w:p w14:paraId="2D20A040" w14:textId="77777777" w:rsidR="00B237B2" w:rsidRPr="009C5807" w:rsidRDefault="00B237B2" w:rsidP="00E65BA1">
            <w:pPr>
              <w:pStyle w:val="TAH"/>
            </w:pPr>
            <w:r w:rsidRPr="009C5807">
              <w:t>SSB Ês/Iot</w:t>
            </w:r>
          </w:p>
        </w:tc>
        <w:tc>
          <w:tcPr>
            <w:tcW w:w="7185"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7B094E9" w14:textId="77777777" w:rsidR="00B237B2" w:rsidRPr="009C5807" w:rsidRDefault="00B237B2" w:rsidP="00E65BA1">
            <w:pPr>
              <w:pStyle w:val="TAH"/>
            </w:pPr>
            <w:r w:rsidRPr="009C5807">
              <w:t>Io</w:t>
            </w:r>
            <w:r w:rsidRPr="009C5807">
              <w:rPr>
                <w:vertAlign w:val="superscript"/>
              </w:rPr>
              <w:t xml:space="preserve"> Note 1</w:t>
            </w:r>
            <w:r w:rsidRPr="009C5807">
              <w:t xml:space="preserve"> range</w:t>
            </w:r>
          </w:p>
        </w:tc>
      </w:tr>
      <w:tr w:rsidR="00B237B2" w:rsidRPr="009C5807" w14:paraId="230233A8" w14:textId="77777777" w:rsidTr="00E65BA1">
        <w:trPr>
          <w:jc w:val="center"/>
        </w:trPr>
        <w:tc>
          <w:tcPr>
            <w:tcW w:w="1036" w:type="dxa"/>
            <w:tcBorders>
              <w:left w:val="single" w:sz="4" w:space="0" w:color="auto"/>
              <w:bottom w:val="single" w:sz="6" w:space="0" w:color="auto"/>
              <w:right w:val="single" w:sz="6" w:space="0" w:color="auto"/>
            </w:tcBorders>
            <w:shd w:val="clear" w:color="auto" w:fill="auto"/>
            <w:vAlign w:val="center"/>
          </w:tcPr>
          <w:p w14:paraId="35C48B5B" w14:textId="77777777" w:rsidR="00B237B2" w:rsidRPr="009C5807" w:rsidRDefault="00B237B2" w:rsidP="00E65BA1">
            <w:pPr>
              <w:pStyle w:val="TAH"/>
            </w:pPr>
          </w:p>
        </w:tc>
        <w:tc>
          <w:tcPr>
            <w:tcW w:w="1126" w:type="dxa"/>
            <w:tcBorders>
              <w:left w:val="single" w:sz="6" w:space="0" w:color="auto"/>
              <w:bottom w:val="single" w:sz="6" w:space="0" w:color="auto"/>
              <w:right w:val="single" w:sz="6" w:space="0" w:color="auto"/>
            </w:tcBorders>
            <w:shd w:val="clear" w:color="auto" w:fill="auto"/>
            <w:vAlign w:val="center"/>
          </w:tcPr>
          <w:p w14:paraId="50230364" w14:textId="77777777" w:rsidR="00B237B2" w:rsidRPr="009C5807" w:rsidRDefault="00B237B2" w:rsidP="00E65BA1">
            <w:pPr>
              <w:pStyle w:val="TAH"/>
            </w:pPr>
          </w:p>
        </w:tc>
        <w:tc>
          <w:tcPr>
            <w:tcW w:w="825" w:type="dxa"/>
            <w:tcBorders>
              <w:left w:val="single" w:sz="6" w:space="0" w:color="auto"/>
              <w:bottom w:val="single" w:sz="6" w:space="0" w:color="auto"/>
              <w:right w:val="single" w:sz="6" w:space="0" w:color="auto"/>
            </w:tcBorders>
            <w:shd w:val="clear" w:color="auto" w:fill="auto"/>
            <w:vAlign w:val="center"/>
          </w:tcPr>
          <w:p w14:paraId="6A45EB4B" w14:textId="77777777" w:rsidR="00B237B2" w:rsidRPr="009C5807" w:rsidRDefault="00B237B2" w:rsidP="00E65BA1">
            <w:pPr>
              <w:pStyle w:val="TAH"/>
            </w:pPr>
          </w:p>
        </w:tc>
        <w:tc>
          <w:tcPr>
            <w:tcW w:w="2267" w:type="dxa"/>
            <w:tcBorders>
              <w:top w:val="single" w:sz="6" w:space="0" w:color="auto"/>
              <w:left w:val="single" w:sz="6" w:space="0" w:color="auto"/>
              <w:bottom w:val="single" w:sz="6" w:space="0" w:color="auto"/>
              <w:right w:val="single" w:sz="4" w:space="0" w:color="auto"/>
            </w:tcBorders>
            <w:shd w:val="clear" w:color="auto" w:fill="auto"/>
            <w:vAlign w:val="center"/>
          </w:tcPr>
          <w:p w14:paraId="17607F87" w14:textId="77777777" w:rsidR="00B237B2" w:rsidRPr="009C5807" w:rsidRDefault="00B237B2" w:rsidP="00E65BA1">
            <w:pPr>
              <w:pStyle w:val="TAH"/>
            </w:pPr>
            <w:r w:rsidRPr="009C5807">
              <w:t>NR operating band groups</w:t>
            </w:r>
            <w:r w:rsidRPr="009C5807">
              <w:rPr>
                <w:vertAlign w:val="superscript"/>
              </w:rPr>
              <w:t xml:space="preserve"> Note 2</w:t>
            </w:r>
          </w:p>
        </w:tc>
        <w:tc>
          <w:tcPr>
            <w:tcW w:w="34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6C092B5E" w14:textId="77777777" w:rsidR="00B237B2" w:rsidRPr="009C5807" w:rsidRDefault="00B237B2"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36D1A05F" w14:textId="77777777" w:rsidR="00B237B2" w:rsidRPr="009C5807" w:rsidRDefault="00B237B2" w:rsidP="00E65BA1">
            <w:pPr>
              <w:pStyle w:val="TAH"/>
            </w:pPr>
            <w:r w:rsidRPr="009C5807">
              <w:t>Maximum Io</w:t>
            </w:r>
          </w:p>
        </w:tc>
      </w:tr>
      <w:tr w:rsidR="00B237B2" w:rsidRPr="009C5807" w14:paraId="2E84A94D" w14:textId="77777777" w:rsidTr="00E65BA1">
        <w:trPr>
          <w:trHeight w:val="308"/>
          <w:jc w:val="center"/>
        </w:trPr>
        <w:tc>
          <w:tcPr>
            <w:tcW w:w="1036" w:type="dxa"/>
            <w:tcBorders>
              <w:top w:val="single" w:sz="6" w:space="0" w:color="auto"/>
              <w:left w:val="single" w:sz="4" w:space="0" w:color="auto"/>
              <w:right w:val="single" w:sz="6" w:space="0" w:color="auto"/>
            </w:tcBorders>
            <w:shd w:val="clear" w:color="auto" w:fill="auto"/>
            <w:vAlign w:val="center"/>
          </w:tcPr>
          <w:p w14:paraId="26847106" w14:textId="77777777" w:rsidR="00B237B2" w:rsidRPr="009C5807" w:rsidRDefault="00B237B2" w:rsidP="00E65BA1">
            <w:pPr>
              <w:pStyle w:val="TAH"/>
            </w:pPr>
            <w:r w:rsidRPr="009C5807">
              <w:t>dB</w:t>
            </w:r>
          </w:p>
        </w:tc>
        <w:tc>
          <w:tcPr>
            <w:tcW w:w="1126" w:type="dxa"/>
            <w:tcBorders>
              <w:top w:val="single" w:sz="6" w:space="0" w:color="auto"/>
              <w:left w:val="single" w:sz="6" w:space="0" w:color="auto"/>
              <w:right w:val="single" w:sz="6" w:space="0" w:color="auto"/>
            </w:tcBorders>
            <w:shd w:val="clear" w:color="auto" w:fill="auto"/>
            <w:vAlign w:val="center"/>
          </w:tcPr>
          <w:p w14:paraId="41F0C779" w14:textId="77777777" w:rsidR="00B237B2" w:rsidRPr="009C5807" w:rsidRDefault="00B237B2" w:rsidP="00E65BA1">
            <w:pPr>
              <w:pStyle w:val="TAH"/>
            </w:pPr>
            <w:r w:rsidRPr="009C5807">
              <w:t>dB</w:t>
            </w:r>
          </w:p>
        </w:tc>
        <w:tc>
          <w:tcPr>
            <w:tcW w:w="825" w:type="dxa"/>
            <w:tcBorders>
              <w:top w:val="single" w:sz="6" w:space="0" w:color="auto"/>
              <w:left w:val="single" w:sz="6" w:space="0" w:color="auto"/>
              <w:right w:val="single" w:sz="6" w:space="0" w:color="auto"/>
            </w:tcBorders>
            <w:shd w:val="clear" w:color="auto" w:fill="auto"/>
            <w:vAlign w:val="center"/>
          </w:tcPr>
          <w:p w14:paraId="4D21540F" w14:textId="77777777" w:rsidR="00B237B2" w:rsidRPr="009C5807" w:rsidRDefault="00B237B2" w:rsidP="00E65BA1">
            <w:pPr>
              <w:pStyle w:val="TAH"/>
            </w:pPr>
            <w:r w:rsidRPr="009C5807">
              <w:t>dB</w:t>
            </w:r>
          </w:p>
        </w:tc>
        <w:tc>
          <w:tcPr>
            <w:tcW w:w="2267" w:type="dxa"/>
            <w:tcBorders>
              <w:top w:val="single" w:sz="6" w:space="0" w:color="auto"/>
              <w:left w:val="single" w:sz="6" w:space="0" w:color="auto"/>
              <w:right w:val="single" w:sz="4" w:space="0" w:color="auto"/>
            </w:tcBorders>
            <w:shd w:val="clear" w:color="auto" w:fill="auto"/>
            <w:vAlign w:val="center"/>
          </w:tcPr>
          <w:p w14:paraId="12A29AE5" w14:textId="77777777" w:rsidR="00B237B2" w:rsidRPr="009C5807" w:rsidRDefault="00B237B2" w:rsidP="00E65BA1">
            <w:pPr>
              <w:pStyle w:val="TAH"/>
            </w:pPr>
          </w:p>
        </w:tc>
        <w:tc>
          <w:tcPr>
            <w:tcW w:w="20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031CF5B2" w14:textId="77777777" w:rsidR="00B237B2" w:rsidRPr="009C5807" w:rsidRDefault="00B237B2"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090A717A" w14:textId="77777777" w:rsidR="00B237B2" w:rsidRPr="009C5807" w:rsidRDefault="00B237B2"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70B0178E" w14:textId="77777777" w:rsidR="00B237B2" w:rsidRPr="009C5807" w:rsidRDefault="00B237B2" w:rsidP="00E65BA1">
            <w:pPr>
              <w:pStyle w:val="TAH"/>
            </w:pPr>
            <w:r w:rsidRPr="009C5807">
              <w:t>dBm/BW</w:t>
            </w:r>
            <w:r w:rsidRPr="009C5807">
              <w:rPr>
                <w:vertAlign w:val="subscript"/>
              </w:rPr>
              <w:t>Channel</w:t>
            </w:r>
          </w:p>
        </w:tc>
      </w:tr>
      <w:tr w:rsidR="00B237B2" w:rsidRPr="009C5807" w14:paraId="3885BA88" w14:textId="77777777" w:rsidTr="00E65BA1">
        <w:trPr>
          <w:trHeight w:val="307"/>
          <w:jc w:val="center"/>
        </w:trPr>
        <w:tc>
          <w:tcPr>
            <w:tcW w:w="1036" w:type="dxa"/>
            <w:tcBorders>
              <w:left w:val="single" w:sz="4" w:space="0" w:color="auto"/>
              <w:bottom w:val="single" w:sz="6" w:space="0" w:color="auto"/>
              <w:right w:val="single" w:sz="6" w:space="0" w:color="auto"/>
            </w:tcBorders>
            <w:shd w:val="clear" w:color="auto" w:fill="auto"/>
          </w:tcPr>
          <w:p w14:paraId="325FA9F1" w14:textId="77777777" w:rsidR="00B237B2" w:rsidRPr="009C5807" w:rsidRDefault="00B237B2" w:rsidP="00E65BA1">
            <w:pPr>
              <w:pStyle w:val="TAH"/>
            </w:pPr>
          </w:p>
        </w:tc>
        <w:tc>
          <w:tcPr>
            <w:tcW w:w="1126" w:type="dxa"/>
            <w:tcBorders>
              <w:left w:val="single" w:sz="6" w:space="0" w:color="auto"/>
              <w:bottom w:val="single" w:sz="6" w:space="0" w:color="auto"/>
              <w:right w:val="single" w:sz="6" w:space="0" w:color="auto"/>
            </w:tcBorders>
            <w:shd w:val="clear" w:color="auto" w:fill="auto"/>
          </w:tcPr>
          <w:p w14:paraId="1B075A85" w14:textId="77777777" w:rsidR="00B237B2" w:rsidRPr="009C5807" w:rsidRDefault="00B237B2" w:rsidP="00E65BA1">
            <w:pPr>
              <w:pStyle w:val="TAH"/>
            </w:pPr>
          </w:p>
        </w:tc>
        <w:tc>
          <w:tcPr>
            <w:tcW w:w="825" w:type="dxa"/>
            <w:tcBorders>
              <w:left w:val="single" w:sz="6" w:space="0" w:color="auto"/>
              <w:bottom w:val="single" w:sz="6" w:space="0" w:color="auto"/>
              <w:right w:val="single" w:sz="6" w:space="0" w:color="auto"/>
            </w:tcBorders>
            <w:shd w:val="clear" w:color="auto" w:fill="auto"/>
          </w:tcPr>
          <w:p w14:paraId="04285D3D" w14:textId="77777777" w:rsidR="00B237B2" w:rsidRPr="009C5807" w:rsidRDefault="00B237B2" w:rsidP="00E65BA1">
            <w:pPr>
              <w:pStyle w:val="TAH"/>
            </w:pPr>
          </w:p>
        </w:tc>
        <w:tc>
          <w:tcPr>
            <w:tcW w:w="2267" w:type="dxa"/>
            <w:tcBorders>
              <w:left w:val="single" w:sz="6" w:space="0" w:color="auto"/>
              <w:bottom w:val="single" w:sz="6" w:space="0" w:color="auto"/>
              <w:right w:val="single" w:sz="4" w:space="0" w:color="auto"/>
            </w:tcBorders>
            <w:shd w:val="clear" w:color="auto" w:fill="auto"/>
          </w:tcPr>
          <w:p w14:paraId="1B8D9420" w14:textId="77777777" w:rsidR="00B237B2" w:rsidRPr="009C5807" w:rsidRDefault="00B237B2" w:rsidP="00E65BA1">
            <w:pPr>
              <w:pStyle w:val="TAH"/>
            </w:pP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2178547C" w14:textId="77777777" w:rsidR="00B237B2" w:rsidRPr="009C5807" w:rsidRDefault="00B237B2" w:rsidP="00E65BA1">
            <w:pPr>
              <w:pStyle w:val="TAH"/>
              <w:rPr>
                <w:rFonts w:cs="Arial"/>
              </w:rPr>
            </w:pPr>
            <w:r w:rsidRPr="009C5807">
              <w:t>SCS</w:t>
            </w:r>
            <w:r w:rsidRPr="009C5807">
              <w:rPr>
                <w:vertAlign w:val="subscript"/>
              </w:rPr>
              <w:t>SSB</w:t>
            </w:r>
            <w:r w:rsidRPr="009C5807">
              <w:rPr>
                <w:rFonts w:cs="Arial"/>
              </w:rPr>
              <w:t xml:space="preserve"> = 15 kHz</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204DF01E" w14:textId="77777777" w:rsidR="00B237B2" w:rsidRPr="009C5807" w:rsidRDefault="00B237B2"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690164EB" w14:textId="77777777" w:rsidR="00B237B2" w:rsidRPr="009C5807" w:rsidRDefault="00B237B2" w:rsidP="00E65BA1">
            <w:pPr>
              <w:pStyle w:val="TAH"/>
            </w:pPr>
          </w:p>
        </w:tc>
        <w:tc>
          <w:tcPr>
            <w:tcW w:w="1440" w:type="dxa"/>
            <w:tcBorders>
              <w:left w:val="single" w:sz="6" w:space="0" w:color="auto"/>
              <w:bottom w:val="single" w:sz="6" w:space="0" w:color="auto"/>
              <w:right w:val="single" w:sz="4" w:space="0" w:color="auto"/>
            </w:tcBorders>
            <w:shd w:val="clear" w:color="auto" w:fill="auto"/>
          </w:tcPr>
          <w:p w14:paraId="75898A26" w14:textId="77777777" w:rsidR="00B237B2" w:rsidRPr="009C5807" w:rsidRDefault="00B237B2" w:rsidP="00E65BA1">
            <w:pPr>
              <w:pStyle w:val="TAH"/>
            </w:pPr>
          </w:p>
        </w:tc>
      </w:tr>
      <w:tr w:rsidR="00B72DB6" w:rsidRPr="009C5807" w14:paraId="3B88E9A9" w14:textId="77777777" w:rsidTr="00E65BA1">
        <w:trPr>
          <w:jc w:val="center"/>
        </w:trPr>
        <w:tc>
          <w:tcPr>
            <w:tcW w:w="1036" w:type="dxa"/>
            <w:tcBorders>
              <w:top w:val="single" w:sz="6" w:space="0" w:color="auto"/>
              <w:left w:val="single" w:sz="4" w:space="0" w:color="auto"/>
              <w:right w:val="single" w:sz="6" w:space="0" w:color="auto"/>
            </w:tcBorders>
            <w:shd w:val="clear" w:color="auto" w:fill="auto"/>
          </w:tcPr>
          <w:p w14:paraId="7D51CE71" w14:textId="4F98D60B" w:rsidR="00B72DB6" w:rsidRPr="009C5807" w:rsidRDefault="00B72DB6" w:rsidP="00B72DB6">
            <w:pPr>
              <w:pStyle w:val="TAC"/>
            </w:pPr>
            <w:r w:rsidRPr="009C5807">
              <w:sym w:font="Symbol" w:char="F0B1"/>
            </w:r>
            <w:r>
              <w:t>[5]</w:t>
            </w:r>
          </w:p>
        </w:tc>
        <w:tc>
          <w:tcPr>
            <w:tcW w:w="1126" w:type="dxa"/>
            <w:tcBorders>
              <w:top w:val="single" w:sz="6" w:space="0" w:color="auto"/>
              <w:left w:val="single" w:sz="6" w:space="0" w:color="auto"/>
              <w:right w:val="single" w:sz="6" w:space="0" w:color="auto"/>
            </w:tcBorders>
            <w:shd w:val="clear" w:color="auto" w:fill="auto"/>
          </w:tcPr>
          <w:p w14:paraId="4669B97D" w14:textId="3558494D" w:rsidR="00B72DB6" w:rsidRPr="009C5807" w:rsidRDefault="00B72DB6" w:rsidP="00B72DB6">
            <w:pPr>
              <w:pStyle w:val="TAC"/>
            </w:pPr>
            <w:r w:rsidRPr="009C5807">
              <w:sym w:font="Symbol" w:char="F0B1"/>
            </w:r>
            <w:r>
              <w:t>[9.5]</w:t>
            </w:r>
          </w:p>
        </w:tc>
        <w:tc>
          <w:tcPr>
            <w:tcW w:w="825" w:type="dxa"/>
            <w:tcBorders>
              <w:top w:val="single" w:sz="6" w:space="0" w:color="auto"/>
              <w:left w:val="single" w:sz="6" w:space="0" w:color="auto"/>
              <w:right w:val="single" w:sz="6" w:space="0" w:color="auto"/>
            </w:tcBorders>
            <w:shd w:val="clear" w:color="auto" w:fill="auto"/>
          </w:tcPr>
          <w:p w14:paraId="60FDD4BD" w14:textId="65F31264" w:rsidR="00B72DB6" w:rsidRPr="009C5807" w:rsidRDefault="00B72DB6" w:rsidP="00B72DB6">
            <w:pPr>
              <w:pStyle w:val="TAC"/>
            </w:pPr>
            <w:r w:rsidRPr="009C5807">
              <w:sym w:font="Symbol" w:char="F0B3"/>
            </w:r>
            <w:r w:rsidRPr="009C5807">
              <w:t>-3</w:t>
            </w: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04D738D2" w14:textId="05283703" w:rsidR="00B72DB6" w:rsidRPr="009C5807" w:rsidRDefault="00B72DB6" w:rsidP="00B72DB6">
            <w:pPr>
              <w:pStyle w:val="TAC"/>
            </w:pPr>
            <w:r w:rsidRPr="009C5807">
              <w:t>NR_FDD</w:t>
            </w:r>
            <w:r w:rsidRPr="003646C5">
              <w:t>_</w:t>
            </w:r>
            <w:r>
              <w:t>SAB</w:t>
            </w:r>
            <w:r w:rsidRPr="009C5807">
              <w:t>_FR1_A</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4FAB81D1" w14:textId="77777777" w:rsidR="00B72DB6" w:rsidRPr="009C5807" w:rsidRDefault="00B72DB6" w:rsidP="00B72DB6">
            <w:pPr>
              <w:pStyle w:val="TAC"/>
            </w:pPr>
            <w:r w:rsidRPr="009C5807">
              <w:t>-121</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01A00B3E" w14:textId="77777777" w:rsidR="00B72DB6" w:rsidRPr="009C5807" w:rsidRDefault="00B72DB6" w:rsidP="00B72DB6">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3DBF49B"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843C928" w14:textId="77777777" w:rsidR="00B72DB6" w:rsidRPr="009C5807" w:rsidRDefault="00B72DB6" w:rsidP="00B72DB6">
            <w:pPr>
              <w:pStyle w:val="TAC"/>
            </w:pPr>
            <w:r w:rsidRPr="009C5807">
              <w:t>-70</w:t>
            </w:r>
          </w:p>
        </w:tc>
      </w:tr>
      <w:tr w:rsidR="00B72DB6" w:rsidRPr="009C5807" w14:paraId="10B47D2F" w14:textId="77777777" w:rsidTr="00E65BA1">
        <w:trPr>
          <w:jc w:val="center"/>
        </w:trPr>
        <w:tc>
          <w:tcPr>
            <w:tcW w:w="1036" w:type="dxa"/>
            <w:tcBorders>
              <w:top w:val="single" w:sz="6" w:space="0" w:color="auto"/>
              <w:left w:val="single" w:sz="4" w:space="0" w:color="auto"/>
              <w:bottom w:val="single" w:sz="6" w:space="0" w:color="auto"/>
              <w:right w:val="single" w:sz="6" w:space="0" w:color="auto"/>
            </w:tcBorders>
            <w:shd w:val="clear" w:color="auto" w:fill="auto"/>
          </w:tcPr>
          <w:p w14:paraId="0E78C1FA" w14:textId="1700D8A1" w:rsidR="00B72DB6" w:rsidRPr="009C5807" w:rsidRDefault="00B72DB6" w:rsidP="00B72DB6">
            <w:pPr>
              <w:pStyle w:val="TAC"/>
            </w:pPr>
            <w:r w:rsidRPr="009C5807">
              <w:sym w:font="Symbol" w:char="F0B1"/>
            </w:r>
            <w:r>
              <w:t>[8.5]</w:t>
            </w:r>
          </w:p>
        </w:tc>
        <w:tc>
          <w:tcPr>
            <w:tcW w:w="1126" w:type="dxa"/>
            <w:tcBorders>
              <w:top w:val="single" w:sz="6" w:space="0" w:color="auto"/>
              <w:left w:val="single" w:sz="6" w:space="0" w:color="auto"/>
              <w:bottom w:val="single" w:sz="6" w:space="0" w:color="auto"/>
              <w:right w:val="single" w:sz="6" w:space="0" w:color="auto"/>
            </w:tcBorders>
            <w:shd w:val="clear" w:color="auto" w:fill="auto"/>
          </w:tcPr>
          <w:p w14:paraId="49B65588" w14:textId="1683612C" w:rsidR="00B72DB6" w:rsidRPr="009C5807" w:rsidRDefault="00B72DB6" w:rsidP="00B72DB6">
            <w:pPr>
              <w:pStyle w:val="TAC"/>
            </w:pPr>
            <w:r w:rsidRPr="009C5807">
              <w:sym w:font="Symbol" w:char="F0B1"/>
            </w:r>
            <w:r>
              <w:t>[11.5]</w:t>
            </w:r>
          </w:p>
        </w:tc>
        <w:tc>
          <w:tcPr>
            <w:tcW w:w="825" w:type="dxa"/>
            <w:tcBorders>
              <w:top w:val="single" w:sz="6" w:space="0" w:color="auto"/>
              <w:left w:val="single" w:sz="6" w:space="0" w:color="auto"/>
              <w:bottom w:val="single" w:sz="6" w:space="0" w:color="auto"/>
              <w:right w:val="single" w:sz="6" w:space="0" w:color="auto"/>
            </w:tcBorders>
            <w:shd w:val="clear" w:color="auto" w:fill="auto"/>
          </w:tcPr>
          <w:p w14:paraId="72FC27B5" w14:textId="78019192" w:rsidR="00B72DB6" w:rsidRPr="009C5807" w:rsidRDefault="00B72DB6" w:rsidP="00B72DB6">
            <w:pPr>
              <w:pStyle w:val="TAC"/>
            </w:pPr>
            <w:r w:rsidRPr="009C5807">
              <w:sym w:font="Symbol" w:char="F0B3"/>
            </w:r>
            <w:r w:rsidRPr="009C5807">
              <w:t>-3</w:t>
            </w: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4E8C3AC5" w14:textId="315655F7" w:rsidR="00B72DB6" w:rsidRPr="00F47417" w:rsidRDefault="00B72DB6" w:rsidP="00B72DB6">
            <w:pPr>
              <w:pStyle w:val="TAC"/>
            </w:pPr>
            <w:r>
              <w:t>NR_FDD</w:t>
            </w:r>
            <w:r w:rsidRPr="003646C5">
              <w:t>_</w:t>
            </w:r>
            <w:r>
              <w:t>SAB_FR1_A</w:t>
            </w:r>
          </w:p>
        </w:tc>
        <w:tc>
          <w:tcPr>
            <w:tcW w:w="982" w:type="dxa"/>
            <w:tcBorders>
              <w:top w:val="single" w:sz="6" w:space="0" w:color="auto"/>
              <w:left w:val="single" w:sz="4" w:space="0" w:color="auto"/>
              <w:bottom w:val="single" w:sz="4" w:space="0" w:color="auto"/>
              <w:right w:val="single" w:sz="6" w:space="0" w:color="auto"/>
            </w:tcBorders>
            <w:shd w:val="clear" w:color="auto" w:fill="auto"/>
          </w:tcPr>
          <w:p w14:paraId="74B786AF" w14:textId="77777777" w:rsidR="00B72DB6" w:rsidRPr="009C5807" w:rsidRDefault="00B72DB6" w:rsidP="00B72DB6">
            <w:pPr>
              <w:pStyle w:val="TAC"/>
            </w:pPr>
            <w:r w:rsidRPr="009C5807">
              <w:t>N/A</w:t>
            </w:r>
          </w:p>
        </w:tc>
        <w:tc>
          <w:tcPr>
            <w:tcW w:w="1056" w:type="dxa"/>
            <w:tcBorders>
              <w:top w:val="single" w:sz="6" w:space="0" w:color="auto"/>
              <w:left w:val="single" w:sz="4" w:space="0" w:color="auto"/>
              <w:bottom w:val="single" w:sz="4" w:space="0" w:color="auto"/>
              <w:right w:val="single" w:sz="6" w:space="0" w:color="auto"/>
            </w:tcBorders>
            <w:shd w:val="clear" w:color="auto" w:fill="auto"/>
          </w:tcPr>
          <w:p w14:paraId="3FB6CFBA" w14:textId="77777777" w:rsidR="00B72DB6" w:rsidRPr="009C5807" w:rsidRDefault="00B72DB6" w:rsidP="00B72DB6">
            <w:pPr>
              <w:pStyle w:val="TAC"/>
              <w:rPr>
                <w:lang w:eastAsia="zh-CN"/>
              </w:rPr>
            </w:pPr>
            <w:r w:rsidRPr="009C5807">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634BD8A0" w14:textId="77777777" w:rsidR="00B72DB6" w:rsidRPr="009C5807" w:rsidRDefault="00B72DB6" w:rsidP="00B72DB6">
            <w:pPr>
              <w:pStyle w:val="TAC"/>
            </w:pPr>
            <w:r w:rsidRPr="009C5807">
              <w:t>-70</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6FC26BF5" w14:textId="77777777" w:rsidR="00B72DB6" w:rsidRPr="009C5807" w:rsidRDefault="00B72DB6" w:rsidP="00B72DB6">
            <w:pPr>
              <w:pStyle w:val="TAC"/>
            </w:pPr>
            <w:r w:rsidRPr="009C5807">
              <w:t>-50</w:t>
            </w:r>
          </w:p>
        </w:tc>
      </w:tr>
      <w:tr w:rsidR="00B237B2" w:rsidRPr="009C5807" w14:paraId="297258CE"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77332C31" w14:textId="77777777" w:rsidR="00B237B2" w:rsidRPr="009C5807" w:rsidRDefault="00B237B2" w:rsidP="00E65BA1">
            <w:pPr>
              <w:pStyle w:val="TAN"/>
            </w:pPr>
            <w:r w:rsidRPr="009C5807">
              <w:t>NOTE 1:</w:t>
            </w:r>
            <w:r w:rsidRPr="009C5807">
              <w:tab/>
              <w:t>Io is assumed to have constant EPRE across the bandwidth.</w:t>
            </w:r>
          </w:p>
          <w:p w14:paraId="013355E1" w14:textId="77777777" w:rsidR="00B237B2" w:rsidRPr="009C5807" w:rsidRDefault="00B237B2" w:rsidP="00E65BA1">
            <w:pPr>
              <w:pStyle w:val="TAN"/>
            </w:pPr>
            <w:r w:rsidRPr="009C5807">
              <w:t>NOTE 2:</w:t>
            </w:r>
            <w:r w:rsidRPr="009C5807">
              <w:tab/>
              <w:t>NR operating band groups in FR1 are as defined in clause 3.5.2.</w:t>
            </w:r>
          </w:p>
        </w:tc>
      </w:tr>
    </w:tbl>
    <w:p w14:paraId="22C595EE" w14:textId="77777777" w:rsidR="00B237B2" w:rsidRPr="009C5807" w:rsidRDefault="00B237B2" w:rsidP="00B237B2">
      <w:pPr>
        <w:rPr>
          <w:lang w:eastAsia="zh-CN"/>
        </w:rPr>
      </w:pPr>
    </w:p>
    <w:p w14:paraId="11158832" w14:textId="77777777" w:rsidR="00B237B2" w:rsidRPr="009C5807" w:rsidRDefault="00B237B2" w:rsidP="00B237B2">
      <w:pPr>
        <w:pStyle w:val="Heading5"/>
      </w:pPr>
      <w:r>
        <w:t>10.1.19C</w:t>
      </w:r>
      <w:r w:rsidRPr="009C5807">
        <w:t>.1.2</w:t>
      </w:r>
      <w:r w:rsidRPr="009C5807">
        <w:tab/>
        <w:t>Relative Accuracy</w:t>
      </w:r>
    </w:p>
    <w:p w14:paraId="02168EE4" w14:textId="77777777" w:rsidR="00B237B2" w:rsidRPr="009C5807" w:rsidRDefault="00B237B2" w:rsidP="00B237B2">
      <w:pPr>
        <w:rPr>
          <w:rFonts w:cs="v4.2.0"/>
          <w:i/>
        </w:rPr>
      </w:pPr>
      <w:r w:rsidRPr="009C5807">
        <w:rPr>
          <w:rFonts w:cs="v4.2.0"/>
        </w:rPr>
        <w:t xml:space="preserve">The relative accuracy of </w:t>
      </w:r>
      <w:r w:rsidRPr="009C5807">
        <w:rPr>
          <w:rFonts w:cs="v4.2.0"/>
          <w:lang w:eastAsia="zh-CN"/>
        </w:rPr>
        <w:t>SSB based L1-</w:t>
      </w:r>
      <w:r w:rsidRPr="009C5807">
        <w:rPr>
          <w:rFonts w:cs="v4.2.0"/>
        </w:rPr>
        <w:t xml:space="preserve">RSRP is defined as the </w:t>
      </w:r>
      <w:r w:rsidRPr="009C5807">
        <w:rPr>
          <w:rFonts w:cs="v4.2.0"/>
          <w:lang w:eastAsia="zh-CN"/>
        </w:rPr>
        <w:t>L1-</w:t>
      </w:r>
      <w:r w:rsidRPr="009C5807">
        <w:rPr>
          <w:rFonts w:cs="v4.2.0"/>
        </w:rPr>
        <w:t xml:space="preserve">RSRP measured from one SSB compared to the </w:t>
      </w:r>
      <w:r w:rsidRPr="009C5807">
        <w:rPr>
          <w:lang w:val="en-US"/>
        </w:rPr>
        <w:t>largest measured value of L1-RSRP among all SSBs of the serving cell</w:t>
      </w:r>
      <w:r w:rsidRPr="009C5807">
        <w:rPr>
          <w:rFonts w:cs="v4.2.0"/>
        </w:rPr>
        <w:t>.</w:t>
      </w:r>
    </w:p>
    <w:p w14:paraId="36747CCF" w14:textId="77777777" w:rsidR="00B237B2" w:rsidRPr="009C5807" w:rsidRDefault="00B237B2" w:rsidP="00B237B2">
      <w:pPr>
        <w:rPr>
          <w:rFonts w:cs="v4.2.0"/>
          <w:lang w:eastAsia="zh-CN"/>
        </w:rPr>
      </w:pPr>
      <w:r w:rsidRPr="009C5807">
        <w:rPr>
          <w:rFonts w:cs="v4.2.0"/>
        </w:rPr>
        <w:t xml:space="preserve">The accuracy requirements in Table </w:t>
      </w:r>
      <w:r>
        <w:rPr>
          <w:lang w:eastAsia="zh-CN"/>
        </w:rPr>
        <w:t>10.1.19C</w:t>
      </w:r>
      <w:r w:rsidRPr="009C5807">
        <w:t>.1</w:t>
      </w:r>
      <w:r w:rsidRPr="009C5807">
        <w:rPr>
          <w:lang w:eastAsia="zh-CN"/>
        </w:rPr>
        <w:t>.2</w:t>
      </w:r>
      <w:r w:rsidRPr="009C5807">
        <w:rPr>
          <w:rFonts w:cs="v4.2.0"/>
        </w:rPr>
        <w:t>-1 are valid under the following conditions:</w:t>
      </w:r>
    </w:p>
    <w:p w14:paraId="2DE4E755" w14:textId="77777777" w:rsidR="00B237B2" w:rsidRPr="009C5807" w:rsidRDefault="00B237B2" w:rsidP="00B237B2">
      <w:pPr>
        <w:pStyle w:val="B10"/>
        <w:rPr>
          <w:rFonts w:eastAsia="PMingLiU"/>
        </w:rPr>
      </w:pPr>
      <w:r w:rsidRPr="009C5807">
        <w:t>-</w:t>
      </w:r>
      <w:r w:rsidRPr="009C5807">
        <w:tab/>
        <w:t>Conditions defined in clause 7.3 of TS 38.101-1 [18] for reference sensitivity are fulfilled.</w:t>
      </w:r>
    </w:p>
    <w:p w14:paraId="418B7DAC" w14:textId="77777777" w:rsidR="00B237B2" w:rsidRDefault="00B237B2" w:rsidP="00B237B2">
      <w:pPr>
        <w:pStyle w:val="B10"/>
      </w:pPr>
      <w:r w:rsidRPr="009C5807">
        <w:rPr>
          <w:rFonts w:eastAsia="PMingLiU"/>
        </w:rPr>
        <w:t>-</w:t>
      </w:r>
      <w:r w:rsidRPr="009C5807">
        <w:rPr>
          <w:rFonts w:eastAsia="PMingLiU"/>
        </w:rPr>
        <w:tab/>
      </w:r>
      <w:r w:rsidRPr="009C5807">
        <w:t xml:space="preserve">Conditions for L1-RSRP measurements are fulfilled according to Annex B.2.4.1 for a corresponding Band </w:t>
      </w:r>
      <w:r w:rsidRPr="009C5807">
        <w:rPr>
          <w:rFonts w:eastAsia="PMingLiU"/>
        </w:rPr>
        <w:t>for each relevant SSB</w:t>
      </w:r>
      <w:r w:rsidRPr="009C5807">
        <w:t>.</w:t>
      </w:r>
    </w:p>
    <w:p w14:paraId="1F610880" w14:textId="77777777" w:rsidR="00B237B2" w:rsidRPr="00F641C2" w:rsidRDefault="00B237B2" w:rsidP="00B237B2">
      <w:pPr>
        <w:pStyle w:val="B10"/>
      </w:pPr>
      <w:r w:rsidRPr="009C5807">
        <w:t>-</w:t>
      </w:r>
      <w:r w:rsidRPr="009C5807">
        <w:tab/>
      </w:r>
      <w:r w:rsidRPr="004B7BCD">
        <w:t xml:space="preserve">Valid information for the </w:t>
      </w:r>
      <w:r>
        <w:t>SAN</w:t>
      </w:r>
      <w:r w:rsidRPr="004B7BCD">
        <w:t xml:space="preserve"> serving the target cell has been provided</w:t>
      </w:r>
      <w:r w:rsidRPr="009C5807">
        <w:t>.</w:t>
      </w:r>
    </w:p>
    <w:p w14:paraId="688FE83F" w14:textId="77777777" w:rsidR="00B237B2" w:rsidRPr="009C5807" w:rsidRDefault="00B237B2" w:rsidP="00B237B2">
      <w:pPr>
        <w:pStyle w:val="TH"/>
      </w:pPr>
      <w:r w:rsidRPr="009C5807">
        <w:t xml:space="preserve">Table </w:t>
      </w:r>
      <w:r>
        <w:t>10.1.19C</w:t>
      </w:r>
      <w:r w:rsidRPr="009C5807">
        <w:t>.1.2-1: SSB based L1-RSRP relative accuracy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B237B2" w:rsidRPr="009C5807" w14:paraId="1C440F7A" w14:textId="77777777" w:rsidTr="00E65BA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73CD993E" w14:textId="77777777" w:rsidR="00B237B2" w:rsidRPr="009C5807" w:rsidRDefault="00B237B2" w:rsidP="00E65BA1">
            <w:pPr>
              <w:pStyle w:val="TAH"/>
            </w:pPr>
            <w:r w:rsidRPr="009C5807">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317CCFFE" w14:textId="77777777" w:rsidR="00B237B2" w:rsidRPr="009C5807" w:rsidRDefault="00B237B2" w:rsidP="00E65BA1">
            <w:pPr>
              <w:pStyle w:val="TAH"/>
            </w:pPr>
            <w:r w:rsidRPr="009C5807">
              <w:t>Conditions</w:t>
            </w:r>
          </w:p>
        </w:tc>
      </w:tr>
      <w:tr w:rsidR="00B237B2" w:rsidRPr="009C5807" w14:paraId="2A150DC6" w14:textId="77777777" w:rsidTr="00E65BA1">
        <w:trPr>
          <w:jc w:val="center"/>
        </w:trPr>
        <w:tc>
          <w:tcPr>
            <w:tcW w:w="1033" w:type="dxa"/>
            <w:tcBorders>
              <w:top w:val="single" w:sz="6" w:space="0" w:color="auto"/>
              <w:left w:val="single" w:sz="4" w:space="0" w:color="auto"/>
              <w:right w:val="single" w:sz="6" w:space="0" w:color="auto"/>
            </w:tcBorders>
            <w:shd w:val="clear" w:color="auto" w:fill="auto"/>
            <w:vAlign w:val="center"/>
          </w:tcPr>
          <w:p w14:paraId="7A128ABE" w14:textId="77777777" w:rsidR="00B237B2" w:rsidRPr="009C5807" w:rsidRDefault="00B237B2" w:rsidP="00E65BA1">
            <w:pPr>
              <w:pStyle w:val="TAH"/>
            </w:pPr>
            <w:r w:rsidRPr="009C5807">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3461898B" w14:textId="77777777" w:rsidR="00B237B2" w:rsidRPr="009C5807" w:rsidRDefault="00B237B2" w:rsidP="00E65BA1">
            <w:pPr>
              <w:pStyle w:val="TAH"/>
            </w:pPr>
            <w:r w:rsidRPr="009C5807">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1CE67057" w14:textId="77777777" w:rsidR="00B237B2" w:rsidRPr="009C5807" w:rsidRDefault="00B237B2" w:rsidP="00E65BA1">
            <w:pPr>
              <w:pStyle w:val="TAH"/>
            </w:pPr>
            <w:r w:rsidRPr="009C5807">
              <w:t>SSB Ês/Iot</w:t>
            </w:r>
            <w:r w:rsidRPr="009C5807">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4F708116" w14:textId="77777777" w:rsidR="00B237B2" w:rsidRPr="009C5807" w:rsidRDefault="00B237B2" w:rsidP="00E65BA1">
            <w:pPr>
              <w:pStyle w:val="TAH"/>
            </w:pPr>
            <w:r w:rsidRPr="009C5807">
              <w:t>Io</w:t>
            </w:r>
            <w:r w:rsidRPr="009C5807">
              <w:rPr>
                <w:vertAlign w:val="superscript"/>
              </w:rPr>
              <w:t xml:space="preserve"> Note 1</w:t>
            </w:r>
            <w:r w:rsidRPr="009C5807">
              <w:t xml:space="preserve"> range</w:t>
            </w:r>
          </w:p>
        </w:tc>
      </w:tr>
      <w:tr w:rsidR="00B237B2" w:rsidRPr="009C5807" w14:paraId="1FF9C2A7" w14:textId="77777777" w:rsidTr="00E65BA1">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04BE242C" w14:textId="77777777" w:rsidR="00B237B2" w:rsidRPr="009C5807" w:rsidRDefault="00B237B2" w:rsidP="00E65BA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0D7E6B27" w14:textId="77777777" w:rsidR="00B237B2" w:rsidRPr="009C5807" w:rsidRDefault="00B237B2" w:rsidP="00E65BA1">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45E16F5D" w14:textId="77777777" w:rsidR="00B237B2" w:rsidRPr="009C5807" w:rsidRDefault="00B237B2" w:rsidP="00E65BA1">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747A2576" w14:textId="77777777" w:rsidR="00B237B2" w:rsidRPr="009C5807" w:rsidRDefault="00B237B2" w:rsidP="00E65BA1">
            <w:pPr>
              <w:pStyle w:val="TAH"/>
            </w:pPr>
            <w:r w:rsidRPr="009C5807">
              <w:t>NR operating band groups</w:t>
            </w:r>
            <w:r w:rsidRPr="009C5807">
              <w:rPr>
                <w:vertAlign w:val="superscript"/>
              </w:rPr>
              <w:t xml:space="preserve"> Note 4</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0CFC288A" w14:textId="77777777" w:rsidR="00B237B2" w:rsidRPr="009C5807" w:rsidRDefault="00B237B2" w:rsidP="00E65BA1">
            <w:pPr>
              <w:pStyle w:val="TAH"/>
            </w:pPr>
            <w:r w:rsidRPr="009C5807">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40ABF599" w14:textId="77777777" w:rsidR="00B237B2" w:rsidRPr="009C5807" w:rsidRDefault="00B237B2" w:rsidP="00E65BA1">
            <w:pPr>
              <w:pStyle w:val="TAH"/>
            </w:pPr>
            <w:r w:rsidRPr="009C5807">
              <w:t>Maximum Io</w:t>
            </w:r>
          </w:p>
        </w:tc>
      </w:tr>
      <w:tr w:rsidR="00B237B2" w:rsidRPr="009C5807" w14:paraId="38D7D1EA" w14:textId="77777777" w:rsidTr="00E65BA1">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4BAD52DD" w14:textId="77777777" w:rsidR="00B237B2" w:rsidRPr="009C5807" w:rsidRDefault="00B237B2" w:rsidP="00E65BA1">
            <w:pPr>
              <w:pStyle w:val="TAH"/>
            </w:pPr>
            <w:r w:rsidRPr="009C5807">
              <w:t>dB</w:t>
            </w:r>
          </w:p>
        </w:tc>
        <w:tc>
          <w:tcPr>
            <w:tcW w:w="1049" w:type="dxa"/>
            <w:tcBorders>
              <w:top w:val="single" w:sz="6" w:space="0" w:color="auto"/>
              <w:left w:val="single" w:sz="6" w:space="0" w:color="auto"/>
              <w:right w:val="single" w:sz="6" w:space="0" w:color="auto"/>
            </w:tcBorders>
            <w:shd w:val="clear" w:color="auto" w:fill="auto"/>
            <w:vAlign w:val="center"/>
          </w:tcPr>
          <w:p w14:paraId="5350CC17" w14:textId="77777777" w:rsidR="00B237B2" w:rsidRPr="009C5807" w:rsidRDefault="00B237B2" w:rsidP="00E65BA1">
            <w:pPr>
              <w:pStyle w:val="TAH"/>
            </w:pPr>
            <w:r w:rsidRPr="009C5807">
              <w:t>dB</w:t>
            </w:r>
          </w:p>
        </w:tc>
        <w:tc>
          <w:tcPr>
            <w:tcW w:w="807" w:type="dxa"/>
            <w:tcBorders>
              <w:top w:val="single" w:sz="6" w:space="0" w:color="auto"/>
              <w:left w:val="single" w:sz="6" w:space="0" w:color="auto"/>
              <w:right w:val="single" w:sz="6" w:space="0" w:color="auto"/>
            </w:tcBorders>
            <w:shd w:val="clear" w:color="auto" w:fill="auto"/>
            <w:vAlign w:val="center"/>
          </w:tcPr>
          <w:p w14:paraId="5DB26618" w14:textId="77777777" w:rsidR="00B237B2" w:rsidRPr="009C5807" w:rsidRDefault="00B237B2" w:rsidP="00E65BA1">
            <w:pPr>
              <w:pStyle w:val="TAH"/>
            </w:pPr>
            <w:r w:rsidRPr="009C5807">
              <w:t>dB</w:t>
            </w:r>
          </w:p>
        </w:tc>
        <w:tc>
          <w:tcPr>
            <w:tcW w:w="2349" w:type="dxa"/>
            <w:tcBorders>
              <w:top w:val="single" w:sz="6" w:space="0" w:color="auto"/>
              <w:left w:val="single" w:sz="6" w:space="0" w:color="auto"/>
              <w:right w:val="single" w:sz="4" w:space="0" w:color="auto"/>
            </w:tcBorders>
            <w:shd w:val="clear" w:color="auto" w:fill="auto"/>
            <w:vAlign w:val="center"/>
          </w:tcPr>
          <w:p w14:paraId="20039B76" w14:textId="77777777" w:rsidR="00B237B2" w:rsidRPr="009C5807" w:rsidRDefault="00B237B2" w:rsidP="00E65BA1">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456FB131" w14:textId="77777777" w:rsidR="00B237B2" w:rsidRPr="009C5807" w:rsidRDefault="00B237B2" w:rsidP="00E65BA1">
            <w:pPr>
              <w:pStyle w:val="TAH"/>
            </w:pPr>
            <w:r w:rsidRPr="009C5807">
              <w:rPr>
                <w:rFonts w:cs="Arial"/>
              </w:rPr>
              <w:t xml:space="preserve">dBm / </w:t>
            </w:r>
            <w:r w:rsidRPr="009C5807">
              <w:t>SCS</w:t>
            </w:r>
            <w:r w:rsidRPr="009C5807">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68ED8EE6" w14:textId="77777777" w:rsidR="00B237B2" w:rsidRPr="009C5807" w:rsidRDefault="00B237B2" w:rsidP="00E65BA1">
            <w:pPr>
              <w:pStyle w:val="TAH"/>
            </w:pPr>
            <w:r w:rsidRPr="009C5807">
              <w:t>dBm/BW</w:t>
            </w:r>
            <w:r w:rsidRPr="009C5807">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7C8FEF2F" w14:textId="77777777" w:rsidR="00B237B2" w:rsidRPr="009C5807" w:rsidRDefault="00B237B2" w:rsidP="00E65BA1">
            <w:pPr>
              <w:pStyle w:val="TAH"/>
            </w:pPr>
            <w:r w:rsidRPr="009C5807">
              <w:t>dBm/BW</w:t>
            </w:r>
            <w:r w:rsidRPr="009C5807">
              <w:rPr>
                <w:vertAlign w:val="subscript"/>
              </w:rPr>
              <w:t>Channel</w:t>
            </w:r>
          </w:p>
        </w:tc>
      </w:tr>
      <w:tr w:rsidR="00B237B2" w:rsidRPr="009C5807" w14:paraId="0CB4C1B4" w14:textId="77777777" w:rsidTr="00E65BA1">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4A9CD0F4" w14:textId="77777777" w:rsidR="00B237B2" w:rsidRPr="009C5807" w:rsidRDefault="00B237B2" w:rsidP="00E65BA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7D08FD66" w14:textId="77777777" w:rsidR="00B237B2" w:rsidRPr="009C5807" w:rsidRDefault="00B237B2" w:rsidP="00E65BA1">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5CEE2D4F" w14:textId="77777777" w:rsidR="00B237B2" w:rsidRPr="009C5807" w:rsidRDefault="00B237B2" w:rsidP="00E65BA1">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384D2842" w14:textId="77777777" w:rsidR="00B237B2" w:rsidRPr="009C5807" w:rsidRDefault="00B237B2" w:rsidP="00E65BA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030E4FC9" w14:textId="77777777" w:rsidR="00B237B2" w:rsidRPr="009C5807" w:rsidRDefault="00B237B2" w:rsidP="00E65BA1">
            <w:pPr>
              <w:pStyle w:val="TAH"/>
              <w:rPr>
                <w:rFonts w:cs="Arial"/>
              </w:rPr>
            </w:pPr>
            <w:r w:rsidRPr="009C5807">
              <w:t>SCS</w:t>
            </w:r>
            <w:r w:rsidRPr="009C5807">
              <w:rPr>
                <w:vertAlign w:val="subscript"/>
              </w:rPr>
              <w:t>SSB</w:t>
            </w:r>
            <w:r w:rsidRPr="009C5807">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7178365" w14:textId="77777777" w:rsidR="00B237B2" w:rsidRPr="009C5807" w:rsidRDefault="00B237B2" w:rsidP="00E65BA1">
            <w:pPr>
              <w:pStyle w:val="TAH"/>
              <w:rPr>
                <w:rFonts w:cs="Arial"/>
              </w:rPr>
            </w:pPr>
            <w:r w:rsidRPr="009C5807">
              <w:t>SCS</w:t>
            </w:r>
            <w:r w:rsidRPr="009C5807">
              <w:rPr>
                <w:vertAlign w:val="subscript"/>
              </w:rPr>
              <w:t>SSB</w:t>
            </w:r>
            <w:r w:rsidRPr="009C5807">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3C18AE6F" w14:textId="77777777" w:rsidR="00B237B2" w:rsidRPr="009C5807" w:rsidRDefault="00B237B2" w:rsidP="00E65BA1">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19E8A2A8" w14:textId="77777777" w:rsidR="00B237B2" w:rsidRPr="009C5807" w:rsidRDefault="00B237B2" w:rsidP="00E65BA1">
            <w:pPr>
              <w:pStyle w:val="TAH"/>
            </w:pPr>
          </w:p>
        </w:tc>
      </w:tr>
      <w:tr w:rsidR="00B72DB6" w:rsidRPr="009C5807" w14:paraId="0135E434" w14:textId="77777777" w:rsidTr="00E65BA1">
        <w:trPr>
          <w:jc w:val="center"/>
        </w:trPr>
        <w:tc>
          <w:tcPr>
            <w:tcW w:w="1033" w:type="dxa"/>
            <w:tcBorders>
              <w:top w:val="single" w:sz="6" w:space="0" w:color="auto"/>
              <w:left w:val="single" w:sz="4" w:space="0" w:color="auto"/>
              <w:right w:val="single" w:sz="6" w:space="0" w:color="auto"/>
            </w:tcBorders>
            <w:shd w:val="clear" w:color="auto" w:fill="auto"/>
          </w:tcPr>
          <w:p w14:paraId="0D77D27D" w14:textId="49338FCE" w:rsidR="00B72DB6" w:rsidRPr="009C5807" w:rsidRDefault="00B72DB6" w:rsidP="00B72DB6">
            <w:pPr>
              <w:pStyle w:val="TAC"/>
            </w:pPr>
            <w:r w:rsidRPr="009C5807">
              <w:sym w:font="Symbol" w:char="F0B1"/>
            </w:r>
            <w:r>
              <w:t>[3]</w:t>
            </w:r>
          </w:p>
        </w:tc>
        <w:tc>
          <w:tcPr>
            <w:tcW w:w="1049" w:type="dxa"/>
            <w:tcBorders>
              <w:top w:val="single" w:sz="6" w:space="0" w:color="auto"/>
              <w:left w:val="single" w:sz="6" w:space="0" w:color="auto"/>
              <w:right w:val="single" w:sz="6" w:space="0" w:color="auto"/>
            </w:tcBorders>
            <w:shd w:val="clear" w:color="auto" w:fill="auto"/>
          </w:tcPr>
          <w:p w14:paraId="48D2AC73" w14:textId="5A209BDD" w:rsidR="00B72DB6" w:rsidRPr="009C5807" w:rsidRDefault="00B72DB6" w:rsidP="00B72DB6">
            <w:pPr>
              <w:pStyle w:val="TAC"/>
            </w:pPr>
            <w:r w:rsidRPr="009C5807">
              <w:sym w:font="Symbol" w:char="F0B1"/>
            </w:r>
            <w:r>
              <w:t>[4]</w:t>
            </w:r>
          </w:p>
        </w:tc>
        <w:tc>
          <w:tcPr>
            <w:tcW w:w="807" w:type="dxa"/>
            <w:tcBorders>
              <w:top w:val="single" w:sz="6" w:space="0" w:color="auto"/>
              <w:left w:val="single" w:sz="6" w:space="0" w:color="auto"/>
              <w:right w:val="single" w:sz="6" w:space="0" w:color="auto"/>
            </w:tcBorders>
            <w:shd w:val="clear" w:color="auto" w:fill="auto"/>
          </w:tcPr>
          <w:p w14:paraId="552E839B" w14:textId="1B8C1646" w:rsidR="00B72DB6" w:rsidRPr="009C5807" w:rsidRDefault="00B72DB6" w:rsidP="00B72DB6">
            <w:pPr>
              <w:pStyle w:val="TAC"/>
            </w:pPr>
            <w:r w:rsidRPr="009C5807">
              <w:sym w:font="Symbol" w:char="F0B3"/>
            </w:r>
            <w:r w:rsidRPr="009C5807">
              <w:t>-3</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747BA440" w14:textId="5AEEAC57" w:rsidR="00B72DB6" w:rsidRPr="009C5807" w:rsidRDefault="00B72DB6" w:rsidP="00B72DB6">
            <w:pPr>
              <w:pStyle w:val="TAC"/>
            </w:pPr>
            <w:r w:rsidRPr="009C5807">
              <w:t>NR_FDD</w:t>
            </w:r>
            <w:r w:rsidRPr="003646C5">
              <w:t>_</w:t>
            </w:r>
            <w:r>
              <w:t>SAB</w:t>
            </w:r>
            <w:r w:rsidRPr="009C5807">
              <w:t>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6592E60" w14:textId="77777777" w:rsidR="00B72DB6" w:rsidRPr="009C5807" w:rsidRDefault="00B72DB6" w:rsidP="00B72DB6">
            <w:pPr>
              <w:pStyle w:val="TAC"/>
            </w:pPr>
            <w:r w:rsidRPr="009C5807">
              <w:t>-121</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654EDEB" w14:textId="77777777" w:rsidR="00B72DB6" w:rsidRPr="009C5807" w:rsidRDefault="00B72DB6" w:rsidP="00B72DB6">
            <w:pPr>
              <w:pStyle w:val="TAC"/>
            </w:pPr>
            <w:r w:rsidRPr="009C5807">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338306D" w14:textId="77777777" w:rsidR="00B72DB6" w:rsidRPr="009C5807" w:rsidRDefault="00B72DB6" w:rsidP="00B72DB6">
            <w:pPr>
              <w:pStyle w:val="TAC"/>
            </w:pPr>
            <w:r w:rsidRPr="009C5807">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DA6C08D" w14:textId="77777777" w:rsidR="00B72DB6" w:rsidRPr="009C5807" w:rsidRDefault="00B72DB6" w:rsidP="00B72DB6">
            <w:pPr>
              <w:pStyle w:val="TAC"/>
            </w:pPr>
            <w:r w:rsidRPr="009C5807">
              <w:t>-50</w:t>
            </w:r>
          </w:p>
        </w:tc>
      </w:tr>
      <w:tr w:rsidR="00B237B2" w:rsidRPr="009C5807" w14:paraId="08E14C9C" w14:textId="77777777" w:rsidTr="00E65BA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0B803F7D" w14:textId="77777777" w:rsidR="00B237B2" w:rsidRPr="009C5807" w:rsidRDefault="00B237B2" w:rsidP="00E65BA1">
            <w:pPr>
              <w:pStyle w:val="TAN"/>
            </w:pPr>
            <w:r w:rsidRPr="009C5807">
              <w:t>NOTE 1:</w:t>
            </w:r>
            <w:r w:rsidRPr="009C5807">
              <w:tab/>
              <w:t>Io is assumed to have constant EPRE across the bandwidth.</w:t>
            </w:r>
          </w:p>
          <w:p w14:paraId="52105269" w14:textId="77777777" w:rsidR="00B237B2" w:rsidRPr="009C5807" w:rsidRDefault="00B237B2" w:rsidP="00E65BA1">
            <w:pPr>
              <w:pStyle w:val="TAN"/>
            </w:pPr>
            <w:r w:rsidRPr="009C5807">
              <w:t>NOTE 2:</w:t>
            </w:r>
            <w:r w:rsidRPr="009C5807">
              <w:tab/>
              <w:t>The parameter SSB Ês/Iot is the minimum SSB Ês/Iot of the pair of SSBs to which the requirement applies.</w:t>
            </w:r>
          </w:p>
          <w:p w14:paraId="57366DBB" w14:textId="77777777" w:rsidR="00B237B2" w:rsidRPr="009C5807" w:rsidRDefault="00B237B2" w:rsidP="00E65BA1">
            <w:pPr>
              <w:pStyle w:val="TAN"/>
            </w:pPr>
            <w:r w:rsidRPr="009C5807">
              <w:t>NOTE 3:</w:t>
            </w:r>
            <w:r w:rsidRPr="009C5807">
              <w:tab/>
              <w:t>Void</w:t>
            </w:r>
          </w:p>
          <w:p w14:paraId="5E1C9086" w14:textId="77777777" w:rsidR="00B237B2" w:rsidRPr="009C5807" w:rsidRDefault="00B237B2" w:rsidP="00E65BA1">
            <w:pPr>
              <w:pStyle w:val="TAN"/>
            </w:pPr>
            <w:r w:rsidRPr="009C5807">
              <w:t>NOTE 4:</w:t>
            </w:r>
            <w:r w:rsidRPr="009C5807">
              <w:tab/>
              <w:t>NR operating band groups in FR1 are as defined in clause 3.5.2.</w:t>
            </w:r>
          </w:p>
        </w:tc>
      </w:tr>
    </w:tbl>
    <w:p w14:paraId="0CE7B049" w14:textId="77777777" w:rsidR="00B237B2" w:rsidRPr="009C5807" w:rsidRDefault="00B237B2" w:rsidP="0058457E"/>
    <w:p w14:paraId="630CD9DF" w14:textId="4C2558E0" w:rsidR="001F5A79" w:rsidRPr="009C5807" w:rsidRDefault="001F5A79" w:rsidP="00967CF8">
      <w:pPr>
        <w:pStyle w:val="Heading3"/>
        <w:rPr>
          <w:lang w:val="en-US"/>
        </w:rPr>
      </w:pPr>
      <w:r w:rsidRPr="009C5807">
        <w:rPr>
          <w:lang w:val="en-US"/>
        </w:rPr>
        <w:t>1</w:t>
      </w:r>
      <w:r w:rsidR="00967CF8" w:rsidRPr="009C5807">
        <w:rPr>
          <w:lang w:val="en-US"/>
        </w:rPr>
        <w:t>0.1.2</w:t>
      </w:r>
      <w:r w:rsidRPr="009C5807">
        <w:rPr>
          <w:lang w:val="en-US"/>
        </w:rPr>
        <w:t>0</w:t>
      </w:r>
      <w:r w:rsidRPr="009C5807">
        <w:rPr>
          <w:lang w:val="en-US"/>
        </w:rPr>
        <w:tab/>
        <w:t>L1-RSRP accuracy requirements for FR2</w:t>
      </w:r>
    </w:p>
    <w:p w14:paraId="7F0F1D38" w14:textId="58614FB7" w:rsidR="001F5A79" w:rsidRDefault="001F5A79" w:rsidP="00B018D8">
      <w:pPr>
        <w:pStyle w:val="Heading4"/>
        <w:rPr>
          <w:lang w:val="en-US"/>
        </w:rPr>
      </w:pPr>
      <w:r w:rsidRPr="009C5807">
        <w:rPr>
          <w:lang w:val="en-US"/>
        </w:rPr>
        <w:t>10.1.20.1</w:t>
      </w:r>
      <w:r w:rsidRPr="009C5807">
        <w:rPr>
          <w:lang w:val="en-US"/>
        </w:rPr>
        <w:tab/>
        <w:t>SSB based L1-RSRP accuracy requirements</w:t>
      </w:r>
    </w:p>
    <w:p w14:paraId="283C1100" w14:textId="7412C4C8" w:rsidR="006A7CB9" w:rsidRPr="006A7CB9" w:rsidRDefault="006A7CB9" w:rsidP="006A7CB9">
      <w:pPr>
        <w:rPr>
          <w:lang w:val="en-US"/>
        </w:rPr>
      </w:pPr>
      <w:r w:rsidRPr="009C5807">
        <w:rPr>
          <w:rFonts w:cs="v4.2.0"/>
        </w:rPr>
        <w:t>Unless otherwise specified, the requirements for absolute accuracy</w:t>
      </w:r>
      <w:r w:rsidRPr="00966121">
        <w:rPr>
          <w:rFonts w:cs="v4.2.0"/>
        </w:rPr>
        <w:t xml:space="preserve"> </w:t>
      </w:r>
      <w:r>
        <w:rPr>
          <w:rFonts w:cs="v4.2.0"/>
        </w:rPr>
        <w:t>and relative accuracy</w:t>
      </w:r>
      <w:r w:rsidRPr="009C5807">
        <w:rPr>
          <w:rFonts w:cs="v4.2.0"/>
        </w:rPr>
        <w:t xml:space="preserve"> of </w:t>
      </w:r>
      <w:r w:rsidRPr="009C5807">
        <w:rPr>
          <w:rFonts w:cs="v4.2.0"/>
          <w:lang w:eastAsia="zh-CN"/>
        </w:rPr>
        <w:t>SSB based L1-</w:t>
      </w:r>
      <w:r w:rsidRPr="009C5807">
        <w:rPr>
          <w:rFonts w:cs="v4.2.0"/>
        </w:rPr>
        <w:t>RSRP in this clause apply to all SSBs of the serving cell configured for L1-RSRP measurement</w:t>
      </w:r>
      <w:r w:rsidRPr="00966121">
        <w:rPr>
          <w:rFonts w:cs="v4.2.0"/>
        </w:rPr>
        <w:t xml:space="preserve"> </w:t>
      </w:r>
      <w:r>
        <w:rPr>
          <w:rFonts w:cs="v4.2.0"/>
        </w:rPr>
        <w:t>and all SSBs of cell(s) with different PCI from serving cell configured for L1-RSRP measurement in FR2</w:t>
      </w:r>
      <w:r w:rsidRPr="009C5807">
        <w:rPr>
          <w:rFonts w:cs="v4.2.0"/>
        </w:rPr>
        <w:t>.</w:t>
      </w:r>
    </w:p>
    <w:p w14:paraId="01E0EC0D" w14:textId="77777777" w:rsidR="001F5A79" w:rsidRPr="009C5807" w:rsidRDefault="001F5A79" w:rsidP="00B018D8">
      <w:pPr>
        <w:pStyle w:val="Heading5"/>
      </w:pPr>
      <w:r w:rsidRPr="009C5807">
        <w:t>10.1.20.1.1</w:t>
      </w:r>
      <w:r w:rsidRPr="009C5807">
        <w:tab/>
        <w:t>Absolute Accuracy</w:t>
      </w:r>
    </w:p>
    <w:p w14:paraId="38C605DB"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10.1.20.1.1</w:t>
      </w:r>
      <w:r w:rsidRPr="009C5807">
        <w:rPr>
          <w:rFonts w:cs="v4.2.0"/>
        </w:rPr>
        <w:t>-1 are valid under the following conditions:</w:t>
      </w:r>
    </w:p>
    <w:p w14:paraId="1FDB7C2D" w14:textId="77777777" w:rsidR="001F5A79" w:rsidRPr="009C5807" w:rsidRDefault="001F5A79" w:rsidP="0093237A">
      <w:pPr>
        <w:pStyle w:val="B10"/>
      </w:pPr>
      <w:r w:rsidRPr="009C5807">
        <w:t>-</w:t>
      </w:r>
      <w:r w:rsidRPr="009C5807">
        <w:tab/>
        <w:t>Conditions defined in clause 7.3 of TS 38.101-2 [19] for reference sensitivity are fulfilled.</w:t>
      </w:r>
    </w:p>
    <w:p w14:paraId="4237871D" w14:textId="77777777" w:rsidR="001F5A79" w:rsidRPr="009C5807" w:rsidRDefault="001F5A79" w:rsidP="0093237A">
      <w:pPr>
        <w:pStyle w:val="B10"/>
      </w:pPr>
      <w:r w:rsidRPr="009C5807">
        <w:t>-</w:t>
      </w:r>
      <w:r w:rsidRPr="009C5807">
        <w:tab/>
        <w:t xml:space="preserve">Conditions for L1-RSRP measurements are fulfilled according to Annex B.2.4.1 for a corresponding Band </w:t>
      </w:r>
      <w:r w:rsidRPr="009C5807">
        <w:rPr>
          <w:rFonts w:eastAsia="PMingLiU"/>
        </w:rPr>
        <w:t>for each relevant SSB</w:t>
      </w:r>
      <w:r w:rsidRPr="009C5807">
        <w:t>.</w:t>
      </w:r>
    </w:p>
    <w:p w14:paraId="67474949" w14:textId="77777777" w:rsidR="001F5A79" w:rsidRPr="009C5807" w:rsidRDefault="001F5A79" w:rsidP="0093237A">
      <w:pPr>
        <w:pStyle w:val="B10"/>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34D368FC" w14:textId="77777777" w:rsidR="001F5A79" w:rsidRPr="009C5807" w:rsidRDefault="001F5A79" w:rsidP="0093237A">
      <w:pPr>
        <w:pStyle w:val="TH"/>
      </w:pPr>
      <w:r w:rsidRPr="009C5807">
        <w:t>Table 10.1.20.1.1-1: SSB based L1-RSRP absolute accuracy in FR2</w:t>
      </w:r>
    </w:p>
    <w:tbl>
      <w:tblPr>
        <w:tblW w:w="8720" w:type="dxa"/>
        <w:jc w:val="center"/>
        <w:tblLook w:val="01E0" w:firstRow="1" w:lastRow="1" w:firstColumn="1" w:lastColumn="1" w:noHBand="0" w:noVBand="0"/>
      </w:tblPr>
      <w:tblGrid>
        <w:gridCol w:w="1111"/>
        <w:gridCol w:w="1110"/>
        <w:gridCol w:w="1110"/>
        <w:gridCol w:w="1116"/>
        <w:gridCol w:w="1116"/>
        <w:gridCol w:w="1578"/>
        <w:gridCol w:w="1579"/>
      </w:tblGrid>
      <w:tr w:rsidR="001F5A79" w:rsidRPr="009C5807" w14:paraId="1514CDBF" w14:textId="77777777" w:rsidTr="00DF3064">
        <w:trPr>
          <w:jc w:val="center"/>
        </w:trPr>
        <w:tc>
          <w:tcPr>
            <w:tcW w:w="2221" w:type="dxa"/>
            <w:gridSpan w:val="2"/>
            <w:tcBorders>
              <w:top w:val="single" w:sz="6" w:space="0" w:color="auto"/>
              <w:left w:val="single" w:sz="4" w:space="0" w:color="auto"/>
              <w:bottom w:val="nil"/>
              <w:right w:val="single" w:sz="6" w:space="0" w:color="auto"/>
            </w:tcBorders>
            <w:vAlign w:val="center"/>
            <w:hideMark/>
          </w:tcPr>
          <w:p w14:paraId="2D6F61DE" w14:textId="77777777" w:rsidR="001F5A79" w:rsidRPr="009C5807" w:rsidRDefault="001F5A79" w:rsidP="00330D9C">
            <w:pPr>
              <w:pStyle w:val="TAH"/>
            </w:pPr>
            <w:r w:rsidRPr="009C5807">
              <w:t>Accuracy</w:t>
            </w:r>
          </w:p>
        </w:tc>
        <w:tc>
          <w:tcPr>
            <w:tcW w:w="6499" w:type="dxa"/>
            <w:gridSpan w:val="5"/>
            <w:tcBorders>
              <w:top w:val="single" w:sz="4" w:space="0" w:color="auto"/>
              <w:left w:val="single" w:sz="4" w:space="0" w:color="auto"/>
              <w:bottom w:val="nil"/>
              <w:right w:val="single" w:sz="4" w:space="0" w:color="auto"/>
            </w:tcBorders>
            <w:vAlign w:val="center"/>
            <w:hideMark/>
          </w:tcPr>
          <w:p w14:paraId="250A3EB8" w14:textId="77777777" w:rsidR="001F5A79" w:rsidRPr="009C5807" w:rsidRDefault="001F5A79" w:rsidP="00330D9C">
            <w:pPr>
              <w:pStyle w:val="TAH"/>
            </w:pPr>
            <w:r w:rsidRPr="009C5807">
              <w:t>Conditions</w:t>
            </w:r>
          </w:p>
        </w:tc>
      </w:tr>
      <w:tr w:rsidR="001F5A79" w:rsidRPr="009C5807" w14:paraId="38FF2C16" w14:textId="77777777" w:rsidTr="00330D9C">
        <w:trPr>
          <w:jc w:val="center"/>
        </w:trPr>
        <w:tc>
          <w:tcPr>
            <w:tcW w:w="1111" w:type="dxa"/>
            <w:tcBorders>
              <w:top w:val="single" w:sz="6" w:space="0" w:color="auto"/>
              <w:left w:val="single" w:sz="4" w:space="0" w:color="auto"/>
              <w:right w:val="single" w:sz="6" w:space="0" w:color="auto"/>
            </w:tcBorders>
            <w:vAlign w:val="center"/>
            <w:hideMark/>
          </w:tcPr>
          <w:p w14:paraId="5A25D501" w14:textId="77777777" w:rsidR="001F5A79" w:rsidRPr="009C5807" w:rsidRDefault="001F5A79" w:rsidP="00330D9C">
            <w:pPr>
              <w:pStyle w:val="TAH"/>
            </w:pPr>
            <w:r w:rsidRPr="009C5807">
              <w:t>Normal condition</w:t>
            </w:r>
          </w:p>
        </w:tc>
        <w:tc>
          <w:tcPr>
            <w:tcW w:w="1110" w:type="dxa"/>
            <w:tcBorders>
              <w:top w:val="single" w:sz="6" w:space="0" w:color="auto"/>
              <w:left w:val="single" w:sz="6" w:space="0" w:color="auto"/>
              <w:right w:val="single" w:sz="6" w:space="0" w:color="auto"/>
            </w:tcBorders>
            <w:vAlign w:val="center"/>
            <w:hideMark/>
          </w:tcPr>
          <w:p w14:paraId="78695F2D" w14:textId="77777777" w:rsidR="001F5A79" w:rsidRPr="009C5807" w:rsidRDefault="001F5A79" w:rsidP="00330D9C">
            <w:pPr>
              <w:pStyle w:val="TAH"/>
            </w:pPr>
            <w:r w:rsidRPr="009C5807">
              <w:t>Extreme condition</w:t>
            </w:r>
          </w:p>
        </w:tc>
        <w:tc>
          <w:tcPr>
            <w:tcW w:w="1110" w:type="dxa"/>
            <w:tcBorders>
              <w:top w:val="single" w:sz="4" w:space="0" w:color="auto"/>
              <w:left w:val="single" w:sz="4" w:space="0" w:color="auto"/>
              <w:right w:val="single" w:sz="4" w:space="0" w:color="auto"/>
            </w:tcBorders>
            <w:hideMark/>
          </w:tcPr>
          <w:p w14:paraId="7D753D0D" w14:textId="77777777" w:rsidR="001F5A79" w:rsidRPr="009C5807" w:rsidRDefault="001F5A79" w:rsidP="00330D9C">
            <w:pPr>
              <w:pStyle w:val="TAH"/>
            </w:pPr>
            <w:r w:rsidRPr="009C5807">
              <w:rPr>
                <w:rFonts w:cs="Arial"/>
              </w:rPr>
              <w:t>SSB Ês/Iot</w:t>
            </w:r>
          </w:p>
        </w:tc>
        <w:tc>
          <w:tcPr>
            <w:tcW w:w="5389" w:type="dxa"/>
            <w:gridSpan w:val="4"/>
            <w:tcBorders>
              <w:top w:val="single" w:sz="4" w:space="0" w:color="auto"/>
              <w:left w:val="single" w:sz="4" w:space="0" w:color="auto"/>
              <w:bottom w:val="single" w:sz="6" w:space="0" w:color="auto"/>
              <w:right w:val="single" w:sz="4" w:space="0" w:color="auto"/>
            </w:tcBorders>
            <w:vAlign w:val="center"/>
            <w:hideMark/>
          </w:tcPr>
          <w:p w14:paraId="15B417BB" w14:textId="77777777" w:rsidR="001F5A79" w:rsidRPr="009C5807" w:rsidRDefault="001F5A79" w:rsidP="00330D9C">
            <w:pPr>
              <w:pStyle w:val="TAH"/>
            </w:pPr>
            <w:r w:rsidRPr="009C5807">
              <w:t>Io</w:t>
            </w:r>
            <w:r w:rsidRPr="009C5807">
              <w:rPr>
                <w:vertAlign w:val="superscript"/>
              </w:rPr>
              <w:t xml:space="preserve"> Note 1</w:t>
            </w:r>
            <w:r w:rsidRPr="009C5807">
              <w:t xml:space="preserve"> range</w:t>
            </w:r>
          </w:p>
        </w:tc>
      </w:tr>
      <w:tr w:rsidR="001F5A79" w:rsidRPr="009C5807" w14:paraId="317B874F" w14:textId="77777777" w:rsidTr="00330D9C">
        <w:trPr>
          <w:jc w:val="center"/>
        </w:trPr>
        <w:tc>
          <w:tcPr>
            <w:tcW w:w="0" w:type="auto"/>
            <w:tcBorders>
              <w:left w:val="single" w:sz="4" w:space="0" w:color="auto"/>
              <w:bottom w:val="single" w:sz="6" w:space="0" w:color="auto"/>
              <w:right w:val="single" w:sz="6" w:space="0" w:color="auto"/>
            </w:tcBorders>
            <w:vAlign w:val="center"/>
            <w:hideMark/>
          </w:tcPr>
          <w:p w14:paraId="304B28F3" w14:textId="77777777" w:rsidR="001F5A79" w:rsidRPr="009C5807" w:rsidRDefault="001F5A79" w:rsidP="00330D9C">
            <w:pPr>
              <w:pStyle w:val="TAH"/>
            </w:pPr>
          </w:p>
        </w:tc>
        <w:tc>
          <w:tcPr>
            <w:tcW w:w="0" w:type="auto"/>
            <w:tcBorders>
              <w:left w:val="single" w:sz="6" w:space="0" w:color="auto"/>
              <w:bottom w:val="single" w:sz="6" w:space="0" w:color="auto"/>
              <w:right w:val="single" w:sz="6" w:space="0" w:color="auto"/>
            </w:tcBorders>
            <w:vAlign w:val="center"/>
            <w:hideMark/>
          </w:tcPr>
          <w:p w14:paraId="4E6ECDC4" w14:textId="77777777" w:rsidR="001F5A79" w:rsidRPr="009C5807" w:rsidRDefault="001F5A79" w:rsidP="00330D9C">
            <w:pPr>
              <w:pStyle w:val="TAH"/>
            </w:pPr>
          </w:p>
        </w:tc>
        <w:tc>
          <w:tcPr>
            <w:tcW w:w="0" w:type="auto"/>
            <w:tcBorders>
              <w:left w:val="single" w:sz="4" w:space="0" w:color="auto"/>
              <w:bottom w:val="single" w:sz="6" w:space="0" w:color="auto"/>
              <w:right w:val="single" w:sz="4" w:space="0" w:color="auto"/>
            </w:tcBorders>
            <w:vAlign w:val="center"/>
            <w:hideMark/>
          </w:tcPr>
          <w:p w14:paraId="0BD8A9BB" w14:textId="77777777" w:rsidR="001F5A79" w:rsidRPr="009C5807" w:rsidRDefault="001F5A79" w:rsidP="00330D9C">
            <w:pPr>
              <w:pStyle w:val="TAH"/>
            </w:pPr>
          </w:p>
        </w:tc>
        <w:tc>
          <w:tcPr>
            <w:tcW w:w="3810" w:type="dxa"/>
            <w:gridSpan w:val="3"/>
            <w:tcBorders>
              <w:top w:val="single" w:sz="4" w:space="0" w:color="auto"/>
              <w:left w:val="single" w:sz="4" w:space="0" w:color="auto"/>
              <w:bottom w:val="single" w:sz="6" w:space="0" w:color="auto"/>
              <w:right w:val="single" w:sz="6" w:space="0" w:color="auto"/>
            </w:tcBorders>
            <w:vAlign w:val="center"/>
            <w:hideMark/>
          </w:tcPr>
          <w:p w14:paraId="11F41007" w14:textId="77777777" w:rsidR="001F5A79" w:rsidRPr="009C5807" w:rsidRDefault="001F5A79" w:rsidP="00330D9C">
            <w:pPr>
              <w:pStyle w:val="TAH"/>
            </w:pPr>
            <w:r w:rsidRPr="009C5807">
              <w:t>Minimum Io</w:t>
            </w:r>
          </w:p>
        </w:tc>
        <w:tc>
          <w:tcPr>
            <w:tcW w:w="1579" w:type="dxa"/>
            <w:tcBorders>
              <w:top w:val="single" w:sz="4" w:space="0" w:color="auto"/>
              <w:left w:val="single" w:sz="6" w:space="0" w:color="auto"/>
              <w:bottom w:val="single" w:sz="6" w:space="0" w:color="auto"/>
              <w:right w:val="single" w:sz="4" w:space="0" w:color="auto"/>
            </w:tcBorders>
            <w:vAlign w:val="center"/>
            <w:hideMark/>
          </w:tcPr>
          <w:p w14:paraId="5B178CA5" w14:textId="77777777" w:rsidR="001F5A79" w:rsidRPr="009C5807" w:rsidRDefault="001F5A79" w:rsidP="00330D9C">
            <w:pPr>
              <w:pStyle w:val="TAH"/>
            </w:pPr>
            <w:r w:rsidRPr="009C5807">
              <w:t>Maximum Io</w:t>
            </w:r>
          </w:p>
        </w:tc>
      </w:tr>
      <w:tr w:rsidR="001F5A79" w:rsidRPr="009C5807" w14:paraId="046CE1E9" w14:textId="77777777" w:rsidTr="00330D9C">
        <w:trPr>
          <w:jc w:val="center"/>
        </w:trPr>
        <w:tc>
          <w:tcPr>
            <w:tcW w:w="1111" w:type="dxa"/>
            <w:tcBorders>
              <w:top w:val="single" w:sz="6" w:space="0" w:color="auto"/>
              <w:left w:val="single" w:sz="4" w:space="0" w:color="auto"/>
              <w:right w:val="single" w:sz="6" w:space="0" w:color="auto"/>
            </w:tcBorders>
            <w:vAlign w:val="center"/>
            <w:hideMark/>
          </w:tcPr>
          <w:p w14:paraId="6B02B4B8" w14:textId="77777777" w:rsidR="001F5A79" w:rsidRPr="009C5807" w:rsidRDefault="001F5A79" w:rsidP="00330D9C">
            <w:pPr>
              <w:pStyle w:val="TAH"/>
            </w:pPr>
            <w:r w:rsidRPr="009C5807">
              <w:t>dB</w:t>
            </w:r>
          </w:p>
        </w:tc>
        <w:tc>
          <w:tcPr>
            <w:tcW w:w="1110" w:type="dxa"/>
            <w:tcBorders>
              <w:top w:val="single" w:sz="6" w:space="0" w:color="auto"/>
              <w:left w:val="single" w:sz="6" w:space="0" w:color="auto"/>
              <w:right w:val="single" w:sz="6" w:space="0" w:color="auto"/>
            </w:tcBorders>
            <w:vAlign w:val="center"/>
            <w:hideMark/>
          </w:tcPr>
          <w:p w14:paraId="61DBDA92" w14:textId="77777777" w:rsidR="001F5A79" w:rsidRPr="009C5807" w:rsidRDefault="001F5A79" w:rsidP="00330D9C">
            <w:pPr>
              <w:pStyle w:val="TAH"/>
            </w:pPr>
            <w:r w:rsidRPr="009C5807">
              <w:t>dB</w:t>
            </w:r>
          </w:p>
        </w:tc>
        <w:tc>
          <w:tcPr>
            <w:tcW w:w="1110" w:type="dxa"/>
            <w:tcBorders>
              <w:top w:val="single" w:sz="6" w:space="0" w:color="auto"/>
              <w:left w:val="single" w:sz="4" w:space="0" w:color="auto"/>
              <w:right w:val="single" w:sz="4" w:space="0" w:color="auto"/>
            </w:tcBorders>
            <w:vAlign w:val="center"/>
            <w:hideMark/>
          </w:tcPr>
          <w:p w14:paraId="4A5D0A40" w14:textId="77777777" w:rsidR="001F5A79" w:rsidRPr="009C5807" w:rsidRDefault="001F5A79" w:rsidP="00330D9C">
            <w:pPr>
              <w:pStyle w:val="TAH"/>
              <w:rPr>
                <w:rFonts w:cs="Arial"/>
              </w:rPr>
            </w:pPr>
            <w:r w:rsidRPr="009C5807">
              <w:t>dB</w:t>
            </w:r>
          </w:p>
        </w:tc>
        <w:tc>
          <w:tcPr>
            <w:tcW w:w="2232" w:type="dxa"/>
            <w:gridSpan w:val="2"/>
            <w:tcBorders>
              <w:top w:val="single" w:sz="6" w:space="0" w:color="auto"/>
              <w:left w:val="single" w:sz="4" w:space="0" w:color="auto"/>
              <w:bottom w:val="single" w:sz="6" w:space="0" w:color="auto"/>
              <w:right w:val="single" w:sz="6" w:space="0" w:color="auto"/>
            </w:tcBorders>
            <w:vAlign w:val="center"/>
            <w:hideMark/>
          </w:tcPr>
          <w:p w14:paraId="6E5F12B6" w14:textId="77777777" w:rsidR="001F5A79" w:rsidRPr="009C5807" w:rsidRDefault="001F5A79" w:rsidP="00330D9C">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2</w:t>
            </w:r>
          </w:p>
        </w:tc>
        <w:tc>
          <w:tcPr>
            <w:tcW w:w="1578" w:type="dxa"/>
            <w:tcBorders>
              <w:top w:val="single" w:sz="6" w:space="0" w:color="auto"/>
              <w:left w:val="single" w:sz="6" w:space="0" w:color="auto"/>
              <w:right w:val="single" w:sz="6" w:space="0" w:color="auto"/>
            </w:tcBorders>
            <w:vAlign w:val="center"/>
            <w:hideMark/>
          </w:tcPr>
          <w:p w14:paraId="505DCBAC" w14:textId="77777777" w:rsidR="001F5A79" w:rsidRPr="009C5807" w:rsidRDefault="001F5A79" w:rsidP="00330D9C">
            <w:pPr>
              <w:pStyle w:val="TAH"/>
            </w:pPr>
            <w:r w:rsidRPr="009C5807">
              <w:t>dBm/BW</w:t>
            </w:r>
            <w:r w:rsidRPr="009C5807">
              <w:rPr>
                <w:vertAlign w:val="subscript"/>
              </w:rPr>
              <w:t>Channel</w:t>
            </w:r>
          </w:p>
        </w:tc>
        <w:tc>
          <w:tcPr>
            <w:tcW w:w="1579" w:type="dxa"/>
            <w:tcBorders>
              <w:top w:val="single" w:sz="6" w:space="0" w:color="auto"/>
              <w:left w:val="single" w:sz="6" w:space="0" w:color="auto"/>
              <w:right w:val="single" w:sz="4" w:space="0" w:color="auto"/>
            </w:tcBorders>
            <w:vAlign w:val="center"/>
            <w:hideMark/>
          </w:tcPr>
          <w:p w14:paraId="395B738E" w14:textId="77777777" w:rsidR="001F5A79" w:rsidRPr="009C5807" w:rsidRDefault="001F5A79" w:rsidP="00330D9C">
            <w:pPr>
              <w:pStyle w:val="TAH"/>
            </w:pPr>
            <w:r w:rsidRPr="009C5807">
              <w:t>dBm/BW</w:t>
            </w:r>
            <w:r w:rsidRPr="009C5807">
              <w:rPr>
                <w:vertAlign w:val="subscript"/>
              </w:rPr>
              <w:t>Channel</w:t>
            </w:r>
          </w:p>
        </w:tc>
      </w:tr>
      <w:tr w:rsidR="001F5A79" w:rsidRPr="009C5807" w14:paraId="53FD904E" w14:textId="77777777" w:rsidTr="00330D9C">
        <w:trPr>
          <w:jc w:val="center"/>
        </w:trPr>
        <w:tc>
          <w:tcPr>
            <w:tcW w:w="0" w:type="auto"/>
            <w:tcBorders>
              <w:left w:val="single" w:sz="4" w:space="0" w:color="auto"/>
              <w:bottom w:val="single" w:sz="6" w:space="0" w:color="auto"/>
              <w:right w:val="single" w:sz="6" w:space="0" w:color="auto"/>
            </w:tcBorders>
            <w:vAlign w:val="center"/>
            <w:hideMark/>
          </w:tcPr>
          <w:p w14:paraId="60235A85" w14:textId="77777777" w:rsidR="001F5A79" w:rsidRPr="009C5807" w:rsidRDefault="001F5A79" w:rsidP="00330D9C">
            <w:pPr>
              <w:pStyle w:val="TAH"/>
            </w:pPr>
          </w:p>
        </w:tc>
        <w:tc>
          <w:tcPr>
            <w:tcW w:w="0" w:type="auto"/>
            <w:tcBorders>
              <w:left w:val="single" w:sz="6" w:space="0" w:color="auto"/>
              <w:bottom w:val="single" w:sz="6" w:space="0" w:color="auto"/>
              <w:right w:val="single" w:sz="6" w:space="0" w:color="auto"/>
            </w:tcBorders>
            <w:vAlign w:val="center"/>
            <w:hideMark/>
          </w:tcPr>
          <w:p w14:paraId="475486F8" w14:textId="77777777" w:rsidR="001F5A79" w:rsidRPr="009C5807" w:rsidRDefault="001F5A79" w:rsidP="00330D9C">
            <w:pPr>
              <w:pStyle w:val="TAH"/>
            </w:pPr>
          </w:p>
        </w:tc>
        <w:tc>
          <w:tcPr>
            <w:tcW w:w="0" w:type="auto"/>
            <w:tcBorders>
              <w:left w:val="single" w:sz="4" w:space="0" w:color="auto"/>
              <w:bottom w:val="single" w:sz="4" w:space="0" w:color="auto"/>
              <w:right w:val="single" w:sz="4" w:space="0" w:color="auto"/>
            </w:tcBorders>
            <w:vAlign w:val="center"/>
            <w:hideMark/>
          </w:tcPr>
          <w:p w14:paraId="10CAAC17" w14:textId="77777777" w:rsidR="001F5A79" w:rsidRPr="009C5807" w:rsidRDefault="001F5A79" w:rsidP="00330D9C">
            <w:pPr>
              <w:pStyle w:val="TAH"/>
              <w:rPr>
                <w:rFonts w:cs="Arial"/>
              </w:rPr>
            </w:pPr>
          </w:p>
        </w:tc>
        <w:tc>
          <w:tcPr>
            <w:tcW w:w="1116" w:type="dxa"/>
            <w:tcBorders>
              <w:top w:val="single" w:sz="6" w:space="0" w:color="auto"/>
              <w:left w:val="single" w:sz="4" w:space="0" w:color="auto"/>
              <w:bottom w:val="single" w:sz="6" w:space="0" w:color="auto"/>
              <w:right w:val="single" w:sz="6" w:space="0" w:color="auto"/>
            </w:tcBorders>
            <w:vAlign w:val="center"/>
            <w:hideMark/>
          </w:tcPr>
          <w:p w14:paraId="4A38B995" w14:textId="77777777" w:rsidR="001F5A79" w:rsidRPr="009C5807" w:rsidRDefault="001F5A79" w:rsidP="00330D9C">
            <w:pPr>
              <w:pStyle w:val="TAH"/>
            </w:pPr>
            <w:r w:rsidRPr="009C5807">
              <w:t>SCS</w:t>
            </w:r>
            <w:r w:rsidRPr="009C5807">
              <w:rPr>
                <w:vertAlign w:val="subscript"/>
              </w:rPr>
              <w:t>SSB</w:t>
            </w:r>
            <w:r w:rsidRPr="009C5807">
              <w:rPr>
                <w:rFonts w:cs="Arial"/>
              </w:rPr>
              <w:t xml:space="preserve"> = 120kHz</w:t>
            </w:r>
          </w:p>
        </w:tc>
        <w:tc>
          <w:tcPr>
            <w:tcW w:w="1116" w:type="dxa"/>
            <w:tcBorders>
              <w:top w:val="single" w:sz="6" w:space="0" w:color="auto"/>
              <w:left w:val="single" w:sz="4" w:space="0" w:color="auto"/>
              <w:bottom w:val="single" w:sz="6" w:space="0" w:color="auto"/>
              <w:right w:val="single" w:sz="6" w:space="0" w:color="auto"/>
            </w:tcBorders>
            <w:vAlign w:val="center"/>
            <w:hideMark/>
          </w:tcPr>
          <w:p w14:paraId="7D34710D" w14:textId="77777777" w:rsidR="001F5A79" w:rsidRPr="009C5807" w:rsidRDefault="001F5A79" w:rsidP="00330D9C">
            <w:pPr>
              <w:pStyle w:val="TAH"/>
            </w:pPr>
            <w:r w:rsidRPr="009C5807">
              <w:t>SCS</w:t>
            </w:r>
            <w:r w:rsidRPr="009C5807">
              <w:rPr>
                <w:vertAlign w:val="subscript"/>
              </w:rPr>
              <w:t>SSB</w:t>
            </w:r>
            <w:r w:rsidRPr="009C5807">
              <w:rPr>
                <w:rFonts w:cs="Arial"/>
              </w:rPr>
              <w:t xml:space="preserve"> = 240kHz</w:t>
            </w:r>
          </w:p>
        </w:tc>
        <w:tc>
          <w:tcPr>
            <w:tcW w:w="0" w:type="auto"/>
            <w:tcBorders>
              <w:left w:val="single" w:sz="6" w:space="0" w:color="auto"/>
              <w:bottom w:val="single" w:sz="6" w:space="0" w:color="auto"/>
              <w:right w:val="single" w:sz="6" w:space="0" w:color="auto"/>
            </w:tcBorders>
            <w:vAlign w:val="center"/>
            <w:hideMark/>
          </w:tcPr>
          <w:p w14:paraId="5FE1FD73" w14:textId="77777777" w:rsidR="001F5A79" w:rsidRPr="009C5807" w:rsidRDefault="001F5A79" w:rsidP="00330D9C">
            <w:pPr>
              <w:pStyle w:val="TAH"/>
            </w:pPr>
          </w:p>
        </w:tc>
        <w:tc>
          <w:tcPr>
            <w:tcW w:w="0" w:type="auto"/>
            <w:tcBorders>
              <w:left w:val="single" w:sz="6" w:space="0" w:color="auto"/>
              <w:bottom w:val="single" w:sz="6" w:space="0" w:color="auto"/>
              <w:right w:val="single" w:sz="4" w:space="0" w:color="auto"/>
            </w:tcBorders>
            <w:vAlign w:val="center"/>
            <w:hideMark/>
          </w:tcPr>
          <w:p w14:paraId="7BC51D2F" w14:textId="77777777" w:rsidR="001F5A79" w:rsidRPr="009C5807" w:rsidRDefault="001F5A79" w:rsidP="00330D9C">
            <w:pPr>
              <w:pStyle w:val="TAH"/>
            </w:pPr>
          </w:p>
        </w:tc>
      </w:tr>
      <w:tr w:rsidR="001F5A79" w:rsidRPr="009C5807" w14:paraId="6CE9F39D" w14:textId="77777777" w:rsidTr="00485F6E">
        <w:trPr>
          <w:jc w:val="center"/>
        </w:trPr>
        <w:tc>
          <w:tcPr>
            <w:tcW w:w="1111" w:type="dxa"/>
            <w:tcBorders>
              <w:top w:val="single" w:sz="6" w:space="0" w:color="auto"/>
              <w:left w:val="single" w:sz="4" w:space="0" w:color="auto"/>
              <w:bottom w:val="nil"/>
              <w:right w:val="single" w:sz="6" w:space="0" w:color="auto"/>
            </w:tcBorders>
            <w:hideMark/>
          </w:tcPr>
          <w:p w14:paraId="4195E078" w14:textId="77777777" w:rsidR="001F5A79" w:rsidRPr="009C5807" w:rsidRDefault="001F5A79" w:rsidP="00485F6E">
            <w:pPr>
              <w:pStyle w:val="TAC"/>
            </w:pPr>
            <w:r w:rsidRPr="009C5807">
              <w:rPr>
                <w:rFonts w:cs="Arial"/>
              </w:rPr>
              <w:t>±</w:t>
            </w:r>
            <w:r w:rsidRPr="009C5807">
              <w:t>6.5</w:t>
            </w:r>
          </w:p>
        </w:tc>
        <w:tc>
          <w:tcPr>
            <w:tcW w:w="1110" w:type="dxa"/>
            <w:tcBorders>
              <w:top w:val="single" w:sz="6" w:space="0" w:color="auto"/>
              <w:left w:val="single" w:sz="6" w:space="0" w:color="auto"/>
              <w:bottom w:val="nil"/>
              <w:right w:val="single" w:sz="4" w:space="0" w:color="auto"/>
            </w:tcBorders>
            <w:hideMark/>
          </w:tcPr>
          <w:p w14:paraId="2DD13728" w14:textId="77777777" w:rsidR="001F5A79" w:rsidRPr="009C5807" w:rsidRDefault="001F5A79" w:rsidP="00485F6E">
            <w:pPr>
              <w:pStyle w:val="TAC"/>
            </w:pPr>
            <w:r w:rsidRPr="009C5807">
              <w:rPr>
                <w:rFonts w:cs="Arial"/>
              </w:rPr>
              <w:t>±</w:t>
            </w:r>
            <w:r w:rsidRPr="009C5807">
              <w:t>9.5</w:t>
            </w:r>
          </w:p>
        </w:tc>
        <w:tc>
          <w:tcPr>
            <w:tcW w:w="1110" w:type="dxa"/>
            <w:tcBorders>
              <w:top w:val="single" w:sz="4" w:space="0" w:color="auto"/>
              <w:left w:val="single" w:sz="4" w:space="0" w:color="auto"/>
              <w:bottom w:val="single" w:sz="4" w:space="0" w:color="auto"/>
              <w:right w:val="single" w:sz="4" w:space="0" w:color="auto"/>
            </w:tcBorders>
            <w:hideMark/>
          </w:tcPr>
          <w:p w14:paraId="4E3DD205" w14:textId="77777777" w:rsidR="001F5A79" w:rsidRPr="009C5807" w:rsidRDefault="001F5A79" w:rsidP="00485F6E">
            <w:pPr>
              <w:pStyle w:val="TAC"/>
            </w:pPr>
            <w:r w:rsidRPr="009C5807">
              <w:rPr>
                <w:rFonts w:eastAsia="Yu Mincho" w:cs="Arial"/>
                <w:lang w:eastAsia="ja-JP"/>
              </w:rPr>
              <w:t>≥-3</w:t>
            </w:r>
          </w:p>
        </w:tc>
        <w:tc>
          <w:tcPr>
            <w:tcW w:w="2232" w:type="dxa"/>
            <w:gridSpan w:val="2"/>
            <w:tcBorders>
              <w:top w:val="single" w:sz="6" w:space="0" w:color="auto"/>
              <w:left w:val="single" w:sz="4" w:space="0" w:color="auto"/>
              <w:bottom w:val="single" w:sz="6" w:space="0" w:color="auto"/>
              <w:right w:val="single" w:sz="6" w:space="0" w:color="auto"/>
            </w:tcBorders>
            <w:hideMark/>
          </w:tcPr>
          <w:p w14:paraId="34AEF783" w14:textId="77777777" w:rsidR="001F5A79" w:rsidRPr="009C5807" w:rsidRDefault="001F5A79" w:rsidP="00485F6E">
            <w:pPr>
              <w:pStyle w:val="TAC"/>
              <w:rPr>
                <w:rFonts w:eastAsia="Yu Mincho"/>
                <w:lang w:eastAsia="ja-JP"/>
              </w:rPr>
            </w:pPr>
            <w:r w:rsidRPr="009C5807">
              <w:t>Same value as SSB_RP in Table B.2.4.1-2, according to UE Power class, operating band and angle of arrival</w:t>
            </w:r>
          </w:p>
        </w:tc>
        <w:tc>
          <w:tcPr>
            <w:tcW w:w="1578" w:type="dxa"/>
            <w:tcBorders>
              <w:top w:val="single" w:sz="6" w:space="0" w:color="auto"/>
              <w:left w:val="single" w:sz="6" w:space="0" w:color="auto"/>
              <w:bottom w:val="single" w:sz="6" w:space="0" w:color="auto"/>
              <w:right w:val="single" w:sz="6" w:space="0" w:color="auto"/>
            </w:tcBorders>
            <w:hideMark/>
          </w:tcPr>
          <w:p w14:paraId="375A336F" w14:textId="77777777" w:rsidR="001F5A79" w:rsidRPr="009C5807" w:rsidRDefault="001F5A79" w:rsidP="00485F6E">
            <w:pPr>
              <w:pStyle w:val="TAC"/>
            </w:pPr>
            <w:r w:rsidRPr="009C5807">
              <w:rPr>
                <w:lang w:eastAsia="zh-CN"/>
              </w:rPr>
              <w:t>N/A</w:t>
            </w:r>
          </w:p>
        </w:tc>
        <w:tc>
          <w:tcPr>
            <w:tcW w:w="1579" w:type="dxa"/>
            <w:tcBorders>
              <w:top w:val="single" w:sz="6" w:space="0" w:color="auto"/>
              <w:left w:val="single" w:sz="6" w:space="0" w:color="auto"/>
              <w:bottom w:val="single" w:sz="6" w:space="0" w:color="auto"/>
              <w:right w:val="single" w:sz="4" w:space="0" w:color="auto"/>
            </w:tcBorders>
            <w:hideMark/>
          </w:tcPr>
          <w:p w14:paraId="1A73F0CF" w14:textId="77777777" w:rsidR="001F5A79" w:rsidRPr="009C5807" w:rsidRDefault="001F5A79" w:rsidP="00485F6E">
            <w:pPr>
              <w:pStyle w:val="TAC"/>
            </w:pPr>
            <w:r w:rsidRPr="009C5807">
              <w:t>-70</w:t>
            </w:r>
          </w:p>
        </w:tc>
      </w:tr>
      <w:tr w:rsidR="001F5A79" w:rsidRPr="009C5807" w14:paraId="40A4AF43" w14:textId="77777777" w:rsidTr="00485F6E">
        <w:trPr>
          <w:jc w:val="center"/>
        </w:trPr>
        <w:tc>
          <w:tcPr>
            <w:tcW w:w="1111" w:type="dxa"/>
            <w:tcBorders>
              <w:top w:val="single" w:sz="6" w:space="0" w:color="auto"/>
              <w:left w:val="single" w:sz="4" w:space="0" w:color="auto"/>
              <w:bottom w:val="single" w:sz="6" w:space="0" w:color="auto"/>
              <w:right w:val="single" w:sz="6" w:space="0" w:color="auto"/>
            </w:tcBorders>
            <w:hideMark/>
          </w:tcPr>
          <w:p w14:paraId="6633B3A3" w14:textId="77777777" w:rsidR="001F5A79" w:rsidRPr="009C5807" w:rsidRDefault="001F5A79" w:rsidP="00485F6E">
            <w:pPr>
              <w:pStyle w:val="TAC"/>
            </w:pPr>
            <w:r w:rsidRPr="009C5807">
              <w:sym w:font="Symbol" w:char="F0B1"/>
            </w:r>
            <w:r w:rsidRPr="009C5807">
              <w:t>8.5</w:t>
            </w:r>
          </w:p>
        </w:tc>
        <w:tc>
          <w:tcPr>
            <w:tcW w:w="1110" w:type="dxa"/>
            <w:tcBorders>
              <w:top w:val="single" w:sz="6" w:space="0" w:color="auto"/>
              <w:left w:val="single" w:sz="6" w:space="0" w:color="auto"/>
              <w:bottom w:val="single" w:sz="6" w:space="0" w:color="auto"/>
              <w:right w:val="single" w:sz="6" w:space="0" w:color="auto"/>
            </w:tcBorders>
            <w:hideMark/>
          </w:tcPr>
          <w:p w14:paraId="687F59BE" w14:textId="77777777" w:rsidR="001F5A79" w:rsidRPr="009C5807" w:rsidRDefault="001F5A79" w:rsidP="00485F6E">
            <w:pPr>
              <w:pStyle w:val="TAC"/>
            </w:pPr>
            <w:r w:rsidRPr="009C5807">
              <w:sym w:font="Symbol" w:char="F0B1"/>
            </w:r>
            <w:r w:rsidRPr="009C5807">
              <w:t>11.5</w:t>
            </w:r>
          </w:p>
        </w:tc>
        <w:tc>
          <w:tcPr>
            <w:tcW w:w="1110" w:type="dxa"/>
            <w:tcBorders>
              <w:top w:val="single" w:sz="4" w:space="0" w:color="auto"/>
              <w:left w:val="single" w:sz="4" w:space="0" w:color="auto"/>
              <w:bottom w:val="single" w:sz="6" w:space="0" w:color="auto"/>
              <w:right w:val="single" w:sz="4" w:space="0" w:color="auto"/>
            </w:tcBorders>
            <w:hideMark/>
          </w:tcPr>
          <w:p w14:paraId="78A2AC94" w14:textId="77777777" w:rsidR="001F5A79" w:rsidRPr="009C5807" w:rsidRDefault="001F5A79" w:rsidP="00485F6E">
            <w:pPr>
              <w:pStyle w:val="TAC"/>
            </w:pPr>
            <w:r w:rsidRPr="009C5807">
              <w:rPr>
                <w:rFonts w:eastAsia="Yu Mincho" w:cs="Arial"/>
                <w:lang w:eastAsia="ja-JP"/>
              </w:rPr>
              <w:t>≥-3</w:t>
            </w:r>
          </w:p>
        </w:tc>
        <w:tc>
          <w:tcPr>
            <w:tcW w:w="2232" w:type="dxa"/>
            <w:gridSpan w:val="2"/>
            <w:tcBorders>
              <w:top w:val="single" w:sz="6" w:space="0" w:color="auto"/>
              <w:left w:val="single" w:sz="4" w:space="0" w:color="auto"/>
              <w:bottom w:val="single" w:sz="6" w:space="0" w:color="auto"/>
              <w:right w:val="single" w:sz="6" w:space="0" w:color="auto"/>
            </w:tcBorders>
            <w:hideMark/>
          </w:tcPr>
          <w:p w14:paraId="13C3B2D0" w14:textId="77777777" w:rsidR="001F5A79" w:rsidRPr="009C5807" w:rsidRDefault="001F5A79" w:rsidP="00485F6E">
            <w:pPr>
              <w:pStyle w:val="TAC"/>
            </w:pPr>
            <w:r w:rsidRPr="009C5807">
              <w:t>N/A</w:t>
            </w:r>
          </w:p>
        </w:tc>
        <w:tc>
          <w:tcPr>
            <w:tcW w:w="1578" w:type="dxa"/>
            <w:tcBorders>
              <w:top w:val="single" w:sz="6" w:space="0" w:color="auto"/>
              <w:left w:val="single" w:sz="6" w:space="0" w:color="auto"/>
              <w:bottom w:val="single" w:sz="6" w:space="0" w:color="auto"/>
              <w:right w:val="single" w:sz="6" w:space="0" w:color="auto"/>
            </w:tcBorders>
            <w:hideMark/>
          </w:tcPr>
          <w:p w14:paraId="55AF9194" w14:textId="77777777" w:rsidR="001F5A79" w:rsidRPr="009C5807" w:rsidRDefault="001F5A79" w:rsidP="00485F6E">
            <w:pPr>
              <w:pStyle w:val="TAC"/>
            </w:pPr>
            <w:r w:rsidRPr="009C5807">
              <w:t>-70</w:t>
            </w:r>
          </w:p>
        </w:tc>
        <w:tc>
          <w:tcPr>
            <w:tcW w:w="1579" w:type="dxa"/>
            <w:tcBorders>
              <w:top w:val="single" w:sz="6" w:space="0" w:color="auto"/>
              <w:left w:val="single" w:sz="6" w:space="0" w:color="auto"/>
              <w:bottom w:val="single" w:sz="6" w:space="0" w:color="auto"/>
              <w:right w:val="single" w:sz="4" w:space="0" w:color="auto"/>
            </w:tcBorders>
            <w:hideMark/>
          </w:tcPr>
          <w:p w14:paraId="4B70C790" w14:textId="77777777" w:rsidR="001F5A79" w:rsidRPr="009C5807" w:rsidRDefault="001F5A79" w:rsidP="00485F6E">
            <w:pPr>
              <w:pStyle w:val="TAC"/>
            </w:pPr>
            <w:r w:rsidRPr="009C5807">
              <w:t>-50</w:t>
            </w:r>
          </w:p>
        </w:tc>
      </w:tr>
      <w:tr w:rsidR="001F5A79" w:rsidRPr="009C5807" w14:paraId="22BF1BD5" w14:textId="77777777" w:rsidTr="00DF3064">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08E46FEA" w14:textId="77777777" w:rsidR="001F5A79" w:rsidRPr="009C5807" w:rsidRDefault="001F5A79" w:rsidP="00330D9C">
            <w:pPr>
              <w:pStyle w:val="TAN"/>
            </w:pPr>
            <w:r w:rsidRPr="009C5807">
              <w:t>NOTE 1:</w:t>
            </w:r>
            <w:r w:rsidRPr="009C5807">
              <w:tab/>
              <w:t xml:space="preserve">Io </w:t>
            </w:r>
            <w:r w:rsidRPr="009C5807">
              <w:rPr>
                <w:rFonts w:eastAsia="MS Mincho"/>
              </w:rPr>
              <w:t>specified at the Reference point, and</w:t>
            </w:r>
            <w:r w:rsidRPr="009C5807">
              <w:t xml:space="preserve"> assumed to have constant EPRE across the bandwidth.</w:t>
            </w:r>
          </w:p>
          <w:p w14:paraId="3EA61DEE" w14:textId="77777777" w:rsidR="001F5A79" w:rsidRPr="009C5807" w:rsidRDefault="001F5A79" w:rsidP="00330D9C">
            <w:pPr>
              <w:pStyle w:val="TAN"/>
            </w:pPr>
            <w:r w:rsidRPr="009C5807">
              <w:t>NOTE 2:</w:t>
            </w:r>
            <w:r w:rsidRPr="009C5807">
              <w:tab/>
              <w:t>Values based on Refsens and EIS spherical coverage as defined in clauses 7.3.2 and 7.3.4 of TS 38.101-2 [19]. Applicable side condition selected depending on angle of arrival.</w:t>
            </w:r>
          </w:p>
          <w:p w14:paraId="05D6F69A" w14:textId="77777777" w:rsidR="001F5A79" w:rsidRPr="009C5807" w:rsidRDefault="001F5A79" w:rsidP="00330D9C">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189B8276" w14:textId="77777777" w:rsidR="001F5A79" w:rsidRPr="009C5807" w:rsidRDefault="001F5A79" w:rsidP="001F5A79">
      <w:pPr>
        <w:rPr>
          <w:lang w:eastAsia="zh-CN"/>
        </w:rPr>
      </w:pPr>
    </w:p>
    <w:p w14:paraId="20E8B8AB" w14:textId="77777777" w:rsidR="001F5A79" w:rsidRPr="009C5807" w:rsidRDefault="001F5A79" w:rsidP="00B018D8">
      <w:pPr>
        <w:pStyle w:val="Heading5"/>
      </w:pPr>
      <w:r w:rsidRPr="009C5807">
        <w:t>10.1.20.1.2</w:t>
      </w:r>
      <w:r w:rsidRPr="009C5807">
        <w:tab/>
        <w:t>Relative Accuracy</w:t>
      </w:r>
    </w:p>
    <w:p w14:paraId="1B013CC2" w14:textId="2D94C378" w:rsidR="001F5A79" w:rsidRPr="009C5807" w:rsidRDefault="006A7CB9" w:rsidP="001F5A79">
      <w:pPr>
        <w:rPr>
          <w:rFonts w:cs="v4.2.0"/>
          <w:i/>
        </w:rPr>
      </w:pPr>
      <w:r w:rsidRPr="009C5807">
        <w:rPr>
          <w:rFonts w:cs="v4.2.0"/>
        </w:rPr>
        <w:t xml:space="preserve">The relative accuracy of </w:t>
      </w:r>
      <w:r w:rsidRPr="009C5807">
        <w:rPr>
          <w:rFonts w:cs="v4.2.0"/>
          <w:lang w:eastAsia="zh-CN"/>
        </w:rPr>
        <w:t>SSB based L1-</w:t>
      </w:r>
      <w:r w:rsidRPr="009C5807">
        <w:rPr>
          <w:rFonts w:cs="v4.2.0"/>
        </w:rPr>
        <w:t xml:space="preserve">RSRP is defined as the </w:t>
      </w:r>
      <w:r w:rsidRPr="009C5807">
        <w:rPr>
          <w:rFonts w:cs="v4.2.0"/>
          <w:lang w:eastAsia="zh-CN"/>
        </w:rPr>
        <w:t>L1-</w:t>
      </w:r>
      <w:r w:rsidRPr="009C5807">
        <w:rPr>
          <w:rFonts w:cs="v4.2.0"/>
        </w:rPr>
        <w:t xml:space="preserve">RSRP measured from one SSB compared to the </w:t>
      </w:r>
      <w:r w:rsidRPr="009C5807">
        <w:rPr>
          <w:lang w:val="en-US"/>
        </w:rPr>
        <w:t>largest measured value of L1-RSRP among all SSBs of the cell</w:t>
      </w:r>
      <w:r>
        <w:rPr>
          <w:lang w:val="en-US"/>
        </w:rPr>
        <w:t xml:space="preserve"> </w:t>
      </w:r>
      <w:r>
        <w:rPr>
          <w:lang w:val="en-US" w:eastAsia="zh-CN"/>
        </w:rPr>
        <w:t>(serving cell or cell with different PCI from serving cell)</w:t>
      </w:r>
      <w:r>
        <w:rPr>
          <w:lang w:val="en-US"/>
        </w:rPr>
        <w:t xml:space="preserve"> on which UE performs L1-RSRP measurements</w:t>
      </w:r>
      <w:r w:rsidRPr="009C5807">
        <w:rPr>
          <w:rFonts w:cs="v4.2.0"/>
        </w:rPr>
        <w:t>.</w:t>
      </w:r>
    </w:p>
    <w:p w14:paraId="1984A0A4" w14:textId="77777777" w:rsidR="001F5A79" w:rsidRPr="009C5807" w:rsidRDefault="001F5A79" w:rsidP="001F5A79">
      <w:pPr>
        <w:rPr>
          <w:rFonts w:cs="v4.2.0"/>
        </w:rPr>
      </w:pPr>
      <w:r w:rsidRPr="009C5807">
        <w:rPr>
          <w:rFonts w:cs="v4.2.0"/>
        </w:rPr>
        <w:t xml:space="preserve">The accuracy requirements in Table </w:t>
      </w:r>
      <w:r w:rsidRPr="009C5807">
        <w:rPr>
          <w:lang w:eastAsia="zh-CN"/>
        </w:rPr>
        <w:t>10.1.20</w:t>
      </w:r>
      <w:r w:rsidRPr="009C5807">
        <w:t>.1</w:t>
      </w:r>
      <w:r w:rsidRPr="009C5807">
        <w:rPr>
          <w:lang w:eastAsia="zh-CN"/>
        </w:rPr>
        <w:t>.2</w:t>
      </w:r>
      <w:r w:rsidRPr="009C5807">
        <w:rPr>
          <w:rFonts w:cs="v4.2.0"/>
        </w:rPr>
        <w:t>-1 are valid under the following conditions:</w:t>
      </w:r>
    </w:p>
    <w:p w14:paraId="101375F8" w14:textId="77777777" w:rsidR="001F5A79" w:rsidRPr="009C5807" w:rsidRDefault="001F5A79" w:rsidP="0093237A">
      <w:pPr>
        <w:pStyle w:val="B10"/>
        <w:rPr>
          <w:rFonts w:cs="v4.2.0"/>
          <w:lang w:eastAsia="zh-CN"/>
        </w:rPr>
      </w:pPr>
      <w:r w:rsidRPr="009C5807">
        <w:t>-</w:t>
      </w:r>
      <w:r w:rsidRPr="009C5807">
        <w:tab/>
        <w:t>Conditions defined in clause 7.3 of TS 38.101-2 [19] for reference sensitivity are fulfilled.</w:t>
      </w:r>
    </w:p>
    <w:p w14:paraId="55A15C05" w14:textId="77777777" w:rsidR="001F5A79" w:rsidRPr="009C5807" w:rsidRDefault="001F5A79" w:rsidP="0093237A">
      <w:pPr>
        <w:pStyle w:val="B10"/>
      </w:pPr>
      <w:r w:rsidRPr="009C5807">
        <w:t>-</w:t>
      </w:r>
      <w:r w:rsidRPr="009C5807">
        <w:tab/>
        <w:t>Conditions for L1-RSRP measurements are fulfilled according to Annex B.2.4.1 for a corresponding Band for each relevant SSB.</w:t>
      </w:r>
    </w:p>
    <w:p w14:paraId="2A541D1C" w14:textId="77777777" w:rsidR="001F5A79" w:rsidRPr="009C5807" w:rsidRDefault="001F5A79" w:rsidP="0093237A">
      <w:pPr>
        <w:pStyle w:val="B10"/>
      </w:pPr>
      <w:r w:rsidRPr="009C5807">
        <w:t>-</w:t>
      </w:r>
      <w:r w:rsidRPr="009C5807">
        <w:tab/>
        <w:t>The measured signals are in the directions covered by the percentile EIS spherical coverage of the UE, defined in clause 7.3.4 of TS 38.101-2 [19].</w:t>
      </w:r>
    </w:p>
    <w:p w14:paraId="77ED8739" w14:textId="77777777" w:rsidR="001F5A79" w:rsidRPr="009C5807" w:rsidRDefault="001F5A79" w:rsidP="0093237A">
      <w:pPr>
        <w:pStyle w:val="TH"/>
      </w:pPr>
      <w:r w:rsidRPr="009C5807">
        <w:t>Table 10.1.20.1.2-1: SSB based L1-RSRP relative accuracy in FR2</w:t>
      </w:r>
    </w:p>
    <w:tbl>
      <w:tblPr>
        <w:tblW w:w="7019" w:type="dxa"/>
        <w:jc w:val="center"/>
        <w:tblLook w:val="01E0" w:firstRow="1" w:lastRow="1" w:firstColumn="1" w:lastColumn="1" w:noHBand="0" w:noVBand="0"/>
      </w:tblPr>
      <w:tblGrid>
        <w:gridCol w:w="1030"/>
        <w:gridCol w:w="1029"/>
        <w:gridCol w:w="1029"/>
        <w:gridCol w:w="1224"/>
        <w:gridCol w:w="1224"/>
        <w:gridCol w:w="1483"/>
      </w:tblGrid>
      <w:tr w:rsidR="001F5A79" w:rsidRPr="009C5807" w14:paraId="60E0972A" w14:textId="77777777" w:rsidTr="00DF3064">
        <w:trPr>
          <w:jc w:val="center"/>
        </w:trPr>
        <w:tc>
          <w:tcPr>
            <w:tcW w:w="2059" w:type="dxa"/>
            <w:gridSpan w:val="2"/>
            <w:tcBorders>
              <w:top w:val="single" w:sz="6" w:space="0" w:color="auto"/>
              <w:left w:val="single" w:sz="4" w:space="0" w:color="auto"/>
              <w:bottom w:val="nil"/>
              <w:right w:val="single" w:sz="6" w:space="0" w:color="auto"/>
            </w:tcBorders>
            <w:vAlign w:val="center"/>
            <w:hideMark/>
          </w:tcPr>
          <w:p w14:paraId="6E697D8E" w14:textId="77777777" w:rsidR="001F5A79" w:rsidRPr="009C5807" w:rsidRDefault="001F5A79" w:rsidP="00330D9C">
            <w:pPr>
              <w:pStyle w:val="TAH"/>
            </w:pPr>
            <w:r w:rsidRPr="009C5807">
              <w:t>Accuracy</w:t>
            </w:r>
          </w:p>
        </w:tc>
        <w:tc>
          <w:tcPr>
            <w:tcW w:w="4960" w:type="dxa"/>
            <w:gridSpan w:val="4"/>
            <w:tcBorders>
              <w:top w:val="single" w:sz="6" w:space="0" w:color="auto"/>
              <w:left w:val="single" w:sz="4" w:space="0" w:color="auto"/>
              <w:bottom w:val="nil"/>
              <w:right w:val="single" w:sz="4" w:space="0" w:color="auto"/>
            </w:tcBorders>
            <w:vAlign w:val="center"/>
            <w:hideMark/>
          </w:tcPr>
          <w:p w14:paraId="6002A77F" w14:textId="77777777" w:rsidR="001F5A79" w:rsidRPr="009C5807" w:rsidRDefault="001F5A79" w:rsidP="00330D9C">
            <w:pPr>
              <w:pStyle w:val="TAH"/>
            </w:pPr>
            <w:r w:rsidRPr="009C5807">
              <w:t>Conditions</w:t>
            </w:r>
          </w:p>
        </w:tc>
      </w:tr>
      <w:tr w:rsidR="001F5A79" w:rsidRPr="009C5807" w14:paraId="37059BBA" w14:textId="77777777" w:rsidTr="00330D9C">
        <w:trPr>
          <w:jc w:val="center"/>
        </w:trPr>
        <w:tc>
          <w:tcPr>
            <w:tcW w:w="1030" w:type="dxa"/>
            <w:tcBorders>
              <w:top w:val="single" w:sz="6" w:space="0" w:color="auto"/>
              <w:left w:val="single" w:sz="4" w:space="0" w:color="auto"/>
              <w:right w:val="single" w:sz="6" w:space="0" w:color="auto"/>
            </w:tcBorders>
            <w:vAlign w:val="center"/>
            <w:hideMark/>
          </w:tcPr>
          <w:p w14:paraId="231412E8" w14:textId="77777777" w:rsidR="001F5A79" w:rsidRPr="009C5807" w:rsidRDefault="001F5A79" w:rsidP="00330D9C">
            <w:pPr>
              <w:pStyle w:val="TAH"/>
            </w:pPr>
            <w:r w:rsidRPr="009C5807">
              <w:t>Normal condition</w:t>
            </w:r>
          </w:p>
        </w:tc>
        <w:tc>
          <w:tcPr>
            <w:tcW w:w="1029" w:type="dxa"/>
            <w:tcBorders>
              <w:top w:val="single" w:sz="6" w:space="0" w:color="auto"/>
              <w:left w:val="single" w:sz="6" w:space="0" w:color="auto"/>
              <w:right w:val="single" w:sz="6" w:space="0" w:color="auto"/>
            </w:tcBorders>
            <w:vAlign w:val="center"/>
            <w:hideMark/>
          </w:tcPr>
          <w:p w14:paraId="5426104B" w14:textId="77777777" w:rsidR="001F5A79" w:rsidRPr="009C5807" w:rsidRDefault="001F5A79" w:rsidP="00330D9C">
            <w:pPr>
              <w:pStyle w:val="TAH"/>
            </w:pPr>
            <w:r w:rsidRPr="009C5807">
              <w:t>Extreme condition</w:t>
            </w:r>
          </w:p>
        </w:tc>
        <w:tc>
          <w:tcPr>
            <w:tcW w:w="1029" w:type="dxa"/>
            <w:tcBorders>
              <w:top w:val="single" w:sz="6" w:space="0" w:color="auto"/>
              <w:left w:val="single" w:sz="4" w:space="0" w:color="auto"/>
              <w:right w:val="single" w:sz="4" w:space="0" w:color="auto"/>
            </w:tcBorders>
            <w:hideMark/>
          </w:tcPr>
          <w:p w14:paraId="534BE80F" w14:textId="77777777" w:rsidR="001F5A79" w:rsidRPr="009C5807" w:rsidRDefault="001F5A79" w:rsidP="00330D9C">
            <w:pPr>
              <w:pStyle w:val="TAH"/>
            </w:pPr>
            <w:r w:rsidRPr="009C5807">
              <w:rPr>
                <w:rFonts w:cs="Arial"/>
              </w:rPr>
              <w:t>SSB Ês/Iot</w:t>
            </w:r>
          </w:p>
        </w:tc>
        <w:tc>
          <w:tcPr>
            <w:tcW w:w="3931" w:type="dxa"/>
            <w:gridSpan w:val="3"/>
            <w:tcBorders>
              <w:top w:val="single" w:sz="6" w:space="0" w:color="auto"/>
              <w:left w:val="single" w:sz="4" w:space="0" w:color="auto"/>
              <w:bottom w:val="single" w:sz="6" w:space="0" w:color="auto"/>
              <w:right w:val="single" w:sz="4" w:space="0" w:color="auto"/>
            </w:tcBorders>
            <w:vAlign w:val="center"/>
            <w:hideMark/>
          </w:tcPr>
          <w:p w14:paraId="221266FC" w14:textId="77777777" w:rsidR="001F5A79" w:rsidRPr="009C5807" w:rsidRDefault="001F5A79" w:rsidP="00330D9C">
            <w:pPr>
              <w:pStyle w:val="TAH"/>
            </w:pPr>
            <w:r w:rsidRPr="009C5807">
              <w:t>Io</w:t>
            </w:r>
            <w:r w:rsidRPr="009C5807">
              <w:rPr>
                <w:vertAlign w:val="superscript"/>
              </w:rPr>
              <w:t xml:space="preserve"> Note 1</w:t>
            </w:r>
            <w:r w:rsidRPr="009C5807">
              <w:t xml:space="preserve"> range</w:t>
            </w:r>
          </w:p>
        </w:tc>
      </w:tr>
      <w:tr w:rsidR="001F5A79" w:rsidRPr="009C5807" w14:paraId="0765BE87" w14:textId="77777777" w:rsidTr="00330D9C">
        <w:trPr>
          <w:jc w:val="center"/>
        </w:trPr>
        <w:tc>
          <w:tcPr>
            <w:tcW w:w="0" w:type="auto"/>
            <w:tcBorders>
              <w:left w:val="single" w:sz="4" w:space="0" w:color="auto"/>
              <w:bottom w:val="single" w:sz="6" w:space="0" w:color="auto"/>
              <w:right w:val="single" w:sz="6" w:space="0" w:color="auto"/>
            </w:tcBorders>
            <w:vAlign w:val="center"/>
            <w:hideMark/>
          </w:tcPr>
          <w:p w14:paraId="6D3401AA" w14:textId="77777777" w:rsidR="001F5A79" w:rsidRPr="009C5807" w:rsidRDefault="001F5A79" w:rsidP="00330D9C">
            <w:pPr>
              <w:pStyle w:val="TAH"/>
            </w:pPr>
          </w:p>
        </w:tc>
        <w:tc>
          <w:tcPr>
            <w:tcW w:w="0" w:type="auto"/>
            <w:tcBorders>
              <w:left w:val="single" w:sz="6" w:space="0" w:color="auto"/>
              <w:bottom w:val="single" w:sz="6" w:space="0" w:color="auto"/>
              <w:right w:val="single" w:sz="6" w:space="0" w:color="auto"/>
            </w:tcBorders>
            <w:vAlign w:val="center"/>
            <w:hideMark/>
          </w:tcPr>
          <w:p w14:paraId="7F30C174" w14:textId="77777777" w:rsidR="001F5A79" w:rsidRPr="009C5807" w:rsidRDefault="001F5A79" w:rsidP="00330D9C">
            <w:pPr>
              <w:pStyle w:val="TAH"/>
            </w:pPr>
          </w:p>
        </w:tc>
        <w:tc>
          <w:tcPr>
            <w:tcW w:w="0" w:type="auto"/>
            <w:tcBorders>
              <w:left w:val="single" w:sz="4" w:space="0" w:color="auto"/>
              <w:bottom w:val="single" w:sz="6" w:space="0" w:color="auto"/>
              <w:right w:val="single" w:sz="4" w:space="0" w:color="auto"/>
            </w:tcBorders>
            <w:vAlign w:val="center"/>
            <w:hideMark/>
          </w:tcPr>
          <w:p w14:paraId="0C7A7229" w14:textId="77777777" w:rsidR="001F5A79" w:rsidRPr="009C5807" w:rsidRDefault="001F5A79" w:rsidP="00330D9C">
            <w:pPr>
              <w:pStyle w:val="TAH"/>
            </w:pPr>
          </w:p>
        </w:tc>
        <w:tc>
          <w:tcPr>
            <w:tcW w:w="2448" w:type="dxa"/>
            <w:gridSpan w:val="2"/>
            <w:tcBorders>
              <w:top w:val="single" w:sz="6" w:space="0" w:color="auto"/>
              <w:left w:val="single" w:sz="4" w:space="0" w:color="auto"/>
              <w:bottom w:val="single" w:sz="6" w:space="0" w:color="auto"/>
              <w:right w:val="single" w:sz="6" w:space="0" w:color="auto"/>
            </w:tcBorders>
            <w:vAlign w:val="center"/>
            <w:hideMark/>
          </w:tcPr>
          <w:p w14:paraId="507A3B7A" w14:textId="77777777" w:rsidR="001F5A79" w:rsidRPr="009C5807" w:rsidRDefault="001F5A79" w:rsidP="00330D9C">
            <w:pPr>
              <w:pStyle w:val="TAH"/>
              <w:rPr>
                <w:rFonts w:cs="Arial"/>
              </w:rPr>
            </w:pPr>
            <w:r w:rsidRPr="009C5807">
              <w:t>Minimum Io</w:t>
            </w:r>
          </w:p>
        </w:tc>
        <w:tc>
          <w:tcPr>
            <w:tcW w:w="1483" w:type="dxa"/>
            <w:tcBorders>
              <w:top w:val="single" w:sz="6" w:space="0" w:color="auto"/>
              <w:left w:val="single" w:sz="6" w:space="0" w:color="auto"/>
              <w:bottom w:val="nil"/>
              <w:right w:val="single" w:sz="4" w:space="0" w:color="auto"/>
            </w:tcBorders>
            <w:vAlign w:val="center"/>
            <w:hideMark/>
          </w:tcPr>
          <w:p w14:paraId="7C489414" w14:textId="77777777" w:rsidR="001F5A79" w:rsidRPr="009C5807" w:rsidRDefault="001F5A79" w:rsidP="00330D9C">
            <w:pPr>
              <w:pStyle w:val="TAH"/>
            </w:pPr>
            <w:r w:rsidRPr="009C5807">
              <w:t>Maximum Io</w:t>
            </w:r>
          </w:p>
        </w:tc>
      </w:tr>
      <w:tr w:rsidR="001F5A79" w:rsidRPr="009C5807" w14:paraId="4DF957AD" w14:textId="77777777" w:rsidTr="00330D9C">
        <w:trPr>
          <w:jc w:val="center"/>
        </w:trPr>
        <w:tc>
          <w:tcPr>
            <w:tcW w:w="1030" w:type="dxa"/>
            <w:tcBorders>
              <w:top w:val="single" w:sz="6" w:space="0" w:color="auto"/>
              <w:left w:val="single" w:sz="4" w:space="0" w:color="auto"/>
              <w:right w:val="single" w:sz="6" w:space="0" w:color="auto"/>
            </w:tcBorders>
            <w:vAlign w:val="center"/>
            <w:hideMark/>
          </w:tcPr>
          <w:p w14:paraId="654AECE0" w14:textId="77777777" w:rsidR="001F5A79" w:rsidRPr="009C5807" w:rsidRDefault="001F5A79" w:rsidP="00330D9C">
            <w:pPr>
              <w:pStyle w:val="TAH"/>
            </w:pPr>
            <w:r w:rsidRPr="009C5807">
              <w:t>dB</w:t>
            </w:r>
          </w:p>
        </w:tc>
        <w:tc>
          <w:tcPr>
            <w:tcW w:w="1029" w:type="dxa"/>
            <w:tcBorders>
              <w:top w:val="single" w:sz="6" w:space="0" w:color="auto"/>
              <w:left w:val="single" w:sz="6" w:space="0" w:color="auto"/>
              <w:right w:val="single" w:sz="6" w:space="0" w:color="auto"/>
            </w:tcBorders>
            <w:vAlign w:val="center"/>
            <w:hideMark/>
          </w:tcPr>
          <w:p w14:paraId="066E312F" w14:textId="77777777" w:rsidR="001F5A79" w:rsidRPr="009C5807" w:rsidRDefault="001F5A79" w:rsidP="00330D9C">
            <w:pPr>
              <w:pStyle w:val="TAH"/>
            </w:pPr>
            <w:r w:rsidRPr="009C5807">
              <w:t>dB</w:t>
            </w:r>
          </w:p>
        </w:tc>
        <w:tc>
          <w:tcPr>
            <w:tcW w:w="1029" w:type="dxa"/>
            <w:tcBorders>
              <w:top w:val="single" w:sz="6" w:space="0" w:color="auto"/>
              <w:left w:val="single" w:sz="4" w:space="0" w:color="auto"/>
              <w:right w:val="single" w:sz="4" w:space="0" w:color="auto"/>
            </w:tcBorders>
            <w:vAlign w:val="center"/>
            <w:hideMark/>
          </w:tcPr>
          <w:p w14:paraId="4C618974" w14:textId="77777777" w:rsidR="001F5A79" w:rsidRPr="009C5807" w:rsidRDefault="001F5A79" w:rsidP="00330D9C">
            <w:pPr>
              <w:pStyle w:val="TAH"/>
              <w:rPr>
                <w:rFonts w:cs="Arial"/>
              </w:rPr>
            </w:pPr>
            <w:r w:rsidRPr="009C5807">
              <w:t>dB</w:t>
            </w:r>
          </w:p>
        </w:tc>
        <w:tc>
          <w:tcPr>
            <w:tcW w:w="2448" w:type="dxa"/>
            <w:gridSpan w:val="2"/>
            <w:tcBorders>
              <w:top w:val="single" w:sz="6" w:space="0" w:color="auto"/>
              <w:left w:val="single" w:sz="4" w:space="0" w:color="auto"/>
              <w:bottom w:val="single" w:sz="6" w:space="0" w:color="auto"/>
              <w:right w:val="single" w:sz="6" w:space="0" w:color="auto"/>
            </w:tcBorders>
            <w:vAlign w:val="center"/>
            <w:hideMark/>
          </w:tcPr>
          <w:p w14:paraId="54E2F584" w14:textId="77777777" w:rsidR="001F5A79" w:rsidRPr="009C5807" w:rsidRDefault="001F5A79" w:rsidP="00330D9C">
            <w:pPr>
              <w:pStyle w:val="TAH"/>
            </w:pPr>
            <w:r w:rsidRPr="009C5807">
              <w:rPr>
                <w:rFonts w:cs="Arial"/>
              </w:rPr>
              <w:t xml:space="preserve">dBm / </w:t>
            </w:r>
            <w:r w:rsidRPr="009C5807">
              <w:t>SCS</w:t>
            </w:r>
            <w:r w:rsidRPr="009C5807">
              <w:rPr>
                <w:vertAlign w:val="subscript"/>
              </w:rPr>
              <w:t>SSB</w:t>
            </w:r>
            <w:r w:rsidRPr="009C5807">
              <w:rPr>
                <w:vertAlign w:val="superscript"/>
              </w:rPr>
              <w:t xml:space="preserve"> Note 3</w:t>
            </w:r>
          </w:p>
        </w:tc>
        <w:tc>
          <w:tcPr>
            <w:tcW w:w="1483" w:type="dxa"/>
            <w:tcBorders>
              <w:top w:val="single" w:sz="6" w:space="0" w:color="auto"/>
              <w:left w:val="single" w:sz="6" w:space="0" w:color="auto"/>
              <w:right w:val="single" w:sz="4" w:space="0" w:color="auto"/>
            </w:tcBorders>
            <w:vAlign w:val="center"/>
            <w:hideMark/>
          </w:tcPr>
          <w:p w14:paraId="21F1A2A5" w14:textId="77777777" w:rsidR="001F5A79" w:rsidRPr="009C5807" w:rsidRDefault="001F5A79" w:rsidP="00330D9C">
            <w:pPr>
              <w:pStyle w:val="TAH"/>
            </w:pPr>
            <w:r w:rsidRPr="009C5807">
              <w:t>dBm/BW</w:t>
            </w:r>
            <w:r w:rsidRPr="009C5807">
              <w:rPr>
                <w:vertAlign w:val="subscript"/>
              </w:rPr>
              <w:t>Channel</w:t>
            </w:r>
          </w:p>
        </w:tc>
      </w:tr>
      <w:tr w:rsidR="001F5A79" w:rsidRPr="009C5807" w14:paraId="35C4A170" w14:textId="77777777" w:rsidTr="00485F6E">
        <w:trPr>
          <w:jc w:val="center"/>
        </w:trPr>
        <w:tc>
          <w:tcPr>
            <w:tcW w:w="0" w:type="auto"/>
            <w:tcBorders>
              <w:left w:val="single" w:sz="4" w:space="0" w:color="auto"/>
              <w:bottom w:val="single" w:sz="6" w:space="0" w:color="auto"/>
              <w:right w:val="single" w:sz="6" w:space="0" w:color="auto"/>
            </w:tcBorders>
            <w:hideMark/>
          </w:tcPr>
          <w:p w14:paraId="71A5697A" w14:textId="77777777" w:rsidR="001F5A79" w:rsidRPr="009C5807" w:rsidRDefault="001F5A79" w:rsidP="00485F6E">
            <w:pPr>
              <w:pStyle w:val="TAH"/>
            </w:pPr>
          </w:p>
        </w:tc>
        <w:tc>
          <w:tcPr>
            <w:tcW w:w="0" w:type="auto"/>
            <w:tcBorders>
              <w:left w:val="single" w:sz="6" w:space="0" w:color="auto"/>
              <w:bottom w:val="single" w:sz="6" w:space="0" w:color="auto"/>
              <w:right w:val="single" w:sz="6" w:space="0" w:color="auto"/>
            </w:tcBorders>
            <w:hideMark/>
          </w:tcPr>
          <w:p w14:paraId="71CC6128" w14:textId="77777777" w:rsidR="001F5A79" w:rsidRPr="009C5807" w:rsidRDefault="001F5A79" w:rsidP="00485F6E">
            <w:pPr>
              <w:pStyle w:val="TAH"/>
            </w:pPr>
          </w:p>
        </w:tc>
        <w:tc>
          <w:tcPr>
            <w:tcW w:w="0" w:type="auto"/>
            <w:tcBorders>
              <w:left w:val="single" w:sz="4" w:space="0" w:color="auto"/>
              <w:bottom w:val="single" w:sz="6" w:space="0" w:color="auto"/>
              <w:right w:val="single" w:sz="4" w:space="0" w:color="auto"/>
            </w:tcBorders>
            <w:hideMark/>
          </w:tcPr>
          <w:p w14:paraId="48B834D7" w14:textId="77777777" w:rsidR="001F5A79" w:rsidRPr="009C5807" w:rsidRDefault="001F5A79" w:rsidP="00485F6E">
            <w:pPr>
              <w:pStyle w:val="TAH"/>
              <w:rPr>
                <w:rFonts w:cs="Arial"/>
              </w:rPr>
            </w:pPr>
          </w:p>
        </w:tc>
        <w:tc>
          <w:tcPr>
            <w:tcW w:w="1224" w:type="dxa"/>
            <w:tcBorders>
              <w:top w:val="single" w:sz="6" w:space="0" w:color="auto"/>
              <w:left w:val="single" w:sz="4" w:space="0" w:color="auto"/>
              <w:bottom w:val="single" w:sz="6" w:space="0" w:color="auto"/>
              <w:right w:val="single" w:sz="6" w:space="0" w:color="auto"/>
            </w:tcBorders>
            <w:hideMark/>
          </w:tcPr>
          <w:p w14:paraId="5DCFF8F1" w14:textId="77777777" w:rsidR="001F5A79" w:rsidRPr="009C5807" w:rsidRDefault="001F5A79" w:rsidP="00485F6E">
            <w:pPr>
              <w:pStyle w:val="TAH"/>
            </w:pPr>
            <w:r w:rsidRPr="009C5807">
              <w:t>SCS</w:t>
            </w:r>
            <w:r w:rsidRPr="009C5807">
              <w:rPr>
                <w:vertAlign w:val="subscript"/>
              </w:rPr>
              <w:t>SSB</w:t>
            </w:r>
            <w:r w:rsidRPr="009C5807">
              <w:rPr>
                <w:rFonts w:cs="Arial"/>
              </w:rPr>
              <w:t xml:space="preserve"> = 120kHz</w:t>
            </w:r>
          </w:p>
        </w:tc>
        <w:tc>
          <w:tcPr>
            <w:tcW w:w="1224" w:type="dxa"/>
            <w:tcBorders>
              <w:top w:val="single" w:sz="6" w:space="0" w:color="auto"/>
              <w:left w:val="single" w:sz="4" w:space="0" w:color="auto"/>
              <w:bottom w:val="single" w:sz="6" w:space="0" w:color="auto"/>
              <w:right w:val="single" w:sz="6" w:space="0" w:color="auto"/>
            </w:tcBorders>
            <w:hideMark/>
          </w:tcPr>
          <w:p w14:paraId="0E8E116B" w14:textId="77777777" w:rsidR="001F5A79" w:rsidRPr="009C5807" w:rsidRDefault="001F5A79" w:rsidP="00485F6E">
            <w:pPr>
              <w:pStyle w:val="TAH"/>
            </w:pPr>
            <w:r w:rsidRPr="009C5807">
              <w:t>SCS</w:t>
            </w:r>
            <w:r w:rsidRPr="009C5807">
              <w:rPr>
                <w:vertAlign w:val="subscript"/>
              </w:rPr>
              <w:t>SSB</w:t>
            </w:r>
            <w:r w:rsidRPr="009C5807">
              <w:rPr>
                <w:rFonts w:cs="Arial"/>
              </w:rPr>
              <w:t xml:space="preserve"> = 240kHz</w:t>
            </w:r>
          </w:p>
        </w:tc>
        <w:tc>
          <w:tcPr>
            <w:tcW w:w="0" w:type="auto"/>
            <w:tcBorders>
              <w:left w:val="single" w:sz="6" w:space="0" w:color="auto"/>
              <w:bottom w:val="single" w:sz="6" w:space="0" w:color="auto"/>
              <w:right w:val="single" w:sz="4" w:space="0" w:color="auto"/>
            </w:tcBorders>
            <w:hideMark/>
          </w:tcPr>
          <w:p w14:paraId="7B3EDD81" w14:textId="77777777" w:rsidR="001F5A79" w:rsidRPr="009C5807" w:rsidRDefault="001F5A79" w:rsidP="00485F6E">
            <w:pPr>
              <w:pStyle w:val="TAH"/>
            </w:pPr>
          </w:p>
        </w:tc>
      </w:tr>
      <w:tr w:rsidR="001F5A79" w:rsidRPr="009C5807" w14:paraId="79EF0EDA" w14:textId="77777777" w:rsidTr="00485F6E">
        <w:trPr>
          <w:jc w:val="center"/>
        </w:trPr>
        <w:tc>
          <w:tcPr>
            <w:tcW w:w="1030" w:type="dxa"/>
            <w:tcBorders>
              <w:top w:val="single" w:sz="6" w:space="0" w:color="auto"/>
              <w:left w:val="single" w:sz="4" w:space="0" w:color="auto"/>
              <w:bottom w:val="single" w:sz="6" w:space="0" w:color="auto"/>
              <w:right w:val="single" w:sz="6" w:space="0" w:color="auto"/>
            </w:tcBorders>
            <w:hideMark/>
          </w:tcPr>
          <w:p w14:paraId="53721E07" w14:textId="77777777" w:rsidR="001F5A79" w:rsidRPr="009C5807" w:rsidRDefault="001F5A79" w:rsidP="00485F6E">
            <w:pPr>
              <w:pStyle w:val="TAC"/>
            </w:pPr>
            <w:r w:rsidRPr="009C5807">
              <w:sym w:font="Symbol" w:char="F0B1"/>
            </w:r>
            <w:r w:rsidRPr="009C5807">
              <w:t>6.5</w:t>
            </w:r>
          </w:p>
        </w:tc>
        <w:tc>
          <w:tcPr>
            <w:tcW w:w="1029" w:type="dxa"/>
            <w:tcBorders>
              <w:top w:val="single" w:sz="6" w:space="0" w:color="auto"/>
              <w:left w:val="single" w:sz="6" w:space="0" w:color="auto"/>
              <w:bottom w:val="single" w:sz="6" w:space="0" w:color="auto"/>
              <w:right w:val="single" w:sz="6" w:space="0" w:color="auto"/>
            </w:tcBorders>
            <w:hideMark/>
          </w:tcPr>
          <w:p w14:paraId="5BF6D24D" w14:textId="77777777" w:rsidR="001F5A79" w:rsidRPr="009C5807" w:rsidRDefault="001F5A79" w:rsidP="00485F6E">
            <w:pPr>
              <w:pStyle w:val="TAC"/>
            </w:pPr>
            <w:r w:rsidRPr="009C5807">
              <w:sym w:font="Symbol" w:char="F0B1"/>
            </w:r>
            <w:r w:rsidRPr="009C5807">
              <w:t>9.5</w:t>
            </w:r>
          </w:p>
        </w:tc>
        <w:tc>
          <w:tcPr>
            <w:tcW w:w="1029" w:type="dxa"/>
            <w:tcBorders>
              <w:top w:val="single" w:sz="6" w:space="0" w:color="auto"/>
              <w:left w:val="single" w:sz="4" w:space="0" w:color="auto"/>
              <w:bottom w:val="single" w:sz="6" w:space="0" w:color="auto"/>
              <w:right w:val="single" w:sz="4" w:space="0" w:color="auto"/>
            </w:tcBorders>
            <w:hideMark/>
          </w:tcPr>
          <w:p w14:paraId="26EEB30F" w14:textId="77777777" w:rsidR="001F5A79" w:rsidRPr="009C5807" w:rsidRDefault="001F5A79" w:rsidP="00485F6E">
            <w:pPr>
              <w:pStyle w:val="TAC"/>
            </w:pPr>
            <w:r w:rsidRPr="009C5807">
              <w:rPr>
                <w:rFonts w:eastAsia="Yu Mincho" w:cs="Arial"/>
                <w:lang w:eastAsia="ja-JP"/>
              </w:rPr>
              <w:t>≥-3</w:t>
            </w:r>
          </w:p>
        </w:tc>
        <w:tc>
          <w:tcPr>
            <w:tcW w:w="2448" w:type="dxa"/>
            <w:gridSpan w:val="2"/>
            <w:tcBorders>
              <w:top w:val="single" w:sz="6" w:space="0" w:color="auto"/>
              <w:left w:val="single" w:sz="4" w:space="0" w:color="auto"/>
              <w:bottom w:val="single" w:sz="6" w:space="0" w:color="auto"/>
              <w:right w:val="single" w:sz="6" w:space="0" w:color="auto"/>
            </w:tcBorders>
            <w:hideMark/>
          </w:tcPr>
          <w:p w14:paraId="2E580D2F" w14:textId="77777777" w:rsidR="001F5A79" w:rsidRPr="009C5807" w:rsidRDefault="001F5A79" w:rsidP="00485F6E">
            <w:pPr>
              <w:pStyle w:val="TAC"/>
              <w:rPr>
                <w:rFonts w:eastAsia="Yu Mincho"/>
                <w:lang w:eastAsia="ja-JP"/>
              </w:rPr>
            </w:pPr>
            <w:r w:rsidRPr="009C5807">
              <w:t>Same value as SSB_RP in Table B.2.4.1-2, according to UE Power class, operating band and angle of arrival</w:t>
            </w:r>
          </w:p>
        </w:tc>
        <w:tc>
          <w:tcPr>
            <w:tcW w:w="1483" w:type="dxa"/>
            <w:tcBorders>
              <w:top w:val="single" w:sz="6" w:space="0" w:color="auto"/>
              <w:left w:val="single" w:sz="6" w:space="0" w:color="auto"/>
              <w:bottom w:val="single" w:sz="6" w:space="0" w:color="auto"/>
              <w:right w:val="single" w:sz="4" w:space="0" w:color="auto"/>
            </w:tcBorders>
            <w:hideMark/>
          </w:tcPr>
          <w:p w14:paraId="02FE8989" w14:textId="77777777" w:rsidR="001F5A79" w:rsidRPr="009C5807" w:rsidRDefault="001F5A79" w:rsidP="00485F6E">
            <w:pPr>
              <w:pStyle w:val="TAC"/>
            </w:pPr>
            <w:r w:rsidRPr="009C5807">
              <w:t>-50</w:t>
            </w:r>
          </w:p>
        </w:tc>
      </w:tr>
      <w:tr w:rsidR="001F5A79" w:rsidRPr="009C5807" w14:paraId="080E5814" w14:textId="77777777" w:rsidTr="00DF3064">
        <w:trPr>
          <w:jc w:val="center"/>
        </w:trPr>
        <w:tc>
          <w:tcPr>
            <w:tcW w:w="7019" w:type="dxa"/>
            <w:gridSpan w:val="6"/>
            <w:tcBorders>
              <w:top w:val="single" w:sz="6" w:space="0" w:color="auto"/>
              <w:left w:val="single" w:sz="4" w:space="0" w:color="auto"/>
              <w:bottom w:val="single" w:sz="4" w:space="0" w:color="auto"/>
              <w:right w:val="single" w:sz="4" w:space="0" w:color="auto"/>
            </w:tcBorders>
            <w:vAlign w:val="center"/>
            <w:hideMark/>
          </w:tcPr>
          <w:p w14:paraId="6319C957" w14:textId="77777777" w:rsidR="001F5A79" w:rsidRPr="009C5807" w:rsidRDefault="001F5A79" w:rsidP="00330D9C">
            <w:pPr>
              <w:pStyle w:val="TAN"/>
            </w:pPr>
            <w:r w:rsidRPr="009C5807">
              <w:t>NOTE 1:</w:t>
            </w:r>
            <w:r w:rsidRPr="009C5807">
              <w:tab/>
              <w:t xml:space="preserve">Io </w:t>
            </w:r>
            <w:r w:rsidRPr="009C5807">
              <w:rPr>
                <w:rFonts w:eastAsia="MS Mincho"/>
              </w:rPr>
              <w:t>specified at the Reference point, and</w:t>
            </w:r>
            <w:r w:rsidRPr="009C5807">
              <w:t xml:space="preserve"> assumed to have constant EPRE across the bandwidth.</w:t>
            </w:r>
          </w:p>
          <w:p w14:paraId="6F4E0105" w14:textId="77777777" w:rsidR="001F5A79" w:rsidRPr="009C5807" w:rsidRDefault="001F5A79" w:rsidP="00330D9C">
            <w:pPr>
              <w:pStyle w:val="TAN"/>
              <w:rPr>
                <w:lang w:eastAsia="zh-CN"/>
              </w:rPr>
            </w:pPr>
            <w:r w:rsidRPr="009C5807">
              <w:t>N</w:t>
            </w:r>
            <w:r w:rsidRPr="009C5807">
              <w:rPr>
                <w:lang w:eastAsia="zh-CN"/>
              </w:rPr>
              <w:t>OTE</w:t>
            </w:r>
            <w:r w:rsidRPr="009C5807">
              <w:t xml:space="preserve"> 2:</w:t>
            </w:r>
            <w:r w:rsidRPr="009C5807">
              <w:tab/>
            </w:r>
            <w:r w:rsidRPr="009C5807">
              <w:rPr>
                <w:lang w:eastAsia="zh-CN"/>
              </w:rPr>
              <w:t xml:space="preserve">The parameter SSB </w:t>
            </w:r>
            <w:r w:rsidRPr="009C5807">
              <w:t>Ês/Iot</w:t>
            </w:r>
            <w:r w:rsidRPr="009C5807">
              <w:rPr>
                <w:lang w:eastAsia="zh-CN"/>
              </w:rPr>
              <w:t xml:space="preserve"> is the minimum SSB </w:t>
            </w:r>
            <w:r w:rsidRPr="009C5807">
              <w:t>Ês/Iot</w:t>
            </w:r>
            <w:r w:rsidRPr="009C5807">
              <w:rPr>
                <w:lang w:eastAsia="zh-CN"/>
              </w:rPr>
              <w:t xml:space="preserve"> of the pair of SSBs to which the requirement applies.</w:t>
            </w:r>
          </w:p>
          <w:p w14:paraId="1E8A04AB" w14:textId="77777777" w:rsidR="001F5A79" w:rsidRPr="009C5807" w:rsidRDefault="001F5A79" w:rsidP="00330D9C">
            <w:pPr>
              <w:pStyle w:val="TAN"/>
            </w:pPr>
            <w:r w:rsidRPr="009C5807">
              <w:t>NOTE 3:</w:t>
            </w:r>
            <w:r w:rsidRPr="009C5807">
              <w:tab/>
              <w:t>Values based on Refsens and EIS spherical coverage as defined in clauses 7.3.2 and 7.3.4 of TS 38.101-2 [19]. Applicable side condition selected depending on angle of arrival.</w:t>
            </w:r>
          </w:p>
          <w:p w14:paraId="2FE1E4AC" w14:textId="77777777" w:rsidR="001F5A79" w:rsidRPr="009C5807" w:rsidRDefault="001F5A79" w:rsidP="00330D9C">
            <w:pPr>
              <w:pStyle w:val="TAN"/>
            </w:pPr>
            <w:r w:rsidRPr="009C5807">
              <w:t>NOTE 4:</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2955B695" w14:textId="77777777" w:rsidR="001F5A79" w:rsidRPr="009C5807" w:rsidRDefault="001F5A79" w:rsidP="001F5A79">
      <w:pPr>
        <w:rPr>
          <w:rFonts w:eastAsia="Malgun Gothic"/>
          <w:lang w:eastAsia="ko-KR"/>
        </w:rPr>
      </w:pPr>
    </w:p>
    <w:p w14:paraId="584A3843" w14:textId="77777777" w:rsidR="001F5A79" w:rsidRPr="009C5807" w:rsidRDefault="001F5A79" w:rsidP="00B018D8">
      <w:pPr>
        <w:pStyle w:val="Heading4"/>
        <w:rPr>
          <w:lang w:val="en-US"/>
        </w:rPr>
      </w:pPr>
      <w:r w:rsidRPr="009C5807">
        <w:rPr>
          <w:lang w:val="en-US"/>
        </w:rPr>
        <w:t>10.1.20.2</w:t>
      </w:r>
      <w:r w:rsidRPr="009C5807">
        <w:rPr>
          <w:lang w:val="en-US"/>
        </w:rPr>
        <w:tab/>
        <w:t>CSI-RS based L1-RSRP accuracy requirements</w:t>
      </w:r>
    </w:p>
    <w:p w14:paraId="325D3CC8" w14:textId="77777777" w:rsidR="001F5A79" w:rsidRPr="009C5807" w:rsidRDefault="001F5A79" w:rsidP="00B018D8">
      <w:pPr>
        <w:pStyle w:val="Heading5"/>
      </w:pPr>
      <w:r w:rsidRPr="009C5807">
        <w:t>10.1.20.2.1</w:t>
      </w:r>
      <w:r w:rsidRPr="009C5807">
        <w:tab/>
        <w:t>Absolute Accuracy</w:t>
      </w:r>
    </w:p>
    <w:p w14:paraId="3DF18159" w14:textId="77777777" w:rsidR="001F5A79" w:rsidRPr="009C5807" w:rsidRDefault="001F5A79" w:rsidP="001F5A79">
      <w:pPr>
        <w:rPr>
          <w:rFonts w:cs="v4.2.0"/>
          <w:i/>
        </w:rPr>
      </w:pPr>
      <w:r w:rsidRPr="009C5807">
        <w:rPr>
          <w:rFonts w:cs="v4.2.0"/>
        </w:rPr>
        <w:t xml:space="preserve">Unless otherwise specified, the requirements for absolute accuracy of </w:t>
      </w:r>
      <w:r w:rsidRPr="009C5807">
        <w:rPr>
          <w:rFonts w:cs="v4.2.0"/>
          <w:lang w:eastAsia="zh-CN"/>
        </w:rPr>
        <w:t>CSI-RS based L1-</w:t>
      </w:r>
      <w:r w:rsidRPr="009C5807">
        <w:rPr>
          <w:rFonts w:cs="v4.2.0"/>
        </w:rPr>
        <w:t>RSRP in this clause apply to all CSI-RS resources of the serving cell configured for L1-RSRP measurement.</w:t>
      </w:r>
    </w:p>
    <w:p w14:paraId="74FC121D" w14:textId="77777777" w:rsidR="001F5A79" w:rsidRPr="009C5807" w:rsidRDefault="001F5A79" w:rsidP="001F5A79">
      <w:pPr>
        <w:rPr>
          <w:rFonts w:cs="v4.2.0"/>
        </w:rPr>
      </w:pPr>
      <w:r w:rsidRPr="009C5807">
        <w:rPr>
          <w:rFonts w:cs="v4.2.0"/>
        </w:rPr>
        <w:t xml:space="preserve">The accuracy requirements in Table </w:t>
      </w:r>
      <w:r w:rsidRPr="009C5807">
        <w:rPr>
          <w:rFonts w:cs="v4.2.0"/>
          <w:lang w:eastAsia="zh-CN"/>
        </w:rPr>
        <w:t>10.1.20.2.1</w:t>
      </w:r>
      <w:r w:rsidRPr="009C5807">
        <w:rPr>
          <w:rFonts w:cs="v4.2.0"/>
        </w:rPr>
        <w:t>-1 are valid under the following conditions:</w:t>
      </w:r>
    </w:p>
    <w:p w14:paraId="054FDA20" w14:textId="77777777" w:rsidR="001F5A79" w:rsidRPr="009C5807" w:rsidRDefault="001F5A79" w:rsidP="0093237A">
      <w:pPr>
        <w:pStyle w:val="B10"/>
      </w:pPr>
      <w:r w:rsidRPr="009C5807">
        <w:t>-</w:t>
      </w:r>
      <w:r w:rsidRPr="009C5807">
        <w:tab/>
        <w:t>Conditions defined in clause 7.3 of TS 38.101-2 [19] for reference sensitivity are fulfilled.</w:t>
      </w:r>
    </w:p>
    <w:p w14:paraId="636FAD34" w14:textId="77777777" w:rsidR="001F5A79" w:rsidRPr="009C5807" w:rsidRDefault="001F5A79" w:rsidP="0093237A">
      <w:pPr>
        <w:pStyle w:val="B10"/>
        <w:rPr>
          <w:lang w:eastAsia="zh-CN"/>
        </w:rPr>
      </w:pPr>
      <w:r w:rsidRPr="009C5807">
        <w:t>-</w:t>
      </w:r>
      <w:r w:rsidRPr="009C5807">
        <w:tab/>
        <w:t xml:space="preserve">Conditions for L1-RSRP measurements are fulfilled according to Annex B.2.4.2 for a corresponding Band </w:t>
      </w:r>
      <w:r w:rsidRPr="009C5807">
        <w:rPr>
          <w:rFonts w:cs="v4.2.0"/>
          <w:lang w:eastAsia="ko-KR"/>
        </w:rPr>
        <w:t>for each relevant CSI-RS</w:t>
      </w:r>
      <w:r w:rsidRPr="009C5807">
        <w:rPr>
          <w:lang w:eastAsia="zh-CN"/>
        </w:rPr>
        <w:t>.</w:t>
      </w:r>
    </w:p>
    <w:p w14:paraId="4E548AD7" w14:textId="77777777" w:rsidR="001F5A79" w:rsidRPr="009C5807" w:rsidRDefault="001F5A79" w:rsidP="0093237A">
      <w:pPr>
        <w:pStyle w:val="B10"/>
        <w:rPr>
          <w:lang w:eastAsia="zh-CN"/>
        </w:rPr>
      </w:pPr>
      <w:r w:rsidRPr="009C5807">
        <w:t>-</w:t>
      </w:r>
      <w:r w:rsidRPr="009C5807">
        <w:tab/>
      </w:r>
      <w:r w:rsidRPr="009C5807">
        <w:rPr>
          <w:lang w:eastAsia="zh-CN"/>
        </w:rPr>
        <w:t xml:space="preserve">The bandwidth of CSI-RS is 48 PRBs and the density is 3. </w:t>
      </w:r>
    </w:p>
    <w:p w14:paraId="1C5F49FA" w14:textId="77777777" w:rsidR="001F5A79" w:rsidRPr="009C5807" w:rsidRDefault="001F5A79" w:rsidP="0093237A">
      <w:pPr>
        <w:pStyle w:val="B10"/>
        <w:rPr>
          <w:lang w:eastAsia="zh-CN"/>
        </w:rPr>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0EA5B691" w14:textId="77777777" w:rsidR="001F5A79" w:rsidRPr="009C5807" w:rsidRDefault="001F5A79" w:rsidP="001F5A79">
      <w:pPr>
        <w:rPr>
          <w:lang w:eastAsia="zh-CN"/>
        </w:rPr>
      </w:pPr>
      <w:r w:rsidRPr="009C5807">
        <w:rPr>
          <w:lang w:eastAsia="zh-CN"/>
        </w:rPr>
        <w:t>The performance with larger bandwidth of CSI-RS is equal to or better than the accuracy requirements in Table 10.1.20.2.1-1.</w:t>
      </w:r>
    </w:p>
    <w:p w14:paraId="06599BBE" w14:textId="77777777" w:rsidR="001F5A79" w:rsidRPr="009C5807" w:rsidRDefault="001F5A79" w:rsidP="0093237A">
      <w:pPr>
        <w:pStyle w:val="TH"/>
      </w:pPr>
      <w:r w:rsidRPr="009C5807">
        <w:t>Table 10.1.20.2.1-1: CSI-RS based L1-RSRP absolute accuracy in FR2</w:t>
      </w:r>
    </w:p>
    <w:tbl>
      <w:tblPr>
        <w:tblW w:w="8720" w:type="dxa"/>
        <w:jc w:val="center"/>
        <w:tblLook w:val="01E0" w:firstRow="1" w:lastRow="1" w:firstColumn="1" w:lastColumn="1" w:noHBand="0" w:noVBand="0"/>
      </w:tblPr>
      <w:tblGrid>
        <w:gridCol w:w="1111"/>
        <w:gridCol w:w="1110"/>
        <w:gridCol w:w="1110"/>
        <w:gridCol w:w="1116"/>
        <w:gridCol w:w="1116"/>
        <w:gridCol w:w="1578"/>
        <w:gridCol w:w="1579"/>
      </w:tblGrid>
      <w:tr w:rsidR="001F5A79" w:rsidRPr="009C5807" w14:paraId="71919A89" w14:textId="77777777" w:rsidTr="00DF3064">
        <w:trPr>
          <w:jc w:val="center"/>
        </w:trPr>
        <w:tc>
          <w:tcPr>
            <w:tcW w:w="2221" w:type="dxa"/>
            <w:gridSpan w:val="2"/>
            <w:tcBorders>
              <w:top w:val="single" w:sz="6" w:space="0" w:color="auto"/>
              <w:left w:val="single" w:sz="4" w:space="0" w:color="auto"/>
              <w:bottom w:val="nil"/>
              <w:right w:val="single" w:sz="6" w:space="0" w:color="auto"/>
            </w:tcBorders>
            <w:vAlign w:val="center"/>
            <w:hideMark/>
          </w:tcPr>
          <w:p w14:paraId="36B86AF1" w14:textId="77777777" w:rsidR="001F5A79" w:rsidRPr="009C5807" w:rsidRDefault="001F5A79" w:rsidP="00330D9C">
            <w:pPr>
              <w:pStyle w:val="TAH"/>
            </w:pPr>
            <w:r w:rsidRPr="009C5807">
              <w:t>Accuracy</w:t>
            </w:r>
          </w:p>
        </w:tc>
        <w:tc>
          <w:tcPr>
            <w:tcW w:w="6499" w:type="dxa"/>
            <w:gridSpan w:val="5"/>
            <w:tcBorders>
              <w:top w:val="single" w:sz="4" w:space="0" w:color="auto"/>
              <w:left w:val="single" w:sz="4" w:space="0" w:color="auto"/>
              <w:bottom w:val="nil"/>
              <w:right w:val="single" w:sz="4" w:space="0" w:color="auto"/>
            </w:tcBorders>
            <w:vAlign w:val="center"/>
            <w:hideMark/>
          </w:tcPr>
          <w:p w14:paraId="5BEB6BC0" w14:textId="77777777" w:rsidR="001F5A79" w:rsidRPr="009C5807" w:rsidRDefault="001F5A79" w:rsidP="00330D9C">
            <w:pPr>
              <w:pStyle w:val="TAH"/>
            </w:pPr>
            <w:r w:rsidRPr="009C5807">
              <w:t>Conditions</w:t>
            </w:r>
          </w:p>
        </w:tc>
      </w:tr>
      <w:tr w:rsidR="001F5A79" w:rsidRPr="009C5807" w14:paraId="2A3C20F1" w14:textId="77777777" w:rsidTr="00330D9C">
        <w:trPr>
          <w:jc w:val="center"/>
        </w:trPr>
        <w:tc>
          <w:tcPr>
            <w:tcW w:w="1111" w:type="dxa"/>
            <w:tcBorders>
              <w:top w:val="single" w:sz="6" w:space="0" w:color="auto"/>
              <w:left w:val="single" w:sz="4" w:space="0" w:color="auto"/>
              <w:right w:val="single" w:sz="6" w:space="0" w:color="auto"/>
            </w:tcBorders>
            <w:vAlign w:val="center"/>
            <w:hideMark/>
          </w:tcPr>
          <w:p w14:paraId="79E26849" w14:textId="77777777" w:rsidR="001F5A79" w:rsidRPr="009C5807" w:rsidRDefault="001F5A79" w:rsidP="00330D9C">
            <w:pPr>
              <w:pStyle w:val="TAH"/>
            </w:pPr>
            <w:r w:rsidRPr="009C5807">
              <w:t>Normal condition</w:t>
            </w:r>
          </w:p>
        </w:tc>
        <w:tc>
          <w:tcPr>
            <w:tcW w:w="1110" w:type="dxa"/>
            <w:tcBorders>
              <w:top w:val="single" w:sz="6" w:space="0" w:color="auto"/>
              <w:left w:val="single" w:sz="6" w:space="0" w:color="auto"/>
              <w:right w:val="single" w:sz="6" w:space="0" w:color="auto"/>
            </w:tcBorders>
            <w:vAlign w:val="center"/>
            <w:hideMark/>
          </w:tcPr>
          <w:p w14:paraId="7DC7B5B9" w14:textId="77777777" w:rsidR="001F5A79" w:rsidRPr="009C5807" w:rsidRDefault="001F5A79" w:rsidP="00330D9C">
            <w:pPr>
              <w:pStyle w:val="TAH"/>
            </w:pPr>
            <w:r w:rsidRPr="009C5807">
              <w:t>Extreme condition</w:t>
            </w:r>
          </w:p>
        </w:tc>
        <w:tc>
          <w:tcPr>
            <w:tcW w:w="1110" w:type="dxa"/>
            <w:tcBorders>
              <w:top w:val="single" w:sz="4" w:space="0" w:color="auto"/>
              <w:left w:val="single" w:sz="4" w:space="0" w:color="auto"/>
              <w:right w:val="single" w:sz="4" w:space="0" w:color="auto"/>
            </w:tcBorders>
            <w:hideMark/>
          </w:tcPr>
          <w:p w14:paraId="71936820" w14:textId="77777777" w:rsidR="001F5A79" w:rsidRPr="009C5807" w:rsidRDefault="001F5A79" w:rsidP="00330D9C">
            <w:pPr>
              <w:pStyle w:val="TAH"/>
            </w:pPr>
            <w:r w:rsidRPr="009C5807">
              <w:rPr>
                <w:rFonts w:cs="Arial"/>
              </w:rPr>
              <w:t>CSI-RS Ês/Iot</w:t>
            </w:r>
          </w:p>
        </w:tc>
        <w:tc>
          <w:tcPr>
            <w:tcW w:w="5389" w:type="dxa"/>
            <w:gridSpan w:val="4"/>
            <w:tcBorders>
              <w:top w:val="single" w:sz="4" w:space="0" w:color="auto"/>
              <w:left w:val="single" w:sz="4" w:space="0" w:color="auto"/>
              <w:bottom w:val="single" w:sz="6" w:space="0" w:color="auto"/>
              <w:right w:val="single" w:sz="4" w:space="0" w:color="auto"/>
            </w:tcBorders>
            <w:vAlign w:val="center"/>
            <w:hideMark/>
          </w:tcPr>
          <w:p w14:paraId="3F0E7F72" w14:textId="77777777" w:rsidR="001F5A79" w:rsidRPr="009C5807" w:rsidRDefault="001F5A79" w:rsidP="00330D9C">
            <w:pPr>
              <w:pStyle w:val="TAH"/>
            </w:pPr>
            <w:r w:rsidRPr="009C5807">
              <w:t>Io</w:t>
            </w:r>
            <w:r w:rsidRPr="009C5807">
              <w:rPr>
                <w:vertAlign w:val="superscript"/>
              </w:rPr>
              <w:t xml:space="preserve"> Note 1</w:t>
            </w:r>
            <w:r w:rsidRPr="009C5807">
              <w:t xml:space="preserve"> range</w:t>
            </w:r>
          </w:p>
        </w:tc>
      </w:tr>
      <w:tr w:rsidR="001F5A79" w:rsidRPr="009C5807" w14:paraId="1E2DBEDF" w14:textId="77777777" w:rsidTr="00330D9C">
        <w:trPr>
          <w:jc w:val="center"/>
        </w:trPr>
        <w:tc>
          <w:tcPr>
            <w:tcW w:w="0" w:type="auto"/>
            <w:tcBorders>
              <w:left w:val="single" w:sz="4" w:space="0" w:color="auto"/>
              <w:bottom w:val="single" w:sz="6" w:space="0" w:color="auto"/>
              <w:right w:val="single" w:sz="6" w:space="0" w:color="auto"/>
            </w:tcBorders>
            <w:vAlign w:val="center"/>
            <w:hideMark/>
          </w:tcPr>
          <w:p w14:paraId="5FC87FF0" w14:textId="77777777" w:rsidR="001F5A79" w:rsidRPr="009C5807" w:rsidRDefault="001F5A79" w:rsidP="00330D9C">
            <w:pPr>
              <w:pStyle w:val="TAH"/>
            </w:pPr>
          </w:p>
        </w:tc>
        <w:tc>
          <w:tcPr>
            <w:tcW w:w="0" w:type="auto"/>
            <w:tcBorders>
              <w:left w:val="single" w:sz="6" w:space="0" w:color="auto"/>
              <w:bottom w:val="single" w:sz="6" w:space="0" w:color="auto"/>
              <w:right w:val="single" w:sz="6" w:space="0" w:color="auto"/>
            </w:tcBorders>
            <w:vAlign w:val="center"/>
            <w:hideMark/>
          </w:tcPr>
          <w:p w14:paraId="29E0F17B" w14:textId="77777777" w:rsidR="001F5A79" w:rsidRPr="009C5807" w:rsidRDefault="001F5A79" w:rsidP="00330D9C">
            <w:pPr>
              <w:pStyle w:val="TAH"/>
            </w:pPr>
          </w:p>
        </w:tc>
        <w:tc>
          <w:tcPr>
            <w:tcW w:w="0" w:type="auto"/>
            <w:tcBorders>
              <w:left w:val="single" w:sz="4" w:space="0" w:color="auto"/>
              <w:bottom w:val="single" w:sz="6" w:space="0" w:color="auto"/>
              <w:right w:val="single" w:sz="4" w:space="0" w:color="auto"/>
            </w:tcBorders>
            <w:vAlign w:val="center"/>
            <w:hideMark/>
          </w:tcPr>
          <w:p w14:paraId="359CC69D" w14:textId="77777777" w:rsidR="001F5A79" w:rsidRPr="009C5807" w:rsidRDefault="001F5A79" w:rsidP="00330D9C">
            <w:pPr>
              <w:pStyle w:val="TAH"/>
            </w:pPr>
          </w:p>
        </w:tc>
        <w:tc>
          <w:tcPr>
            <w:tcW w:w="3810" w:type="dxa"/>
            <w:gridSpan w:val="3"/>
            <w:tcBorders>
              <w:top w:val="single" w:sz="4" w:space="0" w:color="auto"/>
              <w:left w:val="single" w:sz="4" w:space="0" w:color="auto"/>
              <w:bottom w:val="single" w:sz="6" w:space="0" w:color="auto"/>
              <w:right w:val="single" w:sz="6" w:space="0" w:color="auto"/>
            </w:tcBorders>
            <w:vAlign w:val="center"/>
            <w:hideMark/>
          </w:tcPr>
          <w:p w14:paraId="5A7C4116" w14:textId="77777777" w:rsidR="001F5A79" w:rsidRPr="009C5807" w:rsidRDefault="001F5A79" w:rsidP="00330D9C">
            <w:pPr>
              <w:pStyle w:val="TAH"/>
            </w:pPr>
            <w:r w:rsidRPr="009C5807">
              <w:t>Minimum Io</w:t>
            </w:r>
          </w:p>
        </w:tc>
        <w:tc>
          <w:tcPr>
            <w:tcW w:w="1579" w:type="dxa"/>
            <w:tcBorders>
              <w:top w:val="single" w:sz="4" w:space="0" w:color="auto"/>
              <w:left w:val="single" w:sz="6" w:space="0" w:color="auto"/>
              <w:bottom w:val="single" w:sz="6" w:space="0" w:color="auto"/>
              <w:right w:val="single" w:sz="4" w:space="0" w:color="auto"/>
            </w:tcBorders>
            <w:vAlign w:val="center"/>
            <w:hideMark/>
          </w:tcPr>
          <w:p w14:paraId="6BD9D0D7" w14:textId="77777777" w:rsidR="001F5A79" w:rsidRPr="009C5807" w:rsidRDefault="001F5A79" w:rsidP="00330D9C">
            <w:pPr>
              <w:pStyle w:val="TAH"/>
            </w:pPr>
            <w:r w:rsidRPr="009C5807">
              <w:t>Maximum Io</w:t>
            </w:r>
          </w:p>
        </w:tc>
      </w:tr>
      <w:tr w:rsidR="001F5A79" w:rsidRPr="009C5807" w14:paraId="4C5FA0BB" w14:textId="77777777" w:rsidTr="00485F6E">
        <w:trPr>
          <w:jc w:val="center"/>
        </w:trPr>
        <w:tc>
          <w:tcPr>
            <w:tcW w:w="1111" w:type="dxa"/>
            <w:tcBorders>
              <w:top w:val="single" w:sz="6" w:space="0" w:color="auto"/>
              <w:left w:val="single" w:sz="4" w:space="0" w:color="auto"/>
              <w:right w:val="single" w:sz="6" w:space="0" w:color="auto"/>
            </w:tcBorders>
            <w:hideMark/>
          </w:tcPr>
          <w:p w14:paraId="5C0020BD" w14:textId="77777777" w:rsidR="001F5A79" w:rsidRPr="009C5807" w:rsidRDefault="001F5A79" w:rsidP="00485F6E">
            <w:pPr>
              <w:pStyle w:val="TAH"/>
            </w:pPr>
            <w:r w:rsidRPr="009C5807">
              <w:t>dB</w:t>
            </w:r>
          </w:p>
        </w:tc>
        <w:tc>
          <w:tcPr>
            <w:tcW w:w="1110" w:type="dxa"/>
            <w:tcBorders>
              <w:top w:val="single" w:sz="6" w:space="0" w:color="auto"/>
              <w:left w:val="single" w:sz="6" w:space="0" w:color="auto"/>
              <w:right w:val="single" w:sz="6" w:space="0" w:color="auto"/>
            </w:tcBorders>
            <w:hideMark/>
          </w:tcPr>
          <w:p w14:paraId="0BF4E78D" w14:textId="77777777" w:rsidR="001F5A79" w:rsidRPr="009C5807" w:rsidRDefault="001F5A79" w:rsidP="00485F6E">
            <w:pPr>
              <w:pStyle w:val="TAH"/>
            </w:pPr>
            <w:r w:rsidRPr="009C5807">
              <w:t>dB</w:t>
            </w:r>
          </w:p>
        </w:tc>
        <w:tc>
          <w:tcPr>
            <w:tcW w:w="1110" w:type="dxa"/>
            <w:tcBorders>
              <w:top w:val="single" w:sz="6" w:space="0" w:color="auto"/>
              <w:left w:val="single" w:sz="4" w:space="0" w:color="auto"/>
              <w:right w:val="single" w:sz="4" w:space="0" w:color="auto"/>
            </w:tcBorders>
            <w:hideMark/>
          </w:tcPr>
          <w:p w14:paraId="4D63CD7C" w14:textId="77777777" w:rsidR="001F5A79" w:rsidRPr="009C5807" w:rsidRDefault="001F5A79" w:rsidP="00485F6E">
            <w:pPr>
              <w:pStyle w:val="TAH"/>
              <w:rPr>
                <w:rFonts w:cs="Arial"/>
              </w:rPr>
            </w:pPr>
            <w:r w:rsidRPr="009C5807">
              <w:t>dB</w:t>
            </w:r>
          </w:p>
        </w:tc>
        <w:tc>
          <w:tcPr>
            <w:tcW w:w="2232" w:type="dxa"/>
            <w:gridSpan w:val="2"/>
            <w:tcBorders>
              <w:top w:val="single" w:sz="6" w:space="0" w:color="auto"/>
              <w:left w:val="single" w:sz="4" w:space="0" w:color="auto"/>
              <w:bottom w:val="single" w:sz="6" w:space="0" w:color="auto"/>
              <w:right w:val="single" w:sz="6" w:space="0" w:color="auto"/>
            </w:tcBorders>
            <w:hideMark/>
          </w:tcPr>
          <w:p w14:paraId="08CEEFE8" w14:textId="77777777" w:rsidR="001F5A79" w:rsidRPr="009C5807" w:rsidRDefault="001F5A79" w:rsidP="00485F6E">
            <w:pPr>
              <w:pStyle w:val="TAH"/>
            </w:pPr>
            <w:r w:rsidRPr="009C5807">
              <w:rPr>
                <w:rFonts w:cs="Arial"/>
              </w:rPr>
              <w:t xml:space="preserve">dBm / </w:t>
            </w:r>
            <w:r w:rsidRPr="009C5807">
              <w:t>SCS</w:t>
            </w:r>
            <w:r w:rsidRPr="009C5807">
              <w:rPr>
                <w:vertAlign w:val="subscript"/>
              </w:rPr>
              <w:t>CSI-RS</w:t>
            </w:r>
            <w:r w:rsidRPr="009C5807">
              <w:rPr>
                <w:vertAlign w:val="superscript"/>
              </w:rPr>
              <w:t xml:space="preserve"> Note 2</w:t>
            </w:r>
          </w:p>
        </w:tc>
        <w:tc>
          <w:tcPr>
            <w:tcW w:w="1578" w:type="dxa"/>
            <w:tcBorders>
              <w:top w:val="single" w:sz="6" w:space="0" w:color="auto"/>
              <w:left w:val="single" w:sz="6" w:space="0" w:color="auto"/>
              <w:right w:val="single" w:sz="6" w:space="0" w:color="auto"/>
            </w:tcBorders>
            <w:hideMark/>
          </w:tcPr>
          <w:p w14:paraId="05D6534D" w14:textId="77777777" w:rsidR="001F5A79" w:rsidRPr="009C5807" w:rsidRDefault="001F5A79" w:rsidP="00485F6E">
            <w:pPr>
              <w:pStyle w:val="TAH"/>
            </w:pPr>
            <w:r w:rsidRPr="009C5807">
              <w:t>dBm/BW</w:t>
            </w:r>
            <w:r w:rsidRPr="009C5807">
              <w:rPr>
                <w:vertAlign w:val="subscript"/>
              </w:rPr>
              <w:t>Channel</w:t>
            </w:r>
          </w:p>
        </w:tc>
        <w:tc>
          <w:tcPr>
            <w:tcW w:w="1579" w:type="dxa"/>
            <w:tcBorders>
              <w:top w:val="single" w:sz="6" w:space="0" w:color="auto"/>
              <w:left w:val="single" w:sz="6" w:space="0" w:color="auto"/>
              <w:right w:val="single" w:sz="4" w:space="0" w:color="auto"/>
            </w:tcBorders>
            <w:hideMark/>
          </w:tcPr>
          <w:p w14:paraId="0A467769" w14:textId="77777777" w:rsidR="001F5A79" w:rsidRPr="009C5807" w:rsidRDefault="001F5A79" w:rsidP="00485F6E">
            <w:pPr>
              <w:pStyle w:val="TAH"/>
            </w:pPr>
            <w:r w:rsidRPr="009C5807">
              <w:t>dBm/BW</w:t>
            </w:r>
            <w:r w:rsidRPr="009C5807">
              <w:rPr>
                <w:vertAlign w:val="subscript"/>
              </w:rPr>
              <w:t>Channel</w:t>
            </w:r>
          </w:p>
        </w:tc>
      </w:tr>
      <w:tr w:rsidR="001F5A79" w:rsidRPr="009C5807" w14:paraId="33D80D50" w14:textId="77777777" w:rsidTr="00485F6E">
        <w:trPr>
          <w:jc w:val="center"/>
        </w:trPr>
        <w:tc>
          <w:tcPr>
            <w:tcW w:w="0" w:type="auto"/>
            <w:tcBorders>
              <w:left w:val="single" w:sz="4" w:space="0" w:color="auto"/>
              <w:bottom w:val="single" w:sz="6" w:space="0" w:color="auto"/>
              <w:right w:val="single" w:sz="6" w:space="0" w:color="auto"/>
            </w:tcBorders>
            <w:hideMark/>
          </w:tcPr>
          <w:p w14:paraId="0BA5F882" w14:textId="77777777" w:rsidR="001F5A79" w:rsidRPr="009C5807" w:rsidRDefault="001F5A79" w:rsidP="00485F6E">
            <w:pPr>
              <w:pStyle w:val="TAH"/>
            </w:pPr>
          </w:p>
        </w:tc>
        <w:tc>
          <w:tcPr>
            <w:tcW w:w="0" w:type="auto"/>
            <w:tcBorders>
              <w:left w:val="single" w:sz="6" w:space="0" w:color="auto"/>
              <w:bottom w:val="single" w:sz="6" w:space="0" w:color="auto"/>
              <w:right w:val="single" w:sz="6" w:space="0" w:color="auto"/>
            </w:tcBorders>
            <w:hideMark/>
          </w:tcPr>
          <w:p w14:paraId="793B4D25" w14:textId="77777777" w:rsidR="001F5A79" w:rsidRPr="009C5807" w:rsidRDefault="001F5A79" w:rsidP="00485F6E">
            <w:pPr>
              <w:pStyle w:val="TAH"/>
            </w:pPr>
          </w:p>
        </w:tc>
        <w:tc>
          <w:tcPr>
            <w:tcW w:w="0" w:type="auto"/>
            <w:tcBorders>
              <w:left w:val="single" w:sz="4" w:space="0" w:color="auto"/>
              <w:bottom w:val="single" w:sz="4" w:space="0" w:color="auto"/>
              <w:right w:val="single" w:sz="4" w:space="0" w:color="auto"/>
            </w:tcBorders>
            <w:hideMark/>
          </w:tcPr>
          <w:p w14:paraId="730B6DF0" w14:textId="77777777" w:rsidR="001F5A79" w:rsidRPr="009C5807" w:rsidRDefault="001F5A79" w:rsidP="00485F6E">
            <w:pPr>
              <w:pStyle w:val="TAH"/>
              <w:rPr>
                <w:rFonts w:cs="Arial"/>
              </w:rPr>
            </w:pPr>
          </w:p>
        </w:tc>
        <w:tc>
          <w:tcPr>
            <w:tcW w:w="1116" w:type="dxa"/>
            <w:tcBorders>
              <w:top w:val="single" w:sz="6" w:space="0" w:color="auto"/>
              <w:left w:val="single" w:sz="4" w:space="0" w:color="auto"/>
              <w:bottom w:val="single" w:sz="6" w:space="0" w:color="auto"/>
              <w:right w:val="single" w:sz="6" w:space="0" w:color="auto"/>
            </w:tcBorders>
            <w:hideMark/>
          </w:tcPr>
          <w:p w14:paraId="188586CD" w14:textId="77777777" w:rsidR="001F5A79" w:rsidRPr="009C5807" w:rsidRDefault="001F5A79" w:rsidP="00485F6E">
            <w:pPr>
              <w:pStyle w:val="TAH"/>
            </w:pPr>
            <w:r w:rsidRPr="009C5807">
              <w:t>SCS</w:t>
            </w:r>
            <w:r w:rsidRPr="009C5807">
              <w:rPr>
                <w:vertAlign w:val="subscript"/>
              </w:rPr>
              <w:t>CSI-RS</w:t>
            </w:r>
            <w:r w:rsidRPr="009C5807">
              <w:rPr>
                <w:rFonts w:cs="Arial"/>
              </w:rPr>
              <w:t xml:space="preserve"> = 60kHz</w:t>
            </w:r>
          </w:p>
        </w:tc>
        <w:tc>
          <w:tcPr>
            <w:tcW w:w="1116" w:type="dxa"/>
            <w:tcBorders>
              <w:top w:val="single" w:sz="6" w:space="0" w:color="auto"/>
              <w:left w:val="single" w:sz="4" w:space="0" w:color="auto"/>
              <w:bottom w:val="single" w:sz="6" w:space="0" w:color="auto"/>
              <w:right w:val="single" w:sz="6" w:space="0" w:color="auto"/>
            </w:tcBorders>
            <w:hideMark/>
          </w:tcPr>
          <w:p w14:paraId="55912EA1" w14:textId="77777777" w:rsidR="001F5A79" w:rsidRPr="009C5807" w:rsidRDefault="001F5A79" w:rsidP="00485F6E">
            <w:pPr>
              <w:pStyle w:val="TAH"/>
            </w:pPr>
            <w:r w:rsidRPr="009C5807">
              <w:t>SCS</w:t>
            </w:r>
            <w:r w:rsidRPr="009C5807">
              <w:rPr>
                <w:vertAlign w:val="subscript"/>
              </w:rPr>
              <w:t>CSI-RS</w:t>
            </w:r>
            <w:r w:rsidRPr="009C5807">
              <w:rPr>
                <w:rFonts w:cs="Arial"/>
              </w:rPr>
              <w:t xml:space="preserve"> = 120kHz</w:t>
            </w:r>
          </w:p>
        </w:tc>
        <w:tc>
          <w:tcPr>
            <w:tcW w:w="0" w:type="auto"/>
            <w:tcBorders>
              <w:left w:val="single" w:sz="6" w:space="0" w:color="auto"/>
              <w:bottom w:val="single" w:sz="6" w:space="0" w:color="auto"/>
              <w:right w:val="single" w:sz="6" w:space="0" w:color="auto"/>
            </w:tcBorders>
            <w:hideMark/>
          </w:tcPr>
          <w:p w14:paraId="3DB6AD41" w14:textId="77777777" w:rsidR="001F5A79" w:rsidRPr="009C5807" w:rsidRDefault="001F5A79" w:rsidP="00485F6E">
            <w:pPr>
              <w:pStyle w:val="TAH"/>
            </w:pPr>
          </w:p>
        </w:tc>
        <w:tc>
          <w:tcPr>
            <w:tcW w:w="0" w:type="auto"/>
            <w:tcBorders>
              <w:left w:val="single" w:sz="6" w:space="0" w:color="auto"/>
              <w:bottom w:val="single" w:sz="6" w:space="0" w:color="auto"/>
              <w:right w:val="single" w:sz="4" w:space="0" w:color="auto"/>
            </w:tcBorders>
            <w:hideMark/>
          </w:tcPr>
          <w:p w14:paraId="24217D7E" w14:textId="77777777" w:rsidR="001F5A79" w:rsidRPr="009C5807" w:rsidRDefault="001F5A79" w:rsidP="00485F6E">
            <w:pPr>
              <w:pStyle w:val="TAH"/>
            </w:pPr>
          </w:p>
        </w:tc>
      </w:tr>
      <w:tr w:rsidR="001F5A79" w:rsidRPr="009C5807" w14:paraId="0C328A76" w14:textId="77777777" w:rsidTr="00485F6E">
        <w:trPr>
          <w:jc w:val="center"/>
        </w:trPr>
        <w:tc>
          <w:tcPr>
            <w:tcW w:w="1111" w:type="dxa"/>
            <w:tcBorders>
              <w:top w:val="single" w:sz="6" w:space="0" w:color="auto"/>
              <w:left w:val="single" w:sz="4" w:space="0" w:color="auto"/>
              <w:bottom w:val="nil"/>
              <w:right w:val="single" w:sz="6" w:space="0" w:color="auto"/>
            </w:tcBorders>
            <w:hideMark/>
          </w:tcPr>
          <w:p w14:paraId="028374EE" w14:textId="77777777" w:rsidR="001F5A79" w:rsidRPr="009C5807" w:rsidRDefault="001F5A79" w:rsidP="00485F6E">
            <w:pPr>
              <w:pStyle w:val="TAC"/>
            </w:pPr>
            <w:r w:rsidRPr="009C5807">
              <w:rPr>
                <w:rFonts w:cs="Arial"/>
              </w:rPr>
              <w:t>±</w:t>
            </w:r>
            <w:r w:rsidRPr="009C5807">
              <w:t>6.5</w:t>
            </w:r>
          </w:p>
        </w:tc>
        <w:tc>
          <w:tcPr>
            <w:tcW w:w="1110" w:type="dxa"/>
            <w:tcBorders>
              <w:top w:val="single" w:sz="6" w:space="0" w:color="auto"/>
              <w:left w:val="single" w:sz="6" w:space="0" w:color="auto"/>
              <w:bottom w:val="nil"/>
              <w:right w:val="single" w:sz="4" w:space="0" w:color="auto"/>
            </w:tcBorders>
            <w:hideMark/>
          </w:tcPr>
          <w:p w14:paraId="08299127" w14:textId="77777777" w:rsidR="001F5A79" w:rsidRPr="009C5807" w:rsidRDefault="001F5A79" w:rsidP="00485F6E">
            <w:pPr>
              <w:pStyle w:val="TAC"/>
            </w:pPr>
            <w:r w:rsidRPr="009C5807">
              <w:rPr>
                <w:rFonts w:cs="Arial"/>
              </w:rPr>
              <w:t>±</w:t>
            </w:r>
            <w:r w:rsidRPr="009C5807">
              <w:t>9.5</w:t>
            </w:r>
          </w:p>
        </w:tc>
        <w:tc>
          <w:tcPr>
            <w:tcW w:w="1110" w:type="dxa"/>
            <w:tcBorders>
              <w:top w:val="single" w:sz="4" w:space="0" w:color="auto"/>
              <w:left w:val="single" w:sz="4" w:space="0" w:color="auto"/>
              <w:bottom w:val="single" w:sz="4" w:space="0" w:color="auto"/>
              <w:right w:val="single" w:sz="4" w:space="0" w:color="auto"/>
            </w:tcBorders>
            <w:hideMark/>
          </w:tcPr>
          <w:p w14:paraId="3DB22B9C" w14:textId="77777777" w:rsidR="001F5A79" w:rsidRPr="009C5807" w:rsidRDefault="001F5A79" w:rsidP="00485F6E">
            <w:pPr>
              <w:pStyle w:val="TAC"/>
            </w:pPr>
            <w:r w:rsidRPr="009C5807">
              <w:rPr>
                <w:rFonts w:eastAsia="Yu Mincho" w:cs="Arial"/>
                <w:lang w:eastAsia="ja-JP"/>
              </w:rPr>
              <w:t>≥-3</w:t>
            </w:r>
          </w:p>
        </w:tc>
        <w:tc>
          <w:tcPr>
            <w:tcW w:w="2232" w:type="dxa"/>
            <w:gridSpan w:val="2"/>
            <w:tcBorders>
              <w:top w:val="single" w:sz="6" w:space="0" w:color="auto"/>
              <w:left w:val="single" w:sz="4" w:space="0" w:color="auto"/>
              <w:bottom w:val="single" w:sz="6" w:space="0" w:color="auto"/>
              <w:right w:val="single" w:sz="6" w:space="0" w:color="auto"/>
            </w:tcBorders>
            <w:hideMark/>
          </w:tcPr>
          <w:p w14:paraId="773FD11B" w14:textId="77777777" w:rsidR="001F5A79" w:rsidRPr="009C5807" w:rsidRDefault="001F5A79" w:rsidP="00485F6E">
            <w:pPr>
              <w:pStyle w:val="TAC"/>
              <w:rPr>
                <w:rFonts w:eastAsia="Yu Mincho"/>
                <w:lang w:eastAsia="ja-JP"/>
              </w:rPr>
            </w:pPr>
            <w:r w:rsidRPr="009C5807">
              <w:t>Same value as CSI-RS_RP in Table B.2.4.2-2, according to UE Power class, operating band and angle of arrival</w:t>
            </w:r>
          </w:p>
        </w:tc>
        <w:tc>
          <w:tcPr>
            <w:tcW w:w="1578" w:type="dxa"/>
            <w:tcBorders>
              <w:top w:val="single" w:sz="6" w:space="0" w:color="auto"/>
              <w:left w:val="single" w:sz="6" w:space="0" w:color="auto"/>
              <w:bottom w:val="single" w:sz="6" w:space="0" w:color="auto"/>
              <w:right w:val="single" w:sz="6" w:space="0" w:color="auto"/>
            </w:tcBorders>
            <w:hideMark/>
          </w:tcPr>
          <w:p w14:paraId="6645FABB" w14:textId="77777777" w:rsidR="001F5A79" w:rsidRPr="009C5807" w:rsidRDefault="001F5A79" w:rsidP="00485F6E">
            <w:pPr>
              <w:pStyle w:val="TAC"/>
            </w:pPr>
            <w:r w:rsidRPr="009C5807">
              <w:rPr>
                <w:lang w:eastAsia="zh-CN"/>
              </w:rPr>
              <w:t>N/A</w:t>
            </w:r>
          </w:p>
        </w:tc>
        <w:tc>
          <w:tcPr>
            <w:tcW w:w="1579" w:type="dxa"/>
            <w:tcBorders>
              <w:top w:val="single" w:sz="6" w:space="0" w:color="auto"/>
              <w:left w:val="single" w:sz="6" w:space="0" w:color="auto"/>
              <w:bottom w:val="single" w:sz="6" w:space="0" w:color="auto"/>
              <w:right w:val="single" w:sz="4" w:space="0" w:color="auto"/>
            </w:tcBorders>
            <w:hideMark/>
          </w:tcPr>
          <w:p w14:paraId="25B0D6F0" w14:textId="77777777" w:rsidR="001F5A79" w:rsidRPr="009C5807" w:rsidRDefault="001F5A79" w:rsidP="00485F6E">
            <w:pPr>
              <w:pStyle w:val="TAC"/>
            </w:pPr>
            <w:r w:rsidRPr="009C5807">
              <w:t>-70</w:t>
            </w:r>
          </w:p>
        </w:tc>
      </w:tr>
      <w:tr w:rsidR="001F5A79" w:rsidRPr="009C5807" w14:paraId="35B4A9E3" w14:textId="77777777" w:rsidTr="00DF3064">
        <w:trPr>
          <w:jc w:val="center"/>
        </w:trPr>
        <w:tc>
          <w:tcPr>
            <w:tcW w:w="1111" w:type="dxa"/>
            <w:tcBorders>
              <w:top w:val="single" w:sz="6" w:space="0" w:color="auto"/>
              <w:left w:val="single" w:sz="4" w:space="0" w:color="auto"/>
              <w:bottom w:val="single" w:sz="6" w:space="0" w:color="auto"/>
              <w:right w:val="single" w:sz="6" w:space="0" w:color="auto"/>
            </w:tcBorders>
            <w:vAlign w:val="center"/>
            <w:hideMark/>
          </w:tcPr>
          <w:p w14:paraId="09F6791B" w14:textId="77777777" w:rsidR="001F5A79" w:rsidRPr="009C5807" w:rsidRDefault="001F5A79" w:rsidP="00330D9C">
            <w:pPr>
              <w:pStyle w:val="TAC"/>
            </w:pPr>
            <w:r w:rsidRPr="009C5807">
              <w:sym w:font="Symbol" w:char="F0B1"/>
            </w:r>
            <w:r w:rsidRPr="009C5807">
              <w:t>8.5</w:t>
            </w:r>
          </w:p>
        </w:tc>
        <w:tc>
          <w:tcPr>
            <w:tcW w:w="1110" w:type="dxa"/>
            <w:tcBorders>
              <w:top w:val="single" w:sz="6" w:space="0" w:color="auto"/>
              <w:left w:val="single" w:sz="6" w:space="0" w:color="auto"/>
              <w:bottom w:val="single" w:sz="6" w:space="0" w:color="auto"/>
              <w:right w:val="single" w:sz="6" w:space="0" w:color="auto"/>
            </w:tcBorders>
            <w:vAlign w:val="center"/>
            <w:hideMark/>
          </w:tcPr>
          <w:p w14:paraId="4F90C90A" w14:textId="77777777" w:rsidR="001F5A79" w:rsidRPr="009C5807" w:rsidRDefault="001F5A79" w:rsidP="00330D9C">
            <w:pPr>
              <w:pStyle w:val="TAC"/>
            </w:pPr>
            <w:r w:rsidRPr="009C5807">
              <w:sym w:font="Symbol" w:char="F0B1"/>
            </w:r>
            <w:r w:rsidRPr="009C5807">
              <w:t>11.5</w:t>
            </w:r>
          </w:p>
        </w:tc>
        <w:tc>
          <w:tcPr>
            <w:tcW w:w="1110" w:type="dxa"/>
            <w:tcBorders>
              <w:top w:val="single" w:sz="4" w:space="0" w:color="auto"/>
              <w:left w:val="single" w:sz="4" w:space="0" w:color="auto"/>
              <w:bottom w:val="single" w:sz="6" w:space="0" w:color="auto"/>
              <w:right w:val="single" w:sz="4" w:space="0" w:color="auto"/>
            </w:tcBorders>
            <w:hideMark/>
          </w:tcPr>
          <w:p w14:paraId="007D625F" w14:textId="77777777" w:rsidR="001F5A79" w:rsidRPr="009C5807" w:rsidRDefault="001F5A79" w:rsidP="00330D9C">
            <w:pPr>
              <w:pStyle w:val="TAC"/>
            </w:pPr>
            <w:r w:rsidRPr="009C5807">
              <w:rPr>
                <w:rFonts w:eastAsia="Yu Mincho" w:cs="Arial"/>
                <w:lang w:eastAsia="ja-JP"/>
              </w:rPr>
              <w:t>≥-3</w:t>
            </w:r>
          </w:p>
        </w:tc>
        <w:tc>
          <w:tcPr>
            <w:tcW w:w="2232" w:type="dxa"/>
            <w:gridSpan w:val="2"/>
            <w:tcBorders>
              <w:top w:val="single" w:sz="6" w:space="0" w:color="auto"/>
              <w:left w:val="single" w:sz="4" w:space="0" w:color="auto"/>
              <w:bottom w:val="single" w:sz="6" w:space="0" w:color="auto"/>
              <w:right w:val="single" w:sz="6" w:space="0" w:color="auto"/>
            </w:tcBorders>
            <w:vAlign w:val="center"/>
            <w:hideMark/>
          </w:tcPr>
          <w:p w14:paraId="653392E7" w14:textId="77777777" w:rsidR="001F5A79" w:rsidRPr="009C5807" w:rsidRDefault="001F5A79" w:rsidP="00330D9C">
            <w:pPr>
              <w:pStyle w:val="TAC"/>
            </w:pPr>
            <w:r w:rsidRPr="009C5807">
              <w:t>N/A</w:t>
            </w:r>
          </w:p>
        </w:tc>
        <w:tc>
          <w:tcPr>
            <w:tcW w:w="1578" w:type="dxa"/>
            <w:tcBorders>
              <w:top w:val="single" w:sz="6" w:space="0" w:color="auto"/>
              <w:left w:val="single" w:sz="6" w:space="0" w:color="auto"/>
              <w:bottom w:val="single" w:sz="6" w:space="0" w:color="auto"/>
              <w:right w:val="single" w:sz="6" w:space="0" w:color="auto"/>
            </w:tcBorders>
            <w:vAlign w:val="center"/>
            <w:hideMark/>
          </w:tcPr>
          <w:p w14:paraId="06979132" w14:textId="77777777" w:rsidR="001F5A79" w:rsidRPr="009C5807" w:rsidRDefault="001F5A79" w:rsidP="00330D9C">
            <w:pPr>
              <w:pStyle w:val="TAC"/>
            </w:pPr>
            <w:r w:rsidRPr="009C5807">
              <w:t>-70</w:t>
            </w:r>
          </w:p>
        </w:tc>
        <w:tc>
          <w:tcPr>
            <w:tcW w:w="1579" w:type="dxa"/>
            <w:tcBorders>
              <w:top w:val="single" w:sz="6" w:space="0" w:color="auto"/>
              <w:left w:val="single" w:sz="6" w:space="0" w:color="auto"/>
              <w:bottom w:val="single" w:sz="6" w:space="0" w:color="auto"/>
              <w:right w:val="single" w:sz="4" w:space="0" w:color="auto"/>
            </w:tcBorders>
            <w:vAlign w:val="center"/>
            <w:hideMark/>
          </w:tcPr>
          <w:p w14:paraId="7FA9F1F8" w14:textId="77777777" w:rsidR="001F5A79" w:rsidRPr="009C5807" w:rsidRDefault="001F5A79" w:rsidP="00330D9C">
            <w:pPr>
              <w:pStyle w:val="TAC"/>
            </w:pPr>
            <w:r w:rsidRPr="009C5807">
              <w:t>-50</w:t>
            </w:r>
          </w:p>
        </w:tc>
      </w:tr>
      <w:tr w:rsidR="001F5A79" w:rsidRPr="009C5807" w14:paraId="3BACB070" w14:textId="77777777" w:rsidTr="00DF3064">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6EE6276E" w14:textId="77777777" w:rsidR="001F5A79" w:rsidRPr="009C5807" w:rsidRDefault="001F5A79" w:rsidP="00330D9C">
            <w:pPr>
              <w:pStyle w:val="TAN"/>
            </w:pPr>
            <w:r w:rsidRPr="009C5807">
              <w:t>NOTE 1:</w:t>
            </w:r>
            <w:r w:rsidRPr="009C5807">
              <w:tab/>
              <w:t xml:space="preserve">Io </w:t>
            </w:r>
            <w:r w:rsidRPr="009C5807">
              <w:rPr>
                <w:rFonts w:eastAsia="MS Mincho"/>
              </w:rPr>
              <w:t>specified at the Reference point, and</w:t>
            </w:r>
            <w:r w:rsidRPr="009C5807">
              <w:t xml:space="preserve"> assumed to have constant EPRE across the bandwidth.</w:t>
            </w:r>
          </w:p>
          <w:p w14:paraId="0E83891F" w14:textId="77777777" w:rsidR="001F5A79" w:rsidRPr="009C5807" w:rsidRDefault="001F5A79" w:rsidP="00330D9C">
            <w:pPr>
              <w:pStyle w:val="TAN"/>
            </w:pPr>
            <w:r w:rsidRPr="009C5807">
              <w:t>NOTE 2:</w:t>
            </w:r>
            <w:r w:rsidRPr="009C5807">
              <w:tab/>
              <w:t>Values based on Refsens and EIS spherical coverage as defined in clauses 7.3.2 and 7.3.4 of TS 38.101-2 [19]. Applicable side condition selected depending on angle of arrival.</w:t>
            </w:r>
          </w:p>
          <w:p w14:paraId="67301BF0" w14:textId="77777777" w:rsidR="001F5A79" w:rsidRPr="009C5807" w:rsidRDefault="001F5A79" w:rsidP="00330D9C">
            <w:pPr>
              <w:pStyle w:val="TAN"/>
            </w:pPr>
            <w:r w:rsidRPr="009C5807">
              <w:t>NOTE 3:</w:t>
            </w:r>
            <w:r w:rsidRPr="009C5807">
              <w:tab/>
              <w:t xml:space="preserve">In the test cases, the CSI-RS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6AF981E4" w14:textId="77777777" w:rsidR="001F5A79" w:rsidRPr="009C5807" w:rsidRDefault="001F5A79" w:rsidP="001F5A79">
      <w:pPr>
        <w:rPr>
          <w:lang w:eastAsia="zh-CN"/>
        </w:rPr>
      </w:pPr>
    </w:p>
    <w:p w14:paraId="00F8F36E" w14:textId="77777777" w:rsidR="001F5A79" w:rsidRPr="009C5807" w:rsidRDefault="001F5A79" w:rsidP="00B018D8">
      <w:pPr>
        <w:pStyle w:val="Heading5"/>
      </w:pPr>
      <w:r w:rsidRPr="009C5807">
        <w:t>10.1.20.2.2</w:t>
      </w:r>
      <w:r w:rsidRPr="009C5807">
        <w:tab/>
        <w:t>Relative Accuracy</w:t>
      </w:r>
    </w:p>
    <w:p w14:paraId="699F7024" w14:textId="77777777" w:rsidR="001F5A79" w:rsidRPr="009C5807" w:rsidRDefault="001F5A79" w:rsidP="001F5A79">
      <w:pPr>
        <w:rPr>
          <w:rFonts w:cs="v4.2.0"/>
          <w:i/>
        </w:rPr>
      </w:pPr>
      <w:r w:rsidRPr="009C5807">
        <w:rPr>
          <w:rFonts w:cs="v4.2.0"/>
        </w:rPr>
        <w:t xml:space="preserve">The relative accuracy of </w:t>
      </w:r>
      <w:r w:rsidRPr="009C5807">
        <w:rPr>
          <w:rFonts w:cs="v4.2.0"/>
          <w:lang w:eastAsia="zh-CN"/>
        </w:rPr>
        <w:t>CSI-RS based L1-</w:t>
      </w:r>
      <w:r w:rsidRPr="009C5807">
        <w:rPr>
          <w:rFonts w:cs="v4.2.0"/>
        </w:rPr>
        <w:t xml:space="preserve">RSRP is defined as the </w:t>
      </w:r>
      <w:r w:rsidRPr="009C5807">
        <w:rPr>
          <w:rFonts w:cs="v4.2.0"/>
          <w:lang w:eastAsia="zh-CN"/>
        </w:rPr>
        <w:t>L1-</w:t>
      </w:r>
      <w:r w:rsidRPr="009C5807">
        <w:rPr>
          <w:rFonts w:cs="v4.2.0"/>
        </w:rPr>
        <w:t xml:space="preserve">RSRP measured from one CSI-RS compared to the </w:t>
      </w:r>
      <w:r w:rsidRPr="009C5807">
        <w:rPr>
          <w:lang w:val="en-US"/>
        </w:rPr>
        <w:t>largest measured value of L1-RSRP among all CSI-RS resources of the serving cell</w:t>
      </w:r>
      <w:r w:rsidRPr="009C5807">
        <w:rPr>
          <w:rFonts w:cs="v4.2.0"/>
        </w:rPr>
        <w:t>.</w:t>
      </w:r>
    </w:p>
    <w:p w14:paraId="249E033A" w14:textId="77777777" w:rsidR="001F5A79" w:rsidRPr="009C5807" w:rsidRDefault="001F5A79" w:rsidP="001F5A79">
      <w:pPr>
        <w:rPr>
          <w:rFonts w:cs="v4.2.0"/>
          <w:lang w:eastAsia="zh-CN"/>
        </w:rPr>
      </w:pPr>
      <w:r w:rsidRPr="009C5807">
        <w:rPr>
          <w:rFonts w:cs="v4.2.0"/>
        </w:rPr>
        <w:t xml:space="preserve">The accuracy requirements in Table </w:t>
      </w:r>
      <w:r w:rsidRPr="009C5807">
        <w:rPr>
          <w:lang w:eastAsia="zh-CN"/>
        </w:rPr>
        <w:t>10.1.20.2.2</w:t>
      </w:r>
      <w:r w:rsidRPr="009C5807">
        <w:rPr>
          <w:rFonts w:cs="v4.2.0"/>
        </w:rPr>
        <w:t>-1 are valid under the following conditions:</w:t>
      </w:r>
    </w:p>
    <w:p w14:paraId="5CEE8775" w14:textId="77777777" w:rsidR="001F5A79" w:rsidRPr="009C5807" w:rsidRDefault="001F5A79" w:rsidP="0093237A">
      <w:pPr>
        <w:pStyle w:val="B10"/>
      </w:pPr>
      <w:r w:rsidRPr="009C5807">
        <w:t>-</w:t>
      </w:r>
      <w:r w:rsidRPr="009C5807">
        <w:tab/>
        <w:t>Conditions defined in clause 7.3 of TS 38.101-2 [19] for reference sensitivity are fulfilled.</w:t>
      </w:r>
    </w:p>
    <w:p w14:paraId="45CF86F8" w14:textId="77777777" w:rsidR="001F5A79" w:rsidRPr="009C5807" w:rsidRDefault="001F5A79" w:rsidP="0093237A">
      <w:pPr>
        <w:pStyle w:val="B10"/>
        <w:rPr>
          <w:lang w:eastAsia="zh-CN"/>
        </w:rPr>
      </w:pPr>
      <w:r w:rsidRPr="009C5807">
        <w:t>-</w:t>
      </w:r>
      <w:r w:rsidRPr="009C5807">
        <w:tab/>
        <w:t xml:space="preserve">Conditions for L1-RSRP measurements are fulfilled according to Annex B.2.4.2 for a corresponding Band </w:t>
      </w:r>
      <w:r w:rsidRPr="009C5807">
        <w:rPr>
          <w:rFonts w:cs="v4.2.0"/>
          <w:lang w:eastAsia="ko-KR"/>
        </w:rPr>
        <w:t>for each relevant CSI-RS</w:t>
      </w:r>
      <w:r w:rsidRPr="009C5807">
        <w:rPr>
          <w:lang w:eastAsia="zh-CN"/>
        </w:rPr>
        <w:t>.</w:t>
      </w:r>
    </w:p>
    <w:p w14:paraId="4579AE69" w14:textId="77777777" w:rsidR="001F5A79" w:rsidRPr="009C5807" w:rsidRDefault="001F5A79" w:rsidP="0093237A">
      <w:pPr>
        <w:pStyle w:val="B10"/>
        <w:rPr>
          <w:lang w:eastAsia="zh-CN"/>
        </w:rPr>
      </w:pPr>
      <w:r w:rsidRPr="009C5807">
        <w:t>-</w:t>
      </w:r>
      <w:r w:rsidRPr="009C5807">
        <w:tab/>
      </w:r>
      <w:r w:rsidRPr="009C5807">
        <w:rPr>
          <w:lang w:eastAsia="zh-CN"/>
        </w:rPr>
        <w:t>The bandwidth of CSI-RS is 48 PRBs and the density is 3.</w:t>
      </w:r>
    </w:p>
    <w:p w14:paraId="6824D592" w14:textId="77777777" w:rsidR="001F5A79" w:rsidRPr="009C5807" w:rsidRDefault="001F5A79" w:rsidP="0093237A">
      <w:pPr>
        <w:pStyle w:val="B10"/>
        <w:rPr>
          <w:lang w:eastAsia="zh-CN"/>
        </w:rPr>
      </w:pPr>
      <w:r w:rsidRPr="009C5807">
        <w:t>-</w:t>
      </w:r>
      <w:r w:rsidRPr="009C5807">
        <w:tab/>
        <w:t xml:space="preserve">The measured signals are in the directions covered by the percentile EIS spherical coverage of the UE, defined in </w:t>
      </w:r>
      <w:r w:rsidRPr="009C5807">
        <w:rPr>
          <w:rFonts w:cs="Arial"/>
        </w:rPr>
        <w:t>clause 7.3.4 of TS 38.101-2 [19]</w:t>
      </w:r>
      <w:r w:rsidRPr="009C5807">
        <w:t>.</w:t>
      </w:r>
    </w:p>
    <w:p w14:paraId="682243AA" w14:textId="77777777" w:rsidR="001F5A79" w:rsidRPr="009C5807" w:rsidRDefault="001F5A79" w:rsidP="001F5A79">
      <w:pPr>
        <w:rPr>
          <w:lang w:eastAsia="zh-CN"/>
        </w:rPr>
      </w:pPr>
      <w:r w:rsidRPr="009C5807">
        <w:rPr>
          <w:lang w:eastAsia="zh-CN"/>
        </w:rPr>
        <w:t>The performance with larger bandwidth of CSI-RS is equal to or better than the accuracy requirements in Table 10.1.20.2.2-1.</w:t>
      </w:r>
    </w:p>
    <w:p w14:paraId="058AB3BE" w14:textId="77777777" w:rsidR="001F5A79" w:rsidRPr="009C5807" w:rsidRDefault="001F5A79" w:rsidP="0093237A">
      <w:pPr>
        <w:pStyle w:val="TH"/>
        <w:rPr>
          <w:noProof/>
        </w:rPr>
      </w:pPr>
      <w:r w:rsidRPr="009C5807">
        <w:t>Table 10.1.20.2.2-1: CSI-RS based L1-RSRP relative accuracy in FR2</w:t>
      </w:r>
    </w:p>
    <w:tbl>
      <w:tblPr>
        <w:tblW w:w="7019" w:type="dxa"/>
        <w:jc w:val="center"/>
        <w:tblLook w:val="01E0" w:firstRow="1" w:lastRow="1" w:firstColumn="1" w:lastColumn="1" w:noHBand="0" w:noVBand="0"/>
      </w:tblPr>
      <w:tblGrid>
        <w:gridCol w:w="1030"/>
        <w:gridCol w:w="1029"/>
        <w:gridCol w:w="1029"/>
        <w:gridCol w:w="1224"/>
        <w:gridCol w:w="1224"/>
        <w:gridCol w:w="1483"/>
      </w:tblGrid>
      <w:tr w:rsidR="001F5A79" w:rsidRPr="009C5807" w14:paraId="21A35154" w14:textId="77777777" w:rsidTr="00DF3064">
        <w:trPr>
          <w:jc w:val="center"/>
        </w:trPr>
        <w:tc>
          <w:tcPr>
            <w:tcW w:w="2059" w:type="dxa"/>
            <w:gridSpan w:val="2"/>
            <w:tcBorders>
              <w:top w:val="single" w:sz="6" w:space="0" w:color="auto"/>
              <w:left w:val="single" w:sz="4" w:space="0" w:color="auto"/>
              <w:bottom w:val="nil"/>
              <w:right w:val="single" w:sz="6" w:space="0" w:color="auto"/>
            </w:tcBorders>
            <w:vAlign w:val="center"/>
            <w:hideMark/>
          </w:tcPr>
          <w:p w14:paraId="351E317A" w14:textId="77777777" w:rsidR="001F5A79" w:rsidRPr="009C5807" w:rsidRDefault="001F5A79" w:rsidP="00CF56CF">
            <w:pPr>
              <w:pStyle w:val="TAH"/>
            </w:pPr>
            <w:r w:rsidRPr="009C5807">
              <w:t>Accuracy</w:t>
            </w:r>
          </w:p>
        </w:tc>
        <w:tc>
          <w:tcPr>
            <w:tcW w:w="4960" w:type="dxa"/>
            <w:gridSpan w:val="4"/>
            <w:tcBorders>
              <w:top w:val="single" w:sz="6" w:space="0" w:color="auto"/>
              <w:left w:val="single" w:sz="4" w:space="0" w:color="auto"/>
              <w:bottom w:val="nil"/>
              <w:right w:val="single" w:sz="4" w:space="0" w:color="auto"/>
            </w:tcBorders>
            <w:vAlign w:val="center"/>
            <w:hideMark/>
          </w:tcPr>
          <w:p w14:paraId="625CEAA9" w14:textId="77777777" w:rsidR="001F5A79" w:rsidRPr="009C5807" w:rsidRDefault="001F5A79" w:rsidP="00CF56CF">
            <w:pPr>
              <w:pStyle w:val="TAH"/>
            </w:pPr>
            <w:r w:rsidRPr="009C5807">
              <w:t>Conditions</w:t>
            </w:r>
          </w:p>
        </w:tc>
      </w:tr>
      <w:tr w:rsidR="00CF56CF" w:rsidRPr="009C5807" w14:paraId="5CA7A9FB" w14:textId="77777777" w:rsidTr="00CF56CF">
        <w:trPr>
          <w:jc w:val="center"/>
        </w:trPr>
        <w:tc>
          <w:tcPr>
            <w:tcW w:w="1030" w:type="dxa"/>
            <w:tcBorders>
              <w:top w:val="single" w:sz="4" w:space="0" w:color="auto"/>
              <w:left w:val="single" w:sz="4" w:space="0" w:color="auto"/>
              <w:right w:val="single" w:sz="4" w:space="0" w:color="auto"/>
            </w:tcBorders>
            <w:shd w:val="clear" w:color="auto" w:fill="auto"/>
            <w:hideMark/>
          </w:tcPr>
          <w:p w14:paraId="1173C7A1" w14:textId="77777777" w:rsidR="00CF56CF" w:rsidRPr="009C5807" w:rsidRDefault="00CF56CF" w:rsidP="00CF56CF">
            <w:pPr>
              <w:pStyle w:val="TAH"/>
            </w:pPr>
            <w:r w:rsidRPr="009C5807">
              <w:t>Normal condition</w:t>
            </w:r>
          </w:p>
        </w:tc>
        <w:tc>
          <w:tcPr>
            <w:tcW w:w="1029" w:type="dxa"/>
            <w:tcBorders>
              <w:top w:val="single" w:sz="4" w:space="0" w:color="auto"/>
              <w:left w:val="single" w:sz="4" w:space="0" w:color="auto"/>
              <w:right w:val="single" w:sz="4" w:space="0" w:color="auto"/>
            </w:tcBorders>
            <w:shd w:val="clear" w:color="auto" w:fill="auto"/>
            <w:hideMark/>
          </w:tcPr>
          <w:p w14:paraId="21BE233D" w14:textId="77777777" w:rsidR="00CF56CF" w:rsidRPr="009C5807" w:rsidRDefault="00CF56CF" w:rsidP="00CF56CF">
            <w:pPr>
              <w:pStyle w:val="TAH"/>
            </w:pPr>
            <w:r w:rsidRPr="009C5807">
              <w:t>Extreme condition</w:t>
            </w:r>
          </w:p>
        </w:tc>
        <w:tc>
          <w:tcPr>
            <w:tcW w:w="1029" w:type="dxa"/>
            <w:tcBorders>
              <w:top w:val="single" w:sz="4" w:space="0" w:color="auto"/>
              <w:left w:val="single" w:sz="4" w:space="0" w:color="auto"/>
              <w:right w:val="single" w:sz="4" w:space="0" w:color="auto"/>
            </w:tcBorders>
            <w:shd w:val="clear" w:color="auto" w:fill="auto"/>
            <w:hideMark/>
          </w:tcPr>
          <w:p w14:paraId="165A9409" w14:textId="77777777" w:rsidR="00CF56CF" w:rsidRPr="009C5807" w:rsidRDefault="00CF56CF" w:rsidP="00CF56CF">
            <w:pPr>
              <w:pStyle w:val="TAH"/>
            </w:pPr>
            <w:r w:rsidRPr="009C5807">
              <w:rPr>
                <w:rFonts w:cs="Arial"/>
              </w:rPr>
              <w:t>CSI-RS Ês/Iot</w:t>
            </w:r>
          </w:p>
        </w:tc>
        <w:tc>
          <w:tcPr>
            <w:tcW w:w="3931" w:type="dxa"/>
            <w:gridSpan w:val="3"/>
            <w:tcBorders>
              <w:top w:val="single" w:sz="6" w:space="0" w:color="auto"/>
              <w:left w:val="single" w:sz="4" w:space="0" w:color="auto"/>
              <w:bottom w:val="single" w:sz="6" w:space="0" w:color="auto"/>
              <w:right w:val="single" w:sz="4" w:space="0" w:color="auto"/>
            </w:tcBorders>
            <w:hideMark/>
          </w:tcPr>
          <w:p w14:paraId="2BEDCB94" w14:textId="77777777" w:rsidR="00CF56CF" w:rsidRPr="009C5807" w:rsidRDefault="00CF56CF" w:rsidP="00CF56CF">
            <w:pPr>
              <w:pStyle w:val="TAH"/>
            </w:pPr>
            <w:r w:rsidRPr="009C5807">
              <w:t>Io</w:t>
            </w:r>
            <w:r w:rsidRPr="009C5807">
              <w:rPr>
                <w:vertAlign w:val="superscript"/>
              </w:rPr>
              <w:t xml:space="preserve"> Note 1</w:t>
            </w:r>
            <w:r w:rsidRPr="009C5807">
              <w:t xml:space="preserve"> range</w:t>
            </w:r>
          </w:p>
        </w:tc>
      </w:tr>
      <w:tr w:rsidR="00CF56CF" w:rsidRPr="009C5807" w14:paraId="1323A262" w14:textId="77777777" w:rsidTr="00CF56CF">
        <w:trPr>
          <w:jc w:val="center"/>
        </w:trPr>
        <w:tc>
          <w:tcPr>
            <w:tcW w:w="0" w:type="auto"/>
            <w:tcBorders>
              <w:left w:val="single" w:sz="4" w:space="0" w:color="auto"/>
              <w:bottom w:val="single" w:sz="4" w:space="0" w:color="auto"/>
              <w:right w:val="single" w:sz="4" w:space="0" w:color="auto"/>
            </w:tcBorders>
            <w:shd w:val="clear" w:color="auto" w:fill="auto"/>
            <w:hideMark/>
          </w:tcPr>
          <w:p w14:paraId="2730EB62" w14:textId="77777777" w:rsidR="00CF56CF" w:rsidRPr="009C5807" w:rsidRDefault="00CF56CF" w:rsidP="00CF56CF">
            <w:pPr>
              <w:pStyle w:val="TAH"/>
            </w:pPr>
          </w:p>
        </w:tc>
        <w:tc>
          <w:tcPr>
            <w:tcW w:w="0" w:type="auto"/>
            <w:tcBorders>
              <w:left w:val="single" w:sz="4" w:space="0" w:color="auto"/>
              <w:bottom w:val="single" w:sz="4" w:space="0" w:color="auto"/>
              <w:right w:val="single" w:sz="4" w:space="0" w:color="auto"/>
            </w:tcBorders>
            <w:shd w:val="clear" w:color="auto" w:fill="auto"/>
            <w:hideMark/>
          </w:tcPr>
          <w:p w14:paraId="1AC2E958" w14:textId="77777777" w:rsidR="00CF56CF" w:rsidRPr="009C5807" w:rsidRDefault="00CF56CF" w:rsidP="00CF56CF">
            <w:pPr>
              <w:pStyle w:val="TAH"/>
            </w:pPr>
          </w:p>
        </w:tc>
        <w:tc>
          <w:tcPr>
            <w:tcW w:w="0" w:type="auto"/>
            <w:tcBorders>
              <w:left w:val="single" w:sz="4" w:space="0" w:color="auto"/>
              <w:bottom w:val="single" w:sz="4" w:space="0" w:color="auto"/>
              <w:right w:val="single" w:sz="4" w:space="0" w:color="auto"/>
            </w:tcBorders>
            <w:shd w:val="clear" w:color="auto" w:fill="auto"/>
            <w:hideMark/>
          </w:tcPr>
          <w:p w14:paraId="427E872C" w14:textId="77777777" w:rsidR="00CF56CF" w:rsidRPr="009C5807" w:rsidRDefault="00CF56CF" w:rsidP="00CF56CF">
            <w:pPr>
              <w:pStyle w:val="TAH"/>
            </w:pPr>
          </w:p>
        </w:tc>
        <w:tc>
          <w:tcPr>
            <w:tcW w:w="2448" w:type="dxa"/>
            <w:gridSpan w:val="2"/>
            <w:tcBorders>
              <w:top w:val="single" w:sz="6" w:space="0" w:color="auto"/>
              <w:left w:val="single" w:sz="4" w:space="0" w:color="auto"/>
              <w:bottom w:val="single" w:sz="6" w:space="0" w:color="auto"/>
              <w:right w:val="single" w:sz="6" w:space="0" w:color="auto"/>
            </w:tcBorders>
            <w:hideMark/>
          </w:tcPr>
          <w:p w14:paraId="0B14714A" w14:textId="77777777" w:rsidR="00CF56CF" w:rsidRPr="009C5807" w:rsidRDefault="00CF56CF" w:rsidP="00CF56CF">
            <w:pPr>
              <w:pStyle w:val="TAH"/>
              <w:rPr>
                <w:rFonts w:cs="Arial"/>
              </w:rPr>
            </w:pPr>
            <w:r w:rsidRPr="009C5807">
              <w:t>Minimum Io</w:t>
            </w:r>
          </w:p>
        </w:tc>
        <w:tc>
          <w:tcPr>
            <w:tcW w:w="1483" w:type="dxa"/>
            <w:tcBorders>
              <w:top w:val="single" w:sz="6" w:space="0" w:color="auto"/>
              <w:left w:val="single" w:sz="6" w:space="0" w:color="auto"/>
              <w:bottom w:val="nil"/>
              <w:right w:val="single" w:sz="4" w:space="0" w:color="auto"/>
            </w:tcBorders>
            <w:hideMark/>
          </w:tcPr>
          <w:p w14:paraId="2A4AD03E" w14:textId="77777777" w:rsidR="00CF56CF" w:rsidRPr="009C5807" w:rsidRDefault="00CF56CF" w:rsidP="00CF56CF">
            <w:pPr>
              <w:pStyle w:val="TAH"/>
            </w:pPr>
            <w:r w:rsidRPr="009C5807">
              <w:t>Maximum Io</w:t>
            </w:r>
          </w:p>
        </w:tc>
      </w:tr>
      <w:tr w:rsidR="001F5A79" w:rsidRPr="009C5807" w14:paraId="79B81041" w14:textId="77777777" w:rsidTr="00CF56CF">
        <w:trPr>
          <w:jc w:val="center"/>
        </w:trPr>
        <w:tc>
          <w:tcPr>
            <w:tcW w:w="1030" w:type="dxa"/>
            <w:tcBorders>
              <w:top w:val="single" w:sz="4" w:space="0" w:color="auto"/>
              <w:left w:val="single" w:sz="4" w:space="0" w:color="auto"/>
              <w:right w:val="single" w:sz="6" w:space="0" w:color="auto"/>
            </w:tcBorders>
            <w:hideMark/>
          </w:tcPr>
          <w:p w14:paraId="5919447E" w14:textId="77777777" w:rsidR="001F5A79" w:rsidRPr="009C5807" w:rsidRDefault="001F5A79" w:rsidP="00CF56CF">
            <w:pPr>
              <w:pStyle w:val="TAH"/>
            </w:pPr>
            <w:r w:rsidRPr="009C5807">
              <w:t>dB</w:t>
            </w:r>
          </w:p>
        </w:tc>
        <w:tc>
          <w:tcPr>
            <w:tcW w:w="1029" w:type="dxa"/>
            <w:tcBorders>
              <w:top w:val="single" w:sz="4" w:space="0" w:color="auto"/>
              <w:left w:val="single" w:sz="6" w:space="0" w:color="auto"/>
              <w:right w:val="single" w:sz="6" w:space="0" w:color="auto"/>
            </w:tcBorders>
            <w:hideMark/>
          </w:tcPr>
          <w:p w14:paraId="39658D23" w14:textId="77777777" w:rsidR="001F5A79" w:rsidRPr="009C5807" w:rsidRDefault="001F5A79" w:rsidP="00CF56CF">
            <w:pPr>
              <w:pStyle w:val="TAH"/>
            </w:pPr>
            <w:r w:rsidRPr="009C5807">
              <w:t>dB</w:t>
            </w:r>
          </w:p>
        </w:tc>
        <w:tc>
          <w:tcPr>
            <w:tcW w:w="1029" w:type="dxa"/>
            <w:tcBorders>
              <w:top w:val="single" w:sz="4" w:space="0" w:color="auto"/>
              <w:left w:val="single" w:sz="4" w:space="0" w:color="auto"/>
              <w:right w:val="single" w:sz="4" w:space="0" w:color="auto"/>
            </w:tcBorders>
            <w:hideMark/>
          </w:tcPr>
          <w:p w14:paraId="07E438C2" w14:textId="77777777" w:rsidR="001F5A79" w:rsidRPr="009C5807" w:rsidRDefault="001F5A79" w:rsidP="00CF56CF">
            <w:pPr>
              <w:pStyle w:val="TAH"/>
              <w:rPr>
                <w:rFonts w:cs="Arial"/>
              </w:rPr>
            </w:pPr>
            <w:r w:rsidRPr="009C5807">
              <w:t>dB</w:t>
            </w:r>
          </w:p>
        </w:tc>
        <w:tc>
          <w:tcPr>
            <w:tcW w:w="2448" w:type="dxa"/>
            <w:gridSpan w:val="2"/>
            <w:tcBorders>
              <w:top w:val="single" w:sz="6" w:space="0" w:color="auto"/>
              <w:left w:val="single" w:sz="4" w:space="0" w:color="auto"/>
              <w:bottom w:val="single" w:sz="6" w:space="0" w:color="auto"/>
              <w:right w:val="single" w:sz="6" w:space="0" w:color="auto"/>
            </w:tcBorders>
            <w:hideMark/>
          </w:tcPr>
          <w:p w14:paraId="59621110" w14:textId="77777777" w:rsidR="001F5A79" w:rsidRPr="009C5807" w:rsidRDefault="001F5A79" w:rsidP="00CF56CF">
            <w:pPr>
              <w:pStyle w:val="TAH"/>
            </w:pPr>
            <w:r w:rsidRPr="009C5807">
              <w:rPr>
                <w:rFonts w:cs="Arial"/>
              </w:rPr>
              <w:t xml:space="preserve">dBm / </w:t>
            </w:r>
            <w:r w:rsidRPr="009C5807">
              <w:t>SCS</w:t>
            </w:r>
            <w:r w:rsidRPr="009C5807">
              <w:rPr>
                <w:vertAlign w:val="subscript"/>
              </w:rPr>
              <w:t>CSI-RS</w:t>
            </w:r>
          </w:p>
        </w:tc>
        <w:tc>
          <w:tcPr>
            <w:tcW w:w="1483" w:type="dxa"/>
            <w:tcBorders>
              <w:top w:val="single" w:sz="6" w:space="0" w:color="auto"/>
              <w:left w:val="single" w:sz="6" w:space="0" w:color="auto"/>
              <w:right w:val="single" w:sz="4" w:space="0" w:color="auto"/>
            </w:tcBorders>
            <w:hideMark/>
          </w:tcPr>
          <w:p w14:paraId="2235818F" w14:textId="77777777" w:rsidR="001F5A79" w:rsidRPr="009C5807" w:rsidRDefault="001F5A79" w:rsidP="00CF56CF">
            <w:pPr>
              <w:pStyle w:val="TAH"/>
            </w:pPr>
            <w:r w:rsidRPr="009C5807">
              <w:t>dBm/BW</w:t>
            </w:r>
            <w:r w:rsidRPr="009C5807">
              <w:rPr>
                <w:vertAlign w:val="subscript"/>
              </w:rPr>
              <w:t>Channel</w:t>
            </w:r>
          </w:p>
        </w:tc>
      </w:tr>
      <w:tr w:rsidR="001F5A79" w:rsidRPr="009C5807" w14:paraId="119E730D" w14:textId="77777777" w:rsidTr="00CF56CF">
        <w:trPr>
          <w:jc w:val="center"/>
        </w:trPr>
        <w:tc>
          <w:tcPr>
            <w:tcW w:w="0" w:type="auto"/>
            <w:tcBorders>
              <w:left w:val="single" w:sz="4" w:space="0" w:color="auto"/>
              <w:bottom w:val="single" w:sz="6" w:space="0" w:color="auto"/>
              <w:right w:val="single" w:sz="6" w:space="0" w:color="auto"/>
            </w:tcBorders>
            <w:hideMark/>
          </w:tcPr>
          <w:p w14:paraId="25548E7E" w14:textId="77777777" w:rsidR="001F5A79" w:rsidRPr="009C5807" w:rsidRDefault="001F5A79" w:rsidP="00CF56CF">
            <w:pPr>
              <w:pStyle w:val="TAH"/>
            </w:pPr>
          </w:p>
        </w:tc>
        <w:tc>
          <w:tcPr>
            <w:tcW w:w="0" w:type="auto"/>
            <w:tcBorders>
              <w:left w:val="single" w:sz="6" w:space="0" w:color="auto"/>
              <w:bottom w:val="single" w:sz="6" w:space="0" w:color="auto"/>
              <w:right w:val="single" w:sz="6" w:space="0" w:color="auto"/>
            </w:tcBorders>
            <w:hideMark/>
          </w:tcPr>
          <w:p w14:paraId="37EB3B6F" w14:textId="77777777" w:rsidR="001F5A79" w:rsidRPr="009C5807" w:rsidRDefault="001F5A79" w:rsidP="00CF56CF">
            <w:pPr>
              <w:pStyle w:val="TAH"/>
            </w:pPr>
          </w:p>
        </w:tc>
        <w:tc>
          <w:tcPr>
            <w:tcW w:w="0" w:type="auto"/>
            <w:tcBorders>
              <w:left w:val="single" w:sz="4" w:space="0" w:color="auto"/>
              <w:bottom w:val="single" w:sz="6" w:space="0" w:color="auto"/>
              <w:right w:val="single" w:sz="4" w:space="0" w:color="auto"/>
            </w:tcBorders>
            <w:hideMark/>
          </w:tcPr>
          <w:p w14:paraId="5653EBFD" w14:textId="77777777" w:rsidR="001F5A79" w:rsidRPr="009C5807" w:rsidRDefault="001F5A79" w:rsidP="00CF56CF">
            <w:pPr>
              <w:pStyle w:val="TAH"/>
              <w:rPr>
                <w:rFonts w:cs="Arial"/>
              </w:rPr>
            </w:pPr>
          </w:p>
        </w:tc>
        <w:tc>
          <w:tcPr>
            <w:tcW w:w="1224" w:type="dxa"/>
            <w:tcBorders>
              <w:top w:val="single" w:sz="6" w:space="0" w:color="auto"/>
              <w:left w:val="single" w:sz="4" w:space="0" w:color="auto"/>
              <w:bottom w:val="single" w:sz="6" w:space="0" w:color="auto"/>
              <w:right w:val="single" w:sz="6" w:space="0" w:color="auto"/>
            </w:tcBorders>
            <w:hideMark/>
          </w:tcPr>
          <w:p w14:paraId="6C911A81" w14:textId="77777777" w:rsidR="001F5A79" w:rsidRPr="009C5807" w:rsidRDefault="001F5A79" w:rsidP="00CF56CF">
            <w:pPr>
              <w:pStyle w:val="TAH"/>
            </w:pPr>
            <w:r w:rsidRPr="009C5807">
              <w:t>SCS</w:t>
            </w:r>
            <w:r w:rsidRPr="009C5807">
              <w:rPr>
                <w:vertAlign w:val="subscript"/>
              </w:rPr>
              <w:t>CSI-RS</w:t>
            </w:r>
            <w:r w:rsidRPr="009C5807">
              <w:rPr>
                <w:rFonts w:cs="Arial"/>
              </w:rPr>
              <w:t xml:space="preserve"> = 60kHz</w:t>
            </w:r>
          </w:p>
        </w:tc>
        <w:tc>
          <w:tcPr>
            <w:tcW w:w="1224" w:type="dxa"/>
            <w:tcBorders>
              <w:top w:val="single" w:sz="6" w:space="0" w:color="auto"/>
              <w:left w:val="single" w:sz="4" w:space="0" w:color="auto"/>
              <w:bottom w:val="single" w:sz="6" w:space="0" w:color="auto"/>
              <w:right w:val="single" w:sz="6" w:space="0" w:color="auto"/>
            </w:tcBorders>
            <w:hideMark/>
          </w:tcPr>
          <w:p w14:paraId="15B2BFA7" w14:textId="77777777" w:rsidR="001F5A79" w:rsidRPr="009C5807" w:rsidRDefault="001F5A79" w:rsidP="00CF56CF">
            <w:pPr>
              <w:pStyle w:val="TAH"/>
            </w:pPr>
            <w:r w:rsidRPr="009C5807">
              <w:t>SCS</w:t>
            </w:r>
            <w:r w:rsidRPr="009C5807">
              <w:rPr>
                <w:vertAlign w:val="subscript"/>
              </w:rPr>
              <w:t>CSI-RS</w:t>
            </w:r>
            <w:r w:rsidRPr="009C5807">
              <w:rPr>
                <w:rFonts w:cs="Arial"/>
              </w:rPr>
              <w:t xml:space="preserve"> = 120kHz</w:t>
            </w:r>
          </w:p>
        </w:tc>
        <w:tc>
          <w:tcPr>
            <w:tcW w:w="0" w:type="auto"/>
            <w:tcBorders>
              <w:left w:val="single" w:sz="6" w:space="0" w:color="auto"/>
              <w:bottom w:val="single" w:sz="6" w:space="0" w:color="auto"/>
              <w:right w:val="single" w:sz="4" w:space="0" w:color="auto"/>
            </w:tcBorders>
            <w:hideMark/>
          </w:tcPr>
          <w:p w14:paraId="056F15A8" w14:textId="77777777" w:rsidR="001F5A79" w:rsidRPr="009C5807" w:rsidRDefault="001F5A79" w:rsidP="00CF56CF">
            <w:pPr>
              <w:pStyle w:val="TAH"/>
            </w:pPr>
          </w:p>
        </w:tc>
      </w:tr>
      <w:tr w:rsidR="001F5A79" w:rsidRPr="009C5807" w14:paraId="436C7035" w14:textId="77777777" w:rsidTr="00CF56CF">
        <w:trPr>
          <w:jc w:val="center"/>
        </w:trPr>
        <w:tc>
          <w:tcPr>
            <w:tcW w:w="1030" w:type="dxa"/>
            <w:tcBorders>
              <w:top w:val="single" w:sz="6" w:space="0" w:color="auto"/>
              <w:left w:val="single" w:sz="4" w:space="0" w:color="auto"/>
              <w:bottom w:val="single" w:sz="6" w:space="0" w:color="auto"/>
              <w:right w:val="single" w:sz="6" w:space="0" w:color="auto"/>
            </w:tcBorders>
            <w:hideMark/>
          </w:tcPr>
          <w:p w14:paraId="06B062DD" w14:textId="77777777" w:rsidR="001F5A79" w:rsidRPr="009C5807" w:rsidRDefault="001F5A79" w:rsidP="00CF56CF">
            <w:pPr>
              <w:pStyle w:val="TAC"/>
            </w:pPr>
            <w:r w:rsidRPr="009C5807">
              <w:sym w:font="Symbol" w:char="F0B1"/>
            </w:r>
            <w:r w:rsidRPr="009C5807">
              <w:t>6.5</w:t>
            </w:r>
          </w:p>
        </w:tc>
        <w:tc>
          <w:tcPr>
            <w:tcW w:w="1029" w:type="dxa"/>
            <w:tcBorders>
              <w:top w:val="single" w:sz="6" w:space="0" w:color="auto"/>
              <w:left w:val="single" w:sz="6" w:space="0" w:color="auto"/>
              <w:bottom w:val="single" w:sz="6" w:space="0" w:color="auto"/>
              <w:right w:val="single" w:sz="6" w:space="0" w:color="auto"/>
            </w:tcBorders>
            <w:hideMark/>
          </w:tcPr>
          <w:p w14:paraId="37CD610C" w14:textId="77777777" w:rsidR="001F5A79" w:rsidRPr="009C5807" w:rsidRDefault="001F5A79" w:rsidP="00CF56CF">
            <w:pPr>
              <w:pStyle w:val="TAC"/>
            </w:pPr>
            <w:r w:rsidRPr="009C5807">
              <w:sym w:font="Symbol" w:char="F0B1"/>
            </w:r>
            <w:r w:rsidRPr="009C5807">
              <w:t>9.5</w:t>
            </w:r>
          </w:p>
        </w:tc>
        <w:tc>
          <w:tcPr>
            <w:tcW w:w="1029" w:type="dxa"/>
            <w:tcBorders>
              <w:top w:val="single" w:sz="6" w:space="0" w:color="auto"/>
              <w:left w:val="single" w:sz="4" w:space="0" w:color="auto"/>
              <w:bottom w:val="single" w:sz="6" w:space="0" w:color="auto"/>
              <w:right w:val="single" w:sz="4" w:space="0" w:color="auto"/>
            </w:tcBorders>
            <w:hideMark/>
          </w:tcPr>
          <w:p w14:paraId="5D10DC01" w14:textId="77777777" w:rsidR="001F5A79" w:rsidRPr="009C5807" w:rsidRDefault="001F5A79" w:rsidP="00CF56CF">
            <w:pPr>
              <w:pStyle w:val="TAC"/>
            </w:pPr>
            <w:r w:rsidRPr="009C5807">
              <w:rPr>
                <w:rFonts w:eastAsia="Yu Mincho" w:cs="Arial"/>
                <w:lang w:eastAsia="ja-JP"/>
              </w:rPr>
              <w:t>≥-3</w:t>
            </w:r>
          </w:p>
        </w:tc>
        <w:tc>
          <w:tcPr>
            <w:tcW w:w="2448" w:type="dxa"/>
            <w:gridSpan w:val="2"/>
            <w:tcBorders>
              <w:top w:val="single" w:sz="6" w:space="0" w:color="auto"/>
              <w:left w:val="single" w:sz="4" w:space="0" w:color="auto"/>
              <w:bottom w:val="single" w:sz="6" w:space="0" w:color="auto"/>
              <w:right w:val="single" w:sz="6" w:space="0" w:color="auto"/>
            </w:tcBorders>
            <w:hideMark/>
          </w:tcPr>
          <w:p w14:paraId="6AD4F99D" w14:textId="77777777" w:rsidR="001F5A79" w:rsidRPr="009C5807" w:rsidRDefault="001F5A79" w:rsidP="00CF56CF">
            <w:pPr>
              <w:pStyle w:val="TAC"/>
              <w:rPr>
                <w:rFonts w:eastAsia="Yu Mincho"/>
                <w:lang w:eastAsia="ja-JP"/>
              </w:rPr>
            </w:pPr>
            <w:r w:rsidRPr="009C5807">
              <w:t>Same value as CSI-RS RP in Table B.2.4.2-2, according to UE Power class, operating band and angle of arrival</w:t>
            </w:r>
          </w:p>
        </w:tc>
        <w:tc>
          <w:tcPr>
            <w:tcW w:w="1483" w:type="dxa"/>
            <w:tcBorders>
              <w:top w:val="single" w:sz="6" w:space="0" w:color="auto"/>
              <w:left w:val="single" w:sz="6" w:space="0" w:color="auto"/>
              <w:bottom w:val="single" w:sz="6" w:space="0" w:color="auto"/>
              <w:right w:val="single" w:sz="4" w:space="0" w:color="auto"/>
            </w:tcBorders>
            <w:hideMark/>
          </w:tcPr>
          <w:p w14:paraId="0778E16B" w14:textId="77777777" w:rsidR="001F5A79" w:rsidRPr="009C5807" w:rsidRDefault="001F5A79" w:rsidP="00CF56CF">
            <w:pPr>
              <w:pStyle w:val="TAC"/>
            </w:pPr>
            <w:r w:rsidRPr="009C5807">
              <w:t>-50</w:t>
            </w:r>
          </w:p>
        </w:tc>
      </w:tr>
      <w:tr w:rsidR="001F5A79" w:rsidRPr="009C5807" w14:paraId="04A7C5D1" w14:textId="77777777" w:rsidTr="00DF3064">
        <w:trPr>
          <w:jc w:val="center"/>
        </w:trPr>
        <w:tc>
          <w:tcPr>
            <w:tcW w:w="7019" w:type="dxa"/>
            <w:gridSpan w:val="6"/>
            <w:tcBorders>
              <w:top w:val="single" w:sz="6" w:space="0" w:color="auto"/>
              <w:left w:val="single" w:sz="4" w:space="0" w:color="auto"/>
              <w:bottom w:val="single" w:sz="4" w:space="0" w:color="auto"/>
              <w:right w:val="single" w:sz="4" w:space="0" w:color="auto"/>
            </w:tcBorders>
            <w:vAlign w:val="center"/>
            <w:hideMark/>
          </w:tcPr>
          <w:p w14:paraId="32196CC8" w14:textId="77777777" w:rsidR="001F5A79" w:rsidRPr="009C5807" w:rsidRDefault="001F5A79" w:rsidP="00CF56CF">
            <w:pPr>
              <w:pStyle w:val="TAN"/>
            </w:pPr>
            <w:r w:rsidRPr="009C5807">
              <w:t>NOTE 1:</w:t>
            </w:r>
            <w:r w:rsidRPr="009C5807">
              <w:tab/>
              <w:t xml:space="preserve">Io </w:t>
            </w:r>
            <w:r w:rsidRPr="009C5807">
              <w:rPr>
                <w:rFonts w:eastAsia="MS Mincho"/>
              </w:rPr>
              <w:t>specified at the Reference point, and</w:t>
            </w:r>
            <w:r w:rsidRPr="009C5807">
              <w:t xml:space="preserve"> assumed to have constant EPRE across the bandwidth.</w:t>
            </w:r>
          </w:p>
          <w:p w14:paraId="146F1218" w14:textId="77777777" w:rsidR="001F5A79" w:rsidRPr="009C5807" w:rsidRDefault="001F5A79" w:rsidP="00CF56CF">
            <w:pPr>
              <w:pStyle w:val="TAN"/>
              <w:rPr>
                <w:lang w:eastAsia="zh-CN"/>
              </w:rPr>
            </w:pPr>
            <w:r w:rsidRPr="009C5807">
              <w:t>N</w:t>
            </w:r>
            <w:r w:rsidRPr="009C5807">
              <w:rPr>
                <w:lang w:eastAsia="zh-CN"/>
              </w:rPr>
              <w:t>OTE</w:t>
            </w:r>
            <w:r w:rsidRPr="009C5807">
              <w:t xml:space="preserve"> 2:</w:t>
            </w:r>
            <w:r w:rsidRPr="009C5807">
              <w:tab/>
            </w:r>
            <w:r w:rsidRPr="009C5807">
              <w:rPr>
                <w:lang w:eastAsia="zh-CN"/>
              </w:rPr>
              <w:t xml:space="preserve">The parameter CSI-RS </w:t>
            </w:r>
            <w:r w:rsidRPr="009C5807">
              <w:t>Ês/Iot</w:t>
            </w:r>
            <w:r w:rsidRPr="009C5807">
              <w:rPr>
                <w:lang w:eastAsia="zh-CN"/>
              </w:rPr>
              <w:t xml:space="preserve"> is the minimum CSI-RS </w:t>
            </w:r>
            <w:r w:rsidRPr="009C5807">
              <w:t>Ês/Iot</w:t>
            </w:r>
            <w:r w:rsidRPr="009C5807">
              <w:rPr>
                <w:lang w:eastAsia="zh-CN"/>
              </w:rPr>
              <w:t xml:space="preserve"> of the pair of CSI-RS resources to which the requirement applies.</w:t>
            </w:r>
          </w:p>
          <w:p w14:paraId="0415E99B" w14:textId="77777777" w:rsidR="001F5A79" w:rsidRPr="009C5807" w:rsidRDefault="001F5A79" w:rsidP="00CF56CF">
            <w:pPr>
              <w:pStyle w:val="TAN"/>
            </w:pPr>
            <w:r w:rsidRPr="009C5807">
              <w:rPr>
                <w:rFonts w:cs="Arial"/>
                <w:szCs w:val="18"/>
              </w:rPr>
              <w:t>NOTE 3:</w:t>
            </w:r>
            <w:r w:rsidRPr="009C5807">
              <w:rPr>
                <w:rFonts w:cs="Arial"/>
                <w:szCs w:val="18"/>
              </w:rPr>
              <w:tab/>
            </w:r>
            <w:r w:rsidRPr="009C5807">
              <w:t>Values based on Refsens and EIS spherical coverage as defined in clauses 7.3.2 and 7.3.4 of TS 38.101-2 [19]. Applicable side condition selected depending on angle of arrival.</w:t>
            </w:r>
          </w:p>
          <w:p w14:paraId="57AF8C57" w14:textId="77777777" w:rsidR="001F5A79" w:rsidRPr="009C5807" w:rsidRDefault="001F5A79" w:rsidP="00CF56CF">
            <w:pPr>
              <w:pStyle w:val="TAN"/>
            </w:pPr>
            <w:r w:rsidRPr="009C5807">
              <w:t>NOTE 4:</w:t>
            </w:r>
            <w:r w:rsidRPr="009C5807">
              <w:tab/>
              <w:t xml:space="preserve">In the test cases, the CSI-RS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335C9F18" w14:textId="77777777" w:rsidR="001F5A79" w:rsidRPr="009C5807" w:rsidRDefault="001F5A79" w:rsidP="001F5A79">
      <w:pPr>
        <w:rPr>
          <w:noProof/>
        </w:rPr>
      </w:pPr>
    </w:p>
    <w:p w14:paraId="03503018" w14:textId="7E4ADB54" w:rsidR="001F5A79" w:rsidRPr="009C5807" w:rsidRDefault="001F5A79" w:rsidP="00967CF8">
      <w:pPr>
        <w:pStyle w:val="Heading3"/>
        <w:rPr>
          <w:lang w:val="en-US"/>
        </w:rPr>
      </w:pPr>
      <w:bookmarkStart w:id="9" w:name="_Toc5952724"/>
      <w:r w:rsidRPr="009C5807">
        <w:rPr>
          <w:lang w:val="en-US"/>
        </w:rPr>
        <w:t>1</w:t>
      </w:r>
      <w:r w:rsidR="00967CF8" w:rsidRPr="009C5807">
        <w:rPr>
          <w:lang w:val="en-US"/>
        </w:rPr>
        <w:t>0.1.2</w:t>
      </w:r>
      <w:r w:rsidRPr="009C5807">
        <w:rPr>
          <w:lang w:val="en-US"/>
        </w:rPr>
        <w:t>1</w:t>
      </w:r>
      <w:r w:rsidRPr="009C5807">
        <w:rPr>
          <w:lang w:val="en-US"/>
        </w:rPr>
        <w:tab/>
        <w:t>SFTD accuracy requirements</w:t>
      </w:r>
      <w:bookmarkEnd w:id="9"/>
    </w:p>
    <w:p w14:paraId="3651AA10" w14:textId="77777777" w:rsidR="001F5A79" w:rsidRPr="009C5807" w:rsidRDefault="001F5A79" w:rsidP="00B018D8">
      <w:pPr>
        <w:pStyle w:val="Heading4"/>
        <w:rPr>
          <w:lang w:val="en-US" w:eastAsia="zh-CN"/>
        </w:rPr>
      </w:pPr>
      <w:bookmarkStart w:id="10" w:name="_Toc5952725"/>
      <w:r w:rsidRPr="009C5807">
        <w:rPr>
          <w:lang w:val="en-US"/>
        </w:rPr>
        <w:t>10.1.21.1</w:t>
      </w:r>
      <w:r w:rsidRPr="009C5807">
        <w:rPr>
          <w:lang w:val="en-US"/>
        </w:rPr>
        <w:tab/>
        <w:t>SFTD acuracy requirements for NE-DC</w:t>
      </w:r>
      <w:bookmarkEnd w:id="10"/>
    </w:p>
    <w:p w14:paraId="75F5FB22" w14:textId="77777777" w:rsidR="001F5A79" w:rsidRPr="009C5807" w:rsidRDefault="001F5A79" w:rsidP="001F5A79">
      <w:r w:rsidRPr="009C5807">
        <w:t>Th</w:t>
      </w:r>
      <w:r w:rsidRPr="009C5807">
        <w:rPr>
          <w:rFonts w:eastAsia="MS Mincho"/>
        </w:rPr>
        <w:t>e</w:t>
      </w:r>
      <w:r w:rsidRPr="009C5807">
        <w:t xml:space="preserve"> </w:t>
      </w:r>
      <w:r w:rsidRPr="009C5807">
        <w:rPr>
          <w:lang w:eastAsia="zh-CN"/>
        </w:rPr>
        <w:t>SFN and frame</w:t>
      </w:r>
      <w:r w:rsidRPr="009C5807">
        <w:t xml:space="preserve"> timing difference </w:t>
      </w:r>
      <w:r w:rsidRPr="009C5807">
        <w:rPr>
          <w:lang w:eastAsia="zh-CN"/>
        </w:rPr>
        <w:t xml:space="preserve">(SFTD) </w:t>
      </w:r>
      <w:r w:rsidRPr="009C5807">
        <w:t xml:space="preserve">is measured </w:t>
      </w:r>
      <w:r w:rsidRPr="009C5807">
        <w:rPr>
          <w:lang w:eastAsia="zh-CN"/>
        </w:rPr>
        <w:t>between PCell and E-UTRAN PSCell under NE-DC</w:t>
      </w:r>
      <w:r w:rsidRPr="009C5807">
        <w:t>.</w:t>
      </w:r>
    </w:p>
    <w:p w14:paraId="78B03797" w14:textId="77777777" w:rsidR="001F5A79" w:rsidRPr="009C5807" w:rsidRDefault="001F5A79" w:rsidP="001F5A79">
      <w:pPr>
        <w:rPr>
          <w:rFonts w:cs="v4.2.0"/>
        </w:rPr>
      </w:pPr>
      <w:r w:rsidRPr="009C5807">
        <w:rPr>
          <w:rFonts w:cs="v4.2.0"/>
        </w:rPr>
        <w:t>The accuracy requirements in Table 10.1.21.1-4 are appilicable under the following conditions:</w:t>
      </w:r>
    </w:p>
    <w:p w14:paraId="1B519FF5" w14:textId="77777777" w:rsidR="001F5A79" w:rsidRPr="009C5807" w:rsidRDefault="001F5A79" w:rsidP="00D638F6">
      <w:pPr>
        <w:pStyle w:val="B10"/>
      </w:pPr>
      <w:r w:rsidRPr="009C5807">
        <w:t xml:space="preserve">For FR1 PCell </w:t>
      </w:r>
      <w:r w:rsidRPr="009C5807">
        <w:rPr>
          <w:lang w:eastAsia="zh-CN"/>
        </w:rPr>
        <w:t>SFN and frame</w:t>
      </w:r>
      <w:r w:rsidRPr="009C5807">
        <w:t xml:space="preserve"> timing measurement:</w:t>
      </w:r>
    </w:p>
    <w:p w14:paraId="25723679" w14:textId="77777777" w:rsidR="001F5A79" w:rsidRPr="009C5807" w:rsidRDefault="001F5A79" w:rsidP="0093237A">
      <w:pPr>
        <w:pStyle w:val="B10"/>
      </w:pPr>
      <w:r w:rsidRPr="009C5807">
        <w:tab/>
        <w:t>-</w:t>
      </w:r>
      <w:r w:rsidRPr="009C5807">
        <w:tab/>
        <w:t>Conditions defined in clause 7.3 of TS 38.101-1 [18] for reference sensitivity are fulfilled.</w:t>
      </w:r>
    </w:p>
    <w:p w14:paraId="29A089D7" w14:textId="77777777" w:rsidR="001F5A79" w:rsidRPr="009C5807" w:rsidRDefault="001F5A79" w:rsidP="0093237A">
      <w:pPr>
        <w:pStyle w:val="B10"/>
      </w:pPr>
      <w:r w:rsidRPr="009C5807">
        <w:tab/>
        <w:t>-</w:t>
      </w:r>
      <w:r w:rsidRPr="009C5807">
        <w:tab/>
        <w:t>Io range deifined in Table 10.1.21.1-1.</w:t>
      </w:r>
    </w:p>
    <w:p w14:paraId="0ED4B455" w14:textId="77777777" w:rsidR="001F5A79" w:rsidRPr="009C5807" w:rsidRDefault="001F5A79" w:rsidP="0094409B">
      <w:pPr>
        <w:pStyle w:val="TH"/>
        <w:rPr>
          <w:lang w:eastAsia="zh-CN"/>
        </w:rPr>
      </w:pPr>
      <w:r w:rsidRPr="009C5807">
        <w:t>Table 10.1.21.1-1: PCell Io range conditions in</w:t>
      </w:r>
      <w:r w:rsidRPr="009C5807">
        <w:rPr>
          <w:lang w:eastAsia="zh-CN"/>
        </w:rPr>
        <w:t xml:space="preserve"> FR1</w:t>
      </w:r>
    </w:p>
    <w:tbl>
      <w:tblPr>
        <w:tblW w:w="9855" w:type="dxa"/>
        <w:jc w:val="center"/>
        <w:tblLayout w:type="fixed"/>
        <w:tblLook w:val="0000" w:firstRow="0" w:lastRow="0" w:firstColumn="0" w:lastColumn="0" w:noHBand="0" w:noVBand="0"/>
      </w:tblPr>
      <w:tblGrid>
        <w:gridCol w:w="1156"/>
        <w:gridCol w:w="4178"/>
        <w:gridCol w:w="1498"/>
        <w:gridCol w:w="1498"/>
        <w:gridCol w:w="1525"/>
      </w:tblGrid>
      <w:tr w:rsidR="001F5A79" w:rsidRPr="009C5807" w14:paraId="75FFC0A5" w14:textId="77777777" w:rsidTr="00F70A70">
        <w:trPr>
          <w:jc w:val="center"/>
        </w:trPr>
        <w:tc>
          <w:tcPr>
            <w:tcW w:w="1156" w:type="dxa"/>
            <w:tcBorders>
              <w:top w:val="single" w:sz="6" w:space="0" w:color="auto"/>
              <w:left w:val="single" w:sz="6" w:space="0" w:color="auto"/>
              <w:right w:val="single" w:sz="4" w:space="0" w:color="auto"/>
            </w:tcBorders>
            <w:vAlign w:val="center"/>
          </w:tcPr>
          <w:p w14:paraId="1116CF56" w14:textId="77777777" w:rsidR="001F5A79" w:rsidRPr="009C5807" w:rsidRDefault="001F5A79" w:rsidP="0094409B">
            <w:pPr>
              <w:pStyle w:val="TAH"/>
              <w:rPr>
                <w:lang w:eastAsia="zh-CN"/>
              </w:rPr>
            </w:pPr>
            <w:r w:rsidRPr="009C5807">
              <w:rPr>
                <w:lang w:eastAsia="zh-CN"/>
              </w:rPr>
              <w:t>Parameter</w:t>
            </w:r>
          </w:p>
        </w:tc>
        <w:tc>
          <w:tcPr>
            <w:tcW w:w="8699" w:type="dxa"/>
            <w:gridSpan w:val="4"/>
            <w:tcBorders>
              <w:top w:val="single" w:sz="6" w:space="0" w:color="auto"/>
              <w:left w:val="single" w:sz="6" w:space="0" w:color="auto"/>
              <w:bottom w:val="single" w:sz="6" w:space="0" w:color="auto"/>
              <w:right w:val="single" w:sz="4" w:space="0" w:color="auto"/>
            </w:tcBorders>
            <w:vAlign w:val="center"/>
          </w:tcPr>
          <w:p w14:paraId="331CE165" w14:textId="77777777" w:rsidR="001F5A79" w:rsidRPr="009C5807" w:rsidRDefault="001F5A79" w:rsidP="0094409B">
            <w:pPr>
              <w:pStyle w:val="TAH"/>
              <w:rPr>
                <w:lang w:eastAsia="ja-JP"/>
              </w:rPr>
            </w:pPr>
            <w:r w:rsidRPr="009C5807">
              <w:rPr>
                <w:lang w:eastAsia="ja-JP"/>
              </w:rPr>
              <w:t>Io</w:t>
            </w:r>
            <w:r w:rsidRPr="009C5807">
              <w:rPr>
                <w:vertAlign w:val="superscript"/>
                <w:lang w:eastAsia="zh-CN"/>
              </w:rPr>
              <w:t xml:space="preserve"> Note 1</w:t>
            </w:r>
            <w:r w:rsidRPr="009C5807">
              <w:rPr>
                <w:lang w:eastAsia="ja-JP"/>
              </w:rPr>
              <w:t xml:space="preserve"> range</w:t>
            </w:r>
          </w:p>
        </w:tc>
      </w:tr>
      <w:tr w:rsidR="001F5A79" w:rsidRPr="009C5807" w14:paraId="5950261D" w14:textId="77777777" w:rsidTr="00F70A70">
        <w:trPr>
          <w:jc w:val="center"/>
        </w:trPr>
        <w:tc>
          <w:tcPr>
            <w:tcW w:w="1156" w:type="dxa"/>
            <w:tcBorders>
              <w:left w:val="single" w:sz="6" w:space="0" w:color="auto"/>
              <w:right w:val="single" w:sz="4" w:space="0" w:color="auto"/>
            </w:tcBorders>
          </w:tcPr>
          <w:p w14:paraId="6F8E7BCA" w14:textId="77777777" w:rsidR="001F5A79" w:rsidRPr="009C5807" w:rsidRDefault="001F5A79" w:rsidP="00F70A70">
            <w:pPr>
              <w:pStyle w:val="TAH"/>
              <w:rPr>
                <w:lang w:eastAsia="ja-JP"/>
              </w:rPr>
            </w:pPr>
          </w:p>
        </w:tc>
        <w:tc>
          <w:tcPr>
            <w:tcW w:w="4178" w:type="dxa"/>
            <w:tcBorders>
              <w:top w:val="single" w:sz="6" w:space="0" w:color="auto"/>
              <w:left w:val="single" w:sz="4" w:space="0" w:color="auto"/>
              <w:bottom w:val="single" w:sz="6" w:space="0" w:color="auto"/>
              <w:right w:val="single" w:sz="6" w:space="0" w:color="auto"/>
            </w:tcBorders>
            <w:vAlign w:val="center"/>
          </w:tcPr>
          <w:p w14:paraId="482FEC58" w14:textId="77777777" w:rsidR="001F5A79" w:rsidRPr="009C5807" w:rsidRDefault="001F5A79" w:rsidP="00F70A70">
            <w:pPr>
              <w:pStyle w:val="TAH"/>
              <w:rPr>
                <w:lang w:eastAsia="ja-JP"/>
              </w:rPr>
            </w:pPr>
            <w:r w:rsidRPr="009C5807">
              <w:rPr>
                <w:lang w:eastAsia="ja-JP"/>
              </w:rPr>
              <w:t>NR operating band groups</w:t>
            </w:r>
            <w:r w:rsidRPr="009C5807">
              <w:rPr>
                <w:vertAlign w:val="superscript"/>
                <w:lang w:eastAsia="ja-JP"/>
              </w:rPr>
              <w:t xml:space="preserve"> Note 4, 5</w:t>
            </w:r>
          </w:p>
        </w:tc>
        <w:tc>
          <w:tcPr>
            <w:tcW w:w="2996" w:type="dxa"/>
            <w:gridSpan w:val="2"/>
            <w:tcBorders>
              <w:top w:val="single" w:sz="6" w:space="0" w:color="auto"/>
              <w:left w:val="single" w:sz="6" w:space="0" w:color="auto"/>
              <w:bottom w:val="single" w:sz="6" w:space="0" w:color="auto"/>
              <w:right w:val="single" w:sz="6" w:space="0" w:color="auto"/>
            </w:tcBorders>
            <w:vAlign w:val="center"/>
          </w:tcPr>
          <w:p w14:paraId="718ABE76" w14:textId="77777777" w:rsidR="001F5A79" w:rsidRPr="009C5807" w:rsidRDefault="001F5A79" w:rsidP="00F70A70">
            <w:pPr>
              <w:pStyle w:val="TAH"/>
              <w:rPr>
                <w:lang w:eastAsia="ja-JP"/>
              </w:rPr>
            </w:pPr>
            <w:r w:rsidRPr="009C5807">
              <w:rPr>
                <w:lang w:eastAsia="ja-JP"/>
              </w:rPr>
              <w:t>Minimum Io</w:t>
            </w:r>
            <w:r w:rsidRPr="009C5807">
              <w:rPr>
                <w:vertAlign w:val="superscript"/>
                <w:lang w:eastAsia="zh-CN"/>
              </w:rPr>
              <w:t xml:space="preserve"> Note 2, 3</w:t>
            </w:r>
          </w:p>
        </w:tc>
        <w:tc>
          <w:tcPr>
            <w:tcW w:w="1525" w:type="dxa"/>
            <w:tcBorders>
              <w:top w:val="single" w:sz="6" w:space="0" w:color="auto"/>
              <w:left w:val="single" w:sz="6" w:space="0" w:color="auto"/>
              <w:bottom w:val="single" w:sz="6" w:space="0" w:color="auto"/>
              <w:right w:val="single" w:sz="4" w:space="0" w:color="auto"/>
            </w:tcBorders>
            <w:vAlign w:val="center"/>
          </w:tcPr>
          <w:p w14:paraId="72B9B48B" w14:textId="77777777" w:rsidR="001F5A79" w:rsidRPr="009C5807" w:rsidRDefault="001F5A79" w:rsidP="00F70A70">
            <w:pPr>
              <w:pStyle w:val="TAH"/>
              <w:rPr>
                <w:lang w:eastAsia="ja-JP"/>
              </w:rPr>
            </w:pPr>
            <w:r w:rsidRPr="009C5807">
              <w:rPr>
                <w:lang w:eastAsia="ja-JP"/>
              </w:rPr>
              <w:t>Maximum Io</w:t>
            </w:r>
          </w:p>
        </w:tc>
      </w:tr>
      <w:tr w:rsidR="00F70A70" w:rsidRPr="009C5807" w14:paraId="330AC113" w14:textId="77777777" w:rsidTr="00F70A70">
        <w:trPr>
          <w:trHeight w:val="70"/>
          <w:jc w:val="center"/>
        </w:trPr>
        <w:tc>
          <w:tcPr>
            <w:tcW w:w="1156" w:type="dxa"/>
            <w:tcBorders>
              <w:left w:val="single" w:sz="6" w:space="0" w:color="auto"/>
              <w:right w:val="single" w:sz="4" w:space="0" w:color="auto"/>
            </w:tcBorders>
            <w:vAlign w:val="center"/>
          </w:tcPr>
          <w:p w14:paraId="72D31CD8" w14:textId="77777777" w:rsidR="00F70A70" w:rsidRPr="009C5807" w:rsidRDefault="00F70A70" w:rsidP="00F70A70">
            <w:pPr>
              <w:pStyle w:val="TAH"/>
              <w:rPr>
                <w:lang w:eastAsia="zh-CN"/>
              </w:rPr>
            </w:pPr>
          </w:p>
        </w:tc>
        <w:tc>
          <w:tcPr>
            <w:tcW w:w="4178" w:type="dxa"/>
            <w:tcBorders>
              <w:top w:val="single" w:sz="6" w:space="0" w:color="auto"/>
              <w:left w:val="single" w:sz="4" w:space="0" w:color="auto"/>
              <w:right w:val="single" w:sz="6" w:space="0" w:color="auto"/>
            </w:tcBorders>
            <w:vAlign w:val="center"/>
          </w:tcPr>
          <w:p w14:paraId="28068368" w14:textId="77777777" w:rsidR="00F70A70" w:rsidRPr="009C5807" w:rsidRDefault="00F70A70" w:rsidP="00F70A70">
            <w:pPr>
              <w:pStyle w:val="TAH"/>
              <w:rPr>
                <w:lang w:eastAsia="ja-JP"/>
              </w:rPr>
            </w:pPr>
          </w:p>
        </w:tc>
        <w:tc>
          <w:tcPr>
            <w:tcW w:w="2996" w:type="dxa"/>
            <w:gridSpan w:val="2"/>
            <w:tcBorders>
              <w:top w:val="single" w:sz="6" w:space="0" w:color="auto"/>
              <w:left w:val="single" w:sz="6" w:space="0" w:color="auto"/>
              <w:bottom w:val="single" w:sz="6" w:space="0" w:color="auto"/>
              <w:right w:val="single" w:sz="6" w:space="0" w:color="auto"/>
            </w:tcBorders>
            <w:vAlign w:val="center"/>
          </w:tcPr>
          <w:p w14:paraId="1CEBE6DA" w14:textId="77777777" w:rsidR="00F70A70" w:rsidRPr="009C5807" w:rsidRDefault="00F70A70" w:rsidP="00F70A70">
            <w:pPr>
              <w:pStyle w:val="TAH"/>
              <w:rPr>
                <w:lang w:eastAsia="ja-JP"/>
              </w:rPr>
            </w:pPr>
            <w:r w:rsidRPr="009C5807">
              <w:rPr>
                <w:lang w:eastAsia="ja-JP"/>
              </w:rPr>
              <w:t>dBm/ SCS</w:t>
            </w:r>
            <w:r w:rsidRPr="009C5807">
              <w:rPr>
                <w:vertAlign w:val="subscript"/>
                <w:lang w:eastAsia="ja-JP"/>
              </w:rPr>
              <w:t>SSB</w:t>
            </w:r>
            <w:r w:rsidRPr="009C5807">
              <w:rPr>
                <w:vertAlign w:val="superscript"/>
                <w:lang w:eastAsia="zh-CN"/>
              </w:rPr>
              <w:t xml:space="preserve"> </w:t>
            </w:r>
          </w:p>
        </w:tc>
        <w:tc>
          <w:tcPr>
            <w:tcW w:w="1525" w:type="dxa"/>
            <w:tcBorders>
              <w:top w:val="single" w:sz="6" w:space="0" w:color="auto"/>
              <w:left w:val="single" w:sz="6" w:space="0" w:color="auto"/>
              <w:right w:val="single" w:sz="4" w:space="0" w:color="auto"/>
            </w:tcBorders>
            <w:vAlign w:val="center"/>
          </w:tcPr>
          <w:p w14:paraId="21040A45" w14:textId="77777777" w:rsidR="00F70A70" w:rsidRPr="009C5807" w:rsidRDefault="00F70A70" w:rsidP="00F70A70">
            <w:pPr>
              <w:pStyle w:val="TAH"/>
              <w:rPr>
                <w:lang w:eastAsia="ja-JP"/>
              </w:rPr>
            </w:pPr>
            <w:r w:rsidRPr="009C5807">
              <w:rPr>
                <w:lang w:eastAsia="ja-JP"/>
              </w:rPr>
              <w:t>dBm/BW</w:t>
            </w:r>
            <w:r w:rsidRPr="009C5807">
              <w:rPr>
                <w:vertAlign w:val="subscript"/>
                <w:lang w:eastAsia="ja-JP"/>
              </w:rPr>
              <w:t>Channel</w:t>
            </w:r>
          </w:p>
        </w:tc>
      </w:tr>
      <w:tr w:rsidR="00F70A70" w:rsidRPr="009C5807" w14:paraId="787E5C02" w14:textId="77777777" w:rsidTr="00F70A70">
        <w:trPr>
          <w:trHeight w:val="70"/>
          <w:jc w:val="center"/>
        </w:trPr>
        <w:tc>
          <w:tcPr>
            <w:tcW w:w="1156" w:type="dxa"/>
            <w:tcBorders>
              <w:left w:val="single" w:sz="6" w:space="0" w:color="auto"/>
              <w:bottom w:val="single" w:sz="4" w:space="0" w:color="auto"/>
              <w:right w:val="single" w:sz="4" w:space="0" w:color="auto"/>
            </w:tcBorders>
            <w:vAlign w:val="center"/>
          </w:tcPr>
          <w:p w14:paraId="3E9DBEBC" w14:textId="77777777" w:rsidR="00F70A70" w:rsidRPr="009C5807" w:rsidRDefault="00F70A70" w:rsidP="00F70A70">
            <w:pPr>
              <w:pStyle w:val="TAH"/>
              <w:rPr>
                <w:lang w:eastAsia="zh-CN"/>
              </w:rPr>
            </w:pPr>
          </w:p>
        </w:tc>
        <w:tc>
          <w:tcPr>
            <w:tcW w:w="4178" w:type="dxa"/>
            <w:tcBorders>
              <w:left w:val="single" w:sz="4" w:space="0" w:color="auto"/>
              <w:bottom w:val="single" w:sz="6" w:space="0" w:color="auto"/>
              <w:right w:val="single" w:sz="6" w:space="0" w:color="auto"/>
            </w:tcBorders>
            <w:vAlign w:val="center"/>
          </w:tcPr>
          <w:p w14:paraId="44AAFB0D" w14:textId="77777777" w:rsidR="00F70A70" w:rsidRPr="009C5807" w:rsidRDefault="00F70A70" w:rsidP="00F70A70">
            <w:pPr>
              <w:pStyle w:val="TAH"/>
              <w:rPr>
                <w:lang w:eastAsia="ja-JP"/>
              </w:rPr>
            </w:pPr>
          </w:p>
        </w:tc>
        <w:tc>
          <w:tcPr>
            <w:tcW w:w="1498" w:type="dxa"/>
            <w:tcBorders>
              <w:top w:val="single" w:sz="6" w:space="0" w:color="auto"/>
              <w:left w:val="single" w:sz="6" w:space="0" w:color="auto"/>
              <w:bottom w:val="single" w:sz="6" w:space="0" w:color="auto"/>
              <w:right w:val="single" w:sz="6" w:space="0" w:color="auto"/>
            </w:tcBorders>
            <w:vAlign w:val="center"/>
          </w:tcPr>
          <w:p w14:paraId="6E6E09DF" w14:textId="77777777" w:rsidR="00F70A70" w:rsidRPr="009C5807" w:rsidRDefault="00F70A70" w:rsidP="00F70A70">
            <w:pPr>
              <w:pStyle w:val="TAH"/>
              <w:rPr>
                <w:lang w:eastAsia="ja-JP"/>
              </w:rPr>
            </w:pPr>
            <w:r w:rsidRPr="009C5807">
              <w:t>SCS</w:t>
            </w:r>
            <w:r w:rsidRPr="009C5807">
              <w:rPr>
                <w:vertAlign w:val="subscript"/>
              </w:rPr>
              <w:t>SSB</w:t>
            </w:r>
            <w:r w:rsidRPr="009C5807">
              <w:t xml:space="preserve"> = 15 kHz</w:t>
            </w:r>
          </w:p>
        </w:tc>
        <w:tc>
          <w:tcPr>
            <w:tcW w:w="1498" w:type="dxa"/>
            <w:tcBorders>
              <w:top w:val="single" w:sz="6" w:space="0" w:color="auto"/>
              <w:left w:val="single" w:sz="6" w:space="0" w:color="auto"/>
              <w:bottom w:val="single" w:sz="6" w:space="0" w:color="auto"/>
              <w:right w:val="single" w:sz="6" w:space="0" w:color="auto"/>
            </w:tcBorders>
            <w:vAlign w:val="center"/>
          </w:tcPr>
          <w:p w14:paraId="0E7D9C49" w14:textId="77777777" w:rsidR="00F70A70" w:rsidRPr="009C5807" w:rsidRDefault="00F70A70" w:rsidP="00F70A70">
            <w:pPr>
              <w:pStyle w:val="TAH"/>
              <w:rPr>
                <w:lang w:eastAsia="ja-JP"/>
              </w:rPr>
            </w:pPr>
            <w:r w:rsidRPr="009C5807">
              <w:t>SCS</w:t>
            </w:r>
            <w:r w:rsidRPr="009C5807">
              <w:rPr>
                <w:vertAlign w:val="subscript"/>
              </w:rPr>
              <w:t>SSB</w:t>
            </w:r>
            <w:r w:rsidRPr="009C5807">
              <w:t xml:space="preserve"> = 30 kHz</w:t>
            </w:r>
          </w:p>
        </w:tc>
        <w:tc>
          <w:tcPr>
            <w:tcW w:w="1525" w:type="dxa"/>
            <w:tcBorders>
              <w:left w:val="single" w:sz="6" w:space="0" w:color="auto"/>
              <w:bottom w:val="single" w:sz="6" w:space="0" w:color="auto"/>
              <w:right w:val="single" w:sz="4" w:space="0" w:color="auto"/>
            </w:tcBorders>
            <w:vAlign w:val="center"/>
          </w:tcPr>
          <w:p w14:paraId="03E16222" w14:textId="77777777" w:rsidR="00F70A70" w:rsidRPr="009C5807" w:rsidRDefault="00F70A70" w:rsidP="00F70A70">
            <w:pPr>
              <w:pStyle w:val="TAH"/>
              <w:rPr>
                <w:lang w:eastAsia="ja-JP"/>
              </w:rPr>
            </w:pPr>
          </w:p>
        </w:tc>
      </w:tr>
      <w:tr w:rsidR="001F5A79" w:rsidRPr="009C5807" w14:paraId="619A90DD" w14:textId="77777777" w:rsidTr="00F70A70">
        <w:trPr>
          <w:jc w:val="center"/>
        </w:trPr>
        <w:tc>
          <w:tcPr>
            <w:tcW w:w="1156" w:type="dxa"/>
            <w:tcBorders>
              <w:top w:val="single" w:sz="4" w:space="0" w:color="auto"/>
              <w:left w:val="single" w:sz="6" w:space="0" w:color="auto"/>
              <w:right w:val="single" w:sz="6" w:space="0" w:color="auto"/>
            </w:tcBorders>
            <w:vAlign w:val="center"/>
          </w:tcPr>
          <w:p w14:paraId="229CB8A2" w14:textId="77777777" w:rsidR="001F5A79" w:rsidRPr="009C5807" w:rsidRDefault="001F5A79" w:rsidP="0094409B">
            <w:pPr>
              <w:pStyle w:val="TAH"/>
              <w:rPr>
                <w:lang w:eastAsia="ja-JP"/>
              </w:rPr>
            </w:pPr>
            <w:r w:rsidRPr="009C5807">
              <w:rPr>
                <w:lang w:eastAsia="zh-CN"/>
              </w:rPr>
              <w:t>Conditions</w:t>
            </w:r>
          </w:p>
        </w:tc>
        <w:tc>
          <w:tcPr>
            <w:tcW w:w="4178" w:type="dxa"/>
            <w:tcBorders>
              <w:top w:val="single" w:sz="6" w:space="0" w:color="auto"/>
              <w:left w:val="single" w:sz="6" w:space="0" w:color="auto"/>
              <w:bottom w:val="single" w:sz="6" w:space="0" w:color="auto"/>
              <w:right w:val="single" w:sz="6" w:space="0" w:color="auto"/>
            </w:tcBorders>
          </w:tcPr>
          <w:p w14:paraId="7163D4B9" w14:textId="77777777" w:rsidR="001F5A79" w:rsidRPr="009C5807" w:rsidRDefault="001F5A79" w:rsidP="0094409B">
            <w:pPr>
              <w:pStyle w:val="TAC"/>
              <w:rPr>
                <w:lang w:eastAsia="ja-JP"/>
              </w:rPr>
            </w:pPr>
            <w:r w:rsidRPr="009C5807">
              <w:t>NR_FDD_FR1_A, NR_TDD_FR1_A</w:t>
            </w:r>
          </w:p>
        </w:tc>
        <w:tc>
          <w:tcPr>
            <w:tcW w:w="1498" w:type="dxa"/>
            <w:tcBorders>
              <w:top w:val="single" w:sz="6" w:space="0" w:color="auto"/>
              <w:left w:val="single" w:sz="6" w:space="0" w:color="auto"/>
              <w:bottom w:val="single" w:sz="6" w:space="0" w:color="auto"/>
              <w:right w:val="single" w:sz="6" w:space="0" w:color="auto"/>
            </w:tcBorders>
            <w:vAlign w:val="center"/>
          </w:tcPr>
          <w:p w14:paraId="1DE4AE0D" w14:textId="77777777" w:rsidR="001F5A79" w:rsidRPr="009C5807" w:rsidRDefault="001F5A79" w:rsidP="0094409B">
            <w:pPr>
              <w:pStyle w:val="TAC"/>
              <w:rPr>
                <w:lang w:eastAsia="ja-JP"/>
              </w:rPr>
            </w:pPr>
            <w:r w:rsidRPr="009C5807">
              <w:t>-121</w:t>
            </w:r>
          </w:p>
        </w:tc>
        <w:tc>
          <w:tcPr>
            <w:tcW w:w="1498" w:type="dxa"/>
            <w:tcBorders>
              <w:top w:val="single" w:sz="6" w:space="0" w:color="auto"/>
              <w:left w:val="single" w:sz="6" w:space="0" w:color="auto"/>
              <w:bottom w:val="single" w:sz="6" w:space="0" w:color="auto"/>
              <w:right w:val="single" w:sz="6" w:space="0" w:color="auto"/>
            </w:tcBorders>
            <w:vAlign w:val="center"/>
          </w:tcPr>
          <w:p w14:paraId="68F5F17A" w14:textId="77777777" w:rsidR="001F5A79" w:rsidRPr="009C5807" w:rsidRDefault="001F5A79" w:rsidP="0094409B">
            <w:pPr>
              <w:pStyle w:val="TAC"/>
              <w:rPr>
                <w:lang w:eastAsia="ja-JP"/>
              </w:rPr>
            </w:pPr>
            <w:r w:rsidRPr="009C5807">
              <w:t>-118</w:t>
            </w:r>
          </w:p>
        </w:tc>
        <w:tc>
          <w:tcPr>
            <w:tcW w:w="1525" w:type="dxa"/>
            <w:tcBorders>
              <w:top w:val="single" w:sz="6" w:space="0" w:color="auto"/>
              <w:left w:val="single" w:sz="6" w:space="0" w:color="auto"/>
              <w:bottom w:val="single" w:sz="6" w:space="0" w:color="auto"/>
              <w:right w:val="single" w:sz="4" w:space="0" w:color="auto"/>
            </w:tcBorders>
            <w:vAlign w:val="center"/>
          </w:tcPr>
          <w:p w14:paraId="3E3DBD79" w14:textId="77777777" w:rsidR="001F5A79" w:rsidRPr="009C5807" w:rsidRDefault="001F5A79" w:rsidP="0094409B">
            <w:pPr>
              <w:pStyle w:val="TAC"/>
              <w:rPr>
                <w:lang w:eastAsia="ja-JP"/>
              </w:rPr>
            </w:pPr>
            <w:r w:rsidRPr="009C5807">
              <w:rPr>
                <w:lang w:eastAsia="ja-JP"/>
              </w:rPr>
              <w:t>-50</w:t>
            </w:r>
          </w:p>
        </w:tc>
      </w:tr>
      <w:tr w:rsidR="001F5A79" w:rsidRPr="009C5807" w14:paraId="50F69D68" w14:textId="77777777" w:rsidTr="00F70A70">
        <w:trPr>
          <w:jc w:val="center"/>
        </w:trPr>
        <w:tc>
          <w:tcPr>
            <w:tcW w:w="1156" w:type="dxa"/>
            <w:tcBorders>
              <w:left w:val="single" w:sz="6" w:space="0" w:color="auto"/>
              <w:right w:val="single" w:sz="6" w:space="0" w:color="auto"/>
            </w:tcBorders>
          </w:tcPr>
          <w:p w14:paraId="01B45A30"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7EF48620" w14:textId="77777777" w:rsidR="001F5A79" w:rsidRPr="009C5807" w:rsidRDefault="001F5A79" w:rsidP="0094409B">
            <w:pPr>
              <w:pStyle w:val="TAC"/>
              <w:rPr>
                <w:lang w:eastAsia="ja-JP"/>
              </w:rPr>
            </w:pPr>
            <w:r w:rsidRPr="009C5807">
              <w:rPr>
                <w:lang w:val="sv-SE"/>
              </w:rPr>
              <w:t>NR_FDD_FR1_B</w:t>
            </w:r>
          </w:p>
        </w:tc>
        <w:tc>
          <w:tcPr>
            <w:tcW w:w="1498" w:type="dxa"/>
            <w:tcBorders>
              <w:top w:val="single" w:sz="6" w:space="0" w:color="auto"/>
              <w:left w:val="single" w:sz="6" w:space="0" w:color="auto"/>
              <w:bottom w:val="single" w:sz="6" w:space="0" w:color="auto"/>
              <w:right w:val="single" w:sz="6" w:space="0" w:color="auto"/>
            </w:tcBorders>
          </w:tcPr>
          <w:p w14:paraId="05CA7DA8" w14:textId="77777777" w:rsidR="001F5A79" w:rsidRPr="009C5807" w:rsidRDefault="001F5A79" w:rsidP="0094409B">
            <w:pPr>
              <w:pStyle w:val="TAC"/>
              <w:rPr>
                <w:lang w:eastAsia="ja-JP"/>
              </w:rPr>
            </w:pPr>
            <w:r w:rsidRPr="009C5807">
              <w:t>-120.5</w:t>
            </w:r>
          </w:p>
        </w:tc>
        <w:tc>
          <w:tcPr>
            <w:tcW w:w="1498" w:type="dxa"/>
            <w:tcBorders>
              <w:top w:val="single" w:sz="6" w:space="0" w:color="auto"/>
              <w:left w:val="single" w:sz="6" w:space="0" w:color="auto"/>
              <w:bottom w:val="single" w:sz="6" w:space="0" w:color="auto"/>
              <w:right w:val="single" w:sz="6" w:space="0" w:color="auto"/>
            </w:tcBorders>
            <w:vAlign w:val="center"/>
          </w:tcPr>
          <w:p w14:paraId="44433C2B" w14:textId="77777777" w:rsidR="001F5A79" w:rsidRPr="009C5807" w:rsidRDefault="001F5A79" w:rsidP="0094409B">
            <w:pPr>
              <w:pStyle w:val="TAC"/>
              <w:rPr>
                <w:lang w:eastAsia="ja-JP"/>
              </w:rPr>
            </w:pPr>
            <w:r w:rsidRPr="009C5807">
              <w:t>-117.5</w:t>
            </w:r>
          </w:p>
        </w:tc>
        <w:tc>
          <w:tcPr>
            <w:tcW w:w="1525" w:type="dxa"/>
            <w:tcBorders>
              <w:top w:val="single" w:sz="6" w:space="0" w:color="auto"/>
              <w:left w:val="single" w:sz="6" w:space="0" w:color="auto"/>
              <w:bottom w:val="single" w:sz="6" w:space="0" w:color="auto"/>
              <w:right w:val="single" w:sz="4" w:space="0" w:color="auto"/>
            </w:tcBorders>
            <w:vAlign w:val="center"/>
          </w:tcPr>
          <w:p w14:paraId="626828EB" w14:textId="77777777" w:rsidR="001F5A79" w:rsidRPr="009C5807" w:rsidRDefault="001F5A79" w:rsidP="0094409B">
            <w:pPr>
              <w:pStyle w:val="TAC"/>
              <w:rPr>
                <w:lang w:eastAsia="ja-JP"/>
              </w:rPr>
            </w:pPr>
            <w:r w:rsidRPr="009C5807">
              <w:rPr>
                <w:lang w:eastAsia="ja-JP"/>
              </w:rPr>
              <w:t>-50</w:t>
            </w:r>
          </w:p>
        </w:tc>
      </w:tr>
      <w:tr w:rsidR="001F5A79" w:rsidRPr="009C5807" w14:paraId="7DFBE72A" w14:textId="77777777" w:rsidTr="00F70A70">
        <w:trPr>
          <w:jc w:val="center"/>
        </w:trPr>
        <w:tc>
          <w:tcPr>
            <w:tcW w:w="1156" w:type="dxa"/>
            <w:tcBorders>
              <w:left w:val="single" w:sz="6" w:space="0" w:color="auto"/>
              <w:right w:val="single" w:sz="6" w:space="0" w:color="auto"/>
            </w:tcBorders>
          </w:tcPr>
          <w:p w14:paraId="2001770D"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7340E026" w14:textId="77777777" w:rsidR="001F5A79" w:rsidRPr="009C5807" w:rsidRDefault="001F5A79" w:rsidP="0094409B">
            <w:pPr>
              <w:pStyle w:val="TAC"/>
              <w:rPr>
                <w:lang w:eastAsia="ja-JP"/>
              </w:rPr>
            </w:pPr>
            <w:r w:rsidRPr="009C5807">
              <w:rPr>
                <w:lang w:val="sv-SE"/>
              </w:rPr>
              <w:t>NR_TDD_FR1_C</w:t>
            </w:r>
          </w:p>
        </w:tc>
        <w:tc>
          <w:tcPr>
            <w:tcW w:w="1498" w:type="dxa"/>
            <w:tcBorders>
              <w:top w:val="single" w:sz="6" w:space="0" w:color="auto"/>
              <w:left w:val="single" w:sz="6" w:space="0" w:color="auto"/>
              <w:bottom w:val="single" w:sz="6" w:space="0" w:color="auto"/>
              <w:right w:val="single" w:sz="6" w:space="0" w:color="auto"/>
            </w:tcBorders>
            <w:vAlign w:val="center"/>
          </w:tcPr>
          <w:p w14:paraId="1AE3F503" w14:textId="77777777" w:rsidR="001F5A79" w:rsidRPr="009C5807" w:rsidRDefault="001F5A79" w:rsidP="0094409B">
            <w:pPr>
              <w:pStyle w:val="TAC"/>
              <w:rPr>
                <w:lang w:eastAsia="ja-JP"/>
              </w:rPr>
            </w:pPr>
            <w:r w:rsidRPr="009C5807">
              <w:t>-120</w:t>
            </w:r>
          </w:p>
        </w:tc>
        <w:tc>
          <w:tcPr>
            <w:tcW w:w="1498" w:type="dxa"/>
            <w:tcBorders>
              <w:top w:val="single" w:sz="6" w:space="0" w:color="auto"/>
              <w:left w:val="single" w:sz="6" w:space="0" w:color="auto"/>
              <w:bottom w:val="single" w:sz="6" w:space="0" w:color="auto"/>
              <w:right w:val="single" w:sz="6" w:space="0" w:color="auto"/>
            </w:tcBorders>
            <w:vAlign w:val="center"/>
          </w:tcPr>
          <w:p w14:paraId="363B3A73" w14:textId="77777777" w:rsidR="001F5A79" w:rsidRPr="009C5807" w:rsidRDefault="001F5A79" w:rsidP="0094409B">
            <w:pPr>
              <w:pStyle w:val="TAC"/>
              <w:rPr>
                <w:lang w:eastAsia="ja-JP"/>
              </w:rPr>
            </w:pPr>
            <w:r w:rsidRPr="009C5807">
              <w:t>-117</w:t>
            </w:r>
          </w:p>
        </w:tc>
        <w:tc>
          <w:tcPr>
            <w:tcW w:w="1525" w:type="dxa"/>
            <w:tcBorders>
              <w:top w:val="single" w:sz="6" w:space="0" w:color="auto"/>
              <w:left w:val="single" w:sz="6" w:space="0" w:color="auto"/>
              <w:bottom w:val="single" w:sz="6" w:space="0" w:color="auto"/>
              <w:right w:val="single" w:sz="4" w:space="0" w:color="auto"/>
            </w:tcBorders>
            <w:vAlign w:val="center"/>
          </w:tcPr>
          <w:p w14:paraId="193E16C3" w14:textId="77777777" w:rsidR="001F5A79" w:rsidRPr="009C5807" w:rsidRDefault="001F5A79" w:rsidP="0094409B">
            <w:pPr>
              <w:pStyle w:val="TAC"/>
              <w:rPr>
                <w:lang w:eastAsia="ja-JP"/>
              </w:rPr>
            </w:pPr>
            <w:r w:rsidRPr="009C5807">
              <w:rPr>
                <w:lang w:eastAsia="ja-JP"/>
              </w:rPr>
              <w:t>-50</w:t>
            </w:r>
          </w:p>
        </w:tc>
      </w:tr>
      <w:tr w:rsidR="001F5A79" w:rsidRPr="009C5807" w14:paraId="3E7F138A" w14:textId="77777777" w:rsidTr="00F70A70">
        <w:trPr>
          <w:jc w:val="center"/>
        </w:trPr>
        <w:tc>
          <w:tcPr>
            <w:tcW w:w="1156" w:type="dxa"/>
            <w:tcBorders>
              <w:left w:val="single" w:sz="6" w:space="0" w:color="auto"/>
              <w:right w:val="single" w:sz="6" w:space="0" w:color="auto"/>
            </w:tcBorders>
          </w:tcPr>
          <w:p w14:paraId="43E03C88"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0C7EF411" w14:textId="77777777" w:rsidR="001F5A79" w:rsidRPr="009C5807" w:rsidRDefault="001F5A79" w:rsidP="0094409B">
            <w:pPr>
              <w:pStyle w:val="TAC"/>
              <w:rPr>
                <w:lang w:val="sv-FI" w:eastAsia="ja-JP"/>
              </w:rPr>
            </w:pPr>
            <w:r w:rsidRPr="009C5807">
              <w:rPr>
                <w:lang w:val="sv-SE"/>
              </w:rPr>
              <w:t>NR_FDD_FR1_D, NR_TDD_FR1_D</w:t>
            </w:r>
          </w:p>
        </w:tc>
        <w:tc>
          <w:tcPr>
            <w:tcW w:w="1498" w:type="dxa"/>
            <w:tcBorders>
              <w:top w:val="single" w:sz="6" w:space="0" w:color="auto"/>
              <w:left w:val="single" w:sz="6" w:space="0" w:color="auto"/>
              <w:bottom w:val="single" w:sz="6" w:space="0" w:color="auto"/>
              <w:right w:val="single" w:sz="6" w:space="0" w:color="auto"/>
            </w:tcBorders>
            <w:vAlign w:val="center"/>
          </w:tcPr>
          <w:p w14:paraId="7D65EEAA" w14:textId="77777777" w:rsidR="001F5A79" w:rsidRPr="009C5807" w:rsidRDefault="001F5A79" w:rsidP="0094409B">
            <w:pPr>
              <w:pStyle w:val="TAC"/>
              <w:rPr>
                <w:lang w:eastAsia="ja-JP"/>
              </w:rPr>
            </w:pPr>
            <w:r w:rsidRPr="009C5807">
              <w:t>-119.5</w:t>
            </w:r>
          </w:p>
        </w:tc>
        <w:tc>
          <w:tcPr>
            <w:tcW w:w="1498" w:type="dxa"/>
            <w:tcBorders>
              <w:top w:val="single" w:sz="6" w:space="0" w:color="auto"/>
              <w:left w:val="single" w:sz="6" w:space="0" w:color="auto"/>
              <w:bottom w:val="single" w:sz="6" w:space="0" w:color="auto"/>
              <w:right w:val="single" w:sz="6" w:space="0" w:color="auto"/>
            </w:tcBorders>
            <w:vAlign w:val="center"/>
          </w:tcPr>
          <w:p w14:paraId="4A81DC54" w14:textId="77777777" w:rsidR="001F5A79" w:rsidRPr="009C5807" w:rsidRDefault="001F5A79" w:rsidP="0094409B">
            <w:pPr>
              <w:pStyle w:val="TAC"/>
              <w:rPr>
                <w:lang w:eastAsia="ja-JP"/>
              </w:rPr>
            </w:pPr>
            <w:r w:rsidRPr="009C5807">
              <w:t>-116.5</w:t>
            </w:r>
          </w:p>
        </w:tc>
        <w:tc>
          <w:tcPr>
            <w:tcW w:w="1525" w:type="dxa"/>
            <w:tcBorders>
              <w:top w:val="single" w:sz="6" w:space="0" w:color="auto"/>
              <w:left w:val="single" w:sz="6" w:space="0" w:color="auto"/>
              <w:bottom w:val="single" w:sz="6" w:space="0" w:color="auto"/>
              <w:right w:val="single" w:sz="4" w:space="0" w:color="auto"/>
            </w:tcBorders>
            <w:vAlign w:val="center"/>
          </w:tcPr>
          <w:p w14:paraId="72EE63FF" w14:textId="77777777" w:rsidR="001F5A79" w:rsidRPr="009C5807" w:rsidRDefault="001F5A79" w:rsidP="0094409B">
            <w:pPr>
              <w:pStyle w:val="TAC"/>
              <w:rPr>
                <w:lang w:eastAsia="ja-JP"/>
              </w:rPr>
            </w:pPr>
            <w:r w:rsidRPr="009C5807">
              <w:rPr>
                <w:lang w:eastAsia="ja-JP"/>
              </w:rPr>
              <w:t>-50</w:t>
            </w:r>
          </w:p>
        </w:tc>
      </w:tr>
      <w:tr w:rsidR="001F5A79" w:rsidRPr="009C5807" w14:paraId="00E4A333" w14:textId="77777777" w:rsidTr="00F70A70">
        <w:trPr>
          <w:jc w:val="center"/>
        </w:trPr>
        <w:tc>
          <w:tcPr>
            <w:tcW w:w="1156" w:type="dxa"/>
            <w:tcBorders>
              <w:left w:val="single" w:sz="6" w:space="0" w:color="auto"/>
              <w:right w:val="single" w:sz="6" w:space="0" w:color="auto"/>
            </w:tcBorders>
          </w:tcPr>
          <w:p w14:paraId="2C1D702C"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00651610" w14:textId="77777777" w:rsidR="001F5A79" w:rsidRPr="009C5807" w:rsidRDefault="001F5A79" w:rsidP="0094409B">
            <w:pPr>
              <w:pStyle w:val="TAC"/>
              <w:rPr>
                <w:lang w:val="sv-FI" w:eastAsia="ja-JP"/>
              </w:rPr>
            </w:pPr>
            <w:r w:rsidRPr="009C5807">
              <w:rPr>
                <w:lang w:val="sv-SE"/>
              </w:rPr>
              <w:t>NR_FDD_FR1_E, NR_TDD_FR1_E</w:t>
            </w:r>
          </w:p>
        </w:tc>
        <w:tc>
          <w:tcPr>
            <w:tcW w:w="1498" w:type="dxa"/>
            <w:tcBorders>
              <w:top w:val="single" w:sz="6" w:space="0" w:color="auto"/>
              <w:left w:val="single" w:sz="6" w:space="0" w:color="auto"/>
              <w:bottom w:val="single" w:sz="6" w:space="0" w:color="auto"/>
              <w:right w:val="single" w:sz="6" w:space="0" w:color="auto"/>
            </w:tcBorders>
            <w:vAlign w:val="center"/>
          </w:tcPr>
          <w:p w14:paraId="410C21A1" w14:textId="77777777" w:rsidR="001F5A79" w:rsidRPr="009C5807" w:rsidRDefault="001F5A79" w:rsidP="0094409B">
            <w:pPr>
              <w:pStyle w:val="TAC"/>
              <w:rPr>
                <w:lang w:eastAsia="ja-JP"/>
              </w:rPr>
            </w:pPr>
            <w:r w:rsidRPr="009C5807">
              <w:t>-119</w:t>
            </w:r>
          </w:p>
        </w:tc>
        <w:tc>
          <w:tcPr>
            <w:tcW w:w="1498" w:type="dxa"/>
            <w:tcBorders>
              <w:top w:val="single" w:sz="6" w:space="0" w:color="auto"/>
              <w:left w:val="single" w:sz="6" w:space="0" w:color="auto"/>
              <w:bottom w:val="single" w:sz="6" w:space="0" w:color="auto"/>
              <w:right w:val="single" w:sz="6" w:space="0" w:color="auto"/>
            </w:tcBorders>
            <w:vAlign w:val="center"/>
          </w:tcPr>
          <w:p w14:paraId="0972F1B6" w14:textId="77777777" w:rsidR="001F5A79" w:rsidRPr="009C5807" w:rsidRDefault="001F5A79" w:rsidP="0094409B">
            <w:pPr>
              <w:pStyle w:val="TAC"/>
              <w:rPr>
                <w:lang w:eastAsia="ja-JP"/>
              </w:rPr>
            </w:pPr>
            <w:r w:rsidRPr="009C5807">
              <w:t>-116</w:t>
            </w:r>
          </w:p>
        </w:tc>
        <w:tc>
          <w:tcPr>
            <w:tcW w:w="1525" w:type="dxa"/>
            <w:tcBorders>
              <w:top w:val="single" w:sz="6" w:space="0" w:color="auto"/>
              <w:left w:val="single" w:sz="6" w:space="0" w:color="auto"/>
              <w:bottom w:val="single" w:sz="6" w:space="0" w:color="auto"/>
              <w:right w:val="single" w:sz="4" w:space="0" w:color="auto"/>
            </w:tcBorders>
            <w:vAlign w:val="center"/>
          </w:tcPr>
          <w:p w14:paraId="19AF9B47" w14:textId="77777777" w:rsidR="001F5A79" w:rsidRPr="009C5807" w:rsidRDefault="001F5A79" w:rsidP="0094409B">
            <w:pPr>
              <w:pStyle w:val="TAC"/>
              <w:rPr>
                <w:lang w:eastAsia="ja-JP"/>
              </w:rPr>
            </w:pPr>
            <w:r w:rsidRPr="009C5807">
              <w:rPr>
                <w:lang w:eastAsia="ja-JP"/>
              </w:rPr>
              <w:t>-50</w:t>
            </w:r>
          </w:p>
        </w:tc>
      </w:tr>
      <w:tr w:rsidR="00CB340B" w:rsidRPr="009C5807" w14:paraId="34CF5989" w14:textId="77777777" w:rsidTr="00F70A70">
        <w:trPr>
          <w:jc w:val="center"/>
        </w:trPr>
        <w:tc>
          <w:tcPr>
            <w:tcW w:w="1156" w:type="dxa"/>
            <w:tcBorders>
              <w:left w:val="single" w:sz="6" w:space="0" w:color="auto"/>
              <w:right w:val="single" w:sz="6" w:space="0" w:color="auto"/>
            </w:tcBorders>
          </w:tcPr>
          <w:p w14:paraId="5484F987" w14:textId="77777777" w:rsidR="00CB340B" w:rsidRPr="009C5807" w:rsidRDefault="00CB340B" w:rsidP="00CB340B">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0C65A04A" w14:textId="6288AB83" w:rsidR="00CB340B" w:rsidRPr="009C5807" w:rsidRDefault="00CB340B" w:rsidP="0094409B">
            <w:pPr>
              <w:pStyle w:val="TAC"/>
              <w:rPr>
                <w:lang w:val="sv-SE"/>
              </w:rPr>
            </w:pPr>
            <w:r w:rsidRPr="009C5807">
              <w:rPr>
                <w:lang w:val="sv-SE"/>
              </w:rPr>
              <w:t>NR_FDD_FR1_F</w:t>
            </w:r>
          </w:p>
        </w:tc>
        <w:tc>
          <w:tcPr>
            <w:tcW w:w="1498" w:type="dxa"/>
            <w:tcBorders>
              <w:top w:val="single" w:sz="6" w:space="0" w:color="auto"/>
              <w:left w:val="single" w:sz="6" w:space="0" w:color="auto"/>
              <w:bottom w:val="single" w:sz="6" w:space="0" w:color="auto"/>
              <w:right w:val="single" w:sz="6" w:space="0" w:color="auto"/>
            </w:tcBorders>
            <w:vAlign w:val="center"/>
          </w:tcPr>
          <w:p w14:paraId="31C2EE1B" w14:textId="30289D21" w:rsidR="00CB340B" w:rsidRPr="009C5807" w:rsidRDefault="00CB340B" w:rsidP="0094409B">
            <w:pPr>
              <w:pStyle w:val="TAC"/>
            </w:pPr>
            <w:r w:rsidRPr="009C5807">
              <w:t>-118.5</w:t>
            </w:r>
          </w:p>
        </w:tc>
        <w:tc>
          <w:tcPr>
            <w:tcW w:w="1498" w:type="dxa"/>
            <w:tcBorders>
              <w:top w:val="single" w:sz="6" w:space="0" w:color="auto"/>
              <w:left w:val="single" w:sz="6" w:space="0" w:color="auto"/>
              <w:bottom w:val="single" w:sz="6" w:space="0" w:color="auto"/>
              <w:right w:val="single" w:sz="6" w:space="0" w:color="auto"/>
            </w:tcBorders>
            <w:vAlign w:val="center"/>
          </w:tcPr>
          <w:p w14:paraId="1E3556A1" w14:textId="2120BAFB" w:rsidR="00CB340B" w:rsidRPr="009C5807" w:rsidRDefault="00CB340B" w:rsidP="0094409B">
            <w:pPr>
              <w:pStyle w:val="TAC"/>
            </w:pPr>
            <w:r w:rsidRPr="009C5807">
              <w:t>-115.5</w:t>
            </w:r>
          </w:p>
        </w:tc>
        <w:tc>
          <w:tcPr>
            <w:tcW w:w="1525" w:type="dxa"/>
            <w:tcBorders>
              <w:top w:val="single" w:sz="6" w:space="0" w:color="auto"/>
              <w:left w:val="single" w:sz="6" w:space="0" w:color="auto"/>
              <w:bottom w:val="single" w:sz="6" w:space="0" w:color="auto"/>
              <w:right w:val="single" w:sz="4" w:space="0" w:color="auto"/>
            </w:tcBorders>
            <w:vAlign w:val="center"/>
          </w:tcPr>
          <w:p w14:paraId="7F4929A3" w14:textId="7FB1E74D" w:rsidR="00CB340B" w:rsidRPr="009C5807" w:rsidRDefault="00CB340B" w:rsidP="0094409B">
            <w:pPr>
              <w:pStyle w:val="TAC"/>
              <w:rPr>
                <w:lang w:eastAsia="ja-JP"/>
              </w:rPr>
            </w:pPr>
            <w:r w:rsidRPr="009C5807">
              <w:rPr>
                <w:lang w:eastAsia="ja-JP"/>
              </w:rPr>
              <w:t>-50</w:t>
            </w:r>
          </w:p>
        </w:tc>
      </w:tr>
      <w:tr w:rsidR="001F5A79" w:rsidRPr="009C5807" w14:paraId="29617DAD" w14:textId="77777777" w:rsidTr="00F70A70">
        <w:trPr>
          <w:jc w:val="center"/>
        </w:trPr>
        <w:tc>
          <w:tcPr>
            <w:tcW w:w="1156" w:type="dxa"/>
            <w:tcBorders>
              <w:left w:val="single" w:sz="6" w:space="0" w:color="auto"/>
              <w:right w:val="single" w:sz="6" w:space="0" w:color="auto"/>
            </w:tcBorders>
          </w:tcPr>
          <w:p w14:paraId="5E559C0A"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15501489" w14:textId="77777777" w:rsidR="001F5A79" w:rsidRPr="009C5807" w:rsidRDefault="001F5A79" w:rsidP="0094409B">
            <w:pPr>
              <w:pStyle w:val="TAC"/>
              <w:rPr>
                <w:lang w:eastAsia="ja-JP"/>
              </w:rPr>
            </w:pPr>
            <w:r w:rsidRPr="009C5807">
              <w:rPr>
                <w:lang w:val="sv-SE"/>
              </w:rPr>
              <w:t>NR_FDD_FR1_G</w:t>
            </w:r>
          </w:p>
        </w:tc>
        <w:tc>
          <w:tcPr>
            <w:tcW w:w="1498" w:type="dxa"/>
            <w:tcBorders>
              <w:top w:val="single" w:sz="6" w:space="0" w:color="auto"/>
              <w:left w:val="single" w:sz="6" w:space="0" w:color="auto"/>
              <w:bottom w:val="single" w:sz="6" w:space="0" w:color="auto"/>
              <w:right w:val="single" w:sz="6" w:space="0" w:color="auto"/>
            </w:tcBorders>
            <w:vAlign w:val="center"/>
          </w:tcPr>
          <w:p w14:paraId="3C309619" w14:textId="77777777" w:rsidR="001F5A79" w:rsidRPr="009C5807" w:rsidRDefault="001F5A79" w:rsidP="0094409B">
            <w:pPr>
              <w:pStyle w:val="TAC"/>
              <w:rPr>
                <w:lang w:eastAsia="ja-JP"/>
              </w:rPr>
            </w:pPr>
            <w:r w:rsidRPr="009C5807">
              <w:t>-118</w:t>
            </w:r>
          </w:p>
        </w:tc>
        <w:tc>
          <w:tcPr>
            <w:tcW w:w="1498" w:type="dxa"/>
            <w:tcBorders>
              <w:top w:val="single" w:sz="6" w:space="0" w:color="auto"/>
              <w:left w:val="single" w:sz="6" w:space="0" w:color="auto"/>
              <w:bottom w:val="single" w:sz="6" w:space="0" w:color="auto"/>
              <w:right w:val="single" w:sz="6" w:space="0" w:color="auto"/>
            </w:tcBorders>
            <w:vAlign w:val="center"/>
          </w:tcPr>
          <w:p w14:paraId="2EFB1E1E" w14:textId="77777777" w:rsidR="001F5A79" w:rsidRPr="009C5807" w:rsidRDefault="001F5A79" w:rsidP="0094409B">
            <w:pPr>
              <w:pStyle w:val="TAC"/>
              <w:rPr>
                <w:lang w:eastAsia="ja-JP"/>
              </w:rPr>
            </w:pPr>
            <w:r w:rsidRPr="009C5807">
              <w:t>-115</w:t>
            </w:r>
          </w:p>
        </w:tc>
        <w:tc>
          <w:tcPr>
            <w:tcW w:w="1525" w:type="dxa"/>
            <w:tcBorders>
              <w:top w:val="single" w:sz="6" w:space="0" w:color="auto"/>
              <w:left w:val="single" w:sz="6" w:space="0" w:color="auto"/>
              <w:bottom w:val="single" w:sz="6" w:space="0" w:color="auto"/>
              <w:right w:val="single" w:sz="4" w:space="0" w:color="auto"/>
            </w:tcBorders>
            <w:vAlign w:val="center"/>
          </w:tcPr>
          <w:p w14:paraId="72BF20FD" w14:textId="77777777" w:rsidR="001F5A79" w:rsidRPr="009C5807" w:rsidRDefault="001F5A79" w:rsidP="0094409B">
            <w:pPr>
              <w:pStyle w:val="TAC"/>
              <w:rPr>
                <w:lang w:eastAsia="ja-JP"/>
              </w:rPr>
            </w:pPr>
            <w:r w:rsidRPr="009C5807">
              <w:rPr>
                <w:lang w:eastAsia="ja-JP"/>
              </w:rPr>
              <w:t>-50</w:t>
            </w:r>
          </w:p>
        </w:tc>
      </w:tr>
      <w:tr w:rsidR="001F5A79" w:rsidRPr="009C5807" w14:paraId="3ADA283C" w14:textId="77777777" w:rsidTr="00F70A70">
        <w:trPr>
          <w:jc w:val="center"/>
        </w:trPr>
        <w:tc>
          <w:tcPr>
            <w:tcW w:w="1156" w:type="dxa"/>
            <w:tcBorders>
              <w:left w:val="single" w:sz="6" w:space="0" w:color="auto"/>
              <w:right w:val="single" w:sz="6" w:space="0" w:color="auto"/>
            </w:tcBorders>
          </w:tcPr>
          <w:p w14:paraId="1C1F21C1"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715E9CA9" w14:textId="77777777" w:rsidR="001F5A79" w:rsidRPr="009C5807" w:rsidRDefault="001F5A79" w:rsidP="0094409B">
            <w:pPr>
              <w:pStyle w:val="TAC"/>
              <w:rPr>
                <w:lang w:eastAsia="ja-JP"/>
              </w:rPr>
            </w:pPr>
            <w:r w:rsidRPr="009C5807">
              <w:rPr>
                <w:lang w:val="sv-SE"/>
              </w:rPr>
              <w:t>NR_FDD_FR1_H</w:t>
            </w:r>
          </w:p>
        </w:tc>
        <w:tc>
          <w:tcPr>
            <w:tcW w:w="1498" w:type="dxa"/>
            <w:tcBorders>
              <w:top w:val="single" w:sz="6" w:space="0" w:color="auto"/>
              <w:left w:val="single" w:sz="6" w:space="0" w:color="auto"/>
              <w:bottom w:val="single" w:sz="6" w:space="0" w:color="auto"/>
              <w:right w:val="single" w:sz="6" w:space="0" w:color="auto"/>
            </w:tcBorders>
            <w:vAlign w:val="center"/>
          </w:tcPr>
          <w:p w14:paraId="55ACFE66" w14:textId="77777777" w:rsidR="001F5A79" w:rsidRPr="009C5807" w:rsidRDefault="001F5A79" w:rsidP="0094409B">
            <w:pPr>
              <w:pStyle w:val="TAC"/>
              <w:rPr>
                <w:lang w:eastAsia="ja-JP"/>
              </w:rPr>
            </w:pPr>
            <w:r w:rsidRPr="009C5807">
              <w:t>-117.5</w:t>
            </w:r>
          </w:p>
        </w:tc>
        <w:tc>
          <w:tcPr>
            <w:tcW w:w="1498" w:type="dxa"/>
            <w:tcBorders>
              <w:top w:val="single" w:sz="6" w:space="0" w:color="auto"/>
              <w:left w:val="single" w:sz="6" w:space="0" w:color="auto"/>
              <w:bottom w:val="single" w:sz="6" w:space="0" w:color="auto"/>
              <w:right w:val="single" w:sz="6" w:space="0" w:color="auto"/>
            </w:tcBorders>
            <w:vAlign w:val="center"/>
          </w:tcPr>
          <w:p w14:paraId="68A86465" w14:textId="77777777" w:rsidR="001F5A79" w:rsidRPr="009C5807" w:rsidRDefault="001F5A79" w:rsidP="0094409B">
            <w:pPr>
              <w:pStyle w:val="TAC"/>
              <w:rPr>
                <w:lang w:eastAsia="ja-JP"/>
              </w:rPr>
            </w:pPr>
            <w:r w:rsidRPr="009C5807">
              <w:t>-114.5</w:t>
            </w:r>
          </w:p>
        </w:tc>
        <w:tc>
          <w:tcPr>
            <w:tcW w:w="1525" w:type="dxa"/>
            <w:tcBorders>
              <w:top w:val="single" w:sz="6" w:space="0" w:color="auto"/>
              <w:left w:val="single" w:sz="6" w:space="0" w:color="auto"/>
              <w:bottom w:val="single" w:sz="6" w:space="0" w:color="auto"/>
              <w:right w:val="single" w:sz="4" w:space="0" w:color="auto"/>
            </w:tcBorders>
            <w:vAlign w:val="center"/>
          </w:tcPr>
          <w:p w14:paraId="1F2072A0" w14:textId="77777777" w:rsidR="001F5A79" w:rsidRPr="009C5807" w:rsidRDefault="001F5A79" w:rsidP="0094409B">
            <w:pPr>
              <w:pStyle w:val="TAC"/>
              <w:rPr>
                <w:lang w:eastAsia="ja-JP"/>
              </w:rPr>
            </w:pPr>
            <w:r w:rsidRPr="009C5807">
              <w:rPr>
                <w:lang w:eastAsia="ja-JP"/>
              </w:rPr>
              <w:t>-50</w:t>
            </w:r>
          </w:p>
        </w:tc>
      </w:tr>
      <w:tr w:rsidR="001F5A79" w:rsidRPr="009C5807" w14:paraId="554D1893" w14:textId="77777777" w:rsidTr="00F70A70">
        <w:trPr>
          <w:jc w:val="center"/>
        </w:trPr>
        <w:tc>
          <w:tcPr>
            <w:tcW w:w="9855" w:type="dxa"/>
            <w:gridSpan w:val="5"/>
            <w:tcBorders>
              <w:top w:val="single" w:sz="6" w:space="0" w:color="auto"/>
              <w:left w:val="single" w:sz="6" w:space="0" w:color="auto"/>
              <w:bottom w:val="single" w:sz="6" w:space="0" w:color="auto"/>
              <w:right w:val="single" w:sz="4" w:space="0" w:color="auto"/>
            </w:tcBorders>
          </w:tcPr>
          <w:p w14:paraId="7180BA57" w14:textId="77777777" w:rsidR="0094409B" w:rsidRPr="009C5807" w:rsidRDefault="0094409B" w:rsidP="0094409B">
            <w:pPr>
              <w:pStyle w:val="TAN"/>
              <w:rPr>
                <w:rFonts w:cs="Arial"/>
                <w:lang w:eastAsia="ja-JP"/>
              </w:rPr>
            </w:pPr>
            <w:r w:rsidRPr="009C5807">
              <w:rPr>
                <w:rFonts w:cs="Arial"/>
                <w:lang w:eastAsia="ja-JP"/>
              </w:rPr>
              <w:t>N</w:t>
            </w:r>
            <w:r w:rsidRPr="009C5807">
              <w:rPr>
                <w:rFonts w:cs="Arial"/>
                <w:lang w:eastAsia="zh-CN"/>
              </w:rPr>
              <w:t>OTE</w:t>
            </w:r>
            <w:r w:rsidRPr="009C5807">
              <w:rPr>
                <w:rFonts w:cs="Arial"/>
                <w:lang w:eastAsia="ja-JP"/>
              </w:rPr>
              <w:t xml:space="preserve"> 1:</w:t>
            </w:r>
            <w:r w:rsidRPr="009C5807">
              <w:rPr>
                <w:rFonts w:cs="Arial"/>
                <w:lang w:eastAsia="ja-JP"/>
              </w:rPr>
              <w:tab/>
            </w:r>
            <w:r w:rsidRPr="009C5807">
              <w:t>Io is assumed to have constant EPRE across the bandwidth</w:t>
            </w:r>
            <w:r w:rsidRPr="009C5807">
              <w:rPr>
                <w:rFonts w:cs="Arial"/>
                <w:lang w:eastAsia="ja-JP"/>
              </w:rPr>
              <w:t>.</w:t>
            </w:r>
          </w:p>
          <w:p w14:paraId="7279A2DE" w14:textId="070C2033" w:rsidR="0094409B" w:rsidRPr="009C5807" w:rsidRDefault="0094409B" w:rsidP="0094409B">
            <w:pPr>
              <w:pStyle w:val="TAN"/>
              <w:rPr>
                <w:rFonts w:cs="Arial"/>
                <w:lang w:eastAsia="ja-JP"/>
              </w:rPr>
            </w:pPr>
            <w:r w:rsidRPr="009C5807">
              <w:rPr>
                <w:rFonts w:cs="Arial"/>
                <w:lang w:eastAsia="ja-JP"/>
              </w:rPr>
              <w:t>NOTE 2:</w:t>
            </w:r>
            <w:r w:rsidRPr="009C5807">
              <w:rPr>
                <w:rFonts w:cs="Arial"/>
                <w:lang w:eastAsia="ja-JP"/>
              </w:rPr>
              <w:tab/>
              <w:t xml:space="preserve">The condition level is increased by </w:t>
            </w:r>
            <w:r w:rsidRPr="009C5807">
              <w:t>ΔR</w:t>
            </w:r>
            <w:r w:rsidRPr="009C5807">
              <w:rPr>
                <w:vertAlign w:val="subscript"/>
              </w:rPr>
              <w:t>IB,c</w:t>
            </w:r>
            <w:r w:rsidRPr="009C5807">
              <w:rPr>
                <w:rFonts w:cs="Arial"/>
                <w:lang w:eastAsia="ja-JP"/>
              </w:rPr>
              <w:t xml:space="preserve"> as defined in clause 7.3B in </w:t>
            </w:r>
            <w:r w:rsidRPr="009C5807">
              <w:t>TS 38.101-3 [</w:t>
            </w:r>
            <w:r w:rsidRPr="009C5807">
              <w:rPr>
                <w:rFonts w:hint="eastAsia"/>
                <w:lang w:val="en-US" w:eastAsia="zh-CN"/>
              </w:rPr>
              <w:t>20</w:t>
            </w:r>
            <w:r w:rsidRPr="009C5807">
              <w:t>]</w:t>
            </w:r>
            <w:r w:rsidRPr="009C5807">
              <w:rPr>
                <w:rFonts w:cs="Arial"/>
                <w:lang w:eastAsia="ja-JP"/>
              </w:rPr>
              <w:t>, depending on E-UTRA – NR band combination.</w:t>
            </w:r>
          </w:p>
          <w:p w14:paraId="3F6A11D0" w14:textId="773BF527" w:rsidR="0094409B" w:rsidRPr="009C5807" w:rsidRDefault="0094409B" w:rsidP="0094409B">
            <w:pPr>
              <w:pStyle w:val="TAN"/>
              <w:rPr>
                <w:rFonts w:cs="Arial"/>
                <w:lang w:eastAsia="ja-JP"/>
              </w:rPr>
            </w:pPr>
            <w:r w:rsidRPr="009C5807">
              <w:rPr>
                <w:rFonts w:cs="Arial"/>
                <w:lang w:eastAsia="ja-JP"/>
              </w:rPr>
              <w:t>NOTE 3:</w:t>
            </w:r>
            <w:r w:rsidRPr="009C5807">
              <w:rPr>
                <w:rFonts w:cs="Arial"/>
                <w:lang w:eastAsia="ja-JP"/>
              </w:rPr>
              <w:tab/>
              <w:t xml:space="preserve">The condition level is increased by MSD as defined in clause 7.3B in </w:t>
            </w:r>
            <w:r w:rsidRPr="009C5807">
              <w:t>TS 38.101-3 [</w:t>
            </w:r>
            <w:r w:rsidRPr="009C5807">
              <w:rPr>
                <w:rFonts w:hint="eastAsia"/>
                <w:lang w:val="en-US" w:eastAsia="zh-CN"/>
              </w:rPr>
              <w:t>20</w:t>
            </w:r>
            <w:r w:rsidRPr="009C5807">
              <w:t>]</w:t>
            </w:r>
            <w:r w:rsidRPr="009C5807">
              <w:rPr>
                <w:rFonts w:cs="Arial"/>
                <w:lang w:eastAsia="ja-JP"/>
              </w:rPr>
              <w:t>, if applicable depending on E-UTRA – NR band combination.</w:t>
            </w:r>
          </w:p>
          <w:p w14:paraId="633A3971" w14:textId="77777777" w:rsidR="0094409B" w:rsidRPr="009C5807" w:rsidRDefault="0094409B" w:rsidP="0094409B">
            <w:pPr>
              <w:pStyle w:val="TAN"/>
              <w:rPr>
                <w:rFonts w:cs="Arial"/>
                <w:lang w:eastAsia="ja-JP"/>
              </w:rPr>
            </w:pPr>
            <w:r w:rsidRPr="009C5807">
              <w:rPr>
                <w:rFonts w:cs="Arial"/>
                <w:lang w:eastAsia="ja-JP"/>
              </w:rPr>
              <w:t>NOTE 4:</w:t>
            </w:r>
            <w:r w:rsidRPr="009C5807">
              <w:rPr>
                <w:rFonts w:cs="Arial"/>
                <w:lang w:eastAsia="ja-JP"/>
              </w:rPr>
              <w:tab/>
              <w:t>NR operating band groups are as defined in clause 3.5.</w:t>
            </w:r>
          </w:p>
          <w:p w14:paraId="6FF2EBCD" w14:textId="5238D4F3" w:rsidR="001F5A79" w:rsidRPr="009C5807" w:rsidRDefault="0094409B" w:rsidP="0094409B">
            <w:pPr>
              <w:pStyle w:val="TAN"/>
              <w:rPr>
                <w:rFonts w:cs="Arial"/>
                <w:lang w:eastAsia="ja-JP"/>
              </w:rPr>
            </w:pPr>
            <w:r w:rsidRPr="009C5807">
              <w:rPr>
                <w:rFonts w:cs="Arial"/>
              </w:rPr>
              <w:t>NOTE 5:</w:t>
            </w:r>
            <w:r w:rsidRPr="009C5807">
              <w:rPr>
                <w:rFonts w:cs="Arial"/>
              </w:rPr>
              <w:tab/>
              <w:t xml:space="preserve">Only NR bands within EN-DC band combinations as specified in </w:t>
            </w:r>
            <w:r w:rsidRPr="009C5807">
              <w:rPr>
                <w:rFonts w:cs="Arial"/>
                <w:lang w:eastAsia="ja-JP"/>
              </w:rPr>
              <w:t>clause</w:t>
            </w:r>
            <w:r w:rsidRPr="009C5807">
              <w:rPr>
                <w:rFonts w:cs="Arial"/>
              </w:rPr>
              <w:t xml:space="preserve"> 5.5B in </w:t>
            </w:r>
            <w:r w:rsidRPr="009C5807">
              <w:t>TS 38.101-3 [</w:t>
            </w:r>
            <w:r w:rsidRPr="009C5807">
              <w:rPr>
                <w:rFonts w:hint="eastAsia"/>
                <w:lang w:val="en-US" w:eastAsia="zh-CN"/>
              </w:rPr>
              <w:t>20</w:t>
            </w:r>
            <w:r w:rsidRPr="009C5807">
              <w:t>]</w:t>
            </w:r>
            <w:r w:rsidRPr="009C5807">
              <w:rPr>
                <w:rFonts w:cs="Arial"/>
              </w:rPr>
              <w:t xml:space="preserve"> are applicable.</w:t>
            </w:r>
          </w:p>
        </w:tc>
      </w:tr>
    </w:tbl>
    <w:p w14:paraId="09B4980C" w14:textId="77777777" w:rsidR="001F5A79" w:rsidRPr="009C5807" w:rsidRDefault="001F5A79" w:rsidP="001F5A79"/>
    <w:p w14:paraId="7039B343" w14:textId="77777777" w:rsidR="001F5A79" w:rsidRPr="009C5807" w:rsidRDefault="001F5A79" w:rsidP="001F5A79">
      <w:r w:rsidRPr="009C5807">
        <w:t>For FR2 PCell SFN and frame timing measurement:</w:t>
      </w:r>
    </w:p>
    <w:p w14:paraId="709F064D" w14:textId="77777777" w:rsidR="001F5A79" w:rsidRPr="009C5807" w:rsidRDefault="001F5A79" w:rsidP="0093237A">
      <w:pPr>
        <w:pStyle w:val="B10"/>
      </w:pPr>
      <w:r w:rsidRPr="009C5807">
        <w:t>-</w:t>
      </w:r>
      <w:r w:rsidRPr="009C5807">
        <w:tab/>
        <w:t>Conditions defined in clause 7.3 of TS 38.101-2 [19] for reference sensitivity are fulfilled.</w:t>
      </w:r>
    </w:p>
    <w:p w14:paraId="1FC1A6A5" w14:textId="77777777" w:rsidR="001F5A79" w:rsidRPr="009C5807" w:rsidRDefault="001F5A79" w:rsidP="0093237A">
      <w:pPr>
        <w:pStyle w:val="B10"/>
      </w:pPr>
      <w:r w:rsidRPr="009C5807">
        <w:t>-</w:t>
      </w:r>
      <w:r w:rsidRPr="009C5807">
        <w:tab/>
        <w:t>Io range deifined in Table 10.1.21.1-2.</w:t>
      </w:r>
    </w:p>
    <w:p w14:paraId="6322C65B" w14:textId="77777777" w:rsidR="001F5A79" w:rsidRPr="009C5807" w:rsidRDefault="001F5A79" w:rsidP="0093237A">
      <w:pPr>
        <w:pStyle w:val="TH"/>
        <w:rPr>
          <w:lang w:eastAsia="zh-CN"/>
        </w:rPr>
      </w:pPr>
      <w:r w:rsidRPr="009C5807">
        <w:t>Table 10.1.21.1-2: PCell Io range conditions in</w:t>
      </w:r>
      <w:r w:rsidRPr="009C5807">
        <w:rPr>
          <w:lang w:eastAsia="zh-CN"/>
        </w:rPr>
        <w:t xml:space="preserve"> FR2</w:t>
      </w:r>
    </w:p>
    <w:tbl>
      <w:tblPr>
        <w:tblW w:w="9833" w:type="dxa"/>
        <w:jc w:val="center"/>
        <w:tblLayout w:type="fixed"/>
        <w:tblLook w:val="0000" w:firstRow="0" w:lastRow="0" w:firstColumn="0" w:lastColumn="0" w:noHBand="0" w:noVBand="0"/>
      </w:tblPr>
      <w:tblGrid>
        <w:gridCol w:w="1156"/>
        <w:gridCol w:w="3245"/>
        <w:gridCol w:w="3246"/>
        <w:gridCol w:w="2186"/>
      </w:tblGrid>
      <w:tr w:rsidR="001F5A79" w:rsidRPr="009C5807" w14:paraId="46FD3A4B" w14:textId="77777777" w:rsidTr="00F70A70">
        <w:trPr>
          <w:jc w:val="center"/>
        </w:trPr>
        <w:tc>
          <w:tcPr>
            <w:tcW w:w="1156" w:type="dxa"/>
            <w:tcBorders>
              <w:top w:val="single" w:sz="6" w:space="0" w:color="auto"/>
              <w:left w:val="single" w:sz="6" w:space="0" w:color="auto"/>
              <w:right w:val="single" w:sz="4" w:space="0" w:color="auto"/>
            </w:tcBorders>
            <w:vAlign w:val="center"/>
          </w:tcPr>
          <w:p w14:paraId="482076A9" w14:textId="77777777" w:rsidR="001F5A79" w:rsidRPr="009C5807" w:rsidRDefault="001F5A79" w:rsidP="00F70A70">
            <w:pPr>
              <w:pStyle w:val="TAH"/>
              <w:rPr>
                <w:lang w:eastAsia="zh-CN"/>
              </w:rPr>
            </w:pPr>
            <w:r w:rsidRPr="009C5807">
              <w:rPr>
                <w:lang w:eastAsia="zh-CN"/>
              </w:rPr>
              <w:t>Parameter</w:t>
            </w:r>
          </w:p>
        </w:tc>
        <w:tc>
          <w:tcPr>
            <w:tcW w:w="8677" w:type="dxa"/>
            <w:gridSpan w:val="3"/>
            <w:tcBorders>
              <w:top w:val="single" w:sz="6" w:space="0" w:color="auto"/>
              <w:left w:val="single" w:sz="6" w:space="0" w:color="auto"/>
              <w:bottom w:val="single" w:sz="6" w:space="0" w:color="auto"/>
              <w:right w:val="single" w:sz="4" w:space="0" w:color="auto"/>
            </w:tcBorders>
            <w:vAlign w:val="center"/>
          </w:tcPr>
          <w:p w14:paraId="207516ED" w14:textId="77777777" w:rsidR="001F5A79" w:rsidRPr="009C5807" w:rsidRDefault="001F5A79" w:rsidP="00F70A70">
            <w:pPr>
              <w:pStyle w:val="TAH"/>
              <w:rPr>
                <w:lang w:eastAsia="ja-JP"/>
              </w:rPr>
            </w:pPr>
            <w:r w:rsidRPr="009C5807">
              <w:rPr>
                <w:lang w:eastAsia="ja-JP"/>
              </w:rPr>
              <w:t>Io</w:t>
            </w:r>
            <w:r w:rsidRPr="009C5807">
              <w:rPr>
                <w:vertAlign w:val="superscript"/>
                <w:lang w:eastAsia="zh-CN"/>
              </w:rPr>
              <w:t xml:space="preserve"> Note 1</w:t>
            </w:r>
            <w:r w:rsidRPr="009C5807">
              <w:rPr>
                <w:lang w:eastAsia="ja-JP"/>
              </w:rPr>
              <w:t xml:space="preserve"> range</w:t>
            </w:r>
          </w:p>
        </w:tc>
      </w:tr>
      <w:tr w:rsidR="001F5A79" w:rsidRPr="009C5807" w14:paraId="5B103108" w14:textId="77777777" w:rsidTr="00F70A70">
        <w:trPr>
          <w:jc w:val="center"/>
        </w:trPr>
        <w:tc>
          <w:tcPr>
            <w:tcW w:w="1156" w:type="dxa"/>
            <w:tcBorders>
              <w:left w:val="single" w:sz="6" w:space="0" w:color="auto"/>
              <w:right w:val="single" w:sz="4" w:space="0" w:color="auto"/>
            </w:tcBorders>
          </w:tcPr>
          <w:p w14:paraId="7BB231EC" w14:textId="77777777" w:rsidR="001F5A79" w:rsidRPr="009C5807" w:rsidRDefault="001F5A79" w:rsidP="00F70A70">
            <w:pPr>
              <w:pStyle w:val="TAH"/>
              <w:rPr>
                <w:lang w:eastAsia="ja-JP"/>
              </w:rPr>
            </w:pPr>
          </w:p>
        </w:tc>
        <w:tc>
          <w:tcPr>
            <w:tcW w:w="6491" w:type="dxa"/>
            <w:gridSpan w:val="2"/>
            <w:tcBorders>
              <w:top w:val="single" w:sz="6" w:space="0" w:color="auto"/>
              <w:left w:val="single" w:sz="6" w:space="0" w:color="auto"/>
              <w:bottom w:val="single" w:sz="6" w:space="0" w:color="auto"/>
              <w:right w:val="single" w:sz="6" w:space="0" w:color="auto"/>
            </w:tcBorders>
            <w:vAlign w:val="center"/>
          </w:tcPr>
          <w:p w14:paraId="7E323366" w14:textId="77777777" w:rsidR="001F5A79" w:rsidRPr="009C5807" w:rsidRDefault="001F5A79" w:rsidP="00F70A70">
            <w:pPr>
              <w:pStyle w:val="TAH"/>
              <w:rPr>
                <w:lang w:eastAsia="ja-JP"/>
              </w:rPr>
            </w:pPr>
            <w:r w:rsidRPr="009C5807">
              <w:rPr>
                <w:lang w:eastAsia="ja-JP"/>
              </w:rPr>
              <w:t>Minimum Io</w:t>
            </w:r>
            <w:r w:rsidRPr="009C5807">
              <w:rPr>
                <w:vertAlign w:val="superscript"/>
                <w:lang w:eastAsia="zh-CN"/>
              </w:rPr>
              <w:t xml:space="preserve"> Note 2, 3</w:t>
            </w:r>
          </w:p>
        </w:tc>
        <w:tc>
          <w:tcPr>
            <w:tcW w:w="2186" w:type="dxa"/>
            <w:tcBorders>
              <w:top w:val="single" w:sz="6" w:space="0" w:color="auto"/>
              <w:left w:val="single" w:sz="6" w:space="0" w:color="auto"/>
              <w:bottom w:val="single" w:sz="6" w:space="0" w:color="auto"/>
              <w:right w:val="single" w:sz="4" w:space="0" w:color="auto"/>
            </w:tcBorders>
            <w:vAlign w:val="center"/>
          </w:tcPr>
          <w:p w14:paraId="66EADC3E" w14:textId="77777777" w:rsidR="001F5A79" w:rsidRPr="009C5807" w:rsidRDefault="001F5A79" w:rsidP="00F70A70">
            <w:pPr>
              <w:pStyle w:val="TAH"/>
              <w:rPr>
                <w:lang w:eastAsia="ja-JP"/>
              </w:rPr>
            </w:pPr>
            <w:r w:rsidRPr="009C5807">
              <w:rPr>
                <w:lang w:eastAsia="ja-JP"/>
              </w:rPr>
              <w:t>Maximum Io</w:t>
            </w:r>
          </w:p>
        </w:tc>
      </w:tr>
      <w:tr w:rsidR="001F5A79" w:rsidRPr="009C5807" w14:paraId="2B15E282" w14:textId="77777777" w:rsidTr="00F70A70">
        <w:trPr>
          <w:trHeight w:val="70"/>
          <w:jc w:val="center"/>
        </w:trPr>
        <w:tc>
          <w:tcPr>
            <w:tcW w:w="1156" w:type="dxa"/>
            <w:tcBorders>
              <w:left w:val="single" w:sz="6" w:space="0" w:color="auto"/>
              <w:right w:val="single" w:sz="4" w:space="0" w:color="auto"/>
            </w:tcBorders>
            <w:vAlign w:val="center"/>
          </w:tcPr>
          <w:p w14:paraId="1735D913" w14:textId="77777777" w:rsidR="001F5A79" w:rsidRPr="009C5807" w:rsidRDefault="001F5A79" w:rsidP="00F70A70">
            <w:pPr>
              <w:pStyle w:val="TAH"/>
              <w:rPr>
                <w:lang w:eastAsia="zh-CN"/>
              </w:rPr>
            </w:pPr>
          </w:p>
        </w:tc>
        <w:tc>
          <w:tcPr>
            <w:tcW w:w="6491" w:type="dxa"/>
            <w:gridSpan w:val="2"/>
            <w:tcBorders>
              <w:top w:val="single" w:sz="6" w:space="0" w:color="auto"/>
              <w:left w:val="single" w:sz="6" w:space="0" w:color="auto"/>
              <w:bottom w:val="single" w:sz="6" w:space="0" w:color="auto"/>
              <w:right w:val="single" w:sz="6" w:space="0" w:color="auto"/>
            </w:tcBorders>
            <w:vAlign w:val="center"/>
          </w:tcPr>
          <w:p w14:paraId="07D5673A" w14:textId="77777777" w:rsidR="001F5A79" w:rsidRPr="009C5807" w:rsidRDefault="001F5A79" w:rsidP="00F70A70">
            <w:pPr>
              <w:pStyle w:val="TAH"/>
              <w:rPr>
                <w:lang w:eastAsia="ja-JP"/>
              </w:rPr>
            </w:pPr>
            <w:r w:rsidRPr="009C5807">
              <w:rPr>
                <w:lang w:eastAsia="ja-JP"/>
              </w:rPr>
              <w:t>dBm/ SCS</w:t>
            </w:r>
            <w:r w:rsidRPr="009C5807">
              <w:rPr>
                <w:vertAlign w:val="subscript"/>
                <w:lang w:eastAsia="ja-JP"/>
              </w:rPr>
              <w:t>SSB</w:t>
            </w:r>
            <w:r w:rsidRPr="009C5807">
              <w:rPr>
                <w:vertAlign w:val="superscript"/>
                <w:lang w:eastAsia="zh-CN"/>
              </w:rPr>
              <w:t xml:space="preserve"> </w:t>
            </w:r>
          </w:p>
        </w:tc>
        <w:tc>
          <w:tcPr>
            <w:tcW w:w="2186" w:type="dxa"/>
            <w:tcBorders>
              <w:top w:val="single" w:sz="6" w:space="0" w:color="auto"/>
              <w:left w:val="single" w:sz="6" w:space="0" w:color="auto"/>
              <w:right w:val="single" w:sz="4" w:space="0" w:color="auto"/>
            </w:tcBorders>
            <w:vAlign w:val="center"/>
          </w:tcPr>
          <w:p w14:paraId="20E5CDD3" w14:textId="77777777" w:rsidR="001F5A79" w:rsidRPr="009C5807" w:rsidRDefault="001F5A79" w:rsidP="00F70A70">
            <w:pPr>
              <w:pStyle w:val="TAH"/>
              <w:rPr>
                <w:lang w:eastAsia="ja-JP"/>
              </w:rPr>
            </w:pPr>
            <w:r w:rsidRPr="009C5807">
              <w:rPr>
                <w:lang w:eastAsia="ja-JP"/>
              </w:rPr>
              <w:t>dBm/BW</w:t>
            </w:r>
            <w:r w:rsidRPr="009C5807">
              <w:rPr>
                <w:vertAlign w:val="subscript"/>
                <w:lang w:eastAsia="ja-JP"/>
              </w:rPr>
              <w:t>Channel</w:t>
            </w:r>
          </w:p>
        </w:tc>
      </w:tr>
      <w:tr w:rsidR="001F5A79" w:rsidRPr="009C5807" w14:paraId="717C9593" w14:textId="77777777" w:rsidTr="00DF3064">
        <w:trPr>
          <w:trHeight w:val="70"/>
          <w:jc w:val="center"/>
        </w:trPr>
        <w:tc>
          <w:tcPr>
            <w:tcW w:w="1156" w:type="dxa"/>
            <w:tcBorders>
              <w:left w:val="single" w:sz="6" w:space="0" w:color="auto"/>
              <w:bottom w:val="single" w:sz="4" w:space="0" w:color="auto"/>
              <w:right w:val="single" w:sz="4" w:space="0" w:color="auto"/>
            </w:tcBorders>
            <w:vAlign w:val="center"/>
          </w:tcPr>
          <w:p w14:paraId="019F5A51" w14:textId="77777777" w:rsidR="001F5A79" w:rsidRPr="009C5807" w:rsidRDefault="001F5A79" w:rsidP="00F70A70">
            <w:pPr>
              <w:pStyle w:val="TAH"/>
              <w:rPr>
                <w:lang w:eastAsia="zh-CN"/>
              </w:rPr>
            </w:pPr>
          </w:p>
        </w:tc>
        <w:tc>
          <w:tcPr>
            <w:tcW w:w="3245" w:type="dxa"/>
            <w:tcBorders>
              <w:top w:val="single" w:sz="6" w:space="0" w:color="auto"/>
              <w:left w:val="single" w:sz="6" w:space="0" w:color="auto"/>
              <w:bottom w:val="single" w:sz="6" w:space="0" w:color="auto"/>
              <w:right w:val="single" w:sz="6" w:space="0" w:color="auto"/>
            </w:tcBorders>
            <w:vAlign w:val="center"/>
          </w:tcPr>
          <w:p w14:paraId="595874AB" w14:textId="77777777" w:rsidR="001F5A79" w:rsidRPr="009C5807" w:rsidRDefault="001F5A79" w:rsidP="00F70A70">
            <w:pPr>
              <w:pStyle w:val="TAH"/>
              <w:rPr>
                <w:lang w:eastAsia="ja-JP"/>
              </w:rPr>
            </w:pPr>
            <w:r w:rsidRPr="009C5807">
              <w:t>SCS</w:t>
            </w:r>
            <w:r w:rsidRPr="009C5807">
              <w:rPr>
                <w:vertAlign w:val="subscript"/>
              </w:rPr>
              <w:t>SSB</w:t>
            </w:r>
            <w:r w:rsidRPr="009C5807">
              <w:t xml:space="preserve"> = 15 kHz</w:t>
            </w:r>
          </w:p>
        </w:tc>
        <w:tc>
          <w:tcPr>
            <w:tcW w:w="3246" w:type="dxa"/>
            <w:tcBorders>
              <w:top w:val="single" w:sz="6" w:space="0" w:color="auto"/>
              <w:left w:val="single" w:sz="6" w:space="0" w:color="auto"/>
              <w:bottom w:val="single" w:sz="6" w:space="0" w:color="auto"/>
              <w:right w:val="single" w:sz="6" w:space="0" w:color="auto"/>
            </w:tcBorders>
            <w:vAlign w:val="center"/>
          </w:tcPr>
          <w:p w14:paraId="3180BA83" w14:textId="77777777" w:rsidR="001F5A79" w:rsidRPr="009C5807" w:rsidRDefault="001F5A79" w:rsidP="00F70A70">
            <w:pPr>
              <w:pStyle w:val="TAH"/>
              <w:rPr>
                <w:lang w:eastAsia="ja-JP"/>
              </w:rPr>
            </w:pPr>
            <w:r w:rsidRPr="009C5807">
              <w:t>SCS</w:t>
            </w:r>
            <w:r w:rsidRPr="009C5807">
              <w:rPr>
                <w:vertAlign w:val="subscript"/>
              </w:rPr>
              <w:t>SSB</w:t>
            </w:r>
            <w:r w:rsidRPr="009C5807">
              <w:t xml:space="preserve"> = 30 kHz</w:t>
            </w:r>
          </w:p>
        </w:tc>
        <w:tc>
          <w:tcPr>
            <w:tcW w:w="2186" w:type="dxa"/>
            <w:tcBorders>
              <w:left w:val="single" w:sz="6" w:space="0" w:color="auto"/>
              <w:bottom w:val="single" w:sz="6" w:space="0" w:color="auto"/>
              <w:right w:val="single" w:sz="4" w:space="0" w:color="auto"/>
            </w:tcBorders>
            <w:vAlign w:val="center"/>
          </w:tcPr>
          <w:p w14:paraId="327FF23B" w14:textId="77777777" w:rsidR="001F5A79" w:rsidRPr="009C5807" w:rsidRDefault="001F5A79" w:rsidP="00F70A70">
            <w:pPr>
              <w:pStyle w:val="TAH"/>
              <w:rPr>
                <w:lang w:eastAsia="ja-JP"/>
              </w:rPr>
            </w:pPr>
          </w:p>
        </w:tc>
      </w:tr>
      <w:tr w:rsidR="001F5A79" w:rsidRPr="009C5807" w14:paraId="478FE053" w14:textId="77777777" w:rsidTr="00485F6E">
        <w:trPr>
          <w:trHeight w:val="1011"/>
          <w:jc w:val="center"/>
        </w:trPr>
        <w:tc>
          <w:tcPr>
            <w:tcW w:w="1156" w:type="dxa"/>
            <w:tcBorders>
              <w:top w:val="single" w:sz="4" w:space="0" w:color="auto"/>
              <w:left w:val="single" w:sz="6" w:space="0" w:color="auto"/>
              <w:right w:val="single" w:sz="6" w:space="0" w:color="auto"/>
            </w:tcBorders>
          </w:tcPr>
          <w:p w14:paraId="538327EE" w14:textId="77777777" w:rsidR="001F5A79" w:rsidRPr="009C5807" w:rsidRDefault="001F5A79" w:rsidP="00485F6E">
            <w:pPr>
              <w:pStyle w:val="TAC"/>
              <w:rPr>
                <w:lang w:eastAsia="ja-JP"/>
              </w:rPr>
            </w:pPr>
            <w:r w:rsidRPr="009C5807">
              <w:rPr>
                <w:lang w:eastAsia="zh-CN"/>
              </w:rPr>
              <w:t>Conditions</w:t>
            </w:r>
          </w:p>
        </w:tc>
        <w:tc>
          <w:tcPr>
            <w:tcW w:w="3245" w:type="dxa"/>
            <w:tcBorders>
              <w:top w:val="single" w:sz="6" w:space="0" w:color="auto"/>
              <w:left w:val="single" w:sz="6" w:space="0" w:color="auto"/>
              <w:right w:val="single" w:sz="6" w:space="0" w:color="auto"/>
            </w:tcBorders>
          </w:tcPr>
          <w:p w14:paraId="699FB54B" w14:textId="77777777" w:rsidR="001F5A79" w:rsidRPr="009C5807" w:rsidRDefault="001F5A79" w:rsidP="00485F6E">
            <w:pPr>
              <w:pStyle w:val="TAC"/>
              <w:rPr>
                <w:lang w:eastAsia="ja-JP"/>
              </w:rPr>
            </w:pPr>
            <w:r w:rsidRPr="009C5807">
              <w:t>Same value as SSB_RP in Table B.2.4.1-2, according to UE Power class, operating band and angle of arrival</w:t>
            </w:r>
          </w:p>
        </w:tc>
        <w:tc>
          <w:tcPr>
            <w:tcW w:w="3246" w:type="dxa"/>
            <w:tcBorders>
              <w:top w:val="single" w:sz="6" w:space="0" w:color="auto"/>
              <w:left w:val="single" w:sz="6" w:space="0" w:color="auto"/>
              <w:right w:val="single" w:sz="6" w:space="0" w:color="auto"/>
            </w:tcBorders>
          </w:tcPr>
          <w:p w14:paraId="2EFAE44D" w14:textId="77777777" w:rsidR="001F5A79" w:rsidRPr="009C5807" w:rsidRDefault="001F5A79" w:rsidP="00485F6E">
            <w:pPr>
              <w:pStyle w:val="TAC"/>
              <w:rPr>
                <w:lang w:eastAsia="ja-JP"/>
              </w:rPr>
            </w:pPr>
            <w:r w:rsidRPr="009C5807">
              <w:t>Same value as SSB_RP in Table B.2.4.1-2, according to UE Power class, operating band and angle of arrival</w:t>
            </w:r>
          </w:p>
        </w:tc>
        <w:tc>
          <w:tcPr>
            <w:tcW w:w="2186" w:type="dxa"/>
            <w:tcBorders>
              <w:top w:val="single" w:sz="6" w:space="0" w:color="auto"/>
              <w:left w:val="single" w:sz="6" w:space="0" w:color="auto"/>
              <w:right w:val="single" w:sz="4" w:space="0" w:color="auto"/>
            </w:tcBorders>
          </w:tcPr>
          <w:p w14:paraId="6A152095" w14:textId="32D92229" w:rsidR="001F5A79" w:rsidRPr="009C5807" w:rsidRDefault="00C31BC8" w:rsidP="00485F6E">
            <w:pPr>
              <w:pStyle w:val="TAC"/>
              <w:rPr>
                <w:lang w:eastAsia="zh-CN"/>
              </w:rPr>
            </w:pPr>
            <w:r w:rsidRPr="009C5807">
              <w:rPr>
                <w:lang w:eastAsia="zh-CN"/>
              </w:rPr>
              <w:t>-50</w:t>
            </w:r>
          </w:p>
        </w:tc>
      </w:tr>
      <w:tr w:rsidR="001F5A79" w:rsidRPr="009C5807" w14:paraId="3B8E1B50" w14:textId="77777777" w:rsidTr="00DF3064">
        <w:trPr>
          <w:jc w:val="center"/>
        </w:trPr>
        <w:tc>
          <w:tcPr>
            <w:tcW w:w="9833" w:type="dxa"/>
            <w:gridSpan w:val="4"/>
            <w:tcBorders>
              <w:top w:val="single" w:sz="6" w:space="0" w:color="auto"/>
              <w:left w:val="single" w:sz="6" w:space="0" w:color="auto"/>
              <w:bottom w:val="single" w:sz="6" w:space="0" w:color="auto"/>
              <w:right w:val="single" w:sz="4" w:space="0" w:color="auto"/>
            </w:tcBorders>
          </w:tcPr>
          <w:p w14:paraId="759DB514" w14:textId="77777777" w:rsidR="001F5A79" w:rsidRPr="009C5807" w:rsidRDefault="001F5A79" w:rsidP="0093237A">
            <w:pPr>
              <w:pStyle w:val="TAN"/>
              <w:rPr>
                <w:rFonts w:cs="Arial"/>
                <w:lang w:eastAsia="ja-JP"/>
              </w:rPr>
            </w:pPr>
            <w:r w:rsidRPr="009C5807">
              <w:rPr>
                <w:rFonts w:cs="Arial"/>
                <w:lang w:eastAsia="ja-JP"/>
              </w:rPr>
              <w:t>N</w:t>
            </w:r>
            <w:r w:rsidRPr="009C5807">
              <w:rPr>
                <w:rFonts w:cs="Arial"/>
                <w:lang w:eastAsia="zh-CN"/>
              </w:rPr>
              <w:t>OTE</w:t>
            </w:r>
            <w:r w:rsidRPr="009C5807">
              <w:rPr>
                <w:rFonts w:cs="Arial"/>
                <w:lang w:eastAsia="ja-JP"/>
              </w:rPr>
              <w:t xml:space="preserve"> 1:</w:t>
            </w:r>
            <w:r w:rsidRPr="009C5807">
              <w:rPr>
                <w:rFonts w:cs="Arial"/>
                <w:lang w:eastAsia="ja-JP"/>
              </w:rPr>
              <w:tab/>
            </w:r>
            <w:r w:rsidRPr="009C5807">
              <w:t xml:space="preserve">Io is assumed to have constant EPRE across the bandwidth and </w:t>
            </w:r>
            <w:r w:rsidRPr="009C5807">
              <w:rPr>
                <w:rFonts w:eastAsia="MS Mincho"/>
              </w:rPr>
              <w:t>specified at the Reference point</w:t>
            </w:r>
            <w:r w:rsidRPr="009C5807">
              <w:rPr>
                <w:rFonts w:cs="Arial"/>
                <w:lang w:eastAsia="ja-JP"/>
              </w:rPr>
              <w:t>.</w:t>
            </w:r>
          </w:p>
          <w:p w14:paraId="3E38B3CE" w14:textId="4AE5BB4D" w:rsidR="001F5A79" w:rsidRPr="009C5807" w:rsidRDefault="001F5A79" w:rsidP="0093237A">
            <w:pPr>
              <w:pStyle w:val="TAN"/>
            </w:pPr>
            <w:r w:rsidRPr="009C5807">
              <w:rPr>
                <w:rFonts w:cs="Arial"/>
                <w:lang w:eastAsia="ja-JP"/>
              </w:rPr>
              <w:t>NOTE 2:</w:t>
            </w:r>
            <w:r w:rsidR="00A21E2B">
              <w:rPr>
                <w:rFonts w:cs="Arial"/>
                <w:lang w:eastAsia="ja-JP"/>
              </w:rPr>
              <w:tab/>
            </w:r>
            <w:r w:rsidRPr="009C5807">
              <w:t>Values based on Refsens and EIS spherical coverage as defined in clauses 7.3.2 and 7.3.4 of TS 38.101-2 [19]. Applicable side condition selected depending on angle of arrival.</w:t>
            </w:r>
          </w:p>
          <w:p w14:paraId="2056C346" w14:textId="77777777" w:rsidR="001F5A79" w:rsidRPr="009C5807" w:rsidRDefault="001F5A79" w:rsidP="0093237A">
            <w:pPr>
              <w:pStyle w:val="TAN"/>
              <w:rPr>
                <w:rFonts w:cs="Arial"/>
                <w:lang w:eastAsia="ja-JP"/>
              </w:rPr>
            </w:pPr>
            <w:r w:rsidRPr="009C5807">
              <w:rPr>
                <w:rFonts w:cs="Arial"/>
                <w:lang w:eastAsia="ja-JP"/>
              </w:rPr>
              <w:t>NOTE 3:</w:t>
            </w:r>
            <w:r w:rsidRPr="009C5807">
              <w:rPr>
                <w:rFonts w:cs="Arial"/>
                <w:lang w:eastAsia="ja-JP"/>
              </w:rPr>
              <w:tab/>
              <w:t>In the test cases, the SSB Ês/Iot and related parameters may need to be adjusted to ensure Ês/Iot at UE baseband is above the value defined in this table.</w:t>
            </w:r>
          </w:p>
        </w:tc>
      </w:tr>
    </w:tbl>
    <w:p w14:paraId="55BA9F75" w14:textId="77777777" w:rsidR="001F5A79" w:rsidRPr="009C5807" w:rsidRDefault="001F5A79" w:rsidP="001F5A79"/>
    <w:p w14:paraId="73842BB6" w14:textId="77777777" w:rsidR="001F5A79" w:rsidRPr="009C5807" w:rsidRDefault="001F5A79" w:rsidP="001F5A79">
      <w:r w:rsidRPr="009C5807">
        <w:t xml:space="preserve">For E-UTRA PSCell </w:t>
      </w:r>
      <w:r w:rsidRPr="009C5807">
        <w:rPr>
          <w:lang w:eastAsia="zh-CN"/>
        </w:rPr>
        <w:t>SFN and frame</w:t>
      </w:r>
      <w:r w:rsidRPr="009C5807">
        <w:t xml:space="preserve"> timing measurement:</w:t>
      </w:r>
    </w:p>
    <w:p w14:paraId="308DC7A6" w14:textId="77777777" w:rsidR="001F5A79" w:rsidRPr="009C5807" w:rsidRDefault="001F5A79" w:rsidP="0093237A">
      <w:pPr>
        <w:pStyle w:val="B10"/>
      </w:pPr>
      <w:r w:rsidRPr="009C5807">
        <w:t>-</w:t>
      </w:r>
      <w:r w:rsidRPr="009C5807">
        <w:tab/>
        <w:t>Cell specific reference signals are transmitted either from one, two or four antenna ports.</w:t>
      </w:r>
    </w:p>
    <w:p w14:paraId="4A30FFC0" w14:textId="77777777" w:rsidR="001F5A79" w:rsidRPr="009C5807" w:rsidRDefault="001F5A79" w:rsidP="0093237A">
      <w:pPr>
        <w:pStyle w:val="B10"/>
      </w:pPr>
      <w:r w:rsidRPr="009C5807">
        <w:t>-</w:t>
      </w:r>
      <w:r w:rsidRPr="009C5807">
        <w:tab/>
        <w:t>Conditions defined in TS 36.101 [25] Clause 7.3 for reference sensitivity are fulfilled.</w:t>
      </w:r>
    </w:p>
    <w:p w14:paraId="54D0376C" w14:textId="77777777" w:rsidR="001F5A79" w:rsidRPr="009C5807" w:rsidRDefault="001F5A79" w:rsidP="0093237A">
      <w:pPr>
        <w:pStyle w:val="B10"/>
      </w:pPr>
      <w:r w:rsidRPr="009C5807">
        <w:t>-</w:t>
      </w:r>
      <w:r w:rsidRPr="009C5807">
        <w:tab/>
        <w:t>No changes to the uplink transmission timing are applied during the measurement period.</w:t>
      </w:r>
    </w:p>
    <w:p w14:paraId="52EB1FCC" w14:textId="77777777" w:rsidR="001F5A79" w:rsidRPr="009C5807" w:rsidRDefault="001F5A79" w:rsidP="0093237A">
      <w:pPr>
        <w:pStyle w:val="B10"/>
      </w:pPr>
      <w:r w:rsidRPr="009C5807">
        <w:t>-</w:t>
      </w:r>
      <w:r w:rsidRPr="009C5807">
        <w:tab/>
        <w:t>RSRP|</w:t>
      </w:r>
      <w:r w:rsidRPr="009C5807">
        <w:rPr>
          <w:vertAlign w:val="subscript"/>
        </w:rPr>
        <w:t>dBm</w:t>
      </w:r>
      <w:r w:rsidRPr="009C5807">
        <w:t xml:space="preserve"> according to Annex B.3.5 in TS 36.101 [25] for a corresponding Band.</w:t>
      </w:r>
    </w:p>
    <w:p w14:paraId="212FAEBA" w14:textId="77777777" w:rsidR="001F5A79" w:rsidRPr="009C5807" w:rsidRDefault="001F5A79" w:rsidP="0093237A">
      <w:pPr>
        <w:pStyle w:val="B10"/>
      </w:pPr>
      <w:r w:rsidRPr="009C5807">
        <w:t>-</w:t>
      </w:r>
      <w:r w:rsidRPr="009C5807">
        <w:tab/>
        <w:t>Io range deifined in Table 10.1.21.1-3.</w:t>
      </w:r>
    </w:p>
    <w:p w14:paraId="3D4ED256" w14:textId="77777777" w:rsidR="001F5A79" w:rsidRPr="009C5807" w:rsidRDefault="001F5A79" w:rsidP="0093237A">
      <w:pPr>
        <w:pStyle w:val="TH"/>
      </w:pPr>
      <w:r w:rsidRPr="009C5807">
        <w:t>Table 10.1.21.1-3: E-UTRA PSCell Io range conditions</w:t>
      </w:r>
    </w:p>
    <w:tbl>
      <w:tblPr>
        <w:tblW w:w="0" w:type="auto"/>
        <w:jc w:val="center"/>
        <w:tblLayout w:type="fixed"/>
        <w:tblLook w:val="0000" w:firstRow="0" w:lastRow="0" w:firstColumn="0" w:lastColumn="0" w:noHBand="0" w:noVBand="0"/>
      </w:tblPr>
      <w:tblGrid>
        <w:gridCol w:w="1156"/>
        <w:gridCol w:w="4815"/>
        <w:gridCol w:w="1925"/>
        <w:gridCol w:w="1959"/>
      </w:tblGrid>
      <w:tr w:rsidR="001F5A79" w:rsidRPr="009C5807" w14:paraId="73A361FA" w14:textId="77777777" w:rsidTr="00DF3064">
        <w:trPr>
          <w:jc w:val="center"/>
        </w:trPr>
        <w:tc>
          <w:tcPr>
            <w:tcW w:w="1156" w:type="dxa"/>
            <w:tcBorders>
              <w:top w:val="single" w:sz="6" w:space="0" w:color="auto"/>
              <w:left w:val="single" w:sz="6" w:space="0" w:color="auto"/>
              <w:right w:val="single" w:sz="4" w:space="0" w:color="auto"/>
            </w:tcBorders>
            <w:vAlign w:val="center"/>
          </w:tcPr>
          <w:p w14:paraId="13E812FF" w14:textId="77777777" w:rsidR="001F5A79" w:rsidRPr="009C5807" w:rsidRDefault="001F5A79" w:rsidP="00F70A70">
            <w:pPr>
              <w:pStyle w:val="TAH"/>
              <w:rPr>
                <w:lang w:eastAsia="zh-CN"/>
              </w:rPr>
            </w:pPr>
            <w:r w:rsidRPr="009C5807">
              <w:rPr>
                <w:lang w:eastAsia="zh-CN"/>
              </w:rPr>
              <w:t>Parameter</w:t>
            </w:r>
          </w:p>
        </w:tc>
        <w:tc>
          <w:tcPr>
            <w:tcW w:w="8699" w:type="dxa"/>
            <w:gridSpan w:val="3"/>
            <w:tcBorders>
              <w:top w:val="single" w:sz="6" w:space="0" w:color="auto"/>
              <w:left w:val="single" w:sz="6" w:space="0" w:color="auto"/>
              <w:bottom w:val="single" w:sz="6" w:space="0" w:color="auto"/>
              <w:right w:val="single" w:sz="4" w:space="0" w:color="auto"/>
            </w:tcBorders>
            <w:vAlign w:val="center"/>
          </w:tcPr>
          <w:p w14:paraId="492D8DBD" w14:textId="77777777" w:rsidR="001F5A79" w:rsidRPr="009C5807" w:rsidRDefault="001F5A79" w:rsidP="00F70A70">
            <w:pPr>
              <w:pStyle w:val="TAH"/>
              <w:rPr>
                <w:lang w:eastAsia="ja-JP"/>
              </w:rPr>
            </w:pPr>
            <w:r w:rsidRPr="009C5807">
              <w:rPr>
                <w:lang w:eastAsia="ja-JP"/>
              </w:rPr>
              <w:t>Io</w:t>
            </w:r>
            <w:r w:rsidRPr="009C5807">
              <w:rPr>
                <w:vertAlign w:val="superscript"/>
                <w:lang w:eastAsia="zh-CN"/>
              </w:rPr>
              <w:t xml:space="preserve"> Note 1</w:t>
            </w:r>
            <w:r w:rsidRPr="009C5807">
              <w:rPr>
                <w:lang w:eastAsia="ja-JP"/>
              </w:rPr>
              <w:t xml:space="preserve"> range</w:t>
            </w:r>
          </w:p>
        </w:tc>
      </w:tr>
      <w:tr w:rsidR="001F5A79" w:rsidRPr="009C5807" w14:paraId="1FB0F41B" w14:textId="77777777" w:rsidTr="00DF3064">
        <w:trPr>
          <w:jc w:val="center"/>
        </w:trPr>
        <w:tc>
          <w:tcPr>
            <w:tcW w:w="1156" w:type="dxa"/>
            <w:tcBorders>
              <w:left w:val="single" w:sz="6" w:space="0" w:color="auto"/>
              <w:bottom w:val="single" w:sz="6" w:space="0" w:color="auto"/>
              <w:right w:val="single" w:sz="4" w:space="0" w:color="auto"/>
            </w:tcBorders>
          </w:tcPr>
          <w:p w14:paraId="5DF29740" w14:textId="77777777" w:rsidR="001F5A79" w:rsidRPr="009C5807" w:rsidRDefault="001F5A79" w:rsidP="00F70A70">
            <w:pPr>
              <w:pStyle w:val="TAH"/>
              <w:rPr>
                <w:lang w:eastAsia="ja-JP"/>
              </w:rPr>
            </w:pPr>
          </w:p>
        </w:tc>
        <w:tc>
          <w:tcPr>
            <w:tcW w:w="4815" w:type="dxa"/>
            <w:tcBorders>
              <w:top w:val="single" w:sz="6" w:space="0" w:color="auto"/>
              <w:left w:val="single" w:sz="4" w:space="0" w:color="auto"/>
              <w:bottom w:val="single" w:sz="6" w:space="0" w:color="auto"/>
              <w:right w:val="single" w:sz="6" w:space="0" w:color="auto"/>
            </w:tcBorders>
            <w:vAlign w:val="center"/>
          </w:tcPr>
          <w:p w14:paraId="3EA14D97" w14:textId="77777777" w:rsidR="001F5A79" w:rsidRPr="009C5807" w:rsidRDefault="001F5A79" w:rsidP="00F70A70">
            <w:pPr>
              <w:pStyle w:val="TAH"/>
              <w:rPr>
                <w:lang w:eastAsia="ja-JP"/>
              </w:rPr>
            </w:pPr>
            <w:r w:rsidRPr="009C5807">
              <w:rPr>
                <w:lang w:eastAsia="ja-JP"/>
              </w:rPr>
              <w:t>E-UTRA operating band groups</w:t>
            </w:r>
            <w:r w:rsidRPr="009C5807">
              <w:rPr>
                <w:vertAlign w:val="superscript"/>
                <w:lang w:eastAsia="ja-JP"/>
              </w:rPr>
              <w:t xml:space="preserve"> Note 3</w:t>
            </w:r>
          </w:p>
        </w:tc>
        <w:tc>
          <w:tcPr>
            <w:tcW w:w="1925" w:type="dxa"/>
            <w:tcBorders>
              <w:top w:val="single" w:sz="6" w:space="0" w:color="auto"/>
              <w:left w:val="single" w:sz="6" w:space="0" w:color="auto"/>
              <w:bottom w:val="single" w:sz="6" w:space="0" w:color="auto"/>
              <w:right w:val="single" w:sz="6" w:space="0" w:color="auto"/>
            </w:tcBorders>
            <w:vAlign w:val="center"/>
          </w:tcPr>
          <w:p w14:paraId="4D2A5D71" w14:textId="77777777" w:rsidR="001F5A79" w:rsidRPr="009C5807" w:rsidRDefault="001F5A79" w:rsidP="00F70A70">
            <w:pPr>
              <w:pStyle w:val="TAH"/>
              <w:rPr>
                <w:lang w:eastAsia="ja-JP"/>
              </w:rPr>
            </w:pPr>
            <w:r w:rsidRPr="009C5807">
              <w:rPr>
                <w:lang w:eastAsia="ja-JP"/>
              </w:rPr>
              <w:t>Minimum Io</w:t>
            </w:r>
          </w:p>
        </w:tc>
        <w:tc>
          <w:tcPr>
            <w:tcW w:w="1959" w:type="dxa"/>
            <w:tcBorders>
              <w:top w:val="single" w:sz="6" w:space="0" w:color="auto"/>
              <w:left w:val="single" w:sz="6" w:space="0" w:color="auto"/>
              <w:bottom w:val="single" w:sz="6" w:space="0" w:color="auto"/>
              <w:right w:val="single" w:sz="4" w:space="0" w:color="auto"/>
            </w:tcBorders>
            <w:vAlign w:val="center"/>
          </w:tcPr>
          <w:p w14:paraId="6D4F8BBE" w14:textId="77777777" w:rsidR="001F5A79" w:rsidRPr="009C5807" w:rsidRDefault="001F5A79" w:rsidP="00F70A70">
            <w:pPr>
              <w:pStyle w:val="TAH"/>
              <w:rPr>
                <w:lang w:eastAsia="ja-JP"/>
              </w:rPr>
            </w:pPr>
            <w:r w:rsidRPr="009C5807">
              <w:rPr>
                <w:lang w:eastAsia="ja-JP"/>
              </w:rPr>
              <w:t>Maximum Io</w:t>
            </w:r>
          </w:p>
        </w:tc>
      </w:tr>
      <w:tr w:rsidR="001F5A79" w:rsidRPr="009C5807" w14:paraId="0DF011DA" w14:textId="77777777" w:rsidTr="00DF3064">
        <w:trPr>
          <w:jc w:val="center"/>
        </w:trPr>
        <w:tc>
          <w:tcPr>
            <w:tcW w:w="1156" w:type="dxa"/>
            <w:tcBorders>
              <w:top w:val="single" w:sz="6" w:space="0" w:color="auto"/>
              <w:left w:val="single" w:sz="6" w:space="0" w:color="auto"/>
              <w:right w:val="single" w:sz="6" w:space="0" w:color="auto"/>
            </w:tcBorders>
            <w:vAlign w:val="center"/>
          </w:tcPr>
          <w:p w14:paraId="629181DA" w14:textId="77777777" w:rsidR="001F5A79" w:rsidRPr="009C5807" w:rsidRDefault="001F5A79" w:rsidP="00F70A70">
            <w:pPr>
              <w:pStyle w:val="TAH"/>
              <w:rPr>
                <w:lang w:eastAsia="zh-CN"/>
              </w:rPr>
            </w:pPr>
            <w:r w:rsidRPr="009C5807">
              <w:rPr>
                <w:lang w:eastAsia="zh-CN"/>
              </w:rPr>
              <w:t>Conditions</w:t>
            </w:r>
          </w:p>
        </w:tc>
        <w:tc>
          <w:tcPr>
            <w:tcW w:w="4815" w:type="dxa"/>
            <w:tcBorders>
              <w:top w:val="single" w:sz="6" w:space="0" w:color="auto"/>
              <w:left w:val="single" w:sz="6" w:space="0" w:color="auto"/>
              <w:bottom w:val="single" w:sz="6" w:space="0" w:color="auto"/>
              <w:right w:val="single" w:sz="6" w:space="0" w:color="auto"/>
            </w:tcBorders>
            <w:vAlign w:val="center"/>
          </w:tcPr>
          <w:p w14:paraId="032F846E" w14:textId="77777777" w:rsidR="001F5A79" w:rsidRPr="009C5807" w:rsidRDefault="001F5A79" w:rsidP="00F70A70">
            <w:pPr>
              <w:pStyle w:val="TAH"/>
              <w:rPr>
                <w:lang w:eastAsia="ja-JP"/>
              </w:rPr>
            </w:pPr>
          </w:p>
        </w:tc>
        <w:tc>
          <w:tcPr>
            <w:tcW w:w="1925" w:type="dxa"/>
            <w:tcBorders>
              <w:top w:val="single" w:sz="6" w:space="0" w:color="auto"/>
              <w:left w:val="single" w:sz="6" w:space="0" w:color="auto"/>
              <w:bottom w:val="single" w:sz="6" w:space="0" w:color="auto"/>
              <w:right w:val="single" w:sz="6" w:space="0" w:color="auto"/>
            </w:tcBorders>
            <w:vAlign w:val="center"/>
          </w:tcPr>
          <w:p w14:paraId="50F82995" w14:textId="77777777" w:rsidR="001F5A79" w:rsidRPr="009C5807" w:rsidRDefault="001F5A79" w:rsidP="00F70A70">
            <w:pPr>
              <w:pStyle w:val="TAH"/>
              <w:rPr>
                <w:lang w:eastAsia="ja-JP"/>
              </w:rPr>
            </w:pPr>
            <w:r w:rsidRPr="009C5807">
              <w:rPr>
                <w:lang w:eastAsia="ja-JP"/>
              </w:rPr>
              <w:t>dBm/15kHz</w:t>
            </w:r>
            <w:r w:rsidRPr="009C5807">
              <w:rPr>
                <w:vertAlign w:val="superscript"/>
                <w:lang w:eastAsia="zh-CN"/>
              </w:rPr>
              <w:t xml:space="preserve"> Note 2</w:t>
            </w:r>
          </w:p>
        </w:tc>
        <w:tc>
          <w:tcPr>
            <w:tcW w:w="1959" w:type="dxa"/>
            <w:tcBorders>
              <w:top w:val="single" w:sz="6" w:space="0" w:color="auto"/>
              <w:left w:val="single" w:sz="6" w:space="0" w:color="auto"/>
              <w:bottom w:val="single" w:sz="6" w:space="0" w:color="auto"/>
              <w:right w:val="single" w:sz="4" w:space="0" w:color="auto"/>
            </w:tcBorders>
            <w:vAlign w:val="center"/>
          </w:tcPr>
          <w:p w14:paraId="5B6006C1" w14:textId="77777777" w:rsidR="001F5A79" w:rsidRPr="009C5807" w:rsidRDefault="001F5A79" w:rsidP="00F70A70">
            <w:pPr>
              <w:pStyle w:val="TAH"/>
              <w:rPr>
                <w:lang w:eastAsia="ja-JP"/>
              </w:rPr>
            </w:pPr>
            <w:r w:rsidRPr="009C5807">
              <w:rPr>
                <w:lang w:eastAsia="ja-JP"/>
              </w:rPr>
              <w:t>dBm/BW</w:t>
            </w:r>
            <w:r w:rsidRPr="009C5807">
              <w:rPr>
                <w:vertAlign w:val="subscript"/>
                <w:lang w:eastAsia="ja-JP"/>
              </w:rPr>
              <w:t>Channel</w:t>
            </w:r>
          </w:p>
        </w:tc>
      </w:tr>
      <w:tr w:rsidR="001F5A79" w:rsidRPr="009C5807" w14:paraId="16E24591" w14:textId="77777777" w:rsidTr="00DF3064">
        <w:trPr>
          <w:jc w:val="center"/>
        </w:trPr>
        <w:tc>
          <w:tcPr>
            <w:tcW w:w="1156" w:type="dxa"/>
            <w:tcBorders>
              <w:left w:val="single" w:sz="6" w:space="0" w:color="auto"/>
              <w:right w:val="single" w:sz="6" w:space="0" w:color="auto"/>
            </w:tcBorders>
          </w:tcPr>
          <w:p w14:paraId="4DE995B6" w14:textId="77777777" w:rsidR="001F5A79" w:rsidRPr="009C5807" w:rsidRDefault="001F5A79" w:rsidP="00DF3064">
            <w:pPr>
              <w:keepNext/>
              <w:keepLines/>
              <w:spacing w:after="0"/>
              <w:jc w:val="center"/>
              <w:rPr>
                <w:rFonts w:ascii="Arial" w:hAnsi="Arial" w:cs="Arial"/>
                <w:sz w:val="18"/>
                <w:lang w:eastAsia="ja-JP"/>
              </w:rPr>
            </w:pPr>
          </w:p>
        </w:tc>
        <w:tc>
          <w:tcPr>
            <w:tcW w:w="4815" w:type="dxa"/>
            <w:tcBorders>
              <w:top w:val="single" w:sz="6" w:space="0" w:color="auto"/>
              <w:left w:val="single" w:sz="6" w:space="0" w:color="auto"/>
              <w:bottom w:val="single" w:sz="6" w:space="0" w:color="auto"/>
              <w:right w:val="single" w:sz="6" w:space="0" w:color="auto"/>
            </w:tcBorders>
            <w:vAlign w:val="center"/>
          </w:tcPr>
          <w:p w14:paraId="152145D4" w14:textId="77777777" w:rsidR="001F5A79" w:rsidRPr="009C5807" w:rsidRDefault="001F5A79" w:rsidP="00F70A70">
            <w:pPr>
              <w:pStyle w:val="TAC"/>
              <w:rPr>
                <w:lang w:eastAsia="ja-JP"/>
              </w:rPr>
            </w:pPr>
            <w:r w:rsidRPr="009C5807">
              <w:rPr>
                <w:lang w:eastAsia="ja-JP"/>
              </w:rPr>
              <w:t>FDD_A, TDD_A</w:t>
            </w:r>
          </w:p>
        </w:tc>
        <w:tc>
          <w:tcPr>
            <w:tcW w:w="1925" w:type="dxa"/>
            <w:tcBorders>
              <w:top w:val="single" w:sz="6" w:space="0" w:color="auto"/>
              <w:left w:val="single" w:sz="6" w:space="0" w:color="auto"/>
              <w:bottom w:val="single" w:sz="6" w:space="0" w:color="auto"/>
              <w:right w:val="single" w:sz="6" w:space="0" w:color="auto"/>
            </w:tcBorders>
            <w:vAlign w:val="center"/>
          </w:tcPr>
          <w:p w14:paraId="3880A045" w14:textId="77777777" w:rsidR="001F5A79" w:rsidRPr="009C5807" w:rsidRDefault="001F5A79" w:rsidP="00F70A70">
            <w:pPr>
              <w:pStyle w:val="TAC"/>
              <w:rPr>
                <w:lang w:eastAsia="ja-JP"/>
              </w:rPr>
            </w:pPr>
            <w:r w:rsidRPr="009C5807">
              <w:rPr>
                <w:lang w:eastAsia="ja-JP"/>
              </w:rPr>
              <w:t>-121</w:t>
            </w:r>
          </w:p>
        </w:tc>
        <w:tc>
          <w:tcPr>
            <w:tcW w:w="1959" w:type="dxa"/>
            <w:tcBorders>
              <w:top w:val="single" w:sz="6" w:space="0" w:color="auto"/>
              <w:left w:val="single" w:sz="6" w:space="0" w:color="auto"/>
              <w:bottom w:val="single" w:sz="6" w:space="0" w:color="auto"/>
              <w:right w:val="single" w:sz="4" w:space="0" w:color="auto"/>
            </w:tcBorders>
            <w:vAlign w:val="center"/>
          </w:tcPr>
          <w:p w14:paraId="39915122" w14:textId="77777777" w:rsidR="001F5A79" w:rsidRPr="009C5807" w:rsidRDefault="001F5A79" w:rsidP="00F70A70">
            <w:pPr>
              <w:pStyle w:val="TAC"/>
              <w:rPr>
                <w:lang w:eastAsia="ja-JP"/>
              </w:rPr>
            </w:pPr>
            <w:r w:rsidRPr="009C5807">
              <w:rPr>
                <w:lang w:eastAsia="ja-JP"/>
              </w:rPr>
              <w:t>-50</w:t>
            </w:r>
          </w:p>
        </w:tc>
      </w:tr>
      <w:tr w:rsidR="001F5A79" w:rsidRPr="009C5807" w14:paraId="383FEBA0" w14:textId="77777777" w:rsidTr="00DF3064">
        <w:trPr>
          <w:jc w:val="center"/>
        </w:trPr>
        <w:tc>
          <w:tcPr>
            <w:tcW w:w="1156" w:type="dxa"/>
            <w:tcBorders>
              <w:left w:val="single" w:sz="6" w:space="0" w:color="auto"/>
              <w:right w:val="single" w:sz="6" w:space="0" w:color="auto"/>
            </w:tcBorders>
          </w:tcPr>
          <w:p w14:paraId="019398B5" w14:textId="77777777" w:rsidR="001F5A79" w:rsidRPr="009C5807" w:rsidRDefault="001F5A79" w:rsidP="00DF3064">
            <w:pPr>
              <w:keepNext/>
              <w:keepLines/>
              <w:spacing w:after="0"/>
              <w:jc w:val="center"/>
              <w:rPr>
                <w:rFonts w:ascii="Arial" w:hAnsi="Arial" w:cs="Arial"/>
                <w:sz w:val="18"/>
                <w:lang w:eastAsia="ja-JP"/>
              </w:rPr>
            </w:pPr>
          </w:p>
        </w:tc>
        <w:tc>
          <w:tcPr>
            <w:tcW w:w="4815" w:type="dxa"/>
            <w:tcBorders>
              <w:top w:val="single" w:sz="6" w:space="0" w:color="auto"/>
              <w:left w:val="single" w:sz="6" w:space="0" w:color="auto"/>
              <w:bottom w:val="single" w:sz="6" w:space="0" w:color="auto"/>
              <w:right w:val="single" w:sz="6" w:space="0" w:color="auto"/>
            </w:tcBorders>
            <w:vAlign w:val="center"/>
          </w:tcPr>
          <w:p w14:paraId="165600BE" w14:textId="77777777" w:rsidR="001F5A79" w:rsidRPr="009C5807" w:rsidRDefault="001F5A79" w:rsidP="00F70A70">
            <w:pPr>
              <w:pStyle w:val="TAC"/>
              <w:rPr>
                <w:lang w:eastAsia="ja-JP"/>
              </w:rPr>
            </w:pPr>
            <w:r w:rsidRPr="009C5807">
              <w:rPr>
                <w:lang w:eastAsia="ja-JP"/>
              </w:rPr>
              <w:t>FDD_C, TDD_C</w:t>
            </w:r>
          </w:p>
        </w:tc>
        <w:tc>
          <w:tcPr>
            <w:tcW w:w="1925" w:type="dxa"/>
            <w:tcBorders>
              <w:top w:val="single" w:sz="6" w:space="0" w:color="auto"/>
              <w:left w:val="single" w:sz="6" w:space="0" w:color="auto"/>
              <w:bottom w:val="single" w:sz="6" w:space="0" w:color="auto"/>
              <w:right w:val="single" w:sz="6" w:space="0" w:color="auto"/>
            </w:tcBorders>
            <w:vAlign w:val="center"/>
          </w:tcPr>
          <w:p w14:paraId="7C673A35" w14:textId="77777777" w:rsidR="001F5A79" w:rsidRPr="009C5807" w:rsidRDefault="001F5A79" w:rsidP="00F70A70">
            <w:pPr>
              <w:pStyle w:val="TAC"/>
              <w:rPr>
                <w:lang w:eastAsia="ja-JP"/>
              </w:rPr>
            </w:pPr>
            <w:r w:rsidRPr="009C5807">
              <w:rPr>
                <w:lang w:eastAsia="ja-JP"/>
              </w:rPr>
              <w:t>-</w:t>
            </w:r>
            <w:r w:rsidRPr="009C5807">
              <w:rPr>
                <w:lang w:eastAsia="zh-CN"/>
              </w:rPr>
              <w:t>120</w:t>
            </w:r>
          </w:p>
        </w:tc>
        <w:tc>
          <w:tcPr>
            <w:tcW w:w="1959" w:type="dxa"/>
            <w:tcBorders>
              <w:top w:val="single" w:sz="6" w:space="0" w:color="auto"/>
              <w:left w:val="single" w:sz="6" w:space="0" w:color="auto"/>
              <w:bottom w:val="single" w:sz="6" w:space="0" w:color="auto"/>
              <w:right w:val="single" w:sz="4" w:space="0" w:color="auto"/>
            </w:tcBorders>
            <w:vAlign w:val="center"/>
          </w:tcPr>
          <w:p w14:paraId="1F311002" w14:textId="77777777" w:rsidR="001F5A79" w:rsidRPr="009C5807" w:rsidRDefault="001F5A79" w:rsidP="00F70A70">
            <w:pPr>
              <w:pStyle w:val="TAC"/>
              <w:rPr>
                <w:lang w:eastAsia="ja-JP"/>
              </w:rPr>
            </w:pPr>
            <w:r w:rsidRPr="009C5807">
              <w:rPr>
                <w:lang w:eastAsia="ja-JP"/>
              </w:rPr>
              <w:t>-50</w:t>
            </w:r>
          </w:p>
        </w:tc>
      </w:tr>
      <w:tr w:rsidR="001F5A79" w:rsidRPr="009C5807" w14:paraId="06E18CE8" w14:textId="77777777" w:rsidTr="00DF3064">
        <w:trPr>
          <w:jc w:val="center"/>
        </w:trPr>
        <w:tc>
          <w:tcPr>
            <w:tcW w:w="1156" w:type="dxa"/>
            <w:tcBorders>
              <w:left w:val="single" w:sz="6" w:space="0" w:color="auto"/>
              <w:right w:val="single" w:sz="6" w:space="0" w:color="auto"/>
            </w:tcBorders>
          </w:tcPr>
          <w:p w14:paraId="073F3D3C" w14:textId="77777777" w:rsidR="001F5A79" w:rsidRPr="009C5807" w:rsidRDefault="001F5A79" w:rsidP="00DF3064">
            <w:pPr>
              <w:keepNext/>
              <w:keepLines/>
              <w:spacing w:after="0"/>
              <w:jc w:val="center"/>
              <w:rPr>
                <w:rFonts w:ascii="Arial" w:hAnsi="Arial" w:cs="Arial"/>
                <w:sz w:val="18"/>
                <w:lang w:eastAsia="ja-JP"/>
              </w:rPr>
            </w:pPr>
          </w:p>
        </w:tc>
        <w:tc>
          <w:tcPr>
            <w:tcW w:w="4815" w:type="dxa"/>
            <w:tcBorders>
              <w:top w:val="single" w:sz="6" w:space="0" w:color="auto"/>
              <w:left w:val="single" w:sz="6" w:space="0" w:color="auto"/>
              <w:bottom w:val="single" w:sz="6" w:space="0" w:color="auto"/>
              <w:right w:val="single" w:sz="6" w:space="0" w:color="auto"/>
            </w:tcBorders>
            <w:vAlign w:val="center"/>
          </w:tcPr>
          <w:p w14:paraId="201CCDB0" w14:textId="77777777" w:rsidR="001F5A79" w:rsidRPr="009C5807" w:rsidRDefault="001F5A79" w:rsidP="00F70A70">
            <w:pPr>
              <w:pStyle w:val="TAC"/>
              <w:rPr>
                <w:lang w:eastAsia="ja-JP"/>
              </w:rPr>
            </w:pPr>
            <w:r w:rsidRPr="009C5807">
              <w:rPr>
                <w:lang w:eastAsia="ja-JP"/>
              </w:rPr>
              <w:t>FDD_D</w:t>
            </w:r>
          </w:p>
        </w:tc>
        <w:tc>
          <w:tcPr>
            <w:tcW w:w="1925" w:type="dxa"/>
            <w:tcBorders>
              <w:top w:val="single" w:sz="6" w:space="0" w:color="auto"/>
              <w:left w:val="single" w:sz="6" w:space="0" w:color="auto"/>
              <w:bottom w:val="single" w:sz="6" w:space="0" w:color="auto"/>
              <w:right w:val="single" w:sz="6" w:space="0" w:color="auto"/>
            </w:tcBorders>
            <w:vAlign w:val="center"/>
          </w:tcPr>
          <w:p w14:paraId="0C0B96D5" w14:textId="77777777" w:rsidR="001F5A79" w:rsidRPr="009C5807" w:rsidRDefault="001F5A79" w:rsidP="00F70A70">
            <w:pPr>
              <w:pStyle w:val="TAC"/>
              <w:rPr>
                <w:lang w:eastAsia="ja-JP"/>
              </w:rPr>
            </w:pPr>
            <w:r w:rsidRPr="009C5807">
              <w:rPr>
                <w:lang w:eastAsia="ja-JP"/>
              </w:rPr>
              <w:t>-1</w:t>
            </w:r>
            <w:r w:rsidRPr="009C5807">
              <w:rPr>
                <w:lang w:eastAsia="zh-CN"/>
              </w:rPr>
              <w:t>19.5</w:t>
            </w:r>
          </w:p>
        </w:tc>
        <w:tc>
          <w:tcPr>
            <w:tcW w:w="1959" w:type="dxa"/>
            <w:tcBorders>
              <w:top w:val="single" w:sz="6" w:space="0" w:color="auto"/>
              <w:left w:val="single" w:sz="6" w:space="0" w:color="auto"/>
              <w:bottom w:val="single" w:sz="6" w:space="0" w:color="auto"/>
              <w:right w:val="single" w:sz="4" w:space="0" w:color="auto"/>
            </w:tcBorders>
            <w:vAlign w:val="center"/>
          </w:tcPr>
          <w:p w14:paraId="33A61E34" w14:textId="77777777" w:rsidR="001F5A79" w:rsidRPr="009C5807" w:rsidRDefault="001F5A79" w:rsidP="00F70A70">
            <w:pPr>
              <w:pStyle w:val="TAC"/>
              <w:rPr>
                <w:lang w:eastAsia="ja-JP"/>
              </w:rPr>
            </w:pPr>
            <w:r w:rsidRPr="009C5807">
              <w:rPr>
                <w:lang w:eastAsia="ja-JP"/>
              </w:rPr>
              <w:t>-50</w:t>
            </w:r>
          </w:p>
        </w:tc>
      </w:tr>
      <w:tr w:rsidR="001F5A79" w:rsidRPr="009C5807" w14:paraId="57BA4C69" w14:textId="77777777" w:rsidTr="00DF3064">
        <w:trPr>
          <w:jc w:val="center"/>
        </w:trPr>
        <w:tc>
          <w:tcPr>
            <w:tcW w:w="1156" w:type="dxa"/>
            <w:tcBorders>
              <w:left w:val="single" w:sz="6" w:space="0" w:color="auto"/>
              <w:right w:val="single" w:sz="6" w:space="0" w:color="auto"/>
            </w:tcBorders>
          </w:tcPr>
          <w:p w14:paraId="15E755DC" w14:textId="77777777" w:rsidR="001F5A79" w:rsidRPr="009C5807" w:rsidRDefault="001F5A79" w:rsidP="00DF3064">
            <w:pPr>
              <w:keepNext/>
              <w:keepLines/>
              <w:spacing w:after="0"/>
              <w:jc w:val="center"/>
              <w:rPr>
                <w:rFonts w:ascii="Arial" w:hAnsi="Arial" w:cs="Arial"/>
                <w:sz w:val="18"/>
                <w:lang w:eastAsia="ja-JP"/>
              </w:rPr>
            </w:pPr>
          </w:p>
        </w:tc>
        <w:tc>
          <w:tcPr>
            <w:tcW w:w="4815" w:type="dxa"/>
            <w:tcBorders>
              <w:top w:val="single" w:sz="6" w:space="0" w:color="auto"/>
              <w:left w:val="single" w:sz="6" w:space="0" w:color="auto"/>
              <w:bottom w:val="single" w:sz="6" w:space="0" w:color="auto"/>
              <w:right w:val="single" w:sz="6" w:space="0" w:color="auto"/>
            </w:tcBorders>
            <w:vAlign w:val="center"/>
          </w:tcPr>
          <w:p w14:paraId="66D58786" w14:textId="77777777" w:rsidR="001F5A79" w:rsidRPr="009C5807" w:rsidRDefault="001F5A79" w:rsidP="00F70A70">
            <w:pPr>
              <w:pStyle w:val="TAC"/>
              <w:rPr>
                <w:lang w:eastAsia="ja-JP"/>
              </w:rPr>
            </w:pPr>
            <w:r w:rsidRPr="009C5807">
              <w:rPr>
                <w:lang w:eastAsia="ja-JP"/>
              </w:rPr>
              <w:t>FDD_E, TDD_E</w:t>
            </w:r>
          </w:p>
        </w:tc>
        <w:tc>
          <w:tcPr>
            <w:tcW w:w="1925" w:type="dxa"/>
            <w:tcBorders>
              <w:top w:val="single" w:sz="6" w:space="0" w:color="auto"/>
              <w:left w:val="single" w:sz="6" w:space="0" w:color="auto"/>
              <w:bottom w:val="single" w:sz="6" w:space="0" w:color="auto"/>
              <w:right w:val="single" w:sz="6" w:space="0" w:color="auto"/>
            </w:tcBorders>
            <w:vAlign w:val="center"/>
          </w:tcPr>
          <w:p w14:paraId="28BD1F22" w14:textId="77777777" w:rsidR="001F5A79" w:rsidRPr="009C5807" w:rsidRDefault="001F5A79" w:rsidP="00F70A70">
            <w:pPr>
              <w:pStyle w:val="TAC"/>
              <w:rPr>
                <w:lang w:eastAsia="ja-JP"/>
              </w:rPr>
            </w:pPr>
            <w:r w:rsidRPr="009C5807">
              <w:rPr>
                <w:lang w:eastAsia="ja-JP"/>
              </w:rPr>
              <w:t>-119</w:t>
            </w:r>
          </w:p>
        </w:tc>
        <w:tc>
          <w:tcPr>
            <w:tcW w:w="1959" w:type="dxa"/>
            <w:tcBorders>
              <w:top w:val="single" w:sz="6" w:space="0" w:color="auto"/>
              <w:left w:val="single" w:sz="6" w:space="0" w:color="auto"/>
              <w:bottom w:val="single" w:sz="6" w:space="0" w:color="auto"/>
              <w:right w:val="single" w:sz="4" w:space="0" w:color="auto"/>
            </w:tcBorders>
            <w:vAlign w:val="center"/>
          </w:tcPr>
          <w:p w14:paraId="7A603410" w14:textId="77777777" w:rsidR="001F5A79" w:rsidRPr="009C5807" w:rsidRDefault="001F5A79" w:rsidP="00F70A70">
            <w:pPr>
              <w:pStyle w:val="TAC"/>
              <w:rPr>
                <w:lang w:eastAsia="ja-JP"/>
              </w:rPr>
            </w:pPr>
            <w:r w:rsidRPr="009C5807">
              <w:rPr>
                <w:lang w:eastAsia="ja-JP"/>
              </w:rPr>
              <w:t>-50</w:t>
            </w:r>
          </w:p>
        </w:tc>
      </w:tr>
      <w:tr w:rsidR="001F5A79" w:rsidRPr="009C5807" w14:paraId="494E9F15" w14:textId="77777777" w:rsidTr="00DF3064">
        <w:trPr>
          <w:jc w:val="center"/>
        </w:trPr>
        <w:tc>
          <w:tcPr>
            <w:tcW w:w="1156" w:type="dxa"/>
            <w:tcBorders>
              <w:left w:val="single" w:sz="6" w:space="0" w:color="auto"/>
              <w:right w:val="single" w:sz="6" w:space="0" w:color="auto"/>
            </w:tcBorders>
          </w:tcPr>
          <w:p w14:paraId="21124910" w14:textId="77777777" w:rsidR="001F5A79" w:rsidRPr="009C5807" w:rsidRDefault="001F5A79" w:rsidP="00DF3064">
            <w:pPr>
              <w:keepNext/>
              <w:keepLines/>
              <w:spacing w:after="0"/>
              <w:jc w:val="center"/>
              <w:rPr>
                <w:rFonts w:ascii="Arial" w:hAnsi="Arial" w:cs="Arial"/>
                <w:sz w:val="18"/>
                <w:lang w:eastAsia="ja-JP"/>
              </w:rPr>
            </w:pPr>
          </w:p>
        </w:tc>
        <w:tc>
          <w:tcPr>
            <w:tcW w:w="4815" w:type="dxa"/>
            <w:tcBorders>
              <w:top w:val="single" w:sz="6" w:space="0" w:color="auto"/>
              <w:left w:val="single" w:sz="6" w:space="0" w:color="auto"/>
              <w:bottom w:val="single" w:sz="6" w:space="0" w:color="auto"/>
              <w:right w:val="single" w:sz="6" w:space="0" w:color="auto"/>
            </w:tcBorders>
            <w:vAlign w:val="center"/>
          </w:tcPr>
          <w:p w14:paraId="5589BA63" w14:textId="77777777" w:rsidR="001F5A79" w:rsidRPr="009C5807" w:rsidRDefault="001F5A79" w:rsidP="00F70A70">
            <w:pPr>
              <w:pStyle w:val="TAC"/>
              <w:rPr>
                <w:lang w:eastAsia="ja-JP"/>
              </w:rPr>
            </w:pPr>
            <w:r w:rsidRPr="009C5807">
              <w:rPr>
                <w:lang w:eastAsia="ja-JP"/>
              </w:rPr>
              <w:t>FDD_F</w:t>
            </w:r>
          </w:p>
        </w:tc>
        <w:tc>
          <w:tcPr>
            <w:tcW w:w="1925" w:type="dxa"/>
            <w:tcBorders>
              <w:top w:val="single" w:sz="6" w:space="0" w:color="auto"/>
              <w:left w:val="single" w:sz="6" w:space="0" w:color="auto"/>
              <w:bottom w:val="single" w:sz="6" w:space="0" w:color="auto"/>
              <w:right w:val="single" w:sz="6" w:space="0" w:color="auto"/>
            </w:tcBorders>
            <w:vAlign w:val="center"/>
          </w:tcPr>
          <w:p w14:paraId="1FC03E0F" w14:textId="77777777" w:rsidR="001F5A79" w:rsidRPr="009C5807" w:rsidRDefault="001F5A79" w:rsidP="00F70A70">
            <w:pPr>
              <w:pStyle w:val="TAC"/>
              <w:rPr>
                <w:lang w:eastAsia="ja-JP"/>
              </w:rPr>
            </w:pPr>
            <w:r w:rsidRPr="009C5807">
              <w:rPr>
                <w:lang w:eastAsia="ja-JP"/>
              </w:rPr>
              <w:t>-1</w:t>
            </w:r>
            <w:r w:rsidRPr="009C5807">
              <w:rPr>
                <w:lang w:eastAsia="zh-CN"/>
              </w:rPr>
              <w:t>18.5</w:t>
            </w:r>
          </w:p>
        </w:tc>
        <w:tc>
          <w:tcPr>
            <w:tcW w:w="1959" w:type="dxa"/>
            <w:tcBorders>
              <w:top w:val="single" w:sz="6" w:space="0" w:color="auto"/>
              <w:left w:val="single" w:sz="6" w:space="0" w:color="auto"/>
              <w:bottom w:val="single" w:sz="6" w:space="0" w:color="auto"/>
              <w:right w:val="single" w:sz="4" w:space="0" w:color="auto"/>
            </w:tcBorders>
            <w:vAlign w:val="center"/>
          </w:tcPr>
          <w:p w14:paraId="2D1993FA" w14:textId="77777777" w:rsidR="001F5A79" w:rsidRPr="009C5807" w:rsidRDefault="001F5A79" w:rsidP="00F70A70">
            <w:pPr>
              <w:pStyle w:val="TAC"/>
              <w:rPr>
                <w:lang w:eastAsia="ja-JP"/>
              </w:rPr>
            </w:pPr>
            <w:r w:rsidRPr="009C5807">
              <w:rPr>
                <w:lang w:eastAsia="ja-JP"/>
              </w:rPr>
              <w:t>-50</w:t>
            </w:r>
          </w:p>
        </w:tc>
      </w:tr>
      <w:tr w:rsidR="001F5A79" w:rsidRPr="009C5807" w14:paraId="04F45F27" w14:textId="77777777" w:rsidTr="00DF3064">
        <w:trPr>
          <w:jc w:val="center"/>
        </w:trPr>
        <w:tc>
          <w:tcPr>
            <w:tcW w:w="1156" w:type="dxa"/>
            <w:tcBorders>
              <w:left w:val="single" w:sz="6" w:space="0" w:color="auto"/>
              <w:right w:val="single" w:sz="6" w:space="0" w:color="auto"/>
            </w:tcBorders>
          </w:tcPr>
          <w:p w14:paraId="6839CA7C" w14:textId="77777777" w:rsidR="001F5A79" w:rsidRPr="009C5807" w:rsidRDefault="001F5A79" w:rsidP="00DF3064">
            <w:pPr>
              <w:keepNext/>
              <w:keepLines/>
              <w:spacing w:after="0"/>
              <w:jc w:val="center"/>
              <w:rPr>
                <w:rFonts w:ascii="Arial" w:hAnsi="Arial" w:cs="Arial"/>
                <w:sz w:val="18"/>
                <w:lang w:eastAsia="ja-JP"/>
              </w:rPr>
            </w:pPr>
          </w:p>
        </w:tc>
        <w:tc>
          <w:tcPr>
            <w:tcW w:w="4815" w:type="dxa"/>
            <w:tcBorders>
              <w:top w:val="single" w:sz="6" w:space="0" w:color="auto"/>
              <w:left w:val="single" w:sz="6" w:space="0" w:color="auto"/>
              <w:bottom w:val="single" w:sz="6" w:space="0" w:color="auto"/>
              <w:right w:val="single" w:sz="6" w:space="0" w:color="auto"/>
            </w:tcBorders>
            <w:vAlign w:val="center"/>
          </w:tcPr>
          <w:p w14:paraId="0C19D96E" w14:textId="77777777" w:rsidR="001F5A79" w:rsidRPr="009C5807" w:rsidRDefault="001F5A79" w:rsidP="00F70A70">
            <w:pPr>
              <w:pStyle w:val="TAC"/>
              <w:rPr>
                <w:lang w:eastAsia="ja-JP"/>
              </w:rPr>
            </w:pPr>
            <w:r w:rsidRPr="009C5807">
              <w:rPr>
                <w:lang w:eastAsia="ja-JP"/>
              </w:rPr>
              <w:t>FDD_G</w:t>
            </w:r>
          </w:p>
        </w:tc>
        <w:tc>
          <w:tcPr>
            <w:tcW w:w="1925" w:type="dxa"/>
            <w:tcBorders>
              <w:top w:val="single" w:sz="6" w:space="0" w:color="auto"/>
              <w:left w:val="single" w:sz="6" w:space="0" w:color="auto"/>
              <w:bottom w:val="single" w:sz="6" w:space="0" w:color="auto"/>
              <w:right w:val="single" w:sz="6" w:space="0" w:color="auto"/>
            </w:tcBorders>
            <w:vAlign w:val="center"/>
          </w:tcPr>
          <w:p w14:paraId="56B71764" w14:textId="77777777" w:rsidR="001F5A79" w:rsidRPr="009C5807" w:rsidRDefault="001F5A79" w:rsidP="00F70A70">
            <w:pPr>
              <w:pStyle w:val="TAC"/>
              <w:rPr>
                <w:lang w:eastAsia="ja-JP"/>
              </w:rPr>
            </w:pPr>
            <w:r w:rsidRPr="009C5807">
              <w:rPr>
                <w:lang w:eastAsia="ja-JP"/>
              </w:rPr>
              <w:t>-1</w:t>
            </w:r>
            <w:r w:rsidRPr="009C5807">
              <w:rPr>
                <w:lang w:eastAsia="zh-CN"/>
              </w:rPr>
              <w:t>18</w:t>
            </w:r>
          </w:p>
        </w:tc>
        <w:tc>
          <w:tcPr>
            <w:tcW w:w="1959" w:type="dxa"/>
            <w:tcBorders>
              <w:top w:val="single" w:sz="6" w:space="0" w:color="auto"/>
              <w:left w:val="single" w:sz="6" w:space="0" w:color="auto"/>
              <w:bottom w:val="single" w:sz="6" w:space="0" w:color="auto"/>
              <w:right w:val="single" w:sz="4" w:space="0" w:color="auto"/>
            </w:tcBorders>
            <w:vAlign w:val="center"/>
          </w:tcPr>
          <w:p w14:paraId="49094DA4" w14:textId="77777777" w:rsidR="001F5A79" w:rsidRPr="009C5807" w:rsidRDefault="001F5A79" w:rsidP="00F70A70">
            <w:pPr>
              <w:pStyle w:val="TAC"/>
              <w:rPr>
                <w:lang w:eastAsia="ja-JP"/>
              </w:rPr>
            </w:pPr>
            <w:r w:rsidRPr="009C5807">
              <w:rPr>
                <w:lang w:eastAsia="ja-JP"/>
              </w:rPr>
              <w:t>-50</w:t>
            </w:r>
          </w:p>
        </w:tc>
      </w:tr>
      <w:tr w:rsidR="001F5A79" w:rsidRPr="009C5807" w14:paraId="47D00023" w14:textId="77777777" w:rsidTr="00DF3064">
        <w:trPr>
          <w:jc w:val="center"/>
        </w:trPr>
        <w:tc>
          <w:tcPr>
            <w:tcW w:w="1156" w:type="dxa"/>
            <w:tcBorders>
              <w:left w:val="single" w:sz="6" w:space="0" w:color="auto"/>
              <w:right w:val="single" w:sz="6" w:space="0" w:color="auto"/>
            </w:tcBorders>
          </w:tcPr>
          <w:p w14:paraId="2DF31517" w14:textId="77777777" w:rsidR="001F5A79" w:rsidRPr="009C5807" w:rsidRDefault="001F5A79" w:rsidP="00DF3064">
            <w:pPr>
              <w:keepNext/>
              <w:keepLines/>
              <w:spacing w:after="0"/>
              <w:jc w:val="center"/>
              <w:rPr>
                <w:rFonts w:ascii="Arial" w:hAnsi="Arial" w:cs="Arial"/>
                <w:sz w:val="18"/>
                <w:lang w:eastAsia="ja-JP"/>
              </w:rPr>
            </w:pPr>
          </w:p>
        </w:tc>
        <w:tc>
          <w:tcPr>
            <w:tcW w:w="4815" w:type="dxa"/>
            <w:tcBorders>
              <w:top w:val="single" w:sz="6" w:space="0" w:color="auto"/>
              <w:left w:val="single" w:sz="6" w:space="0" w:color="auto"/>
              <w:bottom w:val="single" w:sz="6" w:space="0" w:color="auto"/>
              <w:right w:val="single" w:sz="6" w:space="0" w:color="auto"/>
            </w:tcBorders>
            <w:vAlign w:val="center"/>
          </w:tcPr>
          <w:p w14:paraId="617CD67D" w14:textId="77777777" w:rsidR="001F5A79" w:rsidRPr="009C5807" w:rsidRDefault="001F5A79" w:rsidP="00F70A70">
            <w:pPr>
              <w:pStyle w:val="TAC"/>
              <w:rPr>
                <w:lang w:eastAsia="ja-JP"/>
              </w:rPr>
            </w:pPr>
            <w:r w:rsidRPr="009C5807">
              <w:rPr>
                <w:lang w:eastAsia="ja-JP"/>
              </w:rPr>
              <w:t>FDD_H</w:t>
            </w:r>
          </w:p>
        </w:tc>
        <w:tc>
          <w:tcPr>
            <w:tcW w:w="1925" w:type="dxa"/>
            <w:tcBorders>
              <w:top w:val="single" w:sz="6" w:space="0" w:color="auto"/>
              <w:left w:val="single" w:sz="6" w:space="0" w:color="auto"/>
              <w:bottom w:val="single" w:sz="6" w:space="0" w:color="auto"/>
              <w:right w:val="single" w:sz="6" w:space="0" w:color="auto"/>
            </w:tcBorders>
            <w:vAlign w:val="center"/>
          </w:tcPr>
          <w:p w14:paraId="0D3D7006" w14:textId="77777777" w:rsidR="001F5A79" w:rsidRPr="009C5807" w:rsidRDefault="001F5A79" w:rsidP="00F70A70">
            <w:pPr>
              <w:pStyle w:val="TAC"/>
              <w:rPr>
                <w:lang w:eastAsia="ja-JP"/>
              </w:rPr>
            </w:pPr>
            <w:r w:rsidRPr="009C5807">
              <w:rPr>
                <w:lang w:eastAsia="ja-JP"/>
              </w:rPr>
              <w:t>-1</w:t>
            </w:r>
            <w:r w:rsidRPr="009C5807">
              <w:rPr>
                <w:lang w:eastAsia="zh-CN"/>
              </w:rPr>
              <w:t>17.5</w:t>
            </w:r>
          </w:p>
        </w:tc>
        <w:tc>
          <w:tcPr>
            <w:tcW w:w="1959" w:type="dxa"/>
            <w:tcBorders>
              <w:top w:val="single" w:sz="6" w:space="0" w:color="auto"/>
              <w:left w:val="single" w:sz="6" w:space="0" w:color="auto"/>
              <w:bottom w:val="single" w:sz="6" w:space="0" w:color="auto"/>
              <w:right w:val="single" w:sz="4" w:space="0" w:color="auto"/>
            </w:tcBorders>
            <w:vAlign w:val="center"/>
          </w:tcPr>
          <w:p w14:paraId="08FF5E44" w14:textId="77777777" w:rsidR="001F5A79" w:rsidRPr="009C5807" w:rsidRDefault="001F5A79" w:rsidP="00F70A70">
            <w:pPr>
              <w:pStyle w:val="TAC"/>
              <w:rPr>
                <w:lang w:eastAsia="ja-JP"/>
              </w:rPr>
            </w:pPr>
            <w:r w:rsidRPr="009C5807">
              <w:rPr>
                <w:lang w:eastAsia="ja-JP"/>
              </w:rPr>
              <w:t>-50</w:t>
            </w:r>
          </w:p>
        </w:tc>
      </w:tr>
      <w:tr w:rsidR="001F5A79" w:rsidRPr="009C5807" w14:paraId="542C2420" w14:textId="77777777" w:rsidTr="00DF3064">
        <w:trPr>
          <w:jc w:val="center"/>
        </w:trPr>
        <w:tc>
          <w:tcPr>
            <w:tcW w:w="1156" w:type="dxa"/>
            <w:tcBorders>
              <w:left w:val="single" w:sz="6" w:space="0" w:color="auto"/>
              <w:right w:val="single" w:sz="6" w:space="0" w:color="auto"/>
            </w:tcBorders>
          </w:tcPr>
          <w:p w14:paraId="11A229B7" w14:textId="77777777" w:rsidR="001F5A79" w:rsidRPr="009C5807" w:rsidRDefault="001F5A79" w:rsidP="00DF3064">
            <w:pPr>
              <w:keepNext/>
              <w:keepLines/>
              <w:spacing w:after="0"/>
              <w:jc w:val="center"/>
              <w:rPr>
                <w:rFonts w:ascii="Arial" w:hAnsi="Arial" w:cs="Arial"/>
                <w:sz w:val="18"/>
                <w:lang w:eastAsia="zh-CN"/>
              </w:rPr>
            </w:pPr>
          </w:p>
        </w:tc>
        <w:tc>
          <w:tcPr>
            <w:tcW w:w="4815" w:type="dxa"/>
            <w:tcBorders>
              <w:top w:val="single" w:sz="6" w:space="0" w:color="auto"/>
              <w:left w:val="single" w:sz="6" w:space="0" w:color="auto"/>
              <w:bottom w:val="single" w:sz="6" w:space="0" w:color="auto"/>
              <w:right w:val="single" w:sz="6" w:space="0" w:color="auto"/>
            </w:tcBorders>
            <w:vAlign w:val="center"/>
          </w:tcPr>
          <w:p w14:paraId="152713A5" w14:textId="77777777" w:rsidR="001F5A79" w:rsidRPr="009C5807" w:rsidRDefault="001F5A79" w:rsidP="00F70A70">
            <w:pPr>
              <w:pStyle w:val="TAC"/>
              <w:rPr>
                <w:lang w:eastAsia="ja-JP"/>
              </w:rPr>
            </w:pPr>
            <w:r w:rsidRPr="009C5807">
              <w:rPr>
                <w:lang w:eastAsia="zh-CN"/>
              </w:rPr>
              <w:t>FDD_N</w:t>
            </w:r>
          </w:p>
        </w:tc>
        <w:tc>
          <w:tcPr>
            <w:tcW w:w="1925" w:type="dxa"/>
            <w:tcBorders>
              <w:top w:val="single" w:sz="6" w:space="0" w:color="auto"/>
              <w:left w:val="single" w:sz="6" w:space="0" w:color="auto"/>
              <w:bottom w:val="single" w:sz="6" w:space="0" w:color="auto"/>
              <w:right w:val="single" w:sz="6" w:space="0" w:color="auto"/>
            </w:tcBorders>
            <w:vAlign w:val="center"/>
          </w:tcPr>
          <w:p w14:paraId="17296355" w14:textId="77777777" w:rsidR="001F5A79" w:rsidRPr="009C5807" w:rsidRDefault="001F5A79" w:rsidP="00F70A70">
            <w:pPr>
              <w:pStyle w:val="TAC"/>
              <w:rPr>
                <w:lang w:eastAsia="ja-JP"/>
              </w:rPr>
            </w:pPr>
            <w:r w:rsidRPr="009C5807">
              <w:rPr>
                <w:lang w:eastAsia="zh-CN"/>
              </w:rPr>
              <w:t>-114.5</w:t>
            </w:r>
          </w:p>
        </w:tc>
        <w:tc>
          <w:tcPr>
            <w:tcW w:w="1959" w:type="dxa"/>
            <w:tcBorders>
              <w:top w:val="single" w:sz="6" w:space="0" w:color="auto"/>
              <w:left w:val="single" w:sz="6" w:space="0" w:color="auto"/>
              <w:bottom w:val="single" w:sz="6" w:space="0" w:color="auto"/>
              <w:right w:val="single" w:sz="4" w:space="0" w:color="auto"/>
            </w:tcBorders>
            <w:vAlign w:val="center"/>
          </w:tcPr>
          <w:p w14:paraId="29D464CF" w14:textId="77777777" w:rsidR="001F5A79" w:rsidRPr="009C5807" w:rsidRDefault="001F5A79" w:rsidP="00F70A70">
            <w:pPr>
              <w:pStyle w:val="TAC"/>
              <w:rPr>
                <w:lang w:eastAsia="ja-JP"/>
              </w:rPr>
            </w:pPr>
            <w:r w:rsidRPr="009C5807">
              <w:rPr>
                <w:lang w:eastAsia="ja-JP"/>
              </w:rPr>
              <w:t>-50</w:t>
            </w:r>
          </w:p>
        </w:tc>
      </w:tr>
      <w:tr w:rsidR="001F5A79" w:rsidRPr="009C5807" w14:paraId="502B956E" w14:textId="77777777" w:rsidTr="00DF3064">
        <w:trPr>
          <w:jc w:val="center"/>
        </w:trPr>
        <w:tc>
          <w:tcPr>
            <w:tcW w:w="9855" w:type="dxa"/>
            <w:gridSpan w:val="4"/>
            <w:tcBorders>
              <w:top w:val="single" w:sz="6" w:space="0" w:color="auto"/>
              <w:left w:val="single" w:sz="6" w:space="0" w:color="auto"/>
              <w:bottom w:val="single" w:sz="6" w:space="0" w:color="auto"/>
              <w:right w:val="single" w:sz="4" w:space="0" w:color="auto"/>
            </w:tcBorders>
          </w:tcPr>
          <w:p w14:paraId="3C72D20B" w14:textId="77777777" w:rsidR="001F5A79" w:rsidRPr="009C5807" w:rsidRDefault="001F5A79" w:rsidP="0093237A">
            <w:pPr>
              <w:pStyle w:val="TAN"/>
              <w:rPr>
                <w:lang w:eastAsia="ja-JP"/>
              </w:rPr>
            </w:pPr>
            <w:r w:rsidRPr="009C5807">
              <w:rPr>
                <w:lang w:eastAsia="ja-JP"/>
              </w:rPr>
              <w:t>N</w:t>
            </w:r>
            <w:r w:rsidRPr="009C5807">
              <w:rPr>
                <w:lang w:eastAsia="zh-CN"/>
              </w:rPr>
              <w:t>OTE</w:t>
            </w:r>
            <w:r w:rsidRPr="009C5807">
              <w:rPr>
                <w:lang w:eastAsia="ja-JP"/>
              </w:rPr>
              <w:t xml:space="preserve"> 1:</w:t>
            </w:r>
            <w:r w:rsidRPr="009C5807">
              <w:rPr>
                <w:lang w:eastAsia="ja-JP"/>
              </w:rPr>
              <w:tab/>
              <w:t>When in dBm/15kHz, the minimum Io condition is expressed as the average Io per RE over all REs in that symbol. Io may be different in different symbols within a subframe.</w:t>
            </w:r>
          </w:p>
          <w:p w14:paraId="1BF0B17C" w14:textId="77777777" w:rsidR="001F5A79" w:rsidRPr="009C5807" w:rsidRDefault="001F5A79" w:rsidP="0093237A">
            <w:pPr>
              <w:pStyle w:val="TAN"/>
              <w:rPr>
                <w:lang w:eastAsia="ja-JP"/>
              </w:rPr>
            </w:pPr>
            <w:r w:rsidRPr="009C5807">
              <w:rPr>
                <w:lang w:eastAsia="ja-JP"/>
              </w:rPr>
              <w:t>NOTE 2:</w:t>
            </w:r>
            <w:r w:rsidRPr="009C5807">
              <w:rPr>
                <w:lang w:eastAsia="ja-JP"/>
              </w:rPr>
              <w:tab/>
              <w:t>The condition level is increased by ∆&gt;0, when applicable, as described in clauses B.4.2 and B.4.3 in TS36.133 [15].</w:t>
            </w:r>
          </w:p>
          <w:p w14:paraId="7BD5B271" w14:textId="77777777" w:rsidR="001F5A79" w:rsidRPr="009C5807" w:rsidRDefault="001F5A79" w:rsidP="0093237A">
            <w:pPr>
              <w:pStyle w:val="TAN"/>
              <w:rPr>
                <w:lang w:eastAsia="ja-JP"/>
              </w:rPr>
            </w:pPr>
            <w:r w:rsidRPr="009C5807">
              <w:rPr>
                <w:lang w:eastAsia="ja-JP"/>
              </w:rPr>
              <w:t>NOTE 3:</w:t>
            </w:r>
            <w:r w:rsidRPr="009C5807">
              <w:rPr>
                <w:lang w:eastAsia="ja-JP"/>
              </w:rPr>
              <w:tab/>
              <w:t>E-UTRA operating band groups are as defined in clause 3.5 in TS 36.133 [15].</w:t>
            </w:r>
          </w:p>
        </w:tc>
      </w:tr>
    </w:tbl>
    <w:p w14:paraId="33108AE2" w14:textId="77777777" w:rsidR="001F5A79" w:rsidRPr="009C5807" w:rsidRDefault="001F5A79" w:rsidP="001F5A79"/>
    <w:p w14:paraId="1CACC57D" w14:textId="77777777" w:rsidR="001F5A79" w:rsidRPr="009C5807" w:rsidRDefault="001F5A79" w:rsidP="0093237A">
      <w:pPr>
        <w:pStyle w:val="TH"/>
      </w:pPr>
      <w:r w:rsidRPr="009C5807">
        <w:t xml:space="preserve">Table 10.1.21.1-4: </w:t>
      </w:r>
      <w:r w:rsidRPr="009C5807">
        <w:rPr>
          <w:lang w:eastAsia="zh-CN"/>
        </w:rPr>
        <w:t>SFTD</w:t>
      </w:r>
      <w:r w:rsidRPr="009C5807">
        <w:t xml:space="preserve"> measurement accuracy</w:t>
      </w:r>
    </w:p>
    <w:tbl>
      <w:tblPr>
        <w:tblW w:w="0" w:type="auto"/>
        <w:jc w:val="center"/>
        <w:tblLayout w:type="fixed"/>
        <w:tblLook w:val="0000" w:firstRow="0" w:lastRow="0" w:firstColumn="0" w:lastColumn="0" w:noHBand="0" w:noVBand="0"/>
      </w:tblPr>
      <w:tblGrid>
        <w:gridCol w:w="2509"/>
        <w:gridCol w:w="1984"/>
        <w:gridCol w:w="2508"/>
      </w:tblGrid>
      <w:tr w:rsidR="001F5A79" w:rsidRPr="009C5807" w14:paraId="59133DF3" w14:textId="77777777" w:rsidTr="00F70A70">
        <w:trPr>
          <w:jc w:val="center"/>
        </w:trPr>
        <w:tc>
          <w:tcPr>
            <w:tcW w:w="2509" w:type="dxa"/>
            <w:tcBorders>
              <w:top w:val="single" w:sz="4" w:space="0" w:color="auto"/>
              <w:left w:val="single" w:sz="4" w:space="0" w:color="auto"/>
              <w:right w:val="single" w:sz="6" w:space="0" w:color="auto"/>
            </w:tcBorders>
            <w:vAlign w:val="center"/>
          </w:tcPr>
          <w:p w14:paraId="2B210788" w14:textId="77777777" w:rsidR="001F5A79" w:rsidRPr="009C5807" w:rsidRDefault="001F5A79" w:rsidP="00F70A70">
            <w:pPr>
              <w:pStyle w:val="TAH"/>
              <w:rPr>
                <w:lang w:eastAsia="ja-JP"/>
              </w:rPr>
            </w:pPr>
            <w:r w:rsidRPr="009C5807">
              <w:rPr>
                <w:lang w:eastAsia="ja-JP"/>
              </w:rPr>
              <w:t>Accuracy</w:t>
            </w:r>
          </w:p>
        </w:tc>
        <w:tc>
          <w:tcPr>
            <w:tcW w:w="4492" w:type="dxa"/>
            <w:gridSpan w:val="2"/>
            <w:tcBorders>
              <w:top w:val="single" w:sz="4" w:space="0" w:color="auto"/>
              <w:left w:val="single" w:sz="6" w:space="0" w:color="auto"/>
              <w:bottom w:val="single" w:sz="6" w:space="0" w:color="auto"/>
              <w:right w:val="single" w:sz="4" w:space="0" w:color="auto"/>
            </w:tcBorders>
            <w:vAlign w:val="center"/>
          </w:tcPr>
          <w:p w14:paraId="2D2AABF2" w14:textId="77777777" w:rsidR="001F5A79" w:rsidRPr="009C5807" w:rsidRDefault="001F5A79" w:rsidP="00F70A70">
            <w:pPr>
              <w:pStyle w:val="TAH"/>
              <w:rPr>
                <w:lang w:eastAsia="ja-JP"/>
              </w:rPr>
            </w:pPr>
            <w:r w:rsidRPr="009C5807">
              <w:rPr>
                <w:lang w:eastAsia="ja-JP"/>
              </w:rPr>
              <w:t>Conditions</w:t>
            </w:r>
          </w:p>
        </w:tc>
      </w:tr>
      <w:tr w:rsidR="001F5A79" w:rsidRPr="009C5807" w14:paraId="1128052C" w14:textId="77777777" w:rsidTr="00F70A70">
        <w:trPr>
          <w:trHeight w:val="391"/>
          <w:jc w:val="center"/>
        </w:trPr>
        <w:tc>
          <w:tcPr>
            <w:tcW w:w="2509" w:type="dxa"/>
            <w:tcBorders>
              <w:left w:val="single" w:sz="4" w:space="0" w:color="auto"/>
              <w:bottom w:val="single" w:sz="6" w:space="0" w:color="auto"/>
              <w:right w:val="single" w:sz="6" w:space="0" w:color="auto"/>
            </w:tcBorders>
            <w:vAlign w:val="center"/>
          </w:tcPr>
          <w:p w14:paraId="523C87B7" w14:textId="77777777" w:rsidR="001F5A79" w:rsidRPr="009C5807" w:rsidRDefault="001F5A79" w:rsidP="00F70A70">
            <w:pPr>
              <w:pStyle w:val="TAH"/>
              <w:rPr>
                <w:lang w:eastAsia="ja-JP"/>
              </w:rPr>
            </w:pPr>
          </w:p>
        </w:tc>
        <w:tc>
          <w:tcPr>
            <w:tcW w:w="1984" w:type="dxa"/>
            <w:tcBorders>
              <w:top w:val="single" w:sz="6" w:space="0" w:color="auto"/>
              <w:left w:val="single" w:sz="6" w:space="0" w:color="auto"/>
              <w:bottom w:val="single" w:sz="6" w:space="0" w:color="auto"/>
              <w:right w:val="single" w:sz="6" w:space="0" w:color="auto"/>
            </w:tcBorders>
            <w:vAlign w:val="center"/>
          </w:tcPr>
          <w:p w14:paraId="772F5BA8" w14:textId="77777777" w:rsidR="001F5A79" w:rsidRPr="009C5807" w:rsidRDefault="001F5A79" w:rsidP="00F70A70">
            <w:pPr>
              <w:pStyle w:val="TAH"/>
              <w:rPr>
                <w:lang w:eastAsia="ja-JP"/>
              </w:rPr>
            </w:pPr>
            <w:r w:rsidRPr="009C5807">
              <w:rPr>
                <w:lang w:eastAsia="ja-JP"/>
              </w:rPr>
              <w:t>Ês/Iot</w:t>
            </w:r>
            <w:r w:rsidRPr="009C5807">
              <w:rPr>
                <w:vertAlign w:val="superscript"/>
                <w:lang w:eastAsia="zh-CN"/>
              </w:rPr>
              <w:t xml:space="preserve"> Note 2</w:t>
            </w:r>
          </w:p>
        </w:tc>
        <w:tc>
          <w:tcPr>
            <w:tcW w:w="2508" w:type="dxa"/>
            <w:tcBorders>
              <w:top w:val="single" w:sz="6" w:space="0" w:color="auto"/>
              <w:left w:val="single" w:sz="6" w:space="0" w:color="auto"/>
              <w:right w:val="single" w:sz="4" w:space="0" w:color="auto"/>
            </w:tcBorders>
            <w:vAlign w:val="center"/>
          </w:tcPr>
          <w:p w14:paraId="6EDC369D" w14:textId="77777777" w:rsidR="001F5A79" w:rsidRPr="009C5807" w:rsidRDefault="001F5A79" w:rsidP="00F70A70">
            <w:pPr>
              <w:pStyle w:val="TAH"/>
              <w:rPr>
                <w:lang w:eastAsia="ja-JP"/>
              </w:rPr>
            </w:pPr>
            <w:r w:rsidRPr="009C5807">
              <w:rPr>
                <w:lang w:eastAsia="zh-CN"/>
              </w:rPr>
              <w:t xml:space="preserve">Frequency range </w:t>
            </w:r>
          </w:p>
        </w:tc>
      </w:tr>
      <w:tr w:rsidR="001F5A79" w:rsidRPr="009C5807" w14:paraId="359A7EC6" w14:textId="77777777" w:rsidTr="00DF3064">
        <w:trPr>
          <w:jc w:val="center"/>
        </w:trPr>
        <w:tc>
          <w:tcPr>
            <w:tcW w:w="2509" w:type="dxa"/>
            <w:tcBorders>
              <w:top w:val="single" w:sz="6" w:space="0" w:color="auto"/>
              <w:left w:val="single" w:sz="4" w:space="0" w:color="auto"/>
              <w:bottom w:val="single" w:sz="4" w:space="0" w:color="auto"/>
              <w:right w:val="single" w:sz="6" w:space="0" w:color="auto"/>
            </w:tcBorders>
            <w:vAlign w:val="center"/>
          </w:tcPr>
          <w:p w14:paraId="475B1E42" w14:textId="77777777" w:rsidR="001F5A79" w:rsidRPr="009C5807" w:rsidRDefault="001F5A79" w:rsidP="00F70A70">
            <w:pPr>
              <w:pStyle w:val="TAH"/>
              <w:rPr>
                <w:rFonts w:cs="Arial"/>
                <w:lang w:eastAsia="ja-JP"/>
              </w:rPr>
            </w:pPr>
            <w:r w:rsidRPr="009C5807">
              <w:rPr>
                <w:rFonts w:cs="Arial"/>
                <w:lang w:eastAsia="ja-JP"/>
              </w:rPr>
              <w:t>Ts</w:t>
            </w:r>
            <w:r w:rsidRPr="009C5807">
              <w:rPr>
                <w:rFonts w:cs="Arial"/>
                <w:vertAlign w:val="superscript"/>
                <w:lang w:eastAsia="zh-CN"/>
              </w:rPr>
              <w:t xml:space="preserve"> Note 1</w:t>
            </w:r>
          </w:p>
        </w:tc>
        <w:tc>
          <w:tcPr>
            <w:tcW w:w="1984" w:type="dxa"/>
            <w:tcBorders>
              <w:top w:val="single" w:sz="6" w:space="0" w:color="auto"/>
              <w:left w:val="single" w:sz="6" w:space="0" w:color="auto"/>
              <w:bottom w:val="single" w:sz="4" w:space="0" w:color="auto"/>
              <w:right w:val="single" w:sz="6" w:space="0" w:color="auto"/>
            </w:tcBorders>
            <w:vAlign w:val="center"/>
          </w:tcPr>
          <w:p w14:paraId="0DA4A970" w14:textId="77777777" w:rsidR="001F5A79" w:rsidRPr="009C5807" w:rsidRDefault="001F5A79" w:rsidP="00F70A70">
            <w:pPr>
              <w:pStyle w:val="TAH"/>
              <w:rPr>
                <w:rFonts w:cs="Arial"/>
                <w:lang w:eastAsia="ja-JP"/>
              </w:rPr>
            </w:pPr>
            <w:r w:rsidRPr="009C5807">
              <w:rPr>
                <w:rFonts w:cs="Arial"/>
                <w:lang w:eastAsia="ja-JP"/>
              </w:rPr>
              <w:t>dB</w:t>
            </w:r>
          </w:p>
        </w:tc>
        <w:tc>
          <w:tcPr>
            <w:tcW w:w="2508" w:type="dxa"/>
            <w:tcBorders>
              <w:top w:val="single" w:sz="6" w:space="0" w:color="auto"/>
              <w:left w:val="single" w:sz="6" w:space="0" w:color="auto"/>
              <w:bottom w:val="single" w:sz="6" w:space="0" w:color="auto"/>
              <w:right w:val="single" w:sz="4" w:space="0" w:color="auto"/>
            </w:tcBorders>
            <w:vAlign w:val="center"/>
          </w:tcPr>
          <w:p w14:paraId="0104F0E7" w14:textId="77777777" w:rsidR="001F5A79" w:rsidRPr="009C5807" w:rsidRDefault="001F5A79" w:rsidP="00F70A70">
            <w:pPr>
              <w:pStyle w:val="TAH"/>
              <w:rPr>
                <w:rFonts w:cs="Arial"/>
                <w:lang w:eastAsia="ja-JP"/>
              </w:rPr>
            </w:pPr>
          </w:p>
        </w:tc>
      </w:tr>
      <w:tr w:rsidR="0058457E" w:rsidRPr="009C5807" w14:paraId="64BF8396" w14:textId="77777777" w:rsidTr="00DF3064">
        <w:trPr>
          <w:jc w:val="center"/>
        </w:trPr>
        <w:tc>
          <w:tcPr>
            <w:tcW w:w="2509" w:type="dxa"/>
            <w:tcBorders>
              <w:top w:val="single" w:sz="4" w:space="0" w:color="auto"/>
              <w:left w:val="single" w:sz="4" w:space="0" w:color="auto"/>
              <w:bottom w:val="single" w:sz="4" w:space="0" w:color="auto"/>
              <w:right w:val="single" w:sz="4" w:space="0" w:color="auto"/>
            </w:tcBorders>
            <w:vAlign w:val="center"/>
          </w:tcPr>
          <w:p w14:paraId="02FE35E5" w14:textId="77777777" w:rsidR="0058457E" w:rsidRPr="009C5807" w:rsidRDefault="0058457E" w:rsidP="00F70A70">
            <w:pPr>
              <w:pStyle w:val="TAC"/>
              <w:rPr>
                <w:rFonts w:cs="Arial"/>
                <w:lang w:eastAsia="ja-JP"/>
              </w:rPr>
            </w:pPr>
            <w:r w:rsidRPr="009C5807">
              <w:rPr>
                <w:snapToGrid w:val="0"/>
              </w:rPr>
              <w:t>40*64*Tc</w:t>
            </w:r>
          </w:p>
        </w:tc>
        <w:tc>
          <w:tcPr>
            <w:tcW w:w="1984" w:type="dxa"/>
            <w:tcBorders>
              <w:top w:val="single" w:sz="4" w:space="0" w:color="auto"/>
              <w:left w:val="single" w:sz="4" w:space="0" w:color="auto"/>
              <w:right w:val="single" w:sz="4" w:space="0" w:color="auto"/>
            </w:tcBorders>
            <w:vAlign w:val="center"/>
          </w:tcPr>
          <w:p w14:paraId="6D664777" w14:textId="163BB761" w:rsidR="0058457E" w:rsidRPr="009C5807" w:rsidRDefault="0058457E" w:rsidP="00F70A70">
            <w:pPr>
              <w:pStyle w:val="TAC"/>
              <w:rPr>
                <w:rFonts w:cs="Arial"/>
                <w:lang w:eastAsia="ja-JP"/>
              </w:rPr>
            </w:pPr>
            <w:r w:rsidRPr="009C5807">
              <w:sym w:font="Symbol" w:char="F0B3"/>
            </w:r>
            <w:r w:rsidRPr="009C5807">
              <w:t>-3</w:t>
            </w:r>
          </w:p>
        </w:tc>
        <w:tc>
          <w:tcPr>
            <w:tcW w:w="2508" w:type="dxa"/>
            <w:tcBorders>
              <w:top w:val="single" w:sz="6" w:space="0" w:color="auto"/>
              <w:left w:val="single" w:sz="4" w:space="0" w:color="auto"/>
              <w:bottom w:val="single" w:sz="6" w:space="0" w:color="auto"/>
              <w:right w:val="single" w:sz="4" w:space="0" w:color="auto"/>
            </w:tcBorders>
            <w:vAlign w:val="center"/>
          </w:tcPr>
          <w:p w14:paraId="07D07FB2" w14:textId="77777777" w:rsidR="0058457E" w:rsidRPr="009C5807" w:rsidRDefault="0058457E" w:rsidP="00F70A70">
            <w:pPr>
              <w:pStyle w:val="TAC"/>
              <w:rPr>
                <w:rFonts w:cs="Arial"/>
                <w:lang w:eastAsia="ja-JP"/>
              </w:rPr>
            </w:pPr>
            <w:r w:rsidRPr="009C5807">
              <w:rPr>
                <w:snapToGrid w:val="0"/>
              </w:rPr>
              <w:t>FR1</w:t>
            </w:r>
          </w:p>
        </w:tc>
      </w:tr>
      <w:tr w:rsidR="001F5A79" w:rsidRPr="009C5807" w14:paraId="6CB6E773" w14:textId="77777777" w:rsidTr="00DF3064">
        <w:trPr>
          <w:jc w:val="center"/>
        </w:trPr>
        <w:tc>
          <w:tcPr>
            <w:tcW w:w="2509" w:type="dxa"/>
            <w:tcBorders>
              <w:top w:val="single" w:sz="4" w:space="0" w:color="auto"/>
              <w:left w:val="single" w:sz="4" w:space="0" w:color="auto"/>
              <w:bottom w:val="single" w:sz="4" w:space="0" w:color="auto"/>
              <w:right w:val="single" w:sz="4" w:space="0" w:color="auto"/>
            </w:tcBorders>
            <w:vAlign w:val="center"/>
          </w:tcPr>
          <w:p w14:paraId="22280CFA" w14:textId="77777777" w:rsidR="001F5A79" w:rsidRPr="009C5807" w:rsidRDefault="001F5A79" w:rsidP="00F70A70">
            <w:pPr>
              <w:pStyle w:val="TAC"/>
              <w:rPr>
                <w:rFonts w:cs="Arial"/>
                <w:lang w:eastAsia="ja-JP"/>
              </w:rPr>
            </w:pPr>
            <w:r w:rsidRPr="009C5807">
              <w:rPr>
                <w:snapToGrid w:val="0"/>
              </w:rPr>
              <w:t>40*64*Tc</w:t>
            </w:r>
          </w:p>
        </w:tc>
        <w:tc>
          <w:tcPr>
            <w:tcW w:w="1984" w:type="dxa"/>
            <w:tcBorders>
              <w:left w:val="single" w:sz="4" w:space="0" w:color="auto"/>
              <w:right w:val="single" w:sz="4" w:space="0" w:color="auto"/>
            </w:tcBorders>
            <w:vAlign w:val="center"/>
          </w:tcPr>
          <w:p w14:paraId="7586937B" w14:textId="77777777" w:rsidR="001F5A79" w:rsidRPr="009C5807" w:rsidRDefault="001F5A79" w:rsidP="00F70A70">
            <w:pPr>
              <w:pStyle w:val="TAC"/>
              <w:rPr>
                <w:rFonts w:cs="Arial"/>
                <w:lang w:eastAsia="ja-JP"/>
              </w:rPr>
            </w:pPr>
          </w:p>
        </w:tc>
        <w:tc>
          <w:tcPr>
            <w:tcW w:w="2508" w:type="dxa"/>
            <w:tcBorders>
              <w:top w:val="single" w:sz="6" w:space="0" w:color="auto"/>
              <w:left w:val="single" w:sz="4" w:space="0" w:color="auto"/>
              <w:bottom w:val="single" w:sz="6" w:space="0" w:color="auto"/>
              <w:right w:val="single" w:sz="4" w:space="0" w:color="auto"/>
            </w:tcBorders>
            <w:vAlign w:val="center"/>
          </w:tcPr>
          <w:p w14:paraId="46D4CC85" w14:textId="77777777" w:rsidR="001F5A79" w:rsidRPr="009C5807" w:rsidRDefault="001F5A79" w:rsidP="00F70A70">
            <w:pPr>
              <w:pStyle w:val="TAC"/>
              <w:rPr>
                <w:rFonts w:cs="Arial"/>
                <w:lang w:eastAsia="ja-JP"/>
              </w:rPr>
            </w:pPr>
            <w:r w:rsidRPr="009C5807">
              <w:rPr>
                <w:snapToGrid w:val="0"/>
              </w:rPr>
              <w:t>FR2</w:t>
            </w:r>
          </w:p>
        </w:tc>
      </w:tr>
      <w:tr w:rsidR="001F5A79" w:rsidRPr="009C5807" w14:paraId="561A790B" w14:textId="77777777" w:rsidTr="00DF3064">
        <w:trPr>
          <w:jc w:val="center"/>
        </w:trPr>
        <w:tc>
          <w:tcPr>
            <w:tcW w:w="7001" w:type="dxa"/>
            <w:gridSpan w:val="3"/>
            <w:tcBorders>
              <w:top w:val="single" w:sz="6" w:space="0" w:color="auto"/>
              <w:left w:val="single" w:sz="4" w:space="0" w:color="auto"/>
              <w:bottom w:val="single" w:sz="4" w:space="0" w:color="auto"/>
              <w:right w:val="single" w:sz="4" w:space="0" w:color="auto"/>
            </w:tcBorders>
            <w:vAlign w:val="center"/>
          </w:tcPr>
          <w:p w14:paraId="3FDA1E83" w14:textId="77777777" w:rsidR="001F5A79" w:rsidRPr="009C5807" w:rsidRDefault="001F5A79" w:rsidP="00F70A70">
            <w:pPr>
              <w:pStyle w:val="TAN"/>
              <w:rPr>
                <w:lang w:eastAsia="ja-JP"/>
              </w:rPr>
            </w:pPr>
            <w:r w:rsidRPr="009C5807">
              <w:rPr>
                <w:lang w:eastAsia="ja-JP"/>
              </w:rPr>
              <w:t>N</w:t>
            </w:r>
            <w:r w:rsidRPr="009C5807">
              <w:rPr>
                <w:lang w:eastAsia="zh-CN"/>
              </w:rPr>
              <w:t>OTE</w:t>
            </w:r>
            <w:r w:rsidRPr="009C5807">
              <w:rPr>
                <w:lang w:eastAsia="ja-JP"/>
              </w:rPr>
              <w:t xml:space="preserve"> 1:</w:t>
            </w:r>
            <w:r w:rsidRPr="009C5807">
              <w:rPr>
                <w:lang w:eastAsia="ja-JP"/>
              </w:rPr>
              <w:tab/>
              <w:t xml:space="preserve">Tc is the basic timing unit defined in </w:t>
            </w:r>
            <w:r w:rsidRPr="009C5807">
              <w:t>TS 38.211 [6]</w:t>
            </w:r>
            <w:r w:rsidRPr="009C5807">
              <w:rPr>
                <w:lang w:eastAsia="ja-JP"/>
              </w:rPr>
              <w:t>.</w:t>
            </w:r>
          </w:p>
          <w:p w14:paraId="2DD16B9F" w14:textId="77777777" w:rsidR="001F5A79" w:rsidRPr="009C5807" w:rsidRDefault="001F5A79" w:rsidP="00F70A70">
            <w:pPr>
              <w:pStyle w:val="TAN"/>
              <w:rPr>
                <w:lang w:eastAsia="ja-JP"/>
              </w:rPr>
            </w:pPr>
            <w:r w:rsidRPr="009C5807">
              <w:t>NOTE 2:</w:t>
            </w:r>
            <w:r w:rsidRPr="009C5807">
              <w:tab/>
            </w:r>
            <w:r w:rsidRPr="009C5807">
              <w:rPr>
                <w:lang w:eastAsia="zh-CN"/>
              </w:rPr>
              <w:t xml:space="preserve">The parameter </w:t>
            </w:r>
            <w:r w:rsidRPr="009C5807">
              <w:t>Ês/Iot</w:t>
            </w:r>
            <w:r w:rsidRPr="009C5807">
              <w:rPr>
                <w:lang w:eastAsia="zh-CN"/>
              </w:rPr>
              <w:t xml:space="preserve"> is the minimum </w:t>
            </w:r>
            <w:r w:rsidRPr="009C5807">
              <w:t>Ês/Iot</w:t>
            </w:r>
            <w:r w:rsidRPr="009C5807">
              <w:rPr>
                <w:lang w:eastAsia="zh-CN"/>
              </w:rPr>
              <w:t xml:space="preserve"> of the pair of cells to which the requirement applies.</w:t>
            </w:r>
          </w:p>
        </w:tc>
      </w:tr>
    </w:tbl>
    <w:p w14:paraId="50A2835F" w14:textId="77777777" w:rsidR="001F5A79" w:rsidRPr="009C5807" w:rsidRDefault="001F5A79" w:rsidP="001F5A79">
      <w:pPr>
        <w:rPr>
          <w:noProof/>
          <w:lang w:eastAsia="zh-CN"/>
        </w:rPr>
      </w:pPr>
    </w:p>
    <w:p w14:paraId="0596AE54" w14:textId="77777777" w:rsidR="001F5A79" w:rsidRPr="009C5807" w:rsidRDefault="001F5A79" w:rsidP="00B018D8">
      <w:pPr>
        <w:pStyle w:val="Heading4"/>
        <w:rPr>
          <w:lang w:val="en-US" w:eastAsia="zh-CN"/>
        </w:rPr>
      </w:pPr>
      <w:r w:rsidRPr="009C5807">
        <w:rPr>
          <w:lang w:val="en-US"/>
        </w:rPr>
        <w:t>10.1.21.2</w:t>
      </w:r>
      <w:r w:rsidRPr="009C5807">
        <w:rPr>
          <w:lang w:val="en-US"/>
        </w:rPr>
        <w:tab/>
        <w:t>SFTD acuracy requirements for NR-DC</w:t>
      </w:r>
    </w:p>
    <w:p w14:paraId="00AA85B1" w14:textId="77777777" w:rsidR="001F5A79" w:rsidRPr="009C5807" w:rsidRDefault="001F5A79" w:rsidP="001F5A79">
      <w:r w:rsidRPr="009C5807">
        <w:t>Th</w:t>
      </w:r>
      <w:r w:rsidRPr="009C5807">
        <w:rPr>
          <w:rFonts w:eastAsia="MS Mincho"/>
        </w:rPr>
        <w:t>e</w:t>
      </w:r>
      <w:r w:rsidRPr="009C5807">
        <w:t xml:space="preserve"> </w:t>
      </w:r>
      <w:r w:rsidRPr="009C5807">
        <w:rPr>
          <w:lang w:eastAsia="zh-CN"/>
        </w:rPr>
        <w:t>SFN and frame</w:t>
      </w:r>
      <w:r w:rsidRPr="009C5807">
        <w:t xml:space="preserve"> timing difference </w:t>
      </w:r>
      <w:r w:rsidRPr="009C5807">
        <w:rPr>
          <w:lang w:eastAsia="zh-CN"/>
        </w:rPr>
        <w:t xml:space="preserve">(SFTD) </w:t>
      </w:r>
      <w:r w:rsidRPr="009C5807">
        <w:t xml:space="preserve">is measured </w:t>
      </w:r>
      <w:r w:rsidRPr="009C5807">
        <w:rPr>
          <w:lang w:eastAsia="zh-CN"/>
        </w:rPr>
        <w:t>between PCell in FR1 and PSCell in FR2 under NR dual connectivity</w:t>
      </w:r>
      <w:r w:rsidRPr="009C5807">
        <w:t>.</w:t>
      </w:r>
    </w:p>
    <w:p w14:paraId="28D77B1E" w14:textId="77777777" w:rsidR="001F5A79" w:rsidRPr="009C5807" w:rsidRDefault="001F5A79" w:rsidP="001F5A79">
      <w:pPr>
        <w:rPr>
          <w:rFonts w:cs="v4.2.0"/>
        </w:rPr>
      </w:pPr>
      <w:r w:rsidRPr="009C5807">
        <w:rPr>
          <w:rFonts w:cs="v4.2.0"/>
        </w:rPr>
        <w:t>The accuracy requirements in Table 10.1.21.2-3 are appilicable under the following conditions:</w:t>
      </w:r>
    </w:p>
    <w:p w14:paraId="6D9B00FE" w14:textId="77777777" w:rsidR="001F5A79" w:rsidRPr="009C5807" w:rsidRDefault="001F5A79" w:rsidP="001F5A79">
      <w:r w:rsidRPr="009C5807">
        <w:t xml:space="preserve">For FR1 PCell </w:t>
      </w:r>
      <w:r w:rsidRPr="009C5807">
        <w:rPr>
          <w:lang w:eastAsia="zh-CN"/>
        </w:rPr>
        <w:t>SFN and frame</w:t>
      </w:r>
      <w:r w:rsidRPr="009C5807">
        <w:t xml:space="preserve"> timing measurement:</w:t>
      </w:r>
    </w:p>
    <w:p w14:paraId="6E820678" w14:textId="77777777" w:rsidR="001F5A79" w:rsidRPr="009C5807" w:rsidRDefault="001F5A79" w:rsidP="0093237A">
      <w:pPr>
        <w:pStyle w:val="B10"/>
        <w:rPr>
          <w:rFonts w:cs="v4.2.0"/>
        </w:rPr>
      </w:pPr>
      <w:r w:rsidRPr="009C5807">
        <w:t>-</w:t>
      </w:r>
      <w:r w:rsidRPr="009C5807">
        <w:tab/>
        <w:t>Conditions defined in clause 7.3 of TS 38.101-1 [18] for reference sensitivity are fulfilled.</w:t>
      </w:r>
    </w:p>
    <w:p w14:paraId="0D3F2B4C" w14:textId="77777777" w:rsidR="001F5A79" w:rsidRPr="009C5807" w:rsidRDefault="001F5A79" w:rsidP="0093237A">
      <w:pPr>
        <w:pStyle w:val="B10"/>
      </w:pPr>
      <w:r w:rsidRPr="009C5807">
        <w:t>-</w:t>
      </w:r>
      <w:r w:rsidRPr="009C5807">
        <w:tab/>
        <w:t>Io range deifined in Table 10.1.21.2-1.</w:t>
      </w:r>
    </w:p>
    <w:p w14:paraId="4B6CC645" w14:textId="77777777" w:rsidR="001F5A79" w:rsidRPr="009C5807" w:rsidRDefault="001F5A79" w:rsidP="0093237A">
      <w:pPr>
        <w:pStyle w:val="TH"/>
        <w:rPr>
          <w:lang w:eastAsia="zh-CN"/>
        </w:rPr>
      </w:pPr>
      <w:r w:rsidRPr="009C5807">
        <w:t>Table 10.1.21.2-1: PCell Io range conditions in</w:t>
      </w:r>
      <w:r w:rsidRPr="009C5807">
        <w:rPr>
          <w:lang w:eastAsia="zh-CN"/>
        </w:rPr>
        <w:t xml:space="preserve"> FR1</w:t>
      </w:r>
    </w:p>
    <w:tbl>
      <w:tblPr>
        <w:tblW w:w="9855" w:type="dxa"/>
        <w:jc w:val="center"/>
        <w:tblLayout w:type="fixed"/>
        <w:tblLook w:val="0000" w:firstRow="0" w:lastRow="0" w:firstColumn="0" w:lastColumn="0" w:noHBand="0" w:noVBand="0"/>
      </w:tblPr>
      <w:tblGrid>
        <w:gridCol w:w="1156"/>
        <w:gridCol w:w="4178"/>
        <w:gridCol w:w="1498"/>
        <w:gridCol w:w="1498"/>
        <w:gridCol w:w="1525"/>
      </w:tblGrid>
      <w:tr w:rsidR="001F5A79" w:rsidRPr="009C5807" w14:paraId="2213A5D4" w14:textId="77777777" w:rsidTr="00DF3064">
        <w:trPr>
          <w:jc w:val="center"/>
        </w:trPr>
        <w:tc>
          <w:tcPr>
            <w:tcW w:w="1156" w:type="dxa"/>
            <w:tcBorders>
              <w:top w:val="single" w:sz="6" w:space="0" w:color="auto"/>
              <w:left w:val="single" w:sz="6" w:space="0" w:color="auto"/>
              <w:right w:val="single" w:sz="4" w:space="0" w:color="auto"/>
            </w:tcBorders>
            <w:vAlign w:val="center"/>
          </w:tcPr>
          <w:p w14:paraId="26FF1FBB" w14:textId="77777777" w:rsidR="001F5A79" w:rsidRPr="009C5807" w:rsidRDefault="001F5A79" w:rsidP="00F70A70">
            <w:pPr>
              <w:pStyle w:val="TAH"/>
              <w:rPr>
                <w:lang w:eastAsia="zh-CN"/>
              </w:rPr>
            </w:pPr>
            <w:r w:rsidRPr="009C5807">
              <w:rPr>
                <w:lang w:eastAsia="zh-CN"/>
              </w:rPr>
              <w:t>Parameter</w:t>
            </w:r>
          </w:p>
        </w:tc>
        <w:tc>
          <w:tcPr>
            <w:tcW w:w="8699" w:type="dxa"/>
            <w:gridSpan w:val="4"/>
            <w:tcBorders>
              <w:top w:val="single" w:sz="6" w:space="0" w:color="auto"/>
              <w:left w:val="single" w:sz="6" w:space="0" w:color="auto"/>
              <w:bottom w:val="single" w:sz="6" w:space="0" w:color="auto"/>
              <w:right w:val="single" w:sz="4" w:space="0" w:color="auto"/>
            </w:tcBorders>
            <w:vAlign w:val="center"/>
          </w:tcPr>
          <w:p w14:paraId="24711A88" w14:textId="77777777" w:rsidR="001F5A79" w:rsidRPr="009C5807" w:rsidRDefault="001F5A79" w:rsidP="00F70A70">
            <w:pPr>
              <w:pStyle w:val="TAH"/>
              <w:rPr>
                <w:lang w:eastAsia="ja-JP"/>
              </w:rPr>
            </w:pPr>
            <w:r w:rsidRPr="009C5807">
              <w:rPr>
                <w:lang w:eastAsia="ja-JP"/>
              </w:rPr>
              <w:t>Io</w:t>
            </w:r>
            <w:r w:rsidRPr="009C5807">
              <w:rPr>
                <w:vertAlign w:val="superscript"/>
                <w:lang w:eastAsia="zh-CN"/>
              </w:rPr>
              <w:t xml:space="preserve"> Note 1</w:t>
            </w:r>
            <w:r w:rsidRPr="009C5807">
              <w:rPr>
                <w:lang w:eastAsia="ja-JP"/>
              </w:rPr>
              <w:t xml:space="preserve"> range</w:t>
            </w:r>
          </w:p>
        </w:tc>
      </w:tr>
      <w:tr w:rsidR="001F5A79" w:rsidRPr="009C5807" w14:paraId="1D169C77" w14:textId="77777777" w:rsidTr="00DF3064">
        <w:trPr>
          <w:jc w:val="center"/>
        </w:trPr>
        <w:tc>
          <w:tcPr>
            <w:tcW w:w="1156" w:type="dxa"/>
            <w:tcBorders>
              <w:left w:val="single" w:sz="6" w:space="0" w:color="auto"/>
              <w:right w:val="single" w:sz="4" w:space="0" w:color="auto"/>
            </w:tcBorders>
          </w:tcPr>
          <w:p w14:paraId="66CD885C" w14:textId="77777777" w:rsidR="001F5A79" w:rsidRPr="009C5807" w:rsidRDefault="001F5A79" w:rsidP="00F70A70">
            <w:pPr>
              <w:pStyle w:val="TAH"/>
              <w:rPr>
                <w:lang w:eastAsia="ja-JP"/>
              </w:rPr>
            </w:pPr>
          </w:p>
        </w:tc>
        <w:tc>
          <w:tcPr>
            <w:tcW w:w="4178" w:type="dxa"/>
            <w:tcBorders>
              <w:top w:val="single" w:sz="6" w:space="0" w:color="auto"/>
              <w:left w:val="single" w:sz="4" w:space="0" w:color="auto"/>
              <w:bottom w:val="single" w:sz="6" w:space="0" w:color="auto"/>
              <w:right w:val="single" w:sz="6" w:space="0" w:color="auto"/>
            </w:tcBorders>
            <w:vAlign w:val="center"/>
          </w:tcPr>
          <w:p w14:paraId="75F52329" w14:textId="77777777" w:rsidR="001F5A79" w:rsidRPr="009C5807" w:rsidRDefault="001F5A79" w:rsidP="00F70A70">
            <w:pPr>
              <w:pStyle w:val="TAH"/>
              <w:rPr>
                <w:lang w:eastAsia="ja-JP"/>
              </w:rPr>
            </w:pPr>
            <w:r w:rsidRPr="009C5807">
              <w:rPr>
                <w:lang w:eastAsia="ja-JP"/>
              </w:rPr>
              <w:t>NR operating band groups</w:t>
            </w:r>
            <w:r w:rsidRPr="009C5807">
              <w:rPr>
                <w:vertAlign w:val="superscript"/>
                <w:lang w:eastAsia="ja-JP"/>
              </w:rPr>
              <w:t xml:space="preserve"> Note 2</w:t>
            </w:r>
          </w:p>
        </w:tc>
        <w:tc>
          <w:tcPr>
            <w:tcW w:w="2996" w:type="dxa"/>
            <w:gridSpan w:val="2"/>
            <w:tcBorders>
              <w:top w:val="single" w:sz="6" w:space="0" w:color="auto"/>
              <w:left w:val="single" w:sz="6" w:space="0" w:color="auto"/>
              <w:bottom w:val="single" w:sz="6" w:space="0" w:color="auto"/>
              <w:right w:val="single" w:sz="6" w:space="0" w:color="auto"/>
            </w:tcBorders>
            <w:vAlign w:val="center"/>
          </w:tcPr>
          <w:p w14:paraId="5852D1C1" w14:textId="77777777" w:rsidR="001F5A79" w:rsidRPr="009C5807" w:rsidRDefault="001F5A79" w:rsidP="00F70A70">
            <w:pPr>
              <w:pStyle w:val="TAH"/>
              <w:rPr>
                <w:lang w:eastAsia="ja-JP"/>
              </w:rPr>
            </w:pPr>
            <w:r w:rsidRPr="009C5807">
              <w:rPr>
                <w:lang w:eastAsia="ja-JP"/>
              </w:rPr>
              <w:t>Minimum Io</w:t>
            </w:r>
          </w:p>
        </w:tc>
        <w:tc>
          <w:tcPr>
            <w:tcW w:w="1525" w:type="dxa"/>
            <w:tcBorders>
              <w:top w:val="single" w:sz="6" w:space="0" w:color="auto"/>
              <w:left w:val="single" w:sz="6" w:space="0" w:color="auto"/>
              <w:bottom w:val="single" w:sz="6" w:space="0" w:color="auto"/>
              <w:right w:val="single" w:sz="4" w:space="0" w:color="auto"/>
            </w:tcBorders>
            <w:vAlign w:val="center"/>
          </w:tcPr>
          <w:p w14:paraId="7C45CEAC" w14:textId="77777777" w:rsidR="001F5A79" w:rsidRPr="009C5807" w:rsidRDefault="001F5A79" w:rsidP="00F70A70">
            <w:pPr>
              <w:pStyle w:val="TAH"/>
              <w:rPr>
                <w:lang w:eastAsia="ja-JP"/>
              </w:rPr>
            </w:pPr>
            <w:r w:rsidRPr="009C5807">
              <w:rPr>
                <w:lang w:eastAsia="ja-JP"/>
              </w:rPr>
              <w:t>Maximum Io</w:t>
            </w:r>
          </w:p>
        </w:tc>
      </w:tr>
      <w:tr w:rsidR="001F5A79" w:rsidRPr="009C5807" w14:paraId="3CC97B39" w14:textId="77777777" w:rsidTr="00DF3064">
        <w:trPr>
          <w:trHeight w:val="70"/>
          <w:jc w:val="center"/>
        </w:trPr>
        <w:tc>
          <w:tcPr>
            <w:tcW w:w="1156" w:type="dxa"/>
            <w:tcBorders>
              <w:left w:val="single" w:sz="6" w:space="0" w:color="auto"/>
              <w:right w:val="single" w:sz="4" w:space="0" w:color="auto"/>
            </w:tcBorders>
            <w:vAlign w:val="center"/>
          </w:tcPr>
          <w:p w14:paraId="077D3E00" w14:textId="77777777" w:rsidR="001F5A79" w:rsidRPr="009C5807" w:rsidRDefault="001F5A79" w:rsidP="00F70A70">
            <w:pPr>
              <w:pStyle w:val="TAH"/>
              <w:rPr>
                <w:rFonts w:cs="Arial"/>
                <w:lang w:eastAsia="zh-CN"/>
              </w:rPr>
            </w:pPr>
          </w:p>
        </w:tc>
        <w:tc>
          <w:tcPr>
            <w:tcW w:w="4178" w:type="dxa"/>
            <w:tcBorders>
              <w:top w:val="single" w:sz="6" w:space="0" w:color="auto"/>
              <w:left w:val="single" w:sz="4" w:space="0" w:color="auto"/>
              <w:right w:val="single" w:sz="6" w:space="0" w:color="auto"/>
            </w:tcBorders>
            <w:vAlign w:val="center"/>
          </w:tcPr>
          <w:p w14:paraId="6AC04563" w14:textId="77777777" w:rsidR="001F5A79" w:rsidRPr="009C5807" w:rsidRDefault="001F5A79" w:rsidP="00F70A70">
            <w:pPr>
              <w:pStyle w:val="TAH"/>
              <w:rPr>
                <w:rFonts w:cs="Arial"/>
                <w:lang w:eastAsia="ja-JP"/>
              </w:rPr>
            </w:pPr>
          </w:p>
        </w:tc>
        <w:tc>
          <w:tcPr>
            <w:tcW w:w="2996" w:type="dxa"/>
            <w:gridSpan w:val="2"/>
            <w:tcBorders>
              <w:top w:val="single" w:sz="6" w:space="0" w:color="auto"/>
              <w:left w:val="single" w:sz="6" w:space="0" w:color="auto"/>
              <w:bottom w:val="single" w:sz="6" w:space="0" w:color="auto"/>
              <w:right w:val="single" w:sz="6" w:space="0" w:color="auto"/>
            </w:tcBorders>
            <w:vAlign w:val="center"/>
          </w:tcPr>
          <w:p w14:paraId="6D32DA6D" w14:textId="77777777" w:rsidR="001F5A79" w:rsidRPr="009C5807" w:rsidRDefault="001F5A79" w:rsidP="00F70A70">
            <w:pPr>
              <w:pStyle w:val="TAH"/>
              <w:rPr>
                <w:rFonts w:cs="Arial"/>
                <w:lang w:eastAsia="ja-JP"/>
              </w:rPr>
            </w:pPr>
            <w:r w:rsidRPr="009C5807">
              <w:rPr>
                <w:rFonts w:cs="Arial"/>
                <w:lang w:eastAsia="ja-JP"/>
              </w:rPr>
              <w:t>dBm/ SCS</w:t>
            </w:r>
            <w:r w:rsidRPr="009C5807">
              <w:rPr>
                <w:rFonts w:cs="Arial"/>
                <w:vertAlign w:val="subscript"/>
                <w:lang w:eastAsia="ja-JP"/>
              </w:rPr>
              <w:t>SSB</w:t>
            </w:r>
            <w:r w:rsidRPr="009C5807">
              <w:rPr>
                <w:rFonts w:cs="Arial"/>
                <w:vertAlign w:val="superscript"/>
                <w:lang w:eastAsia="zh-CN"/>
              </w:rPr>
              <w:t xml:space="preserve"> </w:t>
            </w:r>
          </w:p>
        </w:tc>
        <w:tc>
          <w:tcPr>
            <w:tcW w:w="1525" w:type="dxa"/>
            <w:tcBorders>
              <w:top w:val="single" w:sz="6" w:space="0" w:color="auto"/>
              <w:left w:val="single" w:sz="6" w:space="0" w:color="auto"/>
              <w:right w:val="single" w:sz="4" w:space="0" w:color="auto"/>
            </w:tcBorders>
            <w:vAlign w:val="center"/>
          </w:tcPr>
          <w:p w14:paraId="52F28447" w14:textId="77777777" w:rsidR="001F5A79" w:rsidRPr="009C5807" w:rsidRDefault="001F5A79" w:rsidP="00F70A70">
            <w:pPr>
              <w:pStyle w:val="TAH"/>
              <w:rPr>
                <w:rFonts w:cs="Arial"/>
                <w:lang w:eastAsia="ja-JP"/>
              </w:rPr>
            </w:pPr>
            <w:r w:rsidRPr="009C5807">
              <w:rPr>
                <w:rFonts w:cs="Arial"/>
                <w:lang w:eastAsia="ja-JP"/>
              </w:rPr>
              <w:t>dBm/BW</w:t>
            </w:r>
            <w:r w:rsidRPr="009C5807">
              <w:rPr>
                <w:rFonts w:cs="Arial"/>
                <w:vertAlign w:val="subscript"/>
                <w:lang w:eastAsia="ja-JP"/>
              </w:rPr>
              <w:t>Channel</w:t>
            </w:r>
          </w:p>
        </w:tc>
      </w:tr>
      <w:tr w:rsidR="001F5A79" w:rsidRPr="009C5807" w14:paraId="735CD4D5" w14:textId="77777777" w:rsidTr="00DF3064">
        <w:trPr>
          <w:trHeight w:val="70"/>
          <w:jc w:val="center"/>
        </w:trPr>
        <w:tc>
          <w:tcPr>
            <w:tcW w:w="1156" w:type="dxa"/>
            <w:tcBorders>
              <w:left w:val="single" w:sz="6" w:space="0" w:color="auto"/>
              <w:bottom w:val="single" w:sz="4" w:space="0" w:color="auto"/>
              <w:right w:val="single" w:sz="4" w:space="0" w:color="auto"/>
            </w:tcBorders>
            <w:vAlign w:val="center"/>
          </w:tcPr>
          <w:p w14:paraId="188914F9" w14:textId="77777777" w:rsidR="001F5A79" w:rsidRPr="009C5807" w:rsidRDefault="001F5A79" w:rsidP="00F70A70">
            <w:pPr>
              <w:pStyle w:val="TAH"/>
              <w:rPr>
                <w:rFonts w:cs="Arial"/>
                <w:lang w:eastAsia="zh-CN"/>
              </w:rPr>
            </w:pPr>
          </w:p>
        </w:tc>
        <w:tc>
          <w:tcPr>
            <w:tcW w:w="4178" w:type="dxa"/>
            <w:tcBorders>
              <w:left w:val="single" w:sz="4" w:space="0" w:color="auto"/>
              <w:bottom w:val="single" w:sz="6" w:space="0" w:color="auto"/>
              <w:right w:val="single" w:sz="6" w:space="0" w:color="auto"/>
            </w:tcBorders>
            <w:vAlign w:val="center"/>
          </w:tcPr>
          <w:p w14:paraId="5DF65113" w14:textId="77777777" w:rsidR="001F5A79" w:rsidRPr="009C5807" w:rsidRDefault="001F5A79" w:rsidP="00F70A70">
            <w:pPr>
              <w:pStyle w:val="TAH"/>
              <w:rPr>
                <w:rFonts w:cs="Arial"/>
                <w:lang w:eastAsia="ja-JP"/>
              </w:rPr>
            </w:pPr>
          </w:p>
        </w:tc>
        <w:tc>
          <w:tcPr>
            <w:tcW w:w="1498" w:type="dxa"/>
            <w:tcBorders>
              <w:top w:val="single" w:sz="6" w:space="0" w:color="auto"/>
              <w:left w:val="single" w:sz="6" w:space="0" w:color="auto"/>
              <w:bottom w:val="single" w:sz="6" w:space="0" w:color="auto"/>
              <w:right w:val="single" w:sz="6" w:space="0" w:color="auto"/>
            </w:tcBorders>
            <w:vAlign w:val="center"/>
          </w:tcPr>
          <w:p w14:paraId="4D911DB8" w14:textId="77777777" w:rsidR="001F5A79" w:rsidRPr="009C5807" w:rsidRDefault="001F5A79" w:rsidP="00F70A70">
            <w:pPr>
              <w:pStyle w:val="TAH"/>
              <w:rPr>
                <w:rFonts w:cs="Arial"/>
                <w:lang w:eastAsia="ja-JP"/>
              </w:rPr>
            </w:pPr>
            <w:r w:rsidRPr="009C5807">
              <w:t>SCS</w:t>
            </w:r>
            <w:r w:rsidRPr="009C5807">
              <w:rPr>
                <w:vertAlign w:val="subscript"/>
              </w:rPr>
              <w:t>SSB</w:t>
            </w:r>
            <w:r w:rsidRPr="009C5807">
              <w:rPr>
                <w:rFonts w:cs="Arial"/>
              </w:rPr>
              <w:t xml:space="preserve"> = 15 kHz</w:t>
            </w:r>
          </w:p>
        </w:tc>
        <w:tc>
          <w:tcPr>
            <w:tcW w:w="1498" w:type="dxa"/>
            <w:tcBorders>
              <w:top w:val="single" w:sz="6" w:space="0" w:color="auto"/>
              <w:left w:val="single" w:sz="6" w:space="0" w:color="auto"/>
              <w:bottom w:val="single" w:sz="6" w:space="0" w:color="auto"/>
              <w:right w:val="single" w:sz="6" w:space="0" w:color="auto"/>
            </w:tcBorders>
            <w:vAlign w:val="center"/>
          </w:tcPr>
          <w:p w14:paraId="532DF130" w14:textId="77777777" w:rsidR="001F5A79" w:rsidRPr="009C5807" w:rsidRDefault="001F5A79" w:rsidP="00F70A70">
            <w:pPr>
              <w:pStyle w:val="TAH"/>
              <w:rPr>
                <w:rFonts w:cs="Arial"/>
                <w:lang w:eastAsia="ja-JP"/>
              </w:rPr>
            </w:pPr>
            <w:r w:rsidRPr="009C5807">
              <w:t>SCS</w:t>
            </w:r>
            <w:r w:rsidRPr="009C5807">
              <w:rPr>
                <w:vertAlign w:val="subscript"/>
              </w:rPr>
              <w:t>SSB</w:t>
            </w:r>
            <w:r w:rsidRPr="009C5807">
              <w:rPr>
                <w:rFonts w:cs="Arial"/>
              </w:rPr>
              <w:t xml:space="preserve"> = 30 kHz</w:t>
            </w:r>
          </w:p>
        </w:tc>
        <w:tc>
          <w:tcPr>
            <w:tcW w:w="1525" w:type="dxa"/>
            <w:tcBorders>
              <w:left w:val="single" w:sz="6" w:space="0" w:color="auto"/>
              <w:bottom w:val="single" w:sz="6" w:space="0" w:color="auto"/>
              <w:right w:val="single" w:sz="4" w:space="0" w:color="auto"/>
            </w:tcBorders>
            <w:vAlign w:val="center"/>
          </w:tcPr>
          <w:p w14:paraId="248A9402" w14:textId="77777777" w:rsidR="001F5A79" w:rsidRPr="009C5807" w:rsidRDefault="001F5A79" w:rsidP="00F70A70">
            <w:pPr>
              <w:pStyle w:val="TAH"/>
              <w:rPr>
                <w:rFonts w:cs="Arial"/>
                <w:lang w:eastAsia="ja-JP"/>
              </w:rPr>
            </w:pPr>
          </w:p>
        </w:tc>
      </w:tr>
      <w:tr w:rsidR="001F5A79" w:rsidRPr="009C5807" w14:paraId="46DBE765" w14:textId="77777777" w:rsidTr="00DF3064">
        <w:trPr>
          <w:jc w:val="center"/>
        </w:trPr>
        <w:tc>
          <w:tcPr>
            <w:tcW w:w="1156" w:type="dxa"/>
            <w:tcBorders>
              <w:top w:val="single" w:sz="4" w:space="0" w:color="auto"/>
              <w:left w:val="single" w:sz="6" w:space="0" w:color="auto"/>
              <w:right w:val="single" w:sz="6" w:space="0" w:color="auto"/>
            </w:tcBorders>
            <w:vAlign w:val="center"/>
          </w:tcPr>
          <w:p w14:paraId="4B5DF3DA" w14:textId="77777777" w:rsidR="001F5A79" w:rsidRPr="009C5807" w:rsidRDefault="001F5A79" w:rsidP="0093237A">
            <w:pPr>
              <w:pStyle w:val="TAH"/>
              <w:rPr>
                <w:lang w:eastAsia="ja-JP"/>
              </w:rPr>
            </w:pPr>
            <w:r w:rsidRPr="009C5807">
              <w:rPr>
                <w:lang w:eastAsia="zh-CN"/>
              </w:rPr>
              <w:t>Conditions</w:t>
            </w:r>
          </w:p>
        </w:tc>
        <w:tc>
          <w:tcPr>
            <w:tcW w:w="4178" w:type="dxa"/>
            <w:tcBorders>
              <w:top w:val="single" w:sz="6" w:space="0" w:color="auto"/>
              <w:left w:val="single" w:sz="6" w:space="0" w:color="auto"/>
              <w:bottom w:val="single" w:sz="6" w:space="0" w:color="auto"/>
              <w:right w:val="single" w:sz="6" w:space="0" w:color="auto"/>
            </w:tcBorders>
          </w:tcPr>
          <w:p w14:paraId="6E60D16D" w14:textId="77777777" w:rsidR="001F5A79" w:rsidRPr="009C5807" w:rsidRDefault="001F5A79" w:rsidP="00F70A70">
            <w:pPr>
              <w:pStyle w:val="TAC"/>
              <w:rPr>
                <w:lang w:eastAsia="ja-JP"/>
              </w:rPr>
            </w:pPr>
            <w:r w:rsidRPr="009C5807">
              <w:t>NR_FDD_FR1_A, NR_TDD_FR1_A</w:t>
            </w:r>
          </w:p>
        </w:tc>
        <w:tc>
          <w:tcPr>
            <w:tcW w:w="1498" w:type="dxa"/>
            <w:tcBorders>
              <w:top w:val="single" w:sz="6" w:space="0" w:color="auto"/>
              <w:left w:val="single" w:sz="6" w:space="0" w:color="auto"/>
              <w:bottom w:val="single" w:sz="6" w:space="0" w:color="auto"/>
              <w:right w:val="single" w:sz="6" w:space="0" w:color="auto"/>
            </w:tcBorders>
            <w:vAlign w:val="center"/>
          </w:tcPr>
          <w:p w14:paraId="134F3DA2" w14:textId="77777777" w:rsidR="001F5A79" w:rsidRPr="009C5807" w:rsidRDefault="001F5A79" w:rsidP="00F70A70">
            <w:pPr>
              <w:pStyle w:val="TAC"/>
              <w:rPr>
                <w:lang w:eastAsia="ja-JP"/>
              </w:rPr>
            </w:pPr>
            <w:r w:rsidRPr="009C5807">
              <w:t>-121</w:t>
            </w:r>
          </w:p>
        </w:tc>
        <w:tc>
          <w:tcPr>
            <w:tcW w:w="1498" w:type="dxa"/>
            <w:tcBorders>
              <w:top w:val="single" w:sz="6" w:space="0" w:color="auto"/>
              <w:left w:val="single" w:sz="6" w:space="0" w:color="auto"/>
              <w:bottom w:val="single" w:sz="6" w:space="0" w:color="auto"/>
              <w:right w:val="single" w:sz="6" w:space="0" w:color="auto"/>
            </w:tcBorders>
            <w:vAlign w:val="center"/>
          </w:tcPr>
          <w:p w14:paraId="61FC2D37" w14:textId="77777777" w:rsidR="001F5A79" w:rsidRPr="009C5807" w:rsidRDefault="001F5A79" w:rsidP="00F70A70">
            <w:pPr>
              <w:pStyle w:val="TAC"/>
              <w:rPr>
                <w:lang w:eastAsia="ja-JP"/>
              </w:rPr>
            </w:pPr>
            <w:r w:rsidRPr="009C5807">
              <w:t>-118</w:t>
            </w:r>
          </w:p>
        </w:tc>
        <w:tc>
          <w:tcPr>
            <w:tcW w:w="1525" w:type="dxa"/>
            <w:tcBorders>
              <w:top w:val="single" w:sz="6" w:space="0" w:color="auto"/>
              <w:left w:val="single" w:sz="6" w:space="0" w:color="auto"/>
              <w:bottom w:val="single" w:sz="6" w:space="0" w:color="auto"/>
              <w:right w:val="single" w:sz="4" w:space="0" w:color="auto"/>
            </w:tcBorders>
            <w:vAlign w:val="center"/>
          </w:tcPr>
          <w:p w14:paraId="225F8E1E" w14:textId="77777777" w:rsidR="001F5A79" w:rsidRPr="009C5807" w:rsidRDefault="001F5A79" w:rsidP="00F70A70">
            <w:pPr>
              <w:pStyle w:val="TAC"/>
              <w:rPr>
                <w:lang w:eastAsia="ja-JP"/>
              </w:rPr>
            </w:pPr>
            <w:r w:rsidRPr="009C5807">
              <w:rPr>
                <w:lang w:eastAsia="ja-JP"/>
              </w:rPr>
              <w:t>-50</w:t>
            </w:r>
          </w:p>
        </w:tc>
      </w:tr>
      <w:tr w:rsidR="001F5A79" w:rsidRPr="009C5807" w14:paraId="411913A9" w14:textId="77777777" w:rsidTr="00DF3064">
        <w:trPr>
          <w:jc w:val="center"/>
        </w:trPr>
        <w:tc>
          <w:tcPr>
            <w:tcW w:w="1156" w:type="dxa"/>
            <w:tcBorders>
              <w:left w:val="single" w:sz="6" w:space="0" w:color="auto"/>
              <w:right w:val="single" w:sz="6" w:space="0" w:color="auto"/>
            </w:tcBorders>
          </w:tcPr>
          <w:p w14:paraId="7D48E701"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70D2FEFB" w14:textId="77777777" w:rsidR="001F5A79" w:rsidRPr="009C5807" w:rsidRDefault="001F5A79" w:rsidP="00F70A70">
            <w:pPr>
              <w:pStyle w:val="TAC"/>
              <w:rPr>
                <w:lang w:eastAsia="ja-JP"/>
              </w:rPr>
            </w:pPr>
            <w:r w:rsidRPr="009C5807">
              <w:rPr>
                <w:lang w:val="sv-SE"/>
              </w:rPr>
              <w:t>NR_FDD_FR1_B</w:t>
            </w:r>
          </w:p>
        </w:tc>
        <w:tc>
          <w:tcPr>
            <w:tcW w:w="1498" w:type="dxa"/>
            <w:tcBorders>
              <w:top w:val="single" w:sz="6" w:space="0" w:color="auto"/>
              <w:left w:val="single" w:sz="6" w:space="0" w:color="auto"/>
              <w:bottom w:val="single" w:sz="6" w:space="0" w:color="auto"/>
              <w:right w:val="single" w:sz="6" w:space="0" w:color="auto"/>
            </w:tcBorders>
          </w:tcPr>
          <w:p w14:paraId="698CD97E" w14:textId="77777777" w:rsidR="001F5A79" w:rsidRPr="009C5807" w:rsidRDefault="001F5A79" w:rsidP="00F70A70">
            <w:pPr>
              <w:pStyle w:val="TAC"/>
              <w:rPr>
                <w:lang w:eastAsia="ja-JP"/>
              </w:rPr>
            </w:pPr>
            <w:r w:rsidRPr="009C5807">
              <w:t>-120.5</w:t>
            </w:r>
          </w:p>
        </w:tc>
        <w:tc>
          <w:tcPr>
            <w:tcW w:w="1498" w:type="dxa"/>
            <w:tcBorders>
              <w:top w:val="single" w:sz="6" w:space="0" w:color="auto"/>
              <w:left w:val="single" w:sz="6" w:space="0" w:color="auto"/>
              <w:bottom w:val="single" w:sz="6" w:space="0" w:color="auto"/>
              <w:right w:val="single" w:sz="6" w:space="0" w:color="auto"/>
            </w:tcBorders>
            <w:vAlign w:val="center"/>
          </w:tcPr>
          <w:p w14:paraId="5B80AFC8" w14:textId="77777777" w:rsidR="001F5A79" w:rsidRPr="009C5807" w:rsidRDefault="001F5A79" w:rsidP="00F70A70">
            <w:pPr>
              <w:pStyle w:val="TAC"/>
              <w:rPr>
                <w:lang w:eastAsia="ja-JP"/>
              </w:rPr>
            </w:pPr>
            <w:r w:rsidRPr="009C5807">
              <w:t>-117.5</w:t>
            </w:r>
          </w:p>
        </w:tc>
        <w:tc>
          <w:tcPr>
            <w:tcW w:w="1525" w:type="dxa"/>
            <w:tcBorders>
              <w:top w:val="single" w:sz="6" w:space="0" w:color="auto"/>
              <w:left w:val="single" w:sz="6" w:space="0" w:color="auto"/>
              <w:bottom w:val="single" w:sz="6" w:space="0" w:color="auto"/>
              <w:right w:val="single" w:sz="4" w:space="0" w:color="auto"/>
            </w:tcBorders>
            <w:vAlign w:val="center"/>
          </w:tcPr>
          <w:p w14:paraId="72E472E8" w14:textId="77777777" w:rsidR="001F5A79" w:rsidRPr="009C5807" w:rsidRDefault="001F5A79" w:rsidP="00F70A70">
            <w:pPr>
              <w:pStyle w:val="TAC"/>
              <w:rPr>
                <w:lang w:eastAsia="ja-JP"/>
              </w:rPr>
            </w:pPr>
            <w:r w:rsidRPr="009C5807">
              <w:rPr>
                <w:lang w:eastAsia="ja-JP"/>
              </w:rPr>
              <w:t>-50</w:t>
            </w:r>
          </w:p>
        </w:tc>
      </w:tr>
      <w:tr w:rsidR="001F5A79" w:rsidRPr="009C5807" w14:paraId="0B2147DC" w14:textId="77777777" w:rsidTr="00DF3064">
        <w:trPr>
          <w:jc w:val="center"/>
        </w:trPr>
        <w:tc>
          <w:tcPr>
            <w:tcW w:w="1156" w:type="dxa"/>
            <w:tcBorders>
              <w:left w:val="single" w:sz="6" w:space="0" w:color="auto"/>
              <w:right w:val="single" w:sz="6" w:space="0" w:color="auto"/>
            </w:tcBorders>
          </w:tcPr>
          <w:p w14:paraId="7A140B17"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6DFA633E" w14:textId="77777777" w:rsidR="001F5A79" w:rsidRPr="009C5807" w:rsidRDefault="001F5A79" w:rsidP="00F70A70">
            <w:pPr>
              <w:pStyle w:val="TAC"/>
              <w:rPr>
                <w:lang w:eastAsia="ja-JP"/>
              </w:rPr>
            </w:pPr>
            <w:r w:rsidRPr="009C5807">
              <w:rPr>
                <w:lang w:val="sv-SE"/>
              </w:rPr>
              <w:t>NR_TDD_FR1_C</w:t>
            </w:r>
          </w:p>
        </w:tc>
        <w:tc>
          <w:tcPr>
            <w:tcW w:w="1498" w:type="dxa"/>
            <w:tcBorders>
              <w:top w:val="single" w:sz="6" w:space="0" w:color="auto"/>
              <w:left w:val="single" w:sz="6" w:space="0" w:color="auto"/>
              <w:bottom w:val="single" w:sz="6" w:space="0" w:color="auto"/>
              <w:right w:val="single" w:sz="6" w:space="0" w:color="auto"/>
            </w:tcBorders>
            <w:vAlign w:val="center"/>
          </w:tcPr>
          <w:p w14:paraId="39BE4553" w14:textId="77777777" w:rsidR="001F5A79" w:rsidRPr="009C5807" w:rsidRDefault="001F5A79" w:rsidP="00F70A70">
            <w:pPr>
              <w:pStyle w:val="TAC"/>
              <w:rPr>
                <w:lang w:eastAsia="ja-JP"/>
              </w:rPr>
            </w:pPr>
            <w:r w:rsidRPr="009C5807">
              <w:t>-120</w:t>
            </w:r>
          </w:p>
        </w:tc>
        <w:tc>
          <w:tcPr>
            <w:tcW w:w="1498" w:type="dxa"/>
            <w:tcBorders>
              <w:top w:val="single" w:sz="6" w:space="0" w:color="auto"/>
              <w:left w:val="single" w:sz="6" w:space="0" w:color="auto"/>
              <w:bottom w:val="single" w:sz="6" w:space="0" w:color="auto"/>
              <w:right w:val="single" w:sz="6" w:space="0" w:color="auto"/>
            </w:tcBorders>
            <w:vAlign w:val="center"/>
          </w:tcPr>
          <w:p w14:paraId="5376481C" w14:textId="77777777" w:rsidR="001F5A79" w:rsidRPr="009C5807" w:rsidRDefault="001F5A79" w:rsidP="00F70A70">
            <w:pPr>
              <w:pStyle w:val="TAC"/>
              <w:rPr>
                <w:lang w:eastAsia="ja-JP"/>
              </w:rPr>
            </w:pPr>
            <w:r w:rsidRPr="009C5807">
              <w:t>-117</w:t>
            </w:r>
          </w:p>
        </w:tc>
        <w:tc>
          <w:tcPr>
            <w:tcW w:w="1525" w:type="dxa"/>
            <w:tcBorders>
              <w:top w:val="single" w:sz="6" w:space="0" w:color="auto"/>
              <w:left w:val="single" w:sz="6" w:space="0" w:color="auto"/>
              <w:bottom w:val="single" w:sz="6" w:space="0" w:color="auto"/>
              <w:right w:val="single" w:sz="4" w:space="0" w:color="auto"/>
            </w:tcBorders>
            <w:vAlign w:val="center"/>
          </w:tcPr>
          <w:p w14:paraId="7BB93488" w14:textId="77777777" w:rsidR="001F5A79" w:rsidRPr="009C5807" w:rsidRDefault="001F5A79" w:rsidP="00F70A70">
            <w:pPr>
              <w:pStyle w:val="TAC"/>
              <w:rPr>
                <w:lang w:eastAsia="ja-JP"/>
              </w:rPr>
            </w:pPr>
            <w:r w:rsidRPr="009C5807">
              <w:rPr>
                <w:lang w:eastAsia="ja-JP"/>
              </w:rPr>
              <w:t>-50</w:t>
            </w:r>
          </w:p>
        </w:tc>
      </w:tr>
      <w:tr w:rsidR="001F5A79" w:rsidRPr="009C5807" w14:paraId="79825C04" w14:textId="77777777" w:rsidTr="00DF3064">
        <w:trPr>
          <w:jc w:val="center"/>
        </w:trPr>
        <w:tc>
          <w:tcPr>
            <w:tcW w:w="1156" w:type="dxa"/>
            <w:tcBorders>
              <w:left w:val="single" w:sz="6" w:space="0" w:color="auto"/>
              <w:right w:val="single" w:sz="6" w:space="0" w:color="auto"/>
            </w:tcBorders>
            <w:vAlign w:val="center"/>
          </w:tcPr>
          <w:p w14:paraId="16CE7F8B"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0AFFA8F4" w14:textId="77777777" w:rsidR="001F5A79" w:rsidRPr="009C5807" w:rsidRDefault="001F5A79" w:rsidP="00F70A70">
            <w:pPr>
              <w:pStyle w:val="TAC"/>
              <w:rPr>
                <w:lang w:val="sv-FI" w:eastAsia="ja-JP"/>
              </w:rPr>
            </w:pPr>
            <w:r w:rsidRPr="009C5807">
              <w:rPr>
                <w:lang w:val="sv-SE"/>
              </w:rPr>
              <w:t>NR_FDD_FR1_D, NR_TDD_FR1_D</w:t>
            </w:r>
          </w:p>
        </w:tc>
        <w:tc>
          <w:tcPr>
            <w:tcW w:w="1498" w:type="dxa"/>
            <w:tcBorders>
              <w:top w:val="single" w:sz="6" w:space="0" w:color="auto"/>
              <w:left w:val="single" w:sz="6" w:space="0" w:color="auto"/>
              <w:bottom w:val="single" w:sz="6" w:space="0" w:color="auto"/>
              <w:right w:val="single" w:sz="6" w:space="0" w:color="auto"/>
            </w:tcBorders>
            <w:vAlign w:val="center"/>
          </w:tcPr>
          <w:p w14:paraId="0D0147A0" w14:textId="77777777" w:rsidR="001F5A79" w:rsidRPr="009C5807" w:rsidRDefault="001F5A79" w:rsidP="00F70A70">
            <w:pPr>
              <w:pStyle w:val="TAC"/>
              <w:rPr>
                <w:lang w:eastAsia="ja-JP"/>
              </w:rPr>
            </w:pPr>
            <w:r w:rsidRPr="009C5807">
              <w:t>-119.5</w:t>
            </w:r>
          </w:p>
        </w:tc>
        <w:tc>
          <w:tcPr>
            <w:tcW w:w="1498" w:type="dxa"/>
            <w:tcBorders>
              <w:top w:val="single" w:sz="6" w:space="0" w:color="auto"/>
              <w:left w:val="single" w:sz="6" w:space="0" w:color="auto"/>
              <w:bottom w:val="single" w:sz="6" w:space="0" w:color="auto"/>
              <w:right w:val="single" w:sz="6" w:space="0" w:color="auto"/>
            </w:tcBorders>
            <w:vAlign w:val="center"/>
          </w:tcPr>
          <w:p w14:paraId="05257455" w14:textId="77777777" w:rsidR="001F5A79" w:rsidRPr="009C5807" w:rsidRDefault="001F5A79" w:rsidP="00F70A70">
            <w:pPr>
              <w:pStyle w:val="TAC"/>
              <w:rPr>
                <w:lang w:eastAsia="ja-JP"/>
              </w:rPr>
            </w:pPr>
            <w:r w:rsidRPr="009C5807">
              <w:t>-116.5</w:t>
            </w:r>
          </w:p>
        </w:tc>
        <w:tc>
          <w:tcPr>
            <w:tcW w:w="1525" w:type="dxa"/>
            <w:tcBorders>
              <w:top w:val="single" w:sz="6" w:space="0" w:color="auto"/>
              <w:left w:val="single" w:sz="6" w:space="0" w:color="auto"/>
              <w:bottom w:val="single" w:sz="6" w:space="0" w:color="auto"/>
              <w:right w:val="single" w:sz="4" w:space="0" w:color="auto"/>
            </w:tcBorders>
            <w:vAlign w:val="center"/>
          </w:tcPr>
          <w:p w14:paraId="08ECA4FE" w14:textId="77777777" w:rsidR="001F5A79" w:rsidRPr="009C5807" w:rsidRDefault="001F5A79" w:rsidP="00F70A70">
            <w:pPr>
              <w:pStyle w:val="TAC"/>
              <w:rPr>
                <w:lang w:eastAsia="ja-JP"/>
              </w:rPr>
            </w:pPr>
            <w:r w:rsidRPr="009C5807">
              <w:rPr>
                <w:lang w:eastAsia="ja-JP"/>
              </w:rPr>
              <w:t>-50</w:t>
            </w:r>
          </w:p>
        </w:tc>
      </w:tr>
      <w:tr w:rsidR="001F5A79" w:rsidRPr="009C5807" w14:paraId="75D93A2A" w14:textId="77777777" w:rsidTr="00DF3064">
        <w:trPr>
          <w:jc w:val="center"/>
        </w:trPr>
        <w:tc>
          <w:tcPr>
            <w:tcW w:w="1156" w:type="dxa"/>
            <w:tcBorders>
              <w:left w:val="single" w:sz="6" w:space="0" w:color="auto"/>
              <w:right w:val="single" w:sz="6" w:space="0" w:color="auto"/>
            </w:tcBorders>
          </w:tcPr>
          <w:p w14:paraId="19110B0E"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3DE1C678" w14:textId="77777777" w:rsidR="001F5A79" w:rsidRPr="009C5807" w:rsidRDefault="001F5A79" w:rsidP="00F70A70">
            <w:pPr>
              <w:pStyle w:val="TAC"/>
              <w:rPr>
                <w:lang w:val="sv-FI" w:eastAsia="ja-JP"/>
              </w:rPr>
            </w:pPr>
            <w:r w:rsidRPr="009C5807">
              <w:rPr>
                <w:lang w:val="sv-SE"/>
              </w:rPr>
              <w:t>NR_FDD_FR1_E, NR_TDD_FR1_E</w:t>
            </w:r>
          </w:p>
        </w:tc>
        <w:tc>
          <w:tcPr>
            <w:tcW w:w="1498" w:type="dxa"/>
            <w:tcBorders>
              <w:top w:val="single" w:sz="6" w:space="0" w:color="auto"/>
              <w:left w:val="single" w:sz="6" w:space="0" w:color="auto"/>
              <w:bottom w:val="single" w:sz="6" w:space="0" w:color="auto"/>
              <w:right w:val="single" w:sz="6" w:space="0" w:color="auto"/>
            </w:tcBorders>
            <w:vAlign w:val="center"/>
          </w:tcPr>
          <w:p w14:paraId="1987ADC8" w14:textId="77777777" w:rsidR="001F5A79" w:rsidRPr="009C5807" w:rsidRDefault="001F5A79" w:rsidP="00F70A70">
            <w:pPr>
              <w:pStyle w:val="TAC"/>
              <w:rPr>
                <w:lang w:eastAsia="ja-JP"/>
              </w:rPr>
            </w:pPr>
            <w:r w:rsidRPr="009C5807">
              <w:t>-119</w:t>
            </w:r>
          </w:p>
        </w:tc>
        <w:tc>
          <w:tcPr>
            <w:tcW w:w="1498" w:type="dxa"/>
            <w:tcBorders>
              <w:top w:val="single" w:sz="6" w:space="0" w:color="auto"/>
              <w:left w:val="single" w:sz="6" w:space="0" w:color="auto"/>
              <w:bottom w:val="single" w:sz="6" w:space="0" w:color="auto"/>
              <w:right w:val="single" w:sz="6" w:space="0" w:color="auto"/>
            </w:tcBorders>
            <w:vAlign w:val="center"/>
          </w:tcPr>
          <w:p w14:paraId="05229060" w14:textId="77777777" w:rsidR="001F5A79" w:rsidRPr="009C5807" w:rsidRDefault="001F5A79" w:rsidP="00F70A70">
            <w:pPr>
              <w:pStyle w:val="TAC"/>
              <w:rPr>
                <w:lang w:eastAsia="ja-JP"/>
              </w:rPr>
            </w:pPr>
            <w:r w:rsidRPr="009C5807">
              <w:t>-116</w:t>
            </w:r>
          </w:p>
        </w:tc>
        <w:tc>
          <w:tcPr>
            <w:tcW w:w="1525" w:type="dxa"/>
            <w:tcBorders>
              <w:top w:val="single" w:sz="6" w:space="0" w:color="auto"/>
              <w:left w:val="single" w:sz="6" w:space="0" w:color="auto"/>
              <w:bottom w:val="single" w:sz="6" w:space="0" w:color="auto"/>
              <w:right w:val="single" w:sz="4" w:space="0" w:color="auto"/>
            </w:tcBorders>
            <w:vAlign w:val="center"/>
          </w:tcPr>
          <w:p w14:paraId="1A0967A1" w14:textId="77777777" w:rsidR="001F5A79" w:rsidRPr="009C5807" w:rsidRDefault="001F5A79" w:rsidP="00F70A70">
            <w:pPr>
              <w:pStyle w:val="TAC"/>
              <w:rPr>
                <w:lang w:eastAsia="ja-JP"/>
              </w:rPr>
            </w:pPr>
            <w:r w:rsidRPr="009C5807">
              <w:rPr>
                <w:lang w:eastAsia="ja-JP"/>
              </w:rPr>
              <w:t>-50</w:t>
            </w:r>
          </w:p>
        </w:tc>
      </w:tr>
      <w:tr w:rsidR="00CB340B" w:rsidRPr="009C5807" w14:paraId="66477AEF" w14:textId="77777777" w:rsidTr="00DF3064">
        <w:trPr>
          <w:jc w:val="center"/>
        </w:trPr>
        <w:tc>
          <w:tcPr>
            <w:tcW w:w="1156" w:type="dxa"/>
            <w:tcBorders>
              <w:left w:val="single" w:sz="6" w:space="0" w:color="auto"/>
              <w:right w:val="single" w:sz="6" w:space="0" w:color="auto"/>
            </w:tcBorders>
          </w:tcPr>
          <w:p w14:paraId="4BC5CD80" w14:textId="77777777" w:rsidR="00CB340B" w:rsidRPr="009C5807" w:rsidRDefault="00CB340B" w:rsidP="00CB340B">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7E69902C" w14:textId="5D471086" w:rsidR="00CB340B" w:rsidRPr="009C5807" w:rsidRDefault="00CB340B" w:rsidP="00F70A70">
            <w:pPr>
              <w:pStyle w:val="TAC"/>
              <w:rPr>
                <w:lang w:val="sv-SE"/>
              </w:rPr>
            </w:pPr>
            <w:r w:rsidRPr="009C5807">
              <w:rPr>
                <w:lang w:val="sv-SE"/>
              </w:rPr>
              <w:t>NR_FDD_FR1_F</w:t>
            </w:r>
          </w:p>
        </w:tc>
        <w:tc>
          <w:tcPr>
            <w:tcW w:w="1498" w:type="dxa"/>
            <w:tcBorders>
              <w:top w:val="single" w:sz="6" w:space="0" w:color="auto"/>
              <w:left w:val="single" w:sz="6" w:space="0" w:color="auto"/>
              <w:bottom w:val="single" w:sz="6" w:space="0" w:color="auto"/>
              <w:right w:val="single" w:sz="6" w:space="0" w:color="auto"/>
            </w:tcBorders>
            <w:vAlign w:val="center"/>
          </w:tcPr>
          <w:p w14:paraId="32CCDEAC" w14:textId="0A51BBD3" w:rsidR="00CB340B" w:rsidRPr="009C5807" w:rsidRDefault="00CB340B" w:rsidP="00F70A70">
            <w:pPr>
              <w:pStyle w:val="TAC"/>
            </w:pPr>
            <w:r w:rsidRPr="009C5807">
              <w:t>-118.5</w:t>
            </w:r>
          </w:p>
        </w:tc>
        <w:tc>
          <w:tcPr>
            <w:tcW w:w="1498" w:type="dxa"/>
            <w:tcBorders>
              <w:top w:val="single" w:sz="6" w:space="0" w:color="auto"/>
              <w:left w:val="single" w:sz="6" w:space="0" w:color="auto"/>
              <w:bottom w:val="single" w:sz="6" w:space="0" w:color="auto"/>
              <w:right w:val="single" w:sz="6" w:space="0" w:color="auto"/>
            </w:tcBorders>
            <w:vAlign w:val="center"/>
          </w:tcPr>
          <w:p w14:paraId="78873B88" w14:textId="7C9F4AA4" w:rsidR="00CB340B" w:rsidRPr="009C5807" w:rsidRDefault="00CB340B" w:rsidP="00F70A70">
            <w:pPr>
              <w:pStyle w:val="TAC"/>
            </w:pPr>
            <w:r w:rsidRPr="009C5807">
              <w:t>-115.5</w:t>
            </w:r>
          </w:p>
        </w:tc>
        <w:tc>
          <w:tcPr>
            <w:tcW w:w="1525" w:type="dxa"/>
            <w:tcBorders>
              <w:top w:val="single" w:sz="6" w:space="0" w:color="auto"/>
              <w:left w:val="single" w:sz="6" w:space="0" w:color="auto"/>
              <w:bottom w:val="single" w:sz="6" w:space="0" w:color="auto"/>
              <w:right w:val="single" w:sz="4" w:space="0" w:color="auto"/>
            </w:tcBorders>
            <w:vAlign w:val="center"/>
          </w:tcPr>
          <w:p w14:paraId="7703C272" w14:textId="05FF703D" w:rsidR="00CB340B" w:rsidRPr="009C5807" w:rsidRDefault="00CB340B" w:rsidP="00F70A70">
            <w:pPr>
              <w:pStyle w:val="TAC"/>
              <w:rPr>
                <w:lang w:eastAsia="ja-JP"/>
              </w:rPr>
            </w:pPr>
            <w:r w:rsidRPr="009C5807">
              <w:rPr>
                <w:lang w:eastAsia="ja-JP"/>
              </w:rPr>
              <w:t>-50</w:t>
            </w:r>
          </w:p>
        </w:tc>
      </w:tr>
      <w:tr w:rsidR="001F5A79" w:rsidRPr="009C5807" w14:paraId="60246E14" w14:textId="77777777" w:rsidTr="00DF3064">
        <w:trPr>
          <w:jc w:val="center"/>
        </w:trPr>
        <w:tc>
          <w:tcPr>
            <w:tcW w:w="1156" w:type="dxa"/>
            <w:tcBorders>
              <w:left w:val="single" w:sz="6" w:space="0" w:color="auto"/>
              <w:right w:val="single" w:sz="6" w:space="0" w:color="auto"/>
            </w:tcBorders>
          </w:tcPr>
          <w:p w14:paraId="299963AE"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7C91DEF4" w14:textId="77777777" w:rsidR="001F5A79" w:rsidRPr="009C5807" w:rsidRDefault="001F5A79" w:rsidP="00F70A70">
            <w:pPr>
              <w:pStyle w:val="TAC"/>
              <w:rPr>
                <w:lang w:eastAsia="ja-JP"/>
              </w:rPr>
            </w:pPr>
            <w:r w:rsidRPr="009C5807">
              <w:rPr>
                <w:lang w:val="sv-SE"/>
              </w:rPr>
              <w:t>NR_FDD_FR1_G</w:t>
            </w:r>
          </w:p>
        </w:tc>
        <w:tc>
          <w:tcPr>
            <w:tcW w:w="1498" w:type="dxa"/>
            <w:tcBorders>
              <w:top w:val="single" w:sz="6" w:space="0" w:color="auto"/>
              <w:left w:val="single" w:sz="6" w:space="0" w:color="auto"/>
              <w:bottom w:val="single" w:sz="6" w:space="0" w:color="auto"/>
              <w:right w:val="single" w:sz="6" w:space="0" w:color="auto"/>
            </w:tcBorders>
            <w:vAlign w:val="center"/>
          </w:tcPr>
          <w:p w14:paraId="03232131" w14:textId="77777777" w:rsidR="001F5A79" w:rsidRPr="009C5807" w:rsidRDefault="001F5A79" w:rsidP="00F70A70">
            <w:pPr>
              <w:pStyle w:val="TAC"/>
              <w:rPr>
                <w:lang w:eastAsia="ja-JP"/>
              </w:rPr>
            </w:pPr>
            <w:r w:rsidRPr="009C5807">
              <w:t>-118</w:t>
            </w:r>
          </w:p>
        </w:tc>
        <w:tc>
          <w:tcPr>
            <w:tcW w:w="1498" w:type="dxa"/>
            <w:tcBorders>
              <w:top w:val="single" w:sz="6" w:space="0" w:color="auto"/>
              <w:left w:val="single" w:sz="6" w:space="0" w:color="auto"/>
              <w:bottom w:val="single" w:sz="6" w:space="0" w:color="auto"/>
              <w:right w:val="single" w:sz="6" w:space="0" w:color="auto"/>
            </w:tcBorders>
            <w:vAlign w:val="center"/>
          </w:tcPr>
          <w:p w14:paraId="75BD13AA" w14:textId="77777777" w:rsidR="001F5A79" w:rsidRPr="009C5807" w:rsidRDefault="001F5A79" w:rsidP="00F70A70">
            <w:pPr>
              <w:pStyle w:val="TAC"/>
              <w:rPr>
                <w:lang w:eastAsia="ja-JP"/>
              </w:rPr>
            </w:pPr>
            <w:r w:rsidRPr="009C5807">
              <w:t>-115</w:t>
            </w:r>
          </w:p>
        </w:tc>
        <w:tc>
          <w:tcPr>
            <w:tcW w:w="1525" w:type="dxa"/>
            <w:tcBorders>
              <w:top w:val="single" w:sz="6" w:space="0" w:color="auto"/>
              <w:left w:val="single" w:sz="6" w:space="0" w:color="auto"/>
              <w:bottom w:val="single" w:sz="6" w:space="0" w:color="auto"/>
              <w:right w:val="single" w:sz="4" w:space="0" w:color="auto"/>
            </w:tcBorders>
            <w:vAlign w:val="center"/>
          </w:tcPr>
          <w:p w14:paraId="71A849CF" w14:textId="77777777" w:rsidR="001F5A79" w:rsidRPr="009C5807" w:rsidRDefault="001F5A79" w:rsidP="00F70A70">
            <w:pPr>
              <w:pStyle w:val="TAC"/>
              <w:rPr>
                <w:lang w:eastAsia="ja-JP"/>
              </w:rPr>
            </w:pPr>
            <w:r w:rsidRPr="009C5807">
              <w:rPr>
                <w:lang w:eastAsia="ja-JP"/>
              </w:rPr>
              <w:t>-50</w:t>
            </w:r>
          </w:p>
        </w:tc>
      </w:tr>
      <w:tr w:rsidR="001F5A79" w:rsidRPr="009C5807" w14:paraId="471DC4D3" w14:textId="77777777" w:rsidTr="00DF3064">
        <w:trPr>
          <w:jc w:val="center"/>
        </w:trPr>
        <w:tc>
          <w:tcPr>
            <w:tcW w:w="1156" w:type="dxa"/>
            <w:tcBorders>
              <w:left w:val="single" w:sz="6" w:space="0" w:color="auto"/>
              <w:right w:val="single" w:sz="6" w:space="0" w:color="auto"/>
            </w:tcBorders>
          </w:tcPr>
          <w:p w14:paraId="709FD40C"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3E96C7F2" w14:textId="77777777" w:rsidR="001F5A79" w:rsidRPr="009C5807" w:rsidRDefault="001F5A79" w:rsidP="00F70A70">
            <w:pPr>
              <w:pStyle w:val="TAC"/>
              <w:rPr>
                <w:lang w:eastAsia="ja-JP"/>
              </w:rPr>
            </w:pPr>
            <w:r w:rsidRPr="009C5807">
              <w:rPr>
                <w:lang w:val="sv-SE"/>
              </w:rPr>
              <w:t>NR_FDD_FR1_H</w:t>
            </w:r>
          </w:p>
        </w:tc>
        <w:tc>
          <w:tcPr>
            <w:tcW w:w="1498" w:type="dxa"/>
            <w:tcBorders>
              <w:top w:val="single" w:sz="6" w:space="0" w:color="auto"/>
              <w:left w:val="single" w:sz="6" w:space="0" w:color="auto"/>
              <w:bottom w:val="single" w:sz="6" w:space="0" w:color="auto"/>
              <w:right w:val="single" w:sz="6" w:space="0" w:color="auto"/>
            </w:tcBorders>
            <w:vAlign w:val="center"/>
          </w:tcPr>
          <w:p w14:paraId="398164DC" w14:textId="77777777" w:rsidR="001F5A79" w:rsidRPr="009C5807" w:rsidRDefault="001F5A79" w:rsidP="00F70A70">
            <w:pPr>
              <w:pStyle w:val="TAC"/>
              <w:rPr>
                <w:lang w:eastAsia="ja-JP"/>
              </w:rPr>
            </w:pPr>
            <w:r w:rsidRPr="009C5807">
              <w:t>-117.5</w:t>
            </w:r>
          </w:p>
        </w:tc>
        <w:tc>
          <w:tcPr>
            <w:tcW w:w="1498" w:type="dxa"/>
            <w:tcBorders>
              <w:top w:val="single" w:sz="6" w:space="0" w:color="auto"/>
              <w:left w:val="single" w:sz="6" w:space="0" w:color="auto"/>
              <w:bottom w:val="single" w:sz="6" w:space="0" w:color="auto"/>
              <w:right w:val="single" w:sz="6" w:space="0" w:color="auto"/>
            </w:tcBorders>
            <w:vAlign w:val="center"/>
          </w:tcPr>
          <w:p w14:paraId="34070C83" w14:textId="77777777" w:rsidR="001F5A79" w:rsidRPr="009C5807" w:rsidRDefault="001F5A79" w:rsidP="00F70A70">
            <w:pPr>
              <w:pStyle w:val="TAC"/>
              <w:rPr>
                <w:lang w:eastAsia="ja-JP"/>
              </w:rPr>
            </w:pPr>
            <w:r w:rsidRPr="009C5807">
              <w:t>-114.5</w:t>
            </w:r>
          </w:p>
        </w:tc>
        <w:tc>
          <w:tcPr>
            <w:tcW w:w="1525" w:type="dxa"/>
            <w:tcBorders>
              <w:top w:val="single" w:sz="6" w:space="0" w:color="auto"/>
              <w:left w:val="single" w:sz="6" w:space="0" w:color="auto"/>
              <w:bottom w:val="single" w:sz="6" w:space="0" w:color="auto"/>
              <w:right w:val="single" w:sz="4" w:space="0" w:color="auto"/>
            </w:tcBorders>
            <w:vAlign w:val="center"/>
          </w:tcPr>
          <w:p w14:paraId="0D77C719" w14:textId="77777777" w:rsidR="001F5A79" w:rsidRPr="009C5807" w:rsidRDefault="001F5A79" w:rsidP="00F70A70">
            <w:pPr>
              <w:pStyle w:val="TAC"/>
              <w:rPr>
                <w:lang w:eastAsia="ja-JP"/>
              </w:rPr>
            </w:pPr>
            <w:r w:rsidRPr="009C5807">
              <w:rPr>
                <w:lang w:eastAsia="ja-JP"/>
              </w:rPr>
              <w:t>-50</w:t>
            </w:r>
          </w:p>
        </w:tc>
      </w:tr>
      <w:tr w:rsidR="001F5A79" w:rsidRPr="009C5807" w14:paraId="26A10B10" w14:textId="77777777" w:rsidTr="00DF3064">
        <w:trPr>
          <w:jc w:val="center"/>
        </w:trPr>
        <w:tc>
          <w:tcPr>
            <w:tcW w:w="9855" w:type="dxa"/>
            <w:gridSpan w:val="5"/>
            <w:tcBorders>
              <w:top w:val="single" w:sz="6" w:space="0" w:color="auto"/>
              <w:left w:val="single" w:sz="6" w:space="0" w:color="auto"/>
              <w:bottom w:val="single" w:sz="6" w:space="0" w:color="auto"/>
              <w:right w:val="single" w:sz="4" w:space="0" w:color="auto"/>
            </w:tcBorders>
          </w:tcPr>
          <w:p w14:paraId="5C14BC13" w14:textId="77777777" w:rsidR="001F5A79" w:rsidRPr="009C5807" w:rsidRDefault="001F5A79" w:rsidP="0093237A">
            <w:pPr>
              <w:pStyle w:val="TAN"/>
              <w:rPr>
                <w:rFonts w:cs="Arial"/>
                <w:lang w:eastAsia="ja-JP"/>
              </w:rPr>
            </w:pPr>
            <w:r w:rsidRPr="009C5807">
              <w:rPr>
                <w:rFonts w:cs="Arial"/>
                <w:lang w:eastAsia="ja-JP"/>
              </w:rPr>
              <w:t>N</w:t>
            </w:r>
            <w:r w:rsidRPr="009C5807">
              <w:rPr>
                <w:rFonts w:cs="Arial"/>
                <w:lang w:eastAsia="zh-CN"/>
              </w:rPr>
              <w:t>OTE</w:t>
            </w:r>
            <w:r w:rsidRPr="009C5807">
              <w:rPr>
                <w:rFonts w:cs="Arial"/>
                <w:lang w:eastAsia="ja-JP"/>
              </w:rPr>
              <w:t xml:space="preserve"> 1:</w:t>
            </w:r>
            <w:r w:rsidRPr="009C5807">
              <w:rPr>
                <w:rFonts w:cs="Arial"/>
                <w:lang w:eastAsia="ja-JP"/>
              </w:rPr>
              <w:tab/>
            </w:r>
            <w:r w:rsidRPr="009C5807">
              <w:t>Io is assumed to have constant EPRE across the bandwidth</w:t>
            </w:r>
            <w:r w:rsidRPr="009C5807">
              <w:rPr>
                <w:rFonts w:cs="Arial"/>
                <w:lang w:eastAsia="ja-JP"/>
              </w:rPr>
              <w:t>.</w:t>
            </w:r>
          </w:p>
          <w:p w14:paraId="2280148C" w14:textId="77777777" w:rsidR="001F5A79" w:rsidRPr="009C5807" w:rsidRDefault="001F5A79" w:rsidP="0093237A">
            <w:pPr>
              <w:pStyle w:val="TAN"/>
              <w:rPr>
                <w:rFonts w:cs="Arial"/>
                <w:lang w:eastAsia="ja-JP"/>
              </w:rPr>
            </w:pPr>
            <w:r w:rsidRPr="009C5807">
              <w:rPr>
                <w:rFonts w:cs="Arial"/>
                <w:lang w:eastAsia="ja-JP"/>
              </w:rPr>
              <w:t>NOTE 2:</w:t>
            </w:r>
            <w:r w:rsidRPr="009C5807">
              <w:rPr>
                <w:rFonts w:cs="Arial"/>
                <w:lang w:eastAsia="ja-JP"/>
              </w:rPr>
              <w:tab/>
              <w:t>NR operating band groups are as defined in clause 3.5.2.</w:t>
            </w:r>
          </w:p>
        </w:tc>
      </w:tr>
    </w:tbl>
    <w:p w14:paraId="0B32343D" w14:textId="77777777" w:rsidR="001F5A79" w:rsidRPr="009C5807" w:rsidRDefault="001F5A79" w:rsidP="001F5A79"/>
    <w:p w14:paraId="200AD052" w14:textId="77777777" w:rsidR="001F5A79" w:rsidRPr="009C5807" w:rsidRDefault="001F5A79" w:rsidP="001F5A79">
      <w:r w:rsidRPr="009C5807">
        <w:t>For FR2 PSCell SFN and frame timing measurement:</w:t>
      </w:r>
    </w:p>
    <w:p w14:paraId="59E68A31" w14:textId="77777777" w:rsidR="001F5A79" w:rsidRPr="009C5807" w:rsidRDefault="001F5A79" w:rsidP="0093237A">
      <w:pPr>
        <w:pStyle w:val="B10"/>
        <w:rPr>
          <w:rFonts w:cs="v4.2.0"/>
        </w:rPr>
      </w:pPr>
      <w:r w:rsidRPr="009C5807">
        <w:t>-</w:t>
      </w:r>
      <w:r w:rsidRPr="009C5807">
        <w:tab/>
        <w:t>Conditions defined in clause 7.3 of TS 38.101-2 [19] for reference sensitivity are fulfilled.</w:t>
      </w:r>
    </w:p>
    <w:p w14:paraId="7C5060AD" w14:textId="77777777" w:rsidR="001F5A79" w:rsidRPr="009C5807" w:rsidRDefault="001F5A79" w:rsidP="0093237A">
      <w:pPr>
        <w:pStyle w:val="B10"/>
      </w:pPr>
      <w:r w:rsidRPr="009C5807">
        <w:t>-</w:t>
      </w:r>
      <w:r w:rsidRPr="009C5807">
        <w:tab/>
        <w:t>Io range deifined in Table 10.1.21.2-2.</w:t>
      </w:r>
    </w:p>
    <w:p w14:paraId="3299B5C0" w14:textId="77777777" w:rsidR="001F5A79" w:rsidRPr="009C5807" w:rsidRDefault="001F5A79" w:rsidP="0093237A">
      <w:pPr>
        <w:pStyle w:val="B10"/>
        <w:rPr>
          <w:rFonts w:cs="v4.2.0"/>
        </w:rPr>
      </w:pPr>
      <w:r w:rsidRPr="009C5807">
        <w:t>-</w:t>
      </w:r>
      <w:r w:rsidRPr="009C5807">
        <w:tab/>
        <w:t>The measured signals are in the directions covered by the percentile EIS spherical coverage of the UE, defined in clause 7.3.4 of TS 38.101-2 [19].</w:t>
      </w:r>
    </w:p>
    <w:p w14:paraId="4DDE459D" w14:textId="77777777" w:rsidR="001F5A79" w:rsidRPr="009C5807" w:rsidRDefault="001F5A79" w:rsidP="0093237A">
      <w:pPr>
        <w:pStyle w:val="TH"/>
      </w:pPr>
      <w:r w:rsidRPr="009C5807">
        <w:t>Table 10.1.21.2-2: PSCell Io range conditions in</w:t>
      </w:r>
      <w:r w:rsidRPr="009C5807">
        <w:rPr>
          <w:lang w:eastAsia="zh-CN"/>
        </w:rPr>
        <w:t xml:space="preserve"> FR2</w:t>
      </w:r>
    </w:p>
    <w:tbl>
      <w:tblPr>
        <w:tblW w:w="9833" w:type="dxa"/>
        <w:jc w:val="center"/>
        <w:tblLayout w:type="fixed"/>
        <w:tblLook w:val="0000" w:firstRow="0" w:lastRow="0" w:firstColumn="0" w:lastColumn="0" w:noHBand="0" w:noVBand="0"/>
      </w:tblPr>
      <w:tblGrid>
        <w:gridCol w:w="1156"/>
        <w:gridCol w:w="3245"/>
        <w:gridCol w:w="3246"/>
        <w:gridCol w:w="2186"/>
      </w:tblGrid>
      <w:tr w:rsidR="001F5A79" w:rsidRPr="009C5807" w14:paraId="241F4D8E" w14:textId="77777777" w:rsidTr="00F70A70">
        <w:trPr>
          <w:jc w:val="center"/>
        </w:trPr>
        <w:tc>
          <w:tcPr>
            <w:tcW w:w="1156" w:type="dxa"/>
            <w:tcBorders>
              <w:top w:val="single" w:sz="6" w:space="0" w:color="auto"/>
              <w:left w:val="single" w:sz="6" w:space="0" w:color="auto"/>
              <w:right w:val="single" w:sz="4" w:space="0" w:color="auto"/>
            </w:tcBorders>
            <w:vAlign w:val="center"/>
          </w:tcPr>
          <w:p w14:paraId="63218115" w14:textId="77777777" w:rsidR="001F5A79" w:rsidRPr="009C5807" w:rsidRDefault="001F5A79" w:rsidP="00F70A70">
            <w:pPr>
              <w:pStyle w:val="TAH"/>
              <w:rPr>
                <w:lang w:eastAsia="zh-CN"/>
              </w:rPr>
            </w:pPr>
            <w:r w:rsidRPr="009C5807">
              <w:rPr>
                <w:lang w:eastAsia="zh-CN"/>
              </w:rPr>
              <w:t>Parameter</w:t>
            </w:r>
          </w:p>
        </w:tc>
        <w:tc>
          <w:tcPr>
            <w:tcW w:w="8677" w:type="dxa"/>
            <w:gridSpan w:val="3"/>
            <w:tcBorders>
              <w:top w:val="single" w:sz="6" w:space="0" w:color="auto"/>
              <w:left w:val="single" w:sz="6" w:space="0" w:color="auto"/>
              <w:bottom w:val="single" w:sz="6" w:space="0" w:color="auto"/>
              <w:right w:val="single" w:sz="4" w:space="0" w:color="auto"/>
            </w:tcBorders>
            <w:vAlign w:val="center"/>
          </w:tcPr>
          <w:p w14:paraId="1761F5CC" w14:textId="77777777" w:rsidR="001F5A79" w:rsidRPr="009C5807" w:rsidRDefault="001F5A79" w:rsidP="00F70A70">
            <w:pPr>
              <w:pStyle w:val="TAH"/>
              <w:rPr>
                <w:lang w:eastAsia="ja-JP"/>
              </w:rPr>
            </w:pPr>
            <w:r w:rsidRPr="009C5807">
              <w:rPr>
                <w:lang w:eastAsia="ja-JP"/>
              </w:rPr>
              <w:t>Io</w:t>
            </w:r>
            <w:r w:rsidRPr="009C5807">
              <w:rPr>
                <w:vertAlign w:val="superscript"/>
                <w:lang w:eastAsia="zh-CN"/>
              </w:rPr>
              <w:t xml:space="preserve"> Note 1</w:t>
            </w:r>
            <w:r w:rsidRPr="009C5807">
              <w:rPr>
                <w:lang w:eastAsia="ja-JP"/>
              </w:rPr>
              <w:t xml:space="preserve"> range</w:t>
            </w:r>
          </w:p>
        </w:tc>
      </w:tr>
      <w:tr w:rsidR="001F5A79" w:rsidRPr="009C5807" w14:paraId="4971868D" w14:textId="77777777" w:rsidTr="00F70A70">
        <w:trPr>
          <w:jc w:val="center"/>
        </w:trPr>
        <w:tc>
          <w:tcPr>
            <w:tcW w:w="1156" w:type="dxa"/>
            <w:tcBorders>
              <w:left w:val="single" w:sz="6" w:space="0" w:color="auto"/>
              <w:right w:val="single" w:sz="4" w:space="0" w:color="auto"/>
            </w:tcBorders>
          </w:tcPr>
          <w:p w14:paraId="5FEF0E23" w14:textId="77777777" w:rsidR="001F5A79" w:rsidRPr="009C5807" w:rsidRDefault="001F5A79" w:rsidP="00F70A70">
            <w:pPr>
              <w:pStyle w:val="TAH"/>
              <w:rPr>
                <w:lang w:eastAsia="ja-JP"/>
              </w:rPr>
            </w:pPr>
          </w:p>
        </w:tc>
        <w:tc>
          <w:tcPr>
            <w:tcW w:w="6491" w:type="dxa"/>
            <w:gridSpan w:val="2"/>
            <w:tcBorders>
              <w:top w:val="single" w:sz="6" w:space="0" w:color="auto"/>
              <w:left w:val="single" w:sz="6" w:space="0" w:color="auto"/>
              <w:bottom w:val="single" w:sz="6" w:space="0" w:color="auto"/>
              <w:right w:val="single" w:sz="6" w:space="0" w:color="auto"/>
            </w:tcBorders>
            <w:vAlign w:val="center"/>
          </w:tcPr>
          <w:p w14:paraId="70FE2E7A" w14:textId="77777777" w:rsidR="001F5A79" w:rsidRPr="009C5807" w:rsidRDefault="001F5A79" w:rsidP="00F70A70">
            <w:pPr>
              <w:pStyle w:val="TAH"/>
              <w:rPr>
                <w:lang w:eastAsia="ja-JP"/>
              </w:rPr>
            </w:pPr>
            <w:r w:rsidRPr="009C5807">
              <w:rPr>
                <w:lang w:eastAsia="ja-JP"/>
              </w:rPr>
              <w:t>Minimum Io</w:t>
            </w:r>
            <w:r w:rsidRPr="009C5807">
              <w:rPr>
                <w:vertAlign w:val="superscript"/>
                <w:lang w:eastAsia="zh-CN"/>
              </w:rPr>
              <w:t xml:space="preserve"> Note 2, 3</w:t>
            </w:r>
          </w:p>
        </w:tc>
        <w:tc>
          <w:tcPr>
            <w:tcW w:w="2186" w:type="dxa"/>
            <w:tcBorders>
              <w:top w:val="single" w:sz="6" w:space="0" w:color="auto"/>
              <w:left w:val="single" w:sz="6" w:space="0" w:color="auto"/>
              <w:bottom w:val="single" w:sz="4" w:space="0" w:color="auto"/>
              <w:right w:val="single" w:sz="4" w:space="0" w:color="auto"/>
            </w:tcBorders>
            <w:vAlign w:val="center"/>
          </w:tcPr>
          <w:p w14:paraId="6249EF63" w14:textId="77777777" w:rsidR="001F5A79" w:rsidRPr="009C5807" w:rsidRDefault="001F5A79" w:rsidP="00F70A70">
            <w:pPr>
              <w:pStyle w:val="TAH"/>
              <w:rPr>
                <w:lang w:eastAsia="ja-JP"/>
              </w:rPr>
            </w:pPr>
            <w:r w:rsidRPr="009C5807">
              <w:rPr>
                <w:lang w:eastAsia="ja-JP"/>
              </w:rPr>
              <w:t>Maximum Io</w:t>
            </w:r>
          </w:p>
        </w:tc>
      </w:tr>
      <w:tr w:rsidR="001F5A79" w:rsidRPr="009C5807" w14:paraId="1DCB0B7B" w14:textId="77777777" w:rsidTr="00F70A70">
        <w:trPr>
          <w:trHeight w:val="70"/>
          <w:jc w:val="center"/>
        </w:trPr>
        <w:tc>
          <w:tcPr>
            <w:tcW w:w="1156" w:type="dxa"/>
            <w:tcBorders>
              <w:left w:val="single" w:sz="6" w:space="0" w:color="auto"/>
              <w:right w:val="single" w:sz="4" w:space="0" w:color="auto"/>
            </w:tcBorders>
            <w:vAlign w:val="center"/>
          </w:tcPr>
          <w:p w14:paraId="2343A40B" w14:textId="77777777" w:rsidR="001F5A79" w:rsidRPr="009C5807" w:rsidRDefault="001F5A79" w:rsidP="00F70A70">
            <w:pPr>
              <w:pStyle w:val="TAH"/>
              <w:rPr>
                <w:lang w:eastAsia="zh-CN"/>
              </w:rPr>
            </w:pPr>
          </w:p>
        </w:tc>
        <w:tc>
          <w:tcPr>
            <w:tcW w:w="6491" w:type="dxa"/>
            <w:gridSpan w:val="2"/>
            <w:tcBorders>
              <w:top w:val="single" w:sz="6" w:space="0" w:color="auto"/>
              <w:left w:val="single" w:sz="6" w:space="0" w:color="auto"/>
              <w:bottom w:val="single" w:sz="6" w:space="0" w:color="auto"/>
              <w:right w:val="single" w:sz="6" w:space="0" w:color="auto"/>
            </w:tcBorders>
            <w:vAlign w:val="center"/>
          </w:tcPr>
          <w:p w14:paraId="74F90525" w14:textId="77777777" w:rsidR="001F5A79" w:rsidRPr="009C5807" w:rsidRDefault="001F5A79" w:rsidP="00F70A70">
            <w:pPr>
              <w:pStyle w:val="TAH"/>
              <w:rPr>
                <w:lang w:eastAsia="ja-JP"/>
              </w:rPr>
            </w:pPr>
            <w:r w:rsidRPr="009C5807">
              <w:rPr>
                <w:lang w:eastAsia="ja-JP"/>
              </w:rPr>
              <w:t>dBm/ SCS</w:t>
            </w:r>
            <w:r w:rsidRPr="009C5807">
              <w:rPr>
                <w:vertAlign w:val="subscript"/>
                <w:lang w:eastAsia="ja-JP"/>
              </w:rPr>
              <w:t>SSB</w:t>
            </w:r>
            <w:r w:rsidRPr="009C5807">
              <w:rPr>
                <w:vertAlign w:val="superscript"/>
                <w:lang w:eastAsia="zh-CN"/>
              </w:rPr>
              <w:t xml:space="preserve"> </w:t>
            </w:r>
          </w:p>
        </w:tc>
        <w:tc>
          <w:tcPr>
            <w:tcW w:w="2186" w:type="dxa"/>
            <w:tcBorders>
              <w:top w:val="single" w:sz="4" w:space="0" w:color="auto"/>
              <w:left w:val="single" w:sz="6" w:space="0" w:color="auto"/>
              <w:right w:val="single" w:sz="4" w:space="0" w:color="auto"/>
            </w:tcBorders>
            <w:vAlign w:val="center"/>
          </w:tcPr>
          <w:p w14:paraId="104763C4" w14:textId="77777777" w:rsidR="001F5A79" w:rsidRPr="009C5807" w:rsidRDefault="001F5A79" w:rsidP="00F70A70">
            <w:pPr>
              <w:pStyle w:val="TAH"/>
              <w:rPr>
                <w:lang w:eastAsia="ja-JP"/>
              </w:rPr>
            </w:pPr>
            <w:r w:rsidRPr="009C5807">
              <w:rPr>
                <w:lang w:eastAsia="ja-JP"/>
              </w:rPr>
              <w:t>dBm/BW</w:t>
            </w:r>
            <w:r w:rsidRPr="009C5807">
              <w:rPr>
                <w:vertAlign w:val="subscript"/>
                <w:lang w:eastAsia="ja-JP"/>
              </w:rPr>
              <w:t>Channel</w:t>
            </w:r>
          </w:p>
        </w:tc>
      </w:tr>
      <w:tr w:rsidR="001F5A79" w:rsidRPr="009C5807" w14:paraId="1949F8EC" w14:textId="77777777" w:rsidTr="00F70A70">
        <w:trPr>
          <w:trHeight w:val="70"/>
          <w:jc w:val="center"/>
        </w:trPr>
        <w:tc>
          <w:tcPr>
            <w:tcW w:w="1156" w:type="dxa"/>
            <w:tcBorders>
              <w:left w:val="single" w:sz="6" w:space="0" w:color="auto"/>
              <w:bottom w:val="single" w:sz="4" w:space="0" w:color="auto"/>
              <w:right w:val="single" w:sz="4" w:space="0" w:color="auto"/>
            </w:tcBorders>
            <w:vAlign w:val="center"/>
          </w:tcPr>
          <w:p w14:paraId="118426C8" w14:textId="77777777" w:rsidR="001F5A79" w:rsidRPr="009C5807" w:rsidRDefault="001F5A79" w:rsidP="00F70A70">
            <w:pPr>
              <w:pStyle w:val="TAH"/>
              <w:rPr>
                <w:lang w:eastAsia="zh-CN"/>
              </w:rPr>
            </w:pPr>
          </w:p>
        </w:tc>
        <w:tc>
          <w:tcPr>
            <w:tcW w:w="3245" w:type="dxa"/>
            <w:tcBorders>
              <w:top w:val="single" w:sz="6" w:space="0" w:color="auto"/>
              <w:left w:val="single" w:sz="6" w:space="0" w:color="auto"/>
              <w:bottom w:val="single" w:sz="6" w:space="0" w:color="auto"/>
              <w:right w:val="single" w:sz="6" w:space="0" w:color="auto"/>
            </w:tcBorders>
            <w:vAlign w:val="center"/>
          </w:tcPr>
          <w:p w14:paraId="15D089DF" w14:textId="77777777" w:rsidR="001F5A79" w:rsidRPr="009C5807" w:rsidRDefault="001F5A79" w:rsidP="00F70A70">
            <w:pPr>
              <w:pStyle w:val="TAH"/>
              <w:rPr>
                <w:lang w:eastAsia="ja-JP"/>
              </w:rPr>
            </w:pPr>
            <w:r w:rsidRPr="009C5807">
              <w:t>SCS</w:t>
            </w:r>
            <w:r w:rsidRPr="009C5807">
              <w:rPr>
                <w:vertAlign w:val="subscript"/>
              </w:rPr>
              <w:t>SSB</w:t>
            </w:r>
            <w:r w:rsidRPr="009C5807">
              <w:t xml:space="preserve"> = 15 kHz</w:t>
            </w:r>
          </w:p>
        </w:tc>
        <w:tc>
          <w:tcPr>
            <w:tcW w:w="3246" w:type="dxa"/>
            <w:tcBorders>
              <w:top w:val="single" w:sz="6" w:space="0" w:color="auto"/>
              <w:left w:val="single" w:sz="6" w:space="0" w:color="auto"/>
              <w:bottom w:val="single" w:sz="6" w:space="0" w:color="auto"/>
              <w:right w:val="single" w:sz="6" w:space="0" w:color="auto"/>
            </w:tcBorders>
            <w:vAlign w:val="center"/>
          </w:tcPr>
          <w:p w14:paraId="7C45E0DD" w14:textId="77777777" w:rsidR="001F5A79" w:rsidRPr="009C5807" w:rsidRDefault="001F5A79" w:rsidP="00F70A70">
            <w:pPr>
              <w:pStyle w:val="TAH"/>
              <w:rPr>
                <w:lang w:eastAsia="ja-JP"/>
              </w:rPr>
            </w:pPr>
            <w:r w:rsidRPr="009C5807">
              <w:t>SCS</w:t>
            </w:r>
            <w:r w:rsidRPr="009C5807">
              <w:rPr>
                <w:vertAlign w:val="subscript"/>
              </w:rPr>
              <w:t>SSB</w:t>
            </w:r>
            <w:r w:rsidRPr="009C5807">
              <w:t xml:space="preserve"> = 30 kHz</w:t>
            </w:r>
          </w:p>
        </w:tc>
        <w:tc>
          <w:tcPr>
            <w:tcW w:w="2186" w:type="dxa"/>
            <w:tcBorders>
              <w:left w:val="single" w:sz="6" w:space="0" w:color="auto"/>
              <w:bottom w:val="single" w:sz="6" w:space="0" w:color="auto"/>
              <w:right w:val="single" w:sz="4" w:space="0" w:color="auto"/>
            </w:tcBorders>
            <w:vAlign w:val="center"/>
          </w:tcPr>
          <w:p w14:paraId="1FD0689C" w14:textId="77777777" w:rsidR="001F5A79" w:rsidRPr="009C5807" w:rsidRDefault="001F5A79" w:rsidP="00F70A70">
            <w:pPr>
              <w:pStyle w:val="TAH"/>
              <w:rPr>
                <w:lang w:eastAsia="ja-JP"/>
              </w:rPr>
            </w:pPr>
          </w:p>
        </w:tc>
      </w:tr>
      <w:tr w:rsidR="001F5A79" w:rsidRPr="009C5807" w14:paraId="65A10841" w14:textId="77777777" w:rsidTr="00063CF2">
        <w:trPr>
          <w:trHeight w:val="1011"/>
          <w:jc w:val="center"/>
        </w:trPr>
        <w:tc>
          <w:tcPr>
            <w:tcW w:w="1156" w:type="dxa"/>
            <w:tcBorders>
              <w:top w:val="single" w:sz="4" w:space="0" w:color="auto"/>
              <w:left w:val="single" w:sz="6" w:space="0" w:color="auto"/>
              <w:right w:val="single" w:sz="6" w:space="0" w:color="auto"/>
            </w:tcBorders>
          </w:tcPr>
          <w:p w14:paraId="45DF3DD1" w14:textId="77777777" w:rsidR="001F5A79" w:rsidRPr="009C5807" w:rsidRDefault="001F5A79" w:rsidP="00063CF2">
            <w:pPr>
              <w:pStyle w:val="TAC"/>
              <w:rPr>
                <w:lang w:eastAsia="ja-JP"/>
              </w:rPr>
            </w:pPr>
            <w:r w:rsidRPr="009C5807">
              <w:rPr>
                <w:lang w:eastAsia="zh-CN"/>
              </w:rPr>
              <w:t>Conditions</w:t>
            </w:r>
          </w:p>
        </w:tc>
        <w:tc>
          <w:tcPr>
            <w:tcW w:w="3245" w:type="dxa"/>
            <w:tcBorders>
              <w:top w:val="single" w:sz="6" w:space="0" w:color="auto"/>
              <w:left w:val="single" w:sz="6" w:space="0" w:color="auto"/>
              <w:right w:val="single" w:sz="6" w:space="0" w:color="auto"/>
            </w:tcBorders>
          </w:tcPr>
          <w:p w14:paraId="20534ABA" w14:textId="77777777" w:rsidR="001F5A79" w:rsidRPr="009C5807" w:rsidRDefault="001F5A79" w:rsidP="00063CF2">
            <w:pPr>
              <w:pStyle w:val="TAC"/>
              <w:rPr>
                <w:lang w:eastAsia="ja-JP"/>
              </w:rPr>
            </w:pPr>
            <w:r w:rsidRPr="009C5807">
              <w:t>Same value as SSB_RP in Table B.2.4.1-2, according to UE Power class, operating band and angle of arrival</w:t>
            </w:r>
          </w:p>
        </w:tc>
        <w:tc>
          <w:tcPr>
            <w:tcW w:w="3246" w:type="dxa"/>
            <w:tcBorders>
              <w:top w:val="single" w:sz="6" w:space="0" w:color="auto"/>
              <w:left w:val="single" w:sz="6" w:space="0" w:color="auto"/>
              <w:right w:val="single" w:sz="6" w:space="0" w:color="auto"/>
            </w:tcBorders>
          </w:tcPr>
          <w:p w14:paraId="36668635" w14:textId="77777777" w:rsidR="001F5A79" w:rsidRPr="009C5807" w:rsidRDefault="001F5A79" w:rsidP="00063CF2">
            <w:pPr>
              <w:pStyle w:val="TAC"/>
              <w:rPr>
                <w:lang w:eastAsia="ja-JP"/>
              </w:rPr>
            </w:pPr>
            <w:r w:rsidRPr="009C5807">
              <w:t>Same value as SSB_RP in Table B.2.4.1-2, according to UE Power class, operating band and angle of arrival</w:t>
            </w:r>
          </w:p>
        </w:tc>
        <w:tc>
          <w:tcPr>
            <w:tcW w:w="2186" w:type="dxa"/>
            <w:tcBorders>
              <w:top w:val="single" w:sz="6" w:space="0" w:color="auto"/>
              <w:left w:val="single" w:sz="6" w:space="0" w:color="auto"/>
              <w:right w:val="single" w:sz="4" w:space="0" w:color="auto"/>
            </w:tcBorders>
          </w:tcPr>
          <w:p w14:paraId="1637616B" w14:textId="684F60D5" w:rsidR="001F5A79" w:rsidRPr="009C5807" w:rsidRDefault="00427BC6" w:rsidP="00063CF2">
            <w:pPr>
              <w:pStyle w:val="TAC"/>
              <w:rPr>
                <w:lang w:eastAsia="zh-CN"/>
              </w:rPr>
            </w:pPr>
            <w:r w:rsidRPr="009C5807">
              <w:rPr>
                <w:lang w:eastAsia="zh-CN"/>
              </w:rPr>
              <w:t>-50</w:t>
            </w:r>
          </w:p>
        </w:tc>
      </w:tr>
      <w:tr w:rsidR="001F5A79" w:rsidRPr="009C5807" w14:paraId="33BA19DD" w14:textId="77777777" w:rsidTr="00DF3064">
        <w:trPr>
          <w:jc w:val="center"/>
        </w:trPr>
        <w:tc>
          <w:tcPr>
            <w:tcW w:w="9833" w:type="dxa"/>
            <w:gridSpan w:val="4"/>
            <w:tcBorders>
              <w:top w:val="single" w:sz="6" w:space="0" w:color="auto"/>
              <w:left w:val="single" w:sz="6" w:space="0" w:color="auto"/>
              <w:bottom w:val="single" w:sz="6" w:space="0" w:color="auto"/>
              <w:right w:val="single" w:sz="4" w:space="0" w:color="auto"/>
            </w:tcBorders>
          </w:tcPr>
          <w:p w14:paraId="6DC6A344" w14:textId="77777777" w:rsidR="001F5A79" w:rsidRPr="009C5807" w:rsidRDefault="001F5A79" w:rsidP="00F70A70">
            <w:pPr>
              <w:pStyle w:val="TAN"/>
              <w:rPr>
                <w:rFonts w:cs="Arial"/>
                <w:lang w:eastAsia="ja-JP"/>
              </w:rPr>
            </w:pPr>
            <w:r w:rsidRPr="009C5807">
              <w:rPr>
                <w:rFonts w:cs="Arial"/>
                <w:lang w:eastAsia="ja-JP"/>
              </w:rPr>
              <w:t>N</w:t>
            </w:r>
            <w:r w:rsidRPr="009C5807">
              <w:rPr>
                <w:rFonts w:cs="Arial"/>
                <w:lang w:eastAsia="zh-CN"/>
              </w:rPr>
              <w:t>OTE</w:t>
            </w:r>
            <w:r w:rsidRPr="009C5807">
              <w:rPr>
                <w:rFonts w:cs="Arial"/>
                <w:lang w:eastAsia="ja-JP"/>
              </w:rPr>
              <w:t xml:space="preserve"> 1:</w:t>
            </w:r>
            <w:r w:rsidRPr="009C5807">
              <w:rPr>
                <w:rFonts w:cs="Arial"/>
                <w:lang w:eastAsia="ja-JP"/>
              </w:rPr>
              <w:tab/>
            </w:r>
            <w:r w:rsidRPr="009C5807">
              <w:t xml:space="preserve">Io is assumed to have constant EPRE across the bandwidth and </w:t>
            </w:r>
            <w:r w:rsidRPr="009C5807">
              <w:rPr>
                <w:rFonts w:eastAsia="MS Mincho"/>
              </w:rPr>
              <w:t>specified at the Reference point</w:t>
            </w:r>
            <w:r w:rsidRPr="009C5807">
              <w:rPr>
                <w:rFonts w:cs="Arial"/>
                <w:lang w:eastAsia="ja-JP"/>
              </w:rPr>
              <w:t>.</w:t>
            </w:r>
          </w:p>
          <w:p w14:paraId="787258FE" w14:textId="0136FB15" w:rsidR="001F5A79" w:rsidRPr="009C5807" w:rsidRDefault="001F5A79" w:rsidP="00F70A70">
            <w:pPr>
              <w:pStyle w:val="TAN"/>
            </w:pPr>
            <w:r w:rsidRPr="009C5807">
              <w:rPr>
                <w:rFonts w:cs="Arial"/>
                <w:lang w:eastAsia="ja-JP"/>
              </w:rPr>
              <w:t>NOTE 2:</w:t>
            </w:r>
            <w:r w:rsidR="00A21E2B">
              <w:rPr>
                <w:rFonts w:cs="Arial"/>
                <w:lang w:eastAsia="ja-JP"/>
              </w:rPr>
              <w:tab/>
            </w:r>
            <w:r w:rsidRPr="009C5807">
              <w:t>Values based on Refsens and EIS spherical coverage as defined in clauses 7.3.2 and 7.3.4 of TS 38.101-2 [19]. Applicable side condition selected depending on angle of arrival.</w:t>
            </w:r>
          </w:p>
          <w:p w14:paraId="55CCFAB0" w14:textId="77777777" w:rsidR="001F5A79" w:rsidRPr="009C5807" w:rsidRDefault="001F5A79" w:rsidP="00F70A70">
            <w:pPr>
              <w:pStyle w:val="TAN"/>
              <w:rPr>
                <w:rFonts w:cs="Arial"/>
                <w:lang w:eastAsia="ja-JP"/>
              </w:rPr>
            </w:pPr>
            <w:r w:rsidRPr="009C5807">
              <w:rPr>
                <w:rFonts w:cs="Arial"/>
                <w:lang w:eastAsia="ja-JP"/>
              </w:rPr>
              <w:t>NOTE 3:</w:t>
            </w:r>
            <w:r w:rsidRPr="009C5807">
              <w:rPr>
                <w:rFonts w:cs="Arial"/>
                <w:lang w:eastAsia="ja-JP"/>
              </w:rPr>
              <w:tab/>
              <w:t>In the test cases, the SSB Ês/Iot and related parameters may need to be adjusted to ensure Ês/Iot at UE baseband is above the value defined in this table.</w:t>
            </w:r>
          </w:p>
        </w:tc>
      </w:tr>
    </w:tbl>
    <w:p w14:paraId="057F0AA8" w14:textId="77777777" w:rsidR="001F5A79" w:rsidRPr="009C5807" w:rsidRDefault="001F5A79" w:rsidP="001F5A79"/>
    <w:p w14:paraId="75C87A90" w14:textId="77777777" w:rsidR="001F5A79" w:rsidRPr="009C5807" w:rsidRDefault="001F5A79" w:rsidP="001F5A79">
      <w:pPr>
        <w:keepNext/>
        <w:keepLines/>
        <w:spacing w:before="60"/>
        <w:jc w:val="center"/>
        <w:rPr>
          <w:rFonts w:ascii="Arial" w:hAnsi="Arial"/>
          <w:b/>
        </w:rPr>
      </w:pPr>
      <w:r w:rsidRPr="009C5807">
        <w:rPr>
          <w:rFonts w:ascii="Arial" w:hAnsi="Arial"/>
          <w:b/>
        </w:rPr>
        <w:t xml:space="preserve">Table 10.1.21.2-3: </w:t>
      </w:r>
      <w:r w:rsidRPr="009C5807">
        <w:rPr>
          <w:rFonts w:ascii="Arial" w:hAnsi="Arial"/>
          <w:b/>
          <w:lang w:eastAsia="zh-CN"/>
        </w:rPr>
        <w:t>SFTD</w:t>
      </w:r>
      <w:r w:rsidRPr="009C5807">
        <w:rPr>
          <w:rFonts w:ascii="Arial" w:hAnsi="Arial"/>
          <w:b/>
        </w:rPr>
        <w:t xml:space="preserve"> measurement accuracy</w:t>
      </w:r>
    </w:p>
    <w:tbl>
      <w:tblPr>
        <w:tblW w:w="0" w:type="auto"/>
        <w:jc w:val="center"/>
        <w:tblLayout w:type="fixed"/>
        <w:tblLook w:val="0000" w:firstRow="0" w:lastRow="0" w:firstColumn="0" w:lastColumn="0" w:noHBand="0" w:noVBand="0"/>
      </w:tblPr>
      <w:tblGrid>
        <w:gridCol w:w="2509"/>
        <w:gridCol w:w="1984"/>
        <w:gridCol w:w="2508"/>
      </w:tblGrid>
      <w:tr w:rsidR="001F5A79" w:rsidRPr="009C5807" w14:paraId="149A22A6" w14:textId="77777777" w:rsidTr="00F70A70">
        <w:trPr>
          <w:jc w:val="center"/>
        </w:trPr>
        <w:tc>
          <w:tcPr>
            <w:tcW w:w="2509" w:type="dxa"/>
            <w:tcBorders>
              <w:top w:val="single" w:sz="4" w:space="0" w:color="auto"/>
              <w:left w:val="single" w:sz="4" w:space="0" w:color="auto"/>
              <w:right w:val="single" w:sz="6" w:space="0" w:color="auto"/>
            </w:tcBorders>
            <w:vAlign w:val="center"/>
          </w:tcPr>
          <w:p w14:paraId="2712D49C" w14:textId="77777777" w:rsidR="001F5A79" w:rsidRPr="009C5807" w:rsidRDefault="001F5A79" w:rsidP="00F70A70">
            <w:pPr>
              <w:pStyle w:val="TAH"/>
              <w:rPr>
                <w:lang w:eastAsia="ja-JP"/>
              </w:rPr>
            </w:pPr>
            <w:r w:rsidRPr="009C5807">
              <w:rPr>
                <w:lang w:eastAsia="ja-JP"/>
              </w:rPr>
              <w:t>Accuracy</w:t>
            </w:r>
          </w:p>
        </w:tc>
        <w:tc>
          <w:tcPr>
            <w:tcW w:w="4492" w:type="dxa"/>
            <w:gridSpan w:val="2"/>
            <w:tcBorders>
              <w:top w:val="single" w:sz="4" w:space="0" w:color="auto"/>
              <w:left w:val="single" w:sz="6" w:space="0" w:color="auto"/>
              <w:bottom w:val="single" w:sz="6" w:space="0" w:color="auto"/>
              <w:right w:val="single" w:sz="4" w:space="0" w:color="auto"/>
            </w:tcBorders>
            <w:vAlign w:val="center"/>
          </w:tcPr>
          <w:p w14:paraId="18732689" w14:textId="77777777" w:rsidR="001F5A79" w:rsidRPr="009C5807" w:rsidRDefault="001F5A79" w:rsidP="00F70A70">
            <w:pPr>
              <w:pStyle w:val="TAH"/>
              <w:rPr>
                <w:lang w:eastAsia="ja-JP"/>
              </w:rPr>
            </w:pPr>
            <w:r w:rsidRPr="009C5807">
              <w:rPr>
                <w:lang w:eastAsia="ja-JP"/>
              </w:rPr>
              <w:t>Conditions</w:t>
            </w:r>
          </w:p>
        </w:tc>
      </w:tr>
      <w:tr w:rsidR="001F5A79" w:rsidRPr="009C5807" w14:paraId="622B6638" w14:textId="77777777" w:rsidTr="00F70A70">
        <w:trPr>
          <w:trHeight w:val="391"/>
          <w:jc w:val="center"/>
        </w:trPr>
        <w:tc>
          <w:tcPr>
            <w:tcW w:w="2509" w:type="dxa"/>
            <w:tcBorders>
              <w:left w:val="single" w:sz="4" w:space="0" w:color="auto"/>
              <w:bottom w:val="single" w:sz="6" w:space="0" w:color="auto"/>
              <w:right w:val="single" w:sz="6" w:space="0" w:color="auto"/>
            </w:tcBorders>
            <w:vAlign w:val="center"/>
          </w:tcPr>
          <w:p w14:paraId="782FFBB7" w14:textId="77777777" w:rsidR="001F5A79" w:rsidRPr="009C5807" w:rsidRDefault="001F5A79" w:rsidP="00F70A70">
            <w:pPr>
              <w:pStyle w:val="TAH"/>
              <w:rPr>
                <w:lang w:eastAsia="ja-JP"/>
              </w:rPr>
            </w:pPr>
          </w:p>
        </w:tc>
        <w:tc>
          <w:tcPr>
            <w:tcW w:w="1984" w:type="dxa"/>
            <w:tcBorders>
              <w:top w:val="single" w:sz="6" w:space="0" w:color="auto"/>
              <w:left w:val="single" w:sz="6" w:space="0" w:color="auto"/>
              <w:bottom w:val="single" w:sz="6" w:space="0" w:color="auto"/>
              <w:right w:val="single" w:sz="6" w:space="0" w:color="auto"/>
            </w:tcBorders>
            <w:vAlign w:val="center"/>
          </w:tcPr>
          <w:p w14:paraId="63D88B46" w14:textId="77777777" w:rsidR="001F5A79" w:rsidRPr="009C5807" w:rsidRDefault="001F5A79" w:rsidP="00F70A70">
            <w:pPr>
              <w:pStyle w:val="TAH"/>
              <w:rPr>
                <w:lang w:eastAsia="ja-JP"/>
              </w:rPr>
            </w:pPr>
            <w:r w:rsidRPr="009C5807">
              <w:rPr>
                <w:lang w:eastAsia="ja-JP"/>
              </w:rPr>
              <w:t>Ês/Iot</w:t>
            </w:r>
            <w:r w:rsidRPr="009C5807">
              <w:rPr>
                <w:vertAlign w:val="superscript"/>
                <w:lang w:eastAsia="zh-CN"/>
              </w:rPr>
              <w:t xml:space="preserve"> Note 2</w:t>
            </w:r>
          </w:p>
        </w:tc>
        <w:tc>
          <w:tcPr>
            <w:tcW w:w="2508" w:type="dxa"/>
            <w:tcBorders>
              <w:top w:val="single" w:sz="6" w:space="0" w:color="auto"/>
              <w:left w:val="single" w:sz="6" w:space="0" w:color="auto"/>
              <w:right w:val="single" w:sz="4" w:space="0" w:color="auto"/>
            </w:tcBorders>
            <w:vAlign w:val="center"/>
          </w:tcPr>
          <w:p w14:paraId="0563D693" w14:textId="77777777" w:rsidR="001F5A79" w:rsidRPr="009C5807" w:rsidRDefault="001F5A79" w:rsidP="00F70A70">
            <w:pPr>
              <w:pStyle w:val="TAH"/>
              <w:rPr>
                <w:lang w:eastAsia="ja-JP"/>
              </w:rPr>
            </w:pPr>
            <w:r w:rsidRPr="009C5807">
              <w:rPr>
                <w:lang w:eastAsia="zh-CN"/>
              </w:rPr>
              <w:t xml:space="preserve">Frequency range </w:t>
            </w:r>
          </w:p>
        </w:tc>
      </w:tr>
      <w:tr w:rsidR="001F5A79" w:rsidRPr="009C5807" w14:paraId="75A30A82" w14:textId="77777777" w:rsidTr="00DF3064">
        <w:trPr>
          <w:jc w:val="center"/>
        </w:trPr>
        <w:tc>
          <w:tcPr>
            <w:tcW w:w="2509" w:type="dxa"/>
            <w:tcBorders>
              <w:top w:val="single" w:sz="6" w:space="0" w:color="auto"/>
              <w:left w:val="single" w:sz="4" w:space="0" w:color="auto"/>
              <w:bottom w:val="single" w:sz="4" w:space="0" w:color="auto"/>
              <w:right w:val="single" w:sz="6" w:space="0" w:color="auto"/>
            </w:tcBorders>
            <w:vAlign w:val="center"/>
          </w:tcPr>
          <w:p w14:paraId="35FD619D" w14:textId="77777777" w:rsidR="001F5A79" w:rsidRPr="009C5807" w:rsidRDefault="001F5A79" w:rsidP="00F70A70">
            <w:pPr>
              <w:pStyle w:val="TAC"/>
              <w:rPr>
                <w:lang w:eastAsia="ja-JP"/>
              </w:rPr>
            </w:pPr>
            <w:r w:rsidRPr="009C5807">
              <w:rPr>
                <w:lang w:eastAsia="ja-JP"/>
              </w:rPr>
              <w:t>Ts</w:t>
            </w:r>
            <w:r w:rsidRPr="009C5807">
              <w:rPr>
                <w:vertAlign w:val="superscript"/>
                <w:lang w:eastAsia="zh-CN"/>
              </w:rPr>
              <w:t xml:space="preserve"> Note 1</w:t>
            </w:r>
          </w:p>
        </w:tc>
        <w:tc>
          <w:tcPr>
            <w:tcW w:w="1984" w:type="dxa"/>
            <w:tcBorders>
              <w:top w:val="single" w:sz="6" w:space="0" w:color="auto"/>
              <w:left w:val="single" w:sz="6" w:space="0" w:color="auto"/>
              <w:bottom w:val="single" w:sz="4" w:space="0" w:color="auto"/>
              <w:right w:val="single" w:sz="6" w:space="0" w:color="auto"/>
            </w:tcBorders>
            <w:vAlign w:val="center"/>
          </w:tcPr>
          <w:p w14:paraId="549693C2" w14:textId="77777777" w:rsidR="001F5A79" w:rsidRPr="009C5807" w:rsidRDefault="001F5A79" w:rsidP="00F70A70">
            <w:pPr>
              <w:pStyle w:val="TAC"/>
              <w:rPr>
                <w:lang w:eastAsia="ja-JP"/>
              </w:rPr>
            </w:pPr>
            <w:r w:rsidRPr="009C5807">
              <w:rPr>
                <w:lang w:eastAsia="ja-JP"/>
              </w:rPr>
              <w:t>dB</w:t>
            </w:r>
          </w:p>
        </w:tc>
        <w:tc>
          <w:tcPr>
            <w:tcW w:w="2508" w:type="dxa"/>
            <w:tcBorders>
              <w:top w:val="single" w:sz="6" w:space="0" w:color="auto"/>
              <w:left w:val="single" w:sz="6" w:space="0" w:color="auto"/>
              <w:bottom w:val="single" w:sz="6" w:space="0" w:color="auto"/>
              <w:right w:val="single" w:sz="4" w:space="0" w:color="auto"/>
            </w:tcBorders>
            <w:vAlign w:val="center"/>
          </w:tcPr>
          <w:p w14:paraId="2FAF5D82" w14:textId="77777777" w:rsidR="001F5A79" w:rsidRPr="009C5807" w:rsidRDefault="001F5A79" w:rsidP="00F70A70">
            <w:pPr>
              <w:pStyle w:val="TAC"/>
              <w:rPr>
                <w:lang w:eastAsia="ja-JP"/>
              </w:rPr>
            </w:pPr>
          </w:p>
        </w:tc>
      </w:tr>
      <w:tr w:rsidR="0058457E" w:rsidRPr="009C5807" w14:paraId="5A838829" w14:textId="77777777" w:rsidTr="00DF3064">
        <w:trPr>
          <w:jc w:val="center"/>
        </w:trPr>
        <w:tc>
          <w:tcPr>
            <w:tcW w:w="2509" w:type="dxa"/>
            <w:tcBorders>
              <w:top w:val="single" w:sz="4" w:space="0" w:color="auto"/>
              <w:left w:val="single" w:sz="4" w:space="0" w:color="auto"/>
              <w:bottom w:val="single" w:sz="4" w:space="0" w:color="auto"/>
              <w:right w:val="single" w:sz="4" w:space="0" w:color="auto"/>
            </w:tcBorders>
            <w:vAlign w:val="center"/>
          </w:tcPr>
          <w:p w14:paraId="0AD7059B" w14:textId="06BD916D" w:rsidR="0058457E" w:rsidRPr="009C5807" w:rsidRDefault="0058457E" w:rsidP="00F70A70">
            <w:pPr>
              <w:pStyle w:val="TAC"/>
              <w:rPr>
                <w:snapToGrid w:val="0"/>
              </w:rPr>
            </w:pPr>
            <w:r w:rsidRPr="009C5807">
              <w:rPr>
                <w:snapToGrid w:val="0"/>
              </w:rPr>
              <w:t>40*64*Tc</w:t>
            </w:r>
          </w:p>
        </w:tc>
        <w:tc>
          <w:tcPr>
            <w:tcW w:w="1984" w:type="dxa"/>
            <w:tcBorders>
              <w:top w:val="single" w:sz="4" w:space="0" w:color="auto"/>
              <w:left w:val="single" w:sz="4" w:space="0" w:color="auto"/>
              <w:right w:val="single" w:sz="4" w:space="0" w:color="auto"/>
            </w:tcBorders>
            <w:vAlign w:val="center"/>
          </w:tcPr>
          <w:p w14:paraId="75FEBFD5" w14:textId="0BF6BF23" w:rsidR="0058457E" w:rsidRPr="009C5807" w:rsidRDefault="0058457E" w:rsidP="00F70A70">
            <w:pPr>
              <w:pStyle w:val="TAC"/>
            </w:pPr>
            <w:r w:rsidRPr="009C5807">
              <w:sym w:font="Symbol" w:char="F0B3"/>
            </w:r>
            <w:r w:rsidRPr="009C5807">
              <w:t xml:space="preserve"> -3</w:t>
            </w:r>
          </w:p>
        </w:tc>
        <w:tc>
          <w:tcPr>
            <w:tcW w:w="2508" w:type="dxa"/>
            <w:tcBorders>
              <w:top w:val="single" w:sz="6" w:space="0" w:color="auto"/>
              <w:left w:val="single" w:sz="4" w:space="0" w:color="auto"/>
              <w:bottom w:val="single" w:sz="6" w:space="0" w:color="auto"/>
              <w:right w:val="single" w:sz="4" w:space="0" w:color="auto"/>
            </w:tcBorders>
            <w:vAlign w:val="center"/>
          </w:tcPr>
          <w:p w14:paraId="491234E1" w14:textId="77777777" w:rsidR="0058457E" w:rsidRPr="009C5807" w:rsidRDefault="0058457E" w:rsidP="00F70A70">
            <w:pPr>
              <w:pStyle w:val="TAC"/>
              <w:rPr>
                <w:snapToGrid w:val="0"/>
                <w:lang w:eastAsia="zh-CN"/>
              </w:rPr>
            </w:pPr>
            <w:r w:rsidRPr="009C5807">
              <w:rPr>
                <w:snapToGrid w:val="0"/>
                <w:lang w:eastAsia="zh-CN"/>
              </w:rPr>
              <w:t>Between FR1 and FR2</w:t>
            </w:r>
          </w:p>
        </w:tc>
      </w:tr>
      <w:tr w:rsidR="001F5A79" w:rsidRPr="009C5807" w14:paraId="5983D9C7" w14:textId="77777777" w:rsidTr="00DF3064">
        <w:trPr>
          <w:jc w:val="center"/>
        </w:trPr>
        <w:tc>
          <w:tcPr>
            <w:tcW w:w="7001" w:type="dxa"/>
            <w:gridSpan w:val="3"/>
            <w:tcBorders>
              <w:top w:val="single" w:sz="6" w:space="0" w:color="auto"/>
              <w:left w:val="single" w:sz="4" w:space="0" w:color="auto"/>
              <w:bottom w:val="single" w:sz="4" w:space="0" w:color="auto"/>
              <w:right w:val="single" w:sz="4" w:space="0" w:color="auto"/>
            </w:tcBorders>
            <w:vAlign w:val="center"/>
          </w:tcPr>
          <w:p w14:paraId="030B605E" w14:textId="77777777" w:rsidR="001F5A79" w:rsidRPr="009C5807" w:rsidRDefault="001F5A79" w:rsidP="00F70A70">
            <w:pPr>
              <w:pStyle w:val="TAN"/>
              <w:rPr>
                <w:lang w:eastAsia="ja-JP"/>
              </w:rPr>
            </w:pPr>
            <w:r w:rsidRPr="009C5807">
              <w:rPr>
                <w:lang w:eastAsia="ja-JP"/>
              </w:rPr>
              <w:t>N</w:t>
            </w:r>
            <w:r w:rsidRPr="009C5807">
              <w:rPr>
                <w:lang w:eastAsia="zh-CN"/>
              </w:rPr>
              <w:t>OTE</w:t>
            </w:r>
            <w:r w:rsidRPr="009C5807">
              <w:rPr>
                <w:lang w:eastAsia="ja-JP"/>
              </w:rPr>
              <w:t xml:space="preserve"> 1:</w:t>
            </w:r>
            <w:r w:rsidRPr="009C5807">
              <w:rPr>
                <w:lang w:eastAsia="ja-JP"/>
              </w:rPr>
              <w:tab/>
              <w:t xml:space="preserve">Tc is the basic timing unit defined in </w:t>
            </w:r>
            <w:r w:rsidRPr="009C5807">
              <w:t>TS 38.211 [6]</w:t>
            </w:r>
            <w:r w:rsidRPr="009C5807">
              <w:rPr>
                <w:lang w:eastAsia="ja-JP"/>
              </w:rPr>
              <w:t>.</w:t>
            </w:r>
          </w:p>
          <w:p w14:paraId="667CB6F6" w14:textId="77777777" w:rsidR="001F5A79" w:rsidRPr="009C5807" w:rsidRDefault="001F5A79" w:rsidP="00F70A70">
            <w:pPr>
              <w:pStyle w:val="TAN"/>
              <w:rPr>
                <w:lang w:eastAsia="ja-JP"/>
              </w:rPr>
            </w:pPr>
            <w:r w:rsidRPr="009C5807">
              <w:t>NOTE 2:</w:t>
            </w:r>
            <w:r w:rsidRPr="009C5807">
              <w:tab/>
            </w:r>
            <w:r w:rsidRPr="009C5807">
              <w:rPr>
                <w:lang w:eastAsia="zh-CN"/>
              </w:rPr>
              <w:t xml:space="preserve">The parameter </w:t>
            </w:r>
            <w:r w:rsidRPr="009C5807">
              <w:t>Ês/Iot</w:t>
            </w:r>
            <w:r w:rsidRPr="009C5807">
              <w:rPr>
                <w:lang w:eastAsia="zh-CN"/>
              </w:rPr>
              <w:t xml:space="preserve"> is the minimum </w:t>
            </w:r>
            <w:r w:rsidRPr="009C5807">
              <w:t>Ês/Iot</w:t>
            </w:r>
            <w:r w:rsidRPr="009C5807">
              <w:rPr>
                <w:lang w:eastAsia="zh-CN"/>
              </w:rPr>
              <w:t xml:space="preserve"> of the pair of cells to which the requirement applies.</w:t>
            </w:r>
          </w:p>
        </w:tc>
      </w:tr>
    </w:tbl>
    <w:p w14:paraId="3246930A" w14:textId="77777777" w:rsidR="001F5A79" w:rsidRPr="009C5807" w:rsidRDefault="001F5A79" w:rsidP="001F5A79">
      <w:pPr>
        <w:jc w:val="center"/>
        <w:rPr>
          <w:noProof/>
          <w:lang w:eastAsia="zh-CN"/>
        </w:rPr>
      </w:pPr>
    </w:p>
    <w:p w14:paraId="5883C81D" w14:textId="77777777" w:rsidR="001F5A79" w:rsidRPr="009C5807" w:rsidRDefault="001F5A79" w:rsidP="00B018D8">
      <w:pPr>
        <w:pStyle w:val="Heading4"/>
        <w:rPr>
          <w:lang w:val="en-US" w:eastAsia="zh-CN"/>
        </w:rPr>
      </w:pPr>
      <w:r w:rsidRPr="009C5807">
        <w:rPr>
          <w:lang w:val="en-US"/>
        </w:rPr>
        <w:t>10.1.21.3</w:t>
      </w:r>
      <w:r w:rsidRPr="009C5807">
        <w:rPr>
          <w:lang w:val="en-US"/>
        </w:rPr>
        <w:tab/>
        <w:t>Inter frequency SFTD acuracy requirements</w:t>
      </w:r>
    </w:p>
    <w:p w14:paraId="52A0E670" w14:textId="77777777" w:rsidR="001F5A79" w:rsidRPr="009C5807" w:rsidRDefault="001F5A79" w:rsidP="001F5A79">
      <w:r w:rsidRPr="009C5807">
        <w:t>Th</w:t>
      </w:r>
      <w:r w:rsidRPr="009C5807">
        <w:rPr>
          <w:rFonts w:eastAsia="MS Mincho"/>
        </w:rPr>
        <w:t>e</w:t>
      </w:r>
      <w:r w:rsidRPr="009C5807">
        <w:t xml:space="preserve"> </w:t>
      </w:r>
      <w:r w:rsidRPr="009C5807">
        <w:rPr>
          <w:lang w:eastAsia="zh-CN"/>
        </w:rPr>
        <w:t>SFN and frame</w:t>
      </w:r>
      <w:r w:rsidRPr="009C5807">
        <w:t xml:space="preserve"> timing difference </w:t>
      </w:r>
      <w:r w:rsidRPr="009C5807">
        <w:rPr>
          <w:lang w:eastAsia="zh-CN"/>
        </w:rPr>
        <w:t xml:space="preserve">(SFTD) </w:t>
      </w:r>
      <w:r w:rsidRPr="009C5807">
        <w:t xml:space="preserve">is measured </w:t>
      </w:r>
      <w:r w:rsidRPr="009C5807">
        <w:rPr>
          <w:lang w:eastAsia="zh-CN"/>
        </w:rPr>
        <w:t>between PCell and inter-frequency neighbour cell</w:t>
      </w:r>
      <w:r w:rsidRPr="009C5807">
        <w:t>.</w:t>
      </w:r>
    </w:p>
    <w:p w14:paraId="01B531BB" w14:textId="77777777" w:rsidR="001F5A79" w:rsidRPr="009C5807" w:rsidRDefault="001F5A79" w:rsidP="001F5A79">
      <w:pPr>
        <w:rPr>
          <w:rFonts w:cs="v4.2.0"/>
        </w:rPr>
      </w:pPr>
      <w:r w:rsidRPr="009C5807">
        <w:rPr>
          <w:rFonts w:cs="v4.2.0"/>
        </w:rPr>
        <w:t>The accuracy requirements in Table 10.1.21.3-3 are appilicable under the following conditions:</w:t>
      </w:r>
    </w:p>
    <w:p w14:paraId="1F417AA6" w14:textId="77777777" w:rsidR="001F5A79" w:rsidRPr="009C5807" w:rsidRDefault="001F5A79" w:rsidP="001F5A79">
      <w:r w:rsidRPr="009C5807">
        <w:t xml:space="preserve">For FR1 PCell, inter frequency neighbour cell </w:t>
      </w:r>
      <w:r w:rsidRPr="009C5807">
        <w:rPr>
          <w:lang w:eastAsia="zh-CN"/>
        </w:rPr>
        <w:t>SFN and frame</w:t>
      </w:r>
      <w:r w:rsidRPr="009C5807">
        <w:t xml:space="preserve"> timing measurement:</w:t>
      </w:r>
    </w:p>
    <w:p w14:paraId="2E0AF020" w14:textId="77777777" w:rsidR="001F5A79" w:rsidRPr="009C5807" w:rsidRDefault="001F5A79" w:rsidP="00563F0C">
      <w:pPr>
        <w:pStyle w:val="B10"/>
        <w:rPr>
          <w:rFonts w:cs="v4.2.0"/>
        </w:rPr>
      </w:pPr>
      <w:r w:rsidRPr="009C5807">
        <w:t>-</w:t>
      </w:r>
      <w:r w:rsidRPr="009C5807">
        <w:tab/>
        <w:t>Conditions defined in clause 7.3 of TS 38.101-1 [18] for reference sensitivity are fulfilled.</w:t>
      </w:r>
    </w:p>
    <w:p w14:paraId="74AAC07B" w14:textId="77777777" w:rsidR="001F5A79" w:rsidRPr="009C5807" w:rsidRDefault="001F5A79" w:rsidP="00563F0C">
      <w:pPr>
        <w:pStyle w:val="B10"/>
      </w:pPr>
      <w:r w:rsidRPr="009C5807">
        <w:t>-</w:t>
      </w:r>
      <w:r w:rsidRPr="009C5807">
        <w:tab/>
        <w:t>Io range deifined in Table 10.1.21.3-1.</w:t>
      </w:r>
    </w:p>
    <w:p w14:paraId="55A72C1D" w14:textId="77777777" w:rsidR="001F5A79" w:rsidRPr="009C5807" w:rsidRDefault="001F5A79" w:rsidP="00563F0C">
      <w:pPr>
        <w:pStyle w:val="TH"/>
        <w:rPr>
          <w:lang w:eastAsia="zh-CN"/>
        </w:rPr>
      </w:pPr>
      <w:r w:rsidRPr="009C5807">
        <w:t>Table 10.1.21.3-1: PCell, inter frequency neighbour cell Io range conditions in</w:t>
      </w:r>
      <w:r w:rsidRPr="009C5807">
        <w:rPr>
          <w:lang w:eastAsia="zh-CN"/>
        </w:rPr>
        <w:t xml:space="preserve"> FR1</w:t>
      </w:r>
    </w:p>
    <w:tbl>
      <w:tblPr>
        <w:tblW w:w="9855" w:type="dxa"/>
        <w:jc w:val="center"/>
        <w:tblLayout w:type="fixed"/>
        <w:tblLook w:val="0000" w:firstRow="0" w:lastRow="0" w:firstColumn="0" w:lastColumn="0" w:noHBand="0" w:noVBand="0"/>
      </w:tblPr>
      <w:tblGrid>
        <w:gridCol w:w="1156"/>
        <w:gridCol w:w="4178"/>
        <w:gridCol w:w="1498"/>
        <w:gridCol w:w="1498"/>
        <w:gridCol w:w="1525"/>
      </w:tblGrid>
      <w:tr w:rsidR="001F5A79" w:rsidRPr="009C5807" w14:paraId="4AB0BA50" w14:textId="77777777" w:rsidTr="00DF3064">
        <w:trPr>
          <w:jc w:val="center"/>
        </w:trPr>
        <w:tc>
          <w:tcPr>
            <w:tcW w:w="1156" w:type="dxa"/>
            <w:tcBorders>
              <w:top w:val="single" w:sz="6" w:space="0" w:color="auto"/>
              <w:left w:val="single" w:sz="6" w:space="0" w:color="auto"/>
              <w:right w:val="single" w:sz="4" w:space="0" w:color="auto"/>
            </w:tcBorders>
            <w:vAlign w:val="center"/>
          </w:tcPr>
          <w:p w14:paraId="09543113" w14:textId="77777777" w:rsidR="001F5A79" w:rsidRPr="009C5807" w:rsidRDefault="001F5A79" w:rsidP="00F70A70">
            <w:pPr>
              <w:pStyle w:val="TAH"/>
              <w:rPr>
                <w:lang w:eastAsia="zh-CN"/>
              </w:rPr>
            </w:pPr>
            <w:r w:rsidRPr="009C5807">
              <w:rPr>
                <w:lang w:eastAsia="zh-CN"/>
              </w:rPr>
              <w:t>Parameter</w:t>
            </w:r>
          </w:p>
        </w:tc>
        <w:tc>
          <w:tcPr>
            <w:tcW w:w="8699" w:type="dxa"/>
            <w:gridSpan w:val="4"/>
            <w:tcBorders>
              <w:top w:val="single" w:sz="6" w:space="0" w:color="auto"/>
              <w:left w:val="single" w:sz="6" w:space="0" w:color="auto"/>
              <w:bottom w:val="single" w:sz="6" w:space="0" w:color="auto"/>
              <w:right w:val="single" w:sz="4" w:space="0" w:color="auto"/>
            </w:tcBorders>
            <w:vAlign w:val="center"/>
          </w:tcPr>
          <w:p w14:paraId="7DEB65E3" w14:textId="77777777" w:rsidR="001F5A79" w:rsidRPr="009C5807" w:rsidRDefault="001F5A79" w:rsidP="00F70A70">
            <w:pPr>
              <w:pStyle w:val="TAH"/>
              <w:rPr>
                <w:lang w:eastAsia="ja-JP"/>
              </w:rPr>
            </w:pPr>
            <w:r w:rsidRPr="009C5807">
              <w:rPr>
                <w:lang w:eastAsia="ja-JP"/>
              </w:rPr>
              <w:t>Io</w:t>
            </w:r>
            <w:r w:rsidRPr="009C5807">
              <w:rPr>
                <w:vertAlign w:val="superscript"/>
                <w:lang w:eastAsia="zh-CN"/>
              </w:rPr>
              <w:t xml:space="preserve"> Note 1</w:t>
            </w:r>
            <w:r w:rsidRPr="009C5807">
              <w:rPr>
                <w:lang w:eastAsia="ja-JP"/>
              </w:rPr>
              <w:t xml:space="preserve"> range</w:t>
            </w:r>
          </w:p>
        </w:tc>
      </w:tr>
      <w:tr w:rsidR="001F5A79" w:rsidRPr="009C5807" w14:paraId="3CFCC3E2" w14:textId="77777777" w:rsidTr="00DF3064">
        <w:trPr>
          <w:jc w:val="center"/>
        </w:trPr>
        <w:tc>
          <w:tcPr>
            <w:tcW w:w="1156" w:type="dxa"/>
            <w:tcBorders>
              <w:left w:val="single" w:sz="6" w:space="0" w:color="auto"/>
              <w:right w:val="single" w:sz="4" w:space="0" w:color="auto"/>
            </w:tcBorders>
          </w:tcPr>
          <w:p w14:paraId="78E86AD9" w14:textId="77777777" w:rsidR="001F5A79" w:rsidRPr="009C5807" w:rsidRDefault="001F5A79" w:rsidP="00F70A70">
            <w:pPr>
              <w:pStyle w:val="TAH"/>
              <w:rPr>
                <w:lang w:eastAsia="ja-JP"/>
              </w:rPr>
            </w:pPr>
          </w:p>
        </w:tc>
        <w:tc>
          <w:tcPr>
            <w:tcW w:w="4178" w:type="dxa"/>
            <w:tcBorders>
              <w:top w:val="single" w:sz="6" w:space="0" w:color="auto"/>
              <w:left w:val="single" w:sz="4" w:space="0" w:color="auto"/>
              <w:bottom w:val="single" w:sz="6" w:space="0" w:color="auto"/>
              <w:right w:val="single" w:sz="6" w:space="0" w:color="auto"/>
            </w:tcBorders>
            <w:vAlign w:val="center"/>
          </w:tcPr>
          <w:p w14:paraId="0757F43B" w14:textId="77777777" w:rsidR="001F5A79" w:rsidRPr="009C5807" w:rsidRDefault="001F5A79" w:rsidP="00F70A70">
            <w:pPr>
              <w:pStyle w:val="TAH"/>
              <w:rPr>
                <w:lang w:eastAsia="ja-JP"/>
              </w:rPr>
            </w:pPr>
            <w:r w:rsidRPr="009C5807">
              <w:rPr>
                <w:lang w:eastAsia="ja-JP"/>
              </w:rPr>
              <w:t>NR operating band groups</w:t>
            </w:r>
            <w:r w:rsidRPr="009C5807">
              <w:rPr>
                <w:vertAlign w:val="superscript"/>
                <w:lang w:eastAsia="ja-JP"/>
              </w:rPr>
              <w:t xml:space="preserve"> Note 2</w:t>
            </w:r>
          </w:p>
        </w:tc>
        <w:tc>
          <w:tcPr>
            <w:tcW w:w="2996" w:type="dxa"/>
            <w:gridSpan w:val="2"/>
            <w:tcBorders>
              <w:top w:val="single" w:sz="6" w:space="0" w:color="auto"/>
              <w:left w:val="single" w:sz="6" w:space="0" w:color="auto"/>
              <w:bottom w:val="single" w:sz="6" w:space="0" w:color="auto"/>
              <w:right w:val="single" w:sz="6" w:space="0" w:color="auto"/>
            </w:tcBorders>
            <w:vAlign w:val="center"/>
          </w:tcPr>
          <w:p w14:paraId="54413667" w14:textId="77777777" w:rsidR="001F5A79" w:rsidRPr="009C5807" w:rsidRDefault="001F5A79" w:rsidP="00F70A70">
            <w:pPr>
              <w:pStyle w:val="TAH"/>
              <w:rPr>
                <w:lang w:eastAsia="ja-JP"/>
              </w:rPr>
            </w:pPr>
            <w:r w:rsidRPr="009C5807">
              <w:rPr>
                <w:lang w:eastAsia="ja-JP"/>
              </w:rPr>
              <w:t>Minimum Io</w:t>
            </w:r>
          </w:p>
        </w:tc>
        <w:tc>
          <w:tcPr>
            <w:tcW w:w="1525" w:type="dxa"/>
            <w:tcBorders>
              <w:top w:val="single" w:sz="6" w:space="0" w:color="auto"/>
              <w:left w:val="single" w:sz="6" w:space="0" w:color="auto"/>
              <w:bottom w:val="single" w:sz="6" w:space="0" w:color="auto"/>
              <w:right w:val="single" w:sz="4" w:space="0" w:color="auto"/>
            </w:tcBorders>
            <w:vAlign w:val="center"/>
          </w:tcPr>
          <w:p w14:paraId="64D0E562" w14:textId="77777777" w:rsidR="001F5A79" w:rsidRPr="009C5807" w:rsidRDefault="001F5A79" w:rsidP="00F70A70">
            <w:pPr>
              <w:pStyle w:val="TAH"/>
              <w:rPr>
                <w:lang w:eastAsia="ja-JP"/>
              </w:rPr>
            </w:pPr>
            <w:r w:rsidRPr="009C5807">
              <w:rPr>
                <w:lang w:eastAsia="ja-JP"/>
              </w:rPr>
              <w:t>Maximum Io</w:t>
            </w:r>
          </w:p>
        </w:tc>
      </w:tr>
      <w:tr w:rsidR="001F5A79" w:rsidRPr="009C5807" w14:paraId="786279D4" w14:textId="77777777" w:rsidTr="00DF3064">
        <w:trPr>
          <w:trHeight w:val="70"/>
          <w:jc w:val="center"/>
        </w:trPr>
        <w:tc>
          <w:tcPr>
            <w:tcW w:w="1156" w:type="dxa"/>
            <w:tcBorders>
              <w:left w:val="single" w:sz="6" w:space="0" w:color="auto"/>
              <w:right w:val="single" w:sz="4" w:space="0" w:color="auto"/>
            </w:tcBorders>
            <w:vAlign w:val="center"/>
          </w:tcPr>
          <w:p w14:paraId="47F3826D" w14:textId="77777777" w:rsidR="001F5A79" w:rsidRPr="009C5807" w:rsidRDefault="001F5A79" w:rsidP="00F70A70">
            <w:pPr>
              <w:pStyle w:val="TAH"/>
              <w:rPr>
                <w:rFonts w:cs="Arial"/>
                <w:lang w:eastAsia="zh-CN"/>
              </w:rPr>
            </w:pPr>
          </w:p>
        </w:tc>
        <w:tc>
          <w:tcPr>
            <w:tcW w:w="4178" w:type="dxa"/>
            <w:tcBorders>
              <w:top w:val="single" w:sz="6" w:space="0" w:color="auto"/>
              <w:left w:val="single" w:sz="4" w:space="0" w:color="auto"/>
              <w:right w:val="single" w:sz="6" w:space="0" w:color="auto"/>
            </w:tcBorders>
            <w:vAlign w:val="center"/>
          </w:tcPr>
          <w:p w14:paraId="63DF7AD1" w14:textId="77777777" w:rsidR="001F5A79" w:rsidRPr="009C5807" w:rsidRDefault="001F5A79" w:rsidP="00F70A70">
            <w:pPr>
              <w:pStyle w:val="TAH"/>
              <w:rPr>
                <w:rFonts w:cs="Arial"/>
                <w:lang w:eastAsia="ja-JP"/>
              </w:rPr>
            </w:pPr>
          </w:p>
        </w:tc>
        <w:tc>
          <w:tcPr>
            <w:tcW w:w="2996" w:type="dxa"/>
            <w:gridSpan w:val="2"/>
            <w:tcBorders>
              <w:top w:val="single" w:sz="6" w:space="0" w:color="auto"/>
              <w:left w:val="single" w:sz="6" w:space="0" w:color="auto"/>
              <w:bottom w:val="single" w:sz="6" w:space="0" w:color="auto"/>
              <w:right w:val="single" w:sz="6" w:space="0" w:color="auto"/>
            </w:tcBorders>
            <w:vAlign w:val="center"/>
          </w:tcPr>
          <w:p w14:paraId="0F77A15C" w14:textId="77777777" w:rsidR="001F5A79" w:rsidRPr="009C5807" w:rsidRDefault="001F5A79" w:rsidP="00F70A70">
            <w:pPr>
              <w:pStyle w:val="TAH"/>
              <w:rPr>
                <w:rFonts w:cs="Arial"/>
                <w:lang w:eastAsia="ja-JP"/>
              </w:rPr>
            </w:pPr>
            <w:r w:rsidRPr="009C5807">
              <w:rPr>
                <w:rFonts w:cs="Arial"/>
                <w:lang w:eastAsia="ja-JP"/>
              </w:rPr>
              <w:t>dBm/ SCS</w:t>
            </w:r>
            <w:r w:rsidRPr="009C5807">
              <w:rPr>
                <w:rFonts w:cs="Arial"/>
                <w:vertAlign w:val="subscript"/>
                <w:lang w:eastAsia="ja-JP"/>
              </w:rPr>
              <w:t>SSB</w:t>
            </w:r>
            <w:r w:rsidRPr="009C5807">
              <w:rPr>
                <w:rFonts w:cs="Arial"/>
                <w:vertAlign w:val="superscript"/>
                <w:lang w:eastAsia="zh-CN"/>
              </w:rPr>
              <w:t xml:space="preserve"> </w:t>
            </w:r>
          </w:p>
        </w:tc>
        <w:tc>
          <w:tcPr>
            <w:tcW w:w="1525" w:type="dxa"/>
            <w:tcBorders>
              <w:top w:val="single" w:sz="6" w:space="0" w:color="auto"/>
              <w:left w:val="single" w:sz="6" w:space="0" w:color="auto"/>
              <w:right w:val="single" w:sz="4" w:space="0" w:color="auto"/>
            </w:tcBorders>
            <w:vAlign w:val="center"/>
          </w:tcPr>
          <w:p w14:paraId="7B75FC71" w14:textId="77777777" w:rsidR="001F5A79" w:rsidRPr="009C5807" w:rsidRDefault="001F5A79" w:rsidP="00F70A70">
            <w:pPr>
              <w:pStyle w:val="TAH"/>
              <w:rPr>
                <w:rFonts w:cs="Arial"/>
                <w:lang w:eastAsia="ja-JP"/>
              </w:rPr>
            </w:pPr>
            <w:r w:rsidRPr="009C5807">
              <w:rPr>
                <w:rFonts w:cs="Arial"/>
                <w:lang w:eastAsia="ja-JP"/>
              </w:rPr>
              <w:t>dBm/BW</w:t>
            </w:r>
            <w:r w:rsidRPr="009C5807">
              <w:rPr>
                <w:rFonts w:cs="Arial"/>
                <w:vertAlign w:val="subscript"/>
                <w:lang w:eastAsia="ja-JP"/>
              </w:rPr>
              <w:t>Channel</w:t>
            </w:r>
          </w:p>
        </w:tc>
      </w:tr>
      <w:tr w:rsidR="001F5A79" w:rsidRPr="009C5807" w14:paraId="2DBDC63B" w14:textId="77777777" w:rsidTr="00DF3064">
        <w:trPr>
          <w:trHeight w:val="70"/>
          <w:jc w:val="center"/>
        </w:trPr>
        <w:tc>
          <w:tcPr>
            <w:tcW w:w="1156" w:type="dxa"/>
            <w:tcBorders>
              <w:left w:val="single" w:sz="6" w:space="0" w:color="auto"/>
              <w:bottom w:val="single" w:sz="4" w:space="0" w:color="auto"/>
              <w:right w:val="single" w:sz="4" w:space="0" w:color="auto"/>
            </w:tcBorders>
            <w:vAlign w:val="center"/>
          </w:tcPr>
          <w:p w14:paraId="74E8A0BD" w14:textId="77777777" w:rsidR="001F5A79" w:rsidRPr="009C5807" w:rsidRDefault="001F5A79" w:rsidP="00F70A70">
            <w:pPr>
              <w:pStyle w:val="TAH"/>
              <w:rPr>
                <w:rFonts w:cs="Arial"/>
                <w:lang w:eastAsia="zh-CN"/>
              </w:rPr>
            </w:pPr>
          </w:p>
        </w:tc>
        <w:tc>
          <w:tcPr>
            <w:tcW w:w="4178" w:type="dxa"/>
            <w:tcBorders>
              <w:left w:val="single" w:sz="4" w:space="0" w:color="auto"/>
              <w:bottom w:val="single" w:sz="6" w:space="0" w:color="auto"/>
              <w:right w:val="single" w:sz="6" w:space="0" w:color="auto"/>
            </w:tcBorders>
            <w:vAlign w:val="center"/>
          </w:tcPr>
          <w:p w14:paraId="1B6B7410" w14:textId="77777777" w:rsidR="001F5A79" w:rsidRPr="009C5807" w:rsidRDefault="001F5A79" w:rsidP="00F70A70">
            <w:pPr>
              <w:pStyle w:val="TAH"/>
              <w:rPr>
                <w:rFonts w:cs="Arial"/>
                <w:lang w:eastAsia="ja-JP"/>
              </w:rPr>
            </w:pPr>
          </w:p>
        </w:tc>
        <w:tc>
          <w:tcPr>
            <w:tcW w:w="1498" w:type="dxa"/>
            <w:tcBorders>
              <w:top w:val="single" w:sz="6" w:space="0" w:color="auto"/>
              <w:left w:val="single" w:sz="6" w:space="0" w:color="auto"/>
              <w:bottom w:val="single" w:sz="6" w:space="0" w:color="auto"/>
              <w:right w:val="single" w:sz="6" w:space="0" w:color="auto"/>
            </w:tcBorders>
            <w:vAlign w:val="center"/>
          </w:tcPr>
          <w:p w14:paraId="045057F7" w14:textId="77777777" w:rsidR="001F5A79" w:rsidRPr="009C5807" w:rsidRDefault="001F5A79" w:rsidP="00F70A70">
            <w:pPr>
              <w:pStyle w:val="TAH"/>
              <w:rPr>
                <w:rFonts w:cs="Arial"/>
                <w:lang w:eastAsia="ja-JP"/>
              </w:rPr>
            </w:pPr>
            <w:r w:rsidRPr="009C5807">
              <w:t>SCS</w:t>
            </w:r>
            <w:r w:rsidRPr="009C5807">
              <w:rPr>
                <w:vertAlign w:val="subscript"/>
              </w:rPr>
              <w:t>SSB</w:t>
            </w:r>
            <w:r w:rsidRPr="009C5807">
              <w:rPr>
                <w:rFonts w:cs="Arial"/>
              </w:rPr>
              <w:t xml:space="preserve"> = 15 kHz</w:t>
            </w:r>
          </w:p>
        </w:tc>
        <w:tc>
          <w:tcPr>
            <w:tcW w:w="1498" w:type="dxa"/>
            <w:tcBorders>
              <w:top w:val="single" w:sz="6" w:space="0" w:color="auto"/>
              <w:left w:val="single" w:sz="6" w:space="0" w:color="auto"/>
              <w:bottom w:val="single" w:sz="6" w:space="0" w:color="auto"/>
              <w:right w:val="single" w:sz="6" w:space="0" w:color="auto"/>
            </w:tcBorders>
            <w:vAlign w:val="center"/>
          </w:tcPr>
          <w:p w14:paraId="194B6384" w14:textId="77777777" w:rsidR="001F5A79" w:rsidRPr="009C5807" w:rsidRDefault="001F5A79" w:rsidP="00F70A70">
            <w:pPr>
              <w:pStyle w:val="TAH"/>
              <w:rPr>
                <w:rFonts w:cs="Arial"/>
                <w:lang w:eastAsia="ja-JP"/>
              </w:rPr>
            </w:pPr>
            <w:r w:rsidRPr="009C5807">
              <w:t>SCS</w:t>
            </w:r>
            <w:r w:rsidRPr="009C5807">
              <w:rPr>
                <w:vertAlign w:val="subscript"/>
              </w:rPr>
              <w:t>SSB</w:t>
            </w:r>
            <w:r w:rsidRPr="009C5807">
              <w:rPr>
                <w:rFonts w:cs="Arial"/>
              </w:rPr>
              <w:t xml:space="preserve"> = 30 kHz</w:t>
            </w:r>
          </w:p>
        </w:tc>
        <w:tc>
          <w:tcPr>
            <w:tcW w:w="1525" w:type="dxa"/>
            <w:tcBorders>
              <w:left w:val="single" w:sz="6" w:space="0" w:color="auto"/>
              <w:bottom w:val="single" w:sz="6" w:space="0" w:color="auto"/>
              <w:right w:val="single" w:sz="4" w:space="0" w:color="auto"/>
            </w:tcBorders>
            <w:vAlign w:val="center"/>
          </w:tcPr>
          <w:p w14:paraId="7C358F0C" w14:textId="77777777" w:rsidR="001F5A79" w:rsidRPr="009C5807" w:rsidRDefault="001F5A79" w:rsidP="00F70A70">
            <w:pPr>
              <w:pStyle w:val="TAH"/>
              <w:rPr>
                <w:rFonts w:cs="Arial"/>
                <w:lang w:eastAsia="ja-JP"/>
              </w:rPr>
            </w:pPr>
          </w:p>
        </w:tc>
      </w:tr>
      <w:tr w:rsidR="001F5A79" w:rsidRPr="009C5807" w14:paraId="5F068B0E" w14:textId="77777777" w:rsidTr="00DF3064">
        <w:trPr>
          <w:jc w:val="center"/>
        </w:trPr>
        <w:tc>
          <w:tcPr>
            <w:tcW w:w="1156" w:type="dxa"/>
            <w:tcBorders>
              <w:top w:val="single" w:sz="4" w:space="0" w:color="auto"/>
              <w:left w:val="single" w:sz="6" w:space="0" w:color="auto"/>
              <w:right w:val="single" w:sz="6" w:space="0" w:color="auto"/>
            </w:tcBorders>
            <w:vAlign w:val="center"/>
          </w:tcPr>
          <w:p w14:paraId="646A9D79" w14:textId="77777777" w:rsidR="001F5A79" w:rsidRPr="009C5807" w:rsidRDefault="001F5A79" w:rsidP="00563F0C">
            <w:pPr>
              <w:pStyle w:val="TAH"/>
              <w:rPr>
                <w:lang w:eastAsia="ja-JP"/>
              </w:rPr>
            </w:pPr>
            <w:r w:rsidRPr="009C5807">
              <w:rPr>
                <w:lang w:eastAsia="zh-CN"/>
              </w:rPr>
              <w:t>Conditions</w:t>
            </w:r>
          </w:p>
        </w:tc>
        <w:tc>
          <w:tcPr>
            <w:tcW w:w="4178" w:type="dxa"/>
            <w:tcBorders>
              <w:top w:val="single" w:sz="6" w:space="0" w:color="auto"/>
              <w:left w:val="single" w:sz="6" w:space="0" w:color="auto"/>
              <w:bottom w:val="single" w:sz="6" w:space="0" w:color="auto"/>
              <w:right w:val="single" w:sz="6" w:space="0" w:color="auto"/>
            </w:tcBorders>
          </w:tcPr>
          <w:p w14:paraId="69281534" w14:textId="77777777" w:rsidR="001F5A79" w:rsidRPr="009C5807" w:rsidRDefault="001F5A79" w:rsidP="00F70A70">
            <w:pPr>
              <w:pStyle w:val="TAC"/>
              <w:rPr>
                <w:lang w:eastAsia="ja-JP"/>
              </w:rPr>
            </w:pPr>
            <w:r w:rsidRPr="009C5807">
              <w:t>NR_FDD_FR1_A, NR_TDD_FR1_A</w:t>
            </w:r>
          </w:p>
        </w:tc>
        <w:tc>
          <w:tcPr>
            <w:tcW w:w="1498" w:type="dxa"/>
            <w:tcBorders>
              <w:top w:val="single" w:sz="6" w:space="0" w:color="auto"/>
              <w:left w:val="single" w:sz="6" w:space="0" w:color="auto"/>
              <w:bottom w:val="single" w:sz="6" w:space="0" w:color="auto"/>
              <w:right w:val="single" w:sz="6" w:space="0" w:color="auto"/>
            </w:tcBorders>
            <w:vAlign w:val="center"/>
          </w:tcPr>
          <w:p w14:paraId="41C25B76" w14:textId="77777777" w:rsidR="001F5A79" w:rsidRPr="009C5807" w:rsidRDefault="001F5A79" w:rsidP="00F70A70">
            <w:pPr>
              <w:pStyle w:val="TAC"/>
              <w:rPr>
                <w:lang w:eastAsia="ja-JP"/>
              </w:rPr>
            </w:pPr>
            <w:r w:rsidRPr="009C5807">
              <w:t>-121</w:t>
            </w:r>
          </w:p>
        </w:tc>
        <w:tc>
          <w:tcPr>
            <w:tcW w:w="1498" w:type="dxa"/>
            <w:tcBorders>
              <w:top w:val="single" w:sz="6" w:space="0" w:color="auto"/>
              <w:left w:val="single" w:sz="6" w:space="0" w:color="auto"/>
              <w:bottom w:val="single" w:sz="6" w:space="0" w:color="auto"/>
              <w:right w:val="single" w:sz="6" w:space="0" w:color="auto"/>
            </w:tcBorders>
            <w:vAlign w:val="center"/>
          </w:tcPr>
          <w:p w14:paraId="583B831A" w14:textId="77777777" w:rsidR="001F5A79" w:rsidRPr="009C5807" w:rsidRDefault="001F5A79" w:rsidP="00F70A70">
            <w:pPr>
              <w:pStyle w:val="TAC"/>
              <w:rPr>
                <w:lang w:eastAsia="ja-JP"/>
              </w:rPr>
            </w:pPr>
            <w:r w:rsidRPr="009C5807">
              <w:t>-118</w:t>
            </w:r>
          </w:p>
        </w:tc>
        <w:tc>
          <w:tcPr>
            <w:tcW w:w="1525" w:type="dxa"/>
            <w:tcBorders>
              <w:top w:val="single" w:sz="6" w:space="0" w:color="auto"/>
              <w:left w:val="single" w:sz="6" w:space="0" w:color="auto"/>
              <w:bottom w:val="single" w:sz="6" w:space="0" w:color="auto"/>
              <w:right w:val="single" w:sz="4" w:space="0" w:color="auto"/>
            </w:tcBorders>
            <w:vAlign w:val="center"/>
          </w:tcPr>
          <w:p w14:paraId="7E214FFD" w14:textId="77777777" w:rsidR="001F5A79" w:rsidRPr="009C5807" w:rsidRDefault="001F5A79" w:rsidP="00F70A70">
            <w:pPr>
              <w:pStyle w:val="TAC"/>
              <w:rPr>
                <w:lang w:eastAsia="ja-JP"/>
              </w:rPr>
            </w:pPr>
            <w:r w:rsidRPr="009C5807">
              <w:rPr>
                <w:lang w:eastAsia="ja-JP"/>
              </w:rPr>
              <w:t>-50</w:t>
            </w:r>
          </w:p>
        </w:tc>
      </w:tr>
      <w:tr w:rsidR="001F5A79" w:rsidRPr="009C5807" w14:paraId="417490AB" w14:textId="77777777" w:rsidTr="00DF3064">
        <w:trPr>
          <w:jc w:val="center"/>
        </w:trPr>
        <w:tc>
          <w:tcPr>
            <w:tcW w:w="1156" w:type="dxa"/>
            <w:tcBorders>
              <w:left w:val="single" w:sz="6" w:space="0" w:color="auto"/>
              <w:right w:val="single" w:sz="6" w:space="0" w:color="auto"/>
            </w:tcBorders>
          </w:tcPr>
          <w:p w14:paraId="19117287"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4D6361BC" w14:textId="77777777" w:rsidR="001F5A79" w:rsidRPr="009C5807" w:rsidRDefault="001F5A79" w:rsidP="00F70A70">
            <w:pPr>
              <w:pStyle w:val="TAC"/>
              <w:rPr>
                <w:lang w:eastAsia="ja-JP"/>
              </w:rPr>
            </w:pPr>
            <w:r w:rsidRPr="009C5807">
              <w:rPr>
                <w:lang w:val="sv-SE"/>
              </w:rPr>
              <w:t>NR_FDD_FR1_B</w:t>
            </w:r>
          </w:p>
        </w:tc>
        <w:tc>
          <w:tcPr>
            <w:tcW w:w="1498" w:type="dxa"/>
            <w:tcBorders>
              <w:top w:val="single" w:sz="6" w:space="0" w:color="auto"/>
              <w:left w:val="single" w:sz="6" w:space="0" w:color="auto"/>
              <w:bottom w:val="single" w:sz="6" w:space="0" w:color="auto"/>
              <w:right w:val="single" w:sz="6" w:space="0" w:color="auto"/>
            </w:tcBorders>
          </w:tcPr>
          <w:p w14:paraId="78A94814" w14:textId="77777777" w:rsidR="001F5A79" w:rsidRPr="009C5807" w:rsidRDefault="001F5A79" w:rsidP="00F70A70">
            <w:pPr>
              <w:pStyle w:val="TAC"/>
              <w:rPr>
                <w:lang w:eastAsia="ja-JP"/>
              </w:rPr>
            </w:pPr>
            <w:r w:rsidRPr="009C5807">
              <w:t>-120.5</w:t>
            </w:r>
          </w:p>
        </w:tc>
        <w:tc>
          <w:tcPr>
            <w:tcW w:w="1498" w:type="dxa"/>
            <w:tcBorders>
              <w:top w:val="single" w:sz="6" w:space="0" w:color="auto"/>
              <w:left w:val="single" w:sz="6" w:space="0" w:color="auto"/>
              <w:bottom w:val="single" w:sz="6" w:space="0" w:color="auto"/>
              <w:right w:val="single" w:sz="6" w:space="0" w:color="auto"/>
            </w:tcBorders>
            <w:vAlign w:val="center"/>
          </w:tcPr>
          <w:p w14:paraId="113F1EDB" w14:textId="77777777" w:rsidR="001F5A79" w:rsidRPr="009C5807" w:rsidRDefault="001F5A79" w:rsidP="00F70A70">
            <w:pPr>
              <w:pStyle w:val="TAC"/>
              <w:rPr>
                <w:lang w:eastAsia="ja-JP"/>
              </w:rPr>
            </w:pPr>
            <w:r w:rsidRPr="009C5807">
              <w:t>-117.5</w:t>
            </w:r>
          </w:p>
        </w:tc>
        <w:tc>
          <w:tcPr>
            <w:tcW w:w="1525" w:type="dxa"/>
            <w:tcBorders>
              <w:top w:val="single" w:sz="6" w:space="0" w:color="auto"/>
              <w:left w:val="single" w:sz="6" w:space="0" w:color="auto"/>
              <w:bottom w:val="single" w:sz="6" w:space="0" w:color="auto"/>
              <w:right w:val="single" w:sz="4" w:space="0" w:color="auto"/>
            </w:tcBorders>
            <w:vAlign w:val="center"/>
          </w:tcPr>
          <w:p w14:paraId="3D8F6723" w14:textId="77777777" w:rsidR="001F5A79" w:rsidRPr="009C5807" w:rsidRDefault="001F5A79" w:rsidP="00F70A70">
            <w:pPr>
              <w:pStyle w:val="TAC"/>
              <w:rPr>
                <w:lang w:eastAsia="ja-JP"/>
              </w:rPr>
            </w:pPr>
            <w:r w:rsidRPr="009C5807">
              <w:rPr>
                <w:lang w:eastAsia="ja-JP"/>
              </w:rPr>
              <w:t>-50</w:t>
            </w:r>
          </w:p>
        </w:tc>
      </w:tr>
      <w:tr w:rsidR="001F5A79" w:rsidRPr="009C5807" w14:paraId="5F125BE3" w14:textId="77777777" w:rsidTr="00DF3064">
        <w:trPr>
          <w:jc w:val="center"/>
        </w:trPr>
        <w:tc>
          <w:tcPr>
            <w:tcW w:w="1156" w:type="dxa"/>
            <w:tcBorders>
              <w:left w:val="single" w:sz="6" w:space="0" w:color="auto"/>
              <w:right w:val="single" w:sz="6" w:space="0" w:color="auto"/>
            </w:tcBorders>
          </w:tcPr>
          <w:p w14:paraId="2FDEB9A1"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0E84103C" w14:textId="77777777" w:rsidR="001F5A79" w:rsidRPr="009C5807" w:rsidRDefault="001F5A79" w:rsidP="00F70A70">
            <w:pPr>
              <w:pStyle w:val="TAC"/>
              <w:rPr>
                <w:lang w:eastAsia="ja-JP"/>
              </w:rPr>
            </w:pPr>
            <w:r w:rsidRPr="009C5807">
              <w:rPr>
                <w:lang w:val="sv-SE"/>
              </w:rPr>
              <w:t>NR_TDD_FR1_C</w:t>
            </w:r>
          </w:p>
        </w:tc>
        <w:tc>
          <w:tcPr>
            <w:tcW w:w="1498" w:type="dxa"/>
            <w:tcBorders>
              <w:top w:val="single" w:sz="6" w:space="0" w:color="auto"/>
              <w:left w:val="single" w:sz="6" w:space="0" w:color="auto"/>
              <w:bottom w:val="single" w:sz="6" w:space="0" w:color="auto"/>
              <w:right w:val="single" w:sz="6" w:space="0" w:color="auto"/>
            </w:tcBorders>
            <w:vAlign w:val="center"/>
          </w:tcPr>
          <w:p w14:paraId="7B6F90DB" w14:textId="77777777" w:rsidR="001F5A79" w:rsidRPr="009C5807" w:rsidRDefault="001F5A79" w:rsidP="00F70A70">
            <w:pPr>
              <w:pStyle w:val="TAC"/>
              <w:rPr>
                <w:lang w:eastAsia="ja-JP"/>
              </w:rPr>
            </w:pPr>
            <w:r w:rsidRPr="009C5807">
              <w:t>-120</w:t>
            </w:r>
          </w:p>
        </w:tc>
        <w:tc>
          <w:tcPr>
            <w:tcW w:w="1498" w:type="dxa"/>
            <w:tcBorders>
              <w:top w:val="single" w:sz="6" w:space="0" w:color="auto"/>
              <w:left w:val="single" w:sz="6" w:space="0" w:color="auto"/>
              <w:bottom w:val="single" w:sz="6" w:space="0" w:color="auto"/>
              <w:right w:val="single" w:sz="6" w:space="0" w:color="auto"/>
            </w:tcBorders>
            <w:vAlign w:val="center"/>
          </w:tcPr>
          <w:p w14:paraId="02151135" w14:textId="77777777" w:rsidR="001F5A79" w:rsidRPr="009C5807" w:rsidRDefault="001F5A79" w:rsidP="00F70A70">
            <w:pPr>
              <w:pStyle w:val="TAC"/>
              <w:rPr>
                <w:lang w:eastAsia="ja-JP"/>
              </w:rPr>
            </w:pPr>
            <w:r w:rsidRPr="009C5807">
              <w:t>-117</w:t>
            </w:r>
          </w:p>
        </w:tc>
        <w:tc>
          <w:tcPr>
            <w:tcW w:w="1525" w:type="dxa"/>
            <w:tcBorders>
              <w:top w:val="single" w:sz="6" w:space="0" w:color="auto"/>
              <w:left w:val="single" w:sz="6" w:space="0" w:color="auto"/>
              <w:bottom w:val="single" w:sz="6" w:space="0" w:color="auto"/>
              <w:right w:val="single" w:sz="4" w:space="0" w:color="auto"/>
            </w:tcBorders>
            <w:vAlign w:val="center"/>
          </w:tcPr>
          <w:p w14:paraId="7D41C43D" w14:textId="77777777" w:rsidR="001F5A79" w:rsidRPr="009C5807" w:rsidRDefault="001F5A79" w:rsidP="00F70A70">
            <w:pPr>
              <w:pStyle w:val="TAC"/>
              <w:rPr>
                <w:lang w:eastAsia="ja-JP"/>
              </w:rPr>
            </w:pPr>
            <w:r w:rsidRPr="009C5807">
              <w:rPr>
                <w:lang w:eastAsia="ja-JP"/>
              </w:rPr>
              <w:t>-50</w:t>
            </w:r>
          </w:p>
        </w:tc>
      </w:tr>
      <w:tr w:rsidR="001F5A79" w:rsidRPr="009C5807" w14:paraId="1497BF84" w14:textId="77777777" w:rsidTr="00DF3064">
        <w:trPr>
          <w:jc w:val="center"/>
        </w:trPr>
        <w:tc>
          <w:tcPr>
            <w:tcW w:w="1156" w:type="dxa"/>
            <w:tcBorders>
              <w:left w:val="single" w:sz="6" w:space="0" w:color="auto"/>
              <w:right w:val="single" w:sz="6" w:space="0" w:color="auto"/>
            </w:tcBorders>
            <w:vAlign w:val="center"/>
          </w:tcPr>
          <w:p w14:paraId="5E5BEA74"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073E5FED" w14:textId="77777777" w:rsidR="001F5A79" w:rsidRPr="009C5807" w:rsidRDefault="001F5A79" w:rsidP="00F70A70">
            <w:pPr>
              <w:pStyle w:val="TAC"/>
              <w:rPr>
                <w:lang w:val="sv-FI" w:eastAsia="ja-JP"/>
              </w:rPr>
            </w:pPr>
            <w:r w:rsidRPr="009C5807">
              <w:rPr>
                <w:lang w:val="sv-SE"/>
              </w:rPr>
              <w:t>NR_FDD_FR1_D, NR_TDD_FR1_D</w:t>
            </w:r>
          </w:p>
        </w:tc>
        <w:tc>
          <w:tcPr>
            <w:tcW w:w="1498" w:type="dxa"/>
            <w:tcBorders>
              <w:top w:val="single" w:sz="6" w:space="0" w:color="auto"/>
              <w:left w:val="single" w:sz="6" w:space="0" w:color="auto"/>
              <w:bottom w:val="single" w:sz="6" w:space="0" w:color="auto"/>
              <w:right w:val="single" w:sz="6" w:space="0" w:color="auto"/>
            </w:tcBorders>
            <w:vAlign w:val="center"/>
          </w:tcPr>
          <w:p w14:paraId="7EF2BD44" w14:textId="77777777" w:rsidR="001F5A79" w:rsidRPr="009C5807" w:rsidRDefault="001F5A79" w:rsidP="00F70A70">
            <w:pPr>
              <w:pStyle w:val="TAC"/>
              <w:rPr>
                <w:lang w:eastAsia="ja-JP"/>
              </w:rPr>
            </w:pPr>
            <w:r w:rsidRPr="009C5807">
              <w:t>-119.5</w:t>
            </w:r>
          </w:p>
        </w:tc>
        <w:tc>
          <w:tcPr>
            <w:tcW w:w="1498" w:type="dxa"/>
            <w:tcBorders>
              <w:top w:val="single" w:sz="6" w:space="0" w:color="auto"/>
              <w:left w:val="single" w:sz="6" w:space="0" w:color="auto"/>
              <w:bottom w:val="single" w:sz="6" w:space="0" w:color="auto"/>
              <w:right w:val="single" w:sz="6" w:space="0" w:color="auto"/>
            </w:tcBorders>
            <w:vAlign w:val="center"/>
          </w:tcPr>
          <w:p w14:paraId="4153E66B" w14:textId="77777777" w:rsidR="001F5A79" w:rsidRPr="009C5807" w:rsidRDefault="001F5A79" w:rsidP="00F70A70">
            <w:pPr>
              <w:pStyle w:val="TAC"/>
              <w:rPr>
                <w:lang w:eastAsia="ja-JP"/>
              </w:rPr>
            </w:pPr>
            <w:r w:rsidRPr="009C5807">
              <w:t>-116.5</w:t>
            </w:r>
          </w:p>
        </w:tc>
        <w:tc>
          <w:tcPr>
            <w:tcW w:w="1525" w:type="dxa"/>
            <w:tcBorders>
              <w:top w:val="single" w:sz="6" w:space="0" w:color="auto"/>
              <w:left w:val="single" w:sz="6" w:space="0" w:color="auto"/>
              <w:bottom w:val="single" w:sz="6" w:space="0" w:color="auto"/>
              <w:right w:val="single" w:sz="4" w:space="0" w:color="auto"/>
            </w:tcBorders>
            <w:vAlign w:val="center"/>
          </w:tcPr>
          <w:p w14:paraId="4ABB7581" w14:textId="77777777" w:rsidR="001F5A79" w:rsidRPr="009C5807" w:rsidRDefault="001F5A79" w:rsidP="00F70A70">
            <w:pPr>
              <w:pStyle w:val="TAC"/>
              <w:rPr>
                <w:lang w:eastAsia="ja-JP"/>
              </w:rPr>
            </w:pPr>
            <w:r w:rsidRPr="009C5807">
              <w:rPr>
                <w:lang w:eastAsia="ja-JP"/>
              </w:rPr>
              <w:t>-50</w:t>
            </w:r>
          </w:p>
        </w:tc>
      </w:tr>
      <w:tr w:rsidR="001F5A79" w:rsidRPr="009C5807" w14:paraId="064A3B4F" w14:textId="77777777" w:rsidTr="00DF3064">
        <w:trPr>
          <w:jc w:val="center"/>
        </w:trPr>
        <w:tc>
          <w:tcPr>
            <w:tcW w:w="1156" w:type="dxa"/>
            <w:tcBorders>
              <w:left w:val="single" w:sz="6" w:space="0" w:color="auto"/>
              <w:right w:val="single" w:sz="6" w:space="0" w:color="auto"/>
            </w:tcBorders>
          </w:tcPr>
          <w:p w14:paraId="1C9AE2C7"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7CFAAC21" w14:textId="77777777" w:rsidR="001F5A79" w:rsidRPr="009C5807" w:rsidRDefault="001F5A79" w:rsidP="00F70A70">
            <w:pPr>
              <w:pStyle w:val="TAC"/>
              <w:rPr>
                <w:lang w:val="sv-FI" w:eastAsia="ja-JP"/>
              </w:rPr>
            </w:pPr>
            <w:r w:rsidRPr="009C5807">
              <w:rPr>
                <w:lang w:val="sv-SE"/>
              </w:rPr>
              <w:t>NR_FDD_FR1_E, NR_TDD_FR1_E</w:t>
            </w:r>
          </w:p>
        </w:tc>
        <w:tc>
          <w:tcPr>
            <w:tcW w:w="1498" w:type="dxa"/>
            <w:tcBorders>
              <w:top w:val="single" w:sz="6" w:space="0" w:color="auto"/>
              <w:left w:val="single" w:sz="6" w:space="0" w:color="auto"/>
              <w:bottom w:val="single" w:sz="6" w:space="0" w:color="auto"/>
              <w:right w:val="single" w:sz="6" w:space="0" w:color="auto"/>
            </w:tcBorders>
            <w:vAlign w:val="center"/>
          </w:tcPr>
          <w:p w14:paraId="37AA64E6" w14:textId="77777777" w:rsidR="001F5A79" w:rsidRPr="009C5807" w:rsidRDefault="001F5A79" w:rsidP="00F70A70">
            <w:pPr>
              <w:pStyle w:val="TAC"/>
              <w:rPr>
                <w:lang w:eastAsia="ja-JP"/>
              </w:rPr>
            </w:pPr>
            <w:r w:rsidRPr="009C5807">
              <w:t>-119</w:t>
            </w:r>
          </w:p>
        </w:tc>
        <w:tc>
          <w:tcPr>
            <w:tcW w:w="1498" w:type="dxa"/>
            <w:tcBorders>
              <w:top w:val="single" w:sz="6" w:space="0" w:color="auto"/>
              <w:left w:val="single" w:sz="6" w:space="0" w:color="auto"/>
              <w:bottom w:val="single" w:sz="6" w:space="0" w:color="auto"/>
              <w:right w:val="single" w:sz="6" w:space="0" w:color="auto"/>
            </w:tcBorders>
            <w:vAlign w:val="center"/>
          </w:tcPr>
          <w:p w14:paraId="1EEDAF96" w14:textId="77777777" w:rsidR="001F5A79" w:rsidRPr="009C5807" w:rsidRDefault="001F5A79" w:rsidP="00F70A70">
            <w:pPr>
              <w:pStyle w:val="TAC"/>
              <w:rPr>
                <w:lang w:eastAsia="ja-JP"/>
              </w:rPr>
            </w:pPr>
            <w:r w:rsidRPr="009C5807">
              <w:t>-116</w:t>
            </w:r>
          </w:p>
        </w:tc>
        <w:tc>
          <w:tcPr>
            <w:tcW w:w="1525" w:type="dxa"/>
            <w:tcBorders>
              <w:top w:val="single" w:sz="6" w:space="0" w:color="auto"/>
              <w:left w:val="single" w:sz="6" w:space="0" w:color="auto"/>
              <w:bottom w:val="single" w:sz="6" w:space="0" w:color="auto"/>
              <w:right w:val="single" w:sz="4" w:space="0" w:color="auto"/>
            </w:tcBorders>
            <w:vAlign w:val="center"/>
          </w:tcPr>
          <w:p w14:paraId="1F75D3C7" w14:textId="77777777" w:rsidR="001F5A79" w:rsidRPr="009C5807" w:rsidRDefault="001F5A79" w:rsidP="00F70A70">
            <w:pPr>
              <w:pStyle w:val="TAC"/>
              <w:rPr>
                <w:lang w:eastAsia="ja-JP"/>
              </w:rPr>
            </w:pPr>
            <w:r w:rsidRPr="009C5807">
              <w:rPr>
                <w:lang w:eastAsia="ja-JP"/>
              </w:rPr>
              <w:t>-50</w:t>
            </w:r>
          </w:p>
        </w:tc>
      </w:tr>
      <w:tr w:rsidR="00CB340B" w:rsidRPr="009C5807" w14:paraId="0E82E35C" w14:textId="77777777" w:rsidTr="00DF3064">
        <w:trPr>
          <w:jc w:val="center"/>
        </w:trPr>
        <w:tc>
          <w:tcPr>
            <w:tcW w:w="1156" w:type="dxa"/>
            <w:tcBorders>
              <w:left w:val="single" w:sz="6" w:space="0" w:color="auto"/>
              <w:right w:val="single" w:sz="6" w:space="0" w:color="auto"/>
            </w:tcBorders>
          </w:tcPr>
          <w:p w14:paraId="3871DDB7" w14:textId="77777777" w:rsidR="00CB340B" w:rsidRPr="009C5807" w:rsidRDefault="00CB340B" w:rsidP="00CB340B">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03538ECD" w14:textId="71E9D7CD" w:rsidR="00CB340B" w:rsidRPr="009C5807" w:rsidRDefault="00CB340B" w:rsidP="00F70A70">
            <w:pPr>
              <w:pStyle w:val="TAC"/>
              <w:rPr>
                <w:lang w:val="sv-SE"/>
              </w:rPr>
            </w:pPr>
            <w:r w:rsidRPr="009C5807">
              <w:rPr>
                <w:lang w:val="sv-SE"/>
              </w:rPr>
              <w:t>NR_FDD_FR1_F</w:t>
            </w:r>
          </w:p>
        </w:tc>
        <w:tc>
          <w:tcPr>
            <w:tcW w:w="1498" w:type="dxa"/>
            <w:tcBorders>
              <w:top w:val="single" w:sz="6" w:space="0" w:color="auto"/>
              <w:left w:val="single" w:sz="6" w:space="0" w:color="auto"/>
              <w:bottom w:val="single" w:sz="6" w:space="0" w:color="auto"/>
              <w:right w:val="single" w:sz="6" w:space="0" w:color="auto"/>
            </w:tcBorders>
            <w:vAlign w:val="center"/>
          </w:tcPr>
          <w:p w14:paraId="3799EF5E" w14:textId="3308D9F8" w:rsidR="00CB340B" w:rsidRPr="009C5807" w:rsidRDefault="00CB340B" w:rsidP="00F70A70">
            <w:pPr>
              <w:pStyle w:val="TAC"/>
            </w:pPr>
            <w:r w:rsidRPr="009C5807">
              <w:t>-118.5</w:t>
            </w:r>
          </w:p>
        </w:tc>
        <w:tc>
          <w:tcPr>
            <w:tcW w:w="1498" w:type="dxa"/>
            <w:tcBorders>
              <w:top w:val="single" w:sz="6" w:space="0" w:color="auto"/>
              <w:left w:val="single" w:sz="6" w:space="0" w:color="auto"/>
              <w:bottom w:val="single" w:sz="6" w:space="0" w:color="auto"/>
              <w:right w:val="single" w:sz="6" w:space="0" w:color="auto"/>
            </w:tcBorders>
            <w:vAlign w:val="center"/>
          </w:tcPr>
          <w:p w14:paraId="2780B907" w14:textId="759EDABA" w:rsidR="00CB340B" w:rsidRPr="009C5807" w:rsidRDefault="00CB340B" w:rsidP="00F70A70">
            <w:pPr>
              <w:pStyle w:val="TAC"/>
            </w:pPr>
            <w:r w:rsidRPr="009C5807">
              <w:t>-115.5</w:t>
            </w:r>
          </w:p>
        </w:tc>
        <w:tc>
          <w:tcPr>
            <w:tcW w:w="1525" w:type="dxa"/>
            <w:tcBorders>
              <w:top w:val="single" w:sz="6" w:space="0" w:color="auto"/>
              <w:left w:val="single" w:sz="6" w:space="0" w:color="auto"/>
              <w:bottom w:val="single" w:sz="6" w:space="0" w:color="auto"/>
              <w:right w:val="single" w:sz="4" w:space="0" w:color="auto"/>
            </w:tcBorders>
            <w:vAlign w:val="center"/>
          </w:tcPr>
          <w:p w14:paraId="1046FDCA" w14:textId="6A3A1764" w:rsidR="00CB340B" w:rsidRPr="009C5807" w:rsidRDefault="00CB340B" w:rsidP="00F70A70">
            <w:pPr>
              <w:pStyle w:val="TAC"/>
              <w:rPr>
                <w:lang w:eastAsia="ja-JP"/>
              </w:rPr>
            </w:pPr>
            <w:r w:rsidRPr="009C5807">
              <w:rPr>
                <w:lang w:eastAsia="ja-JP"/>
              </w:rPr>
              <w:t>-50</w:t>
            </w:r>
          </w:p>
        </w:tc>
      </w:tr>
      <w:tr w:rsidR="001F5A79" w:rsidRPr="009C5807" w14:paraId="11841574" w14:textId="77777777" w:rsidTr="00DF3064">
        <w:trPr>
          <w:jc w:val="center"/>
        </w:trPr>
        <w:tc>
          <w:tcPr>
            <w:tcW w:w="1156" w:type="dxa"/>
            <w:tcBorders>
              <w:left w:val="single" w:sz="6" w:space="0" w:color="auto"/>
              <w:right w:val="single" w:sz="6" w:space="0" w:color="auto"/>
            </w:tcBorders>
          </w:tcPr>
          <w:p w14:paraId="68D1FA26"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5A766356" w14:textId="77777777" w:rsidR="001F5A79" w:rsidRPr="009C5807" w:rsidRDefault="001F5A79" w:rsidP="00F70A70">
            <w:pPr>
              <w:pStyle w:val="TAC"/>
              <w:rPr>
                <w:lang w:eastAsia="ja-JP"/>
              </w:rPr>
            </w:pPr>
            <w:r w:rsidRPr="009C5807">
              <w:rPr>
                <w:lang w:val="sv-SE"/>
              </w:rPr>
              <w:t>NR_FDD_FR1_G</w:t>
            </w:r>
          </w:p>
        </w:tc>
        <w:tc>
          <w:tcPr>
            <w:tcW w:w="1498" w:type="dxa"/>
            <w:tcBorders>
              <w:top w:val="single" w:sz="6" w:space="0" w:color="auto"/>
              <w:left w:val="single" w:sz="6" w:space="0" w:color="auto"/>
              <w:bottom w:val="single" w:sz="6" w:space="0" w:color="auto"/>
              <w:right w:val="single" w:sz="6" w:space="0" w:color="auto"/>
            </w:tcBorders>
            <w:vAlign w:val="center"/>
          </w:tcPr>
          <w:p w14:paraId="0ACDCACA" w14:textId="77777777" w:rsidR="001F5A79" w:rsidRPr="009C5807" w:rsidRDefault="001F5A79" w:rsidP="00F70A70">
            <w:pPr>
              <w:pStyle w:val="TAC"/>
              <w:rPr>
                <w:lang w:eastAsia="ja-JP"/>
              </w:rPr>
            </w:pPr>
            <w:r w:rsidRPr="009C5807">
              <w:t>-118</w:t>
            </w:r>
          </w:p>
        </w:tc>
        <w:tc>
          <w:tcPr>
            <w:tcW w:w="1498" w:type="dxa"/>
            <w:tcBorders>
              <w:top w:val="single" w:sz="6" w:space="0" w:color="auto"/>
              <w:left w:val="single" w:sz="6" w:space="0" w:color="auto"/>
              <w:bottom w:val="single" w:sz="6" w:space="0" w:color="auto"/>
              <w:right w:val="single" w:sz="6" w:space="0" w:color="auto"/>
            </w:tcBorders>
            <w:vAlign w:val="center"/>
          </w:tcPr>
          <w:p w14:paraId="13E9541E" w14:textId="77777777" w:rsidR="001F5A79" w:rsidRPr="009C5807" w:rsidRDefault="001F5A79" w:rsidP="00F70A70">
            <w:pPr>
              <w:pStyle w:val="TAC"/>
              <w:rPr>
                <w:lang w:eastAsia="ja-JP"/>
              </w:rPr>
            </w:pPr>
            <w:r w:rsidRPr="009C5807">
              <w:t>-115</w:t>
            </w:r>
          </w:p>
        </w:tc>
        <w:tc>
          <w:tcPr>
            <w:tcW w:w="1525" w:type="dxa"/>
            <w:tcBorders>
              <w:top w:val="single" w:sz="6" w:space="0" w:color="auto"/>
              <w:left w:val="single" w:sz="6" w:space="0" w:color="auto"/>
              <w:bottom w:val="single" w:sz="6" w:space="0" w:color="auto"/>
              <w:right w:val="single" w:sz="4" w:space="0" w:color="auto"/>
            </w:tcBorders>
            <w:vAlign w:val="center"/>
          </w:tcPr>
          <w:p w14:paraId="794CC73B" w14:textId="77777777" w:rsidR="001F5A79" w:rsidRPr="009C5807" w:rsidRDefault="001F5A79" w:rsidP="00F70A70">
            <w:pPr>
              <w:pStyle w:val="TAC"/>
              <w:rPr>
                <w:lang w:eastAsia="ja-JP"/>
              </w:rPr>
            </w:pPr>
            <w:r w:rsidRPr="009C5807">
              <w:rPr>
                <w:lang w:eastAsia="ja-JP"/>
              </w:rPr>
              <w:t>-50</w:t>
            </w:r>
          </w:p>
        </w:tc>
      </w:tr>
      <w:tr w:rsidR="001F5A79" w:rsidRPr="009C5807" w14:paraId="4AB001F6" w14:textId="77777777" w:rsidTr="00DF3064">
        <w:trPr>
          <w:jc w:val="center"/>
        </w:trPr>
        <w:tc>
          <w:tcPr>
            <w:tcW w:w="1156" w:type="dxa"/>
            <w:tcBorders>
              <w:left w:val="single" w:sz="6" w:space="0" w:color="auto"/>
              <w:right w:val="single" w:sz="6" w:space="0" w:color="auto"/>
            </w:tcBorders>
          </w:tcPr>
          <w:p w14:paraId="1337AFBA" w14:textId="77777777" w:rsidR="001F5A79" w:rsidRPr="009C5807" w:rsidRDefault="001F5A79" w:rsidP="00DF3064">
            <w:pPr>
              <w:keepNext/>
              <w:keepLines/>
              <w:spacing w:after="0"/>
              <w:jc w:val="center"/>
              <w:rPr>
                <w:rFonts w:ascii="Arial" w:hAnsi="Arial" w:cs="Arial"/>
                <w:sz w:val="18"/>
                <w:lang w:eastAsia="ja-JP"/>
              </w:rPr>
            </w:pPr>
          </w:p>
        </w:tc>
        <w:tc>
          <w:tcPr>
            <w:tcW w:w="4178" w:type="dxa"/>
            <w:tcBorders>
              <w:top w:val="single" w:sz="6" w:space="0" w:color="auto"/>
              <w:left w:val="single" w:sz="6" w:space="0" w:color="auto"/>
              <w:bottom w:val="single" w:sz="6" w:space="0" w:color="auto"/>
              <w:right w:val="single" w:sz="6" w:space="0" w:color="auto"/>
            </w:tcBorders>
            <w:vAlign w:val="center"/>
          </w:tcPr>
          <w:p w14:paraId="5A5D28F8" w14:textId="77777777" w:rsidR="001F5A79" w:rsidRPr="009C5807" w:rsidRDefault="001F5A79" w:rsidP="00F70A70">
            <w:pPr>
              <w:pStyle w:val="TAC"/>
              <w:rPr>
                <w:lang w:eastAsia="ja-JP"/>
              </w:rPr>
            </w:pPr>
            <w:r w:rsidRPr="009C5807">
              <w:rPr>
                <w:lang w:val="sv-SE"/>
              </w:rPr>
              <w:t>NR_FDD_FR1_H</w:t>
            </w:r>
          </w:p>
        </w:tc>
        <w:tc>
          <w:tcPr>
            <w:tcW w:w="1498" w:type="dxa"/>
            <w:tcBorders>
              <w:top w:val="single" w:sz="6" w:space="0" w:color="auto"/>
              <w:left w:val="single" w:sz="6" w:space="0" w:color="auto"/>
              <w:bottom w:val="single" w:sz="6" w:space="0" w:color="auto"/>
              <w:right w:val="single" w:sz="6" w:space="0" w:color="auto"/>
            </w:tcBorders>
            <w:vAlign w:val="center"/>
          </w:tcPr>
          <w:p w14:paraId="42F986FD" w14:textId="77777777" w:rsidR="001F5A79" w:rsidRPr="009C5807" w:rsidRDefault="001F5A79" w:rsidP="00F70A70">
            <w:pPr>
              <w:pStyle w:val="TAC"/>
              <w:rPr>
                <w:lang w:eastAsia="ja-JP"/>
              </w:rPr>
            </w:pPr>
            <w:r w:rsidRPr="009C5807">
              <w:t>-117.5</w:t>
            </w:r>
          </w:p>
        </w:tc>
        <w:tc>
          <w:tcPr>
            <w:tcW w:w="1498" w:type="dxa"/>
            <w:tcBorders>
              <w:top w:val="single" w:sz="6" w:space="0" w:color="auto"/>
              <w:left w:val="single" w:sz="6" w:space="0" w:color="auto"/>
              <w:bottom w:val="single" w:sz="6" w:space="0" w:color="auto"/>
              <w:right w:val="single" w:sz="6" w:space="0" w:color="auto"/>
            </w:tcBorders>
            <w:vAlign w:val="center"/>
          </w:tcPr>
          <w:p w14:paraId="79BC6A07" w14:textId="77777777" w:rsidR="001F5A79" w:rsidRPr="009C5807" w:rsidRDefault="001F5A79" w:rsidP="00F70A70">
            <w:pPr>
              <w:pStyle w:val="TAC"/>
              <w:rPr>
                <w:lang w:eastAsia="ja-JP"/>
              </w:rPr>
            </w:pPr>
            <w:r w:rsidRPr="009C5807">
              <w:t>-114.5</w:t>
            </w:r>
          </w:p>
        </w:tc>
        <w:tc>
          <w:tcPr>
            <w:tcW w:w="1525" w:type="dxa"/>
            <w:tcBorders>
              <w:top w:val="single" w:sz="6" w:space="0" w:color="auto"/>
              <w:left w:val="single" w:sz="6" w:space="0" w:color="auto"/>
              <w:bottom w:val="single" w:sz="6" w:space="0" w:color="auto"/>
              <w:right w:val="single" w:sz="4" w:space="0" w:color="auto"/>
            </w:tcBorders>
            <w:vAlign w:val="center"/>
          </w:tcPr>
          <w:p w14:paraId="4C3C91BE" w14:textId="77777777" w:rsidR="001F5A79" w:rsidRPr="009C5807" w:rsidRDefault="001F5A79" w:rsidP="00F70A70">
            <w:pPr>
              <w:pStyle w:val="TAC"/>
              <w:rPr>
                <w:lang w:eastAsia="ja-JP"/>
              </w:rPr>
            </w:pPr>
            <w:r w:rsidRPr="009C5807">
              <w:rPr>
                <w:lang w:eastAsia="ja-JP"/>
              </w:rPr>
              <w:t>-50</w:t>
            </w:r>
          </w:p>
        </w:tc>
      </w:tr>
      <w:tr w:rsidR="001F5A79" w:rsidRPr="009C5807" w14:paraId="6701A898" w14:textId="77777777" w:rsidTr="00DF3064">
        <w:trPr>
          <w:jc w:val="center"/>
        </w:trPr>
        <w:tc>
          <w:tcPr>
            <w:tcW w:w="9855" w:type="dxa"/>
            <w:gridSpan w:val="5"/>
            <w:tcBorders>
              <w:top w:val="single" w:sz="6" w:space="0" w:color="auto"/>
              <w:left w:val="single" w:sz="6" w:space="0" w:color="auto"/>
              <w:bottom w:val="single" w:sz="6" w:space="0" w:color="auto"/>
              <w:right w:val="single" w:sz="4" w:space="0" w:color="auto"/>
            </w:tcBorders>
          </w:tcPr>
          <w:p w14:paraId="5D480F56" w14:textId="77777777" w:rsidR="001F5A79" w:rsidRPr="009C5807" w:rsidRDefault="001F5A79" w:rsidP="00563F0C">
            <w:pPr>
              <w:pStyle w:val="TAN"/>
              <w:rPr>
                <w:rFonts w:cs="Arial"/>
                <w:lang w:eastAsia="ja-JP"/>
              </w:rPr>
            </w:pPr>
            <w:r w:rsidRPr="009C5807">
              <w:rPr>
                <w:rFonts w:cs="Arial"/>
                <w:lang w:eastAsia="ja-JP"/>
              </w:rPr>
              <w:t>N</w:t>
            </w:r>
            <w:r w:rsidRPr="009C5807">
              <w:rPr>
                <w:rFonts w:cs="Arial"/>
                <w:lang w:eastAsia="zh-CN"/>
              </w:rPr>
              <w:t>OTE</w:t>
            </w:r>
            <w:r w:rsidRPr="009C5807">
              <w:rPr>
                <w:rFonts w:cs="Arial"/>
                <w:lang w:eastAsia="ja-JP"/>
              </w:rPr>
              <w:t xml:space="preserve"> 1:</w:t>
            </w:r>
            <w:r w:rsidRPr="009C5807">
              <w:rPr>
                <w:rFonts w:cs="Arial"/>
                <w:lang w:eastAsia="ja-JP"/>
              </w:rPr>
              <w:tab/>
            </w:r>
            <w:r w:rsidRPr="009C5807">
              <w:t>Io is assumed to have constant EPRE across the bandwidth</w:t>
            </w:r>
            <w:r w:rsidRPr="009C5807">
              <w:rPr>
                <w:rFonts w:cs="Arial"/>
                <w:lang w:eastAsia="ja-JP"/>
              </w:rPr>
              <w:t>.</w:t>
            </w:r>
          </w:p>
          <w:p w14:paraId="30812F55" w14:textId="77777777" w:rsidR="001F5A79" w:rsidRPr="009C5807" w:rsidRDefault="001F5A79" w:rsidP="00563F0C">
            <w:pPr>
              <w:pStyle w:val="TAN"/>
              <w:rPr>
                <w:rFonts w:cs="Arial"/>
                <w:lang w:eastAsia="ja-JP"/>
              </w:rPr>
            </w:pPr>
            <w:r w:rsidRPr="009C5807">
              <w:rPr>
                <w:rFonts w:cs="Arial"/>
                <w:lang w:eastAsia="ja-JP"/>
              </w:rPr>
              <w:t>NOTE 2:</w:t>
            </w:r>
            <w:r w:rsidRPr="009C5807">
              <w:rPr>
                <w:rFonts w:cs="Arial"/>
                <w:lang w:eastAsia="ja-JP"/>
              </w:rPr>
              <w:tab/>
              <w:t>NR operating band groups are as defined in clause 3.5.2.</w:t>
            </w:r>
          </w:p>
        </w:tc>
      </w:tr>
    </w:tbl>
    <w:p w14:paraId="45ADAB75" w14:textId="77777777" w:rsidR="001F5A79" w:rsidRPr="009C5807" w:rsidRDefault="001F5A79" w:rsidP="001F5A79"/>
    <w:p w14:paraId="329771FC" w14:textId="77777777" w:rsidR="001F5A79" w:rsidRPr="009C5807" w:rsidRDefault="001F5A79" w:rsidP="001F5A79">
      <w:r w:rsidRPr="009C5807">
        <w:t>For FR2 PCell, inter frequency neighbour cell SFN and frame timing measurement:</w:t>
      </w:r>
    </w:p>
    <w:p w14:paraId="76FC9926" w14:textId="77777777" w:rsidR="001F5A79" w:rsidRPr="009C5807" w:rsidRDefault="001F5A79" w:rsidP="00563F0C">
      <w:pPr>
        <w:pStyle w:val="B10"/>
        <w:rPr>
          <w:rFonts w:cs="v4.2.0"/>
        </w:rPr>
      </w:pPr>
      <w:r w:rsidRPr="009C5807">
        <w:t>-</w:t>
      </w:r>
      <w:r w:rsidRPr="009C5807">
        <w:tab/>
        <w:t>Conditions defined in clause 7.3 of TS 38.101-2 [19] for reference sensitivity are fulfilled.</w:t>
      </w:r>
    </w:p>
    <w:p w14:paraId="538C4761" w14:textId="77777777" w:rsidR="001F5A79" w:rsidRPr="009C5807" w:rsidRDefault="001F5A79" w:rsidP="00563F0C">
      <w:pPr>
        <w:pStyle w:val="B10"/>
      </w:pPr>
      <w:r w:rsidRPr="009C5807">
        <w:t>-</w:t>
      </w:r>
      <w:r w:rsidRPr="009C5807">
        <w:tab/>
        <w:t>Io range deifined in Table 10.1.21.3-2.</w:t>
      </w:r>
    </w:p>
    <w:p w14:paraId="479B48C0" w14:textId="77777777" w:rsidR="001F5A79" w:rsidRPr="009C5807" w:rsidRDefault="001F5A79" w:rsidP="00563F0C">
      <w:pPr>
        <w:pStyle w:val="B10"/>
        <w:rPr>
          <w:rFonts w:cs="v4.2.0"/>
        </w:rPr>
      </w:pPr>
      <w:r w:rsidRPr="009C5807">
        <w:t>-</w:t>
      </w:r>
      <w:r w:rsidRPr="009C5807">
        <w:tab/>
        <w:t>The measured signals are in the directions covered by the percentile EIS spherical coverage of the UE, defined in clause 7.3.4 of TS 38.101-2 [19].</w:t>
      </w:r>
    </w:p>
    <w:p w14:paraId="2B42D8E6" w14:textId="77777777" w:rsidR="001F5A79" w:rsidRPr="009C5807" w:rsidRDefault="001F5A79" w:rsidP="00563F0C">
      <w:pPr>
        <w:pStyle w:val="TH"/>
      </w:pPr>
      <w:r w:rsidRPr="009C5807">
        <w:t>Table 10.1.21.3-2: PCell, inter frequency neighbour cell Io range conditions in</w:t>
      </w:r>
      <w:r w:rsidRPr="009C5807">
        <w:rPr>
          <w:lang w:eastAsia="zh-CN"/>
        </w:rPr>
        <w:t xml:space="preserve"> FR2</w:t>
      </w:r>
    </w:p>
    <w:tbl>
      <w:tblPr>
        <w:tblW w:w="9833" w:type="dxa"/>
        <w:jc w:val="center"/>
        <w:tblLayout w:type="fixed"/>
        <w:tblLook w:val="0000" w:firstRow="0" w:lastRow="0" w:firstColumn="0" w:lastColumn="0" w:noHBand="0" w:noVBand="0"/>
      </w:tblPr>
      <w:tblGrid>
        <w:gridCol w:w="1156"/>
        <w:gridCol w:w="3245"/>
        <w:gridCol w:w="3246"/>
        <w:gridCol w:w="2186"/>
      </w:tblGrid>
      <w:tr w:rsidR="001F5A79" w:rsidRPr="009C5807" w14:paraId="69BA7863" w14:textId="77777777" w:rsidTr="00F70A70">
        <w:trPr>
          <w:jc w:val="center"/>
        </w:trPr>
        <w:tc>
          <w:tcPr>
            <w:tcW w:w="1156" w:type="dxa"/>
            <w:tcBorders>
              <w:top w:val="single" w:sz="6" w:space="0" w:color="auto"/>
              <w:left w:val="single" w:sz="6" w:space="0" w:color="auto"/>
              <w:right w:val="single" w:sz="4" w:space="0" w:color="auto"/>
            </w:tcBorders>
            <w:vAlign w:val="center"/>
          </w:tcPr>
          <w:p w14:paraId="3E87BFA7" w14:textId="77777777" w:rsidR="001F5A79" w:rsidRPr="009C5807" w:rsidRDefault="001F5A79" w:rsidP="00F70A70">
            <w:pPr>
              <w:pStyle w:val="TAH"/>
              <w:rPr>
                <w:lang w:eastAsia="zh-CN"/>
              </w:rPr>
            </w:pPr>
            <w:r w:rsidRPr="009C5807">
              <w:rPr>
                <w:lang w:eastAsia="zh-CN"/>
              </w:rPr>
              <w:t>Parameter</w:t>
            </w:r>
          </w:p>
        </w:tc>
        <w:tc>
          <w:tcPr>
            <w:tcW w:w="8677" w:type="dxa"/>
            <w:gridSpan w:val="3"/>
            <w:tcBorders>
              <w:top w:val="single" w:sz="6" w:space="0" w:color="auto"/>
              <w:left w:val="single" w:sz="6" w:space="0" w:color="auto"/>
              <w:bottom w:val="single" w:sz="6" w:space="0" w:color="auto"/>
              <w:right w:val="single" w:sz="4" w:space="0" w:color="auto"/>
            </w:tcBorders>
            <w:vAlign w:val="center"/>
          </w:tcPr>
          <w:p w14:paraId="78D04A2C" w14:textId="77777777" w:rsidR="001F5A79" w:rsidRPr="009C5807" w:rsidRDefault="001F5A79" w:rsidP="00F70A70">
            <w:pPr>
              <w:pStyle w:val="TAH"/>
              <w:rPr>
                <w:lang w:eastAsia="ja-JP"/>
              </w:rPr>
            </w:pPr>
            <w:r w:rsidRPr="009C5807">
              <w:rPr>
                <w:lang w:eastAsia="ja-JP"/>
              </w:rPr>
              <w:t>Io</w:t>
            </w:r>
            <w:r w:rsidRPr="009C5807">
              <w:rPr>
                <w:vertAlign w:val="superscript"/>
                <w:lang w:eastAsia="zh-CN"/>
              </w:rPr>
              <w:t xml:space="preserve"> Note 1</w:t>
            </w:r>
            <w:r w:rsidRPr="009C5807">
              <w:rPr>
                <w:lang w:eastAsia="ja-JP"/>
              </w:rPr>
              <w:t xml:space="preserve"> range</w:t>
            </w:r>
          </w:p>
        </w:tc>
      </w:tr>
      <w:tr w:rsidR="001F5A79" w:rsidRPr="009C5807" w14:paraId="3AF37F3C" w14:textId="77777777" w:rsidTr="00F70A70">
        <w:trPr>
          <w:jc w:val="center"/>
        </w:trPr>
        <w:tc>
          <w:tcPr>
            <w:tcW w:w="1156" w:type="dxa"/>
            <w:tcBorders>
              <w:left w:val="single" w:sz="6" w:space="0" w:color="auto"/>
              <w:right w:val="single" w:sz="4" w:space="0" w:color="auto"/>
            </w:tcBorders>
          </w:tcPr>
          <w:p w14:paraId="31A9584A" w14:textId="77777777" w:rsidR="001F5A79" w:rsidRPr="009C5807" w:rsidRDefault="001F5A79" w:rsidP="00F70A70">
            <w:pPr>
              <w:pStyle w:val="TAH"/>
              <w:rPr>
                <w:lang w:eastAsia="ja-JP"/>
              </w:rPr>
            </w:pPr>
          </w:p>
        </w:tc>
        <w:tc>
          <w:tcPr>
            <w:tcW w:w="6491" w:type="dxa"/>
            <w:gridSpan w:val="2"/>
            <w:tcBorders>
              <w:top w:val="single" w:sz="6" w:space="0" w:color="auto"/>
              <w:left w:val="single" w:sz="6" w:space="0" w:color="auto"/>
              <w:bottom w:val="single" w:sz="6" w:space="0" w:color="auto"/>
              <w:right w:val="single" w:sz="6" w:space="0" w:color="auto"/>
            </w:tcBorders>
            <w:vAlign w:val="center"/>
          </w:tcPr>
          <w:p w14:paraId="48ACDF0E" w14:textId="77777777" w:rsidR="001F5A79" w:rsidRPr="009C5807" w:rsidRDefault="001F5A79" w:rsidP="00F70A70">
            <w:pPr>
              <w:pStyle w:val="TAH"/>
              <w:rPr>
                <w:lang w:eastAsia="ja-JP"/>
              </w:rPr>
            </w:pPr>
            <w:r w:rsidRPr="009C5807">
              <w:rPr>
                <w:lang w:eastAsia="ja-JP"/>
              </w:rPr>
              <w:t>Minimum Io</w:t>
            </w:r>
            <w:r w:rsidRPr="009C5807">
              <w:rPr>
                <w:vertAlign w:val="superscript"/>
                <w:lang w:eastAsia="zh-CN"/>
              </w:rPr>
              <w:t xml:space="preserve"> Note 2, 3</w:t>
            </w:r>
          </w:p>
        </w:tc>
        <w:tc>
          <w:tcPr>
            <w:tcW w:w="2186" w:type="dxa"/>
            <w:tcBorders>
              <w:top w:val="single" w:sz="6" w:space="0" w:color="auto"/>
              <w:left w:val="single" w:sz="6" w:space="0" w:color="auto"/>
              <w:bottom w:val="single" w:sz="6" w:space="0" w:color="auto"/>
              <w:right w:val="single" w:sz="4" w:space="0" w:color="auto"/>
            </w:tcBorders>
            <w:vAlign w:val="center"/>
          </w:tcPr>
          <w:p w14:paraId="2AF60390" w14:textId="77777777" w:rsidR="001F5A79" w:rsidRPr="009C5807" w:rsidRDefault="001F5A79" w:rsidP="00F70A70">
            <w:pPr>
              <w:pStyle w:val="TAH"/>
              <w:rPr>
                <w:lang w:eastAsia="ja-JP"/>
              </w:rPr>
            </w:pPr>
            <w:r w:rsidRPr="009C5807">
              <w:rPr>
                <w:lang w:eastAsia="ja-JP"/>
              </w:rPr>
              <w:t>Maximum Io</w:t>
            </w:r>
          </w:p>
        </w:tc>
      </w:tr>
      <w:tr w:rsidR="001F5A79" w:rsidRPr="009C5807" w14:paraId="10743E77" w14:textId="77777777" w:rsidTr="00F70A70">
        <w:trPr>
          <w:trHeight w:val="70"/>
          <w:jc w:val="center"/>
        </w:trPr>
        <w:tc>
          <w:tcPr>
            <w:tcW w:w="1156" w:type="dxa"/>
            <w:tcBorders>
              <w:left w:val="single" w:sz="6" w:space="0" w:color="auto"/>
              <w:right w:val="single" w:sz="4" w:space="0" w:color="auto"/>
            </w:tcBorders>
            <w:vAlign w:val="center"/>
          </w:tcPr>
          <w:p w14:paraId="2A64E50F" w14:textId="77777777" w:rsidR="001F5A79" w:rsidRPr="009C5807" w:rsidRDefault="001F5A79" w:rsidP="00F70A70">
            <w:pPr>
              <w:pStyle w:val="TAH"/>
              <w:rPr>
                <w:lang w:eastAsia="zh-CN"/>
              </w:rPr>
            </w:pPr>
          </w:p>
        </w:tc>
        <w:tc>
          <w:tcPr>
            <w:tcW w:w="6491" w:type="dxa"/>
            <w:gridSpan w:val="2"/>
            <w:tcBorders>
              <w:top w:val="single" w:sz="6" w:space="0" w:color="auto"/>
              <w:left w:val="single" w:sz="6" w:space="0" w:color="auto"/>
              <w:bottom w:val="single" w:sz="6" w:space="0" w:color="auto"/>
              <w:right w:val="single" w:sz="6" w:space="0" w:color="auto"/>
            </w:tcBorders>
            <w:vAlign w:val="center"/>
          </w:tcPr>
          <w:p w14:paraId="7BB43621" w14:textId="77777777" w:rsidR="001F5A79" w:rsidRPr="009C5807" w:rsidRDefault="001F5A79" w:rsidP="00F70A70">
            <w:pPr>
              <w:pStyle w:val="TAH"/>
              <w:rPr>
                <w:lang w:eastAsia="ja-JP"/>
              </w:rPr>
            </w:pPr>
            <w:r w:rsidRPr="009C5807">
              <w:rPr>
                <w:lang w:eastAsia="ja-JP"/>
              </w:rPr>
              <w:t>dBm/ SCS</w:t>
            </w:r>
            <w:r w:rsidRPr="009C5807">
              <w:rPr>
                <w:vertAlign w:val="subscript"/>
                <w:lang w:eastAsia="ja-JP"/>
              </w:rPr>
              <w:t>SSB</w:t>
            </w:r>
            <w:r w:rsidRPr="009C5807">
              <w:rPr>
                <w:vertAlign w:val="superscript"/>
                <w:lang w:eastAsia="zh-CN"/>
              </w:rPr>
              <w:t xml:space="preserve"> </w:t>
            </w:r>
          </w:p>
        </w:tc>
        <w:tc>
          <w:tcPr>
            <w:tcW w:w="2186" w:type="dxa"/>
            <w:tcBorders>
              <w:top w:val="single" w:sz="6" w:space="0" w:color="auto"/>
              <w:left w:val="single" w:sz="6" w:space="0" w:color="auto"/>
              <w:right w:val="single" w:sz="4" w:space="0" w:color="auto"/>
            </w:tcBorders>
            <w:vAlign w:val="center"/>
          </w:tcPr>
          <w:p w14:paraId="4B8D8D58" w14:textId="77777777" w:rsidR="001F5A79" w:rsidRPr="009C5807" w:rsidRDefault="001F5A79" w:rsidP="00F70A70">
            <w:pPr>
              <w:pStyle w:val="TAH"/>
              <w:rPr>
                <w:lang w:eastAsia="ja-JP"/>
              </w:rPr>
            </w:pPr>
            <w:r w:rsidRPr="009C5807">
              <w:rPr>
                <w:lang w:eastAsia="ja-JP"/>
              </w:rPr>
              <w:t>dBm/BW</w:t>
            </w:r>
            <w:r w:rsidRPr="009C5807">
              <w:rPr>
                <w:vertAlign w:val="subscript"/>
                <w:lang w:eastAsia="ja-JP"/>
              </w:rPr>
              <w:t>Channel</w:t>
            </w:r>
          </w:p>
        </w:tc>
      </w:tr>
      <w:tr w:rsidR="001F5A79" w:rsidRPr="009C5807" w14:paraId="0A9A69D1" w14:textId="77777777" w:rsidTr="00DF3064">
        <w:trPr>
          <w:trHeight w:val="70"/>
          <w:jc w:val="center"/>
        </w:trPr>
        <w:tc>
          <w:tcPr>
            <w:tcW w:w="1156" w:type="dxa"/>
            <w:tcBorders>
              <w:left w:val="single" w:sz="6" w:space="0" w:color="auto"/>
              <w:bottom w:val="single" w:sz="4" w:space="0" w:color="auto"/>
              <w:right w:val="single" w:sz="4" w:space="0" w:color="auto"/>
            </w:tcBorders>
            <w:vAlign w:val="center"/>
          </w:tcPr>
          <w:p w14:paraId="568D185F" w14:textId="77777777" w:rsidR="001F5A79" w:rsidRPr="009C5807" w:rsidRDefault="001F5A79" w:rsidP="00F70A70">
            <w:pPr>
              <w:pStyle w:val="TAH"/>
              <w:rPr>
                <w:lang w:eastAsia="zh-CN"/>
              </w:rPr>
            </w:pPr>
          </w:p>
        </w:tc>
        <w:tc>
          <w:tcPr>
            <w:tcW w:w="3245" w:type="dxa"/>
            <w:tcBorders>
              <w:top w:val="single" w:sz="6" w:space="0" w:color="auto"/>
              <w:left w:val="single" w:sz="6" w:space="0" w:color="auto"/>
              <w:bottom w:val="single" w:sz="6" w:space="0" w:color="auto"/>
              <w:right w:val="single" w:sz="6" w:space="0" w:color="auto"/>
            </w:tcBorders>
            <w:vAlign w:val="center"/>
          </w:tcPr>
          <w:p w14:paraId="7DECD6BD" w14:textId="77777777" w:rsidR="001F5A79" w:rsidRPr="009C5807" w:rsidRDefault="001F5A79" w:rsidP="00F70A70">
            <w:pPr>
              <w:pStyle w:val="TAH"/>
              <w:rPr>
                <w:lang w:eastAsia="ja-JP"/>
              </w:rPr>
            </w:pPr>
            <w:r w:rsidRPr="009C5807">
              <w:t>SCS</w:t>
            </w:r>
            <w:r w:rsidRPr="009C5807">
              <w:rPr>
                <w:vertAlign w:val="subscript"/>
              </w:rPr>
              <w:t>SSB</w:t>
            </w:r>
            <w:r w:rsidRPr="009C5807">
              <w:t xml:space="preserve"> = 15 kHz</w:t>
            </w:r>
          </w:p>
        </w:tc>
        <w:tc>
          <w:tcPr>
            <w:tcW w:w="3246" w:type="dxa"/>
            <w:tcBorders>
              <w:top w:val="single" w:sz="6" w:space="0" w:color="auto"/>
              <w:left w:val="single" w:sz="6" w:space="0" w:color="auto"/>
              <w:bottom w:val="single" w:sz="6" w:space="0" w:color="auto"/>
              <w:right w:val="single" w:sz="6" w:space="0" w:color="auto"/>
            </w:tcBorders>
            <w:vAlign w:val="center"/>
          </w:tcPr>
          <w:p w14:paraId="01F715E3" w14:textId="77777777" w:rsidR="001F5A79" w:rsidRPr="009C5807" w:rsidRDefault="001F5A79" w:rsidP="00F70A70">
            <w:pPr>
              <w:pStyle w:val="TAH"/>
              <w:rPr>
                <w:lang w:eastAsia="ja-JP"/>
              </w:rPr>
            </w:pPr>
            <w:r w:rsidRPr="009C5807">
              <w:t>SCS</w:t>
            </w:r>
            <w:r w:rsidRPr="009C5807">
              <w:rPr>
                <w:vertAlign w:val="subscript"/>
              </w:rPr>
              <w:t>SSB</w:t>
            </w:r>
            <w:r w:rsidRPr="009C5807">
              <w:t xml:space="preserve"> = 30 kHz</w:t>
            </w:r>
          </w:p>
        </w:tc>
        <w:tc>
          <w:tcPr>
            <w:tcW w:w="2186" w:type="dxa"/>
            <w:tcBorders>
              <w:left w:val="single" w:sz="6" w:space="0" w:color="auto"/>
              <w:bottom w:val="single" w:sz="6" w:space="0" w:color="auto"/>
              <w:right w:val="single" w:sz="4" w:space="0" w:color="auto"/>
            </w:tcBorders>
            <w:vAlign w:val="center"/>
          </w:tcPr>
          <w:p w14:paraId="7F0F5770" w14:textId="77777777" w:rsidR="001F5A79" w:rsidRPr="009C5807" w:rsidRDefault="001F5A79" w:rsidP="00F70A70">
            <w:pPr>
              <w:pStyle w:val="TAH"/>
              <w:rPr>
                <w:lang w:eastAsia="ja-JP"/>
              </w:rPr>
            </w:pPr>
          </w:p>
        </w:tc>
      </w:tr>
      <w:tr w:rsidR="001F5A79" w:rsidRPr="009C5807" w14:paraId="29AFA258" w14:textId="77777777" w:rsidTr="00DF3064">
        <w:trPr>
          <w:trHeight w:val="1011"/>
          <w:jc w:val="center"/>
        </w:trPr>
        <w:tc>
          <w:tcPr>
            <w:tcW w:w="1156" w:type="dxa"/>
            <w:tcBorders>
              <w:top w:val="single" w:sz="4" w:space="0" w:color="auto"/>
              <w:left w:val="single" w:sz="6" w:space="0" w:color="auto"/>
              <w:right w:val="single" w:sz="6" w:space="0" w:color="auto"/>
            </w:tcBorders>
            <w:vAlign w:val="center"/>
          </w:tcPr>
          <w:p w14:paraId="60DA205C" w14:textId="77777777" w:rsidR="001F5A79" w:rsidRPr="009C5807" w:rsidRDefault="001F5A79" w:rsidP="00563F0C">
            <w:pPr>
              <w:pStyle w:val="TAH"/>
              <w:rPr>
                <w:lang w:eastAsia="ja-JP"/>
              </w:rPr>
            </w:pPr>
            <w:r w:rsidRPr="009C5807">
              <w:rPr>
                <w:lang w:eastAsia="zh-CN"/>
              </w:rPr>
              <w:t>Conditions</w:t>
            </w:r>
          </w:p>
        </w:tc>
        <w:tc>
          <w:tcPr>
            <w:tcW w:w="3245" w:type="dxa"/>
            <w:tcBorders>
              <w:top w:val="single" w:sz="6" w:space="0" w:color="auto"/>
              <w:left w:val="single" w:sz="6" w:space="0" w:color="auto"/>
              <w:right w:val="single" w:sz="6" w:space="0" w:color="auto"/>
            </w:tcBorders>
            <w:vAlign w:val="center"/>
          </w:tcPr>
          <w:p w14:paraId="2B18546C" w14:textId="77777777" w:rsidR="001F5A79" w:rsidRPr="009C5807" w:rsidRDefault="001F5A79" w:rsidP="00DF3064">
            <w:pPr>
              <w:keepNext/>
              <w:keepLines/>
              <w:spacing w:after="0"/>
              <w:jc w:val="center"/>
              <w:rPr>
                <w:rFonts w:ascii="Arial" w:hAnsi="Arial" w:cs="Arial"/>
                <w:sz w:val="18"/>
                <w:lang w:eastAsia="ja-JP"/>
              </w:rPr>
            </w:pPr>
            <w:r w:rsidRPr="009C5807">
              <w:rPr>
                <w:rFonts w:ascii="Arial" w:hAnsi="Arial"/>
                <w:sz w:val="18"/>
              </w:rPr>
              <w:t>Same value as SSB_RP in Table B.2.4.1-2, according to UE Power class, operating band and angle of arrival</w:t>
            </w:r>
          </w:p>
        </w:tc>
        <w:tc>
          <w:tcPr>
            <w:tcW w:w="3246" w:type="dxa"/>
            <w:tcBorders>
              <w:top w:val="single" w:sz="6" w:space="0" w:color="auto"/>
              <w:left w:val="single" w:sz="6" w:space="0" w:color="auto"/>
              <w:right w:val="single" w:sz="6" w:space="0" w:color="auto"/>
            </w:tcBorders>
            <w:vAlign w:val="center"/>
          </w:tcPr>
          <w:p w14:paraId="5F6B7565" w14:textId="77777777" w:rsidR="001F5A79" w:rsidRPr="009C5807" w:rsidRDefault="001F5A79" w:rsidP="00DF3064">
            <w:pPr>
              <w:keepNext/>
              <w:keepLines/>
              <w:spacing w:after="0"/>
              <w:jc w:val="center"/>
              <w:rPr>
                <w:rFonts w:ascii="Arial" w:hAnsi="Arial" w:cs="Arial"/>
                <w:sz w:val="18"/>
                <w:lang w:eastAsia="ja-JP"/>
              </w:rPr>
            </w:pPr>
            <w:r w:rsidRPr="009C5807">
              <w:rPr>
                <w:rFonts w:ascii="Arial" w:hAnsi="Arial"/>
                <w:sz w:val="18"/>
              </w:rPr>
              <w:t>Same value as SSB_RP in Table B.2.4.1-2, according to UE Power class, operating band and angle of arrival</w:t>
            </w:r>
          </w:p>
        </w:tc>
        <w:tc>
          <w:tcPr>
            <w:tcW w:w="2186" w:type="dxa"/>
            <w:tcBorders>
              <w:top w:val="single" w:sz="6" w:space="0" w:color="auto"/>
              <w:left w:val="single" w:sz="6" w:space="0" w:color="auto"/>
              <w:right w:val="single" w:sz="4" w:space="0" w:color="auto"/>
            </w:tcBorders>
            <w:vAlign w:val="center"/>
          </w:tcPr>
          <w:p w14:paraId="38838C71" w14:textId="3E7DFF83" w:rsidR="001F5A79" w:rsidRPr="009C5807" w:rsidRDefault="004B4467" w:rsidP="00DF3064">
            <w:pPr>
              <w:keepNext/>
              <w:keepLines/>
              <w:spacing w:after="0"/>
              <w:jc w:val="center"/>
              <w:rPr>
                <w:rFonts w:ascii="Arial" w:hAnsi="Arial" w:cs="Arial"/>
                <w:sz w:val="18"/>
                <w:lang w:eastAsia="zh-CN"/>
              </w:rPr>
            </w:pPr>
            <w:r w:rsidRPr="009C5807">
              <w:rPr>
                <w:rFonts w:ascii="Arial" w:hAnsi="Arial" w:cs="Arial"/>
                <w:sz w:val="18"/>
                <w:lang w:eastAsia="zh-CN"/>
              </w:rPr>
              <w:t>-50</w:t>
            </w:r>
          </w:p>
        </w:tc>
      </w:tr>
      <w:tr w:rsidR="001F5A79" w:rsidRPr="009C5807" w14:paraId="61350E4A" w14:textId="77777777" w:rsidTr="00DF3064">
        <w:trPr>
          <w:jc w:val="center"/>
        </w:trPr>
        <w:tc>
          <w:tcPr>
            <w:tcW w:w="9833" w:type="dxa"/>
            <w:gridSpan w:val="4"/>
            <w:tcBorders>
              <w:top w:val="single" w:sz="6" w:space="0" w:color="auto"/>
              <w:left w:val="single" w:sz="6" w:space="0" w:color="auto"/>
              <w:bottom w:val="single" w:sz="6" w:space="0" w:color="auto"/>
              <w:right w:val="single" w:sz="4" w:space="0" w:color="auto"/>
            </w:tcBorders>
          </w:tcPr>
          <w:p w14:paraId="51F3D4E5" w14:textId="77777777" w:rsidR="001F5A79" w:rsidRPr="009C5807" w:rsidRDefault="001F5A79" w:rsidP="00563F0C">
            <w:pPr>
              <w:pStyle w:val="TAN"/>
              <w:rPr>
                <w:rFonts w:cs="Arial"/>
                <w:lang w:eastAsia="ja-JP"/>
              </w:rPr>
            </w:pPr>
            <w:r w:rsidRPr="009C5807">
              <w:rPr>
                <w:rFonts w:cs="Arial"/>
                <w:lang w:eastAsia="ja-JP"/>
              </w:rPr>
              <w:t>N</w:t>
            </w:r>
            <w:r w:rsidRPr="009C5807">
              <w:rPr>
                <w:rFonts w:cs="Arial"/>
                <w:lang w:eastAsia="zh-CN"/>
              </w:rPr>
              <w:t>OTE</w:t>
            </w:r>
            <w:r w:rsidRPr="009C5807">
              <w:rPr>
                <w:rFonts w:cs="Arial"/>
                <w:lang w:eastAsia="ja-JP"/>
              </w:rPr>
              <w:t xml:space="preserve"> 1:</w:t>
            </w:r>
            <w:r w:rsidRPr="009C5807">
              <w:rPr>
                <w:rFonts w:cs="Arial"/>
                <w:lang w:eastAsia="ja-JP"/>
              </w:rPr>
              <w:tab/>
            </w:r>
            <w:r w:rsidRPr="009C5807">
              <w:t xml:space="preserve">Io is assumed to have constant EPRE across the bandwidth and </w:t>
            </w:r>
            <w:r w:rsidRPr="009C5807">
              <w:rPr>
                <w:rFonts w:eastAsia="MS Mincho"/>
              </w:rPr>
              <w:t>specified at the Reference point</w:t>
            </w:r>
            <w:r w:rsidRPr="009C5807">
              <w:rPr>
                <w:rFonts w:cs="Arial"/>
                <w:lang w:eastAsia="ja-JP"/>
              </w:rPr>
              <w:t>.</w:t>
            </w:r>
          </w:p>
          <w:p w14:paraId="123B479C" w14:textId="19E1CCBA" w:rsidR="001F5A79" w:rsidRPr="009C5807" w:rsidRDefault="001F5A79" w:rsidP="00563F0C">
            <w:pPr>
              <w:pStyle w:val="TAN"/>
            </w:pPr>
            <w:r w:rsidRPr="009C5807">
              <w:rPr>
                <w:rFonts w:cs="Arial"/>
                <w:lang w:eastAsia="ja-JP"/>
              </w:rPr>
              <w:t>NOTE 2:</w:t>
            </w:r>
            <w:r w:rsidR="00A21E2B">
              <w:rPr>
                <w:rFonts w:cs="Arial"/>
                <w:lang w:eastAsia="ja-JP"/>
              </w:rPr>
              <w:tab/>
            </w:r>
            <w:r w:rsidRPr="009C5807">
              <w:t>Values based on Refsens and EIS spherical coverage as defined in clauses 7.3.2 and 7.3.4 of TS 38.101-2 [19]. Applicable side condition selected depending on angle of arrival.</w:t>
            </w:r>
          </w:p>
          <w:p w14:paraId="0736ED2A" w14:textId="77777777" w:rsidR="001F5A79" w:rsidRPr="009C5807" w:rsidRDefault="001F5A79" w:rsidP="00563F0C">
            <w:pPr>
              <w:pStyle w:val="TAN"/>
              <w:rPr>
                <w:rFonts w:cs="Arial"/>
                <w:lang w:eastAsia="ja-JP"/>
              </w:rPr>
            </w:pPr>
            <w:r w:rsidRPr="009C5807">
              <w:rPr>
                <w:rFonts w:cs="Arial"/>
                <w:lang w:eastAsia="ja-JP"/>
              </w:rPr>
              <w:t>NOTE 3:</w:t>
            </w:r>
            <w:r w:rsidRPr="009C5807">
              <w:rPr>
                <w:rFonts w:cs="Arial"/>
                <w:lang w:eastAsia="ja-JP"/>
              </w:rPr>
              <w:tab/>
              <w:t>In the test cases, the SSB Ês/Iot and related parameters may need to be adjusted to ensure Ês/Iot at UE baseband is above the value defined in this table.</w:t>
            </w:r>
          </w:p>
        </w:tc>
      </w:tr>
    </w:tbl>
    <w:p w14:paraId="4B722943" w14:textId="77777777" w:rsidR="001F5A79" w:rsidRPr="009C5807" w:rsidRDefault="001F5A79" w:rsidP="001F5A79"/>
    <w:p w14:paraId="75A5DD42" w14:textId="77777777" w:rsidR="001F5A79" w:rsidRPr="009C5807" w:rsidRDefault="001F5A79" w:rsidP="00563F0C">
      <w:pPr>
        <w:pStyle w:val="TH"/>
      </w:pPr>
      <w:r w:rsidRPr="009C5807">
        <w:t xml:space="preserve">Table 10.1.21.3-3: Inter frequency </w:t>
      </w:r>
      <w:r w:rsidRPr="009C5807">
        <w:rPr>
          <w:lang w:eastAsia="zh-CN"/>
        </w:rPr>
        <w:t>SFTD</w:t>
      </w:r>
      <w:r w:rsidRPr="009C5807">
        <w:t xml:space="preserve"> measurement accuracy</w:t>
      </w:r>
    </w:p>
    <w:tbl>
      <w:tblPr>
        <w:tblW w:w="0" w:type="auto"/>
        <w:jc w:val="center"/>
        <w:tblLayout w:type="fixed"/>
        <w:tblLook w:val="0000" w:firstRow="0" w:lastRow="0" w:firstColumn="0" w:lastColumn="0" w:noHBand="0" w:noVBand="0"/>
      </w:tblPr>
      <w:tblGrid>
        <w:gridCol w:w="2509"/>
        <w:gridCol w:w="1984"/>
        <w:gridCol w:w="2508"/>
      </w:tblGrid>
      <w:tr w:rsidR="001F5A79" w:rsidRPr="009C5807" w14:paraId="1469CFA9" w14:textId="77777777" w:rsidTr="00F70A70">
        <w:trPr>
          <w:jc w:val="center"/>
        </w:trPr>
        <w:tc>
          <w:tcPr>
            <w:tcW w:w="2509" w:type="dxa"/>
            <w:tcBorders>
              <w:top w:val="single" w:sz="4" w:space="0" w:color="auto"/>
              <w:left w:val="single" w:sz="4" w:space="0" w:color="auto"/>
              <w:right w:val="single" w:sz="6" w:space="0" w:color="auto"/>
            </w:tcBorders>
            <w:vAlign w:val="center"/>
          </w:tcPr>
          <w:p w14:paraId="772618B8" w14:textId="77777777" w:rsidR="001F5A79" w:rsidRPr="009C5807" w:rsidRDefault="001F5A79" w:rsidP="00F70A70">
            <w:pPr>
              <w:pStyle w:val="TAH"/>
              <w:rPr>
                <w:lang w:eastAsia="ja-JP"/>
              </w:rPr>
            </w:pPr>
            <w:r w:rsidRPr="009C5807">
              <w:rPr>
                <w:lang w:eastAsia="ja-JP"/>
              </w:rPr>
              <w:t>Accuracy</w:t>
            </w:r>
          </w:p>
        </w:tc>
        <w:tc>
          <w:tcPr>
            <w:tcW w:w="4492" w:type="dxa"/>
            <w:gridSpan w:val="2"/>
            <w:tcBorders>
              <w:top w:val="single" w:sz="4" w:space="0" w:color="auto"/>
              <w:left w:val="single" w:sz="6" w:space="0" w:color="auto"/>
              <w:bottom w:val="single" w:sz="6" w:space="0" w:color="auto"/>
              <w:right w:val="single" w:sz="4" w:space="0" w:color="auto"/>
            </w:tcBorders>
            <w:vAlign w:val="center"/>
          </w:tcPr>
          <w:p w14:paraId="0B8F52D8" w14:textId="77777777" w:rsidR="001F5A79" w:rsidRPr="009C5807" w:rsidRDefault="001F5A79" w:rsidP="00F70A70">
            <w:pPr>
              <w:pStyle w:val="TAH"/>
              <w:rPr>
                <w:lang w:eastAsia="ja-JP"/>
              </w:rPr>
            </w:pPr>
            <w:r w:rsidRPr="009C5807">
              <w:rPr>
                <w:lang w:eastAsia="ja-JP"/>
              </w:rPr>
              <w:t>Conditions</w:t>
            </w:r>
          </w:p>
        </w:tc>
      </w:tr>
      <w:tr w:rsidR="001F5A79" w:rsidRPr="009C5807" w14:paraId="4A7544C1" w14:textId="77777777" w:rsidTr="00F70A70">
        <w:trPr>
          <w:trHeight w:val="391"/>
          <w:jc w:val="center"/>
        </w:trPr>
        <w:tc>
          <w:tcPr>
            <w:tcW w:w="2509" w:type="dxa"/>
            <w:tcBorders>
              <w:left w:val="single" w:sz="4" w:space="0" w:color="auto"/>
              <w:bottom w:val="single" w:sz="6" w:space="0" w:color="auto"/>
              <w:right w:val="single" w:sz="6" w:space="0" w:color="auto"/>
            </w:tcBorders>
            <w:vAlign w:val="center"/>
          </w:tcPr>
          <w:p w14:paraId="3A5039CC" w14:textId="77777777" w:rsidR="001F5A79" w:rsidRPr="009C5807" w:rsidRDefault="001F5A79" w:rsidP="00F70A70">
            <w:pPr>
              <w:pStyle w:val="TAH"/>
              <w:rPr>
                <w:lang w:eastAsia="ja-JP"/>
              </w:rPr>
            </w:pPr>
          </w:p>
        </w:tc>
        <w:tc>
          <w:tcPr>
            <w:tcW w:w="1984" w:type="dxa"/>
            <w:tcBorders>
              <w:top w:val="single" w:sz="6" w:space="0" w:color="auto"/>
              <w:left w:val="single" w:sz="6" w:space="0" w:color="auto"/>
              <w:bottom w:val="single" w:sz="6" w:space="0" w:color="auto"/>
              <w:right w:val="single" w:sz="6" w:space="0" w:color="auto"/>
            </w:tcBorders>
            <w:vAlign w:val="center"/>
          </w:tcPr>
          <w:p w14:paraId="32C611D0" w14:textId="77777777" w:rsidR="001F5A79" w:rsidRPr="009C5807" w:rsidRDefault="001F5A79" w:rsidP="00F70A70">
            <w:pPr>
              <w:pStyle w:val="TAH"/>
              <w:rPr>
                <w:lang w:eastAsia="ja-JP"/>
              </w:rPr>
            </w:pPr>
            <w:r w:rsidRPr="009C5807">
              <w:rPr>
                <w:lang w:eastAsia="ja-JP"/>
              </w:rPr>
              <w:t>Ês/Iot</w:t>
            </w:r>
            <w:r w:rsidRPr="009C5807">
              <w:rPr>
                <w:vertAlign w:val="superscript"/>
                <w:lang w:eastAsia="zh-CN"/>
              </w:rPr>
              <w:t xml:space="preserve"> Note 2</w:t>
            </w:r>
          </w:p>
        </w:tc>
        <w:tc>
          <w:tcPr>
            <w:tcW w:w="2508" w:type="dxa"/>
            <w:tcBorders>
              <w:top w:val="single" w:sz="6" w:space="0" w:color="auto"/>
              <w:left w:val="single" w:sz="6" w:space="0" w:color="auto"/>
              <w:right w:val="single" w:sz="4" w:space="0" w:color="auto"/>
            </w:tcBorders>
            <w:vAlign w:val="center"/>
          </w:tcPr>
          <w:p w14:paraId="73A63612" w14:textId="77777777" w:rsidR="001F5A79" w:rsidRPr="009C5807" w:rsidRDefault="001F5A79" w:rsidP="00F70A70">
            <w:pPr>
              <w:pStyle w:val="TAH"/>
              <w:rPr>
                <w:lang w:eastAsia="ja-JP"/>
              </w:rPr>
            </w:pPr>
            <w:r w:rsidRPr="009C5807">
              <w:rPr>
                <w:lang w:eastAsia="zh-CN"/>
              </w:rPr>
              <w:t xml:space="preserve">Frequency range </w:t>
            </w:r>
          </w:p>
        </w:tc>
      </w:tr>
      <w:tr w:rsidR="001F5A79" w:rsidRPr="009C5807" w14:paraId="431D610E" w14:textId="77777777" w:rsidTr="00DF3064">
        <w:trPr>
          <w:jc w:val="center"/>
        </w:trPr>
        <w:tc>
          <w:tcPr>
            <w:tcW w:w="2509" w:type="dxa"/>
            <w:tcBorders>
              <w:top w:val="single" w:sz="6" w:space="0" w:color="auto"/>
              <w:left w:val="single" w:sz="4" w:space="0" w:color="auto"/>
              <w:bottom w:val="single" w:sz="4" w:space="0" w:color="auto"/>
              <w:right w:val="single" w:sz="6" w:space="0" w:color="auto"/>
            </w:tcBorders>
            <w:vAlign w:val="center"/>
          </w:tcPr>
          <w:p w14:paraId="0FDB6F77" w14:textId="77777777" w:rsidR="001F5A79" w:rsidRPr="009C5807" w:rsidRDefault="001F5A79" w:rsidP="00563F0C">
            <w:pPr>
              <w:pStyle w:val="TAH"/>
              <w:rPr>
                <w:lang w:eastAsia="ja-JP"/>
              </w:rPr>
            </w:pPr>
            <w:r w:rsidRPr="009C5807">
              <w:rPr>
                <w:lang w:eastAsia="ja-JP"/>
              </w:rPr>
              <w:t>Ts</w:t>
            </w:r>
            <w:r w:rsidRPr="009C5807">
              <w:rPr>
                <w:vertAlign w:val="superscript"/>
                <w:lang w:eastAsia="zh-CN"/>
              </w:rPr>
              <w:t xml:space="preserve"> Note 1</w:t>
            </w:r>
          </w:p>
        </w:tc>
        <w:tc>
          <w:tcPr>
            <w:tcW w:w="1984" w:type="dxa"/>
            <w:tcBorders>
              <w:top w:val="single" w:sz="6" w:space="0" w:color="auto"/>
              <w:left w:val="single" w:sz="6" w:space="0" w:color="auto"/>
              <w:bottom w:val="single" w:sz="4" w:space="0" w:color="auto"/>
              <w:right w:val="single" w:sz="6" w:space="0" w:color="auto"/>
            </w:tcBorders>
            <w:vAlign w:val="center"/>
          </w:tcPr>
          <w:p w14:paraId="704FE96A" w14:textId="77777777" w:rsidR="001F5A79" w:rsidRPr="009C5807" w:rsidRDefault="001F5A79" w:rsidP="00563F0C">
            <w:pPr>
              <w:pStyle w:val="TAH"/>
              <w:rPr>
                <w:lang w:eastAsia="ja-JP"/>
              </w:rPr>
            </w:pPr>
            <w:r w:rsidRPr="009C5807">
              <w:rPr>
                <w:lang w:eastAsia="ja-JP"/>
              </w:rPr>
              <w:t>dB</w:t>
            </w:r>
          </w:p>
        </w:tc>
        <w:tc>
          <w:tcPr>
            <w:tcW w:w="2508" w:type="dxa"/>
            <w:tcBorders>
              <w:top w:val="single" w:sz="6" w:space="0" w:color="auto"/>
              <w:left w:val="single" w:sz="6" w:space="0" w:color="auto"/>
              <w:bottom w:val="single" w:sz="6" w:space="0" w:color="auto"/>
              <w:right w:val="single" w:sz="4" w:space="0" w:color="auto"/>
            </w:tcBorders>
            <w:vAlign w:val="center"/>
          </w:tcPr>
          <w:p w14:paraId="44BA88C2" w14:textId="77777777" w:rsidR="001F5A79" w:rsidRPr="009C5807" w:rsidRDefault="001F5A79" w:rsidP="00563F0C">
            <w:pPr>
              <w:pStyle w:val="TAH"/>
              <w:rPr>
                <w:lang w:eastAsia="ja-JP"/>
              </w:rPr>
            </w:pPr>
          </w:p>
        </w:tc>
      </w:tr>
      <w:tr w:rsidR="0058457E" w:rsidRPr="009C5807" w14:paraId="69A1C08E" w14:textId="77777777" w:rsidTr="00DF3064">
        <w:trPr>
          <w:jc w:val="center"/>
        </w:trPr>
        <w:tc>
          <w:tcPr>
            <w:tcW w:w="2509" w:type="dxa"/>
            <w:tcBorders>
              <w:top w:val="single" w:sz="4" w:space="0" w:color="auto"/>
              <w:left w:val="single" w:sz="4" w:space="0" w:color="auto"/>
              <w:bottom w:val="single" w:sz="4" w:space="0" w:color="auto"/>
              <w:right w:val="single" w:sz="4" w:space="0" w:color="auto"/>
            </w:tcBorders>
            <w:vAlign w:val="center"/>
          </w:tcPr>
          <w:p w14:paraId="5921231C" w14:textId="7261EB43" w:rsidR="0058457E" w:rsidRPr="009C5807" w:rsidRDefault="0058457E" w:rsidP="00563F0C">
            <w:pPr>
              <w:pStyle w:val="TAC"/>
              <w:rPr>
                <w:snapToGrid w:val="0"/>
              </w:rPr>
            </w:pPr>
            <w:r w:rsidRPr="009C5807">
              <w:rPr>
                <w:snapToGrid w:val="0"/>
              </w:rPr>
              <w:t>40*64*Tc</w:t>
            </w:r>
          </w:p>
        </w:tc>
        <w:tc>
          <w:tcPr>
            <w:tcW w:w="1984" w:type="dxa"/>
            <w:tcBorders>
              <w:top w:val="single" w:sz="4" w:space="0" w:color="auto"/>
              <w:left w:val="single" w:sz="4" w:space="0" w:color="auto"/>
              <w:right w:val="single" w:sz="4" w:space="0" w:color="auto"/>
            </w:tcBorders>
            <w:vAlign w:val="center"/>
          </w:tcPr>
          <w:p w14:paraId="674CDEE2" w14:textId="140F4C5A" w:rsidR="0058457E" w:rsidRPr="009C5807" w:rsidRDefault="0058457E" w:rsidP="00563F0C">
            <w:pPr>
              <w:pStyle w:val="TAC"/>
            </w:pPr>
            <w:r w:rsidRPr="009C5807">
              <w:rPr>
                <w:lang w:val="fr-FR"/>
              </w:rPr>
              <w:sym w:font="Symbol" w:char="F0B3"/>
            </w:r>
            <w:r w:rsidRPr="009C5807">
              <w:rPr>
                <w:lang w:val="fr-FR"/>
              </w:rPr>
              <w:t xml:space="preserve"> -3</w:t>
            </w:r>
          </w:p>
        </w:tc>
        <w:tc>
          <w:tcPr>
            <w:tcW w:w="2508" w:type="dxa"/>
            <w:tcBorders>
              <w:top w:val="single" w:sz="6" w:space="0" w:color="auto"/>
              <w:left w:val="single" w:sz="4" w:space="0" w:color="auto"/>
              <w:bottom w:val="single" w:sz="6" w:space="0" w:color="auto"/>
              <w:right w:val="single" w:sz="4" w:space="0" w:color="auto"/>
            </w:tcBorders>
            <w:vAlign w:val="center"/>
          </w:tcPr>
          <w:p w14:paraId="0B0F6BA8" w14:textId="77777777" w:rsidR="0058457E" w:rsidRPr="009C5807" w:rsidRDefault="0058457E" w:rsidP="00563F0C">
            <w:pPr>
              <w:pStyle w:val="TAC"/>
              <w:rPr>
                <w:snapToGrid w:val="0"/>
                <w:lang w:eastAsia="zh-CN"/>
              </w:rPr>
            </w:pPr>
            <w:r w:rsidRPr="009C5807">
              <w:rPr>
                <w:snapToGrid w:val="0"/>
                <w:lang w:eastAsia="zh-CN"/>
              </w:rPr>
              <w:t>FR1, FR2</w:t>
            </w:r>
          </w:p>
        </w:tc>
      </w:tr>
      <w:tr w:rsidR="001F5A79" w:rsidRPr="009C5807" w14:paraId="6245EC0D" w14:textId="77777777" w:rsidTr="00DF3064">
        <w:trPr>
          <w:jc w:val="center"/>
        </w:trPr>
        <w:tc>
          <w:tcPr>
            <w:tcW w:w="7001" w:type="dxa"/>
            <w:gridSpan w:val="3"/>
            <w:tcBorders>
              <w:top w:val="single" w:sz="6" w:space="0" w:color="auto"/>
              <w:left w:val="single" w:sz="4" w:space="0" w:color="auto"/>
              <w:bottom w:val="single" w:sz="4" w:space="0" w:color="auto"/>
              <w:right w:val="single" w:sz="4" w:space="0" w:color="auto"/>
            </w:tcBorders>
            <w:vAlign w:val="center"/>
          </w:tcPr>
          <w:p w14:paraId="7D64EE16" w14:textId="77777777" w:rsidR="001F5A79" w:rsidRPr="009C5807" w:rsidRDefault="001F5A79" w:rsidP="00563F0C">
            <w:pPr>
              <w:pStyle w:val="TAN"/>
              <w:rPr>
                <w:lang w:eastAsia="ja-JP"/>
              </w:rPr>
            </w:pPr>
            <w:r w:rsidRPr="009C5807">
              <w:rPr>
                <w:lang w:eastAsia="ja-JP"/>
              </w:rPr>
              <w:t>N</w:t>
            </w:r>
            <w:r w:rsidRPr="009C5807">
              <w:rPr>
                <w:lang w:eastAsia="zh-CN"/>
              </w:rPr>
              <w:t>OTE</w:t>
            </w:r>
            <w:r w:rsidRPr="009C5807">
              <w:rPr>
                <w:lang w:eastAsia="ja-JP"/>
              </w:rPr>
              <w:t xml:space="preserve"> 1:</w:t>
            </w:r>
            <w:r w:rsidRPr="009C5807">
              <w:rPr>
                <w:lang w:eastAsia="ja-JP"/>
              </w:rPr>
              <w:tab/>
              <w:t xml:space="preserve">Tc is the basic timing unit defined in </w:t>
            </w:r>
            <w:r w:rsidRPr="009C5807">
              <w:t>TS 38.211 [6]</w:t>
            </w:r>
            <w:r w:rsidRPr="009C5807">
              <w:rPr>
                <w:lang w:eastAsia="ja-JP"/>
              </w:rPr>
              <w:t>.</w:t>
            </w:r>
          </w:p>
          <w:p w14:paraId="240EAE6A" w14:textId="77777777" w:rsidR="001F5A79" w:rsidRPr="009C5807" w:rsidRDefault="001F5A79" w:rsidP="00563F0C">
            <w:pPr>
              <w:pStyle w:val="TAN"/>
              <w:rPr>
                <w:lang w:eastAsia="ja-JP"/>
              </w:rPr>
            </w:pPr>
            <w:r w:rsidRPr="009C5807">
              <w:t>NOTE 2:</w:t>
            </w:r>
            <w:r w:rsidRPr="009C5807">
              <w:tab/>
            </w:r>
            <w:r w:rsidRPr="009C5807">
              <w:rPr>
                <w:lang w:eastAsia="zh-CN"/>
              </w:rPr>
              <w:t xml:space="preserve">The parameter </w:t>
            </w:r>
            <w:r w:rsidRPr="009C5807">
              <w:t>Ês/Iot</w:t>
            </w:r>
            <w:r w:rsidRPr="009C5807">
              <w:rPr>
                <w:lang w:eastAsia="zh-CN"/>
              </w:rPr>
              <w:t xml:space="preserve"> is the minimum </w:t>
            </w:r>
            <w:r w:rsidRPr="009C5807">
              <w:t>Ês/Iot</w:t>
            </w:r>
            <w:r w:rsidRPr="009C5807">
              <w:rPr>
                <w:lang w:eastAsia="zh-CN"/>
              </w:rPr>
              <w:t xml:space="preserve"> of the pair of cells to which the requirement applies.</w:t>
            </w:r>
          </w:p>
        </w:tc>
      </w:tr>
    </w:tbl>
    <w:p w14:paraId="2F7D9CDE" w14:textId="77777777" w:rsidR="001F5A79" w:rsidRPr="009C5807" w:rsidRDefault="001F5A79" w:rsidP="001F5A79">
      <w:pPr>
        <w:jc w:val="center"/>
        <w:rPr>
          <w:noProof/>
          <w:lang w:eastAsia="zh-CN"/>
        </w:rPr>
      </w:pPr>
    </w:p>
    <w:p w14:paraId="3779EC68" w14:textId="46C21770" w:rsidR="00283207" w:rsidRPr="009C5807" w:rsidRDefault="00283207" w:rsidP="00967CF8">
      <w:pPr>
        <w:pStyle w:val="Heading3"/>
        <w:rPr>
          <w:lang w:val="en-US"/>
        </w:rPr>
      </w:pPr>
      <w:r w:rsidRPr="009C5807">
        <w:rPr>
          <w:lang w:val="en-US"/>
        </w:rPr>
        <w:t>1</w:t>
      </w:r>
      <w:r w:rsidR="00967CF8" w:rsidRPr="009C5807">
        <w:rPr>
          <w:lang w:val="en-US"/>
        </w:rPr>
        <w:t>0.1.2</w:t>
      </w:r>
      <w:r w:rsidRPr="009C5807">
        <w:rPr>
          <w:lang w:val="en-US"/>
        </w:rPr>
        <w:t>2</w:t>
      </w:r>
      <w:r w:rsidRPr="009C5807">
        <w:rPr>
          <w:lang w:val="en-US"/>
        </w:rPr>
        <w:tab/>
        <w:t>CLI measurement accuracy requirements</w:t>
      </w:r>
    </w:p>
    <w:p w14:paraId="5B6F27B9" w14:textId="77777777" w:rsidR="00283207" w:rsidRPr="009C5807" w:rsidRDefault="00283207" w:rsidP="00B018D8">
      <w:pPr>
        <w:pStyle w:val="Heading4"/>
        <w:rPr>
          <w:lang w:val="en-US"/>
        </w:rPr>
      </w:pPr>
      <w:r w:rsidRPr="009C5807">
        <w:rPr>
          <w:lang w:val="en-US"/>
        </w:rPr>
        <w:t>10.1.22.1</w:t>
      </w:r>
      <w:r w:rsidRPr="009C5807">
        <w:rPr>
          <w:lang w:val="en-US"/>
        </w:rPr>
        <w:tab/>
        <w:t>SRS-RSRP</w:t>
      </w:r>
    </w:p>
    <w:p w14:paraId="5253CB28" w14:textId="77777777" w:rsidR="00283207" w:rsidRPr="009C5807" w:rsidRDefault="00283207" w:rsidP="00B018D8">
      <w:pPr>
        <w:pStyle w:val="Heading5"/>
      </w:pPr>
      <w:r w:rsidRPr="009C5807">
        <w:t>10.1.22.1.1</w:t>
      </w:r>
      <w:r w:rsidRPr="009C5807">
        <w:tab/>
        <w:t>SRS</w:t>
      </w:r>
      <w:r w:rsidRPr="009C5807">
        <w:rPr>
          <w:lang w:val="en-US"/>
        </w:rPr>
        <w:t xml:space="preserve">-RSRP </w:t>
      </w:r>
      <w:r w:rsidRPr="009C5807">
        <w:t>Accuracy</w:t>
      </w:r>
    </w:p>
    <w:p w14:paraId="73A5AD65" w14:textId="048102A0" w:rsidR="00283207" w:rsidRPr="009C5807" w:rsidRDefault="00283207" w:rsidP="00283207">
      <w:r w:rsidRPr="009C5807">
        <w:t>The SRS-RSRP measurement reported by the UE shall fulfil the accuracy requirements defined in Table 10.1.22.1.1-1 for FR1 and Table 10.1.22.1.1-2 for FR2, provided that the following conditions are met.</w:t>
      </w:r>
      <w:r w:rsidR="00C32CDC" w:rsidRPr="00DD65C0">
        <w:t xml:space="preserve"> </w:t>
      </w:r>
      <w:r w:rsidR="00C32CDC">
        <w:t>The</w:t>
      </w:r>
      <w:r w:rsidR="00C32CDC" w:rsidRPr="00B910B8">
        <w:t xml:space="preserve"> accuracy requirements in this clause are </w:t>
      </w:r>
      <w:r w:rsidR="00C32CDC">
        <w:rPr>
          <w:rFonts w:hint="eastAsia"/>
          <w:lang w:eastAsia="zh-CN"/>
        </w:rPr>
        <w:t>derived</w:t>
      </w:r>
      <w:r w:rsidR="00C32CDC">
        <w:rPr>
          <w:lang w:eastAsia="zh-CN"/>
        </w:rPr>
        <w:t xml:space="preserve"> </w:t>
      </w:r>
      <w:r w:rsidR="00C32CDC">
        <w:rPr>
          <w:rFonts w:hint="eastAsia"/>
          <w:lang w:eastAsia="zh-CN"/>
        </w:rPr>
        <w:t>based</w:t>
      </w:r>
      <w:r w:rsidR="00C32CDC">
        <w:rPr>
          <w:lang w:eastAsia="zh-CN"/>
        </w:rPr>
        <w:t xml:space="preserve"> </w:t>
      </w:r>
      <w:r w:rsidR="00C32CDC">
        <w:rPr>
          <w:rFonts w:hint="eastAsia"/>
          <w:lang w:eastAsia="zh-CN"/>
        </w:rPr>
        <w:t>on</w:t>
      </w:r>
      <w:r w:rsidR="00C32CDC" w:rsidRPr="00B910B8">
        <w:t xml:space="preserve"> AWGN radio propagation conditions</w:t>
      </w:r>
      <w:r w:rsidR="00C32CDC">
        <w:t>.</w:t>
      </w:r>
    </w:p>
    <w:p w14:paraId="35FA032A" w14:textId="77777777" w:rsidR="00283207" w:rsidRPr="009C5807" w:rsidRDefault="00283207" w:rsidP="00563F0C">
      <w:pPr>
        <w:pStyle w:val="B10"/>
        <w:rPr>
          <w:rFonts w:cs="v4.2.0"/>
        </w:rPr>
      </w:pPr>
      <w:r w:rsidRPr="009C5807">
        <w:t>-</w:t>
      </w:r>
      <w:r w:rsidRPr="009C5807">
        <w:tab/>
        <w:t>Conditions defined in clause 7.3 of TS 38.101-1 [18] for reference sensitivity are fulfilled.</w:t>
      </w:r>
    </w:p>
    <w:p w14:paraId="53582551" w14:textId="77777777" w:rsidR="00283207" w:rsidRPr="009C5807" w:rsidRDefault="00283207" w:rsidP="00563F0C">
      <w:pPr>
        <w:pStyle w:val="B10"/>
      </w:pPr>
      <w:r w:rsidRPr="009C5807">
        <w:t>-</w:t>
      </w:r>
      <w:r w:rsidRPr="009C5807">
        <w:tab/>
        <w:t xml:space="preserve">Conditions for SRS-RSRP measurements are fulfilled according to Annex B.2.z for a corresponding Band </w:t>
      </w:r>
      <w:r w:rsidRPr="009C5807">
        <w:rPr>
          <w:rFonts w:cs="v4.2.0"/>
          <w:lang w:eastAsia="ko-KR"/>
        </w:rPr>
        <w:t>for each relevant SRS resource configured for measurement</w:t>
      </w:r>
      <w:r w:rsidRPr="009C5807">
        <w:t>.</w:t>
      </w:r>
    </w:p>
    <w:p w14:paraId="779C8411" w14:textId="77777777" w:rsidR="00283207" w:rsidRPr="009C5807" w:rsidRDefault="00283207" w:rsidP="00563F0C">
      <w:pPr>
        <w:pStyle w:val="B10"/>
      </w:pPr>
      <w:r w:rsidRPr="009C5807">
        <w:t>-</w:t>
      </w:r>
      <w:r w:rsidRPr="009C5807">
        <w:tab/>
        <w:t>The time difference between UE’s DL reference timing in the serving cell and SRS arrival time is no larger than T</w:t>
      </w:r>
      <w:r w:rsidRPr="009C5807">
        <w:rPr>
          <w:vertAlign w:val="subscript"/>
        </w:rPr>
        <w:t>error_SRS_RSRP</w:t>
      </w:r>
      <w:r w:rsidRPr="009C5807">
        <w:t>, where</w:t>
      </w:r>
    </w:p>
    <w:p w14:paraId="4A8372BE" w14:textId="77777777" w:rsidR="00283207" w:rsidRPr="009C5807" w:rsidRDefault="00283207" w:rsidP="00563F0C">
      <w:pPr>
        <w:pStyle w:val="B20"/>
      </w:pPr>
      <w:r w:rsidRPr="009C5807">
        <w:t>-</w:t>
      </w:r>
      <w:r w:rsidRPr="009C5807">
        <w:tab/>
        <w:t>T</w:t>
      </w:r>
      <w:r w:rsidRPr="009C5807">
        <w:rPr>
          <w:vertAlign w:val="subscript"/>
        </w:rPr>
        <w:t>error_SRS_RSRP</w:t>
      </w:r>
      <w:r w:rsidRPr="009C5807">
        <w:t xml:space="preserve"> = T</w:t>
      </w:r>
      <w:r w:rsidRPr="009C5807">
        <w:rPr>
          <w:vertAlign w:val="subscript"/>
        </w:rPr>
        <w:t>C</w:t>
      </w:r>
      <w:r w:rsidRPr="009C5807">
        <w:t xml:space="preserve"> × N</w:t>
      </w:r>
      <w:r w:rsidRPr="009C5807">
        <w:rPr>
          <w:vertAlign w:val="subscript"/>
        </w:rPr>
        <w:t>TA_offset</w:t>
      </w:r>
      <w:r w:rsidRPr="009C5807">
        <w:t xml:space="preserve"> + 4.67us for FR1 </w:t>
      </w:r>
    </w:p>
    <w:p w14:paraId="2FD5B286" w14:textId="77777777" w:rsidR="00283207" w:rsidRPr="009C5807" w:rsidRDefault="00283207" w:rsidP="00563F0C">
      <w:pPr>
        <w:pStyle w:val="B20"/>
      </w:pPr>
      <w:r w:rsidRPr="009C5807">
        <w:t>-</w:t>
      </w:r>
      <w:r w:rsidRPr="009C5807">
        <w:tab/>
        <w:t>T</w:t>
      </w:r>
      <w:r w:rsidRPr="009C5807">
        <w:rPr>
          <w:vertAlign w:val="subscript"/>
        </w:rPr>
        <w:t>error_SRS_RSRP</w:t>
      </w:r>
      <w:r w:rsidRPr="009C5807">
        <w:t xml:space="preserve"> = T</w:t>
      </w:r>
      <w:r w:rsidRPr="009C5807">
        <w:rPr>
          <w:vertAlign w:val="subscript"/>
        </w:rPr>
        <w:t>C</w:t>
      </w:r>
      <w:r w:rsidRPr="009C5807">
        <w:t xml:space="preserve"> × N</w:t>
      </w:r>
      <w:r w:rsidRPr="009C5807">
        <w:rPr>
          <w:vertAlign w:val="subscript"/>
        </w:rPr>
        <w:t>TA_offset</w:t>
      </w:r>
      <w:r w:rsidRPr="009C5807">
        <w:t xml:space="preserve"> + 3.67us for FR2 </w:t>
      </w:r>
    </w:p>
    <w:p w14:paraId="342E8DCE" w14:textId="77777777" w:rsidR="00283207" w:rsidRPr="009C5807" w:rsidRDefault="00283207" w:rsidP="00563F0C">
      <w:pPr>
        <w:pStyle w:val="B20"/>
      </w:pPr>
      <w:r w:rsidRPr="009C5807">
        <w:t>-</w:t>
      </w:r>
      <w:r w:rsidRPr="009C5807">
        <w:tab/>
        <w:t>N</w:t>
      </w:r>
      <w:r w:rsidRPr="009C5807">
        <w:rPr>
          <w:vertAlign w:val="subscript"/>
        </w:rPr>
        <w:t>TA_offset</w:t>
      </w:r>
      <w:r w:rsidRPr="009C5807">
        <w:t xml:space="preserve"> is defined in Table 7.1.2-2</w:t>
      </w:r>
    </w:p>
    <w:p w14:paraId="7902EA7B" w14:textId="3A422CEC" w:rsidR="00283207" w:rsidRDefault="00283207" w:rsidP="00563F0C">
      <w:pPr>
        <w:pStyle w:val="B20"/>
      </w:pPr>
      <w:r w:rsidRPr="009C5807">
        <w:t>-</w:t>
      </w:r>
      <w:r w:rsidR="00A21E2B">
        <w:tab/>
      </w:r>
      <w:r w:rsidRPr="009C5807">
        <w:t>T</w:t>
      </w:r>
      <w:r w:rsidRPr="009C5807">
        <w:rPr>
          <w:vertAlign w:val="subscript"/>
        </w:rPr>
        <w:t xml:space="preserve">C </w:t>
      </w:r>
      <w:r w:rsidRPr="009C5807">
        <w:t>is 0.509ns</w:t>
      </w:r>
    </w:p>
    <w:p w14:paraId="62E942EF" w14:textId="77777777" w:rsidR="00C32CDC" w:rsidRPr="008A2D80" w:rsidRDefault="00C32CDC" w:rsidP="00C32CDC">
      <w:pPr>
        <w:pStyle w:val="B10"/>
      </w:pPr>
      <w:r w:rsidRPr="008A2D80">
        <w:t>-</w:t>
      </w:r>
      <w:r w:rsidRPr="008A2D80">
        <w:tab/>
        <w:t>The number of SRS ports in the SRS resource configured for measurement is 1,</w:t>
      </w:r>
    </w:p>
    <w:p w14:paraId="29B9C27D" w14:textId="77777777" w:rsidR="00C32CDC" w:rsidRPr="008A2D80" w:rsidRDefault="00C32CDC" w:rsidP="00C32CDC">
      <w:pPr>
        <w:pStyle w:val="B10"/>
      </w:pPr>
      <w:r w:rsidRPr="008A2D80">
        <w:t>-</w:t>
      </w:r>
      <w:r w:rsidRPr="008A2D80">
        <w:tab/>
        <w:t>The number of symbols in the SRS resource configured for measurement is 1,</w:t>
      </w:r>
    </w:p>
    <w:p w14:paraId="5666EBF5" w14:textId="77777777" w:rsidR="00C32CDC" w:rsidRPr="008A2D80" w:rsidRDefault="00C32CDC" w:rsidP="00C32CDC">
      <w:pPr>
        <w:pStyle w:val="B10"/>
      </w:pPr>
      <w:r w:rsidRPr="008A2D80">
        <w:t>-</w:t>
      </w:r>
      <w:r w:rsidRPr="008A2D80">
        <w:tab/>
        <w:t>The number of repetitions in the SRS resource configured for measurement is 1,</w:t>
      </w:r>
    </w:p>
    <w:p w14:paraId="56D27542" w14:textId="77AE4326" w:rsidR="00C32CDC" w:rsidRPr="00C32CDC" w:rsidRDefault="00C32CDC" w:rsidP="00C32CDC">
      <w:pPr>
        <w:pStyle w:val="B10"/>
      </w:pPr>
      <w:r w:rsidRPr="008A2D80">
        <w:t>-</w:t>
      </w:r>
      <w:r w:rsidRPr="008A2D80">
        <w:tab/>
        <w:t>Frequency hopping, sequence group hopping or sequence hopping is disabled in the SRS resource configured for measurement,</w:t>
      </w:r>
    </w:p>
    <w:p w14:paraId="7FEA57EE" w14:textId="77777777" w:rsidR="00283207" w:rsidRPr="009C5807" w:rsidRDefault="00283207" w:rsidP="00563F0C">
      <w:pPr>
        <w:pStyle w:val="B10"/>
        <w:rPr>
          <w:lang w:eastAsia="zh-CN"/>
        </w:rPr>
      </w:pPr>
      <w:r w:rsidRPr="009C5807">
        <w:t>-</w:t>
      </w:r>
      <w:r w:rsidRPr="009C5807">
        <w:tab/>
      </w:r>
      <w:r w:rsidRPr="009C5807">
        <w:rPr>
          <w:lang w:eastAsia="zh-CN"/>
        </w:rPr>
        <w:t>The bandwidth of the SRS resource is 48 PRBs.</w:t>
      </w:r>
    </w:p>
    <w:p w14:paraId="5C3C515A" w14:textId="77777777" w:rsidR="00283207" w:rsidRPr="009C5807" w:rsidRDefault="00283207" w:rsidP="00563F0C">
      <w:pPr>
        <w:pStyle w:val="B10"/>
      </w:pPr>
      <w:r w:rsidRPr="009C5807">
        <w:t>-</w:t>
      </w:r>
      <w:r w:rsidRPr="009C5807">
        <w:tab/>
        <w:t>One of the following conditions is met</w:t>
      </w:r>
    </w:p>
    <w:p w14:paraId="1109C855" w14:textId="77777777" w:rsidR="00283207" w:rsidRPr="009C5807" w:rsidRDefault="00283207" w:rsidP="00563F0C">
      <w:pPr>
        <w:pStyle w:val="B20"/>
        <w:rPr>
          <w:lang w:eastAsia="zh-CN"/>
        </w:rPr>
      </w:pPr>
      <w:r w:rsidRPr="009C5807">
        <w:t>-</w:t>
      </w:r>
      <w:r w:rsidRPr="009C5807">
        <w:tab/>
      </w:r>
      <w:r w:rsidRPr="009C5807">
        <w:rPr>
          <w:lang w:eastAsia="zh-CN"/>
        </w:rPr>
        <w:t>There is no other SRS resource with the same root sequence and on the same symbol and with same comb as the relevant SRS resource.</w:t>
      </w:r>
    </w:p>
    <w:p w14:paraId="3F57282A" w14:textId="77777777" w:rsidR="00283207" w:rsidRPr="009C5807" w:rsidRDefault="00283207" w:rsidP="00563F0C">
      <w:pPr>
        <w:pStyle w:val="B20"/>
      </w:pPr>
      <w:r w:rsidRPr="009C5807">
        <w:t>-</w:t>
      </w:r>
      <w:r w:rsidRPr="009C5807">
        <w:tab/>
        <w:t xml:space="preserve">If </w:t>
      </w:r>
      <w:r w:rsidRPr="009C5807">
        <w:rPr>
          <w:lang w:eastAsia="zh-CN"/>
        </w:rPr>
        <w:t xml:space="preserve">multiple SRS resources are on the same symbol and with same comb, </w:t>
      </w:r>
      <w:r w:rsidRPr="009C5807">
        <w:t xml:space="preserve">the </w:t>
      </w:r>
      <w:r w:rsidRPr="009C5807">
        <w:rPr>
          <w:lang w:eastAsia="zh-CN"/>
        </w:rPr>
        <w:t xml:space="preserve">distance between cyclic shifts of any two resources is no less than 6 if </w:t>
      </w:r>
      <w:r w:rsidRPr="009C5807">
        <w:t>transmissionComb = n4, and no less than 4 if transmissionComb = n2.</w:t>
      </w:r>
    </w:p>
    <w:p w14:paraId="461FAFD6" w14:textId="7FE631EC" w:rsidR="006851AE" w:rsidRPr="009C5807" w:rsidRDefault="00283207" w:rsidP="00096C4D">
      <w:pPr>
        <w:pStyle w:val="TH"/>
      </w:pPr>
      <w:r w:rsidRPr="009C5807">
        <w:t>Table 10.1.22.1.1-1:  SRS-RSRP absolute accuracy in FR1</w:t>
      </w:r>
      <w:r w:rsidR="006851AE" w:rsidRPr="009C5807">
        <w:t xml:space="preserve"> </w:t>
      </w:r>
    </w:p>
    <w:tbl>
      <w:tblPr>
        <w:tblW w:w="10603" w:type="dxa"/>
        <w:jc w:val="center"/>
        <w:tblLayout w:type="fixed"/>
        <w:tblLook w:val="01E0" w:firstRow="1" w:lastRow="1" w:firstColumn="1" w:lastColumn="1" w:noHBand="0" w:noVBand="0"/>
      </w:tblPr>
      <w:tblGrid>
        <w:gridCol w:w="708"/>
        <w:gridCol w:w="709"/>
        <w:gridCol w:w="709"/>
        <w:gridCol w:w="709"/>
        <w:gridCol w:w="716"/>
        <w:gridCol w:w="804"/>
        <w:gridCol w:w="652"/>
        <w:gridCol w:w="1506"/>
        <w:gridCol w:w="751"/>
        <w:gridCol w:w="751"/>
        <w:gridCol w:w="751"/>
        <w:gridCol w:w="883"/>
        <w:gridCol w:w="954"/>
      </w:tblGrid>
      <w:tr w:rsidR="006851AE" w:rsidRPr="009C5807" w14:paraId="519C22E1" w14:textId="77777777" w:rsidTr="00CF56CF">
        <w:trPr>
          <w:jc w:val="center"/>
        </w:trPr>
        <w:tc>
          <w:tcPr>
            <w:tcW w:w="4355" w:type="dxa"/>
            <w:gridSpan w:val="6"/>
            <w:tcBorders>
              <w:top w:val="single" w:sz="6" w:space="0" w:color="auto"/>
              <w:left w:val="single" w:sz="6" w:space="0" w:color="auto"/>
              <w:bottom w:val="single" w:sz="6" w:space="0" w:color="auto"/>
              <w:right w:val="single" w:sz="6" w:space="0" w:color="auto"/>
            </w:tcBorders>
            <w:shd w:val="clear" w:color="auto" w:fill="auto"/>
          </w:tcPr>
          <w:p w14:paraId="48A9840D" w14:textId="77777777" w:rsidR="006851AE" w:rsidRPr="009C5807" w:rsidRDefault="006851AE" w:rsidP="00CF56CF">
            <w:pPr>
              <w:pStyle w:val="TAH"/>
            </w:pPr>
            <w:r w:rsidRPr="009C5807">
              <w:t>Accuracy</w:t>
            </w:r>
          </w:p>
        </w:tc>
        <w:tc>
          <w:tcPr>
            <w:tcW w:w="6248" w:type="dxa"/>
            <w:gridSpan w:val="7"/>
            <w:tcBorders>
              <w:top w:val="single" w:sz="4" w:space="0" w:color="auto"/>
              <w:left w:val="single" w:sz="6" w:space="0" w:color="auto"/>
              <w:bottom w:val="single" w:sz="6" w:space="0" w:color="auto"/>
              <w:right w:val="single" w:sz="4" w:space="0" w:color="auto"/>
            </w:tcBorders>
            <w:shd w:val="clear" w:color="auto" w:fill="auto"/>
          </w:tcPr>
          <w:p w14:paraId="2A3BC25D" w14:textId="77777777" w:rsidR="006851AE" w:rsidRPr="009C5807" w:rsidRDefault="006851AE" w:rsidP="00CF56CF">
            <w:pPr>
              <w:pStyle w:val="TAH"/>
            </w:pPr>
            <w:r w:rsidRPr="009C5807">
              <w:t>Conditions</w:t>
            </w:r>
          </w:p>
        </w:tc>
      </w:tr>
      <w:tr w:rsidR="006851AE" w:rsidRPr="009C5807" w14:paraId="2CDFDA04" w14:textId="77777777" w:rsidTr="00CF56CF">
        <w:trPr>
          <w:jc w:val="center"/>
        </w:trPr>
        <w:tc>
          <w:tcPr>
            <w:tcW w:w="2126" w:type="dxa"/>
            <w:gridSpan w:val="3"/>
            <w:tcBorders>
              <w:top w:val="single" w:sz="6" w:space="0" w:color="auto"/>
              <w:left w:val="single" w:sz="6" w:space="0" w:color="auto"/>
              <w:right w:val="single" w:sz="6" w:space="0" w:color="auto"/>
            </w:tcBorders>
            <w:shd w:val="clear" w:color="auto" w:fill="auto"/>
          </w:tcPr>
          <w:p w14:paraId="6DF2FB4F" w14:textId="77777777" w:rsidR="006851AE" w:rsidRPr="009C5807" w:rsidRDefault="006851AE" w:rsidP="00CF56CF">
            <w:pPr>
              <w:pStyle w:val="TAH"/>
            </w:pPr>
            <w:r w:rsidRPr="009C5807">
              <w:t>Normal condition</w:t>
            </w:r>
          </w:p>
        </w:tc>
        <w:tc>
          <w:tcPr>
            <w:tcW w:w="2229" w:type="dxa"/>
            <w:gridSpan w:val="3"/>
            <w:tcBorders>
              <w:top w:val="single" w:sz="4" w:space="0" w:color="auto"/>
              <w:left w:val="single" w:sz="6" w:space="0" w:color="auto"/>
              <w:right w:val="single" w:sz="6" w:space="0" w:color="auto"/>
            </w:tcBorders>
            <w:shd w:val="clear" w:color="auto" w:fill="auto"/>
          </w:tcPr>
          <w:p w14:paraId="1DA00348" w14:textId="77777777" w:rsidR="006851AE" w:rsidRPr="009C5807" w:rsidRDefault="006851AE" w:rsidP="00CF56CF">
            <w:pPr>
              <w:pStyle w:val="TAH"/>
            </w:pPr>
            <w:r w:rsidRPr="009C5807">
              <w:t>Extreme condition</w:t>
            </w:r>
          </w:p>
        </w:tc>
        <w:tc>
          <w:tcPr>
            <w:tcW w:w="652" w:type="dxa"/>
            <w:tcBorders>
              <w:top w:val="single" w:sz="6" w:space="0" w:color="auto"/>
              <w:left w:val="single" w:sz="6" w:space="0" w:color="auto"/>
              <w:right w:val="single" w:sz="6" w:space="0" w:color="auto"/>
            </w:tcBorders>
            <w:shd w:val="clear" w:color="auto" w:fill="auto"/>
          </w:tcPr>
          <w:p w14:paraId="1EAAA51E" w14:textId="77777777" w:rsidR="006851AE" w:rsidRPr="009C5807" w:rsidRDefault="006851AE" w:rsidP="00CF56CF">
            <w:pPr>
              <w:pStyle w:val="TAH"/>
            </w:pPr>
            <w:r w:rsidRPr="009C5807">
              <w:t>SRS Ês/Iot</w:t>
            </w:r>
          </w:p>
        </w:tc>
        <w:tc>
          <w:tcPr>
            <w:tcW w:w="5596" w:type="dxa"/>
            <w:gridSpan w:val="6"/>
            <w:tcBorders>
              <w:top w:val="single" w:sz="6" w:space="0" w:color="auto"/>
              <w:left w:val="single" w:sz="6" w:space="0" w:color="auto"/>
              <w:bottom w:val="single" w:sz="6" w:space="0" w:color="auto"/>
              <w:right w:val="single" w:sz="4" w:space="0" w:color="auto"/>
            </w:tcBorders>
            <w:shd w:val="clear" w:color="auto" w:fill="auto"/>
          </w:tcPr>
          <w:p w14:paraId="138D4013" w14:textId="77777777" w:rsidR="006851AE" w:rsidRPr="009C5807" w:rsidRDefault="006851AE" w:rsidP="00CF56CF">
            <w:pPr>
              <w:pStyle w:val="TAH"/>
            </w:pPr>
            <w:r w:rsidRPr="009C5807">
              <w:t>Io</w:t>
            </w:r>
            <w:r w:rsidRPr="009C5807">
              <w:rPr>
                <w:vertAlign w:val="superscript"/>
              </w:rPr>
              <w:t xml:space="preserve"> Note 1</w:t>
            </w:r>
            <w:r w:rsidRPr="009C5807">
              <w:t xml:space="preserve"> range</w:t>
            </w:r>
          </w:p>
        </w:tc>
      </w:tr>
      <w:tr w:rsidR="006851AE" w:rsidRPr="009C5807" w14:paraId="2F02D05E" w14:textId="77777777" w:rsidTr="00CF56CF">
        <w:trPr>
          <w:jc w:val="center"/>
        </w:trPr>
        <w:tc>
          <w:tcPr>
            <w:tcW w:w="2126" w:type="dxa"/>
            <w:gridSpan w:val="3"/>
            <w:tcBorders>
              <w:left w:val="single" w:sz="6" w:space="0" w:color="auto"/>
              <w:bottom w:val="single" w:sz="6" w:space="0" w:color="auto"/>
              <w:right w:val="single" w:sz="6" w:space="0" w:color="auto"/>
            </w:tcBorders>
            <w:shd w:val="clear" w:color="auto" w:fill="auto"/>
          </w:tcPr>
          <w:p w14:paraId="22BB9F60" w14:textId="77777777" w:rsidR="006851AE" w:rsidRPr="009C5807" w:rsidRDefault="006851AE" w:rsidP="00CF56CF">
            <w:pPr>
              <w:pStyle w:val="TAH"/>
            </w:pPr>
          </w:p>
        </w:tc>
        <w:tc>
          <w:tcPr>
            <w:tcW w:w="2229" w:type="dxa"/>
            <w:gridSpan w:val="3"/>
            <w:tcBorders>
              <w:left w:val="single" w:sz="6" w:space="0" w:color="auto"/>
              <w:bottom w:val="single" w:sz="6" w:space="0" w:color="auto"/>
              <w:right w:val="single" w:sz="6" w:space="0" w:color="auto"/>
            </w:tcBorders>
            <w:shd w:val="clear" w:color="auto" w:fill="auto"/>
          </w:tcPr>
          <w:p w14:paraId="12DDEA23" w14:textId="77777777" w:rsidR="006851AE" w:rsidRPr="009C5807" w:rsidRDefault="006851AE" w:rsidP="00CF56CF">
            <w:pPr>
              <w:pStyle w:val="TAH"/>
            </w:pPr>
          </w:p>
        </w:tc>
        <w:tc>
          <w:tcPr>
            <w:tcW w:w="652" w:type="dxa"/>
            <w:tcBorders>
              <w:left w:val="single" w:sz="6" w:space="0" w:color="auto"/>
              <w:bottom w:val="single" w:sz="6" w:space="0" w:color="auto"/>
              <w:right w:val="single" w:sz="6" w:space="0" w:color="auto"/>
            </w:tcBorders>
            <w:shd w:val="clear" w:color="auto" w:fill="auto"/>
          </w:tcPr>
          <w:p w14:paraId="666C0665" w14:textId="77777777" w:rsidR="006851AE" w:rsidRPr="009C5807" w:rsidRDefault="006851AE" w:rsidP="00CF56CF">
            <w:pPr>
              <w:pStyle w:val="TAH"/>
            </w:pPr>
          </w:p>
        </w:tc>
        <w:tc>
          <w:tcPr>
            <w:tcW w:w="1506" w:type="dxa"/>
            <w:tcBorders>
              <w:top w:val="single" w:sz="6" w:space="0" w:color="auto"/>
              <w:left w:val="single" w:sz="6" w:space="0" w:color="auto"/>
              <w:bottom w:val="single" w:sz="6" w:space="0" w:color="auto"/>
              <w:right w:val="single" w:sz="4" w:space="0" w:color="auto"/>
            </w:tcBorders>
            <w:shd w:val="clear" w:color="auto" w:fill="auto"/>
          </w:tcPr>
          <w:p w14:paraId="593E4E0C" w14:textId="77777777" w:rsidR="006851AE" w:rsidRPr="009C5807" w:rsidRDefault="006851AE" w:rsidP="00CF56CF">
            <w:pPr>
              <w:pStyle w:val="TAH"/>
            </w:pPr>
            <w:r w:rsidRPr="009C5807">
              <w:t>NR operating band groups</w:t>
            </w:r>
            <w:r w:rsidRPr="009C5807">
              <w:rPr>
                <w:vertAlign w:val="superscript"/>
              </w:rPr>
              <w:t xml:space="preserve"> Note 2</w:t>
            </w:r>
          </w:p>
        </w:tc>
        <w:tc>
          <w:tcPr>
            <w:tcW w:w="3136" w:type="dxa"/>
            <w:gridSpan w:val="4"/>
            <w:tcBorders>
              <w:top w:val="single" w:sz="4" w:space="0" w:color="auto"/>
              <w:left w:val="single" w:sz="4" w:space="0" w:color="auto"/>
              <w:bottom w:val="single" w:sz="6" w:space="0" w:color="auto"/>
              <w:right w:val="single" w:sz="6" w:space="0" w:color="auto"/>
            </w:tcBorders>
            <w:shd w:val="clear" w:color="auto" w:fill="auto"/>
          </w:tcPr>
          <w:p w14:paraId="4644F7C7" w14:textId="77777777" w:rsidR="006851AE" w:rsidRPr="009C5807" w:rsidRDefault="006851AE" w:rsidP="00CF56CF">
            <w:pPr>
              <w:pStyle w:val="TAH"/>
            </w:pPr>
            <w:r w:rsidRPr="009C5807">
              <w:t>Minimum Io</w:t>
            </w:r>
          </w:p>
        </w:tc>
        <w:tc>
          <w:tcPr>
            <w:tcW w:w="954" w:type="dxa"/>
            <w:tcBorders>
              <w:top w:val="single" w:sz="4" w:space="0" w:color="auto"/>
              <w:left w:val="single" w:sz="6" w:space="0" w:color="auto"/>
              <w:bottom w:val="single" w:sz="6" w:space="0" w:color="auto"/>
              <w:right w:val="single" w:sz="4" w:space="0" w:color="auto"/>
            </w:tcBorders>
            <w:shd w:val="clear" w:color="auto" w:fill="auto"/>
          </w:tcPr>
          <w:p w14:paraId="5EE269D4" w14:textId="77777777" w:rsidR="006851AE" w:rsidRPr="009C5807" w:rsidRDefault="006851AE" w:rsidP="00CF56CF">
            <w:pPr>
              <w:pStyle w:val="TAH"/>
            </w:pPr>
            <w:r w:rsidRPr="009C5807">
              <w:t>Maximum Io</w:t>
            </w:r>
          </w:p>
        </w:tc>
      </w:tr>
      <w:tr w:rsidR="00996C65" w:rsidRPr="009C5807" w14:paraId="0754A188" w14:textId="77777777" w:rsidTr="00CF56CF">
        <w:trPr>
          <w:trHeight w:val="120"/>
          <w:jc w:val="center"/>
        </w:trPr>
        <w:tc>
          <w:tcPr>
            <w:tcW w:w="4355" w:type="dxa"/>
            <w:gridSpan w:val="6"/>
            <w:tcBorders>
              <w:top w:val="single" w:sz="6" w:space="0" w:color="auto"/>
              <w:left w:val="single" w:sz="6" w:space="0" w:color="auto"/>
              <w:bottom w:val="single" w:sz="6" w:space="0" w:color="auto"/>
              <w:right w:val="single" w:sz="6" w:space="0" w:color="auto"/>
            </w:tcBorders>
            <w:shd w:val="clear" w:color="auto" w:fill="auto"/>
          </w:tcPr>
          <w:p w14:paraId="1A0084A3" w14:textId="77777777" w:rsidR="00996C65" w:rsidRPr="009C5807" w:rsidRDefault="00996C65" w:rsidP="00CF56CF">
            <w:pPr>
              <w:pStyle w:val="TAH"/>
              <w:rPr>
                <w:lang w:eastAsia="zh-CN"/>
              </w:rPr>
            </w:pPr>
            <w:r w:rsidRPr="009C5807">
              <w:t>dB</w:t>
            </w:r>
          </w:p>
        </w:tc>
        <w:tc>
          <w:tcPr>
            <w:tcW w:w="652" w:type="dxa"/>
            <w:tcBorders>
              <w:top w:val="single" w:sz="6" w:space="0" w:color="auto"/>
              <w:left w:val="single" w:sz="6" w:space="0" w:color="auto"/>
              <w:right w:val="single" w:sz="6" w:space="0" w:color="auto"/>
            </w:tcBorders>
            <w:shd w:val="clear" w:color="auto" w:fill="auto"/>
          </w:tcPr>
          <w:p w14:paraId="20ED1691" w14:textId="77777777" w:rsidR="00996C65" w:rsidRPr="009C5807" w:rsidRDefault="00996C65" w:rsidP="00CF56CF">
            <w:pPr>
              <w:pStyle w:val="TAH"/>
            </w:pPr>
            <w:r w:rsidRPr="009C5807">
              <w:t>dB</w:t>
            </w:r>
          </w:p>
        </w:tc>
        <w:tc>
          <w:tcPr>
            <w:tcW w:w="1506" w:type="dxa"/>
            <w:tcBorders>
              <w:top w:val="single" w:sz="6" w:space="0" w:color="auto"/>
              <w:left w:val="single" w:sz="6" w:space="0" w:color="auto"/>
              <w:right w:val="single" w:sz="4" w:space="0" w:color="auto"/>
            </w:tcBorders>
            <w:shd w:val="clear" w:color="auto" w:fill="auto"/>
          </w:tcPr>
          <w:p w14:paraId="428778BD" w14:textId="77777777" w:rsidR="00996C65" w:rsidRPr="009C5807" w:rsidRDefault="00996C65" w:rsidP="00CF56CF">
            <w:pPr>
              <w:pStyle w:val="TAH"/>
            </w:pPr>
          </w:p>
        </w:tc>
        <w:tc>
          <w:tcPr>
            <w:tcW w:w="2253" w:type="dxa"/>
            <w:gridSpan w:val="3"/>
            <w:tcBorders>
              <w:top w:val="single" w:sz="6" w:space="0" w:color="auto"/>
              <w:left w:val="single" w:sz="4" w:space="0" w:color="auto"/>
              <w:right w:val="single" w:sz="6" w:space="0" w:color="auto"/>
            </w:tcBorders>
            <w:shd w:val="clear" w:color="auto" w:fill="auto"/>
          </w:tcPr>
          <w:p w14:paraId="622FD01C" w14:textId="77777777" w:rsidR="00996C65" w:rsidRPr="009C5807" w:rsidRDefault="00996C65" w:rsidP="00CF56CF">
            <w:pPr>
              <w:pStyle w:val="TAH"/>
            </w:pPr>
            <w:r w:rsidRPr="009C5807">
              <w:rPr>
                <w:rFonts w:cs="Arial"/>
              </w:rPr>
              <w:t xml:space="preserve">dBm / </w:t>
            </w:r>
            <w:r w:rsidRPr="009C5807">
              <w:t>SCS</w:t>
            </w:r>
            <w:r w:rsidRPr="009C5807">
              <w:rPr>
                <w:vertAlign w:val="subscript"/>
              </w:rPr>
              <w:t>SRS</w:t>
            </w:r>
          </w:p>
        </w:tc>
        <w:tc>
          <w:tcPr>
            <w:tcW w:w="883" w:type="dxa"/>
            <w:tcBorders>
              <w:top w:val="single" w:sz="6" w:space="0" w:color="auto"/>
              <w:left w:val="single" w:sz="6" w:space="0" w:color="auto"/>
              <w:right w:val="single" w:sz="6" w:space="0" w:color="auto"/>
            </w:tcBorders>
            <w:shd w:val="clear" w:color="auto" w:fill="auto"/>
          </w:tcPr>
          <w:p w14:paraId="5F4FC020" w14:textId="77777777" w:rsidR="00996C65" w:rsidRPr="009C5807" w:rsidRDefault="00996C65" w:rsidP="00CF56CF">
            <w:pPr>
              <w:pStyle w:val="TAH"/>
            </w:pPr>
            <w:r w:rsidRPr="009C5807">
              <w:t xml:space="preserve">dBm/BW </w:t>
            </w:r>
            <w:r w:rsidRPr="009C5807">
              <w:rPr>
                <w:vertAlign w:val="subscript"/>
              </w:rPr>
              <w:t>Channel</w:t>
            </w:r>
          </w:p>
        </w:tc>
        <w:tc>
          <w:tcPr>
            <w:tcW w:w="954" w:type="dxa"/>
            <w:tcBorders>
              <w:top w:val="single" w:sz="6" w:space="0" w:color="auto"/>
              <w:left w:val="single" w:sz="6" w:space="0" w:color="auto"/>
              <w:right w:val="single" w:sz="4" w:space="0" w:color="auto"/>
            </w:tcBorders>
            <w:shd w:val="clear" w:color="auto" w:fill="auto"/>
          </w:tcPr>
          <w:p w14:paraId="118A726E" w14:textId="77777777" w:rsidR="00996C65" w:rsidRPr="009C5807" w:rsidRDefault="00996C65" w:rsidP="00CF56CF">
            <w:pPr>
              <w:pStyle w:val="TAH"/>
            </w:pPr>
            <w:r w:rsidRPr="009C5807">
              <w:t xml:space="preserve">dBm/BW </w:t>
            </w:r>
            <w:r w:rsidRPr="009C5807">
              <w:rPr>
                <w:vertAlign w:val="subscript"/>
              </w:rPr>
              <w:t>Channel</w:t>
            </w:r>
          </w:p>
        </w:tc>
      </w:tr>
      <w:tr w:rsidR="00996C65" w:rsidRPr="009C5807" w14:paraId="1AD6B608" w14:textId="77777777" w:rsidTr="00CF56CF">
        <w:trPr>
          <w:trHeight w:val="120"/>
          <w:jc w:val="center"/>
        </w:trPr>
        <w:tc>
          <w:tcPr>
            <w:tcW w:w="2126" w:type="dxa"/>
            <w:gridSpan w:val="3"/>
            <w:tcBorders>
              <w:top w:val="single" w:sz="6" w:space="0" w:color="auto"/>
              <w:left w:val="single" w:sz="6" w:space="0" w:color="auto"/>
              <w:bottom w:val="single" w:sz="6" w:space="0" w:color="auto"/>
              <w:right w:val="single" w:sz="6" w:space="0" w:color="auto"/>
            </w:tcBorders>
            <w:shd w:val="clear" w:color="auto" w:fill="auto"/>
          </w:tcPr>
          <w:p w14:paraId="54C5A164" w14:textId="77777777" w:rsidR="00996C65" w:rsidRPr="009C5807" w:rsidRDefault="00996C65" w:rsidP="00CF56CF">
            <w:pPr>
              <w:pStyle w:val="TAH"/>
            </w:pPr>
            <w:r w:rsidRPr="009C5807">
              <w:t>SCS</w:t>
            </w:r>
            <w:r w:rsidRPr="009C5807">
              <w:rPr>
                <w:vertAlign w:val="subscript"/>
              </w:rPr>
              <w:t>SRS</w:t>
            </w:r>
            <w:r w:rsidRPr="009C5807">
              <w:t xml:space="preserve"> (kHz)</w:t>
            </w:r>
          </w:p>
        </w:tc>
        <w:tc>
          <w:tcPr>
            <w:tcW w:w="2229" w:type="dxa"/>
            <w:gridSpan w:val="3"/>
            <w:tcBorders>
              <w:top w:val="single" w:sz="6" w:space="0" w:color="auto"/>
              <w:left w:val="single" w:sz="6" w:space="0" w:color="auto"/>
              <w:bottom w:val="single" w:sz="6" w:space="0" w:color="auto"/>
              <w:right w:val="single" w:sz="6" w:space="0" w:color="auto"/>
            </w:tcBorders>
            <w:shd w:val="clear" w:color="auto" w:fill="auto"/>
          </w:tcPr>
          <w:p w14:paraId="3CCD6201" w14:textId="77777777" w:rsidR="00996C65" w:rsidRPr="009C5807" w:rsidRDefault="00996C65" w:rsidP="00CF56CF">
            <w:pPr>
              <w:pStyle w:val="TAH"/>
            </w:pPr>
            <w:r w:rsidRPr="009C5807">
              <w:t>SCS</w:t>
            </w:r>
            <w:r w:rsidRPr="009C5807">
              <w:rPr>
                <w:vertAlign w:val="subscript"/>
              </w:rPr>
              <w:t>SRS</w:t>
            </w:r>
            <w:r w:rsidRPr="009C5807">
              <w:t xml:space="preserve"> (kHz)</w:t>
            </w:r>
          </w:p>
        </w:tc>
        <w:tc>
          <w:tcPr>
            <w:tcW w:w="652" w:type="dxa"/>
            <w:tcBorders>
              <w:left w:val="single" w:sz="6" w:space="0" w:color="auto"/>
              <w:right w:val="single" w:sz="6" w:space="0" w:color="auto"/>
            </w:tcBorders>
            <w:shd w:val="clear" w:color="auto" w:fill="auto"/>
          </w:tcPr>
          <w:p w14:paraId="2E3590B0" w14:textId="77777777" w:rsidR="00996C65" w:rsidRPr="009C5807" w:rsidRDefault="00996C65" w:rsidP="00CF56CF">
            <w:pPr>
              <w:pStyle w:val="TAH"/>
            </w:pPr>
          </w:p>
        </w:tc>
        <w:tc>
          <w:tcPr>
            <w:tcW w:w="1506" w:type="dxa"/>
            <w:tcBorders>
              <w:left w:val="single" w:sz="6" w:space="0" w:color="auto"/>
              <w:right w:val="single" w:sz="4" w:space="0" w:color="auto"/>
            </w:tcBorders>
            <w:shd w:val="clear" w:color="auto" w:fill="auto"/>
          </w:tcPr>
          <w:p w14:paraId="57FC7EFC" w14:textId="77777777" w:rsidR="00996C65" w:rsidRPr="009C5807" w:rsidRDefault="00996C65" w:rsidP="00CF56CF">
            <w:pPr>
              <w:pStyle w:val="TAH"/>
            </w:pPr>
          </w:p>
        </w:tc>
        <w:tc>
          <w:tcPr>
            <w:tcW w:w="2253" w:type="dxa"/>
            <w:gridSpan w:val="3"/>
            <w:tcBorders>
              <w:left w:val="single" w:sz="4" w:space="0" w:color="auto"/>
              <w:bottom w:val="single" w:sz="6" w:space="0" w:color="auto"/>
              <w:right w:val="single" w:sz="6" w:space="0" w:color="auto"/>
            </w:tcBorders>
            <w:shd w:val="clear" w:color="auto" w:fill="auto"/>
          </w:tcPr>
          <w:p w14:paraId="0CA07B97" w14:textId="77777777" w:rsidR="00996C65" w:rsidRPr="009C5807" w:rsidRDefault="00996C65" w:rsidP="00CF56CF">
            <w:pPr>
              <w:pStyle w:val="TAH"/>
              <w:rPr>
                <w:rFonts w:cs="Arial"/>
              </w:rPr>
            </w:pPr>
          </w:p>
        </w:tc>
        <w:tc>
          <w:tcPr>
            <w:tcW w:w="883" w:type="dxa"/>
            <w:tcBorders>
              <w:left w:val="single" w:sz="6" w:space="0" w:color="auto"/>
              <w:right w:val="single" w:sz="6" w:space="0" w:color="auto"/>
            </w:tcBorders>
            <w:shd w:val="clear" w:color="auto" w:fill="auto"/>
          </w:tcPr>
          <w:p w14:paraId="03B214DE" w14:textId="77777777" w:rsidR="00996C65" w:rsidRPr="009C5807" w:rsidRDefault="00996C65" w:rsidP="00CF56CF">
            <w:pPr>
              <w:pStyle w:val="TAH"/>
            </w:pPr>
          </w:p>
        </w:tc>
        <w:tc>
          <w:tcPr>
            <w:tcW w:w="954" w:type="dxa"/>
            <w:tcBorders>
              <w:left w:val="single" w:sz="6" w:space="0" w:color="auto"/>
              <w:right w:val="single" w:sz="4" w:space="0" w:color="auto"/>
            </w:tcBorders>
            <w:shd w:val="clear" w:color="auto" w:fill="auto"/>
          </w:tcPr>
          <w:p w14:paraId="61D74749" w14:textId="77777777" w:rsidR="00996C65" w:rsidRPr="009C5807" w:rsidRDefault="00996C65" w:rsidP="00CF56CF">
            <w:pPr>
              <w:pStyle w:val="TAH"/>
            </w:pPr>
          </w:p>
        </w:tc>
      </w:tr>
      <w:tr w:rsidR="00CF56CF" w:rsidRPr="009C5807" w14:paraId="5D9C11DB" w14:textId="77777777" w:rsidTr="00CF56CF">
        <w:trPr>
          <w:trHeight w:val="315"/>
          <w:jc w:val="center"/>
        </w:trPr>
        <w:tc>
          <w:tcPr>
            <w:tcW w:w="708" w:type="dxa"/>
            <w:tcBorders>
              <w:top w:val="single" w:sz="6" w:space="0" w:color="auto"/>
              <w:left w:val="single" w:sz="6" w:space="0" w:color="auto"/>
              <w:bottom w:val="single" w:sz="4" w:space="0" w:color="auto"/>
              <w:right w:val="single" w:sz="6" w:space="0" w:color="auto"/>
            </w:tcBorders>
            <w:shd w:val="clear" w:color="auto" w:fill="auto"/>
          </w:tcPr>
          <w:p w14:paraId="3A1203B5" w14:textId="77777777" w:rsidR="00996C65" w:rsidRPr="009C5807" w:rsidRDefault="00996C65" w:rsidP="00CF56CF">
            <w:pPr>
              <w:pStyle w:val="TAH"/>
              <w:rPr>
                <w:lang w:eastAsia="zh-CN"/>
              </w:rPr>
            </w:pPr>
            <w:r w:rsidRPr="009C5807">
              <w:rPr>
                <w:rFonts w:hint="eastAsia"/>
                <w:lang w:eastAsia="zh-CN"/>
              </w:rPr>
              <w:t>1</w:t>
            </w:r>
            <w:r w:rsidRPr="009C5807">
              <w:rPr>
                <w:lang w:eastAsia="zh-CN"/>
              </w:rPr>
              <w:t>5</w:t>
            </w:r>
          </w:p>
        </w:tc>
        <w:tc>
          <w:tcPr>
            <w:tcW w:w="709" w:type="dxa"/>
            <w:tcBorders>
              <w:top w:val="single" w:sz="6" w:space="0" w:color="auto"/>
              <w:left w:val="single" w:sz="6" w:space="0" w:color="auto"/>
              <w:bottom w:val="single" w:sz="4" w:space="0" w:color="auto"/>
              <w:right w:val="single" w:sz="6" w:space="0" w:color="auto"/>
            </w:tcBorders>
            <w:shd w:val="clear" w:color="auto" w:fill="auto"/>
          </w:tcPr>
          <w:p w14:paraId="60251670" w14:textId="77777777" w:rsidR="00996C65" w:rsidRPr="009C5807" w:rsidRDefault="00996C65" w:rsidP="00CF56CF">
            <w:pPr>
              <w:pStyle w:val="TAH"/>
              <w:rPr>
                <w:lang w:eastAsia="zh-CN"/>
              </w:rPr>
            </w:pPr>
            <w:r w:rsidRPr="009C5807">
              <w:rPr>
                <w:rFonts w:hint="eastAsia"/>
                <w:lang w:eastAsia="zh-CN"/>
              </w:rPr>
              <w:t>3</w:t>
            </w:r>
            <w:r w:rsidRPr="009C5807">
              <w:rPr>
                <w:lang w:eastAsia="zh-CN"/>
              </w:rPr>
              <w:t>0</w:t>
            </w:r>
          </w:p>
        </w:tc>
        <w:tc>
          <w:tcPr>
            <w:tcW w:w="709" w:type="dxa"/>
            <w:tcBorders>
              <w:top w:val="single" w:sz="6" w:space="0" w:color="auto"/>
              <w:left w:val="single" w:sz="6" w:space="0" w:color="auto"/>
              <w:bottom w:val="single" w:sz="4" w:space="0" w:color="auto"/>
              <w:right w:val="single" w:sz="6" w:space="0" w:color="auto"/>
            </w:tcBorders>
            <w:shd w:val="clear" w:color="auto" w:fill="auto"/>
          </w:tcPr>
          <w:p w14:paraId="09DA9ECF" w14:textId="77777777" w:rsidR="00996C65" w:rsidRPr="009C5807" w:rsidRDefault="00996C65" w:rsidP="00CF56CF">
            <w:pPr>
              <w:pStyle w:val="TAH"/>
              <w:rPr>
                <w:lang w:eastAsia="zh-CN"/>
              </w:rPr>
            </w:pPr>
            <w:r w:rsidRPr="009C5807">
              <w:rPr>
                <w:rFonts w:hint="eastAsia"/>
                <w:lang w:eastAsia="zh-CN"/>
              </w:rPr>
              <w:t>6</w:t>
            </w:r>
            <w:r w:rsidRPr="009C5807">
              <w:rPr>
                <w:lang w:eastAsia="zh-CN"/>
              </w:rPr>
              <w:t>0</w:t>
            </w:r>
          </w:p>
        </w:tc>
        <w:tc>
          <w:tcPr>
            <w:tcW w:w="709" w:type="dxa"/>
            <w:tcBorders>
              <w:top w:val="single" w:sz="6" w:space="0" w:color="auto"/>
              <w:left w:val="single" w:sz="6" w:space="0" w:color="auto"/>
              <w:bottom w:val="single" w:sz="4" w:space="0" w:color="auto"/>
              <w:right w:val="single" w:sz="6" w:space="0" w:color="auto"/>
            </w:tcBorders>
            <w:shd w:val="clear" w:color="auto" w:fill="auto"/>
          </w:tcPr>
          <w:p w14:paraId="230B0FB1" w14:textId="77777777" w:rsidR="00996C65" w:rsidRPr="009C5807" w:rsidRDefault="00996C65" w:rsidP="00CF56CF">
            <w:pPr>
              <w:pStyle w:val="TAH"/>
            </w:pPr>
            <w:r w:rsidRPr="009C5807">
              <w:rPr>
                <w:rFonts w:hint="eastAsia"/>
                <w:lang w:eastAsia="zh-CN"/>
              </w:rPr>
              <w:t>1</w:t>
            </w:r>
            <w:r w:rsidRPr="009C5807">
              <w:rPr>
                <w:lang w:eastAsia="zh-CN"/>
              </w:rPr>
              <w:t>5</w:t>
            </w:r>
          </w:p>
        </w:tc>
        <w:tc>
          <w:tcPr>
            <w:tcW w:w="716" w:type="dxa"/>
            <w:tcBorders>
              <w:top w:val="single" w:sz="6" w:space="0" w:color="auto"/>
              <w:left w:val="single" w:sz="6" w:space="0" w:color="auto"/>
              <w:bottom w:val="single" w:sz="4" w:space="0" w:color="auto"/>
              <w:right w:val="single" w:sz="6" w:space="0" w:color="auto"/>
            </w:tcBorders>
            <w:shd w:val="clear" w:color="auto" w:fill="auto"/>
          </w:tcPr>
          <w:p w14:paraId="7A65BE62" w14:textId="77777777" w:rsidR="00996C65" w:rsidRPr="009C5807" w:rsidRDefault="00996C65" w:rsidP="00CF56CF">
            <w:pPr>
              <w:pStyle w:val="TAH"/>
            </w:pPr>
            <w:r w:rsidRPr="009C5807">
              <w:rPr>
                <w:rFonts w:hint="eastAsia"/>
                <w:lang w:eastAsia="zh-CN"/>
              </w:rPr>
              <w:t>3</w:t>
            </w:r>
            <w:r w:rsidRPr="009C5807">
              <w:rPr>
                <w:lang w:eastAsia="zh-CN"/>
              </w:rPr>
              <w:t>0</w:t>
            </w:r>
          </w:p>
        </w:tc>
        <w:tc>
          <w:tcPr>
            <w:tcW w:w="804" w:type="dxa"/>
            <w:tcBorders>
              <w:top w:val="single" w:sz="6" w:space="0" w:color="auto"/>
              <w:left w:val="single" w:sz="6" w:space="0" w:color="auto"/>
              <w:bottom w:val="single" w:sz="4" w:space="0" w:color="auto"/>
              <w:right w:val="single" w:sz="6" w:space="0" w:color="auto"/>
            </w:tcBorders>
            <w:shd w:val="clear" w:color="auto" w:fill="auto"/>
          </w:tcPr>
          <w:p w14:paraId="2C45A193" w14:textId="77777777" w:rsidR="00996C65" w:rsidRPr="009C5807" w:rsidRDefault="00996C65" w:rsidP="00CF56CF">
            <w:pPr>
              <w:pStyle w:val="TAH"/>
            </w:pPr>
            <w:r w:rsidRPr="009C5807">
              <w:rPr>
                <w:rFonts w:hint="eastAsia"/>
                <w:lang w:eastAsia="zh-CN"/>
              </w:rPr>
              <w:t>6</w:t>
            </w:r>
            <w:r w:rsidRPr="009C5807">
              <w:rPr>
                <w:lang w:eastAsia="zh-CN"/>
              </w:rPr>
              <w:t>0</w:t>
            </w:r>
          </w:p>
        </w:tc>
        <w:tc>
          <w:tcPr>
            <w:tcW w:w="652" w:type="dxa"/>
            <w:tcBorders>
              <w:left w:val="single" w:sz="6" w:space="0" w:color="auto"/>
              <w:bottom w:val="single" w:sz="4" w:space="0" w:color="auto"/>
              <w:right w:val="single" w:sz="6" w:space="0" w:color="auto"/>
            </w:tcBorders>
            <w:shd w:val="clear" w:color="auto" w:fill="auto"/>
          </w:tcPr>
          <w:p w14:paraId="06545481" w14:textId="77777777" w:rsidR="00996C65" w:rsidRPr="009C5807" w:rsidRDefault="00996C65" w:rsidP="00CF56CF">
            <w:pPr>
              <w:pStyle w:val="TAH"/>
            </w:pPr>
          </w:p>
        </w:tc>
        <w:tc>
          <w:tcPr>
            <w:tcW w:w="1506" w:type="dxa"/>
            <w:tcBorders>
              <w:left w:val="single" w:sz="6" w:space="0" w:color="auto"/>
              <w:right w:val="single" w:sz="4" w:space="0" w:color="auto"/>
            </w:tcBorders>
            <w:shd w:val="clear" w:color="auto" w:fill="auto"/>
          </w:tcPr>
          <w:p w14:paraId="6C3A9301" w14:textId="77777777" w:rsidR="00996C65" w:rsidRPr="009C5807" w:rsidRDefault="00996C65" w:rsidP="00CF56CF">
            <w:pPr>
              <w:pStyle w:val="TAH"/>
            </w:pPr>
          </w:p>
        </w:tc>
        <w:tc>
          <w:tcPr>
            <w:tcW w:w="751" w:type="dxa"/>
            <w:tcBorders>
              <w:top w:val="single" w:sz="6" w:space="0" w:color="auto"/>
              <w:left w:val="single" w:sz="4" w:space="0" w:color="auto"/>
              <w:right w:val="single" w:sz="6" w:space="0" w:color="auto"/>
            </w:tcBorders>
            <w:shd w:val="clear" w:color="auto" w:fill="auto"/>
          </w:tcPr>
          <w:p w14:paraId="1E268BC5" w14:textId="77777777" w:rsidR="00996C65" w:rsidRPr="009C5807" w:rsidRDefault="00996C65" w:rsidP="00CF56CF">
            <w:pPr>
              <w:pStyle w:val="TAH"/>
              <w:rPr>
                <w:rFonts w:cs="Arial"/>
              </w:rPr>
            </w:pPr>
            <w:r w:rsidRPr="009C5807">
              <w:t>SCS</w:t>
            </w:r>
            <w:r w:rsidRPr="009C5807">
              <w:rPr>
                <w:vertAlign w:val="subscript"/>
              </w:rPr>
              <w:t>SRS</w:t>
            </w:r>
            <w:r w:rsidRPr="009C5807">
              <w:rPr>
                <w:rFonts w:cs="Arial"/>
              </w:rPr>
              <w:t xml:space="preserve"> = 15 kHz</w:t>
            </w:r>
          </w:p>
        </w:tc>
        <w:tc>
          <w:tcPr>
            <w:tcW w:w="751" w:type="dxa"/>
            <w:tcBorders>
              <w:top w:val="single" w:sz="6" w:space="0" w:color="auto"/>
              <w:left w:val="single" w:sz="4" w:space="0" w:color="auto"/>
              <w:right w:val="single" w:sz="6" w:space="0" w:color="auto"/>
            </w:tcBorders>
            <w:shd w:val="clear" w:color="auto" w:fill="auto"/>
          </w:tcPr>
          <w:p w14:paraId="47CCC887" w14:textId="77777777" w:rsidR="00996C65" w:rsidRPr="009C5807" w:rsidRDefault="00996C65" w:rsidP="00CF56CF">
            <w:pPr>
              <w:pStyle w:val="TAH"/>
              <w:rPr>
                <w:rFonts w:cs="Arial"/>
              </w:rPr>
            </w:pPr>
            <w:r w:rsidRPr="009C5807">
              <w:t>SCS</w:t>
            </w:r>
            <w:r w:rsidRPr="009C5807">
              <w:rPr>
                <w:vertAlign w:val="subscript"/>
              </w:rPr>
              <w:t>SRS</w:t>
            </w:r>
            <w:r w:rsidRPr="009C5807">
              <w:rPr>
                <w:rFonts w:cs="Arial"/>
              </w:rPr>
              <w:t xml:space="preserve"> = 30 kHz</w:t>
            </w:r>
          </w:p>
        </w:tc>
        <w:tc>
          <w:tcPr>
            <w:tcW w:w="751" w:type="dxa"/>
            <w:tcBorders>
              <w:top w:val="single" w:sz="6" w:space="0" w:color="auto"/>
              <w:left w:val="single" w:sz="4" w:space="0" w:color="auto"/>
              <w:right w:val="single" w:sz="6" w:space="0" w:color="auto"/>
            </w:tcBorders>
            <w:shd w:val="clear" w:color="auto" w:fill="auto"/>
          </w:tcPr>
          <w:p w14:paraId="1635B338" w14:textId="77777777" w:rsidR="00996C65" w:rsidRPr="009C5807" w:rsidRDefault="00996C65" w:rsidP="00CF56CF">
            <w:pPr>
              <w:pStyle w:val="TAH"/>
              <w:rPr>
                <w:rFonts w:cs="Arial"/>
              </w:rPr>
            </w:pPr>
            <w:r w:rsidRPr="009C5807">
              <w:t>SCS</w:t>
            </w:r>
            <w:r w:rsidRPr="009C5807">
              <w:rPr>
                <w:vertAlign w:val="subscript"/>
              </w:rPr>
              <w:t>SRS</w:t>
            </w:r>
            <w:r w:rsidRPr="009C5807">
              <w:rPr>
                <w:rFonts w:cs="Arial"/>
              </w:rPr>
              <w:t xml:space="preserve"> = 60 kHz</w:t>
            </w:r>
          </w:p>
        </w:tc>
        <w:tc>
          <w:tcPr>
            <w:tcW w:w="883" w:type="dxa"/>
            <w:tcBorders>
              <w:left w:val="single" w:sz="6" w:space="0" w:color="auto"/>
              <w:right w:val="single" w:sz="6" w:space="0" w:color="auto"/>
            </w:tcBorders>
            <w:shd w:val="clear" w:color="auto" w:fill="auto"/>
          </w:tcPr>
          <w:p w14:paraId="25292C75" w14:textId="77777777" w:rsidR="00996C65" w:rsidRPr="009C5807" w:rsidRDefault="00996C65" w:rsidP="00CF56CF">
            <w:pPr>
              <w:pStyle w:val="TAH"/>
              <w:rPr>
                <w:sz w:val="16"/>
                <w:szCs w:val="16"/>
              </w:rPr>
            </w:pPr>
          </w:p>
        </w:tc>
        <w:tc>
          <w:tcPr>
            <w:tcW w:w="954" w:type="dxa"/>
            <w:tcBorders>
              <w:left w:val="single" w:sz="6" w:space="0" w:color="auto"/>
              <w:right w:val="single" w:sz="4" w:space="0" w:color="auto"/>
            </w:tcBorders>
            <w:shd w:val="clear" w:color="auto" w:fill="auto"/>
          </w:tcPr>
          <w:p w14:paraId="379B586D" w14:textId="77777777" w:rsidR="00996C65" w:rsidRPr="009C5807" w:rsidRDefault="00996C65" w:rsidP="00CF56CF">
            <w:pPr>
              <w:pStyle w:val="TAH"/>
              <w:rPr>
                <w:sz w:val="16"/>
                <w:szCs w:val="16"/>
              </w:rPr>
            </w:pPr>
          </w:p>
        </w:tc>
      </w:tr>
      <w:tr w:rsidR="00CF56CF" w:rsidRPr="009C5807" w14:paraId="267C1D0D" w14:textId="77777777" w:rsidTr="00CF56CF">
        <w:trPr>
          <w:jc w:val="center"/>
        </w:trPr>
        <w:tc>
          <w:tcPr>
            <w:tcW w:w="708" w:type="dxa"/>
            <w:tcBorders>
              <w:top w:val="single" w:sz="4" w:space="0" w:color="auto"/>
              <w:left w:val="single" w:sz="4" w:space="0" w:color="auto"/>
              <w:right w:val="single" w:sz="4" w:space="0" w:color="auto"/>
            </w:tcBorders>
            <w:shd w:val="clear" w:color="auto" w:fill="auto"/>
            <w:vAlign w:val="center"/>
          </w:tcPr>
          <w:p w14:paraId="4765EA9B" w14:textId="7B98F3E9" w:rsidR="00CF56CF" w:rsidRPr="009C5807" w:rsidRDefault="00CF56CF" w:rsidP="00F70A70">
            <w:pPr>
              <w:pStyle w:val="TAC"/>
            </w:pPr>
            <w:r w:rsidRPr="009C5807">
              <w:sym w:font="Symbol" w:char="F0B1"/>
            </w:r>
            <w:r w:rsidRPr="009C5807">
              <w:t>3</w:t>
            </w:r>
          </w:p>
        </w:tc>
        <w:tc>
          <w:tcPr>
            <w:tcW w:w="709" w:type="dxa"/>
            <w:tcBorders>
              <w:top w:val="single" w:sz="4" w:space="0" w:color="auto"/>
              <w:left w:val="single" w:sz="4" w:space="0" w:color="auto"/>
              <w:right w:val="single" w:sz="4" w:space="0" w:color="auto"/>
            </w:tcBorders>
            <w:shd w:val="clear" w:color="auto" w:fill="auto"/>
            <w:vAlign w:val="center"/>
          </w:tcPr>
          <w:p w14:paraId="2BE6134D" w14:textId="69A26A58" w:rsidR="00CF56CF" w:rsidRPr="009C5807" w:rsidRDefault="00CF56CF" w:rsidP="00F70A70">
            <w:pPr>
              <w:pStyle w:val="TAC"/>
            </w:pPr>
            <w:r>
              <w:sym w:font="Symbol" w:char="F0B1"/>
            </w:r>
            <w:r>
              <w:t>3.5</w:t>
            </w:r>
          </w:p>
        </w:tc>
        <w:tc>
          <w:tcPr>
            <w:tcW w:w="709" w:type="dxa"/>
            <w:tcBorders>
              <w:top w:val="single" w:sz="4" w:space="0" w:color="auto"/>
              <w:left w:val="single" w:sz="4" w:space="0" w:color="auto"/>
              <w:right w:val="single" w:sz="4" w:space="0" w:color="auto"/>
            </w:tcBorders>
            <w:shd w:val="clear" w:color="auto" w:fill="auto"/>
            <w:vAlign w:val="center"/>
          </w:tcPr>
          <w:p w14:paraId="347F4664" w14:textId="17728278" w:rsidR="00CF56CF" w:rsidRPr="009C5807" w:rsidRDefault="00CF56CF" w:rsidP="00F70A70">
            <w:pPr>
              <w:pStyle w:val="TAC"/>
            </w:pPr>
            <w:r>
              <w:sym w:font="Symbol" w:char="F0B1"/>
            </w:r>
            <w:r>
              <w:t>5</w:t>
            </w:r>
          </w:p>
        </w:tc>
        <w:tc>
          <w:tcPr>
            <w:tcW w:w="709" w:type="dxa"/>
            <w:tcBorders>
              <w:top w:val="single" w:sz="4" w:space="0" w:color="auto"/>
              <w:left w:val="single" w:sz="4" w:space="0" w:color="auto"/>
              <w:right w:val="single" w:sz="4" w:space="0" w:color="auto"/>
            </w:tcBorders>
            <w:shd w:val="clear" w:color="auto" w:fill="auto"/>
            <w:vAlign w:val="center"/>
          </w:tcPr>
          <w:p w14:paraId="11BC46DE" w14:textId="77F0DC97" w:rsidR="00CF56CF" w:rsidRPr="009C5807" w:rsidRDefault="00CF56CF" w:rsidP="00F70A70">
            <w:pPr>
              <w:pStyle w:val="TAC"/>
            </w:pPr>
            <w:r w:rsidRPr="009C5807">
              <w:sym w:font="Symbol" w:char="F0B1"/>
            </w:r>
            <w:r w:rsidRPr="009C5807">
              <w:t>7.5</w:t>
            </w:r>
          </w:p>
        </w:tc>
        <w:tc>
          <w:tcPr>
            <w:tcW w:w="716" w:type="dxa"/>
            <w:tcBorders>
              <w:top w:val="single" w:sz="4" w:space="0" w:color="auto"/>
              <w:left w:val="single" w:sz="4" w:space="0" w:color="auto"/>
              <w:right w:val="single" w:sz="4" w:space="0" w:color="auto"/>
            </w:tcBorders>
            <w:shd w:val="clear" w:color="auto" w:fill="auto"/>
            <w:vAlign w:val="center"/>
          </w:tcPr>
          <w:p w14:paraId="7EF772A2" w14:textId="4F53D283" w:rsidR="00CF56CF" w:rsidRPr="009C5807" w:rsidRDefault="00CF56CF" w:rsidP="00F70A70">
            <w:pPr>
              <w:pStyle w:val="TAC"/>
            </w:pPr>
            <w:r>
              <w:sym w:font="Symbol" w:char="F0B1"/>
            </w:r>
            <w:r>
              <w:t>8</w:t>
            </w:r>
          </w:p>
        </w:tc>
        <w:tc>
          <w:tcPr>
            <w:tcW w:w="804" w:type="dxa"/>
            <w:tcBorders>
              <w:top w:val="single" w:sz="4" w:space="0" w:color="auto"/>
              <w:left w:val="single" w:sz="4" w:space="0" w:color="auto"/>
              <w:right w:val="single" w:sz="4" w:space="0" w:color="auto"/>
            </w:tcBorders>
            <w:shd w:val="clear" w:color="auto" w:fill="auto"/>
            <w:vAlign w:val="center"/>
          </w:tcPr>
          <w:p w14:paraId="75F5B5B2" w14:textId="3DDCE34B" w:rsidR="00CF56CF" w:rsidRPr="009C5807" w:rsidRDefault="00CF56CF" w:rsidP="00F70A70">
            <w:pPr>
              <w:pStyle w:val="TAC"/>
            </w:pPr>
            <w:r>
              <w:sym w:font="Symbol" w:char="F0B1"/>
            </w:r>
            <w:r>
              <w:t>9.5</w:t>
            </w:r>
          </w:p>
        </w:tc>
        <w:tc>
          <w:tcPr>
            <w:tcW w:w="652" w:type="dxa"/>
            <w:tcBorders>
              <w:top w:val="single" w:sz="4" w:space="0" w:color="auto"/>
              <w:left w:val="single" w:sz="4" w:space="0" w:color="auto"/>
              <w:right w:val="single" w:sz="4" w:space="0" w:color="auto"/>
            </w:tcBorders>
            <w:shd w:val="clear" w:color="auto" w:fill="auto"/>
            <w:vAlign w:val="center"/>
          </w:tcPr>
          <w:p w14:paraId="6E486FD0" w14:textId="77777777" w:rsidR="00CF56CF" w:rsidRPr="009C5807" w:rsidRDefault="00CF56CF" w:rsidP="00F70A70">
            <w:pPr>
              <w:pStyle w:val="TAC"/>
            </w:pPr>
            <w:r w:rsidRPr="009C5807">
              <w:sym w:font="Symbol" w:char="F0B3"/>
            </w:r>
            <w:r w:rsidRPr="009C5807">
              <w:t>1</w:t>
            </w:r>
          </w:p>
        </w:tc>
        <w:tc>
          <w:tcPr>
            <w:tcW w:w="1506" w:type="dxa"/>
            <w:tcBorders>
              <w:top w:val="single" w:sz="6" w:space="0" w:color="auto"/>
              <w:left w:val="single" w:sz="4" w:space="0" w:color="auto"/>
              <w:bottom w:val="single" w:sz="6" w:space="0" w:color="auto"/>
              <w:right w:val="single" w:sz="4" w:space="0" w:color="auto"/>
            </w:tcBorders>
            <w:shd w:val="clear" w:color="auto" w:fill="auto"/>
            <w:vAlign w:val="center"/>
          </w:tcPr>
          <w:p w14:paraId="6BF66C08" w14:textId="77777777" w:rsidR="00CF56CF" w:rsidRPr="009C5807" w:rsidRDefault="00CF56CF" w:rsidP="00F70A70">
            <w:pPr>
              <w:pStyle w:val="TAC"/>
            </w:pPr>
            <w:r w:rsidRPr="009C5807">
              <w:t>NR_TDD_FR1_A,</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679B5747" w14:textId="77777777" w:rsidR="00CF56CF" w:rsidRPr="009C5807" w:rsidRDefault="00CF56CF" w:rsidP="00F70A70">
            <w:pPr>
              <w:pStyle w:val="TAC"/>
            </w:pPr>
            <w:r w:rsidRPr="009C5807">
              <w:t>-120</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4D70400B" w14:textId="77777777" w:rsidR="00CF56CF" w:rsidRPr="009C5807" w:rsidRDefault="00CF56CF" w:rsidP="00F70A70">
            <w:pPr>
              <w:pStyle w:val="TAC"/>
            </w:pPr>
            <w:r w:rsidRPr="009C5807">
              <w:t>-117</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6655CC7F" w14:textId="77777777" w:rsidR="00CF56CF" w:rsidRPr="009C5807" w:rsidRDefault="00CF56CF" w:rsidP="00F70A70">
            <w:pPr>
              <w:pStyle w:val="TAC"/>
            </w:pPr>
            <w:r w:rsidRPr="009C5807">
              <w:rPr>
                <w:rFonts w:cs="Arial" w:hint="eastAsia"/>
                <w:lang w:eastAsia="ko-KR"/>
              </w:rPr>
              <w:t>-11</w:t>
            </w:r>
            <w:r w:rsidRPr="009C5807">
              <w:rPr>
                <w:rFonts w:cs="Arial"/>
                <w:lang w:eastAsia="ko-KR"/>
              </w:rPr>
              <w:t>4</w:t>
            </w:r>
          </w:p>
        </w:tc>
        <w:tc>
          <w:tcPr>
            <w:tcW w:w="883" w:type="dxa"/>
            <w:tcBorders>
              <w:top w:val="single" w:sz="6" w:space="0" w:color="auto"/>
              <w:left w:val="single" w:sz="6" w:space="0" w:color="auto"/>
              <w:bottom w:val="single" w:sz="6" w:space="0" w:color="auto"/>
              <w:right w:val="single" w:sz="6" w:space="0" w:color="auto"/>
            </w:tcBorders>
            <w:shd w:val="clear" w:color="auto" w:fill="auto"/>
            <w:vAlign w:val="center"/>
          </w:tcPr>
          <w:p w14:paraId="04931090" w14:textId="77777777" w:rsidR="00CF56CF" w:rsidRPr="009C5807" w:rsidRDefault="00CF56CF" w:rsidP="00F70A70">
            <w:pPr>
              <w:pStyle w:val="TAC"/>
            </w:pPr>
            <w:r w:rsidRPr="009C5807">
              <w:t>N/A</w:t>
            </w:r>
          </w:p>
        </w:tc>
        <w:tc>
          <w:tcPr>
            <w:tcW w:w="954" w:type="dxa"/>
            <w:tcBorders>
              <w:top w:val="single" w:sz="6" w:space="0" w:color="auto"/>
              <w:left w:val="single" w:sz="6" w:space="0" w:color="auto"/>
              <w:bottom w:val="single" w:sz="6" w:space="0" w:color="auto"/>
              <w:right w:val="single" w:sz="4" w:space="0" w:color="auto"/>
            </w:tcBorders>
            <w:shd w:val="clear" w:color="auto" w:fill="auto"/>
            <w:vAlign w:val="center"/>
          </w:tcPr>
          <w:p w14:paraId="18EF116C" w14:textId="77777777" w:rsidR="00CF56CF" w:rsidRPr="009C5807" w:rsidRDefault="00CF56CF" w:rsidP="00F70A70">
            <w:pPr>
              <w:pStyle w:val="TAC"/>
            </w:pPr>
            <w:r w:rsidRPr="009C5807">
              <w:t>-70</w:t>
            </w:r>
          </w:p>
        </w:tc>
      </w:tr>
      <w:tr w:rsidR="00CF56CF" w:rsidRPr="009C5807" w14:paraId="4CF4C1A3" w14:textId="77777777" w:rsidTr="00CF56CF">
        <w:trPr>
          <w:jc w:val="center"/>
        </w:trPr>
        <w:tc>
          <w:tcPr>
            <w:tcW w:w="708" w:type="dxa"/>
            <w:tcBorders>
              <w:left w:val="single" w:sz="4" w:space="0" w:color="auto"/>
              <w:right w:val="single" w:sz="4" w:space="0" w:color="auto"/>
            </w:tcBorders>
            <w:shd w:val="clear" w:color="auto" w:fill="auto"/>
            <w:vAlign w:val="center"/>
          </w:tcPr>
          <w:p w14:paraId="027333C6" w14:textId="77777777" w:rsidR="00CF56CF" w:rsidRPr="009C5807" w:rsidRDefault="00CF56CF" w:rsidP="00F70A70">
            <w:pPr>
              <w:pStyle w:val="TAC"/>
            </w:pPr>
          </w:p>
        </w:tc>
        <w:tc>
          <w:tcPr>
            <w:tcW w:w="709" w:type="dxa"/>
            <w:tcBorders>
              <w:left w:val="single" w:sz="4" w:space="0" w:color="auto"/>
              <w:right w:val="single" w:sz="4" w:space="0" w:color="auto"/>
            </w:tcBorders>
            <w:shd w:val="clear" w:color="auto" w:fill="auto"/>
            <w:vAlign w:val="center"/>
          </w:tcPr>
          <w:p w14:paraId="1895E150" w14:textId="77777777" w:rsidR="00CF56CF" w:rsidRPr="009C5807" w:rsidRDefault="00CF56CF" w:rsidP="00F70A70">
            <w:pPr>
              <w:pStyle w:val="TAC"/>
            </w:pPr>
          </w:p>
        </w:tc>
        <w:tc>
          <w:tcPr>
            <w:tcW w:w="709" w:type="dxa"/>
            <w:tcBorders>
              <w:left w:val="single" w:sz="4" w:space="0" w:color="auto"/>
              <w:right w:val="single" w:sz="4" w:space="0" w:color="auto"/>
            </w:tcBorders>
            <w:shd w:val="clear" w:color="auto" w:fill="auto"/>
            <w:vAlign w:val="center"/>
          </w:tcPr>
          <w:p w14:paraId="48F17E40" w14:textId="77777777" w:rsidR="00CF56CF" w:rsidRPr="009C5807" w:rsidRDefault="00CF56CF" w:rsidP="00F70A70">
            <w:pPr>
              <w:pStyle w:val="TAC"/>
            </w:pPr>
          </w:p>
        </w:tc>
        <w:tc>
          <w:tcPr>
            <w:tcW w:w="709" w:type="dxa"/>
            <w:tcBorders>
              <w:left w:val="single" w:sz="4" w:space="0" w:color="auto"/>
              <w:right w:val="single" w:sz="4" w:space="0" w:color="auto"/>
            </w:tcBorders>
            <w:shd w:val="clear" w:color="auto" w:fill="auto"/>
            <w:vAlign w:val="center"/>
          </w:tcPr>
          <w:p w14:paraId="738532F7" w14:textId="77777777" w:rsidR="00CF56CF" w:rsidRPr="009C5807" w:rsidRDefault="00CF56CF" w:rsidP="00F70A70">
            <w:pPr>
              <w:pStyle w:val="TAC"/>
            </w:pPr>
          </w:p>
        </w:tc>
        <w:tc>
          <w:tcPr>
            <w:tcW w:w="716" w:type="dxa"/>
            <w:tcBorders>
              <w:left w:val="single" w:sz="4" w:space="0" w:color="auto"/>
              <w:right w:val="single" w:sz="4" w:space="0" w:color="auto"/>
            </w:tcBorders>
            <w:shd w:val="clear" w:color="auto" w:fill="auto"/>
            <w:vAlign w:val="center"/>
          </w:tcPr>
          <w:p w14:paraId="58012624" w14:textId="77777777" w:rsidR="00CF56CF" w:rsidRPr="009C5807" w:rsidRDefault="00CF56CF" w:rsidP="00F70A70">
            <w:pPr>
              <w:pStyle w:val="TAC"/>
            </w:pPr>
          </w:p>
        </w:tc>
        <w:tc>
          <w:tcPr>
            <w:tcW w:w="804" w:type="dxa"/>
            <w:tcBorders>
              <w:left w:val="single" w:sz="4" w:space="0" w:color="auto"/>
              <w:right w:val="single" w:sz="4" w:space="0" w:color="auto"/>
            </w:tcBorders>
            <w:shd w:val="clear" w:color="auto" w:fill="auto"/>
            <w:vAlign w:val="center"/>
          </w:tcPr>
          <w:p w14:paraId="3F210905" w14:textId="77777777" w:rsidR="00CF56CF" w:rsidRPr="009C5807" w:rsidRDefault="00CF56CF" w:rsidP="00F70A70">
            <w:pPr>
              <w:pStyle w:val="TAC"/>
            </w:pPr>
          </w:p>
        </w:tc>
        <w:tc>
          <w:tcPr>
            <w:tcW w:w="652" w:type="dxa"/>
            <w:tcBorders>
              <w:left w:val="single" w:sz="4" w:space="0" w:color="auto"/>
              <w:right w:val="single" w:sz="4" w:space="0" w:color="auto"/>
            </w:tcBorders>
            <w:shd w:val="clear" w:color="auto" w:fill="auto"/>
            <w:vAlign w:val="center"/>
          </w:tcPr>
          <w:p w14:paraId="7163EBC4" w14:textId="77777777" w:rsidR="00CF56CF" w:rsidRPr="009C5807" w:rsidRDefault="00CF56CF" w:rsidP="00F70A70">
            <w:pPr>
              <w:pStyle w:val="TAC"/>
            </w:pPr>
          </w:p>
        </w:tc>
        <w:tc>
          <w:tcPr>
            <w:tcW w:w="1506" w:type="dxa"/>
            <w:tcBorders>
              <w:top w:val="single" w:sz="6" w:space="0" w:color="auto"/>
              <w:left w:val="single" w:sz="4" w:space="0" w:color="auto"/>
              <w:bottom w:val="single" w:sz="6" w:space="0" w:color="auto"/>
              <w:right w:val="single" w:sz="4" w:space="0" w:color="auto"/>
            </w:tcBorders>
            <w:shd w:val="clear" w:color="auto" w:fill="auto"/>
            <w:vAlign w:val="center"/>
          </w:tcPr>
          <w:p w14:paraId="2158AE13" w14:textId="77777777" w:rsidR="00CF56CF" w:rsidRPr="009C5807" w:rsidRDefault="00CF56CF" w:rsidP="00F70A70">
            <w:pPr>
              <w:pStyle w:val="TAC"/>
            </w:pPr>
            <w:r w:rsidRPr="009C5807">
              <w:t>NR_TDD_FR1_C</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621AC9B8" w14:textId="77777777" w:rsidR="00CF56CF" w:rsidRPr="009C5807" w:rsidRDefault="00CF56CF" w:rsidP="00F70A70">
            <w:pPr>
              <w:pStyle w:val="TAC"/>
            </w:pPr>
            <w:r w:rsidRPr="009C5807">
              <w:t>-119</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38B9883D" w14:textId="77777777" w:rsidR="00CF56CF" w:rsidRPr="009C5807" w:rsidRDefault="00CF56CF" w:rsidP="00F70A70">
            <w:pPr>
              <w:pStyle w:val="TAC"/>
              <w:rPr>
                <w:lang w:val="sv-SE"/>
              </w:rPr>
            </w:pPr>
            <w:r w:rsidRPr="009C5807">
              <w:t>-116</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40AC5152" w14:textId="77777777" w:rsidR="00CF56CF" w:rsidRPr="009C5807" w:rsidRDefault="00CF56CF" w:rsidP="00F70A70">
            <w:pPr>
              <w:pStyle w:val="TAC"/>
              <w:rPr>
                <w:lang w:val="sv-SE"/>
              </w:rPr>
            </w:pPr>
            <w:r w:rsidRPr="009C5807">
              <w:rPr>
                <w:rFonts w:cs="Arial" w:hint="eastAsia"/>
                <w:lang w:val="sv-SE" w:eastAsia="ko-KR"/>
              </w:rPr>
              <w:t>-11</w:t>
            </w:r>
            <w:r w:rsidRPr="009C5807">
              <w:rPr>
                <w:rFonts w:cs="Arial"/>
                <w:lang w:val="sv-SE" w:eastAsia="ko-KR"/>
              </w:rPr>
              <w:t>3</w:t>
            </w:r>
          </w:p>
        </w:tc>
        <w:tc>
          <w:tcPr>
            <w:tcW w:w="883" w:type="dxa"/>
            <w:tcBorders>
              <w:top w:val="single" w:sz="6" w:space="0" w:color="auto"/>
              <w:left w:val="single" w:sz="6" w:space="0" w:color="auto"/>
              <w:bottom w:val="single" w:sz="6" w:space="0" w:color="auto"/>
              <w:right w:val="single" w:sz="6" w:space="0" w:color="auto"/>
            </w:tcBorders>
            <w:shd w:val="clear" w:color="auto" w:fill="auto"/>
            <w:vAlign w:val="center"/>
          </w:tcPr>
          <w:p w14:paraId="2DB8835E" w14:textId="77777777" w:rsidR="00CF56CF" w:rsidRPr="009C5807" w:rsidRDefault="00CF56CF" w:rsidP="00F70A70">
            <w:pPr>
              <w:pStyle w:val="TAC"/>
            </w:pPr>
            <w:r w:rsidRPr="009C5807">
              <w:t>N/A</w:t>
            </w:r>
          </w:p>
        </w:tc>
        <w:tc>
          <w:tcPr>
            <w:tcW w:w="954" w:type="dxa"/>
            <w:tcBorders>
              <w:top w:val="single" w:sz="6" w:space="0" w:color="auto"/>
              <w:left w:val="single" w:sz="6" w:space="0" w:color="auto"/>
              <w:bottom w:val="single" w:sz="6" w:space="0" w:color="auto"/>
              <w:right w:val="single" w:sz="4" w:space="0" w:color="auto"/>
            </w:tcBorders>
            <w:shd w:val="clear" w:color="auto" w:fill="auto"/>
            <w:vAlign w:val="center"/>
          </w:tcPr>
          <w:p w14:paraId="1A94790E" w14:textId="77777777" w:rsidR="00CF56CF" w:rsidRPr="009C5807" w:rsidRDefault="00CF56CF" w:rsidP="00F70A70">
            <w:pPr>
              <w:pStyle w:val="TAC"/>
            </w:pPr>
            <w:r w:rsidRPr="009C5807">
              <w:t>-70</w:t>
            </w:r>
          </w:p>
        </w:tc>
      </w:tr>
      <w:tr w:rsidR="00CF56CF" w:rsidRPr="009C5807" w14:paraId="0EF45A37" w14:textId="77777777" w:rsidTr="00CF56CF">
        <w:trPr>
          <w:jc w:val="center"/>
        </w:trPr>
        <w:tc>
          <w:tcPr>
            <w:tcW w:w="708" w:type="dxa"/>
            <w:tcBorders>
              <w:left w:val="single" w:sz="4" w:space="0" w:color="auto"/>
              <w:right w:val="single" w:sz="4" w:space="0" w:color="auto"/>
            </w:tcBorders>
            <w:shd w:val="clear" w:color="auto" w:fill="auto"/>
            <w:vAlign w:val="center"/>
          </w:tcPr>
          <w:p w14:paraId="64B562DA" w14:textId="77777777" w:rsidR="00CF56CF" w:rsidRPr="009C5807" w:rsidRDefault="00CF56CF" w:rsidP="00F70A70">
            <w:pPr>
              <w:pStyle w:val="TAC"/>
            </w:pPr>
          </w:p>
        </w:tc>
        <w:tc>
          <w:tcPr>
            <w:tcW w:w="709" w:type="dxa"/>
            <w:tcBorders>
              <w:left w:val="single" w:sz="4" w:space="0" w:color="auto"/>
              <w:right w:val="single" w:sz="4" w:space="0" w:color="auto"/>
            </w:tcBorders>
            <w:shd w:val="clear" w:color="auto" w:fill="auto"/>
            <w:vAlign w:val="center"/>
          </w:tcPr>
          <w:p w14:paraId="1D9E40D4" w14:textId="77777777" w:rsidR="00CF56CF" w:rsidRPr="009C5807" w:rsidRDefault="00CF56CF" w:rsidP="00F70A70">
            <w:pPr>
              <w:pStyle w:val="TAC"/>
            </w:pPr>
          </w:p>
        </w:tc>
        <w:tc>
          <w:tcPr>
            <w:tcW w:w="709" w:type="dxa"/>
            <w:tcBorders>
              <w:left w:val="single" w:sz="4" w:space="0" w:color="auto"/>
              <w:right w:val="single" w:sz="4" w:space="0" w:color="auto"/>
            </w:tcBorders>
            <w:shd w:val="clear" w:color="auto" w:fill="auto"/>
            <w:vAlign w:val="center"/>
          </w:tcPr>
          <w:p w14:paraId="5B29D39D" w14:textId="77777777" w:rsidR="00CF56CF" w:rsidRPr="009C5807" w:rsidRDefault="00CF56CF" w:rsidP="00F70A70">
            <w:pPr>
              <w:pStyle w:val="TAC"/>
            </w:pPr>
          </w:p>
        </w:tc>
        <w:tc>
          <w:tcPr>
            <w:tcW w:w="709" w:type="dxa"/>
            <w:tcBorders>
              <w:left w:val="single" w:sz="4" w:space="0" w:color="auto"/>
              <w:right w:val="single" w:sz="4" w:space="0" w:color="auto"/>
            </w:tcBorders>
            <w:shd w:val="clear" w:color="auto" w:fill="auto"/>
            <w:vAlign w:val="center"/>
          </w:tcPr>
          <w:p w14:paraId="6EA81CA0" w14:textId="77777777" w:rsidR="00CF56CF" w:rsidRPr="009C5807" w:rsidRDefault="00CF56CF" w:rsidP="00F70A70">
            <w:pPr>
              <w:pStyle w:val="TAC"/>
            </w:pPr>
          </w:p>
        </w:tc>
        <w:tc>
          <w:tcPr>
            <w:tcW w:w="716" w:type="dxa"/>
            <w:tcBorders>
              <w:left w:val="single" w:sz="4" w:space="0" w:color="auto"/>
              <w:right w:val="single" w:sz="4" w:space="0" w:color="auto"/>
            </w:tcBorders>
            <w:shd w:val="clear" w:color="auto" w:fill="auto"/>
            <w:vAlign w:val="center"/>
          </w:tcPr>
          <w:p w14:paraId="425F2A39" w14:textId="77777777" w:rsidR="00CF56CF" w:rsidRPr="009C5807" w:rsidRDefault="00CF56CF" w:rsidP="00F70A70">
            <w:pPr>
              <w:pStyle w:val="TAC"/>
            </w:pPr>
          </w:p>
        </w:tc>
        <w:tc>
          <w:tcPr>
            <w:tcW w:w="804" w:type="dxa"/>
            <w:tcBorders>
              <w:left w:val="single" w:sz="4" w:space="0" w:color="auto"/>
              <w:right w:val="single" w:sz="4" w:space="0" w:color="auto"/>
            </w:tcBorders>
            <w:shd w:val="clear" w:color="auto" w:fill="auto"/>
            <w:vAlign w:val="center"/>
          </w:tcPr>
          <w:p w14:paraId="57E3AF89" w14:textId="77777777" w:rsidR="00CF56CF" w:rsidRPr="009C5807" w:rsidRDefault="00CF56CF" w:rsidP="00F70A70">
            <w:pPr>
              <w:pStyle w:val="TAC"/>
            </w:pPr>
          </w:p>
        </w:tc>
        <w:tc>
          <w:tcPr>
            <w:tcW w:w="652" w:type="dxa"/>
            <w:tcBorders>
              <w:left w:val="single" w:sz="4" w:space="0" w:color="auto"/>
              <w:right w:val="single" w:sz="4" w:space="0" w:color="auto"/>
            </w:tcBorders>
            <w:shd w:val="clear" w:color="auto" w:fill="auto"/>
            <w:vAlign w:val="center"/>
          </w:tcPr>
          <w:p w14:paraId="54D20B03" w14:textId="77777777" w:rsidR="00CF56CF" w:rsidRPr="009C5807" w:rsidRDefault="00CF56CF" w:rsidP="00F70A70">
            <w:pPr>
              <w:pStyle w:val="TAC"/>
            </w:pPr>
          </w:p>
        </w:tc>
        <w:tc>
          <w:tcPr>
            <w:tcW w:w="1506" w:type="dxa"/>
            <w:tcBorders>
              <w:top w:val="single" w:sz="6" w:space="0" w:color="auto"/>
              <w:left w:val="single" w:sz="4" w:space="0" w:color="auto"/>
              <w:bottom w:val="single" w:sz="6" w:space="0" w:color="auto"/>
              <w:right w:val="single" w:sz="4" w:space="0" w:color="auto"/>
            </w:tcBorders>
            <w:shd w:val="clear" w:color="auto" w:fill="auto"/>
            <w:vAlign w:val="center"/>
          </w:tcPr>
          <w:p w14:paraId="18FD4FAE" w14:textId="77777777" w:rsidR="00CF56CF" w:rsidRPr="009C5807" w:rsidRDefault="00CF56CF" w:rsidP="00F70A70">
            <w:pPr>
              <w:pStyle w:val="TAC"/>
              <w:rPr>
                <w:lang w:val="sv-SE"/>
              </w:rPr>
            </w:pPr>
            <w:r w:rsidRPr="009C5807">
              <w:rPr>
                <w:lang w:val="sv-SE"/>
              </w:rPr>
              <w:t>NR_TDD_FR1_D</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48E674AB" w14:textId="77777777" w:rsidR="00CF56CF" w:rsidRPr="009C5807" w:rsidDel="00FA4A82" w:rsidRDefault="00CF56CF" w:rsidP="00F70A70">
            <w:pPr>
              <w:pStyle w:val="TAC"/>
            </w:pPr>
            <w:r w:rsidRPr="009C5807">
              <w:t>-118.5</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4C168F46" w14:textId="77777777" w:rsidR="00CF56CF" w:rsidRPr="009C5807" w:rsidDel="00FA4A82" w:rsidRDefault="00CF56CF" w:rsidP="00F70A70">
            <w:pPr>
              <w:pStyle w:val="TAC"/>
            </w:pPr>
            <w:r w:rsidRPr="009C5807">
              <w:t>-115.5</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18835164" w14:textId="77777777" w:rsidR="00CF56CF" w:rsidRPr="009C5807" w:rsidDel="00FA4A82" w:rsidRDefault="00CF56CF" w:rsidP="00F70A70">
            <w:pPr>
              <w:pStyle w:val="TAC"/>
            </w:pPr>
            <w:r w:rsidRPr="009C5807">
              <w:rPr>
                <w:rFonts w:cs="Arial" w:hint="eastAsia"/>
                <w:lang w:val="sv-SE" w:eastAsia="ko-KR"/>
              </w:rPr>
              <w:t>-11</w:t>
            </w:r>
            <w:r w:rsidRPr="009C5807">
              <w:rPr>
                <w:rFonts w:cs="Arial"/>
                <w:lang w:val="sv-SE" w:eastAsia="ko-KR"/>
              </w:rPr>
              <w:t>2</w:t>
            </w:r>
            <w:r w:rsidRPr="009C5807">
              <w:rPr>
                <w:rFonts w:cs="Arial" w:hint="eastAsia"/>
                <w:lang w:val="sv-SE" w:eastAsia="ko-KR"/>
              </w:rPr>
              <w:t>.5</w:t>
            </w:r>
          </w:p>
        </w:tc>
        <w:tc>
          <w:tcPr>
            <w:tcW w:w="883" w:type="dxa"/>
            <w:tcBorders>
              <w:top w:val="single" w:sz="6" w:space="0" w:color="auto"/>
              <w:left w:val="single" w:sz="6" w:space="0" w:color="auto"/>
              <w:bottom w:val="single" w:sz="6" w:space="0" w:color="auto"/>
              <w:right w:val="single" w:sz="6" w:space="0" w:color="auto"/>
            </w:tcBorders>
            <w:shd w:val="clear" w:color="auto" w:fill="auto"/>
            <w:vAlign w:val="center"/>
          </w:tcPr>
          <w:p w14:paraId="00D61E75" w14:textId="77777777" w:rsidR="00CF56CF" w:rsidRPr="009C5807" w:rsidRDefault="00CF56CF" w:rsidP="00F70A70">
            <w:pPr>
              <w:pStyle w:val="TAC"/>
            </w:pPr>
            <w:r w:rsidRPr="009C5807">
              <w:t>N/A</w:t>
            </w:r>
          </w:p>
        </w:tc>
        <w:tc>
          <w:tcPr>
            <w:tcW w:w="954" w:type="dxa"/>
            <w:tcBorders>
              <w:top w:val="single" w:sz="6" w:space="0" w:color="auto"/>
              <w:left w:val="single" w:sz="6" w:space="0" w:color="auto"/>
              <w:bottom w:val="single" w:sz="6" w:space="0" w:color="auto"/>
              <w:right w:val="single" w:sz="4" w:space="0" w:color="auto"/>
            </w:tcBorders>
            <w:shd w:val="clear" w:color="auto" w:fill="auto"/>
            <w:vAlign w:val="center"/>
          </w:tcPr>
          <w:p w14:paraId="315B19AA" w14:textId="77777777" w:rsidR="00CF56CF" w:rsidRPr="009C5807" w:rsidRDefault="00CF56CF" w:rsidP="00F70A70">
            <w:pPr>
              <w:pStyle w:val="TAC"/>
            </w:pPr>
            <w:r w:rsidRPr="009C5807">
              <w:t>-70</w:t>
            </w:r>
          </w:p>
        </w:tc>
      </w:tr>
      <w:tr w:rsidR="00CF56CF" w:rsidRPr="009C5807" w14:paraId="488ED1CA" w14:textId="77777777" w:rsidTr="00CF56CF">
        <w:trPr>
          <w:jc w:val="center"/>
        </w:trPr>
        <w:tc>
          <w:tcPr>
            <w:tcW w:w="708" w:type="dxa"/>
            <w:tcBorders>
              <w:left w:val="single" w:sz="4" w:space="0" w:color="auto"/>
              <w:bottom w:val="single" w:sz="4" w:space="0" w:color="auto"/>
              <w:right w:val="single" w:sz="4" w:space="0" w:color="auto"/>
            </w:tcBorders>
            <w:shd w:val="clear" w:color="auto" w:fill="auto"/>
            <w:vAlign w:val="center"/>
          </w:tcPr>
          <w:p w14:paraId="4F35AB96" w14:textId="77777777" w:rsidR="00CF56CF" w:rsidRPr="009C5807" w:rsidRDefault="00CF56CF" w:rsidP="00F70A70">
            <w:pPr>
              <w:pStyle w:val="TAC"/>
            </w:pPr>
          </w:p>
        </w:tc>
        <w:tc>
          <w:tcPr>
            <w:tcW w:w="709" w:type="dxa"/>
            <w:tcBorders>
              <w:left w:val="single" w:sz="4" w:space="0" w:color="auto"/>
              <w:bottom w:val="single" w:sz="4" w:space="0" w:color="auto"/>
              <w:right w:val="single" w:sz="4" w:space="0" w:color="auto"/>
            </w:tcBorders>
            <w:shd w:val="clear" w:color="auto" w:fill="auto"/>
            <w:vAlign w:val="center"/>
          </w:tcPr>
          <w:p w14:paraId="59047325" w14:textId="77777777" w:rsidR="00CF56CF" w:rsidRPr="009C5807" w:rsidRDefault="00CF56CF" w:rsidP="00F70A70">
            <w:pPr>
              <w:pStyle w:val="TAC"/>
            </w:pPr>
          </w:p>
        </w:tc>
        <w:tc>
          <w:tcPr>
            <w:tcW w:w="709" w:type="dxa"/>
            <w:tcBorders>
              <w:left w:val="single" w:sz="4" w:space="0" w:color="auto"/>
              <w:bottom w:val="single" w:sz="4" w:space="0" w:color="auto"/>
              <w:right w:val="single" w:sz="4" w:space="0" w:color="auto"/>
            </w:tcBorders>
            <w:shd w:val="clear" w:color="auto" w:fill="auto"/>
            <w:vAlign w:val="center"/>
          </w:tcPr>
          <w:p w14:paraId="1AC225EA" w14:textId="77777777" w:rsidR="00CF56CF" w:rsidRPr="009C5807" w:rsidRDefault="00CF56CF" w:rsidP="00F70A70">
            <w:pPr>
              <w:pStyle w:val="TAC"/>
            </w:pPr>
          </w:p>
        </w:tc>
        <w:tc>
          <w:tcPr>
            <w:tcW w:w="709" w:type="dxa"/>
            <w:tcBorders>
              <w:left w:val="single" w:sz="4" w:space="0" w:color="auto"/>
              <w:bottom w:val="single" w:sz="4" w:space="0" w:color="auto"/>
              <w:right w:val="single" w:sz="4" w:space="0" w:color="auto"/>
            </w:tcBorders>
            <w:shd w:val="clear" w:color="auto" w:fill="auto"/>
            <w:vAlign w:val="center"/>
          </w:tcPr>
          <w:p w14:paraId="253542D3" w14:textId="77777777" w:rsidR="00CF56CF" w:rsidRPr="009C5807" w:rsidRDefault="00CF56CF" w:rsidP="00F70A70">
            <w:pPr>
              <w:pStyle w:val="TAC"/>
            </w:pPr>
          </w:p>
        </w:tc>
        <w:tc>
          <w:tcPr>
            <w:tcW w:w="716" w:type="dxa"/>
            <w:tcBorders>
              <w:left w:val="single" w:sz="4" w:space="0" w:color="auto"/>
              <w:bottom w:val="single" w:sz="4" w:space="0" w:color="auto"/>
              <w:right w:val="single" w:sz="4" w:space="0" w:color="auto"/>
            </w:tcBorders>
            <w:shd w:val="clear" w:color="auto" w:fill="auto"/>
            <w:vAlign w:val="center"/>
          </w:tcPr>
          <w:p w14:paraId="075150B4" w14:textId="77777777" w:rsidR="00CF56CF" w:rsidRPr="009C5807" w:rsidRDefault="00CF56CF" w:rsidP="00F70A70">
            <w:pPr>
              <w:pStyle w:val="TAC"/>
            </w:pPr>
          </w:p>
        </w:tc>
        <w:tc>
          <w:tcPr>
            <w:tcW w:w="804" w:type="dxa"/>
            <w:tcBorders>
              <w:left w:val="single" w:sz="4" w:space="0" w:color="auto"/>
              <w:bottom w:val="single" w:sz="4" w:space="0" w:color="auto"/>
              <w:right w:val="single" w:sz="4" w:space="0" w:color="auto"/>
            </w:tcBorders>
            <w:shd w:val="clear" w:color="auto" w:fill="auto"/>
            <w:vAlign w:val="center"/>
          </w:tcPr>
          <w:p w14:paraId="5591B7C5" w14:textId="77777777" w:rsidR="00CF56CF" w:rsidRPr="009C5807" w:rsidRDefault="00CF56CF" w:rsidP="00F70A70">
            <w:pPr>
              <w:pStyle w:val="TAC"/>
            </w:pPr>
          </w:p>
        </w:tc>
        <w:tc>
          <w:tcPr>
            <w:tcW w:w="652" w:type="dxa"/>
            <w:tcBorders>
              <w:left w:val="single" w:sz="4" w:space="0" w:color="auto"/>
              <w:bottom w:val="single" w:sz="4" w:space="0" w:color="auto"/>
              <w:right w:val="single" w:sz="4" w:space="0" w:color="auto"/>
            </w:tcBorders>
            <w:shd w:val="clear" w:color="auto" w:fill="auto"/>
            <w:vAlign w:val="center"/>
          </w:tcPr>
          <w:p w14:paraId="5243EB1D" w14:textId="77777777" w:rsidR="00CF56CF" w:rsidRPr="009C5807" w:rsidRDefault="00CF56CF" w:rsidP="00F70A70">
            <w:pPr>
              <w:pStyle w:val="TAC"/>
            </w:pPr>
          </w:p>
        </w:tc>
        <w:tc>
          <w:tcPr>
            <w:tcW w:w="1506" w:type="dxa"/>
            <w:tcBorders>
              <w:top w:val="single" w:sz="6" w:space="0" w:color="auto"/>
              <w:left w:val="single" w:sz="4" w:space="0" w:color="auto"/>
              <w:bottom w:val="single" w:sz="6" w:space="0" w:color="auto"/>
              <w:right w:val="single" w:sz="4" w:space="0" w:color="auto"/>
            </w:tcBorders>
            <w:shd w:val="clear" w:color="auto" w:fill="auto"/>
            <w:vAlign w:val="center"/>
          </w:tcPr>
          <w:p w14:paraId="129F9C9E" w14:textId="77777777" w:rsidR="00CF56CF" w:rsidRPr="009C5807" w:rsidDel="00836998" w:rsidRDefault="00CF56CF" w:rsidP="00F70A70">
            <w:pPr>
              <w:pStyle w:val="TAC"/>
              <w:rPr>
                <w:lang w:val="sv-SE"/>
              </w:rPr>
            </w:pPr>
            <w:r w:rsidRPr="009C5807">
              <w:rPr>
                <w:lang w:val="sv-SE"/>
              </w:rPr>
              <w:t>NR_TDD_FR1_E</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10480E27" w14:textId="77777777" w:rsidR="00CF56CF" w:rsidRPr="009C5807" w:rsidRDefault="00CF56CF" w:rsidP="00F70A70">
            <w:pPr>
              <w:pStyle w:val="TAC"/>
            </w:pPr>
            <w:r w:rsidRPr="009C5807">
              <w:t>-118</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37539CD9" w14:textId="77777777" w:rsidR="00CF56CF" w:rsidRPr="009C5807" w:rsidRDefault="00CF56CF" w:rsidP="00F70A70">
            <w:pPr>
              <w:pStyle w:val="TAC"/>
              <w:rPr>
                <w:lang w:val="sv-SE"/>
              </w:rPr>
            </w:pPr>
            <w:r w:rsidRPr="009C5807">
              <w:t>-115</w:t>
            </w:r>
          </w:p>
        </w:tc>
        <w:tc>
          <w:tcPr>
            <w:tcW w:w="751" w:type="dxa"/>
            <w:tcBorders>
              <w:top w:val="single" w:sz="6" w:space="0" w:color="auto"/>
              <w:left w:val="single" w:sz="4" w:space="0" w:color="auto"/>
              <w:bottom w:val="single" w:sz="6" w:space="0" w:color="auto"/>
              <w:right w:val="single" w:sz="6" w:space="0" w:color="auto"/>
            </w:tcBorders>
            <w:shd w:val="clear" w:color="auto" w:fill="auto"/>
            <w:vAlign w:val="center"/>
          </w:tcPr>
          <w:p w14:paraId="1DB510E4" w14:textId="77777777" w:rsidR="00CF56CF" w:rsidRPr="009C5807" w:rsidRDefault="00CF56CF" w:rsidP="00F70A70">
            <w:pPr>
              <w:pStyle w:val="TAC"/>
              <w:rPr>
                <w:lang w:val="sv-SE"/>
              </w:rPr>
            </w:pPr>
            <w:r w:rsidRPr="009C5807">
              <w:rPr>
                <w:rFonts w:cs="Arial" w:hint="eastAsia"/>
                <w:lang w:eastAsia="ko-KR"/>
              </w:rPr>
              <w:t>-11</w:t>
            </w:r>
            <w:r w:rsidRPr="009C5807">
              <w:rPr>
                <w:rFonts w:cs="Arial"/>
                <w:lang w:eastAsia="ko-KR"/>
              </w:rPr>
              <w:t>2</w:t>
            </w:r>
          </w:p>
        </w:tc>
        <w:tc>
          <w:tcPr>
            <w:tcW w:w="883" w:type="dxa"/>
            <w:tcBorders>
              <w:top w:val="single" w:sz="6" w:space="0" w:color="auto"/>
              <w:left w:val="single" w:sz="6" w:space="0" w:color="auto"/>
              <w:bottom w:val="single" w:sz="6" w:space="0" w:color="auto"/>
              <w:right w:val="single" w:sz="6" w:space="0" w:color="auto"/>
            </w:tcBorders>
            <w:shd w:val="clear" w:color="auto" w:fill="auto"/>
            <w:vAlign w:val="center"/>
          </w:tcPr>
          <w:p w14:paraId="4655CF6C" w14:textId="77777777" w:rsidR="00CF56CF" w:rsidRPr="009C5807" w:rsidRDefault="00CF56CF" w:rsidP="00F70A70">
            <w:pPr>
              <w:pStyle w:val="TAC"/>
            </w:pPr>
            <w:r w:rsidRPr="009C5807">
              <w:t>N/A</w:t>
            </w:r>
          </w:p>
        </w:tc>
        <w:tc>
          <w:tcPr>
            <w:tcW w:w="954" w:type="dxa"/>
            <w:tcBorders>
              <w:top w:val="single" w:sz="6" w:space="0" w:color="auto"/>
              <w:left w:val="single" w:sz="6" w:space="0" w:color="auto"/>
              <w:bottom w:val="single" w:sz="6" w:space="0" w:color="auto"/>
              <w:right w:val="single" w:sz="4" w:space="0" w:color="auto"/>
            </w:tcBorders>
            <w:shd w:val="clear" w:color="auto" w:fill="auto"/>
            <w:vAlign w:val="center"/>
          </w:tcPr>
          <w:p w14:paraId="65033ED8" w14:textId="77777777" w:rsidR="00CF56CF" w:rsidRPr="009C5807" w:rsidRDefault="00CF56CF" w:rsidP="00F70A70">
            <w:pPr>
              <w:pStyle w:val="TAC"/>
            </w:pPr>
            <w:r w:rsidRPr="009C5807">
              <w:t>-70</w:t>
            </w:r>
          </w:p>
        </w:tc>
      </w:tr>
      <w:tr w:rsidR="00C32CDC" w:rsidRPr="009C5807" w14:paraId="497726CB" w14:textId="77777777" w:rsidTr="00063CF2">
        <w:trPr>
          <w:jc w:val="center"/>
        </w:trPr>
        <w:tc>
          <w:tcPr>
            <w:tcW w:w="708" w:type="dxa"/>
            <w:tcBorders>
              <w:top w:val="single" w:sz="4" w:space="0" w:color="auto"/>
              <w:left w:val="single" w:sz="6" w:space="0" w:color="auto"/>
              <w:bottom w:val="single" w:sz="6" w:space="0" w:color="auto"/>
              <w:right w:val="single" w:sz="6" w:space="0" w:color="auto"/>
            </w:tcBorders>
            <w:shd w:val="clear" w:color="auto" w:fill="auto"/>
          </w:tcPr>
          <w:p w14:paraId="2A130CBF" w14:textId="0A7625B3" w:rsidR="00C32CDC" w:rsidRPr="009C5807" w:rsidRDefault="00C32CDC" w:rsidP="00063CF2">
            <w:pPr>
              <w:pStyle w:val="TAC"/>
              <w:rPr>
                <w:lang w:eastAsia="zh-CN"/>
              </w:rPr>
            </w:pPr>
            <w:r w:rsidRPr="009C5807">
              <w:sym w:font="Symbol" w:char="F0B1"/>
            </w:r>
            <w:r w:rsidRPr="009C5807">
              <w:t>6.5</w:t>
            </w:r>
          </w:p>
        </w:tc>
        <w:tc>
          <w:tcPr>
            <w:tcW w:w="709" w:type="dxa"/>
            <w:tcBorders>
              <w:top w:val="single" w:sz="4" w:space="0" w:color="auto"/>
              <w:left w:val="single" w:sz="6" w:space="0" w:color="auto"/>
              <w:bottom w:val="single" w:sz="6" w:space="0" w:color="auto"/>
              <w:right w:val="single" w:sz="6" w:space="0" w:color="auto"/>
            </w:tcBorders>
            <w:shd w:val="clear" w:color="auto" w:fill="auto"/>
          </w:tcPr>
          <w:p w14:paraId="37DCD779" w14:textId="00160484" w:rsidR="00C32CDC" w:rsidRPr="009C5807" w:rsidRDefault="00C32CDC" w:rsidP="00063CF2">
            <w:pPr>
              <w:pStyle w:val="TAC"/>
            </w:pPr>
            <w:r>
              <w:sym w:font="Symbol" w:char="F0B1"/>
            </w:r>
            <w:r>
              <w:t>7</w:t>
            </w:r>
          </w:p>
        </w:tc>
        <w:tc>
          <w:tcPr>
            <w:tcW w:w="709" w:type="dxa"/>
            <w:tcBorders>
              <w:top w:val="single" w:sz="4" w:space="0" w:color="auto"/>
              <w:left w:val="single" w:sz="6" w:space="0" w:color="auto"/>
              <w:bottom w:val="single" w:sz="6" w:space="0" w:color="auto"/>
              <w:right w:val="single" w:sz="6" w:space="0" w:color="auto"/>
            </w:tcBorders>
            <w:shd w:val="clear" w:color="auto" w:fill="auto"/>
          </w:tcPr>
          <w:p w14:paraId="2E431FDD" w14:textId="7019A08A" w:rsidR="00C32CDC" w:rsidRPr="009C5807" w:rsidRDefault="00C32CDC" w:rsidP="00063CF2">
            <w:pPr>
              <w:pStyle w:val="TAC"/>
            </w:pPr>
            <w:r>
              <w:sym w:font="Symbol" w:char="F0B1"/>
            </w:r>
            <w:r>
              <w:t>8.5</w:t>
            </w:r>
          </w:p>
        </w:tc>
        <w:tc>
          <w:tcPr>
            <w:tcW w:w="709" w:type="dxa"/>
            <w:tcBorders>
              <w:top w:val="single" w:sz="4" w:space="0" w:color="auto"/>
              <w:left w:val="single" w:sz="6" w:space="0" w:color="auto"/>
              <w:bottom w:val="single" w:sz="6" w:space="0" w:color="auto"/>
              <w:right w:val="single" w:sz="6" w:space="0" w:color="auto"/>
            </w:tcBorders>
            <w:shd w:val="clear" w:color="auto" w:fill="auto"/>
          </w:tcPr>
          <w:p w14:paraId="602A3222" w14:textId="44E450F0" w:rsidR="00C32CDC" w:rsidRPr="009C5807" w:rsidRDefault="00C32CDC" w:rsidP="00063CF2">
            <w:pPr>
              <w:pStyle w:val="TAC"/>
            </w:pPr>
            <w:r w:rsidRPr="009C5807">
              <w:sym w:font="Symbol" w:char="F0B1"/>
            </w:r>
            <w:r w:rsidRPr="009C5807">
              <w:t>9.5</w:t>
            </w:r>
          </w:p>
        </w:tc>
        <w:tc>
          <w:tcPr>
            <w:tcW w:w="716" w:type="dxa"/>
            <w:tcBorders>
              <w:top w:val="single" w:sz="4" w:space="0" w:color="auto"/>
              <w:left w:val="single" w:sz="6" w:space="0" w:color="auto"/>
              <w:bottom w:val="single" w:sz="6" w:space="0" w:color="auto"/>
              <w:right w:val="single" w:sz="6" w:space="0" w:color="auto"/>
            </w:tcBorders>
            <w:shd w:val="clear" w:color="auto" w:fill="auto"/>
          </w:tcPr>
          <w:p w14:paraId="4DD21BD1" w14:textId="0556FA24" w:rsidR="00C32CDC" w:rsidRPr="009C5807" w:rsidRDefault="00C32CDC" w:rsidP="00063CF2">
            <w:pPr>
              <w:pStyle w:val="TAC"/>
            </w:pPr>
            <w:r>
              <w:sym w:font="Symbol" w:char="F0B1"/>
            </w:r>
            <w:r>
              <w:t>10</w:t>
            </w:r>
          </w:p>
        </w:tc>
        <w:tc>
          <w:tcPr>
            <w:tcW w:w="804" w:type="dxa"/>
            <w:tcBorders>
              <w:top w:val="single" w:sz="4" w:space="0" w:color="auto"/>
              <w:left w:val="single" w:sz="6" w:space="0" w:color="auto"/>
              <w:bottom w:val="single" w:sz="6" w:space="0" w:color="auto"/>
              <w:right w:val="single" w:sz="6" w:space="0" w:color="auto"/>
            </w:tcBorders>
            <w:shd w:val="clear" w:color="auto" w:fill="auto"/>
          </w:tcPr>
          <w:p w14:paraId="1081F61F" w14:textId="26E15227" w:rsidR="00C32CDC" w:rsidRPr="009C5807" w:rsidRDefault="00C32CDC" w:rsidP="00063CF2">
            <w:pPr>
              <w:pStyle w:val="TAC"/>
            </w:pPr>
            <w:r>
              <w:sym w:font="Symbol" w:char="F0B1"/>
            </w:r>
            <w:r>
              <w:t>11.5</w:t>
            </w:r>
          </w:p>
        </w:tc>
        <w:tc>
          <w:tcPr>
            <w:tcW w:w="652" w:type="dxa"/>
            <w:tcBorders>
              <w:top w:val="single" w:sz="4" w:space="0" w:color="auto"/>
              <w:left w:val="single" w:sz="6" w:space="0" w:color="auto"/>
              <w:bottom w:val="single" w:sz="6" w:space="0" w:color="auto"/>
              <w:right w:val="single" w:sz="6" w:space="0" w:color="auto"/>
            </w:tcBorders>
            <w:shd w:val="clear" w:color="auto" w:fill="auto"/>
          </w:tcPr>
          <w:p w14:paraId="64CBCAE4" w14:textId="77777777" w:rsidR="00C32CDC" w:rsidRPr="009C5807" w:rsidRDefault="00C32CDC" w:rsidP="00063CF2">
            <w:pPr>
              <w:pStyle w:val="TAC"/>
            </w:pPr>
            <w:r w:rsidRPr="009C5807">
              <w:sym w:font="Symbol" w:char="F0B3"/>
            </w:r>
            <w:r w:rsidRPr="009C5807">
              <w:t>1</w:t>
            </w:r>
          </w:p>
        </w:tc>
        <w:tc>
          <w:tcPr>
            <w:tcW w:w="1506" w:type="dxa"/>
            <w:tcBorders>
              <w:top w:val="single" w:sz="6" w:space="0" w:color="auto"/>
              <w:left w:val="single" w:sz="6" w:space="0" w:color="auto"/>
              <w:bottom w:val="single" w:sz="6" w:space="0" w:color="auto"/>
              <w:right w:val="single" w:sz="4" w:space="0" w:color="auto"/>
            </w:tcBorders>
            <w:shd w:val="clear" w:color="auto" w:fill="auto"/>
          </w:tcPr>
          <w:p w14:paraId="79337F8A" w14:textId="74F271D1" w:rsidR="00C32CDC" w:rsidRPr="009C5807" w:rsidRDefault="00C32CDC" w:rsidP="00063CF2">
            <w:pPr>
              <w:pStyle w:val="TAC"/>
            </w:pPr>
            <w:r w:rsidRPr="009C5807">
              <w:t>NR_TDD_FR1_A,</w:t>
            </w:r>
          </w:p>
          <w:p w14:paraId="47B0D4DB" w14:textId="77777777" w:rsidR="00C32CDC" w:rsidRPr="009C5807" w:rsidRDefault="00C32CDC" w:rsidP="00063CF2">
            <w:pPr>
              <w:pStyle w:val="TAC"/>
            </w:pPr>
            <w:r w:rsidRPr="009C5807">
              <w:t>NR_TDD_FR1_C, NR_TDD_FR1_D, NR_TDD_FR1_E</w:t>
            </w:r>
          </w:p>
        </w:tc>
        <w:tc>
          <w:tcPr>
            <w:tcW w:w="751" w:type="dxa"/>
            <w:tcBorders>
              <w:top w:val="single" w:sz="6" w:space="0" w:color="auto"/>
              <w:left w:val="single" w:sz="4" w:space="0" w:color="auto"/>
              <w:bottom w:val="single" w:sz="4" w:space="0" w:color="auto"/>
              <w:right w:val="single" w:sz="6" w:space="0" w:color="auto"/>
            </w:tcBorders>
            <w:shd w:val="clear" w:color="auto" w:fill="auto"/>
          </w:tcPr>
          <w:p w14:paraId="65E2BBFC" w14:textId="77777777" w:rsidR="00C32CDC" w:rsidRPr="009C5807" w:rsidRDefault="00C32CDC" w:rsidP="00063CF2">
            <w:pPr>
              <w:pStyle w:val="TAC"/>
            </w:pPr>
            <w:r w:rsidRPr="009C5807">
              <w:t>N/A</w:t>
            </w:r>
          </w:p>
        </w:tc>
        <w:tc>
          <w:tcPr>
            <w:tcW w:w="751" w:type="dxa"/>
            <w:tcBorders>
              <w:top w:val="single" w:sz="6" w:space="0" w:color="auto"/>
              <w:left w:val="single" w:sz="4" w:space="0" w:color="auto"/>
              <w:bottom w:val="single" w:sz="4" w:space="0" w:color="auto"/>
              <w:right w:val="single" w:sz="6" w:space="0" w:color="auto"/>
            </w:tcBorders>
            <w:shd w:val="clear" w:color="auto" w:fill="auto"/>
          </w:tcPr>
          <w:p w14:paraId="46529800" w14:textId="77777777" w:rsidR="00C32CDC" w:rsidRPr="009C5807" w:rsidRDefault="00C32CDC" w:rsidP="00063CF2">
            <w:pPr>
              <w:pStyle w:val="TAC"/>
              <w:rPr>
                <w:lang w:eastAsia="zh-CN"/>
              </w:rPr>
            </w:pPr>
            <w:r w:rsidRPr="009C5807">
              <w:rPr>
                <w:lang w:eastAsia="zh-CN"/>
              </w:rPr>
              <w:t>N/A</w:t>
            </w:r>
          </w:p>
        </w:tc>
        <w:tc>
          <w:tcPr>
            <w:tcW w:w="751" w:type="dxa"/>
            <w:tcBorders>
              <w:top w:val="single" w:sz="6" w:space="0" w:color="auto"/>
              <w:left w:val="single" w:sz="4" w:space="0" w:color="auto"/>
              <w:bottom w:val="single" w:sz="4" w:space="0" w:color="auto"/>
              <w:right w:val="single" w:sz="6" w:space="0" w:color="auto"/>
            </w:tcBorders>
            <w:shd w:val="clear" w:color="auto" w:fill="auto"/>
          </w:tcPr>
          <w:p w14:paraId="699E0F97" w14:textId="77777777" w:rsidR="00C32CDC" w:rsidRPr="009C5807" w:rsidRDefault="00C32CDC" w:rsidP="00063CF2">
            <w:pPr>
              <w:pStyle w:val="TAC"/>
              <w:rPr>
                <w:lang w:eastAsia="zh-CN"/>
              </w:rPr>
            </w:pPr>
            <w:r w:rsidRPr="009C5807">
              <w:rPr>
                <w:lang w:eastAsia="zh-CN"/>
              </w:rPr>
              <w:t>N/A</w:t>
            </w:r>
          </w:p>
        </w:tc>
        <w:tc>
          <w:tcPr>
            <w:tcW w:w="883" w:type="dxa"/>
            <w:tcBorders>
              <w:top w:val="single" w:sz="6" w:space="0" w:color="auto"/>
              <w:left w:val="single" w:sz="6" w:space="0" w:color="auto"/>
              <w:bottom w:val="single" w:sz="4" w:space="0" w:color="auto"/>
              <w:right w:val="single" w:sz="6" w:space="0" w:color="auto"/>
            </w:tcBorders>
            <w:shd w:val="clear" w:color="auto" w:fill="auto"/>
          </w:tcPr>
          <w:p w14:paraId="6FC8FAA8" w14:textId="77777777" w:rsidR="00C32CDC" w:rsidRPr="009C5807" w:rsidRDefault="00C32CDC" w:rsidP="00063CF2">
            <w:pPr>
              <w:pStyle w:val="TAC"/>
            </w:pPr>
            <w:r w:rsidRPr="009C5807">
              <w:t>-70</w:t>
            </w:r>
          </w:p>
        </w:tc>
        <w:tc>
          <w:tcPr>
            <w:tcW w:w="954" w:type="dxa"/>
            <w:tcBorders>
              <w:top w:val="single" w:sz="6" w:space="0" w:color="auto"/>
              <w:left w:val="single" w:sz="6" w:space="0" w:color="auto"/>
              <w:bottom w:val="single" w:sz="4" w:space="0" w:color="auto"/>
              <w:right w:val="single" w:sz="4" w:space="0" w:color="auto"/>
            </w:tcBorders>
            <w:shd w:val="clear" w:color="auto" w:fill="auto"/>
          </w:tcPr>
          <w:p w14:paraId="0C44E0F7" w14:textId="77777777" w:rsidR="00C32CDC" w:rsidRPr="009C5807" w:rsidRDefault="00C32CDC" w:rsidP="00063CF2">
            <w:pPr>
              <w:pStyle w:val="TAC"/>
            </w:pPr>
            <w:r w:rsidRPr="009C5807">
              <w:t>-50</w:t>
            </w:r>
          </w:p>
        </w:tc>
      </w:tr>
      <w:tr w:rsidR="006851AE" w:rsidRPr="009C5807" w14:paraId="1A5241E3" w14:textId="77777777" w:rsidTr="00566CFE">
        <w:trPr>
          <w:jc w:val="center"/>
        </w:trPr>
        <w:tc>
          <w:tcPr>
            <w:tcW w:w="10603" w:type="dxa"/>
            <w:gridSpan w:val="13"/>
            <w:tcBorders>
              <w:top w:val="single" w:sz="6" w:space="0" w:color="auto"/>
              <w:left w:val="single" w:sz="6" w:space="0" w:color="auto"/>
              <w:bottom w:val="single" w:sz="6" w:space="0" w:color="auto"/>
              <w:right w:val="single" w:sz="6" w:space="0" w:color="auto"/>
            </w:tcBorders>
            <w:shd w:val="clear" w:color="auto" w:fill="auto"/>
            <w:vAlign w:val="center"/>
          </w:tcPr>
          <w:p w14:paraId="7B180306" w14:textId="77777777" w:rsidR="006851AE" w:rsidRPr="009C5807" w:rsidRDefault="006851AE" w:rsidP="00F70A70">
            <w:pPr>
              <w:pStyle w:val="TAN"/>
            </w:pPr>
            <w:r w:rsidRPr="009C5807">
              <w:t>NOTE 1:</w:t>
            </w:r>
            <w:r w:rsidRPr="009C5807">
              <w:tab/>
              <w:t>Io is assumed to have constant EPRE across the bandwidth.</w:t>
            </w:r>
          </w:p>
          <w:p w14:paraId="6338EFBE" w14:textId="77777777" w:rsidR="006851AE" w:rsidRPr="009C5807" w:rsidRDefault="006851AE" w:rsidP="00F70A70">
            <w:pPr>
              <w:pStyle w:val="TAN"/>
            </w:pPr>
            <w:r w:rsidRPr="009C5807">
              <w:t>NOTE 2:</w:t>
            </w:r>
            <w:r w:rsidRPr="009C5807">
              <w:tab/>
              <w:t>NR operating band groups in FR1 are as defined in clause 3.5.2.</w:t>
            </w:r>
          </w:p>
        </w:tc>
      </w:tr>
    </w:tbl>
    <w:p w14:paraId="60B67096" w14:textId="77777777" w:rsidR="006851AE" w:rsidRPr="009C5807" w:rsidRDefault="006851AE" w:rsidP="006851AE">
      <w:pPr>
        <w:jc w:val="center"/>
        <w:rPr>
          <w:rFonts w:ascii="Arial" w:hAnsi="Arial"/>
          <w:b/>
        </w:rPr>
      </w:pPr>
    </w:p>
    <w:p w14:paraId="1AA45B37" w14:textId="77BF3B4A" w:rsidR="00283207" w:rsidRPr="009C5807" w:rsidRDefault="00283207" w:rsidP="00096C4D">
      <w:pPr>
        <w:pStyle w:val="TH"/>
      </w:pPr>
      <w:r w:rsidRPr="009C5807">
        <w:t>Table 10.1.22.1.1-2: SRS-RSRP absolute accuracy in FR2</w:t>
      </w:r>
    </w:p>
    <w:tbl>
      <w:tblPr>
        <w:tblW w:w="8720" w:type="dxa"/>
        <w:jc w:val="center"/>
        <w:tblLook w:val="01E0" w:firstRow="1" w:lastRow="1" w:firstColumn="1" w:lastColumn="1" w:noHBand="0" w:noVBand="0"/>
      </w:tblPr>
      <w:tblGrid>
        <w:gridCol w:w="666"/>
        <w:gridCol w:w="1015"/>
        <w:gridCol w:w="765"/>
        <w:gridCol w:w="1015"/>
        <w:gridCol w:w="707"/>
        <w:gridCol w:w="834"/>
        <w:gridCol w:w="838"/>
        <w:gridCol w:w="1440"/>
        <w:gridCol w:w="1440"/>
      </w:tblGrid>
      <w:tr w:rsidR="00283207" w:rsidRPr="009C5807" w14:paraId="6F739D6F" w14:textId="77777777" w:rsidTr="00C32CDC">
        <w:trPr>
          <w:jc w:val="center"/>
        </w:trPr>
        <w:tc>
          <w:tcPr>
            <w:tcW w:w="346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E4C1955" w14:textId="77777777" w:rsidR="00283207" w:rsidRPr="009C5807" w:rsidRDefault="00283207" w:rsidP="00520867">
            <w:pPr>
              <w:pStyle w:val="TAH"/>
            </w:pPr>
            <w:r w:rsidRPr="009C5807">
              <w:t>Accuracy</w:t>
            </w:r>
          </w:p>
        </w:tc>
        <w:tc>
          <w:tcPr>
            <w:tcW w:w="5259"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874AF3E" w14:textId="77777777" w:rsidR="00283207" w:rsidRPr="009C5807" w:rsidRDefault="00283207" w:rsidP="00520867">
            <w:pPr>
              <w:pStyle w:val="TAH"/>
            </w:pPr>
            <w:r w:rsidRPr="009C5807">
              <w:t>Conditions</w:t>
            </w:r>
          </w:p>
        </w:tc>
      </w:tr>
      <w:tr w:rsidR="00283207" w:rsidRPr="009C5807" w14:paraId="6A24948C" w14:textId="77777777" w:rsidTr="00520867">
        <w:trPr>
          <w:jc w:val="center"/>
        </w:trPr>
        <w:tc>
          <w:tcPr>
            <w:tcW w:w="1681" w:type="dxa"/>
            <w:gridSpan w:val="2"/>
            <w:tcBorders>
              <w:top w:val="single" w:sz="6" w:space="0" w:color="000000" w:themeColor="text1"/>
              <w:left w:val="single" w:sz="6" w:space="0" w:color="000000" w:themeColor="text1"/>
              <w:right w:val="single" w:sz="6" w:space="0" w:color="000000" w:themeColor="text1"/>
            </w:tcBorders>
            <w:vAlign w:val="center"/>
            <w:hideMark/>
          </w:tcPr>
          <w:p w14:paraId="416BA934" w14:textId="77777777" w:rsidR="00283207" w:rsidRPr="009C5807" w:rsidRDefault="00283207" w:rsidP="00520867">
            <w:pPr>
              <w:pStyle w:val="TAH"/>
            </w:pPr>
            <w:r w:rsidRPr="009C5807">
              <w:t>Normal condition</w:t>
            </w:r>
          </w:p>
        </w:tc>
        <w:tc>
          <w:tcPr>
            <w:tcW w:w="1780" w:type="dxa"/>
            <w:gridSpan w:val="2"/>
            <w:tcBorders>
              <w:top w:val="single" w:sz="6" w:space="0" w:color="000000" w:themeColor="text1"/>
              <w:left w:val="single" w:sz="6" w:space="0" w:color="000000" w:themeColor="text1"/>
              <w:right w:val="single" w:sz="6" w:space="0" w:color="000000" w:themeColor="text1"/>
            </w:tcBorders>
            <w:vAlign w:val="center"/>
            <w:hideMark/>
          </w:tcPr>
          <w:p w14:paraId="5A470FB9" w14:textId="77777777" w:rsidR="00283207" w:rsidRPr="009C5807" w:rsidRDefault="00283207" w:rsidP="00520867">
            <w:pPr>
              <w:pStyle w:val="TAH"/>
            </w:pPr>
            <w:r w:rsidRPr="009C5807">
              <w:t>Extreme condition</w:t>
            </w:r>
          </w:p>
        </w:tc>
        <w:tc>
          <w:tcPr>
            <w:tcW w:w="707" w:type="dxa"/>
            <w:tcBorders>
              <w:top w:val="single" w:sz="6" w:space="0" w:color="000000" w:themeColor="text1"/>
              <w:left w:val="single" w:sz="6" w:space="0" w:color="000000" w:themeColor="text1"/>
              <w:right w:val="single" w:sz="6" w:space="0" w:color="000000" w:themeColor="text1"/>
            </w:tcBorders>
            <w:hideMark/>
          </w:tcPr>
          <w:p w14:paraId="73331242" w14:textId="77777777" w:rsidR="00283207" w:rsidRPr="009C5807" w:rsidRDefault="00283207" w:rsidP="00520867">
            <w:pPr>
              <w:pStyle w:val="TAH"/>
            </w:pPr>
            <w:r w:rsidRPr="009C5807">
              <w:rPr>
                <w:rFonts w:cs="Arial"/>
              </w:rPr>
              <w:t>SRS Ês/Iot</w:t>
            </w:r>
          </w:p>
        </w:tc>
        <w:tc>
          <w:tcPr>
            <w:tcW w:w="455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95056F4" w14:textId="77777777" w:rsidR="00283207" w:rsidRPr="009C5807" w:rsidRDefault="00283207" w:rsidP="00520867">
            <w:pPr>
              <w:pStyle w:val="TAH"/>
            </w:pPr>
            <w:r w:rsidRPr="009C5807">
              <w:t>Io</w:t>
            </w:r>
            <w:r w:rsidRPr="009C5807">
              <w:rPr>
                <w:vertAlign w:val="superscript"/>
              </w:rPr>
              <w:t xml:space="preserve"> Note 1</w:t>
            </w:r>
            <w:r w:rsidRPr="009C5807">
              <w:t xml:space="preserve"> range</w:t>
            </w:r>
          </w:p>
        </w:tc>
      </w:tr>
      <w:tr w:rsidR="00283207" w:rsidRPr="009C5807" w14:paraId="7AA2C32B" w14:textId="77777777" w:rsidTr="00520867">
        <w:trPr>
          <w:jc w:val="center"/>
        </w:trPr>
        <w:tc>
          <w:tcPr>
            <w:tcW w:w="0" w:type="auto"/>
            <w:gridSpan w:val="2"/>
            <w:tcBorders>
              <w:left w:val="single" w:sz="6" w:space="0" w:color="000000" w:themeColor="text1"/>
              <w:bottom w:val="single" w:sz="6" w:space="0" w:color="000000" w:themeColor="text1"/>
              <w:right w:val="single" w:sz="6" w:space="0" w:color="000000" w:themeColor="text1"/>
            </w:tcBorders>
            <w:vAlign w:val="center"/>
            <w:hideMark/>
          </w:tcPr>
          <w:p w14:paraId="1863AAC2" w14:textId="77777777" w:rsidR="00283207" w:rsidRPr="009C5807" w:rsidRDefault="00283207" w:rsidP="00520867">
            <w:pPr>
              <w:pStyle w:val="TAH"/>
            </w:pPr>
          </w:p>
        </w:tc>
        <w:tc>
          <w:tcPr>
            <w:tcW w:w="0" w:type="auto"/>
            <w:gridSpan w:val="2"/>
            <w:tcBorders>
              <w:left w:val="single" w:sz="6" w:space="0" w:color="000000" w:themeColor="text1"/>
              <w:bottom w:val="single" w:sz="6" w:space="0" w:color="000000" w:themeColor="text1"/>
              <w:right w:val="single" w:sz="6" w:space="0" w:color="000000" w:themeColor="text1"/>
            </w:tcBorders>
            <w:vAlign w:val="center"/>
            <w:hideMark/>
          </w:tcPr>
          <w:p w14:paraId="429A9D88" w14:textId="77777777" w:rsidR="00283207" w:rsidRPr="009C5807" w:rsidRDefault="00283207" w:rsidP="00520867">
            <w:pPr>
              <w:pStyle w:val="TAH"/>
            </w:pPr>
          </w:p>
        </w:tc>
        <w:tc>
          <w:tcPr>
            <w:tcW w:w="707" w:type="dxa"/>
            <w:tcBorders>
              <w:left w:val="single" w:sz="6" w:space="0" w:color="000000" w:themeColor="text1"/>
              <w:bottom w:val="single" w:sz="6" w:space="0" w:color="000000" w:themeColor="text1"/>
              <w:right w:val="single" w:sz="6" w:space="0" w:color="000000" w:themeColor="text1"/>
            </w:tcBorders>
            <w:vAlign w:val="center"/>
            <w:hideMark/>
          </w:tcPr>
          <w:p w14:paraId="409A4811" w14:textId="77777777" w:rsidR="00283207" w:rsidRPr="009C5807" w:rsidRDefault="00283207" w:rsidP="00520867">
            <w:pPr>
              <w:pStyle w:val="TAH"/>
            </w:pPr>
          </w:p>
        </w:tc>
        <w:tc>
          <w:tcPr>
            <w:tcW w:w="311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9CB8FF6" w14:textId="77777777" w:rsidR="00283207" w:rsidRPr="009C5807" w:rsidRDefault="00283207" w:rsidP="00520867">
            <w:pPr>
              <w:pStyle w:val="TAH"/>
            </w:pPr>
            <w:r w:rsidRPr="009C5807">
              <w:t>Minimum Io</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15EBDC4" w14:textId="77777777" w:rsidR="00283207" w:rsidRPr="009C5807" w:rsidRDefault="00283207" w:rsidP="00520867">
            <w:pPr>
              <w:pStyle w:val="TAH"/>
            </w:pPr>
            <w:r w:rsidRPr="009C5807">
              <w:t>Maximum Io</w:t>
            </w:r>
          </w:p>
        </w:tc>
      </w:tr>
      <w:tr w:rsidR="00283207" w:rsidRPr="009C5807" w14:paraId="28F788CF" w14:textId="77777777" w:rsidTr="00520867">
        <w:trPr>
          <w:jc w:val="center"/>
        </w:trPr>
        <w:tc>
          <w:tcPr>
            <w:tcW w:w="346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12646F3" w14:textId="77777777" w:rsidR="00283207" w:rsidRPr="009C5807" w:rsidRDefault="00283207" w:rsidP="00520867">
            <w:pPr>
              <w:pStyle w:val="TAH"/>
            </w:pPr>
            <w:r w:rsidRPr="009C5807">
              <w:t>dB</w:t>
            </w:r>
          </w:p>
        </w:tc>
        <w:tc>
          <w:tcPr>
            <w:tcW w:w="707" w:type="dxa"/>
            <w:tcBorders>
              <w:top w:val="single" w:sz="6" w:space="0" w:color="000000" w:themeColor="text1"/>
              <w:left w:val="single" w:sz="6" w:space="0" w:color="000000" w:themeColor="text1"/>
              <w:right w:val="single" w:sz="6" w:space="0" w:color="000000" w:themeColor="text1"/>
            </w:tcBorders>
            <w:vAlign w:val="center"/>
            <w:hideMark/>
          </w:tcPr>
          <w:p w14:paraId="447CBBB5" w14:textId="77777777" w:rsidR="00283207" w:rsidRPr="009C5807" w:rsidRDefault="00283207" w:rsidP="00520867">
            <w:pPr>
              <w:pStyle w:val="TAH"/>
              <w:rPr>
                <w:rFonts w:cs="Arial"/>
              </w:rPr>
            </w:pPr>
            <w:r w:rsidRPr="009C5807">
              <w:t>dB</w:t>
            </w:r>
          </w:p>
        </w:tc>
        <w:tc>
          <w:tcPr>
            <w:tcW w:w="167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039EA05" w14:textId="77777777" w:rsidR="00283207" w:rsidRPr="009C5807" w:rsidRDefault="00283207" w:rsidP="00520867">
            <w:pPr>
              <w:pStyle w:val="TAH"/>
            </w:pPr>
            <w:r w:rsidRPr="009C5807">
              <w:rPr>
                <w:rFonts w:cs="Arial"/>
              </w:rPr>
              <w:t xml:space="preserve">dBm / </w:t>
            </w:r>
            <w:r w:rsidRPr="009C5807">
              <w:t>SCS</w:t>
            </w:r>
            <w:r w:rsidRPr="009C5807">
              <w:rPr>
                <w:vertAlign w:val="subscript"/>
              </w:rPr>
              <w:t>SRS</w:t>
            </w:r>
            <w:r w:rsidRPr="009C5807">
              <w:rPr>
                <w:vertAlign w:val="superscript"/>
              </w:rPr>
              <w:t xml:space="preserve"> Note 2</w:t>
            </w:r>
          </w:p>
        </w:tc>
        <w:tc>
          <w:tcPr>
            <w:tcW w:w="1440" w:type="dxa"/>
            <w:tcBorders>
              <w:top w:val="single" w:sz="6" w:space="0" w:color="000000" w:themeColor="text1"/>
              <w:left w:val="single" w:sz="6" w:space="0" w:color="000000" w:themeColor="text1"/>
              <w:right w:val="single" w:sz="6" w:space="0" w:color="000000" w:themeColor="text1"/>
            </w:tcBorders>
            <w:vAlign w:val="center"/>
            <w:hideMark/>
          </w:tcPr>
          <w:p w14:paraId="48D37E6F" w14:textId="77777777" w:rsidR="00283207" w:rsidRPr="009C5807" w:rsidRDefault="00283207" w:rsidP="00520867">
            <w:pPr>
              <w:pStyle w:val="TAH"/>
            </w:pPr>
            <w:r w:rsidRPr="009C5807">
              <w:t>dBm/BW</w:t>
            </w:r>
            <w:r w:rsidRPr="009C5807">
              <w:rPr>
                <w:vertAlign w:val="subscript"/>
              </w:rPr>
              <w:t>Channel</w:t>
            </w:r>
          </w:p>
        </w:tc>
        <w:tc>
          <w:tcPr>
            <w:tcW w:w="1440" w:type="dxa"/>
            <w:tcBorders>
              <w:top w:val="single" w:sz="6" w:space="0" w:color="000000" w:themeColor="text1"/>
              <w:left w:val="single" w:sz="6" w:space="0" w:color="000000" w:themeColor="text1"/>
              <w:right w:val="single" w:sz="6" w:space="0" w:color="000000" w:themeColor="text1"/>
            </w:tcBorders>
            <w:vAlign w:val="center"/>
            <w:hideMark/>
          </w:tcPr>
          <w:p w14:paraId="74A64024" w14:textId="77777777" w:rsidR="00283207" w:rsidRPr="009C5807" w:rsidRDefault="00283207" w:rsidP="00520867">
            <w:pPr>
              <w:pStyle w:val="TAH"/>
            </w:pPr>
            <w:r w:rsidRPr="009C5807">
              <w:t>dBm/BW</w:t>
            </w:r>
            <w:r w:rsidRPr="009C5807">
              <w:rPr>
                <w:vertAlign w:val="subscript"/>
              </w:rPr>
              <w:t>Channel</w:t>
            </w:r>
          </w:p>
        </w:tc>
      </w:tr>
      <w:tr w:rsidR="00283207" w:rsidRPr="009C5807" w14:paraId="62B77258" w14:textId="77777777" w:rsidTr="00520867">
        <w:trPr>
          <w:trHeight w:val="117"/>
          <w:jc w:val="center"/>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B483E0C" w14:textId="77777777" w:rsidR="00283207" w:rsidRPr="009C5807" w:rsidRDefault="00283207" w:rsidP="00520867">
            <w:pPr>
              <w:pStyle w:val="TAH"/>
            </w:pPr>
            <w:r w:rsidRPr="009C5807">
              <w:t>SCS</w:t>
            </w:r>
            <w:r w:rsidRPr="009C5807">
              <w:rPr>
                <w:vertAlign w:val="subscript"/>
              </w:rPr>
              <w:t>SRS</w:t>
            </w:r>
            <w:r w:rsidRPr="009C5807">
              <w:t xml:space="preserve"> (kHz)</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812BD3" w14:textId="77777777" w:rsidR="00283207" w:rsidRPr="009C5807" w:rsidRDefault="00283207" w:rsidP="00520867">
            <w:pPr>
              <w:pStyle w:val="TAH"/>
            </w:pPr>
            <w:r w:rsidRPr="009C5807">
              <w:t>SCS</w:t>
            </w:r>
            <w:r w:rsidRPr="009C5807">
              <w:rPr>
                <w:vertAlign w:val="subscript"/>
              </w:rPr>
              <w:t>SRS</w:t>
            </w:r>
            <w:r w:rsidRPr="009C5807">
              <w:t xml:space="preserve"> (kHz)</w:t>
            </w:r>
          </w:p>
        </w:tc>
        <w:tc>
          <w:tcPr>
            <w:tcW w:w="707" w:type="dxa"/>
            <w:tcBorders>
              <w:left w:val="single" w:sz="6" w:space="0" w:color="000000" w:themeColor="text1"/>
              <w:right w:val="single" w:sz="6" w:space="0" w:color="000000" w:themeColor="text1"/>
            </w:tcBorders>
            <w:vAlign w:val="center"/>
            <w:hideMark/>
          </w:tcPr>
          <w:p w14:paraId="3F7B12D9" w14:textId="77777777" w:rsidR="00283207" w:rsidRPr="009C5807" w:rsidRDefault="00283207" w:rsidP="00520867">
            <w:pPr>
              <w:pStyle w:val="TAH"/>
              <w:rPr>
                <w:rFonts w:cs="Arial"/>
              </w:rPr>
            </w:pPr>
          </w:p>
        </w:tc>
        <w:tc>
          <w:tcPr>
            <w:tcW w:w="834" w:type="dxa"/>
            <w:tcBorders>
              <w:top w:val="single" w:sz="6" w:space="0" w:color="000000" w:themeColor="text1"/>
              <w:left w:val="single" w:sz="6" w:space="0" w:color="000000" w:themeColor="text1"/>
              <w:right w:val="single" w:sz="6" w:space="0" w:color="000000" w:themeColor="text1"/>
            </w:tcBorders>
            <w:vAlign w:val="center"/>
            <w:hideMark/>
          </w:tcPr>
          <w:p w14:paraId="6F8ED676" w14:textId="3F8454A4" w:rsidR="00283207" w:rsidRPr="009C5807" w:rsidRDefault="00283207" w:rsidP="00520867">
            <w:pPr>
              <w:pStyle w:val="TAH"/>
            </w:pPr>
            <w:r w:rsidRPr="009C5807">
              <w:t>SCS</w:t>
            </w:r>
            <w:r w:rsidRPr="009C5807">
              <w:rPr>
                <w:vertAlign w:val="subscript"/>
              </w:rPr>
              <w:t>SRS</w:t>
            </w:r>
            <w:r w:rsidRPr="009C5807">
              <w:rPr>
                <w:rFonts w:cs="Arial"/>
              </w:rPr>
              <w:t xml:space="preserve"> = </w:t>
            </w:r>
          </w:p>
        </w:tc>
        <w:tc>
          <w:tcPr>
            <w:tcW w:w="838" w:type="dxa"/>
            <w:tcBorders>
              <w:top w:val="single" w:sz="6" w:space="0" w:color="000000" w:themeColor="text1"/>
              <w:left w:val="single" w:sz="6" w:space="0" w:color="000000" w:themeColor="text1"/>
              <w:right w:val="single" w:sz="6" w:space="0" w:color="000000" w:themeColor="text1"/>
            </w:tcBorders>
            <w:vAlign w:val="center"/>
            <w:hideMark/>
          </w:tcPr>
          <w:p w14:paraId="55C65F95" w14:textId="3F15B9C3" w:rsidR="00283207" w:rsidRPr="009C5807" w:rsidRDefault="00283207" w:rsidP="00520867">
            <w:pPr>
              <w:pStyle w:val="TAH"/>
            </w:pPr>
            <w:r w:rsidRPr="009C5807">
              <w:t>SCS</w:t>
            </w:r>
            <w:r w:rsidRPr="009C5807">
              <w:rPr>
                <w:vertAlign w:val="subscript"/>
              </w:rPr>
              <w:t>SRS</w:t>
            </w:r>
            <w:r w:rsidRPr="009C5807">
              <w:rPr>
                <w:rFonts w:cs="Arial"/>
              </w:rPr>
              <w:t xml:space="preserve"> = </w:t>
            </w:r>
          </w:p>
        </w:tc>
        <w:tc>
          <w:tcPr>
            <w:tcW w:w="1440" w:type="dxa"/>
            <w:tcBorders>
              <w:left w:val="single" w:sz="6" w:space="0" w:color="000000" w:themeColor="text1"/>
              <w:right w:val="single" w:sz="6" w:space="0" w:color="000000" w:themeColor="text1"/>
            </w:tcBorders>
            <w:vAlign w:val="center"/>
            <w:hideMark/>
          </w:tcPr>
          <w:p w14:paraId="364DB491" w14:textId="77777777" w:rsidR="00283207" w:rsidRPr="009C5807" w:rsidRDefault="00283207" w:rsidP="00520867">
            <w:pPr>
              <w:pStyle w:val="TAH"/>
            </w:pPr>
          </w:p>
        </w:tc>
        <w:tc>
          <w:tcPr>
            <w:tcW w:w="0" w:type="auto"/>
            <w:tcBorders>
              <w:left w:val="single" w:sz="6" w:space="0" w:color="000000" w:themeColor="text1"/>
              <w:right w:val="single" w:sz="6" w:space="0" w:color="000000" w:themeColor="text1"/>
            </w:tcBorders>
            <w:vAlign w:val="center"/>
            <w:hideMark/>
          </w:tcPr>
          <w:p w14:paraId="5E14E58E" w14:textId="77777777" w:rsidR="00283207" w:rsidRPr="009C5807" w:rsidRDefault="00283207" w:rsidP="00520867">
            <w:pPr>
              <w:pStyle w:val="TAH"/>
            </w:pPr>
          </w:p>
        </w:tc>
      </w:tr>
      <w:tr w:rsidR="00283207" w:rsidRPr="009C5807" w14:paraId="743BAD28" w14:textId="77777777" w:rsidTr="00520867">
        <w:trPr>
          <w:trHeight w:val="116"/>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AA7A2E" w14:textId="77777777" w:rsidR="00283207" w:rsidRPr="009C5807" w:rsidRDefault="00283207" w:rsidP="00520867">
            <w:pPr>
              <w:pStyle w:val="TAH"/>
              <w:rPr>
                <w:lang w:eastAsia="zh-CN"/>
              </w:rPr>
            </w:pPr>
            <w:r w:rsidRPr="009C5807">
              <w:rPr>
                <w:rFonts w:hint="eastAsia"/>
                <w:lang w:eastAsia="zh-CN"/>
              </w:rPr>
              <w:t>6</w:t>
            </w:r>
            <w:r w:rsidRPr="009C5807">
              <w:rPr>
                <w:lang w:eastAsia="zh-CN"/>
              </w:rPr>
              <w:t>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1DF2E1" w14:textId="77777777" w:rsidR="00283207" w:rsidRPr="009C5807" w:rsidRDefault="00283207" w:rsidP="00520867">
            <w:pPr>
              <w:pStyle w:val="TAH"/>
              <w:rPr>
                <w:lang w:eastAsia="zh-CN"/>
              </w:rPr>
            </w:pPr>
            <w:r w:rsidRPr="009C5807">
              <w:rPr>
                <w:rFonts w:hint="eastAsia"/>
                <w:lang w:eastAsia="zh-CN"/>
              </w:rPr>
              <w:t>1</w:t>
            </w:r>
            <w:r w:rsidRPr="009C5807">
              <w:rPr>
                <w:lang w:eastAsia="zh-CN"/>
              </w:rPr>
              <w:t>20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FB761D" w14:textId="77777777" w:rsidR="00283207" w:rsidRPr="009C5807" w:rsidRDefault="00283207" w:rsidP="00520867">
            <w:pPr>
              <w:pStyle w:val="TAH"/>
              <w:rPr>
                <w:lang w:eastAsia="zh-CN"/>
              </w:rPr>
            </w:pPr>
            <w:r w:rsidRPr="009C5807">
              <w:rPr>
                <w:rFonts w:hint="eastAsia"/>
                <w:lang w:eastAsia="zh-CN"/>
              </w:rPr>
              <w:t>6</w:t>
            </w:r>
            <w:r w:rsidRPr="009C5807">
              <w:rPr>
                <w:lang w:eastAsia="zh-CN"/>
              </w:rPr>
              <w:t>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EED7E1" w14:textId="77777777" w:rsidR="00283207" w:rsidRPr="009C5807" w:rsidRDefault="00283207" w:rsidP="00520867">
            <w:pPr>
              <w:pStyle w:val="TAH"/>
              <w:rPr>
                <w:lang w:eastAsia="zh-CN"/>
              </w:rPr>
            </w:pPr>
            <w:r w:rsidRPr="009C5807">
              <w:rPr>
                <w:rFonts w:hint="eastAsia"/>
                <w:lang w:eastAsia="zh-CN"/>
              </w:rPr>
              <w:t>1</w:t>
            </w:r>
            <w:r w:rsidRPr="009C5807">
              <w:rPr>
                <w:lang w:eastAsia="zh-CN"/>
              </w:rPr>
              <w:t>20</w:t>
            </w:r>
          </w:p>
        </w:tc>
        <w:tc>
          <w:tcPr>
            <w:tcW w:w="707" w:type="dxa"/>
            <w:tcBorders>
              <w:left w:val="single" w:sz="6" w:space="0" w:color="000000" w:themeColor="text1"/>
              <w:bottom w:val="single" w:sz="6" w:space="0" w:color="000000" w:themeColor="text1"/>
              <w:right w:val="single" w:sz="6" w:space="0" w:color="000000" w:themeColor="text1"/>
            </w:tcBorders>
            <w:vAlign w:val="center"/>
          </w:tcPr>
          <w:p w14:paraId="0EDCA610" w14:textId="77777777" w:rsidR="00283207" w:rsidRPr="009C5807" w:rsidRDefault="00283207" w:rsidP="00520867">
            <w:pPr>
              <w:pStyle w:val="TAH"/>
              <w:rPr>
                <w:rFonts w:cs="Arial"/>
              </w:rPr>
            </w:pPr>
          </w:p>
        </w:tc>
        <w:tc>
          <w:tcPr>
            <w:tcW w:w="834" w:type="dxa"/>
            <w:tcBorders>
              <w:left w:val="single" w:sz="6" w:space="0" w:color="000000" w:themeColor="text1"/>
              <w:bottom w:val="single" w:sz="6" w:space="0" w:color="000000" w:themeColor="text1"/>
              <w:right w:val="single" w:sz="6" w:space="0" w:color="000000" w:themeColor="text1"/>
            </w:tcBorders>
            <w:vAlign w:val="center"/>
          </w:tcPr>
          <w:p w14:paraId="41DB66B0" w14:textId="24DCBEF3" w:rsidR="00283207" w:rsidRPr="009C5807" w:rsidRDefault="00520867" w:rsidP="00520867">
            <w:pPr>
              <w:pStyle w:val="TAH"/>
            </w:pPr>
            <w:r w:rsidRPr="009C5807">
              <w:rPr>
                <w:rFonts w:cs="Arial"/>
              </w:rPr>
              <w:t>60kHz</w:t>
            </w:r>
          </w:p>
        </w:tc>
        <w:tc>
          <w:tcPr>
            <w:tcW w:w="838" w:type="dxa"/>
            <w:tcBorders>
              <w:left w:val="single" w:sz="6" w:space="0" w:color="000000" w:themeColor="text1"/>
              <w:bottom w:val="single" w:sz="6" w:space="0" w:color="000000" w:themeColor="text1"/>
              <w:right w:val="single" w:sz="6" w:space="0" w:color="000000" w:themeColor="text1"/>
            </w:tcBorders>
            <w:vAlign w:val="center"/>
          </w:tcPr>
          <w:p w14:paraId="18FF5498" w14:textId="346C701C" w:rsidR="00283207" w:rsidRPr="009C5807" w:rsidRDefault="00520867" w:rsidP="00520867">
            <w:pPr>
              <w:pStyle w:val="TAH"/>
            </w:pPr>
            <w:r w:rsidRPr="009C5807">
              <w:rPr>
                <w:rFonts w:cs="Arial"/>
              </w:rPr>
              <w:t>120kHz</w:t>
            </w:r>
          </w:p>
        </w:tc>
        <w:tc>
          <w:tcPr>
            <w:tcW w:w="1440" w:type="dxa"/>
            <w:tcBorders>
              <w:left w:val="single" w:sz="6" w:space="0" w:color="000000" w:themeColor="text1"/>
              <w:bottom w:val="single" w:sz="6" w:space="0" w:color="000000" w:themeColor="text1"/>
              <w:right w:val="single" w:sz="6" w:space="0" w:color="000000" w:themeColor="text1"/>
            </w:tcBorders>
            <w:vAlign w:val="center"/>
          </w:tcPr>
          <w:p w14:paraId="165CF8DA" w14:textId="77777777" w:rsidR="00283207" w:rsidRPr="009C5807" w:rsidRDefault="00283207" w:rsidP="00520867">
            <w:pPr>
              <w:pStyle w:val="TAH"/>
            </w:pPr>
          </w:p>
        </w:tc>
        <w:tc>
          <w:tcPr>
            <w:tcW w:w="0" w:type="auto"/>
            <w:tcBorders>
              <w:left w:val="single" w:sz="6" w:space="0" w:color="000000" w:themeColor="text1"/>
              <w:bottom w:val="single" w:sz="6" w:space="0" w:color="000000" w:themeColor="text1"/>
              <w:right w:val="single" w:sz="6" w:space="0" w:color="000000" w:themeColor="text1"/>
            </w:tcBorders>
            <w:vAlign w:val="center"/>
          </w:tcPr>
          <w:p w14:paraId="07C38E6D" w14:textId="77777777" w:rsidR="00283207" w:rsidRPr="009C5807" w:rsidRDefault="00283207" w:rsidP="00520867">
            <w:pPr>
              <w:pStyle w:val="TAH"/>
            </w:pPr>
          </w:p>
        </w:tc>
      </w:tr>
      <w:tr w:rsidR="00C32CDC" w:rsidRPr="009C5807" w14:paraId="2048CC2E" w14:textId="77777777" w:rsidTr="00063CF2">
        <w:trPr>
          <w:jc w:val="center"/>
        </w:trPr>
        <w:tc>
          <w:tcPr>
            <w:tcW w:w="66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6ED543" w14:textId="4C355C4D" w:rsidR="00C32CDC" w:rsidRPr="009C5807" w:rsidRDefault="00C32CDC" w:rsidP="00063CF2">
            <w:pPr>
              <w:pStyle w:val="TAC"/>
              <w:rPr>
                <w:lang w:eastAsia="zh-CN"/>
              </w:rPr>
            </w:pPr>
            <w:r>
              <w:rPr>
                <w:sz w:val="16"/>
                <w:szCs w:val="16"/>
              </w:rPr>
              <w:sym w:font="Symbol" w:char="F0B1"/>
            </w:r>
            <w:r>
              <w:rPr>
                <w:lang w:eastAsia="zh-CN"/>
              </w:rPr>
              <w:t>6</w:t>
            </w:r>
          </w:p>
        </w:tc>
        <w:tc>
          <w:tcPr>
            <w:tcW w:w="1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F83D63" w14:textId="3622E431" w:rsidR="00C32CDC" w:rsidRPr="009C5807" w:rsidRDefault="00C32CDC" w:rsidP="00063CF2">
            <w:pPr>
              <w:pStyle w:val="TAC"/>
              <w:rPr>
                <w:lang w:eastAsia="zh-CN"/>
              </w:rPr>
            </w:pPr>
            <w:r>
              <w:rPr>
                <w:sz w:val="16"/>
                <w:szCs w:val="16"/>
              </w:rPr>
              <w:sym w:font="Symbol" w:char="F0B1"/>
            </w:r>
            <w:r>
              <w:rPr>
                <w:lang w:eastAsia="zh-CN"/>
              </w:rPr>
              <w:t>8.5</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57D4D6" w14:textId="20BB01E4" w:rsidR="00C32CDC" w:rsidRPr="009C5807" w:rsidRDefault="00C32CDC" w:rsidP="00063CF2">
            <w:pPr>
              <w:pStyle w:val="TAC"/>
              <w:rPr>
                <w:lang w:eastAsia="zh-CN"/>
              </w:rPr>
            </w:pPr>
            <w:r>
              <w:rPr>
                <w:sz w:val="16"/>
                <w:szCs w:val="16"/>
              </w:rPr>
              <w:sym w:font="Symbol" w:char="F0B1"/>
            </w:r>
            <w:r>
              <w:rPr>
                <w:lang w:eastAsia="zh-CN"/>
              </w:rPr>
              <w:t>9</w:t>
            </w:r>
          </w:p>
        </w:tc>
        <w:tc>
          <w:tcPr>
            <w:tcW w:w="1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CCF5C" w14:textId="41445BC0" w:rsidR="00C32CDC" w:rsidRPr="009C5807" w:rsidRDefault="00C32CDC" w:rsidP="00063CF2">
            <w:pPr>
              <w:pStyle w:val="TAC"/>
              <w:rPr>
                <w:lang w:eastAsia="zh-CN"/>
              </w:rPr>
            </w:pPr>
            <w:r>
              <w:rPr>
                <w:sz w:val="16"/>
                <w:szCs w:val="16"/>
              </w:rPr>
              <w:sym w:font="Symbol" w:char="F0B1"/>
            </w:r>
            <w:r>
              <w:rPr>
                <w:lang w:eastAsia="zh-CN"/>
              </w:rPr>
              <w:t>11.5</w:t>
            </w:r>
          </w:p>
        </w:tc>
        <w:tc>
          <w:tcPr>
            <w:tcW w:w="70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FBF069" w14:textId="77777777" w:rsidR="00C32CDC" w:rsidRPr="009C5807" w:rsidRDefault="00C32CDC" w:rsidP="00063CF2">
            <w:pPr>
              <w:pStyle w:val="TAC"/>
            </w:pPr>
            <w:r w:rsidRPr="009C5807">
              <w:rPr>
                <w:rFonts w:eastAsia="Yu Mincho" w:cs="Arial"/>
                <w:lang w:eastAsia="ja-JP"/>
              </w:rPr>
              <w:t>≥1</w:t>
            </w:r>
          </w:p>
        </w:tc>
        <w:tc>
          <w:tcPr>
            <w:tcW w:w="167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42CCE1" w14:textId="3E7ACDC6" w:rsidR="00C32CDC" w:rsidRPr="009C5807" w:rsidRDefault="00C32CDC" w:rsidP="00063CF2">
            <w:pPr>
              <w:pStyle w:val="TAC"/>
              <w:rPr>
                <w:rFonts w:eastAsia="Yu Mincho"/>
                <w:lang w:eastAsia="ja-JP"/>
              </w:rPr>
            </w:pPr>
            <w:r>
              <w:t xml:space="preserve">Same value as SRS_RP in Table </w:t>
            </w:r>
            <w:r w:rsidRPr="007D6DFA">
              <w:t>B.2.7-2</w:t>
            </w:r>
            <w:r>
              <w:t>, according to UE Power class, operating band and angle of arrival</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BA9A53" w14:textId="77777777" w:rsidR="00C32CDC" w:rsidRPr="009C5807" w:rsidRDefault="00C32CDC" w:rsidP="00063CF2">
            <w:pPr>
              <w:pStyle w:val="TAC"/>
            </w:pPr>
            <w:r w:rsidRPr="009C5807">
              <w:rPr>
                <w:lang w:eastAsia="zh-CN"/>
              </w:rPr>
              <w:t>N/A</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BF19AD" w14:textId="77777777" w:rsidR="00C32CDC" w:rsidRPr="009C5807" w:rsidRDefault="00C32CDC" w:rsidP="00063CF2">
            <w:pPr>
              <w:pStyle w:val="TAC"/>
            </w:pPr>
            <w:r w:rsidRPr="009C5807">
              <w:t>-70</w:t>
            </w:r>
          </w:p>
        </w:tc>
      </w:tr>
      <w:tr w:rsidR="00C32CDC" w:rsidRPr="009C5807" w14:paraId="19F7C335" w14:textId="77777777" w:rsidTr="00C32CDC">
        <w:trPr>
          <w:jc w:val="center"/>
        </w:trPr>
        <w:tc>
          <w:tcPr>
            <w:tcW w:w="66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3CDBB62" w14:textId="539C227C" w:rsidR="00C32CDC" w:rsidRPr="009C5807" w:rsidRDefault="00C32CDC" w:rsidP="00520867">
            <w:pPr>
              <w:pStyle w:val="TAC"/>
              <w:rPr>
                <w:lang w:eastAsia="zh-CN"/>
              </w:rPr>
            </w:pPr>
            <w:r>
              <w:rPr>
                <w:sz w:val="16"/>
                <w:szCs w:val="16"/>
              </w:rPr>
              <w:sym w:font="Symbol" w:char="F0B1"/>
            </w:r>
            <w:r>
              <w:rPr>
                <w:lang w:eastAsia="zh-CN"/>
              </w:rPr>
              <w:t>9</w:t>
            </w:r>
          </w:p>
        </w:tc>
        <w:tc>
          <w:tcPr>
            <w:tcW w:w="10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A5AB2" w14:textId="27E3D63A" w:rsidR="00C32CDC" w:rsidRPr="009C5807" w:rsidRDefault="00C32CDC" w:rsidP="00520867">
            <w:pPr>
              <w:pStyle w:val="TAC"/>
              <w:rPr>
                <w:lang w:eastAsia="zh-CN"/>
              </w:rPr>
            </w:pPr>
            <w:r>
              <w:rPr>
                <w:sz w:val="16"/>
                <w:szCs w:val="16"/>
              </w:rPr>
              <w:sym w:font="Symbol" w:char="F0B1"/>
            </w:r>
            <w:r>
              <w:rPr>
                <w:lang w:eastAsia="zh-CN"/>
              </w:rPr>
              <w:t>11.5</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A962C12" w14:textId="14BA4421" w:rsidR="00C32CDC" w:rsidRPr="009C5807" w:rsidRDefault="00C32CDC" w:rsidP="00520867">
            <w:pPr>
              <w:pStyle w:val="TAC"/>
              <w:rPr>
                <w:lang w:eastAsia="zh-CN"/>
              </w:rPr>
            </w:pPr>
            <w:r>
              <w:rPr>
                <w:sz w:val="16"/>
                <w:szCs w:val="16"/>
              </w:rPr>
              <w:sym w:font="Symbol" w:char="F0B1"/>
            </w:r>
            <w:r>
              <w:rPr>
                <w:lang w:eastAsia="zh-CN"/>
              </w:rPr>
              <w:t>11</w:t>
            </w:r>
          </w:p>
        </w:tc>
        <w:tc>
          <w:tcPr>
            <w:tcW w:w="10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255401" w14:textId="48D464B4" w:rsidR="00C32CDC" w:rsidRPr="009C5807" w:rsidRDefault="00C32CDC" w:rsidP="00520867">
            <w:pPr>
              <w:pStyle w:val="TAC"/>
              <w:rPr>
                <w:lang w:eastAsia="zh-CN"/>
              </w:rPr>
            </w:pPr>
            <w:r>
              <w:rPr>
                <w:sz w:val="16"/>
                <w:szCs w:val="16"/>
              </w:rPr>
              <w:sym w:font="Symbol" w:char="F0B1"/>
            </w:r>
            <w:r>
              <w:rPr>
                <w:lang w:eastAsia="zh-CN"/>
              </w:rPr>
              <w:t>13.5</w:t>
            </w:r>
          </w:p>
        </w:tc>
        <w:tc>
          <w:tcPr>
            <w:tcW w:w="70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147D4F" w14:textId="77777777" w:rsidR="00C32CDC" w:rsidRPr="009C5807" w:rsidRDefault="00C32CDC" w:rsidP="00520867">
            <w:pPr>
              <w:pStyle w:val="TAC"/>
            </w:pPr>
            <w:r w:rsidRPr="009C5807">
              <w:rPr>
                <w:rFonts w:eastAsia="Yu Mincho" w:cs="Arial"/>
                <w:lang w:eastAsia="ja-JP"/>
              </w:rPr>
              <w:t>≥1</w:t>
            </w:r>
          </w:p>
        </w:tc>
        <w:tc>
          <w:tcPr>
            <w:tcW w:w="167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2181C75" w14:textId="77777777" w:rsidR="00C32CDC" w:rsidRPr="009C5807" w:rsidRDefault="00C32CDC" w:rsidP="00520867">
            <w:pPr>
              <w:pStyle w:val="TAC"/>
            </w:pPr>
            <w:r w:rsidRPr="009C5807">
              <w:t>N/A</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208AFC3" w14:textId="77777777" w:rsidR="00C32CDC" w:rsidRPr="009C5807" w:rsidRDefault="00C32CDC" w:rsidP="00520867">
            <w:pPr>
              <w:pStyle w:val="TAC"/>
            </w:pPr>
            <w:r w:rsidRPr="009C5807">
              <w:t>-70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24B9DF6" w14:textId="77777777" w:rsidR="00C32CDC" w:rsidRPr="009C5807" w:rsidRDefault="00C32CDC" w:rsidP="00520867">
            <w:pPr>
              <w:pStyle w:val="TAC"/>
            </w:pPr>
            <w:r w:rsidRPr="009C5807">
              <w:t>-50</w:t>
            </w:r>
          </w:p>
        </w:tc>
      </w:tr>
      <w:tr w:rsidR="00283207" w:rsidRPr="009C5807" w14:paraId="242F33BB" w14:textId="77777777" w:rsidTr="00B4408D">
        <w:trPr>
          <w:jc w:val="center"/>
        </w:trPr>
        <w:tc>
          <w:tcPr>
            <w:tcW w:w="8720" w:type="dxa"/>
            <w:gridSpan w:val="9"/>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1087DC1" w14:textId="77777777" w:rsidR="00283207" w:rsidRPr="009C5807" w:rsidRDefault="00283207" w:rsidP="00520867">
            <w:pPr>
              <w:pStyle w:val="TAN"/>
            </w:pPr>
            <w:r w:rsidRPr="009C5807">
              <w:t>NOTE 1:</w:t>
            </w:r>
            <w:r w:rsidRPr="009C5807">
              <w:tab/>
              <w:t xml:space="preserve">Io </w:t>
            </w:r>
            <w:r w:rsidRPr="009C5807">
              <w:rPr>
                <w:rFonts w:eastAsia="MS Mincho"/>
              </w:rPr>
              <w:t>specified at the Reference point, and</w:t>
            </w:r>
            <w:r w:rsidRPr="009C5807">
              <w:t xml:space="preserve"> assumed to have constant EPRE across the bandwidth.</w:t>
            </w:r>
          </w:p>
          <w:p w14:paraId="4DCD231D" w14:textId="77777777" w:rsidR="00283207" w:rsidRPr="009C5807" w:rsidRDefault="00283207" w:rsidP="00520867">
            <w:pPr>
              <w:pStyle w:val="TAN"/>
            </w:pPr>
            <w:r w:rsidRPr="009C5807">
              <w:t>NOTE 2:</w:t>
            </w:r>
            <w:r w:rsidRPr="009C5807">
              <w:tab/>
              <w:t>Values based on Refsens and EIS spherical coverage as defined in clauses 7.3.2 and 7.3.4 of TS 38.101-2 [19]. Applicable side condition selected depending on angle of arrival.</w:t>
            </w:r>
          </w:p>
          <w:p w14:paraId="51C8ECBF" w14:textId="77777777" w:rsidR="00283207" w:rsidRPr="009C5807" w:rsidRDefault="00283207" w:rsidP="00520867">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tc>
      </w:tr>
    </w:tbl>
    <w:p w14:paraId="53F6E399" w14:textId="77777777" w:rsidR="00283207" w:rsidRPr="009C5807" w:rsidRDefault="00283207" w:rsidP="00283207"/>
    <w:p w14:paraId="418651AE" w14:textId="77777777" w:rsidR="00283207" w:rsidRPr="009C5807" w:rsidRDefault="00283207" w:rsidP="00B018D8">
      <w:pPr>
        <w:pStyle w:val="Heading5"/>
      </w:pPr>
      <w:r w:rsidRPr="009C5807">
        <w:t>10.1.22.1.2</w:t>
      </w:r>
      <w:r w:rsidRPr="009C5807">
        <w:tab/>
      </w:r>
      <w:r w:rsidRPr="009C5807">
        <w:rPr>
          <w:lang w:val="en-US"/>
        </w:rPr>
        <w:t>SRS-RSRP report mapping</w:t>
      </w:r>
    </w:p>
    <w:p w14:paraId="58F845AB" w14:textId="77777777" w:rsidR="00283207" w:rsidRPr="009C5807" w:rsidRDefault="00283207" w:rsidP="00283207">
      <w:pPr>
        <w:rPr>
          <w:rFonts w:cs="v4.2.0"/>
        </w:rPr>
      </w:pPr>
      <w:r w:rsidRPr="009C5807">
        <w:rPr>
          <w:sz w:val="22"/>
          <w:szCs w:val="22"/>
        </w:rPr>
        <w:t>T</w:t>
      </w:r>
      <w:r w:rsidRPr="009C5807">
        <w:rPr>
          <w:rFonts w:cs="v4.2.0"/>
        </w:rPr>
        <w:t>he reporting range of SRS-RSRP is defined from -140 dBm to -44 dBm with 1 dB resolution. The mapping of measured quantity is defined in Table 10.1.22.1.2-1. The range in the signalling may be larger than the guaranteed accuracy range.</w:t>
      </w:r>
    </w:p>
    <w:p w14:paraId="47959992" w14:textId="77777777" w:rsidR="00283207" w:rsidRPr="009C5807" w:rsidRDefault="00283207" w:rsidP="00096C4D">
      <w:pPr>
        <w:pStyle w:val="TH"/>
      </w:pPr>
      <w:r w:rsidRPr="009C5807">
        <w:t>Table 10.1.22.1.2-1: SRS-RSRP measurement report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2154"/>
        <w:gridCol w:w="710"/>
      </w:tblGrid>
      <w:tr w:rsidR="00283207" w:rsidRPr="009C5807" w14:paraId="3297C890" w14:textId="77777777" w:rsidTr="00B4408D">
        <w:trPr>
          <w:trHeight w:val="300"/>
          <w:jc w:val="center"/>
        </w:trPr>
        <w:tc>
          <w:tcPr>
            <w:tcW w:w="1640" w:type="dxa"/>
            <w:shd w:val="clear" w:color="auto" w:fill="auto"/>
            <w:noWrap/>
            <w:hideMark/>
          </w:tcPr>
          <w:p w14:paraId="513157D2" w14:textId="77777777" w:rsidR="00283207" w:rsidRPr="009C5807" w:rsidRDefault="00283207" w:rsidP="00096C4D">
            <w:pPr>
              <w:pStyle w:val="TAH"/>
              <w:rPr>
                <w:lang w:eastAsia="ko-KR"/>
              </w:rPr>
            </w:pPr>
            <w:r w:rsidRPr="009C5807">
              <w:rPr>
                <w:lang w:eastAsia="ko-KR"/>
              </w:rPr>
              <w:t>Reported value</w:t>
            </w:r>
          </w:p>
        </w:tc>
        <w:tc>
          <w:tcPr>
            <w:tcW w:w="2154" w:type="dxa"/>
            <w:shd w:val="clear" w:color="auto" w:fill="auto"/>
            <w:noWrap/>
            <w:hideMark/>
          </w:tcPr>
          <w:p w14:paraId="6D02EEB3" w14:textId="77777777" w:rsidR="00283207" w:rsidRPr="009C5807" w:rsidRDefault="00283207" w:rsidP="00096C4D">
            <w:pPr>
              <w:pStyle w:val="TAH"/>
              <w:rPr>
                <w:lang w:eastAsia="ko-KR"/>
              </w:rPr>
            </w:pPr>
            <w:r w:rsidRPr="009C5807">
              <w:rPr>
                <w:lang w:eastAsia="ko-KR"/>
              </w:rPr>
              <w:t>Measured quantity value</w:t>
            </w:r>
          </w:p>
        </w:tc>
        <w:tc>
          <w:tcPr>
            <w:tcW w:w="710" w:type="dxa"/>
            <w:shd w:val="clear" w:color="auto" w:fill="auto"/>
            <w:noWrap/>
            <w:hideMark/>
          </w:tcPr>
          <w:p w14:paraId="248C39F2" w14:textId="77777777" w:rsidR="00283207" w:rsidRPr="009C5807" w:rsidRDefault="00283207" w:rsidP="00096C4D">
            <w:pPr>
              <w:pStyle w:val="TAH"/>
              <w:rPr>
                <w:lang w:eastAsia="ko-KR"/>
              </w:rPr>
            </w:pPr>
            <w:r w:rsidRPr="009C5807">
              <w:rPr>
                <w:lang w:eastAsia="ko-KR"/>
              </w:rPr>
              <w:t>Unit</w:t>
            </w:r>
          </w:p>
        </w:tc>
      </w:tr>
      <w:tr w:rsidR="00283207" w:rsidRPr="009C5807" w14:paraId="4F409B15" w14:textId="77777777" w:rsidTr="00063CF2">
        <w:trPr>
          <w:trHeight w:val="300"/>
          <w:jc w:val="center"/>
        </w:trPr>
        <w:tc>
          <w:tcPr>
            <w:tcW w:w="1640" w:type="dxa"/>
            <w:shd w:val="clear" w:color="auto" w:fill="auto"/>
            <w:noWrap/>
            <w:hideMark/>
          </w:tcPr>
          <w:p w14:paraId="03F61961" w14:textId="77777777" w:rsidR="00283207" w:rsidRPr="009C5807" w:rsidRDefault="00283207" w:rsidP="00063CF2">
            <w:pPr>
              <w:pStyle w:val="TAC"/>
              <w:rPr>
                <w:lang w:eastAsia="ko-KR"/>
              </w:rPr>
            </w:pPr>
            <w:r w:rsidRPr="009C5807">
              <w:t>SRS-RSRP_0</w:t>
            </w:r>
          </w:p>
        </w:tc>
        <w:tc>
          <w:tcPr>
            <w:tcW w:w="2154" w:type="dxa"/>
            <w:shd w:val="clear" w:color="auto" w:fill="auto"/>
            <w:noWrap/>
            <w:hideMark/>
          </w:tcPr>
          <w:p w14:paraId="13384248" w14:textId="77777777" w:rsidR="00283207" w:rsidRPr="009C5807" w:rsidRDefault="00283207" w:rsidP="00063CF2">
            <w:pPr>
              <w:pStyle w:val="TAC"/>
            </w:pPr>
            <w:r w:rsidRPr="009C5807">
              <w:t>SRS-RSRP&lt;-140</w:t>
            </w:r>
          </w:p>
        </w:tc>
        <w:tc>
          <w:tcPr>
            <w:tcW w:w="710" w:type="dxa"/>
            <w:shd w:val="clear" w:color="auto" w:fill="auto"/>
            <w:noWrap/>
            <w:hideMark/>
          </w:tcPr>
          <w:p w14:paraId="705385CA" w14:textId="77777777" w:rsidR="00283207" w:rsidRPr="009C5807" w:rsidRDefault="00283207" w:rsidP="00063CF2">
            <w:pPr>
              <w:pStyle w:val="TAC"/>
              <w:rPr>
                <w:lang w:eastAsia="ko-KR"/>
              </w:rPr>
            </w:pPr>
            <w:r w:rsidRPr="009C5807">
              <w:t>dBm</w:t>
            </w:r>
          </w:p>
        </w:tc>
      </w:tr>
      <w:tr w:rsidR="00283207" w:rsidRPr="009C5807" w14:paraId="0F6A233F" w14:textId="77777777" w:rsidTr="00063CF2">
        <w:trPr>
          <w:trHeight w:val="300"/>
          <w:jc w:val="center"/>
        </w:trPr>
        <w:tc>
          <w:tcPr>
            <w:tcW w:w="1640" w:type="dxa"/>
            <w:shd w:val="clear" w:color="auto" w:fill="auto"/>
            <w:noWrap/>
            <w:hideMark/>
          </w:tcPr>
          <w:p w14:paraId="7C8A427A" w14:textId="77777777" w:rsidR="00283207" w:rsidRPr="009C5807" w:rsidRDefault="00283207" w:rsidP="00063CF2">
            <w:pPr>
              <w:pStyle w:val="TAC"/>
              <w:rPr>
                <w:lang w:eastAsia="ko-KR"/>
              </w:rPr>
            </w:pPr>
            <w:r w:rsidRPr="009C5807">
              <w:t>SRS-RSRP_1</w:t>
            </w:r>
          </w:p>
        </w:tc>
        <w:tc>
          <w:tcPr>
            <w:tcW w:w="2154" w:type="dxa"/>
            <w:shd w:val="clear" w:color="auto" w:fill="auto"/>
            <w:noWrap/>
            <w:hideMark/>
          </w:tcPr>
          <w:p w14:paraId="5F2537F5" w14:textId="77777777" w:rsidR="00283207" w:rsidRPr="009C5807" w:rsidRDefault="00283207" w:rsidP="00063CF2">
            <w:pPr>
              <w:pStyle w:val="TAC"/>
            </w:pPr>
            <w:r w:rsidRPr="009C5807">
              <w:t>-140≤ SRS-RSRP&lt;-139</w:t>
            </w:r>
          </w:p>
        </w:tc>
        <w:tc>
          <w:tcPr>
            <w:tcW w:w="710" w:type="dxa"/>
            <w:shd w:val="clear" w:color="auto" w:fill="auto"/>
            <w:noWrap/>
            <w:hideMark/>
          </w:tcPr>
          <w:p w14:paraId="31E092BD" w14:textId="77777777" w:rsidR="00283207" w:rsidRPr="009C5807" w:rsidRDefault="00283207" w:rsidP="00063CF2">
            <w:pPr>
              <w:pStyle w:val="TAC"/>
              <w:rPr>
                <w:lang w:eastAsia="ko-KR"/>
              </w:rPr>
            </w:pPr>
            <w:r w:rsidRPr="009C5807">
              <w:t>dBm</w:t>
            </w:r>
          </w:p>
        </w:tc>
      </w:tr>
      <w:tr w:rsidR="00283207" w:rsidRPr="009C5807" w14:paraId="5A80175D" w14:textId="77777777" w:rsidTr="00063CF2">
        <w:trPr>
          <w:trHeight w:val="300"/>
          <w:jc w:val="center"/>
        </w:trPr>
        <w:tc>
          <w:tcPr>
            <w:tcW w:w="1640" w:type="dxa"/>
            <w:shd w:val="clear" w:color="auto" w:fill="auto"/>
            <w:noWrap/>
            <w:hideMark/>
          </w:tcPr>
          <w:p w14:paraId="75D6DF68" w14:textId="77777777" w:rsidR="00283207" w:rsidRPr="009C5807" w:rsidRDefault="00283207" w:rsidP="00063CF2">
            <w:pPr>
              <w:pStyle w:val="TAC"/>
              <w:rPr>
                <w:lang w:eastAsia="ko-KR"/>
              </w:rPr>
            </w:pPr>
            <w:r w:rsidRPr="009C5807">
              <w:t>SRS-RSRP_2</w:t>
            </w:r>
          </w:p>
        </w:tc>
        <w:tc>
          <w:tcPr>
            <w:tcW w:w="2154" w:type="dxa"/>
            <w:shd w:val="clear" w:color="auto" w:fill="auto"/>
            <w:noWrap/>
            <w:hideMark/>
          </w:tcPr>
          <w:p w14:paraId="4F458979" w14:textId="77777777" w:rsidR="00283207" w:rsidRPr="009C5807" w:rsidRDefault="00283207" w:rsidP="00063CF2">
            <w:pPr>
              <w:pStyle w:val="TAC"/>
            </w:pPr>
            <w:r w:rsidRPr="009C5807">
              <w:t>-139≤ SRS-RSRP&lt;-138</w:t>
            </w:r>
          </w:p>
        </w:tc>
        <w:tc>
          <w:tcPr>
            <w:tcW w:w="710" w:type="dxa"/>
            <w:shd w:val="clear" w:color="auto" w:fill="auto"/>
            <w:noWrap/>
            <w:hideMark/>
          </w:tcPr>
          <w:p w14:paraId="39B7C7FD" w14:textId="77777777" w:rsidR="00283207" w:rsidRPr="009C5807" w:rsidRDefault="00283207" w:rsidP="00063CF2">
            <w:pPr>
              <w:pStyle w:val="TAC"/>
              <w:rPr>
                <w:lang w:eastAsia="ko-KR"/>
              </w:rPr>
            </w:pPr>
            <w:r w:rsidRPr="009C5807">
              <w:t>dBm</w:t>
            </w:r>
          </w:p>
        </w:tc>
      </w:tr>
      <w:tr w:rsidR="00283207" w:rsidRPr="009C5807" w14:paraId="3B1058E2" w14:textId="77777777" w:rsidTr="00063CF2">
        <w:trPr>
          <w:trHeight w:val="300"/>
          <w:jc w:val="center"/>
        </w:trPr>
        <w:tc>
          <w:tcPr>
            <w:tcW w:w="1640" w:type="dxa"/>
            <w:shd w:val="clear" w:color="auto" w:fill="auto"/>
            <w:noWrap/>
            <w:hideMark/>
          </w:tcPr>
          <w:p w14:paraId="7F0D3E8C" w14:textId="77777777" w:rsidR="00283207" w:rsidRPr="009C5807" w:rsidRDefault="00283207" w:rsidP="00063CF2">
            <w:pPr>
              <w:pStyle w:val="TAC"/>
              <w:rPr>
                <w:lang w:eastAsia="ko-KR"/>
              </w:rPr>
            </w:pPr>
            <w:r w:rsidRPr="009C5807">
              <w:t>SRS-RSRP_3</w:t>
            </w:r>
          </w:p>
        </w:tc>
        <w:tc>
          <w:tcPr>
            <w:tcW w:w="2154" w:type="dxa"/>
            <w:shd w:val="clear" w:color="auto" w:fill="auto"/>
            <w:noWrap/>
            <w:hideMark/>
          </w:tcPr>
          <w:p w14:paraId="3A25730D" w14:textId="77777777" w:rsidR="00283207" w:rsidRPr="009C5807" w:rsidRDefault="00283207" w:rsidP="00063CF2">
            <w:pPr>
              <w:pStyle w:val="TAC"/>
            </w:pPr>
            <w:r w:rsidRPr="009C5807">
              <w:t>-138≤ SRS-RSRP&lt;-137</w:t>
            </w:r>
          </w:p>
        </w:tc>
        <w:tc>
          <w:tcPr>
            <w:tcW w:w="710" w:type="dxa"/>
            <w:shd w:val="clear" w:color="auto" w:fill="auto"/>
            <w:noWrap/>
            <w:hideMark/>
          </w:tcPr>
          <w:p w14:paraId="49BB8CAB" w14:textId="77777777" w:rsidR="00283207" w:rsidRPr="009C5807" w:rsidRDefault="00283207" w:rsidP="00063CF2">
            <w:pPr>
              <w:pStyle w:val="TAC"/>
              <w:rPr>
                <w:lang w:eastAsia="ko-KR"/>
              </w:rPr>
            </w:pPr>
            <w:r w:rsidRPr="009C5807">
              <w:t>dBm</w:t>
            </w:r>
          </w:p>
        </w:tc>
      </w:tr>
      <w:tr w:rsidR="00283207" w:rsidRPr="009C5807" w14:paraId="378145EE" w14:textId="77777777" w:rsidTr="00063CF2">
        <w:trPr>
          <w:trHeight w:val="300"/>
          <w:jc w:val="center"/>
        </w:trPr>
        <w:tc>
          <w:tcPr>
            <w:tcW w:w="1640" w:type="dxa"/>
            <w:shd w:val="clear" w:color="auto" w:fill="auto"/>
            <w:noWrap/>
            <w:hideMark/>
          </w:tcPr>
          <w:p w14:paraId="7D2EAAFE" w14:textId="77777777" w:rsidR="00283207" w:rsidRPr="009C5807" w:rsidRDefault="00283207" w:rsidP="00063CF2">
            <w:pPr>
              <w:pStyle w:val="TAC"/>
              <w:rPr>
                <w:lang w:eastAsia="ko-KR"/>
              </w:rPr>
            </w:pPr>
            <w:r w:rsidRPr="009C5807">
              <w:t>SRS-RSRP_4</w:t>
            </w:r>
          </w:p>
        </w:tc>
        <w:tc>
          <w:tcPr>
            <w:tcW w:w="2154" w:type="dxa"/>
            <w:shd w:val="clear" w:color="auto" w:fill="auto"/>
            <w:noWrap/>
            <w:hideMark/>
          </w:tcPr>
          <w:p w14:paraId="0262CAC3" w14:textId="77777777" w:rsidR="00283207" w:rsidRPr="009C5807" w:rsidRDefault="00283207" w:rsidP="00063CF2">
            <w:pPr>
              <w:pStyle w:val="TAC"/>
            </w:pPr>
            <w:r w:rsidRPr="009C5807">
              <w:t>-137≤ SRS-RSRP&lt;-136</w:t>
            </w:r>
          </w:p>
        </w:tc>
        <w:tc>
          <w:tcPr>
            <w:tcW w:w="710" w:type="dxa"/>
            <w:shd w:val="clear" w:color="auto" w:fill="auto"/>
            <w:noWrap/>
            <w:hideMark/>
          </w:tcPr>
          <w:p w14:paraId="23095151" w14:textId="77777777" w:rsidR="00283207" w:rsidRPr="009C5807" w:rsidRDefault="00283207" w:rsidP="00063CF2">
            <w:pPr>
              <w:pStyle w:val="TAC"/>
              <w:rPr>
                <w:lang w:eastAsia="ko-KR"/>
              </w:rPr>
            </w:pPr>
            <w:r w:rsidRPr="009C5807">
              <w:t>dBm</w:t>
            </w:r>
          </w:p>
        </w:tc>
      </w:tr>
      <w:tr w:rsidR="00283207" w:rsidRPr="009C5807" w14:paraId="330C745F" w14:textId="77777777" w:rsidTr="00063CF2">
        <w:trPr>
          <w:trHeight w:val="300"/>
          <w:jc w:val="center"/>
        </w:trPr>
        <w:tc>
          <w:tcPr>
            <w:tcW w:w="1640" w:type="dxa"/>
            <w:shd w:val="clear" w:color="auto" w:fill="auto"/>
            <w:noWrap/>
            <w:hideMark/>
          </w:tcPr>
          <w:p w14:paraId="75647A19" w14:textId="77777777" w:rsidR="00283207" w:rsidRPr="009C5807" w:rsidRDefault="00283207" w:rsidP="00063CF2">
            <w:pPr>
              <w:pStyle w:val="TAC"/>
              <w:rPr>
                <w:lang w:eastAsia="ko-KR"/>
              </w:rPr>
            </w:pPr>
            <w:r w:rsidRPr="009C5807">
              <w:rPr>
                <w:lang w:eastAsia="ko-KR"/>
              </w:rPr>
              <w:t>..</w:t>
            </w:r>
          </w:p>
        </w:tc>
        <w:tc>
          <w:tcPr>
            <w:tcW w:w="2154" w:type="dxa"/>
            <w:shd w:val="clear" w:color="auto" w:fill="auto"/>
            <w:noWrap/>
            <w:hideMark/>
          </w:tcPr>
          <w:p w14:paraId="2AAD0B97" w14:textId="77777777" w:rsidR="00283207" w:rsidRPr="009C5807" w:rsidRDefault="00283207" w:rsidP="00063CF2">
            <w:pPr>
              <w:pStyle w:val="TAC"/>
              <w:rPr>
                <w:lang w:eastAsia="ko-KR"/>
              </w:rPr>
            </w:pPr>
            <w:r w:rsidRPr="009C5807">
              <w:rPr>
                <w:lang w:eastAsia="ko-KR"/>
              </w:rPr>
              <w:t>..</w:t>
            </w:r>
          </w:p>
        </w:tc>
        <w:tc>
          <w:tcPr>
            <w:tcW w:w="710" w:type="dxa"/>
            <w:shd w:val="clear" w:color="auto" w:fill="auto"/>
            <w:noWrap/>
            <w:hideMark/>
          </w:tcPr>
          <w:p w14:paraId="4BA27918" w14:textId="77777777" w:rsidR="00283207" w:rsidRPr="009C5807" w:rsidRDefault="00283207" w:rsidP="00063CF2">
            <w:pPr>
              <w:pStyle w:val="TAC"/>
              <w:rPr>
                <w:lang w:eastAsia="ko-KR"/>
              </w:rPr>
            </w:pPr>
            <w:r w:rsidRPr="009C5807">
              <w:rPr>
                <w:lang w:eastAsia="ko-KR"/>
              </w:rPr>
              <w:t>…</w:t>
            </w:r>
          </w:p>
        </w:tc>
      </w:tr>
      <w:tr w:rsidR="00283207" w:rsidRPr="009C5807" w14:paraId="59EF3F8A" w14:textId="77777777" w:rsidTr="00063CF2">
        <w:trPr>
          <w:trHeight w:val="300"/>
          <w:jc w:val="center"/>
        </w:trPr>
        <w:tc>
          <w:tcPr>
            <w:tcW w:w="1640" w:type="dxa"/>
            <w:shd w:val="clear" w:color="auto" w:fill="auto"/>
            <w:noWrap/>
            <w:hideMark/>
          </w:tcPr>
          <w:p w14:paraId="7FD93481" w14:textId="77777777" w:rsidR="00283207" w:rsidRPr="009C5807" w:rsidRDefault="00283207" w:rsidP="00063CF2">
            <w:pPr>
              <w:pStyle w:val="TAC"/>
              <w:rPr>
                <w:lang w:eastAsia="ko-KR"/>
              </w:rPr>
            </w:pPr>
            <w:r w:rsidRPr="009C5807">
              <w:t>SRS-RSRP_95</w:t>
            </w:r>
          </w:p>
        </w:tc>
        <w:tc>
          <w:tcPr>
            <w:tcW w:w="2154" w:type="dxa"/>
            <w:shd w:val="clear" w:color="auto" w:fill="auto"/>
            <w:noWrap/>
          </w:tcPr>
          <w:p w14:paraId="4AC02A74" w14:textId="77777777" w:rsidR="00283207" w:rsidRPr="009C5807" w:rsidRDefault="00283207" w:rsidP="00063CF2">
            <w:pPr>
              <w:pStyle w:val="TAC"/>
              <w:rPr>
                <w:lang w:eastAsia="ko-KR"/>
              </w:rPr>
            </w:pPr>
            <w:r w:rsidRPr="009C5807">
              <w:t>-46≤ SRS-RSRP&lt;-45</w:t>
            </w:r>
          </w:p>
        </w:tc>
        <w:tc>
          <w:tcPr>
            <w:tcW w:w="710" w:type="dxa"/>
            <w:shd w:val="clear" w:color="auto" w:fill="auto"/>
            <w:noWrap/>
            <w:hideMark/>
          </w:tcPr>
          <w:p w14:paraId="49298C11" w14:textId="77777777" w:rsidR="00283207" w:rsidRPr="009C5807" w:rsidRDefault="00283207" w:rsidP="00063CF2">
            <w:pPr>
              <w:pStyle w:val="TAC"/>
              <w:rPr>
                <w:lang w:eastAsia="ko-KR"/>
              </w:rPr>
            </w:pPr>
            <w:r w:rsidRPr="009C5807">
              <w:t>dBm</w:t>
            </w:r>
          </w:p>
        </w:tc>
      </w:tr>
      <w:tr w:rsidR="00283207" w:rsidRPr="009C5807" w14:paraId="17FD0CCA" w14:textId="77777777" w:rsidTr="00063CF2">
        <w:trPr>
          <w:trHeight w:val="300"/>
          <w:jc w:val="center"/>
        </w:trPr>
        <w:tc>
          <w:tcPr>
            <w:tcW w:w="1640" w:type="dxa"/>
            <w:shd w:val="clear" w:color="auto" w:fill="auto"/>
            <w:noWrap/>
            <w:hideMark/>
          </w:tcPr>
          <w:p w14:paraId="4A658964" w14:textId="77777777" w:rsidR="00283207" w:rsidRPr="009C5807" w:rsidRDefault="00283207" w:rsidP="00063CF2">
            <w:pPr>
              <w:pStyle w:val="TAC"/>
              <w:rPr>
                <w:lang w:eastAsia="ko-KR"/>
              </w:rPr>
            </w:pPr>
            <w:r w:rsidRPr="009C5807">
              <w:t>SRS-RSRP_96</w:t>
            </w:r>
          </w:p>
        </w:tc>
        <w:tc>
          <w:tcPr>
            <w:tcW w:w="2154" w:type="dxa"/>
            <w:shd w:val="clear" w:color="auto" w:fill="auto"/>
            <w:noWrap/>
          </w:tcPr>
          <w:p w14:paraId="3454AFA0" w14:textId="77777777" w:rsidR="00283207" w:rsidRPr="009C5807" w:rsidRDefault="00283207" w:rsidP="00063CF2">
            <w:pPr>
              <w:pStyle w:val="TAC"/>
              <w:rPr>
                <w:lang w:eastAsia="ko-KR"/>
              </w:rPr>
            </w:pPr>
            <w:r w:rsidRPr="009C5807">
              <w:t>-45≤ SRS-RSRP&lt;-44</w:t>
            </w:r>
          </w:p>
        </w:tc>
        <w:tc>
          <w:tcPr>
            <w:tcW w:w="710" w:type="dxa"/>
            <w:shd w:val="clear" w:color="auto" w:fill="auto"/>
            <w:noWrap/>
            <w:hideMark/>
          </w:tcPr>
          <w:p w14:paraId="2FE24EFD" w14:textId="77777777" w:rsidR="00283207" w:rsidRPr="009C5807" w:rsidRDefault="00283207" w:rsidP="00063CF2">
            <w:pPr>
              <w:pStyle w:val="TAC"/>
              <w:rPr>
                <w:lang w:eastAsia="ko-KR"/>
              </w:rPr>
            </w:pPr>
            <w:r w:rsidRPr="009C5807">
              <w:t>dBm</w:t>
            </w:r>
          </w:p>
        </w:tc>
      </w:tr>
      <w:tr w:rsidR="00283207" w:rsidRPr="009C5807" w14:paraId="28A109B0" w14:textId="77777777" w:rsidTr="00063CF2">
        <w:trPr>
          <w:trHeight w:val="300"/>
          <w:jc w:val="center"/>
        </w:trPr>
        <w:tc>
          <w:tcPr>
            <w:tcW w:w="1640" w:type="dxa"/>
            <w:shd w:val="clear" w:color="auto" w:fill="auto"/>
            <w:noWrap/>
          </w:tcPr>
          <w:p w14:paraId="61E062CB" w14:textId="77777777" w:rsidR="00283207" w:rsidRPr="009C5807" w:rsidRDefault="00283207" w:rsidP="00063CF2">
            <w:pPr>
              <w:pStyle w:val="TAC"/>
            </w:pPr>
            <w:r w:rsidRPr="009C5807">
              <w:t>SRS-RSRP_97</w:t>
            </w:r>
          </w:p>
        </w:tc>
        <w:tc>
          <w:tcPr>
            <w:tcW w:w="2154" w:type="dxa"/>
            <w:shd w:val="clear" w:color="auto" w:fill="auto"/>
            <w:noWrap/>
          </w:tcPr>
          <w:p w14:paraId="783AF589" w14:textId="77777777" w:rsidR="00283207" w:rsidRPr="009C5807" w:rsidRDefault="00283207" w:rsidP="00063CF2">
            <w:pPr>
              <w:pStyle w:val="TAC"/>
            </w:pPr>
            <w:r w:rsidRPr="009C5807">
              <w:t>-44≤ SRS-RSRP</w:t>
            </w:r>
          </w:p>
        </w:tc>
        <w:tc>
          <w:tcPr>
            <w:tcW w:w="710" w:type="dxa"/>
            <w:shd w:val="clear" w:color="auto" w:fill="auto"/>
            <w:noWrap/>
          </w:tcPr>
          <w:p w14:paraId="08EA8946" w14:textId="77777777" w:rsidR="00283207" w:rsidRPr="009C5807" w:rsidRDefault="00283207" w:rsidP="00063CF2">
            <w:pPr>
              <w:pStyle w:val="TAC"/>
            </w:pPr>
            <w:r w:rsidRPr="009C5807">
              <w:t>dBm</w:t>
            </w:r>
          </w:p>
        </w:tc>
      </w:tr>
      <w:tr w:rsidR="00283207" w:rsidRPr="009C5807" w14:paraId="558B8285" w14:textId="77777777" w:rsidTr="00063CF2">
        <w:trPr>
          <w:trHeight w:val="300"/>
          <w:jc w:val="center"/>
        </w:trPr>
        <w:tc>
          <w:tcPr>
            <w:tcW w:w="1640" w:type="dxa"/>
            <w:shd w:val="clear" w:color="auto" w:fill="auto"/>
            <w:noWrap/>
          </w:tcPr>
          <w:p w14:paraId="44FD74D0" w14:textId="77777777" w:rsidR="00283207" w:rsidRPr="009C5807" w:rsidRDefault="00283207" w:rsidP="00063CF2">
            <w:pPr>
              <w:pStyle w:val="TAC"/>
            </w:pPr>
            <w:r w:rsidRPr="009C5807">
              <w:t>SRS-RSRP_98</w:t>
            </w:r>
          </w:p>
        </w:tc>
        <w:tc>
          <w:tcPr>
            <w:tcW w:w="2154" w:type="dxa"/>
            <w:shd w:val="clear" w:color="auto" w:fill="auto"/>
            <w:noWrap/>
          </w:tcPr>
          <w:p w14:paraId="4A771B2A" w14:textId="77777777" w:rsidR="00283207" w:rsidRPr="009C5807" w:rsidRDefault="00283207" w:rsidP="00063CF2">
            <w:pPr>
              <w:pStyle w:val="TAC"/>
            </w:pPr>
            <w:r w:rsidRPr="009C5807">
              <w:t>Infinity</w:t>
            </w:r>
          </w:p>
        </w:tc>
        <w:tc>
          <w:tcPr>
            <w:tcW w:w="710" w:type="dxa"/>
            <w:shd w:val="clear" w:color="auto" w:fill="auto"/>
            <w:noWrap/>
          </w:tcPr>
          <w:p w14:paraId="5659FEA9" w14:textId="77777777" w:rsidR="00283207" w:rsidRPr="009C5807" w:rsidRDefault="00283207" w:rsidP="00063CF2">
            <w:pPr>
              <w:pStyle w:val="TAC"/>
            </w:pPr>
          </w:p>
        </w:tc>
      </w:tr>
      <w:tr w:rsidR="00283207" w:rsidRPr="009C5807" w14:paraId="7A45B4AD" w14:textId="77777777" w:rsidTr="00B4408D">
        <w:trPr>
          <w:trHeight w:val="300"/>
          <w:jc w:val="center"/>
        </w:trPr>
        <w:tc>
          <w:tcPr>
            <w:tcW w:w="4504" w:type="dxa"/>
            <w:gridSpan w:val="3"/>
            <w:shd w:val="clear" w:color="auto" w:fill="auto"/>
            <w:noWrap/>
            <w:vAlign w:val="bottom"/>
          </w:tcPr>
          <w:p w14:paraId="641AFC16" w14:textId="79DC17A4" w:rsidR="00283207" w:rsidRPr="009C5807" w:rsidRDefault="00283207" w:rsidP="00257E2A">
            <w:pPr>
              <w:pStyle w:val="TAN"/>
            </w:pPr>
            <w:r w:rsidRPr="009C5807">
              <w:t>Note:</w:t>
            </w:r>
            <w:r w:rsidR="00096C4D" w:rsidRPr="009C5807">
              <w:tab/>
            </w:r>
            <w:r w:rsidRPr="009C5807">
              <w:t>‘Infinity’ means that UE cannot detect SRS due to too strong signal to measure.</w:t>
            </w:r>
          </w:p>
        </w:tc>
      </w:tr>
    </w:tbl>
    <w:p w14:paraId="60F71D9F" w14:textId="77777777" w:rsidR="000B5838" w:rsidRPr="009C5807" w:rsidRDefault="000B5838" w:rsidP="000B5838">
      <w:pPr>
        <w:rPr>
          <w:lang w:val="en-US"/>
        </w:rPr>
      </w:pPr>
    </w:p>
    <w:p w14:paraId="5F314523" w14:textId="185A72E9" w:rsidR="00283207" w:rsidRPr="009C5807" w:rsidRDefault="00283207" w:rsidP="00B018D8">
      <w:pPr>
        <w:pStyle w:val="Heading4"/>
        <w:rPr>
          <w:lang w:val="en-US"/>
        </w:rPr>
      </w:pPr>
      <w:r w:rsidRPr="009C5807">
        <w:rPr>
          <w:lang w:val="en-US"/>
        </w:rPr>
        <w:t>10.1.22.2</w:t>
      </w:r>
      <w:r w:rsidRPr="009C5807">
        <w:rPr>
          <w:lang w:val="en-US"/>
        </w:rPr>
        <w:tab/>
        <w:t>CLI-RSSI</w:t>
      </w:r>
    </w:p>
    <w:p w14:paraId="003625F6" w14:textId="77777777" w:rsidR="00283207" w:rsidRPr="009C5807" w:rsidRDefault="00283207" w:rsidP="00B018D8">
      <w:pPr>
        <w:pStyle w:val="Heading5"/>
      </w:pPr>
      <w:r w:rsidRPr="009C5807">
        <w:t>10.1.22.2.1</w:t>
      </w:r>
      <w:r w:rsidRPr="009C5807">
        <w:tab/>
        <w:t>CLI-RSSI</w:t>
      </w:r>
      <w:r w:rsidRPr="009C5807">
        <w:rPr>
          <w:lang w:val="en-US"/>
        </w:rPr>
        <w:t xml:space="preserve"> </w:t>
      </w:r>
      <w:r w:rsidRPr="009C5807">
        <w:t>Accuracy</w:t>
      </w:r>
    </w:p>
    <w:p w14:paraId="385B0477" w14:textId="77777777" w:rsidR="00283207" w:rsidRPr="009C5807" w:rsidRDefault="00283207" w:rsidP="00283207">
      <w:r w:rsidRPr="009C5807">
        <w:t>The CLI-RSSI measurement reported by the UE shall fulfil the accuracy requirements defined in Table 10.1.22.2.1-1 for FR1 and Table 10.1.22.2.1-2 for FR2, provided that the following conditions are met.</w:t>
      </w:r>
    </w:p>
    <w:p w14:paraId="16C7289E" w14:textId="77777777" w:rsidR="00283207" w:rsidRPr="009C5807" w:rsidRDefault="00283207" w:rsidP="00283207">
      <w:pPr>
        <w:ind w:left="568" w:hanging="284"/>
        <w:rPr>
          <w:rFonts w:cs="v4.2.0"/>
        </w:rPr>
      </w:pPr>
      <w:r w:rsidRPr="009C5807">
        <w:t>-</w:t>
      </w:r>
      <w:r w:rsidRPr="009C5807">
        <w:tab/>
        <w:t>Conditions defined in clause 7.3 of TS 38.101-1 [18] for reference sensitivity are fulfilled.</w:t>
      </w:r>
    </w:p>
    <w:p w14:paraId="2B481E49" w14:textId="7E5274FF" w:rsidR="006851AE" w:rsidRPr="009C5807" w:rsidRDefault="006851AE" w:rsidP="00B034E4">
      <w:pPr>
        <w:pStyle w:val="TH"/>
      </w:pPr>
      <w:r w:rsidRPr="009C5807">
        <w:t>Table 10.1.22.2.1-1: CLI-RSSI absolute accuracy in FR1</w:t>
      </w:r>
    </w:p>
    <w:tbl>
      <w:tblPr>
        <w:tblW w:w="10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276"/>
        <w:gridCol w:w="2104"/>
        <w:gridCol w:w="833"/>
        <w:gridCol w:w="833"/>
        <w:gridCol w:w="833"/>
        <w:gridCol w:w="1440"/>
        <w:gridCol w:w="1440"/>
      </w:tblGrid>
      <w:tr w:rsidR="006851AE" w:rsidRPr="009C5807" w14:paraId="21E0D9E9" w14:textId="77777777" w:rsidTr="00566CFE">
        <w:trPr>
          <w:jc w:val="center"/>
        </w:trPr>
        <w:tc>
          <w:tcPr>
            <w:tcW w:w="2689" w:type="dxa"/>
            <w:gridSpan w:val="2"/>
            <w:shd w:val="clear" w:color="auto" w:fill="auto"/>
            <w:vAlign w:val="center"/>
          </w:tcPr>
          <w:p w14:paraId="08BE99E2" w14:textId="77777777" w:rsidR="006851AE" w:rsidRPr="009C5807" w:rsidRDefault="006851AE" w:rsidP="00B034E4">
            <w:pPr>
              <w:pStyle w:val="TAH"/>
            </w:pPr>
            <w:r w:rsidRPr="009C5807">
              <w:t>Accuracy</w:t>
            </w:r>
          </w:p>
        </w:tc>
        <w:tc>
          <w:tcPr>
            <w:tcW w:w="7483" w:type="dxa"/>
            <w:gridSpan w:val="6"/>
            <w:shd w:val="clear" w:color="auto" w:fill="auto"/>
            <w:vAlign w:val="center"/>
          </w:tcPr>
          <w:p w14:paraId="132231E5" w14:textId="77777777" w:rsidR="006851AE" w:rsidRPr="009C5807" w:rsidRDefault="006851AE" w:rsidP="00B034E4">
            <w:pPr>
              <w:pStyle w:val="TAH"/>
            </w:pPr>
            <w:r w:rsidRPr="009C5807">
              <w:t>Conditions</w:t>
            </w:r>
          </w:p>
        </w:tc>
      </w:tr>
      <w:tr w:rsidR="006851AE" w:rsidRPr="009C5807" w14:paraId="2937D2E5" w14:textId="77777777" w:rsidTr="00B034E4">
        <w:trPr>
          <w:jc w:val="center"/>
        </w:trPr>
        <w:tc>
          <w:tcPr>
            <w:tcW w:w="1413" w:type="dxa"/>
            <w:tcBorders>
              <w:bottom w:val="nil"/>
            </w:tcBorders>
            <w:shd w:val="clear" w:color="auto" w:fill="auto"/>
            <w:vAlign w:val="center"/>
          </w:tcPr>
          <w:p w14:paraId="4A149091" w14:textId="77777777" w:rsidR="006851AE" w:rsidRPr="009C5807" w:rsidRDefault="006851AE" w:rsidP="00B034E4">
            <w:pPr>
              <w:pStyle w:val="TAH"/>
            </w:pPr>
            <w:r w:rsidRPr="009C5807">
              <w:t>Normal condition</w:t>
            </w:r>
          </w:p>
        </w:tc>
        <w:tc>
          <w:tcPr>
            <w:tcW w:w="1276" w:type="dxa"/>
            <w:tcBorders>
              <w:bottom w:val="nil"/>
            </w:tcBorders>
            <w:shd w:val="clear" w:color="auto" w:fill="auto"/>
            <w:vAlign w:val="center"/>
          </w:tcPr>
          <w:p w14:paraId="11FAEB1D" w14:textId="77777777" w:rsidR="006851AE" w:rsidRPr="009C5807" w:rsidRDefault="006851AE" w:rsidP="00B034E4">
            <w:pPr>
              <w:pStyle w:val="TAH"/>
            </w:pPr>
            <w:r w:rsidRPr="009C5807">
              <w:t>Extreme condition</w:t>
            </w:r>
          </w:p>
        </w:tc>
        <w:tc>
          <w:tcPr>
            <w:tcW w:w="7483" w:type="dxa"/>
            <w:gridSpan w:val="6"/>
            <w:shd w:val="clear" w:color="auto" w:fill="auto"/>
            <w:vAlign w:val="center"/>
          </w:tcPr>
          <w:p w14:paraId="621A623E" w14:textId="77777777" w:rsidR="006851AE" w:rsidRPr="009C5807" w:rsidRDefault="006851AE" w:rsidP="00B034E4">
            <w:pPr>
              <w:pStyle w:val="TAH"/>
            </w:pPr>
            <w:r w:rsidRPr="009C5807">
              <w:t>Io</w:t>
            </w:r>
            <w:r w:rsidRPr="009C5807">
              <w:rPr>
                <w:vertAlign w:val="superscript"/>
              </w:rPr>
              <w:t xml:space="preserve"> Note 1</w:t>
            </w:r>
            <w:r w:rsidRPr="009C5807">
              <w:t xml:space="preserve"> range</w:t>
            </w:r>
          </w:p>
        </w:tc>
      </w:tr>
      <w:tr w:rsidR="006851AE" w:rsidRPr="009C5807" w14:paraId="3B79B998" w14:textId="77777777" w:rsidTr="00B034E4">
        <w:trPr>
          <w:jc w:val="center"/>
        </w:trPr>
        <w:tc>
          <w:tcPr>
            <w:tcW w:w="1413" w:type="dxa"/>
            <w:tcBorders>
              <w:top w:val="nil"/>
            </w:tcBorders>
            <w:shd w:val="clear" w:color="auto" w:fill="auto"/>
            <w:vAlign w:val="center"/>
          </w:tcPr>
          <w:p w14:paraId="5DA26405" w14:textId="77777777" w:rsidR="006851AE" w:rsidRPr="009C5807" w:rsidRDefault="006851AE" w:rsidP="00B034E4">
            <w:pPr>
              <w:pStyle w:val="TAH"/>
            </w:pPr>
          </w:p>
        </w:tc>
        <w:tc>
          <w:tcPr>
            <w:tcW w:w="1276" w:type="dxa"/>
            <w:tcBorders>
              <w:top w:val="nil"/>
            </w:tcBorders>
            <w:shd w:val="clear" w:color="auto" w:fill="auto"/>
            <w:vAlign w:val="center"/>
          </w:tcPr>
          <w:p w14:paraId="39E402F0" w14:textId="77777777" w:rsidR="006851AE" w:rsidRPr="009C5807" w:rsidRDefault="006851AE" w:rsidP="00B034E4">
            <w:pPr>
              <w:pStyle w:val="TAH"/>
            </w:pPr>
          </w:p>
        </w:tc>
        <w:tc>
          <w:tcPr>
            <w:tcW w:w="2104" w:type="dxa"/>
            <w:shd w:val="clear" w:color="auto" w:fill="auto"/>
            <w:vAlign w:val="center"/>
          </w:tcPr>
          <w:p w14:paraId="7B5172F9" w14:textId="77777777" w:rsidR="006851AE" w:rsidRPr="009C5807" w:rsidRDefault="006851AE" w:rsidP="00B034E4">
            <w:pPr>
              <w:pStyle w:val="TAH"/>
            </w:pPr>
            <w:r w:rsidRPr="009C5807">
              <w:t>NR operating band groups</w:t>
            </w:r>
            <w:r w:rsidRPr="009C5807">
              <w:rPr>
                <w:vertAlign w:val="superscript"/>
              </w:rPr>
              <w:t xml:space="preserve"> Note 2</w:t>
            </w:r>
          </w:p>
        </w:tc>
        <w:tc>
          <w:tcPr>
            <w:tcW w:w="3939" w:type="dxa"/>
            <w:gridSpan w:val="4"/>
            <w:shd w:val="clear" w:color="auto" w:fill="auto"/>
            <w:vAlign w:val="center"/>
          </w:tcPr>
          <w:p w14:paraId="7EB4A6BA" w14:textId="77777777" w:rsidR="006851AE" w:rsidRPr="009C5807" w:rsidRDefault="006851AE" w:rsidP="00B034E4">
            <w:pPr>
              <w:pStyle w:val="TAH"/>
            </w:pPr>
            <w:r w:rsidRPr="009C5807">
              <w:t>Minimum Io</w:t>
            </w:r>
          </w:p>
        </w:tc>
        <w:tc>
          <w:tcPr>
            <w:tcW w:w="1440" w:type="dxa"/>
            <w:shd w:val="clear" w:color="auto" w:fill="auto"/>
            <w:vAlign w:val="center"/>
          </w:tcPr>
          <w:p w14:paraId="736D198A" w14:textId="77777777" w:rsidR="006851AE" w:rsidRPr="009C5807" w:rsidRDefault="006851AE" w:rsidP="00B034E4">
            <w:pPr>
              <w:pStyle w:val="TAH"/>
            </w:pPr>
            <w:r w:rsidRPr="009C5807">
              <w:t>Maximum Io</w:t>
            </w:r>
          </w:p>
        </w:tc>
      </w:tr>
      <w:tr w:rsidR="006851AE" w:rsidRPr="009C5807" w14:paraId="1C568D7C" w14:textId="77777777" w:rsidTr="00B034E4">
        <w:trPr>
          <w:trHeight w:val="308"/>
          <w:jc w:val="center"/>
        </w:trPr>
        <w:tc>
          <w:tcPr>
            <w:tcW w:w="1413" w:type="dxa"/>
            <w:tcBorders>
              <w:bottom w:val="nil"/>
            </w:tcBorders>
            <w:shd w:val="clear" w:color="auto" w:fill="auto"/>
            <w:vAlign w:val="center"/>
          </w:tcPr>
          <w:p w14:paraId="47D1DCCD" w14:textId="77777777" w:rsidR="006851AE" w:rsidRPr="009C5807" w:rsidRDefault="006851AE" w:rsidP="00B034E4">
            <w:pPr>
              <w:pStyle w:val="TAH"/>
            </w:pPr>
            <w:r w:rsidRPr="009C5807">
              <w:t>dB</w:t>
            </w:r>
          </w:p>
        </w:tc>
        <w:tc>
          <w:tcPr>
            <w:tcW w:w="1276" w:type="dxa"/>
            <w:tcBorders>
              <w:bottom w:val="nil"/>
            </w:tcBorders>
            <w:shd w:val="clear" w:color="auto" w:fill="auto"/>
            <w:vAlign w:val="center"/>
          </w:tcPr>
          <w:p w14:paraId="5910837B" w14:textId="77777777" w:rsidR="006851AE" w:rsidRPr="009C5807" w:rsidRDefault="006851AE" w:rsidP="00B034E4">
            <w:pPr>
              <w:pStyle w:val="TAH"/>
            </w:pPr>
            <w:r w:rsidRPr="009C5807">
              <w:t>dB</w:t>
            </w:r>
          </w:p>
        </w:tc>
        <w:tc>
          <w:tcPr>
            <w:tcW w:w="2104" w:type="dxa"/>
            <w:tcBorders>
              <w:bottom w:val="nil"/>
            </w:tcBorders>
            <w:shd w:val="clear" w:color="auto" w:fill="auto"/>
            <w:vAlign w:val="center"/>
          </w:tcPr>
          <w:p w14:paraId="6990EBCF" w14:textId="77777777" w:rsidR="006851AE" w:rsidRPr="009C5807" w:rsidRDefault="006851AE" w:rsidP="00B034E4">
            <w:pPr>
              <w:pStyle w:val="TAH"/>
            </w:pPr>
          </w:p>
        </w:tc>
        <w:tc>
          <w:tcPr>
            <w:tcW w:w="2499" w:type="dxa"/>
            <w:gridSpan w:val="3"/>
            <w:shd w:val="clear" w:color="auto" w:fill="auto"/>
            <w:vAlign w:val="center"/>
          </w:tcPr>
          <w:p w14:paraId="77B35424" w14:textId="77777777" w:rsidR="006851AE" w:rsidRPr="009C5807" w:rsidRDefault="006851AE" w:rsidP="00B034E4">
            <w:pPr>
              <w:pStyle w:val="TAH"/>
            </w:pPr>
            <w:r w:rsidRPr="009C5807">
              <w:rPr>
                <w:rFonts w:cs="Arial"/>
              </w:rPr>
              <w:t xml:space="preserve">dBm / </w:t>
            </w:r>
            <w:r w:rsidRPr="009C5807">
              <w:t>SCS</w:t>
            </w:r>
            <w:r w:rsidRPr="009C5807">
              <w:rPr>
                <w:vertAlign w:val="subscript"/>
              </w:rPr>
              <w:t>SRS</w:t>
            </w:r>
          </w:p>
        </w:tc>
        <w:tc>
          <w:tcPr>
            <w:tcW w:w="1440" w:type="dxa"/>
            <w:tcBorders>
              <w:bottom w:val="nil"/>
            </w:tcBorders>
            <w:shd w:val="clear" w:color="auto" w:fill="auto"/>
            <w:vAlign w:val="center"/>
          </w:tcPr>
          <w:p w14:paraId="35AFD128" w14:textId="77777777" w:rsidR="006851AE" w:rsidRPr="009C5807" w:rsidRDefault="006851AE" w:rsidP="00B034E4">
            <w:pPr>
              <w:pStyle w:val="TAH"/>
            </w:pPr>
            <w:r w:rsidRPr="009C5807">
              <w:t>dBm/BW</w:t>
            </w:r>
            <w:r w:rsidRPr="009C5807">
              <w:rPr>
                <w:vertAlign w:val="subscript"/>
              </w:rPr>
              <w:t>Channel</w:t>
            </w:r>
          </w:p>
        </w:tc>
        <w:tc>
          <w:tcPr>
            <w:tcW w:w="1440" w:type="dxa"/>
            <w:tcBorders>
              <w:bottom w:val="nil"/>
            </w:tcBorders>
            <w:shd w:val="clear" w:color="auto" w:fill="auto"/>
            <w:vAlign w:val="center"/>
          </w:tcPr>
          <w:p w14:paraId="34F7AA8C" w14:textId="77777777" w:rsidR="006851AE" w:rsidRPr="009C5807" w:rsidRDefault="006851AE" w:rsidP="00B034E4">
            <w:pPr>
              <w:pStyle w:val="TAH"/>
            </w:pPr>
            <w:r w:rsidRPr="009C5807">
              <w:t>dBm/BW</w:t>
            </w:r>
            <w:r w:rsidRPr="009C5807">
              <w:rPr>
                <w:vertAlign w:val="subscript"/>
              </w:rPr>
              <w:t>Channel</w:t>
            </w:r>
          </w:p>
        </w:tc>
      </w:tr>
      <w:tr w:rsidR="006851AE" w:rsidRPr="009C5807" w14:paraId="569C3682" w14:textId="77777777" w:rsidTr="00B034E4">
        <w:trPr>
          <w:trHeight w:val="307"/>
          <w:jc w:val="center"/>
        </w:trPr>
        <w:tc>
          <w:tcPr>
            <w:tcW w:w="1413" w:type="dxa"/>
            <w:tcBorders>
              <w:top w:val="nil"/>
            </w:tcBorders>
            <w:shd w:val="clear" w:color="auto" w:fill="auto"/>
            <w:vAlign w:val="center"/>
          </w:tcPr>
          <w:p w14:paraId="3F7E929B" w14:textId="77777777" w:rsidR="006851AE" w:rsidRPr="009C5807" w:rsidRDefault="006851AE" w:rsidP="00B034E4">
            <w:pPr>
              <w:pStyle w:val="TAH"/>
            </w:pPr>
          </w:p>
        </w:tc>
        <w:tc>
          <w:tcPr>
            <w:tcW w:w="1276" w:type="dxa"/>
            <w:tcBorders>
              <w:top w:val="nil"/>
            </w:tcBorders>
            <w:shd w:val="clear" w:color="auto" w:fill="auto"/>
            <w:vAlign w:val="center"/>
          </w:tcPr>
          <w:p w14:paraId="75CB25DD" w14:textId="77777777" w:rsidR="006851AE" w:rsidRPr="009C5807" w:rsidRDefault="006851AE" w:rsidP="00B034E4">
            <w:pPr>
              <w:pStyle w:val="TAH"/>
            </w:pPr>
          </w:p>
        </w:tc>
        <w:tc>
          <w:tcPr>
            <w:tcW w:w="2104" w:type="dxa"/>
            <w:tcBorders>
              <w:top w:val="nil"/>
            </w:tcBorders>
            <w:shd w:val="clear" w:color="auto" w:fill="auto"/>
            <w:vAlign w:val="center"/>
          </w:tcPr>
          <w:p w14:paraId="0D787C29" w14:textId="77777777" w:rsidR="006851AE" w:rsidRPr="009C5807" w:rsidRDefault="006851AE" w:rsidP="00B034E4">
            <w:pPr>
              <w:pStyle w:val="TAH"/>
            </w:pPr>
          </w:p>
        </w:tc>
        <w:tc>
          <w:tcPr>
            <w:tcW w:w="833" w:type="dxa"/>
            <w:shd w:val="clear" w:color="auto" w:fill="auto"/>
            <w:vAlign w:val="center"/>
          </w:tcPr>
          <w:p w14:paraId="623FE185" w14:textId="77777777" w:rsidR="006851AE" w:rsidRPr="009C5807" w:rsidRDefault="006851AE" w:rsidP="00B034E4">
            <w:pPr>
              <w:pStyle w:val="TAH"/>
              <w:rPr>
                <w:rFonts w:cs="Arial"/>
              </w:rPr>
            </w:pPr>
            <w:r w:rsidRPr="009C5807">
              <w:t>SCS</w:t>
            </w:r>
            <w:r w:rsidRPr="009C5807">
              <w:rPr>
                <w:vertAlign w:val="subscript"/>
              </w:rPr>
              <w:t>SRS</w:t>
            </w:r>
            <w:r w:rsidRPr="009C5807">
              <w:rPr>
                <w:rFonts w:cs="Arial"/>
              </w:rPr>
              <w:t xml:space="preserve"> = 15 kHz</w:t>
            </w:r>
          </w:p>
        </w:tc>
        <w:tc>
          <w:tcPr>
            <w:tcW w:w="833" w:type="dxa"/>
            <w:shd w:val="clear" w:color="auto" w:fill="auto"/>
            <w:vAlign w:val="center"/>
          </w:tcPr>
          <w:p w14:paraId="47BBA719" w14:textId="77777777" w:rsidR="006851AE" w:rsidRPr="009C5807" w:rsidRDefault="006851AE" w:rsidP="00B034E4">
            <w:pPr>
              <w:pStyle w:val="TAH"/>
              <w:rPr>
                <w:rFonts w:cs="Arial"/>
              </w:rPr>
            </w:pPr>
            <w:r w:rsidRPr="009C5807">
              <w:t>SCS</w:t>
            </w:r>
            <w:r w:rsidRPr="009C5807">
              <w:rPr>
                <w:vertAlign w:val="subscript"/>
              </w:rPr>
              <w:t>SRS</w:t>
            </w:r>
            <w:r w:rsidRPr="009C5807">
              <w:rPr>
                <w:rFonts w:cs="Arial"/>
              </w:rPr>
              <w:t xml:space="preserve"> = 30 kHz</w:t>
            </w:r>
          </w:p>
        </w:tc>
        <w:tc>
          <w:tcPr>
            <w:tcW w:w="833" w:type="dxa"/>
            <w:shd w:val="clear" w:color="auto" w:fill="auto"/>
            <w:vAlign w:val="center"/>
          </w:tcPr>
          <w:p w14:paraId="0506469F" w14:textId="77777777" w:rsidR="006851AE" w:rsidRPr="009C5807" w:rsidRDefault="006851AE" w:rsidP="00B034E4">
            <w:pPr>
              <w:pStyle w:val="TAH"/>
              <w:rPr>
                <w:rFonts w:cs="Arial"/>
              </w:rPr>
            </w:pPr>
            <w:r w:rsidRPr="009C5807">
              <w:t>SCS</w:t>
            </w:r>
            <w:r w:rsidRPr="009C5807">
              <w:rPr>
                <w:vertAlign w:val="subscript"/>
              </w:rPr>
              <w:t>SRS</w:t>
            </w:r>
            <w:r w:rsidRPr="009C5807">
              <w:rPr>
                <w:rFonts w:cs="Arial"/>
              </w:rPr>
              <w:t xml:space="preserve"> = 60 kHz</w:t>
            </w:r>
          </w:p>
        </w:tc>
        <w:tc>
          <w:tcPr>
            <w:tcW w:w="1440" w:type="dxa"/>
            <w:tcBorders>
              <w:top w:val="nil"/>
            </w:tcBorders>
            <w:shd w:val="clear" w:color="auto" w:fill="auto"/>
            <w:vAlign w:val="center"/>
          </w:tcPr>
          <w:p w14:paraId="5CD001C0" w14:textId="77777777" w:rsidR="006851AE" w:rsidRPr="009C5807" w:rsidRDefault="006851AE" w:rsidP="00B034E4">
            <w:pPr>
              <w:pStyle w:val="TAH"/>
            </w:pPr>
          </w:p>
        </w:tc>
        <w:tc>
          <w:tcPr>
            <w:tcW w:w="1440" w:type="dxa"/>
            <w:tcBorders>
              <w:top w:val="nil"/>
            </w:tcBorders>
            <w:shd w:val="clear" w:color="auto" w:fill="auto"/>
            <w:vAlign w:val="center"/>
          </w:tcPr>
          <w:p w14:paraId="32E0013C" w14:textId="77777777" w:rsidR="006851AE" w:rsidRPr="009C5807" w:rsidRDefault="006851AE" w:rsidP="00B034E4">
            <w:pPr>
              <w:pStyle w:val="TAH"/>
            </w:pPr>
          </w:p>
        </w:tc>
      </w:tr>
      <w:tr w:rsidR="00096C4D" w:rsidRPr="009C5807" w14:paraId="6D142E79" w14:textId="77777777" w:rsidTr="00B034E4">
        <w:trPr>
          <w:jc w:val="center"/>
        </w:trPr>
        <w:tc>
          <w:tcPr>
            <w:tcW w:w="1413" w:type="dxa"/>
            <w:tcBorders>
              <w:bottom w:val="nil"/>
            </w:tcBorders>
            <w:shd w:val="clear" w:color="auto" w:fill="auto"/>
            <w:vAlign w:val="center"/>
          </w:tcPr>
          <w:p w14:paraId="41E3FFA7" w14:textId="7AA6B1E7" w:rsidR="00096C4D" w:rsidRPr="009C5807" w:rsidRDefault="00096C4D" w:rsidP="00B034E4">
            <w:pPr>
              <w:pStyle w:val="TAC"/>
            </w:pPr>
            <w:r w:rsidRPr="009C5807">
              <w:sym w:font="Symbol" w:char="F0B1"/>
            </w:r>
            <w:r w:rsidRPr="009C5807">
              <w:t>3.5</w:t>
            </w:r>
          </w:p>
        </w:tc>
        <w:tc>
          <w:tcPr>
            <w:tcW w:w="1276" w:type="dxa"/>
            <w:tcBorders>
              <w:bottom w:val="nil"/>
            </w:tcBorders>
            <w:shd w:val="clear" w:color="auto" w:fill="auto"/>
            <w:vAlign w:val="center"/>
          </w:tcPr>
          <w:p w14:paraId="62D38F1E" w14:textId="7A4E6B59" w:rsidR="00096C4D" w:rsidRPr="009C5807" w:rsidRDefault="00096C4D" w:rsidP="00B034E4">
            <w:pPr>
              <w:pStyle w:val="TAC"/>
            </w:pPr>
            <w:r w:rsidRPr="009C5807">
              <w:sym w:font="Symbol" w:char="F0B1"/>
            </w:r>
            <w:r w:rsidRPr="009C5807">
              <w:t>6.5</w:t>
            </w:r>
          </w:p>
        </w:tc>
        <w:tc>
          <w:tcPr>
            <w:tcW w:w="2104" w:type="dxa"/>
            <w:shd w:val="clear" w:color="auto" w:fill="auto"/>
            <w:vAlign w:val="center"/>
          </w:tcPr>
          <w:p w14:paraId="69266FDA" w14:textId="77777777" w:rsidR="00096C4D" w:rsidRPr="009C5807" w:rsidRDefault="00096C4D" w:rsidP="00B034E4">
            <w:pPr>
              <w:pStyle w:val="TAC"/>
            </w:pPr>
            <w:r w:rsidRPr="009C5807">
              <w:t>NR_TDD_FR1_A,</w:t>
            </w:r>
          </w:p>
        </w:tc>
        <w:tc>
          <w:tcPr>
            <w:tcW w:w="833" w:type="dxa"/>
            <w:shd w:val="clear" w:color="auto" w:fill="auto"/>
            <w:vAlign w:val="center"/>
          </w:tcPr>
          <w:p w14:paraId="029DE500" w14:textId="07A2BB00" w:rsidR="00096C4D" w:rsidRPr="009C5807" w:rsidRDefault="00096C4D" w:rsidP="00B034E4">
            <w:pPr>
              <w:pStyle w:val="TAC"/>
            </w:pPr>
            <w:r w:rsidRPr="009C5807">
              <w:t>-120</w:t>
            </w:r>
          </w:p>
        </w:tc>
        <w:tc>
          <w:tcPr>
            <w:tcW w:w="833" w:type="dxa"/>
            <w:shd w:val="clear" w:color="auto" w:fill="auto"/>
            <w:vAlign w:val="center"/>
          </w:tcPr>
          <w:p w14:paraId="7E66EC91" w14:textId="08EC9824" w:rsidR="00096C4D" w:rsidRPr="009C5807" w:rsidRDefault="00096C4D" w:rsidP="00B034E4">
            <w:pPr>
              <w:pStyle w:val="TAC"/>
            </w:pPr>
            <w:r w:rsidRPr="009C5807">
              <w:t>-117</w:t>
            </w:r>
          </w:p>
        </w:tc>
        <w:tc>
          <w:tcPr>
            <w:tcW w:w="833" w:type="dxa"/>
            <w:shd w:val="clear" w:color="auto" w:fill="auto"/>
            <w:vAlign w:val="center"/>
          </w:tcPr>
          <w:p w14:paraId="4D8E6007" w14:textId="779545D6" w:rsidR="00096C4D" w:rsidRPr="009C5807" w:rsidRDefault="00096C4D" w:rsidP="00B034E4">
            <w:pPr>
              <w:pStyle w:val="TAC"/>
            </w:pPr>
            <w:r w:rsidRPr="009C5807">
              <w:rPr>
                <w:rFonts w:cs="Arial" w:hint="eastAsia"/>
                <w:lang w:eastAsia="ko-KR"/>
              </w:rPr>
              <w:t>-11</w:t>
            </w:r>
            <w:r w:rsidRPr="009C5807">
              <w:rPr>
                <w:rFonts w:cs="Arial"/>
                <w:lang w:eastAsia="ko-KR"/>
              </w:rPr>
              <w:t>4</w:t>
            </w:r>
          </w:p>
        </w:tc>
        <w:tc>
          <w:tcPr>
            <w:tcW w:w="1440" w:type="dxa"/>
            <w:shd w:val="clear" w:color="auto" w:fill="auto"/>
            <w:vAlign w:val="center"/>
          </w:tcPr>
          <w:p w14:paraId="6A06C5EE" w14:textId="77777777" w:rsidR="00096C4D" w:rsidRPr="009C5807" w:rsidRDefault="00096C4D" w:rsidP="00B034E4">
            <w:pPr>
              <w:pStyle w:val="TAC"/>
            </w:pPr>
            <w:r w:rsidRPr="009C5807">
              <w:t>N/A</w:t>
            </w:r>
          </w:p>
        </w:tc>
        <w:tc>
          <w:tcPr>
            <w:tcW w:w="1440" w:type="dxa"/>
            <w:shd w:val="clear" w:color="auto" w:fill="auto"/>
            <w:vAlign w:val="center"/>
          </w:tcPr>
          <w:p w14:paraId="20E4300D" w14:textId="77777777" w:rsidR="00096C4D" w:rsidRPr="009C5807" w:rsidRDefault="00096C4D" w:rsidP="00B034E4">
            <w:pPr>
              <w:pStyle w:val="TAC"/>
            </w:pPr>
            <w:r w:rsidRPr="009C5807">
              <w:t>-70</w:t>
            </w:r>
          </w:p>
        </w:tc>
      </w:tr>
      <w:tr w:rsidR="00096C4D" w:rsidRPr="009C5807" w14:paraId="5CA728BC" w14:textId="77777777" w:rsidTr="00B034E4">
        <w:trPr>
          <w:jc w:val="center"/>
        </w:trPr>
        <w:tc>
          <w:tcPr>
            <w:tcW w:w="1413" w:type="dxa"/>
            <w:tcBorders>
              <w:top w:val="nil"/>
              <w:bottom w:val="nil"/>
            </w:tcBorders>
            <w:shd w:val="clear" w:color="auto" w:fill="auto"/>
            <w:vAlign w:val="center"/>
          </w:tcPr>
          <w:p w14:paraId="3A47CA4C" w14:textId="77777777" w:rsidR="00096C4D" w:rsidRPr="009C5807" w:rsidRDefault="00096C4D" w:rsidP="00B034E4">
            <w:pPr>
              <w:pStyle w:val="TAC"/>
            </w:pPr>
          </w:p>
        </w:tc>
        <w:tc>
          <w:tcPr>
            <w:tcW w:w="1276" w:type="dxa"/>
            <w:tcBorders>
              <w:top w:val="nil"/>
              <w:bottom w:val="nil"/>
            </w:tcBorders>
            <w:shd w:val="clear" w:color="auto" w:fill="auto"/>
            <w:vAlign w:val="center"/>
          </w:tcPr>
          <w:p w14:paraId="6F28A6A4" w14:textId="77777777" w:rsidR="00096C4D" w:rsidRPr="009C5807" w:rsidRDefault="00096C4D" w:rsidP="00B034E4">
            <w:pPr>
              <w:pStyle w:val="TAC"/>
            </w:pPr>
          </w:p>
        </w:tc>
        <w:tc>
          <w:tcPr>
            <w:tcW w:w="2104" w:type="dxa"/>
            <w:shd w:val="clear" w:color="auto" w:fill="auto"/>
            <w:vAlign w:val="center"/>
          </w:tcPr>
          <w:p w14:paraId="058DC40A" w14:textId="77777777" w:rsidR="00096C4D" w:rsidRPr="009C5807" w:rsidRDefault="00096C4D" w:rsidP="00B034E4">
            <w:pPr>
              <w:pStyle w:val="TAC"/>
            </w:pPr>
            <w:r w:rsidRPr="009C5807">
              <w:t>NR_TDD_FR1_C</w:t>
            </w:r>
          </w:p>
        </w:tc>
        <w:tc>
          <w:tcPr>
            <w:tcW w:w="833" w:type="dxa"/>
            <w:shd w:val="clear" w:color="auto" w:fill="auto"/>
            <w:vAlign w:val="center"/>
          </w:tcPr>
          <w:p w14:paraId="2AA65AD2" w14:textId="34A51BC1" w:rsidR="00096C4D" w:rsidRPr="009C5807" w:rsidRDefault="00096C4D" w:rsidP="00B034E4">
            <w:pPr>
              <w:pStyle w:val="TAC"/>
            </w:pPr>
            <w:r w:rsidRPr="009C5807">
              <w:t>-119</w:t>
            </w:r>
          </w:p>
        </w:tc>
        <w:tc>
          <w:tcPr>
            <w:tcW w:w="833" w:type="dxa"/>
            <w:shd w:val="clear" w:color="auto" w:fill="auto"/>
            <w:vAlign w:val="center"/>
          </w:tcPr>
          <w:p w14:paraId="4AF7040E" w14:textId="3D267C14" w:rsidR="00096C4D" w:rsidRPr="009C5807" w:rsidRDefault="00096C4D" w:rsidP="00B034E4">
            <w:pPr>
              <w:pStyle w:val="TAC"/>
              <w:rPr>
                <w:lang w:val="sv-SE"/>
              </w:rPr>
            </w:pPr>
            <w:r w:rsidRPr="009C5807">
              <w:t>-116</w:t>
            </w:r>
          </w:p>
        </w:tc>
        <w:tc>
          <w:tcPr>
            <w:tcW w:w="833" w:type="dxa"/>
            <w:shd w:val="clear" w:color="auto" w:fill="auto"/>
            <w:vAlign w:val="center"/>
          </w:tcPr>
          <w:p w14:paraId="016357CB" w14:textId="0872D141" w:rsidR="00096C4D" w:rsidRPr="009C5807" w:rsidRDefault="00096C4D" w:rsidP="00B034E4">
            <w:pPr>
              <w:pStyle w:val="TAC"/>
              <w:rPr>
                <w:lang w:val="sv-SE"/>
              </w:rPr>
            </w:pPr>
            <w:r w:rsidRPr="009C5807">
              <w:rPr>
                <w:rFonts w:cs="Arial" w:hint="eastAsia"/>
                <w:lang w:val="sv-SE" w:eastAsia="ko-KR"/>
              </w:rPr>
              <w:t>-11</w:t>
            </w:r>
            <w:r w:rsidRPr="009C5807">
              <w:rPr>
                <w:rFonts w:cs="Arial"/>
                <w:lang w:val="sv-SE" w:eastAsia="ko-KR"/>
              </w:rPr>
              <w:t>3</w:t>
            </w:r>
          </w:p>
        </w:tc>
        <w:tc>
          <w:tcPr>
            <w:tcW w:w="1440" w:type="dxa"/>
            <w:shd w:val="clear" w:color="auto" w:fill="auto"/>
            <w:vAlign w:val="center"/>
          </w:tcPr>
          <w:p w14:paraId="5B2BBDE4" w14:textId="77777777" w:rsidR="00096C4D" w:rsidRPr="009C5807" w:rsidRDefault="00096C4D" w:rsidP="00B034E4">
            <w:pPr>
              <w:pStyle w:val="TAC"/>
            </w:pPr>
            <w:r w:rsidRPr="009C5807">
              <w:t>N/A</w:t>
            </w:r>
          </w:p>
        </w:tc>
        <w:tc>
          <w:tcPr>
            <w:tcW w:w="1440" w:type="dxa"/>
            <w:shd w:val="clear" w:color="auto" w:fill="auto"/>
            <w:vAlign w:val="center"/>
          </w:tcPr>
          <w:p w14:paraId="3820C80B" w14:textId="77777777" w:rsidR="00096C4D" w:rsidRPr="009C5807" w:rsidRDefault="00096C4D" w:rsidP="00B034E4">
            <w:pPr>
              <w:pStyle w:val="TAC"/>
            </w:pPr>
            <w:r w:rsidRPr="009C5807">
              <w:t>-70</w:t>
            </w:r>
          </w:p>
        </w:tc>
      </w:tr>
      <w:tr w:rsidR="00096C4D" w:rsidRPr="009C5807" w14:paraId="16636DE0" w14:textId="77777777" w:rsidTr="00B034E4">
        <w:trPr>
          <w:jc w:val="center"/>
        </w:trPr>
        <w:tc>
          <w:tcPr>
            <w:tcW w:w="1413" w:type="dxa"/>
            <w:tcBorders>
              <w:top w:val="nil"/>
              <w:bottom w:val="nil"/>
            </w:tcBorders>
            <w:shd w:val="clear" w:color="auto" w:fill="auto"/>
            <w:vAlign w:val="center"/>
          </w:tcPr>
          <w:p w14:paraId="13D28CDD" w14:textId="77777777" w:rsidR="00096C4D" w:rsidRPr="009C5807" w:rsidRDefault="00096C4D" w:rsidP="00B034E4">
            <w:pPr>
              <w:pStyle w:val="TAC"/>
            </w:pPr>
          </w:p>
        </w:tc>
        <w:tc>
          <w:tcPr>
            <w:tcW w:w="1276" w:type="dxa"/>
            <w:tcBorders>
              <w:top w:val="nil"/>
              <w:bottom w:val="nil"/>
            </w:tcBorders>
            <w:shd w:val="clear" w:color="auto" w:fill="auto"/>
            <w:vAlign w:val="center"/>
          </w:tcPr>
          <w:p w14:paraId="0F72C897" w14:textId="77777777" w:rsidR="00096C4D" w:rsidRPr="009C5807" w:rsidRDefault="00096C4D" w:rsidP="00B034E4">
            <w:pPr>
              <w:pStyle w:val="TAC"/>
            </w:pPr>
          </w:p>
        </w:tc>
        <w:tc>
          <w:tcPr>
            <w:tcW w:w="2104" w:type="dxa"/>
            <w:shd w:val="clear" w:color="auto" w:fill="auto"/>
            <w:vAlign w:val="center"/>
          </w:tcPr>
          <w:p w14:paraId="4185F537" w14:textId="77777777" w:rsidR="00096C4D" w:rsidRPr="009C5807" w:rsidRDefault="00096C4D" w:rsidP="00B034E4">
            <w:pPr>
              <w:pStyle w:val="TAC"/>
              <w:rPr>
                <w:lang w:val="sv-SE"/>
              </w:rPr>
            </w:pPr>
            <w:r w:rsidRPr="009C5807">
              <w:rPr>
                <w:lang w:val="sv-SE"/>
              </w:rPr>
              <w:t>NR_TDD_FR1_D</w:t>
            </w:r>
          </w:p>
        </w:tc>
        <w:tc>
          <w:tcPr>
            <w:tcW w:w="833" w:type="dxa"/>
            <w:shd w:val="clear" w:color="auto" w:fill="auto"/>
            <w:vAlign w:val="center"/>
          </w:tcPr>
          <w:p w14:paraId="4B1D06D6" w14:textId="37D250C1" w:rsidR="00096C4D" w:rsidRPr="009C5807" w:rsidDel="00FA4A82" w:rsidRDefault="00096C4D" w:rsidP="00B034E4">
            <w:pPr>
              <w:pStyle w:val="TAC"/>
            </w:pPr>
            <w:r w:rsidRPr="009C5807">
              <w:t>-118.5</w:t>
            </w:r>
          </w:p>
        </w:tc>
        <w:tc>
          <w:tcPr>
            <w:tcW w:w="833" w:type="dxa"/>
            <w:shd w:val="clear" w:color="auto" w:fill="auto"/>
            <w:vAlign w:val="center"/>
          </w:tcPr>
          <w:p w14:paraId="339C2100" w14:textId="1A70C10D" w:rsidR="00096C4D" w:rsidRPr="009C5807" w:rsidDel="00FA4A82" w:rsidRDefault="00096C4D" w:rsidP="00B034E4">
            <w:pPr>
              <w:pStyle w:val="TAC"/>
            </w:pPr>
            <w:r w:rsidRPr="009C5807">
              <w:t>-115.5</w:t>
            </w:r>
          </w:p>
        </w:tc>
        <w:tc>
          <w:tcPr>
            <w:tcW w:w="833" w:type="dxa"/>
            <w:shd w:val="clear" w:color="auto" w:fill="auto"/>
            <w:vAlign w:val="center"/>
          </w:tcPr>
          <w:p w14:paraId="07AACE00" w14:textId="72AAC764" w:rsidR="00096C4D" w:rsidRPr="009C5807" w:rsidDel="00FA4A82" w:rsidRDefault="00096C4D" w:rsidP="00B034E4">
            <w:pPr>
              <w:pStyle w:val="TAC"/>
            </w:pPr>
            <w:r w:rsidRPr="009C5807">
              <w:rPr>
                <w:rFonts w:cs="Arial" w:hint="eastAsia"/>
                <w:lang w:val="sv-SE" w:eastAsia="ko-KR"/>
              </w:rPr>
              <w:t>-11</w:t>
            </w:r>
            <w:r w:rsidRPr="009C5807">
              <w:rPr>
                <w:rFonts w:cs="Arial"/>
                <w:lang w:val="sv-SE" w:eastAsia="ko-KR"/>
              </w:rPr>
              <w:t>2</w:t>
            </w:r>
            <w:r w:rsidRPr="009C5807">
              <w:rPr>
                <w:rFonts w:cs="Arial" w:hint="eastAsia"/>
                <w:lang w:val="sv-SE" w:eastAsia="ko-KR"/>
              </w:rPr>
              <w:t>.5</w:t>
            </w:r>
          </w:p>
        </w:tc>
        <w:tc>
          <w:tcPr>
            <w:tcW w:w="1440" w:type="dxa"/>
            <w:shd w:val="clear" w:color="auto" w:fill="auto"/>
            <w:vAlign w:val="center"/>
          </w:tcPr>
          <w:p w14:paraId="3EAD970A" w14:textId="77777777" w:rsidR="00096C4D" w:rsidRPr="009C5807" w:rsidRDefault="00096C4D" w:rsidP="00B034E4">
            <w:pPr>
              <w:pStyle w:val="TAC"/>
            </w:pPr>
            <w:r w:rsidRPr="009C5807">
              <w:t>N/A</w:t>
            </w:r>
          </w:p>
        </w:tc>
        <w:tc>
          <w:tcPr>
            <w:tcW w:w="1440" w:type="dxa"/>
            <w:shd w:val="clear" w:color="auto" w:fill="auto"/>
            <w:vAlign w:val="center"/>
          </w:tcPr>
          <w:p w14:paraId="24882796" w14:textId="77777777" w:rsidR="00096C4D" w:rsidRPr="009C5807" w:rsidRDefault="00096C4D" w:rsidP="00B034E4">
            <w:pPr>
              <w:pStyle w:val="TAC"/>
            </w:pPr>
            <w:r w:rsidRPr="009C5807">
              <w:t>-70</w:t>
            </w:r>
          </w:p>
        </w:tc>
      </w:tr>
      <w:tr w:rsidR="00096C4D" w:rsidRPr="009C5807" w14:paraId="0335DD5B" w14:textId="77777777" w:rsidTr="00B034E4">
        <w:trPr>
          <w:jc w:val="center"/>
        </w:trPr>
        <w:tc>
          <w:tcPr>
            <w:tcW w:w="1413" w:type="dxa"/>
            <w:tcBorders>
              <w:top w:val="nil"/>
            </w:tcBorders>
            <w:shd w:val="clear" w:color="auto" w:fill="auto"/>
            <w:vAlign w:val="center"/>
          </w:tcPr>
          <w:p w14:paraId="7F7AEFAE" w14:textId="77777777" w:rsidR="00096C4D" w:rsidRPr="009C5807" w:rsidRDefault="00096C4D" w:rsidP="00B034E4">
            <w:pPr>
              <w:pStyle w:val="TAC"/>
            </w:pPr>
          </w:p>
        </w:tc>
        <w:tc>
          <w:tcPr>
            <w:tcW w:w="1276" w:type="dxa"/>
            <w:tcBorders>
              <w:top w:val="nil"/>
            </w:tcBorders>
            <w:shd w:val="clear" w:color="auto" w:fill="auto"/>
            <w:vAlign w:val="center"/>
          </w:tcPr>
          <w:p w14:paraId="2A49E717" w14:textId="77777777" w:rsidR="00096C4D" w:rsidRPr="009C5807" w:rsidRDefault="00096C4D" w:rsidP="00B034E4">
            <w:pPr>
              <w:pStyle w:val="TAC"/>
            </w:pPr>
          </w:p>
        </w:tc>
        <w:tc>
          <w:tcPr>
            <w:tcW w:w="2104" w:type="dxa"/>
            <w:shd w:val="clear" w:color="auto" w:fill="auto"/>
            <w:vAlign w:val="center"/>
          </w:tcPr>
          <w:p w14:paraId="70332103" w14:textId="77777777" w:rsidR="00096C4D" w:rsidRPr="009C5807" w:rsidDel="00836998" w:rsidRDefault="00096C4D" w:rsidP="00B034E4">
            <w:pPr>
              <w:pStyle w:val="TAC"/>
              <w:rPr>
                <w:lang w:val="sv-SE"/>
              </w:rPr>
            </w:pPr>
            <w:r w:rsidRPr="009C5807">
              <w:rPr>
                <w:lang w:val="sv-SE"/>
              </w:rPr>
              <w:t>NR_TDD_FR1_E</w:t>
            </w:r>
          </w:p>
        </w:tc>
        <w:tc>
          <w:tcPr>
            <w:tcW w:w="833" w:type="dxa"/>
            <w:shd w:val="clear" w:color="auto" w:fill="auto"/>
            <w:vAlign w:val="center"/>
          </w:tcPr>
          <w:p w14:paraId="7486711D" w14:textId="1CB045F6" w:rsidR="00096C4D" w:rsidRPr="009C5807" w:rsidRDefault="00096C4D" w:rsidP="00B034E4">
            <w:pPr>
              <w:pStyle w:val="TAC"/>
            </w:pPr>
            <w:r w:rsidRPr="009C5807">
              <w:t>-118</w:t>
            </w:r>
          </w:p>
        </w:tc>
        <w:tc>
          <w:tcPr>
            <w:tcW w:w="833" w:type="dxa"/>
            <w:shd w:val="clear" w:color="auto" w:fill="auto"/>
            <w:vAlign w:val="center"/>
          </w:tcPr>
          <w:p w14:paraId="64AE5DA5" w14:textId="3178A0F2" w:rsidR="00096C4D" w:rsidRPr="009C5807" w:rsidRDefault="00096C4D" w:rsidP="00B034E4">
            <w:pPr>
              <w:pStyle w:val="TAC"/>
              <w:rPr>
                <w:lang w:val="sv-SE"/>
              </w:rPr>
            </w:pPr>
            <w:r w:rsidRPr="009C5807">
              <w:t>-115</w:t>
            </w:r>
          </w:p>
        </w:tc>
        <w:tc>
          <w:tcPr>
            <w:tcW w:w="833" w:type="dxa"/>
            <w:shd w:val="clear" w:color="auto" w:fill="auto"/>
            <w:vAlign w:val="center"/>
          </w:tcPr>
          <w:p w14:paraId="104B6361" w14:textId="7BC32EB0" w:rsidR="00096C4D" w:rsidRPr="009C5807" w:rsidRDefault="00096C4D" w:rsidP="00B034E4">
            <w:pPr>
              <w:pStyle w:val="TAC"/>
              <w:rPr>
                <w:lang w:val="sv-SE"/>
              </w:rPr>
            </w:pPr>
            <w:r w:rsidRPr="009C5807">
              <w:rPr>
                <w:rFonts w:cs="Arial" w:hint="eastAsia"/>
                <w:lang w:eastAsia="ko-KR"/>
              </w:rPr>
              <w:t>-11</w:t>
            </w:r>
            <w:r w:rsidRPr="009C5807">
              <w:rPr>
                <w:rFonts w:cs="Arial"/>
                <w:lang w:eastAsia="ko-KR"/>
              </w:rPr>
              <w:t>2</w:t>
            </w:r>
          </w:p>
        </w:tc>
        <w:tc>
          <w:tcPr>
            <w:tcW w:w="1440" w:type="dxa"/>
            <w:shd w:val="clear" w:color="auto" w:fill="auto"/>
            <w:vAlign w:val="center"/>
          </w:tcPr>
          <w:p w14:paraId="37302AF3" w14:textId="77777777" w:rsidR="00096C4D" w:rsidRPr="009C5807" w:rsidRDefault="00096C4D" w:rsidP="00B034E4">
            <w:pPr>
              <w:pStyle w:val="TAC"/>
            </w:pPr>
            <w:r w:rsidRPr="009C5807">
              <w:t>N/A</w:t>
            </w:r>
          </w:p>
        </w:tc>
        <w:tc>
          <w:tcPr>
            <w:tcW w:w="1440" w:type="dxa"/>
            <w:shd w:val="clear" w:color="auto" w:fill="auto"/>
            <w:vAlign w:val="center"/>
          </w:tcPr>
          <w:p w14:paraId="4DEC7448" w14:textId="77777777" w:rsidR="00096C4D" w:rsidRPr="009C5807" w:rsidRDefault="00096C4D" w:rsidP="00B034E4">
            <w:pPr>
              <w:pStyle w:val="TAC"/>
            </w:pPr>
            <w:r w:rsidRPr="009C5807">
              <w:t>-70</w:t>
            </w:r>
          </w:p>
        </w:tc>
      </w:tr>
      <w:tr w:rsidR="00096C4D" w:rsidRPr="009C5807" w14:paraId="11EA771A" w14:textId="77777777" w:rsidTr="00566CFE">
        <w:trPr>
          <w:jc w:val="center"/>
        </w:trPr>
        <w:tc>
          <w:tcPr>
            <w:tcW w:w="1413" w:type="dxa"/>
            <w:shd w:val="clear" w:color="auto" w:fill="auto"/>
            <w:vAlign w:val="center"/>
          </w:tcPr>
          <w:p w14:paraId="44798E73" w14:textId="1AC8DFF8" w:rsidR="00096C4D" w:rsidRPr="009C5807" w:rsidRDefault="00096C4D" w:rsidP="00B034E4">
            <w:pPr>
              <w:pStyle w:val="TAC"/>
            </w:pPr>
            <w:r w:rsidRPr="009C5807">
              <w:sym w:font="Symbol" w:char="F0B1"/>
            </w:r>
            <w:r w:rsidRPr="009C5807">
              <w:t>5.5</w:t>
            </w:r>
          </w:p>
        </w:tc>
        <w:tc>
          <w:tcPr>
            <w:tcW w:w="1276" w:type="dxa"/>
            <w:shd w:val="clear" w:color="auto" w:fill="auto"/>
            <w:vAlign w:val="center"/>
          </w:tcPr>
          <w:p w14:paraId="065AB9EF" w14:textId="1AAF9876" w:rsidR="00096C4D" w:rsidRPr="009C5807" w:rsidRDefault="00096C4D" w:rsidP="00B034E4">
            <w:pPr>
              <w:pStyle w:val="TAC"/>
            </w:pPr>
            <w:r w:rsidRPr="009C5807">
              <w:sym w:font="Symbol" w:char="F0B1"/>
            </w:r>
            <w:r w:rsidRPr="009C5807">
              <w:t>8.5</w:t>
            </w:r>
          </w:p>
        </w:tc>
        <w:tc>
          <w:tcPr>
            <w:tcW w:w="2104" w:type="dxa"/>
            <w:shd w:val="clear" w:color="auto" w:fill="auto"/>
            <w:vAlign w:val="center"/>
          </w:tcPr>
          <w:p w14:paraId="619BBC5F" w14:textId="77777777" w:rsidR="00096C4D" w:rsidRPr="009C5807" w:rsidRDefault="00096C4D" w:rsidP="00B034E4">
            <w:pPr>
              <w:pStyle w:val="TAC"/>
              <w:rPr>
                <w:lang w:val="sv-SE"/>
              </w:rPr>
            </w:pPr>
            <w:r w:rsidRPr="009C5807">
              <w:rPr>
                <w:lang w:val="sv-SE"/>
              </w:rPr>
              <w:t>Note 3</w:t>
            </w:r>
          </w:p>
        </w:tc>
        <w:tc>
          <w:tcPr>
            <w:tcW w:w="833" w:type="dxa"/>
            <w:shd w:val="clear" w:color="auto" w:fill="auto"/>
            <w:vAlign w:val="center"/>
          </w:tcPr>
          <w:p w14:paraId="2E966B58" w14:textId="77777777" w:rsidR="00096C4D" w:rsidRPr="009C5807" w:rsidRDefault="00096C4D" w:rsidP="00B034E4">
            <w:pPr>
              <w:pStyle w:val="TAC"/>
            </w:pPr>
            <w:r w:rsidRPr="009C5807">
              <w:rPr>
                <w:lang w:val="sv-SE"/>
              </w:rPr>
              <w:t>Note 3</w:t>
            </w:r>
          </w:p>
        </w:tc>
        <w:tc>
          <w:tcPr>
            <w:tcW w:w="833" w:type="dxa"/>
            <w:shd w:val="clear" w:color="auto" w:fill="auto"/>
            <w:vAlign w:val="center"/>
          </w:tcPr>
          <w:p w14:paraId="5BA0D8D9" w14:textId="77777777" w:rsidR="00096C4D" w:rsidRPr="009C5807" w:rsidRDefault="00096C4D" w:rsidP="00B034E4">
            <w:pPr>
              <w:pStyle w:val="TAC"/>
            </w:pPr>
            <w:r w:rsidRPr="009C5807">
              <w:rPr>
                <w:lang w:val="sv-SE"/>
              </w:rPr>
              <w:t>Note 3</w:t>
            </w:r>
          </w:p>
        </w:tc>
        <w:tc>
          <w:tcPr>
            <w:tcW w:w="833" w:type="dxa"/>
            <w:shd w:val="clear" w:color="auto" w:fill="auto"/>
            <w:vAlign w:val="center"/>
          </w:tcPr>
          <w:p w14:paraId="44ABDA6B" w14:textId="77777777" w:rsidR="00096C4D" w:rsidRPr="009C5807" w:rsidRDefault="00096C4D" w:rsidP="00B034E4">
            <w:pPr>
              <w:pStyle w:val="TAC"/>
            </w:pPr>
            <w:r w:rsidRPr="009C5807">
              <w:rPr>
                <w:lang w:val="sv-SE"/>
              </w:rPr>
              <w:t>Note 3</w:t>
            </w:r>
          </w:p>
        </w:tc>
        <w:tc>
          <w:tcPr>
            <w:tcW w:w="1440" w:type="dxa"/>
            <w:shd w:val="clear" w:color="auto" w:fill="auto"/>
            <w:vAlign w:val="center"/>
          </w:tcPr>
          <w:p w14:paraId="0FE70FB1" w14:textId="77777777" w:rsidR="00096C4D" w:rsidRPr="009C5807" w:rsidRDefault="00096C4D" w:rsidP="00B034E4">
            <w:pPr>
              <w:pStyle w:val="TAC"/>
              <w:rPr>
                <w:lang w:eastAsia="zh-CN"/>
              </w:rPr>
            </w:pPr>
            <w:r w:rsidRPr="009C5807">
              <w:rPr>
                <w:rFonts w:hint="eastAsia"/>
                <w:lang w:eastAsia="zh-CN"/>
              </w:rPr>
              <w:t>-</w:t>
            </w:r>
            <w:r w:rsidRPr="009C5807">
              <w:rPr>
                <w:lang w:eastAsia="zh-CN"/>
              </w:rPr>
              <w:t>70</w:t>
            </w:r>
          </w:p>
        </w:tc>
        <w:tc>
          <w:tcPr>
            <w:tcW w:w="1440" w:type="dxa"/>
            <w:shd w:val="clear" w:color="auto" w:fill="auto"/>
            <w:vAlign w:val="center"/>
          </w:tcPr>
          <w:p w14:paraId="2E51C475" w14:textId="77777777" w:rsidR="00096C4D" w:rsidRPr="009C5807" w:rsidRDefault="00096C4D" w:rsidP="00B034E4">
            <w:pPr>
              <w:pStyle w:val="TAC"/>
              <w:rPr>
                <w:lang w:eastAsia="zh-CN"/>
              </w:rPr>
            </w:pPr>
            <w:r w:rsidRPr="009C5807">
              <w:rPr>
                <w:rFonts w:hint="eastAsia"/>
                <w:lang w:eastAsia="zh-CN"/>
              </w:rPr>
              <w:t>-</w:t>
            </w:r>
            <w:r w:rsidRPr="009C5807">
              <w:rPr>
                <w:lang w:eastAsia="zh-CN"/>
              </w:rPr>
              <w:t>50</w:t>
            </w:r>
          </w:p>
        </w:tc>
      </w:tr>
      <w:tr w:rsidR="006851AE" w:rsidRPr="009C5807" w14:paraId="0E57A3AC" w14:textId="77777777" w:rsidTr="00566CFE">
        <w:trPr>
          <w:jc w:val="center"/>
        </w:trPr>
        <w:tc>
          <w:tcPr>
            <w:tcW w:w="10172" w:type="dxa"/>
            <w:gridSpan w:val="8"/>
            <w:shd w:val="clear" w:color="auto" w:fill="auto"/>
            <w:vAlign w:val="center"/>
          </w:tcPr>
          <w:p w14:paraId="6AE7D591" w14:textId="77777777" w:rsidR="006851AE" w:rsidRPr="009C5807" w:rsidRDefault="006851AE" w:rsidP="00B034E4">
            <w:pPr>
              <w:pStyle w:val="TAN"/>
            </w:pPr>
            <w:r w:rsidRPr="009C5807">
              <w:t>NOTE 1:</w:t>
            </w:r>
            <w:r w:rsidRPr="009C5807">
              <w:tab/>
              <w:t>Io is assumed to have constant EPRE across the bandwidth.</w:t>
            </w:r>
          </w:p>
          <w:p w14:paraId="5AF9138F" w14:textId="77777777" w:rsidR="006851AE" w:rsidRPr="009C5807" w:rsidRDefault="006851AE" w:rsidP="00B034E4">
            <w:pPr>
              <w:pStyle w:val="TAN"/>
            </w:pPr>
            <w:r w:rsidRPr="009C5807">
              <w:t>NOTE 2:</w:t>
            </w:r>
            <w:r w:rsidRPr="009C5807">
              <w:tab/>
              <w:t>NR operating band groups in FR1 are as defined in clause 3.5.2.</w:t>
            </w:r>
          </w:p>
          <w:p w14:paraId="207046C4" w14:textId="0F03BE68" w:rsidR="006851AE" w:rsidRPr="009C5807" w:rsidRDefault="006851AE" w:rsidP="00B034E4">
            <w:pPr>
              <w:pStyle w:val="TAN"/>
            </w:pPr>
            <w:r w:rsidRPr="009C5807">
              <w:t>NOTE 3:</w:t>
            </w:r>
            <w:r w:rsidR="00A21E2B">
              <w:tab/>
            </w:r>
            <w:r w:rsidRPr="009C5807">
              <w:t>The same bands and the same Io conditions for each band apply for this requirement as for the corresponding highest accuracy requirement.</w:t>
            </w:r>
          </w:p>
        </w:tc>
      </w:tr>
    </w:tbl>
    <w:p w14:paraId="532EC87D" w14:textId="77777777" w:rsidR="006851AE" w:rsidRPr="009C5807" w:rsidRDefault="006851AE" w:rsidP="006851AE"/>
    <w:p w14:paraId="4A74A7D6" w14:textId="3C5F693A" w:rsidR="006851AE" w:rsidRPr="009C5807" w:rsidRDefault="006851AE" w:rsidP="00096C4D">
      <w:pPr>
        <w:pStyle w:val="TH"/>
      </w:pPr>
      <w:r w:rsidRPr="009C5807">
        <w:t>Table 10.1.22.2.1-2: CLI-RSSI absolute accuracy in FR2</w:t>
      </w:r>
    </w:p>
    <w:tbl>
      <w:tblPr>
        <w:tblW w:w="8720" w:type="dxa"/>
        <w:jc w:val="center"/>
        <w:tblLook w:val="01E0" w:firstRow="1" w:lastRow="1" w:firstColumn="1" w:lastColumn="1" w:noHBand="0" w:noVBand="0"/>
      </w:tblPr>
      <w:tblGrid>
        <w:gridCol w:w="1111"/>
        <w:gridCol w:w="1110"/>
        <w:gridCol w:w="1602"/>
        <w:gridCol w:w="1740"/>
        <w:gridCol w:w="1578"/>
        <w:gridCol w:w="1579"/>
      </w:tblGrid>
      <w:tr w:rsidR="006851AE" w:rsidRPr="009C5807" w14:paraId="055AAD07" w14:textId="77777777" w:rsidTr="00566CFE">
        <w:trPr>
          <w:jc w:val="center"/>
        </w:trPr>
        <w:tc>
          <w:tcPr>
            <w:tcW w:w="2221" w:type="dxa"/>
            <w:gridSpan w:val="2"/>
            <w:tcBorders>
              <w:top w:val="single" w:sz="6" w:space="0" w:color="auto"/>
              <w:left w:val="single" w:sz="4" w:space="0" w:color="auto"/>
              <w:bottom w:val="nil"/>
              <w:right w:val="single" w:sz="6" w:space="0" w:color="auto"/>
            </w:tcBorders>
            <w:vAlign w:val="center"/>
            <w:hideMark/>
          </w:tcPr>
          <w:p w14:paraId="7857A9C2" w14:textId="77777777" w:rsidR="006851AE" w:rsidRPr="009C5807" w:rsidRDefault="006851AE" w:rsidP="00B034E4">
            <w:pPr>
              <w:pStyle w:val="TAH"/>
            </w:pPr>
            <w:r w:rsidRPr="009C5807">
              <w:t>Accuracy</w:t>
            </w:r>
          </w:p>
        </w:tc>
        <w:tc>
          <w:tcPr>
            <w:tcW w:w="6499" w:type="dxa"/>
            <w:gridSpan w:val="4"/>
            <w:tcBorders>
              <w:top w:val="single" w:sz="4" w:space="0" w:color="auto"/>
              <w:left w:val="single" w:sz="4" w:space="0" w:color="auto"/>
              <w:bottom w:val="nil"/>
              <w:right w:val="single" w:sz="4" w:space="0" w:color="auto"/>
            </w:tcBorders>
            <w:vAlign w:val="center"/>
            <w:hideMark/>
          </w:tcPr>
          <w:p w14:paraId="561882B1" w14:textId="77777777" w:rsidR="006851AE" w:rsidRPr="009C5807" w:rsidRDefault="006851AE" w:rsidP="00B034E4">
            <w:pPr>
              <w:pStyle w:val="TAH"/>
            </w:pPr>
            <w:r w:rsidRPr="009C5807">
              <w:t>Conditions</w:t>
            </w:r>
          </w:p>
        </w:tc>
      </w:tr>
      <w:tr w:rsidR="006851AE" w:rsidRPr="009C5807" w14:paraId="3024BA14" w14:textId="77777777" w:rsidTr="00B034E4">
        <w:trPr>
          <w:jc w:val="center"/>
        </w:trPr>
        <w:tc>
          <w:tcPr>
            <w:tcW w:w="1111" w:type="dxa"/>
            <w:tcBorders>
              <w:top w:val="single" w:sz="6" w:space="0" w:color="auto"/>
              <w:left w:val="single" w:sz="4" w:space="0" w:color="auto"/>
              <w:right w:val="single" w:sz="6" w:space="0" w:color="auto"/>
            </w:tcBorders>
            <w:vAlign w:val="center"/>
            <w:hideMark/>
          </w:tcPr>
          <w:p w14:paraId="02AC882A" w14:textId="77777777" w:rsidR="006851AE" w:rsidRPr="009C5807" w:rsidRDefault="006851AE" w:rsidP="00B034E4">
            <w:pPr>
              <w:pStyle w:val="TAH"/>
            </w:pPr>
            <w:r w:rsidRPr="009C5807">
              <w:t>Normal condition</w:t>
            </w:r>
          </w:p>
        </w:tc>
        <w:tc>
          <w:tcPr>
            <w:tcW w:w="1110" w:type="dxa"/>
            <w:tcBorders>
              <w:top w:val="single" w:sz="6" w:space="0" w:color="auto"/>
              <w:left w:val="single" w:sz="6" w:space="0" w:color="auto"/>
              <w:right w:val="single" w:sz="4" w:space="0" w:color="auto"/>
            </w:tcBorders>
            <w:vAlign w:val="center"/>
            <w:hideMark/>
          </w:tcPr>
          <w:p w14:paraId="2FF06396" w14:textId="77777777" w:rsidR="006851AE" w:rsidRPr="009C5807" w:rsidRDefault="006851AE" w:rsidP="00B034E4">
            <w:pPr>
              <w:pStyle w:val="TAH"/>
            </w:pPr>
            <w:r w:rsidRPr="009C5807">
              <w:t>Extreme condition</w:t>
            </w:r>
          </w:p>
        </w:tc>
        <w:tc>
          <w:tcPr>
            <w:tcW w:w="6499" w:type="dxa"/>
            <w:gridSpan w:val="4"/>
            <w:tcBorders>
              <w:top w:val="single" w:sz="4" w:space="0" w:color="auto"/>
              <w:left w:val="single" w:sz="4" w:space="0" w:color="auto"/>
              <w:bottom w:val="single" w:sz="6" w:space="0" w:color="auto"/>
              <w:right w:val="single" w:sz="4" w:space="0" w:color="auto"/>
            </w:tcBorders>
            <w:vAlign w:val="center"/>
            <w:hideMark/>
          </w:tcPr>
          <w:p w14:paraId="34295167" w14:textId="77777777" w:rsidR="006851AE" w:rsidRPr="009C5807" w:rsidRDefault="006851AE" w:rsidP="00B034E4">
            <w:pPr>
              <w:pStyle w:val="TAH"/>
            </w:pPr>
            <w:r w:rsidRPr="009C5807">
              <w:t>Io</w:t>
            </w:r>
            <w:r w:rsidRPr="009C5807">
              <w:rPr>
                <w:vertAlign w:val="superscript"/>
              </w:rPr>
              <w:t xml:space="preserve"> Note 1</w:t>
            </w:r>
            <w:r w:rsidRPr="009C5807">
              <w:t xml:space="preserve"> range</w:t>
            </w:r>
          </w:p>
        </w:tc>
      </w:tr>
      <w:tr w:rsidR="006851AE" w:rsidRPr="009C5807" w14:paraId="746F5C47" w14:textId="77777777" w:rsidTr="00B034E4">
        <w:trPr>
          <w:jc w:val="center"/>
        </w:trPr>
        <w:tc>
          <w:tcPr>
            <w:tcW w:w="0" w:type="auto"/>
            <w:tcBorders>
              <w:left w:val="single" w:sz="4" w:space="0" w:color="auto"/>
              <w:bottom w:val="single" w:sz="6" w:space="0" w:color="auto"/>
              <w:right w:val="single" w:sz="6" w:space="0" w:color="auto"/>
            </w:tcBorders>
            <w:vAlign w:val="center"/>
            <w:hideMark/>
          </w:tcPr>
          <w:p w14:paraId="0C036D0E" w14:textId="77777777" w:rsidR="006851AE" w:rsidRPr="009C5807" w:rsidRDefault="006851AE" w:rsidP="00B034E4">
            <w:pPr>
              <w:pStyle w:val="TAH"/>
            </w:pPr>
          </w:p>
        </w:tc>
        <w:tc>
          <w:tcPr>
            <w:tcW w:w="1110" w:type="dxa"/>
            <w:tcBorders>
              <w:left w:val="single" w:sz="6" w:space="0" w:color="auto"/>
              <w:bottom w:val="single" w:sz="6" w:space="0" w:color="auto"/>
              <w:right w:val="single" w:sz="4" w:space="0" w:color="auto"/>
            </w:tcBorders>
            <w:vAlign w:val="center"/>
            <w:hideMark/>
          </w:tcPr>
          <w:p w14:paraId="7A7B791D" w14:textId="77777777" w:rsidR="006851AE" w:rsidRPr="009C5807" w:rsidRDefault="006851AE" w:rsidP="00B034E4">
            <w:pPr>
              <w:pStyle w:val="TAH"/>
            </w:pPr>
          </w:p>
        </w:tc>
        <w:tc>
          <w:tcPr>
            <w:tcW w:w="4920" w:type="dxa"/>
            <w:gridSpan w:val="3"/>
            <w:tcBorders>
              <w:top w:val="single" w:sz="4" w:space="0" w:color="auto"/>
              <w:left w:val="single" w:sz="4" w:space="0" w:color="auto"/>
              <w:bottom w:val="single" w:sz="6" w:space="0" w:color="auto"/>
              <w:right w:val="single" w:sz="6" w:space="0" w:color="auto"/>
            </w:tcBorders>
            <w:vAlign w:val="center"/>
            <w:hideMark/>
          </w:tcPr>
          <w:p w14:paraId="6DE2553A" w14:textId="77777777" w:rsidR="006851AE" w:rsidRPr="009C5807" w:rsidRDefault="006851AE" w:rsidP="00B034E4">
            <w:pPr>
              <w:pStyle w:val="TAH"/>
            </w:pPr>
            <w:r w:rsidRPr="009C5807">
              <w:t>Minimum Io</w:t>
            </w:r>
          </w:p>
        </w:tc>
        <w:tc>
          <w:tcPr>
            <w:tcW w:w="1579" w:type="dxa"/>
            <w:tcBorders>
              <w:top w:val="single" w:sz="4" w:space="0" w:color="auto"/>
              <w:left w:val="single" w:sz="6" w:space="0" w:color="auto"/>
              <w:bottom w:val="single" w:sz="6" w:space="0" w:color="auto"/>
              <w:right w:val="single" w:sz="4" w:space="0" w:color="auto"/>
            </w:tcBorders>
            <w:vAlign w:val="center"/>
            <w:hideMark/>
          </w:tcPr>
          <w:p w14:paraId="1EEC907A" w14:textId="77777777" w:rsidR="006851AE" w:rsidRPr="009C5807" w:rsidRDefault="006851AE" w:rsidP="00B034E4">
            <w:pPr>
              <w:pStyle w:val="TAH"/>
            </w:pPr>
            <w:r w:rsidRPr="009C5807">
              <w:t>Maximum Io</w:t>
            </w:r>
          </w:p>
        </w:tc>
      </w:tr>
      <w:tr w:rsidR="006851AE" w:rsidRPr="009C5807" w14:paraId="3FAC0FD5" w14:textId="77777777" w:rsidTr="00B034E4">
        <w:trPr>
          <w:jc w:val="center"/>
        </w:trPr>
        <w:tc>
          <w:tcPr>
            <w:tcW w:w="1111" w:type="dxa"/>
            <w:tcBorders>
              <w:top w:val="single" w:sz="6" w:space="0" w:color="auto"/>
              <w:left w:val="single" w:sz="4" w:space="0" w:color="auto"/>
              <w:right w:val="single" w:sz="6" w:space="0" w:color="auto"/>
            </w:tcBorders>
            <w:vAlign w:val="center"/>
            <w:hideMark/>
          </w:tcPr>
          <w:p w14:paraId="6F340654" w14:textId="77777777" w:rsidR="006851AE" w:rsidRPr="009C5807" w:rsidRDefault="006851AE" w:rsidP="00B034E4">
            <w:pPr>
              <w:pStyle w:val="TAH"/>
            </w:pPr>
            <w:r w:rsidRPr="009C5807">
              <w:t>dB</w:t>
            </w:r>
          </w:p>
        </w:tc>
        <w:tc>
          <w:tcPr>
            <w:tcW w:w="1110" w:type="dxa"/>
            <w:tcBorders>
              <w:top w:val="single" w:sz="6" w:space="0" w:color="auto"/>
              <w:left w:val="single" w:sz="6" w:space="0" w:color="auto"/>
              <w:right w:val="single" w:sz="4" w:space="0" w:color="auto"/>
            </w:tcBorders>
            <w:vAlign w:val="center"/>
            <w:hideMark/>
          </w:tcPr>
          <w:p w14:paraId="39E3AC24" w14:textId="77777777" w:rsidR="006851AE" w:rsidRPr="009C5807" w:rsidRDefault="006851AE" w:rsidP="00B034E4">
            <w:pPr>
              <w:pStyle w:val="TAH"/>
              <w:rPr>
                <w:rFonts w:cs="Arial"/>
              </w:rPr>
            </w:pPr>
            <w:r w:rsidRPr="009C5807">
              <w:t>dB</w:t>
            </w:r>
          </w:p>
        </w:tc>
        <w:tc>
          <w:tcPr>
            <w:tcW w:w="3342" w:type="dxa"/>
            <w:gridSpan w:val="2"/>
            <w:tcBorders>
              <w:top w:val="single" w:sz="6" w:space="0" w:color="auto"/>
              <w:left w:val="single" w:sz="4" w:space="0" w:color="auto"/>
              <w:bottom w:val="single" w:sz="6" w:space="0" w:color="auto"/>
              <w:right w:val="single" w:sz="6" w:space="0" w:color="auto"/>
            </w:tcBorders>
            <w:vAlign w:val="center"/>
            <w:hideMark/>
          </w:tcPr>
          <w:p w14:paraId="6E4FC302" w14:textId="77777777" w:rsidR="006851AE" w:rsidRPr="009C5807" w:rsidRDefault="006851AE" w:rsidP="00B034E4">
            <w:pPr>
              <w:pStyle w:val="TAH"/>
            </w:pPr>
            <w:r w:rsidRPr="009C5807">
              <w:rPr>
                <w:rFonts w:cs="Arial"/>
              </w:rPr>
              <w:t xml:space="preserve">dBm / </w:t>
            </w:r>
            <w:r w:rsidRPr="009C5807">
              <w:t>SCS</w:t>
            </w:r>
            <w:r w:rsidRPr="009C5807">
              <w:rPr>
                <w:vertAlign w:val="subscript"/>
              </w:rPr>
              <w:t>SRS</w:t>
            </w:r>
            <w:r w:rsidRPr="009C5807">
              <w:rPr>
                <w:vertAlign w:val="superscript"/>
              </w:rPr>
              <w:t xml:space="preserve"> Note 2</w:t>
            </w:r>
          </w:p>
        </w:tc>
        <w:tc>
          <w:tcPr>
            <w:tcW w:w="1578" w:type="dxa"/>
            <w:tcBorders>
              <w:top w:val="single" w:sz="6" w:space="0" w:color="auto"/>
              <w:left w:val="single" w:sz="6" w:space="0" w:color="auto"/>
              <w:right w:val="single" w:sz="6" w:space="0" w:color="auto"/>
            </w:tcBorders>
            <w:vAlign w:val="center"/>
            <w:hideMark/>
          </w:tcPr>
          <w:p w14:paraId="04F90D14" w14:textId="77777777" w:rsidR="006851AE" w:rsidRPr="009C5807" w:rsidRDefault="006851AE" w:rsidP="00B034E4">
            <w:pPr>
              <w:pStyle w:val="TAH"/>
            </w:pPr>
            <w:r w:rsidRPr="009C5807">
              <w:t>dBm/BW</w:t>
            </w:r>
            <w:r w:rsidRPr="009C5807">
              <w:rPr>
                <w:vertAlign w:val="subscript"/>
              </w:rPr>
              <w:t>Channel</w:t>
            </w:r>
          </w:p>
        </w:tc>
        <w:tc>
          <w:tcPr>
            <w:tcW w:w="1579" w:type="dxa"/>
            <w:tcBorders>
              <w:top w:val="single" w:sz="6" w:space="0" w:color="auto"/>
              <w:left w:val="single" w:sz="6" w:space="0" w:color="auto"/>
              <w:right w:val="single" w:sz="4" w:space="0" w:color="auto"/>
            </w:tcBorders>
            <w:vAlign w:val="center"/>
            <w:hideMark/>
          </w:tcPr>
          <w:p w14:paraId="61777ABA" w14:textId="77777777" w:rsidR="006851AE" w:rsidRPr="009C5807" w:rsidRDefault="006851AE" w:rsidP="00B034E4">
            <w:pPr>
              <w:pStyle w:val="TAH"/>
            </w:pPr>
            <w:r w:rsidRPr="009C5807">
              <w:t>dBm/BW</w:t>
            </w:r>
            <w:r w:rsidRPr="009C5807">
              <w:rPr>
                <w:vertAlign w:val="subscript"/>
              </w:rPr>
              <w:t>Channel</w:t>
            </w:r>
          </w:p>
        </w:tc>
      </w:tr>
      <w:tr w:rsidR="006851AE" w:rsidRPr="009C5807" w14:paraId="7CAF5E7B" w14:textId="77777777" w:rsidTr="00B034E4">
        <w:trPr>
          <w:jc w:val="center"/>
        </w:trPr>
        <w:tc>
          <w:tcPr>
            <w:tcW w:w="0" w:type="auto"/>
            <w:tcBorders>
              <w:left w:val="single" w:sz="4" w:space="0" w:color="auto"/>
              <w:bottom w:val="single" w:sz="6" w:space="0" w:color="auto"/>
              <w:right w:val="single" w:sz="6" w:space="0" w:color="auto"/>
            </w:tcBorders>
            <w:vAlign w:val="center"/>
            <w:hideMark/>
          </w:tcPr>
          <w:p w14:paraId="46E82530" w14:textId="77777777" w:rsidR="006851AE" w:rsidRPr="009C5807" w:rsidRDefault="006851AE" w:rsidP="00B034E4">
            <w:pPr>
              <w:pStyle w:val="TAH"/>
            </w:pPr>
          </w:p>
        </w:tc>
        <w:tc>
          <w:tcPr>
            <w:tcW w:w="1110" w:type="dxa"/>
            <w:tcBorders>
              <w:left w:val="single" w:sz="6" w:space="0" w:color="auto"/>
              <w:bottom w:val="single" w:sz="6" w:space="0" w:color="auto"/>
              <w:right w:val="single" w:sz="4" w:space="0" w:color="auto"/>
            </w:tcBorders>
            <w:vAlign w:val="center"/>
            <w:hideMark/>
          </w:tcPr>
          <w:p w14:paraId="52E76EDD" w14:textId="77777777" w:rsidR="006851AE" w:rsidRPr="009C5807" w:rsidRDefault="006851AE" w:rsidP="00B034E4">
            <w:pPr>
              <w:pStyle w:val="TAH"/>
              <w:rPr>
                <w:rFonts w:cs="Arial"/>
              </w:rPr>
            </w:pPr>
          </w:p>
        </w:tc>
        <w:tc>
          <w:tcPr>
            <w:tcW w:w="1602" w:type="dxa"/>
            <w:tcBorders>
              <w:top w:val="single" w:sz="6" w:space="0" w:color="auto"/>
              <w:left w:val="single" w:sz="4" w:space="0" w:color="auto"/>
              <w:bottom w:val="single" w:sz="6" w:space="0" w:color="auto"/>
              <w:right w:val="single" w:sz="6" w:space="0" w:color="auto"/>
            </w:tcBorders>
            <w:vAlign w:val="center"/>
            <w:hideMark/>
          </w:tcPr>
          <w:p w14:paraId="1394F89E" w14:textId="77777777" w:rsidR="006851AE" w:rsidRPr="009C5807" w:rsidRDefault="006851AE" w:rsidP="00B034E4">
            <w:pPr>
              <w:pStyle w:val="TAH"/>
            </w:pPr>
            <w:r w:rsidRPr="009C5807">
              <w:t>SCS</w:t>
            </w:r>
            <w:r w:rsidRPr="009C5807">
              <w:rPr>
                <w:vertAlign w:val="subscript"/>
              </w:rPr>
              <w:t>SRS</w:t>
            </w:r>
            <w:r w:rsidRPr="009C5807">
              <w:rPr>
                <w:rFonts w:cs="Arial"/>
              </w:rPr>
              <w:t xml:space="preserve"> = 60kHz</w:t>
            </w:r>
          </w:p>
        </w:tc>
        <w:tc>
          <w:tcPr>
            <w:tcW w:w="1740" w:type="dxa"/>
            <w:tcBorders>
              <w:top w:val="single" w:sz="6" w:space="0" w:color="auto"/>
              <w:left w:val="single" w:sz="4" w:space="0" w:color="auto"/>
              <w:bottom w:val="single" w:sz="6" w:space="0" w:color="auto"/>
              <w:right w:val="single" w:sz="6" w:space="0" w:color="auto"/>
            </w:tcBorders>
            <w:vAlign w:val="center"/>
            <w:hideMark/>
          </w:tcPr>
          <w:p w14:paraId="55128131" w14:textId="77777777" w:rsidR="006851AE" w:rsidRPr="009C5807" w:rsidRDefault="006851AE" w:rsidP="00B034E4">
            <w:pPr>
              <w:pStyle w:val="TAH"/>
            </w:pPr>
            <w:r w:rsidRPr="009C5807">
              <w:t>SCS</w:t>
            </w:r>
            <w:r w:rsidRPr="009C5807">
              <w:rPr>
                <w:vertAlign w:val="subscript"/>
              </w:rPr>
              <w:t>SRS</w:t>
            </w:r>
            <w:r w:rsidRPr="009C5807">
              <w:rPr>
                <w:rFonts w:cs="Arial"/>
              </w:rPr>
              <w:t xml:space="preserve"> = 120kHz</w:t>
            </w:r>
          </w:p>
        </w:tc>
        <w:tc>
          <w:tcPr>
            <w:tcW w:w="0" w:type="auto"/>
            <w:tcBorders>
              <w:left w:val="single" w:sz="6" w:space="0" w:color="auto"/>
              <w:bottom w:val="single" w:sz="6" w:space="0" w:color="auto"/>
              <w:right w:val="single" w:sz="6" w:space="0" w:color="auto"/>
            </w:tcBorders>
            <w:vAlign w:val="center"/>
            <w:hideMark/>
          </w:tcPr>
          <w:p w14:paraId="41F30CB1" w14:textId="77777777" w:rsidR="006851AE" w:rsidRPr="009C5807" w:rsidRDefault="006851AE" w:rsidP="00B034E4">
            <w:pPr>
              <w:pStyle w:val="TAH"/>
            </w:pPr>
          </w:p>
        </w:tc>
        <w:tc>
          <w:tcPr>
            <w:tcW w:w="0" w:type="auto"/>
            <w:tcBorders>
              <w:left w:val="single" w:sz="6" w:space="0" w:color="auto"/>
              <w:bottom w:val="single" w:sz="6" w:space="0" w:color="auto"/>
              <w:right w:val="single" w:sz="4" w:space="0" w:color="auto"/>
            </w:tcBorders>
            <w:vAlign w:val="center"/>
            <w:hideMark/>
          </w:tcPr>
          <w:p w14:paraId="243ABE9D" w14:textId="77777777" w:rsidR="006851AE" w:rsidRPr="009C5807" w:rsidRDefault="006851AE" w:rsidP="00B034E4">
            <w:pPr>
              <w:pStyle w:val="TAH"/>
            </w:pPr>
          </w:p>
        </w:tc>
      </w:tr>
      <w:tr w:rsidR="00096C4D" w:rsidRPr="009C5807" w14:paraId="066401C4" w14:textId="77777777" w:rsidTr="00063CF2">
        <w:trPr>
          <w:jc w:val="center"/>
        </w:trPr>
        <w:tc>
          <w:tcPr>
            <w:tcW w:w="1111" w:type="dxa"/>
            <w:tcBorders>
              <w:top w:val="single" w:sz="6" w:space="0" w:color="auto"/>
              <w:left w:val="single" w:sz="4" w:space="0" w:color="auto"/>
              <w:bottom w:val="nil"/>
              <w:right w:val="single" w:sz="6" w:space="0" w:color="auto"/>
            </w:tcBorders>
            <w:hideMark/>
          </w:tcPr>
          <w:p w14:paraId="6EC87F87" w14:textId="77D1479C" w:rsidR="00096C4D" w:rsidRPr="009C5807" w:rsidRDefault="00096C4D" w:rsidP="00063CF2">
            <w:pPr>
              <w:pStyle w:val="TAC"/>
            </w:pPr>
            <w:r w:rsidRPr="009C5807">
              <w:sym w:font="Symbol" w:char="F0B1"/>
            </w:r>
            <w:r w:rsidRPr="009C5807">
              <w:t>5</w:t>
            </w:r>
          </w:p>
        </w:tc>
        <w:tc>
          <w:tcPr>
            <w:tcW w:w="1110" w:type="dxa"/>
            <w:tcBorders>
              <w:top w:val="single" w:sz="6" w:space="0" w:color="auto"/>
              <w:left w:val="single" w:sz="6" w:space="0" w:color="auto"/>
              <w:bottom w:val="nil"/>
              <w:right w:val="single" w:sz="4" w:space="0" w:color="auto"/>
            </w:tcBorders>
            <w:hideMark/>
          </w:tcPr>
          <w:p w14:paraId="1CD15F26" w14:textId="6B5E2253" w:rsidR="00096C4D" w:rsidRPr="009C5807" w:rsidRDefault="00096C4D" w:rsidP="00063CF2">
            <w:pPr>
              <w:pStyle w:val="TAC"/>
            </w:pPr>
            <w:r w:rsidRPr="009C5807">
              <w:sym w:font="Symbol" w:char="F0B1"/>
            </w:r>
            <w:r w:rsidRPr="009C5807">
              <w:t>8</w:t>
            </w:r>
          </w:p>
        </w:tc>
        <w:tc>
          <w:tcPr>
            <w:tcW w:w="3342" w:type="dxa"/>
            <w:gridSpan w:val="2"/>
            <w:tcBorders>
              <w:top w:val="single" w:sz="6" w:space="0" w:color="auto"/>
              <w:left w:val="single" w:sz="4" w:space="0" w:color="auto"/>
              <w:bottom w:val="single" w:sz="6" w:space="0" w:color="auto"/>
              <w:right w:val="single" w:sz="6" w:space="0" w:color="auto"/>
            </w:tcBorders>
            <w:hideMark/>
          </w:tcPr>
          <w:p w14:paraId="273BE715" w14:textId="1557B59A" w:rsidR="00096C4D" w:rsidRPr="009C5807" w:rsidRDefault="00C32CDC" w:rsidP="00063CF2">
            <w:pPr>
              <w:pStyle w:val="TAC"/>
              <w:rPr>
                <w:rFonts w:eastAsia="Yu Mincho"/>
                <w:lang w:eastAsia="ja-JP"/>
              </w:rPr>
            </w:pPr>
            <w:r>
              <w:t xml:space="preserve">Same value as SRS_RP in Table </w:t>
            </w:r>
            <w:r w:rsidRPr="007D6DFA">
              <w:t>B.2.7-2</w:t>
            </w:r>
            <w:r>
              <w:t>, according to UE Power class, operating band and angle of arrival</w:t>
            </w:r>
          </w:p>
        </w:tc>
        <w:tc>
          <w:tcPr>
            <w:tcW w:w="1578" w:type="dxa"/>
            <w:tcBorders>
              <w:top w:val="single" w:sz="6" w:space="0" w:color="auto"/>
              <w:left w:val="single" w:sz="6" w:space="0" w:color="auto"/>
              <w:bottom w:val="single" w:sz="6" w:space="0" w:color="auto"/>
              <w:right w:val="single" w:sz="6" w:space="0" w:color="auto"/>
            </w:tcBorders>
            <w:hideMark/>
          </w:tcPr>
          <w:p w14:paraId="401CE5E6" w14:textId="77777777" w:rsidR="00096C4D" w:rsidRPr="009C5807" w:rsidRDefault="00096C4D" w:rsidP="00063CF2">
            <w:pPr>
              <w:pStyle w:val="TAC"/>
            </w:pPr>
            <w:r w:rsidRPr="009C5807">
              <w:rPr>
                <w:lang w:eastAsia="zh-CN"/>
              </w:rPr>
              <w:t>N/A</w:t>
            </w:r>
          </w:p>
        </w:tc>
        <w:tc>
          <w:tcPr>
            <w:tcW w:w="1579" w:type="dxa"/>
            <w:tcBorders>
              <w:top w:val="single" w:sz="6" w:space="0" w:color="auto"/>
              <w:left w:val="single" w:sz="6" w:space="0" w:color="auto"/>
              <w:bottom w:val="single" w:sz="6" w:space="0" w:color="auto"/>
              <w:right w:val="single" w:sz="4" w:space="0" w:color="auto"/>
            </w:tcBorders>
            <w:hideMark/>
          </w:tcPr>
          <w:p w14:paraId="2FAC7728" w14:textId="77777777" w:rsidR="00096C4D" w:rsidRPr="009C5807" w:rsidRDefault="00096C4D" w:rsidP="00063CF2">
            <w:pPr>
              <w:pStyle w:val="TAC"/>
            </w:pPr>
            <w:r w:rsidRPr="009C5807">
              <w:t>-70</w:t>
            </w:r>
          </w:p>
        </w:tc>
      </w:tr>
      <w:tr w:rsidR="00096C4D" w:rsidRPr="009C5807" w14:paraId="63A4B839" w14:textId="77777777" w:rsidTr="00566CFE">
        <w:trPr>
          <w:jc w:val="center"/>
        </w:trPr>
        <w:tc>
          <w:tcPr>
            <w:tcW w:w="1111" w:type="dxa"/>
            <w:tcBorders>
              <w:top w:val="single" w:sz="6" w:space="0" w:color="auto"/>
              <w:left w:val="single" w:sz="4" w:space="0" w:color="auto"/>
              <w:bottom w:val="nil"/>
              <w:right w:val="single" w:sz="6" w:space="0" w:color="auto"/>
            </w:tcBorders>
            <w:vAlign w:val="center"/>
          </w:tcPr>
          <w:p w14:paraId="45A47393" w14:textId="56E1C95A" w:rsidR="00096C4D" w:rsidRPr="009C5807" w:rsidRDefault="00096C4D" w:rsidP="00B034E4">
            <w:pPr>
              <w:pStyle w:val="TAC"/>
            </w:pPr>
            <w:r w:rsidRPr="009C5807">
              <w:sym w:font="Symbol" w:char="F0B1"/>
            </w:r>
            <w:r w:rsidRPr="009C5807">
              <w:t>7</w:t>
            </w:r>
          </w:p>
        </w:tc>
        <w:tc>
          <w:tcPr>
            <w:tcW w:w="1110" w:type="dxa"/>
            <w:tcBorders>
              <w:top w:val="single" w:sz="6" w:space="0" w:color="auto"/>
              <w:left w:val="single" w:sz="6" w:space="0" w:color="auto"/>
              <w:bottom w:val="nil"/>
              <w:right w:val="single" w:sz="4" w:space="0" w:color="auto"/>
            </w:tcBorders>
            <w:vAlign w:val="center"/>
          </w:tcPr>
          <w:p w14:paraId="50F2B128" w14:textId="3ADAB72F" w:rsidR="00096C4D" w:rsidRPr="009C5807" w:rsidRDefault="00096C4D" w:rsidP="00B034E4">
            <w:pPr>
              <w:pStyle w:val="TAC"/>
            </w:pPr>
            <w:r w:rsidRPr="009C5807">
              <w:sym w:font="Symbol" w:char="F0B1"/>
            </w:r>
            <w:r w:rsidRPr="009C5807">
              <w:t>10</w:t>
            </w:r>
          </w:p>
        </w:tc>
        <w:tc>
          <w:tcPr>
            <w:tcW w:w="3342" w:type="dxa"/>
            <w:gridSpan w:val="2"/>
            <w:tcBorders>
              <w:top w:val="single" w:sz="6" w:space="0" w:color="auto"/>
              <w:left w:val="single" w:sz="4" w:space="0" w:color="auto"/>
              <w:bottom w:val="single" w:sz="6" w:space="0" w:color="auto"/>
              <w:right w:val="single" w:sz="6" w:space="0" w:color="auto"/>
            </w:tcBorders>
            <w:vAlign w:val="center"/>
          </w:tcPr>
          <w:p w14:paraId="098334CF" w14:textId="77777777" w:rsidR="00096C4D" w:rsidRPr="009C5807" w:rsidRDefault="00096C4D" w:rsidP="00B034E4">
            <w:pPr>
              <w:pStyle w:val="TAC"/>
              <w:rPr>
                <w:lang w:eastAsia="zh-CN"/>
              </w:rPr>
            </w:pPr>
            <w:r w:rsidRPr="009C5807">
              <w:rPr>
                <w:rFonts w:hint="eastAsia"/>
                <w:lang w:eastAsia="zh-CN"/>
              </w:rPr>
              <w:t>N</w:t>
            </w:r>
            <w:r w:rsidRPr="009C5807">
              <w:rPr>
                <w:lang w:eastAsia="zh-CN"/>
              </w:rPr>
              <w:t>ote 4</w:t>
            </w:r>
          </w:p>
        </w:tc>
        <w:tc>
          <w:tcPr>
            <w:tcW w:w="1578" w:type="dxa"/>
            <w:tcBorders>
              <w:top w:val="single" w:sz="6" w:space="0" w:color="auto"/>
              <w:left w:val="single" w:sz="6" w:space="0" w:color="auto"/>
              <w:bottom w:val="single" w:sz="6" w:space="0" w:color="auto"/>
              <w:right w:val="single" w:sz="6" w:space="0" w:color="auto"/>
            </w:tcBorders>
            <w:vAlign w:val="center"/>
          </w:tcPr>
          <w:p w14:paraId="098DA48C" w14:textId="77777777" w:rsidR="00096C4D" w:rsidRPr="009C5807" w:rsidRDefault="00096C4D" w:rsidP="00B034E4">
            <w:pPr>
              <w:pStyle w:val="TAC"/>
              <w:rPr>
                <w:lang w:eastAsia="zh-CN"/>
              </w:rPr>
            </w:pPr>
            <w:r w:rsidRPr="009C5807">
              <w:rPr>
                <w:rFonts w:hint="eastAsia"/>
                <w:lang w:eastAsia="zh-CN"/>
              </w:rPr>
              <w:t>-</w:t>
            </w:r>
            <w:r w:rsidRPr="009C5807">
              <w:rPr>
                <w:lang w:eastAsia="zh-CN"/>
              </w:rPr>
              <w:t>70</w:t>
            </w:r>
          </w:p>
        </w:tc>
        <w:tc>
          <w:tcPr>
            <w:tcW w:w="1579" w:type="dxa"/>
            <w:tcBorders>
              <w:top w:val="single" w:sz="6" w:space="0" w:color="auto"/>
              <w:left w:val="single" w:sz="6" w:space="0" w:color="auto"/>
              <w:bottom w:val="single" w:sz="6" w:space="0" w:color="auto"/>
              <w:right w:val="single" w:sz="4" w:space="0" w:color="auto"/>
            </w:tcBorders>
            <w:vAlign w:val="center"/>
          </w:tcPr>
          <w:p w14:paraId="19EE3CF1" w14:textId="77777777" w:rsidR="00096C4D" w:rsidRPr="009C5807" w:rsidRDefault="00096C4D" w:rsidP="00B034E4">
            <w:pPr>
              <w:pStyle w:val="TAC"/>
              <w:rPr>
                <w:lang w:eastAsia="zh-CN"/>
              </w:rPr>
            </w:pPr>
            <w:r w:rsidRPr="009C5807">
              <w:rPr>
                <w:rFonts w:hint="eastAsia"/>
                <w:lang w:eastAsia="zh-CN"/>
              </w:rPr>
              <w:t>-</w:t>
            </w:r>
            <w:r w:rsidRPr="009C5807">
              <w:rPr>
                <w:lang w:eastAsia="zh-CN"/>
              </w:rPr>
              <w:t>50</w:t>
            </w:r>
          </w:p>
        </w:tc>
      </w:tr>
      <w:tr w:rsidR="006851AE" w:rsidRPr="009C5807" w14:paraId="2AD55786" w14:textId="77777777" w:rsidTr="00566CFE">
        <w:trPr>
          <w:jc w:val="center"/>
        </w:trPr>
        <w:tc>
          <w:tcPr>
            <w:tcW w:w="8720" w:type="dxa"/>
            <w:gridSpan w:val="6"/>
            <w:tcBorders>
              <w:top w:val="single" w:sz="6" w:space="0" w:color="auto"/>
              <w:left w:val="single" w:sz="4" w:space="0" w:color="auto"/>
              <w:bottom w:val="single" w:sz="6" w:space="0" w:color="auto"/>
              <w:right w:val="single" w:sz="4" w:space="0" w:color="auto"/>
            </w:tcBorders>
            <w:vAlign w:val="center"/>
            <w:hideMark/>
          </w:tcPr>
          <w:p w14:paraId="413C5845" w14:textId="77777777" w:rsidR="006851AE" w:rsidRPr="009C5807" w:rsidRDefault="006851AE" w:rsidP="00B034E4">
            <w:pPr>
              <w:pStyle w:val="TAN"/>
            </w:pPr>
            <w:r w:rsidRPr="009C5807">
              <w:t>NOTE 1:</w:t>
            </w:r>
            <w:r w:rsidRPr="009C5807">
              <w:tab/>
              <w:t xml:space="preserve">Io </w:t>
            </w:r>
            <w:r w:rsidRPr="009C5807">
              <w:rPr>
                <w:rFonts w:eastAsia="MS Mincho"/>
              </w:rPr>
              <w:t>specified at the Reference point, and</w:t>
            </w:r>
            <w:r w:rsidRPr="009C5807">
              <w:t xml:space="preserve"> assumed to have constant EPRE across the bandwidth.</w:t>
            </w:r>
          </w:p>
          <w:p w14:paraId="431328AE" w14:textId="77777777" w:rsidR="006851AE" w:rsidRPr="009C5807" w:rsidRDefault="006851AE" w:rsidP="00B034E4">
            <w:pPr>
              <w:pStyle w:val="TAN"/>
            </w:pPr>
            <w:r w:rsidRPr="009C5807">
              <w:t>NOTE 2:</w:t>
            </w:r>
            <w:r w:rsidRPr="009C5807">
              <w:tab/>
              <w:t>Values based on Refsens and EIS spherical coverage as defined in clauses 7.3.2 and 7.3.4 of TS 38.101-2 [19]. Applicable side condition selected depending on angle of arrival.</w:t>
            </w:r>
          </w:p>
          <w:p w14:paraId="510C7E57" w14:textId="77777777" w:rsidR="006851AE" w:rsidRPr="009C5807" w:rsidRDefault="006851AE" w:rsidP="00B034E4">
            <w:pPr>
              <w:pStyle w:val="TAN"/>
            </w:pPr>
            <w:r w:rsidRPr="009C5807">
              <w:t>NOTE 3:</w:t>
            </w:r>
            <w:r w:rsidRPr="009C5807">
              <w:tab/>
              <w:t xml:space="preserve">In the test cases, the SSB </w:t>
            </w:r>
            <w:r w:rsidRPr="009C5807">
              <w:rPr>
                <w:rFonts w:hint="eastAsia"/>
              </w:rPr>
              <w:t>Ê</w:t>
            </w:r>
            <w:r w:rsidRPr="009C5807">
              <w:t xml:space="preserve">s/Iot and related parameters may need to be adjusted to ensure </w:t>
            </w:r>
            <w:r w:rsidRPr="009C5807">
              <w:rPr>
                <w:rFonts w:hint="eastAsia"/>
              </w:rPr>
              <w:t>Ê</w:t>
            </w:r>
            <w:r w:rsidRPr="009C5807">
              <w:t>s/Iot at UE baseband is above the value defined in this table.</w:t>
            </w:r>
          </w:p>
          <w:p w14:paraId="6757B55B" w14:textId="761EAC02" w:rsidR="006851AE" w:rsidRPr="009C5807" w:rsidRDefault="006851AE" w:rsidP="00B034E4">
            <w:pPr>
              <w:pStyle w:val="TAN"/>
            </w:pPr>
            <w:r w:rsidRPr="009C5807">
              <w:t>NOTE 4:</w:t>
            </w:r>
            <w:r w:rsidR="00A21E2B">
              <w:tab/>
            </w:r>
            <w:r w:rsidRPr="009C5807">
              <w:t>The same bands and the same Io conditions for each band apply for this requirement as for the corresponding highest accuracy requirement.</w:t>
            </w:r>
          </w:p>
        </w:tc>
      </w:tr>
    </w:tbl>
    <w:p w14:paraId="558B85FF" w14:textId="77777777" w:rsidR="006851AE" w:rsidRPr="009C5807" w:rsidRDefault="006851AE" w:rsidP="006851AE"/>
    <w:p w14:paraId="65F8512C" w14:textId="77777777" w:rsidR="00283207" w:rsidRPr="009C5807" w:rsidRDefault="00283207" w:rsidP="00B018D8">
      <w:pPr>
        <w:pStyle w:val="Heading5"/>
      </w:pPr>
      <w:r w:rsidRPr="009C5807">
        <w:t>10.1.22.2.2</w:t>
      </w:r>
      <w:r w:rsidRPr="009C5807">
        <w:tab/>
      </w:r>
      <w:r w:rsidRPr="009C5807">
        <w:rPr>
          <w:lang w:val="en-US"/>
        </w:rPr>
        <w:t>CLI-RSSI report mapping</w:t>
      </w:r>
    </w:p>
    <w:p w14:paraId="024EF382" w14:textId="192AEBE7" w:rsidR="00283207" w:rsidRPr="009C5807" w:rsidRDefault="00283207" w:rsidP="00283207">
      <w:pPr>
        <w:rPr>
          <w:rFonts w:cs="v4.2.0"/>
        </w:rPr>
      </w:pPr>
      <w:r w:rsidRPr="009C5807">
        <w:rPr>
          <w:sz w:val="22"/>
          <w:szCs w:val="22"/>
        </w:rPr>
        <w:t>T</w:t>
      </w:r>
      <w:r w:rsidRPr="009C5807">
        <w:rPr>
          <w:rFonts w:cs="v4.2.0"/>
        </w:rPr>
        <w:t>he reporting range of CLI-RSSI is defined from -100 dBm to -25 dBm with 1 dB resolution. The mapping of measured quantity is defined in Table 10.1.22.2.2-1. The range in the signalling may be larger than the guaranteed accuracy range.</w:t>
      </w:r>
      <w:r w:rsidR="00C32CDC">
        <w:rPr>
          <w:rFonts w:cs="v4.2.0" w:hint="eastAsia"/>
          <w:lang w:eastAsia="zh-CN"/>
        </w:rPr>
        <w:t xml:space="preserve"> </w:t>
      </w:r>
      <w:r w:rsidR="00C32CDC">
        <w:rPr>
          <w:lang w:eastAsia="zh-CN"/>
        </w:rPr>
        <w:t>UE shall scale the measured CLI-RSSI to report a nominal RSSI equivalent to 6RB measurement</w:t>
      </w:r>
      <w:r w:rsidR="00C32CDC" w:rsidRPr="00C07FC4">
        <w:t xml:space="preserve"> </w:t>
      </w:r>
      <w:r w:rsidR="00C32CDC" w:rsidRPr="00C07FC4">
        <w:rPr>
          <w:lang w:eastAsia="zh-CN"/>
        </w:rPr>
        <w:t>with 15kHz SCS</w:t>
      </w:r>
      <w:r w:rsidR="00C32CDC">
        <w:rPr>
          <w:lang w:eastAsia="zh-CN"/>
        </w:rPr>
        <w:t>.</w:t>
      </w:r>
    </w:p>
    <w:p w14:paraId="29E072A2" w14:textId="77777777" w:rsidR="00283207" w:rsidRPr="009C5807" w:rsidRDefault="00283207" w:rsidP="00096C4D">
      <w:pPr>
        <w:pStyle w:val="TH"/>
      </w:pPr>
      <w:r w:rsidRPr="009C5807">
        <w:t>Table 10.1.22.2.2-1: CLI-RSSI measurement report mapping</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3402"/>
        <w:gridCol w:w="1418"/>
      </w:tblGrid>
      <w:tr w:rsidR="00283207" w:rsidRPr="009C5807" w14:paraId="3F1E50F5" w14:textId="77777777" w:rsidTr="00B4408D">
        <w:trPr>
          <w:cantSplit/>
        </w:trPr>
        <w:tc>
          <w:tcPr>
            <w:tcW w:w="3118" w:type="dxa"/>
          </w:tcPr>
          <w:p w14:paraId="229A715F" w14:textId="77777777" w:rsidR="00283207" w:rsidRPr="009C5807" w:rsidRDefault="00283207" w:rsidP="00B034E4">
            <w:pPr>
              <w:pStyle w:val="TAH"/>
              <w:rPr>
                <w:lang w:eastAsia="ja-JP"/>
              </w:rPr>
            </w:pPr>
            <w:r w:rsidRPr="009C5807">
              <w:rPr>
                <w:lang w:eastAsia="ja-JP"/>
              </w:rPr>
              <w:t>Reported value</w:t>
            </w:r>
          </w:p>
        </w:tc>
        <w:tc>
          <w:tcPr>
            <w:tcW w:w="3402" w:type="dxa"/>
          </w:tcPr>
          <w:p w14:paraId="19FBFCB1" w14:textId="77777777" w:rsidR="00283207" w:rsidRPr="009C5807" w:rsidRDefault="00283207" w:rsidP="00B034E4">
            <w:pPr>
              <w:pStyle w:val="TAH"/>
              <w:rPr>
                <w:lang w:eastAsia="ja-JP"/>
              </w:rPr>
            </w:pPr>
            <w:r w:rsidRPr="009C5807">
              <w:rPr>
                <w:lang w:eastAsia="ja-JP"/>
              </w:rPr>
              <w:t>Measured quantity value</w:t>
            </w:r>
          </w:p>
        </w:tc>
        <w:tc>
          <w:tcPr>
            <w:tcW w:w="1418" w:type="dxa"/>
          </w:tcPr>
          <w:p w14:paraId="7319C819" w14:textId="77777777" w:rsidR="00283207" w:rsidRPr="009C5807" w:rsidRDefault="00283207" w:rsidP="00B034E4">
            <w:pPr>
              <w:pStyle w:val="TAH"/>
              <w:rPr>
                <w:lang w:eastAsia="ja-JP"/>
              </w:rPr>
            </w:pPr>
            <w:r w:rsidRPr="009C5807">
              <w:rPr>
                <w:lang w:eastAsia="ja-JP"/>
              </w:rPr>
              <w:t>Unit</w:t>
            </w:r>
          </w:p>
        </w:tc>
      </w:tr>
      <w:tr w:rsidR="00283207" w:rsidRPr="009C5807" w14:paraId="15669C9E" w14:textId="77777777" w:rsidTr="00B4408D">
        <w:trPr>
          <w:cantSplit/>
        </w:trPr>
        <w:tc>
          <w:tcPr>
            <w:tcW w:w="3118" w:type="dxa"/>
          </w:tcPr>
          <w:p w14:paraId="091493CF" w14:textId="77777777" w:rsidR="00283207" w:rsidRPr="009C5807" w:rsidRDefault="00283207" w:rsidP="00B034E4">
            <w:pPr>
              <w:pStyle w:val="TAC"/>
              <w:rPr>
                <w:lang w:val="sv-SE" w:eastAsia="ja-JP"/>
              </w:rPr>
            </w:pPr>
            <w:r w:rsidRPr="009C5807">
              <w:rPr>
                <w:lang w:val="sv-SE" w:eastAsia="ja-JP"/>
              </w:rPr>
              <w:t>CLI-RSSI_00</w:t>
            </w:r>
          </w:p>
        </w:tc>
        <w:tc>
          <w:tcPr>
            <w:tcW w:w="3402" w:type="dxa"/>
          </w:tcPr>
          <w:p w14:paraId="757726A4" w14:textId="77777777" w:rsidR="00283207" w:rsidRPr="009C5807" w:rsidRDefault="00283207" w:rsidP="00B034E4">
            <w:pPr>
              <w:pStyle w:val="TAC"/>
              <w:rPr>
                <w:lang w:eastAsia="ja-JP"/>
              </w:rPr>
            </w:pPr>
            <w:r w:rsidRPr="009C5807">
              <w:rPr>
                <w:lang w:eastAsia="ja-JP"/>
              </w:rPr>
              <w:t xml:space="preserve">CLI-RSSI &lt; </w:t>
            </w:r>
            <w:r w:rsidRPr="009C5807">
              <w:rPr>
                <w:lang w:eastAsia="ja-JP"/>
              </w:rPr>
              <w:noBreakHyphen/>
              <w:t xml:space="preserve">100 </w:t>
            </w:r>
          </w:p>
        </w:tc>
        <w:tc>
          <w:tcPr>
            <w:tcW w:w="1418" w:type="dxa"/>
          </w:tcPr>
          <w:p w14:paraId="7712557D" w14:textId="77777777" w:rsidR="00283207" w:rsidRPr="009C5807" w:rsidRDefault="00283207" w:rsidP="00B034E4">
            <w:pPr>
              <w:pStyle w:val="TAC"/>
              <w:rPr>
                <w:lang w:eastAsia="ja-JP"/>
              </w:rPr>
            </w:pPr>
            <w:r w:rsidRPr="009C5807">
              <w:rPr>
                <w:lang w:eastAsia="ja-JP"/>
              </w:rPr>
              <w:t>dBm</w:t>
            </w:r>
          </w:p>
        </w:tc>
      </w:tr>
      <w:tr w:rsidR="00283207" w:rsidRPr="009C5807" w14:paraId="7F89A613" w14:textId="77777777" w:rsidTr="00B4408D">
        <w:trPr>
          <w:cantSplit/>
        </w:trPr>
        <w:tc>
          <w:tcPr>
            <w:tcW w:w="3118" w:type="dxa"/>
          </w:tcPr>
          <w:p w14:paraId="1C9304C9" w14:textId="77777777" w:rsidR="00283207" w:rsidRPr="009C5807" w:rsidRDefault="00283207" w:rsidP="00B034E4">
            <w:pPr>
              <w:pStyle w:val="TAC"/>
              <w:rPr>
                <w:lang w:val="sv-SE" w:eastAsia="ja-JP"/>
              </w:rPr>
            </w:pPr>
            <w:r w:rsidRPr="009C5807">
              <w:rPr>
                <w:lang w:val="sv-SE" w:eastAsia="ja-JP"/>
              </w:rPr>
              <w:t>CLI-RSSI_01</w:t>
            </w:r>
          </w:p>
        </w:tc>
        <w:tc>
          <w:tcPr>
            <w:tcW w:w="3402" w:type="dxa"/>
          </w:tcPr>
          <w:p w14:paraId="4F2B4D03" w14:textId="77777777" w:rsidR="00283207" w:rsidRPr="009C5807" w:rsidRDefault="00283207" w:rsidP="00B034E4">
            <w:pPr>
              <w:pStyle w:val="TAC"/>
              <w:rPr>
                <w:lang w:eastAsia="ja-JP"/>
              </w:rPr>
            </w:pPr>
            <w:r w:rsidRPr="009C5807">
              <w:rPr>
                <w:lang w:eastAsia="ja-JP"/>
              </w:rPr>
              <w:t xml:space="preserve">-100 </w:t>
            </w:r>
            <w:r w:rsidRPr="009C5807">
              <w:rPr>
                <w:lang w:eastAsia="ja-JP"/>
              </w:rPr>
              <w:sym w:font="Symbol" w:char="F0A3"/>
            </w:r>
            <w:r w:rsidRPr="009C5807">
              <w:rPr>
                <w:lang w:eastAsia="ja-JP"/>
              </w:rPr>
              <w:t xml:space="preserve"> </w:t>
            </w:r>
            <w:r w:rsidRPr="009C5807">
              <w:rPr>
                <w:lang w:val="sv-SE" w:eastAsia="ja-JP"/>
              </w:rPr>
              <w:t>CLI-RSSI</w:t>
            </w:r>
            <w:r w:rsidRPr="009C5807">
              <w:rPr>
                <w:lang w:eastAsia="ja-JP"/>
              </w:rPr>
              <w:t xml:space="preserve"> &lt; </w:t>
            </w:r>
            <w:r w:rsidRPr="009C5807">
              <w:rPr>
                <w:lang w:eastAsia="ja-JP"/>
              </w:rPr>
              <w:noBreakHyphen/>
              <w:t>99</w:t>
            </w:r>
          </w:p>
        </w:tc>
        <w:tc>
          <w:tcPr>
            <w:tcW w:w="1418" w:type="dxa"/>
          </w:tcPr>
          <w:p w14:paraId="4B365C8F" w14:textId="77777777" w:rsidR="00283207" w:rsidRPr="009C5807" w:rsidRDefault="00283207" w:rsidP="00B034E4">
            <w:pPr>
              <w:pStyle w:val="TAC"/>
              <w:rPr>
                <w:lang w:eastAsia="ja-JP"/>
              </w:rPr>
            </w:pPr>
            <w:r w:rsidRPr="009C5807">
              <w:rPr>
                <w:lang w:eastAsia="ja-JP"/>
              </w:rPr>
              <w:t>dBm</w:t>
            </w:r>
          </w:p>
        </w:tc>
      </w:tr>
      <w:tr w:rsidR="00283207" w:rsidRPr="009C5807" w14:paraId="26A2D1FA" w14:textId="77777777" w:rsidTr="00B4408D">
        <w:trPr>
          <w:cantSplit/>
        </w:trPr>
        <w:tc>
          <w:tcPr>
            <w:tcW w:w="3118" w:type="dxa"/>
          </w:tcPr>
          <w:p w14:paraId="5EB515B8" w14:textId="77777777" w:rsidR="00283207" w:rsidRPr="009C5807" w:rsidRDefault="00283207" w:rsidP="00B034E4">
            <w:pPr>
              <w:pStyle w:val="TAC"/>
              <w:rPr>
                <w:lang w:val="sv-SE" w:eastAsia="ja-JP"/>
              </w:rPr>
            </w:pPr>
            <w:r w:rsidRPr="009C5807">
              <w:rPr>
                <w:lang w:val="sv-SE" w:eastAsia="ja-JP"/>
              </w:rPr>
              <w:t>CLI-RSSI_02</w:t>
            </w:r>
          </w:p>
        </w:tc>
        <w:tc>
          <w:tcPr>
            <w:tcW w:w="3402" w:type="dxa"/>
          </w:tcPr>
          <w:p w14:paraId="640F268F" w14:textId="77777777" w:rsidR="00283207" w:rsidRPr="009C5807" w:rsidRDefault="00283207" w:rsidP="00B034E4">
            <w:pPr>
              <w:pStyle w:val="TAC"/>
              <w:rPr>
                <w:lang w:eastAsia="ja-JP"/>
              </w:rPr>
            </w:pPr>
            <w:r w:rsidRPr="009C5807">
              <w:rPr>
                <w:lang w:eastAsia="ja-JP"/>
              </w:rPr>
              <w:t xml:space="preserve">-99 </w:t>
            </w:r>
            <w:r w:rsidRPr="009C5807">
              <w:rPr>
                <w:lang w:eastAsia="ja-JP"/>
              </w:rPr>
              <w:sym w:font="Symbol" w:char="F0A3"/>
            </w:r>
            <w:r w:rsidRPr="009C5807">
              <w:rPr>
                <w:lang w:eastAsia="ja-JP"/>
              </w:rPr>
              <w:t xml:space="preserve"> </w:t>
            </w:r>
            <w:r w:rsidRPr="009C5807">
              <w:rPr>
                <w:lang w:val="sv-SE" w:eastAsia="ja-JP"/>
              </w:rPr>
              <w:t>CLI-RSSI</w:t>
            </w:r>
            <w:r w:rsidRPr="009C5807">
              <w:rPr>
                <w:lang w:eastAsia="ja-JP"/>
              </w:rPr>
              <w:t xml:space="preserve"> &lt; </w:t>
            </w:r>
            <w:r w:rsidRPr="009C5807">
              <w:rPr>
                <w:lang w:eastAsia="ja-JP"/>
              </w:rPr>
              <w:noBreakHyphen/>
              <w:t>98</w:t>
            </w:r>
          </w:p>
        </w:tc>
        <w:tc>
          <w:tcPr>
            <w:tcW w:w="1418" w:type="dxa"/>
          </w:tcPr>
          <w:p w14:paraId="34471950" w14:textId="77777777" w:rsidR="00283207" w:rsidRPr="009C5807" w:rsidRDefault="00283207" w:rsidP="00B034E4">
            <w:pPr>
              <w:pStyle w:val="TAC"/>
              <w:rPr>
                <w:lang w:eastAsia="ja-JP"/>
              </w:rPr>
            </w:pPr>
            <w:r w:rsidRPr="009C5807">
              <w:rPr>
                <w:lang w:eastAsia="ja-JP"/>
              </w:rPr>
              <w:t>dBm</w:t>
            </w:r>
          </w:p>
        </w:tc>
      </w:tr>
      <w:tr w:rsidR="00283207" w:rsidRPr="009C5807" w14:paraId="5B3DC1C4" w14:textId="77777777" w:rsidTr="00B4408D">
        <w:trPr>
          <w:cantSplit/>
        </w:trPr>
        <w:tc>
          <w:tcPr>
            <w:tcW w:w="3118" w:type="dxa"/>
          </w:tcPr>
          <w:p w14:paraId="4F5E3B56" w14:textId="77777777" w:rsidR="00283207" w:rsidRPr="009C5807" w:rsidRDefault="00283207" w:rsidP="00B034E4">
            <w:pPr>
              <w:pStyle w:val="TAC"/>
              <w:rPr>
                <w:lang w:eastAsia="ja-JP"/>
              </w:rPr>
            </w:pPr>
            <w:r w:rsidRPr="009C5807">
              <w:rPr>
                <w:lang w:eastAsia="ja-JP"/>
              </w:rPr>
              <w:t>…</w:t>
            </w:r>
          </w:p>
        </w:tc>
        <w:tc>
          <w:tcPr>
            <w:tcW w:w="3402" w:type="dxa"/>
          </w:tcPr>
          <w:p w14:paraId="6D173213" w14:textId="77777777" w:rsidR="00283207" w:rsidRPr="009C5807" w:rsidRDefault="00283207" w:rsidP="00B034E4">
            <w:pPr>
              <w:pStyle w:val="TAC"/>
              <w:rPr>
                <w:lang w:eastAsia="ja-JP"/>
              </w:rPr>
            </w:pPr>
            <w:r w:rsidRPr="009C5807">
              <w:rPr>
                <w:lang w:eastAsia="ja-JP"/>
              </w:rPr>
              <w:t>…</w:t>
            </w:r>
          </w:p>
        </w:tc>
        <w:tc>
          <w:tcPr>
            <w:tcW w:w="1418" w:type="dxa"/>
          </w:tcPr>
          <w:p w14:paraId="2DE8E8F5" w14:textId="77777777" w:rsidR="00283207" w:rsidRPr="009C5807" w:rsidRDefault="00283207" w:rsidP="00B034E4">
            <w:pPr>
              <w:pStyle w:val="TAC"/>
              <w:rPr>
                <w:lang w:eastAsia="ja-JP"/>
              </w:rPr>
            </w:pPr>
            <w:r w:rsidRPr="009C5807">
              <w:rPr>
                <w:lang w:eastAsia="ja-JP"/>
              </w:rPr>
              <w:t>…</w:t>
            </w:r>
          </w:p>
        </w:tc>
      </w:tr>
      <w:tr w:rsidR="00283207" w:rsidRPr="009C5807" w14:paraId="4D910156" w14:textId="77777777" w:rsidTr="00B4408D">
        <w:trPr>
          <w:cantSplit/>
        </w:trPr>
        <w:tc>
          <w:tcPr>
            <w:tcW w:w="3118" w:type="dxa"/>
          </w:tcPr>
          <w:p w14:paraId="6B3F4FF8" w14:textId="77777777" w:rsidR="00283207" w:rsidRPr="009C5807" w:rsidRDefault="00283207" w:rsidP="00B034E4">
            <w:pPr>
              <w:pStyle w:val="TAC"/>
              <w:rPr>
                <w:lang w:val="sv-SE" w:eastAsia="ja-JP"/>
              </w:rPr>
            </w:pPr>
            <w:r w:rsidRPr="009C5807">
              <w:rPr>
                <w:lang w:val="sv-SE" w:eastAsia="ja-JP"/>
              </w:rPr>
              <w:t>CLI-RSSI_74</w:t>
            </w:r>
          </w:p>
        </w:tc>
        <w:tc>
          <w:tcPr>
            <w:tcW w:w="3402" w:type="dxa"/>
          </w:tcPr>
          <w:p w14:paraId="76EBE024" w14:textId="77777777" w:rsidR="00283207" w:rsidRPr="009C5807" w:rsidRDefault="00283207" w:rsidP="00B034E4">
            <w:pPr>
              <w:pStyle w:val="TAC"/>
              <w:rPr>
                <w:lang w:eastAsia="ja-JP"/>
              </w:rPr>
            </w:pPr>
            <w:r w:rsidRPr="009C5807">
              <w:rPr>
                <w:lang w:eastAsia="ja-JP"/>
              </w:rPr>
              <w:t xml:space="preserve">-27 </w:t>
            </w:r>
            <w:r w:rsidRPr="009C5807">
              <w:rPr>
                <w:lang w:eastAsia="ja-JP"/>
              </w:rPr>
              <w:sym w:font="Symbol" w:char="F0A3"/>
            </w:r>
            <w:r w:rsidRPr="009C5807">
              <w:rPr>
                <w:lang w:eastAsia="ja-JP"/>
              </w:rPr>
              <w:t xml:space="preserve"> </w:t>
            </w:r>
            <w:r w:rsidRPr="009C5807">
              <w:rPr>
                <w:lang w:val="sv-SE" w:eastAsia="ja-JP"/>
              </w:rPr>
              <w:t>CLI-RSSI</w:t>
            </w:r>
            <w:r w:rsidRPr="009C5807">
              <w:rPr>
                <w:lang w:eastAsia="ja-JP"/>
              </w:rPr>
              <w:t xml:space="preserve"> &lt; -26</w:t>
            </w:r>
          </w:p>
        </w:tc>
        <w:tc>
          <w:tcPr>
            <w:tcW w:w="1418" w:type="dxa"/>
          </w:tcPr>
          <w:p w14:paraId="5202B971" w14:textId="77777777" w:rsidR="00283207" w:rsidRPr="009C5807" w:rsidRDefault="00283207" w:rsidP="00B034E4">
            <w:pPr>
              <w:pStyle w:val="TAC"/>
              <w:rPr>
                <w:lang w:eastAsia="ja-JP"/>
              </w:rPr>
            </w:pPr>
            <w:r w:rsidRPr="009C5807">
              <w:rPr>
                <w:lang w:eastAsia="ja-JP"/>
              </w:rPr>
              <w:t>dBm</w:t>
            </w:r>
          </w:p>
        </w:tc>
      </w:tr>
      <w:tr w:rsidR="00283207" w:rsidRPr="009C5807" w14:paraId="094104F7" w14:textId="77777777" w:rsidTr="00B4408D">
        <w:trPr>
          <w:cantSplit/>
        </w:trPr>
        <w:tc>
          <w:tcPr>
            <w:tcW w:w="3118" w:type="dxa"/>
          </w:tcPr>
          <w:p w14:paraId="4EED1F8D" w14:textId="77777777" w:rsidR="00283207" w:rsidRPr="009C5807" w:rsidRDefault="00283207" w:rsidP="00B034E4">
            <w:pPr>
              <w:pStyle w:val="TAC"/>
              <w:rPr>
                <w:lang w:val="sv-SE" w:eastAsia="ja-JP"/>
              </w:rPr>
            </w:pPr>
            <w:r w:rsidRPr="009C5807">
              <w:rPr>
                <w:lang w:val="sv-SE" w:eastAsia="ja-JP"/>
              </w:rPr>
              <w:t>CLI-RSSI_75</w:t>
            </w:r>
          </w:p>
        </w:tc>
        <w:tc>
          <w:tcPr>
            <w:tcW w:w="3402" w:type="dxa"/>
          </w:tcPr>
          <w:p w14:paraId="79E03FDB" w14:textId="77777777" w:rsidR="00283207" w:rsidRPr="009C5807" w:rsidRDefault="00283207" w:rsidP="00B034E4">
            <w:pPr>
              <w:pStyle w:val="TAC"/>
              <w:rPr>
                <w:lang w:eastAsia="ja-JP"/>
              </w:rPr>
            </w:pPr>
            <w:r w:rsidRPr="009C5807">
              <w:rPr>
                <w:lang w:eastAsia="ja-JP"/>
              </w:rPr>
              <w:t xml:space="preserve">-26 </w:t>
            </w:r>
            <w:r w:rsidRPr="009C5807">
              <w:rPr>
                <w:lang w:eastAsia="ja-JP"/>
              </w:rPr>
              <w:sym w:font="Symbol" w:char="F0A3"/>
            </w:r>
            <w:r w:rsidRPr="009C5807">
              <w:rPr>
                <w:lang w:eastAsia="ja-JP"/>
              </w:rPr>
              <w:t xml:space="preserve"> CLI-RSSI &lt; -25</w:t>
            </w:r>
          </w:p>
        </w:tc>
        <w:tc>
          <w:tcPr>
            <w:tcW w:w="1418" w:type="dxa"/>
          </w:tcPr>
          <w:p w14:paraId="2AFEBA62" w14:textId="77777777" w:rsidR="00283207" w:rsidRPr="009C5807" w:rsidRDefault="00283207" w:rsidP="00B034E4">
            <w:pPr>
              <w:pStyle w:val="TAC"/>
              <w:rPr>
                <w:lang w:eastAsia="ja-JP"/>
              </w:rPr>
            </w:pPr>
            <w:r w:rsidRPr="009C5807">
              <w:rPr>
                <w:lang w:eastAsia="ja-JP"/>
              </w:rPr>
              <w:t>dBm</w:t>
            </w:r>
          </w:p>
        </w:tc>
      </w:tr>
      <w:tr w:rsidR="00283207" w:rsidRPr="009C5807" w14:paraId="5AA9CA40" w14:textId="77777777" w:rsidTr="00B4408D">
        <w:trPr>
          <w:cantSplit/>
        </w:trPr>
        <w:tc>
          <w:tcPr>
            <w:tcW w:w="3118" w:type="dxa"/>
          </w:tcPr>
          <w:p w14:paraId="1E683686" w14:textId="77777777" w:rsidR="00283207" w:rsidRPr="009C5807" w:rsidRDefault="00283207" w:rsidP="00B034E4">
            <w:pPr>
              <w:pStyle w:val="TAC"/>
              <w:rPr>
                <w:lang w:val="sv-SE" w:eastAsia="ja-JP"/>
              </w:rPr>
            </w:pPr>
            <w:r w:rsidRPr="009C5807">
              <w:rPr>
                <w:lang w:val="sv-SE" w:eastAsia="ja-JP"/>
              </w:rPr>
              <w:t>CLI-RSSI_76</w:t>
            </w:r>
          </w:p>
        </w:tc>
        <w:tc>
          <w:tcPr>
            <w:tcW w:w="3402" w:type="dxa"/>
          </w:tcPr>
          <w:p w14:paraId="1F006E66" w14:textId="77777777" w:rsidR="00283207" w:rsidRPr="009C5807" w:rsidRDefault="00283207" w:rsidP="00B034E4">
            <w:pPr>
              <w:pStyle w:val="TAC"/>
              <w:rPr>
                <w:lang w:eastAsia="ja-JP"/>
              </w:rPr>
            </w:pPr>
            <w:r w:rsidRPr="009C5807">
              <w:rPr>
                <w:lang w:eastAsia="ja-JP"/>
              </w:rPr>
              <w:t xml:space="preserve">-25 </w:t>
            </w:r>
            <w:r w:rsidRPr="009C5807">
              <w:rPr>
                <w:lang w:eastAsia="ja-JP"/>
              </w:rPr>
              <w:sym w:font="Symbol" w:char="F0A3"/>
            </w:r>
            <w:r w:rsidRPr="009C5807">
              <w:rPr>
                <w:lang w:eastAsia="ja-JP"/>
              </w:rPr>
              <w:t xml:space="preserve"> </w:t>
            </w:r>
            <w:r w:rsidRPr="009C5807">
              <w:rPr>
                <w:lang w:val="sv-SE" w:eastAsia="ja-JP"/>
              </w:rPr>
              <w:t>CLI-RSSI</w:t>
            </w:r>
          </w:p>
        </w:tc>
        <w:tc>
          <w:tcPr>
            <w:tcW w:w="1418" w:type="dxa"/>
          </w:tcPr>
          <w:p w14:paraId="6E980FFA" w14:textId="77777777" w:rsidR="00283207" w:rsidRPr="009C5807" w:rsidRDefault="00283207" w:rsidP="00B034E4">
            <w:pPr>
              <w:pStyle w:val="TAC"/>
              <w:rPr>
                <w:lang w:eastAsia="ja-JP"/>
              </w:rPr>
            </w:pPr>
            <w:r w:rsidRPr="009C5807">
              <w:rPr>
                <w:lang w:eastAsia="ja-JP"/>
              </w:rPr>
              <w:t>dBm</w:t>
            </w:r>
          </w:p>
        </w:tc>
      </w:tr>
    </w:tbl>
    <w:p w14:paraId="3EC0F0C3" w14:textId="77777777" w:rsidR="00283207" w:rsidRPr="009C5807" w:rsidRDefault="00283207" w:rsidP="00283207">
      <w:pPr>
        <w:rPr>
          <w:noProof/>
          <w:lang w:eastAsia="zh-CN"/>
        </w:rPr>
      </w:pPr>
    </w:p>
    <w:p w14:paraId="63D97175" w14:textId="77777777" w:rsidR="00257E2A" w:rsidRPr="009C5807" w:rsidRDefault="00257E2A" w:rsidP="00257E2A"/>
    <w:p w14:paraId="6B6FADF2" w14:textId="77777777" w:rsidR="009323E2" w:rsidRDefault="009323E2" w:rsidP="009323E2">
      <w:pPr>
        <w:pStyle w:val="Heading3"/>
      </w:pPr>
      <w:r>
        <w:t>10</w:t>
      </w:r>
      <w:r w:rsidRPr="002D08F8">
        <w:t>.</w:t>
      </w:r>
      <w:r>
        <w:t>1.23</w:t>
      </w:r>
      <w:r w:rsidRPr="00F674D5">
        <w:tab/>
        <w:t xml:space="preserve">RSTD </w:t>
      </w:r>
      <w:r>
        <w:t>M</w:t>
      </w:r>
      <w:r w:rsidRPr="00F674D5">
        <w:t>easurement</w:t>
      </w:r>
      <w:r>
        <w:t>s</w:t>
      </w:r>
    </w:p>
    <w:p w14:paraId="36710D75" w14:textId="77777777" w:rsidR="009323E2" w:rsidRDefault="009323E2" w:rsidP="009323E2">
      <w:pPr>
        <w:pStyle w:val="Heading4"/>
      </w:pPr>
      <w:r w:rsidRPr="00512252">
        <w:t>10.</w:t>
      </w:r>
      <w:r>
        <w:t>1.23</w:t>
      </w:r>
      <w:r w:rsidRPr="00DF3FF6">
        <w:t>.</w:t>
      </w:r>
      <w:r>
        <w:t>1</w:t>
      </w:r>
      <w:r w:rsidRPr="00DF3FF6">
        <w:tab/>
      </w:r>
      <w:r w:rsidRPr="00127F9F">
        <w:rPr>
          <w:rStyle w:val="Heading4Char1"/>
          <w:rFonts w:ascii="Arial" w:eastAsia="SimSun" w:hAnsi="Arial"/>
          <w:i w:val="0"/>
          <w:iCs w:val="0"/>
          <w:color w:val="auto"/>
        </w:rPr>
        <w:t>Introduction</w:t>
      </w:r>
    </w:p>
    <w:p w14:paraId="1C32E4AB" w14:textId="1ED4B62B" w:rsidR="00A042FA" w:rsidRPr="007D085D" w:rsidRDefault="00A042FA" w:rsidP="00A042FA">
      <w:r w:rsidRPr="007D085D">
        <w:t xml:space="preserve">The requirements in Clause 10.1.23 shall apply, provided the UE has received </w:t>
      </w:r>
      <w:r w:rsidRPr="007D085D">
        <w:rPr>
          <w:i/>
          <w:iCs/>
          <w:snapToGrid w:val="0"/>
        </w:rPr>
        <w:t>nr-DL-TDOA-RequestLocationInformation</w:t>
      </w:r>
      <w:r w:rsidRPr="007D085D">
        <w:t xml:space="preserve"> message from LMF via LPP [34] requesting the UE to report one or more DL RSTD measurements defined in TS 38.215 [4].</w:t>
      </w:r>
      <w:r>
        <w:t xml:space="preserve"> </w:t>
      </w:r>
      <w:r w:rsidRPr="007D085D">
        <w:t xml:space="preserve">The requirements in Clause 10.1.23 shall apply: </w:t>
      </w:r>
    </w:p>
    <w:p w14:paraId="677B32FC" w14:textId="1566FECF" w:rsidR="00A042FA" w:rsidRPr="007D085D" w:rsidRDefault="00A042FA" w:rsidP="00A042FA">
      <w:pPr>
        <w:pStyle w:val="B10"/>
        <w:rPr>
          <w:rFonts w:eastAsia="SimSun"/>
        </w:rPr>
      </w:pPr>
      <w:r>
        <w:rPr>
          <w:rFonts w:eastAsia="SimSun"/>
        </w:rPr>
        <w:t>-</w:t>
      </w:r>
      <w:r>
        <w:rPr>
          <w:rFonts w:eastAsia="SimSun"/>
        </w:rPr>
        <w:tab/>
      </w:r>
      <w:r w:rsidRPr="007D085D">
        <w:rPr>
          <w:rFonts w:eastAsia="SimSun"/>
        </w:rPr>
        <w:t>when UE is in RRC_CONNECTED state and the measurement is performed with MG or without MG,</w:t>
      </w:r>
    </w:p>
    <w:p w14:paraId="2A1E14C0" w14:textId="2A7072B0" w:rsidR="009323E2" w:rsidRDefault="00A042FA" w:rsidP="00A042FA">
      <w:pPr>
        <w:pStyle w:val="B10"/>
        <w:rPr>
          <w:rFonts w:eastAsia="SimSun"/>
        </w:rPr>
      </w:pPr>
      <w:r>
        <w:rPr>
          <w:rFonts w:eastAsia="SimSun"/>
        </w:rPr>
        <w:t>-</w:t>
      </w:r>
      <w:r>
        <w:rPr>
          <w:rFonts w:eastAsia="SimSun"/>
        </w:rPr>
        <w:tab/>
      </w:r>
      <w:r w:rsidRPr="007D085D">
        <w:rPr>
          <w:rFonts w:eastAsia="SimSun"/>
        </w:rPr>
        <w:t>when UE is in RRC_INACTIVE state.</w:t>
      </w:r>
    </w:p>
    <w:p w14:paraId="36EC9F48" w14:textId="77777777" w:rsidR="00A042FA" w:rsidRPr="00AF7C4C" w:rsidRDefault="00A042FA" w:rsidP="00A042FA"/>
    <w:p w14:paraId="5F0EDC05" w14:textId="77777777" w:rsidR="009323E2" w:rsidRDefault="009323E2" w:rsidP="009323E2">
      <w:pPr>
        <w:pStyle w:val="Heading4"/>
      </w:pPr>
      <w:r w:rsidRPr="00512252">
        <w:t>10.</w:t>
      </w:r>
      <w:r>
        <w:t>1.23</w:t>
      </w:r>
      <w:r w:rsidRPr="00DF3FF6">
        <w:t>.</w:t>
      </w:r>
      <w:r>
        <w:t>2</w:t>
      </w:r>
      <w:r w:rsidRPr="00DF3FF6">
        <w:tab/>
      </w:r>
      <w:r>
        <w:t>Measurement Accuracy Requirements</w:t>
      </w:r>
    </w:p>
    <w:p w14:paraId="35C8FE0B" w14:textId="3E53968E" w:rsidR="0072518D" w:rsidRDefault="005F67F3" w:rsidP="0072518D">
      <w:pPr>
        <w:rPr>
          <w:lang w:eastAsia="zh-CN"/>
        </w:rPr>
      </w:pPr>
      <w:r>
        <w:rPr>
          <w:lang w:val="en-US"/>
        </w:rPr>
        <w:t xml:space="preserve">The accuracy requirements for RSTD measurement shall be within </w:t>
      </w:r>
      <w:r>
        <w:t>±(X+Y+Z+</w:t>
      </w:r>
      <w:r w:rsidRPr="00C97FD2">
        <w:t>Δ</w:t>
      </w:r>
      <w:r>
        <w:t>) T</w:t>
      </w:r>
      <w:r>
        <w:rPr>
          <w:vertAlign w:val="subscript"/>
        </w:rPr>
        <w:t>c</w:t>
      </w:r>
      <w:r>
        <w:t>.</w:t>
      </w:r>
    </w:p>
    <w:p w14:paraId="7AC6C289" w14:textId="10734287" w:rsidR="0072518D" w:rsidRDefault="0072518D" w:rsidP="0072518D">
      <w:r>
        <w:t xml:space="preserve">X is defined in Table 10.1.23.2-1 for AWGN channel and Table 10.1.23.2-3 for fading channel for FR1, provided that the following conditions are met. </w:t>
      </w:r>
    </w:p>
    <w:p w14:paraId="3621FA1B" w14:textId="77777777" w:rsidR="0072518D" w:rsidRDefault="0072518D" w:rsidP="0072518D">
      <w:pPr>
        <w:pStyle w:val="B10"/>
        <w:rPr>
          <w:rFonts w:cs="v4.2.0"/>
        </w:rPr>
      </w:pPr>
      <w:r>
        <w:t>-</w:t>
      </w:r>
      <w:r>
        <w:tab/>
        <w:t>Conditions defined in clause 7.3 of TS 38.101-1 [18] for reference sensitivity are fulfilled.</w:t>
      </w:r>
    </w:p>
    <w:p w14:paraId="5084ACDB" w14:textId="302309B0" w:rsidR="0072518D" w:rsidRDefault="0072518D" w:rsidP="0072518D">
      <w:pPr>
        <w:pStyle w:val="B10"/>
      </w:pPr>
      <w:r>
        <w:t>-</w:t>
      </w:r>
      <w:r>
        <w:tab/>
        <w:t xml:space="preserve">Conditions for RSTD measurements are fulfilled according to Annex B.2.14 for a corresponding Band </w:t>
      </w:r>
      <w:r>
        <w:rPr>
          <w:rFonts w:cs="v4.2.0"/>
          <w:lang w:eastAsia="ko-KR"/>
        </w:rPr>
        <w:t>for each relevant PRS resource configured for measurement</w:t>
      </w:r>
      <w:r>
        <w:t>.</w:t>
      </w:r>
    </w:p>
    <w:p w14:paraId="4B377470" w14:textId="67DD2237" w:rsidR="00221C8F" w:rsidRDefault="00221C8F" w:rsidP="0072518D">
      <w:pPr>
        <w:pStyle w:val="B10"/>
      </w:pPr>
      <w:r w:rsidRPr="007D085D">
        <w:rPr>
          <w:rFonts w:eastAsia="SimSun"/>
        </w:rPr>
        <w:t>-</w:t>
      </w:r>
      <w:r>
        <w:rPr>
          <w:rFonts w:eastAsia="SimSun"/>
        </w:rPr>
        <w:tab/>
      </w:r>
      <w:r w:rsidRPr="007D085D">
        <w:rPr>
          <w:rFonts w:eastAsia="SimSun"/>
        </w:rPr>
        <w:t>UE does not perform positioning measurement with reduced number of samples.</w:t>
      </w:r>
    </w:p>
    <w:p w14:paraId="0CE83F9A" w14:textId="30CC0212" w:rsidR="0072518D" w:rsidRDefault="0072518D" w:rsidP="0072518D">
      <w:r>
        <w:t xml:space="preserve">X is defined in Table 10.1.23.2-2 for AWGN channel and Table 10.1.23.2-4 for fading channel for FR2, provided that the following conditions are met. </w:t>
      </w:r>
    </w:p>
    <w:p w14:paraId="44DCBBF4" w14:textId="77777777" w:rsidR="0072518D" w:rsidRDefault="0072518D" w:rsidP="0072518D">
      <w:pPr>
        <w:ind w:left="568" w:hanging="284"/>
        <w:rPr>
          <w:rFonts w:cs="v4.2.0"/>
        </w:rPr>
      </w:pPr>
      <w:r>
        <w:t>-</w:t>
      </w:r>
      <w:r>
        <w:tab/>
        <w:t>Conditions defined in clause 7.3 of TS 38.101-2 [19] for reference sensitivity are fulfilled.</w:t>
      </w:r>
    </w:p>
    <w:p w14:paraId="632364A4" w14:textId="77777777" w:rsidR="0072518D" w:rsidRDefault="0072518D" w:rsidP="0072518D">
      <w:pPr>
        <w:ind w:left="568" w:hanging="284"/>
      </w:pPr>
      <w:r>
        <w:t>-</w:t>
      </w:r>
      <w:r>
        <w:tab/>
        <w:t xml:space="preserve">Conditions for RSTD measurements are fulfilled according to Annex B.2.14 for a corresponding Band </w:t>
      </w:r>
      <w:r>
        <w:rPr>
          <w:rFonts w:cs="v4.2.0"/>
          <w:lang w:eastAsia="ko-KR"/>
        </w:rPr>
        <w:t>for each relevant PRS resource configured for measurement</w:t>
      </w:r>
      <w:r>
        <w:t>.</w:t>
      </w:r>
    </w:p>
    <w:p w14:paraId="190903FF" w14:textId="77777777" w:rsidR="00160D04" w:rsidRPr="007D085D" w:rsidRDefault="00160D04" w:rsidP="00160D04">
      <w:pPr>
        <w:ind w:left="568" w:hanging="284"/>
        <w:rPr>
          <w:rFonts w:eastAsia="SimSun"/>
        </w:rPr>
      </w:pPr>
      <w:r w:rsidRPr="007D085D">
        <w:rPr>
          <w:rFonts w:eastAsia="SimSun"/>
        </w:rPr>
        <w:t xml:space="preserve">- </w:t>
      </w:r>
      <w:r w:rsidRPr="007D085D">
        <w:rPr>
          <w:rFonts w:eastAsia="SimSun"/>
        </w:rPr>
        <w:tab/>
        <w:t>UE does not perform positioning measurement with reduced number of samples.</w:t>
      </w:r>
    </w:p>
    <w:p w14:paraId="09EB1319" w14:textId="300858CF" w:rsidR="00160D04" w:rsidRPr="007D085D" w:rsidRDefault="005D086C" w:rsidP="00160D04">
      <w:pPr>
        <w:rPr>
          <w:rFonts w:eastAsia="SimSun"/>
        </w:rPr>
      </w:pPr>
      <w:r w:rsidRPr="007D085D">
        <w:rPr>
          <w:rFonts w:eastAsia="SimSun"/>
        </w:rPr>
        <w:t>X is defined in Table 10.1.23.2-</w:t>
      </w:r>
      <w:r>
        <w:rPr>
          <w:rFonts w:eastAsia="SimSun" w:hint="eastAsia"/>
          <w:lang w:eastAsia="zh-CN"/>
        </w:rPr>
        <w:t>7</w:t>
      </w:r>
      <w:r w:rsidRPr="007D085D">
        <w:rPr>
          <w:rFonts w:eastAsia="SimSun"/>
        </w:rPr>
        <w:t xml:space="preserve"> for AWGN channel in FR1 provided that the following conditions are met.</w:t>
      </w:r>
    </w:p>
    <w:p w14:paraId="1A48682C" w14:textId="77777777" w:rsidR="00160D04" w:rsidRPr="007D085D" w:rsidRDefault="00160D04" w:rsidP="00160D04">
      <w:pPr>
        <w:pStyle w:val="B10"/>
        <w:rPr>
          <w:rFonts w:eastAsia="SimSun" w:cs="v4.2.0"/>
        </w:rPr>
      </w:pPr>
      <w:r w:rsidRPr="007D085D">
        <w:rPr>
          <w:rFonts w:eastAsia="SimSun"/>
        </w:rPr>
        <w:t>-</w:t>
      </w:r>
      <w:r w:rsidRPr="007D085D">
        <w:rPr>
          <w:rFonts w:eastAsia="SimSun"/>
        </w:rPr>
        <w:tab/>
        <w:t>Conditions defined in clause 7.3 of TS 38.101-1 [18] for reference sensitivity are fulfilled.</w:t>
      </w:r>
    </w:p>
    <w:p w14:paraId="66D11B67" w14:textId="77777777" w:rsidR="00160D04" w:rsidRPr="007D085D" w:rsidRDefault="00160D04" w:rsidP="00160D04">
      <w:pPr>
        <w:pStyle w:val="B10"/>
        <w:rPr>
          <w:rFonts w:eastAsia="SimSun"/>
        </w:rPr>
      </w:pPr>
      <w:r w:rsidRPr="007D085D">
        <w:rPr>
          <w:rFonts w:eastAsia="SimSun"/>
        </w:rPr>
        <w:t>-</w:t>
      </w:r>
      <w:r w:rsidRPr="007D085D">
        <w:rPr>
          <w:rFonts w:eastAsia="SimSun"/>
        </w:rPr>
        <w:tab/>
        <w:t xml:space="preserve">Conditions for RSTD measurements are fulfilled according to Annex B.2.14 for a corresponding Band </w:t>
      </w:r>
      <w:r w:rsidRPr="007D085D">
        <w:rPr>
          <w:rFonts w:eastAsia="SimSun" w:cs="v4.2.0"/>
          <w:lang w:eastAsia="ko-KR"/>
        </w:rPr>
        <w:t>for each relevant PRS resource configured for measurement</w:t>
      </w:r>
      <w:r w:rsidRPr="007D085D">
        <w:rPr>
          <w:rFonts w:eastAsia="SimSun"/>
        </w:rPr>
        <w:t>.</w:t>
      </w:r>
    </w:p>
    <w:p w14:paraId="7F1519D4" w14:textId="586732E6" w:rsidR="00160D04" w:rsidRPr="007D085D" w:rsidRDefault="00160D04" w:rsidP="00160D04">
      <w:pPr>
        <w:pStyle w:val="B10"/>
        <w:rPr>
          <w:rFonts w:eastAsia="SimSun"/>
        </w:rPr>
      </w:pPr>
      <w:r w:rsidRPr="007D085D">
        <w:rPr>
          <w:rFonts w:eastAsia="SimSun"/>
        </w:rPr>
        <w:t>-</w:t>
      </w:r>
      <w:r w:rsidRPr="007D085D">
        <w:rPr>
          <w:rFonts w:eastAsia="SimSun"/>
        </w:rPr>
        <w:tab/>
        <w:t>UE supports positioning measurement with reduced number of sample and is indicated by LMF to perform positioning measurement with reduced number of samples.</w:t>
      </w:r>
    </w:p>
    <w:p w14:paraId="678CCAEE" w14:textId="4B43C9C7" w:rsidR="00160D04" w:rsidRPr="007D085D" w:rsidRDefault="005D086C" w:rsidP="00160D04">
      <w:pPr>
        <w:rPr>
          <w:rFonts w:eastAsia="SimSun"/>
        </w:rPr>
      </w:pPr>
      <w:r w:rsidRPr="007D085D">
        <w:rPr>
          <w:rFonts w:eastAsia="SimSun"/>
        </w:rPr>
        <w:t>X is defined in Table 10.1.23.2-</w:t>
      </w:r>
      <w:r>
        <w:rPr>
          <w:rFonts w:eastAsia="SimSun" w:hint="eastAsia"/>
          <w:lang w:eastAsia="zh-CN"/>
        </w:rPr>
        <w:t>8</w:t>
      </w:r>
      <w:r w:rsidRPr="007D085D">
        <w:rPr>
          <w:rFonts w:eastAsia="SimSun"/>
        </w:rPr>
        <w:t xml:space="preserve"> for AWGN channel in FR2 provided that the following conditions are met.</w:t>
      </w:r>
    </w:p>
    <w:p w14:paraId="1F52027A" w14:textId="77777777" w:rsidR="00160D04" w:rsidRPr="007D085D" w:rsidRDefault="00160D04" w:rsidP="00160D04">
      <w:pPr>
        <w:pStyle w:val="B10"/>
        <w:rPr>
          <w:rFonts w:eastAsia="SimSun" w:cs="v4.2.0"/>
        </w:rPr>
      </w:pPr>
      <w:r w:rsidRPr="007D085D">
        <w:rPr>
          <w:rFonts w:eastAsia="SimSun"/>
        </w:rPr>
        <w:t>-</w:t>
      </w:r>
      <w:r w:rsidRPr="007D085D">
        <w:rPr>
          <w:rFonts w:eastAsia="SimSun"/>
        </w:rPr>
        <w:tab/>
        <w:t>Conditions defined in clause 7.3 of TS 38.101-1 [18] for reference sensitivity are fulfilled.</w:t>
      </w:r>
    </w:p>
    <w:p w14:paraId="2835B905" w14:textId="77777777" w:rsidR="00160D04" w:rsidRPr="007D085D" w:rsidRDefault="00160D04" w:rsidP="00160D04">
      <w:pPr>
        <w:pStyle w:val="B10"/>
        <w:rPr>
          <w:rFonts w:eastAsia="SimSun"/>
        </w:rPr>
      </w:pPr>
      <w:r w:rsidRPr="007D085D">
        <w:rPr>
          <w:rFonts w:eastAsia="SimSun"/>
        </w:rPr>
        <w:t>-</w:t>
      </w:r>
      <w:r w:rsidRPr="007D085D">
        <w:rPr>
          <w:rFonts w:eastAsia="SimSun"/>
        </w:rPr>
        <w:tab/>
        <w:t xml:space="preserve">Conditions for RSTD measurements are fulfilled according to Annex B.2.14 for a corresponding Band </w:t>
      </w:r>
      <w:r w:rsidRPr="007D085D">
        <w:rPr>
          <w:rFonts w:eastAsia="SimSun" w:cs="v4.2.0"/>
          <w:lang w:eastAsia="ko-KR"/>
        </w:rPr>
        <w:t>for each relevant PRS resource configured for measurement</w:t>
      </w:r>
      <w:r w:rsidRPr="007D085D">
        <w:rPr>
          <w:rFonts w:eastAsia="SimSun"/>
        </w:rPr>
        <w:t>.</w:t>
      </w:r>
    </w:p>
    <w:p w14:paraId="651FB8E2" w14:textId="4FFB79D3" w:rsidR="00160D04" w:rsidRDefault="00160D04" w:rsidP="00160D04">
      <w:pPr>
        <w:pStyle w:val="B10"/>
        <w:rPr>
          <w:rFonts w:eastAsia="SimSun"/>
        </w:rPr>
      </w:pPr>
      <w:r w:rsidRPr="007D085D">
        <w:rPr>
          <w:rFonts w:eastAsia="SimSun"/>
        </w:rPr>
        <w:t>-</w:t>
      </w:r>
      <w:r w:rsidRPr="007D085D">
        <w:rPr>
          <w:rFonts w:eastAsia="SimSun"/>
        </w:rPr>
        <w:tab/>
        <w:t>UE supports positioning measurement with reduced number of sample and is indicated by LMF to perform positioning measurement with reduced number of samples.</w:t>
      </w:r>
    </w:p>
    <w:p w14:paraId="5FD8E216" w14:textId="2FDDA56B" w:rsidR="0072518D" w:rsidRDefault="0072518D" w:rsidP="00160D04">
      <w:r>
        <w:t xml:space="preserve">Note: The requriements for fading channel in this clause are derived based on TDL-A (30 ns delay spread, 5Hz) and TDL-C (60 ns delay spread, 300 Hz) channel models for FR1 and FR2 respectively. </w:t>
      </w:r>
    </w:p>
    <w:p w14:paraId="1E663F29" w14:textId="77777777" w:rsidR="0072518D" w:rsidRDefault="0072518D" w:rsidP="0072518D">
      <w:pPr>
        <w:rPr>
          <w:lang w:val="en-US"/>
        </w:rPr>
      </w:pPr>
      <w:r>
        <w:rPr>
          <w:lang w:val="en-US"/>
        </w:rPr>
        <w:t xml:space="preserve">When UE measures RSTD on PRS resources belonging to different PFLs, then the RSTD accuracy is defined as the accuracy corresponding to the largest accuracy value among different PFLs. </w:t>
      </w:r>
    </w:p>
    <w:p w14:paraId="3C950EBD" w14:textId="264F7A68" w:rsidR="005D086C" w:rsidRDefault="00F72E7B" w:rsidP="0072518D">
      <w:pPr>
        <w:rPr>
          <w:bCs/>
          <w:lang w:eastAsia="zh-CN"/>
        </w:rPr>
      </w:pPr>
      <w:r>
        <w:rPr>
          <w:lang w:eastAsia="zh-CN"/>
        </w:rPr>
        <w:t xml:space="preserve">If the UE doesn’t support Rx TEG reporting for RSTD measurement or when the measurements of reference cell and </w:t>
      </w:r>
      <w:r>
        <w:rPr>
          <w:bCs/>
        </w:rPr>
        <w:t xml:space="preserve">neighbour cell belong to </w:t>
      </w:r>
      <w:r>
        <w:rPr>
          <w:bCs/>
          <w:lang w:eastAsia="zh-CN"/>
        </w:rPr>
        <w:t>different</w:t>
      </w:r>
      <w:r>
        <w:rPr>
          <w:bCs/>
        </w:rPr>
        <w:t xml:space="preserve"> Rx TEG</w:t>
      </w:r>
      <w:r>
        <w:rPr>
          <w:bCs/>
          <w:lang w:eastAsia="zh-CN"/>
        </w:rPr>
        <w:t>s, Y</w:t>
      </w:r>
      <w:r>
        <w:rPr>
          <w:rFonts w:hint="eastAsia"/>
          <w:bCs/>
          <w:lang w:eastAsia="zh-CN"/>
        </w:rPr>
        <w:t>,</w:t>
      </w:r>
      <w:r>
        <w:rPr>
          <w:bCs/>
          <w:lang w:eastAsia="zh-CN"/>
        </w:rPr>
        <w:t xml:space="preserve"> Z </w:t>
      </w:r>
      <w:r>
        <w:rPr>
          <w:rFonts w:hint="eastAsia"/>
          <w:bCs/>
          <w:lang w:eastAsia="zh-CN"/>
        </w:rPr>
        <w:t xml:space="preserve">and </w:t>
      </w:r>
      <w:r>
        <w:t>Δ</w:t>
      </w:r>
      <w:r>
        <w:rPr>
          <w:rFonts w:hint="eastAsia"/>
          <w:lang w:eastAsia="zh-CN"/>
        </w:rPr>
        <w:t xml:space="preserve"> </w:t>
      </w:r>
      <w:r>
        <w:rPr>
          <w:bCs/>
          <w:lang w:eastAsia="zh-CN"/>
        </w:rPr>
        <w:t>are defined as follows:</w:t>
      </w:r>
    </w:p>
    <w:p w14:paraId="5391C137" w14:textId="1238C71B" w:rsidR="0072518D" w:rsidRDefault="005D086C" w:rsidP="005D086C">
      <w:pPr>
        <w:pStyle w:val="B10"/>
        <w:rPr>
          <w:lang w:val="en-US"/>
        </w:rPr>
      </w:pPr>
      <w:r>
        <w:rPr>
          <w:lang w:val="en-US"/>
        </w:rPr>
        <w:t>-</w:t>
      </w:r>
      <w:r>
        <w:rPr>
          <w:lang w:val="en-US"/>
        </w:rPr>
        <w:tab/>
      </w:r>
      <w:r w:rsidR="0072518D">
        <w:rPr>
          <w:lang w:val="en-US"/>
        </w:rPr>
        <w:t>When UE measures RSTD on PRS resources belonging to same PFL, Y=32 Tc, provided that the time offset between the two PRS resource instances from the reference cell and the neighbor cell, which are used for a single RSTD estimate, is no greater than 160 ms.</w:t>
      </w:r>
    </w:p>
    <w:p w14:paraId="40D22E98" w14:textId="1BDC844F" w:rsidR="00060B2A" w:rsidRDefault="005D086C" w:rsidP="005D086C">
      <w:pPr>
        <w:pStyle w:val="B10"/>
        <w:rPr>
          <w:lang w:val="en-US"/>
        </w:rPr>
      </w:pPr>
      <w:r>
        <w:rPr>
          <w:lang w:val="en-US"/>
        </w:rPr>
        <w:t>-</w:t>
      </w:r>
      <w:r>
        <w:rPr>
          <w:lang w:val="en-US"/>
        </w:rPr>
        <w:tab/>
      </w:r>
      <w:r w:rsidR="00060B2A">
        <w:rPr>
          <w:lang w:val="en-US"/>
        </w:rPr>
        <w:t>When UE measures RSTD on PRS resources belonging different PFLs, Y=256 Tc, provided that the time offset between the two PRS resource instances from the reference cell and the neighbor cell, which are used for a single RSTD estimate, is no greater than 1280 ms.</w:t>
      </w:r>
    </w:p>
    <w:p w14:paraId="5A5252B6" w14:textId="4E06F28B" w:rsidR="00060B2A" w:rsidRDefault="005D086C" w:rsidP="005D086C">
      <w:pPr>
        <w:pStyle w:val="B10"/>
      </w:pPr>
      <w:r>
        <w:t>-</w:t>
      </w:r>
      <w:r>
        <w:tab/>
      </w:r>
      <w:r w:rsidR="00060B2A">
        <w:t>Z is defined in Table 10.1.23.2-5 for FR1 and Table 10.1.23.2-6 for FR2, respectively.</w:t>
      </w:r>
    </w:p>
    <w:p w14:paraId="7B938DB1" w14:textId="66AFBF47" w:rsidR="005F67F3" w:rsidRDefault="005F67F3" w:rsidP="005D086C">
      <w:pPr>
        <w:pStyle w:val="B10"/>
      </w:pPr>
      <w:r>
        <w:t>-</w:t>
      </w:r>
      <w:r>
        <w:tab/>
      </w:r>
      <w:r w:rsidRPr="007618C5">
        <w:t>Δ is zero for single PFL, and is defined in Table 10.1.23.2-5a for FR1 and Table 10.1.23.2-6a for FR2, respectively, for dual PFL.</w:t>
      </w:r>
    </w:p>
    <w:p w14:paraId="181EE669" w14:textId="2C8329DC" w:rsidR="005D086C" w:rsidRDefault="00EC132E" w:rsidP="005D086C">
      <w:pPr>
        <w:rPr>
          <w:lang w:val="en-US"/>
        </w:rPr>
      </w:pPr>
      <w:r>
        <w:rPr>
          <w:rFonts w:hint="eastAsia"/>
          <w:lang w:eastAsia="zh-CN"/>
        </w:rPr>
        <w:t xml:space="preserve">If the measurements of reference cell and </w:t>
      </w:r>
      <w:r w:rsidRPr="0022466E">
        <w:rPr>
          <w:bCs/>
        </w:rPr>
        <w:t xml:space="preserve">neighbour cell belong to the </w:t>
      </w:r>
      <w:r>
        <w:rPr>
          <w:rFonts w:hint="eastAsia"/>
          <w:bCs/>
          <w:lang w:eastAsia="zh-CN"/>
        </w:rPr>
        <w:t>same</w:t>
      </w:r>
      <w:r w:rsidRPr="0022466E">
        <w:rPr>
          <w:bCs/>
        </w:rPr>
        <w:t xml:space="preserve"> Rx TEG</w:t>
      </w:r>
      <w:r>
        <w:rPr>
          <w:rFonts w:hint="eastAsia"/>
          <w:bCs/>
          <w:lang w:eastAsia="zh-CN"/>
        </w:rPr>
        <w:t xml:space="preserve">, i.e. </w:t>
      </w:r>
      <w:r w:rsidRPr="00865553">
        <w:rPr>
          <w:bCs/>
        </w:rPr>
        <w:t xml:space="preserve">associated and reported with a common Rx TEG ID, then the sum </w:t>
      </w:r>
      <w:r w:rsidR="00933B63" w:rsidRPr="00C815D2">
        <w:rPr>
          <w:rFonts w:hint="eastAsia"/>
          <w:bCs/>
          <w:lang w:eastAsia="zh-CN"/>
        </w:rPr>
        <w:t xml:space="preserve">of </w:t>
      </w:r>
      <w:r w:rsidR="00933B63" w:rsidRPr="00C815D2">
        <w:rPr>
          <w:rFonts w:eastAsia="Malgun Gothic"/>
          <w:bCs/>
        </w:rPr>
        <w:t>Y+Z</w:t>
      </w:r>
      <w:r w:rsidR="00933B63">
        <w:rPr>
          <w:rFonts w:eastAsia="Malgun Gothic"/>
          <w:bCs/>
        </w:rPr>
        <w:t>+</w:t>
      </w:r>
      <w:r w:rsidR="00933B63" w:rsidRPr="00C97FD2">
        <w:t>Δ</w:t>
      </w:r>
      <w:r>
        <w:rPr>
          <w:rFonts w:hint="eastAsia"/>
          <w:lang w:eastAsia="zh-CN"/>
        </w:rPr>
        <w:t xml:space="preserve"> </w:t>
      </w:r>
      <w:r w:rsidRPr="00865553">
        <w:rPr>
          <w:bCs/>
        </w:rPr>
        <w:t>is equal to the timing error margin of the R</w:t>
      </w:r>
      <w:r>
        <w:rPr>
          <w:rFonts w:hint="eastAsia"/>
          <w:bCs/>
          <w:lang w:eastAsia="zh-CN"/>
        </w:rPr>
        <w:t>x</w:t>
      </w:r>
      <w:r w:rsidRPr="00865553">
        <w:rPr>
          <w:bCs/>
        </w:rPr>
        <w:t xml:space="preserve"> TEG reported in </w:t>
      </w:r>
      <w:r w:rsidRPr="00865553">
        <w:rPr>
          <w:bCs/>
          <w:i/>
        </w:rPr>
        <w:t>nr-UE-RxTEG-TimingErrorMargin</w:t>
      </w:r>
      <w:r>
        <w:rPr>
          <w:rFonts w:hint="eastAsia"/>
          <w:bCs/>
          <w:lang w:eastAsia="zh-CN"/>
        </w:rPr>
        <w:t xml:space="preserve">. </w:t>
      </w:r>
      <w:r>
        <w:rPr>
          <w:bCs/>
          <w:lang w:eastAsia="zh-CN"/>
        </w:rPr>
        <w:t>T</w:t>
      </w:r>
      <w:r>
        <w:rPr>
          <w:rFonts w:hint="eastAsia"/>
          <w:bCs/>
          <w:lang w:eastAsia="zh-CN"/>
        </w:rPr>
        <w:t xml:space="preserve">he </w:t>
      </w:r>
      <w:r>
        <w:rPr>
          <w:bCs/>
          <w:lang w:eastAsia="zh-CN"/>
        </w:rPr>
        <w:t>timing error margin reported</w:t>
      </w:r>
      <w:r>
        <w:rPr>
          <w:rFonts w:hint="eastAsia"/>
          <w:bCs/>
          <w:lang w:eastAsia="zh-CN"/>
        </w:rPr>
        <w:t xml:space="preserve"> </w:t>
      </w:r>
      <w:r>
        <w:rPr>
          <w:bCs/>
        </w:rPr>
        <w:t>via</w:t>
      </w:r>
      <w:r w:rsidRPr="00865553">
        <w:rPr>
          <w:bCs/>
        </w:rPr>
        <w:t xml:space="preserve"> </w:t>
      </w:r>
      <w:r w:rsidRPr="00865553">
        <w:rPr>
          <w:bCs/>
          <w:i/>
        </w:rPr>
        <w:t>nr-UE-RxTEG-TimingErrorMargin</w:t>
      </w:r>
      <w:r>
        <w:rPr>
          <w:rFonts w:hint="eastAsia"/>
          <w:bCs/>
          <w:lang w:eastAsia="zh-CN"/>
        </w:rPr>
        <w:t xml:space="preserve"> </w:t>
      </w:r>
      <w:r>
        <w:rPr>
          <w:bCs/>
          <w:lang w:eastAsia="zh-CN"/>
        </w:rPr>
        <w:t>can</w:t>
      </w:r>
      <w:r>
        <w:rPr>
          <w:rFonts w:hint="eastAsia"/>
          <w:bCs/>
          <w:lang w:eastAsia="zh-CN"/>
        </w:rPr>
        <w:t>not</w:t>
      </w:r>
      <w:r>
        <w:rPr>
          <w:bCs/>
          <w:lang w:eastAsia="zh-CN"/>
        </w:rPr>
        <w:t xml:space="preserve"> be</w:t>
      </w:r>
      <w:r>
        <w:rPr>
          <w:rFonts w:hint="eastAsia"/>
          <w:bCs/>
          <w:lang w:eastAsia="zh-CN"/>
        </w:rPr>
        <w:t xml:space="preserve"> larger than the value of (Y+Z</w:t>
      </w:r>
      <w:bookmarkStart w:id="11" w:name="OLE_LINK41"/>
      <w:bookmarkStart w:id="12" w:name="OLE_LINK42"/>
      <w:r>
        <w:rPr>
          <w:rFonts w:eastAsia="Malgun Gothic"/>
          <w:bCs/>
        </w:rPr>
        <w:t>+</w:t>
      </w:r>
      <w:r w:rsidRPr="00C97FD2">
        <w:t>Δ</w:t>
      </w:r>
      <w:bookmarkEnd w:id="11"/>
      <w:bookmarkEnd w:id="12"/>
      <w:r>
        <w:rPr>
          <w:rFonts w:hint="eastAsia"/>
          <w:bCs/>
          <w:lang w:eastAsia="zh-CN"/>
        </w:rPr>
        <w:t xml:space="preserve">) defined when </w:t>
      </w:r>
      <w:r>
        <w:rPr>
          <w:lang w:eastAsia="zh-CN"/>
        </w:rPr>
        <w:t xml:space="preserve">the </w:t>
      </w:r>
      <w:r>
        <w:rPr>
          <w:rFonts w:hint="eastAsia"/>
          <w:lang w:eastAsia="zh-CN"/>
        </w:rPr>
        <w:t>UE does</w:t>
      </w:r>
      <w:r>
        <w:rPr>
          <w:lang w:eastAsia="zh-CN"/>
        </w:rPr>
        <w:t xml:space="preserve"> not associate the measurements with the same </w:t>
      </w:r>
      <w:r>
        <w:rPr>
          <w:rFonts w:hint="eastAsia"/>
          <w:lang w:eastAsia="zh-CN"/>
        </w:rPr>
        <w:t>Rx TEG</w:t>
      </w:r>
      <w:r>
        <w:rPr>
          <w:rFonts w:hint="eastAsia"/>
          <w:bCs/>
          <w:lang w:eastAsia="zh-CN"/>
        </w:rPr>
        <w:t>.</w:t>
      </w:r>
    </w:p>
    <w:p w14:paraId="29320343" w14:textId="77777777" w:rsidR="00B22B9E" w:rsidRPr="000C792B" w:rsidRDefault="00B22B9E" w:rsidP="00B22B9E">
      <w:pPr>
        <w:rPr>
          <w:lang w:val="en-US"/>
        </w:rPr>
      </w:pPr>
    </w:p>
    <w:p w14:paraId="5A490169" w14:textId="77777777" w:rsidR="00060B2A" w:rsidRPr="000C792B" w:rsidRDefault="00060B2A" w:rsidP="00060B2A">
      <w:pPr>
        <w:pStyle w:val="TH"/>
      </w:pPr>
      <w:r w:rsidRPr="000C792B">
        <w:t>Table 10.1.23.2-1: RSTD absolute accuracy in FR1 for AWGN channel</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163"/>
        <w:gridCol w:w="992"/>
        <w:gridCol w:w="1134"/>
        <w:gridCol w:w="1367"/>
        <w:gridCol w:w="2040"/>
        <w:gridCol w:w="1134"/>
        <w:gridCol w:w="1275"/>
      </w:tblGrid>
      <w:tr w:rsidR="00060B2A" w:rsidRPr="000C792B" w14:paraId="324C643F" w14:textId="77777777" w:rsidTr="00224E82">
        <w:trPr>
          <w:jc w:val="center"/>
        </w:trPr>
        <w:tc>
          <w:tcPr>
            <w:tcW w:w="959" w:type="dxa"/>
            <w:vMerge w:val="restart"/>
            <w:vAlign w:val="center"/>
            <w:hideMark/>
          </w:tcPr>
          <w:p w14:paraId="3DC7EC77" w14:textId="77777777" w:rsidR="00060B2A" w:rsidRPr="000C792B" w:rsidRDefault="00060B2A" w:rsidP="00224E82">
            <w:pPr>
              <w:pStyle w:val="TAH"/>
            </w:pPr>
            <w:r w:rsidRPr="000C792B">
              <w:t>Accuracy</w:t>
            </w:r>
          </w:p>
        </w:tc>
        <w:tc>
          <w:tcPr>
            <w:tcW w:w="9105" w:type="dxa"/>
            <w:gridSpan w:val="7"/>
            <w:vAlign w:val="center"/>
            <w:hideMark/>
          </w:tcPr>
          <w:p w14:paraId="39C76A79" w14:textId="77777777" w:rsidR="00060B2A" w:rsidRPr="000C792B" w:rsidRDefault="00060B2A" w:rsidP="00224E82">
            <w:pPr>
              <w:pStyle w:val="TAH"/>
            </w:pPr>
            <w:r w:rsidRPr="000C792B">
              <w:t>Conditions</w:t>
            </w:r>
          </w:p>
        </w:tc>
      </w:tr>
      <w:tr w:rsidR="00060B2A" w:rsidRPr="000C792B" w14:paraId="7AF405B0" w14:textId="77777777" w:rsidTr="00224E82">
        <w:trPr>
          <w:jc w:val="center"/>
        </w:trPr>
        <w:tc>
          <w:tcPr>
            <w:tcW w:w="959" w:type="dxa"/>
            <w:vMerge/>
            <w:vAlign w:val="center"/>
            <w:hideMark/>
          </w:tcPr>
          <w:p w14:paraId="37AE98E2" w14:textId="77777777" w:rsidR="00060B2A" w:rsidRPr="000C792B" w:rsidRDefault="00060B2A" w:rsidP="00224E82">
            <w:pPr>
              <w:pStyle w:val="TAH"/>
            </w:pPr>
          </w:p>
        </w:tc>
        <w:tc>
          <w:tcPr>
            <w:tcW w:w="1163" w:type="dxa"/>
            <w:vMerge w:val="restart"/>
            <w:vAlign w:val="center"/>
            <w:hideMark/>
          </w:tcPr>
          <w:p w14:paraId="402BE154" w14:textId="77777777" w:rsidR="00060B2A" w:rsidRPr="000C792B" w:rsidRDefault="00060B2A" w:rsidP="00224E82">
            <w:pPr>
              <w:pStyle w:val="TAH"/>
            </w:pPr>
            <w:r w:rsidRPr="000C792B">
              <w:t>PRS Ês/Iot</w:t>
            </w:r>
          </w:p>
        </w:tc>
        <w:tc>
          <w:tcPr>
            <w:tcW w:w="992" w:type="dxa"/>
            <w:vMerge w:val="restart"/>
            <w:vAlign w:val="center"/>
            <w:hideMark/>
          </w:tcPr>
          <w:p w14:paraId="6E703B70" w14:textId="77777777" w:rsidR="00060B2A" w:rsidRPr="000C792B" w:rsidRDefault="00060B2A" w:rsidP="00224E82">
            <w:pPr>
              <w:pStyle w:val="TAH"/>
              <w:rPr>
                <w:lang w:eastAsia="zh-CN"/>
              </w:rPr>
            </w:pPr>
            <w:r w:rsidRPr="000C792B">
              <w:t>PRS SCS</w:t>
            </w:r>
          </w:p>
        </w:tc>
        <w:tc>
          <w:tcPr>
            <w:tcW w:w="1134" w:type="dxa"/>
            <w:vMerge w:val="restart"/>
            <w:vAlign w:val="center"/>
            <w:hideMark/>
          </w:tcPr>
          <w:p w14:paraId="62A5356A" w14:textId="77777777" w:rsidR="00060B2A" w:rsidRPr="000C792B" w:rsidRDefault="00060B2A" w:rsidP="00224E82">
            <w:pPr>
              <w:pStyle w:val="TAH"/>
              <w:rPr>
                <w:lang w:eastAsia="zh-CN"/>
              </w:rPr>
            </w:pPr>
            <w:r w:rsidRPr="000C792B">
              <w:rPr>
                <w:lang w:eastAsia="zh-CN"/>
              </w:rPr>
              <w:t>PRS bandwidth</w:t>
            </w:r>
          </w:p>
          <w:p w14:paraId="76FF1BEA" w14:textId="77777777" w:rsidR="00060B2A" w:rsidRPr="000C792B" w:rsidRDefault="00060B2A" w:rsidP="00224E82">
            <w:pPr>
              <w:pStyle w:val="TAH"/>
            </w:pPr>
            <w:r w:rsidRPr="000C792B">
              <w:rPr>
                <w:vertAlign w:val="superscript"/>
              </w:rPr>
              <w:t>Note 1</w:t>
            </w:r>
          </w:p>
        </w:tc>
        <w:tc>
          <w:tcPr>
            <w:tcW w:w="1367" w:type="dxa"/>
            <w:vMerge w:val="restart"/>
            <w:vAlign w:val="center"/>
            <w:hideMark/>
          </w:tcPr>
          <w:p w14:paraId="33DEDC3D" w14:textId="77777777" w:rsidR="00060B2A" w:rsidRPr="000C792B" w:rsidRDefault="00060B2A" w:rsidP="00224E82">
            <w:pPr>
              <w:pStyle w:val="TAH"/>
              <w:rPr>
                <w:lang w:eastAsia="zh-CN"/>
              </w:rPr>
            </w:pPr>
            <w:r w:rsidRPr="000C792B">
              <w:rPr>
                <w:lang w:eastAsia="zh-CN"/>
              </w:rPr>
              <w:t>PRS resource repetition (</w:t>
            </w:r>
            <m:oMath>
              <m:sSubSup>
                <m:sSubSupPr>
                  <m:ctrlPr>
                    <w:rPr>
                      <w:rFonts w:ascii="Cambria Math" w:hAnsi="Cambria Math"/>
                      <w:bCs/>
                      <w:i/>
                      <w:iCs/>
                      <w:lang w:val="en-US" w:eastAsia="zh-CN"/>
                    </w:rPr>
                  </m:ctrlPr>
                </m:sSubSupPr>
                <m:e>
                  <m:r>
                    <m:rPr>
                      <m:sty m:val="b"/>
                    </m:rPr>
                    <w:rPr>
                      <w:rFonts w:ascii="Cambria Math" w:hAnsi="Cambria Math"/>
                      <w:lang w:eastAsia="zh-CN"/>
                    </w:rPr>
                    <m:t>T</m:t>
                  </m:r>
                </m:e>
                <m:sub>
                  <m:r>
                    <m:rPr>
                      <m:nor/>
                    </m:rPr>
                    <w:rPr>
                      <w:bCs/>
                      <w:lang w:eastAsia="zh-CN"/>
                    </w:rPr>
                    <m:t>rep</m:t>
                  </m:r>
                </m:sub>
                <m:sup>
                  <m:r>
                    <m:rPr>
                      <m:nor/>
                    </m:rPr>
                    <w:rPr>
                      <w:bCs/>
                      <w:lang w:eastAsia="zh-CN"/>
                    </w:rPr>
                    <m:t>PRS</m:t>
                  </m:r>
                </m:sup>
              </m:sSubSup>
              <m:r>
                <m:rPr>
                  <m:sty m:val="b"/>
                </m:rPr>
                <w:rPr>
                  <w:rFonts w:ascii="Cambria Math" w:hAnsi="Cambria Math"/>
                  <w:lang w:eastAsia="zh-CN"/>
                </w:rPr>
                <m:t>*</m:t>
              </m:r>
              <m:sSub>
                <m:sSubPr>
                  <m:ctrlPr>
                    <w:rPr>
                      <w:rFonts w:ascii="Cambria Math" w:hAnsi="Cambria Math"/>
                      <w:bCs/>
                      <w:i/>
                      <w:iCs/>
                      <w:lang w:val="en-US" w:eastAsia="zh-CN"/>
                    </w:rPr>
                  </m:ctrlPr>
                </m:sSubPr>
                <m:e>
                  <m:r>
                    <m:rPr>
                      <m:sty m:val="b"/>
                    </m:rPr>
                    <w:rPr>
                      <w:rFonts w:ascii="Cambria Math" w:hAnsi="Cambria Math"/>
                      <w:lang w:eastAsia="zh-CN"/>
                    </w:rPr>
                    <m:t>L</m:t>
                  </m:r>
                </m:e>
                <m:sub>
                  <m:r>
                    <m:rPr>
                      <m:nor/>
                    </m:rPr>
                    <w:rPr>
                      <w:bCs/>
                      <w:lang w:eastAsia="zh-CN"/>
                    </w:rPr>
                    <m:t>PRS</m:t>
                  </m:r>
                </m:sub>
              </m:sSub>
              <m:r>
                <m:rPr>
                  <m:sty m:val="b"/>
                </m:rPr>
                <w:rPr>
                  <w:rFonts w:ascii="Cambria Math" w:hAnsi="Cambria Math"/>
                  <w:lang w:eastAsia="zh-CN"/>
                </w:rPr>
                <m:t>/</m:t>
              </m:r>
              <m:sSubSup>
                <m:sSubSupPr>
                  <m:ctrlPr>
                    <w:rPr>
                      <w:rFonts w:ascii="Cambria Math" w:hAnsi="Cambria Math"/>
                      <w:bCs/>
                      <w:i/>
                      <w:iCs/>
                      <w:lang w:val="en-US" w:eastAsia="zh-CN"/>
                    </w:rPr>
                  </m:ctrlPr>
                </m:sSubSupPr>
                <m:e>
                  <m:r>
                    <m:rPr>
                      <m:sty m:val="b"/>
                    </m:rPr>
                    <w:rPr>
                      <w:rFonts w:ascii="Cambria Math" w:hAnsi="Cambria Math"/>
                      <w:lang w:eastAsia="zh-CN"/>
                    </w:rPr>
                    <m:t>K</m:t>
                  </m:r>
                </m:e>
                <m:sub>
                  <m:r>
                    <m:rPr>
                      <m:nor/>
                    </m:rPr>
                    <w:rPr>
                      <w:bCs/>
                      <w:lang w:eastAsia="zh-CN"/>
                    </w:rPr>
                    <m:t>comb</m:t>
                  </m:r>
                </m:sub>
                <m:sup>
                  <m:r>
                    <m:rPr>
                      <m:nor/>
                    </m:rPr>
                    <w:rPr>
                      <w:bCs/>
                      <w:lang w:eastAsia="zh-CN"/>
                    </w:rPr>
                    <m:t>PRS</m:t>
                  </m:r>
                </m:sup>
              </m:sSubSup>
            </m:oMath>
            <w:r w:rsidRPr="000C792B">
              <w:rPr>
                <w:lang w:eastAsia="zh-CN"/>
              </w:rPr>
              <w:t>)</w:t>
            </w:r>
          </w:p>
          <w:p w14:paraId="07B3F04C" w14:textId="77777777" w:rsidR="00060B2A" w:rsidRPr="000C792B" w:rsidRDefault="00060B2A" w:rsidP="00224E82">
            <w:pPr>
              <w:pStyle w:val="TAH"/>
              <w:rPr>
                <w:lang w:eastAsia="zh-CN"/>
              </w:rPr>
            </w:pPr>
            <w:r w:rsidRPr="000C792B">
              <w:rPr>
                <w:vertAlign w:val="superscript"/>
              </w:rPr>
              <w:t>Note 2</w:t>
            </w:r>
          </w:p>
        </w:tc>
        <w:tc>
          <w:tcPr>
            <w:tcW w:w="4449" w:type="dxa"/>
            <w:gridSpan w:val="3"/>
            <w:vAlign w:val="center"/>
            <w:hideMark/>
          </w:tcPr>
          <w:p w14:paraId="1D1648D0" w14:textId="77777777" w:rsidR="00060B2A" w:rsidRPr="000C792B" w:rsidRDefault="00060B2A" w:rsidP="00224E82">
            <w:pPr>
              <w:pStyle w:val="TAH"/>
            </w:pPr>
            <w:r w:rsidRPr="000C792B">
              <w:t>Io</w:t>
            </w:r>
            <w:r w:rsidRPr="000C792B">
              <w:rPr>
                <w:vertAlign w:val="superscript"/>
                <w:lang w:eastAsia="zh-CN"/>
              </w:rPr>
              <w:t xml:space="preserve"> Note 3</w:t>
            </w:r>
            <w:r w:rsidRPr="000C792B">
              <w:t xml:space="preserve"> range</w:t>
            </w:r>
          </w:p>
        </w:tc>
      </w:tr>
      <w:tr w:rsidR="00060B2A" w:rsidRPr="000C792B" w14:paraId="6D46A2D6" w14:textId="77777777" w:rsidTr="00224E82">
        <w:trPr>
          <w:jc w:val="center"/>
        </w:trPr>
        <w:tc>
          <w:tcPr>
            <w:tcW w:w="959" w:type="dxa"/>
            <w:vMerge/>
            <w:vAlign w:val="center"/>
            <w:hideMark/>
          </w:tcPr>
          <w:p w14:paraId="7E8B1EA1" w14:textId="77777777" w:rsidR="00060B2A" w:rsidRPr="000C792B" w:rsidRDefault="00060B2A" w:rsidP="00224E82">
            <w:pPr>
              <w:pStyle w:val="TAH"/>
            </w:pPr>
          </w:p>
        </w:tc>
        <w:tc>
          <w:tcPr>
            <w:tcW w:w="1163" w:type="dxa"/>
            <w:vMerge/>
            <w:vAlign w:val="center"/>
            <w:hideMark/>
          </w:tcPr>
          <w:p w14:paraId="3A2303B2" w14:textId="77777777" w:rsidR="00060B2A" w:rsidRPr="000C792B" w:rsidRDefault="00060B2A" w:rsidP="00224E82">
            <w:pPr>
              <w:pStyle w:val="TAH"/>
            </w:pPr>
          </w:p>
        </w:tc>
        <w:tc>
          <w:tcPr>
            <w:tcW w:w="992" w:type="dxa"/>
            <w:vMerge/>
            <w:vAlign w:val="center"/>
            <w:hideMark/>
          </w:tcPr>
          <w:p w14:paraId="6C518B38" w14:textId="77777777" w:rsidR="00060B2A" w:rsidRPr="000C792B" w:rsidRDefault="00060B2A" w:rsidP="00224E82">
            <w:pPr>
              <w:pStyle w:val="TAH"/>
              <w:rPr>
                <w:lang w:eastAsia="zh-CN"/>
              </w:rPr>
            </w:pPr>
          </w:p>
        </w:tc>
        <w:tc>
          <w:tcPr>
            <w:tcW w:w="1134" w:type="dxa"/>
            <w:vMerge/>
            <w:vAlign w:val="center"/>
            <w:hideMark/>
          </w:tcPr>
          <w:p w14:paraId="0F56CF18" w14:textId="77777777" w:rsidR="00060B2A" w:rsidRPr="000C792B" w:rsidRDefault="00060B2A" w:rsidP="00224E82">
            <w:pPr>
              <w:pStyle w:val="TAH"/>
            </w:pPr>
          </w:p>
        </w:tc>
        <w:tc>
          <w:tcPr>
            <w:tcW w:w="1367" w:type="dxa"/>
            <w:vMerge/>
            <w:vAlign w:val="center"/>
            <w:hideMark/>
          </w:tcPr>
          <w:p w14:paraId="105386FE" w14:textId="77777777" w:rsidR="00060B2A" w:rsidRPr="000C792B" w:rsidRDefault="00060B2A" w:rsidP="00224E82">
            <w:pPr>
              <w:pStyle w:val="TAH"/>
              <w:rPr>
                <w:lang w:eastAsia="zh-CN"/>
              </w:rPr>
            </w:pPr>
          </w:p>
        </w:tc>
        <w:tc>
          <w:tcPr>
            <w:tcW w:w="2040" w:type="dxa"/>
            <w:vAlign w:val="center"/>
            <w:hideMark/>
          </w:tcPr>
          <w:p w14:paraId="6F6E6562" w14:textId="77777777" w:rsidR="00060B2A" w:rsidRPr="000C792B" w:rsidRDefault="00060B2A" w:rsidP="00224E82">
            <w:pPr>
              <w:pStyle w:val="TAH"/>
            </w:pPr>
            <w:r w:rsidRPr="000C792B">
              <w:t>NR operating band groups</w:t>
            </w:r>
            <w:r w:rsidRPr="000C792B">
              <w:rPr>
                <w:vertAlign w:val="superscript"/>
              </w:rPr>
              <w:t xml:space="preserve"> Note 4</w:t>
            </w:r>
          </w:p>
        </w:tc>
        <w:tc>
          <w:tcPr>
            <w:tcW w:w="1134" w:type="dxa"/>
            <w:vAlign w:val="center"/>
            <w:hideMark/>
          </w:tcPr>
          <w:p w14:paraId="793459C2" w14:textId="77777777" w:rsidR="00060B2A" w:rsidRPr="000C792B" w:rsidRDefault="00060B2A" w:rsidP="00224E82">
            <w:pPr>
              <w:pStyle w:val="TAH"/>
            </w:pPr>
            <w:r w:rsidRPr="000C792B">
              <w:t xml:space="preserve">Minimum Io </w:t>
            </w:r>
          </w:p>
        </w:tc>
        <w:tc>
          <w:tcPr>
            <w:tcW w:w="1275" w:type="dxa"/>
            <w:vAlign w:val="center"/>
            <w:hideMark/>
          </w:tcPr>
          <w:p w14:paraId="68645CBD" w14:textId="77777777" w:rsidR="00060B2A" w:rsidRPr="000C792B" w:rsidRDefault="00060B2A" w:rsidP="00224E82">
            <w:pPr>
              <w:pStyle w:val="TAH"/>
            </w:pPr>
            <w:r w:rsidRPr="000C792B">
              <w:t>Maximum Io</w:t>
            </w:r>
          </w:p>
        </w:tc>
      </w:tr>
      <w:tr w:rsidR="00060B2A" w:rsidRPr="000C792B" w14:paraId="46EB8A98" w14:textId="77777777" w:rsidTr="00224E82">
        <w:trPr>
          <w:jc w:val="center"/>
        </w:trPr>
        <w:tc>
          <w:tcPr>
            <w:tcW w:w="959" w:type="dxa"/>
            <w:vAlign w:val="center"/>
            <w:hideMark/>
          </w:tcPr>
          <w:p w14:paraId="49E1E653" w14:textId="77777777" w:rsidR="00060B2A" w:rsidRPr="000C792B" w:rsidRDefault="00060B2A" w:rsidP="00224E82">
            <w:pPr>
              <w:pStyle w:val="TAH"/>
            </w:pPr>
            <w:r w:rsidRPr="000C792B">
              <w:t>Tc</w:t>
            </w:r>
            <w:r w:rsidRPr="000C792B">
              <w:rPr>
                <w:vertAlign w:val="superscript"/>
                <w:lang w:eastAsia="zh-CN"/>
              </w:rPr>
              <w:t xml:space="preserve"> Note 5</w:t>
            </w:r>
          </w:p>
        </w:tc>
        <w:tc>
          <w:tcPr>
            <w:tcW w:w="1163" w:type="dxa"/>
            <w:vAlign w:val="center"/>
            <w:hideMark/>
          </w:tcPr>
          <w:p w14:paraId="7A4DDE48" w14:textId="77777777" w:rsidR="00060B2A" w:rsidRPr="000C792B" w:rsidRDefault="00060B2A" w:rsidP="00224E82">
            <w:pPr>
              <w:pStyle w:val="TAH"/>
            </w:pPr>
            <w:r w:rsidRPr="000C792B">
              <w:t>dB</w:t>
            </w:r>
          </w:p>
        </w:tc>
        <w:tc>
          <w:tcPr>
            <w:tcW w:w="992" w:type="dxa"/>
            <w:vAlign w:val="center"/>
            <w:hideMark/>
          </w:tcPr>
          <w:p w14:paraId="18557216" w14:textId="77777777" w:rsidR="00060B2A" w:rsidRPr="000C792B" w:rsidRDefault="00060B2A" w:rsidP="00224E82">
            <w:pPr>
              <w:pStyle w:val="TAH"/>
              <w:rPr>
                <w:lang w:eastAsia="zh-CN"/>
              </w:rPr>
            </w:pPr>
            <w:r w:rsidRPr="000C792B">
              <w:rPr>
                <w:lang w:eastAsia="zh-CN"/>
              </w:rPr>
              <w:t>kHz</w:t>
            </w:r>
          </w:p>
        </w:tc>
        <w:tc>
          <w:tcPr>
            <w:tcW w:w="1134" w:type="dxa"/>
            <w:vAlign w:val="center"/>
            <w:hideMark/>
          </w:tcPr>
          <w:p w14:paraId="21066845" w14:textId="77777777" w:rsidR="00060B2A" w:rsidRPr="000C792B" w:rsidRDefault="00060B2A" w:rsidP="00224E82">
            <w:pPr>
              <w:pStyle w:val="TAH"/>
            </w:pPr>
            <w:r w:rsidRPr="000C792B">
              <w:t>RB</w:t>
            </w:r>
          </w:p>
        </w:tc>
        <w:tc>
          <w:tcPr>
            <w:tcW w:w="1367" w:type="dxa"/>
            <w:vAlign w:val="center"/>
          </w:tcPr>
          <w:p w14:paraId="0DDAF457" w14:textId="77777777" w:rsidR="00060B2A" w:rsidRPr="000C792B" w:rsidRDefault="00060B2A" w:rsidP="00224E82">
            <w:pPr>
              <w:pStyle w:val="TAH"/>
            </w:pPr>
          </w:p>
        </w:tc>
        <w:tc>
          <w:tcPr>
            <w:tcW w:w="2040" w:type="dxa"/>
            <w:vAlign w:val="center"/>
          </w:tcPr>
          <w:p w14:paraId="23DC55D8" w14:textId="77777777" w:rsidR="00060B2A" w:rsidRPr="000C792B" w:rsidRDefault="00060B2A" w:rsidP="00224E82">
            <w:pPr>
              <w:pStyle w:val="TAH"/>
            </w:pPr>
          </w:p>
        </w:tc>
        <w:tc>
          <w:tcPr>
            <w:tcW w:w="1134" w:type="dxa"/>
            <w:vAlign w:val="center"/>
            <w:hideMark/>
          </w:tcPr>
          <w:p w14:paraId="56D607B3" w14:textId="77777777" w:rsidR="00060B2A" w:rsidRPr="000C792B" w:rsidRDefault="00060B2A" w:rsidP="00224E82">
            <w:pPr>
              <w:pStyle w:val="TAH"/>
            </w:pPr>
            <w:r w:rsidRPr="000C792B">
              <w:t>dBm/SCS</w:t>
            </w:r>
            <w:r w:rsidRPr="000C792B">
              <w:rPr>
                <w:vertAlign w:val="superscript"/>
                <w:lang w:eastAsia="zh-CN"/>
              </w:rPr>
              <w:t xml:space="preserve"> </w:t>
            </w:r>
          </w:p>
        </w:tc>
        <w:tc>
          <w:tcPr>
            <w:tcW w:w="1275" w:type="dxa"/>
            <w:vAlign w:val="center"/>
            <w:hideMark/>
          </w:tcPr>
          <w:p w14:paraId="6BF23BC3" w14:textId="77777777" w:rsidR="00060B2A" w:rsidRPr="000C792B" w:rsidRDefault="00060B2A" w:rsidP="00224E82">
            <w:pPr>
              <w:pStyle w:val="TAH"/>
            </w:pPr>
            <w:r w:rsidRPr="000C792B">
              <w:t>dBm/BW</w:t>
            </w:r>
            <w:r w:rsidRPr="000C792B">
              <w:rPr>
                <w:vertAlign w:val="subscript"/>
              </w:rPr>
              <w:t>Channel</w:t>
            </w:r>
          </w:p>
        </w:tc>
      </w:tr>
      <w:tr w:rsidR="00F72E7B" w:rsidRPr="000C792B" w14:paraId="0110C954" w14:textId="77777777" w:rsidTr="00255306">
        <w:trPr>
          <w:jc w:val="center"/>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5530D2A4" w14:textId="7A9F99F8" w:rsidR="00F72E7B" w:rsidRPr="000C792B" w:rsidRDefault="00F72E7B" w:rsidP="00F72E7B">
            <w:pPr>
              <w:pStyle w:val="TAC"/>
              <w:rPr>
                <w:lang w:eastAsia="zh-CN"/>
              </w:rPr>
            </w:pPr>
            <w:r w:rsidRPr="000C792B">
              <w:rPr>
                <w:lang w:eastAsia="zh-CN"/>
              </w:rPr>
              <w:t>132</w:t>
            </w:r>
          </w:p>
        </w:tc>
        <w:tc>
          <w:tcPr>
            <w:tcW w:w="1163" w:type="dxa"/>
            <w:vMerge w:val="restart"/>
            <w:vAlign w:val="center"/>
          </w:tcPr>
          <w:p w14:paraId="4D0DCD39" w14:textId="77777777" w:rsidR="00F72E7B" w:rsidRPr="000C792B" w:rsidRDefault="00F72E7B" w:rsidP="00F72E7B">
            <w:pPr>
              <w:pStyle w:val="TAC"/>
            </w:pPr>
            <w:r w:rsidRPr="000C792B">
              <w:t>(PRS Ês/Iot)</w:t>
            </w:r>
            <w:r w:rsidRPr="000C792B">
              <w:rPr>
                <w:vertAlign w:val="subscript"/>
              </w:rPr>
              <w:t xml:space="preserve">ref </w:t>
            </w:r>
            <w:r w:rsidRPr="000C792B">
              <w:t>≥-6dB</w:t>
            </w:r>
          </w:p>
          <w:p w14:paraId="2586CFE9" w14:textId="77777777" w:rsidR="00F72E7B" w:rsidRPr="000C792B" w:rsidRDefault="00F72E7B" w:rsidP="00F72E7B">
            <w:pPr>
              <w:pStyle w:val="TAC"/>
            </w:pPr>
          </w:p>
          <w:p w14:paraId="3FE2ED12" w14:textId="77777777" w:rsidR="00F72E7B" w:rsidRPr="000C792B" w:rsidRDefault="00F72E7B" w:rsidP="00F72E7B">
            <w:pPr>
              <w:pStyle w:val="TAC"/>
            </w:pPr>
            <w:r w:rsidRPr="000C792B">
              <w:t xml:space="preserve"> (PRS Ês/Iot)</w:t>
            </w:r>
            <w:r w:rsidRPr="000C792B">
              <w:rPr>
                <w:i/>
                <w:vertAlign w:val="subscript"/>
              </w:rPr>
              <w:t>i</w:t>
            </w:r>
            <w:r w:rsidRPr="000C792B">
              <w:t xml:space="preserve"> ≥-13dB</w:t>
            </w:r>
          </w:p>
        </w:tc>
        <w:tc>
          <w:tcPr>
            <w:tcW w:w="992" w:type="dxa"/>
            <w:vMerge w:val="restart"/>
            <w:vAlign w:val="center"/>
            <w:hideMark/>
          </w:tcPr>
          <w:p w14:paraId="7FAD93B1" w14:textId="77777777" w:rsidR="00F72E7B" w:rsidRPr="000C792B" w:rsidRDefault="00F72E7B" w:rsidP="00F72E7B">
            <w:pPr>
              <w:pStyle w:val="TAC"/>
              <w:rPr>
                <w:lang w:val="sv-SE" w:eastAsia="zh-CN"/>
              </w:rPr>
            </w:pPr>
            <w:r w:rsidRPr="000C792B">
              <w:rPr>
                <w:lang w:val="sv-SE" w:eastAsia="zh-CN"/>
              </w:rPr>
              <w:t>15</w:t>
            </w:r>
          </w:p>
        </w:tc>
        <w:tc>
          <w:tcPr>
            <w:tcW w:w="1134" w:type="dxa"/>
            <w:vMerge w:val="restart"/>
            <w:vAlign w:val="center"/>
            <w:hideMark/>
          </w:tcPr>
          <w:p w14:paraId="4107EA6E" w14:textId="29C67767" w:rsidR="00F72E7B" w:rsidRPr="000C792B" w:rsidRDefault="00F72E7B" w:rsidP="00F72E7B">
            <w:pPr>
              <w:pStyle w:val="TAC"/>
            </w:pPr>
            <w:r w:rsidRPr="000C792B">
              <w:t>≥ 24</w:t>
            </w:r>
          </w:p>
        </w:tc>
        <w:tc>
          <w:tcPr>
            <w:tcW w:w="1367" w:type="dxa"/>
            <w:vMerge w:val="restart"/>
            <w:vAlign w:val="center"/>
            <w:hideMark/>
          </w:tcPr>
          <w:p w14:paraId="67B964FC" w14:textId="407D6532" w:rsidR="00F72E7B" w:rsidRPr="000C792B" w:rsidRDefault="00F72E7B" w:rsidP="00F72E7B">
            <w:pPr>
              <w:pStyle w:val="TAC"/>
            </w:pPr>
            <w:r w:rsidRPr="000C792B">
              <w:t>≥ 4</w:t>
            </w:r>
          </w:p>
        </w:tc>
        <w:tc>
          <w:tcPr>
            <w:tcW w:w="2040" w:type="dxa"/>
            <w:tcBorders>
              <w:top w:val="single" w:sz="4" w:space="0" w:color="auto"/>
              <w:left w:val="single" w:sz="4" w:space="0" w:color="auto"/>
              <w:bottom w:val="single" w:sz="4" w:space="0" w:color="auto"/>
              <w:right w:val="single" w:sz="4" w:space="0" w:color="auto"/>
            </w:tcBorders>
            <w:vAlign w:val="center"/>
            <w:hideMark/>
          </w:tcPr>
          <w:p w14:paraId="6FD02504" w14:textId="77777777" w:rsidR="00F72E7B" w:rsidRDefault="00F72E7B" w:rsidP="00F72E7B">
            <w:pPr>
              <w:pStyle w:val="TAC"/>
              <w:rPr>
                <w:szCs w:val="18"/>
              </w:rPr>
            </w:pPr>
            <w:r>
              <w:rPr>
                <w:szCs w:val="18"/>
              </w:rPr>
              <w:t>NR_FDD_FR1_A, NR_TDD_FR1_A,</w:t>
            </w:r>
          </w:p>
          <w:p w14:paraId="6F88A296" w14:textId="1F29082F" w:rsidR="00F72E7B" w:rsidRPr="000C792B" w:rsidRDefault="00F72E7B" w:rsidP="00F72E7B">
            <w:pPr>
              <w:pStyle w:val="TAC"/>
            </w:pPr>
            <w:r>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7D23E4A" w14:textId="5217AF43" w:rsidR="00F72E7B" w:rsidRPr="000C792B" w:rsidRDefault="00F72E7B" w:rsidP="00F72E7B">
            <w:pPr>
              <w:pStyle w:val="TAC"/>
            </w:pPr>
            <w:r>
              <w:t>-127</w:t>
            </w:r>
          </w:p>
        </w:tc>
        <w:tc>
          <w:tcPr>
            <w:tcW w:w="1275" w:type="dxa"/>
            <w:vAlign w:val="center"/>
            <w:hideMark/>
          </w:tcPr>
          <w:p w14:paraId="07AC8902" w14:textId="77777777" w:rsidR="00F72E7B" w:rsidRPr="000C792B" w:rsidRDefault="00F72E7B" w:rsidP="00F72E7B">
            <w:pPr>
              <w:pStyle w:val="TAC"/>
              <w:rPr>
                <w:lang w:eastAsia="zh-CN"/>
              </w:rPr>
            </w:pPr>
            <w:r w:rsidRPr="000C792B">
              <w:rPr>
                <w:lang w:eastAsia="zh-CN"/>
              </w:rPr>
              <w:t>-50</w:t>
            </w:r>
          </w:p>
        </w:tc>
      </w:tr>
      <w:tr w:rsidR="00F72E7B" w:rsidRPr="000C792B" w14:paraId="5B560500" w14:textId="77777777" w:rsidTr="00255306">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7C084672" w14:textId="77777777" w:rsidR="00F72E7B" w:rsidRPr="000C792B" w:rsidRDefault="00F72E7B" w:rsidP="00F72E7B">
            <w:pPr>
              <w:pStyle w:val="TAC"/>
              <w:rPr>
                <w:lang w:eastAsia="zh-CN"/>
              </w:rPr>
            </w:pPr>
          </w:p>
        </w:tc>
        <w:tc>
          <w:tcPr>
            <w:tcW w:w="1163" w:type="dxa"/>
            <w:vMerge/>
            <w:vAlign w:val="center"/>
            <w:hideMark/>
          </w:tcPr>
          <w:p w14:paraId="648386B0" w14:textId="77777777" w:rsidR="00F72E7B" w:rsidRPr="000C792B" w:rsidRDefault="00F72E7B" w:rsidP="00F72E7B">
            <w:pPr>
              <w:pStyle w:val="TAC"/>
              <w:rPr>
                <w:lang w:val="sv-SE"/>
              </w:rPr>
            </w:pPr>
          </w:p>
        </w:tc>
        <w:tc>
          <w:tcPr>
            <w:tcW w:w="992" w:type="dxa"/>
            <w:vMerge/>
            <w:vAlign w:val="center"/>
            <w:hideMark/>
          </w:tcPr>
          <w:p w14:paraId="24D2FC4F" w14:textId="77777777" w:rsidR="00F72E7B" w:rsidRPr="000C792B" w:rsidRDefault="00F72E7B" w:rsidP="00F72E7B">
            <w:pPr>
              <w:pStyle w:val="TAC"/>
              <w:rPr>
                <w:lang w:val="sv-SE" w:eastAsia="zh-CN"/>
              </w:rPr>
            </w:pPr>
          </w:p>
        </w:tc>
        <w:tc>
          <w:tcPr>
            <w:tcW w:w="1134" w:type="dxa"/>
            <w:vMerge/>
            <w:vAlign w:val="center"/>
            <w:hideMark/>
          </w:tcPr>
          <w:p w14:paraId="4D262B87" w14:textId="77777777" w:rsidR="00F72E7B" w:rsidRPr="000C792B" w:rsidRDefault="00F72E7B" w:rsidP="00F72E7B">
            <w:pPr>
              <w:pStyle w:val="TAC"/>
            </w:pPr>
          </w:p>
        </w:tc>
        <w:tc>
          <w:tcPr>
            <w:tcW w:w="1367" w:type="dxa"/>
            <w:vMerge/>
            <w:vAlign w:val="center"/>
            <w:hideMark/>
          </w:tcPr>
          <w:p w14:paraId="4C60C929"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3812120C" w14:textId="1E360C22" w:rsidR="00F72E7B" w:rsidRPr="000C792B" w:rsidRDefault="00F72E7B" w:rsidP="00F72E7B">
            <w:pPr>
              <w:pStyle w:val="TAC"/>
            </w:pPr>
            <w:r>
              <w:t>NR_FDD_FR1_B</w:t>
            </w:r>
          </w:p>
        </w:tc>
        <w:tc>
          <w:tcPr>
            <w:tcW w:w="1134" w:type="dxa"/>
            <w:tcBorders>
              <w:top w:val="single" w:sz="4" w:space="0" w:color="auto"/>
              <w:left w:val="single" w:sz="4" w:space="0" w:color="auto"/>
              <w:bottom w:val="single" w:sz="4" w:space="0" w:color="auto"/>
              <w:right w:val="single" w:sz="4" w:space="0" w:color="auto"/>
            </w:tcBorders>
            <w:hideMark/>
          </w:tcPr>
          <w:p w14:paraId="284B1C45" w14:textId="71AB821E" w:rsidR="00F72E7B" w:rsidRPr="000C792B" w:rsidRDefault="00F72E7B" w:rsidP="00F72E7B">
            <w:pPr>
              <w:pStyle w:val="TAC"/>
            </w:pPr>
            <w:r>
              <w:t>-126.5</w:t>
            </w:r>
          </w:p>
        </w:tc>
        <w:tc>
          <w:tcPr>
            <w:tcW w:w="1275" w:type="dxa"/>
            <w:hideMark/>
          </w:tcPr>
          <w:p w14:paraId="64884899" w14:textId="77777777" w:rsidR="00F72E7B" w:rsidRPr="000C792B" w:rsidRDefault="00F72E7B" w:rsidP="00F72E7B">
            <w:pPr>
              <w:pStyle w:val="TAC"/>
            </w:pPr>
            <w:r w:rsidRPr="000C792B">
              <w:rPr>
                <w:lang w:eastAsia="zh-CN"/>
              </w:rPr>
              <w:t>-50</w:t>
            </w:r>
          </w:p>
        </w:tc>
      </w:tr>
      <w:tr w:rsidR="00F72E7B" w:rsidRPr="000C792B" w14:paraId="11BF05BD" w14:textId="77777777" w:rsidTr="00255306">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E0AAEAA" w14:textId="77777777" w:rsidR="00F72E7B" w:rsidRPr="000C792B" w:rsidRDefault="00F72E7B" w:rsidP="00F72E7B">
            <w:pPr>
              <w:pStyle w:val="TAC"/>
              <w:rPr>
                <w:lang w:eastAsia="zh-CN"/>
              </w:rPr>
            </w:pPr>
          </w:p>
        </w:tc>
        <w:tc>
          <w:tcPr>
            <w:tcW w:w="1163" w:type="dxa"/>
            <w:vMerge/>
            <w:vAlign w:val="center"/>
            <w:hideMark/>
          </w:tcPr>
          <w:p w14:paraId="4ADB652E" w14:textId="77777777" w:rsidR="00F72E7B" w:rsidRPr="000C792B" w:rsidRDefault="00F72E7B" w:rsidP="00F72E7B">
            <w:pPr>
              <w:pStyle w:val="TAC"/>
              <w:rPr>
                <w:lang w:val="sv-SE"/>
              </w:rPr>
            </w:pPr>
          </w:p>
        </w:tc>
        <w:tc>
          <w:tcPr>
            <w:tcW w:w="992" w:type="dxa"/>
            <w:vMerge/>
            <w:vAlign w:val="center"/>
            <w:hideMark/>
          </w:tcPr>
          <w:p w14:paraId="5DC5831B" w14:textId="77777777" w:rsidR="00F72E7B" w:rsidRPr="000C792B" w:rsidRDefault="00F72E7B" w:rsidP="00F72E7B">
            <w:pPr>
              <w:pStyle w:val="TAC"/>
              <w:rPr>
                <w:lang w:val="sv-SE" w:eastAsia="zh-CN"/>
              </w:rPr>
            </w:pPr>
          </w:p>
        </w:tc>
        <w:tc>
          <w:tcPr>
            <w:tcW w:w="1134" w:type="dxa"/>
            <w:vMerge/>
            <w:vAlign w:val="center"/>
            <w:hideMark/>
          </w:tcPr>
          <w:p w14:paraId="7D438423" w14:textId="77777777" w:rsidR="00F72E7B" w:rsidRPr="000C792B" w:rsidRDefault="00F72E7B" w:rsidP="00F72E7B">
            <w:pPr>
              <w:pStyle w:val="TAC"/>
            </w:pPr>
          </w:p>
        </w:tc>
        <w:tc>
          <w:tcPr>
            <w:tcW w:w="1367" w:type="dxa"/>
            <w:vMerge/>
            <w:vAlign w:val="center"/>
            <w:hideMark/>
          </w:tcPr>
          <w:p w14:paraId="2231310C"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5433566D" w14:textId="28FC7716" w:rsidR="00F72E7B" w:rsidRPr="000C792B" w:rsidRDefault="00F72E7B" w:rsidP="00F72E7B">
            <w:pPr>
              <w:pStyle w:val="TAC"/>
            </w:pPr>
            <w:r>
              <w:t>NR_TDD_FR1_C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0876EDC" w14:textId="5BAB9E80" w:rsidR="00F72E7B" w:rsidRPr="000C792B" w:rsidRDefault="00F72E7B" w:rsidP="00F72E7B">
            <w:pPr>
              <w:pStyle w:val="TAC"/>
            </w:pPr>
            <w:r>
              <w:t>-126</w:t>
            </w:r>
          </w:p>
        </w:tc>
        <w:tc>
          <w:tcPr>
            <w:tcW w:w="1275" w:type="dxa"/>
            <w:hideMark/>
          </w:tcPr>
          <w:p w14:paraId="76B4D0E6" w14:textId="77777777" w:rsidR="00F72E7B" w:rsidRPr="000C792B" w:rsidRDefault="00F72E7B" w:rsidP="00F72E7B">
            <w:pPr>
              <w:pStyle w:val="TAC"/>
            </w:pPr>
            <w:r w:rsidRPr="000C792B">
              <w:rPr>
                <w:lang w:eastAsia="zh-CN"/>
              </w:rPr>
              <w:t>-50</w:t>
            </w:r>
          </w:p>
        </w:tc>
      </w:tr>
      <w:tr w:rsidR="00F72E7B" w:rsidRPr="000C792B" w14:paraId="32349159" w14:textId="77777777" w:rsidTr="00255306">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684BD2A3" w14:textId="77777777" w:rsidR="00F72E7B" w:rsidRPr="000C792B" w:rsidRDefault="00F72E7B" w:rsidP="00F72E7B">
            <w:pPr>
              <w:pStyle w:val="TAC"/>
              <w:rPr>
                <w:lang w:eastAsia="zh-CN"/>
              </w:rPr>
            </w:pPr>
          </w:p>
        </w:tc>
        <w:tc>
          <w:tcPr>
            <w:tcW w:w="1163" w:type="dxa"/>
            <w:vMerge/>
            <w:vAlign w:val="center"/>
            <w:hideMark/>
          </w:tcPr>
          <w:p w14:paraId="3FDCB326" w14:textId="77777777" w:rsidR="00F72E7B" w:rsidRPr="000C792B" w:rsidRDefault="00F72E7B" w:rsidP="00F72E7B">
            <w:pPr>
              <w:pStyle w:val="TAC"/>
              <w:rPr>
                <w:lang w:val="sv-SE"/>
              </w:rPr>
            </w:pPr>
          </w:p>
        </w:tc>
        <w:tc>
          <w:tcPr>
            <w:tcW w:w="992" w:type="dxa"/>
            <w:vMerge/>
            <w:vAlign w:val="center"/>
            <w:hideMark/>
          </w:tcPr>
          <w:p w14:paraId="10D17CEB" w14:textId="77777777" w:rsidR="00F72E7B" w:rsidRPr="000C792B" w:rsidRDefault="00F72E7B" w:rsidP="00F72E7B">
            <w:pPr>
              <w:pStyle w:val="TAC"/>
              <w:rPr>
                <w:lang w:val="sv-SE" w:eastAsia="zh-CN"/>
              </w:rPr>
            </w:pPr>
          </w:p>
        </w:tc>
        <w:tc>
          <w:tcPr>
            <w:tcW w:w="1134" w:type="dxa"/>
            <w:vMerge/>
            <w:vAlign w:val="center"/>
            <w:hideMark/>
          </w:tcPr>
          <w:p w14:paraId="4FB1FB1E" w14:textId="77777777" w:rsidR="00F72E7B" w:rsidRPr="000C792B" w:rsidRDefault="00F72E7B" w:rsidP="00F72E7B">
            <w:pPr>
              <w:pStyle w:val="TAC"/>
            </w:pPr>
          </w:p>
        </w:tc>
        <w:tc>
          <w:tcPr>
            <w:tcW w:w="1367" w:type="dxa"/>
            <w:vMerge/>
            <w:vAlign w:val="center"/>
            <w:hideMark/>
          </w:tcPr>
          <w:p w14:paraId="79FB8D21"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2622605" w14:textId="2BE5535F" w:rsidR="00F72E7B" w:rsidRPr="000C792B" w:rsidRDefault="00F72E7B" w:rsidP="00F72E7B">
            <w:pPr>
              <w:pStyle w:val="TAC"/>
              <w:rPr>
                <w:lang w:val="sv-SE"/>
              </w:rPr>
            </w:pPr>
            <w:r>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A59718C" w14:textId="61EC7A07" w:rsidR="00F72E7B" w:rsidRPr="000C792B" w:rsidRDefault="00F72E7B" w:rsidP="00F72E7B">
            <w:pPr>
              <w:pStyle w:val="TAC"/>
            </w:pPr>
            <w:r>
              <w:t>-125.5</w:t>
            </w:r>
          </w:p>
        </w:tc>
        <w:tc>
          <w:tcPr>
            <w:tcW w:w="1275" w:type="dxa"/>
            <w:hideMark/>
          </w:tcPr>
          <w:p w14:paraId="6465D8A1" w14:textId="77777777" w:rsidR="00F72E7B" w:rsidRPr="000C792B" w:rsidRDefault="00F72E7B" w:rsidP="00F72E7B">
            <w:pPr>
              <w:pStyle w:val="TAC"/>
            </w:pPr>
            <w:r w:rsidRPr="000C792B">
              <w:rPr>
                <w:lang w:eastAsia="zh-CN"/>
              </w:rPr>
              <w:t>-50</w:t>
            </w:r>
          </w:p>
        </w:tc>
      </w:tr>
      <w:tr w:rsidR="00F72E7B" w:rsidRPr="000C792B" w14:paraId="1DF31E68" w14:textId="77777777" w:rsidTr="00255306">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25B8DCA6" w14:textId="77777777" w:rsidR="00F72E7B" w:rsidRPr="000C792B" w:rsidRDefault="00F72E7B" w:rsidP="00F72E7B">
            <w:pPr>
              <w:pStyle w:val="TAC"/>
              <w:rPr>
                <w:lang w:eastAsia="zh-CN"/>
              </w:rPr>
            </w:pPr>
          </w:p>
        </w:tc>
        <w:tc>
          <w:tcPr>
            <w:tcW w:w="1163" w:type="dxa"/>
            <w:vMerge/>
            <w:vAlign w:val="center"/>
            <w:hideMark/>
          </w:tcPr>
          <w:p w14:paraId="3FF59390" w14:textId="77777777" w:rsidR="00F72E7B" w:rsidRPr="000C792B" w:rsidRDefault="00F72E7B" w:rsidP="00F72E7B">
            <w:pPr>
              <w:pStyle w:val="TAC"/>
              <w:rPr>
                <w:lang w:val="sv-SE"/>
              </w:rPr>
            </w:pPr>
          </w:p>
        </w:tc>
        <w:tc>
          <w:tcPr>
            <w:tcW w:w="992" w:type="dxa"/>
            <w:vMerge/>
            <w:vAlign w:val="center"/>
            <w:hideMark/>
          </w:tcPr>
          <w:p w14:paraId="4B2ACB30" w14:textId="77777777" w:rsidR="00F72E7B" w:rsidRPr="000C792B" w:rsidRDefault="00F72E7B" w:rsidP="00F72E7B">
            <w:pPr>
              <w:pStyle w:val="TAC"/>
              <w:rPr>
                <w:lang w:val="sv-SE" w:eastAsia="zh-CN"/>
              </w:rPr>
            </w:pPr>
          </w:p>
        </w:tc>
        <w:tc>
          <w:tcPr>
            <w:tcW w:w="1134" w:type="dxa"/>
            <w:vMerge/>
            <w:vAlign w:val="center"/>
            <w:hideMark/>
          </w:tcPr>
          <w:p w14:paraId="43C1BC0A" w14:textId="77777777" w:rsidR="00F72E7B" w:rsidRPr="000C792B" w:rsidRDefault="00F72E7B" w:rsidP="00F72E7B">
            <w:pPr>
              <w:pStyle w:val="TAC"/>
            </w:pPr>
          </w:p>
        </w:tc>
        <w:tc>
          <w:tcPr>
            <w:tcW w:w="1367" w:type="dxa"/>
            <w:vMerge/>
            <w:vAlign w:val="center"/>
            <w:hideMark/>
          </w:tcPr>
          <w:p w14:paraId="7A57B009"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11093266" w14:textId="266BB257" w:rsidR="00F72E7B" w:rsidRPr="000C792B" w:rsidRDefault="00F72E7B" w:rsidP="00F72E7B">
            <w:pPr>
              <w:pStyle w:val="TAC"/>
              <w:rPr>
                <w:lang w:val="sv-SE"/>
              </w:rPr>
            </w:pPr>
            <w:r>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8DF208A" w14:textId="48123D1A" w:rsidR="00F72E7B" w:rsidRPr="000C792B" w:rsidRDefault="00F72E7B" w:rsidP="00F72E7B">
            <w:pPr>
              <w:pStyle w:val="TAC"/>
            </w:pPr>
            <w:r>
              <w:t>-125</w:t>
            </w:r>
          </w:p>
        </w:tc>
        <w:tc>
          <w:tcPr>
            <w:tcW w:w="1275" w:type="dxa"/>
            <w:hideMark/>
          </w:tcPr>
          <w:p w14:paraId="12F00B6D" w14:textId="77777777" w:rsidR="00F72E7B" w:rsidRPr="000C792B" w:rsidRDefault="00F72E7B" w:rsidP="00F72E7B">
            <w:pPr>
              <w:pStyle w:val="TAC"/>
            </w:pPr>
            <w:r w:rsidRPr="000C792B">
              <w:rPr>
                <w:lang w:eastAsia="zh-CN"/>
              </w:rPr>
              <w:t>-50</w:t>
            </w:r>
          </w:p>
        </w:tc>
      </w:tr>
      <w:tr w:rsidR="00F72E7B" w:rsidRPr="000C792B" w14:paraId="7A81939F" w14:textId="77777777" w:rsidTr="00255306">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12E22C0A" w14:textId="77777777" w:rsidR="00F72E7B" w:rsidRPr="000C792B" w:rsidRDefault="00F72E7B" w:rsidP="00F72E7B">
            <w:pPr>
              <w:pStyle w:val="TAC"/>
              <w:rPr>
                <w:lang w:eastAsia="zh-CN"/>
              </w:rPr>
            </w:pPr>
          </w:p>
        </w:tc>
        <w:tc>
          <w:tcPr>
            <w:tcW w:w="1163" w:type="dxa"/>
            <w:vMerge/>
            <w:vAlign w:val="center"/>
            <w:hideMark/>
          </w:tcPr>
          <w:p w14:paraId="09C02E37" w14:textId="77777777" w:rsidR="00F72E7B" w:rsidRPr="000C792B" w:rsidRDefault="00F72E7B" w:rsidP="00F72E7B">
            <w:pPr>
              <w:pStyle w:val="TAC"/>
              <w:rPr>
                <w:lang w:val="sv-SE"/>
              </w:rPr>
            </w:pPr>
          </w:p>
        </w:tc>
        <w:tc>
          <w:tcPr>
            <w:tcW w:w="992" w:type="dxa"/>
            <w:vMerge/>
            <w:vAlign w:val="center"/>
            <w:hideMark/>
          </w:tcPr>
          <w:p w14:paraId="2CB99866" w14:textId="77777777" w:rsidR="00F72E7B" w:rsidRPr="000C792B" w:rsidRDefault="00F72E7B" w:rsidP="00F72E7B">
            <w:pPr>
              <w:pStyle w:val="TAC"/>
              <w:rPr>
                <w:lang w:val="sv-SE" w:eastAsia="zh-CN"/>
              </w:rPr>
            </w:pPr>
          </w:p>
        </w:tc>
        <w:tc>
          <w:tcPr>
            <w:tcW w:w="1134" w:type="dxa"/>
            <w:vMerge/>
            <w:vAlign w:val="center"/>
            <w:hideMark/>
          </w:tcPr>
          <w:p w14:paraId="67183F2B" w14:textId="77777777" w:rsidR="00F72E7B" w:rsidRPr="000C792B" w:rsidRDefault="00F72E7B" w:rsidP="00F72E7B">
            <w:pPr>
              <w:pStyle w:val="TAC"/>
            </w:pPr>
          </w:p>
        </w:tc>
        <w:tc>
          <w:tcPr>
            <w:tcW w:w="1367" w:type="dxa"/>
            <w:vMerge/>
            <w:vAlign w:val="center"/>
            <w:hideMark/>
          </w:tcPr>
          <w:p w14:paraId="283C44B7"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2B24F021" w14:textId="4607E1E5" w:rsidR="00F72E7B" w:rsidRPr="000C792B" w:rsidRDefault="00F72E7B" w:rsidP="00F72E7B">
            <w:pPr>
              <w:pStyle w:val="TAC"/>
            </w:pPr>
            <w:r>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1CFF0D" w14:textId="7EBEF11F" w:rsidR="00F72E7B" w:rsidRPr="000C792B" w:rsidRDefault="00F72E7B" w:rsidP="00F72E7B">
            <w:pPr>
              <w:pStyle w:val="TAC"/>
            </w:pPr>
            <w:r>
              <w:t>-124.5</w:t>
            </w:r>
          </w:p>
        </w:tc>
        <w:tc>
          <w:tcPr>
            <w:tcW w:w="1275" w:type="dxa"/>
            <w:hideMark/>
          </w:tcPr>
          <w:p w14:paraId="4A716020" w14:textId="77777777" w:rsidR="00F72E7B" w:rsidRPr="000C792B" w:rsidRDefault="00F72E7B" w:rsidP="00F72E7B">
            <w:pPr>
              <w:pStyle w:val="TAC"/>
            </w:pPr>
            <w:r w:rsidRPr="000C792B">
              <w:rPr>
                <w:lang w:eastAsia="zh-CN"/>
              </w:rPr>
              <w:t>-50</w:t>
            </w:r>
          </w:p>
        </w:tc>
      </w:tr>
      <w:tr w:rsidR="00F72E7B" w:rsidRPr="000C792B" w14:paraId="16BB27BE" w14:textId="77777777" w:rsidTr="00255306">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58093F75" w14:textId="77777777" w:rsidR="00F72E7B" w:rsidRPr="000C792B" w:rsidRDefault="00F72E7B" w:rsidP="00F72E7B">
            <w:pPr>
              <w:pStyle w:val="TAC"/>
              <w:rPr>
                <w:lang w:eastAsia="zh-CN"/>
              </w:rPr>
            </w:pPr>
          </w:p>
        </w:tc>
        <w:tc>
          <w:tcPr>
            <w:tcW w:w="1163" w:type="dxa"/>
            <w:vMerge/>
            <w:vAlign w:val="center"/>
            <w:hideMark/>
          </w:tcPr>
          <w:p w14:paraId="75D45FB7" w14:textId="77777777" w:rsidR="00F72E7B" w:rsidRPr="000C792B" w:rsidRDefault="00F72E7B" w:rsidP="00F72E7B">
            <w:pPr>
              <w:pStyle w:val="TAC"/>
              <w:rPr>
                <w:lang w:val="sv-SE"/>
              </w:rPr>
            </w:pPr>
          </w:p>
        </w:tc>
        <w:tc>
          <w:tcPr>
            <w:tcW w:w="992" w:type="dxa"/>
            <w:vMerge/>
            <w:vAlign w:val="center"/>
            <w:hideMark/>
          </w:tcPr>
          <w:p w14:paraId="6F68E51E" w14:textId="77777777" w:rsidR="00F72E7B" w:rsidRPr="000C792B" w:rsidRDefault="00F72E7B" w:rsidP="00F72E7B">
            <w:pPr>
              <w:pStyle w:val="TAC"/>
              <w:rPr>
                <w:lang w:val="sv-SE" w:eastAsia="zh-CN"/>
              </w:rPr>
            </w:pPr>
          </w:p>
        </w:tc>
        <w:tc>
          <w:tcPr>
            <w:tcW w:w="1134" w:type="dxa"/>
            <w:vMerge/>
            <w:vAlign w:val="center"/>
            <w:hideMark/>
          </w:tcPr>
          <w:p w14:paraId="262A90A2" w14:textId="77777777" w:rsidR="00F72E7B" w:rsidRPr="000C792B" w:rsidRDefault="00F72E7B" w:rsidP="00F72E7B">
            <w:pPr>
              <w:pStyle w:val="TAC"/>
            </w:pPr>
          </w:p>
        </w:tc>
        <w:tc>
          <w:tcPr>
            <w:tcW w:w="1367" w:type="dxa"/>
            <w:vMerge/>
            <w:vAlign w:val="center"/>
            <w:hideMark/>
          </w:tcPr>
          <w:p w14:paraId="49FB5D82"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B3F2914" w14:textId="2AB3ABFD" w:rsidR="00F72E7B" w:rsidRPr="000C792B" w:rsidRDefault="00F72E7B" w:rsidP="00F72E7B">
            <w:pPr>
              <w:pStyle w:val="TAC"/>
            </w:pPr>
            <w:r>
              <w:rPr>
                <w:lang w:eastAsia="zh-CN"/>
              </w:rPr>
              <w:t>NR</w:t>
            </w:r>
            <w:r>
              <w:t>_</w:t>
            </w:r>
            <w:r>
              <w:rPr>
                <w:lang w:eastAsia="zh-CN"/>
              </w:rPr>
              <w:t>FDD_FR1_G</w:t>
            </w:r>
            <w:r>
              <w:rPr>
                <w:rFonts w:hint="eastAsia"/>
                <w:lang w:eastAsia="zh-CN"/>
              </w:rPr>
              <w:t xml:space="preserve">, </w:t>
            </w:r>
            <w:r>
              <w:rPr>
                <w:lang w:eastAsia="zh-CN"/>
              </w:rPr>
              <w:t>NR</w:t>
            </w:r>
            <w:r>
              <w:t>_</w:t>
            </w:r>
            <w:r>
              <w:rPr>
                <w:rFonts w:hint="eastAsia"/>
                <w:lang w:eastAsia="zh-CN"/>
              </w:rPr>
              <w:t>T</w:t>
            </w:r>
            <w:r>
              <w:rPr>
                <w:lang w:eastAsia="zh-CN"/>
              </w:rPr>
              <w:t>DD_FR1_G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117D0D6" w14:textId="7E353AED" w:rsidR="00F72E7B" w:rsidRPr="000C792B" w:rsidRDefault="00F72E7B" w:rsidP="00F72E7B">
            <w:pPr>
              <w:pStyle w:val="TAC"/>
            </w:pPr>
            <w:r>
              <w:t>-124</w:t>
            </w:r>
          </w:p>
        </w:tc>
        <w:tc>
          <w:tcPr>
            <w:tcW w:w="1275" w:type="dxa"/>
            <w:hideMark/>
          </w:tcPr>
          <w:p w14:paraId="19B38327" w14:textId="77777777" w:rsidR="00F72E7B" w:rsidRPr="000C792B" w:rsidRDefault="00F72E7B" w:rsidP="00F72E7B">
            <w:pPr>
              <w:pStyle w:val="TAC"/>
            </w:pPr>
            <w:r w:rsidRPr="000C792B">
              <w:rPr>
                <w:lang w:eastAsia="zh-CN"/>
              </w:rPr>
              <w:t>-50</w:t>
            </w:r>
          </w:p>
        </w:tc>
      </w:tr>
      <w:tr w:rsidR="00F72E7B" w:rsidRPr="000C792B" w14:paraId="23BBFFDE" w14:textId="77777777" w:rsidTr="00255306">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24F05CD2" w14:textId="77777777" w:rsidR="00F72E7B" w:rsidRPr="000C792B" w:rsidRDefault="00F72E7B" w:rsidP="00F72E7B">
            <w:pPr>
              <w:pStyle w:val="TAC"/>
              <w:rPr>
                <w:lang w:eastAsia="zh-CN"/>
              </w:rPr>
            </w:pPr>
          </w:p>
        </w:tc>
        <w:tc>
          <w:tcPr>
            <w:tcW w:w="1163" w:type="dxa"/>
            <w:vMerge/>
            <w:vAlign w:val="center"/>
            <w:hideMark/>
          </w:tcPr>
          <w:p w14:paraId="3425B1FE" w14:textId="77777777" w:rsidR="00F72E7B" w:rsidRPr="000C792B" w:rsidRDefault="00F72E7B" w:rsidP="00F72E7B">
            <w:pPr>
              <w:pStyle w:val="TAC"/>
              <w:rPr>
                <w:lang w:val="sv-SE"/>
              </w:rPr>
            </w:pPr>
          </w:p>
        </w:tc>
        <w:tc>
          <w:tcPr>
            <w:tcW w:w="992" w:type="dxa"/>
            <w:vMerge/>
            <w:vAlign w:val="center"/>
            <w:hideMark/>
          </w:tcPr>
          <w:p w14:paraId="252A1E9D" w14:textId="77777777" w:rsidR="00F72E7B" w:rsidRPr="000C792B" w:rsidRDefault="00F72E7B" w:rsidP="00F72E7B">
            <w:pPr>
              <w:pStyle w:val="TAC"/>
              <w:rPr>
                <w:lang w:val="sv-SE" w:eastAsia="zh-CN"/>
              </w:rPr>
            </w:pPr>
          </w:p>
        </w:tc>
        <w:tc>
          <w:tcPr>
            <w:tcW w:w="1134" w:type="dxa"/>
            <w:vMerge/>
            <w:vAlign w:val="center"/>
            <w:hideMark/>
          </w:tcPr>
          <w:p w14:paraId="5BE52F7F" w14:textId="77777777" w:rsidR="00F72E7B" w:rsidRPr="000C792B" w:rsidRDefault="00F72E7B" w:rsidP="00F72E7B">
            <w:pPr>
              <w:pStyle w:val="TAC"/>
            </w:pPr>
          </w:p>
        </w:tc>
        <w:tc>
          <w:tcPr>
            <w:tcW w:w="1367" w:type="dxa"/>
            <w:vMerge/>
            <w:vAlign w:val="center"/>
            <w:hideMark/>
          </w:tcPr>
          <w:p w14:paraId="025BF967"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1D7B84DD" w14:textId="4663F6DA" w:rsidR="00F72E7B" w:rsidRPr="000C792B" w:rsidRDefault="00F72E7B" w:rsidP="00F72E7B">
            <w:pPr>
              <w:pStyle w:val="TAC"/>
            </w:pPr>
            <w:r>
              <w:rPr>
                <w:lang w:eastAsia="zh-CN"/>
              </w:rPr>
              <w:t>NR</w:t>
            </w:r>
            <w:r>
              <w:t>_</w:t>
            </w:r>
            <w:r>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A4DEB7" w14:textId="5B22A24A" w:rsidR="00F72E7B" w:rsidRPr="000C792B" w:rsidRDefault="00F72E7B" w:rsidP="00F72E7B">
            <w:pPr>
              <w:pStyle w:val="TAC"/>
            </w:pPr>
            <w:r>
              <w:t>-123.5</w:t>
            </w:r>
          </w:p>
        </w:tc>
        <w:tc>
          <w:tcPr>
            <w:tcW w:w="1275" w:type="dxa"/>
            <w:hideMark/>
          </w:tcPr>
          <w:p w14:paraId="1E00E774" w14:textId="77777777" w:rsidR="00F72E7B" w:rsidRPr="000C792B" w:rsidRDefault="00F72E7B" w:rsidP="00F72E7B">
            <w:pPr>
              <w:pStyle w:val="TAC"/>
            </w:pPr>
            <w:r w:rsidRPr="000C792B">
              <w:rPr>
                <w:lang w:eastAsia="zh-CN"/>
              </w:rPr>
              <w:t>-50</w:t>
            </w:r>
          </w:p>
        </w:tc>
      </w:tr>
      <w:tr w:rsidR="005F67F3" w:rsidRPr="000C792B" w14:paraId="49777821"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hideMark/>
          </w:tcPr>
          <w:p w14:paraId="7E53C05C" w14:textId="30479E91" w:rsidR="005F67F3" w:rsidRPr="000C792B" w:rsidRDefault="005F67F3" w:rsidP="005F67F3">
            <w:pPr>
              <w:pStyle w:val="TAC"/>
            </w:pPr>
            <w:r w:rsidRPr="000C792B">
              <w:rPr>
                <w:lang w:eastAsia="zh-CN"/>
              </w:rPr>
              <w:t>98</w:t>
            </w:r>
          </w:p>
        </w:tc>
        <w:tc>
          <w:tcPr>
            <w:tcW w:w="1163" w:type="dxa"/>
            <w:vMerge/>
            <w:vAlign w:val="center"/>
            <w:hideMark/>
          </w:tcPr>
          <w:p w14:paraId="6E078C05" w14:textId="77777777" w:rsidR="005F67F3" w:rsidRPr="000C792B" w:rsidRDefault="005F67F3" w:rsidP="005F67F3">
            <w:pPr>
              <w:pStyle w:val="TAC"/>
              <w:rPr>
                <w:lang w:val="sv-SE"/>
              </w:rPr>
            </w:pPr>
          </w:p>
        </w:tc>
        <w:tc>
          <w:tcPr>
            <w:tcW w:w="992" w:type="dxa"/>
            <w:vMerge/>
            <w:vAlign w:val="center"/>
            <w:hideMark/>
          </w:tcPr>
          <w:p w14:paraId="32938CBC" w14:textId="77777777" w:rsidR="005F67F3" w:rsidRPr="000C792B" w:rsidRDefault="005F67F3" w:rsidP="005F67F3">
            <w:pPr>
              <w:pStyle w:val="TAC"/>
              <w:rPr>
                <w:lang w:val="sv-SE" w:eastAsia="zh-CN"/>
              </w:rPr>
            </w:pPr>
          </w:p>
        </w:tc>
        <w:tc>
          <w:tcPr>
            <w:tcW w:w="1134" w:type="dxa"/>
            <w:vAlign w:val="center"/>
            <w:hideMark/>
          </w:tcPr>
          <w:p w14:paraId="618AD7F2" w14:textId="3822B1CB" w:rsidR="005F67F3" w:rsidRPr="000C792B" w:rsidRDefault="005F67F3" w:rsidP="005F67F3">
            <w:pPr>
              <w:pStyle w:val="TAC"/>
            </w:pPr>
            <w:r w:rsidRPr="000C792B">
              <w:t>≥ 52</w:t>
            </w:r>
          </w:p>
        </w:tc>
        <w:tc>
          <w:tcPr>
            <w:tcW w:w="1367" w:type="dxa"/>
            <w:vAlign w:val="center"/>
            <w:hideMark/>
          </w:tcPr>
          <w:p w14:paraId="268B3BFA" w14:textId="22DB6EFF" w:rsidR="005F67F3" w:rsidRPr="000C792B" w:rsidRDefault="005F67F3" w:rsidP="005F67F3">
            <w:pPr>
              <w:pStyle w:val="TAC"/>
            </w:pPr>
            <w:r w:rsidRPr="000C792B">
              <w:t>≥ 1</w:t>
            </w:r>
          </w:p>
        </w:tc>
        <w:tc>
          <w:tcPr>
            <w:tcW w:w="2040" w:type="dxa"/>
            <w:vAlign w:val="center"/>
            <w:hideMark/>
          </w:tcPr>
          <w:p w14:paraId="4688B039" w14:textId="77777777" w:rsidR="005F67F3" w:rsidRPr="000C792B" w:rsidRDefault="005F67F3" w:rsidP="005F67F3">
            <w:pPr>
              <w:pStyle w:val="TAC"/>
            </w:pPr>
            <w:r w:rsidRPr="000C792B">
              <w:t>Note 6</w:t>
            </w:r>
          </w:p>
        </w:tc>
        <w:tc>
          <w:tcPr>
            <w:tcW w:w="1134" w:type="dxa"/>
            <w:vAlign w:val="center"/>
            <w:hideMark/>
          </w:tcPr>
          <w:p w14:paraId="04DD62B6" w14:textId="77777777" w:rsidR="005F67F3" w:rsidRPr="000C792B" w:rsidRDefault="005F67F3" w:rsidP="005F67F3">
            <w:pPr>
              <w:pStyle w:val="TAC"/>
            </w:pPr>
            <w:r w:rsidRPr="000C792B">
              <w:t>Note 6</w:t>
            </w:r>
          </w:p>
        </w:tc>
        <w:tc>
          <w:tcPr>
            <w:tcW w:w="1275" w:type="dxa"/>
            <w:vAlign w:val="center"/>
            <w:hideMark/>
          </w:tcPr>
          <w:p w14:paraId="3C209817" w14:textId="77777777" w:rsidR="005F67F3" w:rsidRPr="000C792B" w:rsidRDefault="005F67F3" w:rsidP="005F67F3">
            <w:pPr>
              <w:pStyle w:val="TAC"/>
            </w:pPr>
            <w:r w:rsidRPr="000C792B">
              <w:t>Note 6</w:t>
            </w:r>
          </w:p>
        </w:tc>
      </w:tr>
      <w:tr w:rsidR="005F67F3" w:rsidRPr="000C792B" w14:paraId="5F443ED4"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hideMark/>
          </w:tcPr>
          <w:p w14:paraId="074878A9" w14:textId="3EA9B83E" w:rsidR="005F67F3" w:rsidRPr="000C792B" w:rsidRDefault="005F67F3" w:rsidP="005F67F3">
            <w:pPr>
              <w:pStyle w:val="TAC"/>
              <w:rPr>
                <w:lang w:eastAsia="zh-CN"/>
              </w:rPr>
            </w:pPr>
            <w:r w:rsidRPr="000C792B">
              <w:rPr>
                <w:lang w:eastAsia="zh-CN"/>
              </w:rPr>
              <w:t>42</w:t>
            </w:r>
          </w:p>
        </w:tc>
        <w:tc>
          <w:tcPr>
            <w:tcW w:w="1163" w:type="dxa"/>
            <w:vMerge/>
            <w:vAlign w:val="center"/>
            <w:hideMark/>
          </w:tcPr>
          <w:p w14:paraId="0249A9BD" w14:textId="77777777" w:rsidR="005F67F3" w:rsidRPr="000C792B" w:rsidRDefault="005F67F3" w:rsidP="005F67F3">
            <w:pPr>
              <w:pStyle w:val="TAC"/>
              <w:rPr>
                <w:lang w:val="sv-SE"/>
              </w:rPr>
            </w:pPr>
          </w:p>
        </w:tc>
        <w:tc>
          <w:tcPr>
            <w:tcW w:w="992" w:type="dxa"/>
            <w:vMerge/>
            <w:vAlign w:val="center"/>
            <w:hideMark/>
          </w:tcPr>
          <w:p w14:paraId="5F016FEE" w14:textId="77777777" w:rsidR="005F67F3" w:rsidRPr="000C792B" w:rsidRDefault="005F67F3" w:rsidP="005F67F3">
            <w:pPr>
              <w:pStyle w:val="TAC"/>
              <w:rPr>
                <w:lang w:val="sv-SE" w:eastAsia="zh-CN"/>
              </w:rPr>
            </w:pPr>
          </w:p>
        </w:tc>
        <w:tc>
          <w:tcPr>
            <w:tcW w:w="1134" w:type="dxa"/>
            <w:vAlign w:val="center"/>
            <w:hideMark/>
          </w:tcPr>
          <w:p w14:paraId="552FE71C" w14:textId="0CDFCE51" w:rsidR="005F67F3" w:rsidRPr="000C792B" w:rsidRDefault="005F67F3" w:rsidP="005F67F3">
            <w:pPr>
              <w:pStyle w:val="TAC"/>
            </w:pPr>
            <w:r w:rsidRPr="000C792B">
              <w:t>≥ 104</w:t>
            </w:r>
          </w:p>
        </w:tc>
        <w:tc>
          <w:tcPr>
            <w:tcW w:w="1367" w:type="dxa"/>
            <w:vAlign w:val="center"/>
            <w:hideMark/>
          </w:tcPr>
          <w:p w14:paraId="29C2125D" w14:textId="2A6EFB1C" w:rsidR="005F67F3" w:rsidRPr="000C792B" w:rsidRDefault="005F67F3" w:rsidP="005F67F3">
            <w:pPr>
              <w:pStyle w:val="TAC"/>
            </w:pPr>
            <w:r w:rsidRPr="000C792B">
              <w:t>≥ 1</w:t>
            </w:r>
          </w:p>
        </w:tc>
        <w:tc>
          <w:tcPr>
            <w:tcW w:w="2040" w:type="dxa"/>
            <w:vAlign w:val="center"/>
            <w:hideMark/>
          </w:tcPr>
          <w:p w14:paraId="15473090" w14:textId="77777777" w:rsidR="005F67F3" w:rsidRPr="000C792B" w:rsidRDefault="005F67F3" w:rsidP="005F67F3">
            <w:pPr>
              <w:pStyle w:val="TAC"/>
            </w:pPr>
            <w:r w:rsidRPr="000C792B">
              <w:t>Note 6</w:t>
            </w:r>
          </w:p>
        </w:tc>
        <w:tc>
          <w:tcPr>
            <w:tcW w:w="1134" w:type="dxa"/>
            <w:vAlign w:val="center"/>
            <w:hideMark/>
          </w:tcPr>
          <w:p w14:paraId="671EAF52" w14:textId="77777777" w:rsidR="005F67F3" w:rsidRPr="000C792B" w:rsidRDefault="005F67F3" w:rsidP="005F67F3">
            <w:pPr>
              <w:pStyle w:val="TAC"/>
            </w:pPr>
            <w:r w:rsidRPr="000C792B">
              <w:t>Note 6</w:t>
            </w:r>
          </w:p>
        </w:tc>
        <w:tc>
          <w:tcPr>
            <w:tcW w:w="1275" w:type="dxa"/>
            <w:vAlign w:val="center"/>
            <w:hideMark/>
          </w:tcPr>
          <w:p w14:paraId="1F38C0AC" w14:textId="77777777" w:rsidR="005F67F3" w:rsidRPr="000C792B" w:rsidRDefault="005F67F3" w:rsidP="005F67F3">
            <w:pPr>
              <w:pStyle w:val="TAC"/>
            </w:pPr>
            <w:r w:rsidRPr="000C792B">
              <w:t>Note 6</w:t>
            </w:r>
          </w:p>
        </w:tc>
      </w:tr>
      <w:tr w:rsidR="00F72E7B" w:rsidRPr="000C792B" w14:paraId="6ABD2C22" w14:textId="77777777" w:rsidTr="008B5F43">
        <w:trPr>
          <w:jc w:val="center"/>
        </w:trPr>
        <w:tc>
          <w:tcPr>
            <w:tcW w:w="959" w:type="dxa"/>
            <w:vMerge w:val="restart"/>
            <w:vAlign w:val="center"/>
            <w:hideMark/>
          </w:tcPr>
          <w:p w14:paraId="582B3BA2" w14:textId="03DF2A3A" w:rsidR="00F72E7B" w:rsidRPr="000C792B" w:rsidRDefault="00F72E7B" w:rsidP="00F72E7B">
            <w:pPr>
              <w:pStyle w:val="TAC"/>
              <w:rPr>
                <w:lang w:eastAsia="zh-CN"/>
              </w:rPr>
            </w:pPr>
            <w:r w:rsidRPr="002B4D79">
              <w:rPr>
                <w:lang w:eastAsia="zh-CN"/>
              </w:rPr>
              <w:t>75</w:t>
            </w:r>
          </w:p>
        </w:tc>
        <w:tc>
          <w:tcPr>
            <w:tcW w:w="1163" w:type="dxa"/>
            <w:vMerge/>
            <w:vAlign w:val="center"/>
            <w:hideMark/>
          </w:tcPr>
          <w:p w14:paraId="0D9B8FEB" w14:textId="77777777" w:rsidR="00F72E7B" w:rsidRPr="000C792B" w:rsidRDefault="00F72E7B" w:rsidP="00F72E7B">
            <w:pPr>
              <w:pStyle w:val="TAC"/>
              <w:rPr>
                <w:lang w:val="sv-SE"/>
              </w:rPr>
            </w:pPr>
          </w:p>
        </w:tc>
        <w:tc>
          <w:tcPr>
            <w:tcW w:w="992" w:type="dxa"/>
            <w:vMerge w:val="restart"/>
            <w:vAlign w:val="center"/>
            <w:hideMark/>
          </w:tcPr>
          <w:p w14:paraId="23ECEA96" w14:textId="77777777" w:rsidR="00F72E7B" w:rsidRPr="000C792B" w:rsidRDefault="00F72E7B" w:rsidP="00F72E7B">
            <w:pPr>
              <w:pStyle w:val="TAC"/>
              <w:rPr>
                <w:lang w:val="sv-SE" w:eastAsia="zh-CN"/>
              </w:rPr>
            </w:pPr>
            <w:r w:rsidRPr="000C792B">
              <w:rPr>
                <w:lang w:val="sv-SE" w:eastAsia="zh-CN"/>
              </w:rPr>
              <w:t xml:space="preserve">30 </w:t>
            </w:r>
          </w:p>
        </w:tc>
        <w:tc>
          <w:tcPr>
            <w:tcW w:w="1134" w:type="dxa"/>
            <w:vMerge w:val="restart"/>
            <w:vAlign w:val="center"/>
            <w:hideMark/>
          </w:tcPr>
          <w:p w14:paraId="52F04985" w14:textId="187AB436" w:rsidR="00F72E7B" w:rsidRPr="000C792B" w:rsidRDefault="00F72E7B" w:rsidP="00F72E7B">
            <w:pPr>
              <w:pStyle w:val="TAC"/>
            </w:pPr>
            <w:r w:rsidRPr="000C792B">
              <w:t>≥ 24</w:t>
            </w:r>
          </w:p>
        </w:tc>
        <w:tc>
          <w:tcPr>
            <w:tcW w:w="1367" w:type="dxa"/>
            <w:vMerge w:val="restart"/>
            <w:vAlign w:val="center"/>
            <w:hideMark/>
          </w:tcPr>
          <w:p w14:paraId="674142AA" w14:textId="27458BFD" w:rsidR="00F72E7B" w:rsidRPr="000C792B" w:rsidRDefault="00F72E7B" w:rsidP="00F72E7B">
            <w:pPr>
              <w:pStyle w:val="TAC"/>
            </w:pPr>
            <w:r w:rsidRPr="000C792B">
              <w:t>≥ 4</w:t>
            </w:r>
          </w:p>
        </w:tc>
        <w:tc>
          <w:tcPr>
            <w:tcW w:w="2040" w:type="dxa"/>
            <w:tcBorders>
              <w:top w:val="single" w:sz="4" w:space="0" w:color="auto"/>
              <w:left w:val="single" w:sz="4" w:space="0" w:color="auto"/>
              <w:bottom w:val="single" w:sz="4" w:space="0" w:color="auto"/>
              <w:right w:val="single" w:sz="4" w:space="0" w:color="auto"/>
            </w:tcBorders>
            <w:vAlign w:val="center"/>
            <w:hideMark/>
          </w:tcPr>
          <w:p w14:paraId="7922C3AD" w14:textId="77777777" w:rsidR="00F72E7B" w:rsidRDefault="00F72E7B" w:rsidP="00F72E7B">
            <w:pPr>
              <w:pStyle w:val="TAC"/>
              <w:rPr>
                <w:szCs w:val="18"/>
              </w:rPr>
            </w:pPr>
            <w:r>
              <w:rPr>
                <w:szCs w:val="18"/>
              </w:rPr>
              <w:t>NR_FDD_FR1_A, NR_TDD_FR1_A,</w:t>
            </w:r>
          </w:p>
          <w:p w14:paraId="2866C097" w14:textId="45B9AA6D" w:rsidR="00F72E7B" w:rsidRPr="000C792B" w:rsidRDefault="00F72E7B" w:rsidP="00F72E7B">
            <w:pPr>
              <w:pStyle w:val="TAC"/>
            </w:pPr>
            <w:r>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8F720FF" w14:textId="5AB8C507" w:rsidR="00F72E7B" w:rsidRPr="000C792B" w:rsidRDefault="00F72E7B" w:rsidP="00F72E7B">
            <w:pPr>
              <w:pStyle w:val="TAC"/>
            </w:pPr>
            <w:r>
              <w:t>-124</w:t>
            </w:r>
          </w:p>
        </w:tc>
        <w:tc>
          <w:tcPr>
            <w:tcW w:w="1275" w:type="dxa"/>
            <w:vAlign w:val="center"/>
            <w:hideMark/>
          </w:tcPr>
          <w:p w14:paraId="0BB99CB3" w14:textId="77777777" w:rsidR="00F72E7B" w:rsidRPr="000C792B" w:rsidRDefault="00F72E7B" w:rsidP="00F72E7B">
            <w:pPr>
              <w:pStyle w:val="TAC"/>
            </w:pPr>
            <w:r w:rsidRPr="000C792B">
              <w:rPr>
                <w:lang w:eastAsia="zh-CN"/>
              </w:rPr>
              <w:t>-50</w:t>
            </w:r>
          </w:p>
        </w:tc>
      </w:tr>
      <w:tr w:rsidR="00F72E7B" w:rsidRPr="000C792B" w14:paraId="7FCF9132" w14:textId="77777777" w:rsidTr="008B5F43">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7652FB86" w14:textId="77777777" w:rsidR="00F72E7B" w:rsidRPr="000C792B" w:rsidRDefault="00F72E7B" w:rsidP="00F72E7B">
            <w:pPr>
              <w:pStyle w:val="TAC"/>
              <w:rPr>
                <w:lang w:eastAsia="zh-CN"/>
              </w:rPr>
            </w:pPr>
          </w:p>
        </w:tc>
        <w:tc>
          <w:tcPr>
            <w:tcW w:w="1163" w:type="dxa"/>
            <w:vMerge/>
            <w:vAlign w:val="center"/>
            <w:hideMark/>
          </w:tcPr>
          <w:p w14:paraId="68884873" w14:textId="77777777" w:rsidR="00F72E7B" w:rsidRPr="000C792B" w:rsidRDefault="00F72E7B" w:rsidP="00F72E7B">
            <w:pPr>
              <w:pStyle w:val="TAC"/>
              <w:rPr>
                <w:lang w:val="sv-SE"/>
              </w:rPr>
            </w:pPr>
          </w:p>
        </w:tc>
        <w:tc>
          <w:tcPr>
            <w:tcW w:w="992" w:type="dxa"/>
            <w:vMerge/>
            <w:vAlign w:val="center"/>
            <w:hideMark/>
          </w:tcPr>
          <w:p w14:paraId="4F505EE2" w14:textId="77777777" w:rsidR="00F72E7B" w:rsidRPr="000C792B" w:rsidRDefault="00F72E7B" w:rsidP="00F72E7B">
            <w:pPr>
              <w:pStyle w:val="TAC"/>
              <w:rPr>
                <w:lang w:val="sv-SE" w:eastAsia="zh-CN"/>
              </w:rPr>
            </w:pPr>
          </w:p>
        </w:tc>
        <w:tc>
          <w:tcPr>
            <w:tcW w:w="1134" w:type="dxa"/>
            <w:vMerge/>
            <w:vAlign w:val="center"/>
            <w:hideMark/>
          </w:tcPr>
          <w:p w14:paraId="5954EEA6" w14:textId="77777777" w:rsidR="00F72E7B" w:rsidRPr="000C792B" w:rsidRDefault="00F72E7B" w:rsidP="00F72E7B">
            <w:pPr>
              <w:pStyle w:val="TAC"/>
            </w:pPr>
          </w:p>
        </w:tc>
        <w:tc>
          <w:tcPr>
            <w:tcW w:w="1367" w:type="dxa"/>
            <w:vMerge/>
            <w:vAlign w:val="center"/>
            <w:hideMark/>
          </w:tcPr>
          <w:p w14:paraId="2A543B62"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7C76F9B6" w14:textId="6F117D58" w:rsidR="00F72E7B" w:rsidRPr="000C792B" w:rsidRDefault="00F72E7B" w:rsidP="00F72E7B">
            <w:pPr>
              <w:pStyle w:val="TAC"/>
            </w:pPr>
            <w:r>
              <w:t>NR_FDD_FR1_B</w:t>
            </w:r>
          </w:p>
        </w:tc>
        <w:tc>
          <w:tcPr>
            <w:tcW w:w="1134" w:type="dxa"/>
            <w:tcBorders>
              <w:top w:val="single" w:sz="4" w:space="0" w:color="auto"/>
              <w:left w:val="single" w:sz="4" w:space="0" w:color="auto"/>
              <w:bottom w:val="single" w:sz="4" w:space="0" w:color="auto"/>
              <w:right w:val="single" w:sz="4" w:space="0" w:color="auto"/>
            </w:tcBorders>
            <w:hideMark/>
          </w:tcPr>
          <w:p w14:paraId="7B56B685" w14:textId="7D6B76B4" w:rsidR="00F72E7B" w:rsidRPr="000C792B" w:rsidRDefault="00F72E7B" w:rsidP="00F72E7B">
            <w:pPr>
              <w:pStyle w:val="TAC"/>
            </w:pPr>
            <w:r>
              <w:t>-123.5</w:t>
            </w:r>
          </w:p>
        </w:tc>
        <w:tc>
          <w:tcPr>
            <w:tcW w:w="1275" w:type="dxa"/>
            <w:hideMark/>
          </w:tcPr>
          <w:p w14:paraId="48A512D0" w14:textId="77777777" w:rsidR="00F72E7B" w:rsidRPr="000C792B" w:rsidRDefault="00F72E7B" w:rsidP="00F72E7B">
            <w:pPr>
              <w:pStyle w:val="TAC"/>
            </w:pPr>
            <w:r w:rsidRPr="000C792B">
              <w:rPr>
                <w:lang w:eastAsia="zh-CN"/>
              </w:rPr>
              <w:t>-50</w:t>
            </w:r>
          </w:p>
        </w:tc>
      </w:tr>
      <w:tr w:rsidR="00F72E7B" w:rsidRPr="000C792B" w14:paraId="6C09C6F7" w14:textId="77777777" w:rsidTr="008B5F43">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590230FC" w14:textId="77777777" w:rsidR="00F72E7B" w:rsidRPr="000C792B" w:rsidRDefault="00F72E7B" w:rsidP="00F72E7B">
            <w:pPr>
              <w:pStyle w:val="TAC"/>
              <w:rPr>
                <w:lang w:eastAsia="zh-CN"/>
              </w:rPr>
            </w:pPr>
          </w:p>
        </w:tc>
        <w:tc>
          <w:tcPr>
            <w:tcW w:w="1163" w:type="dxa"/>
            <w:vMerge/>
            <w:vAlign w:val="center"/>
            <w:hideMark/>
          </w:tcPr>
          <w:p w14:paraId="441E1D45" w14:textId="77777777" w:rsidR="00F72E7B" w:rsidRPr="000C792B" w:rsidRDefault="00F72E7B" w:rsidP="00F72E7B">
            <w:pPr>
              <w:pStyle w:val="TAC"/>
              <w:rPr>
                <w:lang w:val="sv-SE"/>
              </w:rPr>
            </w:pPr>
          </w:p>
        </w:tc>
        <w:tc>
          <w:tcPr>
            <w:tcW w:w="992" w:type="dxa"/>
            <w:vMerge/>
            <w:vAlign w:val="center"/>
            <w:hideMark/>
          </w:tcPr>
          <w:p w14:paraId="5255C538" w14:textId="77777777" w:rsidR="00F72E7B" w:rsidRPr="000C792B" w:rsidRDefault="00F72E7B" w:rsidP="00F72E7B">
            <w:pPr>
              <w:pStyle w:val="TAC"/>
              <w:rPr>
                <w:lang w:val="sv-SE" w:eastAsia="zh-CN"/>
              </w:rPr>
            </w:pPr>
          </w:p>
        </w:tc>
        <w:tc>
          <w:tcPr>
            <w:tcW w:w="1134" w:type="dxa"/>
            <w:vMerge/>
            <w:vAlign w:val="center"/>
            <w:hideMark/>
          </w:tcPr>
          <w:p w14:paraId="3F7BD76D" w14:textId="77777777" w:rsidR="00F72E7B" w:rsidRPr="000C792B" w:rsidRDefault="00F72E7B" w:rsidP="00F72E7B">
            <w:pPr>
              <w:pStyle w:val="TAC"/>
            </w:pPr>
          </w:p>
        </w:tc>
        <w:tc>
          <w:tcPr>
            <w:tcW w:w="1367" w:type="dxa"/>
            <w:vMerge/>
            <w:vAlign w:val="center"/>
            <w:hideMark/>
          </w:tcPr>
          <w:p w14:paraId="0D044186"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77526BBF" w14:textId="336B3065" w:rsidR="00F72E7B" w:rsidRPr="000C792B" w:rsidRDefault="00F72E7B" w:rsidP="00F72E7B">
            <w:pPr>
              <w:pStyle w:val="TAC"/>
            </w:pPr>
            <w:r>
              <w:t>NR_TDD_FR1_C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FC75D3" w14:textId="1EB5DD71" w:rsidR="00F72E7B" w:rsidRPr="000C792B" w:rsidRDefault="00F72E7B" w:rsidP="00F72E7B">
            <w:pPr>
              <w:pStyle w:val="TAC"/>
            </w:pPr>
            <w:r>
              <w:t>-123</w:t>
            </w:r>
          </w:p>
        </w:tc>
        <w:tc>
          <w:tcPr>
            <w:tcW w:w="1275" w:type="dxa"/>
            <w:hideMark/>
          </w:tcPr>
          <w:p w14:paraId="0340E7D0" w14:textId="77777777" w:rsidR="00F72E7B" w:rsidRPr="000C792B" w:rsidRDefault="00F72E7B" w:rsidP="00F72E7B">
            <w:pPr>
              <w:pStyle w:val="TAC"/>
            </w:pPr>
            <w:r w:rsidRPr="000C792B">
              <w:rPr>
                <w:lang w:eastAsia="zh-CN"/>
              </w:rPr>
              <w:t>-50</w:t>
            </w:r>
          </w:p>
        </w:tc>
      </w:tr>
      <w:tr w:rsidR="00F72E7B" w:rsidRPr="000C792B" w14:paraId="74628B75" w14:textId="77777777" w:rsidTr="008B5F43">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4E22D89C" w14:textId="77777777" w:rsidR="00F72E7B" w:rsidRPr="000C792B" w:rsidRDefault="00F72E7B" w:rsidP="00F72E7B">
            <w:pPr>
              <w:pStyle w:val="TAC"/>
              <w:rPr>
                <w:lang w:eastAsia="zh-CN"/>
              </w:rPr>
            </w:pPr>
          </w:p>
        </w:tc>
        <w:tc>
          <w:tcPr>
            <w:tcW w:w="1163" w:type="dxa"/>
            <w:vMerge/>
            <w:vAlign w:val="center"/>
            <w:hideMark/>
          </w:tcPr>
          <w:p w14:paraId="29DCB236" w14:textId="77777777" w:rsidR="00F72E7B" w:rsidRPr="000C792B" w:rsidRDefault="00F72E7B" w:rsidP="00F72E7B">
            <w:pPr>
              <w:pStyle w:val="TAC"/>
              <w:rPr>
                <w:lang w:val="sv-SE"/>
              </w:rPr>
            </w:pPr>
          </w:p>
        </w:tc>
        <w:tc>
          <w:tcPr>
            <w:tcW w:w="992" w:type="dxa"/>
            <w:vMerge/>
            <w:vAlign w:val="center"/>
            <w:hideMark/>
          </w:tcPr>
          <w:p w14:paraId="12AD9DC8" w14:textId="77777777" w:rsidR="00F72E7B" w:rsidRPr="000C792B" w:rsidRDefault="00F72E7B" w:rsidP="00F72E7B">
            <w:pPr>
              <w:pStyle w:val="TAC"/>
              <w:rPr>
                <w:lang w:val="sv-SE" w:eastAsia="zh-CN"/>
              </w:rPr>
            </w:pPr>
          </w:p>
        </w:tc>
        <w:tc>
          <w:tcPr>
            <w:tcW w:w="1134" w:type="dxa"/>
            <w:vMerge/>
            <w:vAlign w:val="center"/>
            <w:hideMark/>
          </w:tcPr>
          <w:p w14:paraId="298AC52B" w14:textId="77777777" w:rsidR="00F72E7B" w:rsidRPr="000C792B" w:rsidRDefault="00F72E7B" w:rsidP="00F72E7B">
            <w:pPr>
              <w:pStyle w:val="TAC"/>
            </w:pPr>
          </w:p>
        </w:tc>
        <w:tc>
          <w:tcPr>
            <w:tcW w:w="1367" w:type="dxa"/>
            <w:vMerge/>
            <w:vAlign w:val="center"/>
            <w:hideMark/>
          </w:tcPr>
          <w:p w14:paraId="4BBACF59"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58B1632B" w14:textId="69F6B57C" w:rsidR="00F72E7B" w:rsidRPr="000C792B" w:rsidRDefault="00F72E7B" w:rsidP="00F72E7B">
            <w:pPr>
              <w:pStyle w:val="TAC"/>
              <w:rPr>
                <w:lang w:val="sv-SE"/>
              </w:rPr>
            </w:pPr>
            <w:r>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83660A8" w14:textId="41FCE9E1" w:rsidR="00F72E7B" w:rsidRPr="000C792B" w:rsidRDefault="00F72E7B" w:rsidP="00F72E7B">
            <w:pPr>
              <w:pStyle w:val="TAC"/>
            </w:pPr>
            <w:r>
              <w:t>-122.5</w:t>
            </w:r>
          </w:p>
        </w:tc>
        <w:tc>
          <w:tcPr>
            <w:tcW w:w="1275" w:type="dxa"/>
            <w:hideMark/>
          </w:tcPr>
          <w:p w14:paraId="4926E66C" w14:textId="77777777" w:rsidR="00F72E7B" w:rsidRPr="000C792B" w:rsidRDefault="00F72E7B" w:rsidP="00F72E7B">
            <w:pPr>
              <w:pStyle w:val="TAC"/>
            </w:pPr>
            <w:r w:rsidRPr="000C792B">
              <w:rPr>
                <w:lang w:eastAsia="zh-CN"/>
              </w:rPr>
              <w:t>-50</w:t>
            </w:r>
          </w:p>
        </w:tc>
      </w:tr>
      <w:tr w:rsidR="00F72E7B" w:rsidRPr="000C792B" w14:paraId="28014030" w14:textId="77777777" w:rsidTr="008B5F43">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38CF9A0" w14:textId="77777777" w:rsidR="00F72E7B" w:rsidRPr="000C792B" w:rsidRDefault="00F72E7B" w:rsidP="00F72E7B">
            <w:pPr>
              <w:pStyle w:val="TAC"/>
              <w:rPr>
                <w:lang w:eastAsia="zh-CN"/>
              </w:rPr>
            </w:pPr>
          </w:p>
        </w:tc>
        <w:tc>
          <w:tcPr>
            <w:tcW w:w="1163" w:type="dxa"/>
            <w:vMerge/>
            <w:vAlign w:val="center"/>
            <w:hideMark/>
          </w:tcPr>
          <w:p w14:paraId="525114D0" w14:textId="77777777" w:rsidR="00F72E7B" w:rsidRPr="000C792B" w:rsidRDefault="00F72E7B" w:rsidP="00F72E7B">
            <w:pPr>
              <w:pStyle w:val="TAC"/>
              <w:rPr>
                <w:lang w:val="sv-SE"/>
              </w:rPr>
            </w:pPr>
          </w:p>
        </w:tc>
        <w:tc>
          <w:tcPr>
            <w:tcW w:w="992" w:type="dxa"/>
            <w:vMerge/>
            <w:vAlign w:val="center"/>
            <w:hideMark/>
          </w:tcPr>
          <w:p w14:paraId="0B98576B" w14:textId="77777777" w:rsidR="00F72E7B" w:rsidRPr="000C792B" w:rsidRDefault="00F72E7B" w:rsidP="00F72E7B">
            <w:pPr>
              <w:pStyle w:val="TAC"/>
              <w:rPr>
                <w:lang w:val="sv-SE" w:eastAsia="zh-CN"/>
              </w:rPr>
            </w:pPr>
          </w:p>
        </w:tc>
        <w:tc>
          <w:tcPr>
            <w:tcW w:w="1134" w:type="dxa"/>
            <w:vMerge/>
            <w:vAlign w:val="center"/>
            <w:hideMark/>
          </w:tcPr>
          <w:p w14:paraId="6E5E4DE7" w14:textId="77777777" w:rsidR="00F72E7B" w:rsidRPr="000C792B" w:rsidRDefault="00F72E7B" w:rsidP="00F72E7B">
            <w:pPr>
              <w:pStyle w:val="TAC"/>
            </w:pPr>
          </w:p>
        </w:tc>
        <w:tc>
          <w:tcPr>
            <w:tcW w:w="1367" w:type="dxa"/>
            <w:vMerge/>
            <w:vAlign w:val="center"/>
            <w:hideMark/>
          </w:tcPr>
          <w:p w14:paraId="32DF934D"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622B887" w14:textId="06648E0A" w:rsidR="00F72E7B" w:rsidRPr="000C792B" w:rsidRDefault="00F72E7B" w:rsidP="00F72E7B">
            <w:pPr>
              <w:pStyle w:val="TAC"/>
              <w:rPr>
                <w:lang w:val="sv-SE"/>
              </w:rPr>
            </w:pPr>
            <w:r>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0DFECA" w14:textId="1EA52E90" w:rsidR="00F72E7B" w:rsidRPr="000C792B" w:rsidRDefault="00F72E7B" w:rsidP="00F72E7B">
            <w:pPr>
              <w:pStyle w:val="TAC"/>
            </w:pPr>
            <w:r>
              <w:t>-122</w:t>
            </w:r>
          </w:p>
        </w:tc>
        <w:tc>
          <w:tcPr>
            <w:tcW w:w="1275" w:type="dxa"/>
            <w:hideMark/>
          </w:tcPr>
          <w:p w14:paraId="5CF46CDD" w14:textId="77777777" w:rsidR="00F72E7B" w:rsidRPr="000C792B" w:rsidRDefault="00F72E7B" w:rsidP="00F72E7B">
            <w:pPr>
              <w:pStyle w:val="TAC"/>
            </w:pPr>
            <w:r w:rsidRPr="000C792B">
              <w:rPr>
                <w:lang w:eastAsia="zh-CN"/>
              </w:rPr>
              <w:t>-50</w:t>
            </w:r>
          </w:p>
        </w:tc>
      </w:tr>
      <w:tr w:rsidR="00F72E7B" w:rsidRPr="000C792B" w14:paraId="32914F0A" w14:textId="77777777" w:rsidTr="008B5F43">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53084C79" w14:textId="77777777" w:rsidR="00F72E7B" w:rsidRPr="000C792B" w:rsidRDefault="00F72E7B" w:rsidP="00F72E7B">
            <w:pPr>
              <w:pStyle w:val="TAC"/>
              <w:rPr>
                <w:lang w:eastAsia="zh-CN"/>
              </w:rPr>
            </w:pPr>
          </w:p>
        </w:tc>
        <w:tc>
          <w:tcPr>
            <w:tcW w:w="1163" w:type="dxa"/>
            <w:vMerge/>
            <w:vAlign w:val="center"/>
            <w:hideMark/>
          </w:tcPr>
          <w:p w14:paraId="006AB266" w14:textId="77777777" w:rsidR="00F72E7B" w:rsidRPr="000C792B" w:rsidRDefault="00F72E7B" w:rsidP="00F72E7B">
            <w:pPr>
              <w:pStyle w:val="TAC"/>
              <w:rPr>
                <w:lang w:val="sv-SE"/>
              </w:rPr>
            </w:pPr>
          </w:p>
        </w:tc>
        <w:tc>
          <w:tcPr>
            <w:tcW w:w="992" w:type="dxa"/>
            <w:vMerge/>
            <w:vAlign w:val="center"/>
            <w:hideMark/>
          </w:tcPr>
          <w:p w14:paraId="184AB0E0" w14:textId="77777777" w:rsidR="00F72E7B" w:rsidRPr="000C792B" w:rsidRDefault="00F72E7B" w:rsidP="00F72E7B">
            <w:pPr>
              <w:pStyle w:val="TAC"/>
              <w:rPr>
                <w:lang w:val="sv-SE" w:eastAsia="zh-CN"/>
              </w:rPr>
            </w:pPr>
          </w:p>
        </w:tc>
        <w:tc>
          <w:tcPr>
            <w:tcW w:w="1134" w:type="dxa"/>
            <w:vMerge/>
            <w:vAlign w:val="center"/>
            <w:hideMark/>
          </w:tcPr>
          <w:p w14:paraId="04702F3C" w14:textId="77777777" w:rsidR="00F72E7B" w:rsidRPr="000C792B" w:rsidRDefault="00F72E7B" w:rsidP="00F72E7B">
            <w:pPr>
              <w:pStyle w:val="TAC"/>
            </w:pPr>
          </w:p>
        </w:tc>
        <w:tc>
          <w:tcPr>
            <w:tcW w:w="1367" w:type="dxa"/>
            <w:vMerge/>
            <w:vAlign w:val="center"/>
            <w:hideMark/>
          </w:tcPr>
          <w:p w14:paraId="5ED0D611"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CB13464" w14:textId="3DFCAFB3" w:rsidR="00F72E7B" w:rsidRPr="000C792B" w:rsidRDefault="00F72E7B" w:rsidP="00F72E7B">
            <w:pPr>
              <w:pStyle w:val="TAC"/>
            </w:pPr>
            <w:r>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53392D5" w14:textId="41F80B47" w:rsidR="00F72E7B" w:rsidRPr="000C792B" w:rsidRDefault="00F72E7B" w:rsidP="00F72E7B">
            <w:pPr>
              <w:pStyle w:val="TAC"/>
            </w:pPr>
            <w:r>
              <w:t>-121.5</w:t>
            </w:r>
          </w:p>
        </w:tc>
        <w:tc>
          <w:tcPr>
            <w:tcW w:w="1275" w:type="dxa"/>
            <w:hideMark/>
          </w:tcPr>
          <w:p w14:paraId="2694B931" w14:textId="77777777" w:rsidR="00F72E7B" w:rsidRPr="000C792B" w:rsidRDefault="00F72E7B" w:rsidP="00F72E7B">
            <w:pPr>
              <w:pStyle w:val="TAC"/>
            </w:pPr>
            <w:r w:rsidRPr="000C792B">
              <w:rPr>
                <w:lang w:eastAsia="zh-CN"/>
              </w:rPr>
              <w:t>-50</w:t>
            </w:r>
          </w:p>
        </w:tc>
      </w:tr>
      <w:tr w:rsidR="00F72E7B" w:rsidRPr="000C792B" w14:paraId="450C7BE8" w14:textId="77777777" w:rsidTr="008B5F43">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B91FBFE" w14:textId="77777777" w:rsidR="00F72E7B" w:rsidRPr="000C792B" w:rsidRDefault="00F72E7B" w:rsidP="00F72E7B">
            <w:pPr>
              <w:pStyle w:val="TAC"/>
              <w:rPr>
                <w:lang w:eastAsia="zh-CN"/>
              </w:rPr>
            </w:pPr>
          </w:p>
        </w:tc>
        <w:tc>
          <w:tcPr>
            <w:tcW w:w="1163" w:type="dxa"/>
            <w:vMerge/>
            <w:vAlign w:val="center"/>
            <w:hideMark/>
          </w:tcPr>
          <w:p w14:paraId="7A7CEC14" w14:textId="77777777" w:rsidR="00F72E7B" w:rsidRPr="000C792B" w:rsidRDefault="00F72E7B" w:rsidP="00F72E7B">
            <w:pPr>
              <w:pStyle w:val="TAC"/>
              <w:rPr>
                <w:lang w:val="sv-SE"/>
              </w:rPr>
            </w:pPr>
          </w:p>
        </w:tc>
        <w:tc>
          <w:tcPr>
            <w:tcW w:w="992" w:type="dxa"/>
            <w:vMerge/>
            <w:vAlign w:val="center"/>
            <w:hideMark/>
          </w:tcPr>
          <w:p w14:paraId="2579ACEF" w14:textId="77777777" w:rsidR="00F72E7B" w:rsidRPr="000C792B" w:rsidRDefault="00F72E7B" w:rsidP="00F72E7B">
            <w:pPr>
              <w:pStyle w:val="TAC"/>
              <w:rPr>
                <w:lang w:val="sv-SE" w:eastAsia="zh-CN"/>
              </w:rPr>
            </w:pPr>
          </w:p>
        </w:tc>
        <w:tc>
          <w:tcPr>
            <w:tcW w:w="1134" w:type="dxa"/>
            <w:vMerge/>
            <w:vAlign w:val="center"/>
            <w:hideMark/>
          </w:tcPr>
          <w:p w14:paraId="47EC156E" w14:textId="77777777" w:rsidR="00F72E7B" w:rsidRPr="000C792B" w:rsidRDefault="00F72E7B" w:rsidP="00F72E7B">
            <w:pPr>
              <w:pStyle w:val="TAC"/>
            </w:pPr>
          </w:p>
        </w:tc>
        <w:tc>
          <w:tcPr>
            <w:tcW w:w="1367" w:type="dxa"/>
            <w:vMerge/>
            <w:vAlign w:val="center"/>
            <w:hideMark/>
          </w:tcPr>
          <w:p w14:paraId="46FEF72D"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3E5D4780" w14:textId="23E36E67" w:rsidR="00F72E7B" w:rsidRPr="000C792B" w:rsidRDefault="00F72E7B" w:rsidP="00F72E7B">
            <w:pPr>
              <w:pStyle w:val="TAC"/>
            </w:pPr>
            <w:r>
              <w:rPr>
                <w:lang w:eastAsia="zh-CN"/>
              </w:rPr>
              <w:t>NR</w:t>
            </w:r>
            <w:r>
              <w:t>_</w:t>
            </w:r>
            <w:r>
              <w:rPr>
                <w:lang w:eastAsia="zh-CN"/>
              </w:rPr>
              <w:t>FDD_FR1_G</w:t>
            </w:r>
            <w:r>
              <w:rPr>
                <w:rFonts w:hint="eastAsia"/>
                <w:lang w:eastAsia="zh-CN"/>
              </w:rPr>
              <w:t xml:space="preserve">, </w:t>
            </w:r>
            <w:r>
              <w:rPr>
                <w:lang w:eastAsia="zh-CN"/>
              </w:rPr>
              <w:t>NR</w:t>
            </w:r>
            <w:r>
              <w:t>_</w:t>
            </w:r>
            <w:r>
              <w:rPr>
                <w:rFonts w:hint="eastAsia"/>
                <w:lang w:eastAsia="zh-CN"/>
              </w:rPr>
              <w:t>T</w:t>
            </w:r>
            <w:r>
              <w:rPr>
                <w:lang w:eastAsia="zh-CN"/>
              </w:rPr>
              <w:t>DD_FR1_G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B8CBE49" w14:textId="63D568C6" w:rsidR="00F72E7B" w:rsidRPr="000C792B" w:rsidRDefault="00F72E7B" w:rsidP="00F72E7B">
            <w:pPr>
              <w:pStyle w:val="TAC"/>
            </w:pPr>
            <w:r>
              <w:t>-121</w:t>
            </w:r>
          </w:p>
        </w:tc>
        <w:tc>
          <w:tcPr>
            <w:tcW w:w="1275" w:type="dxa"/>
            <w:hideMark/>
          </w:tcPr>
          <w:p w14:paraId="016CC69F" w14:textId="77777777" w:rsidR="00F72E7B" w:rsidRPr="000C792B" w:rsidRDefault="00F72E7B" w:rsidP="00F72E7B">
            <w:pPr>
              <w:pStyle w:val="TAC"/>
            </w:pPr>
            <w:r w:rsidRPr="000C792B">
              <w:rPr>
                <w:lang w:eastAsia="zh-CN"/>
              </w:rPr>
              <w:t>-50</w:t>
            </w:r>
          </w:p>
        </w:tc>
      </w:tr>
      <w:tr w:rsidR="00F72E7B" w:rsidRPr="000C792B" w14:paraId="2AF73B02" w14:textId="77777777" w:rsidTr="008B5F43">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AFA4B54" w14:textId="77777777" w:rsidR="00F72E7B" w:rsidRPr="000C792B" w:rsidRDefault="00F72E7B" w:rsidP="00F72E7B">
            <w:pPr>
              <w:pStyle w:val="TAC"/>
              <w:rPr>
                <w:lang w:eastAsia="zh-CN"/>
              </w:rPr>
            </w:pPr>
          </w:p>
        </w:tc>
        <w:tc>
          <w:tcPr>
            <w:tcW w:w="1163" w:type="dxa"/>
            <w:vMerge/>
            <w:vAlign w:val="center"/>
            <w:hideMark/>
          </w:tcPr>
          <w:p w14:paraId="3F287E80" w14:textId="77777777" w:rsidR="00F72E7B" w:rsidRPr="000C792B" w:rsidRDefault="00F72E7B" w:rsidP="00F72E7B">
            <w:pPr>
              <w:pStyle w:val="TAC"/>
              <w:rPr>
                <w:lang w:val="sv-SE"/>
              </w:rPr>
            </w:pPr>
          </w:p>
        </w:tc>
        <w:tc>
          <w:tcPr>
            <w:tcW w:w="992" w:type="dxa"/>
            <w:vMerge/>
            <w:vAlign w:val="center"/>
            <w:hideMark/>
          </w:tcPr>
          <w:p w14:paraId="0F89DC0E" w14:textId="77777777" w:rsidR="00F72E7B" w:rsidRPr="000C792B" w:rsidRDefault="00F72E7B" w:rsidP="00F72E7B">
            <w:pPr>
              <w:pStyle w:val="TAC"/>
              <w:rPr>
                <w:lang w:val="sv-SE" w:eastAsia="zh-CN"/>
              </w:rPr>
            </w:pPr>
          </w:p>
        </w:tc>
        <w:tc>
          <w:tcPr>
            <w:tcW w:w="1134" w:type="dxa"/>
            <w:vMerge/>
            <w:vAlign w:val="center"/>
            <w:hideMark/>
          </w:tcPr>
          <w:p w14:paraId="36CBB99D" w14:textId="77777777" w:rsidR="00F72E7B" w:rsidRPr="000C792B" w:rsidRDefault="00F72E7B" w:rsidP="00F72E7B">
            <w:pPr>
              <w:pStyle w:val="TAC"/>
            </w:pPr>
          </w:p>
        </w:tc>
        <w:tc>
          <w:tcPr>
            <w:tcW w:w="1367" w:type="dxa"/>
            <w:vMerge/>
            <w:vAlign w:val="center"/>
            <w:hideMark/>
          </w:tcPr>
          <w:p w14:paraId="409C7C2D"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E549068" w14:textId="4C17D9E2" w:rsidR="00F72E7B" w:rsidRPr="000C792B" w:rsidRDefault="00F72E7B" w:rsidP="00F72E7B">
            <w:pPr>
              <w:pStyle w:val="TAC"/>
            </w:pPr>
            <w:r>
              <w:rPr>
                <w:lang w:eastAsia="zh-CN"/>
              </w:rPr>
              <w:t>NR</w:t>
            </w:r>
            <w:r>
              <w:t>_</w:t>
            </w:r>
            <w:r>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D34B941" w14:textId="0D2166CC" w:rsidR="00F72E7B" w:rsidRPr="000C792B" w:rsidRDefault="00F72E7B" w:rsidP="00F72E7B">
            <w:pPr>
              <w:pStyle w:val="TAC"/>
            </w:pPr>
            <w:r>
              <w:t>-120.5</w:t>
            </w:r>
          </w:p>
        </w:tc>
        <w:tc>
          <w:tcPr>
            <w:tcW w:w="1275" w:type="dxa"/>
            <w:hideMark/>
          </w:tcPr>
          <w:p w14:paraId="0AB3B36E" w14:textId="77777777" w:rsidR="00F72E7B" w:rsidRPr="000C792B" w:rsidRDefault="00F72E7B" w:rsidP="00F72E7B">
            <w:pPr>
              <w:pStyle w:val="TAC"/>
            </w:pPr>
            <w:r w:rsidRPr="000C792B">
              <w:rPr>
                <w:lang w:eastAsia="zh-CN"/>
              </w:rPr>
              <w:t>-50</w:t>
            </w:r>
          </w:p>
        </w:tc>
      </w:tr>
      <w:tr w:rsidR="005F67F3" w:rsidRPr="000C792B" w14:paraId="1756225E"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tcPr>
          <w:p w14:paraId="699F9078" w14:textId="42B6A67C" w:rsidR="005F67F3" w:rsidRPr="000C792B" w:rsidRDefault="005F67F3" w:rsidP="005F67F3">
            <w:pPr>
              <w:pStyle w:val="TAC"/>
              <w:rPr>
                <w:lang w:eastAsia="zh-CN"/>
              </w:rPr>
            </w:pPr>
            <w:r w:rsidRPr="000C792B">
              <w:rPr>
                <w:lang w:eastAsia="zh-CN"/>
              </w:rPr>
              <w:t>48</w:t>
            </w:r>
          </w:p>
        </w:tc>
        <w:tc>
          <w:tcPr>
            <w:tcW w:w="1163" w:type="dxa"/>
            <w:vMerge/>
            <w:vAlign w:val="center"/>
          </w:tcPr>
          <w:p w14:paraId="29763625" w14:textId="77777777" w:rsidR="005F67F3" w:rsidRPr="000C792B" w:rsidRDefault="005F67F3" w:rsidP="005F67F3">
            <w:pPr>
              <w:pStyle w:val="TAC"/>
              <w:rPr>
                <w:lang w:val="sv-SE"/>
              </w:rPr>
            </w:pPr>
          </w:p>
        </w:tc>
        <w:tc>
          <w:tcPr>
            <w:tcW w:w="992" w:type="dxa"/>
            <w:vMerge/>
            <w:vAlign w:val="center"/>
          </w:tcPr>
          <w:p w14:paraId="3707E828" w14:textId="77777777" w:rsidR="005F67F3" w:rsidRPr="000C792B" w:rsidRDefault="005F67F3" w:rsidP="005F67F3">
            <w:pPr>
              <w:pStyle w:val="TAC"/>
              <w:rPr>
                <w:lang w:val="sv-SE" w:eastAsia="zh-CN"/>
              </w:rPr>
            </w:pPr>
          </w:p>
        </w:tc>
        <w:tc>
          <w:tcPr>
            <w:tcW w:w="1134" w:type="dxa"/>
            <w:vAlign w:val="center"/>
          </w:tcPr>
          <w:p w14:paraId="456221A5" w14:textId="4ACEC83F" w:rsidR="005F67F3" w:rsidRPr="000C792B" w:rsidRDefault="005F67F3" w:rsidP="005F67F3">
            <w:pPr>
              <w:pStyle w:val="TAC"/>
            </w:pPr>
            <w:r w:rsidRPr="000C792B">
              <w:t>≥ 48</w:t>
            </w:r>
          </w:p>
        </w:tc>
        <w:tc>
          <w:tcPr>
            <w:tcW w:w="1367" w:type="dxa"/>
            <w:vAlign w:val="center"/>
          </w:tcPr>
          <w:p w14:paraId="60B18BFC" w14:textId="61E9DC97" w:rsidR="005F67F3" w:rsidRPr="000C792B" w:rsidRDefault="005F67F3" w:rsidP="005F67F3">
            <w:pPr>
              <w:pStyle w:val="TAC"/>
            </w:pPr>
            <w:r w:rsidRPr="000C792B">
              <w:t>≥ 1</w:t>
            </w:r>
          </w:p>
        </w:tc>
        <w:tc>
          <w:tcPr>
            <w:tcW w:w="2040" w:type="dxa"/>
            <w:vAlign w:val="center"/>
          </w:tcPr>
          <w:p w14:paraId="1654229C" w14:textId="77777777" w:rsidR="005F67F3" w:rsidRPr="000C792B" w:rsidRDefault="005F67F3" w:rsidP="005F67F3">
            <w:pPr>
              <w:pStyle w:val="TAC"/>
              <w:rPr>
                <w:lang w:eastAsia="zh-CN"/>
              </w:rPr>
            </w:pPr>
            <w:r w:rsidRPr="000C792B">
              <w:t>Note 6</w:t>
            </w:r>
          </w:p>
        </w:tc>
        <w:tc>
          <w:tcPr>
            <w:tcW w:w="1134" w:type="dxa"/>
            <w:vAlign w:val="center"/>
          </w:tcPr>
          <w:p w14:paraId="34C068E7" w14:textId="77777777" w:rsidR="005F67F3" w:rsidRPr="000C792B" w:rsidRDefault="005F67F3" w:rsidP="005F67F3">
            <w:pPr>
              <w:pStyle w:val="TAC"/>
            </w:pPr>
            <w:r w:rsidRPr="000C792B">
              <w:t>Note 6</w:t>
            </w:r>
          </w:p>
        </w:tc>
        <w:tc>
          <w:tcPr>
            <w:tcW w:w="1275" w:type="dxa"/>
            <w:vAlign w:val="center"/>
          </w:tcPr>
          <w:p w14:paraId="54854287" w14:textId="77777777" w:rsidR="005F67F3" w:rsidRPr="000C792B" w:rsidRDefault="005F67F3" w:rsidP="005F67F3">
            <w:pPr>
              <w:pStyle w:val="TAC"/>
              <w:rPr>
                <w:lang w:eastAsia="zh-CN"/>
              </w:rPr>
            </w:pPr>
            <w:r w:rsidRPr="000C792B">
              <w:t>Note 6</w:t>
            </w:r>
          </w:p>
        </w:tc>
      </w:tr>
      <w:tr w:rsidR="005F67F3" w:rsidRPr="000C792B" w14:paraId="366B74A3"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tcPr>
          <w:p w14:paraId="5E712426" w14:textId="35D56BC4" w:rsidR="005F67F3" w:rsidRPr="000C792B" w:rsidRDefault="005F67F3" w:rsidP="005F67F3">
            <w:pPr>
              <w:pStyle w:val="TAC"/>
              <w:rPr>
                <w:lang w:eastAsia="zh-CN"/>
              </w:rPr>
            </w:pPr>
            <w:r w:rsidRPr="000C792B">
              <w:rPr>
                <w:lang w:eastAsia="zh-CN"/>
              </w:rPr>
              <w:t>24</w:t>
            </w:r>
          </w:p>
        </w:tc>
        <w:tc>
          <w:tcPr>
            <w:tcW w:w="1163" w:type="dxa"/>
            <w:vMerge/>
            <w:vAlign w:val="center"/>
          </w:tcPr>
          <w:p w14:paraId="3584A1E4" w14:textId="77777777" w:rsidR="005F67F3" w:rsidRPr="000C792B" w:rsidRDefault="005F67F3" w:rsidP="005F67F3">
            <w:pPr>
              <w:pStyle w:val="TAC"/>
              <w:rPr>
                <w:lang w:val="sv-SE"/>
              </w:rPr>
            </w:pPr>
          </w:p>
        </w:tc>
        <w:tc>
          <w:tcPr>
            <w:tcW w:w="992" w:type="dxa"/>
            <w:vMerge/>
            <w:vAlign w:val="center"/>
          </w:tcPr>
          <w:p w14:paraId="3C438ABC" w14:textId="77777777" w:rsidR="005F67F3" w:rsidRPr="000C792B" w:rsidRDefault="005F67F3" w:rsidP="005F67F3">
            <w:pPr>
              <w:pStyle w:val="TAC"/>
              <w:rPr>
                <w:lang w:val="sv-SE" w:eastAsia="zh-CN"/>
              </w:rPr>
            </w:pPr>
          </w:p>
        </w:tc>
        <w:tc>
          <w:tcPr>
            <w:tcW w:w="1134" w:type="dxa"/>
            <w:vAlign w:val="center"/>
          </w:tcPr>
          <w:p w14:paraId="062E1F26" w14:textId="77551AE4" w:rsidR="005F67F3" w:rsidRPr="000C792B" w:rsidRDefault="005F67F3" w:rsidP="005F67F3">
            <w:pPr>
              <w:pStyle w:val="TAC"/>
            </w:pPr>
            <w:r w:rsidRPr="000C792B">
              <w:t>≥ 132</w:t>
            </w:r>
          </w:p>
        </w:tc>
        <w:tc>
          <w:tcPr>
            <w:tcW w:w="1367" w:type="dxa"/>
            <w:vAlign w:val="center"/>
          </w:tcPr>
          <w:p w14:paraId="326DA7E8" w14:textId="63DE9862" w:rsidR="005F67F3" w:rsidRPr="000C792B" w:rsidRDefault="005F67F3" w:rsidP="005F67F3">
            <w:pPr>
              <w:pStyle w:val="TAC"/>
            </w:pPr>
            <w:r w:rsidRPr="000C792B">
              <w:t>≥ 1</w:t>
            </w:r>
          </w:p>
        </w:tc>
        <w:tc>
          <w:tcPr>
            <w:tcW w:w="2040" w:type="dxa"/>
            <w:vAlign w:val="center"/>
          </w:tcPr>
          <w:p w14:paraId="33CF447A" w14:textId="77777777" w:rsidR="005F67F3" w:rsidRPr="000C792B" w:rsidRDefault="005F67F3" w:rsidP="005F67F3">
            <w:pPr>
              <w:pStyle w:val="TAC"/>
            </w:pPr>
            <w:r w:rsidRPr="000C792B">
              <w:t>Note 6</w:t>
            </w:r>
          </w:p>
        </w:tc>
        <w:tc>
          <w:tcPr>
            <w:tcW w:w="1134" w:type="dxa"/>
            <w:vAlign w:val="center"/>
          </w:tcPr>
          <w:p w14:paraId="3182C3F4" w14:textId="77777777" w:rsidR="005F67F3" w:rsidRPr="000C792B" w:rsidRDefault="005F67F3" w:rsidP="005F67F3">
            <w:pPr>
              <w:pStyle w:val="TAC"/>
            </w:pPr>
            <w:r w:rsidRPr="000C792B">
              <w:t>Note 6</w:t>
            </w:r>
          </w:p>
        </w:tc>
        <w:tc>
          <w:tcPr>
            <w:tcW w:w="1275" w:type="dxa"/>
            <w:vAlign w:val="center"/>
          </w:tcPr>
          <w:p w14:paraId="00A433FF" w14:textId="77777777" w:rsidR="005F67F3" w:rsidRPr="000C792B" w:rsidRDefault="005F67F3" w:rsidP="005F67F3">
            <w:pPr>
              <w:pStyle w:val="TAC"/>
            </w:pPr>
            <w:r w:rsidRPr="000C792B">
              <w:t>Note 6</w:t>
            </w:r>
          </w:p>
        </w:tc>
      </w:tr>
      <w:tr w:rsidR="00F72E7B" w:rsidRPr="000C792B" w14:paraId="4E8A6631" w14:textId="77777777" w:rsidTr="003E29AE">
        <w:trPr>
          <w:trHeight w:val="27"/>
          <w:jc w:val="center"/>
        </w:trPr>
        <w:tc>
          <w:tcPr>
            <w:tcW w:w="959" w:type="dxa"/>
            <w:vMerge w:val="restart"/>
            <w:tcBorders>
              <w:top w:val="single" w:sz="4" w:space="0" w:color="auto"/>
              <w:left w:val="single" w:sz="4" w:space="0" w:color="auto"/>
              <w:bottom w:val="single" w:sz="4" w:space="0" w:color="auto"/>
              <w:right w:val="single" w:sz="4" w:space="0" w:color="auto"/>
            </w:tcBorders>
          </w:tcPr>
          <w:p w14:paraId="0CEB64CE" w14:textId="640156FB" w:rsidR="00F72E7B" w:rsidRDefault="00F72E7B" w:rsidP="00F72E7B">
            <w:pPr>
              <w:pStyle w:val="TAC"/>
            </w:pPr>
            <w:r w:rsidRPr="000C792B">
              <w:t>50</w:t>
            </w:r>
          </w:p>
          <w:p w14:paraId="174341F9" w14:textId="77777777" w:rsidR="00F72E7B" w:rsidRPr="000C792B" w:rsidRDefault="00F72E7B" w:rsidP="00F72E7B">
            <w:pPr>
              <w:pStyle w:val="TAC"/>
              <w:rPr>
                <w:lang w:eastAsia="zh-CN"/>
              </w:rPr>
            </w:pPr>
          </w:p>
        </w:tc>
        <w:tc>
          <w:tcPr>
            <w:tcW w:w="1163" w:type="dxa"/>
            <w:vMerge/>
            <w:vAlign w:val="center"/>
          </w:tcPr>
          <w:p w14:paraId="0A469EEA" w14:textId="77777777" w:rsidR="00F72E7B" w:rsidRPr="000C792B" w:rsidRDefault="00F72E7B" w:rsidP="00F72E7B">
            <w:pPr>
              <w:pStyle w:val="TAC"/>
              <w:rPr>
                <w:lang w:val="sv-SE"/>
              </w:rPr>
            </w:pPr>
          </w:p>
        </w:tc>
        <w:tc>
          <w:tcPr>
            <w:tcW w:w="992" w:type="dxa"/>
            <w:vMerge w:val="restart"/>
            <w:vAlign w:val="center"/>
          </w:tcPr>
          <w:p w14:paraId="524B25FD" w14:textId="77777777" w:rsidR="00F72E7B" w:rsidRPr="000C792B" w:rsidRDefault="00F72E7B" w:rsidP="00F72E7B">
            <w:pPr>
              <w:pStyle w:val="TAC"/>
              <w:rPr>
                <w:lang w:val="sv-SE" w:eastAsia="zh-CN"/>
              </w:rPr>
            </w:pPr>
            <w:r w:rsidRPr="000C792B">
              <w:rPr>
                <w:rFonts w:hint="eastAsia"/>
                <w:lang w:val="sv-SE" w:eastAsia="zh-CN"/>
              </w:rPr>
              <w:t>6</w:t>
            </w:r>
            <w:r w:rsidRPr="000C792B">
              <w:rPr>
                <w:lang w:val="sv-SE" w:eastAsia="zh-CN"/>
              </w:rPr>
              <w:t>0</w:t>
            </w:r>
          </w:p>
        </w:tc>
        <w:tc>
          <w:tcPr>
            <w:tcW w:w="1134" w:type="dxa"/>
            <w:vMerge w:val="restart"/>
            <w:vAlign w:val="center"/>
          </w:tcPr>
          <w:p w14:paraId="27FD307B" w14:textId="0411432C" w:rsidR="00F72E7B" w:rsidRPr="000C792B" w:rsidRDefault="00F72E7B" w:rsidP="00F72E7B">
            <w:pPr>
              <w:pStyle w:val="TAC"/>
            </w:pPr>
            <w:r w:rsidRPr="000C792B">
              <w:t>≥ 24</w:t>
            </w:r>
          </w:p>
        </w:tc>
        <w:tc>
          <w:tcPr>
            <w:tcW w:w="1367" w:type="dxa"/>
            <w:vMerge w:val="restart"/>
            <w:vAlign w:val="center"/>
          </w:tcPr>
          <w:p w14:paraId="3739A2CB" w14:textId="38FFD4CB" w:rsidR="00F72E7B" w:rsidRPr="000C792B" w:rsidRDefault="00F72E7B" w:rsidP="00F72E7B">
            <w:pPr>
              <w:pStyle w:val="TAC"/>
            </w:pPr>
            <w:r w:rsidRPr="000C792B">
              <w:t>≥ 4</w:t>
            </w:r>
          </w:p>
        </w:tc>
        <w:tc>
          <w:tcPr>
            <w:tcW w:w="2040" w:type="dxa"/>
            <w:tcBorders>
              <w:top w:val="single" w:sz="4" w:space="0" w:color="auto"/>
              <w:left w:val="single" w:sz="4" w:space="0" w:color="auto"/>
              <w:bottom w:val="single" w:sz="4" w:space="0" w:color="auto"/>
              <w:right w:val="single" w:sz="4" w:space="0" w:color="auto"/>
            </w:tcBorders>
            <w:vAlign w:val="center"/>
          </w:tcPr>
          <w:p w14:paraId="72095A30" w14:textId="77777777" w:rsidR="00F72E7B" w:rsidRDefault="00F72E7B" w:rsidP="00F72E7B">
            <w:pPr>
              <w:pStyle w:val="TAC"/>
              <w:rPr>
                <w:szCs w:val="18"/>
              </w:rPr>
            </w:pPr>
            <w:r>
              <w:rPr>
                <w:szCs w:val="18"/>
              </w:rPr>
              <w:t>NR_FDD_FR1_A, NR_TDD_FR1_A,</w:t>
            </w:r>
          </w:p>
          <w:p w14:paraId="2D9767CB" w14:textId="6BD5EA4E" w:rsidR="00F72E7B" w:rsidRPr="000C792B" w:rsidRDefault="00F72E7B" w:rsidP="00F72E7B">
            <w:pPr>
              <w:pStyle w:val="TAC"/>
            </w:pPr>
            <w:r>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tcPr>
          <w:p w14:paraId="2475AB6B" w14:textId="5571650B" w:rsidR="00F72E7B" w:rsidRPr="000C792B" w:rsidRDefault="00F72E7B" w:rsidP="00F72E7B">
            <w:pPr>
              <w:pStyle w:val="TAC"/>
            </w:pPr>
            <w:r>
              <w:t>-121</w:t>
            </w:r>
          </w:p>
        </w:tc>
        <w:tc>
          <w:tcPr>
            <w:tcW w:w="1275" w:type="dxa"/>
            <w:vAlign w:val="center"/>
          </w:tcPr>
          <w:p w14:paraId="513DE516" w14:textId="77777777" w:rsidR="00F72E7B" w:rsidRPr="000C792B" w:rsidRDefault="00F72E7B" w:rsidP="00F72E7B">
            <w:pPr>
              <w:pStyle w:val="TAC"/>
            </w:pPr>
            <w:r w:rsidRPr="000C792B">
              <w:rPr>
                <w:lang w:eastAsia="zh-CN"/>
              </w:rPr>
              <w:t>-50</w:t>
            </w:r>
          </w:p>
        </w:tc>
      </w:tr>
      <w:tr w:rsidR="00F72E7B" w:rsidRPr="000C792B" w14:paraId="2D6F4058" w14:textId="77777777" w:rsidTr="003E29AE">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2E7F408A" w14:textId="77777777" w:rsidR="00F72E7B" w:rsidRPr="000C792B" w:rsidRDefault="00F72E7B" w:rsidP="00F72E7B">
            <w:pPr>
              <w:pStyle w:val="TAC"/>
              <w:rPr>
                <w:lang w:eastAsia="zh-CN"/>
              </w:rPr>
            </w:pPr>
          </w:p>
        </w:tc>
        <w:tc>
          <w:tcPr>
            <w:tcW w:w="1163" w:type="dxa"/>
            <w:vMerge/>
            <w:vAlign w:val="center"/>
          </w:tcPr>
          <w:p w14:paraId="62DBC6B2" w14:textId="77777777" w:rsidR="00F72E7B" w:rsidRPr="000C792B" w:rsidRDefault="00F72E7B" w:rsidP="00F72E7B">
            <w:pPr>
              <w:pStyle w:val="TAC"/>
              <w:rPr>
                <w:lang w:val="sv-SE"/>
              </w:rPr>
            </w:pPr>
          </w:p>
        </w:tc>
        <w:tc>
          <w:tcPr>
            <w:tcW w:w="992" w:type="dxa"/>
            <w:vMerge/>
            <w:vAlign w:val="center"/>
          </w:tcPr>
          <w:p w14:paraId="24628F54" w14:textId="77777777" w:rsidR="00F72E7B" w:rsidRPr="000C792B" w:rsidRDefault="00F72E7B" w:rsidP="00F72E7B">
            <w:pPr>
              <w:pStyle w:val="TAC"/>
              <w:rPr>
                <w:lang w:val="sv-SE" w:eastAsia="zh-CN"/>
              </w:rPr>
            </w:pPr>
          </w:p>
        </w:tc>
        <w:tc>
          <w:tcPr>
            <w:tcW w:w="1134" w:type="dxa"/>
            <w:vMerge/>
            <w:vAlign w:val="center"/>
          </w:tcPr>
          <w:p w14:paraId="74215C3C" w14:textId="77777777" w:rsidR="00F72E7B" w:rsidRPr="000C792B" w:rsidRDefault="00F72E7B" w:rsidP="00F72E7B">
            <w:pPr>
              <w:pStyle w:val="TAC"/>
            </w:pPr>
          </w:p>
        </w:tc>
        <w:tc>
          <w:tcPr>
            <w:tcW w:w="1367" w:type="dxa"/>
            <w:vMerge/>
            <w:vAlign w:val="center"/>
          </w:tcPr>
          <w:p w14:paraId="3EDC5804"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262972C9" w14:textId="4BAB2CFC" w:rsidR="00F72E7B" w:rsidRPr="000C792B" w:rsidRDefault="00F72E7B" w:rsidP="00F72E7B">
            <w:pPr>
              <w:pStyle w:val="TAC"/>
            </w:pPr>
            <w:r>
              <w:t>NR_FDD_FR1_B</w:t>
            </w:r>
          </w:p>
        </w:tc>
        <w:tc>
          <w:tcPr>
            <w:tcW w:w="1134" w:type="dxa"/>
            <w:tcBorders>
              <w:top w:val="single" w:sz="4" w:space="0" w:color="auto"/>
              <w:left w:val="single" w:sz="4" w:space="0" w:color="auto"/>
              <w:bottom w:val="single" w:sz="4" w:space="0" w:color="auto"/>
              <w:right w:val="single" w:sz="4" w:space="0" w:color="auto"/>
            </w:tcBorders>
          </w:tcPr>
          <w:p w14:paraId="1F2560FD" w14:textId="7A3E3507" w:rsidR="00F72E7B" w:rsidRPr="000C792B" w:rsidRDefault="00F72E7B" w:rsidP="00F72E7B">
            <w:pPr>
              <w:pStyle w:val="TAC"/>
            </w:pPr>
            <w:r>
              <w:t>-120.5</w:t>
            </w:r>
          </w:p>
        </w:tc>
        <w:tc>
          <w:tcPr>
            <w:tcW w:w="1275" w:type="dxa"/>
          </w:tcPr>
          <w:p w14:paraId="780686D3" w14:textId="77777777" w:rsidR="00F72E7B" w:rsidRPr="000C792B" w:rsidRDefault="00F72E7B" w:rsidP="00F72E7B">
            <w:pPr>
              <w:pStyle w:val="TAC"/>
            </w:pPr>
            <w:r w:rsidRPr="000C792B">
              <w:rPr>
                <w:lang w:eastAsia="zh-CN"/>
              </w:rPr>
              <w:t>-50</w:t>
            </w:r>
          </w:p>
        </w:tc>
      </w:tr>
      <w:tr w:rsidR="00F72E7B" w:rsidRPr="000C792B" w14:paraId="435F8037" w14:textId="77777777" w:rsidTr="003E29AE">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200434D5" w14:textId="77777777" w:rsidR="00F72E7B" w:rsidRPr="000C792B" w:rsidRDefault="00F72E7B" w:rsidP="00F72E7B">
            <w:pPr>
              <w:pStyle w:val="TAC"/>
              <w:rPr>
                <w:lang w:eastAsia="zh-CN"/>
              </w:rPr>
            </w:pPr>
          </w:p>
        </w:tc>
        <w:tc>
          <w:tcPr>
            <w:tcW w:w="1163" w:type="dxa"/>
            <w:vMerge/>
            <w:vAlign w:val="center"/>
          </w:tcPr>
          <w:p w14:paraId="5C6B8015" w14:textId="77777777" w:rsidR="00F72E7B" w:rsidRPr="000C792B" w:rsidRDefault="00F72E7B" w:rsidP="00F72E7B">
            <w:pPr>
              <w:pStyle w:val="TAC"/>
              <w:rPr>
                <w:lang w:val="sv-SE"/>
              </w:rPr>
            </w:pPr>
          </w:p>
        </w:tc>
        <w:tc>
          <w:tcPr>
            <w:tcW w:w="992" w:type="dxa"/>
            <w:vMerge/>
            <w:vAlign w:val="center"/>
          </w:tcPr>
          <w:p w14:paraId="231D8205" w14:textId="77777777" w:rsidR="00F72E7B" w:rsidRPr="000C792B" w:rsidRDefault="00F72E7B" w:rsidP="00F72E7B">
            <w:pPr>
              <w:pStyle w:val="TAC"/>
              <w:rPr>
                <w:lang w:val="sv-SE" w:eastAsia="zh-CN"/>
              </w:rPr>
            </w:pPr>
          </w:p>
        </w:tc>
        <w:tc>
          <w:tcPr>
            <w:tcW w:w="1134" w:type="dxa"/>
            <w:vMerge/>
            <w:vAlign w:val="center"/>
          </w:tcPr>
          <w:p w14:paraId="3E11ABDE" w14:textId="77777777" w:rsidR="00F72E7B" w:rsidRPr="000C792B" w:rsidRDefault="00F72E7B" w:rsidP="00F72E7B">
            <w:pPr>
              <w:pStyle w:val="TAC"/>
            </w:pPr>
          </w:p>
        </w:tc>
        <w:tc>
          <w:tcPr>
            <w:tcW w:w="1367" w:type="dxa"/>
            <w:vMerge/>
            <w:vAlign w:val="center"/>
          </w:tcPr>
          <w:p w14:paraId="46FB4A60"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31611FD7" w14:textId="1B3B6D53" w:rsidR="00F72E7B" w:rsidRPr="000C792B" w:rsidRDefault="00F72E7B" w:rsidP="00F72E7B">
            <w:pPr>
              <w:pStyle w:val="TAC"/>
            </w:pPr>
            <w:r>
              <w:t>NR_TDD_FR1_C</w:t>
            </w:r>
          </w:p>
        </w:tc>
        <w:tc>
          <w:tcPr>
            <w:tcW w:w="1134" w:type="dxa"/>
            <w:tcBorders>
              <w:top w:val="single" w:sz="4" w:space="0" w:color="auto"/>
              <w:left w:val="single" w:sz="4" w:space="0" w:color="auto"/>
              <w:bottom w:val="single" w:sz="4" w:space="0" w:color="auto"/>
              <w:right w:val="single" w:sz="4" w:space="0" w:color="auto"/>
            </w:tcBorders>
            <w:vAlign w:val="center"/>
          </w:tcPr>
          <w:p w14:paraId="760F4236" w14:textId="3F854C2C" w:rsidR="00F72E7B" w:rsidRPr="000C792B" w:rsidRDefault="00F72E7B" w:rsidP="00F72E7B">
            <w:pPr>
              <w:pStyle w:val="TAC"/>
            </w:pPr>
            <w:r>
              <w:t>-120</w:t>
            </w:r>
          </w:p>
        </w:tc>
        <w:tc>
          <w:tcPr>
            <w:tcW w:w="1275" w:type="dxa"/>
          </w:tcPr>
          <w:p w14:paraId="426BF9EB" w14:textId="77777777" w:rsidR="00F72E7B" w:rsidRPr="000C792B" w:rsidRDefault="00F72E7B" w:rsidP="00F72E7B">
            <w:pPr>
              <w:pStyle w:val="TAC"/>
            </w:pPr>
            <w:r w:rsidRPr="000C792B">
              <w:rPr>
                <w:lang w:eastAsia="zh-CN"/>
              </w:rPr>
              <w:t>-50</w:t>
            </w:r>
          </w:p>
        </w:tc>
      </w:tr>
      <w:tr w:rsidR="00F72E7B" w:rsidRPr="000C792B" w14:paraId="102DA76B" w14:textId="77777777" w:rsidTr="003E29AE">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41C6A1A3" w14:textId="77777777" w:rsidR="00F72E7B" w:rsidRPr="000C792B" w:rsidRDefault="00F72E7B" w:rsidP="00F72E7B">
            <w:pPr>
              <w:pStyle w:val="TAC"/>
              <w:rPr>
                <w:lang w:eastAsia="zh-CN"/>
              </w:rPr>
            </w:pPr>
          </w:p>
        </w:tc>
        <w:tc>
          <w:tcPr>
            <w:tcW w:w="1163" w:type="dxa"/>
            <w:vMerge/>
            <w:vAlign w:val="center"/>
          </w:tcPr>
          <w:p w14:paraId="7C33B404" w14:textId="77777777" w:rsidR="00F72E7B" w:rsidRPr="000C792B" w:rsidRDefault="00F72E7B" w:rsidP="00F72E7B">
            <w:pPr>
              <w:pStyle w:val="TAC"/>
              <w:rPr>
                <w:lang w:val="sv-SE"/>
              </w:rPr>
            </w:pPr>
          </w:p>
        </w:tc>
        <w:tc>
          <w:tcPr>
            <w:tcW w:w="992" w:type="dxa"/>
            <w:vMerge/>
            <w:vAlign w:val="center"/>
          </w:tcPr>
          <w:p w14:paraId="668DFA6E" w14:textId="77777777" w:rsidR="00F72E7B" w:rsidRPr="000C792B" w:rsidRDefault="00F72E7B" w:rsidP="00F72E7B">
            <w:pPr>
              <w:pStyle w:val="TAC"/>
              <w:rPr>
                <w:lang w:val="sv-SE" w:eastAsia="zh-CN"/>
              </w:rPr>
            </w:pPr>
          </w:p>
        </w:tc>
        <w:tc>
          <w:tcPr>
            <w:tcW w:w="1134" w:type="dxa"/>
            <w:vMerge/>
            <w:vAlign w:val="center"/>
          </w:tcPr>
          <w:p w14:paraId="6FCD4D43" w14:textId="77777777" w:rsidR="00F72E7B" w:rsidRPr="000C792B" w:rsidRDefault="00F72E7B" w:rsidP="00F72E7B">
            <w:pPr>
              <w:pStyle w:val="TAC"/>
            </w:pPr>
          </w:p>
        </w:tc>
        <w:tc>
          <w:tcPr>
            <w:tcW w:w="1367" w:type="dxa"/>
            <w:vMerge/>
            <w:vAlign w:val="center"/>
          </w:tcPr>
          <w:p w14:paraId="3219F47C"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28C4F750" w14:textId="41B733E1" w:rsidR="00F72E7B" w:rsidRPr="000C792B" w:rsidRDefault="00F72E7B" w:rsidP="00F72E7B">
            <w:pPr>
              <w:pStyle w:val="TAC"/>
              <w:rPr>
                <w:lang w:val="sv-SE"/>
              </w:rPr>
            </w:pPr>
            <w:r>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tcPr>
          <w:p w14:paraId="27508FBB" w14:textId="77C80CEC" w:rsidR="00F72E7B" w:rsidRPr="000C792B" w:rsidRDefault="00F72E7B" w:rsidP="00F72E7B">
            <w:pPr>
              <w:pStyle w:val="TAC"/>
            </w:pPr>
            <w:r>
              <w:t>-119.5</w:t>
            </w:r>
          </w:p>
        </w:tc>
        <w:tc>
          <w:tcPr>
            <w:tcW w:w="1275" w:type="dxa"/>
          </w:tcPr>
          <w:p w14:paraId="58A6C057" w14:textId="77777777" w:rsidR="00F72E7B" w:rsidRPr="000C792B" w:rsidRDefault="00F72E7B" w:rsidP="00F72E7B">
            <w:pPr>
              <w:pStyle w:val="TAC"/>
            </w:pPr>
            <w:r w:rsidRPr="000C792B">
              <w:rPr>
                <w:lang w:eastAsia="zh-CN"/>
              </w:rPr>
              <w:t>-50</w:t>
            </w:r>
          </w:p>
        </w:tc>
      </w:tr>
      <w:tr w:rsidR="00F72E7B" w:rsidRPr="000C792B" w14:paraId="175A288A" w14:textId="77777777" w:rsidTr="003E29AE">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427C773B" w14:textId="77777777" w:rsidR="00F72E7B" w:rsidRPr="000C792B" w:rsidRDefault="00F72E7B" w:rsidP="00F72E7B">
            <w:pPr>
              <w:pStyle w:val="TAC"/>
              <w:rPr>
                <w:lang w:eastAsia="zh-CN"/>
              </w:rPr>
            </w:pPr>
          </w:p>
        </w:tc>
        <w:tc>
          <w:tcPr>
            <w:tcW w:w="1163" w:type="dxa"/>
            <w:vMerge/>
            <w:vAlign w:val="center"/>
          </w:tcPr>
          <w:p w14:paraId="3BF6F796" w14:textId="77777777" w:rsidR="00F72E7B" w:rsidRPr="000C792B" w:rsidRDefault="00F72E7B" w:rsidP="00F72E7B">
            <w:pPr>
              <w:pStyle w:val="TAC"/>
              <w:rPr>
                <w:lang w:val="sv-SE"/>
              </w:rPr>
            </w:pPr>
          </w:p>
        </w:tc>
        <w:tc>
          <w:tcPr>
            <w:tcW w:w="992" w:type="dxa"/>
            <w:vMerge/>
            <w:vAlign w:val="center"/>
          </w:tcPr>
          <w:p w14:paraId="0C851794" w14:textId="77777777" w:rsidR="00F72E7B" w:rsidRPr="000C792B" w:rsidRDefault="00F72E7B" w:rsidP="00F72E7B">
            <w:pPr>
              <w:pStyle w:val="TAC"/>
              <w:rPr>
                <w:lang w:val="sv-SE" w:eastAsia="zh-CN"/>
              </w:rPr>
            </w:pPr>
          </w:p>
        </w:tc>
        <w:tc>
          <w:tcPr>
            <w:tcW w:w="1134" w:type="dxa"/>
            <w:vMerge/>
            <w:vAlign w:val="center"/>
          </w:tcPr>
          <w:p w14:paraId="68E63353" w14:textId="77777777" w:rsidR="00F72E7B" w:rsidRPr="000C792B" w:rsidRDefault="00F72E7B" w:rsidP="00F72E7B">
            <w:pPr>
              <w:pStyle w:val="TAC"/>
            </w:pPr>
          </w:p>
        </w:tc>
        <w:tc>
          <w:tcPr>
            <w:tcW w:w="1367" w:type="dxa"/>
            <w:vMerge/>
            <w:vAlign w:val="center"/>
          </w:tcPr>
          <w:p w14:paraId="624BD795"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129A6691" w14:textId="4A3FE0E1" w:rsidR="00F72E7B" w:rsidRPr="000C792B" w:rsidRDefault="00F72E7B" w:rsidP="00F72E7B">
            <w:pPr>
              <w:pStyle w:val="TAC"/>
              <w:rPr>
                <w:lang w:val="sv-SE"/>
              </w:rPr>
            </w:pPr>
            <w:r>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tcPr>
          <w:p w14:paraId="485D90AF" w14:textId="50A4AAE0" w:rsidR="00F72E7B" w:rsidRPr="000C792B" w:rsidRDefault="00F72E7B" w:rsidP="00F72E7B">
            <w:pPr>
              <w:pStyle w:val="TAC"/>
            </w:pPr>
            <w:r>
              <w:t>-119</w:t>
            </w:r>
          </w:p>
        </w:tc>
        <w:tc>
          <w:tcPr>
            <w:tcW w:w="1275" w:type="dxa"/>
          </w:tcPr>
          <w:p w14:paraId="48845268" w14:textId="77777777" w:rsidR="00F72E7B" w:rsidRPr="000C792B" w:rsidRDefault="00F72E7B" w:rsidP="00F72E7B">
            <w:pPr>
              <w:pStyle w:val="TAC"/>
            </w:pPr>
            <w:r w:rsidRPr="000C792B">
              <w:rPr>
                <w:lang w:eastAsia="zh-CN"/>
              </w:rPr>
              <w:t>-50</w:t>
            </w:r>
          </w:p>
        </w:tc>
      </w:tr>
      <w:tr w:rsidR="00F72E7B" w:rsidRPr="000C792B" w14:paraId="093B7F83" w14:textId="77777777" w:rsidTr="003E29AE">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78D1F7EB" w14:textId="77777777" w:rsidR="00F72E7B" w:rsidRPr="000C792B" w:rsidRDefault="00F72E7B" w:rsidP="00F72E7B">
            <w:pPr>
              <w:pStyle w:val="TAC"/>
              <w:rPr>
                <w:lang w:eastAsia="zh-CN"/>
              </w:rPr>
            </w:pPr>
          </w:p>
        </w:tc>
        <w:tc>
          <w:tcPr>
            <w:tcW w:w="1163" w:type="dxa"/>
            <w:vMerge/>
            <w:vAlign w:val="center"/>
          </w:tcPr>
          <w:p w14:paraId="2A20DEA5" w14:textId="77777777" w:rsidR="00F72E7B" w:rsidRPr="000C792B" w:rsidRDefault="00F72E7B" w:rsidP="00F72E7B">
            <w:pPr>
              <w:pStyle w:val="TAC"/>
              <w:rPr>
                <w:lang w:val="sv-SE"/>
              </w:rPr>
            </w:pPr>
          </w:p>
        </w:tc>
        <w:tc>
          <w:tcPr>
            <w:tcW w:w="992" w:type="dxa"/>
            <w:vMerge/>
            <w:vAlign w:val="center"/>
          </w:tcPr>
          <w:p w14:paraId="4A0A258D" w14:textId="77777777" w:rsidR="00F72E7B" w:rsidRPr="000C792B" w:rsidRDefault="00F72E7B" w:rsidP="00F72E7B">
            <w:pPr>
              <w:pStyle w:val="TAC"/>
              <w:rPr>
                <w:lang w:val="sv-SE" w:eastAsia="zh-CN"/>
              </w:rPr>
            </w:pPr>
          </w:p>
        </w:tc>
        <w:tc>
          <w:tcPr>
            <w:tcW w:w="1134" w:type="dxa"/>
            <w:vMerge/>
            <w:vAlign w:val="center"/>
          </w:tcPr>
          <w:p w14:paraId="024F6240" w14:textId="77777777" w:rsidR="00F72E7B" w:rsidRPr="000C792B" w:rsidRDefault="00F72E7B" w:rsidP="00F72E7B">
            <w:pPr>
              <w:pStyle w:val="TAC"/>
            </w:pPr>
          </w:p>
        </w:tc>
        <w:tc>
          <w:tcPr>
            <w:tcW w:w="1367" w:type="dxa"/>
            <w:vMerge/>
            <w:vAlign w:val="center"/>
          </w:tcPr>
          <w:p w14:paraId="3A78E46D"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4AE005C3" w14:textId="782077B0" w:rsidR="00F72E7B" w:rsidRPr="000C792B" w:rsidRDefault="00F72E7B" w:rsidP="00F72E7B">
            <w:pPr>
              <w:pStyle w:val="TAC"/>
            </w:pPr>
            <w:r>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tcPr>
          <w:p w14:paraId="0F49E45B" w14:textId="583C3801" w:rsidR="00F72E7B" w:rsidRPr="000C792B" w:rsidRDefault="00F72E7B" w:rsidP="00F72E7B">
            <w:pPr>
              <w:pStyle w:val="TAC"/>
            </w:pPr>
            <w:r>
              <w:t>-118.5</w:t>
            </w:r>
          </w:p>
        </w:tc>
        <w:tc>
          <w:tcPr>
            <w:tcW w:w="1275" w:type="dxa"/>
          </w:tcPr>
          <w:p w14:paraId="20CA3AB9" w14:textId="77777777" w:rsidR="00F72E7B" w:rsidRPr="000C792B" w:rsidRDefault="00F72E7B" w:rsidP="00F72E7B">
            <w:pPr>
              <w:pStyle w:val="TAC"/>
            </w:pPr>
            <w:r w:rsidRPr="000C792B">
              <w:rPr>
                <w:lang w:eastAsia="zh-CN"/>
              </w:rPr>
              <w:t>-50</w:t>
            </w:r>
          </w:p>
        </w:tc>
      </w:tr>
      <w:tr w:rsidR="00F72E7B" w:rsidRPr="000C792B" w14:paraId="7CE6318E" w14:textId="77777777" w:rsidTr="003E29AE">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4A976FD3" w14:textId="77777777" w:rsidR="00F72E7B" w:rsidRPr="000C792B" w:rsidRDefault="00F72E7B" w:rsidP="00F72E7B">
            <w:pPr>
              <w:pStyle w:val="TAC"/>
              <w:rPr>
                <w:lang w:eastAsia="zh-CN"/>
              </w:rPr>
            </w:pPr>
          </w:p>
        </w:tc>
        <w:tc>
          <w:tcPr>
            <w:tcW w:w="1163" w:type="dxa"/>
            <w:vMerge/>
            <w:vAlign w:val="center"/>
          </w:tcPr>
          <w:p w14:paraId="2EA9C413" w14:textId="77777777" w:rsidR="00F72E7B" w:rsidRPr="000C792B" w:rsidRDefault="00F72E7B" w:rsidP="00F72E7B">
            <w:pPr>
              <w:pStyle w:val="TAC"/>
              <w:rPr>
                <w:lang w:val="sv-SE"/>
              </w:rPr>
            </w:pPr>
          </w:p>
        </w:tc>
        <w:tc>
          <w:tcPr>
            <w:tcW w:w="992" w:type="dxa"/>
            <w:vMerge/>
            <w:vAlign w:val="center"/>
          </w:tcPr>
          <w:p w14:paraId="41D3DF40" w14:textId="77777777" w:rsidR="00F72E7B" w:rsidRPr="000C792B" w:rsidRDefault="00F72E7B" w:rsidP="00F72E7B">
            <w:pPr>
              <w:pStyle w:val="TAC"/>
              <w:rPr>
                <w:lang w:val="sv-SE" w:eastAsia="zh-CN"/>
              </w:rPr>
            </w:pPr>
          </w:p>
        </w:tc>
        <w:tc>
          <w:tcPr>
            <w:tcW w:w="1134" w:type="dxa"/>
            <w:vMerge/>
            <w:vAlign w:val="center"/>
          </w:tcPr>
          <w:p w14:paraId="782865A0" w14:textId="77777777" w:rsidR="00F72E7B" w:rsidRPr="000C792B" w:rsidRDefault="00F72E7B" w:rsidP="00F72E7B">
            <w:pPr>
              <w:pStyle w:val="TAC"/>
            </w:pPr>
          </w:p>
        </w:tc>
        <w:tc>
          <w:tcPr>
            <w:tcW w:w="1367" w:type="dxa"/>
            <w:vMerge/>
            <w:vAlign w:val="center"/>
          </w:tcPr>
          <w:p w14:paraId="40CFA0FD"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785FD91B" w14:textId="5F245200" w:rsidR="00F72E7B" w:rsidRPr="000C792B" w:rsidRDefault="00F72E7B" w:rsidP="00F72E7B">
            <w:pPr>
              <w:pStyle w:val="TAC"/>
            </w:pPr>
            <w:r>
              <w:rPr>
                <w:lang w:eastAsia="zh-CN"/>
              </w:rPr>
              <w:t>NR</w:t>
            </w:r>
            <w:r>
              <w:t>_</w:t>
            </w:r>
            <w:r>
              <w:rPr>
                <w:lang w:eastAsia="zh-CN"/>
              </w:rPr>
              <w:t>FDD_FR1_G</w:t>
            </w:r>
            <w:r>
              <w:rPr>
                <w:rFonts w:hint="eastAsia"/>
                <w:lang w:eastAsia="zh-CN"/>
              </w:rPr>
              <w:t xml:space="preserve">, </w:t>
            </w:r>
            <w:r>
              <w:rPr>
                <w:lang w:eastAsia="zh-CN"/>
              </w:rPr>
              <w:t>NR</w:t>
            </w:r>
            <w:r>
              <w:t>_</w:t>
            </w:r>
            <w:r>
              <w:rPr>
                <w:rFonts w:hint="eastAsia"/>
                <w:lang w:eastAsia="zh-CN"/>
              </w:rPr>
              <w:t>T</w:t>
            </w:r>
            <w:r>
              <w:rPr>
                <w:lang w:eastAsia="zh-CN"/>
              </w:rPr>
              <w:t>DD_FR1_G</w:t>
            </w:r>
          </w:p>
        </w:tc>
        <w:tc>
          <w:tcPr>
            <w:tcW w:w="1134" w:type="dxa"/>
            <w:tcBorders>
              <w:top w:val="single" w:sz="4" w:space="0" w:color="auto"/>
              <w:left w:val="single" w:sz="4" w:space="0" w:color="auto"/>
              <w:bottom w:val="single" w:sz="4" w:space="0" w:color="auto"/>
              <w:right w:val="single" w:sz="4" w:space="0" w:color="auto"/>
            </w:tcBorders>
            <w:vAlign w:val="center"/>
          </w:tcPr>
          <w:p w14:paraId="1018E0CA" w14:textId="193D5608" w:rsidR="00F72E7B" w:rsidRPr="000C792B" w:rsidRDefault="00F72E7B" w:rsidP="00F72E7B">
            <w:pPr>
              <w:pStyle w:val="TAC"/>
            </w:pPr>
            <w:r>
              <w:t>-118</w:t>
            </w:r>
          </w:p>
        </w:tc>
        <w:tc>
          <w:tcPr>
            <w:tcW w:w="1275" w:type="dxa"/>
          </w:tcPr>
          <w:p w14:paraId="25746227" w14:textId="77777777" w:rsidR="00F72E7B" w:rsidRPr="000C792B" w:rsidRDefault="00F72E7B" w:rsidP="00F72E7B">
            <w:pPr>
              <w:pStyle w:val="TAC"/>
            </w:pPr>
            <w:r w:rsidRPr="000C792B">
              <w:rPr>
                <w:lang w:eastAsia="zh-CN"/>
              </w:rPr>
              <w:t>-50</w:t>
            </w:r>
          </w:p>
        </w:tc>
      </w:tr>
      <w:tr w:rsidR="00F72E7B" w:rsidRPr="000C792B" w14:paraId="6689C4A5" w14:textId="77777777" w:rsidTr="003E29AE">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2608080D" w14:textId="77777777" w:rsidR="00F72E7B" w:rsidRPr="000C792B" w:rsidRDefault="00F72E7B" w:rsidP="00F72E7B">
            <w:pPr>
              <w:pStyle w:val="TAC"/>
              <w:rPr>
                <w:lang w:eastAsia="zh-CN"/>
              </w:rPr>
            </w:pPr>
          </w:p>
        </w:tc>
        <w:tc>
          <w:tcPr>
            <w:tcW w:w="1163" w:type="dxa"/>
            <w:vMerge/>
            <w:vAlign w:val="center"/>
          </w:tcPr>
          <w:p w14:paraId="1D29B11E" w14:textId="77777777" w:rsidR="00F72E7B" w:rsidRPr="000C792B" w:rsidRDefault="00F72E7B" w:rsidP="00F72E7B">
            <w:pPr>
              <w:pStyle w:val="TAC"/>
              <w:rPr>
                <w:lang w:val="sv-SE"/>
              </w:rPr>
            </w:pPr>
          </w:p>
        </w:tc>
        <w:tc>
          <w:tcPr>
            <w:tcW w:w="992" w:type="dxa"/>
            <w:vMerge/>
            <w:vAlign w:val="center"/>
          </w:tcPr>
          <w:p w14:paraId="637C8FEE" w14:textId="77777777" w:rsidR="00F72E7B" w:rsidRPr="000C792B" w:rsidRDefault="00F72E7B" w:rsidP="00F72E7B">
            <w:pPr>
              <w:pStyle w:val="TAC"/>
              <w:rPr>
                <w:lang w:val="sv-SE" w:eastAsia="zh-CN"/>
              </w:rPr>
            </w:pPr>
          </w:p>
        </w:tc>
        <w:tc>
          <w:tcPr>
            <w:tcW w:w="1134" w:type="dxa"/>
            <w:vMerge/>
            <w:vAlign w:val="center"/>
          </w:tcPr>
          <w:p w14:paraId="3CAA9AF7" w14:textId="77777777" w:rsidR="00F72E7B" w:rsidRPr="000C792B" w:rsidRDefault="00F72E7B" w:rsidP="00F72E7B">
            <w:pPr>
              <w:pStyle w:val="TAC"/>
            </w:pPr>
          </w:p>
        </w:tc>
        <w:tc>
          <w:tcPr>
            <w:tcW w:w="1367" w:type="dxa"/>
            <w:vMerge/>
            <w:vAlign w:val="center"/>
          </w:tcPr>
          <w:p w14:paraId="7807D915" w14:textId="77777777" w:rsidR="00F72E7B" w:rsidRPr="000C792B" w:rsidRDefault="00F72E7B" w:rsidP="00F72E7B">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601FF549" w14:textId="090261F2" w:rsidR="00F72E7B" w:rsidRPr="000C792B" w:rsidRDefault="00F72E7B" w:rsidP="00F72E7B">
            <w:pPr>
              <w:pStyle w:val="TAC"/>
              <w:rPr>
                <w:lang w:eastAsia="zh-CN"/>
              </w:rPr>
            </w:pPr>
            <w:r>
              <w:rPr>
                <w:lang w:eastAsia="zh-CN"/>
              </w:rPr>
              <w:t>NR</w:t>
            </w:r>
            <w:r>
              <w:t>_</w:t>
            </w:r>
            <w:r>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tcPr>
          <w:p w14:paraId="4511D8B2" w14:textId="611A3850" w:rsidR="00F72E7B" w:rsidRPr="000C792B" w:rsidRDefault="00F72E7B" w:rsidP="00F72E7B">
            <w:pPr>
              <w:pStyle w:val="TAC"/>
            </w:pPr>
            <w:r>
              <w:t>-117.5</w:t>
            </w:r>
          </w:p>
        </w:tc>
        <w:tc>
          <w:tcPr>
            <w:tcW w:w="1275" w:type="dxa"/>
          </w:tcPr>
          <w:p w14:paraId="58B30313" w14:textId="77777777" w:rsidR="00F72E7B" w:rsidRPr="000C792B" w:rsidRDefault="00F72E7B" w:rsidP="00F72E7B">
            <w:pPr>
              <w:pStyle w:val="TAC"/>
              <w:rPr>
                <w:lang w:eastAsia="zh-CN"/>
              </w:rPr>
            </w:pPr>
            <w:r w:rsidRPr="000C792B">
              <w:rPr>
                <w:lang w:eastAsia="zh-CN"/>
              </w:rPr>
              <w:t>-50</w:t>
            </w:r>
          </w:p>
        </w:tc>
      </w:tr>
      <w:tr w:rsidR="005F67F3" w:rsidRPr="000C792B" w14:paraId="46A4EC9B"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tcPr>
          <w:p w14:paraId="4E49D87D" w14:textId="294C0E2D" w:rsidR="005F67F3" w:rsidRPr="000C792B" w:rsidRDefault="005F67F3" w:rsidP="005F67F3">
            <w:pPr>
              <w:pStyle w:val="TAC"/>
              <w:rPr>
                <w:lang w:eastAsia="zh-CN"/>
              </w:rPr>
            </w:pPr>
            <w:r w:rsidRPr="000C792B">
              <w:rPr>
                <w:lang w:eastAsia="zh-CN"/>
              </w:rPr>
              <w:t>24</w:t>
            </w:r>
          </w:p>
        </w:tc>
        <w:tc>
          <w:tcPr>
            <w:tcW w:w="1163" w:type="dxa"/>
            <w:vMerge/>
            <w:vAlign w:val="center"/>
          </w:tcPr>
          <w:p w14:paraId="0203187E" w14:textId="77777777" w:rsidR="005F67F3" w:rsidRPr="000C792B" w:rsidRDefault="005F67F3" w:rsidP="005F67F3">
            <w:pPr>
              <w:pStyle w:val="TAC"/>
              <w:rPr>
                <w:lang w:val="sv-SE"/>
              </w:rPr>
            </w:pPr>
          </w:p>
        </w:tc>
        <w:tc>
          <w:tcPr>
            <w:tcW w:w="992" w:type="dxa"/>
            <w:vMerge/>
            <w:vAlign w:val="center"/>
          </w:tcPr>
          <w:p w14:paraId="4BCF4E86" w14:textId="77777777" w:rsidR="005F67F3" w:rsidRPr="000C792B" w:rsidRDefault="005F67F3" w:rsidP="005F67F3">
            <w:pPr>
              <w:pStyle w:val="TAC"/>
              <w:rPr>
                <w:lang w:val="sv-SE" w:eastAsia="zh-CN"/>
              </w:rPr>
            </w:pPr>
          </w:p>
        </w:tc>
        <w:tc>
          <w:tcPr>
            <w:tcW w:w="1134" w:type="dxa"/>
            <w:vAlign w:val="center"/>
          </w:tcPr>
          <w:p w14:paraId="6B043FB9" w14:textId="71D5A320" w:rsidR="005F67F3" w:rsidRPr="000C792B" w:rsidRDefault="005F67F3" w:rsidP="005F67F3">
            <w:pPr>
              <w:pStyle w:val="TAC"/>
            </w:pPr>
            <w:r w:rsidRPr="000C792B">
              <w:t>≥ 64</w:t>
            </w:r>
          </w:p>
        </w:tc>
        <w:tc>
          <w:tcPr>
            <w:tcW w:w="1367" w:type="dxa"/>
            <w:vAlign w:val="center"/>
          </w:tcPr>
          <w:p w14:paraId="1D0D9345" w14:textId="49F6667D" w:rsidR="005F67F3" w:rsidRPr="000C792B" w:rsidRDefault="005F67F3" w:rsidP="005F67F3">
            <w:pPr>
              <w:pStyle w:val="TAC"/>
            </w:pPr>
            <w:r w:rsidRPr="000C792B">
              <w:t>≥ 1</w:t>
            </w:r>
          </w:p>
        </w:tc>
        <w:tc>
          <w:tcPr>
            <w:tcW w:w="2040" w:type="dxa"/>
            <w:vAlign w:val="center"/>
          </w:tcPr>
          <w:p w14:paraId="2CD789AC" w14:textId="77777777" w:rsidR="005F67F3" w:rsidRPr="000C792B" w:rsidRDefault="005F67F3" w:rsidP="005F67F3">
            <w:pPr>
              <w:pStyle w:val="TAC"/>
            </w:pPr>
            <w:r w:rsidRPr="000C792B">
              <w:t>Note 6</w:t>
            </w:r>
          </w:p>
        </w:tc>
        <w:tc>
          <w:tcPr>
            <w:tcW w:w="1134" w:type="dxa"/>
            <w:vAlign w:val="center"/>
          </w:tcPr>
          <w:p w14:paraId="63C94986" w14:textId="77777777" w:rsidR="005F67F3" w:rsidRPr="000C792B" w:rsidRDefault="005F67F3" w:rsidP="005F67F3">
            <w:pPr>
              <w:pStyle w:val="TAC"/>
            </w:pPr>
            <w:r w:rsidRPr="000C792B">
              <w:t>Note 6</w:t>
            </w:r>
          </w:p>
        </w:tc>
        <w:tc>
          <w:tcPr>
            <w:tcW w:w="1275" w:type="dxa"/>
            <w:vAlign w:val="center"/>
          </w:tcPr>
          <w:p w14:paraId="3C1682CE" w14:textId="77777777" w:rsidR="005F67F3" w:rsidRPr="000C792B" w:rsidRDefault="005F67F3" w:rsidP="005F67F3">
            <w:pPr>
              <w:pStyle w:val="TAC"/>
            </w:pPr>
            <w:r w:rsidRPr="000C792B">
              <w:t>Note 6</w:t>
            </w:r>
          </w:p>
        </w:tc>
      </w:tr>
      <w:tr w:rsidR="005F67F3" w:rsidRPr="000C792B" w14:paraId="3BAF28D8"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tcPr>
          <w:p w14:paraId="4015D2FF" w14:textId="5C28D7A1" w:rsidR="005F67F3" w:rsidRPr="000C792B" w:rsidRDefault="005F67F3" w:rsidP="005F67F3">
            <w:pPr>
              <w:pStyle w:val="TAC"/>
              <w:rPr>
                <w:lang w:eastAsia="zh-CN"/>
              </w:rPr>
            </w:pPr>
            <w:r w:rsidRPr="000C792B">
              <w:rPr>
                <w:lang w:eastAsia="zh-CN"/>
              </w:rPr>
              <w:t>10</w:t>
            </w:r>
          </w:p>
        </w:tc>
        <w:tc>
          <w:tcPr>
            <w:tcW w:w="1163" w:type="dxa"/>
            <w:vMerge/>
            <w:vAlign w:val="center"/>
          </w:tcPr>
          <w:p w14:paraId="204C4E90" w14:textId="77777777" w:rsidR="005F67F3" w:rsidRPr="000C792B" w:rsidRDefault="005F67F3" w:rsidP="005F67F3">
            <w:pPr>
              <w:pStyle w:val="TAC"/>
              <w:rPr>
                <w:lang w:val="sv-SE"/>
              </w:rPr>
            </w:pPr>
          </w:p>
        </w:tc>
        <w:tc>
          <w:tcPr>
            <w:tcW w:w="992" w:type="dxa"/>
            <w:vMerge/>
            <w:vAlign w:val="center"/>
          </w:tcPr>
          <w:p w14:paraId="2A6EC08E" w14:textId="77777777" w:rsidR="005F67F3" w:rsidRPr="000C792B" w:rsidRDefault="005F67F3" w:rsidP="005F67F3">
            <w:pPr>
              <w:pStyle w:val="TAC"/>
              <w:rPr>
                <w:lang w:val="sv-SE" w:eastAsia="zh-CN"/>
              </w:rPr>
            </w:pPr>
          </w:p>
        </w:tc>
        <w:tc>
          <w:tcPr>
            <w:tcW w:w="1134" w:type="dxa"/>
            <w:vAlign w:val="center"/>
          </w:tcPr>
          <w:p w14:paraId="75DDE40B" w14:textId="6198E3FC" w:rsidR="005F67F3" w:rsidRPr="000C792B" w:rsidRDefault="005F67F3" w:rsidP="005F67F3">
            <w:pPr>
              <w:pStyle w:val="TAC"/>
            </w:pPr>
            <w:r w:rsidRPr="000C792B">
              <w:t>≥ 132</w:t>
            </w:r>
          </w:p>
        </w:tc>
        <w:tc>
          <w:tcPr>
            <w:tcW w:w="1367" w:type="dxa"/>
            <w:vAlign w:val="center"/>
          </w:tcPr>
          <w:p w14:paraId="5C827FBE" w14:textId="61EBB7E8" w:rsidR="005F67F3" w:rsidRPr="000C792B" w:rsidRDefault="005F67F3" w:rsidP="005F67F3">
            <w:pPr>
              <w:pStyle w:val="TAC"/>
            </w:pPr>
            <w:r w:rsidRPr="000C792B">
              <w:t>≥ 1</w:t>
            </w:r>
          </w:p>
        </w:tc>
        <w:tc>
          <w:tcPr>
            <w:tcW w:w="2040" w:type="dxa"/>
            <w:vAlign w:val="center"/>
          </w:tcPr>
          <w:p w14:paraId="156B7EB5" w14:textId="77777777" w:rsidR="005F67F3" w:rsidRPr="000C792B" w:rsidRDefault="005F67F3" w:rsidP="005F67F3">
            <w:pPr>
              <w:pStyle w:val="TAC"/>
            </w:pPr>
            <w:r w:rsidRPr="000C792B">
              <w:t>Note 6</w:t>
            </w:r>
          </w:p>
        </w:tc>
        <w:tc>
          <w:tcPr>
            <w:tcW w:w="1134" w:type="dxa"/>
            <w:vAlign w:val="center"/>
          </w:tcPr>
          <w:p w14:paraId="57E8A1B2" w14:textId="77777777" w:rsidR="005F67F3" w:rsidRPr="000C792B" w:rsidRDefault="005F67F3" w:rsidP="005F67F3">
            <w:pPr>
              <w:pStyle w:val="TAC"/>
            </w:pPr>
            <w:r w:rsidRPr="000C792B">
              <w:t>Note 6</w:t>
            </w:r>
          </w:p>
        </w:tc>
        <w:tc>
          <w:tcPr>
            <w:tcW w:w="1275" w:type="dxa"/>
            <w:vAlign w:val="center"/>
          </w:tcPr>
          <w:p w14:paraId="12900F7F" w14:textId="77777777" w:rsidR="005F67F3" w:rsidRPr="000C792B" w:rsidRDefault="005F67F3" w:rsidP="005F67F3">
            <w:pPr>
              <w:pStyle w:val="TAC"/>
            </w:pPr>
            <w:r w:rsidRPr="000C792B">
              <w:t>Note 6</w:t>
            </w:r>
          </w:p>
        </w:tc>
      </w:tr>
      <w:tr w:rsidR="00060B2A" w:rsidRPr="000C792B" w14:paraId="2A2F6EBB" w14:textId="77777777" w:rsidTr="00224E82">
        <w:trPr>
          <w:jc w:val="center"/>
        </w:trPr>
        <w:tc>
          <w:tcPr>
            <w:tcW w:w="10064" w:type="dxa"/>
            <w:gridSpan w:val="8"/>
            <w:vAlign w:val="center"/>
            <w:hideMark/>
          </w:tcPr>
          <w:p w14:paraId="34849EE9" w14:textId="77777777" w:rsidR="00B22B9E" w:rsidRPr="000C792B" w:rsidRDefault="00B22B9E" w:rsidP="00B22B9E">
            <w:pPr>
              <w:pStyle w:val="TAN"/>
            </w:pPr>
            <w:r w:rsidRPr="000C792B">
              <w:t>NOTE 1:</w:t>
            </w:r>
            <w:r w:rsidRPr="000C792B">
              <w:tab/>
              <w:t>Minimum PRS bandwidth, which is minimum of the PRS bandwidths of the reference resource and the measured neighbour resource i.</w:t>
            </w:r>
          </w:p>
          <w:p w14:paraId="5ED12443" w14:textId="77777777" w:rsidR="00B22B9E" w:rsidRPr="000C792B" w:rsidRDefault="00B22B9E" w:rsidP="00B22B9E">
            <w:pPr>
              <w:pStyle w:val="TAN"/>
              <w:rPr>
                <w:iCs/>
                <w:szCs w:val="18"/>
                <w:lang w:val="en-US" w:eastAsia="zh-CN"/>
              </w:rPr>
            </w:pPr>
            <w:r w:rsidRPr="007D085D">
              <w:t xml:space="preserve">NOTE 2: </w:t>
            </w:r>
            <w:r w:rsidRPr="007D085D">
              <w:tab/>
              <w:t xml:space="preserve">Minimum number of PRS resource repetitions among the reference resource and the measured neighbour resource i. </w:t>
            </w:r>
            <m:oMath>
              <m:sSubSup>
                <m:sSubSupPr>
                  <m:ctrlPr>
                    <w:rPr>
                      <w:rFonts w:ascii="Cambria Math" w:hAnsi="Cambria Math"/>
                      <w:i/>
                    </w:rPr>
                  </m:ctrlPr>
                </m:sSubSupPr>
                <m:e>
                  <m:r>
                    <w:rPr>
                      <w:rFonts w:ascii="Cambria Math" w:hAnsi="Cambria Math"/>
                    </w:rPr>
                    <m:t>T</m:t>
                  </m:r>
                </m:e>
                <m:sub>
                  <m:r>
                    <m:rPr>
                      <m:nor/>
                    </m:rPr>
                    <w:rPr>
                      <w:rFonts w:ascii="Cambria Math" w:hAnsi="Cambria Math"/>
                    </w:rPr>
                    <m:t>rep</m:t>
                  </m:r>
                </m:sub>
                <m:sup>
                  <m:r>
                    <m:rPr>
                      <m:nor/>
                    </m:rPr>
                    <w:rPr>
                      <w:rFonts w:ascii="Cambria Math" w:hAnsi="Cambria Math"/>
                    </w:rPr>
                    <m:t>PRS</m:t>
                  </m:r>
                </m:sup>
              </m:sSubSup>
              <m:r>
                <w:rPr>
                  <w:rFonts w:ascii="Cambria Math" w:hAnsi="Cambria Math"/>
                </w:rPr>
                <m:t xml:space="preserve">, </m:t>
              </m:r>
              <m:sSub>
                <m:sSubPr>
                  <m:ctrlPr>
                    <w:rPr>
                      <w:rFonts w:ascii="Cambria Math" w:hAnsi="Cambria Math"/>
                    </w:rPr>
                  </m:ctrlPr>
                </m:sSubPr>
                <m:e>
                  <m:r>
                    <w:rPr>
                      <w:rFonts w:ascii="Cambria Math" w:hAnsi="Cambria Math"/>
                    </w:rPr>
                    <m:t>L</m:t>
                  </m:r>
                </m:e>
                <m:sub>
                  <m:r>
                    <m:rPr>
                      <m:nor/>
                    </m:rPr>
                    <m:t>PRS</m:t>
                  </m:r>
                </m:sub>
              </m:sSub>
              <m:r>
                <w:rPr>
                  <w:rFonts w:ascii="Cambria Math" w:hAnsi="Cambria Math"/>
                </w:rPr>
                <m:t xml:space="preserve"> ,</m:t>
              </m:r>
              <m:sSubSup>
                <m:sSubSupPr>
                  <m:ctrlPr>
                    <w:rPr>
                      <w:rFonts w:ascii="Cambria Math" w:hAnsi="Cambria Math"/>
                      <w:i/>
                    </w:rPr>
                  </m:ctrlPr>
                </m:sSubSupPr>
                <m:e>
                  <m:r>
                    <w:rPr>
                      <w:rFonts w:ascii="Cambria Math" w:hAnsi="Cambria Math"/>
                    </w:rPr>
                    <m:t>K</m:t>
                  </m:r>
                </m:e>
                <m:sub>
                  <m:r>
                    <m:rPr>
                      <m:nor/>
                    </m:rPr>
                    <w:rPr>
                      <w:rFonts w:ascii="Cambria Math" w:hAnsi="Cambria Math"/>
                    </w:rPr>
                    <m:t>comb</m:t>
                  </m:r>
                </m:sub>
                <m:sup>
                  <m:r>
                    <m:rPr>
                      <m:nor/>
                    </m:rPr>
                    <w:rPr>
                      <w:rFonts w:ascii="Cambria Math" w:hAnsi="Cambria Math"/>
                    </w:rPr>
                    <m:t>PRS</m:t>
                  </m:r>
                </m:sup>
              </m:sSubSup>
            </m:oMath>
            <w:r w:rsidRPr="007D085D">
              <w:rPr>
                <w:b/>
                <w:bCs/>
                <w:lang w:eastAsia="zh-CN"/>
              </w:rPr>
              <w:t xml:space="preserve"> </w:t>
            </w:r>
            <w:r w:rsidRPr="007D085D">
              <w:rPr>
                <w:szCs w:val="18"/>
              </w:rPr>
              <w:t xml:space="preserve">are configured by higher layer parameter </w:t>
            </w:r>
            <w:r w:rsidRPr="007D085D">
              <w:rPr>
                <w:i/>
                <w:szCs w:val="18"/>
              </w:rPr>
              <w:t>dl-PRS-ResourceRepetitionFactor, dl-PRS-NumSymbols and dl-PRS-CombSizeN</w:t>
            </w:r>
            <w:r w:rsidRPr="007D085D">
              <w:rPr>
                <w:iCs/>
                <w:szCs w:val="18"/>
              </w:rPr>
              <w:t>defined in TS 37.355 [34], respectively</w:t>
            </w:r>
            <w:r w:rsidRPr="007D085D">
              <w:rPr>
                <w:iCs/>
                <w:szCs w:val="18"/>
                <w:lang w:val="en-US" w:eastAsia="zh-CN"/>
              </w:rPr>
              <w:t>.</w:t>
            </w:r>
          </w:p>
          <w:p w14:paraId="18691375" w14:textId="77777777" w:rsidR="00B22B9E" w:rsidRPr="000C792B" w:rsidRDefault="00B22B9E" w:rsidP="00B22B9E">
            <w:pPr>
              <w:pStyle w:val="TAN"/>
            </w:pPr>
            <w:r w:rsidRPr="000C792B">
              <w:t>N</w:t>
            </w:r>
            <w:r w:rsidRPr="000C792B">
              <w:rPr>
                <w:lang w:eastAsia="zh-CN"/>
              </w:rPr>
              <w:t>OTE</w:t>
            </w:r>
            <w:r w:rsidRPr="000C792B">
              <w:t xml:space="preserve"> 3:</w:t>
            </w:r>
            <w:r w:rsidRPr="000C792B">
              <w:tab/>
              <w:t>Io is assumed to have constant EPRE across the bandwidth.</w:t>
            </w:r>
          </w:p>
          <w:p w14:paraId="121C1F50" w14:textId="77777777" w:rsidR="00B22B9E" w:rsidRPr="000C792B" w:rsidRDefault="00B22B9E" w:rsidP="00B22B9E">
            <w:pPr>
              <w:pStyle w:val="TAN"/>
            </w:pPr>
            <w:r w:rsidRPr="000C792B">
              <w:t>N</w:t>
            </w:r>
            <w:r w:rsidRPr="000C792B">
              <w:rPr>
                <w:lang w:eastAsia="zh-CN"/>
              </w:rPr>
              <w:t>OTE</w:t>
            </w:r>
            <w:r w:rsidRPr="000C792B">
              <w:t xml:space="preserve"> 4:</w:t>
            </w:r>
            <w:r w:rsidRPr="000C792B">
              <w:tab/>
              <w:t>NR operating band groups in FR1 are as defined in clause 3.5.2.</w:t>
            </w:r>
          </w:p>
          <w:p w14:paraId="5BE9EF31" w14:textId="77777777" w:rsidR="00B22B9E" w:rsidRPr="000C792B" w:rsidRDefault="00B22B9E" w:rsidP="00B22B9E">
            <w:pPr>
              <w:pStyle w:val="TAN"/>
            </w:pPr>
            <w:r w:rsidRPr="000C792B">
              <w:t>N</w:t>
            </w:r>
            <w:r w:rsidRPr="000C792B">
              <w:rPr>
                <w:lang w:eastAsia="zh-CN"/>
              </w:rPr>
              <w:t>OTE</w:t>
            </w:r>
            <w:r w:rsidRPr="000C792B">
              <w:t xml:space="preserve"> 5:</w:t>
            </w:r>
            <w:r w:rsidRPr="000C792B">
              <w:tab/>
              <w:t>Tc is the basic timing unit defined in TS 38.211 [6].</w:t>
            </w:r>
          </w:p>
          <w:p w14:paraId="388A0E4E" w14:textId="77777777" w:rsidR="00B22B9E" w:rsidRPr="000C792B" w:rsidRDefault="00B22B9E" w:rsidP="00B22B9E">
            <w:pPr>
              <w:pStyle w:val="TAN"/>
            </w:pPr>
            <w:r w:rsidRPr="000C792B">
              <w:t>NOTE 6:</w:t>
            </w:r>
            <w:r w:rsidRPr="000C792B">
              <w:tab/>
              <w:t>The same bands and the same Io conditions for each band apply for this requirement as for the corresponding requirement with the PRS bandwidth of the smallest RB number for the corresponding SCS.</w:t>
            </w:r>
          </w:p>
          <w:p w14:paraId="2E7A7035" w14:textId="30A4996A" w:rsidR="00060B2A" w:rsidRPr="000C792B" w:rsidRDefault="005F67F3" w:rsidP="00B22B9E">
            <w:pPr>
              <w:pStyle w:val="TAN"/>
            </w:pPr>
            <w:r w:rsidRPr="000C792B">
              <w:t>NOTE 7:</w:t>
            </w:r>
            <w:r w:rsidRPr="000C792B">
              <w:tab/>
            </w:r>
            <w:r>
              <w:rPr>
                <w:rFonts w:hint="eastAsia"/>
                <w:lang w:eastAsia="zh-CN"/>
              </w:rPr>
              <w:t>V</w:t>
            </w:r>
            <w:r>
              <w:rPr>
                <w:lang w:eastAsia="zh-CN"/>
              </w:rPr>
              <w:t>oid</w:t>
            </w:r>
          </w:p>
        </w:tc>
      </w:tr>
    </w:tbl>
    <w:p w14:paraId="78B7CEBA" w14:textId="77777777" w:rsidR="00060B2A" w:rsidRPr="000C792B" w:rsidRDefault="00060B2A" w:rsidP="00060B2A"/>
    <w:p w14:paraId="3E82AAC2" w14:textId="77777777" w:rsidR="00060B2A" w:rsidRPr="000C792B" w:rsidRDefault="00060B2A" w:rsidP="00060B2A">
      <w:pPr>
        <w:pStyle w:val="TH"/>
      </w:pPr>
      <w:r w:rsidRPr="000C792B">
        <w:t>Table 10.1.23.2-2: RSTD absolute accuracy in FR2 for AWGN channel</w:t>
      </w:r>
    </w:p>
    <w:tbl>
      <w:tblPr>
        <w:tblW w:w="0" w:type="auto"/>
        <w:jc w:val="center"/>
        <w:tblLook w:val="01E0" w:firstRow="1" w:lastRow="1" w:firstColumn="1" w:lastColumn="1" w:noHBand="0" w:noVBand="0"/>
      </w:tblPr>
      <w:tblGrid>
        <w:gridCol w:w="1076"/>
        <w:gridCol w:w="1117"/>
        <w:gridCol w:w="695"/>
        <w:gridCol w:w="1249"/>
        <w:gridCol w:w="1406"/>
        <w:gridCol w:w="2577"/>
        <w:gridCol w:w="1509"/>
      </w:tblGrid>
      <w:tr w:rsidR="00060B2A" w:rsidRPr="000C792B" w14:paraId="621D6AA9" w14:textId="77777777" w:rsidTr="00224E82">
        <w:trPr>
          <w:jc w:val="center"/>
        </w:trPr>
        <w:tc>
          <w:tcPr>
            <w:tcW w:w="0" w:type="auto"/>
            <w:vMerge w:val="restart"/>
            <w:tcBorders>
              <w:top w:val="single" w:sz="4" w:space="0" w:color="auto"/>
              <w:left w:val="single" w:sz="4" w:space="0" w:color="auto"/>
              <w:bottom w:val="single" w:sz="6" w:space="0" w:color="auto"/>
              <w:right w:val="single" w:sz="6" w:space="0" w:color="auto"/>
            </w:tcBorders>
            <w:vAlign w:val="center"/>
            <w:hideMark/>
          </w:tcPr>
          <w:p w14:paraId="35DDB19D" w14:textId="77777777" w:rsidR="00060B2A" w:rsidRPr="000C792B" w:rsidRDefault="00060B2A" w:rsidP="00224E82">
            <w:pPr>
              <w:pStyle w:val="TAH"/>
            </w:pPr>
            <w:r w:rsidRPr="000C792B">
              <w:t>Accuracy</w:t>
            </w:r>
          </w:p>
        </w:tc>
        <w:tc>
          <w:tcPr>
            <w:tcW w:w="0" w:type="auto"/>
            <w:gridSpan w:val="6"/>
            <w:tcBorders>
              <w:top w:val="single" w:sz="4" w:space="0" w:color="auto"/>
              <w:left w:val="single" w:sz="6" w:space="0" w:color="auto"/>
              <w:bottom w:val="single" w:sz="6" w:space="0" w:color="auto"/>
              <w:right w:val="single" w:sz="4" w:space="0" w:color="auto"/>
            </w:tcBorders>
            <w:vAlign w:val="center"/>
            <w:hideMark/>
          </w:tcPr>
          <w:p w14:paraId="14F3A569" w14:textId="77777777" w:rsidR="00060B2A" w:rsidRPr="000C792B" w:rsidRDefault="00060B2A" w:rsidP="00224E82">
            <w:pPr>
              <w:pStyle w:val="TAH"/>
            </w:pPr>
            <w:r w:rsidRPr="000C792B">
              <w:t>Conditions</w:t>
            </w:r>
          </w:p>
        </w:tc>
      </w:tr>
      <w:tr w:rsidR="00060B2A" w:rsidRPr="000C792B" w14:paraId="62C377D4" w14:textId="77777777" w:rsidTr="00224E82">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1D91B41B" w14:textId="77777777" w:rsidR="00060B2A" w:rsidRPr="000C792B" w:rsidRDefault="00060B2A" w:rsidP="00224E82">
            <w:pPr>
              <w:pStyle w:val="TAH"/>
            </w:pPr>
          </w:p>
        </w:tc>
        <w:tc>
          <w:tcPr>
            <w:tcW w:w="0" w:type="auto"/>
            <w:vMerge w:val="restart"/>
            <w:tcBorders>
              <w:top w:val="single" w:sz="6" w:space="0" w:color="auto"/>
              <w:left w:val="single" w:sz="6" w:space="0" w:color="auto"/>
              <w:bottom w:val="single" w:sz="6" w:space="0" w:color="auto"/>
              <w:right w:val="single" w:sz="4" w:space="0" w:color="auto"/>
            </w:tcBorders>
            <w:vAlign w:val="center"/>
            <w:hideMark/>
          </w:tcPr>
          <w:p w14:paraId="79B73A0F" w14:textId="77777777" w:rsidR="00060B2A" w:rsidRPr="000C792B" w:rsidRDefault="00060B2A" w:rsidP="00224E82">
            <w:pPr>
              <w:pStyle w:val="TAH"/>
            </w:pPr>
            <w:r w:rsidRPr="000C792B">
              <w:t>PRS Ês/Iot</w:t>
            </w:r>
          </w:p>
        </w:tc>
        <w:tc>
          <w:tcPr>
            <w:tcW w:w="0" w:type="auto"/>
            <w:vMerge w:val="restart"/>
            <w:tcBorders>
              <w:top w:val="single" w:sz="6" w:space="0" w:color="auto"/>
              <w:left w:val="single" w:sz="4" w:space="0" w:color="auto"/>
              <w:bottom w:val="single" w:sz="6" w:space="0" w:color="auto"/>
              <w:right w:val="single" w:sz="6" w:space="0" w:color="auto"/>
            </w:tcBorders>
            <w:vAlign w:val="center"/>
            <w:hideMark/>
          </w:tcPr>
          <w:p w14:paraId="053B51E1" w14:textId="77777777" w:rsidR="00060B2A" w:rsidRPr="000C792B" w:rsidRDefault="00060B2A" w:rsidP="00224E82">
            <w:pPr>
              <w:pStyle w:val="TAH"/>
              <w:rPr>
                <w:lang w:eastAsia="zh-CN"/>
              </w:rPr>
            </w:pPr>
            <w:r w:rsidRPr="000C792B">
              <w:t>PRS SCS</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4FC0E51A" w14:textId="77777777" w:rsidR="00060B2A" w:rsidRPr="000C792B" w:rsidRDefault="00060B2A" w:rsidP="00224E82">
            <w:pPr>
              <w:pStyle w:val="TAH"/>
              <w:rPr>
                <w:lang w:eastAsia="zh-CN"/>
              </w:rPr>
            </w:pPr>
            <w:r w:rsidRPr="000C792B">
              <w:rPr>
                <w:lang w:eastAsia="zh-CN"/>
              </w:rPr>
              <w:t>PRS bandwidth</w:t>
            </w:r>
          </w:p>
          <w:p w14:paraId="3621F169" w14:textId="77777777" w:rsidR="00060B2A" w:rsidRPr="000C792B" w:rsidRDefault="00060B2A" w:rsidP="00224E82">
            <w:pPr>
              <w:pStyle w:val="TAH"/>
            </w:pPr>
            <w:r w:rsidRPr="000C792B">
              <w:rPr>
                <w:vertAlign w:val="superscript"/>
              </w:rPr>
              <w:t>Note 1</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4F371040" w14:textId="77777777" w:rsidR="00060B2A" w:rsidRPr="000C792B" w:rsidRDefault="00060B2A" w:rsidP="00224E82">
            <w:pPr>
              <w:pStyle w:val="TAH"/>
              <w:rPr>
                <w:lang w:eastAsia="zh-CN"/>
              </w:rPr>
            </w:pPr>
            <w:r w:rsidRPr="000C792B">
              <w:rPr>
                <w:lang w:eastAsia="zh-CN"/>
              </w:rPr>
              <w:t xml:space="preserve">PRS resource repetition </w:t>
            </w:r>
          </w:p>
          <w:p w14:paraId="0E774F8E" w14:textId="77777777" w:rsidR="00060B2A" w:rsidRPr="000C792B" w:rsidRDefault="00060B2A" w:rsidP="00224E82">
            <w:pPr>
              <w:pStyle w:val="TAH"/>
              <w:rPr>
                <w:lang w:eastAsia="zh-CN"/>
              </w:rPr>
            </w:pPr>
            <w:r w:rsidRPr="000C792B">
              <w:rPr>
                <w:lang w:eastAsia="zh-CN"/>
              </w:rPr>
              <w:t>(</w:t>
            </w:r>
            <m:oMath>
              <m:sSubSup>
                <m:sSubSupPr>
                  <m:ctrlPr>
                    <w:rPr>
                      <w:rFonts w:ascii="Cambria Math" w:hAnsi="Cambria Math"/>
                      <w:bCs/>
                      <w:i/>
                      <w:iCs/>
                      <w:lang w:val="en-US" w:eastAsia="zh-CN"/>
                    </w:rPr>
                  </m:ctrlPr>
                </m:sSubSupPr>
                <m:e>
                  <m:r>
                    <m:rPr>
                      <m:sty m:val="b"/>
                    </m:rPr>
                    <w:rPr>
                      <w:rFonts w:ascii="Cambria Math" w:hAnsi="Cambria Math"/>
                      <w:lang w:eastAsia="zh-CN"/>
                    </w:rPr>
                    <m:t>T</m:t>
                  </m:r>
                </m:e>
                <m:sub>
                  <m:r>
                    <m:rPr>
                      <m:nor/>
                    </m:rPr>
                    <w:rPr>
                      <w:bCs/>
                      <w:lang w:eastAsia="zh-CN"/>
                    </w:rPr>
                    <m:t>rep</m:t>
                  </m:r>
                </m:sub>
                <m:sup>
                  <m:r>
                    <m:rPr>
                      <m:nor/>
                    </m:rPr>
                    <w:rPr>
                      <w:bCs/>
                      <w:lang w:eastAsia="zh-CN"/>
                    </w:rPr>
                    <m:t>PRS</m:t>
                  </m:r>
                </m:sup>
              </m:sSubSup>
              <m:r>
                <m:rPr>
                  <m:sty m:val="b"/>
                </m:rPr>
                <w:rPr>
                  <w:rFonts w:ascii="Cambria Math" w:hAnsi="Cambria Math"/>
                  <w:lang w:eastAsia="zh-CN"/>
                </w:rPr>
                <m:t>*</m:t>
              </m:r>
              <m:sSub>
                <m:sSubPr>
                  <m:ctrlPr>
                    <w:rPr>
                      <w:rFonts w:ascii="Cambria Math" w:hAnsi="Cambria Math"/>
                      <w:bCs/>
                      <w:i/>
                      <w:iCs/>
                      <w:lang w:val="en-US" w:eastAsia="zh-CN"/>
                    </w:rPr>
                  </m:ctrlPr>
                </m:sSubPr>
                <m:e>
                  <m:r>
                    <m:rPr>
                      <m:sty m:val="b"/>
                    </m:rPr>
                    <w:rPr>
                      <w:rFonts w:ascii="Cambria Math" w:hAnsi="Cambria Math"/>
                      <w:lang w:eastAsia="zh-CN"/>
                    </w:rPr>
                    <m:t>L</m:t>
                  </m:r>
                </m:e>
                <m:sub>
                  <m:r>
                    <m:rPr>
                      <m:nor/>
                    </m:rPr>
                    <w:rPr>
                      <w:bCs/>
                      <w:lang w:eastAsia="zh-CN"/>
                    </w:rPr>
                    <m:t>PRS</m:t>
                  </m:r>
                </m:sub>
              </m:sSub>
              <m:r>
                <m:rPr>
                  <m:sty m:val="b"/>
                </m:rPr>
                <w:rPr>
                  <w:rFonts w:ascii="Cambria Math" w:hAnsi="Cambria Math"/>
                  <w:lang w:eastAsia="zh-CN"/>
                </w:rPr>
                <m:t>/</m:t>
              </m:r>
              <m:sSubSup>
                <m:sSubSupPr>
                  <m:ctrlPr>
                    <w:rPr>
                      <w:rFonts w:ascii="Cambria Math" w:hAnsi="Cambria Math"/>
                      <w:bCs/>
                      <w:i/>
                      <w:iCs/>
                      <w:lang w:val="en-US" w:eastAsia="zh-CN"/>
                    </w:rPr>
                  </m:ctrlPr>
                </m:sSubSupPr>
                <m:e>
                  <m:r>
                    <m:rPr>
                      <m:sty m:val="b"/>
                    </m:rPr>
                    <w:rPr>
                      <w:rFonts w:ascii="Cambria Math" w:hAnsi="Cambria Math"/>
                      <w:lang w:eastAsia="zh-CN"/>
                    </w:rPr>
                    <m:t>K</m:t>
                  </m:r>
                </m:e>
                <m:sub>
                  <m:r>
                    <m:rPr>
                      <m:nor/>
                    </m:rPr>
                    <w:rPr>
                      <w:bCs/>
                      <w:lang w:eastAsia="zh-CN"/>
                    </w:rPr>
                    <m:t>comb</m:t>
                  </m:r>
                </m:sub>
                <m:sup>
                  <m:r>
                    <m:rPr>
                      <m:nor/>
                    </m:rPr>
                    <w:rPr>
                      <w:bCs/>
                      <w:lang w:eastAsia="zh-CN"/>
                    </w:rPr>
                    <m:t>PRS</m:t>
                  </m:r>
                </m:sup>
              </m:sSubSup>
            </m:oMath>
            <w:r w:rsidRPr="000C792B">
              <w:rPr>
                <w:lang w:eastAsia="zh-CN"/>
              </w:rPr>
              <w:t xml:space="preserve">)          </w:t>
            </w:r>
            <w:r w:rsidRPr="000C792B">
              <w:rPr>
                <w:vertAlign w:val="superscript"/>
              </w:rPr>
              <w:t>Note 2</w:t>
            </w:r>
          </w:p>
        </w:tc>
        <w:tc>
          <w:tcPr>
            <w:tcW w:w="0" w:type="auto"/>
            <w:gridSpan w:val="2"/>
            <w:tcBorders>
              <w:top w:val="single" w:sz="6" w:space="0" w:color="auto"/>
              <w:left w:val="single" w:sz="6" w:space="0" w:color="auto"/>
              <w:bottom w:val="single" w:sz="6" w:space="0" w:color="auto"/>
              <w:right w:val="single" w:sz="4" w:space="0" w:color="auto"/>
            </w:tcBorders>
            <w:vAlign w:val="center"/>
            <w:hideMark/>
          </w:tcPr>
          <w:p w14:paraId="1233A812" w14:textId="77777777" w:rsidR="00060B2A" w:rsidRPr="000C792B" w:rsidRDefault="00060B2A" w:rsidP="00224E82">
            <w:pPr>
              <w:pStyle w:val="TAH"/>
            </w:pPr>
            <w:r w:rsidRPr="000C792B">
              <w:t>Io</w:t>
            </w:r>
            <w:r w:rsidRPr="000C792B">
              <w:rPr>
                <w:vertAlign w:val="superscript"/>
                <w:lang w:eastAsia="zh-CN"/>
              </w:rPr>
              <w:t xml:space="preserve"> Note 3</w:t>
            </w:r>
            <w:r w:rsidRPr="000C792B">
              <w:t xml:space="preserve"> range</w:t>
            </w:r>
          </w:p>
        </w:tc>
      </w:tr>
      <w:tr w:rsidR="00060B2A" w:rsidRPr="000C792B" w14:paraId="294C8CF0" w14:textId="77777777" w:rsidTr="00224E82">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7FD8F02E" w14:textId="77777777" w:rsidR="00060B2A" w:rsidRPr="000C792B" w:rsidRDefault="00060B2A" w:rsidP="00224E82">
            <w:pPr>
              <w:pStyle w:val="TAH"/>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408311B1" w14:textId="77777777" w:rsidR="00060B2A" w:rsidRPr="000C792B" w:rsidRDefault="00060B2A" w:rsidP="00224E82">
            <w:pPr>
              <w:pStyle w:val="TAH"/>
            </w:pPr>
          </w:p>
        </w:tc>
        <w:tc>
          <w:tcPr>
            <w:tcW w:w="0" w:type="auto"/>
            <w:vMerge/>
            <w:tcBorders>
              <w:top w:val="single" w:sz="6" w:space="0" w:color="auto"/>
              <w:left w:val="single" w:sz="4" w:space="0" w:color="auto"/>
              <w:bottom w:val="single" w:sz="6" w:space="0" w:color="auto"/>
              <w:right w:val="single" w:sz="6" w:space="0" w:color="auto"/>
            </w:tcBorders>
            <w:vAlign w:val="center"/>
            <w:hideMark/>
          </w:tcPr>
          <w:p w14:paraId="7F4A8C3D" w14:textId="77777777" w:rsidR="00060B2A" w:rsidRPr="000C792B" w:rsidRDefault="00060B2A" w:rsidP="00224E82">
            <w:pPr>
              <w:pStyle w:val="TAH"/>
              <w:rPr>
                <w:lang w:eastAsia="zh-CN"/>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9F2F14D" w14:textId="77777777" w:rsidR="00060B2A" w:rsidRPr="000C792B" w:rsidRDefault="00060B2A" w:rsidP="00224E82">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81FFB9A" w14:textId="77777777" w:rsidR="00060B2A" w:rsidRPr="000C792B" w:rsidRDefault="00060B2A" w:rsidP="00224E82">
            <w:pPr>
              <w:pStyle w:val="TAH"/>
              <w:rPr>
                <w:lang w:eastAsia="zh-CN"/>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E041A9C" w14:textId="77777777" w:rsidR="00060B2A" w:rsidRPr="000C792B" w:rsidRDefault="00060B2A" w:rsidP="00224E82">
            <w:pPr>
              <w:pStyle w:val="TAH"/>
            </w:pPr>
            <w:r w:rsidRPr="000C792B">
              <w:t xml:space="preserve">Minimum Io </w:t>
            </w:r>
          </w:p>
        </w:tc>
        <w:tc>
          <w:tcPr>
            <w:tcW w:w="0" w:type="auto"/>
            <w:tcBorders>
              <w:top w:val="single" w:sz="6" w:space="0" w:color="auto"/>
              <w:left w:val="single" w:sz="6" w:space="0" w:color="auto"/>
              <w:bottom w:val="single" w:sz="6" w:space="0" w:color="auto"/>
              <w:right w:val="single" w:sz="4" w:space="0" w:color="auto"/>
            </w:tcBorders>
            <w:vAlign w:val="center"/>
            <w:hideMark/>
          </w:tcPr>
          <w:p w14:paraId="2E7DC071" w14:textId="77777777" w:rsidR="00060B2A" w:rsidRPr="000C792B" w:rsidRDefault="00060B2A" w:rsidP="00224E82">
            <w:pPr>
              <w:pStyle w:val="TAH"/>
            </w:pPr>
            <w:r w:rsidRPr="000C792B">
              <w:t>Maximum Io</w:t>
            </w:r>
          </w:p>
        </w:tc>
      </w:tr>
      <w:tr w:rsidR="00060B2A" w:rsidRPr="000C792B" w14:paraId="08394192"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78C79D83" w14:textId="77777777" w:rsidR="00060B2A" w:rsidRPr="000C792B" w:rsidRDefault="00060B2A" w:rsidP="00224E82">
            <w:pPr>
              <w:pStyle w:val="TAH"/>
            </w:pPr>
            <w:r w:rsidRPr="000C792B">
              <w:t>Tc</w:t>
            </w:r>
            <w:r w:rsidRPr="000C792B">
              <w:rPr>
                <w:vertAlign w:val="superscript"/>
                <w:lang w:eastAsia="zh-CN"/>
              </w:rPr>
              <w:t xml:space="preserve"> Note 4</w:t>
            </w:r>
          </w:p>
        </w:tc>
        <w:tc>
          <w:tcPr>
            <w:tcW w:w="0" w:type="auto"/>
            <w:tcBorders>
              <w:top w:val="single" w:sz="6" w:space="0" w:color="auto"/>
              <w:left w:val="single" w:sz="6" w:space="0" w:color="auto"/>
              <w:bottom w:val="single" w:sz="6" w:space="0" w:color="auto"/>
              <w:right w:val="single" w:sz="4" w:space="0" w:color="auto"/>
            </w:tcBorders>
            <w:vAlign w:val="center"/>
            <w:hideMark/>
          </w:tcPr>
          <w:p w14:paraId="1CF2B1FD" w14:textId="77777777" w:rsidR="00060B2A" w:rsidRPr="000C792B" w:rsidRDefault="00060B2A" w:rsidP="00224E82">
            <w:pPr>
              <w:pStyle w:val="TAH"/>
            </w:pPr>
            <w:r w:rsidRPr="000C792B">
              <w:t>dB</w:t>
            </w:r>
          </w:p>
        </w:tc>
        <w:tc>
          <w:tcPr>
            <w:tcW w:w="0" w:type="auto"/>
            <w:tcBorders>
              <w:top w:val="single" w:sz="6" w:space="0" w:color="auto"/>
              <w:left w:val="single" w:sz="4" w:space="0" w:color="auto"/>
              <w:bottom w:val="single" w:sz="6" w:space="0" w:color="auto"/>
              <w:right w:val="single" w:sz="6" w:space="0" w:color="auto"/>
            </w:tcBorders>
            <w:vAlign w:val="center"/>
            <w:hideMark/>
          </w:tcPr>
          <w:p w14:paraId="25A2F314" w14:textId="77777777" w:rsidR="00060B2A" w:rsidRPr="000C792B" w:rsidRDefault="00060B2A" w:rsidP="00224E82">
            <w:pPr>
              <w:pStyle w:val="TAH"/>
              <w:rPr>
                <w:lang w:eastAsia="zh-CN"/>
              </w:rPr>
            </w:pPr>
            <w:r w:rsidRPr="000C792B">
              <w:rPr>
                <w:lang w:eastAsia="zh-CN"/>
              </w:rPr>
              <w:t>kHz</w:t>
            </w:r>
          </w:p>
        </w:tc>
        <w:tc>
          <w:tcPr>
            <w:tcW w:w="0" w:type="auto"/>
            <w:tcBorders>
              <w:top w:val="single" w:sz="6" w:space="0" w:color="auto"/>
              <w:left w:val="single" w:sz="6" w:space="0" w:color="auto"/>
              <w:bottom w:val="single" w:sz="6" w:space="0" w:color="auto"/>
              <w:right w:val="single" w:sz="6" w:space="0" w:color="auto"/>
            </w:tcBorders>
            <w:vAlign w:val="center"/>
            <w:hideMark/>
          </w:tcPr>
          <w:p w14:paraId="77541AA2" w14:textId="77777777" w:rsidR="00060B2A" w:rsidRPr="000C792B" w:rsidRDefault="00060B2A" w:rsidP="00224E82">
            <w:pPr>
              <w:pStyle w:val="TAH"/>
            </w:pPr>
            <w:r w:rsidRPr="000C792B">
              <w:t>RB</w:t>
            </w:r>
          </w:p>
        </w:tc>
        <w:tc>
          <w:tcPr>
            <w:tcW w:w="0" w:type="auto"/>
            <w:tcBorders>
              <w:top w:val="single" w:sz="6" w:space="0" w:color="auto"/>
              <w:left w:val="single" w:sz="6" w:space="0" w:color="auto"/>
              <w:bottom w:val="single" w:sz="6" w:space="0" w:color="auto"/>
              <w:right w:val="single" w:sz="6" w:space="0" w:color="auto"/>
            </w:tcBorders>
            <w:vAlign w:val="center"/>
          </w:tcPr>
          <w:p w14:paraId="708EA6EB" w14:textId="77777777" w:rsidR="00060B2A" w:rsidRPr="000C792B" w:rsidRDefault="00060B2A" w:rsidP="00224E82">
            <w:pPr>
              <w:pStyle w:val="TAH"/>
            </w:pPr>
          </w:p>
        </w:tc>
        <w:tc>
          <w:tcPr>
            <w:tcW w:w="0" w:type="auto"/>
            <w:tcBorders>
              <w:top w:val="single" w:sz="6" w:space="0" w:color="auto"/>
              <w:left w:val="single" w:sz="6" w:space="0" w:color="auto"/>
              <w:bottom w:val="single" w:sz="6" w:space="0" w:color="auto"/>
              <w:right w:val="single" w:sz="6" w:space="0" w:color="auto"/>
            </w:tcBorders>
            <w:vAlign w:val="center"/>
            <w:hideMark/>
          </w:tcPr>
          <w:p w14:paraId="2BA67F22" w14:textId="77777777" w:rsidR="00060B2A" w:rsidRPr="000C792B" w:rsidRDefault="00060B2A" w:rsidP="00224E82">
            <w:pPr>
              <w:pStyle w:val="TAH"/>
            </w:pPr>
            <w:r w:rsidRPr="000C792B">
              <w:t>dBm/SCS</w:t>
            </w:r>
            <w:r w:rsidRPr="000C792B">
              <w:rPr>
                <w:vertAlign w:val="superscript"/>
                <w:lang w:eastAsia="zh-CN"/>
              </w:rPr>
              <w:t xml:space="preserve"> </w:t>
            </w:r>
          </w:p>
        </w:tc>
        <w:tc>
          <w:tcPr>
            <w:tcW w:w="0" w:type="auto"/>
            <w:tcBorders>
              <w:top w:val="single" w:sz="6" w:space="0" w:color="auto"/>
              <w:left w:val="single" w:sz="6" w:space="0" w:color="auto"/>
              <w:bottom w:val="single" w:sz="6" w:space="0" w:color="auto"/>
              <w:right w:val="single" w:sz="4" w:space="0" w:color="auto"/>
            </w:tcBorders>
            <w:vAlign w:val="center"/>
            <w:hideMark/>
          </w:tcPr>
          <w:p w14:paraId="2D67F546" w14:textId="77777777" w:rsidR="00060B2A" w:rsidRPr="000C792B" w:rsidRDefault="00060B2A" w:rsidP="00224E82">
            <w:pPr>
              <w:pStyle w:val="TAH"/>
            </w:pPr>
            <w:r w:rsidRPr="000C792B">
              <w:t>dBm/BW</w:t>
            </w:r>
            <w:r w:rsidRPr="000C792B">
              <w:rPr>
                <w:vertAlign w:val="subscript"/>
              </w:rPr>
              <w:t>Channel</w:t>
            </w:r>
          </w:p>
        </w:tc>
      </w:tr>
      <w:tr w:rsidR="00434850" w:rsidRPr="000C792B" w14:paraId="0123A548"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tcPr>
          <w:p w14:paraId="179527ED" w14:textId="5395F23F" w:rsidR="00434850" w:rsidRPr="000C792B" w:rsidRDefault="00434850" w:rsidP="00434850">
            <w:pPr>
              <w:pStyle w:val="TAC"/>
              <w:rPr>
                <w:b/>
                <w:sz w:val="16"/>
                <w:szCs w:val="16"/>
              </w:rPr>
            </w:pPr>
            <w:r w:rsidRPr="000C792B">
              <w:rPr>
                <w:rFonts w:cs="Arial"/>
                <w:lang w:eastAsia="zh-CN"/>
              </w:rPr>
              <w:t>35</w:t>
            </w:r>
          </w:p>
        </w:tc>
        <w:tc>
          <w:tcPr>
            <w:tcW w:w="0" w:type="auto"/>
            <w:vMerge w:val="restart"/>
            <w:tcBorders>
              <w:top w:val="single" w:sz="6" w:space="0" w:color="auto"/>
              <w:left w:val="single" w:sz="6" w:space="0" w:color="auto"/>
              <w:right w:val="single" w:sz="4" w:space="0" w:color="auto"/>
            </w:tcBorders>
            <w:vAlign w:val="center"/>
          </w:tcPr>
          <w:p w14:paraId="5029772E" w14:textId="77777777" w:rsidR="00434850" w:rsidRPr="000C792B" w:rsidRDefault="00434850" w:rsidP="00434850">
            <w:pPr>
              <w:pStyle w:val="TAC"/>
            </w:pPr>
            <w:r w:rsidRPr="000C792B">
              <w:t>(PRS Ês/Iot)</w:t>
            </w:r>
            <w:r w:rsidRPr="000C792B">
              <w:rPr>
                <w:vertAlign w:val="subscript"/>
              </w:rPr>
              <w:t xml:space="preserve">ref </w:t>
            </w:r>
            <w:r w:rsidRPr="000C792B">
              <w:t>≥-6dB</w:t>
            </w:r>
          </w:p>
          <w:p w14:paraId="61CDEF82" w14:textId="77777777" w:rsidR="00434850" w:rsidRPr="000C792B" w:rsidRDefault="00434850" w:rsidP="00434850">
            <w:pPr>
              <w:pStyle w:val="TAC"/>
            </w:pPr>
          </w:p>
          <w:p w14:paraId="346A393A" w14:textId="77777777" w:rsidR="00434850" w:rsidRPr="000C792B" w:rsidRDefault="00434850" w:rsidP="00434850">
            <w:pPr>
              <w:pStyle w:val="TAC"/>
              <w:rPr>
                <w:b/>
                <w:sz w:val="16"/>
                <w:szCs w:val="16"/>
              </w:rPr>
            </w:pPr>
            <w:r w:rsidRPr="000C792B">
              <w:t xml:space="preserve"> (PRS Ês/Iot)</w:t>
            </w:r>
            <w:r w:rsidRPr="000C792B">
              <w:rPr>
                <w:i/>
                <w:vertAlign w:val="subscript"/>
              </w:rPr>
              <w:t>i</w:t>
            </w:r>
            <w:r w:rsidRPr="000C792B">
              <w:t xml:space="preserve"> ≥-13dB</w:t>
            </w:r>
          </w:p>
        </w:tc>
        <w:tc>
          <w:tcPr>
            <w:tcW w:w="0" w:type="auto"/>
            <w:vMerge w:val="restart"/>
            <w:tcBorders>
              <w:top w:val="single" w:sz="6" w:space="0" w:color="auto"/>
              <w:left w:val="single" w:sz="4" w:space="0" w:color="auto"/>
              <w:right w:val="single" w:sz="6" w:space="0" w:color="auto"/>
            </w:tcBorders>
            <w:vAlign w:val="center"/>
          </w:tcPr>
          <w:p w14:paraId="6A22283B" w14:textId="77777777" w:rsidR="00434850" w:rsidRPr="000C792B" w:rsidRDefault="00434850" w:rsidP="00434850">
            <w:pPr>
              <w:pStyle w:val="TAC"/>
              <w:rPr>
                <w:lang w:eastAsia="zh-CN"/>
              </w:rPr>
            </w:pPr>
            <w:r w:rsidRPr="000C792B">
              <w:rPr>
                <w:rFonts w:hint="eastAsia"/>
                <w:lang w:eastAsia="zh-CN"/>
              </w:rPr>
              <w:t>6</w:t>
            </w:r>
            <w:r w:rsidRPr="000C792B">
              <w:rPr>
                <w:lang w:eastAsia="zh-CN"/>
              </w:rPr>
              <w:t>0</w:t>
            </w:r>
          </w:p>
        </w:tc>
        <w:tc>
          <w:tcPr>
            <w:tcW w:w="0" w:type="auto"/>
            <w:tcBorders>
              <w:top w:val="single" w:sz="6" w:space="0" w:color="auto"/>
              <w:left w:val="single" w:sz="6" w:space="0" w:color="auto"/>
              <w:bottom w:val="single" w:sz="6" w:space="0" w:color="auto"/>
              <w:right w:val="single" w:sz="6" w:space="0" w:color="auto"/>
            </w:tcBorders>
            <w:vAlign w:val="center"/>
          </w:tcPr>
          <w:p w14:paraId="3B6E482F" w14:textId="429C01A9" w:rsidR="00434850" w:rsidRPr="000C792B" w:rsidRDefault="00434850" w:rsidP="00434850">
            <w:pPr>
              <w:pStyle w:val="TAC"/>
              <w:rPr>
                <w:b/>
                <w:sz w:val="16"/>
                <w:szCs w:val="16"/>
              </w:rPr>
            </w:pPr>
            <w:r w:rsidRPr="000C792B">
              <w:t>≥ 24</w:t>
            </w:r>
          </w:p>
        </w:tc>
        <w:tc>
          <w:tcPr>
            <w:tcW w:w="0" w:type="auto"/>
            <w:tcBorders>
              <w:top w:val="single" w:sz="6" w:space="0" w:color="auto"/>
              <w:left w:val="single" w:sz="6" w:space="0" w:color="auto"/>
              <w:bottom w:val="single" w:sz="6" w:space="0" w:color="auto"/>
              <w:right w:val="single" w:sz="6" w:space="0" w:color="auto"/>
            </w:tcBorders>
            <w:vAlign w:val="center"/>
          </w:tcPr>
          <w:p w14:paraId="10D40A5E" w14:textId="5907668C" w:rsidR="00434850" w:rsidRPr="000C792B" w:rsidRDefault="00434850" w:rsidP="00434850">
            <w:pPr>
              <w:pStyle w:val="TAC"/>
              <w:rPr>
                <w:b/>
              </w:rPr>
            </w:pPr>
            <w:r w:rsidRPr="0006408B">
              <w:rPr>
                <w:rFonts w:cs="Arial"/>
              </w:rPr>
              <w:t xml:space="preserve">≥ </w:t>
            </w:r>
            <w:r>
              <w:rPr>
                <w:rFonts w:cs="Arial"/>
              </w:rPr>
              <w:t>4</w:t>
            </w:r>
          </w:p>
        </w:tc>
        <w:tc>
          <w:tcPr>
            <w:tcW w:w="0" w:type="auto"/>
            <w:tcBorders>
              <w:top w:val="single" w:sz="6" w:space="0" w:color="auto"/>
              <w:left w:val="single" w:sz="6" w:space="0" w:color="auto"/>
              <w:bottom w:val="single" w:sz="6" w:space="0" w:color="auto"/>
              <w:right w:val="single" w:sz="6" w:space="0" w:color="auto"/>
            </w:tcBorders>
            <w:vAlign w:val="center"/>
          </w:tcPr>
          <w:p w14:paraId="319E8314" w14:textId="45EF32DF" w:rsidR="00434850" w:rsidRPr="000C792B" w:rsidRDefault="00434850" w:rsidP="00434850">
            <w:pPr>
              <w:pStyle w:val="TAC"/>
              <w:rPr>
                <w:b/>
                <w:sz w:val="16"/>
                <w:szCs w:val="16"/>
              </w:rPr>
            </w:pPr>
            <w:r>
              <w:t>Same value as PRS_RP in Table B.2.</w:t>
            </w:r>
            <w:r>
              <w:rPr>
                <w:rFonts w:hint="eastAsia"/>
                <w:lang w:eastAsia="zh-CN"/>
              </w:rPr>
              <w:t>14</w:t>
            </w:r>
            <w:r>
              <w:t>-2, according to UE Power class, operating band and angle of arrival</w:t>
            </w:r>
          </w:p>
        </w:tc>
        <w:tc>
          <w:tcPr>
            <w:tcW w:w="0" w:type="auto"/>
            <w:tcBorders>
              <w:top w:val="single" w:sz="6" w:space="0" w:color="auto"/>
              <w:left w:val="single" w:sz="6" w:space="0" w:color="auto"/>
              <w:bottom w:val="single" w:sz="6" w:space="0" w:color="auto"/>
              <w:right w:val="single" w:sz="4" w:space="0" w:color="auto"/>
            </w:tcBorders>
            <w:vAlign w:val="center"/>
          </w:tcPr>
          <w:p w14:paraId="29176252" w14:textId="77777777" w:rsidR="00434850" w:rsidRPr="000C792B" w:rsidRDefault="00434850" w:rsidP="00434850">
            <w:pPr>
              <w:pStyle w:val="TAC"/>
              <w:rPr>
                <w:b/>
                <w:sz w:val="16"/>
                <w:szCs w:val="16"/>
              </w:rPr>
            </w:pPr>
            <w:r w:rsidRPr="000C792B">
              <w:rPr>
                <w:lang w:eastAsia="zh-CN"/>
              </w:rPr>
              <w:t>-50</w:t>
            </w:r>
          </w:p>
        </w:tc>
      </w:tr>
      <w:tr w:rsidR="00434850" w:rsidRPr="000C792B" w14:paraId="13FE2F04"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tcPr>
          <w:p w14:paraId="4F886531" w14:textId="2468EC52" w:rsidR="00434850" w:rsidRPr="000C792B" w:rsidRDefault="00434850" w:rsidP="00434850">
            <w:pPr>
              <w:pStyle w:val="TAC"/>
              <w:rPr>
                <w:b/>
                <w:sz w:val="16"/>
                <w:szCs w:val="16"/>
              </w:rPr>
            </w:pPr>
            <w:r w:rsidRPr="000C792B">
              <w:rPr>
                <w:rFonts w:cs="Arial"/>
                <w:lang w:eastAsia="zh-CN"/>
              </w:rPr>
              <w:t>24</w:t>
            </w:r>
          </w:p>
        </w:tc>
        <w:tc>
          <w:tcPr>
            <w:tcW w:w="0" w:type="auto"/>
            <w:vMerge/>
            <w:tcBorders>
              <w:left w:val="single" w:sz="6" w:space="0" w:color="auto"/>
              <w:right w:val="single" w:sz="4" w:space="0" w:color="auto"/>
            </w:tcBorders>
            <w:vAlign w:val="center"/>
          </w:tcPr>
          <w:p w14:paraId="3E9EDED2" w14:textId="77777777" w:rsidR="00434850" w:rsidRPr="000C792B" w:rsidRDefault="00434850" w:rsidP="00434850">
            <w:pPr>
              <w:pStyle w:val="TAC"/>
              <w:rPr>
                <w:b/>
                <w:sz w:val="16"/>
                <w:szCs w:val="16"/>
              </w:rPr>
            </w:pPr>
          </w:p>
        </w:tc>
        <w:tc>
          <w:tcPr>
            <w:tcW w:w="0" w:type="auto"/>
            <w:vMerge/>
            <w:tcBorders>
              <w:left w:val="single" w:sz="4" w:space="0" w:color="auto"/>
              <w:right w:val="single" w:sz="6" w:space="0" w:color="auto"/>
            </w:tcBorders>
            <w:vAlign w:val="center"/>
          </w:tcPr>
          <w:p w14:paraId="6FD6F14F" w14:textId="77777777" w:rsidR="00434850" w:rsidRPr="000C792B" w:rsidRDefault="00434850" w:rsidP="00434850">
            <w:pPr>
              <w:pStyle w:val="TAC"/>
              <w:rPr>
                <w:b/>
                <w:lang w:eastAsia="zh-CN"/>
              </w:rPr>
            </w:pPr>
          </w:p>
        </w:tc>
        <w:tc>
          <w:tcPr>
            <w:tcW w:w="0" w:type="auto"/>
            <w:tcBorders>
              <w:top w:val="single" w:sz="6" w:space="0" w:color="auto"/>
              <w:left w:val="single" w:sz="6" w:space="0" w:color="auto"/>
              <w:bottom w:val="single" w:sz="6" w:space="0" w:color="auto"/>
              <w:right w:val="single" w:sz="6" w:space="0" w:color="auto"/>
            </w:tcBorders>
            <w:vAlign w:val="center"/>
          </w:tcPr>
          <w:p w14:paraId="23F4476E" w14:textId="2B38966E" w:rsidR="00434850" w:rsidRPr="000C792B" w:rsidRDefault="00434850" w:rsidP="00434850">
            <w:pPr>
              <w:pStyle w:val="TAC"/>
              <w:rPr>
                <w:b/>
                <w:sz w:val="16"/>
                <w:szCs w:val="16"/>
              </w:rPr>
            </w:pPr>
            <w:r w:rsidRPr="000C792B">
              <w:t>≥ 64</w:t>
            </w:r>
          </w:p>
        </w:tc>
        <w:tc>
          <w:tcPr>
            <w:tcW w:w="0" w:type="auto"/>
            <w:tcBorders>
              <w:top w:val="single" w:sz="6" w:space="0" w:color="auto"/>
              <w:left w:val="single" w:sz="6" w:space="0" w:color="auto"/>
              <w:bottom w:val="single" w:sz="6" w:space="0" w:color="auto"/>
              <w:right w:val="single" w:sz="6" w:space="0" w:color="auto"/>
            </w:tcBorders>
            <w:vAlign w:val="center"/>
          </w:tcPr>
          <w:p w14:paraId="6D6517CE" w14:textId="6B02A62A" w:rsidR="00434850" w:rsidRPr="000C792B" w:rsidRDefault="00434850" w:rsidP="00434850">
            <w:pPr>
              <w:pStyle w:val="TAC"/>
              <w:rPr>
                <w:b/>
              </w:rPr>
            </w:pPr>
            <w:r w:rsidRPr="0006408B">
              <w:rPr>
                <w:rFonts w:cs="Arial"/>
              </w:rPr>
              <w:t>≥ 1</w:t>
            </w:r>
          </w:p>
        </w:tc>
        <w:tc>
          <w:tcPr>
            <w:tcW w:w="0" w:type="auto"/>
            <w:tcBorders>
              <w:top w:val="single" w:sz="6" w:space="0" w:color="auto"/>
              <w:left w:val="single" w:sz="6" w:space="0" w:color="auto"/>
              <w:bottom w:val="single" w:sz="6" w:space="0" w:color="auto"/>
              <w:right w:val="single" w:sz="6" w:space="0" w:color="auto"/>
            </w:tcBorders>
            <w:vAlign w:val="center"/>
          </w:tcPr>
          <w:p w14:paraId="5A4F39AA" w14:textId="7C6458A7" w:rsidR="00434850" w:rsidRPr="000C792B" w:rsidRDefault="00434850" w:rsidP="00434850">
            <w:pPr>
              <w:pStyle w:val="TAC"/>
              <w:rPr>
                <w:b/>
                <w:sz w:val="16"/>
                <w:szCs w:val="16"/>
              </w:rPr>
            </w:pPr>
            <w:r>
              <w:t>Note 5</w:t>
            </w:r>
          </w:p>
        </w:tc>
        <w:tc>
          <w:tcPr>
            <w:tcW w:w="0" w:type="auto"/>
            <w:tcBorders>
              <w:top w:val="single" w:sz="6" w:space="0" w:color="auto"/>
              <w:left w:val="single" w:sz="6" w:space="0" w:color="auto"/>
              <w:bottom w:val="single" w:sz="6" w:space="0" w:color="auto"/>
              <w:right w:val="single" w:sz="4" w:space="0" w:color="auto"/>
            </w:tcBorders>
            <w:vAlign w:val="center"/>
          </w:tcPr>
          <w:p w14:paraId="2C64041A" w14:textId="77777777" w:rsidR="00434850" w:rsidRPr="000C792B" w:rsidRDefault="00434850" w:rsidP="00434850">
            <w:pPr>
              <w:pStyle w:val="TAC"/>
              <w:rPr>
                <w:b/>
                <w:sz w:val="16"/>
                <w:szCs w:val="16"/>
              </w:rPr>
            </w:pPr>
            <w:r w:rsidRPr="000C792B">
              <w:t>Note 5</w:t>
            </w:r>
          </w:p>
        </w:tc>
      </w:tr>
      <w:tr w:rsidR="00434850" w:rsidRPr="000C792B" w14:paraId="3AE072DC"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tcPr>
          <w:p w14:paraId="195E7091" w14:textId="4CA63139" w:rsidR="00434850" w:rsidRPr="000C792B" w:rsidRDefault="00434850" w:rsidP="00434850">
            <w:pPr>
              <w:pStyle w:val="TAC"/>
              <w:rPr>
                <w:lang w:eastAsia="zh-CN"/>
              </w:rPr>
            </w:pPr>
            <w:r w:rsidRPr="000C792B">
              <w:rPr>
                <w:rFonts w:cs="Arial"/>
                <w:lang w:eastAsia="zh-CN"/>
              </w:rPr>
              <w:t>11</w:t>
            </w:r>
          </w:p>
        </w:tc>
        <w:tc>
          <w:tcPr>
            <w:tcW w:w="0" w:type="auto"/>
            <w:vMerge/>
            <w:tcBorders>
              <w:left w:val="single" w:sz="6" w:space="0" w:color="auto"/>
              <w:right w:val="single" w:sz="4" w:space="0" w:color="auto"/>
            </w:tcBorders>
            <w:vAlign w:val="center"/>
          </w:tcPr>
          <w:p w14:paraId="5711226C" w14:textId="77777777" w:rsidR="00434850" w:rsidRPr="000C792B" w:rsidRDefault="00434850" w:rsidP="00434850">
            <w:pPr>
              <w:pStyle w:val="TAC"/>
              <w:rPr>
                <w:b/>
                <w:sz w:val="16"/>
                <w:szCs w:val="16"/>
              </w:rPr>
            </w:pPr>
          </w:p>
        </w:tc>
        <w:tc>
          <w:tcPr>
            <w:tcW w:w="0" w:type="auto"/>
            <w:vMerge/>
            <w:tcBorders>
              <w:left w:val="single" w:sz="4" w:space="0" w:color="auto"/>
              <w:bottom w:val="single" w:sz="6" w:space="0" w:color="auto"/>
              <w:right w:val="single" w:sz="6" w:space="0" w:color="auto"/>
            </w:tcBorders>
            <w:vAlign w:val="center"/>
          </w:tcPr>
          <w:p w14:paraId="47626878" w14:textId="77777777" w:rsidR="00434850" w:rsidRPr="000C792B" w:rsidRDefault="00434850" w:rsidP="00434850">
            <w:pPr>
              <w:pStyle w:val="TAC"/>
              <w:rPr>
                <w:b/>
                <w:lang w:eastAsia="zh-CN"/>
              </w:rPr>
            </w:pPr>
          </w:p>
        </w:tc>
        <w:tc>
          <w:tcPr>
            <w:tcW w:w="0" w:type="auto"/>
            <w:tcBorders>
              <w:top w:val="single" w:sz="6" w:space="0" w:color="auto"/>
              <w:left w:val="single" w:sz="6" w:space="0" w:color="auto"/>
              <w:bottom w:val="single" w:sz="6" w:space="0" w:color="auto"/>
              <w:right w:val="single" w:sz="6" w:space="0" w:color="auto"/>
            </w:tcBorders>
            <w:vAlign w:val="center"/>
          </w:tcPr>
          <w:p w14:paraId="254E9844" w14:textId="50E1A6A5" w:rsidR="00434850" w:rsidRPr="000C792B" w:rsidRDefault="00434850" w:rsidP="00434850">
            <w:pPr>
              <w:pStyle w:val="TAC"/>
            </w:pPr>
            <w:r w:rsidRPr="000C792B">
              <w:t>≥ 132</w:t>
            </w:r>
          </w:p>
        </w:tc>
        <w:tc>
          <w:tcPr>
            <w:tcW w:w="0" w:type="auto"/>
            <w:tcBorders>
              <w:top w:val="single" w:sz="6" w:space="0" w:color="auto"/>
              <w:left w:val="single" w:sz="6" w:space="0" w:color="auto"/>
              <w:bottom w:val="single" w:sz="6" w:space="0" w:color="auto"/>
              <w:right w:val="single" w:sz="6" w:space="0" w:color="auto"/>
            </w:tcBorders>
            <w:vAlign w:val="center"/>
          </w:tcPr>
          <w:p w14:paraId="533425EB" w14:textId="7CE6D823" w:rsidR="00434850" w:rsidRPr="000C792B" w:rsidRDefault="00434850" w:rsidP="00434850">
            <w:pPr>
              <w:pStyle w:val="TAC"/>
            </w:pPr>
            <w:r w:rsidRPr="0006408B">
              <w:rPr>
                <w:rFonts w:cs="Arial"/>
              </w:rPr>
              <w:t>≥ 1</w:t>
            </w:r>
          </w:p>
        </w:tc>
        <w:tc>
          <w:tcPr>
            <w:tcW w:w="0" w:type="auto"/>
            <w:tcBorders>
              <w:top w:val="single" w:sz="6" w:space="0" w:color="auto"/>
              <w:left w:val="single" w:sz="6" w:space="0" w:color="auto"/>
              <w:bottom w:val="single" w:sz="6" w:space="0" w:color="auto"/>
              <w:right w:val="single" w:sz="6" w:space="0" w:color="auto"/>
            </w:tcBorders>
            <w:vAlign w:val="center"/>
          </w:tcPr>
          <w:p w14:paraId="129F9193" w14:textId="03F441A8" w:rsidR="00434850" w:rsidRPr="000C792B" w:rsidRDefault="00434850" w:rsidP="00434850">
            <w:pPr>
              <w:pStyle w:val="TAC"/>
            </w:pPr>
            <w:r>
              <w:t>Note 5</w:t>
            </w:r>
          </w:p>
        </w:tc>
        <w:tc>
          <w:tcPr>
            <w:tcW w:w="0" w:type="auto"/>
            <w:tcBorders>
              <w:top w:val="single" w:sz="6" w:space="0" w:color="auto"/>
              <w:left w:val="single" w:sz="6" w:space="0" w:color="auto"/>
              <w:bottom w:val="single" w:sz="6" w:space="0" w:color="auto"/>
              <w:right w:val="single" w:sz="4" w:space="0" w:color="auto"/>
            </w:tcBorders>
            <w:vAlign w:val="center"/>
          </w:tcPr>
          <w:p w14:paraId="0EA068C8" w14:textId="77777777" w:rsidR="00434850" w:rsidRPr="000C792B" w:rsidRDefault="00434850" w:rsidP="00434850">
            <w:pPr>
              <w:pStyle w:val="TAC"/>
            </w:pPr>
            <w:r w:rsidRPr="000C792B">
              <w:t>Note 5</w:t>
            </w:r>
          </w:p>
        </w:tc>
      </w:tr>
      <w:tr w:rsidR="00434850" w:rsidRPr="000C792B" w14:paraId="3D759B64" w14:textId="77777777" w:rsidTr="00224E82">
        <w:trPr>
          <w:trHeight w:val="837"/>
          <w:jc w:val="center"/>
        </w:trPr>
        <w:tc>
          <w:tcPr>
            <w:tcW w:w="0" w:type="auto"/>
            <w:tcBorders>
              <w:top w:val="single" w:sz="6" w:space="0" w:color="auto"/>
              <w:left w:val="single" w:sz="4" w:space="0" w:color="auto"/>
              <w:bottom w:val="nil"/>
              <w:right w:val="single" w:sz="6" w:space="0" w:color="auto"/>
            </w:tcBorders>
            <w:vAlign w:val="center"/>
            <w:hideMark/>
          </w:tcPr>
          <w:p w14:paraId="4FA33039" w14:textId="102065BF" w:rsidR="00434850" w:rsidRPr="000C792B" w:rsidRDefault="00434850" w:rsidP="00434850">
            <w:pPr>
              <w:pStyle w:val="TAC"/>
              <w:rPr>
                <w:lang w:eastAsia="zh-CN"/>
              </w:rPr>
            </w:pPr>
            <w:r w:rsidRPr="000C792B">
              <w:rPr>
                <w:rFonts w:cs="Arial"/>
                <w:lang w:eastAsia="zh-CN"/>
              </w:rPr>
              <w:t>24</w:t>
            </w:r>
          </w:p>
        </w:tc>
        <w:tc>
          <w:tcPr>
            <w:tcW w:w="0" w:type="auto"/>
            <w:vMerge/>
            <w:tcBorders>
              <w:left w:val="single" w:sz="6" w:space="0" w:color="auto"/>
              <w:right w:val="single" w:sz="4" w:space="0" w:color="auto"/>
            </w:tcBorders>
            <w:vAlign w:val="center"/>
            <w:hideMark/>
          </w:tcPr>
          <w:p w14:paraId="427DCD6E" w14:textId="77777777" w:rsidR="00434850" w:rsidRPr="000C792B" w:rsidRDefault="00434850" w:rsidP="00434850">
            <w:pPr>
              <w:pStyle w:val="TAC"/>
            </w:pPr>
          </w:p>
        </w:tc>
        <w:tc>
          <w:tcPr>
            <w:tcW w:w="0" w:type="auto"/>
            <w:vMerge w:val="restart"/>
            <w:tcBorders>
              <w:top w:val="single" w:sz="4" w:space="0" w:color="auto"/>
              <w:left w:val="single" w:sz="4" w:space="0" w:color="auto"/>
              <w:bottom w:val="single" w:sz="4" w:space="0" w:color="auto"/>
              <w:right w:val="single" w:sz="6" w:space="0" w:color="auto"/>
            </w:tcBorders>
            <w:vAlign w:val="center"/>
            <w:hideMark/>
          </w:tcPr>
          <w:p w14:paraId="6F3EBCD1" w14:textId="77777777" w:rsidR="00434850" w:rsidRPr="000C792B" w:rsidRDefault="00434850" w:rsidP="00434850">
            <w:pPr>
              <w:pStyle w:val="TAC"/>
              <w:rPr>
                <w:lang w:val="sv-SE" w:eastAsia="zh-CN"/>
              </w:rPr>
            </w:pPr>
            <w:r w:rsidRPr="000C792B">
              <w:rPr>
                <w:lang w:val="sv-SE" w:eastAsia="zh-CN"/>
              </w:rPr>
              <w:t>120</w:t>
            </w:r>
          </w:p>
        </w:tc>
        <w:tc>
          <w:tcPr>
            <w:tcW w:w="0" w:type="auto"/>
            <w:tcBorders>
              <w:top w:val="single" w:sz="6" w:space="0" w:color="auto"/>
              <w:left w:val="single" w:sz="6" w:space="0" w:color="auto"/>
              <w:bottom w:val="nil"/>
              <w:right w:val="single" w:sz="6" w:space="0" w:color="auto"/>
            </w:tcBorders>
            <w:vAlign w:val="center"/>
            <w:hideMark/>
          </w:tcPr>
          <w:p w14:paraId="54DE7F2F" w14:textId="129B9CE2" w:rsidR="00434850" w:rsidRPr="000C792B" w:rsidRDefault="00434850" w:rsidP="00434850">
            <w:pPr>
              <w:pStyle w:val="TAC"/>
            </w:pPr>
            <w:r w:rsidRPr="000C792B">
              <w:t>≥ 32</w:t>
            </w:r>
          </w:p>
        </w:tc>
        <w:tc>
          <w:tcPr>
            <w:tcW w:w="0" w:type="auto"/>
            <w:tcBorders>
              <w:top w:val="single" w:sz="6" w:space="0" w:color="auto"/>
              <w:left w:val="single" w:sz="6" w:space="0" w:color="auto"/>
              <w:bottom w:val="nil"/>
              <w:right w:val="single" w:sz="6" w:space="0" w:color="auto"/>
            </w:tcBorders>
            <w:vAlign w:val="center"/>
            <w:hideMark/>
          </w:tcPr>
          <w:p w14:paraId="76C1FF38" w14:textId="48F850E6" w:rsidR="00434850" w:rsidRPr="000C792B" w:rsidRDefault="00434850" w:rsidP="00434850">
            <w:pPr>
              <w:pStyle w:val="TAC"/>
            </w:pPr>
            <w:r w:rsidRPr="0006408B">
              <w:rPr>
                <w:rFonts w:cs="Arial"/>
              </w:rPr>
              <w:t xml:space="preserve">≥ </w:t>
            </w:r>
            <w:r>
              <w:rPr>
                <w:rFonts w:cs="Arial"/>
              </w:rPr>
              <w:t>4</w:t>
            </w:r>
          </w:p>
        </w:tc>
        <w:tc>
          <w:tcPr>
            <w:tcW w:w="0" w:type="auto"/>
            <w:tcBorders>
              <w:top w:val="single" w:sz="6" w:space="0" w:color="auto"/>
              <w:left w:val="single" w:sz="6" w:space="0" w:color="auto"/>
              <w:bottom w:val="nil"/>
              <w:right w:val="single" w:sz="6" w:space="0" w:color="auto"/>
            </w:tcBorders>
            <w:vAlign w:val="center"/>
            <w:hideMark/>
          </w:tcPr>
          <w:p w14:paraId="0B68FCAF" w14:textId="047F7EBD" w:rsidR="00434850" w:rsidRPr="000C792B" w:rsidRDefault="00434850" w:rsidP="00434850">
            <w:pPr>
              <w:pStyle w:val="TAC"/>
            </w:pPr>
            <w:r>
              <w:t>Same value as PRS_RP in Table B.2.</w:t>
            </w:r>
            <w:r>
              <w:rPr>
                <w:rFonts w:hint="eastAsia"/>
                <w:lang w:eastAsia="zh-CN"/>
              </w:rPr>
              <w:t>14</w:t>
            </w:r>
            <w:r>
              <w:t>-2, according to UE Power class, operating band and angle of arrival</w:t>
            </w:r>
          </w:p>
        </w:tc>
        <w:tc>
          <w:tcPr>
            <w:tcW w:w="0" w:type="auto"/>
            <w:tcBorders>
              <w:top w:val="single" w:sz="6" w:space="0" w:color="auto"/>
              <w:left w:val="single" w:sz="6" w:space="0" w:color="auto"/>
              <w:bottom w:val="nil"/>
              <w:right w:val="single" w:sz="4" w:space="0" w:color="auto"/>
            </w:tcBorders>
            <w:vAlign w:val="center"/>
            <w:hideMark/>
          </w:tcPr>
          <w:p w14:paraId="55B28A6F" w14:textId="77777777" w:rsidR="00434850" w:rsidRPr="000C792B" w:rsidRDefault="00434850" w:rsidP="00434850">
            <w:pPr>
              <w:pStyle w:val="TAC"/>
              <w:rPr>
                <w:lang w:eastAsia="zh-CN"/>
              </w:rPr>
            </w:pPr>
            <w:r w:rsidRPr="000C792B">
              <w:rPr>
                <w:lang w:eastAsia="zh-CN"/>
              </w:rPr>
              <w:t>-50</w:t>
            </w:r>
          </w:p>
        </w:tc>
      </w:tr>
      <w:tr w:rsidR="005F67F3" w:rsidRPr="000C792B" w14:paraId="4DE9E035"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tcPr>
          <w:p w14:paraId="63D727B6" w14:textId="0D8A825C" w:rsidR="005F67F3" w:rsidRPr="000C792B" w:rsidRDefault="005F67F3" w:rsidP="005F67F3">
            <w:pPr>
              <w:pStyle w:val="TAC"/>
              <w:rPr>
                <w:lang w:eastAsia="zh-CN"/>
              </w:rPr>
            </w:pPr>
            <w:r w:rsidRPr="000C792B">
              <w:rPr>
                <w:rFonts w:cs="Arial"/>
                <w:lang w:eastAsia="zh-CN"/>
              </w:rPr>
              <w:t>13</w:t>
            </w:r>
          </w:p>
        </w:tc>
        <w:tc>
          <w:tcPr>
            <w:tcW w:w="0" w:type="auto"/>
            <w:vMerge/>
            <w:tcBorders>
              <w:left w:val="single" w:sz="6" w:space="0" w:color="auto"/>
              <w:bottom w:val="nil"/>
              <w:right w:val="single" w:sz="4" w:space="0" w:color="auto"/>
            </w:tcBorders>
            <w:vAlign w:val="center"/>
          </w:tcPr>
          <w:p w14:paraId="501B6FE5" w14:textId="77777777" w:rsidR="005F67F3" w:rsidRPr="000C792B" w:rsidRDefault="005F67F3" w:rsidP="005F67F3">
            <w:pPr>
              <w:pStyle w:val="TAC"/>
              <w:rPr>
                <w:lang w:val="sv-SE"/>
              </w:rPr>
            </w:pPr>
          </w:p>
        </w:tc>
        <w:tc>
          <w:tcPr>
            <w:tcW w:w="0" w:type="auto"/>
            <w:vMerge/>
            <w:tcBorders>
              <w:top w:val="single" w:sz="4" w:space="0" w:color="auto"/>
              <w:left w:val="single" w:sz="4" w:space="0" w:color="auto"/>
              <w:bottom w:val="single" w:sz="4" w:space="0" w:color="auto"/>
              <w:right w:val="single" w:sz="6" w:space="0" w:color="auto"/>
            </w:tcBorders>
            <w:vAlign w:val="center"/>
          </w:tcPr>
          <w:p w14:paraId="47A08AEB" w14:textId="77777777" w:rsidR="005F67F3" w:rsidRPr="000C792B" w:rsidRDefault="005F67F3" w:rsidP="005F67F3">
            <w:pPr>
              <w:pStyle w:val="TAC"/>
              <w:rPr>
                <w:lang w:val="sv-SE" w:eastAsia="zh-CN"/>
              </w:rPr>
            </w:pPr>
          </w:p>
        </w:tc>
        <w:tc>
          <w:tcPr>
            <w:tcW w:w="0" w:type="auto"/>
            <w:tcBorders>
              <w:top w:val="single" w:sz="6" w:space="0" w:color="auto"/>
              <w:left w:val="single" w:sz="6" w:space="0" w:color="auto"/>
              <w:bottom w:val="single" w:sz="6" w:space="0" w:color="auto"/>
              <w:right w:val="single" w:sz="6" w:space="0" w:color="auto"/>
            </w:tcBorders>
            <w:vAlign w:val="center"/>
          </w:tcPr>
          <w:p w14:paraId="74FE3455" w14:textId="29643DD6" w:rsidR="005F67F3" w:rsidRPr="000C792B" w:rsidRDefault="005F67F3" w:rsidP="005F67F3">
            <w:pPr>
              <w:pStyle w:val="TAC"/>
            </w:pPr>
            <w:r w:rsidRPr="000C792B">
              <w:t>≥ 64</w:t>
            </w:r>
          </w:p>
        </w:tc>
        <w:tc>
          <w:tcPr>
            <w:tcW w:w="0" w:type="auto"/>
            <w:tcBorders>
              <w:top w:val="single" w:sz="6" w:space="0" w:color="auto"/>
              <w:left w:val="single" w:sz="6" w:space="0" w:color="auto"/>
              <w:bottom w:val="single" w:sz="6" w:space="0" w:color="auto"/>
              <w:right w:val="single" w:sz="6" w:space="0" w:color="auto"/>
            </w:tcBorders>
            <w:vAlign w:val="center"/>
          </w:tcPr>
          <w:p w14:paraId="572A8E59" w14:textId="24C0BB98" w:rsidR="005F67F3" w:rsidRPr="000C792B" w:rsidRDefault="005F67F3" w:rsidP="005F67F3">
            <w:pPr>
              <w:pStyle w:val="TAC"/>
            </w:pPr>
            <w:r w:rsidRPr="000C792B">
              <w:t>≥ 1</w:t>
            </w:r>
          </w:p>
        </w:tc>
        <w:tc>
          <w:tcPr>
            <w:tcW w:w="0" w:type="auto"/>
            <w:tcBorders>
              <w:top w:val="single" w:sz="6" w:space="0" w:color="auto"/>
              <w:left w:val="single" w:sz="6" w:space="0" w:color="auto"/>
              <w:bottom w:val="single" w:sz="6" w:space="0" w:color="auto"/>
              <w:right w:val="single" w:sz="6" w:space="0" w:color="auto"/>
            </w:tcBorders>
            <w:vAlign w:val="center"/>
          </w:tcPr>
          <w:p w14:paraId="16A3D4B6" w14:textId="77777777" w:rsidR="005F67F3" w:rsidRPr="000C792B" w:rsidRDefault="005F67F3" w:rsidP="005F67F3">
            <w:pPr>
              <w:pStyle w:val="TAC"/>
            </w:pPr>
            <w:r w:rsidRPr="000C792B">
              <w:t>Note 5</w:t>
            </w:r>
          </w:p>
        </w:tc>
        <w:tc>
          <w:tcPr>
            <w:tcW w:w="0" w:type="auto"/>
            <w:tcBorders>
              <w:top w:val="single" w:sz="6" w:space="0" w:color="auto"/>
              <w:left w:val="single" w:sz="6" w:space="0" w:color="auto"/>
              <w:bottom w:val="single" w:sz="6" w:space="0" w:color="auto"/>
              <w:right w:val="single" w:sz="4" w:space="0" w:color="auto"/>
            </w:tcBorders>
            <w:vAlign w:val="center"/>
          </w:tcPr>
          <w:p w14:paraId="2623FE92" w14:textId="77777777" w:rsidR="005F67F3" w:rsidRPr="000C792B" w:rsidRDefault="005F67F3" w:rsidP="005F67F3">
            <w:pPr>
              <w:pStyle w:val="TAC"/>
            </w:pPr>
            <w:r w:rsidRPr="000C792B">
              <w:t>Note 5</w:t>
            </w:r>
          </w:p>
        </w:tc>
      </w:tr>
      <w:tr w:rsidR="005F67F3" w:rsidRPr="000C792B" w14:paraId="6278F853"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hideMark/>
          </w:tcPr>
          <w:p w14:paraId="204B41CC" w14:textId="4751A04D" w:rsidR="005F67F3" w:rsidRPr="000C792B" w:rsidRDefault="005F67F3" w:rsidP="005F67F3">
            <w:pPr>
              <w:pStyle w:val="TAC"/>
              <w:rPr>
                <w:lang w:eastAsia="zh-CN"/>
              </w:rPr>
            </w:pPr>
            <w:r w:rsidRPr="000C792B">
              <w:rPr>
                <w:rFonts w:cs="Arial"/>
                <w:lang w:eastAsia="zh-CN"/>
              </w:rPr>
              <w:t>6</w:t>
            </w:r>
          </w:p>
        </w:tc>
        <w:tc>
          <w:tcPr>
            <w:tcW w:w="0" w:type="auto"/>
            <w:vMerge/>
            <w:tcBorders>
              <w:left w:val="single" w:sz="6" w:space="0" w:color="auto"/>
              <w:bottom w:val="nil"/>
              <w:right w:val="single" w:sz="4" w:space="0" w:color="auto"/>
            </w:tcBorders>
            <w:vAlign w:val="center"/>
            <w:hideMark/>
          </w:tcPr>
          <w:p w14:paraId="02280235" w14:textId="77777777" w:rsidR="005F67F3" w:rsidRPr="000C792B" w:rsidRDefault="005F67F3" w:rsidP="005F67F3">
            <w:pPr>
              <w:pStyle w:val="TAC"/>
              <w:rPr>
                <w:lang w:val="sv-SE"/>
              </w:rPr>
            </w:pPr>
          </w:p>
        </w:tc>
        <w:tc>
          <w:tcPr>
            <w:tcW w:w="0" w:type="auto"/>
            <w:vMerge/>
            <w:tcBorders>
              <w:top w:val="single" w:sz="4" w:space="0" w:color="auto"/>
              <w:left w:val="single" w:sz="4" w:space="0" w:color="auto"/>
              <w:bottom w:val="single" w:sz="4" w:space="0" w:color="auto"/>
              <w:right w:val="single" w:sz="6" w:space="0" w:color="auto"/>
            </w:tcBorders>
            <w:vAlign w:val="center"/>
            <w:hideMark/>
          </w:tcPr>
          <w:p w14:paraId="53E96F96" w14:textId="77777777" w:rsidR="005F67F3" w:rsidRPr="000C792B" w:rsidRDefault="005F67F3" w:rsidP="005F67F3">
            <w:pPr>
              <w:pStyle w:val="TAC"/>
              <w:rPr>
                <w:lang w:val="sv-SE" w:eastAsia="zh-CN"/>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D6AC083" w14:textId="049E2A48" w:rsidR="005F67F3" w:rsidRPr="000C792B" w:rsidRDefault="005F67F3" w:rsidP="005F67F3">
            <w:pPr>
              <w:pStyle w:val="TAC"/>
            </w:pPr>
            <w:r w:rsidRPr="000C792B">
              <w:t>≥ 128</w:t>
            </w:r>
          </w:p>
        </w:tc>
        <w:tc>
          <w:tcPr>
            <w:tcW w:w="0" w:type="auto"/>
            <w:tcBorders>
              <w:top w:val="single" w:sz="6" w:space="0" w:color="auto"/>
              <w:left w:val="single" w:sz="6" w:space="0" w:color="auto"/>
              <w:bottom w:val="single" w:sz="6" w:space="0" w:color="auto"/>
              <w:right w:val="single" w:sz="6" w:space="0" w:color="auto"/>
            </w:tcBorders>
            <w:vAlign w:val="center"/>
            <w:hideMark/>
          </w:tcPr>
          <w:p w14:paraId="4368251A" w14:textId="2CDF1F55" w:rsidR="005F67F3" w:rsidRPr="000C792B" w:rsidRDefault="005F67F3" w:rsidP="005F67F3">
            <w:pPr>
              <w:pStyle w:val="TAC"/>
            </w:pPr>
            <w:r w:rsidRPr="000C792B">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0D64232D" w14:textId="77777777" w:rsidR="005F67F3" w:rsidRPr="000C792B" w:rsidRDefault="005F67F3" w:rsidP="005F67F3">
            <w:pPr>
              <w:pStyle w:val="TAC"/>
            </w:pPr>
            <w:r w:rsidRPr="000C792B">
              <w:t>Note 5</w:t>
            </w:r>
          </w:p>
        </w:tc>
        <w:tc>
          <w:tcPr>
            <w:tcW w:w="0" w:type="auto"/>
            <w:tcBorders>
              <w:top w:val="single" w:sz="6" w:space="0" w:color="auto"/>
              <w:left w:val="single" w:sz="6" w:space="0" w:color="auto"/>
              <w:bottom w:val="single" w:sz="6" w:space="0" w:color="auto"/>
              <w:right w:val="single" w:sz="4" w:space="0" w:color="auto"/>
            </w:tcBorders>
            <w:vAlign w:val="center"/>
            <w:hideMark/>
          </w:tcPr>
          <w:p w14:paraId="55A628D3" w14:textId="77777777" w:rsidR="005F67F3" w:rsidRPr="000C792B" w:rsidRDefault="005F67F3" w:rsidP="005F67F3">
            <w:pPr>
              <w:pStyle w:val="TAC"/>
            </w:pPr>
            <w:r w:rsidRPr="000C792B">
              <w:t>Note 5</w:t>
            </w:r>
          </w:p>
        </w:tc>
      </w:tr>
      <w:tr w:rsidR="00060B2A" w:rsidRPr="000C792B" w14:paraId="3C578497" w14:textId="77777777" w:rsidTr="00224E82">
        <w:trPr>
          <w:jc w:val="center"/>
        </w:trPr>
        <w:tc>
          <w:tcPr>
            <w:tcW w:w="0" w:type="auto"/>
            <w:gridSpan w:val="7"/>
            <w:tcBorders>
              <w:top w:val="single" w:sz="6" w:space="0" w:color="auto"/>
              <w:left w:val="single" w:sz="4" w:space="0" w:color="auto"/>
              <w:bottom w:val="single" w:sz="4" w:space="0" w:color="auto"/>
              <w:right w:val="single" w:sz="4" w:space="0" w:color="auto"/>
            </w:tcBorders>
            <w:vAlign w:val="center"/>
            <w:hideMark/>
          </w:tcPr>
          <w:p w14:paraId="4ABC61D0" w14:textId="77777777" w:rsidR="00B22B9E" w:rsidRPr="000C792B" w:rsidRDefault="00B22B9E" w:rsidP="00B22B9E">
            <w:pPr>
              <w:pStyle w:val="TAN"/>
            </w:pPr>
            <w:r w:rsidRPr="000C792B">
              <w:t>N</w:t>
            </w:r>
            <w:r w:rsidRPr="000C792B">
              <w:rPr>
                <w:lang w:eastAsia="zh-CN"/>
              </w:rPr>
              <w:t>OTE</w:t>
            </w:r>
            <w:r w:rsidRPr="000C792B">
              <w:t xml:space="preserve"> 1:</w:t>
            </w:r>
            <w:r w:rsidRPr="000C792B">
              <w:tab/>
              <w:t>Minimum PRS bandwidth, which is minimum of the PRS bandwidths of the reference resource and the measured neighbour resource i.</w:t>
            </w:r>
          </w:p>
          <w:p w14:paraId="38013597" w14:textId="77777777" w:rsidR="00B22B9E" w:rsidRPr="000C792B" w:rsidRDefault="00B22B9E" w:rsidP="00B22B9E">
            <w:pPr>
              <w:pStyle w:val="TAN"/>
              <w:rPr>
                <w:lang w:val="en-US" w:eastAsia="zh-CN"/>
              </w:rPr>
            </w:pPr>
            <w:r w:rsidRPr="007D085D">
              <w:t xml:space="preserve">NOTE 2: </w:t>
            </w:r>
            <w:r w:rsidRPr="007D085D">
              <w:tab/>
              <w:t xml:space="preserve">Minimum number of PRS resource repetitions among the reference resource and the measured neighbour resource i. </w:t>
            </w:r>
            <m:oMath>
              <m:sSubSup>
                <m:sSubSupPr>
                  <m:ctrlPr>
                    <w:rPr>
                      <w:rFonts w:ascii="Cambria Math" w:hAnsi="Cambria Math"/>
                      <w:i/>
                    </w:rPr>
                  </m:ctrlPr>
                </m:sSubSupPr>
                <m:e>
                  <m:r>
                    <w:rPr>
                      <w:rFonts w:ascii="Cambria Math" w:hAnsi="Cambria Math"/>
                    </w:rPr>
                    <m:t>T</m:t>
                  </m:r>
                </m:e>
                <m:sub>
                  <m:r>
                    <m:rPr>
                      <m:nor/>
                    </m:rPr>
                    <w:rPr>
                      <w:rFonts w:ascii="Cambria Math" w:hAnsi="Cambria Math"/>
                    </w:rPr>
                    <m:t>rep</m:t>
                  </m:r>
                </m:sub>
                <m:sup>
                  <m:r>
                    <m:rPr>
                      <m:nor/>
                    </m:rPr>
                    <w:rPr>
                      <w:rFonts w:ascii="Cambria Math" w:hAnsi="Cambria Math"/>
                    </w:rPr>
                    <m:t>PRS</m:t>
                  </m:r>
                </m:sup>
              </m:sSubSup>
              <m:r>
                <w:rPr>
                  <w:rFonts w:ascii="Cambria Math" w:hAnsi="Cambria Math"/>
                </w:rPr>
                <m:t xml:space="preserve">, </m:t>
              </m:r>
              <m:sSub>
                <m:sSubPr>
                  <m:ctrlPr>
                    <w:rPr>
                      <w:rFonts w:ascii="Cambria Math" w:hAnsi="Cambria Math"/>
                    </w:rPr>
                  </m:ctrlPr>
                </m:sSubPr>
                <m:e>
                  <m:r>
                    <w:rPr>
                      <w:rFonts w:ascii="Cambria Math" w:hAnsi="Cambria Math"/>
                    </w:rPr>
                    <m:t>L</m:t>
                  </m:r>
                </m:e>
                <m:sub>
                  <m:r>
                    <m:rPr>
                      <m:nor/>
                    </m:rPr>
                    <m:t>PRS</m:t>
                  </m:r>
                </m:sub>
              </m:sSub>
              <m:r>
                <w:rPr>
                  <w:rFonts w:ascii="Cambria Math" w:hAnsi="Cambria Math"/>
                </w:rPr>
                <m:t xml:space="preserve"> ,</m:t>
              </m:r>
              <m:sSubSup>
                <m:sSubSupPr>
                  <m:ctrlPr>
                    <w:rPr>
                      <w:rFonts w:ascii="Cambria Math" w:hAnsi="Cambria Math"/>
                      <w:i/>
                    </w:rPr>
                  </m:ctrlPr>
                </m:sSubSupPr>
                <m:e>
                  <m:r>
                    <w:rPr>
                      <w:rFonts w:ascii="Cambria Math" w:hAnsi="Cambria Math"/>
                    </w:rPr>
                    <m:t>K</m:t>
                  </m:r>
                </m:e>
                <m:sub>
                  <m:r>
                    <m:rPr>
                      <m:nor/>
                    </m:rPr>
                    <w:rPr>
                      <w:rFonts w:ascii="Cambria Math" w:hAnsi="Cambria Math"/>
                    </w:rPr>
                    <m:t>comb</m:t>
                  </m:r>
                </m:sub>
                <m:sup>
                  <m:r>
                    <m:rPr>
                      <m:nor/>
                    </m:rPr>
                    <w:rPr>
                      <w:rFonts w:ascii="Cambria Math" w:hAnsi="Cambria Math"/>
                    </w:rPr>
                    <m:t>PRS</m:t>
                  </m:r>
                </m:sup>
              </m:sSubSup>
            </m:oMath>
            <w:r w:rsidRPr="007D085D">
              <w:rPr>
                <w:b/>
                <w:bCs/>
                <w:lang w:eastAsia="zh-CN"/>
              </w:rPr>
              <w:t xml:space="preserve"> </w:t>
            </w:r>
            <w:r w:rsidRPr="007D085D">
              <w:rPr>
                <w:szCs w:val="18"/>
              </w:rPr>
              <w:t xml:space="preserve">are configured by higher layer parameter </w:t>
            </w:r>
            <w:r w:rsidRPr="007D085D">
              <w:rPr>
                <w:i/>
                <w:szCs w:val="18"/>
              </w:rPr>
              <w:t>dl-PRS-ResourceRepetitionFactor, dl-PRS-NumSymbols and dl-PRS-CombSizeN</w:t>
            </w:r>
            <w:r w:rsidRPr="007D085D">
              <w:rPr>
                <w:iCs/>
                <w:szCs w:val="18"/>
              </w:rPr>
              <w:t>defined in TS 37.355 [34], respectively</w:t>
            </w:r>
            <w:r w:rsidRPr="007D085D">
              <w:rPr>
                <w:iCs/>
                <w:szCs w:val="18"/>
                <w:lang w:val="en-US" w:eastAsia="zh-CN"/>
              </w:rPr>
              <w:t>.</w:t>
            </w:r>
          </w:p>
          <w:p w14:paraId="2171B135" w14:textId="77777777" w:rsidR="00B22B9E" w:rsidRPr="000C792B" w:rsidRDefault="00B22B9E" w:rsidP="00B22B9E">
            <w:pPr>
              <w:pStyle w:val="TAN"/>
            </w:pPr>
            <w:r w:rsidRPr="000C792B">
              <w:t>N</w:t>
            </w:r>
            <w:r w:rsidRPr="000C792B">
              <w:rPr>
                <w:lang w:eastAsia="zh-CN"/>
              </w:rPr>
              <w:t>OTE</w:t>
            </w:r>
            <w:r w:rsidRPr="000C792B">
              <w:t xml:space="preserve"> 3:</w:t>
            </w:r>
            <w:r w:rsidRPr="000C792B">
              <w:tab/>
              <w:t>Io is assumed to have constant EPRE across the bandwidth.</w:t>
            </w:r>
          </w:p>
          <w:p w14:paraId="21A7FF72" w14:textId="77777777" w:rsidR="00B22B9E" w:rsidRPr="000C792B" w:rsidRDefault="00B22B9E" w:rsidP="00B22B9E">
            <w:pPr>
              <w:pStyle w:val="TAN"/>
            </w:pPr>
            <w:r w:rsidRPr="000C792B">
              <w:t>NOTE 4:</w:t>
            </w:r>
            <w:r w:rsidRPr="000C792B">
              <w:tab/>
              <w:t>Tc is the basic timing unit defined in TS 38.211 [6].</w:t>
            </w:r>
          </w:p>
          <w:p w14:paraId="44FF6CF0" w14:textId="77777777" w:rsidR="00B22B9E" w:rsidRPr="000C792B" w:rsidRDefault="00B22B9E" w:rsidP="00B22B9E">
            <w:pPr>
              <w:pStyle w:val="TAN"/>
            </w:pPr>
            <w:r w:rsidRPr="000C792B">
              <w:t>NOTE 5:</w:t>
            </w:r>
            <w:r w:rsidRPr="000C792B">
              <w:tab/>
              <w:t>The same bands and the same Io conditions for each band apply for this requirement as for the corresponding requirement with the PRS bandwidth of the smallest RB number for the corresponding SCS.</w:t>
            </w:r>
          </w:p>
          <w:p w14:paraId="5BAAA3B7" w14:textId="13031400" w:rsidR="00060B2A" w:rsidRPr="000C792B" w:rsidRDefault="005F67F3" w:rsidP="00B22B9E">
            <w:pPr>
              <w:pStyle w:val="TAN"/>
            </w:pPr>
            <w:r w:rsidRPr="000C792B">
              <w:t>NOTE 6:</w:t>
            </w:r>
            <w:r w:rsidRPr="000C792B">
              <w:tab/>
            </w:r>
            <w:r>
              <w:rPr>
                <w:rFonts w:hint="eastAsia"/>
                <w:lang w:eastAsia="zh-CN"/>
              </w:rPr>
              <w:t>V</w:t>
            </w:r>
            <w:r>
              <w:rPr>
                <w:lang w:eastAsia="zh-CN"/>
              </w:rPr>
              <w:t>oid</w:t>
            </w:r>
          </w:p>
        </w:tc>
      </w:tr>
    </w:tbl>
    <w:p w14:paraId="048657EC" w14:textId="77777777" w:rsidR="00060B2A" w:rsidRPr="000C792B" w:rsidRDefault="00060B2A" w:rsidP="00060B2A"/>
    <w:p w14:paraId="30E79BA7" w14:textId="77777777" w:rsidR="00060B2A" w:rsidRPr="000C792B" w:rsidRDefault="00060B2A" w:rsidP="00060B2A">
      <w:pPr>
        <w:pStyle w:val="TH"/>
      </w:pPr>
      <w:r w:rsidRPr="000C792B">
        <w:t>Table 10.1.23.2-3: RSTD absolute accuracy in FR1 for fading channel</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163"/>
        <w:gridCol w:w="992"/>
        <w:gridCol w:w="1134"/>
        <w:gridCol w:w="1367"/>
        <w:gridCol w:w="2040"/>
        <w:gridCol w:w="1134"/>
        <w:gridCol w:w="1275"/>
      </w:tblGrid>
      <w:tr w:rsidR="00060B2A" w:rsidRPr="000C792B" w14:paraId="68DE8BD7" w14:textId="77777777" w:rsidTr="00224E82">
        <w:trPr>
          <w:jc w:val="center"/>
        </w:trPr>
        <w:tc>
          <w:tcPr>
            <w:tcW w:w="959" w:type="dxa"/>
            <w:vMerge w:val="restart"/>
            <w:vAlign w:val="center"/>
            <w:hideMark/>
          </w:tcPr>
          <w:p w14:paraId="404B21DF" w14:textId="77777777" w:rsidR="00060B2A" w:rsidRPr="000C792B" w:rsidRDefault="00060B2A" w:rsidP="00224E82">
            <w:pPr>
              <w:pStyle w:val="TAH"/>
            </w:pPr>
            <w:r w:rsidRPr="000C792B">
              <w:t>Accuracy</w:t>
            </w:r>
          </w:p>
        </w:tc>
        <w:tc>
          <w:tcPr>
            <w:tcW w:w="9105" w:type="dxa"/>
            <w:gridSpan w:val="7"/>
            <w:vAlign w:val="center"/>
            <w:hideMark/>
          </w:tcPr>
          <w:p w14:paraId="1D5F3770" w14:textId="77777777" w:rsidR="00060B2A" w:rsidRPr="000C792B" w:rsidRDefault="00060B2A" w:rsidP="00224E82">
            <w:pPr>
              <w:pStyle w:val="TAH"/>
            </w:pPr>
            <w:r w:rsidRPr="000C792B">
              <w:t>Conditions</w:t>
            </w:r>
          </w:p>
        </w:tc>
      </w:tr>
      <w:tr w:rsidR="00060B2A" w:rsidRPr="000C792B" w14:paraId="0166BEC5" w14:textId="77777777" w:rsidTr="00224E82">
        <w:trPr>
          <w:jc w:val="center"/>
        </w:trPr>
        <w:tc>
          <w:tcPr>
            <w:tcW w:w="959" w:type="dxa"/>
            <w:vMerge/>
            <w:vAlign w:val="center"/>
            <w:hideMark/>
          </w:tcPr>
          <w:p w14:paraId="3CA7B43C" w14:textId="77777777" w:rsidR="00060B2A" w:rsidRPr="000C792B" w:rsidRDefault="00060B2A" w:rsidP="00224E82">
            <w:pPr>
              <w:pStyle w:val="TAH"/>
            </w:pPr>
          </w:p>
        </w:tc>
        <w:tc>
          <w:tcPr>
            <w:tcW w:w="1163" w:type="dxa"/>
            <w:vMerge w:val="restart"/>
            <w:vAlign w:val="center"/>
            <w:hideMark/>
          </w:tcPr>
          <w:p w14:paraId="08BA48AD" w14:textId="77777777" w:rsidR="00060B2A" w:rsidRPr="000C792B" w:rsidRDefault="00060B2A" w:rsidP="00224E82">
            <w:pPr>
              <w:pStyle w:val="TAH"/>
            </w:pPr>
            <w:r w:rsidRPr="000C792B">
              <w:t>PRS Ês/Iot</w:t>
            </w:r>
          </w:p>
        </w:tc>
        <w:tc>
          <w:tcPr>
            <w:tcW w:w="992" w:type="dxa"/>
            <w:vMerge w:val="restart"/>
            <w:vAlign w:val="center"/>
            <w:hideMark/>
          </w:tcPr>
          <w:p w14:paraId="6D82D762" w14:textId="77777777" w:rsidR="00060B2A" w:rsidRPr="000C792B" w:rsidRDefault="00060B2A" w:rsidP="00224E82">
            <w:pPr>
              <w:pStyle w:val="TAH"/>
              <w:rPr>
                <w:lang w:eastAsia="zh-CN"/>
              </w:rPr>
            </w:pPr>
            <w:r w:rsidRPr="000C792B">
              <w:t>PRS SCS</w:t>
            </w:r>
          </w:p>
        </w:tc>
        <w:tc>
          <w:tcPr>
            <w:tcW w:w="1134" w:type="dxa"/>
            <w:vMerge w:val="restart"/>
            <w:vAlign w:val="center"/>
            <w:hideMark/>
          </w:tcPr>
          <w:p w14:paraId="4F8DAFD4" w14:textId="77777777" w:rsidR="00060B2A" w:rsidRPr="000C792B" w:rsidRDefault="00060B2A" w:rsidP="00224E82">
            <w:pPr>
              <w:pStyle w:val="TAH"/>
              <w:rPr>
                <w:lang w:eastAsia="zh-CN"/>
              </w:rPr>
            </w:pPr>
            <w:r w:rsidRPr="000C792B">
              <w:rPr>
                <w:lang w:eastAsia="zh-CN"/>
              </w:rPr>
              <w:t>PRS bandwidth</w:t>
            </w:r>
          </w:p>
          <w:p w14:paraId="099F4125" w14:textId="77777777" w:rsidR="00060B2A" w:rsidRPr="000C792B" w:rsidRDefault="00060B2A" w:rsidP="00224E82">
            <w:pPr>
              <w:pStyle w:val="TAH"/>
            </w:pPr>
            <w:r w:rsidRPr="000C792B">
              <w:rPr>
                <w:vertAlign w:val="superscript"/>
              </w:rPr>
              <w:t>Note 1</w:t>
            </w:r>
          </w:p>
        </w:tc>
        <w:tc>
          <w:tcPr>
            <w:tcW w:w="1367" w:type="dxa"/>
            <w:vMerge w:val="restart"/>
            <w:vAlign w:val="center"/>
            <w:hideMark/>
          </w:tcPr>
          <w:p w14:paraId="3D92D5D9" w14:textId="77777777" w:rsidR="00060B2A" w:rsidRPr="000C792B" w:rsidRDefault="00060B2A" w:rsidP="00224E82">
            <w:pPr>
              <w:pStyle w:val="TAH"/>
              <w:rPr>
                <w:lang w:eastAsia="zh-CN"/>
              </w:rPr>
            </w:pPr>
            <w:r w:rsidRPr="000C792B">
              <w:rPr>
                <w:lang w:eastAsia="zh-CN"/>
              </w:rPr>
              <w:t>PRS resource repetition (</w:t>
            </w:r>
            <m:oMath>
              <m:sSubSup>
                <m:sSubSupPr>
                  <m:ctrlPr>
                    <w:rPr>
                      <w:rFonts w:ascii="Cambria Math" w:hAnsi="Cambria Math"/>
                      <w:bCs/>
                      <w:i/>
                      <w:iCs/>
                      <w:lang w:val="en-US" w:eastAsia="zh-CN"/>
                    </w:rPr>
                  </m:ctrlPr>
                </m:sSubSupPr>
                <m:e>
                  <m:r>
                    <m:rPr>
                      <m:sty m:val="b"/>
                    </m:rPr>
                    <w:rPr>
                      <w:rFonts w:ascii="Cambria Math" w:hAnsi="Cambria Math"/>
                      <w:lang w:eastAsia="zh-CN"/>
                    </w:rPr>
                    <m:t>T</m:t>
                  </m:r>
                </m:e>
                <m:sub>
                  <m:r>
                    <m:rPr>
                      <m:nor/>
                    </m:rPr>
                    <w:rPr>
                      <w:bCs/>
                      <w:lang w:eastAsia="zh-CN"/>
                    </w:rPr>
                    <m:t>rep</m:t>
                  </m:r>
                </m:sub>
                <m:sup>
                  <m:r>
                    <m:rPr>
                      <m:nor/>
                    </m:rPr>
                    <w:rPr>
                      <w:bCs/>
                      <w:lang w:eastAsia="zh-CN"/>
                    </w:rPr>
                    <m:t>PRS</m:t>
                  </m:r>
                </m:sup>
              </m:sSubSup>
              <m:r>
                <m:rPr>
                  <m:sty m:val="b"/>
                </m:rPr>
                <w:rPr>
                  <w:rFonts w:ascii="Cambria Math" w:hAnsi="Cambria Math"/>
                  <w:lang w:eastAsia="zh-CN"/>
                </w:rPr>
                <m:t>*</m:t>
              </m:r>
              <m:sSub>
                <m:sSubPr>
                  <m:ctrlPr>
                    <w:rPr>
                      <w:rFonts w:ascii="Cambria Math" w:hAnsi="Cambria Math"/>
                      <w:bCs/>
                      <w:i/>
                      <w:iCs/>
                      <w:lang w:val="en-US" w:eastAsia="zh-CN"/>
                    </w:rPr>
                  </m:ctrlPr>
                </m:sSubPr>
                <m:e>
                  <m:r>
                    <m:rPr>
                      <m:sty m:val="b"/>
                    </m:rPr>
                    <w:rPr>
                      <w:rFonts w:ascii="Cambria Math" w:hAnsi="Cambria Math"/>
                      <w:lang w:eastAsia="zh-CN"/>
                    </w:rPr>
                    <m:t>L</m:t>
                  </m:r>
                </m:e>
                <m:sub>
                  <m:r>
                    <m:rPr>
                      <m:nor/>
                    </m:rPr>
                    <w:rPr>
                      <w:bCs/>
                      <w:lang w:eastAsia="zh-CN"/>
                    </w:rPr>
                    <m:t>PRS</m:t>
                  </m:r>
                </m:sub>
              </m:sSub>
              <m:r>
                <m:rPr>
                  <m:sty m:val="b"/>
                </m:rPr>
                <w:rPr>
                  <w:rFonts w:ascii="Cambria Math" w:hAnsi="Cambria Math"/>
                  <w:lang w:eastAsia="zh-CN"/>
                </w:rPr>
                <m:t>/</m:t>
              </m:r>
              <m:sSubSup>
                <m:sSubSupPr>
                  <m:ctrlPr>
                    <w:rPr>
                      <w:rFonts w:ascii="Cambria Math" w:hAnsi="Cambria Math"/>
                      <w:bCs/>
                      <w:i/>
                      <w:iCs/>
                      <w:lang w:val="en-US" w:eastAsia="zh-CN"/>
                    </w:rPr>
                  </m:ctrlPr>
                </m:sSubSupPr>
                <m:e>
                  <m:r>
                    <m:rPr>
                      <m:sty m:val="b"/>
                    </m:rPr>
                    <w:rPr>
                      <w:rFonts w:ascii="Cambria Math" w:hAnsi="Cambria Math"/>
                      <w:lang w:eastAsia="zh-CN"/>
                    </w:rPr>
                    <m:t>K</m:t>
                  </m:r>
                </m:e>
                <m:sub>
                  <m:r>
                    <m:rPr>
                      <m:nor/>
                    </m:rPr>
                    <w:rPr>
                      <w:bCs/>
                      <w:lang w:eastAsia="zh-CN"/>
                    </w:rPr>
                    <m:t>comb</m:t>
                  </m:r>
                </m:sub>
                <m:sup>
                  <m:r>
                    <m:rPr>
                      <m:nor/>
                    </m:rPr>
                    <w:rPr>
                      <w:bCs/>
                      <w:lang w:eastAsia="zh-CN"/>
                    </w:rPr>
                    <m:t>PRS</m:t>
                  </m:r>
                </m:sup>
              </m:sSubSup>
            </m:oMath>
            <w:r w:rsidRPr="000C792B">
              <w:rPr>
                <w:lang w:eastAsia="zh-CN"/>
              </w:rPr>
              <w:t>)</w:t>
            </w:r>
          </w:p>
          <w:p w14:paraId="4522C285" w14:textId="77777777" w:rsidR="00060B2A" w:rsidRPr="000C792B" w:rsidRDefault="00060B2A" w:rsidP="00224E82">
            <w:pPr>
              <w:pStyle w:val="TAH"/>
              <w:rPr>
                <w:lang w:eastAsia="zh-CN"/>
              </w:rPr>
            </w:pPr>
            <w:r w:rsidRPr="000C792B">
              <w:rPr>
                <w:vertAlign w:val="superscript"/>
              </w:rPr>
              <w:t>Note 2</w:t>
            </w:r>
          </w:p>
        </w:tc>
        <w:tc>
          <w:tcPr>
            <w:tcW w:w="4449" w:type="dxa"/>
            <w:gridSpan w:val="3"/>
            <w:vAlign w:val="center"/>
            <w:hideMark/>
          </w:tcPr>
          <w:p w14:paraId="618D363D" w14:textId="77777777" w:rsidR="00060B2A" w:rsidRPr="000C792B" w:rsidRDefault="00060B2A" w:rsidP="00224E82">
            <w:pPr>
              <w:pStyle w:val="TAH"/>
            </w:pPr>
            <w:r w:rsidRPr="000C792B">
              <w:t>Io</w:t>
            </w:r>
            <w:r w:rsidRPr="000C792B">
              <w:rPr>
                <w:vertAlign w:val="superscript"/>
                <w:lang w:eastAsia="zh-CN"/>
              </w:rPr>
              <w:t xml:space="preserve"> Note 3</w:t>
            </w:r>
            <w:r w:rsidRPr="000C792B">
              <w:t xml:space="preserve"> range</w:t>
            </w:r>
          </w:p>
        </w:tc>
      </w:tr>
      <w:tr w:rsidR="00060B2A" w:rsidRPr="000C792B" w14:paraId="540837CE" w14:textId="77777777" w:rsidTr="00224E82">
        <w:trPr>
          <w:jc w:val="center"/>
        </w:trPr>
        <w:tc>
          <w:tcPr>
            <w:tcW w:w="959" w:type="dxa"/>
            <w:vMerge/>
            <w:vAlign w:val="center"/>
            <w:hideMark/>
          </w:tcPr>
          <w:p w14:paraId="5DB141AA" w14:textId="77777777" w:rsidR="00060B2A" w:rsidRPr="000C792B" w:rsidRDefault="00060B2A" w:rsidP="00224E82">
            <w:pPr>
              <w:pStyle w:val="TAH"/>
            </w:pPr>
          </w:p>
        </w:tc>
        <w:tc>
          <w:tcPr>
            <w:tcW w:w="1163" w:type="dxa"/>
            <w:vMerge/>
            <w:vAlign w:val="center"/>
            <w:hideMark/>
          </w:tcPr>
          <w:p w14:paraId="7430F624" w14:textId="77777777" w:rsidR="00060B2A" w:rsidRPr="000C792B" w:rsidRDefault="00060B2A" w:rsidP="00224E82">
            <w:pPr>
              <w:pStyle w:val="TAH"/>
            </w:pPr>
          </w:p>
        </w:tc>
        <w:tc>
          <w:tcPr>
            <w:tcW w:w="992" w:type="dxa"/>
            <w:vMerge/>
            <w:vAlign w:val="center"/>
            <w:hideMark/>
          </w:tcPr>
          <w:p w14:paraId="155FB127" w14:textId="77777777" w:rsidR="00060B2A" w:rsidRPr="000C792B" w:rsidRDefault="00060B2A" w:rsidP="00224E82">
            <w:pPr>
              <w:pStyle w:val="TAH"/>
              <w:rPr>
                <w:lang w:eastAsia="zh-CN"/>
              </w:rPr>
            </w:pPr>
          </w:p>
        </w:tc>
        <w:tc>
          <w:tcPr>
            <w:tcW w:w="1134" w:type="dxa"/>
            <w:vMerge/>
            <w:vAlign w:val="center"/>
            <w:hideMark/>
          </w:tcPr>
          <w:p w14:paraId="131BD234" w14:textId="77777777" w:rsidR="00060B2A" w:rsidRPr="000C792B" w:rsidRDefault="00060B2A" w:rsidP="00224E82">
            <w:pPr>
              <w:pStyle w:val="TAH"/>
            </w:pPr>
          </w:p>
        </w:tc>
        <w:tc>
          <w:tcPr>
            <w:tcW w:w="1367" w:type="dxa"/>
            <w:vMerge/>
            <w:vAlign w:val="center"/>
            <w:hideMark/>
          </w:tcPr>
          <w:p w14:paraId="2D5BCEBD" w14:textId="77777777" w:rsidR="00060B2A" w:rsidRPr="000C792B" w:rsidRDefault="00060B2A" w:rsidP="00224E82">
            <w:pPr>
              <w:pStyle w:val="TAH"/>
              <w:rPr>
                <w:lang w:eastAsia="zh-CN"/>
              </w:rPr>
            </w:pPr>
          </w:p>
        </w:tc>
        <w:tc>
          <w:tcPr>
            <w:tcW w:w="2040" w:type="dxa"/>
            <w:vAlign w:val="center"/>
            <w:hideMark/>
          </w:tcPr>
          <w:p w14:paraId="3616E4D4" w14:textId="77777777" w:rsidR="00060B2A" w:rsidRPr="000C792B" w:rsidRDefault="00060B2A" w:rsidP="00224E82">
            <w:pPr>
              <w:pStyle w:val="TAH"/>
            </w:pPr>
            <w:r w:rsidRPr="000C792B">
              <w:t>NR operating band groups</w:t>
            </w:r>
            <w:r w:rsidRPr="000C792B">
              <w:rPr>
                <w:vertAlign w:val="superscript"/>
              </w:rPr>
              <w:t xml:space="preserve"> Note 4</w:t>
            </w:r>
          </w:p>
        </w:tc>
        <w:tc>
          <w:tcPr>
            <w:tcW w:w="1134" w:type="dxa"/>
            <w:vAlign w:val="center"/>
            <w:hideMark/>
          </w:tcPr>
          <w:p w14:paraId="27556D63" w14:textId="77777777" w:rsidR="00060B2A" w:rsidRPr="000C792B" w:rsidRDefault="00060B2A" w:rsidP="00224E82">
            <w:pPr>
              <w:pStyle w:val="TAH"/>
            </w:pPr>
            <w:r w:rsidRPr="000C792B">
              <w:t xml:space="preserve">Minimum Io </w:t>
            </w:r>
          </w:p>
        </w:tc>
        <w:tc>
          <w:tcPr>
            <w:tcW w:w="1275" w:type="dxa"/>
            <w:vAlign w:val="center"/>
            <w:hideMark/>
          </w:tcPr>
          <w:p w14:paraId="135236AD" w14:textId="77777777" w:rsidR="00060B2A" w:rsidRPr="000C792B" w:rsidRDefault="00060B2A" w:rsidP="00224E82">
            <w:pPr>
              <w:pStyle w:val="TAH"/>
            </w:pPr>
            <w:r w:rsidRPr="000C792B">
              <w:t>Maximum Io</w:t>
            </w:r>
          </w:p>
        </w:tc>
      </w:tr>
      <w:tr w:rsidR="00060B2A" w:rsidRPr="000C792B" w14:paraId="52448DD7" w14:textId="77777777" w:rsidTr="00224E82">
        <w:trPr>
          <w:jc w:val="center"/>
        </w:trPr>
        <w:tc>
          <w:tcPr>
            <w:tcW w:w="959" w:type="dxa"/>
            <w:vAlign w:val="center"/>
            <w:hideMark/>
          </w:tcPr>
          <w:p w14:paraId="5A51B313" w14:textId="77777777" w:rsidR="00060B2A" w:rsidRPr="000C792B" w:rsidRDefault="00060B2A" w:rsidP="00224E82">
            <w:pPr>
              <w:pStyle w:val="TAH"/>
            </w:pPr>
            <w:r w:rsidRPr="000C792B">
              <w:t>Tc</w:t>
            </w:r>
            <w:r w:rsidRPr="000C792B">
              <w:rPr>
                <w:vertAlign w:val="superscript"/>
                <w:lang w:eastAsia="zh-CN"/>
              </w:rPr>
              <w:t xml:space="preserve"> Note 5</w:t>
            </w:r>
          </w:p>
        </w:tc>
        <w:tc>
          <w:tcPr>
            <w:tcW w:w="1163" w:type="dxa"/>
            <w:vAlign w:val="center"/>
            <w:hideMark/>
          </w:tcPr>
          <w:p w14:paraId="0B4FC68F" w14:textId="77777777" w:rsidR="00060B2A" w:rsidRPr="000C792B" w:rsidRDefault="00060B2A" w:rsidP="00224E82">
            <w:pPr>
              <w:pStyle w:val="TAH"/>
            </w:pPr>
            <w:r w:rsidRPr="000C792B">
              <w:t>dB</w:t>
            </w:r>
          </w:p>
        </w:tc>
        <w:tc>
          <w:tcPr>
            <w:tcW w:w="992" w:type="dxa"/>
            <w:vAlign w:val="center"/>
            <w:hideMark/>
          </w:tcPr>
          <w:p w14:paraId="0E810995" w14:textId="77777777" w:rsidR="00060B2A" w:rsidRPr="000C792B" w:rsidRDefault="00060B2A" w:rsidP="00224E82">
            <w:pPr>
              <w:pStyle w:val="TAH"/>
              <w:rPr>
                <w:lang w:eastAsia="zh-CN"/>
              </w:rPr>
            </w:pPr>
            <w:r w:rsidRPr="000C792B">
              <w:rPr>
                <w:lang w:eastAsia="zh-CN"/>
              </w:rPr>
              <w:t>kHz</w:t>
            </w:r>
          </w:p>
        </w:tc>
        <w:tc>
          <w:tcPr>
            <w:tcW w:w="1134" w:type="dxa"/>
            <w:vAlign w:val="center"/>
            <w:hideMark/>
          </w:tcPr>
          <w:p w14:paraId="0759645C" w14:textId="77777777" w:rsidR="00060B2A" w:rsidRPr="000C792B" w:rsidRDefault="00060B2A" w:rsidP="00224E82">
            <w:pPr>
              <w:pStyle w:val="TAH"/>
            </w:pPr>
            <w:r w:rsidRPr="000C792B">
              <w:t>RB</w:t>
            </w:r>
          </w:p>
        </w:tc>
        <w:tc>
          <w:tcPr>
            <w:tcW w:w="1367" w:type="dxa"/>
            <w:vAlign w:val="center"/>
          </w:tcPr>
          <w:p w14:paraId="0B6BDEFD" w14:textId="77777777" w:rsidR="00060B2A" w:rsidRPr="000C792B" w:rsidRDefault="00060B2A" w:rsidP="00224E82">
            <w:pPr>
              <w:pStyle w:val="TAH"/>
            </w:pPr>
          </w:p>
        </w:tc>
        <w:tc>
          <w:tcPr>
            <w:tcW w:w="2040" w:type="dxa"/>
            <w:vAlign w:val="center"/>
          </w:tcPr>
          <w:p w14:paraId="445640EA" w14:textId="77777777" w:rsidR="00060B2A" w:rsidRPr="000C792B" w:rsidRDefault="00060B2A" w:rsidP="00224E82">
            <w:pPr>
              <w:pStyle w:val="TAH"/>
            </w:pPr>
          </w:p>
        </w:tc>
        <w:tc>
          <w:tcPr>
            <w:tcW w:w="1134" w:type="dxa"/>
            <w:vAlign w:val="center"/>
            <w:hideMark/>
          </w:tcPr>
          <w:p w14:paraId="3C0522E8" w14:textId="77777777" w:rsidR="00060B2A" w:rsidRPr="000C792B" w:rsidRDefault="00060B2A" w:rsidP="00224E82">
            <w:pPr>
              <w:pStyle w:val="TAH"/>
            </w:pPr>
            <w:r w:rsidRPr="000C792B">
              <w:t>dBm/SCS</w:t>
            </w:r>
            <w:r w:rsidRPr="000C792B">
              <w:rPr>
                <w:vertAlign w:val="superscript"/>
                <w:lang w:eastAsia="zh-CN"/>
              </w:rPr>
              <w:t xml:space="preserve"> </w:t>
            </w:r>
          </w:p>
        </w:tc>
        <w:tc>
          <w:tcPr>
            <w:tcW w:w="1275" w:type="dxa"/>
            <w:vAlign w:val="center"/>
            <w:hideMark/>
          </w:tcPr>
          <w:p w14:paraId="2C18E637" w14:textId="77777777" w:rsidR="00060B2A" w:rsidRPr="000C792B" w:rsidRDefault="00060B2A" w:rsidP="00224E82">
            <w:pPr>
              <w:pStyle w:val="TAH"/>
            </w:pPr>
            <w:r w:rsidRPr="000C792B">
              <w:t>dBm/BW</w:t>
            </w:r>
            <w:r w:rsidRPr="000C792B">
              <w:rPr>
                <w:vertAlign w:val="subscript"/>
              </w:rPr>
              <w:t>Channel</w:t>
            </w:r>
          </w:p>
        </w:tc>
      </w:tr>
      <w:tr w:rsidR="00434850" w:rsidRPr="000C792B" w14:paraId="547F48C5" w14:textId="77777777" w:rsidTr="00521371">
        <w:trPr>
          <w:jc w:val="center"/>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2B026459" w14:textId="7FC5B372" w:rsidR="00434850" w:rsidRPr="000C792B" w:rsidRDefault="00434850" w:rsidP="00434850">
            <w:pPr>
              <w:pStyle w:val="TAC"/>
              <w:rPr>
                <w:lang w:eastAsia="zh-CN"/>
              </w:rPr>
            </w:pPr>
            <w:r w:rsidRPr="000C792B">
              <w:rPr>
                <w:lang w:eastAsia="zh-CN"/>
              </w:rPr>
              <w:t>247</w:t>
            </w:r>
          </w:p>
        </w:tc>
        <w:tc>
          <w:tcPr>
            <w:tcW w:w="1163" w:type="dxa"/>
            <w:vMerge w:val="restart"/>
            <w:vAlign w:val="center"/>
          </w:tcPr>
          <w:p w14:paraId="15D06BBF" w14:textId="77777777" w:rsidR="00434850" w:rsidRPr="000C792B" w:rsidRDefault="00434850" w:rsidP="00434850">
            <w:pPr>
              <w:pStyle w:val="TAC"/>
            </w:pPr>
            <w:r w:rsidRPr="000C792B">
              <w:t>(PRS Ês/Iot)</w:t>
            </w:r>
            <w:r w:rsidRPr="000C792B">
              <w:rPr>
                <w:vertAlign w:val="subscript"/>
              </w:rPr>
              <w:t xml:space="preserve">ref </w:t>
            </w:r>
            <w:r w:rsidRPr="000C792B">
              <w:t>≥-6dB</w:t>
            </w:r>
          </w:p>
          <w:p w14:paraId="77C247D0" w14:textId="77777777" w:rsidR="00434850" w:rsidRPr="000C792B" w:rsidRDefault="00434850" w:rsidP="00434850">
            <w:pPr>
              <w:pStyle w:val="TAC"/>
            </w:pPr>
          </w:p>
          <w:p w14:paraId="7349F710" w14:textId="77777777" w:rsidR="00434850" w:rsidRPr="000C792B" w:rsidRDefault="00434850" w:rsidP="00434850">
            <w:pPr>
              <w:pStyle w:val="TAC"/>
            </w:pPr>
            <w:r w:rsidRPr="000C792B">
              <w:t xml:space="preserve"> (PRS Ês/Iot)</w:t>
            </w:r>
            <w:r w:rsidRPr="000C792B">
              <w:rPr>
                <w:i/>
                <w:vertAlign w:val="subscript"/>
              </w:rPr>
              <w:t>i</w:t>
            </w:r>
            <w:r w:rsidRPr="000C792B">
              <w:t xml:space="preserve"> ≥-13dB</w:t>
            </w:r>
          </w:p>
        </w:tc>
        <w:tc>
          <w:tcPr>
            <w:tcW w:w="992" w:type="dxa"/>
            <w:vMerge w:val="restart"/>
            <w:vAlign w:val="center"/>
            <w:hideMark/>
          </w:tcPr>
          <w:p w14:paraId="77980E6E" w14:textId="77777777" w:rsidR="00434850" w:rsidRPr="000C792B" w:rsidRDefault="00434850" w:rsidP="00434850">
            <w:pPr>
              <w:pStyle w:val="TAC"/>
              <w:rPr>
                <w:lang w:val="sv-SE" w:eastAsia="zh-CN"/>
              </w:rPr>
            </w:pPr>
            <w:r w:rsidRPr="000C792B">
              <w:rPr>
                <w:lang w:val="sv-SE" w:eastAsia="zh-CN"/>
              </w:rPr>
              <w:t>15</w:t>
            </w:r>
          </w:p>
        </w:tc>
        <w:tc>
          <w:tcPr>
            <w:tcW w:w="1134" w:type="dxa"/>
            <w:vMerge w:val="restart"/>
            <w:vAlign w:val="center"/>
            <w:hideMark/>
          </w:tcPr>
          <w:p w14:paraId="1F6E8846" w14:textId="75E424EE" w:rsidR="00434850" w:rsidRPr="000C792B" w:rsidRDefault="00434850" w:rsidP="00434850">
            <w:pPr>
              <w:pStyle w:val="TAC"/>
            </w:pPr>
            <w:r w:rsidRPr="000C792B">
              <w:t>≥ 24</w:t>
            </w:r>
          </w:p>
        </w:tc>
        <w:tc>
          <w:tcPr>
            <w:tcW w:w="1367" w:type="dxa"/>
            <w:vMerge w:val="restart"/>
            <w:vAlign w:val="center"/>
            <w:hideMark/>
          </w:tcPr>
          <w:p w14:paraId="6E6EB813" w14:textId="0C8E367F" w:rsidR="00434850" w:rsidRPr="000C792B" w:rsidRDefault="00434850" w:rsidP="00434850">
            <w:pPr>
              <w:pStyle w:val="TAC"/>
            </w:pPr>
            <w:r w:rsidRPr="000C792B">
              <w:t>≥ 4</w:t>
            </w:r>
          </w:p>
        </w:tc>
        <w:tc>
          <w:tcPr>
            <w:tcW w:w="2040" w:type="dxa"/>
            <w:tcBorders>
              <w:top w:val="single" w:sz="4" w:space="0" w:color="auto"/>
              <w:left w:val="single" w:sz="4" w:space="0" w:color="auto"/>
              <w:bottom w:val="single" w:sz="4" w:space="0" w:color="auto"/>
              <w:right w:val="single" w:sz="4" w:space="0" w:color="auto"/>
            </w:tcBorders>
            <w:vAlign w:val="center"/>
            <w:hideMark/>
          </w:tcPr>
          <w:p w14:paraId="59429952" w14:textId="77777777" w:rsidR="00434850" w:rsidRDefault="00434850" w:rsidP="00434850">
            <w:pPr>
              <w:pStyle w:val="TAC"/>
              <w:rPr>
                <w:szCs w:val="18"/>
              </w:rPr>
            </w:pPr>
            <w:r>
              <w:rPr>
                <w:szCs w:val="18"/>
              </w:rPr>
              <w:t>NR_FDD_FR1_A, NR_TDD_FR1_A,</w:t>
            </w:r>
          </w:p>
          <w:p w14:paraId="0111F5B3" w14:textId="6B00B5EE" w:rsidR="00434850" w:rsidRPr="000C792B" w:rsidRDefault="00434850" w:rsidP="00434850">
            <w:pPr>
              <w:pStyle w:val="TAC"/>
            </w:pPr>
            <w:r>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0B8C3A" w14:textId="2A2DD774" w:rsidR="00434850" w:rsidRPr="000C792B" w:rsidRDefault="00434850" w:rsidP="00434850">
            <w:pPr>
              <w:pStyle w:val="TAC"/>
            </w:pPr>
            <w:r>
              <w:t>-127</w:t>
            </w:r>
          </w:p>
        </w:tc>
        <w:tc>
          <w:tcPr>
            <w:tcW w:w="1275" w:type="dxa"/>
            <w:vAlign w:val="center"/>
            <w:hideMark/>
          </w:tcPr>
          <w:p w14:paraId="3B0F4964" w14:textId="77777777" w:rsidR="00434850" w:rsidRPr="000C792B" w:rsidRDefault="00434850" w:rsidP="00434850">
            <w:pPr>
              <w:pStyle w:val="TAC"/>
              <w:rPr>
                <w:lang w:eastAsia="zh-CN"/>
              </w:rPr>
            </w:pPr>
            <w:r w:rsidRPr="000C792B">
              <w:rPr>
                <w:lang w:eastAsia="zh-CN"/>
              </w:rPr>
              <w:t>-50</w:t>
            </w:r>
          </w:p>
        </w:tc>
      </w:tr>
      <w:tr w:rsidR="00434850" w:rsidRPr="000C792B" w14:paraId="3D11570F" w14:textId="77777777" w:rsidTr="00521371">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3217A202" w14:textId="77777777" w:rsidR="00434850" w:rsidRPr="000C792B" w:rsidRDefault="00434850" w:rsidP="00434850">
            <w:pPr>
              <w:pStyle w:val="TAC"/>
              <w:rPr>
                <w:lang w:eastAsia="zh-CN"/>
              </w:rPr>
            </w:pPr>
          </w:p>
        </w:tc>
        <w:tc>
          <w:tcPr>
            <w:tcW w:w="1163" w:type="dxa"/>
            <w:vMerge/>
            <w:vAlign w:val="center"/>
            <w:hideMark/>
          </w:tcPr>
          <w:p w14:paraId="4FAEE48B" w14:textId="77777777" w:rsidR="00434850" w:rsidRPr="000C792B" w:rsidRDefault="00434850" w:rsidP="00434850">
            <w:pPr>
              <w:pStyle w:val="TAC"/>
              <w:rPr>
                <w:lang w:val="sv-SE"/>
              </w:rPr>
            </w:pPr>
          </w:p>
        </w:tc>
        <w:tc>
          <w:tcPr>
            <w:tcW w:w="992" w:type="dxa"/>
            <w:vMerge/>
            <w:vAlign w:val="center"/>
            <w:hideMark/>
          </w:tcPr>
          <w:p w14:paraId="03827CB8" w14:textId="77777777" w:rsidR="00434850" w:rsidRPr="000C792B" w:rsidRDefault="00434850" w:rsidP="00434850">
            <w:pPr>
              <w:pStyle w:val="TAC"/>
              <w:rPr>
                <w:lang w:val="sv-SE" w:eastAsia="zh-CN"/>
              </w:rPr>
            </w:pPr>
          </w:p>
        </w:tc>
        <w:tc>
          <w:tcPr>
            <w:tcW w:w="1134" w:type="dxa"/>
            <w:vMerge/>
            <w:vAlign w:val="center"/>
            <w:hideMark/>
          </w:tcPr>
          <w:p w14:paraId="3FF7589D" w14:textId="77777777" w:rsidR="00434850" w:rsidRPr="000C792B" w:rsidRDefault="00434850" w:rsidP="00434850">
            <w:pPr>
              <w:pStyle w:val="TAC"/>
            </w:pPr>
          </w:p>
        </w:tc>
        <w:tc>
          <w:tcPr>
            <w:tcW w:w="1367" w:type="dxa"/>
            <w:vMerge/>
            <w:vAlign w:val="center"/>
            <w:hideMark/>
          </w:tcPr>
          <w:p w14:paraId="0F0F5A9A"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5B137812" w14:textId="44EC7C5F" w:rsidR="00434850" w:rsidRPr="000C792B" w:rsidRDefault="00434850" w:rsidP="00434850">
            <w:pPr>
              <w:pStyle w:val="TAC"/>
            </w:pPr>
            <w:r>
              <w:t>NR_FDD_FR1_B</w:t>
            </w:r>
          </w:p>
        </w:tc>
        <w:tc>
          <w:tcPr>
            <w:tcW w:w="1134" w:type="dxa"/>
            <w:tcBorders>
              <w:top w:val="single" w:sz="4" w:space="0" w:color="auto"/>
              <w:left w:val="single" w:sz="4" w:space="0" w:color="auto"/>
              <w:bottom w:val="single" w:sz="4" w:space="0" w:color="auto"/>
              <w:right w:val="single" w:sz="4" w:space="0" w:color="auto"/>
            </w:tcBorders>
            <w:hideMark/>
          </w:tcPr>
          <w:p w14:paraId="14F2383D" w14:textId="3BAF38DC" w:rsidR="00434850" w:rsidRPr="000C792B" w:rsidRDefault="00434850" w:rsidP="00434850">
            <w:pPr>
              <w:pStyle w:val="TAC"/>
            </w:pPr>
            <w:r>
              <w:t>-126.5</w:t>
            </w:r>
          </w:p>
        </w:tc>
        <w:tc>
          <w:tcPr>
            <w:tcW w:w="1275" w:type="dxa"/>
            <w:hideMark/>
          </w:tcPr>
          <w:p w14:paraId="2B642CA4" w14:textId="77777777" w:rsidR="00434850" w:rsidRPr="000C792B" w:rsidRDefault="00434850" w:rsidP="00434850">
            <w:pPr>
              <w:pStyle w:val="TAC"/>
            </w:pPr>
            <w:r w:rsidRPr="000C792B">
              <w:rPr>
                <w:lang w:eastAsia="zh-CN"/>
              </w:rPr>
              <w:t>-50</w:t>
            </w:r>
          </w:p>
        </w:tc>
      </w:tr>
      <w:tr w:rsidR="00434850" w:rsidRPr="000C792B" w14:paraId="6FB4A572" w14:textId="77777777" w:rsidTr="00521371">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5D45BF3A" w14:textId="77777777" w:rsidR="00434850" w:rsidRPr="000C792B" w:rsidRDefault="00434850" w:rsidP="00434850">
            <w:pPr>
              <w:pStyle w:val="TAC"/>
              <w:rPr>
                <w:lang w:eastAsia="zh-CN"/>
              </w:rPr>
            </w:pPr>
          </w:p>
        </w:tc>
        <w:tc>
          <w:tcPr>
            <w:tcW w:w="1163" w:type="dxa"/>
            <w:vMerge/>
            <w:vAlign w:val="center"/>
            <w:hideMark/>
          </w:tcPr>
          <w:p w14:paraId="57C5F9AC" w14:textId="77777777" w:rsidR="00434850" w:rsidRPr="000C792B" w:rsidRDefault="00434850" w:rsidP="00434850">
            <w:pPr>
              <w:pStyle w:val="TAC"/>
              <w:rPr>
                <w:lang w:val="sv-SE"/>
              </w:rPr>
            </w:pPr>
          </w:p>
        </w:tc>
        <w:tc>
          <w:tcPr>
            <w:tcW w:w="992" w:type="dxa"/>
            <w:vMerge/>
            <w:vAlign w:val="center"/>
            <w:hideMark/>
          </w:tcPr>
          <w:p w14:paraId="61082103" w14:textId="77777777" w:rsidR="00434850" w:rsidRPr="000C792B" w:rsidRDefault="00434850" w:rsidP="00434850">
            <w:pPr>
              <w:pStyle w:val="TAC"/>
              <w:rPr>
                <w:lang w:val="sv-SE" w:eastAsia="zh-CN"/>
              </w:rPr>
            </w:pPr>
          </w:p>
        </w:tc>
        <w:tc>
          <w:tcPr>
            <w:tcW w:w="1134" w:type="dxa"/>
            <w:vMerge/>
            <w:vAlign w:val="center"/>
            <w:hideMark/>
          </w:tcPr>
          <w:p w14:paraId="0FE74EA7" w14:textId="77777777" w:rsidR="00434850" w:rsidRPr="000C792B" w:rsidRDefault="00434850" w:rsidP="00434850">
            <w:pPr>
              <w:pStyle w:val="TAC"/>
            </w:pPr>
          </w:p>
        </w:tc>
        <w:tc>
          <w:tcPr>
            <w:tcW w:w="1367" w:type="dxa"/>
            <w:vMerge/>
            <w:vAlign w:val="center"/>
            <w:hideMark/>
          </w:tcPr>
          <w:p w14:paraId="37C118FC"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5E85DDB" w14:textId="30C25BA3" w:rsidR="00434850" w:rsidRPr="000C792B" w:rsidRDefault="00434850" w:rsidP="00434850">
            <w:pPr>
              <w:pStyle w:val="TAC"/>
            </w:pPr>
            <w:r>
              <w:t>NR_TDD_FR1_C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E655A06" w14:textId="4C2520D8" w:rsidR="00434850" w:rsidRPr="000C792B" w:rsidRDefault="00434850" w:rsidP="00434850">
            <w:pPr>
              <w:pStyle w:val="TAC"/>
            </w:pPr>
            <w:r>
              <w:t>-126</w:t>
            </w:r>
          </w:p>
        </w:tc>
        <w:tc>
          <w:tcPr>
            <w:tcW w:w="1275" w:type="dxa"/>
            <w:hideMark/>
          </w:tcPr>
          <w:p w14:paraId="513B6C40" w14:textId="77777777" w:rsidR="00434850" w:rsidRPr="000C792B" w:rsidRDefault="00434850" w:rsidP="00434850">
            <w:pPr>
              <w:pStyle w:val="TAC"/>
            </w:pPr>
            <w:r w:rsidRPr="000C792B">
              <w:rPr>
                <w:lang w:eastAsia="zh-CN"/>
              </w:rPr>
              <w:t>-50</w:t>
            </w:r>
          </w:p>
        </w:tc>
      </w:tr>
      <w:tr w:rsidR="00434850" w:rsidRPr="000C792B" w14:paraId="3231B9DA" w14:textId="77777777" w:rsidTr="00521371">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03BEA39" w14:textId="77777777" w:rsidR="00434850" w:rsidRPr="000C792B" w:rsidRDefault="00434850" w:rsidP="00434850">
            <w:pPr>
              <w:pStyle w:val="TAC"/>
              <w:rPr>
                <w:lang w:eastAsia="zh-CN"/>
              </w:rPr>
            </w:pPr>
          </w:p>
        </w:tc>
        <w:tc>
          <w:tcPr>
            <w:tcW w:w="1163" w:type="dxa"/>
            <w:vMerge/>
            <w:vAlign w:val="center"/>
            <w:hideMark/>
          </w:tcPr>
          <w:p w14:paraId="15953E16" w14:textId="77777777" w:rsidR="00434850" w:rsidRPr="000C792B" w:rsidRDefault="00434850" w:rsidP="00434850">
            <w:pPr>
              <w:pStyle w:val="TAC"/>
              <w:rPr>
                <w:lang w:val="sv-SE"/>
              </w:rPr>
            </w:pPr>
          </w:p>
        </w:tc>
        <w:tc>
          <w:tcPr>
            <w:tcW w:w="992" w:type="dxa"/>
            <w:vMerge/>
            <w:vAlign w:val="center"/>
            <w:hideMark/>
          </w:tcPr>
          <w:p w14:paraId="197BA05F" w14:textId="77777777" w:rsidR="00434850" w:rsidRPr="000C792B" w:rsidRDefault="00434850" w:rsidP="00434850">
            <w:pPr>
              <w:pStyle w:val="TAC"/>
              <w:rPr>
                <w:lang w:val="sv-SE" w:eastAsia="zh-CN"/>
              </w:rPr>
            </w:pPr>
          </w:p>
        </w:tc>
        <w:tc>
          <w:tcPr>
            <w:tcW w:w="1134" w:type="dxa"/>
            <w:vMerge/>
            <w:vAlign w:val="center"/>
            <w:hideMark/>
          </w:tcPr>
          <w:p w14:paraId="36C41E35" w14:textId="77777777" w:rsidR="00434850" w:rsidRPr="000C792B" w:rsidRDefault="00434850" w:rsidP="00434850">
            <w:pPr>
              <w:pStyle w:val="TAC"/>
            </w:pPr>
          </w:p>
        </w:tc>
        <w:tc>
          <w:tcPr>
            <w:tcW w:w="1367" w:type="dxa"/>
            <w:vMerge/>
            <w:vAlign w:val="center"/>
            <w:hideMark/>
          </w:tcPr>
          <w:p w14:paraId="1CC79E0B"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3106E04B" w14:textId="2AE38926" w:rsidR="00434850" w:rsidRPr="000C792B" w:rsidRDefault="00434850" w:rsidP="00434850">
            <w:pPr>
              <w:pStyle w:val="TAC"/>
              <w:rPr>
                <w:lang w:val="sv-SE"/>
              </w:rPr>
            </w:pPr>
            <w:r>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FD75DFB" w14:textId="4769DEE7" w:rsidR="00434850" w:rsidRPr="000C792B" w:rsidRDefault="00434850" w:rsidP="00434850">
            <w:pPr>
              <w:pStyle w:val="TAC"/>
            </w:pPr>
            <w:r>
              <w:t>-125.5</w:t>
            </w:r>
          </w:p>
        </w:tc>
        <w:tc>
          <w:tcPr>
            <w:tcW w:w="1275" w:type="dxa"/>
            <w:hideMark/>
          </w:tcPr>
          <w:p w14:paraId="343D63FD" w14:textId="77777777" w:rsidR="00434850" w:rsidRPr="000C792B" w:rsidRDefault="00434850" w:rsidP="00434850">
            <w:pPr>
              <w:pStyle w:val="TAC"/>
            </w:pPr>
            <w:r w:rsidRPr="000C792B">
              <w:rPr>
                <w:lang w:eastAsia="zh-CN"/>
              </w:rPr>
              <w:t>-50</w:t>
            </w:r>
          </w:p>
        </w:tc>
      </w:tr>
      <w:tr w:rsidR="00434850" w:rsidRPr="000C792B" w14:paraId="65DBC617" w14:textId="77777777" w:rsidTr="00521371">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38B3AAF9" w14:textId="77777777" w:rsidR="00434850" w:rsidRPr="000C792B" w:rsidRDefault="00434850" w:rsidP="00434850">
            <w:pPr>
              <w:pStyle w:val="TAC"/>
              <w:rPr>
                <w:lang w:eastAsia="zh-CN"/>
              </w:rPr>
            </w:pPr>
          </w:p>
        </w:tc>
        <w:tc>
          <w:tcPr>
            <w:tcW w:w="1163" w:type="dxa"/>
            <w:vMerge/>
            <w:vAlign w:val="center"/>
            <w:hideMark/>
          </w:tcPr>
          <w:p w14:paraId="5FB2F6EF" w14:textId="77777777" w:rsidR="00434850" w:rsidRPr="000C792B" w:rsidRDefault="00434850" w:rsidP="00434850">
            <w:pPr>
              <w:pStyle w:val="TAC"/>
              <w:rPr>
                <w:lang w:val="sv-SE"/>
              </w:rPr>
            </w:pPr>
          </w:p>
        </w:tc>
        <w:tc>
          <w:tcPr>
            <w:tcW w:w="992" w:type="dxa"/>
            <w:vMerge/>
            <w:vAlign w:val="center"/>
            <w:hideMark/>
          </w:tcPr>
          <w:p w14:paraId="6FB81EEA" w14:textId="77777777" w:rsidR="00434850" w:rsidRPr="000C792B" w:rsidRDefault="00434850" w:rsidP="00434850">
            <w:pPr>
              <w:pStyle w:val="TAC"/>
              <w:rPr>
                <w:lang w:val="sv-SE" w:eastAsia="zh-CN"/>
              </w:rPr>
            </w:pPr>
          </w:p>
        </w:tc>
        <w:tc>
          <w:tcPr>
            <w:tcW w:w="1134" w:type="dxa"/>
            <w:vMerge/>
            <w:vAlign w:val="center"/>
            <w:hideMark/>
          </w:tcPr>
          <w:p w14:paraId="0586ED06" w14:textId="77777777" w:rsidR="00434850" w:rsidRPr="000C792B" w:rsidRDefault="00434850" w:rsidP="00434850">
            <w:pPr>
              <w:pStyle w:val="TAC"/>
            </w:pPr>
          </w:p>
        </w:tc>
        <w:tc>
          <w:tcPr>
            <w:tcW w:w="1367" w:type="dxa"/>
            <w:vMerge/>
            <w:vAlign w:val="center"/>
            <w:hideMark/>
          </w:tcPr>
          <w:p w14:paraId="243FB5F4"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3B342303" w14:textId="0D58E945" w:rsidR="00434850" w:rsidRPr="000C792B" w:rsidRDefault="00434850" w:rsidP="00434850">
            <w:pPr>
              <w:pStyle w:val="TAC"/>
              <w:rPr>
                <w:lang w:val="sv-SE"/>
              </w:rPr>
            </w:pPr>
            <w:r>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300DF8" w14:textId="439914FE" w:rsidR="00434850" w:rsidRPr="000C792B" w:rsidRDefault="00434850" w:rsidP="00434850">
            <w:pPr>
              <w:pStyle w:val="TAC"/>
            </w:pPr>
            <w:r>
              <w:t>-125</w:t>
            </w:r>
          </w:p>
        </w:tc>
        <w:tc>
          <w:tcPr>
            <w:tcW w:w="1275" w:type="dxa"/>
            <w:hideMark/>
          </w:tcPr>
          <w:p w14:paraId="0094C1CF" w14:textId="77777777" w:rsidR="00434850" w:rsidRPr="000C792B" w:rsidRDefault="00434850" w:rsidP="00434850">
            <w:pPr>
              <w:pStyle w:val="TAC"/>
            </w:pPr>
            <w:r w:rsidRPr="000C792B">
              <w:rPr>
                <w:lang w:eastAsia="zh-CN"/>
              </w:rPr>
              <w:t>-50</w:t>
            </w:r>
          </w:p>
        </w:tc>
      </w:tr>
      <w:tr w:rsidR="00434850" w:rsidRPr="000C792B" w14:paraId="204B9880" w14:textId="77777777" w:rsidTr="00521371">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3B4B3A6C" w14:textId="77777777" w:rsidR="00434850" w:rsidRPr="000C792B" w:rsidRDefault="00434850" w:rsidP="00434850">
            <w:pPr>
              <w:pStyle w:val="TAC"/>
              <w:rPr>
                <w:lang w:eastAsia="zh-CN"/>
              </w:rPr>
            </w:pPr>
          </w:p>
        </w:tc>
        <w:tc>
          <w:tcPr>
            <w:tcW w:w="1163" w:type="dxa"/>
            <w:vMerge/>
            <w:vAlign w:val="center"/>
            <w:hideMark/>
          </w:tcPr>
          <w:p w14:paraId="500D0CE9" w14:textId="77777777" w:rsidR="00434850" w:rsidRPr="000C792B" w:rsidRDefault="00434850" w:rsidP="00434850">
            <w:pPr>
              <w:pStyle w:val="TAC"/>
              <w:rPr>
                <w:lang w:val="sv-SE"/>
              </w:rPr>
            </w:pPr>
          </w:p>
        </w:tc>
        <w:tc>
          <w:tcPr>
            <w:tcW w:w="992" w:type="dxa"/>
            <w:vMerge/>
            <w:vAlign w:val="center"/>
            <w:hideMark/>
          </w:tcPr>
          <w:p w14:paraId="1FB53205" w14:textId="77777777" w:rsidR="00434850" w:rsidRPr="000C792B" w:rsidRDefault="00434850" w:rsidP="00434850">
            <w:pPr>
              <w:pStyle w:val="TAC"/>
              <w:rPr>
                <w:lang w:val="sv-SE" w:eastAsia="zh-CN"/>
              </w:rPr>
            </w:pPr>
          </w:p>
        </w:tc>
        <w:tc>
          <w:tcPr>
            <w:tcW w:w="1134" w:type="dxa"/>
            <w:vMerge/>
            <w:vAlign w:val="center"/>
            <w:hideMark/>
          </w:tcPr>
          <w:p w14:paraId="054CA876" w14:textId="77777777" w:rsidR="00434850" w:rsidRPr="000C792B" w:rsidRDefault="00434850" w:rsidP="00434850">
            <w:pPr>
              <w:pStyle w:val="TAC"/>
            </w:pPr>
          </w:p>
        </w:tc>
        <w:tc>
          <w:tcPr>
            <w:tcW w:w="1367" w:type="dxa"/>
            <w:vMerge/>
            <w:vAlign w:val="center"/>
            <w:hideMark/>
          </w:tcPr>
          <w:p w14:paraId="68E764A5"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100D0D79" w14:textId="534BFF1E" w:rsidR="00434850" w:rsidRPr="000C792B" w:rsidRDefault="00434850" w:rsidP="00434850">
            <w:pPr>
              <w:pStyle w:val="TAC"/>
            </w:pPr>
            <w:r>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FCA9447" w14:textId="62C71C47" w:rsidR="00434850" w:rsidRPr="000C792B" w:rsidRDefault="00434850" w:rsidP="00434850">
            <w:pPr>
              <w:pStyle w:val="TAC"/>
            </w:pPr>
            <w:r>
              <w:t>-124.5</w:t>
            </w:r>
          </w:p>
        </w:tc>
        <w:tc>
          <w:tcPr>
            <w:tcW w:w="1275" w:type="dxa"/>
            <w:hideMark/>
          </w:tcPr>
          <w:p w14:paraId="79A73FE8" w14:textId="77777777" w:rsidR="00434850" w:rsidRPr="000C792B" w:rsidRDefault="00434850" w:rsidP="00434850">
            <w:pPr>
              <w:pStyle w:val="TAC"/>
            </w:pPr>
            <w:r w:rsidRPr="000C792B">
              <w:rPr>
                <w:lang w:eastAsia="zh-CN"/>
              </w:rPr>
              <w:t>-50</w:t>
            </w:r>
          </w:p>
        </w:tc>
      </w:tr>
      <w:tr w:rsidR="00434850" w:rsidRPr="000C792B" w14:paraId="5E79E2F0" w14:textId="77777777" w:rsidTr="00521371">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F262BAA" w14:textId="77777777" w:rsidR="00434850" w:rsidRPr="000C792B" w:rsidRDefault="00434850" w:rsidP="00434850">
            <w:pPr>
              <w:pStyle w:val="TAC"/>
              <w:rPr>
                <w:lang w:eastAsia="zh-CN"/>
              </w:rPr>
            </w:pPr>
          </w:p>
        </w:tc>
        <w:tc>
          <w:tcPr>
            <w:tcW w:w="1163" w:type="dxa"/>
            <w:vMerge/>
            <w:vAlign w:val="center"/>
            <w:hideMark/>
          </w:tcPr>
          <w:p w14:paraId="4665BEF9" w14:textId="77777777" w:rsidR="00434850" w:rsidRPr="000C792B" w:rsidRDefault="00434850" w:rsidP="00434850">
            <w:pPr>
              <w:pStyle w:val="TAC"/>
              <w:rPr>
                <w:lang w:val="sv-SE"/>
              </w:rPr>
            </w:pPr>
          </w:p>
        </w:tc>
        <w:tc>
          <w:tcPr>
            <w:tcW w:w="992" w:type="dxa"/>
            <w:vMerge/>
            <w:vAlign w:val="center"/>
            <w:hideMark/>
          </w:tcPr>
          <w:p w14:paraId="485C225C" w14:textId="77777777" w:rsidR="00434850" w:rsidRPr="000C792B" w:rsidRDefault="00434850" w:rsidP="00434850">
            <w:pPr>
              <w:pStyle w:val="TAC"/>
              <w:rPr>
                <w:lang w:val="sv-SE" w:eastAsia="zh-CN"/>
              </w:rPr>
            </w:pPr>
          </w:p>
        </w:tc>
        <w:tc>
          <w:tcPr>
            <w:tcW w:w="1134" w:type="dxa"/>
            <w:vMerge/>
            <w:vAlign w:val="center"/>
            <w:hideMark/>
          </w:tcPr>
          <w:p w14:paraId="119EFD57" w14:textId="77777777" w:rsidR="00434850" w:rsidRPr="000C792B" w:rsidRDefault="00434850" w:rsidP="00434850">
            <w:pPr>
              <w:pStyle w:val="TAC"/>
            </w:pPr>
          </w:p>
        </w:tc>
        <w:tc>
          <w:tcPr>
            <w:tcW w:w="1367" w:type="dxa"/>
            <w:vMerge/>
            <w:vAlign w:val="center"/>
            <w:hideMark/>
          </w:tcPr>
          <w:p w14:paraId="1B69A4E3"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3EE7475F" w14:textId="460CD7FD" w:rsidR="00434850" w:rsidRPr="000C792B" w:rsidRDefault="00434850" w:rsidP="00434850">
            <w:pPr>
              <w:pStyle w:val="TAC"/>
            </w:pPr>
            <w:r>
              <w:rPr>
                <w:lang w:eastAsia="zh-CN"/>
              </w:rPr>
              <w:t>NR</w:t>
            </w:r>
            <w:r>
              <w:t>_</w:t>
            </w:r>
            <w:r>
              <w:rPr>
                <w:lang w:eastAsia="zh-CN"/>
              </w:rPr>
              <w:t>FDD_FR1_G</w:t>
            </w:r>
            <w:r>
              <w:rPr>
                <w:rFonts w:hint="eastAsia"/>
                <w:lang w:eastAsia="zh-CN"/>
              </w:rPr>
              <w:t xml:space="preserve">, </w:t>
            </w:r>
            <w:r>
              <w:rPr>
                <w:lang w:eastAsia="zh-CN"/>
              </w:rPr>
              <w:t>NR</w:t>
            </w:r>
            <w:r>
              <w:t>_</w:t>
            </w:r>
            <w:r>
              <w:rPr>
                <w:rFonts w:hint="eastAsia"/>
                <w:lang w:eastAsia="zh-CN"/>
              </w:rPr>
              <w:t>T</w:t>
            </w:r>
            <w:r>
              <w:rPr>
                <w:lang w:eastAsia="zh-CN"/>
              </w:rPr>
              <w:t>DD_FR1_G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9A9D61C" w14:textId="0B94BEFD" w:rsidR="00434850" w:rsidRPr="000C792B" w:rsidRDefault="00434850" w:rsidP="00434850">
            <w:pPr>
              <w:pStyle w:val="TAC"/>
            </w:pPr>
            <w:r>
              <w:t>-124</w:t>
            </w:r>
          </w:p>
        </w:tc>
        <w:tc>
          <w:tcPr>
            <w:tcW w:w="1275" w:type="dxa"/>
            <w:hideMark/>
          </w:tcPr>
          <w:p w14:paraId="1387DEC5" w14:textId="77777777" w:rsidR="00434850" w:rsidRPr="000C792B" w:rsidRDefault="00434850" w:rsidP="00434850">
            <w:pPr>
              <w:pStyle w:val="TAC"/>
            </w:pPr>
            <w:r w:rsidRPr="000C792B">
              <w:rPr>
                <w:lang w:eastAsia="zh-CN"/>
              </w:rPr>
              <w:t>-50</w:t>
            </w:r>
          </w:p>
        </w:tc>
      </w:tr>
      <w:tr w:rsidR="00434850" w:rsidRPr="000C792B" w14:paraId="33B3B7A9" w14:textId="77777777" w:rsidTr="00521371">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503F3F2" w14:textId="77777777" w:rsidR="00434850" w:rsidRPr="000C792B" w:rsidRDefault="00434850" w:rsidP="00434850">
            <w:pPr>
              <w:pStyle w:val="TAC"/>
              <w:rPr>
                <w:lang w:eastAsia="zh-CN"/>
              </w:rPr>
            </w:pPr>
          </w:p>
        </w:tc>
        <w:tc>
          <w:tcPr>
            <w:tcW w:w="1163" w:type="dxa"/>
            <w:vMerge/>
            <w:vAlign w:val="center"/>
            <w:hideMark/>
          </w:tcPr>
          <w:p w14:paraId="03B24DD4" w14:textId="77777777" w:rsidR="00434850" w:rsidRPr="000C792B" w:rsidRDefault="00434850" w:rsidP="00434850">
            <w:pPr>
              <w:pStyle w:val="TAC"/>
              <w:rPr>
                <w:lang w:val="sv-SE"/>
              </w:rPr>
            </w:pPr>
          </w:p>
        </w:tc>
        <w:tc>
          <w:tcPr>
            <w:tcW w:w="992" w:type="dxa"/>
            <w:vMerge/>
            <w:vAlign w:val="center"/>
            <w:hideMark/>
          </w:tcPr>
          <w:p w14:paraId="6A60795B" w14:textId="77777777" w:rsidR="00434850" w:rsidRPr="000C792B" w:rsidRDefault="00434850" w:rsidP="00434850">
            <w:pPr>
              <w:pStyle w:val="TAC"/>
              <w:rPr>
                <w:lang w:val="sv-SE" w:eastAsia="zh-CN"/>
              </w:rPr>
            </w:pPr>
          </w:p>
        </w:tc>
        <w:tc>
          <w:tcPr>
            <w:tcW w:w="1134" w:type="dxa"/>
            <w:vMerge/>
            <w:vAlign w:val="center"/>
            <w:hideMark/>
          </w:tcPr>
          <w:p w14:paraId="121C92DF" w14:textId="77777777" w:rsidR="00434850" w:rsidRPr="000C792B" w:rsidRDefault="00434850" w:rsidP="00434850">
            <w:pPr>
              <w:pStyle w:val="TAC"/>
            </w:pPr>
          </w:p>
        </w:tc>
        <w:tc>
          <w:tcPr>
            <w:tcW w:w="1367" w:type="dxa"/>
            <w:vMerge/>
            <w:vAlign w:val="center"/>
            <w:hideMark/>
          </w:tcPr>
          <w:p w14:paraId="6D3B1D52"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FE0C85B" w14:textId="688786FD" w:rsidR="00434850" w:rsidRPr="000C792B" w:rsidRDefault="00434850" w:rsidP="00434850">
            <w:pPr>
              <w:pStyle w:val="TAC"/>
            </w:pPr>
            <w:r>
              <w:rPr>
                <w:lang w:eastAsia="zh-CN"/>
              </w:rPr>
              <w:t>NR</w:t>
            </w:r>
            <w:r>
              <w:t>_</w:t>
            </w:r>
            <w:r>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72FE63" w14:textId="646FB8AA" w:rsidR="00434850" w:rsidRPr="000C792B" w:rsidRDefault="00434850" w:rsidP="00434850">
            <w:pPr>
              <w:pStyle w:val="TAC"/>
            </w:pPr>
            <w:r>
              <w:t>-123.5</w:t>
            </w:r>
          </w:p>
        </w:tc>
        <w:tc>
          <w:tcPr>
            <w:tcW w:w="1275" w:type="dxa"/>
            <w:hideMark/>
          </w:tcPr>
          <w:p w14:paraId="7F95DFB2" w14:textId="77777777" w:rsidR="00434850" w:rsidRPr="000C792B" w:rsidRDefault="00434850" w:rsidP="00434850">
            <w:pPr>
              <w:pStyle w:val="TAC"/>
            </w:pPr>
            <w:r w:rsidRPr="000C792B">
              <w:rPr>
                <w:lang w:eastAsia="zh-CN"/>
              </w:rPr>
              <w:t>-50</w:t>
            </w:r>
          </w:p>
        </w:tc>
      </w:tr>
      <w:tr w:rsidR="005F67F3" w:rsidRPr="000C792B" w14:paraId="725F3E38"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hideMark/>
          </w:tcPr>
          <w:p w14:paraId="10999BF3" w14:textId="4062AD37" w:rsidR="005F67F3" w:rsidRPr="000C792B" w:rsidRDefault="005F67F3" w:rsidP="005F67F3">
            <w:pPr>
              <w:pStyle w:val="TAC"/>
            </w:pPr>
            <w:r w:rsidRPr="000C792B">
              <w:rPr>
                <w:lang w:eastAsia="zh-CN"/>
              </w:rPr>
              <w:t>140</w:t>
            </w:r>
          </w:p>
        </w:tc>
        <w:tc>
          <w:tcPr>
            <w:tcW w:w="1163" w:type="dxa"/>
            <w:vMerge/>
            <w:vAlign w:val="center"/>
            <w:hideMark/>
          </w:tcPr>
          <w:p w14:paraId="70006CAD" w14:textId="77777777" w:rsidR="005F67F3" w:rsidRPr="000C792B" w:rsidRDefault="005F67F3" w:rsidP="005F67F3">
            <w:pPr>
              <w:pStyle w:val="TAC"/>
              <w:rPr>
                <w:lang w:val="sv-SE"/>
              </w:rPr>
            </w:pPr>
          </w:p>
        </w:tc>
        <w:tc>
          <w:tcPr>
            <w:tcW w:w="992" w:type="dxa"/>
            <w:vMerge/>
            <w:vAlign w:val="center"/>
            <w:hideMark/>
          </w:tcPr>
          <w:p w14:paraId="5B5619EA" w14:textId="77777777" w:rsidR="005F67F3" w:rsidRPr="000C792B" w:rsidRDefault="005F67F3" w:rsidP="005F67F3">
            <w:pPr>
              <w:pStyle w:val="TAC"/>
              <w:rPr>
                <w:lang w:val="sv-SE" w:eastAsia="zh-CN"/>
              </w:rPr>
            </w:pPr>
          </w:p>
        </w:tc>
        <w:tc>
          <w:tcPr>
            <w:tcW w:w="1134" w:type="dxa"/>
            <w:vAlign w:val="center"/>
            <w:hideMark/>
          </w:tcPr>
          <w:p w14:paraId="112D0399" w14:textId="5A9A5D94" w:rsidR="005F67F3" w:rsidRPr="000C792B" w:rsidRDefault="005F67F3" w:rsidP="005F67F3">
            <w:pPr>
              <w:pStyle w:val="TAC"/>
            </w:pPr>
            <w:r w:rsidRPr="000C792B">
              <w:t>≥ 52</w:t>
            </w:r>
          </w:p>
        </w:tc>
        <w:tc>
          <w:tcPr>
            <w:tcW w:w="1367" w:type="dxa"/>
            <w:vAlign w:val="center"/>
            <w:hideMark/>
          </w:tcPr>
          <w:p w14:paraId="06EFB30B" w14:textId="27CC1016" w:rsidR="005F67F3" w:rsidRPr="000C792B" w:rsidRDefault="005F67F3" w:rsidP="005F67F3">
            <w:pPr>
              <w:pStyle w:val="TAC"/>
            </w:pPr>
            <w:r w:rsidRPr="000C792B">
              <w:t>≥ 1</w:t>
            </w:r>
          </w:p>
        </w:tc>
        <w:tc>
          <w:tcPr>
            <w:tcW w:w="2040" w:type="dxa"/>
            <w:vAlign w:val="center"/>
            <w:hideMark/>
          </w:tcPr>
          <w:p w14:paraId="34B451C9" w14:textId="77777777" w:rsidR="005F67F3" w:rsidRPr="000C792B" w:rsidRDefault="005F67F3" w:rsidP="005F67F3">
            <w:pPr>
              <w:pStyle w:val="TAC"/>
            </w:pPr>
            <w:r w:rsidRPr="000C792B">
              <w:t>Note 6</w:t>
            </w:r>
          </w:p>
        </w:tc>
        <w:tc>
          <w:tcPr>
            <w:tcW w:w="1134" w:type="dxa"/>
            <w:vAlign w:val="center"/>
            <w:hideMark/>
          </w:tcPr>
          <w:p w14:paraId="04B26CFB" w14:textId="77777777" w:rsidR="005F67F3" w:rsidRPr="000C792B" w:rsidRDefault="005F67F3" w:rsidP="005F67F3">
            <w:pPr>
              <w:pStyle w:val="TAC"/>
            </w:pPr>
            <w:r w:rsidRPr="000C792B">
              <w:t>Note 6</w:t>
            </w:r>
          </w:p>
        </w:tc>
        <w:tc>
          <w:tcPr>
            <w:tcW w:w="1275" w:type="dxa"/>
            <w:vAlign w:val="center"/>
            <w:hideMark/>
          </w:tcPr>
          <w:p w14:paraId="4C0B8E4F" w14:textId="77777777" w:rsidR="005F67F3" w:rsidRPr="000C792B" w:rsidRDefault="005F67F3" w:rsidP="005F67F3">
            <w:pPr>
              <w:pStyle w:val="TAC"/>
            </w:pPr>
            <w:r w:rsidRPr="000C792B">
              <w:t>Note 6</w:t>
            </w:r>
          </w:p>
        </w:tc>
      </w:tr>
      <w:tr w:rsidR="005F67F3" w:rsidRPr="000C792B" w14:paraId="11824007"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hideMark/>
          </w:tcPr>
          <w:p w14:paraId="4AE2DC29" w14:textId="0CCEA156" w:rsidR="005F67F3" w:rsidRPr="000C792B" w:rsidRDefault="005F67F3" w:rsidP="005F67F3">
            <w:pPr>
              <w:pStyle w:val="TAC"/>
              <w:rPr>
                <w:lang w:eastAsia="zh-CN"/>
              </w:rPr>
            </w:pPr>
            <w:r w:rsidRPr="000C792B">
              <w:rPr>
                <w:lang w:eastAsia="zh-CN"/>
              </w:rPr>
              <w:t>86</w:t>
            </w:r>
          </w:p>
        </w:tc>
        <w:tc>
          <w:tcPr>
            <w:tcW w:w="1163" w:type="dxa"/>
            <w:vMerge/>
            <w:vAlign w:val="center"/>
            <w:hideMark/>
          </w:tcPr>
          <w:p w14:paraId="7C24E76F" w14:textId="77777777" w:rsidR="005F67F3" w:rsidRPr="000C792B" w:rsidRDefault="005F67F3" w:rsidP="005F67F3">
            <w:pPr>
              <w:pStyle w:val="TAC"/>
              <w:rPr>
                <w:lang w:val="sv-SE"/>
              </w:rPr>
            </w:pPr>
          </w:p>
        </w:tc>
        <w:tc>
          <w:tcPr>
            <w:tcW w:w="992" w:type="dxa"/>
            <w:vMerge/>
            <w:vAlign w:val="center"/>
            <w:hideMark/>
          </w:tcPr>
          <w:p w14:paraId="2ECF85A9" w14:textId="77777777" w:rsidR="005F67F3" w:rsidRPr="000C792B" w:rsidRDefault="005F67F3" w:rsidP="005F67F3">
            <w:pPr>
              <w:pStyle w:val="TAC"/>
              <w:rPr>
                <w:lang w:val="sv-SE" w:eastAsia="zh-CN"/>
              </w:rPr>
            </w:pPr>
          </w:p>
        </w:tc>
        <w:tc>
          <w:tcPr>
            <w:tcW w:w="1134" w:type="dxa"/>
            <w:vAlign w:val="center"/>
            <w:hideMark/>
          </w:tcPr>
          <w:p w14:paraId="6A477371" w14:textId="5A6B33F8" w:rsidR="005F67F3" w:rsidRPr="000C792B" w:rsidRDefault="005F67F3" w:rsidP="005F67F3">
            <w:pPr>
              <w:pStyle w:val="TAC"/>
            </w:pPr>
            <w:r w:rsidRPr="000C792B">
              <w:t>≥ 104</w:t>
            </w:r>
          </w:p>
        </w:tc>
        <w:tc>
          <w:tcPr>
            <w:tcW w:w="1367" w:type="dxa"/>
            <w:vAlign w:val="center"/>
            <w:hideMark/>
          </w:tcPr>
          <w:p w14:paraId="5224A817" w14:textId="1A071455" w:rsidR="005F67F3" w:rsidRPr="000C792B" w:rsidRDefault="005F67F3" w:rsidP="005F67F3">
            <w:pPr>
              <w:pStyle w:val="TAC"/>
            </w:pPr>
            <w:r w:rsidRPr="000C792B">
              <w:t>≥ 1</w:t>
            </w:r>
          </w:p>
        </w:tc>
        <w:tc>
          <w:tcPr>
            <w:tcW w:w="2040" w:type="dxa"/>
            <w:vAlign w:val="center"/>
            <w:hideMark/>
          </w:tcPr>
          <w:p w14:paraId="635165BA" w14:textId="77777777" w:rsidR="005F67F3" w:rsidRPr="000C792B" w:rsidRDefault="005F67F3" w:rsidP="005F67F3">
            <w:pPr>
              <w:pStyle w:val="TAC"/>
            </w:pPr>
            <w:r w:rsidRPr="000C792B">
              <w:t>Note 6</w:t>
            </w:r>
          </w:p>
        </w:tc>
        <w:tc>
          <w:tcPr>
            <w:tcW w:w="1134" w:type="dxa"/>
            <w:vAlign w:val="center"/>
            <w:hideMark/>
          </w:tcPr>
          <w:p w14:paraId="44B87593" w14:textId="77777777" w:rsidR="005F67F3" w:rsidRPr="000C792B" w:rsidRDefault="005F67F3" w:rsidP="005F67F3">
            <w:pPr>
              <w:pStyle w:val="TAC"/>
            </w:pPr>
            <w:r w:rsidRPr="000C792B">
              <w:t>Note 6</w:t>
            </w:r>
          </w:p>
        </w:tc>
        <w:tc>
          <w:tcPr>
            <w:tcW w:w="1275" w:type="dxa"/>
            <w:vAlign w:val="center"/>
            <w:hideMark/>
          </w:tcPr>
          <w:p w14:paraId="73835C8B" w14:textId="77777777" w:rsidR="005F67F3" w:rsidRPr="000C792B" w:rsidRDefault="005F67F3" w:rsidP="005F67F3">
            <w:pPr>
              <w:pStyle w:val="TAC"/>
            </w:pPr>
            <w:r w:rsidRPr="000C792B">
              <w:t>Note 6</w:t>
            </w:r>
          </w:p>
        </w:tc>
      </w:tr>
      <w:tr w:rsidR="00434850" w:rsidRPr="000C792B" w14:paraId="74AB3526" w14:textId="77777777" w:rsidTr="00597B80">
        <w:trPr>
          <w:jc w:val="center"/>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4CDF0603" w14:textId="7A752424" w:rsidR="00434850" w:rsidRPr="000C792B" w:rsidRDefault="00434850" w:rsidP="00434850">
            <w:pPr>
              <w:pStyle w:val="TAC"/>
              <w:rPr>
                <w:lang w:eastAsia="zh-CN"/>
              </w:rPr>
            </w:pPr>
            <w:r w:rsidRPr="002B4D79">
              <w:rPr>
                <w:lang w:eastAsia="zh-CN"/>
              </w:rPr>
              <w:t>118</w:t>
            </w:r>
          </w:p>
        </w:tc>
        <w:tc>
          <w:tcPr>
            <w:tcW w:w="1163" w:type="dxa"/>
            <w:vMerge/>
            <w:vAlign w:val="center"/>
            <w:hideMark/>
          </w:tcPr>
          <w:p w14:paraId="22F68725" w14:textId="77777777" w:rsidR="00434850" w:rsidRPr="000C792B" w:rsidRDefault="00434850" w:rsidP="00434850">
            <w:pPr>
              <w:pStyle w:val="TAC"/>
              <w:rPr>
                <w:lang w:val="sv-SE"/>
              </w:rPr>
            </w:pPr>
          </w:p>
        </w:tc>
        <w:tc>
          <w:tcPr>
            <w:tcW w:w="992" w:type="dxa"/>
            <w:vMerge w:val="restart"/>
            <w:vAlign w:val="center"/>
            <w:hideMark/>
          </w:tcPr>
          <w:p w14:paraId="66AB590D" w14:textId="77777777" w:rsidR="00434850" w:rsidRPr="000C792B" w:rsidRDefault="00434850" w:rsidP="00434850">
            <w:pPr>
              <w:pStyle w:val="TAC"/>
              <w:rPr>
                <w:lang w:val="sv-SE" w:eastAsia="zh-CN"/>
              </w:rPr>
            </w:pPr>
            <w:r w:rsidRPr="000C792B">
              <w:rPr>
                <w:lang w:val="sv-SE" w:eastAsia="zh-CN"/>
              </w:rPr>
              <w:t>30</w:t>
            </w:r>
          </w:p>
        </w:tc>
        <w:tc>
          <w:tcPr>
            <w:tcW w:w="1134" w:type="dxa"/>
            <w:vMerge w:val="restart"/>
            <w:vAlign w:val="center"/>
            <w:hideMark/>
          </w:tcPr>
          <w:p w14:paraId="568433EB" w14:textId="0EBC9CE5" w:rsidR="00434850" w:rsidRPr="000C792B" w:rsidRDefault="00434850" w:rsidP="00434850">
            <w:pPr>
              <w:pStyle w:val="TAC"/>
            </w:pPr>
            <w:r w:rsidRPr="000C792B">
              <w:t>≥ 24</w:t>
            </w:r>
          </w:p>
        </w:tc>
        <w:tc>
          <w:tcPr>
            <w:tcW w:w="1367" w:type="dxa"/>
            <w:vMerge w:val="restart"/>
            <w:vAlign w:val="center"/>
            <w:hideMark/>
          </w:tcPr>
          <w:p w14:paraId="28C8A34D" w14:textId="2DE40177" w:rsidR="00434850" w:rsidRPr="000C792B" w:rsidRDefault="00434850" w:rsidP="00434850">
            <w:pPr>
              <w:pStyle w:val="TAC"/>
            </w:pPr>
            <w:r w:rsidRPr="000C792B">
              <w:t>≥ 4</w:t>
            </w:r>
          </w:p>
        </w:tc>
        <w:tc>
          <w:tcPr>
            <w:tcW w:w="2040" w:type="dxa"/>
            <w:tcBorders>
              <w:top w:val="single" w:sz="4" w:space="0" w:color="auto"/>
              <w:left w:val="single" w:sz="4" w:space="0" w:color="auto"/>
              <w:bottom w:val="single" w:sz="4" w:space="0" w:color="auto"/>
              <w:right w:val="single" w:sz="4" w:space="0" w:color="auto"/>
            </w:tcBorders>
            <w:vAlign w:val="center"/>
            <w:hideMark/>
          </w:tcPr>
          <w:p w14:paraId="20E060A2" w14:textId="77777777" w:rsidR="00434850" w:rsidRDefault="00434850" w:rsidP="00434850">
            <w:pPr>
              <w:pStyle w:val="TAC"/>
              <w:rPr>
                <w:szCs w:val="18"/>
              </w:rPr>
            </w:pPr>
            <w:r>
              <w:rPr>
                <w:szCs w:val="18"/>
              </w:rPr>
              <w:t>NR_FDD_FR1_A, NR_TDD_FR1_A,</w:t>
            </w:r>
          </w:p>
          <w:p w14:paraId="52B32517" w14:textId="5AE7E21E" w:rsidR="00434850" w:rsidRPr="000C792B" w:rsidRDefault="00434850" w:rsidP="00434850">
            <w:pPr>
              <w:pStyle w:val="TAC"/>
            </w:pPr>
            <w:r>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A2C2AA" w14:textId="2D0C39E9" w:rsidR="00434850" w:rsidRPr="000C792B" w:rsidRDefault="00434850" w:rsidP="00434850">
            <w:pPr>
              <w:pStyle w:val="TAC"/>
            </w:pPr>
            <w:r>
              <w:t>-124</w:t>
            </w:r>
          </w:p>
        </w:tc>
        <w:tc>
          <w:tcPr>
            <w:tcW w:w="1275" w:type="dxa"/>
            <w:vAlign w:val="center"/>
            <w:hideMark/>
          </w:tcPr>
          <w:p w14:paraId="2812CF66" w14:textId="77777777" w:rsidR="00434850" w:rsidRPr="000C792B" w:rsidRDefault="00434850" w:rsidP="00434850">
            <w:pPr>
              <w:pStyle w:val="TAC"/>
            </w:pPr>
            <w:r w:rsidRPr="000C792B">
              <w:rPr>
                <w:lang w:eastAsia="zh-CN"/>
              </w:rPr>
              <w:t>-50</w:t>
            </w:r>
          </w:p>
        </w:tc>
      </w:tr>
      <w:tr w:rsidR="00434850" w:rsidRPr="000C792B" w14:paraId="0F39DEAA" w14:textId="77777777" w:rsidTr="00597B80">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6722DC60" w14:textId="77777777" w:rsidR="00434850" w:rsidRPr="000C792B" w:rsidRDefault="00434850" w:rsidP="00434850">
            <w:pPr>
              <w:pStyle w:val="TAC"/>
              <w:rPr>
                <w:lang w:eastAsia="zh-CN"/>
              </w:rPr>
            </w:pPr>
          </w:p>
        </w:tc>
        <w:tc>
          <w:tcPr>
            <w:tcW w:w="1163" w:type="dxa"/>
            <w:vMerge/>
            <w:vAlign w:val="center"/>
            <w:hideMark/>
          </w:tcPr>
          <w:p w14:paraId="3F6D4C88" w14:textId="77777777" w:rsidR="00434850" w:rsidRPr="000C792B" w:rsidRDefault="00434850" w:rsidP="00434850">
            <w:pPr>
              <w:pStyle w:val="TAC"/>
              <w:rPr>
                <w:lang w:val="sv-SE"/>
              </w:rPr>
            </w:pPr>
          </w:p>
        </w:tc>
        <w:tc>
          <w:tcPr>
            <w:tcW w:w="992" w:type="dxa"/>
            <w:vMerge/>
            <w:vAlign w:val="center"/>
            <w:hideMark/>
          </w:tcPr>
          <w:p w14:paraId="5F1DC855" w14:textId="77777777" w:rsidR="00434850" w:rsidRPr="000C792B" w:rsidRDefault="00434850" w:rsidP="00434850">
            <w:pPr>
              <w:pStyle w:val="TAC"/>
              <w:rPr>
                <w:lang w:val="sv-SE" w:eastAsia="zh-CN"/>
              </w:rPr>
            </w:pPr>
          </w:p>
        </w:tc>
        <w:tc>
          <w:tcPr>
            <w:tcW w:w="1134" w:type="dxa"/>
            <w:vMerge/>
            <w:vAlign w:val="center"/>
            <w:hideMark/>
          </w:tcPr>
          <w:p w14:paraId="149B574C" w14:textId="77777777" w:rsidR="00434850" w:rsidRPr="000C792B" w:rsidRDefault="00434850" w:rsidP="00434850">
            <w:pPr>
              <w:pStyle w:val="TAC"/>
            </w:pPr>
          </w:p>
        </w:tc>
        <w:tc>
          <w:tcPr>
            <w:tcW w:w="1367" w:type="dxa"/>
            <w:vMerge/>
            <w:vAlign w:val="center"/>
            <w:hideMark/>
          </w:tcPr>
          <w:p w14:paraId="2670C019"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E864F7B" w14:textId="37560175" w:rsidR="00434850" w:rsidRPr="000C792B" w:rsidRDefault="00434850" w:rsidP="00434850">
            <w:pPr>
              <w:pStyle w:val="TAC"/>
            </w:pPr>
            <w:r>
              <w:t>NR_FDD_FR1_B</w:t>
            </w:r>
          </w:p>
        </w:tc>
        <w:tc>
          <w:tcPr>
            <w:tcW w:w="1134" w:type="dxa"/>
            <w:tcBorders>
              <w:top w:val="single" w:sz="4" w:space="0" w:color="auto"/>
              <w:left w:val="single" w:sz="4" w:space="0" w:color="auto"/>
              <w:bottom w:val="single" w:sz="4" w:space="0" w:color="auto"/>
              <w:right w:val="single" w:sz="4" w:space="0" w:color="auto"/>
            </w:tcBorders>
            <w:hideMark/>
          </w:tcPr>
          <w:p w14:paraId="11A3F7B4" w14:textId="4916658D" w:rsidR="00434850" w:rsidRPr="000C792B" w:rsidRDefault="00434850" w:rsidP="00434850">
            <w:pPr>
              <w:pStyle w:val="TAC"/>
            </w:pPr>
            <w:r>
              <w:t>-123.5</w:t>
            </w:r>
          </w:p>
        </w:tc>
        <w:tc>
          <w:tcPr>
            <w:tcW w:w="1275" w:type="dxa"/>
            <w:hideMark/>
          </w:tcPr>
          <w:p w14:paraId="5A627BF2" w14:textId="77777777" w:rsidR="00434850" w:rsidRPr="000C792B" w:rsidRDefault="00434850" w:rsidP="00434850">
            <w:pPr>
              <w:pStyle w:val="TAC"/>
            </w:pPr>
            <w:r w:rsidRPr="000C792B">
              <w:rPr>
                <w:lang w:eastAsia="zh-CN"/>
              </w:rPr>
              <w:t>-50</w:t>
            </w:r>
          </w:p>
        </w:tc>
      </w:tr>
      <w:tr w:rsidR="00434850" w:rsidRPr="000C792B" w14:paraId="078F0F73" w14:textId="77777777" w:rsidTr="00597B80">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3A1FDAE0" w14:textId="77777777" w:rsidR="00434850" w:rsidRPr="000C792B" w:rsidRDefault="00434850" w:rsidP="00434850">
            <w:pPr>
              <w:pStyle w:val="TAC"/>
              <w:rPr>
                <w:lang w:eastAsia="zh-CN"/>
              </w:rPr>
            </w:pPr>
          </w:p>
        </w:tc>
        <w:tc>
          <w:tcPr>
            <w:tcW w:w="1163" w:type="dxa"/>
            <w:vMerge/>
            <w:vAlign w:val="center"/>
            <w:hideMark/>
          </w:tcPr>
          <w:p w14:paraId="731CA946" w14:textId="77777777" w:rsidR="00434850" w:rsidRPr="000C792B" w:rsidRDefault="00434850" w:rsidP="00434850">
            <w:pPr>
              <w:pStyle w:val="TAC"/>
              <w:rPr>
                <w:lang w:val="sv-SE"/>
              </w:rPr>
            </w:pPr>
          </w:p>
        </w:tc>
        <w:tc>
          <w:tcPr>
            <w:tcW w:w="992" w:type="dxa"/>
            <w:vMerge/>
            <w:vAlign w:val="center"/>
            <w:hideMark/>
          </w:tcPr>
          <w:p w14:paraId="2D96E3D5" w14:textId="77777777" w:rsidR="00434850" w:rsidRPr="000C792B" w:rsidRDefault="00434850" w:rsidP="00434850">
            <w:pPr>
              <w:pStyle w:val="TAC"/>
              <w:rPr>
                <w:lang w:val="sv-SE" w:eastAsia="zh-CN"/>
              </w:rPr>
            </w:pPr>
          </w:p>
        </w:tc>
        <w:tc>
          <w:tcPr>
            <w:tcW w:w="1134" w:type="dxa"/>
            <w:vMerge/>
            <w:vAlign w:val="center"/>
            <w:hideMark/>
          </w:tcPr>
          <w:p w14:paraId="10AF3088" w14:textId="77777777" w:rsidR="00434850" w:rsidRPr="000C792B" w:rsidRDefault="00434850" w:rsidP="00434850">
            <w:pPr>
              <w:pStyle w:val="TAC"/>
            </w:pPr>
          </w:p>
        </w:tc>
        <w:tc>
          <w:tcPr>
            <w:tcW w:w="1367" w:type="dxa"/>
            <w:vMerge/>
            <w:vAlign w:val="center"/>
            <w:hideMark/>
          </w:tcPr>
          <w:p w14:paraId="2BE59631"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21BFA5E7" w14:textId="264CD7A7" w:rsidR="00434850" w:rsidRPr="000C792B" w:rsidRDefault="00434850" w:rsidP="00434850">
            <w:pPr>
              <w:pStyle w:val="TAC"/>
            </w:pPr>
            <w:r>
              <w:t>NR_TDD_FR1_C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04C4910" w14:textId="7B42BE1E" w:rsidR="00434850" w:rsidRPr="000C792B" w:rsidRDefault="00434850" w:rsidP="00434850">
            <w:pPr>
              <w:pStyle w:val="TAC"/>
            </w:pPr>
            <w:r>
              <w:t>-123</w:t>
            </w:r>
          </w:p>
        </w:tc>
        <w:tc>
          <w:tcPr>
            <w:tcW w:w="1275" w:type="dxa"/>
            <w:hideMark/>
          </w:tcPr>
          <w:p w14:paraId="199BC2DB" w14:textId="77777777" w:rsidR="00434850" w:rsidRPr="000C792B" w:rsidRDefault="00434850" w:rsidP="00434850">
            <w:pPr>
              <w:pStyle w:val="TAC"/>
            </w:pPr>
            <w:r w:rsidRPr="000C792B">
              <w:rPr>
                <w:lang w:eastAsia="zh-CN"/>
              </w:rPr>
              <w:t>-50</w:t>
            </w:r>
          </w:p>
        </w:tc>
      </w:tr>
      <w:tr w:rsidR="00434850" w:rsidRPr="000C792B" w14:paraId="30892030" w14:textId="77777777" w:rsidTr="00597B80">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1650519F" w14:textId="77777777" w:rsidR="00434850" w:rsidRPr="000C792B" w:rsidRDefault="00434850" w:rsidP="00434850">
            <w:pPr>
              <w:pStyle w:val="TAC"/>
              <w:rPr>
                <w:lang w:eastAsia="zh-CN"/>
              </w:rPr>
            </w:pPr>
          </w:p>
        </w:tc>
        <w:tc>
          <w:tcPr>
            <w:tcW w:w="1163" w:type="dxa"/>
            <w:vMerge/>
            <w:vAlign w:val="center"/>
            <w:hideMark/>
          </w:tcPr>
          <w:p w14:paraId="225805FF" w14:textId="77777777" w:rsidR="00434850" w:rsidRPr="000C792B" w:rsidRDefault="00434850" w:rsidP="00434850">
            <w:pPr>
              <w:pStyle w:val="TAC"/>
              <w:rPr>
                <w:lang w:val="sv-SE"/>
              </w:rPr>
            </w:pPr>
          </w:p>
        </w:tc>
        <w:tc>
          <w:tcPr>
            <w:tcW w:w="992" w:type="dxa"/>
            <w:vMerge/>
            <w:vAlign w:val="center"/>
            <w:hideMark/>
          </w:tcPr>
          <w:p w14:paraId="25EADB2F" w14:textId="77777777" w:rsidR="00434850" w:rsidRPr="000C792B" w:rsidRDefault="00434850" w:rsidP="00434850">
            <w:pPr>
              <w:pStyle w:val="TAC"/>
              <w:rPr>
                <w:lang w:val="sv-SE" w:eastAsia="zh-CN"/>
              </w:rPr>
            </w:pPr>
          </w:p>
        </w:tc>
        <w:tc>
          <w:tcPr>
            <w:tcW w:w="1134" w:type="dxa"/>
            <w:vMerge/>
            <w:vAlign w:val="center"/>
            <w:hideMark/>
          </w:tcPr>
          <w:p w14:paraId="3DE761DB" w14:textId="77777777" w:rsidR="00434850" w:rsidRPr="000C792B" w:rsidRDefault="00434850" w:rsidP="00434850">
            <w:pPr>
              <w:pStyle w:val="TAC"/>
            </w:pPr>
          </w:p>
        </w:tc>
        <w:tc>
          <w:tcPr>
            <w:tcW w:w="1367" w:type="dxa"/>
            <w:vMerge/>
            <w:vAlign w:val="center"/>
            <w:hideMark/>
          </w:tcPr>
          <w:p w14:paraId="70A1E8D8"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E6EA1F4" w14:textId="4BF08A62" w:rsidR="00434850" w:rsidRPr="000C792B" w:rsidRDefault="00434850" w:rsidP="00434850">
            <w:pPr>
              <w:pStyle w:val="TAC"/>
              <w:rPr>
                <w:lang w:val="sv-SE"/>
              </w:rPr>
            </w:pPr>
            <w:r>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47CE4E" w14:textId="4A847451" w:rsidR="00434850" w:rsidRPr="000C792B" w:rsidRDefault="00434850" w:rsidP="00434850">
            <w:pPr>
              <w:pStyle w:val="TAC"/>
            </w:pPr>
            <w:r>
              <w:t>-122.5</w:t>
            </w:r>
          </w:p>
        </w:tc>
        <w:tc>
          <w:tcPr>
            <w:tcW w:w="1275" w:type="dxa"/>
            <w:hideMark/>
          </w:tcPr>
          <w:p w14:paraId="6EC256CE" w14:textId="77777777" w:rsidR="00434850" w:rsidRPr="000C792B" w:rsidRDefault="00434850" w:rsidP="00434850">
            <w:pPr>
              <w:pStyle w:val="TAC"/>
            </w:pPr>
            <w:r w:rsidRPr="000C792B">
              <w:rPr>
                <w:lang w:eastAsia="zh-CN"/>
              </w:rPr>
              <w:t>-50</w:t>
            </w:r>
          </w:p>
        </w:tc>
      </w:tr>
      <w:tr w:rsidR="00434850" w:rsidRPr="000C792B" w14:paraId="05A9E454" w14:textId="77777777" w:rsidTr="00597B80">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17A494F3" w14:textId="77777777" w:rsidR="00434850" w:rsidRPr="000C792B" w:rsidRDefault="00434850" w:rsidP="00434850">
            <w:pPr>
              <w:pStyle w:val="TAC"/>
              <w:rPr>
                <w:lang w:eastAsia="zh-CN"/>
              </w:rPr>
            </w:pPr>
          </w:p>
        </w:tc>
        <w:tc>
          <w:tcPr>
            <w:tcW w:w="1163" w:type="dxa"/>
            <w:vMerge/>
            <w:vAlign w:val="center"/>
            <w:hideMark/>
          </w:tcPr>
          <w:p w14:paraId="1FF2FB02" w14:textId="77777777" w:rsidR="00434850" w:rsidRPr="000C792B" w:rsidRDefault="00434850" w:rsidP="00434850">
            <w:pPr>
              <w:pStyle w:val="TAC"/>
              <w:rPr>
                <w:lang w:val="sv-SE"/>
              </w:rPr>
            </w:pPr>
          </w:p>
        </w:tc>
        <w:tc>
          <w:tcPr>
            <w:tcW w:w="992" w:type="dxa"/>
            <w:vMerge/>
            <w:vAlign w:val="center"/>
            <w:hideMark/>
          </w:tcPr>
          <w:p w14:paraId="47942F34" w14:textId="77777777" w:rsidR="00434850" w:rsidRPr="000C792B" w:rsidRDefault="00434850" w:rsidP="00434850">
            <w:pPr>
              <w:pStyle w:val="TAC"/>
              <w:rPr>
                <w:lang w:val="sv-SE" w:eastAsia="zh-CN"/>
              </w:rPr>
            </w:pPr>
          </w:p>
        </w:tc>
        <w:tc>
          <w:tcPr>
            <w:tcW w:w="1134" w:type="dxa"/>
            <w:vMerge/>
            <w:vAlign w:val="center"/>
            <w:hideMark/>
          </w:tcPr>
          <w:p w14:paraId="1AE3AF91" w14:textId="77777777" w:rsidR="00434850" w:rsidRPr="000C792B" w:rsidRDefault="00434850" w:rsidP="00434850">
            <w:pPr>
              <w:pStyle w:val="TAC"/>
            </w:pPr>
          </w:p>
        </w:tc>
        <w:tc>
          <w:tcPr>
            <w:tcW w:w="1367" w:type="dxa"/>
            <w:vMerge/>
            <w:vAlign w:val="center"/>
            <w:hideMark/>
          </w:tcPr>
          <w:p w14:paraId="2BD300B4"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58CEC79D" w14:textId="36555E2C" w:rsidR="00434850" w:rsidRPr="000C792B" w:rsidRDefault="00434850" w:rsidP="00434850">
            <w:pPr>
              <w:pStyle w:val="TAC"/>
              <w:rPr>
                <w:lang w:val="sv-SE"/>
              </w:rPr>
            </w:pPr>
            <w:r>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FCCC427" w14:textId="566F2529" w:rsidR="00434850" w:rsidRPr="000C792B" w:rsidRDefault="00434850" w:rsidP="00434850">
            <w:pPr>
              <w:pStyle w:val="TAC"/>
            </w:pPr>
            <w:r>
              <w:t>-122</w:t>
            </w:r>
          </w:p>
        </w:tc>
        <w:tc>
          <w:tcPr>
            <w:tcW w:w="1275" w:type="dxa"/>
            <w:hideMark/>
          </w:tcPr>
          <w:p w14:paraId="3D8DD825" w14:textId="77777777" w:rsidR="00434850" w:rsidRPr="000C792B" w:rsidRDefault="00434850" w:rsidP="00434850">
            <w:pPr>
              <w:pStyle w:val="TAC"/>
            </w:pPr>
            <w:r w:rsidRPr="000C792B">
              <w:rPr>
                <w:lang w:eastAsia="zh-CN"/>
              </w:rPr>
              <w:t>-50</w:t>
            </w:r>
          </w:p>
        </w:tc>
      </w:tr>
      <w:tr w:rsidR="00434850" w:rsidRPr="000C792B" w14:paraId="783F3598" w14:textId="77777777" w:rsidTr="00597B80">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61A918AB" w14:textId="77777777" w:rsidR="00434850" w:rsidRPr="000C792B" w:rsidRDefault="00434850" w:rsidP="00434850">
            <w:pPr>
              <w:pStyle w:val="TAC"/>
              <w:rPr>
                <w:lang w:eastAsia="zh-CN"/>
              </w:rPr>
            </w:pPr>
          </w:p>
        </w:tc>
        <w:tc>
          <w:tcPr>
            <w:tcW w:w="1163" w:type="dxa"/>
            <w:vMerge/>
            <w:vAlign w:val="center"/>
            <w:hideMark/>
          </w:tcPr>
          <w:p w14:paraId="2F245421" w14:textId="77777777" w:rsidR="00434850" w:rsidRPr="000C792B" w:rsidRDefault="00434850" w:rsidP="00434850">
            <w:pPr>
              <w:pStyle w:val="TAC"/>
              <w:rPr>
                <w:lang w:val="sv-SE"/>
              </w:rPr>
            </w:pPr>
          </w:p>
        </w:tc>
        <w:tc>
          <w:tcPr>
            <w:tcW w:w="992" w:type="dxa"/>
            <w:vMerge/>
            <w:vAlign w:val="center"/>
            <w:hideMark/>
          </w:tcPr>
          <w:p w14:paraId="1FBC4112" w14:textId="77777777" w:rsidR="00434850" w:rsidRPr="000C792B" w:rsidRDefault="00434850" w:rsidP="00434850">
            <w:pPr>
              <w:pStyle w:val="TAC"/>
              <w:rPr>
                <w:lang w:val="sv-SE" w:eastAsia="zh-CN"/>
              </w:rPr>
            </w:pPr>
          </w:p>
        </w:tc>
        <w:tc>
          <w:tcPr>
            <w:tcW w:w="1134" w:type="dxa"/>
            <w:vMerge/>
            <w:vAlign w:val="center"/>
            <w:hideMark/>
          </w:tcPr>
          <w:p w14:paraId="1419032B" w14:textId="77777777" w:rsidR="00434850" w:rsidRPr="000C792B" w:rsidRDefault="00434850" w:rsidP="00434850">
            <w:pPr>
              <w:pStyle w:val="TAC"/>
            </w:pPr>
          </w:p>
        </w:tc>
        <w:tc>
          <w:tcPr>
            <w:tcW w:w="1367" w:type="dxa"/>
            <w:vMerge/>
            <w:vAlign w:val="center"/>
            <w:hideMark/>
          </w:tcPr>
          <w:p w14:paraId="1E9B41DE"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53AB2CC" w14:textId="23B49F3E" w:rsidR="00434850" w:rsidRPr="000C792B" w:rsidRDefault="00434850" w:rsidP="00434850">
            <w:pPr>
              <w:pStyle w:val="TAC"/>
            </w:pPr>
            <w:r>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7EA0B15" w14:textId="00F178A7" w:rsidR="00434850" w:rsidRPr="000C792B" w:rsidRDefault="00434850" w:rsidP="00434850">
            <w:pPr>
              <w:pStyle w:val="TAC"/>
            </w:pPr>
            <w:r>
              <w:t>-121.5</w:t>
            </w:r>
          </w:p>
        </w:tc>
        <w:tc>
          <w:tcPr>
            <w:tcW w:w="1275" w:type="dxa"/>
            <w:hideMark/>
          </w:tcPr>
          <w:p w14:paraId="68B80FB3" w14:textId="77777777" w:rsidR="00434850" w:rsidRPr="000C792B" w:rsidRDefault="00434850" w:rsidP="00434850">
            <w:pPr>
              <w:pStyle w:val="TAC"/>
            </w:pPr>
            <w:r w:rsidRPr="000C792B">
              <w:rPr>
                <w:lang w:eastAsia="zh-CN"/>
              </w:rPr>
              <w:t>-50</w:t>
            </w:r>
          </w:p>
        </w:tc>
      </w:tr>
      <w:tr w:rsidR="00434850" w:rsidRPr="000C792B" w14:paraId="31E455F2" w14:textId="77777777" w:rsidTr="00597B80">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2BF7F3D1" w14:textId="77777777" w:rsidR="00434850" w:rsidRPr="000C792B" w:rsidRDefault="00434850" w:rsidP="00434850">
            <w:pPr>
              <w:pStyle w:val="TAC"/>
              <w:rPr>
                <w:lang w:eastAsia="zh-CN"/>
              </w:rPr>
            </w:pPr>
          </w:p>
        </w:tc>
        <w:tc>
          <w:tcPr>
            <w:tcW w:w="1163" w:type="dxa"/>
            <w:vMerge/>
            <w:vAlign w:val="center"/>
            <w:hideMark/>
          </w:tcPr>
          <w:p w14:paraId="62516C78" w14:textId="77777777" w:rsidR="00434850" w:rsidRPr="000C792B" w:rsidRDefault="00434850" w:rsidP="00434850">
            <w:pPr>
              <w:pStyle w:val="TAC"/>
              <w:rPr>
                <w:lang w:val="sv-SE"/>
              </w:rPr>
            </w:pPr>
          </w:p>
        </w:tc>
        <w:tc>
          <w:tcPr>
            <w:tcW w:w="992" w:type="dxa"/>
            <w:vMerge/>
            <w:vAlign w:val="center"/>
            <w:hideMark/>
          </w:tcPr>
          <w:p w14:paraId="68BB25BC" w14:textId="77777777" w:rsidR="00434850" w:rsidRPr="000C792B" w:rsidRDefault="00434850" w:rsidP="00434850">
            <w:pPr>
              <w:pStyle w:val="TAC"/>
              <w:rPr>
                <w:lang w:val="sv-SE" w:eastAsia="zh-CN"/>
              </w:rPr>
            </w:pPr>
          </w:p>
        </w:tc>
        <w:tc>
          <w:tcPr>
            <w:tcW w:w="1134" w:type="dxa"/>
            <w:vMerge/>
            <w:vAlign w:val="center"/>
            <w:hideMark/>
          </w:tcPr>
          <w:p w14:paraId="6EA39DF2" w14:textId="77777777" w:rsidR="00434850" w:rsidRPr="000C792B" w:rsidRDefault="00434850" w:rsidP="00434850">
            <w:pPr>
              <w:pStyle w:val="TAC"/>
            </w:pPr>
          </w:p>
        </w:tc>
        <w:tc>
          <w:tcPr>
            <w:tcW w:w="1367" w:type="dxa"/>
            <w:vMerge/>
            <w:vAlign w:val="center"/>
            <w:hideMark/>
          </w:tcPr>
          <w:p w14:paraId="15EF4866"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17B931B8" w14:textId="3BFFCB7F" w:rsidR="00434850" w:rsidRPr="000C792B" w:rsidRDefault="00434850" w:rsidP="00434850">
            <w:pPr>
              <w:pStyle w:val="TAC"/>
            </w:pPr>
            <w:r>
              <w:rPr>
                <w:lang w:eastAsia="zh-CN"/>
              </w:rPr>
              <w:t>NR</w:t>
            </w:r>
            <w:r>
              <w:t>_</w:t>
            </w:r>
            <w:r>
              <w:rPr>
                <w:lang w:eastAsia="zh-CN"/>
              </w:rPr>
              <w:t>FDD_FR1_G</w:t>
            </w:r>
            <w:r>
              <w:rPr>
                <w:rFonts w:hint="eastAsia"/>
                <w:lang w:eastAsia="zh-CN"/>
              </w:rPr>
              <w:t xml:space="preserve">, </w:t>
            </w:r>
            <w:r>
              <w:rPr>
                <w:lang w:eastAsia="zh-CN"/>
              </w:rPr>
              <w:t>NR</w:t>
            </w:r>
            <w:r>
              <w:t>_</w:t>
            </w:r>
            <w:r>
              <w:rPr>
                <w:rFonts w:hint="eastAsia"/>
                <w:lang w:eastAsia="zh-CN"/>
              </w:rPr>
              <w:t>T</w:t>
            </w:r>
            <w:r>
              <w:rPr>
                <w:lang w:eastAsia="zh-CN"/>
              </w:rPr>
              <w:t>DD_FR1_G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B53051" w14:textId="4AAE6194" w:rsidR="00434850" w:rsidRPr="000C792B" w:rsidRDefault="00434850" w:rsidP="00434850">
            <w:pPr>
              <w:pStyle w:val="TAC"/>
            </w:pPr>
            <w:r>
              <w:t>-121</w:t>
            </w:r>
          </w:p>
        </w:tc>
        <w:tc>
          <w:tcPr>
            <w:tcW w:w="1275" w:type="dxa"/>
            <w:hideMark/>
          </w:tcPr>
          <w:p w14:paraId="600B7069" w14:textId="77777777" w:rsidR="00434850" w:rsidRPr="000C792B" w:rsidRDefault="00434850" w:rsidP="00434850">
            <w:pPr>
              <w:pStyle w:val="TAC"/>
            </w:pPr>
            <w:r w:rsidRPr="000C792B">
              <w:rPr>
                <w:lang w:eastAsia="zh-CN"/>
              </w:rPr>
              <w:t>-50</w:t>
            </w:r>
          </w:p>
        </w:tc>
      </w:tr>
      <w:tr w:rsidR="00434850" w:rsidRPr="000C792B" w14:paraId="3B83EEC8" w14:textId="77777777" w:rsidTr="00597B80">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1FC1EAAD" w14:textId="77777777" w:rsidR="00434850" w:rsidRPr="000C792B" w:rsidRDefault="00434850" w:rsidP="00434850">
            <w:pPr>
              <w:pStyle w:val="TAC"/>
              <w:rPr>
                <w:lang w:eastAsia="zh-CN"/>
              </w:rPr>
            </w:pPr>
          </w:p>
        </w:tc>
        <w:tc>
          <w:tcPr>
            <w:tcW w:w="1163" w:type="dxa"/>
            <w:vMerge/>
            <w:vAlign w:val="center"/>
            <w:hideMark/>
          </w:tcPr>
          <w:p w14:paraId="6D54A671" w14:textId="77777777" w:rsidR="00434850" w:rsidRPr="000C792B" w:rsidRDefault="00434850" w:rsidP="00434850">
            <w:pPr>
              <w:pStyle w:val="TAC"/>
              <w:rPr>
                <w:lang w:val="sv-SE"/>
              </w:rPr>
            </w:pPr>
          </w:p>
        </w:tc>
        <w:tc>
          <w:tcPr>
            <w:tcW w:w="992" w:type="dxa"/>
            <w:vMerge/>
            <w:vAlign w:val="center"/>
            <w:hideMark/>
          </w:tcPr>
          <w:p w14:paraId="638234B6" w14:textId="77777777" w:rsidR="00434850" w:rsidRPr="000C792B" w:rsidRDefault="00434850" w:rsidP="00434850">
            <w:pPr>
              <w:pStyle w:val="TAC"/>
              <w:rPr>
                <w:lang w:val="sv-SE" w:eastAsia="zh-CN"/>
              </w:rPr>
            </w:pPr>
          </w:p>
        </w:tc>
        <w:tc>
          <w:tcPr>
            <w:tcW w:w="1134" w:type="dxa"/>
            <w:vMerge/>
            <w:vAlign w:val="center"/>
            <w:hideMark/>
          </w:tcPr>
          <w:p w14:paraId="152D071B" w14:textId="77777777" w:rsidR="00434850" w:rsidRPr="000C792B" w:rsidRDefault="00434850" w:rsidP="00434850">
            <w:pPr>
              <w:pStyle w:val="TAC"/>
            </w:pPr>
          </w:p>
        </w:tc>
        <w:tc>
          <w:tcPr>
            <w:tcW w:w="1367" w:type="dxa"/>
            <w:vMerge/>
            <w:vAlign w:val="center"/>
            <w:hideMark/>
          </w:tcPr>
          <w:p w14:paraId="7B765A3E"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670E8A6" w14:textId="198F37C1" w:rsidR="00434850" w:rsidRPr="000C792B" w:rsidRDefault="00434850" w:rsidP="00434850">
            <w:pPr>
              <w:pStyle w:val="TAC"/>
            </w:pPr>
            <w:r>
              <w:rPr>
                <w:lang w:eastAsia="zh-CN"/>
              </w:rPr>
              <w:t>NR</w:t>
            </w:r>
            <w:r>
              <w:t>_</w:t>
            </w:r>
            <w:r>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99DFFA" w14:textId="1EE24C7A" w:rsidR="00434850" w:rsidRPr="000C792B" w:rsidRDefault="00434850" w:rsidP="00434850">
            <w:pPr>
              <w:pStyle w:val="TAC"/>
            </w:pPr>
            <w:r>
              <w:t>-120.5</w:t>
            </w:r>
          </w:p>
        </w:tc>
        <w:tc>
          <w:tcPr>
            <w:tcW w:w="1275" w:type="dxa"/>
            <w:hideMark/>
          </w:tcPr>
          <w:p w14:paraId="0E325217" w14:textId="77777777" w:rsidR="00434850" w:rsidRPr="000C792B" w:rsidRDefault="00434850" w:rsidP="00434850">
            <w:pPr>
              <w:pStyle w:val="TAC"/>
            </w:pPr>
            <w:r w:rsidRPr="000C792B">
              <w:rPr>
                <w:lang w:eastAsia="zh-CN"/>
              </w:rPr>
              <w:t>-50</w:t>
            </w:r>
          </w:p>
        </w:tc>
      </w:tr>
      <w:tr w:rsidR="005F67F3" w:rsidRPr="000C792B" w14:paraId="271922EB"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tcPr>
          <w:p w14:paraId="4F6C51DC" w14:textId="288E19B3" w:rsidR="005F67F3" w:rsidRPr="000C792B" w:rsidRDefault="005F67F3" w:rsidP="005F67F3">
            <w:pPr>
              <w:pStyle w:val="TAC"/>
              <w:rPr>
                <w:lang w:eastAsia="zh-CN"/>
              </w:rPr>
            </w:pPr>
            <w:r w:rsidRPr="000C792B">
              <w:rPr>
                <w:lang w:eastAsia="zh-CN"/>
              </w:rPr>
              <w:t>109</w:t>
            </w:r>
          </w:p>
        </w:tc>
        <w:tc>
          <w:tcPr>
            <w:tcW w:w="1163" w:type="dxa"/>
            <w:vMerge/>
            <w:vAlign w:val="center"/>
          </w:tcPr>
          <w:p w14:paraId="098D51A5" w14:textId="77777777" w:rsidR="005F67F3" w:rsidRPr="000C792B" w:rsidRDefault="005F67F3" w:rsidP="005F67F3">
            <w:pPr>
              <w:pStyle w:val="TAC"/>
              <w:rPr>
                <w:lang w:val="sv-SE"/>
              </w:rPr>
            </w:pPr>
          </w:p>
        </w:tc>
        <w:tc>
          <w:tcPr>
            <w:tcW w:w="992" w:type="dxa"/>
            <w:vMerge/>
            <w:vAlign w:val="center"/>
          </w:tcPr>
          <w:p w14:paraId="0D81EFED" w14:textId="77777777" w:rsidR="005F67F3" w:rsidRPr="000C792B" w:rsidRDefault="005F67F3" w:rsidP="005F67F3">
            <w:pPr>
              <w:pStyle w:val="TAC"/>
              <w:rPr>
                <w:lang w:val="sv-SE" w:eastAsia="zh-CN"/>
              </w:rPr>
            </w:pPr>
          </w:p>
        </w:tc>
        <w:tc>
          <w:tcPr>
            <w:tcW w:w="1134" w:type="dxa"/>
            <w:vAlign w:val="center"/>
          </w:tcPr>
          <w:p w14:paraId="4CDE076D" w14:textId="57B6A98D" w:rsidR="005F67F3" w:rsidRPr="000C792B" w:rsidRDefault="005F67F3" w:rsidP="005F67F3">
            <w:pPr>
              <w:pStyle w:val="TAC"/>
            </w:pPr>
            <w:r w:rsidRPr="000C792B">
              <w:t>≥ 48</w:t>
            </w:r>
          </w:p>
        </w:tc>
        <w:tc>
          <w:tcPr>
            <w:tcW w:w="1367" w:type="dxa"/>
            <w:vAlign w:val="center"/>
          </w:tcPr>
          <w:p w14:paraId="7CCFC081" w14:textId="53ECDF8F" w:rsidR="005F67F3" w:rsidRPr="000C792B" w:rsidRDefault="005F67F3" w:rsidP="005F67F3">
            <w:pPr>
              <w:pStyle w:val="TAC"/>
            </w:pPr>
            <w:r w:rsidRPr="000C792B">
              <w:t>≥ 1</w:t>
            </w:r>
          </w:p>
        </w:tc>
        <w:tc>
          <w:tcPr>
            <w:tcW w:w="2040" w:type="dxa"/>
            <w:vAlign w:val="center"/>
          </w:tcPr>
          <w:p w14:paraId="491901E2" w14:textId="77777777" w:rsidR="005F67F3" w:rsidRPr="000C792B" w:rsidRDefault="005F67F3" w:rsidP="005F67F3">
            <w:pPr>
              <w:pStyle w:val="TAC"/>
              <w:rPr>
                <w:lang w:eastAsia="zh-CN"/>
              </w:rPr>
            </w:pPr>
            <w:r w:rsidRPr="000C792B">
              <w:t>Note 6</w:t>
            </w:r>
          </w:p>
        </w:tc>
        <w:tc>
          <w:tcPr>
            <w:tcW w:w="1134" w:type="dxa"/>
            <w:vAlign w:val="center"/>
          </w:tcPr>
          <w:p w14:paraId="5F6A2007" w14:textId="77777777" w:rsidR="005F67F3" w:rsidRPr="000C792B" w:rsidRDefault="005F67F3" w:rsidP="005F67F3">
            <w:pPr>
              <w:pStyle w:val="TAC"/>
            </w:pPr>
            <w:r w:rsidRPr="000C792B">
              <w:t>Note 6</w:t>
            </w:r>
          </w:p>
        </w:tc>
        <w:tc>
          <w:tcPr>
            <w:tcW w:w="1275" w:type="dxa"/>
            <w:vAlign w:val="center"/>
          </w:tcPr>
          <w:p w14:paraId="055BA016" w14:textId="77777777" w:rsidR="005F67F3" w:rsidRPr="000C792B" w:rsidRDefault="005F67F3" w:rsidP="005F67F3">
            <w:pPr>
              <w:pStyle w:val="TAC"/>
              <w:rPr>
                <w:lang w:eastAsia="zh-CN"/>
              </w:rPr>
            </w:pPr>
            <w:r w:rsidRPr="000C792B">
              <w:t>Note 6</w:t>
            </w:r>
          </w:p>
        </w:tc>
      </w:tr>
      <w:tr w:rsidR="005F67F3" w:rsidRPr="000C792B" w14:paraId="4DBE6FE1"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tcPr>
          <w:p w14:paraId="0A5D4A52" w14:textId="4023D5FB" w:rsidR="005F67F3" w:rsidRPr="000C792B" w:rsidRDefault="005F67F3" w:rsidP="005F67F3">
            <w:pPr>
              <w:pStyle w:val="TAC"/>
              <w:rPr>
                <w:lang w:eastAsia="zh-CN"/>
              </w:rPr>
            </w:pPr>
            <w:r w:rsidRPr="000C792B">
              <w:rPr>
                <w:lang w:eastAsia="zh-CN"/>
              </w:rPr>
              <w:t>28</w:t>
            </w:r>
          </w:p>
        </w:tc>
        <w:tc>
          <w:tcPr>
            <w:tcW w:w="1163" w:type="dxa"/>
            <w:vMerge/>
            <w:vAlign w:val="center"/>
          </w:tcPr>
          <w:p w14:paraId="37F8E110" w14:textId="77777777" w:rsidR="005F67F3" w:rsidRPr="000C792B" w:rsidRDefault="005F67F3" w:rsidP="005F67F3">
            <w:pPr>
              <w:pStyle w:val="TAC"/>
              <w:rPr>
                <w:lang w:val="sv-SE"/>
              </w:rPr>
            </w:pPr>
          </w:p>
        </w:tc>
        <w:tc>
          <w:tcPr>
            <w:tcW w:w="992" w:type="dxa"/>
            <w:vMerge/>
            <w:vAlign w:val="center"/>
          </w:tcPr>
          <w:p w14:paraId="61DF0245" w14:textId="77777777" w:rsidR="005F67F3" w:rsidRPr="000C792B" w:rsidRDefault="005F67F3" w:rsidP="005F67F3">
            <w:pPr>
              <w:pStyle w:val="TAC"/>
              <w:rPr>
                <w:lang w:val="sv-SE" w:eastAsia="zh-CN"/>
              </w:rPr>
            </w:pPr>
          </w:p>
        </w:tc>
        <w:tc>
          <w:tcPr>
            <w:tcW w:w="1134" w:type="dxa"/>
            <w:vAlign w:val="center"/>
          </w:tcPr>
          <w:p w14:paraId="4366FAA4" w14:textId="5D87CF06" w:rsidR="005F67F3" w:rsidRPr="000C792B" w:rsidRDefault="005F67F3" w:rsidP="005F67F3">
            <w:pPr>
              <w:pStyle w:val="TAC"/>
            </w:pPr>
            <w:r w:rsidRPr="000C792B">
              <w:t>≥ 132</w:t>
            </w:r>
          </w:p>
        </w:tc>
        <w:tc>
          <w:tcPr>
            <w:tcW w:w="1367" w:type="dxa"/>
            <w:vAlign w:val="center"/>
          </w:tcPr>
          <w:p w14:paraId="60AA3CCB" w14:textId="1F934663" w:rsidR="005F67F3" w:rsidRPr="000C792B" w:rsidRDefault="005F67F3" w:rsidP="005F67F3">
            <w:pPr>
              <w:pStyle w:val="TAC"/>
            </w:pPr>
            <w:r w:rsidRPr="000C792B">
              <w:t>≥ 1</w:t>
            </w:r>
          </w:p>
        </w:tc>
        <w:tc>
          <w:tcPr>
            <w:tcW w:w="2040" w:type="dxa"/>
            <w:vAlign w:val="center"/>
          </w:tcPr>
          <w:p w14:paraId="7DEB2211" w14:textId="77777777" w:rsidR="005F67F3" w:rsidRPr="000C792B" w:rsidRDefault="005F67F3" w:rsidP="005F67F3">
            <w:pPr>
              <w:pStyle w:val="TAC"/>
            </w:pPr>
            <w:r w:rsidRPr="000C792B">
              <w:t>Note 6</w:t>
            </w:r>
          </w:p>
        </w:tc>
        <w:tc>
          <w:tcPr>
            <w:tcW w:w="1134" w:type="dxa"/>
            <w:vAlign w:val="center"/>
          </w:tcPr>
          <w:p w14:paraId="4086DCB6" w14:textId="77777777" w:rsidR="005F67F3" w:rsidRPr="000C792B" w:rsidRDefault="005F67F3" w:rsidP="005F67F3">
            <w:pPr>
              <w:pStyle w:val="TAC"/>
            </w:pPr>
            <w:r w:rsidRPr="000C792B">
              <w:t>Note 6</w:t>
            </w:r>
          </w:p>
        </w:tc>
        <w:tc>
          <w:tcPr>
            <w:tcW w:w="1275" w:type="dxa"/>
            <w:vAlign w:val="center"/>
          </w:tcPr>
          <w:p w14:paraId="10CE19BF" w14:textId="77777777" w:rsidR="005F67F3" w:rsidRPr="000C792B" w:rsidRDefault="005F67F3" w:rsidP="005F67F3">
            <w:pPr>
              <w:pStyle w:val="TAC"/>
            </w:pPr>
            <w:r w:rsidRPr="000C792B">
              <w:t>Note 6</w:t>
            </w:r>
          </w:p>
        </w:tc>
      </w:tr>
      <w:tr w:rsidR="00434850" w:rsidRPr="000C792B" w14:paraId="0413CED9" w14:textId="77777777" w:rsidTr="00FB52A6">
        <w:trPr>
          <w:trHeight w:val="27"/>
          <w:jc w:val="center"/>
        </w:trPr>
        <w:tc>
          <w:tcPr>
            <w:tcW w:w="959" w:type="dxa"/>
            <w:vMerge w:val="restart"/>
            <w:tcBorders>
              <w:top w:val="single" w:sz="4" w:space="0" w:color="auto"/>
              <w:left w:val="single" w:sz="4" w:space="0" w:color="auto"/>
              <w:bottom w:val="single" w:sz="4" w:space="0" w:color="auto"/>
              <w:right w:val="single" w:sz="4" w:space="0" w:color="auto"/>
            </w:tcBorders>
          </w:tcPr>
          <w:p w14:paraId="1DD6ED1F" w14:textId="342E3E56" w:rsidR="00434850" w:rsidRPr="000C792B" w:rsidRDefault="00434850" w:rsidP="00434850">
            <w:pPr>
              <w:pStyle w:val="TAC"/>
              <w:rPr>
                <w:lang w:eastAsia="zh-CN"/>
              </w:rPr>
            </w:pPr>
            <w:r w:rsidRPr="000C792B">
              <w:rPr>
                <w:lang w:eastAsia="zh-CN"/>
              </w:rPr>
              <w:t>147</w:t>
            </w:r>
          </w:p>
        </w:tc>
        <w:tc>
          <w:tcPr>
            <w:tcW w:w="1163" w:type="dxa"/>
            <w:vMerge/>
            <w:vAlign w:val="center"/>
          </w:tcPr>
          <w:p w14:paraId="595384B1" w14:textId="77777777" w:rsidR="00434850" w:rsidRPr="000C792B" w:rsidRDefault="00434850" w:rsidP="00434850">
            <w:pPr>
              <w:pStyle w:val="TAC"/>
              <w:rPr>
                <w:lang w:val="sv-SE"/>
              </w:rPr>
            </w:pPr>
          </w:p>
        </w:tc>
        <w:tc>
          <w:tcPr>
            <w:tcW w:w="992" w:type="dxa"/>
            <w:vMerge w:val="restart"/>
            <w:vAlign w:val="center"/>
          </w:tcPr>
          <w:p w14:paraId="7416709C" w14:textId="77777777" w:rsidR="00434850" w:rsidRPr="000C792B" w:rsidRDefault="00434850" w:rsidP="00434850">
            <w:pPr>
              <w:pStyle w:val="TAC"/>
              <w:rPr>
                <w:lang w:val="sv-SE" w:eastAsia="zh-CN"/>
              </w:rPr>
            </w:pPr>
            <w:r w:rsidRPr="000C792B">
              <w:rPr>
                <w:rFonts w:hint="eastAsia"/>
                <w:lang w:val="sv-SE" w:eastAsia="zh-CN"/>
              </w:rPr>
              <w:t>6</w:t>
            </w:r>
            <w:r w:rsidRPr="000C792B">
              <w:rPr>
                <w:lang w:val="sv-SE" w:eastAsia="zh-CN"/>
              </w:rPr>
              <w:t>0</w:t>
            </w:r>
          </w:p>
        </w:tc>
        <w:tc>
          <w:tcPr>
            <w:tcW w:w="1134" w:type="dxa"/>
            <w:vMerge w:val="restart"/>
            <w:vAlign w:val="center"/>
          </w:tcPr>
          <w:p w14:paraId="1BEB099C" w14:textId="5EA48070" w:rsidR="00434850" w:rsidRPr="000C792B" w:rsidRDefault="00434850" w:rsidP="00434850">
            <w:pPr>
              <w:pStyle w:val="TAC"/>
            </w:pPr>
            <w:r w:rsidRPr="000C792B">
              <w:t>≥ 24</w:t>
            </w:r>
          </w:p>
        </w:tc>
        <w:tc>
          <w:tcPr>
            <w:tcW w:w="1367" w:type="dxa"/>
            <w:vMerge w:val="restart"/>
            <w:vAlign w:val="center"/>
          </w:tcPr>
          <w:p w14:paraId="22DC5FBE" w14:textId="1F25E95C" w:rsidR="00434850" w:rsidRPr="000C792B" w:rsidRDefault="00434850" w:rsidP="00434850">
            <w:pPr>
              <w:pStyle w:val="TAC"/>
            </w:pPr>
            <w:r w:rsidRPr="000C792B">
              <w:t>≥ 4</w:t>
            </w:r>
          </w:p>
        </w:tc>
        <w:tc>
          <w:tcPr>
            <w:tcW w:w="2040" w:type="dxa"/>
            <w:tcBorders>
              <w:top w:val="single" w:sz="4" w:space="0" w:color="auto"/>
              <w:left w:val="single" w:sz="4" w:space="0" w:color="auto"/>
              <w:bottom w:val="single" w:sz="4" w:space="0" w:color="auto"/>
              <w:right w:val="single" w:sz="4" w:space="0" w:color="auto"/>
            </w:tcBorders>
            <w:vAlign w:val="center"/>
          </w:tcPr>
          <w:p w14:paraId="5CBD85A7" w14:textId="77777777" w:rsidR="00434850" w:rsidRDefault="00434850" w:rsidP="00434850">
            <w:pPr>
              <w:pStyle w:val="TAC"/>
              <w:rPr>
                <w:szCs w:val="18"/>
              </w:rPr>
            </w:pPr>
            <w:r>
              <w:rPr>
                <w:szCs w:val="18"/>
              </w:rPr>
              <w:t>NR_FDD_FR1_A, NR_TDD_FR1_A,</w:t>
            </w:r>
          </w:p>
          <w:p w14:paraId="0C360017" w14:textId="6DBD3613" w:rsidR="00434850" w:rsidRPr="000C792B" w:rsidRDefault="00434850" w:rsidP="00434850">
            <w:pPr>
              <w:pStyle w:val="TAC"/>
            </w:pPr>
            <w:r>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tcPr>
          <w:p w14:paraId="0EAE3B44" w14:textId="6A9C9DDD" w:rsidR="00434850" w:rsidRPr="000C792B" w:rsidRDefault="00434850" w:rsidP="00434850">
            <w:pPr>
              <w:pStyle w:val="TAC"/>
            </w:pPr>
            <w:r>
              <w:t>-121</w:t>
            </w:r>
          </w:p>
        </w:tc>
        <w:tc>
          <w:tcPr>
            <w:tcW w:w="1275" w:type="dxa"/>
            <w:vAlign w:val="center"/>
          </w:tcPr>
          <w:p w14:paraId="4D244910" w14:textId="77777777" w:rsidR="00434850" w:rsidRPr="000C792B" w:rsidRDefault="00434850" w:rsidP="00434850">
            <w:pPr>
              <w:pStyle w:val="TAC"/>
            </w:pPr>
            <w:r w:rsidRPr="000C792B">
              <w:rPr>
                <w:lang w:eastAsia="zh-CN"/>
              </w:rPr>
              <w:t>-50</w:t>
            </w:r>
          </w:p>
        </w:tc>
      </w:tr>
      <w:tr w:rsidR="00434850" w:rsidRPr="000C792B" w14:paraId="1B52C348" w14:textId="77777777" w:rsidTr="00FB52A6">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06F2FAC1" w14:textId="77777777" w:rsidR="00434850" w:rsidRPr="000C792B" w:rsidRDefault="00434850" w:rsidP="00434850">
            <w:pPr>
              <w:pStyle w:val="TAC"/>
              <w:rPr>
                <w:lang w:eastAsia="zh-CN"/>
              </w:rPr>
            </w:pPr>
          </w:p>
        </w:tc>
        <w:tc>
          <w:tcPr>
            <w:tcW w:w="1163" w:type="dxa"/>
            <w:vMerge/>
            <w:vAlign w:val="center"/>
          </w:tcPr>
          <w:p w14:paraId="328A8020" w14:textId="77777777" w:rsidR="00434850" w:rsidRPr="000C792B" w:rsidRDefault="00434850" w:rsidP="00434850">
            <w:pPr>
              <w:pStyle w:val="TAC"/>
              <w:rPr>
                <w:lang w:val="sv-SE"/>
              </w:rPr>
            </w:pPr>
          </w:p>
        </w:tc>
        <w:tc>
          <w:tcPr>
            <w:tcW w:w="992" w:type="dxa"/>
            <w:vMerge/>
            <w:vAlign w:val="center"/>
          </w:tcPr>
          <w:p w14:paraId="06622671" w14:textId="77777777" w:rsidR="00434850" w:rsidRPr="000C792B" w:rsidRDefault="00434850" w:rsidP="00434850">
            <w:pPr>
              <w:pStyle w:val="TAC"/>
              <w:rPr>
                <w:lang w:val="sv-SE" w:eastAsia="zh-CN"/>
              </w:rPr>
            </w:pPr>
          </w:p>
        </w:tc>
        <w:tc>
          <w:tcPr>
            <w:tcW w:w="1134" w:type="dxa"/>
            <w:vMerge/>
            <w:vAlign w:val="center"/>
          </w:tcPr>
          <w:p w14:paraId="7E697638" w14:textId="77777777" w:rsidR="00434850" w:rsidRPr="000C792B" w:rsidRDefault="00434850" w:rsidP="00434850">
            <w:pPr>
              <w:pStyle w:val="TAC"/>
            </w:pPr>
          </w:p>
        </w:tc>
        <w:tc>
          <w:tcPr>
            <w:tcW w:w="1367" w:type="dxa"/>
            <w:vMerge/>
            <w:vAlign w:val="center"/>
          </w:tcPr>
          <w:p w14:paraId="2EE932E3"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435201B6" w14:textId="6DB2A159" w:rsidR="00434850" w:rsidRPr="000C792B" w:rsidRDefault="00434850" w:rsidP="00434850">
            <w:pPr>
              <w:pStyle w:val="TAC"/>
            </w:pPr>
            <w:r>
              <w:t>NR_FDD_FR1_B</w:t>
            </w:r>
          </w:p>
        </w:tc>
        <w:tc>
          <w:tcPr>
            <w:tcW w:w="1134" w:type="dxa"/>
            <w:tcBorders>
              <w:top w:val="single" w:sz="4" w:space="0" w:color="auto"/>
              <w:left w:val="single" w:sz="4" w:space="0" w:color="auto"/>
              <w:bottom w:val="single" w:sz="4" w:space="0" w:color="auto"/>
              <w:right w:val="single" w:sz="4" w:space="0" w:color="auto"/>
            </w:tcBorders>
          </w:tcPr>
          <w:p w14:paraId="3C187564" w14:textId="1561144F" w:rsidR="00434850" w:rsidRPr="000C792B" w:rsidRDefault="00434850" w:rsidP="00434850">
            <w:pPr>
              <w:pStyle w:val="TAC"/>
            </w:pPr>
            <w:r>
              <w:t>-120.5</w:t>
            </w:r>
          </w:p>
        </w:tc>
        <w:tc>
          <w:tcPr>
            <w:tcW w:w="1275" w:type="dxa"/>
          </w:tcPr>
          <w:p w14:paraId="115C41BE" w14:textId="77777777" w:rsidR="00434850" w:rsidRPr="000C792B" w:rsidRDefault="00434850" w:rsidP="00434850">
            <w:pPr>
              <w:pStyle w:val="TAC"/>
            </w:pPr>
            <w:r w:rsidRPr="000C792B">
              <w:rPr>
                <w:lang w:eastAsia="zh-CN"/>
              </w:rPr>
              <w:t>-50</w:t>
            </w:r>
          </w:p>
        </w:tc>
      </w:tr>
      <w:tr w:rsidR="00434850" w:rsidRPr="000C792B" w14:paraId="0C181984" w14:textId="77777777" w:rsidTr="00FB52A6">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511A6FE8" w14:textId="77777777" w:rsidR="00434850" w:rsidRPr="000C792B" w:rsidRDefault="00434850" w:rsidP="00434850">
            <w:pPr>
              <w:pStyle w:val="TAC"/>
              <w:rPr>
                <w:lang w:eastAsia="zh-CN"/>
              </w:rPr>
            </w:pPr>
          </w:p>
        </w:tc>
        <w:tc>
          <w:tcPr>
            <w:tcW w:w="1163" w:type="dxa"/>
            <w:vMerge/>
            <w:vAlign w:val="center"/>
          </w:tcPr>
          <w:p w14:paraId="7E43ED72" w14:textId="77777777" w:rsidR="00434850" w:rsidRPr="000C792B" w:rsidRDefault="00434850" w:rsidP="00434850">
            <w:pPr>
              <w:pStyle w:val="TAC"/>
              <w:rPr>
                <w:lang w:val="sv-SE"/>
              </w:rPr>
            </w:pPr>
          </w:p>
        </w:tc>
        <w:tc>
          <w:tcPr>
            <w:tcW w:w="992" w:type="dxa"/>
            <w:vMerge/>
            <w:vAlign w:val="center"/>
          </w:tcPr>
          <w:p w14:paraId="0EF92A46" w14:textId="77777777" w:rsidR="00434850" w:rsidRPr="000C792B" w:rsidRDefault="00434850" w:rsidP="00434850">
            <w:pPr>
              <w:pStyle w:val="TAC"/>
              <w:rPr>
                <w:lang w:val="sv-SE" w:eastAsia="zh-CN"/>
              </w:rPr>
            </w:pPr>
          </w:p>
        </w:tc>
        <w:tc>
          <w:tcPr>
            <w:tcW w:w="1134" w:type="dxa"/>
            <w:vMerge/>
            <w:vAlign w:val="center"/>
          </w:tcPr>
          <w:p w14:paraId="07D77CA6" w14:textId="77777777" w:rsidR="00434850" w:rsidRPr="000C792B" w:rsidRDefault="00434850" w:rsidP="00434850">
            <w:pPr>
              <w:pStyle w:val="TAC"/>
            </w:pPr>
          </w:p>
        </w:tc>
        <w:tc>
          <w:tcPr>
            <w:tcW w:w="1367" w:type="dxa"/>
            <w:vMerge/>
            <w:vAlign w:val="center"/>
          </w:tcPr>
          <w:p w14:paraId="70D5AF23"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50ACD2D1" w14:textId="7A8EC360" w:rsidR="00434850" w:rsidRPr="000C792B" w:rsidRDefault="00434850" w:rsidP="00434850">
            <w:pPr>
              <w:pStyle w:val="TAC"/>
            </w:pPr>
            <w:r>
              <w:t>NR_TDD_FR1_C</w:t>
            </w:r>
          </w:p>
        </w:tc>
        <w:tc>
          <w:tcPr>
            <w:tcW w:w="1134" w:type="dxa"/>
            <w:tcBorders>
              <w:top w:val="single" w:sz="4" w:space="0" w:color="auto"/>
              <w:left w:val="single" w:sz="4" w:space="0" w:color="auto"/>
              <w:bottom w:val="single" w:sz="4" w:space="0" w:color="auto"/>
              <w:right w:val="single" w:sz="4" w:space="0" w:color="auto"/>
            </w:tcBorders>
            <w:vAlign w:val="center"/>
          </w:tcPr>
          <w:p w14:paraId="11207492" w14:textId="4854D930" w:rsidR="00434850" w:rsidRPr="000C792B" w:rsidRDefault="00434850" w:rsidP="00434850">
            <w:pPr>
              <w:pStyle w:val="TAC"/>
            </w:pPr>
            <w:r>
              <w:t>-120</w:t>
            </w:r>
          </w:p>
        </w:tc>
        <w:tc>
          <w:tcPr>
            <w:tcW w:w="1275" w:type="dxa"/>
          </w:tcPr>
          <w:p w14:paraId="2524B3F2" w14:textId="77777777" w:rsidR="00434850" w:rsidRPr="000C792B" w:rsidRDefault="00434850" w:rsidP="00434850">
            <w:pPr>
              <w:pStyle w:val="TAC"/>
            </w:pPr>
            <w:r w:rsidRPr="000C792B">
              <w:rPr>
                <w:lang w:eastAsia="zh-CN"/>
              </w:rPr>
              <w:t>-50</w:t>
            </w:r>
          </w:p>
        </w:tc>
      </w:tr>
      <w:tr w:rsidR="00434850" w:rsidRPr="000C792B" w14:paraId="06FC0F9B" w14:textId="77777777" w:rsidTr="00FB52A6">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1397A530" w14:textId="77777777" w:rsidR="00434850" w:rsidRPr="000C792B" w:rsidRDefault="00434850" w:rsidP="00434850">
            <w:pPr>
              <w:pStyle w:val="TAC"/>
              <w:rPr>
                <w:lang w:eastAsia="zh-CN"/>
              </w:rPr>
            </w:pPr>
          </w:p>
        </w:tc>
        <w:tc>
          <w:tcPr>
            <w:tcW w:w="1163" w:type="dxa"/>
            <w:vMerge/>
            <w:vAlign w:val="center"/>
          </w:tcPr>
          <w:p w14:paraId="3BA8D9CF" w14:textId="77777777" w:rsidR="00434850" w:rsidRPr="000C792B" w:rsidRDefault="00434850" w:rsidP="00434850">
            <w:pPr>
              <w:pStyle w:val="TAC"/>
              <w:rPr>
                <w:lang w:val="sv-SE"/>
              </w:rPr>
            </w:pPr>
          </w:p>
        </w:tc>
        <w:tc>
          <w:tcPr>
            <w:tcW w:w="992" w:type="dxa"/>
            <w:vMerge/>
            <w:vAlign w:val="center"/>
          </w:tcPr>
          <w:p w14:paraId="57B8BCF4" w14:textId="77777777" w:rsidR="00434850" w:rsidRPr="000C792B" w:rsidRDefault="00434850" w:rsidP="00434850">
            <w:pPr>
              <w:pStyle w:val="TAC"/>
              <w:rPr>
                <w:lang w:val="sv-SE" w:eastAsia="zh-CN"/>
              </w:rPr>
            </w:pPr>
          </w:p>
        </w:tc>
        <w:tc>
          <w:tcPr>
            <w:tcW w:w="1134" w:type="dxa"/>
            <w:vMerge/>
            <w:vAlign w:val="center"/>
          </w:tcPr>
          <w:p w14:paraId="6535C5EA" w14:textId="77777777" w:rsidR="00434850" w:rsidRPr="000C792B" w:rsidRDefault="00434850" w:rsidP="00434850">
            <w:pPr>
              <w:pStyle w:val="TAC"/>
            </w:pPr>
          </w:p>
        </w:tc>
        <w:tc>
          <w:tcPr>
            <w:tcW w:w="1367" w:type="dxa"/>
            <w:vMerge/>
            <w:vAlign w:val="center"/>
          </w:tcPr>
          <w:p w14:paraId="5AF683B7"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3E27D7ED" w14:textId="2332D276" w:rsidR="00434850" w:rsidRPr="000C792B" w:rsidRDefault="00434850" w:rsidP="00434850">
            <w:pPr>
              <w:pStyle w:val="TAC"/>
              <w:rPr>
                <w:lang w:val="sv-SE"/>
              </w:rPr>
            </w:pPr>
            <w:r>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tcPr>
          <w:p w14:paraId="19936DC6" w14:textId="7A1CF301" w:rsidR="00434850" w:rsidRPr="000C792B" w:rsidRDefault="00434850" w:rsidP="00434850">
            <w:pPr>
              <w:pStyle w:val="TAC"/>
            </w:pPr>
            <w:r>
              <w:t>-119.5</w:t>
            </w:r>
          </w:p>
        </w:tc>
        <w:tc>
          <w:tcPr>
            <w:tcW w:w="1275" w:type="dxa"/>
          </w:tcPr>
          <w:p w14:paraId="47E71421" w14:textId="77777777" w:rsidR="00434850" w:rsidRPr="000C792B" w:rsidRDefault="00434850" w:rsidP="00434850">
            <w:pPr>
              <w:pStyle w:val="TAC"/>
            </w:pPr>
            <w:r w:rsidRPr="000C792B">
              <w:rPr>
                <w:lang w:eastAsia="zh-CN"/>
              </w:rPr>
              <w:t>-50</w:t>
            </w:r>
          </w:p>
        </w:tc>
      </w:tr>
      <w:tr w:rsidR="00434850" w:rsidRPr="000C792B" w14:paraId="196CD9F8" w14:textId="77777777" w:rsidTr="00FB52A6">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0EEF6A14" w14:textId="77777777" w:rsidR="00434850" w:rsidRPr="000C792B" w:rsidRDefault="00434850" w:rsidP="00434850">
            <w:pPr>
              <w:pStyle w:val="TAC"/>
              <w:rPr>
                <w:lang w:eastAsia="zh-CN"/>
              </w:rPr>
            </w:pPr>
          </w:p>
        </w:tc>
        <w:tc>
          <w:tcPr>
            <w:tcW w:w="1163" w:type="dxa"/>
            <w:vMerge/>
            <w:vAlign w:val="center"/>
          </w:tcPr>
          <w:p w14:paraId="11C540A8" w14:textId="77777777" w:rsidR="00434850" w:rsidRPr="000C792B" w:rsidRDefault="00434850" w:rsidP="00434850">
            <w:pPr>
              <w:pStyle w:val="TAC"/>
              <w:rPr>
                <w:lang w:val="sv-SE"/>
              </w:rPr>
            </w:pPr>
          </w:p>
        </w:tc>
        <w:tc>
          <w:tcPr>
            <w:tcW w:w="992" w:type="dxa"/>
            <w:vMerge/>
            <w:vAlign w:val="center"/>
          </w:tcPr>
          <w:p w14:paraId="574E3A22" w14:textId="77777777" w:rsidR="00434850" w:rsidRPr="000C792B" w:rsidRDefault="00434850" w:rsidP="00434850">
            <w:pPr>
              <w:pStyle w:val="TAC"/>
              <w:rPr>
                <w:lang w:val="sv-SE" w:eastAsia="zh-CN"/>
              </w:rPr>
            </w:pPr>
          </w:p>
        </w:tc>
        <w:tc>
          <w:tcPr>
            <w:tcW w:w="1134" w:type="dxa"/>
            <w:vMerge/>
            <w:vAlign w:val="center"/>
          </w:tcPr>
          <w:p w14:paraId="6F1900AB" w14:textId="77777777" w:rsidR="00434850" w:rsidRPr="000C792B" w:rsidRDefault="00434850" w:rsidP="00434850">
            <w:pPr>
              <w:pStyle w:val="TAC"/>
            </w:pPr>
          </w:p>
        </w:tc>
        <w:tc>
          <w:tcPr>
            <w:tcW w:w="1367" w:type="dxa"/>
            <w:vMerge/>
            <w:vAlign w:val="center"/>
          </w:tcPr>
          <w:p w14:paraId="2D3B838D"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5F32938F" w14:textId="500A81D6" w:rsidR="00434850" w:rsidRPr="000C792B" w:rsidRDefault="00434850" w:rsidP="00434850">
            <w:pPr>
              <w:pStyle w:val="TAC"/>
              <w:rPr>
                <w:lang w:val="sv-SE"/>
              </w:rPr>
            </w:pPr>
            <w:r>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tcPr>
          <w:p w14:paraId="3253BEE6" w14:textId="43A37522" w:rsidR="00434850" w:rsidRPr="000C792B" w:rsidRDefault="00434850" w:rsidP="00434850">
            <w:pPr>
              <w:pStyle w:val="TAC"/>
            </w:pPr>
            <w:r>
              <w:t>-119</w:t>
            </w:r>
          </w:p>
        </w:tc>
        <w:tc>
          <w:tcPr>
            <w:tcW w:w="1275" w:type="dxa"/>
          </w:tcPr>
          <w:p w14:paraId="51CF5140" w14:textId="77777777" w:rsidR="00434850" w:rsidRPr="000C792B" w:rsidRDefault="00434850" w:rsidP="00434850">
            <w:pPr>
              <w:pStyle w:val="TAC"/>
            </w:pPr>
            <w:r w:rsidRPr="000C792B">
              <w:rPr>
                <w:lang w:eastAsia="zh-CN"/>
              </w:rPr>
              <w:t>-50</w:t>
            </w:r>
          </w:p>
        </w:tc>
      </w:tr>
      <w:tr w:rsidR="00434850" w:rsidRPr="000C792B" w14:paraId="39520011" w14:textId="77777777" w:rsidTr="00FB52A6">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7FF2D123" w14:textId="77777777" w:rsidR="00434850" w:rsidRPr="000C792B" w:rsidRDefault="00434850" w:rsidP="00434850">
            <w:pPr>
              <w:pStyle w:val="TAC"/>
              <w:rPr>
                <w:lang w:eastAsia="zh-CN"/>
              </w:rPr>
            </w:pPr>
          </w:p>
        </w:tc>
        <w:tc>
          <w:tcPr>
            <w:tcW w:w="1163" w:type="dxa"/>
            <w:vMerge/>
            <w:vAlign w:val="center"/>
          </w:tcPr>
          <w:p w14:paraId="214E27F3" w14:textId="77777777" w:rsidR="00434850" w:rsidRPr="000C792B" w:rsidRDefault="00434850" w:rsidP="00434850">
            <w:pPr>
              <w:pStyle w:val="TAC"/>
              <w:rPr>
                <w:lang w:val="sv-SE"/>
              </w:rPr>
            </w:pPr>
          </w:p>
        </w:tc>
        <w:tc>
          <w:tcPr>
            <w:tcW w:w="992" w:type="dxa"/>
            <w:vMerge/>
            <w:vAlign w:val="center"/>
          </w:tcPr>
          <w:p w14:paraId="4E5F4F0C" w14:textId="77777777" w:rsidR="00434850" w:rsidRPr="000C792B" w:rsidRDefault="00434850" w:rsidP="00434850">
            <w:pPr>
              <w:pStyle w:val="TAC"/>
              <w:rPr>
                <w:lang w:val="sv-SE" w:eastAsia="zh-CN"/>
              </w:rPr>
            </w:pPr>
          </w:p>
        </w:tc>
        <w:tc>
          <w:tcPr>
            <w:tcW w:w="1134" w:type="dxa"/>
            <w:vMerge/>
            <w:vAlign w:val="center"/>
          </w:tcPr>
          <w:p w14:paraId="39685AEC" w14:textId="77777777" w:rsidR="00434850" w:rsidRPr="000C792B" w:rsidRDefault="00434850" w:rsidP="00434850">
            <w:pPr>
              <w:pStyle w:val="TAC"/>
            </w:pPr>
          </w:p>
        </w:tc>
        <w:tc>
          <w:tcPr>
            <w:tcW w:w="1367" w:type="dxa"/>
            <w:vMerge/>
            <w:vAlign w:val="center"/>
          </w:tcPr>
          <w:p w14:paraId="7374E839"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66FDC066" w14:textId="7D3794C8" w:rsidR="00434850" w:rsidRPr="000C792B" w:rsidRDefault="00434850" w:rsidP="00434850">
            <w:pPr>
              <w:pStyle w:val="TAC"/>
            </w:pPr>
            <w:r>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tcPr>
          <w:p w14:paraId="2FCB0643" w14:textId="70D17848" w:rsidR="00434850" w:rsidRPr="000C792B" w:rsidRDefault="00434850" w:rsidP="00434850">
            <w:pPr>
              <w:pStyle w:val="TAC"/>
            </w:pPr>
            <w:r>
              <w:t>-118.5</w:t>
            </w:r>
          </w:p>
        </w:tc>
        <w:tc>
          <w:tcPr>
            <w:tcW w:w="1275" w:type="dxa"/>
          </w:tcPr>
          <w:p w14:paraId="1ABBFFD3" w14:textId="77777777" w:rsidR="00434850" w:rsidRPr="000C792B" w:rsidRDefault="00434850" w:rsidP="00434850">
            <w:pPr>
              <w:pStyle w:val="TAC"/>
            </w:pPr>
            <w:r w:rsidRPr="000C792B">
              <w:rPr>
                <w:lang w:eastAsia="zh-CN"/>
              </w:rPr>
              <w:t>-50</w:t>
            </w:r>
          </w:p>
        </w:tc>
      </w:tr>
      <w:tr w:rsidR="00434850" w:rsidRPr="000C792B" w14:paraId="0C2162D9" w14:textId="77777777" w:rsidTr="00FB52A6">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19D971C8" w14:textId="77777777" w:rsidR="00434850" w:rsidRPr="000C792B" w:rsidRDefault="00434850" w:rsidP="00434850">
            <w:pPr>
              <w:pStyle w:val="TAC"/>
              <w:rPr>
                <w:lang w:eastAsia="zh-CN"/>
              </w:rPr>
            </w:pPr>
          </w:p>
        </w:tc>
        <w:tc>
          <w:tcPr>
            <w:tcW w:w="1163" w:type="dxa"/>
            <w:vMerge/>
            <w:vAlign w:val="center"/>
          </w:tcPr>
          <w:p w14:paraId="45EEC4D2" w14:textId="77777777" w:rsidR="00434850" w:rsidRPr="000C792B" w:rsidRDefault="00434850" w:rsidP="00434850">
            <w:pPr>
              <w:pStyle w:val="TAC"/>
              <w:rPr>
                <w:lang w:val="sv-SE"/>
              </w:rPr>
            </w:pPr>
          </w:p>
        </w:tc>
        <w:tc>
          <w:tcPr>
            <w:tcW w:w="992" w:type="dxa"/>
            <w:vMerge/>
            <w:vAlign w:val="center"/>
          </w:tcPr>
          <w:p w14:paraId="74018AD9" w14:textId="77777777" w:rsidR="00434850" w:rsidRPr="000C792B" w:rsidRDefault="00434850" w:rsidP="00434850">
            <w:pPr>
              <w:pStyle w:val="TAC"/>
              <w:rPr>
                <w:lang w:val="sv-SE" w:eastAsia="zh-CN"/>
              </w:rPr>
            </w:pPr>
          </w:p>
        </w:tc>
        <w:tc>
          <w:tcPr>
            <w:tcW w:w="1134" w:type="dxa"/>
            <w:vMerge/>
            <w:vAlign w:val="center"/>
          </w:tcPr>
          <w:p w14:paraId="7A388982" w14:textId="77777777" w:rsidR="00434850" w:rsidRPr="000C792B" w:rsidRDefault="00434850" w:rsidP="00434850">
            <w:pPr>
              <w:pStyle w:val="TAC"/>
            </w:pPr>
          </w:p>
        </w:tc>
        <w:tc>
          <w:tcPr>
            <w:tcW w:w="1367" w:type="dxa"/>
            <w:vMerge/>
            <w:vAlign w:val="center"/>
          </w:tcPr>
          <w:p w14:paraId="660048F8"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33FC3EF7" w14:textId="1E4AA3A3" w:rsidR="00434850" w:rsidRPr="000C792B" w:rsidRDefault="00434850" w:rsidP="00434850">
            <w:pPr>
              <w:pStyle w:val="TAC"/>
            </w:pPr>
            <w:r>
              <w:rPr>
                <w:lang w:eastAsia="zh-CN"/>
              </w:rPr>
              <w:t>NR</w:t>
            </w:r>
            <w:r>
              <w:t>_</w:t>
            </w:r>
            <w:r>
              <w:rPr>
                <w:lang w:eastAsia="zh-CN"/>
              </w:rPr>
              <w:t>FDD_FR1_G</w:t>
            </w:r>
            <w:r>
              <w:rPr>
                <w:rFonts w:hint="eastAsia"/>
                <w:lang w:eastAsia="zh-CN"/>
              </w:rPr>
              <w:t xml:space="preserve">, </w:t>
            </w:r>
            <w:r>
              <w:rPr>
                <w:lang w:eastAsia="zh-CN"/>
              </w:rPr>
              <w:t>NR</w:t>
            </w:r>
            <w:r>
              <w:t>_</w:t>
            </w:r>
            <w:r>
              <w:rPr>
                <w:rFonts w:hint="eastAsia"/>
                <w:lang w:eastAsia="zh-CN"/>
              </w:rPr>
              <w:t>T</w:t>
            </w:r>
            <w:r>
              <w:rPr>
                <w:lang w:eastAsia="zh-CN"/>
              </w:rPr>
              <w:t>DD_FR1_G</w:t>
            </w:r>
          </w:p>
        </w:tc>
        <w:tc>
          <w:tcPr>
            <w:tcW w:w="1134" w:type="dxa"/>
            <w:tcBorders>
              <w:top w:val="single" w:sz="4" w:space="0" w:color="auto"/>
              <w:left w:val="single" w:sz="4" w:space="0" w:color="auto"/>
              <w:bottom w:val="single" w:sz="4" w:space="0" w:color="auto"/>
              <w:right w:val="single" w:sz="4" w:space="0" w:color="auto"/>
            </w:tcBorders>
            <w:vAlign w:val="center"/>
          </w:tcPr>
          <w:p w14:paraId="6F0860A5" w14:textId="2F0067AE" w:rsidR="00434850" w:rsidRPr="000C792B" w:rsidRDefault="00434850" w:rsidP="00434850">
            <w:pPr>
              <w:pStyle w:val="TAC"/>
            </w:pPr>
            <w:r>
              <w:t>-118</w:t>
            </w:r>
          </w:p>
        </w:tc>
        <w:tc>
          <w:tcPr>
            <w:tcW w:w="1275" w:type="dxa"/>
          </w:tcPr>
          <w:p w14:paraId="2F708EC2" w14:textId="77777777" w:rsidR="00434850" w:rsidRPr="000C792B" w:rsidRDefault="00434850" w:rsidP="00434850">
            <w:pPr>
              <w:pStyle w:val="TAC"/>
            </w:pPr>
            <w:r w:rsidRPr="000C792B">
              <w:rPr>
                <w:lang w:eastAsia="zh-CN"/>
              </w:rPr>
              <w:t>-50</w:t>
            </w:r>
          </w:p>
        </w:tc>
      </w:tr>
      <w:tr w:rsidR="00434850" w:rsidRPr="000C792B" w14:paraId="3C3C0382" w14:textId="77777777" w:rsidTr="00FB52A6">
        <w:trPr>
          <w:trHeight w:val="22"/>
          <w:jc w:val="center"/>
        </w:trPr>
        <w:tc>
          <w:tcPr>
            <w:tcW w:w="959" w:type="dxa"/>
            <w:vMerge/>
            <w:tcBorders>
              <w:top w:val="single" w:sz="4" w:space="0" w:color="auto"/>
              <w:left w:val="single" w:sz="4" w:space="0" w:color="auto"/>
              <w:bottom w:val="single" w:sz="4" w:space="0" w:color="auto"/>
              <w:right w:val="single" w:sz="4" w:space="0" w:color="auto"/>
            </w:tcBorders>
            <w:vAlign w:val="center"/>
          </w:tcPr>
          <w:p w14:paraId="77D9E569" w14:textId="77777777" w:rsidR="00434850" w:rsidRPr="000C792B" w:rsidRDefault="00434850" w:rsidP="00434850">
            <w:pPr>
              <w:pStyle w:val="TAC"/>
              <w:rPr>
                <w:lang w:eastAsia="zh-CN"/>
              </w:rPr>
            </w:pPr>
          </w:p>
        </w:tc>
        <w:tc>
          <w:tcPr>
            <w:tcW w:w="1163" w:type="dxa"/>
            <w:vMerge/>
            <w:vAlign w:val="center"/>
          </w:tcPr>
          <w:p w14:paraId="7D42F164" w14:textId="77777777" w:rsidR="00434850" w:rsidRPr="000C792B" w:rsidRDefault="00434850" w:rsidP="00434850">
            <w:pPr>
              <w:pStyle w:val="TAC"/>
              <w:rPr>
                <w:lang w:val="sv-SE"/>
              </w:rPr>
            </w:pPr>
          </w:p>
        </w:tc>
        <w:tc>
          <w:tcPr>
            <w:tcW w:w="992" w:type="dxa"/>
            <w:vMerge/>
            <w:vAlign w:val="center"/>
          </w:tcPr>
          <w:p w14:paraId="0C337A19" w14:textId="77777777" w:rsidR="00434850" w:rsidRPr="000C792B" w:rsidRDefault="00434850" w:rsidP="00434850">
            <w:pPr>
              <w:pStyle w:val="TAC"/>
              <w:rPr>
                <w:lang w:val="sv-SE" w:eastAsia="zh-CN"/>
              </w:rPr>
            </w:pPr>
          </w:p>
        </w:tc>
        <w:tc>
          <w:tcPr>
            <w:tcW w:w="1134" w:type="dxa"/>
            <w:vMerge/>
            <w:vAlign w:val="center"/>
          </w:tcPr>
          <w:p w14:paraId="2DDFD2CC" w14:textId="77777777" w:rsidR="00434850" w:rsidRPr="000C792B" w:rsidRDefault="00434850" w:rsidP="00434850">
            <w:pPr>
              <w:pStyle w:val="TAC"/>
            </w:pPr>
          </w:p>
        </w:tc>
        <w:tc>
          <w:tcPr>
            <w:tcW w:w="1367" w:type="dxa"/>
            <w:vMerge/>
            <w:vAlign w:val="center"/>
          </w:tcPr>
          <w:p w14:paraId="7EA69B0C" w14:textId="77777777" w:rsidR="00434850" w:rsidRPr="000C792B" w:rsidRDefault="00434850" w:rsidP="00434850">
            <w:pPr>
              <w:pStyle w:val="TAC"/>
            </w:pPr>
          </w:p>
        </w:tc>
        <w:tc>
          <w:tcPr>
            <w:tcW w:w="2040" w:type="dxa"/>
            <w:tcBorders>
              <w:top w:val="single" w:sz="4" w:space="0" w:color="auto"/>
              <w:left w:val="single" w:sz="4" w:space="0" w:color="auto"/>
              <w:bottom w:val="single" w:sz="4" w:space="0" w:color="auto"/>
              <w:right w:val="single" w:sz="4" w:space="0" w:color="auto"/>
            </w:tcBorders>
            <w:vAlign w:val="center"/>
          </w:tcPr>
          <w:p w14:paraId="58970B60" w14:textId="7EC45FE3" w:rsidR="00434850" w:rsidRPr="000C792B" w:rsidRDefault="00434850" w:rsidP="00434850">
            <w:pPr>
              <w:pStyle w:val="TAC"/>
            </w:pPr>
            <w:r>
              <w:rPr>
                <w:lang w:eastAsia="zh-CN"/>
              </w:rPr>
              <w:t>NR</w:t>
            </w:r>
            <w:r>
              <w:t>_</w:t>
            </w:r>
            <w:r>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tcPr>
          <w:p w14:paraId="359C50FF" w14:textId="3D964C10" w:rsidR="00434850" w:rsidRPr="000C792B" w:rsidRDefault="00434850" w:rsidP="00434850">
            <w:pPr>
              <w:pStyle w:val="TAC"/>
            </w:pPr>
            <w:r>
              <w:t>-117.5</w:t>
            </w:r>
          </w:p>
        </w:tc>
        <w:tc>
          <w:tcPr>
            <w:tcW w:w="1275" w:type="dxa"/>
          </w:tcPr>
          <w:p w14:paraId="48DC086C" w14:textId="77777777" w:rsidR="00434850" w:rsidRPr="000C792B" w:rsidRDefault="00434850" w:rsidP="00434850">
            <w:pPr>
              <w:pStyle w:val="TAC"/>
            </w:pPr>
            <w:r w:rsidRPr="000C792B">
              <w:rPr>
                <w:lang w:eastAsia="zh-CN"/>
              </w:rPr>
              <w:t>-50</w:t>
            </w:r>
          </w:p>
        </w:tc>
      </w:tr>
      <w:tr w:rsidR="005F67F3" w:rsidRPr="000C792B" w14:paraId="08CDCFFC" w14:textId="77777777" w:rsidTr="00224E82">
        <w:trPr>
          <w:trHeight w:val="22"/>
          <w:jc w:val="center"/>
        </w:trPr>
        <w:tc>
          <w:tcPr>
            <w:tcW w:w="959" w:type="dxa"/>
            <w:tcBorders>
              <w:top w:val="single" w:sz="4" w:space="0" w:color="auto"/>
              <w:left w:val="single" w:sz="4" w:space="0" w:color="auto"/>
              <w:bottom w:val="single" w:sz="4" w:space="0" w:color="auto"/>
              <w:right w:val="single" w:sz="4" w:space="0" w:color="auto"/>
            </w:tcBorders>
          </w:tcPr>
          <w:p w14:paraId="655F57C2" w14:textId="23A90D02" w:rsidR="005F67F3" w:rsidRPr="000C792B" w:rsidRDefault="005F67F3" w:rsidP="005F67F3">
            <w:pPr>
              <w:pStyle w:val="TAC"/>
              <w:rPr>
                <w:lang w:eastAsia="zh-CN"/>
              </w:rPr>
            </w:pPr>
            <w:r w:rsidRPr="000C792B">
              <w:rPr>
                <w:lang w:eastAsia="zh-CN"/>
              </w:rPr>
              <w:t>27</w:t>
            </w:r>
          </w:p>
        </w:tc>
        <w:tc>
          <w:tcPr>
            <w:tcW w:w="1163" w:type="dxa"/>
            <w:vMerge/>
            <w:vAlign w:val="center"/>
          </w:tcPr>
          <w:p w14:paraId="15B69CE6" w14:textId="77777777" w:rsidR="005F67F3" w:rsidRPr="000C792B" w:rsidRDefault="005F67F3" w:rsidP="005F67F3">
            <w:pPr>
              <w:pStyle w:val="TAC"/>
              <w:rPr>
                <w:lang w:val="sv-SE"/>
              </w:rPr>
            </w:pPr>
          </w:p>
        </w:tc>
        <w:tc>
          <w:tcPr>
            <w:tcW w:w="992" w:type="dxa"/>
            <w:vMerge/>
            <w:vAlign w:val="center"/>
          </w:tcPr>
          <w:p w14:paraId="19ADDADB" w14:textId="77777777" w:rsidR="005F67F3" w:rsidRPr="000C792B" w:rsidRDefault="005F67F3" w:rsidP="005F67F3">
            <w:pPr>
              <w:pStyle w:val="TAC"/>
              <w:rPr>
                <w:lang w:val="sv-SE" w:eastAsia="zh-CN"/>
              </w:rPr>
            </w:pPr>
          </w:p>
        </w:tc>
        <w:tc>
          <w:tcPr>
            <w:tcW w:w="1134" w:type="dxa"/>
            <w:vAlign w:val="center"/>
          </w:tcPr>
          <w:p w14:paraId="3DB1B8FC" w14:textId="3933C8AD" w:rsidR="005F67F3" w:rsidRPr="000C792B" w:rsidRDefault="005F67F3" w:rsidP="005F67F3">
            <w:pPr>
              <w:pStyle w:val="TAC"/>
            </w:pPr>
            <w:r w:rsidRPr="000C792B">
              <w:t>≥ 64</w:t>
            </w:r>
          </w:p>
        </w:tc>
        <w:tc>
          <w:tcPr>
            <w:tcW w:w="1367" w:type="dxa"/>
            <w:vAlign w:val="center"/>
          </w:tcPr>
          <w:p w14:paraId="66126294" w14:textId="144D7A7E" w:rsidR="005F67F3" w:rsidRPr="000C792B" w:rsidRDefault="005F67F3" w:rsidP="005F67F3">
            <w:pPr>
              <w:pStyle w:val="TAC"/>
            </w:pPr>
            <w:r w:rsidRPr="000C792B">
              <w:t>≥ 1</w:t>
            </w:r>
          </w:p>
        </w:tc>
        <w:tc>
          <w:tcPr>
            <w:tcW w:w="2040" w:type="dxa"/>
            <w:vAlign w:val="center"/>
          </w:tcPr>
          <w:p w14:paraId="6A5CA918" w14:textId="77777777" w:rsidR="005F67F3" w:rsidRPr="000C792B" w:rsidRDefault="005F67F3" w:rsidP="005F67F3">
            <w:pPr>
              <w:pStyle w:val="TAC"/>
              <w:rPr>
                <w:lang w:eastAsia="zh-CN"/>
              </w:rPr>
            </w:pPr>
            <w:r w:rsidRPr="000C792B">
              <w:t>Note 6</w:t>
            </w:r>
          </w:p>
        </w:tc>
        <w:tc>
          <w:tcPr>
            <w:tcW w:w="1134" w:type="dxa"/>
            <w:vAlign w:val="center"/>
          </w:tcPr>
          <w:p w14:paraId="7FCFFC0B" w14:textId="77777777" w:rsidR="005F67F3" w:rsidRPr="000C792B" w:rsidRDefault="005F67F3" w:rsidP="005F67F3">
            <w:pPr>
              <w:pStyle w:val="TAC"/>
            </w:pPr>
            <w:r w:rsidRPr="000C792B">
              <w:t>Note 6</w:t>
            </w:r>
          </w:p>
        </w:tc>
        <w:tc>
          <w:tcPr>
            <w:tcW w:w="1275" w:type="dxa"/>
            <w:vAlign w:val="center"/>
          </w:tcPr>
          <w:p w14:paraId="69053BA3" w14:textId="77777777" w:rsidR="005F67F3" w:rsidRPr="000C792B" w:rsidRDefault="005F67F3" w:rsidP="005F67F3">
            <w:pPr>
              <w:pStyle w:val="TAC"/>
              <w:rPr>
                <w:lang w:eastAsia="zh-CN"/>
              </w:rPr>
            </w:pPr>
            <w:r w:rsidRPr="000C792B">
              <w:t>Note 6</w:t>
            </w:r>
          </w:p>
        </w:tc>
      </w:tr>
      <w:tr w:rsidR="005F67F3" w:rsidRPr="000C792B" w14:paraId="10D4E602" w14:textId="77777777" w:rsidTr="00224E82">
        <w:trPr>
          <w:jc w:val="center"/>
        </w:trPr>
        <w:tc>
          <w:tcPr>
            <w:tcW w:w="959" w:type="dxa"/>
            <w:tcBorders>
              <w:top w:val="single" w:sz="4" w:space="0" w:color="auto"/>
              <w:left w:val="single" w:sz="4" w:space="0" w:color="auto"/>
              <w:bottom w:val="single" w:sz="4" w:space="0" w:color="auto"/>
              <w:right w:val="single" w:sz="4" w:space="0" w:color="auto"/>
            </w:tcBorders>
          </w:tcPr>
          <w:p w14:paraId="5AB09C02" w14:textId="63631509" w:rsidR="005F67F3" w:rsidRPr="000C792B" w:rsidRDefault="005F67F3" w:rsidP="005F67F3">
            <w:pPr>
              <w:pStyle w:val="TAC"/>
              <w:rPr>
                <w:lang w:eastAsia="zh-CN"/>
              </w:rPr>
            </w:pPr>
            <w:r w:rsidRPr="000C792B">
              <w:rPr>
                <w:lang w:eastAsia="zh-CN"/>
              </w:rPr>
              <w:t>21</w:t>
            </w:r>
          </w:p>
        </w:tc>
        <w:tc>
          <w:tcPr>
            <w:tcW w:w="1163" w:type="dxa"/>
            <w:vMerge/>
            <w:vAlign w:val="center"/>
          </w:tcPr>
          <w:p w14:paraId="445DF209" w14:textId="77777777" w:rsidR="005F67F3" w:rsidRPr="000C792B" w:rsidRDefault="005F67F3" w:rsidP="005F67F3">
            <w:pPr>
              <w:pStyle w:val="TAC"/>
              <w:rPr>
                <w:lang w:val="sv-SE"/>
              </w:rPr>
            </w:pPr>
          </w:p>
        </w:tc>
        <w:tc>
          <w:tcPr>
            <w:tcW w:w="992" w:type="dxa"/>
            <w:vMerge/>
            <w:vAlign w:val="center"/>
          </w:tcPr>
          <w:p w14:paraId="631B2007" w14:textId="77777777" w:rsidR="005F67F3" w:rsidRPr="000C792B" w:rsidRDefault="005F67F3" w:rsidP="005F67F3">
            <w:pPr>
              <w:pStyle w:val="TAC"/>
              <w:rPr>
                <w:lang w:val="sv-SE" w:eastAsia="zh-CN"/>
              </w:rPr>
            </w:pPr>
          </w:p>
        </w:tc>
        <w:tc>
          <w:tcPr>
            <w:tcW w:w="1134" w:type="dxa"/>
            <w:vAlign w:val="center"/>
          </w:tcPr>
          <w:p w14:paraId="22A8A7CD" w14:textId="3702A8AA" w:rsidR="005F67F3" w:rsidRPr="000C792B" w:rsidRDefault="005F67F3" w:rsidP="005F67F3">
            <w:pPr>
              <w:pStyle w:val="TAC"/>
            </w:pPr>
            <w:r w:rsidRPr="000C792B">
              <w:t>≥ 132</w:t>
            </w:r>
          </w:p>
        </w:tc>
        <w:tc>
          <w:tcPr>
            <w:tcW w:w="1367" w:type="dxa"/>
            <w:vAlign w:val="center"/>
          </w:tcPr>
          <w:p w14:paraId="3B3A3598" w14:textId="242A14AA" w:rsidR="005F67F3" w:rsidRPr="000C792B" w:rsidRDefault="005F67F3" w:rsidP="005F67F3">
            <w:pPr>
              <w:pStyle w:val="TAC"/>
            </w:pPr>
            <w:r w:rsidRPr="000C792B">
              <w:t>≥ 1</w:t>
            </w:r>
          </w:p>
        </w:tc>
        <w:tc>
          <w:tcPr>
            <w:tcW w:w="2040" w:type="dxa"/>
            <w:vAlign w:val="center"/>
          </w:tcPr>
          <w:p w14:paraId="4326E50E" w14:textId="77777777" w:rsidR="005F67F3" w:rsidRPr="000C792B" w:rsidRDefault="005F67F3" w:rsidP="005F67F3">
            <w:pPr>
              <w:pStyle w:val="TAC"/>
            </w:pPr>
            <w:r w:rsidRPr="000C792B">
              <w:t>Note 6</w:t>
            </w:r>
          </w:p>
        </w:tc>
        <w:tc>
          <w:tcPr>
            <w:tcW w:w="1134" w:type="dxa"/>
            <w:vAlign w:val="center"/>
          </w:tcPr>
          <w:p w14:paraId="462E25F3" w14:textId="77777777" w:rsidR="005F67F3" w:rsidRPr="000C792B" w:rsidRDefault="005F67F3" w:rsidP="005F67F3">
            <w:pPr>
              <w:pStyle w:val="TAC"/>
            </w:pPr>
            <w:r w:rsidRPr="000C792B">
              <w:t>Note 6</w:t>
            </w:r>
          </w:p>
        </w:tc>
        <w:tc>
          <w:tcPr>
            <w:tcW w:w="1275" w:type="dxa"/>
            <w:vAlign w:val="center"/>
          </w:tcPr>
          <w:p w14:paraId="7372A946" w14:textId="77777777" w:rsidR="005F67F3" w:rsidRPr="000C792B" w:rsidRDefault="005F67F3" w:rsidP="005F67F3">
            <w:pPr>
              <w:pStyle w:val="TAC"/>
            </w:pPr>
            <w:r w:rsidRPr="000C792B">
              <w:t>Note 6</w:t>
            </w:r>
          </w:p>
        </w:tc>
      </w:tr>
      <w:tr w:rsidR="00060B2A" w:rsidRPr="000C792B" w14:paraId="53CC6135" w14:textId="77777777" w:rsidTr="00224E82">
        <w:trPr>
          <w:jc w:val="center"/>
        </w:trPr>
        <w:tc>
          <w:tcPr>
            <w:tcW w:w="10064" w:type="dxa"/>
            <w:gridSpan w:val="8"/>
            <w:vAlign w:val="center"/>
            <w:hideMark/>
          </w:tcPr>
          <w:p w14:paraId="5D1E3536" w14:textId="77777777" w:rsidR="00B22B9E" w:rsidRPr="000C792B" w:rsidRDefault="00B22B9E" w:rsidP="00B22B9E">
            <w:pPr>
              <w:pStyle w:val="TAN"/>
            </w:pPr>
            <w:r w:rsidRPr="000C792B">
              <w:t>NOTE 1:</w:t>
            </w:r>
            <w:r w:rsidRPr="000C792B">
              <w:tab/>
              <w:t>Minimum PRS bandwidth, which is minimum of the PRS bandwidths of the reference resource and the measured neighbour resource i.</w:t>
            </w:r>
          </w:p>
          <w:p w14:paraId="6AEC3F31" w14:textId="77777777" w:rsidR="00B22B9E" w:rsidRPr="000C792B" w:rsidRDefault="00B22B9E" w:rsidP="00B22B9E">
            <w:pPr>
              <w:pStyle w:val="TAN"/>
              <w:rPr>
                <w:iCs/>
                <w:szCs w:val="18"/>
                <w:lang w:val="en-US" w:eastAsia="zh-CN"/>
              </w:rPr>
            </w:pPr>
            <w:r w:rsidRPr="007D085D">
              <w:t xml:space="preserve">NOTE 2: </w:t>
            </w:r>
            <w:r w:rsidRPr="007D085D">
              <w:tab/>
              <w:t xml:space="preserve">Minimum number of PRS resource repetitions among the reference resource and the measured neighbour resource i. </w:t>
            </w:r>
            <m:oMath>
              <m:sSubSup>
                <m:sSubSupPr>
                  <m:ctrlPr>
                    <w:rPr>
                      <w:rFonts w:ascii="Cambria Math" w:hAnsi="Cambria Math"/>
                      <w:i/>
                    </w:rPr>
                  </m:ctrlPr>
                </m:sSubSupPr>
                <m:e>
                  <m:r>
                    <w:rPr>
                      <w:rFonts w:ascii="Cambria Math" w:hAnsi="Cambria Math"/>
                    </w:rPr>
                    <m:t>T</m:t>
                  </m:r>
                </m:e>
                <m:sub>
                  <m:r>
                    <m:rPr>
                      <m:nor/>
                    </m:rPr>
                    <w:rPr>
                      <w:rFonts w:ascii="Cambria Math" w:hAnsi="Cambria Math"/>
                    </w:rPr>
                    <m:t>rep</m:t>
                  </m:r>
                </m:sub>
                <m:sup>
                  <m:r>
                    <m:rPr>
                      <m:nor/>
                    </m:rPr>
                    <w:rPr>
                      <w:rFonts w:ascii="Cambria Math" w:hAnsi="Cambria Math"/>
                    </w:rPr>
                    <m:t>PRS</m:t>
                  </m:r>
                </m:sup>
              </m:sSubSup>
              <m:r>
                <w:rPr>
                  <w:rFonts w:ascii="Cambria Math" w:hAnsi="Cambria Math"/>
                </w:rPr>
                <m:t xml:space="preserve">, </m:t>
              </m:r>
              <m:sSub>
                <m:sSubPr>
                  <m:ctrlPr>
                    <w:rPr>
                      <w:rFonts w:ascii="Cambria Math" w:hAnsi="Cambria Math"/>
                    </w:rPr>
                  </m:ctrlPr>
                </m:sSubPr>
                <m:e>
                  <m:r>
                    <w:rPr>
                      <w:rFonts w:ascii="Cambria Math" w:hAnsi="Cambria Math"/>
                    </w:rPr>
                    <m:t>L</m:t>
                  </m:r>
                </m:e>
                <m:sub>
                  <m:r>
                    <m:rPr>
                      <m:nor/>
                    </m:rPr>
                    <m:t>PRS</m:t>
                  </m:r>
                </m:sub>
              </m:sSub>
              <m:r>
                <w:rPr>
                  <w:rFonts w:ascii="Cambria Math" w:hAnsi="Cambria Math"/>
                </w:rPr>
                <m:t xml:space="preserve"> ,</m:t>
              </m:r>
              <m:sSubSup>
                <m:sSubSupPr>
                  <m:ctrlPr>
                    <w:rPr>
                      <w:rFonts w:ascii="Cambria Math" w:hAnsi="Cambria Math"/>
                      <w:i/>
                    </w:rPr>
                  </m:ctrlPr>
                </m:sSubSupPr>
                <m:e>
                  <m:r>
                    <w:rPr>
                      <w:rFonts w:ascii="Cambria Math" w:hAnsi="Cambria Math"/>
                    </w:rPr>
                    <m:t>K</m:t>
                  </m:r>
                </m:e>
                <m:sub>
                  <m:r>
                    <m:rPr>
                      <m:nor/>
                    </m:rPr>
                    <w:rPr>
                      <w:rFonts w:ascii="Cambria Math" w:hAnsi="Cambria Math"/>
                    </w:rPr>
                    <m:t>comb</m:t>
                  </m:r>
                </m:sub>
                <m:sup>
                  <m:r>
                    <m:rPr>
                      <m:nor/>
                    </m:rPr>
                    <w:rPr>
                      <w:rFonts w:ascii="Cambria Math" w:hAnsi="Cambria Math"/>
                    </w:rPr>
                    <m:t>PRS</m:t>
                  </m:r>
                </m:sup>
              </m:sSubSup>
            </m:oMath>
            <w:r w:rsidRPr="007D085D">
              <w:rPr>
                <w:b/>
                <w:bCs/>
                <w:lang w:eastAsia="zh-CN"/>
              </w:rPr>
              <w:t xml:space="preserve"> </w:t>
            </w:r>
            <w:r w:rsidRPr="007D085D">
              <w:rPr>
                <w:szCs w:val="18"/>
              </w:rPr>
              <w:t xml:space="preserve">are configured by higher layer parameter </w:t>
            </w:r>
            <w:r w:rsidRPr="007D085D">
              <w:rPr>
                <w:i/>
                <w:szCs w:val="18"/>
              </w:rPr>
              <w:t>dl-PRS-ResourceRepetitionFactor, dl-PRS-NumSymbols and dl-PRS-CombSizeN</w:t>
            </w:r>
            <w:r w:rsidRPr="007D085D">
              <w:rPr>
                <w:iCs/>
                <w:szCs w:val="18"/>
              </w:rPr>
              <w:t>defined in TS 37.355 [34], respectively</w:t>
            </w:r>
            <w:r w:rsidRPr="007D085D">
              <w:rPr>
                <w:iCs/>
                <w:szCs w:val="18"/>
                <w:lang w:val="en-US" w:eastAsia="zh-CN"/>
              </w:rPr>
              <w:t>.</w:t>
            </w:r>
          </w:p>
          <w:p w14:paraId="04412E32" w14:textId="77777777" w:rsidR="00B22B9E" w:rsidRPr="000C792B" w:rsidRDefault="00B22B9E" w:rsidP="00B22B9E">
            <w:pPr>
              <w:pStyle w:val="TAN"/>
            </w:pPr>
            <w:r w:rsidRPr="000C792B">
              <w:t>N</w:t>
            </w:r>
            <w:r w:rsidRPr="000C792B">
              <w:rPr>
                <w:lang w:eastAsia="zh-CN"/>
              </w:rPr>
              <w:t>OTE</w:t>
            </w:r>
            <w:r w:rsidRPr="000C792B">
              <w:t xml:space="preserve"> 3:</w:t>
            </w:r>
            <w:r w:rsidRPr="000C792B">
              <w:tab/>
              <w:t>Io is assumed to have constant EPRE across the bandwidth.</w:t>
            </w:r>
          </w:p>
          <w:p w14:paraId="5395DD26" w14:textId="77777777" w:rsidR="00B22B9E" w:rsidRPr="000C792B" w:rsidRDefault="00B22B9E" w:rsidP="00B22B9E">
            <w:pPr>
              <w:pStyle w:val="TAN"/>
            </w:pPr>
            <w:r w:rsidRPr="000C792B">
              <w:t>N</w:t>
            </w:r>
            <w:r w:rsidRPr="000C792B">
              <w:rPr>
                <w:lang w:eastAsia="zh-CN"/>
              </w:rPr>
              <w:t>OTE</w:t>
            </w:r>
            <w:r w:rsidRPr="000C792B">
              <w:t xml:space="preserve"> 4:</w:t>
            </w:r>
            <w:r w:rsidRPr="000C792B">
              <w:tab/>
              <w:t>NR operating band groups in FR1 are as defined in clause 3.5.2.</w:t>
            </w:r>
          </w:p>
          <w:p w14:paraId="3751E25B" w14:textId="77777777" w:rsidR="00B22B9E" w:rsidRPr="000C792B" w:rsidRDefault="00B22B9E" w:rsidP="00B22B9E">
            <w:pPr>
              <w:pStyle w:val="TAN"/>
            </w:pPr>
            <w:r w:rsidRPr="000C792B">
              <w:t>N</w:t>
            </w:r>
            <w:r w:rsidRPr="000C792B">
              <w:rPr>
                <w:lang w:eastAsia="zh-CN"/>
              </w:rPr>
              <w:t>OTE</w:t>
            </w:r>
            <w:r w:rsidRPr="000C792B">
              <w:t xml:space="preserve"> 5:</w:t>
            </w:r>
            <w:r w:rsidRPr="000C792B">
              <w:tab/>
              <w:t>Tc is the basic timing unit defined in TS 38.211 [6].</w:t>
            </w:r>
          </w:p>
          <w:p w14:paraId="5B6597F2" w14:textId="77777777" w:rsidR="00B22B9E" w:rsidRPr="000C792B" w:rsidRDefault="00B22B9E" w:rsidP="00B22B9E">
            <w:pPr>
              <w:pStyle w:val="TAN"/>
            </w:pPr>
            <w:r w:rsidRPr="000C792B">
              <w:t>NOTE 6:</w:t>
            </w:r>
            <w:r w:rsidRPr="000C792B">
              <w:tab/>
              <w:t>The same bands and the same Io conditions for each band apply for this requirement as for the corresponding requirement with the PRS bandwidth of the smallest RB number for the corresponding SCS.</w:t>
            </w:r>
          </w:p>
          <w:p w14:paraId="6218283C" w14:textId="226ADC5A" w:rsidR="00060B2A" w:rsidRPr="000C792B" w:rsidRDefault="005F67F3" w:rsidP="00B22B9E">
            <w:pPr>
              <w:pStyle w:val="TAN"/>
            </w:pPr>
            <w:r w:rsidRPr="000C792B">
              <w:t>NOTE 7:</w:t>
            </w:r>
            <w:r w:rsidRPr="000C792B">
              <w:tab/>
            </w:r>
            <w:r>
              <w:rPr>
                <w:rFonts w:hint="eastAsia"/>
                <w:lang w:eastAsia="zh-CN"/>
              </w:rPr>
              <w:t>V</w:t>
            </w:r>
            <w:r>
              <w:rPr>
                <w:lang w:eastAsia="zh-CN"/>
              </w:rPr>
              <w:t>oid</w:t>
            </w:r>
          </w:p>
        </w:tc>
      </w:tr>
    </w:tbl>
    <w:p w14:paraId="62BA1F2B" w14:textId="77777777" w:rsidR="00060B2A" w:rsidRPr="000C792B" w:rsidRDefault="00060B2A" w:rsidP="00060B2A"/>
    <w:p w14:paraId="194AAA90" w14:textId="77777777" w:rsidR="00060B2A" w:rsidRPr="000C792B" w:rsidRDefault="00060B2A" w:rsidP="00060B2A">
      <w:pPr>
        <w:pStyle w:val="TH"/>
      </w:pPr>
      <w:r w:rsidRPr="000C792B">
        <w:t>Table 10.1.23.2-4:  RSTD absolute accuracy in FR2 for fading channel</w:t>
      </w:r>
    </w:p>
    <w:tbl>
      <w:tblPr>
        <w:tblW w:w="0" w:type="auto"/>
        <w:jc w:val="center"/>
        <w:tblLook w:val="01E0" w:firstRow="1" w:lastRow="1" w:firstColumn="1" w:lastColumn="1" w:noHBand="0" w:noVBand="0"/>
      </w:tblPr>
      <w:tblGrid>
        <w:gridCol w:w="1076"/>
        <w:gridCol w:w="1117"/>
        <w:gridCol w:w="695"/>
        <w:gridCol w:w="1249"/>
        <w:gridCol w:w="1406"/>
        <w:gridCol w:w="2577"/>
        <w:gridCol w:w="1509"/>
      </w:tblGrid>
      <w:tr w:rsidR="00060B2A" w:rsidRPr="000C792B" w14:paraId="5BF9AFF1" w14:textId="77777777" w:rsidTr="00224E82">
        <w:trPr>
          <w:jc w:val="center"/>
        </w:trPr>
        <w:tc>
          <w:tcPr>
            <w:tcW w:w="0" w:type="auto"/>
            <w:vMerge w:val="restart"/>
            <w:tcBorders>
              <w:top w:val="single" w:sz="4" w:space="0" w:color="auto"/>
              <w:left w:val="single" w:sz="4" w:space="0" w:color="auto"/>
              <w:bottom w:val="single" w:sz="6" w:space="0" w:color="auto"/>
              <w:right w:val="single" w:sz="6" w:space="0" w:color="auto"/>
            </w:tcBorders>
            <w:vAlign w:val="center"/>
            <w:hideMark/>
          </w:tcPr>
          <w:p w14:paraId="607E060A" w14:textId="77777777" w:rsidR="00060B2A" w:rsidRPr="000C792B" w:rsidRDefault="00060B2A" w:rsidP="00224E82">
            <w:pPr>
              <w:pStyle w:val="TAH"/>
            </w:pPr>
            <w:r w:rsidRPr="000C792B">
              <w:t>Accuracy</w:t>
            </w:r>
          </w:p>
        </w:tc>
        <w:tc>
          <w:tcPr>
            <w:tcW w:w="0" w:type="auto"/>
            <w:gridSpan w:val="6"/>
            <w:tcBorders>
              <w:top w:val="single" w:sz="4" w:space="0" w:color="auto"/>
              <w:left w:val="single" w:sz="6" w:space="0" w:color="auto"/>
              <w:bottom w:val="single" w:sz="6" w:space="0" w:color="auto"/>
              <w:right w:val="single" w:sz="4" w:space="0" w:color="auto"/>
            </w:tcBorders>
            <w:vAlign w:val="center"/>
            <w:hideMark/>
          </w:tcPr>
          <w:p w14:paraId="5DBAA285" w14:textId="77777777" w:rsidR="00060B2A" w:rsidRPr="000C792B" w:rsidRDefault="00060B2A" w:rsidP="00224E82">
            <w:pPr>
              <w:pStyle w:val="TAH"/>
            </w:pPr>
            <w:r w:rsidRPr="000C792B">
              <w:t>Conditions</w:t>
            </w:r>
          </w:p>
        </w:tc>
      </w:tr>
      <w:tr w:rsidR="00060B2A" w:rsidRPr="000C792B" w14:paraId="12FD39B0" w14:textId="77777777" w:rsidTr="00224E82">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14DF9269" w14:textId="77777777" w:rsidR="00060B2A" w:rsidRPr="000C792B" w:rsidRDefault="00060B2A" w:rsidP="00224E82">
            <w:pPr>
              <w:pStyle w:val="TAH"/>
            </w:pPr>
          </w:p>
        </w:tc>
        <w:tc>
          <w:tcPr>
            <w:tcW w:w="0" w:type="auto"/>
            <w:vMerge w:val="restart"/>
            <w:tcBorders>
              <w:top w:val="single" w:sz="6" w:space="0" w:color="auto"/>
              <w:left w:val="single" w:sz="6" w:space="0" w:color="auto"/>
              <w:bottom w:val="single" w:sz="6" w:space="0" w:color="auto"/>
              <w:right w:val="single" w:sz="4" w:space="0" w:color="auto"/>
            </w:tcBorders>
            <w:vAlign w:val="center"/>
            <w:hideMark/>
          </w:tcPr>
          <w:p w14:paraId="60008229" w14:textId="77777777" w:rsidR="00060B2A" w:rsidRPr="000C792B" w:rsidRDefault="00060B2A" w:rsidP="00224E82">
            <w:pPr>
              <w:pStyle w:val="TAH"/>
            </w:pPr>
            <w:r w:rsidRPr="000C792B">
              <w:t>PRS Ês/Iot</w:t>
            </w:r>
          </w:p>
        </w:tc>
        <w:tc>
          <w:tcPr>
            <w:tcW w:w="0" w:type="auto"/>
            <w:vMerge w:val="restart"/>
            <w:tcBorders>
              <w:top w:val="single" w:sz="6" w:space="0" w:color="auto"/>
              <w:left w:val="single" w:sz="4" w:space="0" w:color="auto"/>
              <w:bottom w:val="single" w:sz="6" w:space="0" w:color="auto"/>
              <w:right w:val="single" w:sz="6" w:space="0" w:color="auto"/>
            </w:tcBorders>
            <w:vAlign w:val="center"/>
            <w:hideMark/>
          </w:tcPr>
          <w:p w14:paraId="0E8E4BB2" w14:textId="77777777" w:rsidR="00060B2A" w:rsidRPr="000C792B" w:rsidRDefault="00060B2A" w:rsidP="00224E82">
            <w:pPr>
              <w:pStyle w:val="TAH"/>
              <w:rPr>
                <w:lang w:eastAsia="zh-CN"/>
              </w:rPr>
            </w:pPr>
            <w:r w:rsidRPr="000C792B">
              <w:t>PRS SCS</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03FA9541" w14:textId="77777777" w:rsidR="00060B2A" w:rsidRPr="000C792B" w:rsidRDefault="00060B2A" w:rsidP="00224E82">
            <w:pPr>
              <w:pStyle w:val="TAH"/>
              <w:rPr>
                <w:lang w:eastAsia="zh-CN"/>
              </w:rPr>
            </w:pPr>
            <w:r w:rsidRPr="000C792B">
              <w:rPr>
                <w:lang w:eastAsia="zh-CN"/>
              </w:rPr>
              <w:t>PRS bandwidth</w:t>
            </w:r>
          </w:p>
          <w:p w14:paraId="3F3C8AD2" w14:textId="77777777" w:rsidR="00060B2A" w:rsidRPr="000C792B" w:rsidRDefault="00060B2A" w:rsidP="00224E82">
            <w:pPr>
              <w:pStyle w:val="TAH"/>
            </w:pPr>
            <w:r w:rsidRPr="000C792B">
              <w:rPr>
                <w:vertAlign w:val="superscript"/>
              </w:rPr>
              <w:t>Note 1</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10A67A93" w14:textId="77777777" w:rsidR="00060B2A" w:rsidRPr="000C792B" w:rsidRDefault="00060B2A" w:rsidP="00224E82">
            <w:pPr>
              <w:pStyle w:val="TAH"/>
              <w:rPr>
                <w:lang w:eastAsia="zh-CN"/>
              </w:rPr>
            </w:pPr>
            <w:r w:rsidRPr="000C792B">
              <w:rPr>
                <w:lang w:eastAsia="zh-CN"/>
              </w:rPr>
              <w:t xml:space="preserve">PRS resource repetition </w:t>
            </w:r>
          </w:p>
          <w:p w14:paraId="5DB91C89" w14:textId="77777777" w:rsidR="00060B2A" w:rsidRPr="000C792B" w:rsidRDefault="00060B2A" w:rsidP="00224E82">
            <w:pPr>
              <w:pStyle w:val="TAH"/>
              <w:rPr>
                <w:lang w:eastAsia="zh-CN"/>
              </w:rPr>
            </w:pPr>
            <w:r w:rsidRPr="000C792B">
              <w:rPr>
                <w:lang w:eastAsia="zh-CN"/>
              </w:rPr>
              <w:t>(</w:t>
            </w:r>
            <m:oMath>
              <m:sSubSup>
                <m:sSubSupPr>
                  <m:ctrlPr>
                    <w:rPr>
                      <w:rFonts w:ascii="Cambria Math" w:hAnsi="Cambria Math"/>
                      <w:bCs/>
                      <w:i/>
                      <w:iCs/>
                      <w:lang w:val="en-US" w:eastAsia="zh-CN"/>
                    </w:rPr>
                  </m:ctrlPr>
                </m:sSubSupPr>
                <m:e>
                  <m:r>
                    <m:rPr>
                      <m:sty m:val="b"/>
                    </m:rPr>
                    <w:rPr>
                      <w:rFonts w:ascii="Cambria Math" w:hAnsi="Cambria Math"/>
                      <w:lang w:eastAsia="zh-CN"/>
                    </w:rPr>
                    <m:t>T</m:t>
                  </m:r>
                </m:e>
                <m:sub>
                  <m:r>
                    <m:rPr>
                      <m:nor/>
                    </m:rPr>
                    <w:rPr>
                      <w:bCs/>
                      <w:lang w:eastAsia="zh-CN"/>
                    </w:rPr>
                    <m:t>rep</m:t>
                  </m:r>
                </m:sub>
                <m:sup>
                  <m:r>
                    <m:rPr>
                      <m:nor/>
                    </m:rPr>
                    <w:rPr>
                      <w:bCs/>
                      <w:lang w:eastAsia="zh-CN"/>
                    </w:rPr>
                    <m:t>PRS</m:t>
                  </m:r>
                </m:sup>
              </m:sSubSup>
              <m:r>
                <m:rPr>
                  <m:sty m:val="b"/>
                </m:rPr>
                <w:rPr>
                  <w:rFonts w:ascii="Cambria Math" w:hAnsi="Cambria Math"/>
                  <w:lang w:eastAsia="zh-CN"/>
                </w:rPr>
                <m:t>*</m:t>
              </m:r>
              <m:sSub>
                <m:sSubPr>
                  <m:ctrlPr>
                    <w:rPr>
                      <w:rFonts w:ascii="Cambria Math" w:hAnsi="Cambria Math"/>
                      <w:bCs/>
                      <w:i/>
                      <w:iCs/>
                      <w:lang w:val="en-US" w:eastAsia="zh-CN"/>
                    </w:rPr>
                  </m:ctrlPr>
                </m:sSubPr>
                <m:e>
                  <m:r>
                    <m:rPr>
                      <m:sty m:val="b"/>
                    </m:rPr>
                    <w:rPr>
                      <w:rFonts w:ascii="Cambria Math" w:hAnsi="Cambria Math"/>
                      <w:lang w:eastAsia="zh-CN"/>
                    </w:rPr>
                    <m:t>L</m:t>
                  </m:r>
                </m:e>
                <m:sub>
                  <m:r>
                    <m:rPr>
                      <m:nor/>
                    </m:rPr>
                    <w:rPr>
                      <w:bCs/>
                      <w:lang w:eastAsia="zh-CN"/>
                    </w:rPr>
                    <m:t>PRS</m:t>
                  </m:r>
                </m:sub>
              </m:sSub>
              <m:r>
                <m:rPr>
                  <m:sty m:val="b"/>
                </m:rPr>
                <w:rPr>
                  <w:rFonts w:ascii="Cambria Math" w:hAnsi="Cambria Math"/>
                  <w:lang w:eastAsia="zh-CN"/>
                </w:rPr>
                <m:t>/</m:t>
              </m:r>
              <m:sSubSup>
                <m:sSubSupPr>
                  <m:ctrlPr>
                    <w:rPr>
                      <w:rFonts w:ascii="Cambria Math" w:hAnsi="Cambria Math"/>
                      <w:bCs/>
                      <w:i/>
                      <w:iCs/>
                      <w:lang w:val="en-US" w:eastAsia="zh-CN"/>
                    </w:rPr>
                  </m:ctrlPr>
                </m:sSubSupPr>
                <m:e>
                  <m:r>
                    <m:rPr>
                      <m:sty m:val="b"/>
                    </m:rPr>
                    <w:rPr>
                      <w:rFonts w:ascii="Cambria Math" w:hAnsi="Cambria Math"/>
                      <w:lang w:eastAsia="zh-CN"/>
                    </w:rPr>
                    <m:t>K</m:t>
                  </m:r>
                </m:e>
                <m:sub>
                  <m:r>
                    <m:rPr>
                      <m:nor/>
                    </m:rPr>
                    <w:rPr>
                      <w:bCs/>
                      <w:lang w:eastAsia="zh-CN"/>
                    </w:rPr>
                    <m:t>comb</m:t>
                  </m:r>
                </m:sub>
                <m:sup>
                  <m:r>
                    <m:rPr>
                      <m:nor/>
                    </m:rPr>
                    <w:rPr>
                      <w:bCs/>
                      <w:lang w:eastAsia="zh-CN"/>
                    </w:rPr>
                    <m:t>PRS</m:t>
                  </m:r>
                </m:sup>
              </m:sSubSup>
            </m:oMath>
            <w:r w:rsidRPr="000C792B">
              <w:rPr>
                <w:lang w:eastAsia="zh-CN"/>
              </w:rPr>
              <w:t xml:space="preserve">)          </w:t>
            </w:r>
            <w:r w:rsidRPr="000C792B">
              <w:rPr>
                <w:vertAlign w:val="superscript"/>
              </w:rPr>
              <w:t>Note 2</w:t>
            </w:r>
          </w:p>
        </w:tc>
        <w:tc>
          <w:tcPr>
            <w:tcW w:w="0" w:type="auto"/>
            <w:gridSpan w:val="2"/>
            <w:tcBorders>
              <w:top w:val="single" w:sz="6" w:space="0" w:color="auto"/>
              <w:left w:val="single" w:sz="6" w:space="0" w:color="auto"/>
              <w:bottom w:val="single" w:sz="6" w:space="0" w:color="auto"/>
              <w:right w:val="single" w:sz="4" w:space="0" w:color="auto"/>
            </w:tcBorders>
            <w:vAlign w:val="center"/>
            <w:hideMark/>
          </w:tcPr>
          <w:p w14:paraId="2188AA62" w14:textId="77777777" w:rsidR="00060B2A" w:rsidRPr="000C792B" w:rsidRDefault="00060B2A" w:rsidP="00224E82">
            <w:pPr>
              <w:pStyle w:val="TAH"/>
            </w:pPr>
            <w:r w:rsidRPr="000C792B">
              <w:t>Io</w:t>
            </w:r>
            <w:r w:rsidRPr="000C792B">
              <w:rPr>
                <w:vertAlign w:val="superscript"/>
                <w:lang w:eastAsia="zh-CN"/>
              </w:rPr>
              <w:t xml:space="preserve"> Note 3</w:t>
            </w:r>
            <w:r w:rsidRPr="000C792B">
              <w:t xml:space="preserve"> range</w:t>
            </w:r>
          </w:p>
        </w:tc>
      </w:tr>
      <w:tr w:rsidR="00060B2A" w:rsidRPr="000C792B" w14:paraId="7246D067" w14:textId="77777777" w:rsidTr="00224E82">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179ABE60" w14:textId="77777777" w:rsidR="00060B2A" w:rsidRPr="000C792B" w:rsidRDefault="00060B2A" w:rsidP="00224E82">
            <w:pPr>
              <w:pStyle w:val="TAH"/>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26862D83" w14:textId="77777777" w:rsidR="00060B2A" w:rsidRPr="000C792B" w:rsidRDefault="00060B2A" w:rsidP="00224E82">
            <w:pPr>
              <w:pStyle w:val="TAH"/>
            </w:pPr>
          </w:p>
        </w:tc>
        <w:tc>
          <w:tcPr>
            <w:tcW w:w="0" w:type="auto"/>
            <w:vMerge/>
            <w:tcBorders>
              <w:top w:val="single" w:sz="6" w:space="0" w:color="auto"/>
              <w:left w:val="single" w:sz="4" w:space="0" w:color="auto"/>
              <w:bottom w:val="single" w:sz="6" w:space="0" w:color="auto"/>
              <w:right w:val="single" w:sz="6" w:space="0" w:color="auto"/>
            </w:tcBorders>
            <w:vAlign w:val="center"/>
            <w:hideMark/>
          </w:tcPr>
          <w:p w14:paraId="048CBCC1" w14:textId="77777777" w:rsidR="00060B2A" w:rsidRPr="000C792B" w:rsidRDefault="00060B2A" w:rsidP="00224E82">
            <w:pPr>
              <w:pStyle w:val="TAH"/>
              <w:rPr>
                <w:lang w:eastAsia="zh-CN"/>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631FA80" w14:textId="77777777" w:rsidR="00060B2A" w:rsidRPr="000C792B" w:rsidRDefault="00060B2A" w:rsidP="00224E82">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63D7CA" w14:textId="77777777" w:rsidR="00060B2A" w:rsidRPr="000C792B" w:rsidRDefault="00060B2A" w:rsidP="00224E82">
            <w:pPr>
              <w:pStyle w:val="TAH"/>
              <w:rPr>
                <w:lang w:eastAsia="zh-CN"/>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F5A51AD" w14:textId="77777777" w:rsidR="00060B2A" w:rsidRPr="000C792B" w:rsidRDefault="00060B2A" w:rsidP="00224E82">
            <w:pPr>
              <w:pStyle w:val="TAH"/>
            </w:pPr>
            <w:r w:rsidRPr="000C792B">
              <w:t xml:space="preserve">Minimum Io </w:t>
            </w:r>
          </w:p>
        </w:tc>
        <w:tc>
          <w:tcPr>
            <w:tcW w:w="0" w:type="auto"/>
            <w:tcBorders>
              <w:top w:val="single" w:sz="6" w:space="0" w:color="auto"/>
              <w:left w:val="single" w:sz="6" w:space="0" w:color="auto"/>
              <w:bottom w:val="single" w:sz="6" w:space="0" w:color="auto"/>
              <w:right w:val="single" w:sz="4" w:space="0" w:color="auto"/>
            </w:tcBorders>
            <w:vAlign w:val="center"/>
            <w:hideMark/>
          </w:tcPr>
          <w:p w14:paraId="66FC25E6" w14:textId="77777777" w:rsidR="00060B2A" w:rsidRPr="000C792B" w:rsidRDefault="00060B2A" w:rsidP="00224E82">
            <w:pPr>
              <w:pStyle w:val="TAH"/>
            </w:pPr>
            <w:r w:rsidRPr="000C792B">
              <w:t>Maximum Io</w:t>
            </w:r>
          </w:p>
        </w:tc>
      </w:tr>
      <w:tr w:rsidR="00060B2A" w:rsidRPr="000C792B" w14:paraId="179DDA4C"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21B5F62E" w14:textId="77777777" w:rsidR="00060B2A" w:rsidRPr="000C792B" w:rsidRDefault="00060B2A" w:rsidP="00224E82">
            <w:pPr>
              <w:pStyle w:val="TAH"/>
            </w:pPr>
            <w:r w:rsidRPr="000C792B">
              <w:t>Tc</w:t>
            </w:r>
            <w:r w:rsidRPr="000C792B">
              <w:rPr>
                <w:vertAlign w:val="superscript"/>
                <w:lang w:eastAsia="zh-CN"/>
              </w:rPr>
              <w:t xml:space="preserve"> Note 4</w:t>
            </w:r>
          </w:p>
        </w:tc>
        <w:tc>
          <w:tcPr>
            <w:tcW w:w="0" w:type="auto"/>
            <w:tcBorders>
              <w:top w:val="single" w:sz="6" w:space="0" w:color="auto"/>
              <w:left w:val="single" w:sz="6" w:space="0" w:color="auto"/>
              <w:bottom w:val="single" w:sz="6" w:space="0" w:color="auto"/>
              <w:right w:val="single" w:sz="4" w:space="0" w:color="auto"/>
            </w:tcBorders>
            <w:vAlign w:val="center"/>
            <w:hideMark/>
          </w:tcPr>
          <w:p w14:paraId="5CB218CD" w14:textId="77777777" w:rsidR="00060B2A" w:rsidRPr="000C792B" w:rsidRDefault="00060B2A" w:rsidP="00224E82">
            <w:pPr>
              <w:pStyle w:val="TAH"/>
            </w:pPr>
            <w:r w:rsidRPr="000C792B">
              <w:t>dB</w:t>
            </w:r>
          </w:p>
        </w:tc>
        <w:tc>
          <w:tcPr>
            <w:tcW w:w="0" w:type="auto"/>
            <w:tcBorders>
              <w:top w:val="single" w:sz="6" w:space="0" w:color="auto"/>
              <w:left w:val="single" w:sz="4" w:space="0" w:color="auto"/>
              <w:bottom w:val="single" w:sz="6" w:space="0" w:color="auto"/>
              <w:right w:val="single" w:sz="6" w:space="0" w:color="auto"/>
            </w:tcBorders>
            <w:vAlign w:val="center"/>
            <w:hideMark/>
          </w:tcPr>
          <w:p w14:paraId="376E655D" w14:textId="77777777" w:rsidR="00060B2A" w:rsidRPr="000C792B" w:rsidRDefault="00060B2A" w:rsidP="00224E82">
            <w:pPr>
              <w:pStyle w:val="TAH"/>
              <w:rPr>
                <w:lang w:eastAsia="zh-CN"/>
              </w:rPr>
            </w:pPr>
            <w:r w:rsidRPr="000C792B">
              <w:rPr>
                <w:lang w:eastAsia="zh-CN"/>
              </w:rPr>
              <w:t>kHz</w:t>
            </w:r>
          </w:p>
        </w:tc>
        <w:tc>
          <w:tcPr>
            <w:tcW w:w="0" w:type="auto"/>
            <w:tcBorders>
              <w:top w:val="single" w:sz="6" w:space="0" w:color="auto"/>
              <w:left w:val="single" w:sz="6" w:space="0" w:color="auto"/>
              <w:bottom w:val="single" w:sz="6" w:space="0" w:color="auto"/>
              <w:right w:val="single" w:sz="6" w:space="0" w:color="auto"/>
            </w:tcBorders>
            <w:vAlign w:val="center"/>
            <w:hideMark/>
          </w:tcPr>
          <w:p w14:paraId="2133620D" w14:textId="77777777" w:rsidR="00060B2A" w:rsidRPr="000C792B" w:rsidRDefault="00060B2A" w:rsidP="00224E82">
            <w:pPr>
              <w:pStyle w:val="TAH"/>
            </w:pPr>
            <w:r w:rsidRPr="000C792B">
              <w:t>RB</w:t>
            </w:r>
          </w:p>
        </w:tc>
        <w:tc>
          <w:tcPr>
            <w:tcW w:w="0" w:type="auto"/>
            <w:tcBorders>
              <w:top w:val="single" w:sz="6" w:space="0" w:color="auto"/>
              <w:left w:val="single" w:sz="6" w:space="0" w:color="auto"/>
              <w:bottom w:val="single" w:sz="6" w:space="0" w:color="auto"/>
              <w:right w:val="single" w:sz="6" w:space="0" w:color="auto"/>
            </w:tcBorders>
            <w:vAlign w:val="center"/>
          </w:tcPr>
          <w:p w14:paraId="4B454837" w14:textId="77777777" w:rsidR="00060B2A" w:rsidRPr="000C792B" w:rsidRDefault="00060B2A" w:rsidP="00224E82">
            <w:pPr>
              <w:pStyle w:val="TAH"/>
            </w:pPr>
          </w:p>
        </w:tc>
        <w:tc>
          <w:tcPr>
            <w:tcW w:w="0" w:type="auto"/>
            <w:tcBorders>
              <w:top w:val="single" w:sz="6" w:space="0" w:color="auto"/>
              <w:left w:val="single" w:sz="6" w:space="0" w:color="auto"/>
              <w:bottom w:val="single" w:sz="6" w:space="0" w:color="auto"/>
              <w:right w:val="single" w:sz="6" w:space="0" w:color="auto"/>
            </w:tcBorders>
            <w:vAlign w:val="center"/>
            <w:hideMark/>
          </w:tcPr>
          <w:p w14:paraId="3BF0485D" w14:textId="77777777" w:rsidR="00060B2A" w:rsidRPr="000C792B" w:rsidRDefault="00060B2A" w:rsidP="00224E82">
            <w:pPr>
              <w:pStyle w:val="TAH"/>
            </w:pPr>
            <w:r w:rsidRPr="000C792B">
              <w:t>dBm/SCS</w:t>
            </w:r>
            <w:r w:rsidRPr="000C792B">
              <w:rPr>
                <w:vertAlign w:val="superscript"/>
                <w:lang w:eastAsia="zh-CN"/>
              </w:rPr>
              <w:t xml:space="preserve"> </w:t>
            </w:r>
          </w:p>
        </w:tc>
        <w:tc>
          <w:tcPr>
            <w:tcW w:w="0" w:type="auto"/>
            <w:tcBorders>
              <w:top w:val="single" w:sz="6" w:space="0" w:color="auto"/>
              <w:left w:val="single" w:sz="6" w:space="0" w:color="auto"/>
              <w:bottom w:val="single" w:sz="6" w:space="0" w:color="auto"/>
              <w:right w:val="single" w:sz="4" w:space="0" w:color="auto"/>
            </w:tcBorders>
            <w:vAlign w:val="center"/>
            <w:hideMark/>
          </w:tcPr>
          <w:p w14:paraId="0C14DE39" w14:textId="77777777" w:rsidR="00060B2A" w:rsidRPr="000C792B" w:rsidRDefault="00060B2A" w:rsidP="00224E82">
            <w:pPr>
              <w:pStyle w:val="TAH"/>
            </w:pPr>
            <w:r w:rsidRPr="000C792B">
              <w:t>dBm/BW</w:t>
            </w:r>
            <w:r w:rsidRPr="000C792B">
              <w:rPr>
                <w:vertAlign w:val="subscript"/>
              </w:rPr>
              <w:t>Channel</w:t>
            </w:r>
          </w:p>
        </w:tc>
      </w:tr>
      <w:tr w:rsidR="00C814AE" w:rsidRPr="000C792B" w14:paraId="4A6F7A40"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tcPr>
          <w:p w14:paraId="1DCC41D2" w14:textId="048C6413" w:rsidR="00C814AE" w:rsidRPr="000C792B" w:rsidRDefault="00C814AE" w:rsidP="00C814AE">
            <w:pPr>
              <w:pStyle w:val="TAC"/>
              <w:rPr>
                <w:b/>
              </w:rPr>
            </w:pPr>
            <w:r w:rsidRPr="000C792B">
              <w:rPr>
                <w:lang w:eastAsia="zh-CN"/>
              </w:rPr>
              <w:t>83</w:t>
            </w:r>
          </w:p>
        </w:tc>
        <w:tc>
          <w:tcPr>
            <w:tcW w:w="0" w:type="auto"/>
            <w:vMerge w:val="restart"/>
            <w:tcBorders>
              <w:top w:val="single" w:sz="6" w:space="0" w:color="auto"/>
              <w:left w:val="single" w:sz="6" w:space="0" w:color="auto"/>
              <w:right w:val="single" w:sz="4" w:space="0" w:color="auto"/>
            </w:tcBorders>
            <w:vAlign w:val="center"/>
          </w:tcPr>
          <w:p w14:paraId="4005CF35" w14:textId="77777777" w:rsidR="00C814AE" w:rsidRPr="000C792B" w:rsidRDefault="00C814AE" w:rsidP="00C814AE">
            <w:pPr>
              <w:pStyle w:val="TAC"/>
            </w:pPr>
            <w:r w:rsidRPr="000C792B">
              <w:t>(PRS Ês/Iot)</w:t>
            </w:r>
            <w:r w:rsidRPr="000C792B">
              <w:rPr>
                <w:vertAlign w:val="subscript"/>
              </w:rPr>
              <w:t xml:space="preserve">ref </w:t>
            </w:r>
            <w:r w:rsidRPr="000C792B">
              <w:t>≥-6dB</w:t>
            </w:r>
          </w:p>
          <w:p w14:paraId="39EB0DC1" w14:textId="77777777" w:rsidR="00C814AE" w:rsidRPr="000C792B" w:rsidRDefault="00C814AE" w:rsidP="00C814AE">
            <w:pPr>
              <w:pStyle w:val="TAC"/>
            </w:pPr>
          </w:p>
          <w:p w14:paraId="097B755D" w14:textId="77777777" w:rsidR="00C814AE" w:rsidRPr="000C792B" w:rsidRDefault="00C814AE" w:rsidP="00C814AE">
            <w:pPr>
              <w:pStyle w:val="TAC"/>
              <w:rPr>
                <w:b/>
                <w:sz w:val="16"/>
                <w:szCs w:val="16"/>
              </w:rPr>
            </w:pPr>
            <w:r w:rsidRPr="000C792B">
              <w:t xml:space="preserve"> (PRS Ês/Iot)</w:t>
            </w:r>
            <w:r w:rsidRPr="000C792B">
              <w:rPr>
                <w:i/>
                <w:vertAlign w:val="subscript"/>
              </w:rPr>
              <w:t>i</w:t>
            </w:r>
            <w:r w:rsidRPr="000C792B">
              <w:t xml:space="preserve"> ≥-13dB</w:t>
            </w:r>
          </w:p>
        </w:tc>
        <w:tc>
          <w:tcPr>
            <w:tcW w:w="0" w:type="auto"/>
            <w:vMerge w:val="restart"/>
            <w:tcBorders>
              <w:top w:val="single" w:sz="6" w:space="0" w:color="auto"/>
              <w:left w:val="single" w:sz="4" w:space="0" w:color="auto"/>
              <w:right w:val="single" w:sz="6" w:space="0" w:color="auto"/>
            </w:tcBorders>
            <w:vAlign w:val="center"/>
          </w:tcPr>
          <w:p w14:paraId="605238DD" w14:textId="77777777" w:rsidR="00C814AE" w:rsidRPr="000C792B" w:rsidRDefault="00C814AE" w:rsidP="00C814AE">
            <w:pPr>
              <w:pStyle w:val="TAC"/>
              <w:rPr>
                <w:lang w:eastAsia="zh-CN"/>
              </w:rPr>
            </w:pPr>
            <w:r w:rsidRPr="000C792B">
              <w:rPr>
                <w:rFonts w:hint="eastAsia"/>
                <w:lang w:eastAsia="zh-CN"/>
              </w:rPr>
              <w:t>6</w:t>
            </w:r>
            <w:r w:rsidRPr="000C792B">
              <w:rPr>
                <w:lang w:eastAsia="zh-CN"/>
              </w:rPr>
              <w:t>0</w:t>
            </w:r>
          </w:p>
        </w:tc>
        <w:tc>
          <w:tcPr>
            <w:tcW w:w="0" w:type="auto"/>
            <w:tcBorders>
              <w:top w:val="single" w:sz="6" w:space="0" w:color="auto"/>
              <w:left w:val="single" w:sz="6" w:space="0" w:color="auto"/>
              <w:bottom w:val="single" w:sz="6" w:space="0" w:color="auto"/>
              <w:right w:val="single" w:sz="6" w:space="0" w:color="auto"/>
            </w:tcBorders>
            <w:vAlign w:val="center"/>
          </w:tcPr>
          <w:p w14:paraId="4D5C6C72" w14:textId="27038CB4" w:rsidR="00C814AE" w:rsidRPr="000C792B" w:rsidRDefault="00C814AE" w:rsidP="00C814AE">
            <w:pPr>
              <w:pStyle w:val="TAC"/>
              <w:rPr>
                <w:b/>
                <w:sz w:val="16"/>
                <w:szCs w:val="16"/>
              </w:rPr>
            </w:pPr>
            <w:r w:rsidRPr="000C792B">
              <w:t>≥ 24</w:t>
            </w:r>
          </w:p>
        </w:tc>
        <w:tc>
          <w:tcPr>
            <w:tcW w:w="0" w:type="auto"/>
            <w:tcBorders>
              <w:top w:val="single" w:sz="6" w:space="0" w:color="auto"/>
              <w:left w:val="single" w:sz="6" w:space="0" w:color="auto"/>
              <w:bottom w:val="single" w:sz="6" w:space="0" w:color="auto"/>
              <w:right w:val="single" w:sz="6" w:space="0" w:color="auto"/>
            </w:tcBorders>
            <w:vAlign w:val="center"/>
          </w:tcPr>
          <w:p w14:paraId="6DB93C69" w14:textId="13695A1D" w:rsidR="00C814AE" w:rsidRPr="000C792B" w:rsidRDefault="00C814AE" w:rsidP="00C814AE">
            <w:pPr>
              <w:pStyle w:val="TAC"/>
              <w:rPr>
                <w:b/>
              </w:rPr>
            </w:pPr>
            <w:r w:rsidRPr="000C792B">
              <w:t>≥ 4</w:t>
            </w:r>
          </w:p>
        </w:tc>
        <w:tc>
          <w:tcPr>
            <w:tcW w:w="0" w:type="auto"/>
            <w:tcBorders>
              <w:top w:val="single" w:sz="6" w:space="0" w:color="auto"/>
              <w:left w:val="single" w:sz="6" w:space="0" w:color="auto"/>
              <w:bottom w:val="single" w:sz="6" w:space="0" w:color="auto"/>
              <w:right w:val="single" w:sz="6" w:space="0" w:color="auto"/>
            </w:tcBorders>
            <w:vAlign w:val="center"/>
          </w:tcPr>
          <w:p w14:paraId="764F70AB" w14:textId="49F0D116" w:rsidR="00C814AE" w:rsidRPr="000C792B" w:rsidRDefault="00C814AE" w:rsidP="00C814AE">
            <w:pPr>
              <w:pStyle w:val="TAC"/>
              <w:rPr>
                <w:b/>
                <w:sz w:val="16"/>
                <w:szCs w:val="16"/>
              </w:rPr>
            </w:pPr>
            <w:r>
              <w:t>Same value as PRS_RP in Table B.2.</w:t>
            </w:r>
            <w:r>
              <w:rPr>
                <w:rFonts w:hint="eastAsia"/>
                <w:lang w:eastAsia="zh-CN"/>
              </w:rPr>
              <w:t>14</w:t>
            </w:r>
            <w:r>
              <w:t>-2, according to UE Power class, operating band and angle of arrival</w:t>
            </w:r>
          </w:p>
        </w:tc>
        <w:tc>
          <w:tcPr>
            <w:tcW w:w="0" w:type="auto"/>
            <w:tcBorders>
              <w:top w:val="single" w:sz="6" w:space="0" w:color="auto"/>
              <w:left w:val="single" w:sz="6" w:space="0" w:color="auto"/>
              <w:bottom w:val="single" w:sz="6" w:space="0" w:color="auto"/>
              <w:right w:val="single" w:sz="4" w:space="0" w:color="auto"/>
            </w:tcBorders>
            <w:vAlign w:val="center"/>
          </w:tcPr>
          <w:p w14:paraId="60A238F2" w14:textId="77777777" w:rsidR="00C814AE" w:rsidRPr="000C792B" w:rsidRDefault="00C814AE" w:rsidP="00C814AE">
            <w:pPr>
              <w:pStyle w:val="TAC"/>
              <w:rPr>
                <w:b/>
                <w:sz w:val="16"/>
                <w:szCs w:val="16"/>
              </w:rPr>
            </w:pPr>
            <w:r w:rsidRPr="000C792B">
              <w:rPr>
                <w:lang w:eastAsia="zh-CN"/>
              </w:rPr>
              <w:t>-50</w:t>
            </w:r>
          </w:p>
        </w:tc>
      </w:tr>
      <w:tr w:rsidR="00C814AE" w:rsidRPr="000C792B" w14:paraId="2AEA5A75"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tcPr>
          <w:p w14:paraId="31B1B707" w14:textId="14BCC236" w:rsidR="00C814AE" w:rsidRPr="000C792B" w:rsidRDefault="00C814AE" w:rsidP="00C814AE">
            <w:pPr>
              <w:pStyle w:val="TAC"/>
              <w:rPr>
                <w:b/>
              </w:rPr>
            </w:pPr>
            <w:r w:rsidRPr="000C792B">
              <w:rPr>
                <w:lang w:eastAsia="zh-CN"/>
              </w:rPr>
              <w:t>64</w:t>
            </w:r>
          </w:p>
        </w:tc>
        <w:tc>
          <w:tcPr>
            <w:tcW w:w="0" w:type="auto"/>
            <w:vMerge/>
            <w:tcBorders>
              <w:left w:val="single" w:sz="6" w:space="0" w:color="auto"/>
              <w:right w:val="single" w:sz="4" w:space="0" w:color="auto"/>
            </w:tcBorders>
            <w:vAlign w:val="center"/>
          </w:tcPr>
          <w:p w14:paraId="09C74FDA" w14:textId="77777777" w:rsidR="00C814AE" w:rsidRPr="000C792B" w:rsidRDefault="00C814AE" w:rsidP="00C814AE">
            <w:pPr>
              <w:pStyle w:val="TAC"/>
              <w:rPr>
                <w:b/>
                <w:sz w:val="16"/>
                <w:szCs w:val="16"/>
              </w:rPr>
            </w:pPr>
          </w:p>
        </w:tc>
        <w:tc>
          <w:tcPr>
            <w:tcW w:w="0" w:type="auto"/>
            <w:vMerge/>
            <w:tcBorders>
              <w:left w:val="single" w:sz="4" w:space="0" w:color="auto"/>
              <w:right w:val="single" w:sz="6" w:space="0" w:color="auto"/>
            </w:tcBorders>
            <w:vAlign w:val="center"/>
          </w:tcPr>
          <w:p w14:paraId="3E4F1C89" w14:textId="77777777" w:rsidR="00C814AE" w:rsidRPr="000C792B" w:rsidRDefault="00C814AE" w:rsidP="00C814AE">
            <w:pPr>
              <w:pStyle w:val="TAC"/>
              <w:rPr>
                <w:b/>
                <w:lang w:eastAsia="zh-CN"/>
              </w:rPr>
            </w:pPr>
          </w:p>
        </w:tc>
        <w:tc>
          <w:tcPr>
            <w:tcW w:w="0" w:type="auto"/>
            <w:tcBorders>
              <w:top w:val="single" w:sz="6" w:space="0" w:color="auto"/>
              <w:left w:val="single" w:sz="6" w:space="0" w:color="auto"/>
              <w:bottom w:val="single" w:sz="6" w:space="0" w:color="auto"/>
              <w:right w:val="single" w:sz="6" w:space="0" w:color="auto"/>
            </w:tcBorders>
            <w:vAlign w:val="center"/>
          </w:tcPr>
          <w:p w14:paraId="7C069267" w14:textId="3E09ED42" w:rsidR="00C814AE" w:rsidRPr="000C792B" w:rsidRDefault="00C814AE" w:rsidP="00C814AE">
            <w:pPr>
              <w:pStyle w:val="TAC"/>
              <w:rPr>
                <w:b/>
                <w:sz w:val="16"/>
                <w:szCs w:val="16"/>
              </w:rPr>
            </w:pPr>
            <w:r w:rsidRPr="000C792B">
              <w:t>≥ 64</w:t>
            </w:r>
          </w:p>
        </w:tc>
        <w:tc>
          <w:tcPr>
            <w:tcW w:w="0" w:type="auto"/>
            <w:tcBorders>
              <w:top w:val="single" w:sz="6" w:space="0" w:color="auto"/>
              <w:left w:val="single" w:sz="6" w:space="0" w:color="auto"/>
              <w:bottom w:val="single" w:sz="6" w:space="0" w:color="auto"/>
              <w:right w:val="single" w:sz="6" w:space="0" w:color="auto"/>
            </w:tcBorders>
            <w:vAlign w:val="center"/>
          </w:tcPr>
          <w:p w14:paraId="232B6312" w14:textId="30ADF12D" w:rsidR="00C814AE" w:rsidRPr="000C792B" w:rsidRDefault="00C814AE" w:rsidP="00C814AE">
            <w:pPr>
              <w:pStyle w:val="TAC"/>
              <w:rPr>
                <w:b/>
              </w:rPr>
            </w:pPr>
            <w:r w:rsidRPr="000C792B">
              <w:t>≥ 1</w:t>
            </w:r>
          </w:p>
        </w:tc>
        <w:tc>
          <w:tcPr>
            <w:tcW w:w="0" w:type="auto"/>
            <w:tcBorders>
              <w:top w:val="single" w:sz="6" w:space="0" w:color="auto"/>
              <w:left w:val="single" w:sz="6" w:space="0" w:color="auto"/>
              <w:bottom w:val="single" w:sz="6" w:space="0" w:color="auto"/>
              <w:right w:val="single" w:sz="6" w:space="0" w:color="auto"/>
            </w:tcBorders>
            <w:vAlign w:val="center"/>
          </w:tcPr>
          <w:p w14:paraId="52846182" w14:textId="1BEA8D5E" w:rsidR="00C814AE" w:rsidRPr="000C792B" w:rsidRDefault="00C814AE" w:rsidP="00C814AE">
            <w:pPr>
              <w:pStyle w:val="TAC"/>
              <w:rPr>
                <w:b/>
                <w:sz w:val="16"/>
                <w:szCs w:val="16"/>
              </w:rPr>
            </w:pPr>
            <w:r>
              <w:t>Note 5</w:t>
            </w:r>
          </w:p>
        </w:tc>
        <w:tc>
          <w:tcPr>
            <w:tcW w:w="0" w:type="auto"/>
            <w:tcBorders>
              <w:top w:val="single" w:sz="6" w:space="0" w:color="auto"/>
              <w:left w:val="single" w:sz="6" w:space="0" w:color="auto"/>
              <w:bottom w:val="single" w:sz="6" w:space="0" w:color="auto"/>
              <w:right w:val="single" w:sz="4" w:space="0" w:color="auto"/>
            </w:tcBorders>
            <w:vAlign w:val="center"/>
          </w:tcPr>
          <w:p w14:paraId="3B9DAC5E" w14:textId="77777777" w:rsidR="00C814AE" w:rsidRPr="000C792B" w:rsidRDefault="00C814AE" w:rsidP="00C814AE">
            <w:pPr>
              <w:pStyle w:val="TAC"/>
              <w:rPr>
                <w:b/>
                <w:sz w:val="16"/>
                <w:szCs w:val="16"/>
              </w:rPr>
            </w:pPr>
            <w:r w:rsidRPr="000C792B">
              <w:t>Note 5</w:t>
            </w:r>
          </w:p>
        </w:tc>
      </w:tr>
      <w:tr w:rsidR="00C814AE" w:rsidRPr="000C792B" w14:paraId="68075CC0"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tcPr>
          <w:p w14:paraId="7B9CF8D7" w14:textId="6BE33C38" w:rsidR="00C814AE" w:rsidRPr="000C792B" w:rsidRDefault="00C814AE" w:rsidP="00C814AE">
            <w:pPr>
              <w:pStyle w:val="TAC"/>
              <w:rPr>
                <w:lang w:eastAsia="zh-CN"/>
              </w:rPr>
            </w:pPr>
            <w:r w:rsidRPr="000C792B">
              <w:rPr>
                <w:lang w:eastAsia="zh-CN"/>
              </w:rPr>
              <w:t>46</w:t>
            </w:r>
          </w:p>
        </w:tc>
        <w:tc>
          <w:tcPr>
            <w:tcW w:w="0" w:type="auto"/>
            <w:vMerge/>
            <w:tcBorders>
              <w:left w:val="single" w:sz="6" w:space="0" w:color="auto"/>
              <w:right w:val="single" w:sz="4" w:space="0" w:color="auto"/>
            </w:tcBorders>
            <w:vAlign w:val="center"/>
          </w:tcPr>
          <w:p w14:paraId="5003551A" w14:textId="77777777" w:rsidR="00C814AE" w:rsidRPr="000C792B" w:rsidRDefault="00C814AE" w:rsidP="00C814AE">
            <w:pPr>
              <w:pStyle w:val="TAC"/>
              <w:rPr>
                <w:b/>
                <w:sz w:val="16"/>
                <w:szCs w:val="16"/>
              </w:rPr>
            </w:pPr>
          </w:p>
        </w:tc>
        <w:tc>
          <w:tcPr>
            <w:tcW w:w="0" w:type="auto"/>
            <w:vMerge/>
            <w:tcBorders>
              <w:left w:val="single" w:sz="4" w:space="0" w:color="auto"/>
              <w:bottom w:val="single" w:sz="6" w:space="0" w:color="auto"/>
              <w:right w:val="single" w:sz="6" w:space="0" w:color="auto"/>
            </w:tcBorders>
            <w:vAlign w:val="center"/>
          </w:tcPr>
          <w:p w14:paraId="2AE4B02C" w14:textId="77777777" w:rsidR="00C814AE" w:rsidRPr="000C792B" w:rsidRDefault="00C814AE" w:rsidP="00C814AE">
            <w:pPr>
              <w:pStyle w:val="TAC"/>
              <w:rPr>
                <w:b/>
                <w:lang w:eastAsia="zh-CN"/>
              </w:rPr>
            </w:pPr>
          </w:p>
        </w:tc>
        <w:tc>
          <w:tcPr>
            <w:tcW w:w="0" w:type="auto"/>
            <w:tcBorders>
              <w:top w:val="single" w:sz="6" w:space="0" w:color="auto"/>
              <w:left w:val="single" w:sz="6" w:space="0" w:color="auto"/>
              <w:bottom w:val="single" w:sz="6" w:space="0" w:color="auto"/>
              <w:right w:val="single" w:sz="6" w:space="0" w:color="auto"/>
            </w:tcBorders>
            <w:vAlign w:val="center"/>
          </w:tcPr>
          <w:p w14:paraId="224746C7" w14:textId="37EB9E31" w:rsidR="00C814AE" w:rsidRPr="000C792B" w:rsidRDefault="00C814AE" w:rsidP="00C814AE">
            <w:pPr>
              <w:pStyle w:val="TAC"/>
            </w:pPr>
            <w:r w:rsidRPr="000C792B">
              <w:t>≥ 132</w:t>
            </w:r>
          </w:p>
        </w:tc>
        <w:tc>
          <w:tcPr>
            <w:tcW w:w="0" w:type="auto"/>
            <w:tcBorders>
              <w:top w:val="single" w:sz="6" w:space="0" w:color="auto"/>
              <w:left w:val="single" w:sz="6" w:space="0" w:color="auto"/>
              <w:bottom w:val="single" w:sz="6" w:space="0" w:color="auto"/>
              <w:right w:val="single" w:sz="6" w:space="0" w:color="auto"/>
            </w:tcBorders>
            <w:vAlign w:val="center"/>
          </w:tcPr>
          <w:p w14:paraId="2372FC03" w14:textId="2B192646" w:rsidR="00C814AE" w:rsidRPr="000C792B" w:rsidRDefault="00C814AE" w:rsidP="00C814AE">
            <w:pPr>
              <w:pStyle w:val="TAC"/>
            </w:pPr>
            <w:r w:rsidRPr="000C792B">
              <w:t>≥ 1</w:t>
            </w:r>
          </w:p>
        </w:tc>
        <w:tc>
          <w:tcPr>
            <w:tcW w:w="0" w:type="auto"/>
            <w:tcBorders>
              <w:top w:val="single" w:sz="6" w:space="0" w:color="auto"/>
              <w:left w:val="single" w:sz="6" w:space="0" w:color="auto"/>
              <w:bottom w:val="single" w:sz="6" w:space="0" w:color="auto"/>
              <w:right w:val="single" w:sz="6" w:space="0" w:color="auto"/>
            </w:tcBorders>
            <w:vAlign w:val="center"/>
          </w:tcPr>
          <w:p w14:paraId="0D3AD004" w14:textId="352E4EDA" w:rsidR="00C814AE" w:rsidRPr="000C792B" w:rsidRDefault="00C814AE" w:rsidP="00C814AE">
            <w:pPr>
              <w:pStyle w:val="TAC"/>
            </w:pPr>
            <w:r>
              <w:t>Note 5</w:t>
            </w:r>
          </w:p>
        </w:tc>
        <w:tc>
          <w:tcPr>
            <w:tcW w:w="0" w:type="auto"/>
            <w:tcBorders>
              <w:top w:val="single" w:sz="6" w:space="0" w:color="auto"/>
              <w:left w:val="single" w:sz="6" w:space="0" w:color="auto"/>
              <w:bottom w:val="single" w:sz="6" w:space="0" w:color="auto"/>
              <w:right w:val="single" w:sz="4" w:space="0" w:color="auto"/>
            </w:tcBorders>
            <w:vAlign w:val="center"/>
          </w:tcPr>
          <w:p w14:paraId="244AE386" w14:textId="77777777" w:rsidR="00C814AE" w:rsidRPr="000C792B" w:rsidRDefault="00C814AE" w:rsidP="00C814AE">
            <w:pPr>
              <w:pStyle w:val="TAC"/>
            </w:pPr>
            <w:r w:rsidRPr="000C792B">
              <w:t>Note 5</w:t>
            </w:r>
          </w:p>
        </w:tc>
      </w:tr>
      <w:tr w:rsidR="00C814AE" w:rsidRPr="000C792B" w14:paraId="4A68389D" w14:textId="77777777" w:rsidTr="00224E82">
        <w:trPr>
          <w:trHeight w:val="1018"/>
          <w:jc w:val="center"/>
        </w:trPr>
        <w:tc>
          <w:tcPr>
            <w:tcW w:w="0" w:type="auto"/>
            <w:tcBorders>
              <w:top w:val="single" w:sz="6" w:space="0" w:color="auto"/>
              <w:left w:val="single" w:sz="4" w:space="0" w:color="auto"/>
              <w:bottom w:val="nil"/>
              <w:right w:val="single" w:sz="6" w:space="0" w:color="auto"/>
            </w:tcBorders>
            <w:vAlign w:val="center"/>
            <w:hideMark/>
          </w:tcPr>
          <w:p w14:paraId="7D7E201E" w14:textId="5C07D616" w:rsidR="00C814AE" w:rsidRPr="000C792B" w:rsidRDefault="00C814AE" w:rsidP="00C814AE">
            <w:pPr>
              <w:pStyle w:val="TAC"/>
              <w:rPr>
                <w:lang w:eastAsia="zh-CN"/>
              </w:rPr>
            </w:pPr>
            <w:r w:rsidRPr="000C792B">
              <w:rPr>
                <w:lang w:eastAsia="zh-CN"/>
              </w:rPr>
              <w:t>48</w:t>
            </w:r>
          </w:p>
        </w:tc>
        <w:tc>
          <w:tcPr>
            <w:tcW w:w="0" w:type="auto"/>
            <w:vMerge/>
            <w:tcBorders>
              <w:left w:val="single" w:sz="6" w:space="0" w:color="auto"/>
              <w:right w:val="single" w:sz="4" w:space="0" w:color="auto"/>
            </w:tcBorders>
            <w:vAlign w:val="center"/>
            <w:hideMark/>
          </w:tcPr>
          <w:p w14:paraId="6AA30E17" w14:textId="77777777" w:rsidR="00C814AE" w:rsidRPr="000C792B" w:rsidRDefault="00C814AE" w:rsidP="00C814AE">
            <w:pPr>
              <w:pStyle w:val="TAC"/>
            </w:pPr>
          </w:p>
        </w:tc>
        <w:tc>
          <w:tcPr>
            <w:tcW w:w="0" w:type="auto"/>
            <w:vMerge w:val="restart"/>
            <w:tcBorders>
              <w:top w:val="single" w:sz="4" w:space="0" w:color="auto"/>
              <w:left w:val="single" w:sz="4" w:space="0" w:color="auto"/>
              <w:right w:val="single" w:sz="6" w:space="0" w:color="auto"/>
            </w:tcBorders>
            <w:vAlign w:val="center"/>
            <w:hideMark/>
          </w:tcPr>
          <w:p w14:paraId="0C60777A" w14:textId="77777777" w:rsidR="00C814AE" w:rsidRPr="000C792B" w:rsidRDefault="00C814AE" w:rsidP="00C814AE">
            <w:pPr>
              <w:pStyle w:val="TAC"/>
              <w:rPr>
                <w:lang w:val="sv-SE" w:eastAsia="zh-CN"/>
              </w:rPr>
            </w:pPr>
            <w:r w:rsidRPr="000C792B">
              <w:rPr>
                <w:lang w:val="sv-SE" w:eastAsia="zh-CN"/>
              </w:rPr>
              <w:t>120</w:t>
            </w:r>
          </w:p>
        </w:tc>
        <w:tc>
          <w:tcPr>
            <w:tcW w:w="0" w:type="auto"/>
            <w:tcBorders>
              <w:top w:val="single" w:sz="6" w:space="0" w:color="auto"/>
              <w:left w:val="single" w:sz="6" w:space="0" w:color="auto"/>
              <w:bottom w:val="nil"/>
              <w:right w:val="single" w:sz="6" w:space="0" w:color="auto"/>
            </w:tcBorders>
            <w:vAlign w:val="center"/>
            <w:hideMark/>
          </w:tcPr>
          <w:p w14:paraId="6BD4451B" w14:textId="56BBC141" w:rsidR="00C814AE" w:rsidRPr="000C792B" w:rsidRDefault="00C814AE" w:rsidP="00C814AE">
            <w:pPr>
              <w:pStyle w:val="TAC"/>
            </w:pPr>
            <w:r w:rsidRPr="000C792B">
              <w:t>≥ 32</w:t>
            </w:r>
          </w:p>
        </w:tc>
        <w:tc>
          <w:tcPr>
            <w:tcW w:w="0" w:type="auto"/>
            <w:tcBorders>
              <w:top w:val="single" w:sz="6" w:space="0" w:color="auto"/>
              <w:left w:val="single" w:sz="6" w:space="0" w:color="auto"/>
              <w:bottom w:val="nil"/>
              <w:right w:val="single" w:sz="6" w:space="0" w:color="auto"/>
            </w:tcBorders>
            <w:vAlign w:val="center"/>
            <w:hideMark/>
          </w:tcPr>
          <w:p w14:paraId="496C0914" w14:textId="02233DA3" w:rsidR="00C814AE" w:rsidRPr="000C792B" w:rsidRDefault="00C814AE" w:rsidP="00C814AE">
            <w:pPr>
              <w:pStyle w:val="TAC"/>
            </w:pPr>
            <w:r w:rsidRPr="000C792B">
              <w:t>≥ 4</w:t>
            </w:r>
          </w:p>
        </w:tc>
        <w:tc>
          <w:tcPr>
            <w:tcW w:w="0" w:type="auto"/>
            <w:tcBorders>
              <w:top w:val="single" w:sz="6" w:space="0" w:color="auto"/>
              <w:left w:val="single" w:sz="6" w:space="0" w:color="auto"/>
              <w:bottom w:val="nil"/>
              <w:right w:val="single" w:sz="6" w:space="0" w:color="auto"/>
            </w:tcBorders>
            <w:vAlign w:val="center"/>
            <w:hideMark/>
          </w:tcPr>
          <w:p w14:paraId="50A5303D" w14:textId="36921993" w:rsidR="00C814AE" w:rsidRPr="000C792B" w:rsidRDefault="00C814AE" w:rsidP="00C814AE">
            <w:pPr>
              <w:pStyle w:val="TAC"/>
            </w:pPr>
            <w:r>
              <w:t>Same value as PRS_RP in Table B.2.</w:t>
            </w:r>
            <w:r>
              <w:rPr>
                <w:rFonts w:hint="eastAsia"/>
                <w:lang w:eastAsia="zh-CN"/>
              </w:rPr>
              <w:t>14</w:t>
            </w:r>
            <w:r>
              <w:t>-2, according to UE Power class, operating band and angle of arrival</w:t>
            </w:r>
          </w:p>
        </w:tc>
        <w:tc>
          <w:tcPr>
            <w:tcW w:w="0" w:type="auto"/>
            <w:tcBorders>
              <w:top w:val="single" w:sz="6" w:space="0" w:color="auto"/>
              <w:left w:val="single" w:sz="6" w:space="0" w:color="auto"/>
              <w:bottom w:val="nil"/>
              <w:right w:val="single" w:sz="4" w:space="0" w:color="auto"/>
            </w:tcBorders>
            <w:vAlign w:val="center"/>
            <w:hideMark/>
          </w:tcPr>
          <w:p w14:paraId="6C38642E" w14:textId="77777777" w:rsidR="00C814AE" w:rsidRPr="000C792B" w:rsidRDefault="00C814AE" w:rsidP="00C814AE">
            <w:pPr>
              <w:pStyle w:val="TAC"/>
              <w:rPr>
                <w:lang w:eastAsia="zh-CN"/>
              </w:rPr>
            </w:pPr>
            <w:r w:rsidRPr="000C792B">
              <w:rPr>
                <w:lang w:eastAsia="zh-CN"/>
              </w:rPr>
              <w:t>-50</w:t>
            </w:r>
          </w:p>
        </w:tc>
      </w:tr>
      <w:tr w:rsidR="005F67F3" w:rsidRPr="000C792B" w14:paraId="2A6293C6"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hideMark/>
          </w:tcPr>
          <w:p w14:paraId="1B50BB46" w14:textId="09F25C76" w:rsidR="005F67F3" w:rsidRPr="000C792B" w:rsidRDefault="005F67F3" w:rsidP="005F67F3">
            <w:pPr>
              <w:pStyle w:val="TAC"/>
              <w:rPr>
                <w:lang w:eastAsia="zh-CN"/>
              </w:rPr>
            </w:pPr>
            <w:r w:rsidRPr="000C792B">
              <w:rPr>
                <w:lang w:eastAsia="zh-CN"/>
              </w:rPr>
              <w:t>54</w:t>
            </w:r>
          </w:p>
        </w:tc>
        <w:tc>
          <w:tcPr>
            <w:tcW w:w="0" w:type="auto"/>
            <w:vMerge/>
            <w:tcBorders>
              <w:left w:val="single" w:sz="6" w:space="0" w:color="auto"/>
              <w:right w:val="single" w:sz="4" w:space="0" w:color="auto"/>
            </w:tcBorders>
            <w:vAlign w:val="center"/>
            <w:hideMark/>
          </w:tcPr>
          <w:p w14:paraId="032D36EA" w14:textId="77777777" w:rsidR="005F67F3" w:rsidRPr="000C792B" w:rsidRDefault="005F67F3" w:rsidP="005F67F3">
            <w:pPr>
              <w:pStyle w:val="TAC"/>
              <w:rPr>
                <w:lang w:val="sv-SE"/>
              </w:rPr>
            </w:pPr>
          </w:p>
        </w:tc>
        <w:tc>
          <w:tcPr>
            <w:tcW w:w="0" w:type="auto"/>
            <w:vMerge/>
            <w:tcBorders>
              <w:left w:val="single" w:sz="4" w:space="0" w:color="auto"/>
              <w:right w:val="single" w:sz="6" w:space="0" w:color="auto"/>
            </w:tcBorders>
            <w:vAlign w:val="center"/>
            <w:hideMark/>
          </w:tcPr>
          <w:p w14:paraId="78A0513F" w14:textId="77777777" w:rsidR="005F67F3" w:rsidRPr="000C792B" w:rsidRDefault="005F67F3" w:rsidP="005F67F3">
            <w:pPr>
              <w:pStyle w:val="TAC"/>
              <w:rPr>
                <w:lang w:val="sv-SE" w:eastAsia="zh-CN"/>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959DE77" w14:textId="7CC3F2B0" w:rsidR="005F67F3" w:rsidRPr="000C792B" w:rsidRDefault="005F67F3" w:rsidP="005F67F3">
            <w:pPr>
              <w:pStyle w:val="TAC"/>
            </w:pPr>
            <w:r w:rsidRPr="000C792B">
              <w:t>≥ 64</w:t>
            </w:r>
          </w:p>
        </w:tc>
        <w:tc>
          <w:tcPr>
            <w:tcW w:w="0" w:type="auto"/>
            <w:tcBorders>
              <w:top w:val="single" w:sz="6" w:space="0" w:color="auto"/>
              <w:left w:val="single" w:sz="6" w:space="0" w:color="auto"/>
              <w:bottom w:val="single" w:sz="6" w:space="0" w:color="auto"/>
              <w:right w:val="single" w:sz="6" w:space="0" w:color="auto"/>
            </w:tcBorders>
            <w:vAlign w:val="center"/>
            <w:hideMark/>
          </w:tcPr>
          <w:p w14:paraId="47B86075" w14:textId="7BBBF47F" w:rsidR="005F67F3" w:rsidRPr="000C792B" w:rsidRDefault="005F67F3" w:rsidP="005F67F3">
            <w:pPr>
              <w:pStyle w:val="TAC"/>
            </w:pPr>
            <w:r w:rsidRPr="000C792B">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0759518F" w14:textId="77777777" w:rsidR="005F67F3" w:rsidRPr="000C792B" w:rsidRDefault="005F67F3" w:rsidP="005F67F3">
            <w:pPr>
              <w:pStyle w:val="TAC"/>
            </w:pPr>
            <w:r w:rsidRPr="000C792B">
              <w:t>Note 5</w:t>
            </w:r>
          </w:p>
        </w:tc>
        <w:tc>
          <w:tcPr>
            <w:tcW w:w="0" w:type="auto"/>
            <w:tcBorders>
              <w:top w:val="single" w:sz="6" w:space="0" w:color="auto"/>
              <w:left w:val="single" w:sz="6" w:space="0" w:color="auto"/>
              <w:bottom w:val="single" w:sz="6" w:space="0" w:color="auto"/>
              <w:right w:val="single" w:sz="4" w:space="0" w:color="auto"/>
            </w:tcBorders>
            <w:vAlign w:val="center"/>
            <w:hideMark/>
          </w:tcPr>
          <w:p w14:paraId="089A8164" w14:textId="77777777" w:rsidR="005F67F3" w:rsidRPr="000C792B" w:rsidRDefault="005F67F3" w:rsidP="005F67F3">
            <w:pPr>
              <w:pStyle w:val="TAC"/>
            </w:pPr>
            <w:r w:rsidRPr="000C792B">
              <w:t>Note 5</w:t>
            </w:r>
          </w:p>
        </w:tc>
      </w:tr>
      <w:tr w:rsidR="005F67F3" w:rsidRPr="000C792B" w14:paraId="70B4CB6C" w14:textId="77777777" w:rsidTr="00224E82">
        <w:trPr>
          <w:jc w:val="center"/>
        </w:trPr>
        <w:tc>
          <w:tcPr>
            <w:tcW w:w="0" w:type="auto"/>
            <w:tcBorders>
              <w:top w:val="single" w:sz="6" w:space="0" w:color="auto"/>
              <w:left w:val="single" w:sz="4" w:space="0" w:color="auto"/>
              <w:bottom w:val="single" w:sz="6" w:space="0" w:color="auto"/>
              <w:right w:val="single" w:sz="6" w:space="0" w:color="auto"/>
            </w:tcBorders>
            <w:vAlign w:val="center"/>
          </w:tcPr>
          <w:p w14:paraId="22CBE07C" w14:textId="58BAB994" w:rsidR="005F67F3" w:rsidRPr="000C792B" w:rsidRDefault="005F67F3" w:rsidP="005F67F3">
            <w:pPr>
              <w:pStyle w:val="TAC"/>
              <w:rPr>
                <w:lang w:eastAsia="zh-CN"/>
              </w:rPr>
            </w:pPr>
            <w:r w:rsidRPr="000C792B">
              <w:rPr>
                <w:lang w:eastAsia="zh-CN"/>
              </w:rPr>
              <w:t>36</w:t>
            </w:r>
          </w:p>
        </w:tc>
        <w:tc>
          <w:tcPr>
            <w:tcW w:w="0" w:type="auto"/>
            <w:vMerge/>
            <w:tcBorders>
              <w:left w:val="single" w:sz="6" w:space="0" w:color="auto"/>
              <w:bottom w:val="nil"/>
              <w:right w:val="single" w:sz="4" w:space="0" w:color="auto"/>
            </w:tcBorders>
            <w:vAlign w:val="center"/>
          </w:tcPr>
          <w:p w14:paraId="026FA874" w14:textId="77777777" w:rsidR="005F67F3" w:rsidRPr="000C792B" w:rsidRDefault="005F67F3" w:rsidP="005F67F3">
            <w:pPr>
              <w:pStyle w:val="TAC"/>
              <w:rPr>
                <w:lang w:val="sv-SE"/>
              </w:rPr>
            </w:pPr>
          </w:p>
        </w:tc>
        <w:tc>
          <w:tcPr>
            <w:tcW w:w="0" w:type="auto"/>
            <w:vMerge/>
            <w:tcBorders>
              <w:left w:val="single" w:sz="4" w:space="0" w:color="auto"/>
              <w:bottom w:val="single" w:sz="4" w:space="0" w:color="auto"/>
              <w:right w:val="single" w:sz="6" w:space="0" w:color="auto"/>
            </w:tcBorders>
            <w:vAlign w:val="center"/>
          </w:tcPr>
          <w:p w14:paraId="109E0E7C" w14:textId="77777777" w:rsidR="005F67F3" w:rsidRPr="000C792B" w:rsidRDefault="005F67F3" w:rsidP="005F67F3">
            <w:pPr>
              <w:pStyle w:val="TAC"/>
              <w:rPr>
                <w:lang w:val="sv-SE" w:eastAsia="zh-CN"/>
              </w:rPr>
            </w:pPr>
          </w:p>
        </w:tc>
        <w:tc>
          <w:tcPr>
            <w:tcW w:w="0" w:type="auto"/>
            <w:tcBorders>
              <w:top w:val="single" w:sz="6" w:space="0" w:color="auto"/>
              <w:left w:val="single" w:sz="6" w:space="0" w:color="auto"/>
              <w:bottom w:val="single" w:sz="6" w:space="0" w:color="auto"/>
              <w:right w:val="single" w:sz="6" w:space="0" w:color="auto"/>
            </w:tcBorders>
            <w:vAlign w:val="center"/>
          </w:tcPr>
          <w:p w14:paraId="1A9E6233" w14:textId="759F9966" w:rsidR="005F67F3" w:rsidRPr="000C792B" w:rsidRDefault="005F67F3" w:rsidP="005F67F3">
            <w:pPr>
              <w:pStyle w:val="TAC"/>
            </w:pPr>
            <w:r w:rsidRPr="000C792B">
              <w:t>≥ 128</w:t>
            </w:r>
          </w:p>
        </w:tc>
        <w:tc>
          <w:tcPr>
            <w:tcW w:w="0" w:type="auto"/>
            <w:tcBorders>
              <w:top w:val="single" w:sz="6" w:space="0" w:color="auto"/>
              <w:left w:val="single" w:sz="6" w:space="0" w:color="auto"/>
              <w:bottom w:val="single" w:sz="6" w:space="0" w:color="auto"/>
              <w:right w:val="single" w:sz="6" w:space="0" w:color="auto"/>
            </w:tcBorders>
            <w:vAlign w:val="center"/>
          </w:tcPr>
          <w:p w14:paraId="4929FD04" w14:textId="7A9191A7" w:rsidR="005F67F3" w:rsidRPr="000C792B" w:rsidRDefault="005F67F3" w:rsidP="005F67F3">
            <w:pPr>
              <w:pStyle w:val="TAC"/>
            </w:pPr>
            <w:r w:rsidRPr="000C792B">
              <w:t>≥ 1</w:t>
            </w:r>
          </w:p>
        </w:tc>
        <w:tc>
          <w:tcPr>
            <w:tcW w:w="0" w:type="auto"/>
            <w:tcBorders>
              <w:top w:val="single" w:sz="6" w:space="0" w:color="auto"/>
              <w:left w:val="single" w:sz="6" w:space="0" w:color="auto"/>
              <w:bottom w:val="single" w:sz="6" w:space="0" w:color="auto"/>
              <w:right w:val="single" w:sz="6" w:space="0" w:color="auto"/>
            </w:tcBorders>
            <w:vAlign w:val="center"/>
          </w:tcPr>
          <w:p w14:paraId="6ADC6F06" w14:textId="77777777" w:rsidR="005F67F3" w:rsidRPr="000C792B" w:rsidRDefault="005F67F3" w:rsidP="005F67F3">
            <w:pPr>
              <w:pStyle w:val="TAC"/>
            </w:pPr>
            <w:r w:rsidRPr="000C792B">
              <w:t>Note 5</w:t>
            </w:r>
          </w:p>
        </w:tc>
        <w:tc>
          <w:tcPr>
            <w:tcW w:w="0" w:type="auto"/>
            <w:tcBorders>
              <w:top w:val="single" w:sz="6" w:space="0" w:color="auto"/>
              <w:left w:val="single" w:sz="6" w:space="0" w:color="auto"/>
              <w:bottom w:val="single" w:sz="6" w:space="0" w:color="auto"/>
              <w:right w:val="single" w:sz="4" w:space="0" w:color="auto"/>
            </w:tcBorders>
            <w:vAlign w:val="center"/>
          </w:tcPr>
          <w:p w14:paraId="259C1A97" w14:textId="77777777" w:rsidR="005F67F3" w:rsidRPr="000C792B" w:rsidRDefault="005F67F3" w:rsidP="005F67F3">
            <w:pPr>
              <w:pStyle w:val="TAC"/>
            </w:pPr>
            <w:r w:rsidRPr="000C792B">
              <w:t>Note 5</w:t>
            </w:r>
          </w:p>
        </w:tc>
      </w:tr>
      <w:tr w:rsidR="00060B2A" w:rsidRPr="000C792B" w14:paraId="2A6F21F7" w14:textId="77777777" w:rsidTr="00224E82">
        <w:trPr>
          <w:jc w:val="center"/>
        </w:trPr>
        <w:tc>
          <w:tcPr>
            <w:tcW w:w="0" w:type="auto"/>
            <w:gridSpan w:val="7"/>
            <w:tcBorders>
              <w:top w:val="single" w:sz="6" w:space="0" w:color="auto"/>
              <w:left w:val="single" w:sz="4" w:space="0" w:color="auto"/>
              <w:bottom w:val="single" w:sz="4" w:space="0" w:color="auto"/>
              <w:right w:val="single" w:sz="4" w:space="0" w:color="auto"/>
            </w:tcBorders>
            <w:vAlign w:val="center"/>
            <w:hideMark/>
          </w:tcPr>
          <w:p w14:paraId="4F9B3EA6" w14:textId="77777777" w:rsidR="00B22B9E" w:rsidRPr="000C792B" w:rsidRDefault="00B22B9E" w:rsidP="00B22B9E">
            <w:pPr>
              <w:pStyle w:val="TAN"/>
            </w:pPr>
            <w:r w:rsidRPr="000C792B">
              <w:t>N</w:t>
            </w:r>
            <w:r w:rsidRPr="000C792B">
              <w:rPr>
                <w:lang w:eastAsia="zh-CN"/>
              </w:rPr>
              <w:t>OTE</w:t>
            </w:r>
            <w:r w:rsidRPr="000C792B">
              <w:t xml:space="preserve"> 1:</w:t>
            </w:r>
            <w:r w:rsidRPr="000C792B">
              <w:tab/>
              <w:t>Minimum PRS bandwidth, which is minimum of the PRS bandwidths of the reference resource and the measured neighbour resource i.</w:t>
            </w:r>
          </w:p>
          <w:p w14:paraId="11BF3894" w14:textId="77777777" w:rsidR="00B22B9E" w:rsidRPr="000C792B" w:rsidRDefault="00B22B9E" w:rsidP="00B22B9E">
            <w:pPr>
              <w:pStyle w:val="TAN"/>
              <w:rPr>
                <w:lang w:val="en-US" w:eastAsia="zh-CN"/>
              </w:rPr>
            </w:pPr>
            <w:r w:rsidRPr="007D085D">
              <w:t xml:space="preserve">NOTE 2: </w:t>
            </w:r>
            <w:r w:rsidRPr="007D085D">
              <w:tab/>
              <w:t xml:space="preserve">Minimum number of PRS resource repetitions among the reference resource and the measured neighbour resource i. </w:t>
            </w:r>
            <m:oMath>
              <m:sSubSup>
                <m:sSubSupPr>
                  <m:ctrlPr>
                    <w:rPr>
                      <w:rFonts w:ascii="Cambria Math" w:hAnsi="Cambria Math"/>
                      <w:i/>
                    </w:rPr>
                  </m:ctrlPr>
                </m:sSubSupPr>
                <m:e>
                  <m:r>
                    <w:rPr>
                      <w:rFonts w:ascii="Cambria Math" w:hAnsi="Cambria Math"/>
                    </w:rPr>
                    <m:t>T</m:t>
                  </m:r>
                </m:e>
                <m:sub>
                  <m:r>
                    <m:rPr>
                      <m:nor/>
                    </m:rPr>
                    <w:rPr>
                      <w:rFonts w:ascii="Cambria Math" w:hAnsi="Cambria Math"/>
                    </w:rPr>
                    <m:t>rep</m:t>
                  </m:r>
                </m:sub>
                <m:sup>
                  <m:r>
                    <m:rPr>
                      <m:nor/>
                    </m:rPr>
                    <w:rPr>
                      <w:rFonts w:ascii="Cambria Math" w:hAnsi="Cambria Math"/>
                    </w:rPr>
                    <m:t>PRS</m:t>
                  </m:r>
                </m:sup>
              </m:sSubSup>
              <m:r>
                <w:rPr>
                  <w:rFonts w:ascii="Cambria Math" w:hAnsi="Cambria Math"/>
                </w:rPr>
                <m:t xml:space="preserve">, </m:t>
              </m:r>
              <m:sSub>
                <m:sSubPr>
                  <m:ctrlPr>
                    <w:rPr>
                      <w:rFonts w:ascii="Cambria Math" w:hAnsi="Cambria Math"/>
                    </w:rPr>
                  </m:ctrlPr>
                </m:sSubPr>
                <m:e>
                  <m:r>
                    <w:rPr>
                      <w:rFonts w:ascii="Cambria Math" w:hAnsi="Cambria Math"/>
                    </w:rPr>
                    <m:t>L</m:t>
                  </m:r>
                </m:e>
                <m:sub>
                  <m:r>
                    <m:rPr>
                      <m:nor/>
                    </m:rPr>
                    <m:t>PRS</m:t>
                  </m:r>
                </m:sub>
              </m:sSub>
              <m:r>
                <w:rPr>
                  <w:rFonts w:ascii="Cambria Math" w:hAnsi="Cambria Math"/>
                </w:rPr>
                <m:t xml:space="preserve"> ,</m:t>
              </m:r>
              <m:sSubSup>
                <m:sSubSupPr>
                  <m:ctrlPr>
                    <w:rPr>
                      <w:rFonts w:ascii="Cambria Math" w:hAnsi="Cambria Math"/>
                      <w:i/>
                    </w:rPr>
                  </m:ctrlPr>
                </m:sSubSupPr>
                <m:e>
                  <m:r>
                    <w:rPr>
                      <w:rFonts w:ascii="Cambria Math" w:hAnsi="Cambria Math"/>
                    </w:rPr>
                    <m:t>K</m:t>
                  </m:r>
                </m:e>
                <m:sub>
                  <m:r>
                    <m:rPr>
                      <m:nor/>
                    </m:rPr>
                    <w:rPr>
                      <w:rFonts w:ascii="Cambria Math" w:hAnsi="Cambria Math"/>
                    </w:rPr>
                    <m:t>comb</m:t>
                  </m:r>
                </m:sub>
                <m:sup>
                  <m:r>
                    <m:rPr>
                      <m:nor/>
                    </m:rPr>
                    <w:rPr>
                      <w:rFonts w:ascii="Cambria Math" w:hAnsi="Cambria Math"/>
                    </w:rPr>
                    <m:t>PRS</m:t>
                  </m:r>
                </m:sup>
              </m:sSubSup>
            </m:oMath>
            <w:r w:rsidRPr="007D085D">
              <w:rPr>
                <w:b/>
                <w:bCs/>
                <w:lang w:eastAsia="zh-CN"/>
              </w:rPr>
              <w:t xml:space="preserve"> </w:t>
            </w:r>
            <w:r w:rsidRPr="007D085D">
              <w:rPr>
                <w:szCs w:val="18"/>
              </w:rPr>
              <w:t xml:space="preserve">are configured by higher layer parameter </w:t>
            </w:r>
            <w:r w:rsidRPr="007D085D">
              <w:rPr>
                <w:i/>
                <w:szCs w:val="18"/>
              </w:rPr>
              <w:t>dl-PRS-ResourceRepetitionFactor, dl-PRS-NumSymbols and dl-PRS-CombSizeN</w:t>
            </w:r>
            <w:r w:rsidRPr="007D085D">
              <w:rPr>
                <w:iCs/>
                <w:szCs w:val="18"/>
              </w:rPr>
              <w:t>defined in TS 37.355 [34], respectively</w:t>
            </w:r>
            <w:r w:rsidRPr="007D085D">
              <w:rPr>
                <w:iCs/>
                <w:szCs w:val="18"/>
                <w:lang w:val="en-US" w:eastAsia="zh-CN"/>
              </w:rPr>
              <w:t>.</w:t>
            </w:r>
          </w:p>
          <w:p w14:paraId="6FEA4A2C" w14:textId="77777777" w:rsidR="00B22B9E" w:rsidRPr="000C792B" w:rsidRDefault="00B22B9E" w:rsidP="00B22B9E">
            <w:pPr>
              <w:pStyle w:val="TAN"/>
            </w:pPr>
            <w:r w:rsidRPr="000C792B">
              <w:t>N</w:t>
            </w:r>
            <w:r w:rsidRPr="000C792B">
              <w:rPr>
                <w:lang w:eastAsia="zh-CN"/>
              </w:rPr>
              <w:t>OTE</w:t>
            </w:r>
            <w:r w:rsidRPr="000C792B">
              <w:t xml:space="preserve"> 3:</w:t>
            </w:r>
            <w:r w:rsidRPr="000C792B">
              <w:tab/>
              <w:t>Io is assumed to have constant EPRE across the bandwidth.</w:t>
            </w:r>
          </w:p>
          <w:p w14:paraId="0A2C73F9" w14:textId="77777777" w:rsidR="00B22B9E" w:rsidRPr="000C792B" w:rsidRDefault="00B22B9E" w:rsidP="00B22B9E">
            <w:pPr>
              <w:pStyle w:val="TAN"/>
            </w:pPr>
            <w:r w:rsidRPr="000C792B">
              <w:t>NOTE 4:</w:t>
            </w:r>
            <w:r w:rsidRPr="000C792B">
              <w:tab/>
              <w:t>Tc is the basic timing unit defined in TS 38.211 [6].</w:t>
            </w:r>
          </w:p>
          <w:p w14:paraId="6669BFD7" w14:textId="77777777" w:rsidR="00B22B9E" w:rsidRPr="000C792B" w:rsidRDefault="00B22B9E" w:rsidP="00B22B9E">
            <w:pPr>
              <w:pStyle w:val="TAN"/>
            </w:pPr>
            <w:r w:rsidRPr="000C792B">
              <w:t>NOTE 5:</w:t>
            </w:r>
            <w:r w:rsidRPr="000C792B">
              <w:tab/>
              <w:t>The same bands and the same Io conditions for each band apply for this requirement as for the corresponding requirement with the PRS bandwidth of the smallest RB number for the corresponding SCS.</w:t>
            </w:r>
          </w:p>
          <w:p w14:paraId="138D2FCA" w14:textId="406D2A50" w:rsidR="00060B2A" w:rsidRPr="000C792B" w:rsidRDefault="005F67F3" w:rsidP="00B22B9E">
            <w:pPr>
              <w:pStyle w:val="TAN"/>
            </w:pPr>
            <w:r w:rsidRPr="000C792B">
              <w:t>NOTE 6:</w:t>
            </w:r>
            <w:r w:rsidRPr="000C792B">
              <w:tab/>
            </w:r>
            <w:r>
              <w:rPr>
                <w:rFonts w:hint="eastAsia"/>
                <w:lang w:eastAsia="zh-CN"/>
              </w:rPr>
              <w:t>V</w:t>
            </w:r>
            <w:r>
              <w:rPr>
                <w:lang w:eastAsia="zh-CN"/>
              </w:rPr>
              <w:t>oid</w:t>
            </w:r>
          </w:p>
        </w:tc>
      </w:tr>
    </w:tbl>
    <w:p w14:paraId="0476C272" w14:textId="77777777" w:rsidR="00060B2A" w:rsidRDefault="00060B2A" w:rsidP="00060B2A">
      <w:pPr>
        <w:rPr>
          <w:noProof/>
          <w:highlight w:val="yellow"/>
        </w:rPr>
      </w:pPr>
    </w:p>
    <w:p w14:paraId="5B0E4E5A" w14:textId="77777777" w:rsidR="00060B2A" w:rsidRDefault="00060B2A" w:rsidP="004C7A82">
      <w:pPr>
        <w:pStyle w:val="TH"/>
        <w:rPr>
          <w:lang w:eastAsia="sv-SE"/>
        </w:rPr>
      </w:pPr>
      <w:r>
        <w:rPr>
          <w:lang w:val="en-US"/>
        </w:rPr>
        <w:t>Table 10.1.23.2-5: Margin for RSTD measurement accuracy in FR1</w:t>
      </w:r>
    </w:p>
    <w:tbl>
      <w:tblPr>
        <w:tblStyle w:val="TableGrid61"/>
        <w:tblW w:w="0" w:type="auto"/>
        <w:jc w:val="center"/>
        <w:tblInd w:w="0" w:type="dxa"/>
        <w:tblLook w:val="04A0" w:firstRow="1" w:lastRow="0" w:firstColumn="1" w:lastColumn="0" w:noHBand="0" w:noVBand="1"/>
      </w:tblPr>
      <w:tblGrid>
        <w:gridCol w:w="1212"/>
        <w:gridCol w:w="1212"/>
        <w:gridCol w:w="1212"/>
        <w:gridCol w:w="1186"/>
      </w:tblGrid>
      <w:tr w:rsidR="00060B2A" w:rsidRPr="005C3EC8" w14:paraId="0C3E9914" w14:textId="77777777" w:rsidTr="00224E82">
        <w:trPr>
          <w:trHeight w:val="127"/>
          <w:jc w:val="center"/>
        </w:trPr>
        <w:tc>
          <w:tcPr>
            <w:tcW w:w="0" w:type="auto"/>
            <w:gridSpan w:val="3"/>
            <w:tcBorders>
              <w:top w:val="single" w:sz="4" w:space="0" w:color="auto"/>
              <w:left w:val="single" w:sz="4" w:space="0" w:color="auto"/>
              <w:bottom w:val="single" w:sz="4" w:space="0" w:color="auto"/>
              <w:right w:val="single" w:sz="4" w:space="0" w:color="auto"/>
            </w:tcBorders>
          </w:tcPr>
          <w:p w14:paraId="4EE0C2B6" w14:textId="77777777" w:rsidR="00060B2A" w:rsidRPr="005C3EC8" w:rsidRDefault="00060B2A" w:rsidP="004C7A82">
            <w:pPr>
              <w:pStyle w:val="TAH"/>
              <w:rPr>
                <w:rFonts w:eastAsiaTheme="minorEastAsia"/>
              </w:rPr>
            </w:pPr>
            <w:r w:rsidRPr="005C3EC8">
              <w:t>PRS BW (</w:t>
            </w:r>
            <w:r>
              <w:t>RB number</w:t>
            </w:r>
            <w:r w:rsidRPr="005C3EC8">
              <w:t>)</w:t>
            </w:r>
          </w:p>
        </w:tc>
        <w:tc>
          <w:tcPr>
            <w:tcW w:w="0" w:type="auto"/>
            <w:vMerge w:val="restart"/>
            <w:tcBorders>
              <w:top w:val="single" w:sz="4" w:space="0" w:color="auto"/>
              <w:left w:val="single" w:sz="4" w:space="0" w:color="auto"/>
              <w:right w:val="single" w:sz="4" w:space="0" w:color="auto"/>
            </w:tcBorders>
            <w:hideMark/>
          </w:tcPr>
          <w:p w14:paraId="1F9AAF2A" w14:textId="77777777" w:rsidR="00060B2A" w:rsidRPr="005C3EC8" w:rsidRDefault="00060B2A" w:rsidP="004C7A82">
            <w:pPr>
              <w:pStyle w:val="TAH"/>
              <w:rPr>
                <w:rFonts w:eastAsia="Yu Mincho"/>
              </w:rPr>
            </w:pPr>
            <w:r w:rsidRPr="005C3EC8">
              <w:rPr>
                <w:rFonts w:eastAsia="Yu Mincho"/>
              </w:rPr>
              <w:t>Margin (Tc)</w:t>
            </w:r>
          </w:p>
        </w:tc>
      </w:tr>
      <w:tr w:rsidR="00060B2A" w:rsidRPr="005C3EC8" w14:paraId="273C8CE2" w14:textId="77777777" w:rsidTr="00224E82">
        <w:trPr>
          <w:trHeight w:val="126"/>
          <w:jc w:val="center"/>
        </w:trPr>
        <w:tc>
          <w:tcPr>
            <w:tcW w:w="0" w:type="auto"/>
            <w:tcBorders>
              <w:top w:val="single" w:sz="4" w:space="0" w:color="auto"/>
              <w:left w:val="single" w:sz="4" w:space="0" w:color="auto"/>
              <w:bottom w:val="single" w:sz="4" w:space="0" w:color="auto"/>
              <w:right w:val="single" w:sz="4" w:space="0" w:color="auto"/>
            </w:tcBorders>
          </w:tcPr>
          <w:p w14:paraId="58835E4B" w14:textId="77777777" w:rsidR="00060B2A" w:rsidRPr="00402E0D" w:rsidRDefault="00060B2A" w:rsidP="004C7A82">
            <w:pPr>
              <w:pStyle w:val="TAH"/>
              <w:rPr>
                <w:rFonts w:eastAsiaTheme="minorEastAsia"/>
              </w:rPr>
            </w:pPr>
            <w:r>
              <w:rPr>
                <w:rFonts w:eastAsiaTheme="minorEastAsia" w:hint="eastAsia"/>
              </w:rPr>
              <w:t>S</w:t>
            </w:r>
            <w:r>
              <w:rPr>
                <w:rFonts w:eastAsiaTheme="minorEastAsia"/>
              </w:rPr>
              <w:t>CS=15kHz</w:t>
            </w:r>
          </w:p>
        </w:tc>
        <w:tc>
          <w:tcPr>
            <w:tcW w:w="1212" w:type="dxa"/>
            <w:tcBorders>
              <w:top w:val="single" w:sz="4" w:space="0" w:color="auto"/>
              <w:left w:val="single" w:sz="4" w:space="0" w:color="auto"/>
              <w:bottom w:val="single" w:sz="4" w:space="0" w:color="auto"/>
              <w:right w:val="single" w:sz="4" w:space="0" w:color="auto"/>
            </w:tcBorders>
          </w:tcPr>
          <w:p w14:paraId="42C54EC5" w14:textId="77777777" w:rsidR="00060B2A" w:rsidRPr="005C3EC8" w:rsidRDefault="00060B2A" w:rsidP="004C7A82">
            <w:pPr>
              <w:pStyle w:val="TAH"/>
            </w:pPr>
            <w:r>
              <w:rPr>
                <w:rFonts w:eastAsiaTheme="minorEastAsia" w:hint="eastAsia"/>
              </w:rPr>
              <w:t>S</w:t>
            </w:r>
            <w:r>
              <w:rPr>
                <w:rFonts w:eastAsiaTheme="minorEastAsia"/>
              </w:rPr>
              <w:t>CS=30kHz</w:t>
            </w:r>
          </w:p>
        </w:tc>
        <w:tc>
          <w:tcPr>
            <w:tcW w:w="1212" w:type="dxa"/>
            <w:tcBorders>
              <w:top w:val="single" w:sz="4" w:space="0" w:color="auto"/>
              <w:left w:val="single" w:sz="4" w:space="0" w:color="auto"/>
              <w:bottom w:val="single" w:sz="4" w:space="0" w:color="auto"/>
              <w:right w:val="single" w:sz="4" w:space="0" w:color="auto"/>
            </w:tcBorders>
          </w:tcPr>
          <w:p w14:paraId="266BA825" w14:textId="77777777" w:rsidR="00060B2A" w:rsidRPr="005C3EC8" w:rsidRDefault="00060B2A" w:rsidP="004C7A82">
            <w:pPr>
              <w:pStyle w:val="TAH"/>
            </w:pPr>
            <w:r>
              <w:rPr>
                <w:rFonts w:eastAsiaTheme="minorEastAsia" w:hint="eastAsia"/>
              </w:rPr>
              <w:t>S</w:t>
            </w:r>
            <w:r>
              <w:rPr>
                <w:rFonts w:eastAsiaTheme="minorEastAsia"/>
              </w:rPr>
              <w:t>CS=60kHz</w:t>
            </w:r>
          </w:p>
        </w:tc>
        <w:tc>
          <w:tcPr>
            <w:tcW w:w="0" w:type="auto"/>
            <w:vMerge/>
            <w:tcBorders>
              <w:left w:val="single" w:sz="4" w:space="0" w:color="auto"/>
              <w:bottom w:val="single" w:sz="4" w:space="0" w:color="auto"/>
              <w:right w:val="single" w:sz="4" w:space="0" w:color="auto"/>
            </w:tcBorders>
          </w:tcPr>
          <w:p w14:paraId="0B1E5F59" w14:textId="77777777" w:rsidR="00060B2A" w:rsidRPr="005C3EC8" w:rsidRDefault="00060B2A" w:rsidP="00224E82">
            <w:pPr>
              <w:spacing w:after="0"/>
              <w:rPr>
                <w:rFonts w:ascii="Arial" w:eastAsia="Yu Mincho" w:hAnsi="Arial" w:cs="Arial"/>
                <w:b/>
                <w:bCs/>
                <w:kern w:val="24"/>
                <w:sz w:val="18"/>
                <w:szCs w:val="18"/>
              </w:rPr>
            </w:pPr>
          </w:p>
        </w:tc>
      </w:tr>
      <w:tr w:rsidR="00060B2A" w:rsidRPr="005C3EC8" w14:paraId="33EA978D"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58F592BE"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24</w:t>
            </w:r>
          </w:p>
        </w:tc>
        <w:tc>
          <w:tcPr>
            <w:tcW w:w="0" w:type="auto"/>
            <w:tcBorders>
              <w:top w:val="single" w:sz="4" w:space="0" w:color="auto"/>
              <w:left w:val="single" w:sz="4" w:space="0" w:color="auto"/>
              <w:bottom w:val="single" w:sz="4" w:space="0" w:color="auto"/>
              <w:right w:val="single" w:sz="4" w:space="0" w:color="auto"/>
            </w:tcBorders>
          </w:tcPr>
          <w:p w14:paraId="600B584A" w14:textId="77777777" w:rsidR="00060B2A" w:rsidRPr="005C3EC8" w:rsidRDefault="00060B2A" w:rsidP="004C7A82">
            <w:pPr>
              <w:pStyle w:val="TAC"/>
              <w:rPr>
                <w:rFonts w:eastAsia="Microsoft Sans Serif"/>
              </w:rPr>
            </w:pPr>
            <w:r>
              <w:rPr>
                <w:rFonts w:eastAsiaTheme="minorEastAsia" w:hint="eastAsia"/>
              </w:rPr>
              <w:t>N</w:t>
            </w:r>
            <w:r>
              <w:rPr>
                <w:rFonts w:eastAsiaTheme="minorEastAsia"/>
              </w:rPr>
              <w:t>/A</w:t>
            </w:r>
          </w:p>
        </w:tc>
        <w:tc>
          <w:tcPr>
            <w:tcW w:w="0" w:type="auto"/>
            <w:tcBorders>
              <w:top w:val="single" w:sz="4" w:space="0" w:color="auto"/>
              <w:left w:val="single" w:sz="4" w:space="0" w:color="auto"/>
              <w:bottom w:val="single" w:sz="4" w:space="0" w:color="auto"/>
              <w:right w:val="single" w:sz="4" w:space="0" w:color="auto"/>
            </w:tcBorders>
            <w:hideMark/>
          </w:tcPr>
          <w:p w14:paraId="2E4703D9" w14:textId="77777777" w:rsidR="00060B2A" w:rsidRPr="005C3EC8" w:rsidRDefault="00060B2A" w:rsidP="004C7A82">
            <w:pPr>
              <w:pStyle w:val="TAC"/>
              <w:rPr>
                <w:rFonts w:eastAsia="Yu Mincho"/>
                <w:b/>
                <w:bCs/>
              </w:rPr>
            </w:pPr>
            <w:r>
              <w:rPr>
                <w:rFonts w:eastAsiaTheme="minorEastAsia" w:hint="eastAsia"/>
              </w:rPr>
              <w:t>N</w:t>
            </w:r>
            <w:r>
              <w:rPr>
                <w:rFonts w:eastAsiaTheme="minorEastAsia"/>
              </w:rPr>
              <w:t>/A</w:t>
            </w:r>
          </w:p>
        </w:tc>
        <w:tc>
          <w:tcPr>
            <w:tcW w:w="0" w:type="auto"/>
            <w:tcBorders>
              <w:top w:val="single" w:sz="4" w:space="0" w:color="auto"/>
              <w:left w:val="single" w:sz="4" w:space="0" w:color="auto"/>
              <w:bottom w:val="single" w:sz="4" w:space="0" w:color="auto"/>
              <w:right w:val="single" w:sz="4" w:space="0" w:color="auto"/>
            </w:tcBorders>
            <w:hideMark/>
          </w:tcPr>
          <w:p w14:paraId="756B640F" w14:textId="77777777" w:rsidR="00060B2A" w:rsidRPr="005C3EC8" w:rsidRDefault="00060B2A" w:rsidP="004C7A82">
            <w:pPr>
              <w:pStyle w:val="TAC"/>
              <w:rPr>
                <w:rFonts w:eastAsia="Yu Mincho"/>
                <w:b/>
                <w:bCs/>
              </w:rPr>
            </w:pPr>
            <w:r w:rsidRPr="005C3EC8">
              <w:rPr>
                <w:rFonts w:eastAsia="Yu Mincho"/>
              </w:rPr>
              <w:t>120</w:t>
            </w:r>
          </w:p>
        </w:tc>
      </w:tr>
      <w:tr w:rsidR="00060B2A" w:rsidRPr="005C3EC8" w14:paraId="2FDDB91E"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49C4B8B1" w14:textId="77777777" w:rsidR="00060B2A" w:rsidRPr="005C3EC8" w:rsidRDefault="00060B2A" w:rsidP="004C7A82">
            <w:pPr>
              <w:pStyle w:val="TAC"/>
              <w:rPr>
                <w:rFonts w:eastAsia="Microsoft Sans Serif"/>
              </w:rPr>
            </w:pPr>
            <w:r w:rsidRPr="005C3EC8">
              <w:rPr>
                <w:rFonts w:eastAsia="Microsoft Sans Serif"/>
              </w:rPr>
              <w:t xml:space="preserve">≥ </w:t>
            </w:r>
            <w:r w:rsidRPr="005C3EC8">
              <w:rPr>
                <w:rFonts w:eastAsia="Yu Mincho"/>
              </w:rPr>
              <w:t>5</w:t>
            </w:r>
            <w:r>
              <w:rPr>
                <w:rFonts w:eastAsia="Yu Mincho"/>
              </w:rPr>
              <w:t>2</w:t>
            </w:r>
          </w:p>
        </w:tc>
        <w:tc>
          <w:tcPr>
            <w:tcW w:w="0" w:type="auto"/>
            <w:tcBorders>
              <w:top w:val="single" w:sz="4" w:space="0" w:color="auto"/>
              <w:left w:val="single" w:sz="4" w:space="0" w:color="auto"/>
              <w:bottom w:val="single" w:sz="4" w:space="0" w:color="auto"/>
              <w:right w:val="single" w:sz="4" w:space="0" w:color="auto"/>
            </w:tcBorders>
          </w:tcPr>
          <w:p w14:paraId="1AEE282F"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24</w:t>
            </w:r>
          </w:p>
        </w:tc>
        <w:tc>
          <w:tcPr>
            <w:tcW w:w="0" w:type="auto"/>
            <w:tcBorders>
              <w:top w:val="single" w:sz="4" w:space="0" w:color="auto"/>
              <w:left w:val="single" w:sz="4" w:space="0" w:color="auto"/>
              <w:bottom w:val="single" w:sz="4" w:space="0" w:color="auto"/>
              <w:right w:val="single" w:sz="4" w:space="0" w:color="auto"/>
            </w:tcBorders>
            <w:hideMark/>
          </w:tcPr>
          <w:p w14:paraId="3D884A4C" w14:textId="77777777" w:rsidR="00060B2A" w:rsidRPr="005C3EC8" w:rsidRDefault="00060B2A" w:rsidP="004C7A82">
            <w:pPr>
              <w:pStyle w:val="TAC"/>
              <w:rPr>
                <w:rFonts w:eastAsia="Yu Mincho"/>
                <w:b/>
                <w:bCs/>
              </w:rPr>
            </w:pPr>
            <w:r>
              <w:rPr>
                <w:rFonts w:eastAsiaTheme="minorEastAsia" w:hint="eastAsia"/>
              </w:rPr>
              <w:t>N</w:t>
            </w:r>
            <w:r>
              <w:rPr>
                <w:rFonts w:eastAsiaTheme="minorEastAsia"/>
              </w:rPr>
              <w:t>/A</w:t>
            </w:r>
          </w:p>
        </w:tc>
        <w:tc>
          <w:tcPr>
            <w:tcW w:w="0" w:type="auto"/>
            <w:tcBorders>
              <w:top w:val="single" w:sz="4" w:space="0" w:color="auto"/>
              <w:left w:val="single" w:sz="4" w:space="0" w:color="auto"/>
              <w:bottom w:val="single" w:sz="4" w:space="0" w:color="auto"/>
              <w:right w:val="single" w:sz="4" w:space="0" w:color="auto"/>
            </w:tcBorders>
            <w:hideMark/>
          </w:tcPr>
          <w:p w14:paraId="30971A6E" w14:textId="77777777" w:rsidR="00060B2A" w:rsidRPr="005C3EC8" w:rsidRDefault="00060B2A" w:rsidP="004C7A82">
            <w:pPr>
              <w:pStyle w:val="TAC"/>
              <w:rPr>
                <w:rFonts w:eastAsia="Yu Mincho"/>
                <w:b/>
                <w:bCs/>
              </w:rPr>
            </w:pPr>
            <w:r w:rsidRPr="005C3EC8">
              <w:rPr>
                <w:rFonts w:eastAsia="Yu Mincho"/>
              </w:rPr>
              <w:t>72</w:t>
            </w:r>
          </w:p>
        </w:tc>
      </w:tr>
      <w:tr w:rsidR="00060B2A" w:rsidRPr="005C3EC8" w14:paraId="78734020"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68136E7E"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104</w:t>
            </w:r>
          </w:p>
        </w:tc>
        <w:tc>
          <w:tcPr>
            <w:tcW w:w="0" w:type="auto"/>
            <w:tcBorders>
              <w:top w:val="single" w:sz="4" w:space="0" w:color="auto"/>
              <w:left w:val="single" w:sz="4" w:space="0" w:color="auto"/>
              <w:bottom w:val="single" w:sz="4" w:space="0" w:color="auto"/>
              <w:right w:val="single" w:sz="4" w:space="0" w:color="auto"/>
            </w:tcBorders>
          </w:tcPr>
          <w:p w14:paraId="4C82B343"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48</w:t>
            </w:r>
          </w:p>
        </w:tc>
        <w:tc>
          <w:tcPr>
            <w:tcW w:w="0" w:type="auto"/>
            <w:tcBorders>
              <w:top w:val="single" w:sz="4" w:space="0" w:color="auto"/>
              <w:left w:val="single" w:sz="4" w:space="0" w:color="auto"/>
              <w:bottom w:val="single" w:sz="4" w:space="0" w:color="auto"/>
              <w:right w:val="single" w:sz="4" w:space="0" w:color="auto"/>
            </w:tcBorders>
            <w:hideMark/>
          </w:tcPr>
          <w:p w14:paraId="4D23E2DD" w14:textId="77777777" w:rsidR="00060B2A" w:rsidRPr="005C3EC8" w:rsidRDefault="00060B2A" w:rsidP="004C7A82">
            <w:pPr>
              <w:pStyle w:val="TAC"/>
              <w:rPr>
                <w:rFonts w:eastAsia="Yu Mincho"/>
                <w:b/>
                <w:bCs/>
              </w:rPr>
            </w:pPr>
            <w:r w:rsidRPr="005C3EC8">
              <w:rPr>
                <w:rFonts w:eastAsia="Microsoft Sans Serif"/>
              </w:rPr>
              <w:t xml:space="preserve">≥ </w:t>
            </w:r>
            <w:r>
              <w:rPr>
                <w:rFonts w:eastAsia="Yu Mincho"/>
              </w:rPr>
              <w:t>24</w:t>
            </w:r>
          </w:p>
        </w:tc>
        <w:tc>
          <w:tcPr>
            <w:tcW w:w="0" w:type="auto"/>
            <w:tcBorders>
              <w:top w:val="single" w:sz="4" w:space="0" w:color="auto"/>
              <w:left w:val="single" w:sz="4" w:space="0" w:color="auto"/>
              <w:bottom w:val="single" w:sz="4" w:space="0" w:color="auto"/>
              <w:right w:val="single" w:sz="4" w:space="0" w:color="auto"/>
            </w:tcBorders>
          </w:tcPr>
          <w:p w14:paraId="74C303BC" w14:textId="77777777" w:rsidR="00060B2A" w:rsidRPr="005C3EC8" w:rsidRDefault="00060B2A" w:rsidP="004C7A82">
            <w:pPr>
              <w:pStyle w:val="TAC"/>
              <w:rPr>
                <w:rFonts w:eastAsiaTheme="minorEastAsia"/>
                <w:bCs/>
              </w:rPr>
            </w:pPr>
            <w:r w:rsidRPr="005C3EC8">
              <w:rPr>
                <w:rFonts w:eastAsiaTheme="minorEastAsia"/>
                <w:bCs/>
              </w:rPr>
              <w:t>36</w:t>
            </w:r>
          </w:p>
        </w:tc>
      </w:tr>
      <w:tr w:rsidR="00060B2A" w:rsidRPr="005C3EC8" w14:paraId="2B80F86B"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786FFD23" w14:textId="77777777" w:rsidR="00060B2A" w:rsidRPr="00402E0D" w:rsidRDefault="00060B2A" w:rsidP="004C7A82">
            <w:pPr>
              <w:pStyle w:val="TAC"/>
              <w:rPr>
                <w:rFonts w:eastAsiaTheme="minorEastAsia"/>
              </w:rPr>
            </w:pPr>
            <w:r>
              <w:rPr>
                <w:rFonts w:eastAsiaTheme="minorEastAsia" w:hint="eastAsia"/>
              </w:rPr>
              <w:t>N</w:t>
            </w:r>
            <w:r>
              <w:rPr>
                <w:rFonts w:eastAsiaTheme="minorEastAsia"/>
              </w:rPr>
              <w:t>/A</w:t>
            </w:r>
          </w:p>
        </w:tc>
        <w:tc>
          <w:tcPr>
            <w:tcW w:w="0" w:type="auto"/>
            <w:tcBorders>
              <w:top w:val="single" w:sz="4" w:space="0" w:color="auto"/>
              <w:left w:val="single" w:sz="4" w:space="0" w:color="auto"/>
              <w:bottom w:val="single" w:sz="4" w:space="0" w:color="auto"/>
              <w:right w:val="single" w:sz="4" w:space="0" w:color="auto"/>
            </w:tcBorders>
          </w:tcPr>
          <w:p w14:paraId="7B4F2F1B"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132</w:t>
            </w:r>
          </w:p>
        </w:tc>
        <w:tc>
          <w:tcPr>
            <w:tcW w:w="0" w:type="auto"/>
            <w:tcBorders>
              <w:top w:val="single" w:sz="4" w:space="0" w:color="auto"/>
              <w:left w:val="single" w:sz="4" w:space="0" w:color="auto"/>
              <w:bottom w:val="single" w:sz="4" w:space="0" w:color="auto"/>
              <w:right w:val="single" w:sz="4" w:space="0" w:color="auto"/>
            </w:tcBorders>
            <w:hideMark/>
          </w:tcPr>
          <w:p w14:paraId="27CF27B4" w14:textId="77777777" w:rsidR="00060B2A" w:rsidRPr="005C3EC8" w:rsidRDefault="00060B2A" w:rsidP="004C7A82">
            <w:pPr>
              <w:pStyle w:val="TAC"/>
              <w:rPr>
                <w:rFonts w:eastAsia="Yu Mincho"/>
                <w:b/>
                <w:bCs/>
              </w:rPr>
            </w:pPr>
            <w:r w:rsidRPr="005C3EC8">
              <w:rPr>
                <w:rFonts w:eastAsia="Microsoft Sans Serif"/>
              </w:rPr>
              <w:t xml:space="preserve">≥ </w:t>
            </w:r>
            <w:r>
              <w:rPr>
                <w:rFonts w:eastAsia="Yu Mincho"/>
              </w:rPr>
              <w:t>64</w:t>
            </w:r>
          </w:p>
        </w:tc>
        <w:tc>
          <w:tcPr>
            <w:tcW w:w="0" w:type="auto"/>
            <w:tcBorders>
              <w:top w:val="single" w:sz="4" w:space="0" w:color="auto"/>
              <w:left w:val="single" w:sz="4" w:space="0" w:color="auto"/>
              <w:bottom w:val="single" w:sz="4" w:space="0" w:color="auto"/>
              <w:right w:val="single" w:sz="4" w:space="0" w:color="auto"/>
            </w:tcBorders>
          </w:tcPr>
          <w:p w14:paraId="5132F8D6" w14:textId="77777777" w:rsidR="00060B2A" w:rsidRPr="005C3EC8" w:rsidRDefault="00060B2A" w:rsidP="004C7A82">
            <w:pPr>
              <w:pStyle w:val="TAC"/>
              <w:rPr>
                <w:rFonts w:eastAsiaTheme="minorEastAsia"/>
                <w:bCs/>
              </w:rPr>
            </w:pPr>
            <w:r w:rsidRPr="005C3EC8">
              <w:rPr>
                <w:rFonts w:eastAsiaTheme="minorEastAsia"/>
                <w:bCs/>
              </w:rPr>
              <w:t>16</w:t>
            </w:r>
          </w:p>
        </w:tc>
      </w:tr>
      <w:tr w:rsidR="00060B2A" w:rsidRPr="005C3EC8" w14:paraId="032EC10A"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0DC6F013" w14:textId="77777777" w:rsidR="00060B2A" w:rsidRPr="00402E0D" w:rsidRDefault="00060B2A" w:rsidP="004C7A82">
            <w:pPr>
              <w:pStyle w:val="TAC"/>
              <w:rPr>
                <w:rFonts w:eastAsiaTheme="minorEastAsia"/>
              </w:rPr>
            </w:pPr>
            <w:r>
              <w:rPr>
                <w:rFonts w:eastAsiaTheme="minorEastAsia" w:hint="eastAsia"/>
              </w:rPr>
              <w:t>N</w:t>
            </w:r>
            <w:r>
              <w:rPr>
                <w:rFonts w:eastAsiaTheme="minorEastAsia"/>
              </w:rPr>
              <w:t>/A</w:t>
            </w:r>
          </w:p>
        </w:tc>
        <w:tc>
          <w:tcPr>
            <w:tcW w:w="0" w:type="auto"/>
            <w:tcBorders>
              <w:top w:val="single" w:sz="4" w:space="0" w:color="auto"/>
              <w:left w:val="single" w:sz="4" w:space="0" w:color="auto"/>
              <w:bottom w:val="single" w:sz="4" w:space="0" w:color="auto"/>
              <w:right w:val="single" w:sz="4" w:space="0" w:color="auto"/>
            </w:tcBorders>
          </w:tcPr>
          <w:p w14:paraId="23F4BC28" w14:textId="77777777" w:rsidR="00060B2A" w:rsidRPr="005C3EC8" w:rsidRDefault="00060B2A" w:rsidP="004C7A82">
            <w:pPr>
              <w:pStyle w:val="TAC"/>
              <w:rPr>
                <w:rFonts w:eastAsia="Microsoft Sans Serif"/>
              </w:rPr>
            </w:pPr>
            <w:r>
              <w:rPr>
                <w:rFonts w:eastAsiaTheme="minorEastAsia" w:hint="eastAsia"/>
              </w:rPr>
              <w:t>N</w:t>
            </w:r>
            <w:r>
              <w:rPr>
                <w:rFonts w:eastAsiaTheme="minorEastAsia"/>
              </w:rPr>
              <w:t>/A</w:t>
            </w:r>
          </w:p>
        </w:tc>
        <w:tc>
          <w:tcPr>
            <w:tcW w:w="0" w:type="auto"/>
            <w:tcBorders>
              <w:top w:val="single" w:sz="4" w:space="0" w:color="auto"/>
              <w:left w:val="single" w:sz="4" w:space="0" w:color="auto"/>
              <w:bottom w:val="single" w:sz="4" w:space="0" w:color="auto"/>
              <w:right w:val="single" w:sz="4" w:space="0" w:color="auto"/>
            </w:tcBorders>
            <w:hideMark/>
          </w:tcPr>
          <w:p w14:paraId="7EE3074B"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132</w:t>
            </w:r>
          </w:p>
        </w:tc>
        <w:tc>
          <w:tcPr>
            <w:tcW w:w="0" w:type="auto"/>
            <w:tcBorders>
              <w:top w:val="single" w:sz="4" w:space="0" w:color="auto"/>
              <w:left w:val="single" w:sz="4" w:space="0" w:color="auto"/>
              <w:bottom w:val="single" w:sz="4" w:space="0" w:color="auto"/>
              <w:right w:val="single" w:sz="4" w:space="0" w:color="auto"/>
            </w:tcBorders>
          </w:tcPr>
          <w:p w14:paraId="669BD45C" w14:textId="77777777" w:rsidR="00060B2A" w:rsidRPr="005C3EC8" w:rsidRDefault="00060B2A" w:rsidP="004C7A82">
            <w:pPr>
              <w:pStyle w:val="TAC"/>
              <w:rPr>
                <w:rFonts w:eastAsiaTheme="minorEastAsia"/>
              </w:rPr>
            </w:pPr>
            <w:r w:rsidRPr="005C3EC8">
              <w:rPr>
                <w:rFonts w:eastAsiaTheme="minorEastAsia"/>
              </w:rPr>
              <w:t>12</w:t>
            </w:r>
          </w:p>
        </w:tc>
      </w:tr>
    </w:tbl>
    <w:p w14:paraId="33B05A86" w14:textId="13838ABF" w:rsidR="00060B2A" w:rsidRDefault="00060B2A" w:rsidP="00B22B9E">
      <w:pPr>
        <w:rPr>
          <w:rFonts w:eastAsia="MS Mincho"/>
          <w:lang w:val="en-US"/>
        </w:rPr>
      </w:pPr>
    </w:p>
    <w:p w14:paraId="5F86044B" w14:textId="77777777" w:rsidR="00B22B9E" w:rsidRPr="004D54E8" w:rsidRDefault="00B22B9E" w:rsidP="004C7A82">
      <w:pPr>
        <w:pStyle w:val="TH"/>
        <w:rPr>
          <w:lang w:eastAsia="sv-SE"/>
        </w:rPr>
      </w:pPr>
      <w:r w:rsidRPr="004D54E8">
        <w:t>Table 10.1.23.2-5</w:t>
      </w:r>
      <w:r>
        <w:t>a</w:t>
      </w:r>
      <w:r w:rsidRPr="004D54E8">
        <w:t xml:space="preserve">: Margin </w:t>
      </w:r>
      <w:r w:rsidRPr="00453B66">
        <w:rPr>
          <w:rFonts w:hint="eastAsia"/>
        </w:rPr>
        <w:t>Δ</w:t>
      </w:r>
      <w:r>
        <w:rPr>
          <w:rFonts w:hint="eastAsia"/>
          <w:lang w:eastAsia="zh-CN"/>
        </w:rPr>
        <w:t xml:space="preserve"> </w:t>
      </w:r>
      <w:r w:rsidRPr="004D54E8">
        <w:t>for RSTD measurement accuracy in FR1</w:t>
      </w:r>
    </w:p>
    <w:tbl>
      <w:tblPr>
        <w:tblW w:w="0" w:type="auto"/>
        <w:jc w:val="center"/>
        <w:tblLook w:val="04A0" w:firstRow="1" w:lastRow="0" w:firstColumn="1" w:lastColumn="0" w:noHBand="0" w:noVBand="1"/>
      </w:tblPr>
      <w:tblGrid>
        <w:gridCol w:w="1212"/>
        <w:gridCol w:w="1212"/>
        <w:gridCol w:w="1212"/>
        <w:gridCol w:w="1186"/>
      </w:tblGrid>
      <w:tr w:rsidR="00B22B9E" w:rsidRPr="004D54E8" w14:paraId="4378D1C2" w14:textId="77777777" w:rsidTr="00F66924">
        <w:trPr>
          <w:trHeight w:val="127"/>
          <w:jc w:val="center"/>
        </w:trPr>
        <w:tc>
          <w:tcPr>
            <w:tcW w:w="0" w:type="auto"/>
            <w:gridSpan w:val="3"/>
            <w:tcBorders>
              <w:top w:val="single" w:sz="4" w:space="0" w:color="auto"/>
              <w:left w:val="single" w:sz="4" w:space="0" w:color="auto"/>
              <w:bottom w:val="single" w:sz="4" w:space="0" w:color="auto"/>
              <w:right w:val="single" w:sz="4" w:space="0" w:color="auto"/>
            </w:tcBorders>
          </w:tcPr>
          <w:p w14:paraId="335F8D69" w14:textId="77777777" w:rsidR="00B22B9E" w:rsidRPr="004D54E8" w:rsidRDefault="00B22B9E" w:rsidP="00F66924">
            <w:pPr>
              <w:pStyle w:val="TAH"/>
            </w:pPr>
            <w:r w:rsidRPr="004D54E8">
              <w:t>PRS BW (RB number)</w:t>
            </w:r>
          </w:p>
        </w:tc>
        <w:tc>
          <w:tcPr>
            <w:tcW w:w="0" w:type="auto"/>
            <w:vMerge w:val="restart"/>
            <w:tcBorders>
              <w:top w:val="single" w:sz="4" w:space="0" w:color="auto"/>
              <w:left w:val="single" w:sz="4" w:space="0" w:color="auto"/>
              <w:right w:val="single" w:sz="4" w:space="0" w:color="auto"/>
            </w:tcBorders>
            <w:hideMark/>
          </w:tcPr>
          <w:p w14:paraId="73C0B8A7" w14:textId="77777777" w:rsidR="00B22B9E" w:rsidRPr="004D54E8" w:rsidRDefault="00B22B9E" w:rsidP="00F66924">
            <w:pPr>
              <w:pStyle w:val="TAH"/>
            </w:pPr>
            <w:r w:rsidRPr="004D54E8">
              <w:t>Margin (Tc)</w:t>
            </w:r>
          </w:p>
        </w:tc>
      </w:tr>
      <w:tr w:rsidR="00B22B9E" w:rsidRPr="004D54E8" w14:paraId="349850D4" w14:textId="77777777" w:rsidTr="00F66924">
        <w:trPr>
          <w:trHeight w:val="126"/>
          <w:jc w:val="center"/>
        </w:trPr>
        <w:tc>
          <w:tcPr>
            <w:tcW w:w="0" w:type="auto"/>
            <w:tcBorders>
              <w:top w:val="single" w:sz="4" w:space="0" w:color="auto"/>
              <w:left w:val="single" w:sz="4" w:space="0" w:color="auto"/>
              <w:bottom w:val="single" w:sz="4" w:space="0" w:color="auto"/>
              <w:right w:val="single" w:sz="4" w:space="0" w:color="auto"/>
            </w:tcBorders>
          </w:tcPr>
          <w:p w14:paraId="0D13D952" w14:textId="77777777" w:rsidR="00B22B9E" w:rsidRPr="004D54E8" w:rsidRDefault="00B22B9E" w:rsidP="00F66924">
            <w:pPr>
              <w:pStyle w:val="TAH"/>
            </w:pPr>
            <w:r w:rsidRPr="004D54E8">
              <w:rPr>
                <w:rFonts w:hint="eastAsia"/>
              </w:rPr>
              <w:t>S</w:t>
            </w:r>
            <w:r w:rsidRPr="004D54E8">
              <w:t>CS=15kHz</w:t>
            </w:r>
          </w:p>
        </w:tc>
        <w:tc>
          <w:tcPr>
            <w:tcW w:w="1212" w:type="dxa"/>
            <w:tcBorders>
              <w:top w:val="single" w:sz="4" w:space="0" w:color="auto"/>
              <w:left w:val="single" w:sz="4" w:space="0" w:color="auto"/>
              <w:bottom w:val="single" w:sz="4" w:space="0" w:color="auto"/>
              <w:right w:val="single" w:sz="4" w:space="0" w:color="auto"/>
            </w:tcBorders>
          </w:tcPr>
          <w:p w14:paraId="4D84CA19" w14:textId="77777777" w:rsidR="00B22B9E" w:rsidRPr="004D54E8" w:rsidRDefault="00B22B9E" w:rsidP="00F66924">
            <w:pPr>
              <w:pStyle w:val="TAH"/>
            </w:pPr>
            <w:r w:rsidRPr="004D54E8">
              <w:rPr>
                <w:rFonts w:hint="eastAsia"/>
              </w:rPr>
              <w:t>S</w:t>
            </w:r>
            <w:r w:rsidRPr="004D54E8">
              <w:t>CS=30kHz</w:t>
            </w:r>
          </w:p>
        </w:tc>
        <w:tc>
          <w:tcPr>
            <w:tcW w:w="1212" w:type="dxa"/>
            <w:tcBorders>
              <w:top w:val="single" w:sz="4" w:space="0" w:color="auto"/>
              <w:left w:val="single" w:sz="4" w:space="0" w:color="auto"/>
              <w:bottom w:val="single" w:sz="4" w:space="0" w:color="auto"/>
              <w:right w:val="single" w:sz="4" w:space="0" w:color="auto"/>
            </w:tcBorders>
          </w:tcPr>
          <w:p w14:paraId="7A49FA78" w14:textId="77777777" w:rsidR="00B22B9E" w:rsidRPr="004D54E8" w:rsidRDefault="00B22B9E" w:rsidP="00F66924">
            <w:pPr>
              <w:pStyle w:val="TAH"/>
            </w:pPr>
            <w:r w:rsidRPr="004D54E8">
              <w:rPr>
                <w:rFonts w:hint="eastAsia"/>
              </w:rPr>
              <w:t>S</w:t>
            </w:r>
            <w:r w:rsidRPr="004D54E8">
              <w:t>CS=60kHz</w:t>
            </w:r>
          </w:p>
        </w:tc>
        <w:tc>
          <w:tcPr>
            <w:tcW w:w="0" w:type="auto"/>
            <w:vMerge/>
            <w:tcBorders>
              <w:left w:val="single" w:sz="4" w:space="0" w:color="auto"/>
              <w:bottom w:val="single" w:sz="4" w:space="0" w:color="auto"/>
              <w:right w:val="single" w:sz="4" w:space="0" w:color="auto"/>
            </w:tcBorders>
          </w:tcPr>
          <w:p w14:paraId="031AC230" w14:textId="77777777" w:rsidR="00B22B9E" w:rsidRPr="004D54E8" w:rsidRDefault="00B22B9E" w:rsidP="00F66924">
            <w:pPr>
              <w:spacing w:after="0"/>
              <w:rPr>
                <w:rFonts w:ascii="Arial" w:eastAsia="Yu Mincho" w:hAnsi="Arial" w:cs="Arial"/>
                <w:b/>
                <w:bCs/>
                <w:kern w:val="24"/>
                <w:sz w:val="18"/>
                <w:szCs w:val="18"/>
              </w:rPr>
            </w:pPr>
          </w:p>
        </w:tc>
      </w:tr>
      <w:tr w:rsidR="00621D39" w:rsidRPr="004D54E8" w14:paraId="2A96B77A"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5261A0FF" w14:textId="77777777" w:rsidR="00621D39" w:rsidRPr="004D54E8" w:rsidRDefault="00621D39" w:rsidP="00621D39">
            <w:pPr>
              <w:pStyle w:val="TAC"/>
            </w:pPr>
            <w:r w:rsidRPr="004D54E8">
              <w:t xml:space="preserve">≥ </w:t>
            </w:r>
            <w:r w:rsidRPr="004D54E8">
              <w:rPr>
                <w:rFonts w:eastAsia="Yu Mincho"/>
              </w:rPr>
              <w:t>24</w:t>
            </w:r>
          </w:p>
        </w:tc>
        <w:tc>
          <w:tcPr>
            <w:tcW w:w="0" w:type="auto"/>
            <w:tcBorders>
              <w:top w:val="single" w:sz="4" w:space="0" w:color="auto"/>
              <w:left w:val="single" w:sz="4" w:space="0" w:color="auto"/>
              <w:bottom w:val="single" w:sz="4" w:space="0" w:color="auto"/>
              <w:right w:val="single" w:sz="4" w:space="0" w:color="auto"/>
            </w:tcBorders>
          </w:tcPr>
          <w:p w14:paraId="066A282A" w14:textId="77777777" w:rsidR="00621D39" w:rsidRPr="004D54E8" w:rsidRDefault="00621D39" w:rsidP="00621D39">
            <w:pPr>
              <w:pStyle w:val="TAC"/>
            </w:pPr>
            <w:r w:rsidRPr="004D54E8">
              <w:rPr>
                <w:rFonts w:hint="eastAsia"/>
              </w:rPr>
              <w:t>N</w:t>
            </w:r>
            <w:r w:rsidRPr="004D54E8">
              <w:t>/A</w:t>
            </w:r>
          </w:p>
        </w:tc>
        <w:tc>
          <w:tcPr>
            <w:tcW w:w="0" w:type="auto"/>
            <w:tcBorders>
              <w:top w:val="single" w:sz="4" w:space="0" w:color="auto"/>
              <w:left w:val="single" w:sz="4" w:space="0" w:color="auto"/>
              <w:bottom w:val="single" w:sz="4" w:space="0" w:color="auto"/>
              <w:right w:val="single" w:sz="4" w:space="0" w:color="auto"/>
            </w:tcBorders>
            <w:hideMark/>
          </w:tcPr>
          <w:p w14:paraId="31937859" w14:textId="77777777" w:rsidR="00621D39" w:rsidRPr="004D54E8" w:rsidRDefault="00621D39" w:rsidP="00621D39">
            <w:pPr>
              <w:pStyle w:val="TAC"/>
              <w:rPr>
                <w:rFonts w:eastAsia="Yu Mincho"/>
                <w:b/>
                <w:bCs/>
              </w:rPr>
            </w:pPr>
            <w:r w:rsidRPr="004D54E8">
              <w:rPr>
                <w:rFonts w:hint="eastAsia"/>
              </w:rPr>
              <w:t>N</w:t>
            </w:r>
            <w:r w:rsidRPr="004D54E8">
              <w:t>/A</w:t>
            </w:r>
          </w:p>
        </w:tc>
        <w:tc>
          <w:tcPr>
            <w:tcW w:w="0" w:type="auto"/>
            <w:tcBorders>
              <w:top w:val="single" w:sz="4" w:space="0" w:color="auto"/>
              <w:left w:val="single" w:sz="4" w:space="0" w:color="auto"/>
              <w:bottom w:val="single" w:sz="4" w:space="0" w:color="auto"/>
              <w:right w:val="single" w:sz="4" w:space="0" w:color="auto"/>
            </w:tcBorders>
            <w:hideMark/>
          </w:tcPr>
          <w:p w14:paraId="017CC4CE" w14:textId="239AAB28" w:rsidR="00621D39" w:rsidRPr="004D54E8" w:rsidRDefault="00621D39" w:rsidP="00621D39">
            <w:pPr>
              <w:pStyle w:val="TAC"/>
              <w:rPr>
                <w:rFonts w:eastAsia="Yu Mincho"/>
                <w:b/>
                <w:bCs/>
              </w:rPr>
            </w:pPr>
            <w:r>
              <w:rPr>
                <w:rFonts w:eastAsia="Yu Mincho"/>
              </w:rPr>
              <w:t>128</w:t>
            </w:r>
          </w:p>
        </w:tc>
      </w:tr>
      <w:tr w:rsidR="00621D39" w:rsidRPr="004D54E8" w14:paraId="7F88438D"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73099657" w14:textId="77777777" w:rsidR="00621D39" w:rsidRPr="004D54E8" w:rsidRDefault="00621D39" w:rsidP="00621D39">
            <w:pPr>
              <w:pStyle w:val="TAC"/>
            </w:pPr>
            <w:r w:rsidRPr="004D54E8">
              <w:t xml:space="preserve">≥ </w:t>
            </w:r>
            <w:r w:rsidRPr="004D54E8">
              <w:rPr>
                <w:rFonts w:eastAsia="Yu Mincho"/>
              </w:rPr>
              <w:t>52</w:t>
            </w:r>
          </w:p>
        </w:tc>
        <w:tc>
          <w:tcPr>
            <w:tcW w:w="0" w:type="auto"/>
            <w:tcBorders>
              <w:top w:val="single" w:sz="4" w:space="0" w:color="auto"/>
              <w:left w:val="single" w:sz="4" w:space="0" w:color="auto"/>
              <w:bottom w:val="single" w:sz="4" w:space="0" w:color="auto"/>
              <w:right w:val="single" w:sz="4" w:space="0" w:color="auto"/>
            </w:tcBorders>
          </w:tcPr>
          <w:p w14:paraId="51D976D6" w14:textId="77777777" w:rsidR="00621D39" w:rsidRPr="004D54E8" w:rsidRDefault="00621D39" w:rsidP="00621D39">
            <w:pPr>
              <w:pStyle w:val="TAC"/>
            </w:pPr>
            <w:r w:rsidRPr="004D54E8">
              <w:t xml:space="preserve">≥ </w:t>
            </w:r>
            <w:r w:rsidRPr="004D54E8">
              <w:rPr>
                <w:rFonts w:eastAsia="Yu Mincho"/>
              </w:rPr>
              <w:t>24</w:t>
            </w:r>
          </w:p>
        </w:tc>
        <w:tc>
          <w:tcPr>
            <w:tcW w:w="0" w:type="auto"/>
            <w:tcBorders>
              <w:top w:val="single" w:sz="4" w:space="0" w:color="auto"/>
              <w:left w:val="single" w:sz="4" w:space="0" w:color="auto"/>
              <w:bottom w:val="single" w:sz="4" w:space="0" w:color="auto"/>
              <w:right w:val="single" w:sz="4" w:space="0" w:color="auto"/>
            </w:tcBorders>
            <w:hideMark/>
          </w:tcPr>
          <w:p w14:paraId="1EB0CF47" w14:textId="77777777" w:rsidR="00621D39" w:rsidRPr="004D54E8" w:rsidRDefault="00621D39" w:rsidP="00621D39">
            <w:pPr>
              <w:pStyle w:val="TAC"/>
              <w:rPr>
                <w:rFonts w:eastAsia="Yu Mincho"/>
                <w:b/>
                <w:bCs/>
              </w:rPr>
            </w:pPr>
            <w:r w:rsidRPr="004D54E8">
              <w:rPr>
                <w:rFonts w:hint="eastAsia"/>
              </w:rPr>
              <w:t>N</w:t>
            </w:r>
            <w:r w:rsidRPr="004D54E8">
              <w:t>/A</w:t>
            </w:r>
          </w:p>
        </w:tc>
        <w:tc>
          <w:tcPr>
            <w:tcW w:w="0" w:type="auto"/>
            <w:tcBorders>
              <w:top w:val="single" w:sz="4" w:space="0" w:color="auto"/>
              <w:left w:val="single" w:sz="4" w:space="0" w:color="auto"/>
              <w:bottom w:val="single" w:sz="4" w:space="0" w:color="auto"/>
              <w:right w:val="single" w:sz="4" w:space="0" w:color="auto"/>
            </w:tcBorders>
            <w:hideMark/>
          </w:tcPr>
          <w:p w14:paraId="000CA0FA" w14:textId="73FE0859" w:rsidR="00621D39" w:rsidRPr="004D54E8" w:rsidRDefault="00621D39" w:rsidP="00621D39">
            <w:pPr>
              <w:pStyle w:val="TAC"/>
              <w:rPr>
                <w:rFonts w:eastAsia="Yu Mincho"/>
                <w:b/>
                <w:bCs/>
              </w:rPr>
            </w:pPr>
            <w:r>
              <w:rPr>
                <w:rFonts w:eastAsia="Yu Mincho"/>
              </w:rPr>
              <w:t>64</w:t>
            </w:r>
          </w:p>
        </w:tc>
      </w:tr>
      <w:tr w:rsidR="00621D39" w:rsidRPr="004D54E8" w14:paraId="3BA6AD2B"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299462EC" w14:textId="77777777" w:rsidR="00621D39" w:rsidRPr="004D54E8" w:rsidRDefault="00621D39" w:rsidP="00621D39">
            <w:pPr>
              <w:pStyle w:val="TAC"/>
            </w:pPr>
            <w:r w:rsidRPr="004D54E8">
              <w:t xml:space="preserve">≥ </w:t>
            </w:r>
            <w:r w:rsidRPr="004D54E8">
              <w:rPr>
                <w:rFonts w:eastAsia="Yu Mincho"/>
              </w:rPr>
              <w:t>104</w:t>
            </w:r>
          </w:p>
        </w:tc>
        <w:tc>
          <w:tcPr>
            <w:tcW w:w="0" w:type="auto"/>
            <w:tcBorders>
              <w:top w:val="single" w:sz="4" w:space="0" w:color="auto"/>
              <w:left w:val="single" w:sz="4" w:space="0" w:color="auto"/>
              <w:bottom w:val="single" w:sz="4" w:space="0" w:color="auto"/>
              <w:right w:val="single" w:sz="4" w:space="0" w:color="auto"/>
            </w:tcBorders>
          </w:tcPr>
          <w:p w14:paraId="3CA3D22C" w14:textId="77777777" w:rsidR="00621D39" w:rsidRPr="004D54E8" w:rsidRDefault="00621D39" w:rsidP="00621D39">
            <w:pPr>
              <w:pStyle w:val="TAC"/>
            </w:pPr>
            <w:r w:rsidRPr="004D54E8">
              <w:t xml:space="preserve">≥ </w:t>
            </w:r>
            <w:r w:rsidRPr="004D54E8">
              <w:rPr>
                <w:rFonts w:eastAsia="Yu Mincho"/>
              </w:rPr>
              <w:t>48</w:t>
            </w:r>
          </w:p>
        </w:tc>
        <w:tc>
          <w:tcPr>
            <w:tcW w:w="0" w:type="auto"/>
            <w:tcBorders>
              <w:top w:val="single" w:sz="4" w:space="0" w:color="auto"/>
              <w:left w:val="single" w:sz="4" w:space="0" w:color="auto"/>
              <w:bottom w:val="single" w:sz="4" w:space="0" w:color="auto"/>
              <w:right w:val="single" w:sz="4" w:space="0" w:color="auto"/>
            </w:tcBorders>
            <w:hideMark/>
          </w:tcPr>
          <w:p w14:paraId="73C2C509" w14:textId="77777777" w:rsidR="00621D39" w:rsidRPr="004D54E8" w:rsidRDefault="00621D39" w:rsidP="00621D39">
            <w:pPr>
              <w:pStyle w:val="TAC"/>
              <w:rPr>
                <w:rFonts w:eastAsia="Yu Mincho"/>
                <w:b/>
                <w:bCs/>
              </w:rPr>
            </w:pPr>
            <w:r w:rsidRPr="004D54E8">
              <w:t xml:space="preserve">≥ </w:t>
            </w:r>
            <w:r w:rsidRPr="004D54E8">
              <w:rPr>
                <w:rFonts w:eastAsia="Yu Mincho"/>
              </w:rPr>
              <w:t>24</w:t>
            </w:r>
          </w:p>
        </w:tc>
        <w:tc>
          <w:tcPr>
            <w:tcW w:w="0" w:type="auto"/>
            <w:tcBorders>
              <w:top w:val="single" w:sz="4" w:space="0" w:color="auto"/>
              <w:left w:val="single" w:sz="4" w:space="0" w:color="auto"/>
              <w:bottom w:val="single" w:sz="4" w:space="0" w:color="auto"/>
              <w:right w:val="single" w:sz="4" w:space="0" w:color="auto"/>
            </w:tcBorders>
          </w:tcPr>
          <w:p w14:paraId="120DEF6C" w14:textId="7220A788" w:rsidR="00621D39" w:rsidRPr="004D54E8" w:rsidRDefault="00621D39" w:rsidP="00621D39">
            <w:pPr>
              <w:pStyle w:val="TAC"/>
              <w:rPr>
                <w:bCs/>
              </w:rPr>
            </w:pPr>
            <w:r>
              <w:rPr>
                <w:bCs/>
              </w:rPr>
              <w:t>32</w:t>
            </w:r>
          </w:p>
        </w:tc>
      </w:tr>
      <w:tr w:rsidR="00621D39" w:rsidRPr="004D54E8" w14:paraId="7E4E0B29"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044E2789" w14:textId="77777777" w:rsidR="00621D39" w:rsidRPr="004D54E8" w:rsidRDefault="00621D39" w:rsidP="00621D39">
            <w:pPr>
              <w:pStyle w:val="TAC"/>
            </w:pPr>
            <w:r w:rsidRPr="004D54E8">
              <w:rPr>
                <w:rFonts w:hint="eastAsia"/>
              </w:rPr>
              <w:t>N</w:t>
            </w:r>
            <w:r w:rsidRPr="004D54E8">
              <w:t>/A</w:t>
            </w:r>
          </w:p>
        </w:tc>
        <w:tc>
          <w:tcPr>
            <w:tcW w:w="0" w:type="auto"/>
            <w:tcBorders>
              <w:top w:val="single" w:sz="4" w:space="0" w:color="auto"/>
              <w:left w:val="single" w:sz="4" w:space="0" w:color="auto"/>
              <w:bottom w:val="single" w:sz="4" w:space="0" w:color="auto"/>
              <w:right w:val="single" w:sz="4" w:space="0" w:color="auto"/>
            </w:tcBorders>
          </w:tcPr>
          <w:p w14:paraId="454F6F3D" w14:textId="77777777" w:rsidR="00621D39" w:rsidRPr="004D54E8" w:rsidRDefault="00621D39" w:rsidP="00621D39">
            <w:pPr>
              <w:pStyle w:val="TAC"/>
            </w:pPr>
            <w:r w:rsidRPr="004D54E8">
              <w:t xml:space="preserve">≥ </w:t>
            </w:r>
            <w:r w:rsidRPr="004D54E8">
              <w:rPr>
                <w:rFonts w:eastAsia="Yu Mincho"/>
              </w:rPr>
              <w:t>132</w:t>
            </w:r>
          </w:p>
        </w:tc>
        <w:tc>
          <w:tcPr>
            <w:tcW w:w="0" w:type="auto"/>
            <w:tcBorders>
              <w:top w:val="single" w:sz="4" w:space="0" w:color="auto"/>
              <w:left w:val="single" w:sz="4" w:space="0" w:color="auto"/>
              <w:bottom w:val="single" w:sz="4" w:space="0" w:color="auto"/>
              <w:right w:val="single" w:sz="4" w:space="0" w:color="auto"/>
            </w:tcBorders>
            <w:hideMark/>
          </w:tcPr>
          <w:p w14:paraId="136B410B" w14:textId="77777777" w:rsidR="00621D39" w:rsidRPr="004D54E8" w:rsidRDefault="00621D39" w:rsidP="00621D39">
            <w:pPr>
              <w:pStyle w:val="TAC"/>
              <w:rPr>
                <w:rFonts w:eastAsia="Yu Mincho"/>
                <w:b/>
                <w:bCs/>
              </w:rPr>
            </w:pPr>
            <w:r w:rsidRPr="004D54E8">
              <w:t xml:space="preserve">≥ </w:t>
            </w:r>
            <w:r w:rsidRPr="004D54E8">
              <w:rPr>
                <w:rFonts w:eastAsia="Yu Mincho"/>
              </w:rPr>
              <w:t>64</w:t>
            </w:r>
          </w:p>
        </w:tc>
        <w:tc>
          <w:tcPr>
            <w:tcW w:w="0" w:type="auto"/>
            <w:tcBorders>
              <w:top w:val="single" w:sz="4" w:space="0" w:color="auto"/>
              <w:left w:val="single" w:sz="4" w:space="0" w:color="auto"/>
              <w:bottom w:val="single" w:sz="4" w:space="0" w:color="auto"/>
              <w:right w:val="single" w:sz="4" w:space="0" w:color="auto"/>
            </w:tcBorders>
          </w:tcPr>
          <w:p w14:paraId="14AAFA39" w14:textId="39A1598B" w:rsidR="00621D39" w:rsidRPr="004D54E8" w:rsidRDefault="00621D39" w:rsidP="00621D39">
            <w:pPr>
              <w:pStyle w:val="TAC"/>
              <w:rPr>
                <w:bCs/>
              </w:rPr>
            </w:pPr>
            <w:r>
              <w:rPr>
                <w:bCs/>
              </w:rPr>
              <w:t>16</w:t>
            </w:r>
          </w:p>
        </w:tc>
      </w:tr>
      <w:tr w:rsidR="00621D39" w:rsidRPr="004D54E8" w14:paraId="1EFE4211"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130F156A" w14:textId="77777777" w:rsidR="00621D39" w:rsidRPr="004D54E8" w:rsidRDefault="00621D39" w:rsidP="00621D39">
            <w:pPr>
              <w:pStyle w:val="TAC"/>
            </w:pPr>
            <w:r w:rsidRPr="004D54E8">
              <w:rPr>
                <w:rFonts w:hint="eastAsia"/>
              </w:rPr>
              <w:t>N</w:t>
            </w:r>
            <w:r w:rsidRPr="004D54E8">
              <w:t>/A</w:t>
            </w:r>
          </w:p>
        </w:tc>
        <w:tc>
          <w:tcPr>
            <w:tcW w:w="0" w:type="auto"/>
            <w:tcBorders>
              <w:top w:val="single" w:sz="4" w:space="0" w:color="auto"/>
              <w:left w:val="single" w:sz="4" w:space="0" w:color="auto"/>
              <w:bottom w:val="single" w:sz="4" w:space="0" w:color="auto"/>
              <w:right w:val="single" w:sz="4" w:space="0" w:color="auto"/>
            </w:tcBorders>
          </w:tcPr>
          <w:p w14:paraId="44B53E2D" w14:textId="77777777" w:rsidR="00621D39" w:rsidRPr="004D54E8" w:rsidRDefault="00621D39" w:rsidP="00621D39">
            <w:pPr>
              <w:pStyle w:val="TAC"/>
            </w:pPr>
            <w:r w:rsidRPr="004D54E8">
              <w:rPr>
                <w:rFonts w:hint="eastAsia"/>
              </w:rPr>
              <w:t>N</w:t>
            </w:r>
            <w:r w:rsidRPr="004D54E8">
              <w:t>/A</w:t>
            </w:r>
          </w:p>
        </w:tc>
        <w:tc>
          <w:tcPr>
            <w:tcW w:w="0" w:type="auto"/>
            <w:tcBorders>
              <w:top w:val="single" w:sz="4" w:space="0" w:color="auto"/>
              <w:left w:val="single" w:sz="4" w:space="0" w:color="auto"/>
              <w:bottom w:val="single" w:sz="4" w:space="0" w:color="auto"/>
              <w:right w:val="single" w:sz="4" w:space="0" w:color="auto"/>
            </w:tcBorders>
            <w:hideMark/>
          </w:tcPr>
          <w:p w14:paraId="781F26CD" w14:textId="77777777" w:rsidR="00621D39" w:rsidRPr="004D54E8" w:rsidRDefault="00621D39" w:rsidP="00621D39">
            <w:pPr>
              <w:pStyle w:val="TAC"/>
            </w:pPr>
            <w:r w:rsidRPr="004D54E8">
              <w:t xml:space="preserve">≥ </w:t>
            </w:r>
            <w:r w:rsidRPr="004D54E8">
              <w:rPr>
                <w:rFonts w:eastAsia="Yu Mincho"/>
              </w:rPr>
              <w:t>132</w:t>
            </w:r>
          </w:p>
        </w:tc>
        <w:tc>
          <w:tcPr>
            <w:tcW w:w="0" w:type="auto"/>
            <w:tcBorders>
              <w:top w:val="single" w:sz="4" w:space="0" w:color="auto"/>
              <w:left w:val="single" w:sz="4" w:space="0" w:color="auto"/>
              <w:bottom w:val="single" w:sz="4" w:space="0" w:color="auto"/>
              <w:right w:val="single" w:sz="4" w:space="0" w:color="auto"/>
            </w:tcBorders>
          </w:tcPr>
          <w:p w14:paraId="5E207A3C" w14:textId="3826D31A" w:rsidR="00621D39" w:rsidRPr="004D54E8" w:rsidRDefault="00621D39" w:rsidP="00621D39">
            <w:pPr>
              <w:pStyle w:val="TAC"/>
            </w:pPr>
            <w:r>
              <w:t>8</w:t>
            </w:r>
          </w:p>
        </w:tc>
      </w:tr>
    </w:tbl>
    <w:p w14:paraId="386E84AC" w14:textId="77777777" w:rsidR="00B22B9E" w:rsidRDefault="00B22B9E" w:rsidP="00B22B9E">
      <w:pPr>
        <w:rPr>
          <w:rFonts w:eastAsia="MS Mincho"/>
          <w:lang w:val="en-US"/>
        </w:rPr>
      </w:pPr>
    </w:p>
    <w:p w14:paraId="0F8DA1DF" w14:textId="77777777" w:rsidR="00060B2A" w:rsidRDefault="00060B2A" w:rsidP="004C7A82">
      <w:pPr>
        <w:pStyle w:val="TH"/>
        <w:rPr>
          <w:lang w:eastAsia="sv-SE"/>
        </w:rPr>
      </w:pPr>
      <w:r>
        <w:rPr>
          <w:lang w:val="en-US"/>
        </w:rPr>
        <w:t>Table 10.1.23.2-6: Margin for RSTD measurement accuracy in FR2</w:t>
      </w:r>
    </w:p>
    <w:tbl>
      <w:tblPr>
        <w:tblStyle w:val="TableGrid71"/>
        <w:tblW w:w="0" w:type="auto"/>
        <w:jc w:val="center"/>
        <w:tblInd w:w="0" w:type="dxa"/>
        <w:tblLook w:val="04A0" w:firstRow="1" w:lastRow="0" w:firstColumn="1" w:lastColumn="0" w:noHBand="0" w:noVBand="1"/>
      </w:tblPr>
      <w:tblGrid>
        <w:gridCol w:w="1212"/>
        <w:gridCol w:w="1312"/>
        <w:gridCol w:w="1186"/>
      </w:tblGrid>
      <w:tr w:rsidR="00060B2A" w:rsidRPr="005C3EC8" w14:paraId="4CC6E648" w14:textId="77777777" w:rsidTr="00224E82">
        <w:trPr>
          <w:trHeight w:val="141"/>
          <w:jc w:val="center"/>
        </w:trPr>
        <w:tc>
          <w:tcPr>
            <w:tcW w:w="0" w:type="auto"/>
            <w:gridSpan w:val="2"/>
            <w:tcBorders>
              <w:top w:val="single" w:sz="4" w:space="0" w:color="auto"/>
              <w:left w:val="single" w:sz="4" w:space="0" w:color="auto"/>
              <w:bottom w:val="single" w:sz="4" w:space="0" w:color="auto"/>
              <w:right w:val="single" w:sz="4" w:space="0" w:color="auto"/>
            </w:tcBorders>
          </w:tcPr>
          <w:p w14:paraId="4787B4AA" w14:textId="77777777" w:rsidR="00060B2A" w:rsidRPr="005C3EC8" w:rsidRDefault="00060B2A" w:rsidP="004C7A82">
            <w:pPr>
              <w:pStyle w:val="TAH"/>
              <w:rPr>
                <w:rFonts w:eastAsia="Yu Mincho"/>
              </w:rPr>
            </w:pPr>
            <w:r w:rsidRPr="005C3EC8">
              <w:t>PRS BW (</w:t>
            </w:r>
            <w:r>
              <w:t>RB number</w:t>
            </w:r>
            <w:r w:rsidRPr="005C3EC8">
              <w:t>)</w:t>
            </w:r>
          </w:p>
        </w:tc>
        <w:tc>
          <w:tcPr>
            <w:tcW w:w="0" w:type="auto"/>
            <w:vMerge w:val="restart"/>
            <w:tcBorders>
              <w:top w:val="single" w:sz="4" w:space="0" w:color="auto"/>
              <w:left w:val="single" w:sz="4" w:space="0" w:color="auto"/>
              <w:right w:val="single" w:sz="4" w:space="0" w:color="auto"/>
            </w:tcBorders>
            <w:hideMark/>
          </w:tcPr>
          <w:p w14:paraId="3C2AB0A1" w14:textId="77777777" w:rsidR="00060B2A" w:rsidRPr="005C3EC8" w:rsidRDefault="00060B2A" w:rsidP="004C7A82">
            <w:pPr>
              <w:pStyle w:val="TAH"/>
              <w:rPr>
                <w:rFonts w:eastAsia="Yu Mincho"/>
              </w:rPr>
            </w:pPr>
            <w:r w:rsidRPr="005C3EC8">
              <w:rPr>
                <w:rFonts w:eastAsia="Yu Mincho"/>
                <w:kern w:val="24"/>
              </w:rPr>
              <w:t>Margin (Tc)</w:t>
            </w:r>
          </w:p>
        </w:tc>
      </w:tr>
      <w:tr w:rsidR="00060B2A" w:rsidRPr="005C3EC8" w14:paraId="4593FB5A" w14:textId="77777777" w:rsidTr="00224E82">
        <w:trPr>
          <w:trHeight w:val="141"/>
          <w:jc w:val="center"/>
        </w:trPr>
        <w:tc>
          <w:tcPr>
            <w:tcW w:w="0" w:type="auto"/>
            <w:tcBorders>
              <w:top w:val="single" w:sz="4" w:space="0" w:color="auto"/>
              <w:left w:val="single" w:sz="4" w:space="0" w:color="auto"/>
              <w:bottom w:val="single" w:sz="4" w:space="0" w:color="auto"/>
              <w:right w:val="single" w:sz="4" w:space="0" w:color="auto"/>
            </w:tcBorders>
          </w:tcPr>
          <w:p w14:paraId="057D312D" w14:textId="77777777" w:rsidR="00060B2A" w:rsidRPr="005C3EC8" w:rsidRDefault="00060B2A" w:rsidP="004C7A82">
            <w:pPr>
              <w:pStyle w:val="TAH"/>
            </w:pPr>
            <w:r>
              <w:rPr>
                <w:rFonts w:eastAsiaTheme="minorEastAsia" w:hint="eastAsia"/>
              </w:rPr>
              <w:t>S</w:t>
            </w:r>
            <w:r>
              <w:rPr>
                <w:rFonts w:eastAsiaTheme="minorEastAsia"/>
              </w:rPr>
              <w:t>CS=60kHz</w:t>
            </w:r>
          </w:p>
        </w:tc>
        <w:tc>
          <w:tcPr>
            <w:tcW w:w="0" w:type="auto"/>
            <w:tcBorders>
              <w:top w:val="single" w:sz="4" w:space="0" w:color="auto"/>
              <w:left w:val="single" w:sz="4" w:space="0" w:color="auto"/>
              <w:bottom w:val="single" w:sz="4" w:space="0" w:color="auto"/>
              <w:right w:val="single" w:sz="4" w:space="0" w:color="auto"/>
            </w:tcBorders>
          </w:tcPr>
          <w:p w14:paraId="2ED436BC" w14:textId="77777777" w:rsidR="00060B2A" w:rsidRPr="005C3EC8" w:rsidRDefault="00060B2A" w:rsidP="004C7A82">
            <w:pPr>
              <w:pStyle w:val="TAH"/>
            </w:pPr>
            <w:r>
              <w:rPr>
                <w:rFonts w:eastAsiaTheme="minorEastAsia" w:hint="eastAsia"/>
              </w:rPr>
              <w:t>S</w:t>
            </w:r>
            <w:r>
              <w:rPr>
                <w:rFonts w:eastAsiaTheme="minorEastAsia"/>
              </w:rPr>
              <w:t>CS=120kHz</w:t>
            </w:r>
          </w:p>
        </w:tc>
        <w:tc>
          <w:tcPr>
            <w:tcW w:w="0" w:type="auto"/>
            <w:vMerge/>
            <w:tcBorders>
              <w:left w:val="single" w:sz="4" w:space="0" w:color="auto"/>
              <w:bottom w:val="single" w:sz="4" w:space="0" w:color="auto"/>
              <w:right w:val="single" w:sz="4" w:space="0" w:color="auto"/>
            </w:tcBorders>
          </w:tcPr>
          <w:p w14:paraId="1E44844B" w14:textId="77777777" w:rsidR="00060B2A" w:rsidRPr="005C3EC8" w:rsidRDefault="00060B2A" w:rsidP="00224E82">
            <w:pPr>
              <w:spacing w:after="0"/>
              <w:rPr>
                <w:rFonts w:ascii="Arial" w:eastAsia="Yu Mincho" w:hAnsi="Arial" w:cs="Arial"/>
                <w:b/>
                <w:bCs/>
                <w:kern w:val="24"/>
                <w:sz w:val="18"/>
                <w:szCs w:val="18"/>
              </w:rPr>
            </w:pPr>
          </w:p>
        </w:tc>
      </w:tr>
      <w:tr w:rsidR="00060B2A" w:rsidRPr="005C3EC8" w14:paraId="0C768A2D"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591E77D2"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24</w:t>
            </w:r>
          </w:p>
        </w:tc>
        <w:tc>
          <w:tcPr>
            <w:tcW w:w="0" w:type="auto"/>
            <w:tcBorders>
              <w:top w:val="single" w:sz="4" w:space="0" w:color="auto"/>
              <w:left w:val="single" w:sz="4" w:space="0" w:color="auto"/>
              <w:bottom w:val="single" w:sz="4" w:space="0" w:color="auto"/>
              <w:right w:val="single" w:sz="4" w:space="0" w:color="auto"/>
            </w:tcBorders>
            <w:hideMark/>
          </w:tcPr>
          <w:p w14:paraId="00E7A21D" w14:textId="77777777" w:rsidR="00060B2A" w:rsidRPr="005C3EC8" w:rsidRDefault="00060B2A" w:rsidP="004C7A82">
            <w:pPr>
              <w:pStyle w:val="TAC"/>
              <w:rPr>
                <w:rFonts w:eastAsia="Yu Mincho"/>
                <w:b/>
                <w:bCs/>
              </w:rPr>
            </w:pPr>
            <w:r>
              <w:rPr>
                <w:rFonts w:eastAsiaTheme="minorEastAsia" w:hint="eastAsia"/>
              </w:rPr>
              <w:t>N</w:t>
            </w:r>
            <w:r>
              <w:rPr>
                <w:rFonts w:eastAsiaTheme="minorEastAsia"/>
              </w:rPr>
              <w:t>/A</w:t>
            </w:r>
          </w:p>
        </w:tc>
        <w:tc>
          <w:tcPr>
            <w:tcW w:w="0" w:type="auto"/>
            <w:tcBorders>
              <w:top w:val="single" w:sz="4" w:space="0" w:color="auto"/>
              <w:left w:val="single" w:sz="4" w:space="0" w:color="auto"/>
              <w:bottom w:val="single" w:sz="4" w:space="0" w:color="auto"/>
              <w:right w:val="single" w:sz="4" w:space="0" w:color="auto"/>
            </w:tcBorders>
            <w:hideMark/>
          </w:tcPr>
          <w:p w14:paraId="5142D873" w14:textId="77777777" w:rsidR="00060B2A" w:rsidRPr="005C3EC8" w:rsidRDefault="00060B2A" w:rsidP="004C7A82">
            <w:pPr>
              <w:pStyle w:val="TAC"/>
              <w:rPr>
                <w:rFonts w:eastAsia="Yu Mincho"/>
                <w:b/>
                <w:bCs/>
              </w:rPr>
            </w:pPr>
            <w:r w:rsidRPr="005C3EC8">
              <w:rPr>
                <w:rFonts w:eastAsia="Yu Mincho"/>
              </w:rPr>
              <w:t>72</w:t>
            </w:r>
          </w:p>
        </w:tc>
      </w:tr>
      <w:tr w:rsidR="00060B2A" w:rsidRPr="005C3EC8" w14:paraId="1A8DBABE"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3A9F897C"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64</w:t>
            </w:r>
          </w:p>
        </w:tc>
        <w:tc>
          <w:tcPr>
            <w:tcW w:w="0" w:type="auto"/>
            <w:tcBorders>
              <w:top w:val="single" w:sz="4" w:space="0" w:color="auto"/>
              <w:left w:val="single" w:sz="4" w:space="0" w:color="auto"/>
              <w:bottom w:val="single" w:sz="4" w:space="0" w:color="auto"/>
              <w:right w:val="single" w:sz="4" w:space="0" w:color="auto"/>
            </w:tcBorders>
            <w:hideMark/>
          </w:tcPr>
          <w:p w14:paraId="156A292D" w14:textId="77777777" w:rsidR="00060B2A" w:rsidRPr="005C3EC8" w:rsidRDefault="00060B2A" w:rsidP="004C7A82">
            <w:pPr>
              <w:pStyle w:val="TAC"/>
              <w:rPr>
                <w:rFonts w:eastAsia="Yu Mincho"/>
                <w:b/>
                <w:bCs/>
              </w:rPr>
            </w:pPr>
            <w:r w:rsidRPr="005C3EC8">
              <w:rPr>
                <w:rFonts w:eastAsia="Microsoft Sans Serif"/>
              </w:rPr>
              <w:t xml:space="preserve">≥ </w:t>
            </w:r>
            <w:r>
              <w:rPr>
                <w:rFonts w:eastAsia="Yu Mincho"/>
              </w:rPr>
              <w:t>32</w:t>
            </w:r>
          </w:p>
        </w:tc>
        <w:tc>
          <w:tcPr>
            <w:tcW w:w="0" w:type="auto"/>
            <w:tcBorders>
              <w:top w:val="single" w:sz="4" w:space="0" w:color="auto"/>
              <w:left w:val="single" w:sz="4" w:space="0" w:color="auto"/>
              <w:bottom w:val="single" w:sz="4" w:space="0" w:color="auto"/>
              <w:right w:val="single" w:sz="4" w:space="0" w:color="auto"/>
            </w:tcBorders>
          </w:tcPr>
          <w:p w14:paraId="24BA4FA2" w14:textId="77777777" w:rsidR="00060B2A" w:rsidRPr="005C3EC8" w:rsidRDefault="00060B2A" w:rsidP="004C7A82">
            <w:pPr>
              <w:pStyle w:val="TAC"/>
              <w:rPr>
                <w:rFonts w:eastAsiaTheme="minorEastAsia"/>
                <w:bCs/>
              </w:rPr>
            </w:pPr>
            <w:r w:rsidRPr="005C3EC8">
              <w:rPr>
                <w:rFonts w:eastAsiaTheme="minorEastAsia"/>
                <w:bCs/>
              </w:rPr>
              <w:t>32</w:t>
            </w:r>
          </w:p>
        </w:tc>
      </w:tr>
      <w:tr w:rsidR="00060B2A" w:rsidRPr="005C3EC8" w14:paraId="25B23354"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4A41CA0A"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132</w:t>
            </w:r>
          </w:p>
        </w:tc>
        <w:tc>
          <w:tcPr>
            <w:tcW w:w="0" w:type="auto"/>
            <w:tcBorders>
              <w:top w:val="single" w:sz="4" w:space="0" w:color="auto"/>
              <w:left w:val="single" w:sz="4" w:space="0" w:color="auto"/>
              <w:bottom w:val="single" w:sz="4" w:space="0" w:color="auto"/>
              <w:right w:val="single" w:sz="4" w:space="0" w:color="auto"/>
            </w:tcBorders>
            <w:hideMark/>
          </w:tcPr>
          <w:p w14:paraId="58F0B241" w14:textId="77777777" w:rsidR="00060B2A" w:rsidRPr="005C3EC8" w:rsidRDefault="00060B2A" w:rsidP="004C7A82">
            <w:pPr>
              <w:pStyle w:val="TAC"/>
              <w:rPr>
                <w:rFonts w:eastAsia="Yu Mincho"/>
                <w:b/>
                <w:bCs/>
              </w:rPr>
            </w:pPr>
            <w:r w:rsidRPr="005C3EC8">
              <w:rPr>
                <w:rFonts w:eastAsia="Microsoft Sans Serif"/>
              </w:rPr>
              <w:t xml:space="preserve">≥ </w:t>
            </w:r>
            <w:r>
              <w:rPr>
                <w:rFonts w:eastAsia="Yu Mincho"/>
              </w:rPr>
              <w:t>64</w:t>
            </w:r>
          </w:p>
        </w:tc>
        <w:tc>
          <w:tcPr>
            <w:tcW w:w="0" w:type="auto"/>
            <w:tcBorders>
              <w:top w:val="single" w:sz="4" w:space="0" w:color="auto"/>
              <w:left w:val="single" w:sz="4" w:space="0" w:color="auto"/>
              <w:bottom w:val="single" w:sz="4" w:space="0" w:color="auto"/>
              <w:right w:val="single" w:sz="4" w:space="0" w:color="auto"/>
            </w:tcBorders>
          </w:tcPr>
          <w:p w14:paraId="24F3528A" w14:textId="77777777" w:rsidR="00060B2A" w:rsidRPr="005C3EC8" w:rsidRDefault="00060B2A" w:rsidP="004C7A82">
            <w:pPr>
              <w:pStyle w:val="TAC"/>
              <w:rPr>
                <w:rFonts w:eastAsiaTheme="minorEastAsia"/>
                <w:bCs/>
              </w:rPr>
            </w:pPr>
            <w:r w:rsidRPr="005C3EC8">
              <w:rPr>
                <w:rFonts w:eastAsiaTheme="minorEastAsia"/>
                <w:bCs/>
              </w:rPr>
              <w:t>16</w:t>
            </w:r>
          </w:p>
        </w:tc>
      </w:tr>
      <w:tr w:rsidR="00060B2A" w:rsidRPr="005C3EC8" w14:paraId="228C5424" w14:textId="77777777" w:rsidTr="00224E82">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4067E406" w14:textId="77777777" w:rsidR="00060B2A" w:rsidRPr="005C3EC8" w:rsidRDefault="00060B2A" w:rsidP="004C7A82">
            <w:pPr>
              <w:pStyle w:val="TAC"/>
              <w:rPr>
                <w:rFonts w:eastAsia="Microsoft Sans Serif"/>
              </w:rPr>
            </w:pPr>
            <w:r>
              <w:rPr>
                <w:rFonts w:eastAsiaTheme="minorEastAsia" w:hint="eastAsia"/>
              </w:rPr>
              <w:t>N</w:t>
            </w:r>
            <w:r>
              <w:rPr>
                <w:rFonts w:eastAsiaTheme="minorEastAsia"/>
              </w:rPr>
              <w:t>/A</w:t>
            </w:r>
          </w:p>
        </w:tc>
        <w:tc>
          <w:tcPr>
            <w:tcW w:w="0" w:type="auto"/>
            <w:tcBorders>
              <w:top w:val="single" w:sz="4" w:space="0" w:color="auto"/>
              <w:left w:val="single" w:sz="4" w:space="0" w:color="auto"/>
              <w:bottom w:val="single" w:sz="4" w:space="0" w:color="auto"/>
              <w:right w:val="single" w:sz="4" w:space="0" w:color="auto"/>
            </w:tcBorders>
            <w:hideMark/>
          </w:tcPr>
          <w:p w14:paraId="6CA39118" w14:textId="77777777" w:rsidR="00060B2A" w:rsidRPr="005C3EC8" w:rsidRDefault="00060B2A" w:rsidP="004C7A82">
            <w:pPr>
              <w:pStyle w:val="TAC"/>
              <w:rPr>
                <w:rFonts w:eastAsia="Microsoft Sans Serif"/>
              </w:rPr>
            </w:pPr>
            <w:r w:rsidRPr="005C3EC8">
              <w:rPr>
                <w:rFonts w:eastAsia="Microsoft Sans Serif"/>
              </w:rPr>
              <w:t xml:space="preserve">≥ </w:t>
            </w:r>
            <w:r>
              <w:rPr>
                <w:rFonts w:eastAsia="Yu Mincho"/>
              </w:rPr>
              <w:t>128</w:t>
            </w:r>
          </w:p>
        </w:tc>
        <w:tc>
          <w:tcPr>
            <w:tcW w:w="0" w:type="auto"/>
            <w:tcBorders>
              <w:top w:val="single" w:sz="4" w:space="0" w:color="auto"/>
              <w:left w:val="single" w:sz="4" w:space="0" w:color="auto"/>
              <w:bottom w:val="single" w:sz="4" w:space="0" w:color="auto"/>
              <w:right w:val="single" w:sz="4" w:space="0" w:color="auto"/>
            </w:tcBorders>
          </w:tcPr>
          <w:p w14:paraId="5A023A88" w14:textId="77777777" w:rsidR="00060B2A" w:rsidRPr="005C3EC8" w:rsidRDefault="00060B2A" w:rsidP="004C7A82">
            <w:pPr>
              <w:pStyle w:val="TAC"/>
              <w:rPr>
                <w:rFonts w:eastAsiaTheme="minorEastAsia"/>
              </w:rPr>
            </w:pPr>
            <w:r w:rsidRPr="005C3EC8">
              <w:rPr>
                <w:rFonts w:eastAsiaTheme="minorEastAsia"/>
              </w:rPr>
              <w:t>12</w:t>
            </w:r>
          </w:p>
        </w:tc>
      </w:tr>
    </w:tbl>
    <w:p w14:paraId="7C84AFA8" w14:textId="5548473E" w:rsidR="00060B2A" w:rsidRDefault="00060B2A" w:rsidP="00060B2A">
      <w:pPr>
        <w:rPr>
          <w:noProof/>
          <w:highlight w:val="yellow"/>
        </w:rPr>
      </w:pPr>
    </w:p>
    <w:p w14:paraId="16C72B57" w14:textId="77777777" w:rsidR="00B22B9E" w:rsidRPr="004D54E8" w:rsidRDefault="00B22B9E" w:rsidP="00B22B9E">
      <w:pPr>
        <w:pStyle w:val="TH"/>
        <w:rPr>
          <w:lang w:eastAsia="sv-SE"/>
        </w:rPr>
      </w:pPr>
      <w:r w:rsidRPr="004D54E8">
        <w:t>Table 10.1.23.2-6</w:t>
      </w:r>
      <w:r>
        <w:t>a</w:t>
      </w:r>
      <w:r w:rsidRPr="004D54E8">
        <w:t xml:space="preserve">: Margin </w:t>
      </w:r>
      <w:r w:rsidRPr="00453B66">
        <w:rPr>
          <w:rFonts w:hint="eastAsia"/>
        </w:rPr>
        <w:t>Δ</w:t>
      </w:r>
      <w:r>
        <w:rPr>
          <w:rFonts w:hint="eastAsia"/>
          <w:lang w:eastAsia="zh-CN"/>
        </w:rPr>
        <w:t xml:space="preserve"> </w:t>
      </w:r>
      <w:r w:rsidRPr="004D54E8">
        <w:t>for RSTD measurement accuracy in FR2</w:t>
      </w:r>
    </w:p>
    <w:tbl>
      <w:tblPr>
        <w:tblW w:w="0" w:type="auto"/>
        <w:jc w:val="center"/>
        <w:tblLook w:val="04A0" w:firstRow="1" w:lastRow="0" w:firstColumn="1" w:lastColumn="0" w:noHBand="0" w:noVBand="1"/>
      </w:tblPr>
      <w:tblGrid>
        <w:gridCol w:w="1212"/>
        <w:gridCol w:w="1312"/>
        <w:gridCol w:w="1186"/>
      </w:tblGrid>
      <w:tr w:rsidR="00B22B9E" w:rsidRPr="004D54E8" w14:paraId="2B6FD5B5" w14:textId="77777777" w:rsidTr="00F66924">
        <w:trPr>
          <w:trHeight w:val="141"/>
          <w:jc w:val="center"/>
        </w:trPr>
        <w:tc>
          <w:tcPr>
            <w:tcW w:w="0" w:type="auto"/>
            <w:gridSpan w:val="2"/>
            <w:tcBorders>
              <w:top w:val="single" w:sz="4" w:space="0" w:color="auto"/>
              <w:left w:val="single" w:sz="4" w:space="0" w:color="auto"/>
              <w:bottom w:val="single" w:sz="4" w:space="0" w:color="auto"/>
              <w:right w:val="single" w:sz="4" w:space="0" w:color="auto"/>
            </w:tcBorders>
          </w:tcPr>
          <w:p w14:paraId="71D65C87" w14:textId="77777777" w:rsidR="00B22B9E" w:rsidRPr="004D54E8" w:rsidRDefault="00B22B9E" w:rsidP="00F66924">
            <w:pPr>
              <w:pStyle w:val="TAH"/>
              <w:rPr>
                <w:rFonts w:eastAsia="Yu Mincho"/>
              </w:rPr>
            </w:pPr>
            <w:r w:rsidRPr="004D54E8">
              <w:t>PRS BW (RB number)</w:t>
            </w:r>
          </w:p>
        </w:tc>
        <w:tc>
          <w:tcPr>
            <w:tcW w:w="0" w:type="auto"/>
            <w:vMerge w:val="restart"/>
            <w:tcBorders>
              <w:top w:val="single" w:sz="4" w:space="0" w:color="auto"/>
              <w:left w:val="single" w:sz="4" w:space="0" w:color="auto"/>
              <w:right w:val="single" w:sz="4" w:space="0" w:color="auto"/>
            </w:tcBorders>
            <w:hideMark/>
          </w:tcPr>
          <w:p w14:paraId="47A8A286" w14:textId="77777777" w:rsidR="00B22B9E" w:rsidRPr="004D54E8" w:rsidRDefault="00B22B9E" w:rsidP="00F66924">
            <w:pPr>
              <w:pStyle w:val="TAH"/>
            </w:pPr>
            <w:r w:rsidRPr="004D54E8">
              <w:t>Margin (Tc)</w:t>
            </w:r>
          </w:p>
        </w:tc>
      </w:tr>
      <w:tr w:rsidR="00B22B9E" w:rsidRPr="004D54E8" w14:paraId="69FB772B" w14:textId="77777777" w:rsidTr="00F66924">
        <w:trPr>
          <w:trHeight w:val="141"/>
          <w:jc w:val="center"/>
        </w:trPr>
        <w:tc>
          <w:tcPr>
            <w:tcW w:w="0" w:type="auto"/>
            <w:tcBorders>
              <w:top w:val="single" w:sz="4" w:space="0" w:color="auto"/>
              <w:left w:val="single" w:sz="4" w:space="0" w:color="auto"/>
              <w:bottom w:val="single" w:sz="4" w:space="0" w:color="auto"/>
              <w:right w:val="single" w:sz="4" w:space="0" w:color="auto"/>
            </w:tcBorders>
          </w:tcPr>
          <w:p w14:paraId="7C665139" w14:textId="77777777" w:rsidR="00B22B9E" w:rsidRPr="004D54E8" w:rsidRDefault="00B22B9E" w:rsidP="00F66924">
            <w:pPr>
              <w:pStyle w:val="TAH"/>
              <w:rPr>
                <w:rFonts w:eastAsia="MS Mincho"/>
              </w:rPr>
            </w:pPr>
            <w:r w:rsidRPr="004D54E8">
              <w:rPr>
                <w:rFonts w:hint="eastAsia"/>
              </w:rPr>
              <w:t>S</w:t>
            </w:r>
            <w:r w:rsidRPr="004D54E8">
              <w:t>CS=60kHz</w:t>
            </w:r>
          </w:p>
        </w:tc>
        <w:tc>
          <w:tcPr>
            <w:tcW w:w="0" w:type="auto"/>
            <w:tcBorders>
              <w:top w:val="single" w:sz="4" w:space="0" w:color="auto"/>
              <w:left w:val="single" w:sz="4" w:space="0" w:color="auto"/>
              <w:bottom w:val="single" w:sz="4" w:space="0" w:color="auto"/>
              <w:right w:val="single" w:sz="4" w:space="0" w:color="auto"/>
            </w:tcBorders>
          </w:tcPr>
          <w:p w14:paraId="7C46FB0E" w14:textId="77777777" w:rsidR="00B22B9E" w:rsidRPr="004D54E8" w:rsidRDefault="00B22B9E" w:rsidP="00F66924">
            <w:pPr>
              <w:pStyle w:val="TAH"/>
              <w:rPr>
                <w:rFonts w:eastAsia="MS Mincho"/>
              </w:rPr>
            </w:pPr>
            <w:r w:rsidRPr="004D54E8">
              <w:rPr>
                <w:rFonts w:hint="eastAsia"/>
              </w:rPr>
              <w:t>S</w:t>
            </w:r>
            <w:r w:rsidRPr="004D54E8">
              <w:t>CS=120kHz</w:t>
            </w:r>
          </w:p>
        </w:tc>
        <w:tc>
          <w:tcPr>
            <w:tcW w:w="0" w:type="auto"/>
            <w:vMerge/>
            <w:tcBorders>
              <w:left w:val="single" w:sz="4" w:space="0" w:color="auto"/>
              <w:bottom w:val="single" w:sz="4" w:space="0" w:color="auto"/>
              <w:right w:val="single" w:sz="4" w:space="0" w:color="auto"/>
            </w:tcBorders>
          </w:tcPr>
          <w:p w14:paraId="4A1A31F6" w14:textId="77777777" w:rsidR="00B22B9E" w:rsidRPr="004D54E8" w:rsidRDefault="00B22B9E" w:rsidP="00F66924">
            <w:pPr>
              <w:spacing w:after="0"/>
              <w:rPr>
                <w:rFonts w:ascii="Arial" w:eastAsia="Yu Mincho" w:hAnsi="Arial" w:cs="Arial"/>
                <w:b/>
                <w:bCs/>
                <w:kern w:val="24"/>
                <w:sz w:val="18"/>
                <w:szCs w:val="18"/>
              </w:rPr>
            </w:pPr>
          </w:p>
        </w:tc>
      </w:tr>
      <w:tr w:rsidR="00621D39" w:rsidRPr="004D54E8" w14:paraId="70AD0EB4"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6F178D6D" w14:textId="77777777" w:rsidR="00621D39" w:rsidRPr="004D54E8" w:rsidRDefault="00621D39" w:rsidP="00621D39">
            <w:pPr>
              <w:pStyle w:val="TAC"/>
            </w:pPr>
            <w:r w:rsidRPr="004D54E8">
              <w:t xml:space="preserve">≥ </w:t>
            </w:r>
            <w:r w:rsidRPr="004D54E8">
              <w:rPr>
                <w:rFonts w:eastAsia="Yu Mincho"/>
              </w:rPr>
              <w:t>24</w:t>
            </w:r>
          </w:p>
        </w:tc>
        <w:tc>
          <w:tcPr>
            <w:tcW w:w="0" w:type="auto"/>
            <w:tcBorders>
              <w:top w:val="single" w:sz="4" w:space="0" w:color="auto"/>
              <w:left w:val="single" w:sz="4" w:space="0" w:color="auto"/>
              <w:bottom w:val="single" w:sz="4" w:space="0" w:color="auto"/>
              <w:right w:val="single" w:sz="4" w:space="0" w:color="auto"/>
            </w:tcBorders>
            <w:hideMark/>
          </w:tcPr>
          <w:p w14:paraId="75998282" w14:textId="77777777" w:rsidR="00621D39" w:rsidRPr="004D54E8" w:rsidRDefault="00621D39" w:rsidP="00621D39">
            <w:pPr>
              <w:pStyle w:val="TAC"/>
              <w:rPr>
                <w:rFonts w:eastAsia="Yu Mincho"/>
                <w:b/>
                <w:bCs/>
              </w:rPr>
            </w:pPr>
            <w:r w:rsidRPr="004D54E8">
              <w:rPr>
                <w:rFonts w:hint="eastAsia"/>
              </w:rPr>
              <w:t>N</w:t>
            </w:r>
            <w:r w:rsidRPr="004D54E8">
              <w:t>/A</w:t>
            </w:r>
          </w:p>
        </w:tc>
        <w:tc>
          <w:tcPr>
            <w:tcW w:w="0" w:type="auto"/>
            <w:tcBorders>
              <w:top w:val="single" w:sz="4" w:space="0" w:color="auto"/>
              <w:left w:val="single" w:sz="4" w:space="0" w:color="auto"/>
              <w:bottom w:val="single" w:sz="4" w:space="0" w:color="auto"/>
              <w:right w:val="single" w:sz="4" w:space="0" w:color="auto"/>
            </w:tcBorders>
            <w:hideMark/>
          </w:tcPr>
          <w:p w14:paraId="1D30B56E" w14:textId="17236EB7" w:rsidR="00621D39" w:rsidRPr="004D54E8" w:rsidRDefault="00621D39" w:rsidP="00621D39">
            <w:pPr>
              <w:pStyle w:val="TAC"/>
              <w:rPr>
                <w:rFonts w:eastAsia="Yu Mincho"/>
                <w:b/>
                <w:bCs/>
              </w:rPr>
            </w:pPr>
            <w:r>
              <w:rPr>
                <w:rFonts w:eastAsia="Yu Mincho"/>
              </w:rPr>
              <w:t>32</w:t>
            </w:r>
          </w:p>
        </w:tc>
      </w:tr>
      <w:tr w:rsidR="00621D39" w:rsidRPr="004D54E8" w14:paraId="4AA25EFE"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3A1A161D" w14:textId="77777777" w:rsidR="00621D39" w:rsidRPr="004D54E8" w:rsidRDefault="00621D39" w:rsidP="00621D39">
            <w:pPr>
              <w:pStyle w:val="TAC"/>
            </w:pPr>
            <w:r w:rsidRPr="004D54E8">
              <w:t xml:space="preserve">≥ </w:t>
            </w:r>
            <w:r w:rsidRPr="004D54E8">
              <w:rPr>
                <w:rFonts w:eastAsia="Yu Mincho"/>
              </w:rPr>
              <w:t>64</w:t>
            </w:r>
          </w:p>
        </w:tc>
        <w:tc>
          <w:tcPr>
            <w:tcW w:w="0" w:type="auto"/>
            <w:tcBorders>
              <w:top w:val="single" w:sz="4" w:space="0" w:color="auto"/>
              <w:left w:val="single" w:sz="4" w:space="0" w:color="auto"/>
              <w:bottom w:val="single" w:sz="4" w:space="0" w:color="auto"/>
              <w:right w:val="single" w:sz="4" w:space="0" w:color="auto"/>
            </w:tcBorders>
            <w:hideMark/>
          </w:tcPr>
          <w:p w14:paraId="15CF20CB" w14:textId="77777777" w:rsidR="00621D39" w:rsidRPr="004D54E8" w:rsidRDefault="00621D39" w:rsidP="00621D39">
            <w:pPr>
              <w:pStyle w:val="TAC"/>
              <w:rPr>
                <w:rFonts w:eastAsia="Yu Mincho"/>
                <w:b/>
                <w:bCs/>
              </w:rPr>
            </w:pPr>
            <w:r w:rsidRPr="004D54E8">
              <w:t xml:space="preserve">≥ </w:t>
            </w:r>
            <w:r w:rsidRPr="004D54E8">
              <w:rPr>
                <w:rFonts w:eastAsia="Yu Mincho"/>
              </w:rPr>
              <w:t>32</w:t>
            </w:r>
          </w:p>
        </w:tc>
        <w:tc>
          <w:tcPr>
            <w:tcW w:w="0" w:type="auto"/>
            <w:tcBorders>
              <w:top w:val="single" w:sz="4" w:space="0" w:color="auto"/>
              <w:left w:val="single" w:sz="4" w:space="0" w:color="auto"/>
              <w:bottom w:val="single" w:sz="4" w:space="0" w:color="auto"/>
              <w:right w:val="single" w:sz="4" w:space="0" w:color="auto"/>
            </w:tcBorders>
          </w:tcPr>
          <w:p w14:paraId="4629BF72" w14:textId="545A532C" w:rsidR="00621D39" w:rsidRPr="004D54E8" w:rsidRDefault="00621D39" w:rsidP="00621D39">
            <w:pPr>
              <w:pStyle w:val="TAC"/>
              <w:rPr>
                <w:bCs/>
                <w:lang w:eastAsia="zh-CN"/>
              </w:rPr>
            </w:pPr>
            <w:r>
              <w:rPr>
                <w:rFonts w:hint="eastAsia"/>
                <w:bCs/>
                <w:lang w:eastAsia="zh-CN"/>
              </w:rPr>
              <w:t>1</w:t>
            </w:r>
            <w:r>
              <w:rPr>
                <w:bCs/>
                <w:lang w:eastAsia="zh-CN"/>
              </w:rPr>
              <w:t>6</w:t>
            </w:r>
          </w:p>
        </w:tc>
      </w:tr>
      <w:tr w:rsidR="00621D39" w:rsidRPr="004D54E8" w14:paraId="4560A17E"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5223034D" w14:textId="77777777" w:rsidR="00621D39" w:rsidRPr="004D54E8" w:rsidRDefault="00621D39" w:rsidP="00621D39">
            <w:pPr>
              <w:pStyle w:val="TAC"/>
            </w:pPr>
            <w:r w:rsidRPr="004D54E8">
              <w:t xml:space="preserve">≥ </w:t>
            </w:r>
            <w:r w:rsidRPr="004D54E8">
              <w:rPr>
                <w:rFonts w:eastAsia="Yu Mincho"/>
              </w:rPr>
              <w:t>132</w:t>
            </w:r>
          </w:p>
        </w:tc>
        <w:tc>
          <w:tcPr>
            <w:tcW w:w="0" w:type="auto"/>
            <w:tcBorders>
              <w:top w:val="single" w:sz="4" w:space="0" w:color="auto"/>
              <w:left w:val="single" w:sz="4" w:space="0" w:color="auto"/>
              <w:bottom w:val="single" w:sz="4" w:space="0" w:color="auto"/>
              <w:right w:val="single" w:sz="4" w:space="0" w:color="auto"/>
            </w:tcBorders>
            <w:hideMark/>
          </w:tcPr>
          <w:p w14:paraId="24427053" w14:textId="77777777" w:rsidR="00621D39" w:rsidRPr="004D54E8" w:rsidRDefault="00621D39" w:rsidP="00621D39">
            <w:pPr>
              <w:pStyle w:val="TAC"/>
              <w:rPr>
                <w:rFonts w:eastAsia="Yu Mincho"/>
                <w:b/>
                <w:bCs/>
              </w:rPr>
            </w:pPr>
            <w:r w:rsidRPr="004D54E8">
              <w:t xml:space="preserve">≥ </w:t>
            </w:r>
            <w:r w:rsidRPr="004D54E8">
              <w:rPr>
                <w:rFonts w:eastAsia="Yu Mincho"/>
              </w:rPr>
              <w:t>64</w:t>
            </w:r>
          </w:p>
        </w:tc>
        <w:tc>
          <w:tcPr>
            <w:tcW w:w="0" w:type="auto"/>
            <w:tcBorders>
              <w:top w:val="single" w:sz="4" w:space="0" w:color="auto"/>
              <w:left w:val="single" w:sz="4" w:space="0" w:color="auto"/>
              <w:bottom w:val="single" w:sz="4" w:space="0" w:color="auto"/>
              <w:right w:val="single" w:sz="4" w:space="0" w:color="auto"/>
            </w:tcBorders>
          </w:tcPr>
          <w:p w14:paraId="23DBE158" w14:textId="2CE994AB" w:rsidR="00621D39" w:rsidRPr="004D54E8" w:rsidRDefault="00621D39" w:rsidP="00621D39">
            <w:pPr>
              <w:pStyle w:val="TAC"/>
              <w:rPr>
                <w:bCs/>
                <w:lang w:eastAsia="zh-CN"/>
              </w:rPr>
            </w:pPr>
            <w:r>
              <w:rPr>
                <w:rFonts w:hint="eastAsia"/>
                <w:bCs/>
                <w:lang w:eastAsia="zh-CN"/>
              </w:rPr>
              <w:t>8</w:t>
            </w:r>
          </w:p>
        </w:tc>
      </w:tr>
      <w:tr w:rsidR="00621D39" w:rsidRPr="004D54E8" w14:paraId="78D0F0EE" w14:textId="77777777" w:rsidTr="00F66924">
        <w:trPr>
          <w:trHeight w:val="46"/>
          <w:jc w:val="center"/>
        </w:trPr>
        <w:tc>
          <w:tcPr>
            <w:tcW w:w="0" w:type="auto"/>
            <w:tcBorders>
              <w:top w:val="single" w:sz="4" w:space="0" w:color="auto"/>
              <w:left w:val="single" w:sz="4" w:space="0" w:color="auto"/>
              <w:bottom w:val="single" w:sz="4" w:space="0" w:color="auto"/>
              <w:right w:val="single" w:sz="4" w:space="0" w:color="auto"/>
            </w:tcBorders>
          </w:tcPr>
          <w:p w14:paraId="27204547" w14:textId="77777777" w:rsidR="00621D39" w:rsidRPr="004D54E8" w:rsidRDefault="00621D39" w:rsidP="00621D39">
            <w:pPr>
              <w:pStyle w:val="TAC"/>
            </w:pPr>
            <w:r w:rsidRPr="004D54E8">
              <w:rPr>
                <w:rFonts w:hint="eastAsia"/>
              </w:rPr>
              <w:t>N</w:t>
            </w:r>
            <w:r w:rsidRPr="004D54E8">
              <w:t>/A</w:t>
            </w:r>
          </w:p>
        </w:tc>
        <w:tc>
          <w:tcPr>
            <w:tcW w:w="0" w:type="auto"/>
            <w:tcBorders>
              <w:top w:val="single" w:sz="4" w:space="0" w:color="auto"/>
              <w:left w:val="single" w:sz="4" w:space="0" w:color="auto"/>
              <w:bottom w:val="single" w:sz="4" w:space="0" w:color="auto"/>
              <w:right w:val="single" w:sz="4" w:space="0" w:color="auto"/>
            </w:tcBorders>
            <w:hideMark/>
          </w:tcPr>
          <w:p w14:paraId="1C0E7ADA" w14:textId="77777777" w:rsidR="00621D39" w:rsidRPr="004D54E8" w:rsidRDefault="00621D39" w:rsidP="00621D39">
            <w:pPr>
              <w:pStyle w:val="TAC"/>
            </w:pPr>
            <w:r w:rsidRPr="004D54E8">
              <w:t xml:space="preserve">≥ </w:t>
            </w:r>
            <w:r w:rsidRPr="004D54E8">
              <w:rPr>
                <w:rFonts w:eastAsia="Yu Mincho"/>
              </w:rPr>
              <w:t>128</w:t>
            </w:r>
          </w:p>
        </w:tc>
        <w:tc>
          <w:tcPr>
            <w:tcW w:w="0" w:type="auto"/>
            <w:tcBorders>
              <w:top w:val="single" w:sz="4" w:space="0" w:color="auto"/>
              <w:left w:val="single" w:sz="4" w:space="0" w:color="auto"/>
              <w:bottom w:val="single" w:sz="4" w:space="0" w:color="auto"/>
              <w:right w:val="single" w:sz="4" w:space="0" w:color="auto"/>
            </w:tcBorders>
          </w:tcPr>
          <w:p w14:paraId="728BD0AA" w14:textId="4DD6AE8B" w:rsidR="00621D39" w:rsidRPr="004D54E8" w:rsidRDefault="00621D39" w:rsidP="00621D39">
            <w:pPr>
              <w:pStyle w:val="TAC"/>
              <w:rPr>
                <w:lang w:eastAsia="zh-CN"/>
              </w:rPr>
            </w:pPr>
            <w:r>
              <w:rPr>
                <w:rFonts w:hint="eastAsia"/>
                <w:lang w:eastAsia="zh-CN"/>
              </w:rPr>
              <w:t>4</w:t>
            </w:r>
          </w:p>
        </w:tc>
      </w:tr>
    </w:tbl>
    <w:p w14:paraId="50E1ED90" w14:textId="77777777" w:rsidR="00B22B9E" w:rsidRDefault="00B22B9E" w:rsidP="00060B2A">
      <w:pPr>
        <w:rPr>
          <w:noProof/>
          <w:highlight w:val="yellow"/>
        </w:rPr>
      </w:pPr>
    </w:p>
    <w:p w14:paraId="55000D48" w14:textId="77777777" w:rsidR="0030624B" w:rsidRDefault="0030624B" w:rsidP="0030624B">
      <w:pPr>
        <w:pStyle w:val="TH"/>
        <w:rPr>
          <w:rFonts w:eastAsia="SimSun"/>
        </w:rPr>
      </w:pPr>
      <w:r>
        <w:rPr>
          <w:rFonts w:eastAsia="SimSun"/>
        </w:rPr>
        <w:t>Table 10.1.23.2-7: RSTD absolute accuracy in FR1 for AWGN channel</w:t>
      </w:r>
      <w:r>
        <w:rPr>
          <w:rFonts w:eastAsia="SimSun"/>
          <w:lang w:eastAsia="zh-CN"/>
        </w:rPr>
        <w:t xml:space="preserve"> with reduced number of samples</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1163"/>
        <w:gridCol w:w="992"/>
        <w:gridCol w:w="1134"/>
        <w:gridCol w:w="1367"/>
        <w:gridCol w:w="2040"/>
        <w:gridCol w:w="1134"/>
        <w:gridCol w:w="1275"/>
      </w:tblGrid>
      <w:tr w:rsidR="0030624B" w14:paraId="14E0489D" w14:textId="77777777" w:rsidTr="00B6569C">
        <w:trPr>
          <w:jc w:val="center"/>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7E0A59FF" w14:textId="77777777" w:rsidR="0030624B" w:rsidRDefault="0030624B" w:rsidP="00B6569C">
            <w:pPr>
              <w:pStyle w:val="TAH"/>
            </w:pPr>
            <w:r>
              <w:rPr>
                <w:rFonts w:eastAsia="SimSun"/>
              </w:rPr>
              <w:t>Accuracy</w:t>
            </w:r>
          </w:p>
        </w:tc>
        <w:tc>
          <w:tcPr>
            <w:tcW w:w="9105" w:type="dxa"/>
            <w:gridSpan w:val="7"/>
            <w:tcBorders>
              <w:top w:val="single" w:sz="4" w:space="0" w:color="auto"/>
              <w:left w:val="single" w:sz="4" w:space="0" w:color="auto"/>
              <w:bottom w:val="single" w:sz="4" w:space="0" w:color="auto"/>
              <w:right w:val="single" w:sz="4" w:space="0" w:color="auto"/>
            </w:tcBorders>
            <w:vAlign w:val="center"/>
            <w:hideMark/>
          </w:tcPr>
          <w:p w14:paraId="6E2B797B" w14:textId="77777777" w:rsidR="0030624B" w:rsidRDefault="0030624B" w:rsidP="00B6569C">
            <w:pPr>
              <w:pStyle w:val="TAH"/>
            </w:pPr>
            <w:r>
              <w:rPr>
                <w:rFonts w:eastAsia="SimSun"/>
              </w:rPr>
              <w:t>Conditions</w:t>
            </w:r>
          </w:p>
        </w:tc>
      </w:tr>
      <w:tr w:rsidR="0030624B" w14:paraId="6CFE8B92" w14:textId="77777777" w:rsidTr="00B6569C">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B4E7C48" w14:textId="77777777" w:rsidR="0030624B" w:rsidRDefault="0030624B" w:rsidP="00B6569C">
            <w:pPr>
              <w:spacing w:after="0"/>
              <w:rPr>
                <w:rFonts w:ascii="Arial" w:eastAsia="SimSun" w:hAnsi="Arial"/>
                <w:b/>
                <w:sz w:val="18"/>
              </w:rPr>
            </w:pPr>
          </w:p>
        </w:tc>
        <w:tc>
          <w:tcPr>
            <w:tcW w:w="1163" w:type="dxa"/>
            <w:vMerge w:val="restart"/>
            <w:tcBorders>
              <w:top w:val="single" w:sz="4" w:space="0" w:color="auto"/>
              <w:left w:val="single" w:sz="4" w:space="0" w:color="auto"/>
              <w:bottom w:val="single" w:sz="4" w:space="0" w:color="auto"/>
              <w:right w:val="single" w:sz="4" w:space="0" w:color="auto"/>
            </w:tcBorders>
            <w:vAlign w:val="center"/>
            <w:hideMark/>
          </w:tcPr>
          <w:p w14:paraId="0D02E0C7" w14:textId="77777777" w:rsidR="0030624B" w:rsidRDefault="0030624B" w:rsidP="00B6569C">
            <w:pPr>
              <w:pStyle w:val="TAH"/>
            </w:pPr>
            <w:r>
              <w:rPr>
                <w:rFonts w:eastAsia="SimSun"/>
              </w:rPr>
              <w:t>PRS Ês/Iot</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4275E744" w14:textId="77777777" w:rsidR="0030624B" w:rsidRDefault="0030624B" w:rsidP="00B6569C">
            <w:pPr>
              <w:pStyle w:val="TAH"/>
              <w:rPr>
                <w:lang w:eastAsia="zh-CN"/>
              </w:rPr>
            </w:pPr>
            <w:r>
              <w:rPr>
                <w:rFonts w:eastAsia="SimSun"/>
              </w:rPr>
              <w:t>PRS SCS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403605A7" w14:textId="77777777" w:rsidR="0030624B" w:rsidRDefault="0030624B" w:rsidP="00B6569C">
            <w:pPr>
              <w:pStyle w:val="TAH"/>
              <w:rPr>
                <w:rFonts w:eastAsia="SimSun"/>
                <w:lang w:eastAsia="zh-CN"/>
              </w:rPr>
            </w:pPr>
            <w:r>
              <w:rPr>
                <w:rFonts w:eastAsia="SimSun"/>
                <w:lang w:eastAsia="zh-CN"/>
              </w:rPr>
              <w:t>PRS bandwidth</w:t>
            </w:r>
          </w:p>
          <w:p w14:paraId="7383AB5C" w14:textId="77777777" w:rsidR="0030624B" w:rsidRDefault="0030624B" w:rsidP="00B6569C">
            <w:pPr>
              <w:pStyle w:val="TAH"/>
            </w:pPr>
            <w:r>
              <w:rPr>
                <w:rFonts w:eastAsia="SimSun"/>
                <w:vertAlign w:val="superscript"/>
              </w:rPr>
              <w:t>Note 1</w:t>
            </w:r>
          </w:p>
        </w:tc>
        <w:tc>
          <w:tcPr>
            <w:tcW w:w="1367" w:type="dxa"/>
            <w:vMerge w:val="restart"/>
            <w:tcBorders>
              <w:top w:val="single" w:sz="4" w:space="0" w:color="auto"/>
              <w:left w:val="single" w:sz="4" w:space="0" w:color="auto"/>
              <w:bottom w:val="single" w:sz="4" w:space="0" w:color="auto"/>
              <w:right w:val="single" w:sz="4" w:space="0" w:color="auto"/>
            </w:tcBorders>
            <w:vAlign w:val="center"/>
            <w:hideMark/>
          </w:tcPr>
          <w:p w14:paraId="1D51E481" w14:textId="77777777" w:rsidR="0030624B" w:rsidRDefault="0030624B" w:rsidP="00B6569C">
            <w:pPr>
              <w:pStyle w:val="TAH"/>
              <w:rPr>
                <w:rFonts w:eastAsia="SimSun"/>
                <w:lang w:eastAsia="zh-CN"/>
              </w:rPr>
            </w:pPr>
            <w:r>
              <w:rPr>
                <w:rFonts w:eastAsia="SimSun"/>
                <w:lang w:eastAsia="zh-CN"/>
              </w:rPr>
              <w:t>PRS resource repetition (</w:t>
            </w:r>
            <m:oMath>
              <m:sSubSup>
                <m:sSubSupPr>
                  <m:ctrlPr>
                    <w:rPr>
                      <w:rFonts w:ascii="Cambria Math" w:hAnsi="Cambria Math"/>
                      <w:bCs/>
                      <w:i/>
                      <w:iCs/>
                      <w:szCs w:val="18"/>
                    </w:rPr>
                  </m:ctrlPr>
                </m:sSubSupPr>
                <m:e>
                  <m:r>
                    <m:rPr>
                      <m:sty m:val="b"/>
                    </m:rPr>
                    <w:rPr>
                      <w:rFonts w:ascii="Cambria Math" w:eastAsia="SimSun" w:hAnsi="Cambria Math"/>
                      <w:lang w:eastAsia="zh-CN"/>
                    </w:rPr>
                    <m:t>T</m:t>
                  </m:r>
                </m:e>
                <m:sub>
                  <m:r>
                    <m:rPr>
                      <m:sty m:val="b"/>
                    </m:rPr>
                    <w:rPr>
                      <w:rFonts w:ascii="Cambria Math" w:eastAsia="SimSun" w:hAnsi="Cambria Math"/>
                      <w:lang w:eastAsia="zh-CN"/>
                    </w:rPr>
                    <m:t>rep</m:t>
                  </m:r>
                </m:sub>
                <m:sup>
                  <m:r>
                    <m:rPr>
                      <m:sty m:val="b"/>
                    </m:rPr>
                    <w:rPr>
                      <w:rFonts w:ascii="Cambria Math" w:eastAsia="SimSun" w:hAnsi="Cambria Math"/>
                      <w:lang w:eastAsia="zh-CN"/>
                    </w:rPr>
                    <m:t>PRS</m:t>
                  </m:r>
                </m:sup>
              </m:sSubSup>
              <m:r>
                <m:rPr>
                  <m:sty m:val="b"/>
                </m:rPr>
                <w:rPr>
                  <w:rFonts w:ascii="Cambria Math" w:eastAsia="SimSun" w:hAnsi="Cambria Math"/>
                  <w:lang w:eastAsia="zh-CN"/>
                </w:rPr>
                <m:t>*</m:t>
              </m:r>
              <m:sSub>
                <m:sSubPr>
                  <m:ctrlPr>
                    <w:rPr>
                      <w:rFonts w:ascii="Cambria Math" w:hAnsi="Cambria Math"/>
                      <w:bCs/>
                      <w:i/>
                      <w:iCs/>
                      <w:szCs w:val="18"/>
                    </w:rPr>
                  </m:ctrlPr>
                </m:sSubPr>
                <m:e>
                  <m:r>
                    <m:rPr>
                      <m:sty m:val="b"/>
                    </m:rPr>
                    <w:rPr>
                      <w:rFonts w:ascii="Cambria Math" w:eastAsia="SimSun" w:hAnsi="Cambria Math"/>
                      <w:lang w:eastAsia="zh-CN"/>
                    </w:rPr>
                    <m:t>L</m:t>
                  </m:r>
                </m:e>
                <m:sub>
                  <m:r>
                    <m:rPr>
                      <m:sty m:val="b"/>
                    </m:rPr>
                    <w:rPr>
                      <w:rFonts w:ascii="Cambria Math" w:eastAsia="SimSun" w:hAnsi="Cambria Math"/>
                      <w:lang w:eastAsia="zh-CN"/>
                    </w:rPr>
                    <m:t>PRS</m:t>
                  </m:r>
                </m:sub>
              </m:sSub>
              <m:r>
                <m:rPr>
                  <m:sty m:val="b"/>
                </m:rPr>
                <w:rPr>
                  <w:rFonts w:ascii="Cambria Math" w:eastAsia="SimSun" w:hAnsi="Cambria Math"/>
                  <w:lang w:eastAsia="zh-CN"/>
                </w:rPr>
                <m:t>/</m:t>
              </m:r>
              <m:sSubSup>
                <m:sSubSupPr>
                  <m:ctrlPr>
                    <w:rPr>
                      <w:rFonts w:ascii="Cambria Math" w:hAnsi="Cambria Math"/>
                      <w:bCs/>
                      <w:i/>
                      <w:iCs/>
                      <w:szCs w:val="18"/>
                    </w:rPr>
                  </m:ctrlPr>
                </m:sSubSupPr>
                <m:e>
                  <m:r>
                    <m:rPr>
                      <m:sty m:val="b"/>
                    </m:rPr>
                    <w:rPr>
                      <w:rFonts w:ascii="Cambria Math" w:eastAsia="SimSun" w:hAnsi="Cambria Math"/>
                      <w:lang w:eastAsia="zh-CN"/>
                    </w:rPr>
                    <m:t>K</m:t>
                  </m:r>
                </m:e>
                <m:sub>
                  <m:r>
                    <m:rPr>
                      <m:sty m:val="b"/>
                    </m:rPr>
                    <w:rPr>
                      <w:rFonts w:ascii="Cambria Math" w:eastAsia="SimSun" w:hAnsi="Cambria Math"/>
                      <w:lang w:eastAsia="zh-CN"/>
                    </w:rPr>
                    <m:t>comb</m:t>
                  </m:r>
                </m:sub>
                <m:sup>
                  <m:r>
                    <m:rPr>
                      <m:sty m:val="b"/>
                    </m:rPr>
                    <w:rPr>
                      <w:rFonts w:ascii="Cambria Math" w:eastAsia="SimSun" w:hAnsi="Cambria Math"/>
                      <w:lang w:eastAsia="zh-CN"/>
                    </w:rPr>
                    <m:t>PRS</m:t>
                  </m:r>
                </m:sup>
              </m:sSubSup>
            </m:oMath>
            <w:r>
              <w:rPr>
                <w:rFonts w:eastAsia="SimSun"/>
                <w:lang w:eastAsia="zh-CN"/>
              </w:rPr>
              <w:t>)</w:t>
            </w:r>
          </w:p>
          <w:p w14:paraId="69B7FAE8" w14:textId="77777777" w:rsidR="0030624B" w:rsidRDefault="0030624B" w:rsidP="00B6569C">
            <w:pPr>
              <w:pStyle w:val="TAH"/>
              <w:rPr>
                <w:lang w:eastAsia="zh-CN"/>
              </w:rPr>
            </w:pPr>
            <w:r>
              <w:rPr>
                <w:rFonts w:eastAsia="SimSun"/>
                <w:vertAlign w:val="superscript"/>
              </w:rPr>
              <w:t>Note 2</w:t>
            </w:r>
          </w:p>
        </w:tc>
        <w:tc>
          <w:tcPr>
            <w:tcW w:w="4449" w:type="dxa"/>
            <w:gridSpan w:val="3"/>
            <w:tcBorders>
              <w:top w:val="single" w:sz="4" w:space="0" w:color="auto"/>
              <w:left w:val="single" w:sz="4" w:space="0" w:color="auto"/>
              <w:bottom w:val="single" w:sz="4" w:space="0" w:color="auto"/>
              <w:right w:val="single" w:sz="4" w:space="0" w:color="auto"/>
            </w:tcBorders>
            <w:vAlign w:val="center"/>
            <w:hideMark/>
          </w:tcPr>
          <w:p w14:paraId="52219283" w14:textId="77777777" w:rsidR="0030624B" w:rsidRDefault="0030624B" w:rsidP="00B6569C">
            <w:pPr>
              <w:pStyle w:val="TAH"/>
            </w:pPr>
            <w:r>
              <w:rPr>
                <w:rFonts w:eastAsia="SimSun"/>
              </w:rPr>
              <w:t>Io</w:t>
            </w:r>
            <w:r>
              <w:rPr>
                <w:rFonts w:eastAsia="SimSun"/>
                <w:vertAlign w:val="superscript"/>
                <w:lang w:eastAsia="zh-CN"/>
              </w:rPr>
              <w:t xml:space="preserve"> Note 3</w:t>
            </w:r>
            <w:r>
              <w:rPr>
                <w:rFonts w:eastAsia="SimSun"/>
              </w:rPr>
              <w:t xml:space="preserve"> range</w:t>
            </w:r>
          </w:p>
        </w:tc>
      </w:tr>
      <w:tr w:rsidR="0030624B" w14:paraId="33238D0C" w14:textId="77777777" w:rsidTr="00B6569C">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C3D5406" w14:textId="77777777" w:rsidR="0030624B" w:rsidRDefault="0030624B" w:rsidP="00B6569C">
            <w:pPr>
              <w:spacing w:after="0"/>
              <w:rPr>
                <w:rFonts w:ascii="Arial" w:eastAsia="SimSun" w:hAnsi="Arial"/>
                <w:b/>
                <w:sz w:val="18"/>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57CD7146" w14:textId="77777777" w:rsidR="0030624B" w:rsidRDefault="0030624B" w:rsidP="00B6569C">
            <w:pPr>
              <w:spacing w:after="0"/>
              <w:rPr>
                <w:rFonts w:ascii="Arial" w:eastAsia="SimSun" w:hAnsi="Arial"/>
                <w:b/>
                <w:sz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F7F7772" w14:textId="77777777" w:rsidR="0030624B" w:rsidRDefault="0030624B" w:rsidP="00B6569C">
            <w:pPr>
              <w:spacing w:after="0"/>
              <w:rPr>
                <w:rFonts w:ascii="Arial" w:eastAsia="SimSun" w:hAnsi="Arial"/>
                <w:b/>
                <w:sz w:val="18"/>
                <w:lang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8165BA1" w14:textId="77777777" w:rsidR="0030624B" w:rsidRDefault="0030624B" w:rsidP="00B6569C">
            <w:pPr>
              <w:spacing w:after="0"/>
              <w:rPr>
                <w:rFonts w:ascii="Arial" w:eastAsia="SimSun" w:hAnsi="Arial"/>
                <w:b/>
                <w:sz w:val="18"/>
              </w:rPr>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6CC61C35" w14:textId="77777777" w:rsidR="0030624B" w:rsidRDefault="0030624B" w:rsidP="00B6569C">
            <w:pPr>
              <w:spacing w:after="0"/>
              <w:rPr>
                <w:rFonts w:ascii="Arial" w:eastAsia="SimSun" w:hAnsi="Arial"/>
                <w:b/>
                <w:sz w:val="18"/>
                <w:lang w:eastAsia="zh-CN"/>
              </w:rPr>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7350C9A" w14:textId="77777777" w:rsidR="0030624B" w:rsidRDefault="0030624B" w:rsidP="00B6569C">
            <w:pPr>
              <w:pStyle w:val="TAH"/>
            </w:pPr>
            <w:r>
              <w:rPr>
                <w:rFonts w:eastAsia="SimSun"/>
              </w:rPr>
              <w:t>NR operating band groups</w:t>
            </w:r>
            <w:r>
              <w:rPr>
                <w:rFonts w:eastAsia="SimSun"/>
                <w:vertAlign w:val="superscript"/>
              </w:rPr>
              <w:t xml:space="preserve"> Note 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931206D" w14:textId="77777777" w:rsidR="0030624B" w:rsidRDefault="0030624B" w:rsidP="00B6569C">
            <w:pPr>
              <w:pStyle w:val="TAH"/>
            </w:pPr>
            <w:r>
              <w:rPr>
                <w:rFonts w:eastAsia="SimSun"/>
              </w:rPr>
              <w:t xml:space="preserve">Minimum Io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CB5BD15" w14:textId="77777777" w:rsidR="0030624B" w:rsidRDefault="0030624B" w:rsidP="00B6569C">
            <w:pPr>
              <w:pStyle w:val="TAH"/>
            </w:pPr>
            <w:r>
              <w:rPr>
                <w:rFonts w:eastAsia="SimSun"/>
              </w:rPr>
              <w:t>Maximum Io</w:t>
            </w:r>
          </w:p>
        </w:tc>
      </w:tr>
      <w:tr w:rsidR="0030624B" w14:paraId="65CEF029" w14:textId="77777777" w:rsidTr="00B6569C">
        <w:trPr>
          <w:jc w:val="center"/>
        </w:trPr>
        <w:tc>
          <w:tcPr>
            <w:tcW w:w="960" w:type="dxa"/>
            <w:tcBorders>
              <w:top w:val="single" w:sz="4" w:space="0" w:color="auto"/>
              <w:left w:val="single" w:sz="4" w:space="0" w:color="auto"/>
              <w:bottom w:val="single" w:sz="4" w:space="0" w:color="auto"/>
              <w:right w:val="single" w:sz="4" w:space="0" w:color="auto"/>
            </w:tcBorders>
            <w:vAlign w:val="center"/>
            <w:hideMark/>
          </w:tcPr>
          <w:p w14:paraId="75E6C499" w14:textId="77777777" w:rsidR="0030624B" w:rsidRDefault="0030624B" w:rsidP="00B6569C">
            <w:pPr>
              <w:pStyle w:val="TAH"/>
            </w:pPr>
            <w:r>
              <w:rPr>
                <w:rFonts w:eastAsia="SimSun"/>
              </w:rPr>
              <w:t>Tc</w:t>
            </w:r>
            <w:r>
              <w:rPr>
                <w:rFonts w:eastAsia="SimSun"/>
                <w:vertAlign w:val="superscript"/>
                <w:lang w:eastAsia="zh-CN"/>
              </w:rPr>
              <w:t xml:space="preserve"> Note 5</w:t>
            </w:r>
          </w:p>
        </w:tc>
        <w:tc>
          <w:tcPr>
            <w:tcW w:w="1163" w:type="dxa"/>
            <w:tcBorders>
              <w:top w:val="single" w:sz="4" w:space="0" w:color="auto"/>
              <w:left w:val="single" w:sz="4" w:space="0" w:color="auto"/>
              <w:bottom w:val="single" w:sz="4" w:space="0" w:color="auto"/>
              <w:right w:val="single" w:sz="4" w:space="0" w:color="auto"/>
            </w:tcBorders>
            <w:vAlign w:val="center"/>
            <w:hideMark/>
          </w:tcPr>
          <w:p w14:paraId="3111071C" w14:textId="77777777" w:rsidR="0030624B" w:rsidRDefault="0030624B" w:rsidP="00B6569C">
            <w:pPr>
              <w:pStyle w:val="TAH"/>
            </w:pPr>
            <w:r>
              <w:rPr>
                <w:rFonts w:eastAsia="SimSun"/>
              </w:rPr>
              <w:t>dB</w:t>
            </w:r>
          </w:p>
        </w:tc>
        <w:tc>
          <w:tcPr>
            <w:tcW w:w="992" w:type="dxa"/>
            <w:tcBorders>
              <w:top w:val="single" w:sz="4" w:space="0" w:color="auto"/>
              <w:left w:val="single" w:sz="4" w:space="0" w:color="auto"/>
              <w:bottom w:val="single" w:sz="4" w:space="0" w:color="auto"/>
              <w:right w:val="single" w:sz="4" w:space="0" w:color="auto"/>
            </w:tcBorders>
            <w:vAlign w:val="center"/>
            <w:hideMark/>
          </w:tcPr>
          <w:p w14:paraId="754A9BCE" w14:textId="77777777" w:rsidR="0030624B" w:rsidRDefault="0030624B" w:rsidP="00B6569C">
            <w:pPr>
              <w:pStyle w:val="TAH"/>
              <w:rPr>
                <w:lang w:eastAsia="zh-CN"/>
              </w:rPr>
            </w:pPr>
            <w:r>
              <w:rPr>
                <w:rFonts w:eastAsia="SimSun"/>
                <w:lang w:eastAsia="zh-CN"/>
              </w:rPr>
              <w:t>kHz</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A48177C" w14:textId="77777777" w:rsidR="0030624B" w:rsidRDefault="0030624B" w:rsidP="00B6569C">
            <w:pPr>
              <w:pStyle w:val="TAH"/>
            </w:pPr>
            <w:r>
              <w:rPr>
                <w:rFonts w:eastAsia="SimSun"/>
              </w:rPr>
              <w:t>RB</w:t>
            </w:r>
          </w:p>
        </w:tc>
        <w:tc>
          <w:tcPr>
            <w:tcW w:w="1367" w:type="dxa"/>
            <w:tcBorders>
              <w:top w:val="single" w:sz="4" w:space="0" w:color="auto"/>
              <w:left w:val="single" w:sz="4" w:space="0" w:color="auto"/>
              <w:bottom w:val="single" w:sz="4" w:space="0" w:color="auto"/>
              <w:right w:val="single" w:sz="4" w:space="0" w:color="auto"/>
            </w:tcBorders>
            <w:vAlign w:val="center"/>
          </w:tcPr>
          <w:p w14:paraId="4AB9CE62" w14:textId="77777777" w:rsidR="0030624B" w:rsidRDefault="0030624B" w:rsidP="00B6569C">
            <w:pPr>
              <w:pStyle w:val="TAH"/>
            </w:pPr>
          </w:p>
        </w:tc>
        <w:tc>
          <w:tcPr>
            <w:tcW w:w="2040" w:type="dxa"/>
            <w:tcBorders>
              <w:top w:val="single" w:sz="4" w:space="0" w:color="auto"/>
              <w:left w:val="single" w:sz="4" w:space="0" w:color="auto"/>
              <w:bottom w:val="single" w:sz="4" w:space="0" w:color="auto"/>
              <w:right w:val="single" w:sz="4" w:space="0" w:color="auto"/>
            </w:tcBorders>
            <w:vAlign w:val="center"/>
          </w:tcPr>
          <w:p w14:paraId="552F5360" w14:textId="77777777" w:rsidR="0030624B" w:rsidRDefault="0030624B" w:rsidP="00B6569C">
            <w:pPr>
              <w:pStyle w:val="TAH"/>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39E788C" w14:textId="77777777" w:rsidR="0030624B" w:rsidRDefault="0030624B" w:rsidP="00B6569C">
            <w:pPr>
              <w:pStyle w:val="TAH"/>
            </w:pPr>
            <w:r>
              <w:rPr>
                <w:rFonts w:eastAsia="SimSun"/>
              </w:rPr>
              <w:t>dBm/SCS</w:t>
            </w:r>
            <w:r>
              <w:rPr>
                <w:rFonts w:eastAsia="SimSun"/>
                <w:vertAlign w:val="superscript"/>
                <w:lang w:eastAsia="zh-CN"/>
              </w:rPr>
              <w:t xml:space="preserve">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1835133" w14:textId="77777777" w:rsidR="0030624B" w:rsidRDefault="0030624B" w:rsidP="00B6569C">
            <w:pPr>
              <w:pStyle w:val="TAH"/>
            </w:pPr>
            <w:r>
              <w:rPr>
                <w:rFonts w:eastAsia="SimSun"/>
              </w:rPr>
              <w:t>dBm/BW</w:t>
            </w:r>
            <w:r>
              <w:rPr>
                <w:rFonts w:eastAsia="SimSun"/>
                <w:vertAlign w:val="subscript"/>
              </w:rPr>
              <w:t>Channel</w:t>
            </w:r>
          </w:p>
        </w:tc>
      </w:tr>
      <w:tr w:rsidR="0030624B" w14:paraId="75E5463D" w14:textId="77777777" w:rsidTr="00B6569C">
        <w:trPr>
          <w:trHeight w:val="74"/>
          <w:jc w:val="center"/>
        </w:trPr>
        <w:tc>
          <w:tcPr>
            <w:tcW w:w="960" w:type="dxa"/>
            <w:vMerge w:val="restart"/>
            <w:tcBorders>
              <w:top w:val="single" w:sz="4" w:space="0" w:color="auto"/>
              <w:left w:val="single" w:sz="4" w:space="0" w:color="auto"/>
              <w:right w:val="single" w:sz="4" w:space="0" w:color="auto"/>
            </w:tcBorders>
            <w:hideMark/>
          </w:tcPr>
          <w:p w14:paraId="4EE03E8B" w14:textId="77777777" w:rsidR="0030624B" w:rsidRDefault="0030624B" w:rsidP="00B6569C">
            <w:pPr>
              <w:pStyle w:val="TAL"/>
              <w:rPr>
                <w:vertAlign w:val="superscript"/>
              </w:rPr>
            </w:pPr>
            <w:r>
              <w:rPr>
                <w:rFonts w:eastAsia="SimSun"/>
                <w:lang w:eastAsia="zh-CN"/>
              </w:rPr>
              <w:t xml:space="preserve">98 </w:t>
            </w:r>
          </w:p>
        </w:tc>
        <w:tc>
          <w:tcPr>
            <w:tcW w:w="1163" w:type="dxa"/>
            <w:vMerge w:val="restart"/>
            <w:tcBorders>
              <w:top w:val="single" w:sz="4" w:space="0" w:color="auto"/>
              <w:left w:val="single" w:sz="4" w:space="0" w:color="auto"/>
              <w:right w:val="single" w:sz="4" w:space="0" w:color="auto"/>
            </w:tcBorders>
            <w:vAlign w:val="center"/>
          </w:tcPr>
          <w:p w14:paraId="0BCC38AF" w14:textId="77777777" w:rsidR="0030624B" w:rsidRDefault="0030624B" w:rsidP="00B6569C">
            <w:pPr>
              <w:pStyle w:val="TAC"/>
              <w:rPr>
                <w:rFonts w:eastAsia="SimSun"/>
              </w:rPr>
            </w:pPr>
            <w:r>
              <w:rPr>
                <w:rFonts w:eastAsia="SimSun"/>
              </w:rPr>
              <w:t>(PRS Ês/Iot)</w:t>
            </w:r>
            <w:r>
              <w:rPr>
                <w:rFonts w:eastAsia="SimSun"/>
                <w:vertAlign w:val="subscript"/>
              </w:rPr>
              <w:t xml:space="preserve">ref </w:t>
            </w:r>
            <w:r>
              <w:rPr>
                <w:rFonts w:eastAsia="SimSun"/>
              </w:rPr>
              <w:t>≥-3dB</w:t>
            </w:r>
          </w:p>
          <w:p w14:paraId="34A7516A" w14:textId="77777777" w:rsidR="0030624B" w:rsidRDefault="0030624B" w:rsidP="00B6569C">
            <w:pPr>
              <w:pStyle w:val="TAC"/>
              <w:rPr>
                <w:rFonts w:eastAsia="SimSun"/>
              </w:rPr>
            </w:pPr>
          </w:p>
          <w:p w14:paraId="11EB200F" w14:textId="77777777" w:rsidR="0030624B" w:rsidRDefault="0030624B" w:rsidP="00B6569C">
            <w:pPr>
              <w:pStyle w:val="TAC"/>
            </w:pPr>
            <w:r>
              <w:rPr>
                <w:rFonts w:eastAsia="SimSun"/>
              </w:rPr>
              <w:t xml:space="preserve"> (PRS Ês/Iot)</w:t>
            </w:r>
            <w:r>
              <w:rPr>
                <w:rFonts w:eastAsia="SimSun"/>
                <w:i/>
                <w:vertAlign w:val="subscript"/>
              </w:rPr>
              <w:t>i</w:t>
            </w:r>
            <w:r>
              <w:rPr>
                <w:rFonts w:eastAsia="SimSun"/>
              </w:rPr>
              <w:t xml:space="preserve"> ≥-6dB</w:t>
            </w:r>
          </w:p>
        </w:tc>
        <w:tc>
          <w:tcPr>
            <w:tcW w:w="992" w:type="dxa"/>
            <w:vMerge w:val="restart"/>
            <w:tcBorders>
              <w:top w:val="single" w:sz="4" w:space="0" w:color="auto"/>
              <w:left w:val="single" w:sz="4" w:space="0" w:color="auto"/>
              <w:right w:val="single" w:sz="4" w:space="0" w:color="auto"/>
            </w:tcBorders>
            <w:vAlign w:val="center"/>
            <w:hideMark/>
          </w:tcPr>
          <w:p w14:paraId="04399D0B" w14:textId="77777777" w:rsidR="0030624B" w:rsidRDefault="0030624B" w:rsidP="00B6569C">
            <w:pPr>
              <w:pStyle w:val="TAC"/>
              <w:rPr>
                <w:lang w:val="sv-SE" w:eastAsia="zh-CN"/>
              </w:rPr>
            </w:pPr>
            <w:r>
              <w:rPr>
                <w:rFonts w:eastAsia="SimSun"/>
                <w:lang w:val="sv-SE" w:eastAsia="zh-CN"/>
              </w:rPr>
              <w:t>15</w:t>
            </w:r>
          </w:p>
        </w:tc>
        <w:tc>
          <w:tcPr>
            <w:tcW w:w="1134" w:type="dxa"/>
            <w:vMerge w:val="restart"/>
            <w:tcBorders>
              <w:top w:val="single" w:sz="4" w:space="0" w:color="auto"/>
              <w:left w:val="single" w:sz="4" w:space="0" w:color="auto"/>
              <w:right w:val="single" w:sz="4" w:space="0" w:color="auto"/>
            </w:tcBorders>
            <w:vAlign w:val="center"/>
            <w:hideMark/>
          </w:tcPr>
          <w:p w14:paraId="314A6E50" w14:textId="77777777" w:rsidR="0030624B" w:rsidRDefault="0030624B" w:rsidP="00B6569C">
            <w:pPr>
              <w:pStyle w:val="TAC"/>
            </w:pPr>
            <w:r>
              <w:rPr>
                <w:rFonts w:eastAsia="SimSun"/>
              </w:rPr>
              <w:t>≥ 52</w:t>
            </w:r>
          </w:p>
        </w:tc>
        <w:tc>
          <w:tcPr>
            <w:tcW w:w="1367" w:type="dxa"/>
            <w:vMerge w:val="restart"/>
            <w:tcBorders>
              <w:top w:val="single" w:sz="4" w:space="0" w:color="auto"/>
              <w:left w:val="single" w:sz="4" w:space="0" w:color="auto"/>
              <w:right w:val="single" w:sz="4" w:space="0" w:color="auto"/>
            </w:tcBorders>
            <w:vAlign w:val="center"/>
            <w:hideMark/>
          </w:tcPr>
          <w:p w14:paraId="0F76B933" w14:textId="77777777" w:rsidR="0030624B" w:rsidRDefault="0030624B" w:rsidP="00B6569C">
            <w:pPr>
              <w:pStyle w:val="TAC"/>
            </w:pPr>
            <w:r>
              <w:rPr>
                <w:rFonts w:eastAsia="SimSun"/>
              </w:rPr>
              <w:t>≥ 1</w:t>
            </w:r>
          </w:p>
        </w:tc>
        <w:tc>
          <w:tcPr>
            <w:tcW w:w="2040" w:type="dxa"/>
            <w:tcBorders>
              <w:top w:val="single" w:sz="4" w:space="0" w:color="auto"/>
              <w:left w:val="single" w:sz="4" w:space="0" w:color="auto"/>
              <w:bottom w:val="single" w:sz="4" w:space="0" w:color="auto"/>
              <w:right w:val="single" w:sz="4" w:space="0" w:color="auto"/>
            </w:tcBorders>
            <w:hideMark/>
          </w:tcPr>
          <w:p w14:paraId="58AB8D9A" w14:textId="1DEBFB6A" w:rsidR="0030624B" w:rsidRDefault="0030624B" w:rsidP="00B6569C">
            <w:pPr>
              <w:pStyle w:val="TAC"/>
            </w:pPr>
            <w:r>
              <w:t xml:space="preserve">NR_FDD_FR1_A, NR_TDD_FR1_A, </w:t>
            </w:r>
            <w:r>
              <w:rPr>
                <w:lang w:val="en-US"/>
              </w:rPr>
              <w:t>NR_SDL_FR1_A</w:t>
            </w:r>
          </w:p>
        </w:tc>
        <w:tc>
          <w:tcPr>
            <w:tcW w:w="1134" w:type="dxa"/>
            <w:tcBorders>
              <w:top w:val="single" w:sz="4" w:space="0" w:color="auto"/>
              <w:left w:val="single" w:sz="4" w:space="0" w:color="auto"/>
              <w:right w:val="single" w:sz="4" w:space="0" w:color="auto"/>
            </w:tcBorders>
            <w:vAlign w:val="center"/>
            <w:hideMark/>
          </w:tcPr>
          <w:p w14:paraId="48643000" w14:textId="0118D147" w:rsidR="0030624B" w:rsidRDefault="0030624B" w:rsidP="00B6569C">
            <w:pPr>
              <w:pStyle w:val="TAC"/>
            </w:pPr>
            <w:r>
              <w:t>-127</w:t>
            </w:r>
          </w:p>
        </w:tc>
        <w:tc>
          <w:tcPr>
            <w:tcW w:w="1275" w:type="dxa"/>
            <w:tcBorders>
              <w:top w:val="single" w:sz="4" w:space="0" w:color="auto"/>
              <w:left w:val="single" w:sz="4" w:space="0" w:color="auto"/>
              <w:right w:val="single" w:sz="4" w:space="0" w:color="auto"/>
            </w:tcBorders>
            <w:vAlign w:val="center"/>
            <w:hideMark/>
          </w:tcPr>
          <w:p w14:paraId="46924EC9" w14:textId="30213403" w:rsidR="0030624B" w:rsidRDefault="0030624B" w:rsidP="00B6569C">
            <w:pPr>
              <w:pStyle w:val="TAC"/>
              <w:rPr>
                <w:lang w:eastAsia="zh-CN"/>
              </w:rPr>
            </w:pPr>
            <w:r>
              <w:rPr>
                <w:rFonts w:eastAsia="SimSun" w:hint="eastAsia"/>
                <w:lang w:eastAsia="zh-CN"/>
              </w:rPr>
              <w:t>-50</w:t>
            </w:r>
          </w:p>
        </w:tc>
      </w:tr>
      <w:tr w:rsidR="0030624B" w14:paraId="7CD951C5" w14:textId="77777777" w:rsidTr="00B6569C">
        <w:trPr>
          <w:trHeight w:val="74"/>
          <w:jc w:val="center"/>
        </w:trPr>
        <w:tc>
          <w:tcPr>
            <w:tcW w:w="960" w:type="dxa"/>
            <w:vMerge/>
            <w:tcBorders>
              <w:top w:val="single" w:sz="4" w:space="0" w:color="auto"/>
              <w:left w:val="single" w:sz="4" w:space="0" w:color="auto"/>
              <w:right w:val="single" w:sz="4" w:space="0" w:color="auto"/>
            </w:tcBorders>
          </w:tcPr>
          <w:p w14:paraId="77C48E77"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4A9A5242" w14:textId="77777777" w:rsidR="0030624B" w:rsidRDefault="0030624B" w:rsidP="00B6569C">
            <w:pPr>
              <w:pStyle w:val="TAC"/>
              <w:rPr>
                <w:rFonts w:eastAsia="SimSun"/>
              </w:rPr>
            </w:pPr>
          </w:p>
        </w:tc>
        <w:tc>
          <w:tcPr>
            <w:tcW w:w="992" w:type="dxa"/>
            <w:vMerge/>
            <w:tcBorders>
              <w:top w:val="single" w:sz="4" w:space="0" w:color="auto"/>
              <w:left w:val="single" w:sz="4" w:space="0" w:color="auto"/>
              <w:right w:val="single" w:sz="4" w:space="0" w:color="auto"/>
            </w:tcBorders>
            <w:vAlign w:val="center"/>
          </w:tcPr>
          <w:p w14:paraId="1D527E87" w14:textId="77777777" w:rsidR="0030624B" w:rsidRDefault="0030624B" w:rsidP="00B6569C">
            <w:pPr>
              <w:pStyle w:val="TAC"/>
              <w:rPr>
                <w:rFonts w:eastAsia="SimSun"/>
                <w:lang w:val="sv-SE" w:eastAsia="zh-CN"/>
              </w:rPr>
            </w:pPr>
          </w:p>
        </w:tc>
        <w:tc>
          <w:tcPr>
            <w:tcW w:w="1134" w:type="dxa"/>
            <w:vMerge/>
            <w:tcBorders>
              <w:top w:val="single" w:sz="4" w:space="0" w:color="auto"/>
              <w:left w:val="single" w:sz="4" w:space="0" w:color="auto"/>
              <w:right w:val="single" w:sz="4" w:space="0" w:color="auto"/>
            </w:tcBorders>
            <w:vAlign w:val="center"/>
          </w:tcPr>
          <w:p w14:paraId="00CCBEA3" w14:textId="77777777" w:rsidR="0030624B" w:rsidRDefault="0030624B" w:rsidP="00B6569C">
            <w:pPr>
              <w:pStyle w:val="TAC"/>
              <w:rPr>
                <w:rFonts w:eastAsia="SimSun"/>
              </w:rPr>
            </w:pPr>
          </w:p>
        </w:tc>
        <w:tc>
          <w:tcPr>
            <w:tcW w:w="1367" w:type="dxa"/>
            <w:vMerge/>
            <w:tcBorders>
              <w:top w:val="single" w:sz="4" w:space="0" w:color="auto"/>
              <w:left w:val="single" w:sz="4" w:space="0" w:color="auto"/>
              <w:right w:val="single" w:sz="4" w:space="0" w:color="auto"/>
            </w:tcBorders>
            <w:vAlign w:val="center"/>
          </w:tcPr>
          <w:p w14:paraId="49BA3287"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0731518B" w14:textId="77777777" w:rsidR="0030624B" w:rsidRDefault="0030624B" w:rsidP="00B6569C">
            <w:pPr>
              <w:pStyle w:val="TAC"/>
              <w:rPr>
                <w:rFonts w:eastAsia="SimSun"/>
              </w:rPr>
            </w:pPr>
            <w:r>
              <w:rPr>
                <w:lang w:val="sv-SE"/>
              </w:rPr>
              <w:t>NR_FDD_FR1_B</w:t>
            </w:r>
          </w:p>
        </w:tc>
        <w:tc>
          <w:tcPr>
            <w:tcW w:w="1134" w:type="dxa"/>
            <w:tcBorders>
              <w:left w:val="single" w:sz="4" w:space="0" w:color="auto"/>
              <w:right w:val="single" w:sz="4" w:space="0" w:color="auto"/>
            </w:tcBorders>
          </w:tcPr>
          <w:p w14:paraId="0A12010A" w14:textId="77777777" w:rsidR="0030624B" w:rsidRDefault="0030624B" w:rsidP="00B6569C">
            <w:pPr>
              <w:pStyle w:val="TAC"/>
              <w:rPr>
                <w:rFonts w:eastAsia="SimSun"/>
              </w:rPr>
            </w:pPr>
            <w:r>
              <w:t>-126.5</w:t>
            </w:r>
          </w:p>
        </w:tc>
        <w:tc>
          <w:tcPr>
            <w:tcW w:w="1275" w:type="dxa"/>
            <w:tcBorders>
              <w:left w:val="single" w:sz="4" w:space="0" w:color="auto"/>
              <w:right w:val="single" w:sz="4" w:space="0" w:color="auto"/>
            </w:tcBorders>
            <w:vAlign w:val="center"/>
          </w:tcPr>
          <w:p w14:paraId="6FBE914E" w14:textId="77777777" w:rsidR="0030624B" w:rsidRDefault="0030624B" w:rsidP="00B6569C">
            <w:pPr>
              <w:pStyle w:val="TAC"/>
              <w:rPr>
                <w:rFonts w:eastAsia="SimSun"/>
              </w:rPr>
            </w:pPr>
            <w:r>
              <w:rPr>
                <w:rFonts w:eastAsia="SimSun" w:hint="eastAsia"/>
                <w:lang w:eastAsia="zh-CN"/>
              </w:rPr>
              <w:t>-50</w:t>
            </w:r>
          </w:p>
        </w:tc>
      </w:tr>
      <w:tr w:rsidR="0030624B" w14:paraId="1ED6DA4F" w14:textId="77777777" w:rsidTr="00B6569C">
        <w:trPr>
          <w:trHeight w:val="74"/>
          <w:jc w:val="center"/>
        </w:trPr>
        <w:tc>
          <w:tcPr>
            <w:tcW w:w="960" w:type="dxa"/>
            <w:vMerge/>
            <w:tcBorders>
              <w:top w:val="single" w:sz="4" w:space="0" w:color="auto"/>
              <w:left w:val="single" w:sz="4" w:space="0" w:color="auto"/>
              <w:right w:val="single" w:sz="4" w:space="0" w:color="auto"/>
            </w:tcBorders>
          </w:tcPr>
          <w:p w14:paraId="3822FD42"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315AAF35" w14:textId="77777777" w:rsidR="0030624B" w:rsidRDefault="0030624B" w:rsidP="00B6569C">
            <w:pPr>
              <w:pStyle w:val="TAC"/>
              <w:rPr>
                <w:rFonts w:eastAsia="SimSun"/>
              </w:rPr>
            </w:pPr>
          </w:p>
        </w:tc>
        <w:tc>
          <w:tcPr>
            <w:tcW w:w="992" w:type="dxa"/>
            <w:vMerge/>
            <w:tcBorders>
              <w:top w:val="single" w:sz="4" w:space="0" w:color="auto"/>
              <w:left w:val="single" w:sz="4" w:space="0" w:color="auto"/>
              <w:right w:val="single" w:sz="4" w:space="0" w:color="auto"/>
            </w:tcBorders>
            <w:vAlign w:val="center"/>
          </w:tcPr>
          <w:p w14:paraId="7F00631C" w14:textId="77777777" w:rsidR="0030624B" w:rsidRDefault="0030624B" w:rsidP="00B6569C">
            <w:pPr>
              <w:pStyle w:val="TAC"/>
              <w:rPr>
                <w:rFonts w:eastAsia="SimSun"/>
                <w:lang w:val="sv-SE" w:eastAsia="zh-CN"/>
              </w:rPr>
            </w:pPr>
          </w:p>
        </w:tc>
        <w:tc>
          <w:tcPr>
            <w:tcW w:w="1134" w:type="dxa"/>
            <w:vMerge/>
            <w:tcBorders>
              <w:top w:val="single" w:sz="4" w:space="0" w:color="auto"/>
              <w:left w:val="single" w:sz="4" w:space="0" w:color="auto"/>
              <w:right w:val="single" w:sz="4" w:space="0" w:color="auto"/>
            </w:tcBorders>
            <w:vAlign w:val="center"/>
          </w:tcPr>
          <w:p w14:paraId="4CE727BA" w14:textId="77777777" w:rsidR="0030624B" w:rsidRDefault="0030624B" w:rsidP="00B6569C">
            <w:pPr>
              <w:pStyle w:val="TAC"/>
              <w:rPr>
                <w:rFonts w:eastAsia="SimSun"/>
              </w:rPr>
            </w:pPr>
          </w:p>
        </w:tc>
        <w:tc>
          <w:tcPr>
            <w:tcW w:w="1367" w:type="dxa"/>
            <w:vMerge/>
            <w:tcBorders>
              <w:top w:val="single" w:sz="4" w:space="0" w:color="auto"/>
              <w:left w:val="single" w:sz="4" w:space="0" w:color="auto"/>
              <w:right w:val="single" w:sz="4" w:space="0" w:color="auto"/>
            </w:tcBorders>
            <w:vAlign w:val="center"/>
          </w:tcPr>
          <w:p w14:paraId="5AEBDC77"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2575AF87" w14:textId="77777777" w:rsidR="0030624B" w:rsidRDefault="0030624B" w:rsidP="00B6569C">
            <w:pPr>
              <w:pStyle w:val="TAC"/>
              <w:rPr>
                <w:rFonts w:eastAsia="SimSun"/>
              </w:rPr>
            </w:pPr>
            <w:r>
              <w:rPr>
                <w:lang w:val="sv-SE"/>
              </w:rPr>
              <w:t>NR_TDD_FR1_C</w:t>
            </w:r>
          </w:p>
        </w:tc>
        <w:tc>
          <w:tcPr>
            <w:tcW w:w="1134" w:type="dxa"/>
            <w:tcBorders>
              <w:left w:val="single" w:sz="4" w:space="0" w:color="auto"/>
              <w:right w:val="single" w:sz="4" w:space="0" w:color="auto"/>
            </w:tcBorders>
            <w:vAlign w:val="center"/>
          </w:tcPr>
          <w:p w14:paraId="2EDB8FE8" w14:textId="77777777" w:rsidR="0030624B" w:rsidRDefault="0030624B" w:rsidP="00B6569C">
            <w:pPr>
              <w:pStyle w:val="TAC"/>
              <w:rPr>
                <w:rFonts w:eastAsia="SimSun"/>
              </w:rPr>
            </w:pPr>
            <w:r>
              <w:t>-126</w:t>
            </w:r>
          </w:p>
        </w:tc>
        <w:tc>
          <w:tcPr>
            <w:tcW w:w="1275" w:type="dxa"/>
            <w:tcBorders>
              <w:left w:val="single" w:sz="4" w:space="0" w:color="auto"/>
              <w:right w:val="single" w:sz="4" w:space="0" w:color="auto"/>
            </w:tcBorders>
            <w:vAlign w:val="center"/>
          </w:tcPr>
          <w:p w14:paraId="382C8429" w14:textId="77777777" w:rsidR="0030624B" w:rsidRDefault="0030624B" w:rsidP="00B6569C">
            <w:pPr>
              <w:pStyle w:val="TAC"/>
              <w:rPr>
                <w:rFonts w:eastAsia="SimSun"/>
              </w:rPr>
            </w:pPr>
            <w:r>
              <w:rPr>
                <w:rFonts w:eastAsia="SimSun" w:hint="eastAsia"/>
                <w:lang w:eastAsia="zh-CN"/>
              </w:rPr>
              <w:t>-50</w:t>
            </w:r>
          </w:p>
        </w:tc>
      </w:tr>
      <w:tr w:rsidR="0030624B" w14:paraId="0A602E7F" w14:textId="77777777" w:rsidTr="00B6569C">
        <w:trPr>
          <w:trHeight w:val="74"/>
          <w:jc w:val="center"/>
        </w:trPr>
        <w:tc>
          <w:tcPr>
            <w:tcW w:w="960" w:type="dxa"/>
            <w:vMerge/>
            <w:tcBorders>
              <w:top w:val="single" w:sz="4" w:space="0" w:color="auto"/>
              <w:left w:val="single" w:sz="4" w:space="0" w:color="auto"/>
              <w:right w:val="single" w:sz="4" w:space="0" w:color="auto"/>
            </w:tcBorders>
          </w:tcPr>
          <w:p w14:paraId="3381D221"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16671621" w14:textId="77777777" w:rsidR="0030624B" w:rsidRDefault="0030624B" w:rsidP="00B6569C">
            <w:pPr>
              <w:pStyle w:val="TAC"/>
              <w:rPr>
                <w:rFonts w:eastAsia="SimSun"/>
              </w:rPr>
            </w:pPr>
          </w:p>
        </w:tc>
        <w:tc>
          <w:tcPr>
            <w:tcW w:w="992" w:type="dxa"/>
            <w:vMerge/>
            <w:tcBorders>
              <w:top w:val="single" w:sz="4" w:space="0" w:color="auto"/>
              <w:left w:val="single" w:sz="4" w:space="0" w:color="auto"/>
              <w:right w:val="single" w:sz="4" w:space="0" w:color="auto"/>
            </w:tcBorders>
            <w:vAlign w:val="center"/>
          </w:tcPr>
          <w:p w14:paraId="0BC8B72C" w14:textId="77777777" w:rsidR="0030624B" w:rsidRDefault="0030624B" w:rsidP="00B6569C">
            <w:pPr>
              <w:pStyle w:val="TAC"/>
              <w:rPr>
                <w:rFonts w:eastAsia="SimSun"/>
                <w:lang w:val="sv-SE" w:eastAsia="zh-CN"/>
              </w:rPr>
            </w:pPr>
          </w:p>
        </w:tc>
        <w:tc>
          <w:tcPr>
            <w:tcW w:w="1134" w:type="dxa"/>
            <w:vMerge/>
            <w:tcBorders>
              <w:top w:val="single" w:sz="4" w:space="0" w:color="auto"/>
              <w:left w:val="single" w:sz="4" w:space="0" w:color="auto"/>
              <w:right w:val="single" w:sz="4" w:space="0" w:color="auto"/>
            </w:tcBorders>
            <w:vAlign w:val="center"/>
          </w:tcPr>
          <w:p w14:paraId="2E27DBE4" w14:textId="77777777" w:rsidR="0030624B" w:rsidRDefault="0030624B" w:rsidP="00B6569C">
            <w:pPr>
              <w:pStyle w:val="TAC"/>
              <w:rPr>
                <w:rFonts w:eastAsia="SimSun"/>
              </w:rPr>
            </w:pPr>
          </w:p>
        </w:tc>
        <w:tc>
          <w:tcPr>
            <w:tcW w:w="1367" w:type="dxa"/>
            <w:vMerge/>
            <w:tcBorders>
              <w:top w:val="single" w:sz="4" w:space="0" w:color="auto"/>
              <w:left w:val="single" w:sz="4" w:space="0" w:color="auto"/>
              <w:right w:val="single" w:sz="4" w:space="0" w:color="auto"/>
            </w:tcBorders>
            <w:vAlign w:val="center"/>
          </w:tcPr>
          <w:p w14:paraId="4A2B898D"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0348CA42" w14:textId="77777777" w:rsidR="0030624B" w:rsidRDefault="0030624B" w:rsidP="00B6569C">
            <w:pPr>
              <w:pStyle w:val="TAC"/>
              <w:rPr>
                <w:rFonts w:eastAsia="SimSun"/>
              </w:rPr>
            </w:pPr>
            <w:r>
              <w:rPr>
                <w:lang w:val="sv-SE"/>
              </w:rPr>
              <w:t>NR_FDD_FR1_D, NR_TDD_FR1_D</w:t>
            </w:r>
          </w:p>
        </w:tc>
        <w:tc>
          <w:tcPr>
            <w:tcW w:w="1134" w:type="dxa"/>
            <w:tcBorders>
              <w:left w:val="single" w:sz="4" w:space="0" w:color="auto"/>
              <w:right w:val="single" w:sz="4" w:space="0" w:color="auto"/>
            </w:tcBorders>
            <w:vAlign w:val="center"/>
          </w:tcPr>
          <w:p w14:paraId="1A83E5E6" w14:textId="77777777" w:rsidR="0030624B" w:rsidRDefault="0030624B" w:rsidP="00B6569C">
            <w:pPr>
              <w:pStyle w:val="TAC"/>
              <w:rPr>
                <w:rFonts w:eastAsia="SimSun"/>
              </w:rPr>
            </w:pPr>
            <w:r>
              <w:t>-125.5</w:t>
            </w:r>
          </w:p>
        </w:tc>
        <w:tc>
          <w:tcPr>
            <w:tcW w:w="1275" w:type="dxa"/>
            <w:tcBorders>
              <w:left w:val="single" w:sz="4" w:space="0" w:color="auto"/>
              <w:right w:val="single" w:sz="4" w:space="0" w:color="auto"/>
            </w:tcBorders>
            <w:vAlign w:val="center"/>
          </w:tcPr>
          <w:p w14:paraId="51176A91" w14:textId="77777777" w:rsidR="0030624B" w:rsidRDefault="0030624B" w:rsidP="00B6569C">
            <w:pPr>
              <w:pStyle w:val="TAC"/>
              <w:rPr>
                <w:rFonts w:eastAsia="SimSun"/>
              </w:rPr>
            </w:pPr>
            <w:r>
              <w:rPr>
                <w:rFonts w:eastAsia="SimSun" w:hint="eastAsia"/>
                <w:lang w:eastAsia="zh-CN"/>
              </w:rPr>
              <w:t>-50</w:t>
            </w:r>
          </w:p>
        </w:tc>
      </w:tr>
      <w:tr w:rsidR="0030624B" w14:paraId="67C63293" w14:textId="77777777" w:rsidTr="00B6569C">
        <w:trPr>
          <w:trHeight w:val="74"/>
          <w:jc w:val="center"/>
        </w:trPr>
        <w:tc>
          <w:tcPr>
            <w:tcW w:w="960" w:type="dxa"/>
            <w:vMerge/>
            <w:tcBorders>
              <w:top w:val="single" w:sz="4" w:space="0" w:color="auto"/>
              <w:left w:val="single" w:sz="4" w:space="0" w:color="auto"/>
              <w:right w:val="single" w:sz="4" w:space="0" w:color="auto"/>
            </w:tcBorders>
          </w:tcPr>
          <w:p w14:paraId="26E46E3E"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24660B87" w14:textId="77777777" w:rsidR="0030624B" w:rsidRDefault="0030624B" w:rsidP="00B6569C">
            <w:pPr>
              <w:pStyle w:val="TAC"/>
              <w:rPr>
                <w:rFonts w:eastAsia="SimSun"/>
              </w:rPr>
            </w:pPr>
          </w:p>
        </w:tc>
        <w:tc>
          <w:tcPr>
            <w:tcW w:w="992" w:type="dxa"/>
            <w:vMerge/>
            <w:tcBorders>
              <w:top w:val="single" w:sz="4" w:space="0" w:color="auto"/>
              <w:left w:val="single" w:sz="4" w:space="0" w:color="auto"/>
              <w:right w:val="single" w:sz="4" w:space="0" w:color="auto"/>
            </w:tcBorders>
            <w:vAlign w:val="center"/>
          </w:tcPr>
          <w:p w14:paraId="79D50D0F" w14:textId="77777777" w:rsidR="0030624B" w:rsidRDefault="0030624B" w:rsidP="00B6569C">
            <w:pPr>
              <w:pStyle w:val="TAC"/>
              <w:rPr>
                <w:rFonts w:eastAsia="SimSun"/>
                <w:lang w:val="sv-SE" w:eastAsia="zh-CN"/>
              </w:rPr>
            </w:pPr>
          </w:p>
        </w:tc>
        <w:tc>
          <w:tcPr>
            <w:tcW w:w="1134" w:type="dxa"/>
            <w:vMerge/>
            <w:tcBorders>
              <w:top w:val="single" w:sz="4" w:space="0" w:color="auto"/>
              <w:left w:val="single" w:sz="4" w:space="0" w:color="auto"/>
              <w:right w:val="single" w:sz="4" w:space="0" w:color="auto"/>
            </w:tcBorders>
            <w:vAlign w:val="center"/>
          </w:tcPr>
          <w:p w14:paraId="7D63028A" w14:textId="77777777" w:rsidR="0030624B" w:rsidRDefault="0030624B" w:rsidP="00B6569C">
            <w:pPr>
              <w:pStyle w:val="TAC"/>
              <w:rPr>
                <w:rFonts w:eastAsia="SimSun"/>
              </w:rPr>
            </w:pPr>
          </w:p>
        </w:tc>
        <w:tc>
          <w:tcPr>
            <w:tcW w:w="1367" w:type="dxa"/>
            <w:vMerge/>
            <w:tcBorders>
              <w:top w:val="single" w:sz="4" w:space="0" w:color="auto"/>
              <w:left w:val="single" w:sz="4" w:space="0" w:color="auto"/>
              <w:right w:val="single" w:sz="4" w:space="0" w:color="auto"/>
            </w:tcBorders>
            <w:vAlign w:val="center"/>
          </w:tcPr>
          <w:p w14:paraId="5A655F58"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7E078C81" w14:textId="77777777" w:rsidR="0030624B" w:rsidRDefault="0030624B" w:rsidP="00B6569C">
            <w:pPr>
              <w:pStyle w:val="TAC"/>
              <w:rPr>
                <w:rFonts w:eastAsia="SimSun"/>
              </w:rPr>
            </w:pPr>
            <w:r>
              <w:rPr>
                <w:lang w:val="sv-SE"/>
              </w:rPr>
              <w:t>NR_FDD_FR1_E, NR_TDD_FR1_E</w:t>
            </w:r>
          </w:p>
        </w:tc>
        <w:tc>
          <w:tcPr>
            <w:tcW w:w="1134" w:type="dxa"/>
            <w:tcBorders>
              <w:left w:val="single" w:sz="4" w:space="0" w:color="auto"/>
              <w:right w:val="single" w:sz="4" w:space="0" w:color="auto"/>
            </w:tcBorders>
            <w:vAlign w:val="center"/>
          </w:tcPr>
          <w:p w14:paraId="02A63364" w14:textId="77777777" w:rsidR="0030624B" w:rsidRDefault="0030624B" w:rsidP="00B6569C">
            <w:pPr>
              <w:pStyle w:val="TAC"/>
              <w:rPr>
                <w:rFonts w:eastAsia="SimSun"/>
              </w:rPr>
            </w:pPr>
            <w:r>
              <w:t>-125</w:t>
            </w:r>
          </w:p>
        </w:tc>
        <w:tc>
          <w:tcPr>
            <w:tcW w:w="1275" w:type="dxa"/>
            <w:tcBorders>
              <w:left w:val="single" w:sz="4" w:space="0" w:color="auto"/>
              <w:right w:val="single" w:sz="4" w:space="0" w:color="auto"/>
            </w:tcBorders>
            <w:vAlign w:val="center"/>
          </w:tcPr>
          <w:p w14:paraId="3D0E46FD" w14:textId="77777777" w:rsidR="0030624B" w:rsidRDefault="0030624B" w:rsidP="00B6569C">
            <w:pPr>
              <w:pStyle w:val="TAC"/>
              <w:rPr>
                <w:rFonts w:eastAsia="SimSun"/>
              </w:rPr>
            </w:pPr>
            <w:r>
              <w:rPr>
                <w:rFonts w:eastAsia="SimSun" w:hint="eastAsia"/>
                <w:lang w:eastAsia="zh-CN"/>
              </w:rPr>
              <w:t>-50</w:t>
            </w:r>
          </w:p>
        </w:tc>
      </w:tr>
      <w:tr w:rsidR="0030624B" w14:paraId="7C87FCA9" w14:textId="77777777" w:rsidTr="00B6569C">
        <w:trPr>
          <w:trHeight w:val="74"/>
          <w:jc w:val="center"/>
        </w:trPr>
        <w:tc>
          <w:tcPr>
            <w:tcW w:w="960" w:type="dxa"/>
            <w:vMerge/>
            <w:tcBorders>
              <w:top w:val="single" w:sz="4" w:space="0" w:color="auto"/>
              <w:left w:val="single" w:sz="4" w:space="0" w:color="auto"/>
              <w:right w:val="single" w:sz="4" w:space="0" w:color="auto"/>
            </w:tcBorders>
          </w:tcPr>
          <w:p w14:paraId="398F1A01"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41E561B8" w14:textId="77777777" w:rsidR="0030624B" w:rsidRDefault="0030624B" w:rsidP="00B6569C">
            <w:pPr>
              <w:pStyle w:val="TAC"/>
              <w:rPr>
                <w:rFonts w:eastAsia="SimSun"/>
              </w:rPr>
            </w:pPr>
          </w:p>
        </w:tc>
        <w:tc>
          <w:tcPr>
            <w:tcW w:w="992" w:type="dxa"/>
            <w:vMerge/>
            <w:tcBorders>
              <w:top w:val="single" w:sz="4" w:space="0" w:color="auto"/>
              <w:left w:val="single" w:sz="4" w:space="0" w:color="auto"/>
              <w:right w:val="single" w:sz="4" w:space="0" w:color="auto"/>
            </w:tcBorders>
            <w:vAlign w:val="center"/>
          </w:tcPr>
          <w:p w14:paraId="17E2A304" w14:textId="77777777" w:rsidR="0030624B" w:rsidRDefault="0030624B" w:rsidP="00B6569C">
            <w:pPr>
              <w:pStyle w:val="TAC"/>
              <w:rPr>
                <w:rFonts w:eastAsia="SimSun"/>
                <w:lang w:val="sv-SE" w:eastAsia="zh-CN"/>
              </w:rPr>
            </w:pPr>
          </w:p>
        </w:tc>
        <w:tc>
          <w:tcPr>
            <w:tcW w:w="1134" w:type="dxa"/>
            <w:vMerge/>
            <w:tcBorders>
              <w:top w:val="single" w:sz="4" w:space="0" w:color="auto"/>
              <w:left w:val="single" w:sz="4" w:space="0" w:color="auto"/>
              <w:right w:val="single" w:sz="4" w:space="0" w:color="auto"/>
            </w:tcBorders>
            <w:vAlign w:val="center"/>
          </w:tcPr>
          <w:p w14:paraId="6C949BC1" w14:textId="77777777" w:rsidR="0030624B" w:rsidRDefault="0030624B" w:rsidP="00B6569C">
            <w:pPr>
              <w:pStyle w:val="TAC"/>
              <w:rPr>
                <w:rFonts w:eastAsia="SimSun"/>
              </w:rPr>
            </w:pPr>
          </w:p>
        </w:tc>
        <w:tc>
          <w:tcPr>
            <w:tcW w:w="1367" w:type="dxa"/>
            <w:vMerge/>
            <w:tcBorders>
              <w:top w:val="single" w:sz="4" w:space="0" w:color="auto"/>
              <w:left w:val="single" w:sz="4" w:space="0" w:color="auto"/>
              <w:right w:val="single" w:sz="4" w:space="0" w:color="auto"/>
            </w:tcBorders>
            <w:vAlign w:val="center"/>
          </w:tcPr>
          <w:p w14:paraId="1C282A02"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4BE061F9" w14:textId="77777777" w:rsidR="0030624B" w:rsidRDefault="0030624B" w:rsidP="00B6569C">
            <w:pPr>
              <w:pStyle w:val="TAC"/>
              <w:rPr>
                <w:rFonts w:eastAsia="SimSun"/>
              </w:rPr>
            </w:pPr>
            <w:r>
              <w:rPr>
                <w:lang w:val="sv-SE"/>
              </w:rPr>
              <w:t>NR_FDD_FR1_F</w:t>
            </w:r>
          </w:p>
        </w:tc>
        <w:tc>
          <w:tcPr>
            <w:tcW w:w="1134" w:type="dxa"/>
            <w:tcBorders>
              <w:left w:val="single" w:sz="4" w:space="0" w:color="auto"/>
              <w:right w:val="single" w:sz="4" w:space="0" w:color="auto"/>
            </w:tcBorders>
            <w:vAlign w:val="center"/>
          </w:tcPr>
          <w:p w14:paraId="7A1B5FBA" w14:textId="77777777" w:rsidR="0030624B" w:rsidRDefault="0030624B" w:rsidP="00B6569C">
            <w:pPr>
              <w:pStyle w:val="TAC"/>
              <w:rPr>
                <w:rFonts w:eastAsia="SimSun"/>
              </w:rPr>
            </w:pPr>
            <w:r>
              <w:t>-124.5</w:t>
            </w:r>
          </w:p>
        </w:tc>
        <w:tc>
          <w:tcPr>
            <w:tcW w:w="1275" w:type="dxa"/>
            <w:tcBorders>
              <w:left w:val="single" w:sz="4" w:space="0" w:color="auto"/>
              <w:right w:val="single" w:sz="4" w:space="0" w:color="auto"/>
            </w:tcBorders>
            <w:vAlign w:val="center"/>
          </w:tcPr>
          <w:p w14:paraId="07344D59" w14:textId="77777777" w:rsidR="0030624B" w:rsidRDefault="0030624B" w:rsidP="00B6569C">
            <w:pPr>
              <w:pStyle w:val="TAC"/>
              <w:rPr>
                <w:rFonts w:eastAsia="SimSun"/>
              </w:rPr>
            </w:pPr>
            <w:r>
              <w:rPr>
                <w:rFonts w:eastAsia="SimSun" w:hint="eastAsia"/>
                <w:lang w:eastAsia="zh-CN"/>
              </w:rPr>
              <w:t>-50</w:t>
            </w:r>
          </w:p>
        </w:tc>
      </w:tr>
      <w:tr w:rsidR="0030624B" w14:paraId="1990F44A" w14:textId="77777777" w:rsidTr="00B6569C">
        <w:trPr>
          <w:trHeight w:val="74"/>
          <w:jc w:val="center"/>
        </w:trPr>
        <w:tc>
          <w:tcPr>
            <w:tcW w:w="960" w:type="dxa"/>
            <w:vMerge/>
            <w:tcBorders>
              <w:top w:val="single" w:sz="4" w:space="0" w:color="auto"/>
              <w:left w:val="single" w:sz="4" w:space="0" w:color="auto"/>
              <w:right w:val="single" w:sz="4" w:space="0" w:color="auto"/>
            </w:tcBorders>
          </w:tcPr>
          <w:p w14:paraId="07F4DB7B"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5794A95E" w14:textId="77777777" w:rsidR="0030624B" w:rsidRDefault="0030624B" w:rsidP="00B6569C">
            <w:pPr>
              <w:pStyle w:val="TAC"/>
              <w:rPr>
                <w:rFonts w:eastAsia="SimSun"/>
              </w:rPr>
            </w:pPr>
          </w:p>
        </w:tc>
        <w:tc>
          <w:tcPr>
            <w:tcW w:w="992" w:type="dxa"/>
            <w:vMerge/>
            <w:tcBorders>
              <w:top w:val="single" w:sz="4" w:space="0" w:color="auto"/>
              <w:left w:val="single" w:sz="4" w:space="0" w:color="auto"/>
              <w:right w:val="single" w:sz="4" w:space="0" w:color="auto"/>
            </w:tcBorders>
            <w:vAlign w:val="center"/>
          </w:tcPr>
          <w:p w14:paraId="7D325103" w14:textId="77777777" w:rsidR="0030624B" w:rsidRDefault="0030624B" w:rsidP="00B6569C">
            <w:pPr>
              <w:pStyle w:val="TAC"/>
              <w:rPr>
                <w:rFonts w:eastAsia="SimSun"/>
                <w:lang w:val="sv-SE" w:eastAsia="zh-CN"/>
              </w:rPr>
            </w:pPr>
          </w:p>
        </w:tc>
        <w:tc>
          <w:tcPr>
            <w:tcW w:w="1134" w:type="dxa"/>
            <w:vMerge/>
            <w:tcBorders>
              <w:top w:val="single" w:sz="4" w:space="0" w:color="auto"/>
              <w:left w:val="single" w:sz="4" w:space="0" w:color="auto"/>
              <w:right w:val="single" w:sz="4" w:space="0" w:color="auto"/>
            </w:tcBorders>
            <w:vAlign w:val="center"/>
          </w:tcPr>
          <w:p w14:paraId="0E5AE671" w14:textId="77777777" w:rsidR="0030624B" w:rsidRDefault="0030624B" w:rsidP="00B6569C">
            <w:pPr>
              <w:pStyle w:val="TAC"/>
              <w:rPr>
                <w:rFonts w:eastAsia="SimSun"/>
              </w:rPr>
            </w:pPr>
          </w:p>
        </w:tc>
        <w:tc>
          <w:tcPr>
            <w:tcW w:w="1367" w:type="dxa"/>
            <w:vMerge/>
            <w:tcBorders>
              <w:top w:val="single" w:sz="4" w:space="0" w:color="auto"/>
              <w:left w:val="single" w:sz="4" w:space="0" w:color="auto"/>
              <w:right w:val="single" w:sz="4" w:space="0" w:color="auto"/>
            </w:tcBorders>
            <w:vAlign w:val="center"/>
          </w:tcPr>
          <w:p w14:paraId="50472463"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544BD1AA" w14:textId="77777777" w:rsidR="0030624B" w:rsidRDefault="0030624B" w:rsidP="00B6569C">
            <w:pPr>
              <w:pStyle w:val="TAC"/>
              <w:rPr>
                <w:rFonts w:eastAsia="SimSun"/>
              </w:rPr>
            </w:pPr>
            <w:r>
              <w:rPr>
                <w:lang w:val="sv-SE"/>
              </w:rPr>
              <w:t>NR_FDD_FR1_G, NR_TDD_FR1_G</w:t>
            </w:r>
          </w:p>
        </w:tc>
        <w:tc>
          <w:tcPr>
            <w:tcW w:w="1134" w:type="dxa"/>
            <w:tcBorders>
              <w:left w:val="single" w:sz="4" w:space="0" w:color="auto"/>
              <w:right w:val="single" w:sz="4" w:space="0" w:color="auto"/>
            </w:tcBorders>
            <w:vAlign w:val="center"/>
          </w:tcPr>
          <w:p w14:paraId="7BB74F94" w14:textId="77777777" w:rsidR="0030624B" w:rsidRDefault="0030624B" w:rsidP="00B6569C">
            <w:pPr>
              <w:pStyle w:val="TAC"/>
              <w:rPr>
                <w:rFonts w:eastAsia="SimSun"/>
              </w:rPr>
            </w:pPr>
            <w:r>
              <w:t>-124</w:t>
            </w:r>
          </w:p>
        </w:tc>
        <w:tc>
          <w:tcPr>
            <w:tcW w:w="1275" w:type="dxa"/>
            <w:tcBorders>
              <w:left w:val="single" w:sz="4" w:space="0" w:color="auto"/>
              <w:right w:val="single" w:sz="4" w:space="0" w:color="auto"/>
            </w:tcBorders>
            <w:vAlign w:val="center"/>
          </w:tcPr>
          <w:p w14:paraId="4274E564" w14:textId="77777777" w:rsidR="0030624B" w:rsidRDefault="0030624B" w:rsidP="00B6569C">
            <w:pPr>
              <w:pStyle w:val="TAC"/>
              <w:rPr>
                <w:rFonts w:eastAsia="SimSun"/>
              </w:rPr>
            </w:pPr>
            <w:r>
              <w:rPr>
                <w:rFonts w:eastAsia="SimSun" w:hint="eastAsia"/>
                <w:lang w:eastAsia="zh-CN"/>
              </w:rPr>
              <w:t>-50</w:t>
            </w:r>
          </w:p>
        </w:tc>
      </w:tr>
      <w:tr w:rsidR="0030624B" w14:paraId="3BEC14DE" w14:textId="77777777" w:rsidTr="00B6569C">
        <w:trPr>
          <w:trHeight w:val="73"/>
          <w:jc w:val="center"/>
        </w:trPr>
        <w:tc>
          <w:tcPr>
            <w:tcW w:w="960" w:type="dxa"/>
            <w:vMerge/>
            <w:tcBorders>
              <w:left w:val="single" w:sz="4" w:space="0" w:color="auto"/>
              <w:bottom w:val="single" w:sz="4" w:space="0" w:color="auto"/>
              <w:right w:val="single" w:sz="4" w:space="0" w:color="auto"/>
            </w:tcBorders>
          </w:tcPr>
          <w:p w14:paraId="68F86EE2"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1DC2B031" w14:textId="77777777" w:rsidR="0030624B" w:rsidRDefault="0030624B" w:rsidP="00B6569C">
            <w:pPr>
              <w:pStyle w:val="TAC"/>
              <w:rPr>
                <w:rFonts w:eastAsia="SimSun"/>
              </w:rPr>
            </w:pPr>
          </w:p>
        </w:tc>
        <w:tc>
          <w:tcPr>
            <w:tcW w:w="992" w:type="dxa"/>
            <w:vMerge/>
            <w:tcBorders>
              <w:left w:val="single" w:sz="4" w:space="0" w:color="auto"/>
              <w:right w:val="single" w:sz="4" w:space="0" w:color="auto"/>
            </w:tcBorders>
            <w:vAlign w:val="center"/>
          </w:tcPr>
          <w:p w14:paraId="50EE0458" w14:textId="77777777" w:rsidR="0030624B" w:rsidRDefault="0030624B" w:rsidP="00B6569C">
            <w:pPr>
              <w:pStyle w:val="TAC"/>
              <w:rPr>
                <w:rFonts w:eastAsia="SimSun"/>
                <w:lang w:val="sv-SE" w:eastAsia="zh-CN"/>
              </w:rPr>
            </w:pPr>
          </w:p>
        </w:tc>
        <w:tc>
          <w:tcPr>
            <w:tcW w:w="1134" w:type="dxa"/>
            <w:vMerge/>
            <w:tcBorders>
              <w:left w:val="single" w:sz="4" w:space="0" w:color="auto"/>
              <w:bottom w:val="single" w:sz="4" w:space="0" w:color="auto"/>
              <w:right w:val="single" w:sz="4" w:space="0" w:color="auto"/>
            </w:tcBorders>
            <w:vAlign w:val="center"/>
          </w:tcPr>
          <w:p w14:paraId="562974D1" w14:textId="77777777" w:rsidR="0030624B" w:rsidRDefault="0030624B" w:rsidP="00B6569C">
            <w:pPr>
              <w:pStyle w:val="TAC"/>
              <w:rPr>
                <w:rFonts w:eastAsia="SimSun"/>
              </w:rPr>
            </w:pPr>
          </w:p>
        </w:tc>
        <w:tc>
          <w:tcPr>
            <w:tcW w:w="1367" w:type="dxa"/>
            <w:vMerge/>
            <w:tcBorders>
              <w:left w:val="single" w:sz="4" w:space="0" w:color="auto"/>
              <w:bottom w:val="single" w:sz="4" w:space="0" w:color="auto"/>
              <w:right w:val="single" w:sz="4" w:space="0" w:color="auto"/>
            </w:tcBorders>
            <w:vAlign w:val="center"/>
          </w:tcPr>
          <w:p w14:paraId="0F734F65"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55B98485" w14:textId="77777777" w:rsidR="0030624B" w:rsidRDefault="0030624B" w:rsidP="00B6569C">
            <w:pPr>
              <w:pStyle w:val="TAC"/>
              <w:rPr>
                <w:rFonts w:eastAsia="SimSun"/>
              </w:rPr>
            </w:pPr>
            <w:r>
              <w:rPr>
                <w:lang w:val="sv-SE"/>
              </w:rPr>
              <w:t>NR_FDD_FR1_H</w:t>
            </w:r>
          </w:p>
        </w:tc>
        <w:tc>
          <w:tcPr>
            <w:tcW w:w="1134" w:type="dxa"/>
            <w:tcBorders>
              <w:left w:val="single" w:sz="4" w:space="0" w:color="auto"/>
              <w:bottom w:val="single" w:sz="4" w:space="0" w:color="auto"/>
              <w:right w:val="single" w:sz="4" w:space="0" w:color="auto"/>
            </w:tcBorders>
            <w:vAlign w:val="center"/>
          </w:tcPr>
          <w:p w14:paraId="491DD050" w14:textId="77777777" w:rsidR="0030624B" w:rsidRDefault="0030624B" w:rsidP="00B6569C">
            <w:pPr>
              <w:pStyle w:val="TAC"/>
              <w:rPr>
                <w:rFonts w:eastAsia="SimSun"/>
              </w:rPr>
            </w:pPr>
            <w:r>
              <w:t>-123.5</w:t>
            </w:r>
          </w:p>
        </w:tc>
        <w:tc>
          <w:tcPr>
            <w:tcW w:w="1275" w:type="dxa"/>
            <w:tcBorders>
              <w:left w:val="single" w:sz="4" w:space="0" w:color="auto"/>
              <w:bottom w:val="single" w:sz="4" w:space="0" w:color="auto"/>
              <w:right w:val="single" w:sz="4" w:space="0" w:color="auto"/>
            </w:tcBorders>
            <w:vAlign w:val="center"/>
          </w:tcPr>
          <w:p w14:paraId="17CD596B" w14:textId="77777777" w:rsidR="0030624B" w:rsidRDefault="0030624B" w:rsidP="00B6569C">
            <w:pPr>
              <w:pStyle w:val="TAC"/>
              <w:rPr>
                <w:rFonts w:eastAsia="SimSun"/>
              </w:rPr>
            </w:pPr>
            <w:r>
              <w:rPr>
                <w:rFonts w:eastAsia="SimSun" w:hint="eastAsia"/>
                <w:lang w:eastAsia="zh-CN"/>
              </w:rPr>
              <w:t>-50</w:t>
            </w:r>
          </w:p>
        </w:tc>
      </w:tr>
      <w:tr w:rsidR="0030624B" w14:paraId="37215DBA" w14:textId="77777777" w:rsidTr="00B6569C">
        <w:trPr>
          <w:jc w:val="center"/>
        </w:trPr>
        <w:tc>
          <w:tcPr>
            <w:tcW w:w="960" w:type="dxa"/>
            <w:tcBorders>
              <w:top w:val="single" w:sz="4" w:space="0" w:color="auto"/>
              <w:left w:val="single" w:sz="4" w:space="0" w:color="auto"/>
              <w:bottom w:val="single" w:sz="4" w:space="0" w:color="auto"/>
              <w:right w:val="single" w:sz="4" w:space="0" w:color="auto"/>
            </w:tcBorders>
            <w:hideMark/>
          </w:tcPr>
          <w:p w14:paraId="6AE96EEC" w14:textId="77777777" w:rsidR="0030624B" w:rsidRDefault="0030624B" w:rsidP="00B6569C">
            <w:pPr>
              <w:pStyle w:val="TAL"/>
              <w:rPr>
                <w:lang w:eastAsia="zh-CN"/>
              </w:rPr>
            </w:pPr>
            <w:r>
              <w:rPr>
                <w:rFonts w:eastAsia="SimSun"/>
                <w:lang w:eastAsia="zh-CN"/>
              </w:rPr>
              <w:t xml:space="preserve">42 </w:t>
            </w:r>
          </w:p>
        </w:tc>
        <w:tc>
          <w:tcPr>
            <w:tcW w:w="1163" w:type="dxa"/>
            <w:vMerge/>
            <w:tcBorders>
              <w:left w:val="single" w:sz="4" w:space="0" w:color="auto"/>
              <w:right w:val="single" w:sz="4" w:space="0" w:color="auto"/>
            </w:tcBorders>
            <w:vAlign w:val="center"/>
            <w:hideMark/>
          </w:tcPr>
          <w:p w14:paraId="1851519E" w14:textId="77777777" w:rsidR="0030624B" w:rsidRDefault="0030624B" w:rsidP="00B6569C">
            <w:pPr>
              <w:spacing w:after="0"/>
              <w:rPr>
                <w:rFonts w:ascii="Arial" w:eastAsia="SimSun" w:hAnsi="Arial"/>
                <w:sz w:val="18"/>
              </w:rPr>
            </w:pPr>
          </w:p>
        </w:tc>
        <w:tc>
          <w:tcPr>
            <w:tcW w:w="992" w:type="dxa"/>
            <w:vMerge/>
            <w:tcBorders>
              <w:left w:val="single" w:sz="4" w:space="0" w:color="auto"/>
              <w:bottom w:val="single" w:sz="4" w:space="0" w:color="auto"/>
              <w:right w:val="single" w:sz="4" w:space="0" w:color="auto"/>
            </w:tcBorders>
            <w:vAlign w:val="center"/>
            <w:hideMark/>
          </w:tcPr>
          <w:p w14:paraId="02B4D3DF" w14:textId="77777777" w:rsidR="0030624B" w:rsidRDefault="0030624B" w:rsidP="00B6569C">
            <w:pPr>
              <w:spacing w:after="0"/>
              <w:rPr>
                <w:rFonts w:ascii="Arial" w:eastAsia="SimSun" w:hAnsi="Arial"/>
                <w:sz w:val="18"/>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6E30D1B3" w14:textId="77777777" w:rsidR="0030624B" w:rsidRDefault="0030624B" w:rsidP="00B6569C">
            <w:pPr>
              <w:pStyle w:val="TAC"/>
            </w:pPr>
            <w:r>
              <w:rPr>
                <w:rFonts w:eastAsia="SimSun"/>
              </w:rPr>
              <w:t>≥ 104</w:t>
            </w:r>
          </w:p>
        </w:tc>
        <w:tc>
          <w:tcPr>
            <w:tcW w:w="1367" w:type="dxa"/>
            <w:tcBorders>
              <w:top w:val="single" w:sz="4" w:space="0" w:color="auto"/>
              <w:left w:val="single" w:sz="4" w:space="0" w:color="auto"/>
              <w:bottom w:val="single" w:sz="4" w:space="0" w:color="auto"/>
              <w:right w:val="single" w:sz="4" w:space="0" w:color="auto"/>
            </w:tcBorders>
            <w:vAlign w:val="center"/>
            <w:hideMark/>
          </w:tcPr>
          <w:p w14:paraId="61E9A901" w14:textId="77777777" w:rsidR="0030624B" w:rsidRDefault="0030624B" w:rsidP="00B6569C">
            <w:pPr>
              <w:pStyle w:val="TAC"/>
            </w:pPr>
            <w:r>
              <w:rPr>
                <w:rFonts w:eastAsia="SimSun"/>
              </w:rPr>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5C056833" w14:textId="77777777" w:rsidR="0030624B" w:rsidRDefault="0030624B" w:rsidP="00B6569C">
            <w:pPr>
              <w:pStyle w:val="TAC"/>
            </w:pPr>
            <w:r>
              <w:rPr>
                <w:rFonts w:eastAsia="SimSun"/>
              </w:rPr>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B4863" w14:textId="77777777" w:rsidR="0030624B" w:rsidRDefault="0030624B" w:rsidP="00B6569C">
            <w:pPr>
              <w:pStyle w:val="TAC"/>
            </w:pPr>
            <w:r>
              <w:rPr>
                <w:rFonts w:eastAsia="SimSun"/>
              </w:rPr>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294F254" w14:textId="77777777" w:rsidR="0030624B" w:rsidRDefault="0030624B" w:rsidP="00B6569C">
            <w:pPr>
              <w:pStyle w:val="TAC"/>
            </w:pPr>
            <w:r>
              <w:rPr>
                <w:rFonts w:eastAsia="SimSun"/>
              </w:rPr>
              <w:t>Note 6</w:t>
            </w:r>
          </w:p>
        </w:tc>
      </w:tr>
      <w:tr w:rsidR="0030624B" w14:paraId="1DD96C81" w14:textId="77777777" w:rsidTr="00B6569C">
        <w:trPr>
          <w:trHeight w:val="21"/>
          <w:jc w:val="center"/>
        </w:trPr>
        <w:tc>
          <w:tcPr>
            <w:tcW w:w="960" w:type="dxa"/>
            <w:vMerge w:val="restart"/>
            <w:tcBorders>
              <w:top w:val="single" w:sz="4" w:space="0" w:color="auto"/>
              <w:left w:val="single" w:sz="4" w:space="0" w:color="auto"/>
              <w:right w:val="single" w:sz="4" w:space="0" w:color="auto"/>
            </w:tcBorders>
            <w:hideMark/>
          </w:tcPr>
          <w:p w14:paraId="161580EA" w14:textId="77777777" w:rsidR="0030624B" w:rsidRDefault="0030624B" w:rsidP="00B6569C">
            <w:pPr>
              <w:pStyle w:val="TAL"/>
              <w:rPr>
                <w:lang w:eastAsia="zh-CN"/>
              </w:rPr>
            </w:pPr>
            <w:r>
              <w:rPr>
                <w:rFonts w:eastAsia="SimSun"/>
                <w:lang w:eastAsia="zh-CN"/>
              </w:rPr>
              <w:t xml:space="preserve">48 </w:t>
            </w:r>
          </w:p>
        </w:tc>
        <w:tc>
          <w:tcPr>
            <w:tcW w:w="1163" w:type="dxa"/>
            <w:vMerge/>
            <w:tcBorders>
              <w:left w:val="single" w:sz="4" w:space="0" w:color="auto"/>
              <w:right w:val="single" w:sz="4" w:space="0" w:color="auto"/>
            </w:tcBorders>
            <w:vAlign w:val="center"/>
            <w:hideMark/>
          </w:tcPr>
          <w:p w14:paraId="51FF4A67" w14:textId="77777777" w:rsidR="0030624B" w:rsidRDefault="0030624B" w:rsidP="00B6569C">
            <w:pPr>
              <w:spacing w:after="0"/>
              <w:rPr>
                <w:rFonts w:ascii="Arial" w:eastAsia="SimSun" w:hAnsi="Arial"/>
                <w:sz w:val="18"/>
              </w:rPr>
            </w:pPr>
          </w:p>
        </w:tc>
        <w:tc>
          <w:tcPr>
            <w:tcW w:w="992" w:type="dxa"/>
            <w:vMerge w:val="restart"/>
            <w:tcBorders>
              <w:top w:val="single" w:sz="4" w:space="0" w:color="auto"/>
              <w:left w:val="single" w:sz="4" w:space="0" w:color="auto"/>
              <w:right w:val="single" w:sz="4" w:space="0" w:color="auto"/>
            </w:tcBorders>
            <w:vAlign w:val="center"/>
            <w:hideMark/>
          </w:tcPr>
          <w:p w14:paraId="49D63080" w14:textId="77777777" w:rsidR="0030624B" w:rsidRDefault="0030624B" w:rsidP="00B6569C">
            <w:pPr>
              <w:pStyle w:val="TAC"/>
              <w:rPr>
                <w:lang w:val="sv-SE" w:eastAsia="zh-CN"/>
              </w:rPr>
            </w:pPr>
            <w:r>
              <w:rPr>
                <w:rFonts w:eastAsia="SimSun"/>
                <w:lang w:val="sv-SE" w:eastAsia="zh-CN"/>
              </w:rPr>
              <w:t>30</w:t>
            </w:r>
          </w:p>
        </w:tc>
        <w:tc>
          <w:tcPr>
            <w:tcW w:w="1134" w:type="dxa"/>
            <w:vMerge w:val="restart"/>
            <w:tcBorders>
              <w:top w:val="single" w:sz="4" w:space="0" w:color="auto"/>
              <w:left w:val="single" w:sz="4" w:space="0" w:color="auto"/>
              <w:right w:val="single" w:sz="4" w:space="0" w:color="auto"/>
            </w:tcBorders>
            <w:vAlign w:val="center"/>
            <w:hideMark/>
          </w:tcPr>
          <w:p w14:paraId="390F8B99" w14:textId="77777777" w:rsidR="0030624B" w:rsidRDefault="0030624B" w:rsidP="00B6569C">
            <w:pPr>
              <w:pStyle w:val="TAC"/>
            </w:pPr>
            <w:r>
              <w:rPr>
                <w:rFonts w:eastAsia="SimSun"/>
              </w:rPr>
              <w:t>≥ 48</w:t>
            </w:r>
          </w:p>
        </w:tc>
        <w:tc>
          <w:tcPr>
            <w:tcW w:w="1367" w:type="dxa"/>
            <w:vMerge w:val="restart"/>
            <w:tcBorders>
              <w:top w:val="single" w:sz="4" w:space="0" w:color="auto"/>
              <w:left w:val="single" w:sz="4" w:space="0" w:color="auto"/>
              <w:right w:val="single" w:sz="4" w:space="0" w:color="auto"/>
            </w:tcBorders>
            <w:vAlign w:val="center"/>
            <w:hideMark/>
          </w:tcPr>
          <w:p w14:paraId="246B320B" w14:textId="77777777" w:rsidR="0030624B" w:rsidRDefault="0030624B" w:rsidP="00B6569C">
            <w:pPr>
              <w:pStyle w:val="TAC"/>
            </w:pPr>
            <w:r>
              <w:rPr>
                <w:rFonts w:eastAsia="SimSun"/>
              </w:rPr>
              <w:t>≥ 1</w:t>
            </w:r>
          </w:p>
        </w:tc>
        <w:tc>
          <w:tcPr>
            <w:tcW w:w="2040" w:type="dxa"/>
            <w:tcBorders>
              <w:top w:val="single" w:sz="4" w:space="0" w:color="auto"/>
              <w:left w:val="single" w:sz="4" w:space="0" w:color="auto"/>
              <w:bottom w:val="single" w:sz="4" w:space="0" w:color="auto"/>
              <w:right w:val="single" w:sz="4" w:space="0" w:color="auto"/>
            </w:tcBorders>
            <w:hideMark/>
          </w:tcPr>
          <w:p w14:paraId="3F6B9215" w14:textId="04D518CF" w:rsidR="0030624B" w:rsidRDefault="0030624B" w:rsidP="00B6569C">
            <w:pPr>
              <w:pStyle w:val="TAC"/>
              <w:rPr>
                <w:lang w:eastAsia="zh-CN"/>
              </w:rPr>
            </w:pPr>
            <w:r>
              <w:t xml:space="preserve">NR_FDD_FR1_A, NR_TDD_FR1_A, </w:t>
            </w:r>
            <w:r>
              <w:rPr>
                <w:lang w:val="en-US"/>
              </w:rPr>
              <w:t>NR_SDL_FR1_A</w:t>
            </w:r>
          </w:p>
        </w:tc>
        <w:tc>
          <w:tcPr>
            <w:tcW w:w="1134" w:type="dxa"/>
            <w:tcBorders>
              <w:top w:val="single" w:sz="4" w:space="0" w:color="auto"/>
              <w:left w:val="single" w:sz="4" w:space="0" w:color="auto"/>
              <w:right w:val="single" w:sz="4" w:space="0" w:color="auto"/>
            </w:tcBorders>
            <w:vAlign w:val="center"/>
            <w:hideMark/>
          </w:tcPr>
          <w:p w14:paraId="1CD0116A" w14:textId="7E256146" w:rsidR="0030624B" w:rsidRDefault="0030624B" w:rsidP="00B6569C">
            <w:pPr>
              <w:pStyle w:val="TAC"/>
            </w:pPr>
            <w:r>
              <w:t>-124</w:t>
            </w:r>
          </w:p>
        </w:tc>
        <w:tc>
          <w:tcPr>
            <w:tcW w:w="1275" w:type="dxa"/>
            <w:tcBorders>
              <w:top w:val="single" w:sz="4" w:space="0" w:color="auto"/>
              <w:left w:val="single" w:sz="4" w:space="0" w:color="auto"/>
              <w:right w:val="single" w:sz="4" w:space="0" w:color="auto"/>
            </w:tcBorders>
            <w:vAlign w:val="center"/>
            <w:hideMark/>
          </w:tcPr>
          <w:p w14:paraId="7538C48E" w14:textId="7B11B918" w:rsidR="0030624B" w:rsidRDefault="0030624B" w:rsidP="00B6569C">
            <w:pPr>
              <w:pStyle w:val="TAC"/>
              <w:rPr>
                <w:lang w:eastAsia="zh-CN"/>
              </w:rPr>
            </w:pPr>
            <w:r>
              <w:rPr>
                <w:rFonts w:eastAsia="SimSun" w:hint="eastAsia"/>
                <w:lang w:eastAsia="zh-CN"/>
              </w:rPr>
              <w:t>-50</w:t>
            </w:r>
          </w:p>
        </w:tc>
      </w:tr>
      <w:tr w:rsidR="0030624B" w14:paraId="67C07EE7" w14:textId="77777777" w:rsidTr="00B6569C">
        <w:trPr>
          <w:trHeight w:val="21"/>
          <w:jc w:val="center"/>
        </w:trPr>
        <w:tc>
          <w:tcPr>
            <w:tcW w:w="960" w:type="dxa"/>
            <w:vMerge/>
            <w:tcBorders>
              <w:top w:val="single" w:sz="4" w:space="0" w:color="auto"/>
              <w:left w:val="single" w:sz="4" w:space="0" w:color="auto"/>
              <w:right w:val="single" w:sz="4" w:space="0" w:color="auto"/>
            </w:tcBorders>
          </w:tcPr>
          <w:p w14:paraId="39246083"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43975EA7" w14:textId="77777777" w:rsidR="0030624B" w:rsidRDefault="0030624B" w:rsidP="00B6569C">
            <w:pPr>
              <w:spacing w:after="0"/>
              <w:rPr>
                <w:rFonts w:ascii="Arial" w:eastAsia="SimSun" w:hAnsi="Arial"/>
                <w:sz w:val="18"/>
              </w:rPr>
            </w:pPr>
          </w:p>
        </w:tc>
        <w:tc>
          <w:tcPr>
            <w:tcW w:w="992" w:type="dxa"/>
            <w:vMerge/>
            <w:tcBorders>
              <w:top w:val="single" w:sz="4" w:space="0" w:color="auto"/>
              <w:left w:val="single" w:sz="4" w:space="0" w:color="auto"/>
              <w:right w:val="single" w:sz="4" w:space="0" w:color="auto"/>
            </w:tcBorders>
            <w:vAlign w:val="center"/>
          </w:tcPr>
          <w:p w14:paraId="2116F713" w14:textId="77777777" w:rsidR="0030624B" w:rsidRDefault="0030624B" w:rsidP="00B6569C">
            <w:pPr>
              <w:pStyle w:val="TAC"/>
              <w:rPr>
                <w:rFonts w:eastAsia="SimSun"/>
                <w:lang w:val="sv-SE" w:eastAsia="zh-CN"/>
              </w:rPr>
            </w:pPr>
          </w:p>
        </w:tc>
        <w:tc>
          <w:tcPr>
            <w:tcW w:w="1134" w:type="dxa"/>
            <w:vMerge/>
            <w:tcBorders>
              <w:top w:val="single" w:sz="4" w:space="0" w:color="auto"/>
              <w:left w:val="single" w:sz="4" w:space="0" w:color="auto"/>
              <w:right w:val="single" w:sz="4" w:space="0" w:color="auto"/>
            </w:tcBorders>
            <w:vAlign w:val="center"/>
          </w:tcPr>
          <w:p w14:paraId="0911558B" w14:textId="77777777" w:rsidR="0030624B" w:rsidRDefault="0030624B" w:rsidP="00B6569C">
            <w:pPr>
              <w:pStyle w:val="TAC"/>
              <w:rPr>
                <w:rFonts w:eastAsia="SimSun"/>
              </w:rPr>
            </w:pPr>
          </w:p>
        </w:tc>
        <w:tc>
          <w:tcPr>
            <w:tcW w:w="1367" w:type="dxa"/>
            <w:vMerge/>
            <w:tcBorders>
              <w:top w:val="single" w:sz="4" w:space="0" w:color="auto"/>
              <w:left w:val="single" w:sz="4" w:space="0" w:color="auto"/>
              <w:right w:val="single" w:sz="4" w:space="0" w:color="auto"/>
            </w:tcBorders>
            <w:vAlign w:val="center"/>
          </w:tcPr>
          <w:p w14:paraId="790B6D77"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4673625F" w14:textId="77777777" w:rsidR="0030624B" w:rsidRDefault="0030624B" w:rsidP="00B6569C">
            <w:pPr>
              <w:pStyle w:val="TAC"/>
              <w:rPr>
                <w:rFonts w:eastAsia="SimSun"/>
              </w:rPr>
            </w:pPr>
            <w:r>
              <w:rPr>
                <w:lang w:val="sv-SE"/>
              </w:rPr>
              <w:t>NR_FDD_FR1_B</w:t>
            </w:r>
          </w:p>
        </w:tc>
        <w:tc>
          <w:tcPr>
            <w:tcW w:w="1134" w:type="dxa"/>
            <w:tcBorders>
              <w:left w:val="single" w:sz="4" w:space="0" w:color="auto"/>
              <w:right w:val="single" w:sz="4" w:space="0" w:color="auto"/>
            </w:tcBorders>
          </w:tcPr>
          <w:p w14:paraId="53919EF7" w14:textId="77777777" w:rsidR="0030624B" w:rsidRDefault="0030624B" w:rsidP="00B6569C">
            <w:pPr>
              <w:pStyle w:val="TAC"/>
              <w:rPr>
                <w:rFonts w:eastAsia="SimSun"/>
              </w:rPr>
            </w:pPr>
            <w:r>
              <w:t>-123.5</w:t>
            </w:r>
          </w:p>
        </w:tc>
        <w:tc>
          <w:tcPr>
            <w:tcW w:w="1275" w:type="dxa"/>
            <w:tcBorders>
              <w:left w:val="single" w:sz="4" w:space="0" w:color="auto"/>
              <w:right w:val="single" w:sz="4" w:space="0" w:color="auto"/>
            </w:tcBorders>
            <w:vAlign w:val="center"/>
          </w:tcPr>
          <w:p w14:paraId="148C5C60" w14:textId="77777777" w:rsidR="0030624B" w:rsidRDefault="0030624B" w:rsidP="00B6569C">
            <w:pPr>
              <w:pStyle w:val="TAC"/>
              <w:rPr>
                <w:rFonts w:eastAsia="SimSun"/>
              </w:rPr>
            </w:pPr>
            <w:r>
              <w:rPr>
                <w:rFonts w:eastAsia="SimSun" w:hint="eastAsia"/>
                <w:lang w:eastAsia="zh-CN"/>
              </w:rPr>
              <w:t>-50</w:t>
            </w:r>
          </w:p>
        </w:tc>
      </w:tr>
      <w:tr w:rsidR="0030624B" w14:paraId="4F3217C2" w14:textId="77777777" w:rsidTr="00B6569C">
        <w:trPr>
          <w:trHeight w:val="21"/>
          <w:jc w:val="center"/>
        </w:trPr>
        <w:tc>
          <w:tcPr>
            <w:tcW w:w="960" w:type="dxa"/>
            <w:vMerge/>
            <w:tcBorders>
              <w:left w:val="single" w:sz="4" w:space="0" w:color="auto"/>
              <w:right w:val="single" w:sz="4" w:space="0" w:color="auto"/>
            </w:tcBorders>
          </w:tcPr>
          <w:p w14:paraId="5ED14E51"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1EB65092"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533DAE08"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004A3D34"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3B1AB4A1"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0A905BEF" w14:textId="77777777" w:rsidR="0030624B" w:rsidRDefault="0030624B" w:rsidP="00B6569C">
            <w:pPr>
              <w:pStyle w:val="TAC"/>
              <w:rPr>
                <w:rFonts w:eastAsia="SimSun"/>
              </w:rPr>
            </w:pPr>
            <w:r>
              <w:rPr>
                <w:lang w:val="sv-SE"/>
              </w:rPr>
              <w:t>NR_TDD_FR1_C</w:t>
            </w:r>
          </w:p>
        </w:tc>
        <w:tc>
          <w:tcPr>
            <w:tcW w:w="1134" w:type="dxa"/>
            <w:tcBorders>
              <w:left w:val="single" w:sz="4" w:space="0" w:color="auto"/>
              <w:right w:val="single" w:sz="4" w:space="0" w:color="auto"/>
            </w:tcBorders>
            <w:vAlign w:val="center"/>
          </w:tcPr>
          <w:p w14:paraId="5F23A0B6" w14:textId="77777777" w:rsidR="0030624B" w:rsidRDefault="0030624B" w:rsidP="00B6569C">
            <w:pPr>
              <w:pStyle w:val="TAC"/>
              <w:rPr>
                <w:rFonts w:eastAsia="SimSun"/>
              </w:rPr>
            </w:pPr>
            <w:r>
              <w:t>-123</w:t>
            </w:r>
          </w:p>
        </w:tc>
        <w:tc>
          <w:tcPr>
            <w:tcW w:w="1275" w:type="dxa"/>
            <w:tcBorders>
              <w:left w:val="single" w:sz="4" w:space="0" w:color="auto"/>
              <w:right w:val="single" w:sz="4" w:space="0" w:color="auto"/>
            </w:tcBorders>
            <w:vAlign w:val="center"/>
          </w:tcPr>
          <w:p w14:paraId="74D94B7E" w14:textId="77777777" w:rsidR="0030624B" w:rsidRDefault="0030624B" w:rsidP="00B6569C">
            <w:pPr>
              <w:pStyle w:val="TAC"/>
              <w:rPr>
                <w:rFonts w:eastAsia="SimSun"/>
              </w:rPr>
            </w:pPr>
            <w:r>
              <w:rPr>
                <w:rFonts w:eastAsia="SimSun" w:hint="eastAsia"/>
                <w:lang w:eastAsia="zh-CN"/>
              </w:rPr>
              <w:t>-50</w:t>
            </w:r>
          </w:p>
        </w:tc>
      </w:tr>
      <w:tr w:rsidR="0030624B" w14:paraId="32CFA046" w14:textId="77777777" w:rsidTr="00B6569C">
        <w:trPr>
          <w:trHeight w:val="21"/>
          <w:jc w:val="center"/>
        </w:trPr>
        <w:tc>
          <w:tcPr>
            <w:tcW w:w="960" w:type="dxa"/>
            <w:vMerge/>
            <w:tcBorders>
              <w:left w:val="single" w:sz="4" w:space="0" w:color="auto"/>
              <w:right w:val="single" w:sz="4" w:space="0" w:color="auto"/>
            </w:tcBorders>
          </w:tcPr>
          <w:p w14:paraId="4FC65866"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073A229D"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5C4EA78B"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507E566A"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19C5EEF6"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596D0DA9" w14:textId="77777777" w:rsidR="0030624B" w:rsidRDefault="0030624B" w:rsidP="00B6569C">
            <w:pPr>
              <w:pStyle w:val="TAC"/>
              <w:rPr>
                <w:rFonts w:eastAsia="SimSun"/>
              </w:rPr>
            </w:pPr>
            <w:r>
              <w:rPr>
                <w:lang w:val="sv-SE"/>
              </w:rPr>
              <w:t>NR_FDD_FR1_D, NR_TDD_FR1_D</w:t>
            </w:r>
          </w:p>
        </w:tc>
        <w:tc>
          <w:tcPr>
            <w:tcW w:w="1134" w:type="dxa"/>
            <w:tcBorders>
              <w:left w:val="single" w:sz="4" w:space="0" w:color="auto"/>
              <w:right w:val="single" w:sz="4" w:space="0" w:color="auto"/>
            </w:tcBorders>
            <w:vAlign w:val="center"/>
          </w:tcPr>
          <w:p w14:paraId="47B1F25F" w14:textId="77777777" w:rsidR="0030624B" w:rsidRDefault="0030624B" w:rsidP="00B6569C">
            <w:pPr>
              <w:pStyle w:val="TAC"/>
              <w:rPr>
                <w:rFonts w:eastAsia="SimSun"/>
              </w:rPr>
            </w:pPr>
            <w:r>
              <w:t>-122.5</w:t>
            </w:r>
          </w:p>
        </w:tc>
        <w:tc>
          <w:tcPr>
            <w:tcW w:w="1275" w:type="dxa"/>
            <w:tcBorders>
              <w:left w:val="single" w:sz="4" w:space="0" w:color="auto"/>
              <w:right w:val="single" w:sz="4" w:space="0" w:color="auto"/>
            </w:tcBorders>
            <w:vAlign w:val="center"/>
          </w:tcPr>
          <w:p w14:paraId="10AC0885" w14:textId="77777777" w:rsidR="0030624B" w:rsidRDefault="0030624B" w:rsidP="00B6569C">
            <w:pPr>
              <w:pStyle w:val="TAC"/>
              <w:rPr>
                <w:rFonts w:eastAsia="SimSun"/>
              </w:rPr>
            </w:pPr>
            <w:r>
              <w:rPr>
                <w:rFonts w:eastAsia="SimSun" w:hint="eastAsia"/>
                <w:lang w:eastAsia="zh-CN"/>
              </w:rPr>
              <w:t>-50</w:t>
            </w:r>
          </w:p>
        </w:tc>
      </w:tr>
      <w:tr w:rsidR="0030624B" w14:paraId="3A729ACA" w14:textId="77777777" w:rsidTr="00B6569C">
        <w:trPr>
          <w:trHeight w:val="21"/>
          <w:jc w:val="center"/>
        </w:trPr>
        <w:tc>
          <w:tcPr>
            <w:tcW w:w="960" w:type="dxa"/>
            <w:vMerge/>
            <w:tcBorders>
              <w:left w:val="single" w:sz="4" w:space="0" w:color="auto"/>
              <w:right w:val="single" w:sz="4" w:space="0" w:color="auto"/>
            </w:tcBorders>
          </w:tcPr>
          <w:p w14:paraId="62445B9E"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737BB375"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6BA08164"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0790DD21"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5B8001F2"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58D77B47" w14:textId="77777777" w:rsidR="0030624B" w:rsidRDefault="0030624B" w:rsidP="00B6569C">
            <w:pPr>
              <w:pStyle w:val="TAC"/>
              <w:rPr>
                <w:rFonts w:eastAsia="SimSun"/>
              </w:rPr>
            </w:pPr>
            <w:r>
              <w:rPr>
                <w:lang w:val="sv-SE"/>
              </w:rPr>
              <w:t>NR_FDD_FR1_E, NR_TDD_FR1_E</w:t>
            </w:r>
          </w:p>
        </w:tc>
        <w:tc>
          <w:tcPr>
            <w:tcW w:w="1134" w:type="dxa"/>
            <w:tcBorders>
              <w:left w:val="single" w:sz="4" w:space="0" w:color="auto"/>
              <w:right w:val="single" w:sz="4" w:space="0" w:color="auto"/>
            </w:tcBorders>
            <w:vAlign w:val="center"/>
          </w:tcPr>
          <w:p w14:paraId="5DA12EE1" w14:textId="77777777" w:rsidR="0030624B" w:rsidRDefault="0030624B" w:rsidP="00B6569C">
            <w:pPr>
              <w:pStyle w:val="TAC"/>
              <w:rPr>
                <w:rFonts w:eastAsia="SimSun"/>
              </w:rPr>
            </w:pPr>
            <w:r>
              <w:t>-122</w:t>
            </w:r>
          </w:p>
        </w:tc>
        <w:tc>
          <w:tcPr>
            <w:tcW w:w="1275" w:type="dxa"/>
            <w:tcBorders>
              <w:left w:val="single" w:sz="4" w:space="0" w:color="auto"/>
              <w:right w:val="single" w:sz="4" w:space="0" w:color="auto"/>
            </w:tcBorders>
            <w:vAlign w:val="center"/>
          </w:tcPr>
          <w:p w14:paraId="0B9050A6" w14:textId="77777777" w:rsidR="0030624B" w:rsidRDefault="0030624B" w:rsidP="00B6569C">
            <w:pPr>
              <w:pStyle w:val="TAC"/>
              <w:rPr>
                <w:rFonts w:eastAsia="SimSun"/>
              </w:rPr>
            </w:pPr>
            <w:r>
              <w:rPr>
                <w:rFonts w:eastAsia="SimSun" w:hint="eastAsia"/>
                <w:lang w:eastAsia="zh-CN"/>
              </w:rPr>
              <w:t>-50</w:t>
            </w:r>
          </w:p>
        </w:tc>
      </w:tr>
      <w:tr w:rsidR="0030624B" w14:paraId="687FD4B0" w14:textId="77777777" w:rsidTr="00B6569C">
        <w:trPr>
          <w:trHeight w:val="21"/>
          <w:jc w:val="center"/>
        </w:trPr>
        <w:tc>
          <w:tcPr>
            <w:tcW w:w="960" w:type="dxa"/>
            <w:vMerge/>
            <w:tcBorders>
              <w:left w:val="single" w:sz="4" w:space="0" w:color="auto"/>
              <w:right w:val="single" w:sz="4" w:space="0" w:color="auto"/>
            </w:tcBorders>
          </w:tcPr>
          <w:p w14:paraId="59A910D9"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45F82A07"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5C71162C"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796C88B2"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53C51863"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4B457464" w14:textId="77777777" w:rsidR="0030624B" w:rsidRDefault="0030624B" w:rsidP="00B6569C">
            <w:pPr>
              <w:pStyle w:val="TAC"/>
              <w:rPr>
                <w:rFonts w:eastAsia="SimSun"/>
              </w:rPr>
            </w:pPr>
            <w:r>
              <w:rPr>
                <w:lang w:val="sv-SE"/>
              </w:rPr>
              <w:t>NR_FDD_FR1_F</w:t>
            </w:r>
          </w:p>
        </w:tc>
        <w:tc>
          <w:tcPr>
            <w:tcW w:w="1134" w:type="dxa"/>
            <w:tcBorders>
              <w:left w:val="single" w:sz="4" w:space="0" w:color="auto"/>
              <w:right w:val="single" w:sz="4" w:space="0" w:color="auto"/>
            </w:tcBorders>
            <w:vAlign w:val="center"/>
          </w:tcPr>
          <w:p w14:paraId="428F05C8" w14:textId="77777777" w:rsidR="0030624B" w:rsidRDefault="0030624B" w:rsidP="00B6569C">
            <w:pPr>
              <w:pStyle w:val="TAC"/>
              <w:rPr>
                <w:rFonts w:eastAsia="SimSun"/>
              </w:rPr>
            </w:pPr>
            <w:r>
              <w:t>-121.5</w:t>
            </w:r>
          </w:p>
        </w:tc>
        <w:tc>
          <w:tcPr>
            <w:tcW w:w="1275" w:type="dxa"/>
            <w:tcBorders>
              <w:left w:val="single" w:sz="4" w:space="0" w:color="auto"/>
              <w:right w:val="single" w:sz="4" w:space="0" w:color="auto"/>
            </w:tcBorders>
            <w:vAlign w:val="center"/>
          </w:tcPr>
          <w:p w14:paraId="03DDA140" w14:textId="77777777" w:rsidR="0030624B" w:rsidRDefault="0030624B" w:rsidP="00B6569C">
            <w:pPr>
              <w:pStyle w:val="TAC"/>
              <w:rPr>
                <w:rFonts w:eastAsia="SimSun"/>
              </w:rPr>
            </w:pPr>
            <w:r>
              <w:rPr>
                <w:rFonts w:eastAsia="SimSun" w:hint="eastAsia"/>
                <w:lang w:eastAsia="zh-CN"/>
              </w:rPr>
              <w:t>-50</w:t>
            </w:r>
          </w:p>
        </w:tc>
      </w:tr>
      <w:tr w:rsidR="0030624B" w14:paraId="192078BF" w14:textId="77777777" w:rsidTr="00B6569C">
        <w:trPr>
          <w:trHeight w:val="21"/>
          <w:jc w:val="center"/>
        </w:trPr>
        <w:tc>
          <w:tcPr>
            <w:tcW w:w="960" w:type="dxa"/>
            <w:vMerge/>
            <w:tcBorders>
              <w:left w:val="single" w:sz="4" w:space="0" w:color="auto"/>
              <w:right w:val="single" w:sz="4" w:space="0" w:color="auto"/>
            </w:tcBorders>
          </w:tcPr>
          <w:p w14:paraId="0B0F45DF"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63F83EFF"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4595A550"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18F3BE63"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59DBAB03"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5B3C8421" w14:textId="77777777" w:rsidR="0030624B" w:rsidRDefault="0030624B" w:rsidP="00B6569C">
            <w:pPr>
              <w:pStyle w:val="TAC"/>
              <w:rPr>
                <w:rFonts w:eastAsia="SimSun"/>
              </w:rPr>
            </w:pPr>
            <w:r>
              <w:rPr>
                <w:lang w:val="sv-SE"/>
              </w:rPr>
              <w:t>NR_FDD_FR1_G, NR_TDD_FR1_G</w:t>
            </w:r>
          </w:p>
        </w:tc>
        <w:tc>
          <w:tcPr>
            <w:tcW w:w="1134" w:type="dxa"/>
            <w:tcBorders>
              <w:left w:val="single" w:sz="4" w:space="0" w:color="auto"/>
              <w:right w:val="single" w:sz="4" w:space="0" w:color="auto"/>
            </w:tcBorders>
            <w:vAlign w:val="center"/>
          </w:tcPr>
          <w:p w14:paraId="3BA5D15C" w14:textId="77777777" w:rsidR="0030624B" w:rsidRDefault="0030624B" w:rsidP="00B6569C">
            <w:pPr>
              <w:pStyle w:val="TAC"/>
              <w:rPr>
                <w:rFonts w:eastAsia="SimSun"/>
              </w:rPr>
            </w:pPr>
            <w:r>
              <w:t>-121</w:t>
            </w:r>
          </w:p>
        </w:tc>
        <w:tc>
          <w:tcPr>
            <w:tcW w:w="1275" w:type="dxa"/>
            <w:tcBorders>
              <w:left w:val="single" w:sz="4" w:space="0" w:color="auto"/>
              <w:right w:val="single" w:sz="4" w:space="0" w:color="auto"/>
            </w:tcBorders>
            <w:vAlign w:val="center"/>
          </w:tcPr>
          <w:p w14:paraId="635D9B6C" w14:textId="77777777" w:rsidR="0030624B" w:rsidRDefault="0030624B" w:rsidP="00B6569C">
            <w:pPr>
              <w:pStyle w:val="TAC"/>
              <w:rPr>
                <w:rFonts w:eastAsia="SimSun"/>
              </w:rPr>
            </w:pPr>
            <w:r>
              <w:rPr>
                <w:rFonts w:eastAsia="SimSun" w:hint="eastAsia"/>
                <w:lang w:eastAsia="zh-CN"/>
              </w:rPr>
              <w:t>-50</w:t>
            </w:r>
          </w:p>
        </w:tc>
      </w:tr>
      <w:tr w:rsidR="0030624B" w14:paraId="4B9DDD3B" w14:textId="77777777" w:rsidTr="00B6569C">
        <w:trPr>
          <w:trHeight w:val="21"/>
          <w:jc w:val="center"/>
        </w:trPr>
        <w:tc>
          <w:tcPr>
            <w:tcW w:w="960" w:type="dxa"/>
            <w:vMerge/>
            <w:tcBorders>
              <w:left w:val="single" w:sz="4" w:space="0" w:color="auto"/>
              <w:bottom w:val="single" w:sz="4" w:space="0" w:color="auto"/>
              <w:right w:val="single" w:sz="4" w:space="0" w:color="auto"/>
            </w:tcBorders>
          </w:tcPr>
          <w:p w14:paraId="0DC4EA31"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5659131F"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323F6461" w14:textId="77777777" w:rsidR="0030624B" w:rsidRDefault="0030624B" w:rsidP="00B6569C">
            <w:pPr>
              <w:pStyle w:val="TAC"/>
              <w:rPr>
                <w:rFonts w:eastAsia="SimSun"/>
                <w:lang w:val="sv-SE" w:eastAsia="zh-CN"/>
              </w:rPr>
            </w:pPr>
          </w:p>
        </w:tc>
        <w:tc>
          <w:tcPr>
            <w:tcW w:w="1134" w:type="dxa"/>
            <w:vMerge/>
            <w:tcBorders>
              <w:left w:val="single" w:sz="4" w:space="0" w:color="auto"/>
              <w:bottom w:val="single" w:sz="4" w:space="0" w:color="auto"/>
              <w:right w:val="single" w:sz="4" w:space="0" w:color="auto"/>
            </w:tcBorders>
            <w:vAlign w:val="center"/>
          </w:tcPr>
          <w:p w14:paraId="44FAA817" w14:textId="77777777" w:rsidR="0030624B" w:rsidRDefault="0030624B" w:rsidP="00B6569C">
            <w:pPr>
              <w:pStyle w:val="TAC"/>
              <w:rPr>
                <w:rFonts w:eastAsia="SimSun"/>
              </w:rPr>
            </w:pPr>
          </w:p>
        </w:tc>
        <w:tc>
          <w:tcPr>
            <w:tcW w:w="1367" w:type="dxa"/>
            <w:vMerge/>
            <w:tcBorders>
              <w:left w:val="single" w:sz="4" w:space="0" w:color="auto"/>
              <w:bottom w:val="single" w:sz="4" w:space="0" w:color="auto"/>
              <w:right w:val="single" w:sz="4" w:space="0" w:color="auto"/>
            </w:tcBorders>
            <w:vAlign w:val="center"/>
          </w:tcPr>
          <w:p w14:paraId="5F0F65CD"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6CC15571" w14:textId="77777777" w:rsidR="0030624B" w:rsidRDefault="0030624B" w:rsidP="00B6569C">
            <w:pPr>
              <w:pStyle w:val="TAC"/>
              <w:rPr>
                <w:rFonts w:eastAsia="SimSun"/>
              </w:rPr>
            </w:pPr>
            <w:r>
              <w:rPr>
                <w:lang w:val="sv-SE"/>
              </w:rPr>
              <w:t>NR_FDD_FR1_H</w:t>
            </w:r>
          </w:p>
        </w:tc>
        <w:tc>
          <w:tcPr>
            <w:tcW w:w="1134" w:type="dxa"/>
            <w:tcBorders>
              <w:left w:val="single" w:sz="4" w:space="0" w:color="auto"/>
              <w:bottom w:val="single" w:sz="4" w:space="0" w:color="auto"/>
              <w:right w:val="single" w:sz="4" w:space="0" w:color="auto"/>
            </w:tcBorders>
            <w:vAlign w:val="center"/>
          </w:tcPr>
          <w:p w14:paraId="4FF7C670" w14:textId="77777777" w:rsidR="0030624B" w:rsidRDefault="0030624B" w:rsidP="00B6569C">
            <w:pPr>
              <w:pStyle w:val="TAC"/>
              <w:rPr>
                <w:rFonts w:eastAsia="SimSun"/>
              </w:rPr>
            </w:pPr>
            <w:r>
              <w:t>-120.5</w:t>
            </w:r>
          </w:p>
        </w:tc>
        <w:tc>
          <w:tcPr>
            <w:tcW w:w="1275" w:type="dxa"/>
            <w:tcBorders>
              <w:left w:val="single" w:sz="4" w:space="0" w:color="auto"/>
              <w:bottom w:val="single" w:sz="4" w:space="0" w:color="auto"/>
              <w:right w:val="single" w:sz="4" w:space="0" w:color="auto"/>
            </w:tcBorders>
            <w:vAlign w:val="center"/>
          </w:tcPr>
          <w:p w14:paraId="6F849039" w14:textId="77777777" w:rsidR="0030624B" w:rsidRDefault="0030624B" w:rsidP="00B6569C">
            <w:pPr>
              <w:pStyle w:val="TAC"/>
              <w:rPr>
                <w:rFonts w:eastAsia="SimSun"/>
              </w:rPr>
            </w:pPr>
            <w:r>
              <w:rPr>
                <w:rFonts w:eastAsia="SimSun" w:hint="eastAsia"/>
                <w:lang w:eastAsia="zh-CN"/>
              </w:rPr>
              <w:t>-50</w:t>
            </w:r>
          </w:p>
        </w:tc>
      </w:tr>
      <w:tr w:rsidR="0030624B" w14:paraId="26E95B0F" w14:textId="77777777" w:rsidTr="00B6569C">
        <w:trPr>
          <w:jc w:val="center"/>
        </w:trPr>
        <w:tc>
          <w:tcPr>
            <w:tcW w:w="960" w:type="dxa"/>
            <w:tcBorders>
              <w:top w:val="single" w:sz="4" w:space="0" w:color="auto"/>
              <w:left w:val="single" w:sz="4" w:space="0" w:color="auto"/>
              <w:bottom w:val="single" w:sz="4" w:space="0" w:color="auto"/>
              <w:right w:val="single" w:sz="4" w:space="0" w:color="auto"/>
            </w:tcBorders>
            <w:hideMark/>
          </w:tcPr>
          <w:p w14:paraId="023D0A76" w14:textId="77777777" w:rsidR="0030624B" w:rsidRDefault="0030624B" w:rsidP="00B6569C">
            <w:pPr>
              <w:pStyle w:val="TAL"/>
              <w:rPr>
                <w:lang w:eastAsia="zh-CN"/>
              </w:rPr>
            </w:pPr>
            <w:r>
              <w:rPr>
                <w:rFonts w:eastAsia="SimSun"/>
                <w:lang w:eastAsia="zh-CN"/>
              </w:rPr>
              <w:t>24</w:t>
            </w:r>
          </w:p>
        </w:tc>
        <w:tc>
          <w:tcPr>
            <w:tcW w:w="1163" w:type="dxa"/>
            <w:vMerge/>
            <w:tcBorders>
              <w:left w:val="single" w:sz="4" w:space="0" w:color="auto"/>
              <w:right w:val="single" w:sz="4" w:space="0" w:color="auto"/>
            </w:tcBorders>
            <w:vAlign w:val="center"/>
            <w:hideMark/>
          </w:tcPr>
          <w:p w14:paraId="7AC7052A" w14:textId="77777777" w:rsidR="0030624B" w:rsidRDefault="0030624B" w:rsidP="00B6569C">
            <w:pPr>
              <w:spacing w:after="0"/>
              <w:rPr>
                <w:rFonts w:ascii="Arial" w:eastAsia="SimSun" w:hAnsi="Arial"/>
                <w:sz w:val="18"/>
              </w:rPr>
            </w:pPr>
          </w:p>
        </w:tc>
        <w:tc>
          <w:tcPr>
            <w:tcW w:w="992" w:type="dxa"/>
            <w:vMerge/>
            <w:tcBorders>
              <w:left w:val="single" w:sz="4" w:space="0" w:color="auto"/>
              <w:bottom w:val="single" w:sz="4" w:space="0" w:color="auto"/>
              <w:right w:val="single" w:sz="4" w:space="0" w:color="auto"/>
            </w:tcBorders>
            <w:vAlign w:val="center"/>
            <w:hideMark/>
          </w:tcPr>
          <w:p w14:paraId="401E1438" w14:textId="77777777" w:rsidR="0030624B" w:rsidRDefault="0030624B" w:rsidP="00B6569C">
            <w:pPr>
              <w:spacing w:after="0"/>
              <w:rPr>
                <w:rFonts w:ascii="Arial" w:eastAsia="SimSun" w:hAnsi="Arial"/>
                <w:sz w:val="18"/>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CFA91C4" w14:textId="77777777" w:rsidR="0030624B" w:rsidRDefault="0030624B" w:rsidP="00B6569C">
            <w:pPr>
              <w:pStyle w:val="TAC"/>
            </w:pPr>
            <w:r>
              <w:rPr>
                <w:rFonts w:eastAsia="SimSun"/>
              </w:rPr>
              <w:t>≥ 132</w:t>
            </w:r>
          </w:p>
        </w:tc>
        <w:tc>
          <w:tcPr>
            <w:tcW w:w="1367" w:type="dxa"/>
            <w:tcBorders>
              <w:top w:val="single" w:sz="4" w:space="0" w:color="auto"/>
              <w:left w:val="single" w:sz="4" w:space="0" w:color="auto"/>
              <w:bottom w:val="single" w:sz="4" w:space="0" w:color="auto"/>
              <w:right w:val="single" w:sz="4" w:space="0" w:color="auto"/>
            </w:tcBorders>
            <w:vAlign w:val="center"/>
            <w:hideMark/>
          </w:tcPr>
          <w:p w14:paraId="13B6FBD9" w14:textId="77777777" w:rsidR="0030624B" w:rsidRDefault="0030624B" w:rsidP="00B6569C">
            <w:pPr>
              <w:pStyle w:val="TAC"/>
            </w:pPr>
            <w:r>
              <w:rPr>
                <w:rFonts w:eastAsia="SimSun"/>
              </w:rPr>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6DE88008" w14:textId="77777777" w:rsidR="0030624B" w:rsidRDefault="0030624B" w:rsidP="00B6569C">
            <w:pPr>
              <w:pStyle w:val="TAC"/>
            </w:pPr>
            <w:r>
              <w:rPr>
                <w:rFonts w:eastAsia="SimSun"/>
              </w:rPr>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B84A8B2" w14:textId="77777777" w:rsidR="0030624B" w:rsidRDefault="0030624B" w:rsidP="00B6569C">
            <w:pPr>
              <w:pStyle w:val="TAC"/>
            </w:pPr>
            <w:r>
              <w:rPr>
                <w:rFonts w:eastAsia="SimSun"/>
              </w:rPr>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B487CD1" w14:textId="77777777" w:rsidR="0030624B" w:rsidRDefault="0030624B" w:rsidP="00B6569C">
            <w:pPr>
              <w:pStyle w:val="TAC"/>
            </w:pPr>
            <w:r>
              <w:rPr>
                <w:rFonts w:eastAsia="SimSun"/>
              </w:rPr>
              <w:t>Note 6</w:t>
            </w:r>
          </w:p>
        </w:tc>
      </w:tr>
      <w:tr w:rsidR="0030624B" w14:paraId="2DA5EEE5" w14:textId="77777777" w:rsidTr="00380899">
        <w:trPr>
          <w:trHeight w:val="21"/>
          <w:jc w:val="center"/>
        </w:trPr>
        <w:tc>
          <w:tcPr>
            <w:tcW w:w="960" w:type="dxa"/>
            <w:vMerge w:val="restart"/>
            <w:tcBorders>
              <w:top w:val="single" w:sz="4" w:space="0" w:color="auto"/>
              <w:left w:val="single" w:sz="4" w:space="0" w:color="auto"/>
              <w:right w:val="single" w:sz="4" w:space="0" w:color="auto"/>
            </w:tcBorders>
            <w:hideMark/>
          </w:tcPr>
          <w:p w14:paraId="61570F1C" w14:textId="77777777" w:rsidR="0030624B" w:rsidRDefault="0030624B" w:rsidP="00B6569C">
            <w:pPr>
              <w:pStyle w:val="TAL"/>
              <w:rPr>
                <w:lang w:eastAsia="zh-CN"/>
              </w:rPr>
            </w:pPr>
            <w:r>
              <w:rPr>
                <w:rFonts w:eastAsia="SimSun"/>
                <w:lang w:eastAsia="zh-CN"/>
              </w:rPr>
              <w:t xml:space="preserve">24 </w:t>
            </w:r>
          </w:p>
        </w:tc>
        <w:tc>
          <w:tcPr>
            <w:tcW w:w="1163" w:type="dxa"/>
            <w:vMerge/>
            <w:tcBorders>
              <w:left w:val="single" w:sz="4" w:space="0" w:color="auto"/>
              <w:right w:val="single" w:sz="4" w:space="0" w:color="auto"/>
            </w:tcBorders>
            <w:vAlign w:val="center"/>
            <w:hideMark/>
          </w:tcPr>
          <w:p w14:paraId="63EB9C02" w14:textId="77777777" w:rsidR="0030624B" w:rsidRDefault="0030624B" w:rsidP="00B6569C">
            <w:pPr>
              <w:spacing w:after="0"/>
              <w:rPr>
                <w:rFonts w:ascii="Arial" w:eastAsia="SimSun" w:hAnsi="Arial"/>
                <w:sz w:val="18"/>
              </w:rPr>
            </w:pPr>
          </w:p>
        </w:tc>
        <w:tc>
          <w:tcPr>
            <w:tcW w:w="992" w:type="dxa"/>
            <w:vMerge w:val="restart"/>
            <w:tcBorders>
              <w:top w:val="single" w:sz="4" w:space="0" w:color="auto"/>
              <w:left w:val="single" w:sz="4" w:space="0" w:color="auto"/>
              <w:right w:val="single" w:sz="4" w:space="0" w:color="auto"/>
            </w:tcBorders>
            <w:vAlign w:val="center"/>
            <w:hideMark/>
          </w:tcPr>
          <w:p w14:paraId="60CCD5B6" w14:textId="77777777" w:rsidR="0030624B" w:rsidRDefault="0030624B" w:rsidP="00B6569C">
            <w:pPr>
              <w:pStyle w:val="TAC"/>
              <w:rPr>
                <w:lang w:val="sv-SE" w:eastAsia="zh-CN"/>
              </w:rPr>
            </w:pPr>
            <w:r>
              <w:rPr>
                <w:rFonts w:eastAsia="SimSun"/>
                <w:lang w:val="sv-SE" w:eastAsia="zh-CN"/>
              </w:rPr>
              <w:t>60</w:t>
            </w:r>
          </w:p>
        </w:tc>
        <w:tc>
          <w:tcPr>
            <w:tcW w:w="1134" w:type="dxa"/>
            <w:vMerge w:val="restart"/>
            <w:tcBorders>
              <w:top w:val="single" w:sz="4" w:space="0" w:color="auto"/>
              <w:left w:val="single" w:sz="4" w:space="0" w:color="auto"/>
              <w:right w:val="single" w:sz="4" w:space="0" w:color="auto"/>
            </w:tcBorders>
            <w:vAlign w:val="center"/>
            <w:hideMark/>
          </w:tcPr>
          <w:p w14:paraId="2D2F90EB" w14:textId="77777777" w:rsidR="0030624B" w:rsidRDefault="0030624B" w:rsidP="00B6569C">
            <w:pPr>
              <w:pStyle w:val="TAC"/>
            </w:pPr>
            <w:r>
              <w:rPr>
                <w:rFonts w:eastAsia="SimSun"/>
              </w:rPr>
              <w:t>≥ 64</w:t>
            </w:r>
          </w:p>
        </w:tc>
        <w:tc>
          <w:tcPr>
            <w:tcW w:w="1367" w:type="dxa"/>
            <w:vMerge w:val="restart"/>
            <w:tcBorders>
              <w:top w:val="single" w:sz="4" w:space="0" w:color="auto"/>
              <w:left w:val="single" w:sz="4" w:space="0" w:color="auto"/>
              <w:right w:val="single" w:sz="4" w:space="0" w:color="auto"/>
            </w:tcBorders>
            <w:vAlign w:val="center"/>
            <w:hideMark/>
          </w:tcPr>
          <w:p w14:paraId="14D74D22" w14:textId="77777777" w:rsidR="0030624B" w:rsidRDefault="0030624B" w:rsidP="00B6569C">
            <w:pPr>
              <w:pStyle w:val="TAC"/>
            </w:pPr>
            <w:r>
              <w:rPr>
                <w:rFonts w:eastAsia="SimSun"/>
              </w:rPr>
              <w:t>≥ 1</w:t>
            </w:r>
          </w:p>
        </w:tc>
        <w:tc>
          <w:tcPr>
            <w:tcW w:w="2040" w:type="dxa"/>
            <w:tcBorders>
              <w:top w:val="single" w:sz="4" w:space="0" w:color="auto"/>
              <w:left w:val="single" w:sz="4" w:space="0" w:color="auto"/>
              <w:bottom w:val="single" w:sz="4" w:space="0" w:color="auto"/>
              <w:right w:val="single" w:sz="4" w:space="0" w:color="auto"/>
            </w:tcBorders>
            <w:hideMark/>
          </w:tcPr>
          <w:p w14:paraId="22B6C8F3" w14:textId="71F6BD49" w:rsidR="0030624B" w:rsidRDefault="0030624B" w:rsidP="00B6569C">
            <w:pPr>
              <w:pStyle w:val="TAC"/>
            </w:pPr>
            <w:r>
              <w:t xml:space="preserve">NR_FDD_FR1_A, NR_TDD_FR1_A, </w:t>
            </w:r>
            <w:r>
              <w:rPr>
                <w:lang w:val="en-US"/>
              </w:rPr>
              <w:t>NR_SDL_FR1_A</w:t>
            </w:r>
          </w:p>
        </w:tc>
        <w:tc>
          <w:tcPr>
            <w:tcW w:w="1134" w:type="dxa"/>
            <w:tcBorders>
              <w:top w:val="single" w:sz="4" w:space="0" w:color="auto"/>
              <w:left w:val="single" w:sz="4" w:space="0" w:color="auto"/>
              <w:right w:val="single" w:sz="4" w:space="0" w:color="auto"/>
            </w:tcBorders>
            <w:vAlign w:val="center"/>
            <w:hideMark/>
          </w:tcPr>
          <w:p w14:paraId="5947E393" w14:textId="21C88532" w:rsidR="0030624B" w:rsidRDefault="0030624B" w:rsidP="00B6569C">
            <w:pPr>
              <w:pStyle w:val="TAC"/>
            </w:pPr>
            <w:r>
              <w:t>-121</w:t>
            </w:r>
          </w:p>
        </w:tc>
        <w:tc>
          <w:tcPr>
            <w:tcW w:w="1275" w:type="dxa"/>
            <w:tcBorders>
              <w:top w:val="single" w:sz="4" w:space="0" w:color="auto"/>
              <w:left w:val="single" w:sz="4" w:space="0" w:color="auto"/>
              <w:right w:val="single" w:sz="4" w:space="0" w:color="auto"/>
            </w:tcBorders>
            <w:vAlign w:val="center"/>
            <w:hideMark/>
          </w:tcPr>
          <w:p w14:paraId="35F25B50" w14:textId="24AA8364" w:rsidR="0030624B" w:rsidRDefault="0030624B" w:rsidP="00B6569C">
            <w:pPr>
              <w:pStyle w:val="TAC"/>
            </w:pPr>
            <w:r>
              <w:rPr>
                <w:rFonts w:eastAsia="SimSun" w:hint="eastAsia"/>
                <w:lang w:eastAsia="zh-CN"/>
              </w:rPr>
              <w:t>-50</w:t>
            </w:r>
          </w:p>
        </w:tc>
      </w:tr>
      <w:tr w:rsidR="0030624B" w14:paraId="04D59799" w14:textId="77777777" w:rsidTr="00380899">
        <w:trPr>
          <w:trHeight w:val="21"/>
          <w:jc w:val="center"/>
        </w:trPr>
        <w:tc>
          <w:tcPr>
            <w:tcW w:w="960" w:type="dxa"/>
            <w:vMerge/>
            <w:tcBorders>
              <w:top w:val="single" w:sz="4" w:space="0" w:color="auto"/>
              <w:left w:val="single" w:sz="4" w:space="0" w:color="auto"/>
              <w:right w:val="single" w:sz="4" w:space="0" w:color="auto"/>
            </w:tcBorders>
          </w:tcPr>
          <w:p w14:paraId="51CA9112"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632C3D1F" w14:textId="77777777" w:rsidR="0030624B" w:rsidRDefault="0030624B" w:rsidP="00B6569C">
            <w:pPr>
              <w:spacing w:after="0"/>
              <w:rPr>
                <w:rFonts w:ascii="Arial" w:eastAsia="SimSun" w:hAnsi="Arial"/>
                <w:sz w:val="18"/>
              </w:rPr>
            </w:pPr>
          </w:p>
        </w:tc>
        <w:tc>
          <w:tcPr>
            <w:tcW w:w="992" w:type="dxa"/>
            <w:vMerge/>
            <w:tcBorders>
              <w:top w:val="single" w:sz="4" w:space="0" w:color="auto"/>
              <w:left w:val="single" w:sz="4" w:space="0" w:color="auto"/>
              <w:right w:val="single" w:sz="4" w:space="0" w:color="auto"/>
            </w:tcBorders>
            <w:vAlign w:val="center"/>
          </w:tcPr>
          <w:p w14:paraId="3331C972" w14:textId="77777777" w:rsidR="0030624B" w:rsidRDefault="0030624B" w:rsidP="00B6569C">
            <w:pPr>
              <w:pStyle w:val="TAC"/>
              <w:rPr>
                <w:rFonts w:eastAsia="SimSun"/>
                <w:lang w:val="sv-SE" w:eastAsia="zh-CN"/>
              </w:rPr>
            </w:pPr>
          </w:p>
        </w:tc>
        <w:tc>
          <w:tcPr>
            <w:tcW w:w="1134" w:type="dxa"/>
            <w:vMerge/>
            <w:tcBorders>
              <w:top w:val="single" w:sz="4" w:space="0" w:color="auto"/>
              <w:left w:val="single" w:sz="4" w:space="0" w:color="auto"/>
              <w:right w:val="single" w:sz="4" w:space="0" w:color="auto"/>
            </w:tcBorders>
            <w:vAlign w:val="center"/>
          </w:tcPr>
          <w:p w14:paraId="1809E592" w14:textId="77777777" w:rsidR="0030624B" w:rsidRDefault="0030624B" w:rsidP="00B6569C">
            <w:pPr>
              <w:pStyle w:val="TAC"/>
              <w:rPr>
                <w:rFonts w:eastAsia="SimSun"/>
              </w:rPr>
            </w:pPr>
          </w:p>
        </w:tc>
        <w:tc>
          <w:tcPr>
            <w:tcW w:w="1367" w:type="dxa"/>
            <w:vMerge/>
            <w:tcBorders>
              <w:top w:val="single" w:sz="4" w:space="0" w:color="auto"/>
              <w:left w:val="single" w:sz="4" w:space="0" w:color="auto"/>
              <w:right w:val="single" w:sz="4" w:space="0" w:color="auto"/>
            </w:tcBorders>
            <w:vAlign w:val="center"/>
          </w:tcPr>
          <w:p w14:paraId="4EB8CCA2"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228F3E57" w14:textId="77777777" w:rsidR="0030624B" w:rsidRDefault="0030624B" w:rsidP="00B6569C">
            <w:pPr>
              <w:pStyle w:val="TAC"/>
              <w:rPr>
                <w:rFonts w:eastAsia="SimSun"/>
              </w:rPr>
            </w:pPr>
            <w:r>
              <w:rPr>
                <w:lang w:val="sv-SE"/>
              </w:rPr>
              <w:t>NR_FDD_FR1_B</w:t>
            </w:r>
          </w:p>
        </w:tc>
        <w:tc>
          <w:tcPr>
            <w:tcW w:w="1134" w:type="dxa"/>
            <w:tcBorders>
              <w:left w:val="single" w:sz="4" w:space="0" w:color="auto"/>
              <w:right w:val="single" w:sz="4" w:space="0" w:color="auto"/>
            </w:tcBorders>
          </w:tcPr>
          <w:p w14:paraId="6C576120" w14:textId="77777777" w:rsidR="0030624B" w:rsidRDefault="0030624B" w:rsidP="00B6569C">
            <w:pPr>
              <w:pStyle w:val="TAC"/>
              <w:rPr>
                <w:rFonts w:eastAsia="SimSun"/>
              </w:rPr>
            </w:pPr>
            <w:r>
              <w:t>-120.5</w:t>
            </w:r>
          </w:p>
        </w:tc>
        <w:tc>
          <w:tcPr>
            <w:tcW w:w="1275" w:type="dxa"/>
            <w:tcBorders>
              <w:left w:val="single" w:sz="4" w:space="0" w:color="auto"/>
              <w:right w:val="single" w:sz="4" w:space="0" w:color="auto"/>
            </w:tcBorders>
            <w:vAlign w:val="center"/>
          </w:tcPr>
          <w:p w14:paraId="6F35FA70" w14:textId="77777777" w:rsidR="0030624B" w:rsidRDefault="0030624B" w:rsidP="00B6569C">
            <w:pPr>
              <w:pStyle w:val="TAC"/>
              <w:rPr>
                <w:rFonts w:eastAsia="SimSun"/>
              </w:rPr>
            </w:pPr>
            <w:r>
              <w:rPr>
                <w:rFonts w:eastAsia="SimSun" w:hint="eastAsia"/>
                <w:lang w:eastAsia="zh-CN"/>
              </w:rPr>
              <w:t>-50</w:t>
            </w:r>
          </w:p>
        </w:tc>
      </w:tr>
      <w:tr w:rsidR="0030624B" w14:paraId="4053CA89" w14:textId="77777777" w:rsidTr="00B6569C">
        <w:trPr>
          <w:trHeight w:val="21"/>
          <w:jc w:val="center"/>
        </w:trPr>
        <w:tc>
          <w:tcPr>
            <w:tcW w:w="960" w:type="dxa"/>
            <w:vMerge/>
            <w:tcBorders>
              <w:left w:val="single" w:sz="4" w:space="0" w:color="auto"/>
              <w:right w:val="single" w:sz="4" w:space="0" w:color="auto"/>
            </w:tcBorders>
          </w:tcPr>
          <w:p w14:paraId="11257445"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64EA2A92"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06700307"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1230CACF"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74E12191"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7BD1A49E" w14:textId="77777777" w:rsidR="0030624B" w:rsidRDefault="0030624B" w:rsidP="00B6569C">
            <w:pPr>
              <w:pStyle w:val="TAC"/>
              <w:rPr>
                <w:rFonts w:eastAsia="SimSun"/>
              </w:rPr>
            </w:pPr>
            <w:r>
              <w:rPr>
                <w:lang w:val="sv-SE"/>
              </w:rPr>
              <w:t>NR_TDD_FR1_C</w:t>
            </w:r>
          </w:p>
        </w:tc>
        <w:tc>
          <w:tcPr>
            <w:tcW w:w="1134" w:type="dxa"/>
            <w:tcBorders>
              <w:left w:val="single" w:sz="4" w:space="0" w:color="auto"/>
              <w:right w:val="single" w:sz="4" w:space="0" w:color="auto"/>
            </w:tcBorders>
            <w:vAlign w:val="center"/>
          </w:tcPr>
          <w:p w14:paraId="34A545CC" w14:textId="77777777" w:rsidR="0030624B" w:rsidRDefault="0030624B" w:rsidP="00B6569C">
            <w:pPr>
              <w:pStyle w:val="TAC"/>
              <w:rPr>
                <w:rFonts w:eastAsia="SimSun"/>
              </w:rPr>
            </w:pPr>
            <w:r>
              <w:t>-120</w:t>
            </w:r>
          </w:p>
        </w:tc>
        <w:tc>
          <w:tcPr>
            <w:tcW w:w="1275" w:type="dxa"/>
            <w:tcBorders>
              <w:left w:val="single" w:sz="4" w:space="0" w:color="auto"/>
              <w:right w:val="single" w:sz="4" w:space="0" w:color="auto"/>
            </w:tcBorders>
            <w:vAlign w:val="center"/>
          </w:tcPr>
          <w:p w14:paraId="43737B73" w14:textId="77777777" w:rsidR="0030624B" w:rsidRDefault="0030624B" w:rsidP="00B6569C">
            <w:pPr>
              <w:pStyle w:val="TAC"/>
              <w:rPr>
                <w:rFonts w:eastAsia="SimSun"/>
              </w:rPr>
            </w:pPr>
            <w:r>
              <w:rPr>
                <w:rFonts w:eastAsia="SimSun" w:hint="eastAsia"/>
                <w:lang w:eastAsia="zh-CN"/>
              </w:rPr>
              <w:t>-50</w:t>
            </w:r>
          </w:p>
        </w:tc>
      </w:tr>
      <w:tr w:rsidR="0030624B" w14:paraId="4447824A" w14:textId="77777777" w:rsidTr="00B6569C">
        <w:trPr>
          <w:trHeight w:val="21"/>
          <w:jc w:val="center"/>
        </w:trPr>
        <w:tc>
          <w:tcPr>
            <w:tcW w:w="960" w:type="dxa"/>
            <w:vMerge/>
            <w:tcBorders>
              <w:left w:val="single" w:sz="4" w:space="0" w:color="auto"/>
              <w:right w:val="single" w:sz="4" w:space="0" w:color="auto"/>
            </w:tcBorders>
          </w:tcPr>
          <w:p w14:paraId="698DC8DA"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7F5F404A"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043242B5"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1735DBEB"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084288C3"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7B8551C4" w14:textId="77777777" w:rsidR="0030624B" w:rsidRDefault="0030624B" w:rsidP="00B6569C">
            <w:pPr>
              <w:pStyle w:val="TAC"/>
              <w:rPr>
                <w:rFonts w:eastAsia="SimSun"/>
              </w:rPr>
            </w:pPr>
            <w:r>
              <w:rPr>
                <w:lang w:val="sv-SE"/>
              </w:rPr>
              <w:t>NR_FDD_FR1_D, NR_TDD_FR1_D</w:t>
            </w:r>
          </w:p>
        </w:tc>
        <w:tc>
          <w:tcPr>
            <w:tcW w:w="1134" w:type="dxa"/>
            <w:tcBorders>
              <w:left w:val="single" w:sz="4" w:space="0" w:color="auto"/>
              <w:right w:val="single" w:sz="4" w:space="0" w:color="auto"/>
            </w:tcBorders>
            <w:vAlign w:val="center"/>
          </w:tcPr>
          <w:p w14:paraId="449EBD7F" w14:textId="77777777" w:rsidR="0030624B" w:rsidRDefault="0030624B" w:rsidP="00B6569C">
            <w:pPr>
              <w:pStyle w:val="TAC"/>
              <w:rPr>
                <w:rFonts w:eastAsia="SimSun"/>
              </w:rPr>
            </w:pPr>
            <w:r>
              <w:t>-119.5</w:t>
            </w:r>
          </w:p>
        </w:tc>
        <w:tc>
          <w:tcPr>
            <w:tcW w:w="1275" w:type="dxa"/>
            <w:tcBorders>
              <w:left w:val="single" w:sz="4" w:space="0" w:color="auto"/>
              <w:right w:val="single" w:sz="4" w:space="0" w:color="auto"/>
            </w:tcBorders>
            <w:vAlign w:val="center"/>
          </w:tcPr>
          <w:p w14:paraId="18D87D31" w14:textId="77777777" w:rsidR="0030624B" w:rsidRDefault="0030624B" w:rsidP="00B6569C">
            <w:pPr>
              <w:pStyle w:val="TAC"/>
              <w:rPr>
                <w:rFonts w:eastAsia="SimSun"/>
              </w:rPr>
            </w:pPr>
            <w:r>
              <w:rPr>
                <w:rFonts w:eastAsia="SimSun" w:hint="eastAsia"/>
                <w:lang w:eastAsia="zh-CN"/>
              </w:rPr>
              <w:t>-50</w:t>
            </w:r>
          </w:p>
        </w:tc>
      </w:tr>
      <w:tr w:rsidR="0030624B" w14:paraId="26E7A03F" w14:textId="77777777" w:rsidTr="00B6569C">
        <w:trPr>
          <w:trHeight w:val="21"/>
          <w:jc w:val="center"/>
        </w:trPr>
        <w:tc>
          <w:tcPr>
            <w:tcW w:w="960" w:type="dxa"/>
            <w:vMerge/>
            <w:tcBorders>
              <w:left w:val="single" w:sz="4" w:space="0" w:color="auto"/>
              <w:right w:val="single" w:sz="4" w:space="0" w:color="auto"/>
            </w:tcBorders>
          </w:tcPr>
          <w:p w14:paraId="065E2149"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642F9D2C"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11AD8EE8"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4A501FAA"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7EDB9E3C"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4A527010" w14:textId="77777777" w:rsidR="0030624B" w:rsidRDefault="0030624B" w:rsidP="00B6569C">
            <w:pPr>
              <w:pStyle w:val="TAC"/>
              <w:rPr>
                <w:rFonts w:eastAsia="SimSun"/>
              </w:rPr>
            </w:pPr>
            <w:r>
              <w:rPr>
                <w:lang w:val="sv-SE"/>
              </w:rPr>
              <w:t>NR_FDD_FR1_E, NR_TDD_FR1_E</w:t>
            </w:r>
          </w:p>
        </w:tc>
        <w:tc>
          <w:tcPr>
            <w:tcW w:w="1134" w:type="dxa"/>
            <w:tcBorders>
              <w:left w:val="single" w:sz="4" w:space="0" w:color="auto"/>
              <w:right w:val="single" w:sz="4" w:space="0" w:color="auto"/>
            </w:tcBorders>
            <w:vAlign w:val="center"/>
          </w:tcPr>
          <w:p w14:paraId="57A1F0D9" w14:textId="77777777" w:rsidR="0030624B" w:rsidRDefault="0030624B" w:rsidP="00B6569C">
            <w:pPr>
              <w:pStyle w:val="TAC"/>
              <w:rPr>
                <w:rFonts w:eastAsia="SimSun"/>
              </w:rPr>
            </w:pPr>
            <w:r>
              <w:t>-119</w:t>
            </w:r>
          </w:p>
        </w:tc>
        <w:tc>
          <w:tcPr>
            <w:tcW w:w="1275" w:type="dxa"/>
            <w:tcBorders>
              <w:left w:val="single" w:sz="4" w:space="0" w:color="auto"/>
              <w:right w:val="single" w:sz="4" w:space="0" w:color="auto"/>
            </w:tcBorders>
            <w:vAlign w:val="center"/>
          </w:tcPr>
          <w:p w14:paraId="7AA1A944" w14:textId="77777777" w:rsidR="0030624B" w:rsidRDefault="0030624B" w:rsidP="00B6569C">
            <w:pPr>
              <w:pStyle w:val="TAC"/>
              <w:rPr>
                <w:rFonts w:eastAsia="SimSun"/>
              </w:rPr>
            </w:pPr>
            <w:r>
              <w:rPr>
                <w:rFonts w:eastAsia="SimSun" w:hint="eastAsia"/>
                <w:lang w:eastAsia="zh-CN"/>
              </w:rPr>
              <w:t>-50</w:t>
            </w:r>
          </w:p>
        </w:tc>
      </w:tr>
      <w:tr w:rsidR="0030624B" w14:paraId="2205665D" w14:textId="77777777" w:rsidTr="00B6569C">
        <w:trPr>
          <w:trHeight w:val="21"/>
          <w:jc w:val="center"/>
        </w:trPr>
        <w:tc>
          <w:tcPr>
            <w:tcW w:w="960" w:type="dxa"/>
            <w:vMerge/>
            <w:tcBorders>
              <w:left w:val="single" w:sz="4" w:space="0" w:color="auto"/>
              <w:right w:val="single" w:sz="4" w:space="0" w:color="auto"/>
            </w:tcBorders>
          </w:tcPr>
          <w:p w14:paraId="1EFB652F"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2D657CD0"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29720F01"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17B6723B"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4D49053E"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055B0421" w14:textId="77777777" w:rsidR="0030624B" w:rsidRDefault="0030624B" w:rsidP="00B6569C">
            <w:pPr>
              <w:pStyle w:val="TAC"/>
              <w:rPr>
                <w:rFonts w:eastAsia="SimSun"/>
              </w:rPr>
            </w:pPr>
            <w:r>
              <w:rPr>
                <w:lang w:val="sv-SE"/>
              </w:rPr>
              <w:t>NR_FDD_FR1_F</w:t>
            </w:r>
          </w:p>
        </w:tc>
        <w:tc>
          <w:tcPr>
            <w:tcW w:w="1134" w:type="dxa"/>
            <w:tcBorders>
              <w:left w:val="single" w:sz="4" w:space="0" w:color="auto"/>
              <w:right w:val="single" w:sz="4" w:space="0" w:color="auto"/>
            </w:tcBorders>
            <w:vAlign w:val="center"/>
          </w:tcPr>
          <w:p w14:paraId="0FBA08FC" w14:textId="77777777" w:rsidR="0030624B" w:rsidRDefault="0030624B" w:rsidP="00B6569C">
            <w:pPr>
              <w:pStyle w:val="TAC"/>
              <w:rPr>
                <w:rFonts w:eastAsia="SimSun"/>
              </w:rPr>
            </w:pPr>
            <w:r>
              <w:t>-118.5</w:t>
            </w:r>
          </w:p>
        </w:tc>
        <w:tc>
          <w:tcPr>
            <w:tcW w:w="1275" w:type="dxa"/>
            <w:tcBorders>
              <w:left w:val="single" w:sz="4" w:space="0" w:color="auto"/>
              <w:right w:val="single" w:sz="4" w:space="0" w:color="auto"/>
            </w:tcBorders>
            <w:vAlign w:val="center"/>
          </w:tcPr>
          <w:p w14:paraId="6EF7585A" w14:textId="77777777" w:rsidR="0030624B" w:rsidRDefault="0030624B" w:rsidP="00B6569C">
            <w:pPr>
              <w:pStyle w:val="TAC"/>
              <w:rPr>
                <w:rFonts w:eastAsia="SimSun"/>
              </w:rPr>
            </w:pPr>
            <w:r>
              <w:rPr>
                <w:rFonts w:eastAsia="SimSun" w:hint="eastAsia"/>
                <w:lang w:eastAsia="zh-CN"/>
              </w:rPr>
              <w:t>-50</w:t>
            </w:r>
          </w:p>
        </w:tc>
      </w:tr>
      <w:tr w:rsidR="0030624B" w14:paraId="5C61CA6B" w14:textId="77777777" w:rsidTr="00B6569C">
        <w:trPr>
          <w:trHeight w:val="21"/>
          <w:jc w:val="center"/>
        </w:trPr>
        <w:tc>
          <w:tcPr>
            <w:tcW w:w="960" w:type="dxa"/>
            <w:vMerge/>
            <w:tcBorders>
              <w:left w:val="single" w:sz="4" w:space="0" w:color="auto"/>
              <w:right w:val="single" w:sz="4" w:space="0" w:color="auto"/>
            </w:tcBorders>
          </w:tcPr>
          <w:p w14:paraId="4434C664"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37ABC48B"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539FD6A5" w14:textId="77777777" w:rsidR="0030624B" w:rsidRDefault="0030624B" w:rsidP="00B6569C">
            <w:pPr>
              <w:pStyle w:val="TAC"/>
              <w:rPr>
                <w:rFonts w:eastAsia="SimSun"/>
                <w:lang w:val="sv-SE" w:eastAsia="zh-CN"/>
              </w:rPr>
            </w:pPr>
          </w:p>
        </w:tc>
        <w:tc>
          <w:tcPr>
            <w:tcW w:w="1134" w:type="dxa"/>
            <w:vMerge/>
            <w:tcBorders>
              <w:left w:val="single" w:sz="4" w:space="0" w:color="auto"/>
              <w:right w:val="single" w:sz="4" w:space="0" w:color="auto"/>
            </w:tcBorders>
            <w:vAlign w:val="center"/>
          </w:tcPr>
          <w:p w14:paraId="35FA6317" w14:textId="77777777" w:rsidR="0030624B" w:rsidRDefault="0030624B" w:rsidP="00B6569C">
            <w:pPr>
              <w:pStyle w:val="TAC"/>
              <w:rPr>
                <w:rFonts w:eastAsia="SimSun"/>
              </w:rPr>
            </w:pPr>
          </w:p>
        </w:tc>
        <w:tc>
          <w:tcPr>
            <w:tcW w:w="1367" w:type="dxa"/>
            <w:vMerge/>
            <w:tcBorders>
              <w:left w:val="single" w:sz="4" w:space="0" w:color="auto"/>
              <w:right w:val="single" w:sz="4" w:space="0" w:color="auto"/>
            </w:tcBorders>
            <w:vAlign w:val="center"/>
          </w:tcPr>
          <w:p w14:paraId="61B83974"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7380F7A5" w14:textId="77777777" w:rsidR="0030624B" w:rsidRDefault="0030624B" w:rsidP="00B6569C">
            <w:pPr>
              <w:pStyle w:val="TAC"/>
              <w:rPr>
                <w:rFonts w:eastAsia="SimSun"/>
              </w:rPr>
            </w:pPr>
            <w:r>
              <w:rPr>
                <w:lang w:val="sv-SE"/>
              </w:rPr>
              <w:t>NR_FDD_FR1_G, NR_TDD_FR1_G</w:t>
            </w:r>
          </w:p>
        </w:tc>
        <w:tc>
          <w:tcPr>
            <w:tcW w:w="1134" w:type="dxa"/>
            <w:tcBorders>
              <w:left w:val="single" w:sz="4" w:space="0" w:color="auto"/>
              <w:right w:val="single" w:sz="4" w:space="0" w:color="auto"/>
            </w:tcBorders>
            <w:vAlign w:val="center"/>
          </w:tcPr>
          <w:p w14:paraId="35A97359" w14:textId="77777777" w:rsidR="0030624B" w:rsidRDefault="0030624B" w:rsidP="00B6569C">
            <w:pPr>
              <w:pStyle w:val="TAC"/>
              <w:rPr>
                <w:rFonts w:eastAsia="SimSun"/>
              </w:rPr>
            </w:pPr>
            <w:r>
              <w:t>-118</w:t>
            </w:r>
          </w:p>
        </w:tc>
        <w:tc>
          <w:tcPr>
            <w:tcW w:w="1275" w:type="dxa"/>
            <w:tcBorders>
              <w:left w:val="single" w:sz="4" w:space="0" w:color="auto"/>
              <w:right w:val="single" w:sz="4" w:space="0" w:color="auto"/>
            </w:tcBorders>
            <w:vAlign w:val="center"/>
          </w:tcPr>
          <w:p w14:paraId="40BAE14B" w14:textId="77777777" w:rsidR="0030624B" w:rsidRDefault="0030624B" w:rsidP="00B6569C">
            <w:pPr>
              <w:pStyle w:val="TAC"/>
              <w:rPr>
                <w:rFonts w:eastAsia="SimSun"/>
              </w:rPr>
            </w:pPr>
            <w:r>
              <w:rPr>
                <w:rFonts w:eastAsia="SimSun" w:hint="eastAsia"/>
                <w:lang w:eastAsia="zh-CN"/>
              </w:rPr>
              <w:t>-50</w:t>
            </w:r>
          </w:p>
        </w:tc>
      </w:tr>
      <w:tr w:rsidR="0030624B" w14:paraId="617FEA17" w14:textId="77777777" w:rsidTr="00B6569C">
        <w:trPr>
          <w:trHeight w:val="21"/>
          <w:jc w:val="center"/>
        </w:trPr>
        <w:tc>
          <w:tcPr>
            <w:tcW w:w="960" w:type="dxa"/>
            <w:vMerge/>
            <w:tcBorders>
              <w:left w:val="single" w:sz="4" w:space="0" w:color="auto"/>
              <w:bottom w:val="single" w:sz="4" w:space="0" w:color="auto"/>
              <w:right w:val="single" w:sz="4" w:space="0" w:color="auto"/>
            </w:tcBorders>
          </w:tcPr>
          <w:p w14:paraId="2E9F5259" w14:textId="77777777" w:rsidR="0030624B" w:rsidRDefault="0030624B" w:rsidP="00B6569C">
            <w:pPr>
              <w:pStyle w:val="TAL"/>
              <w:rPr>
                <w:rFonts w:eastAsia="SimSun"/>
                <w:lang w:eastAsia="zh-CN"/>
              </w:rPr>
            </w:pPr>
          </w:p>
        </w:tc>
        <w:tc>
          <w:tcPr>
            <w:tcW w:w="1163" w:type="dxa"/>
            <w:vMerge/>
            <w:tcBorders>
              <w:left w:val="single" w:sz="4" w:space="0" w:color="auto"/>
              <w:right w:val="single" w:sz="4" w:space="0" w:color="auto"/>
            </w:tcBorders>
            <w:vAlign w:val="center"/>
          </w:tcPr>
          <w:p w14:paraId="3126F441" w14:textId="77777777" w:rsidR="0030624B" w:rsidRDefault="0030624B" w:rsidP="00B6569C">
            <w:pPr>
              <w:spacing w:after="0"/>
              <w:rPr>
                <w:rFonts w:ascii="Arial" w:eastAsia="SimSun" w:hAnsi="Arial"/>
                <w:sz w:val="18"/>
              </w:rPr>
            </w:pPr>
          </w:p>
        </w:tc>
        <w:tc>
          <w:tcPr>
            <w:tcW w:w="992" w:type="dxa"/>
            <w:vMerge/>
            <w:tcBorders>
              <w:left w:val="single" w:sz="4" w:space="0" w:color="auto"/>
              <w:right w:val="single" w:sz="4" w:space="0" w:color="auto"/>
            </w:tcBorders>
            <w:vAlign w:val="center"/>
          </w:tcPr>
          <w:p w14:paraId="3E7525E0" w14:textId="77777777" w:rsidR="0030624B" w:rsidRDefault="0030624B" w:rsidP="00B6569C">
            <w:pPr>
              <w:pStyle w:val="TAC"/>
              <w:rPr>
                <w:rFonts w:eastAsia="SimSun"/>
                <w:lang w:val="sv-SE" w:eastAsia="zh-CN"/>
              </w:rPr>
            </w:pPr>
          </w:p>
        </w:tc>
        <w:tc>
          <w:tcPr>
            <w:tcW w:w="1134" w:type="dxa"/>
            <w:vMerge/>
            <w:tcBorders>
              <w:left w:val="single" w:sz="4" w:space="0" w:color="auto"/>
              <w:bottom w:val="single" w:sz="4" w:space="0" w:color="auto"/>
              <w:right w:val="single" w:sz="4" w:space="0" w:color="auto"/>
            </w:tcBorders>
            <w:vAlign w:val="center"/>
          </w:tcPr>
          <w:p w14:paraId="2F3AC80F" w14:textId="77777777" w:rsidR="0030624B" w:rsidRDefault="0030624B" w:rsidP="00B6569C">
            <w:pPr>
              <w:pStyle w:val="TAC"/>
              <w:rPr>
                <w:rFonts w:eastAsia="SimSun"/>
              </w:rPr>
            </w:pPr>
          </w:p>
        </w:tc>
        <w:tc>
          <w:tcPr>
            <w:tcW w:w="1367" w:type="dxa"/>
            <w:vMerge/>
            <w:tcBorders>
              <w:left w:val="single" w:sz="4" w:space="0" w:color="auto"/>
              <w:bottom w:val="single" w:sz="4" w:space="0" w:color="auto"/>
              <w:right w:val="single" w:sz="4" w:space="0" w:color="auto"/>
            </w:tcBorders>
            <w:vAlign w:val="center"/>
          </w:tcPr>
          <w:p w14:paraId="7D19BE70" w14:textId="77777777" w:rsidR="0030624B" w:rsidRDefault="0030624B" w:rsidP="00B6569C">
            <w:pPr>
              <w:pStyle w:val="TAC"/>
              <w:rPr>
                <w:rFonts w:eastAsia="SimSun"/>
              </w:rPr>
            </w:pPr>
          </w:p>
        </w:tc>
        <w:tc>
          <w:tcPr>
            <w:tcW w:w="2040" w:type="dxa"/>
            <w:tcBorders>
              <w:top w:val="single" w:sz="4" w:space="0" w:color="auto"/>
              <w:left w:val="single" w:sz="4" w:space="0" w:color="auto"/>
              <w:bottom w:val="single" w:sz="4" w:space="0" w:color="auto"/>
              <w:right w:val="single" w:sz="4" w:space="0" w:color="auto"/>
            </w:tcBorders>
            <w:vAlign w:val="center"/>
          </w:tcPr>
          <w:p w14:paraId="5FABCA78" w14:textId="77777777" w:rsidR="0030624B" w:rsidRDefault="0030624B" w:rsidP="00B6569C">
            <w:pPr>
              <w:pStyle w:val="TAC"/>
              <w:rPr>
                <w:rFonts w:eastAsia="SimSun"/>
              </w:rPr>
            </w:pPr>
            <w:r>
              <w:rPr>
                <w:lang w:val="sv-SE"/>
              </w:rPr>
              <w:t>NR_FDD_FR1_H</w:t>
            </w:r>
          </w:p>
        </w:tc>
        <w:tc>
          <w:tcPr>
            <w:tcW w:w="1134" w:type="dxa"/>
            <w:tcBorders>
              <w:left w:val="single" w:sz="4" w:space="0" w:color="auto"/>
              <w:bottom w:val="single" w:sz="4" w:space="0" w:color="auto"/>
              <w:right w:val="single" w:sz="4" w:space="0" w:color="auto"/>
            </w:tcBorders>
            <w:vAlign w:val="center"/>
          </w:tcPr>
          <w:p w14:paraId="5C833A21" w14:textId="77777777" w:rsidR="0030624B" w:rsidRDefault="0030624B" w:rsidP="00B6569C">
            <w:pPr>
              <w:pStyle w:val="TAC"/>
              <w:rPr>
                <w:rFonts w:eastAsia="SimSun"/>
              </w:rPr>
            </w:pPr>
            <w:r>
              <w:t>-117.5</w:t>
            </w:r>
          </w:p>
        </w:tc>
        <w:tc>
          <w:tcPr>
            <w:tcW w:w="1275" w:type="dxa"/>
            <w:tcBorders>
              <w:left w:val="single" w:sz="4" w:space="0" w:color="auto"/>
              <w:bottom w:val="single" w:sz="4" w:space="0" w:color="auto"/>
              <w:right w:val="single" w:sz="4" w:space="0" w:color="auto"/>
            </w:tcBorders>
            <w:vAlign w:val="center"/>
          </w:tcPr>
          <w:p w14:paraId="3159EA57" w14:textId="77777777" w:rsidR="0030624B" w:rsidRDefault="0030624B" w:rsidP="00B6569C">
            <w:pPr>
              <w:pStyle w:val="TAC"/>
              <w:rPr>
                <w:rFonts w:eastAsia="SimSun"/>
              </w:rPr>
            </w:pPr>
            <w:r>
              <w:rPr>
                <w:rFonts w:eastAsia="SimSun" w:hint="eastAsia"/>
                <w:lang w:eastAsia="zh-CN"/>
              </w:rPr>
              <w:t>-50</w:t>
            </w:r>
          </w:p>
        </w:tc>
      </w:tr>
      <w:tr w:rsidR="0030624B" w14:paraId="45BD7C0A" w14:textId="77777777" w:rsidTr="00B6569C">
        <w:trPr>
          <w:jc w:val="center"/>
        </w:trPr>
        <w:tc>
          <w:tcPr>
            <w:tcW w:w="960" w:type="dxa"/>
            <w:tcBorders>
              <w:top w:val="single" w:sz="4" w:space="0" w:color="auto"/>
              <w:left w:val="single" w:sz="4" w:space="0" w:color="auto"/>
              <w:bottom w:val="single" w:sz="4" w:space="0" w:color="auto"/>
              <w:right w:val="single" w:sz="4" w:space="0" w:color="auto"/>
            </w:tcBorders>
            <w:hideMark/>
          </w:tcPr>
          <w:p w14:paraId="03445012" w14:textId="77777777" w:rsidR="0030624B" w:rsidRDefault="0030624B" w:rsidP="00B6569C">
            <w:pPr>
              <w:pStyle w:val="TAL"/>
              <w:rPr>
                <w:lang w:eastAsia="zh-CN"/>
              </w:rPr>
            </w:pPr>
            <w:r>
              <w:rPr>
                <w:rFonts w:eastAsia="SimSun"/>
                <w:lang w:eastAsia="zh-CN"/>
              </w:rPr>
              <w:t>10</w:t>
            </w:r>
          </w:p>
        </w:tc>
        <w:tc>
          <w:tcPr>
            <w:tcW w:w="1163" w:type="dxa"/>
            <w:vMerge/>
            <w:tcBorders>
              <w:left w:val="single" w:sz="4" w:space="0" w:color="auto"/>
              <w:bottom w:val="single" w:sz="4" w:space="0" w:color="auto"/>
              <w:right w:val="single" w:sz="4" w:space="0" w:color="auto"/>
            </w:tcBorders>
            <w:vAlign w:val="center"/>
            <w:hideMark/>
          </w:tcPr>
          <w:p w14:paraId="6EC0829A" w14:textId="77777777" w:rsidR="0030624B" w:rsidRDefault="0030624B" w:rsidP="00B6569C">
            <w:pPr>
              <w:spacing w:after="0"/>
              <w:rPr>
                <w:rFonts w:ascii="Arial" w:eastAsia="SimSun" w:hAnsi="Arial"/>
                <w:sz w:val="18"/>
              </w:rPr>
            </w:pPr>
          </w:p>
        </w:tc>
        <w:tc>
          <w:tcPr>
            <w:tcW w:w="992" w:type="dxa"/>
            <w:vMerge/>
            <w:tcBorders>
              <w:left w:val="single" w:sz="4" w:space="0" w:color="auto"/>
              <w:bottom w:val="single" w:sz="4" w:space="0" w:color="auto"/>
              <w:right w:val="single" w:sz="4" w:space="0" w:color="auto"/>
            </w:tcBorders>
            <w:vAlign w:val="center"/>
            <w:hideMark/>
          </w:tcPr>
          <w:p w14:paraId="6A5F3366" w14:textId="77777777" w:rsidR="0030624B" w:rsidRDefault="0030624B" w:rsidP="00B6569C">
            <w:pPr>
              <w:spacing w:after="0"/>
              <w:rPr>
                <w:rFonts w:ascii="Arial" w:eastAsia="SimSun" w:hAnsi="Arial"/>
                <w:sz w:val="18"/>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6143BEB9" w14:textId="77777777" w:rsidR="0030624B" w:rsidRDefault="0030624B" w:rsidP="00B6569C">
            <w:pPr>
              <w:pStyle w:val="TAC"/>
            </w:pPr>
            <w:r>
              <w:rPr>
                <w:rFonts w:eastAsia="SimSun"/>
              </w:rPr>
              <w:t>≥ 132</w:t>
            </w:r>
          </w:p>
        </w:tc>
        <w:tc>
          <w:tcPr>
            <w:tcW w:w="1367" w:type="dxa"/>
            <w:tcBorders>
              <w:top w:val="single" w:sz="4" w:space="0" w:color="auto"/>
              <w:left w:val="single" w:sz="4" w:space="0" w:color="auto"/>
              <w:bottom w:val="single" w:sz="4" w:space="0" w:color="auto"/>
              <w:right w:val="single" w:sz="4" w:space="0" w:color="auto"/>
            </w:tcBorders>
            <w:vAlign w:val="center"/>
            <w:hideMark/>
          </w:tcPr>
          <w:p w14:paraId="7EF8A3E8" w14:textId="77777777" w:rsidR="0030624B" w:rsidRDefault="0030624B" w:rsidP="00B6569C">
            <w:pPr>
              <w:pStyle w:val="TAC"/>
            </w:pPr>
            <w:r>
              <w:rPr>
                <w:rFonts w:eastAsia="SimSun"/>
              </w:rPr>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23B50048" w14:textId="77777777" w:rsidR="0030624B" w:rsidRDefault="0030624B" w:rsidP="00B6569C">
            <w:pPr>
              <w:pStyle w:val="TAC"/>
            </w:pPr>
            <w:r>
              <w:rPr>
                <w:rFonts w:eastAsia="SimSun"/>
              </w:rPr>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1D88D84" w14:textId="77777777" w:rsidR="0030624B" w:rsidRDefault="0030624B" w:rsidP="00B6569C">
            <w:pPr>
              <w:pStyle w:val="TAC"/>
            </w:pPr>
            <w:r>
              <w:rPr>
                <w:rFonts w:eastAsia="SimSun"/>
              </w:rPr>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BB9E61C" w14:textId="77777777" w:rsidR="0030624B" w:rsidRDefault="0030624B" w:rsidP="00B6569C">
            <w:pPr>
              <w:pStyle w:val="TAC"/>
            </w:pPr>
            <w:r>
              <w:rPr>
                <w:rFonts w:eastAsia="SimSun"/>
              </w:rPr>
              <w:t>Note 6</w:t>
            </w:r>
          </w:p>
        </w:tc>
      </w:tr>
      <w:tr w:rsidR="0030624B" w14:paraId="1B21F90E" w14:textId="77777777" w:rsidTr="00B6569C">
        <w:trPr>
          <w:jc w:val="center"/>
        </w:trPr>
        <w:tc>
          <w:tcPr>
            <w:tcW w:w="10065" w:type="dxa"/>
            <w:gridSpan w:val="8"/>
            <w:tcBorders>
              <w:top w:val="single" w:sz="4" w:space="0" w:color="auto"/>
              <w:left w:val="single" w:sz="4" w:space="0" w:color="auto"/>
              <w:bottom w:val="single" w:sz="4" w:space="0" w:color="auto"/>
              <w:right w:val="single" w:sz="4" w:space="0" w:color="auto"/>
            </w:tcBorders>
            <w:vAlign w:val="center"/>
            <w:hideMark/>
          </w:tcPr>
          <w:p w14:paraId="114C6A7F" w14:textId="77777777" w:rsidR="0030624B" w:rsidRDefault="0030624B" w:rsidP="00B6569C">
            <w:pPr>
              <w:pStyle w:val="TAN"/>
              <w:rPr>
                <w:rFonts w:eastAsia="SimSun"/>
              </w:rPr>
            </w:pPr>
            <w:r>
              <w:rPr>
                <w:rFonts w:eastAsia="SimSun"/>
              </w:rPr>
              <w:t>NOTE 1:</w:t>
            </w:r>
            <w:r>
              <w:rPr>
                <w:rFonts w:eastAsia="SimSun"/>
              </w:rPr>
              <w:tab/>
              <w:t>Minimum PRS bandwidth, which is minimum of the PRS bandwidths of the reference resource and the measured neighbour resource i.</w:t>
            </w:r>
          </w:p>
          <w:p w14:paraId="3B9E3BF7" w14:textId="77777777" w:rsidR="0030624B" w:rsidRDefault="0030624B" w:rsidP="00B6569C">
            <w:pPr>
              <w:pStyle w:val="TAN"/>
              <w:rPr>
                <w:rFonts w:eastAsia="SimSun"/>
                <w:iCs/>
                <w:szCs w:val="18"/>
                <w:lang w:val="en-US" w:eastAsia="zh-CN"/>
              </w:rPr>
            </w:pPr>
            <w:r>
              <w:rPr>
                <w:rFonts w:eastAsia="SimSun"/>
              </w:rPr>
              <w:t xml:space="preserve">NOTE 2: </w:t>
            </w:r>
            <w:r>
              <w:rPr>
                <w:rFonts w:eastAsia="SimSun"/>
              </w:rPr>
              <w:tab/>
              <w:t xml:space="preserve">Minimum number of PRS resource repetitions among the reference resource and the measured neighbour resource i. </w:t>
            </w:r>
            <m:oMath>
              <m:sSubSup>
                <m:sSubSupPr>
                  <m:ctrlPr>
                    <w:rPr>
                      <w:rFonts w:ascii="Cambria Math" w:hAnsi="Cambria Math"/>
                      <w:i/>
                      <w:szCs w:val="18"/>
                    </w:rPr>
                  </m:ctrlPr>
                </m:sSubSupPr>
                <m:e>
                  <m:r>
                    <w:rPr>
                      <w:rFonts w:ascii="Cambria Math" w:eastAsia="SimSun" w:hAnsi="Cambria Math"/>
                    </w:rPr>
                    <m:t>T</m:t>
                  </m:r>
                </m:e>
                <m:sub>
                  <m:r>
                    <m:rPr>
                      <m:sty m:val="p"/>
                    </m:rPr>
                    <w:rPr>
                      <w:rFonts w:ascii="Cambria Math" w:eastAsia="SimSun" w:hAnsi="Cambria Math"/>
                    </w:rPr>
                    <m:t>rep</m:t>
                  </m:r>
                </m:sub>
                <m:sup>
                  <m:r>
                    <m:rPr>
                      <m:sty m:val="p"/>
                    </m:rPr>
                    <w:rPr>
                      <w:rFonts w:ascii="Cambria Math" w:eastAsia="SimSun" w:hAnsi="Cambria Math"/>
                    </w:rPr>
                    <m:t>PRS</m:t>
                  </m:r>
                </m:sup>
              </m:sSubSup>
              <m:r>
                <w:rPr>
                  <w:rFonts w:ascii="Cambria Math" w:eastAsia="SimSun" w:hAnsi="Cambria Math"/>
                </w:rPr>
                <m:t xml:space="preserve">, </m:t>
              </m:r>
              <m:sSub>
                <m:sSubPr>
                  <m:ctrlPr>
                    <w:rPr>
                      <w:rFonts w:ascii="Cambria Math" w:hAnsi="Cambria Math"/>
                      <w:szCs w:val="18"/>
                    </w:rPr>
                  </m:ctrlPr>
                </m:sSubPr>
                <m:e>
                  <m:r>
                    <w:rPr>
                      <w:rFonts w:ascii="Cambria Math" w:eastAsia="SimSun" w:hAnsi="Cambria Math"/>
                    </w:rPr>
                    <m:t>L</m:t>
                  </m:r>
                </m:e>
                <m:sub>
                  <m:r>
                    <m:rPr>
                      <m:sty m:val="p"/>
                    </m:rPr>
                    <w:rPr>
                      <w:rFonts w:ascii="Cambria Math" w:eastAsia="SimSun" w:hAnsi="Cambria Math"/>
                    </w:rPr>
                    <m:t>PRS</m:t>
                  </m:r>
                </m:sub>
              </m:sSub>
              <m:r>
                <w:rPr>
                  <w:rFonts w:ascii="Cambria Math" w:eastAsia="SimSun" w:hAnsi="Cambria Math"/>
                </w:rPr>
                <m:t xml:space="preserve"> ,</m:t>
              </m:r>
              <m:sSubSup>
                <m:sSubSupPr>
                  <m:ctrlPr>
                    <w:rPr>
                      <w:rFonts w:ascii="Cambria Math" w:hAnsi="Cambria Math"/>
                      <w:i/>
                      <w:szCs w:val="18"/>
                    </w:rPr>
                  </m:ctrlPr>
                </m:sSubSupPr>
                <m:e>
                  <m:r>
                    <w:rPr>
                      <w:rFonts w:ascii="Cambria Math" w:eastAsia="SimSun" w:hAnsi="Cambria Math"/>
                    </w:rPr>
                    <m:t>K</m:t>
                  </m:r>
                </m:e>
                <m:sub>
                  <m:r>
                    <m:rPr>
                      <m:sty m:val="p"/>
                    </m:rPr>
                    <w:rPr>
                      <w:rFonts w:ascii="Cambria Math" w:eastAsia="SimSun" w:hAnsi="Cambria Math"/>
                    </w:rPr>
                    <m:t>comb</m:t>
                  </m:r>
                </m:sub>
                <m:sup>
                  <m:r>
                    <m:rPr>
                      <m:sty m:val="p"/>
                    </m:rPr>
                    <w:rPr>
                      <w:rFonts w:ascii="Cambria Math" w:eastAsia="SimSun" w:hAnsi="Cambria Math"/>
                    </w:rPr>
                    <m:t>PRS</m:t>
                  </m:r>
                </m:sup>
              </m:sSubSup>
            </m:oMath>
            <w:r>
              <w:rPr>
                <w:rFonts w:eastAsia="SimSun"/>
                <w:b/>
                <w:bCs/>
                <w:lang w:eastAsia="zh-CN"/>
              </w:rPr>
              <w:t xml:space="preserve"> </w:t>
            </w:r>
            <w:r>
              <w:rPr>
                <w:rFonts w:eastAsia="SimSun"/>
                <w:szCs w:val="18"/>
              </w:rPr>
              <w:t xml:space="preserve">are configured by higher layer parameter </w:t>
            </w:r>
            <w:r>
              <w:rPr>
                <w:rFonts w:eastAsia="SimSun"/>
                <w:i/>
                <w:szCs w:val="18"/>
              </w:rPr>
              <w:t>dl-PRS-ResourceRepetitionFactor, dl-PRS-NumSymbols and dl-PRS-CombSizeN</w:t>
            </w:r>
            <w:r>
              <w:rPr>
                <w:rFonts w:eastAsia="SimSun"/>
                <w:iCs/>
                <w:szCs w:val="18"/>
              </w:rPr>
              <w:t>defined in TS 37.355 [34], respectively</w:t>
            </w:r>
            <w:r>
              <w:rPr>
                <w:rFonts w:eastAsia="SimSun"/>
                <w:iCs/>
                <w:szCs w:val="18"/>
                <w:lang w:val="en-US" w:eastAsia="zh-CN"/>
              </w:rPr>
              <w:t>.</w:t>
            </w:r>
          </w:p>
          <w:p w14:paraId="406F448D" w14:textId="77777777" w:rsidR="0030624B" w:rsidRDefault="0030624B" w:rsidP="00B6569C">
            <w:pPr>
              <w:pStyle w:val="TAN"/>
              <w:rPr>
                <w:rFonts w:eastAsia="SimSun"/>
              </w:rPr>
            </w:pPr>
            <w:r>
              <w:rPr>
                <w:rFonts w:eastAsia="SimSun"/>
              </w:rPr>
              <w:t>N</w:t>
            </w:r>
            <w:r>
              <w:rPr>
                <w:rFonts w:eastAsia="SimSun"/>
                <w:lang w:eastAsia="zh-CN"/>
              </w:rPr>
              <w:t>OTE</w:t>
            </w:r>
            <w:r>
              <w:rPr>
                <w:rFonts w:eastAsia="SimSun"/>
              </w:rPr>
              <w:t xml:space="preserve"> 3:</w:t>
            </w:r>
            <w:r>
              <w:rPr>
                <w:rFonts w:eastAsia="SimSun"/>
              </w:rPr>
              <w:tab/>
              <w:t>Io is assumed to have constant EPRE across the bandwidth.</w:t>
            </w:r>
          </w:p>
          <w:p w14:paraId="07A5BC8D" w14:textId="77777777" w:rsidR="0030624B" w:rsidRDefault="0030624B" w:rsidP="00B6569C">
            <w:pPr>
              <w:pStyle w:val="TAN"/>
              <w:rPr>
                <w:rFonts w:eastAsia="SimSun"/>
              </w:rPr>
            </w:pPr>
            <w:r>
              <w:rPr>
                <w:rFonts w:eastAsia="SimSun"/>
              </w:rPr>
              <w:t>N</w:t>
            </w:r>
            <w:r>
              <w:rPr>
                <w:rFonts w:eastAsia="SimSun"/>
                <w:lang w:eastAsia="zh-CN"/>
              </w:rPr>
              <w:t>OTE</w:t>
            </w:r>
            <w:r>
              <w:rPr>
                <w:rFonts w:eastAsia="SimSun"/>
              </w:rPr>
              <w:t xml:space="preserve"> 4:</w:t>
            </w:r>
            <w:r>
              <w:rPr>
                <w:rFonts w:eastAsia="SimSun"/>
              </w:rPr>
              <w:tab/>
              <w:t>NR operating band groups in FR1 are as defined in clause 3.5.2.</w:t>
            </w:r>
          </w:p>
          <w:p w14:paraId="7C3F3334" w14:textId="77777777" w:rsidR="0030624B" w:rsidRDefault="0030624B" w:rsidP="00B6569C">
            <w:pPr>
              <w:pStyle w:val="TAN"/>
              <w:rPr>
                <w:rFonts w:eastAsia="SimSun"/>
              </w:rPr>
            </w:pPr>
            <w:r>
              <w:rPr>
                <w:rFonts w:eastAsia="SimSun"/>
              </w:rPr>
              <w:t>N</w:t>
            </w:r>
            <w:r>
              <w:rPr>
                <w:rFonts w:eastAsia="SimSun"/>
                <w:lang w:eastAsia="zh-CN"/>
              </w:rPr>
              <w:t>OTE</w:t>
            </w:r>
            <w:r>
              <w:rPr>
                <w:rFonts w:eastAsia="SimSun"/>
              </w:rPr>
              <w:t xml:space="preserve"> 5:</w:t>
            </w:r>
            <w:r>
              <w:rPr>
                <w:rFonts w:eastAsia="SimSun"/>
              </w:rPr>
              <w:tab/>
              <w:t>Tc is the basic timing unit defined in TS 38.211 [6].</w:t>
            </w:r>
          </w:p>
          <w:p w14:paraId="1F9C44C2" w14:textId="77777777" w:rsidR="0030624B" w:rsidRDefault="0030624B" w:rsidP="00B6569C">
            <w:pPr>
              <w:pStyle w:val="TAN"/>
              <w:rPr>
                <w:rFonts w:eastAsia="SimSun"/>
              </w:rPr>
            </w:pPr>
            <w:r>
              <w:rPr>
                <w:rFonts w:eastAsia="SimSun"/>
              </w:rPr>
              <w:t>NOTE 6:</w:t>
            </w:r>
            <w:r>
              <w:rPr>
                <w:rFonts w:eastAsia="SimSun"/>
              </w:rPr>
              <w:tab/>
              <w:t>The same bands and the same Io conditions for each band apply for this requirement as for the corresponding requirement with the PRS bandwidth of the smallest RB number for the corresponding SCS.</w:t>
            </w:r>
          </w:p>
          <w:p w14:paraId="49068B7C" w14:textId="77777777" w:rsidR="0030624B" w:rsidRDefault="0030624B" w:rsidP="00B6569C">
            <w:pPr>
              <w:pStyle w:val="TAN"/>
            </w:pPr>
            <w:r>
              <w:rPr>
                <w:rFonts w:eastAsia="SimSun"/>
              </w:rPr>
              <w:t>NOTE 7:</w:t>
            </w:r>
            <w:r>
              <w:rPr>
                <w:rFonts w:eastAsia="SimSun"/>
              </w:rPr>
              <w:tab/>
            </w:r>
            <w:r>
              <w:rPr>
                <w:lang w:eastAsia="zh-CN"/>
              </w:rPr>
              <w:t>Void</w:t>
            </w:r>
          </w:p>
        </w:tc>
      </w:tr>
    </w:tbl>
    <w:p w14:paraId="015C3BDF" w14:textId="77777777" w:rsidR="0030624B" w:rsidRDefault="0030624B" w:rsidP="0030624B">
      <w:pPr>
        <w:rPr>
          <w:rFonts w:eastAsia="SimSun"/>
        </w:rPr>
      </w:pPr>
    </w:p>
    <w:p w14:paraId="4A718CD0" w14:textId="77777777" w:rsidR="0030624B" w:rsidRDefault="0030624B" w:rsidP="0030624B">
      <w:pPr>
        <w:pStyle w:val="TH"/>
        <w:rPr>
          <w:rFonts w:eastAsia="SimSun"/>
        </w:rPr>
      </w:pPr>
      <w:r>
        <w:rPr>
          <w:rFonts w:eastAsia="SimSun"/>
        </w:rPr>
        <w:t>Table 10.1.23.2-8: RSTD absolute accuracy in FR2 for AWGN channel</w:t>
      </w:r>
      <w:r>
        <w:rPr>
          <w:rFonts w:eastAsia="SimSun"/>
          <w:lang w:eastAsia="zh-CN"/>
        </w:rPr>
        <w:t xml:space="preserve"> with reduced number of samples</w:t>
      </w:r>
    </w:p>
    <w:tbl>
      <w:tblPr>
        <w:tblW w:w="0" w:type="auto"/>
        <w:jc w:val="center"/>
        <w:tblLook w:val="01E0" w:firstRow="1" w:lastRow="1" w:firstColumn="1" w:lastColumn="1" w:noHBand="0" w:noVBand="0"/>
      </w:tblPr>
      <w:tblGrid>
        <w:gridCol w:w="1077"/>
        <w:gridCol w:w="1110"/>
        <w:gridCol w:w="696"/>
        <w:gridCol w:w="1251"/>
        <w:gridCol w:w="1397"/>
        <w:gridCol w:w="2587"/>
        <w:gridCol w:w="1511"/>
      </w:tblGrid>
      <w:tr w:rsidR="0030624B" w14:paraId="5EFEA16E" w14:textId="77777777" w:rsidTr="00B6569C">
        <w:trPr>
          <w:jc w:val="center"/>
        </w:trPr>
        <w:tc>
          <w:tcPr>
            <w:tcW w:w="0" w:type="auto"/>
            <w:vMerge w:val="restart"/>
            <w:tcBorders>
              <w:top w:val="single" w:sz="4" w:space="0" w:color="auto"/>
              <w:left w:val="single" w:sz="4" w:space="0" w:color="auto"/>
              <w:bottom w:val="single" w:sz="6" w:space="0" w:color="auto"/>
              <w:right w:val="single" w:sz="6" w:space="0" w:color="auto"/>
            </w:tcBorders>
            <w:vAlign w:val="center"/>
            <w:hideMark/>
          </w:tcPr>
          <w:p w14:paraId="0133E740" w14:textId="77777777" w:rsidR="0030624B" w:rsidRDefault="0030624B" w:rsidP="00B6569C">
            <w:pPr>
              <w:pStyle w:val="TAH"/>
            </w:pPr>
            <w:r>
              <w:rPr>
                <w:rFonts w:eastAsia="SimSun"/>
              </w:rPr>
              <w:t>Accuracy</w:t>
            </w:r>
          </w:p>
        </w:tc>
        <w:tc>
          <w:tcPr>
            <w:tcW w:w="0" w:type="auto"/>
            <w:gridSpan w:val="6"/>
            <w:tcBorders>
              <w:top w:val="single" w:sz="4" w:space="0" w:color="auto"/>
              <w:left w:val="single" w:sz="6" w:space="0" w:color="auto"/>
              <w:bottom w:val="single" w:sz="6" w:space="0" w:color="auto"/>
              <w:right w:val="single" w:sz="4" w:space="0" w:color="auto"/>
            </w:tcBorders>
            <w:vAlign w:val="center"/>
            <w:hideMark/>
          </w:tcPr>
          <w:p w14:paraId="3F3B3F77" w14:textId="77777777" w:rsidR="0030624B" w:rsidRDefault="0030624B" w:rsidP="00B6569C">
            <w:pPr>
              <w:pStyle w:val="TAH"/>
            </w:pPr>
            <w:r>
              <w:rPr>
                <w:rFonts w:eastAsia="SimSun"/>
              </w:rPr>
              <w:t>Conditions</w:t>
            </w:r>
          </w:p>
        </w:tc>
      </w:tr>
      <w:tr w:rsidR="0030624B" w14:paraId="46D6B246" w14:textId="77777777" w:rsidTr="00B6569C">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6983DF29" w14:textId="77777777" w:rsidR="0030624B" w:rsidRDefault="0030624B" w:rsidP="00B6569C">
            <w:pPr>
              <w:spacing w:after="0"/>
              <w:rPr>
                <w:rFonts w:ascii="Arial" w:eastAsia="SimSun" w:hAnsi="Arial"/>
                <w:b/>
                <w:sz w:val="18"/>
              </w:rPr>
            </w:pPr>
          </w:p>
        </w:tc>
        <w:tc>
          <w:tcPr>
            <w:tcW w:w="0" w:type="auto"/>
            <w:vMerge w:val="restart"/>
            <w:tcBorders>
              <w:top w:val="single" w:sz="6" w:space="0" w:color="auto"/>
              <w:left w:val="single" w:sz="6" w:space="0" w:color="auto"/>
              <w:bottom w:val="single" w:sz="6" w:space="0" w:color="auto"/>
              <w:right w:val="single" w:sz="4" w:space="0" w:color="auto"/>
            </w:tcBorders>
            <w:vAlign w:val="center"/>
            <w:hideMark/>
          </w:tcPr>
          <w:p w14:paraId="03151ECF" w14:textId="77777777" w:rsidR="0030624B" w:rsidRDefault="0030624B" w:rsidP="00B6569C">
            <w:pPr>
              <w:pStyle w:val="TAH"/>
            </w:pPr>
            <w:r>
              <w:rPr>
                <w:rFonts w:eastAsia="SimSun"/>
              </w:rPr>
              <w:t>PRS Ês/Iot</w:t>
            </w:r>
          </w:p>
        </w:tc>
        <w:tc>
          <w:tcPr>
            <w:tcW w:w="0" w:type="auto"/>
            <w:vMerge w:val="restart"/>
            <w:tcBorders>
              <w:top w:val="single" w:sz="6" w:space="0" w:color="auto"/>
              <w:left w:val="single" w:sz="4" w:space="0" w:color="auto"/>
              <w:bottom w:val="single" w:sz="6" w:space="0" w:color="auto"/>
              <w:right w:val="single" w:sz="6" w:space="0" w:color="auto"/>
            </w:tcBorders>
            <w:vAlign w:val="center"/>
            <w:hideMark/>
          </w:tcPr>
          <w:p w14:paraId="5C4BA8CA" w14:textId="77777777" w:rsidR="0030624B" w:rsidRDefault="0030624B" w:rsidP="00B6569C">
            <w:pPr>
              <w:pStyle w:val="TAH"/>
              <w:rPr>
                <w:lang w:eastAsia="zh-CN"/>
              </w:rPr>
            </w:pPr>
            <w:r>
              <w:rPr>
                <w:rFonts w:eastAsia="SimSun"/>
              </w:rPr>
              <w:t>PRS SCS</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5D973310" w14:textId="77777777" w:rsidR="0030624B" w:rsidRDefault="0030624B" w:rsidP="00B6569C">
            <w:pPr>
              <w:pStyle w:val="TAH"/>
              <w:rPr>
                <w:rFonts w:eastAsia="SimSun"/>
                <w:lang w:eastAsia="zh-CN"/>
              </w:rPr>
            </w:pPr>
            <w:r>
              <w:rPr>
                <w:rFonts w:eastAsia="SimSun"/>
                <w:lang w:eastAsia="zh-CN"/>
              </w:rPr>
              <w:t>PRS bandwidth</w:t>
            </w:r>
          </w:p>
          <w:p w14:paraId="0C8EC9F4" w14:textId="77777777" w:rsidR="0030624B" w:rsidRDefault="0030624B" w:rsidP="00B6569C">
            <w:pPr>
              <w:pStyle w:val="TAH"/>
            </w:pPr>
            <w:r>
              <w:rPr>
                <w:rFonts w:eastAsia="SimSun"/>
                <w:vertAlign w:val="superscript"/>
              </w:rPr>
              <w:t>Note 1</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5CE640A6" w14:textId="77777777" w:rsidR="0030624B" w:rsidRDefault="0030624B" w:rsidP="00B6569C">
            <w:pPr>
              <w:pStyle w:val="TAH"/>
              <w:rPr>
                <w:rFonts w:eastAsia="SimSun"/>
                <w:lang w:eastAsia="zh-CN"/>
              </w:rPr>
            </w:pPr>
            <w:r>
              <w:rPr>
                <w:rFonts w:eastAsia="SimSun"/>
                <w:lang w:eastAsia="zh-CN"/>
              </w:rPr>
              <w:t xml:space="preserve">PRS resource repetition </w:t>
            </w:r>
          </w:p>
          <w:p w14:paraId="084B0430" w14:textId="77777777" w:rsidR="0030624B" w:rsidRDefault="0030624B" w:rsidP="00B6569C">
            <w:pPr>
              <w:pStyle w:val="TAH"/>
              <w:rPr>
                <w:lang w:eastAsia="zh-CN"/>
              </w:rPr>
            </w:pPr>
            <w:r>
              <w:rPr>
                <w:rFonts w:eastAsia="SimSun"/>
                <w:lang w:eastAsia="zh-CN"/>
              </w:rPr>
              <w:t>(</w:t>
            </w:r>
            <m:oMath>
              <m:sSubSup>
                <m:sSubSupPr>
                  <m:ctrlPr>
                    <w:rPr>
                      <w:rFonts w:ascii="Cambria Math" w:hAnsi="Cambria Math"/>
                      <w:bCs/>
                      <w:i/>
                      <w:iCs/>
                      <w:szCs w:val="18"/>
                    </w:rPr>
                  </m:ctrlPr>
                </m:sSubSupPr>
                <m:e>
                  <m:r>
                    <m:rPr>
                      <m:sty m:val="b"/>
                    </m:rPr>
                    <w:rPr>
                      <w:rFonts w:ascii="Cambria Math" w:eastAsia="SimSun" w:hAnsi="Cambria Math"/>
                      <w:lang w:eastAsia="zh-CN"/>
                    </w:rPr>
                    <m:t>T</m:t>
                  </m:r>
                </m:e>
                <m:sub>
                  <m:r>
                    <m:rPr>
                      <m:sty m:val="b"/>
                    </m:rPr>
                    <w:rPr>
                      <w:rFonts w:ascii="Cambria Math" w:eastAsia="SimSun" w:hAnsi="Cambria Math"/>
                      <w:lang w:eastAsia="zh-CN"/>
                    </w:rPr>
                    <m:t>rep</m:t>
                  </m:r>
                </m:sub>
                <m:sup>
                  <m:r>
                    <m:rPr>
                      <m:sty m:val="b"/>
                    </m:rPr>
                    <w:rPr>
                      <w:rFonts w:ascii="Cambria Math" w:eastAsia="SimSun" w:hAnsi="Cambria Math"/>
                      <w:lang w:eastAsia="zh-CN"/>
                    </w:rPr>
                    <m:t>PRS</m:t>
                  </m:r>
                </m:sup>
              </m:sSubSup>
              <m:r>
                <m:rPr>
                  <m:sty m:val="b"/>
                </m:rPr>
                <w:rPr>
                  <w:rFonts w:ascii="Cambria Math" w:eastAsia="SimSun" w:hAnsi="Cambria Math"/>
                  <w:lang w:eastAsia="zh-CN"/>
                </w:rPr>
                <m:t>*</m:t>
              </m:r>
              <m:sSub>
                <m:sSubPr>
                  <m:ctrlPr>
                    <w:rPr>
                      <w:rFonts w:ascii="Cambria Math" w:hAnsi="Cambria Math"/>
                      <w:bCs/>
                      <w:i/>
                      <w:iCs/>
                      <w:szCs w:val="18"/>
                    </w:rPr>
                  </m:ctrlPr>
                </m:sSubPr>
                <m:e>
                  <m:r>
                    <m:rPr>
                      <m:sty m:val="b"/>
                    </m:rPr>
                    <w:rPr>
                      <w:rFonts w:ascii="Cambria Math" w:eastAsia="SimSun" w:hAnsi="Cambria Math"/>
                      <w:lang w:eastAsia="zh-CN"/>
                    </w:rPr>
                    <m:t>L</m:t>
                  </m:r>
                </m:e>
                <m:sub>
                  <m:r>
                    <m:rPr>
                      <m:sty m:val="b"/>
                    </m:rPr>
                    <w:rPr>
                      <w:rFonts w:ascii="Cambria Math" w:eastAsia="SimSun" w:hAnsi="Cambria Math"/>
                      <w:lang w:eastAsia="zh-CN"/>
                    </w:rPr>
                    <m:t>PRS</m:t>
                  </m:r>
                </m:sub>
              </m:sSub>
              <m:r>
                <m:rPr>
                  <m:sty m:val="b"/>
                </m:rPr>
                <w:rPr>
                  <w:rFonts w:ascii="Cambria Math" w:eastAsia="SimSun" w:hAnsi="Cambria Math"/>
                  <w:lang w:eastAsia="zh-CN"/>
                </w:rPr>
                <m:t>/</m:t>
              </m:r>
              <m:sSubSup>
                <m:sSubSupPr>
                  <m:ctrlPr>
                    <w:rPr>
                      <w:rFonts w:ascii="Cambria Math" w:hAnsi="Cambria Math"/>
                      <w:bCs/>
                      <w:i/>
                      <w:iCs/>
                      <w:szCs w:val="18"/>
                    </w:rPr>
                  </m:ctrlPr>
                </m:sSubSupPr>
                <m:e>
                  <m:r>
                    <m:rPr>
                      <m:sty m:val="b"/>
                    </m:rPr>
                    <w:rPr>
                      <w:rFonts w:ascii="Cambria Math" w:eastAsia="SimSun" w:hAnsi="Cambria Math"/>
                      <w:lang w:eastAsia="zh-CN"/>
                    </w:rPr>
                    <m:t>K</m:t>
                  </m:r>
                </m:e>
                <m:sub>
                  <m:r>
                    <m:rPr>
                      <m:sty m:val="b"/>
                    </m:rPr>
                    <w:rPr>
                      <w:rFonts w:ascii="Cambria Math" w:eastAsia="SimSun" w:hAnsi="Cambria Math"/>
                      <w:lang w:eastAsia="zh-CN"/>
                    </w:rPr>
                    <m:t>comb</m:t>
                  </m:r>
                </m:sub>
                <m:sup>
                  <m:r>
                    <m:rPr>
                      <m:sty m:val="b"/>
                    </m:rPr>
                    <w:rPr>
                      <w:rFonts w:ascii="Cambria Math" w:eastAsia="SimSun" w:hAnsi="Cambria Math"/>
                      <w:lang w:eastAsia="zh-CN"/>
                    </w:rPr>
                    <m:t>PRS</m:t>
                  </m:r>
                </m:sup>
              </m:sSubSup>
            </m:oMath>
            <w:r>
              <w:rPr>
                <w:rFonts w:eastAsia="SimSun"/>
                <w:lang w:eastAsia="zh-CN"/>
              </w:rPr>
              <w:t xml:space="preserve">)          </w:t>
            </w:r>
            <w:r>
              <w:rPr>
                <w:rFonts w:eastAsia="SimSun"/>
                <w:vertAlign w:val="superscript"/>
              </w:rPr>
              <w:t>Note 2</w:t>
            </w:r>
          </w:p>
        </w:tc>
        <w:tc>
          <w:tcPr>
            <w:tcW w:w="0" w:type="auto"/>
            <w:gridSpan w:val="2"/>
            <w:tcBorders>
              <w:top w:val="single" w:sz="6" w:space="0" w:color="auto"/>
              <w:left w:val="single" w:sz="6" w:space="0" w:color="auto"/>
              <w:bottom w:val="single" w:sz="6" w:space="0" w:color="auto"/>
              <w:right w:val="single" w:sz="4" w:space="0" w:color="auto"/>
            </w:tcBorders>
            <w:vAlign w:val="center"/>
            <w:hideMark/>
          </w:tcPr>
          <w:p w14:paraId="40EC5DC9" w14:textId="77777777" w:rsidR="0030624B" w:rsidRDefault="0030624B" w:rsidP="00B6569C">
            <w:pPr>
              <w:pStyle w:val="TAH"/>
            </w:pPr>
            <w:r>
              <w:rPr>
                <w:rFonts w:eastAsia="SimSun"/>
              </w:rPr>
              <w:t>Io</w:t>
            </w:r>
            <w:r>
              <w:rPr>
                <w:rFonts w:eastAsia="SimSun"/>
                <w:vertAlign w:val="superscript"/>
                <w:lang w:eastAsia="zh-CN"/>
              </w:rPr>
              <w:t xml:space="preserve"> Note 3</w:t>
            </w:r>
            <w:r>
              <w:rPr>
                <w:rFonts w:eastAsia="SimSun"/>
              </w:rPr>
              <w:t xml:space="preserve"> range</w:t>
            </w:r>
          </w:p>
        </w:tc>
      </w:tr>
      <w:tr w:rsidR="0030624B" w14:paraId="6CB079B4" w14:textId="77777777" w:rsidTr="00B6569C">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3582017F" w14:textId="77777777" w:rsidR="0030624B" w:rsidRDefault="0030624B" w:rsidP="00B6569C">
            <w:pPr>
              <w:spacing w:after="0"/>
              <w:rPr>
                <w:rFonts w:ascii="Arial" w:eastAsia="SimSun" w:hAnsi="Arial"/>
                <w:b/>
                <w:sz w:val="18"/>
              </w:rPr>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57802559" w14:textId="77777777" w:rsidR="0030624B" w:rsidRDefault="0030624B" w:rsidP="00B6569C">
            <w:pPr>
              <w:spacing w:after="0"/>
              <w:rPr>
                <w:rFonts w:ascii="Arial" w:eastAsia="SimSun" w:hAnsi="Arial"/>
                <w:b/>
                <w:sz w:val="18"/>
              </w:rPr>
            </w:pPr>
          </w:p>
        </w:tc>
        <w:tc>
          <w:tcPr>
            <w:tcW w:w="0" w:type="auto"/>
            <w:vMerge/>
            <w:tcBorders>
              <w:top w:val="single" w:sz="6" w:space="0" w:color="auto"/>
              <w:left w:val="single" w:sz="4" w:space="0" w:color="auto"/>
              <w:bottom w:val="single" w:sz="6" w:space="0" w:color="auto"/>
              <w:right w:val="single" w:sz="6" w:space="0" w:color="auto"/>
            </w:tcBorders>
            <w:vAlign w:val="center"/>
            <w:hideMark/>
          </w:tcPr>
          <w:p w14:paraId="6A25BAB8" w14:textId="77777777" w:rsidR="0030624B" w:rsidRDefault="0030624B" w:rsidP="00B6569C">
            <w:pPr>
              <w:spacing w:after="0"/>
              <w:rPr>
                <w:rFonts w:ascii="Arial" w:eastAsia="SimSun" w:hAnsi="Arial"/>
                <w:b/>
                <w:sz w:val="18"/>
                <w:lang w:eastAsia="zh-CN"/>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4791A8E" w14:textId="77777777" w:rsidR="0030624B" w:rsidRDefault="0030624B" w:rsidP="00B6569C">
            <w:pPr>
              <w:spacing w:after="0"/>
              <w:rPr>
                <w:rFonts w:ascii="Arial" w:eastAsia="SimSun" w:hAnsi="Arial"/>
                <w:b/>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4FCA122" w14:textId="77777777" w:rsidR="0030624B" w:rsidRDefault="0030624B" w:rsidP="00B6569C">
            <w:pPr>
              <w:spacing w:after="0"/>
              <w:rPr>
                <w:rFonts w:ascii="Arial" w:eastAsia="SimSun" w:hAnsi="Arial"/>
                <w:b/>
                <w:sz w:val="18"/>
                <w:lang w:eastAsia="zh-CN"/>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ABE969B" w14:textId="77777777" w:rsidR="0030624B" w:rsidRDefault="0030624B" w:rsidP="00B6569C">
            <w:pPr>
              <w:pStyle w:val="TAH"/>
            </w:pPr>
            <w:r>
              <w:rPr>
                <w:rFonts w:eastAsia="SimSun"/>
              </w:rPr>
              <w:t xml:space="preserve">Minimum Io </w:t>
            </w:r>
          </w:p>
        </w:tc>
        <w:tc>
          <w:tcPr>
            <w:tcW w:w="0" w:type="auto"/>
            <w:tcBorders>
              <w:top w:val="single" w:sz="6" w:space="0" w:color="auto"/>
              <w:left w:val="single" w:sz="6" w:space="0" w:color="auto"/>
              <w:bottom w:val="single" w:sz="6" w:space="0" w:color="auto"/>
              <w:right w:val="single" w:sz="4" w:space="0" w:color="auto"/>
            </w:tcBorders>
            <w:vAlign w:val="center"/>
            <w:hideMark/>
          </w:tcPr>
          <w:p w14:paraId="1CA47886" w14:textId="77777777" w:rsidR="0030624B" w:rsidRDefault="0030624B" w:rsidP="00B6569C">
            <w:pPr>
              <w:pStyle w:val="TAH"/>
            </w:pPr>
            <w:r>
              <w:rPr>
                <w:rFonts w:eastAsia="SimSun"/>
              </w:rPr>
              <w:t>Maximum Io</w:t>
            </w:r>
          </w:p>
        </w:tc>
      </w:tr>
      <w:tr w:rsidR="0030624B" w14:paraId="4ED6B6AA" w14:textId="77777777" w:rsidTr="00B6569C">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4939E41A" w14:textId="77777777" w:rsidR="0030624B" w:rsidRDefault="0030624B" w:rsidP="00B6569C">
            <w:pPr>
              <w:pStyle w:val="TAH"/>
            </w:pPr>
            <w:r>
              <w:rPr>
                <w:rFonts w:eastAsia="SimSun"/>
              </w:rPr>
              <w:t>Tc</w:t>
            </w:r>
            <w:r>
              <w:rPr>
                <w:rFonts w:eastAsia="SimSun"/>
                <w:vertAlign w:val="superscript"/>
                <w:lang w:eastAsia="zh-CN"/>
              </w:rPr>
              <w:t xml:space="preserve"> Note 4</w:t>
            </w:r>
          </w:p>
        </w:tc>
        <w:tc>
          <w:tcPr>
            <w:tcW w:w="0" w:type="auto"/>
            <w:tcBorders>
              <w:top w:val="single" w:sz="6" w:space="0" w:color="auto"/>
              <w:left w:val="single" w:sz="6" w:space="0" w:color="auto"/>
              <w:bottom w:val="single" w:sz="6" w:space="0" w:color="auto"/>
              <w:right w:val="single" w:sz="4" w:space="0" w:color="auto"/>
            </w:tcBorders>
            <w:vAlign w:val="center"/>
            <w:hideMark/>
          </w:tcPr>
          <w:p w14:paraId="4CF0A112" w14:textId="77777777" w:rsidR="0030624B" w:rsidRDefault="0030624B" w:rsidP="00B6569C">
            <w:pPr>
              <w:pStyle w:val="TAH"/>
            </w:pPr>
            <w:r>
              <w:rPr>
                <w:rFonts w:eastAsia="SimSun"/>
              </w:rPr>
              <w:t>dB</w:t>
            </w:r>
          </w:p>
        </w:tc>
        <w:tc>
          <w:tcPr>
            <w:tcW w:w="0" w:type="auto"/>
            <w:tcBorders>
              <w:top w:val="single" w:sz="6" w:space="0" w:color="auto"/>
              <w:left w:val="single" w:sz="4" w:space="0" w:color="auto"/>
              <w:bottom w:val="single" w:sz="6" w:space="0" w:color="auto"/>
              <w:right w:val="single" w:sz="6" w:space="0" w:color="auto"/>
            </w:tcBorders>
            <w:vAlign w:val="center"/>
            <w:hideMark/>
          </w:tcPr>
          <w:p w14:paraId="46601165" w14:textId="77777777" w:rsidR="0030624B" w:rsidRDefault="0030624B" w:rsidP="00B6569C">
            <w:pPr>
              <w:pStyle w:val="TAH"/>
              <w:rPr>
                <w:lang w:eastAsia="zh-CN"/>
              </w:rPr>
            </w:pPr>
            <w:r>
              <w:rPr>
                <w:rFonts w:eastAsia="SimSun"/>
                <w:lang w:eastAsia="zh-CN"/>
              </w:rPr>
              <w:t>kHz</w:t>
            </w:r>
          </w:p>
        </w:tc>
        <w:tc>
          <w:tcPr>
            <w:tcW w:w="0" w:type="auto"/>
            <w:tcBorders>
              <w:top w:val="single" w:sz="6" w:space="0" w:color="auto"/>
              <w:left w:val="single" w:sz="6" w:space="0" w:color="auto"/>
              <w:bottom w:val="single" w:sz="6" w:space="0" w:color="auto"/>
              <w:right w:val="single" w:sz="6" w:space="0" w:color="auto"/>
            </w:tcBorders>
            <w:vAlign w:val="center"/>
            <w:hideMark/>
          </w:tcPr>
          <w:p w14:paraId="6E883212" w14:textId="77777777" w:rsidR="0030624B" w:rsidRDefault="0030624B" w:rsidP="00B6569C">
            <w:pPr>
              <w:pStyle w:val="TAH"/>
            </w:pPr>
            <w:r>
              <w:rPr>
                <w:rFonts w:eastAsia="SimSun"/>
              </w:rPr>
              <w:t>RB</w:t>
            </w:r>
          </w:p>
        </w:tc>
        <w:tc>
          <w:tcPr>
            <w:tcW w:w="0" w:type="auto"/>
            <w:tcBorders>
              <w:top w:val="single" w:sz="6" w:space="0" w:color="auto"/>
              <w:left w:val="single" w:sz="6" w:space="0" w:color="auto"/>
              <w:bottom w:val="single" w:sz="6" w:space="0" w:color="auto"/>
              <w:right w:val="single" w:sz="6" w:space="0" w:color="auto"/>
            </w:tcBorders>
            <w:vAlign w:val="center"/>
          </w:tcPr>
          <w:p w14:paraId="79F5C955" w14:textId="77777777" w:rsidR="0030624B" w:rsidRDefault="0030624B" w:rsidP="00B6569C">
            <w:pPr>
              <w:pStyle w:val="TAH"/>
            </w:pPr>
          </w:p>
        </w:tc>
        <w:tc>
          <w:tcPr>
            <w:tcW w:w="0" w:type="auto"/>
            <w:tcBorders>
              <w:top w:val="single" w:sz="6" w:space="0" w:color="auto"/>
              <w:left w:val="single" w:sz="6" w:space="0" w:color="auto"/>
              <w:bottom w:val="single" w:sz="6" w:space="0" w:color="auto"/>
              <w:right w:val="single" w:sz="6" w:space="0" w:color="auto"/>
            </w:tcBorders>
            <w:vAlign w:val="center"/>
            <w:hideMark/>
          </w:tcPr>
          <w:p w14:paraId="6539B830" w14:textId="77777777" w:rsidR="0030624B" w:rsidRDefault="0030624B" w:rsidP="00B6569C">
            <w:pPr>
              <w:pStyle w:val="TAH"/>
            </w:pPr>
            <w:r>
              <w:rPr>
                <w:rFonts w:eastAsia="SimSun"/>
              </w:rPr>
              <w:t>dBm/SCS</w:t>
            </w:r>
            <w:r>
              <w:rPr>
                <w:rFonts w:eastAsia="SimSun"/>
                <w:vertAlign w:val="superscript"/>
                <w:lang w:eastAsia="zh-CN"/>
              </w:rPr>
              <w:t xml:space="preserve"> </w:t>
            </w:r>
          </w:p>
        </w:tc>
        <w:tc>
          <w:tcPr>
            <w:tcW w:w="0" w:type="auto"/>
            <w:tcBorders>
              <w:top w:val="single" w:sz="6" w:space="0" w:color="auto"/>
              <w:left w:val="single" w:sz="6" w:space="0" w:color="auto"/>
              <w:bottom w:val="single" w:sz="6" w:space="0" w:color="auto"/>
              <w:right w:val="single" w:sz="4" w:space="0" w:color="auto"/>
            </w:tcBorders>
            <w:vAlign w:val="center"/>
            <w:hideMark/>
          </w:tcPr>
          <w:p w14:paraId="725C0272" w14:textId="77777777" w:rsidR="0030624B" w:rsidRDefault="0030624B" w:rsidP="00B6569C">
            <w:pPr>
              <w:pStyle w:val="TAH"/>
            </w:pPr>
            <w:r>
              <w:rPr>
                <w:rFonts w:eastAsia="SimSun"/>
              </w:rPr>
              <w:t>dBm/BW</w:t>
            </w:r>
            <w:r>
              <w:rPr>
                <w:rFonts w:eastAsia="SimSun"/>
                <w:vertAlign w:val="subscript"/>
              </w:rPr>
              <w:t>Channel</w:t>
            </w:r>
          </w:p>
        </w:tc>
      </w:tr>
      <w:tr w:rsidR="0030624B" w14:paraId="1B8E3EA0" w14:textId="77777777" w:rsidTr="00B6569C">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1E2A7D4A" w14:textId="77777777" w:rsidR="0030624B" w:rsidRDefault="0030624B" w:rsidP="00B6569C">
            <w:pPr>
              <w:pStyle w:val="TAL"/>
              <w:rPr>
                <w:b/>
                <w:sz w:val="16"/>
                <w:szCs w:val="16"/>
                <w:vertAlign w:val="superscript"/>
              </w:rPr>
            </w:pPr>
            <w:r>
              <w:rPr>
                <w:rFonts w:eastAsia="SimSun"/>
                <w:lang w:eastAsia="zh-CN"/>
              </w:rPr>
              <w:t xml:space="preserve">24 </w:t>
            </w:r>
          </w:p>
        </w:tc>
        <w:tc>
          <w:tcPr>
            <w:tcW w:w="0" w:type="auto"/>
            <w:vMerge w:val="restart"/>
            <w:tcBorders>
              <w:top w:val="nil"/>
              <w:left w:val="single" w:sz="6" w:space="0" w:color="auto"/>
              <w:bottom w:val="nil"/>
              <w:right w:val="single" w:sz="4" w:space="0" w:color="auto"/>
            </w:tcBorders>
            <w:vAlign w:val="center"/>
          </w:tcPr>
          <w:p w14:paraId="5F153814" w14:textId="77777777" w:rsidR="0030624B" w:rsidRDefault="0030624B" w:rsidP="00B6569C">
            <w:pPr>
              <w:pStyle w:val="TAC"/>
              <w:rPr>
                <w:rFonts w:eastAsia="SimSun"/>
              </w:rPr>
            </w:pPr>
            <w:r>
              <w:rPr>
                <w:rFonts w:eastAsia="SimSun"/>
              </w:rPr>
              <w:t>(PRS Ês/Iot)</w:t>
            </w:r>
            <w:r>
              <w:rPr>
                <w:rFonts w:eastAsia="SimSun"/>
                <w:vertAlign w:val="subscript"/>
              </w:rPr>
              <w:t xml:space="preserve">ref </w:t>
            </w:r>
            <w:r>
              <w:rPr>
                <w:rFonts w:eastAsia="SimSun"/>
              </w:rPr>
              <w:t>≥-3dB</w:t>
            </w:r>
          </w:p>
          <w:p w14:paraId="4C1539F2" w14:textId="77777777" w:rsidR="0030624B" w:rsidRDefault="0030624B" w:rsidP="00B6569C">
            <w:pPr>
              <w:pStyle w:val="TAC"/>
              <w:rPr>
                <w:rFonts w:eastAsia="SimSun"/>
              </w:rPr>
            </w:pPr>
          </w:p>
          <w:p w14:paraId="655CDB38" w14:textId="77777777" w:rsidR="0030624B" w:rsidRDefault="0030624B" w:rsidP="00B6569C">
            <w:pPr>
              <w:pStyle w:val="TAC"/>
              <w:rPr>
                <w:b/>
                <w:sz w:val="16"/>
                <w:szCs w:val="16"/>
              </w:rPr>
            </w:pPr>
            <w:r>
              <w:rPr>
                <w:rFonts w:eastAsia="SimSun"/>
              </w:rPr>
              <w:t xml:space="preserve"> (PRS Ês/Iot)</w:t>
            </w:r>
            <w:r>
              <w:rPr>
                <w:rFonts w:eastAsia="SimSun"/>
                <w:i/>
                <w:vertAlign w:val="subscript"/>
              </w:rPr>
              <w:t>i</w:t>
            </w:r>
            <w:r>
              <w:rPr>
                <w:rFonts w:eastAsia="SimSun"/>
              </w:rPr>
              <w:t xml:space="preserve"> ≥-6dB</w:t>
            </w:r>
          </w:p>
        </w:tc>
        <w:tc>
          <w:tcPr>
            <w:tcW w:w="0" w:type="auto"/>
            <w:vMerge w:val="restart"/>
            <w:tcBorders>
              <w:top w:val="nil"/>
              <w:left w:val="single" w:sz="4" w:space="0" w:color="auto"/>
              <w:bottom w:val="single" w:sz="6" w:space="0" w:color="auto"/>
              <w:right w:val="single" w:sz="6" w:space="0" w:color="auto"/>
            </w:tcBorders>
            <w:vAlign w:val="center"/>
            <w:hideMark/>
          </w:tcPr>
          <w:p w14:paraId="3652D92C" w14:textId="77777777" w:rsidR="0030624B" w:rsidRDefault="0030624B" w:rsidP="00B6569C">
            <w:pPr>
              <w:pStyle w:val="TAC"/>
              <w:rPr>
                <w:bCs/>
                <w:lang w:eastAsia="zh-CN"/>
              </w:rPr>
            </w:pPr>
            <w:r>
              <w:rPr>
                <w:rFonts w:eastAsia="SimSun"/>
                <w:bCs/>
                <w:lang w:eastAsia="zh-CN"/>
              </w:rPr>
              <w:t>60</w:t>
            </w:r>
          </w:p>
        </w:tc>
        <w:tc>
          <w:tcPr>
            <w:tcW w:w="0" w:type="auto"/>
            <w:tcBorders>
              <w:top w:val="single" w:sz="6" w:space="0" w:color="auto"/>
              <w:left w:val="single" w:sz="6" w:space="0" w:color="auto"/>
              <w:bottom w:val="single" w:sz="6" w:space="0" w:color="auto"/>
              <w:right w:val="single" w:sz="6" w:space="0" w:color="auto"/>
            </w:tcBorders>
            <w:vAlign w:val="center"/>
            <w:hideMark/>
          </w:tcPr>
          <w:p w14:paraId="2362410E" w14:textId="77777777" w:rsidR="0030624B" w:rsidRDefault="0030624B" w:rsidP="00B6569C">
            <w:pPr>
              <w:pStyle w:val="TAC"/>
              <w:rPr>
                <w:b/>
                <w:sz w:val="16"/>
                <w:szCs w:val="16"/>
              </w:rPr>
            </w:pPr>
            <w:r>
              <w:rPr>
                <w:rFonts w:eastAsia="SimSun"/>
              </w:rPr>
              <w:t>≥ 64</w:t>
            </w:r>
          </w:p>
        </w:tc>
        <w:tc>
          <w:tcPr>
            <w:tcW w:w="0" w:type="auto"/>
            <w:tcBorders>
              <w:top w:val="single" w:sz="6" w:space="0" w:color="auto"/>
              <w:left w:val="single" w:sz="6" w:space="0" w:color="auto"/>
              <w:bottom w:val="single" w:sz="6" w:space="0" w:color="auto"/>
              <w:right w:val="single" w:sz="6" w:space="0" w:color="auto"/>
            </w:tcBorders>
            <w:vAlign w:val="center"/>
            <w:hideMark/>
          </w:tcPr>
          <w:p w14:paraId="0B668849" w14:textId="77777777" w:rsidR="0030624B" w:rsidRDefault="0030624B" w:rsidP="00B6569C">
            <w:pPr>
              <w:pStyle w:val="TAC"/>
              <w:rPr>
                <w:b/>
              </w:rPr>
            </w:pPr>
            <w:r>
              <w:rPr>
                <w:rFonts w:eastAsia="SimSun"/>
              </w:rPr>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778715F5" w14:textId="3C7F5DF5" w:rsidR="0030624B" w:rsidRDefault="0030624B" w:rsidP="00B6569C">
            <w:pPr>
              <w:pStyle w:val="TAC"/>
              <w:rPr>
                <w:b/>
                <w:sz w:val="16"/>
                <w:szCs w:val="16"/>
              </w:rPr>
            </w:pPr>
            <w:r>
              <w:t>Same value as PRS_RP in Table B.2.</w:t>
            </w:r>
            <w:r>
              <w:rPr>
                <w:rFonts w:hint="eastAsia"/>
                <w:lang w:eastAsia="zh-CN"/>
              </w:rPr>
              <w:t>14</w:t>
            </w:r>
            <w:r>
              <w:t>-2, according to UE Power class, operating band and angle of arrival</w:t>
            </w:r>
          </w:p>
        </w:tc>
        <w:tc>
          <w:tcPr>
            <w:tcW w:w="0" w:type="auto"/>
            <w:tcBorders>
              <w:top w:val="single" w:sz="6" w:space="0" w:color="auto"/>
              <w:left w:val="single" w:sz="6" w:space="0" w:color="auto"/>
              <w:bottom w:val="single" w:sz="6" w:space="0" w:color="auto"/>
              <w:right w:val="single" w:sz="4" w:space="0" w:color="auto"/>
            </w:tcBorders>
            <w:vAlign w:val="center"/>
            <w:hideMark/>
          </w:tcPr>
          <w:p w14:paraId="1462561C" w14:textId="77777777" w:rsidR="0030624B" w:rsidRDefault="0030624B" w:rsidP="00B6569C">
            <w:pPr>
              <w:pStyle w:val="TAC"/>
              <w:rPr>
                <w:b/>
                <w:sz w:val="16"/>
                <w:szCs w:val="16"/>
              </w:rPr>
            </w:pPr>
            <w:r>
              <w:rPr>
                <w:rFonts w:eastAsia="SimSun"/>
              </w:rPr>
              <w:t>Note 5</w:t>
            </w:r>
          </w:p>
        </w:tc>
      </w:tr>
      <w:tr w:rsidR="0030624B" w14:paraId="4E6C1AB1" w14:textId="77777777" w:rsidTr="00B6569C">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3B053A6B" w14:textId="77777777" w:rsidR="0030624B" w:rsidRDefault="0030624B" w:rsidP="00B6569C">
            <w:pPr>
              <w:pStyle w:val="TAL"/>
              <w:rPr>
                <w:lang w:eastAsia="zh-CN"/>
              </w:rPr>
            </w:pPr>
            <w:r>
              <w:rPr>
                <w:rFonts w:eastAsia="SimSun"/>
                <w:lang w:eastAsia="zh-CN"/>
              </w:rPr>
              <w:t>11</w:t>
            </w:r>
          </w:p>
        </w:tc>
        <w:tc>
          <w:tcPr>
            <w:tcW w:w="0" w:type="auto"/>
            <w:vMerge/>
            <w:tcBorders>
              <w:top w:val="nil"/>
              <w:left w:val="single" w:sz="6" w:space="0" w:color="auto"/>
              <w:bottom w:val="nil"/>
              <w:right w:val="single" w:sz="4" w:space="0" w:color="auto"/>
            </w:tcBorders>
            <w:vAlign w:val="center"/>
            <w:hideMark/>
          </w:tcPr>
          <w:p w14:paraId="529F00D9" w14:textId="77777777" w:rsidR="0030624B" w:rsidRDefault="0030624B" w:rsidP="00B6569C">
            <w:pPr>
              <w:spacing w:after="0"/>
              <w:rPr>
                <w:rFonts w:ascii="Arial" w:eastAsia="SimSun" w:hAnsi="Arial"/>
                <w:b/>
                <w:sz w:val="16"/>
                <w:szCs w:val="16"/>
              </w:rPr>
            </w:pPr>
          </w:p>
        </w:tc>
        <w:tc>
          <w:tcPr>
            <w:tcW w:w="0" w:type="auto"/>
            <w:vMerge/>
            <w:tcBorders>
              <w:top w:val="nil"/>
              <w:left w:val="single" w:sz="4" w:space="0" w:color="auto"/>
              <w:bottom w:val="single" w:sz="6" w:space="0" w:color="auto"/>
              <w:right w:val="single" w:sz="6" w:space="0" w:color="auto"/>
            </w:tcBorders>
            <w:vAlign w:val="center"/>
            <w:hideMark/>
          </w:tcPr>
          <w:p w14:paraId="38F066D7" w14:textId="77777777" w:rsidR="0030624B" w:rsidRDefault="0030624B" w:rsidP="00B6569C">
            <w:pPr>
              <w:spacing w:after="0"/>
              <w:rPr>
                <w:rFonts w:ascii="Arial" w:eastAsia="SimSun" w:hAnsi="Arial"/>
                <w:bCs/>
                <w:sz w:val="18"/>
                <w:lang w:eastAsia="zh-CN"/>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9A6100E" w14:textId="77777777" w:rsidR="0030624B" w:rsidRDefault="0030624B" w:rsidP="00B6569C">
            <w:pPr>
              <w:pStyle w:val="TAC"/>
            </w:pPr>
            <w:r>
              <w:rPr>
                <w:rFonts w:eastAsia="SimSun"/>
              </w:rPr>
              <w:t>≥ 132</w:t>
            </w:r>
          </w:p>
        </w:tc>
        <w:tc>
          <w:tcPr>
            <w:tcW w:w="0" w:type="auto"/>
            <w:tcBorders>
              <w:top w:val="single" w:sz="6" w:space="0" w:color="auto"/>
              <w:left w:val="single" w:sz="6" w:space="0" w:color="auto"/>
              <w:bottom w:val="single" w:sz="6" w:space="0" w:color="auto"/>
              <w:right w:val="single" w:sz="6" w:space="0" w:color="auto"/>
            </w:tcBorders>
            <w:vAlign w:val="center"/>
            <w:hideMark/>
          </w:tcPr>
          <w:p w14:paraId="72C2F400" w14:textId="77777777" w:rsidR="0030624B" w:rsidRDefault="0030624B" w:rsidP="00B6569C">
            <w:pPr>
              <w:pStyle w:val="TAC"/>
            </w:pPr>
            <w:r>
              <w:rPr>
                <w:rFonts w:eastAsia="SimSun"/>
              </w:rPr>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3C179B36" w14:textId="77777777" w:rsidR="0030624B" w:rsidRDefault="0030624B" w:rsidP="00B6569C">
            <w:pPr>
              <w:pStyle w:val="TAC"/>
            </w:pPr>
            <w:r>
              <w:rPr>
                <w:rFonts w:eastAsia="SimSun"/>
              </w:rPr>
              <w:t>Note 5</w:t>
            </w:r>
          </w:p>
        </w:tc>
        <w:tc>
          <w:tcPr>
            <w:tcW w:w="0" w:type="auto"/>
            <w:tcBorders>
              <w:top w:val="single" w:sz="6" w:space="0" w:color="auto"/>
              <w:left w:val="single" w:sz="6" w:space="0" w:color="auto"/>
              <w:bottom w:val="single" w:sz="6" w:space="0" w:color="auto"/>
              <w:right w:val="single" w:sz="4" w:space="0" w:color="auto"/>
            </w:tcBorders>
            <w:vAlign w:val="center"/>
            <w:hideMark/>
          </w:tcPr>
          <w:p w14:paraId="70AA4027" w14:textId="77777777" w:rsidR="0030624B" w:rsidRDefault="0030624B" w:rsidP="00B6569C">
            <w:pPr>
              <w:pStyle w:val="TAC"/>
            </w:pPr>
            <w:r>
              <w:rPr>
                <w:rFonts w:eastAsia="SimSun"/>
              </w:rPr>
              <w:t>Note 5</w:t>
            </w:r>
          </w:p>
        </w:tc>
      </w:tr>
      <w:tr w:rsidR="0030624B" w14:paraId="77FC6DD2" w14:textId="77777777" w:rsidTr="00B6569C">
        <w:trPr>
          <w:jc w:val="center"/>
        </w:trPr>
        <w:tc>
          <w:tcPr>
            <w:tcW w:w="0" w:type="auto"/>
            <w:tcBorders>
              <w:top w:val="single" w:sz="6" w:space="0" w:color="auto"/>
              <w:left w:val="single" w:sz="4" w:space="0" w:color="auto"/>
              <w:bottom w:val="single" w:sz="6" w:space="0" w:color="auto"/>
              <w:right w:val="single" w:sz="6" w:space="0" w:color="auto"/>
            </w:tcBorders>
            <w:hideMark/>
          </w:tcPr>
          <w:p w14:paraId="2448E254" w14:textId="77777777" w:rsidR="0030624B" w:rsidRDefault="0030624B" w:rsidP="00B6569C">
            <w:pPr>
              <w:pStyle w:val="TAL"/>
              <w:rPr>
                <w:lang w:eastAsia="zh-CN"/>
              </w:rPr>
            </w:pPr>
            <w:r>
              <w:rPr>
                <w:rFonts w:eastAsia="SimSun"/>
                <w:lang w:eastAsia="zh-CN"/>
              </w:rPr>
              <w:t>13</w:t>
            </w:r>
          </w:p>
        </w:tc>
        <w:tc>
          <w:tcPr>
            <w:tcW w:w="0" w:type="auto"/>
            <w:vMerge/>
            <w:tcBorders>
              <w:top w:val="nil"/>
              <w:left w:val="single" w:sz="6" w:space="0" w:color="auto"/>
              <w:bottom w:val="nil"/>
              <w:right w:val="single" w:sz="4" w:space="0" w:color="auto"/>
            </w:tcBorders>
            <w:vAlign w:val="center"/>
            <w:hideMark/>
          </w:tcPr>
          <w:p w14:paraId="1B1F64D1" w14:textId="77777777" w:rsidR="0030624B" w:rsidRDefault="0030624B" w:rsidP="00B6569C">
            <w:pPr>
              <w:spacing w:after="0"/>
              <w:rPr>
                <w:rFonts w:ascii="Arial" w:eastAsia="SimSun" w:hAnsi="Arial"/>
                <w:b/>
                <w:sz w:val="16"/>
                <w:szCs w:val="16"/>
              </w:rPr>
            </w:pPr>
          </w:p>
        </w:tc>
        <w:tc>
          <w:tcPr>
            <w:tcW w:w="0" w:type="auto"/>
            <w:vMerge w:val="restart"/>
            <w:tcBorders>
              <w:top w:val="single" w:sz="4" w:space="0" w:color="auto"/>
              <w:left w:val="single" w:sz="4" w:space="0" w:color="auto"/>
              <w:bottom w:val="single" w:sz="4" w:space="0" w:color="auto"/>
              <w:right w:val="single" w:sz="6" w:space="0" w:color="auto"/>
            </w:tcBorders>
            <w:vAlign w:val="center"/>
            <w:hideMark/>
          </w:tcPr>
          <w:p w14:paraId="1E6B7786" w14:textId="77777777" w:rsidR="0030624B" w:rsidRDefault="0030624B" w:rsidP="00B6569C">
            <w:pPr>
              <w:pStyle w:val="TAC"/>
              <w:rPr>
                <w:lang w:val="sv-SE" w:eastAsia="zh-CN"/>
              </w:rPr>
            </w:pPr>
            <w:r>
              <w:rPr>
                <w:rFonts w:eastAsia="SimSun"/>
                <w:lang w:val="sv-SE" w:eastAsia="zh-CN"/>
              </w:rPr>
              <w:t>120</w:t>
            </w:r>
          </w:p>
        </w:tc>
        <w:tc>
          <w:tcPr>
            <w:tcW w:w="0" w:type="auto"/>
            <w:tcBorders>
              <w:top w:val="single" w:sz="6" w:space="0" w:color="auto"/>
              <w:left w:val="single" w:sz="6" w:space="0" w:color="auto"/>
              <w:bottom w:val="single" w:sz="6" w:space="0" w:color="auto"/>
              <w:right w:val="single" w:sz="6" w:space="0" w:color="auto"/>
            </w:tcBorders>
            <w:vAlign w:val="center"/>
            <w:hideMark/>
          </w:tcPr>
          <w:p w14:paraId="1BD5221A" w14:textId="77777777" w:rsidR="0030624B" w:rsidRDefault="0030624B" w:rsidP="00B6569C">
            <w:pPr>
              <w:pStyle w:val="TAC"/>
            </w:pPr>
            <w:r>
              <w:rPr>
                <w:rFonts w:eastAsia="SimSun"/>
              </w:rPr>
              <w:t>≥ 64</w:t>
            </w:r>
          </w:p>
        </w:tc>
        <w:tc>
          <w:tcPr>
            <w:tcW w:w="0" w:type="auto"/>
            <w:tcBorders>
              <w:top w:val="single" w:sz="6" w:space="0" w:color="auto"/>
              <w:left w:val="single" w:sz="6" w:space="0" w:color="auto"/>
              <w:bottom w:val="single" w:sz="6" w:space="0" w:color="auto"/>
              <w:right w:val="single" w:sz="6" w:space="0" w:color="auto"/>
            </w:tcBorders>
            <w:vAlign w:val="center"/>
            <w:hideMark/>
          </w:tcPr>
          <w:p w14:paraId="5A8A11CA" w14:textId="77777777" w:rsidR="0030624B" w:rsidRDefault="0030624B" w:rsidP="00B6569C">
            <w:pPr>
              <w:pStyle w:val="TAC"/>
            </w:pPr>
            <w:r>
              <w:rPr>
                <w:rFonts w:eastAsia="SimSun"/>
              </w:rPr>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7DD9641F" w14:textId="7D44568B" w:rsidR="0030624B" w:rsidRDefault="0030624B" w:rsidP="00B6569C">
            <w:pPr>
              <w:pStyle w:val="TAC"/>
            </w:pPr>
            <w:r>
              <w:t>Same value as PRS_RP in Table B.2.</w:t>
            </w:r>
            <w:r>
              <w:rPr>
                <w:rFonts w:hint="eastAsia"/>
                <w:lang w:eastAsia="zh-CN"/>
              </w:rPr>
              <w:t>14</w:t>
            </w:r>
            <w:r>
              <w:t>-2, according to UE Power class, operating band and angle of arrival</w:t>
            </w:r>
          </w:p>
        </w:tc>
        <w:tc>
          <w:tcPr>
            <w:tcW w:w="0" w:type="auto"/>
            <w:tcBorders>
              <w:top w:val="single" w:sz="6" w:space="0" w:color="auto"/>
              <w:left w:val="single" w:sz="6" w:space="0" w:color="auto"/>
              <w:bottom w:val="single" w:sz="6" w:space="0" w:color="auto"/>
              <w:right w:val="single" w:sz="4" w:space="0" w:color="auto"/>
            </w:tcBorders>
            <w:vAlign w:val="center"/>
            <w:hideMark/>
          </w:tcPr>
          <w:p w14:paraId="17E2EF20" w14:textId="77777777" w:rsidR="0030624B" w:rsidRDefault="0030624B" w:rsidP="00B6569C">
            <w:pPr>
              <w:pStyle w:val="TAC"/>
            </w:pPr>
            <w:r>
              <w:rPr>
                <w:rFonts w:eastAsia="SimSun"/>
              </w:rPr>
              <w:t>Note 5</w:t>
            </w:r>
          </w:p>
        </w:tc>
      </w:tr>
      <w:tr w:rsidR="0030624B" w14:paraId="2F22E0CE" w14:textId="77777777" w:rsidTr="00B6569C">
        <w:trPr>
          <w:jc w:val="center"/>
        </w:trPr>
        <w:tc>
          <w:tcPr>
            <w:tcW w:w="0" w:type="auto"/>
            <w:tcBorders>
              <w:top w:val="single" w:sz="6" w:space="0" w:color="auto"/>
              <w:left w:val="single" w:sz="4" w:space="0" w:color="auto"/>
              <w:bottom w:val="single" w:sz="6" w:space="0" w:color="auto"/>
              <w:right w:val="single" w:sz="6" w:space="0" w:color="auto"/>
            </w:tcBorders>
            <w:hideMark/>
          </w:tcPr>
          <w:p w14:paraId="2A0E1145" w14:textId="77777777" w:rsidR="0030624B" w:rsidRDefault="0030624B" w:rsidP="00B6569C">
            <w:pPr>
              <w:pStyle w:val="TAL"/>
              <w:rPr>
                <w:lang w:eastAsia="zh-CN"/>
              </w:rPr>
            </w:pPr>
            <w:r>
              <w:rPr>
                <w:rFonts w:eastAsia="SimSun"/>
                <w:lang w:eastAsia="zh-CN"/>
              </w:rPr>
              <w:t xml:space="preserve">6 </w:t>
            </w:r>
          </w:p>
        </w:tc>
        <w:tc>
          <w:tcPr>
            <w:tcW w:w="0" w:type="auto"/>
            <w:vMerge/>
            <w:tcBorders>
              <w:top w:val="nil"/>
              <w:left w:val="single" w:sz="6" w:space="0" w:color="auto"/>
              <w:bottom w:val="nil"/>
              <w:right w:val="single" w:sz="4" w:space="0" w:color="auto"/>
            </w:tcBorders>
            <w:vAlign w:val="center"/>
            <w:hideMark/>
          </w:tcPr>
          <w:p w14:paraId="78B940D5" w14:textId="77777777" w:rsidR="0030624B" w:rsidRDefault="0030624B" w:rsidP="00B6569C">
            <w:pPr>
              <w:spacing w:after="0"/>
              <w:rPr>
                <w:rFonts w:ascii="Arial" w:eastAsia="SimSun" w:hAnsi="Arial"/>
                <w:b/>
                <w:sz w:val="16"/>
                <w:szCs w:val="16"/>
              </w:rPr>
            </w:pPr>
          </w:p>
        </w:tc>
        <w:tc>
          <w:tcPr>
            <w:tcW w:w="0" w:type="auto"/>
            <w:vMerge/>
            <w:tcBorders>
              <w:top w:val="single" w:sz="4" w:space="0" w:color="auto"/>
              <w:left w:val="single" w:sz="4" w:space="0" w:color="auto"/>
              <w:bottom w:val="single" w:sz="4" w:space="0" w:color="auto"/>
              <w:right w:val="single" w:sz="6" w:space="0" w:color="auto"/>
            </w:tcBorders>
            <w:vAlign w:val="center"/>
            <w:hideMark/>
          </w:tcPr>
          <w:p w14:paraId="75F91121" w14:textId="77777777" w:rsidR="0030624B" w:rsidRDefault="0030624B" w:rsidP="00B6569C">
            <w:pPr>
              <w:spacing w:after="0"/>
              <w:rPr>
                <w:rFonts w:ascii="Arial" w:eastAsia="SimSun" w:hAnsi="Arial"/>
                <w:sz w:val="18"/>
                <w:lang w:val="sv-SE" w:eastAsia="zh-CN"/>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F13129A" w14:textId="77777777" w:rsidR="0030624B" w:rsidRDefault="0030624B" w:rsidP="00B6569C">
            <w:pPr>
              <w:pStyle w:val="TAC"/>
            </w:pPr>
            <w:r>
              <w:rPr>
                <w:rFonts w:eastAsia="SimSun"/>
              </w:rPr>
              <w:t>≥ 128</w:t>
            </w:r>
          </w:p>
        </w:tc>
        <w:tc>
          <w:tcPr>
            <w:tcW w:w="0" w:type="auto"/>
            <w:tcBorders>
              <w:top w:val="single" w:sz="6" w:space="0" w:color="auto"/>
              <w:left w:val="single" w:sz="6" w:space="0" w:color="auto"/>
              <w:bottom w:val="single" w:sz="6" w:space="0" w:color="auto"/>
              <w:right w:val="single" w:sz="6" w:space="0" w:color="auto"/>
            </w:tcBorders>
            <w:vAlign w:val="center"/>
            <w:hideMark/>
          </w:tcPr>
          <w:p w14:paraId="49BD8246" w14:textId="77777777" w:rsidR="0030624B" w:rsidRDefault="0030624B" w:rsidP="00B6569C">
            <w:pPr>
              <w:pStyle w:val="TAC"/>
            </w:pPr>
            <w:r>
              <w:rPr>
                <w:rFonts w:eastAsia="SimSun"/>
              </w:rPr>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063B99AA" w14:textId="77777777" w:rsidR="0030624B" w:rsidRDefault="0030624B" w:rsidP="00B6569C">
            <w:pPr>
              <w:pStyle w:val="TAC"/>
            </w:pPr>
            <w:r>
              <w:rPr>
                <w:rFonts w:eastAsia="SimSun"/>
              </w:rPr>
              <w:t>Note 5</w:t>
            </w:r>
          </w:p>
        </w:tc>
        <w:tc>
          <w:tcPr>
            <w:tcW w:w="0" w:type="auto"/>
            <w:tcBorders>
              <w:top w:val="single" w:sz="6" w:space="0" w:color="auto"/>
              <w:left w:val="single" w:sz="6" w:space="0" w:color="auto"/>
              <w:bottom w:val="single" w:sz="6" w:space="0" w:color="auto"/>
              <w:right w:val="single" w:sz="4" w:space="0" w:color="auto"/>
            </w:tcBorders>
            <w:vAlign w:val="center"/>
            <w:hideMark/>
          </w:tcPr>
          <w:p w14:paraId="3782C741" w14:textId="77777777" w:rsidR="0030624B" w:rsidRDefault="0030624B" w:rsidP="00B6569C">
            <w:pPr>
              <w:pStyle w:val="TAC"/>
            </w:pPr>
            <w:r>
              <w:rPr>
                <w:rFonts w:eastAsia="SimSun"/>
              </w:rPr>
              <w:t>Note 5</w:t>
            </w:r>
          </w:p>
        </w:tc>
      </w:tr>
      <w:tr w:rsidR="0030624B" w14:paraId="5655B09D" w14:textId="77777777" w:rsidTr="00B6569C">
        <w:trPr>
          <w:jc w:val="center"/>
        </w:trPr>
        <w:tc>
          <w:tcPr>
            <w:tcW w:w="0" w:type="auto"/>
            <w:gridSpan w:val="7"/>
            <w:tcBorders>
              <w:top w:val="single" w:sz="6" w:space="0" w:color="auto"/>
              <w:left w:val="single" w:sz="4" w:space="0" w:color="auto"/>
              <w:bottom w:val="single" w:sz="4" w:space="0" w:color="auto"/>
              <w:right w:val="single" w:sz="4" w:space="0" w:color="auto"/>
            </w:tcBorders>
            <w:vAlign w:val="center"/>
            <w:hideMark/>
          </w:tcPr>
          <w:p w14:paraId="681710A8" w14:textId="77777777" w:rsidR="0030624B" w:rsidRDefault="0030624B" w:rsidP="00B6569C">
            <w:pPr>
              <w:pStyle w:val="TAN"/>
              <w:rPr>
                <w:rFonts w:eastAsia="SimSun"/>
              </w:rPr>
            </w:pPr>
            <w:r>
              <w:rPr>
                <w:rFonts w:eastAsia="SimSun"/>
              </w:rPr>
              <w:t>N</w:t>
            </w:r>
            <w:r>
              <w:rPr>
                <w:rFonts w:eastAsia="SimSun"/>
                <w:lang w:eastAsia="zh-CN"/>
              </w:rPr>
              <w:t>OTE</w:t>
            </w:r>
            <w:r>
              <w:rPr>
                <w:rFonts w:eastAsia="SimSun"/>
              </w:rPr>
              <w:t xml:space="preserve"> 1:</w:t>
            </w:r>
            <w:r>
              <w:rPr>
                <w:rFonts w:eastAsia="SimSun"/>
              </w:rPr>
              <w:tab/>
              <w:t>Minimum PRS bandwidth, which is minimum of the PRS bandwidths of the reference resource and the measured neighbour resource i.</w:t>
            </w:r>
          </w:p>
          <w:p w14:paraId="57E6E45B" w14:textId="77777777" w:rsidR="0030624B" w:rsidRDefault="0030624B" w:rsidP="00B6569C">
            <w:pPr>
              <w:pStyle w:val="TAN"/>
              <w:rPr>
                <w:rFonts w:eastAsia="SimSun"/>
                <w:lang w:val="en-US" w:eastAsia="zh-CN"/>
              </w:rPr>
            </w:pPr>
            <w:r>
              <w:rPr>
                <w:rFonts w:eastAsia="SimSun"/>
              </w:rPr>
              <w:t xml:space="preserve">NOTE 2: </w:t>
            </w:r>
            <w:r>
              <w:rPr>
                <w:rFonts w:eastAsia="SimSun"/>
              </w:rPr>
              <w:tab/>
              <w:t xml:space="preserve">Minimum number of PRS resource repetitions among the reference resource and the measured neighbour resource i. </w:t>
            </w:r>
            <m:oMath>
              <m:sSubSup>
                <m:sSubSupPr>
                  <m:ctrlPr>
                    <w:rPr>
                      <w:rFonts w:ascii="Cambria Math" w:hAnsi="Cambria Math"/>
                      <w:i/>
                      <w:szCs w:val="18"/>
                    </w:rPr>
                  </m:ctrlPr>
                </m:sSubSupPr>
                <m:e>
                  <m:r>
                    <w:rPr>
                      <w:rFonts w:ascii="Cambria Math" w:eastAsia="SimSun" w:hAnsi="Cambria Math"/>
                    </w:rPr>
                    <m:t>T</m:t>
                  </m:r>
                </m:e>
                <m:sub>
                  <m:r>
                    <m:rPr>
                      <m:sty m:val="p"/>
                    </m:rPr>
                    <w:rPr>
                      <w:rFonts w:ascii="Cambria Math" w:eastAsia="SimSun" w:hAnsi="Cambria Math"/>
                    </w:rPr>
                    <m:t>rep</m:t>
                  </m:r>
                </m:sub>
                <m:sup>
                  <m:r>
                    <m:rPr>
                      <m:sty m:val="p"/>
                    </m:rPr>
                    <w:rPr>
                      <w:rFonts w:ascii="Cambria Math" w:eastAsia="SimSun" w:hAnsi="Cambria Math"/>
                    </w:rPr>
                    <m:t>PRS</m:t>
                  </m:r>
                </m:sup>
              </m:sSubSup>
              <m:r>
                <w:rPr>
                  <w:rFonts w:ascii="Cambria Math" w:eastAsia="SimSun" w:hAnsi="Cambria Math"/>
                </w:rPr>
                <m:t xml:space="preserve">, </m:t>
              </m:r>
              <m:sSub>
                <m:sSubPr>
                  <m:ctrlPr>
                    <w:rPr>
                      <w:rFonts w:ascii="Cambria Math" w:hAnsi="Cambria Math"/>
                      <w:szCs w:val="18"/>
                    </w:rPr>
                  </m:ctrlPr>
                </m:sSubPr>
                <m:e>
                  <m:r>
                    <w:rPr>
                      <w:rFonts w:ascii="Cambria Math" w:eastAsia="SimSun" w:hAnsi="Cambria Math"/>
                    </w:rPr>
                    <m:t>L</m:t>
                  </m:r>
                </m:e>
                <m:sub>
                  <m:r>
                    <m:rPr>
                      <m:sty m:val="p"/>
                    </m:rPr>
                    <w:rPr>
                      <w:rFonts w:ascii="Cambria Math" w:eastAsia="SimSun" w:hAnsi="Cambria Math"/>
                    </w:rPr>
                    <m:t>PRS</m:t>
                  </m:r>
                </m:sub>
              </m:sSub>
              <m:r>
                <w:rPr>
                  <w:rFonts w:ascii="Cambria Math" w:eastAsia="SimSun" w:hAnsi="Cambria Math"/>
                </w:rPr>
                <m:t xml:space="preserve"> ,</m:t>
              </m:r>
              <m:sSubSup>
                <m:sSubSupPr>
                  <m:ctrlPr>
                    <w:rPr>
                      <w:rFonts w:ascii="Cambria Math" w:hAnsi="Cambria Math"/>
                      <w:i/>
                      <w:szCs w:val="18"/>
                    </w:rPr>
                  </m:ctrlPr>
                </m:sSubSupPr>
                <m:e>
                  <m:r>
                    <w:rPr>
                      <w:rFonts w:ascii="Cambria Math" w:eastAsia="SimSun" w:hAnsi="Cambria Math"/>
                    </w:rPr>
                    <m:t>K</m:t>
                  </m:r>
                </m:e>
                <m:sub>
                  <m:r>
                    <m:rPr>
                      <m:sty m:val="p"/>
                    </m:rPr>
                    <w:rPr>
                      <w:rFonts w:ascii="Cambria Math" w:eastAsia="SimSun" w:hAnsi="Cambria Math"/>
                    </w:rPr>
                    <m:t>comb</m:t>
                  </m:r>
                </m:sub>
                <m:sup>
                  <m:r>
                    <m:rPr>
                      <m:sty m:val="p"/>
                    </m:rPr>
                    <w:rPr>
                      <w:rFonts w:ascii="Cambria Math" w:eastAsia="SimSun" w:hAnsi="Cambria Math"/>
                    </w:rPr>
                    <m:t>PRS</m:t>
                  </m:r>
                </m:sup>
              </m:sSubSup>
            </m:oMath>
            <w:r>
              <w:rPr>
                <w:rFonts w:eastAsia="SimSun"/>
                <w:b/>
                <w:bCs/>
              </w:rPr>
              <w:t xml:space="preserve"> </w:t>
            </w:r>
            <w:r>
              <w:rPr>
                <w:rFonts w:eastAsia="SimSun"/>
              </w:rPr>
              <w:t xml:space="preserve">are configured by higher layer parameter </w:t>
            </w:r>
            <w:r>
              <w:rPr>
                <w:rFonts w:eastAsia="SimSun"/>
                <w:i/>
              </w:rPr>
              <w:t>dl-PRS-ResourceRepetitionFactor, dl-PRS-NumSymbols and dl-PRS-CombSizeN</w:t>
            </w:r>
            <w:r>
              <w:rPr>
                <w:rFonts w:eastAsia="SimSun"/>
                <w:iCs/>
              </w:rPr>
              <w:t>defined in TS 37.355 [34], respectively</w:t>
            </w:r>
            <w:r>
              <w:rPr>
                <w:rFonts w:eastAsia="SimSun"/>
                <w:lang w:val="en-US" w:eastAsia="zh-CN"/>
              </w:rPr>
              <w:t>.</w:t>
            </w:r>
          </w:p>
          <w:p w14:paraId="4FD36367" w14:textId="77777777" w:rsidR="0030624B" w:rsidRDefault="0030624B" w:rsidP="00B6569C">
            <w:pPr>
              <w:pStyle w:val="TAN"/>
              <w:rPr>
                <w:rFonts w:eastAsia="SimSun"/>
              </w:rPr>
            </w:pPr>
            <w:r>
              <w:rPr>
                <w:rFonts w:eastAsia="SimSun"/>
              </w:rPr>
              <w:t>N</w:t>
            </w:r>
            <w:r>
              <w:rPr>
                <w:rFonts w:eastAsia="SimSun"/>
                <w:lang w:eastAsia="zh-CN"/>
              </w:rPr>
              <w:t>OTE</w:t>
            </w:r>
            <w:r>
              <w:rPr>
                <w:rFonts w:eastAsia="SimSun"/>
              </w:rPr>
              <w:t xml:space="preserve"> 3:</w:t>
            </w:r>
            <w:r>
              <w:rPr>
                <w:rFonts w:eastAsia="SimSun"/>
              </w:rPr>
              <w:tab/>
              <w:t>Io is assumed to have constant EPRE across the bandwidth.</w:t>
            </w:r>
          </w:p>
          <w:p w14:paraId="7B995948" w14:textId="77777777" w:rsidR="0030624B" w:rsidRDefault="0030624B" w:rsidP="00B6569C">
            <w:pPr>
              <w:pStyle w:val="TAN"/>
              <w:rPr>
                <w:rFonts w:eastAsia="SimSun"/>
              </w:rPr>
            </w:pPr>
            <w:r>
              <w:rPr>
                <w:rFonts w:eastAsia="SimSun"/>
              </w:rPr>
              <w:t>NOTE 4:</w:t>
            </w:r>
            <w:r>
              <w:rPr>
                <w:rFonts w:eastAsia="SimSun"/>
              </w:rPr>
              <w:tab/>
              <w:t>Tc is the basic timing unit defined in TS 38.211 [6].</w:t>
            </w:r>
          </w:p>
          <w:p w14:paraId="45030A74" w14:textId="77777777" w:rsidR="0030624B" w:rsidRDefault="0030624B" w:rsidP="00B6569C">
            <w:pPr>
              <w:pStyle w:val="TAN"/>
              <w:rPr>
                <w:rFonts w:eastAsia="SimSun"/>
              </w:rPr>
            </w:pPr>
            <w:r>
              <w:rPr>
                <w:rFonts w:eastAsia="SimSun"/>
              </w:rPr>
              <w:t>NOTE 5:</w:t>
            </w:r>
            <w:r>
              <w:rPr>
                <w:rFonts w:eastAsia="SimSun"/>
              </w:rPr>
              <w:tab/>
              <w:t>The same bands and the same Io conditions for each band apply for this requirement as for the corresponding requirement with the PRS bandwidth of the smallest RB number for the corresponding SCS.</w:t>
            </w:r>
          </w:p>
          <w:p w14:paraId="20B4E22E" w14:textId="77777777" w:rsidR="0030624B" w:rsidRDefault="0030624B" w:rsidP="00B6569C">
            <w:pPr>
              <w:pStyle w:val="TAN"/>
            </w:pPr>
            <w:r>
              <w:rPr>
                <w:rFonts w:eastAsia="SimSun"/>
              </w:rPr>
              <w:t>NOTE 6:</w:t>
            </w:r>
            <w:r>
              <w:rPr>
                <w:rFonts w:eastAsia="SimSun"/>
              </w:rPr>
              <w:tab/>
            </w:r>
            <w:r>
              <w:rPr>
                <w:lang w:eastAsia="zh-CN"/>
              </w:rPr>
              <w:t>Void</w:t>
            </w:r>
          </w:p>
        </w:tc>
      </w:tr>
    </w:tbl>
    <w:p w14:paraId="7CA83D4D" w14:textId="77777777" w:rsidR="00BD7D84" w:rsidRDefault="00BD7D84" w:rsidP="00BD7D84">
      <w:pPr>
        <w:rPr>
          <w:rFonts w:eastAsia="SimSun"/>
          <w:sz w:val="22"/>
          <w:szCs w:val="22"/>
          <w:lang w:eastAsia="x-none"/>
        </w:rPr>
      </w:pPr>
    </w:p>
    <w:p w14:paraId="581B9697" w14:textId="54911ECE" w:rsidR="009323E2" w:rsidRDefault="009323E2" w:rsidP="009323E2">
      <w:pPr>
        <w:pStyle w:val="Heading4"/>
      </w:pPr>
      <w:r w:rsidRPr="00512252">
        <w:t>10.</w:t>
      </w:r>
      <w:r>
        <w:t>1.23</w:t>
      </w:r>
      <w:r w:rsidRPr="00DF3FF6">
        <w:t>.</w:t>
      </w:r>
      <w:r>
        <w:t>3</w:t>
      </w:r>
      <w:r w:rsidRPr="00DF3FF6">
        <w:tab/>
      </w:r>
      <w:r>
        <w:t>Report mapping</w:t>
      </w:r>
    </w:p>
    <w:p w14:paraId="0E2D8B1D" w14:textId="2A0C8D9F" w:rsidR="00686804" w:rsidRDefault="00686804" w:rsidP="00686804">
      <w:pPr>
        <w:pStyle w:val="Heading5"/>
      </w:pPr>
      <w:bookmarkStart w:id="13" w:name="_Hlk52369391"/>
      <w:r>
        <w:t>10</w:t>
      </w:r>
      <w:r w:rsidRPr="002D08F8">
        <w:t>.</w:t>
      </w:r>
      <w:r>
        <w:t>1</w:t>
      </w:r>
      <w:r w:rsidRPr="002D08F8">
        <w:t>.</w:t>
      </w:r>
      <w:r>
        <w:t>23.3.1</w:t>
      </w:r>
      <w:r>
        <w:tab/>
        <w:t xml:space="preserve">Absolute </w:t>
      </w:r>
      <w:r w:rsidRPr="00F674D5">
        <w:t xml:space="preserve">DL RSTD </w:t>
      </w:r>
      <w:r>
        <w:t>M</w:t>
      </w:r>
      <w:r w:rsidRPr="00F674D5">
        <w:t>easurement</w:t>
      </w:r>
      <w:r>
        <w:t xml:space="preserve"> Reporting</w:t>
      </w:r>
    </w:p>
    <w:p w14:paraId="043E804D" w14:textId="77777777" w:rsidR="00686804" w:rsidRPr="00DE253F" w:rsidRDefault="00686804" w:rsidP="00686804">
      <w:r w:rsidRPr="00DE253F">
        <w:t xml:space="preserve">The reporting range for the DL RSTD measurement is defined from </w:t>
      </w:r>
      <w:r w:rsidRPr="00DE253F">
        <w:rPr>
          <w:lang w:eastAsia="zh-CN"/>
        </w:rPr>
        <w:t>-985024</w:t>
      </w:r>
      <w:r w:rsidRPr="00DE253F">
        <w:sym w:font="Symbol" w:char="F0B4"/>
      </w:r>
      <w:r w:rsidRPr="00DE253F">
        <w:t>T</w:t>
      </w:r>
      <w:r w:rsidRPr="00DE253F">
        <w:rPr>
          <w:vertAlign w:val="subscript"/>
        </w:rPr>
        <w:t>c</w:t>
      </w:r>
      <w:r w:rsidRPr="00DE253F">
        <w:t xml:space="preserve"> to </w:t>
      </w:r>
      <w:r w:rsidRPr="00DE253F">
        <w:rPr>
          <w:lang w:eastAsia="zh-CN"/>
        </w:rPr>
        <w:t>985024</w:t>
      </w:r>
      <w:r w:rsidRPr="00DE253F">
        <w:sym w:font="Symbol" w:char="F0B4"/>
      </w:r>
      <w:r w:rsidRPr="00DE253F">
        <w:t>T</w:t>
      </w:r>
      <w:r w:rsidRPr="00DE253F">
        <w:rPr>
          <w:vertAlign w:val="subscript"/>
        </w:rPr>
        <w:t>c</w:t>
      </w:r>
      <w:r w:rsidRPr="00DE253F">
        <w:t xml:space="preserve"> with the resolution step of 2</w:t>
      </w:r>
      <w:r w:rsidRPr="00DE253F">
        <w:rPr>
          <w:i/>
          <w:iCs/>
          <w:vertAlign w:val="superscript"/>
          <w:lang w:eastAsia="zh-CN"/>
        </w:rPr>
        <w:t>k</w:t>
      </w:r>
      <w:r w:rsidRPr="00DE253F">
        <w:sym w:font="Symbol" w:char="F0B4"/>
      </w:r>
      <w:r w:rsidRPr="00DE253F">
        <w:t>T</w:t>
      </w:r>
      <w:r w:rsidRPr="00DE253F">
        <w:rPr>
          <w:vertAlign w:val="subscript"/>
        </w:rPr>
        <w:t>c</w:t>
      </w:r>
      <w:r w:rsidRPr="00DE253F">
        <w:t xml:space="preserve">, where </w:t>
      </w:r>
    </w:p>
    <w:p w14:paraId="6CCCB641" w14:textId="77777777" w:rsidR="00686804" w:rsidRPr="00DE253F" w:rsidRDefault="00686804" w:rsidP="00686804">
      <w:pPr>
        <w:pStyle w:val="B10"/>
      </w:pPr>
      <w:r>
        <w:tab/>
      </w:r>
      <w:r w:rsidRPr="00DE253F">
        <w:t>T</w:t>
      </w:r>
      <w:r w:rsidRPr="00DE253F">
        <w:rPr>
          <w:vertAlign w:val="subscript"/>
        </w:rPr>
        <w:t>c</w:t>
      </w:r>
      <w:r w:rsidRPr="00DE253F">
        <w:t xml:space="preserve"> is defined in TS 38.211 [6], </w:t>
      </w:r>
    </w:p>
    <w:p w14:paraId="0478C2DE" w14:textId="77777777" w:rsidR="00686804" w:rsidRPr="00DE253F" w:rsidRDefault="00686804" w:rsidP="00686804">
      <w:pPr>
        <w:pStyle w:val="B10"/>
      </w:pPr>
      <w:r>
        <w:rPr>
          <w:i/>
          <w:iCs/>
          <w:lang w:eastAsia="ja-JP"/>
        </w:rPr>
        <w:tab/>
      </w:r>
      <w:r w:rsidRPr="00DE253F">
        <w:rPr>
          <w:i/>
          <w:iCs/>
          <w:lang w:eastAsia="ja-JP"/>
        </w:rPr>
        <w:t>k</w:t>
      </w:r>
      <w:r w:rsidRPr="00DE253F">
        <w:rPr>
          <w:i/>
          <w:iCs/>
          <w:vertAlign w:val="subscript"/>
          <w:lang w:eastAsia="ja-JP"/>
        </w:rPr>
        <w:t>min</w:t>
      </w:r>
      <w:r w:rsidRPr="00DE253F">
        <w:rPr>
          <w:lang w:eastAsia="ja-JP"/>
        </w:rPr>
        <w:t>≤</w:t>
      </w:r>
      <w:r w:rsidRPr="00DE253F">
        <w:rPr>
          <w:i/>
          <w:iCs/>
        </w:rPr>
        <w:t>k</w:t>
      </w:r>
      <w:r w:rsidRPr="00DE253F">
        <w:rPr>
          <w:lang w:eastAsia="ja-JP"/>
        </w:rPr>
        <w:t>≤</w:t>
      </w:r>
      <w:r w:rsidRPr="00DE253F">
        <w:rPr>
          <w:i/>
          <w:iCs/>
          <w:lang w:eastAsia="ja-JP"/>
        </w:rPr>
        <w:t>k</w:t>
      </w:r>
      <w:r w:rsidRPr="00DE253F">
        <w:rPr>
          <w:i/>
          <w:iCs/>
          <w:vertAlign w:val="subscript"/>
          <w:lang w:eastAsia="ja-JP"/>
        </w:rPr>
        <w:t>max</w:t>
      </w:r>
      <w:r w:rsidRPr="00DE253F">
        <w:t xml:space="preserve">, </w:t>
      </w:r>
    </w:p>
    <w:p w14:paraId="27D87DD1" w14:textId="77777777" w:rsidR="00686804" w:rsidRPr="00501082" w:rsidRDefault="00686804" w:rsidP="00686804">
      <w:pPr>
        <w:pStyle w:val="B10"/>
      </w:pPr>
      <w:r>
        <w:rPr>
          <w:i/>
          <w:iCs/>
          <w:lang w:eastAsia="ja-JP"/>
        </w:rPr>
        <w:tab/>
      </w:r>
      <w:r w:rsidRPr="00DE253F">
        <w:rPr>
          <w:i/>
          <w:iCs/>
          <w:lang w:eastAsia="ja-JP"/>
        </w:rPr>
        <w:t>k</w:t>
      </w:r>
      <w:r w:rsidRPr="00DE253F">
        <w:rPr>
          <w:i/>
          <w:iCs/>
          <w:vertAlign w:val="subscript"/>
          <w:lang w:eastAsia="ja-JP"/>
        </w:rPr>
        <w:t>min</w:t>
      </w:r>
      <w:r w:rsidRPr="00DE253F">
        <w:rPr>
          <w:lang w:eastAsia="ja-JP"/>
        </w:rPr>
        <w:t>=</w:t>
      </w:r>
      <w:r>
        <w:rPr>
          <w:lang w:eastAsia="ja-JP"/>
        </w:rPr>
        <w:t>[2]</w:t>
      </w:r>
      <w:r w:rsidRPr="00DE253F">
        <w:rPr>
          <w:lang w:eastAsia="ja-JP"/>
        </w:rPr>
        <w:t xml:space="preserve"> and </w:t>
      </w:r>
      <w:r w:rsidRPr="00501082">
        <w:rPr>
          <w:i/>
          <w:iCs/>
          <w:lang w:eastAsia="ja-JP"/>
        </w:rPr>
        <w:t>k</w:t>
      </w:r>
      <w:r w:rsidRPr="00501082">
        <w:rPr>
          <w:i/>
          <w:iCs/>
          <w:vertAlign w:val="subscript"/>
          <w:lang w:eastAsia="ja-JP"/>
        </w:rPr>
        <w:t>max</w:t>
      </w:r>
      <w:r w:rsidRPr="00501082">
        <w:rPr>
          <w:lang w:eastAsia="ja-JP"/>
        </w:rPr>
        <w:t>=5, when configured PRS resource of at least one of the reference cell and neighbor cell measured for the RSTD measurement is in FR1,</w:t>
      </w:r>
    </w:p>
    <w:p w14:paraId="375F731F" w14:textId="77777777" w:rsidR="00686804" w:rsidRPr="00501082" w:rsidRDefault="00686804" w:rsidP="00686804">
      <w:pPr>
        <w:pStyle w:val="B10"/>
      </w:pPr>
      <w:r>
        <w:rPr>
          <w:i/>
          <w:iCs/>
          <w:lang w:eastAsia="ja-JP"/>
        </w:rPr>
        <w:tab/>
      </w:r>
      <w:r w:rsidRPr="00501082">
        <w:rPr>
          <w:i/>
          <w:iCs/>
          <w:lang w:eastAsia="ja-JP"/>
        </w:rPr>
        <w:t>k</w:t>
      </w:r>
      <w:r w:rsidRPr="00501082">
        <w:rPr>
          <w:i/>
          <w:iCs/>
          <w:vertAlign w:val="subscript"/>
          <w:lang w:eastAsia="ja-JP"/>
        </w:rPr>
        <w:t>min</w:t>
      </w:r>
      <w:r w:rsidRPr="00501082">
        <w:rPr>
          <w:lang w:eastAsia="ja-JP"/>
        </w:rPr>
        <w:t xml:space="preserve">=0 and </w:t>
      </w:r>
      <w:r w:rsidRPr="00501082">
        <w:rPr>
          <w:i/>
          <w:iCs/>
          <w:lang w:eastAsia="ja-JP"/>
        </w:rPr>
        <w:t>k</w:t>
      </w:r>
      <w:r w:rsidRPr="00501082">
        <w:rPr>
          <w:i/>
          <w:iCs/>
          <w:vertAlign w:val="subscript"/>
          <w:lang w:eastAsia="ja-JP"/>
        </w:rPr>
        <w:t>max</w:t>
      </w:r>
      <w:r w:rsidRPr="00501082">
        <w:rPr>
          <w:lang w:eastAsia="ja-JP"/>
        </w:rPr>
        <w:t>=5, when configured PRS resource of both the reference cell and neighbor cell measured for the RSTD measurement are in FR2,</w:t>
      </w:r>
    </w:p>
    <w:p w14:paraId="63D04EF1" w14:textId="77777777" w:rsidR="00686804" w:rsidRPr="000C0401" w:rsidRDefault="00686804" w:rsidP="00686804">
      <w:pPr>
        <w:pStyle w:val="B10"/>
      </w:pPr>
      <w:r>
        <w:rPr>
          <w:i/>
          <w:iCs/>
          <w:lang w:eastAsia="ja-JP"/>
        </w:rPr>
        <w:tab/>
      </w:r>
      <w:r w:rsidRPr="00352F37">
        <w:rPr>
          <w:i/>
          <w:iCs/>
          <w:lang w:eastAsia="ja-JP"/>
        </w:rPr>
        <w:t>k≥</w:t>
      </w:r>
      <w:r w:rsidRPr="00352F37">
        <w:rPr>
          <w:lang w:eastAsia="ja-JP"/>
        </w:rPr>
        <w:t xml:space="preserve"> </w:t>
      </w:r>
      <w:r w:rsidRPr="00352F37">
        <w:rPr>
          <w:i/>
          <w:iCs/>
          <w:snapToGrid w:val="0"/>
        </w:rPr>
        <w:t xml:space="preserve">timingReportingGranularityFactor </w:t>
      </w:r>
      <w:r w:rsidRPr="00352F37">
        <w:rPr>
          <w:snapToGrid w:val="0"/>
        </w:rPr>
        <w:t>[3</w:t>
      </w:r>
      <w:r>
        <w:rPr>
          <w:snapToGrid w:val="0"/>
        </w:rPr>
        <w:t>4</w:t>
      </w:r>
      <w:r w:rsidRPr="00352F37">
        <w:rPr>
          <w:snapToGrid w:val="0"/>
        </w:rPr>
        <w:t>] configured by LMF via LPP for the RSTD measurement</w:t>
      </w:r>
      <w:r w:rsidRPr="000C0401">
        <w:t>.</w:t>
      </w:r>
    </w:p>
    <w:p w14:paraId="497155DB" w14:textId="77777777" w:rsidR="00686804" w:rsidRPr="00676B34" w:rsidRDefault="00686804" w:rsidP="002F5786">
      <w:pPr>
        <w:rPr>
          <w:lang w:val="en-US" w:eastAsia="ja-JP"/>
        </w:rPr>
      </w:pPr>
      <w:r w:rsidRPr="00DE253F">
        <w:rPr>
          <w:lang w:val="en-US" w:eastAsia="ja-JP"/>
        </w:rPr>
        <w:t xml:space="preserve">The measurement report mapping for different </w:t>
      </w:r>
      <w:r w:rsidRPr="00DE253F">
        <w:rPr>
          <w:i/>
          <w:iCs/>
          <w:lang w:val="en-US" w:eastAsia="ja-JP"/>
        </w:rPr>
        <w:t>k</w:t>
      </w:r>
      <w:r w:rsidRPr="00DE253F">
        <w:rPr>
          <w:lang w:val="en-US" w:eastAsia="ja-JP"/>
        </w:rPr>
        <w:t xml:space="preserve"> values are specified in Tables 10.1.23.3.1-1 </w:t>
      </w:r>
      <w:r w:rsidRPr="00DE253F">
        <w:rPr>
          <w:lang w:val="en-US" w:eastAsia="ja-JP"/>
        </w:rPr>
        <w:sym w:font="Symbol" w:char="F02D"/>
      </w:r>
      <w:r w:rsidRPr="00DE253F">
        <w:rPr>
          <w:lang w:val="en-US" w:eastAsia="ja-JP"/>
        </w:rPr>
        <w:t xml:space="preserve"> 10.1.23.3.1-6.</w:t>
      </w:r>
    </w:p>
    <w:p w14:paraId="1BF79863" w14:textId="77777777" w:rsidR="00686804" w:rsidRPr="00DE253F" w:rsidRDefault="00686804" w:rsidP="002F5786">
      <w:pPr>
        <w:pStyle w:val="TH"/>
        <w:rPr>
          <w:rFonts w:cs="Arial"/>
          <w:lang w:val="en-US" w:eastAsia="ja-JP"/>
        </w:rPr>
      </w:pPr>
      <w:r w:rsidRPr="00DE253F">
        <w:t xml:space="preserve">Table </w:t>
      </w:r>
      <w:r>
        <w:t>10.1.23.3.1-1</w:t>
      </w:r>
      <w:r w:rsidRPr="00DE253F">
        <w:t xml:space="preserve">: </w:t>
      </w:r>
      <w:r>
        <w:t xml:space="preserve">Report mapping for </w:t>
      </w:r>
      <w:r w:rsidRPr="00DE253F">
        <w:rPr>
          <w:i/>
          <w:iCs/>
        </w:rPr>
        <w:t>k</w:t>
      </w:r>
      <w:r>
        <w:t>=0</w:t>
      </w:r>
    </w:p>
    <w:tbl>
      <w:tblPr>
        <w:tblW w:w="6295"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949"/>
        <w:gridCol w:w="653"/>
      </w:tblGrid>
      <w:tr w:rsidR="00CF56CF" w:rsidRPr="002A78AE" w14:paraId="2F08B6EC" w14:textId="77777777" w:rsidTr="00CF56CF">
        <w:trPr>
          <w:cantSplit/>
          <w:trHeight w:val="263"/>
        </w:trPr>
        <w:tc>
          <w:tcPr>
            <w:tcW w:w="2693" w:type="dxa"/>
            <w:tcBorders>
              <w:bottom w:val="nil"/>
            </w:tcBorders>
            <w:shd w:val="clear" w:color="auto" w:fill="auto"/>
          </w:tcPr>
          <w:p w14:paraId="37F54577" w14:textId="65BCE056" w:rsidR="00CF56CF" w:rsidRPr="002A78AE" w:rsidRDefault="00CF56CF" w:rsidP="00CF56CF">
            <w:pPr>
              <w:pStyle w:val="TAH"/>
            </w:pPr>
            <w:r w:rsidRPr="002A78AE">
              <w:t>Reported Quantity Value</w:t>
            </w:r>
            <w:r>
              <w:t>,</w:t>
            </w:r>
          </w:p>
        </w:tc>
        <w:tc>
          <w:tcPr>
            <w:tcW w:w="2949" w:type="dxa"/>
            <w:tcBorders>
              <w:bottom w:val="nil"/>
            </w:tcBorders>
            <w:shd w:val="clear" w:color="auto" w:fill="auto"/>
          </w:tcPr>
          <w:p w14:paraId="03319304" w14:textId="19D399B8" w:rsidR="00CF56CF" w:rsidRPr="002A78AE" w:rsidRDefault="00CF56CF" w:rsidP="00CF56CF">
            <w:pPr>
              <w:pStyle w:val="TAH"/>
            </w:pPr>
            <w:r w:rsidRPr="002A78AE">
              <w:t>Measured Quantity Value</w:t>
            </w:r>
            <w:r>
              <w:t>,</w:t>
            </w:r>
          </w:p>
        </w:tc>
        <w:tc>
          <w:tcPr>
            <w:tcW w:w="653" w:type="dxa"/>
            <w:tcBorders>
              <w:bottom w:val="nil"/>
            </w:tcBorders>
          </w:tcPr>
          <w:p w14:paraId="1FE1A878" w14:textId="77777777" w:rsidR="00CF56CF" w:rsidRPr="002A78AE" w:rsidRDefault="00CF56CF" w:rsidP="00CF56CF">
            <w:pPr>
              <w:pStyle w:val="TAH"/>
            </w:pPr>
            <w:r w:rsidRPr="002A78AE">
              <w:t>Unit</w:t>
            </w:r>
          </w:p>
        </w:tc>
      </w:tr>
      <w:tr w:rsidR="00CF56CF" w:rsidRPr="002A78AE" w14:paraId="65C300FF" w14:textId="77777777" w:rsidTr="00CF56CF">
        <w:trPr>
          <w:cantSplit/>
          <w:trHeight w:val="262"/>
        </w:trPr>
        <w:tc>
          <w:tcPr>
            <w:tcW w:w="2693" w:type="dxa"/>
            <w:tcBorders>
              <w:top w:val="nil"/>
            </w:tcBorders>
            <w:shd w:val="clear" w:color="auto" w:fill="auto"/>
          </w:tcPr>
          <w:p w14:paraId="10CF0DFC" w14:textId="588FA5AC" w:rsidR="00CF56CF" w:rsidRPr="002A78AE" w:rsidRDefault="00CF56CF" w:rsidP="00CF56CF">
            <w:pPr>
              <w:pStyle w:val="TAH"/>
            </w:pPr>
            <w:r w:rsidRPr="002A78AE">
              <w:t>RSTD_i</w:t>
            </w:r>
          </w:p>
        </w:tc>
        <w:tc>
          <w:tcPr>
            <w:tcW w:w="2949" w:type="dxa"/>
            <w:tcBorders>
              <w:top w:val="nil"/>
            </w:tcBorders>
            <w:shd w:val="clear" w:color="auto" w:fill="auto"/>
          </w:tcPr>
          <w:p w14:paraId="72583CC2" w14:textId="68E1DB41" w:rsidR="00CF56CF" w:rsidRPr="002A78AE" w:rsidRDefault="00CF56CF" w:rsidP="00CF56CF">
            <w:pPr>
              <w:pStyle w:val="TAH"/>
            </w:pPr>
            <w:r w:rsidRPr="002A78AE">
              <w:t>RSTD</w:t>
            </w:r>
          </w:p>
        </w:tc>
        <w:tc>
          <w:tcPr>
            <w:tcW w:w="653" w:type="dxa"/>
            <w:tcBorders>
              <w:top w:val="nil"/>
            </w:tcBorders>
          </w:tcPr>
          <w:p w14:paraId="3E1FD1DE" w14:textId="77777777" w:rsidR="00CF56CF" w:rsidRPr="002A78AE" w:rsidRDefault="00CF56CF" w:rsidP="00CF56CF">
            <w:pPr>
              <w:pStyle w:val="TAH"/>
            </w:pPr>
          </w:p>
        </w:tc>
      </w:tr>
      <w:tr w:rsidR="00686804" w:rsidRPr="002A78AE" w14:paraId="141E305C" w14:textId="77777777" w:rsidTr="00051ED3">
        <w:trPr>
          <w:cantSplit/>
        </w:trPr>
        <w:tc>
          <w:tcPr>
            <w:tcW w:w="2693" w:type="dxa"/>
          </w:tcPr>
          <w:p w14:paraId="0DBD3CEC" w14:textId="77777777" w:rsidR="00686804" w:rsidRPr="002A78AE" w:rsidRDefault="00686804">
            <w:pPr>
              <w:pStyle w:val="TAC"/>
            </w:pPr>
            <w:r w:rsidRPr="002A78AE">
              <w:rPr>
                <w:lang w:eastAsia="zh-CN"/>
              </w:rPr>
              <w:t>RSTD</w:t>
            </w:r>
            <w:r w:rsidRPr="002A78AE">
              <w:t>_000</w:t>
            </w:r>
            <w:r>
              <w:t>000</w:t>
            </w:r>
            <w:r w:rsidRPr="002A78AE">
              <w:t>0</w:t>
            </w:r>
          </w:p>
        </w:tc>
        <w:tc>
          <w:tcPr>
            <w:tcW w:w="2949" w:type="dxa"/>
          </w:tcPr>
          <w:p w14:paraId="2FD6E561" w14:textId="77777777" w:rsidR="00686804" w:rsidRPr="002A78AE" w:rsidRDefault="00686804">
            <w:pPr>
              <w:pStyle w:val="TAC"/>
            </w:pPr>
            <w:r w:rsidRPr="002A78AE">
              <w:rPr>
                <w:lang w:eastAsia="zh-CN"/>
              </w:rPr>
              <w:t>RSTD &lt; -985024</w:t>
            </w:r>
          </w:p>
        </w:tc>
        <w:tc>
          <w:tcPr>
            <w:tcW w:w="653" w:type="dxa"/>
          </w:tcPr>
          <w:p w14:paraId="622A8431" w14:textId="77777777" w:rsidR="00686804" w:rsidRPr="002A78AE" w:rsidRDefault="00686804" w:rsidP="002F5786">
            <w:pPr>
              <w:pStyle w:val="TAC"/>
            </w:pPr>
            <w:r w:rsidRPr="002A78AE">
              <w:t>T</w:t>
            </w:r>
            <w:r w:rsidRPr="002A78AE">
              <w:rPr>
                <w:vertAlign w:val="subscript"/>
              </w:rPr>
              <w:t>c</w:t>
            </w:r>
          </w:p>
        </w:tc>
      </w:tr>
      <w:tr w:rsidR="00686804" w:rsidRPr="002A78AE" w14:paraId="486E535B" w14:textId="77777777" w:rsidTr="00051ED3">
        <w:trPr>
          <w:cantSplit/>
        </w:trPr>
        <w:tc>
          <w:tcPr>
            <w:tcW w:w="2693" w:type="dxa"/>
          </w:tcPr>
          <w:p w14:paraId="6531E3C1" w14:textId="77777777" w:rsidR="00686804" w:rsidRPr="002A78AE" w:rsidRDefault="00686804">
            <w:pPr>
              <w:pStyle w:val="TAC"/>
            </w:pPr>
            <w:r w:rsidRPr="002A78AE">
              <w:rPr>
                <w:lang w:eastAsia="zh-CN"/>
              </w:rPr>
              <w:t>RSTD</w:t>
            </w:r>
            <w:r w:rsidRPr="002A78AE">
              <w:t>_000</w:t>
            </w:r>
            <w:r>
              <w:t>000</w:t>
            </w:r>
            <w:r w:rsidRPr="002A78AE">
              <w:t>1</w:t>
            </w:r>
          </w:p>
        </w:tc>
        <w:tc>
          <w:tcPr>
            <w:tcW w:w="2949" w:type="dxa"/>
          </w:tcPr>
          <w:p w14:paraId="45FB5501" w14:textId="77777777" w:rsidR="00686804" w:rsidRPr="002A78AE" w:rsidRDefault="00686804">
            <w:pPr>
              <w:pStyle w:val="TAC"/>
            </w:pPr>
            <w:r w:rsidRPr="002A78AE">
              <w:rPr>
                <w:lang w:eastAsia="zh-CN"/>
              </w:rPr>
              <w:t xml:space="preserve">-985024 </w:t>
            </w:r>
            <w:r w:rsidRPr="002A78AE">
              <w:rPr>
                <w:lang w:eastAsia="zh-CN"/>
              </w:rPr>
              <w:sym w:font="Symbol" w:char="F0A3"/>
            </w:r>
            <w:r w:rsidRPr="002A78AE">
              <w:rPr>
                <w:lang w:eastAsia="zh-CN"/>
              </w:rPr>
              <w:t xml:space="preserve"> RSTD &lt; -985023</w:t>
            </w:r>
          </w:p>
        </w:tc>
        <w:tc>
          <w:tcPr>
            <w:tcW w:w="653" w:type="dxa"/>
          </w:tcPr>
          <w:p w14:paraId="55F8E4CC" w14:textId="77777777" w:rsidR="00686804" w:rsidRPr="002A78AE" w:rsidRDefault="00686804" w:rsidP="002F5786">
            <w:pPr>
              <w:pStyle w:val="TAC"/>
            </w:pPr>
            <w:r w:rsidRPr="002A78AE">
              <w:t>T</w:t>
            </w:r>
            <w:r w:rsidRPr="002A78AE">
              <w:rPr>
                <w:vertAlign w:val="subscript"/>
              </w:rPr>
              <w:t>c</w:t>
            </w:r>
          </w:p>
        </w:tc>
      </w:tr>
      <w:tr w:rsidR="00686804" w:rsidRPr="002A78AE" w14:paraId="12AB2DA8" w14:textId="77777777" w:rsidTr="00051ED3">
        <w:trPr>
          <w:cantSplit/>
        </w:trPr>
        <w:tc>
          <w:tcPr>
            <w:tcW w:w="2693" w:type="dxa"/>
          </w:tcPr>
          <w:p w14:paraId="4B809D74" w14:textId="77777777" w:rsidR="00686804" w:rsidRPr="002A78AE" w:rsidRDefault="00686804">
            <w:pPr>
              <w:pStyle w:val="TAC"/>
            </w:pPr>
            <w:r w:rsidRPr="002A78AE">
              <w:rPr>
                <w:lang w:eastAsia="zh-CN"/>
              </w:rPr>
              <w:t>RSTD</w:t>
            </w:r>
            <w:r w:rsidRPr="002A78AE">
              <w:t>_00</w:t>
            </w:r>
            <w:r>
              <w:t>000</w:t>
            </w:r>
            <w:r w:rsidRPr="002A78AE">
              <w:t>02</w:t>
            </w:r>
          </w:p>
        </w:tc>
        <w:tc>
          <w:tcPr>
            <w:tcW w:w="2949" w:type="dxa"/>
          </w:tcPr>
          <w:p w14:paraId="20254B5A" w14:textId="77777777" w:rsidR="00686804" w:rsidRPr="002A78AE" w:rsidRDefault="00686804">
            <w:pPr>
              <w:pStyle w:val="TAC"/>
            </w:pPr>
            <w:r w:rsidRPr="002A78AE">
              <w:rPr>
                <w:lang w:eastAsia="zh-CN"/>
              </w:rPr>
              <w:t xml:space="preserve">-985023 </w:t>
            </w:r>
            <w:r w:rsidRPr="002A78AE">
              <w:rPr>
                <w:lang w:eastAsia="zh-CN"/>
              </w:rPr>
              <w:sym w:font="Symbol" w:char="F0A3"/>
            </w:r>
            <w:r w:rsidRPr="002A78AE">
              <w:rPr>
                <w:lang w:eastAsia="zh-CN"/>
              </w:rPr>
              <w:t xml:space="preserve"> RSTD &lt; -985022</w:t>
            </w:r>
          </w:p>
        </w:tc>
        <w:tc>
          <w:tcPr>
            <w:tcW w:w="653" w:type="dxa"/>
          </w:tcPr>
          <w:p w14:paraId="51C877DD" w14:textId="77777777" w:rsidR="00686804" w:rsidRPr="002A78AE" w:rsidRDefault="00686804">
            <w:pPr>
              <w:pStyle w:val="TAC"/>
            </w:pPr>
            <w:r w:rsidRPr="002A78AE">
              <w:t>T</w:t>
            </w:r>
            <w:r w:rsidRPr="002A78AE">
              <w:rPr>
                <w:vertAlign w:val="subscript"/>
              </w:rPr>
              <w:t>c</w:t>
            </w:r>
          </w:p>
        </w:tc>
      </w:tr>
      <w:tr w:rsidR="00686804" w:rsidRPr="002A78AE" w14:paraId="4FCD81E3" w14:textId="77777777" w:rsidTr="00051ED3">
        <w:trPr>
          <w:cantSplit/>
        </w:trPr>
        <w:tc>
          <w:tcPr>
            <w:tcW w:w="2693" w:type="dxa"/>
          </w:tcPr>
          <w:p w14:paraId="4C034DBD" w14:textId="77777777" w:rsidR="00686804" w:rsidRPr="002A78AE" w:rsidRDefault="00686804">
            <w:pPr>
              <w:pStyle w:val="TAC"/>
            </w:pPr>
            <w:r w:rsidRPr="002A78AE">
              <w:sym w:font="Symbol" w:char="F0BC"/>
            </w:r>
          </w:p>
        </w:tc>
        <w:tc>
          <w:tcPr>
            <w:tcW w:w="2949" w:type="dxa"/>
          </w:tcPr>
          <w:p w14:paraId="35CA1EFB" w14:textId="77777777" w:rsidR="00686804" w:rsidRPr="002A78AE" w:rsidRDefault="00686804">
            <w:pPr>
              <w:pStyle w:val="TAC"/>
            </w:pPr>
            <w:r w:rsidRPr="002A78AE">
              <w:sym w:font="Symbol" w:char="F0BC"/>
            </w:r>
          </w:p>
        </w:tc>
        <w:tc>
          <w:tcPr>
            <w:tcW w:w="653" w:type="dxa"/>
          </w:tcPr>
          <w:p w14:paraId="26135C6D" w14:textId="77777777" w:rsidR="00686804" w:rsidRPr="002A78AE" w:rsidRDefault="00686804">
            <w:pPr>
              <w:pStyle w:val="TAC"/>
            </w:pPr>
            <w:r w:rsidRPr="002A78AE">
              <w:t>…</w:t>
            </w:r>
          </w:p>
        </w:tc>
      </w:tr>
      <w:tr w:rsidR="00686804" w:rsidRPr="002A78AE" w14:paraId="527B644F" w14:textId="77777777" w:rsidTr="00051ED3">
        <w:trPr>
          <w:cantSplit/>
        </w:trPr>
        <w:tc>
          <w:tcPr>
            <w:tcW w:w="2693" w:type="dxa"/>
          </w:tcPr>
          <w:p w14:paraId="19FCB576" w14:textId="77777777" w:rsidR="00686804" w:rsidRPr="002A78AE" w:rsidRDefault="00686804">
            <w:pPr>
              <w:pStyle w:val="TAC"/>
            </w:pPr>
            <w:r w:rsidRPr="002A78AE">
              <w:rPr>
                <w:lang w:eastAsia="zh-CN"/>
              </w:rPr>
              <w:t>RSTD_</w:t>
            </w:r>
            <w:r>
              <w:rPr>
                <w:lang w:eastAsia="zh-CN"/>
              </w:rPr>
              <w:t>0</w:t>
            </w:r>
            <w:r w:rsidRPr="002A78AE">
              <w:rPr>
                <w:lang w:eastAsia="zh-CN"/>
              </w:rPr>
              <w:t>985024</w:t>
            </w:r>
          </w:p>
        </w:tc>
        <w:tc>
          <w:tcPr>
            <w:tcW w:w="2949" w:type="dxa"/>
          </w:tcPr>
          <w:p w14:paraId="0ECA3B19" w14:textId="77777777" w:rsidR="00686804" w:rsidRPr="002A78AE" w:rsidRDefault="00686804">
            <w:pPr>
              <w:pStyle w:val="TAC"/>
            </w:pPr>
            <w:r w:rsidRPr="002A78AE">
              <w:rPr>
                <w:lang w:eastAsia="zh-CN"/>
              </w:rPr>
              <w:t>-1</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0</w:t>
            </w:r>
          </w:p>
        </w:tc>
        <w:tc>
          <w:tcPr>
            <w:tcW w:w="653" w:type="dxa"/>
          </w:tcPr>
          <w:p w14:paraId="7F49EFA4" w14:textId="77777777" w:rsidR="00686804" w:rsidRPr="002A78AE" w:rsidRDefault="00686804" w:rsidP="002F5786">
            <w:pPr>
              <w:pStyle w:val="TAC"/>
            </w:pPr>
            <w:r w:rsidRPr="002A78AE">
              <w:t>T</w:t>
            </w:r>
            <w:r w:rsidRPr="002A78AE">
              <w:rPr>
                <w:vertAlign w:val="subscript"/>
              </w:rPr>
              <w:t>c</w:t>
            </w:r>
          </w:p>
        </w:tc>
      </w:tr>
      <w:tr w:rsidR="00686804" w:rsidRPr="002A78AE" w14:paraId="464A8D35" w14:textId="77777777" w:rsidTr="00051ED3">
        <w:trPr>
          <w:cantSplit/>
        </w:trPr>
        <w:tc>
          <w:tcPr>
            <w:tcW w:w="2693" w:type="dxa"/>
          </w:tcPr>
          <w:p w14:paraId="62C3FCBE" w14:textId="77777777" w:rsidR="00686804" w:rsidRPr="002A78AE" w:rsidRDefault="00686804">
            <w:pPr>
              <w:pStyle w:val="TAC"/>
            </w:pPr>
            <w:r w:rsidRPr="002A78AE">
              <w:rPr>
                <w:lang w:eastAsia="zh-CN"/>
              </w:rPr>
              <w:t>RSTD_</w:t>
            </w:r>
            <w:r>
              <w:rPr>
                <w:lang w:eastAsia="zh-CN"/>
              </w:rPr>
              <w:t>0</w:t>
            </w:r>
            <w:r w:rsidRPr="002A78AE">
              <w:rPr>
                <w:lang w:eastAsia="zh-CN"/>
              </w:rPr>
              <w:t>985025</w:t>
            </w:r>
          </w:p>
        </w:tc>
        <w:tc>
          <w:tcPr>
            <w:tcW w:w="2949" w:type="dxa"/>
          </w:tcPr>
          <w:p w14:paraId="13C40142" w14:textId="77777777" w:rsidR="00686804" w:rsidRPr="002A78AE" w:rsidRDefault="00686804">
            <w:pPr>
              <w:pStyle w:val="TAC"/>
            </w:pPr>
            <w:r w:rsidRPr="002A78AE">
              <w:rPr>
                <w:lang w:eastAsia="zh-CN"/>
              </w:rPr>
              <w:t>0</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1</w:t>
            </w:r>
          </w:p>
        </w:tc>
        <w:tc>
          <w:tcPr>
            <w:tcW w:w="653" w:type="dxa"/>
          </w:tcPr>
          <w:p w14:paraId="6170FA98" w14:textId="77777777" w:rsidR="00686804" w:rsidRPr="002A78AE" w:rsidRDefault="00686804" w:rsidP="002F5786">
            <w:pPr>
              <w:pStyle w:val="TAC"/>
            </w:pPr>
            <w:r w:rsidRPr="002A78AE">
              <w:t>T</w:t>
            </w:r>
            <w:r w:rsidRPr="002A78AE">
              <w:rPr>
                <w:vertAlign w:val="subscript"/>
              </w:rPr>
              <w:t>c</w:t>
            </w:r>
          </w:p>
        </w:tc>
      </w:tr>
      <w:tr w:rsidR="00686804" w:rsidRPr="002A78AE" w14:paraId="520CE2CC"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5180AFD" w14:textId="77777777" w:rsidR="00686804" w:rsidRPr="002A78AE" w:rsidRDefault="00686804">
            <w:pPr>
              <w:pStyle w:val="TAC"/>
            </w:pPr>
            <w:r w:rsidRPr="002A78AE">
              <w:rPr>
                <w:lang w:eastAsia="zh-CN"/>
              </w:rPr>
              <w:t>…</w:t>
            </w:r>
          </w:p>
        </w:tc>
        <w:tc>
          <w:tcPr>
            <w:tcW w:w="2949" w:type="dxa"/>
            <w:tcBorders>
              <w:top w:val="single" w:sz="4" w:space="0" w:color="auto"/>
              <w:left w:val="single" w:sz="4" w:space="0" w:color="auto"/>
              <w:bottom w:val="single" w:sz="4" w:space="0" w:color="auto"/>
              <w:right w:val="single" w:sz="4" w:space="0" w:color="auto"/>
            </w:tcBorders>
          </w:tcPr>
          <w:p w14:paraId="766A527D" w14:textId="77777777" w:rsidR="00686804" w:rsidRPr="002A78AE" w:rsidRDefault="00686804">
            <w:pPr>
              <w:pStyle w:val="TAC"/>
            </w:pPr>
            <w:r w:rsidRPr="002A78AE">
              <w:rPr>
                <w:lang w:eastAsia="zh-CN"/>
              </w:rPr>
              <w:t>…</w:t>
            </w:r>
          </w:p>
        </w:tc>
        <w:tc>
          <w:tcPr>
            <w:tcW w:w="653" w:type="dxa"/>
            <w:tcBorders>
              <w:top w:val="single" w:sz="4" w:space="0" w:color="auto"/>
              <w:left w:val="single" w:sz="4" w:space="0" w:color="auto"/>
              <w:bottom w:val="single" w:sz="4" w:space="0" w:color="auto"/>
              <w:right w:val="single" w:sz="4" w:space="0" w:color="auto"/>
            </w:tcBorders>
          </w:tcPr>
          <w:p w14:paraId="67EB89A8" w14:textId="77777777" w:rsidR="00686804" w:rsidRPr="002A78AE" w:rsidRDefault="00686804">
            <w:pPr>
              <w:pStyle w:val="TAC"/>
            </w:pPr>
            <w:r w:rsidRPr="002A78AE">
              <w:t>…</w:t>
            </w:r>
          </w:p>
        </w:tc>
      </w:tr>
      <w:tr w:rsidR="00686804" w:rsidRPr="002A78AE" w14:paraId="026EE7D3"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365941C" w14:textId="77777777" w:rsidR="00686804" w:rsidRPr="002A78AE" w:rsidRDefault="00686804">
            <w:pPr>
              <w:pStyle w:val="TAC"/>
            </w:pPr>
            <w:r w:rsidRPr="002A78AE">
              <w:rPr>
                <w:lang w:eastAsia="zh-CN"/>
              </w:rPr>
              <w:t>RSTD_1970047</w:t>
            </w:r>
          </w:p>
        </w:tc>
        <w:tc>
          <w:tcPr>
            <w:tcW w:w="2949" w:type="dxa"/>
            <w:tcBorders>
              <w:top w:val="single" w:sz="4" w:space="0" w:color="auto"/>
              <w:left w:val="single" w:sz="4" w:space="0" w:color="auto"/>
              <w:bottom w:val="single" w:sz="4" w:space="0" w:color="auto"/>
              <w:right w:val="single" w:sz="4" w:space="0" w:color="auto"/>
            </w:tcBorders>
          </w:tcPr>
          <w:p w14:paraId="7AEFD481" w14:textId="77777777" w:rsidR="00686804" w:rsidRPr="002A78AE" w:rsidRDefault="00686804">
            <w:pPr>
              <w:pStyle w:val="TAC"/>
            </w:pPr>
            <w:r w:rsidRPr="002A78AE">
              <w:rPr>
                <w:lang w:eastAsia="zh-CN"/>
              </w:rPr>
              <w:t xml:space="preserve">985022 </w:t>
            </w:r>
            <w:r w:rsidRPr="002A78AE">
              <w:sym w:font="Symbol" w:char="F0A3"/>
            </w:r>
            <w:r w:rsidRPr="002A78AE">
              <w:rPr>
                <w:lang w:eastAsia="zh-CN"/>
              </w:rPr>
              <w:t xml:space="preserve"> RSTD </w:t>
            </w:r>
            <w:r w:rsidRPr="002A78AE">
              <w:t>&lt;</w:t>
            </w:r>
            <w:r w:rsidRPr="002A78AE">
              <w:rPr>
                <w:lang w:eastAsia="zh-CN"/>
              </w:rPr>
              <w:t xml:space="preserve"> 985023</w:t>
            </w:r>
          </w:p>
        </w:tc>
        <w:tc>
          <w:tcPr>
            <w:tcW w:w="653" w:type="dxa"/>
            <w:tcBorders>
              <w:top w:val="single" w:sz="4" w:space="0" w:color="auto"/>
              <w:left w:val="single" w:sz="4" w:space="0" w:color="auto"/>
              <w:bottom w:val="single" w:sz="4" w:space="0" w:color="auto"/>
              <w:right w:val="single" w:sz="4" w:space="0" w:color="auto"/>
            </w:tcBorders>
          </w:tcPr>
          <w:p w14:paraId="5DB84D00" w14:textId="77777777" w:rsidR="00686804" w:rsidRPr="002A78AE" w:rsidRDefault="00686804" w:rsidP="002F5786">
            <w:pPr>
              <w:pStyle w:val="TAC"/>
            </w:pPr>
            <w:r w:rsidRPr="002A78AE">
              <w:t>T</w:t>
            </w:r>
            <w:r w:rsidRPr="002A78AE">
              <w:rPr>
                <w:vertAlign w:val="subscript"/>
              </w:rPr>
              <w:t>c</w:t>
            </w:r>
          </w:p>
        </w:tc>
      </w:tr>
      <w:tr w:rsidR="00686804" w:rsidRPr="002A78AE" w14:paraId="6560F8D7"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3C02F90" w14:textId="77777777" w:rsidR="00686804" w:rsidRPr="002A78AE" w:rsidRDefault="00686804">
            <w:pPr>
              <w:pStyle w:val="TAC"/>
            </w:pPr>
            <w:r w:rsidRPr="002A78AE">
              <w:rPr>
                <w:lang w:eastAsia="zh-CN"/>
              </w:rPr>
              <w:t>RSTD_1970048</w:t>
            </w:r>
          </w:p>
        </w:tc>
        <w:tc>
          <w:tcPr>
            <w:tcW w:w="2949" w:type="dxa"/>
            <w:tcBorders>
              <w:top w:val="single" w:sz="4" w:space="0" w:color="auto"/>
              <w:left w:val="single" w:sz="4" w:space="0" w:color="auto"/>
              <w:bottom w:val="single" w:sz="4" w:space="0" w:color="auto"/>
              <w:right w:val="single" w:sz="4" w:space="0" w:color="auto"/>
            </w:tcBorders>
          </w:tcPr>
          <w:p w14:paraId="2EEDA412" w14:textId="77777777" w:rsidR="00686804" w:rsidRPr="002A78AE" w:rsidRDefault="00686804">
            <w:pPr>
              <w:pStyle w:val="TAC"/>
            </w:pPr>
            <w:r w:rsidRPr="002A78AE">
              <w:rPr>
                <w:lang w:eastAsia="zh-CN"/>
              </w:rPr>
              <w:t xml:space="preserve">985023 </w:t>
            </w:r>
            <w:r w:rsidRPr="002A78AE">
              <w:sym w:font="Symbol" w:char="F0A3"/>
            </w:r>
            <w:r w:rsidRPr="002A78AE">
              <w:rPr>
                <w:lang w:eastAsia="zh-CN"/>
              </w:rPr>
              <w:t xml:space="preserve"> RSTD </w:t>
            </w:r>
            <w:r w:rsidRPr="002A78AE">
              <w:t>&lt;</w:t>
            </w:r>
            <w:r w:rsidRPr="002A78AE">
              <w:rPr>
                <w:lang w:eastAsia="zh-CN"/>
              </w:rPr>
              <w:t xml:space="preserve"> 985024</w:t>
            </w:r>
          </w:p>
        </w:tc>
        <w:tc>
          <w:tcPr>
            <w:tcW w:w="653" w:type="dxa"/>
            <w:tcBorders>
              <w:top w:val="single" w:sz="4" w:space="0" w:color="auto"/>
              <w:left w:val="single" w:sz="4" w:space="0" w:color="auto"/>
              <w:bottom w:val="single" w:sz="4" w:space="0" w:color="auto"/>
              <w:right w:val="single" w:sz="4" w:space="0" w:color="auto"/>
            </w:tcBorders>
          </w:tcPr>
          <w:p w14:paraId="6DBC2193" w14:textId="77777777" w:rsidR="00686804" w:rsidRPr="002A78AE" w:rsidRDefault="00686804" w:rsidP="002F5786">
            <w:pPr>
              <w:pStyle w:val="TAC"/>
            </w:pPr>
            <w:r w:rsidRPr="002A78AE">
              <w:t>T</w:t>
            </w:r>
            <w:r w:rsidRPr="002A78AE">
              <w:rPr>
                <w:vertAlign w:val="subscript"/>
              </w:rPr>
              <w:t>c</w:t>
            </w:r>
          </w:p>
        </w:tc>
      </w:tr>
      <w:tr w:rsidR="00686804" w:rsidRPr="002A78AE" w14:paraId="4C37F9B7"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437346F" w14:textId="77777777" w:rsidR="00686804" w:rsidRPr="002A78AE" w:rsidRDefault="00686804">
            <w:pPr>
              <w:pStyle w:val="TAC"/>
            </w:pPr>
            <w:r w:rsidRPr="002A78AE">
              <w:rPr>
                <w:lang w:eastAsia="zh-CN"/>
              </w:rPr>
              <w:t>RSTD_1970049</w:t>
            </w:r>
          </w:p>
        </w:tc>
        <w:tc>
          <w:tcPr>
            <w:tcW w:w="2949" w:type="dxa"/>
            <w:tcBorders>
              <w:top w:val="single" w:sz="4" w:space="0" w:color="auto"/>
              <w:left w:val="single" w:sz="4" w:space="0" w:color="auto"/>
              <w:bottom w:val="single" w:sz="4" w:space="0" w:color="auto"/>
              <w:right w:val="single" w:sz="4" w:space="0" w:color="auto"/>
            </w:tcBorders>
          </w:tcPr>
          <w:p w14:paraId="64E3687A" w14:textId="77777777" w:rsidR="00686804" w:rsidRPr="002A78AE" w:rsidRDefault="00686804">
            <w:pPr>
              <w:pStyle w:val="TAC"/>
            </w:pPr>
            <w:r w:rsidRPr="002A78AE">
              <w:rPr>
                <w:lang w:eastAsia="zh-CN"/>
              </w:rPr>
              <w:t xml:space="preserve">985024 </w:t>
            </w:r>
            <w:r w:rsidRPr="002A78AE">
              <w:sym w:font="Symbol" w:char="F0A3"/>
            </w:r>
            <w:r w:rsidRPr="002A78AE">
              <w:rPr>
                <w:lang w:eastAsia="zh-CN"/>
              </w:rPr>
              <w:t xml:space="preserve"> RSTD</w:t>
            </w:r>
          </w:p>
        </w:tc>
        <w:tc>
          <w:tcPr>
            <w:tcW w:w="653" w:type="dxa"/>
            <w:tcBorders>
              <w:top w:val="single" w:sz="4" w:space="0" w:color="auto"/>
              <w:left w:val="single" w:sz="4" w:space="0" w:color="auto"/>
              <w:bottom w:val="single" w:sz="4" w:space="0" w:color="auto"/>
              <w:right w:val="single" w:sz="4" w:space="0" w:color="auto"/>
            </w:tcBorders>
          </w:tcPr>
          <w:p w14:paraId="032C0E94" w14:textId="77777777" w:rsidR="00686804" w:rsidRPr="002A78AE" w:rsidRDefault="00686804" w:rsidP="002F5786">
            <w:pPr>
              <w:pStyle w:val="TAC"/>
            </w:pPr>
            <w:r w:rsidRPr="002A78AE">
              <w:t>T</w:t>
            </w:r>
            <w:r w:rsidRPr="002A78AE">
              <w:rPr>
                <w:vertAlign w:val="subscript"/>
              </w:rPr>
              <w:t>c</w:t>
            </w:r>
          </w:p>
        </w:tc>
      </w:tr>
    </w:tbl>
    <w:p w14:paraId="1A73B2EF" w14:textId="77777777" w:rsidR="00686804" w:rsidRDefault="00686804" w:rsidP="002F5786">
      <w:pPr>
        <w:rPr>
          <w:lang w:val="en-US" w:eastAsia="ja-JP"/>
        </w:rPr>
      </w:pPr>
    </w:p>
    <w:p w14:paraId="63A42FF2" w14:textId="77777777" w:rsidR="00686804" w:rsidRPr="00691C7F" w:rsidRDefault="00686804" w:rsidP="002F5786">
      <w:pPr>
        <w:pStyle w:val="TH"/>
        <w:rPr>
          <w:rFonts w:cs="Arial"/>
          <w:lang w:val="en-US" w:eastAsia="ja-JP"/>
        </w:rPr>
      </w:pPr>
      <w:r w:rsidRPr="00DE253F">
        <w:t xml:space="preserve">Table </w:t>
      </w:r>
      <w:r>
        <w:t>10.1.23.3.1-2</w:t>
      </w:r>
      <w:r w:rsidRPr="00DE253F">
        <w:t xml:space="preserve">: </w:t>
      </w:r>
      <w:r>
        <w:t xml:space="preserve">Report mapping for </w:t>
      </w:r>
      <w:r w:rsidRPr="00DE253F">
        <w:rPr>
          <w:i/>
          <w:iCs/>
        </w:rPr>
        <w:t>k</w:t>
      </w:r>
      <w:r>
        <w:t>=1</w:t>
      </w:r>
    </w:p>
    <w:tbl>
      <w:tblPr>
        <w:tblW w:w="6295"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949"/>
        <w:gridCol w:w="653"/>
      </w:tblGrid>
      <w:tr w:rsidR="00CF56CF" w:rsidRPr="002A78AE" w14:paraId="4A43A12A" w14:textId="77777777" w:rsidTr="00CF56CF">
        <w:trPr>
          <w:cantSplit/>
          <w:trHeight w:val="263"/>
        </w:trPr>
        <w:tc>
          <w:tcPr>
            <w:tcW w:w="2693" w:type="dxa"/>
            <w:tcBorders>
              <w:bottom w:val="nil"/>
            </w:tcBorders>
            <w:shd w:val="clear" w:color="auto" w:fill="auto"/>
          </w:tcPr>
          <w:p w14:paraId="4E6BD9ED" w14:textId="6FBC17F6" w:rsidR="00CF56CF" w:rsidRPr="002A78AE" w:rsidRDefault="00CF56CF" w:rsidP="00CF56CF">
            <w:pPr>
              <w:pStyle w:val="TAH"/>
            </w:pPr>
            <w:r w:rsidRPr="002A78AE">
              <w:t>Reported Quantity Value</w:t>
            </w:r>
            <w:r>
              <w:t>,</w:t>
            </w:r>
          </w:p>
        </w:tc>
        <w:tc>
          <w:tcPr>
            <w:tcW w:w="2949" w:type="dxa"/>
            <w:tcBorders>
              <w:bottom w:val="nil"/>
            </w:tcBorders>
            <w:shd w:val="clear" w:color="auto" w:fill="auto"/>
          </w:tcPr>
          <w:p w14:paraId="41F198AE" w14:textId="1DF02949" w:rsidR="00CF56CF" w:rsidRPr="002A78AE" w:rsidRDefault="00CF56CF" w:rsidP="00CF56CF">
            <w:pPr>
              <w:pStyle w:val="TAH"/>
            </w:pPr>
            <w:r w:rsidRPr="002A78AE">
              <w:t>Measured Quantity Value</w:t>
            </w:r>
            <w:r>
              <w:t>,</w:t>
            </w:r>
          </w:p>
        </w:tc>
        <w:tc>
          <w:tcPr>
            <w:tcW w:w="653" w:type="dxa"/>
            <w:tcBorders>
              <w:bottom w:val="nil"/>
            </w:tcBorders>
            <w:shd w:val="clear" w:color="auto" w:fill="auto"/>
          </w:tcPr>
          <w:p w14:paraId="6C7B1E3B" w14:textId="77777777" w:rsidR="00CF56CF" w:rsidRPr="002A78AE" w:rsidRDefault="00CF56CF" w:rsidP="00CF56CF">
            <w:pPr>
              <w:pStyle w:val="TAH"/>
            </w:pPr>
            <w:r w:rsidRPr="002A78AE">
              <w:t>Unit</w:t>
            </w:r>
          </w:p>
        </w:tc>
      </w:tr>
      <w:tr w:rsidR="00CF56CF" w:rsidRPr="002A78AE" w14:paraId="29C26AB0" w14:textId="77777777" w:rsidTr="00CF56CF">
        <w:trPr>
          <w:cantSplit/>
          <w:trHeight w:val="262"/>
        </w:trPr>
        <w:tc>
          <w:tcPr>
            <w:tcW w:w="2693" w:type="dxa"/>
            <w:tcBorders>
              <w:top w:val="nil"/>
            </w:tcBorders>
            <w:shd w:val="clear" w:color="auto" w:fill="auto"/>
          </w:tcPr>
          <w:p w14:paraId="4E5EA738" w14:textId="41E7ABF1" w:rsidR="00CF56CF" w:rsidRPr="002A78AE" w:rsidRDefault="00CF56CF" w:rsidP="00CF56CF">
            <w:pPr>
              <w:pStyle w:val="TAH"/>
            </w:pPr>
            <w:r w:rsidRPr="002A78AE">
              <w:t>RSTD_i</w:t>
            </w:r>
          </w:p>
        </w:tc>
        <w:tc>
          <w:tcPr>
            <w:tcW w:w="2949" w:type="dxa"/>
            <w:tcBorders>
              <w:top w:val="nil"/>
            </w:tcBorders>
            <w:shd w:val="clear" w:color="auto" w:fill="auto"/>
          </w:tcPr>
          <w:p w14:paraId="2041F386" w14:textId="6C83EAAA" w:rsidR="00CF56CF" w:rsidRPr="002A78AE" w:rsidRDefault="00CF56CF" w:rsidP="00CF56CF">
            <w:pPr>
              <w:pStyle w:val="TAH"/>
            </w:pPr>
            <w:r w:rsidRPr="002A78AE">
              <w:t>RSTD</w:t>
            </w:r>
          </w:p>
        </w:tc>
        <w:tc>
          <w:tcPr>
            <w:tcW w:w="653" w:type="dxa"/>
            <w:tcBorders>
              <w:top w:val="nil"/>
            </w:tcBorders>
            <w:shd w:val="clear" w:color="auto" w:fill="auto"/>
          </w:tcPr>
          <w:p w14:paraId="1D282FE7" w14:textId="77777777" w:rsidR="00CF56CF" w:rsidRPr="002A78AE" w:rsidRDefault="00CF56CF" w:rsidP="00CF56CF">
            <w:pPr>
              <w:pStyle w:val="TAH"/>
            </w:pPr>
          </w:p>
        </w:tc>
      </w:tr>
      <w:tr w:rsidR="00686804" w:rsidRPr="002A78AE" w14:paraId="04C28BBB" w14:textId="77777777" w:rsidTr="00051ED3">
        <w:trPr>
          <w:cantSplit/>
        </w:trPr>
        <w:tc>
          <w:tcPr>
            <w:tcW w:w="2693" w:type="dxa"/>
          </w:tcPr>
          <w:p w14:paraId="33F5BFD4" w14:textId="77777777" w:rsidR="00686804" w:rsidRPr="002A78AE" w:rsidRDefault="00686804">
            <w:pPr>
              <w:pStyle w:val="TAC"/>
            </w:pPr>
            <w:r w:rsidRPr="002A78AE">
              <w:rPr>
                <w:lang w:eastAsia="zh-CN"/>
              </w:rPr>
              <w:t>RSTD</w:t>
            </w:r>
            <w:r w:rsidRPr="002A78AE">
              <w:t>_0</w:t>
            </w:r>
            <w:r>
              <w:t>00</w:t>
            </w:r>
            <w:r w:rsidRPr="002A78AE">
              <w:t>000</w:t>
            </w:r>
          </w:p>
        </w:tc>
        <w:tc>
          <w:tcPr>
            <w:tcW w:w="2949" w:type="dxa"/>
          </w:tcPr>
          <w:p w14:paraId="75CD0573" w14:textId="77777777" w:rsidR="00686804" w:rsidRPr="002A78AE" w:rsidRDefault="00686804">
            <w:pPr>
              <w:pStyle w:val="TAC"/>
            </w:pPr>
            <w:r w:rsidRPr="002A78AE">
              <w:rPr>
                <w:lang w:eastAsia="zh-CN"/>
              </w:rPr>
              <w:t>RSTD &lt; -985024</w:t>
            </w:r>
          </w:p>
        </w:tc>
        <w:tc>
          <w:tcPr>
            <w:tcW w:w="653" w:type="dxa"/>
          </w:tcPr>
          <w:p w14:paraId="5556FA06" w14:textId="77777777" w:rsidR="00686804" w:rsidRPr="002A78AE" w:rsidRDefault="00686804" w:rsidP="002F5786">
            <w:pPr>
              <w:pStyle w:val="TAC"/>
            </w:pPr>
            <w:r w:rsidRPr="002A78AE">
              <w:t>T</w:t>
            </w:r>
            <w:r w:rsidRPr="002A78AE">
              <w:rPr>
                <w:vertAlign w:val="subscript"/>
              </w:rPr>
              <w:t>c</w:t>
            </w:r>
          </w:p>
        </w:tc>
      </w:tr>
      <w:tr w:rsidR="00686804" w:rsidRPr="002A78AE" w14:paraId="5A46DCC8" w14:textId="77777777" w:rsidTr="00051ED3">
        <w:trPr>
          <w:cantSplit/>
        </w:trPr>
        <w:tc>
          <w:tcPr>
            <w:tcW w:w="2693" w:type="dxa"/>
          </w:tcPr>
          <w:p w14:paraId="3677265A" w14:textId="77777777" w:rsidR="00686804" w:rsidRPr="002A78AE" w:rsidRDefault="00686804">
            <w:pPr>
              <w:pStyle w:val="TAC"/>
            </w:pPr>
            <w:r w:rsidRPr="002A78AE">
              <w:rPr>
                <w:lang w:eastAsia="zh-CN"/>
              </w:rPr>
              <w:t>RSTD</w:t>
            </w:r>
            <w:r w:rsidRPr="002A78AE">
              <w:t>_00</w:t>
            </w:r>
            <w:r>
              <w:t>00</w:t>
            </w:r>
            <w:r w:rsidRPr="002A78AE">
              <w:t>01</w:t>
            </w:r>
          </w:p>
        </w:tc>
        <w:tc>
          <w:tcPr>
            <w:tcW w:w="2949" w:type="dxa"/>
          </w:tcPr>
          <w:p w14:paraId="140724FD" w14:textId="77777777" w:rsidR="00686804" w:rsidRPr="002A78AE" w:rsidRDefault="00686804">
            <w:pPr>
              <w:pStyle w:val="TAC"/>
            </w:pPr>
            <w:r w:rsidRPr="002A78AE">
              <w:rPr>
                <w:lang w:eastAsia="zh-CN"/>
              </w:rPr>
              <w:t xml:space="preserve">-985024 </w:t>
            </w:r>
            <w:r w:rsidRPr="002A78AE">
              <w:rPr>
                <w:lang w:eastAsia="zh-CN"/>
              </w:rPr>
              <w:sym w:font="Symbol" w:char="F0A3"/>
            </w:r>
            <w:r w:rsidRPr="002A78AE">
              <w:rPr>
                <w:lang w:eastAsia="zh-CN"/>
              </w:rPr>
              <w:t xml:space="preserve"> RSTD &lt; -985022</w:t>
            </w:r>
          </w:p>
        </w:tc>
        <w:tc>
          <w:tcPr>
            <w:tcW w:w="653" w:type="dxa"/>
          </w:tcPr>
          <w:p w14:paraId="7122ACAA" w14:textId="77777777" w:rsidR="00686804" w:rsidRPr="002A78AE" w:rsidRDefault="00686804" w:rsidP="002F5786">
            <w:pPr>
              <w:pStyle w:val="TAC"/>
            </w:pPr>
            <w:r w:rsidRPr="002A78AE">
              <w:t>T</w:t>
            </w:r>
            <w:r w:rsidRPr="002A78AE">
              <w:rPr>
                <w:vertAlign w:val="subscript"/>
              </w:rPr>
              <w:t>c</w:t>
            </w:r>
          </w:p>
        </w:tc>
      </w:tr>
      <w:tr w:rsidR="00686804" w:rsidRPr="002A78AE" w14:paraId="7B307A7E" w14:textId="77777777" w:rsidTr="00051ED3">
        <w:trPr>
          <w:cantSplit/>
        </w:trPr>
        <w:tc>
          <w:tcPr>
            <w:tcW w:w="2693" w:type="dxa"/>
          </w:tcPr>
          <w:p w14:paraId="6B90DB91" w14:textId="77777777" w:rsidR="00686804" w:rsidRPr="002A78AE" w:rsidRDefault="00686804">
            <w:pPr>
              <w:pStyle w:val="TAC"/>
            </w:pPr>
            <w:r w:rsidRPr="002A78AE">
              <w:rPr>
                <w:lang w:eastAsia="zh-CN"/>
              </w:rPr>
              <w:t>RSTD</w:t>
            </w:r>
            <w:r w:rsidRPr="002A78AE">
              <w:t>_000</w:t>
            </w:r>
            <w:r>
              <w:t>00</w:t>
            </w:r>
            <w:r w:rsidRPr="002A78AE">
              <w:t>2</w:t>
            </w:r>
          </w:p>
        </w:tc>
        <w:tc>
          <w:tcPr>
            <w:tcW w:w="2949" w:type="dxa"/>
          </w:tcPr>
          <w:p w14:paraId="2F442DA2" w14:textId="77777777" w:rsidR="00686804" w:rsidRPr="002A78AE" w:rsidRDefault="00686804">
            <w:pPr>
              <w:pStyle w:val="TAC"/>
            </w:pPr>
            <w:r w:rsidRPr="002A78AE">
              <w:rPr>
                <w:lang w:eastAsia="zh-CN"/>
              </w:rPr>
              <w:t xml:space="preserve">-985022 </w:t>
            </w:r>
            <w:r w:rsidRPr="002A78AE">
              <w:rPr>
                <w:lang w:eastAsia="zh-CN"/>
              </w:rPr>
              <w:sym w:font="Symbol" w:char="F0A3"/>
            </w:r>
            <w:r w:rsidRPr="002A78AE">
              <w:rPr>
                <w:lang w:eastAsia="zh-CN"/>
              </w:rPr>
              <w:t xml:space="preserve"> RSTD &lt; -985020</w:t>
            </w:r>
          </w:p>
        </w:tc>
        <w:tc>
          <w:tcPr>
            <w:tcW w:w="653" w:type="dxa"/>
          </w:tcPr>
          <w:p w14:paraId="65975F50" w14:textId="77777777" w:rsidR="00686804" w:rsidRPr="002A78AE" w:rsidRDefault="00686804">
            <w:pPr>
              <w:pStyle w:val="TAC"/>
            </w:pPr>
            <w:r w:rsidRPr="002A78AE">
              <w:t>T</w:t>
            </w:r>
            <w:r w:rsidRPr="002A78AE">
              <w:rPr>
                <w:vertAlign w:val="subscript"/>
              </w:rPr>
              <w:t>c</w:t>
            </w:r>
          </w:p>
        </w:tc>
      </w:tr>
      <w:tr w:rsidR="00686804" w:rsidRPr="002A78AE" w14:paraId="30EE04B1" w14:textId="77777777" w:rsidTr="00051ED3">
        <w:trPr>
          <w:cantSplit/>
        </w:trPr>
        <w:tc>
          <w:tcPr>
            <w:tcW w:w="2693" w:type="dxa"/>
          </w:tcPr>
          <w:p w14:paraId="0DD82C56" w14:textId="77777777" w:rsidR="00686804" w:rsidRPr="002A78AE" w:rsidRDefault="00686804">
            <w:pPr>
              <w:pStyle w:val="TAC"/>
            </w:pPr>
            <w:r w:rsidRPr="002A78AE">
              <w:sym w:font="Symbol" w:char="F0BC"/>
            </w:r>
          </w:p>
        </w:tc>
        <w:tc>
          <w:tcPr>
            <w:tcW w:w="2949" w:type="dxa"/>
          </w:tcPr>
          <w:p w14:paraId="39299CC2" w14:textId="77777777" w:rsidR="00686804" w:rsidRPr="002A78AE" w:rsidRDefault="00686804">
            <w:pPr>
              <w:pStyle w:val="TAC"/>
            </w:pPr>
            <w:r w:rsidRPr="002A78AE">
              <w:sym w:font="Symbol" w:char="F0BC"/>
            </w:r>
          </w:p>
        </w:tc>
        <w:tc>
          <w:tcPr>
            <w:tcW w:w="653" w:type="dxa"/>
          </w:tcPr>
          <w:p w14:paraId="0C6F9D30" w14:textId="77777777" w:rsidR="00686804" w:rsidRPr="002A78AE" w:rsidRDefault="00686804">
            <w:pPr>
              <w:pStyle w:val="TAC"/>
            </w:pPr>
            <w:r w:rsidRPr="002A78AE">
              <w:t>…</w:t>
            </w:r>
          </w:p>
        </w:tc>
      </w:tr>
      <w:tr w:rsidR="00686804" w:rsidRPr="002A78AE" w14:paraId="4E8C70E9" w14:textId="77777777" w:rsidTr="00051ED3">
        <w:trPr>
          <w:cantSplit/>
        </w:trPr>
        <w:tc>
          <w:tcPr>
            <w:tcW w:w="2693" w:type="dxa"/>
          </w:tcPr>
          <w:p w14:paraId="3636D45E" w14:textId="77777777" w:rsidR="00686804" w:rsidRPr="002A78AE" w:rsidRDefault="00686804">
            <w:pPr>
              <w:pStyle w:val="TAC"/>
            </w:pPr>
            <w:r w:rsidRPr="002A78AE">
              <w:rPr>
                <w:lang w:eastAsia="zh-CN"/>
              </w:rPr>
              <w:t>RSTD_492512</w:t>
            </w:r>
          </w:p>
        </w:tc>
        <w:tc>
          <w:tcPr>
            <w:tcW w:w="2949" w:type="dxa"/>
          </w:tcPr>
          <w:p w14:paraId="707DDA5C" w14:textId="77777777" w:rsidR="00686804" w:rsidRPr="002A78AE" w:rsidRDefault="00686804">
            <w:pPr>
              <w:pStyle w:val="TAC"/>
            </w:pPr>
            <w:r w:rsidRPr="002A78AE">
              <w:rPr>
                <w:lang w:eastAsia="zh-CN"/>
              </w:rPr>
              <w:t>-2</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0</w:t>
            </w:r>
          </w:p>
        </w:tc>
        <w:tc>
          <w:tcPr>
            <w:tcW w:w="653" w:type="dxa"/>
          </w:tcPr>
          <w:p w14:paraId="272EEED0" w14:textId="77777777" w:rsidR="00686804" w:rsidRPr="002A78AE" w:rsidRDefault="00686804" w:rsidP="002F5786">
            <w:pPr>
              <w:pStyle w:val="TAC"/>
            </w:pPr>
            <w:r w:rsidRPr="002A78AE">
              <w:t>T</w:t>
            </w:r>
            <w:r w:rsidRPr="002A78AE">
              <w:rPr>
                <w:vertAlign w:val="subscript"/>
              </w:rPr>
              <w:t>c</w:t>
            </w:r>
          </w:p>
        </w:tc>
      </w:tr>
      <w:tr w:rsidR="00686804" w:rsidRPr="002A78AE" w14:paraId="6F189712" w14:textId="77777777" w:rsidTr="00051ED3">
        <w:trPr>
          <w:cantSplit/>
        </w:trPr>
        <w:tc>
          <w:tcPr>
            <w:tcW w:w="2693" w:type="dxa"/>
          </w:tcPr>
          <w:p w14:paraId="7CD48231" w14:textId="77777777" w:rsidR="00686804" w:rsidRPr="002A78AE" w:rsidRDefault="00686804">
            <w:pPr>
              <w:pStyle w:val="TAC"/>
            </w:pPr>
            <w:r w:rsidRPr="002A78AE">
              <w:rPr>
                <w:lang w:eastAsia="zh-CN"/>
              </w:rPr>
              <w:t>RSTD_492513</w:t>
            </w:r>
          </w:p>
        </w:tc>
        <w:tc>
          <w:tcPr>
            <w:tcW w:w="2949" w:type="dxa"/>
          </w:tcPr>
          <w:p w14:paraId="7F93930C" w14:textId="77777777" w:rsidR="00686804" w:rsidRPr="002A78AE" w:rsidRDefault="00686804">
            <w:pPr>
              <w:pStyle w:val="TAC"/>
            </w:pPr>
            <w:r w:rsidRPr="002A78AE">
              <w:rPr>
                <w:lang w:eastAsia="zh-CN"/>
              </w:rPr>
              <w:t>0</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2</w:t>
            </w:r>
          </w:p>
        </w:tc>
        <w:tc>
          <w:tcPr>
            <w:tcW w:w="653" w:type="dxa"/>
          </w:tcPr>
          <w:p w14:paraId="5B7D404C" w14:textId="77777777" w:rsidR="00686804" w:rsidRPr="002A78AE" w:rsidRDefault="00686804" w:rsidP="002F5786">
            <w:pPr>
              <w:pStyle w:val="TAC"/>
            </w:pPr>
            <w:r w:rsidRPr="002A78AE">
              <w:t>T</w:t>
            </w:r>
            <w:r w:rsidRPr="002A78AE">
              <w:rPr>
                <w:vertAlign w:val="subscript"/>
              </w:rPr>
              <w:t>c</w:t>
            </w:r>
          </w:p>
        </w:tc>
      </w:tr>
      <w:tr w:rsidR="00686804" w:rsidRPr="002A78AE" w14:paraId="388BB6C8"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D688A39" w14:textId="77777777" w:rsidR="00686804" w:rsidRPr="002A78AE" w:rsidRDefault="00686804">
            <w:pPr>
              <w:pStyle w:val="TAC"/>
            </w:pPr>
            <w:r w:rsidRPr="002A78AE">
              <w:rPr>
                <w:lang w:eastAsia="zh-CN"/>
              </w:rPr>
              <w:t>…</w:t>
            </w:r>
          </w:p>
        </w:tc>
        <w:tc>
          <w:tcPr>
            <w:tcW w:w="2949" w:type="dxa"/>
            <w:tcBorders>
              <w:top w:val="single" w:sz="4" w:space="0" w:color="auto"/>
              <w:left w:val="single" w:sz="4" w:space="0" w:color="auto"/>
              <w:bottom w:val="single" w:sz="4" w:space="0" w:color="auto"/>
              <w:right w:val="single" w:sz="4" w:space="0" w:color="auto"/>
            </w:tcBorders>
          </w:tcPr>
          <w:p w14:paraId="4E8B69C6" w14:textId="77777777" w:rsidR="00686804" w:rsidRPr="002A78AE" w:rsidRDefault="00686804">
            <w:pPr>
              <w:pStyle w:val="TAC"/>
            </w:pPr>
            <w:r w:rsidRPr="002A78AE">
              <w:rPr>
                <w:lang w:eastAsia="zh-CN"/>
              </w:rPr>
              <w:t>…</w:t>
            </w:r>
          </w:p>
        </w:tc>
        <w:tc>
          <w:tcPr>
            <w:tcW w:w="653" w:type="dxa"/>
            <w:tcBorders>
              <w:top w:val="single" w:sz="4" w:space="0" w:color="auto"/>
              <w:left w:val="single" w:sz="4" w:space="0" w:color="auto"/>
              <w:bottom w:val="single" w:sz="4" w:space="0" w:color="auto"/>
              <w:right w:val="single" w:sz="4" w:space="0" w:color="auto"/>
            </w:tcBorders>
          </w:tcPr>
          <w:p w14:paraId="5565AC31" w14:textId="77777777" w:rsidR="00686804" w:rsidRPr="002A78AE" w:rsidRDefault="00686804">
            <w:pPr>
              <w:pStyle w:val="TAC"/>
            </w:pPr>
            <w:r w:rsidRPr="002A78AE">
              <w:t>…</w:t>
            </w:r>
          </w:p>
        </w:tc>
      </w:tr>
      <w:tr w:rsidR="00686804" w:rsidRPr="002A78AE" w14:paraId="0C60B09C"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2EFEE78" w14:textId="77777777" w:rsidR="00686804" w:rsidRPr="002A78AE" w:rsidRDefault="00686804">
            <w:pPr>
              <w:pStyle w:val="TAC"/>
            </w:pPr>
            <w:r w:rsidRPr="002A78AE">
              <w:rPr>
                <w:lang w:eastAsia="zh-CN"/>
              </w:rPr>
              <w:t>RSTD_</w:t>
            </w:r>
            <w:r w:rsidRPr="002A78AE">
              <w:rPr>
                <w:bCs/>
                <w:lang w:eastAsia="zh-CN"/>
              </w:rPr>
              <w:t>985023</w:t>
            </w:r>
          </w:p>
        </w:tc>
        <w:tc>
          <w:tcPr>
            <w:tcW w:w="2949" w:type="dxa"/>
            <w:tcBorders>
              <w:top w:val="single" w:sz="4" w:space="0" w:color="auto"/>
              <w:left w:val="single" w:sz="4" w:space="0" w:color="auto"/>
              <w:bottom w:val="single" w:sz="4" w:space="0" w:color="auto"/>
              <w:right w:val="single" w:sz="4" w:space="0" w:color="auto"/>
            </w:tcBorders>
          </w:tcPr>
          <w:p w14:paraId="299C6D4D" w14:textId="77777777" w:rsidR="00686804" w:rsidRPr="002A78AE" w:rsidRDefault="00686804">
            <w:pPr>
              <w:pStyle w:val="TAC"/>
            </w:pPr>
            <w:r w:rsidRPr="002A78AE">
              <w:rPr>
                <w:lang w:eastAsia="zh-CN"/>
              </w:rPr>
              <w:t xml:space="preserve">985020 </w:t>
            </w:r>
            <w:r w:rsidRPr="002A78AE">
              <w:sym w:font="Symbol" w:char="F0A3"/>
            </w:r>
            <w:r w:rsidRPr="002A78AE">
              <w:rPr>
                <w:lang w:eastAsia="zh-CN"/>
              </w:rPr>
              <w:t xml:space="preserve"> RSTD </w:t>
            </w:r>
            <w:r w:rsidRPr="002A78AE">
              <w:t>&lt;</w:t>
            </w:r>
            <w:r w:rsidRPr="002A78AE">
              <w:rPr>
                <w:lang w:eastAsia="zh-CN"/>
              </w:rPr>
              <w:t xml:space="preserve"> 985022</w:t>
            </w:r>
          </w:p>
        </w:tc>
        <w:tc>
          <w:tcPr>
            <w:tcW w:w="653" w:type="dxa"/>
            <w:tcBorders>
              <w:top w:val="single" w:sz="4" w:space="0" w:color="auto"/>
              <w:left w:val="single" w:sz="4" w:space="0" w:color="auto"/>
              <w:bottom w:val="single" w:sz="4" w:space="0" w:color="auto"/>
              <w:right w:val="single" w:sz="4" w:space="0" w:color="auto"/>
            </w:tcBorders>
          </w:tcPr>
          <w:p w14:paraId="7119F88A" w14:textId="77777777" w:rsidR="00686804" w:rsidRPr="002A78AE" w:rsidRDefault="00686804" w:rsidP="002F5786">
            <w:pPr>
              <w:pStyle w:val="TAC"/>
            </w:pPr>
            <w:r w:rsidRPr="002A78AE">
              <w:t>T</w:t>
            </w:r>
            <w:r w:rsidRPr="002A78AE">
              <w:rPr>
                <w:vertAlign w:val="subscript"/>
              </w:rPr>
              <w:t>c</w:t>
            </w:r>
          </w:p>
        </w:tc>
      </w:tr>
      <w:tr w:rsidR="00686804" w:rsidRPr="002A78AE" w14:paraId="31FB2C1B"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464087E" w14:textId="77777777" w:rsidR="00686804" w:rsidRPr="002A78AE" w:rsidRDefault="00686804">
            <w:pPr>
              <w:pStyle w:val="TAC"/>
            </w:pPr>
            <w:r w:rsidRPr="002A78AE">
              <w:rPr>
                <w:lang w:eastAsia="zh-CN"/>
              </w:rPr>
              <w:t>RSTD_</w:t>
            </w:r>
            <w:r w:rsidRPr="002A78AE">
              <w:rPr>
                <w:bCs/>
                <w:lang w:eastAsia="zh-CN"/>
              </w:rPr>
              <w:t>985024</w:t>
            </w:r>
          </w:p>
        </w:tc>
        <w:tc>
          <w:tcPr>
            <w:tcW w:w="2949" w:type="dxa"/>
            <w:tcBorders>
              <w:top w:val="single" w:sz="4" w:space="0" w:color="auto"/>
              <w:left w:val="single" w:sz="4" w:space="0" w:color="auto"/>
              <w:bottom w:val="single" w:sz="4" w:space="0" w:color="auto"/>
              <w:right w:val="single" w:sz="4" w:space="0" w:color="auto"/>
            </w:tcBorders>
          </w:tcPr>
          <w:p w14:paraId="3CA6AFFA" w14:textId="77777777" w:rsidR="00686804" w:rsidRPr="002A78AE" w:rsidRDefault="00686804">
            <w:pPr>
              <w:pStyle w:val="TAC"/>
            </w:pPr>
            <w:r w:rsidRPr="002A78AE">
              <w:rPr>
                <w:lang w:eastAsia="zh-CN"/>
              </w:rPr>
              <w:t xml:space="preserve">985022 </w:t>
            </w:r>
            <w:r w:rsidRPr="002A78AE">
              <w:sym w:font="Symbol" w:char="F0A3"/>
            </w:r>
            <w:r w:rsidRPr="002A78AE">
              <w:rPr>
                <w:lang w:eastAsia="zh-CN"/>
              </w:rPr>
              <w:t xml:space="preserve"> RSTD </w:t>
            </w:r>
            <w:r w:rsidRPr="002A78AE">
              <w:t>&lt;</w:t>
            </w:r>
            <w:r w:rsidRPr="002A78AE">
              <w:rPr>
                <w:lang w:eastAsia="zh-CN"/>
              </w:rPr>
              <w:t xml:space="preserve"> 985024</w:t>
            </w:r>
          </w:p>
        </w:tc>
        <w:tc>
          <w:tcPr>
            <w:tcW w:w="653" w:type="dxa"/>
            <w:tcBorders>
              <w:top w:val="single" w:sz="4" w:space="0" w:color="auto"/>
              <w:left w:val="single" w:sz="4" w:space="0" w:color="auto"/>
              <w:bottom w:val="single" w:sz="4" w:space="0" w:color="auto"/>
              <w:right w:val="single" w:sz="4" w:space="0" w:color="auto"/>
            </w:tcBorders>
          </w:tcPr>
          <w:p w14:paraId="61B9DA5E" w14:textId="77777777" w:rsidR="00686804" w:rsidRPr="002A78AE" w:rsidRDefault="00686804" w:rsidP="002F5786">
            <w:pPr>
              <w:pStyle w:val="TAC"/>
            </w:pPr>
            <w:r w:rsidRPr="002A78AE">
              <w:t>T</w:t>
            </w:r>
            <w:r w:rsidRPr="002A78AE">
              <w:rPr>
                <w:vertAlign w:val="subscript"/>
              </w:rPr>
              <w:t>c</w:t>
            </w:r>
          </w:p>
        </w:tc>
      </w:tr>
      <w:tr w:rsidR="00686804" w:rsidRPr="002A78AE" w14:paraId="6DF96C23"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BD7C720" w14:textId="77777777" w:rsidR="00686804" w:rsidRPr="002A78AE" w:rsidRDefault="00686804">
            <w:pPr>
              <w:pStyle w:val="TAC"/>
            </w:pPr>
            <w:r w:rsidRPr="002A78AE">
              <w:rPr>
                <w:lang w:eastAsia="zh-CN"/>
              </w:rPr>
              <w:t>RSTD_</w:t>
            </w:r>
            <w:r w:rsidRPr="002A78AE">
              <w:rPr>
                <w:bCs/>
                <w:lang w:eastAsia="zh-CN"/>
              </w:rPr>
              <w:t>985025</w:t>
            </w:r>
          </w:p>
        </w:tc>
        <w:tc>
          <w:tcPr>
            <w:tcW w:w="2949" w:type="dxa"/>
            <w:tcBorders>
              <w:top w:val="single" w:sz="4" w:space="0" w:color="auto"/>
              <w:left w:val="single" w:sz="4" w:space="0" w:color="auto"/>
              <w:bottom w:val="single" w:sz="4" w:space="0" w:color="auto"/>
              <w:right w:val="single" w:sz="4" w:space="0" w:color="auto"/>
            </w:tcBorders>
          </w:tcPr>
          <w:p w14:paraId="6FFEDCC1" w14:textId="77777777" w:rsidR="00686804" w:rsidRPr="002A78AE" w:rsidRDefault="00686804">
            <w:pPr>
              <w:pStyle w:val="TAC"/>
            </w:pPr>
            <w:r w:rsidRPr="002A78AE">
              <w:rPr>
                <w:lang w:eastAsia="zh-CN"/>
              </w:rPr>
              <w:t xml:space="preserve">985024 </w:t>
            </w:r>
            <w:r w:rsidRPr="002A78AE">
              <w:sym w:font="Symbol" w:char="F0A3"/>
            </w:r>
            <w:r w:rsidRPr="002A78AE">
              <w:rPr>
                <w:lang w:eastAsia="zh-CN"/>
              </w:rPr>
              <w:t xml:space="preserve"> RSTD</w:t>
            </w:r>
          </w:p>
        </w:tc>
        <w:tc>
          <w:tcPr>
            <w:tcW w:w="653" w:type="dxa"/>
            <w:tcBorders>
              <w:top w:val="single" w:sz="4" w:space="0" w:color="auto"/>
              <w:left w:val="single" w:sz="4" w:space="0" w:color="auto"/>
              <w:bottom w:val="single" w:sz="4" w:space="0" w:color="auto"/>
              <w:right w:val="single" w:sz="4" w:space="0" w:color="auto"/>
            </w:tcBorders>
          </w:tcPr>
          <w:p w14:paraId="1F67D8EB" w14:textId="77777777" w:rsidR="00686804" w:rsidRPr="002A78AE" w:rsidRDefault="00686804" w:rsidP="002F5786">
            <w:pPr>
              <w:pStyle w:val="TAC"/>
            </w:pPr>
            <w:r w:rsidRPr="002A78AE">
              <w:t>T</w:t>
            </w:r>
            <w:r w:rsidRPr="002A78AE">
              <w:rPr>
                <w:vertAlign w:val="subscript"/>
              </w:rPr>
              <w:t>c</w:t>
            </w:r>
          </w:p>
        </w:tc>
      </w:tr>
    </w:tbl>
    <w:p w14:paraId="14B66078" w14:textId="77777777" w:rsidR="00686804" w:rsidRDefault="00686804" w:rsidP="002F5786"/>
    <w:p w14:paraId="339FA8D9" w14:textId="77777777" w:rsidR="00686804" w:rsidRPr="00DE253F" w:rsidRDefault="00686804" w:rsidP="002F5786">
      <w:pPr>
        <w:pStyle w:val="TH"/>
        <w:rPr>
          <w:rFonts w:cs="Arial"/>
          <w:lang w:val="en-US" w:eastAsia="ja-JP"/>
        </w:rPr>
      </w:pPr>
      <w:r w:rsidRPr="00DE253F">
        <w:t xml:space="preserve">Table </w:t>
      </w:r>
      <w:r>
        <w:t>10.1.23.3.1-3</w:t>
      </w:r>
      <w:r w:rsidRPr="00DE253F">
        <w:t xml:space="preserve">: </w:t>
      </w:r>
      <w:r>
        <w:t xml:space="preserve">Report mapping for </w:t>
      </w:r>
      <w:r w:rsidRPr="00DE253F">
        <w:rPr>
          <w:i/>
          <w:iCs/>
        </w:rPr>
        <w:t>k</w:t>
      </w:r>
      <w:r>
        <w:t>=2</w:t>
      </w:r>
    </w:p>
    <w:tbl>
      <w:tblPr>
        <w:tblW w:w="6295"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949"/>
        <w:gridCol w:w="653"/>
      </w:tblGrid>
      <w:tr w:rsidR="00CF56CF" w:rsidRPr="002A78AE" w14:paraId="6AE2D649" w14:textId="77777777" w:rsidTr="00CF56CF">
        <w:trPr>
          <w:cantSplit/>
          <w:trHeight w:val="128"/>
        </w:trPr>
        <w:tc>
          <w:tcPr>
            <w:tcW w:w="2693" w:type="dxa"/>
            <w:tcBorders>
              <w:bottom w:val="nil"/>
            </w:tcBorders>
            <w:shd w:val="clear" w:color="auto" w:fill="auto"/>
          </w:tcPr>
          <w:p w14:paraId="71C87664" w14:textId="03F84505" w:rsidR="00CF56CF" w:rsidRPr="002A78AE" w:rsidRDefault="00CF56CF" w:rsidP="00CF56CF">
            <w:pPr>
              <w:pStyle w:val="TAH"/>
            </w:pPr>
            <w:r w:rsidRPr="002A78AE">
              <w:t>Reported Quantity Value</w:t>
            </w:r>
            <w:r>
              <w:t>,</w:t>
            </w:r>
          </w:p>
        </w:tc>
        <w:tc>
          <w:tcPr>
            <w:tcW w:w="2949" w:type="dxa"/>
            <w:tcBorders>
              <w:bottom w:val="nil"/>
            </w:tcBorders>
            <w:shd w:val="clear" w:color="auto" w:fill="auto"/>
          </w:tcPr>
          <w:p w14:paraId="7B89C153" w14:textId="667C7634" w:rsidR="00CF56CF" w:rsidRPr="002A78AE" w:rsidRDefault="00CF56CF" w:rsidP="00CF56CF">
            <w:pPr>
              <w:pStyle w:val="TAH"/>
            </w:pPr>
            <w:r w:rsidRPr="002A78AE">
              <w:t>Measured Quantity Value</w:t>
            </w:r>
            <w:r>
              <w:t>,</w:t>
            </w:r>
          </w:p>
        </w:tc>
        <w:tc>
          <w:tcPr>
            <w:tcW w:w="653" w:type="dxa"/>
            <w:tcBorders>
              <w:bottom w:val="nil"/>
            </w:tcBorders>
          </w:tcPr>
          <w:p w14:paraId="6ECA887B" w14:textId="77777777" w:rsidR="00CF56CF" w:rsidRPr="002A78AE" w:rsidRDefault="00CF56CF" w:rsidP="00CF56CF">
            <w:pPr>
              <w:pStyle w:val="TAH"/>
            </w:pPr>
            <w:r w:rsidRPr="002A78AE">
              <w:t>Unit</w:t>
            </w:r>
          </w:p>
        </w:tc>
      </w:tr>
      <w:tr w:rsidR="00CF56CF" w:rsidRPr="002A78AE" w14:paraId="42D06CDF" w14:textId="77777777" w:rsidTr="00CF56CF">
        <w:trPr>
          <w:cantSplit/>
          <w:trHeight w:val="262"/>
        </w:trPr>
        <w:tc>
          <w:tcPr>
            <w:tcW w:w="2693" w:type="dxa"/>
            <w:tcBorders>
              <w:top w:val="nil"/>
            </w:tcBorders>
            <w:shd w:val="clear" w:color="auto" w:fill="auto"/>
          </w:tcPr>
          <w:p w14:paraId="39245C2E" w14:textId="146F1152" w:rsidR="00CF56CF" w:rsidRPr="002A78AE" w:rsidRDefault="00CF56CF" w:rsidP="00CF56CF">
            <w:pPr>
              <w:pStyle w:val="TAH"/>
            </w:pPr>
            <w:r w:rsidRPr="002A78AE">
              <w:t>RSTD_i</w:t>
            </w:r>
          </w:p>
        </w:tc>
        <w:tc>
          <w:tcPr>
            <w:tcW w:w="2949" w:type="dxa"/>
            <w:tcBorders>
              <w:top w:val="nil"/>
            </w:tcBorders>
            <w:shd w:val="clear" w:color="auto" w:fill="auto"/>
          </w:tcPr>
          <w:p w14:paraId="42F11F63" w14:textId="4E9FC131" w:rsidR="00CF56CF" w:rsidRPr="002A78AE" w:rsidRDefault="00CF56CF" w:rsidP="00CF56CF">
            <w:pPr>
              <w:pStyle w:val="TAH"/>
            </w:pPr>
            <w:r w:rsidRPr="002A78AE">
              <w:t>RSTD</w:t>
            </w:r>
          </w:p>
        </w:tc>
        <w:tc>
          <w:tcPr>
            <w:tcW w:w="653" w:type="dxa"/>
            <w:tcBorders>
              <w:top w:val="nil"/>
            </w:tcBorders>
          </w:tcPr>
          <w:p w14:paraId="374DE82A" w14:textId="77777777" w:rsidR="00CF56CF" w:rsidRPr="002A78AE" w:rsidRDefault="00CF56CF" w:rsidP="00CF56CF">
            <w:pPr>
              <w:pStyle w:val="TAH"/>
            </w:pPr>
          </w:p>
        </w:tc>
      </w:tr>
      <w:tr w:rsidR="00686804" w:rsidRPr="002A78AE" w14:paraId="412BAFE2" w14:textId="77777777" w:rsidTr="00051ED3">
        <w:trPr>
          <w:cantSplit/>
        </w:trPr>
        <w:tc>
          <w:tcPr>
            <w:tcW w:w="2693" w:type="dxa"/>
          </w:tcPr>
          <w:p w14:paraId="5F30A97A" w14:textId="77777777" w:rsidR="00686804" w:rsidRPr="002A78AE" w:rsidRDefault="00686804">
            <w:pPr>
              <w:pStyle w:val="TAC"/>
            </w:pPr>
            <w:r w:rsidRPr="002A78AE">
              <w:rPr>
                <w:lang w:eastAsia="zh-CN"/>
              </w:rPr>
              <w:t>RSTD</w:t>
            </w:r>
            <w:r w:rsidRPr="002A78AE">
              <w:t>_00</w:t>
            </w:r>
            <w:r>
              <w:t>00</w:t>
            </w:r>
            <w:r w:rsidRPr="002A78AE">
              <w:t>00</w:t>
            </w:r>
          </w:p>
        </w:tc>
        <w:tc>
          <w:tcPr>
            <w:tcW w:w="2949" w:type="dxa"/>
          </w:tcPr>
          <w:p w14:paraId="68E28D73" w14:textId="77777777" w:rsidR="00686804" w:rsidRPr="002A78AE" w:rsidRDefault="00686804">
            <w:pPr>
              <w:pStyle w:val="TAC"/>
            </w:pPr>
            <w:r w:rsidRPr="002A78AE">
              <w:rPr>
                <w:lang w:eastAsia="zh-CN"/>
              </w:rPr>
              <w:t>RSTD &lt; -985024</w:t>
            </w:r>
          </w:p>
        </w:tc>
        <w:tc>
          <w:tcPr>
            <w:tcW w:w="653" w:type="dxa"/>
          </w:tcPr>
          <w:p w14:paraId="565976B4" w14:textId="77777777" w:rsidR="00686804" w:rsidRPr="002A78AE" w:rsidRDefault="00686804" w:rsidP="002F5786">
            <w:pPr>
              <w:pStyle w:val="TAC"/>
            </w:pPr>
            <w:r w:rsidRPr="002A78AE">
              <w:t>T</w:t>
            </w:r>
            <w:r w:rsidRPr="002A78AE">
              <w:rPr>
                <w:vertAlign w:val="subscript"/>
              </w:rPr>
              <w:t>c</w:t>
            </w:r>
          </w:p>
        </w:tc>
      </w:tr>
      <w:tr w:rsidR="00686804" w:rsidRPr="002A78AE" w14:paraId="3EDF9839" w14:textId="77777777" w:rsidTr="00051ED3">
        <w:trPr>
          <w:cantSplit/>
        </w:trPr>
        <w:tc>
          <w:tcPr>
            <w:tcW w:w="2693" w:type="dxa"/>
          </w:tcPr>
          <w:p w14:paraId="4407386F" w14:textId="77777777" w:rsidR="00686804" w:rsidRPr="002A78AE" w:rsidRDefault="00686804">
            <w:pPr>
              <w:pStyle w:val="TAC"/>
            </w:pPr>
            <w:r w:rsidRPr="002A78AE">
              <w:rPr>
                <w:lang w:eastAsia="zh-CN"/>
              </w:rPr>
              <w:t>RSTD</w:t>
            </w:r>
            <w:r w:rsidRPr="002A78AE">
              <w:t>_000</w:t>
            </w:r>
            <w:r>
              <w:t>00</w:t>
            </w:r>
            <w:r w:rsidRPr="002A78AE">
              <w:t>1</w:t>
            </w:r>
          </w:p>
        </w:tc>
        <w:tc>
          <w:tcPr>
            <w:tcW w:w="2949" w:type="dxa"/>
          </w:tcPr>
          <w:p w14:paraId="640CD12A" w14:textId="77777777" w:rsidR="00686804" w:rsidRPr="002A78AE" w:rsidRDefault="00686804">
            <w:pPr>
              <w:pStyle w:val="TAC"/>
            </w:pPr>
            <w:r w:rsidRPr="002A78AE">
              <w:rPr>
                <w:lang w:eastAsia="zh-CN"/>
              </w:rPr>
              <w:t xml:space="preserve">-985024 </w:t>
            </w:r>
            <w:r w:rsidRPr="002A78AE">
              <w:rPr>
                <w:lang w:eastAsia="zh-CN"/>
              </w:rPr>
              <w:sym w:font="Symbol" w:char="F0A3"/>
            </w:r>
            <w:r w:rsidRPr="002A78AE">
              <w:rPr>
                <w:lang w:eastAsia="zh-CN"/>
              </w:rPr>
              <w:t xml:space="preserve"> RSTD &lt; -985020</w:t>
            </w:r>
          </w:p>
        </w:tc>
        <w:tc>
          <w:tcPr>
            <w:tcW w:w="653" w:type="dxa"/>
          </w:tcPr>
          <w:p w14:paraId="5AC1261A" w14:textId="77777777" w:rsidR="00686804" w:rsidRPr="002A78AE" w:rsidRDefault="00686804" w:rsidP="002F5786">
            <w:pPr>
              <w:pStyle w:val="TAC"/>
            </w:pPr>
            <w:r w:rsidRPr="002A78AE">
              <w:t>T</w:t>
            </w:r>
            <w:r w:rsidRPr="002A78AE">
              <w:rPr>
                <w:vertAlign w:val="subscript"/>
              </w:rPr>
              <w:t>c</w:t>
            </w:r>
          </w:p>
        </w:tc>
      </w:tr>
      <w:tr w:rsidR="00686804" w:rsidRPr="002A78AE" w14:paraId="5409DA51" w14:textId="77777777" w:rsidTr="00051ED3">
        <w:trPr>
          <w:cantSplit/>
        </w:trPr>
        <w:tc>
          <w:tcPr>
            <w:tcW w:w="2693" w:type="dxa"/>
          </w:tcPr>
          <w:p w14:paraId="22DFA850" w14:textId="77777777" w:rsidR="00686804" w:rsidRPr="002A78AE" w:rsidRDefault="00686804">
            <w:pPr>
              <w:pStyle w:val="TAC"/>
            </w:pPr>
            <w:r w:rsidRPr="002A78AE">
              <w:rPr>
                <w:lang w:eastAsia="zh-CN"/>
              </w:rPr>
              <w:t>RSTD</w:t>
            </w:r>
            <w:r w:rsidRPr="002A78AE">
              <w:t>_000</w:t>
            </w:r>
            <w:r>
              <w:t>00</w:t>
            </w:r>
            <w:r w:rsidRPr="002A78AE">
              <w:t>2</w:t>
            </w:r>
          </w:p>
        </w:tc>
        <w:tc>
          <w:tcPr>
            <w:tcW w:w="2949" w:type="dxa"/>
          </w:tcPr>
          <w:p w14:paraId="7948C439" w14:textId="77777777" w:rsidR="00686804" w:rsidRPr="002A78AE" w:rsidRDefault="00686804">
            <w:pPr>
              <w:pStyle w:val="TAC"/>
            </w:pPr>
            <w:r w:rsidRPr="002A78AE">
              <w:rPr>
                <w:lang w:eastAsia="zh-CN"/>
              </w:rPr>
              <w:t xml:space="preserve">-985020 </w:t>
            </w:r>
            <w:r w:rsidRPr="002A78AE">
              <w:rPr>
                <w:lang w:eastAsia="zh-CN"/>
              </w:rPr>
              <w:sym w:font="Symbol" w:char="F0A3"/>
            </w:r>
            <w:r w:rsidRPr="002A78AE">
              <w:rPr>
                <w:lang w:eastAsia="zh-CN"/>
              </w:rPr>
              <w:t xml:space="preserve"> RSTD &lt; -985016</w:t>
            </w:r>
          </w:p>
        </w:tc>
        <w:tc>
          <w:tcPr>
            <w:tcW w:w="653" w:type="dxa"/>
          </w:tcPr>
          <w:p w14:paraId="779CC3A0" w14:textId="77777777" w:rsidR="00686804" w:rsidRPr="002A78AE" w:rsidRDefault="00686804">
            <w:pPr>
              <w:pStyle w:val="TAC"/>
            </w:pPr>
            <w:r w:rsidRPr="002A78AE">
              <w:t>T</w:t>
            </w:r>
            <w:r w:rsidRPr="002A78AE">
              <w:rPr>
                <w:vertAlign w:val="subscript"/>
              </w:rPr>
              <w:t>c</w:t>
            </w:r>
          </w:p>
        </w:tc>
      </w:tr>
      <w:tr w:rsidR="00686804" w:rsidRPr="002A78AE" w14:paraId="02C244C3" w14:textId="77777777" w:rsidTr="00051ED3">
        <w:trPr>
          <w:cantSplit/>
        </w:trPr>
        <w:tc>
          <w:tcPr>
            <w:tcW w:w="2693" w:type="dxa"/>
          </w:tcPr>
          <w:p w14:paraId="190945BF" w14:textId="77777777" w:rsidR="00686804" w:rsidRPr="002A78AE" w:rsidRDefault="00686804">
            <w:pPr>
              <w:pStyle w:val="TAC"/>
            </w:pPr>
            <w:r w:rsidRPr="002A78AE">
              <w:sym w:font="Symbol" w:char="F0BC"/>
            </w:r>
          </w:p>
        </w:tc>
        <w:tc>
          <w:tcPr>
            <w:tcW w:w="2949" w:type="dxa"/>
          </w:tcPr>
          <w:p w14:paraId="13C56E95" w14:textId="77777777" w:rsidR="00686804" w:rsidRPr="002A78AE" w:rsidRDefault="00686804">
            <w:pPr>
              <w:pStyle w:val="TAC"/>
            </w:pPr>
            <w:r w:rsidRPr="002A78AE">
              <w:sym w:font="Symbol" w:char="F0BC"/>
            </w:r>
          </w:p>
        </w:tc>
        <w:tc>
          <w:tcPr>
            <w:tcW w:w="653" w:type="dxa"/>
          </w:tcPr>
          <w:p w14:paraId="182FF477" w14:textId="77777777" w:rsidR="00686804" w:rsidRPr="002A78AE" w:rsidRDefault="00686804">
            <w:pPr>
              <w:pStyle w:val="TAC"/>
            </w:pPr>
            <w:r w:rsidRPr="002A78AE">
              <w:t>…</w:t>
            </w:r>
          </w:p>
        </w:tc>
      </w:tr>
      <w:tr w:rsidR="00686804" w:rsidRPr="002A78AE" w14:paraId="3D1B0715" w14:textId="77777777" w:rsidTr="00051ED3">
        <w:trPr>
          <w:cantSplit/>
        </w:trPr>
        <w:tc>
          <w:tcPr>
            <w:tcW w:w="2693" w:type="dxa"/>
          </w:tcPr>
          <w:p w14:paraId="71D4A3E9" w14:textId="77777777" w:rsidR="00686804" w:rsidRPr="002A78AE" w:rsidRDefault="00686804">
            <w:pPr>
              <w:pStyle w:val="TAC"/>
            </w:pPr>
            <w:r w:rsidRPr="002A78AE">
              <w:rPr>
                <w:lang w:eastAsia="zh-CN"/>
              </w:rPr>
              <w:t>RSTD_246256</w:t>
            </w:r>
          </w:p>
        </w:tc>
        <w:tc>
          <w:tcPr>
            <w:tcW w:w="2949" w:type="dxa"/>
          </w:tcPr>
          <w:p w14:paraId="05A10EE5" w14:textId="77777777" w:rsidR="00686804" w:rsidRPr="002A78AE" w:rsidRDefault="00686804">
            <w:pPr>
              <w:pStyle w:val="TAC"/>
            </w:pPr>
            <w:r w:rsidRPr="002A78AE">
              <w:rPr>
                <w:lang w:eastAsia="zh-CN"/>
              </w:rPr>
              <w:t>-4</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0</w:t>
            </w:r>
          </w:p>
        </w:tc>
        <w:tc>
          <w:tcPr>
            <w:tcW w:w="653" w:type="dxa"/>
          </w:tcPr>
          <w:p w14:paraId="0EC52B4E" w14:textId="77777777" w:rsidR="00686804" w:rsidRPr="002A78AE" w:rsidRDefault="00686804" w:rsidP="002F5786">
            <w:pPr>
              <w:pStyle w:val="TAC"/>
            </w:pPr>
            <w:r w:rsidRPr="002A78AE">
              <w:t>T</w:t>
            </w:r>
            <w:r w:rsidRPr="002A78AE">
              <w:rPr>
                <w:vertAlign w:val="subscript"/>
              </w:rPr>
              <w:t>c</w:t>
            </w:r>
          </w:p>
        </w:tc>
      </w:tr>
      <w:tr w:rsidR="00686804" w:rsidRPr="002A78AE" w14:paraId="1D533E9F" w14:textId="77777777" w:rsidTr="00051ED3">
        <w:trPr>
          <w:cantSplit/>
        </w:trPr>
        <w:tc>
          <w:tcPr>
            <w:tcW w:w="2693" w:type="dxa"/>
          </w:tcPr>
          <w:p w14:paraId="50EB8FDD" w14:textId="77777777" w:rsidR="00686804" w:rsidRPr="002A78AE" w:rsidRDefault="00686804">
            <w:pPr>
              <w:pStyle w:val="TAC"/>
            </w:pPr>
            <w:r w:rsidRPr="002A78AE">
              <w:rPr>
                <w:lang w:eastAsia="zh-CN"/>
              </w:rPr>
              <w:t>RSTD_246257</w:t>
            </w:r>
          </w:p>
        </w:tc>
        <w:tc>
          <w:tcPr>
            <w:tcW w:w="2949" w:type="dxa"/>
          </w:tcPr>
          <w:p w14:paraId="77FAE5F3" w14:textId="77777777" w:rsidR="00686804" w:rsidRPr="002A78AE" w:rsidRDefault="00686804">
            <w:pPr>
              <w:pStyle w:val="TAC"/>
            </w:pPr>
            <w:r w:rsidRPr="002A78AE">
              <w:rPr>
                <w:lang w:eastAsia="zh-CN"/>
              </w:rPr>
              <w:t>0</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4</w:t>
            </w:r>
          </w:p>
        </w:tc>
        <w:tc>
          <w:tcPr>
            <w:tcW w:w="653" w:type="dxa"/>
          </w:tcPr>
          <w:p w14:paraId="6F54A538" w14:textId="77777777" w:rsidR="00686804" w:rsidRPr="002A78AE" w:rsidRDefault="00686804" w:rsidP="002F5786">
            <w:pPr>
              <w:pStyle w:val="TAC"/>
            </w:pPr>
            <w:r w:rsidRPr="002A78AE">
              <w:t>T</w:t>
            </w:r>
            <w:r w:rsidRPr="002A78AE">
              <w:rPr>
                <w:vertAlign w:val="subscript"/>
              </w:rPr>
              <w:t>c</w:t>
            </w:r>
          </w:p>
        </w:tc>
      </w:tr>
      <w:tr w:rsidR="00686804" w:rsidRPr="002A78AE" w14:paraId="47535B49"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D96152F" w14:textId="77777777" w:rsidR="00686804" w:rsidRPr="002A78AE" w:rsidRDefault="00686804">
            <w:pPr>
              <w:pStyle w:val="TAC"/>
            </w:pPr>
            <w:r w:rsidRPr="002A78AE">
              <w:rPr>
                <w:lang w:eastAsia="zh-CN"/>
              </w:rPr>
              <w:t>…</w:t>
            </w:r>
          </w:p>
        </w:tc>
        <w:tc>
          <w:tcPr>
            <w:tcW w:w="2949" w:type="dxa"/>
            <w:tcBorders>
              <w:top w:val="single" w:sz="4" w:space="0" w:color="auto"/>
              <w:left w:val="single" w:sz="4" w:space="0" w:color="auto"/>
              <w:bottom w:val="single" w:sz="4" w:space="0" w:color="auto"/>
              <w:right w:val="single" w:sz="4" w:space="0" w:color="auto"/>
            </w:tcBorders>
          </w:tcPr>
          <w:p w14:paraId="21B76120" w14:textId="77777777" w:rsidR="00686804" w:rsidRPr="002A78AE" w:rsidRDefault="00686804">
            <w:pPr>
              <w:pStyle w:val="TAC"/>
            </w:pPr>
            <w:r w:rsidRPr="002A78AE">
              <w:rPr>
                <w:lang w:eastAsia="zh-CN"/>
              </w:rPr>
              <w:t>…</w:t>
            </w:r>
          </w:p>
        </w:tc>
        <w:tc>
          <w:tcPr>
            <w:tcW w:w="653" w:type="dxa"/>
            <w:tcBorders>
              <w:top w:val="single" w:sz="4" w:space="0" w:color="auto"/>
              <w:left w:val="single" w:sz="4" w:space="0" w:color="auto"/>
              <w:bottom w:val="single" w:sz="4" w:space="0" w:color="auto"/>
              <w:right w:val="single" w:sz="4" w:space="0" w:color="auto"/>
            </w:tcBorders>
          </w:tcPr>
          <w:p w14:paraId="1315D32F" w14:textId="77777777" w:rsidR="00686804" w:rsidRPr="002A78AE" w:rsidRDefault="00686804">
            <w:pPr>
              <w:pStyle w:val="TAC"/>
            </w:pPr>
            <w:r w:rsidRPr="002A78AE">
              <w:t>…</w:t>
            </w:r>
          </w:p>
        </w:tc>
      </w:tr>
      <w:tr w:rsidR="00686804" w:rsidRPr="002A78AE" w14:paraId="0D52B043"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3E1D59C" w14:textId="77777777" w:rsidR="00686804" w:rsidRPr="002A78AE" w:rsidRDefault="00686804">
            <w:pPr>
              <w:pStyle w:val="TAC"/>
            </w:pPr>
            <w:r w:rsidRPr="002A78AE">
              <w:rPr>
                <w:lang w:eastAsia="zh-CN"/>
              </w:rPr>
              <w:t>RSTD_</w:t>
            </w:r>
            <w:r w:rsidRPr="002A78AE">
              <w:rPr>
                <w:bCs/>
                <w:lang w:eastAsia="zh-CN"/>
              </w:rPr>
              <w:t>492511</w:t>
            </w:r>
          </w:p>
        </w:tc>
        <w:tc>
          <w:tcPr>
            <w:tcW w:w="2949" w:type="dxa"/>
            <w:tcBorders>
              <w:top w:val="single" w:sz="4" w:space="0" w:color="auto"/>
              <w:left w:val="single" w:sz="4" w:space="0" w:color="auto"/>
              <w:bottom w:val="single" w:sz="4" w:space="0" w:color="auto"/>
              <w:right w:val="single" w:sz="4" w:space="0" w:color="auto"/>
            </w:tcBorders>
          </w:tcPr>
          <w:p w14:paraId="69CCB68F" w14:textId="77777777" w:rsidR="00686804" w:rsidRPr="002A78AE" w:rsidRDefault="00686804">
            <w:pPr>
              <w:pStyle w:val="TAC"/>
            </w:pPr>
            <w:r w:rsidRPr="002A78AE">
              <w:rPr>
                <w:lang w:eastAsia="zh-CN"/>
              </w:rPr>
              <w:t xml:space="preserve">985016 </w:t>
            </w:r>
            <w:r w:rsidRPr="002A78AE">
              <w:sym w:font="Symbol" w:char="F0A3"/>
            </w:r>
            <w:r w:rsidRPr="002A78AE">
              <w:rPr>
                <w:lang w:eastAsia="zh-CN"/>
              </w:rPr>
              <w:t xml:space="preserve"> RSTD </w:t>
            </w:r>
            <w:r w:rsidRPr="002A78AE">
              <w:t>&lt;</w:t>
            </w:r>
            <w:r w:rsidRPr="002A78AE">
              <w:rPr>
                <w:lang w:eastAsia="zh-CN"/>
              </w:rPr>
              <w:t xml:space="preserve"> 985020</w:t>
            </w:r>
          </w:p>
        </w:tc>
        <w:tc>
          <w:tcPr>
            <w:tcW w:w="653" w:type="dxa"/>
            <w:tcBorders>
              <w:top w:val="single" w:sz="4" w:space="0" w:color="auto"/>
              <w:left w:val="single" w:sz="4" w:space="0" w:color="auto"/>
              <w:bottom w:val="single" w:sz="4" w:space="0" w:color="auto"/>
              <w:right w:val="single" w:sz="4" w:space="0" w:color="auto"/>
            </w:tcBorders>
          </w:tcPr>
          <w:p w14:paraId="6D847393" w14:textId="77777777" w:rsidR="00686804" w:rsidRPr="002A78AE" w:rsidRDefault="00686804" w:rsidP="002F5786">
            <w:pPr>
              <w:pStyle w:val="TAC"/>
            </w:pPr>
            <w:r w:rsidRPr="002A78AE">
              <w:t>T</w:t>
            </w:r>
            <w:r w:rsidRPr="002A78AE">
              <w:rPr>
                <w:vertAlign w:val="subscript"/>
              </w:rPr>
              <w:t>c</w:t>
            </w:r>
          </w:p>
        </w:tc>
      </w:tr>
      <w:tr w:rsidR="00686804" w:rsidRPr="002A78AE" w14:paraId="05134035"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840B682" w14:textId="77777777" w:rsidR="00686804" w:rsidRPr="002A78AE" w:rsidRDefault="00686804">
            <w:pPr>
              <w:pStyle w:val="TAC"/>
            </w:pPr>
            <w:r w:rsidRPr="002A78AE">
              <w:rPr>
                <w:lang w:eastAsia="zh-CN"/>
              </w:rPr>
              <w:t>RSTD_</w:t>
            </w:r>
            <w:r w:rsidRPr="002A78AE">
              <w:rPr>
                <w:bCs/>
                <w:lang w:eastAsia="zh-CN"/>
              </w:rPr>
              <w:t>492512</w:t>
            </w:r>
          </w:p>
        </w:tc>
        <w:tc>
          <w:tcPr>
            <w:tcW w:w="2949" w:type="dxa"/>
            <w:tcBorders>
              <w:top w:val="single" w:sz="4" w:space="0" w:color="auto"/>
              <w:left w:val="single" w:sz="4" w:space="0" w:color="auto"/>
              <w:bottom w:val="single" w:sz="4" w:space="0" w:color="auto"/>
              <w:right w:val="single" w:sz="4" w:space="0" w:color="auto"/>
            </w:tcBorders>
          </w:tcPr>
          <w:p w14:paraId="25A66D99" w14:textId="77777777" w:rsidR="00686804" w:rsidRPr="002A78AE" w:rsidRDefault="00686804">
            <w:pPr>
              <w:pStyle w:val="TAC"/>
            </w:pPr>
            <w:r w:rsidRPr="002A78AE">
              <w:rPr>
                <w:lang w:eastAsia="zh-CN"/>
              </w:rPr>
              <w:t xml:space="preserve">985020 </w:t>
            </w:r>
            <w:r w:rsidRPr="002A78AE">
              <w:sym w:font="Symbol" w:char="F0A3"/>
            </w:r>
            <w:r w:rsidRPr="002A78AE">
              <w:rPr>
                <w:lang w:eastAsia="zh-CN"/>
              </w:rPr>
              <w:t xml:space="preserve"> RSTD </w:t>
            </w:r>
            <w:r w:rsidRPr="002A78AE">
              <w:t>&lt;</w:t>
            </w:r>
            <w:r w:rsidRPr="002A78AE">
              <w:rPr>
                <w:lang w:eastAsia="zh-CN"/>
              </w:rPr>
              <w:t xml:space="preserve"> 985024</w:t>
            </w:r>
          </w:p>
        </w:tc>
        <w:tc>
          <w:tcPr>
            <w:tcW w:w="653" w:type="dxa"/>
            <w:tcBorders>
              <w:top w:val="single" w:sz="4" w:space="0" w:color="auto"/>
              <w:left w:val="single" w:sz="4" w:space="0" w:color="auto"/>
              <w:bottom w:val="single" w:sz="4" w:space="0" w:color="auto"/>
              <w:right w:val="single" w:sz="4" w:space="0" w:color="auto"/>
            </w:tcBorders>
          </w:tcPr>
          <w:p w14:paraId="7CC74E49" w14:textId="77777777" w:rsidR="00686804" w:rsidRPr="002A78AE" w:rsidRDefault="00686804" w:rsidP="002F5786">
            <w:pPr>
              <w:pStyle w:val="TAC"/>
            </w:pPr>
            <w:r w:rsidRPr="002A78AE">
              <w:t>T</w:t>
            </w:r>
            <w:r w:rsidRPr="002A78AE">
              <w:rPr>
                <w:vertAlign w:val="subscript"/>
              </w:rPr>
              <w:t>c</w:t>
            </w:r>
          </w:p>
        </w:tc>
      </w:tr>
      <w:tr w:rsidR="00686804" w:rsidRPr="002A78AE" w14:paraId="517C49B4"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E92E421" w14:textId="77777777" w:rsidR="00686804" w:rsidRPr="002A78AE" w:rsidRDefault="00686804">
            <w:pPr>
              <w:pStyle w:val="TAC"/>
            </w:pPr>
            <w:r w:rsidRPr="002A78AE">
              <w:rPr>
                <w:lang w:eastAsia="zh-CN"/>
              </w:rPr>
              <w:t>RSTD_</w:t>
            </w:r>
            <w:r w:rsidRPr="002A78AE">
              <w:rPr>
                <w:bCs/>
                <w:lang w:eastAsia="zh-CN"/>
              </w:rPr>
              <w:t>492513</w:t>
            </w:r>
          </w:p>
        </w:tc>
        <w:tc>
          <w:tcPr>
            <w:tcW w:w="2949" w:type="dxa"/>
            <w:tcBorders>
              <w:top w:val="single" w:sz="4" w:space="0" w:color="auto"/>
              <w:left w:val="single" w:sz="4" w:space="0" w:color="auto"/>
              <w:bottom w:val="single" w:sz="4" w:space="0" w:color="auto"/>
              <w:right w:val="single" w:sz="4" w:space="0" w:color="auto"/>
            </w:tcBorders>
          </w:tcPr>
          <w:p w14:paraId="7446ACA3" w14:textId="77777777" w:rsidR="00686804" w:rsidRPr="002A78AE" w:rsidRDefault="00686804">
            <w:pPr>
              <w:pStyle w:val="TAC"/>
            </w:pPr>
            <w:r w:rsidRPr="002A78AE">
              <w:rPr>
                <w:lang w:eastAsia="zh-CN"/>
              </w:rPr>
              <w:t xml:space="preserve">985024 </w:t>
            </w:r>
            <w:r w:rsidRPr="002A78AE">
              <w:sym w:font="Symbol" w:char="F0A3"/>
            </w:r>
            <w:r w:rsidRPr="002A78AE">
              <w:rPr>
                <w:lang w:eastAsia="zh-CN"/>
              </w:rPr>
              <w:t xml:space="preserve"> RSTD</w:t>
            </w:r>
          </w:p>
        </w:tc>
        <w:tc>
          <w:tcPr>
            <w:tcW w:w="653" w:type="dxa"/>
            <w:tcBorders>
              <w:top w:val="single" w:sz="4" w:space="0" w:color="auto"/>
              <w:left w:val="single" w:sz="4" w:space="0" w:color="auto"/>
              <w:bottom w:val="single" w:sz="4" w:space="0" w:color="auto"/>
              <w:right w:val="single" w:sz="4" w:space="0" w:color="auto"/>
            </w:tcBorders>
          </w:tcPr>
          <w:p w14:paraId="5659E392" w14:textId="77777777" w:rsidR="00686804" w:rsidRPr="002A78AE" w:rsidRDefault="00686804" w:rsidP="002F5786">
            <w:pPr>
              <w:pStyle w:val="TAC"/>
            </w:pPr>
            <w:r w:rsidRPr="002A78AE">
              <w:t>T</w:t>
            </w:r>
            <w:r w:rsidRPr="002A78AE">
              <w:rPr>
                <w:vertAlign w:val="subscript"/>
              </w:rPr>
              <w:t>c</w:t>
            </w:r>
          </w:p>
        </w:tc>
      </w:tr>
    </w:tbl>
    <w:p w14:paraId="28246D49" w14:textId="77777777" w:rsidR="00686804" w:rsidRDefault="00686804" w:rsidP="002F5786"/>
    <w:p w14:paraId="18815CC5" w14:textId="77777777" w:rsidR="00686804" w:rsidRPr="00DE253F" w:rsidRDefault="00686804" w:rsidP="002F5786">
      <w:pPr>
        <w:pStyle w:val="TH"/>
        <w:rPr>
          <w:rFonts w:cs="Arial"/>
          <w:lang w:val="en-US" w:eastAsia="ja-JP"/>
        </w:rPr>
      </w:pPr>
      <w:r w:rsidRPr="00DE253F">
        <w:t xml:space="preserve">Table </w:t>
      </w:r>
      <w:r>
        <w:t>10.1.23.3.1-4</w:t>
      </w:r>
      <w:r w:rsidRPr="00DE253F">
        <w:t xml:space="preserve">: </w:t>
      </w:r>
      <w:r>
        <w:t xml:space="preserve">Report mapping for </w:t>
      </w:r>
      <w:r w:rsidRPr="00DE253F">
        <w:rPr>
          <w:i/>
          <w:iCs/>
        </w:rPr>
        <w:t>k</w:t>
      </w:r>
      <w:r>
        <w:t>=3</w:t>
      </w:r>
    </w:p>
    <w:tbl>
      <w:tblPr>
        <w:tblW w:w="6295"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949"/>
        <w:gridCol w:w="653"/>
      </w:tblGrid>
      <w:tr w:rsidR="00CF56CF" w:rsidRPr="002A78AE" w14:paraId="50DD4E82" w14:textId="77777777" w:rsidTr="00CF56CF">
        <w:trPr>
          <w:cantSplit/>
          <w:trHeight w:val="263"/>
        </w:trPr>
        <w:tc>
          <w:tcPr>
            <w:tcW w:w="2693" w:type="dxa"/>
            <w:tcBorders>
              <w:bottom w:val="nil"/>
            </w:tcBorders>
            <w:shd w:val="clear" w:color="auto" w:fill="auto"/>
          </w:tcPr>
          <w:p w14:paraId="1F3615BB" w14:textId="14B61AD8" w:rsidR="00CF56CF" w:rsidRPr="002A78AE" w:rsidRDefault="00CF56CF" w:rsidP="00CF56CF">
            <w:pPr>
              <w:pStyle w:val="TAH"/>
            </w:pPr>
            <w:r w:rsidRPr="002A78AE">
              <w:t>Reported Quantity Value</w:t>
            </w:r>
          </w:p>
        </w:tc>
        <w:tc>
          <w:tcPr>
            <w:tcW w:w="2949" w:type="dxa"/>
            <w:tcBorders>
              <w:bottom w:val="nil"/>
            </w:tcBorders>
            <w:shd w:val="clear" w:color="auto" w:fill="auto"/>
          </w:tcPr>
          <w:p w14:paraId="23266856" w14:textId="293082BF" w:rsidR="00CF56CF" w:rsidRPr="002A78AE" w:rsidRDefault="00CF56CF" w:rsidP="00CF56CF">
            <w:pPr>
              <w:pStyle w:val="TAH"/>
            </w:pPr>
            <w:r w:rsidRPr="002A78AE">
              <w:t>Measured Quantity Value</w:t>
            </w:r>
            <w:r>
              <w:t>,</w:t>
            </w:r>
          </w:p>
        </w:tc>
        <w:tc>
          <w:tcPr>
            <w:tcW w:w="653" w:type="dxa"/>
            <w:tcBorders>
              <w:bottom w:val="nil"/>
            </w:tcBorders>
          </w:tcPr>
          <w:p w14:paraId="137D817D" w14:textId="77777777" w:rsidR="00CF56CF" w:rsidRPr="002A78AE" w:rsidRDefault="00CF56CF" w:rsidP="00CF56CF">
            <w:pPr>
              <w:pStyle w:val="TAH"/>
            </w:pPr>
            <w:r w:rsidRPr="002A78AE">
              <w:t>Unit</w:t>
            </w:r>
          </w:p>
        </w:tc>
      </w:tr>
      <w:tr w:rsidR="00CF56CF" w:rsidRPr="002A78AE" w14:paraId="5E3476BC" w14:textId="77777777" w:rsidTr="00CF56CF">
        <w:trPr>
          <w:cantSplit/>
          <w:trHeight w:val="262"/>
        </w:trPr>
        <w:tc>
          <w:tcPr>
            <w:tcW w:w="2693" w:type="dxa"/>
            <w:tcBorders>
              <w:top w:val="nil"/>
            </w:tcBorders>
            <w:shd w:val="clear" w:color="auto" w:fill="auto"/>
          </w:tcPr>
          <w:p w14:paraId="5C3178A4" w14:textId="519F9CF1" w:rsidR="00CF56CF" w:rsidRPr="002A78AE" w:rsidRDefault="00CF56CF" w:rsidP="00CF56CF">
            <w:pPr>
              <w:pStyle w:val="TAH"/>
            </w:pPr>
            <w:r w:rsidRPr="002A78AE">
              <w:t>RSTD_i</w:t>
            </w:r>
          </w:p>
        </w:tc>
        <w:tc>
          <w:tcPr>
            <w:tcW w:w="2949" w:type="dxa"/>
            <w:tcBorders>
              <w:top w:val="nil"/>
            </w:tcBorders>
            <w:shd w:val="clear" w:color="auto" w:fill="auto"/>
          </w:tcPr>
          <w:p w14:paraId="70EE11DA" w14:textId="4FA14C7A" w:rsidR="00CF56CF" w:rsidRPr="002A78AE" w:rsidRDefault="00CF56CF" w:rsidP="00CF56CF">
            <w:pPr>
              <w:pStyle w:val="TAH"/>
            </w:pPr>
            <w:r w:rsidRPr="002A78AE">
              <w:t>RSTD</w:t>
            </w:r>
          </w:p>
        </w:tc>
        <w:tc>
          <w:tcPr>
            <w:tcW w:w="653" w:type="dxa"/>
            <w:tcBorders>
              <w:top w:val="nil"/>
            </w:tcBorders>
          </w:tcPr>
          <w:p w14:paraId="782FD612" w14:textId="77777777" w:rsidR="00CF56CF" w:rsidRPr="002A78AE" w:rsidRDefault="00CF56CF" w:rsidP="00CF56CF">
            <w:pPr>
              <w:pStyle w:val="TAH"/>
            </w:pPr>
          </w:p>
        </w:tc>
      </w:tr>
      <w:tr w:rsidR="00686804" w:rsidRPr="002A78AE" w14:paraId="3B761184" w14:textId="77777777" w:rsidTr="00051ED3">
        <w:trPr>
          <w:cantSplit/>
        </w:trPr>
        <w:tc>
          <w:tcPr>
            <w:tcW w:w="2693" w:type="dxa"/>
          </w:tcPr>
          <w:p w14:paraId="5B3B1008" w14:textId="77777777" w:rsidR="00686804" w:rsidRPr="002A78AE" w:rsidRDefault="00686804">
            <w:pPr>
              <w:pStyle w:val="TAC"/>
            </w:pPr>
            <w:r w:rsidRPr="002A78AE">
              <w:rPr>
                <w:lang w:eastAsia="zh-CN"/>
              </w:rPr>
              <w:t>RSTD</w:t>
            </w:r>
            <w:r w:rsidRPr="002A78AE">
              <w:t>_0</w:t>
            </w:r>
            <w:r>
              <w:t>00</w:t>
            </w:r>
            <w:r w:rsidRPr="002A78AE">
              <w:t>000</w:t>
            </w:r>
          </w:p>
        </w:tc>
        <w:tc>
          <w:tcPr>
            <w:tcW w:w="2949" w:type="dxa"/>
          </w:tcPr>
          <w:p w14:paraId="03E2E691" w14:textId="77777777" w:rsidR="00686804" w:rsidRPr="002A78AE" w:rsidRDefault="00686804">
            <w:pPr>
              <w:pStyle w:val="TAC"/>
            </w:pPr>
            <w:r w:rsidRPr="002A78AE">
              <w:rPr>
                <w:lang w:eastAsia="zh-CN"/>
              </w:rPr>
              <w:t>RSTD &lt; -985024</w:t>
            </w:r>
          </w:p>
        </w:tc>
        <w:tc>
          <w:tcPr>
            <w:tcW w:w="653" w:type="dxa"/>
          </w:tcPr>
          <w:p w14:paraId="32B3EC1E" w14:textId="77777777" w:rsidR="00686804" w:rsidRPr="002A78AE" w:rsidRDefault="00686804" w:rsidP="002F5786">
            <w:pPr>
              <w:pStyle w:val="TAC"/>
            </w:pPr>
            <w:r w:rsidRPr="002A78AE">
              <w:t>T</w:t>
            </w:r>
            <w:r w:rsidRPr="002A78AE">
              <w:rPr>
                <w:vertAlign w:val="subscript"/>
              </w:rPr>
              <w:t>c</w:t>
            </w:r>
          </w:p>
        </w:tc>
      </w:tr>
      <w:tr w:rsidR="00686804" w:rsidRPr="002A78AE" w14:paraId="3F2F1B22" w14:textId="77777777" w:rsidTr="00051ED3">
        <w:trPr>
          <w:cantSplit/>
        </w:trPr>
        <w:tc>
          <w:tcPr>
            <w:tcW w:w="2693" w:type="dxa"/>
          </w:tcPr>
          <w:p w14:paraId="3B8ACDE5" w14:textId="77777777" w:rsidR="00686804" w:rsidRPr="002A78AE" w:rsidRDefault="00686804">
            <w:pPr>
              <w:pStyle w:val="TAC"/>
            </w:pPr>
            <w:r w:rsidRPr="002A78AE">
              <w:rPr>
                <w:lang w:eastAsia="zh-CN"/>
              </w:rPr>
              <w:t>RSTD</w:t>
            </w:r>
            <w:r w:rsidRPr="002A78AE">
              <w:t>_00</w:t>
            </w:r>
            <w:r>
              <w:t>00</w:t>
            </w:r>
            <w:r w:rsidRPr="002A78AE">
              <w:t>01</w:t>
            </w:r>
          </w:p>
        </w:tc>
        <w:tc>
          <w:tcPr>
            <w:tcW w:w="2949" w:type="dxa"/>
          </w:tcPr>
          <w:p w14:paraId="570994F8" w14:textId="77777777" w:rsidR="00686804" w:rsidRPr="002A78AE" w:rsidRDefault="00686804">
            <w:pPr>
              <w:pStyle w:val="TAC"/>
            </w:pPr>
            <w:r w:rsidRPr="002A78AE">
              <w:rPr>
                <w:lang w:eastAsia="zh-CN"/>
              </w:rPr>
              <w:t xml:space="preserve">-985024 </w:t>
            </w:r>
            <w:r w:rsidRPr="002A78AE">
              <w:rPr>
                <w:lang w:eastAsia="zh-CN"/>
              </w:rPr>
              <w:sym w:font="Symbol" w:char="F0A3"/>
            </w:r>
            <w:r w:rsidRPr="002A78AE">
              <w:rPr>
                <w:lang w:eastAsia="zh-CN"/>
              </w:rPr>
              <w:t xml:space="preserve"> RSTD &lt; -985016</w:t>
            </w:r>
          </w:p>
        </w:tc>
        <w:tc>
          <w:tcPr>
            <w:tcW w:w="653" w:type="dxa"/>
          </w:tcPr>
          <w:p w14:paraId="25A4D293" w14:textId="77777777" w:rsidR="00686804" w:rsidRPr="002A78AE" w:rsidRDefault="00686804" w:rsidP="002F5786">
            <w:pPr>
              <w:pStyle w:val="TAC"/>
            </w:pPr>
            <w:r w:rsidRPr="002A78AE">
              <w:t>T</w:t>
            </w:r>
            <w:r w:rsidRPr="002A78AE">
              <w:rPr>
                <w:vertAlign w:val="subscript"/>
              </w:rPr>
              <w:t>c</w:t>
            </w:r>
          </w:p>
        </w:tc>
      </w:tr>
      <w:tr w:rsidR="00686804" w:rsidRPr="002A78AE" w14:paraId="75E7ADFA" w14:textId="77777777" w:rsidTr="00051ED3">
        <w:trPr>
          <w:cantSplit/>
        </w:trPr>
        <w:tc>
          <w:tcPr>
            <w:tcW w:w="2693" w:type="dxa"/>
          </w:tcPr>
          <w:p w14:paraId="0D30B701" w14:textId="77777777" w:rsidR="00686804" w:rsidRPr="002A78AE" w:rsidRDefault="00686804">
            <w:pPr>
              <w:pStyle w:val="TAC"/>
            </w:pPr>
            <w:r w:rsidRPr="002A78AE">
              <w:rPr>
                <w:lang w:eastAsia="zh-CN"/>
              </w:rPr>
              <w:t>RSTD</w:t>
            </w:r>
            <w:r w:rsidRPr="002A78AE">
              <w:t>_000</w:t>
            </w:r>
            <w:r>
              <w:t>00</w:t>
            </w:r>
            <w:r w:rsidRPr="002A78AE">
              <w:t>2</w:t>
            </w:r>
          </w:p>
        </w:tc>
        <w:tc>
          <w:tcPr>
            <w:tcW w:w="2949" w:type="dxa"/>
          </w:tcPr>
          <w:p w14:paraId="20E95810" w14:textId="77777777" w:rsidR="00686804" w:rsidRPr="002A78AE" w:rsidRDefault="00686804">
            <w:pPr>
              <w:pStyle w:val="TAC"/>
            </w:pPr>
            <w:r w:rsidRPr="002A78AE">
              <w:rPr>
                <w:lang w:eastAsia="zh-CN"/>
              </w:rPr>
              <w:t xml:space="preserve">-985016 </w:t>
            </w:r>
            <w:r w:rsidRPr="002A78AE">
              <w:rPr>
                <w:lang w:eastAsia="zh-CN"/>
              </w:rPr>
              <w:sym w:font="Symbol" w:char="F0A3"/>
            </w:r>
            <w:r w:rsidRPr="002A78AE">
              <w:rPr>
                <w:lang w:eastAsia="zh-CN"/>
              </w:rPr>
              <w:t xml:space="preserve"> RSTD &lt; -985008</w:t>
            </w:r>
          </w:p>
        </w:tc>
        <w:tc>
          <w:tcPr>
            <w:tcW w:w="653" w:type="dxa"/>
          </w:tcPr>
          <w:p w14:paraId="32E42838" w14:textId="77777777" w:rsidR="00686804" w:rsidRPr="002A78AE" w:rsidRDefault="00686804">
            <w:pPr>
              <w:pStyle w:val="TAC"/>
            </w:pPr>
            <w:r w:rsidRPr="002A78AE">
              <w:t>T</w:t>
            </w:r>
            <w:r w:rsidRPr="002A78AE">
              <w:rPr>
                <w:vertAlign w:val="subscript"/>
              </w:rPr>
              <w:t>c</w:t>
            </w:r>
          </w:p>
        </w:tc>
      </w:tr>
      <w:tr w:rsidR="00686804" w:rsidRPr="002A78AE" w14:paraId="7A00B1C5" w14:textId="77777777" w:rsidTr="00051ED3">
        <w:trPr>
          <w:cantSplit/>
        </w:trPr>
        <w:tc>
          <w:tcPr>
            <w:tcW w:w="2693" w:type="dxa"/>
          </w:tcPr>
          <w:p w14:paraId="540A5484" w14:textId="77777777" w:rsidR="00686804" w:rsidRPr="002A78AE" w:rsidRDefault="00686804">
            <w:pPr>
              <w:pStyle w:val="TAC"/>
            </w:pPr>
            <w:r w:rsidRPr="002A78AE">
              <w:sym w:font="Symbol" w:char="F0BC"/>
            </w:r>
          </w:p>
        </w:tc>
        <w:tc>
          <w:tcPr>
            <w:tcW w:w="2949" w:type="dxa"/>
          </w:tcPr>
          <w:p w14:paraId="2B59402B" w14:textId="77777777" w:rsidR="00686804" w:rsidRPr="002A78AE" w:rsidRDefault="00686804">
            <w:pPr>
              <w:pStyle w:val="TAC"/>
            </w:pPr>
            <w:r w:rsidRPr="002A78AE">
              <w:sym w:font="Symbol" w:char="F0BC"/>
            </w:r>
          </w:p>
        </w:tc>
        <w:tc>
          <w:tcPr>
            <w:tcW w:w="653" w:type="dxa"/>
          </w:tcPr>
          <w:p w14:paraId="19FF80E6" w14:textId="77777777" w:rsidR="00686804" w:rsidRPr="002A78AE" w:rsidRDefault="00686804">
            <w:pPr>
              <w:pStyle w:val="TAC"/>
            </w:pPr>
            <w:r w:rsidRPr="002A78AE">
              <w:t>…</w:t>
            </w:r>
          </w:p>
        </w:tc>
      </w:tr>
      <w:tr w:rsidR="00686804" w:rsidRPr="002A78AE" w14:paraId="793BDF6F" w14:textId="77777777" w:rsidTr="00051ED3">
        <w:trPr>
          <w:cantSplit/>
        </w:trPr>
        <w:tc>
          <w:tcPr>
            <w:tcW w:w="2693" w:type="dxa"/>
          </w:tcPr>
          <w:p w14:paraId="07B0D7F1" w14:textId="77777777" w:rsidR="00686804" w:rsidRPr="002A78AE" w:rsidRDefault="00686804">
            <w:pPr>
              <w:pStyle w:val="TAC"/>
            </w:pPr>
            <w:r w:rsidRPr="002A78AE">
              <w:rPr>
                <w:lang w:eastAsia="zh-CN"/>
              </w:rPr>
              <w:t>RSTD_123128</w:t>
            </w:r>
          </w:p>
        </w:tc>
        <w:tc>
          <w:tcPr>
            <w:tcW w:w="2949" w:type="dxa"/>
          </w:tcPr>
          <w:p w14:paraId="2658F851" w14:textId="77777777" w:rsidR="00686804" w:rsidRPr="002A78AE" w:rsidRDefault="00686804">
            <w:pPr>
              <w:pStyle w:val="TAC"/>
            </w:pPr>
            <w:r w:rsidRPr="002A78AE">
              <w:rPr>
                <w:lang w:eastAsia="zh-CN"/>
              </w:rPr>
              <w:t>-8</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0</w:t>
            </w:r>
          </w:p>
        </w:tc>
        <w:tc>
          <w:tcPr>
            <w:tcW w:w="653" w:type="dxa"/>
          </w:tcPr>
          <w:p w14:paraId="3E3B0501" w14:textId="77777777" w:rsidR="00686804" w:rsidRPr="002A78AE" w:rsidRDefault="00686804" w:rsidP="002F5786">
            <w:pPr>
              <w:pStyle w:val="TAC"/>
            </w:pPr>
            <w:r w:rsidRPr="002A78AE">
              <w:t>T</w:t>
            </w:r>
            <w:r w:rsidRPr="002A78AE">
              <w:rPr>
                <w:vertAlign w:val="subscript"/>
              </w:rPr>
              <w:t>c</w:t>
            </w:r>
          </w:p>
        </w:tc>
      </w:tr>
      <w:tr w:rsidR="00686804" w:rsidRPr="002A78AE" w14:paraId="3735DE43" w14:textId="77777777" w:rsidTr="00051ED3">
        <w:trPr>
          <w:cantSplit/>
        </w:trPr>
        <w:tc>
          <w:tcPr>
            <w:tcW w:w="2693" w:type="dxa"/>
          </w:tcPr>
          <w:p w14:paraId="08F7B0FF" w14:textId="77777777" w:rsidR="00686804" w:rsidRPr="002A78AE" w:rsidRDefault="00686804">
            <w:pPr>
              <w:pStyle w:val="TAC"/>
            </w:pPr>
            <w:r w:rsidRPr="002A78AE">
              <w:rPr>
                <w:lang w:eastAsia="zh-CN"/>
              </w:rPr>
              <w:t>RSTD_123129</w:t>
            </w:r>
          </w:p>
        </w:tc>
        <w:tc>
          <w:tcPr>
            <w:tcW w:w="2949" w:type="dxa"/>
          </w:tcPr>
          <w:p w14:paraId="214DC9EE" w14:textId="77777777" w:rsidR="00686804" w:rsidRPr="002A78AE" w:rsidRDefault="00686804">
            <w:pPr>
              <w:pStyle w:val="TAC"/>
            </w:pPr>
            <w:r w:rsidRPr="002A78AE">
              <w:rPr>
                <w:lang w:eastAsia="zh-CN"/>
              </w:rPr>
              <w:t>0</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8</w:t>
            </w:r>
          </w:p>
        </w:tc>
        <w:tc>
          <w:tcPr>
            <w:tcW w:w="653" w:type="dxa"/>
          </w:tcPr>
          <w:p w14:paraId="40487824" w14:textId="77777777" w:rsidR="00686804" w:rsidRPr="002A78AE" w:rsidRDefault="00686804" w:rsidP="002F5786">
            <w:pPr>
              <w:pStyle w:val="TAC"/>
            </w:pPr>
            <w:r w:rsidRPr="002A78AE">
              <w:t>T</w:t>
            </w:r>
            <w:r w:rsidRPr="002A78AE">
              <w:rPr>
                <w:vertAlign w:val="subscript"/>
              </w:rPr>
              <w:t>c</w:t>
            </w:r>
          </w:p>
        </w:tc>
      </w:tr>
      <w:tr w:rsidR="00686804" w:rsidRPr="002A78AE" w14:paraId="4133C3B7"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289C7A5F" w14:textId="77777777" w:rsidR="00686804" w:rsidRPr="002A78AE" w:rsidRDefault="00686804">
            <w:pPr>
              <w:pStyle w:val="TAC"/>
            </w:pPr>
            <w:r w:rsidRPr="002A78AE">
              <w:rPr>
                <w:lang w:eastAsia="zh-CN"/>
              </w:rPr>
              <w:t>…</w:t>
            </w:r>
          </w:p>
        </w:tc>
        <w:tc>
          <w:tcPr>
            <w:tcW w:w="2949" w:type="dxa"/>
            <w:tcBorders>
              <w:top w:val="single" w:sz="4" w:space="0" w:color="auto"/>
              <w:left w:val="single" w:sz="4" w:space="0" w:color="auto"/>
              <w:bottom w:val="single" w:sz="4" w:space="0" w:color="auto"/>
              <w:right w:val="single" w:sz="4" w:space="0" w:color="auto"/>
            </w:tcBorders>
          </w:tcPr>
          <w:p w14:paraId="160F53AC" w14:textId="77777777" w:rsidR="00686804" w:rsidRPr="002A78AE" w:rsidRDefault="00686804">
            <w:pPr>
              <w:pStyle w:val="TAC"/>
            </w:pPr>
            <w:r w:rsidRPr="002A78AE">
              <w:rPr>
                <w:lang w:eastAsia="zh-CN"/>
              </w:rPr>
              <w:t>…</w:t>
            </w:r>
          </w:p>
        </w:tc>
        <w:tc>
          <w:tcPr>
            <w:tcW w:w="653" w:type="dxa"/>
            <w:tcBorders>
              <w:top w:val="single" w:sz="4" w:space="0" w:color="auto"/>
              <w:left w:val="single" w:sz="4" w:space="0" w:color="auto"/>
              <w:bottom w:val="single" w:sz="4" w:space="0" w:color="auto"/>
              <w:right w:val="single" w:sz="4" w:space="0" w:color="auto"/>
            </w:tcBorders>
          </w:tcPr>
          <w:p w14:paraId="6509BA0F" w14:textId="77777777" w:rsidR="00686804" w:rsidRPr="002A78AE" w:rsidRDefault="00686804">
            <w:pPr>
              <w:pStyle w:val="TAC"/>
            </w:pPr>
            <w:r w:rsidRPr="002A78AE">
              <w:t>…</w:t>
            </w:r>
          </w:p>
        </w:tc>
      </w:tr>
      <w:tr w:rsidR="00686804" w:rsidRPr="002A78AE" w14:paraId="14830E47"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9E81D64" w14:textId="77777777" w:rsidR="00686804" w:rsidRPr="002A78AE" w:rsidRDefault="00686804">
            <w:pPr>
              <w:pStyle w:val="TAC"/>
            </w:pPr>
            <w:r w:rsidRPr="002A78AE">
              <w:rPr>
                <w:lang w:eastAsia="zh-CN"/>
              </w:rPr>
              <w:t>RSTD_</w:t>
            </w:r>
            <w:r w:rsidRPr="002A78AE">
              <w:rPr>
                <w:bCs/>
                <w:lang w:eastAsia="zh-CN"/>
              </w:rPr>
              <w:t>246255</w:t>
            </w:r>
          </w:p>
        </w:tc>
        <w:tc>
          <w:tcPr>
            <w:tcW w:w="2949" w:type="dxa"/>
            <w:tcBorders>
              <w:top w:val="single" w:sz="4" w:space="0" w:color="auto"/>
              <w:left w:val="single" w:sz="4" w:space="0" w:color="auto"/>
              <w:bottom w:val="single" w:sz="4" w:space="0" w:color="auto"/>
              <w:right w:val="single" w:sz="4" w:space="0" w:color="auto"/>
            </w:tcBorders>
          </w:tcPr>
          <w:p w14:paraId="58BC8455" w14:textId="77777777" w:rsidR="00686804" w:rsidRPr="002A78AE" w:rsidRDefault="00686804">
            <w:pPr>
              <w:pStyle w:val="TAC"/>
            </w:pPr>
            <w:r w:rsidRPr="002A78AE">
              <w:rPr>
                <w:lang w:eastAsia="zh-CN"/>
              </w:rPr>
              <w:t xml:space="preserve">985008 </w:t>
            </w:r>
            <w:r w:rsidRPr="002A78AE">
              <w:sym w:font="Symbol" w:char="F0A3"/>
            </w:r>
            <w:r w:rsidRPr="002A78AE">
              <w:rPr>
                <w:lang w:eastAsia="zh-CN"/>
              </w:rPr>
              <w:t xml:space="preserve"> RSTD </w:t>
            </w:r>
            <w:r w:rsidRPr="002A78AE">
              <w:t>&lt;</w:t>
            </w:r>
            <w:r w:rsidRPr="002A78AE">
              <w:rPr>
                <w:lang w:eastAsia="zh-CN"/>
              </w:rPr>
              <w:t xml:space="preserve"> 985016</w:t>
            </w:r>
          </w:p>
        </w:tc>
        <w:tc>
          <w:tcPr>
            <w:tcW w:w="653" w:type="dxa"/>
            <w:tcBorders>
              <w:top w:val="single" w:sz="4" w:space="0" w:color="auto"/>
              <w:left w:val="single" w:sz="4" w:space="0" w:color="auto"/>
              <w:bottom w:val="single" w:sz="4" w:space="0" w:color="auto"/>
              <w:right w:val="single" w:sz="4" w:space="0" w:color="auto"/>
            </w:tcBorders>
          </w:tcPr>
          <w:p w14:paraId="532D8639" w14:textId="77777777" w:rsidR="00686804" w:rsidRPr="002A78AE" w:rsidRDefault="00686804" w:rsidP="002F5786">
            <w:pPr>
              <w:pStyle w:val="TAC"/>
            </w:pPr>
            <w:r w:rsidRPr="002A78AE">
              <w:t>T</w:t>
            </w:r>
            <w:r w:rsidRPr="002A78AE">
              <w:rPr>
                <w:vertAlign w:val="subscript"/>
              </w:rPr>
              <w:t>c</w:t>
            </w:r>
          </w:p>
        </w:tc>
      </w:tr>
      <w:tr w:rsidR="00686804" w:rsidRPr="002A78AE" w14:paraId="597CE9F7"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2C77DE8" w14:textId="77777777" w:rsidR="00686804" w:rsidRPr="002A78AE" w:rsidRDefault="00686804">
            <w:pPr>
              <w:pStyle w:val="TAC"/>
            </w:pPr>
            <w:r w:rsidRPr="002A78AE">
              <w:rPr>
                <w:lang w:eastAsia="zh-CN"/>
              </w:rPr>
              <w:t>RSTD_</w:t>
            </w:r>
            <w:r w:rsidRPr="002A78AE">
              <w:rPr>
                <w:bCs/>
                <w:lang w:eastAsia="zh-CN"/>
              </w:rPr>
              <w:t>246256</w:t>
            </w:r>
          </w:p>
        </w:tc>
        <w:tc>
          <w:tcPr>
            <w:tcW w:w="2949" w:type="dxa"/>
            <w:tcBorders>
              <w:top w:val="single" w:sz="4" w:space="0" w:color="auto"/>
              <w:left w:val="single" w:sz="4" w:space="0" w:color="auto"/>
              <w:bottom w:val="single" w:sz="4" w:space="0" w:color="auto"/>
              <w:right w:val="single" w:sz="4" w:space="0" w:color="auto"/>
            </w:tcBorders>
          </w:tcPr>
          <w:p w14:paraId="3A35E507" w14:textId="77777777" w:rsidR="00686804" w:rsidRPr="002A78AE" w:rsidRDefault="00686804">
            <w:pPr>
              <w:pStyle w:val="TAC"/>
            </w:pPr>
            <w:r w:rsidRPr="002A78AE">
              <w:rPr>
                <w:lang w:eastAsia="zh-CN"/>
              </w:rPr>
              <w:t xml:space="preserve">985016 </w:t>
            </w:r>
            <w:r w:rsidRPr="002A78AE">
              <w:sym w:font="Symbol" w:char="F0A3"/>
            </w:r>
            <w:r w:rsidRPr="002A78AE">
              <w:rPr>
                <w:lang w:eastAsia="zh-CN"/>
              </w:rPr>
              <w:t xml:space="preserve"> RSTD </w:t>
            </w:r>
            <w:r w:rsidRPr="002A78AE">
              <w:t>&lt;</w:t>
            </w:r>
            <w:r w:rsidRPr="002A78AE">
              <w:rPr>
                <w:lang w:eastAsia="zh-CN"/>
              </w:rPr>
              <w:t xml:space="preserve"> 985024</w:t>
            </w:r>
          </w:p>
        </w:tc>
        <w:tc>
          <w:tcPr>
            <w:tcW w:w="653" w:type="dxa"/>
            <w:tcBorders>
              <w:top w:val="single" w:sz="4" w:space="0" w:color="auto"/>
              <w:left w:val="single" w:sz="4" w:space="0" w:color="auto"/>
              <w:bottom w:val="single" w:sz="4" w:space="0" w:color="auto"/>
              <w:right w:val="single" w:sz="4" w:space="0" w:color="auto"/>
            </w:tcBorders>
          </w:tcPr>
          <w:p w14:paraId="40A01CC8" w14:textId="77777777" w:rsidR="00686804" w:rsidRPr="002A78AE" w:rsidRDefault="00686804" w:rsidP="002F5786">
            <w:pPr>
              <w:pStyle w:val="TAC"/>
            </w:pPr>
            <w:r w:rsidRPr="002A78AE">
              <w:t>T</w:t>
            </w:r>
            <w:r w:rsidRPr="002A78AE">
              <w:rPr>
                <w:vertAlign w:val="subscript"/>
              </w:rPr>
              <w:t>c</w:t>
            </w:r>
          </w:p>
        </w:tc>
      </w:tr>
      <w:tr w:rsidR="00686804" w:rsidRPr="002A78AE" w14:paraId="58FEAA47"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2828833F" w14:textId="77777777" w:rsidR="00686804" w:rsidRPr="002A78AE" w:rsidRDefault="00686804">
            <w:pPr>
              <w:pStyle w:val="TAC"/>
            </w:pPr>
            <w:r w:rsidRPr="002A78AE">
              <w:rPr>
                <w:lang w:eastAsia="zh-CN"/>
              </w:rPr>
              <w:t>RSTD_246257</w:t>
            </w:r>
          </w:p>
        </w:tc>
        <w:tc>
          <w:tcPr>
            <w:tcW w:w="2949" w:type="dxa"/>
            <w:tcBorders>
              <w:top w:val="single" w:sz="4" w:space="0" w:color="auto"/>
              <w:left w:val="single" w:sz="4" w:space="0" w:color="auto"/>
              <w:bottom w:val="single" w:sz="4" w:space="0" w:color="auto"/>
              <w:right w:val="single" w:sz="4" w:space="0" w:color="auto"/>
            </w:tcBorders>
          </w:tcPr>
          <w:p w14:paraId="353FCB8C" w14:textId="77777777" w:rsidR="00686804" w:rsidRPr="002A78AE" w:rsidRDefault="00686804">
            <w:pPr>
              <w:pStyle w:val="TAC"/>
            </w:pPr>
            <w:r w:rsidRPr="002A78AE">
              <w:rPr>
                <w:lang w:eastAsia="zh-CN"/>
              </w:rPr>
              <w:t xml:space="preserve">985024 </w:t>
            </w:r>
            <w:r w:rsidRPr="002A78AE">
              <w:sym w:font="Symbol" w:char="F0A3"/>
            </w:r>
            <w:r w:rsidRPr="002A78AE">
              <w:rPr>
                <w:lang w:eastAsia="zh-CN"/>
              </w:rPr>
              <w:t xml:space="preserve"> RSTD</w:t>
            </w:r>
          </w:p>
        </w:tc>
        <w:tc>
          <w:tcPr>
            <w:tcW w:w="653" w:type="dxa"/>
            <w:tcBorders>
              <w:top w:val="single" w:sz="4" w:space="0" w:color="auto"/>
              <w:left w:val="single" w:sz="4" w:space="0" w:color="auto"/>
              <w:bottom w:val="single" w:sz="4" w:space="0" w:color="auto"/>
              <w:right w:val="single" w:sz="4" w:space="0" w:color="auto"/>
            </w:tcBorders>
          </w:tcPr>
          <w:p w14:paraId="6B709485" w14:textId="77777777" w:rsidR="00686804" w:rsidRPr="002A78AE" w:rsidRDefault="00686804" w:rsidP="002F5786">
            <w:pPr>
              <w:pStyle w:val="TAC"/>
            </w:pPr>
            <w:r w:rsidRPr="002A78AE">
              <w:t>T</w:t>
            </w:r>
            <w:r w:rsidRPr="002A78AE">
              <w:rPr>
                <w:vertAlign w:val="subscript"/>
              </w:rPr>
              <w:t>c</w:t>
            </w:r>
          </w:p>
        </w:tc>
      </w:tr>
    </w:tbl>
    <w:p w14:paraId="3CD7384A" w14:textId="77777777" w:rsidR="00686804" w:rsidRDefault="00686804" w:rsidP="002F5786">
      <w:pPr>
        <w:rPr>
          <w:lang w:val="en-US" w:eastAsia="ja-JP"/>
        </w:rPr>
      </w:pPr>
    </w:p>
    <w:p w14:paraId="27974833" w14:textId="77777777" w:rsidR="00686804" w:rsidRPr="00DE253F" w:rsidRDefault="00686804" w:rsidP="002F5786">
      <w:pPr>
        <w:pStyle w:val="TH"/>
        <w:rPr>
          <w:rFonts w:cs="Arial"/>
          <w:lang w:val="en-US" w:eastAsia="ja-JP"/>
        </w:rPr>
      </w:pPr>
      <w:r w:rsidRPr="00DE253F">
        <w:t xml:space="preserve">Table </w:t>
      </w:r>
      <w:r>
        <w:t>10.1.23.3.1-5</w:t>
      </w:r>
      <w:r w:rsidRPr="00DE253F">
        <w:t xml:space="preserve">: </w:t>
      </w:r>
      <w:r>
        <w:t xml:space="preserve">Report mapping for </w:t>
      </w:r>
      <w:r w:rsidRPr="00DE253F">
        <w:rPr>
          <w:i/>
          <w:iCs/>
        </w:rPr>
        <w:t>k</w:t>
      </w:r>
      <w:r>
        <w:t>=4</w:t>
      </w:r>
    </w:p>
    <w:tbl>
      <w:tblPr>
        <w:tblW w:w="6295"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949"/>
        <w:gridCol w:w="653"/>
      </w:tblGrid>
      <w:tr w:rsidR="00CF56CF" w:rsidRPr="002A78AE" w14:paraId="401A3BAD" w14:textId="77777777" w:rsidTr="00CF56CF">
        <w:trPr>
          <w:cantSplit/>
          <w:trHeight w:val="263"/>
        </w:trPr>
        <w:tc>
          <w:tcPr>
            <w:tcW w:w="2693" w:type="dxa"/>
            <w:tcBorders>
              <w:bottom w:val="nil"/>
            </w:tcBorders>
            <w:shd w:val="clear" w:color="auto" w:fill="auto"/>
          </w:tcPr>
          <w:p w14:paraId="776755E4" w14:textId="27F531D1" w:rsidR="00CF56CF" w:rsidRPr="002A78AE" w:rsidRDefault="00CF56CF" w:rsidP="00CF56CF">
            <w:pPr>
              <w:pStyle w:val="TAH"/>
            </w:pPr>
            <w:r w:rsidRPr="002A78AE">
              <w:t>Reported Quantity Value</w:t>
            </w:r>
            <w:r>
              <w:t>,</w:t>
            </w:r>
          </w:p>
        </w:tc>
        <w:tc>
          <w:tcPr>
            <w:tcW w:w="2949" w:type="dxa"/>
            <w:tcBorders>
              <w:bottom w:val="nil"/>
            </w:tcBorders>
            <w:shd w:val="clear" w:color="auto" w:fill="auto"/>
          </w:tcPr>
          <w:p w14:paraId="6E58F8F7" w14:textId="1DCAA872" w:rsidR="00CF56CF" w:rsidRPr="002A78AE" w:rsidRDefault="00CF56CF" w:rsidP="00CF56CF">
            <w:pPr>
              <w:pStyle w:val="TAH"/>
            </w:pPr>
            <w:r w:rsidRPr="002A78AE">
              <w:t>Measured Quantity Value</w:t>
            </w:r>
            <w:r>
              <w:t>,</w:t>
            </w:r>
          </w:p>
        </w:tc>
        <w:tc>
          <w:tcPr>
            <w:tcW w:w="653" w:type="dxa"/>
            <w:tcBorders>
              <w:bottom w:val="nil"/>
            </w:tcBorders>
          </w:tcPr>
          <w:p w14:paraId="66540394" w14:textId="77777777" w:rsidR="00CF56CF" w:rsidRPr="002A78AE" w:rsidRDefault="00CF56CF" w:rsidP="00CF56CF">
            <w:pPr>
              <w:pStyle w:val="TAH"/>
            </w:pPr>
            <w:r w:rsidRPr="002A78AE">
              <w:t>Unit</w:t>
            </w:r>
          </w:p>
        </w:tc>
      </w:tr>
      <w:tr w:rsidR="00CF56CF" w:rsidRPr="002A78AE" w14:paraId="2C57ED2E" w14:textId="77777777" w:rsidTr="00CF56CF">
        <w:trPr>
          <w:cantSplit/>
          <w:trHeight w:val="262"/>
        </w:trPr>
        <w:tc>
          <w:tcPr>
            <w:tcW w:w="2693" w:type="dxa"/>
            <w:tcBorders>
              <w:top w:val="nil"/>
            </w:tcBorders>
            <w:shd w:val="clear" w:color="auto" w:fill="auto"/>
          </w:tcPr>
          <w:p w14:paraId="65CCB5D9" w14:textId="0A102201" w:rsidR="00CF56CF" w:rsidRPr="002A78AE" w:rsidRDefault="00CF56CF" w:rsidP="00CF56CF">
            <w:pPr>
              <w:pStyle w:val="TAH"/>
            </w:pPr>
            <w:r w:rsidRPr="002A78AE">
              <w:t>RSTD_i</w:t>
            </w:r>
          </w:p>
        </w:tc>
        <w:tc>
          <w:tcPr>
            <w:tcW w:w="2949" w:type="dxa"/>
            <w:tcBorders>
              <w:top w:val="nil"/>
            </w:tcBorders>
            <w:shd w:val="clear" w:color="auto" w:fill="auto"/>
          </w:tcPr>
          <w:p w14:paraId="7969370C" w14:textId="42C86B56" w:rsidR="00CF56CF" w:rsidRPr="002A78AE" w:rsidRDefault="00CF56CF" w:rsidP="00CF56CF">
            <w:pPr>
              <w:pStyle w:val="TAH"/>
            </w:pPr>
            <w:r w:rsidRPr="002A78AE">
              <w:t>RSTD</w:t>
            </w:r>
          </w:p>
        </w:tc>
        <w:tc>
          <w:tcPr>
            <w:tcW w:w="653" w:type="dxa"/>
            <w:tcBorders>
              <w:top w:val="nil"/>
            </w:tcBorders>
          </w:tcPr>
          <w:p w14:paraId="5471C9CF" w14:textId="77777777" w:rsidR="00CF56CF" w:rsidRPr="002A78AE" w:rsidRDefault="00CF56CF" w:rsidP="00CF56CF">
            <w:pPr>
              <w:pStyle w:val="TAH"/>
            </w:pPr>
          </w:p>
        </w:tc>
      </w:tr>
      <w:tr w:rsidR="00686804" w:rsidRPr="002A78AE" w14:paraId="214665AB" w14:textId="77777777" w:rsidTr="00051ED3">
        <w:trPr>
          <w:cantSplit/>
        </w:trPr>
        <w:tc>
          <w:tcPr>
            <w:tcW w:w="2693" w:type="dxa"/>
          </w:tcPr>
          <w:p w14:paraId="475B8646" w14:textId="77777777" w:rsidR="00686804" w:rsidRPr="002A78AE" w:rsidRDefault="00686804" w:rsidP="00DA29A5">
            <w:pPr>
              <w:pStyle w:val="TAC"/>
            </w:pPr>
            <w:r w:rsidRPr="002A78AE">
              <w:rPr>
                <w:lang w:eastAsia="zh-CN"/>
              </w:rPr>
              <w:t>RSTD</w:t>
            </w:r>
            <w:r w:rsidRPr="002A78AE">
              <w:t>_00</w:t>
            </w:r>
            <w:r>
              <w:t>00</w:t>
            </w:r>
            <w:r w:rsidRPr="002A78AE">
              <w:t>00</w:t>
            </w:r>
          </w:p>
        </w:tc>
        <w:tc>
          <w:tcPr>
            <w:tcW w:w="2949" w:type="dxa"/>
          </w:tcPr>
          <w:p w14:paraId="1D3B112F" w14:textId="77777777" w:rsidR="00686804" w:rsidRPr="002A78AE" w:rsidRDefault="00686804" w:rsidP="00DA29A5">
            <w:pPr>
              <w:pStyle w:val="TAC"/>
            </w:pPr>
            <w:r w:rsidRPr="002A78AE">
              <w:rPr>
                <w:lang w:eastAsia="zh-CN"/>
              </w:rPr>
              <w:t>RSTD &lt; -985024</w:t>
            </w:r>
          </w:p>
        </w:tc>
        <w:tc>
          <w:tcPr>
            <w:tcW w:w="653" w:type="dxa"/>
          </w:tcPr>
          <w:p w14:paraId="7E0F052C" w14:textId="77777777" w:rsidR="00686804" w:rsidRPr="002A78AE" w:rsidRDefault="00686804" w:rsidP="002F5786">
            <w:pPr>
              <w:pStyle w:val="TAC"/>
            </w:pPr>
            <w:r w:rsidRPr="002A78AE">
              <w:t>T</w:t>
            </w:r>
            <w:r w:rsidRPr="002A78AE">
              <w:rPr>
                <w:vertAlign w:val="subscript"/>
              </w:rPr>
              <w:t>c</w:t>
            </w:r>
          </w:p>
        </w:tc>
      </w:tr>
      <w:tr w:rsidR="00686804" w:rsidRPr="002A78AE" w14:paraId="259AF48B" w14:textId="77777777" w:rsidTr="00051ED3">
        <w:trPr>
          <w:cantSplit/>
        </w:trPr>
        <w:tc>
          <w:tcPr>
            <w:tcW w:w="2693" w:type="dxa"/>
          </w:tcPr>
          <w:p w14:paraId="24B70E31" w14:textId="77777777" w:rsidR="00686804" w:rsidRPr="002A78AE" w:rsidRDefault="00686804" w:rsidP="00DA29A5">
            <w:pPr>
              <w:pStyle w:val="TAC"/>
            </w:pPr>
            <w:r w:rsidRPr="002A78AE">
              <w:rPr>
                <w:lang w:eastAsia="zh-CN"/>
              </w:rPr>
              <w:t>RSTD</w:t>
            </w:r>
            <w:r w:rsidRPr="002A78AE">
              <w:t>_0</w:t>
            </w:r>
            <w:r>
              <w:t>00</w:t>
            </w:r>
            <w:r w:rsidRPr="002A78AE">
              <w:t>001</w:t>
            </w:r>
          </w:p>
        </w:tc>
        <w:tc>
          <w:tcPr>
            <w:tcW w:w="2949" w:type="dxa"/>
          </w:tcPr>
          <w:p w14:paraId="1DA822B4" w14:textId="77777777" w:rsidR="00686804" w:rsidRPr="002A78AE" w:rsidRDefault="00686804" w:rsidP="00DA29A5">
            <w:pPr>
              <w:pStyle w:val="TAC"/>
            </w:pPr>
            <w:r w:rsidRPr="002A78AE">
              <w:rPr>
                <w:lang w:eastAsia="zh-CN"/>
              </w:rPr>
              <w:t xml:space="preserve">-985024 </w:t>
            </w:r>
            <w:r w:rsidRPr="002A78AE">
              <w:rPr>
                <w:lang w:eastAsia="zh-CN"/>
              </w:rPr>
              <w:sym w:font="Symbol" w:char="F0A3"/>
            </w:r>
            <w:r w:rsidRPr="002A78AE">
              <w:rPr>
                <w:lang w:eastAsia="zh-CN"/>
              </w:rPr>
              <w:t xml:space="preserve"> RSTD &lt; -985008</w:t>
            </w:r>
          </w:p>
        </w:tc>
        <w:tc>
          <w:tcPr>
            <w:tcW w:w="653" w:type="dxa"/>
          </w:tcPr>
          <w:p w14:paraId="56481002" w14:textId="77777777" w:rsidR="00686804" w:rsidRPr="002A78AE" w:rsidRDefault="00686804" w:rsidP="002F5786">
            <w:pPr>
              <w:pStyle w:val="TAC"/>
            </w:pPr>
            <w:r w:rsidRPr="002A78AE">
              <w:t>T</w:t>
            </w:r>
            <w:r w:rsidRPr="002A78AE">
              <w:rPr>
                <w:vertAlign w:val="subscript"/>
              </w:rPr>
              <w:t>c</w:t>
            </w:r>
          </w:p>
        </w:tc>
      </w:tr>
      <w:tr w:rsidR="00686804" w:rsidRPr="002A78AE" w14:paraId="2CB53B31" w14:textId="77777777" w:rsidTr="00051ED3">
        <w:trPr>
          <w:cantSplit/>
        </w:trPr>
        <w:tc>
          <w:tcPr>
            <w:tcW w:w="2693" w:type="dxa"/>
          </w:tcPr>
          <w:p w14:paraId="44A44DD7" w14:textId="77777777" w:rsidR="00686804" w:rsidRPr="002A78AE" w:rsidRDefault="00686804" w:rsidP="00DA29A5">
            <w:pPr>
              <w:pStyle w:val="TAC"/>
            </w:pPr>
            <w:r w:rsidRPr="002A78AE">
              <w:rPr>
                <w:lang w:eastAsia="zh-CN"/>
              </w:rPr>
              <w:t>RSTD</w:t>
            </w:r>
            <w:r w:rsidRPr="002A78AE">
              <w:t>_</w:t>
            </w:r>
            <w:r>
              <w:t>00</w:t>
            </w:r>
            <w:r w:rsidRPr="002A78AE">
              <w:t>0002</w:t>
            </w:r>
          </w:p>
        </w:tc>
        <w:tc>
          <w:tcPr>
            <w:tcW w:w="2949" w:type="dxa"/>
          </w:tcPr>
          <w:p w14:paraId="6E4B06AC" w14:textId="77777777" w:rsidR="00686804" w:rsidRPr="002A78AE" w:rsidRDefault="00686804" w:rsidP="00DA29A5">
            <w:pPr>
              <w:pStyle w:val="TAC"/>
            </w:pPr>
            <w:r w:rsidRPr="002A78AE">
              <w:rPr>
                <w:lang w:eastAsia="zh-CN"/>
              </w:rPr>
              <w:t xml:space="preserve">-985008 </w:t>
            </w:r>
            <w:r w:rsidRPr="002A78AE">
              <w:rPr>
                <w:lang w:eastAsia="zh-CN"/>
              </w:rPr>
              <w:sym w:font="Symbol" w:char="F0A3"/>
            </w:r>
            <w:r w:rsidRPr="002A78AE">
              <w:rPr>
                <w:lang w:eastAsia="zh-CN"/>
              </w:rPr>
              <w:t xml:space="preserve"> RSTD &lt; -984992</w:t>
            </w:r>
          </w:p>
        </w:tc>
        <w:tc>
          <w:tcPr>
            <w:tcW w:w="653" w:type="dxa"/>
          </w:tcPr>
          <w:p w14:paraId="4F4BDEF5" w14:textId="77777777" w:rsidR="00686804" w:rsidRPr="002A78AE" w:rsidRDefault="00686804" w:rsidP="00DA29A5">
            <w:pPr>
              <w:pStyle w:val="TAC"/>
            </w:pPr>
            <w:r w:rsidRPr="002A78AE">
              <w:t>T</w:t>
            </w:r>
            <w:r w:rsidRPr="002A78AE">
              <w:rPr>
                <w:vertAlign w:val="subscript"/>
              </w:rPr>
              <w:t>c</w:t>
            </w:r>
          </w:p>
        </w:tc>
      </w:tr>
      <w:tr w:rsidR="00686804" w:rsidRPr="002A78AE" w14:paraId="10C7C872" w14:textId="77777777" w:rsidTr="00051ED3">
        <w:trPr>
          <w:cantSplit/>
        </w:trPr>
        <w:tc>
          <w:tcPr>
            <w:tcW w:w="2693" w:type="dxa"/>
          </w:tcPr>
          <w:p w14:paraId="3FAC86A4" w14:textId="77777777" w:rsidR="00686804" w:rsidRPr="002A78AE" w:rsidRDefault="00686804" w:rsidP="00DA29A5">
            <w:pPr>
              <w:pStyle w:val="TAC"/>
            </w:pPr>
            <w:r w:rsidRPr="002A78AE">
              <w:sym w:font="Symbol" w:char="F0BC"/>
            </w:r>
          </w:p>
        </w:tc>
        <w:tc>
          <w:tcPr>
            <w:tcW w:w="2949" w:type="dxa"/>
          </w:tcPr>
          <w:p w14:paraId="58B61220" w14:textId="77777777" w:rsidR="00686804" w:rsidRPr="002A78AE" w:rsidRDefault="00686804" w:rsidP="00DA29A5">
            <w:pPr>
              <w:pStyle w:val="TAC"/>
            </w:pPr>
            <w:r w:rsidRPr="002A78AE">
              <w:sym w:font="Symbol" w:char="F0BC"/>
            </w:r>
          </w:p>
        </w:tc>
        <w:tc>
          <w:tcPr>
            <w:tcW w:w="653" w:type="dxa"/>
          </w:tcPr>
          <w:p w14:paraId="5BE23994" w14:textId="77777777" w:rsidR="00686804" w:rsidRPr="002A78AE" w:rsidRDefault="00686804" w:rsidP="00DA29A5">
            <w:pPr>
              <w:pStyle w:val="TAC"/>
            </w:pPr>
            <w:r w:rsidRPr="002A78AE">
              <w:t>…</w:t>
            </w:r>
          </w:p>
        </w:tc>
      </w:tr>
      <w:tr w:rsidR="00686804" w:rsidRPr="002A78AE" w14:paraId="306C928B" w14:textId="77777777" w:rsidTr="00051ED3">
        <w:trPr>
          <w:cantSplit/>
        </w:trPr>
        <w:tc>
          <w:tcPr>
            <w:tcW w:w="2693" w:type="dxa"/>
          </w:tcPr>
          <w:p w14:paraId="5B61838C" w14:textId="77777777" w:rsidR="00686804" w:rsidRPr="002A78AE" w:rsidRDefault="00686804" w:rsidP="00DA29A5">
            <w:pPr>
              <w:pStyle w:val="TAC"/>
            </w:pPr>
            <w:r w:rsidRPr="002A78AE">
              <w:rPr>
                <w:lang w:eastAsia="zh-CN"/>
              </w:rPr>
              <w:t>RSTD_</w:t>
            </w:r>
            <w:r>
              <w:rPr>
                <w:lang w:eastAsia="zh-CN"/>
              </w:rPr>
              <w:t>0</w:t>
            </w:r>
            <w:r w:rsidRPr="002A78AE">
              <w:rPr>
                <w:lang w:eastAsia="zh-CN"/>
              </w:rPr>
              <w:t>61564</w:t>
            </w:r>
          </w:p>
        </w:tc>
        <w:tc>
          <w:tcPr>
            <w:tcW w:w="2949" w:type="dxa"/>
          </w:tcPr>
          <w:p w14:paraId="47006C4C" w14:textId="77777777" w:rsidR="00686804" w:rsidRPr="002A78AE" w:rsidRDefault="00686804" w:rsidP="00DA29A5">
            <w:pPr>
              <w:pStyle w:val="TAC"/>
            </w:pPr>
            <w:r w:rsidRPr="002A78AE">
              <w:rPr>
                <w:lang w:eastAsia="zh-CN"/>
              </w:rPr>
              <w:t>-16</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0</w:t>
            </w:r>
          </w:p>
        </w:tc>
        <w:tc>
          <w:tcPr>
            <w:tcW w:w="653" w:type="dxa"/>
          </w:tcPr>
          <w:p w14:paraId="764782A9" w14:textId="77777777" w:rsidR="00686804" w:rsidRPr="002A78AE" w:rsidRDefault="00686804" w:rsidP="002F5786">
            <w:pPr>
              <w:pStyle w:val="TAC"/>
            </w:pPr>
            <w:r w:rsidRPr="002A78AE">
              <w:t>T</w:t>
            </w:r>
            <w:r w:rsidRPr="002A78AE">
              <w:rPr>
                <w:vertAlign w:val="subscript"/>
              </w:rPr>
              <w:t>c</w:t>
            </w:r>
          </w:p>
        </w:tc>
      </w:tr>
      <w:tr w:rsidR="00686804" w:rsidRPr="002A78AE" w14:paraId="66504E2A" w14:textId="77777777" w:rsidTr="00051ED3">
        <w:trPr>
          <w:cantSplit/>
        </w:trPr>
        <w:tc>
          <w:tcPr>
            <w:tcW w:w="2693" w:type="dxa"/>
          </w:tcPr>
          <w:p w14:paraId="503EAFCB" w14:textId="77777777" w:rsidR="00686804" w:rsidRPr="002A78AE" w:rsidRDefault="00686804" w:rsidP="00DA29A5">
            <w:pPr>
              <w:pStyle w:val="TAC"/>
            </w:pPr>
            <w:r w:rsidRPr="002A78AE">
              <w:rPr>
                <w:lang w:eastAsia="zh-CN"/>
              </w:rPr>
              <w:t>RSTD_</w:t>
            </w:r>
            <w:r>
              <w:rPr>
                <w:lang w:eastAsia="zh-CN"/>
              </w:rPr>
              <w:t>0</w:t>
            </w:r>
            <w:r w:rsidRPr="002A78AE">
              <w:rPr>
                <w:lang w:eastAsia="zh-CN"/>
              </w:rPr>
              <w:t>61565</w:t>
            </w:r>
          </w:p>
        </w:tc>
        <w:tc>
          <w:tcPr>
            <w:tcW w:w="2949" w:type="dxa"/>
          </w:tcPr>
          <w:p w14:paraId="0FEADBA9" w14:textId="77777777" w:rsidR="00686804" w:rsidRPr="002A78AE" w:rsidRDefault="00686804" w:rsidP="00DA29A5">
            <w:pPr>
              <w:pStyle w:val="TAC"/>
            </w:pPr>
            <w:r w:rsidRPr="002A78AE">
              <w:rPr>
                <w:lang w:eastAsia="zh-CN"/>
              </w:rPr>
              <w:t>0</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16</w:t>
            </w:r>
          </w:p>
        </w:tc>
        <w:tc>
          <w:tcPr>
            <w:tcW w:w="653" w:type="dxa"/>
          </w:tcPr>
          <w:p w14:paraId="3FF99EDD" w14:textId="77777777" w:rsidR="00686804" w:rsidRPr="002A78AE" w:rsidRDefault="00686804" w:rsidP="002F5786">
            <w:pPr>
              <w:pStyle w:val="TAC"/>
            </w:pPr>
            <w:r w:rsidRPr="002A78AE">
              <w:t>T</w:t>
            </w:r>
            <w:r w:rsidRPr="002A78AE">
              <w:rPr>
                <w:vertAlign w:val="subscript"/>
              </w:rPr>
              <w:t>c</w:t>
            </w:r>
          </w:p>
        </w:tc>
      </w:tr>
      <w:tr w:rsidR="00686804" w:rsidRPr="002A78AE" w14:paraId="4DFCD53A"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1D37ED8" w14:textId="77777777" w:rsidR="00686804" w:rsidRPr="002A78AE" w:rsidRDefault="00686804" w:rsidP="00DA29A5">
            <w:pPr>
              <w:pStyle w:val="TAC"/>
            </w:pPr>
            <w:r w:rsidRPr="002A78AE">
              <w:rPr>
                <w:lang w:eastAsia="zh-CN"/>
              </w:rPr>
              <w:t>…</w:t>
            </w:r>
          </w:p>
        </w:tc>
        <w:tc>
          <w:tcPr>
            <w:tcW w:w="2949" w:type="dxa"/>
            <w:tcBorders>
              <w:top w:val="single" w:sz="4" w:space="0" w:color="auto"/>
              <w:left w:val="single" w:sz="4" w:space="0" w:color="auto"/>
              <w:bottom w:val="single" w:sz="4" w:space="0" w:color="auto"/>
              <w:right w:val="single" w:sz="4" w:space="0" w:color="auto"/>
            </w:tcBorders>
          </w:tcPr>
          <w:p w14:paraId="19B5F94A" w14:textId="77777777" w:rsidR="00686804" w:rsidRPr="002A78AE" w:rsidRDefault="00686804" w:rsidP="00DA29A5">
            <w:pPr>
              <w:pStyle w:val="TAC"/>
            </w:pPr>
            <w:r w:rsidRPr="002A78AE">
              <w:rPr>
                <w:lang w:eastAsia="zh-CN"/>
              </w:rPr>
              <w:t>…</w:t>
            </w:r>
          </w:p>
        </w:tc>
        <w:tc>
          <w:tcPr>
            <w:tcW w:w="653" w:type="dxa"/>
            <w:tcBorders>
              <w:top w:val="single" w:sz="4" w:space="0" w:color="auto"/>
              <w:left w:val="single" w:sz="4" w:space="0" w:color="auto"/>
              <w:bottom w:val="single" w:sz="4" w:space="0" w:color="auto"/>
              <w:right w:val="single" w:sz="4" w:space="0" w:color="auto"/>
            </w:tcBorders>
          </w:tcPr>
          <w:p w14:paraId="75295708" w14:textId="77777777" w:rsidR="00686804" w:rsidRPr="002A78AE" w:rsidRDefault="00686804" w:rsidP="00DA29A5">
            <w:pPr>
              <w:pStyle w:val="TAC"/>
            </w:pPr>
            <w:r w:rsidRPr="002A78AE">
              <w:t>…</w:t>
            </w:r>
          </w:p>
        </w:tc>
      </w:tr>
      <w:tr w:rsidR="00686804" w:rsidRPr="002A78AE" w14:paraId="707423D5"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78CEDB4" w14:textId="77777777" w:rsidR="00686804" w:rsidRPr="002A78AE" w:rsidRDefault="00686804" w:rsidP="00DA29A5">
            <w:pPr>
              <w:pStyle w:val="TAC"/>
            </w:pPr>
            <w:r w:rsidRPr="002A78AE">
              <w:rPr>
                <w:lang w:eastAsia="zh-CN"/>
              </w:rPr>
              <w:t>RSTD_123127</w:t>
            </w:r>
          </w:p>
        </w:tc>
        <w:tc>
          <w:tcPr>
            <w:tcW w:w="2949" w:type="dxa"/>
            <w:tcBorders>
              <w:top w:val="single" w:sz="4" w:space="0" w:color="auto"/>
              <w:left w:val="single" w:sz="4" w:space="0" w:color="auto"/>
              <w:bottom w:val="single" w:sz="4" w:space="0" w:color="auto"/>
              <w:right w:val="single" w:sz="4" w:space="0" w:color="auto"/>
            </w:tcBorders>
          </w:tcPr>
          <w:p w14:paraId="74881836" w14:textId="77777777" w:rsidR="00686804" w:rsidRPr="002A78AE" w:rsidRDefault="00686804" w:rsidP="00DA29A5">
            <w:pPr>
              <w:pStyle w:val="TAC"/>
            </w:pPr>
            <w:r w:rsidRPr="002A78AE">
              <w:rPr>
                <w:lang w:eastAsia="zh-CN"/>
              </w:rPr>
              <w:t xml:space="preserve">984992 </w:t>
            </w:r>
            <w:r w:rsidRPr="002A78AE">
              <w:sym w:font="Symbol" w:char="F0A3"/>
            </w:r>
            <w:r w:rsidRPr="002A78AE">
              <w:rPr>
                <w:lang w:eastAsia="zh-CN"/>
              </w:rPr>
              <w:t xml:space="preserve"> RSTD </w:t>
            </w:r>
            <w:r w:rsidRPr="002A78AE">
              <w:t>&lt;</w:t>
            </w:r>
            <w:r w:rsidRPr="002A78AE">
              <w:rPr>
                <w:lang w:eastAsia="zh-CN"/>
              </w:rPr>
              <w:t xml:space="preserve"> 985008</w:t>
            </w:r>
          </w:p>
        </w:tc>
        <w:tc>
          <w:tcPr>
            <w:tcW w:w="653" w:type="dxa"/>
            <w:tcBorders>
              <w:top w:val="single" w:sz="4" w:space="0" w:color="auto"/>
              <w:left w:val="single" w:sz="4" w:space="0" w:color="auto"/>
              <w:bottom w:val="single" w:sz="4" w:space="0" w:color="auto"/>
              <w:right w:val="single" w:sz="4" w:space="0" w:color="auto"/>
            </w:tcBorders>
          </w:tcPr>
          <w:p w14:paraId="2415B958" w14:textId="77777777" w:rsidR="00686804" w:rsidRPr="002A78AE" w:rsidRDefault="00686804" w:rsidP="002F5786">
            <w:pPr>
              <w:pStyle w:val="TAC"/>
            </w:pPr>
            <w:r w:rsidRPr="002A78AE">
              <w:t>T</w:t>
            </w:r>
            <w:r w:rsidRPr="002A78AE">
              <w:rPr>
                <w:vertAlign w:val="subscript"/>
              </w:rPr>
              <w:t>c</w:t>
            </w:r>
          </w:p>
        </w:tc>
      </w:tr>
      <w:tr w:rsidR="00686804" w:rsidRPr="002A78AE" w14:paraId="683ED5A2"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28F8B6E" w14:textId="77777777" w:rsidR="00686804" w:rsidRPr="002A78AE" w:rsidRDefault="00686804" w:rsidP="00DA29A5">
            <w:pPr>
              <w:pStyle w:val="TAC"/>
            </w:pPr>
            <w:r w:rsidRPr="002A78AE">
              <w:rPr>
                <w:lang w:eastAsia="zh-CN"/>
              </w:rPr>
              <w:t>RSTD_123128</w:t>
            </w:r>
          </w:p>
        </w:tc>
        <w:tc>
          <w:tcPr>
            <w:tcW w:w="2949" w:type="dxa"/>
            <w:tcBorders>
              <w:top w:val="single" w:sz="4" w:space="0" w:color="auto"/>
              <w:left w:val="single" w:sz="4" w:space="0" w:color="auto"/>
              <w:bottom w:val="single" w:sz="4" w:space="0" w:color="auto"/>
              <w:right w:val="single" w:sz="4" w:space="0" w:color="auto"/>
            </w:tcBorders>
          </w:tcPr>
          <w:p w14:paraId="47E4C7EA" w14:textId="77777777" w:rsidR="00686804" w:rsidRPr="002A78AE" w:rsidRDefault="00686804" w:rsidP="00DA29A5">
            <w:pPr>
              <w:pStyle w:val="TAC"/>
            </w:pPr>
            <w:r w:rsidRPr="002A78AE">
              <w:rPr>
                <w:lang w:eastAsia="zh-CN"/>
              </w:rPr>
              <w:t xml:space="preserve">985008 </w:t>
            </w:r>
            <w:r w:rsidRPr="002A78AE">
              <w:sym w:font="Symbol" w:char="F0A3"/>
            </w:r>
            <w:r w:rsidRPr="002A78AE">
              <w:rPr>
                <w:lang w:eastAsia="zh-CN"/>
              </w:rPr>
              <w:t xml:space="preserve"> RSTD </w:t>
            </w:r>
            <w:r w:rsidRPr="002A78AE">
              <w:t>&lt;</w:t>
            </w:r>
            <w:r w:rsidRPr="002A78AE">
              <w:rPr>
                <w:lang w:eastAsia="zh-CN"/>
              </w:rPr>
              <w:t xml:space="preserve"> 985024</w:t>
            </w:r>
          </w:p>
        </w:tc>
        <w:tc>
          <w:tcPr>
            <w:tcW w:w="653" w:type="dxa"/>
            <w:tcBorders>
              <w:top w:val="single" w:sz="4" w:space="0" w:color="auto"/>
              <w:left w:val="single" w:sz="4" w:space="0" w:color="auto"/>
              <w:bottom w:val="single" w:sz="4" w:space="0" w:color="auto"/>
              <w:right w:val="single" w:sz="4" w:space="0" w:color="auto"/>
            </w:tcBorders>
          </w:tcPr>
          <w:p w14:paraId="2ED62464" w14:textId="77777777" w:rsidR="00686804" w:rsidRPr="002A78AE" w:rsidRDefault="00686804" w:rsidP="002F5786">
            <w:pPr>
              <w:pStyle w:val="TAC"/>
            </w:pPr>
            <w:r w:rsidRPr="002A78AE">
              <w:t>T</w:t>
            </w:r>
            <w:r w:rsidRPr="002A78AE">
              <w:rPr>
                <w:vertAlign w:val="subscript"/>
              </w:rPr>
              <w:t>c</w:t>
            </w:r>
          </w:p>
        </w:tc>
      </w:tr>
      <w:tr w:rsidR="00686804" w:rsidRPr="002A78AE" w14:paraId="56A245B3"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D96A8BA" w14:textId="77777777" w:rsidR="00686804" w:rsidRPr="002A78AE" w:rsidRDefault="00686804" w:rsidP="00DA29A5">
            <w:pPr>
              <w:pStyle w:val="TAC"/>
            </w:pPr>
            <w:r w:rsidRPr="002A78AE">
              <w:rPr>
                <w:lang w:eastAsia="zh-CN"/>
              </w:rPr>
              <w:t>RSTD_123129</w:t>
            </w:r>
          </w:p>
        </w:tc>
        <w:tc>
          <w:tcPr>
            <w:tcW w:w="2949" w:type="dxa"/>
            <w:tcBorders>
              <w:top w:val="single" w:sz="4" w:space="0" w:color="auto"/>
              <w:left w:val="single" w:sz="4" w:space="0" w:color="auto"/>
              <w:bottom w:val="single" w:sz="4" w:space="0" w:color="auto"/>
              <w:right w:val="single" w:sz="4" w:space="0" w:color="auto"/>
            </w:tcBorders>
          </w:tcPr>
          <w:p w14:paraId="27D3D198" w14:textId="77777777" w:rsidR="00686804" w:rsidRPr="002A78AE" w:rsidRDefault="00686804" w:rsidP="00DA29A5">
            <w:pPr>
              <w:pStyle w:val="TAC"/>
            </w:pPr>
            <w:r w:rsidRPr="002A78AE">
              <w:rPr>
                <w:lang w:eastAsia="zh-CN"/>
              </w:rPr>
              <w:t xml:space="preserve">985024 </w:t>
            </w:r>
            <w:r w:rsidRPr="002A78AE">
              <w:sym w:font="Symbol" w:char="F0A3"/>
            </w:r>
            <w:r w:rsidRPr="002A78AE">
              <w:rPr>
                <w:lang w:eastAsia="zh-CN"/>
              </w:rPr>
              <w:t xml:space="preserve"> RSTD</w:t>
            </w:r>
          </w:p>
        </w:tc>
        <w:tc>
          <w:tcPr>
            <w:tcW w:w="653" w:type="dxa"/>
            <w:tcBorders>
              <w:top w:val="single" w:sz="4" w:space="0" w:color="auto"/>
              <w:left w:val="single" w:sz="4" w:space="0" w:color="auto"/>
              <w:bottom w:val="single" w:sz="4" w:space="0" w:color="auto"/>
              <w:right w:val="single" w:sz="4" w:space="0" w:color="auto"/>
            </w:tcBorders>
          </w:tcPr>
          <w:p w14:paraId="041C8EE3" w14:textId="77777777" w:rsidR="00686804" w:rsidRPr="002A78AE" w:rsidRDefault="00686804" w:rsidP="002F5786">
            <w:pPr>
              <w:pStyle w:val="TAC"/>
            </w:pPr>
            <w:r w:rsidRPr="002A78AE">
              <w:t>T</w:t>
            </w:r>
            <w:r w:rsidRPr="002A78AE">
              <w:rPr>
                <w:vertAlign w:val="subscript"/>
              </w:rPr>
              <w:t>c</w:t>
            </w:r>
          </w:p>
        </w:tc>
      </w:tr>
    </w:tbl>
    <w:p w14:paraId="2A58B673" w14:textId="77777777" w:rsidR="00686804" w:rsidRDefault="00686804" w:rsidP="002F5786">
      <w:pPr>
        <w:rPr>
          <w:lang w:val="en-US" w:eastAsia="ja-JP"/>
        </w:rPr>
      </w:pPr>
    </w:p>
    <w:p w14:paraId="285C2C20" w14:textId="77777777" w:rsidR="00686804" w:rsidRPr="00DE253F" w:rsidRDefault="00686804" w:rsidP="002F5786">
      <w:pPr>
        <w:pStyle w:val="TH"/>
        <w:rPr>
          <w:rFonts w:cs="Arial"/>
          <w:lang w:val="en-US" w:eastAsia="ja-JP"/>
        </w:rPr>
      </w:pPr>
      <w:r w:rsidRPr="00DE253F">
        <w:t xml:space="preserve">Table </w:t>
      </w:r>
      <w:r>
        <w:t>10.1.23.3.1-6</w:t>
      </w:r>
      <w:r w:rsidRPr="00DE253F">
        <w:t xml:space="preserve">: </w:t>
      </w:r>
      <w:r>
        <w:t xml:space="preserve">Report mapping for </w:t>
      </w:r>
      <w:r w:rsidRPr="00DE253F">
        <w:rPr>
          <w:i/>
          <w:iCs/>
        </w:rPr>
        <w:t>k</w:t>
      </w:r>
      <w:r>
        <w:t>=5</w:t>
      </w:r>
    </w:p>
    <w:tbl>
      <w:tblPr>
        <w:tblW w:w="6295"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949"/>
        <w:gridCol w:w="653"/>
      </w:tblGrid>
      <w:tr w:rsidR="00CF56CF" w:rsidRPr="002A78AE" w14:paraId="2F0BB36F" w14:textId="77777777" w:rsidTr="00CF56CF">
        <w:trPr>
          <w:cantSplit/>
          <w:trHeight w:val="263"/>
        </w:trPr>
        <w:tc>
          <w:tcPr>
            <w:tcW w:w="2693" w:type="dxa"/>
            <w:tcBorders>
              <w:bottom w:val="nil"/>
            </w:tcBorders>
            <w:shd w:val="clear" w:color="auto" w:fill="auto"/>
          </w:tcPr>
          <w:p w14:paraId="1DB55CDD" w14:textId="48F6BB01" w:rsidR="00CF56CF" w:rsidRPr="002A78AE" w:rsidRDefault="00CF56CF" w:rsidP="00CF56CF">
            <w:pPr>
              <w:pStyle w:val="TAH"/>
            </w:pPr>
            <w:r w:rsidRPr="002A78AE">
              <w:t>Reported Quantity Value</w:t>
            </w:r>
            <w:r>
              <w:t>,</w:t>
            </w:r>
          </w:p>
        </w:tc>
        <w:tc>
          <w:tcPr>
            <w:tcW w:w="2949" w:type="dxa"/>
            <w:tcBorders>
              <w:bottom w:val="nil"/>
            </w:tcBorders>
            <w:shd w:val="clear" w:color="auto" w:fill="auto"/>
          </w:tcPr>
          <w:p w14:paraId="284DC3AA" w14:textId="35D3C972" w:rsidR="00CF56CF" w:rsidRPr="002A78AE" w:rsidRDefault="00CF56CF" w:rsidP="00CF56CF">
            <w:pPr>
              <w:pStyle w:val="TAH"/>
            </w:pPr>
            <w:r w:rsidRPr="002A78AE">
              <w:t>Measured Quantity Value</w:t>
            </w:r>
            <w:r>
              <w:t>,</w:t>
            </w:r>
          </w:p>
        </w:tc>
        <w:tc>
          <w:tcPr>
            <w:tcW w:w="653" w:type="dxa"/>
            <w:tcBorders>
              <w:bottom w:val="nil"/>
            </w:tcBorders>
          </w:tcPr>
          <w:p w14:paraId="4A580D86" w14:textId="77777777" w:rsidR="00CF56CF" w:rsidRPr="002A78AE" w:rsidRDefault="00CF56CF" w:rsidP="00CF56CF">
            <w:pPr>
              <w:pStyle w:val="TAH"/>
            </w:pPr>
            <w:r w:rsidRPr="002A78AE">
              <w:t>Unit</w:t>
            </w:r>
          </w:p>
        </w:tc>
      </w:tr>
      <w:tr w:rsidR="00CF56CF" w:rsidRPr="002A78AE" w14:paraId="0B5B389B" w14:textId="77777777" w:rsidTr="00CF56CF">
        <w:trPr>
          <w:cantSplit/>
          <w:trHeight w:val="262"/>
        </w:trPr>
        <w:tc>
          <w:tcPr>
            <w:tcW w:w="2693" w:type="dxa"/>
            <w:tcBorders>
              <w:top w:val="nil"/>
            </w:tcBorders>
            <w:shd w:val="clear" w:color="auto" w:fill="auto"/>
          </w:tcPr>
          <w:p w14:paraId="4B312DF9" w14:textId="664EFD75" w:rsidR="00CF56CF" w:rsidRPr="002A78AE" w:rsidRDefault="00CF56CF" w:rsidP="00CF56CF">
            <w:pPr>
              <w:pStyle w:val="TAH"/>
            </w:pPr>
            <w:r w:rsidRPr="002A78AE">
              <w:t>RSTD_i</w:t>
            </w:r>
          </w:p>
        </w:tc>
        <w:tc>
          <w:tcPr>
            <w:tcW w:w="2949" w:type="dxa"/>
            <w:tcBorders>
              <w:top w:val="nil"/>
            </w:tcBorders>
            <w:shd w:val="clear" w:color="auto" w:fill="auto"/>
          </w:tcPr>
          <w:p w14:paraId="38BD779C" w14:textId="0C83C2C5" w:rsidR="00CF56CF" w:rsidRPr="002A78AE" w:rsidRDefault="00CF56CF" w:rsidP="00CF56CF">
            <w:pPr>
              <w:pStyle w:val="TAH"/>
            </w:pPr>
            <w:r w:rsidRPr="002A78AE">
              <w:t>RSTD</w:t>
            </w:r>
          </w:p>
        </w:tc>
        <w:tc>
          <w:tcPr>
            <w:tcW w:w="653" w:type="dxa"/>
            <w:tcBorders>
              <w:top w:val="nil"/>
            </w:tcBorders>
          </w:tcPr>
          <w:p w14:paraId="57A26074" w14:textId="77777777" w:rsidR="00CF56CF" w:rsidRPr="002A78AE" w:rsidRDefault="00CF56CF" w:rsidP="00CF56CF">
            <w:pPr>
              <w:pStyle w:val="TAH"/>
            </w:pPr>
          </w:p>
        </w:tc>
      </w:tr>
      <w:tr w:rsidR="00686804" w:rsidRPr="002A78AE" w14:paraId="5DBA6097" w14:textId="77777777" w:rsidTr="00051ED3">
        <w:trPr>
          <w:cantSplit/>
        </w:trPr>
        <w:tc>
          <w:tcPr>
            <w:tcW w:w="2693" w:type="dxa"/>
          </w:tcPr>
          <w:p w14:paraId="13182522" w14:textId="77777777" w:rsidR="00686804" w:rsidRPr="002A78AE" w:rsidRDefault="00686804" w:rsidP="00DA29A5">
            <w:pPr>
              <w:pStyle w:val="TAC"/>
            </w:pPr>
            <w:r w:rsidRPr="002A78AE">
              <w:rPr>
                <w:lang w:eastAsia="zh-CN"/>
              </w:rPr>
              <w:t>RSTD</w:t>
            </w:r>
            <w:r w:rsidRPr="002A78AE">
              <w:t>_00</w:t>
            </w:r>
            <w:r>
              <w:t>0</w:t>
            </w:r>
            <w:r w:rsidRPr="002A78AE">
              <w:t>00</w:t>
            </w:r>
          </w:p>
        </w:tc>
        <w:tc>
          <w:tcPr>
            <w:tcW w:w="2949" w:type="dxa"/>
          </w:tcPr>
          <w:p w14:paraId="205536B0" w14:textId="77777777" w:rsidR="00686804" w:rsidRPr="002A78AE" w:rsidRDefault="00686804" w:rsidP="00DA29A5">
            <w:pPr>
              <w:pStyle w:val="TAC"/>
            </w:pPr>
            <w:r w:rsidRPr="002A78AE">
              <w:rPr>
                <w:lang w:eastAsia="zh-CN"/>
              </w:rPr>
              <w:t>RSTD &lt; -985024</w:t>
            </w:r>
          </w:p>
        </w:tc>
        <w:tc>
          <w:tcPr>
            <w:tcW w:w="653" w:type="dxa"/>
          </w:tcPr>
          <w:p w14:paraId="001FC44D" w14:textId="77777777" w:rsidR="00686804" w:rsidRPr="002A78AE" w:rsidRDefault="00686804" w:rsidP="002F5786">
            <w:pPr>
              <w:pStyle w:val="TAC"/>
            </w:pPr>
            <w:r w:rsidRPr="002A78AE">
              <w:t>T</w:t>
            </w:r>
            <w:r w:rsidRPr="002A78AE">
              <w:rPr>
                <w:vertAlign w:val="subscript"/>
              </w:rPr>
              <w:t>c</w:t>
            </w:r>
          </w:p>
        </w:tc>
      </w:tr>
      <w:tr w:rsidR="00686804" w:rsidRPr="002A78AE" w14:paraId="3A825392" w14:textId="77777777" w:rsidTr="00051ED3">
        <w:trPr>
          <w:cantSplit/>
        </w:trPr>
        <w:tc>
          <w:tcPr>
            <w:tcW w:w="2693" w:type="dxa"/>
          </w:tcPr>
          <w:p w14:paraId="5218578C" w14:textId="77777777" w:rsidR="00686804" w:rsidRPr="002A78AE" w:rsidRDefault="00686804" w:rsidP="00DA29A5">
            <w:pPr>
              <w:pStyle w:val="TAC"/>
            </w:pPr>
            <w:r w:rsidRPr="002A78AE">
              <w:rPr>
                <w:lang w:eastAsia="zh-CN"/>
              </w:rPr>
              <w:t>RSTD</w:t>
            </w:r>
            <w:r w:rsidRPr="002A78AE">
              <w:t>_0</w:t>
            </w:r>
            <w:r>
              <w:t>0</w:t>
            </w:r>
            <w:r w:rsidRPr="002A78AE">
              <w:t>001</w:t>
            </w:r>
          </w:p>
        </w:tc>
        <w:tc>
          <w:tcPr>
            <w:tcW w:w="2949" w:type="dxa"/>
          </w:tcPr>
          <w:p w14:paraId="0AE38428" w14:textId="77777777" w:rsidR="00686804" w:rsidRPr="002A78AE" w:rsidRDefault="00686804" w:rsidP="00DA29A5">
            <w:pPr>
              <w:pStyle w:val="TAC"/>
            </w:pPr>
            <w:r w:rsidRPr="002A78AE">
              <w:rPr>
                <w:lang w:eastAsia="zh-CN"/>
              </w:rPr>
              <w:t xml:space="preserve">-985024 </w:t>
            </w:r>
            <w:r w:rsidRPr="002A78AE">
              <w:rPr>
                <w:lang w:eastAsia="zh-CN"/>
              </w:rPr>
              <w:sym w:font="Symbol" w:char="F0A3"/>
            </w:r>
            <w:r w:rsidRPr="002A78AE">
              <w:rPr>
                <w:lang w:eastAsia="zh-CN"/>
              </w:rPr>
              <w:t xml:space="preserve"> RSTD &lt; -984992</w:t>
            </w:r>
          </w:p>
        </w:tc>
        <w:tc>
          <w:tcPr>
            <w:tcW w:w="653" w:type="dxa"/>
          </w:tcPr>
          <w:p w14:paraId="5551B464" w14:textId="77777777" w:rsidR="00686804" w:rsidRPr="002A78AE" w:rsidRDefault="00686804" w:rsidP="002F5786">
            <w:pPr>
              <w:pStyle w:val="TAC"/>
            </w:pPr>
            <w:r w:rsidRPr="002A78AE">
              <w:t>T</w:t>
            </w:r>
            <w:r w:rsidRPr="002A78AE">
              <w:rPr>
                <w:vertAlign w:val="subscript"/>
              </w:rPr>
              <w:t>c</w:t>
            </w:r>
          </w:p>
        </w:tc>
      </w:tr>
      <w:tr w:rsidR="00686804" w:rsidRPr="002A78AE" w14:paraId="73EA4AE4" w14:textId="77777777" w:rsidTr="00051ED3">
        <w:trPr>
          <w:cantSplit/>
        </w:trPr>
        <w:tc>
          <w:tcPr>
            <w:tcW w:w="2693" w:type="dxa"/>
          </w:tcPr>
          <w:p w14:paraId="34CCC974" w14:textId="77777777" w:rsidR="00686804" w:rsidRPr="002A78AE" w:rsidRDefault="00686804" w:rsidP="00DA29A5">
            <w:pPr>
              <w:pStyle w:val="TAC"/>
            </w:pPr>
            <w:r w:rsidRPr="002A78AE">
              <w:rPr>
                <w:lang w:eastAsia="zh-CN"/>
              </w:rPr>
              <w:t>RSTD</w:t>
            </w:r>
            <w:r w:rsidRPr="002A78AE">
              <w:t>_</w:t>
            </w:r>
            <w:r>
              <w:t>0</w:t>
            </w:r>
            <w:r w:rsidRPr="002A78AE">
              <w:t>0002</w:t>
            </w:r>
          </w:p>
        </w:tc>
        <w:tc>
          <w:tcPr>
            <w:tcW w:w="2949" w:type="dxa"/>
          </w:tcPr>
          <w:p w14:paraId="2F593092" w14:textId="77777777" w:rsidR="00686804" w:rsidRPr="002A78AE" w:rsidRDefault="00686804" w:rsidP="00DA29A5">
            <w:pPr>
              <w:pStyle w:val="TAC"/>
            </w:pPr>
            <w:r w:rsidRPr="002A78AE">
              <w:rPr>
                <w:lang w:eastAsia="zh-CN"/>
              </w:rPr>
              <w:t xml:space="preserve">-984992 </w:t>
            </w:r>
            <w:r w:rsidRPr="002A78AE">
              <w:rPr>
                <w:lang w:eastAsia="zh-CN"/>
              </w:rPr>
              <w:sym w:font="Symbol" w:char="F0A3"/>
            </w:r>
            <w:r w:rsidRPr="002A78AE">
              <w:rPr>
                <w:lang w:eastAsia="zh-CN"/>
              </w:rPr>
              <w:t xml:space="preserve"> RSTD &lt; -984960</w:t>
            </w:r>
          </w:p>
        </w:tc>
        <w:tc>
          <w:tcPr>
            <w:tcW w:w="653" w:type="dxa"/>
          </w:tcPr>
          <w:p w14:paraId="0BA92B2E" w14:textId="77777777" w:rsidR="00686804" w:rsidRPr="002A78AE" w:rsidRDefault="00686804" w:rsidP="00DA29A5">
            <w:pPr>
              <w:pStyle w:val="TAC"/>
            </w:pPr>
            <w:r w:rsidRPr="002A78AE">
              <w:t>T</w:t>
            </w:r>
            <w:r w:rsidRPr="002A78AE">
              <w:rPr>
                <w:vertAlign w:val="subscript"/>
              </w:rPr>
              <w:t>c</w:t>
            </w:r>
          </w:p>
        </w:tc>
      </w:tr>
      <w:tr w:rsidR="00686804" w:rsidRPr="002A78AE" w14:paraId="3A4638B1" w14:textId="77777777" w:rsidTr="00051ED3">
        <w:trPr>
          <w:cantSplit/>
        </w:trPr>
        <w:tc>
          <w:tcPr>
            <w:tcW w:w="2693" w:type="dxa"/>
          </w:tcPr>
          <w:p w14:paraId="7E47FC18" w14:textId="77777777" w:rsidR="00686804" w:rsidRPr="002A78AE" w:rsidRDefault="00686804" w:rsidP="00DA29A5">
            <w:pPr>
              <w:pStyle w:val="TAC"/>
            </w:pPr>
            <w:r w:rsidRPr="002A78AE">
              <w:sym w:font="Symbol" w:char="F0BC"/>
            </w:r>
          </w:p>
        </w:tc>
        <w:tc>
          <w:tcPr>
            <w:tcW w:w="2949" w:type="dxa"/>
          </w:tcPr>
          <w:p w14:paraId="2A9F1AE2" w14:textId="77777777" w:rsidR="00686804" w:rsidRPr="002A78AE" w:rsidRDefault="00686804" w:rsidP="00DA29A5">
            <w:pPr>
              <w:pStyle w:val="TAC"/>
            </w:pPr>
            <w:r w:rsidRPr="002A78AE">
              <w:sym w:font="Symbol" w:char="F0BC"/>
            </w:r>
          </w:p>
        </w:tc>
        <w:tc>
          <w:tcPr>
            <w:tcW w:w="653" w:type="dxa"/>
          </w:tcPr>
          <w:p w14:paraId="34D714D0" w14:textId="77777777" w:rsidR="00686804" w:rsidRPr="002A78AE" w:rsidRDefault="00686804" w:rsidP="00DA29A5">
            <w:pPr>
              <w:pStyle w:val="TAC"/>
            </w:pPr>
            <w:r w:rsidRPr="002A78AE">
              <w:t>…</w:t>
            </w:r>
          </w:p>
        </w:tc>
      </w:tr>
      <w:tr w:rsidR="00686804" w:rsidRPr="002A78AE" w14:paraId="3D831181" w14:textId="77777777" w:rsidTr="00051ED3">
        <w:trPr>
          <w:cantSplit/>
        </w:trPr>
        <w:tc>
          <w:tcPr>
            <w:tcW w:w="2693" w:type="dxa"/>
          </w:tcPr>
          <w:p w14:paraId="32F9C2EE" w14:textId="77777777" w:rsidR="00686804" w:rsidRPr="002A78AE" w:rsidRDefault="00686804" w:rsidP="00DA29A5">
            <w:pPr>
              <w:pStyle w:val="TAC"/>
            </w:pPr>
            <w:r w:rsidRPr="002A78AE">
              <w:rPr>
                <w:lang w:eastAsia="zh-CN"/>
              </w:rPr>
              <w:t>RSTD_30782</w:t>
            </w:r>
          </w:p>
        </w:tc>
        <w:tc>
          <w:tcPr>
            <w:tcW w:w="2949" w:type="dxa"/>
          </w:tcPr>
          <w:p w14:paraId="32B7FC21" w14:textId="77777777" w:rsidR="00686804" w:rsidRPr="002A78AE" w:rsidRDefault="00686804" w:rsidP="00DA29A5">
            <w:pPr>
              <w:pStyle w:val="TAC"/>
            </w:pPr>
            <w:r w:rsidRPr="002A78AE">
              <w:rPr>
                <w:lang w:eastAsia="zh-CN"/>
              </w:rPr>
              <w:t>-32</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0</w:t>
            </w:r>
          </w:p>
        </w:tc>
        <w:tc>
          <w:tcPr>
            <w:tcW w:w="653" w:type="dxa"/>
          </w:tcPr>
          <w:p w14:paraId="57504565" w14:textId="77777777" w:rsidR="00686804" w:rsidRPr="002A78AE" w:rsidRDefault="00686804" w:rsidP="002F5786">
            <w:pPr>
              <w:pStyle w:val="TAC"/>
            </w:pPr>
            <w:r w:rsidRPr="002A78AE">
              <w:t>T</w:t>
            </w:r>
            <w:r w:rsidRPr="002A78AE">
              <w:rPr>
                <w:vertAlign w:val="subscript"/>
              </w:rPr>
              <w:t>c</w:t>
            </w:r>
          </w:p>
        </w:tc>
      </w:tr>
      <w:tr w:rsidR="00686804" w:rsidRPr="002A78AE" w14:paraId="2710A95D" w14:textId="77777777" w:rsidTr="00051ED3">
        <w:trPr>
          <w:cantSplit/>
        </w:trPr>
        <w:tc>
          <w:tcPr>
            <w:tcW w:w="2693" w:type="dxa"/>
          </w:tcPr>
          <w:p w14:paraId="68434539" w14:textId="77777777" w:rsidR="00686804" w:rsidRPr="002A78AE" w:rsidRDefault="00686804" w:rsidP="00DA29A5">
            <w:pPr>
              <w:pStyle w:val="TAC"/>
            </w:pPr>
            <w:r w:rsidRPr="002A78AE">
              <w:rPr>
                <w:lang w:eastAsia="zh-CN"/>
              </w:rPr>
              <w:t>RSTD_30783</w:t>
            </w:r>
          </w:p>
        </w:tc>
        <w:tc>
          <w:tcPr>
            <w:tcW w:w="2949" w:type="dxa"/>
          </w:tcPr>
          <w:p w14:paraId="77C380DB" w14:textId="77777777" w:rsidR="00686804" w:rsidRPr="002A78AE" w:rsidRDefault="00686804" w:rsidP="00DA29A5">
            <w:pPr>
              <w:pStyle w:val="TAC"/>
            </w:pPr>
            <w:r w:rsidRPr="002A78AE">
              <w:rPr>
                <w:lang w:eastAsia="zh-CN"/>
              </w:rPr>
              <w:t>0</w:t>
            </w:r>
            <w:r w:rsidRPr="002A78AE">
              <w:t xml:space="preserve"> </w:t>
            </w:r>
            <w:r w:rsidRPr="002A78AE">
              <w:sym w:font="Symbol" w:char="F0A3"/>
            </w:r>
            <w:r w:rsidRPr="002A78AE">
              <w:t xml:space="preserve"> </w:t>
            </w:r>
            <w:r w:rsidRPr="002A78AE">
              <w:rPr>
                <w:lang w:eastAsia="zh-CN"/>
              </w:rPr>
              <w:t>RSTD</w:t>
            </w:r>
            <w:r w:rsidRPr="002A78AE">
              <w:t xml:space="preserve"> &lt; </w:t>
            </w:r>
            <w:r w:rsidRPr="002A78AE">
              <w:rPr>
                <w:lang w:eastAsia="zh-CN"/>
              </w:rPr>
              <w:t>32</w:t>
            </w:r>
          </w:p>
        </w:tc>
        <w:tc>
          <w:tcPr>
            <w:tcW w:w="653" w:type="dxa"/>
          </w:tcPr>
          <w:p w14:paraId="22335A01" w14:textId="77777777" w:rsidR="00686804" w:rsidRPr="002A78AE" w:rsidRDefault="00686804" w:rsidP="002F5786">
            <w:pPr>
              <w:pStyle w:val="TAC"/>
            </w:pPr>
            <w:r w:rsidRPr="002A78AE">
              <w:t>T</w:t>
            </w:r>
            <w:r w:rsidRPr="002A78AE">
              <w:rPr>
                <w:vertAlign w:val="subscript"/>
              </w:rPr>
              <w:t>c</w:t>
            </w:r>
          </w:p>
        </w:tc>
      </w:tr>
      <w:tr w:rsidR="00686804" w:rsidRPr="002A78AE" w14:paraId="6F0571C2"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53E15D3" w14:textId="77777777" w:rsidR="00686804" w:rsidRPr="002A78AE" w:rsidRDefault="00686804" w:rsidP="00DA29A5">
            <w:pPr>
              <w:pStyle w:val="TAC"/>
            </w:pPr>
            <w:r w:rsidRPr="002A78AE">
              <w:rPr>
                <w:lang w:eastAsia="zh-CN"/>
              </w:rPr>
              <w:t>…</w:t>
            </w:r>
          </w:p>
        </w:tc>
        <w:tc>
          <w:tcPr>
            <w:tcW w:w="2949" w:type="dxa"/>
            <w:tcBorders>
              <w:top w:val="single" w:sz="4" w:space="0" w:color="auto"/>
              <w:left w:val="single" w:sz="4" w:space="0" w:color="auto"/>
              <w:bottom w:val="single" w:sz="4" w:space="0" w:color="auto"/>
              <w:right w:val="single" w:sz="4" w:space="0" w:color="auto"/>
            </w:tcBorders>
          </w:tcPr>
          <w:p w14:paraId="79D80C9A" w14:textId="77777777" w:rsidR="00686804" w:rsidRPr="002A78AE" w:rsidRDefault="00686804" w:rsidP="00DA29A5">
            <w:pPr>
              <w:pStyle w:val="TAC"/>
            </w:pPr>
            <w:r w:rsidRPr="002A78AE">
              <w:rPr>
                <w:lang w:eastAsia="zh-CN"/>
              </w:rPr>
              <w:t>…</w:t>
            </w:r>
          </w:p>
        </w:tc>
        <w:tc>
          <w:tcPr>
            <w:tcW w:w="653" w:type="dxa"/>
            <w:tcBorders>
              <w:top w:val="single" w:sz="4" w:space="0" w:color="auto"/>
              <w:left w:val="single" w:sz="4" w:space="0" w:color="auto"/>
              <w:bottom w:val="single" w:sz="4" w:space="0" w:color="auto"/>
              <w:right w:val="single" w:sz="4" w:space="0" w:color="auto"/>
            </w:tcBorders>
          </w:tcPr>
          <w:p w14:paraId="70685EB0" w14:textId="77777777" w:rsidR="00686804" w:rsidRPr="002A78AE" w:rsidRDefault="00686804" w:rsidP="00DA29A5">
            <w:pPr>
              <w:pStyle w:val="TAC"/>
            </w:pPr>
            <w:r w:rsidRPr="002A78AE">
              <w:t>…</w:t>
            </w:r>
          </w:p>
        </w:tc>
      </w:tr>
      <w:tr w:rsidR="00686804" w:rsidRPr="002A78AE" w14:paraId="19FD33D1"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EEA0800" w14:textId="77777777" w:rsidR="00686804" w:rsidRPr="002A78AE" w:rsidRDefault="00686804" w:rsidP="00DA29A5">
            <w:pPr>
              <w:pStyle w:val="TAC"/>
            </w:pPr>
            <w:r w:rsidRPr="002A78AE">
              <w:rPr>
                <w:lang w:eastAsia="zh-CN"/>
              </w:rPr>
              <w:t>RSTD_61563</w:t>
            </w:r>
          </w:p>
        </w:tc>
        <w:tc>
          <w:tcPr>
            <w:tcW w:w="2949" w:type="dxa"/>
            <w:tcBorders>
              <w:top w:val="single" w:sz="4" w:space="0" w:color="auto"/>
              <w:left w:val="single" w:sz="4" w:space="0" w:color="auto"/>
              <w:bottom w:val="single" w:sz="4" w:space="0" w:color="auto"/>
              <w:right w:val="single" w:sz="4" w:space="0" w:color="auto"/>
            </w:tcBorders>
          </w:tcPr>
          <w:p w14:paraId="3341D0D3" w14:textId="77777777" w:rsidR="00686804" w:rsidRPr="002A78AE" w:rsidRDefault="00686804" w:rsidP="00DA29A5">
            <w:pPr>
              <w:pStyle w:val="TAC"/>
            </w:pPr>
            <w:r w:rsidRPr="002A78AE">
              <w:rPr>
                <w:lang w:eastAsia="zh-CN"/>
              </w:rPr>
              <w:t xml:space="preserve">984960 </w:t>
            </w:r>
            <w:r w:rsidRPr="002A78AE">
              <w:sym w:font="Symbol" w:char="F0A3"/>
            </w:r>
            <w:r w:rsidRPr="002A78AE">
              <w:rPr>
                <w:lang w:eastAsia="zh-CN"/>
              </w:rPr>
              <w:t xml:space="preserve"> RSTD </w:t>
            </w:r>
            <w:r w:rsidRPr="002A78AE">
              <w:t>&lt;</w:t>
            </w:r>
            <w:r w:rsidRPr="002A78AE">
              <w:rPr>
                <w:lang w:eastAsia="zh-CN"/>
              </w:rPr>
              <w:t xml:space="preserve"> 984992</w:t>
            </w:r>
          </w:p>
        </w:tc>
        <w:tc>
          <w:tcPr>
            <w:tcW w:w="653" w:type="dxa"/>
            <w:tcBorders>
              <w:top w:val="single" w:sz="4" w:space="0" w:color="auto"/>
              <w:left w:val="single" w:sz="4" w:space="0" w:color="auto"/>
              <w:bottom w:val="single" w:sz="4" w:space="0" w:color="auto"/>
              <w:right w:val="single" w:sz="4" w:space="0" w:color="auto"/>
            </w:tcBorders>
          </w:tcPr>
          <w:p w14:paraId="7EF50CE9" w14:textId="77777777" w:rsidR="00686804" w:rsidRPr="002A78AE" w:rsidRDefault="00686804" w:rsidP="002F5786">
            <w:pPr>
              <w:pStyle w:val="TAC"/>
            </w:pPr>
            <w:r w:rsidRPr="002A78AE">
              <w:t>T</w:t>
            </w:r>
            <w:r w:rsidRPr="002A78AE">
              <w:rPr>
                <w:vertAlign w:val="subscript"/>
              </w:rPr>
              <w:t>c</w:t>
            </w:r>
          </w:p>
        </w:tc>
      </w:tr>
      <w:tr w:rsidR="00686804" w:rsidRPr="002A78AE" w14:paraId="4EF31556"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21B9A56E" w14:textId="77777777" w:rsidR="00686804" w:rsidRPr="002A78AE" w:rsidRDefault="00686804" w:rsidP="00DA29A5">
            <w:pPr>
              <w:pStyle w:val="TAC"/>
            </w:pPr>
            <w:r w:rsidRPr="002A78AE">
              <w:rPr>
                <w:lang w:eastAsia="zh-CN"/>
              </w:rPr>
              <w:t>RSTD_61564</w:t>
            </w:r>
          </w:p>
        </w:tc>
        <w:tc>
          <w:tcPr>
            <w:tcW w:w="2949" w:type="dxa"/>
            <w:tcBorders>
              <w:top w:val="single" w:sz="4" w:space="0" w:color="auto"/>
              <w:left w:val="single" w:sz="4" w:space="0" w:color="auto"/>
              <w:bottom w:val="single" w:sz="4" w:space="0" w:color="auto"/>
              <w:right w:val="single" w:sz="4" w:space="0" w:color="auto"/>
            </w:tcBorders>
          </w:tcPr>
          <w:p w14:paraId="6A0C31E5" w14:textId="77777777" w:rsidR="00686804" w:rsidRPr="002A78AE" w:rsidRDefault="00686804" w:rsidP="00DA29A5">
            <w:pPr>
              <w:pStyle w:val="TAC"/>
            </w:pPr>
            <w:r w:rsidRPr="002A78AE">
              <w:rPr>
                <w:lang w:eastAsia="zh-CN"/>
              </w:rPr>
              <w:t xml:space="preserve">984992 </w:t>
            </w:r>
            <w:r w:rsidRPr="002A78AE">
              <w:sym w:font="Symbol" w:char="F0A3"/>
            </w:r>
            <w:r w:rsidRPr="002A78AE">
              <w:rPr>
                <w:lang w:eastAsia="zh-CN"/>
              </w:rPr>
              <w:t xml:space="preserve"> RSTD </w:t>
            </w:r>
            <w:r w:rsidRPr="002A78AE">
              <w:t>&lt;</w:t>
            </w:r>
            <w:r w:rsidRPr="002A78AE">
              <w:rPr>
                <w:lang w:eastAsia="zh-CN"/>
              </w:rPr>
              <w:t xml:space="preserve"> 985024</w:t>
            </w:r>
          </w:p>
        </w:tc>
        <w:tc>
          <w:tcPr>
            <w:tcW w:w="653" w:type="dxa"/>
            <w:tcBorders>
              <w:top w:val="single" w:sz="4" w:space="0" w:color="auto"/>
              <w:left w:val="single" w:sz="4" w:space="0" w:color="auto"/>
              <w:bottom w:val="single" w:sz="4" w:space="0" w:color="auto"/>
              <w:right w:val="single" w:sz="4" w:space="0" w:color="auto"/>
            </w:tcBorders>
          </w:tcPr>
          <w:p w14:paraId="70E2FC39" w14:textId="77777777" w:rsidR="00686804" w:rsidRPr="002A78AE" w:rsidRDefault="00686804" w:rsidP="002F5786">
            <w:pPr>
              <w:pStyle w:val="TAC"/>
            </w:pPr>
            <w:r w:rsidRPr="002A78AE">
              <w:t>T</w:t>
            </w:r>
            <w:r w:rsidRPr="002A78AE">
              <w:rPr>
                <w:vertAlign w:val="subscript"/>
              </w:rPr>
              <w:t>c</w:t>
            </w:r>
          </w:p>
        </w:tc>
      </w:tr>
      <w:tr w:rsidR="00686804" w:rsidRPr="002A78AE" w14:paraId="0808B795"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E865D2E" w14:textId="77777777" w:rsidR="00686804" w:rsidRPr="002A78AE" w:rsidRDefault="00686804" w:rsidP="00DA29A5">
            <w:pPr>
              <w:pStyle w:val="TAC"/>
            </w:pPr>
            <w:r w:rsidRPr="002A78AE">
              <w:rPr>
                <w:lang w:eastAsia="zh-CN"/>
              </w:rPr>
              <w:t>RSTD_61565</w:t>
            </w:r>
          </w:p>
        </w:tc>
        <w:tc>
          <w:tcPr>
            <w:tcW w:w="2949" w:type="dxa"/>
            <w:tcBorders>
              <w:top w:val="single" w:sz="4" w:space="0" w:color="auto"/>
              <w:left w:val="single" w:sz="4" w:space="0" w:color="auto"/>
              <w:bottom w:val="single" w:sz="4" w:space="0" w:color="auto"/>
              <w:right w:val="single" w:sz="4" w:space="0" w:color="auto"/>
            </w:tcBorders>
          </w:tcPr>
          <w:p w14:paraId="63B19EDA" w14:textId="77777777" w:rsidR="00686804" w:rsidRPr="002A78AE" w:rsidRDefault="00686804" w:rsidP="00DA29A5">
            <w:pPr>
              <w:pStyle w:val="TAC"/>
            </w:pPr>
            <w:r w:rsidRPr="002A78AE">
              <w:rPr>
                <w:lang w:eastAsia="zh-CN"/>
              </w:rPr>
              <w:t xml:space="preserve">985024 </w:t>
            </w:r>
            <w:r w:rsidRPr="002A78AE">
              <w:sym w:font="Symbol" w:char="F0A3"/>
            </w:r>
            <w:r w:rsidRPr="002A78AE">
              <w:rPr>
                <w:lang w:eastAsia="zh-CN"/>
              </w:rPr>
              <w:t xml:space="preserve"> RSTD</w:t>
            </w:r>
          </w:p>
        </w:tc>
        <w:tc>
          <w:tcPr>
            <w:tcW w:w="653" w:type="dxa"/>
            <w:tcBorders>
              <w:top w:val="single" w:sz="4" w:space="0" w:color="auto"/>
              <w:left w:val="single" w:sz="4" w:space="0" w:color="auto"/>
              <w:bottom w:val="single" w:sz="4" w:space="0" w:color="auto"/>
              <w:right w:val="single" w:sz="4" w:space="0" w:color="auto"/>
            </w:tcBorders>
          </w:tcPr>
          <w:p w14:paraId="3027F5AD" w14:textId="77777777" w:rsidR="00686804" w:rsidRPr="002A78AE" w:rsidRDefault="00686804" w:rsidP="002F5786">
            <w:pPr>
              <w:pStyle w:val="TAC"/>
            </w:pPr>
            <w:r w:rsidRPr="002A78AE">
              <w:t>T</w:t>
            </w:r>
            <w:r w:rsidRPr="002A78AE">
              <w:rPr>
                <w:vertAlign w:val="subscript"/>
              </w:rPr>
              <w:t>c</w:t>
            </w:r>
          </w:p>
        </w:tc>
      </w:tr>
    </w:tbl>
    <w:p w14:paraId="5177786A" w14:textId="77777777" w:rsidR="00686804" w:rsidRPr="00710ADC" w:rsidRDefault="00686804" w:rsidP="002F5786">
      <w:pPr>
        <w:rPr>
          <w:lang w:val="en-US" w:eastAsia="ja-JP"/>
        </w:rPr>
      </w:pPr>
    </w:p>
    <w:p w14:paraId="6F535791" w14:textId="3EA1DA76" w:rsidR="00686804" w:rsidRDefault="00686804">
      <w:pPr>
        <w:pStyle w:val="Heading5"/>
      </w:pPr>
      <w:r>
        <w:t>10</w:t>
      </w:r>
      <w:r w:rsidRPr="002D08F8">
        <w:t>.</w:t>
      </w:r>
      <w:r>
        <w:t>1</w:t>
      </w:r>
      <w:r w:rsidRPr="002D08F8">
        <w:t>.</w:t>
      </w:r>
      <w:r>
        <w:t>23.3.2</w:t>
      </w:r>
      <w:r>
        <w:tab/>
        <w:t xml:space="preserve">Differential Reporting for </w:t>
      </w:r>
      <w:r w:rsidRPr="00F674D5">
        <w:t xml:space="preserve">DL RSTD </w:t>
      </w:r>
      <w:r>
        <w:t>Measurement</w:t>
      </w:r>
    </w:p>
    <w:p w14:paraId="6B534671" w14:textId="77777777" w:rsidR="00686804" w:rsidRDefault="00686804" w:rsidP="00686804">
      <w:r>
        <w:t xml:space="preserve">A first DL RSTD measurement is reported by means of differential reporting, i.e. as </w:t>
      </w:r>
      <w:r>
        <w:sym w:font="Symbol" w:char="F044"/>
      </w:r>
      <w:r>
        <w:t>RSTD, relative to a second DL RSTD measurement (RSTD2), provided that:</w:t>
      </w:r>
    </w:p>
    <w:p w14:paraId="74C24520" w14:textId="77777777" w:rsidR="00686804" w:rsidRDefault="00686804" w:rsidP="00686804">
      <w:pPr>
        <w:pStyle w:val="B10"/>
      </w:pPr>
      <w:r>
        <w:t>-</w:t>
      </w:r>
      <w:r>
        <w:tab/>
        <w:t xml:space="preserve">the absolute measured quantity value of the second DL RSTD measurement (RSTD2) is not larger than the absolute measured quantity value of the first DL RSTD measurement (RSTD1), i.e., </w:t>
      </w:r>
      <w:r>
        <w:sym w:font="Symbol" w:char="F044"/>
      </w:r>
      <w:r>
        <w:t>RSTD=RSTD1-RSTD2≥0, and</w:t>
      </w:r>
    </w:p>
    <w:p w14:paraId="5BE2C200" w14:textId="77777777" w:rsidR="00686804" w:rsidRDefault="00686804" w:rsidP="00686804">
      <w:pPr>
        <w:pStyle w:val="B10"/>
      </w:pPr>
      <w:r>
        <w:t>-</w:t>
      </w:r>
      <w:r>
        <w:tab/>
        <w:t>the a</w:t>
      </w:r>
      <w:r w:rsidRPr="00B851AB">
        <w:t xml:space="preserve">bsolute value </w:t>
      </w:r>
      <w:r>
        <w:t xml:space="preserve">of the second DL RSTD measurement (RSTD2) </w:t>
      </w:r>
      <w:r w:rsidRPr="00B851AB">
        <w:t>is reported</w:t>
      </w:r>
      <w:r>
        <w:t xml:space="preserve"> together with </w:t>
      </w:r>
      <w:r>
        <w:sym w:font="Symbol" w:char="F044"/>
      </w:r>
      <w:r>
        <w:t>RSTD for the first DL RSTD measurement</w:t>
      </w:r>
      <w:r w:rsidRPr="00B851AB">
        <w:t>.</w:t>
      </w:r>
    </w:p>
    <w:p w14:paraId="25397110" w14:textId="77777777" w:rsidR="00686804" w:rsidRDefault="00686804" w:rsidP="00686804">
      <w:r w:rsidRPr="003264DB">
        <w:t xml:space="preserve">The reporting range for differential reporting </w:t>
      </w:r>
      <w:r w:rsidRPr="003264DB">
        <w:sym w:font="Symbol" w:char="F044"/>
      </w:r>
      <w:r w:rsidRPr="003264DB">
        <w:t xml:space="preserve">RSTD of the first DL RSTD measurement is defined from </w:t>
      </w:r>
      <w:r w:rsidRPr="003264DB">
        <w:rPr>
          <w:lang w:eastAsia="zh-CN"/>
        </w:rPr>
        <w:t>0</w:t>
      </w:r>
      <w:r w:rsidRPr="003264DB">
        <w:t xml:space="preserve"> </w:t>
      </w:r>
      <w:r>
        <w:t xml:space="preserve">up </w:t>
      </w:r>
      <w:r w:rsidRPr="003264DB">
        <w:t xml:space="preserve">to </w:t>
      </w:r>
      <w:r w:rsidRPr="003264DB">
        <w:rPr>
          <w:lang w:eastAsia="zh-CN"/>
        </w:rPr>
        <w:t>819</w:t>
      </w:r>
      <w:r>
        <w:rPr>
          <w:lang w:eastAsia="zh-CN"/>
        </w:rPr>
        <w:t>1</w:t>
      </w:r>
      <w:r w:rsidRPr="003264DB">
        <w:sym w:font="Symbol" w:char="F0B4"/>
      </w:r>
      <w:r w:rsidRPr="003264DB">
        <w:t>T</w:t>
      </w:r>
      <w:r w:rsidRPr="003264DB">
        <w:rPr>
          <w:vertAlign w:val="subscript"/>
        </w:rPr>
        <w:t>c</w:t>
      </w:r>
      <w:r w:rsidRPr="003264DB">
        <w:t xml:space="preserve"> with the resolution step of 2</w:t>
      </w:r>
      <w:r w:rsidRPr="003264DB">
        <w:rPr>
          <w:i/>
          <w:iCs/>
          <w:vertAlign w:val="superscript"/>
          <w:lang w:eastAsia="zh-CN"/>
        </w:rPr>
        <w:t>k</w:t>
      </w:r>
      <w:r w:rsidRPr="003264DB">
        <w:sym w:font="Symbol" w:char="F0B4"/>
      </w:r>
      <w:r w:rsidRPr="003264DB">
        <w:t>T</w:t>
      </w:r>
      <w:r w:rsidRPr="003264DB">
        <w:rPr>
          <w:vertAlign w:val="subscript"/>
        </w:rPr>
        <w:t>c</w:t>
      </w:r>
      <w:r w:rsidRPr="003264DB">
        <w:t xml:space="preserve">, where </w:t>
      </w:r>
    </w:p>
    <w:p w14:paraId="27B33E58" w14:textId="77777777" w:rsidR="00686804" w:rsidRDefault="00686804" w:rsidP="00686804">
      <w:pPr>
        <w:pStyle w:val="B10"/>
      </w:pPr>
      <w:r>
        <w:tab/>
      </w:r>
      <w:r w:rsidRPr="003264DB">
        <w:t>T</w:t>
      </w:r>
      <w:r w:rsidRPr="003264DB">
        <w:rPr>
          <w:vertAlign w:val="subscript"/>
        </w:rPr>
        <w:t>c</w:t>
      </w:r>
      <w:r w:rsidRPr="003264DB">
        <w:t xml:space="preserve"> is defined in TS 38.211 [6], </w:t>
      </w:r>
    </w:p>
    <w:p w14:paraId="226B6D0B" w14:textId="77777777" w:rsidR="00686804" w:rsidRDefault="00686804" w:rsidP="00686804">
      <w:pPr>
        <w:pStyle w:val="B10"/>
      </w:pPr>
      <w:r>
        <w:rPr>
          <w:i/>
          <w:iCs/>
          <w:lang w:eastAsia="ja-JP"/>
        </w:rPr>
        <w:tab/>
      </w:r>
      <w:r w:rsidRPr="003264DB">
        <w:rPr>
          <w:i/>
          <w:iCs/>
          <w:lang w:eastAsia="ja-JP"/>
        </w:rPr>
        <w:t>k</w:t>
      </w:r>
      <w:r w:rsidRPr="003264DB">
        <w:rPr>
          <w:i/>
          <w:iCs/>
          <w:vertAlign w:val="subscript"/>
          <w:lang w:eastAsia="ja-JP"/>
        </w:rPr>
        <w:t>min</w:t>
      </w:r>
      <w:r w:rsidRPr="003264DB">
        <w:rPr>
          <w:lang w:eastAsia="ja-JP"/>
        </w:rPr>
        <w:t>≤</w:t>
      </w:r>
      <w:r w:rsidRPr="003264DB">
        <w:rPr>
          <w:i/>
          <w:iCs/>
        </w:rPr>
        <w:t>k</w:t>
      </w:r>
      <w:r w:rsidRPr="003264DB">
        <w:rPr>
          <w:lang w:eastAsia="ja-JP"/>
        </w:rPr>
        <w:t>≤</w:t>
      </w:r>
      <w:r w:rsidRPr="003264DB">
        <w:rPr>
          <w:i/>
          <w:iCs/>
          <w:lang w:eastAsia="ja-JP"/>
        </w:rPr>
        <w:t>k</w:t>
      </w:r>
      <w:r w:rsidRPr="003264DB">
        <w:rPr>
          <w:i/>
          <w:iCs/>
          <w:vertAlign w:val="subscript"/>
          <w:lang w:eastAsia="ja-JP"/>
        </w:rPr>
        <w:t>max</w:t>
      </w:r>
      <w:r w:rsidRPr="003264DB">
        <w:t xml:space="preserve">, </w:t>
      </w:r>
      <w:bookmarkStart w:id="14" w:name="_Hlk40463200"/>
    </w:p>
    <w:p w14:paraId="0E4305E2" w14:textId="77777777" w:rsidR="00686804" w:rsidRDefault="00686804" w:rsidP="00686804">
      <w:pPr>
        <w:pStyle w:val="B10"/>
        <w:rPr>
          <w:lang w:eastAsia="ja-JP"/>
        </w:rPr>
      </w:pPr>
      <w:r>
        <w:rPr>
          <w:i/>
          <w:iCs/>
          <w:lang w:eastAsia="ja-JP"/>
        </w:rPr>
        <w:tab/>
      </w:r>
      <w:r w:rsidRPr="003264DB">
        <w:rPr>
          <w:i/>
          <w:iCs/>
          <w:lang w:eastAsia="ja-JP"/>
        </w:rPr>
        <w:t>k</w:t>
      </w:r>
      <w:r w:rsidRPr="003264DB">
        <w:rPr>
          <w:i/>
          <w:iCs/>
          <w:vertAlign w:val="subscript"/>
          <w:lang w:eastAsia="ja-JP"/>
        </w:rPr>
        <w:t>min</w:t>
      </w:r>
      <w:r w:rsidRPr="003264DB">
        <w:rPr>
          <w:lang w:eastAsia="ja-JP"/>
        </w:rPr>
        <w:t>=</w:t>
      </w:r>
      <w:r>
        <w:rPr>
          <w:lang w:eastAsia="ja-JP"/>
        </w:rPr>
        <w:t>[2]</w:t>
      </w:r>
      <w:r w:rsidRPr="003264DB">
        <w:rPr>
          <w:lang w:eastAsia="ja-JP"/>
        </w:rPr>
        <w:t xml:space="preserve"> and </w:t>
      </w:r>
      <w:r w:rsidRPr="003264DB">
        <w:rPr>
          <w:i/>
          <w:iCs/>
          <w:lang w:eastAsia="ja-JP"/>
        </w:rPr>
        <w:t>k</w:t>
      </w:r>
      <w:r w:rsidRPr="003264DB">
        <w:rPr>
          <w:i/>
          <w:iCs/>
          <w:vertAlign w:val="subscript"/>
          <w:lang w:eastAsia="ja-JP"/>
        </w:rPr>
        <w:t>max</w:t>
      </w:r>
      <w:r w:rsidRPr="003264DB">
        <w:rPr>
          <w:lang w:eastAsia="ja-JP"/>
        </w:rPr>
        <w:t xml:space="preserve">=5, when configured PRS resource of at least one of the reference cell and neighbor cell measured for the </w:t>
      </w:r>
      <w:r w:rsidRPr="003264DB">
        <w:t>first</w:t>
      </w:r>
      <w:r w:rsidRPr="003264DB">
        <w:rPr>
          <w:lang w:eastAsia="ja-JP"/>
        </w:rPr>
        <w:t xml:space="preserve"> RSTD measurement or second RSTD measurement is in FR1,</w:t>
      </w:r>
    </w:p>
    <w:p w14:paraId="3C455C22" w14:textId="77777777" w:rsidR="00686804" w:rsidRDefault="00686804" w:rsidP="00686804">
      <w:pPr>
        <w:pStyle w:val="B10"/>
        <w:rPr>
          <w:lang w:eastAsia="ja-JP"/>
        </w:rPr>
      </w:pPr>
      <w:r>
        <w:rPr>
          <w:i/>
          <w:iCs/>
          <w:lang w:eastAsia="ja-JP"/>
        </w:rPr>
        <w:tab/>
      </w:r>
      <w:r w:rsidRPr="003264DB">
        <w:rPr>
          <w:i/>
          <w:iCs/>
          <w:lang w:eastAsia="ja-JP"/>
        </w:rPr>
        <w:t>k</w:t>
      </w:r>
      <w:r w:rsidRPr="003264DB">
        <w:rPr>
          <w:i/>
          <w:iCs/>
          <w:vertAlign w:val="subscript"/>
          <w:lang w:eastAsia="ja-JP"/>
        </w:rPr>
        <w:t>min</w:t>
      </w:r>
      <w:r w:rsidRPr="003264DB">
        <w:rPr>
          <w:lang w:eastAsia="ja-JP"/>
        </w:rPr>
        <w:t xml:space="preserve">=0 and </w:t>
      </w:r>
      <w:r w:rsidRPr="003264DB">
        <w:rPr>
          <w:i/>
          <w:iCs/>
          <w:lang w:eastAsia="ja-JP"/>
        </w:rPr>
        <w:t>k</w:t>
      </w:r>
      <w:r w:rsidRPr="003264DB">
        <w:rPr>
          <w:i/>
          <w:iCs/>
          <w:vertAlign w:val="subscript"/>
          <w:lang w:eastAsia="ja-JP"/>
        </w:rPr>
        <w:t>max</w:t>
      </w:r>
      <w:r w:rsidRPr="003264DB">
        <w:rPr>
          <w:lang w:eastAsia="ja-JP"/>
        </w:rPr>
        <w:t xml:space="preserve">=5, when configured PRS resource of both the reference cell and neighbor cell measured for both of the </w:t>
      </w:r>
      <w:r w:rsidRPr="003264DB">
        <w:t xml:space="preserve">first </w:t>
      </w:r>
      <w:r w:rsidRPr="003264DB">
        <w:rPr>
          <w:lang w:eastAsia="ja-JP"/>
        </w:rPr>
        <w:t>RSTD measurement and the second RSTD measurement are in FR2,</w:t>
      </w:r>
      <w:bookmarkEnd w:id="14"/>
    </w:p>
    <w:p w14:paraId="4BEC648F" w14:textId="77777777" w:rsidR="00686804" w:rsidRPr="000C0401" w:rsidRDefault="00686804" w:rsidP="00686804">
      <w:pPr>
        <w:pStyle w:val="B10"/>
      </w:pPr>
      <w:r>
        <w:rPr>
          <w:i/>
          <w:iCs/>
          <w:lang w:eastAsia="ja-JP"/>
        </w:rPr>
        <w:tab/>
      </w:r>
      <w:r w:rsidRPr="00710EBC">
        <w:rPr>
          <w:i/>
          <w:iCs/>
          <w:lang w:eastAsia="ja-JP"/>
        </w:rPr>
        <w:t>k≥</w:t>
      </w:r>
      <w:r w:rsidRPr="00710EBC">
        <w:rPr>
          <w:lang w:eastAsia="ja-JP"/>
        </w:rPr>
        <w:t xml:space="preserve"> </w:t>
      </w:r>
      <w:r w:rsidRPr="00710EBC">
        <w:rPr>
          <w:i/>
          <w:iCs/>
          <w:snapToGrid w:val="0"/>
        </w:rPr>
        <w:t xml:space="preserve">timingReportingGranularityFactor </w:t>
      </w:r>
      <w:r w:rsidRPr="00710EBC">
        <w:rPr>
          <w:snapToGrid w:val="0"/>
        </w:rPr>
        <w:t>[3</w:t>
      </w:r>
      <w:r>
        <w:rPr>
          <w:snapToGrid w:val="0"/>
        </w:rPr>
        <w:t>4</w:t>
      </w:r>
      <w:r w:rsidRPr="00710EBC">
        <w:rPr>
          <w:snapToGrid w:val="0"/>
        </w:rPr>
        <w:t>] configured by LMF via LPP for the RSTD measurement</w:t>
      </w:r>
      <w:r w:rsidRPr="000C0401">
        <w:rPr>
          <w:snapToGrid w:val="0"/>
        </w:rPr>
        <w:t>.</w:t>
      </w:r>
    </w:p>
    <w:p w14:paraId="46DAA47B" w14:textId="77777777" w:rsidR="00686804" w:rsidRPr="002F5786" w:rsidRDefault="00686804" w:rsidP="002F5786">
      <w:pPr>
        <w:pStyle w:val="TAC"/>
        <w:spacing w:after="60"/>
        <w:jc w:val="left"/>
        <w:rPr>
          <w:rFonts w:ascii="Times New Roman" w:hAnsi="Times New Roman"/>
          <w:sz w:val="20"/>
          <w:lang w:val="en-US" w:eastAsia="ja-JP"/>
        </w:rPr>
      </w:pPr>
      <w:r w:rsidRPr="003264DB">
        <w:rPr>
          <w:rFonts w:ascii="Times New Roman" w:hAnsi="Times New Roman"/>
          <w:sz w:val="20"/>
          <w:lang w:val="en-US" w:eastAsia="ja-JP"/>
        </w:rPr>
        <w:t xml:space="preserve">The measurement report mapping for different </w:t>
      </w:r>
      <w:r w:rsidRPr="003264DB">
        <w:rPr>
          <w:rFonts w:ascii="Times New Roman" w:hAnsi="Times New Roman"/>
          <w:i/>
          <w:iCs/>
          <w:sz w:val="20"/>
          <w:lang w:val="en-US" w:eastAsia="ja-JP"/>
        </w:rPr>
        <w:t>k</w:t>
      </w:r>
      <w:r w:rsidRPr="003264DB">
        <w:rPr>
          <w:rFonts w:ascii="Times New Roman" w:hAnsi="Times New Roman"/>
          <w:sz w:val="20"/>
          <w:lang w:val="en-US" w:eastAsia="ja-JP"/>
        </w:rPr>
        <w:t xml:space="preserve"> values are specified in Tables 10.1.23.3.2-1 </w:t>
      </w:r>
      <w:r w:rsidRPr="003264DB">
        <w:rPr>
          <w:rFonts w:ascii="Times New Roman" w:hAnsi="Times New Roman"/>
          <w:sz w:val="20"/>
          <w:lang w:val="en-US" w:eastAsia="ja-JP"/>
        </w:rPr>
        <w:sym w:font="Symbol" w:char="F02D"/>
      </w:r>
      <w:r w:rsidRPr="003264DB">
        <w:rPr>
          <w:rFonts w:ascii="Times New Roman" w:hAnsi="Times New Roman"/>
          <w:sz w:val="20"/>
          <w:lang w:val="en-US" w:eastAsia="ja-JP"/>
        </w:rPr>
        <w:t xml:space="preserve"> 10.1.23.3.2-6.</w:t>
      </w:r>
    </w:p>
    <w:p w14:paraId="4CE4D70D" w14:textId="77777777" w:rsidR="00686804" w:rsidRPr="003264DB" w:rsidRDefault="00686804" w:rsidP="002F5786">
      <w:pPr>
        <w:pStyle w:val="TH"/>
        <w:rPr>
          <w:rFonts w:cs="Arial"/>
          <w:lang w:val="en-US" w:eastAsia="ja-JP"/>
        </w:rPr>
      </w:pPr>
      <w:r w:rsidRPr="003264DB">
        <w:t xml:space="preserve">Table 10.1.23.3.2-1: Report mapping for </w:t>
      </w:r>
      <w:r w:rsidRPr="003264DB">
        <w:rPr>
          <w:i/>
          <w:iCs/>
        </w:rPr>
        <w:t>k</w:t>
      </w:r>
      <w:r w:rsidRPr="003264DB">
        <w:t>=0</w:t>
      </w:r>
    </w:p>
    <w:tbl>
      <w:tblPr>
        <w:tblW w:w="5772"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512"/>
        <w:gridCol w:w="567"/>
      </w:tblGrid>
      <w:tr w:rsidR="00686804" w:rsidRPr="003264DB" w14:paraId="668BE92F" w14:textId="77777777" w:rsidTr="00051ED3">
        <w:trPr>
          <w:cantSplit/>
          <w:trHeight w:val="274"/>
        </w:trPr>
        <w:tc>
          <w:tcPr>
            <w:tcW w:w="2693" w:type="dxa"/>
            <w:vAlign w:val="center"/>
          </w:tcPr>
          <w:p w14:paraId="021AFBCC" w14:textId="77777777" w:rsidR="00686804" w:rsidRPr="003264DB" w:rsidRDefault="00686804" w:rsidP="00DA29A5">
            <w:pPr>
              <w:pStyle w:val="TAH"/>
            </w:pPr>
            <w:r w:rsidRPr="003264DB">
              <w:t>Reported Quantity Value,</w:t>
            </w:r>
          </w:p>
          <w:p w14:paraId="603A6E11" w14:textId="77777777" w:rsidR="00686804" w:rsidRPr="003264DB" w:rsidRDefault="00686804" w:rsidP="00DA29A5">
            <w:pPr>
              <w:pStyle w:val="TAH"/>
            </w:pPr>
            <w:r w:rsidRPr="003264DB">
              <w:t>DIFFRSTD_i</w:t>
            </w:r>
          </w:p>
        </w:tc>
        <w:tc>
          <w:tcPr>
            <w:tcW w:w="2512" w:type="dxa"/>
            <w:vAlign w:val="center"/>
          </w:tcPr>
          <w:p w14:paraId="3C9D5B6B" w14:textId="77777777" w:rsidR="00686804" w:rsidRPr="003264DB" w:rsidRDefault="00686804" w:rsidP="00DA29A5">
            <w:pPr>
              <w:pStyle w:val="TAH"/>
            </w:pPr>
            <w:r w:rsidRPr="003264DB">
              <w:sym w:font="Symbol" w:char="F044"/>
            </w:r>
            <w:r w:rsidRPr="003264DB">
              <w:t xml:space="preserve">RSTD = RSTD1 </w:t>
            </w:r>
            <w:r w:rsidRPr="003264DB">
              <w:rPr>
                <w:bCs/>
              </w:rPr>
              <w:sym w:font="Symbol" w:char="F02D"/>
            </w:r>
            <w:r w:rsidRPr="003264DB">
              <w:t xml:space="preserve"> RSTD2</w:t>
            </w:r>
          </w:p>
        </w:tc>
        <w:tc>
          <w:tcPr>
            <w:tcW w:w="567" w:type="dxa"/>
            <w:vAlign w:val="center"/>
          </w:tcPr>
          <w:p w14:paraId="7BC8EF29" w14:textId="77777777" w:rsidR="00686804" w:rsidRPr="003264DB" w:rsidRDefault="00686804" w:rsidP="00DA29A5">
            <w:pPr>
              <w:pStyle w:val="TAH"/>
            </w:pPr>
            <w:r w:rsidRPr="003264DB">
              <w:t>Unit</w:t>
            </w:r>
          </w:p>
        </w:tc>
      </w:tr>
      <w:tr w:rsidR="00686804" w:rsidRPr="003264DB" w14:paraId="6A047FAD" w14:textId="77777777" w:rsidTr="00051ED3">
        <w:trPr>
          <w:cantSplit/>
        </w:trPr>
        <w:tc>
          <w:tcPr>
            <w:tcW w:w="2693" w:type="dxa"/>
          </w:tcPr>
          <w:p w14:paraId="207DA27E" w14:textId="77777777" w:rsidR="00686804" w:rsidRPr="003264DB" w:rsidRDefault="00686804" w:rsidP="00DA29A5">
            <w:pPr>
              <w:pStyle w:val="TAC"/>
            </w:pPr>
            <w:r w:rsidRPr="003264DB">
              <w:rPr>
                <w:lang w:eastAsia="zh-CN"/>
              </w:rPr>
              <w:t>DIFFRSTD</w:t>
            </w:r>
            <w:r w:rsidRPr="003264DB">
              <w:t>_0000</w:t>
            </w:r>
          </w:p>
        </w:tc>
        <w:tc>
          <w:tcPr>
            <w:tcW w:w="2512" w:type="dxa"/>
          </w:tcPr>
          <w:p w14:paraId="0ECF7D44" w14:textId="77777777" w:rsidR="00686804" w:rsidRPr="003264DB" w:rsidRDefault="00686804" w:rsidP="00DA29A5">
            <w:pPr>
              <w:pStyle w:val="TAC"/>
            </w:pPr>
            <w:r w:rsidRPr="003264DB">
              <w:rPr>
                <w:lang w:eastAsia="zh-CN"/>
              </w:rPr>
              <w:t xml:space="preserve">0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1</w:t>
            </w:r>
          </w:p>
        </w:tc>
        <w:tc>
          <w:tcPr>
            <w:tcW w:w="567" w:type="dxa"/>
          </w:tcPr>
          <w:p w14:paraId="490543BD" w14:textId="77777777" w:rsidR="00686804" w:rsidRPr="003264DB" w:rsidRDefault="00686804" w:rsidP="002F5786">
            <w:pPr>
              <w:pStyle w:val="TAC"/>
            </w:pPr>
            <w:r w:rsidRPr="003264DB">
              <w:t>T</w:t>
            </w:r>
            <w:r w:rsidRPr="003264DB">
              <w:rPr>
                <w:vertAlign w:val="subscript"/>
              </w:rPr>
              <w:t>c</w:t>
            </w:r>
          </w:p>
        </w:tc>
      </w:tr>
      <w:tr w:rsidR="00686804" w:rsidRPr="003264DB" w14:paraId="5CE14261" w14:textId="77777777" w:rsidTr="00051ED3">
        <w:trPr>
          <w:cantSplit/>
        </w:trPr>
        <w:tc>
          <w:tcPr>
            <w:tcW w:w="2693" w:type="dxa"/>
          </w:tcPr>
          <w:p w14:paraId="49A2FDC4" w14:textId="77777777" w:rsidR="00686804" w:rsidRPr="003264DB" w:rsidRDefault="00686804" w:rsidP="00DA29A5">
            <w:pPr>
              <w:pStyle w:val="TAC"/>
            </w:pPr>
            <w:r w:rsidRPr="003264DB">
              <w:rPr>
                <w:lang w:eastAsia="zh-CN"/>
              </w:rPr>
              <w:t>DIFFRSTD</w:t>
            </w:r>
            <w:r w:rsidRPr="003264DB">
              <w:t>_0001</w:t>
            </w:r>
          </w:p>
        </w:tc>
        <w:tc>
          <w:tcPr>
            <w:tcW w:w="2512" w:type="dxa"/>
          </w:tcPr>
          <w:p w14:paraId="0CEE33F4" w14:textId="77777777" w:rsidR="00686804" w:rsidRPr="003264DB" w:rsidRDefault="00686804" w:rsidP="00DA29A5">
            <w:pPr>
              <w:pStyle w:val="TAC"/>
            </w:pPr>
            <w:r w:rsidRPr="003264DB">
              <w:rPr>
                <w:lang w:eastAsia="zh-CN"/>
              </w:rPr>
              <w:t xml:space="preserve">1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2</w:t>
            </w:r>
          </w:p>
        </w:tc>
        <w:tc>
          <w:tcPr>
            <w:tcW w:w="567" w:type="dxa"/>
          </w:tcPr>
          <w:p w14:paraId="294BD2C3" w14:textId="77777777" w:rsidR="00686804" w:rsidRPr="003264DB" w:rsidRDefault="00686804" w:rsidP="002F5786">
            <w:pPr>
              <w:pStyle w:val="TAC"/>
            </w:pPr>
            <w:r w:rsidRPr="003264DB">
              <w:t>T</w:t>
            </w:r>
            <w:r w:rsidRPr="003264DB">
              <w:rPr>
                <w:vertAlign w:val="subscript"/>
              </w:rPr>
              <w:t>c</w:t>
            </w:r>
          </w:p>
        </w:tc>
      </w:tr>
      <w:tr w:rsidR="00686804" w:rsidRPr="003264DB" w14:paraId="46D3B04F" w14:textId="77777777" w:rsidTr="00051ED3">
        <w:trPr>
          <w:cantSplit/>
        </w:trPr>
        <w:tc>
          <w:tcPr>
            <w:tcW w:w="2693" w:type="dxa"/>
          </w:tcPr>
          <w:p w14:paraId="48BC5E47" w14:textId="77777777" w:rsidR="00686804" w:rsidRPr="003264DB" w:rsidRDefault="00686804" w:rsidP="00DA29A5">
            <w:pPr>
              <w:pStyle w:val="TAC"/>
            </w:pPr>
            <w:r w:rsidRPr="003264DB">
              <w:rPr>
                <w:lang w:eastAsia="zh-CN"/>
              </w:rPr>
              <w:t>DIFFRSTD</w:t>
            </w:r>
            <w:r w:rsidRPr="003264DB">
              <w:t>_0002</w:t>
            </w:r>
          </w:p>
        </w:tc>
        <w:tc>
          <w:tcPr>
            <w:tcW w:w="2512" w:type="dxa"/>
          </w:tcPr>
          <w:p w14:paraId="7D7997DD" w14:textId="77777777" w:rsidR="00686804" w:rsidRPr="003264DB" w:rsidRDefault="00686804" w:rsidP="00DA29A5">
            <w:pPr>
              <w:pStyle w:val="TAC"/>
            </w:pPr>
            <w:r w:rsidRPr="003264DB">
              <w:rPr>
                <w:lang w:eastAsia="zh-CN"/>
              </w:rPr>
              <w:t xml:space="preserve">2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3</w:t>
            </w:r>
          </w:p>
        </w:tc>
        <w:tc>
          <w:tcPr>
            <w:tcW w:w="567" w:type="dxa"/>
          </w:tcPr>
          <w:p w14:paraId="3CC403D4" w14:textId="77777777" w:rsidR="00686804" w:rsidRPr="003264DB" w:rsidRDefault="00686804" w:rsidP="00DA29A5">
            <w:pPr>
              <w:pStyle w:val="TAC"/>
            </w:pPr>
            <w:r w:rsidRPr="003264DB">
              <w:t>T</w:t>
            </w:r>
            <w:r w:rsidRPr="003264DB">
              <w:rPr>
                <w:vertAlign w:val="subscript"/>
              </w:rPr>
              <w:t>c</w:t>
            </w:r>
          </w:p>
        </w:tc>
      </w:tr>
      <w:tr w:rsidR="00686804" w:rsidRPr="003264DB" w14:paraId="67B8A22F" w14:textId="77777777" w:rsidTr="00051ED3">
        <w:trPr>
          <w:cantSplit/>
        </w:trPr>
        <w:tc>
          <w:tcPr>
            <w:tcW w:w="2693" w:type="dxa"/>
          </w:tcPr>
          <w:p w14:paraId="421FADCD" w14:textId="77777777" w:rsidR="00686804" w:rsidRPr="003264DB" w:rsidRDefault="00686804" w:rsidP="00DA29A5">
            <w:pPr>
              <w:pStyle w:val="TAC"/>
            </w:pPr>
            <w:r w:rsidRPr="003264DB">
              <w:sym w:font="Symbol" w:char="F0BC"/>
            </w:r>
          </w:p>
        </w:tc>
        <w:tc>
          <w:tcPr>
            <w:tcW w:w="2512" w:type="dxa"/>
          </w:tcPr>
          <w:p w14:paraId="545B68EA" w14:textId="77777777" w:rsidR="00686804" w:rsidRPr="003264DB" w:rsidRDefault="00686804" w:rsidP="00DA29A5">
            <w:pPr>
              <w:pStyle w:val="TAC"/>
            </w:pPr>
            <w:r w:rsidRPr="003264DB">
              <w:sym w:font="Symbol" w:char="F0BC"/>
            </w:r>
          </w:p>
        </w:tc>
        <w:tc>
          <w:tcPr>
            <w:tcW w:w="567" w:type="dxa"/>
          </w:tcPr>
          <w:p w14:paraId="51D4B1DF" w14:textId="77777777" w:rsidR="00686804" w:rsidRPr="003264DB" w:rsidRDefault="00686804" w:rsidP="00DA29A5">
            <w:pPr>
              <w:pStyle w:val="TAC"/>
            </w:pPr>
            <w:r w:rsidRPr="003264DB">
              <w:t>…</w:t>
            </w:r>
          </w:p>
        </w:tc>
      </w:tr>
      <w:tr w:rsidR="00686804" w:rsidRPr="003264DB" w14:paraId="4DE97E1D"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132CDAD" w14:textId="77777777" w:rsidR="00686804" w:rsidRPr="003264DB" w:rsidRDefault="00686804" w:rsidP="00DA29A5">
            <w:pPr>
              <w:pStyle w:val="TAC"/>
            </w:pPr>
            <w:r w:rsidRPr="003264DB">
              <w:rPr>
                <w:lang w:eastAsia="zh-CN"/>
              </w:rPr>
              <w:t>DIFFRSTD_8189</w:t>
            </w:r>
          </w:p>
        </w:tc>
        <w:tc>
          <w:tcPr>
            <w:tcW w:w="2512" w:type="dxa"/>
            <w:tcBorders>
              <w:top w:val="single" w:sz="4" w:space="0" w:color="auto"/>
              <w:left w:val="single" w:sz="4" w:space="0" w:color="auto"/>
              <w:bottom w:val="single" w:sz="4" w:space="0" w:color="auto"/>
              <w:right w:val="single" w:sz="4" w:space="0" w:color="auto"/>
            </w:tcBorders>
          </w:tcPr>
          <w:p w14:paraId="05092F35" w14:textId="77777777" w:rsidR="00686804" w:rsidRPr="003264DB" w:rsidRDefault="00686804" w:rsidP="00DA29A5">
            <w:pPr>
              <w:pStyle w:val="TAC"/>
            </w:pPr>
            <w:r w:rsidRPr="003264DB">
              <w:rPr>
                <w:lang w:eastAsia="zh-CN"/>
              </w:rPr>
              <w:t xml:space="preserve">8189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8190</w:t>
            </w:r>
          </w:p>
        </w:tc>
        <w:tc>
          <w:tcPr>
            <w:tcW w:w="567" w:type="dxa"/>
            <w:tcBorders>
              <w:top w:val="single" w:sz="4" w:space="0" w:color="auto"/>
              <w:left w:val="single" w:sz="4" w:space="0" w:color="auto"/>
              <w:bottom w:val="single" w:sz="4" w:space="0" w:color="auto"/>
              <w:right w:val="single" w:sz="4" w:space="0" w:color="auto"/>
            </w:tcBorders>
          </w:tcPr>
          <w:p w14:paraId="4C64B110" w14:textId="77777777" w:rsidR="00686804" w:rsidRPr="003264DB" w:rsidRDefault="00686804" w:rsidP="002F5786">
            <w:pPr>
              <w:pStyle w:val="TAC"/>
            </w:pPr>
            <w:r w:rsidRPr="003264DB">
              <w:t>T</w:t>
            </w:r>
            <w:r w:rsidRPr="003264DB">
              <w:rPr>
                <w:vertAlign w:val="subscript"/>
              </w:rPr>
              <w:t>c</w:t>
            </w:r>
          </w:p>
        </w:tc>
      </w:tr>
      <w:tr w:rsidR="00686804" w:rsidRPr="003264DB" w14:paraId="3E141E74"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1980D6F" w14:textId="77777777" w:rsidR="00686804" w:rsidRPr="003264DB" w:rsidRDefault="00686804" w:rsidP="00DA29A5">
            <w:pPr>
              <w:pStyle w:val="TAC"/>
            </w:pPr>
            <w:r w:rsidRPr="003264DB">
              <w:rPr>
                <w:lang w:eastAsia="zh-CN"/>
              </w:rPr>
              <w:t>DIFFRSTD_8190</w:t>
            </w:r>
          </w:p>
        </w:tc>
        <w:tc>
          <w:tcPr>
            <w:tcW w:w="2512" w:type="dxa"/>
            <w:tcBorders>
              <w:top w:val="single" w:sz="4" w:space="0" w:color="auto"/>
              <w:left w:val="single" w:sz="4" w:space="0" w:color="auto"/>
              <w:bottom w:val="single" w:sz="4" w:space="0" w:color="auto"/>
              <w:right w:val="single" w:sz="4" w:space="0" w:color="auto"/>
            </w:tcBorders>
          </w:tcPr>
          <w:p w14:paraId="11480836" w14:textId="77777777" w:rsidR="00686804" w:rsidRPr="003264DB" w:rsidRDefault="00686804" w:rsidP="00DA29A5">
            <w:pPr>
              <w:pStyle w:val="TAC"/>
            </w:pPr>
            <w:r w:rsidRPr="003264DB">
              <w:rPr>
                <w:lang w:eastAsia="zh-CN"/>
              </w:rPr>
              <w:t xml:space="preserve">8190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w:t>
            </w:r>
            <w:r>
              <w:rPr>
                <w:lang w:eastAsia="zh-CN"/>
              </w:rPr>
              <w:t>8191</w:t>
            </w:r>
          </w:p>
        </w:tc>
        <w:tc>
          <w:tcPr>
            <w:tcW w:w="567" w:type="dxa"/>
            <w:tcBorders>
              <w:top w:val="single" w:sz="4" w:space="0" w:color="auto"/>
              <w:left w:val="single" w:sz="4" w:space="0" w:color="auto"/>
              <w:bottom w:val="single" w:sz="4" w:space="0" w:color="auto"/>
              <w:right w:val="single" w:sz="4" w:space="0" w:color="auto"/>
            </w:tcBorders>
          </w:tcPr>
          <w:p w14:paraId="136FAB87" w14:textId="77777777" w:rsidR="00686804" w:rsidRPr="003264DB" w:rsidRDefault="00686804" w:rsidP="002F5786">
            <w:pPr>
              <w:pStyle w:val="TAC"/>
            </w:pPr>
            <w:r w:rsidRPr="003264DB">
              <w:t>T</w:t>
            </w:r>
            <w:r w:rsidRPr="003264DB">
              <w:rPr>
                <w:vertAlign w:val="subscript"/>
              </w:rPr>
              <w:t>c</w:t>
            </w:r>
          </w:p>
        </w:tc>
      </w:tr>
      <w:tr w:rsidR="00686804" w:rsidRPr="003264DB" w14:paraId="2541FCD3"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24E11BC3" w14:textId="77777777" w:rsidR="00686804" w:rsidRPr="003264DB" w:rsidRDefault="00686804" w:rsidP="00DA29A5">
            <w:pPr>
              <w:pStyle w:val="TAC"/>
            </w:pPr>
            <w:r w:rsidRPr="003264DB">
              <w:rPr>
                <w:lang w:eastAsia="zh-CN"/>
              </w:rPr>
              <w:t>DIFFRSTD_8191</w:t>
            </w:r>
          </w:p>
        </w:tc>
        <w:tc>
          <w:tcPr>
            <w:tcW w:w="2512" w:type="dxa"/>
            <w:tcBorders>
              <w:top w:val="single" w:sz="4" w:space="0" w:color="auto"/>
              <w:left w:val="single" w:sz="4" w:space="0" w:color="auto"/>
              <w:bottom w:val="single" w:sz="4" w:space="0" w:color="auto"/>
              <w:right w:val="single" w:sz="4" w:space="0" w:color="auto"/>
            </w:tcBorders>
          </w:tcPr>
          <w:p w14:paraId="6AF2D696" w14:textId="77777777" w:rsidR="00686804" w:rsidRPr="003264DB" w:rsidRDefault="00686804" w:rsidP="00DA29A5">
            <w:pPr>
              <w:pStyle w:val="TAC"/>
            </w:pPr>
            <w:r>
              <w:rPr>
                <w:lang w:eastAsia="zh-CN"/>
              </w:rPr>
              <w:t>8191</w:t>
            </w:r>
            <w:r w:rsidRPr="003264DB">
              <w:rPr>
                <w:lang w:eastAsia="zh-CN"/>
              </w:rPr>
              <w:t xml:space="preserve"> </w:t>
            </w:r>
            <w:r w:rsidRPr="003264DB">
              <w:sym w:font="Symbol" w:char="F0A3"/>
            </w:r>
            <w:r w:rsidRPr="003264DB">
              <w:rPr>
                <w:lang w:eastAsia="zh-CN"/>
              </w:rPr>
              <w:t xml:space="preserve"> </w:t>
            </w:r>
            <w:r w:rsidRPr="003264DB">
              <w:rPr>
                <w:lang w:eastAsia="zh-CN"/>
              </w:rPr>
              <w:sym w:font="Symbol" w:char="F044"/>
            </w:r>
            <w:r w:rsidRPr="003264DB">
              <w:rPr>
                <w:lang w:eastAsia="zh-CN"/>
              </w:rPr>
              <w:t>RSTD</w:t>
            </w:r>
          </w:p>
        </w:tc>
        <w:tc>
          <w:tcPr>
            <w:tcW w:w="567" w:type="dxa"/>
            <w:tcBorders>
              <w:top w:val="single" w:sz="4" w:space="0" w:color="auto"/>
              <w:left w:val="single" w:sz="4" w:space="0" w:color="auto"/>
              <w:bottom w:val="single" w:sz="4" w:space="0" w:color="auto"/>
              <w:right w:val="single" w:sz="4" w:space="0" w:color="auto"/>
            </w:tcBorders>
          </w:tcPr>
          <w:p w14:paraId="011F3507" w14:textId="77777777" w:rsidR="00686804" w:rsidRPr="003264DB" w:rsidRDefault="00686804" w:rsidP="002F5786">
            <w:pPr>
              <w:pStyle w:val="TAC"/>
            </w:pPr>
            <w:r w:rsidRPr="003264DB">
              <w:t>T</w:t>
            </w:r>
            <w:r w:rsidRPr="003264DB">
              <w:rPr>
                <w:vertAlign w:val="subscript"/>
              </w:rPr>
              <w:t>c</w:t>
            </w:r>
          </w:p>
        </w:tc>
      </w:tr>
    </w:tbl>
    <w:p w14:paraId="6F8CF5BB" w14:textId="77777777" w:rsidR="00686804" w:rsidRPr="003264DB" w:rsidRDefault="00686804" w:rsidP="002F5786"/>
    <w:p w14:paraId="0DBBEC6D" w14:textId="77777777" w:rsidR="00686804" w:rsidRPr="003264DB" w:rsidRDefault="00686804" w:rsidP="002F5786">
      <w:pPr>
        <w:pStyle w:val="TH"/>
        <w:rPr>
          <w:rFonts w:cs="Arial"/>
          <w:lang w:val="en-US" w:eastAsia="ja-JP"/>
        </w:rPr>
      </w:pPr>
      <w:r w:rsidRPr="003264DB">
        <w:t xml:space="preserve">Table 10.1.23.3.2-2: Report mapping for </w:t>
      </w:r>
      <w:r w:rsidRPr="003264DB">
        <w:rPr>
          <w:i/>
          <w:iCs/>
        </w:rPr>
        <w:t>k</w:t>
      </w:r>
      <w:r w:rsidRPr="003264DB">
        <w:t>=1</w:t>
      </w:r>
    </w:p>
    <w:tbl>
      <w:tblPr>
        <w:tblW w:w="5772"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512"/>
        <w:gridCol w:w="567"/>
      </w:tblGrid>
      <w:tr w:rsidR="00686804" w:rsidRPr="003264DB" w14:paraId="1DFF5B51" w14:textId="77777777" w:rsidTr="00051ED3">
        <w:trPr>
          <w:cantSplit/>
          <w:trHeight w:val="193"/>
        </w:trPr>
        <w:tc>
          <w:tcPr>
            <w:tcW w:w="2693" w:type="dxa"/>
            <w:vAlign w:val="center"/>
          </w:tcPr>
          <w:p w14:paraId="7D69D99A" w14:textId="77777777" w:rsidR="00686804" w:rsidRPr="003264DB" w:rsidRDefault="00686804">
            <w:pPr>
              <w:pStyle w:val="TAH"/>
            </w:pPr>
            <w:r w:rsidRPr="003264DB">
              <w:t>Reported Quantity Value,</w:t>
            </w:r>
          </w:p>
          <w:p w14:paraId="60CDD823" w14:textId="77777777" w:rsidR="00686804" w:rsidRPr="003264DB" w:rsidRDefault="00686804">
            <w:pPr>
              <w:pStyle w:val="TAH"/>
            </w:pPr>
            <w:r w:rsidRPr="003264DB">
              <w:t>DIFFRSTD_i</w:t>
            </w:r>
          </w:p>
        </w:tc>
        <w:tc>
          <w:tcPr>
            <w:tcW w:w="2512" w:type="dxa"/>
            <w:vAlign w:val="center"/>
          </w:tcPr>
          <w:p w14:paraId="53E9A5D5" w14:textId="77777777" w:rsidR="00686804" w:rsidRPr="003264DB" w:rsidRDefault="00686804">
            <w:pPr>
              <w:pStyle w:val="TAH"/>
            </w:pPr>
            <w:r w:rsidRPr="003264DB">
              <w:sym w:font="Symbol" w:char="F044"/>
            </w:r>
            <w:r w:rsidRPr="003264DB">
              <w:t xml:space="preserve">RSTD = RSTD1 </w:t>
            </w:r>
            <w:r w:rsidRPr="003264DB">
              <w:rPr>
                <w:bCs/>
              </w:rPr>
              <w:sym w:font="Symbol" w:char="F02D"/>
            </w:r>
            <w:r w:rsidRPr="003264DB">
              <w:t xml:space="preserve"> RSTD2</w:t>
            </w:r>
          </w:p>
        </w:tc>
        <w:tc>
          <w:tcPr>
            <w:tcW w:w="567" w:type="dxa"/>
            <w:vAlign w:val="center"/>
          </w:tcPr>
          <w:p w14:paraId="458BC487" w14:textId="77777777" w:rsidR="00686804" w:rsidRPr="003264DB" w:rsidRDefault="00686804">
            <w:pPr>
              <w:pStyle w:val="TAH"/>
            </w:pPr>
            <w:r w:rsidRPr="003264DB">
              <w:t>Unit</w:t>
            </w:r>
          </w:p>
        </w:tc>
      </w:tr>
      <w:tr w:rsidR="00686804" w:rsidRPr="003264DB" w14:paraId="6FE0B1FA" w14:textId="77777777" w:rsidTr="00051ED3">
        <w:trPr>
          <w:cantSplit/>
        </w:trPr>
        <w:tc>
          <w:tcPr>
            <w:tcW w:w="2693" w:type="dxa"/>
          </w:tcPr>
          <w:p w14:paraId="685EF7F5" w14:textId="77777777" w:rsidR="00686804" w:rsidRPr="003264DB" w:rsidRDefault="00686804" w:rsidP="00DA29A5">
            <w:pPr>
              <w:pStyle w:val="TAC"/>
            </w:pPr>
            <w:r w:rsidRPr="003264DB">
              <w:rPr>
                <w:lang w:eastAsia="zh-CN"/>
              </w:rPr>
              <w:t>DIFFRSTD</w:t>
            </w:r>
            <w:r w:rsidRPr="003264DB">
              <w:t>_0000</w:t>
            </w:r>
          </w:p>
        </w:tc>
        <w:tc>
          <w:tcPr>
            <w:tcW w:w="2512" w:type="dxa"/>
          </w:tcPr>
          <w:p w14:paraId="1E5B616D" w14:textId="77777777" w:rsidR="00686804" w:rsidRPr="003264DB" w:rsidRDefault="00686804" w:rsidP="00DA29A5">
            <w:pPr>
              <w:pStyle w:val="TAC"/>
            </w:pPr>
            <w:r w:rsidRPr="003264DB">
              <w:rPr>
                <w:lang w:eastAsia="zh-CN"/>
              </w:rPr>
              <w:t xml:space="preserve">0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2</w:t>
            </w:r>
          </w:p>
        </w:tc>
        <w:tc>
          <w:tcPr>
            <w:tcW w:w="567" w:type="dxa"/>
          </w:tcPr>
          <w:p w14:paraId="32B549E5" w14:textId="77777777" w:rsidR="00686804" w:rsidRPr="003264DB" w:rsidRDefault="00686804" w:rsidP="002F5786">
            <w:pPr>
              <w:pStyle w:val="TAC"/>
            </w:pPr>
            <w:r w:rsidRPr="003264DB">
              <w:t>T</w:t>
            </w:r>
            <w:r w:rsidRPr="003264DB">
              <w:rPr>
                <w:vertAlign w:val="subscript"/>
              </w:rPr>
              <w:t>c</w:t>
            </w:r>
          </w:p>
        </w:tc>
      </w:tr>
      <w:tr w:rsidR="00686804" w:rsidRPr="003264DB" w14:paraId="4EED1CD3" w14:textId="77777777" w:rsidTr="00051ED3">
        <w:trPr>
          <w:cantSplit/>
        </w:trPr>
        <w:tc>
          <w:tcPr>
            <w:tcW w:w="2693" w:type="dxa"/>
          </w:tcPr>
          <w:p w14:paraId="1A18B138" w14:textId="77777777" w:rsidR="00686804" w:rsidRPr="003264DB" w:rsidRDefault="00686804" w:rsidP="00DA29A5">
            <w:pPr>
              <w:pStyle w:val="TAC"/>
            </w:pPr>
            <w:r w:rsidRPr="003264DB">
              <w:rPr>
                <w:lang w:eastAsia="zh-CN"/>
              </w:rPr>
              <w:t>DIFFRSTD</w:t>
            </w:r>
            <w:r w:rsidRPr="003264DB">
              <w:t>_0001</w:t>
            </w:r>
          </w:p>
        </w:tc>
        <w:tc>
          <w:tcPr>
            <w:tcW w:w="2512" w:type="dxa"/>
          </w:tcPr>
          <w:p w14:paraId="40536C50" w14:textId="77777777" w:rsidR="00686804" w:rsidRPr="003264DB" w:rsidRDefault="00686804" w:rsidP="00DA29A5">
            <w:pPr>
              <w:pStyle w:val="TAC"/>
            </w:pPr>
            <w:r w:rsidRPr="003264DB">
              <w:rPr>
                <w:lang w:eastAsia="zh-CN"/>
              </w:rPr>
              <w:t xml:space="preserve">2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4</w:t>
            </w:r>
          </w:p>
        </w:tc>
        <w:tc>
          <w:tcPr>
            <w:tcW w:w="567" w:type="dxa"/>
          </w:tcPr>
          <w:p w14:paraId="5B6F1107" w14:textId="77777777" w:rsidR="00686804" w:rsidRPr="003264DB" w:rsidRDefault="00686804" w:rsidP="002F5786">
            <w:pPr>
              <w:pStyle w:val="TAC"/>
            </w:pPr>
            <w:r w:rsidRPr="003264DB">
              <w:t>T</w:t>
            </w:r>
            <w:r w:rsidRPr="003264DB">
              <w:rPr>
                <w:vertAlign w:val="subscript"/>
              </w:rPr>
              <w:t>c</w:t>
            </w:r>
          </w:p>
        </w:tc>
      </w:tr>
      <w:tr w:rsidR="00686804" w:rsidRPr="003264DB" w14:paraId="031A7026" w14:textId="77777777" w:rsidTr="00051ED3">
        <w:trPr>
          <w:cantSplit/>
        </w:trPr>
        <w:tc>
          <w:tcPr>
            <w:tcW w:w="2693" w:type="dxa"/>
          </w:tcPr>
          <w:p w14:paraId="797797FA" w14:textId="77777777" w:rsidR="00686804" w:rsidRPr="003264DB" w:rsidRDefault="00686804" w:rsidP="00DA29A5">
            <w:pPr>
              <w:pStyle w:val="TAC"/>
            </w:pPr>
            <w:r w:rsidRPr="003264DB">
              <w:rPr>
                <w:lang w:eastAsia="zh-CN"/>
              </w:rPr>
              <w:t>DIFFRSTD</w:t>
            </w:r>
            <w:r w:rsidRPr="003264DB">
              <w:t>_0002</w:t>
            </w:r>
          </w:p>
        </w:tc>
        <w:tc>
          <w:tcPr>
            <w:tcW w:w="2512" w:type="dxa"/>
          </w:tcPr>
          <w:p w14:paraId="7C0E3D0A" w14:textId="77777777" w:rsidR="00686804" w:rsidRPr="003264DB" w:rsidRDefault="00686804" w:rsidP="00DA29A5">
            <w:pPr>
              <w:pStyle w:val="TAC"/>
            </w:pPr>
            <w:r w:rsidRPr="003264DB">
              <w:rPr>
                <w:lang w:eastAsia="zh-CN"/>
              </w:rPr>
              <w:t xml:space="preserve">4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6</w:t>
            </w:r>
          </w:p>
        </w:tc>
        <w:tc>
          <w:tcPr>
            <w:tcW w:w="567" w:type="dxa"/>
          </w:tcPr>
          <w:p w14:paraId="4948A623" w14:textId="77777777" w:rsidR="00686804" w:rsidRPr="003264DB" w:rsidRDefault="00686804" w:rsidP="00DA29A5">
            <w:pPr>
              <w:pStyle w:val="TAC"/>
            </w:pPr>
            <w:r w:rsidRPr="003264DB">
              <w:t>T</w:t>
            </w:r>
            <w:r w:rsidRPr="003264DB">
              <w:rPr>
                <w:vertAlign w:val="subscript"/>
              </w:rPr>
              <w:t>c</w:t>
            </w:r>
          </w:p>
        </w:tc>
      </w:tr>
      <w:tr w:rsidR="00686804" w:rsidRPr="003264DB" w14:paraId="04C35229" w14:textId="77777777" w:rsidTr="00051ED3">
        <w:trPr>
          <w:cantSplit/>
        </w:trPr>
        <w:tc>
          <w:tcPr>
            <w:tcW w:w="2693" w:type="dxa"/>
          </w:tcPr>
          <w:p w14:paraId="284D16B5" w14:textId="77777777" w:rsidR="00686804" w:rsidRPr="003264DB" w:rsidRDefault="00686804" w:rsidP="00DA29A5">
            <w:pPr>
              <w:pStyle w:val="TAC"/>
            </w:pPr>
            <w:r w:rsidRPr="003264DB">
              <w:sym w:font="Symbol" w:char="F0BC"/>
            </w:r>
          </w:p>
        </w:tc>
        <w:tc>
          <w:tcPr>
            <w:tcW w:w="2512" w:type="dxa"/>
          </w:tcPr>
          <w:p w14:paraId="306CDA60" w14:textId="77777777" w:rsidR="00686804" w:rsidRPr="003264DB" w:rsidRDefault="00686804" w:rsidP="00DA29A5">
            <w:pPr>
              <w:pStyle w:val="TAC"/>
            </w:pPr>
            <w:r w:rsidRPr="003264DB">
              <w:sym w:font="Symbol" w:char="F0BC"/>
            </w:r>
          </w:p>
        </w:tc>
        <w:tc>
          <w:tcPr>
            <w:tcW w:w="567" w:type="dxa"/>
          </w:tcPr>
          <w:p w14:paraId="5B025D54" w14:textId="77777777" w:rsidR="00686804" w:rsidRPr="003264DB" w:rsidRDefault="00686804" w:rsidP="00DA29A5">
            <w:pPr>
              <w:pStyle w:val="TAC"/>
            </w:pPr>
            <w:r w:rsidRPr="003264DB">
              <w:t>…</w:t>
            </w:r>
          </w:p>
        </w:tc>
      </w:tr>
      <w:tr w:rsidR="00686804" w:rsidRPr="003264DB" w14:paraId="02A03622"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4339EEC" w14:textId="77777777" w:rsidR="00686804" w:rsidRPr="003264DB" w:rsidRDefault="00686804" w:rsidP="00DA29A5">
            <w:pPr>
              <w:pStyle w:val="TAC"/>
            </w:pPr>
            <w:r w:rsidRPr="003264DB">
              <w:rPr>
                <w:lang w:eastAsia="zh-CN"/>
              </w:rPr>
              <w:t>DIFFRSTD_4093</w:t>
            </w:r>
          </w:p>
        </w:tc>
        <w:tc>
          <w:tcPr>
            <w:tcW w:w="2512" w:type="dxa"/>
            <w:tcBorders>
              <w:top w:val="single" w:sz="4" w:space="0" w:color="auto"/>
              <w:left w:val="single" w:sz="4" w:space="0" w:color="auto"/>
              <w:bottom w:val="single" w:sz="4" w:space="0" w:color="auto"/>
              <w:right w:val="single" w:sz="4" w:space="0" w:color="auto"/>
            </w:tcBorders>
          </w:tcPr>
          <w:p w14:paraId="5B64AE22" w14:textId="77777777" w:rsidR="00686804" w:rsidRPr="003264DB" w:rsidRDefault="00686804" w:rsidP="00DA29A5">
            <w:pPr>
              <w:pStyle w:val="TAC"/>
            </w:pPr>
            <w:r w:rsidRPr="003264DB">
              <w:rPr>
                <w:lang w:eastAsia="zh-CN"/>
              </w:rPr>
              <w:t xml:space="preserve">8186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8188</w:t>
            </w:r>
          </w:p>
        </w:tc>
        <w:tc>
          <w:tcPr>
            <w:tcW w:w="567" w:type="dxa"/>
            <w:tcBorders>
              <w:top w:val="single" w:sz="4" w:space="0" w:color="auto"/>
              <w:left w:val="single" w:sz="4" w:space="0" w:color="auto"/>
              <w:bottom w:val="single" w:sz="4" w:space="0" w:color="auto"/>
              <w:right w:val="single" w:sz="4" w:space="0" w:color="auto"/>
            </w:tcBorders>
          </w:tcPr>
          <w:p w14:paraId="4079257E" w14:textId="77777777" w:rsidR="00686804" w:rsidRPr="003264DB" w:rsidRDefault="00686804" w:rsidP="002F5786">
            <w:pPr>
              <w:pStyle w:val="TAC"/>
            </w:pPr>
            <w:r w:rsidRPr="003264DB">
              <w:t>T</w:t>
            </w:r>
            <w:r w:rsidRPr="003264DB">
              <w:rPr>
                <w:vertAlign w:val="subscript"/>
              </w:rPr>
              <w:t>c</w:t>
            </w:r>
          </w:p>
        </w:tc>
      </w:tr>
      <w:tr w:rsidR="00686804" w:rsidRPr="003264DB" w14:paraId="1E693609"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7496448" w14:textId="77777777" w:rsidR="00686804" w:rsidRPr="003264DB" w:rsidRDefault="00686804" w:rsidP="00DA29A5">
            <w:pPr>
              <w:pStyle w:val="TAC"/>
            </w:pPr>
            <w:r w:rsidRPr="003264DB">
              <w:rPr>
                <w:lang w:eastAsia="zh-CN"/>
              </w:rPr>
              <w:t>DIFFRSTD_4094</w:t>
            </w:r>
          </w:p>
        </w:tc>
        <w:tc>
          <w:tcPr>
            <w:tcW w:w="2512" w:type="dxa"/>
            <w:tcBorders>
              <w:top w:val="single" w:sz="4" w:space="0" w:color="auto"/>
              <w:left w:val="single" w:sz="4" w:space="0" w:color="auto"/>
              <w:bottom w:val="single" w:sz="4" w:space="0" w:color="auto"/>
              <w:right w:val="single" w:sz="4" w:space="0" w:color="auto"/>
            </w:tcBorders>
          </w:tcPr>
          <w:p w14:paraId="35990543" w14:textId="77777777" w:rsidR="00686804" w:rsidRPr="003264DB" w:rsidRDefault="00686804" w:rsidP="00DA29A5">
            <w:pPr>
              <w:pStyle w:val="TAC"/>
            </w:pPr>
            <w:r w:rsidRPr="003264DB">
              <w:rPr>
                <w:lang w:eastAsia="zh-CN"/>
              </w:rPr>
              <w:t xml:space="preserve">8188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w:t>
            </w:r>
            <w:r>
              <w:rPr>
                <w:lang w:eastAsia="zh-CN"/>
              </w:rPr>
              <w:t>8190</w:t>
            </w:r>
          </w:p>
        </w:tc>
        <w:tc>
          <w:tcPr>
            <w:tcW w:w="567" w:type="dxa"/>
            <w:tcBorders>
              <w:top w:val="single" w:sz="4" w:space="0" w:color="auto"/>
              <w:left w:val="single" w:sz="4" w:space="0" w:color="auto"/>
              <w:bottom w:val="single" w:sz="4" w:space="0" w:color="auto"/>
              <w:right w:val="single" w:sz="4" w:space="0" w:color="auto"/>
            </w:tcBorders>
          </w:tcPr>
          <w:p w14:paraId="4A6BA36C" w14:textId="77777777" w:rsidR="00686804" w:rsidRPr="003264DB" w:rsidRDefault="00686804" w:rsidP="002F5786">
            <w:pPr>
              <w:pStyle w:val="TAC"/>
            </w:pPr>
            <w:r w:rsidRPr="003264DB">
              <w:t>T</w:t>
            </w:r>
            <w:r w:rsidRPr="003264DB">
              <w:rPr>
                <w:vertAlign w:val="subscript"/>
              </w:rPr>
              <w:t>c</w:t>
            </w:r>
          </w:p>
        </w:tc>
      </w:tr>
      <w:tr w:rsidR="00686804" w:rsidRPr="003264DB" w14:paraId="28B887C4"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54ABBE7" w14:textId="77777777" w:rsidR="00686804" w:rsidRPr="003264DB" w:rsidRDefault="00686804" w:rsidP="00DA29A5">
            <w:pPr>
              <w:pStyle w:val="TAC"/>
            </w:pPr>
            <w:r w:rsidRPr="003264DB">
              <w:rPr>
                <w:lang w:eastAsia="zh-CN"/>
              </w:rPr>
              <w:t>DIFFRSTD_4095</w:t>
            </w:r>
          </w:p>
        </w:tc>
        <w:tc>
          <w:tcPr>
            <w:tcW w:w="2512" w:type="dxa"/>
            <w:tcBorders>
              <w:top w:val="single" w:sz="4" w:space="0" w:color="auto"/>
              <w:left w:val="single" w:sz="4" w:space="0" w:color="auto"/>
              <w:bottom w:val="single" w:sz="4" w:space="0" w:color="auto"/>
              <w:right w:val="single" w:sz="4" w:space="0" w:color="auto"/>
            </w:tcBorders>
          </w:tcPr>
          <w:p w14:paraId="5F177571" w14:textId="77777777" w:rsidR="00686804" w:rsidRPr="003264DB" w:rsidRDefault="00686804" w:rsidP="00DA29A5">
            <w:pPr>
              <w:pStyle w:val="TAC"/>
            </w:pPr>
            <w:r>
              <w:rPr>
                <w:lang w:eastAsia="zh-CN"/>
              </w:rPr>
              <w:t>8190</w:t>
            </w:r>
            <w:r w:rsidRPr="003264DB">
              <w:rPr>
                <w:lang w:eastAsia="zh-CN"/>
              </w:rPr>
              <w:t xml:space="preserve"> </w:t>
            </w:r>
            <w:r w:rsidRPr="003264DB">
              <w:sym w:font="Symbol" w:char="F0A3"/>
            </w:r>
            <w:r w:rsidRPr="003264DB">
              <w:rPr>
                <w:lang w:eastAsia="zh-CN"/>
              </w:rPr>
              <w:t xml:space="preserve"> </w:t>
            </w:r>
            <w:r w:rsidRPr="003264DB">
              <w:rPr>
                <w:lang w:eastAsia="zh-CN"/>
              </w:rPr>
              <w:sym w:font="Symbol" w:char="F044"/>
            </w:r>
            <w:r w:rsidRPr="003264DB">
              <w:rPr>
                <w:lang w:eastAsia="zh-CN"/>
              </w:rPr>
              <w:t>RSTD</w:t>
            </w:r>
          </w:p>
        </w:tc>
        <w:tc>
          <w:tcPr>
            <w:tcW w:w="567" w:type="dxa"/>
            <w:tcBorders>
              <w:top w:val="single" w:sz="4" w:space="0" w:color="auto"/>
              <w:left w:val="single" w:sz="4" w:space="0" w:color="auto"/>
              <w:bottom w:val="single" w:sz="4" w:space="0" w:color="auto"/>
              <w:right w:val="single" w:sz="4" w:space="0" w:color="auto"/>
            </w:tcBorders>
          </w:tcPr>
          <w:p w14:paraId="220158CD" w14:textId="77777777" w:rsidR="00686804" w:rsidRPr="003264DB" w:rsidRDefault="00686804" w:rsidP="002F5786">
            <w:pPr>
              <w:pStyle w:val="TAC"/>
            </w:pPr>
            <w:r w:rsidRPr="003264DB">
              <w:t>T</w:t>
            </w:r>
            <w:r w:rsidRPr="003264DB">
              <w:rPr>
                <w:vertAlign w:val="subscript"/>
              </w:rPr>
              <w:t>c</w:t>
            </w:r>
          </w:p>
        </w:tc>
      </w:tr>
    </w:tbl>
    <w:p w14:paraId="4A3D3522" w14:textId="77777777" w:rsidR="00686804" w:rsidRPr="003264DB" w:rsidRDefault="00686804" w:rsidP="00686804">
      <w:pPr>
        <w:jc w:val="both"/>
        <w:rPr>
          <w:sz w:val="22"/>
          <w:szCs w:val="22"/>
          <w:lang w:eastAsia="x-none"/>
        </w:rPr>
      </w:pPr>
    </w:p>
    <w:p w14:paraId="292C2568" w14:textId="77777777" w:rsidR="00686804" w:rsidRPr="003264DB" w:rsidRDefault="00686804" w:rsidP="002F5786">
      <w:pPr>
        <w:pStyle w:val="TH"/>
        <w:rPr>
          <w:rFonts w:cs="Arial"/>
          <w:lang w:val="en-US" w:eastAsia="ja-JP"/>
        </w:rPr>
      </w:pPr>
      <w:r w:rsidRPr="003264DB">
        <w:t xml:space="preserve">Table 10.1.23.3.2-3: Report mapping for </w:t>
      </w:r>
      <w:r w:rsidRPr="003264DB">
        <w:rPr>
          <w:i/>
          <w:iCs/>
        </w:rPr>
        <w:t>k</w:t>
      </w:r>
      <w:r w:rsidRPr="003264DB">
        <w:t>=2</w:t>
      </w:r>
    </w:p>
    <w:tbl>
      <w:tblPr>
        <w:tblW w:w="5772"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512"/>
        <w:gridCol w:w="567"/>
      </w:tblGrid>
      <w:tr w:rsidR="00686804" w:rsidRPr="003264DB" w14:paraId="23AD3E96" w14:textId="77777777" w:rsidTr="00051ED3">
        <w:trPr>
          <w:cantSplit/>
          <w:trHeight w:val="126"/>
        </w:trPr>
        <w:tc>
          <w:tcPr>
            <w:tcW w:w="2693" w:type="dxa"/>
            <w:vAlign w:val="center"/>
          </w:tcPr>
          <w:p w14:paraId="1DA3C845" w14:textId="77777777" w:rsidR="00686804" w:rsidRPr="003264DB" w:rsidRDefault="00686804" w:rsidP="00DA29A5">
            <w:pPr>
              <w:pStyle w:val="TAH"/>
            </w:pPr>
            <w:r w:rsidRPr="003264DB">
              <w:t>Reported Quantity Value,</w:t>
            </w:r>
          </w:p>
          <w:p w14:paraId="2F46CF77" w14:textId="77777777" w:rsidR="00686804" w:rsidRPr="003264DB" w:rsidRDefault="00686804" w:rsidP="00DA29A5">
            <w:pPr>
              <w:pStyle w:val="TAH"/>
            </w:pPr>
            <w:r w:rsidRPr="003264DB">
              <w:t>DIFFRSTD_i</w:t>
            </w:r>
          </w:p>
        </w:tc>
        <w:tc>
          <w:tcPr>
            <w:tcW w:w="2512" w:type="dxa"/>
            <w:vAlign w:val="center"/>
          </w:tcPr>
          <w:p w14:paraId="4A91DE3F" w14:textId="77777777" w:rsidR="00686804" w:rsidRPr="003264DB" w:rsidRDefault="00686804" w:rsidP="00DA29A5">
            <w:pPr>
              <w:pStyle w:val="TAH"/>
            </w:pPr>
            <w:r w:rsidRPr="003264DB">
              <w:sym w:font="Symbol" w:char="F044"/>
            </w:r>
            <w:r w:rsidRPr="003264DB">
              <w:t xml:space="preserve">RSTD = RSTD1 </w:t>
            </w:r>
            <w:r w:rsidRPr="003264DB">
              <w:rPr>
                <w:bCs/>
              </w:rPr>
              <w:sym w:font="Symbol" w:char="F02D"/>
            </w:r>
            <w:r w:rsidRPr="003264DB">
              <w:t xml:space="preserve"> RSTD2</w:t>
            </w:r>
          </w:p>
        </w:tc>
        <w:tc>
          <w:tcPr>
            <w:tcW w:w="567" w:type="dxa"/>
            <w:vAlign w:val="center"/>
          </w:tcPr>
          <w:p w14:paraId="590804CE" w14:textId="77777777" w:rsidR="00686804" w:rsidRPr="003264DB" w:rsidRDefault="00686804" w:rsidP="00DA29A5">
            <w:pPr>
              <w:pStyle w:val="TAH"/>
            </w:pPr>
            <w:r w:rsidRPr="003264DB">
              <w:t>Unit</w:t>
            </w:r>
          </w:p>
        </w:tc>
      </w:tr>
      <w:tr w:rsidR="00686804" w:rsidRPr="003264DB" w14:paraId="41F87420" w14:textId="77777777" w:rsidTr="00051ED3">
        <w:trPr>
          <w:cantSplit/>
        </w:trPr>
        <w:tc>
          <w:tcPr>
            <w:tcW w:w="2693" w:type="dxa"/>
          </w:tcPr>
          <w:p w14:paraId="4846BB9C" w14:textId="77777777" w:rsidR="00686804" w:rsidRPr="003264DB" w:rsidRDefault="00686804" w:rsidP="00DA29A5">
            <w:pPr>
              <w:pStyle w:val="TAC"/>
            </w:pPr>
            <w:r w:rsidRPr="003264DB">
              <w:rPr>
                <w:lang w:eastAsia="zh-CN"/>
              </w:rPr>
              <w:t>DIFFRSTD</w:t>
            </w:r>
            <w:r w:rsidRPr="003264DB">
              <w:t>_0000</w:t>
            </w:r>
          </w:p>
        </w:tc>
        <w:tc>
          <w:tcPr>
            <w:tcW w:w="2512" w:type="dxa"/>
          </w:tcPr>
          <w:p w14:paraId="5C983593" w14:textId="77777777" w:rsidR="00686804" w:rsidRPr="003264DB" w:rsidRDefault="00686804" w:rsidP="00DA29A5">
            <w:pPr>
              <w:pStyle w:val="TAC"/>
            </w:pPr>
            <w:r w:rsidRPr="003264DB">
              <w:rPr>
                <w:lang w:eastAsia="zh-CN"/>
              </w:rPr>
              <w:t xml:space="preserve">0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4</w:t>
            </w:r>
          </w:p>
        </w:tc>
        <w:tc>
          <w:tcPr>
            <w:tcW w:w="567" w:type="dxa"/>
          </w:tcPr>
          <w:p w14:paraId="564C2370" w14:textId="77777777" w:rsidR="00686804" w:rsidRPr="003264DB" w:rsidRDefault="00686804" w:rsidP="002F5786">
            <w:pPr>
              <w:pStyle w:val="TAC"/>
            </w:pPr>
            <w:r w:rsidRPr="003264DB">
              <w:t>T</w:t>
            </w:r>
            <w:r w:rsidRPr="003264DB">
              <w:rPr>
                <w:vertAlign w:val="subscript"/>
              </w:rPr>
              <w:t>c</w:t>
            </w:r>
          </w:p>
        </w:tc>
      </w:tr>
      <w:tr w:rsidR="00686804" w:rsidRPr="003264DB" w14:paraId="35855EE8" w14:textId="77777777" w:rsidTr="00051ED3">
        <w:trPr>
          <w:cantSplit/>
        </w:trPr>
        <w:tc>
          <w:tcPr>
            <w:tcW w:w="2693" w:type="dxa"/>
          </w:tcPr>
          <w:p w14:paraId="738BD3CD" w14:textId="77777777" w:rsidR="00686804" w:rsidRPr="003264DB" w:rsidRDefault="00686804" w:rsidP="00DA29A5">
            <w:pPr>
              <w:pStyle w:val="TAC"/>
            </w:pPr>
            <w:r w:rsidRPr="003264DB">
              <w:rPr>
                <w:lang w:eastAsia="zh-CN"/>
              </w:rPr>
              <w:t>DIFFRSTD</w:t>
            </w:r>
            <w:r w:rsidRPr="003264DB">
              <w:t>_0001</w:t>
            </w:r>
          </w:p>
        </w:tc>
        <w:tc>
          <w:tcPr>
            <w:tcW w:w="2512" w:type="dxa"/>
          </w:tcPr>
          <w:p w14:paraId="56495A0E" w14:textId="77777777" w:rsidR="00686804" w:rsidRPr="003264DB" w:rsidRDefault="00686804" w:rsidP="00DA29A5">
            <w:pPr>
              <w:pStyle w:val="TAC"/>
            </w:pPr>
            <w:r w:rsidRPr="003264DB">
              <w:rPr>
                <w:lang w:eastAsia="zh-CN"/>
              </w:rPr>
              <w:t xml:space="preserve">4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8</w:t>
            </w:r>
          </w:p>
        </w:tc>
        <w:tc>
          <w:tcPr>
            <w:tcW w:w="567" w:type="dxa"/>
          </w:tcPr>
          <w:p w14:paraId="5710AB38" w14:textId="77777777" w:rsidR="00686804" w:rsidRPr="003264DB" w:rsidRDefault="00686804" w:rsidP="002F5786">
            <w:pPr>
              <w:pStyle w:val="TAC"/>
            </w:pPr>
            <w:r w:rsidRPr="003264DB">
              <w:t>T</w:t>
            </w:r>
            <w:r w:rsidRPr="003264DB">
              <w:rPr>
                <w:vertAlign w:val="subscript"/>
              </w:rPr>
              <w:t>c</w:t>
            </w:r>
          </w:p>
        </w:tc>
      </w:tr>
      <w:tr w:rsidR="00686804" w:rsidRPr="003264DB" w14:paraId="3886A48E" w14:textId="77777777" w:rsidTr="00051ED3">
        <w:trPr>
          <w:cantSplit/>
        </w:trPr>
        <w:tc>
          <w:tcPr>
            <w:tcW w:w="2693" w:type="dxa"/>
          </w:tcPr>
          <w:p w14:paraId="5896C2C5" w14:textId="77777777" w:rsidR="00686804" w:rsidRPr="003264DB" w:rsidRDefault="00686804" w:rsidP="00DA29A5">
            <w:pPr>
              <w:pStyle w:val="TAC"/>
            </w:pPr>
            <w:r w:rsidRPr="003264DB">
              <w:rPr>
                <w:lang w:eastAsia="zh-CN"/>
              </w:rPr>
              <w:t>DIFFRSTD</w:t>
            </w:r>
            <w:r w:rsidRPr="003264DB">
              <w:t>_0002</w:t>
            </w:r>
          </w:p>
        </w:tc>
        <w:tc>
          <w:tcPr>
            <w:tcW w:w="2512" w:type="dxa"/>
          </w:tcPr>
          <w:p w14:paraId="2ABAED43" w14:textId="77777777" w:rsidR="00686804" w:rsidRPr="003264DB" w:rsidRDefault="00686804" w:rsidP="00DA29A5">
            <w:pPr>
              <w:pStyle w:val="TAC"/>
            </w:pPr>
            <w:r w:rsidRPr="003264DB">
              <w:rPr>
                <w:lang w:eastAsia="zh-CN"/>
              </w:rPr>
              <w:t xml:space="preserve">8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12</w:t>
            </w:r>
          </w:p>
        </w:tc>
        <w:tc>
          <w:tcPr>
            <w:tcW w:w="567" w:type="dxa"/>
          </w:tcPr>
          <w:p w14:paraId="602CFA2E" w14:textId="77777777" w:rsidR="00686804" w:rsidRPr="003264DB" w:rsidRDefault="00686804" w:rsidP="00DA29A5">
            <w:pPr>
              <w:pStyle w:val="TAC"/>
            </w:pPr>
            <w:r w:rsidRPr="003264DB">
              <w:t>T</w:t>
            </w:r>
            <w:r w:rsidRPr="003264DB">
              <w:rPr>
                <w:vertAlign w:val="subscript"/>
              </w:rPr>
              <w:t>c</w:t>
            </w:r>
          </w:p>
        </w:tc>
      </w:tr>
      <w:tr w:rsidR="00686804" w:rsidRPr="003264DB" w14:paraId="6439AC55" w14:textId="77777777" w:rsidTr="00051ED3">
        <w:trPr>
          <w:cantSplit/>
        </w:trPr>
        <w:tc>
          <w:tcPr>
            <w:tcW w:w="2693" w:type="dxa"/>
          </w:tcPr>
          <w:p w14:paraId="2063C05E" w14:textId="77777777" w:rsidR="00686804" w:rsidRPr="003264DB" w:rsidRDefault="00686804" w:rsidP="00DA29A5">
            <w:pPr>
              <w:pStyle w:val="TAC"/>
            </w:pPr>
            <w:r w:rsidRPr="003264DB">
              <w:sym w:font="Symbol" w:char="F0BC"/>
            </w:r>
          </w:p>
        </w:tc>
        <w:tc>
          <w:tcPr>
            <w:tcW w:w="2512" w:type="dxa"/>
          </w:tcPr>
          <w:p w14:paraId="2DD79564" w14:textId="77777777" w:rsidR="00686804" w:rsidRPr="003264DB" w:rsidRDefault="00686804" w:rsidP="00DA29A5">
            <w:pPr>
              <w:pStyle w:val="TAC"/>
            </w:pPr>
            <w:r w:rsidRPr="003264DB">
              <w:sym w:font="Symbol" w:char="F0BC"/>
            </w:r>
          </w:p>
        </w:tc>
        <w:tc>
          <w:tcPr>
            <w:tcW w:w="567" w:type="dxa"/>
          </w:tcPr>
          <w:p w14:paraId="428ADC7E" w14:textId="77777777" w:rsidR="00686804" w:rsidRPr="003264DB" w:rsidRDefault="00686804" w:rsidP="00DA29A5">
            <w:pPr>
              <w:pStyle w:val="TAC"/>
            </w:pPr>
            <w:r w:rsidRPr="003264DB">
              <w:t>…</w:t>
            </w:r>
          </w:p>
        </w:tc>
      </w:tr>
      <w:tr w:rsidR="00686804" w:rsidRPr="003264DB" w14:paraId="418B511F"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3951B90" w14:textId="77777777" w:rsidR="00686804" w:rsidRPr="003264DB" w:rsidRDefault="00686804" w:rsidP="00DA29A5">
            <w:pPr>
              <w:pStyle w:val="TAC"/>
            </w:pPr>
            <w:r w:rsidRPr="003264DB">
              <w:rPr>
                <w:lang w:eastAsia="zh-CN"/>
              </w:rPr>
              <w:t>DIFFRSTD_2045</w:t>
            </w:r>
          </w:p>
        </w:tc>
        <w:tc>
          <w:tcPr>
            <w:tcW w:w="2512" w:type="dxa"/>
            <w:tcBorders>
              <w:top w:val="single" w:sz="4" w:space="0" w:color="auto"/>
              <w:left w:val="single" w:sz="4" w:space="0" w:color="auto"/>
              <w:bottom w:val="single" w:sz="4" w:space="0" w:color="auto"/>
              <w:right w:val="single" w:sz="4" w:space="0" w:color="auto"/>
            </w:tcBorders>
          </w:tcPr>
          <w:p w14:paraId="5A4F1F41" w14:textId="77777777" w:rsidR="00686804" w:rsidRPr="003264DB" w:rsidRDefault="00686804" w:rsidP="00DA29A5">
            <w:pPr>
              <w:pStyle w:val="TAC"/>
            </w:pPr>
            <w:r w:rsidRPr="003264DB">
              <w:rPr>
                <w:lang w:eastAsia="zh-CN"/>
              </w:rPr>
              <w:t xml:space="preserve">8180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8184</w:t>
            </w:r>
          </w:p>
        </w:tc>
        <w:tc>
          <w:tcPr>
            <w:tcW w:w="567" w:type="dxa"/>
            <w:tcBorders>
              <w:top w:val="single" w:sz="4" w:space="0" w:color="auto"/>
              <w:left w:val="single" w:sz="4" w:space="0" w:color="auto"/>
              <w:bottom w:val="single" w:sz="4" w:space="0" w:color="auto"/>
              <w:right w:val="single" w:sz="4" w:space="0" w:color="auto"/>
            </w:tcBorders>
          </w:tcPr>
          <w:p w14:paraId="286EE671" w14:textId="77777777" w:rsidR="00686804" w:rsidRPr="003264DB" w:rsidRDefault="00686804" w:rsidP="002F5786">
            <w:pPr>
              <w:pStyle w:val="TAC"/>
            </w:pPr>
            <w:r w:rsidRPr="003264DB">
              <w:t>T</w:t>
            </w:r>
            <w:r w:rsidRPr="003264DB">
              <w:rPr>
                <w:vertAlign w:val="subscript"/>
              </w:rPr>
              <w:t>c</w:t>
            </w:r>
          </w:p>
        </w:tc>
      </w:tr>
      <w:tr w:rsidR="00686804" w:rsidRPr="003264DB" w14:paraId="632B336D"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8B3E476" w14:textId="77777777" w:rsidR="00686804" w:rsidRPr="003264DB" w:rsidRDefault="00686804" w:rsidP="00DA29A5">
            <w:pPr>
              <w:pStyle w:val="TAC"/>
              <w:rPr>
                <w:lang w:val="en-US"/>
              </w:rPr>
            </w:pPr>
            <w:r w:rsidRPr="003264DB">
              <w:rPr>
                <w:lang w:eastAsia="zh-CN"/>
              </w:rPr>
              <w:t>DIFFRSTD_2046</w:t>
            </w:r>
          </w:p>
        </w:tc>
        <w:tc>
          <w:tcPr>
            <w:tcW w:w="2512" w:type="dxa"/>
            <w:tcBorders>
              <w:top w:val="single" w:sz="4" w:space="0" w:color="auto"/>
              <w:left w:val="single" w:sz="4" w:space="0" w:color="auto"/>
              <w:bottom w:val="single" w:sz="4" w:space="0" w:color="auto"/>
              <w:right w:val="single" w:sz="4" w:space="0" w:color="auto"/>
            </w:tcBorders>
          </w:tcPr>
          <w:p w14:paraId="4850404F" w14:textId="77777777" w:rsidR="00686804" w:rsidRPr="003264DB" w:rsidRDefault="00686804" w:rsidP="00DA29A5">
            <w:pPr>
              <w:pStyle w:val="TAC"/>
            </w:pPr>
            <w:r w:rsidRPr="003264DB">
              <w:rPr>
                <w:lang w:eastAsia="zh-CN"/>
              </w:rPr>
              <w:t xml:space="preserve">8184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w:t>
            </w:r>
            <w:r>
              <w:rPr>
                <w:lang w:eastAsia="zh-CN"/>
              </w:rPr>
              <w:t>8188</w:t>
            </w:r>
          </w:p>
        </w:tc>
        <w:tc>
          <w:tcPr>
            <w:tcW w:w="567" w:type="dxa"/>
            <w:tcBorders>
              <w:top w:val="single" w:sz="4" w:space="0" w:color="auto"/>
              <w:left w:val="single" w:sz="4" w:space="0" w:color="auto"/>
              <w:bottom w:val="single" w:sz="4" w:space="0" w:color="auto"/>
              <w:right w:val="single" w:sz="4" w:space="0" w:color="auto"/>
            </w:tcBorders>
          </w:tcPr>
          <w:p w14:paraId="49BFEE71" w14:textId="77777777" w:rsidR="00686804" w:rsidRPr="003264DB" w:rsidRDefault="00686804" w:rsidP="002F5786">
            <w:pPr>
              <w:pStyle w:val="TAC"/>
            </w:pPr>
            <w:r w:rsidRPr="003264DB">
              <w:t>T</w:t>
            </w:r>
            <w:r w:rsidRPr="003264DB">
              <w:rPr>
                <w:vertAlign w:val="subscript"/>
              </w:rPr>
              <w:t>c</w:t>
            </w:r>
          </w:p>
        </w:tc>
      </w:tr>
      <w:tr w:rsidR="00686804" w:rsidRPr="003264DB" w14:paraId="354FAB62"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B60B64A" w14:textId="77777777" w:rsidR="00686804" w:rsidRPr="003264DB" w:rsidRDefault="00686804" w:rsidP="00DA29A5">
            <w:pPr>
              <w:pStyle w:val="TAC"/>
            </w:pPr>
            <w:r w:rsidRPr="003264DB">
              <w:rPr>
                <w:lang w:eastAsia="zh-CN"/>
              </w:rPr>
              <w:t>DIFFRSTD_2047</w:t>
            </w:r>
          </w:p>
        </w:tc>
        <w:tc>
          <w:tcPr>
            <w:tcW w:w="2512" w:type="dxa"/>
            <w:tcBorders>
              <w:top w:val="single" w:sz="4" w:space="0" w:color="auto"/>
              <w:left w:val="single" w:sz="4" w:space="0" w:color="auto"/>
              <w:bottom w:val="single" w:sz="4" w:space="0" w:color="auto"/>
              <w:right w:val="single" w:sz="4" w:space="0" w:color="auto"/>
            </w:tcBorders>
          </w:tcPr>
          <w:p w14:paraId="183DF89F" w14:textId="77777777" w:rsidR="00686804" w:rsidRPr="003264DB" w:rsidRDefault="00686804" w:rsidP="00DA29A5">
            <w:pPr>
              <w:pStyle w:val="TAC"/>
            </w:pPr>
            <w:r>
              <w:rPr>
                <w:lang w:eastAsia="zh-CN"/>
              </w:rPr>
              <w:t>8188</w:t>
            </w:r>
            <w:r w:rsidRPr="003264DB">
              <w:rPr>
                <w:lang w:eastAsia="zh-CN"/>
              </w:rPr>
              <w:t xml:space="preserve"> </w:t>
            </w:r>
            <w:r w:rsidRPr="003264DB">
              <w:sym w:font="Symbol" w:char="F0A3"/>
            </w:r>
            <w:r w:rsidRPr="003264DB">
              <w:rPr>
                <w:lang w:eastAsia="zh-CN"/>
              </w:rPr>
              <w:t xml:space="preserve"> </w:t>
            </w:r>
            <w:r w:rsidRPr="003264DB">
              <w:rPr>
                <w:lang w:eastAsia="zh-CN"/>
              </w:rPr>
              <w:sym w:font="Symbol" w:char="F044"/>
            </w:r>
            <w:r w:rsidRPr="003264DB">
              <w:rPr>
                <w:lang w:eastAsia="zh-CN"/>
              </w:rPr>
              <w:t>RSTD</w:t>
            </w:r>
          </w:p>
        </w:tc>
        <w:tc>
          <w:tcPr>
            <w:tcW w:w="567" w:type="dxa"/>
            <w:tcBorders>
              <w:top w:val="single" w:sz="4" w:space="0" w:color="auto"/>
              <w:left w:val="single" w:sz="4" w:space="0" w:color="auto"/>
              <w:bottom w:val="single" w:sz="4" w:space="0" w:color="auto"/>
              <w:right w:val="single" w:sz="4" w:space="0" w:color="auto"/>
            </w:tcBorders>
          </w:tcPr>
          <w:p w14:paraId="1C77A708" w14:textId="77777777" w:rsidR="00686804" w:rsidRPr="003264DB" w:rsidRDefault="00686804" w:rsidP="002F5786">
            <w:pPr>
              <w:pStyle w:val="TAC"/>
            </w:pPr>
            <w:r w:rsidRPr="003264DB">
              <w:t>T</w:t>
            </w:r>
            <w:r w:rsidRPr="003264DB">
              <w:rPr>
                <w:vertAlign w:val="subscript"/>
              </w:rPr>
              <w:t>c</w:t>
            </w:r>
          </w:p>
        </w:tc>
      </w:tr>
    </w:tbl>
    <w:p w14:paraId="4C6EA166" w14:textId="77777777" w:rsidR="00686804" w:rsidRPr="003264DB" w:rsidRDefault="00686804" w:rsidP="00686804">
      <w:pPr>
        <w:jc w:val="both"/>
        <w:rPr>
          <w:sz w:val="22"/>
          <w:szCs w:val="22"/>
          <w:lang w:eastAsia="x-none"/>
        </w:rPr>
      </w:pPr>
    </w:p>
    <w:p w14:paraId="4B3294E1" w14:textId="77777777" w:rsidR="00686804" w:rsidRPr="003264DB" w:rsidRDefault="00686804" w:rsidP="002F5786">
      <w:pPr>
        <w:pStyle w:val="TH"/>
        <w:rPr>
          <w:rFonts w:cs="Arial"/>
          <w:lang w:val="en-US" w:eastAsia="ja-JP"/>
        </w:rPr>
      </w:pPr>
      <w:r w:rsidRPr="003264DB">
        <w:t xml:space="preserve">Table 10.1.23.3.2-4: Report mapping for </w:t>
      </w:r>
      <w:r w:rsidRPr="003264DB">
        <w:rPr>
          <w:i/>
          <w:iCs/>
        </w:rPr>
        <w:t>k</w:t>
      </w:r>
      <w:r w:rsidRPr="003264DB">
        <w:t>=3</w:t>
      </w:r>
    </w:p>
    <w:tbl>
      <w:tblPr>
        <w:tblW w:w="5772"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512"/>
        <w:gridCol w:w="567"/>
      </w:tblGrid>
      <w:tr w:rsidR="00686804" w:rsidRPr="003264DB" w14:paraId="452090B1" w14:textId="77777777" w:rsidTr="00051ED3">
        <w:trPr>
          <w:cantSplit/>
          <w:trHeight w:val="61"/>
        </w:trPr>
        <w:tc>
          <w:tcPr>
            <w:tcW w:w="2693" w:type="dxa"/>
            <w:vAlign w:val="center"/>
          </w:tcPr>
          <w:p w14:paraId="6E8658DF" w14:textId="77777777" w:rsidR="00686804" w:rsidRPr="003264DB" w:rsidRDefault="00686804" w:rsidP="00DA29A5">
            <w:pPr>
              <w:pStyle w:val="TAH"/>
            </w:pPr>
            <w:r w:rsidRPr="003264DB">
              <w:t>Reported Quantity Value,</w:t>
            </w:r>
          </w:p>
          <w:p w14:paraId="330C5AC0" w14:textId="77777777" w:rsidR="00686804" w:rsidRPr="003264DB" w:rsidRDefault="00686804" w:rsidP="00DA29A5">
            <w:pPr>
              <w:pStyle w:val="TAH"/>
            </w:pPr>
            <w:r w:rsidRPr="003264DB">
              <w:t>DIFFRSTD_i</w:t>
            </w:r>
          </w:p>
        </w:tc>
        <w:tc>
          <w:tcPr>
            <w:tcW w:w="2512" w:type="dxa"/>
            <w:vAlign w:val="center"/>
          </w:tcPr>
          <w:p w14:paraId="7C02356A" w14:textId="77777777" w:rsidR="00686804" w:rsidRPr="003264DB" w:rsidRDefault="00686804" w:rsidP="00DA29A5">
            <w:pPr>
              <w:pStyle w:val="TAH"/>
            </w:pPr>
            <w:r w:rsidRPr="003264DB">
              <w:sym w:font="Symbol" w:char="F044"/>
            </w:r>
            <w:r w:rsidRPr="003264DB">
              <w:t xml:space="preserve">RSTD = RSTD1 </w:t>
            </w:r>
            <w:r w:rsidRPr="003264DB">
              <w:rPr>
                <w:bCs/>
              </w:rPr>
              <w:sym w:font="Symbol" w:char="F02D"/>
            </w:r>
            <w:r w:rsidRPr="003264DB">
              <w:t xml:space="preserve"> RSTD2</w:t>
            </w:r>
          </w:p>
        </w:tc>
        <w:tc>
          <w:tcPr>
            <w:tcW w:w="567" w:type="dxa"/>
            <w:vAlign w:val="center"/>
          </w:tcPr>
          <w:p w14:paraId="7BC81027" w14:textId="77777777" w:rsidR="00686804" w:rsidRPr="003264DB" w:rsidRDefault="00686804" w:rsidP="00DA29A5">
            <w:pPr>
              <w:pStyle w:val="TAH"/>
            </w:pPr>
            <w:r w:rsidRPr="003264DB">
              <w:t>Unit</w:t>
            </w:r>
          </w:p>
        </w:tc>
      </w:tr>
      <w:tr w:rsidR="00686804" w:rsidRPr="003264DB" w14:paraId="2BDE74DC" w14:textId="77777777" w:rsidTr="00051ED3">
        <w:trPr>
          <w:cantSplit/>
        </w:trPr>
        <w:tc>
          <w:tcPr>
            <w:tcW w:w="2693" w:type="dxa"/>
          </w:tcPr>
          <w:p w14:paraId="0D5BBF21" w14:textId="77777777" w:rsidR="00686804" w:rsidRPr="003264DB" w:rsidRDefault="00686804" w:rsidP="00DA29A5">
            <w:pPr>
              <w:pStyle w:val="TAC"/>
            </w:pPr>
            <w:r w:rsidRPr="003264DB">
              <w:rPr>
                <w:lang w:eastAsia="zh-CN"/>
              </w:rPr>
              <w:t>DIFFRSTD</w:t>
            </w:r>
            <w:r w:rsidRPr="003264DB">
              <w:t>_0000</w:t>
            </w:r>
          </w:p>
        </w:tc>
        <w:tc>
          <w:tcPr>
            <w:tcW w:w="2512" w:type="dxa"/>
          </w:tcPr>
          <w:p w14:paraId="13C00CE3" w14:textId="77777777" w:rsidR="00686804" w:rsidRPr="003264DB" w:rsidRDefault="00686804" w:rsidP="00DA29A5">
            <w:pPr>
              <w:pStyle w:val="TAC"/>
            </w:pPr>
            <w:r w:rsidRPr="003264DB">
              <w:rPr>
                <w:lang w:eastAsia="zh-CN"/>
              </w:rPr>
              <w:t xml:space="preserve">0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8</w:t>
            </w:r>
          </w:p>
        </w:tc>
        <w:tc>
          <w:tcPr>
            <w:tcW w:w="567" w:type="dxa"/>
          </w:tcPr>
          <w:p w14:paraId="49BB2746" w14:textId="77777777" w:rsidR="00686804" w:rsidRPr="003264DB" w:rsidRDefault="00686804" w:rsidP="002F5786">
            <w:pPr>
              <w:pStyle w:val="TAC"/>
            </w:pPr>
            <w:r w:rsidRPr="003264DB">
              <w:t>T</w:t>
            </w:r>
            <w:r w:rsidRPr="003264DB">
              <w:rPr>
                <w:vertAlign w:val="subscript"/>
              </w:rPr>
              <w:t>c</w:t>
            </w:r>
          </w:p>
        </w:tc>
      </w:tr>
      <w:tr w:rsidR="00686804" w:rsidRPr="003264DB" w14:paraId="380FD50E" w14:textId="77777777" w:rsidTr="00051ED3">
        <w:trPr>
          <w:cantSplit/>
        </w:trPr>
        <w:tc>
          <w:tcPr>
            <w:tcW w:w="2693" w:type="dxa"/>
          </w:tcPr>
          <w:p w14:paraId="1035D9E4" w14:textId="77777777" w:rsidR="00686804" w:rsidRPr="003264DB" w:rsidRDefault="00686804" w:rsidP="00DA29A5">
            <w:pPr>
              <w:pStyle w:val="TAC"/>
            </w:pPr>
            <w:r w:rsidRPr="003264DB">
              <w:rPr>
                <w:lang w:eastAsia="zh-CN"/>
              </w:rPr>
              <w:t>DIFFRSTD</w:t>
            </w:r>
            <w:r w:rsidRPr="003264DB">
              <w:t>_0001</w:t>
            </w:r>
          </w:p>
        </w:tc>
        <w:tc>
          <w:tcPr>
            <w:tcW w:w="2512" w:type="dxa"/>
          </w:tcPr>
          <w:p w14:paraId="7CF4BB9E" w14:textId="77777777" w:rsidR="00686804" w:rsidRPr="003264DB" w:rsidRDefault="00686804" w:rsidP="00DA29A5">
            <w:pPr>
              <w:pStyle w:val="TAC"/>
            </w:pPr>
            <w:r w:rsidRPr="003264DB">
              <w:rPr>
                <w:lang w:eastAsia="zh-CN"/>
              </w:rPr>
              <w:t xml:space="preserve">8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16</w:t>
            </w:r>
          </w:p>
        </w:tc>
        <w:tc>
          <w:tcPr>
            <w:tcW w:w="567" w:type="dxa"/>
          </w:tcPr>
          <w:p w14:paraId="53CE9AA7" w14:textId="77777777" w:rsidR="00686804" w:rsidRPr="003264DB" w:rsidRDefault="00686804" w:rsidP="002F5786">
            <w:pPr>
              <w:pStyle w:val="TAC"/>
            </w:pPr>
            <w:r w:rsidRPr="003264DB">
              <w:t>T</w:t>
            </w:r>
            <w:r w:rsidRPr="003264DB">
              <w:rPr>
                <w:vertAlign w:val="subscript"/>
              </w:rPr>
              <w:t>c</w:t>
            </w:r>
          </w:p>
        </w:tc>
      </w:tr>
      <w:tr w:rsidR="00686804" w:rsidRPr="003264DB" w14:paraId="658E1360" w14:textId="77777777" w:rsidTr="00051ED3">
        <w:trPr>
          <w:cantSplit/>
        </w:trPr>
        <w:tc>
          <w:tcPr>
            <w:tcW w:w="2693" w:type="dxa"/>
          </w:tcPr>
          <w:p w14:paraId="526D5280" w14:textId="77777777" w:rsidR="00686804" w:rsidRPr="003264DB" w:rsidRDefault="00686804" w:rsidP="00DA29A5">
            <w:pPr>
              <w:pStyle w:val="TAC"/>
            </w:pPr>
            <w:r w:rsidRPr="003264DB">
              <w:rPr>
                <w:lang w:eastAsia="zh-CN"/>
              </w:rPr>
              <w:t>DIFFRSTD</w:t>
            </w:r>
            <w:r w:rsidRPr="003264DB">
              <w:t>_0002</w:t>
            </w:r>
          </w:p>
        </w:tc>
        <w:tc>
          <w:tcPr>
            <w:tcW w:w="2512" w:type="dxa"/>
          </w:tcPr>
          <w:p w14:paraId="4702DF3A" w14:textId="77777777" w:rsidR="00686804" w:rsidRPr="003264DB" w:rsidRDefault="00686804" w:rsidP="00DA29A5">
            <w:pPr>
              <w:pStyle w:val="TAC"/>
            </w:pPr>
            <w:r w:rsidRPr="003264DB">
              <w:rPr>
                <w:lang w:eastAsia="zh-CN"/>
              </w:rPr>
              <w:t xml:space="preserve">16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24</w:t>
            </w:r>
          </w:p>
        </w:tc>
        <w:tc>
          <w:tcPr>
            <w:tcW w:w="567" w:type="dxa"/>
          </w:tcPr>
          <w:p w14:paraId="543A8F08" w14:textId="77777777" w:rsidR="00686804" w:rsidRPr="003264DB" w:rsidRDefault="00686804" w:rsidP="00DA29A5">
            <w:pPr>
              <w:pStyle w:val="TAC"/>
            </w:pPr>
            <w:r w:rsidRPr="003264DB">
              <w:t>T</w:t>
            </w:r>
            <w:r w:rsidRPr="003264DB">
              <w:rPr>
                <w:vertAlign w:val="subscript"/>
              </w:rPr>
              <w:t>c</w:t>
            </w:r>
          </w:p>
        </w:tc>
      </w:tr>
      <w:tr w:rsidR="00686804" w:rsidRPr="003264DB" w14:paraId="33245D4F" w14:textId="77777777" w:rsidTr="00051ED3">
        <w:trPr>
          <w:cantSplit/>
        </w:trPr>
        <w:tc>
          <w:tcPr>
            <w:tcW w:w="2693" w:type="dxa"/>
          </w:tcPr>
          <w:p w14:paraId="168A322E" w14:textId="77777777" w:rsidR="00686804" w:rsidRPr="003264DB" w:rsidRDefault="00686804" w:rsidP="00DA29A5">
            <w:pPr>
              <w:pStyle w:val="TAC"/>
            </w:pPr>
            <w:r w:rsidRPr="003264DB">
              <w:sym w:font="Symbol" w:char="F0BC"/>
            </w:r>
          </w:p>
        </w:tc>
        <w:tc>
          <w:tcPr>
            <w:tcW w:w="2512" w:type="dxa"/>
          </w:tcPr>
          <w:p w14:paraId="4EB3BC31" w14:textId="77777777" w:rsidR="00686804" w:rsidRPr="003264DB" w:rsidRDefault="00686804" w:rsidP="00DA29A5">
            <w:pPr>
              <w:pStyle w:val="TAC"/>
            </w:pPr>
            <w:r w:rsidRPr="003264DB">
              <w:sym w:font="Symbol" w:char="F0BC"/>
            </w:r>
          </w:p>
        </w:tc>
        <w:tc>
          <w:tcPr>
            <w:tcW w:w="567" w:type="dxa"/>
          </w:tcPr>
          <w:p w14:paraId="60478774" w14:textId="77777777" w:rsidR="00686804" w:rsidRPr="003264DB" w:rsidRDefault="00686804" w:rsidP="00DA29A5">
            <w:pPr>
              <w:pStyle w:val="TAC"/>
            </w:pPr>
            <w:r w:rsidRPr="003264DB">
              <w:t>…</w:t>
            </w:r>
          </w:p>
        </w:tc>
      </w:tr>
      <w:tr w:rsidR="00686804" w:rsidRPr="003264DB" w14:paraId="159BF2BB"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51C7652" w14:textId="77777777" w:rsidR="00686804" w:rsidRPr="003264DB" w:rsidRDefault="00686804" w:rsidP="00DA29A5">
            <w:pPr>
              <w:pStyle w:val="TAC"/>
            </w:pPr>
            <w:r w:rsidRPr="003264DB">
              <w:rPr>
                <w:lang w:eastAsia="zh-CN"/>
              </w:rPr>
              <w:t>DIFFRSTD_1021</w:t>
            </w:r>
          </w:p>
        </w:tc>
        <w:tc>
          <w:tcPr>
            <w:tcW w:w="2512" w:type="dxa"/>
            <w:tcBorders>
              <w:top w:val="single" w:sz="4" w:space="0" w:color="auto"/>
              <w:left w:val="single" w:sz="4" w:space="0" w:color="auto"/>
              <w:bottom w:val="single" w:sz="4" w:space="0" w:color="auto"/>
              <w:right w:val="single" w:sz="4" w:space="0" w:color="auto"/>
            </w:tcBorders>
          </w:tcPr>
          <w:p w14:paraId="7FF3DA5D" w14:textId="77777777" w:rsidR="00686804" w:rsidRPr="003264DB" w:rsidRDefault="00686804" w:rsidP="00DA29A5">
            <w:pPr>
              <w:pStyle w:val="TAC"/>
            </w:pPr>
            <w:r w:rsidRPr="003264DB">
              <w:rPr>
                <w:lang w:eastAsia="zh-CN"/>
              </w:rPr>
              <w:t xml:space="preserve">8168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8176</w:t>
            </w:r>
          </w:p>
        </w:tc>
        <w:tc>
          <w:tcPr>
            <w:tcW w:w="567" w:type="dxa"/>
            <w:tcBorders>
              <w:top w:val="single" w:sz="4" w:space="0" w:color="auto"/>
              <w:left w:val="single" w:sz="4" w:space="0" w:color="auto"/>
              <w:bottom w:val="single" w:sz="4" w:space="0" w:color="auto"/>
              <w:right w:val="single" w:sz="4" w:space="0" w:color="auto"/>
            </w:tcBorders>
          </w:tcPr>
          <w:p w14:paraId="490D12ED" w14:textId="77777777" w:rsidR="00686804" w:rsidRPr="003264DB" w:rsidRDefault="00686804" w:rsidP="002F5786">
            <w:pPr>
              <w:pStyle w:val="TAC"/>
            </w:pPr>
            <w:r w:rsidRPr="003264DB">
              <w:t>T</w:t>
            </w:r>
            <w:r w:rsidRPr="003264DB">
              <w:rPr>
                <w:vertAlign w:val="subscript"/>
              </w:rPr>
              <w:t>c</w:t>
            </w:r>
          </w:p>
        </w:tc>
      </w:tr>
      <w:tr w:rsidR="00686804" w:rsidRPr="003264DB" w14:paraId="2F675EC6"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ABBA13D" w14:textId="77777777" w:rsidR="00686804" w:rsidRPr="003264DB" w:rsidRDefault="00686804" w:rsidP="00DA29A5">
            <w:pPr>
              <w:pStyle w:val="TAC"/>
              <w:rPr>
                <w:lang w:val="en-US"/>
              </w:rPr>
            </w:pPr>
            <w:r w:rsidRPr="003264DB">
              <w:rPr>
                <w:lang w:eastAsia="zh-CN"/>
              </w:rPr>
              <w:t>DIFFRSTD_1022</w:t>
            </w:r>
          </w:p>
        </w:tc>
        <w:tc>
          <w:tcPr>
            <w:tcW w:w="2512" w:type="dxa"/>
            <w:tcBorders>
              <w:top w:val="single" w:sz="4" w:space="0" w:color="auto"/>
              <w:left w:val="single" w:sz="4" w:space="0" w:color="auto"/>
              <w:bottom w:val="single" w:sz="4" w:space="0" w:color="auto"/>
              <w:right w:val="single" w:sz="4" w:space="0" w:color="auto"/>
            </w:tcBorders>
          </w:tcPr>
          <w:p w14:paraId="2B256892" w14:textId="77777777" w:rsidR="00686804" w:rsidRPr="003264DB" w:rsidRDefault="00686804" w:rsidP="00DA29A5">
            <w:pPr>
              <w:pStyle w:val="TAC"/>
            </w:pPr>
            <w:r w:rsidRPr="003264DB">
              <w:rPr>
                <w:lang w:eastAsia="zh-CN"/>
              </w:rPr>
              <w:t xml:space="preserve">8176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w:t>
            </w:r>
            <w:r>
              <w:rPr>
                <w:lang w:eastAsia="zh-CN"/>
              </w:rPr>
              <w:t>8184</w:t>
            </w:r>
          </w:p>
        </w:tc>
        <w:tc>
          <w:tcPr>
            <w:tcW w:w="567" w:type="dxa"/>
            <w:tcBorders>
              <w:top w:val="single" w:sz="4" w:space="0" w:color="auto"/>
              <w:left w:val="single" w:sz="4" w:space="0" w:color="auto"/>
              <w:bottom w:val="single" w:sz="4" w:space="0" w:color="auto"/>
              <w:right w:val="single" w:sz="4" w:space="0" w:color="auto"/>
            </w:tcBorders>
          </w:tcPr>
          <w:p w14:paraId="5529607C" w14:textId="77777777" w:rsidR="00686804" w:rsidRPr="003264DB" w:rsidRDefault="00686804" w:rsidP="002F5786">
            <w:pPr>
              <w:pStyle w:val="TAC"/>
            </w:pPr>
            <w:r w:rsidRPr="003264DB">
              <w:t>T</w:t>
            </w:r>
            <w:r w:rsidRPr="003264DB">
              <w:rPr>
                <w:vertAlign w:val="subscript"/>
              </w:rPr>
              <w:t>c</w:t>
            </w:r>
          </w:p>
        </w:tc>
      </w:tr>
      <w:tr w:rsidR="00686804" w:rsidRPr="003264DB" w14:paraId="777B653F"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2BAB90B9" w14:textId="77777777" w:rsidR="00686804" w:rsidRPr="003264DB" w:rsidRDefault="00686804" w:rsidP="00DA29A5">
            <w:pPr>
              <w:pStyle w:val="TAC"/>
            </w:pPr>
            <w:r w:rsidRPr="003264DB">
              <w:rPr>
                <w:lang w:eastAsia="zh-CN"/>
              </w:rPr>
              <w:t>DIFFRSTD_1023</w:t>
            </w:r>
          </w:p>
        </w:tc>
        <w:tc>
          <w:tcPr>
            <w:tcW w:w="2512" w:type="dxa"/>
            <w:tcBorders>
              <w:top w:val="single" w:sz="4" w:space="0" w:color="auto"/>
              <w:left w:val="single" w:sz="4" w:space="0" w:color="auto"/>
              <w:bottom w:val="single" w:sz="4" w:space="0" w:color="auto"/>
              <w:right w:val="single" w:sz="4" w:space="0" w:color="auto"/>
            </w:tcBorders>
          </w:tcPr>
          <w:p w14:paraId="6FDBC4EC" w14:textId="77777777" w:rsidR="00686804" w:rsidRPr="003264DB" w:rsidRDefault="00686804" w:rsidP="00DA29A5">
            <w:pPr>
              <w:pStyle w:val="TAC"/>
            </w:pPr>
            <w:r>
              <w:rPr>
                <w:lang w:eastAsia="zh-CN"/>
              </w:rPr>
              <w:t>8184</w:t>
            </w:r>
            <w:r w:rsidRPr="003264DB">
              <w:rPr>
                <w:lang w:eastAsia="zh-CN"/>
              </w:rPr>
              <w:t xml:space="preserve"> </w:t>
            </w:r>
            <w:r w:rsidRPr="003264DB">
              <w:sym w:font="Symbol" w:char="F0A3"/>
            </w:r>
            <w:r w:rsidRPr="003264DB">
              <w:rPr>
                <w:lang w:eastAsia="zh-CN"/>
              </w:rPr>
              <w:t xml:space="preserve"> </w:t>
            </w:r>
            <w:r w:rsidRPr="003264DB">
              <w:rPr>
                <w:lang w:eastAsia="zh-CN"/>
              </w:rPr>
              <w:sym w:font="Symbol" w:char="F044"/>
            </w:r>
            <w:r w:rsidRPr="003264DB">
              <w:rPr>
                <w:lang w:eastAsia="zh-CN"/>
              </w:rPr>
              <w:t>RSTD</w:t>
            </w:r>
          </w:p>
        </w:tc>
        <w:tc>
          <w:tcPr>
            <w:tcW w:w="567" w:type="dxa"/>
            <w:tcBorders>
              <w:top w:val="single" w:sz="4" w:space="0" w:color="auto"/>
              <w:left w:val="single" w:sz="4" w:space="0" w:color="auto"/>
              <w:bottom w:val="single" w:sz="4" w:space="0" w:color="auto"/>
              <w:right w:val="single" w:sz="4" w:space="0" w:color="auto"/>
            </w:tcBorders>
          </w:tcPr>
          <w:p w14:paraId="5D1E8905" w14:textId="77777777" w:rsidR="00686804" w:rsidRPr="003264DB" w:rsidRDefault="00686804" w:rsidP="002F5786">
            <w:pPr>
              <w:pStyle w:val="TAC"/>
            </w:pPr>
            <w:r w:rsidRPr="003264DB">
              <w:t>T</w:t>
            </w:r>
            <w:r w:rsidRPr="003264DB">
              <w:rPr>
                <w:vertAlign w:val="subscript"/>
              </w:rPr>
              <w:t>c</w:t>
            </w:r>
          </w:p>
        </w:tc>
      </w:tr>
    </w:tbl>
    <w:p w14:paraId="53E81952" w14:textId="77777777" w:rsidR="00686804" w:rsidRPr="003264DB" w:rsidRDefault="00686804" w:rsidP="00686804">
      <w:pPr>
        <w:jc w:val="both"/>
        <w:rPr>
          <w:sz w:val="22"/>
          <w:szCs w:val="22"/>
          <w:lang w:eastAsia="x-none"/>
        </w:rPr>
      </w:pPr>
    </w:p>
    <w:p w14:paraId="0A204D50" w14:textId="77777777" w:rsidR="00686804" w:rsidRPr="003264DB" w:rsidRDefault="00686804" w:rsidP="002F5786">
      <w:pPr>
        <w:pStyle w:val="TH"/>
        <w:rPr>
          <w:rFonts w:cs="Arial"/>
          <w:lang w:val="en-US" w:eastAsia="ja-JP"/>
        </w:rPr>
      </w:pPr>
      <w:r w:rsidRPr="003264DB">
        <w:t xml:space="preserve">Table 10.1.23.3.2-5: Report mapping for </w:t>
      </w:r>
      <w:r w:rsidRPr="003264DB">
        <w:rPr>
          <w:i/>
          <w:iCs/>
        </w:rPr>
        <w:t>k</w:t>
      </w:r>
      <w:r w:rsidRPr="003264DB">
        <w:t>=4</w:t>
      </w:r>
    </w:p>
    <w:tbl>
      <w:tblPr>
        <w:tblW w:w="5772"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512"/>
        <w:gridCol w:w="567"/>
      </w:tblGrid>
      <w:tr w:rsidR="00686804" w:rsidRPr="003264DB" w14:paraId="5374C04F" w14:textId="77777777" w:rsidTr="00051ED3">
        <w:trPr>
          <w:cantSplit/>
          <w:trHeight w:val="139"/>
        </w:trPr>
        <w:tc>
          <w:tcPr>
            <w:tcW w:w="2693" w:type="dxa"/>
            <w:vAlign w:val="center"/>
          </w:tcPr>
          <w:p w14:paraId="1442A678" w14:textId="77777777" w:rsidR="00686804" w:rsidRPr="003264DB" w:rsidRDefault="00686804" w:rsidP="00DA29A5">
            <w:pPr>
              <w:pStyle w:val="TAH"/>
            </w:pPr>
            <w:r w:rsidRPr="003264DB">
              <w:t>Reported Quantity Value,</w:t>
            </w:r>
          </w:p>
          <w:p w14:paraId="5BF90A1B" w14:textId="77777777" w:rsidR="00686804" w:rsidRPr="003264DB" w:rsidRDefault="00686804" w:rsidP="00DA29A5">
            <w:pPr>
              <w:pStyle w:val="TAH"/>
            </w:pPr>
            <w:r w:rsidRPr="003264DB">
              <w:t>DIFFRSTD_i</w:t>
            </w:r>
          </w:p>
        </w:tc>
        <w:tc>
          <w:tcPr>
            <w:tcW w:w="2512" w:type="dxa"/>
            <w:vAlign w:val="center"/>
          </w:tcPr>
          <w:p w14:paraId="7C0596B4" w14:textId="77777777" w:rsidR="00686804" w:rsidRPr="003264DB" w:rsidRDefault="00686804" w:rsidP="00DA29A5">
            <w:pPr>
              <w:pStyle w:val="TAH"/>
            </w:pPr>
            <w:r w:rsidRPr="003264DB">
              <w:sym w:font="Symbol" w:char="F044"/>
            </w:r>
            <w:r w:rsidRPr="003264DB">
              <w:t xml:space="preserve">RSTD = RSTD1 </w:t>
            </w:r>
            <w:r w:rsidRPr="003264DB">
              <w:rPr>
                <w:bCs/>
              </w:rPr>
              <w:sym w:font="Symbol" w:char="F02D"/>
            </w:r>
            <w:r w:rsidRPr="003264DB">
              <w:t xml:space="preserve"> RSTD2</w:t>
            </w:r>
          </w:p>
        </w:tc>
        <w:tc>
          <w:tcPr>
            <w:tcW w:w="567" w:type="dxa"/>
            <w:vAlign w:val="center"/>
          </w:tcPr>
          <w:p w14:paraId="7D7382FB" w14:textId="77777777" w:rsidR="00686804" w:rsidRPr="003264DB" w:rsidRDefault="00686804" w:rsidP="00DA29A5">
            <w:pPr>
              <w:pStyle w:val="TAH"/>
            </w:pPr>
            <w:r w:rsidRPr="003264DB">
              <w:t>Unit</w:t>
            </w:r>
          </w:p>
        </w:tc>
      </w:tr>
      <w:tr w:rsidR="00686804" w:rsidRPr="003264DB" w14:paraId="350A2E13" w14:textId="77777777" w:rsidTr="00051ED3">
        <w:trPr>
          <w:cantSplit/>
        </w:trPr>
        <w:tc>
          <w:tcPr>
            <w:tcW w:w="2693" w:type="dxa"/>
          </w:tcPr>
          <w:p w14:paraId="41026A8B" w14:textId="77777777" w:rsidR="00686804" w:rsidRPr="003264DB" w:rsidRDefault="00686804" w:rsidP="00DA29A5">
            <w:pPr>
              <w:pStyle w:val="TAC"/>
            </w:pPr>
            <w:r w:rsidRPr="003264DB">
              <w:rPr>
                <w:lang w:eastAsia="zh-CN"/>
              </w:rPr>
              <w:t>DIFFRSTD</w:t>
            </w:r>
            <w:r w:rsidRPr="003264DB">
              <w:t>_000</w:t>
            </w:r>
          </w:p>
        </w:tc>
        <w:tc>
          <w:tcPr>
            <w:tcW w:w="2512" w:type="dxa"/>
          </w:tcPr>
          <w:p w14:paraId="14BE3A27" w14:textId="77777777" w:rsidR="00686804" w:rsidRPr="003264DB" w:rsidRDefault="00686804" w:rsidP="00DA29A5">
            <w:pPr>
              <w:pStyle w:val="TAC"/>
            </w:pPr>
            <w:r w:rsidRPr="003264DB">
              <w:rPr>
                <w:lang w:eastAsia="zh-CN"/>
              </w:rPr>
              <w:t xml:space="preserve">0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16</w:t>
            </w:r>
          </w:p>
        </w:tc>
        <w:tc>
          <w:tcPr>
            <w:tcW w:w="567" w:type="dxa"/>
          </w:tcPr>
          <w:p w14:paraId="60C9B3F8" w14:textId="77777777" w:rsidR="00686804" w:rsidRPr="003264DB" w:rsidRDefault="00686804" w:rsidP="002F5786">
            <w:pPr>
              <w:pStyle w:val="TAC"/>
            </w:pPr>
            <w:r w:rsidRPr="003264DB">
              <w:t>T</w:t>
            </w:r>
            <w:r w:rsidRPr="003264DB">
              <w:rPr>
                <w:vertAlign w:val="subscript"/>
              </w:rPr>
              <w:t>c</w:t>
            </w:r>
          </w:p>
        </w:tc>
      </w:tr>
      <w:tr w:rsidR="00686804" w:rsidRPr="003264DB" w14:paraId="59F7F4E0" w14:textId="77777777" w:rsidTr="00051ED3">
        <w:trPr>
          <w:cantSplit/>
        </w:trPr>
        <w:tc>
          <w:tcPr>
            <w:tcW w:w="2693" w:type="dxa"/>
          </w:tcPr>
          <w:p w14:paraId="629667D7" w14:textId="77777777" w:rsidR="00686804" w:rsidRPr="003264DB" w:rsidRDefault="00686804" w:rsidP="00DA29A5">
            <w:pPr>
              <w:pStyle w:val="TAC"/>
            </w:pPr>
            <w:r w:rsidRPr="003264DB">
              <w:rPr>
                <w:lang w:eastAsia="zh-CN"/>
              </w:rPr>
              <w:t>DIFFRSTD</w:t>
            </w:r>
            <w:r w:rsidRPr="003264DB">
              <w:t>_001</w:t>
            </w:r>
          </w:p>
        </w:tc>
        <w:tc>
          <w:tcPr>
            <w:tcW w:w="2512" w:type="dxa"/>
          </w:tcPr>
          <w:p w14:paraId="3F1A943F" w14:textId="77777777" w:rsidR="00686804" w:rsidRPr="003264DB" w:rsidRDefault="00686804" w:rsidP="00DA29A5">
            <w:pPr>
              <w:pStyle w:val="TAC"/>
            </w:pPr>
            <w:r w:rsidRPr="003264DB">
              <w:rPr>
                <w:lang w:eastAsia="zh-CN"/>
              </w:rPr>
              <w:t xml:space="preserve">16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32</w:t>
            </w:r>
          </w:p>
        </w:tc>
        <w:tc>
          <w:tcPr>
            <w:tcW w:w="567" w:type="dxa"/>
          </w:tcPr>
          <w:p w14:paraId="79B6195D" w14:textId="77777777" w:rsidR="00686804" w:rsidRPr="003264DB" w:rsidRDefault="00686804" w:rsidP="002F5786">
            <w:pPr>
              <w:pStyle w:val="TAC"/>
            </w:pPr>
            <w:r w:rsidRPr="003264DB">
              <w:t>T</w:t>
            </w:r>
            <w:r w:rsidRPr="003264DB">
              <w:rPr>
                <w:vertAlign w:val="subscript"/>
              </w:rPr>
              <w:t>c</w:t>
            </w:r>
          </w:p>
        </w:tc>
      </w:tr>
      <w:tr w:rsidR="00686804" w:rsidRPr="003264DB" w14:paraId="22DD4BEB" w14:textId="77777777" w:rsidTr="00051ED3">
        <w:trPr>
          <w:cantSplit/>
        </w:trPr>
        <w:tc>
          <w:tcPr>
            <w:tcW w:w="2693" w:type="dxa"/>
          </w:tcPr>
          <w:p w14:paraId="187A2B64" w14:textId="77777777" w:rsidR="00686804" w:rsidRPr="003264DB" w:rsidRDefault="00686804" w:rsidP="00DA29A5">
            <w:pPr>
              <w:pStyle w:val="TAC"/>
            </w:pPr>
            <w:r w:rsidRPr="003264DB">
              <w:rPr>
                <w:lang w:eastAsia="zh-CN"/>
              </w:rPr>
              <w:t>DIFFRSTD</w:t>
            </w:r>
            <w:r w:rsidRPr="003264DB">
              <w:t>_002</w:t>
            </w:r>
          </w:p>
        </w:tc>
        <w:tc>
          <w:tcPr>
            <w:tcW w:w="2512" w:type="dxa"/>
          </w:tcPr>
          <w:p w14:paraId="21DF5207" w14:textId="77777777" w:rsidR="00686804" w:rsidRPr="003264DB" w:rsidRDefault="00686804" w:rsidP="00DA29A5">
            <w:pPr>
              <w:pStyle w:val="TAC"/>
            </w:pPr>
            <w:r w:rsidRPr="003264DB">
              <w:rPr>
                <w:lang w:eastAsia="zh-CN"/>
              </w:rPr>
              <w:t xml:space="preserve">32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48</w:t>
            </w:r>
          </w:p>
        </w:tc>
        <w:tc>
          <w:tcPr>
            <w:tcW w:w="567" w:type="dxa"/>
          </w:tcPr>
          <w:p w14:paraId="0F5AA0F3" w14:textId="77777777" w:rsidR="00686804" w:rsidRPr="003264DB" w:rsidRDefault="00686804" w:rsidP="00DA29A5">
            <w:pPr>
              <w:pStyle w:val="TAC"/>
            </w:pPr>
            <w:r w:rsidRPr="003264DB">
              <w:t>T</w:t>
            </w:r>
            <w:r w:rsidRPr="003264DB">
              <w:rPr>
                <w:vertAlign w:val="subscript"/>
              </w:rPr>
              <w:t>c</w:t>
            </w:r>
          </w:p>
        </w:tc>
      </w:tr>
      <w:tr w:rsidR="00686804" w:rsidRPr="003264DB" w14:paraId="302B6101" w14:textId="77777777" w:rsidTr="00051ED3">
        <w:trPr>
          <w:cantSplit/>
        </w:trPr>
        <w:tc>
          <w:tcPr>
            <w:tcW w:w="2693" w:type="dxa"/>
          </w:tcPr>
          <w:p w14:paraId="1EB62E58" w14:textId="77777777" w:rsidR="00686804" w:rsidRPr="003264DB" w:rsidRDefault="00686804" w:rsidP="00DA29A5">
            <w:pPr>
              <w:pStyle w:val="TAC"/>
            </w:pPr>
            <w:r w:rsidRPr="003264DB">
              <w:sym w:font="Symbol" w:char="F0BC"/>
            </w:r>
          </w:p>
        </w:tc>
        <w:tc>
          <w:tcPr>
            <w:tcW w:w="2512" w:type="dxa"/>
          </w:tcPr>
          <w:p w14:paraId="4E1CB3BE" w14:textId="77777777" w:rsidR="00686804" w:rsidRPr="003264DB" w:rsidRDefault="00686804" w:rsidP="00DA29A5">
            <w:pPr>
              <w:pStyle w:val="TAC"/>
            </w:pPr>
            <w:r w:rsidRPr="003264DB">
              <w:sym w:font="Symbol" w:char="F0BC"/>
            </w:r>
          </w:p>
        </w:tc>
        <w:tc>
          <w:tcPr>
            <w:tcW w:w="567" w:type="dxa"/>
          </w:tcPr>
          <w:p w14:paraId="3E286EB1" w14:textId="77777777" w:rsidR="00686804" w:rsidRPr="003264DB" w:rsidRDefault="00686804" w:rsidP="00DA29A5">
            <w:pPr>
              <w:pStyle w:val="TAC"/>
            </w:pPr>
            <w:r w:rsidRPr="003264DB">
              <w:t>…</w:t>
            </w:r>
          </w:p>
        </w:tc>
      </w:tr>
      <w:tr w:rsidR="00686804" w:rsidRPr="003264DB" w14:paraId="5AF81A97"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B354200" w14:textId="77777777" w:rsidR="00686804" w:rsidRPr="003264DB" w:rsidRDefault="00686804" w:rsidP="00DA29A5">
            <w:pPr>
              <w:pStyle w:val="TAC"/>
            </w:pPr>
            <w:r w:rsidRPr="003264DB">
              <w:rPr>
                <w:lang w:eastAsia="zh-CN"/>
              </w:rPr>
              <w:t>DIFFRSTD_509</w:t>
            </w:r>
          </w:p>
        </w:tc>
        <w:tc>
          <w:tcPr>
            <w:tcW w:w="2512" w:type="dxa"/>
            <w:tcBorders>
              <w:top w:val="single" w:sz="4" w:space="0" w:color="auto"/>
              <w:left w:val="single" w:sz="4" w:space="0" w:color="auto"/>
              <w:bottom w:val="single" w:sz="4" w:space="0" w:color="auto"/>
              <w:right w:val="single" w:sz="4" w:space="0" w:color="auto"/>
            </w:tcBorders>
          </w:tcPr>
          <w:p w14:paraId="1531BD4A" w14:textId="77777777" w:rsidR="00686804" w:rsidRPr="003264DB" w:rsidRDefault="00686804" w:rsidP="00DA29A5">
            <w:pPr>
              <w:pStyle w:val="TAC"/>
            </w:pPr>
            <w:r w:rsidRPr="003264DB">
              <w:rPr>
                <w:lang w:eastAsia="zh-CN"/>
              </w:rPr>
              <w:t xml:space="preserve">8144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8160</w:t>
            </w:r>
          </w:p>
        </w:tc>
        <w:tc>
          <w:tcPr>
            <w:tcW w:w="567" w:type="dxa"/>
            <w:tcBorders>
              <w:top w:val="single" w:sz="4" w:space="0" w:color="auto"/>
              <w:left w:val="single" w:sz="4" w:space="0" w:color="auto"/>
              <w:bottom w:val="single" w:sz="4" w:space="0" w:color="auto"/>
              <w:right w:val="single" w:sz="4" w:space="0" w:color="auto"/>
            </w:tcBorders>
          </w:tcPr>
          <w:p w14:paraId="303777B5" w14:textId="77777777" w:rsidR="00686804" w:rsidRPr="003264DB" w:rsidRDefault="00686804" w:rsidP="002F5786">
            <w:pPr>
              <w:pStyle w:val="TAC"/>
            </w:pPr>
            <w:r w:rsidRPr="003264DB">
              <w:t>T</w:t>
            </w:r>
            <w:r w:rsidRPr="003264DB">
              <w:rPr>
                <w:vertAlign w:val="subscript"/>
              </w:rPr>
              <w:t>c</w:t>
            </w:r>
          </w:p>
        </w:tc>
      </w:tr>
      <w:tr w:rsidR="00686804" w:rsidRPr="003264DB" w14:paraId="6522397D"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B2109C3" w14:textId="77777777" w:rsidR="00686804" w:rsidRPr="003264DB" w:rsidRDefault="00686804" w:rsidP="00DA29A5">
            <w:pPr>
              <w:pStyle w:val="TAC"/>
              <w:rPr>
                <w:lang w:val="en-US"/>
              </w:rPr>
            </w:pPr>
            <w:r w:rsidRPr="003264DB">
              <w:rPr>
                <w:lang w:eastAsia="zh-CN"/>
              </w:rPr>
              <w:t>DIFFRSTD_510</w:t>
            </w:r>
          </w:p>
        </w:tc>
        <w:tc>
          <w:tcPr>
            <w:tcW w:w="2512" w:type="dxa"/>
            <w:tcBorders>
              <w:top w:val="single" w:sz="4" w:space="0" w:color="auto"/>
              <w:left w:val="single" w:sz="4" w:space="0" w:color="auto"/>
              <w:bottom w:val="single" w:sz="4" w:space="0" w:color="auto"/>
              <w:right w:val="single" w:sz="4" w:space="0" w:color="auto"/>
            </w:tcBorders>
          </w:tcPr>
          <w:p w14:paraId="3D808828" w14:textId="77777777" w:rsidR="00686804" w:rsidRPr="003264DB" w:rsidRDefault="00686804" w:rsidP="00DA29A5">
            <w:pPr>
              <w:pStyle w:val="TAC"/>
            </w:pPr>
            <w:r w:rsidRPr="003264DB">
              <w:rPr>
                <w:lang w:eastAsia="zh-CN"/>
              </w:rPr>
              <w:t xml:space="preserve">8160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w:t>
            </w:r>
            <w:r>
              <w:rPr>
                <w:lang w:eastAsia="zh-CN"/>
              </w:rPr>
              <w:t>8176</w:t>
            </w:r>
          </w:p>
        </w:tc>
        <w:tc>
          <w:tcPr>
            <w:tcW w:w="567" w:type="dxa"/>
            <w:tcBorders>
              <w:top w:val="single" w:sz="4" w:space="0" w:color="auto"/>
              <w:left w:val="single" w:sz="4" w:space="0" w:color="auto"/>
              <w:bottom w:val="single" w:sz="4" w:space="0" w:color="auto"/>
              <w:right w:val="single" w:sz="4" w:space="0" w:color="auto"/>
            </w:tcBorders>
          </w:tcPr>
          <w:p w14:paraId="06F44C5D" w14:textId="77777777" w:rsidR="00686804" w:rsidRPr="003264DB" w:rsidRDefault="00686804" w:rsidP="002F5786">
            <w:pPr>
              <w:pStyle w:val="TAC"/>
            </w:pPr>
            <w:r w:rsidRPr="003264DB">
              <w:t>T</w:t>
            </w:r>
            <w:r w:rsidRPr="003264DB">
              <w:rPr>
                <w:vertAlign w:val="subscript"/>
              </w:rPr>
              <w:t>c</w:t>
            </w:r>
          </w:p>
        </w:tc>
      </w:tr>
      <w:tr w:rsidR="00686804" w:rsidRPr="003264DB" w14:paraId="4C3D21FC"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D0468F8" w14:textId="77777777" w:rsidR="00686804" w:rsidRPr="003264DB" w:rsidRDefault="00686804" w:rsidP="00DA29A5">
            <w:pPr>
              <w:pStyle w:val="TAC"/>
            </w:pPr>
            <w:r w:rsidRPr="003264DB">
              <w:rPr>
                <w:lang w:eastAsia="zh-CN"/>
              </w:rPr>
              <w:t>DIFFRSTD_511</w:t>
            </w:r>
          </w:p>
        </w:tc>
        <w:tc>
          <w:tcPr>
            <w:tcW w:w="2512" w:type="dxa"/>
            <w:tcBorders>
              <w:top w:val="single" w:sz="4" w:space="0" w:color="auto"/>
              <w:left w:val="single" w:sz="4" w:space="0" w:color="auto"/>
              <w:bottom w:val="single" w:sz="4" w:space="0" w:color="auto"/>
              <w:right w:val="single" w:sz="4" w:space="0" w:color="auto"/>
            </w:tcBorders>
          </w:tcPr>
          <w:p w14:paraId="5D3BD5E6" w14:textId="77777777" w:rsidR="00686804" w:rsidRPr="003264DB" w:rsidRDefault="00686804" w:rsidP="00DA29A5">
            <w:pPr>
              <w:pStyle w:val="TAC"/>
            </w:pPr>
            <w:r>
              <w:rPr>
                <w:lang w:eastAsia="zh-CN"/>
              </w:rPr>
              <w:t>8176</w:t>
            </w:r>
            <w:r w:rsidRPr="003264DB">
              <w:rPr>
                <w:lang w:eastAsia="zh-CN"/>
              </w:rPr>
              <w:t xml:space="preserve"> </w:t>
            </w:r>
            <w:r w:rsidRPr="003264DB">
              <w:sym w:font="Symbol" w:char="F0A3"/>
            </w:r>
            <w:r w:rsidRPr="003264DB">
              <w:rPr>
                <w:lang w:eastAsia="zh-CN"/>
              </w:rPr>
              <w:t xml:space="preserve"> </w:t>
            </w:r>
            <w:r w:rsidRPr="003264DB">
              <w:rPr>
                <w:lang w:eastAsia="zh-CN"/>
              </w:rPr>
              <w:sym w:font="Symbol" w:char="F044"/>
            </w:r>
            <w:r w:rsidRPr="003264DB">
              <w:rPr>
                <w:lang w:eastAsia="zh-CN"/>
              </w:rPr>
              <w:t>RSTD</w:t>
            </w:r>
          </w:p>
        </w:tc>
        <w:tc>
          <w:tcPr>
            <w:tcW w:w="567" w:type="dxa"/>
            <w:tcBorders>
              <w:top w:val="single" w:sz="4" w:space="0" w:color="auto"/>
              <w:left w:val="single" w:sz="4" w:space="0" w:color="auto"/>
              <w:bottom w:val="single" w:sz="4" w:space="0" w:color="auto"/>
              <w:right w:val="single" w:sz="4" w:space="0" w:color="auto"/>
            </w:tcBorders>
          </w:tcPr>
          <w:p w14:paraId="5B89B04B" w14:textId="77777777" w:rsidR="00686804" w:rsidRPr="003264DB" w:rsidRDefault="00686804" w:rsidP="002F5786">
            <w:pPr>
              <w:pStyle w:val="TAC"/>
            </w:pPr>
            <w:r w:rsidRPr="003264DB">
              <w:t>T</w:t>
            </w:r>
            <w:r w:rsidRPr="003264DB">
              <w:rPr>
                <w:vertAlign w:val="subscript"/>
              </w:rPr>
              <w:t>c</w:t>
            </w:r>
          </w:p>
        </w:tc>
      </w:tr>
    </w:tbl>
    <w:p w14:paraId="604D9A3C" w14:textId="77777777" w:rsidR="00686804" w:rsidRPr="003264DB" w:rsidRDefault="00686804" w:rsidP="00686804">
      <w:pPr>
        <w:jc w:val="both"/>
        <w:rPr>
          <w:sz w:val="22"/>
          <w:szCs w:val="22"/>
          <w:lang w:eastAsia="x-none"/>
        </w:rPr>
      </w:pPr>
    </w:p>
    <w:p w14:paraId="1C22D9E6" w14:textId="77777777" w:rsidR="00686804" w:rsidRPr="003264DB" w:rsidRDefault="00686804" w:rsidP="002F5786">
      <w:pPr>
        <w:pStyle w:val="TH"/>
        <w:rPr>
          <w:rFonts w:cs="Arial"/>
          <w:lang w:val="en-US" w:eastAsia="ja-JP"/>
        </w:rPr>
      </w:pPr>
      <w:r w:rsidRPr="003264DB">
        <w:t xml:space="preserve">Table 10.1.23.3.2-6: Report mapping for </w:t>
      </w:r>
      <w:r w:rsidRPr="003264DB">
        <w:rPr>
          <w:i/>
          <w:iCs/>
        </w:rPr>
        <w:t>k</w:t>
      </w:r>
      <w:r w:rsidRPr="003264DB">
        <w:t>=5</w:t>
      </w:r>
    </w:p>
    <w:tbl>
      <w:tblPr>
        <w:tblW w:w="5772"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512"/>
        <w:gridCol w:w="567"/>
      </w:tblGrid>
      <w:tr w:rsidR="00686804" w:rsidRPr="003264DB" w14:paraId="46283411" w14:textId="77777777" w:rsidTr="00051ED3">
        <w:trPr>
          <w:cantSplit/>
          <w:trHeight w:val="268"/>
        </w:trPr>
        <w:tc>
          <w:tcPr>
            <w:tcW w:w="2693" w:type="dxa"/>
            <w:vAlign w:val="center"/>
          </w:tcPr>
          <w:p w14:paraId="000E07D4" w14:textId="77777777" w:rsidR="00686804" w:rsidRPr="003264DB" w:rsidRDefault="00686804" w:rsidP="00DA29A5">
            <w:pPr>
              <w:pStyle w:val="TAH"/>
            </w:pPr>
            <w:r w:rsidRPr="003264DB">
              <w:t>Reported Quantity Value,</w:t>
            </w:r>
          </w:p>
          <w:p w14:paraId="354EF721" w14:textId="77777777" w:rsidR="00686804" w:rsidRPr="003264DB" w:rsidRDefault="00686804" w:rsidP="00DA29A5">
            <w:pPr>
              <w:pStyle w:val="TAH"/>
            </w:pPr>
            <w:r w:rsidRPr="003264DB">
              <w:t>DIFFRSTD_i</w:t>
            </w:r>
          </w:p>
        </w:tc>
        <w:tc>
          <w:tcPr>
            <w:tcW w:w="2512" w:type="dxa"/>
            <w:vAlign w:val="center"/>
          </w:tcPr>
          <w:p w14:paraId="316B7FC9" w14:textId="77777777" w:rsidR="00686804" w:rsidRPr="003264DB" w:rsidRDefault="00686804" w:rsidP="00DA29A5">
            <w:pPr>
              <w:pStyle w:val="TAH"/>
            </w:pPr>
            <w:r w:rsidRPr="003264DB">
              <w:sym w:font="Symbol" w:char="F044"/>
            </w:r>
            <w:r w:rsidRPr="003264DB">
              <w:t xml:space="preserve">RSTD = RSTD1 </w:t>
            </w:r>
            <w:r w:rsidRPr="003264DB">
              <w:rPr>
                <w:bCs/>
              </w:rPr>
              <w:sym w:font="Symbol" w:char="F02D"/>
            </w:r>
            <w:r w:rsidRPr="003264DB">
              <w:t xml:space="preserve"> RSTD2</w:t>
            </w:r>
          </w:p>
        </w:tc>
        <w:tc>
          <w:tcPr>
            <w:tcW w:w="567" w:type="dxa"/>
            <w:vAlign w:val="center"/>
          </w:tcPr>
          <w:p w14:paraId="04121E7C" w14:textId="77777777" w:rsidR="00686804" w:rsidRPr="003264DB" w:rsidRDefault="00686804" w:rsidP="00DA29A5">
            <w:pPr>
              <w:pStyle w:val="TAH"/>
            </w:pPr>
            <w:r w:rsidRPr="003264DB">
              <w:t>Unit</w:t>
            </w:r>
          </w:p>
        </w:tc>
      </w:tr>
      <w:tr w:rsidR="00686804" w:rsidRPr="003264DB" w14:paraId="20187567" w14:textId="77777777" w:rsidTr="00051ED3">
        <w:trPr>
          <w:cantSplit/>
        </w:trPr>
        <w:tc>
          <w:tcPr>
            <w:tcW w:w="2693" w:type="dxa"/>
          </w:tcPr>
          <w:p w14:paraId="0F6252C9" w14:textId="77777777" w:rsidR="00686804" w:rsidRPr="003264DB" w:rsidRDefault="00686804" w:rsidP="00DA29A5">
            <w:pPr>
              <w:pStyle w:val="TAC"/>
            </w:pPr>
            <w:r w:rsidRPr="003264DB">
              <w:rPr>
                <w:lang w:eastAsia="zh-CN"/>
              </w:rPr>
              <w:t>DIFFRSTD</w:t>
            </w:r>
            <w:r w:rsidRPr="003264DB">
              <w:t>_000</w:t>
            </w:r>
          </w:p>
        </w:tc>
        <w:tc>
          <w:tcPr>
            <w:tcW w:w="2512" w:type="dxa"/>
          </w:tcPr>
          <w:p w14:paraId="4A0E9DFE" w14:textId="77777777" w:rsidR="00686804" w:rsidRPr="003264DB" w:rsidRDefault="00686804" w:rsidP="00DA29A5">
            <w:pPr>
              <w:pStyle w:val="TAC"/>
            </w:pPr>
            <w:r w:rsidRPr="003264DB">
              <w:rPr>
                <w:lang w:eastAsia="zh-CN"/>
              </w:rPr>
              <w:t xml:space="preserve">0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32</w:t>
            </w:r>
          </w:p>
        </w:tc>
        <w:tc>
          <w:tcPr>
            <w:tcW w:w="567" w:type="dxa"/>
          </w:tcPr>
          <w:p w14:paraId="2DD00339" w14:textId="77777777" w:rsidR="00686804" w:rsidRPr="003264DB" w:rsidRDefault="00686804" w:rsidP="002F5786">
            <w:pPr>
              <w:pStyle w:val="TAC"/>
            </w:pPr>
            <w:r w:rsidRPr="003264DB">
              <w:t>T</w:t>
            </w:r>
            <w:r w:rsidRPr="003264DB">
              <w:rPr>
                <w:vertAlign w:val="subscript"/>
              </w:rPr>
              <w:t>c</w:t>
            </w:r>
          </w:p>
        </w:tc>
      </w:tr>
      <w:tr w:rsidR="00686804" w:rsidRPr="003264DB" w14:paraId="660183BC" w14:textId="77777777" w:rsidTr="00051ED3">
        <w:trPr>
          <w:cantSplit/>
        </w:trPr>
        <w:tc>
          <w:tcPr>
            <w:tcW w:w="2693" w:type="dxa"/>
          </w:tcPr>
          <w:p w14:paraId="655CC622" w14:textId="77777777" w:rsidR="00686804" w:rsidRPr="003264DB" w:rsidRDefault="00686804" w:rsidP="00DA29A5">
            <w:pPr>
              <w:pStyle w:val="TAC"/>
            </w:pPr>
            <w:r w:rsidRPr="003264DB">
              <w:rPr>
                <w:lang w:eastAsia="zh-CN"/>
              </w:rPr>
              <w:t>DIFFRSTD</w:t>
            </w:r>
            <w:r w:rsidRPr="003264DB">
              <w:t>_001</w:t>
            </w:r>
          </w:p>
        </w:tc>
        <w:tc>
          <w:tcPr>
            <w:tcW w:w="2512" w:type="dxa"/>
          </w:tcPr>
          <w:p w14:paraId="3329FEC3" w14:textId="77777777" w:rsidR="00686804" w:rsidRPr="003264DB" w:rsidRDefault="00686804" w:rsidP="00DA29A5">
            <w:pPr>
              <w:pStyle w:val="TAC"/>
            </w:pPr>
            <w:r w:rsidRPr="003264DB">
              <w:rPr>
                <w:lang w:eastAsia="zh-CN"/>
              </w:rPr>
              <w:t xml:space="preserve">32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64</w:t>
            </w:r>
          </w:p>
        </w:tc>
        <w:tc>
          <w:tcPr>
            <w:tcW w:w="567" w:type="dxa"/>
          </w:tcPr>
          <w:p w14:paraId="6D1F54B5" w14:textId="77777777" w:rsidR="00686804" w:rsidRPr="003264DB" w:rsidRDefault="00686804" w:rsidP="002F5786">
            <w:pPr>
              <w:pStyle w:val="TAC"/>
            </w:pPr>
            <w:r w:rsidRPr="003264DB">
              <w:t>T</w:t>
            </w:r>
            <w:r w:rsidRPr="003264DB">
              <w:rPr>
                <w:vertAlign w:val="subscript"/>
              </w:rPr>
              <w:t>c</w:t>
            </w:r>
          </w:p>
        </w:tc>
      </w:tr>
      <w:tr w:rsidR="00686804" w:rsidRPr="003264DB" w14:paraId="62E54C40" w14:textId="77777777" w:rsidTr="00051ED3">
        <w:trPr>
          <w:cantSplit/>
        </w:trPr>
        <w:tc>
          <w:tcPr>
            <w:tcW w:w="2693" w:type="dxa"/>
          </w:tcPr>
          <w:p w14:paraId="6327B75C" w14:textId="77777777" w:rsidR="00686804" w:rsidRPr="003264DB" w:rsidRDefault="00686804" w:rsidP="00DA29A5">
            <w:pPr>
              <w:pStyle w:val="TAC"/>
            </w:pPr>
            <w:r w:rsidRPr="003264DB">
              <w:rPr>
                <w:lang w:eastAsia="zh-CN"/>
              </w:rPr>
              <w:t>DIFFRSTD</w:t>
            </w:r>
            <w:r w:rsidRPr="003264DB">
              <w:t>_002</w:t>
            </w:r>
          </w:p>
        </w:tc>
        <w:tc>
          <w:tcPr>
            <w:tcW w:w="2512" w:type="dxa"/>
          </w:tcPr>
          <w:p w14:paraId="05B22C20" w14:textId="77777777" w:rsidR="00686804" w:rsidRPr="003264DB" w:rsidRDefault="00686804" w:rsidP="00DA29A5">
            <w:pPr>
              <w:pStyle w:val="TAC"/>
            </w:pPr>
            <w:r w:rsidRPr="003264DB">
              <w:rPr>
                <w:lang w:eastAsia="zh-CN"/>
              </w:rPr>
              <w:t xml:space="preserve">64 </w:t>
            </w:r>
            <w:r w:rsidRPr="003264DB">
              <w:rPr>
                <w:lang w:eastAsia="zh-CN"/>
              </w:rPr>
              <w:sym w:font="Symbol" w:char="F0A3"/>
            </w:r>
            <w:r w:rsidRPr="003264DB">
              <w:rPr>
                <w:lang w:eastAsia="zh-CN"/>
              </w:rPr>
              <w:t xml:space="preserve"> </w:t>
            </w:r>
            <w:r w:rsidRPr="003264DB">
              <w:rPr>
                <w:lang w:eastAsia="zh-CN"/>
              </w:rPr>
              <w:sym w:font="Symbol" w:char="F044"/>
            </w:r>
            <w:r w:rsidRPr="003264DB">
              <w:rPr>
                <w:lang w:eastAsia="zh-CN"/>
              </w:rPr>
              <w:t>RSTD &lt; 96</w:t>
            </w:r>
          </w:p>
        </w:tc>
        <w:tc>
          <w:tcPr>
            <w:tcW w:w="567" w:type="dxa"/>
          </w:tcPr>
          <w:p w14:paraId="1F538A17" w14:textId="77777777" w:rsidR="00686804" w:rsidRPr="003264DB" w:rsidRDefault="00686804" w:rsidP="00DA29A5">
            <w:pPr>
              <w:pStyle w:val="TAC"/>
            </w:pPr>
            <w:r w:rsidRPr="003264DB">
              <w:t>T</w:t>
            </w:r>
            <w:r w:rsidRPr="003264DB">
              <w:rPr>
                <w:vertAlign w:val="subscript"/>
              </w:rPr>
              <w:t>c</w:t>
            </w:r>
          </w:p>
        </w:tc>
      </w:tr>
      <w:tr w:rsidR="00686804" w:rsidRPr="003264DB" w14:paraId="019C4971" w14:textId="77777777" w:rsidTr="00051ED3">
        <w:trPr>
          <w:cantSplit/>
        </w:trPr>
        <w:tc>
          <w:tcPr>
            <w:tcW w:w="2693" w:type="dxa"/>
          </w:tcPr>
          <w:p w14:paraId="11AB206C" w14:textId="77777777" w:rsidR="00686804" w:rsidRPr="003264DB" w:rsidRDefault="00686804" w:rsidP="00DA29A5">
            <w:pPr>
              <w:pStyle w:val="TAC"/>
            </w:pPr>
            <w:r w:rsidRPr="003264DB">
              <w:sym w:font="Symbol" w:char="F0BC"/>
            </w:r>
          </w:p>
        </w:tc>
        <w:tc>
          <w:tcPr>
            <w:tcW w:w="2512" w:type="dxa"/>
          </w:tcPr>
          <w:p w14:paraId="6D079BA9" w14:textId="77777777" w:rsidR="00686804" w:rsidRPr="003264DB" w:rsidRDefault="00686804" w:rsidP="00DA29A5">
            <w:pPr>
              <w:pStyle w:val="TAC"/>
            </w:pPr>
            <w:r w:rsidRPr="003264DB">
              <w:sym w:font="Symbol" w:char="F0BC"/>
            </w:r>
          </w:p>
        </w:tc>
        <w:tc>
          <w:tcPr>
            <w:tcW w:w="567" w:type="dxa"/>
          </w:tcPr>
          <w:p w14:paraId="57EB86B9" w14:textId="77777777" w:rsidR="00686804" w:rsidRPr="003264DB" w:rsidRDefault="00686804" w:rsidP="00DA29A5">
            <w:pPr>
              <w:pStyle w:val="TAC"/>
            </w:pPr>
            <w:r w:rsidRPr="003264DB">
              <w:t>…</w:t>
            </w:r>
          </w:p>
        </w:tc>
      </w:tr>
      <w:tr w:rsidR="00686804" w:rsidRPr="003264DB" w14:paraId="7EA7431B"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3BA2C8B" w14:textId="77777777" w:rsidR="00686804" w:rsidRPr="003264DB" w:rsidRDefault="00686804" w:rsidP="00DA29A5">
            <w:pPr>
              <w:pStyle w:val="TAC"/>
            </w:pPr>
            <w:r w:rsidRPr="003264DB">
              <w:rPr>
                <w:lang w:eastAsia="zh-CN"/>
              </w:rPr>
              <w:t>DIFFRSTD_253</w:t>
            </w:r>
          </w:p>
        </w:tc>
        <w:tc>
          <w:tcPr>
            <w:tcW w:w="2512" w:type="dxa"/>
            <w:tcBorders>
              <w:top w:val="single" w:sz="4" w:space="0" w:color="auto"/>
              <w:left w:val="single" w:sz="4" w:space="0" w:color="auto"/>
              <w:bottom w:val="single" w:sz="4" w:space="0" w:color="auto"/>
              <w:right w:val="single" w:sz="4" w:space="0" w:color="auto"/>
            </w:tcBorders>
          </w:tcPr>
          <w:p w14:paraId="784BCF0C" w14:textId="77777777" w:rsidR="00686804" w:rsidRPr="003264DB" w:rsidRDefault="00686804" w:rsidP="00DA29A5">
            <w:pPr>
              <w:pStyle w:val="TAC"/>
            </w:pPr>
            <w:r w:rsidRPr="003264DB">
              <w:rPr>
                <w:lang w:eastAsia="zh-CN"/>
              </w:rPr>
              <w:t xml:space="preserve">8096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8128</w:t>
            </w:r>
          </w:p>
        </w:tc>
        <w:tc>
          <w:tcPr>
            <w:tcW w:w="567" w:type="dxa"/>
            <w:tcBorders>
              <w:top w:val="single" w:sz="4" w:space="0" w:color="auto"/>
              <w:left w:val="single" w:sz="4" w:space="0" w:color="auto"/>
              <w:bottom w:val="single" w:sz="4" w:space="0" w:color="auto"/>
              <w:right w:val="single" w:sz="4" w:space="0" w:color="auto"/>
            </w:tcBorders>
          </w:tcPr>
          <w:p w14:paraId="0F530303" w14:textId="77777777" w:rsidR="00686804" w:rsidRPr="003264DB" w:rsidRDefault="00686804" w:rsidP="002F5786">
            <w:pPr>
              <w:pStyle w:val="TAC"/>
            </w:pPr>
            <w:r w:rsidRPr="003264DB">
              <w:t>T</w:t>
            </w:r>
            <w:r w:rsidRPr="003264DB">
              <w:rPr>
                <w:vertAlign w:val="subscript"/>
              </w:rPr>
              <w:t>c</w:t>
            </w:r>
          </w:p>
        </w:tc>
      </w:tr>
      <w:tr w:rsidR="00686804" w:rsidRPr="003264DB" w14:paraId="4DC40A41"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1C66BC6" w14:textId="77777777" w:rsidR="00686804" w:rsidRPr="003264DB" w:rsidRDefault="00686804" w:rsidP="00DA29A5">
            <w:pPr>
              <w:pStyle w:val="TAC"/>
              <w:rPr>
                <w:lang w:val="en-US"/>
              </w:rPr>
            </w:pPr>
            <w:r w:rsidRPr="003264DB">
              <w:rPr>
                <w:lang w:eastAsia="zh-CN"/>
              </w:rPr>
              <w:t>DIFFRSTD_254</w:t>
            </w:r>
          </w:p>
        </w:tc>
        <w:tc>
          <w:tcPr>
            <w:tcW w:w="2512" w:type="dxa"/>
            <w:tcBorders>
              <w:top w:val="single" w:sz="4" w:space="0" w:color="auto"/>
              <w:left w:val="single" w:sz="4" w:space="0" w:color="auto"/>
              <w:bottom w:val="single" w:sz="4" w:space="0" w:color="auto"/>
              <w:right w:val="single" w:sz="4" w:space="0" w:color="auto"/>
            </w:tcBorders>
          </w:tcPr>
          <w:p w14:paraId="64218CA1" w14:textId="77777777" w:rsidR="00686804" w:rsidRPr="003264DB" w:rsidRDefault="00686804" w:rsidP="00DA29A5">
            <w:pPr>
              <w:pStyle w:val="TAC"/>
            </w:pPr>
            <w:r w:rsidRPr="003264DB">
              <w:rPr>
                <w:lang w:eastAsia="zh-CN"/>
              </w:rPr>
              <w:t xml:space="preserve">8128 </w:t>
            </w:r>
            <w:r w:rsidRPr="003264DB">
              <w:sym w:font="Symbol" w:char="F0A3"/>
            </w:r>
            <w:r w:rsidRPr="003264DB">
              <w:rPr>
                <w:lang w:eastAsia="zh-CN"/>
              </w:rPr>
              <w:t xml:space="preserve"> </w:t>
            </w:r>
            <w:r w:rsidRPr="003264DB">
              <w:rPr>
                <w:lang w:eastAsia="zh-CN"/>
              </w:rPr>
              <w:sym w:font="Symbol" w:char="F044"/>
            </w:r>
            <w:r w:rsidRPr="003264DB">
              <w:rPr>
                <w:lang w:eastAsia="zh-CN"/>
              </w:rPr>
              <w:t xml:space="preserve">RSTD </w:t>
            </w:r>
            <w:r w:rsidRPr="003264DB">
              <w:t>&lt;</w:t>
            </w:r>
            <w:r w:rsidRPr="003264DB">
              <w:rPr>
                <w:lang w:eastAsia="zh-CN"/>
              </w:rPr>
              <w:t xml:space="preserve"> </w:t>
            </w:r>
            <w:r>
              <w:rPr>
                <w:lang w:eastAsia="zh-CN"/>
              </w:rPr>
              <w:t>8160</w:t>
            </w:r>
          </w:p>
        </w:tc>
        <w:tc>
          <w:tcPr>
            <w:tcW w:w="567" w:type="dxa"/>
            <w:tcBorders>
              <w:top w:val="single" w:sz="4" w:space="0" w:color="auto"/>
              <w:left w:val="single" w:sz="4" w:space="0" w:color="auto"/>
              <w:bottom w:val="single" w:sz="4" w:space="0" w:color="auto"/>
              <w:right w:val="single" w:sz="4" w:space="0" w:color="auto"/>
            </w:tcBorders>
          </w:tcPr>
          <w:p w14:paraId="761CE682" w14:textId="77777777" w:rsidR="00686804" w:rsidRPr="003264DB" w:rsidRDefault="00686804" w:rsidP="002F5786">
            <w:pPr>
              <w:pStyle w:val="TAC"/>
            </w:pPr>
            <w:r w:rsidRPr="003264DB">
              <w:t>T</w:t>
            </w:r>
            <w:r w:rsidRPr="003264DB">
              <w:rPr>
                <w:vertAlign w:val="subscript"/>
              </w:rPr>
              <w:t>c</w:t>
            </w:r>
          </w:p>
        </w:tc>
      </w:tr>
      <w:tr w:rsidR="00686804" w:rsidRPr="003264DB" w14:paraId="0172E4B6"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4CA315B" w14:textId="77777777" w:rsidR="00686804" w:rsidRPr="003264DB" w:rsidRDefault="00686804" w:rsidP="00DA29A5">
            <w:pPr>
              <w:pStyle w:val="TAC"/>
            </w:pPr>
            <w:r w:rsidRPr="003264DB">
              <w:rPr>
                <w:lang w:eastAsia="zh-CN"/>
              </w:rPr>
              <w:t>DIFFRSTD_255</w:t>
            </w:r>
          </w:p>
        </w:tc>
        <w:tc>
          <w:tcPr>
            <w:tcW w:w="2512" w:type="dxa"/>
            <w:tcBorders>
              <w:top w:val="single" w:sz="4" w:space="0" w:color="auto"/>
              <w:left w:val="single" w:sz="4" w:space="0" w:color="auto"/>
              <w:bottom w:val="single" w:sz="4" w:space="0" w:color="auto"/>
              <w:right w:val="single" w:sz="4" w:space="0" w:color="auto"/>
            </w:tcBorders>
          </w:tcPr>
          <w:p w14:paraId="0BD476C8" w14:textId="77777777" w:rsidR="00686804" w:rsidRPr="003264DB" w:rsidRDefault="00686804" w:rsidP="00DA29A5">
            <w:pPr>
              <w:pStyle w:val="TAC"/>
            </w:pPr>
            <w:r>
              <w:rPr>
                <w:lang w:eastAsia="zh-CN"/>
              </w:rPr>
              <w:t>8160</w:t>
            </w:r>
            <w:r w:rsidRPr="003264DB">
              <w:rPr>
                <w:lang w:eastAsia="zh-CN"/>
              </w:rPr>
              <w:t xml:space="preserve"> </w:t>
            </w:r>
            <w:r w:rsidRPr="003264DB">
              <w:sym w:font="Symbol" w:char="F0A3"/>
            </w:r>
            <w:r w:rsidRPr="003264DB">
              <w:rPr>
                <w:lang w:eastAsia="zh-CN"/>
              </w:rPr>
              <w:t xml:space="preserve"> </w:t>
            </w:r>
            <w:r w:rsidRPr="003264DB">
              <w:rPr>
                <w:lang w:eastAsia="zh-CN"/>
              </w:rPr>
              <w:sym w:font="Symbol" w:char="F044"/>
            </w:r>
            <w:r w:rsidRPr="003264DB">
              <w:rPr>
                <w:lang w:eastAsia="zh-CN"/>
              </w:rPr>
              <w:t>RSTD</w:t>
            </w:r>
          </w:p>
        </w:tc>
        <w:tc>
          <w:tcPr>
            <w:tcW w:w="567" w:type="dxa"/>
            <w:tcBorders>
              <w:top w:val="single" w:sz="4" w:space="0" w:color="auto"/>
              <w:left w:val="single" w:sz="4" w:space="0" w:color="auto"/>
              <w:bottom w:val="single" w:sz="4" w:space="0" w:color="auto"/>
              <w:right w:val="single" w:sz="4" w:space="0" w:color="auto"/>
            </w:tcBorders>
          </w:tcPr>
          <w:p w14:paraId="70DDA0E8" w14:textId="77777777" w:rsidR="00686804" w:rsidRPr="003264DB" w:rsidRDefault="00686804" w:rsidP="002F5786">
            <w:pPr>
              <w:pStyle w:val="TAC"/>
            </w:pPr>
            <w:r w:rsidRPr="003264DB">
              <w:t>T</w:t>
            </w:r>
            <w:r w:rsidRPr="003264DB">
              <w:rPr>
                <w:vertAlign w:val="subscript"/>
              </w:rPr>
              <w:t>c</w:t>
            </w:r>
          </w:p>
        </w:tc>
      </w:tr>
    </w:tbl>
    <w:p w14:paraId="2FBCDA7B" w14:textId="77777777" w:rsidR="00686804" w:rsidRDefault="00686804" w:rsidP="00686804">
      <w:pPr>
        <w:rPr>
          <w:sz w:val="22"/>
          <w:szCs w:val="22"/>
          <w:lang w:eastAsia="x-none"/>
        </w:rPr>
      </w:pPr>
    </w:p>
    <w:p w14:paraId="7B167BA5" w14:textId="77777777" w:rsidR="00686804" w:rsidRDefault="00686804">
      <w:pPr>
        <w:pStyle w:val="Heading5"/>
      </w:pPr>
      <w:r>
        <w:t>10</w:t>
      </w:r>
      <w:r w:rsidRPr="002D08F8">
        <w:t>.</w:t>
      </w:r>
      <w:r>
        <w:t>1</w:t>
      </w:r>
      <w:r w:rsidRPr="002D08F8">
        <w:t>.</w:t>
      </w:r>
      <w:r>
        <w:t>23.3.3</w:t>
      </w:r>
      <w:r>
        <w:tab/>
        <w:t>Additional Path Report Mapping for DL RSTD</w:t>
      </w:r>
    </w:p>
    <w:p w14:paraId="289261EA" w14:textId="77777777" w:rsidR="00686804" w:rsidRPr="00DE253F" w:rsidRDefault="00686804" w:rsidP="002F5786">
      <w:r w:rsidRPr="00DE253F">
        <w:t xml:space="preserve">The reporting range for the </w:t>
      </w:r>
      <w:r>
        <w:t>additional path reporting</w:t>
      </w:r>
      <w:r w:rsidRPr="00DE253F">
        <w:t xml:space="preserve"> </w:t>
      </w:r>
      <w:r>
        <w:t xml:space="preserve">for an RSTD measurement </w:t>
      </w:r>
      <w:r w:rsidRPr="00DE253F">
        <w:t xml:space="preserve">is defined </w:t>
      </w:r>
      <w:r>
        <w:t xml:space="preserve">up to the range </w:t>
      </w:r>
      <w:r w:rsidRPr="00DE253F">
        <w:t xml:space="preserve">from </w:t>
      </w:r>
      <w:r w:rsidRPr="00DE253F">
        <w:rPr>
          <w:lang w:eastAsia="zh-CN"/>
        </w:rPr>
        <w:t>-</w:t>
      </w:r>
      <w:r>
        <w:rPr>
          <w:lang w:eastAsia="zh-CN"/>
        </w:rPr>
        <w:t>8175</w:t>
      </w:r>
      <w:r w:rsidRPr="00DE253F">
        <w:sym w:font="Symbol" w:char="F0B4"/>
      </w:r>
      <w:r w:rsidRPr="00DE253F">
        <w:t>T</w:t>
      </w:r>
      <w:r w:rsidRPr="00DE253F">
        <w:rPr>
          <w:vertAlign w:val="subscript"/>
        </w:rPr>
        <w:t>c</w:t>
      </w:r>
      <w:r w:rsidRPr="00DE253F">
        <w:t xml:space="preserve"> to </w:t>
      </w:r>
      <w:r>
        <w:rPr>
          <w:lang w:eastAsia="zh-CN"/>
        </w:rPr>
        <w:t>8175</w:t>
      </w:r>
      <w:r w:rsidRPr="00DE253F">
        <w:sym w:font="Symbol" w:char="F0B4"/>
      </w:r>
      <w:r w:rsidRPr="00DE253F">
        <w:t>T</w:t>
      </w:r>
      <w:r w:rsidRPr="00DE253F">
        <w:rPr>
          <w:vertAlign w:val="subscript"/>
        </w:rPr>
        <w:t>c</w:t>
      </w:r>
      <w:r w:rsidRPr="00DE253F">
        <w:t xml:space="preserve"> with the resolution step of 2</w:t>
      </w:r>
      <w:r w:rsidRPr="00DE253F">
        <w:rPr>
          <w:i/>
          <w:iCs/>
          <w:vertAlign w:val="superscript"/>
          <w:lang w:eastAsia="zh-CN"/>
        </w:rPr>
        <w:t>k</w:t>
      </w:r>
      <w:r w:rsidRPr="00DE253F">
        <w:sym w:font="Symbol" w:char="F0B4"/>
      </w:r>
      <w:r w:rsidRPr="00DE253F">
        <w:t>T</w:t>
      </w:r>
      <w:r w:rsidRPr="00DE253F">
        <w:rPr>
          <w:vertAlign w:val="subscript"/>
        </w:rPr>
        <w:t>c</w:t>
      </w:r>
      <w:r w:rsidRPr="00DE253F">
        <w:t xml:space="preserve">, where </w:t>
      </w:r>
    </w:p>
    <w:p w14:paraId="12C31EB5" w14:textId="748CD19D" w:rsidR="00686804" w:rsidRPr="00DE253F" w:rsidRDefault="00686804" w:rsidP="002F5786">
      <w:pPr>
        <w:pStyle w:val="B10"/>
      </w:pPr>
      <w:r w:rsidRPr="000C0401">
        <w:t>T</w:t>
      </w:r>
      <w:r w:rsidRPr="000C0401">
        <w:rPr>
          <w:vertAlign w:val="subscript"/>
        </w:rPr>
        <w:t>c</w:t>
      </w:r>
      <w:r w:rsidRPr="000C0401">
        <w:t xml:space="preserve"> is defined in TS 38.211 [6]</w:t>
      </w:r>
      <w:r w:rsidRPr="00DE253F">
        <w:t>,</w:t>
      </w:r>
    </w:p>
    <w:p w14:paraId="627DD148" w14:textId="77777777" w:rsidR="00686804" w:rsidRDefault="00686804" w:rsidP="002F5786">
      <w:pPr>
        <w:pStyle w:val="B10"/>
      </w:pPr>
      <w:r w:rsidRPr="00DE253F">
        <w:rPr>
          <w:i/>
          <w:iCs/>
          <w:lang w:eastAsia="ja-JP"/>
        </w:rPr>
        <w:t>k</w:t>
      </w:r>
      <w:r w:rsidRPr="00DE253F">
        <w:rPr>
          <w:i/>
          <w:iCs/>
          <w:vertAlign w:val="subscript"/>
          <w:lang w:eastAsia="ja-JP"/>
        </w:rPr>
        <w:t>min</w:t>
      </w:r>
      <w:r w:rsidRPr="00DE253F">
        <w:rPr>
          <w:lang w:eastAsia="ja-JP"/>
        </w:rPr>
        <w:t>≤</w:t>
      </w:r>
      <w:r w:rsidRPr="00DE253F">
        <w:rPr>
          <w:i/>
          <w:iCs/>
        </w:rPr>
        <w:t>k</w:t>
      </w:r>
      <w:r w:rsidRPr="00DE253F">
        <w:rPr>
          <w:lang w:eastAsia="ja-JP"/>
        </w:rPr>
        <w:t>≤</w:t>
      </w:r>
      <w:r w:rsidRPr="00DE253F">
        <w:rPr>
          <w:i/>
          <w:iCs/>
          <w:lang w:eastAsia="ja-JP"/>
        </w:rPr>
        <w:t>k</w:t>
      </w:r>
      <w:r w:rsidRPr="00DE253F">
        <w:rPr>
          <w:i/>
          <w:iCs/>
          <w:vertAlign w:val="subscript"/>
          <w:lang w:eastAsia="ja-JP"/>
        </w:rPr>
        <w:t>max</w:t>
      </w:r>
      <w:r w:rsidRPr="00DE253F">
        <w:t xml:space="preserve">, </w:t>
      </w:r>
    </w:p>
    <w:p w14:paraId="0FD29498" w14:textId="77777777" w:rsidR="00686804" w:rsidRPr="003264DB" w:rsidRDefault="00686804" w:rsidP="002F5786">
      <w:pPr>
        <w:pStyle w:val="B10"/>
      </w:pPr>
      <w:r w:rsidRPr="003264DB">
        <w:rPr>
          <w:i/>
          <w:iCs/>
          <w:lang w:eastAsia="ja-JP"/>
        </w:rPr>
        <w:t>k</w:t>
      </w:r>
      <w:r w:rsidRPr="003264DB">
        <w:rPr>
          <w:i/>
          <w:iCs/>
          <w:vertAlign w:val="subscript"/>
          <w:lang w:eastAsia="ja-JP"/>
        </w:rPr>
        <w:t>min</w:t>
      </w:r>
      <w:r w:rsidRPr="003264DB">
        <w:rPr>
          <w:lang w:eastAsia="ja-JP"/>
        </w:rPr>
        <w:t>=</w:t>
      </w:r>
      <w:r>
        <w:rPr>
          <w:lang w:eastAsia="ja-JP"/>
        </w:rPr>
        <w:t>[2]</w:t>
      </w:r>
      <w:r w:rsidRPr="003264DB">
        <w:rPr>
          <w:lang w:eastAsia="ja-JP"/>
        </w:rPr>
        <w:t xml:space="preserve"> and </w:t>
      </w:r>
      <w:r w:rsidRPr="003264DB">
        <w:rPr>
          <w:i/>
          <w:iCs/>
          <w:lang w:eastAsia="ja-JP"/>
        </w:rPr>
        <w:t>k</w:t>
      </w:r>
      <w:r w:rsidRPr="003264DB">
        <w:rPr>
          <w:i/>
          <w:iCs/>
          <w:vertAlign w:val="subscript"/>
          <w:lang w:eastAsia="ja-JP"/>
        </w:rPr>
        <w:t>max</w:t>
      </w:r>
      <w:r w:rsidRPr="003264DB">
        <w:rPr>
          <w:lang w:eastAsia="ja-JP"/>
        </w:rPr>
        <w:t>=5, when configured PRS resource of at least one of the reference cell and neighbor cell measured for the RSTD measurement is in FR1,</w:t>
      </w:r>
    </w:p>
    <w:p w14:paraId="1C9B521A" w14:textId="77777777" w:rsidR="00686804" w:rsidRPr="00D01F4B" w:rsidRDefault="00686804" w:rsidP="002F5786">
      <w:pPr>
        <w:pStyle w:val="B10"/>
        <w:rPr>
          <w:lang w:val="en-US" w:eastAsia="ja-JP"/>
        </w:rPr>
      </w:pPr>
      <w:r w:rsidRPr="00D01F4B">
        <w:rPr>
          <w:i/>
          <w:iCs/>
          <w:lang w:eastAsia="ja-JP"/>
        </w:rPr>
        <w:t>k</w:t>
      </w:r>
      <w:r w:rsidRPr="00D01F4B">
        <w:rPr>
          <w:i/>
          <w:iCs/>
          <w:vertAlign w:val="subscript"/>
          <w:lang w:eastAsia="ja-JP"/>
        </w:rPr>
        <w:t>min</w:t>
      </w:r>
      <w:r w:rsidRPr="00D01F4B">
        <w:rPr>
          <w:lang w:eastAsia="ja-JP"/>
        </w:rPr>
        <w:t xml:space="preserve">=0 and </w:t>
      </w:r>
      <w:r w:rsidRPr="00D01F4B">
        <w:rPr>
          <w:i/>
          <w:iCs/>
          <w:lang w:eastAsia="ja-JP"/>
        </w:rPr>
        <w:t>k</w:t>
      </w:r>
      <w:r w:rsidRPr="00D01F4B">
        <w:rPr>
          <w:i/>
          <w:iCs/>
          <w:vertAlign w:val="subscript"/>
          <w:lang w:eastAsia="ja-JP"/>
        </w:rPr>
        <w:t>max</w:t>
      </w:r>
      <w:r w:rsidRPr="00D01F4B">
        <w:rPr>
          <w:lang w:eastAsia="ja-JP"/>
        </w:rPr>
        <w:t>=5, when configured PRS resource of both the reference cell and neighbor cell measured for the RSTD measurement are in FR2,</w:t>
      </w:r>
    </w:p>
    <w:p w14:paraId="0DA982D8" w14:textId="77777777" w:rsidR="00686804" w:rsidRPr="00D01F4B" w:rsidRDefault="00686804" w:rsidP="002F5786">
      <w:pPr>
        <w:pStyle w:val="B10"/>
        <w:rPr>
          <w:lang w:val="en-US" w:eastAsia="ja-JP"/>
        </w:rPr>
      </w:pPr>
      <w:r w:rsidRPr="00D01F4B">
        <w:rPr>
          <w:i/>
          <w:iCs/>
          <w:lang w:eastAsia="ja-JP"/>
        </w:rPr>
        <w:t>k≥</w:t>
      </w:r>
      <w:r w:rsidRPr="00D01F4B">
        <w:rPr>
          <w:lang w:eastAsia="ja-JP"/>
        </w:rPr>
        <w:t xml:space="preserve"> </w:t>
      </w:r>
      <w:r w:rsidRPr="00D01F4B">
        <w:rPr>
          <w:i/>
          <w:iCs/>
          <w:snapToGrid w:val="0"/>
        </w:rPr>
        <w:t xml:space="preserve">timingReportingGranularityFactor </w:t>
      </w:r>
      <w:r w:rsidRPr="00D01F4B">
        <w:rPr>
          <w:snapToGrid w:val="0"/>
        </w:rPr>
        <w:t>[34] configured by LMF via LPP for the RSTD measurement</w:t>
      </w:r>
      <w:r w:rsidRPr="00D01F4B">
        <w:rPr>
          <w:lang w:eastAsia="ja-JP"/>
        </w:rPr>
        <w:t>.</w:t>
      </w:r>
      <w:r w:rsidRPr="00D01F4B">
        <w:rPr>
          <w:i/>
          <w:iCs/>
          <w:lang w:eastAsia="ja-JP"/>
        </w:rPr>
        <w:t xml:space="preserve"> </w:t>
      </w:r>
    </w:p>
    <w:p w14:paraId="3B0D5250" w14:textId="77777777" w:rsidR="00686804" w:rsidRPr="00D01F4B" w:rsidRDefault="00686804" w:rsidP="002F5786">
      <w:pPr>
        <w:rPr>
          <w:lang w:val="en-US" w:eastAsia="ja-JP"/>
        </w:rPr>
      </w:pPr>
      <w:r w:rsidRPr="00D01F4B">
        <w:rPr>
          <w:lang w:val="en-US" w:eastAsia="ja-JP"/>
        </w:rPr>
        <w:t>The UE can report the timing of up to two additional paths with respect to the path timing determining the RSTD measurement.</w:t>
      </w:r>
    </w:p>
    <w:p w14:paraId="0396725E" w14:textId="4F2DAF8A" w:rsidR="00F477B1" w:rsidRDefault="00F477B1" w:rsidP="002F5786">
      <w:pPr>
        <w:rPr>
          <w:lang w:val="en-US" w:eastAsia="ja-JP"/>
        </w:rPr>
      </w:pPr>
      <w:r w:rsidRPr="007D085D">
        <w:rPr>
          <w:lang w:val="en-US" w:eastAsia="ja-JP"/>
        </w:rPr>
        <w:t xml:space="preserve">A UE capable of  </w:t>
      </w:r>
      <w:r w:rsidRPr="008A7648">
        <w:rPr>
          <w:i/>
          <w:iCs/>
          <w:lang w:val="en-US" w:eastAsia="ja-JP"/>
        </w:rPr>
        <w:t>additionalPathsExtSupport-r17</w:t>
      </w:r>
      <w:r w:rsidRPr="007D085D">
        <w:rPr>
          <w:lang w:val="en-US" w:eastAsia="ja-JP"/>
        </w:rPr>
        <w:t xml:space="preserve"> can report the timing for a number additional paths, up to its capability, with respect to the path timing determining the RSTD measurement.</w:t>
      </w:r>
    </w:p>
    <w:p w14:paraId="091BA999" w14:textId="15EEC208" w:rsidR="00686804" w:rsidRPr="00676B34" w:rsidRDefault="00686804" w:rsidP="002F5786">
      <w:pPr>
        <w:rPr>
          <w:lang w:val="en-US" w:eastAsia="ja-JP"/>
        </w:rPr>
      </w:pPr>
      <w:r w:rsidRPr="00DE253F">
        <w:rPr>
          <w:lang w:val="en-US" w:eastAsia="ja-JP"/>
        </w:rPr>
        <w:t>The report mapping</w:t>
      </w:r>
      <w:r>
        <w:rPr>
          <w:lang w:val="en-US" w:eastAsia="ja-JP"/>
        </w:rPr>
        <w:t>s</w:t>
      </w:r>
      <w:r w:rsidRPr="00DE253F">
        <w:rPr>
          <w:lang w:val="en-US" w:eastAsia="ja-JP"/>
        </w:rPr>
        <w:t xml:space="preserve"> for different </w:t>
      </w:r>
      <w:r w:rsidRPr="00DE253F">
        <w:rPr>
          <w:i/>
          <w:iCs/>
          <w:lang w:val="en-US" w:eastAsia="ja-JP"/>
        </w:rPr>
        <w:t>k</w:t>
      </w:r>
      <w:r w:rsidRPr="00DE253F">
        <w:rPr>
          <w:lang w:val="en-US" w:eastAsia="ja-JP"/>
        </w:rPr>
        <w:t xml:space="preserve"> values are specified in Tables 10.1.23.3.</w:t>
      </w:r>
      <w:r>
        <w:rPr>
          <w:lang w:val="en-US" w:eastAsia="ja-JP"/>
        </w:rPr>
        <w:t>3</w:t>
      </w:r>
      <w:r w:rsidRPr="00DE253F">
        <w:rPr>
          <w:lang w:val="en-US" w:eastAsia="ja-JP"/>
        </w:rPr>
        <w:t xml:space="preserve">-1 </w:t>
      </w:r>
      <w:r w:rsidRPr="00DE253F">
        <w:rPr>
          <w:lang w:val="en-US" w:eastAsia="ja-JP"/>
        </w:rPr>
        <w:sym w:font="Symbol" w:char="F02D"/>
      </w:r>
      <w:r w:rsidRPr="00DE253F">
        <w:rPr>
          <w:lang w:val="en-US" w:eastAsia="ja-JP"/>
        </w:rPr>
        <w:t xml:space="preserve"> 10.1.23.3.</w:t>
      </w:r>
      <w:r>
        <w:rPr>
          <w:lang w:val="en-US" w:eastAsia="ja-JP"/>
        </w:rPr>
        <w:t>3</w:t>
      </w:r>
      <w:r w:rsidRPr="00DE253F">
        <w:rPr>
          <w:lang w:val="en-US" w:eastAsia="ja-JP"/>
        </w:rPr>
        <w:t>-6.</w:t>
      </w:r>
    </w:p>
    <w:p w14:paraId="05460098" w14:textId="77777777" w:rsidR="00686804" w:rsidRDefault="00686804" w:rsidP="002F5786">
      <w:pPr>
        <w:pStyle w:val="TH"/>
      </w:pPr>
      <w:r w:rsidRPr="00DE253F">
        <w:t xml:space="preserve">Table </w:t>
      </w:r>
      <w:r>
        <w:t>10.1.23.3.3-1</w:t>
      </w:r>
      <w:r w:rsidRPr="00DE253F">
        <w:t xml:space="preserve">: </w:t>
      </w:r>
      <w:r>
        <w:t xml:space="preserve">Report mapping for </w:t>
      </w:r>
      <w:r w:rsidRPr="00DE253F">
        <w:rPr>
          <w:i/>
          <w:iCs/>
        </w:rPr>
        <w:t>k</w:t>
      </w:r>
      <w:r>
        <w:t>=0</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686804" w:rsidRPr="002A78AE" w14:paraId="15760470" w14:textId="77777777" w:rsidTr="00A22C44">
        <w:trPr>
          <w:cantSplit/>
          <w:trHeight w:val="207"/>
        </w:trPr>
        <w:tc>
          <w:tcPr>
            <w:tcW w:w="2693" w:type="dxa"/>
            <w:vMerge w:val="restart"/>
          </w:tcPr>
          <w:p w14:paraId="6991688F" w14:textId="77777777" w:rsidR="00686804" w:rsidRPr="002A78AE" w:rsidRDefault="00686804" w:rsidP="00A22C44">
            <w:pPr>
              <w:pStyle w:val="TAH"/>
            </w:pPr>
            <w:r w:rsidRPr="002A78AE">
              <w:t>Reported Quantity Value</w:t>
            </w:r>
            <w:r>
              <w:t>,</w:t>
            </w:r>
          </w:p>
          <w:p w14:paraId="0A652FA3" w14:textId="77777777" w:rsidR="00686804" w:rsidRPr="002A78AE" w:rsidRDefault="00686804" w:rsidP="00A22C44">
            <w:pPr>
              <w:pStyle w:val="TAH"/>
            </w:pPr>
            <w:r>
              <w:t>path</w:t>
            </w:r>
            <w:r w:rsidRPr="002A78AE">
              <w:t>_i</w:t>
            </w:r>
          </w:p>
        </w:tc>
        <w:tc>
          <w:tcPr>
            <w:tcW w:w="2694" w:type="dxa"/>
            <w:vMerge w:val="restart"/>
          </w:tcPr>
          <w:p w14:paraId="66E13317" w14:textId="77777777" w:rsidR="00686804" w:rsidRDefault="00686804" w:rsidP="00A22C44">
            <w:pPr>
              <w:pStyle w:val="TAH"/>
            </w:pPr>
            <w:r w:rsidRPr="002A78AE">
              <w:t>Measured Quantity Value</w:t>
            </w:r>
            <w:r>
              <w:t>,</w:t>
            </w:r>
          </w:p>
          <w:p w14:paraId="6871E001" w14:textId="77777777" w:rsidR="00686804" w:rsidRPr="002A78AE" w:rsidRDefault="00686804" w:rsidP="00A22C44">
            <w:pPr>
              <w:pStyle w:val="TAH"/>
            </w:pPr>
            <w:r>
              <w:sym w:font="Symbol" w:char="F044"/>
            </w:r>
            <w:r>
              <w:t>path</w:t>
            </w:r>
          </w:p>
        </w:tc>
        <w:tc>
          <w:tcPr>
            <w:tcW w:w="567" w:type="dxa"/>
            <w:vMerge w:val="restart"/>
          </w:tcPr>
          <w:p w14:paraId="73AB80B8" w14:textId="77777777" w:rsidR="00686804" w:rsidRPr="002A78AE" w:rsidRDefault="00686804" w:rsidP="00A22C44">
            <w:pPr>
              <w:pStyle w:val="TAH"/>
            </w:pPr>
            <w:r w:rsidRPr="002A78AE">
              <w:t>Unit</w:t>
            </w:r>
          </w:p>
        </w:tc>
      </w:tr>
      <w:tr w:rsidR="00686804" w:rsidRPr="002A78AE" w14:paraId="22656249" w14:textId="77777777" w:rsidTr="00A22C44">
        <w:trPr>
          <w:cantSplit/>
          <w:trHeight w:val="207"/>
        </w:trPr>
        <w:tc>
          <w:tcPr>
            <w:tcW w:w="2693" w:type="dxa"/>
            <w:vMerge/>
            <w:vAlign w:val="center"/>
          </w:tcPr>
          <w:p w14:paraId="6B94FE3F" w14:textId="77777777" w:rsidR="00686804" w:rsidRPr="002A78AE" w:rsidRDefault="00686804" w:rsidP="00051ED3">
            <w:pPr>
              <w:pStyle w:val="TAH"/>
              <w:jc w:val="left"/>
              <w:rPr>
                <w:rFonts w:cs="Arial"/>
                <w:szCs w:val="18"/>
              </w:rPr>
            </w:pPr>
          </w:p>
        </w:tc>
        <w:tc>
          <w:tcPr>
            <w:tcW w:w="2694" w:type="dxa"/>
            <w:vMerge/>
            <w:vAlign w:val="center"/>
          </w:tcPr>
          <w:p w14:paraId="4DEAB49E" w14:textId="77777777" w:rsidR="00686804" w:rsidRPr="002A78AE" w:rsidRDefault="00686804" w:rsidP="00051ED3">
            <w:pPr>
              <w:pStyle w:val="TAH"/>
              <w:rPr>
                <w:rFonts w:cs="Arial"/>
                <w:szCs w:val="18"/>
              </w:rPr>
            </w:pPr>
          </w:p>
        </w:tc>
        <w:tc>
          <w:tcPr>
            <w:tcW w:w="567" w:type="dxa"/>
            <w:vMerge/>
            <w:vAlign w:val="center"/>
          </w:tcPr>
          <w:p w14:paraId="401FE372" w14:textId="77777777" w:rsidR="00686804" w:rsidRPr="002A78AE" w:rsidRDefault="00686804" w:rsidP="00051ED3">
            <w:pPr>
              <w:pStyle w:val="TAH"/>
              <w:rPr>
                <w:rFonts w:cs="Arial"/>
                <w:szCs w:val="18"/>
              </w:rPr>
            </w:pPr>
          </w:p>
        </w:tc>
      </w:tr>
      <w:tr w:rsidR="00686804" w:rsidRPr="002A78AE" w14:paraId="22945A49" w14:textId="77777777" w:rsidTr="00A22C44">
        <w:trPr>
          <w:cantSplit/>
          <w:trHeight w:val="187"/>
        </w:trPr>
        <w:tc>
          <w:tcPr>
            <w:tcW w:w="2693" w:type="dxa"/>
          </w:tcPr>
          <w:p w14:paraId="26784424" w14:textId="77777777" w:rsidR="00686804" w:rsidRPr="002A78AE" w:rsidRDefault="00686804" w:rsidP="00DA29A5">
            <w:pPr>
              <w:pStyle w:val="TAC"/>
            </w:pPr>
            <w:r>
              <w:rPr>
                <w:lang w:eastAsia="zh-CN"/>
              </w:rPr>
              <w:t>path</w:t>
            </w:r>
            <w:r w:rsidRPr="002A78AE">
              <w:t>_000</w:t>
            </w:r>
            <w:r>
              <w:t>0</w:t>
            </w:r>
            <w:r w:rsidRPr="002A78AE">
              <w:t>0</w:t>
            </w:r>
          </w:p>
        </w:tc>
        <w:tc>
          <w:tcPr>
            <w:tcW w:w="2694" w:type="dxa"/>
          </w:tcPr>
          <w:p w14:paraId="6EDAE6B4" w14:textId="77777777" w:rsidR="00686804" w:rsidRPr="002A78AE" w:rsidRDefault="00686804" w:rsidP="00DA29A5">
            <w:pPr>
              <w:pStyle w:val="TAC"/>
            </w:pPr>
            <w:r>
              <w:sym w:font="Symbol" w:char="F044"/>
            </w:r>
            <w:r>
              <w:t>path</w:t>
            </w:r>
            <w:r w:rsidRPr="002A78AE">
              <w:rPr>
                <w:lang w:eastAsia="zh-CN"/>
              </w:rPr>
              <w:t xml:space="preserve"> &lt; -</w:t>
            </w:r>
            <w:r>
              <w:rPr>
                <w:lang w:eastAsia="zh-CN"/>
              </w:rPr>
              <w:t>8175</w:t>
            </w:r>
          </w:p>
        </w:tc>
        <w:tc>
          <w:tcPr>
            <w:tcW w:w="567" w:type="dxa"/>
          </w:tcPr>
          <w:p w14:paraId="5ED1681F" w14:textId="77777777" w:rsidR="00686804" w:rsidRPr="002A78AE" w:rsidRDefault="00686804" w:rsidP="002F5786">
            <w:pPr>
              <w:pStyle w:val="TAC"/>
            </w:pPr>
            <w:r w:rsidRPr="002A78AE">
              <w:t>T</w:t>
            </w:r>
            <w:r w:rsidRPr="002A78AE">
              <w:rPr>
                <w:vertAlign w:val="subscript"/>
              </w:rPr>
              <w:t>c</w:t>
            </w:r>
          </w:p>
        </w:tc>
      </w:tr>
      <w:tr w:rsidR="00686804" w:rsidRPr="002A78AE" w14:paraId="05152F64" w14:textId="77777777" w:rsidTr="00A22C44">
        <w:trPr>
          <w:cantSplit/>
          <w:trHeight w:val="187"/>
        </w:trPr>
        <w:tc>
          <w:tcPr>
            <w:tcW w:w="2693" w:type="dxa"/>
          </w:tcPr>
          <w:p w14:paraId="30586103" w14:textId="77777777" w:rsidR="00686804" w:rsidRPr="002A78AE" w:rsidRDefault="00686804" w:rsidP="00DA29A5">
            <w:pPr>
              <w:pStyle w:val="TAC"/>
            </w:pPr>
            <w:r>
              <w:rPr>
                <w:lang w:eastAsia="zh-CN"/>
              </w:rPr>
              <w:t>path</w:t>
            </w:r>
            <w:r w:rsidRPr="002A78AE">
              <w:t>_000</w:t>
            </w:r>
            <w:r>
              <w:t>0</w:t>
            </w:r>
            <w:r w:rsidRPr="002A78AE">
              <w:t>1</w:t>
            </w:r>
          </w:p>
        </w:tc>
        <w:tc>
          <w:tcPr>
            <w:tcW w:w="2694" w:type="dxa"/>
          </w:tcPr>
          <w:p w14:paraId="498E764C" w14:textId="77777777" w:rsidR="00686804" w:rsidRPr="002A78AE" w:rsidRDefault="00686804" w:rsidP="00DA29A5">
            <w:pPr>
              <w:pStyle w:val="TAC"/>
            </w:pPr>
            <w:r w:rsidRPr="002A78AE">
              <w:rPr>
                <w:lang w:eastAsia="zh-CN"/>
              </w:rPr>
              <w:t>-</w:t>
            </w:r>
            <w:r>
              <w:rPr>
                <w:lang w:eastAsia="zh-CN"/>
              </w:rPr>
              <w:t>8175</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8174</w:t>
            </w:r>
          </w:p>
        </w:tc>
        <w:tc>
          <w:tcPr>
            <w:tcW w:w="567" w:type="dxa"/>
          </w:tcPr>
          <w:p w14:paraId="795D2303" w14:textId="77777777" w:rsidR="00686804" w:rsidRPr="002A78AE" w:rsidRDefault="00686804" w:rsidP="002F5786">
            <w:pPr>
              <w:pStyle w:val="TAC"/>
            </w:pPr>
            <w:r w:rsidRPr="002A78AE">
              <w:t>T</w:t>
            </w:r>
            <w:r w:rsidRPr="002A78AE">
              <w:rPr>
                <w:vertAlign w:val="subscript"/>
              </w:rPr>
              <w:t>c</w:t>
            </w:r>
          </w:p>
        </w:tc>
      </w:tr>
      <w:tr w:rsidR="00686804" w:rsidRPr="002A78AE" w14:paraId="0785883A" w14:textId="77777777" w:rsidTr="00A22C44">
        <w:trPr>
          <w:cantSplit/>
          <w:trHeight w:val="187"/>
        </w:trPr>
        <w:tc>
          <w:tcPr>
            <w:tcW w:w="2693" w:type="dxa"/>
          </w:tcPr>
          <w:p w14:paraId="18C7C834" w14:textId="77777777" w:rsidR="00686804" w:rsidRPr="002A78AE" w:rsidRDefault="00686804" w:rsidP="00DA29A5">
            <w:pPr>
              <w:pStyle w:val="TAC"/>
            </w:pPr>
            <w:r>
              <w:rPr>
                <w:lang w:eastAsia="zh-CN"/>
              </w:rPr>
              <w:t>path</w:t>
            </w:r>
            <w:r w:rsidRPr="002A78AE">
              <w:t>_000</w:t>
            </w:r>
            <w:r>
              <w:t>0</w:t>
            </w:r>
            <w:r w:rsidRPr="002A78AE">
              <w:t>2</w:t>
            </w:r>
          </w:p>
        </w:tc>
        <w:tc>
          <w:tcPr>
            <w:tcW w:w="2694" w:type="dxa"/>
          </w:tcPr>
          <w:p w14:paraId="43582132" w14:textId="77777777" w:rsidR="00686804" w:rsidRPr="002A78AE" w:rsidRDefault="00686804" w:rsidP="00DA29A5">
            <w:pPr>
              <w:pStyle w:val="TAC"/>
            </w:pPr>
            <w:r w:rsidRPr="002A78AE">
              <w:rPr>
                <w:lang w:eastAsia="zh-CN"/>
              </w:rPr>
              <w:t>-</w:t>
            </w:r>
            <w:r>
              <w:rPr>
                <w:lang w:eastAsia="zh-CN"/>
              </w:rPr>
              <w:t>8174</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8173</w:t>
            </w:r>
          </w:p>
        </w:tc>
        <w:tc>
          <w:tcPr>
            <w:tcW w:w="567" w:type="dxa"/>
          </w:tcPr>
          <w:p w14:paraId="26FE5EBF" w14:textId="77777777" w:rsidR="00686804" w:rsidRPr="002A78AE" w:rsidRDefault="00686804" w:rsidP="00DA29A5">
            <w:pPr>
              <w:pStyle w:val="TAC"/>
            </w:pPr>
            <w:r w:rsidRPr="002A78AE">
              <w:t>T</w:t>
            </w:r>
            <w:r w:rsidRPr="002A78AE">
              <w:rPr>
                <w:vertAlign w:val="subscript"/>
              </w:rPr>
              <w:t>c</w:t>
            </w:r>
          </w:p>
        </w:tc>
      </w:tr>
      <w:tr w:rsidR="00686804" w:rsidRPr="002A78AE" w14:paraId="08D95CC5" w14:textId="77777777" w:rsidTr="00A22C44">
        <w:trPr>
          <w:cantSplit/>
          <w:trHeight w:val="187"/>
        </w:trPr>
        <w:tc>
          <w:tcPr>
            <w:tcW w:w="2693" w:type="dxa"/>
          </w:tcPr>
          <w:p w14:paraId="28C7CD72" w14:textId="77777777" w:rsidR="00686804" w:rsidRPr="002A78AE" w:rsidRDefault="00686804" w:rsidP="00DA29A5">
            <w:pPr>
              <w:pStyle w:val="TAC"/>
            </w:pPr>
            <w:r w:rsidRPr="002A78AE">
              <w:sym w:font="Symbol" w:char="F0BC"/>
            </w:r>
          </w:p>
        </w:tc>
        <w:tc>
          <w:tcPr>
            <w:tcW w:w="2694" w:type="dxa"/>
          </w:tcPr>
          <w:p w14:paraId="142166FB" w14:textId="77777777" w:rsidR="00686804" w:rsidRPr="002A78AE" w:rsidRDefault="00686804" w:rsidP="00DA29A5">
            <w:pPr>
              <w:pStyle w:val="TAC"/>
            </w:pPr>
            <w:r w:rsidRPr="002A78AE">
              <w:sym w:font="Symbol" w:char="F0BC"/>
            </w:r>
          </w:p>
        </w:tc>
        <w:tc>
          <w:tcPr>
            <w:tcW w:w="567" w:type="dxa"/>
          </w:tcPr>
          <w:p w14:paraId="6078797B" w14:textId="77777777" w:rsidR="00686804" w:rsidRPr="002A78AE" w:rsidRDefault="00686804" w:rsidP="00DA29A5">
            <w:pPr>
              <w:pStyle w:val="TAC"/>
            </w:pPr>
            <w:r w:rsidRPr="002A78AE">
              <w:t>…</w:t>
            </w:r>
          </w:p>
        </w:tc>
      </w:tr>
      <w:tr w:rsidR="00686804" w:rsidRPr="002A78AE" w14:paraId="112F43F8" w14:textId="77777777" w:rsidTr="00A22C44">
        <w:trPr>
          <w:cantSplit/>
          <w:trHeight w:val="187"/>
        </w:trPr>
        <w:tc>
          <w:tcPr>
            <w:tcW w:w="2693" w:type="dxa"/>
          </w:tcPr>
          <w:p w14:paraId="15C8B96D" w14:textId="77777777" w:rsidR="00686804" w:rsidRPr="002A78AE" w:rsidRDefault="00686804" w:rsidP="00DA29A5">
            <w:pPr>
              <w:pStyle w:val="TAC"/>
            </w:pPr>
            <w:r>
              <w:rPr>
                <w:lang w:eastAsia="zh-CN"/>
              </w:rPr>
              <w:t>path</w:t>
            </w:r>
            <w:r w:rsidRPr="002A78AE">
              <w:rPr>
                <w:lang w:eastAsia="zh-CN"/>
              </w:rPr>
              <w:t>_</w:t>
            </w:r>
            <w:r>
              <w:rPr>
                <w:lang w:eastAsia="zh-CN"/>
              </w:rPr>
              <w:t>08175</w:t>
            </w:r>
          </w:p>
        </w:tc>
        <w:tc>
          <w:tcPr>
            <w:tcW w:w="2694" w:type="dxa"/>
          </w:tcPr>
          <w:p w14:paraId="507E457E" w14:textId="77777777" w:rsidR="00686804" w:rsidRPr="002A78AE" w:rsidRDefault="00686804" w:rsidP="00DA29A5">
            <w:pPr>
              <w:pStyle w:val="TAC"/>
            </w:pPr>
            <w:r w:rsidRPr="002A78AE">
              <w:rPr>
                <w:lang w:eastAsia="zh-CN"/>
              </w:rPr>
              <w:t>-1</w:t>
            </w:r>
            <w:r w:rsidRPr="002A78AE">
              <w:t xml:space="preserve"> </w:t>
            </w:r>
            <w:r w:rsidRPr="002A78AE">
              <w:sym w:font="Symbol" w:char="F0A3"/>
            </w:r>
            <w:r w:rsidRPr="002A78AE">
              <w:t xml:space="preserve"> </w:t>
            </w:r>
            <w:r>
              <w:sym w:font="Symbol" w:char="F044"/>
            </w:r>
            <w:r>
              <w:t>path</w:t>
            </w:r>
            <w:r w:rsidRPr="002A78AE">
              <w:t xml:space="preserve"> &lt; </w:t>
            </w:r>
            <w:r w:rsidRPr="002A78AE">
              <w:rPr>
                <w:lang w:eastAsia="zh-CN"/>
              </w:rPr>
              <w:t>0</w:t>
            </w:r>
          </w:p>
        </w:tc>
        <w:tc>
          <w:tcPr>
            <w:tcW w:w="567" w:type="dxa"/>
          </w:tcPr>
          <w:p w14:paraId="173CC3C6" w14:textId="77777777" w:rsidR="00686804" w:rsidRPr="002A78AE" w:rsidRDefault="00686804" w:rsidP="002F5786">
            <w:pPr>
              <w:pStyle w:val="TAC"/>
            </w:pPr>
            <w:r w:rsidRPr="002A78AE">
              <w:t>T</w:t>
            </w:r>
            <w:r w:rsidRPr="002A78AE">
              <w:rPr>
                <w:vertAlign w:val="subscript"/>
              </w:rPr>
              <w:t>c</w:t>
            </w:r>
          </w:p>
        </w:tc>
      </w:tr>
      <w:tr w:rsidR="00686804" w:rsidRPr="002A78AE" w14:paraId="177BD765" w14:textId="77777777" w:rsidTr="00A22C44">
        <w:trPr>
          <w:cantSplit/>
          <w:trHeight w:val="187"/>
        </w:trPr>
        <w:tc>
          <w:tcPr>
            <w:tcW w:w="2693" w:type="dxa"/>
          </w:tcPr>
          <w:p w14:paraId="5D4F4E0B" w14:textId="77777777" w:rsidR="00686804" w:rsidRPr="002A78AE" w:rsidRDefault="00686804" w:rsidP="00DA29A5">
            <w:pPr>
              <w:pStyle w:val="TAC"/>
            </w:pPr>
            <w:r>
              <w:rPr>
                <w:lang w:eastAsia="zh-CN"/>
              </w:rPr>
              <w:t>path</w:t>
            </w:r>
            <w:r w:rsidRPr="002A78AE">
              <w:rPr>
                <w:lang w:eastAsia="zh-CN"/>
              </w:rPr>
              <w:t>_</w:t>
            </w:r>
            <w:r>
              <w:rPr>
                <w:lang w:eastAsia="zh-CN"/>
              </w:rPr>
              <w:t>08176</w:t>
            </w:r>
          </w:p>
        </w:tc>
        <w:tc>
          <w:tcPr>
            <w:tcW w:w="2694" w:type="dxa"/>
          </w:tcPr>
          <w:p w14:paraId="4671EABD" w14:textId="77777777" w:rsidR="00686804" w:rsidRPr="002A78AE" w:rsidRDefault="00686804" w:rsidP="00DA29A5">
            <w:pPr>
              <w:pStyle w:val="TAC"/>
            </w:pPr>
            <w:r w:rsidRPr="002A78AE">
              <w:rPr>
                <w:lang w:eastAsia="zh-CN"/>
              </w:rPr>
              <w:t>0</w:t>
            </w:r>
            <w:r w:rsidRPr="002A78AE">
              <w:t xml:space="preserve"> </w:t>
            </w:r>
            <w:r w:rsidRPr="002A78AE">
              <w:sym w:font="Symbol" w:char="F0A3"/>
            </w:r>
            <w:r w:rsidRPr="002A78AE">
              <w:t xml:space="preserve"> </w:t>
            </w:r>
            <w:r>
              <w:sym w:font="Symbol" w:char="F044"/>
            </w:r>
            <w:r>
              <w:t>path</w:t>
            </w:r>
            <w:r w:rsidRPr="002A78AE">
              <w:t xml:space="preserve"> &lt; </w:t>
            </w:r>
            <w:r w:rsidRPr="002A78AE">
              <w:rPr>
                <w:lang w:eastAsia="zh-CN"/>
              </w:rPr>
              <w:t>1</w:t>
            </w:r>
          </w:p>
        </w:tc>
        <w:tc>
          <w:tcPr>
            <w:tcW w:w="567" w:type="dxa"/>
          </w:tcPr>
          <w:p w14:paraId="1B474056" w14:textId="77777777" w:rsidR="00686804" w:rsidRPr="002A78AE" w:rsidRDefault="00686804" w:rsidP="002F5786">
            <w:pPr>
              <w:pStyle w:val="TAC"/>
            </w:pPr>
            <w:r w:rsidRPr="002A78AE">
              <w:t>T</w:t>
            </w:r>
            <w:r w:rsidRPr="002A78AE">
              <w:rPr>
                <w:vertAlign w:val="subscript"/>
              </w:rPr>
              <w:t>c</w:t>
            </w:r>
          </w:p>
        </w:tc>
      </w:tr>
      <w:tr w:rsidR="00686804" w:rsidRPr="002A78AE" w14:paraId="4E7A353D" w14:textId="77777777" w:rsidTr="00A22C44">
        <w:trPr>
          <w:cantSplit/>
          <w:trHeight w:val="187"/>
        </w:trPr>
        <w:tc>
          <w:tcPr>
            <w:tcW w:w="2693" w:type="dxa"/>
            <w:tcBorders>
              <w:top w:val="single" w:sz="4" w:space="0" w:color="auto"/>
              <w:left w:val="single" w:sz="4" w:space="0" w:color="auto"/>
              <w:bottom w:val="single" w:sz="4" w:space="0" w:color="auto"/>
              <w:right w:val="single" w:sz="4" w:space="0" w:color="auto"/>
            </w:tcBorders>
          </w:tcPr>
          <w:p w14:paraId="0503015B" w14:textId="77777777" w:rsidR="00686804" w:rsidRPr="002A78AE" w:rsidRDefault="00686804" w:rsidP="00DA29A5">
            <w:pPr>
              <w:pStyle w:val="TAC"/>
            </w:pPr>
            <w:r w:rsidRPr="002A78AE">
              <w:rPr>
                <w:lang w:eastAsia="zh-CN"/>
              </w:rPr>
              <w:t>…</w:t>
            </w:r>
          </w:p>
        </w:tc>
        <w:tc>
          <w:tcPr>
            <w:tcW w:w="2694" w:type="dxa"/>
            <w:tcBorders>
              <w:top w:val="single" w:sz="4" w:space="0" w:color="auto"/>
              <w:left w:val="single" w:sz="4" w:space="0" w:color="auto"/>
              <w:bottom w:val="single" w:sz="4" w:space="0" w:color="auto"/>
            </w:tcBorders>
          </w:tcPr>
          <w:p w14:paraId="5F57B45B" w14:textId="77777777" w:rsidR="00686804" w:rsidRPr="002A78AE" w:rsidRDefault="00686804" w:rsidP="00DA29A5">
            <w:pPr>
              <w:pStyle w:val="TAC"/>
            </w:pPr>
            <w:r w:rsidRPr="002A78AE">
              <w:rPr>
                <w:lang w:eastAsia="zh-CN"/>
              </w:rPr>
              <w:t>…</w:t>
            </w:r>
          </w:p>
        </w:tc>
        <w:tc>
          <w:tcPr>
            <w:tcW w:w="567" w:type="dxa"/>
            <w:tcBorders>
              <w:top w:val="single" w:sz="4" w:space="0" w:color="auto"/>
              <w:bottom w:val="single" w:sz="4" w:space="0" w:color="auto"/>
              <w:right w:val="single" w:sz="4" w:space="0" w:color="auto"/>
            </w:tcBorders>
          </w:tcPr>
          <w:p w14:paraId="42AEFF05" w14:textId="77777777" w:rsidR="00686804" w:rsidRPr="002A78AE" w:rsidRDefault="00686804" w:rsidP="00DA29A5">
            <w:pPr>
              <w:pStyle w:val="TAC"/>
            </w:pPr>
            <w:r w:rsidRPr="002A78AE">
              <w:t>…</w:t>
            </w:r>
          </w:p>
        </w:tc>
      </w:tr>
      <w:tr w:rsidR="00686804" w:rsidRPr="002A78AE" w14:paraId="79542252" w14:textId="77777777" w:rsidTr="00A22C44">
        <w:trPr>
          <w:cantSplit/>
          <w:trHeight w:val="187"/>
        </w:trPr>
        <w:tc>
          <w:tcPr>
            <w:tcW w:w="2693" w:type="dxa"/>
            <w:tcBorders>
              <w:top w:val="single" w:sz="4" w:space="0" w:color="auto"/>
              <w:left w:val="single" w:sz="4" w:space="0" w:color="auto"/>
              <w:bottom w:val="single" w:sz="4" w:space="0" w:color="auto"/>
              <w:right w:val="single" w:sz="4" w:space="0" w:color="auto"/>
            </w:tcBorders>
          </w:tcPr>
          <w:p w14:paraId="41593782" w14:textId="77777777" w:rsidR="00686804" w:rsidRPr="002A78AE" w:rsidRDefault="00686804" w:rsidP="00DA29A5">
            <w:pPr>
              <w:pStyle w:val="TAC"/>
            </w:pPr>
            <w:r>
              <w:rPr>
                <w:lang w:eastAsia="zh-CN"/>
              </w:rPr>
              <w:t>path</w:t>
            </w:r>
            <w:r w:rsidRPr="002A78AE">
              <w:rPr>
                <w:lang w:eastAsia="zh-CN"/>
              </w:rPr>
              <w:t>_</w:t>
            </w:r>
            <w:r>
              <w:t xml:space="preserve"> </w:t>
            </w:r>
            <w:r w:rsidRPr="00615863">
              <w:rPr>
                <w:lang w:eastAsia="zh-CN"/>
              </w:rPr>
              <w:t>16349</w:t>
            </w:r>
          </w:p>
        </w:tc>
        <w:tc>
          <w:tcPr>
            <w:tcW w:w="2694" w:type="dxa"/>
            <w:tcBorders>
              <w:top w:val="single" w:sz="4" w:space="0" w:color="auto"/>
              <w:left w:val="single" w:sz="4" w:space="0" w:color="auto"/>
              <w:bottom w:val="single" w:sz="4" w:space="0" w:color="auto"/>
            </w:tcBorders>
          </w:tcPr>
          <w:p w14:paraId="16B3419B" w14:textId="77777777" w:rsidR="00686804" w:rsidRPr="002A78AE" w:rsidRDefault="00686804" w:rsidP="00DA29A5">
            <w:pPr>
              <w:pStyle w:val="TAC"/>
            </w:pPr>
            <w:r>
              <w:rPr>
                <w:lang w:eastAsia="zh-CN"/>
              </w:rPr>
              <w:t>8173</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8174</w:t>
            </w:r>
          </w:p>
        </w:tc>
        <w:tc>
          <w:tcPr>
            <w:tcW w:w="567" w:type="dxa"/>
            <w:tcBorders>
              <w:top w:val="single" w:sz="4" w:space="0" w:color="auto"/>
              <w:bottom w:val="single" w:sz="4" w:space="0" w:color="auto"/>
              <w:right w:val="single" w:sz="4" w:space="0" w:color="auto"/>
            </w:tcBorders>
          </w:tcPr>
          <w:p w14:paraId="75E8A6CE" w14:textId="77777777" w:rsidR="00686804" w:rsidRPr="002A78AE" w:rsidRDefault="00686804" w:rsidP="002F5786">
            <w:pPr>
              <w:pStyle w:val="TAC"/>
            </w:pPr>
            <w:r w:rsidRPr="002A78AE">
              <w:t>T</w:t>
            </w:r>
            <w:r w:rsidRPr="002A78AE">
              <w:rPr>
                <w:vertAlign w:val="subscript"/>
              </w:rPr>
              <w:t>c</w:t>
            </w:r>
          </w:p>
        </w:tc>
      </w:tr>
      <w:tr w:rsidR="00686804" w:rsidRPr="002A78AE" w14:paraId="5CDA3622" w14:textId="77777777" w:rsidTr="00A22C44">
        <w:trPr>
          <w:cantSplit/>
          <w:trHeight w:val="187"/>
        </w:trPr>
        <w:tc>
          <w:tcPr>
            <w:tcW w:w="2693" w:type="dxa"/>
            <w:tcBorders>
              <w:top w:val="single" w:sz="4" w:space="0" w:color="auto"/>
              <w:left w:val="single" w:sz="4" w:space="0" w:color="auto"/>
              <w:bottom w:val="single" w:sz="4" w:space="0" w:color="auto"/>
              <w:right w:val="single" w:sz="4" w:space="0" w:color="auto"/>
            </w:tcBorders>
          </w:tcPr>
          <w:p w14:paraId="2BB59CCD" w14:textId="77777777" w:rsidR="00686804" w:rsidRPr="002A78AE" w:rsidRDefault="00686804" w:rsidP="00DA29A5">
            <w:pPr>
              <w:pStyle w:val="TAC"/>
            </w:pPr>
            <w:r>
              <w:rPr>
                <w:lang w:eastAsia="zh-CN"/>
              </w:rPr>
              <w:t>path</w:t>
            </w:r>
            <w:r w:rsidRPr="002A78AE">
              <w:rPr>
                <w:lang w:eastAsia="zh-CN"/>
              </w:rPr>
              <w:t>_</w:t>
            </w:r>
            <w:r>
              <w:t xml:space="preserve"> </w:t>
            </w:r>
            <w:r w:rsidRPr="00615863">
              <w:rPr>
                <w:lang w:eastAsia="zh-CN"/>
              </w:rPr>
              <w:t>163</w:t>
            </w:r>
            <w:r>
              <w:rPr>
                <w:lang w:eastAsia="zh-CN"/>
              </w:rPr>
              <w:t>50</w:t>
            </w:r>
          </w:p>
        </w:tc>
        <w:tc>
          <w:tcPr>
            <w:tcW w:w="2694" w:type="dxa"/>
            <w:tcBorders>
              <w:top w:val="single" w:sz="4" w:space="0" w:color="auto"/>
              <w:left w:val="single" w:sz="4" w:space="0" w:color="auto"/>
              <w:bottom w:val="single" w:sz="4" w:space="0" w:color="auto"/>
            </w:tcBorders>
          </w:tcPr>
          <w:p w14:paraId="714D256F" w14:textId="77777777" w:rsidR="00686804" w:rsidRPr="002A78AE" w:rsidRDefault="00686804" w:rsidP="00DA29A5">
            <w:pPr>
              <w:pStyle w:val="TAC"/>
            </w:pPr>
            <w:r>
              <w:rPr>
                <w:lang w:eastAsia="zh-CN"/>
              </w:rPr>
              <w:t>8174</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8175</w:t>
            </w:r>
          </w:p>
        </w:tc>
        <w:tc>
          <w:tcPr>
            <w:tcW w:w="567" w:type="dxa"/>
            <w:tcBorders>
              <w:top w:val="single" w:sz="4" w:space="0" w:color="auto"/>
              <w:bottom w:val="single" w:sz="4" w:space="0" w:color="auto"/>
              <w:right w:val="single" w:sz="4" w:space="0" w:color="auto"/>
            </w:tcBorders>
          </w:tcPr>
          <w:p w14:paraId="37A1FFAC" w14:textId="77777777" w:rsidR="00686804" w:rsidRPr="002A78AE" w:rsidRDefault="00686804" w:rsidP="002F5786">
            <w:pPr>
              <w:pStyle w:val="TAC"/>
            </w:pPr>
            <w:r w:rsidRPr="002A78AE">
              <w:t>T</w:t>
            </w:r>
            <w:r w:rsidRPr="002A78AE">
              <w:rPr>
                <w:vertAlign w:val="subscript"/>
              </w:rPr>
              <w:t>c</w:t>
            </w:r>
          </w:p>
        </w:tc>
      </w:tr>
      <w:tr w:rsidR="00686804" w:rsidRPr="002A78AE" w14:paraId="0CE79985" w14:textId="77777777" w:rsidTr="00A22C44">
        <w:trPr>
          <w:cantSplit/>
          <w:trHeight w:val="187"/>
        </w:trPr>
        <w:tc>
          <w:tcPr>
            <w:tcW w:w="2693" w:type="dxa"/>
            <w:tcBorders>
              <w:top w:val="single" w:sz="4" w:space="0" w:color="auto"/>
              <w:left w:val="single" w:sz="4" w:space="0" w:color="auto"/>
              <w:bottom w:val="single" w:sz="4" w:space="0" w:color="auto"/>
              <w:right w:val="single" w:sz="4" w:space="0" w:color="auto"/>
            </w:tcBorders>
          </w:tcPr>
          <w:p w14:paraId="3A5BAF96" w14:textId="77777777" w:rsidR="00686804" w:rsidRPr="002A78AE" w:rsidRDefault="00686804" w:rsidP="00DA29A5">
            <w:pPr>
              <w:pStyle w:val="TAC"/>
            </w:pPr>
            <w:r>
              <w:rPr>
                <w:lang w:eastAsia="zh-CN"/>
              </w:rPr>
              <w:t>path</w:t>
            </w:r>
            <w:r w:rsidRPr="002A78AE">
              <w:rPr>
                <w:lang w:eastAsia="zh-CN"/>
              </w:rPr>
              <w:t>_</w:t>
            </w:r>
            <w:r>
              <w:t xml:space="preserve"> </w:t>
            </w:r>
            <w:r w:rsidRPr="00615863">
              <w:rPr>
                <w:lang w:eastAsia="zh-CN"/>
              </w:rPr>
              <w:t>163</w:t>
            </w:r>
            <w:r>
              <w:rPr>
                <w:lang w:eastAsia="zh-CN"/>
              </w:rPr>
              <w:t>51</w:t>
            </w:r>
          </w:p>
        </w:tc>
        <w:tc>
          <w:tcPr>
            <w:tcW w:w="2694" w:type="dxa"/>
            <w:tcBorders>
              <w:top w:val="single" w:sz="4" w:space="0" w:color="auto"/>
              <w:left w:val="single" w:sz="4" w:space="0" w:color="auto"/>
              <w:bottom w:val="single" w:sz="4" w:space="0" w:color="auto"/>
            </w:tcBorders>
          </w:tcPr>
          <w:p w14:paraId="6A6BE348" w14:textId="77777777" w:rsidR="00686804" w:rsidRPr="002A78AE" w:rsidRDefault="00686804" w:rsidP="00DA29A5">
            <w:pPr>
              <w:pStyle w:val="TAC"/>
            </w:pPr>
            <w:r>
              <w:rPr>
                <w:lang w:eastAsia="zh-CN"/>
              </w:rPr>
              <w:t>8175</w:t>
            </w:r>
            <w:r w:rsidRPr="002A78AE">
              <w:rPr>
                <w:lang w:eastAsia="zh-CN"/>
              </w:rPr>
              <w:t xml:space="preserve"> </w:t>
            </w:r>
            <w:r w:rsidRPr="002A78AE">
              <w:sym w:font="Symbol" w:char="F0A3"/>
            </w:r>
            <w:r w:rsidRPr="002A78AE">
              <w:rPr>
                <w:lang w:eastAsia="zh-CN"/>
              </w:rPr>
              <w:t xml:space="preserve"> </w:t>
            </w:r>
            <w:r>
              <w:sym w:font="Symbol" w:char="F044"/>
            </w:r>
            <w:r>
              <w:t>path</w:t>
            </w:r>
          </w:p>
        </w:tc>
        <w:tc>
          <w:tcPr>
            <w:tcW w:w="567" w:type="dxa"/>
            <w:tcBorders>
              <w:top w:val="single" w:sz="4" w:space="0" w:color="auto"/>
              <w:bottom w:val="single" w:sz="4" w:space="0" w:color="auto"/>
              <w:right w:val="single" w:sz="4" w:space="0" w:color="auto"/>
            </w:tcBorders>
          </w:tcPr>
          <w:p w14:paraId="47FB4089" w14:textId="77777777" w:rsidR="00686804" w:rsidRPr="002A78AE" w:rsidRDefault="00686804" w:rsidP="002F5786">
            <w:pPr>
              <w:pStyle w:val="TAC"/>
            </w:pPr>
            <w:r w:rsidRPr="002A78AE">
              <w:t>T</w:t>
            </w:r>
            <w:r w:rsidRPr="002A78AE">
              <w:rPr>
                <w:vertAlign w:val="subscript"/>
              </w:rPr>
              <w:t>c</w:t>
            </w:r>
          </w:p>
        </w:tc>
      </w:tr>
    </w:tbl>
    <w:p w14:paraId="2BF93D50" w14:textId="77777777" w:rsidR="00686804" w:rsidRDefault="00686804" w:rsidP="002F5786">
      <w:pPr>
        <w:rPr>
          <w:lang w:val="en-US" w:eastAsia="ja-JP"/>
        </w:rPr>
      </w:pPr>
    </w:p>
    <w:p w14:paraId="13B1F02B" w14:textId="77777777" w:rsidR="00686804" w:rsidRDefault="00686804" w:rsidP="002F5786">
      <w:pPr>
        <w:pStyle w:val="TH"/>
      </w:pPr>
      <w:r w:rsidRPr="00DE253F">
        <w:t xml:space="preserve">Table </w:t>
      </w:r>
      <w:r>
        <w:t>10.1.23.3.3-2</w:t>
      </w:r>
      <w:r w:rsidRPr="00DE253F">
        <w:t xml:space="preserve">: </w:t>
      </w:r>
      <w:r>
        <w:t xml:space="preserve">Report mapping for </w:t>
      </w:r>
      <w:r w:rsidRPr="00DE253F">
        <w:rPr>
          <w:i/>
          <w:iCs/>
        </w:rPr>
        <w:t>k</w:t>
      </w:r>
      <w:r>
        <w:t>=1</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686804" w:rsidRPr="002A78AE" w14:paraId="481E155E" w14:textId="77777777" w:rsidTr="00A22C44">
        <w:trPr>
          <w:cantSplit/>
          <w:trHeight w:val="187"/>
        </w:trPr>
        <w:tc>
          <w:tcPr>
            <w:tcW w:w="2693" w:type="dxa"/>
          </w:tcPr>
          <w:p w14:paraId="2C576DC0" w14:textId="77777777" w:rsidR="00686804" w:rsidRPr="002A78AE" w:rsidRDefault="00686804" w:rsidP="00A22C44">
            <w:pPr>
              <w:pStyle w:val="TAH"/>
            </w:pPr>
            <w:r w:rsidRPr="002A78AE">
              <w:t>Reported Quantity Value</w:t>
            </w:r>
            <w:r>
              <w:t>,</w:t>
            </w:r>
          </w:p>
          <w:p w14:paraId="311A2735" w14:textId="77777777" w:rsidR="00686804" w:rsidRPr="002A78AE" w:rsidRDefault="00686804" w:rsidP="00A22C44">
            <w:pPr>
              <w:pStyle w:val="TAH"/>
            </w:pPr>
            <w:r>
              <w:t>path</w:t>
            </w:r>
            <w:r w:rsidRPr="002A78AE">
              <w:t>_i</w:t>
            </w:r>
          </w:p>
        </w:tc>
        <w:tc>
          <w:tcPr>
            <w:tcW w:w="2694" w:type="dxa"/>
          </w:tcPr>
          <w:p w14:paraId="535EE888" w14:textId="77777777" w:rsidR="00686804" w:rsidRDefault="00686804" w:rsidP="00A22C44">
            <w:pPr>
              <w:pStyle w:val="TAH"/>
            </w:pPr>
            <w:r w:rsidRPr="002A78AE">
              <w:t>Measured Quantity Value</w:t>
            </w:r>
            <w:r>
              <w:t>,</w:t>
            </w:r>
          </w:p>
          <w:p w14:paraId="7B0B7FCC" w14:textId="77777777" w:rsidR="00686804" w:rsidRPr="002A78AE" w:rsidRDefault="00686804" w:rsidP="00A22C44">
            <w:pPr>
              <w:pStyle w:val="TAH"/>
            </w:pPr>
            <w:r>
              <w:sym w:font="Symbol" w:char="F044"/>
            </w:r>
            <w:r>
              <w:t>path</w:t>
            </w:r>
          </w:p>
        </w:tc>
        <w:tc>
          <w:tcPr>
            <w:tcW w:w="567" w:type="dxa"/>
          </w:tcPr>
          <w:p w14:paraId="03329F83" w14:textId="77777777" w:rsidR="00686804" w:rsidRPr="002A78AE" w:rsidRDefault="00686804" w:rsidP="00A22C44">
            <w:pPr>
              <w:pStyle w:val="TAH"/>
            </w:pPr>
            <w:r w:rsidRPr="002A78AE">
              <w:t>Unit</w:t>
            </w:r>
          </w:p>
        </w:tc>
      </w:tr>
      <w:tr w:rsidR="00686804" w:rsidRPr="002A78AE" w14:paraId="0F077ECE" w14:textId="77777777" w:rsidTr="00A22C44">
        <w:trPr>
          <w:cantSplit/>
          <w:trHeight w:val="187"/>
        </w:trPr>
        <w:tc>
          <w:tcPr>
            <w:tcW w:w="2693" w:type="dxa"/>
          </w:tcPr>
          <w:p w14:paraId="45269A81" w14:textId="77777777" w:rsidR="00686804" w:rsidRPr="002A78AE" w:rsidRDefault="00686804" w:rsidP="00DA29A5">
            <w:pPr>
              <w:pStyle w:val="TAC"/>
            </w:pPr>
            <w:r>
              <w:rPr>
                <w:lang w:eastAsia="zh-CN"/>
              </w:rPr>
              <w:t>path</w:t>
            </w:r>
            <w:r w:rsidRPr="002A78AE">
              <w:t>_0000</w:t>
            </w:r>
          </w:p>
        </w:tc>
        <w:tc>
          <w:tcPr>
            <w:tcW w:w="2694" w:type="dxa"/>
          </w:tcPr>
          <w:p w14:paraId="75023228" w14:textId="77777777" w:rsidR="00686804" w:rsidRPr="002A78AE" w:rsidRDefault="00686804" w:rsidP="00DA29A5">
            <w:pPr>
              <w:pStyle w:val="TAC"/>
            </w:pPr>
            <w:r>
              <w:sym w:font="Symbol" w:char="F044"/>
            </w:r>
            <w:r>
              <w:t>path</w:t>
            </w:r>
            <w:r w:rsidRPr="002A78AE">
              <w:rPr>
                <w:lang w:eastAsia="zh-CN"/>
              </w:rPr>
              <w:t xml:space="preserve"> &lt; -</w:t>
            </w:r>
            <w:r>
              <w:rPr>
                <w:lang w:eastAsia="zh-CN"/>
              </w:rPr>
              <w:t>8175</w:t>
            </w:r>
          </w:p>
        </w:tc>
        <w:tc>
          <w:tcPr>
            <w:tcW w:w="567" w:type="dxa"/>
          </w:tcPr>
          <w:p w14:paraId="704B2CED" w14:textId="77777777" w:rsidR="00686804" w:rsidRPr="002A78AE" w:rsidRDefault="00686804" w:rsidP="002F5786">
            <w:pPr>
              <w:pStyle w:val="TAC"/>
            </w:pPr>
            <w:r w:rsidRPr="002A78AE">
              <w:t>T</w:t>
            </w:r>
            <w:r w:rsidRPr="002A78AE">
              <w:rPr>
                <w:vertAlign w:val="subscript"/>
              </w:rPr>
              <w:t>c</w:t>
            </w:r>
          </w:p>
        </w:tc>
      </w:tr>
      <w:tr w:rsidR="00686804" w:rsidRPr="002A78AE" w14:paraId="50EE8562" w14:textId="77777777" w:rsidTr="00A22C44">
        <w:trPr>
          <w:cantSplit/>
          <w:trHeight w:val="187"/>
        </w:trPr>
        <w:tc>
          <w:tcPr>
            <w:tcW w:w="2693" w:type="dxa"/>
          </w:tcPr>
          <w:p w14:paraId="2D985E4F" w14:textId="77777777" w:rsidR="00686804" w:rsidRPr="002A78AE" w:rsidRDefault="00686804" w:rsidP="00DA29A5">
            <w:pPr>
              <w:pStyle w:val="TAC"/>
            </w:pPr>
            <w:r>
              <w:rPr>
                <w:lang w:eastAsia="zh-CN"/>
              </w:rPr>
              <w:t>path</w:t>
            </w:r>
            <w:r w:rsidRPr="002A78AE">
              <w:t>_0001</w:t>
            </w:r>
          </w:p>
        </w:tc>
        <w:tc>
          <w:tcPr>
            <w:tcW w:w="2694" w:type="dxa"/>
          </w:tcPr>
          <w:p w14:paraId="4966BC63" w14:textId="77777777" w:rsidR="00686804" w:rsidRPr="002A78AE" w:rsidRDefault="00686804" w:rsidP="00DA29A5">
            <w:pPr>
              <w:pStyle w:val="TAC"/>
            </w:pPr>
            <w:r w:rsidRPr="002A78AE">
              <w:rPr>
                <w:lang w:eastAsia="zh-CN"/>
              </w:rPr>
              <w:t>-</w:t>
            </w:r>
            <w:r>
              <w:rPr>
                <w:lang w:eastAsia="zh-CN"/>
              </w:rPr>
              <w:t>8175</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8173</w:t>
            </w:r>
          </w:p>
        </w:tc>
        <w:tc>
          <w:tcPr>
            <w:tcW w:w="567" w:type="dxa"/>
          </w:tcPr>
          <w:p w14:paraId="05560AF1" w14:textId="77777777" w:rsidR="00686804" w:rsidRPr="002A78AE" w:rsidRDefault="00686804" w:rsidP="002F5786">
            <w:pPr>
              <w:pStyle w:val="TAC"/>
            </w:pPr>
            <w:r w:rsidRPr="002A78AE">
              <w:t>T</w:t>
            </w:r>
            <w:r w:rsidRPr="002A78AE">
              <w:rPr>
                <w:vertAlign w:val="subscript"/>
              </w:rPr>
              <w:t>c</w:t>
            </w:r>
          </w:p>
        </w:tc>
      </w:tr>
      <w:tr w:rsidR="00686804" w:rsidRPr="002A78AE" w14:paraId="079625D2" w14:textId="77777777" w:rsidTr="00A22C44">
        <w:trPr>
          <w:cantSplit/>
          <w:trHeight w:val="187"/>
        </w:trPr>
        <w:tc>
          <w:tcPr>
            <w:tcW w:w="2693" w:type="dxa"/>
          </w:tcPr>
          <w:p w14:paraId="697FE587" w14:textId="77777777" w:rsidR="00686804" w:rsidRPr="002A78AE" w:rsidRDefault="00686804" w:rsidP="00DA29A5">
            <w:pPr>
              <w:pStyle w:val="TAC"/>
            </w:pPr>
            <w:r>
              <w:rPr>
                <w:lang w:eastAsia="zh-CN"/>
              </w:rPr>
              <w:t>path</w:t>
            </w:r>
            <w:r w:rsidRPr="002A78AE">
              <w:t>_0002</w:t>
            </w:r>
          </w:p>
        </w:tc>
        <w:tc>
          <w:tcPr>
            <w:tcW w:w="2694" w:type="dxa"/>
          </w:tcPr>
          <w:p w14:paraId="6A955F95" w14:textId="77777777" w:rsidR="00686804" w:rsidRPr="002A78AE" w:rsidRDefault="00686804" w:rsidP="00DA29A5">
            <w:pPr>
              <w:pStyle w:val="TAC"/>
            </w:pPr>
            <w:r w:rsidRPr="002A78AE">
              <w:rPr>
                <w:lang w:eastAsia="zh-CN"/>
              </w:rPr>
              <w:t>-</w:t>
            </w:r>
            <w:r>
              <w:rPr>
                <w:lang w:eastAsia="zh-CN"/>
              </w:rPr>
              <w:t>8173</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8171</w:t>
            </w:r>
          </w:p>
        </w:tc>
        <w:tc>
          <w:tcPr>
            <w:tcW w:w="567" w:type="dxa"/>
          </w:tcPr>
          <w:p w14:paraId="7F80B469" w14:textId="77777777" w:rsidR="00686804" w:rsidRPr="002A78AE" w:rsidRDefault="00686804" w:rsidP="00DA29A5">
            <w:pPr>
              <w:pStyle w:val="TAC"/>
            </w:pPr>
            <w:r w:rsidRPr="002A78AE">
              <w:t>T</w:t>
            </w:r>
            <w:r w:rsidRPr="002A78AE">
              <w:rPr>
                <w:vertAlign w:val="subscript"/>
              </w:rPr>
              <w:t>c</w:t>
            </w:r>
          </w:p>
        </w:tc>
      </w:tr>
      <w:tr w:rsidR="00686804" w:rsidRPr="002A78AE" w14:paraId="2C65F05F" w14:textId="77777777" w:rsidTr="00A22C44">
        <w:trPr>
          <w:cantSplit/>
          <w:trHeight w:val="187"/>
        </w:trPr>
        <w:tc>
          <w:tcPr>
            <w:tcW w:w="2693" w:type="dxa"/>
          </w:tcPr>
          <w:p w14:paraId="26359E91" w14:textId="77777777" w:rsidR="00686804" w:rsidRPr="002A78AE" w:rsidRDefault="00686804" w:rsidP="00DA29A5">
            <w:pPr>
              <w:pStyle w:val="TAC"/>
            </w:pPr>
            <w:r w:rsidRPr="002A78AE">
              <w:sym w:font="Symbol" w:char="F0BC"/>
            </w:r>
          </w:p>
        </w:tc>
        <w:tc>
          <w:tcPr>
            <w:tcW w:w="2694" w:type="dxa"/>
          </w:tcPr>
          <w:p w14:paraId="7210D9C5" w14:textId="77777777" w:rsidR="00686804" w:rsidRPr="002A78AE" w:rsidRDefault="00686804" w:rsidP="00DA29A5">
            <w:pPr>
              <w:pStyle w:val="TAC"/>
            </w:pPr>
            <w:r w:rsidRPr="002A78AE">
              <w:sym w:font="Symbol" w:char="F0BC"/>
            </w:r>
          </w:p>
        </w:tc>
        <w:tc>
          <w:tcPr>
            <w:tcW w:w="567" w:type="dxa"/>
          </w:tcPr>
          <w:p w14:paraId="0B7F4425" w14:textId="77777777" w:rsidR="00686804" w:rsidRPr="002A78AE" w:rsidRDefault="00686804" w:rsidP="00DA29A5">
            <w:pPr>
              <w:pStyle w:val="TAC"/>
            </w:pPr>
            <w:r w:rsidRPr="002A78AE">
              <w:t>…</w:t>
            </w:r>
          </w:p>
        </w:tc>
      </w:tr>
      <w:tr w:rsidR="00686804" w:rsidRPr="002A78AE" w14:paraId="5DCF9302" w14:textId="77777777" w:rsidTr="00A22C44">
        <w:trPr>
          <w:cantSplit/>
          <w:trHeight w:val="187"/>
        </w:trPr>
        <w:tc>
          <w:tcPr>
            <w:tcW w:w="2693" w:type="dxa"/>
          </w:tcPr>
          <w:p w14:paraId="5DC33770" w14:textId="77777777" w:rsidR="00686804" w:rsidRPr="002A78AE" w:rsidRDefault="00686804" w:rsidP="00DA29A5">
            <w:pPr>
              <w:pStyle w:val="TAC"/>
            </w:pPr>
            <w:r>
              <w:rPr>
                <w:lang w:eastAsia="zh-CN"/>
              </w:rPr>
              <w:t>path</w:t>
            </w:r>
            <w:r w:rsidRPr="002A78AE">
              <w:rPr>
                <w:lang w:eastAsia="zh-CN"/>
              </w:rPr>
              <w:t>_4</w:t>
            </w:r>
            <w:r>
              <w:rPr>
                <w:lang w:eastAsia="zh-CN"/>
              </w:rPr>
              <w:t>088</w:t>
            </w:r>
          </w:p>
        </w:tc>
        <w:tc>
          <w:tcPr>
            <w:tcW w:w="2694" w:type="dxa"/>
          </w:tcPr>
          <w:p w14:paraId="2532B61B" w14:textId="77777777" w:rsidR="00686804" w:rsidRPr="002A78AE" w:rsidRDefault="00686804" w:rsidP="00DA29A5">
            <w:pPr>
              <w:pStyle w:val="TAC"/>
            </w:pPr>
            <w:r w:rsidRPr="002A78AE">
              <w:rPr>
                <w:lang w:eastAsia="zh-CN"/>
              </w:rPr>
              <w:t>-</w:t>
            </w:r>
            <w:r>
              <w:rPr>
                <w:lang w:eastAsia="zh-CN"/>
              </w:rPr>
              <w:t>1</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1</w:t>
            </w:r>
          </w:p>
        </w:tc>
        <w:tc>
          <w:tcPr>
            <w:tcW w:w="567" w:type="dxa"/>
          </w:tcPr>
          <w:p w14:paraId="2580EB4C" w14:textId="77777777" w:rsidR="00686804" w:rsidRPr="002A78AE" w:rsidRDefault="00686804" w:rsidP="002F5786">
            <w:pPr>
              <w:pStyle w:val="TAC"/>
            </w:pPr>
            <w:r w:rsidRPr="002A78AE">
              <w:t>T</w:t>
            </w:r>
            <w:r w:rsidRPr="002A78AE">
              <w:rPr>
                <w:vertAlign w:val="subscript"/>
              </w:rPr>
              <w:t>c</w:t>
            </w:r>
          </w:p>
        </w:tc>
      </w:tr>
      <w:tr w:rsidR="00686804" w:rsidRPr="002A78AE" w14:paraId="0B7E2D0A" w14:textId="77777777" w:rsidTr="00A22C44">
        <w:trPr>
          <w:cantSplit/>
          <w:trHeight w:val="187"/>
        </w:trPr>
        <w:tc>
          <w:tcPr>
            <w:tcW w:w="2693" w:type="dxa"/>
            <w:tcBorders>
              <w:top w:val="single" w:sz="4" w:space="0" w:color="auto"/>
              <w:left w:val="single" w:sz="4" w:space="0" w:color="auto"/>
              <w:bottom w:val="single" w:sz="4" w:space="0" w:color="auto"/>
              <w:right w:val="single" w:sz="4" w:space="0" w:color="auto"/>
            </w:tcBorders>
          </w:tcPr>
          <w:p w14:paraId="7F4789BE" w14:textId="77777777" w:rsidR="00686804" w:rsidRPr="002A78AE" w:rsidRDefault="00686804" w:rsidP="00DA29A5">
            <w:pPr>
              <w:pStyle w:val="TAC"/>
            </w:pPr>
            <w:r w:rsidRPr="002A78AE">
              <w:rPr>
                <w:lang w:eastAsia="zh-CN"/>
              </w:rPr>
              <w:t>…</w:t>
            </w:r>
          </w:p>
        </w:tc>
        <w:tc>
          <w:tcPr>
            <w:tcW w:w="2694" w:type="dxa"/>
            <w:tcBorders>
              <w:top w:val="single" w:sz="4" w:space="0" w:color="auto"/>
              <w:left w:val="single" w:sz="4" w:space="0" w:color="auto"/>
              <w:bottom w:val="single" w:sz="4" w:space="0" w:color="auto"/>
            </w:tcBorders>
          </w:tcPr>
          <w:p w14:paraId="767C2BF1" w14:textId="77777777" w:rsidR="00686804" w:rsidRPr="002A78AE" w:rsidRDefault="00686804" w:rsidP="00DA29A5">
            <w:pPr>
              <w:pStyle w:val="TAC"/>
            </w:pPr>
            <w:r w:rsidRPr="002A78AE">
              <w:rPr>
                <w:lang w:eastAsia="zh-CN"/>
              </w:rPr>
              <w:t>…</w:t>
            </w:r>
          </w:p>
        </w:tc>
        <w:tc>
          <w:tcPr>
            <w:tcW w:w="567" w:type="dxa"/>
            <w:tcBorders>
              <w:top w:val="single" w:sz="4" w:space="0" w:color="auto"/>
              <w:bottom w:val="single" w:sz="4" w:space="0" w:color="auto"/>
              <w:right w:val="single" w:sz="4" w:space="0" w:color="auto"/>
            </w:tcBorders>
          </w:tcPr>
          <w:p w14:paraId="14AEA860" w14:textId="77777777" w:rsidR="00686804" w:rsidRPr="002A78AE" w:rsidRDefault="00686804" w:rsidP="00DA29A5">
            <w:pPr>
              <w:pStyle w:val="TAC"/>
            </w:pPr>
            <w:r w:rsidRPr="002A78AE">
              <w:t>…</w:t>
            </w:r>
          </w:p>
        </w:tc>
      </w:tr>
      <w:tr w:rsidR="00686804" w:rsidRPr="002A78AE" w14:paraId="3BE64780" w14:textId="77777777" w:rsidTr="00A22C44">
        <w:trPr>
          <w:cantSplit/>
          <w:trHeight w:val="187"/>
        </w:trPr>
        <w:tc>
          <w:tcPr>
            <w:tcW w:w="2693" w:type="dxa"/>
            <w:tcBorders>
              <w:top w:val="single" w:sz="4" w:space="0" w:color="auto"/>
              <w:left w:val="single" w:sz="4" w:space="0" w:color="auto"/>
              <w:bottom w:val="single" w:sz="4" w:space="0" w:color="auto"/>
              <w:right w:val="single" w:sz="4" w:space="0" w:color="auto"/>
            </w:tcBorders>
          </w:tcPr>
          <w:p w14:paraId="02929B06" w14:textId="77777777" w:rsidR="00686804" w:rsidRPr="002A78AE" w:rsidRDefault="00686804" w:rsidP="00DA29A5">
            <w:pPr>
              <w:pStyle w:val="TAC"/>
            </w:pPr>
            <w:r>
              <w:rPr>
                <w:lang w:eastAsia="zh-CN"/>
              </w:rPr>
              <w:t>path</w:t>
            </w:r>
            <w:r w:rsidRPr="002A78AE">
              <w:rPr>
                <w:lang w:eastAsia="zh-CN"/>
              </w:rPr>
              <w:t>_</w:t>
            </w:r>
            <w:r w:rsidRPr="005D4371">
              <w:rPr>
                <w:bCs/>
                <w:lang w:eastAsia="zh-CN"/>
              </w:rPr>
              <w:t>817</w:t>
            </w:r>
            <w:r>
              <w:rPr>
                <w:bCs/>
                <w:lang w:eastAsia="zh-CN"/>
              </w:rPr>
              <w:t>4</w:t>
            </w:r>
          </w:p>
        </w:tc>
        <w:tc>
          <w:tcPr>
            <w:tcW w:w="2694" w:type="dxa"/>
            <w:tcBorders>
              <w:top w:val="single" w:sz="4" w:space="0" w:color="auto"/>
              <w:left w:val="single" w:sz="4" w:space="0" w:color="auto"/>
              <w:bottom w:val="single" w:sz="4" w:space="0" w:color="auto"/>
            </w:tcBorders>
          </w:tcPr>
          <w:p w14:paraId="4D51E61B" w14:textId="77777777" w:rsidR="00686804" w:rsidRPr="002A78AE" w:rsidRDefault="00686804" w:rsidP="00DA29A5">
            <w:pPr>
              <w:pStyle w:val="TAC"/>
            </w:pPr>
            <w:r>
              <w:rPr>
                <w:lang w:eastAsia="zh-CN"/>
              </w:rPr>
              <w:t>8171</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8173</w:t>
            </w:r>
          </w:p>
        </w:tc>
        <w:tc>
          <w:tcPr>
            <w:tcW w:w="567" w:type="dxa"/>
            <w:tcBorders>
              <w:top w:val="single" w:sz="4" w:space="0" w:color="auto"/>
              <w:bottom w:val="single" w:sz="4" w:space="0" w:color="auto"/>
              <w:right w:val="single" w:sz="4" w:space="0" w:color="auto"/>
            </w:tcBorders>
          </w:tcPr>
          <w:p w14:paraId="59F58B1A" w14:textId="77777777" w:rsidR="00686804" w:rsidRPr="002A78AE" w:rsidRDefault="00686804" w:rsidP="002F5786">
            <w:pPr>
              <w:pStyle w:val="TAC"/>
            </w:pPr>
            <w:r w:rsidRPr="002A78AE">
              <w:t>T</w:t>
            </w:r>
            <w:r w:rsidRPr="002A78AE">
              <w:rPr>
                <w:vertAlign w:val="subscript"/>
              </w:rPr>
              <w:t>c</w:t>
            </w:r>
          </w:p>
        </w:tc>
      </w:tr>
      <w:tr w:rsidR="00686804" w:rsidRPr="002A78AE" w14:paraId="1F4401AF" w14:textId="77777777" w:rsidTr="00A22C44">
        <w:trPr>
          <w:cantSplit/>
          <w:trHeight w:val="187"/>
        </w:trPr>
        <w:tc>
          <w:tcPr>
            <w:tcW w:w="2693" w:type="dxa"/>
            <w:tcBorders>
              <w:top w:val="single" w:sz="4" w:space="0" w:color="auto"/>
              <w:left w:val="single" w:sz="4" w:space="0" w:color="auto"/>
              <w:bottom w:val="single" w:sz="4" w:space="0" w:color="auto"/>
              <w:right w:val="single" w:sz="4" w:space="0" w:color="auto"/>
            </w:tcBorders>
          </w:tcPr>
          <w:p w14:paraId="0C51D84A" w14:textId="77777777" w:rsidR="00686804" w:rsidRPr="002A78AE" w:rsidRDefault="00686804" w:rsidP="00DA29A5">
            <w:pPr>
              <w:pStyle w:val="TAC"/>
            </w:pPr>
            <w:r>
              <w:rPr>
                <w:lang w:eastAsia="zh-CN"/>
              </w:rPr>
              <w:t>path</w:t>
            </w:r>
            <w:r w:rsidRPr="002A78AE">
              <w:rPr>
                <w:lang w:eastAsia="zh-CN"/>
              </w:rPr>
              <w:t>_</w:t>
            </w:r>
            <w:r w:rsidRPr="005D4371">
              <w:rPr>
                <w:bCs/>
                <w:lang w:eastAsia="zh-CN"/>
              </w:rPr>
              <w:t>817</w:t>
            </w:r>
            <w:r>
              <w:rPr>
                <w:bCs/>
                <w:lang w:eastAsia="zh-CN"/>
              </w:rPr>
              <w:t>5</w:t>
            </w:r>
          </w:p>
        </w:tc>
        <w:tc>
          <w:tcPr>
            <w:tcW w:w="2694" w:type="dxa"/>
            <w:tcBorders>
              <w:top w:val="single" w:sz="4" w:space="0" w:color="auto"/>
              <w:left w:val="single" w:sz="4" w:space="0" w:color="auto"/>
              <w:bottom w:val="single" w:sz="4" w:space="0" w:color="auto"/>
            </w:tcBorders>
          </w:tcPr>
          <w:p w14:paraId="3AE339BE" w14:textId="77777777" w:rsidR="00686804" w:rsidRPr="002A78AE" w:rsidRDefault="00686804" w:rsidP="00DA29A5">
            <w:pPr>
              <w:pStyle w:val="TAC"/>
            </w:pPr>
            <w:r>
              <w:rPr>
                <w:lang w:eastAsia="zh-CN"/>
              </w:rPr>
              <w:t>8173</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8175</w:t>
            </w:r>
          </w:p>
        </w:tc>
        <w:tc>
          <w:tcPr>
            <w:tcW w:w="567" w:type="dxa"/>
            <w:tcBorders>
              <w:top w:val="single" w:sz="4" w:space="0" w:color="auto"/>
              <w:bottom w:val="single" w:sz="4" w:space="0" w:color="auto"/>
              <w:right w:val="single" w:sz="4" w:space="0" w:color="auto"/>
            </w:tcBorders>
          </w:tcPr>
          <w:p w14:paraId="3A2B03F8" w14:textId="77777777" w:rsidR="00686804" w:rsidRPr="002A78AE" w:rsidRDefault="00686804" w:rsidP="002F5786">
            <w:pPr>
              <w:pStyle w:val="TAC"/>
            </w:pPr>
            <w:r w:rsidRPr="002A78AE">
              <w:t>T</w:t>
            </w:r>
            <w:r w:rsidRPr="002A78AE">
              <w:rPr>
                <w:vertAlign w:val="subscript"/>
              </w:rPr>
              <w:t>c</w:t>
            </w:r>
          </w:p>
        </w:tc>
      </w:tr>
      <w:tr w:rsidR="00686804" w:rsidRPr="002A78AE" w14:paraId="1168F178" w14:textId="77777777" w:rsidTr="00A22C44">
        <w:trPr>
          <w:cantSplit/>
          <w:trHeight w:val="187"/>
        </w:trPr>
        <w:tc>
          <w:tcPr>
            <w:tcW w:w="2693" w:type="dxa"/>
            <w:tcBorders>
              <w:top w:val="single" w:sz="4" w:space="0" w:color="auto"/>
              <w:left w:val="single" w:sz="4" w:space="0" w:color="auto"/>
              <w:bottom w:val="single" w:sz="4" w:space="0" w:color="auto"/>
              <w:right w:val="single" w:sz="4" w:space="0" w:color="auto"/>
            </w:tcBorders>
          </w:tcPr>
          <w:p w14:paraId="0F016015" w14:textId="77777777" w:rsidR="00686804" w:rsidRPr="002A78AE" w:rsidRDefault="00686804" w:rsidP="00DA29A5">
            <w:pPr>
              <w:pStyle w:val="TAC"/>
            </w:pPr>
            <w:r>
              <w:rPr>
                <w:lang w:eastAsia="zh-CN"/>
              </w:rPr>
              <w:t>path</w:t>
            </w:r>
            <w:r w:rsidRPr="002A78AE">
              <w:rPr>
                <w:lang w:eastAsia="zh-CN"/>
              </w:rPr>
              <w:t>_</w:t>
            </w:r>
            <w:r w:rsidRPr="005D4371">
              <w:rPr>
                <w:bCs/>
                <w:lang w:eastAsia="zh-CN"/>
              </w:rPr>
              <w:t>8176</w:t>
            </w:r>
          </w:p>
        </w:tc>
        <w:tc>
          <w:tcPr>
            <w:tcW w:w="2694" w:type="dxa"/>
            <w:tcBorders>
              <w:top w:val="single" w:sz="4" w:space="0" w:color="auto"/>
              <w:left w:val="single" w:sz="4" w:space="0" w:color="auto"/>
              <w:bottom w:val="single" w:sz="4" w:space="0" w:color="auto"/>
            </w:tcBorders>
          </w:tcPr>
          <w:p w14:paraId="42CFC05F" w14:textId="77777777" w:rsidR="00686804" w:rsidRPr="002A78AE" w:rsidRDefault="00686804" w:rsidP="00DA29A5">
            <w:pPr>
              <w:pStyle w:val="TAC"/>
            </w:pPr>
            <w:r>
              <w:rPr>
                <w:lang w:eastAsia="zh-CN"/>
              </w:rPr>
              <w:t>8175</w:t>
            </w:r>
            <w:r w:rsidRPr="002A78AE">
              <w:rPr>
                <w:lang w:eastAsia="zh-CN"/>
              </w:rPr>
              <w:t xml:space="preserve"> </w:t>
            </w:r>
            <w:r w:rsidRPr="002A78AE">
              <w:sym w:font="Symbol" w:char="F0A3"/>
            </w:r>
            <w:r w:rsidRPr="002A78AE">
              <w:rPr>
                <w:lang w:eastAsia="zh-CN"/>
              </w:rPr>
              <w:t xml:space="preserve"> </w:t>
            </w:r>
            <w:r>
              <w:sym w:font="Symbol" w:char="F044"/>
            </w:r>
            <w:r>
              <w:t>path</w:t>
            </w:r>
          </w:p>
        </w:tc>
        <w:tc>
          <w:tcPr>
            <w:tcW w:w="567" w:type="dxa"/>
            <w:tcBorders>
              <w:top w:val="single" w:sz="4" w:space="0" w:color="auto"/>
              <w:bottom w:val="single" w:sz="4" w:space="0" w:color="auto"/>
              <w:right w:val="single" w:sz="4" w:space="0" w:color="auto"/>
            </w:tcBorders>
          </w:tcPr>
          <w:p w14:paraId="3713E5F0" w14:textId="77777777" w:rsidR="00686804" w:rsidRPr="002A78AE" w:rsidRDefault="00686804" w:rsidP="002F5786">
            <w:pPr>
              <w:pStyle w:val="TAC"/>
            </w:pPr>
            <w:r w:rsidRPr="002A78AE">
              <w:t>T</w:t>
            </w:r>
            <w:r w:rsidRPr="002A78AE">
              <w:rPr>
                <w:vertAlign w:val="subscript"/>
              </w:rPr>
              <w:t>c</w:t>
            </w:r>
          </w:p>
        </w:tc>
      </w:tr>
    </w:tbl>
    <w:p w14:paraId="020454CD" w14:textId="77777777" w:rsidR="00686804" w:rsidRPr="00691C7F" w:rsidRDefault="00686804" w:rsidP="002F5786">
      <w:pPr>
        <w:rPr>
          <w:lang w:val="en-US" w:eastAsia="ja-JP"/>
        </w:rPr>
      </w:pPr>
    </w:p>
    <w:p w14:paraId="7B35E588" w14:textId="77777777" w:rsidR="00686804" w:rsidRDefault="00686804" w:rsidP="002F5786">
      <w:pPr>
        <w:pStyle w:val="TH"/>
      </w:pPr>
      <w:r w:rsidRPr="00DE253F">
        <w:t xml:space="preserve">Table </w:t>
      </w:r>
      <w:r>
        <w:t>10.1.23.3.3-3</w:t>
      </w:r>
      <w:r w:rsidRPr="00DE253F">
        <w:t xml:space="preserve">: </w:t>
      </w:r>
      <w:r>
        <w:t xml:space="preserve">Report mapping for </w:t>
      </w:r>
      <w:r w:rsidRPr="00DE253F">
        <w:rPr>
          <w:i/>
          <w:iCs/>
        </w:rPr>
        <w:t>k</w:t>
      </w:r>
      <w:r>
        <w:t>=2</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686804" w:rsidRPr="002A78AE" w14:paraId="72E9D7C9" w14:textId="77777777" w:rsidTr="00051ED3">
        <w:trPr>
          <w:cantSplit/>
          <w:trHeight w:val="344"/>
        </w:trPr>
        <w:tc>
          <w:tcPr>
            <w:tcW w:w="2693" w:type="dxa"/>
            <w:vAlign w:val="center"/>
          </w:tcPr>
          <w:p w14:paraId="5DB380ED" w14:textId="77777777" w:rsidR="00686804" w:rsidRPr="002A78AE" w:rsidRDefault="00686804" w:rsidP="00DA29A5">
            <w:pPr>
              <w:pStyle w:val="TAH"/>
            </w:pPr>
            <w:r w:rsidRPr="002A78AE">
              <w:t>Reported Quantity Value</w:t>
            </w:r>
            <w:r>
              <w:t>,</w:t>
            </w:r>
          </w:p>
          <w:p w14:paraId="4A65F1DE" w14:textId="77777777" w:rsidR="00686804" w:rsidRPr="002A78AE" w:rsidRDefault="00686804" w:rsidP="00DA29A5">
            <w:pPr>
              <w:pStyle w:val="TAH"/>
            </w:pPr>
            <w:r>
              <w:t>path</w:t>
            </w:r>
            <w:r w:rsidRPr="002A78AE">
              <w:t>_i</w:t>
            </w:r>
          </w:p>
        </w:tc>
        <w:tc>
          <w:tcPr>
            <w:tcW w:w="2694" w:type="dxa"/>
            <w:vAlign w:val="center"/>
          </w:tcPr>
          <w:p w14:paraId="43FCAF75" w14:textId="77777777" w:rsidR="00686804" w:rsidRDefault="00686804" w:rsidP="00DA29A5">
            <w:pPr>
              <w:pStyle w:val="TAH"/>
            </w:pPr>
            <w:r w:rsidRPr="002A78AE">
              <w:t>Measured Quantity Value</w:t>
            </w:r>
            <w:r>
              <w:t>,</w:t>
            </w:r>
          </w:p>
          <w:p w14:paraId="4FE4053A" w14:textId="77777777" w:rsidR="00686804" w:rsidRPr="002A78AE" w:rsidRDefault="00686804" w:rsidP="00DA29A5">
            <w:pPr>
              <w:pStyle w:val="TAH"/>
            </w:pPr>
            <w:r>
              <w:sym w:font="Symbol" w:char="F044"/>
            </w:r>
            <w:r>
              <w:t>path</w:t>
            </w:r>
          </w:p>
        </w:tc>
        <w:tc>
          <w:tcPr>
            <w:tcW w:w="567" w:type="dxa"/>
            <w:vAlign w:val="center"/>
          </w:tcPr>
          <w:p w14:paraId="79A96738" w14:textId="77777777" w:rsidR="00686804" w:rsidRPr="002A78AE" w:rsidRDefault="00686804" w:rsidP="00DA29A5">
            <w:pPr>
              <w:pStyle w:val="TAH"/>
            </w:pPr>
            <w:r w:rsidRPr="002A78AE">
              <w:t>Unit</w:t>
            </w:r>
          </w:p>
        </w:tc>
      </w:tr>
      <w:tr w:rsidR="00686804" w:rsidRPr="002A78AE" w14:paraId="25E758AE" w14:textId="77777777" w:rsidTr="00051ED3">
        <w:trPr>
          <w:cantSplit/>
        </w:trPr>
        <w:tc>
          <w:tcPr>
            <w:tcW w:w="2693" w:type="dxa"/>
          </w:tcPr>
          <w:p w14:paraId="10083162" w14:textId="77777777" w:rsidR="00686804" w:rsidRPr="002A78AE" w:rsidRDefault="00686804" w:rsidP="00DA29A5">
            <w:pPr>
              <w:pStyle w:val="TAC"/>
            </w:pPr>
            <w:r>
              <w:rPr>
                <w:lang w:eastAsia="zh-CN"/>
              </w:rPr>
              <w:t>path</w:t>
            </w:r>
            <w:r w:rsidRPr="002A78AE">
              <w:t>_0000</w:t>
            </w:r>
          </w:p>
        </w:tc>
        <w:tc>
          <w:tcPr>
            <w:tcW w:w="2694" w:type="dxa"/>
          </w:tcPr>
          <w:p w14:paraId="255B3DB7" w14:textId="77777777" w:rsidR="00686804" w:rsidRPr="002A78AE" w:rsidRDefault="00686804" w:rsidP="002F5786">
            <w:pPr>
              <w:pStyle w:val="TAC"/>
            </w:pPr>
            <w:r>
              <w:sym w:font="Symbol" w:char="F044"/>
            </w:r>
            <w:r>
              <w:t>path</w:t>
            </w:r>
            <w:r w:rsidRPr="002A78AE">
              <w:rPr>
                <w:lang w:eastAsia="zh-CN"/>
              </w:rPr>
              <w:t xml:space="preserve"> &lt; </w:t>
            </w:r>
            <w:r>
              <w:rPr>
                <w:lang w:eastAsia="zh-CN"/>
              </w:rPr>
              <w:t>-8174</w:t>
            </w:r>
          </w:p>
        </w:tc>
        <w:tc>
          <w:tcPr>
            <w:tcW w:w="567" w:type="dxa"/>
          </w:tcPr>
          <w:p w14:paraId="385B6967" w14:textId="77777777" w:rsidR="00686804" w:rsidRPr="002A78AE" w:rsidRDefault="00686804" w:rsidP="002F5786">
            <w:pPr>
              <w:pStyle w:val="TAC"/>
            </w:pPr>
            <w:r w:rsidRPr="002A78AE">
              <w:t>T</w:t>
            </w:r>
            <w:r w:rsidRPr="002A78AE">
              <w:rPr>
                <w:vertAlign w:val="subscript"/>
              </w:rPr>
              <w:t>c</w:t>
            </w:r>
          </w:p>
        </w:tc>
      </w:tr>
      <w:tr w:rsidR="00686804" w:rsidRPr="002A78AE" w14:paraId="53EF964F" w14:textId="77777777" w:rsidTr="00051ED3">
        <w:trPr>
          <w:cantSplit/>
        </w:trPr>
        <w:tc>
          <w:tcPr>
            <w:tcW w:w="2693" w:type="dxa"/>
          </w:tcPr>
          <w:p w14:paraId="3741D0E5" w14:textId="77777777" w:rsidR="00686804" w:rsidRPr="002A78AE" w:rsidRDefault="00686804" w:rsidP="00DA29A5">
            <w:pPr>
              <w:pStyle w:val="TAC"/>
            </w:pPr>
            <w:r>
              <w:rPr>
                <w:lang w:eastAsia="zh-CN"/>
              </w:rPr>
              <w:t>path</w:t>
            </w:r>
            <w:r w:rsidRPr="002A78AE">
              <w:t>_0001</w:t>
            </w:r>
          </w:p>
        </w:tc>
        <w:tc>
          <w:tcPr>
            <w:tcW w:w="2694" w:type="dxa"/>
          </w:tcPr>
          <w:p w14:paraId="72F7B82E" w14:textId="77777777" w:rsidR="00686804" w:rsidRPr="002A78AE" w:rsidRDefault="00686804" w:rsidP="002F5786">
            <w:pPr>
              <w:pStyle w:val="TAC"/>
            </w:pPr>
            <w:r>
              <w:rPr>
                <w:lang w:eastAsia="zh-CN"/>
              </w:rPr>
              <w:t>-8174</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8170</w:t>
            </w:r>
          </w:p>
        </w:tc>
        <w:tc>
          <w:tcPr>
            <w:tcW w:w="567" w:type="dxa"/>
          </w:tcPr>
          <w:p w14:paraId="2461B87F" w14:textId="77777777" w:rsidR="00686804" w:rsidRPr="002A78AE" w:rsidRDefault="00686804" w:rsidP="002F5786">
            <w:pPr>
              <w:pStyle w:val="TAC"/>
            </w:pPr>
            <w:r w:rsidRPr="002A78AE">
              <w:t>T</w:t>
            </w:r>
            <w:r w:rsidRPr="002A78AE">
              <w:rPr>
                <w:vertAlign w:val="subscript"/>
              </w:rPr>
              <w:t>c</w:t>
            </w:r>
          </w:p>
        </w:tc>
      </w:tr>
      <w:tr w:rsidR="00686804" w:rsidRPr="002A78AE" w14:paraId="740E4628" w14:textId="77777777" w:rsidTr="00051ED3">
        <w:trPr>
          <w:cantSplit/>
        </w:trPr>
        <w:tc>
          <w:tcPr>
            <w:tcW w:w="2693" w:type="dxa"/>
          </w:tcPr>
          <w:p w14:paraId="29663B0E" w14:textId="77777777" w:rsidR="00686804" w:rsidRPr="002A78AE" w:rsidRDefault="00686804" w:rsidP="00DA29A5">
            <w:pPr>
              <w:pStyle w:val="TAC"/>
            </w:pPr>
            <w:r>
              <w:rPr>
                <w:lang w:eastAsia="zh-CN"/>
              </w:rPr>
              <w:t>path</w:t>
            </w:r>
            <w:r w:rsidRPr="002A78AE">
              <w:t>_0002</w:t>
            </w:r>
          </w:p>
        </w:tc>
        <w:tc>
          <w:tcPr>
            <w:tcW w:w="2694" w:type="dxa"/>
          </w:tcPr>
          <w:p w14:paraId="51F44035" w14:textId="77777777" w:rsidR="00686804" w:rsidRPr="002A78AE" w:rsidRDefault="00686804" w:rsidP="00DA29A5">
            <w:pPr>
              <w:pStyle w:val="TAC"/>
            </w:pPr>
            <w:r w:rsidRPr="002A78AE">
              <w:rPr>
                <w:lang w:eastAsia="zh-CN"/>
              </w:rPr>
              <w:t>-</w:t>
            </w:r>
            <w:r>
              <w:rPr>
                <w:lang w:eastAsia="zh-CN"/>
              </w:rPr>
              <w:t>8170</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8166</w:t>
            </w:r>
          </w:p>
        </w:tc>
        <w:tc>
          <w:tcPr>
            <w:tcW w:w="567" w:type="dxa"/>
          </w:tcPr>
          <w:p w14:paraId="22500CF8" w14:textId="77777777" w:rsidR="00686804" w:rsidRPr="002A78AE" w:rsidRDefault="00686804" w:rsidP="00DA29A5">
            <w:pPr>
              <w:pStyle w:val="TAC"/>
            </w:pPr>
            <w:r w:rsidRPr="002A78AE">
              <w:t>T</w:t>
            </w:r>
            <w:r w:rsidRPr="002A78AE">
              <w:rPr>
                <w:vertAlign w:val="subscript"/>
              </w:rPr>
              <w:t>c</w:t>
            </w:r>
          </w:p>
        </w:tc>
      </w:tr>
      <w:tr w:rsidR="00686804" w:rsidRPr="002A78AE" w14:paraId="7A7536AA" w14:textId="77777777" w:rsidTr="00051ED3">
        <w:trPr>
          <w:cantSplit/>
        </w:trPr>
        <w:tc>
          <w:tcPr>
            <w:tcW w:w="2693" w:type="dxa"/>
          </w:tcPr>
          <w:p w14:paraId="62A651FB" w14:textId="77777777" w:rsidR="00686804" w:rsidRPr="002A78AE" w:rsidRDefault="00686804" w:rsidP="00DA29A5">
            <w:pPr>
              <w:pStyle w:val="TAC"/>
            </w:pPr>
            <w:r w:rsidRPr="002A78AE">
              <w:sym w:font="Symbol" w:char="F0BC"/>
            </w:r>
          </w:p>
        </w:tc>
        <w:tc>
          <w:tcPr>
            <w:tcW w:w="2694" w:type="dxa"/>
          </w:tcPr>
          <w:p w14:paraId="21A4084A" w14:textId="77777777" w:rsidR="00686804" w:rsidRPr="002A78AE" w:rsidRDefault="00686804" w:rsidP="00DA29A5">
            <w:pPr>
              <w:pStyle w:val="TAC"/>
            </w:pPr>
            <w:r w:rsidRPr="002A78AE">
              <w:sym w:font="Symbol" w:char="F0BC"/>
            </w:r>
          </w:p>
        </w:tc>
        <w:tc>
          <w:tcPr>
            <w:tcW w:w="567" w:type="dxa"/>
          </w:tcPr>
          <w:p w14:paraId="2CDECD42" w14:textId="77777777" w:rsidR="00686804" w:rsidRPr="002A78AE" w:rsidRDefault="00686804" w:rsidP="00DA29A5">
            <w:pPr>
              <w:pStyle w:val="TAC"/>
            </w:pPr>
            <w:r w:rsidRPr="002A78AE">
              <w:t>…</w:t>
            </w:r>
          </w:p>
        </w:tc>
      </w:tr>
      <w:tr w:rsidR="00686804" w:rsidRPr="002A78AE" w14:paraId="10755776" w14:textId="77777777" w:rsidTr="00051ED3">
        <w:trPr>
          <w:cantSplit/>
        </w:trPr>
        <w:tc>
          <w:tcPr>
            <w:tcW w:w="2693" w:type="dxa"/>
          </w:tcPr>
          <w:p w14:paraId="7DBF01DA" w14:textId="77777777" w:rsidR="00686804" w:rsidRPr="002A78AE" w:rsidRDefault="00686804" w:rsidP="00DA29A5">
            <w:pPr>
              <w:pStyle w:val="TAC"/>
            </w:pPr>
            <w:r>
              <w:rPr>
                <w:lang w:eastAsia="zh-CN"/>
              </w:rPr>
              <w:t>path</w:t>
            </w:r>
            <w:r w:rsidRPr="002A78AE">
              <w:rPr>
                <w:lang w:eastAsia="zh-CN"/>
              </w:rPr>
              <w:t>_</w:t>
            </w:r>
            <w:r>
              <w:rPr>
                <w:lang w:eastAsia="zh-CN"/>
              </w:rPr>
              <w:t>2044</w:t>
            </w:r>
          </w:p>
        </w:tc>
        <w:tc>
          <w:tcPr>
            <w:tcW w:w="2694" w:type="dxa"/>
          </w:tcPr>
          <w:p w14:paraId="23B71031" w14:textId="77777777" w:rsidR="00686804" w:rsidRPr="002A78AE" w:rsidRDefault="00686804" w:rsidP="002F5786">
            <w:pPr>
              <w:pStyle w:val="TAC"/>
            </w:pPr>
            <w:r w:rsidRPr="002A78AE">
              <w:rPr>
                <w:lang w:eastAsia="zh-CN"/>
              </w:rPr>
              <w:t>-</w:t>
            </w:r>
            <w:r>
              <w:rPr>
                <w:lang w:eastAsia="zh-CN"/>
              </w:rPr>
              <w:t>2</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2</w:t>
            </w:r>
          </w:p>
        </w:tc>
        <w:tc>
          <w:tcPr>
            <w:tcW w:w="567" w:type="dxa"/>
          </w:tcPr>
          <w:p w14:paraId="40F4F55A" w14:textId="77777777" w:rsidR="00686804" w:rsidRPr="002A78AE" w:rsidRDefault="00686804" w:rsidP="002F5786">
            <w:pPr>
              <w:pStyle w:val="TAC"/>
            </w:pPr>
            <w:r w:rsidRPr="002A78AE">
              <w:t>T</w:t>
            </w:r>
            <w:r w:rsidRPr="002A78AE">
              <w:rPr>
                <w:vertAlign w:val="subscript"/>
              </w:rPr>
              <w:t>c</w:t>
            </w:r>
          </w:p>
        </w:tc>
      </w:tr>
      <w:tr w:rsidR="00686804" w:rsidRPr="002A78AE" w14:paraId="4D5818CA"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0A91493" w14:textId="77777777" w:rsidR="00686804" w:rsidRPr="002A78AE" w:rsidRDefault="00686804" w:rsidP="00DA29A5">
            <w:pPr>
              <w:pStyle w:val="TAC"/>
            </w:pPr>
            <w:r w:rsidRPr="002A78AE">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7187028C" w14:textId="77777777" w:rsidR="00686804" w:rsidRPr="002A78AE" w:rsidRDefault="00686804" w:rsidP="00DA29A5">
            <w:pPr>
              <w:pStyle w:val="TAC"/>
            </w:pPr>
            <w:r w:rsidRPr="002A78AE">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6379A913" w14:textId="77777777" w:rsidR="00686804" w:rsidRPr="002A78AE" w:rsidRDefault="00686804" w:rsidP="00DA29A5">
            <w:pPr>
              <w:pStyle w:val="TAC"/>
            </w:pPr>
            <w:r w:rsidRPr="002A78AE">
              <w:t>…</w:t>
            </w:r>
          </w:p>
        </w:tc>
      </w:tr>
      <w:tr w:rsidR="00686804" w:rsidRPr="002A78AE" w14:paraId="3A58E9FB"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7BBE3E2" w14:textId="77777777" w:rsidR="00686804" w:rsidRPr="002A78AE" w:rsidRDefault="00686804" w:rsidP="00DA29A5">
            <w:pPr>
              <w:pStyle w:val="TAC"/>
            </w:pPr>
            <w:r>
              <w:rPr>
                <w:lang w:eastAsia="zh-CN"/>
              </w:rPr>
              <w:t>path</w:t>
            </w:r>
            <w:r w:rsidRPr="002A78AE">
              <w:rPr>
                <w:lang w:eastAsia="zh-CN"/>
              </w:rPr>
              <w:t>_</w:t>
            </w:r>
            <w:r>
              <w:rPr>
                <w:bCs/>
                <w:lang w:eastAsia="zh-CN"/>
              </w:rPr>
              <w:t>4086</w:t>
            </w:r>
          </w:p>
        </w:tc>
        <w:tc>
          <w:tcPr>
            <w:tcW w:w="2694" w:type="dxa"/>
            <w:tcBorders>
              <w:top w:val="single" w:sz="4" w:space="0" w:color="auto"/>
              <w:left w:val="single" w:sz="4" w:space="0" w:color="auto"/>
              <w:bottom w:val="single" w:sz="4" w:space="0" w:color="auto"/>
              <w:right w:val="single" w:sz="4" w:space="0" w:color="auto"/>
            </w:tcBorders>
          </w:tcPr>
          <w:p w14:paraId="0E224187" w14:textId="77777777" w:rsidR="00686804" w:rsidRPr="002A78AE" w:rsidRDefault="00686804" w:rsidP="002F5786">
            <w:pPr>
              <w:pStyle w:val="TAC"/>
            </w:pPr>
            <w:r>
              <w:rPr>
                <w:lang w:eastAsia="zh-CN"/>
              </w:rPr>
              <w:t>8166</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8170</w:t>
            </w:r>
          </w:p>
        </w:tc>
        <w:tc>
          <w:tcPr>
            <w:tcW w:w="567" w:type="dxa"/>
            <w:tcBorders>
              <w:top w:val="single" w:sz="4" w:space="0" w:color="auto"/>
              <w:left w:val="single" w:sz="4" w:space="0" w:color="auto"/>
              <w:bottom w:val="single" w:sz="4" w:space="0" w:color="auto"/>
              <w:right w:val="single" w:sz="4" w:space="0" w:color="auto"/>
            </w:tcBorders>
          </w:tcPr>
          <w:p w14:paraId="53388526" w14:textId="77777777" w:rsidR="00686804" w:rsidRPr="002A78AE" w:rsidRDefault="00686804" w:rsidP="002F5786">
            <w:pPr>
              <w:pStyle w:val="TAC"/>
            </w:pPr>
            <w:r w:rsidRPr="002A78AE">
              <w:t>T</w:t>
            </w:r>
            <w:r w:rsidRPr="002A78AE">
              <w:rPr>
                <w:vertAlign w:val="subscript"/>
              </w:rPr>
              <w:t>c</w:t>
            </w:r>
          </w:p>
        </w:tc>
      </w:tr>
      <w:tr w:rsidR="00686804" w:rsidRPr="002A78AE" w14:paraId="7E9CA1B8"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0152099" w14:textId="77777777" w:rsidR="00686804" w:rsidRPr="002A78AE" w:rsidRDefault="00686804" w:rsidP="00DA29A5">
            <w:pPr>
              <w:pStyle w:val="TAC"/>
            </w:pPr>
            <w:r>
              <w:rPr>
                <w:lang w:eastAsia="zh-CN"/>
              </w:rPr>
              <w:t>path</w:t>
            </w:r>
            <w:r w:rsidRPr="002A78AE">
              <w:rPr>
                <w:lang w:eastAsia="zh-CN"/>
              </w:rPr>
              <w:t>_</w:t>
            </w:r>
            <w:r>
              <w:rPr>
                <w:bCs/>
                <w:lang w:eastAsia="zh-CN"/>
              </w:rPr>
              <w:t>4087</w:t>
            </w:r>
          </w:p>
        </w:tc>
        <w:tc>
          <w:tcPr>
            <w:tcW w:w="2694" w:type="dxa"/>
            <w:tcBorders>
              <w:top w:val="single" w:sz="4" w:space="0" w:color="auto"/>
              <w:left w:val="single" w:sz="4" w:space="0" w:color="auto"/>
              <w:bottom w:val="single" w:sz="4" w:space="0" w:color="auto"/>
              <w:right w:val="single" w:sz="4" w:space="0" w:color="auto"/>
            </w:tcBorders>
          </w:tcPr>
          <w:p w14:paraId="45903BF6" w14:textId="77777777" w:rsidR="00686804" w:rsidRPr="002A78AE" w:rsidRDefault="00686804" w:rsidP="002F5786">
            <w:pPr>
              <w:pStyle w:val="TAC"/>
            </w:pPr>
            <w:r>
              <w:rPr>
                <w:lang w:eastAsia="zh-CN"/>
              </w:rPr>
              <w:t>8170</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8174</w:t>
            </w:r>
          </w:p>
        </w:tc>
        <w:tc>
          <w:tcPr>
            <w:tcW w:w="567" w:type="dxa"/>
            <w:tcBorders>
              <w:top w:val="single" w:sz="4" w:space="0" w:color="auto"/>
              <w:left w:val="single" w:sz="4" w:space="0" w:color="auto"/>
              <w:bottom w:val="single" w:sz="4" w:space="0" w:color="auto"/>
              <w:right w:val="single" w:sz="4" w:space="0" w:color="auto"/>
            </w:tcBorders>
          </w:tcPr>
          <w:p w14:paraId="495936EB" w14:textId="77777777" w:rsidR="00686804" w:rsidRPr="002A78AE" w:rsidRDefault="00686804" w:rsidP="002F5786">
            <w:pPr>
              <w:pStyle w:val="TAC"/>
            </w:pPr>
            <w:r w:rsidRPr="002A78AE">
              <w:t>T</w:t>
            </w:r>
            <w:r w:rsidRPr="002A78AE">
              <w:rPr>
                <w:vertAlign w:val="subscript"/>
              </w:rPr>
              <w:t>c</w:t>
            </w:r>
          </w:p>
        </w:tc>
      </w:tr>
      <w:tr w:rsidR="00686804" w:rsidRPr="002A78AE" w14:paraId="4DF37925"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9F51391" w14:textId="77777777" w:rsidR="00686804" w:rsidRPr="002A78AE" w:rsidRDefault="00686804" w:rsidP="00DA29A5">
            <w:pPr>
              <w:pStyle w:val="TAC"/>
            </w:pPr>
            <w:r>
              <w:rPr>
                <w:lang w:eastAsia="zh-CN"/>
              </w:rPr>
              <w:t>path</w:t>
            </w:r>
            <w:r w:rsidRPr="002A78AE">
              <w:rPr>
                <w:lang w:eastAsia="zh-CN"/>
              </w:rPr>
              <w:t>_</w:t>
            </w:r>
            <w:r>
              <w:rPr>
                <w:bCs/>
                <w:lang w:eastAsia="zh-CN"/>
              </w:rPr>
              <w:t>4088</w:t>
            </w:r>
          </w:p>
        </w:tc>
        <w:tc>
          <w:tcPr>
            <w:tcW w:w="2694" w:type="dxa"/>
            <w:tcBorders>
              <w:top w:val="single" w:sz="4" w:space="0" w:color="auto"/>
              <w:left w:val="single" w:sz="4" w:space="0" w:color="auto"/>
              <w:bottom w:val="single" w:sz="4" w:space="0" w:color="auto"/>
              <w:right w:val="single" w:sz="4" w:space="0" w:color="auto"/>
            </w:tcBorders>
          </w:tcPr>
          <w:p w14:paraId="29FC881B" w14:textId="77777777" w:rsidR="00686804" w:rsidRPr="002A78AE" w:rsidRDefault="00686804" w:rsidP="002F5786">
            <w:pPr>
              <w:pStyle w:val="TAC"/>
            </w:pPr>
            <w:r>
              <w:rPr>
                <w:lang w:eastAsia="zh-CN"/>
              </w:rPr>
              <w:t>8174</w:t>
            </w:r>
            <w:r w:rsidRPr="002A78AE">
              <w:rPr>
                <w:lang w:eastAsia="zh-CN"/>
              </w:rPr>
              <w:t xml:space="preserve"> </w:t>
            </w:r>
            <w:r w:rsidRPr="002A78AE">
              <w:sym w:font="Symbol" w:char="F0A3"/>
            </w:r>
            <w:r w:rsidRPr="002A78AE">
              <w:rPr>
                <w:lang w:eastAsia="zh-CN"/>
              </w:rPr>
              <w:t xml:space="preserve"> </w:t>
            </w:r>
            <w:r>
              <w:sym w:font="Symbol" w:char="F044"/>
            </w:r>
            <w:r>
              <w:t>path</w:t>
            </w:r>
          </w:p>
        </w:tc>
        <w:tc>
          <w:tcPr>
            <w:tcW w:w="567" w:type="dxa"/>
            <w:tcBorders>
              <w:top w:val="single" w:sz="4" w:space="0" w:color="auto"/>
              <w:left w:val="single" w:sz="4" w:space="0" w:color="auto"/>
              <w:bottom w:val="single" w:sz="4" w:space="0" w:color="auto"/>
              <w:right w:val="single" w:sz="4" w:space="0" w:color="auto"/>
            </w:tcBorders>
          </w:tcPr>
          <w:p w14:paraId="57FE32E6" w14:textId="77777777" w:rsidR="00686804" w:rsidRPr="002A78AE" w:rsidRDefault="00686804" w:rsidP="002F5786">
            <w:pPr>
              <w:pStyle w:val="TAC"/>
            </w:pPr>
            <w:r w:rsidRPr="002A78AE">
              <w:t>T</w:t>
            </w:r>
            <w:r w:rsidRPr="002A78AE">
              <w:rPr>
                <w:vertAlign w:val="subscript"/>
              </w:rPr>
              <w:t>c</w:t>
            </w:r>
          </w:p>
        </w:tc>
      </w:tr>
    </w:tbl>
    <w:p w14:paraId="107B673F" w14:textId="77777777" w:rsidR="00686804" w:rsidRDefault="00686804" w:rsidP="002F5786"/>
    <w:p w14:paraId="69349774" w14:textId="77777777" w:rsidR="00686804" w:rsidRDefault="00686804" w:rsidP="002F5786">
      <w:pPr>
        <w:pStyle w:val="TH"/>
      </w:pPr>
      <w:r w:rsidRPr="00DE253F">
        <w:t xml:space="preserve">Table </w:t>
      </w:r>
      <w:r>
        <w:t>10.1.23.3.3-4</w:t>
      </w:r>
      <w:r w:rsidRPr="00DE253F">
        <w:t xml:space="preserve">: </w:t>
      </w:r>
      <w:r>
        <w:t xml:space="preserve">Report mapping for </w:t>
      </w:r>
      <w:r w:rsidRPr="00DE253F">
        <w:rPr>
          <w:i/>
          <w:iCs/>
        </w:rPr>
        <w:t>k</w:t>
      </w:r>
      <w:r>
        <w:t>=3</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686804" w:rsidRPr="002A78AE" w14:paraId="2A82A903" w14:textId="77777777" w:rsidTr="00051ED3">
        <w:trPr>
          <w:cantSplit/>
          <w:trHeight w:val="147"/>
        </w:trPr>
        <w:tc>
          <w:tcPr>
            <w:tcW w:w="2693" w:type="dxa"/>
            <w:vAlign w:val="center"/>
          </w:tcPr>
          <w:p w14:paraId="21A3267E" w14:textId="77777777" w:rsidR="00686804" w:rsidRPr="002A78AE" w:rsidRDefault="00686804" w:rsidP="00DA29A5">
            <w:pPr>
              <w:pStyle w:val="TAH"/>
            </w:pPr>
            <w:r w:rsidRPr="002A78AE">
              <w:t>Reported Quantity Value</w:t>
            </w:r>
            <w:r>
              <w:t>,</w:t>
            </w:r>
          </w:p>
          <w:p w14:paraId="0B087217" w14:textId="77777777" w:rsidR="00686804" w:rsidRPr="002A78AE" w:rsidRDefault="00686804" w:rsidP="00DA29A5">
            <w:pPr>
              <w:pStyle w:val="TAH"/>
            </w:pPr>
            <w:r>
              <w:t>path</w:t>
            </w:r>
            <w:r w:rsidRPr="002A78AE">
              <w:t>_i</w:t>
            </w:r>
          </w:p>
        </w:tc>
        <w:tc>
          <w:tcPr>
            <w:tcW w:w="2694" w:type="dxa"/>
            <w:vAlign w:val="center"/>
          </w:tcPr>
          <w:p w14:paraId="5E0D8650" w14:textId="77777777" w:rsidR="00686804" w:rsidRDefault="00686804" w:rsidP="00DA29A5">
            <w:pPr>
              <w:pStyle w:val="TAH"/>
            </w:pPr>
            <w:r w:rsidRPr="002A78AE">
              <w:t>Measured Quantity Value</w:t>
            </w:r>
            <w:r>
              <w:t>,</w:t>
            </w:r>
          </w:p>
          <w:p w14:paraId="47E6A07A" w14:textId="77777777" w:rsidR="00686804" w:rsidRPr="002A78AE" w:rsidRDefault="00686804" w:rsidP="00DA29A5">
            <w:pPr>
              <w:pStyle w:val="TAH"/>
            </w:pPr>
            <w:r>
              <w:sym w:font="Symbol" w:char="F044"/>
            </w:r>
            <w:r>
              <w:t>path</w:t>
            </w:r>
          </w:p>
        </w:tc>
        <w:tc>
          <w:tcPr>
            <w:tcW w:w="567" w:type="dxa"/>
            <w:vAlign w:val="center"/>
          </w:tcPr>
          <w:p w14:paraId="75A733FF" w14:textId="77777777" w:rsidR="00686804" w:rsidRPr="002A78AE" w:rsidRDefault="00686804" w:rsidP="00DA29A5">
            <w:pPr>
              <w:pStyle w:val="TAH"/>
            </w:pPr>
            <w:r w:rsidRPr="002A78AE">
              <w:t>Unit</w:t>
            </w:r>
          </w:p>
        </w:tc>
      </w:tr>
      <w:tr w:rsidR="00686804" w:rsidRPr="002A78AE" w14:paraId="0E753BDA" w14:textId="77777777" w:rsidTr="00051ED3">
        <w:trPr>
          <w:cantSplit/>
        </w:trPr>
        <w:tc>
          <w:tcPr>
            <w:tcW w:w="2693" w:type="dxa"/>
          </w:tcPr>
          <w:p w14:paraId="719A96CD" w14:textId="77777777" w:rsidR="00686804" w:rsidRPr="002A78AE" w:rsidRDefault="00686804" w:rsidP="00DA29A5">
            <w:pPr>
              <w:pStyle w:val="TAC"/>
            </w:pPr>
            <w:r>
              <w:rPr>
                <w:lang w:eastAsia="zh-CN"/>
              </w:rPr>
              <w:t>path</w:t>
            </w:r>
            <w:r w:rsidRPr="002A78AE">
              <w:t>_0000</w:t>
            </w:r>
          </w:p>
        </w:tc>
        <w:tc>
          <w:tcPr>
            <w:tcW w:w="2694" w:type="dxa"/>
          </w:tcPr>
          <w:p w14:paraId="529837F3" w14:textId="77777777" w:rsidR="00686804" w:rsidRPr="002A78AE" w:rsidRDefault="00686804" w:rsidP="002F5786">
            <w:pPr>
              <w:pStyle w:val="TAC"/>
            </w:pPr>
            <w:r>
              <w:sym w:font="Symbol" w:char="F044"/>
            </w:r>
            <w:r>
              <w:t>path</w:t>
            </w:r>
            <w:r w:rsidRPr="002A78AE">
              <w:rPr>
                <w:lang w:eastAsia="zh-CN"/>
              </w:rPr>
              <w:t xml:space="preserve"> &lt; </w:t>
            </w:r>
            <w:r>
              <w:rPr>
                <w:lang w:eastAsia="zh-CN"/>
              </w:rPr>
              <w:t>-8172</w:t>
            </w:r>
          </w:p>
        </w:tc>
        <w:tc>
          <w:tcPr>
            <w:tcW w:w="567" w:type="dxa"/>
          </w:tcPr>
          <w:p w14:paraId="34A73A52" w14:textId="77777777" w:rsidR="00686804" w:rsidRPr="002A78AE" w:rsidRDefault="00686804" w:rsidP="002F5786">
            <w:pPr>
              <w:pStyle w:val="TAC"/>
            </w:pPr>
            <w:r w:rsidRPr="002A78AE">
              <w:t>T</w:t>
            </w:r>
            <w:r w:rsidRPr="002A78AE">
              <w:rPr>
                <w:vertAlign w:val="subscript"/>
              </w:rPr>
              <w:t>c</w:t>
            </w:r>
          </w:p>
        </w:tc>
      </w:tr>
      <w:tr w:rsidR="00686804" w:rsidRPr="002A78AE" w14:paraId="595EB1C4" w14:textId="77777777" w:rsidTr="00051ED3">
        <w:trPr>
          <w:cantSplit/>
        </w:trPr>
        <w:tc>
          <w:tcPr>
            <w:tcW w:w="2693" w:type="dxa"/>
          </w:tcPr>
          <w:p w14:paraId="4285C86D" w14:textId="77777777" w:rsidR="00686804" w:rsidRPr="002A78AE" w:rsidRDefault="00686804" w:rsidP="00DA29A5">
            <w:pPr>
              <w:pStyle w:val="TAC"/>
            </w:pPr>
            <w:r>
              <w:rPr>
                <w:lang w:eastAsia="zh-CN"/>
              </w:rPr>
              <w:t>path</w:t>
            </w:r>
            <w:r w:rsidRPr="002A78AE">
              <w:t>_0001</w:t>
            </w:r>
          </w:p>
        </w:tc>
        <w:tc>
          <w:tcPr>
            <w:tcW w:w="2694" w:type="dxa"/>
          </w:tcPr>
          <w:p w14:paraId="2166DA36" w14:textId="77777777" w:rsidR="00686804" w:rsidRPr="002A78AE" w:rsidRDefault="00686804" w:rsidP="002F5786">
            <w:pPr>
              <w:pStyle w:val="TAC"/>
            </w:pPr>
            <w:r>
              <w:rPr>
                <w:lang w:eastAsia="zh-CN"/>
              </w:rPr>
              <w:t>-8172</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8164</w:t>
            </w:r>
          </w:p>
        </w:tc>
        <w:tc>
          <w:tcPr>
            <w:tcW w:w="567" w:type="dxa"/>
          </w:tcPr>
          <w:p w14:paraId="01CE1094" w14:textId="77777777" w:rsidR="00686804" w:rsidRPr="002A78AE" w:rsidRDefault="00686804" w:rsidP="002F5786">
            <w:pPr>
              <w:pStyle w:val="TAC"/>
            </w:pPr>
            <w:r w:rsidRPr="002A78AE">
              <w:t>T</w:t>
            </w:r>
            <w:r w:rsidRPr="002A78AE">
              <w:rPr>
                <w:vertAlign w:val="subscript"/>
              </w:rPr>
              <w:t>c</w:t>
            </w:r>
          </w:p>
        </w:tc>
      </w:tr>
      <w:tr w:rsidR="00686804" w:rsidRPr="002A78AE" w14:paraId="3389D455" w14:textId="77777777" w:rsidTr="00051ED3">
        <w:trPr>
          <w:cantSplit/>
        </w:trPr>
        <w:tc>
          <w:tcPr>
            <w:tcW w:w="2693" w:type="dxa"/>
          </w:tcPr>
          <w:p w14:paraId="20D6884B" w14:textId="77777777" w:rsidR="00686804" w:rsidRPr="002A78AE" w:rsidRDefault="00686804" w:rsidP="00DA29A5">
            <w:pPr>
              <w:pStyle w:val="TAC"/>
            </w:pPr>
            <w:r>
              <w:rPr>
                <w:lang w:eastAsia="zh-CN"/>
              </w:rPr>
              <w:t>path</w:t>
            </w:r>
            <w:r w:rsidRPr="002A78AE">
              <w:t>_0002</w:t>
            </w:r>
          </w:p>
        </w:tc>
        <w:tc>
          <w:tcPr>
            <w:tcW w:w="2694" w:type="dxa"/>
          </w:tcPr>
          <w:p w14:paraId="613778CA" w14:textId="77777777" w:rsidR="00686804" w:rsidRPr="002A78AE" w:rsidRDefault="00686804" w:rsidP="00DA29A5">
            <w:pPr>
              <w:pStyle w:val="TAC"/>
            </w:pPr>
            <w:r w:rsidRPr="002A78AE">
              <w:rPr>
                <w:lang w:eastAsia="zh-CN"/>
              </w:rPr>
              <w:t>-</w:t>
            </w:r>
            <w:r>
              <w:rPr>
                <w:lang w:eastAsia="zh-CN"/>
              </w:rPr>
              <w:t>8164</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8156</w:t>
            </w:r>
          </w:p>
        </w:tc>
        <w:tc>
          <w:tcPr>
            <w:tcW w:w="567" w:type="dxa"/>
          </w:tcPr>
          <w:p w14:paraId="2821CB87" w14:textId="77777777" w:rsidR="00686804" w:rsidRPr="002A78AE" w:rsidRDefault="00686804" w:rsidP="00DA29A5">
            <w:pPr>
              <w:pStyle w:val="TAC"/>
            </w:pPr>
            <w:r w:rsidRPr="002A78AE">
              <w:t>T</w:t>
            </w:r>
            <w:r w:rsidRPr="002A78AE">
              <w:rPr>
                <w:vertAlign w:val="subscript"/>
              </w:rPr>
              <w:t>c</w:t>
            </w:r>
          </w:p>
        </w:tc>
      </w:tr>
      <w:tr w:rsidR="00686804" w:rsidRPr="002A78AE" w14:paraId="6D1F446B" w14:textId="77777777" w:rsidTr="00051ED3">
        <w:trPr>
          <w:cantSplit/>
        </w:trPr>
        <w:tc>
          <w:tcPr>
            <w:tcW w:w="2693" w:type="dxa"/>
          </w:tcPr>
          <w:p w14:paraId="49A395FF" w14:textId="77777777" w:rsidR="00686804" w:rsidRPr="002A78AE" w:rsidRDefault="00686804" w:rsidP="00DA29A5">
            <w:pPr>
              <w:pStyle w:val="TAC"/>
            </w:pPr>
            <w:r w:rsidRPr="002A78AE">
              <w:sym w:font="Symbol" w:char="F0BC"/>
            </w:r>
          </w:p>
        </w:tc>
        <w:tc>
          <w:tcPr>
            <w:tcW w:w="2694" w:type="dxa"/>
          </w:tcPr>
          <w:p w14:paraId="23BE3EAA" w14:textId="77777777" w:rsidR="00686804" w:rsidRPr="002A78AE" w:rsidRDefault="00686804" w:rsidP="00DA29A5">
            <w:pPr>
              <w:pStyle w:val="TAC"/>
            </w:pPr>
            <w:r w:rsidRPr="002A78AE">
              <w:sym w:font="Symbol" w:char="F0BC"/>
            </w:r>
          </w:p>
        </w:tc>
        <w:tc>
          <w:tcPr>
            <w:tcW w:w="567" w:type="dxa"/>
          </w:tcPr>
          <w:p w14:paraId="5476D03B" w14:textId="77777777" w:rsidR="00686804" w:rsidRPr="002A78AE" w:rsidRDefault="00686804" w:rsidP="00DA29A5">
            <w:pPr>
              <w:pStyle w:val="TAC"/>
            </w:pPr>
            <w:r w:rsidRPr="002A78AE">
              <w:t>…</w:t>
            </w:r>
          </w:p>
        </w:tc>
      </w:tr>
      <w:tr w:rsidR="00686804" w:rsidRPr="002A78AE" w14:paraId="3C3F1858" w14:textId="77777777" w:rsidTr="00051ED3">
        <w:trPr>
          <w:cantSplit/>
        </w:trPr>
        <w:tc>
          <w:tcPr>
            <w:tcW w:w="2693" w:type="dxa"/>
          </w:tcPr>
          <w:p w14:paraId="6390A6AB" w14:textId="77777777" w:rsidR="00686804" w:rsidRPr="002A78AE" w:rsidRDefault="00686804" w:rsidP="00DA29A5">
            <w:pPr>
              <w:pStyle w:val="TAC"/>
            </w:pPr>
            <w:r>
              <w:rPr>
                <w:lang w:eastAsia="zh-CN"/>
              </w:rPr>
              <w:t>path</w:t>
            </w:r>
            <w:r w:rsidRPr="002A78AE">
              <w:rPr>
                <w:lang w:eastAsia="zh-CN"/>
              </w:rPr>
              <w:t>_</w:t>
            </w:r>
            <w:r>
              <w:rPr>
                <w:lang w:eastAsia="zh-CN"/>
              </w:rPr>
              <w:t>1022</w:t>
            </w:r>
          </w:p>
        </w:tc>
        <w:tc>
          <w:tcPr>
            <w:tcW w:w="2694" w:type="dxa"/>
          </w:tcPr>
          <w:p w14:paraId="3F56DA3E" w14:textId="77777777" w:rsidR="00686804" w:rsidRPr="002A78AE" w:rsidRDefault="00686804" w:rsidP="002F5786">
            <w:pPr>
              <w:pStyle w:val="TAC"/>
            </w:pPr>
            <w:r w:rsidRPr="002A78AE">
              <w:rPr>
                <w:lang w:eastAsia="zh-CN"/>
              </w:rPr>
              <w:t>-</w:t>
            </w:r>
            <w:r>
              <w:rPr>
                <w:lang w:eastAsia="zh-CN"/>
              </w:rPr>
              <w:t>4</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4</w:t>
            </w:r>
          </w:p>
        </w:tc>
        <w:tc>
          <w:tcPr>
            <w:tcW w:w="567" w:type="dxa"/>
          </w:tcPr>
          <w:p w14:paraId="01FF5A7D" w14:textId="77777777" w:rsidR="00686804" w:rsidRPr="002A78AE" w:rsidRDefault="00686804" w:rsidP="002F5786">
            <w:pPr>
              <w:pStyle w:val="TAC"/>
            </w:pPr>
            <w:r w:rsidRPr="002A78AE">
              <w:t>T</w:t>
            </w:r>
            <w:r w:rsidRPr="002A78AE">
              <w:rPr>
                <w:vertAlign w:val="subscript"/>
              </w:rPr>
              <w:t>c</w:t>
            </w:r>
          </w:p>
        </w:tc>
      </w:tr>
      <w:tr w:rsidR="00686804" w:rsidRPr="002A78AE" w14:paraId="56CA9164"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B95C4E1" w14:textId="77777777" w:rsidR="00686804" w:rsidRPr="002A78AE" w:rsidRDefault="00686804" w:rsidP="00DA29A5">
            <w:pPr>
              <w:pStyle w:val="TAC"/>
            </w:pPr>
            <w:r w:rsidRPr="002A78AE">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1BAEE593" w14:textId="77777777" w:rsidR="00686804" w:rsidRPr="002A78AE" w:rsidRDefault="00686804" w:rsidP="00DA29A5">
            <w:pPr>
              <w:pStyle w:val="TAC"/>
            </w:pPr>
            <w:r w:rsidRPr="002A78AE">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1FA9F938" w14:textId="77777777" w:rsidR="00686804" w:rsidRPr="002A78AE" w:rsidRDefault="00686804" w:rsidP="00DA29A5">
            <w:pPr>
              <w:pStyle w:val="TAC"/>
            </w:pPr>
            <w:r w:rsidRPr="002A78AE">
              <w:t>…</w:t>
            </w:r>
          </w:p>
        </w:tc>
      </w:tr>
      <w:tr w:rsidR="00686804" w:rsidRPr="002A78AE" w14:paraId="41ED15BA"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4387E13" w14:textId="77777777" w:rsidR="00686804" w:rsidRPr="002A78AE" w:rsidRDefault="00686804" w:rsidP="00DA29A5">
            <w:pPr>
              <w:pStyle w:val="TAC"/>
            </w:pPr>
            <w:r>
              <w:rPr>
                <w:lang w:eastAsia="zh-CN"/>
              </w:rPr>
              <w:t>path</w:t>
            </w:r>
            <w:r w:rsidRPr="002A78AE">
              <w:rPr>
                <w:lang w:eastAsia="zh-CN"/>
              </w:rPr>
              <w:t>_</w:t>
            </w:r>
            <w:r>
              <w:rPr>
                <w:bCs/>
                <w:lang w:eastAsia="zh-CN"/>
              </w:rPr>
              <w:t>2042</w:t>
            </w:r>
          </w:p>
        </w:tc>
        <w:tc>
          <w:tcPr>
            <w:tcW w:w="2694" w:type="dxa"/>
            <w:tcBorders>
              <w:top w:val="single" w:sz="4" w:space="0" w:color="auto"/>
              <w:left w:val="single" w:sz="4" w:space="0" w:color="auto"/>
              <w:bottom w:val="single" w:sz="4" w:space="0" w:color="auto"/>
              <w:right w:val="single" w:sz="4" w:space="0" w:color="auto"/>
            </w:tcBorders>
          </w:tcPr>
          <w:p w14:paraId="76496316" w14:textId="77777777" w:rsidR="00686804" w:rsidRPr="002A78AE" w:rsidRDefault="00686804" w:rsidP="002F5786">
            <w:pPr>
              <w:pStyle w:val="TAC"/>
            </w:pPr>
            <w:r>
              <w:rPr>
                <w:lang w:eastAsia="zh-CN"/>
              </w:rPr>
              <w:t>8156</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8164</w:t>
            </w:r>
          </w:p>
        </w:tc>
        <w:tc>
          <w:tcPr>
            <w:tcW w:w="567" w:type="dxa"/>
            <w:tcBorders>
              <w:top w:val="single" w:sz="4" w:space="0" w:color="auto"/>
              <w:left w:val="single" w:sz="4" w:space="0" w:color="auto"/>
              <w:bottom w:val="single" w:sz="4" w:space="0" w:color="auto"/>
              <w:right w:val="single" w:sz="4" w:space="0" w:color="auto"/>
            </w:tcBorders>
          </w:tcPr>
          <w:p w14:paraId="786B2811" w14:textId="77777777" w:rsidR="00686804" w:rsidRPr="002A78AE" w:rsidRDefault="00686804" w:rsidP="002F5786">
            <w:pPr>
              <w:pStyle w:val="TAC"/>
            </w:pPr>
            <w:r w:rsidRPr="002A78AE">
              <w:t>T</w:t>
            </w:r>
            <w:r w:rsidRPr="002A78AE">
              <w:rPr>
                <w:vertAlign w:val="subscript"/>
              </w:rPr>
              <w:t>c</w:t>
            </w:r>
          </w:p>
        </w:tc>
      </w:tr>
      <w:tr w:rsidR="00686804" w:rsidRPr="002A78AE" w14:paraId="25506DD0"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F675CA8" w14:textId="77777777" w:rsidR="00686804" w:rsidRPr="002A78AE" w:rsidRDefault="00686804" w:rsidP="00DA29A5">
            <w:pPr>
              <w:pStyle w:val="TAC"/>
            </w:pPr>
            <w:r>
              <w:rPr>
                <w:lang w:eastAsia="zh-CN"/>
              </w:rPr>
              <w:t>path</w:t>
            </w:r>
            <w:r w:rsidRPr="002A78AE">
              <w:rPr>
                <w:lang w:eastAsia="zh-CN"/>
              </w:rPr>
              <w:t>_</w:t>
            </w:r>
            <w:r>
              <w:rPr>
                <w:bCs/>
                <w:lang w:eastAsia="zh-CN"/>
              </w:rPr>
              <w:t>2043</w:t>
            </w:r>
          </w:p>
        </w:tc>
        <w:tc>
          <w:tcPr>
            <w:tcW w:w="2694" w:type="dxa"/>
            <w:tcBorders>
              <w:top w:val="single" w:sz="4" w:space="0" w:color="auto"/>
              <w:left w:val="single" w:sz="4" w:space="0" w:color="auto"/>
              <w:bottom w:val="single" w:sz="4" w:space="0" w:color="auto"/>
              <w:right w:val="single" w:sz="4" w:space="0" w:color="auto"/>
            </w:tcBorders>
          </w:tcPr>
          <w:p w14:paraId="7B5A7BEF" w14:textId="77777777" w:rsidR="00686804" w:rsidRPr="002A78AE" w:rsidRDefault="00686804" w:rsidP="002F5786">
            <w:pPr>
              <w:pStyle w:val="TAC"/>
            </w:pPr>
            <w:r>
              <w:rPr>
                <w:lang w:eastAsia="zh-CN"/>
              </w:rPr>
              <w:t>8164</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8172</w:t>
            </w:r>
          </w:p>
        </w:tc>
        <w:tc>
          <w:tcPr>
            <w:tcW w:w="567" w:type="dxa"/>
            <w:tcBorders>
              <w:top w:val="single" w:sz="4" w:space="0" w:color="auto"/>
              <w:left w:val="single" w:sz="4" w:space="0" w:color="auto"/>
              <w:bottom w:val="single" w:sz="4" w:space="0" w:color="auto"/>
              <w:right w:val="single" w:sz="4" w:space="0" w:color="auto"/>
            </w:tcBorders>
          </w:tcPr>
          <w:p w14:paraId="59517709" w14:textId="77777777" w:rsidR="00686804" w:rsidRPr="002A78AE" w:rsidRDefault="00686804" w:rsidP="002F5786">
            <w:pPr>
              <w:pStyle w:val="TAC"/>
            </w:pPr>
            <w:r w:rsidRPr="002A78AE">
              <w:t>T</w:t>
            </w:r>
            <w:r w:rsidRPr="002A78AE">
              <w:rPr>
                <w:vertAlign w:val="subscript"/>
              </w:rPr>
              <w:t>c</w:t>
            </w:r>
          </w:p>
        </w:tc>
      </w:tr>
      <w:tr w:rsidR="00686804" w:rsidRPr="002A78AE" w14:paraId="4A481A15"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9917A5D" w14:textId="77777777" w:rsidR="00686804" w:rsidRPr="002A78AE" w:rsidRDefault="00686804" w:rsidP="00DA29A5">
            <w:pPr>
              <w:pStyle w:val="TAC"/>
            </w:pPr>
            <w:r>
              <w:rPr>
                <w:lang w:eastAsia="zh-CN"/>
              </w:rPr>
              <w:t>path</w:t>
            </w:r>
            <w:r w:rsidRPr="002A78AE">
              <w:rPr>
                <w:lang w:eastAsia="zh-CN"/>
              </w:rPr>
              <w:t>_</w:t>
            </w:r>
            <w:r>
              <w:rPr>
                <w:bCs/>
                <w:lang w:eastAsia="zh-CN"/>
              </w:rPr>
              <w:t>2044</w:t>
            </w:r>
          </w:p>
        </w:tc>
        <w:tc>
          <w:tcPr>
            <w:tcW w:w="2694" w:type="dxa"/>
            <w:tcBorders>
              <w:top w:val="single" w:sz="4" w:space="0" w:color="auto"/>
              <w:left w:val="single" w:sz="4" w:space="0" w:color="auto"/>
              <w:bottom w:val="single" w:sz="4" w:space="0" w:color="auto"/>
              <w:right w:val="single" w:sz="4" w:space="0" w:color="auto"/>
            </w:tcBorders>
          </w:tcPr>
          <w:p w14:paraId="7D10054B" w14:textId="77777777" w:rsidR="00686804" w:rsidRPr="002A78AE" w:rsidRDefault="00686804" w:rsidP="002F5786">
            <w:pPr>
              <w:pStyle w:val="TAC"/>
            </w:pPr>
            <w:r>
              <w:rPr>
                <w:lang w:eastAsia="zh-CN"/>
              </w:rPr>
              <w:t>8172</w:t>
            </w:r>
            <w:r w:rsidRPr="00354FC8">
              <w:rPr>
                <w:lang w:eastAsia="zh-CN"/>
              </w:rPr>
              <w:t xml:space="preserve"> </w:t>
            </w:r>
            <w:r w:rsidRPr="00354FC8">
              <w:sym w:font="Symbol" w:char="F0A3"/>
            </w:r>
            <w:r w:rsidRPr="00354FC8">
              <w:rPr>
                <w:lang w:eastAsia="zh-CN"/>
              </w:rPr>
              <w:t xml:space="preserve"> </w:t>
            </w:r>
            <w:r w:rsidRPr="00354FC8">
              <w:sym w:font="Symbol" w:char="F044"/>
            </w:r>
            <w:r>
              <w:t>path</w:t>
            </w:r>
          </w:p>
        </w:tc>
        <w:tc>
          <w:tcPr>
            <w:tcW w:w="567" w:type="dxa"/>
            <w:tcBorders>
              <w:top w:val="single" w:sz="4" w:space="0" w:color="auto"/>
              <w:left w:val="single" w:sz="4" w:space="0" w:color="auto"/>
              <w:bottom w:val="single" w:sz="4" w:space="0" w:color="auto"/>
              <w:right w:val="single" w:sz="4" w:space="0" w:color="auto"/>
            </w:tcBorders>
          </w:tcPr>
          <w:p w14:paraId="6AA80155" w14:textId="77777777" w:rsidR="00686804" w:rsidRPr="002A78AE" w:rsidRDefault="00686804" w:rsidP="002F5786">
            <w:pPr>
              <w:pStyle w:val="TAC"/>
            </w:pPr>
            <w:r w:rsidRPr="002A78AE">
              <w:t>T</w:t>
            </w:r>
            <w:r w:rsidRPr="002A78AE">
              <w:rPr>
                <w:vertAlign w:val="subscript"/>
              </w:rPr>
              <w:t>c</w:t>
            </w:r>
          </w:p>
        </w:tc>
      </w:tr>
    </w:tbl>
    <w:p w14:paraId="4B1D694D" w14:textId="77777777" w:rsidR="00686804" w:rsidRDefault="00686804" w:rsidP="002F5786"/>
    <w:p w14:paraId="425D885D" w14:textId="77777777" w:rsidR="00686804" w:rsidRPr="00DE253F" w:rsidRDefault="00686804" w:rsidP="002F5786">
      <w:pPr>
        <w:pStyle w:val="TH"/>
        <w:rPr>
          <w:rFonts w:cs="Arial"/>
          <w:lang w:val="en-US" w:eastAsia="ja-JP"/>
        </w:rPr>
      </w:pPr>
      <w:r w:rsidRPr="00DE253F">
        <w:t xml:space="preserve">Table </w:t>
      </w:r>
      <w:r>
        <w:t>10.1.23.3.3-5</w:t>
      </w:r>
      <w:r w:rsidRPr="00DE253F">
        <w:t xml:space="preserve">: </w:t>
      </w:r>
      <w:r>
        <w:t xml:space="preserve">Report mapping for </w:t>
      </w:r>
      <w:r w:rsidRPr="00DE253F">
        <w:rPr>
          <w:i/>
          <w:iCs/>
        </w:rPr>
        <w:t>k</w:t>
      </w:r>
      <w:r>
        <w:t>=4</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686804" w:rsidRPr="002A78AE" w14:paraId="17B1E3A2" w14:textId="77777777" w:rsidTr="00051ED3">
        <w:trPr>
          <w:cantSplit/>
          <w:trHeight w:val="136"/>
        </w:trPr>
        <w:tc>
          <w:tcPr>
            <w:tcW w:w="2693" w:type="dxa"/>
            <w:vAlign w:val="center"/>
          </w:tcPr>
          <w:p w14:paraId="19452603" w14:textId="77777777" w:rsidR="00686804" w:rsidRPr="002A78AE" w:rsidRDefault="00686804" w:rsidP="00DA29A5">
            <w:pPr>
              <w:pStyle w:val="TAH"/>
            </w:pPr>
            <w:r w:rsidRPr="002A78AE">
              <w:t>Reported Quantity Value</w:t>
            </w:r>
            <w:r>
              <w:t>,</w:t>
            </w:r>
          </w:p>
          <w:p w14:paraId="0CD00CD9" w14:textId="77777777" w:rsidR="00686804" w:rsidRPr="002A78AE" w:rsidRDefault="00686804" w:rsidP="00DA29A5">
            <w:pPr>
              <w:pStyle w:val="TAH"/>
            </w:pPr>
            <w:r>
              <w:t>path</w:t>
            </w:r>
            <w:r w:rsidRPr="002A78AE">
              <w:t>_i</w:t>
            </w:r>
          </w:p>
        </w:tc>
        <w:tc>
          <w:tcPr>
            <w:tcW w:w="2694" w:type="dxa"/>
            <w:vAlign w:val="center"/>
          </w:tcPr>
          <w:p w14:paraId="24898673" w14:textId="77777777" w:rsidR="00686804" w:rsidRDefault="00686804" w:rsidP="00DA29A5">
            <w:pPr>
              <w:pStyle w:val="TAH"/>
            </w:pPr>
            <w:r w:rsidRPr="002A78AE">
              <w:t>Measured Quantity Value</w:t>
            </w:r>
            <w:r>
              <w:t>,</w:t>
            </w:r>
          </w:p>
          <w:p w14:paraId="4AF7A44C" w14:textId="77777777" w:rsidR="00686804" w:rsidRPr="002A78AE" w:rsidRDefault="00686804" w:rsidP="00DA29A5">
            <w:pPr>
              <w:pStyle w:val="TAH"/>
            </w:pPr>
            <w:r>
              <w:sym w:font="Symbol" w:char="F044"/>
            </w:r>
            <w:r>
              <w:t>path</w:t>
            </w:r>
          </w:p>
        </w:tc>
        <w:tc>
          <w:tcPr>
            <w:tcW w:w="567" w:type="dxa"/>
            <w:vAlign w:val="center"/>
          </w:tcPr>
          <w:p w14:paraId="1966CC22" w14:textId="77777777" w:rsidR="00686804" w:rsidRPr="002A78AE" w:rsidRDefault="00686804" w:rsidP="00DA29A5">
            <w:pPr>
              <w:pStyle w:val="TAH"/>
            </w:pPr>
            <w:r w:rsidRPr="002A78AE">
              <w:t>Unit</w:t>
            </w:r>
          </w:p>
        </w:tc>
      </w:tr>
      <w:tr w:rsidR="00686804" w:rsidRPr="002A78AE" w14:paraId="5E29C21C" w14:textId="77777777" w:rsidTr="00051ED3">
        <w:trPr>
          <w:cantSplit/>
        </w:trPr>
        <w:tc>
          <w:tcPr>
            <w:tcW w:w="2693" w:type="dxa"/>
          </w:tcPr>
          <w:p w14:paraId="1E7688EF" w14:textId="77777777" w:rsidR="00686804" w:rsidRPr="002A78AE" w:rsidRDefault="00686804" w:rsidP="00DA29A5">
            <w:pPr>
              <w:pStyle w:val="TAC"/>
            </w:pPr>
            <w:r>
              <w:rPr>
                <w:lang w:eastAsia="zh-CN"/>
              </w:rPr>
              <w:t>path</w:t>
            </w:r>
            <w:r w:rsidRPr="002A78AE">
              <w:t>_0000</w:t>
            </w:r>
          </w:p>
        </w:tc>
        <w:tc>
          <w:tcPr>
            <w:tcW w:w="2694" w:type="dxa"/>
          </w:tcPr>
          <w:p w14:paraId="446FEC73" w14:textId="77777777" w:rsidR="00686804" w:rsidRPr="002A78AE" w:rsidRDefault="00686804" w:rsidP="002F5786">
            <w:pPr>
              <w:pStyle w:val="TAC"/>
            </w:pPr>
            <w:r>
              <w:sym w:font="Symbol" w:char="F044"/>
            </w:r>
            <w:r>
              <w:t>path</w:t>
            </w:r>
            <w:r w:rsidRPr="002A78AE">
              <w:rPr>
                <w:lang w:eastAsia="zh-CN"/>
              </w:rPr>
              <w:t xml:space="preserve"> &lt; </w:t>
            </w:r>
            <w:r>
              <w:rPr>
                <w:lang w:eastAsia="zh-CN"/>
              </w:rPr>
              <w:t>-8168</w:t>
            </w:r>
          </w:p>
        </w:tc>
        <w:tc>
          <w:tcPr>
            <w:tcW w:w="567" w:type="dxa"/>
          </w:tcPr>
          <w:p w14:paraId="14CED764" w14:textId="77777777" w:rsidR="00686804" w:rsidRPr="002A78AE" w:rsidRDefault="00686804" w:rsidP="002F5786">
            <w:pPr>
              <w:pStyle w:val="TAC"/>
            </w:pPr>
            <w:r w:rsidRPr="002A78AE">
              <w:t>T</w:t>
            </w:r>
            <w:r w:rsidRPr="002A78AE">
              <w:rPr>
                <w:vertAlign w:val="subscript"/>
              </w:rPr>
              <w:t>c</w:t>
            </w:r>
          </w:p>
        </w:tc>
      </w:tr>
      <w:tr w:rsidR="00686804" w:rsidRPr="002A78AE" w14:paraId="60EA4326" w14:textId="77777777" w:rsidTr="00051ED3">
        <w:trPr>
          <w:cantSplit/>
        </w:trPr>
        <w:tc>
          <w:tcPr>
            <w:tcW w:w="2693" w:type="dxa"/>
          </w:tcPr>
          <w:p w14:paraId="0308A183" w14:textId="77777777" w:rsidR="00686804" w:rsidRPr="002A78AE" w:rsidRDefault="00686804" w:rsidP="00DA29A5">
            <w:pPr>
              <w:pStyle w:val="TAC"/>
            </w:pPr>
            <w:r>
              <w:rPr>
                <w:lang w:eastAsia="zh-CN"/>
              </w:rPr>
              <w:t>path</w:t>
            </w:r>
            <w:r w:rsidRPr="002A78AE">
              <w:t>_0001</w:t>
            </w:r>
          </w:p>
        </w:tc>
        <w:tc>
          <w:tcPr>
            <w:tcW w:w="2694" w:type="dxa"/>
          </w:tcPr>
          <w:p w14:paraId="7D28E34C" w14:textId="77777777" w:rsidR="00686804" w:rsidRPr="002A78AE" w:rsidRDefault="00686804" w:rsidP="002F5786">
            <w:pPr>
              <w:pStyle w:val="TAC"/>
            </w:pPr>
            <w:r>
              <w:rPr>
                <w:lang w:eastAsia="zh-CN"/>
              </w:rPr>
              <w:t>-8168</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8152</w:t>
            </w:r>
          </w:p>
        </w:tc>
        <w:tc>
          <w:tcPr>
            <w:tcW w:w="567" w:type="dxa"/>
          </w:tcPr>
          <w:p w14:paraId="24A4CA1B" w14:textId="77777777" w:rsidR="00686804" w:rsidRPr="002A78AE" w:rsidRDefault="00686804" w:rsidP="002F5786">
            <w:pPr>
              <w:pStyle w:val="TAC"/>
            </w:pPr>
            <w:r w:rsidRPr="002A78AE">
              <w:t>T</w:t>
            </w:r>
            <w:r w:rsidRPr="002A78AE">
              <w:rPr>
                <w:vertAlign w:val="subscript"/>
              </w:rPr>
              <w:t>c</w:t>
            </w:r>
          </w:p>
        </w:tc>
      </w:tr>
      <w:tr w:rsidR="00686804" w:rsidRPr="002A78AE" w14:paraId="4C7A1D15" w14:textId="77777777" w:rsidTr="00051ED3">
        <w:trPr>
          <w:cantSplit/>
        </w:trPr>
        <w:tc>
          <w:tcPr>
            <w:tcW w:w="2693" w:type="dxa"/>
          </w:tcPr>
          <w:p w14:paraId="161F04BD" w14:textId="77777777" w:rsidR="00686804" w:rsidRPr="002A78AE" w:rsidRDefault="00686804" w:rsidP="00DA29A5">
            <w:pPr>
              <w:pStyle w:val="TAC"/>
            </w:pPr>
            <w:r>
              <w:rPr>
                <w:lang w:eastAsia="zh-CN"/>
              </w:rPr>
              <w:t>path</w:t>
            </w:r>
            <w:r w:rsidRPr="002A78AE">
              <w:t>_0002</w:t>
            </w:r>
          </w:p>
        </w:tc>
        <w:tc>
          <w:tcPr>
            <w:tcW w:w="2694" w:type="dxa"/>
          </w:tcPr>
          <w:p w14:paraId="3F058AC5" w14:textId="77777777" w:rsidR="00686804" w:rsidRPr="002A78AE" w:rsidRDefault="00686804" w:rsidP="00DA29A5">
            <w:pPr>
              <w:pStyle w:val="TAC"/>
            </w:pPr>
            <w:r w:rsidRPr="002A78AE">
              <w:rPr>
                <w:lang w:eastAsia="zh-CN"/>
              </w:rPr>
              <w:t>-</w:t>
            </w:r>
            <w:r>
              <w:rPr>
                <w:lang w:eastAsia="zh-CN"/>
              </w:rPr>
              <w:t>8152</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8136</w:t>
            </w:r>
          </w:p>
        </w:tc>
        <w:tc>
          <w:tcPr>
            <w:tcW w:w="567" w:type="dxa"/>
          </w:tcPr>
          <w:p w14:paraId="52A985AD" w14:textId="77777777" w:rsidR="00686804" w:rsidRPr="002A78AE" w:rsidRDefault="00686804" w:rsidP="00DA29A5">
            <w:pPr>
              <w:pStyle w:val="TAC"/>
            </w:pPr>
            <w:r w:rsidRPr="002A78AE">
              <w:t>T</w:t>
            </w:r>
            <w:r w:rsidRPr="002A78AE">
              <w:rPr>
                <w:vertAlign w:val="subscript"/>
              </w:rPr>
              <w:t>c</w:t>
            </w:r>
          </w:p>
        </w:tc>
      </w:tr>
      <w:tr w:rsidR="00686804" w:rsidRPr="002A78AE" w14:paraId="5AC607F4" w14:textId="77777777" w:rsidTr="00051ED3">
        <w:trPr>
          <w:cantSplit/>
        </w:trPr>
        <w:tc>
          <w:tcPr>
            <w:tcW w:w="2693" w:type="dxa"/>
          </w:tcPr>
          <w:p w14:paraId="03BA834D" w14:textId="77777777" w:rsidR="00686804" w:rsidRPr="002A78AE" w:rsidRDefault="00686804" w:rsidP="00DA29A5">
            <w:pPr>
              <w:pStyle w:val="TAC"/>
            </w:pPr>
            <w:r w:rsidRPr="002A78AE">
              <w:sym w:font="Symbol" w:char="F0BC"/>
            </w:r>
          </w:p>
        </w:tc>
        <w:tc>
          <w:tcPr>
            <w:tcW w:w="2694" w:type="dxa"/>
          </w:tcPr>
          <w:p w14:paraId="254BDE31" w14:textId="77777777" w:rsidR="00686804" w:rsidRPr="002A78AE" w:rsidRDefault="00686804" w:rsidP="00DA29A5">
            <w:pPr>
              <w:pStyle w:val="TAC"/>
            </w:pPr>
            <w:r w:rsidRPr="002A78AE">
              <w:sym w:font="Symbol" w:char="F0BC"/>
            </w:r>
          </w:p>
        </w:tc>
        <w:tc>
          <w:tcPr>
            <w:tcW w:w="567" w:type="dxa"/>
          </w:tcPr>
          <w:p w14:paraId="6A97C0A2" w14:textId="77777777" w:rsidR="00686804" w:rsidRPr="002A78AE" w:rsidRDefault="00686804" w:rsidP="00DA29A5">
            <w:pPr>
              <w:pStyle w:val="TAC"/>
            </w:pPr>
            <w:r w:rsidRPr="002A78AE">
              <w:t>…</w:t>
            </w:r>
          </w:p>
        </w:tc>
      </w:tr>
      <w:tr w:rsidR="00686804" w:rsidRPr="002A78AE" w14:paraId="7123AB6D" w14:textId="77777777" w:rsidTr="00051ED3">
        <w:trPr>
          <w:cantSplit/>
        </w:trPr>
        <w:tc>
          <w:tcPr>
            <w:tcW w:w="2693" w:type="dxa"/>
          </w:tcPr>
          <w:p w14:paraId="7A2BF434" w14:textId="77777777" w:rsidR="00686804" w:rsidRPr="002A78AE" w:rsidRDefault="00686804" w:rsidP="00DA29A5">
            <w:pPr>
              <w:pStyle w:val="TAC"/>
            </w:pPr>
            <w:r>
              <w:rPr>
                <w:lang w:eastAsia="zh-CN"/>
              </w:rPr>
              <w:t>path</w:t>
            </w:r>
            <w:r w:rsidRPr="002A78AE">
              <w:rPr>
                <w:lang w:eastAsia="zh-CN"/>
              </w:rPr>
              <w:t>_</w:t>
            </w:r>
            <w:r>
              <w:rPr>
                <w:lang w:eastAsia="zh-CN"/>
              </w:rPr>
              <w:t>511</w:t>
            </w:r>
          </w:p>
        </w:tc>
        <w:tc>
          <w:tcPr>
            <w:tcW w:w="2694" w:type="dxa"/>
          </w:tcPr>
          <w:p w14:paraId="0344638F" w14:textId="77777777" w:rsidR="00686804" w:rsidRPr="002A78AE" w:rsidRDefault="00686804" w:rsidP="002F5786">
            <w:pPr>
              <w:pStyle w:val="TAC"/>
            </w:pPr>
            <w:r w:rsidRPr="002A78AE">
              <w:rPr>
                <w:lang w:eastAsia="zh-CN"/>
              </w:rPr>
              <w:t>-</w:t>
            </w:r>
            <w:r>
              <w:rPr>
                <w:lang w:eastAsia="zh-CN"/>
              </w:rPr>
              <w:t>8</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8</w:t>
            </w:r>
          </w:p>
        </w:tc>
        <w:tc>
          <w:tcPr>
            <w:tcW w:w="567" w:type="dxa"/>
          </w:tcPr>
          <w:p w14:paraId="71AC1161" w14:textId="77777777" w:rsidR="00686804" w:rsidRPr="002A78AE" w:rsidRDefault="00686804" w:rsidP="002F5786">
            <w:pPr>
              <w:pStyle w:val="TAC"/>
            </w:pPr>
            <w:r w:rsidRPr="002A78AE">
              <w:t>T</w:t>
            </w:r>
            <w:r w:rsidRPr="002A78AE">
              <w:rPr>
                <w:vertAlign w:val="subscript"/>
              </w:rPr>
              <w:t>c</w:t>
            </w:r>
          </w:p>
        </w:tc>
      </w:tr>
      <w:tr w:rsidR="00686804" w:rsidRPr="002A78AE" w14:paraId="133F008E"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07468D1" w14:textId="77777777" w:rsidR="00686804" w:rsidRPr="002A78AE" w:rsidRDefault="00686804" w:rsidP="00DA29A5">
            <w:pPr>
              <w:pStyle w:val="TAC"/>
            </w:pPr>
            <w:r w:rsidRPr="002A78AE">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0CE5C2EA" w14:textId="77777777" w:rsidR="00686804" w:rsidRPr="002A78AE" w:rsidRDefault="00686804" w:rsidP="00DA29A5">
            <w:pPr>
              <w:pStyle w:val="TAC"/>
            </w:pPr>
            <w:r w:rsidRPr="002A78AE">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65734C32" w14:textId="77777777" w:rsidR="00686804" w:rsidRPr="002A78AE" w:rsidRDefault="00686804" w:rsidP="00DA29A5">
            <w:pPr>
              <w:pStyle w:val="TAC"/>
            </w:pPr>
            <w:r w:rsidRPr="002A78AE">
              <w:t>…</w:t>
            </w:r>
          </w:p>
        </w:tc>
      </w:tr>
      <w:tr w:rsidR="00686804" w:rsidRPr="002A78AE" w14:paraId="5B6BDCCB"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3051668" w14:textId="77777777" w:rsidR="00686804" w:rsidRPr="002A78AE" w:rsidRDefault="00686804" w:rsidP="00DA29A5">
            <w:pPr>
              <w:pStyle w:val="TAC"/>
            </w:pPr>
            <w:r>
              <w:rPr>
                <w:lang w:eastAsia="zh-CN"/>
              </w:rPr>
              <w:t>path</w:t>
            </w:r>
            <w:r w:rsidRPr="002A78AE">
              <w:rPr>
                <w:lang w:eastAsia="zh-CN"/>
              </w:rPr>
              <w:t>_</w:t>
            </w:r>
            <w:r>
              <w:rPr>
                <w:bCs/>
                <w:lang w:eastAsia="zh-CN"/>
              </w:rPr>
              <w:t>1020</w:t>
            </w:r>
          </w:p>
        </w:tc>
        <w:tc>
          <w:tcPr>
            <w:tcW w:w="2694" w:type="dxa"/>
            <w:tcBorders>
              <w:top w:val="single" w:sz="4" w:space="0" w:color="auto"/>
              <w:left w:val="single" w:sz="4" w:space="0" w:color="auto"/>
              <w:bottom w:val="single" w:sz="4" w:space="0" w:color="auto"/>
              <w:right w:val="single" w:sz="4" w:space="0" w:color="auto"/>
            </w:tcBorders>
          </w:tcPr>
          <w:p w14:paraId="25399748" w14:textId="77777777" w:rsidR="00686804" w:rsidRPr="002A78AE" w:rsidRDefault="00686804" w:rsidP="002F5786">
            <w:pPr>
              <w:pStyle w:val="TAC"/>
            </w:pPr>
            <w:r>
              <w:rPr>
                <w:lang w:eastAsia="zh-CN"/>
              </w:rPr>
              <w:t>8136</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8152</w:t>
            </w:r>
          </w:p>
        </w:tc>
        <w:tc>
          <w:tcPr>
            <w:tcW w:w="567" w:type="dxa"/>
            <w:tcBorders>
              <w:top w:val="single" w:sz="4" w:space="0" w:color="auto"/>
              <w:left w:val="single" w:sz="4" w:space="0" w:color="auto"/>
              <w:bottom w:val="single" w:sz="4" w:space="0" w:color="auto"/>
              <w:right w:val="single" w:sz="4" w:space="0" w:color="auto"/>
            </w:tcBorders>
          </w:tcPr>
          <w:p w14:paraId="2D6D769B" w14:textId="77777777" w:rsidR="00686804" w:rsidRPr="002A78AE" w:rsidRDefault="00686804" w:rsidP="002F5786">
            <w:pPr>
              <w:pStyle w:val="TAC"/>
            </w:pPr>
            <w:r w:rsidRPr="002A78AE">
              <w:t>T</w:t>
            </w:r>
            <w:r w:rsidRPr="002A78AE">
              <w:rPr>
                <w:vertAlign w:val="subscript"/>
              </w:rPr>
              <w:t>c</w:t>
            </w:r>
          </w:p>
        </w:tc>
      </w:tr>
      <w:tr w:rsidR="00686804" w:rsidRPr="002A78AE" w14:paraId="389285A2"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4023255" w14:textId="77777777" w:rsidR="00686804" w:rsidRPr="002A78AE" w:rsidRDefault="00686804" w:rsidP="00DA29A5">
            <w:pPr>
              <w:pStyle w:val="TAC"/>
            </w:pPr>
            <w:r>
              <w:rPr>
                <w:lang w:eastAsia="zh-CN"/>
              </w:rPr>
              <w:t>path</w:t>
            </w:r>
            <w:r w:rsidRPr="002A78AE">
              <w:rPr>
                <w:lang w:eastAsia="zh-CN"/>
              </w:rPr>
              <w:t>_</w:t>
            </w:r>
            <w:r>
              <w:rPr>
                <w:bCs/>
                <w:lang w:eastAsia="zh-CN"/>
              </w:rPr>
              <w:t>1021</w:t>
            </w:r>
          </w:p>
        </w:tc>
        <w:tc>
          <w:tcPr>
            <w:tcW w:w="2694" w:type="dxa"/>
            <w:tcBorders>
              <w:top w:val="single" w:sz="4" w:space="0" w:color="auto"/>
              <w:left w:val="single" w:sz="4" w:space="0" w:color="auto"/>
              <w:bottom w:val="single" w:sz="4" w:space="0" w:color="auto"/>
              <w:right w:val="single" w:sz="4" w:space="0" w:color="auto"/>
            </w:tcBorders>
          </w:tcPr>
          <w:p w14:paraId="7351D7DE" w14:textId="77777777" w:rsidR="00686804" w:rsidRPr="002A78AE" w:rsidRDefault="00686804" w:rsidP="002F5786">
            <w:pPr>
              <w:pStyle w:val="TAC"/>
            </w:pPr>
            <w:r>
              <w:rPr>
                <w:lang w:eastAsia="zh-CN"/>
              </w:rPr>
              <w:t>8152</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8168</w:t>
            </w:r>
          </w:p>
        </w:tc>
        <w:tc>
          <w:tcPr>
            <w:tcW w:w="567" w:type="dxa"/>
            <w:tcBorders>
              <w:top w:val="single" w:sz="4" w:space="0" w:color="auto"/>
              <w:left w:val="single" w:sz="4" w:space="0" w:color="auto"/>
              <w:bottom w:val="single" w:sz="4" w:space="0" w:color="auto"/>
              <w:right w:val="single" w:sz="4" w:space="0" w:color="auto"/>
            </w:tcBorders>
          </w:tcPr>
          <w:p w14:paraId="25D35C8E" w14:textId="77777777" w:rsidR="00686804" w:rsidRPr="002A78AE" w:rsidRDefault="00686804" w:rsidP="002F5786">
            <w:pPr>
              <w:pStyle w:val="TAC"/>
            </w:pPr>
            <w:r w:rsidRPr="002A78AE">
              <w:t>T</w:t>
            </w:r>
            <w:r w:rsidRPr="002A78AE">
              <w:rPr>
                <w:vertAlign w:val="subscript"/>
              </w:rPr>
              <w:t>c</w:t>
            </w:r>
          </w:p>
        </w:tc>
      </w:tr>
      <w:tr w:rsidR="00686804" w:rsidRPr="002A78AE" w14:paraId="31A92150"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81D6DB8" w14:textId="77777777" w:rsidR="00686804" w:rsidRPr="002A78AE" w:rsidRDefault="00686804" w:rsidP="00DA29A5">
            <w:pPr>
              <w:pStyle w:val="TAC"/>
            </w:pPr>
            <w:r>
              <w:rPr>
                <w:lang w:eastAsia="zh-CN"/>
              </w:rPr>
              <w:t>path</w:t>
            </w:r>
            <w:r w:rsidRPr="002A78AE">
              <w:rPr>
                <w:lang w:eastAsia="zh-CN"/>
              </w:rPr>
              <w:t>_</w:t>
            </w:r>
            <w:r>
              <w:rPr>
                <w:bCs/>
                <w:lang w:eastAsia="zh-CN"/>
              </w:rPr>
              <w:t>1022</w:t>
            </w:r>
          </w:p>
        </w:tc>
        <w:tc>
          <w:tcPr>
            <w:tcW w:w="2694" w:type="dxa"/>
            <w:tcBorders>
              <w:top w:val="single" w:sz="4" w:space="0" w:color="auto"/>
              <w:left w:val="single" w:sz="4" w:space="0" w:color="auto"/>
              <w:bottom w:val="single" w:sz="4" w:space="0" w:color="auto"/>
              <w:right w:val="single" w:sz="4" w:space="0" w:color="auto"/>
            </w:tcBorders>
          </w:tcPr>
          <w:p w14:paraId="4C070BD4" w14:textId="77777777" w:rsidR="00686804" w:rsidRPr="002A78AE" w:rsidRDefault="00686804" w:rsidP="002F5786">
            <w:pPr>
              <w:pStyle w:val="TAC"/>
            </w:pPr>
            <w:r>
              <w:rPr>
                <w:lang w:eastAsia="zh-CN"/>
              </w:rPr>
              <w:t>8168</w:t>
            </w:r>
            <w:r w:rsidRPr="002A78AE">
              <w:rPr>
                <w:lang w:eastAsia="zh-CN"/>
              </w:rPr>
              <w:t xml:space="preserve"> </w:t>
            </w:r>
            <w:r w:rsidRPr="002A78AE">
              <w:sym w:font="Symbol" w:char="F0A3"/>
            </w:r>
            <w:r w:rsidRPr="002A78AE">
              <w:rPr>
                <w:lang w:eastAsia="zh-CN"/>
              </w:rPr>
              <w:t xml:space="preserve"> </w:t>
            </w:r>
            <w:r>
              <w:sym w:font="Symbol" w:char="F044"/>
            </w:r>
            <w:r>
              <w:t>path</w:t>
            </w:r>
          </w:p>
        </w:tc>
        <w:tc>
          <w:tcPr>
            <w:tcW w:w="567" w:type="dxa"/>
            <w:tcBorders>
              <w:top w:val="single" w:sz="4" w:space="0" w:color="auto"/>
              <w:left w:val="single" w:sz="4" w:space="0" w:color="auto"/>
              <w:bottom w:val="single" w:sz="4" w:space="0" w:color="auto"/>
              <w:right w:val="single" w:sz="4" w:space="0" w:color="auto"/>
            </w:tcBorders>
          </w:tcPr>
          <w:p w14:paraId="455D91A4" w14:textId="77777777" w:rsidR="00686804" w:rsidRPr="002A78AE" w:rsidRDefault="00686804" w:rsidP="002F5786">
            <w:pPr>
              <w:pStyle w:val="TAC"/>
            </w:pPr>
            <w:r w:rsidRPr="002A78AE">
              <w:t>T</w:t>
            </w:r>
            <w:r w:rsidRPr="002A78AE">
              <w:rPr>
                <w:vertAlign w:val="subscript"/>
              </w:rPr>
              <w:t>c</w:t>
            </w:r>
          </w:p>
        </w:tc>
      </w:tr>
    </w:tbl>
    <w:p w14:paraId="406FC0A5" w14:textId="77777777" w:rsidR="00686804" w:rsidRDefault="00686804" w:rsidP="002F5786">
      <w:pPr>
        <w:rPr>
          <w:lang w:val="en-US" w:eastAsia="ja-JP"/>
        </w:rPr>
      </w:pPr>
    </w:p>
    <w:p w14:paraId="1A3E57D4" w14:textId="77777777" w:rsidR="00686804" w:rsidRPr="00DE253F" w:rsidRDefault="00686804" w:rsidP="002F5786">
      <w:pPr>
        <w:pStyle w:val="TH"/>
        <w:rPr>
          <w:rFonts w:cs="Arial"/>
          <w:lang w:val="en-US" w:eastAsia="ja-JP"/>
        </w:rPr>
      </w:pPr>
      <w:r w:rsidRPr="00DE253F">
        <w:t xml:space="preserve">Table </w:t>
      </w:r>
      <w:r>
        <w:t>10.1.23.3.3-6</w:t>
      </w:r>
      <w:r w:rsidRPr="00DE253F">
        <w:t xml:space="preserve">: </w:t>
      </w:r>
      <w:r>
        <w:t xml:space="preserve">Report mapping for </w:t>
      </w:r>
      <w:r w:rsidRPr="00DE253F">
        <w:rPr>
          <w:i/>
          <w:iCs/>
        </w:rPr>
        <w:t>k</w:t>
      </w:r>
      <w:r>
        <w:t>=5</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686804" w:rsidRPr="002A78AE" w14:paraId="3D443F1E" w14:textId="77777777" w:rsidTr="00051ED3">
        <w:trPr>
          <w:cantSplit/>
          <w:trHeight w:val="281"/>
        </w:trPr>
        <w:tc>
          <w:tcPr>
            <w:tcW w:w="2693" w:type="dxa"/>
            <w:vAlign w:val="center"/>
          </w:tcPr>
          <w:p w14:paraId="64BC2A58" w14:textId="77777777" w:rsidR="00686804" w:rsidRPr="002A78AE" w:rsidRDefault="00686804" w:rsidP="00DA29A5">
            <w:pPr>
              <w:pStyle w:val="TAH"/>
            </w:pPr>
            <w:r w:rsidRPr="002A78AE">
              <w:t>Reported Quantity Value</w:t>
            </w:r>
            <w:r>
              <w:t>,</w:t>
            </w:r>
          </w:p>
          <w:p w14:paraId="21B15301" w14:textId="77777777" w:rsidR="00686804" w:rsidRPr="002A78AE" w:rsidRDefault="00686804" w:rsidP="00DA29A5">
            <w:pPr>
              <w:pStyle w:val="TAH"/>
            </w:pPr>
            <w:r>
              <w:t>path</w:t>
            </w:r>
            <w:r w:rsidRPr="002A78AE">
              <w:t>_i</w:t>
            </w:r>
          </w:p>
        </w:tc>
        <w:tc>
          <w:tcPr>
            <w:tcW w:w="2694" w:type="dxa"/>
            <w:vAlign w:val="center"/>
          </w:tcPr>
          <w:p w14:paraId="2ACA0975" w14:textId="77777777" w:rsidR="00686804" w:rsidRDefault="00686804" w:rsidP="00DA29A5">
            <w:pPr>
              <w:pStyle w:val="TAH"/>
            </w:pPr>
            <w:r w:rsidRPr="002A78AE">
              <w:t>Measured Quantity Value</w:t>
            </w:r>
            <w:r>
              <w:t>,</w:t>
            </w:r>
          </w:p>
          <w:p w14:paraId="23D99AE8" w14:textId="77777777" w:rsidR="00686804" w:rsidRPr="002A78AE" w:rsidRDefault="00686804" w:rsidP="00DA29A5">
            <w:pPr>
              <w:pStyle w:val="TAH"/>
            </w:pPr>
            <w:r>
              <w:sym w:font="Symbol" w:char="F044"/>
            </w:r>
            <w:r>
              <w:t>path</w:t>
            </w:r>
          </w:p>
        </w:tc>
        <w:tc>
          <w:tcPr>
            <w:tcW w:w="567" w:type="dxa"/>
            <w:vAlign w:val="center"/>
          </w:tcPr>
          <w:p w14:paraId="6E18821B" w14:textId="77777777" w:rsidR="00686804" w:rsidRPr="002A78AE" w:rsidRDefault="00686804" w:rsidP="00DA29A5">
            <w:pPr>
              <w:pStyle w:val="TAH"/>
            </w:pPr>
            <w:r w:rsidRPr="002A78AE">
              <w:t>Unit</w:t>
            </w:r>
          </w:p>
        </w:tc>
      </w:tr>
      <w:tr w:rsidR="00686804" w:rsidRPr="002A78AE" w14:paraId="48A15625" w14:textId="77777777" w:rsidTr="00051ED3">
        <w:trPr>
          <w:cantSplit/>
        </w:trPr>
        <w:tc>
          <w:tcPr>
            <w:tcW w:w="2693" w:type="dxa"/>
          </w:tcPr>
          <w:p w14:paraId="7E363EBB" w14:textId="77777777" w:rsidR="00686804" w:rsidRPr="002A78AE" w:rsidRDefault="00686804" w:rsidP="00DA29A5">
            <w:pPr>
              <w:pStyle w:val="TAC"/>
            </w:pPr>
            <w:r>
              <w:rPr>
                <w:lang w:eastAsia="zh-CN"/>
              </w:rPr>
              <w:t>path</w:t>
            </w:r>
            <w:r w:rsidRPr="002A78AE">
              <w:t>_000</w:t>
            </w:r>
          </w:p>
        </w:tc>
        <w:tc>
          <w:tcPr>
            <w:tcW w:w="2694" w:type="dxa"/>
          </w:tcPr>
          <w:p w14:paraId="02118E2A" w14:textId="77777777" w:rsidR="00686804" w:rsidRPr="002A78AE" w:rsidRDefault="00686804" w:rsidP="002F5786">
            <w:pPr>
              <w:pStyle w:val="TAC"/>
            </w:pPr>
            <w:r>
              <w:sym w:font="Symbol" w:char="F044"/>
            </w:r>
            <w:r>
              <w:t>path</w:t>
            </w:r>
            <w:r w:rsidRPr="002A78AE">
              <w:rPr>
                <w:lang w:eastAsia="zh-CN"/>
              </w:rPr>
              <w:t xml:space="preserve"> &lt; </w:t>
            </w:r>
            <w:r>
              <w:rPr>
                <w:lang w:eastAsia="zh-CN"/>
              </w:rPr>
              <w:t>-8160</w:t>
            </w:r>
          </w:p>
        </w:tc>
        <w:tc>
          <w:tcPr>
            <w:tcW w:w="567" w:type="dxa"/>
          </w:tcPr>
          <w:p w14:paraId="7687890B" w14:textId="77777777" w:rsidR="00686804" w:rsidRPr="002A78AE" w:rsidRDefault="00686804" w:rsidP="002F5786">
            <w:pPr>
              <w:pStyle w:val="TAC"/>
            </w:pPr>
            <w:r w:rsidRPr="002A78AE">
              <w:t>T</w:t>
            </w:r>
            <w:r w:rsidRPr="002A78AE">
              <w:rPr>
                <w:vertAlign w:val="subscript"/>
              </w:rPr>
              <w:t>c</w:t>
            </w:r>
          </w:p>
        </w:tc>
      </w:tr>
      <w:tr w:rsidR="00686804" w:rsidRPr="002A78AE" w14:paraId="5762702C" w14:textId="77777777" w:rsidTr="00051ED3">
        <w:trPr>
          <w:cantSplit/>
        </w:trPr>
        <w:tc>
          <w:tcPr>
            <w:tcW w:w="2693" w:type="dxa"/>
          </w:tcPr>
          <w:p w14:paraId="7072B09D" w14:textId="77777777" w:rsidR="00686804" w:rsidRPr="002A78AE" w:rsidRDefault="00686804" w:rsidP="00DA29A5">
            <w:pPr>
              <w:pStyle w:val="TAC"/>
            </w:pPr>
            <w:r>
              <w:rPr>
                <w:lang w:eastAsia="zh-CN"/>
              </w:rPr>
              <w:t>path</w:t>
            </w:r>
            <w:r w:rsidRPr="002A78AE">
              <w:t>_001</w:t>
            </w:r>
          </w:p>
        </w:tc>
        <w:tc>
          <w:tcPr>
            <w:tcW w:w="2694" w:type="dxa"/>
          </w:tcPr>
          <w:p w14:paraId="7AEE7BCE" w14:textId="77777777" w:rsidR="00686804" w:rsidRPr="002A78AE" w:rsidRDefault="00686804" w:rsidP="002F5786">
            <w:pPr>
              <w:pStyle w:val="TAC"/>
            </w:pPr>
            <w:r>
              <w:rPr>
                <w:lang w:eastAsia="zh-CN"/>
              </w:rPr>
              <w:t>-8160</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8128</w:t>
            </w:r>
          </w:p>
        </w:tc>
        <w:tc>
          <w:tcPr>
            <w:tcW w:w="567" w:type="dxa"/>
          </w:tcPr>
          <w:p w14:paraId="2A1088F2" w14:textId="77777777" w:rsidR="00686804" w:rsidRPr="002A78AE" w:rsidRDefault="00686804" w:rsidP="002F5786">
            <w:pPr>
              <w:pStyle w:val="TAC"/>
            </w:pPr>
            <w:r w:rsidRPr="002A78AE">
              <w:t>T</w:t>
            </w:r>
            <w:r w:rsidRPr="002A78AE">
              <w:rPr>
                <w:vertAlign w:val="subscript"/>
              </w:rPr>
              <w:t>c</w:t>
            </w:r>
          </w:p>
        </w:tc>
      </w:tr>
      <w:tr w:rsidR="00686804" w:rsidRPr="002A78AE" w14:paraId="5744BDDD" w14:textId="77777777" w:rsidTr="00051ED3">
        <w:trPr>
          <w:cantSplit/>
        </w:trPr>
        <w:tc>
          <w:tcPr>
            <w:tcW w:w="2693" w:type="dxa"/>
          </w:tcPr>
          <w:p w14:paraId="76763407" w14:textId="77777777" w:rsidR="00686804" w:rsidRPr="002A78AE" w:rsidRDefault="00686804" w:rsidP="00DA29A5">
            <w:pPr>
              <w:pStyle w:val="TAC"/>
            </w:pPr>
            <w:r>
              <w:rPr>
                <w:lang w:eastAsia="zh-CN"/>
              </w:rPr>
              <w:t>path</w:t>
            </w:r>
            <w:r w:rsidRPr="002A78AE">
              <w:t>_002</w:t>
            </w:r>
          </w:p>
        </w:tc>
        <w:tc>
          <w:tcPr>
            <w:tcW w:w="2694" w:type="dxa"/>
          </w:tcPr>
          <w:p w14:paraId="2FB6EDE6" w14:textId="77777777" w:rsidR="00686804" w:rsidRPr="002A78AE" w:rsidRDefault="00686804" w:rsidP="00DA29A5">
            <w:pPr>
              <w:pStyle w:val="TAC"/>
            </w:pPr>
            <w:r w:rsidRPr="002A78AE">
              <w:rPr>
                <w:lang w:eastAsia="zh-CN"/>
              </w:rPr>
              <w:t>-</w:t>
            </w:r>
            <w:r>
              <w:rPr>
                <w:lang w:eastAsia="zh-CN"/>
              </w:rPr>
              <w:t>8128</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8096</w:t>
            </w:r>
          </w:p>
        </w:tc>
        <w:tc>
          <w:tcPr>
            <w:tcW w:w="567" w:type="dxa"/>
          </w:tcPr>
          <w:p w14:paraId="17D1660D" w14:textId="77777777" w:rsidR="00686804" w:rsidRPr="002A78AE" w:rsidRDefault="00686804" w:rsidP="00DA29A5">
            <w:pPr>
              <w:pStyle w:val="TAC"/>
            </w:pPr>
            <w:r w:rsidRPr="002A78AE">
              <w:t>T</w:t>
            </w:r>
            <w:r w:rsidRPr="002A78AE">
              <w:rPr>
                <w:vertAlign w:val="subscript"/>
              </w:rPr>
              <w:t>c</w:t>
            </w:r>
          </w:p>
        </w:tc>
      </w:tr>
      <w:tr w:rsidR="00686804" w:rsidRPr="002A78AE" w14:paraId="42D88EF0" w14:textId="77777777" w:rsidTr="00051ED3">
        <w:trPr>
          <w:cantSplit/>
        </w:trPr>
        <w:tc>
          <w:tcPr>
            <w:tcW w:w="2693" w:type="dxa"/>
          </w:tcPr>
          <w:p w14:paraId="0334A985" w14:textId="77777777" w:rsidR="00686804" w:rsidRPr="002A78AE" w:rsidRDefault="00686804" w:rsidP="00DA29A5">
            <w:pPr>
              <w:pStyle w:val="TAC"/>
            </w:pPr>
            <w:r w:rsidRPr="002A78AE">
              <w:sym w:font="Symbol" w:char="F0BC"/>
            </w:r>
          </w:p>
        </w:tc>
        <w:tc>
          <w:tcPr>
            <w:tcW w:w="2694" w:type="dxa"/>
          </w:tcPr>
          <w:p w14:paraId="16580BD1" w14:textId="77777777" w:rsidR="00686804" w:rsidRPr="002A78AE" w:rsidRDefault="00686804" w:rsidP="00DA29A5">
            <w:pPr>
              <w:pStyle w:val="TAC"/>
            </w:pPr>
            <w:r w:rsidRPr="002A78AE">
              <w:sym w:font="Symbol" w:char="F0BC"/>
            </w:r>
          </w:p>
        </w:tc>
        <w:tc>
          <w:tcPr>
            <w:tcW w:w="567" w:type="dxa"/>
          </w:tcPr>
          <w:p w14:paraId="4ACA02C1" w14:textId="77777777" w:rsidR="00686804" w:rsidRPr="002A78AE" w:rsidRDefault="00686804" w:rsidP="00DA29A5">
            <w:pPr>
              <w:pStyle w:val="TAC"/>
            </w:pPr>
            <w:r w:rsidRPr="002A78AE">
              <w:t>…</w:t>
            </w:r>
          </w:p>
        </w:tc>
      </w:tr>
      <w:tr w:rsidR="00686804" w:rsidRPr="002A78AE" w14:paraId="54B832B3" w14:textId="77777777" w:rsidTr="00051ED3">
        <w:trPr>
          <w:cantSplit/>
        </w:trPr>
        <w:tc>
          <w:tcPr>
            <w:tcW w:w="2693" w:type="dxa"/>
          </w:tcPr>
          <w:p w14:paraId="08F06B73" w14:textId="77777777" w:rsidR="00686804" w:rsidRPr="002A78AE" w:rsidRDefault="00686804" w:rsidP="00DA29A5">
            <w:pPr>
              <w:pStyle w:val="TAC"/>
            </w:pPr>
            <w:r>
              <w:rPr>
                <w:lang w:eastAsia="zh-CN"/>
              </w:rPr>
              <w:t>path</w:t>
            </w:r>
            <w:r w:rsidRPr="002A78AE">
              <w:rPr>
                <w:lang w:eastAsia="zh-CN"/>
              </w:rPr>
              <w:t>_</w:t>
            </w:r>
            <w:r>
              <w:rPr>
                <w:lang w:eastAsia="zh-CN"/>
              </w:rPr>
              <w:t>256</w:t>
            </w:r>
          </w:p>
        </w:tc>
        <w:tc>
          <w:tcPr>
            <w:tcW w:w="2694" w:type="dxa"/>
          </w:tcPr>
          <w:p w14:paraId="0A56E197" w14:textId="77777777" w:rsidR="00686804" w:rsidRPr="002A78AE" w:rsidRDefault="00686804" w:rsidP="002F5786">
            <w:pPr>
              <w:pStyle w:val="TAC"/>
            </w:pPr>
            <w:r>
              <w:rPr>
                <w:lang w:eastAsia="zh-CN"/>
              </w:rPr>
              <w:t>0</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32</w:t>
            </w:r>
          </w:p>
        </w:tc>
        <w:tc>
          <w:tcPr>
            <w:tcW w:w="567" w:type="dxa"/>
          </w:tcPr>
          <w:p w14:paraId="421903EB" w14:textId="77777777" w:rsidR="00686804" w:rsidRPr="002A78AE" w:rsidRDefault="00686804" w:rsidP="002F5786">
            <w:pPr>
              <w:pStyle w:val="TAC"/>
            </w:pPr>
            <w:r w:rsidRPr="002A78AE">
              <w:t>T</w:t>
            </w:r>
            <w:r w:rsidRPr="002A78AE">
              <w:rPr>
                <w:vertAlign w:val="subscript"/>
              </w:rPr>
              <w:t>c</w:t>
            </w:r>
          </w:p>
        </w:tc>
      </w:tr>
      <w:tr w:rsidR="00686804" w:rsidRPr="002A78AE" w14:paraId="3490A472"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97DDF2F" w14:textId="77777777" w:rsidR="00686804" w:rsidRPr="002A78AE" w:rsidRDefault="00686804" w:rsidP="00DA29A5">
            <w:pPr>
              <w:pStyle w:val="TAC"/>
            </w:pPr>
            <w:r w:rsidRPr="002A78AE">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2CE7E5F7" w14:textId="77777777" w:rsidR="00686804" w:rsidRPr="005E6829" w:rsidRDefault="00686804" w:rsidP="00DA29A5">
            <w:pPr>
              <w:pStyle w:val="TAC"/>
            </w:pPr>
            <w:r w:rsidRPr="005E6829">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576E110B" w14:textId="77777777" w:rsidR="00686804" w:rsidRPr="002A78AE" w:rsidRDefault="00686804" w:rsidP="00DA29A5">
            <w:pPr>
              <w:pStyle w:val="TAC"/>
            </w:pPr>
            <w:r w:rsidRPr="002A78AE">
              <w:t>…</w:t>
            </w:r>
          </w:p>
        </w:tc>
      </w:tr>
      <w:tr w:rsidR="00686804" w:rsidRPr="002A78AE" w14:paraId="6F5D4A14"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2C016DE6" w14:textId="77777777" w:rsidR="00686804" w:rsidRPr="002A78AE" w:rsidRDefault="00686804" w:rsidP="00DA29A5">
            <w:pPr>
              <w:pStyle w:val="TAC"/>
            </w:pPr>
            <w:r>
              <w:rPr>
                <w:lang w:eastAsia="zh-CN"/>
              </w:rPr>
              <w:t>path</w:t>
            </w:r>
            <w:r w:rsidRPr="002A78AE">
              <w:rPr>
                <w:lang w:eastAsia="zh-CN"/>
              </w:rPr>
              <w:t>_</w:t>
            </w:r>
            <w:r>
              <w:rPr>
                <w:bCs/>
                <w:lang w:eastAsia="zh-CN"/>
              </w:rPr>
              <w:t>509</w:t>
            </w:r>
          </w:p>
        </w:tc>
        <w:tc>
          <w:tcPr>
            <w:tcW w:w="2694" w:type="dxa"/>
            <w:tcBorders>
              <w:top w:val="single" w:sz="4" w:space="0" w:color="auto"/>
              <w:left w:val="single" w:sz="4" w:space="0" w:color="auto"/>
              <w:bottom w:val="single" w:sz="4" w:space="0" w:color="auto"/>
              <w:right w:val="single" w:sz="4" w:space="0" w:color="auto"/>
            </w:tcBorders>
          </w:tcPr>
          <w:p w14:paraId="4DE1EB24" w14:textId="77777777" w:rsidR="00686804" w:rsidRPr="005E6829" w:rsidRDefault="00686804" w:rsidP="002F5786">
            <w:pPr>
              <w:pStyle w:val="TAC"/>
            </w:pPr>
            <w:r w:rsidRPr="005E6829">
              <w:rPr>
                <w:lang w:eastAsia="zh-CN"/>
              </w:rPr>
              <w:t xml:space="preserve">8096 </w:t>
            </w:r>
            <w:r w:rsidRPr="005E6829">
              <w:sym w:font="Symbol" w:char="F0A3"/>
            </w:r>
            <w:r w:rsidRPr="005E6829">
              <w:rPr>
                <w:lang w:eastAsia="zh-CN"/>
              </w:rPr>
              <w:t xml:space="preserve"> </w:t>
            </w:r>
            <w:r w:rsidRPr="005E6829">
              <w:sym w:font="Symbol" w:char="F044"/>
            </w:r>
            <w:r w:rsidRPr="005E6829">
              <w:t>path</w:t>
            </w:r>
            <w:r w:rsidRPr="005E6829">
              <w:rPr>
                <w:lang w:eastAsia="zh-CN"/>
              </w:rPr>
              <w:t xml:space="preserve"> </w:t>
            </w:r>
            <w:r w:rsidRPr="005E6829">
              <w:t>&lt;</w:t>
            </w:r>
            <w:r w:rsidRPr="005E6829">
              <w:rPr>
                <w:lang w:eastAsia="zh-CN"/>
              </w:rPr>
              <w:t xml:space="preserve"> 8128</w:t>
            </w:r>
          </w:p>
        </w:tc>
        <w:tc>
          <w:tcPr>
            <w:tcW w:w="567" w:type="dxa"/>
            <w:tcBorders>
              <w:top w:val="single" w:sz="4" w:space="0" w:color="auto"/>
              <w:left w:val="single" w:sz="4" w:space="0" w:color="auto"/>
              <w:bottom w:val="single" w:sz="4" w:space="0" w:color="auto"/>
              <w:right w:val="single" w:sz="4" w:space="0" w:color="auto"/>
            </w:tcBorders>
          </w:tcPr>
          <w:p w14:paraId="6F06B511" w14:textId="77777777" w:rsidR="00686804" w:rsidRPr="002A78AE" w:rsidRDefault="00686804" w:rsidP="002F5786">
            <w:pPr>
              <w:pStyle w:val="TAC"/>
            </w:pPr>
            <w:r w:rsidRPr="002A78AE">
              <w:t>T</w:t>
            </w:r>
            <w:r w:rsidRPr="002A78AE">
              <w:rPr>
                <w:vertAlign w:val="subscript"/>
              </w:rPr>
              <w:t>c</w:t>
            </w:r>
          </w:p>
        </w:tc>
      </w:tr>
      <w:tr w:rsidR="00686804" w:rsidRPr="002A78AE" w14:paraId="583037BF"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8EFD9AC" w14:textId="77777777" w:rsidR="00686804" w:rsidRPr="002A78AE" w:rsidRDefault="00686804" w:rsidP="00DA29A5">
            <w:pPr>
              <w:pStyle w:val="TAC"/>
            </w:pPr>
            <w:r>
              <w:rPr>
                <w:lang w:eastAsia="zh-CN"/>
              </w:rPr>
              <w:t>path</w:t>
            </w:r>
            <w:r w:rsidRPr="002A78AE">
              <w:rPr>
                <w:lang w:eastAsia="zh-CN"/>
              </w:rPr>
              <w:t>_</w:t>
            </w:r>
            <w:r>
              <w:rPr>
                <w:bCs/>
                <w:lang w:eastAsia="zh-CN"/>
              </w:rPr>
              <w:t>510</w:t>
            </w:r>
          </w:p>
        </w:tc>
        <w:tc>
          <w:tcPr>
            <w:tcW w:w="2694" w:type="dxa"/>
            <w:tcBorders>
              <w:top w:val="single" w:sz="4" w:space="0" w:color="auto"/>
              <w:left w:val="single" w:sz="4" w:space="0" w:color="auto"/>
              <w:bottom w:val="single" w:sz="4" w:space="0" w:color="auto"/>
              <w:right w:val="single" w:sz="4" w:space="0" w:color="auto"/>
            </w:tcBorders>
          </w:tcPr>
          <w:p w14:paraId="547E97CA" w14:textId="77777777" w:rsidR="00686804" w:rsidRPr="005E6829" w:rsidRDefault="00686804" w:rsidP="002F5786">
            <w:pPr>
              <w:pStyle w:val="TAC"/>
            </w:pPr>
            <w:r w:rsidRPr="005E6829">
              <w:rPr>
                <w:lang w:eastAsia="zh-CN"/>
              </w:rPr>
              <w:t xml:space="preserve">8128 </w:t>
            </w:r>
            <w:r w:rsidRPr="005E6829">
              <w:sym w:font="Symbol" w:char="F0A3"/>
            </w:r>
            <w:r w:rsidRPr="005E6829">
              <w:rPr>
                <w:lang w:eastAsia="zh-CN"/>
              </w:rPr>
              <w:t xml:space="preserve"> </w:t>
            </w:r>
            <w:r w:rsidRPr="005E6829">
              <w:sym w:font="Symbol" w:char="F044"/>
            </w:r>
            <w:r w:rsidRPr="005E6829">
              <w:t>path</w:t>
            </w:r>
            <w:r w:rsidRPr="005E6829">
              <w:rPr>
                <w:lang w:eastAsia="zh-CN"/>
              </w:rPr>
              <w:t xml:space="preserve"> </w:t>
            </w:r>
            <w:r w:rsidRPr="005E6829">
              <w:t>&lt;</w:t>
            </w:r>
            <w:r w:rsidRPr="005E6829">
              <w:rPr>
                <w:lang w:eastAsia="zh-CN"/>
              </w:rPr>
              <w:t xml:space="preserve"> </w:t>
            </w:r>
            <w:r>
              <w:rPr>
                <w:lang w:eastAsia="zh-CN"/>
              </w:rPr>
              <w:t>8160</w:t>
            </w:r>
          </w:p>
        </w:tc>
        <w:tc>
          <w:tcPr>
            <w:tcW w:w="567" w:type="dxa"/>
            <w:tcBorders>
              <w:top w:val="single" w:sz="4" w:space="0" w:color="auto"/>
              <w:left w:val="single" w:sz="4" w:space="0" w:color="auto"/>
              <w:bottom w:val="single" w:sz="4" w:space="0" w:color="auto"/>
              <w:right w:val="single" w:sz="4" w:space="0" w:color="auto"/>
            </w:tcBorders>
          </w:tcPr>
          <w:p w14:paraId="17920756" w14:textId="77777777" w:rsidR="00686804" w:rsidRPr="002A78AE" w:rsidRDefault="00686804" w:rsidP="002F5786">
            <w:pPr>
              <w:pStyle w:val="TAC"/>
            </w:pPr>
            <w:r w:rsidRPr="002A78AE">
              <w:t>T</w:t>
            </w:r>
            <w:r w:rsidRPr="002A78AE">
              <w:rPr>
                <w:vertAlign w:val="subscript"/>
              </w:rPr>
              <w:t>c</w:t>
            </w:r>
          </w:p>
        </w:tc>
      </w:tr>
      <w:tr w:rsidR="00686804" w:rsidRPr="002A78AE" w14:paraId="6CE83466"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CD77B7E" w14:textId="77777777" w:rsidR="00686804" w:rsidRPr="002A78AE" w:rsidRDefault="00686804" w:rsidP="00DA29A5">
            <w:pPr>
              <w:pStyle w:val="TAC"/>
            </w:pPr>
            <w:r>
              <w:rPr>
                <w:lang w:eastAsia="zh-CN"/>
              </w:rPr>
              <w:t>path</w:t>
            </w:r>
            <w:r w:rsidRPr="002A78AE">
              <w:rPr>
                <w:lang w:eastAsia="zh-CN"/>
              </w:rPr>
              <w:t>_</w:t>
            </w:r>
            <w:r>
              <w:rPr>
                <w:bCs/>
                <w:lang w:eastAsia="zh-CN"/>
              </w:rPr>
              <w:t>511</w:t>
            </w:r>
          </w:p>
        </w:tc>
        <w:tc>
          <w:tcPr>
            <w:tcW w:w="2694" w:type="dxa"/>
            <w:tcBorders>
              <w:top w:val="single" w:sz="4" w:space="0" w:color="auto"/>
              <w:left w:val="single" w:sz="4" w:space="0" w:color="auto"/>
              <w:bottom w:val="single" w:sz="4" w:space="0" w:color="auto"/>
              <w:right w:val="single" w:sz="4" w:space="0" w:color="auto"/>
            </w:tcBorders>
          </w:tcPr>
          <w:p w14:paraId="01A97A34" w14:textId="77777777" w:rsidR="00686804" w:rsidRPr="005E6829" w:rsidRDefault="00686804" w:rsidP="002F5786">
            <w:pPr>
              <w:pStyle w:val="TAC"/>
            </w:pPr>
            <w:r>
              <w:rPr>
                <w:lang w:eastAsia="zh-CN"/>
              </w:rPr>
              <w:t>8160</w:t>
            </w:r>
            <w:r w:rsidRPr="005E6829">
              <w:rPr>
                <w:lang w:eastAsia="zh-CN"/>
              </w:rPr>
              <w:t xml:space="preserve"> </w:t>
            </w:r>
            <w:r w:rsidRPr="005E6829">
              <w:sym w:font="Symbol" w:char="F0A3"/>
            </w:r>
            <w:r w:rsidRPr="005E6829">
              <w:rPr>
                <w:lang w:eastAsia="zh-CN"/>
              </w:rPr>
              <w:t xml:space="preserve"> </w:t>
            </w:r>
            <w:r w:rsidRPr="005E6829">
              <w:sym w:font="Symbol" w:char="F044"/>
            </w:r>
            <w:r w:rsidRPr="005E6829">
              <w:t>path</w:t>
            </w:r>
          </w:p>
        </w:tc>
        <w:tc>
          <w:tcPr>
            <w:tcW w:w="567" w:type="dxa"/>
            <w:tcBorders>
              <w:top w:val="single" w:sz="4" w:space="0" w:color="auto"/>
              <w:left w:val="single" w:sz="4" w:space="0" w:color="auto"/>
              <w:bottom w:val="single" w:sz="4" w:space="0" w:color="auto"/>
              <w:right w:val="single" w:sz="4" w:space="0" w:color="auto"/>
            </w:tcBorders>
          </w:tcPr>
          <w:p w14:paraId="5DC1BFCE" w14:textId="77777777" w:rsidR="00686804" w:rsidRPr="002A78AE" w:rsidRDefault="00686804" w:rsidP="002F5786">
            <w:pPr>
              <w:pStyle w:val="TAC"/>
            </w:pPr>
            <w:r w:rsidRPr="002A78AE">
              <w:t>T</w:t>
            </w:r>
            <w:r w:rsidRPr="002A78AE">
              <w:rPr>
                <w:vertAlign w:val="subscript"/>
              </w:rPr>
              <w:t>c</w:t>
            </w:r>
          </w:p>
        </w:tc>
      </w:tr>
      <w:bookmarkEnd w:id="13"/>
    </w:tbl>
    <w:p w14:paraId="5E57990E" w14:textId="77777777" w:rsidR="00686804" w:rsidRPr="00686804" w:rsidRDefault="00686804" w:rsidP="00686804"/>
    <w:p w14:paraId="356CF27A" w14:textId="77777777" w:rsidR="009323E2" w:rsidRDefault="009323E2" w:rsidP="009323E2">
      <w:pPr>
        <w:pStyle w:val="Heading3"/>
      </w:pPr>
      <w:r>
        <w:t>10</w:t>
      </w:r>
      <w:r w:rsidRPr="002D08F8">
        <w:t>.</w:t>
      </w:r>
      <w:r>
        <w:t>1.24</w:t>
      </w:r>
      <w:r w:rsidRPr="00F674D5">
        <w:tab/>
      </w:r>
      <w:r>
        <w:t>PRS-RSRP</w:t>
      </w:r>
      <w:r w:rsidRPr="00F674D5">
        <w:t xml:space="preserve"> </w:t>
      </w:r>
      <w:r>
        <w:t>M</w:t>
      </w:r>
      <w:r w:rsidRPr="00F674D5">
        <w:t>easurement</w:t>
      </w:r>
      <w:r>
        <w:t>s</w:t>
      </w:r>
    </w:p>
    <w:p w14:paraId="2F9F0112" w14:textId="77777777" w:rsidR="009323E2" w:rsidRDefault="009323E2" w:rsidP="009323E2">
      <w:pPr>
        <w:pStyle w:val="Heading4"/>
      </w:pPr>
      <w:r w:rsidRPr="00512252">
        <w:t>10.</w:t>
      </w:r>
      <w:r>
        <w:t>1.24</w:t>
      </w:r>
      <w:r w:rsidRPr="00DF3FF6">
        <w:t>.</w:t>
      </w:r>
      <w:r>
        <w:t>1</w:t>
      </w:r>
      <w:r w:rsidRPr="00DF3FF6">
        <w:tab/>
      </w:r>
      <w:r>
        <w:t>Introduction</w:t>
      </w:r>
    </w:p>
    <w:p w14:paraId="01F8E5B6" w14:textId="7B4BEE9F" w:rsidR="009323E2" w:rsidRDefault="009323E2" w:rsidP="009323E2">
      <w:r>
        <w:t xml:space="preserve">The requirements in </w:t>
      </w:r>
      <w:r w:rsidR="0063092D">
        <w:t>Clause</w:t>
      </w:r>
      <w:r>
        <w:t xml:space="preserve"> 10.1.24 shall apply, provided the UE has received </w:t>
      </w:r>
      <w:r w:rsidRPr="007E32B1">
        <w:rPr>
          <w:i/>
          <w:iCs/>
          <w:snapToGrid w:val="0"/>
        </w:rPr>
        <w:t>nr-DL-TDOA-RequestLocationInformation</w:t>
      </w:r>
      <w:r>
        <w:t xml:space="preserve"> or </w:t>
      </w:r>
      <w:r w:rsidRPr="005E1C4E">
        <w:rPr>
          <w:i/>
          <w:iCs/>
          <w:snapToGrid w:val="0"/>
        </w:rPr>
        <w:t>nr-Multi-RTT-RequestLocationInformation</w:t>
      </w:r>
      <w:r>
        <w:t xml:space="preserve"> or </w:t>
      </w:r>
      <w:r w:rsidRPr="005E1C4E">
        <w:rPr>
          <w:i/>
          <w:iCs/>
          <w:snapToGrid w:val="0"/>
        </w:rPr>
        <w:t>nr-DL-AoD-RequestLocationInformation</w:t>
      </w:r>
      <w:r>
        <w:t xml:space="preserve"> message from LMF via LPP [</w:t>
      </w:r>
      <w:r w:rsidR="00B0469F">
        <w:t>34</w:t>
      </w:r>
      <w:r>
        <w:t>] requesting the UE to report one or more DL PRS-RSRP measurements defined in TS 38.215 [4].</w:t>
      </w:r>
    </w:p>
    <w:p w14:paraId="2B0E55BB" w14:textId="1C7BDB92" w:rsidR="00F477B1" w:rsidRPr="00177A42" w:rsidRDefault="00F477B1" w:rsidP="009323E2">
      <w:r w:rsidRPr="00FA3886">
        <w:rPr>
          <w:rFonts w:eastAsia="SimSun"/>
        </w:rPr>
        <w:t>The requirements in clause 10.1.24 apply for UE in RRC_CONNECTED, including PRS-RSRP measurement with MG and outside MG, as well as for UE in RRC_INACTIVE. For PRS-RSRP measurement in FR2, the requirements apply with and without reduced Rx beam sweeping factor.</w:t>
      </w:r>
    </w:p>
    <w:p w14:paraId="4491263F" w14:textId="77777777" w:rsidR="009323E2" w:rsidRDefault="009323E2" w:rsidP="009323E2">
      <w:pPr>
        <w:pStyle w:val="Heading4"/>
      </w:pPr>
      <w:r w:rsidRPr="00512252">
        <w:t>10.</w:t>
      </w:r>
      <w:r>
        <w:t>1.24</w:t>
      </w:r>
      <w:r w:rsidRPr="00DF3FF6">
        <w:t>.</w:t>
      </w:r>
      <w:r>
        <w:t>2</w:t>
      </w:r>
      <w:r w:rsidRPr="00DF3FF6">
        <w:tab/>
      </w:r>
      <w:r>
        <w:t>Measurement Accuracy Requirements</w:t>
      </w:r>
    </w:p>
    <w:p w14:paraId="00701FEB" w14:textId="43CF9DB4" w:rsidR="00B0469F" w:rsidRDefault="00B0469F" w:rsidP="00B0469F">
      <w:pPr>
        <w:pStyle w:val="Heading5"/>
        <w:tabs>
          <w:tab w:val="left" w:pos="6460"/>
        </w:tabs>
      </w:pPr>
      <w:r>
        <w:t>10.1.24.2.1</w:t>
      </w:r>
      <w:r w:rsidR="00095606">
        <w:tab/>
      </w:r>
      <w:r>
        <w:rPr>
          <w:rFonts w:hint="eastAsia"/>
          <w:lang w:eastAsia="zh-CN"/>
        </w:rPr>
        <w:t>A</w:t>
      </w:r>
      <w:r>
        <w:t>bsolute PRS RSRP accuracy</w:t>
      </w:r>
    </w:p>
    <w:p w14:paraId="4B61CFF0" w14:textId="77777777" w:rsidR="00187F41" w:rsidRDefault="00187F41" w:rsidP="006A6FA4">
      <w:pPr>
        <w:ind w:left="568" w:hanging="284"/>
        <w:rPr>
          <w:rFonts w:cs="v4.2.0"/>
        </w:rPr>
      </w:pPr>
      <w:r w:rsidRPr="00BA1EC8">
        <w:rPr>
          <w:rFonts w:cs="v4.2.0"/>
        </w:rPr>
        <w:t xml:space="preserve">The </w:t>
      </w:r>
      <w:r w:rsidRPr="00BA1EC8">
        <w:rPr>
          <w:rFonts w:cs="v4.2.0" w:hint="eastAsia"/>
          <w:lang w:eastAsia="zh-CN"/>
        </w:rPr>
        <w:t xml:space="preserve">absolute </w:t>
      </w:r>
      <w:r w:rsidRPr="00BA1EC8">
        <w:rPr>
          <w:rFonts w:cs="v4.2.0"/>
        </w:rPr>
        <w:t xml:space="preserve">accuracy requirements </w:t>
      </w:r>
      <w:r w:rsidRPr="00BA1EC8">
        <w:rPr>
          <w:rFonts w:cs="v4.2.0" w:hint="eastAsia"/>
          <w:lang w:eastAsia="zh-CN"/>
        </w:rPr>
        <w:t xml:space="preserve">for PRS-RSRP measurement for FR1 defined </w:t>
      </w:r>
      <w:r w:rsidRPr="00BA1EC8">
        <w:rPr>
          <w:rFonts w:cs="v4.2.0"/>
        </w:rPr>
        <w:t>in Table 10.1.24.2</w:t>
      </w:r>
      <w:r w:rsidRPr="00BA1EC8">
        <w:rPr>
          <w:rFonts w:cs="v4.2.0" w:hint="eastAsia"/>
          <w:lang w:eastAsia="zh-CN"/>
        </w:rPr>
        <w:t>.1</w:t>
      </w:r>
      <w:r w:rsidRPr="00BA1EC8">
        <w:rPr>
          <w:rFonts w:cs="v4.2.0"/>
        </w:rPr>
        <w:t>-1</w:t>
      </w:r>
      <w:r w:rsidRPr="00BA1EC8">
        <w:rPr>
          <w:rFonts w:cs="v4.2.0" w:hint="eastAsia"/>
          <w:lang w:eastAsia="zh-CN"/>
        </w:rPr>
        <w:t xml:space="preserve"> </w:t>
      </w:r>
      <w:r w:rsidRPr="00BA1EC8">
        <w:rPr>
          <w:rFonts w:cs="v4.2.0"/>
        </w:rPr>
        <w:t>are valid under the following conditions:</w:t>
      </w:r>
    </w:p>
    <w:p w14:paraId="6F2B68BE" w14:textId="066E2A84" w:rsidR="006A6FA4" w:rsidRPr="00FA3886" w:rsidRDefault="006A6FA4" w:rsidP="00187F41">
      <w:pPr>
        <w:pStyle w:val="B10"/>
        <w:rPr>
          <w:rFonts w:cs="v4.2.0"/>
        </w:rPr>
      </w:pPr>
      <w:r w:rsidRPr="00FA3886">
        <w:t>-</w:t>
      </w:r>
      <w:r w:rsidRPr="00FA3886">
        <w:tab/>
        <w:t>Conditions defined in 3</w:t>
      </w:r>
      <w:r w:rsidRPr="00FA3886">
        <w:rPr>
          <w:lang w:eastAsia="zh-CN"/>
        </w:rPr>
        <w:t>8</w:t>
      </w:r>
      <w:r w:rsidRPr="00FA3886">
        <w:t>.101</w:t>
      </w:r>
      <w:r w:rsidRPr="00FA3886">
        <w:rPr>
          <w:lang w:eastAsia="zh-CN"/>
        </w:rPr>
        <w:t>-1</w:t>
      </w:r>
      <w:r w:rsidRPr="00FA3886">
        <w:t xml:space="preserve"> Clause 7.3 for reference sensitivity are fulfilled.</w:t>
      </w:r>
    </w:p>
    <w:p w14:paraId="6F5E25CD" w14:textId="77777777" w:rsidR="006A6FA4" w:rsidRPr="00FA3886" w:rsidRDefault="006A6FA4" w:rsidP="00187F41">
      <w:pPr>
        <w:pStyle w:val="B10"/>
      </w:pPr>
      <w:r w:rsidRPr="00FA3886">
        <w:t>-</w:t>
      </w:r>
      <w:r w:rsidRPr="00FA3886">
        <w:tab/>
        <w:t>PRP 1,2|</w:t>
      </w:r>
      <w:r w:rsidRPr="00FA3886">
        <w:rPr>
          <w:vertAlign w:val="subscript"/>
        </w:rPr>
        <w:t>dBm</w:t>
      </w:r>
      <w:r w:rsidRPr="00FA3886">
        <w:t xml:space="preserve"> according to Annex B.</w:t>
      </w:r>
      <w:r w:rsidRPr="00FA3886">
        <w:rPr>
          <w:lang w:eastAsia="zh-CN"/>
        </w:rPr>
        <w:t>2.14</w:t>
      </w:r>
      <w:r w:rsidRPr="00FA3886">
        <w:t xml:space="preserve"> for a corresponding Band</w:t>
      </w:r>
    </w:p>
    <w:p w14:paraId="09DD0F27" w14:textId="77777777" w:rsidR="006A6FA4" w:rsidRPr="00FA3886" w:rsidRDefault="006A6FA4" w:rsidP="00187F41">
      <w:pPr>
        <w:pStyle w:val="B10"/>
        <w:rPr>
          <w:rFonts w:cs="v4.2.0"/>
        </w:rPr>
      </w:pPr>
      <w:r w:rsidRPr="00FA3886">
        <w:t>-</w:t>
      </w:r>
      <w:r w:rsidRPr="00FA3886">
        <w:tab/>
        <w:t>UE does not support positioning measurements with reduced number of samples, or LMF does not indicate UE to perform positioning measurements with reduced number of samples</w:t>
      </w:r>
    </w:p>
    <w:p w14:paraId="009B1161" w14:textId="77777777" w:rsidR="006A6FA4" w:rsidRPr="00FA3886" w:rsidRDefault="006A6FA4" w:rsidP="006A6FA4">
      <w:pPr>
        <w:rPr>
          <w:rFonts w:eastAsia="SimSun" w:cs="v4.2.0"/>
        </w:rPr>
      </w:pPr>
      <w:r w:rsidRPr="00FA3886">
        <w:rPr>
          <w:rFonts w:eastAsia="SimSun" w:cs="v4.2.0"/>
        </w:rPr>
        <w:t xml:space="preserve">The </w:t>
      </w:r>
      <w:r w:rsidRPr="00FA3886">
        <w:rPr>
          <w:rFonts w:eastAsia="SimSun" w:cs="v4.2.0"/>
          <w:lang w:eastAsia="zh-CN"/>
        </w:rPr>
        <w:t xml:space="preserve">absolute </w:t>
      </w:r>
      <w:r w:rsidRPr="00FA3886">
        <w:rPr>
          <w:rFonts w:eastAsia="SimSun" w:cs="v4.2.0"/>
        </w:rPr>
        <w:t xml:space="preserve">accuracy requirements </w:t>
      </w:r>
      <w:r w:rsidRPr="00FA3886">
        <w:rPr>
          <w:rFonts w:eastAsia="SimSun" w:cs="v4.2.0"/>
          <w:lang w:eastAsia="zh-CN"/>
        </w:rPr>
        <w:t xml:space="preserve">for PRS-RSRP measurement for FR2 defined </w:t>
      </w:r>
      <w:r w:rsidRPr="00FA3886">
        <w:rPr>
          <w:rFonts w:eastAsia="SimSun" w:cs="v4.2.0"/>
        </w:rPr>
        <w:t>in Table 10.1.24.2</w:t>
      </w:r>
      <w:r w:rsidRPr="00FA3886">
        <w:rPr>
          <w:rFonts w:eastAsia="SimSun" w:cs="v4.2.0"/>
          <w:lang w:eastAsia="zh-CN"/>
        </w:rPr>
        <w:t>.1</w:t>
      </w:r>
      <w:r w:rsidRPr="00FA3886">
        <w:rPr>
          <w:rFonts w:eastAsia="SimSun" w:cs="v4.2.0"/>
        </w:rPr>
        <w:t>-</w:t>
      </w:r>
      <w:r w:rsidRPr="00FA3886">
        <w:rPr>
          <w:rFonts w:eastAsia="SimSun" w:cs="v4.2.0"/>
          <w:lang w:eastAsia="zh-CN"/>
        </w:rPr>
        <w:t xml:space="preserve">2 </w:t>
      </w:r>
      <w:r w:rsidRPr="00FA3886">
        <w:rPr>
          <w:rFonts w:eastAsia="SimSun" w:cs="v4.2.0"/>
        </w:rPr>
        <w:t>are valid under the following conditions:</w:t>
      </w:r>
    </w:p>
    <w:p w14:paraId="57F67148" w14:textId="77777777" w:rsidR="006A6FA4" w:rsidRPr="00FA3886" w:rsidRDefault="006A6FA4" w:rsidP="00187F41">
      <w:pPr>
        <w:pStyle w:val="B10"/>
        <w:rPr>
          <w:rFonts w:cs="v4.2.0"/>
        </w:rPr>
      </w:pPr>
      <w:r w:rsidRPr="00FA3886">
        <w:t>-</w:t>
      </w:r>
      <w:r w:rsidRPr="00FA3886">
        <w:tab/>
        <w:t>Conditions defined in 3</w:t>
      </w:r>
      <w:r w:rsidRPr="00FA3886">
        <w:rPr>
          <w:lang w:eastAsia="zh-CN"/>
        </w:rPr>
        <w:t>8</w:t>
      </w:r>
      <w:r w:rsidRPr="00FA3886">
        <w:t>.101</w:t>
      </w:r>
      <w:r w:rsidRPr="00FA3886">
        <w:rPr>
          <w:lang w:eastAsia="zh-CN"/>
        </w:rPr>
        <w:t>-2</w:t>
      </w:r>
      <w:r w:rsidRPr="00FA3886">
        <w:t xml:space="preserve"> Clause 7.3 for reference sensitivity are fulfilled.</w:t>
      </w:r>
    </w:p>
    <w:p w14:paraId="2464B618" w14:textId="77777777" w:rsidR="006A6FA4" w:rsidRPr="00FA3886" w:rsidRDefault="006A6FA4" w:rsidP="00187F41">
      <w:pPr>
        <w:pStyle w:val="B10"/>
      </w:pPr>
      <w:r w:rsidRPr="00FA3886">
        <w:t>-</w:t>
      </w:r>
      <w:r w:rsidRPr="00FA3886">
        <w:tab/>
        <w:t>PRP 1,2|</w:t>
      </w:r>
      <w:r w:rsidRPr="00FA3886">
        <w:rPr>
          <w:vertAlign w:val="subscript"/>
        </w:rPr>
        <w:t>dBm</w:t>
      </w:r>
      <w:r w:rsidRPr="00FA3886">
        <w:t xml:space="preserve"> according to Annex B.</w:t>
      </w:r>
      <w:r w:rsidRPr="00FA3886">
        <w:rPr>
          <w:lang w:eastAsia="zh-CN"/>
        </w:rPr>
        <w:t>2.14</w:t>
      </w:r>
      <w:r w:rsidRPr="00FA3886">
        <w:t xml:space="preserve"> for a corresponding Band</w:t>
      </w:r>
    </w:p>
    <w:p w14:paraId="5EEB4D45" w14:textId="34DF5BF2" w:rsidR="00D30086" w:rsidRDefault="006A6FA4" w:rsidP="00187F41">
      <w:pPr>
        <w:pStyle w:val="B10"/>
      </w:pPr>
      <w:r w:rsidRPr="00FA3886">
        <w:t>-</w:t>
      </w:r>
      <w:r w:rsidRPr="00FA3886">
        <w:tab/>
        <w:t>UE does not support positioning measurements with reduced number of samples, or LMF does not indicate UE to perform positioning measurements with reduced number of samples</w:t>
      </w:r>
    </w:p>
    <w:p w14:paraId="77D71260" w14:textId="77777777" w:rsidR="00382AB2" w:rsidRPr="00BA1EC8" w:rsidRDefault="00382AB2" w:rsidP="00382AB2"/>
    <w:p w14:paraId="3238BF97" w14:textId="77777777" w:rsidR="00B0469F" w:rsidRPr="00BA1EC8" w:rsidRDefault="00B0469F" w:rsidP="00F37389">
      <w:pPr>
        <w:pStyle w:val="TH"/>
        <w:rPr>
          <w:lang w:eastAsia="zh-CN"/>
        </w:rPr>
      </w:pPr>
      <w:r w:rsidRPr="00BA1EC8">
        <w:t xml:space="preserve">Table </w:t>
      </w:r>
      <w:r w:rsidRPr="00BA1EC8">
        <w:rPr>
          <w:rFonts w:cs="v4.2.0"/>
        </w:rPr>
        <w:t>10.1.24.2</w:t>
      </w:r>
      <w:r w:rsidRPr="00BA1EC8">
        <w:rPr>
          <w:rFonts w:cs="v4.2.0" w:hint="eastAsia"/>
          <w:lang w:eastAsia="zh-CN"/>
        </w:rPr>
        <w:t>.1</w:t>
      </w:r>
      <w:r w:rsidRPr="00BA1EC8">
        <w:rPr>
          <w:rFonts w:cs="v4.2.0"/>
        </w:rPr>
        <w:t>-1</w:t>
      </w:r>
      <w:r w:rsidRPr="00BA1EC8">
        <w:t>: PRS</w:t>
      </w:r>
      <w:r w:rsidRPr="00BA1EC8">
        <w:rPr>
          <w:rFonts w:hint="eastAsia"/>
          <w:lang w:eastAsia="zh-CN"/>
        </w:rPr>
        <w:t>-</w:t>
      </w:r>
      <w:r w:rsidRPr="00BA1EC8">
        <w:t xml:space="preserve">RSRP </w:t>
      </w:r>
      <w:r w:rsidRPr="00BA1EC8">
        <w:rPr>
          <w:rFonts w:hint="eastAsia"/>
          <w:lang w:eastAsia="zh-CN"/>
        </w:rPr>
        <w:t xml:space="preserve">absolute </w:t>
      </w:r>
      <w:r w:rsidRPr="00BA1EC8">
        <w:t>accuracy</w:t>
      </w:r>
      <w:r w:rsidRPr="00BA1EC8">
        <w:rPr>
          <w:rFonts w:hint="eastAsia"/>
          <w:lang w:eastAsia="zh-CN"/>
        </w:rPr>
        <w:t xml:space="preserve"> for FR1</w:t>
      </w:r>
    </w:p>
    <w:tbl>
      <w:tblPr>
        <w:tblW w:w="11052" w:type="dxa"/>
        <w:jc w:val="center"/>
        <w:tblLayout w:type="fixed"/>
        <w:tblLook w:val="01E0" w:firstRow="1" w:lastRow="1" w:firstColumn="1" w:lastColumn="1" w:noHBand="0" w:noVBand="0"/>
      </w:tblPr>
      <w:tblGrid>
        <w:gridCol w:w="965"/>
        <w:gridCol w:w="965"/>
        <w:gridCol w:w="827"/>
        <w:gridCol w:w="1140"/>
        <w:gridCol w:w="1178"/>
        <w:gridCol w:w="1586"/>
        <w:gridCol w:w="984"/>
        <w:gridCol w:w="1013"/>
        <w:gridCol w:w="1197"/>
        <w:gridCol w:w="1197"/>
      </w:tblGrid>
      <w:tr w:rsidR="00B0469F" w:rsidRPr="000501F5" w14:paraId="676564C0" w14:textId="77777777" w:rsidTr="00B0469F">
        <w:trPr>
          <w:trHeight w:val="430"/>
          <w:jc w:val="center"/>
        </w:trPr>
        <w:tc>
          <w:tcPr>
            <w:tcW w:w="1930" w:type="dxa"/>
            <w:gridSpan w:val="2"/>
            <w:tcBorders>
              <w:top w:val="single" w:sz="4" w:space="0" w:color="auto"/>
              <w:left w:val="single" w:sz="4" w:space="0" w:color="auto"/>
              <w:right w:val="single" w:sz="6" w:space="0" w:color="auto"/>
            </w:tcBorders>
            <w:shd w:val="clear" w:color="auto" w:fill="auto"/>
            <w:vAlign w:val="center"/>
          </w:tcPr>
          <w:p w14:paraId="461AD4B4" w14:textId="77777777" w:rsidR="00B0469F" w:rsidRPr="000501F5" w:rsidRDefault="00B0469F" w:rsidP="00F37389">
            <w:pPr>
              <w:pStyle w:val="TAH"/>
            </w:pPr>
            <w:r w:rsidRPr="000501F5">
              <w:t>Accuracy</w:t>
            </w:r>
          </w:p>
        </w:tc>
        <w:tc>
          <w:tcPr>
            <w:tcW w:w="9122" w:type="dxa"/>
            <w:gridSpan w:val="8"/>
            <w:tcBorders>
              <w:top w:val="single" w:sz="4" w:space="0" w:color="auto"/>
              <w:left w:val="single" w:sz="6" w:space="0" w:color="auto"/>
              <w:bottom w:val="single" w:sz="6" w:space="0" w:color="auto"/>
              <w:right w:val="single" w:sz="4" w:space="0" w:color="auto"/>
            </w:tcBorders>
            <w:vAlign w:val="center"/>
          </w:tcPr>
          <w:p w14:paraId="0E5ED6DC" w14:textId="77777777" w:rsidR="00B0469F" w:rsidRPr="000501F5" w:rsidRDefault="00B0469F" w:rsidP="00F37389">
            <w:pPr>
              <w:pStyle w:val="TAH"/>
            </w:pPr>
            <w:r w:rsidRPr="000501F5">
              <w:t>Conditions</w:t>
            </w:r>
          </w:p>
        </w:tc>
      </w:tr>
      <w:tr w:rsidR="00B0469F" w:rsidRPr="000501F5" w14:paraId="2102C650" w14:textId="77777777" w:rsidTr="00B0469F">
        <w:trPr>
          <w:trHeight w:val="59"/>
          <w:jc w:val="center"/>
        </w:trPr>
        <w:tc>
          <w:tcPr>
            <w:tcW w:w="965" w:type="dxa"/>
            <w:vMerge w:val="restart"/>
            <w:tcBorders>
              <w:left w:val="single" w:sz="4" w:space="0" w:color="auto"/>
              <w:right w:val="single" w:sz="6" w:space="0" w:color="auto"/>
            </w:tcBorders>
            <w:shd w:val="clear" w:color="auto" w:fill="auto"/>
            <w:vAlign w:val="center"/>
          </w:tcPr>
          <w:p w14:paraId="37D707BF" w14:textId="77777777" w:rsidR="00B0469F" w:rsidRPr="000501F5" w:rsidRDefault="00B0469F" w:rsidP="00F37389">
            <w:pPr>
              <w:pStyle w:val="TAH"/>
              <w:rPr>
                <w:lang w:eastAsia="zh-CN"/>
              </w:rPr>
            </w:pPr>
            <w:r w:rsidRPr="000501F5">
              <w:rPr>
                <w:lang w:eastAsia="zh-CN"/>
              </w:rPr>
              <w:t>N</w:t>
            </w:r>
            <w:r w:rsidRPr="000501F5">
              <w:rPr>
                <w:rFonts w:hint="eastAsia"/>
                <w:lang w:eastAsia="zh-CN"/>
              </w:rPr>
              <w:t>ormal condition</w:t>
            </w:r>
          </w:p>
        </w:tc>
        <w:tc>
          <w:tcPr>
            <w:tcW w:w="965" w:type="dxa"/>
            <w:vMerge w:val="restart"/>
            <w:tcBorders>
              <w:left w:val="single" w:sz="4" w:space="0" w:color="auto"/>
              <w:right w:val="single" w:sz="6" w:space="0" w:color="auto"/>
            </w:tcBorders>
            <w:shd w:val="clear" w:color="auto" w:fill="auto"/>
            <w:vAlign w:val="center"/>
          </w:tcPr>
          <w:p w14:paraId="4F50F6BD" w14:textId="77777777" w:rsidR="00B0469F" w:rsidRPr="000501F5" w:rsidRDefault="00B0469F" w:rsidP="00F37389">
            <w:pPr>
              <w:pStyle w:val="TAH"/>
              <w:rPr>
                <w:lang w:eastAsia="zh-CN"/>
              </w:rPr>
            </w:pPr>
            <w:r w:rsidRPr="000501F5">
              <w:rPr>
                <w:lang w:eastAsia="zh-CN"/>
              </w:rPr>
              <w:t>E</w:t>
            </w:r>
            <w:r w:rsidRPr="000501F5">
              <w:rPr>
                <w:rFonts w:hint="eastAsia"/>
                <w:lang w:eastAsia="zh-CN"/>
              </w:rPr>
              <w:t>xtreme condition</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70168E05" w14:textId="77777777" w:rsidR="00B0469F" w:rsidRPr="000501F5" w:rsidRDefault="00B0469F" w:rsidP="00F37389">
            <w:pPr>
              <w:pStyle w:val="TAH"/>
            </w:pPr>
            <w:r w:rsidRPr="000501F5">
              <w:t>PRS Ês/Iot</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2C533C18" w14:textId="77777777" w:rsidR="00B0469F" w:rsidRPr="000501F5" w:rsidRDefault="00B0469F" w:rsidP="00F37389">
            <w:pPr>
              <w:pStyle w:val="TAH"/>
              <w:rPr>
                <w:lang w:eastAsia="zh-CN"/>
              </w:rPr>
            </w:pPr>
            <w:r w:rsidRPr="000501F5">
              <w:rPr>
                <w:rFonts w:hint="eastAsia"/>
                <w:lang w:eastAsia="zh-CN"/>
              </w:rPr>
              <w:t>PRS BW</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10353C50" w14:textId="77777777" w:rsidR="00B0469F" w:rsidRPr="000501F5" w:rsidRDefault="00B0469F" w:rsidP="00F37389">
            <w:pPr>
              <w:pStyle w:val="TAH"/>
              <w:rPr>
                <w:lang w:val="en-US" w:eastAsia="zh-CN"/>
              </w:rPr>
            </w:pPr>
            <w:r w:rsidRPr="000501F5">
              <w:rPr>
                <w:bCs/>
                <w:lang w:eastAsia="zh-CN"/>
              </w:rPr>
              <w:t xml:space="preserve">Repetition </w:t>
            </w:r>
            <w:r w:rsidRPr="000501F5">
              <w:rPr>
                <w:rFonts w:hint="eastAsia"/>
                <w:bCs/>
                <w:lang w:eastAsia="zh-CN"/>
              </w:rPr>
              <w:t>factor</w:t>
            </w:r>
            <w:r w:rsidRPr="000501F5">
              <w:rPr>
                <w:bCs/>
                <w:lang w:eastAsia="zh-CN"/>
              </w:rPr>
              <w:t xml:space="preserve"> </w:t>
            </w:r>
          </w:p>
          <w:p w14:paraId="65578980" w14:textId="77777777" w:rsidR="00B0469F" w:rsidRPr="000501F5" w:rsidRDefault="00B0469F" w:rsidP="00F37389">
            <w:pPr>
              <w:pStyle w:val="TAH"/>
              <w:rPr>
                <w:lang w:eastAsia="zh-CN"/>
              </w:rPr>
            </w:pPr>
            <w:r w:rsidRPr="000501F5">
              <w:rPr>
                <w:bCs/>
                <w:lang w:eastAsia="zh-CN"/>
              </w:rPr>
              <w:t>(</w:t>
            </w:r>
            <m:oMath>
              <m:sSubSup>
                <m:sSubSupPr>
                  <m:ctrlPr>
                    <w:rPr>
                      <w:rFonts w:ascii="Cambria Math" w:hAnsi="Cambria Math"/>
                      <w:bCs/>
                      <w:i/>
                      <w:iCs/>
                      <w:lang w:val="en-US" w:eastAsia="zh-CN"/>
                    </w:rPr>
                  </m:ctrlPr>
                </m:sSubSupPr>
                <m:e>
                  <m:r>
                    <m:rPr>
                      <m:sty m:val="b"/>
                    </m:rPr>
                    <w:rPr>
                      <w:rFonts w:ascii="Cambria Math" w:hAnsi="Cambria Math"/>
                      <w:lang w:eastAsia="zh-CN"/>
                    </w:rPr>
                    <m:t>T</m:t>
                  </m:r>
                </m:e>
                <m:sub>
                  <m:r>
                    <m:rPr>
                      <m:nor/>
                    </m:rPr>
                    <w:rPr>
                      <w:bCs/>
                      <w:lang w:eastAsia="zh-CN"/>
                    </w:rPr>
                    <m:t>rep</m:t>
                  </m:r>
                </m:sub>
                <m:sup>
                  <m:r>
                    <m:rPr>
                      <m:nor/>
                    </m:rPr>
                    <w:rPr>
                      <w:bCs/>
                      <w:lang w:eastAsia="zh-CN"/>
                    </w:rPr>
                    <m:t>PRS</m:t>
                  </m:r>
                </m:sup>
              </m:sSubSup>
              <m:r>
                <m:rPr>
                  <m:sty m:val="b"/>
                </m:rPr>
                <w:rPr>
                  <w:rFonts w:ascii="Cambria Math" w:hAnsi="Cambria Math"/>
                  <w:lang w:eastAsia="zh-CN"/>
                </w:rPr>
                <m:t>*</m:t>
              </m:r>
              <m:sSub>
                <m:sSubPr>
                  <m:ctrlPr>
                    <w:rPr>
                      <w:rFonts w:ascii="Cambria Math" w:hAnsi="Cambria Math"/>
                      <w:bCs/>
                      <w:i/>
                      <w:iCs/>
                      <w:lang w:val="en-US" w:eastAsia="zh-CN"/>
                    </w:rPr>
                  </m:ctrlPr>
                </m:sSubPr>
                <m:e>
                  <m:r>
                    <m:rPr>
                      <m:sty m:val="b"/>
                    </m:rPr>
                    <w:rPr>
                      <w:rFonts w:ascii="Cambria Math" w:hAnsi="Cambria Math"/>
                      <w:lang w:eastAsia="zh-CN"/>
                    </w:rPr>
                    <m:t>L</m:t>
                  </m:r>
                </m:e>
                <m:sub>
                  <m:r>
                    <m:rPr>
                      <m:nor/>
                    </m:rPr>
                    <w:rPr>
                      <w:bCs/>
                      <w:lang w:eastAsia="zh-CN"/>
                    </w:rPr>
                    <m:t>PRS</m:t>
                  </m:r>
                </m:sub>
              </m:sSub>
              <m:r>
                <m:rPr>
                  <m:sty m:val="b"/>
                </m:rPr>
                <w:rPr>
                  <w:rFonts w:ascii="Cambria Math" w:hAnsi="Cambria Math"/>
                  <w:lang w:eastAsia="zh-CN"/>
                </w:rPr>
                <m:t>/</m:t>
              </m:r>
              <m:sSubSup>
                <m:sSubSupPr>
                  <m:ctrlPr>
                    <w:rPr>
                      <w:rFonts w:ascii="Cambria Math" w:hAnsi="Cambria Math"/>
                      <w:bCs/>
                      <w:i/>
                      <w:iCs/>
                      <w:lang w:val="en-US" w:eastAsia="zh-CN"/>
                    </w:rPr>
                  </m:ctrlPr>
                </m:sSubSupPr>
                <m:e>
                  <m:r>
                    <m:rPr>
                      <m:sty m:val="b"/>
                    </m:rPr>
                    <w:rPr>
                      <w:rFonts w:ascii="Cambria Math" w:hAnsi="Cambria Math"/>
                      <w:lang w:eastAsia="zh-CN"/>
                    </w:rPr>
                    <m:t>K</m:t>
                  </m:r>
                </m:e>
                <m:sub>
                  <m:r>
                    <m:rPr>
                      <m:nor/>
                    </m:rPr>
                    <w:rPr>
                      <w:bCs/>
                      <w:lang w:eastAsia="zh-CN"/>
                    </w:rPr>
                    <m:t>comb</m:t>
                  </m:r>
                </m:sub>
                <m:sup>
                  <m:r>
                    <m:rPr>
                      <m:nor/>
                    </m:rPr>
                    <w:rPr>
                      <w:bCs/>
                      <w:lang w:eastAsia="zh-CN"/>
                    </w:rPr>
                    <m:t>PRS</m:t>
                  </m:r>
                </m:sup>
              </m:sSubSup>
              <m:r>
                <m:rPr>
                  <m:sty m:val="b"/>
                </m:rPr>
                <w:rPr>
                  <w:rFonts w:ascii="Cambria Math" w:hAnsi="Cambria Math"/>
                  <w:lang w:eastAsia="zh-CN"/>
                </w:rPr>
                <m:t>)</m:t>
              </m:r>
            </m:oMath>
          </w:p>
        </w:tc>
        <w:tc>
          <w:tcPr>
            <w:tcW w:w="5977" w:type="dxa"/>
            <w:gridSpan w:val="5"/>
            <w:tcBorders>
              <w:top w:val="single" w:sz="6" w:space="0" w:color="auto"/>
              <w:left w:val="single" w:sz="6" w:space="0" w:color="auto"/>
              <w:bottom w:val="single" w:sz="6" w:space="0" w:color="auto"/>
              <w:right w:val="single" w:sz="4" w:space="0" w:color="auto"/>
            </w:tcBorders>
            <w:vAlign w:val="center"/>
          </w:tcPr>
          <w:p w14:paraId="6A42D56E" w14:textId="77777777" w:rsidR="00B0469F" w:rsidRPr="000501F5" w:rsidRDefault="00B0469F" w:rsidP="00F37389">
            <w:pPr>
              <w:pStyle w:val="TAH"/>
            </w:pPr>
            <w:r w:rsidRPr="000501F5">
              <w:t>Io</w:t>
            </w:r>
            <w:r w:rsidRPr="000501F5">
              <w:rPr>
                <w:vertAlign w:val="superscript"/>
                <w:lang w:eastAsia="zh-CN"/>
              </w:rPr>
              <w:t xml:space="preserve"> Note 7</w:t>
            </w:r>
            <w:r w:rsidRPr="000501F5">
              <w:t xml:space="preserve"> range</w:t>
            </w:r>
          </w:p>
        </w:tc>
      </w:tr>
      <w:tr w:rsidR="00B0469F" w:rsidRPr="000501F5" w14:paraId="5B64439C" w14:textId="77777777" w:rsidTr="00B0469F">
        <w:trPr>
          <w:trHeight w:val="916"/>
          <w:jc w:val="center"/>
        </w:trPr>
        <w:tc>
          <w:tcPr>
            <w:tcW w:w="965" w:type="dxa"/>
            <w:vMerge/>
            <w:tcBorders>
              <w:left w:val="single" w:sz="4" w:space="0" w:color="auto"/>
              <w:right w:val="single" w:sz="6" w:space="0" w:color="auto"/>
            </w:tcBorders>
            <w:shd w:val="clear" w:color="auto" w:fill="auto"/>
            <w:vAlign w:val="center"/>
          </w:tcPr>
          <w:p w14:paraId="027EAD61" w14:textId="77777777" w:rsidR="00B0469F" w:rsidRPr="000501F5" w:rsidRDefault="00B0469F" w:rsidP="00F37389">
            <w:pPr>
              <w:pStyle w:val="TAH"/>
            </w:pPr>
          </w:p>
        </w:tc>
        <w:tc>
          <w:tcPr>
            <w:tcW w:w="965" w:type="dxa"/>
            <w:vMerge/>
            <w:tcBorders>
              <w:left w:val="single" w:sz="4" w:space="0" w:color="auto"/>
              <w:right w:val="single" w:sz="6" w:space="0" w:color="auto"/>
            </w:tcBorders>
            <w:shd w:val="clear" w:color="auto" w:fill="auto"/>
            <w:vAlign w:val="center"/>
          </w:tcPr>
          <w:p w14:paraId="50CE0C33" w14:textId="77777777" w:rsidR="00B0469F" w:rsidRPr="000501F5" w:rsidRDefault="00B0469F" w:rsidP="00F37389">
            <w:pPr>
              <w:pStyle w:val="TAH"/>
            </w:pPr>
          </w:p>
        </w:tc>
        <w:tc>
          <w:tcPr>
            <w:tcW w:w="827" w:type="dxa"/>
            <w:vMerge/>
            <w:tcBorders>
              <w:left w:val="single" w:sz="6" w:space="0" w:color="auto"/>
              <w:right w:val="single" w:sz="6" w:space="0" w:color="auto"/>
            </w:tcBorders>
            <w:shd w:val="clear" w:color="auto" w:fill="auto"/>
            <w:vAlign w:val="center"/>
          </w:tcPr>
          <w:p w14:paraId="0BB6CF95" w14:textId="77777777" w:rsidR="00B0469F" w:rsidRPr="000501F5" w:rsidRDefault="00B0469F" w:rsidP="00F37389">
            <w:pPr>
              <w:pStyle w:val="TAH"/>
            </w:pPr>
          </w:p>
        </w:tc>
        <w:tc>
          <w:tcPr>
            <w:tcW w:w="1140" w:type="dxa"/>
            <w:vMerge/>
            <w:tcBorders>
              <w:left w:val="single" w:sz="6" w:space="0" w:color="auto"/>
              <w:right w:val="single" w:sz="6" w:space="0" w:color="auto"/>
            </w:tcBorders>
            <w:shd w:val="clear" w:color="auto" w:fill="auto"/>
            <w:vAlign w:val="center"/>
          </w:tcPr>
          <w:p w14:paraId="7F464371" w14:textId="77777777" w:rsidR="00B0469F" w:rsidRPr="000501F5" w:rsidRDefault="00B0469F" w:rsidP="00F37389">
            <w:pPr>
              <w:pStyle w:val="TAH"/>
            </w:pPr>
          </w:p>
        </w:tc>
        <w:tc>
          <w:tcPr>
            <w:tcW w:w="1178" w:type="dxa"/>
            <w:vMerge/>
            <w:tcBorders>
              <w:left w:val="single" w:sz="6" w:space="0" w:color="auto"/>
              <w:right w:val="single" w:sz="6" w:space="0" w:color="auto"/>
            </w:tcBorders>
            <w:shd w:val="clear" w:color="auto" w:fill="auto"/>
            <w:vAlign w:val="center"/>
          </w:tcPr>
          <w:p w14:paraId="45964EB8" w14:textId="77777777" w:rsidR="00B0469F" w:rsidRPr="000501F5" w:rsidRDefault="00B0469F" w:rsidP="00F37389">
            <w:pPr>
              <w:pStyle w:val="TAH"/>
            </w:pPr>
          </w:p>
        </w:tc>
        <w:tc>
          <w:tcPr>
            <w:tcW w:w="1586" w:type="dxa"/>
            <w:tcBorders>
              <w:top w:val="single" w:sz="6" w:space="0" w:color="auto"/>
              <w:left w:val="single" w:sz="6" w:space="0" w:color="auto"/>
              <w:right w:val="single" w:sz="6" w:space="0" w:color="auto"/>
            </w:tcBorders>
            <w:shd w:val="clear" w:color="auto" w:fill="auto"/>
            <w:vAlign w:val="center"/>
          </w:tcPr>
          <w:p w14:paraId="3256CEAC" w14:textId="77777777" w:rsidR="00B0469F" w:rsidRPr="000501F5" w:rsidRDefault="00B0469F" w:rsidP="00F37389">
            <w:pPr>
              <w:pStyle w:val="TAH"/>
            </w:pPr>
            <w:r w:rsidRPr="000501F5">
              <w:t>NR operating band groups</w:t>
            </w:r>
            <w:r w:rsidRPr="000501F5">
              <w:rPr>
                <w:vertAlign w:val="superscript"/>
              </w:rPr>
              <w:t xml:space="preserve"> Note 8</w:t>
            </w:r>
          </w:p>
        </w:tc>
        <w:tc>
          <w:tcPr>
            <w:tcW w:w="3194" w:type="dxa"/>
            <w:gridSpan w:val="3"/>
            <w:tcBorders>
              <w:top w:val="single" w:sz="6" w:space="0" w:color="auto"/>
              <w:left w:val="single" w:sz="6" w:space="0" w:color="auto"/>
              <w:right w:val="single" w:sz="6" w:space="0" w:color="auto"/>
            </w:tcBorders>
            <w:vAlign w:val="center"/>
          </w:tcPr>
          <w:p w14:paraId="4743708E" w14:textId="77777777" w:rsidR="00B0469F" w:rsidRPr="000501F5" w:rsidRDefault="00B0469F" w:rsidP="00F37389">
            <w:pPr>
              <w:pStyle w:val="TAH"/>
            </w:pPr>
            <w:r w:rsidRPr="000501F5">
              <w:t>Minimum</w:t>
            </w:r>
            <w:r w:rsidRPr="000501F5">
              <w:br/>
              <w:t xml:space="preserve">Io </w:t>
            </w:r>
            <w:r w:rsidRPr="000501F5">
              <w:rPr>
                <w:vertAlign w:val="superscript"/>
              </w:rPr>
              <w:t>Note 1</w:t>
            </w:r>
          </w:p>
          <w:p w14:paraId="0141C9C9" w14:textId="77777777" w:rsidR="00B0469F" w:rsidRPr="000501F5" w:rsidRDefault="00B0469F" w:rsidP="00F37389">
            <w:pPr>
              <w:pStyle w:val="TAH"/>
            </w:pPr>
            <w:r w:rsidRPr="000501F5">
              <w:t>dBm / SCS</w:t>
            </w:r>
            <w:r w:rsidRPr="000501F5">
              <w:rPr>
                <w:vertAlign w:val="subscript"/>
              </w:rPr>
              <w:t>PRS</w:t>
            </w:r>
          </w:p>
        </w:tc>
        <w:tc>
          <w:tcPr>
            <w:tcW w:w="1197" w:type="dxa"/>
            <w:tcBorders>
              <w:top w:val="single" w:sz="6" w:space="0" w:color="auto"/>
              <w:left w:val="single" w:sz="6" w:space="0" w:color="auto"/>
              <w:right w:val="single" w:sz="4" w:space="0" w:color="auto"/>
            </w:tcBorders>
            <w:vAlign w:val="center"/>
          </w:tcPr>
          <w:p w14:paraId="53E6E176" w14:textId="77777777" w:rsidR="00B0469F" w:rsidRPr="000501F5" w:rsidRDefault="00B0469F" w:rsidP="00F37389">
            <w:pPr>
              <w:pStyle w:val="TAH"/>
            </w:pPr>
            <w:r w:rsidRPr="000501F5">
              <w:t>Maximum</w:t>
            </w:r>
            <w:r w:rsidRPr="000501F5">
              <w:br/>
              <w:t>Io</w:t>
            </w:r>
          </w:p>
        </w:tc>
      </w:tr>
      <w:tr w:rsidR="00B0469F" w:rsidRPr="000501F5" w14:paraId="6B06A3BD" w14:textId="77777777" w:rsidTr="00B0469F">
        <w:trPr>
          <w:trHeight w:val="162"/>
          <w:jc w:val="center"/>
        </w:trPr>
        <w:tc>
          <w:tcPr>
            <w:tcW w:w="965" w:type="dxa"/>
            <w:vMerge w:val="restart"/>
            <w:tcBorders>
              <w:top w:val="single" w:sz="6" w:space="0" w:color="auto"/>
              <w:left w:val="single" w:sz="4" w:space="0" w:color="auto"/>
              <w:right w:val="single" w:sz="6" w:space="0" w:color="auto"/>
            </w:tcBorders>
            <w:shd w:val="clear" w:color="auto" w:fill="auto"/>
            <w:vAlign w:val="center"/>
          </w:tcPr>
          <w:p w14:paraId="30829183" w14:textId="77777777" w:rsidR="00B0469F" w:rsidRPr="000501F5" w:rsidRDefault="00B0469F" w:rsidP="00F37389">
            <w:pPr>
              <w:pStyle w:val="TAH"/>
              <w:rPr>
                <w:lang w:eastAsia="zh-CN"/>
              </w:rPr>
            </w:pPr>
            <w:r w:rsidRPr="000501F5">
              <w:rPr>
                <w:rFonts w:hint="eastAsia"/>
                <w:lang w:eastAsia="zh-CN"/>
              </w:rPr>
              <w:t>dB</w:t>
            </w:r>
          </w:p>
        </w:tc>
        <w:tc>
          <w:tcPr>
            <w:tcW w:w="965" w:type="dxa"/>
            <w:vMerge w:val="restart"/>
            <w:tcBorders>
              <w:top w:val="single" w:sz="6" w:space="0" w:color="auto"/>
              <w:left w:val="single" w:sz="4" w:space="0" w:color="auto"/>
              <w:right w:val="single" w:sz="6" w:space="0" w:color="auto"/>
            </w:tcBorders>
            <w:shd w:val="clear" w:color="auto" w:fill="auto"/>
            <w:vAlign w:val="center"/>
          </w:tcPr>
          <w:p w14:paraId="1C152044" w14:textId="77777777" w:rsidR="00B0469F" w:rsidRPr="000501F5" w:rsidRDefault="00B0469F" w:rsidP="00F37389">
            <w:pPr>
              <w:pStyle w:val="TAH"/>
              <w:rPr>
                <w:lang w:eastAsia="zh-CN"/>
              </w:rPr>
            </w:pPr>
            <w:r w:rsidRPr="000501F5">
              <w:rPr>
                <w:rFonts w:hint="eastAsia"/>
                <w:lang w:eastAsia="zh-CN"/>
              </w:rPr>
              <w:t>dB</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718383BA" w14:textId="77777777" w:rsidR="00B0469F" w:rsidRPr="000501F5" w:rsidRDefault="00B0469F" w:rsidP="00F37389">
            <w:pPr>
              <w:pStyle w:val="TAH"/>
            </w:pPr>
            <w:r w:rsidRPr="000501F5">
              <w:t>dB</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5D616B28" w14:textId="77777777" w:rsidR="00B0469F" w:rsidRPr="000501F5" w:rsidRDefault="00B0469F" w:rsidP="00F37389">
            <w:pPr>
              <w:pStyle w:val="TAH"/>
            </w:pPr>
            <w:r w:rsidRPr="000501F5">
              <w:rPr>
                <w:rFonts w:hint="eastAsia"/>
                <w:lang w:eastAsia="zh-CN"/>
              </w:rPr>
              <w:t>P</w:t>
            </w:r>
            <w:r w:rsidRPr="000501F5">
              <w:t>RB</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7D58CFA5" w14:textId="77777777" w:rsidR="00B0469F" w:rsidRPr="000501F5" w:rsidRDefault="00B0469F" w:rsidP="00F37389">
            <w:pPr>
              <w:pStyle w:val="TAH"/>
            </w:pPr>
            <w:r w:rsidRPr="000501F5">
              <w:rPr>
                <w:rFonts w:hint="eastAsia"/>
                <w:lang w:eastAsia="zh-CN"/>
              </w:rPr>
              <w:t>-</w:t>
            </w:r>
          </w:p>
        </w:tc>
        <w:tc>
          <w:tcPr>
            <w:tcW w:w="1586" w:type="dxa"/>
            <w:vMerge w:val="restart"/>
            <w:tcBorders>
              <w:top w:val="single" w:sz="6" w:space="0" w:color="auto"/>
              <w:left w:val="single" w:sz="6" w:space="0" w:color="auto"/>
              <w:right w:val="single" w:sz="6" w:space="0" w:color="auto"/>
            </w:tcBorders>
            <w:shd w:val="clear" w:color="auto" w:fill="auto"/>
            <w:vAlign w:val="center"/>
          </w:tcPr>
          <w:p w14:paraId="5322DF48" w14:textId="77777777" w:rsidR="00B0469F" w:rsidRPr="000501F5" w:rsidRDefault="00B0469F" w:rsidP="00F37389">
            <w:pPr>
              <w:pStyle w:val="TAH"/>
            </w:pPr>
          </w:p>
        </w:tc>
        <w:tc>
          <w:tcPr>
            <w:tcW w:w="3194" w:type="dxa"/>
            <w:gridSpan w:val="3"/>
            <w:tcBorders>
              <w:top w:val="single" w:sz="6" w:space="0" w:color="auto"/>
              <w:left w:val="single" w:sz="6" w:space="0" w:color="auto"/>
              <w:bottom w:val="single" w:sz="6" w:space="0" w:color="auto"/>
              <w:right w:val="single" w:sz="6" w:space="0" w:color="auto"/>
            </w:tcBorders>
            <w:vAlign w:val="center"/>
          </w:tcPr>
          <w:p w14:paraId="7BDCAE2F" w14:textId="77777777" w:rsidR="00B0469F" w:rsidRPr="000501F5" w:rsidRDefault="00B0469F" w:rsidP="00F37389">
            <w:pPr>
              <w:pStyle w:val="TAH"/>
            </w:pPr>
            <w:r w:rsidRPr="000501F5">
              <w:t>dBm / SCS</w:t>
            </w:r>
            <w:r w:rsidRPr="000501F5">
              <w:rPr>
                <w:vertAlign w:val="subscript"/>
              </w:rPr>
              <w:t>PRS</w:t>
            </w:r>
          </w:p>
        </w:tc>
        <w:tc>
          <w:tcPr>
            <w:tcW w:w="1197" w:type="dxa"/>
            <w:vMerge w:val="restart"/>
            <w:tcBorders>
              <w:top w:val="single" w:sz="6" w:space="0" w:color="auto"/>
              <w:left w:val="single" w:sz="6" w:space="0" w:color="auto"/>
              <w:right w:val="single" w:sz="4" w:space="0" w:color="auto"/>
            </w:tcBorders>
            <w:vAlign w:val="center"/>
          </w:tcPr>
          <w:p w14:paraId="5C1349E4" w14:textId="77777777" w:rsidR="00B0469F" w:rsidRPr="000501F5" w:rsidRDefault="00B0469F" w:rsidP="00F37389">
            <w:pPr>
              <w:pStyle w:val="TAH"/>
            </w:pPr>
            <w:r w:rsidRPr="000501F5">
              <w:t>dBm/BW</w:t>
            </w:r>
            <w:r w:rsidRPr="000501F5">
              <w:rPr>
                <w:vertAlign w:val="subscript"/>
              </w:rPr>
              <w:t>Channel</w:t>
            </w:r>
          </w:p>
        </w:tc>
      </w:tr>
      <w:tr w:rsidR="00B0469F" w:rsidRPr="000501F5" w14:paraId="6E401D82" w14:textId="77777777" w:rsidTr="00B0469F">
        <w:trPr>
          <w:trHeight w:val="161"/>
          <w:jc w:val="center"/>
        </w:trPr>
        <w:tc>
          <w:tcPr>
            <w:tcW w:w="965" w:type="dxa"/>
            <w:vMerge/>
            <w:tcBorders>
              <w:left w:val="single" w:sz="4" w:space="0" w:color="auto"/>
              <w:bottom w:val="single" w:sz="6" w:space="0" w:color="auto"/>
              <w:right w:val="single" w:sz="6" w:space="0" w:color="auto"/>
            </w:tcBorders>
            <w:shd w:val="clear" w:color="auto" w:fill="auto"/>
            <w:vAlign w:val="center"/>
          </w:tcPr>
          <w:p w14:paraId="78C489C9" w14:textId="77777777" w:rsidR="00B0469F" w:rsidRPr="000501F5" w:rsidRDefault="00B0469F" w:rsidP="00F37389">
            <w:pPr>
              <w:pStyle w:val="TAH"/>
            </w:pPr>
          </w:p>
        </w:tc>
        <w:tc>
          <w:tcPr>
            <w:tcW w:w="965" w:type="dxa"/>
            <w:vMerge/>
            <w:tcBorders>
              <w:left w:val="single" w:sz="4" w:space="0" w:color="auto"/>
              <w:bottom w:val="single" w:sz="6" w:space="0" w:color="auto"/>
              <w:right w:val="single" w:sz="6" w:space="0" w:color="auto"/>
            </w:tcBorders>
            <w:shd w:val="clear" w:color="auto" w:fill="auto"/>
            <w:vAlign w:val="center"/>
          </w:tcPr>
          <w:p w14:paraId="26E6D53D" w14:textId="77777777" w:rsidR="00B0469F" w:rsidRPr="000501F5" w:rsidRDefault="00B0469F" w:rsidP="00F37389">
            <w:pPr>
              <w:pStyle w:val="TAH"/>
            </w:pPr>
          </w:p>
        </w:tc>
        <w:tc>
          <w:tcPr>
            <w:tcW w:w="827" w:type="dxa"/>
            <w:vMerge/>
            <w:tcBorders>
              <w:left w:val="single" w:sz="6" w:space="0" w:color="auto"/>
              <w:bottom w:val="single" w:sz="6" w:space="0" w:color="auto"/>
              <w:right w:val="single" w:sz="6" w:space="0" w:color="auto"/>
            </w:tcBorders>
            <w:shd w:val="clear" w:color="auto" w:fill="auto"/>
            <w:vAlign w:val="center"/>
          </w:tcPr>
          <w:p w14:paraId="008F4A53" w14:textId="77777777" w:rsidR="00B0469F" w:rsidRPr="000501F5" w:rsidRDefault="00B0469F" w:rsidP="00F37389">
            <w:pPr>
              <w:pStyle w:val="TAH"/>
            </w:pPr>
          </w:p>
        </w:tc>
        <w:tc>
          <w:tcPr>
            <w:tcW w:w="1140" w:type="dxa"/>
            <w:vMerge/>
            <w:tcBorders>
              <w:left w:val="single" w:sz="6" w:space="0" w:color="auto"/>
              <w:bottom w:val="single" w:sz="6" w:space="0" w:color="auto"/>
              <w:right w:val="single" w:sz="6" w:space="0" w:color="auto"/>
            </w:tcBorders>
            <w:shd w:val="clear" w:color="auto" w:fill="auto"/>
            <w:vAlign w:val="center"/>
          </w:tcPr>
          <w:p w14:paraId="1422F85E" w14:textId="77777777" w:rsidR="00B0469F" w:rsidRPr="000501F5" w:rsidRDefault="00B0469F" w:rsidP="00F37389">
            <w:pPr>
              <w:pStyle w:val="TAH"/>
            </w:pPr>
          </w:p>
        </w:tc>
        <w:tc>
          <w:tcPr>
            <w:tcW w:w="1178" w:type="dxa"/>
            <w:vMerge/>
            <w:tcBorders>
              <w:left w:val="single" w:sz="6" w:space="0" w:color="auto"/>
              <w:bottom w:val="single" w:sz="6" w:space="0" w:color="auto"/>
              <w:right w:val="single" w:sz="6" w:space="0" w:color="auto"/>
            </w:tcBorders>
            <w:shd w:val="clear" w:color="auto" w:fill="auto"/>
            <w:vAlign w:val="center"/>
          </w:tcPr>
          <w:p w14:paraId="1C9EFA0E" w14:textId="77777777" w:rsidR="00B0469F" w:rsidRPr="000501F5" w:rsidRDefault="00B0469F" w:rsidP="00F37389">
            <w:pPr>
              <w:pStyle w:val="TAH"/>
            </w:pPr>
          </w:p>
        </w:tc>
        <w:tc>
          <w:tcPr>
            <w:tcW w:w="1586" w:type="dxa"/>
            <w:vMerge/>
            <w:tcBorders>
              <w:left w:val="single" w:sz="6" w:space="0" w:color="auto"/>
              <w:bottom w:val="single" w:sz="6" w:space="0" w:color="auto"/>
              <w:right w:val="single" w:sz="6" w:space="0" w:color="auto"/>
            </w:tcBorders>
            <w:shd w:val="clear" w:color="auto" w:fill="auto"/>
            <w:vAlign w:val="center"/>
          </w:tcPr>
          <w:p w14:paraId="19EBAA24" w14:textId="77777777" w:rsidR="00B0469F" w:rsidRPr="000501F5" w:rsidRDefault="00B0469F" w:rsidP="00F37389">
            <w:pPr>
              <w:pStyle w:val="TAH"/>
            </w:pPr>
          </w:p>
        </w:tc>
        <w:tc>
          <w:tcPr>
            <w:tcW w:w="984" w:type="dxa"/>
            <w:tcBorders>
              <w:top w:val="single" w:sz="6" w:space="0" w:color="auto"/>
              <w:left w:val="single" w:sz="6" w:space="0" w:color="auto"/>
              <w:bottom w:val="single" w:sz="6" w:space="0" w:color="auto"/>
              <w:right w:val="single" w:sz="6" w:space="0" w:color="auto"/>
            </w:tcBorders>
            <w:vAlign w:val="center"/>
          </w:tcPr>
          <w:p w14:paraId="00EAE802" w14:textId="77777777" w:rsidR="00B0469F" w:rsidRPr="000501F5" w:rsidRDefault="00B0469F" w:rsidP="00F37389">
            <w:pPr>
              <w:pStyle w:val="TAH"/>
            </w:pPr>
            <w:r w:rsidRPr="000501F5">
              <w:t>dBm/15kHz</w:t>
            </w:r>
            <w:r w:rsidRPr="000501F5">
              <w:rPr>
                <w:vertAlign w:val="superscript"/>
                <w:lang w:eastAsia="zh-CN"/>
              </w:rPr>
              <w:t xml:space="preserve"> Note 6</w:t>
            </w:r>
          </w:p>
        </w:tc>
        <w:tc>
          <w:tcPr>
            <w:tcW w:w="1013" w:type="dxa"/>
            <w:tcBorders>
              <w:top w:val="single" w:sz="6" w:space="0" w:color="auto"/>
              <w:left w:val="single" w:sz="6" w:space="0" w:color="auto"/>
              <w:bottom w:val="single" w:sz="6" w:space="0" w:color="auto"/>
              <w:right w:val="single" w:sz="6" w:space="0" w:color="auto"/>
            </w:tcBorders>
            <w:vAlign w:val="center"/>
          </w:tcPr>
          <w:p w14:paraId="4ED3440B" w14:textId="77777777" w:rsidR="00B0469F" w:rsidRPr="000501F5" w:rsidRDefault="00B0469F" w:rsidP="00F37389">
            <w:pPr>
              <w:pStyle w:val="TAH"/>
            </w:pPr>
            <w:r w:rsidRPr="000501F5">
              <w:t>dBm/</w:t>
            </w:r>
            <w:r w:rsidRPr="000501F5">
              <w:rPr>
                <w:rFonts w:hint="eastAsia"/>
                <w:lang w:eastAsia="zh-CN"/>
              </w:rPr>
              <w:t>30</w:t>
            </w:r>
            <w:r w:rsidRPr="000501F5">
              <w:t>kHz</w:t>
            </w:r>
            <w:r w:rsidRPr="000501F5">
              <w:rPr>
                <w:vertAlign w:val="superscript"/>
                <w:lang w:eastAsia="zh-CN"/>
              </w:rPr>
              <w:t xml:space="preserve"> Note 6</w:t>
            </w:r>
          </w:p>
        </w:tc>
        <w:tc>
          <w:tcPr>
            <w:tcW w:w="1197" w:type="dxa"/>
            <w:tcBorders>
              <w:left w:val="single" w:sz="6" w:space="0" w:color="auto"/>
              <w:bottom w:val="single" w:sz="6" w:space="0" w:color="auto"/>
              <w:right w:val="single" w:sz="6" w:space="0" w:color="auto"/>
            </w:tcBorders>
            <w:shd w:val="clear" w:color="auto" w:fill="auto"/>
          </w:tcPr>
          <w:p w14:paraId="19E63BBE" w14:textId="77777777" w:rsidR="00B0469F" w:rsidRPr="000501F5" w:rsidRDefault="00B0469F" w:rsidP="00F37389">
            <w:pPr>
              <w:pStyle w:val="TAH"/>
            </w:pPr>
            <w:r w:rsidRPr="000501F5">
              <w:t>dBm/</w:t>
            </w:r>
            <w:r w:rsidRPr="000501F5">
              <w:rPr>
                <w:rFonts w:hint="eastAsia"/>
                <w:lang w:eastAsia="zh-CN"/>
              </w:rPr>
              <w:t>60</w:t>
            </w:r>
            <w:r w:rsidRPr="000501F5">
              <w:t>kHz</w:t>
            </w:r>
            <w:r w:rsidRPr="000501F5">
              <w:rPr>
                <w:vertAlign w:val="superscript"/>
                <w:lang w:eastAsia="zh-CN"/>
              </w:rPr>
              <w:t xml:space="preserve"> Note 6</w:t>
            </w:r>
          </w:p>
        </w:tc>
        <w:tc>
          <w:tcPr>
            <w:tcW w:w="1197" w:type="dxa"/>
            <w:vMerge/>
            <w:tcBorders>
              <w:left w:val="single" w:sz="6" w:space="0" w:color="auto"/>
              <w:bottom w:val="single" w:sz="6" w:space="0" w:color="auto"/>
              <w:right w:val="single" w:sz="4" w:space="0" w:color="auto"/>
            </w:tcBorders>
            <w:vAlign w:val="center"/>
          </w:tcPr>
          <w:p w14:paraId="308EB846" w14:textId="77777777" w:rsidR="00B0469F" w:rsidRPr="000501F5" w:rsidRDefault="00B0469F" w:rsidP="00F37389">
            <w:pPr>
              <w:pStyle w:val="TAH"/>
            </w:pPr>
          </w:p>
        </w:tc>
      </w:tr>
      <w:tr w:rsidR="0072518D" w:rsidRPr="000501F5" w14:paraId="3605BB9B" w14:textId="77777777" w:rsidTr="00C17887">
        <w:trPr>
          <w:jc w:val="center"/>
        </w:trPr>
        <w:tc>
          <w:tcPr>
            <w:tcW w:w="965" w:type="dxa"/>
            <w:vMerge w:val="restart"/>
            <w:tcBorders>
              <w:top w:val="single" w:sz="6" w:space="0" w:color="auto"/>
              <w:left w:val="single" w:sz="4" w:space="0" w:color="auto"/>
              <w:right w:val="single" w:sz="6" w:space="0" w:color="auto"/>
            </w:tcBorders>
            <w:shd w:val="clear" w:color="auto" w:fill="auto"/>
            <w:vAlign w:val="center"/>
          </w:tcPr>
          <w:p w14:paraId="2CB8FA64" w14:textId="7CB92DAB" w:rsidR="0072518D" w:rsidRPr="000501F5" w:rsidRDefault="0072518D" w:rsidP="0072518D">
            <w:pPr>
              <w:pStyle w:val="TAC"/>
              <w:rPr>
                <w:lang w:eastAsia="zh-CN"/>
              </w:rPr>
            </w:pPr>
            <w:r w:rsidRPr="000501F5">
              <w:rPr>
                <w:rFonts w:hint="eastAsia"/>
                <w:lang w:eastAsia="zh-CN"/>
              </w:rPr>
              <w:t>±3.5</w:t>
            </w:r>
          </w:p>
        </w:tc>
        <w:tc>
          <w:tcPr>
            <w:tcW w:w="965" w:type="dxa"/>
            <w:vMerge w:val="restart"/>
            <w:tcBorders>
              <w:top w:val="single" w:sz="6" w:space="0" w:color="auto"/>
              <w:left w:val="single" w:sz="4" w:space="0" w:color="auto"/>
              <w:bottom w:val="single" w:sz="4" w:space="0" w:color="auto"/>
              <w:right w:val="single" w:sz="6" w:space="0" w:color="auto"/>
            </w:tcBorders>
            <w:vAlign w:val="center"/>
          </w:tcPr>
          <w:p w14:paraId="4F6A9309" w14:textId="3077704E" w:rsidR="0072518D" w:rsidRPr="000501F5" w:rsidRDefault="0072518D" w:rsidP="0072518D">
            <w:pPr>
              <w:pStyle w:val="TAC"/>
              <w:rPr>
                <w:lang w:eastAsia="zh-CN"/>
              </w:rPr>
            </w:pPr>
            <w:r>
              <w:rPr>
                <w:rFonts w:cs="Arial" w:hint="eastAsia"/>
                <w:lang w:eastAsia="zh-CN"/>
              </w:rPr>
              <w:t>±</w:t>
            </w:r>
            <w:r>
              <w:rPr>
                <w:rFonts w:cs="Arial"/>
                <w:lang w:eastAsia="zh-CN"/>
              </w:rPr>
              <w:t>8</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4697AFC3" w14:textId="77777777" w:rsidR="0072518D" w:rsidRPr="00387C4B" w:rsidRDefault="0072518D" w:rsidP="0072518D">
            <w:pPr>
              <w:pStyle w:val="TAC"/>
              <w:rPr>
                <w:lang w:eastAsia="zh-CN"/>
              </w:rPr>
            </w:pPr>
            <w:r w:rsidRPr="000501F5">
              <w:t>≥-</w:t>
            </w:r>
            <w:r w:rsidRPr="000501F5">
              <w:rPr>
                <w:rFonts w:hint="eastAsia"/>
                <w:lang w:eastAsia="zh-CN"/>
              </w:rPr>
              <w:t>3</w:t>
            </w:r>
            <w:r w:rsidRPr="000501F5">
              <w:t>dB</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443EB078" w14:textId="77777777" w:rsidR="0072518D" w:rsidRPr="000501F5" w:rsidRDefault="0072518D" w:rsidP="0072518D">
            <w:pPr>
              <w:pStyle w:val="TAC"/>
              <w:rPr>
                <w:lang w:eastAsia="zh-CN"/>
              </w:rPr>
            </w:pPr>
            <w:r w:rsidRPr="000501F5">
              <w:t>≥</w:t>
            </w:r>
            <w:r w:rsidRPr="000501F5">
              <w:rPr>
                <w:rFonts w:hint="eastAsia"/>
                <w:lang w:eastAsia="zh-CN"/>
              </w:rPr>
              <w:t>24</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3404C343" w14:textId="77777777" w:rsidR="0072518D" w:rsidRPr="000501F5" w:rsidRDefault="0072518D" w:rsidP="0072518D">
            <w:pPr>
              <w:pStyle w:val="TAC"/>
              <w:rPr>
                <w:lang w:eastAsia="zh-CN"/>
              </w:rPr>
            </w:pPr>
            <w:r w:rsidRPr="000501F5">
              <w:rPr>
                <w:rFonts w:hint="eastAsia"/>
                <w:lang w:eastAsia="zh-CN"/>
              </w:rPr>
              <w:t>All</w:t>
            </w:r>
          </w:p>
        </w:tc>
        <w:tc>
          <w:tcPr>
            <w:tcW w:w="1586" w:type="dxa"/>
            <w:tcBorders>
              <w:top w:val="single" w:sz="6" w:space="0" w:color="auto"/>
              <w:left w:val="single" w:sz="6" w:space="0" w:color="auto"/>
              <w:bottom w:val="single" w:sz="6" w:space="0" w:color="auto"/>
              <w:right w:val="single" w:sz="6" w:space="0" w:color="auto"/>
            </w:tcBorders>
            <w:shd w:val="clear" w:color="auto" w:fill="auto"/>
          </w:tcPr>
          <w:p w14:paraId="35C3A8BF" w14:textId="77777777" w:rsidR="0072518D" w:rsidRPr="000501F5" w:rsidRDefault="0072518D" w:rsidP="0072518D">
            <w:pPr>
              <w:pStyle w:val="TAC"/>
            </w:pPr>
            <w:r w:rsidRPr="000501F5">
              <w:t xml:space="preserve">NR_FDD_FR1_A, NR_TDD_FR1_A, </w:t>
            </w:r>
            <w:r w:rsidRPr="000501F5">
              <w:rPr>
                <w:lang w:val="en-US"/>
              </w:rPr>
              <w:t>NR_SDL_FR1_A</w:t>
            </w:r>
          </w:p>
        </w:tc>
        <w:tc>
          <w:tcPr>
            <w:tcW w:w="984" w:type="dxa"/>
            <w:tcBorders>
              <w:top w:val="single" w:sz="6" w:space="0" w:color="auto"/>
              <w:left w:val="single" w:sz="6" w:space="0" w:color="auto"/>
              <w:bottom w:val="single" w:sz="6" w:space="0" w:color="auto"/>
              <w:right w:val="single" w:sz="6" w:space="0" w:color="auto"/>
            </w:tcBorders>
          </w:tcPr>
          <w:p w14:paraId="2E2D8533" w14:textId="77777777" w:rsidR="0072518D" w:rsidRPr="000501F5" w:rsidRDefault="0072518D" w:rsidP="0072518D">
            <w:pPr>
              <w:pStyle w:val="TAC"/>
            </w:pPr>
            <w:r w:rsidRPr="000501F5">
              <w:t>-127</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235BB8E4" w14:textId="77777777" w:rsidR="0072518D" w:rsidRPr="000501F5" w:rsidRDefault="0072518D" w:rsidP="0072518D">
            <w:pPr>
              <w:pStyle w:val="TAC"/>
            </w:pPr>
            <w:r w:rsidRPr="000501F5">
              <w:t>-124</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10D0C19F" w14:textId="77777777" w:rsidR="0072518D" w:rsidRPr="000501F5" w:rsidRDefault="0072518D" w:rsidP="0072518D">
            <w:pPr>
              <w:pStyle w:val="TAC"/>
            </w:pPr>
            <w:r w:rsidRPr="000501F5">
              <w:t>-121</w:t>
            </w:r>
          </w:p>
        </w:tc>
        <w:tc>
          <w:tcPr>
            <w:tcW w:w="1197" w:type="dxa"/>
            <w:tcBorders>
              <w:top w:val="single" w:sz="6" w:space="0" w:color="auto"/>
              <w:left w:val="single" w:sz="6" w:space="0" w:color="auto"/>
              <w:bottom w:val="single" w:sz="6" w:space="0" w:color="auto"/>
              <w:right w:val="single" w:sz="4" w:space="0" w:color="auto"/>
            </w:tcBorders>
            <w:vAlign w:val="center"/>
          </w:tcPr>
          <w:p w14:paraId="33A0AC7B" w14:textId="77777777" w:rsidR="0072518D" w:rsidRPr="000501F5" w:rsidRDefault="0072518D" w:rsidP="0072518D">
            <w:pPr>
              <w:pStyle w:val="TAC"/>
            </w:pPr>
            <w:r w:rsidRPr="000501F5">
              <w:t>-50</w:t>
            </w:r>
          </w:p>
        </w:tc>
      </w:tr>
      <w:tr w:rsidR="0072518D" w:rsidRPr="000501F5" w14:paraId="08DAECE4" w14:textId="77777777" w:rsidTr="00C17887">
        <w:trPr>
          <w:jc w:val="center"/>
        </w:trPr>
        <w:tc>
          <w:tcPr>
            <w:tcW w:w="965" w:type="dxa"/>
            <w:vMerge/>
            <w:tcBorders>
              <w:left w:val="single" w:sz="4" w:space="0" w:color="auto"/>
              <w:right w:val="single" w:sz="6" w:space="0" w:color="auto"/>
            </w:tcBorders>
            <w:shd w:val="clear" w:color="auto" w:fill="auto"/>
            <w:vAlign w:val="center"/>
          </w:tcPr>
          <w:p w14:paraId="14FB09BF" w14:textId="77777777" w:rsidR="0072518D" w:rsidRPr="000501F5" w:rsidRDefault="0072518D" w:rsidP="0072518D">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7DB18F18" w14:textId="77777777" w:rsidR="0072518D" w:rsidRPr="000501F5" w:rsidRDefault="0072518D" w:rsidP="0072518D">
            <w:pPr>
              <w:pStyle w:val="TAC"/>
            </w:pPr>
          </w:p>
        </w:tc>
        <w:tc>
          <w:tcPr>
            <w:tcW w:w="827" w:type="dxa"/>
            <w:vMerge/>
            <w:tcBorders>
              <w:left w:val="single" w:sz="6" w:space="0" w:color="auto"/>
              <w:right w:val="single" w:sz="6" w:space="0" w:color="auto"/>
            </w:tcBorders>
            <w:shd w:val="clear" w:color="auto" w:fill="auto"/>
            <w:vAlign w:val="center"/>
          </w:tcPr>
          <w:p w14:paraId="1FCB7A17" w14:textId="77777777" w:rsidR="0072518D" w:rsidRPr="000501F5" w:rsidRDefault="0072518D" w:rsidP="0072518D">
            <w:pPr>
              <w:pStyle w:val="TAC"/>
            </w:pPr>
          </w:p>
        </w:tc>
        <w:tc>
          <w:tcPr>
            <w:tcW w:w="1140" w:type="dxa"/>
            <w:vMerge/>
            <w:tcBorders>
              <w:left w:val="single" w:sz="6" w:space="0" w:color="auto"/>
              <w:right w:val="single" w:sz="6" w:space="0" w:color="auto"/>
            </w:tcBorders>
            <w:shd w:val="clear" w:color="auto" w:fill="auto"/>
            <w:vAlign w:val="center"/>
          </w:tcPr>
          <w:p w14:paraId="5C178D42" w14:textId="77777777" w:rsidR="0072518D" w:rsidRPr="000501F5" w:rsidRDefault="0072518D" w:rsidP="0072518D">
            <w:pPr>
              <w:pStyle w:val="TAC"/>
            </w:pPr>
          </w:p>
        </w:tc>
        <w:tc>
          <w:tcPr>
            <w:tcW w:w="1178" w:type="dxa"/>
            <w:vMerge/>
            <w:tcBorders>
              <w:left w:val="single" w:sz="6" w:space="0" w:color="auto"/>
              <w:right w:val="single" w:sz="6" w:space="0" w:color="auto"/>
            </w:tcBorders>
            <w:shd w:val="clear" w:color="auto" w:fill="auto"/>
            <w:vAlign w:val="center"/>
          </w:tcPr>
          <w:p w14:paraId="0E931311" w14:textId="77777777" w:rsidR="0072518D" w:rsidRPr="000501F5" w:rsidRDefault="0072518D" w:rsidP="0072518D">
            <w:pPr>
              <w:pStyle w:val="TAC"/>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3B4F30D8" w14:textId="77777777" w:rsidR="0072518D" w:rsidRPr="000501F5" w:rsidRDefault="0072518D" w:rsidP="0072518D">
            <w:pPr>
              <w:pStyle w:val="TAC"/>
            </w:pPr>
            <w:r w:rsidRPr="000501F5">
              <w:rPr>
                <w:lang w:val="sv-SE"/>
              </w:rPr>
              <w:t>NR_FDD_FR1_B</w:t>
            </w:r>
          </w:p>
        </w:tc>
        <w:tc>
          <w:tcPr>
            <w:tcW w:w="984" w:type="dxa"/>
            <w:tcBorders>
              <w:top w:val="single" w:sz="6" w:space="0" w:color="auto"/>
              <w:left w:val="single" w:sz="6" w:space="0" w:color="auto"/>
              <w:bottom w:val="single" w:sz="6" w:space="0" w:color="auto"/>
              <w:right w:val="single" w:sz="6" w:space="0" w:color="auto"/>
            </w:tcBorders>
          </w:tcPr>
          <w:p w14:paraId="681194C0" w14:textId="77777777" w:rsidR="0072518D" w:rsidRPr="000501F5" w:rsidRDefault="0072518D" w:rsidP="0072518D">
            <w:pPr>
              <w:pStyle w:val="TAC"/>
              <w:rPr>
                <w:lang w:eastAsia="ja-JP"/>
              </w:rPr>
            </w:pPr>
            <w:r w:rsidRPr="000501F5">
              <w:t>-126.5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05847221" w14:textId="77777777" w:rsidR="0072518D" w:rsidRPr="000501F5" w:rsidRDefault="0072518D" w:rsidP="0072518D">
            <w:pPr>
              <w:pStyle w:val="TAC"/>
            </w:pPr>
            <w:r w:rsidRPr="000501F5">
              <w:t>-123.5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451B1070" w14:textId="77777777" w:rsidR="0072518D" w:rsidRPr="000501F5" w:rsidRDefault="0072518D" w:rsidP="0072518D">
            <w:pPr>
              <w:pStyle w:val="TAC"/>
              <w:rPr>
                <w:lang w:eastAsia="ja-JP"/>
              </w:rPr>
            </w:pPr>
            <w:r w:rsidRPr="000501F5">
              <w:t>-120.5</w:t>
            </w:r>
          </w:p>
        </w:tc>
        <w:tc>
          <w:tcPr>
            <w:tcW w:w="1197" w:type="dxa"/>
            <w:tcBorders>
              <w:top w:val="single" w:sz="6" w:space="0" w:color="auto"/>
              <w:left w:val="single" w:sz="6" w:space="0" w:color="auto"/>
              <w:bottom w:val="single" w:sz="6" w:space="0" w:color="auto"/>
              <w:right w:val="single" w:sz="4" w:space="0" w:color="auto"/>
            </w:tcBorders>
            <w:vAlign w:val="center"/>
          </w:tcPr>
          <w:p w14:paraId="3A527839" w14:textId="77777777" w:rsidR="0072518D" w:rsidRPr="000501F5" w:rsidRDefault="0072518D" w:rsidP="0072518D">
            <w:pPr>
              <w:pStyle w:val="TAC"/>
            </w:pPr>
            <w:r w:rsidRPr="000501F5">
              <w:rPr>
                <w:lang w:eastAsia="ja-JP"/>
              </w:rPr>
              <w:t>-50</w:t>
            </w:r>
          </w:p>
        </w:tc>
      </w:tr>
      <w:tr w:rsidR="0072518D" w:rsidRPr="000501F5" w14:paraId="688B5446" w14:textId="77777777" w:rsidTr="00C17887">
        <w:trPr>
          <w:jc w:val="center"/>
        </w:trPr>
        <w:tc>
          <w:tcPr>
            <w:tcW w:w="965" w:type="dxa"/>
            <w:vMerge/>
            <w:tcBorders>
              <w:left w:val="single" w:sz="4" w:space="0" w:color="auto"/>
              <w:right w:val="single" w:sz="6" w:space="0" w:color="auto"/>
            </w:tcBorders>
            <w:shd w:val="clear" w:color="auto" w:fill="auto"/>
            <w:vAlign w:val="center"/>
          </w:tcPr>
          <w:p w14:paraId="51BE938F" w14:textId="77777777" w:rsidR="0072518D" w:rsidRPr="000501F5" w:rsidRDefault="0072518D" w:rsidP="0072518D">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172FBFA6" w14:textId="77777777" w:rsidR="0072518D" w:rsidRPr="000501F5" w:rsidRDefault="0072518D" w:rsidP="0072518D">
            <w:pPr>
              <w:pStyle w:val="TAC"/>
            </w:pPr>
          </w:p>
        </w:tc>
        <w:tc>
          <w:tcPr>
            <w:tcW w:w="827" w:type="dxa"/>
            <w:vMerge/>
            <w:tcBorders>
              <w:left w:val="single" w:sz="6" w:space="0" w:color="auto"/>
              <w:right w:val="single" w:sz="6" w:space="0" w:color="auto"/>
            </w:tcBorders>
            <w:shd w:val="clear" w:color="auto" w:fill="auto"/>
            <w:vAlign w:val="center"/>
          </w:tcPr>
          <w:p w14:paraId="1DD80FF5" w14:textId="77777777" w:rsidR="0072518D" w:rsidRPr="000501F5" w:rsidRDefault="0072518D" w:rsidP="0072518D">
            <w:pPr>
              <w:pStyle w:val="TAC"/>
            </w:pPr>
          </w:p>
        </w:tc>
        <w:tc>
          <w:tcPr>
            <w:tcW w:w="1140" w:type="dxa"/>
            <w:vMerge/>
            <w:tcBorders>
              <w:left w:val="single" w:sz="6" w:space="0" w:color="auto"/>
              <w:right w:val="single" w:sz="6" w:space="0" w:color="auto"/>
            </w:tcBorders>
            <w:shd w:val="clear" w:color="auto" w:fill="auto"/>
            <w:vAlign w:val="center"/>
          </w:tcPr>
          <w:p w14:paraId="04E8FCE1" w14:textId="77777777" w:rsidR="0072518D" w:rsidRPr="000501F5" w:rsidRDefault="0072518D" w:rsidP="0072518D">
            <w:pPr>
              <w:pStyle w:val="TAC"/>
            </w:pPr>
          </w:p>
        </w:tc>
        <w:tc>
          <w:tcPr>
            <w:tcW w:w="1178" w:type="dxa"/>
            <w:vMerge/>
            <w:tcBorders>
              <w:left w:val="single" w:sz="6" w:space="0" w:color="auto"/>
              <w:right w:val="single" w:sz="6" w:space="0" w:color="auto"/>
            </w:tcBorders>
            <w:shd w:val="clear" w:color="auto" w:fill="auto"/>
            <w:vAlign w:val="center"/>
          </w:tcPr>
          <w:p w14:paraId="7939F32A" w14:textId="77777777" w:rsidR="0072518D" w:rsidRPr="000501F5" w:rsidRDefault="0072518D" w:rsidP="0072518D">
            <w:pPr>
              <w:pStyle w:val="TAC"/>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3F3291A3" w14:textId="77777777" w:rsidR="0072518D" w:rsidRPr="000501F5" w:rsidRDefault="0072518D" w:rsidP="0072518D">
            <w:pPr>
              <w:pStyle w:val="TAC"/>
            </w:pPr>
            <w:r w:rsidRPr="000501F5">
              <w:rPr>
                <w:lang w:val="sv-SE"/>
              </w:rPr>
              <w:t>NR_TDD_FR1_C</w:t>
            </w:r>
          </w:p>
        </w:tc>
        <w:tc>
          <w:tcPr>
            <w:tcW w:w="984" w:type="dxa"/>
            <w:tcBorders>
              <w:top w:val="single" w:sz="6" w:space="0" w:color="auto"/>
              <w:left w:val="single" w:sz="6" w:space="0" w:color="auto"/>
              <w:bottom w:val="single" w:sz="6" w:space="0" w:color="auto"/>
              <w:right w:val="single" w:sz="6" w:space="0" w:color="auto"/>
            </w:tcBorders>
          </w:tcPr>
          <w:p w14:paraId="1209EBF7" w14:textId="77777777" w:rsidR="0072518D" w:rsidRPr="000501F5" w:rsidRDefault="0072518D" w:rsidP="0072518D">
            <w:pPr>
              <w:pStyle w:val="TAC"/>
            </w:pPr>
            <w:r w:rsidRPr="000501F5">
              <w:t>-126</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21AE1CBA" w14:textId="77777777" w:rsidR="0072518D" w:rsidRPr="000501F5" w:rsidRDefault="0072518D" w:rsidP="0072518D">
            <w:pPr>
              <w:pStyle w:val="TAC"/>
            </w:pPr>
            <w:r w:rsidRPr="000501F5">
              <w:t>-123</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2F90D5AD" w14:textId="77777777" w:rsidR="0072518D" w:rsidRPr="000501F5" w:rsidRDefault="0072518D" w:rsidP="0072518D">
            <w:pPr>
              <w:pStyle w:val="TAC"/>
            </w:pPr>
            <w:r w:rsidRPr="000501F5">
              <w:t>-120</w:t>
            </w:r>
          </w:p>
        </w:tc>
        <w:tc>
          <w:tcPr>
            <w:tcW w:w="1197" w:type="dxa"/>
            <w:tcBorders>
              <w:top w:val="single" w:sz="6" w:space="0" w:color="auto"/>
              <w:left w:val="single" w:sz="6" w:space="0" w:color="auto"/>
              <w:bottom w:val="single" w:sz="6" w:space="0" w:color="auto"/>
              <w:right w:val="single" w:sz="4" w:space="0" w:color="auto"/>
            </w:tcBorders>
            <w:vAlign w:val="center"/>
          </w:tcPr>
          <w:p w14:paraId="626219F9" w14:textId="77777777" w:rsidR="0072518D" w:rsidRPr="000501F5" w:rsidRDefault="0072518D" w:rsidP="0072518D">
            <w:pPr>
              <w:pStyle w:val="TAC"/>
            </w:pPr>
            <w:r w:rsidRPr="000501F5">
              <w:t>-50</w:t>
            </w:r>
          </w:p>
        </w:tc>
      </w:tr>
      <w:tr w:rsidR="0072518D" w:rsidRPr="000501F5" w14:paraId="280C0DC4" w14:textId="77777777" w:rsidTr="00C17887">
        <w:trPr>
          <w:jc w:val="center"/>
        </w:trPr>
        <w:tc>
          <w:tcPr>
            <w:tcW w:w="965" w:type="dxa"/>
            <w:vMerge/>
            <w:tcBorders>
              <w:left w:val="single" w:sz="4" w:space="0" w:color="auto"/>
              <w:right w:val="single" w:sz="6" w:space="0" w:color="auto"/>
            </w:tcBorders>
            <w:shd w:val="clear" w:color="auto" w:fill="auto"/>
            <w:vAlign w:val="center"/>
          </w:tcPr>
          <w:p w14:paraId="442CF412" w14:textId="77777777" w:rsidR="0072518D" w:rsidRPr="000501F5" w:rsidRDefault="0072518D" w:rsidP="0072518D">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0B9C2CEF" w14:textId="77777777" w:rsidR="0072518D" w:rsidRPr="000501F5" w:rsidRDefault="0072518D" w:rsidP="0072518D">
            <w:pPr>
              <w:pStyle w:val="TAC"/>
            </w:pPr>
          </w:p>
        </w:tc>
        <w:tc>
          <w:tcPr>
            <w:tcW w:w="827" w:type="dxa"/>
            <w:vMerge/>
            <w:tcBorders>
              <w:left w:val="single" w:sz="6" w:space="0" w:color="auto"/>
              <w:right w:val="single" w:sz="6" w:space="0" w:color="auto"/>
            </w:tcBorders>
            <w:shd w:val="clear" w:color="auto" w:fill="auto"/>
            <w:vAlign w:val="center"/>
          </w:tcPr>
          <w:p w14:paraId="017490DD" w14:textId="77777777" w:rsidR="0072518D" w:rsidRPr="000501F5" w:rsidRDefault="0072518D" w:rsidP="0072518D">
            <w:pPr>
              <w:pStyle w:val="TAC"/>
            </w:pPr>
          </w:p>
        </w:tc>
        <w:tc>
          <w:tcPr>
            <w:tcW w:w="1140" w:type="dxa"/>
            <w:vMerge/>
            <w:tcBorders>
              <w:left w:val="single" w:sz="6" w:space="0" w:color="auto"/>
              <w:right w:val="single" w:sz="6" w:space="0" w:color="auto"/>
            </w:tcBorders>
            <w:shd w:val="clear" w:color="auto" w:fill="auto"/>
            <w:vAlign w:val="center"/>
          </w:tcPr>
          <w:p w14:paraId="6FE61F10" w14:textId="77777777" w:rsidR="0072518D" w:rsidRPr="000501F5" w:rsidRDefault="0072518D" w:rsidP="0072518D">
            <w:pPr>
              <w:pStyle w:val="TAC"/>
            </w:pPr>
          </w:p>
        </w:tc>
        <w:tc>
          <w:tcPr>
            <w:tcW w:w="1178" w:type="dxa"/>
            <w:vMerge/>
            <w:tcBorders>
              <w:left w:val="single" w:sz="6" w:space="0" w:color="auto"/>
              <w:right w:val="single" w:sz="6" w:space="0" w:color="auto"/>
            </w:tcBorders>
            <w:shd w:val="clear" w:color="auto" w:fill="auto"/>
            <w:vAlign w:val="center"/>
          </w:tcPr>
          <w:p w14:paraId="6A428C2B" w14:textId="77777777" w:rsidR="0072518D" w:rsidRPr="000501F5" w:rsidRDefault="0072518D" w:rsidP="0072518D">
            <w:pPr>
              <w:pStyle w:val="TAC"/>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16082D75" w14:textId="77777777" w:rsidR="0072518D" w:rsidRPr="000501F5" w:rsidRDefault="0072518D" w:rsidP="0072518D">
            <w:pPr>
              <w:pStyle w:val="TAC"/>
              <w:rPr>
                <w:lang w:val="sv-SE"/>
              </w:rPr>
            </w:pPr>
            <w:r w:rsidRPr="000501F5">
              <w:rPr>
                <w:lang w:val="sv-SE"/>
              </w:rPr>
              <w:t>NR_FDD_FR1_D, NR_TDD_FR1_D</w:t>
            </w:r>
          </w:p>
        </w:tc>
        <w:tc>
          <w:tcPr>
            <w:tcW w:w="984" w:type="dxa"/>
            <w:tcBorders>
              <w:top w:val="single" w:sz="6" w:space="0" w:color="auto"/>
              <w:left w:val="single" w:sz="6" w:space="0" w:color="auto"/>
              <w:bottom w:val="single" w:sz="6" w:space="0" w:color="auto"/>
              <w:right w:val="single" w:sz="6" w:space="0" w:color="auto"/>
            </w:tcBorders>
          </w:tcPr>
          <w:p w14:paraId="52C4A131" w14:textId="77777777" w:rsidR="0072518D" w:rsidRPr="000501F5" w:rsidRDefault="0072518D" w:rsidP="0072518D">
            <w:pPr>
              <w:pStyle w:val="TAC"/>
            </w:pPr>
            <w:r w:rsidRPr="000501F5">
              <w:t>-125.5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5C68BDC6" w14:textId="77777777" w:rsidR="0072518D" w:rsidRPr="000501F5" w:rsidRDefault="0072518D" w:rsidP="0072518D">
            <w:pPr>
              <w:pStyle w:val="TAC"/>
            </w:pPr>
            <w:r w:rsidRPr="000501F5">
              <w:t>-122.5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39454120" w14:textId="77777777" w:rsidR="0072518D" w:rsidRPr="000501F5" w:rsidRDefault="0072518D" w:rsidP="0072518D">
            <w:pPr>
              <w:pStyle w:val="TAC"/>
            </w:pPr>
            <w:r w:rsidRPr="000501F5">
              <w:t>-119.5</w:t>
            </w:r>
          </w:p>
        </w:tc>
        <w:tc>
          <w:tcPr>
            <w:tcW w:w="1197" w:type="dxa"/>
            <w:tcBorders>
              <w:top w:val="single" w:sz="6" w:space="0" w:color="auto"/>
              <w:left w:val="single" w:sz="6" w:space="0" w:color="auto"/>
              <w:bottom w:val="single" w:sz="6" w:space="0" w:color="auto"/>
              <w:right w:val="single" w:sz="4" w:space="0" w:color="auto"/>
            </w:tcBorders>
            <w:vAlign w:val="center"/>
          </w:tcPr>
          <w:p w14:paraId="30E04D8E" w14:textId="77777777" w:rsidR="0072518D" w:rsidRPr="000501F5" w:rsidRDefault="0072518D" w:rsidP="0072518D">
            <w:pPr>
              <w:pStyle w:val="TAC"/>
            </w:pPr>
            <w:r w:rsidRPr="000501F5">
              <w:t>-50</w:t>
            </w:r>
          </w:p>
        </w:tc>
      </w:tr>
      <w:tr w:rsidR="0072518D" w:rsidRPr="000501F5" w14:paraId="499BD16B" w14:textId="77777777" w:rsidTr="00C17887">
        <w:trPr>
          <w:jc w:val="center"/>
        </w:trPr>
        <w:tc>
          <w:tcPr>
            <w:tcW w:w="965" w:type="dxa"/>
            <w:vMerge/>
            <w:tcBorders>
              <w:left w:val="single" w:sz="4" w:space="0" w:color="auto"/>
              <w:right w:val="single" w:sz="6" w:space="0" w:color="auto"/>
            </w:tcBorders>
            <w:shd w:val="clear" w:color="auto" w:fill="auto"/>
            <w:vAlign w:val="center"/>
          </w:tcPr>
          <w:p w14:paraId="7178CF1F" w14:textId="77777777" w:rsidR="0072518D" w:rsidRPr="000501F5" w:rsidRDefault="0072518D" w:rsidP="0072518D">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42AEDDEF" w14:textId="77777777" w:rsidR="0072518D" w:rsidRPr="000501F5" w:rsidRDefault="0072518D" w:rsidP="0072518D">
            <w:pPr>
              <w:pStyle w:val="TAC"/>
            </w:pPr>
          </w:p>
        </w:tc>
        <w:tc>
          <w:tcPr>
            <w:tcW w:w="827" w:type="dxa"/>
            <w:vMerge/>
            <w:tcBorders>
              <w:left w:val="single" w:sz="6" w:space="0" w:color="auto"/>
              <w:right w:val="single" w:sz="6" w:space="0" w:color="auto"/>
            </w:tcBorders>
            <w:shd w:val="clear" w:color="auto" w:fill="auto"/>
            <w:vAlign w:val="center"/>
          </w:tcPr>
          <w:p w14:paraId="4984F576" w14:textId="77777777" w:rsidR="0072518D" w:rsidRPr="000501F5" w:rsidRDefault="0072518D" w:rsidP="0072518D">
            <w:pPr>
              <w:pStyle w:val="TAC"/>
            </w:pPr>
          </w:p>
        </w:tc>
        <w:tc>
          <w:tcPr>
            <w:tcW w:w="1140" w:type="dxa"/>
            <w:vMerge/>
            <w:tcBorders>
              <w:left w:val="single" w:sz="6" w:space="0" w:color="auto"/>
              <w:right w:val="single" w:sz="6" w:space="0" w:color="auto"/>
            </w:tcBorders>
            <w:shd w:val="clear" w:color="auto" w:fill="auto"/>
            <w:vAlign w:val="center"/>
          </w:tcPr>
          <w:p w14:paraId="0CC98F54" w14:textId="77777777" w:rsidR="0072518D" w:rsidRPr="000501F5" w:rsidRDefault="0072518D" w:rsidP="0072518D">
            <w:pPr>
              <w:pStyle w:val="TAC"/>
            </w:pPr>
          </w:p>
        </w:tc>
        <w:tc>
          <w:tcPr>
            <w:tcW w:w="1178" w:type="dxa"/>
            <w:vMerge/>
            <w:tcBorders>
              <w:left w:val="single" w:sz="6" w:space="0" w:color="auto"/>
              <w:right w:val="single" w:sz="6" w:space="0" w:color="auto"/>
            </w:tcBorders>
            <w:shd w:val="clear" w:color="auto" w:fill="auto"/>
            <w:vAlign w:val="center"/>
          </w:tcPr>
          <w:p w14:paraId="2B8C4CBA" w14:textId="77777777" w:rsidR="0072518D" w:rsidRPr="000501F5" w:rsidRDefault="0072518D" w:rsidP="0072518D">
            <w:pPr>
              <w:pStyle w:val="TAC"/>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406852CA" w14:textId="77777777" w:rsidR="0072518D" w:rsidRPr="000501F5" w:rsidRDefault="0072518D" w:rsidP="0072518D">
            <w:pPr>
              <w:pStyle w:val="TAC"/>
              <w:rPr>
                <w:lang w:val="sv-SE"/>
              </w:rPr>
            </w:pPr>
            <w:r w:rsidRPr="000501F5">
              <w:rPr>
                <w:lang w:val="sv-SE"/>
              </w:rPr>
              <w:t>NR_FDD_FR1_E, NR_TDD_FR1_E</w:t>
            </w:r>
          </w:p>
        </w:tc>
        <w:tc>
          <w:tcPr>
            <w:tcW w:w="984" w:type="dxa"/>
            <w:tcBorders>
              <w:top w:val="single" w:sz="6" w:space="0" w:color="auto"/>
              <w:left w:val="single" w:sz="6" w:space="0" w:color="auto"/>
              <w:bottom w:val="single" w:sz="6" w:space="0" w:color="auto"/>
              <w:right w:val="single" w:sz="6" w:space="0" w:color="auto"/>
            </w:tcBorders>
          </w:tcPr>
          <w:p w14:paraId="7D3CD357" w14:textId="77777777" w:rsidR="0072518D" w:rsidRPr="000501F5" w:rsidRDefault="0072518D" w:rsidP="0072518D">
            <w:pPr>
              <w:pStyle w:val="TAC"/>
            </w:pPr>
            <w:r w:rsidRPr="000501F5">
              <w:t>-125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2184A725" w14:textId="77777777" w:rsidR="0072518D" w:rsidRPr="000501F5" w:rsidRDefault="0072518D" w:rsidP="0072518D">
            <w:pPr>
              <w:pStyle w:val="TAC"/>
            </w:pPr>
            <w:r w:rsidRPr="000501F5">
              <w:t>-122</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790CF7B3" w14:textId="77777777" w:rsidR="0072518D" w:rsidRPr="000501F5" w:rsidRDefault="0072518D" w:rsidP="0072518D">
            <w:pPr>
              <w:pStyle w:val="TAC"/>
            </w:pPr>
            <w:r w:rsidRPr="000501F5">
              <w:t>-119</w:t>
            </w:r>
          </w:p>
        </w:tc>
        <w:tc>
          <w:tcPr>
            <w:tcW w:w="1197" w:type="dxa"/>
            <w:tcBorders>
              <w:top w:val="single" w:sz="6" w:space="0" w:color="auto"/>
              <w:left w:val="single" w:sz="6" w:space="0" w:color="auto"/>
              <w:bottom w:val="single" w:sz="6" w:space="0" w:color="auto"/>
              <w:right w:val="single" w:sz="4" w:space="0" w:color="auto"/>
            </w:tcBorders>
            <w:vAlign w:val="center"/>
          </w:tcPr>
          <w:p w14:paraId="01879640" w14:textId="77777777" w:rsidR="0072518D" w:rsidRPr="000501F5" w:rsidRDefault="0072518D" w:rsidP="0072518D">
            <w:pPr>
              <w:pStyle w:val="TAC"/>
            </w:pPr>
            <w:r w:rsidRPr="000501F5">
              <w:t>-50</w:t>
            </w:r>
          </w:p>
        </w:tc>
      </w:tr>
      <w:tr w:rsidR="0072518D" w:rsidRPr="000501F5" w14:paraId="20CAA966" w14:textId="77777777" w:rsidTr="00C17887">
        <w:trPr>
          <w:jc w:val="center"/>
        </w:trPr>
        <w:tc>
          <w:tcPr>
            <w:tcW w:w="965" w:type="dxa"/>
            <w:vMerge/>
            <w:tcBorders>
              <w:left w:val="single" w:sz="4" w:space="0" w:color="auto"/>
              <w:right w:val="single" w:sz="6" w:space="0" w:color="auto"/>
            </w:tcBorders>
            <w:shd w:val="clear" w:color="auto" w:fill="auto"/>
            <w:vAlign w:val="center"/>
          </w:tcPr>
          <w:p w14:paraId="79BDCA3D" w14:textId="77777777" w:rsidR="0072518D" w:rsidRPr="000501F5" w:rsidRDefault="0072518D" w:rsidP="0072518D">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01047FB3" w14:textId="77777777" w:rsidR="0072518D" w:rsidRPr="000501F5" w:rsidRDefault="0072518D" w:rsidP="0072518D">
            <w:pPr>
              <w:pStyle w:val="TAC"/>
            </w:pPr>
          </w:p>
        </w:tc>
        <w:tc>
          <w:tcPr>
            <w:tcW w:w="827" w:type="dxa"/>
            <w:vMerge/>
            <w:tcBorders>
              <w:left w:val="single" w:sz="6" w:space="0" w:color="auto"/>
              <w:right w:val="single" w:sz="6" w:space="0" w:color="auto"/>
            </w:tcBorders>
            <w:shd w:val="clear" w:color="auto" w:fill="auto"/>
            <w:vAlign w:val="center"/>
          </w:tcPr>
          <w:p w14:paraId="24A39B1E" w14:textId="77777777" w:rsidR="0072518D" w:rsidRPr="000501F5" w:rsidRDefault="0072518D" w:rsidP="0072518D">
            <w:pPr>
              <w:pStyle w:val="TAC"/>
            </w:pPr>
          </w:p>
        </w:tc>
        <w:tc>
          <w:tcPr>
            <w:tcW w:w="1140" w:type="dxa"/>
            <w:vMerge/>
            <w:tcBorders>
              <w:left w:val="single" w:sz="6" w:space="0" w:color="auto"/>
              <w:right w:val="single" w:sz="6" w:space="0" w:color="auto"/>
            </w:tcBorders>
            <w:shd w:val="clear" w:color="auto" w:fill="auto"/>
            <w:vAlign w:val="center"/>
          </w:tcPr>
          <w:p w14:paraId="3382A45E" w14:textId="77777777" w:rsidR="0072518D" w:rsidRPr="000501F5" w:rsidRDefault="0072518D" w:rsidP="0072518D">
            <w:pPr>
              <w:pStyle w:val="TAC"/>
            </w:pPr>
          </w:p>
        </w:tc>
        <w:tc>
          <w:tcPr>
            <w:tcW w:w="1178" w:type="dxa"/>
            <w:vMerge/>
            <w:tcBorders>
              <w:left w:val="single" w:sz="6" w:space="0" w:color="auto"/>
              <w:right w:val="single" w:sz="6" w:space="0" w:color="auto"/>
            </w:tcBorders>
            <w:shd w:val="clear" w:color="auto" w:fill="auto"/>
            <w:vAlign w:val="center"/>
          </w:tcPr>
          <w:p w14:paraId="35E880A7" w14:textId="77777777" w:rsidR="0072518D" w:rsidRPr="000501F5" w:rsidRDefault="0072518D" w:rsidP="0072518D">
            <w:pPr>
              <w:pStyle w:val="TAC"/>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339C6857" w14:textId="77777777" w:rsidR="0072518D" w:rsidRPr="000501F5" w:rsidRDefault="0072518D" w:rsidP="0072518D">
            <w:pPr>
              <w:pStyle w:val="TAC"/>
            </w:pPr>
            <w:r w:rsidRPr="000501F5">
              <w:rPr>
                <w:lang w:val="sv-SE"/>
              </w:rPr>
              <w:t>NR_FDD_FR1_F</w:t>
            </w:r>
          </w:p>
        </w:tc>
        <w:tc>
          <w:tcPr>
            <w:tcW w:w="984" w:type="dxa"/>
            <w:tcBorders>
              <w:top w:val="single" w:sz="6" w:space="0" w:color="auto"/>
              <w:left w:val="single" w:sz="6" w:space="0" w:color="auto"/>
              <w:bottom w:val="single" w:sz="6" w:space="0" w:color="auto"/>
              <w:right w:val="single" w:sz="6" w:space="0" w:color="auto"/>
            </w:tcBorders>
          </w:tcPr>
          <w:p w14:paraId="125B8F59" w14:textId="77777777" w:rsidR="0072518D" w:rsidRPr="000501F5" w:rsidRDefault="0072518D" w:rsidP="0072518D">
            <w:pPr>
              <w:pStyle w:val="TAC"/>
            </w:pPr>
            <w:r w:rsidRPr="000501F5">
              <w:t>-124.5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5D971695" w14:textId="77777777" w:rsidR="0072518D" w:rsidRPr="000501F5" w:rsidRDefault="0072518D" w:rsidP="0072518D">
            <w:pPr>
              <w:pStyle w:val="TAC"/>
            </w:pPr>
            <w:r w:rsidRPr="000501F5">
              <w:t>-121.5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084A3663" w14:textId="77777777" w:rsidR="0072518D" w:rsidRPr="000501F5" w:rsidRDefault="0072518D" w:rsidP="0072518D">
            <w:pPr>
              <w:pStyle w:val="TAC"/>
            </w:pPr>
            <w:r w:rsidRPr="000501F5">
              <w:t>-118.5</w:t>
            </w:r>
          </w:p>
        </w:tc>
        <w:tc>
          <w:tcPr>
            <w:tcW w:w="1197" w:type="dxa"/>
            <w:tcBorders>
              <w:top w:val="single" w:sz="6" w:space="0" w:color="auto"/>
              <w:left w:val="single" w:sz="6" w:space="0" w:color="auto"/>
              <w:bottom w:val="single" w:sz="6" w:space="0" w:color="auto"/>
              <w:right w:val="single" w:sz="4" w:space="0" w:color="auto"/>
            </w:tcBorders>
            <w:vAlign w:val="center"/>
          </w:tcPr>
          <w:p w14:paraId="221528CB" w14:textId="77777777" w:rsidR="0072518D" w:rsidRPr="000501F5" w:rsidRDefault="0072518D" w:rsidP="0072518D">
            <w:pPr>
              <w:pStyle w:val="TAC"/>
            </w:pPr>
            <w:r w:rsidRPr="000501F5">
              <w:t>-50</w:t>
            </w:r>
          </w:p>
        </w:tc>
      </w:tr>
      <w:tr w:rsidR="00675E01" w:rsidRPr="000501F5" w14:paraId="1D761FCB" w14:textId="77777777" w:rsidTr="001E269D">
        <w:trPr>
          <w:jc w:val="center"/>
        </w:trPr>
        <w:tc>
          <w:tcPr>
            <w:tcW w:w="965" w:type="dxa"/>
            <w:vMerge/>
            <w:tcBorders>
              <w:left w:val="single" w:sz="4" w:space="0" w:color="auto"/>
              <w:right w:val="single" w:sz="6" w:space="0" w:color="auto"/>
            </w:tcBorders>
            <w:shd w:val="clear" w:color="auto" w:fill="auto"/>
            <w:vAlign w:val="center"/>
          </w:tcPr>
          <w:p w14:paraId="19D163A2" w14:textId="77777777" w:rsidR="00675E01" w:rsidRPr="000501F5" w:rsidRDefault="00675E01" w:rsidP="00675E01">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10E7EC76" w14:textId="77777777" w:rsidR="00675E01" w:rsidRPr="000501F5" w:rsidRDefault="00675E01" w:rsidP="00675E01">
            <w:pPr>
              <w:pStyle w:val="TAC"/>
            </w:pPr>
          </w:p>
        </w:tc>
        <w:tc>
          <w:tcPr>
            <w:tcW w:w="827" w:type="dxa"/>
            <w:vMerge/>
            <w:tcBorders>
              <w:left w:val="single" w:sz="6" w:space="0" w:color="auto"/>
              <w:right w:val="single" w:sz="6" w:space="0" w:color="auto"/>
            </w:tcBorders>
            <w:shd w:val="clear" w:color="auto" w:fill="auto"/>
            <w:vAlign w:val="center"/>
          </w:tcPr>
          <w:p w14:paraId="2C671D98" w14:textId="77777777" w:rsidR="00675E01" w:rsidRPr="000501F5" w:rsidRDefault="00675E01" w:rsidP="00675E01">
            <w:pPr>
              <w:pStyle w:val="TAC"/>
            </w:pPr>
          </w:p>
        </w:tc>
        <w:tc>
          <w:tcPr>
            <w:tcW w:w="1140" w:type="dxa"/>
            <w:vMerge/>
            <w:tcBorders>
              <w:left w:val="single" w:sz="6" w:space="0" w:color="auto"/>
              <w:right w:val="single" w:sz="6" w:space="0" w:color="auto"/>
            </w:tcBorders>
            <w:shd w:val="clear" w:color="auto" w:fill="auto"/>
            <w:vAlign w:val="center"/>
          </w:tcPr>
          <w:p w14:paraId="0AE728F0" w14:textId="77777777" w:rsidR="00675E01" w:rsidRPr="000501F5" w:rsidRDefault="00675E01" w:rsidP="00675E01">
            <w:pPr>
              <w:pStyle w:val="TAC"/>
            </w:pPr>
          </w:p>
        </w:tc>
        <w:tc>
          <w:tcPr>
            <w:tcW w:w="1178" w:type="dxa"/>
            <w:vMerge/>
            <w:tcBorders>
              <w:left w:val="single" w:sz="6" w:space="0" w:color="auto"/>
              <w:right w:val="single" w:sz="6" w:space="0" w:color="auto"/>
            </w:tcBorders>
            <w:shd w:val="clear" w:color="auto" w:fill="auto"/>
            <w:vAlign w:val="center"/>
          </w:tcPr>
          <w:p w14:paraId="611A350F" w14:textId="77777777" w:rsidR="00675E01" w:rsidRPr="000501F5" w:rsidRDefault="00675E01" w:rsidP="00675E01">
            <w:pPr>
              <w:pStyle w:val="TAC"/>
            </w:pPr>
          </w:p>
        </w:tc>
        <w:tc>
          <w:tcPr>
            <w:tcW w:w="1586" w:type="dxa"/>
            <w:tcBorders>
              <w:top w:val="single" w:sz="6" w:space="0" w:color="auto"/>
              <w:left w:val="single" w:sz="6" w:space="0" w:color="auto"/>
              <w:bottom w:val="single" w:sz="6" w:space="0" w:color="auto"/>
              <w:right w:val="single" w:sz="6" w:space="0" w:color="auto"/>
            </w:tcBorders>
            <w:vAlign w:val="center"/>
          </w:tcPr>
          <w:p w14:paraId="4572714B" w14:textId="4D7DF3D0" w:rsidR="00675E01" w:rsidRPr="000501F5" w:rsidRDefault="00675E01" w:rsidP="00675E01">
            <w:pPr>
              <w:pStyle w:val="TAC"/>
            </w:pPr>
            <w:r>
              <w:rPr>
                <w:lang w:val="sv-SE"/>
              </w:rPr>
              <w:t>NR_FDD_FR1_G</w:t>
            </w:r>
            <w:r>
              <w:rPr>
                <w:rFonts w:hint="eastAsia"/>
                <w:lang w:eastAsia="zh-CN"/>
              </w:rPr>
              <w:t xml:space="preserve">, </w:t>
            </w:r>
            <w:r>
              <w:rPr>
                <w:lang w:eastAsia="zh-CN"/>
              </w:rPr>
              <w:t>NR</w:t>
            </w:r>
            <w:r>
              <w:t>_</w:t>
            </w:r>
            <w:r>
              <w:rPr>
                <w:rFonts w:hint="eastAsia"/>
                <w:lang w:eastAsia="zh-CN"/>
              </w:rPr>
              <w:t>T</w:t>
            </w:r>
            <w:r>
              <w:rPr>
                <w:lang w:eastAsia="zh-CN"/>
              </w:rPr>
              <w:t>DD_FR1_G</w:t>
            </w:r>
          </w:p>
        </w:tc>
        <w:tc>
          <w:tcPr>
            <w:tcW w:w="984" w:type="dxa"/>
            <w:tcBorders>
              <w:top w:val="single" w:sz="6" w:space="0" w:color="auto"/>
              <w:left w:val="single" w:sz="6" w:space="0" w:color="auto"/>
              <w:bottom w:val="single" w:sz="6" w:space="0" w:color="auto"/>
              <w:right w:val="single" w:sz="6" w:space="0" w:color="auto"/>
            </w:tcBorders>
          </w:tcPr>
          <w:p w14:paraId="527112DA" w14:textId="2353E667" w:rsidR="00675E01" w:rsidRPr="000501F5" w:rsidRDefault="00675E01" w:rsidP="00675E01">
            <w:pPr>
              <w:pStyle w:val="TAC"/>
            </w:pPr>
            <w:r>
              <w:t>-124</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56ED0F68" w14:textId="77777777" w:rsidR="00675E01" w:rsidRPr="000501F5" w:rsidRDefault="00675E01" w:rsidP="00675E01">
            <w:pPr>
              <w:pStyle w:val="TAC"/>
            </w:pPr>
            <w:r w:rsidRPr="000501F5">
              <w:t>-121</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5F74FD4B" w14:textId="77777777" w:rsidR="00675E01" w:rsidRPr="000501F5" w:rsidRDefault="00675E01" w:rsidP="00675E01">
            <w:pPr>
              <w:pStyle w:val="TAC"/>
            </w:pPr>
            <w:r w:rsidRPr="000501F5">
              <w:t>-118</w:t>
            </w:r>
          </w:p>
        </w:tc>
        <w:tc>
          <w:tcPr>
            <w:tcW w:w="1197" w:type="dxa"/>
            <w:tcBorders>
              <w:top w:val="single" w:sz="6" w:space="0" w:color="auto"/>
              <w:left w:val="single" w:sz="6" w:space="0" w:color="auto"/>
              <w:bottom w:val="single" w:sz="6" w:space="0" w:color="auto"/>
              <w:right w:val="single" w:sz="4" w:space="0" w:color="auto"/>
            </w:tcBorders>
            <w:vAlign w:val="center"/>
          </w:tcPr>
          <w:p w14:paraId="26261165" w14:textId="77777777" w:rsidR="00675E01" w:rsidRPr="000501F5" w:rsidRDefault="00675E01" w:rsidP="00675E01">
            <w:pPr>
              <w:pStyle w:val="TAC"/>
            </w:pPr>
            <w:r w:rsidRPr="000501F5">
              <w:t>-50</w:t>
            </w:r>
          </w:p>
        </w:tc>
      </w:tr>
      <w:tr w:rsidR="00675E01" w:rsidRPr="000501F5" w14:paraId="2B501F05" w14:textId="77777777" w:rsidTr="001E269D">
        <w:trPr>
          <w:jc w:val="center"/>
        </w:trPr>
        <w:tc>
          <w:tcPr>
            <w:tcW w:w="965" w:type="dxa"/>
            <w:vMerge/>
            <w:tcBorders>
              <w:left w:val="single" w:sz="4" w:space="0" w:color="auto"/>
              <w:right w:val="single" w:sz="6" w:space="0" w:color="auto"/>
            </w:tcBorders>
            <w:shd w:val="clear" w:color="auto" w:fill="auto"/>
            <w:vAlign w:val="center"/>
          </w:tcPr>
          <w:p w14:paraId="57AE68E4" w14:textId="77777777" w:rsidR="00675E01" w:rsidRPr="000501F5" w:rsidRDefault="00675E01" w:rsidP="00675E01">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58FACADE" w14:textId="77777777" w:rsidR="00675E01" w:rsidRPr="000501F5" w:rsidRDefault="00675E01" w:rsidP="00675E01">
            <w:pPr>
              <w:pStyle w:val="TAC"/>
            </w:pPr>
          </w:p>
        </w:tc>
        <w:tc>
          <w:tcPr>
            <w:tcW w:w="827" w:type="dxa"/>
            <w:vMerge/>
            <w:tcBorders>
              <w:left w:val="single" w:sz="6" w:space="0" w:color="auto"/>
              <w:right w:val="single" w:sz="6" w:space="0" w:color="auto"/>
            </w:tcBorders>
            <w:shd w:val="clear" w:color="auto" w:fill="auto"/>
            <w:vAlign w:val="center"/>
          </w:tcPr>
          <w:p w14:paraId="284590E6" w14:textId="77777777" w:rsidR="00675E01" w:rsidRPr="000501F5" w:rsidRDefault="00675E01" w:rsidP="00675E01">
            <w:pPr>
              <w:pStyle w:val="TAC"/>
            </w:pPr>
          </w:p>
        </w:tc>
        <w:tc>
          <w:tcPr>
            <w:tcW w:w="1140" w:type="dxa"/>
            <w:vMerge/>
            <w:tcBorders>
              <w:left w:val="single" w:sz="6" w:space="0" w:color="auto"/>
              <w:right w:val="single" w:sz="6" w:space="0" w:color="auto"/>
            </w:tcBorders>
            <w:shd w:val="clear" w:color="auto" w:fill="auto"/>
            <w:vAlign w:val="center"/>
          </w:tcPr>
          <w:p w14:paraId="0FD490C3" w14:textId="77777777" w:rsidR="00675E01" w:rsidRPr="000501F5" w:rsidRDefault="00675E01" w:rsidP="00675E01">
            <w:pPr>
              <w:pStyle w:val="TAC"/>
            </w:pPr>
          </w:p>
        </w:tc>
        <w:tc>
          <w:tcPr>
            <w:tcW w:w="1178" w:type="dxa"/>
            <w:vMerge/>
            <w:tcBorders>
              <w:left w:val="single" w:sz="6" w:space="0" w:color="auto"/>
              <w:right w:val="single" w:sz="6" w:space="0" w:color="auto"/>
            </w:tcBorders>
            <w:shd w:val="clear" w:color="auto" w:fill="auto"/>
            <w:vAlign w:val="center"/>
          </w:tcPr>
          <w:p w14:paraId="68C24E12" w14:textId="77777777" w:rsidR="00675E01" w:rsidRPr="000501F5" w:rsidRDefault="00675E01" w:rsidP="00675E01">
            <w:pPr>
              <w:pStyle w:val="TAC"/>
            </w:pPr>
          </w:p>
        </w:tc>
        <w:tc>
          <w:tcPr>
            <w:tcW w:w="1586" w:type="dxa"/>
            <w:tcBorders>
              <w:top w:val="single" w:sz="6" w:space="0" w:color="auto"/>
              <w:left w:val="single" w:sz="6" w:space="0" w:color="auto"/>
              <w:bottom w:val="single" w:sz="6" w:space="0" w:color="auto"/>
              <w:right w:val="single" w:sz="6" w:space="0" w:color="auto"/>
            </w:tcBorders>
            <w:vAlign w:val="center"/>
          </w:tcPr>
          <w:p w14:paraId="013A0274" w14:textId="6D4E62C0" w:rsidR="00675E01" w:rsidRPr="000501F5" w:rsidRDefault="00675E01" w:rsidP="00675E01">
            <w:pPr>
              <w:pStyle w:val="TAC"/>
            </w:pPr>
            <w:r>
              <w:rPr>
                <w:lang w:val="sv-SE"/>
              </w:rPr>
              <w:t>NR_FDD_FR1_H</w:t>
            </w:r>
          </w:p>
        </w:tc>
        <w:tc>
          <w:tcPr>
            <w:tcW w:w="984" w:type="dxa"/>
            <w:tcBorders>
              <w:top w:val="single" w:sz="6" w:space="0" w:color="auto"/>
              <w:left w:val="single" w:sz="6" w:space="0" w:color="auto"/>
              <w:bottom w:val="single" w:sz="6" w:space="0" w:color="auto"/>
              <w:right w:val="single" w:sz="6" w:space="0" w:color="auto"/>
            </w:tcBorders>
          </w:tcPr>
          <w:p w14:paraId="297CBD8F" w14:textId="7BA92393" w:rsidR="00675E01" w:rsidRPr="000501F5" w:rsidRDefault="00675E01" w:rsidP="00675E01">
            <w:pPr>
              <w:pStyle w:val="TAC"/>
            </w:pPr>
            <w:r>
              <w:t>-123.5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3180F13D" w14:textId="77777777" w:rsidR="00675E01" w:rsidRPr="000501F5" w:rsidRDefault="00675E01" w:rsidP="00675E01">
            <w:pPr>
              <w:pStyle w:val="TAC"/>
            </w:pPr>
            <w:r w:rsidRPr="000501F5">
              <w:t>-120.5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3AB391C8" w14:textId="77777777" w:rsidR="00675E01" w:rsidRPr="000501F5" w:rsidRDefault="00675E01" w:rsidP="00675E01">
            <w:pPr>
              <w:pStyle w:val="TAC"/>
            </w:pPr>
            <w:r w:rsidRPr="000501F5">
              <w:t>-117.5</w:t>
            </w:r>
          </w:p>
        </w:tc>
        <w:tc>
          <w:tcPr>
            <w:tcW w:w="1197" w:type="dxa"/>
            <w:tcBorders>
              <w:top w:val="single" w:sz="6" w:space="0" w:color="auto"/>
              <w:left w:val="single" w:sz="6" w:space="0" w:color="auto"/>
              <w:bottom w:val="single" w:sz="6" w:space="0" w:color="auto"/>
              <w:right w:val="single" w:sz="4" w:space="0" w:color="auto"/>
            </w:tcBorders>
            <w:vAlign w:val="center"/>
          </w:tcPr>
          <w:p w14:paraId="15EC74F9" w14:textId="77777777" w:rsidR="00675E01" w:rsidRPr="000501F5" w:rsidRDefault="00675E01" w:rsidP="00675E01">
            <w:pPr>
              <w:pStyle w:val="TAC"/>
            </w:pPr>
            <w:r w:rsidRPr="000501F5">
              <w:t>-50</w:t>
            </w:r>
          </w:p>
        </w:tc>
      </w:tr>
      <w:tr w:rsidR="0072518D" w:rsidRPr="000501F5" w14:paraId="7E0CD34F" w14:textId="77777777" w:rsidTr="00C17887">
        <w:trPr>
          <w:jc w:val="center"/>
        </w:trPr>
        <w:tc>
          <w:tcPr>
            <w:tcW w:w="965" w:type="dxa"/>
            <w:vMerge/>
            <w:tcBorders>
              <w:left w:val="single" w:sz="4" w:space="0" w:color="auto"/>
              <w:right w:val="single" w:sz="6" w:space="0" w:color="auto"/>
            </w:tcBorders>
            <w:shd w:val="clear" w:color="auto" w:fill="auto"/>
            <w:vAlign w:val="center"/>
          </w:tcPr>
          <w:p w14:paraId="3BC2BCE3" w14:textId="77777777" w:rsidR="0072518D" w:rsidRPr="000501F5" w:rsidRDefault="0072518D" w:rsidP="0072518D">
            <w:pPr>
              <w:pStyle w:val="TAC"/>
              <w:rPr>
                <w:lang w:eastAsia="zh-CN"/>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38D5218A" w14:textId="77777777" w:rsidR="0072518D" w:rsidRPr="000501F5" w:rsidRDefault="0072518D" w:rsidP="0072518D">
            <w:pPr>
              <w:pStyle w:val="TAC"/>
              <w:rPr>
                <w:lang w:eastAsia="zh-CN"/>
              </w:rPr>
            </w:pPr>
          </w:p>
        </w:tc>
        <w:tc>
          <w:tcPr>
            <w:tcW w:w="827" w:type="dxa"/>
            <w:vMerge/>
            <w:tcBorders>
              <w:left w:val="single" w:sz="6" w:space="0" w:color="auto"/>
              <w:right w:val="single" w:sz="6" w:space="0" w:color="auto"/>
            </w:tcBorders>
            <w:shd w:val="clear" w:color="auto" w:fill="auto"/>
            <w:vAlign w:val="center"/>
          </w:tcPr>
          <w:p w14:paraId="63747323" w14:textId="77777777" w:rsidR="0072518D" w:rsidRPr="000501F5" w:rsidRDefault="0072518D" w:rsidP="0072518D">
            <w:pPr>
              <w:pStyle w:val="TAC"/>
              <w:rPr>
                <w:lang w:val="sv-SE"/>
              </w:rPr>
            </w:pPr>
          </w:p>
        </w:tc>
        <w:tc>
          <w:tcPr>
            <w:tcW w:w="1140" w:type="dxa"/>
            <w:vMerge/>
            <w:tcBorders>
              <w:left w:val="single" w:sz="6" w:space="0" w:color="auto"/>
              <w:right w:val="single" w:sz="6" w:space="0" w:color="auto"/>
            </w:tcBorders>
            <w:shd w:val="clear" w:color="auto" w:fill="auto"/>
            <w:vAlign w:val="center"/>
          </w:tcPr>
          <w:p w14:paraId="0571F4EA" w14:textId="77777777" w:rsidR="0072518D" w:rsidRPr="000501F5" w:rsidRDefault="0072518D" w:rsidP="0072518D">
            <w:pPr>
              <w:pStyle w:val="TAC"/>
              <w:rPr>
                <w:lang w:eastAsia="zh-CN"/>
              </w:rPr>
            </w:pPr>
          </w:p>
        </w:tc>
        <w:tc>
          <w:tcPr>
            <w:tcW w:w="1178" w:type="dxa"/>
            <w:vMerge/>
            <w:tcBorders>
              <w:left w:val="single" w:sz="6" w:space="0" w:color="auto"/>
              <w:right w:val="single" w:sz="6" w:space="0" w:color="auto"/>
            </w:tcBorders>
            <w:shd w:val="clear" w:color="auto" w:fill="auto"/>
            <w:vAlign w:val="center"/>
          </w:tcPr>
          <w:p w14:paraId="7FCD5765" w14:textId="77777777" w:rsidR="0072518D" w:rsidRPr="000501F5" w:rsidRDefault="0072518D" w:rsidP="0072518D">
            <w:pPr>
              <w:pStyle w:val="TAC"/>
              <w:rPr>
                <w:lang w:eastAsia="zh-CN"/>
              </w:rPr>
            </w:pP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039ECC36" w14:textId="77777777" w:rsidR="0072518D" w:rsidRPr="000501F5" w:rsidRDefault="0072518D" w:rsidP="0072518D">
            <w:pPr>
              <w:pStyle w:val="TAC"/>
              <w:rPr>
                <w:lang w:eastAsia="zh-CN"/>
              </w:rPr>
            </w:pPr>
            <w:r w:rsidRPr="000501F5">
              <w:t>Note 4</w:t>
            </w:r>
          </w:p>
        </w:tc>
      </w:tr>
      <w:tr w:rsidR="0072518D" w:rsidRPr="000501F5" w14:paraId="3F901CA3" w14:textId="77777777" w:rsidTr="00C17887">
        <w:trPr>
          <w:jc w:val="center"/>
        </w:trPr>
        <w:tc>
          <w:tcPr>
            <w:tcW w:w="965" w:type="dxa"/>
            <w:vMerge/>
            <w:tcBorders>
              <w:left w:val="single" w:sz="4" w:space="0" w:color="auto"/>
              <w:bottom w:val="single" w:sz="6" w:space="0" w:color="auto"/>
              <w:right w:val="single" w:sz="6" w:space="0" w:color="auto"/>
            </w:tcBorders>
            <w:shd w:val="clear" w:color="auto" w:fill="auto"/>
            <w:vAlign w:val="center"/>
          </w:tcPr>
          <w:p w14:paraId="4D137788" w14:textId="77777777" w:rsidR="0072518D" w:rsidRPr="000501F5" w:rsidRDefault="0072518D" w:rsidP="0072518D">
            <w:pPr>
              <w:pStyle w:val="TAC"/>
              <w:rPr>
                <w:lang w:eastAsia="zh-CN"/>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7EDD83BB" w14:textId="77777777" w:rsidR="0072518D" w:rsidRPr="000501F5" w:rsidRDefault="0072518D" w:rsidP="0072518D">
            <w:pPr>
              <w:pStyle w:val="TAC"/>
              <w:rPr>
                <w:lang w:eastAsia="zh-CN"/>
              </w:rPr>
            </w:pPr>
          </w:p>
        </w:tc>
        <w:tc>
          <w:tcPr>
            <w:tcW w:w="827" w:type="dxa"/>
            <w:vMerge/>
            <w:tcBorders>
              <w:left w:val="single" w:sz="6" w:space="0" w:color="auto"/>
              <w:bottom w:val="single" w:sz="6" w:space="0" w:color="auto"/>
              <w:right w:val="single" w:sz="6" w:space="0" w:color="auto"/>
            </w:tcBorders>
            <w:shd w:val="clear" w:color="auto" w:fill="auto"/>
            <w:vAlign w:val="center"/>
          </w:tcPr>
          <w:p w14:paraId="13138948" w14:textId="77777777" w:rsidR="0072518D" w:rsidRPr="000501F5" w:rsidRDefault="0072518D" w:rsidP="0072518D">
            <w:pPr>
              <w:pStyle w:val="TAC"/>
            </w:pPr>
          </w:p>
        </w:tc>
        <w:tc>
          <w:tcPr>
            <w:tcW w:w="1140" w:type="dxa"/>
            <w:vMerge/>
            <w:tcBorders>
              <w:left w:val="single" w:sz="6" w:space="0" w:color="auto"/>
              <w:bottom w:val="single" w:sz="6" w:space="0" w:color="auto"/>
              <w:right w:val="single" w:sz="6" w:space="0" w:color="auto"/>
            </w:tcBorders>
            <w:shd w:val="clear" w:color="auto" w:fill="auto"/>
            <w:vAlign w:val="center"/>
          </w:tcPr>
          <w:p w14:paraId="6F865BCE" w14:textId="77777777" w:rsidR="0072518D" w:rsidRPr="000501F5" w:rsidRDefault="0072518D" w:rsidP="0072518D">
            <w:pPr>
              <w:pStyle w:val="TAC"/>
            </w:pPr>
          </w:p>
        </w:tc>
        <w:tc>
          <w:tcPr>
            <w:tcW w:w="1178" w:type="dxa"/>
            <w:vMerge/>
            <w:tcBorders>
              <w:left w:val="single" w:sz="6" w:space="0" w:color="auto"/>
              <w:bottom w:val="single" w:sz="6" w:space="0" w:color="auto"/>
              <w:right w:val="single" w:sz="6" w:space="0" w:color="auto"/>
            </w:tcBorders>
            <w:shd w:val="clear" w:color="auto" w:fill="auto"/>
            <w:vAlign w:val="center"/>
          </w:tcPr>
          <w:p w14:paraId="107CE713" w14:textId="77777777" w:rsidR="0072518D" w:rsidRPr="000501F5" w:rsidRDefault="0072518D" w:rsidP="0072518D">
            <w:pPr>
              <w:pStyle w:val="TAC"/>
              <w:rPr>
                <w:lang w:eastAsia="zh-CN"/>
              </w:rPr>
            </w:pP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22B9737C" w14:textId="77777777" w:rsidR="0072518D" w:rsidRPr="000501F5" w:rsidRDefault="0072518D" w:rsidP="0072518D">
            <w:pPr>
              <w:pStyle w:val="TAC"/>
              <w:rPr>
                <w:lang w:eastAsia="zh-CN"/>
              </w:rPr>
            </w:pPr>
            <w:r w:rsidRPr="000501F5">
              <w:t>Note 4</w:t>
            </w:r>
          </w:p>
        </w:tc>
      </w:tr>
      <w:tr w:rsidR="0072518D" w:rsidRPr="000501F5" w14:paraId="6ACFD6B8" w14:textId="77777777" w:rsidTr="00C17887">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16A762B9" w14:textId="68D829D5" w:rsidR="0072518D" w:rsidRPr="000501F5" w:rsidRDefault="0072518D" w:rsidP="0072518D">
            <w:pPr>
              <w:pStyle w:val="TAC"/>
              <w:rPr>
                <w:lang w:eastAsia="zh-CN"/>
              </w:rPr>
            </w:pPr>
            <w:r w:rsidRPr="000501F5">
              <w:rPr>
                <w:rFonts w:cstheme="minorHAnsi"/>
              </w:rPr>
              <w:t>±</w:t>
            </w:r>
            <w:r w:rsidRPr="000501F5">
              <w:rPr>
                <w:lang w:eastAsia="zh-CN"/>
              </w:rPr>
              <w:t>8.5</w:t>
            </w:r>
          </w:p>
        </w:tc>
        <w:tc>
          <w:tcPr>
            <w:tcW w:w="965" w:type="dxa"/>
            <w:tcBorders>
              <w:top w:val="single" w:sz="4" w:space="0" w:color="auto"/>
              <w:left w:val="single" w:sz="4" w:space="0" w:color="auto"/>
              <w:bottom w:val="single" w:sz="4" w:space="0" w:color="auto"/>
              <w:right w:val="single" w:sz="4" w:space="0" w:color="auto"/>
            </w:tcBorders>
            <w:vAlign w:val="center"/>
          </w:tcPr>
          <w:p w14:paraId="2E830DF4" w14:textId="3F0E013A" w:rsidR="0072518D" w:rsidRPr="000501F5" w:rsidRDefault="0072518D" w:rsidP="0072518D">
            <w:pPr>
              <w:pStyle w:val="TAC"/>
              <w:rPr>
                <w:lang w:eastAsia="zh-CN"/>
              </w:rPr>
            </w:pPr>
            <w:r>
              <w:rPr>
                <w:rFonts w:cstheme="minorHAnsi"/>
              </w:rPr>
              <w:t>±</w:t>
            </w:r>
            <w:r>
              <w:rPr>
                <w:lang w:eastAsia="zh-CN"/>
              </w:rPr>
              <w:t>13</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74BB0CB3" w14:textId="77777777" w:rsidR="0072518D" w:rsidRPr="000501F5" w:rsidRDefault="0072518D" w:rsidP="0072518D">
            <w:pPr>
              <w:pStyle w:val="TAC"/>
              <w:rPr>
                <w:lang w:eastAsia="zh-CN"/>
              </w:rPr>
            </w:pPr>
            <w:r w:rsidRPr="000501F5">
              <w:t>≥-</w:t>
            </w:r>
            <w:r w:rsidRPr="000501F5">
              <w:rPr>
                <w:rFonts w:hint="eastAsia"/>
                <w:lang w:eastAsia="zh-CN"/>
              </w:rPr>
              <w:t>13</w:t>
            </w:r>
            <w:r w:rsidRPr="000501F5">
              <w:t>dB</w:t>
            </w: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46E31EAC" w14:textId="77777777" w:rsidR="0072518D" w:rsidRPr="000501F5" w:rsidRDefault="0072518D" w:rsidP="0072518D">
            <w:pPr>
              <w:pStyle w:val="TAC"/>
            </w:pPr>
            <w:r w:rsidRPr="000501F5">
              <w:rPr>
                <w:lang w:eastAsia="zh-CN"/>
              </w:rPr>
              <w:t>24 ≤ BW ≤ 52</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121C78D7" w14:textId="77777777" w:rsidR="0072518D" w:rsidRPr="000501F5" w:rsidRDefault="0072518D" w:rsidP="0072518D">
            <w:pPr>
              <w:pStyle w:val="TAC"/>
              <w:rPr>
                <w:lang w:eastAsia="zh-CN"/>
              </w:rPr>
            </w:pPr>
            <w:r w:rsidRPr="000501F5">
              <w:rPr>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954871A" w14:textId="77777777" w:rsidR="0072518D" w:rsidRPr="000501F5" w:rsidRDefault="0072518D" w:rsidP="0072518D">
            <w:pPr>
              <w:pStyle w:val="TAC"/>
            </w:pPr>
            <w:r w:rsidRPr="000501F5">
              <w:t>Note 4</w:t>
            </w:r>
          </w:p>
        </w:tc>
      </w:tr>
      <w:tr w:rsidR="0072518D" w:rsidRPr="000501F5" w14:paraId="44AB1C6C" w14:textId="77777777" w:rsidTr="00C17887">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426D4EB9" w14:textId="230EE46B" w:rsidR="0072518D" w:rsidRPr="000501F5" w:rsidRDefault="0072518D" w:rsidP="0072518D">
            <w:pPr>
              <w:pStyle w:val="TAC"/>
              <w:rPr>
                <w:szCs w:val="18"/>
                <w:lang w:eastAsia="zh-CN"/>
              </w:rPr>
            </w:pPr>
            <w:r w:rsidRPr="000501F5">
              <w:rPr>
                <w:rFonts w:cstheme="minorHAnsi"/>
              </w:rPr>
              <w:t>±</w:t>
            </w:r>
            <w:r w:rsidRPr="000501F5">
              <w:rPr>
                <w:rFonts w:cstheme="minorHAnsi"/>
                <w:lang w:eastAsia="zh-CN"/>
              </w:rPr>
              <w:t>6</w:t>
            </w:r>
          </w:p>
        </w:tc>
        <w:tc>
          <w:tcPr>
            <w:tcW w:w="965" w:type="dxa"/>
            <w:tcBorders>
              <w:top w:val="single" w:sz="4" w:space="0" w:color="auto"/>
              <w:left w:val="single" w:sz="4" w:space="0" w:color="auto"/>
              <w:bottom w:val="single" w:sz="4" w:space="0" w:color="auto"/>
              <w:right w:val="single" w:sz="4" w:space="0" w:color="auto"/>
            </w:tcBorders>
            <w:vAlign w:val="center"/>
          </w:tcPr>
          <w:p w14:paraId="7671EF0A" w14:textId="0702B467" w:rsidR="0072518D" w:rsidRPr="000501F5" w:rsidRDefault="0072518D" w:rsidP="0072518D">
            <w:pPr>
              <w:pStyle w:val="TAC"/>
              <w:rPr>
                <w:lang w:eastAsia="zh-CN"/>
              </w:rPr>
            </w:pPr>
            <w:r>
              <w:rPr>
                <w:rFonts w:cstheme="minorHAnsi"/>
              </w:rPr>
              <w:t>±</w:t>
            </w:r>
            <w:r>
              <w:rPr>
                <w:rFonts w:cstheme="minorHAnsi"/>
                <w:lang w:eastAsia="zh-CN"/>
              </w:rPr>
              <w:t>10.5</w:t>
            </w:r>
          </w:p>
        </w:tc>
        <w:tc>
          <w:tcPr>
            <w:tcW w:w="827" w:type="dxa"/>
            <w:vMerge/>
            <w:tcBorders>
              <w:left w:val="single" w:sz="6" w:space="0" w:color="auto"/>
              <w:right w:val="single" w:sz="6" w:space="0" w:color="auto"/>
            </w:tcBorders>
            <w:shd w:val="clear" w:color="auto" w:fill="auto"/>
            <w:vAlign w:val="center"/>
          </w:tcPr>
          <w:p w14:paraId="0BEC38B0" w14:textId="77777777" w:rsidR="0072518D" w:rsidRPr="000501F5" w:rsidRDefault="0072518D" w:rsidP="0072518D">
            <w:pPr>
              <w:pStyle w:val="TAC"/>
            </w:pP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00477AB4" w14:textId="77777777" w:rsidR="0072518D" w:rsidRPr="000501F5" w:rsidRDefault="0072518D" w:rsidP="0072518D">
            <w:pPr>
              <w:pStyle w:val="TAC"/>
            </w:pPr>
            <w:r w:rsidRPr="000501F5">
              <w:rPr>
                <w:lang w:eastAsia="zh-CN"/>
              </w:rPr>
              <w:t>52&lt; BW≤ 104</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513AF8CC" w14:textId="77777777" w:rsidR="0072518D" w:rsidRPr="000501F5" w:rsidRDefault="0072518D" w:rsidP="0072518D">
            <w:pPr>
              <w:pStyle w:val="TAC"/>
              <w:rPr>
                <w:lang w:eastAsia="zh-CN"/>
              </w:rPr>
            </w:pPr>
            <w:r w:rsidRPr="000501F5">
              <w:rPr>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E6786CC" w14:textId="77777777" w:rsidR="0072518D" w:rsidRPr="000501F5" w:rsidRDefault="0072518D" w:rsidP="0072518D">
            <w:pPr>
              <w:pStyle w:val="TAC"/>
            </w:pPr>
            <w:r w:rsidRPr="000501F5">
              <w:t>Note 4</w:t>
            </w:r>
          </w:p>
        </w:tc>
      </w:tr>
      <w:tr w:rsidR="0072518D" w:rsidRPr="000501F5" w14:paraId="67C2448A" w14:textId="77777777" w:rsidTr="00C17887">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736E2CAE" w14:textId="5A324F99" w:rsidR="0072518D" w:rsidRPr="000501F5" w:rsidRDefault="0072518D" w:rsidP="0072518D">
            <w:pPr>
              <w:pStyle w:val="TAC"/>
              <w:rPr>
                <w:lang w:eastAsia="zh-CN"/>
              </w:rPr>
            </w:pPr>
            <w:r w:rsidRPr="000501F5">
              <w:rPr>
                <w:rFonts w:cstheme="minorHAnsi"/>
              </w:rPr>
              <w:t>±</w:t>
            </w:r>
            <w:r w:rsidRPr="000501F5">
              <w:rPr>
                <w:rFonts w:cstheme="minorHAnsi" w:hint="eastAsia"/>
                <w:lang w:eastAsia="zh-CN"/>
              </w:rPr>
              <w:t>4.5</w:t>
            </w:r>
          </w:p>
        </w:tc>
        <w:tc>
          <w:tcPr>
            <w:tcW w:w="965" w:type="dxa"/>
            <w:tcBorders>
              <w:top w:val="single" w:sz="4" w:space="0" w:color="auto"/>
              <w:left w:val="single" w:sz="4" w:space="0" w:color="auto"/>
              <w:bottom w:val="single" w:sz="4" w:space="0" w:color="auto"/>
              <w:right w:val="single" w:sz="4" w:space="0" w:color="auto"/>
            </w:tcBorders>
            <w:vAlign w:val="center"/>
          </w:tcPr>
          <w:p w14:paraId="64B4FA0F" w14:textId="0DCF75AA" w:rsidR="0072518D" w:rsidRPr="000501F5" w:rsidRDefault="0072518D" w:rsidP="0072518D">
            <w:pPr>
              <w:pStyle w:val="TAC"/>
              <w:rPr>
                <w:lang w:eastAsia="zh-CN"/>
              </w:rPr>
            </w:pPr>
            <w:r>
              <w:rPr>
                <w:rFonts w:cstheme="minorHAnsi"/>
              </w:rPr>
              <w:t>±</w:t>
            </w:r>
            <w:r>
              <w:rPr>
                <w:rFonts w:cstheme="minorHAnsi"/>
                <w:lang w:eastAsia="zh-CN"/>
              </w:rPr>
              <w:t>9</w:t>
            </w:r>
          </w:p>
        </w:tc>
        <w:tc>
          <w:tcPr>
            <w:tcW w:w="827" w:type="dxa"/>
            <w:vMerge/>
            <w:tcBorders>
              <w:left w:val="single" w:sz="6" w:space="0" w:color="auto"/>
              <w:bottom w:val="single" w:sz="6" w:space="0" w:color="auto"/>
              <w:right w:val="single" w:sz="6" w:space="0" w:color="auto"/>
            </w:tcBorders>
            <w:shd w:val="clear" w:color="auto" w:fill="auto"/>
            <w:vAlign w:val="center"/>
          </w:tcPr>
          <w:p w14:paraId="0DE9EC31" w14:textId="77777777" w:rsidR="0072518D" w:rsidRPr="000501F5" w:rsidRDefault="0072518D" w:rsidP="0072518D">
            <w:pPr>
              <w:pStyle w:val="TAC"/>
            </w:pP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6216C600" w14:textId="77777777" w:rsidR="0072518D" w:rsidRPr="000501F5" w:rsidRDefault="0072518D" w:rsidP="0072518D">
            <w:pPr>
              <w:pStyle w:val="TAC"/>
            </w:pPr>
            <w:r w:rsidRPr="000501F5">
              <w:rPr>
                <w:lang w:eastAsia="zh-CN"/>
              </w:rPr>
              <w:t>BW &gt;104</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1EB6E2AA" w14:textId="77777777" w:rsidR="0072518D" w:rsidRPr="000501F5" w:rsidRDefault="0072518D" w:rsidP="0072518D">
            <w:pPr>
              <w:pStyle w:val="TAC"/>
              <w:rPr>
                <w:lang w:eastAsia="zh-CN"/>
              </w:rPr>
            </w:pPr>
            <w:r w:rsidRPr="000501F5">
              <w:rPr>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922667A" w14:textId="77777777" w:rsidR="0072518D" w:rsidRPr="000501F5" w:rsidRDefault="0072518D" w:rsidP="0072518D">
            <w:pPr>
              <w:pStyle w:val="TAC"/>
            </w:pPr>
            <w:r w:rsidRPr="000501F5">
              <w:t>Note 4</w:t>
            </w:r>
          </w:p>
        </w:tc>
      </w:tr>
      <w:tr w:rsidR="00B0469F" w:rsidRPr="000501F5" w14:paraId="162D126A" w14:textId="77777777" w:rsidTr="00B0469F">
        <w:trPr>
          <w:jc w:val="center"/>
        </w:trPr>
        <w:tc>
          <w:tcPr>
            <w:tcW w:w="11052" w:type="dxa"/>
            <w:gridSpan w:val="10"/>
            <w:tcBorders>
              <w:top w:val="single" w:sz="6" w:space="0" w:color="auto"/>
              <w:left w:val="single" w:sz="4" w:space="0" w:color="auto"/>
              <w:bottom w:val="single" w:sz="4" w:space="0" w:color="auto"/>
              <w:right w:val="single" w:sz="4" w:space="0" w:color="auto"/>
            </w:tcBorders>
          </w:tcPr>
          <w:p w14:paraId="22CC4364" w14:textId="77777777" w:rsidR="00B0469F" w:rsidRPr="000501F5" w:rsidRDefault="00B0469F" w:rsidP="00F37389">
            <w:pPr>
              <w:pStyle w:val="TAN"/>
            </w:pPr>
            <w:r w:rsidRPr="000501F5">
              <w:t>N</w:t>
            </w:r>
            <w:r w:rsidRPr="000501F5">
              <w:rPr>
                <w:lang w:eastAsia="zh-CN"/>
              </w:rPr>
              <w:t>OTE</w:t>
            </w:r>
            <w:r w:rsidRPr="000501F5">
              <w:t xml:space="preserve"> 1:</w:t>
            </w:r>
            <w:r w:rsidRPr="000501F5">
              <w:tab/>
              <w:t>This minimum Io condition is expressed as the average Io per RE over all REs in an OFDM symbol.</w:t>
            </w:r>
          </w:p>
          <w:p w14:paraId="11422454" w14:textId="77777777" w:rsidR="00B0469F" w:rsidRPr="000501F5" w:rsidRDefault="00B0469F" w:rsidP="00F37389">
            <w:pPr>
              <w:pStyle w:val="TAN"/>
            </w:pPr>
            <w:r w:rsidRPr="000501F5">
              <w:t>N</w:t>
            </w:r>
            <w:r w:rsidRPr="000501F5">
              <w:rPr>
                <w:lang w:eastAsia="zh-CN"/>
              </w:rPr>
              <w:t>OTE</w:t>
            </w:r>
            <w:r w:rsidRPr="000501F5">
              <w:t xml:space="preserve"> 2:</w:t>
            </w:r>
            <w:r w:rsidRPr="000501F5">
              <w:tab/>
            </w:r>
            <w:r w:rsidRPr="000501F5">
              <w:rPr>
                <w:rFonts w:hint="eastAsia"/>
                <w:lang w:eastAsia="zh-CN"/>
              </w:rPr>
              <w:t>Void</w:t>
            </w:r>
            <w:r w:rsidRPr="000501F5">
              <w:t>.</w:t>
            </w:r>
          </w:p>
          <w:p w14:paraId="31786B8E" w14:textId="77777777" w:rsidR="00B0469F" w:rsidRPr="000501F5" w:rsidRDefault="00B0469F" w:rsidP="00F37389">
            <w:pPr>
              <w:pStyle w:val="TAN"/>
              <w:rPr>
                <w:rFonts w:cs="v4.2.0"/>
              </w:rPr>
            </w:pPr>
            <w:r w:rsidRPr="000501F5">
              <w:rPr>
                <w:rFonts w:cs="v4.2.0"/>
              </w:rPr>
              <w:t>N</w:t>
            </w:r>
            <w:r w:rsidRPr="000501F5">
              <w:rPr>
                <w:lang w:eastAsia="zh-CN"/>
              </w:rPr>
              <w:t>OTE</w:t>
            </w:r>
            <w:r w:rsidRPr="000501F5">
              <w:rPr>
                <w:rFonts w:cs="v4.2.0"/>
              </w:rPr>
              <w:t xml:space="preserve"> 3:</w:t>
            </w:r>
            <w:r w:rsidRPr="000501F5">
              <w:rPr>
                <w:rFonts w:cs="v4.2.0"/>
              </w:rPr>
              <w:tab/>
              <w:t xml:space="preserve">PRS bandwidth is as indicated in </w:t>
            </w:r>
            <w:r w:rsidRPr="000501F5">
              <w:rPr>
                <w:i/>
              </w:rPr>
              <w:t>prs-Bandwidth</w:t>
            </w:r>
            <w:r w:rsidRPr="000501F5">
              <w:t xml:space="preserve"> </w:t>
            </w:r>
            <w:r w:rsidRPr="000501F5">
              <w:rPr>
                <w:rFonts w:cs="v4.2.0"/>
              </w:rPr>
              <w:t xml:space="preserve">in the OTDOA </w:t>
            </w:r>
            <w:r w:rsidRPr="000501F5">
              <w:rPr>
                <w:rFonts w:cs="v4.2.0" w:hint="eastAsia"/>
                <w:lang w:eastAsia="zh-CN"/>
              </w:rPr>
              <w:t>or DL-AoD</w:t>
            </w:r>
            <w:r w:rsidRPr="000501F5">
              <w:rPr>
                <w:rFonts w:cs="v4.2.0"/>
              </w:rPr>
              <w:t xml:space="preserve"> assistance data defined in [</w:t>
            </w:r>
            <w:r w:rsidRPr="000501F5">
              <w:rPr>
                <w:rFonts w:cs="v4.2.0" w:hint="eastAsia"/>
                <w:lang w:eastAsia="zh-CN"/>
              </w:rPr>
              <w:t>3</w:t>
            </w:r>
            <w:r w:rsidRPr="000501F5">
              <w:rPr>
                <w:rFonts w:cs="v4.2.0"/>
              </w:rPr>
              <w:t>4].</w:t>
            </w:r>
          </w:p>
          <w:p w14:paraId="73C2F389" w14:textId="5AB2835E" w:rsidR="00B0469F" w:rsidRPr="000501F5" w:rsidRDefault="00B0469F" w:rsidP="00F37389">
            <w:pPr>
              <w:pStyle w:val="TAN"/>
            </w:pPr>
            <w:r w:rsidRPr="000501F5">
              <w:t>N</w:t>
            </w:r>
            <w:r w:rsidRPr="000501F5">
              <w:rPr>
                <w:lang w:eastAsia="zh-CN"/>
              </w:rPr>
              <w:t>OTE</w:t>
            </w:r>
            <w:r w:rsidRPr="000501F5">
              <w:t xml:space="preserve"> 4:</w:t>
            </w:r>
            <w:r w:rsidRPr="000501F5">
              <w:tab/>
              <w:t xml:space="preserve">The same bands and the same Io conditions for each band apply for this requirement as for the corresponding requirement </w:t>
            </w:r>
            <w:r w:rsidR="00775717">
              <w:t xml:space="preserve">with the PRS bandwidth ≥ </w:t>
            </w:r>
            <w:r w:rsidR="00775717" w:rsidRPr="00F830CA">
              <w:rPr>
                <w:lang w:eastAsia="zh-CN"/>
              </w:rPr>
              <w:t>24</w:t>
            </w:r>
            <w:r w:rsidR="00775717">
              <w:t xml:space="preserve"> RB.</w:t>
            </w:r>
          </w:p>
          <w:p w14:paraId="1905BD84" w14:textId="77777777" w:rsidR="00B0469F" w:rsidRPr="000501F5" w:rsidRDefault="00B0469F" w:rsidP="00F37389">
            <w:pPr>
              <w:pStyle w:val="TAN"/>
            </w:pPr>
            <w:r w:rsidRPr="000501F5">
              <w:t>NOTE 5:</w:t>
            </w:r>
            <w:r w:rsidRPr="000501F5">
              <w:tab/>
              <w:t>The serving cell, the reference cell, and the measured neighbour cell i are on the same carrier frequency.</w:t>
            </w:r>
          </w:p>
          <w:p w14:paraId="0C44366A" w14:textId="77777777" w:rsidR="00B0469F" w:rsidRPr="000501F5" w:rsidRDefault="00B0469F" w:rsidP="00F37389">
            <w:pPr>
              <w:pStyle w:val="TAN"/>
            </w:pPr>
            <w:r w:rsidRPr="000501F5">
              <w:t>NOTE 6:</w:t>
            </w:r>
            <w:r w:rsidRPr="000501F5">
              <w:tab/>
              <w:t>The condition level is increased by ∆&gt;0, when applicable, as described in Sections B.</w:t>
            </w:r>
            <w:r w:rsidRPr="000501F5">
              <w:rPr>
                <w:rFonts w:hint="eastAsia"/>
                <w:lang w:eastAsia="zh-CN"/>
              </w:rPr>
              <w:t>3</w:t>
            </w:r>
            <w:r w:rsidRPr="000501F5">
              <w:t>.</w:t>
            </w:r>
            <w:r w:rsidRPr="000501F5">
              <w:rPr>
                <w:rFonts w:hint="eastAsia"/>
                <w:lang w:eastAsia="zh-CN"/>
              </w:rPr>
              <w:t>2</w:t>
            </w:r>
            <w:r w:rsidRPr="000501F5">
              <w:t xml:space="preserve"> and B.</w:t>
            </w:r>
            <w:r w:rsidRPr="000501F5">
              <w:rPr>
                <w:rFonts w:hint="eastAsia"/>
                <w:lang w:eastAsia="zh-CN"/>
              </w:rPr>
              <w:t>3</w:t>
            </w:r>
            <w:r w:rsidRPr="000501F5">
              <w:t>.</w:t>
            </w:r>
            <w:r w:rsidRPr="000501F5">
              <w:rPr>
                <w:rFonts w:hint="eastAsia"/>
                <w:lang w:eastAsia="zh-CN"/>
              </w:rPr>
              <w:t>3</w:t>
            </w:r>
            <w:r w:rsidRPr="000501F5">
              <w:t>.</w:t>
            </w:r>
          </w:p>
          <w:p w14:paraId="2FE84299" w14:textId="77777777" w:rsidR="00B0469F" w:rsidRPr="000501F5" w:rsidRDefault="00B0469F" w:rsidP="00F37389">
            <w:pPr>
              <w:pStyle w:val="TAN"/>
            </w:pPr>
            <w:r w:rsidRPr="000501F5">
              <w:t>NOTE 7:</w:t>
            </w:r>
            <w:r w:rsidRPr="000501F5">
              <w:tab/>
              <w:t>The Io is defined in PRS positioning subframes. The same Io range applies to PRS and non-PRS symbols. Io levels are different in PRS and non-PRS symbols within the same subframe.</w:t>
            </w:r>
          </w:p>
          <w:p w14:paraId="7C4FA2FF" w14:textId="77777777" w:rsidR="00B0469F" w:rsidRPr="000501F5" w:rsidRDefault="00B0469F" w:rsidP="00F37389">
            <w:pPr>
              <w:pStyle w:val="TAN"/>
            </w:pPr>
            <w:r w:rsidRPr="000501F5">
              <w:t>NOTE 8:</w:t>
            </w:r>
            <w:r w:rsidRPr="000501F5">
              <w:tab/>
            </w:r>
            <w:r w:rsidRPr="000501F5">
              <w:rPr>
                <w:rFonts w:hint="eastAsia"/>
                <w:lang w:eastAsia="zh-CN"/>
              </w:rPr>
              <w:t>NR</w:t>
            </w:r>
            <w:r w:rsidRPr="000501F5">
              <w:t xml:space="preserve"> operating band groups are as defined in Section 3.5</w:t>
            </w:r>
            <w:r w:rsidRPr="000501F5">
              <w:rPr>
                <w:rFonts w:hint="eastAsia"/>
                <w:lang w:eastAsia="zh-CN"/>
              </w:rPr>
              <w:t>.2</w:t>
            </w:r>
            <w:r w:rsidRPr="000501F5">
              <w:t>.</w:t>
            </w:r>
          </w:p>
        </w:tc>
      </w:tr>
    </w:tbl>
    <w:p w14:paraId="5A28370F" w14:textId="77777777" w:rsidR="00B0469F" w:rsidRPr="00BA1EC8" w:rsidRDefault="00B0469F" w:rsidP="00B0469F">
      <w:pPr>
        <w:rPr>
          <w:rFonts w:eastAsiaTheme="minorEastAsia"/>
          <w:lang w:eastAsia="zh-CN"/>
        </w:rPr>
      </w:pPr>
    </w:p>
    <w:p w14:paraId="53D53063" w14:textId="77777777" w:rsidR="00B0469F" w:rsidRPr="00BA1EC8" w:rsidRDefault="00B0469F" w:rsidP="00F37389">
      <w:pPr>
        <w:pStyle w:val="TH"/>
        <w:rPr>
          <w:lang w:eastAsia="zh-CN"/>
        </w:rPr>
      </w:pPr>
      <w:r w:rsidRPr="00BA1EC8">
        <w:t xml:space="preserve">Table </w:t>
      </w:r>
      <w:r w:rsidRPr="00BA1EC8">
        <w:rPr>
          <w:rFonts w:cs="v4.2.0"/>
        </w:rPr>
        <w:t>10.1.24.2</w:t>
      </w:r>
      <w:r w:rsidRPr="00BA1EC8">
        <w:rPr>
          <w:rFonts w:cs="v4.2.0" w:hint="eastAsia"/>
          <w:lang w:eastAsia="zh-CN"/>
        </w:rPr>
        <w:t>.1</w:t>
      </w:r>
      <w:r w:rsidRPr="00BA1EC8">
        <w:rPr>
          <w:rFonts w:cs="v4.2.0"/>
        </w:rPr>
        <w:t>-</w:t>
      </w:r>
      <w:r w:rsidRPr="00BA1EC8">
        <w:rPr>
          <w:rFonts w:cs="v4.2.0" w:hint="eastAsia"/>
          <w:lang w:eastAsia="zh-CN"/>
        </w:rPr>
        <w:t>2</w:t>
      </w:r>
      <w:r w:rsidRPr="00BA1EC8">
        <w:t>: PRS</w:t>
      </w:r>
      <w:r w:rsidRPr="00BA1EC8">
        <w:rPr>
          <w:rFonts w:hint="eastAsia"/>
          <w:lang w:eastAsia="zh-CN"/>
        </w:rPr>
        <w:t>-</w:t>
      </w:r>
      <w:r w:rsidRPr="00BA1EC8">
        <w:t>RSRP</w:t>
      </w:r>
      <w:r w:rsidRPr="00BA1EC8">
        <w:rPr>
          <w:rFonts w:hint="eastAsia"/>
          <w:lang w:eastAsia="zh-CN"/>
        </w:rPr>
        <w:t xml:space="preserve"> absolute </w:t>
      </w:r>
      <w:r w:rsidRPr="00BA1EC8">
        <w:t>accuracy</w:t>
      </w:r>
      <w:r w:rsidRPr="00BA1EC8">
        <w:rPr>
          <w:rFonts w:hint="eastAsia"/>
          <w:lang w:eastAsia="zh-CN"/>
        </w:rPr>
        <w:t xml:space="preserve"> for FR2</w:t>
      </w:r>
    </w:p>
    <w:tbl>
      <w:tblPr>
        <w:tblW w:w="9855" w:type="dxa"/>
        <w:jc w:val="center"/>
        <w:tblLayout w:type="fixed"/>
        <w:tblLook w:val="01E0" w:firstRow="1" w:lastRow="1" w:firstColumn="1" w:lastColumn="1" w:noHBand="0" w:noVBand="0"/>
      </w:tblPr>
      <w:tblGrid>
        <w:gridCol w:w="1046"/>
        <w:gridCol w:w="1049"/>
        <w:gridCol w:w="907"/>
        <w:gridCol w:w="1568"/>
        <w:gridCol w:w="1487"/>
        <w:gridCol w:w="1260"/>
        <w:gridCol w:w="1260"/>
        <w:gridCol w:w="1278"/>
      </w:tblGrid>
      <w:tr w:rsidR="00B0469F" w:rsidRPr="001C6009" w14:paraId="76F7ED14" w14:textId="77777777" w:rsidTr="0072518D">
        <w:trPr>
          <w:jc w:val="center"/>
        </w:trPr>
        <w:tc>
          <w:tcPr>
            <w:tcW w:w="2095" w:type="dxa"/>
            <w:gridSpan w:val="2"/>
            <w:tcBorders>
              <w:top w:val="single" w:sz="4" w:space="0" w:color="auto"/>
              <w:left w:val="single" w:sz="4" w:space="0" w:color="auto"/>
              <w:right w:val="single" w:sz="6" w:space="0" w:color="auto"/>
            </w:tcBorders>
            <w:shd w:val="clear" w:color="auto" w:fill="auto"/>
            <w:vAlign w:val="center"/>
          </w:tcPr>
          <w:p w14:paraId="34AE1C0F" w14:textId="77777777" w:rsidR="00B0469F" w:rsidRPr="001C6009" w:rsidRDefault="00B0469F" w:rsidP="00F37389">
            <w:pPr>
              <w:pStyle w:val="TAH"/>
            </w:pPr>
            <w:r w:rsidRPr="001C6009">
              <w:t>Accuracy</w:t>
            </w:r>
          </w:p>
        </w:tc>
        <w:tc>
          <w:tcPr>
            <w:tcW w:w="7760" w:type="dxa"/>
            <w:gridSpan w:val="6"/>
            <w:tcBorders>
              <w:top w:val="single" w:sz="4" w:space="0" w:color="auto"/>
              <w:left w:val="single" w:sz="6" w:space="0" w:color="auto"/>
              <w:bottom w:val="single" w:sz="6" w:space="0" w:color="auto"/>
              <w:right w:val="single" w:sz="4" w:space="0" w:color="auto"/>
            </w:tcBorders>
            <w:vAlign w:val="center"/>
          </w:tcPr>
          <w:p w14:paraId="167739FA" w14:textId="77777777" w:rsidR="00B0469F" w:rsidRPr="001C6009" w:rsidRDefault="00B0469F" w:rsidP="00F37389">
            <w:pPr>
              <w:pStyle w:val="TAH"/>
            </w:pPr>
            <w:r w:rsidRPr="001C6009">
              <w:t>Conditions</w:t>
            </w:r>
          </w:p>
        </w:tc>
      </w:tr>
      <w:tr w:rsidR="00B0469F" w:rsidRPr="001C6009" w14:paraId="32B0FE55" w14:textId="77777777" w:rsidTr="0072518D">
        <w:trPr>
          <w:jc w:val="center"/>
        </w:trPr>
        <w:tc>
          <w:tcPr>
            <w:tcW w:w="1046" w:type="dxa"/>
            <w:vMerge w:val="restart"/>
            <w:tcBorders>
              <w:left w:val="single" w:sz="4" w:space="0" w:color="auto"/>
              <w:right w:val="single" w:sz="6" w:space="0" w:color="auto"/>
            </w:tcBorders>
            <w:shd w:val="clear" w:color="auto" w:fill="auto"/>
            <w:vAlign w:val="center"/>
          </w:tcPr>
          <w:p w14:paraId="204F207D" w14:textId="77777777" w:rsidR="00B0469F" w:rsidRPr="001C6009" w:rsidRDefault="00B0469F" w:rsidP="00F37389">
            <w:pPr>
              <w:pStyle w:val="TAH"/>
              <w:rPr>
                <w:lang w:eastAsia="zh-CN"/>
              </w:rPr>
            </w:pPr>
            <w:r w:rsidRPr="001C6009">
              <w:rPr>
                <w:lang w:eastAsia="zh-CN"/>
              </w:rPr>
              <w:t>N</w:t>
            </w:r>
            <w:r w:rsidRPr="001C6009">
              <w:rPr>
                <w:rFonts w:hint="eastAsia"/>
                <w:lang w:eastAsia="zh-CN"/>
              </w:rPr>
              <w:t>ormal condition</w:t>
            </w:r>
          </w:p>
        </w:tc>
        <w:tc>
          <w:tcPr>
            <w:tcW w:w="1049" w:type="dxa"/>
            <w:vMerge w:val="restart"/>
            <w:tcBorders>
              <w:left w:val="single" w:sz="4" w:space="0" w:color="auto"/>
              <w:right w:val="single" w:sz="6" w:space="0" w:color="auto"/>
            </w:tcBorders>
            <w:shd w:val="clear" w:color="auto" w:fill="auto"/>
            <w:vAlign w:val="center"/>
          </w:tcPr>
          <w:p w14:paraId="169E1795" w14:textId="77777777" w:rsidR="00B0469F" w:rsidRPr="001C6009" w:rsidRDefault="00B0469F" w:rsidP="00F37389">
            <w:pPr>
              <w:pStyle w:val="TAH"/>
              <w:rPr>
                <w:lang w:eastAsia="zh-CN"/>
              </w:rPr>
            </w:pPr>
            <w:r w:rsidRPr="001C6009">
              <w:rPr>
                <w:lang w:eastAsia="zh-CN"/>
              </w:rPr>
              <w:t>E</w:t>
            </w:r>
            <w:r w:rsidRPr="001C6009">
              <w:rPr>
                <w:rFonts w:hint="eastAsia"/>
                <w:lang w:eastAsia="zh-CN"/>
              </w:rPr>
              <w:t>xtreme condition</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49FB5D22" w14:textId="77777777" w:rsidR="00B0469F" w:rsidRPr="001C6009" w:rsidRDefault="00B0469F" w:rsidP="00F37389">
            <w:pPr>
              <w:pStyle w:val="TAH"/>
            </w:pPr>
            <w:r w:rsidRPr="001C6009">
              <w:t>PRS Ês/Iot</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4B30CF6C" w14:textId="77777777" w:rsidR="00B0469F" w:rsidRPr="001C6009" w:rsidRDefault="00B0469F" w:rsidP="00F37389">
            <w:pPr>
              <w:pStyle w:val="TAH"/>
              <w:rPr>
                <w:lang w:eastAsia="zh-CN"/>
              </w:rPr>
            </w:pPr>
            <w:r w:rsidRPr="001C6009">
              <w:rPr>
                <w:rFonts w:hint="eastAsia"/>
                <w:lang w:eastAsia="zh-CN"/>
              </w:rPr>
              <w:t>PRS BW</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2A92358E" w14:textId="77777777" w:rsidR="00B0469F" w:rsidRPr="001C6009" w:rsidRDefault="00B0469F" w:rsidP="00F37389">
            <w:pPr>
              <w:pStyle w:val="TAH"/>
              <w:rPr>
                <w:lang w:val="en-US" w:eastAsia="zh-CN"/>
              </w:rPr>
            </w:pPr>
            <w:r w:rsidRPr="001C6009">
              <w:rPr>
                <w:bCs/>
                <w:lang w:eastAsia="zh-CN"/>
              </w:rPr>
              <w:t xml:space="preserve">Repetition </w:t>
            </w:r>
            <w:r w:rsidRPr="001C6009">
              <w:rPr>
                <w:rFonts w:hint="eastAsia"/>
                <w:bCs/>
                <w:lang w:eastAsia="zh-CN"/>
              </w:rPr>
              <w:t>factor</w:t>
            </w:r>
            <w:r w:rsidRPr="001C6009">
              <w:rPr>
                <w:bCs/>
                <w:lang w:eastAsia="zh-CN"/>
              </w:rPr>
              <w:t xml:space="preserve"> </w:t>
            </w:r>
          </w:p>
          <w:p w14:paraId="461D61D3" w14:textId="77777777" w:rsidR="00B0469F" w:rsidRPr="001C6009" w:rsidRDefault="00B0469F" w:rsidP="00F37389">
            <w:pPr>
              <w:pStyle w:val="TAH"/>
              <w:rPr>
                <w:lang w:eastAsia="zh-CN"/>
              </w:rPr>
            </w:pPr>
            <w:r w:rsidRPr="001C6009">
              <w:rPr>
                <w:bCs/>
                <w:lang w:eastAsia="zh-CN"/>
              </w:rPr>
              <w:t>(</w:t>
            </w:r>
            <m:oMath>
              <m:sSubSup>
                <m:sSubSupPr>
                  <m:ctrlPr>
                    <w:rPr>
                      <w:rFonts w:ascii="Cambria Math" w:hAnsi="Cambria Math"/>
                      <w:bCs/>
                      <w:i/>
                      <w:iCs/>
                      <w:lang w:val="en-US" w:eastAsia="zh-CN"/>
                    </w:rPr>
                  </m:ctrlPr>
                </m:sSubSupPr>
                <m:e>
                  <m:r>
                    <m:rPr>
                      <m:sty m:val="b"/>
                    </m:rPr>
                    <w:rPr>
                      <w:rFonts w:ascii="Cambria Math" w:hAnsi="Cambria Math"/>
                      <w:lang w:eastAsia="zh-CN"/>
                    </w:rPr>
                    <m:t>T</m:t>
                  </m:r>
                </m:e>
                <m:sub>
                  <m:r>
                    <m:rPr>
                      <m:nor/>
                    </m:rPr>
                    <w:rPr>
                      <w:bCs/>
                      <w:lang w:eastAsia="zh-CN"/>
                    </w:rPr>
                    <m:t>rep</m:t>
                  </m:r>
                </m:sub>
                <m:sup>
                  <m:r>
                    <m:rPr>
                      <m:nor/>
                    </m:rPr>
                    <w:rPr>
                      <w:bCs/>
                      <w:lang w:eastAsia="zh-CN"/>
                    </w:rPr>
                    <m:t>PRS</m:t>
                  </m:r>
                </m:sup>
              </m:sSubSup>
              <m:r>
                <m:rPr>
                  <m:sty m:val="b"/>
                </m:rPr>
                <w:rPr>
                  <w:rFonts w:ascii="Cambria Math" w:hAnsi="Cambria Math"/>
                  <w:lang w:eastAsia="zh-CN"/>
                </w:rPr>
                <m:t>*</m:t>
              </m:r>
              <m:sSub>
                <m:sSubPr>
                  <m:ctrlPr>
                    <w:rPr>
                      <w:rFonts w:ascii="Cambria Math" w:hAnsi="Cambria Math"/>
                      <w:bCs/>
                      <w:i/>
                      <w:iCs/>
                      <w:lang w:val="en-US" w:eastAsia="zh-CN"/>
                    </w:rPr>
                  </m:ctrlPr>
                </m:sSubPr>
                <m:e>
                  <m:r>
                    <m:rPr>
                      <m:sty m:val="b"/>
                    </m:rPr>
                    <w:rPr>
                      <w:rFonts w:ascii="Cambria Math" w:hAnsi="Cambria Math"/>
                      <w:lang w:eastAsia="zh-CN"/>
                    </w:rPr>
                    <m:t>L</m:t>
                  </m:r>
                </m:e>
                <m:sub>
                  <m:r>
                    <m:rPr>
                      <m:nor/>
                    </m:rPr>
                    <w:rPr>
                      <w:bCs/>
                      <w:lang w:eastAsia="zh-CN"/>
                    </w:rPr>
                    <m:t>PRS</m:t>
                  </m:r>
                </m:sub>
              </m:sSub>
              <m:r>
                <m:rPr>
                  <m:sty m:val="b"/>
                </m:rPr>
                <w:rPr>
                  <w:rFonts w:ascii="Cambria Math" w:hAnsi="Cambria Math"/>
                  <w:lang w:eastAsia="zh-CN"/>
                </w:rPr>
                <m:t>/</m:t>
              </m:r>
              <m:sSubSup>
                <m:sSubSupPr>
                  <m:ctrlPr>
                    <w:rPr>
                      <w:rFonts w:ascii="Cambria Math" w:hAnsi="Cambria Math"/>
                      <w:bCs/>
                      <w:i/>
                      <w:iCs/>
                      <w:lang w:val="en-US" w:eastAsia="zh-CN"/>
                    </w:rPr>
                  </m:ctrlPr>
                </m:sSubSupPr>
                <m:e>
                  <m:r>
                    <m:rPr>
                      <m:sty m:val="b"/>
                    </m:rPr>
                    <w:rPr>
                      <w:rFonts w:ascii="Cambria Math" w:hAnsi="Cambria Math"/>
                      <w:lang w:eastAsia="zh-CN"/>
                    </w:rPr>
                    <m:t>K</m:t>
                  </m:r>
                </m:e>
                <m:sub>
                  <m:r>
                    <m:rPr>
                      <m:nor/>
                    </m:rPr>
                    <w:rPr>
                      <w:bCs/>
                      <w:lang w:eastAsia="zh-CN"/>
                    </w:rPr>
                    <m:t>comb</m:t>
                  </m:r>
                </m:sub>
                <m:sup>
                  <m:r>
                    <m:rPr>
                      <m:nor/>
                    </m:rPr>
                    <w:rPr>
                      <w:bCs/>
                      <w:lang w:eastAsia="zh-CN"/>
                    </w:rPr>
                    <m:t>PRS</m:t>
                  </m:r>
                </m:sup>
              </m:sSubSup>
              <m:r>
                <m:rPr>
                  <m:sty m:val="b"/>
                </m:rPr>
                <w:rPr>
                  <w:rFonts w:ascii="Cambria Math" w:hAnsi="Cambria Math"/>
                  <w:lang w:eastAsia="zh-CN"/>
                </w:rPr>
                <m:t>)</m:t>
              </m:r>
            </m:oMath>
          </w:p>
        </w:tc>
        <w:tc>
          <w:tcPr>
            <w:tcW w:w="3798" w:type="dxa"/>
            <w:gridSpan w:val="3"/>
            <w:tcBorders>
              <w:top w:val="single" w:sz="6" w:space="0" w:color="auto"/>
              <w:left w:val="single" w:sz="6" w:space="0" w:color="auto"/>
              <w:bottom w:val="single" w:sz="6" w:space="0" w:color="auto"/>
              <w:right w:val="single" w:sz="4" w:space="0" w:color="auto"/>
            </w:tcBorders>
            <w:vAlign w:val="center"/>
          </w:tcPr>
          <w:p w14:paraId="703EC24D" w14:textId="77777777" w:rsidR="00B0469F" w:rsidRPr="001C6009" w:rsidRDefault="00B0469F" w:rsidP="00F37389">
            <w:pPr>
              <w:pStyle w:val="TAH"/>
            </w:pPr>
            <w:r w:rsidRPr="001C6009">
              <w:t>Io</w:t>
            </w:r>
            <w:r w:rsidRPr="001C6009">
              <w:rPr>
                <w:vertAlign w:val="superscript"/>
                <w:lang w:eastAsia="zh-CN"/>
              </w:rPr>
              <w:t xml:space="preserve"> Note 7</w:t>
            </w:r>
            <w:r w:rsidRPr="001C6009">
              <w:t xml:space="preserve"> range</w:t>
            </w:r>
          </w:p>
        </w:tc>
      </w:tr>
      <w:tr w:rsidR="00B0469F" w:rsidRPr="001C6009" w14:paraId="091BAF5E" w14:textId="77777777" w:rsidTr="0072518D">
        <w:trPr>
          <w:trHeight w:val="742"/>
          <w:jc w:val="center"/>
        </w:trPr>
        <w:tc>
          <w:tcPr>
            <w:tcW w:w="1046" w:type="dxa"/>
            <w:vMerge/>
            <w:tcBorders>
              <w:left w:val="single" w:sz="4" w:space="0" w:color="auto"/>
              <w:right w:val="single" w:sz="6" w:space="0" w:color="auto"/>
            </w:tcBorders>
            <w:shd w:val="clear" w:color="auto" w:fill="auto"/>
            <w:vAlign w:val="center"/>
          </w:tcPr>
          <w:p w14:paraId="4B19CE2E" w14:textId="77777777" w:rsidR="00B0469F" w:rsidRPr="001C6009" w:rsidRDefault="00B0469F" w:rsidP="00F37389">
            <w:pPr>
              <w:pStyle w:val="TAH"/>
            </w:pPr>
          </w:p>
        </w:tc>
        <w:tc>
          <w:tcPr>
            <w:tcW w:w="1049" w:type="dxa"/>
            <w:vMerge/>
            <w:tcBorders>
              <w:left w:val="single" w:sz="4" w:space="0" w:color="auto"/>
              <w:right w:val="single" w:sz="6" w:space="0" w:color="auto"/>
            </w:tcBorders>
            <w:shd w:val="clear" w:color="auto" w:fill="auto"/>
            <w:vAlign w:val="center"/>
          </w:tcPr>
          <w:p w14:paraId="3807A99B" w14:textId="77777777" w:rsidR="00B0469F" w:rsidRPr="001C6009" w:rsidRDefault="00B0469F" w:rsidP="00F37389">
            <w:pPr>
              <w:pStyle w:val="TAH"/>
            </w:pPr>
          </w:p>
        </w:tc>
        <w:tc>
          <w:tcPr>
            <w:tcW w:w="907" w:type="dxa"/>
            <w:vMerge/>
            <w:tcBorders>
              <w:left w:val="single" w:sz="6" w:space="0" w:color="auto"/>
              <w:right w:val="single" w:sz="6" w:space="0" w:color="auto"/>
            </w:tcBorders>
            <w:shd w:val="clear" w:color="auto" w:fill="auto"/>
            <w:vAlign w:val="center"/>
          </w:tcPr>
          <w:p w14:paraId="1902728E" w14:textId="77777777" w:rsidR="00B0469F" w:rsidRPr="001C6009" w:rsidRDefault="00B0469F" w:rsidP="00F37389">
            <w:pPr>
              <w:pStyle w:val="TAH"/>
            </w:pPr>
          </w:p>
        </w:tc>
        <w:tc>
          <w:tcPr>
            <w:tcW w:w="1568" w:type="dxa"/>
            <w:vMerge/>
            <w:tcBorders>
              <w:left w:val="single" w:sz="6" w:space="0" w:color="auto"/>
              <w:right w:val="single" w:sz="6" w:space="0" w:color="auto"/>
            </w:tcBorders>
            <w:shd w:val="clear" w:color="auto" w:fill="auto"/>
            <w:vAlign w:val="center"/>
          </w:tcPr>
          <w:p w14:paraId="0DF183DC" w14:textId="77777777" w:rsidR="00B0469F" w:rsidRPr="001C6009" w:rsidRDefault="00B0469F" w:rsidP="00F37389">
            <w:pPr>
              <w:pStyle w:val="TAH"/>
            </w:pPr>
          </w:p>
        </w:tc>
        <w:tc>
          <w:tcPr>
            <w:tcW w:w="1487" w:type="dxa"/>
            <w:vMerge/>
            <w:tcBorders>
              <w:left w:val="single" w:sz="6" w:space="0" w:color="auto"/>
              <w:right w:val="single" w:sz="6" w:space="0" w:color="auto"/>
            </w:tcBorders>
            <w:shd w:val="clear" w:color="auto" w:fill="auto"/>
            <w:vAlign w:val="center"/>
          </w:tcPr>
          <w:p w14:paraId="055C5356" w14:textId="77777777" w:rsidR="00B0469F" w:rsidRPr="001C6009" w:rsidRDefault="00B0469F" w:rsidP="00F37389">
            <w:pPr>
              <w:pStyle w:val="TAH"/>
            </w:pPr>
          </w:p>
        </w:tc>
        <w:tc>
          <w:tcPr>
            <w:tcW w:w="2520" w:type="dxa"/>
            <w:gridSpan w:val="2"/>
            <w:tcBorders>
              <w:top w:val="single" w:sz="6" w:space="0" w:color="auto"/>
              <w:left w:val="single" w:sz="6" w:space="0" w:color="auto"/>
              <w:right w:val="single" w:sz="6" w:space="0" w:color="auto"/>
            </w:tcBorders>
            <w:shd w:val="clear" w:color="auto" w:fill="auto"/>
            <w:vAlign w:val="center"/>
          </w:tcPr>
          <w:p w14:paraId="41F5B780" w14:textId="77777777" w:rsidR="00B0469F" w:rsidRPr="001C6009" w:rsidRDefault="00B0469F" w:rsidP="00F37389">
            <w:pPr>
              <w:pStyle w:val="TAH"/>
            </w:pPr>
            <w:r w:rsidRPr="001C6009">
              <w:t>Minimum</w:t>
            </w:r>
            <w:r w:rsidRPr="001C6009">
              <w:br/>
              <w:t xml:space="preserve">Io </w:t>
            </w:r>
            <w:r w:rsidRPr="001C6009">
              <w:rPr>
                <w:vertAlign w:val="superscript"/>
              </w:rPr>
              <w:t>Note 1</w:t>
            </w:r>
          </w:p>
          <w:p w14:paraId="0A8D7841" w14:textId="77777777" w:rsidR="00B0469F" w:rsidRPr="001C6009" w:rsidRDefault="00B0469F" w:rsidP="00F37389">
            <w:pPr>
              <w:pStyle w:val="TAH"/>
            </w:pPr>
            <w:r w:rsidRPr="001C6009">
              <w:t>dBm / SCS</w:t>
            </w:r>
            <w:r w:rsidRPr="001C6009">
              <w:rPr>
                <w:vertAlign w:val="subscript"/>
              </w:rPr>
              <w:t>PRS</w:t>
            </w:r>
          </w:p>
        </w:tc>
        <w:tc>
          <w:tcPr>
            <w:tcW w:w="1278" w:type="dxa"/>
            <w:tcBorders>
              <w:top w:val="single" w:sz="6" w:space="0" w:color="auto"/>
              <w:left w:val="single" w:sz="6" w:space="0" w:color="auto"/>
              <w:right w:val="single" w:sz="4" w:space="0" w:color="auto"/>
            </w:tcBorders>
            <w:shd w:val="clear" w:color="auto" w:fill="auto"/>
            <w:vAlign w:val="center"/>
          </w:tcPr>
          <w:p w14:paraId="704B056A" w14:textId="77777777" w:rsidR="00B0469F" w:rsidRPr="001C6009" w:rsidRDefault="00B0469F" w:rsidP="00F37389">
            <w:pPr>
              <w:pStyle w:val="TAH"/>
            </w:pPr>
            <w:r w:rsidRPr="001C6009">
              <w:t>Maximum</w:t>
            </w:r>
            <w:r w:rsidRPr="001C6009">
              <w:br/>
              <w:t>Io</w:t>
            </w:r>
          </w:p>
        </w:tc>
      </w:tr>
      <w:tr w:rsidR="00B0469F" w:rsidRPr="001C6009" w14:paraId="58FA96F0" w14:textId="77777777" w:rsidTr="0072518D">
        <w:trPr>
          <w:trHeight w:val="236"/>
          <w:jc w:val="center"/>
        </w:trPr>
        <w:tc>
          <w:tcPr>
            <w:tcW w:w="1046" w:type="dxa"/>
            <w:vMerge w:val="restart"/>
            <w:tcBorders>
              <w:top w:val="single" w:sz="6" w:space="0" w:color="auto"/>
              <w:left w:val="single" w:sz="4" w:space="0" w:color="auto"/>
              <w:right w:val="single" w:sz="6" w:space="0" w:color="auto"/>
            </w:tcBorders>
            <w:shd w:val="clear" w:color="auto" w:fill="auto"/>
            <w:vAlign w:val="center"/>
          </w:tcPr>
          <w:p w14:paraId="0623665E" w14:textId="77777777" w:rsidR="00B0469F" w:rsidRPr="001C6009" w:rsidRDefault="00B0469F" w:rsidP="00F37389">
            <w:pPr>
              <w:pStyle w:val="TAH"/>
            </w:pPr>
            <w:r w:rsidRPr="001C6009">
              <w:rPr>
                <w:lang w:eastAsia="zh-CN"/>
              </w:rPr>
              <w:t>dB</w:t>
            </w:r>
          </w:p>
        </w:tc>
        <w:tc>
          <w:tcPr>
            <w:tcW w:w="1049" w:type="dxa"/>
            <w:vMerge w:val="restart"/>
            <w:tcBorders>
              <w:top w:val="single" w:sz="6" w:space="0" w:color="auto"/>
              <w:left w:val="single" w:sz="4" w:space="0" w:color="auto"/>
              <w:right w:val="single" w:sz="6" w:space="0" w:color="auto"/>
            </w:tcBorders>
            <w:shd w:val="clear" w:color="auto" w:fill="auto"/>
            <w:vAlign w:val="center"/>
          </w:tcPr>
          <w:p w14:paraId="171AE6FD" w14:textId="77777777" w:rsidR="00B0469F" w:rsidRPr="001C6009" w:rsidRDefault="00B0469F" w:rsidP="00F37389">
            <w:pPr>
              <w:pStyle w:val="TAH"/>
            </w:pPr>
            <w:r w:rsidRPr="001C6009">
              <w:rPr>
                <w:rFonts w:hint="eastAsia"/>
                <w:lang w:eastAsia="zh-CN"/>
              </w:rPr>
              <w:t>dB</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7E1C2C48" w14:textId="77777777" w:rsidR="00B0469F" w:rsidRPr="001C6009" w:rsidRDefault="00B0469F" w:rsidP="00F37389">
            <w:pPr>
              <w:pStyle w:val="TAH"/>
            </w:pPr>
            <w:r w:rsidRPr="001C6009">
              <w:t>dB</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19DBC516" w14:textId="77777777" w:rsidR="00B0469F" w:rsidRPr="001C6009" w:rsidRDefault="00B0469F" w:rsidP="00F37389">
            <w:pPr>
              <w:pStyle w:val="TAH"/>
            </w:pPr>
            <w:r w:rsidRPr="001C6009">
              <w:rPr>
                <w:rFonts w:hint="eastAsia"/>
                <w:lang w:eastAsia="zh-CN"/>
              </w:rPr>
              <w:t>P</w:t>
            </w:r>
            <w:r w:rsidRPr="001C6009">
              <w:t>RB</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1F24AB72" w14:textId="77777777" w:rsidR="00B0469F" w:rsidRPr="001C6009" w:rsidRDefault="00B0469F" w:rsidP="00F37389">
            <w:pPr>
              <w:pStyle w:val="TAH"/>
              <w:rPr>
                <w:lang w:eastAsia="zh-CN"/>
              </w:rPr>
            </w:pPr>
            <w:r w:rsidRPr="001C6009">
              <w:rPr>
                <w:rFonts w:hint="eastAsia"/>
                <w:lang w:eastAsia="zh-CN"/>
              </w:rPr>
              <w:t>-</w:t>
            </w:r>
          </w:p>
        </w:tc>
        <w:tc>
          <w:tcPr>
            <w:tcW w:w="2520" w:type="dxa"/>
            <w:gridSpan w:val="2"/>
            <w:tcBorders>
              <w:top w:val="single" w:sz="6" w:space="0" w:color="auto"/>
              <w:left w:val="single" w:sz="6" w:space="0" w:color="auto"/>
              <w:right w:val="single" w:sz="6" w:space="0" w:color="auto"/>
            </w:tcBorders>
            <w:shd w:val="clear" w:color="auto" w:fill="auto"/>
            <w:vAlign w:val="center"/>
          </w:tcPr>
          <w:p w14:paraId="5CD1EEB5" w14:textId="77777777" w:rsidR="00B0469F" w:rsidRPr="001C6009" w:rsidRDefault="00B0469F" w:rsidP="00F37389">
            <w:pPr>
              <w:pStyle w:val="TAH"/>
              <w:rPr>
                <w:lang w:eastAsia="zh-CN"/>
              </w:rPr>
            </w:pPr>
            <w:r w:rsidRPr="001C6009">
              <w:t>dBm / SCS</w:t>
            </w:r>
            <w:r w:rsidRPr="001C6009">
              <w:rPr>
                <w:vertAlign w:val="subscript"/>
              </w:rPr>
              <w:t>PRS</w:t>
            </w:r>
          </w:p>
        </w:tc>
        <w:tc>
          <w:tcPr>
            <w:tcW w:w="1278" w:type="dxa"/>
            <w:vMerge w:val="restart"/>
            <w:tcBorders>
              <w:top w:val="single" w:sz="6" w:space="0" w:color="auto"/>
              <w:left w:val="single" w:sz="6" w:space="0" w:color="auto"/>
              <w:right w:val="single" w:sz="4" w:space="0" w:color="auto"/>
            </w:tcBorders>
            <w:shd w:val="clear" w:color="auto" w:fill="auto"/>
            <w:vAlign w:val="center"/>
          </w:tcPr>
          <w:p w14:paraId="7CBF7BBA" w14:textId="77777777" w:rsidR="00B0469F" w:rsidRPr="001C6009" w:rsidRDefault="00B0469F" w:rsidP="00F37389">
            <w:pPr>
              <w:pStyle w:val="TAH"/>
            </w:pPr>
            <w:r w:rsidRPr="001C6009">
              <w:t>dBm/BW</w:t>
            </w:r>
            <w:r w:rsidRPr="001C6009">
              <w:rPr>
                <w:vertAlign w:val="subscript"/>
              </w:rPr>
              <w:t>Channel</w:t>
            </w:r>
          </w:p>
        </w:tc>
      </w:tr>
      <w:tr w:rsidR="00B0469F" w:rsidRPr="001C6009" w14:paraId="76D3AB2C" w14:textId="77777777" w:rsidTr="0072518D">
        <w:trPr>
          <w:trHeight w:val="236"/>
          <w:jc w:val="center"/>
        </w:trPr>
        <w:tc>
          <w:tcPr>
            <w:tcW w:w="1046" w:type="dxa"/>
            <w:vMerge/>
            <w:tcBorders>
              <w:left w:val="single" w:sz="4" w:space="0" w:color="auto"/>
              <w:bottom w:val="single" w:sz="6" w:space="0" w:color="auto"/>
              <w:right w:val="single" w:sz="6" w:space="0" w:color="auto"/>
            </w:tcBorders>
            <w:shd w:val="clear" w:color="auto" w:fill="auto"/>
            <w:vAlign w:val="center"/>
          </w:tcPr>
          <w:p w14:paraId="207D6582" w14:textId="77777777" w:rsidR="00B0469F" w:rsidRPr="001C6009" w:rsidRDefault="00B0469F" w:rsidP="00F37389">
            <w:pPr>
              <w:pStyle w:val="TAH"/>
            </w:pPr>
          </w:p>
        </w:tc>
        <w:tc>
          <w:tcPr>
            <w:tcW w:w="1049" w:type="dxa"/>
            <w:vMerge/>
            <w:tcBorders>
              <w:left w:val="single" w:sz="4" w:space="0" w:color="auto"/>
              <w:right w:val="single" w:sz="6" w:space="0" w:color="auto"/>
            </w:tcBorders>
            <w:shd w:val="clear" w:color="auto" w:fill="auto"/>
            <w:vAlign w:val="center"/>
          </w:tcPr>
          <w:p w14:paraId="05ABEA6C" w14:textId="77777777" w:rsidR="00B0469F" w:rsidRPr="001C6009" w:rsidRDefault="00B0469F" w:rsidP="00F37389">
            <w:pPr>
              <w:pStyle w:val="TAH"/>
            </w:pPr>
          </w:p>
        </w:tc>
        <w:tc>
          <w:tcPr>
            <w:tcW w:w="907" w:type="dxa"/>
            <w:vMerge/>
            <w:tcBorders>
              <w:left w:val="single" w:sz="6" w:space="0" w:color="auto"/>
              <w:right w:val="single" w:sz="6" w:space="0" w:color="auto"/>
            </w:tcBorders>
            <w:shd w:val="clear" w:color="auto" w:fill="auto"/>
            <w:vAlign w:val="center"/>
          </w:tcPr>
          <w:p w14:paraId="2F4CDB92" w14:textId="77777777" w:rsidR="00B0469F" w:rsidRPr="001C6009" w:rsidRDefault="00B0469F" w:rsidP="00F37389">
            <w:pPr>
              <w:pStyle w:val="TAH"/>
            </w:pPr>
          </w:p>
        </w:tc>
        <w:tc>
          <w:tcPr>
            <w:tcW w:w="1568" w:type="dxa"/>
            <w:vMerge/>
            <w:tcBorders>
              <w:left w:val="single" w:sz="6" w:space="0" w:color="auto"/>
              <w:right w:val="single" w:sz="6" w:space="0" w:color="auto"/>
            </w:tcBorders>
            <w:shd w:val="clear" w:color="auto" w:fill="auto"/>
            <w:vAlign w:val="center"/>
          </w:tcPr>
          <w:p w14:paraId="32903B91" w14:textId="77777777" w:rsidR="00B0469F" w:rsidRPr="001C6009" w:rsidRDefault="00B0469F" w:rsidP="00F37389">
            <w:pPr>
              <w:pStyle w:val="TAH"/>
            </w:pPr>
          </w:p>
        </w:tc>
        <w:tc>
          <w:tcPr>
            <w:tcW w:w="1487" w:type="dxa"/>
            <w:vMerge/>
            <w:tcBorders>
              <w:left w:val="single" w:sz="6" w:space="0" w:color="auto"/>
              <w:right w:val="single" w:sz="6" w:space="0" w:color="auto"/>
            </w:tcBorders>
            <w:shd w:val="clear" w:color="auto" w:fill="auto"/>
            <w:vAlign w:val="center"/>
          </w:tcPr>
          <w:p w14:paraId="624A071C" w14:textId="77777777" w:rsidR="00B0469F" w:rsidRPr="001C6009" w:rsidRDefault="00B0469F" w:rsidP="00F37389">
            <w:pPr>
              <w:pStyle w:val="TAH"/>
            </w:pPr>
          </w:p>
        </w:tc>
        <w:tc>
          <w:tcPr>
            <w:tcW w:w="1260" w:type="dxa"/>
            <w:tcBorders>
              <w:top w:val="single" w:sz="6" w:space="0" w:color="auto"/>
              <w:left w:val="single" w:sz="6" w:space="0" w:color="auto"/>
              <w:right w:val="single" w:sz="6" w:space="0" w:color="auto"/>
            </w:tcBorders>
            <w:shd w:val="clear" w:color="auto" w:fill="auto"/>
            <w:vAlign w:val="center"/>
          </w:tcPr>
          <w:p w14:paraId="4CFFAA6B" w14:textId="77777777" w:rsidR="00B0469F" w:rsidRPr="001C6009" w:rsidRDefault="00B0469F" w:rsidP="00F37389">
            <w:pPr>
              <w:pStyle w:val="TAH"/>
            </w:pPr>
            <w:r w:rsidRPr="001C6009">
              <w:t>dBm/</w:t>
            </w:r>
            <w:r w:rsidRPr="001C6009">
              <w:rPr>
                <w:rFonts w:hint="eastAsia"/>
                <w:lang w:eastAsia="zh-CN"/>
              </w:rPr>
              <w:t>120</w:t>
            </w:r>
            <w:r w:rsidRPr="001C6009">
              <w:t>kHz</w:t>
            </w:r>
            <w:r w:rsidRPr="001C6009">
              <w:rPr>
                <w:vertAlign w:val="superscript"/>
                <w:lang w:eastAsia="zh-CN"/>
              </w:rPr>
              <w:t xml:space="preserve"> Note 6</w:t>
            </w:r>
          </w:p>
        </w:tc>
        <w:tc>
          <w:tcPr>
            <w:tcW w:w="1260" w:type="dxa"/>
            <w:tcBorders>
              <w:top w:val="single" w:sz="6" w:space="0" w:color="auto"/>
              <w:left w:val="single" w:sz="6" w:space="0" w:color="auto"/>
              <w:right w:val="single" w:sz="6" w:space="0" w:color="auto"/>
            </w:tcBorders>
            <w:shd w:val="clear" w:color="auto" w:fill="auto"/>
            <w:vAlign w:val="center"/>
          </w:tcPr>
          <w:p w14:paraId="07399E45" w14:textId="77777777" w:rsidR="00B0469F" w:rsidRPr="001C6009" w:rsidRDefault="00B0469F" w:rsidP="00F37389">
            <w:pPr>
              <w:pStyle w:val="TAH"/>
            </w:pPr>
            <w:r w:rsidRPr="001C6009">
              <w:t>dBm/</w:t>
            </w:r>
            <w:r w:rsidRPr="001C6009">
              <w:rPr>
                <w:rFonts w:hint="eastAsia"/>
                <w:lang w:eastAsia="zh-CN"/>
              </w:rPr>
              <w:t>60</w:t>
            </w:r>
            <w:r w:rsidRPr="001C6009">
              <w:t>kHz</w:t>
            </w:r>
            <w:r w:rsidRPr="001C6009">
              <w:rPr>
                <w:vertAlign w:val="superscript"/>
                <w:lang w:eastAsia="zh-CN"/>
              </w:rPr>
              <w:t xml:space="preserve"> Note 6</w:t>
            </w:r>
          </w:p>
        </w:tc>
        <w:tc>
          <w:tcPr>
            <w:tcW w:w="1278" w:type="dxa"/>
            <w:vMerge/>
            <w:tcBorders>
              <w:left w:val="single" w:sz="6" w:space="0" w:color="auto"/>
              <w:right w:val="single" w:sz="4" w:space="0" w:color="auto"/>
            </w:tcBorders>
            <w:shd w:val="clear" w:color="auto" w:fill="auto"/>
            <w:vAlign w:val="center"/>
          </w:tcPr>
          <w:p w14:paraId="487976E9" w14:textId="77777777" w:rsidR="00B0469F" w:rsidRPr="001C6009" w:rsidRDefault="00B0469F" w:rsidP="00F37389">
            <w:pPr>
              <w:pStyle w:val="TAH"/>
            </w:pPr>
          </w:p>
        </w:tc>
      </w:tr>
      <w:tr w:rsidR="0072518D" w:rsidRPr="001C6009" w14:paraId="48DBE401" w14:textId="77777777" w:rsidTr="0072518D">
        <w:trPr>
          <w:trHeight w:val="1761"/>
          <w:jc w:val="center"/>
        </w:trPr>
        <w:tc>
          <w:tcPr>
            <w:tcW w:w="1046" w:type="dxa"/>
            <w:vMerge w:val="restart"/>
            <w:tcBorders>
              <w:top w:val="single" w:sz="6" w:space="0" w:color="auto"/>
              <w:left w:val="single" w:sz="6" w:space="0" w:color="auto"/>
              <w:right w:val="single" w:sz="6" w:space="0" w:color="auto"/>
            </w:tcBorders>
            <w:shd w:val="clear" w:color="auto" w:fill="auto"/>
            <w:vAlign w:val="center"/>
          </w:tcPr>
          <w:p w14:paraId="315AB1B8" w14:textId="0A70F052" w:rsidR="0072518D" w:rsidRPr="001C6009" w:rsidRDefault="0072518D" w:rsidP="0072518D">
            <w:pPr>
              <w:pStyle w:val="TAC"/>
              <w:rPr>
                <w:lang w:eastAsia="zh-CN"/>
              </w:rPr>
            </w:pPr>
            <w:r w:rsidRPr="001C6009">
              <w:rPr>
                <w:rFonts w:hint="eastAsia"/>
                <w:lang w:eastAsia="zh-CN"/>
              </w:rPr>
              <w:t>±5</w:t>
            </w:r>
          </w:p>
        </w:tc>
        <w:tc>
          <w:tcPr>
            <w:tcW w:w="1049" w:type="dxa"/>
            <w:vMerge w:val="restart"/>
            <w:tcBorders>
              <w:top w:val="single" w:sz="6" w:space="0" w:color="auto"/>
              <w:left w:val="single" w:sz="4" w:space="0" w:color="auto"/>
              <w:bottom w:val="single" w:sz="4" w:space="0" w:color="auto"/>
              <w:right w:val="single" w:sz="6" w:space="0" w:color="auto"/>
            </w:tcBorders>
            <w:vAlign w:val="center"/>
          </w:tcPr>
          <w:p w14:paraId="7F60A7B2" w14:textId="77BAA8EE" w:rsidR="0072518D" w:rsidRPr="001C6009" w:rsidRDefault="0072518D" w:rsidP="0072518D">
            <w:pPr>
              <w:pStyle w:val="TAC"/>
              <w:rPr>
                <w:lang w:eastAsia="zh-CN"/>
              </w:rPr>
            </w:pPr>
            <w:r>
              <w:rPr>
                <w:rFonts w:cs="Arial" w:hint="eastAsia"/>
                <w:lang w:eastAsia="zh-CN"/>
              </w:rPr>
              <w:t>±</w:t>
            </w:r>
            <w:r>
              <w:rPr>
                <w:rFonts w:cs="Arial"/>
                <w:lang w:eastAsia="zh-CN"/>
              </w:rPr>
              <w:t>8</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3A0E5F49" w14:textId="77777777" w:rsidR="0072518D" w:rsidRPr="001C6009" w:rsidRDefault="0072518D" w:rsidP="0072518D">
            <w:pPr>
              <w:pStyle w:val="TAC"/>
              <w:rPr>
                <w:lang w:val="sv-SE" w:eastAsia="zh-CN"/>
              </w:rPr>
            </w:pPr>
            <w:r w:rsidRPr="001C6009">
              <w:t>≥-</w:t>
            </w:r>
            <w:r w:rsidRPr="001C6009">
              <w:rPr>
                <w:rFonts w:hint="eastAsia"/>
                <w:lang w:eastAsia="zh-CN"/>
              </w:rPr>
              <w:t>3</w:t>
            </w:r>
            <w:r w:rsidRPr="001C6009">
              <w:t>dB</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546A44AA" w14:textId="77777777" w:rsidR="0072518D" w:rsidRPr="001C6009" w:rsidRDefault="0072518D" w:rsidP="0072518D">
            <w:pPr>
              <w:pStyle w:val="TAC"/>
              <w:rPr>
                <w:lang w:eastAsia="zh-CN"/>
              </w:rPr>
            </w:pPr>
            <w:r w:rsidRPr="001C6009">
              <w:t>≥</w:t>
            </w:r>
            <w:r w:rsidRPr="001C6009">
              <w:rPr>
                <w:rFonts w:hint="eastAsia"/>
                <w:lang w:eastAsia="zh-CN"/>
              </w:rPr>
              <w:t>24</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0BD92319" w14:textId="77777777" w:rsidR="0072518D" w:rsidRPr="001C6009" w:rsidRDefault="0072518D" w:rsidP="0072518D">
            <w:pPr>
              <w:pStyle w:val="TAC"/>
              <w:rPr>
                <w:lang w:eastAsia="zh-CN"/>
              </w:rPr>
            </w:pPr>
            <w:r w:rsidRPr="001C6009">
              <w:rPr>
                <w:lang w:eastAsia="zh-CN"/>
              </w:rPr>
              <w:t>A</w:t>
            </w:r>
            <w:r w:rsidRPr="001C6009">
              <w:rPr>
                <w:rFonts w:hint="eastAsia"/>
                <w:lang w:eastAsia="zh-CN"/>
              </w:rPr>
              <w:t>ll</w:t>
            </w:r>
          </w:p>
        </w:tc>
        <w:tc>
          <w:tcPr>
            <w:tcW w:w="2520" w:type="dxa"/>
            <w:gridSpan w:val="2"/>
            <w:tcBorders>
              <w:top w:val="single" w:sz="6" w:space="0" w:color="auto"/>
              <w:left w:val="single" w:sz="6" w:space="0" w:color="auto"/>
              <w:right w:val="single" w:sz="6" w:space="0" w:color="auto"/>
            </w:tcBorders>
            <w:shd w:val="clear" w:color="auto" w:fill="auto"/>
          </w:tcPr>
          <w:p w14:paraId="24243ACB" w14:textId="4EA64394" w:rsidR="0072518D" w:rsidRPr="001C6009" w:rsidRDefault="0072518D" w:rsidP="0072518D">
            <w:pPr>
              <w:pStyle w:val="TAC"/>
            </w:pPr>
            <w:r w:rsidRPr="001C6009">
              <w:t xml:space="preserve">Same value as </w:t>
            </w:r>
            <w:r w:rsidRPr="001C6009">
              <w:rPr>
                <w:rFonts w:hint="eastAsia"/>
                <w:lang w:eastAsia="zh-CN"/>
              </w:rPr>
              <w:t>P</w:t>
            </w:r>
            <w:r w:rsidRPr="001C6009">
              <w:t xml:space="preserve">RP in Table </w:t>
            </w:r>
            <w:r w:rsidRPr="002B4D79">
              <w:t>B.2.</w:t>
            </w:r>
            <w:r w:rsidRPr="002B4D79">
              <w:rPr>
                <w:lang w:eastAsia="zh-CN"/>
              </w:rPr>
              <w:t>14</w:t>
            </w:r>
            <w:r w:rsidRPr="001C6009">
              <w:t>-2, according to UE Power class, operating band and angle of arrival</w:t>
            </w:r>
          </w:p>
        </w:tc>
        <w:tc>
          <w:tcPr>
            <w:tcW w:w="1278" w:type="dxa"/>
            <w:tcBorders>
              <w:top w:val="single" w:sz="6" w:space="0" w:color="auto"/>
              <w:left w:val="single" w:sz="6" w:space="0" w:color="auto"/>
              <w:right w:val="single" w:sz="4" w:space="0" w:color="auto"/>
            </w:tcBorders>
            <w:shd w:val="clear" w:color="auto" w:fill="auto"/>
            <w:vAlign w:val="center"/>
          </w:tcPr>
          <w:p w14:paraId="1CF046E1" w14:textId="77777777" w:rsidR="0072518D" w:rsidRPr="001C6009" w:rsidRDefault="0072518D" w:rsidP="0072518D">
            <w:pPr>
              <w:pStyle w:val="TAC"/>
              <w:rPr>
                <w:lang w:eastAsia="zh-CN"/>
              </w:rPr>
            </w:pPr>
            <w:r w:rsidRPr="001C6009">
              <w:t>-50</w:t>
            </w:r>
          </w:p>
        </w:tc>
      </w:tr>
      <w:tr w:rsidR="0072518D" w:rsidRPr="001C6009" w14:paraId="3D98A6BC" w14:textId="77777777" w:rsidTr="0072518D">
        <w:trPr>
          <w:jc w:val="center"/>
        </w:trPr>
        <w:tc>
          <w:tcPr>
            <w:tcW w:w="1046" w:type="dxa"/>
            <w:vMerge/>
            <w:tcBorders>
              <w:left w:val="single" w:sz="6" w:space="0" w:color="auto"/>
              <w:right w:val="single" w:sz="6" w:space="0" w:color="auto"/>
            </w:tcBorders>
            <w:shd w:val="clear" w:color="auto" w:fill="auto"/>
            <w:vAlign w:val="center"/>
          </w:tcPr>
          <w:p w14:paraId="36C6D208" w14:textId="77777777" w:rsidR="0072518D" w:rsidRPr="001C6009" w:rsidRDefault="0072518D" w:rsidP="0072518D">
            <w:pPr>
              <w:pStyle w:val="TAC"/>
              <w:rPr>
                <w:lang w:eastAsia="zh-CN"/>
              </w:rPr>
            </w:pPr>
          </w:p>
        </w:tc>
        <w:tc>
          <w:tcPr>
            <w:tcW w:w="1049" w:type="dxa"/>
            <w:vMerge/>
            <w:tcBorders>
              <w:top w:val="single" w:sz="6" w:space="0" w:color="auto"/>
              <w:left w:val="single" w:sz="4" w:space="0" w:color="auto"/>
              <w:bottom w:val="single" w:sz="4" w:space="0" w:color="auto"/>
              <w:right w:val="single" w:sz="6" w:space="0" w:color="auto"/>
            </w:tcBorders>
            <w:vAlign w:val="center"/>
          </w:tcPr>
          <w:p w14:paraId="04744451" w14:textId="77777777" w:rsidR="0072518D" w:rsidRPr="001C6009" w:rsidRDefault="0072518D" w:rsidP="0072518D">
            <w:pPr>
              <w:pStyle w:val="TAC"/>
              <w:rPr>
                <w:lang w:eastAsia="zh-CN"/>
              </w:rPr>
            </w:pPr>
          </w:p>
        </w:tc>
        <w:tc>
          <w:tcPr>
            <w:tcW w:w="907" w:type="dxa"/>
            <w:vMerge/>
            <w:tcBorders>
              <w:left w:val="single" w:sz="6" w:space="0" w:color="auto"/>
              <w:right w:val="single" w:sz="6" w:space="0" w:color="auto"/>
            </w:tcBorders>
            <w:shd w:val="clear" w:color="auto" w:fill="auto"/>
            <w:vAlign w:val="center"/>
          </w:tcPr>
          <w:p w14:paraId="7B6D8EDF" w14:textId="77777777" w:rsidR="0072518D" w:rsidRPr="001C6009" w:rsidRDefault="0072518D" w:rsidP="0072518D">
            <w:pPr>
              <w:pStyle w:val="TAC"/>
              <w:rPr>
                <w:lang w:val="sv-SE"/>
              </w:rPr>
            </w:pPr>
          </w:p>
        </w:tc>
        <w:tc>
          <w:tcPr>
            <w:tcW w:w="1568" w:type="dxa"/>
            <w:vMerge/>
            <w:tcBorders>
              <w:left w:val="single" w:sz="6" w:space="0" w:color="auto"/>
              <w:right w:val="single" w:sz="6" w:space="0" w:color="auto"/>
            </w:tcBorders>
            <w:shd w:val="clear" w:color="auto" w:fill="auto"/>
            <w:vAlign w:val="center"/>
          </w:tcPr>
          <w:p w14:paraId="350EEABD" w14:textId="77777777" w:rsidR="0072518D" w:rsidRPr="001C6009" w:rsidRDefault="0072518D" w:rsidP="0072518D">
            <w:pPr>
              <w:pStyle w:val="TAC"/>
              <w:rPr>
                <w:lang w:eastAsia="zh-CN"/>
              </w:rPr>
            </w:pPr>
          </w:p>
        </w:tc>
        <w:tc>
          <w:tcPr>
            <w:tcW w:w="1487" w:type="dxa"/>
            <w:vMerge/>
            <w:tcBorders>
              <w:left w:val="single" w:sz="6" w:space="0" w:color="auto"/>
              <w:right w:val="single" w:sz="6" w:space="0" w:color="auto"/>
            </w:tcBorders>
            <w:shd w:val="clear" w:color="auto" w:fill="auto"/>
            <w:vAlign w:val="center"/>
          </w:tcPr>
          <w:p w14:paraId="18501387" w14:textId="77777777" w:rsidR="0072518D" w:rsidRPr="001C6009" w:rsidRDefault="0072518D" w:rsidP="0072518D">
            <w:pPr>
              <w:pStyle w:val="TAC"/>
            </w:pP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5309E4BA" w14:textId="77777777" w:rsidR="0072518D" w:rsidRPr="001C6009" w:rsidRDefault="0072518D" w:rsidP="0072518D">
            <w:pPr>
              <w:pStyle w:val="TAC"/>
              <w:rPr>
                <w:lang w:eastAsia="zh-CN"/>
              </w:rPr>
            </w:pPr>
            <w:r w:rsidRPr="001C6009">
              <w:t>Note 4</w:t>
            </w:r>
          </w:p>
        </w:tc>
      </w:tr>
      <w:tr w:rsidR="0072518D" w:rsidRPr="001C6009" w14:paraId="21E21E70" w14:textId="77777777" w:rsidTr="0072518D">
        <w:trPr>
          <w:jc w:val="center"/>
        </w:trPr>
        <w:tc>
          <w:tcPr>
            <w:tcW w:w="1046" w:type="dxa"/>
            <w:vMerge/>
            <w:tcBorders>
              <w:left w:val="single" w:sz="6" w:space="0" w:color="auto"/>
              <w:bottom w:val="single" w:sz="6" w:space="0" w:color="auto"/>
              <w:right w:val="single" w:sz="6" w:space="0" w:color="auto"/>
            </w:tcBorders>
            <w:shd w:val="clear" w:color="auto" w:fill="auto"/>
            <w:vAlign w:val="center"/>
          </w:tcPr>
          <w:p w14:paraId="24415B1B" w14:textId="77777777" w:rsidR="0072518D" w:rsidRPr="001C6009" w:rsidRDefault="0072518D" w:rsidP="0072518D">
            <w:pPr>
              <w:pStyle w:val="TAC"/>
            </w:pPr>
          </w:p>
        </w:tc>
        <w:tc>
          <w:tcPr>
            <w:tcW w:w="1049" w:type="dxa"/>
            <w:vMerge/>
            <w:tcBorders>
              <w:top w:val="single" w:sz="6" w:space="0" w:color="auto"/>
              <w:left w:val="single" w:sz="4" w:space="0" w:color="auto"/>
              <w:bottom w:val="single" w:sz="4" w:space="0" w:color="auto"/>
              <w:right w:val="single" w:sz="6" w:space="0" w:color="auto"/>
            </w:tcBorders>
            <w:vAlign w:val="center"/>
          </w:tcPr>
          <w:p w14:paraId="7A50E85B" w14:textId="77777777" w:rsidR="0072518D" w:rsidRPr="001C6009" w:rsidRDefault="0072518D" w:rsidP="0072518D">
            <w:pPr>
              <w:pStyle w:val="TAC"/>
              <w:rPr>
                <w:lang w:eastAsia="zh-CN"/>
              </w:rPr>
            </w:pPr>
          </w:p>
        </w:tc>
        <w:tc>
          <w:tcPr>
            <w:tcW w:w="907" w:type="dxa"/>
            <w:vMerge/>
            <w:tcBorders>
              <w:left w:val="single" w:sz="6" w:space="0" w:color="auto"/>
              <w:bottom w:val="single" w:sz="6" w:space="0" w:color="auto"/>
              <w:right w:val="single" w:sz="6" w:space="0" w:color="auto"/>
            </w:tcBorders>
            <w:shd w:val="clear" w:color="auto" w:fill="auto"/>
            <w:vAlign w:val="center"/>
          </w:tcPr>
          <w:p w14:paraId="0CEEEB30" w14:textId="77777777" w:rsidR="0072518D" w:rsidRPr="001C6009" w:rsidRDefault="0072518D" w:rsidP="0072518D">
            <w:pPr>
              <w:pStyle w:val="TAC"/>
            </w:pPr>
          </w:p>
        </w:tc>
        <w:tc>
          <w:tcPr>
            <w:tcW w:w="1568" w:type="dxa"/>
            <w:vMerge/>
            <w:tcBorders>
              <w:left w:val="single" w:sz="6" w:space="0" w:color="auto"/>
              <w:bottom w:val="single" w:sz="6" w:space="0" w:color="auto"/>
              <w:right w:val="single" w:sz="6" w:space="0" w:color="auto"/>
            </w:tcBorders>
            <w:shd w:val="clear" w:color="auto" w:fill="auto"/>
            <w:vAlign w:val="center"/>
          </w:tcPr>
          <w:p w14:paraId="44C15B4A" w14:textId="77777777" w:rsidR="0072518D" w:rsidRPr="001C6009" w:rsidRDefault="0072518D" w:rsidP="0072518D">
            <w:pPr>
              <w:pStyle w:val="TAC"/>
            </w:pPr>
          </w:p>
        </w:tc>
        <w:tc>
          <w:tcPr>
            <w:tcW w:w="1487" w:type="dxa"/>
            <w:vMerge/>
            <w:tcBorders>
              <w:left w:val="single" w:sz="6" w:space="0" w:color="auto"/>
              <w:bottom w:val="single" w:sz="6" w:space="0" w:color="auto"/>
              <w:right w:val="single" w:sz="6" w:space="0" w:color="auto"/>
            </w:tcBorders>
            <w:shd w:val="clear" w:color="auto" w:fill="auto"/>
            <w:vAlign w:val="center"/>
          </w:tcPr>
          <w:p w14:paraId="48D81154" w14:textId="77777777" w:rsidR="0072518D" w:rsidRPr="001C6009" w:rsidRDefault="0072518D" w:rsidP="0072518D">
            <w:pPr>
              <w:pStyle w:val="TAC"/>
            </w:pP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241DAF7D" w14:textId="77777777" w:rsidR="0072518D" w:rsidRPr="001C6009" w:rsidRDefault="0072518D" w:rsidP="0072518D">
            <w:pPr>
              <w:pStyle w:val="TAC"/>
            </w:pPr>
            <w:r w:rsidRPr="001C6009">
              <w:t>Note 4</w:t>
            </w:r>
          </w:p>
        </w:tc>
      </w:tr>
      <w:tr w:rsidR="0072518D" w:rsidRPr="001C6009" w14:paraId="70256C77" w14:textId="77777777" w:rsidTr="0072518D">
        <w:trPr>
          <w:trHeight w:val="226"/>
          <w:jc w:val="center"/>
        </w:trPr>
        <w:tc>
          <w:tcPr>
            <w:tcW w:w="1046" w:type="dxa"/>
            <w:tcBorders>
              <w:top w:val="single" w:sz="6" w:space="0" w:color="auto"/>
              <w:left w:val="single" w:sz="6" w:space="0" w:color="auto"/>
              <w:right w:val="single" w:sz="6" w:space="0" w:color="auto"/>
            </w:tcBorders>
            <w:shd w:val="clear" w:color="auto" w:fill="auto"/>
            <w:vAlign w:val="center"/>
          </w:tcPr>
          <w:p w14:paraId="7AB661DC" w14:textId="2830E33D" w:rsidR="0072518D" w:rsidRPr="001C6009" w:rsidRDefault="0072518D" w:rsidP="0072518D">
            <w:pPr>
              <w:pStyle w:val="TAC"/>
              <w:rPr>
                <w:lang w:eastAsia="zh-CN"/>
              </w:rPr>
            </w:pPr>
            <w:r w:rsidRPr="001C6009">
              <w:rPr>
                <w:rFonts w:cstheme="minorHAnsi"/>
              </w:rPr>
              <w:t>±</w:t>
            </w:r>
            <w:r w:rsidRPr="001C6009">
              <w:rPr>
                <w:rFonts w:hint="eastAsia"/>
                <w:lang w:eastAsia="zh-CN"/>
              </w:rPr>
              <w:t>8.5</w:t>
            </w:r>
          </w:p>
        </w:tc>
        <w:tc>
          <w:tcPr>
            <w:tcW w:w="1049" w:type="dxa"/>
            <w:tcBorders>
              <w:top w:val="single" w:sz="4" w:space="0" w:color="auto"/>
              <w:left w:val="single" w:sz="4" w:space="0" w:color="auto"/>
              <w:bottom w:val="single" w:sz="4" w:space="0" w:color="auto"/>
              <w:right w:val="single" w:sz="4" w:space="0" w:color="auto"/>
            </w:tcBorders>
            <w:vAlign w:val="center"/>
          </w:tcPr>
          <w:p w14:paraId="41D53772" w14:textId="682B8EB6" w:rsidR="0072518D" w:rsidRPr="001C6009" w:rsidRDefault="0072518D" w:rsidP="0072518D">
            <w:pPr>
              <w:pStyle w:val="TAC"/>
              <w:rPr>
                <w:lang w:eastAsia="zh-CN"/>
              </w:rPr>
            </w:pPr>
            <w:r>
              <w:rPr>
                <w:rFonts w:cstheme="minorHAnsi"/>
              </w:rPr>
              <w:t>±</w:t>
            </w:r>
            <w:r>
              <w:rPr>
                <w:lang w:eastAsia="zh-CN"/>
              </w:rPr>
              <w:t>11.5</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2BBCFA70" w14:textId="77777777" w:rsidR="0072518D" w:rsidRPr="001C6009" w:rsidRDefault="0072518D" w:rsidP="0072518D">
            <w:pPr>
              <w:pStyle w:val="TAC"/>
            </w:pPr>
            <w:r w:rsidRPr="001C6009">
              <w:t>≥-</w:t>
            </w:r>
            <w:r w:rsidRPr="001C6009">
              <w:rPr>
                <w:rFonts w:hint="eastAsia"/>
                <w:lang w:eastAsia="zh-CN"/>
              </w:rPr>
              <w:t>13</w:t>
            </w:r>
            <w:r w:rsidRPr="001C6009">
              <w:t>dB</w:t>
            </w:r>
          </w:p>
        </w:tc>
        <w:tc>
          <w:tcPr>
            <w:tcW w:w="1568" w:type="dxa"/>
            <w:tcBorders>
              <w:top w:val="single" w:sz="6" w:space="0" w:color="auto"/>
              <w:left w:val="single" w:sz="6" w:space="0" w:color="auto"/>
              <w:right w:val="single" w:sz="6" w:space="0" w:color="auto"/>
            </w:tcBorders>
            <w:shd w:val="clear" w:color="auto" w:fill="auto"/>
          </w:tcPr>
          <w:p w14:paraId="0BE0755B" w14:textId="77777777" w:rsidR="0072518D" w:rsidRPr="001C6009" w:rsidRDefault="0072518D" w:rsidP="0072518D">
            <w:pPr>
              <w:pStyle w:val="TAC"/>
              <w:rPr>
                <w:lang w:eastAsia="zh-CN"/>
              </w:rPr>
            </w:pPr>
            <w:r w:rsidRPr="001C6009">
              <w:rPr>
                <w:lang w:eastAsia="zh-CN"/>
              </w:rPr>
              <w:t>24 ≤ BW ≤ 64</w:t>
            </w:r>
          </w:p>
        </w:tc>
        <w:tc>
          <w:tcPr>
            <w:tcW w:w="1487" w:type="dxa"/>
            <w:tcBorders>
              <w:top w:val="single" w:sz="6" w:space="0" w:color="auto"/>
              <w:left w:val="single" w:sz="6" w:space="0" w:color="auto"/>
              <w:right w:val="single" w:sz="6" w:space="0" w:color="auto"/>
            </w:tcBorders>
            <w:shd w:val="clear" w:color="auto" w:fill="auto"/>
          </w:tcPr>
          <w:p w14:paraId="3D02CF4B" w14:textId="77777777" w:rsidR="0072518D" w:rsidRPr="001C6009" w:rsidRDefault="0072518D" w:rsidP="0072518D">
            <w:pPr>
              <w:pStyle w:val="TAC"/>
              <w:rPr>
                <w:lang w:eastAsia="zh-CN"/>
              </w:rPr>
            </w:pPr>
            <w:r w:rsidRPr="001C6009">
              <w:rPr>
                <w:lang w:eastAsia="zh-CN"/>
              </w:rPr>
              <w:t>All</w:t>
            </w:r>
          </w:p>
        </w:tc>
        <w:tc>
          <w:tcPr>
            <w:tcW w:w="3798" w:type="dxa"/>
            <w:gridSpan w:val="3"/>
            <w:tcBorders>
              <w:top w:val="single" w:sz="6" w:space="0" w:color="auto"/>
              <w:left w:val="single" w:sz="6" w:space="0" w:color="auto"/>
              <w:right w:val="single" w:sz="4" w:space="0" w:color="auto"/>
            </w:tcBorders>
            <w:shd w:val="clear" w:color="auto" w:fill="auto"/>
            <w:vAlign w:val="center"/>
          </w:tcPr>
          <w:p w14:paraId="2FD742AB" w14:textId="77777777" w:rsidR="0072518D" w:rsidRPr="001C6009" w:rsidRDefault="0072518D" w:rsidP="0072518D">
            <w:pPr>
              <w:pStyle w:val="TAC"/>
              <w:rPr>
                <w:lang w:eastAsia="zh-CN"/>
              </w:rPr>
            </w:pPr>
            <w:r w:rsidRPr="001C6009">
              <w:t>Note 4</w:t>
            </w:r>
          </w:p>
        </w:tc>
      </w:tr>
      <w:tr w:rsidR="0072518D" w:rsidRPr="001C6009" w14:paraId="3B789417" w14:textId="77777777" w:rsidTr="0072518D">
        <w:trPr>
          <w:jc w:val="center"/>
        </w:trPr>
        <w:tc>
          <w:tcPr>
            <w:tcW w:w="1046" w:type="dxa"/>
            <w:tcBorders>
              <w:top w:val="single" w:sz="6" w:space="0" w:color="auto"/>
              <w:left w:val="single" w:sz="6" w:space="0" w:color="auto"/>
              <w:bottom w:val="single" w:sz="6" w:space="0" w:color="auto"/>
              <w:right w:val="single" w:sz="6" w:space="0" w:color="auto"/>
            </w:tcBorders>
            <w:shd w:val="clear" w:color="auto" w:fill="auto"/>
            <w:vAlign w:val="center"/>
          </w:tcPr>
          <w:p w14:paraId="66BF02F8" w14:textId="373BE3BE" w:rsidR="0072518D" w:rsidRPr="001C6009" w:rsidRDefault="0072518D" w:rsidP="0072518D">
            <w:pPr>
              <w:pStyle w:val="TAC"/>
              <w:rPr>
                <w:lang w:eastAsia="zh-CN"/>
              </w:rPr>
            </w:pPr>
            <w:r w:rsidRPr="001C6009">
              <w:rPr>
                <w:rFonts w:cstheme="minorHAnsi"/>
              </w:rPr>
              <w:t>±</w:t>
            </w:r>
            <w:r w:rsidRPr="001C6009">
              <w:rPr>
                <w:rFonts w:cstheme="minorHAnsi" w:hint="eastAsia"/>
                <w:lang w:eastAsia="zh-CN"/>
              </w:rPr>
              <w:t>6</w:t>
            </w:r>
          </w:p>
        </w:tc>
        <w:tc>
          <w:tcPr>
            <w:tcW w:w="1049" w:type="dxa"/>
            <w:tcBorders>
              <w:top w:val="single" w:sz="4" w:space="0" w:color="auto"/>
              <w:left w:val="single" w:sz="4" w:space="0" w:color="auto"/>
              <w:bottom w:val="single" w:sz="4" w:space="0" w:color="auto"/>
              <w:right w:val="single" w:sz="4" w:space="0" w:color="auto"/>
            </w:tcBorders>
            <w:vAlign w:val="center"/>
          </w:tcPr>
          <w:p w14:paraId="48E1DA1B" w14:textId="01E342F9" w:rsidR="0072518D" w:rsidRPr="001C6009" w:rsidRDefault="0072518D" w:rsidP="0072518D">
            <w:pPr>
              <w:pStyle w:val="TAC"/>
              <w:rPr>
                <w:lang w:eastAsia="zh-CN"/>
              </w:rPr>
            </w:pPr>
            <w:r>
              <w:rPr>
                <w:rFonts w:cstheme="minorHAnsi"/>
              </w:rPr>
              <w:t>±</w:t>
            </w:r>
            <w:r>
              <w:rPr>
                <w:rFonts w:cstheme="minorHAnsi"/>
                <w:lang w:eastAsia="zh-CN"/>
              </w:rPr>
              <w:t>9</w:t>
            </w:r>
          </w:p>
        </w:tc>
        <w:tc>
          <w:tcPr>
            <w:tcW w:w="907" w:type="dxa"/>
            <w:vMerge/>
            <w:tcBorders>
              <w:left w:val="single" w:sz="6" w:space="0" w:color="auto"/>
              <w:bottom w:val="single" w:sz="6" w:space="0" w:color="auto"/>
              <w:right w:val="single" w:sz="6" w:space="0" w:color="auto"/>
            </w:tcBorders>
            <w:shd w:val="clear" w:color="auto" w:fill="auto"/>
            <w:vAlign w:val="center"/>
          </w:tcPr>
          <w:p w14:paraId="1B791ADF" w14:textId="77777777" w:rsidR="0072518D" w:rsidRPr="001C6009" w:rsidRDefault="0072518D" w:rsidP="0072518D">
            <w:pPr>
              <w:pStyle w:val="TAC"/>
            </w:pPr>
          </w:p>
        </w:tc>
        <w:tc>
          <w:tcPr>
            <w:tcW w:w="1568" w:type="dxa"/>
            <w:tcBorders>
              <w:top w:val="single" w:sz="6" w:space="0" w:color="auto"/>
              <w:left w:val="single" w:sz="6" w:space="0" w:color="auto"/>
              <w:bottom w:val="single" w:sz="6" w:space="0" w:color="auto"/>
              <w:right w:val="single" w:sz="6" w:space="0" w:color="auto"/>
            </w:tcBorders>
            <w:shd w:val="clear" w:color="auto" w:fill="auto"/>
          </w:tcPr>
          <w:p w14:paraId="1008A76B" w14:textId="77777777" w:rsidR="0072518D" w:rsidRPr="001C6009" w:rsidRDefault="0072518D" w:rsidP="0072518D">
            <w:pPr>
              <w:pStyle w:val="TAC"/>
            </w:pPr>
            <w:r w:rsidRPr="001C6009">
              <w:rPr>
                <w:lang w:eastAsia="zh-CN"/>
              </w:rPr>
              <w:t>BW &gt;64</w:t>
            </w:r>
          </w:p>
        </w:tc>
        <w:tc>
          <w:tcPr>
            <w:tcW w:w="1487" w:type="dxa"/>
            <w:tcBorders>
              <w:top w:val="single" w:sz="6" w:space="0" w:color="auto"/>
              <w:left w:val="single" w:sz="6" w:space="0" w:color="auto"/>
              <w:bottom w:val="single" w:sz="6" w:space="0" w:color="auto"/>
              <w:right w:val="single" w:sz="6" w:space="0" w:color="auto"/>
            </w:tcBorders>
            <w:shd w:val="clear" w:color="auto" w:fill="auto"/>
          </w:tcPr>
          <w:p w14:paraId="370B7582" w14:textId="77777777" w:rsidR="0072518D" w:rsidRPr="001C6009" w:rsidRDefault="0072518D" w:rsidP="0072518D">
            <w:pPr>
              <w:pStyle w:val="TAC"/>
              <w:rPr>
                <w:lang w:eastAsia="zh-CN"/>
              </w:rPr>
            </w:pPr>
            <w:r w:rsidRPr="001C6009">
              <w:rPr>
                <w:lang w:eastAsia="zh-CN"/>
              </w:rPr>
              <w:t>All</w:t>
            </w: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4DA7DA90" w14:textId="77777777" w:rsidR="0072518D" w:rsidRPr="001C6009" w:rsidRDefault="0072518D" w:rsidP="0072518D">
            <w:pPr>
              <w:pStyle w:val="TAC"/>
            </w:pPr>
            <w:r w:rsidRPr="001C6009">
              <w:t>Note 4</w:t>
            </w:r>
          </w:p>
        </w:tc>
      </w:tr>
      <w:tr w:rsidR="00B0469F" w:rsidRPr="001C6009" w14:paraId="46D43174" w14:textId="77777777" w:rsidTr="0072518D">
        <w:trPr>
          <w:jc w:val="center"/>
        </w:trPr>
        <w:tc>
          <w:tcPr>
            <w:tcW w:w="9855" w:type="dxa"/>
            <w:gridSpan w:val="8"/>
            <w:tcBorders>
              <w:top w:val="single" w:sz="6" w:space="0" w:color="auto"/>
              <w:left w:val="single" w:sz="4" w:space="0" w:color="auto"/>
              <w:bottom w:val="single" w:sz="4" w:space="0" w:color="auto"/>
              <w:right w:val="single" w:sz="4" w:space="0" w:color="auto"/>
            </w:tcBorders>
            <w:vAlign w:val="center"/>
          </w:tcPr>
          <w:p w14:paraId="1BD5FEAA" w14:textId="77777777" w:rsidR="00B0469F" w:rsidRPr="001C6009" w:rsidRDefault="00B0469F" w:rsidP="00F37389">
            <w:pPr>
              <w:pStyle w:val="TAN"/>
            </w:pPr>
            <w:r w:rsidRPr="001C6009">
              <w:t>N</w:t>
            </w:r>
            <w:r w:rsidRPr="001C6009">
              <w:rPr>
                <w:lang w:eastAsia="zh-CN"/>
              </w:rPr>
              <w:t>OTE</w:t>
            </w:r>
            <w:r w:rsidRPr="001C6009">
              <w:t xml:space="preserve"> 1:</w:t>
            </w:r>
            <w:r w:rsidRPr="001C6009">
              <w:tab/>
              <w:t>This minimum Io condition is expressed as the average Io per RE over all REs in an OFDM symbol.</w:t>
            </w:r>
          </w:p>
          <w:p w14:paraId="7B977E18" w14:textId="77777777" w:rsidR="00B0469F" w:rsidRPr="001C6009" w:rsidRDefault="00B0469F" w:rsidP="00F37389">
            <w:pPr>
              <w:pStyle w:val="TAN"/>
            </w:pPr>
            <w:r w:rsidRPr="001C6009">
              <w:t>N</w:t>
            </w:r>
            <w:r w:rsidRPr="001C6009">
              <w:rPr>
                <w:lang w:eastAsia="zh-CN"/>
              </w:rPr>
              <w:t>OTE</w:t>
            </w:r>
            <w:r w:rsidRPr="001C6009">
              <w:t xml:space="preserve"> 2:</w:t>
            </w:r>
            <w:r w:rsidRPr="001C6009">
              <w:tab/>
            </w:r>
            <w:r w:rsidRPr="001C6009">
              <w:rPr>
                <w:rFonts w:hint="eastAsia"/>
                <w:lang w:eastAsia="zh-CN"/>
              </w:rPr>
              <w:t>Void</w:t>
            </w:r>
            <w:r w:rsidRPr="001C6009">
              <w:t>.</w:t>
            </w:r>
          </w:p>
          <w:p w14:paraId="7DCD63B7" w14:textId="77777777" w:rsidR="00B0469F" w:rsidRPr="001C6009" w:rsidRDefault="00B0469F" w:rsidP="00F37389">
            <w:pPr>
              <w:pStyle w:val="TAN"/>
              <w:rPr>
                <w:rFonts w:cs="v4.2.0"/>
              </w:rPr>
            </w:pPr>
            <w:r w:rsidRPr="001C6009">
              <w:rPr>
                <w:rFonts w:cs="v4.2.0"/>
              </w:rPr>
              <w:t>N</w:t>
            </w:r>
            <w:r w:rsidRPr="001C6009">
              <w:rPr>
                <w:lang w:eastAsia="zh-CN"/>
              </w:rPr>
              <w:t>OTE</w:t>
            </w:r>
            <w:r w:rsidRPr="001C6009">
              <w:rPr>
                <w:rFonts w:cs="v4.2.0"/>
              </w:rPr>
              <w:t xml:space="preserve"> 3:</w:t>
            </w:r>
            <w:r w:rsidRPr="001C6009">
              <w:rPr>
                <w:rFonts w:cs="v4.2.0"/>
              </w:rPr>
              <w:tab/>
              <w:t xml:space="preserve">PRS bandwidth is as indicated in </w:t>
            </w:r>
            <w:r w:rsidRPr="001C6009">
              <w:rPr>
                <w:i/>
              </w:rPr>
              <w:t>prs-Bandwidth</w:t>
            </w:r>
            <w:r w:rsidRPr="001C6009">
              <w:t xml:space="preserve"> </w:t>
            </w:r>
            <w:r w:rsidRPr="001C6009">
              <w:rPr>
                <w:rFonts w:cs="v4.2.0"/>
              </w:rPr>
              <w:t xml:space="preserve">in the OTDOA </w:t>
            </w:r>
            <w:r w:rsidRPr="001C6009">
              <w:rPr>
                <w:rFonts w:cs="v4.2.0" w:hint="eastAsia"/>
                <w:lang w:eastAsia="zh-CN"/>
              </w:rPr>
              <w:t xml:space="preserve">or DL-AoD </w:t>
            </w:r>
            <w:r w:rsidRPr="001C6009">
              <w:rPr>
                <w:rFonts w:cs="v4.2.0"/>
              </w:rPr>
              <w:t>assistance data defined in [</w:t>
            </w:r>
            <w:r w:rsidRPr="001C6009">
              <w:rPr>
                <w:rFonts w:cs="v4.2.0" w:hint="eastAsia"/>
                <w:lang w:eastAsia="zh-CN"/>
              </w:rPr>
              <w:t>3</w:t>
            </w:r>
            <w:r w:rsidRPr="001C6009">
              <w:rPr>
                <w:rFonts w:cs="v4.2.0"/>
              </w:rPr>
              <w:t>4].</w:t>
            </w:r>
          </w:p>
          <w:p w14:paraId="4B774D34" w14:textId="316C688C" w:rsidR="00B0469F" w:rsidRPr="001C6009" w:rsidRDefault="00B0469F" w:rsidP="00F37389">
            <w:pPr>
              <w:pStyle w:val="TAN"/>
            </w:pPr>
            <w:r w:rsidRPr="001C6009">
              <w:t>N</w:t>
            </w:r>
            <w:r w:rsidRPr="001C6009">
              <w:rPr>
                <w:lang w:eastAsia="zh-CN"/>
              </w:rPr>
              <w:t>OTE</w:t>
            </w:r>
            <w:r w:rsidRPr="001C6009">
              <w:t xml:space="preserve"> 4:</w:t>
            </w:r>
            <w:r w:rsidRPr="001C6009">
              <w:tab/>
              <w:t xml:space="preserve">The same bands and the same Io conditions for each band apply for this requirement as for the corresponding requirement </w:t>
            </w:r>
            <w:r w:rsidR="00775717">
              <w:t xml:space="preserve">with the PRS bandwidth ≥ </w:t>
            </w:r>
            <w:r w:rsidR="00775717" w:rsidRPr="00F830CA">
              <w:rPr>
                <w:lang w:eastAsia="zh-CN"/>
              </w:rPr>
              <w:t>24</w:t>
            </w:r>
            <w:r w:rsidR="00775717">
              <w:t xml:space="preserve"> RB.</w:t>
            </w:r>
          </w:p>
          <w:p w14:paraId="3AD9A91F" w14:textId="77777777" w:rsidR="00B0469F" w:rsidRPr="001C6009" w:rsidRDefault="00B0469F" w:rsidP="00F37389">
            <w:pPr>
              <w:pStyle w:val="TAN"/>
            </w:pPr>
            <w:r w:rsidRPr="001C6009">
              <w:t>NOTE 5:</w:t>
            </w:r>
            <w:r w:rsidRPr="001C6009">
              <w:tab/>
              <w:t>The serving cell, the reference cell, and the measured neighbour cell i are on the same carrier frequency.</w:t>
            </w:r>
          </w:p>
          <w:p w14:paraId="4B39CCF3" w14:textId="77777777" w:rsidR="00B0469F" w:rsidRPr="001C6009" w:rsidRDefault="00B0469F" w:rsidP="00F37389">
            <w:pPr>
              <w:pStyle w:val="TAN"/>
            </w:pPr>
            <w:r w:rsidRPr="001C6009">
              <w:t>NOTE 6:</w:t>
            </w:r>
            <w:r w:rsidRPr="001C6009">
              <w:tab/>
              <w:t>The condition level is increased by ∆&gt;0, when applicable, as described in Sections B.</w:t>
            </w:r>
            <w:r w:rsidRPr="001C6009">
              <w:rPr>
                <w:rFonts w:hint="eastAsia"/>
                <w:lang w:eastAsia="zh-CN"/>
              </w:rPr>
              <w:t>3</w:t>
            </w:r>
            <w:r w:rsidRPr="001C6009">
              <w:t>.</w:t>
            </w:r>
            <w:r w:rsidRPr="001C6009">
              <w:rPr>
                <w:rFonts w:hint="eastAsia"/>
                <w:lang w:eastAsia="zh-CN"/>
              </w:rPr>
              <w:t>2</w:t>
            </w:r>
            <w:r w:rsidRPr="001C6009">
              <w:t xml:space="preserve"> and B.</w:t>
            </w:r>
            <w:r w:rsidRPr="001C6009">
              <w:rPr>
                <w:rFonts w:hint="eastAsia"/>
                <w:lang w:eastAsia="zh-CN"/>
              </w:rPr>
              <w:t>3</w:t>
            </w:r>
            <w:r w:rsidRPr="001C6009">
              <w:t>.</w:t>
            </w:r>
            <w:r w:rsidRPr="001C6009">
              <w:rPr>
                <w:rFonts w:hint="eastAsia"/>
                <w:lang w:eastAsia="zh-CN"/>
              </w:rPr>
              <w:t>3</w:t>
            </w:r>
            <w:r w:rsidRPr="001C6009">
              <w:t>.</w:t>
            </w:r>
          </w:p>
          <w:p w14:paraId="03785315" w14:textId="77777777" w:rsidR="00B0469F" w:rsidRPr="001C6009" w:rsidRDefault="00B0469F" w:rsidP="00F37389">
            <w:pPr>
              <w:pStyle w:val="TAN"/>
            </w:pPr>
            <w:r w:rsidRPr="001C6009">
              <w:t>NOTE 7:</w:t>
            </w:r>
            <w:r w:rsidRPr="001C6009">
              <w:tab/>
              <w:t>The Io is defined in PRS positioning subframes. The same Io range applies to PRS and non-PRS symbols. Io levels are different in PRS and non-PRS symbols within the same subframe.</w:t>
            </w:r>
          </w:p>
          <w:p w14:paraId="3A180713" w14:textId="77777777" w:rsidR="00B0469F" w:rsidRPr="001C6009" w:rsidRDefault="00B0469F" w:rsidP="00F37389">
            <w:pPr>
              <w:pStyle w:val="TAN"/>
            </w:pPr>
            <w:r w:rsidRPr="001C6009">
              <w:t>NOTE 8:</w:t>
            </w:r>
            <w:r w:rsidRPr="001C6009">
              <w:tab/>
            </w:r>
            <w:r w:rsidRPr="001C6009">
              <w:rPr>
                <w:rFonts w:hint="eastAsia"/>
                <w:lang w:eastAsia="zh-CN"/>
              </w:rPr>
              <w:t>NR</w:t>
            </w:r>
            <w:r w:rsidRPr="001C6009">
              <w:t xml:space="preserve"> operating band groups are as defined in Section 3.5</w:t>
            </w:r>
            <w:r w:rsidRPr="001C6009">
              <w:rPr>
                <w:rFonts w:hint="eastAsia"/>
                <w:lang w:eastAsia="zh-CN"/>
              </w:rPr>
              <w:t>.2</w:t>
            </w:r>
            <w:r w:rsidRPr="001C6009">
              <w:t>.</w:t>
            </w:r>
          </w:p>
        </w:tc>
      </w:tr>
    </w:tbl>
    <w:p w14:paraId="557A08E7" w14:textId="035C5607" w:rsidR="00B0469F" w:rsidRDefault="00B0469F" w:rsidP="00B0469F">
      <w:pPr>
        <w:rPr>
          <w:rFonts w:eastAsiaTheme="minorEastAsia"/>
          <w:lang w:eastAsia="zh-CN"/>
        </w:rPr>
      </w:pPr>
    </w:p>
    <w:p w14:paraId="00C35236" w14:textId="77777777" w:rsidR="00382AB2" w:rsidRPr="00FA3886" w:rsidRDefault="00382AB2" w:rsidP="00382AB2">
      <w:pPr>
        <w:rPr>
          <w:rFonts w:eastAsia="SimSun" w:cs="v4.2.0"/>
        </w:rPr>
      </w:pPr>
      <w:r w:rsidRPr="00FA3886">
        <w:rPr>
          <w:rFonts w:eastAsia="SimSun" w:cs="v4.2.0"/>
        </w:rPr>
        <w:t xml:space="preserve">The </w:t>
      </w:r>
      <w:r w:rsidRPr="00FA3886">
        <w:rPr>
          <w:rFonts w:eastAsia="SimSun" w:cs="v4.2.0"/>
          <w:lang w:eastAsia="zh-CN"/>
        </w:rPr>
        <w:t xml:space="preserve">absolute </w:t>
      </w:r>
      <w:r w:rsidRPr="00FA3886">
        <w:rPr>
          <w:rFonts w:eastAsia="SimSun" w:cs="v4.2.0"/>
        </w:rPr>
        <w:t xml:space="preserve">accuracy requirements </w:t>
      </w:r>
      <w:r w:rsidRPr="00FA3886">
        <w:rPr>
          <w:rFonts w:eastAsia="SimSun" w:cs="v4.2.0"/>
          <w:lang w:eastAsia="zh-CN"/>
        </w:rPr>
        <w:t xml:space="preserve">for PRS-RSRP measurement for FR1 defined </w:t>
      </w:r>
      <w:r w:rsidRPr="00FA3886">
        <w:rPr>
          <w:rFonts w:eastAsia="SimSun" w:cs="v4.2.0"/>
        </w:rPr>
        <w:t>in Table 10.1.24.2</w:t>
      </w:r>
      <w:r w:rsidRPr="00FA3886">
        <w:rPr>
          <w:rFonts w:eastAsia="SimSun" w:cs="v4.2.0"/>
          <w:lang w:eastAsia="zh-CN"/>
        </w:rPr>
        <w:t>.1</w:t>
      </w:r>
      <w:r w:rsidRPr="00FA3886">
        <w:rPr>
          <w:rFonts w:eastAsia="SimSun" w:cs="v4.2.0"/>
        </w:rPr>
        <w:t>-3</w:t>
      </w:r>
      <w:r w:rsidRPr="00FA3886">
        <w:rPr>
          <w:rFonts w:eastAsia="SimSun" w:cs="v4.2.0"/>
          <w:lang w:eastAsia="zh-CN"/>
        </w:rPr>
        <w:t xml:space="preserve"> </w:t>
      </w:r>
      <w:r w:rsidRPr="00FA3886">
        <w:rPr>
          <w:rFonts w:eastAsia="SimSun" w:cs="v4.2.0"/>
        </w:rPr>
        <w:t>are valid under the following conditions:</w:t>
      </w:r>
    </w:p>
    <w:p w14:paraId="60359AA3" w14:textId="77777777" w:rsidR="00382AB2" w:rsidRPr="00FA3886" w:rsidRDefault="00382AB2" w:rsidP="00382AB2">
      <w:pPr>
        <w:pStyle w:val="B10"/>
        <w:rPr>
          <w:rFonts w:cs="v4.2.0"/>
        </w:rPr>
      </w:pPr>
      <w:r w:rsidRPr="00FA3886">
        <w:t>-</w:t>
      </w:r>
      <w:r w:rsidRPr="00FA3886">
        <w:tab/>
        <w:t>Conditions defined in 3</w:t>
      </w:r>
      <w:r w:rsidRPr="00FA3886">
        <w:rPr>
          <w:lang w:eastAsia="zh-CN"/>
        </w:rPr>
        <w:t>8</w:t>
      </w:r>
      <w:r w:rsidRPr="00FA3886">
        <w:t>.101</w:t>
      </w:r>
      <w:r w:rsidRPr="00FA3886">
        <w:rPr>
          <w:lang w:eastAsia="zh-CN"/>
        </w:rPr>
        <w:t>-1</w:t>
      </w:r>
      <w:r w:rsidRPr="00FA3886">
        <w:t xml:space="preserve"> Clause 7.3 for reference sensitivity are fulfilled.</w:t>
      </w:r>
    </w:p>
    <w:p w14:paraId="037A41D3" w14:textId="77777777" w:rsidR="00382AB2" w:rsidRPr="00FA3886" w:rsidRDefault="00382AB2" w:rsidP="00382AB2">
      <w:pPr>
        <w:pStyle w:val="B10"/>
      </w:pPr>
      <w:r w:rsidRPr="00FA3886">
        <w:t>-</w:t>
      </w:r>
      <w:r w:rsidRPr="00FA3886">
        <w:tab/>
        <w:t>PRP 1,2|</w:t>
      </w:r>
      <w:r w:rsidRPr="00FA3886">
        <w:rPr>
          <w:vertAlign w:val="subscript"/>
        </w:rPr>
        <w:t>dBm</w:t>
      </w:r>
      <w:r w:rsidRPr="00FA3886">
        <w:t xml:space="preserve"> according to Annex B.</w:t>
      </w:r>
      <w:r w:rsidRPr="00FA3886">
        <w:rPr>
          <w:lang w:eastAsia="zh-CN"/>
        </w:rPr>
        <w:t>2.14</w:t>
      </w:r>
      <w:r w:rsidRPr="00FA3886">
        <w:t xml:space="preserve"> for a corresponding Band</w:t>
      </w:r>
    </w:p>
    <w:p w14:paraId="043BFC18" w14:textId="77777777" w:rsidR="00382AB2" w:rsidRPr="00FA3886" w:rsidRDefault="00382AB2" w:rsidP="00382AB2">
      <w:pPr>
        <w:pStyle w:val="B10"/>
      </w:pPr>
      <w:r w:rsidRPr="00FA3886">
        <w:t>-</w:t>
      </w:r>
      <w:r w:rsidRPr="00FA3886">
        <w:tab/>
        <w:t>UE supports positioning measurements with reduced number of samples, and LMF indicates UE to perform positioning measurements with reduced number of samples</w:t>
      </w:r>
    </w:p>
    <w:p w14:paraId="0C42E04A" w14:textId="77777777" w:rsidR="00382AB2" w:rsidRPr="00FA3886" w:rsidRDefault="00382AB2" w:rsidP="00382AB2">
      <w:pPr>
        <w:pStyle w:val="B10"/>
        <w:rPr>
          <w:rFonts w:cs="v4.2.0"/>
        </w:rPr>
      </w:pPr>
      <w:r w:rsidRPr="00FA3886">
        <w:t>-</w:t>
      </w:r>
      <w:r w:rsidRPr="00FA3886">
        <w:tab/>
        <w:t>AWGN channel</w:t>
      </w:r>
    </w:p>
    <w:p w14:paraId="7CA339DE" w14:textId="77777777" w:rsidR="00382AB2" w:rsidRPr="00FA3886" w:rsidRDefault="00382AB2" w:rsidP="00382AB2">
      <w:pPr>
        <w:rPr>
          <w:rFonts w:eastAsia="SimSun" w:cs="v4.2.0"/>
        </w:rPr>
      </w:pPr>
      <w:r w:rsidRPr="00FA3886">
        <w:rPr>
          <w:rFonts w:eastAsia="SimSun" w:cs="v4.2.0"/>
        </w:rPr>
        <w:t xml:space="preserve">The </w:t>
      </w:r>
      <w:r w:rsidRPr="00FA3886">
        <w:rPr>
          <w:rFonts w:eastAsia="SimSun" w:cs="v4.2.0"/>
          <w:lang w:eastAsia="zh-CN"/>
        </w:rPr>
        <w:t xml:space="preserve">absolute </w:t>
      </w:r>
      <w:r w:rsidRPr="00FA3886">
        <w:rPr>
          <w:rFonts w:eastAsia="SimSun" w:cs="v4.2.0"/>
        </w:rPr>
        <w:t xml:space="preserve">accuracy requirements </w:t>
      </w:r>
      <w:r w:rsidRPr="00FA3886">
        <w:rPr>
          <w:rFonts w:eastAsia="SimSun" w:cs="v4.2.0"/>
          <w:lang w:eastAsia="zh-CN"/>
        </w:rPr>
        <w:t xml:space="preserve">for PRS-RSRP measurement for FR2 defined </w:t>
      </w:r>
      <w:r w:rsidRPr="00FA3886">
        <w:rPr>
          <w:rFonts w:eastAsia="SimSun" w:cs="v4.2.0"/>
        </w:rPr>
        <w:t>in Table 10.1.24.2</w:t>
      </w:r>
      <w:r w:rsidRPr="00FA3886">
        <w:rPr>
          <w:rFonts w:eastAsia="SimSun" w:cs="v4.2.0"/>
          <w:lang w:eastAsia="zh-CN"/>
        </w:rPr>
        <w:t>.1</w:t>
      </w:r>
      <w:r w:rsidRPr="00FA3886">
        <w:rPr>
          <w:rFonts w:eastAsia="SimSun" w:cs="v4.2.0"/>
        </w:rPr>
        <w:t>-</w:t>
      </w:r>
      <w:r w:rsidRPr="00FA3886">
        <w:rPr>
          <w:rFonts w:eastAsia="SimSun" w:cs="v4.2.0"/>
          <w:lang w:eastAsia="zh-CN"/>
        </w:rPr>
        <w:t xml:space="preserve">4 </w:t>
      </w:r>
      <w:r w:rsidRPr="00FA3886">
        <w:rPr>
          <w:rFonts w:eastAsia="SimSun" w:cs="v4.2.0"/>
        </w:rPr>
        <w:t>are valid under the following conditions:</w:t>
      </w:r>
    </w:p>
    <w:p w14:paraId="1CEFE253" w14:textId="77777777" w:rsidR="00382AB2" w:rsidRPr="00FA3886" w:rsidRDefault="00382AB2" w:rsidP="00382AB2">
      <w:pPr>
        <w:pStyle w:val="B10"/>
        <w:rPr>
          <w:rFonts w:cs="v4.2.0"/>
        </w:rPr>
      </w:pPr>
      <w:r w:rsidRPr="00FA3886">
        <w:t>-</w:t>
      </w:r>
      <w:r w:rsidRPr="00FA3886">
        <w:tab/>
        <w:t>Conditions defined in 3</w:t>
      </w:r>
      <w:r w:rsidRPr="00FA3886">
        <w:rPr>
          <w:lang w:eastAsia="zh-CN"/>
        </w:rPr>
        <w:t>8</w:t>
      </w:r>
      <w:r w:rsidRPr="00FA3886">
        <w:t>.101</w:t>
      </w:r>
      <w:r w:rsidRPr="00FA3886">
        <w:rPr>
          <w:lang w:eastAsia="zh-CN"/>
        </w:rPr>
        <w:t>-2</w:t>
      </w:r>
      <w:r w:rsidRPr="00FA3886">
        <w:t xml:space="preserve"> Clause 7.3 for reference sensitivity are fulfilled.</w:t>
      </w:r>
    </w:p>
    <w:p w14:paraId="39CA5A8D" w14:textId="77777777" w:rsidR="00382AB2" w:rsidRPr="00FA3886" w:rsidRDefault="00382AB2" w:rsidP="00382AB2">
      <w:pPr>
        <w:pStyle w:val="B10"/>
      </w:pPr>
      <w:r w:rsidRPr="00FA3886">
        <w:t>-</w:t>
      </w:r>
      <w:r w:rsidRPr="00FA3886">
        <w:tab/>
        <w:t>PRP 1,2|</w:t>
      </w:r>
      <w:r w:rsidRPr="00FA3886">
        <w:rPr>
          <w:vertAlign w:val="subscript"/>
        </w:rPr>
        <w:t>dBm</w:t>
      </w:r>
      <w:r w:rsidRPr="00FA3886">
        <w:t xml:space="preserve"> according to Annex B.</w:t>
      </w:r>
      <w:r w:rsidRPr="00FA3886">
        <w:rPr>
          <w:lang w:eastAsia="zh-CN"/>
        </w:rPr>
        <w:t>2.14</w:t>
      </w:r>
      <w:r w:rsidRPr="00FA3886">
        <w:t xml:space="preserve"> for a corresponding Band</w:t>
      </w:r>
    </w:p>
    <w:p w14:paraId="2300A93E" w14:textId="77777777" w:rsidR="00382AB2" w:rsidRPr="00FA3886" w:rsidRDefault="00382AB2" w:rsidP="00382AB2">
      <w:pPr>
        <w:pStyle w:val="B10"/>
      </w:pPr>
      <w:r w:rsidRPr="00FA3886">
        <w:t>-</w:t>
      </w:r>
      <w:r w:rsidRPr="00FA3886">
        <w:tab/>
        <w:t>UE supports positioning measurements with reduced number of samples, and LMF indicates UE to perform positioning measurements with reduced number of samples</w:t>
      </w:r>
    </w:p>
    <w:p w14:paraId="6B697714" w14:textId="16E7B213" w:rsidR="00382AB2" w:rsidRDefault="00382AB2" w:rsidP="00382AB2">
      <w:pPr>
        <w:pStyle w:val="B10"/>
      </w:pPr>
      <w:r w:rsidRPr="00FA3886">
        <w:t>-</w:t>
      </w:r>
      <w:r w:rsidRPr="00FA3886">
        <w:tab/>
        <w:t>AWGN channel</w:t>
      </w:r>
    </w:p>
    <w:p w14:paraId="51A74031" w14:textId="77777777" w:rsidR="00382AB2" w:rsidRPr="00FA3886" w:rsidRDefault="00382AB2" w:rsidP="00382AB2"/>
    <w:p w14:paraId="480A2603" w14:textId="77777777" w:rsidR="00382AB2" w:rsidRPr="00FA3886" w:rsidRDefault="00382AB2" w:rsidP="008657BC">
      <w:pPr>
        <w:pStyle w:val="TH"/>
        <w:rPr>
          <w:lang w:eastAsia="zh-CN"/>
        </w:rPr>
      </w:pPr>
      <w:r w:rsidRPr="00FA3886">
        <w:t xml:space="preserve">Table </w:t>
      </w:r>
      <w:r w:rsidRPr="00FA3886">
        <w:rPr>
          <w:rFonts w:cs="v4.2.0"/>
        </w:rPr>
        <w:t>10.1.24.2</w:t>
      </w:r>
      <w:r w:rsidRPr="00FA3886">
        <w:rPr>
          <w:rFonts w:cs="v4.2.0"/>
          <w:lang w:eastAsia="zh-CN"/>
        </w:rPr>
        <w:t>.1</w:t>
      </w:r>
      <w:r w:rsidRPr="00FA3886">
        <w:rPr>
          <w:rFonts w:cs="v4.2.0"/>
        </w:rPr>
        <w:t>-3</w:t>
      </w:r>
      <w:r w:rsidRPr="00FA3886">
        <w:t>: PRS</w:t>
      </w:r>
      <w:r w:rsidRPr="00FA3886">
        <w:rPr>
          <w:lang w:eastAsia="zh-CN"/>
        </w:rPr>
        <w:t>-</w:t>
      </w:r>
      <w:r w:rsidRPr="00FA3886">
        <w:t xml:space="preserve">RSRP </w:t>
      </w:r>
      <w:r w:rsidRPr="00FA3886">
        <w:rPr>
          <w:lang w:eastAsia="zh-CN"/>
        </w:rPr>
        <w:t xml:space="preserve">absolute </w:t>
      </w:r>
      <w:r w:rsidRPr="00FA3886">
        <w:t>accuracy</w:t>
      </w:r>
      <w:r w:rsidRPr="00FA3886">
        <w:rPr>
          <w:lang w:eastAsia="zh-CN"/>
        </w:rPr>
        <w:t xml:space="preserve"> for FR1 with reduced sample number</w:t>
      </w:r>
    </w:p>
    <w:tbl>
      <w:tblPr>
        <w:tblW w:w="11055" w:type="dxa"/>
        <w:jc w:val="center"/>
        <w:tblLayout w:type="fixed"/>
        <w:tblLook w:val="01E0" w:firstRow="1" w:lastRow="1" w:firstColumn="1" w:lastColumn="1" w:noHBand="0" w:noVBand="0"/>
      </w:tblPr>
      <w:tblGrid>
        <w:gridCol w:w="965"/>
        <w:gridCol w:w="965"/>
        <w:gridCol w:w="827"/>
        <w:gridCol w:w="1140"/>
        <w:gridCol w:w="1178"/>
        <w:gridCol w:w="1586"/>
        <w:gridCol w:w="804"/>
        <w:gridCol w:w="180"/>
        <w:gridCol w:w="1016"/>
        <w:gridCol w:w="1197"/>
        <w:gridCol w:w="1197"/>
      </w:tblGrid>
      <w:tr w:rsidR="00382AB2" w:rsidRPr="00FA3886" w14:paraId="65216C5E" w14:textId="77777777" w:rsidTr="007F4AB1">
        <w:trPr>
          <w:trHeight w:val="430"/>
          <w:jc w:val="center"/>
        </w:trPr>
        <w:tc>
          <w:tcPr>
            <w:tcW w:w="1930" w:type="dxa"/>
            <w:gridSpan w:val="2"/>
            <w:tcBorders>
              <w:top w:val="single" w:sz="4" w:space="0" w:color="auto"/>
              <w:left w:val="single" w:sz="4" w:space="0" w:color="auto"/>
              <w:bottom w:val="single" w:sz="4" w:space="0" w:color="auto"/>
              <w:right w:val="single" w:sz="4" w:space="0" w:color="auto"/>
            </w:tcBorders>
            <w:vAlign w:val="center"/>
            <w:hideMark/>
          </w:tcPr>
          <w:p w14:paraId="486122B9"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Accuracy</w:t>
            </w:r>
          </w:p>
        </w:tc>
        <w:tc>
          <w:tcPr>
            <w:tcW w:w="9125" w:type="dxa"/>
            <w:gridSpan w:val="9"/>
            <w:tcBorders>
              <w:top w:val="single" w:sz="4" w:space="0" w:color="auto"/>
              <w:left w:val="single" w:sz="4" w:space="0" w:color="auto"/>
              <w:bottom w:val="single" w:sz="6" w:space="0" w:color="auto"/>
              <w:right w:val="single" w:sz="4" w:space="0" w:color="auto"/>
            </w:tcBorders>
            <w:vAlign w:val="center"/>
            <w:hideMark/>
          </w:tcPr>
          <w:p w14:paraId="517DE0AF"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Conditions</w:t>
            </w:r>
          </w:p>
        </w:tc>
      </w:tr>
      <w:tr w:rsidR="00382AB2" w:rsidRPr="00FA3886" w14:paraId="4533693E" w14:textId="77777777" w:rsidTr="007F4AB1">
        <w:trPr>
          <w:trHeight w:val="59"/>
          <w:jc w:val="center"/>
        </w:trPr>
        <w:tc>
          <w:tcPr>
            <w:tcW w:w="965" w:type="dxa"/>
            <w:vMerge w:val="restart"/>
            <w:tcBorders>
              <w:top w:val="single" w:sz="4" w:space="0" w:color="auto"/>
              <w:left w:val="single" w:sz="4" w:space="0" w:color="auto"/>
              <w:bottom w:val="nil"/>
              <w:right w:val="single" w:sz="6" w:space="0" w:color="auto"/>
            </w:tcBorders>
            <w:vAlign w:val="center"/>
            <w:hideMark/>
          </w:tcPr>
          <w:p w14:paraId="4E474756"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Normal condition</w:t>
            </w:r>
          </w:p>
        </w:tc>
        <w:tc>
          <w:tcPr>
            <w:tcW w:w="965" w:type="dxa"/>
            <w:vMerge w:val="restart"/>
            <w:tcBorders>
              <w:top w:val="single" w:sz="4" w:space="0" w:color="auto"/>
              <w:left w:val="single" w:sz="4" w:space="0" w:color="auto"/>
              <w:bottom w:val="nil"/>
              <w:right w:val="single" w:sz="6" w:space="0" w:color="auto"/>
            </w:tcBorders>
            <w:vAlign w:val="center"/>
            <w:hideMark/>
          </w:tcPr>
          <w:p w14:paraId="1F888B61"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Extreme condition</w:t>
            </w:r>
          </w:p>
        </w:tc>
        <w:tc>
          <w:tcPr>
            <w:tcW w:w="827" w:type="dxa"/>
            <w:vMerge w:val="restart"/>
            <w:tcBorders>
              <w:top w:val="single" w:sz="6" w:space="0" w:color="auto"/>
              <w:left w:val="single" w:sz="6" w:space="0" w:color="auto"/>
              <w:bottom w:val="nil"/>
              <w:right w:val="single" w:sz="6" w:space="0" w:color="auto"/>
            </w:tcBorders>
            <w:vAlign w:val="center"/>
            <w:hideMark/>
          </w:tcPr>
          <w:p w14:paraId="5457D99C"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PRS Ês/Iot</w:t>
            </w:r>
          </w:p>
        </w:tc>
        <w:tc>
          <w:tcPr>
            <w:tcW w:w="1140" w:type="dxa"/>
            <w:vMerge w:val="restart"/>
            <w:tcBorders>
              <w:top w:val="single" w:sz="6" w:space="0" w:color="auto"/>
              <w:left w:val="single" w:sz="6" w:space="0" w:color="auto"/>
              <w:bottom w:val="nil"/>
              <w:right w:val="single" w:sz="6" w:space="0" w:color="auto"/>
            </w:tcBorders>
            <w:vAlign w:val="center"/>
            <w:hideMark/>
          </w:tcPr>
          <w:p w14:paraId="4944198D"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PRS BW</w:t>
            </w:r>
          </w:p>
        </w:tc>
        <w:tc>
          <w:tcPr>
            <w:tcW w:w="1178" w:type="dxa"/>
            <w:vMerge w:val="restart"/>
            <w:tcBorders>
              <w:top w:val="single" w:sz="6" w:space="0" w:color="auto"/>
              <w:left w:val="single" w:sz="6" w:space="0" w:color="auto"/>
              <w:bottom w:val="nil"/>
              <w:right w:val="single" w:sz="6" w:space="0" w:color="auto"/>
            </w:tcBorders>
            <w:vAlign w:val="center"/>
            <w:hideMark/>
          </w:tcPr>
          <w:p w14:paraId="549514EE" w14:textId="77777777" w:rsidR="00382AB2" w:rsidRPr="00FA3886" w:rsidRDefault="00382AB2" w:rsidP="00ED4E9A">
            <w:pPr>
              <w:keepNext/>
              <w:keepLines/>
              <w:spacing w:after="0"/>
              <w:jc w:val="center"/>
              <w:rPr>
                <w:rFonts w:ascii="Arial" w:hAnsi="Arial" w:cs="Arial"/>
                <w:b/>
                <w:sz w:val="18"/>
                <w:lang w:val="en-US" w:eastAsia="zh-CN"/>
              </w:rPr>
            </w:pPr>
            <w:r w:rsidRPr="00FA3886">
              <w:rPr>
                <w:rFonts w:ascii="Arial" w:hAnsi="Arial" w:cs="Arial"/>
                <w:b/>
                <w:bCs/>
                <w:sz w:val="18"/>
                <w:lang w:eastAsia="zh-CN"/>
              </w:rPr>
              <w:t xml:space="preserve">Repetition factor </w:t>
            </w:r>
          </w:p>
          <w:p w14:paraId="7650DF13"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bCs/>
                <w:sz w:val="18"/>
                <w:lang w:eastAsia="zh-CN"/>
              </w:rPr>
              <w:t>(</w:t>
            </w:r>
            <m:oMath>
              <m:sSubSup>
                <m:sSubSupPr>
                  <m:ctrlPr>
                    <w:rPr>
                      <w:rFonts w:ascii="Cambria Math" w:hAnsi="Cambria Math" w:cs="Arial"/>
                      <w:b/>
                      <w:bCs/>
                      <w:i/>
                      <w:iCs/>
                      <w:sz w:val="18"/>
                      <w:lang w:val="en-US" w:eastAsia="zh-CN"/>
                    </w:rPr>
                  </m:ctrlPr>
                </m:sSubSupPr>
                <m:e>
                  <m:r>
                    <m:rPr>
                      <m:sty m:val="b"/>
                    </m:rPr>
                    <w:rPr>
                      <w:rFonts w:ascii="Cambria Math" w:hAnsi="Cambria Math" w:cs="Arial"/>
                      <w:sz w:val="18"/>
                      <w:lang w:eastAsia="zh-CN"/>
                    </w:rPr>
                    <m:t>T</m:t>
                  </m:r>
                </m:e>
                <m:sub>
                  <m:r>
                    <m:rPr>
                      <m:sty m:val="b"/>
                    </m:rPr>
                    <w:rPr>
                      <w:rFonts w:ascii="Cambria Math" w:hAnsi="Cambria Math" w:cs="Arial"/>
                      <w:sz w:val="18"/>
                      <w:lang w:eastAsia="zh-CN"/>
                    </w:rPr>
                    <m:t>rep</m:t>
                  </m:r>
                </m:sub>
                <m:sup>
                  <m:r>
                    <m:rPr>
                      <m:sty m:val="b"/>
                    </m:rPr>
                    <w:rPr>
                      <w:rFonts w:ascii="Cambria Math" w:hAnsi="Cambria Math" w:cs="Arial"/>
                      <w:sz w:val="18"/>
                      <w:lang w:eastAsia="zh-CN"/>
                    </w:rPr>
                    <m:t>PRS</m:t>
                  </m:r>
                </m:sup>
              </m:sSubSup>
              <m:r>
                <m:rPr>
                  <m:sty m:val="b"/>
                </m:rPr>
                <w:rPr>
                  <w:rFonts w:ascii="Cambria Math" w:hAnsi="Cambria Math" w:cs="Arial"/>
                  <w:sz w:val="18"/>
                  <w:lang w:eastAsia="zh-CN"/>
                </w:rPr>
                <m:t>*</m:t>
              </m:r>
              <m:sSub>
                <m:sSubPr>
                  <m:ctrlPr>
                    <w:rPr>
                      <w:rFonts w:ascii="Cambria Math" w:hAnsi="Cambria Math" w:cs="Arial"/>
                      <w:b/>
                      <w:bCs/>
                      <w:i/>
                      <w:iCs/>
                      <w:sz w:val="18"/>
                      <w:lang w:val="en-US" w:eastAsia="zh-CN"/>
                    </w:rPr>
                  </m:ctrlPr>
                </m:sSubPr>
                <m:e>
                  <m:r>
                    <m:rPr>
                      <m:sty m:val="b"/>
                    </m:rPr>
                    <w:rPr>
                      <w:rFonts w:ascii="Cambria Math" w:hAnsi="Cambria Math" w:cs="Arial"/>
                      <w:sz w:val="18"/>
                      <w:lang w:eastAsia="zh-CN"/>
                    </w:rPr>
                    <m:t>L</m:t>
                  </m:r>
                </m:e>
                <m:sub>
                  <m:r>
                    <m:rPr>
                      <m:sty m:val="b"/>
                    </m:rPr>
                    <w:rPr>
                      <w:rFonts w:ascii="Cambria Math" w:hAnsi="Cambria Math" w:cs="Arial"/>
                      <w:sz w:val="18"/>
                      <w:lang w:eastAsia="zh-CN"/>
                    </w:rPr>
                    <m:t>PRS</m:t>
                  </m:r>
                </m:sub>
              </m:sSub>
              <m:r>
                <m:rPr>
                  <m:sty m:val="b"/>
                </m:rPr>
                <w:rPr>
                  <w:rFonts w:ascii="Cambria Math" w:hAnsi="Cambria Math" w:cs="Arial"/>
                  <w:sz w:val="18"/>
                  <w:lang w:eastAsia="zh-CN"/>
                </w:rPr>
                <m:t>/</m:t>
              </m:r>
              <m:sSubSup>
                <m:sSubSupPr>
                  <m:ctrlPr>
                    <w:rPr>
                      <w:rFonts w:ascii="Cambria Math" w:hAnsi="Cambria Math" w:cs="Arial"/>
                      <w:b/>
                      <w:bCs/>
                      <w:i/>
                      <w:iCs/>
                      <w:sz w:val="18"/>
                      <w:lang w:val="en-US" w:eastAsia="zh-CN"/>
                    </w:rPr>
                  </m:ctrlPr>
                </m:sSubSupPr>
                <m:e>
                  <m:r>
                    <m:rPr>
                      <m:sty m:val="b"/>
                    </m:rPr>
                    <w:rPr>
                      <w:rFonts w:ascii="Cambria Math" w:hAnsi="Cambria Math" w:cs="Arial"/>
                      <w:sz w:val="18"/>
                      <w:lang w:eastAsia="zh-CN"/>
                    </w:rPr>
                    <m:t>K</m:t>
                  </m:r>
                </m:e>
                <m:sub>
                  <m:r>
                    <m:rPr>
                      <m:sty m:val="b"/>
                    </m:rPr>
                    <w:rPr>
                      <w:rFonts w:ascii="Cambria Math" w:hAnsi="Cambria Math" w:cs="Arial"/>
                      <w:sz w:val="18"/>
                      <w:lang w:eastAsia="zh-CN"/>
                    </w:rPr>
                    <m:t>comb</m:t>
                  </m:r>
                </m:sub>
                <m:sup>
                  <m:r>
                    <m:rPr>
                      <m:sty m:val="b"/>
                    </m:rPr>
                    <w:rPr>
                      <w:rFonts w:ascii="Cambria Math" w:hAnsi="Cambria Math" w:cs="Arial"/>
                      <w:sz w:val="18"/>
                      <w:lang w:eastAsia="zh-CN"/>
                    </w:rPr>
                    <m:t>PRS</m:t>
                  </m:r>
                </m:sup>
              </m:sSubSup>
              <m:r>
                <m:rPr>
                  <m:sty m:val="b"/>
                </m:rPr>
                <w:rPr>
                  <w:rFonts w:ascii="Cambria Math" w:hAnsi="Cambria Math" w:cs="Arial"/>
                  <w:sz w:val="18"/>
                  <w:lang w:eastAsia="zh-CN"/>
                </w:rPr>
                <m:t>)</m:t>
              </m:r>
            </m:oMath>
          </w:p>
        </w:tc>
        <w:tc>
          <w:tcPr>
            <w:tcW w:w="5980" w:type="dxa"/>
            <w:gridSpan w:val="6"/>
            <w:tcBorders>
              <w:top w:val="single" w:sz="6" w:space="0" w:color="auto"/>
              <w:left w:val="single" w:sz="6" w:space="0" w:color="auto"/>
              <w:bottom w:val="single" w:sz="6" w:space="0" w:color="auto"/>
              <w:right w:val="single" w:sz="4" w:space="0" w:color="auto"/>
            </w:tcBorders>
            <w:vAlign w:val="center"/>
            <w:hideMark/>
          </w:tcPr>
          <w:p w14:paraId="178ADC55"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Io</w:t>
            </w:r>
            <w:r w:rsidRPr="00FA3886">
              <w:rPr>
                <w:rFonts w:ascii="Arial" w:hAnsi="Arial" w:cs="Arial"/>
                <w:b/>
                <w:sz w:val="18"/>
                <w:vertAlign w:val="superscript"/>
                <w:lang w:eastAsia="zh-CN"/>
              </w:rPr>
              <w:t xml:space="preserve"> Note 6</w:t>
            </w:r>
            <w:r w:rsidRPr="00FA3886">
              <w:rPr>
                <w:rFonts w:ascii="Arial" w:hAnsi="Arial" w:cs="Arial"/>
                <w:b/>
                <w:sz w:val="18"/>
              </w:rPr>
              <w:t xml:space="preserve"> range</w:t>
            </w:r>
          </w:p>
        </w:tc>
      </w:tr>
      <w:tr w:rsidR="00382AB2" w:rsidRPr="00FA3886" w14:paraId="462808F4" w14:textId="77777777" w:rsidTr="007F4AB1">
        <w:trPr>
          <w:trHeight w:val="916"/>
          <w:jc w:val="center"/>
        </w:trPr>
        <w:tc>
          <w:tcPr>
            <w:tcW w:w="965" w:type="dxa"/>
            <w:vMerge/>
            <w:tcBorders>
              <w:top w:val="single" w:sz="4" w:space="0" w:color="auto"/>
              <w:left w:val="single" w:sz="4" w:space="0" w:color="auto"/>
              <w:bottom w:val="nil"/>
              <w:right w:val="single" w:sz="6" w:space="0" w:color="auto"/>
            </w:tcBorders>
            <w:vAlign w:val="center"/>
            <w:hideMark/>
          </w:tcPr>
          <w:p w14:paraId="60594A7C" w14:textId="77777777" w:rsidR="00382AB2" w:rsidRPr="00FA3886" w:rsidRDefault="00382AB2" w:rsidP="00ED4E9A">
            <w:pPr>
              <w:spacing w:after="0"/>
              <w:rPr>
                <w:rFonts w:ascii="Arial" w:eastAsia="SimSun" w:hAnsi="Arial"/>
                <w:b/>
                <w:sz w:val="18"/>
                <w:lang w:eastAsia="zh-CN"/>
              </w:rPr>
            </w:pPr>
          </w:p>
        </w:tc>
        <w:tc>
          <w:tcPr>
            <w:tcW w:w="965" w:type="dxa"/>
            <w:vMerge/>
            <w:tcBorders>
              <w:top w:val="single" w:sz="4" w:space="0" w:color="auto"/>
              <w:left w:val="single" w:sz="4" w:space="0" w:color="auto"/>
              <w:bottom w:val="nil"/>
              <w:right w:val="single" w:sz="6" w:space="0" w:color="auto"/>
            </w:tcBorders>
            <w:vAlign w:val="center"/>
            <w:hideMark/>
          </w:tcPr>
          <w:p w14:paraId="5C8B6484" w14:textId="77777777" w:rsidR="00382AB2" w:rsidRPr="00FA3886" w:rsidRDefault="00382AB2" w:rsidP="00ED4E9A">
            <w:pPr>
              <w:spacing w:after="0"/>
              <w:rPr>
                <w:rFonts w:ascii="Arial" w:eastAsia="SimSun" w:hAnsi="Arial"/>
                <w:b/>
                <w:sz w:val="18"/>
                <w:lang w:eastAsia="zh-CN"/>
              </w:rPr>
            </w:pPr>
          </w:p>
        </w:tc>
        <w:tc>
          <w:tcPr>
            <w:tcW w:w="827" w:type="dxa"/>
            <w:vMerge/>
            <w:tcBorders>
              <w:top w:val="single" w:sz="6" w:space="0" w:color="auto"/>
              <w:left w:val="single" w:sz="6" w:space="0" w:color="auto"/>
              <w:bottom w:val="nil"/>
              <w:right w:val="single" w:sz="6" w:space="0" w:color="auto"/>
            </w:tcBorders>
            <w:vAlign w:val="center"/>
            <w:hideMark/>
          </w:tcPr>
          <w:p w14:paraId="6A9C0440" w14:textId="77777777" w:rsidR="00382AB2" w:rsidRPr="00FA3886" w:rsidRDefault="00382AB2" w:rsidP="00ED4E9A">
            <w:pPr>
              <w:spacing w:after="0"/>
              <w:rPr>
                <w:rFonts w:ascii="Arial" w:eastAsia="SimSun" w:hAnsi="Arial"/>
                <w:b/>
                <w:sz w:val="18"/>
              </w:rPr>
            </w:pPr>
          </w:p>
        </w:tc>
        <w:tc>
          <w:tcPr>
            <w:tcW w:w="1140" w:type="dxa"/>
            <w:vMerge/>
            <w:tcBorders>
              <w:top w:val="single" w:sz="6" w:space="0" w:color="auto"/>
              <w:left w:val="single" w:sz="6" w:space="0" w:color="auto"/>
              <w:bottom w:val="nil"/>
              <w:right w:val="single" w:sz="6" w:space="0" w:color="auto"/>
            </w:tcBorders>
            <w:vAlign w:val="center"/>
            <w:hideMark/>
          </w:tcPr>
          <w:p w14:paraId="7E5C0574" w14:textId="77777777" w:rsidR="00382AB2" w:rsidRPr="00FA3886" w:rsidRDefault="00382AB2" w:rsidP="00ED4E9A">
            <w:pPr>
              <w:spacing w:after="0"/>
              <w:rPr>
                <w:rFonts w:ascii="Arial" w:eastAsia="SimSun" w:hAnsi="Arial"/>
                <w:b/>
                <w:sz w:val="18"/>
                <w:lang w:eastAsia="zh-CN"/>
              </w:rPr>
            </w:pPr>
          </w:p>
        </w:tc>
        <w:tc>
          <w:tcPr>
            <w:tcW w:w="1178" w:type="dxa"/>
            <w:vMerge/>
            <w:tcBorders>
              <w:top w:val="single" w:sz="6" w:space="0" w:color="auto"/>
              <w:left w:val="single" w:sz="6" w:space="0" w:color="auto"/>
              <w:bottom w:val="nil"/>
              <w:right w:val="single" w:sz="6" w:space="0" w:color="auto"/>
            </w:tcBorders>
            <w:vAlign w:val="center"/>
            <w:hideMark/>
          </w:tcPr>
          <w:p w14:paraId="2B4A3D29" w14:textId="77777777" w:rsidR="00382AB2" w:rsidRPr="00FA3886" w:rsidRDefault="00382AB2" w:rsidP="00ED4E9A">
            <w:pPr>
              <w:spacing w:after="0"/>
              <w:rPr>
                <w:rFonts w:ascii="Arial" w:eastAsia="SimSun" w:hAnsi="Arial"/>
                <w:b/>
                <w:sz w:val="18"/>
                <w:lang w:eastAsia="zh-CN"/>
              </w:rPr>
            </w:pPr>
          </w:p>
        </w:tc>
        <w:tc>
          <w:tcPr>
            <w:tcW w:w="1586" w:type="dxa"/>
            <w:tcBorders>
              <w:top w:val="single" w:sz="6" w:space="0" w:color="auto"/>
              <w:left w:val="single" w:sz="6" w:space="0" w:color="auto"/>
              <w:bottom w:val="nil"/>
              <w:right w:val="single" w:sz="6" w:space="0" w:color="auto"/>
            </w:tcBorders>
            <w:vAlign w:val="center"/>
            <w:hideMark/>
          </w:tcPr>
          <w:p w14:paraId="5A1917D9"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NR operating band groups</w:t>
            </w:r>
            <w:r w:rsidRPr="00FA3886">
              <w:rPr>
                <w:rFonts w:ascii="Arial" w:hAnsi="Arial" w:cs="Arial"/>
                <w:b/>
                <w:sz w:val="18"/>
                <w:vertAlign w:val="superscript"/>
              </w:rPr>
              <w:t xml:space="preserve"> Note 7</w:t>
            </w:r>
          </w:p>
        </w:tc>
        <w:tc>
          <w:tcPr>
            <w:tcW w:w="3197" w:type="dxa"/>
            <w:gridSpan w:val="4"/>
            <w:tcBorders>
              <w:top w:val="single" w:sz="6" w:space="0" w:color="auto"/>
              <w:left w:val="single" w:sz="6" w:space="0" w:color="auto"/>
              <w:bottom w:val="nil"/>
              <w:right w:val="single" w:sz="6" w:space="0" w:color="auto"/>
            </w:tcBorders>
            <w:vAlign w:val="center"/>
            <w:hideMark/>
          </w:tcPr>
          <w:p w14:paraId="0FB4C464"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Minimum</w:t>
            </w:r>
            <w:r w:rsidRPr="00FA3886">
              <w:rPr>
                <w:rFonts w:ascii="Arial" w:hAnsi="Arial" w:cs="Arial"/>
                <w:b/>
                <w:sz w:val="18"/>
              </w:rPr>
              <w:br/>
              <w:t xml:space="preserve">Io </w:t>
            </w:r>
            <w:r w:rsidRPr="00FA3886">
              <w:rPr>
                <w:rFonts w:ascii="Arial" w:hAnsi="Arial" w:cs="Arial"/>
                <w:b/>
                <w:sz w:val="18"/>
                <w:vertAlign w:val="superscript"/>
              </w:rPr>
              <w:t>Note 1</w:t>
            </w:r>
          </w:p>
          <w:p w14:paraId="24DEDAAA"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 / SCS</w:t>
            </w:r>
            <w:r w:rsidRPr="00FA3886">
              <w:rPr>
                <w:rFonts w:ascii="Arial" w:hAnsi="Arial" w:cs="Arial"/>
                <w:b/>
                <w:sz w:val="18"/>
                <w:vertAlign w:val="subscript"/>
              </w:rPr>
              <w:t>PRS</w:t>
            </w:r>
          </w:p>
        </w:tc>
        <w:tc>
          <w:tcPr>
            <w:tcW w:w="1197" w:type="dxa"/>
            <w:tcBorders>
              <w:top w:val="single" w:sz="6" w:space="0" w:color="auto"/>
              <w:left w:val="single" w:sz="6" w:space="0" w:color="auto"/>
              <w:bottom w:val="nil"/>
              <w:right w:val="single" w:sz="4" w:space="0" w:color="auto"/>
            </w:tcBorders>
            <w:vAlign w:val="center"/>
            <w:hideMark/>
          </w:tcPr>
          <w:p w14:paraId="1477774A"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Maximum</w:t>
            </w:r>
            <w:r w:rsidRPr="00FA3886">
              <w:rPr>
                <w:rFonts w:ascii="Arial" w:hAnsi="Arial" w:cs="Arial"/>
                <w:b/>
                <w:sz w:val="18"/>
              </w:rPr>
              <w:br/>
              <w:t>Io</w:t>
            </w:r>
          </w:p>
        </w:tc>
      </w:tr>
      <w:tr w:rsidR="00382AB2" w:rsidRPr="00FA3886" w14:paraId="2801E97E" w14:textId="77777777" w:rsidTr="007F4AB1">
        <w:trPr>
          <w:trHeight w:val="162"/>
          <w:jc w:val="center"/>
        </w:trPr>
        <w:tc>
          <w:tcPr>
            <w:tcW w:w="965" w:type="dxa"/>
            <w:vMerge w:val="restart"/>
            <w:tcBorders>
              <w:top w:val="single" w:sz="6" w:space="0" w:color="auto"/>
              <w:left w:val="single" w:sz="4" w:space="0" w:color="auto"/>
              <w:bottom w:val="single" w:sz="6" w:space="0" w:color="auto"/>
              <w:right w:val="single" w:sz="6" w:space="0" w:color="auto"/>
            </w:tcBorders>
            <w:vAlign w:val="center"/>
            <w:hideMark/>
          </w:tcPr>
          <w:p w14:paraId="08EC65E4"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dB</w:t>
            </w:r>
          </w:p>
        </w:tc>
        <w:tc>
          <w:tcPr>
            <w:tcW w:w="965" w:type="dxa"/>
            <w:vMerge w:val="restart"/>
            <w:tcBorders>
              <w:top w:val="single" w:sz="6" w:space="0" w:color="auto"/>
              <w:left w:val="single" w:sz="4" w:space="0" w:color="auto"/>
              <w:bottom w:val="single" w:sz="6" w:space="0" w:color="auto"/>
              <w:right w:val="single" w:sz="6" w:space="0" w:color="auto"/>
            </w:tcBorders>
            <w:vAlign w:val="center"/>
            <w:hideMark/>
          </w:tcPr>
          <w:p w14:paraId="700D88DC"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dB</w:t>
            </w:r>
          </w:p>
        </w:tc>
        <w:tc>
          <w:tcPr>
            <w:tcW w:w="827" w:type="dxa"/>
            <w:vMerge w:val="restart"/>
            <w:tcBorders>
              <w:top w:val="single" w:sz="6" w:space="0" w:color="auto"/>
              <w:left w:val="single" w:sz="6" w:space="0" w:color="auto"/>
              <w:bottom w:val="single" w:sz="6" w:space="0" w:color="auto"/>
              <w:right w:val="single" w:sz="6" w:space="0" w:color="auto"/>
            </w:tcBorders>
            <w:vAlign w:val="center"/>
            <w:hideMark/>
          </w:tcPr>
          <w:p w14:paraId="52484021"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w:t>
            </w:r>
          </w:p>
        </w:tc>
        <w:tc>
          <w:tcPr>
            <w:tcW w:w="1140" w:type="dxa"/>
            <w:vMerge w:val="restart"/>
            <w:tcBorders>
              <w:top w:val="single" w:sz="6" w:space="0" w:color="auto"/>
              <w:left w:val="single" w:sz="6" w:space="0" w:color="auto"/>
              <w:bottom w:val="single" w:sz="6" w:space="0" w:color="auto"/>
              <w:right w:val="single" w:sz="6" w:space="0" w:color="auto"/>
            </w:tcBorders>
            <w:vAlign w:val="center"/>
            <w:hideMark/>
          </w:tcPr>
          <w:p w14:paraId="38D11485"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lang w:eastAsia="zh-CN"/>
              </w:rPr>
              <w:t>P</w:t>
            </w:r>
            <w:r w:rsidRPr="00FA3886">
              <w:rPr>
                <w:rFonts w:ascii="Arial" w:hAnsi="Arial" w:cs="Arial"/>
                <w:b/>
                <w:sz w:val="18"/>
              </w:rPr>
              <w:t>RB</w:t>
            </w:r>
          </w:p>
        </w:tc>
        <w:tc>
          <w:tcPr>
            <w:tcW w:w="1178" w:type="dxa"/>
            <w:vMerge w:val="restart"/>
            <w:tcBorders>
              <w:top w:val="single" w:sz="6" w:space="0" w:color="auto"/>
              <w:left w:val="single" w:sz="6" w:space="0" w:color="auto"/>
              <w:bottom w:val="single" w:sz="6" w:space="0" w:color="auto"/>
              <w:right w:val="single" w:sz="6" w:space="0" w:color="auto"/>
            </w:tcBorders>
            <w:vAlign w:val="center"/>
            <w:hideMark/>
          </w:tcPr>
          <w:p w14:paraId="480D06AF"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lang w:eastAsia="zh-CN"/>
              </w:rPr>
              <w:t>-</w:t>
            </w:r>
          </w:p>
        </w:tc>
        <w:tc>
          <w:tcPr>
            <w:tcW w:w="1586" w:type="dxa"/>
            <w:vMerge w:val="restart"/>
            <w:tcBorders>
              <w:top w:val="single" w:sz="6" w:space="0" w:color="auto"/>
              <w:left w:val="single" w:sz="6" w:space="0" w:color="auto"/>
              <w:bottom w:val="single" w:sz="6" w:space="0" w:color="auto"/>
              <w:right w:val="single" w:sz="6" w:space="0" w:color="auto"/>
            </w:tcBorders>
            <w:vAlign w:val="center"/>
          </w:tcPr>
          <w:p w14:paraId="36C655A5" w14:textId="77777777" w:rsidR="00382AB2" w:rsidRPr="00FA3886" w:rsidRDefault="00382AB2" w:rsidP="00ED4E9A">
            <w:pPr>
              <w:keepNext/>
              <w:keepLines/>
              <w:spacing w:after="0"/>
              <w:jc w:val="center"/>
              <w:rPr>
                <w:rFonts w:ascii="Arial" w:hAnsi="Arial" w:cs="Arial"/>
                <w:b/>
                <w:sz w:val="18"/>
              </w:rPr>
            </w:pPr>
          </w:p>
        </w:tc>
        <w:tc>
          <w:tcPr>
            <w:tcW w:w="3197" w:type="dxa"/>
            <w:gridSpan w:val="4"/>
            <w:tcBorders>
              <w:top w:val="single" w:sz="6" w:space="0" w:color="auto"/>
              <w:left w:val="single" w:sz="6" w:space="0" w:color="auto"/>
              <w:bottom w:val="single" w:sz="6" w:space="0" w:color="auto"/>
              <w:right w:val="single" w:sz="6" w:space="0" w:color="auto"/>
            </w:tcBorders>
            <w:vAlign w:val="center"/>
            <w:hideMark/>
          </w:tcPr>
          <w:p w14:paraId="71D06E42"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 / SCS</w:t>
            </w:r>
            <w:r w:rsidRPr="00FA3886">
              <w:rPr>
                <w:rFonts w:ascii="Arial" w:hAnsi="Arial" w:cs="Arial"/>
                <w:b/>
                <w:sz w:val="18"/>
                <w:vertAlign w:val="subscript"/>
              </w:rPr>
              <w:t>PRS</w:t>
            </w:r>
          </w:p>
        </w:tc>
        <w:tc>
          <w:tcPr>
            <w:tcW w:w="1197" w:type="dxa"/>
            <w:vMerge w:val="restart"/>
            <w:tcBorders>
              <w:top w:val="single" w:sz="6" w:space="0" w:color="auto"/>
              <w:left w:val="single" w:sz="6" w:space="0" w:color="auto"/>
              <w:bottom w:val="single" w:sz="6" w:space="0" w:color="auto"/>
              <w:right w:val="single" w:sz="4" w:space="0" w:color="auto"/>
            </w:tcBorders>
            <w:vAlign w:val="center"/>
            <w:hideMark/>
          </w:tcPr>
          <w:p w14:paraId="6422D994"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dBm/BW</w:t>
            </w:r>
            <w:r w:rsidRPr="00FA3886">
              <w:rPr>
                <w:rFonts w:ascii="Arial" w:hAnsi="Arial" w:cs="Arial"/>
                <w:b/>
                <w:sz w:val="18"/>
                <w:vertAlign w:val="subscript"/>
              </w:rPr>
              <w:t>Channel</w:t>
            </w:r>
          </w:p>
        </w:tc>
      </w:tr>
      <w:tr w:rsidR="00382AB2" w:rsidRPr="00FA3886" w14:paraId="73A25F52" w14:textId="77777777" w:rsidTr="007F4AB1">
        <w:trPr>
          <w:trHeight w:val="161"/>
          <w:jc w:val="center"/>
        </w:trPr>
        <w:tc>
          <w:tcPr>
            <w:tcW w:w="965" w:type="dxa"/>
            <w:vMerge/>
            <w:tcBorders>
              <w:top w:val="single" w:sz="6" w:space="0" w:color="auto"/>
              <w:left w:val="single" w:sz="4" w:space="0" w:color="auto"/>
              <w:bottom w:val="single" w:sz="6" w:space="0" w:color="auto"/>
              <w:right w:val="single" w:sz="6" w:space="0" w:color="auto"/>
            </w:tcBorders>
            <w:vAlign w:val="center"/>
            <w:hideMark/>
          </w:tcPr>
          <w:p w14:paraId="6C6761BC" w14:textId="77777777" w:rsidR="00382AB2" w:rsidRPr="00FA3886" w:rsidRDefault="00382AB2" w:rsidP="00ED4E9A">
            <w:pPr>
              <w:spacing w:after="0"/>
              <w:rPr>
                <w:rFonts w:ascii="Arial" w:eastAsia="SimSun" w:hAnsi="Arial"/>
                <w:b/>
                <w:sz w:val="18"/>
                <w:lang w:eastAsia="zh-CN"/>
              </w:rPr>
            </w:pPr>
          </w:p>
        </w:tc>
        <w:tc>
          <w:tcPr>
            <w:tcW w:w="965" w:type="dxa"/>
            <w:vMerge/>
            <w:tcBorders>
              <w:top w:val="single" w:sz="6" w:space="0" w:color="auto"/>
              <w:left w:val="single" w:sz="4" w:space="0" w:color="auto"/>
              <w:bottom w:val="single" w:sz="6" w:space="0" w:color="auto"/>
              <w:right w:val="single" w:sz="6" w:space="0" w:color="auto"/>
            </w:tcBorders>
            <w:vAlign w:val="center"/>
            <w:hideMark/>
          </w:tcPr>
          <w:p w14:paraId="551D56C4" w14:textId="77777777" w:rsidR="00382AB2" w:rsidRPr="00FA3886" w:rsidRDefault="00382AB2" w:rsidP="00ED4E9A">
            <w:pPr>
              <w:spacing w:after="0"/>
              <w:rPr>
                <w:rFonts w:ascii="Arial" w:eastAsia="SimSun" w:hAnsi="Arial"/>
                <w:b/>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61968594" w14:textId="77777777" w:rsidR="00382AB2" w:rsidRPr="00FA3886" w:rsidRDefault="00382AB2" w:rsidP="00ED4E9A">
            <w:pPr>
              <w:spacing w:after="0"/>
              <w:rPr>
                <w:rFonts w:ascii="Arial" w:eastAsia="SimSun" w:hAnsi="Arial"/>
                <w:b/>
                <w:sz w:val="18"/>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668F5994" w14:textId="77777777" w:rsidR="00382AB2" w:rsidRPr="00FA3886" w:rsidRDefault="00382AB2" w:rsidP="00ED4E9A">
            <w:pPr>
              <w:spacing w:after="0"/>
              <w:rPr>
                <w:rFonts w:ascii="Arial" w:eastAsia="SimSun" w:hAnsi="Arial"/>
                <w:b/>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246C624D" w14:textId="77777777" w:rsidR="00382AB2" w:rsidRPr="00FA3886" w:rsidRDefault="00382AB2" w:rsidP="00ED4E9A">
            <w:pPr>
              <w:spacing w:after="0"/>
              <w:rPr>
                <w:rFonts w:ascii="Arial" w:eastAsia="SimSun" w:hAnsi="Arial"/>
                <w:b/>
                <w:sz w:val="18"/>
              </w:rPr>
            </w:pPr>
          </w:p>
        </w:tc>
        <w:tc>
          <w:tcPr>
            <w:tcW w:w="1586" w:type="dxa"/>
            <w:vMerge/>
            <w:tcBorders>
              <w:top w:val="single" w:sz="6" w:space="0" w:color="auto"/>
              <w:left w:val="single" w:sz="6" w:space="0" w:color="auto"/>
              <w:bottom w:val="single" w:sz="6" w:space="0" w:color="auto"/>
              <w:right w:val="single" w:sz="6" w:space="0" w:color="auto"/>
            </w:tcBorders>
            <w:vAlign w:val="center"/>
            <w:hideMark/>
          </w:tcPr>
          <w:p w14:paraId="6D03EE26" w14:textId="77777777" w:rsidR="00382AB2" w:rsidRPr="00FA3886" w:rsidRDefault="00382AB2" w:rsidP="00ED4E9A">
            <w:pPr>
              <w:spacing w:after="0"/>
              <w:rPr>
                <w:rFonts w:ascii="Arial" w:eastAsia="SimSun" w:hAnsi="Arial"/>
                <w:b/>
                <w:sz w:val="18"/>
              </w:rPr>
            </w:pPr>
          </w:p>
        </w:tc>
        <w:tc>
          <w:tcPr>
            <w:tcW w:w="984" w:type="dxa"/>
            <w:gridSpan w:val="2"/>
            <w:tcBorders>
              <w:top w:val="single" w:sz="6" w:space="0" w:color="auto"/>
              <w:left w:val="single" w:sz="6" w:space="0" w:color="auto"/>
              <w:bottom w:val="single" w:sz="6" w:space="0" w:color="auto"/>
              <w:right w:val="single" w:sz="6" w:space="0" w:color="auto"/>
            </w:tcBorders>
            <w:vAlign w:val="center"/>
            <w:hideMark/>
          </w:tcPr>
          <w:p w14:paraId="4AD42143"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dBm/15kHz</w:t>
            </w:r>
            <w:r w:rsidRPr="00FA3886">
              <w:rPr>
                <w:rFonts w:ascii="Arial" w:hAnsi="Arial" w:cs="Arial"/>
                <w:b/>
                <w:sz w:val="18"/>
                <w:vertAlign w:val="superscript"/>
                <w:lang w:eastAsia="zh-CN"/>
              </w:rPr>
              <w:t xml:space="preserve"> Note 5</w:t>
            </w:r>
          </w:p>
        </w:tc>
        <w:tc>
          <w:tcPr>
            <w:tcW w:w="1016" w:type="dxa"/>
            <w:tcBorders>
              <w:top w:val="single" w:sz="6" w:space="0" w:color="auto"/>
              <w:left w:val="single" w:sz="6" w:space="0" w:color="auto"/>
              <w:bottom w:val="single" w:sz="6" w:space="0" w:color="auto"/>
              <w:right w:val="single" w:sz="6" w:space="0" w:color="auto"/>
            </w:tcBorders>
            <w:vAlign w:val="center"/>
            <w:hideMark/>
          </w:tcPr>
          <w:p w14:paraId="470CF21D"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w:t>
            </w:r>
            <w:r w:rsidRPr="00FA3886">
              <w:rPr>
                <w:rFonts w:ascii="Arial" w:hAnsi="Arial" w:cs="Arial"/>
                <w:b/>
                <w:sz w:val="18"/>
                <w:lang w:eastAsia="zh-CN"/>
              </w:rPr>
              <w:t>30</w:t>
            </w:r>
            <w:r w:rsidRPr="00FA3886">
              <w:rPr>
                <w:rFonts w:ascii="Arial" w:hAnsi="Arial" w:cs="Arial"/>
                <w:b/>
                <w:sz w:val="18"/>
              </w:rPr>
              <w:t>kHz</w:t>
            </w:r>
            <w:r w:rsidRPr="00FA3886">
              <w:rPr>
                <w:rFonts w:ascii="Arial" w:hAnsi="Arial" w:cs="Arial"/>
                <w:b/>
                <w:sz w:val="18"/>
                <w:vertAlign w:val="superscript"/>
                <w:lang w:eastAsia="zh-CN"/>
              </w:rPr>
              <w:t xml:space="preserve"> Note 5</w:t>
            </w:r>
          </w:p>
        </w:tc>
        <w:tc>
          <w:tcPr>
            <w:tcW w:w="1197" w:type="dxa"/>
            <w:tcBorders>
              <w:top w:val="nil"/>
              <w:left w:val="single" w:sz="6" w:space="0" w:color="auto"/>
              <w:bottom w:val="single" w:sz="6" w:space="0" w:color="auto"/>
              <w:right w:val="single" w:sz="6" w:space="0" w:color="auto"/>
            </w:tcBorders>
            <w:hideMark/>
          </w:tcPr>
          <w:p w14:paraId="56B11627"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w:t>
            </w:r>
            <w:r w:rsidRPr="00FA3886">
              <w:rPr>
                <w:rFonts w:ascii="Arial" w:hAnsi="Arial" w:cs="Arial"/>
                <w:b/>
                <w:sz w:val="18"/>
                <w:lang w:eastAsia="zh-CN"/>
              </w:rPr>
              <w:t>60</w:t>
            </w:r>
            <w:r w:rsidRPr="00FA3886">
              <w:rPr>
                <w:rFonts w:ascii="Arial" w:hAnsi="Arial" w:cs="Arial"/>
                <w:b/>
                <w:sz w:val="18"/>
              </w:rPr>
              <w:t>kHz</w:t>
            </w:r>
            <w:r w:rsidRPr="00FA3886">
              <w:rPr>
                <w:rFonts w:ascii="Arial" w:hAnsi="Arial" w:cs="Arial"/>
                <w:b/>
                <w:sz w:val="18"/>
                <w:vertAlign w:val="superscript"/>
                <w:lang w:eastAsia="zh-CN"/>
              </w:rPr>
              <w:t xml:space="preserve"> Note 5</w:t>
            </w:r>
          </w:p>
        </w:tc>
        <w:tc>
          <w:tcPr>
            <w:tcW w:w="1197" w:type="dxa"/>
            <w:vMerge/>
            <w:tcBorders>
              <w:top w:val="single" w:sz="6" w:space="0" w:color="auto"/>
              <w:left w:val="single" w:sz="6" w:space="0" w:color="auto"/>
              <w:bottom w:val="single" w:sz="6" w:space="0" w:color="auto"/>
              <w:right w:val="single" w:sz="4" w:space="0" w:color="auto"/>
            </w:tcBorders>
            <w:vAlign w:val="center"/>
            <w:hideMark/>
          </w:tcPr>
          <w:p w14:paraId="62ABCB47" w14:textId="77777777" w:rsidR="00382AB2" w:rsidRPr="00FA3886" w:rsidRDefault="00382AB2" w:rsidP="00ED4E9A">
            <w:pPr>
              <w:spacing w:after="0"/>
              <w:rPr>
                <w:rFonts w:ascii="Arial" w:eastAsia="SimSun" w:hAnsi="Arial"/>
                <w:b/>
                <w:sz w:val="18"/>
              </w:rPr>
            </w:pPr>
          </w:p>
        </w:tc>
      </w:tr>
      <w:tr w:rsidR="007F4AB1" w:rsidRPr="00FA3886" w14:paraId="0914296C" w14:textId="77777777" w:rsidTr="007F4AB1">
        <w:trPr>
          <w:trHeight w:val="37"/>
          <w:jc w:val="center"/>
        </w:trPr>
        <w:tc>
          <w:tcPr>
            <w:tcW w:w="965" w:type="dxa"/>
            <w:vMerge w:val="restart"/>
            <w:tcBorders>
              <w:top w:val="single" w:sz="6" w:space="0" w:color="auto"/>
              <w:left w:val="single" w:sz="6" w:space="0" w:color="auto"/>
              <w:bottom w:val="single" w:sz="6" w:space="0" w:color="auto"/>
              <w:right w:val="single" w:sz="6" w:space="0" w:color="auto"/>
            </w:tcBorders>
            <w:vAlign w:val="center"/>
            <w:hideMark/>
          </w:tcPr>
          <w:p w14:paraId="372FC8A5" w14:textId="499AABCC" w:rsidR="007F4AB1" w:rsidRPr="00FA3886" w:rsidRDefault="007F4AB1" w:rsidP="007F4AB1">
            <w:pPr>
              <w:pStyle w:val="TAC"/>
              <w:rPr>
                <w:lang w:eastAsia="zh-CN"/>
              </w:rPr>
            </w:pPr>
            <w:r w:rsidRPr="00FA3886">
              <w:rPr>
                <w:rFonts w:hint="eastAsia"/>
                <w:lang w:eastAsia="zh-CN"/>
              </w:rPr>
              <w:t>±</w:t>
            </w:r>
            <w:r w:rsidRPr="00FA3886">
              <w:rPr>
                <w:lang w:eastAsia="zh-CN"/>
              </w:rPr>
              <w:t>3.5</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14:paraId="3F314585" w14:textId="799FB3EE" w:rsidR="007F4AB1" w:rsidRPr="00FA3886" w:rsidRDefault="007F4AB1" w:rsidP="007F4AB1">
            <w:pPr>
              <w:pStyle w:val="TAC"/>
              <w:rPr>
                <w:lang w:eastAsia="zh-CN"/>
              </w:rPr>
            </w:pPr>
            <w:r w:rsidRPr="00FA3886">
              <w:rPr>
                <w:rFonts w:hint="eastAsia"/>
                <w:lang w:eastAsia="zh-CN"/>
              </w:rPr>
              <w:t>±</w:t>
            </w:r>
            <w:r w:rsidRPr="00FA3886">
              <w:rPr>
                <w:lang w:eastAsia="zh-CN"/>
              </w:rPr>
              <w:t>8</w:t>
            </w:r>
          </w:p>
        </w:tc>
        <w:tc>
          <w:tcPr>
            <w:tcW w:w="827" w:type="dxa"/>
            <w:vMerge w:val="restart"/>
            <w:tcBorders>
              <w:top w:val="single" w:sz="6" w:space="0" w:color="auto"/>
              <w:left w:val="single" w:sz="6" w:space="0" w:color="auto"/>
              <w:bottom w:val="single" w:sz="6" w:space="0" w:color="auto"/>
              <w:right w:val="single" w:sz="6" w:space="0" w:color="auto"/>
            </w:tcBorders>
            <w:vAlign w:val="center"/>
            <w:hideMark/>
          </w:tcPr>
          <w:p w14:paraId="6044E884" w14:textId="127035B5" w:rsidR="007F4AB1" w:rsidRPr="00FA3886" w:rsidRDefault="007F4AB1" w:rsidP="007F4AB1">
            <w:pPr>
              <w:pStyle w:val="TAC"/>
              <w:rPr>
                <w:lang w:eastAsia="zh-CN"/>
              </w:rPr>
            </w:pPr>
            <w:r w:rsidRPr="00FA3886">
              <w:t>≥</w:t>
            </w:r>
            <w:r>
              <w:t>0</w:t>
            </w:r>
          </w:p>
        </w:tc>
        <w:tc>
          <w:tcPr>
            <w:tcW w:w="1140" w:type="dxa"/>
            <w:vMerge w:val="restart"/>
            <w:tcBorders>
              <w:top w:val="single" w:sz="6" w:space="0" w:color="auto"/>
              <w:left w:val="single" w:sz="6" w:space="0" w:color="auto"/>
              <w:bottom w:val="single" w:sz="6" w:space="0" w:color="auto"/>
              <w:right w:val="single" w:sz="6" w:space="0" w:color="auto"/>
            </w:tcBorders>
            <w:vAlign w:val="center"/>
            <w:hideMark/>
          </w:tcPr>
          <w:p w14:paraId="4E98EAB1" w14:textId="066AE7A4" w:rsidR="007F4AB1" w:rsidRPr="00FA3886" w:rsidRDefault="007F4AB1" w:rsidP="007F4AB1">
            <w:pPr>
              <w:pStyle w:val="TAC"/>
            </w:pPr>
            <w:r w:rsidRPr="00FA3886">
              <w:t>≥</w:t>
            </w:r>
            <w:r w:rsidRPr="00FA3886">
              <w:rPr>
                <w:lang w:eastAsia="zh-CN"/>
              </w:rPr>
              <w:t>48</w:t>
            </w:r>
          </w:p>
        </w:tc>
        <w:tc>
          <w:tcPr>
            <w:tcW w:w="1178" w:type="dxa"/>
            <w:vMerge w:val="restart"/>
            <w:tcBorders>
              <w:top w:val="single" w:sz="6" w:space="0" w:color="auto"/>
              <w:left w:val="single" w:sz="6" w:space="0" w:color="auto"/>
              <w:bottom w:val="single" w:sz="6" w:space="0" w:color="auto"/>
              <w:right w:val="single" w:sz="6" w:space="0" w:color="auto"/>
            </w:tcBorders>
            <w:vAlign w:val="center"/>
            <w:hideMark/>
          </w:tcPr>
          <w:p w14:paraId="5B7060DD" w14:textId="4E61E2FC" w:rsidR="007F4AB1" w:rsidRPr="00FA3886" w:rsidRDefault="007F4AB1" w:rsidP="007F4AB1">
            <w:pPr>
              <w:pStyle w:val="TAC"/>
              <w:rPr>
                <w:lang w:eastAsia="zh-CN"/>
              </w:rPr>
            </w:pPr>
            <w:r w:rsidRPr="00FA3886">
              <w:rPr>
                <w:lang w:eastAsia="zh-CN"/>
              </w:rPr>
              <w:t>All</w:t>
            </w:r>
          </w:p>
        </w:tc>
        <w:tc>
          <w:tcPr>
            <w:tcW w:w="1586" w:type="dxa"/>
            <w:tcBorders>
              <w:top w:val="single" w:sz="6" w:space="0" w:color="auto"/>
              <w:left w:val="single" w:sz="6" w:space="0" w:color="auto"/>
              <w:bottom w:val="single" w:sz="6" w:space="0" w:color="auto"/>
              <w:right w:val="single" w:sz="6" w:space="0" w:color="auto"/>
            </w:tcBorders>
            <w:vAlign w:val="center"/>
            <w:hideMark/>
          </w:tcPr>
          <w:p w14:paraId="0140F2F4" w14:textId="77777777" w:rsidR="007F4AB1" w:rsidRPr="00FA3886" w:rsidRDefault="007F4AB1" w:rsidP="007F4AB1">
            <w:pPr>
              <w:keepNext/>
              <w:keepLines/>
              <w:spacing w:after="0"/>
              <w:jc w:val="center"/>
              <w:rPr>
                <w:rFonts w:ascii="Arial" w:hAnsi="Arial" w:cs="Arial"/>
                <w:sz w:val="16"/>
                <w:szCs w:val="16"/>
              </w:rPr>
            </w:pPr>
            <w:r w:rsidRPr="00FA3886">
              <w:rPr>
                <w:rFonts w:ascii="Arial" w:hAnsi="Arial" w:cs="Arial"/>
                <w:sz w:val="16"/>
                <w:szCs w:val="16"/>
              </w:rPr>
              <w:t xml:space="preserve">NR_FDD_FR1_A, NR_TDD_FR1_A, </w:t>
            </w:r>
            <w:r w:rsidRPr="00FA3886">
              <w:rPr>
                <w:rFonts w:ascii="Arial" w:hAnsi="Arial" w:cs="Arial"/>
                <w:sz w:val="16"/>
                <w:szCs w:val="16"/>
                <w:lang w:val="en-US"/>
              </w:rPr>
              <w:t>NR_SDL_FR1_A</w:t>
            </w:r>
          </w:p>
        </w:tc>
        <w:tc>
          <w:tcPr>
            <w:tcW w:w="804" w:type="dxa"/>
            <w:tcBorders>
              <w:top w:val="single" w:sz="6" w:space="0" w:color="auto"/>
              <w:left w:val="single" w:sz="6" w:space="0" w:color="auto"/>
              <w:bottom w:val="single" w:sz="6" w:space="0" w:color="auto"/>
              <w:right w:val="single" w:sz="6" w:space="0" w:color="auto"/>
            </w:tcBorders>
            <w:vAlign w:val="center"/>
            <w:hideMark/>
          </w:tcPr>
          <w:p w14:paraId="33B52700"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-127</w:t>
            </w:r>
          </w:p>
        </w:tc>
        <w:tc>
          <w:tcPr>
            <w:tcW w:w="1196" w:type="dxa"/>
            <w:gridSpan w:val="2"/>
            <w:tcBorders>
              <w:top w:val="single" w:sz="6" w:space="0" w:color="auto"/>
              <w:left w:val="single" w:sz="6" w:space="0" w:color="auto"/>
              <w:bottom w:val="single" w:sz="6" w:space="0" w:color="auto"/>
              <w:right w:val="single" w:sz="6" w:space="0" w:color="auto"/>
            </w:tcBorders>
            <w:vAlign w:val="center"/>
            <w:hideMark/>
          </w:tcPr>
          <w:p w14:paraId="47A5F2DB"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-124</w:t>
            </w:r>
          </w:p>
        </w:tc>
        <w:tc>
          <w:tcPr>
            <w:tcW w:w="1197" w:type="dxa"/>
            <w:tcBorders>
              <w:top w:val="single" w:sz="6" w:space="0" w:color="auto"/>
              <w:left w:val="single" w:sz="6" w:space="0" w:color="auto"/>
              <w:bottom w:val="single" w:sz="6" w:space="0" w:color="auto"/>
              <w:right w:val="single" w:sz="6" w:space="0" w:color="auto"/>
            </w:tcBorders>
            <w:vAlign w:val="center"/>
            <w:hideMark/>
          </w:tcPr>
          <w:p w14:paraId="4462A851"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-121</w:t>
            </w:r>
          </w:p>
        </w:tc>
        <w:tc>
          <w:tcPr>
            <w:tcW w:w="1197" w:type="dxa"/>
            <w:tcBorders>
              <w:top w:val="single" w:sz="6" w:space="0" w:color="auto"/>
              <w:left w:val="single" w:sz="6" w:space="0" w:color="auto"/>
              <w:bottom w:val="single" w:sz="6" w:space="0" w:color="auto"/>
              <w:right w:val="single" w:sz="4" w:space="0" w:color="auto"/>
            </w:tcBorders>
            <w:vAlign w:val="center"/>
            <w:hideMark/>
          </w:tcPr>
          <w:p w14:paraId="17E00B09"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-50</w:t>
            </w:r>
          </w:p>
        </w:tc>
      </w:tr>
      <w:tr w:rsidR="00382AB2" w:rsidRPr="00FA3886" w14:paraId="7DB243D5" w14:textId="77777777" w:rsidTr="007F4AB1">
        <w:trPr>
          <w:trHeight w:val="30"/>
          <w:jc w:val="center"/>
        </w:trPr>
        <w:tc>
          <w:tcPr>
            <w:tcW w:w="965" w:type="dxa"/>
            <w:vMerge/>
            <w:tcBorders>
              <w:top w:val="single" w:sz="6" w:space="0" w:color="auto"/>
              <w:left w:val="single" w:sz="6" w:space="0" w:color="auto"/>
              <w:bottom w:val="single" w:sz="6" w:space="0" w:color="auto"/>
              <w:right w:val="single" w:sz="6" w:space="0" w:color="auto"/>
            </w:tcBorders>
            <w:vAlign w:val="center"/>
            <w:hideMark/>
          </w:tcPr>
          <w:p w14:paraId="6585BCD8" w14:textId="77777777" w:rsidR="00382AB2" w:rsidRPr="00FA3886" w:rsidRDefault="00382AB2" w:rsidP="00ED4E9A">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56AA958A" w14:textId="77777777" w:rsidR="00382AB2" w:rsidRPr="00FA3886" w:rsidRDefault="00382AB2" w:rsidP="00ED4E9A">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6937BEA0" w14:textId="77777777" w:rsidR="00382AB2" w:rsidRPr="00FA3886" w:rsidRDefault="00382AB2" w:rsidP="00ED4E9A">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1A98E4C2" w14:textId="77777777" w:rsidR="00382AB2" w:rsidRPr="00FA3886" w:rsidRDefault="00382AB2" w:rsidP="00ED4E9A">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768C97C7" w14:textId="77777777" w:rsidR="00382AB2" w:rsidRPr="00FA3886" w:rsidRDefault="00382AB2" w:rsidP="00ED4E9A">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6" w:space="0" w:color="auto"/>
            </w:tcBorders>
            <w:vAlign w:val="center"/>
            <w:hideMark/>
          </w:tcPr>
          <w:p w14:paraId="0AA79B11" w14:textId="77777777" w:rsidR="00382AB2" w:rsidRPr="00FA3886" w:rsidRDefault="00382AB2" w:rsidP="00ED4E9A">
            <w:pPr>
              <w:keepNext/>
              <w:keepLines/>
              <w:spacing w:after="0"/>
              <w:jc w:val="center"/>
              <w:rPr>
                <w:rFonts w:ascii="Arial" w:hAnsi="Arial" w:cs="Arial"/>
                <w:sz w:val="16"/>
                <w:szCs w:val="16"/>
              </w:rPr>
            </w:pPr>
            <w:r w:rsidRPr="00FA3886">
              <w:rPr>
                <w:rFonts w:ascii="Arial" w:hAnsi="Arial" w:cs="Arial"/>
                <w:sz w:val="16"/>
                <w:szCs w:val="16"/>
                <w:lang w:val="sv-SE"/>
              </w:rPr>
              <w:t>NR_FDD_FR1_B</w:t>
            </w:r>
          </w:p>
        </w:tc>
        <w:tc>
          <w:tcPr>
            <w:tcW w:w="804" w:type="dxa"/>
            <w:tcBorders>
              <w:top w:val="single" w:sz="6" w:space="0" w:color="auto"/>
              <w:left w:val="single" w:sz="6" w:space="0" w:color="auto"/>
              <w:bottom w:val="single" w:sz="6" w:space="0" w:color="auto"/>
              <w:right w:val="single" w:sz="6" w:space="0" w:color="auto"/>
            </w:tcBorders>
            <w:vAlign w:val="center"/>
            <w:hideMark/>
          </w:tcPr>
          <w:p w14:paraId="5AF492B2"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-126.5</w:t>
            </w:r>
          </w:p>
        </w:tc>
        <w:tc>
          <w:tcPr>
            <w:tcW w:w="1196" w:type="dxa"/>
            <w:gridSpan w:val="2"/>
            <w:tcBorders>
              <w:top w:val="single" w:sz="6" w:space="0" w:color="auto"/>
              <w:left w:val="single" w:sz="6" w:space="0" w:color="auto"/>
              <w:bottom w:val="single" w:sz="6" w:space="0" w:color="auto"/>
              <w:right w:val="single" w:sz="6" w:space="0" w:color="auto"/>
            </w:tcBorders>
            <w:vAlign w:val="center"/>
            <w:hideMark/>
          </w:tcPr>
          <w:p w14:paraId="73ACA75A"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-123.5</w:t>
            </w:r>
          </w:p>
        </w:tc>
        <w:tc>
          <w:tcPr>
            <w:tcW w:w="1197" w:type="dxa"/>
            <w:tcBorders>
              <w:top w:val="single" w:sz="6" w:space="0" w:color="auto"/>
              <w:left w:val="single" w:sz="6" w:space="0" w:color="auto"/>
              <w:bottom w:val="single" w:sz="6" w:space="0" w:color="auto"/>
              <w:right w:val="single" w:sz="6" w:space="0" w:color="auto"/>
            </w:tcBorders>
            <w:vAlign w:val="center"/>
            <w:hideMark/>
          </w:tcPr>
          <w:p w14:paraId="419D2F17"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-120.5</w:t>
            </w:r>
          </w:p>
        </w:tc>
        <w:tc>
          <w:tcPr>
            <w:tcW w:w="1197" w:type="dxa"/>
            <w:tcBorders>
              <w:top w:val="single" w:sz="6" w:space="0" w:color="auto"/>
              <w:left w:val="single" w:sz="6" w:space="0" w:color="auto"/>
              <w:bottom w:val="single" w:sz="6" w:space="0" w:color="auto"/>
              <w:right w:val="single" w:sz="4" w:space="0" w:color="auto"/>
            </w:tcBorders>
            <w:vAlign w:val="center"/>
            <w:hideMark/>
          </w:tcPr>
          <w:p w14:paraId="462467E3"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lang w:eastAsia="ja-JP"/>
              </w:rPr>
              <w:t>-50</w:t>
            </w:r>
          </w:p>
        </w:tc>
      </w:tr>
      <w:tr w:rsidR="00382AB2" w:rsidRPr="00FA3886" w14:paraId="2D2E0BFC" w14:textId="77777777" w:rsidTr="007F4AB1">
        <w:trPr>
          <w:trHeight w:val="30"/>
          <w:jc w:val="center"/>
        </w:trPr>
        <w:tc>
          <w:tcPr>
            <w:tcW w:w="965" w:type="dxa"/>
            <w:vMerge/>
            <w:tcBorders>
              <w:top w:val="single" w:sz="6" w:space="0" w:color="auto"/>
              <w:left w:val="single" w:sz="6" w:space="0" w:color="auto"/>
              <w:bottom w:val="single" w:sz="6" w:space="0" w:color="auto"/>
              <w:right w:val="single" w:sz="6" w:space="0" w:color="auto"/>
            </w:tcBorders>
            <w:vAlign w:val="center"/>
            <w:hideMark/>
          </w:tcPr>
          <w:p w14:paraId="3AE13073" w14:textId="77777777" w:rsidR="00382AB2" w:rsidRPr="00FA3886" w:rsidRDefault="00382AB2" w:rsidP="00ED4E9A">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6C0C7F2C" w14:textId="77777777" w:rsidR="00382AB2" w:rsidRPr="00FA3886" w:rsidRDefault="00382AB2" w:rsidP="00ED4E9A">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36779B31" w14:textId="77777777" w:rsidR="00382AB2" w:rsidRPr="00FA3886" w:rsidRDefault="00382AB2" w:rsidP="00ED4E9A">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25898955" w14:textId="77777777" w:rsidR="00382AB2" w:rsidRPr="00FA3886" w:rsidRDefault="00382AB2" w:rsidP="00ED4E9A">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28665640" w14:textId="77777777" w:rsidR="00382AB2" w:rsidRPr="00FA3886" w:rsidRDefault="00382AB2" w:rsidP="00ED4E9A">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6" w:space="0" w:color="auto"/>
            </w:tcBorders>
            <w:vAlign w:val="center"/>
            <w:hideMark/>
          </w:tcPr>
          <w:p w14:paraId="341D3653" w14:textId="77777777" w:rsidR="00382AB2" w:rsidRPr="00FA3886" w:rsidRDefault="00382AB2" w:rsidP="00ED4E9A">
            <w:pPr>
              <w:keepNext/>
              <w:keepLines/>
              <w:spacing w:after="0"/>
              <w:jc w:val="center"/>
              <w:rPr>
                <w:rFonts w:ascii="Arial" w:hAnsi="Arial" w:cs="Arial"/>
                <w:sz w:val="16"/>
                <w:szCs w:val="16"/>
              </w:rPr>
            </w:pPr>
            <w:r w:rsidRPr="00FA3886">
              <w:rPr>
                <w:rFonts w:ascii="Arial" w:hAnsi="Arial" w:cs="Arial"/>
                <w:sz w:val="16"/>
                <w:szCs w:val="16"/>
                <w:lang w:val="sv-SE"/>
              </w:rPr>
              <w:t>NR_TDD_FR1_C</w:t>
            </w:r>
          </w:p>
        </w:tc>
        <w:tc>
          <w:tcPr>
            <w:tcW w:w="804" w:type="dxa"/>
            <w:tcBorders>
              <w:top w:val="single" w:sz="6" w:space="0" w:color="auto"/>
              <w:left w:val="single" w:sz="6" w:space="0" w:color="auto"/>
              <w:bottom w:val="single" w:sz="6" w:space="0" w:color="auto"/>
              <w:right w:val="single" w:sz="6" w:space="0" w:color="auto"/>
            </w:tcBorders>
            <w:vAlign w:val="center"/>
            <w:hideMark/>
          </w:tcPr>
          <w:p w14:paraId="5FB9E764"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-126</w:t>
            </w:r>
          </w:p>
        </w:tc>
        <w:tc>
          <w:tcPr>
            <w:tcW w:w="1196" w:type="dxa"/>
            <w:gridSpan w:val="2"/>
            <w:tcBorders>
              <w:top w:val="single" w:sz="6" w:space="0" w:color="auto"/>
              <w:left w:val="single" w:sz="6" w:space="0" w:color="auto"/>
              <w:bottom w:val="single" w:sz="6" w:space="0" w:color="auto"/>
              <w:right w:val="single" w:sz="6" w:space="0" w:color="auto"/>
            </w:tcBorders>
            <w:vAlign w:val="center"/>
            <w:hideMark/>
          </w:tcPr>
          <w:p w14:paraId="79EECDFA"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-123</w:t>
            </w:r>
          </w:p>
        </w:tc>
        <w:tc>
          <w:tcPr>
            <w:tcW w:w="1197" w:type="dxa"/>
            <w:tcBorders>
              <w:top w:val="single" w:sz="6" w:space="0" w:color="auto"/>
              <w:left w:val="single" w:sz="6" w:space="0" w:color="auto"/>
              <w:bottom w:val="single" w:sz="6" w:space="0" w:color="auto"/>
              <w:right w:val="single" w:sz="6" w:space="0" w:color="auto"/>
            </w:tcBorders>
            <w:vAlign w:val="center"/>
            <w:hideMark/>
          </w:tcPr>
          <w:p w14:paraId="5960EA2D"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-120</w:t>
            </w:r>
          </w:p>
        </w:tc>
        <w:tc>
          <w:tcPr>
            <w:tcW w:w="1197" w:type="dxa"/>
            <w:tcBorders>
              <w:top w:val="single" w:sz="6" w:space="0" w:color="auto"/>
              <w:left w:val="single" w:sz="6" w:space="0" w:color="auto"/>
              <w:bottom w:val="single" w:sz="6" w:space="0" w:color="auto"/>
              <w:right w:val="single" w:sz="4" w:space="0" w:color="auto"/>
            </w:tcBorders>
            <w:vAlign w:val="center"/>
            <w:hideMark/>
          </w:tcPr>
          <w:p w14:paraId="7604B203"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-50</w:t>
            </w:r>
          </w:p>
        </w:tc>
      </w:tr>
      <w:tr w:rsidR="00382AB2" w:rsidRPr="00FA3886" w14:paraId="54B972F4" w14:textId="77777777" w:rsidTr="007F4AB1">
        <w:trPr>
          <w:trHeight w:val="30"/>
          <w:jc w:val="center"/>
        </w:trPr>
        <w:tc>
          <w:tcPr>
            <w:tcW w:w="965" w:type="dxa"/>
            <w:vMerge/>
            <w:tcBorders>
              <w:top w:val="single" w:sz="6" w:space="0" w:color="auto"/>
              <w:left w:val="single" w:sz="6" w:space="0" w:color="auto"/>
              <w:bottom w:val="single" w:sz="6" w:space="0" w:color="auto"/>
              <w:right w:val="single" w:sz="6" w:space="0" w:color="auto"/>
            </w:tcBorders>
            <w:vAlign w:val="center"/>
            <w:hideMark/>
          </w:tcPr>
          <w:p w14:paraId="5A8E95CA" w14:textId="77777777" w:rsidR="00382AB2" w:rsidRPr="00FA3886" w:rsidRDefault="00382AB2" w:rsidP="00ED4E9A">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2B155F05" w14:textId="77777777" w:rsidR="00382AB2" w:rsidRPr="00FA3886" w:rsidRDefault="00382AB2" w:rsidP="00ED4E9A">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6DEB0739" w14:textId="77777777" w:rsidR="00382AB2" w:rsidRPr="00FA3886" w:rsidRDefault="00382AB2" w:rsidP="00ED4E9A">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6C810FB0" w14:textId="77777777" w:rsidR="00382AB2" w:rsidRPr="00FA3886" w:rsidRDefault="00382AB2" w:rsidP="00ED4E9A">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2E43C80D" w14:textId="77777777" w:rsidR="00382AB2" w:rsidRPr="00FA3886" w:rsidRDefault="00382AB2" w:rsidP="00ED4E9A">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6" w:space="0" w:color="auto"/>
            </w:tcBorders>
            <w:vAlign w:val="center"/>
            <w:hideMark/>
          </w:tcPr>
          <w:p w14:paraId="795E70F6" w14:textId="77777777" w:rsidR="00382AB2" w:rsidRPr="00FA3886" w:rsidRDefault="00382AB2" w:rsidP="00ED4E9A">
            <w:pPr>
              <w:keepNext/>
              <w:keepLines/>
              <w:spacing w:after="0"/>
              <w:jc w:val="center"/>
              <w:rPr>
                <w:rFonts w:ascii="Arial" w:hAnsi="Arial" w:cs="Arial"/>
                <w:sz w:val="16"/>
                <w:szCs w:val="16"/>
                <w:lang w:val="sv-SE"/>
              </w:rPr>
            </w:pPr>
            <w:r w:rsidRPr="00FA3886">
              <w:rPr>
                <w:rFonts w:ascii="Arial" w:hAnsi="Arial" w:cs="Arial"/>
                <w:sz w:val="16"/>
                <w:szCs w:val="16"/>
                <w:lang w:val="sv-SE"/>
              </w:rPr>
              <w:t>NR_FDD_FR1_D, NR_TDD_FR1_D</w:t>
            </w:r>
          </w:p>
        </w:tc>
        <w:tc>
          <w:tcPr>
            <w:tcW w:w="804" w:type="dxa"/>
            <w:tcBorders>
              <w:top w:val="single" w:sz="6" w:space="0" w:color="auto"/>
              <w:left w:val="single" w:sz="6" w:space="0" w:color="auto"/>
              <w:bottom w:val="single" w:sz="6" w:space="0" w:color="auto"/>
              <w:right w:val="single" w:sz="6" w:space="0" w:color="auto"/>
            </w:tcBorders>
            <w:vAlign w:val="center"/>
            <w:hideMark/>
          </w:tcPr>
          <w:p w14:paraId="37209031"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-125.5</w:t>
            </w:r>
          </w:p>
        </w:tc>
        <w:tc>
          <w:tcPr>
            <w:tcW w:w="1196" w:type="dxa"/>
            <w:gridSpan w:val="2"/>
            <w:tcBorders>
              <w:top w:val="single" w:sz="6" w:space="0" w:color="auto"/>
              <w:left w:val="single" w:sz="6" w:space="0" w:color="auto"/>
              <w:bottom w:val="single" w:sz="6" w:space="0" w:color="auto"/>
              <w:right w:val="single" w:sz="6" w:space="0" w:color="auto"/>
            </w:tcBorders>
            <w:vAlign w:val="center"/>
            <w:hideMark/>
          </w:tcPr>
          <w:p w14:paraId="77488755"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-122.5</w:t>
            </w:r>
          </w:p>
        </w:tc>
        <w:tc>
          <w:tcPr>
            <w:tcW w:w="1197" w:type="dxa"/>
            <w:tcBorders>
              <w:top w:val="single" w:sz="6" w:space="0" w:color="auto"/>
              <w:left w:val="single" w:sz="6" w:space="0" w:color="auto"/>
              <w:bottom w:val="single" w:sz="6" w:space="0" w:color="auto"/>
              <w:right w:val="single" w:sz="6" w:space="0" w:color="auto"/>
            </w:tcBorders>
            <w:vAlign w:val="center"/>
            <w:hideMark/>
          </w:tcPr>
          <w:p w14:paraId="347CB86C"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-119.5</w:t>
            </w:r>
          </w:p>
        </w:tc>
        <w:tc>
          <w:tcPr>
            <w:tcW w:w="1197" w:type="dxa"/>
            <w:tcBorders>
              <w:top w:val="single" w:sz="6" w:space="0" w:color="auto"/>
              <w:left w:val="single" w:sz="6" w:space="0" w:color="auto"/>
              <w:bottom w:val="single" w:sz="6" w:space="0" w:color="auto"/>
              <w:right w:val="single" w:sz="4" w:space="0" w:color="auto"/>
            </w:tcBorders>
            <w:vAlign w:val="center"/>
            <w:hideMark/>
          </w:tcPr>
          <w:p w14:paraId="2FBBDA7B"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-50</w:t>
            </w:r>
          </w:p>
        </w:tc>
      </w:tr>
      <w:tr w:rsidR="00382AB2" w:rsidRPr="00FA3886" w14:paraId="24E10895" w14:textId="77777777" w:rsidTr="007F4AB1">
        <w:trPr>
          <w:trHeight w:val="30"/>
          <w:jc w:val="center"/>
        </w:trPr>
        <w:tc>
          <w:tcPr>
            <w:tcW w:w="965" w:type="dxa"/>
            <w:vMerge/>
            <w:tcBorders>
              <w:top w:val="single" w:sz="6" w:space="0" w:color="auto"/>
              <w:left w:val="single" w:sz="6" w:space="0" w:color="auto"/>
              <w:bottom w:val="single" w:sz="6" w:space="0" w:color="auto"/>
              <w:right w:val="single" w:sz="6" w:space="0" w:color="auto"/>
            </w:tcBorders>
            <w:vAlign w:val="center"/>
            <w:hideMark/>
          </w:tcPr>
          <w:p w14:paraId="697BE569" w14:textId="77777777" w:rsidR="00382AB2" w:rsidRPr="00FA3886" w:rsidRDefault="00382AB2" w:rsidP="00ED4E9A">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511CE721" w14:textId="77777777" w:rsidR="00382AB2" w:rsidRPr="00FA3886" w:rsidRDefault="00382AB2" w:rsidP="00ED4E9A">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5CDBABBD" w14:textId="77777777" w:rsidR="00382AB2" w:rsidRPr="00FA3886" w:rsidRDefault="00382AB2" w:rsidP="00ED4E9A">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725847D3" w14:textId="77777777" w:rsidR="00382AB2" w:rsidRPr="00FA3886" w:rsidRDefault="00382AB2" w:rsidP="00ED4E9A">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3FC86582" w14:textId="77777777" w:rsidR="00382AB2" w:rsidRPr="00FA3886" w:rsidRDefault="00382AB2" w:rsidP="00ED4E9A">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6" w:space="0" w:color="auto"/>
            </w:tcBorders>
            <w:vAlign w:val="center"/>
            <w:hideMark/>
          </w:tcPr>
          <w:p w14:paraId="05EB0FCF" w14:textId="77777777" w:rsidR="00382AB2" w:rsidRPr="00FA3886" w:rsidRDefault="00382AB2" w:rsidP="00ED4E9A">
            <w:pPr>
              <w:keepNext/>
              <w:keepLines/>
              <w:spacing w:after="0"/>
              <w:jc w:val="center"/>
              <w:rPr>
                <w:rFonts w:ascii="Arial" w:hAnsi="Arial" w:cs="Arial"/>
                <w:sz w:val="16"/>
                <w:szCs w:val="16"/>
                <w:lang w:val="sv-SE"/>
              </w:rPr>
            </w:pPr>
            <w:r w:rsidRPr="00FA3886">
              <w:rPr>
                <w:rFonts w:ascii="Arial" w:hAnsi="Arial" w:cs="Arial"/>
                <w:sz w:val="16"/>
                <w:szCs w:val="16"/>
                <w:lang w:val="sv-SE"/>
              </w:rPr>
              <w:t>NR_FDD_FR1_E, NR_TDD_FR1_E</w:t>
            </w:r>
          </w:p>
        </w:tc>
        <w:tc>
          <w:tcPr>
            <w:tcW w:w="804" w:type="dxa"/>
            <w:tcBorders>
              <w:top w:val="single" w:sz="6" w:space="0" w:color="auto"/>
              <w:left w:val="single" w:sz="6" w:space="0" w:color="auto"/>
              <w:bottom w:val="single" w:sz="6" w:space="0" w:color="auto"/>
              <w:right w:val="single" w:sz="6" w:space="0" w:color="auto"/>
            </w:tcBorders>
            <w:vAlign w:val="center"/>
            <w:hideMark/>
          </w:tcPr>
          <w:p w14:paraId="25CA3B0A"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-125</w:t>
            </w:r>
          </w:p>
        </w:tc>
        <w:tc>
          <w:tcPr>
            <w:tcW w:w="1196" w:type="dxa"/>
            <w:gridSpan w:val="2"/>
            <w:tcBorders>
              <w:top w:val="single" w:sz="6" w:space="0" w:color="auto"/>
              <w:left w:val="single" w:sz="6" w:space="0" w:color="auto"/>
              <w:bottom w:val="single" w:sz="6" w:space="0" w:color="auto"/>
              <w:right w:val="single" w:sz="6" w:space="0" w:color="auto"/>
            </w:tcBorders>
            <w:vAlign w:val="center"/>
            <w:hideMark/>
          </w:tcPr>
          <w:p w14:paraId="5A47A302"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-122</w:t>
            </w:r>
          </w:p>
        </w:tc>
        <w:tc>
          <w:tcPr>
            <w:tcW w:w="1197" w:type="dxa"/>
            <w:tcBorders>
              <w:top w:val="single" w:sz="6" w:space="0" w:color="auto"/>
              <w:left w:val="single" w:sz="6" w:space="0" w:color="auto"/>
              <w:bottom w:val="single" w:sz="6" w:space="0" w:color="auto"/>
              <w:right w:val="single" w:sz="6" w:space="0" w:color="auto"/>
            </w:tcBorders>
            <w:vAlign w:val="center"/>
            <w:hideMark/>
          </w:tcPr>
          <w:p w14:paraId="09455C4C"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-119</w:t>
            </w:r>
          </w:p>
        </w:tc>
        <w:tc>
          <w:tcPr>
            <w:tcW w:w="1197" w:type="dxa"/>
            <w:tcBorders>
              <w:top w:val="single" w:sz="6" w:space="0" w:color="auto"/>
              <w:left w:val="single" w:sz="6" w:space="0" w:color="auto"/>
              <w:bottom w:val="single" w:sz="6" w:space="0" w:color="auto"/>
              <w:right w:val="single" w:sz="4" w:space="0" w:color="auto"/>
            </w:tcBorders>
            <w:vAlign w:val="center"/>
            <w:hideMark/>
          </w:tcPr>
          <w:p w14:paraId="44F2778C"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-50</w:t>
            </w:r>
          </w:p>
        </w:tc>
      </w:tr>
      <w:tr w:rsidR="00675E01" w:rsidRPr="00FA3886" w14:paraId="741AF0E0" w14:textId="77777777" w:rsidTr="007F4AB1">
        <w:trPr>
          <w:trHeight w:val="30"/>
          <w:jc w:val="center"/>
        </w:trPr>
        <w:tc>
          <w:tcPr>
            <w:tcW w:w="965" w:type="dxa"/>
            <w:vMerge/>
            <w:tcBorders>
              <w:top w:val="single" w:sz="6" w:space="0" w:color="auto"/>
              <w:left w:val="single" w:sz="6" w:space="0" w:color="auto"/>
              <w:bottom w:val="single" w:sz="6" w:space="0" w:color="auto"/>
              <w:right w:val="single" w:sz="6" w:space="0" w:color="auto"/>
            </w:tcBorders>
            <w:vAlign w:val="center"/>
            <w:hideMark/>
          </w:tcPr>
          <w:p w14:paraId="681303FC" w14:textId="77777777" w:rsidR="00675E01" w:rsidRPr="00FA3886" w:rsidRDefault="00675E01" w:rsidP="00675E01">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3C8CBBCE" w14:textId="77777777" w:rsidR="00675E01" w:rsidRPr="00FA3886" w:rsidRDefault="00675E01" w:rsidP="00675E01">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7E0D9ED4" w14:textId="77777777" w:rsidR="00675E01" w:rsidRPr="00FA3886" w:rsidRDefault="00675E01" w:rsidP="00675E01">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6B9338C7" w14:textId="77777777" w:rsidR="00675E01" w:rsidRPr="00FA3886" w:rsidRDefault="00675E01" w:rsidP="00675E01">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09F61D9C" w14:textId="77777777" w:rsidR="00675E01" w:rsidRPr="00FA3886" w:rsidRDefault="00675E01" w:rsidP="00675E01">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6" w:space="0" w:color="auto"/>
            </w:tcBorders>
            <w:vAlign w:val="center"/>
            <w:hideMark/>
          </w:tcPr>
          <w:p w14:paraId="41DAB221" w14:textId="7F967C95" w:rsidR="00675E01" w:rsidRPr="00FA3886" w:rsidRDefault="00675E01" w:rsidP="00675E01">
            <w:pPr>
              <w:keepNext/>
              <w:keepLines/>
              <w:spacing w:after="0"/>
              <w:jc w:val="center"/>
              <w:rPr>
                <w:rFonts w:ascii="Arial" w:hAnsi="Arial" w:cs="Arial"/>
                <w:sz w:val="16"/>
                <w:szCs w:val="16"/>
              </w:rPr>
            </w:pPr>
            <w:r>
              <w:rPr>
                <w:rFonts w:ascii="Arial" w:hAnsi="Arial" w:cs="Arial"/>
                <w:sz w:val="16"/>
                <w:szCs w:val="16"/>
                <w:lang w:val="sv-SE"/>
              </w:rPr>
              <w:t>NR_FDD_FR1_F</w:t>
            </w:r>
          </w:p>
        </w:tc>
        <w:tc>
          <w:tcPr>
            <w:tcW w:w="804" w:type="dxa"/>
            <w:tcBorders>
              <w:top w:val="single" w:sz="6" w:space="0" w:color="auto"/>
              <w:left w:val="single" w:sz="6" w:space="0" w:color="auto"/>
              <w:bottom w:val="single" w:sz="6" w:space="0" w:color="auto"/>
              <w:right w:val="single" w:sz="6" w:space="0" w:color="auto"/>
            </w:tcBorders>
            <w:vAlign w:val="center"/>
            <w:hideMark/>
          </w:tcPr>
          <w:p w14:paraId="7DF06843" w14:textId="7F8D9509" w:rsidR="00675E01" w:rsidRPr="00FA3886" w:rsidRDefault="00675E01" w:rsidP="00675E01">
            <w:pPr>
              <w:keepNext/>
              <w:keepLines/>
              <w:spacing w:after="0"/>
              <w:jc w:val="center"/>
              <w:rPr>
                <w:rFonts w:ascii="Arial" w:hAnsi="Arial" w:cs="Arial"/>
                <w:sz w:val="18"/>
              </w:rPr>
            </w:pPr>
            <w:r>
              <w:rPr>
                <w:rFonts w:ascii="Arial" w:hAnsi="Arial" w:cs="Arial"/>
                <w:sz w:val="18"/>
              </w:rPr>
              <w:t>-124.5</w:t>
            </w:r>
          </w:p>
        </w:tc>
        <w:tc>
          <w:tcPr>
            <w:tcW w:w="1196" w:type="dxa"/>
            <w:gridSpan w:val="2"/>
            <w:tcBorders>
              <w:top w:val="single" w:sz="6" w:space="0" w:color="auto"/>
              <w:left w:val="single" w:sz="6" w:space="0" w:color="auto"/>
              <w:bottom w:val="single" w:sz="6" w:space="0" w:color="auto"/>
              <w:right w:val="single" w:sz="6" w:space="0" w:color="auto"/>
            </w:tcBorders>
            <w:vAlign w:val="center"/>
            <w:hideMark/>
          </w:tcPr>
          <w:p w14:paraId="0ADCCF19"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-121.5</w:t>
            </w:r>
          </w:p>
        </w:tc>
        <w:tc>
          <w:tcPr>
            <w:tcW w:w="1197" w:type="dxa"/>
            <w:tcBorders>
              <w:top w:val="single" w:sz="6" w:space="0" w:color="auto"/>
              <w:left w:val="single" w:sz="6" w:space="0" w:color="auto"/>
              <w:bottom w:val="single" w:sz="6" w:space="0" w:color="auto"/>
              <w:right w:val="single" w:sz="6" w:space="0" w:color="auto"/>
            </w:tcBorders>
            <w:vAlign w:val="center"/>
            <w:hideMark/>
          </w:tcPr>
          <w:p w14:paraId="5401B631"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-118.5</w:t>
            </w:r>
          </w:p>
        </w:tc>
        <w:tc>
          <w:tcPr>
            <w:tcW w:w="1197" w:type="dxa"/>
            <w:tcBorders>
              <w:top w:val="single" w:sz="6" w:space="0" w:color="auto"/>
              <w:left w:val="single" w:sz="6" w:space="0" w:color="auto"/>
              <w:bottom w:val="single" w:sz="6" w:space="0" w:color="auto"/>
              <w:right w:val="single" w:sz="4" w:space="0" w:color="auto"/>
            </w:tcBorders>
            <w:vAlign w:val="center"/>
            <w:hideMark/>
          </w:tcPr>
          <w:p w14:paraId="60B753E9"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-50</w:t>
            </w:r>
          </w:p>
        </w:tc>
      </w:tr>
      <w:tr w:rsidR="00675E01" w:rsidRPr="00FA3886" w14:paraId="6D06A5E0" w14:textId="77777777" w:rsidTr="007F4AB1">
        <w:trPr>
          <w:trHeight w:val="30"/>
          <w:jc w:val="center"/>
        </w:trPr>
        <w:tc>
          <w:tcPr>
            <w:tcW w:w="965" w:type="dxa"/>
            <w:vMerge/>
            <w:tcBorders>
              <w:top w:val="single" w:sz="6" w:space="0" w:color="auto"/>
              <w:left w:val="single" w:sz="6" w:space="0" w:color="auto"/>
              <w:bottom w:val="single" w:sz="6" w:space="0" w:color="auto"/>
              <w:right w:val="single" w:sz="6" w:space="0" w:color="auto"/>
            </w:tcBorders>
            <w:vAlign w:val="center"/>
            <w:hideMark/>
          </w:tcPr>
          <w:p w14:paraId="4897BC68" w14:textId="77777777" w:rsidR="00675E01" w:rsidRPr="00FA3886" w:rsidRDefault="00675E01" w:rsidP="00675E01">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0023C584" w14:textId="77777777" w:rsidR="00675E01" w:rsidRPr="00FA3886" w:rsidRDefault="00675E01" w:rsidP="00675E01">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775D035C" w14:textId="77777777" w:rsidR="00675E01" w:rsidRPr="00FA3886" w:rsidRDefault="00675E01" w:rsidP="00675E01">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4656D948" w14:textId="77777777" w:rsidR="00675E01" w:rsidRPr="00FA3886" w:rsidRDefault="00675E01" w:rsidP="00675E01">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0CDA86EF" w14:textId="77777777" w:rsidR="00675E01" w:rsidRPr="00FA3886" w:rsidRDefault="00675E01" w:rsidP="00675E01">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6" w:space="0" w:color="auto"/>
            </w:tcBorders>
            <w:vAlign w:val="center"/>
            <w:hideMark/>
          </w:tcPr>
          <w:p w14:paraId="36774841" w14:textId="667FFF41" w:rsidR="00675E01" w:rsidRPr="00FA3886" w:rsidRDefault="00675E01" w:rsidP="00675E01">
            <w:pPr>
              <w:keepNext/>
              <w:keepLines/>
              <w:spacing w:after="0"/>
              <w:jc w:val="center"/>
              <w:rPr>
                <w:rFonts w:ascii="Arial" w:hAnsi="Arial" w:cs="Arial"/>
                <w:sz w:val="16"/>
                <w:szCs w:val="16"/>
              </w:rPr>
            </w:pPr>
            <w:r>
              <w:rPr>
                <w:rFonts w:ascii="Arial" w:hAnsi="Arial" w:cs="Arial"/>
                <w:sz w:val="16"/>
                <w:szCs w:val="16"/>
                <w:lang w:val="sv-SE"/>
              </w:rPr>
              <w:t>NR_FDD_FR1_G</w:t>
            </w:r>
            <w:r w:rsidRPr="00380899">
              <w:rPr>
                <w:rFonts w:ascii="Arial" w:hAnsi="Arial" w:cs="Arial"/>
                <w:sz w:val="16"/>
                <w:szCs w:val="16"/>
                <w:lang w:val="sv-SE" w:eastAsia="en-US"/>
              </w:rPr>
              <w:t>, NR_TDD_FR1_G</w:t>
            </w:r>
          </w:p>
        </w:tc>
        <w:tc>
          <w:tcPr>
            <w:tcW w:w="804" w:type="dxa"/>
            <w:tcBorders>
              <w:top w:val="single" w:sz="6" w:space="0" w:color="auto"/>
              <w:left w:val="single" w:sz="6" w:space="0" w:color="auto"/>
              <w:bottom w:val="single" w:sz="6" w:space="0" w:color="auto"/>
              <w:right w:val="single" w:sz="6" w:space="0" w:color="auto"/>
            </w:tcBorders>
            <w:vAlign w:val="center"/>
            <w:hideMark/>
          </w:tcPr>
          <w:p w14:paraId="191BBFC1" w14:textId="0A7623AD" w:rsidR="00675E01" w:rsidRPr="00FA3886" w:rsidRDefault="00675E01" w:rsidP="00675E01">
            <w:pPr>
              <w:keepNext/>
              <w:keepLines/>
              <w:spacing w:after="0"/>
              <w:jc w:val="center"/>
              <w:rPr>
                <w:rFonts w:ascii="Arial" w:hAnsi="Arial" w:cs="Arial"/>
                <w:sz w:val="18"/>
              </w:rPr>
            </w:pPr>
            <w:r>
              <w:rPr>
                <w:rFonts w:ascii="Arial" w:hAnsi="Arial" w:cs="Arial"/>
                <w:sz w:val="18"/>
              </w:rPr>
              <w:t>-124</w:t>
            </w:r>
          </w:p>
        </w:tc>
        <w:tc>
          <w:tcPr>
            <w:tcW w:w="1196" w:type="dxa"/>
            <w:gridSpan w:val="2"/>
            <w:tcBorders>
              <w:top w:val="single" w:sz="6" w:space="0" w:color="auto"/>
              <w:left w:val="single" w:sz="6" w:space="0" w:color="auto"/>
              <w:bottom w:val="single" w:sz="6" w:space="0" w:color="auto"/>
              <w:right w:val="single" w:sz="6" w:space="0" w:color="auto"/>
            </w:tcBorders>
            <w:vAlign w:val="center"/>
            <w:hideMark/>
          </w:tcPr>
          <w:p w14:paraId="5898164B"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-121</w:t>
            </w:r>
          </w:p>
        </w:tc>
        <w:tc>
          <w:tcPr>
            <w:tcW w:w="1197" w:type="dxa"/>
            <w:tcBorders>
              <w:top w:val="single" w:sz="6" w:space="0" w:color="auto"/>
              <w:left w:val="single" w:sz="6" w:space="0" w:color="auto"/>
              <w:bottom w:val="single" w:sz="6" w:space="0" w:color="auto"/>
              <w:right w:val="single" w:sz="6" w:space="0" w:color="auto"/>
            </w:tcBorders>
            <w:vAlign w:val="center"/>
            <w:hideMark/>
          </w:tcPr>
          <w:p w14:paraId="5D9C2A83"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-118</w:t>
            </w:r>
          </w:p>
        </w:tc>
        <w:tc>
          <w:tcPr>
            <w:tcW w:w="1197" w:type="dxa"/>
            <w:tcBorders>
              <w:top w:val="single" w:sz="6" w:space="0" w:color="auto"/>
              <w:left w:val="single" w:sz="6" w:space="0" w:color="auto"/>
              <w:bottom w:val="single" w:sz="6" w:space="0" w:color="auto"/>
              <w:right w:val="single" w:sz="4" w:space="0" w:color="auto"/>
            </w:tcBorders>
            <w:vAlign w:val="center"/>
            <w:hideMark/>
          </w:tcPr>
          <w:p w14:paraId="4B17D9AD"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-50</w:t>
            </w:r>
          </w:p>
        </w:tc>
      </w:tr>
      <w:tr w:rsidR="00675E01" w:rsidRPr="00FA3886" w14:paraId="2CA98CCC" w14:textId="77777777" w:rsidTr="007F4AB1">
        <w:trPr>
          <w:trHeight w:val="30"/>
          <w:jc w:val="center"/>
        </w:trPr>
        <w:tc>
          <w:tcPr>
            <w:tcW w:w="965" w:type="dxa"/>
            <w:vMerge/>
            <w:tcBorders>
              <w:top w:val="single" w:sz="6" w:space="0" w:color="auto"/>
              <w:left w:val="single" w:sz="6" w:space="0" w:color="auto"/>
              <w:bottom w:val="single" w:sz="6" w:space="0" w:color="auto"/>
              <w:right w:val="single" w:sz="6" w:space="0" w:color="auto"/>
            </w:tcBorders>
            <w:vAlign w:val="center"/>
            <w:hideMark/>
          </w:tcPr>
          <w:p w14:paraId="33166F06" w14:textId="77777777" w:rsidR="00675E01" w:rsidRPr="00FA3886" w:rsidRDefault="00675E01" w:rsidP="00675E01">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7EADFB56" w14:textId="77777777" w:rsidR="00675E01" w:rsidRPr="00FA3886" w:rsidRDefault="00675E01" w:rsidP="00675E01">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7390215A" w14:textId="77777777" w:rsidR="00675E01" w:rsidRPr="00FA3886" w:rsidRDefault="00675E01" w:rsidP="00675E01">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7B5C777F" w14:textId="77777777" w:rsidR="00675E01" w:rsidRPr="00FA3886" w:rsidRDefault="00675E01" w:rsidP="00675E01">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25614271" w14:textId="77777777" w:rsidR="00675E01" w:rsidRPr="00FA3886" w:rsidRDefault="00675E01" w:rsidP="00675E01">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6" w:space="0" w:color="auto"/>
            </w:tcBorders>
            <w:vAlign w:val="center"/>
            <w:hideMark/>
          </w:tcPr>
          <w:p w14:paraId="1F3EB3E8" w14:textId="3D57B566" w:rsidR="00675E01" w:rsidRPr="00FA3886" w:rsidRDefault="00675E01" w:rsidP="00675E01">
            <w:pPr>
              <w:keepNext/>
              <w:keepLines/>
              <w:spacing w:after="0"/>
              <w:jc w:val="center"/>
              <w:rPr>
                <w:rFonts w:ascii="Arial" w:hAnsi="Arial" w:cs="Arial"/>
                <w:sz w:val="16"/>
                <w:szCs w:val="16"/>
              </w:rPr>
            </w:pPr>
            <w:r>
              <w:rPr>
                <w:rFonts w:ascii="Arial" w:hAnsi="Arial" w:cs="Arial"/>
                <w:sz w:val="16"/>
                <w:szCs w:val="16"/>
                <w:lang w:val="sv-SE"/>
              </w:rPr>
              <w:t>NR_FDD_FR1_H</w:t>
            </w:r>
          </w:p>
        </w:tc>
        <w:tc>
          <w:tcPr>
            <w:tcW w:w="804" w:type="dxa"/>
            <w:tcBorders>
              <w:top w:val="single" w:sz="6" w:space="0" w:color="auto"/>
              <w:left w:val="single" w:sz="6" w:space="0" w:color="auto"/>
              <w:bottom w:val="single" w:sz="6" w:space="0" w:color="auto"/>
              <w:right w:val="single" w:sz="6" w:space="0" w:color="auto"/>
            </w:tcBorders>
            <w:vAlign w:val="center"/>
            <w:hideMark/>
          </w:tcPr>
          <w:p w14:paraId="4388905E" w14:textId="137C41B3" w:rsidR="00675E01" w:rsidRPr="00FA3886" w:rsidRDefault="00675E01" w:rsidP="00675E01">
            <w:pPr>
              <w:keepNext/>
              <w:keepLines/>
              <w:spacing w:after="0"/>
              <w:jc w:val="center"/>
              <w:rPr>
                <w:rFonts w:ascii="Arial" w:hAnsi="Arial" w:cs="Arial"/>
                <w:sz w:val="18"/>
              </w:rPr>
            </w:pPr>
            <w:r>
              <w:rPr>
                <w:rFonts w:ascii="Arial" w:hAnsi="Arial" w:cs="Arial"/>
                <w:sz w:val="18"/>
              </w:rPr>
              <w:t>-123.5</w:t>
            </w:r>
          </w:p>
        </w:tc>
        <w:tc>
          <w:tcPr>
            <w:tcW w:w="1196" w:type="dxa"/>
            <w:gridSpan w:val="2"/>
            <w:tcBorders>
              <w:top w:val="single" w:sz="6" w:space="0" w:color="auto"/>
              <w:left w:val="single" w:sz="6" w:space="0" w:color="auto"/>
              <w:bottom w:val="single" w:sz="6" w:space="0" w:color="auto"/>
              <w:right w:val="single" w:sz="6" w:space="0" w:color="auto"/>
            </w:tcBorders>
            <w:vAlign w:val="center"/>
            <w:hideMark/>
          </w:tcPr>
          <w:p w14:paraId="69172BC1"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-120.5</w:t>
            </w:r>
          </w:p>
        </w:tc>
        <w:tc>
          <w:tcPr>
            <w:tcW w:w="1197" w:type="dxa"/>
            <w:tcBorders>
              <w:top w:val="single" w:sz="6" w:space="0" w:color="auto"/>
              <w:left w:val="single" w:sz="6" w:space="0" w:color="auto"/>
              <w:bottom w:val="single" w:sz="6" w:space="0" w:color="auto"/>
              <w:right w:val="single" w:sz="6" w:space="0" w:color="auto"/>
            </w:tcBorders>
            <w:vAlign w:val="center"/>
            <w:hideMark/>
          </w:tcPr>
          <w:p w14:paraId="38F68180"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-117.5</w:t>
            </w:r>
          </w:p>
        </w:tc>
        <w:tc>
          <w:tcPr>
            <w:tcW w:w="1197" w:type="dxa"/>
            <w:tcBorders>
              <w:top w:val="single" w:sz="6" w:space="0" w:color="auto"/>
              <w:left w:val="single" w:sz="6" w:space="0" w:color="auto"/>
              <w:bottom w:val="single" w:sz="6" w:space="0" w:color="auto"/>
              <w:right w:val="single" w:sz="4" w:space="0" w:color="auto"/>
            </w:tcBorders>
            <w:vAlign w:val="center"/>
            <w:hideMark/>
          </w:tcPr>
          <w:p w14:paraId="63D2E50A"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-50</w:t>
            </w:r>
          </w:p>
        </w:tc>
      </w:tr>
      <w:tr w:rsidR="00382AB2" w:rsidRPr="00FA3886" w14:paraId="09FCB0D2" w14:textId="77777777" w:rsidTr="007F4AB1">
        <w:trPr>
          <w:jc w:val="center"/>
        </w:trPr>
        <w:tc>
          <w:tcPr>
            <w:tcW w:w="965" w:type="dxa"/>
            <w:tcBorders>
              <w:top w:val="single" w:sz="6" w:space="0" w:color="auto"/>
              <w:left w:val="single" w:sz="6" w:space="0" w:color="auto"/>
              <w:bottom w:val="single" w:sz="6" w:space="0" w:color="auto"/>
              <w:right w:val="single" w:sz="6" w:space="0" w:color="auto"/>
            </w:tcBorders>
            <w:vAlign w:val="center"/>
            <w:hideMark/>
          </w:tcPr>
          <w:p w14:paraId="7F8B319E"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Arial"/>
                <w:sz w:val="18"/>
                <w:lang w:eastAsia="zh-CN"/>
              </w:rPr>
              <w:t>8.5</w:t>
            </w:r>
          </w:p>
        </w:tc>
        <w:tc>
          <w:tcPr>
            <w:tcW w:w="965" w:type="dxa"/>
            <w:tcBorders>
              <w:top w:val="single" w:sz="4" w:space="0" w:color="auto"/>
              <w:left w:val="single" w:sz="4" w:space="0" w:color="auto"/>
              <w:bottom w:val="single" w:sz="4" w:space="0" w:color="auto"/>
              <w:right w:val="single" w:sz="4" w:space="0" w:color="auto"/>
            </w:tcBorders>
            <w:vAlign w:val="center"/>
            <w:hideMark/>
          </w:tcPr>
          <w:p w14:paraId="19FB6D7E"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Arial"/>
                <w:sz w:val="18"/>
                <w:lang w:eastAsia="zh-CN"/>
              </w:rPr>
              <w:t>13</w:t>
            </w:r>
          </w:p>
        </w:tc>
        <w:tc>
          <w:tcPr>
            <w:tcW w:w="827" w:type="dxa"/>
            <w:vMerge w:val="restart"/>
            <w:tcBorders>
              <w:top w:val="single" w:sz="6" w:space="0" w:color="auto"/>
              <w:left w:val="single" w:sz="6" w:space="0" w:color="auto"/>
              <w:bottom w:val="single" w:sz="6" w:space="0" w:color="auto"/>
              <w:right w:val="single" w:sz="6" w:space="0" w:color="auto"/>
            </w:tcBorders>
            <w:vAlign w:val="center"/>
            <w:hideMark/>
          </w:tcPr>
          <w:p w14:paraId="5DA42E3F" w14:textId="75C92815" w:rsidR="00382AB2" w:rsidRPr="00FA3886" w:rsidRDefault="007F4AB1" w:rsidP="00ED4E9A">
            <w:pPr>
              <w:keepNext/>
              <w:keepLines/>
              <w:spacing w:after="0"/>
              <w:jc w:val="center"/>
              <w:rPr>
                <w:rFonts w:ascii="Arial" w:hAnsi="Arial"/>
                <w:sz w:val="18"/>
              </w:rPr>
            </w:pPr>
            <w:r w:rsidRPr="00FA3886">
              <w:rPr>
                <w:rFonts w:ascii="Arial" w:hAnsi="Arial" w:cs="Arial"/>
                <w:sz w:val="18"/>
              </w:rPr>
              <w:t>≥-</w:t>
            </w:r>
            <w:r w:rsidRPr="00FA3886">
              <w:rPr>
                <w:rFonts w:ascii="Arial" w:hAnsi="Arial" w:cs="Arial"/>
                <w:sz w:val="18"/>
                <w:lang w:eastAsia="zh-CN"/>
              </w:rPr>
              <w:t>6</w:t>
            </w:r>
          </w:p>
        </w:tc>
        <w:tc>
          <w:tcPr>
            <w:tcW w:w="1140" w:type="dxa"/>
            <w:tcBorders>
              <w:top w:val="single" w:sz="6" w:space="0" w:color="auto"/>
              <w:left w:val="single" w:sz="6" w:space="0" w:color="auto"/>
              <w:bottom w:val="single" w:sz="6" w:space="0" w:color="auto"/>
              <w:right w:val="single" w:sz="6" w:space="0" w:color="auto"/>
            </w:tcBorders>
            <w:hideMark/>
          </w:tcPr>
          <w:p w14:paraId="7E8F1EEB" w14:textId="77777777" w:rsidR="00382AB2" w:rsidRPr="00FA3886" w:rsidRDefault="00382AB2" w:rsidP="00ED4E9A">
            <w:pPr>
              <w:keepNext/>
              <w:keepLines/>
              <w:spacing w:after="0"/>
              <w:jc w:val="center"/>
              <w:rPr>
                <w:rFonts w:ascii="Arial" w:hAnsi="Arial" w:cs="Arial"/>
                <w:sz w:val="18"/>
                <w:lang w:eastAsia="zh-CN"/>
              </w:rPr>
            </w:pPr>
            <w:r w:rsidRPr="00FA3886">
              <w:rPr>
                <w:rFonts w:ascii="Arial" w:hAnsi="Arial" w:cs="Arial"/>
                <w:sz w:val="18"/>
              </w:rPr>
              <w:t>48 ≤ BW ≤ 52</w:t>
            </w:r>
          </w:p>
        </w:tc>
        <w:tc>
          <w:tcPr>
            <w:tcW w:w="1178" w:type="dxa"/>
            <w:tcBorders>
              <w:top w:val="single" w:sz="6" w:space="0" w:color="auto"/>
              <w:left w:val="single" w:sz="6" w:space="0" w:color="auto"/>
              <w:bottom w:val="single" w:sz="6" w:space="0" w:color="auto"/>
              <w:right w:val="single" w:sz="6" w:space="0" w:color="auto"/>
            </w:tcBorders>
            <w:hideMark/>
          </w:tcPr>
          <w:p w14:paraId="53A21D1F" w14:textId="77777777" w:rsidR="00382AB2" w:rsidRPr="00FA3886" w:rsidRDefault="00382AB2" w:rsidP="00ED4E9A">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5980" w:type="dxa"/>
            <w:gridSpan w:val="6"/>
            <w:tcBorders>
              <w:top w:val="single" w:sz="6" w:space="0" w:color="auto"/>
              <w:left w:val="single" w:sz="6" w:space="0" w:color="auto"/>
              <w:bottom w:val="single" w:sz="6" w:space="0" w:color="auto"/>
              <w:right w:val="single" w:sz="4" w:space="0" w:color="auto"/>
            </w:tcBorders>
            <w:vAlign w:val="center"/>
            <w:hideMark/>
          </w:tcPr>
          <w:p w14:paraId="0D4422EE"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Note 3</w:t>
            </w:r>
          </w:p>
        </w:tc>
      </w:tr>
      <w:tr w:rsidR="00382AB2" w:rsidRPr="00FA3886" w14:paraId="35A00845" w14:textId="77777777" w:rsidTr="007F4AB1">
        <w:trPr>
          <w:jc w:val="center"/>
        </w:trPr>
        <w:tc>
          <w:tcPr>
            <w:tcW w:w="965" w:type="dxa"/>
            <w:tcBorders>
              <w:top w:val="single" w:sz="6" w:space="0" w:color="auto"/>
              <w:left w:val="single" w:sz="6" w:space="0" w:color="auto"/>
              <w:bottom w:val="single" w:sz="6" w:space="0" w:color="auto"/>
              <w:right w:val="single" w:sz="6" w:space="0" w:color="auto"/>
            </w:tcBorders>
            <w:vAlign w:val="center"/>
            <w:hideMark/>
          </w:tcPr>
          <w:p w14:paraId="3E183025"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Calibri"/>
                <w:sz w:val="18"/>
                <w:lang w:eastAsia="zh-CN"/>
              </w:rPr>
              <w:t>6</w:t>
            </w:r>
          </w:p>
        </w:tc>
        <w:tc>
          <w:tcPr>
            <w:tcW w:w="965" w:type="dxa"/>
            <w:tcBorders>
              <w:top w:val="single" w:sz="4" w:space="0" w:color="auto"/>
              <w:left w:val="single" w:sz="4" w:space="0" w:color="auto"/>
              <w:bottom w:val="single" w:sz="4" w:space="0" w:color="auto"/>
              <w:right w:val="single" w:sz="4" w:space="0" w:color="auto"/>
            </w:tcBorders>
            <w:vAlign w:val="center"/>
            <w:hideMark/>
          </w:tcPr>
          <w:p w14:paraId="40FBDCB3"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Calibri"/>
                <w:sz w:val="18"/>
                <w:lang w:eastAsia="zh-CN"/>
              </w:rPr>
              <w:t>10.5</w:t>
            </w: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194E9007" w14:textId="77777777" w:rsidR="00382AB2" w:rsidRPr="00FA3886" w:rsidRDefault="00382AB2" w:rsidP="00ED4E9A">
            <w:pPr>
              <w:spacing w:after="0"/>
              <w:rPr>
                <w:rFonts w:ascii="Arial" w:eastAsia="SimSun" w:hAnsi="Arial"/>
                <w:sz w:val="18"/>
              </w:rPr>
            </w:pPr>
          </w:p>
        </w:tc>
        <w:tc>
          <w:tcPr>
            <w:tcW w:w="1140" w:type="dxa"/>
            <w:tcBorders>
              <w:top w:val="single" w:sz="6" w:space="0" w:color="auto"/>
              <w:left w:val="single" w:sz="6" w:space="0" w:color="auto"/>
              <w:bottom w:val="single" w:sz="6" w:space="0" w:color="auto"/>
              <w:right w:val="single" w:sz="6" w:space="0" w:color="auto"/>
            </w:tcBorders>
            <w:hideMark/>
          </w:tcPr>
          <w:p w14:paraId="75F81D94" w14:textId="77777777" w:rsidR="00382AB2" w:rsidRPr="00FA3886" w:rsidRDefault="00382AB2" w:rsidP="00ED4E9A">
            <w:pPr>
              <w:keepNext/>
              <w:keepLines/>
              <w:spacing w:after="0"/>
              <w:jc w:val="center"/>
              <w:rPr>
                <w:rFonts w:ascii="Arial" w:hAnsi="Arial"/>
                <w:sz w:val="18"/>
                <w:lang w:eastAsia="zh-CN"/>
              </w:rPr>
            </w:pPr>
            <w:r w:rsidRPr="00FA3886">
              <w:rPr>
                <w:rFonts w:ascii="Arial" w:hAnsi="Arial" w:cs="Arial"/>
                <w:sz w:val="18"/>
                <w:lang w:eastAsia="zh-CN"/>
              </w:rPr>
              <w:t>52&lt; BW≤ 104</w:t>
            </w:r>
          </w:p>
        </w:tc>
        <w:tc>
          <w:tcPr>
            <w:tcW w:w="1178" w:type="dxa"/>
            <w:tcBorders>
              <w:top w:val="single" w:sz="6" w:space="0" w:color="auto"/>
              <w:left w:val="single" w:sz="6" w:space="0" w:color="auto"/>
              <w:bottom w:val="single" w:sz="6" w:space="0" w:color="auto"/>
              <w:right w:val="single" w:sz="6" w:space="0" w:color="auto"/>
            </w:tcBorders>
            <w:hideMark/>
          </w:tcPr>
          <w:p w14:paraId="4A93AA14" w14:textId="77777777" w:rsidR="00382AB2" w:rsidRPr="00FA3886" w:rsidRDefault="00382AB2" w:rsidP="00ED4E9A">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5980" w:type="dxa"/>
            <w:gridSpan w:val="6"/>
            <w:tcBorders>
              <w:top w:val="single" w:sz="6" w:space="0" w:color="auto"/>
              <w:left w:val="single" w:sz="6" w:space="0" w:color="auto"/>
              <w:bottom w:val="single" w:sz="6" w:space="0" w:color="auto"/>
              <w:right w:val="single" w:sz="4" w:space="0" w:color="auto"/>
            </w:tcBorders>
            <w:vAlign w:val="center"/>
            <w:hideMark/>
          </w:tcPr>
          <w:p w14:paraId="1DF0B016"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Note 3</w:t>
            </w:r>
          </w:p>
        </w:tc>
      </w:tr>
      <w:tr w:rsidR="00382AB2" w:rsidRPr="00FA3886" w14:paraId="1C396FCD" w14:textId="77777777" w:rsidTr="007F4AB1">
        <w:trPr>
          <w:jc w:val="center"/>
        </w:trPr>
        <w:tc>
          <w:tcPr>
            <w:tcW w:w="965" w:type="dxa"/>
            <w:tcBorders>
              <w:top w:val="single" w:sz="6" w:space="0" w:color="auto"/>
              <w:left w:val="single" w:sz="6" w:space="0" w:color="auto"/>
              <w:bottom w:val="single" w:sz="6" w:space="0" w:color="auto"/>
              <w:right w:val="single" w:sz="6" w:space="0" w:color="auto"/>
            </w:tcBorders>
            <w:vAlign w:val="center"/>
            <w:hideMark/>
          </w:tcPr>
          <w:p w14:paraId="576A1575"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Calibri"/>
                <w:sz w:val="18"/>
                <w:lang w:eastAsia="zh-CN"/>
              </w:rPr>
              <w:t>4.5</w:t>
            </w:r>
          </w:p>
        </w:tc>
        <w:tc>
          <w:tcPr>
            <w:tcW w:w="965" w:type="dxa"/>
            <w:tcBorders>
              <w:top w:val="single" w:sz="4" w:space="0" w:color="auto"/>
              <w:left w:val="single" w:sz="4" w:space="0" w:color="auto"/>
              <w:bottom w:val="single" w:sz="4" w:space="0" w:color="auto"/>
              <w:right w:val="single" w:sz="4" w:space="0" w:color="auto"/>
            </w:tcBorders>
            <w:vAlign w:val="center"/>
            <w:hideMark/>
          </w:tcPr>
          <w:p w14:paraId="1BC613E8"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Calibri"/>
                <w:sz w:val="18"/>
                <w:lang w:eastAsia="zh-CN"/>
              </w:rPr>
              <w:t>9</w:t>
            </w: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18F65C10" w14:textId="77777777" w:rsidR="00382AB2" w:rsidRPr="00FA3886" w:rsidRDefault="00382AB2" w:rsidP="00ED4E9A">
            <w:pPr>
              <w:spacing w:after="0"/>
              <w:rPr>
                <w:rFonts w:ascii="Arial" w:eastAsia="SimSun" w:hAnsi="Arial"/>
                <w:sz w:val="18"/>
              </w:rPr>
            </w:pPr>
          </w:p>
        </w:tc>
        <w:tc>
          <w:tcPr>
            <w:tcW w:w="1140" w:type="dxa"/>
            <w:tcBorders>
              <w:top w:val="single" w:sz="6" w:space="0" w:color="auto"/>
              <w:left w:val="single" w:sz="6" w:space="0" w:color="auto"/>
              <w:bottom w:val="single" w:sz="6" w:space="0" w:color="auto"/>
              <w:right w:val="single" w:sz="6" w:space="0" w:color="auto"/>
            </w:tcBorders>
            <w:hideMark/>
          </w:tcPr>
          <w:p w14:paraId="3E368ECE" w14:textId="77777777" w:rsidR="00382AB2" w:rsidRPr="00FA3886" w:rsidRDefault="00382AB2" w:rsidP="00ED4E9A">
            <w:pPr>
              <w:keepNext/>
              <w:keepLines/>
              <w:spacing w:after="0"/>
              <w:jc w:val="center"/>
              <w:rPr>
                <w:rFonts w:ascii="Arial" w:hAnsi="Arial"/>
                <w:sz w:val="18"/>
                <w:lang w:eastAsia="zh-CN"/>
              </w:rPr>
            </w:pPr>
            <w:r w:rsidRPr="00FA3886">
              <w:rPr>
                <w:rFonts w:ascii="Arial" w:hAnsi="Arial" w:cs="Arial"/>
                <w:sz w:val="18"/>
                <w:lang w:eastAsia="zh-CN"/>
              </w:rPr>
              <w:t>BW &gt;104</w:t>
            </w:r>
          </w:p>
        </w:tc>
        <w:tc>
          <w:tcPr>
            <w:tcW w:w="1178" w:type="dxa"/>
            <w:tcBorders>
              <w:top w:val="single" w:sz="6" w:space="0" w:color="auto"/>
              <w:left w:val="single" w:sz="6" w:space="0" w:color="auto"/>
              <w:bottom w:val="single" w:sz="6" w:space="0" w:color="auto"/>
              <w:right w:val="single" w:sz="6" w:space="0" w:color="auto"/>
            </w:tcBorders>
            <w:hideMark/>
          </w:tcPr>
          <w:p w14:paraId="4E114921" w14:textId="77777777" w:rsidR="00382AB2" w:rsidRPr="00FA3886" w:rsidRDefault="00382AB2" w:rsidP="00ED4E9A">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5980" w:type="dxa"/>
            <w:gridSpan w:val="6"/>
            <w:tcBorders>
              <w:top w:val="single" w:sz="6" w:space="0" w:color="auto"/>
              <w:left w:val="single" w:sz="6" w:space="0" w:color="auto"/>
              <w:bottom w:val="single" w:sz="6" w:space="0" w:color="auto"/>
              <w:right w:val="single" w:sz="4" w:space="0" w:color="auto"/>
            </w:tcBorders>
            <w:vAlign w:val="center"/>
            <w:hideMark/>
          </w:tcPr>
          <w:p w14:paraId="082F5E18"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Note 3</w:t>
            </w:r>
          </w:p>
        </w:tc>
      </w:tr>
      <w:tr w:rsidR="00382AB2" w:rsidRPr="00FA3886" w14:paraId="5FBD84A2" w14:textId="77777777" w:rsidTr="007F4AB1">
        <w:trPr>
          <w:jc w:val="center"/>
        </w:trPr>
        <w:tc>
          <w:tcPr>
            <w:tcW w:w="11055" w:type="dxa"/>
            <w:gridSpan w:val="11"/>
            <w:tcBorders>
              <w:top w:val="single" w:sz="6" w:space="0" w:color="auto"/>
              <w:left w:val="single" w:sz="4" w:space="0" w:color="auto"/>
              <w:bottom w:val="single" w:sz="4" w:space="0" w:color="auto"/>
              <w:right w:val="single" w:sz="4" w:space="0" w:color="auto"/>
            </w:tcBorders>
            <w:hideMark/>
          </w:tcPr>
          <w:p w14:paraId="6282BDF9"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w:t>
            </w:r>
            <w:r w:rsidRPr="00FA3886">
              <w:rPr>
                <w:rFonts w:ascii="Arial" w:hAnsi="Arial" w:cs="Arial"/>
                <w:sz w:val="18"/>
                <w:lang w:eastAsia="zh-CN"/>
              </w:rPr>
              <w:t>OTE</w:t>
            </w:r>
            <w:r w:rsidRPr="00FA3886">
              <w:rPr>
                <w:rFonts w:ascii="Arial" w:hAnsi="Arial" w:cs="Arial"/>
                <w:sz w:val="18"/>
              </w:rPr>
              <w:t xml:space="preserve"> 1:</w:t>
            </w:r>
            <w:r w:rsidRPr="00FA3886">
              <w:rPr>
                <w:rFonts w:ascii="Arial" w:hAnsi="Arial" w:cs="Arial"/>
                <w:sz w:val="18"/>
              </w:rPr>
              <w:tab/>
              <w:t>This minimum Io condition is expressed as the average Io per RE over all REs in an OFDM symbol.</w:t>
            </w:r>
          </w:p>
          <w:p w14:paraId="4CBEE3A1" w14:textId="77777777" w:rsidR="00382AB2" w:rsidRPr="00FA3886" w:rsidRDefault="00382AB2" w:rsidP="00ED4E9A">
            <w:pPr>
              <w:keepNext/>
              <w:keepLines/>
              <w:spacing w:after="0"/>
              <w:ind w:left="851" w:hanging="851"/>
              <w:rPr>
                <w:rFonts w:ascii="Arial" w:hAnsi="Arial" w:cs="v4.2.0"/>
                <w:sz w:val="18"/>
              </w:rPr>
            </w:pPr>
            <w:r w:rsidRPr="00FA3886">
              <w:rPr>
                <w:rFonts w:ascii="Arial" w:hAnsi="Arial" w:cs="v4.2.0"/>
                <w:sz w:val="18"/>
              </w:rPr>
              <w:t>N</w:t>
            </w:r>
            <w:r w:rsidRPr="00FA3886">
              <w:rPr>
                <w:rFonts w:ascii="Arial" w:hAnsi="Arial" w:cs="Arial"/>
                <w:sz w:val="18"/>
                <w:lang w:eastAsia="zh-CN"/>
              </w:rPr>
              <w:t>OTE</w:t>
            </w:r>
            <w:r w:rsidRPr="00FA3886">
              <w:rPr>
                <w:rFonts w:ascii="Arial" w:hAnsi="Arial" w:cs="v4.2.0"/>
                <w:sz w:val="18"/>
              </w:rPr>
              <w:t xml:space="preserve"> 2:</w:t>
            </w:r>
            <w:r w:rsidRPr="00FA3886">
              <w:rPr>
                <w:rFonts w:ascii="Arial" w:hAnsi="Arial" w:cs="v4.2.0"/>
                <w:sz w:val="18"/>
              </w:rPr>
              <w:tab/>
              <w:t xml:space="preserve">PRS bandwidth is as indicated in </w:t>
            </w:r>
            <w:r w:rsidRPr="00FA3886">
              <w:rPr>
                <w:rFonts w:ascii="Arial" w:hAnsi="Arial" w:cs="Arial"/>
                <w:i/>
                <w:sz w:val="18"/>
              </w:rPr>
              <w:t>prs-Bandwidth</w:t>
            </w:r>
            <w:r w:rsidRPr="00FA3886">
              <w:rPr>
                <w:rFonts w:ascii="Arial" w:hAnsi="Arial" w:cs="Arial"/>
                <w:sz w:val="18"/>
              </w:rPr>
              <w:t xml:space="preserve"> </w:t>
            </w:r>
            <w:r w:rsidRPr="00FA3886">
              <w:rPr>
                <w:rFonts w:ascii="Arial" w:hAnsi="Arial" w:cs="v4.2.0"/>
                <w:sz w:val="18"/>
              </w:rPr>
              <w:t xml:space="preserve">in the OTDOA </w:t>
            </w:r>
            <w:r w:rsidRPr="00FA3886">
              <w:rPr>
                <w:rFonts w:ascii="Arial" w:hAnsi="Arial" w:cs="v4.2.0"/>
                <w:sz w:val="18"/>
                <w:lang w:eastAsia="zh-CN"/>
              </w:rPr>
              <w:t>or DL-AoD</w:t>
            </w:r>
            <w:r w:rsidRPr="00FA3886">
              <w:rPr>
                <w:rFonts w:ascii="Arial" w:hAnsi="Arial" w:cs="v4.2.0"/>
                <w:sz w:val="18"/>
              </w:rPr>
              <w:t xml:space="preserve"> assistance data defined in [</w:t>
            </w:r>
            <w:r w:rsidRPr="00FA3886">
              <w:rPr>
                <w:rFonts w:ascii="Arial" w:hAnsi="Arial" w:cs="v4.2.0"/>
                <w:sz w:val="18"/>
                <w:lang w:eastAsia="zh-CN"/>
              </w:rPr>
              <w:t>3</w:t>
            </w:r>
            <w:r w:rsidRPr="00FA3886">
              <w:rPr>
                <w:rFonts w:ascii="Arial" w:hAnsi="Arial" w:cs="v4.2.0"/>
                <w:sz w:val="18"/>
              </w:rPr>
              <w:t>4].</w:t>
            </w:r>
          </w:p>
          <w:p w14:paraId="522F8016" w14:textId="77777777" w:rsidR="00382AB2" w:rsidRPr="00FA3886" w:rsidRDefault="00382AB2" w:rsidP="00ED4E9A">
            <w:pPr>
              <w:keepNext/>
              <w:keepLines/>
              <w:spacing w:after="0"/>
              <w:ind w:left="851" w:hanging="851"/>
              <w:rPr>
                <w:rFonts w:ascii="Arial" w:hAnsi="Arial"/>
                <w:sz w:val="18"/>
              </w:rPr>
            </w:pPr>
            <w:r w:rsidRPr="00FA3886">
              <w:rPr>
                <w:rFonts w:ascii="Arial" w:hAnsi="Arial" w:cs="Arial"/>
                <w:sz w:val="18"/>
              </w:rPr>
              <w:t>N</w:t>
            </w:r>
            <w:r w:rsidRPr="00FA3886">
              <w:rPr>
                <w:rFonts w:ascii="Arial" w:hAnsi="Arial" w:cs="Arial"/>
                <w:sz w:val="18"/>
                <w:lang w:eastAsia="zh-CN"/>
              </w:rPr>
              <w:t>OTE</w:t>
            </w:r>
            <w:r w:rsidRPr="00FA3886">
              <w:rPr>
                <w:rFonts w:ascii="Arial" w:hAnsi="Arial" w:cs="Arial"/>
                <w:sz w:val="18"/>
              </w:rPr>
              <w:t xml:space="preserve"> 3:</w:t>
            </w:r>
            <w:r w:rsidRPr="00FA3886">
              <w:rPr>
                <w:rFonts w:ascii="Arial" w:hAnsi="Arial" w:cs="Arial"/>
                <w:sz w:val="18"/>
              </w:rPr>
              <w:tab/>
              <w:t xml:space="preserve">The same bands and the same Io conditions for each band apply for this requirement as for the corresponding requirement with the PRS bandwidth ≥ </w:t>
            </w:r>
            <w:r w:rsidRPr="00FA3886">
              <w:rPr>
                <w:rFonts w:ascii="Arial" w:hAnsi="Arial" w:cs="Arial"/>
                <w:sz w:val="18"/>
                <w:lang w:eastAsia="zh-CN"/>
              </w:rPr>
              <w:t>48</w:t>
            </w:r>
            <w:r w:rsidRPr="00FA3886">
              <w:rPr>
                <w:rFonts w:ascii="Arial" w:hAnsi="Arial" w:cs="Arial"/>
                <w:sz w:val="18"/>
              </w:rPr>
              <w:t xml:space="preserve"> RB.</w:t>
            </w:r>
          </w:p>
          <w:p w14:paraId="0351BBB7"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NOTE 4:</w:t>
            </w:r>
            <w:r w:rsidRPr="00FA3886">
              <w:rPr>
                <w:rFonts w:ascii="Arial" w:hAnsi="Arial" w:cs="Arial"/>
                <w:sz w:val="18"/>
              </w:rPr>
              <w:tab/>
              <w:t>The serving cell, the reference cell, and the measured neighbour cell i are on the same carrier frequency.</w:t>
            </w:r>
          </w:p>
          <w:p w14:paraId="719B0849"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NOTE 5:</w:t>
            </w:r>
            <w:r w:rsidRPr="00FA3886">
              <w:rPr>
                <w:rFonts w:ascii="Arial" w:hAnsi="Arial" w:cs="Arial"/>
                <w:sz w:val="18"/>
              </w:rPr>
              <w:tab/>
              <w:t>The condition level is increased by ∆&gt;0, when applicable, as described in Sections B.</w:t>
            </w:r>
            <w:r w:rsidRPr="00FA3886">
              <w:rPr>
                <w:rFonts w:ascii="Arial" w:hAnsi="Arial" w:cs="Arial"/>
                <w:sz w:val="18"/>
                <w:lang w:eastAsia="zh-CN"/>
              </w:rPr>
              <w:t>3</w:t>
            </w:r>
            <w:r w:rsidRPr="00FA3886">
              <w:rPr>
                <w:rFonts w:ascii="Arial" w:hAnsi="Arial" w:cs="Arial"/>
                <w:sz w:val="18"/>
              </w:rPr>
              <w:t>.</w:t>
            </w:r>
            <w:r w:rsidRPr="00FA3886">
              <w:rPr>
                <w:rFonts w:ascii="Arial" w:hAnsi="Arial" w:cs="Arial"/>
                <w:sz w:val="18"/>
                <w:lang w:eastAsia="zh-CN"/>
              </w:rPr>
              <w:t>2</w:t>
            </w:r>
            <w:r w:rsidRPr="00FA3886">
              <w:rPr>
                <w:rFonts w:ascii="Arial" w:hAnsi="Arial" w:cs="Arial"/>
                <w:sz w:val="18"/>
              </w:rPr>
              <w:t xml:space="preserve"> and B.</w:t>
            </w:r>
            <w:r w:rsidRPr="00FA3886">
              <w:rPr>
                <w:rFonts w:ascii="Arial" w:hAnsi="Arial" w:cs="Arial"/>
                <w:sz w:val="18"/>
                <w:lang w:eastAsia="zh-CN"/>
              </w:rPr>
              <w:t>3</w:t>
            </w:r>
            <w:r w:rsidRPr="00FA3886">
              <w:rPr>
                <w:rFonts w:ascii="Arial" w:hAnsi="Arial" w:cs="Arial"/>
                <w:sz w:val="18"/>
              </w:rPr>
              <w:t>.</w:t>
            </w:r>
            <w:r w:rsidRPr="00FA3886">
              <w:rPr>
                <w:rFonts w:ascii="Arial" w:hAnsi="Arial" w:cs="Arial"/>
                <w:sz w:val="18"/>
                <w:lang w:eastAsia="zh-CN"/>
              </w:rPr>
              <w:t>3</w:t>
            </w:r>
            <w:r w:rsidRPr="00FA3886">
              <w:rPr>
                <w:rFonts w:ascii="Arial" w:hAnsi="Arial" w:cs="Arial"/>
                <w:sz w:val="18"/>
              </w:rPr>
              <w:t>.</w:t>
            </w:r>
          </w:p>
          <w:p w14:paraId="6399CA30"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NOTE 6:</w:t>
            </w:r>
            <w:r w:rsidRPr="00FA3886">
              <w:rPr>
                <w:rFonts w:ascii="Arial" w:hAnsi="Arial" w:cs="Arial"/>
                <w:sz w:val="18"/>
              </w:rPr>
              <w:tab/>
              <w:t>The Io is defined in PRS positioning subframes. The same Io range applies to PRS and non-PRS symbols. Io levels are different in PRS and non-PRS symbols within the same subframe.</w:t>
            </w:r>
          </w:p>
          <w:p w14:paraId="1DEE72F9"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NOTE 7:</w:t>
            </w:r>
            <w:r w:rsidRPr="00FA3886">
              <w:rPr>
                <w:rFonts w:ascii="Arial" w:hAnsi="Arial" w:cs="Arial"/>
                <w:sz w:val="18"/>
              </w:rPr>
              <w:tab/>
            </w:r>
            <w:r w:rsidRPr="00FA3886">
              <w:rPr>
                <w:rFonts w:ascii="Arial" w:hAnsi="Arial" w:cs="Arial"/>
                <w:sz w:val="18"/>
                <w:lang w:eastAsia="zh-CN"/>
              </w:rPr>
              <w:t>NR</w:t>
            </w:r>
            <w:r w:rsidRPr="00FA3886">
              <w:rPr>
                <w:rFonts w:ascii="Arial" w:hAnsi="Arial" w:cs="Arial"/>
                <w:sz w:val="18"/>
              </w:rPr>
              <w:t xml:space="preserve"> operating band groups are as defined in Section 3.5</w:t>
            </w:r>
            <w:r w:rsidRPr="00FA3886">
              <w:rPr>
                <w:rFonts w:ascii="Arial" w:hAnsi="Arial" w:cs="Arial"/>
                <w:sz w:val="18"/>
                <w:lang w:eastAsia="zh-CN"/>
              </w:rPr>
              <w:t>.2</w:t>
            </w:r>
            <w:r w:rsidRPr="00FA3886">
              <w:rPr>
                <w:rFonts w:ascii="Arial" w:hAnsi="Arial" w:cs="Arial"/>
                <w:sz w:val="18"/>
              </w:rPr>
              <w:t>.</w:t>
            </w:r>
          </w:p>
        </w:tc>
      </w:tr>
    </w:tbl>
    <w:p w14:paraId="04963450" w14:textId="77777777" w:rsidR="00382AB2" w:rsidRPr="00FA3886" w:rsidRDefault="00382AB2" w:rsidP="00382AB2">
      <w:pPr>
        <w:rPr>
          <w:rFonts w:eastAsia="SimSun"/>
          <w:lang w:eastAsia="zh-CN"/>
        </w:rPr>
      </w:pPr>
    </w:p>
    <w:p w14:paraId="1161A566" w14:textId="77777777" w:rsidR="00382AB2" w:rsidRPr="00FA3886" w:rsidRDefault="00382AB2" w:rsidP="008657BC">
      <w:pPr>
        <w:pStyle w:val="TH"/>
        <w:rPr>
          <w:lang w:eastAsia="zh-CN"/>
        </w:rPr>
      </w:pPr>
      <w:r w:rsidRPr="00FA3886">
        <w:t xml:space="preserve">Table </w:t>
      </w:r>
      <w:r w:rsidRPr="00FA3886">
        <w:rPr>
          <w:rFonts w:cs="v4.2.0"/>
        </w:rPr>
        <w:t>10.1.24.2</w:t>
      </w:r>
      <w:r w:rsidRPr="00FA3886">
        <w:rPr>
          <w:rFonts w:cs="v4.2.0"/>
          <w:lang w:eastAsia="zh-CN"/>
        </w:rPr>
        <w:t>.1</w:t>
      </w:r>
      <w:r w:rsidRPr="00FA3886">
        <w:rPr>
          <w:rFonts w:cs="v4.2.0"/>
        </w:rPr>
        <w:t>-</w:t>
      </w:r>
      <w:r w:rsidRPr="00FA3886">
        <w:rPr>
          <w:rFonts w:cs="v4.2.0"/>
          <w:lang w:eastAsia="zh-CN"/>
        </w:rPr>
        <w:t>4</w:t>
      </w:r>
      <w:r w:rsidRPr="00FA3886">
        <w:t>: PRS</w:t>
      </w:r>
      <w:r w:rsidRPr="00FA3886">
        <w:rPr>
          <w:lang w:eastAsia="zh-CN"/>
        </w:rPr>
        <w:t>-</w:t>
      </w:r>
      <w:r w:rsidRPr="00FA3886">
        <w:t>RSRP</w:t>
      </w:r>
      <w:r w:rsidRPr="00FA3886">
        <w:rPr>
          <w:lang w:eastAsia="zh-CN"/>
        </w:rPr>
        <w:t xml:space="preserve"> absolute </w:t>
      </w:r>
      <w:r w:rsidRPr="00FA3886">
        <w:t>accuracy</w:t>
      </w:r>
      <w:r w:rsidRPr="00FA3886">
        <w:rPr>
          <w:lang w:eastAsia="zh-CN"/>
        </w:rPr>
        <w:t xml:space="preserve"> for FR2 with reduced sample number</w:t>
      </w:r>
    </w:p>
    <w:tbl>
      <w:tblPr>
        <w:tblW w:w="9855" w:type="dxa"/>
        <w:jc w:val="center"/>
        <w:tblLayout w:type="fixed"/>
        <w:tblLook w:val="01E0" w:firstRow="1" w:lastRow="1" w:firstColumn="1" w:lastColumn="1" w:noHBand="0" w:noVBand="0"/>
      </w:tblPr>
      <w:tblGrid>
        <w:gridCol w:w="1045"/>
        <w:gridCol w:w="1048"/>
        <w:gridCol w:w="907"/>
        <w:gridCol w:w="1568"/>
        <w:gridCol w:w="1487"/>
        <w:gridCol w:w="1260"/>
        <w:gridCol w:w="1260"/>
        <w:gridCol w:w="1280"/>
      </w:tblGrid>
      <w:tr w:rsidR="00382AB2" w:rsidRPr="00FA3886" w14:paraId="34F16FEB" w14:textId="77777777" w:rsidTr="00ED4E9A">
        <w:trPr>
          <w:jc w:val="center"/>
        </w:trPr>
        <w:tc>
          <w:tcPr>
            <w:tcW w:w="2093" w:type="dxa"/>
            <w:gridSpan w:val="2"/>
            <w:tcBorders>
              <w:top w:val="single" w:sz="4" w:space="0" w:color="auto"/>
              <w:left w:val="single" w:sz="4" w:space="0" w:color="auto"/>
              <w:bottom w:val="single" w:sz="4" w:space="0" w:color="auto"/>
              <w:right w:val="single" w:sz="4" w:space="0" w:color="auto"/>
            </w:tcBorders>
            <w:vAlign w:val="center"/>
            <w:hideMark/>
          </w:tcPr>
          <w:p w14:paraId="6A1306B4"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Accuracy</w:t>
            </w:r>
          </w:p>
        </w:tc>
        <w:tc>
          <w:tcPr>
            <w:tcW w:w="7762" w:type="dxa"/>
            <w:gridSpan w:val="6"/>
            <w:tcBorders>
              <w:top w:val="single" w:sz="4" w:space="0" w:color="auto"/>
              <w:left w:val="single" w:sz="4" w:space="0" w:color="auto"/>
              <w:bottom w:val="single" w:sz="6" w:space="0" w:color="auto"/>
              <w:right w:val="single" w:sz="4" w:space="0" w:color="auto"/>
            </w:tcBorders>
            <w:vAlign w:val="center"/>
            <w:hideMark/>
          </w:tcPr>
          <w:p w14:paraId="76F5209F"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Conditions</w:t>
            </w:r>
          </w:p>
        </w:tc>
      </w:tr>
      <w:tr w:rsidR="00382AB2" w:rsidRPr="00FA3886" w14:paraId="55134EAE" w14:textId="77777777" w:rsidTr="00ED4E9A">
        <w:trPr>
          <w:jc w:val="center"/>
        </w:trPr>
        <w:tc>
          <w:tcPr>
            <w:tcW w:w="1045" w:type="dxa"/>
            <w:vMerge w:val="restart"/>
            <w:tcBorders>
              <w:top w:val="single" w:sz="4" w:space="0" w:color="auto"/>
              <w:left w:val="single" w:sz="4" w:space="0" w:color="auto"/>
              <w:bottom w:val="nil"/>
              <w:right w:val="single" w:sz="6" w:space="0" w:color="auto"/>
            </w:tcBorders>
            <w:vAlign w:val="center"/>
            <w:hideMark/>
          </w:tcPr>
          <w:p w14:paraId="2D5F6376"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Normal condition</w:t>
            </w:r>
          </w:p>
        </w:tc>
        <w:tc>
          <w:tcPr>
            <w:tcW w:w="1048" w:type="dxa"/>
            <w:vMerge w:val="restart"/>
            <w:tcBorders>
              <w:top w:val="single" w:sz="4" w:space="0" w:color="auto"/>
              <w:left w:val="single" w:sz="4" w:space="0" w:color="auto"/>
              <w:bottom w:val="nil"/>
              <w:right w:val="single" w:sz="6" w:space="0" w:color="auto"/>
            </w:tcBorders>
            <w:vAlign w:val="center"/>
            <w:hideMark/>
          </w:tcPr>
          <w:p w14:paraId="3F777E95"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Extreme condition</w:t>
            </w:r>
          </w:p>
        </w:tc>
        <w:tc>
          <w:tcPr>
            <w:tcW w:w="907" w:type="dxa"/>
            <w:vMerge w:val="restart"/>
            <w:tcBorders>
              <w:top w:val="single" w:sz="6" w:space="0" w:color="auto"/>
              <w:left w:val="single" w:sz="6" w:space="0" w:color="auto"/>
              <w:bottom w:val="nil"/>
              <w:right w:val="single" w:sz="6" w:space="0" w:color="auto"/>
            </w:tcBorders>
            <w:vAlign w:val="center"/>
            <w:hideMark/>
          </w:tcPr>
          <w:p w14:paraId="663FF65D"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PRS Ês/Iot</w:t>
            </w:r>
          </w:p>
        </w:tc>
        <w:tc>
          <w:tcPr>
            <w:tcW w:w="1568" w:type="dxa"/>
            <w:vMerge w:val="restart"/>
            <w:tcBorders>
              <w:top w:val="single" w:sz="6" w:space="0" w:color="auto"/>
              <w:left w:val="single" w:sz="6" w:space="0" w:color="auto"/>
              <w:bottom w:val="nil"/>
              <w:right w:val="single" w:sz="6" w:space="0" w:color="auto"/>
            </w:tcBorders>
            <w:vAlign w:val="center"/>
            <w:hideMark/>
          </w:tcPr>
          <w:p w14:paraId="3EDB3EA1"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PRS BW</w:t>
            </w:r>
          </w:p>
        </w:tc>
        <w:tc>
          <w:tcPr>
            <w:tcW w:w="1487" w:type="dxa"/>
            <w:vMerge w:val="restart"/>
            <w:tcBorders>
              <w:top w:val="single" w:sz="6" w:space="0" w:color="auto"/>
              <w:left w:val="single" w:sz="6" w:space="0" w:color="auto"/>
              <w:bottom w:val="nil"/>
              <w:right w:val="single" w:sz="6" w:space="0" w:color="auto"/>
            </w:tcBorders>
            <w:vAlign w:val="center"/>
            <w:hideMark/>
          </w:tcPr>
          <w:p w14:paraId="7BFE6F17" w14:textId="77777777" w:rsidR="00382AB2" w:rsidRPr="00FA3886" w:rsidRDefault="00382AB2" w:rsidP="00ED4E9A">
            <w:pPr>
              <w:keepNext/>
              <w:keepLines/>
              <w:spacing w:after="0"/>
              <w:jc w:val="center"/>
              <w:rPr>
                <w:rFonts w:ascii="Arial" w:hAnsi="Arial" w:cs="Arial"/>
                <w:b/>
                <w:sz w:val="18"/>
                <w:lang w:val="en-US" w:eastAsia="zh-CN"/>
              </w:rPr>
            </w:pPr>
            <w:r w:rsidRPr="00FA3886">
              <w:rPr>
                <w:rFonts w:ascii="Arial" w:hAnsi="Arial" w:cs="Arial"/>
                <w:b/>
                <w:bCs/>
                <w:sz w:val="18"/>
                <w:lang w:eastAsia="zh-CN"/>
              </w:rPr>
              <w:t xml:space="preserve">Repetition factor </w:t>
            </w:r>
          </w:p>
          <w:p w14:paraId="6AF8C5EE"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bCs/>
                <w:sz w:val="18"/>
                <w:lang w:eastAsia="zh-CN"/>
              </w:rPr>
              <w:t>(</w:t>
            </w:r>
            <m:oMath>
              <m:sSubSup>
                <m:sSubSupPr>
                  <m:ctrlPr>
                    <w:rPr>
                      <w:rFonts w:ascii="Cambria Math" w:hAnsi="Cambria Math" w:cs="Arial"/>
                      <w:b/>
                      <w:bCs/>
                      <w:i/>
                      <w:iCs/>
                      <w:sz w:val="18"/>
                      <w:lang w:val="en-US" w:eastAsia="zh-CN"/>
                    </w:rPr>
                  </m:ctrlPr>
                </m:sSubSupPr>
                <m:e>
                  <m:r>
                    <m:rPr>
                      <m:sty m:val="b"/>
                    </m:rPr>
                    <w:rPr>
                      <w:rFonts w:ascii="Cambria Math" w:hAnsi="Cambria Math" w:cs="Arial"/>
                      <w:sz w:val="18"/>
                      <w:lang w:eastAsia="zh-CN"/>
                    </w:rPr>
                    <m:t>T</m:t>
                  </m:r>
                </m:e>
                <m:sub>
                  <m:r>
                    <m:rPr>
                      <m:sty m:val="b"/>
                    </m:rPr>
                    <w:rPr>
                      <w:rFonts w:ascii="Cambria Math" w:hAnsi="Cambria Math" w:cs="Arial"/>
                      <w:sz w:val="18"/>
                      <w:lang w:eastAsia="zh-CN"/>
                    </w:rPr>
                    <m:t>rep</m:t>
                  </m:r>
                </m:sub>
                <m:sup>
                  <m:r>
                    <m:rPr>
                      <m:sty m:val="b"/>
                    </m:rPr>
                    <w:rPr>
                      <w:rFonts w:ascii="Cambria Math" w:hAnsi="Cambria Math" w:cs="Arial"/>
                      <w:sz w:val="18"/>
                      <w:lang w:eastAsia="zh-CN"/>
                    </w:rPr>
                    <m:t>PRS</m:t>
                  </m:r>
                </m:sup>
              </m:sSubSup>
              <m:r>
                <m:rPr>
                  <m:sty m:val="b"/>
                </m:rPr>
                <w:rPr>
                  <w:rFonts w:ascii="Cambria Math" w:hAnsi="Cambria Math" w:cs="Arial"/>
                  <w:sz w:val="18"/>
                  <w:lang w:eastAsia="zh-CN"/>
                </w:rPr>
                <m:t>*</m:t>
              </m:r>
              <m:sSub>
                <m:sSubPr>
                  <m:ctrlPr>
                    <w:rPr>
                      <w:rFonts w:ascii="Cambria Math" w:hAnsi="Cambria Math" w:cs="Arial"/>
                      <w:b/>
                      <w:bCs/>
                      <w:i/>
                      <w:iCs/>
                      <w:sz w:val="18"/>
                      <w:lang w:val="en-US" w:eastAsia="zh-CN"/>
                    </w:rPr>
                  </m:ctrlPr>
                </m:sSubPr>
                <m:e>
                  <m:r>
                    <m:rPr>
                      <m:sty m:val="b"/>
                    </m:rPr>
                    <w:rPr>
                      <w:rFonts w:ascii="Cambria Math" w:hAnsi="Cambria Math" w:cs="Arial"/>
                      <w:sz w:val="18"/>
                      <w:lang w:eastAsia="zh-CN"/>
                    </w:rPr>
                    <m:t>L</m:t>
                  </m:r>
                </m:e>
                <m:sub>
                  <m:r>
                    <m:rPr>
                      <m:sty m:val="b"/>
                    </m:rPr>
                    <w:rPr>
                      <w:rFonts w:ascii="Cambria Math" w:hAnsi="Cambria Math" w:cs="Arial"/>
                      <w:sz w:val="18"/>
                      <w:lang w:eastAsia="zh-CN"/>
                    </w:rPr>
                    <m:t>PRS</m:t>
                  </m:r>
                </m:sub>
              </m:sSub>
              <m:r>
                <m:rPr>
                  <m:sty m:val="b"/>
                </m:rPr>
                <w:rPr>
                  <w:rFonts w:ascii="Cambria Math" w:hAnsi="Cambria Math" w:cs="Arial"/>
                  <w:sz w:val="18"/>
                  <w:lang w:eastAsia="zh-CN"/>
                </w:rPr>
                <m:t>/</m:t>
              </m:r>
              <m:sSubSup>
                <m:sSubSupPr>
                  <m:ctrlPr>
                    <w:rPr>
                      <w:rFonts w:ascii="Cambria Math" w:hAnsi="Cambria Math" w:cs="Arial"/>
                      <w:b/>
                      <w:bCs/>
                      <w:i/>
                      <w:iCs/>
                      <w:sz w:val="18"/>
                      <w:lang w:val="en-US" w:eastAsia="zh-CN"/>
                    </w:rPr>
                  </m:ctrlPr>
                </m:sSubSupPr>
                <m:e>
                  <m:r>
                    <m:rPr>
                      <m:sty m:val="b"/>
                    </m:rPr>
                    <w:rPr>
                      <w:rFonts w:ascii="Cambria Math" w:hAnsi="Cambria Math" w:cs="Arial"/>
                      <w:sz w:val="18"/>
                      <w:lang w:eastAsia="zh-CN"/>
                    </w:rPr>
                    <m:t>K</m:t>
                  </m:r>
                </m:e>
                <m:sub>
                  <m:r>
                    <m:rPr>
                      <m:sty m:val="b"/>
                    </m:rPr>
                    <w:rPr>
                      <w:rFonts w:ascii="Cambria Math" w:hAnsi="Cambria Math" w:cs="Arial"/>
                      <w:sz w:val="18"/>
                      <w:lang w:eastAsia="zh-CN"/>
                    </w:rPr>
                    <m:t>comb</m:t>
                  </m:r>
                </m:sub>
                <m:sup>
                  <m:r>
                    <m:rPr>
                      <m:sty m:val="b"/>
                    </m:rPr>
                    <w:rPr>
                      <w:rFonts w:ascii="Cambria Math" w:hAnsi="Cambria Math" w:cs="Arial"/>
                      <w:sz w:val="18"/>
                      <w:lang w:eastAsia="zh-CN"/>
                    </w:rPr>
                    <m:t>PRS</m:t>
                  </m:r>
                </m:sup>
              </m:sSubSup>
              <m:r>
                <m:rPr>
                  <m:sty m:val="b"/>
                </m:rPr>
                <w:rPr>
                  <w:rFonts w:ascii="Cambria Math" w:hAnsi="Cambria Math" w:cs="Arial"/>
                  <w:sz w:val="18"/>
                  <w:lang w:eastAsia="zh-CN"/>
                </w:rPr>
                <m:t>)</m:t>
              </m:r>
            </m:oMath>
          </w:p>
        </w:tc>
        <w:tc>
          <w:tcPr>
            <w:tcW w:w="3800" w:type="dxa"/>
            <w:gridSpan w:val="3"/>
            <w:tcBorders>
              <w:top w:val="single" w:sz="6" w:space="0" w:color="auto"/>
              <w:left w:val="single" w:sz="6" w:space="0" w:color="auto"/>
              <w:bottom w:val="single" w:sz="6" w:space="0" w:color="auto"/>
              <w:right w:val="single" w:sz="4" w:space="0" w:color="auto"/>
            </w:tcBorders>
            <w:vAlign w:val="center"/>
            <w:hideMark/>
          </w:tcPr>
          <w:p w14:paraId="64CE2FF9"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Io</w:t>
            </w:r>
            <w:r w:rsidRPr="00FA3886">
              <w:rPr>
                <w:rFonts w:ascii="Arial" w:hAnsi="Arial" w:cs="Arial"/>
                <w:b/>
                <w:sz w:val="18"/>
                <w:vertAlign w:val="superscript"/>
                <w:lang w:eastAsia="zh-CN"/>
              </w:rPr>
              <w:t xml:space="preserve"> Note 6</w:t>
            </w:r>
            <w:r w:rsidRPr="00FA3886">
              <w:rPr>
                <w:rFonts w:ascii="Arial" w:hAnsi="Arial" w:cs="Arial"/>
                <w:b/>
                <w:sz w:val="18"/>
              </w:rPr>
              <w:t xml:space="preserve"> range</w:t>
            </w:r>
          </w:p>
        </w:tc>
      </w:tr>
      <w:tr w:rsidR="00382AB2" w:rsidRPr="00FA3886" w14:paraId="2B5DB115" w14:textId="77777777" w:rsidTr="007F4AB1">
        <w:trPr>
          <w:trHeight w:val="742"/>
          <w:jc w:val="center"/>
        </w:trPr>
        <w:tc>
          <w:tcPr>
            <w:tcW w:w="1045" w:type="dxa"/>
            <w:vMerge/>
            <w:tcBorders>
              <w:top w:val="single" w:sz="4" w:space="0" w:color="auto"/>
              <w:left w:val="single" w:sz="4" w:space="0" w:color="auto"/>
              <w:bottom w:val="nil"/>
              <w:right w:val="single" w:sz="6" w:space="0" w:color="auto"/>
            </w:tcBorders>
            <w:vAlign w:val="center"/>
            <w:hideMark/>
          </w:tcPr>
          <w:p w14:paraId="60BE4047" w14:textId="77777777" w:rsidR="00382AB2" w:rsidRPr="00FA3886" w:rsidRDefault="00382AB2" w:rsidP="00ED4E9A">
            <w:pPr>
              <w:spacing w:after="0"/>
              <w:rPr>
                <w:rFonts w:ascii="Arial" w:eastAsia="SimSun" w:hAnsi="Arial"/>
                <w:b/>
                <w:sz w:val="18"/>
                <w:lang w:eastAsia="zh-CN"/>
              </w:rPr>
            </w:pPr>
          </w:p>
        </w:tc>
        <w:tc>
          <w:tcPr>
            <w:tcW w:w="1048" w:type="dxa"/>
            <w:vMerge/>
            <w:tcBorders>
              <w:top w:val="single" w:sz="4" w:space="0" w:color="auto"/>
              <w:left w:val="single" w:sz="4" w:space="0" w:color="auto"/>
              <w:bottom w:val="nil"/>
              <w:right w:val="single" w:sz="6" w:space="0" w:color="auto"/>
            </w:tcBorders>
            <w:vAlign w:val="center"/>
            <w:hideMark/>
          </w:tcPr>
          <w:p w14:paraId="7DB4C02D" w14:textId="77777777" w:rsidR="00382AB2" w:rsidRPr="00FA3886" w:rsidRDefault="00382AB2" w:rsidP="00ED4E9A">
            <w:pPr>
              <w:spacing w:after="0"/>
              <w:rPr>
                <w:rFonts w:ascii="Arial" w:eastAsia="SimSun" w:hAnsi="Arial"/>
                <w:b/>
                <w:sz w:val="18"/>
                <w:lang w:eastAsia="zh-CN"/>
              </w:rPr>
            </w:pPr>
          </w:p>
        </w:tc>
        <w:tc>
          <w:tcPr>
            <w:tcW w:w="907" w:type="dxa"/>
            <w:vMerge/>
            <w:tcBorders>
              <w:top w:val="single" w:sz="6" w:space="0" w:color="auto"/>
              <w:left w:val="single" w:sz="6" w:space="0" w:color="auto"/>
              <w:bottom w:val="nil"/>
              <w:right w:val="single" w:sz="6" w:space="0" w:color="auto"/>
            </w:tcBorders>
            <w:vAlign w:val="center"/>
            <w:hideMark/>
          </w:tcPr>
          <w:p w14:paraId="1A3D7D21" w14:textId="77777777" w:rsidR="00382AB2" w:rsidRPr="00FA3886" w:rsidRDefault="00382AB2" w:rsidP="00ED4E9A">
            <w:pPr>
              <w:spacing w:after="0"/>
              <w:rPr>
                <w:rFonts w:ascii="Arial" w:eastAsia="SimSun" w:hAnsi="Arial"/>
                <w:b/>
                <w:sz w:val="18"/>
              </w:rPr>
            </w:pPr>
          </w:p>
        </w:tc>
        <w:tc>
          <w:tcPr>
            <w:tcW w:w="1568" w:type="dxa"/>
            <w:vMerge/>
            <w:tcBorders>
              <w:top w:val="single" w:sz="6" w:space="0" w:color="auto"/>
              <w:left w:val="single" w:sz="6" w:space="0" w:color="auto"/>
              <w:bottom w:val="nil"/>
              <w:right w:val="single" w:sz="6" w:space="0" w:color="auto"/>
            </w:tcBorders>
            <w:vAlign w:val="center"/>
            <w:hideMark/>
          </w:tcPr>
          <w:p w14:paraId="43F61B5A" w14:textId="77777777" w:rsidR="00382AB2" w:rsidRPr="00FA3886" w:rsidRDefault="00382AB2" w:rsidP="00ED4E9A">
            <w:pPr>
              <w:spacing w:after="0"/>
              <w:rPr>
                <w:rFonts w:ascii="Arial" w:eastAsia="SimSun" w:hAnsi="Arial"/>
                <w:b/>
                <w:sz w:val="18"/>
                <w:lang w:eastAsia="zh-CN"/>
              </w:rPr>
            </w:pPr>
          </w:p>
        </w:tc>
        <w:tc>
          <w:tcPr>
            <w:tcW w:w="1487" w:type="dxa"/>
            <w:vMerge/>
            <w:tcBorders>
              <w:top w:val="single" w:sz="6" w:space="0" w:color="auto"/>
              <w:left w:val="single" w:sz="6" w:space="0" w:color="auto"/>
              <w:bottom w:val="nil"/>
              <w:right w:val="single" w:sz="6" w:space="0" w:color="auto"/>
            </w:tcBorders>
            <w:vAlign w:val="center"/>
            <w:hideMark/>
          </w:tcPr>
          <w:p w14:paraId="538426A8" w14:textId="77777777" w:rsidR="00382AB2" w:rsidRPr="00FA3886" w:rsidRDefault="00382AB2" w:rsidP="00ED4E9A">
            <w:pPr>
              <w:spacing w:after="0"/>
              <w:rPr>
                <w:rFonts w:ascii="Arial" w:eastAsia="SimSun" w:hAnsi="Arial"/>
                <w:b/>
                <w:sz w:val="18"/>
                <w:lang w:eastAsia="zh-CN"/>
              </w:rPr>
            </w:pPr>
          </w:p>
        </w:tc>
        <w:tc>
          <w:tcPr>
            <w:tcW w:w="2520" w:type="dxa"/>
            <w:gridSpan w:val="2"/>
            <w:tcBorders>
              <w:top w:val="single" w:sz="6" w:space="0" w:color="auto"/>
              <w:left w:val="single" w:sz="6" w:space="0" w:color="auto"/>
              <w:bottom w:val="nil"/>
              <w:right w:val="single" w:sz="6" w:space="0" w:color="auto"/>
            </w:tcBorders>
            <w:vAlign w:val="center"/>
            <w:hideMark/>
          </w:tcPr>
          <w:p w14:paraId="0FCBE881"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Minimum</w:t>
            </w:r>
            <w:r w:rsidRPr="00FA3886">
              <w:rPr>
                <w:rFonts w:ascii="Arial" w:hAnsi="Arial" w:cs="Arial"/>
                <w:b/>
                <w:sz w:val="18"/>
              </w:rPr>
              <w:br/>
              <w:t xml:space="preserve">Io </w:t>
            </w:r>
            <w:r w:rsidRPr="00FA3886">
              <w:rPr>
                <w:rFonts w:ascii="Arial" w:hAnsi="Arial" w:cs="Arial"/>
                <w:b/>
                <w:sz w:val="18"/>
                <w:vertAlign w:val="superscript"/>
              </w:rPr>
              <w:t>Note 1</w:t>
            </w:r>
          </w:p>
          <w:p w14:paraId="1CA35ECD"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 / SCS</w:t>
            </w:r>
            <w:r w:rsidRPr="00FA3886">
              <w:rPr>
                <w:rFonts w:ascii="Arial" w:hAnsi="Arial" w:cs="Arial"/>
                <w:b/>
                <w:sz w:val="18"/>
                <w:vertAlign w:val="subscript"/>
              </w:rPr>
              <w:t>PRS</w:t>
            </w:r>
          </w:p>
        </w:tc>
        <w:tc>
          <w:tcPr>
            <w:tcW w:w="1280" w:type="dxa"/>
            <w:tcBorders>
              <w:top w:val="single" w:sz="6" w:space="0" w:color="auto"/>
              <w:left w:val="single" w:sz="6" w:space="0" w:color="auto"/>
              <w:bottom w:val="nil"/>
              <w:right w:val="single" w:sz="4" w:space="0" w:color="auto"/>
            </w:tcBorders>
            <w:vAlign w:val="center"/>
            <w:hideMark/>
          </w:tcPr>
          <w:p w14:paraId="4278B251"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Maximum</w:t>
            </w:r>
            <w:r w:rsidRPr="00FA3886">
              <w:rPr>
                <w:rFonts w:ascii="Arial" w:hAnsi="Arial" w:cs="Arial"/>
                <w:b/>
                <w:sz w:val="18"/>
              </w:rPr>
              <w:br/>
              <w:t>Io</w:t>
            </w:r>
          </w:p>
        </w:tc>
      </w:tr>
      <w:tr w:rsidR="00382AB2" w:rsidRPr="00FA3886" w14:paraId="133FEDB5" w14:textId="77777777" w:rsidTr="00ED4E9A">
        <w:trPr>
          <w:trHeight w:val="236"/>
          <w:jc w:val="center"/>
        </w:trPr>
        <w:tc>
          <w:tcPr>
            <w:tcW w:w="1045" w:type="dxa"/>
            <w:vMerge w:val="restart"/>
            <w:tcBorders>
              <w:top w:val="single" w:sz="6" w:space="0" w:color="auto"/>
              <w:left w:val="single" w:sz="4" w:space="0" w:color="auto"/>
              <w:bottom w:val="single" w:sz="6" w:space="0" w:color="auto"/>
              <w:right w:val="single" w:sz="6" w:space="0" w:color="auto"/>
            </w:tcBorders>
            <w:vAlign w:val="center"/>
            <w:hideMark/>
          </w:tcPr>
          <w:p w14:paraId="445F3C6F"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lang w:eastAsia="zh-CN"/>
              </w:rPr>
              <w:t>dB</w:t>
            </w:r>
          </w:p>
        </w:tc>
        <w:tc>
          <w:tcPr>
            <w:tcW w:w="1048" w:type="dxa"/>
            <w:vMerge w:val="restart"/>
            <w:tcBorders>
              <w:top w:val="single" w:sz="6" w:space="0" w:color="auto"/>
              <w:left w:val="single" w:sz="4" w:space="0" w:color="auto"/>
              <w:bottom w:val="nil"/>
              <w:right w:val="single" w:sz="6" w:space="0" w:color="auto"/>
            </w:tcBorders>
            <w:vAlign w:val="center"/>
            <w:hideMark/>
          </w:tcPr>
          <w:p w14:paraId="149E44F2"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lang w:eastAsia="zh-CN"/>
              </w:rPr>
              <w:t>dB</w:t>
            </w:r>
          </w:p>
        </w:tc>
        <w:tc>
          <w:tcPr>
            <w:tcW w:w="907" w:type="dxa"/>
            <w:vMerge w:val="restart"/>
            <w:tcBorders>
              <w:top w:val="single" w:sz="6" w:space="0" w:color="auto"/>
              <w:left w:val="single" w:sz="6" w:space="0" w:color="auto"/>
              <w:bottom w:val="single" w:sz="6" w:space="0" w:color="auto"/>
              <w:right w:val="single" w:sz="6" w:space="0" w:color="auto"/>
            </w:tcBorders>
            <w:vAlign w:val="center"/>
            <w:hideMark/>
          </w:tcPr>
          <w:p w14:paraId="16C7AA7E"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w:t>
            </w:r>
          </w:p>
        </w:tc>
        <w:tc>
          <w:tcPr>
            <w:tcW w:w="1568" w:type="dxa"/>
            <w:vMerge w:val="restart"/>
            <w:tcBorders>
              <w:top w:val="single" w:sz="6" w:space="0" w:color="auto"/>
              <w:left w:val="single" w:sz="6" w:space="0" w:color="auto"/>
              <w:bottom w:val="nil"/>
              <w:right w:val="single" w:sz="6" w:space="0" w:color="auto"/>
            </w:tcBorders>
            <w:vAlign w:val="center"/>
            <w:hideMark/>
          </w:tcPr>
          <w:p w14:paraId="04E46E8E"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lang w:eastAsia="zh-CN"/>
              </w:rPr>
              <w:t>P</w:t>
            </w:r>
            <w:r w:rsidRPr="00FA3886">
              <w:rPr>
                <w:rFonts w:ascii="Arial" w:hAnsi="Arial" w:cs="Arial"/>
                <w:b/>
                <w:sz w:val="18"/>
              </w:rPr>
              <w:t>RB</w:t>
            </w:r>
          </w:p>
        </w:tc>
        <w:tc>
          <w:tcPr>
            <w:tcW w:w="1487" w:type="dxa"/>
            <w:vMerge w:val="restart"/>
            <w:tcBorders>
              <w:top w:val="single" w:sz="6" w:space="0" w:color="auto"/>
              <w:left w:val="single" w:sz="6" w:space="0" w:color="auto"/>
              <w:bottom w:val="nil"/>
              <w:right w:val="single" w:sz="6" w:space="0" w:color="auto"/>
            </w:tcBorders>
            <w:vAlign w:val="center"/>
            <w:hideMark/>
          </w:tcPr>
          <w:p w14:paraId="4A71FBB4"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lang w:eastAsia="zh-CN"/>
              </w:rPr>
              <w:t>-</w:t>
            </w:r>
          </w:p>
        </w:tc>
        <w:tc>
          <w:tcPr>
            <w:tcW w:w="2520" w:type="dxa"/>
            <w:gridSpan w:val="2"/>
            <w:tcBorders>
              <w:top w:val="single" w:sz="6" w:space="0" w:color="auto"/>
              <w:left w:val="single" w:sz="6" w:space="0" w:color="auto"/>
              <w:bottom w:val="nil"/>
              <w:right w:val="single" w:sz="6" w:space="0" w:color="auto"/>
            </w:tcBorders>
            <w:vAlign w:val="center"/>
            <w:hideMark/>
          </w:tcPr>
          <w:p w14:paraId="11D1F220" w14:textId="77777777" w:rsidR="00382AB2" w:rsidRPr="00FA3886" w:rsidRDefault="00382AB2" w:rsidP="00ED4E9A">
            <w:pPr>
              <w:keepNext/>
              <w:keepLines/>
              <w:spacing w:after="0"/>
              <w:jc w:val="center"/>
              <w:rPr>
                <w:rFonts w:ascii="Arial" w:hAnsi="Arial" w:cs="Arial"/>
                <w:b/>
                <w:sz w:val="18"/>
                <w:lang w:eastAsia="zh-CN"/>
              </w:rPr>
            </w:pPr>
            <w:r w:rsidRPr="00FA3886">
              <w:rPr>
                <w:rFonts w:ascii="Arial" w:hAnsi="Arial" w:cs="Arial"/>
                <w:b/>
                <w:sz w:val="18"/>
              </w:rPr>
              <w:t>dBm / SCS</w:t>
            </w:r>
            <w:r w:rsidRPr="00FA3886">
              <w:rPr>
                <w:rFonts w:ascii="Arial" w:hAnsi="Arial" w:cs="Arial"/>
                <w:b/>
                <w:sz w:val="18"/>
                <w:vertAlign w:val="subscript"/>
              </w:rPr>
              <w:t>PRS</w:t>
            </w:r>
          </w:p>
        </w:tc>
        <w:tc>
          <w:tcPr>
            <w:tcW w:w="1280" w:type="dxa"/>
            <w:vMerge w:val="restart"/>
            <w:tcBorders>
              <w:top w:val="single" w:sz="6" w:space="0" w:color="auto"/>
              <w:left w:val="single" w:sz="6" w:space="0" w:color="auto"/>
              <w:bottom w:val="nil"/>
              <w:right w:val="single" w:sz="4" w:space="0" w:color="auto"/>
            </w:tcBorders>
            <w:vAlign w:val="center"/>
            <w:hideMark/>
          </w:tcPr>
          <w:p w14:paraId="3E425EE9"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dBm/BW</w:t>
            </w:r>
            <w:r w:rsidRPr="00FA3886">
              <w:rPr>
                <w:rFonts w:ascii="Arial" w:hAnsi="Arial" w:cs="Arial"/>
                <w:b/>
                <w:sz w:val="18"/>
                <w:vertAlign w:val="subscript"/>
              </w:rPr>
              <w:t>Channel</w:t>
            </w:r>
          </w:p>
        </w:tc>
      </w:tr>
      <w:tr w:rsidR="00382AB2" w:rsidRPr="00FA3886" w14:paraId="19CCCBAB" w14:textId="77777777" w:rsidTr="007F4AB1">
        <w:trPr>
          <w:trHeight w:val="236"/>
          <w:jc w:val="center"/>
        </w:trPr>
        <w:tc>
          <w:tcPr>
            <w:tcW w:w="1045" w:type="dxa"/>
            <w:vMerge/>
            <w:tcBorders>
              <w:top w:val="single" w:sz="6" w:space="0" w:color="auto"/>
              <w:left w:val="single" w:sz="4" w:space="0" w:color="auto"/>
              <w:bottom w:val="single" w:sz="6" w:space="0" w:color="auto"/>
              <w:right w:val="single" w:sz="6" w:space="0" w:color="auto"/>
            </w:tcBorders>
            <w:vAlign w:val="center"/>
            <w:hideMark/>
          </w:tcPr>
          <w:p w14:paraId="168F0329" w14:textId="77777777" w:rsidR="00382AB2" w:rsidRPr="00FA3886" w:rsidRDefault="00382AB2" w:rsidP="00ED4E9A">
            <w:pPr>
              <w:spacing w:after="0"/>
              <w:rPr>
                <w:rFonts w:ascii="Arial" w:eastAsia="SimSun" w:hAnsi="Arial"/>
                <w:b/>
                <w:sz w:val="18"/>
              </w:rPr>
            </w:pPr>
          </w:p>
        </w:tc>
        <w:tc>
          <w:tcPr>
            <w:tcW w:w="1048" w:type="dxa"/>
            <w:vMerge/>
            <w:tcBorders>
              <w:top w:val="single" w:sz="6" w:space="0" w:color="auto"/>
              <w:left w:val="single" w:sz="4" w:space="0" w:color="auto"/>
              <w:bottom w:val="nil"/>
              <w:right w:val="single" w:sz="6" w:space="0" w:color="auto"/>
            </w:tcBorders>
            <w:vAlign w:val="center"/>
            <w:hideMark/>
          </w:tcPr>
          <w:p w14:paraId="0778FD89" w14:textId="77777777" w:rsidR="00382AB2" w:rsidRPr="00FA3886" w:rsidRDefault="00382AB2" w:rsidP="00ED4E9A">
            <w:pPr>
              <w:spacing w:after="0"/>
              <w:rPr>
                <w:rFonts w:ascii="Arial" w:eastAsia="SimSun" w:hAnsi="Arial"/>
                <w:b/>
                <w:sz w:val="18"/>
              </w:rPr>
            </w:pPr>
          </w:p>
        </w:tc>
        <w:tc>
          <w:tcPr>
            <w:tcW w:w="907" w:type="dxa"/>
            <w:vMerge/>
            <w:tcBorders>
              <w:top w:val="single" w:sz="6" w:space="0" w:color="auto"/>
              <w:left w:val="single" w:sz="6" w:space="0" w:color="auto"/>
              <w:bottom w:val="single" w:sz="6" w:space="0" w:color="auto"/>
              <w:right w:val="single" w:sz="6" w:space="0" w:color="auto"/>
            </w:tcBorders>
            <w:vAlign w:val="center"/>
            <w:hideMark/>
          </w:tcPr>
          <w:p w14:paraId="47A328BE" w14:textId="77777777" w:rsidR="00382AB2" w:rsidRPr="00FA3886" w:rsidRDefault="00382AB2" w:rsidP="00ED4E9A">
            <w:pPr>
              <w:spacing w:after="0"/>
              <w:rPr>
                <w:rFonts w:ascii="Arial" w:eastAsia="SimSun" w:hAnsi="Arial"/>
                <w:b/>
                <w:sz w:val="18"/>
              </w:rPr>
            </w:pPr>
          </w:p>
        </w:tc>
        <w:tc>
          <w:tcPr>
            <w:tcW w:w="1568" w:type="dxa"/>
            <w:vMerge/>
            <w:tcBorders>
              <w:top w:val="single" w:sz="6" w:space="0" w:color="auto"/>
              <w:left w:val="single" w:sz="6" w:space="0" w:color="auto"/>
              <w:bottom w:val="nil"/>
              <w:right w:val="single" w:sz="6" w:space="0" w:color="auto"/>
            </w:tcBorders>
            <w:vAlign w:val="center"/>
            <w:hideMark/>
          </w:tcPr>
          <w:p w14:paraId="595ECECC" w14:textId="77777777" w:rsidR="00382AB2" w:rsidRPr="00FA3886" w:rsidRDefault="00382AB2" w:rsidP="00ED4E9A">
            <w:pPr>
              <w:spacing w:after="0"/>
              <w:rPr>
                <w:rFonts w:ascii="Arial" w:eastAsia="SimSun" w:hAnsi="Arial"/>
                <w:b/>
                <w:sz w:val="18"/>
              </w:rPr>
            </w:pPr>
          </w:p>
        </w:tc>
        <w:tc>
          <w:tcPr>
            <w:tcW w:w="1487" w:type="dxa"/>
            <w:vMerge/>
            <w:tcBorders>
              <w:top w:val="single" w:sz="6" w:space="0" w:color="auto"/>
              <w:left w:val="single" w:sz="6" w:space="0" w:color="auto"/>
              <w:bottom w:val="nil"/>
              <w:right w:val="single" w:sz="6" w:space="0" w:color="auto"/>
            </w:tcBorders>
            <w:vAlign w:val="center"/>
            <w:hideMark/>
          </w:tcPr>
          <w:p w14:paraId="253056C8" w14:textId="77777777" w:rsidR="00382AB2" w:rsidRPr="00FA3886" w:rsidRDefault="00382AB2" w:rsidP="00ED4E9A">
            <w:pPr>
              <w:spacing w:after="0"/>
              <w:rPr>
                <w:rFonts w:ascii="Arial" w:eastAsia="SimSun" w:hAnsi="Arial"/>
                <w:b/>
                <w:sz w:val="18"/>
                <w:lang w:eastAsia="zh-CN"/>
              </w:rPr>
            </w:pPr>
          </w:p>
        </w:tc>
        <w:tc>
          <w:tcPr>
            <w:tcW w:w="1260" w:type="dxa"/>
            <w:tcBorders>
              <w:top w:val="single" w:sz="6" w:space="0" w:color="auto"/>
              <w:left w:val="single" w:sz="6" w:space="0" w:color="auto"/>
              <w:bottom w:val="nil"/>
              <w:right w:val="single" w:sz="6" w:space="0" w:color="auto"/>
            </w:tcBorders>
            <w:vAlign w:val="center"/>
            <w:hideMark/>
          </w:tcPr>
          <w:p w14:paraId="4A7DF4FF"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w:t>
            </w:r>
            <w:r w:rsidRPr="00FA3886">
              <w:rPr>
                <w:rFonts w:ascii="Arial" w:hAnsi="Arial" w:cs="Arial"/>
                <w:b/>
                <w:sz w:val="18"/>
                <w:lang w:eastAsia="zh-CN"/>
              </w:rPr>
              <w:t>120</w:t>
            </w:r>
            <w:r w:rsidRPr="00FA3886">
              <w:rPr>
                <w:rFonts w:ascii="Arial" w:hAnsi="Arial" w:cs="Arial"/>
                <w:b/>
                <w:sz w:val="18"/>
              </w:rPr>
              <w:t>kHz</w:t>
            </w:r>
            <w:r w:rsidRPr="00FA3886">
              <w:rPr>
                <w:rFonts w:ascii="Arial" w:hAnsi="Arial" w:cs="Arial"/>
                <w:b/>
                <w:sz w:val="18"/>
                <w:vertAlign w:val="superscript"/>
                <w:lang w:eastAsia="zh-CN"/>
              </w:rPr>
              <w:t xml:space="preserve"> Note 5</w:t>
            </w:r>
          </w:p>
        </w:tc>
        <w:tc>
          <w:tcPr>
            <w:tcW w:w="1260" w:type="dxa"/>
            <w:tcBorders>
              <w:top w:val="single" w:sz="6" w:space="0" w:color="auto"/>
              <w:left w:val="single" w:sz="6" w:space="0" w:color="auto"/>
              <w:bottom w:val="nil"/>
              <w:right w:val="single" w:sz="4" w:space="0" w:color="auto"/>
            </w:tcBorders>
            <w:vAlign w:val="center"/>
            <w:hideMark/>
          </w:tcPr>
          <w:p w14:paraId="5D2CB945" w14:textId="77777777" w:rsidR="00382AB2" w:rsidRPr="00FA3886" w:rsidRDefault="00382AB2" w:rsidP="00ED4E9A">
            <w:pPr>
              <w:keepNext/>
              <w:keepLines/>
              <w:spacing w:after="0"/>
              <w:jc w:val="center"/>
              <w:rPr>
                <w:rFonts w:ascii="Arial" w:hAnsi="Arial" w:cs="Arial"/>
                <w:b/>
                <w:sz w:val="18"/>
              </w:rPr>
            </w:pPr>
            <w:r w:rsidRPr="00FA3886">
              <w:rPr>
                <w:rFonts w:ascii="Arial" w:hAnsi="Arial" w:cs="Arial"/>
                <w:b/>
                <w:sz w:val="18"/>
              </w:rPr>
              <w:t>dBm/</w:t>
            </w:r>
            <w:r w:rsidRPr="00FA3886">
              <w:rPr>
                <w:rFonts w:ascii="Arial" w:hAnsi="Arial" w:cs="Arial"/>
                <w:b/>
                <w:sz w:val="18"/>
                <w:lang w:eastAsia="zh-CN"/>
              </w:rPr>
              <w:t>60</w:t>
            </w:r>
            <w:r w:rsidRPr="00FA3886">
              <w:rPr>
                <w:rFonts w:ascii="Arial" w:hAnsi="Arial" w:cs="Arial"/>
                <w:b/>
                <w:sz w:val="18"/>
              </w:rPr>
              <w:t>kHz</w:t>
            </w:r>
            <w:r w:rsidRPr="00FA3886">
              <w:rPr>
                <w:rFonts w:ascii="Arial" w:hAnsi="Arial" w:cs="Arial"/>
                <w:b/>
                <w:sz w:val="18"/>
                <w:vertAlign w:val="superscript"/>
                <w:lang w:eastAsia="zh-CN"/>
              </w:rPr>
              <w:t xml:space="preserve"> Note 5</w:t>
            </w:r>
          </w:p>
        </w:tc>
        <w:tc>
          <w:tcPr>
            <w:tcW w:w="1280" w:type="dxa"/>
            <w:vMerge/>
            <w:tcBorders>
              <w:top w:val="single" w:sz="6" w:space="0" w:color="auto"/>
              <w:left w:val="single" w:sz="6" w:space="0" w:color="auto"/>
              <w:bottom w:val="nil"/>
              <w:right w:val="single" w:sz="4" w:space="0" w:color="auto"/>
            </w:tcBorders>
            <w:vAlign w:val="center"/>
            <w:hideMark/>
          </w:tcPr>
          <w:p w14:paraId="17CC75B8" w14:textId="77777777" w:rsidR="00382AB2" w:rsidRPr="00FA3886" w:rsidRDefault="00382AB2" w:rsidP="00ED4E9A">
            <w:pPr>
              <w:spacing w:after="0"/>
              <w:rPr>
                <w:rFonts w:ascii="Arial" w:eastAsia="SimSun" w:hAnsi="Arial"/>
                <w:b/>
                <w:sz w:val="18"/>
              </w:rPr>
            </w:pPr>
          </w:p>
        </w:tc>
      </w:tr>
      <w:tr w:rsidR="007F4AB1" w:rsidRPr="00FA3886" w14:paraId="2E8F5F45" w14:textId="77777777" w:rsidTr="007F4AB1">
        <w:trPr>
          <w:trHeight w:val="226"/>
          <w:jc w:val="center"/>
        </w:trPr>
        <w:tc>
          <w:tcPr>
            <w:tcW w:w="1045" w:type="dxa"/>
            <w:tcBorders>
              <w:top w:val="single" w:sz="6" w:space="0" w:color="auto"/>
              <w:left w:val="single" w:sz="6" w:space="0" w:color="auto"/>
              <w:bottom w:val="nil"/>
              <w:right w:val="single" w:sz="6" w:space="0" w:color="auto"/>
            </w:tcBorders>
            <w:vAlign w:val="center"/>
            <w:hideMark/>
          </w:tcPr>
          <w:p w14:paraId="60AE1EF5" w14:textId="6CC8314A" w:rsidR="007F4AB1" w:rsidRPr="00FA3886" w:rsidRDefault="007F4AB1" w:rsidP="007F4AB1">
            <w:pPr>
              <w:pStyle w:val="TAC"/>
              <w:rPr>
                <w:lang w:eastAsia="zh-CN"/>
              </w:rPr>
            </w:pPr>
            <w:r w:rsidRPr="00FA3886">
              <w:rPr>
                <w:rFonts w:cs="Calibri"/>
              </w:rPr>
              <w:t>±</w:t>
            </w:r>
            <w:r w:rsidRPr="00FA3886">
              <w:rPr>
                <w:lang w:eastAsia="zh-CN"/>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14:paraId="12E693EB" w14:textId="4665C20D" w:rsidR="007F4AB1" w:rsidRPr="00FA3886" w:rsidRDefault="007F4AB1" w:rsidP="007F4AB1">
            <w:pPr>
              <w:pStyle w:val="TAC"/>
              <w:rPr>
                <w:lang w:eastAsia="zh-CN"/>
              </w:rPr>
            </w:pPr>
            <w:r w:rsidRPr="00FA3886">
              <w:rPr>
                <w:rFonts w:cs="Calibri"/>
              </w:rPr>
              <w:t>±</w:t>
            </w:r>
            <w:r w:rsidRPr="00FA3886">
              <w:rPr>
                <w:lang w:eastAsia="zh-CN"/>
              </w:rPr>
              <w:t>8</w:t>
            </w:r>
          </w:p>
        </w:tc>
        <w:tc>
          <w:tcPr>
            <w:tcW w:w="907" w:type="dxa"/>
            <w:tcBorders>
              <w:top w:val="single" w:sz="6" w:space="0" w:color="auto"/>
              <w:left w:val="single" w:sz="6" w:space="0" w:color="auto"/>
              <w:bottom w:val="single" w:sz="6" w:space="0" w:color="auto"/>
              <w:right w:val="single" w:sz="6" w:space="0" w:color="auto"/>
            </w:tcBorders>
            <w:vAlign w:val="center"/>
            <w:hideMark/>
          </w:tcPr>
          <w:p w14:paraId="32C55BF7" w14:textId="158B9E5C" w:rsidR="007F4AB1" w:rsidRPr="00FA3886" w:rsidRDefault="007F4AB1" w:rsidP="007F4AB1">
            <w:pPr>
              <w:pStyle w:val="TAC"/>
            </w:pPr>
            <w:r w:rsidRPr="00FA3886">
              <w:t>≥</w:t>
            </w:r>
            <w:r>
              <w:t>0</w:t>
            </w:r>
          </w:p>
        </w:tc>
        <w:tc>
          <w:tcPr>
            <w:tcW w:w="1568" w:type="dxa"/>
            <w:tcBorders>
              <w:top w:val="single" w:sz="6" w:space="0" w:color="auto"/>
              <w:left w:val="single" w:sz="6" w:space="0" w:color="auto"/>
              <w:bottom w:val="nil"/>
              <w:right w:val="single" w:sz="6" w:space="0" w:color="auto"/>
            </w:tcBorders>
            <w:vAlign w:val="center"/>
            <w:hideMark/>
          </w:tcPr>
          <w:p w14:paraId="5865D20B" w14:textId="37307802" w:rsidR="007F4AB1" w:rsidRPr="00FA3886" w:rsidRDefault="007F4AB1" w:rsidP="007F4AB1">
            <w:pPr>
              <w:pStyle w:val="TAC"/>
              <w:rPr>
                <w:lang w:eastAsia="zh-CN"/>
              </w:rPr>
            </w:pPr>
            <w:r w:rsidRPr="00FA3886">
              <w:t>≥</w:t>
            </w:r>
            <w:r w:rsidRPr="00FA3886">
              <w:rPr>
                <w:lang w:eastAsia="zh-CN"/>
              </w:rPr>
              <w:t>48</w:t>
            </w:r>
          </w:p>
        </w:tc>
        <w:tc>
          <w:tcPr>
            <w:tcW w:w="1487" w:type="dxa"/>
            <w:tcBorders>
              <w:top w:val="single" w:sz="6" w:space="0" w:color="auto"/>
              <w:left w:val="single" w:sz="6" w:space="0" w:color="auto"/>
              <w:bottom w:val="nil"/>
              <w:right w:val="single" w:sz="6" w:space="0" w:color="auto"/>
            </w:tcBorders>
            <w:vAlign w:val="center"/>
            <w:hideMark/>
          </w:tcPr>
          <w:p w14:paraId="5537DC7E"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2520" w:type="dxa"/>
            <w:gridSpan w:val="2"/>
            <w:tcBorders>
              <w:top w:val="single" w:sz="6" w:space="0" w:color="auto"/>
              <w:left w:val="single" w:sz="6" w:space="0" w:color="auto"/>
              <w:bottom w:val="nil"/>
              <w:right w:val="single" w:sz="4" w:space="0" w:color="auto"/>
            </w:tcBorders>
            <w:vAlign w:val="center"/>
            <w:hideMark/>
          </w:tcPr>
          <w:p w14:paraId="5B12A836"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rPr>
              <w:t xml:space="preserve">Same value as </w:t>
            </w:r>
            <w:r w:rsidRPr="00FA3886">
              <w:rPr>
                <w:rFonts w:ascii="Arial" w:hAnsi="Arial" w:cs="Arial"/>
                <w:sz w:val="18"/>
                <w:lang w:eastAsia="zh-CN"/>
              </w:rPr>
              <w:t>P</w:t>
            </w:r>
            <w:r w:rsidRPr="00FA3886">
              <w:rPr>
                <w:rFonts w:ascii="Arial" w:hAnsi="Arial" w:cs="Arial"/>
                <w:sz w:val="18"/>
              </w:rPr>
              <w:t>RP in Table B.2.</w:t>
            </w:r>
            <w:r w:rsidRPr="00FA3886">
              <w:rPr>
                <w:rFonts w:ascii="Arial" w:hAnsi="Arial" w:cs="Arial"/>
                <w:sz w:val="18"/>
                <w:lang w:eastAsia="zh-CN"/>
              </w:rPr>
              <w:t>14</w:t>
            </w:r>
            <w:r w:rsidRPr="00FA3886">
              <w:rPr>
                <w:rFonts w:ascii="Arial" w:hAnsi="Arial" w:cs="Arial"/>
                <w:sz w:val="18"/>
              </w:rPr>
              <w:t>-2, according to UE Power class, operating band and angle of arrival</w:t>
            </w:r>
          </w:p>
        </w:tc>
        <w:tc>
          <w:tcPr>
            <w:tcW w:w="1280" w:type="dxa"/>
            <w:tcBorders>
              <w:top w:val="single" w:sz="6" w:space="0" w:color="auto"/>
              <w:left w:val="single" w:sz="4" w:space="0" w:color="auto"/>
              <w:bottom w:val="nil"/>
              <w:right w:val="single" w:sz="4" w:space="0" w:color="auto"/>
            </w:tcBorders>
            <w:vAlign w:val="center"/>
            <w:hideMark/>
          </w:tcPr>
          <w:p w14:paraId="75CC02AB"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lang w:eastAsia="zh-CN"/>
              </w:rPr>
              <w:t>-50</w:t>
            </w:r>
          </w:p>
        </w:tc>
      </w:tr>
      <w:tr w:rsidR="00382AB2" w:rsidRPr="00FA3886" w14:paraId="3231884B" w14:textId="77777777" w:rsidTr="00ED4E9A">
        <w:trPr>
          <w:jc w:val="center"/>
        </w:trPr>
        <w:tc>
          <w:tcPr>
            <w:tcW w:w="1045" w:type="dxa"/>
            <w:tcBorders>
              <w:top w:val="single" w:sz="6" w:space="0" w:color="auto"/>
              <w:left w:val="single" w:sz="6" w:space="0" w:color="auto"/>
              <w:bottom w:val="single" w:sz="6" w:space="0" w:color="auto"/>
              <w:right w:val="single" w:sz="6" w:space="0" w:color="auto"/>
            </w:tcBorders>
            <w:vAlign w:val="center"/>
            <w:hideMark/>
          </w:tcPr>
          <w:p w14:paraId="4D46AB5D"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Arial"/>
                <w:sz w:val="18"/>
                <w:lang w:eastAsia="zh-CN"/>
              </w:rPr>
              <w:t>8.5</w:t>
            </w:r>
          </w:p>
        </w:tc>
        <w:tc>
          <w:tcPr>
            <w:tcW w:w="1048" w:type="dxa"/>
            <w:tcBorders>
              <w:top w:val="single" w:sz="4" w:space="0" w:color="auto"/>
              <w:left w:val="single" w:sz="4" w:space="0" w:color="auto"/>
              <w:bottom w:val="single" w:sz="4" w:space="0" w:color="auto"/>
              <w:right w:val="single" w:sz="4" w:space="0" w:color="auto"/>
            </w:tcBorders>
            <w:vAlign w:val="center"/>
            <w:hideMark/>
          </w:tcPr>
          <w:p w14:paraId="2B28EBB3"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Arial"/>
                <w:sz w:val="18"/>
                <w:lang w:eastAsia="zh-CN"/>
              </w:rPr>
              <w:t>11.5</w:t>
            </w:r>
          </w:p>
        </w:tc>
        <w:tc>
          <w:tcPr>
            <w:tcW w:w="907" w:type="dxa"/>
            <w:vMerge w:val="restart"/>
            <w:tcBorders>
              <w:top w:val="single" w:sz="6" w:space="0" w:color="auto"/>
              <w:left w:val="single" w:sz="6" w:space="0" w:color="auto"/>
              <w:bottom w:val="single" w:sz="6" w:space="0" w:color="auto"/>
              <w:right w:val="single" w:sz="6" w:space="0" w:color="auto"/>
            </w:tcBorders>
            <w:vAlign w:val="center"/>
            <w:hideMark/>
          </w:tcPr>
          <w:p w14:paraId="5BE6EE7E" w14:textId="2846EA8B" w:rsidR="00382AB2" w:rsidRPr="00FA3886" w:rsidRDefault="007F4AB1" w:rsidP="00ED4E9A">
            <w:pPr>
              <w:keepNext/>
              <w:keepLines/>
              <w:spacing w:after="0"/>
              <w:jc w:val="center"/>
              <w:rPr>
                <w:rFonts w:ascii="Arial" w:hAnsi="Arial"/>
                <w:sz w:val="18"/>
              </w:rPr>
            </w:pPr>
            <w:r w:rsidRPr="00FA3886">
              <w:rPr>
                <w:rFonts w:ascii="Arial" w:hAnsi="Arial" w:cs="Arial"/>
                <w:sz w:val="18"/>
              </w:rPr>
              <w:t>≥-</w:t>
            </w:r>
            <w:r w:rsidRPr="00FA3886">
              <w:rPr>
                <w:rFonts w:ascii="Arial" w:hAnsi="Arial" w:cs="Arial"/>
                <w:sz w:val="18"/>
                <w:lang w:eastAsia="zh-CN"/>
              </w:rPr>
              <w:t>6</w:t>
            </w:r>
          </w:p>
        </w:tc>
        <w:tc>
          <w:tcPr>
            <w:tcW w:w="1568" w:type="dxa"/>
            <w:tcBorders>
              <w:top w:val="single" w:sz="6" w:space="0" w:color="auto"/>
              <w:left w:val="single" w:sz="6" w:space="0" w:color="auto"/>
              <w:bottom w:val="single" w:sz="6" w:space="0" w:color="auto"/>
              <w:right w:val="single" w:sz="6" w:space="0" w:color="auto"/>
            </w:tcBorders>
            <w:hideMark/>
          </w:tcPr>
          <w:p w14:paraId="45584804" w14:textId="77777777" w:rsidR="00382AB2" w:rsidRPr="00FA3886" w:rsidRDefault="00382AB2" w:rsidP="00ED4E9A">
            <w:pPr>
              <w:keepNext/>
              <w:keepLines/>
              <w:spacing w:after="0"/>
              <w:jc w:val="center"/>
              <w:rPr>
                <w:rFonts w:ascii="Arial" w:hAnsi="Arial" w:cs="Arial"/>
                <w:sz w:val="18"/>
                <w:lang w:eastAsia="zh-CN"/>
              </w:rPr>
            </w:pPr>
            <w:r w:rsidRPr="00FA3886">
              <w:rPr>
                <w:rFonts w:ascii="Arial" w:hAnsi="Arial" w:cs="Arial"/>
                <w:sz w:val="18"/>
                <w:lang w:eastAsia="zh-CN"/>
              </w:rPr>
              <w:t>48 ≤ BW ≤ 64</w:t>
            </w:r>
          </w:p>
        </w:tc>
        <w:tc>
          <w:tcPr>
            <w:tcW w:w="1487" w:type="dxa"/>
            <w:tcBorders>
              <w:top w:val="single" w:sz="6" w:space="0" w:color="auto"/>
              <w:left w:val="single" w:sz="6" w:space="0" w:color="auto"/>
              <w:bottom w:val="single" w:sz="6" w:space="0" w:color="auto"/>
              <w:right w:val="single" w:sz="6" w:space="0" w:color="auto"/>
            </w:tcBorders>
            <w:hideMark/>
          </w:tcPr>
          <w:p w14:paraId="66CF9F09" w14:textId="77777777" w:rsidR="00382AB2" w:rsidRPr="00FA3886" w:rsidRDefault="00382AB2" w:rsidP="00ED4E9A">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3800" w:type="dxa"/>
            <w:gridSpan w:val="3"/>
            <w:tcBorders>
              <w:top w:val="single" w:sz="6" w:space="0" w:color="auto"/>
              <w:left w:val="single" w:sz="6" w:space="0" w:color="auto"/>
              <w:bottom w:val="single" w:sz="6" w:space="0" w:color="auto"/>
              <w:right w:val="single" w:sz="4" w:space="0" w:color="auto"/>
            </w:tcBorders>
            <w:vAlign w:val="center"/>
            <w:hideMark/>
          </w:tcPr>
          <w:p w14:paraId="46151774"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Note 3</w:t>
            </w:r>
          </w:p>
        </w:tc>
      </w:tr>
      <w:tr w:rsidR="00382AB2" w:rsidRPr="00FA3886" w14:paraId="7E18A010" w14:textId="77777777" w:rsidTr="007F4AB1">
        <w:trPr>
          <w:jc w:val="center"/>
        </w:trPr>
        <w:tc>
          <w:tcPr>
            <w:tcW w:w="1045" w:type="dxa"/>
            <w:tcBorders>
              <w:top w:val="single" w:sz="6" w:space="0" w:color="auto"/>
              <w:left w:val="single" w:sz="6" w:space="0" w:color="auto"/>
              <w:bottom w:val="single" w:sz="6" w:space="0" w:color="auto"/>
              <w:right w:val="single" w:sz="6" w:space="0" w:color="auto"/>
            </w:tcBorders>
            <w:vAlign w:val="center"/>
            <w:hideMark/>
          </w:tcPr>
          <w:p w14:paraId="31468634"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Calibri"/>
                <w:sz w:val="18"/>
                <w:lang w:eastAsia="zh-CN"/>
              </w:rPr>
              <w:t>6</w:t>
            </w:r>
          </w:p>
        </w:tc>
        <w:tc>
          <w:tcPr>
            <w:tcW w:w="1048" w:type="dxa"/>
            <w:tcBorders>
              <w:top w:val="single" w:sz="4" w:space="0" w:color="auto"/>
              <w:left w:val="single" w:sz="4" w:space="0" w:color="auto"/>
              <w:bottom w:val="single" w:sz="4" w:space="0" w:color="auto"/>
              <w:right w:val="single" w:sz="4" w:space="0" w:color="auto"/>
            </w:tcBorders>
            <w:vAlign w:val="center"/>
            <w:hideMark/>
          </w:tcPr>
          <w:p w14:paraId="79975460" w14:textId="77777777" w:rsidR="00382AB2" w:rsidRPr="00FA3886" w:rsidRDefault="00382AB2" w:rsidP="00ED4E9A">
            <w:pPr>
              <w:keepNext/>
              <w:keepLines/>
              <w:spacing w:after="0"/>
              <w:jc w:val="center"/>
              <w:rPr>
                <w:rFonts w:ascii="Arial" w:hAnsi="Arial" w:cs="Calibri"/>
                <w:sz w:val="18"/>
              </w:rPr>
            </w:pPr>
            <w:r w:rsidRPr="00FA3886">
              <w:rPr>
                <w:rFonts w:ascii="Arial" w:hAnsi="Arial" w:cs="Calibri"/>
                <w:sz w:val="18"/>
              </w:rPr>
              <w:t>±</w:t>
            </w:r>
            <w:r w:rsidRPr="00FA3886">
              <w:rPr>
                <w:rFonts w:ascii="Arial" w:hAnsi="Arial" w:cs="Calibri"/>
                <w:sz w:val="18"/>
                <w:lang w:eastAsia="zh-CN"/>
              </w:rPr>
              <w:t>9</w:t>
            </w:r>
          </w:p>
        </w:tc>
        <w:tc>
          <w:tcPr>
            <w:tcW w:w="907" w:type="dxa"/>
            <w:vMerge/>
            <w:tcBorders>
              <w:top w:val="single" w:sz="6" w:space="0" w:color="auto"/>
              <w:left w:val="single" w:sz="6" w:space="0" w:color="auto"/>
              <w:bottom w:val="single" w:sz="6" w:space="0" w:color="auto"/>
              <w:right w:val="single" w:sz="6" w:space="0" w:color="auto"/>
            </w:tcBorders>
            <w:vAlign w:val="center"/>
            <w:hideMark/>
          </w:tcPr>
          <w:p w14:paraId="3D8CDEC3" w14:textId="77777777" w:rsidR="00382AB2" w:rsidRPr="00FA3886" w:rsidRDefault="00382AB2" w:rsidP="00ED4E9A">
            <w:pPr>
              <w:spacing w:after="0"/>
              <w:rPr>
                <w:rFonts w:ascii="Arial" w:eastAsia="SimSun" w:hAnsi="Arial"/>
                <w:sz w:val="18"/>
              </w:rPr>
            </w:pPr>
          </w:p>
        </w:tc>
        <w:tc>
          <w:tcPr>
            <w:tcW w:w="1568" w:type="dxa"/>
            <w:tcBorders>
              <w:top w:val="single" w:sz="6" w:space="0" w:color="auto"/>
              <w:left w:val="single" w:sz="6" w:space="0" w:color="auto"/>
              <w:bottom w:val="single" w:sz="6" w:space="0" w:color="auto"/>
              <w:right w:val="single" w:sz="6" w:space="0" w:color="auto"/>
            </w:tcBorders>
            <w:hideMark/>
          </w:tcPr>
          <w:p w14:paraId="604AAA4A" w14:textId="77777777" w:rsidR="00382AB2" w:rsidRPr="00FA3886" w:rsidRDefault="00382AB2" w:rsidP="00ED4E9A">
            <w:pPr>
              <w:keepNext/>
              <w:keepLines/>
              <w:spacing w:after="0"/>
              <w:jc w:val="center"/>
              <w:rPr>
                <w:rFonts w:ascii="Arial" w:hAnsi="Arial"/>
                <w:sz w:val="18"/>
                <w:lang w:eastAsia="zh-CN"/>
              </w:rPr>
            </w:pPr>
            <w:r w:rsidRPr="00FA3886">
              <w:rPr>
                <w:rFonts w:ascii="Arial" w:hAnsi="Arial" w:cs="Arial"/>
                <w:sz w:val="18"/>
                <w:lang w:eastAsia="zh-CN"/>
              </w:rPr>
              <w:t>BW &gt;64</w:t>
            </w:r>
          </w:p>
        </w:tc>
        <w:tc>
          <w:tcPr>
            <w:tcW w:w="1487" w:type="dxa"/>
            <w:tcBorders>
              <w:top w:val="single" w:sz="6" w:space="0" w:color="auto"/>
              <w:left w:val="single" w:sz="6" w:space="0" w:color="auto"/>
              <w:bottom w:val="single" w:sz="6" w:space="0" w:color="auto"/>
              <w:right w:val="single" w:sz="6" w:space="0" w:color="auto"/>
            </w:tcBorders>
            <w:hideMark/>
          </w:tcPr>
          <w:p w14:paraId="2B73D5B7" w14:textId="77777777" w:rsidR="00382AB2" w:rsidRPr="00FA3886" w:rsidRDefault="00382AB2" w:rsidP="00ED4E9A">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3800" w:type="dxa"/>
            <w:gridSpan w:val="3"/>
            <w:tcBorders>
              <w:top w:val="single" w:sz="6" w:space="0" w:color="auto"/>
              <w:left w:val="single" w:sz="6" w:space="0" w:color="auto"/>
              <w:bottom w:val="single" w:sz="6" w:space="0" w:color="auto"/>
              <w:right w:val="single" w:sz="4" w:space="0" w:color="auto"/>
            </w:tcBorders>
            <w:vAlign w:val="center"/>
            <w:hideMark/>
          </w:tcPr>
          <w:p w14:paraId="15DA987D" w14:textId="77777777" w:rsidR="00382AB2" w:rsidRPr="00FA3886" w:rsidRDefault="00382AB2" w:rsidP="00ED4E9A">
            <w:pPr>
              <w:keepNext/>
              <w:keepLines/>
              <w:spacing w:after="0"/>
              <w:jc w:val="center"/>
              <w:rPr>
                <w:rFonts w:ascii="Arial" w:hAnsi="Arial" w:cs="Arial"/>
                <w:sz w:val="18"/>
              </w:rPr>
            </w:pPr>
            <w:r w:rsidRPr="00FA3886">
              <w:rPr>
                <w:rFonts w:ascii="Arial" w:hAnsi="Arial" w:cs="Arial"/>
                <w:sz w:val="18"/>
              </w:rPr>
              <w:t>Note 3</w:t>
            </w:r>
          </w:p>
        </w:tc>
      </w:tr>
      <w:tr w:rsidR="00382AB2" w:rsidRPr="00FA3886" w14:paraId="5C5551BD" w14:textId="77777777" w:rsidTr="00ED4E9A">
        <w:trPr>
          <w:jc w:val="center"/>
        </w:trPr>
        <w:tc>
          <w:tcPr>
            <w:tcW w:w="9855" w:type="dxa"/>
            <w:gridSpan w:val="8"/>
            <w:tcBorders>
              <w:top w:val="single" w:sz="6" w:space="0" w:color="auto"/>
              <w:left w:val="single" w:sz="4" w:space="0" w:color="auto"/>
              <w:bottom w:val="single" w:sz="4" w:space="0" w:color="auto"/>
              <w:right w:val="single" w:sz="4" w:space="0" w:color="auto"/>
            </w:tcBorders>
            <w:vAlign w:val="center"/>
            <w:hideMark/>
          </w:tcPr>
          <w:p w14:paraId="11C18FE9"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w:t>
            </w:r>
            <w:r w:rsidRPr="00FA3886">
              <w:rPr>
                <w:rFonts w:ascii="Arial" w:hAnsi="Arial" w:cs="Arial"/>
                <w:sz w:val="18"/>
                <w:lang w:eastAsia="zh-CN"/>
              </w:rPr>
              <w:t>OTE</w:t>
            </w:r>
            <w:r w:rsidRPr="00FA3886">
              <w:rPr>
                <w:rFonts w:ascii="Arial" w:hAnsi="Arial" w:cs="Arial"/>
                <w:sz w:val="18"/>
              </w:rPr>
              <w:t xml:space="preserve"> 1:</w:t>
            </w:r>
            <w:r w:rsidRPr="00FA3886">
              <w:rPr>
                <w:rFonts w:ascii="Arial" w:hAnsi="Arial" w:cs="Arial"/>
                <w:sz w:val="18"/>
              </w:rPr>
              <w:tab/>
              <w:t>This minimum Io condition is expressed as the average Io per RE over all REs in an OFDM symbol.</w:t>
            </w:r>
          </w:p>
          <w:p w14:paraId="49BA8821" w14:textId="77777777" w:rsidR="00382AB2" w:rsidRPr="00FA3886" w:rsidRDefault="00382AB2" w:rsidP="00ED4E9A">
            <w:pPr>
              <w:keepNext/>
              <w:keepLines/>
              <w:spacing w:after="0"/>
              <w:ind w:left="851" w:hanging="851"/>
              <w:rPr>
                <w:rFonts w:ascii="Arial" w:hAnsi="Arial" w:cs="v4.2.0"/>
                <w:sz w:val="18"/>
              </w:rPr>
            </w:pPr>
            <w:r w:rsidRPr="00FA3886">
              <w:rPr>
                <w:rFonts w:ascii="Arial" w:hAnsi="Arial" w:cs="v4.2.0"/>
                <w:sz w:val="18"/>
              </w:rPr>
              <w:t>N</w:t>
            </w:r>
            <w:r w:rsidRPr="00FA3886">
              <w:rPr>
                <w:rFonts w:ascii="Arial" w:hAnsi="Arial" w:cs="Arial"/>
                <w:sz w:val="18"/>
                <w:lang w:eastAsia="zh-CN"/>
              </w:rPr>
              <w:t>OTE</w:t>
            </w:r>
            <w:r w:rsidRPr="00FA3886">
              <w:rPr>
                <w:rFonts w:ascii="Arial" w:hAnsi="Arial" w:cs="v4.2.0"/>
                <w:sz w:val="18"/>
              </w:rPr>
              <w:t xml:space="preserve"> 2:</w:t>
            </w:r>
            <w:r w:rsidRPr="00FA3886">
              <w:rPr>
                <w:rFonts w:ascii="Arial" w:hAnsi="Arial" w:cs="v4.2.0"/>
                <w:sz w:val="18"/>
              </w:rPr>
              <w:tab/>
              <w:t xml:space="preserve">PRS bandwidth is as indicated in </w:t>
            </w:r>
            <w:r w:rsidRPr="00FA3886">
              <w:rPr>
                <w:rFonts w:ascii="Arial" w:hAnsi="Arial" w:cs="Arial"/>
                <w:i/>
                <w:sz w:val="18"/>
              </w:rPr>
              <w:t>prs-Bandwidth</w:t>
            </w:r>
            <w:r w:rsidRPr="00FA3886">
              <w:rPr>
                <w:rFonts w:ascii="Arial" w:hAnsi="Arial" w:cs="Arial"/>
                <w:sz w:val="18"/>
              </w:rPr>
              <w:t xml:space="preserve"> </w:t>
            </w:r>
            <w:r w:rsidRPr="00FA3886">
              <w:rPr>
                <w:rFonts w:ascii="Arial" w:hAnsi="Arial" w:cs="v4.2.0"/>
                <w:sz w:val="18"/>
              </w:rPr>
              <w:t xml:space="preserve">in the OTDOA </w:t>
            </w:r>
            <w:r w:rsidRPr="00FA3886">
              <w:rPr>
                <w:rFonts w:ascii="Arial" w:hAnsi="Arial" w:cs="v4.2.0"/>
                <w:sz w:val="18"/>
                <w:lang w:eastAsia="zh-CN"/>
              </w:rPr>
              <w:t xml:space="preserve">or DL-AoD </w:t>
            </w:r>
            <w:r w:rsidRPr="00FA3886">
              <w:rPr>
                <w:rFonts w:ascii="Arial" w:hAnsi="Arial" w:cs="v4.2.0"/>
                <w:sz w:val="18"/>
              </w:rPr>
              <w:t>assistance data defined in [</w:t>
            </w:r>
            <w:r w:rsidRPr="00FA3886">
              <w:rPr>
                <w:rFonts w:ascii="Arial" w:hAnsi="Arial" w:cs="v4.2.0"/>
                <w:sz w:val="18"/>
                <w:lang w:eastAsia="zh-CN"/>
              </w:rPr>
              <w:t>3</w:t>
            </w:r>
            <w:r w:rsidRPr="00FA3886">
              <w:rPr>
                <w:rFonts w:ascii="Arial" w:hAnsi="Arial" w:cs="v4.2.0"/>
                <w:sz w:val="18"/>
              </w:rPr>
              <w:t>4].</w:t>
            </w:r>
          </w:p>
          <w:p w14:paraId="14053375" w14:textId="77777777" w:rsidR="00382AB2" w:rsidRPr="00FA3886" w:rsidRDefault="00382AB2" w:rsidP="00ED4E9A">
            <w:pPr>
              <w:keepNext/>
              <w:keepLines/>
              <w:spacing w:after="0"/>
              <w:ind w:left="851" w:hanging="851"/>
              <w:rPr>
                <w:rFonts w:ascii="Arial" w:hAnsi="Arial"/>
                <w:sz w:val="18"/>
              </w:rPr>
            </w:pPr>
            <w:r w:rsidRPr="00FA3886">
              <w:rPr>
                <w:rFonts w:ascii="Arial" w:hAnsi="Arial" w:cs="Arial"/>
                <w:sz w:val="18"/>
              </w:rPr>
              <w:t>N</w:t>
            </w:r>
            <w:r w:rsidRPr="00FA3886">
              <w:rPr>
                <w:rFonts w:ascii="Arial" w:hAnsi="Arial" w:cs="Arial"/>
                <w:sz w:val="18"/>
                <w:lang w:eastAsia="zh-CN"/>
              </w:rPr>
              <w:t>OTE</w:t>
            </w:r>
            <w:r w:rsidRPr="00FA3886">
              <w:rPr>
                <w:rFonts w:ascii="Arial" w:hAnsi="Arial" w:cs="Arial"/>
                <w:sz w:val="18"/>
              </w:rPr>
              <w:t xml:space="preserve"> 3:</w:t>
            </w:r>
            <w:r w:rsidRPr="00FA3886">
              <w:rPr>
                <w:rFonts w:ascii="Arial" w:hAnsi="Arial" w:cs="Arial"/>
                <w:sz w:val="18"/>
              </w:rPr>
              <w:tab/>
              <w:t xml:space="preserve">The same bands and the same Io conditions for each band apply for this requirement as for the corresponding requirement with the PRS bandwidth ≥ </w:t>
            </w:r>
            <w:r w:rsidRPr="00FA3886">
              <w:rPr>
                <w:rFonts w:ascii="Arial" w:hAnsi="Arial" w:cs="Arial"/>
                <w:sz w:val="18"/>
                <w:lang w:eastAsia="zh-CN"/>
              </w:rPr>
              <w:t>48</w:t>
            </w:r>
            <w:r w:rsidRPr="00FA3886">
              <w:rPr>
                <w:rFonts w:ascii="Arial" w:hAnsi="Arial" w:cs="Arial"/>
                <w:sz w:val="18"/>
              </w:rPr>
              <w:t xml:space="preserve"> RB.</w:t>
            </w:r>
          </w:p>
          <w:p w14:paraId="2693BE56"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NOTE 4:</w:t>
            </w:r>
            <w:r w:rsidRPr="00FA3886">
              <w:rPr>
                <w:rFonts w:ascii="Arial" w:hAnsi="Arial" w:cs="Arial"/>
                <w:sz w:val="18"/>
              </w:rPr>
              <w:tab/>
              <w:t>The serving cell, the reference cell, and the measured neighbour cell i are on the same carrier frequency.</w:t>
            </w:r>
          </w:p>
          <w:p w14:paraId="0CF9B0E1"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NOTE 5:</w:t>
            </w:r>
            <w:r w:rsidRPr="00FA3886">
              <w:rPr>
                <w:rFonts w:ascii="Arial" w:hAnsi="Arial" w:cs="Arial"/>
                <w:sz w:val="18"/>
              </w:rPr>
              <w:tab/>
              <w:t>The condition level is increased by ∆&gt;0, when applicable, as described in Sections B.</w:t>
            </w:r>
            <w:r w:rsidRPr="00FA3886">
              <w:rPr>
                <w:rFonts w:ascii="Arial" w:hAnsi="Arial" w:cs="Arial"/>
                <w:sz w:val="18"/>
                <w:lang w:eastAsia="zh-CN"/>
              </w:rPr>
              <w:t>3</w:t>
            </w:r>
            <w:r w:rsidRPr="00FA3886">
              <w:rPr>
                <w:rFonts w:ascii="Arial" w:hAnsi="Arial" w:cs="Arial"/>
                <w:sz w:val="18"/>
              </w:rPr>
              <w:t>.</w:t>
            </w:r>
            <w:r w:rsidRPr="00FA3886">
              <w:rPr>
                <w:rFonts w:ascii="Arial" w:hAnsi="Arial" w:cs="Arial"/>
                <w:sz w:val="18"/>
                <w:lang w:eastAsia="zh-CN"/>
              </w:rPr>
              <w:t>2</w:t>
            </w:r>
            <w:r w:rsidRPr="00FA3886">
              <w:rPr>
                <w:rFonts w:ascii="Arial" w:hAnsi="Arial" w:cs="Arial"/>
                <w:sz w:val="18"/>
              </w:rPr>
              <w:t xml:space="preserve"> and B.</w:t>
            </w:r>
            <w:r w:rsidRPr="00FA3886">
              <w:rPr>
                <w:rFonts w:ascii="Arial" w:hAnsi="Arial" w:cs="Arial"/>
                <w:sz w:val="18"/>
                <w:lang w:eastAsia="zh-CN"/>
              </w:rPr>
              <w:t>3</w:t>
            </w:r>
            <w:r w:rsidRPr="00FA3886">
              <w:rPr>
                <w:rFonts w:ascii="Arial" w:hAnsi="Arial" w:cs="Arial"/>
                <w:sz w:val="18"/>
              </w:rPr>
              <w:t>.</w:t>
            </w:r>
            <w:r w:rsidRPr="00FA3886">
              <w:rPr>
                <w:rFonts w:ascii="Arial" w:hAnsi="Arial" w:cs="Arial"/>
                <w:sz w:val="18"/>
                <w:lang w:eastAsia="zh-CN"/>
              </w:rPr>
              <w:t>3</w:t>
            </w:r>
            <w:r w:rsidRPr="00FA3886">
              <w:rPr>
                <w:rFonts w:ascii="Arial" w:hAnsi="Arial" w:cs="Arial"/>
                <w:sz w:val="18"/>
              </w:rPr>
              <w:t>.</w:t>
            </w:r>
          </w:p>
          <w:p w14:paraId="62034DBA"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NOTE 6:</w:t>
            </w:r>
            <w:r w:rsidRPr="00FA3886">
              <w:rPr>
                <w:rFonts w:ascii="Arial" w:hAnsi="Arial" w:cs="Arial"/>
                <w:sz w:val="18"/>
              </w:rPr>
              <w:tab/>
              <w:t>The Io is defined in PRS positioning subframes. The same Io range applies to PRS and non-PRS symbols. Io levels are different in PRS and non-PRS symbols within the same subframe.</w:t>
            </w:r>
          </w:p>
          <w:p w14:paraId="33C9B5EF" w14:textId="77777777" w:rsidR="00382AB2" w:rsidRPr="00FA3886" w:rsidRDefault="00382AB2" w:rsidP="00ED4E9A">
            <w:pPr>
              <w:keepNext/>
              <w:keepLines/>
              <w:spacing w:after="0"/>
              <w:ind w:left="851" w:hanging="851"/>
              <w:rPr>
                <w:rFonts w:ascii="Arial" w:hAnsi="Arial" w:cs="Arial"/>
                <w:sz w:val="18"/>
              </w:rPr>
            </w:pPr>
            <w:r w:rsidRPr="00FA3886">
              <w:rPr>
                <w:rFonts w:ascii="Arial" w:hAnsi="Arial" w:cs="Arial"/>
                <w:sz w:val="18"/>
              </w:rPr>
              <w:t>NOTE 7:</w:t>
            </w:r>
            <w:r w:rsidRPr="00FA3886">
              <w:rPr>
                <w:rFonts w:ascii="Arial" w:hAnsi="Arial" w:cs="Arial"/>
                <w:sz w:val="18"/>
              </w:rPr>
              <w:tab/>
            </w:r>
            <w:r w:rsidRPr="00FA3886">
              <w:rPr>
                <w:rFonts w:ascii="Arial" w:hAnsi="Arial" w:cs="Arial"/>
                <w:sz w:val="18"/>
                <w:lang w:eastAsia="zh-CN"/>
              </w:rPr>
              <w:t>NR</w:t>
            </w:r>
            <w:r w:rsidRPr="00FA3886">
              <w:rPr>
                <w:rFonts w:ascii="Arial" w:hAnsi="Arial" w:cs="Arial"/>
                <w:sz w:val="18"/>
              </w:rPr>
              <w:t xml:space="preserve"> operating band groups are as defined in Section 3.5</w:t>
            </w:r>
            <w:r w:rsidRPr="00FA3886">
              <w:rPr>
                <w:rFonts w:ascii="Arial" w:hAnsi="Arial" w:cs="Arial"/>
                <w:sz w:val="18"/>
                <w:lang w:eastAsia="zh-CN"/>
              </w:rPr>
              <w:t>.2</w:t>
            </w:r>
            <w:r w:rsidRPr="00FA3886">
              <w:rPr>
                <w:rFonts w:ascii="Arial" w:hAnsi="Arial" w:cs="Arial"/>
                <w:sz w:val="18"/>
              </w:rPr>
              <w:t>.</w:t>
            </w:r>
          </w:p>
        </w:tc>
      </w:tr>
    </w:tbl>
    <w:p w14:paraId="085CF9D4" w14:textId="77777777" w:rsidR="00382AB2" w:rsidRPr="00BA1EC8" w:rsidRDefault="00382AB2" w:rsidP="00B0469F">
      <w:pPr>
        <w:rPr>
          <w:rFonts w:eastAsiaTheme="minorEastAsia"/>
          <w:lang w:eastAsia="zh-CN"/>
        </w:rPr>
      </w:pPr>
    </w:p>
    <w:p w14:paraId="37457F0F" w14:textId="3D2BFE1C" w:rsidR="00B0469F" w:rsidRPr="009F0312" w:rsidRDefault="00B0469F" w:rsidP="00F37389">
      <w:pPr>
        <w:pStyle w:val="Heading5"/>
        <w:rPr>
          <w:lang w:eastAsia="zh-CN"/>
        </w:rPr>
      </w:pPr>
      <w:r w:rsidRPr="009F0312">
        <w:t>10.1.24.2.</w:t>
      </w:r>
      <w:r w:rsidRPr="009F0312">
        <w:rPr>
          <w:rFonts w:hint="eastAsia"/>
          <w:lang w:eastAsia="zh-CN"/>
        </w:rPr>
        <w:t>2</w:t>
      </w:r>
      <w:r w:rsidR="00F9451E">
        <w:tab/>
      </w:r>
      <w:r w:rsidRPr="009F0312">
        <w:rPr>
          <w:rFonts w:hint="eastAsia"/>
          <w:lang w:eastAsia="zh-CN"/>
        </w:rPr>
        <w:t>Relative</w:t>
      </w:r>
      <w:r w:rsidRPr="009F0312">
        <w:t xml:space="preserve"> PRS RSRP accuracy</w:t>
      </w:r>
    </w:p>
    <w:p w14:paraId="7DDC5139" w14:textId="77777777" w:rsidR="00472B48" w:rsidRPr="00FA3886" w:rsidRDefault="00472B48" w:rsidP="00472B48">
      <w:pPr>
        <w:rPr>
          <w:rFonts w:eastAsia="SimSun"/>
          <w:lang w:eastAsia="zh-CN"/>
        </w:rPr>
      </w:pPr>
      <w:r w:rsidRPr="00FA3886">
        <w:rPr>
          <w:rFonts w:eastAsia="SimSun"/>
        </w:rPr>
        <w:t xml:space="preserve">The relative accuracy of </w:t>
      </w:r>
      <w:r w:rsidRPr="00FA3886">
        <w:rPr>
          <w:rFonts w:eastAsia="SimSun"/>
          <w:lang w:eastAsia="zh-CN"/>
        </w:rPr>
        <w:t>PRS-RSRP</w:t>
      </w:r>
      <w:r w:rsidRPr="00FA3886">
        <w:rPr>
          <w:rFonts w:eastAsia="SimSun"/>
        </w:rPr>
        <w:t xml:space="preserve"> is defined as</w:t>
      </w:r>
      <w:r w:rsidRPr="00FA3886">
        <w:rPr>
          <w:rFonts w:eastAsia="Malgun Gothic"/>
        </w:rPr>
        <w:t xml:space="preserve"> </w:t>
      </w:r>
      <w:r w:rsidRPr="00FA3886">
        <w:rPr>
          <w:rFonts w:eastAsia="Malgun Gothic"/>
          <w:lang w:eastAsia="zh-CN"/>
        </w:rPr>
        <w:t>accuracy of the difference between two PRS-RSRP measurements</w:t>
      </w:r>
      <w:r w:rsidRPr="00FA3886">
        <w:rPr>
          <w:rFonts w:eastAsia="SimSun"/>
        </w:rPr>
        <w:t>.</w:t>
      </w:r>
    </w:p>
    <w:p w14:paraId="0824E57B" w14:textId="77777777" w:rsidR="00472B48" w:rsidRPr="00FA3886" w:rsidRDefault="00472B48" w:rsidP="00472B48">
      <w:pPr>
        <w:spacing w:line="252" w:lineRule="auto"/>
        <w:rPr>
          <w:rFonts w:eastAsia="SimSun"/>
        </w:rPr>
      </w:pPr>
      <w:r w:rsidRPr="00FA3886">
        <w:rPr>
          <w:rFonts w:eastAsia="SimSun"/>
          <w:lang w:eastAsia="zh-CN"/>
        </w:rPr>
        <w:t>The r</w:t>
      </w:r>
      <w:r w:rsidRPr="00FA3886">
        <w:rPr>
          <w:rFonts w:eastAsia="SimSun"/>
        </w:rPr>
        <w:t>elative PRS-RSRP accuracy requirements apply for the cases when PRS-RSRP is measured from PRS resources in the same PRS resource set in FR1 or FR2, and measured with same Rx beam in case of FR2.</w:t>
      </w:r>
    </w:p>
    <w:p w14:paraId="0A845736" w14:textId="77777777" w:rsidR="00472B48" w:rsidRPr="00FA3886" w:rsidRDefault="00472B48" w:rsidP="00472B48">
      <w:pPr>
        <w:rPr>
          <w:rFonts w:eastAsia="SimSun" w:cs="v4.2.0"/>
        </w:rPr>
      </w:pPr>
      <w:r w:rsidRPr="00FA3886">
        <w:rPr>
          <w:rFonts w:eastAsia="SimSun" w:cs="v4.2.0"/>
        </w:rPr>
        <w:t xml:space="preserve">The accuracy requirements </w:t>
      </w:r>
      <w:r w:rsidRPr="00FA3886">
        <w:rPr>
          <w:rFonts w:eastAsia="SimSun" w:cs="v4.2.0"/>
          <w:lang w:eastAsia="zh-CN"/>
        </w:rPr>
        <w:t xml:space="preserve">for PRS-RSRP measurement for FR1 defined </w:t>
      </w:r>
      <w:r w:rsidRPr="00FA3886">
        <w:rPr>
          <w:rFonts w:eastAsia="SimSun" w:cs="v4.2.0"/>
        </w:rPr>
        <w:t>in Table 10.1.24.2</w:t>
      </w:r>
      <w:r w:rsidRPr="00FA3886">
        <w:rPr>
          <w:rFonts w:eastAsia="SimSun" w:cs="v4.2.0"/>
          <w:lang w:eastAsia="zh-CN"/>
        </w:rPr>
        <w:t>.2</w:t>
      </w:r>
      <w:r w:rsidRPr="00FA3886">
        <w:rPr>
          <w:rFonts w:eastAsia="SimSun" w:cs="v4.2.0"/>
        </w:rPr>
        <w:t>-1 are valid under the following conditions:</w:t>
      </w:r>
    </w:p>
    <w:p w14:paraId="12125696" w14:textId="77777777" w:rsidR="00472B48" w:rsidRPr="00FA3886" w:rsidRDefault="00472B48" w:rsidP="00472B48">
      <w:pPr>
        <w:pStyle w:val="B10"/>
        <w:rPr>
          <w:rFonts w:cs="v4.2.0"/>
        </w:rPr>
      </w:pPr>
      <w:r w:rsidRPr="00FA3886">
        <w:t>-</w:t>
      </w:r>
      <w:r w:rsidRPr="00FA3886">
        <w:tab/>
        <w:t>Conditions defined in 3</w:t>
      </w:r>
      <w:r w:rsidRPr="00FA3886">
        <w:rPr>
          <w:lang w:eastAsia="zh-CN"/>
        </w:rPr>
        <w:t>8</w:t>
      </w:r>
      <w:r w:rsidRPr="00FA3886">
        <w:t>.101</w:t>
      </w:r>
      <w:r w:rsidRPr="00FA3886">
        <w:rPr>
          <w:lang w:eastAsia="zh-CN"/>
        </w:rPr>
        <w:t>-1</w:t>
      </w:r>
      <w:r w:rsidRPr="00FA3886">
        <w:t xml:space="preserve"> Clause 7.3 for reference sensitivity are fulfilled.</w:t>
      </w:r>
    </w:p>
    <w:p w14:paraId="64907329" w14:textId="77777777" w:rsidR="00472B48" w:rsidRPr="00FA3886" w:rsidRDefault="00472B48" w:rsidP="00472B48">
      <w:pPr>
        <w:pStyle w:val="B10"/>
      </w:pPr>
      <w:r w:rsidRPr="00FA3886">
        <w:t>-</w:t>
      </w:r>
      <w:r w:rsidRPr="00FA3886">
        <w:tab/>
        <w:t>PRP 1,2|</w:t>
      </w:r>
      <w:r w:rsidRPr="00FA3886">
        <w:rPr>
          <w:vertAlign w:val="subscript"/>
        </w:rPr>
        <w:t>dBm</w:t>
      </w:r>
      <w:r w:rsidRPr="00FA3886">
        <w:t xml:space="preserve"> according to Annex B.</w:t>
      </w:r>
      <w:r w:rsidRPr="00FA3886">
        <w:rPr>
          <w:lang w:eastAsia="zh-CN"/>
        </w:rPr>
        <w:t>2.14</w:t>
      </w:r>
      <w:r w:rsidRPr="00FA3886">
        <w:t xml:space="preserve"> for a corresponding Band</w:t>
      </w:r>
    </w:p>
    <w:p w14:paraId="149ECE5A" w14:textId="77777777" w:rsidR="00472B48" w:rsidRPr="00FA3886" w:rsidRDefault="00472B48" w:rsidP="00472B48">
      <w:pPr>
        <w:pStyle w:val="B10"/>
        <w:rPr>
          <w:rFonts w:cs="v4.2.0"/>
        </w:rPr>
      </w:pPr>
      <w:r w:rsidRPr="00FA3886">
        <w:t>-</w:t>
      </w:r>
      <w:r w:rsidRPr="00FA3886">
        <w:tab/>
        <w:t>UE does not support positioning measurements with reduced number of samples, or LMF does not indicate UE to perform positioning measurements with reduced number of samples</w:t>
      </w:r>
    </w:p>
    <w:p w14:paraId="2B5F2019" w14:textId="77777777" w:rsidR="00472B48" w:rsidRPr="00FA3886" w:rsidRDefault="00472B48" w:rsidP="00472B48">
      <w:pPr>
        <w:rPr>
          <w:rFonts w:eastAsia="SimSun" w:cs="v4.2.0"/>
        </w:rPr>
      </w:pPr>
      <w:r w:rsidRPr="00FA3886">
        <w:rPr>
          <w:rFonts w:eastAsia="SimSun" w:cs="v4.2.0"/>
        </w:rPr>
        <w:t xml:space="preserve">The accuracy requirements </w:t>
      </w:r>
      <w:r w:rsidRPr="00FA3886">
        <w:rPr>
          <w:rFonts w:eastAsia="SimSun" w:cs="v4.2.0"/>
          <w:lang w:eastAsia="zh-CN"/>
        </w:rPr>
        <w:t xml:space="preserve">for PRS-RSRP measurement for FR2 defined </w:t>
      </w:r>
      <w:r w:rsidRPr="00FA3886">
        <w:rPr>
          <w:rFonts w:eastAsia="SimSun" w:cs="v4.2.0"/>
        </w:rPr>
        <w:t>in Table 10.1.24.2</w:t>
      </w:r>
      <w:r w:rsidRPr="00FA3886">
        <w:rPr>
          <w:rFonts w:eastAsia="SimSun" w:cs="v4.2.0"/>
          <w:lang w:eastAsia="zh-CN"/>
        </w:rPr>
        <w:t>.2</w:t>
      </w:r>
      <w:r w:rsidRPr="00FA3886">
        <w:rPr>
          <w:rFonts w:eastAsia="SimSun" w:cs="v4.2.0"/>
        </w:rPr>
        <w:t>-</w:t>
      </w:r>
      <w:r w:rsidRPr="00FA3886">
        <w:rPr>
          <w:rFonts w:eastAsia="SimSun" w:cs="v4.2.0"/>
          <w:lang w:eastAsia="zh-CN"/>
        </w:rPr>
        <w:t xml:space="preserve">2 </w:t>
      </w:r>
      <w:r w:rsidRPr="00FA3886">
        <w:rPr>
          <w:rFonts w:eastAsia="SimSun" w:cs="v4.2.0"/>
        </w:rPr>
        <w:t>are valid under the following conditions:</w:t>
      </w:r>
    </w:p>
    <w:p w14:paraId="7B5F2AE8" w14:textId="77777777" w:rsidR="00472B48" w:rsidRPr="00FA3886" w:rsidRDefault="00472B48" w:rsidP="00472B48">
      <w:pPr>
        <w:pStyle w:val="B10"/>
        <w:rPr>
          <w:rFonts w:cs="v4.2.0"/>
        </w:rPr>
      </w:pPr>
      <w:r w:rsidRPr="00FA3886">
        <w:t>-</w:t>
      </w:r>
      <w:r w:rsidRPr="00FA3886">
        <w:tab/>
        <w:t>Conditions defined in 3</w:t>
      </w:r>
      <w:r w:rsidRPr="00FA3886">
        <w:rPr>
          <w:lang w:eastAsia="zh-CN"/>
        </w:rPr>
        <w:t>8</w:t>
      </w:r>
      <w:r w:rsidRPr="00FA3886">
        <w:t>.101</w:t>
      </w:r>
      <w:r w:rsidRPr="00FA3886">
        <w:rPr>
          <w:lang w:eastAsia="zh-CN"/>
        </w:rPr>
        <w:t>-2</w:t>
      </w:r>
      <w:r w:rsidRPr="00FA3886">
        <w:t xml:space="preserve"> Clause 7.3 for reference sensitivity are fulfilled.</w:t>
      </w:r>
    </w:p>
    <w:p w14:paraId="0CFDFF98" w14:textId="77777777" w:rsidR="00472B48" w:rsidRPr="00FA3886" w:rsidRDefault="00472B48" w:rsidP="00472B48">
      <w:pPr>
        <w:pStyle w:val="B10"/>
      </w:pPr>
      <w:r w:rsidRPr="00FA3886">
        <w:t>-</w:t>
      </w:r>
      <w:r w:rsidRPr="00FA3886">
        <w:tab/>
        <w:t>PRP 1,2|</w:t>
      </w:r>
      <w:r w:rsidRPr="00FA3886">
        <w:rPr>
          <w:vertAlign w:val="subscript"/>
        </w:rPr>
        <w:t>dBm</w:t>
      </w:r>
      <w:r w:rsidRPr="00FA3886">
        <w:t xml:space="preserve"> according to Annex B.</w:t>
      </w:r>
      <w:r w:rsidRPr="00FA3886">
        <w:rPr>
          <w:lang w:eastAsia="zh-CN"/>
        </w:rPr>
        <w:t>2.14</w:t>
      </w:r>
      <w:r w:rsidRPr="00FA3886">
        <w:t xml:space="preserve"> for a corresponding Band</w:t>
      </w:r>
    </w:p>
    <w:p w14:paraId="074320B2" w14:textId="77777777" w:rsidR="00472B48" w:rsidRPr="00FA3886" w:rsidRDefault="00472B48" w:rsidP="00472B48">
      <w:pPr>
        <w:pStyle w:val="B10"/>
        <w:rPr>
          <w:rFonts w:cs="v4.2.0"/>
        </w:rPr>
      </w:pPr>
      <w:r w:rsidRPr="00FA3886">
        <w:t>-</w:t>
      </w:r>
      <w:r w:rsidRPr="00FA3886">
        <w:tab/>
        <w:t>UE does not support positioning measurements with reduced number of samples, or LMF does not indicate UE to perform positioning measurements with reduced number of samples</w:t>
      </w:r>
    </w:p>
    <w:p w14:paraId="051A58EA" w14:textId="602EC8DB" w:rsidR="00D30086" w:rsidRPr="009F0312" w:rsidRDefault="00D30086" w:rsidP="00F37389">
      <w:pPr>
        <w:pStyle w:val="B10"/>
        <w:rPr>
          <w:rFonts w:cs="v4.2.0"/>
        </w:rPr>
      </w:pPr>
    </w:p>
    <w:p w14:paraId="5B06A6CE" w14:textId="77777777" w:rsidR="00B0469F" w:rsidRPr="006D0B2F" w:rsidRDefault="00B0469F" w:rsidP="00F37389">
      <w:pPr>
        <w:pStyle w:val="TH"/>
        <w:rPr>
          <w:lang w:eastAsia="zh-CN"/>
        </w:rPr>
      </w:pPr>
      <w:r w:rsidRPr="006D0B2F">
        <w:t xml:space="preserve">Table </w:t>
      </w:r>
      <w:r w:rsidRPr="006D0B2F">
        <w:rPr>
          <w:rFonts w:cs="v4.2.0"/>
        </w:rPr>
        <w:t>10.1.24.2</w:t>
      </w:r>
      <w:r w:rsidRPr="006D0B2F">
        <w:rPr>
          <w:rFonts w:cs="v4.2.0" w:hint="eastAsia"/>
          <w:lang w:eastAsia="zh-CN"/>
        </w:rPr>
        <w:t>.2</w:t>
      </w:r>
      <w:r w:rsidRPr="006D0B2F">
        <w:rPr>
          <w:rFonts w:cs="v4.2.0"/>
        </w:rPr>
        <w:t>-1</w:t>
      </w:r>
      <w:r w:rsidRPr="006D0B2F">
        <w:t>: PRS</w:t>
      </w:r>
      <w:r w:rsidRPr="006D0B2F">
        <w:rPr>
          <w:rFonts w:hint="eastAsia"/>
          <w:lang w:eastAsia="zh-CN"/>
        </w:rPr>
        <w:t>-</w:t>
      </w:r>
      <w:r w:rsidRPr="006D0B2F">
        <w:t xml:space="preserve">RSRP </w:t>
      </w:r>
      <w:r w:rsidRPr="006D0B2F">
        <w:rPr>
          <w:rFonts w:hint="eastAsia"/>
          <w:lang w:eastAsia="zh-CN"/>
        </w:rPr>
        <w:t xml:space="preserve">relative </w:t>
      </w:r>
      <w:r w:rsidRPr="006D0B2F">
        <w:t>accuracy</w:t>
      </w:r>
      <w:r w:rsidRPr="006D0B2F">
        <w:rPr>
          <w:rFonts w:hint="eastAsia"/>
          <w:lang w:eastAsia="zh-CN"/>
        </w:rPr>
        <w:t xml:space="preserve"> for FR1</w:t>
      </w:r>
    </w:p>
    <w:tbl>
      <w:tblPr>
        <w:tblW w:w="11052" w:type="dxa"/>
        <w:jc w:val="center"/>
        <w:tblLayout w:type="fixed"/>
        <w:tblLook w:val="01E0" w:firstRow="1" w:lastRow="1" w:firstColumn="1" w:lastColumn="1" w:noHBand="0" w:noVBand="0"/>
      </w:tblPr>
      <w:tblGrid>
        <w:gridCol w:w="965"/>
        <w:gridCol w:w="965"/>
        <w:gridCol w:w="827"/>
        <w:gridCol w:w="1140"/>
        <w:gridCol w:w="1178"/>
        <w:gridCol w:w="1557"/>
        <w:gridCol w:w="1013"/>
        <w:gridCol w:w="1013"/>
        <w:gridCol w:w="1197"/>
        <w:gridCol w:w="1197"/>
      </w:tblGrid>
      <w:tr w:rsidR="00B0469F" w:rsidRPr="006D0B2F" w14:paraId="0EE3B245" w14:textId="77777777" w:rsidTr="00B0469F">
        <w:trPr>
          <w:trHeight w:val="430"/>
          <w:jc w:val="center"/>
        </w:trPr>
        <w:tc>
          <w:tcPr>
            <w:tcW w:w="1930" w:type="dxa"/>
            <w:gridSpan w:val="2"/>
            <w:tcBorders>
              <w:top w:val="single" w:sz="4" w:space="0" w:color="auto"/>
              <w:left w:val="single" w:sz="4" w:space="0" w:color="auto"/>
              <w:right w:val="single" w:sz="6" w:space="0" w:color="auto"/>
            </w:tcBorders>
            <w:shd w:val="clear" w:color="auto" w:fill="auto"/>
            <w:vAlign w:val="center"/>
          </w:tcPr>
          <w:p w14:paraId="293A022E" w14:textId="77777777" w:rsidR="00B0469F" w:rsidRPr="006D0B2F" w:rsidRDefault="00B0469F" w:rsidP="00F37389">
            <w:pPr>
              <w:pStyle w:val="TAH"/>
            </w:pPr>
            <w:r w:rsidRPr="006D0B2F">
              <w:t>Accuracy</w:t>
            </w:r>
          </w:p>
        </w:tc>
        <w:tc>
          <w:tcPr>
            <w:tcW w:w="9122" w:type="dxa"/>
            <w:gridSpan w:val="8"/>
            <w:tcBorders>
              <w:top w:val="single" w:sz="4" w:space="0" w:color="auto"/>
              <w:left w:val="single" w:sz="6" w:space="0" w:color="auto"/>
              <w:bottom w:val="single" w:sz="6" w:space="0" w:color="auto"/>
              <w:right w:val="single" w:sz="4" w:space="0" w:color="auto"/>
            </w:tcBorders>
            <w:vAlign w:val="center"/>
          </w:tcPr>
          <w:p w14:paraId="31727448" w14:textId="77777777" w:rsidR="00B0469F" w:rsidRPr="006D0B2F" w:rsidRDefault="00B0469F" w:rsidP="00F37389">
            <w:pPr>
              <w:pStyle w:val="TAH"/>
            </w:pPr>
            <w:r w:rsidRPr="006D0B2F">
              <w:t>Conditions</w:t>
            </w:r>
          </w:p>
        </w:tc>
      </w:tr>
      <w:tr w:rsidR="00B0469F" w:rsidRPr="006D0B2F" w14:paraId="58B71129" w14:textId="77777777" w:rsidTr="00B0469F">
        <w:trPr>
          <w:trHeight w:val="59"/>
          <w:jc w:val="center"/>
        </w:trPr>
        <w:tc>
          <w:tcPr>
            <w:tcW w:w="965" w:type="dxa"/>
            <w:vMerge w:val="restart"/>
            <w:tcBorders>
              <w:left w:val="single" w:sz="4" w:space="0" w:color="auto"/>
              <w:right w:val="single" w:sz="6" w:space="0" w:color="auto"/>
            </w:tcBorders>
            <w:shd w:val="clear" w:color="auto" w:fill="auto"/>
            <w:vAlign w:val="center"/>
          </w:tcPr>
          <w:p w14:paraId="503AB8D0" w14:textId="77777777" w:rsidR="00B0469F" w:rsidRPr="006D0B2F" w:rsidRDefault="00B0469F" w:rsidP="00F37389">
            <w:pPr>
              <w:pStyle w:val="TAH"/>
              <w:rPr>
                <w:lang w:eastAsia="zh-CN"/>
              </w:rPr>
            </w:pPr>
            <w:r w:rsidRPr="006D0B2F">
              <w:rPr>
                <w:lang w:eastAsia="zh-CN"/>
              </w:rPr>
              <w:t>N</w:t>
            </w:r>
            <w:r w:rsidRPr="006D0B2F">
              <w:rPr>
                <w:rFonts w:hint="eastAsia"/>
                <w:lang w:eastAsia="zh-CN"/>
              </w:rPr>
              <w:t>ormal condition</w:t>
            </w:r>
          </w:p>
        </w:tc>
        <w:tc>
          <w:tcPr>
            <w:tcW w:w="965" w:type="dxa"/>
            <w:vMerge w:val="restart"/>
            <w:tcBorders>
              <w:left w:val="single" w:sz="4" w:space="0" w:color="auto"/>
              <w:right w:val="single" w:sz="6" w:space="0" w:color="auto"/>
            </w:tcBorders>
            <w:shd w:val="clear" w:color="auto" w:fill="auto"/>
            <w:vAlign w:val="center"/>
          </w:tcPr>
          <w:p w14:paraId="77D0E2CB" w14:textId="77777777" w:rsidR="00B0469F" w:rsidRPr="006D0B2F" w:rsidRDefault="00B0469F" w:rsidP="00F37389">
            <w:pPr>
              <w:pStyle w:val="TAH"/>
              <w:rPr>
                <w:lang w:eastAsia="zh-CN"/>
              </w:rPr>
            </w:pPr>
            <w:r w:rsidRPr="006D0B2F">
              <w:rPr>
                <w:lang w:eastAsia="zh-CN"/>
              </w:rPr>
              <w:t>E</w:t>
            </w:r>
            <w:r w:rsidRPr="006D0B2F">
              <w:rPr>
                <w:rFonts w:hint="eastAsia"/>
                <w:lang w:eastAsia="zh-CN"/>
              </w:rPr>
              <w:t>xtreme condition</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239980C8" w14:textId="77777777" w:rsidR="00B0469F" w:rsidRPr="006D0B2F" w:rsidRDefault="00B0469F" w:rsidP="00F37389">
            <w:pPr>
              <w:pStyle w:val="TAH"/>
            </w:pPr>
            <w:r w:rsidRPr="006D0B2F">
              <w:t>PRS Ês/Iot</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52EE3606" w14:textId="77777777" w:rsidR="00B0469F" w:rsidRPr="006D0B2F" w:rsidRDefault="00B0469F" w:rsidP="00F37389">
            <w:pPr>
              <w:pStyle w:val="TAH"/>
              <w:rPr>
                <w:lang w:eastAsia="zh-CN"/>
              </w:rPr>
            </w:pPr>
            <w:r w:rsidRPr="006D0B2F">
              <w:rPr>
                <w:rFonts w:hint="eastAsia"/>
                <w:lang w:eastAsia="zh-CN"/>
              </w:rPr>
              <w:t>PRS BW</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179B54F5" w14:textId="77777777" w:rsidR="00B0469F" w:rsidRPr="006D0B2F" w:rsidRDefault="00B0469F" w:rsidP="00F37389">
            <w:pPr>
              <w:pStyle w:val="TAH"/>
              <w:rPr>
                <w:lang w:val="en-US" w:eastAsia="zh-CN"/>
              </w:rPr>
            </w:pPr>
            <w:r w:rsidRPr="006D0B2F">
              <w:rPr>
                <w:bCs/>
                <w:lang w:eastAsia="zh-CN"/>
              </w:rPr>
              <w:t xml:space="preserve">Repetition </w:t>
            </w:r>
            <w:r w:rsidRPr="006D0B2F">
              <w:rPr>
                <w:rFonts w:hint="eastAsia"/>
                <w:bCs/>
                <w:lang w:eastAsia="zh-CN"/>
              </w:rPr>
              <w:t>factor</w:t>
            </w:r>
            <w:r w:rsidRPr="006D0B2F">
              <w:rPr>
                <w:bCs/>
                <w:lang w:eastAsia="zh-CN"/>
              </w:rPr>
              <w:t xml:space="preserve"> </w:t>
            </w:r>
          </w:p>
          <w:p w14:paraId="3D16E723" w14:textId="77777777" w:rsidR="00B0469F" w:rsidRPr="006D0B2F" w:rsidRDefault="00B0469F" w:rsidP="00F37389">
            <w:pPr>
              <w:pStyle w:val="TAH"/>
              <w:rPr>
                <w:lang w:eastAsia="zh-CN"/>
              </w:rPr>
            </w:pPr>
            <w:r w:rsidRPr="006D0B2F">
              <w:rPr>
                <w:bCs/>
                <w:lang w:eastAsia="zh-CN"/>
              </w:rPr>
              <w:t>(</w:t>
            </w:r>
            <m:oMath>
              <m:sSubSup>
                <m:sSubSupPr>
                  <m:ctrlPr>
                    <w:rPr>
                      <w:rFonts w:ascii="Cambria Math" w:hAnsi="Cambria Math"/>
                      <w:bCs/>
                      <w:i/>
                      <w:iCs/>
                      <w:lang w:val="en-US" w:eastAsia="zh-CN"/>
                    </w:rPr>
                  </m:ctrlPr>
                </m:sSubSupPr>
                <m:e>
                  <m:r>
                    <m:rPr>
                      <m:sty m:val="b"/>
                    </m:rPr>
                    <w:rPr>
                      <w:rFonts w:ascii="Cambria Math" w:hAnsi="Cambria Math"/>
                      <w:lang w:eastAsia="zh-CN"/>
                    </w:rPr>
                    <m:t>T</m:t>
                  </m:r>
                </m:e>
                <m:sub>
                  <m:r>
                    <m:rPr>
                      <m:nor/>
                    </m:rPr>
                    <w:rPr>
                      <w:bCs/>
                      <w:lang w:eastAsia="zh-CN"/>
                    </w:rPr>
                    <m:t>rep</m:t>
                  </m:r>
                </m:sub>
                <m:sup>
                  <m:r>
                    <m:rPr>
                      <m:nor/>
                    </m:rPr>
                    <w:rPr>
                      <w:bCs/>
                      <w:lang w:eastAsia="zh-CN"/>
                    </w:rPr>
                    <m:t>PRS</m:t>
                  </m:r>
                </m:sup>
              </m:sSubSup>
              <m:r>
                <m:rPr>
                  <m:sty m:val="b"/>
                </m:rPr>
                <w:rPr>
                  <w:rFonts w:ascii="Cambria Math" w:hAnsi="Cambria Math"/>
                  <w:lang w:eastAsia="zh-CN"/>
                </w:rPr>
                <m:t>*</m:t>
              </m:r>
              <m:sSub>
                <m:sSubPr>
                  <m:ctrlPr>
                    <w:rPr>
                      <w:rFonts w:ascii="Cambria Math" w:hAnsi="Cambria Math"/>
                      <w:bCs/>
                      <w:i/>
                      <w:iCs/>
                      <w:lang w:val="en-US" w:eastAsia="zh-CN"/>
                    </w:rPr>
                  </m:ctrlPr>
                </m:sSubPr>
                <m:e>
                  <m:r>
                    <m:rPr>
                      <m:sty m:val="b"/>
                    </m:rPr>
                    <w:rPr>
                      <w:rFonts w:ascii="Cambria Math" w:hAnsi="Cambria Math"/>
                      <w:lang w:eastAsia="zh-CN"/>
                    </w:rPr>
                    <m:t>L</m:t>
                  </m:r>
                </m:e>
                <m:sub>
                  <m:r>
                    <m:rPr>
                      <m:nor/>
                    </m:rPr>
                    <w:rPr>
                      <w:bCs/>
                      <w:lang w:eastAsia="zh-CN"/>
                    </w:rPr>
                    <m:t>PRS</m:t>
                  </m:r>
                </m:sub>
              </m:sSub>
              <m:r>
                <m:rPr>
                  <m:sty m:val="b"/>
                </m:rPr>
                <w:rPr>
                  <w:rFonts w:ascii="Cambria Math" w:hAnsi="Cambria Math"/>
                  <w:lang w:eastAsia="zh-CN"/>
                </w:rPr>
                <m:t>/</m:t>
              </m:r>
              <m:sSubSup>
                <m:sSubSupPr>
                  <m:ctrlPr>
                    <w:rPr>
                      <w:rFonts w:ascii="Cambria Math" w:hAnsi="Cambria Math"/>
                      <w:bCs/>
                      <w:i/>
                      <w:iCs/>
                      <w:lang w:val="en-US" w:eastAsia="zh-CN"/>
                    </w:rPr>
                  </m:ctrlPr>
                </m:sSubSupPr>
                <m:e>
                  <m:r>
                    <m:rPr>
                      <m:sty m:val="b"/>
                    </m:rPr>
                    <w:rPr>
                      <w:rFonts w:ascii="Cambria Math" w:hAnsi="Cambria Math"/>
                      <w:lang w:eastAsia="zh-CN"/>
                    </w:rPr>
                    <m:t>K</m:t>
                  </m:r>
                </m:e>
                <m:sub>
                  <m:r>
                    <m:rPr>
                      <m:nor/>
                    </m:rPr>
                    <w:rPr>
                      <w:bCs/>
                      <w:lang w:eastAsia="zh-CN"/>
                    </w:rPr>
                    <m:t>comb</m:t>
                  </m:r>
                </m:sub>
                <m:sup>
                  <m:r>
                    <m:rPr>
                      <m:nor/>
                    </m:rPr>
                    <w:rPr>
                      <w:bCs/>
                      <w:lang w:eastAsia="zh-CN"/>
                    </w:rPr>
                    <m:t>PRS</m:t>
                  </m:r>
                </m:sup>
              </m:sSubSup>
              <m:r>
                <m:rPr>
                  <m:sty m:val="b"/>
                </m:rPr>
                <w:rPr>
                  <w:rFonts w:ascii="Cambria Math" w:hAnsi="Cambria Math"/>
                  <w:lang w:eastAsia="zh-CN"/>
                </w:rPr>
                <m:t>)</m:t>
              </m:r>
            </m:oMath>
          </w:p>
        </w:tc>
        <w:tc>
          <w:tcPr>
            <w:tcW w:w="5977" w:type="dxa"/>
            <w:gridSpan w:val="5"/>
            <w:tcBorders>
              <w:top w:val="single" w:sz="6" w:space="0" w:color="auto"/>
              <w:left w:val="single" w:sz="6" w:space="0" w:color="auto"/>
              <w:bottom w:val="single" w:sz="6" w:space="0" w:color="auto"/>
              <w:right w:val="single" w:sz="4" w:space="0" w:color="auto"/>
            </w:tcBorders>
            <w:vAlign w:val="center"/>
          </w:tcPr>
          <w:p w14:paraId="32AE0308" w14:textId="77777777" w:rsidR="00B0469F" w:rsidRPr="006D0B2F" w:rsidRDefault="00B0469F" w:rsidP="00F37389">
            <w:pPr>
              <w:pStyle w:val="TAH"/>
            </w:pPr>
            <w:r w:rsidRPr="006D0B2F">
              <w:t>Io</w:t>
            </w:r>
            <w:r w:rsidRPr="006D0B2F">
              <w:rPr>
                <w:vertAlign w:val="superscript"/>
                <w:lang w:eastAsia="zh-CN"/>
              </w:rPr>
              <w:t xml:space="preserve"> Note 7</w:t>
            </w:r>
            <w:r w:rsidRPr="006D0B2F">
              <w:t xml:space="preserve"> range</w:t>
            </w:r>
          </w:p>
        </w:tc>
      </w:tr>
      <w:tr w:rsidR="00B0469F" w:rsidRPr="006D0B2F" w14:paraId="6781E0F6" w14:textId="77777777" w:rsidTr="00B0469F">
        <w:trPr>
          <w:trHeight w:val="916"/>
          <w:jc w:val="center"/>
        </w:trPr>
        <w:tc>
          <w:tcPr>
            <w:tcW w:w="965" w:type="dxa"/>
            <w:vMerge/>
            <w:tcBorders>
              <w:left w:val="single" w:sz="4" w:space="0" w:color="auto"/>
              <w:right w:val="single" w:sz="6" w:space="0" w:color="auto"/>
            </w:tcBorders>
            <w:shd w:val="clear" w:color="auto" w:fill="auto"/>
            <w:vAlign w:val="center"/>
          </w:tcPr>
          <w:p w14:paraId="021A4823" w14:textId="77777777" w:rsidR="00B0469F" w:rsidRPr="006D0B2F" w:rsidRDefault="00B0469F" w:rsidP="00F37389">
            <w:pPr>
              <w:pStyle w:val="TAH"/>
            </w:pPr>
          </w:p>
        </w:tc>
        <w:tc>
          <w:tcPr>
            <w:tcW w:w="965" w:type="dxa"/>
            <w:vMerge/>
            <w:tcBorders>
              <w:left w:val="single" w:sz="4" w:space="0" w:color="auto"/>
              <w:right w:val="single" w:sz="6" w:space="0" w:color="auto"/>
            </w:tcBorders>
            <w:shd w:val="clear" w:color="auto" w:fill="auto"/>
            <w:vAlign w:val="center"/>
          </w:tcPr>
          <w:p w14:paraId="454E0BF4" w14:textId="77777777" w:rsidR="00B0469F" w:rsidRPr="006D0B2F" w:rsidRDefault="00B0469F" w:rsidP="00F37389">
            <w:pPr>
              <w:pStyle w:val="TAH"/>
            </w:pPr>
          </w:p>
        </w:tc>
        <w:tc>
          <w:tcPr>
            <w:tcW w:w="827" w:type="dxa"/>
            <w:vMerge/>
            <w:tcBorders>
              <w:left w:val="single" w:sz="6" w:space="0" w:color="auto"/>
              <w:right w:val="single" w:sz="6" w:space="0" w:color="auto"/>
            </w:tcBorders>
            <w:shd w:val="clear" w:color="auto" w:fill="auto"/>
            <w:vAlign w:val="center"/>
          </w:tcPr>
          <w:p w14:paraId="5E2D740C" w14:textId="77777777" w:rsidR="00B0469F" w:rsidRPr="006D0B2F" w:rsidRDefault="00B0469F" w:rsidP="00F37389">
            <w:pPr>
              <w:pStyle w:val="TAH"/>
            </w:pPr>
          </w:p>
        </w:tc>
        <w:tc>
          <w:tcPr>
            <w:tcW w:w="1140" w:type="dxa"/>
            <w:vMerge/>
            <w:tcBorders>
              <w:left w:val="single" w:sz="6" w:space="0" w:color="auto"/>
              <w:right w:val="single" w:sz="6" w:space="0" w:color="auto"/>
            </w:tcBorders>
            <w:shd w:val="clear" w:color="auto" w:fill="auto"/>
            <w:vAlign w:val="center"/>
          </w:tcPr>
          <w:p w14:paraId="10C9CA20" w14:textId="77777777" w:rsidR="00B0469F" w:rsidRPr="006D0B2F" w:rsidRDefault="00B0469F" w:rsidP="00F37389">
            <w:pPr>
              <w:pStyle w:val="TAH"/>
            </w:pPr>
          </w:p>
        </w:tc>
        <w:tc>
          <w:tcPr>
            <w:tcW w:w="1178" w:type="dxa"/>
            <w:vMerge/>
            <w:tcBorders>
              <w:left w:val="single" w:sz="6" w:space="0" w:color="auto"/>
              <w:right w:val="single" w:sz="6" w:space="0" w:color="auto"/>
            </w:tcBorders>
            <w:shd w:val="clear" w:color="auto" w:fill="auto"/>
            <w:vAlign w:val="center"/>
          </w:tcPr>
          <w:p w14:paraId="285BF855" w14:textId="77777777" w:rsidR="00B0469F" w:rsidRPr="006D0B2F" w:rsidRDefault="00B0469F" w:rsidP="00F37389">
            <w:pPr>
              <w:pStyle w:val="TAH"/>
            </w:pPr>
          </w:p>
        </w:tc>
        <w:tc>
          <w:tcPr>
            <w:tcW w:w="1557" w:type="dxa"/>
            <w:tcBorders>
              <w:top w:val="single" w:sz="6" w:space="0" w:color="auto"/>
              <w:left w:val="single" w:sz="6" w:space="0" w:color="auto"/>
              <w:right w:val="single" w:sz="6" w:space="0" w:color="auto"/>
            </w:tcBorders>
            <w:shd w:val="clear" w:color="auto" w:fill="auto"/>
            <w:vAlign w:val="center"/>
          </w:tcPr>
          <w:p w14:paraId="6B528C06" w14:textId="77777777" w:rsidR="00B0469F" w:rsidRPr="006D0B2F" w:rsidRDefault="00B0469F" w:rsidP="00F37389">
            <w:pPr>
              <w:pStyle w:val="TAH"/>
            </w:pPr>
            <w:r w:rsidRPr="006D0B2F">
              <w:t>NR operating band groups</w:t>
            </w:r>
            <w:r w:rsidRPr="006D0B2F">
              <w:rPr>
                <w:vertAlign w:val="superscript"/>
              </w:rPr>
              <w:t xml:space="preserve"> Note 8</w:t>
            </w:r>
          </w:p>
        </w:tc>
        <w:tc>
          <w:tcPr>
            <w:tcW w:w="3223" w:type="dxa"/>
            <w:gridSpan w:val="3"/>
            <w:tcBorders>
              <w:top w:val="single" w:sz="6" w:space="0" w:color="auto"/>
              <w:left w:val="single" w:sz="6" w:space="0" w:color="auto"/>
              <w:right w:val="single" w:sz="6" w:space="0" w:color="auto"/>
            </w:tcBorders>
            <w:vAlign w:val="center"/>
          </w:tcPr>
          <w:p w14:paraId="58D2B664" w14:textId="77777777" w:rsidR="00B0469F" w:rsidRPr="006D0B2F" w:rsidRDefault="00B0469F" w:rsidP="00F37389">
            <w:pPr>
              <w:pStyle w:val="TAH"/>
            </w:pPr>
            <w:r w:rsidRPr="006D0B2F">
              <w:t>Minimum</w:t>
            </w:r>
            <w:r w:rsidRPr="006D0B2F">
              <w:br/>
              <w:t xml:space="preserve">Io </w:t>
            </w:r>
            <w:r w:rsidRPr="006D0B2F">
              <w:rPr>
                <w:vertAlign w:val="superscript"/>
              </w:rPr>
              <w:t>Note 1</w:t>
            </w:r>
          </w:p>
          <w:p w14:paraId="26AC100B" w14:textId="77777777" w:rsidR="00B0469F" w:rsidRPr="006D0B2F" w:rsidRDefault="00B0469F" w:rsidP="00F37389">
            <w:pPr>
              <w:pStyle w:val="TAH"/>
            </w:pPr>
            <w:r w:rsidRPr="006D0B2F">
              <w:t>dBm / SCS</w:t>
            </w:r>
            <w:r w:rsidRPr="006D0B2F">
              <w:rPr>
                <w:vertAlign w:val="subscript"/>
              </w:rPr>
              <w:t>PRS</w:t>
            </w:r>
          </w:p>
        </w:tc>
        <w:tc>
          <w:tcPr>
            <w:tcW w:w="1197" w:type="dxa"/>
            <w:tcBorders>
              <w:top w:val="single" w:sz="6" w:space="0" w:color="auto"/>
              <w:left w:val="single" w:sz="6" w:space="0" w:color="auto"/>
              <w:right w:val="single" w:sz="4" w:space="0" w:color="auto"/>
            </w:tcBorders>
            <w:vAlign w:val="center"/>
          </w:tcPr>
          <w:p w14:paraId="31F0372F" w14:textId="77777777" w:rsidR="00B0469F" w:rsidRPr="006D0B2F" w:rsidRDefault="00B0469F" w:rsidP="00F37389">
            <w:pPr>
              <w:pStyle w:val="TAH"/>
            </w:pPr>
            <w:r w:rsidRPr="006D0B2F">
              <w:t>Maximum</w:t>
            </w:r>
            <w:r w:rsidRPr="006D0B2F">
              <w:br/>
              <w:t>Io</w:t>
            </w:r>
          </w:p>
        </w:tc>
      </w:tr>
      <w:tr w:rsidR="00B0469F" w:rsidRPr="006D0B2F" w14:paraId="6F2388E4" w14:textId="77777777" w:rsidTr="00B0469F">
        <w:trPr>
          <w:trHeight w:val="162"/>
          <w:jc w:val="center"/>
        </w:trPr>
        <w:tc>
          <w:tcPr>
            <w:tcW w:w="965" w:type="dxa"/>
            <w:vMerge w:val="restart"/>
            <w:tcBorders>
              <w:top w:val="single" w:sz="6" w:space="0" w:color="auto"/>
              <w:left w:val="single" w:sz="4" w:space="0" w:color="auto"/>
              <w:right w:val="single" w:sz="6" w:space="0" w:color="auto"/>
            </w:tcBorders>
            <w:shd w:val="clear" w:color="auto" w:fill="auto"/>
            <w:vAlign w:val="center"/>
          </w:tcPr>
          <w:p w14:paraId="7CA023DE" w14:textId="77777777" w:rsidR="00B0469F" w:rsidRPr="006D0B2F" w:rsidRDefault="00B0469F" w:rsidP="00F37389">
            <w:pPr>
              <w:pStyle w:val="TAH"/>
              <w:rPr>
                <w:lang w:eastAsia="zh-CN"/>
              </w:rPr>
            </w:pPr>
            <w:r w:rsidRPr="006D0B2F">
              <w:rPr>
                <w:rFonts w:hint="eastAsia"/>
                <w:lang w:eastAsia="zh-CN"/>
              </w:rPr>
              <w:t>dB</w:t>
            </w:r>
          </w:p>
        </w:tc>
        <w:tc>
          <w:tcPr>
            <w:tcW w:w="965" w:type="dxa"/>
            <w:vMerge w:val="restart"/>
            <w:tcBorders>
              <w:top w:val="single" w:sz="6" w:space="0" w:color="auto"/>
              <w:left w:val="single" w:sz="4" w:space="0" w:color="auto"/>
              <w:right w:val="single" w:sz="6" w:space="0" w:color="auto"/>
            </w:tcBorders>
            <w:shd w:val="clear" w:color="auto" w:fill="auto"/>
            <w:vAlign w:val="center"/>
          </w:tcPr>
          <w:p w14:paraId="268CE812" w14:textId="77777777" w:rsidR="00B0469F" w:rsidRPr="006D0B2F" w:rsidRDefault="00B0469F" w:rsidP="00F37389">
            <w:pPr>
              <w:pStyle w:val="TAH"/>
              <w:rPr>
                <w:lang w:eastAsia="zh-CN"/>
              </w:rPr>
            </w:pPr>
            <w:r w:rsidRPr="006D0B2F">
              <w:rPr>
                <w:rFonts w:hint="eastAsia"/>
                <w:lang w:eastAsia="zh-CN"/>
              </w:rPr>
              <w:t>dB</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06AFCE17" w14:textId="77777777" w:rsidR="00B0469F" w:rsidRPr="006D0B2F" w:rsidRDefault="00B0469F" w:rsidP="00F37389">
            <w:pPr>
              <w:pStyle w:val="TAH"/>
            </w:pPr>
            <w:r w:rsidRPr="006D0B2F">
              <w:t>dB</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2181E9C7" w14:textId="77777777" w:rsidR="00B0469F" w:rsidRPr="006D0B2F" w:rsidRDefault="00B0469F" w:rsidP="00F37389">
            <w:pPr>
              <w:pStyle w:val="TAH"/>
            </w:pPr>
            <w:r w:rsidRPr="006D0B2F">
              <w:rPr>
                <w:rFonts w:hint="eastAsia"/>
                <w:lang w:eastAsia="zh-CN"/>
              </w:rPr>
              <w:t>P</w:t>
            </w:r>
            <w:r w:rsidRPr="006D0B2F">
              <w:t>RB</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0FF22B39" w14:textId="77777777" w:rsidR="00B0469F" w:rsidRPr="006D0B2F" w:rsidRDefault="00B0469F" w:rsidP="00F37389">
            <w:pPr>
              <w:pStyle w:val="TAH"/>
            </w:pPr>
            <w:r w:rsidRPr="006D0B2F">
              <w:rPr>
                <w:rFonts w:hint="eastAsia"/>
                <w:lang w:eastAsia="zh-CN"/>
              </w:rPr>
              <w:t>-</w:t>
            </w:r>
          </w:p>
        </w:tc>
        <w:tc>
          <w:tcPr>
            <w:tcW w:w="1557" w:type="dxa"/>
            <w:vMerge w:val="restart"/>
            <w:tcBorders>
              <w:top w:val="single" w:sz="6" w:space="0" w:color="auto"/>
              <w:left w:val="single" w:sz="6" w:space="0" w:color="auto"/>
              <w:right w:val="single" w:sz="6" w:space="0" w:color="auto"/>
            </w:tcBorders>
            <w:shd w:val="clear" w:color="auto" w:fill="auto"/>
            <w:vAlign w:val="center"/>
          </w:tcPr>
          <w:p w14:paraId="5870D876" w14:textId="77777777" w:rsidR="00B0469F" w:rsidRPr="006D0B2F" w:rsidRDefault="00B0469F" w:rsidP="00F37389">
            <w:pPr>
              <w:pStyle w:val="TAH"/>
            </w:pPr>
          </w:p>
        </w:tc>
        <w:tc>
          <w:tcPr>
            <w:tcW w:w="3223" w:type="dxa"/>
            <w:gridSpan w:val="3"/>
            <w:tcBorders>
              <w:top w:val="single" w:sz="6" w:space="0" w:color="auto"/>
              <w:left w:val="single" w:sz="6" w:space="0" w:color="auto"/>
              <w:bottom w:val="single" w:sz="6" w:space="0" w:color="auto"/>
              <w:right w:val="single" w:sz="6" w:space="0" w:color="auto"/>
            </w:tcBorders>
            <w:vAlign w:val="center"/>
          </w:tcPr>
          <w:p w14:paraId="7C2D0DE4" w14:textId="77777777" w:rsidR="00B0469F" w:rsidRPr="006D0B2F" w:rsidRDefault="00B0469F" w:rsidP="00F37389">
            <w:pPr>
              <w:pStyle w:val="TAH"/>
            </w:pPr>
            <w:r w:rsidRPr="006D0B2F">
              <w:t>dBm / SCS</w:t>
            </w:r>
            <w:r w:rsidRPr="006D0B2F">
              <w:rPr>
                <w:vertAlign w:val="subscript"/>
              </w:rPr>
              <w:t>PRS</w:t>
            </w:r>
          </w:p>
        </w:tc>
        <w:tc>
          <w:tcPr>
            <w:tcW w:w="1197" w:type="dxa"/>
            <w:vMerge w:val="restart"/>
            <w:tcBorders>
              <w:top w:val="single" w:sz="6" w:space="0" w:color="auto"/>
              <w:left w:val="single" w:sz="6" w:space="0" w:color="auto"/>
              <w:right w:val="single" w:sz="4" w:space="0" w:color="auto"/>
            </w:tcBorders>
            <w:vAlign w:val="center"/>
          </w:tcPr>
          <w:p w14:paraId="677ADAAA" w14:textId="77777777" w:rsidR="00B0469F" w:rsidRPr="006D0B2F" w:rsidRDefault="00B0469F" w:rsidP="00F37389">
            <w:pPr>
              <w:pStyle w:val="TAH"/>
            </w:pPr>
            <w:r w:rsidRPr="006D0B2F">
              <w:t>dBm/BW</w:t>
            </w:r>
            <w:r w:rsidRPr="006D0B2F">
              <w:rPr>
                <w:vertAlign w:val="subscript"/>
              </w:rPr>
              <w:t>Channel</w:t>
            </w:r>
          </w:p>
        </w:tc>
      </w:tr>
      <w:tr w:rsidR="00B0469F" w:rsidRPr="006D0B2F" w14:paraId="3FE93767" w14:textId="77777777" w:rsidTr="00B0469F">
        <w:trPr>
          <w:trHeight w:val="161"/>
          <w:jc w:val="center"/>
        </w:trPr>
        <w:tc>
          <w:tcPr>
            <w:tcW w:w="965" w:type="dxa"/>
            <w:vMerge/>
            <w:tcBorders>
              <w:left w:val="single" w:sz="4" w:space="0" w:color="auto"/>
              <w:bottom w:val="single" w:sz="6" w:space="0" w:color="auto"/>
              <w:right w:val="single" w:sz="6" w:space="0" w:color="auto"/>
            </w:tcBorders>
            <w:shd w:val="clear" w:color="auto" w:fill="auto"/>
            <w:vAlign w:val="center"/>
          </w:tcPr>
          <w:p w14:paraId="41478A90" w14:textId="77777777" w:rsidR="00B0469F" w:rsidRPr="006D0B2F" w:rsidRDefault="00B0469F" w:rsidP="00F37389">
            <w:pPr>
              <w:pStyle w:val="TAH"/>
            </w:pPr>
          </w:p>
        </w:tc>
        <w:tc>
          <w:tcPr>
            <w:tcW w:w="965" w:type="dxa"/>
            <w:vMerge/>
            <w:tcBorders>
              <w:left w:val="single" w:sz="4" w:space="0" w:color="auto"/>
              <w:bottom w:val="single" w:sz="6" w:space="0" w:color="auto"/>
              <w:right w:val="single" w:sz="6" w:space="0" w:color="auto"/>
            </w:tcBorders>
            <w:shd w:val="clear" w:color="auto" w:fill="auto"/>
            <w:vAlign w:val="center"/>
          </w:tcPr>
          <w:p w14:paraId="709B9A57" w14:textId="77777777" w:rsidR="00B0469F" w:rsidRPr="006D0B2F" w:rsidRDefault="00B0469F" w:rsidP="00F37389">
            <w:pPr>
              <w:pStyle w:val="TAH"/>
            </w:pPr>
          </w:p>
        </w:tc>
        <w:tc>
          <w:tcPr>
            <w:tcW w:w="827" w:type="dxa"/>
            <w:vMerge/>
            <w:tcBorders>
              <w:left w:val="single" w:sz="6" w:space="0" w:color="auto"/>
              <w:bottom w:val="single" w:sz="6" w:space="0" w:color="auto"/>
              <w:right w:val="single" w:sz="6" w:space="0" w:color="auto"/>
            </w:tcBorders>
            <w:shd w:val="clear" w:color="auto" w:fill="auto"/>
            <w:vAlign w:val="center"/>
          </w:tcPr>
          <w:p w14:paraId="1C7CE841" w14:textId="77777777" w:rsidR="00B0469F" w:rsidRPr="006D0B2F" w:rsidRDefault="00B0469F" w:rsidP="00F37389">
            <w:pPr>
              <w:pStyle w:val="TAH"/>
            </w:pPr>
          </w:p>
        </w:tc>
        <w:tc>
          <w:tcPr>
            <w:tcW w:w="1140" w:type="dxa"/>
            <w:vMerge/>
            <w:tcBorders>
              <w:left w:val="single" w:sz="6" w:space="0" w:color="auto"/>
              <w:bottom w:val="single" w:sz="6" w:space="0" w:color="auto"/>
              <w:right w:val="single" w:sz="6" w:space="0" w:color="auto"/>
            </w:tcBorders>
            <w:shd w:val="clear" w:color="auto" w:fill="auto"/>
            <w:vAlign w:val="center"/>
          </w:tcPr>
          <w:p w14:paraId="7EE6C7C5" w14:textId="77777777" w:rsidR="00B0469F" w:rsidRPr="006D0B2F" w:rsidRDefault="00B0469F" w:rsidP="00F37389">
            <w:pPr>
              <w:pStyle w:val="TAH"/>
            </w:pPr>
          </w:p>
        </w:tc>
        <w:tc>
          <w:tcPr>
            <w:tcW w:w="1178" w:type="dxa"/>
            <w:vMerge/>
            <w:tcBorders>
              <w:left w:val="single" w:sz="6" w:space="0" w:color="auto"/>
              <w:bottom w:val="single" w:sz="6" w:space="0" w:color="auto"/>
              <w:right w:val="single" w:sz="6" w:space="0" w:color="auto"/>
            </w:tcBorders>
            <w:shd w:val="clear" w:color="auto" w:fill="auto"/>
            <w:vAlign w:val="center"/>
          </w:tcPr>
          <w:p w14:paraId="768ADFAD" w14:textId="77777777" w:rsidR="00B0469F" w:rsidRPr="006D0B2F" w:rsidRDefault="00B0469F" w:rsidP="00F37389">
            <w:pPr>
              <w:pStyle w:val="TAH"/>
            </w:pPr>
          </w:p>
        </w:tc>
        <w:tc>
          <w:tcPr>
            <w:tcW w:w="1557" w:type="dxa"/>
            <w:vMerge/>
            <w:tcBorders>
              <w:left w:val="single" w:sz="6" w:space="0" w:color="auto"/>
              <w:bottom w:val="single" w:sz="6" w:space="0" w:color="auto"/>
              <w:right w:val="single" w:sz="6" w:space="0" w:color="auto"/>
            </w:tcBorders>
            <w:shd w:val="clear" w:color="auto" w:fill="auto"/>
            <w:vAlign w:val="center"/>
          </w:tcPr>
          <w:p w14:paraId="48B3EDA7" w14:textId="77777777" w:rsidR="00B0469F" w:rsidRPr="006D0B2F" w:rsidRDefault="00B0469F" w:rsidP="00F37389">
            <w:pPr>
              <w:pStyle w:val="TAH"/>
            </w:pPr>
          </w:p>
        </w:tc>
        <w:tc>
          <w:tcPr>
            <w:tcW w:w="1013" w:type="dxa"/>
            <w:tcBorders>
              <w:top w:val="single" w:sz="6" w:space="0" w:color="auto"/>
              <w:left w:val="single" w:sz="6" w:space="0" w:color="auto"/>
              <w:bottom w:val="single" w:sz="6" w:space="0" w:color="auto"/>
              <w:right w:val="single" w:sz="6" w:space="0" w:color="auto"/>
            </w:tcBorders>
            <w:vAlign w:val="center"/>
          </w:tcPr>
          <w:p w14:paraId="39B0F89C" w14:textId="77777777" w:rsidR="00B0469F" w:rsidRPr="006D0B2F" w:rsidRDefault="00B0469F" w:rsidP="00F37389">
            <w:pPr>
              <w:pStyle w:val="TAH"/>
            </w:pPr>
            <w:r w:rsidRPr="006D0B2F">
              <w:t>dBm/15kHz</w:t>
            </w:r>
            <w:r w:rsidRPr="006D0B2F">
              <w:rPr>
                <w:vertAlign w:val="superscript"/>
                <w:lang w:eastAsia="zh-CN"/>
              </w:rPr>
              <w:t xml:space="preserve"> Note 6</w:t>
            </w:r>
          </w:p>
        </w:tc>
        <w:tc>
          <w:tcPr>
            <w:tcW w:w="1013" w:type="dxa"/>
            <w:tcBorders>
              <w:top w:val="single" w:sz="6" w:space="0" w:color="auto"/>
              <w:left w:val="single" w:sz="6" w:space="0" w:color="auto"/>
              <w:bottom w:val="single" w:sz="6" w:space="0" w:color="auto"/>
              <w:right w:val="single" w:sz="6" w:space="0" w:color="auto"/>
            </w:tcBorders>
            <w:vAlign w:val="center"/>
          </w:tcPr>
          <w:p w14:paraId="553E4373" w14:textId="77777777" w:rsidR="00B0469F" w:rsidRPr="006D0B2F" w:rsidRDefault="00B0469F" w:rsidP="00F37389">
            <w:pPr>
              <w:pStyle w:val="TAH"/>
            </w:pPr>
            <w:r w:rsidRPr="006D0B2F">
              <w:t>dBm/</w:t>
            </w:r>
            <w:r w:rsidRPr="006D0B2F">
              <w:rPr>
                <w:rFonts w:hint="eastAsia"/>
                <w:lang w:eastAsia="zh-CN"/>
              </w:rPr>
              <w:t>30</w:t>
            </w:r>
            <w:r w:rsidRPr="006D0B2F">
              <w:t>kHz</w:t>
            </w:r>
            <w:r w:rsidRPr="006D0B2F">
              <w:rPr>
                <w:vertAlign w:val="superscript"/>
                <w:lang w:eastAsia="zh-CN"/>
              </w:rPr>
              <w:t xml:space="preserve"> Note 6</w:t>
            </w:r>
          </w:p>
        </w:tc>
        <w:tc>
          <w:tcPr>
            <w:tcW w:w="1197" w:type="dxa"/>
            <w:tcBorders>
              <w:left w:val="single" w:sz="6" w:space="0" w:color="auto"/>
              <w:bottom w:val="single" w:sz="6" w:space="0" w:color="auto"/>
              <w:right w:val="single" w:sz="6" w:space="0" w:color="auto"/>
            </w:tcBorders>
            <w:shd w:val="clear" w:color="auto" w:fill="auto"/>
          </w:tcPr>
          <w:p w14:paraId="50AE7741" w14:textId="77777777" w:rsidR="00B0469F" w:rsidRPr="006D0B2F" w:rsidRDefault="00B0469F" w:rsidP="00F37389">
            <w:pPr>
              <w:pStyle w:val="TAH"/>
            </w:pPr>
            <w:r w:rsidRPr="006D0B2F">
              <w:t>dBm/</w:t>
            </w:r>
            <w:r w:rsidRPr="006D0B2F">
              <w:rPr>
                <w:rFonts w:hint="eastAsia"/>
                <w:lang w:eastAsia="zh-CN"/>
              </w:rPr>
              <w:t>60</w:t>
            </w:r>
            <w:r w:rsidRPr="006D0B2F">
              <w:t>kHz</w:t>
            </w:r>
            <w:r w:rsidRPr="006D0B2F">
              <w:rPr>
                <w:vertAlign w:val="superscript"/>
                <w:lang w:eastAsia="zh-CN"/>
              </w:rPr>
              <w:t xml:space="preserve"> Note 6</w:t>
            </w:r>
          </w:p>
        </w:tc>
        <w:tc>
          <w:tcPr>
            <w:tcW w:w="1197" w:type="dxa"/>
            <w:vMerge/>
            <w:tcBorders>
              <w:left w:val="single" w:sz="6" w:space="0" w:color="auto"/>
              <w:bottom w:val="single" w:sz="6" w:space="0" w:color="auto"/>
              <w:right w:val="single" w:sz="4" w:space="0" w:color="auto"/>
            </w:tcBorders>
            <w:vAlign w:val="center"/>
          </w:tcPr>
          <w:p w14:paraId="5021E8B5" w14:textId="77777777" w:rsidR="00B0469F" w:rsidRPr="006D0B2F" w:rsidRDefault="00B0469F" w:rsidP="00F37389">
            <w:pPr>
              <w:pStyle w:val="TAH"/>
            </w:pPr>
          </w:p>
        </w:tc>
      </w:tr>
      <w:tr w:rsidR="007E5D63" w:rsidRPr="006D0B2F" w14:paraId="73925793" w14:textId="77777777" w:rsidTr="000E29BE">
        <w:trPr>
          <w:jc w:val="center"/>
        </w:trPr>
        <w:tc>
          <w:tcPr>
            <w:tcW w:w="965" w:type="dxa"/>
            <w:vMerge w:val="restart"/>
            <w:tcBorders>
              <w:top w:val="single" w:sz="6" w:space="0" w:color="auto"/>
              <w:left w:val="single" w:sz="4" w:space="0" w:color="auto"/>
              <w:right w:val="single" w:sz="6" w:space="0" w:color="auto"/>
            </w:tcBorders>
            <w:shd w:val="clear" w:color="auto" w:fill="auto"/>
            <w:vAlign w:val="center"/>
          </w:tcPr>
          <w:p w14:paraId="70FF477A" w14:textId="7F63D80F" w:rsidR="007E5D63" w:rsidRPr="006D0B2F" w:rsidRDefault="007E5D63" w:rsidP="007E5D63">
            <w:pPr>
              <w:pStyle w:val="TAC"/>
              <w:rPr>
                <w:lang w:eastAsia="zh-CN"/>
              </w:rPr>
            </w:pPr>
            <w:r w:rsidRPr="006D0B2F">
              <w:rPr>
                <w:rFonts w:hint="eastAsia"/>
                <w:lang w:eastAsia="zh-CN"/>
              </w:rPr>
              <w:t>[±</w:t>
            </w:r>
            <w:r w:rsidRPr="002B4D79">
              <w:rPr>
                <w:rFonts w:cs="Arial"/>
                <w:lang w:eastAsia="zh-CN"/>
              </w:rPr>
              <w:t>3.5</w:t>
            </w:r>
            <w:r w:rsidRPr="006D0B2F">
              <w:rPr>
                <w:rFonts w:hint="eastAsia"/>
                <w:lang w:eastAsia="zh-CN"/>
              </w:rPr>
              <w:t>]</w:t>
            </w:r>
          </w:p>
        </w:tc>
        <w:tc>
          <w:tcPr>
            <w:tcW w:w="965" w:type="dxa"/>
            <w:vMerge w:val="restart"/>
            <w:tcBorders>
              <w:top w:val="single" w:sz="6" w:space="0" w:color="auto"/>
              <w:left w:val="single" w:sz="4" w:space="0" w:color="auto"/>
              <w:bottom w:val="single" w:sz="4" w:space="0" w:color="auto"/>
              <w:right w:val="single" w:sz="6" w:space="0" w:color="auto"/>
            </w:tcBorders>
            <w:vAlign w:val="center"/>
          </w:tcPr>
          <w:p w14:paraId="0C660417" w14:textId="6A0EC564" w:rsidR="007E5D63" w:rsidRPr="006D0B2F" w:rsidRDefault="007E5D63" w:rsidP="007E5D63">
            <w:pPr>
              <w:pStyle w:val="TAC"/>
              <w:rPr>
                <w:lang w:eastAsia="zh-CN"/>
              </w:rPr>
            </w:pPr>
            <w:r>
              <w:rPr>
                <w:rFonts w:cs="Arial" w:hint="eastAsia"/>
                <w:lang w:eastAsia="zh-CN"/>
              </w:rPr>
              <w:t>±</w:t>
            </w:r>
            <w:r>
              <w:rPr>
                <w:rFonts w:cs="Arial"/>
                <w:lang w:eastAsia="zh-CN"/>
              </w:rPr>
              <w:t>5.0</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40B7A811" w14:textId="77777777" w:rsidR="007E5D63" w:rsidRPr="006D0B2F" w:rsidRDefault="007E5D63" w:rsidP="007E5D63">
            <w:pPr>
              <w:pStyle w:val="TAC"/>
              <w:rPr>
                <w:lang w:eastAsia="zh-CN"/>
              </w:rPr>
            </w:pPr>
            <w:r w:rsidRPr="006D0B2F">
              <w:t>≥-</w:t>
            </w:r>
            <w:r w:rsidRPr="006D0B2F">
              <w:rPr>
                <w:rFonts w:hint="eastAsia"/>
                <w:lang w:eastAsia="zh-CN"/>
              </w:rPr>
              <w:t>3</w:t>
            </w:r>
            <w:r w:rsidRPr="006D0B2F">
              <w:t>dB</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60B7797A" w14:textId="15FD7DF8" w:rsidR="007E5D63" w:rsidRPr="006D0B2F" w:rsidRDefault="007E5D63" w:rsidP="007E5D63">
            <w:pPr>
              <w:pStyle w:val="TAC"/>
              <w:rPr>
                <w:lang w:eastAsia="zh-CN"/>
              </w:rPr>
            </w:pPr>
            <w:r w:rsidRPr="006D0B2F">
              <w:t>≥</w:t>
            </w:r>
            <w:r w:rsidRPr="006D0B2F">
              <w:rPr>
                <w:rFonts w:hint="eastAsia"/>
                <w:lang w:eastAsia="zh-CN"/>
              </w:rPr>
              <w:t>24</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79BC2D56" w14:textId="77777777" w:rsidR="007E5D63" w:rsidRPr="006D0B2F" w:rsidRDefault="007E5D63" w:rsidP="007E5D63">
            <w:pPr>
              <w:pStyle w:val="TAC"/>
              <w:rPr>
                <w:lang w:eastAsia="zh-CN"/>
              </w:rPr>
            </w:pPr>
            <w:r w:rsidRPr="006D0B2F">
              <w:rPr>
                <w:rFonts w:hint="eastAsia"/>
                <w:lang w:eastAsia="zh-CN"/>
              </w:rPr>
              <w:t>All</w:t>
            </w:r>
          </w:p>
        </w:tc>
        <w:tc>
          <w:tcPr>
            <w:tcW w:w="1557" w:type="dxa"/>
            <w:tcBorders>
              <w:top w:val="single" w:sz="6" w:space="0" w:color="auto"/>
              <w:left w:val="single" w:sz="6" w:space="0" w:color="auto"/>
              <w:bottom w:val="single" w:sz="6" w:space="0" w:color="auto"/>
              <w:right w:val="single" w:sz="6" w:space="0" w:color="auto"/>
            </w:tcBorders>
            <w:shd w:val="clear" w:color="auto" w:fill="auto"/>
          </w:tcPr>
          <w:p w14:paraId="43242B49" w14:textId="77777777" w:rsidR="007E5D63" w:rsidRPr="006D0B2F" w:rsidRDefault="007E5D63" w:rsidP="007E5D63">
            <w:pPr>
              <w:pStyle w:val="TAC"/>
            </w:pPr>
            <w:r w:rsidRPr="006D0B2F">
              <w:t xml:space="preserve">NR_FDD_FR1_A, NR_TDD_FR1_A, </w:t>
            </w:r>
            <w:r w:rsidRPr="006D0B2F">
              <w:rPr>
                <w:lang w:val="en-US"/>
              </w:rPr>
              <w:t>NR_SDL_FR1_A</w:t>
            </w:r>
          </w:p>
        </w:tc>
        <w:tc>
          <w:tcPr>
            <w:tcW w:w="1013" w:type="dxa"/>
            <w:tcBorders>
              <w:top w:val="single" w:sz="6" w:space="0" w:color="auto"/>
              <w:left w:val="single" w:sz="6" w:space="0" w:color="auto"/>
              <w:bottom w:val="single" w:sz="6" w:space="0" w:color="auto"/>
              <w:right w:val="single" w:sz="6" w:space="0" w:color="auto"/>
            </w:tcBorders>
          </w:tcPr>
          <w:p w14:paraId="5D9D70DA" w14:textId="77777777" w:rsidR="007E5D63" w:rsidRPr="006D0B2F" w:rsidRDefault="007E5D63" w:rsidP="007E5D63">
            <w:pPr>
              <w:pStyle w:val="TAC"/>
            </w:pPr>
            <w:r w:rsidRPr="006D0B2F">
              <w:t>-127</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7BFF3328" w14:textId="77777777" w:rsidR="007E5D63" w:rsidRPr="006D0B2F" w:rsidRDefault="007E5D63" w:rsidP="007E5D63">
            <w:pPr>
              <w:pStyle w:val="TAC"/>
            </w:pPr>
            <w:r w:rsidRPr="006D0B2F">
              <w:t>-124</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085A8F2E" w14:textId="77777777" w:rsidR="007E5D63" w:rsidRPr="006D0B2F" w:rsidRDefault="007E5D63" w:rsidP="007E5D63">
            <w:pPr>
              <w:pStyle w:val="TAC"/>
            </w:pPr>
            <w:r w:rsidRPr="006D0B2F">
              <w:t>-121</w:t>
            </w:r>
          </w:p>
        </w:tc>
        <w:tc>
          <w:tcPr>
            <w:tcW w:w="1197" w:type="dxa"/>
            <w:tcBorders>
              <w:top w:val="single" w:sz="6" w:space="0" w:color="auto"/>
              <w:left w:val="single" w:sz="6" w:space="0" w:color="auto"/>
              <w:bottom w:val="single" w:sz="6" w:space="0" w:color="auto"/>
              <w:right w:val="single" w:sz="4" w:space="0" w:color="auto"/>
            </w:tcBorders>
            <w:vAlign w:val="center"/>
          </w:tcPr>
          <w:p w14:paraId="15337EC0" w14:textId="77777777" w:rsidR="007E5D63" w:rsidRPr="006D0B2F" w:rsidRDefault="007E5D63" w:rsidP="007E5D63">
            <w:pPr>
              <w:pStyle w:val="TAC"/>
            </w:pPr>
            <w:r w:rsidRPr="006D0B2F">
              <w:t>-50</w:t>
            </w:r>
          </w:p>
        </w:tc>
      </w:tr>
      <w:tr w:rsidR="007E5D63" w:rsidRPr="006D0B2F" w14:paraId="741E3714" w14:textId="77777777" w:rsidTr="000E29BE">
        <w:trPr>
          <w:jc w:val="center"/>
        </w:trPr>
        <w:tc>
          <w:tcPr>
            <w:tcW w:w="965" w:type="dxa"/>
            <w:vMerge/>
            <w:tcBorders>
              <w:left w:val="single" w:sz="4" w:space="0" w:color="auto"/>
              <w:right w:val="single" w:sz="6" w:space="0" w:color="auto"/>
            </w:tcBorders>
            <w:shd w:val="clear" w:color="auto" w:fill="auto"/>
            <w:vAlign w:val="center"/>
          </w:tcPr>
          <w:p w14:paraId="50369BB6" w14:textId="77777777" w:rsidR="007E5D63" w:rsidRPr="006D0B2F" w:rsidRDefault="007E5D63" w:rsidP="007E5D63">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5A0071F4" w14:textId="77777777" w:rsidR="007E5D63" w:rsidRPr="006D0B2F" w:rsidRDefault="007E5D63" w:rsidP="007E5D63">
            <w:pPr>
              <w:pStyle w:val="TAC"/>
            </w:pPr>
          </w:p>
        </w:tc>
        <w:tc>
          <w:tcPr>
            <w:tcW w:w="827" w:type="dxa"/>
            <w:vMerge/>
            <w:tcBorders>
              <w:left w:val="single" w:sz="6" w:space="0" w:color="auto"/>
              <w:right w:val="single" w:sz="6" w:space="0" w:color="auto"/>
            </w:tcBorders>
            <w:shd w:val="clear" w:color="auto" w:fill="auto"/>
            <w:vAlign w:val="center"/>
          </w:tcPr>
          <w:p w14:paraId="5E207980" w14:textId="77777777" w:rsidR="007E5D63" w:rsidRPr="006D0B2F" w:rsidRDefault="007E5D63" w:rsidP="007E5D63">
            <w:pPr>
              <w:pStyle w:val="TAC"/>
            </w:pPr>
          </w:p>
        </w:tc>
        <w:tc>
          <w:tcPr>
            <w:tcW w:w="1140" w:type="dxa"/>
            <w:vMerge/>
            <w:tcBorders>
              <w:left w:val="single" w:sz="6" w:space="0" w:color="auto"/>
              <w:right w:val="single" w:sz="6" w:space="0" w:color="auto"/>
            </w:tcBorders>
            <w:shd w:val="clear" w:color="auto" w:fill="auto"/>
            <w:vAlign w:val="center"/>
          </w:tcPr>
          <w:p w14:paraId="1EE217DE" w14:textId="77777777" w:rsidR="007E5D63" w:rsidRPr="006D0B2F" w:rsidRDefault="007E5D63" w:rsidP="007E5D63">
            <w:pPr>
              <w:pStyle w:val="TAC"/>
            </w:pPr>
          </w:p>
        </w:tc>
        <w:tc>
          <w:tcPr>
            <w:tcW w:w="1178" w:type="dxa"/>
            <w:vMerge/>
            <w:tcBorders>
              <w:left w:val="single" w:sz="6" w:space="0" w:color="auto"/>
              <w:right w:val="single" w:sz="6" w:space="0" w:color="auto"/>
            </w:tcBorders>
            <w:shd w:val="clear" w:color="auto" w:fill="auto"/>
            <w:vAlign w:val="center"/>
          </w:tcPr>
          <w:p w14:paraId="62BA567F" w14:textId="77777777" w:rsidR="007E5D63" w:rsidRPr="006D0B2F" w:rsidRDefault="007E5D63" w:rsidP="007E5D63">
            <w:pPr>
              <w:pStyle w:val="TAC"/>
            </w:pPr>
          </w:p>
        </w:tc>
        <w:tc>
          <w:tcPr>
            <w:tcW w:w="1557" w:type="dxa"/>
            <w:tcBorders>
              <w:top w:val="single" w:sz="6" w:space="0" w:color="auto"/>
              <w:left w:val="single" w:sz="6" w:space="0" w:color="auto"/>
              <w:bottom w:val="single" w:sz="6" w:space="0" w:color="auto"/>
              <w:right w:val="single" w:sz="6" w:space="0" w:color="auto"/>
            </w:tcBorders>
            <w:shd w:val="clear" w:color="auto" w:fill="auto"/>
            <w:vAlign w:val="center"/>
          </w:tcPr>
          <w:p w14:paraId="21951E7B" w14:textId="77777777" w:rsidR="007E5D63" w:rsidRPr="006D0B2F" w:rsidRDefault="007E5D63" w:rsidP="007E5D63">
            <w:pPr>
              <w:pStyle w:val="TAC"/>
            </w:pPr>
            <w:r w:rsidRPr="006D0B2F">
              <w:rPr>
                <w:lang w:val="sv-SE"/>
              </w:rPr>
              <w:t>NR_FDD_FR1_B</w:t>
            </w:r>
          </w:p>
        </w:tc>
        <w:tc>
          <w:tcPr>
            <w:tcW w:w="1013" w:type="dxa"/>
            <w:tcBorders>
              <w:top w:val="single" w:sz="6" w:space="0" w:color="auto"/>
              <w:left w:val="single" w:sz="6" w:space="0" w:color="auto"/>
              <w:bottom w:val="single" w:sz="6" w:space="0" w:color="auto"/>
              <w:right w:val="single" w:sz="6" w:space="0" w:color="auto"/>
            </w:tcBorders>
          </w:tcPr>
          <w:p w14:paraId="70BF0E13" w14:textId="77777777" w:rsidR="007E5D63" w:rsidRPr="006D0B2F" w:rsidRDefault="007E5D63" w:rsidP="007E5D63">
            <w:pPr>
              <w:pStyle w:val="TAC"/>
              <w:rPr>
                <w:lang w:eastAsia="ja-JP"/>
              </w:rPr>
            </w:pPr>
            <w:r w:rsidRPr="006D0B2F">
              <w:t>-126.5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6C8BF459" w14:textId="77777777" w:rsidR="007E5D63" w:rsidRPr="006D0B2F" w:rsidRDefault="007E5D63" w:rsidP="007E5D63">
            <w:pPr>
              <w:pStyle w:val="TAC"/>
            </w:pPr>
            <w:r w:rsidRPr="006D0B2F">
              <w:t>-123.5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5029E780" w14:textId="77777777" w:rsidR="007E5D63" w:rsidRPr="006D0B2F" w:rsidRDefault="007E5D63" w:rsidP="007E5D63">
            <w:pPr>
              <w:pStyle w:val="TAC"/>
              <w:rPr>
                <w:lang w:eastAsia="ja-JP"/>
              </w:rPr>
            </w:pPr>
            <w:r w:rsidRPr="006D0B2F">
              <w:t>-120.5</w:t>
            </w:r>
          </w:p>
        </w:tc>
        <w:tc>
          <w:tcPr>
            <w:tcW w:w="1197" w:type="dxa"/>
            <w:tcBorders>
              <w:top w:val="single" w:sz="6" w:space="0" w:color="auto"/>
              <w:left w:val="single" w:sz="6" w:space="0" w:color="auto"/>
              <w:bottom w:val="single" w:sz="6" w:space="0" w:color="auto"/>
              <w:right w:val="single" w:sz="4" w:space="0" w:color="auto"/>
            </w:tcBorders>
            <w:vAlign w:val="center"/>
          </w:tcPr>
          <w:p w14:paraId="72A30C5D" w14:textId="77777777" w:rsidR="007E5D63" w:rsidRPr="006D0B2F" w:rsidRDefault="007E5D63" w:rsidP="007E5D63">
            <w:pPr>
              <w:pStyle w:val="TAC"/>
            </w:pPr>
            <w:r w:rsidRPr="006D0B2F">
              <w:rPr>
                <w:lang w:eastAsia="ja-JP"/>
              </w:rPr>
              <w:t>-50</w:t>
            </w:r>
          </w:p>
        </w:tc>
      </w:tr>
      <w:tr w:rsidR="007E5D63" w:rsidRPr="006D0B2F" w14:paraId="350C3E61" w14:textId="77777777" w:rsidTr="000E29BE">
        <w:trPr>
          <w:jc w:val="center"/>
        </w:trPr>
        <w:tc>
          <w:tcPr>
            <w:tcW w:w="965" w:type="dxa"/>
            <w:vMerge/>
            <w:tcBorders>
              <w:left w:val="single" w:sz="4" w:space="0" w:color="auto"/>
              <w:right w:val="single" w:sz="6" w:space="0" w:color="auto"/>
            </w:tcBorders>
            <w:shd w:val="clear" w:color="auto" w:fill="auto"/>
            <w:vAlign w:val="center"/>
          </w:tcPr>
          <w:p w14:paraId="4633FEAA" w14:textId="77777777" w:rsidR="007E5D63" w:rsidRPr="006D0B2F" w:rsidRDefault="007E5D63" w:rsidP="007E5D63">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53BD9819" w14:textId="77777777" w:rsidR="007E5D63" w:rsidRPr="006D0B2F" w:rsidRDefault="007E5D63" w:rsidP="007E5D63">
            <w:pPr>
              <w:pStyle w:val="TAC"/>
            </w:pPr>
          </w:p>
        </w:tc>
        <w:tc>
          <w:tcPr>
            <w:tcW w:w="827" w:type="dxa"/>
            <w:vMerge/>
            <w:tcBorders>
              <w:left w:val="single" w:sz="6" w:space="0" w:color="auto"/>
              <w:right w:val="single" w:sz="6" w:space="0" w:color="auto"/>
            </w:tcBorders>
            <w:shd w:val="clear" w:color="auto" w:fill="auto"/>
            <w:vAlign w:val="center"/>
          </w:tcPr>
          <w:p w14:paraId="2B80D6D8" w14:textId="77777777" w:rsidR="007E5D63" w:rsidRPr="006D0B2F" w:rsidRDefault="007E5D63" w:rsidP="007E5D63">
            <w:pPr>
              <w:pStyle w:val="TAC"/>
            </w:pPr>
          </w:p>
        </w:tc>
        <w:tc>
          <w:tcPr>
            <w:tcW w:w="1140" w:type="dxa"/>
            <w:vMerge/>
            <w:tcBorders>
              <w:left w:val="single" w:sz="6" w:space="0" w:color="auto"/>
              <w:right w:val="single" w:sz="6" w:space="0" w:color="auto"/>
            </w:tcBorders>
            <w:shd w:val="clear" w:color="auto" w:fill="auto"/>
            <w:vAlign w:val="center"/>
          </w:tcPr>
          <w:p w14:paraId="08BED531" w14:textId="77777777" w:rsidR="007E5D63" w:rsidRPr="006D0B2F" w:rsidRDefault="007E5D63" w:rsidP="007E5D63">
            <w:pPr>
              <w:pStyle w:val="TAC"/>
            </w:pPr>
          </w:p>
        </w:tc>
        <w:tc>
          <w:tcPr>
            <w:tcW w:w="1178" w:type="dxa"/>
            <w:vMerge/>
            <w:tcBorders>
              <w:left w:val="single" w:sz="6" w:space="0" w:color="auto"/>
              <w:right w:val="single" w:sz="6" w:space="0" w:color="auto"/>
            </w:tcBorders>
            <w:shd w:val="clear" w:color="auto" w:fill="auto"/>
            <w:vAlign w:val="center"/>
          </w:tcPr>
          <w:p w14:paraId="1C057F89" w14:textId="77777777" w:rsidR="007E5D63" w:rsidRPr="006D0B2F" w:rsidRDefault="007E5D63" w:rsidP="007E5D63">
            <w:pPr>
              <w:pStyle w:val="TAC"/>
            </w:pPr>
          </w:p>
        </w:tc>
        <w:tc>
          <w:tcPr>
            <w:tcW w:w="1557" w:type="dxa"/>
            <w:tcBorders>
              <w:top w:val="single" w:sz="6" w:space="0" w:color="auto"/>
              <w:left w:val="single" w:sz="6" w:space="0" w:color="auto"/>
              <w:bottom w:val="single" w:sz="6" w:space="0" w:color="auto"/>
              <w:right w:val="single" w:sz="6" w:space="0" w:color="auto"/>
            </w:tcBorders>
            <w:shd w:val="clear" w:color="auto" w:fill="auto"/>
            <w:vAlign w:val="center"/>
          </w:tcPr>
          <w:p w14:paraId="19FA703B" w14:textId="77777777" w:rsidR="007E5D63" w:rsidRPr="006D0B2F" w:rsidRDefault="007E5D63" w:rsidP="007E5D63">
            <w:pPr>
              <w:pStyle w:val="TAC"/>
            </w:pPr>
            <w:r w:rsidRPr="006D0B2F">
              <w:rPr>
                <w:lang w:val="sv-SE"/>
              </w:rPr>
              <w:t>NR_TDD_FR1_C</w:t>
            </w:r>
          </w:p>
        </w:tc>
        <w:tc>
          <w:tcPr>
            <w:tcW w:w="1013" w:type="dxa"/>
            <w:tcBorders>
              <w:top w:val="single" w:sz="6" w:space="0" w:color="auto"/>
              <w:left w:val="single" w:sz="6" w:space="0" w:color="auto"/>
              <w:bottom w:val="single" w:sz="6" w:space="0" w:color="auto"/>
              <w:right w:val="single" w:sz="6" w:space="0" w:color="auto"/>
            </w:tcBorders>
          </w:tcPr>
          <w:p w14:paraId="37B04985" w14:textId="77777777" w:rsidR="007E5D63" w:rsidRPr="006D0B2F" w:rsidRDefault="007E5D63" w:rsidP="007E5D63">
            <w:pPr>
              <w:pStyle w:val="TAC"/>
            </w:pPr>
            <w:r w:rsidRPr="006D0B2F">
              <w:t>-126</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0101551A" w14:textId="77777777" w:rsidR="007E5D63" w:rsidRPr="006D0B2F" w:rsidRDefault="007E5D63" w:rsidP="007E5D63">
            <w:pPr>
              <w:pStyle w:val="TAC"/>
            </w:pPr>
            <w:r w:rsidRPr="006D0B2F">
              <w:t>-123</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2B2A7B7F" w14:textId="77777777" w:rsidR="007E5D63" w:rsidRPr="006D0B2F" w:rsidRDefault="007E5D63" w:rsidP="007E5D63">
            <w:pPr>
              <w:pStyle w:val="TAC"/>
            </w:pPr>
            <w:r w:rsidRPr="006D0B2F">
              <w:t>-120</w:t>
            </w:r>
          </w:p>
        </w:tc>
        <w:tc>
          <w:tcPr>
            <w:tcW w:w="1197" w:type="dxa"/>
            <w:tcBorders>
              <w:top w:val="single" w:sz="6" w:space="0" w:color="auto"/>
              <w:left w:val="single" w:sz="6" w:space="0" w:color="auto"/>
              <w:bottom w:val="single" w:sz="6" w:space="0" w:color="auto"/>
              <w:right w:val="single" w:sz="4" w:space="0" w:color="auto"/>
            </w:tcBorders>
            <w:vAlign w:val="center"/>
          </w:tcPr>
          <w:p w14:paraId="17D081B2" w14:textId="77777777" w:rsidR="007E5D63" w:rsidRPr="006D0B2F" w:rsidRDefault="007E5D63" w:rsidP="007E5D63">
            <w:pPr>
              <w:pStyle w:val="TAC"/>
            </w:pPr>
            <w:r w:rsidRPr="006D0B2F">
              <w:t>-50</w:t>
            </w:r>
          </w:p>
        </w:tc>
      </w:tr>
      <w:tr w:rsidR="007E5D63" w:rsidRPr="006D0B2F" w14:paraId="11F336D5" w14:textId="77777777" w:rsidTr="000E29BE">
        <w:trPr>
          <w:jc w:val="center"/>
        </w:trPr>
        <w:tc>
          <w:tcPr>
            <w:tcW w:w="965" w:type="dxa"/>
            <w:vMerge/>
            <w:tcBorders>
              <w:left w:val="single" w:sz="4" w:space="0" w:color="auto"/>
              <w:right w:val="single" w:sz="6" w:space="0" w:color="auto"/>
            </w:tcBorders>
            <w:shd w:val="clear" w:color="auto" w:fill="auto"/>
            <w:vAlign w:val="center"/>
          </w:tcPr>
          <w:p w14:paraId="31C1CD9E" w14:textId="77777777" w:rsidR="007E5D63" w:rsidRPr="006D0B2F" w:rsidRDefault="007E5D63" w:rsidP="007E5D63">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72F9F555" w14:textId="77777777" w:rsidR="007E5D63" w:rsidRPr="006D0B2F" w:rsidRDefault="007E5D63" w:rsidP="007E5D63">
            <w:pPr>
              <w:pStyle w:val="TAC"/>
            </w:pPr>
          </w:p>
        </w:tc>
        <w:tc>
          <w:tcPr>
            <w:tcW w:w="827" w:type="dxa"/>
            <w:vMerge/>
            <w:tcBorders>
              <w:left w:val="single" w:sz="6" w:space="0" w:color="auto"/>
              <w:right w:val="single" w:sz="6" w:space="0" w:color="auto"/>
            </w:tcBorders>
            <w:shd w:val="clear" w:color="auto" w:fill="auto"/>
            <w:vAlign w:val="center"/>
          </w:tcPr>
          <w:p w14:paraId="7A45B8A5" w14:textId="77777777" w:rsidR="007E5D63" w:rsidRPr="006D0B2F" w:rsidRDefault="007E5D63" w:rsidP="007E5D63">
            <w:pPr>
              <w:pStyle w:val="TAC"/>
            </w:pPr>
          </w:p>
        </w:tc>
        <w:tc>
          <w:tcPr>
            <w:tcW w:w="1140" w:type="dxa"/>
            <w:vMerge/>
            <w:tcBorders>
              <w:left w:val="single" w:sz="6" w:space="0" w:color="auto"/>
              <w:right w:val="single" w:sz="6" w:space="0" w:color="auto"/>
            </w:tcBorders>
            <w:shd w:val="clear" w:color="auto" w:fill="auto"/>
            <w:vAlign w:val="center"/>
          </w:tcPr>
          <w:p w14:paraId="5FC996CA" w14:textId="77777777" w:rsidR="007E5D63" w:rsidRPr="006D0B2F" w:rsidRDefault="007E5D63" w:rsidP="007E5D63">
            <w:pPr>
              <w:pStyle w:val="TAC"/>
            </w:pPr>
          </w:p>
        </w:tc>
        <w:tc>
          <w:tcPr>
            <w:tcW w:w="1178" w:type="dxa"/>
            <w:vMerge/>
            <w:tcBorders>
              <w:left w:val="single" w:sz="6" w:space="0" w:color="auto"/>
              <w:right w:val="single" w:sz="6" w:space="0" w:color="auto"/>
            </w:tcBorders>
            <w:shd w:val="clear" w:color="auto" w:fill="auto"/>
            <w:vAlign w:val="center"/>
          </w:tcPr>
          <w:p w14:paraId="53AA9F2B" w14:textId="77777777" w:rsidR="007E5D63" w:rsidRPr="006D0B2F" w:rsidRDefault="007E5D63" w:rsidP="007E5D63">
            <w:pPr>
              <w:pStyle w:val="TAC"/>
            </w:pPr>
          </w:p>
        </w:tc>
        <w:tc>
          <w:tcPr>
            <w:tcW w:w="1557" w:type="dxa"/>
            <w:tcBorders>
              <w:top w:val="single" w:sz="6" w:space="0" w:color="auto"/>
              <w:left w:val="single" w:sz="6" w:space="0" w:color="auto"/>
              <w:bottom w:val="single" w:sz="6" w:space="0" w:color="auto"/>
              <w:right w:val="single" w:sz="6" w:space="0" w:color="auto"/>
            </w:tcBorders>
            <w:shd w:val="clear" w:color="auto" w:fill="auto"/>
            <w:vAlign w:val="center"/>
          </w:tcPr>
          <w:p w14:paraId="53A92204" w14:textId="77777777" w:rsidR="007E5D63" w:rsidRPr="006D0B2F" w:rsidRDefault="007E5D63" w:rsidP="007E5D63">
            <w:pPr>
              <w:pStyle w:val="TAC"/>
              <w:rPr>
                <w:lang w:val="sv-SE"/>
              </w:rPr>
            </w:pPr>
            <w:r w:rsidRPr="006D0B2F">
              <w:rPr>
                <w:lang w:val="sv-SE"/>
              </w:rPr>
              <w:t>NR_FDD_FR1_D, NR_TDD_FR1_D</w:t>
            </w:r>
          </w:p>
        </w:tc>
        <w:tc>
          <w:tcPr>
            <w:tcW w:w="1013" w:type="dxa"/>
            <w:tcBorders>
              <w:top w:val="single" w:sz="6" w:space="0" w:color="auto"/>
              <w:left w:val="single" w:sz="6" w:space="0" w:color="auto"/>
              <w:bottom w:val="single" w:sz="6" w:space="0" w:color="auto"/>
              <w:right w:val="single" w:sz="6" w:space="0" w:color="auto"/>
            </w:tcBorders>
          </w:tcPr>
          <w:p w14:paraId="1A8AD4CA" w14:textId="77777777" w:rsidR="007E5D63" w:rsidRPr="006D0B2F" w:rsidRDefault="007E5D63" w:rsidP="007E5D63">
            <w:pPr>
              <w:pStyle w:val="TAC"/>
            </w:pPr>
            <w:r w:rsidRPr="006D0B2F">
              <w:t>-125.5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5B11FAFC" w14:textId="77777777" w:rsidR="007E5D63" w:rsidRPr="006D0B2F" w:rsidRDefault="007E5D63" w:rsidP="007E5D63">
            <w:pPr>
              <w:pStyle w:val="TAC"/>
            </w:pPr>
            <w:r w:rsidRPr="006D0B2F">
              <w:t>-122.5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5BD678D3" w14:textId="77777777" w:rsidR="007E5D63" w:rsidRPr="006D0B2F" w:rsidRDefault="007E5D63" w:rsidP="007E5D63">
            <w:pPr>
              <w:pStyle w:val="TAC"/>
            </w:pPr>
            <w:r w:rsidRPr="006D0B2F">
              <w:t>-119.5</w:t>
            </w:r>
          </w:p>
        </w:tc>
        <w:tc>
          <w:tcPr>
            <w:tcW w:w="1197" w:type="dxa"/>
            <w:tcBorders>
              <w:top w:val="single" w:sz="6" w:space="0" w:color="auto"/>
              <w:left w:val="single" w:sz="6" w:space="0" w:color="auto"/>
              <w:bottom w:val="single" w:sz="6" w:space="0" w:color="auto"/>
              <w:right w:val="single" w:sz="4" w:space="0" w:color="auto"/>
            </w:tcBorders>
            <w:vAlign w:val="center"/>
          </w:tcPr>
          <w:p w14:paraId="4DE62A57" w14:textId="77777777" w:rsidR="007E5D63" w:rsidRPr="006D0B2F" w:rsidRDefault="007E5D63" w:rsidP="007E5D63">
            <w:pPr>
              <w:pStyle w:val="TAC"/>
            </w:pPr>
            <w:r w:rsidRPr="006D0B2F">
              <w:t>-50</w:t>
            </w:r>
          </w:p>
        </w:tc>
      </w:tr>
      <w:tr w:rsidR="007E5D63" w:rsidRPr="006D0B2F" w14:paraId="0F1F4470" w14:textId="77777777" w:rsidTr="000E29BE">
        <w:trPr>
          <w:jc w:val="center"/>
        </w:trPr>
        <w:tc>
          <w:tcPr>
            <w:tcW w:w="965" w:type="dxa"/>
            <w:vMerge/>
            <w:tcBorders>
              <w:left w:val="single" w:sz="4" w:space="0" w:color="auto"/>
              <w:right w:val="single" w:sz="6" w:space="0" w:color="auto"/>
            </w:tcBorders>
            <w:shd w:val="clear" w:color="auto" w:fill="auto"/>
            <w:vAlign w:val="center"/>
          </w:tcPr>
          <w:p w14:paraId="3A8B3A15" w14:textId="77777777" w:rsidR="007E5D63" w:rsidRPr="006D0B2F" w:rsidRDefault="007E5D63" w:rsidP="007E5D63">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0A401405" w14:textId="77777777" w:rsidR="007E5D63" w:rsidRPr="006D0B2F" w:rsidRDefault="007E5D63" w:rsidP="007E5D63">
            <w:pPr>
              <w:pStyle w:val="TAC"/>
            </w:pPr>
          </w:p>
        </w:tc>
        <w:tc>
          <w:tcPr>
            <w:tcW w:w="827" w:type="dxa"/>
            <w:vMerge/>
            <w:tcBorders>
              <w:left w:val="single" w:sz="6" w:space="0" w:color="auto"/>
              <w:right w:val="single" w:sz="6" w:space="0" w:color="auto"/>
            </w:tcBorders>
            <w:shd w:val="clear" w:color="auto" w:fill="auto"/>
            <w:vAlign w:val="center"/>
          </w:tcPr>
          <w:p w14:paraId="574CB5DE" w14:textId="77777777" w:rsidR="007E5D63" w:rsidRPr="006D0B2F" w:rsidRDefault="007E5D63" w:rsidP="007E5D63">
            <w:pPr>
              <w:pStyle w:val="TAC"/>
            </w:pPr>
          </w:p>
        </w:tc>
        <w:tc>
          <w:tcPr>
            <w:tcW w:w="1140" w:type="dxa"/>
            <w:vMerge/>
            <w:tcBorders>
              <w:left w:val="single" w:sz="6" w:space="0" w:color="auto"/>
              <w:right w:val="single" w:sz="6" w:space="0" w:color="auto"/>
            </w:tcBorders>
            <w:shd w:val="clear" w:color="auto" w:fill="auto"/>
            <w:vAlign w:val="center"/>
          </w:tcPr>
          <w:p w14:paraId="34E9EC60" w14:textId="77777777" w:rsidR="007E5D63" w:rsidRPr="006D0B2F" w:rsidRDefault="007E5D63" w:rsidP="007E5D63">
            <w:pPr>
              <w:pStyle w:val="TAC"/>
            </w:pPr>
          </w:p>
        </w:tc>
        <w:tc>
          <w:tcPr>
            <w:tcW w:w="1178" w:type="dxa"/>
            <w:vMerge/>
            <w:tcBorders>
              <w:left w:val="single" w:sz="6" w:space="0" w:color="auto"/>
              <w:right w:val="single" w:sz="6" w:space="0" w:color="auto"/>
            </w:tcBorders>
            <w:shd w:val="clear" w:color="auto" w:fill="auto"/>
            <w:vAlign w:val="center"/>
          </w:tcPr>
          <w:p w14:paraId="0D1DF9D7" w14:textId="77777777" w:rsidR="007E5D63" w:rsidRPr="006D0B2F" w:rsidRDefault="007E5D63" w:rsidP="007E5D63">
            <w:pPr>
              <w:pStyle w:val="TAC"/>
            </w:pPr>
          </w:p>
        </w:tc>
        <w:tc>
          <w:tcPr>
            <w:tcW w:w="1557" w:type="dxa"/>
            <w:tcBorders>
              <w:top w:val="single" w:sz="6" w:space="0" w:color="auto"/>
              <w:left w:val="single" w:sz="6" w:space="0" w:color="auto"/>
              <w:bottom w:val="single" w:sz="6" w:space="0" w:color="auto"/>
              <w:right w:val="single" w:sz="6" w:space="0" w:color="auto"/>
            </w:tcBorders>
            <w:shd w:val="clear" w:color="auto" w:fill="auto"/>
            <w:vAlign w:val="center"/>
          </w:tcPr>
          <w:p w14:paraId="52067436" w14:textId="77777777" w:rsidR="007E5D63" w:rsidRPr="006D0B2F" w:rsidRDefault="007E5D63" w:rsidP="007E5D63">
            <w:pPr>
              <w:pStyle w:val="TAC"/>
              <w:rPr>
                <w:lang w:val="sv-SE"/>
              </w:rPr>
            </w:pPr>
            <w:r w:rsidRPr="006D0B2F">
              <w:rPr>
                <w:lang w:val="sv-SE"/>
              </w:rPr>
              <w:t>NR_FDD_FR1_E, NR_TDD_FR1_E</w:t>
            </w:r>
          </w:p>
        </w:tc>
        <w:tc>
          <w:tcPr>
            <w:tcW w:w="1013" w:type="dxa"/>
            <w:tcBorders>
              <w:top w:val="single" w:sz="6" w:space="0" w:color="auto"/>
              <w:left w:val="single" w:sz="6" w:space="0" w:color="auto"/>
              <w:bottom w:val="single" w:sz="6" w:space="0" w:color="auto"/>
              <w:right w:val="single" w:sz="6" w:space="0" w:color="auto"/>
            </w:tcBorders>
          </w:tcPr>
          <w:p w14:paraId="5CA523EA" w14:textId="77777777" w:rsidR="007E5D63" w:rsidRPr="006D0B2F" w:rsidRDefault="007E5D63" w:rsidP="007E5D63">
            <w:pPr>
              <w:pStyle w:val="TAC"/>
            </w:pPr>
            <w:r w:rsidRPr="006D0B2F">
              <w:t>-125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465FC237" w14:textId="77777777" w:rsidR="007E5D63" w:rsidRPr="006D0B2F" w:rsidRDefault="007E5D63" w:rsidP="007E5D63">
            <w:pPr>
              <w:pStyle w:val="TAC"/>
            </w:pPr>
            <w:r w:rsidRPr="006D0B2F">
              <w:t>-122</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62AA9BA2" w14:textId="77777777" w:rsidR="007E5D63" w:rsidRPr="006D0B2F" w:rsidRDefault="007E5D63" w:rsidP="007E5D63">
            <w:pPr>
              <w:pStyle w:val="TAC"/>
            </w:pPr>
            <w:r w:rsidRPr="006D0B2F">
              <w:t>-119</w:t>
            </w:r>
          </w:p>
        </w:tc>
        <w:tc>
          <w:tcPr>
            <w:tcW w:w="1197" w:type="dxa"/>
            <w:tcBorders>
              <w:top w:val="single" w:sz="6" w:space="0" w:color="auto"/>
              <w:left w:val="single" w:sz="6" w:space="0" w:color="auto"/>
              <w:bottom w:val="single" w:sz="6" w:space="0" w:color="auto"/>
              <w:right w:val="single" w:sz="4" w:space="0" w:color="auto"/>
            </w:tcBorders>
            <w:vAlign w:val="center"/>
          </w:tcPr>
          <w:p w14:paraId="46218605" w14:textId="77777777" w:rsidR="007E5D63" w:rsidRPr="006D0B2F" w:rsidRDefault="007E5D63" w:rsidP="007E5D63">
            <w:pPr>
              <w:pStyle w:val="TAC"/>
            </w:pPr>
            <w:r w:rsidRPr="006D0B2F">
              <w:t>-50</w:t>
            </w:r>
          </w:p>
        </w:tc>
      </w:tr>
      <w:tr w:rsidR="00675E01" w:rsidRPr="006D0B2F" w14:paraId="0574610C" w14:textId="77777777" w:rsidTr="00E14345">
        <w:trPr>
          <w:jc w:val="center"/>
        </w:trPr>
        <w:tc>
          <w:tcPr>
            <w:tcW w:w="965" w:type="dxa"/>
            <w:vMerge/>
            <w:tcBorders>
              <w:left w:val="single" w:sz="4" w:space="0" w:color="auto"/>
              <w:right w:val="single" w:sz="6" w:space="0" w:color="auto"/>
            </w:tcBorders>
            <w:shd w:val="clear" w:color="auto" w:fill="auto"/>
            <w:vAlign w:val="center"/>
          </w:tcPr>
          <w:p w14:paraId="3D912F44" w14:textId="77777777" w:rsidR="00675E01" w:rsidRPr="006D0B2F" w:rsidRDefault="00675E01" w:rsidP="00675E01">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05CF0E7C" w14:textId="77777777" w:rsidR="00675E01" w:rsidRPr="006D0B2F" w:rsidRDefault="00675E01" w:rsidP="00675E01">
            <w:pPr>
              <w:pStyle w:val="TAC"/>
            </w:pPr>
          </w:p>
        </w:tc>
        <w:tc>
          <w:tcPr>
            <w:tcW w:w="827" w:type="dxa"/>
            <w:vMerge/>
            <w:tcBorders>
              <w:left w:val="single" w:sz="6" w:space="0" w:color="auto"/>
              <w:right w:val="single" w:sz="6" w:space="0" w:color="auto"/>
            </w:tcBorders>
            <w:shd w:val="clear" w:color="auto" w:fill="auto"/>
            <w:vAlign w:val="center"/>
          </w:tcPr>
          <w:p w14:paraId="736B6929" w14:textId="77777777" w:rsidR="00675E01" w:rsidRPr="006D0B2F" w:rsidRDefault="00675E01" w:rsidP="00675E01">
            <w:pPr>
              <w:pStyle w:val="TAC"/>
            </w:pPr>
          </w:p>
        </w:tc>
        <w:tc>
          <w:tcPr>
            <w:tcW w:w="1140" w:type="dxa"/>
            <w:vMerge/>
            <w:tcBorders>
              <w:left w:val="single" w:sz="6" w:space="0" w:color="auto"/>
              <w:right w:val="single" w:sz="6" w:space="0" w:color="auto"/>
            </w:tcBorders>
            <w:shd w:val="clear" w:color="auto" w:fill="auto"/>
            <w:vAlign w:val="center"/>
          </w:tcPr>
          <w:p w14:paraId="7AAE39FC" w14:textId="77777777" w:rsidR="00675E01" w:rsidRPr="006D0B2F" w:rsidRDefault="00675E01" w:rsidP="00675E01">
            <w:pPr>
              <w:pStyle w:val="TAC"/>
            </w:pPr>
          </w:p>
        </w:tc>
        <w:tc>
          <w:tcPr>
            <w:tcW w:w="1178" w:type="dxa"/>
            <w:vMerge/>
            <w:tcBorders>
              <w:left w:val="single" w:sz="6" w:space="0" w:color="auto"/>
              <w:right w:val="single" w:sz="6" w:space="0" w:color="auto"/>
            </w:tcBorders>
            <w:shd w:val="clear" w:color="auto" w:fill="auto"/>
            <w:vAlign w:val="center"/>
          </w:tcPr>
          <w:p w14:paraId="08F36E90" w14:textId="77777777" w:rsidR="00675E01" w:rsidRPr="006D0B2F" w:rsidRDefault="00675E01" w:rsidP="00675E01">
            <w:pPr>
              <w:pStyle w:val="TAC"/>
            </w:pPr>
          </w:p>
        </w:tc>
        <w:tc>
          <w:tcPr>
            <w:tcW w:w="1557" w:type="dxa"/>
            <w:tcBorders>
              <w:top w:val="single" w:sz="6" w:space="0" w:color="auto"/>
              <w:left w:val="single" w:sz="6" w:space="0" w:color="auto"/>
              <w:bottom w:val="single" w:sz="6" w:space="0" w:color="auto"/>
              <w:right w:val="single" w:sz="6" w:space="0" w:color="auto"/>
            </w:tcBorders>
            <w:vAlign w:val="center"/>
          </w:tcPr>
          <w:p w14:paraId="7DE54115" w14:textId="2DB315FA" w:rsidR="00675E01" w:rsidRPr="006D0B2F" w:rsidRDefault="00675E01" w:rsidP="00675E01">
            <w:pPr>
              <w:pStyle w:val="TAC"/>
            </w:pPr>
            <w:r>
              <w:rPr>
                <w:lang w:val="sv-SE"/>
              </w:rPr>
              <w:t>NR_FDD_FR1_F</w:t>
            </w:r>
          </w:p>
        </w:tc>
        <w:tc>
          <w:tcPr>
            <w:tcW w:w="1013" w:type="dxa"/>
            <w:tcBorders>
              <w:top w:val="single" w:sz="6" w:space="0" w:color="auto"/>
              <w:left w:val="single" w:sz="6" w:space="0" w:color="auto"/>
              <w:bottom w:val="single" w:sz="6" w:space="0" w:color="auto"/>
              <w:right w:val="single" w:sz="6" w:space="0" w:color="auto"/>
            </w:tcBorders>
          </w:tcPr>
          <w:p w14:paraId="5EFEBA5D" w14:textId="3330E2B2" w:rsidR="00675E01" w:rsidRPr="006D0B2F" w:rsidRDefault="00675E01" w:rsidP="00675E01">
            <w:pPr>
              <w:pStyle w:val="TAC"/>
            </w:pPr>
            <w:r>
              <w:t>-124.5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6D4065D0" w14:textId="77777777" w:rsidR="00675E01" w:rsidRPr="006D0B2F" w:rsidRDefault="00675E01" w:rsidP="00675E01">
            <w:pPr>
              <w:pStyle w:val="TAC"/>
            </w:pPr>
            <w:r w:rsidRPr="006D0B2F">
              <w:t>-121.5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5A8EC935" w14:textId="77777777" w:rsidR="00675E01" w:rsidRPr="006D0B2F" w:rsidRDefault="00675E01" w:rsidP="00675E01">
            <w:pPr>
              <w:pStyle w:val="TAC"/>
            </w:pPr>
            <w:r w:rsidRPr="006D0B2F">
              <w:t>-118.5</w:t>
            </w:r>
          </w:p>
        </w:tc>
        <w:tc>
          <w:tcPr>
            <w:tcW w:w="1197" w:type="dxa"/>
            <w:tcBorders>
              <w:top w:val="single" w:sz="6" w:space="0" w:color="auto"/>
              <w:left w:val="single" w:sz="6" w:space="0" w:color="auto"/>
              <w:bottom w:val="single" w:sz="6" w:space="0" w:color="auto"/>
              <w:right w:val="single" w:sz="4" w:space="0" w:color="auto"/>
            </w:tcBorders>
            <w:vAlign w:val="center"/>
          </w:tcPr>
          <w:p w14:paraId="32C9DEC8" w14:textId="77777777" w:rsidR="00675E01" w:rsidRPr="006D0B2F" w:rsidRDefault="00675E01" w:rsidP="00675E01">
            <w:pPr>
              <w:pStyle w:val="TAC"/>
            </w:pPr>
            <w:r w:rsidRPr="006D0B2F">
              <w:t>-50</w:t>
            </w:r>
          </w:p>
        </w:tc>
      </w:tr>
      <w:tr w:rsidR="00675E01" w:rsidRPr="006D0B2F" w14:paraId="7E210E66" w14:textId="77777777" w:rsidTr="00E14345">
        <w:trPr>
          <w:jc w:val="center"/>
        </w:trPr>
        <w:tc>
          <w:tcPr>
            <w:tcW w:w="965" w:type="dxa"/>
            <w:vMerge/>
            <w:tcBorders>
              <w:left w:val="single" w:sz="4" w:space="0" w:color="auto"/>
              <w:right w:val="single" w:sz="6" w:space="0" w:color="auto"/>
            </w:tcBorders>
            <w:shd w:val="clear" w:color="auto" w:fill="auto"/>
            <w:vAlign w:val="center"/>
          </w:tcPr>
          <w:p w14:paraId="5CBBBA49" w14:textId="77777777" w:rsidR="00675E01" w:rsidRPr="006D0B2F" w:rsidRDefault="00675E01" w:rsidP="00675E01">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28E673D0" w14:textId="77777777" w:rsidR="00675E01" w:rsidRPr="006D0B2F" w:rsidRDefault="00675E01" w:rsidP="00675E01">
            <w:pPr>
              <w:pStyle w:val="TAC"/>
            </w:pPr>
          </w:p>
        </w:tc>
        <w:tc>
          <w:tcPr>
            <w:tcW w:w="827" w:type="dxa"/>
            <w:vMerge/>
            <w:tcBorders>
              <w:left w:val="single" w:sz="6" w:space="0" w:color="auto"/>
              <w:right w:val="single" w:sz="6" w:space="0" w:color="auto"/>
            </w:tcBorders>
            <w:shd w:val="clear" w:color="auto" w:fill="auto"/>
            <w:vAlign w:val="center"/>
          </w:tcPr>
          <w:p w14:paraId="2BF5BE9E" w14:textId="77777777" w:rsidR="00675E01" w:rsidRPr="006D0B2F" w:rsidRDefault="00675E01" w:rsidP="00675E01">
            <w:pPr>
              <w:pStyle w:val="TAC"/>
            </w:pPr>
          </w:p>
        </w:tc>
        <w:tc>
          <w:tcPr>
            <w:tcW w:w="1140" w:type="dxa"/>
            <w:vMerge/>
            <w:tcBorders>
              <w:left w:val="single" w:sz="6" w:space="0" w:color="auto"/>
              <w:right w:val="single" w:sz="6" w:space="0" w:color="auto"/>
            </w:tcBorders>
            <w:shd w:val="clear" w:color="auto" w:fill="auto"/>
            <w:vAlign w:val="center"/>
          </w:tcPr>
          <w:p w14:paraId="0D9E74E4" w14:textId="77777777" w:rsidR="00675E01" w:rsidRPr="006D0B2F" w:rsidRDefault="00675E01" w:rsidP="00675E01">
            <w:pPr>
              <w:pStyle w:val="TAC"/>
            </w:pPr>
          </w:p>
        </w:tc>
        <w:tc>
          <w:tcPr>
            <w:tcW w:w="1178" w:type="dxa"/>
            <w:vMerge/>
            <w:tcBorders>
              <w:left w:val="single" w:sz="6" w:space="0" w:color="auto"/>
              <w:right w:val="single" w:sz="6" w:space="0" w:color="auto"/>
            </w:tcBorders>
            <w:shd w:val="clear" w:color="auto" w:fill="auto"/>
            <w:vAlign w:val="center"/>
          </w:tcPr>
          <w:p w14:paraId="12F6F8DE" w14:textId="77777777" w:rsidR="00675E01" w:rsidRPr="006D0B2F" w:rsidRDefault="00675E01" w:rsidP="00675E01">
            <w:pPr>
              <w:pStyle w:val="TAC"/>
            </w:pPr>
          </w:p>
        </w:tc>
        <w:tc>
          <w:tcPr>
            <w:tcW w:w="1557" w:type="dxa"/>
            <w:tcBorders>
              <w:top w:val="single" w:sz="6" w:space="0" w:color="auto"/>
              <w:left w:val="single" w:sz="6" w:space="0" w:color="auto"/>
              <w:bottom w:val="single" w:sz="6" w:space="0" w:color="auto"/>
              <w:right w:val="single" w:sz="6" w:space="0" w:color="auto"/>
            </w:tcBorders>
            <w:vAlign w:val="center"/>
          </w:tcPr>
          <w:p w14:paraId="27B60C4E" w14:textId="39092FA9" w:rsidR="00675E01" w:rsidRPr="006D0B2F" w:rsidRDefault="00675E01" w:rsidP="00675E01">
            <w:pPr>
              <w:pStyle w:val="TAC"/>
            </w:pPr>
            <w:r>
              <w:rPr>
                <w:lang w:val="sv-SE"/>
              </w:rPr>
              <w:t>NR_FDD_FR1_G</w:t>
            </w:r>
            <w:r>
              <w:rPr>
                <w:rFonts w:hint="eastAsia"/>
                <w:lang w:eastAsia="zh-CN"/>
              </w:rPr>
              <w:t xml:space="preserve">, </w:t>
            </w:r>
            <w:r>
              <w:rPr>
                <w:lang w:eastAsia="zh-CN"/>
              </w:rPr>
              <w:t>NR</w:t>
            </w:r>
            <w:r>
              <w:t>_</w:t>
            </w:r>
            <w:r>
              <w:rPr>
                <w:rFonts w:hint="eastAsia"/>
                <w:lang w:eastAsia="zh-CN"/>
              </w:rPr>
              <w:t>T</w:t>
            </w:r>
            <w:r>
              <w:rPr>
                <w:lang w:eastAsia="zh-CN"/>
              </w:rPr>
              <w:t>DD_FR1_G</w:t>
            </w:r>
          </w:p>
        </w:tc>
        <w:tc>
          <w:tcPr>
            <w:tcW w:w="1013" w:type="dxa"/>
            <w:tcBorders>
              <w:top w:val="single" w:sz="6" w:space="0" w:color="auto"/>
              <w:left w:val="single" w:sz="6" w:space="0" w:color="auto"/>
              <w:bottom w:val="single" w:sz="6" w:space="0" w:color="auto"/>
              <w:right w:val="single" w:sz="6" w:space="0" w:color="auto"/>
            </w:tcBorders>
          </w:tcPr>
          <w:p w14:paraId="0E02D3E5" w14:textId="446585A4" w:rsidR="00675E01" w:rsidRPr="006D0B2F" w:rsidRDefault="00675E01" w:rsidP="00675E01">
            <w:pPr>
              <w:pStyle w:val="TAC"/>
            </w:pPr>
            <w:r>
              <w:t>-124</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1D87BD94" w14:textId="77777777" w:rsidR="00675E01" w:rsidRPr="006D0B2F" w:rsidRDefault="00675E01" w:rsidP="00675E01">
            <w:pPr>
              <w:pStyle w:val="TAC"/>
            </w:pPr>
            <w:r w:rsidRPr="006D0B2F">
              <w:t>-121</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7B8091E1" w14:textId="77777777" w:rsidR="00675E01" w:rsidRPr="006D0B2F" w:rsidRDefault="00675E01" w:rsidP="00675E01">
            <w:pPr>
              <w:pStyle w:val="TAC"/>
            </w:pPr>
            <w:r w:rsidRPr="006D0B2F">
              <w:t>-118</w:t>
            </w:r>
          </w:p>
        </w:tc>
        <w:tc>
          <w:tcPr>
            <w:tcW w:w="1197" w:type="dxa"/>
            <w:tcBorders>
              <w:top w:val="single" w:sz="6" w:space="0" w:color="auto"/>
              <w:left w:val="single" w:sz="6" w:space="0" w:color="auto"/>
              <w:bottom w:val="single" w:sz="6" w:space="0" w:color="auto"/>
              <w:right w:val="single" w:sz="4" w:space="0" w:color="auto"/>
            </w:tcBorders>
            <w:vAlign w:val="center"/>
          </w:tcPr>
          <w:p w14:paraId="0E697102" w14:textId="77777777" w:rsidR="00675E01" w:rsidRPr="006D0B2F" w:rsidRDefault="00675E01" w:rsidP="00675E01">
            <w:pPr>
              <w:pStyle w:val="TAC"/>
            </w:pPr>
            <w:r w:rsidRPr="006D0B2F">
              <w:t>-50</w:t>
            </w:r>
          </w:p>
        </w:tc>
      </w:tr>
      <w:tr w:rsidR="00675E01" w:rsidRPr="006D0B2F" w14:paraId="19221CE6" w14:textId="77777777" w:rsidTr="00E14345">
        <w:trPr>
          <w:jc w:val="center"/>
        </w:trPr>
        <w:tc>
          <w:tcPr>
            <w:tcW w:w="965" w:type="dxa"/>
            <w:vMerge/>
            <w:tcBorders>
              <w:left w:val="single" w:sz="4" w:space="0" w:color="auto"/>
              <w:right w:val="single" w:sz="6" w:space="0" w:color="auto"/>
            </w:tcBorders>
            <w:shd w:val="clear" w:color="auto" w:fill="auto"/>
            <w:vAlign w:val="center"/>
          </w:tcPr>
          <w:p w14:paraId="5532537E" w14:textId="77777777" w:rsidR="00675E01" w:rsidRPr="006D0B2F" w:rsidRDefault="00675E01" w:rsidP="00675E01">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06B9ED1B" w14:textId="77777777" w:rsidR="00675E01" w:rsidRPr="006D0B2F" w:rsidRDefault="00675E01" w:rsidP="00675E01">
            <w:pPr>
              <w:pStyle w:val="TAC"/>
            </w:pPr>
          </w:p>
        </w:tc>
        <w:tc>
          <w:tcPr>
            <w:tcW w:w="827" w:type="dxa"/>
            <w:vMerge/>
            <w:tcBorders>
              <w:left w:val="single" w:sz="6" w:space="0" w:color="auto"/>
              <w:right w:val="single" w:sz="6" w:space="0" w:color="auto"/>
            </w:tcBorders>
            <w:shd w:val="clear" w:color="auto" w:fill="auto"/>
            <w:vAlign w:val="center"/>
          </w:tcPr>
          <w:p w14:paraId="25C9E09A" w14:textId="77777777" w:rsidR="00675E01" w:rsidRPr="006D0B2F" w:rsidRDefault="00675E01" w:rsidP="00675E01">
            <w:pPr>
              <w:pStyle w:val="TAC"/>
            </w:pPr>
          </w:p>
        </w:tc>
        <w:tc>
          <w:tcPr>
            <w:tcW w:w="1140" w:type="dxa"/>
            <w:vMerge/>
            <w:tcBorders>
              <w:left w:val="single" w:sz="6" w:space="0" w:color="auto"/>
              <w:right w:val="single" w:sz="6" w:space="0" w:color="auto"/>
            </w:tcBorders>
            <w:shd w:val="clear" w:color="auto" w:fill="auto"/>
            <w:vAlign w:val="center"/>
          </w:tcPr>
          <w:p w14:paraId="4CBA4BD6" w14:textId="77777777" w:rsidR="00675E01" w:rsidRPr="006D0B2F" w:rsidRDefault="00675E01" w:rsidP="00675E01">
            <w:pPr>
              <w:pStyle w:val="TAC"/>
            </w:pPr>
          </w:p>
        </w:tc>
        <w:tc>
          <w:tcPr>
            <w:tcW w:w="1178" w:type="dxa"/>
            <w:vMerge/>
            <w:tcBorders>
              <w:left w:val="single" w:sz="6" w:space="0" w:color="auto"/>
              <w:right w:val="single" w:sz="6" w:space="0" w:color="auto"/>
            </w:tcBorders>
            <w:shd w:val="clear" w:color="auto" w:fill="auto"/>
            <w:vAlign w:val="center"/>
          </w:tcPr>
          <w:p w14:paraId="21FC2D0E" w14:textId="77777777" w:rsidR="00675E01" w:rsidRPr="006D0B2F" w:rsidRDefault="00675E01" w:rsidP="00675E01">
            <w:pPr>
              <w:pStyle w:val="TAC"/>
            </w:pPr>
          </w:p>
        </w:tc>
        <w:tc>
          <w:tcPr>
            <w:tcW w:w="1557" w:type="dxa"/>
            <w:tcBorders>
              <w:top w:val="single" w:sz="6" w:space="0" w:color="auto"/>
              <w:left w:val="single" w:sz="6" w:space="0" w:color="auto"/>
              <w:bottom w:val="single" w:sz="6" w:space="0" w:color="auto"/>
              <w:right w:val="single" w:sz="6" w:space="0" w:color="auto"/>
            </w:tcBorders>
            <w:vAlign w:val="center"/>
          </w:tcPr>
          <w:p w14:paraId="62594388" w14:textId="66C72C2E" w:rsidR="00675E01" w:rsidRPr="006D0B2F" w:rsidRDefault="00675E01" w:rsidP="00675E01">
            <w:pPr>
              <w:pStyle w:val="TAC"/>
            </w:pPr>
            <w:r>
              <w:rPr>
                <w:lang w:val="sv-SE"/>
              </w:rPr>
              <w:t>NR_FDD_FR1_H</w:t>
            </w:r>
          </w:p>
        </w:tc>
        <w:tc>
          <w:tcPr>
            <w:tcW w:w="1013" w:type="dxa"/>
            <w:tcBorders>
              <w:top w:val="single" w:sz="6" w:space="0" w:color="auto"/>
              <w:left w:val="single" w:sz="6" w:space="0" w:color="auto"/>
              <w:bottom w:val="single" w:sz="6" w:space="0" w:color="auto"/>
              <w:right w:val="single" w:sz="6" w:space="0" w:color="auto"/>
            </w:tcBorders>
          </w:tcPr>
          <w:p w14:paraId="1580A342" w14:textId="75255970" w:rsidR="00675E01" w:rsidRPr="006D0B2F" w:rsidRDefault="00675E01" w:rsidP="00675E01">
            <w:pPr>
              <w:pStyle w:val="TAC"/>
            </w:pPr>
            <w:r>
              <w:t>-123.5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0303CF35" w14:textId="77777777" w:rsidR="00675E01" w:rsidRPr="006D0B2F" w:rsidRDefault="00675E01" w:rsidP="00675E01">
            <w:pPr>
              <w:pStyle w:val="TAC"/>
            </w:pPr>
            <w:r w:rsidRPr="006D0B2F">
              <w:t>-120.5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4430C885" w14:textId="77777777" w:rsidR="00675E01" w:rsidRPr="006D0B2F" w:rsidRDefault="00675E01" w:rsidP="00675E01">
            <w:pPr>
              <w:pStyle w:val="TAC"/>
            </w:pPr>
            <w:r w:rsidRPr="006D0B2F">
              <w:t>-117.5</w:t>
            </w:r>
          </w:p>
        </w:tc>
        <w:tc>
          <w:tcPr>
            <w:tcW w:w="1197" w:type="dxa"/>
            <w:tcBorders>
              <w:top w:val="single" w:sz="6" w:space="0" w:color="auto"/>
              <w:left w:val="single" w:sz="6" w:space="0" w:color="auto"/>
              <w:bottom w:val="single" w:sz="6" w:space="0" w:color="auto"/>
              <w:right w:val="single" w:sz="4" w:space="0" w:color="auto"/>
            </w:tcBorders>
            <w:vAlign w:val="center"/>
          </w:tcPr>
          <w:p w14:paraId="1E896CDD" w14:textId="77777777" w:rsidR="00675E01" w:rsidRPr="006D0B2F" w:rsidRDefault="00675E01" w:rsidP="00675E01">
            <w:pPr>
              <w:pStyle w:val="TAC"/>
            </w:pPr>
            <w:r w:rsidRPr="006D0B2F">
              <w:t>-50</w:t>
            </w:r>
          </w:p>
        </w:tc>
      </w:tr>
      <w:tr w:rsidR="007E5D63" w:rsidRPr="006D0B2F" w14:paraId="42D8EDDE" w14:textId="77777777" w:rsidTr="000E29BE">
        <w:trPr>
          <w:jc w:val="center"/>
        </w:trPr>
        <w:tc>
          <w:tcPr>
            <w:tcW w:w="965" w:type="dxa"/>
            <w:vMerge/>
            <w:tcBorders>
              <w:left w:val="single" w:sz="4" w:space="0" w:color="auto"/>
              <w:right w:val="single" w:sz="6" w:space="0" w:color="auto"/>
            </w:tcBorders>
            <w:shd w:val="clear" w:color="auto" w:fill="auto"/>
            <w:vAlign w:val="center"/>
          </w:tcPr>
          <w:p w14:paraId="4CBB6963" w14:textId="77777777" w:rsidR="007E5D63" w:rsidRPr="006D0B2F" w:rsidRDefault="007E5D63" w:rsidP="007E5D63">
            <w:pPr>
              <w:pStyle w:val="TAC"/>
              <w:rPr>
                <w:lang w:eastAsia="zh-CN"/>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4CC6DFE5" w14:textId="77777777" w:rsidR="007E5D63" w:rsidRPr="006D0B2F" w:rsidRDefault="007E5D63" w:rsidP="007E5D63">
            <w:pPr>
              <w:pStyle w:val="TAC"/>
              <w:rPr>
                <w:lang w:eastAsia="zh-CN"/>
              </w:rPr>
            </w:pPr>
          </w:p>
        </w:tc>
        <w:tc>
          <w:tcPr>
            <w:tcW w:w="827" w:type="dxa"/>
            <w:vMerge/>
            <w:tcBorders>
              <w:left w:val="single" w:sz="6" w:space="0" w:color="auto"/>
              <w:right w:val="single" w:sz="6" w:space="0" w:color="auto"/>
            </w:tcBorders>
            <w:shd w:val="clear" w:color="auto" w:fill="auto"/>
            <w:vAlign w:val="center"/>
          </w:tcPr>
          <w:p w14:paraId="0488215F" w14:textId="77777777" w:rsidR="007E5D63" w:rsidRPr="006D0B2F" w:rsidRDefault="007E5D63" w:rsidP="007E5D63">
            <w:pPr>
              <w:pStyle w:val="TAC"/>
              <w:rPr>
                <w:lang w:val="sv-SE"/>
              </w:rPr>
            </w:pPr>
          </w:p>
        </w:tc>
        <w:tc>
          <w:tcPr>
            <w:tcW w:w="1140" w:type="dxa"/>
            <w:vMerge/>
            <w:tcBorders>
              <w:left w:val="single" w:sz="6" w:space="0" w:color="auto"/>
              <w:right w:val="single" w:sz="6" w:space="0" w:color="auto"/>
            </w:tcBorders>
            <w:shd w:val="clear" w:color="auto" w:fill="auto"/>
            <w:vAlign w:val="center"/>
          </w:tcPr>
          <w:p w14:paraId="7574F06E" w14:textId="77777777" w:rsidR="007E5D63" w:rsidRPr="006D0B2F" w:rsidRDefault="007E5D63" w:rsidP="007E5D63">
            <w:pPr>
              <w:pStyle w:val="TAC"/>
              <w:rPr>
                <w:lang w:eastAsia="zh-CN"/>
              </w:rPr>
            </w:pPr>
          </w:p>
        </w:tc>
        <w:tc>
          <w:tcPr>
            <w:tcW w:w="1178" w:type="dxa"/>
            <w:vMerge/>
            <w:tcBorders>
              <w:left w:val="single" w:sz="6" w:space="0" w:color="auto"/>
              <w:right w:val="single" w:sz="6" w:space="0" w:color="auto"/>
            </w:tcBorders>
            <w:shd w:val="clear" w:color="auto" w:fill="auto"/>
            <w:vAlign w:val="center"/>
          </w:tcPr>
          <w:p w14:paraId="2238B1A3" w14:textId="77777777" w:rsidR="007E5D63" w:rsidRPr="006D0B2F" w:rsidRDefault="007E5D63" w:rsidP="007E5D63">
            <w:pPr>
              <w:pStyle w:val="TAC"/>
              <w:rPr>
                <w:lang w:eastAsia="zh-CN"/>
              </w:rPr>
            </w:pP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4036F7C" w14:textId="77777777" w:rsidR="007E5D63" w:rsidRPr="006D0B2F" w:rsidRDefault="007E5D63" w:rsidP="007E5D63">
            <w:pPr>
              <w:pStyle w:val="TAC"/>
              <w:rPr>
                <w:lang w:eastAsia="zh-CN"/>
              </w:rPr>
            </w:pPr>
            <w:r w:rsidRPr="006D0B2F">
              <w:t>Note 4</w:t>
            </w:r>
          </w:p>
        </w:tc>
      </w:tr>
      <w:tr w:rsidR="007E5D63" w:rsidRPr="006D0B2F" w14:paraId="19282433" w14:textId="77777777" w:rsidTr="000E29BE">
        <w:trPr>
          <w:jc w:val="center"/>
        </w:trPr>
        <w:tc>
          <w:tcPr>
            <w:tcW w:w="965" w:type="dxa"/>
            <w:vMerge/>
            <w:tcBorders>
              <w:left w:val="single" w:sz="4" w:space="0" w:color="auto"/>
              <w:bottom w:val="single" w:sz="6" w:space="0" w:color="auto"/>
              <w:right w:val="single" w:sz="6" w:space="0" w:color="auto"/>
            </w:tcBorders>
            <w:shd w:val="clear" w:color="auto" w:fill="auto"/>
            <w:vAlign w:val="center"/>
          </w:tcPr>
          <w:p w14:paraId="172A4760" w14:textId="77777777" w:rsidR="007E5D63" w:rsidRPr="006D0B2F" w:rsidRDefault="007E5D63" w:rsidP="007E5D63">
            <w:pPr>
              <w:pStyle w:val="TAC"/>
            </w:pPr>
          </w:p>
        </w:tc>
        <w:tc>
          <w:tcPr>
            <w:tcW w:w="965" w:type="dxa"/>
            <w:vMerge/>
            <w:tcBorders>
              <w:top w:val="single" w:sz="6" w:space="0" w:color="auto"/>
              <w:left w:val="single" w:sz="4" w:space="0" w:color="auto"/>
              <w:bottom w:val="single" w:sz="4" w:space="0" w:color="auto"/>
              <w:right w:val="single" w:sz="6" w:space="0" w:color="auto"/>
            </w:tcBorders>
            <w:vAlign w:val="center"/>
          </w:tcPr>
          <w:p w14:paraId="4C00ECAA" w14:textId="77777777" w:rsidR="007E5D63" w:rsidRPr="006D0B2F" w:rsidRDefault="007E5D63" w:rsidP="007E5D63">
            <w:pPr>
              <w:pStyle w:val="TAC"/>
              <w:rPr>
                <w:lang w:eastAsia="zh-CN"/>
              </w:rPr>
            </w:pPr>
          </w:p>
        </w:tc>
        <w:tc>
          <w:tcPr>
            <w:tcW w:w="827" w:type="dxa"/>
            <w:vMerge/>
            <w:tcBorders>
              <w:left w:val="single" w:sz="6" w:space="0" w:color="auto"/>
              <w:bottom w:val="single" w:sz="6" w:space="0" w:color="auto"/>
              <w:right w:val="single" w:sz="6" w:space="0" w:color="auto"/>
            </w:tcBorders>
            <w:shd w:val="clear" w:color="auto" w:fill="auto"/>
            <w:vAlign w:val="center"/>
          </w:tcPr>
          <w:p w14:paraId="5A8417D6" w14:textId="77777777" w:rsidR="007E5D63" w:rsidRPr="006D0B2F" w:rsidRDefault="007E5D63" w:rsidP="007E5D63">
            <w:pPr>
              <w:pStyle w:val="TAC"/>
            </w:pPr>
          </w:p>
        </w:tc>
        <w:tc>
          <w:tcPr>
            <w:tcW w:w="1140" w:type="dxa"/>
            <w:vMerge/>
            <w:tcBorders>
              <w:left w:val="single" w:sz="6" w:space="0" w:color="auto"/>
              <w:bottom w:val="single" w:sz="6" w:space="0" w:color="auto"/>
              <w:right w:val="single" w:sz="6" w:space="0" w:color="auto"/>
            </w:tcBorders>
            <w:shd w:val="clear" w:color="auto" w:fill="auto"/>
            <w:vAlign w:val="center"/>
          </w:tcPr>
          <w:p w14:paraId="18936408" w14:textId="77777777" w:rsidR="007E5D63" w:rsidRPr="006D0B2F" w:rsidRDefault="007E5D63" w:rsidP="007E5D63">
            <w:pPr>
              <w:pStyle w:val="TAC"/>
            </w:pPr>
          </w:p>
        </w:tc>
        <w:tc>
          <w:tcPr>
            <w:tcW w:w="1178" w:type="dxa"/>
            <w:vMerge/>
            <w:tcBorders>
              <w:left w:val="single" w:sz="6" w:space="0" w:color="auto"/>
              <w:bottom w:val="single" w:sz="6" w:space="0" w:color="auto"/>
              <w:right w:val="single" w:sz="6" w:space="0" w:color="auto"/>
            </w:tcBorders>
            <w:shd w:val="clear" w:color="auto" w:fill="auto"/>
            <w:vAlign w:val="center"/>
          </w:tcPr>
          <w:p w14:paraId="697140F9" w14:textId="77777777" w:rsidR="007E5D63" w:rsidRPr="006D0B2F" w:rsidRDefault="007E5D63" w:rsidP="007E5D63">
            <w:pPr>
              <w:pStyle w:val="TAC"/>
              <w:rPr>
                <w:lang w:eastAsia="zh-CN"/>
              </w:rPr>
            </w:pP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38D687E5" w14:textId="77777777" w:rsidR="007E5D63" w:rsidRPr="006D0B2F" w:rsidRDefault="007E5D63" w:rsidP="007E5D63">
            <w:pPr>
              <w:pStyle w:val="TAC"/>
              <w:rPr>
                <w:lang w:eastAsia="zh-CN"/>
              </w:rPr>
            </w:pPr>
            <w:r w:rsidRPr="006D0B2F">
              <w:t>Note 4</w:t>
            </w:r>
          </w:p>
        </w:tc>
      </w:tr>
      <w:tr w:rsidR="007E5D63" w:rsidRPr="006D0B2F" w14:paraId="5656505D" w14:textId="77777777" w:rsidTr="007E5D63">
        <w:trPr>
          <w:jc w:val="center"/>
        </w:trPr>
        <w:tc>
          <w:tcPr>
            <w:tcW w:w="965" w:type="dxa"/>
            <w:tcBorders>
              <w:top w:val="single" w:sz="6" w:space="0" w:color="auto"/>
              <w:left w:val="single" w:sz="4" w:space="0" w:color="auto"/>
              <w:bottom w:val="single" w:sz="4" w:space="0" w:color="auto"/>
              <w:right w:val="single" w:sz="6" w:space="0" w:color="auto"/>
            </w:tcBorders>
            <w:shd w:val="clear" w:color="auto" w:fill="auto"/>
            <w:vAlign w:val="center"/>
          </w:tcPr>
          <w:p w14:paraId="3401815C" w14:textId="3BDF60DB" w:rsidR="007E5D63" w:rsidRPr="006D0B2F" w:rsidRDefault="007E5D63" w:rsidP="007E5D63">
            <w:pPr>
              <w:pStyle w:val="TAC"/>
              <w:rPr>
                <w:lang w:eastAsia="zh-CN"/>
              </w:rPr>
            </w:pPr>
            <w:r w:rsidRPr="006D0B2F">
              <w:rPr>
                <w:rFonts w:hint="eastAsia"/>
                <w:lang w:eastAsia="zh-CN"/>
              </w:rPr>
              <w:t>±</w:t>
            </w:r>
            <w:r>
              <w:rPr>
                <w:lang w:eastAsia="zh-CN"/>
              </w:rPr>
              <w:t>9.5</w:t>
            </w:r>
          </w:p>
        </w:tc>
        <w:tc>
          <w:tcPr>
            <w:tcW w:w="965" w:type="dxa"/>
            <w:tcBorders>
              <w:top w:val="single" w:sz="4" w:space="0" w:color="auto"/>
              <w:left w:val="single" w:sz="4" w:space="0" w:color="auto"/>
              <w:bottom w:val="single" w:sz="4" w:space="0" w:color="auto"/>
              <w:right w:val="single" w:sz="4" w:space="0" w:color="auto"/>
            </w:tcBorders>
            <w:vAlign w:val="center"/>
          </w:tcPr>
          <w:p w14:paraId="38CC6F2E" w14:textId="53B76F09" w:rsidR="007E5D63" w:rsidRPr="006D0B2F" w:rsidRDefault="007E5D63" w:rsidP="007E5D63">
            <w:pPr>
              <w:pStyle w:val="TAC"/>
              <w:rPr>
                <w:lang w:eastAsia="zh-CN"/>
              </w:rPr>
            </w:pPr>
            <w:r>
              <w:rPr>
                <w:rFonts w:cs="Arial" w:hint="eastAsia"/>
                <w:lang w:eastAsia="zh-CN"/>
              </w:rPr>
              <w:t>±</w:t>
            </w:r>
            <w:r>
              <w:rPr>
                <w:rFonts w:cs="Arial"/>
                <w:lang w:eastAsia="zh-CN"/>
              </w:rPr>
              <w:t>11.0</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15D1F980" w14:textId="77777777" w:rsidR="007E5D63" w:rsidRPr="006D0B2F" w:rsidRDefault="007E5D63" w:rsidP="007E5D63">
            <w:pPr>
              <w:pStyle w:val="TAC"/>
              <w:rPr>
                <w:lang w:eastAsia="zh-CN"/>
              </w:rPr>
            </w:pPr>
            <w:r w:rsidRPr="006D0B2F">
              <w:t>≥-</w:t>
            </w:r>
            <w:r w:rsidRPr="006D0B2F">
              <w:rPr>
                <w:rFonts w:hint="eastAsia"/>
                <w:lang w:eastAsia="zh-CN"/>
              </w:rPr>
              <w:t>13</w:t>
            </w:r>
            <w:r w:rsidRPr="006D0B2F">
              <w:t>dB</w:t>
            </w: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335D6969" w14:textId="77777777" w:rsidR="007E5D63" w:rsidRPr="006D0B2F" w:rsidRDefault="007E5D63" w:rsidP="007E5D63">
            <w:pPr>
              <w:pStyle w:val="TAC"/>
            </w:pPr>
            <w:r w:rsidRPr="006D0B2F">
              <w:rPr>
                <w:lang w:eastAsia="zh-CN"/>
              </w:rPr>
              <w:t>24 ≤ BW ≤ 52</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21A1A6AE" w14:textId="77777777" w:rsidR="007E5D63" w:rsidRPr="006D0B2F" w:rsidRDefault="007E5D63" w:rsidP="007E5D63">
            <w:pPr>
              <w:pStyle w:val="TAC"/>
              <w:rPr>
                <w:lang w:eastAsia="zh-CN"/>
              </w:rPr>
            </w:pPr>
            <w:r w:rsidRPr="006D0B2F">
              <w:rPr>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1842A44" w14:textId="77777777" w:rsidR="007E5D63" w:rsidRPr="006D0B2F" w:rsidRDefault="007E5D63" w:rsidP="007E5D63">
            <w:pPr>
              <w:pStyle w:val="TAC"/>
            </w:pPr>
            <w:r w:rsidRPr="006D0B2F">
              <w:t>Note 4</w:t>
            </w:r>
          </w:p>
        </w:tc>
      </w:tr>
      <w:tr w:rsidR="007E5D63" w:rsidRPr="006D0B2F" w14:paraId="0D42CCE4" w14:textId="77777777" w:rsidTr="007E5D63">
        <w:trPr>
          <w:jc w:val="center"/>
        </w:trPr>
        <w:tc>
          <w:tcPr>
            <w:tcW w:w="965" w:type="dxa"/>
            <w:tcBorders>
              <w:top w:val="single" w:sz="4" w:space="0" w:color="auto"/>
              <w:left w:val="single" w:sz="4" w:space="0" w:color="auto"/>
              <w:bottom w:val="single" w:sz="4" w:space="0" w:color="auto"/>
              <w:right w:val="single" w:sz="6" w:space="0" w:color="auto"/>
            </w:tcBorders>
            <w:shd w:val="clear" w:color="auto" w:fill="auto"/>
            <w:vAlign w:val="center"/>
          </w:tcPr>
          <w:p w14:paraId="4855DB92" w14:textId="38F2424F" w:rsidR="007E5D63" w:rsidRPr="006D0B2F" w:rsidRDefault="007E5D63" w:rsidP="007E5D63">
            <w:pPr>
              <w:pStyle w:val="TAC"/>
              <w:rPr>
                <w:lang w:eastAsia="zh-CN"/>
              </w:rPr>
            </w:pPr>
            <w:bookmarkStart w:id="15" w:name="OLE_LINK14"/>
            <w:bookmarkStart w:id="16" w:name="OLE_LINK15"/>
            <w:r w:rsidRPr="006D0B2F">
              <w:rPr>
                <w:rFonts w:hint="eastAsia"/>
                <w:lang w:eastAsia="zh-CN"/>
              </w:rPr>
              <w:t>±</w:t>
            </w:r>
            <w:r>
              <w:rPr>
                <w:lang w:eastAsia="zh-CN"/>
              </w:rPr>
              <w:t>6.5</w:t>
            </w:r>
            <w:bookmarkEnd w:id="15"/>
            <w:bookmarkEnd w:id="16"/>
          </w:p>
        </w:tc>
        <w:tc>
          <w:tcPr>
            <w:tcW w:w="965" w:type="dxa"/>
            <w:tcBorders>
              <w:top w:val="single" w:sz="4" w:space="0" w:color="auto"/>
              <w:left w:val="single" w:sz="4" w:space="0" w:color="auto"/>
              <w:bottom w:val="single" w:sz="4" w:space="0" w:color="auto"/>
              <w:right w:val="single" w:sz="4" w:space="0" w:color="auto"/>
            </w:tcBorders>
            <w:vAlign w:val="center"/>
          </w:tcPr>
          <w:p w14:paraId="20D55D70" w14:textId="670BD8E9" w:rsidR="007E5D63" w:rsidRPr="006D0B2F" w:rsidRDefault="007E5D63" w:rsidP="007E5D63">
            <w:pPr>
              <w:pStyle w:val="TAC"/>
              <w:rPr>
                <w:lang w:eastAsia="zh-CN"/>
              </w:rPr>
            </w:pPr>
            <w:r>
              <w:rPr>
                <w:rFonts w:cs="Arial" w:hint="eastAsia"/>
                <w:lang w:eastAsia="zh-CN"/>
              </w:rPr>
              <w:t>±</w:t>
            </w:r>
            <w:r>
              <w:rPr>
                <w:rFonts w:cs="Arial"/>
                <w:lang w:eastAsia="zh-CN"/>
              </w:rPr>
              <w:t>8.0</w:t>
            </w:r>
          </w:p>
        </w:tc>
        <w:tc>
          <w:tcPr>
            <w:tcW w:w="827" w:type="dxa"/>
            <w:vMerge/>
            <w:tcBorders>
              <w:left w:val="single" w:sz="6" w:space="0" w:color="auto"/>
              <w:right w:val="single" w:sz="6" w:space="0" w:color="auto"/>
            </w:tcBorders>
            <w:shd w:val="clear" w:color="auto" w:fill="auto"/>
            <w:vAlign w:val="center"/>
          </w:tcPr>
          <w:p w14:paraId="346E4CA8" w14:textId="77777777" w:rsidR="007E5D63" w:rsidRPr="006D0B2F" w:rsidRDefault="007E5D63" w:rsidP="007E5D63">
            <w:pPr>
              <w:pStyle w:val="TAC"/>
            </w:pP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067FA100" w14:textId="77777777" w:rsidR="007E5D63" w:rsidRPr="006D0B2F" w:rsidRDefault="007E5D63" w:rsidP="007E5D63">
            <w:pPr>
              <w:pStyle w:val="TAC"/>
            </w:pPr>
            <w:r w:rsidRPr="006D0B2F">
              <w:rPr>
                <w:lang w:eastAsia="zh-CN"/>
              </w:rPr>
              <w:t>52&lt; BW≤ 104</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695039EA" w14:textId="77777777" w:rsidR="007E5D63" w:rsidRPr="006D0B2F" w:rsidRDefault="007E5D63" w:rsidP="007E5D63">
            <w:pPr>
              <w:pStyle w:val="TAC"/>
              <w:rPr>
                <w:lang w:eastAsia="zh-CN"/>
              </w:rPr>
            </w:pPr>
            <w:r w:rsidRPr="006D0B2F">
              <w:rPr>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45CAB9B2" w14:textId="77777777" w:rsidR="007E5D63" w:rsidRPr="006D0B2F" w:rsidRDefault="007E5D63" w:rsidP="007E5D63">
            <w:pPr>
              <w:pStyle w:val="TAC"/>
            </w:pPr>
            <w:r w:rsidRPr="006D0B2F">
              <w:t>Note 4</w:t>
            </w:r>
          </w:p>
        </w:tc>
      </w:tr>
      <w:tr w:rsidR="007E5D63" w:rsidRPr="006D0B2F" w14:paraId="77FB1438" w14:textId="77777777" w:rsidTr="007E5D63">
        <w:trPr>
          <w:jc w:val="center"/>
        </w:trPr>
        <w:tc>
          <w:tcPr>
            <w:tcW w:w="965" w:type="dxa"/>
            <w:tcBorders>
              <w:top w:val="single" w:sz="4" w:space="0" w:color="auto"/>
              <w:left w:val="single" w:sz="4" w:space="0" w:color="auto"/>
              <w:bottom w:val="single" w:sz="6" w:space="0" w:color="auto"/>
              <w:right w:val="single" w:sz="6" w:space="0" w:color="auto"/>
            </w:tcBorders>
            <w:shd w:val="clear" w:color="auto" w:fill="auto"/>
            <w:vAlign w:val="center"/>
          </w:tcPr>
          <w:p w14:paraId="56BAF788" w14:textId="789D35E2" w:rsidR="007E5D63" w:rsidRPr="006D0B2F" w:rsidRDefault="007E5D63" w:rsidP="007E5D63">
            <w:pPr>
              <w:pStyle w:val="TAC"/>
              <w:rPr>
                <w:lang w:eastAsia="zh-CN"/>
              </w:rPr>
            </w:pPr>
            <w:r w:rsidRPr="006D0B2F">
              <w:rPr>
                <w:rFonts w:hint="eastAsia"/>
                <w:lang w:eastAsia="zh-CN"/>
              </w:rPr>
              <w:t>±</w:t>
            </w:r>
            <w:r>
              <w:rPr>
                <w:lang w:eastAsia="zh-CN"/>
              </w:rPr>
              <w:t>5.0</w:t>
            </w:r>
          </w:p>
        </w:tc>
        <w:tc>
          <w:tcPr>
            <w:tcW w:w="965" w:type="dxa"/>
            <w:tcBorders>
              <w:top w:val="single" w:sz="4" w:space="0" w:color="auto"/>
              <w:left w:val="single" w:sz="4" w:space="0" w:color="auto"/>
              <w:bottom w:val="single" w:sz="4" w:space="0" w:color="auto"/>
              <w:right w:val="single" w:sz="4" w:space="0" w:color="auto"/>
            </w:tcBorders>
            <w:vAlign w:val="center"/>
          </w:tcPr>
          <w:p w14:paraId="5DB6F8CB" w14:textId="4C8D5EA7" w:rsidR="007E5D63" w:rsidRPr="006D0B2F" w:rsidRDefault="007E5D63" w:rsidP="007E5D63">
            <w:pPr>
              <w:pStyle w:val="TAC"/>
              <w:rPr>
                <w:lang w:eastAsia="zh-CN"/>
              </w:rPr>
            </w:pPr>
            <w:r>
              <w:rPr>
                <w:rFonts w:cs="Arial" w:hint="eastAsia"/>
                <w:lang w:eastAsia="zh-CN"/>
              </w:rPr>
              <w:t>±</w:t>
            </w:r>
            <w:r>
              <w:rPr>
                <w:rFonts w:cs="Arial"/>
                <w:lang w:eastAsia="zh-CN"/>
              </w:rPr>
              <w:t>6.5</w:t>
            </w:r>
          </w:p>
        </w:tc>
        <w:tc>
          <w:tcPr>
            <w:tcW w:w="827" w:type="dxa"/>
            <w:vMerge/>
            <w:tcBorders>
              <w:left w:val="single" w:sz="6" w:space="0" w:color="auto"/>
              <w:bottom w:val="single" w:sz="6" w:space="0" w:color="auto"/>
              <w:right w:val="single" w:sz="6" w:space="0" w:color="auto"/>
            </w:tcBorders>
            <w:shd w:val="clear" w:color="auto" w:fill="auto"/>
            <w:vAlign w:val="center"/>
          </w:tcPr>
          <w:p w14:paraId="4F735C29" w14:textId="77777777" w:rsidR="007E5D63" w:rsidRPr="006D0B2F" w:rsidRDefault="007E5D63" w:rsidP="007E5D63">
            <w:pPr>
              <w:pStyle w:val="TAC"/>
            </w:pP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17A377A0" w14:textId="77777777" w:rsidR="007E5D63" w:rsidRPr="006D0B2F" w:rsidRDefault="007E5D63" w:rsidP="007E5D63">
            <w:pPr>
              <w:pStyle w:val="TAC"/>
            </w:pPr>
            <w:r w:rsidRPr="006D0B2F">
              <w:rPr>
                <w:lang w:eastAsia="zh-CN"/>
              </w:rPr>
              <w:t>BW &gt;104</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7530E9B9" w14:textId="77777777" w:rsidR="007E5D63" w:rsidRPr="006D0B2F" w:rsidRDefault="007E5D63" w:rsidP="007E5D63">
            <w:pPr>
              <w:pStyle w:val="TAC"/>
              <w:rPr>
                <w:lang w:eastAsia="zh-CN"/>
              </w:rPr>
            </w:pPr>
            <w:r w:rsidRPr="006D0B2F">
              <w:rPr>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0834BAD" w14:textId="77777777" w:rsidR="007E5D63" w:rsidRPr="006D0B2F" w:rsidRDefault="007E5D63" w:rsidP="007E5D63">
            <w:pPr>
              <w:pStyle w:val="TAC"/>
            </w:pPr>
            <w:r w:rsidRPr="006D0B2F">
              <w:t>Note 4</w:t>
            </w:r>
          </w:p>
        </w:tc>
      </w:tr>
      <w:tr w:rsidR="00B0469F" w:rsidRPr="006D0B2F" w14:paraId="45B0827D" w14:textId="77777777" w:rsidTr="00B0469F">
        <w:trPr>
          <w:jc w:val="center"/>
        </w:trPr>
        <w:tc>
          <w:tcPr>
            <w:tcW w:w="11052" w:type="dxa"/>
            <w:gridSpan w:val="10"/>
            <w:tcBorders>
              <w:top w:val="single" w:sz="6" w:space="0" w:color="auto"/>
              <w:left w:val="single" w:sz="4" w:space="0" w:color="auto"/>
              <w:bottom w:val="single" w:sz="4" w:space="0" w:color="auto"/>
              <w:right w:val="single" w:sz="4" w:space="0" w:color="auto"/>
            </w:tcBorders>
          </w:tcPr>
          <w:p w14:paraId="7643A998" w14:textId="77777777" w:rsidR="00B0469F" w:rsidRPr="006D0B2F" w:rsidRDefault="00B0469F" w:rsidP="00F37389">
            <w:pPr>
              <w:pStyle w:val="TAN"/>
            </w:pPr>
            <w:r w:rsidRPr="006D0B2F">
              <w:t>N</w:t>
            </w:r>
            <w:r w:rsidRPr="006D0B2F">
              <w:rPr>
                <w:lang w:eastAsia="zh-CN"/>
              </w:rPr>
              <w:t>OTE</w:t>
            </w:r>
            <w:r w:rsidRPr="006D0B2F">
              <w:t xml:space="preserve"> 1:</w:t>
            </w:r>
            <w:r w:rsidRPr="006D0B2F">
              <w:tab/>
              <w:t>This minimum Io condition is expressed as the average Io per RE over all REs in an OFDM symbol.</w:t>
            </w:r>
          </w:p>
          <w:p w14:paraId="1CCE12CC" w14:textId="77777777" w:rsidR="00B0469F" w:rsidRPr="006D0B2F" w:rsidRDefault="00B0469F" w:rsidP="00F37389">
            <w:pPr>
              <w:pStyle w:val="TAN"/>
            </w:pPr>
            <w:r w:rsidRPr="006D0B2F">
              <w:t>N</w:t>
            </w:r>
            <w:r w:rsidRPr="006D0B2F">
              <w:rPr>
                <w:lang w:eastAsia="zh-CN"/>
              </w:rPr>
              <w:t>OTE</w:t>
            </w:r>
            <w:r w:rsidRPr="006D0B2F">
              <w:t xml:space="preserve"> 2:</w:t>
            </w:r>
            <w:r w:rsidRPr="006D0B2F">
              <w:tab/>
            </w:r>
            <w:r w:rsidRPr="006D0B2F">
              <w:rPr>
                <w:rFonts w:hint="eastAsia"/>
                <w:lang w:eastAsia="zh-CN"/>
              </w:rPr>
              <w:t>Void</w:t>
            </w:r>
            <w:r w:rsidRPr="006D0B2F">
              <w:t>.</w:t>
            </w:r>
          </w:p>
          <w:p w14:paraId="28B3E936" w14:textId="77777777" w:rsidR="00B0469F" w:rsidRPr="006D0B2F" w:rsidRDefault="00B0469F" w:rsidP="00F37389">
            <w:pPr>
              <w:pStyle w:val="TAN"/>
              <w:rPr>
                <w:rFonts w:cs="v4.2.0"/>
              </w:rPr>
            </w:pPr>
            <w:r w:rsidRPr="006D0B2F">
              <w:rPr>
                <w:rFonts w:cs="v4.2.0"/>
              </w:rPr>
              <w:t>N</w:t>
            </w:r>
            <w:r w:rsidRPr="006D0B2F">
              <w:rPr>
                <w:lang w:eastAsia="zh-CN"/>
              </w:rPr>
              <w:t>OTE</w:t>
            </w:r>
            <w:r w:rsidRPr="006D0B2F">
              <w:rPr>
                <w:rFonts w:cs="v4.2.0"/>
              </w:rPr>
              <w:t xml:space="preserve"> 3:</w:t>
            </w:r>
            <w:r w:rsidRPr="006D0B2F">
              <w:rPr>
                <w:rFonts w:cs="v4.2.0"/>
              </w:rPr>
              <w:tab/>
              <w:t xml:space="preserve">PRS bandwidth is as indicated in </w:t>
            </w:r>
            <w:r w:rsidRPr="006D0B2F">
              <w:rPr>
                <w:i/>
              </w:rPr>
              <w:t>prs-Bandwidth</w:t>
            </w:r>
            <w:r w:rsidRPr="006D0B2F">
              <w:t xml:space="preserve"> </w:t>
            </w:r>
            <w:r w:rsidRPr="006D0B2F">
              <w:rPr>
                <w:rFonts w:cs="v4.2.0"/>
              </w:rPr>
              <w:t xml:space="preserve">in the OTDOA </w:t>
            </w:r>
            <w:r w:rsidRPr="006D0B2F">
              <w:rPr>
                <w:rFonts w:cs="v4.2.0" w:hint="eastAsia"/>
                <w:lang w:eastAsia="zh-CN"/>
              </w:rPr>
              <w:t>or DL-AoD</w:t>
            </w:r>
            <w:r w:rsidRPr="006D0B2F">
              <w:rPr>
                <w:rFonts w:cs="v4.2.0"/>
              </w:rPr>
              <w:t xml:space="preserve"> assistance data defined in [</w:t>
            </w:r>
            <w:r w:rsidRPr="006D0B2F">
              <w:rPr>
                <w:rFonts w:cs="v4.2.0" w:hint="eastAsia"/>
                <w:lang w:eastAsia="zh-CN"/>
              </w:rPr>
              <w:t>3</w:t>
            </w:r>
            <w:r w:rsidRPr="006D0B2F">
              <w:rPr>
                <w:rFonts w:cs="v4.2.0"/>
              </w:rPr>
              <w:t>4].</w:t>
            </w:r>
          </w:p>
          <w:p w14:paraId="190692F0" w14:textId="6B8D0829" w:rsidR="00B0469F" w:rsidRPr="006D0B2F" w:rsidRDefault="00B0469F" w:rsidP="00F37389">
            <w:pPr>
              <w:pStyle w:val="TAN"/>
            </w:pPr>
            <w:r w:rsidRPr="006D0B2F">
              <w:t>N</w:t>
            </w:r>
            <w:r w:rsidRPr="006D0B2F">
              <w:rPr>
                <w:lang w:eastAsia="zh-CN"/>
              </w:rPr>
              <w:t>OTE</w:t>
            </w:r>
            <w:r w:rsidRPr="006D0B2F">
              <w:t xml:space="preserve"> 4:</w:t>
            </w:r>
            <w:r w:rsidRPr="006D0B2F">
              <w:tab/>
              <w:t xml:space="preserve">The same bands and the same Io conditions for each band apply for this requirement as for the corresponding requirement </w:t>
            </w:r>
            <w:r w:rsidR="00775717">
              <w:t xml:space="preserve">with the PRS bandwidth ≥ </w:t>
            </w:r>
            <w:r w:rsidR="00775717" w:rsidRPr="00F830CA">
              <w:rPr>
                <w:lang w:eastAsia="zh-CN"/>
              </w:rPr>
              <w:t>24</w:t>
            </w:r>
            <w:r w:rsidR="00775717">
              <w:t xml:space="preserve"> RB.</w:t>
            </w:r>
          </w:p>
          <w:p w14:paraId="2C3FBE41" w14:textId="77777777" w:rsidR="00B0469F" w:rsidRPr="006D0B2F" w:rsidRDefault="00B0469F" w:rsidP="00F37389">
            <w:pPr>
              <w:pStyle w:val="TAN"/>
            </w:pPr>
            <w:r w:rsidRPr="006D0B2F">
              <w:t>NOTE 5:</w:t>
            </w:r>
            <w:r w:rsidRPr="006D0B2F">
              <w:tab/>
              <w:t>The serving cell, the reference cell, and the measured neighbour cell i are on the same carrier frequency.</w:t>
            </w:r>
          </w:p>
          <w:p w14:paraId="24729EE1" w14:textId="77777777" w:rsidR="00B0469F" w:rsidRPr="006D0B2F" w:rsidRDefault="00B0469F" w:rsidP="00F37389">
            <w:pPr>
              <w:pStyle w:val="TAN"/>
            </w:pPr>
            <w:r w:rsidRPr="006D0B2F">
              <w:t>NOTE 6:</w:t>
            </w:r>
            <w:r w:rsidRPr="006D0B2F">
              <w:tab/>
              <w:t>The condition level is increased by ∆&gt;0, when applicable, as described in Sections B.</w:t>
            </w:r>
            <w:r w:rsidRPr="006D0B2F">
              <w:rPr>
                <w:rFonts w:hint="eastAsia"/>
                <w:lang w:eastAsia="zh-CN"/>
              </w:rPr>
              <w:t>3</w:t>
            </w:r>
            <w:r w:rsidRPr="006D0B2F">
              <w:t>.</w:t>
            </w:r>
            <w:r w:rsidRPr="006D0B2F">
              <w:rPr>
                <w:rFonts w:hint="eastAsia"/>
                <w:lang w:eastAsia="zh-CN"/>
              </w:rPr>
              <w:t>2</w:t>
            </w:r>
            <w:r w:rsidRPr="006D0B2F">
              <w:t xml:space="preserve"> and B.</w:t>
            </w:r>
            <w:r w:rsidRPr="006D0B2F">
              <w:rPr>
                <w:rFonts w:hint="eastAsia"/>
                <w:lang w:eastAsia="zh-CN"/>
              </w:rPr>
              <w:t>3</w:t>
            </w:r>
            <w:r w:rsidRPr="006D0B2F">
              <w:t>.</w:t>
            </w:r>
            <w:r w:rsidRPr="006D0B2F">
              <w:rPr>
                <w:rFonts w:hint="eastAsia"/>
                <w:lang w:eastAsia="zh-CN"/>
              </w:rPr>
              <w:t>3</w:t>
            </w:r>
            <w:r w:rsidRPr="006D0B2F">
              <w:t>.</w:t>
            </w:r>
          </w:p>
          <w:p w14:paraId="5C45DA5B" w14:textId="77777777" w:rsidR="00B0469F" w:rsidRPr="006D0B2F" w:rsidRDefault="00B0469F" w:rsidP="00F37389">
            <w:pPr>
              <w:pStyle w:val="TAN"/>
            </w:pPr>
            <w:r w:rsidRPr="006D0B2F">
              <w:t>NOTE 7:</w:t>
            </w:r>
            <w:r w:rsidRPr="006D0B2F">
              <w:tab/>
              <w:t>The Io is defined in PRS positioning subframes. The same Io range applies to PRS and non-PRS symbols. Io levels are different in PRS and non-PRS symbols within the same subframe.</w:t>
            </w:r>
          </w:p>
          <w:p w14:paraId="0CB2E2B9" w14:textId="478FC4A5" w:rsidR="00B0469F" w:rsidRPr="006D0B2F" w:rsidRDefault="00B0469F" w:rsidP="00AD57C0">
            <w:pPr>
              <w:pStyle w:val="TAN"/>
              <w:rPr>
                <w:lang w:eastAsia="zh-CN"/>
              </w:rPr>
            </w:pPr>
            <w:r w:rsidRPr="006D0B2F">
              <w:t>NOTE 8:</w:t>
            </w:r>
            <w:r w:rsidRPr="006D0B2F">
              <w:tab/>
            </w:r>
            <w:r w:rsidRPr="006D0B2F">
              <w:rPr>
                <w:rFonts w:hint="eastAsia"/>
                <w:lang w:eastAsia="zh-CN"/>
              </w:rPr>
              <w:t>NR</w:t>
            </w:r>
            <w:r w:rsidRPr="006D0B2F">
              <w:t xml:space="preserve"> operating band groups are as defined in Section 3.5</w:t>
            </w:r>
            <w:r w:rsidRPr="006D0B2F">
              <w:rPr>
                <w:rFonts w:hint="eastAsia"/>
                <w:lang w:eastAsia="zh-CN"/>
              </w:rPr>
              <w:t>.2</w:t>
            </w:r>
            <w:r w:rsidRPr="006D0B2F">
              <w:t>.</w:t>
            </w:r>
            <w:r w:rsidRPr="006D0B2F">
              <w:rPr>
                <w:rFonts w:hint="eastAsia"/>
                <w:lang w:eastAsia="zh-CN"/>
              </w:rPr>
              <w:t xml:space="preserve"> </w:t>
            </w:r>
          </w:p>
        </w:tc>
      </w:tr>
    </w:tbl>
    <w:p w14:paraId="1F8AC07E" w14:textId="77777777" w:rsidR="00B0469F" w:rsidRPr="006D0B2F" w:rsidRDefault="00B0469F" w:rsidP="00B0469F">
      <w:pPr>
        <w:rPr>
          <w:rFonts w:eastAsiaTheme="minorEastAsia"/>
          <w:lang w:eastAsia="zh-CN"/>
        </w:rPr>
      </w:pPr>
    </w:p>
    <w:p w14:paraId="29075567" w14:textId="77777777" w:rsidR="00B0469F" w:rsidRPr="006D0B2F" w:rsidRDefault="00B0469F" w:rsidP="00F37389">
      <w:pPr>
        <w:pStyle w:val="TH"/>
        <w:rPr>
          <w:lang w:eastAsia="zh-CN"/>
        </w:rPr>
      </w:pPr>
      <w:r w:rsidRPr="006D0B2F">
        <w:t xml:space="preserve">Table </w:t>
      </w:r>
      <w:r w:rsidRPr="006D0B2F">
        <w:rPr>
          <w:rFonts w:cs="v4.2.0"/>
        </w:rPr>
        <w:t>10.1.24.2</w:t>
      </w:r>
      <w:r w:rsidRPr="006D0B2F">
        <w:rPr>
          <w:rFonts w:cs="v4.2.0" w:hint="eastAsia"/>
          <w:lang w:eastAsia="zh-CN"/>
        </w:rPr>
        <w:t>.2</w:t>
      </w:r>
      <w:r w:rsidRPr="006D0B2F">
        <w:rPr>
          <w:rFonts w:cs="v4.2.0"/>
        </w:rPr>
        <w:t>-</w:t>
      </w:r>
      <w:r w:rsidRPr="006D0B2F">
        <w:rPr>
          <w:rFonts w:cs="v4.2.0" w:hint="eastAsia"/>
          <w:lang w:eastAsia="zh-CN"/>
        </w:rPr>
        <w:t>2</w:t>
      </w:r>
      <w:r w:rsidRPr="006D0B2F">
        <w:t>: PRS</w:t>
      </w:r>
      <w:r w:rsidRPr="006D0B2F">
        <w:rPr>
          <w:rFonts w:hint="eastAsia"/>
          <w:lang w:eastAsia="zh-CN"/>
        </w:rPr>
        <w:t>-</w:t>
      </w:r>
      <w:r w:rsidRPr="006D0B2F">
        <w:t>RSRP</w:t>
      </w:r>
      <w:r w:rsidRPr="006D0B2F">
        <w:rPr>
          <w:rFonts w:hint="eastAsia"/>
          <w:lang w:eastAsia="zh-CN"/>
        </w:rPr>
        <w:t xml:space="preserve"> relative </w:t>
      </w:r>
      <w:r w:rsidRPr="006D0B2F">
        <w:t>accuracy</w:t>
      </w:r>
      <w:r w:rsidRPr="006D0B2F">
        <w:rPr>
          <w:rFonts w:hint="eastAsia"/>
          <w:lang w:eastAsia="zh-CN"/>
        </w:rPr>
        <w:t xml:space="preserve"> for FR2</w:t>
      </w:r>
    </w:p>
    <w:tbl>
      <w:tblPr>
        <w:tblW w:w="9855" w:type="dxa"/>
        <w:jc w:val="center"/>
        <w:tblLayout w:type="fixed"/>
        <w:tblLook w:val="01E0" w:firstRow="1" w:lastRow="1" w:firstColumn="1" w:lastColumn="1" w:noHBand="0" w:noVBand="0"/>
      </w:tblPr>
      <w:tblGrid>
        <w:gridCol w:w="1046"/>
        <w:gridCol w:w="1049"/>
        <w:gridCol w:w="907"/>
        <w:gridCol w:w="1568"/>
        <w:gridCol w:w="1487"/>
        <w:gridCol w:w="1260"/>
        <w:gridCol w:w="1260"/>
        <w:gridCol w:w="1278"/>
      </w:tblGrid>
      <w:tr w:rsidR="00B0469F" w:rsidRPr="006D0B2F" w14:paraId="28448642" w14:textId="77777777" w:rsidTr="003D5855">
        <w:trPr>
          <w:jc w:val="center"/>
        </w:trPr>
        <w:tc>
          <w:tcPr>
            <w:tcW w:w="2095" w:type="dxa"/>
            <w:gridSpan w:val="2"/>
            <w:tcBorders>
              <w:top w:val="single" w:sz="4" w:space="0" w:color="auto"/>
              <w:left w:val="single" w:sz="4" w:space="0" w:color="auto"/>
              <w:right w:val="single" w:sz="6" w:space="0" w:color="auto"/>
            </w:tcBorders>
            <w:shd w:val="clear" w:color="auto" w:fill="auto"/>
            <w:vAlign w:val="center"/>
          </w:tcPr>
          <w:p w14:paraId="196409AA" w14:textId="77777777" w:rsidR="00B0469F" w:rsidRPr="006D0B2F" w:rsidRDefault="00B0469F" w:rsidP="00F37389">
            <w:pPr>
              <w:pStyle w:val="TAH"/>
            </w:pPr>
            <w:r w:rsidRPr="006D0B2F">
              <w:t>Accuracy</w:t>
            </w:r>
          </w:p>
        </w:tc>
        <w:tc>
          <w:tcPr>
            <w:tcW w:w="7760" w:type="dxa"/>
            <w:gridSpan w:val="6"/>
            <w:tcBorders>
              <w:top w:val="single" w:sz="4" w:space="0" w:color="auto"/>
              <w:left w:val="single" w:sz="6" w:space="0" w:color="auto"/>
              <w:bottom w:val="single" w:sz="6" w:space="0" w:color="auto"/>
              <w:right w:val="single" w:sz="4" w:space="0" w:color="auto"/>
            </w:tcBorders>
            <w:vAlign w:val="center"/>
          </w:tcPr>
          <w:p w14:paraId="2DD38FE8" w14:textId="77777777" w:rsidR="00B0469F" w:rsidRPr="006D0B2F" w:rsidRDefault="00B0469F" w:rsidP="00F37389">
            <w:pPr>
              <w:pStyle w:val="TAH"/>
            </w:pPr>
            <w:r w:rsidRPr="006D0B2F">
              <w:t>Conditions</w:t>
            </w:r>
          </w:p>
        </w:tc>
      </w:tr>
      <w:tr w:rsidR="00B0469F" w:rsidRPr="006D0B2F" w14:paraId="66F59341" w14:textId="77777777" w:rsidTr="003D5855">
        <w:trPr>
          <w:jc w:val="center"/>
        </w:trPr>
        <w:tc>
          <w:tcPr>
            <w:tcW w:w="1046" w:type="dxa"/>
            <w:vMerge w:val="restart"/>
            <w:tcBorders>
              <w:left w:val="single" w:sz="4" w:space="0" w:color="auto"/>
              <w:right w:val="single" w:sz="6" w:space="0" w:color="auto"/>
            </w:tcBorders>
            <w:shd w:val="clear" w:color="auto" w:fill="auto"/>
            <w:vAlign w:val="center"/>
          </w:tcPr>
          <w:p w14:paraId="67DF56AF" w14:textId="77777777" w:rsidR="00B0469F" w:rsidRPr="006D0B2F" w:rsidRDefault="00B0469F" w:rsidP="00F37389">
            <w:pPr>
              <w:pStyle w:val="TAH"/>
              <w:rPr>
                <w:lang w:eastAsia="zh-CN"/>
              </w:rPr>
            </w:pPr>
            <w:r w:rsidRPr="006D0B2F">
              <w:rPr>
                <w:lang w:eastAsia="zh-CN"/>
              </w:rPr>
              <w:t>N</w:t>
            </w:r>
            <w:r w:rsidRPr="006D0B2F">
              <w:rPr>
                <w:rFonts w:hint="eastAsia"/>
                <w:lang w:eastAsia="zh-CN"/>
              </w:rPr>
              <w:t>ormal condition</w:t>
            </w:r>
          </w:p>
        </w:tc>
        <w:tc>
          <w:tcPr>
            <w:tcW w:w="1049" w:type="dxa"/>
            <w:vMerge w:val="restart"/>
            <w:tcBorders>
              <w:left w:val="single" w:sz="4" w:space="0" w:color="auto"/>
              <w:right w:val="single" w:sz="6" w:space="0" w:color="auto"/>
            </w:tcBorders>
            <w:shd w:val="clear" w:color="auto" w:fill="auto"/>
            <w:vAlign w:val="center"/>
          </w:tcPr>
          <w:p w14:paraId="7E0D6710" w14:textId="77777777" w:rsidR="00B0469F" w:rsidRPr="006D0B2F" w:rsidRDefault="00B0469F" w:rsidP="00F37389">
            <w:pPr>
              <w:pStyle w:val="TAH"/>
              <w:rPr>
                <w:lang w:eastAsia="zh-CN"/>
              </w:rPr>
            </w:pPr>
            <w:r w:rsidRPr="006D0B2F">
              <w:rPr>
                <w:lang w:eastAsia="zh-CN"/>
              </w:rPr>
              <w:t>E</w:t>
            </w:r>
            <w:r w:rsidRPr="006D0B2F">
              <w:rPr>
                <w:rFonts w:hint="eastAsia"/>
                <w:lang w:eastAsia="zh-CN"/>
              </w:rPr>
              <w:t>xtreme condition</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6337DBCD" w14:textId="77777777" w:rsidR="00B0469F" w:rsidRPr="006D0B2F" w:rsidRDefault="00B0469F" w:rsidP="00F37389">
            <w:pPr>
              <w:pStyle w:val="TAH"/>
            </w:pPr>
            <w:r w:rsidRPr="006D0B2F">
              <w:t>PRS Ês/Iot</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70F84593" w14:textId="77777777" w:rsidR="00B0469F" w:rsidRPr="006D0B2F" w:rsidRDefault="00B0469F" w:rsidP="00F37389">
            <w:pPr>
              <w:pStyle w:val="TAH"/>
              <w:rPr>
                <w:lang w:eastAsia="zh-CN"/>
              </w:rPr>
            </w:pPr>
            <w:r w:rsidRPr="006D0B2F">
              <w:rPr>
                <w:rFonts w:hint="eastAsia"/>
                <w:lang w:eastAsia="zh-CN"/>
              </w:rPr>
              <w:t>PRS BW</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7F920D23" w14:textId="77777777" w:rsidR="00B0469F" w:rsidRPr="006D0B2F" w:rsidRDefault="00B0469F" w:rsidP="00F37389">
            <w:pPr>
              <w:pStyle w:val="TAH"/>
              <w:rPr>
                <w:lang w:val="en-US" w:eastAsia="zh-CN"/>
              </w:rPr>
            </w:pPr>
            <w:r w:rsidRPr="006D0B2F">
              <w:rPr>
                <w:bCs/>
                <w:lang w:eastAsia="zh-CN"/>
              </w:rPr>
              <w:t xml:space="preserve">Repetition </w:t>
            </w:r>
            <w:r w:rsidRPr="006D0B2F">
              <w:rPr>
                <w:rFonts w:hint="eastAsia"/>
                <w:bCs/>
                <w:lang w:eastAsia="zh-CN"/>
              </w:rPr>
              <w:t>factor</w:t>
            </w:r>
            <w:r w:rsidRPr="006D0B2F">
              <w:rPr>
                <w:bCs/>
                <w:lang w:eastAsia="zh-CN"/>
              </w:rPr>
              <w:t xml:space="preserve"> </w:t>
            </w:r>
          </w:p>
          <w:p w14:paraId="210EF7EB" w14:textId="77777777" w:rsidR="00B0469F" w:rsidRPr="006D0B2F" w:rsidRDefault="00B0469F" w:rsidP="00F37389">
            <w:pPr>
              <w:pStyle w:val="TAH"/>
              <w:rPr>
                <w:lang w:eastAsia="zh-CN"/>
              </w:rPr>
            </w:pPr>
            <w:r w:rsidRPr="006D0B2F">
              <w:rPr>
                <w:bCs/>
                <w:lang w:eastAsia="zh-CN"/>
              </w:rPr>
              <w:t>(</w:t>
            </w:r>
            <m:oMath>
              <m:sSubSup>
                <m:sSubSupPr>
                  <m:ctrlPr>
                    <w:rPr>
                      <w:rFonts w:ascii="Cambria Math" w:hAnsi="Cambria Math"/>
                      <w:bCs/>
                      <w:i/>
                      <w:iCs/>
                      <w:lang w:val="en-US" w:eastAsia="zh-CN"/>
                    </w:rPr>
                  </m:ctrlPr>
                </m:sSubSupPr>
                <m:e>
                  <m:r>
                    <m:rPr>
                      <m:sty m:val="b"/>
                    </m:rPr>
                    <w:rPr>
                      <w:rFonts w:ascii="Cambria Math" w:hAnsi="Cambria Math"/>
                      <w:lang w:eastAsia="zh-CN"/>
                    </w:rPr>
                    <m:t>T</m:t>
                  </m:r>
                </m:e>
                <m:sub>
                  <m:r>
                    <m:rPr>
                      <m:nor/>
                    </m:rPr>
                    <w:rPr>
                      <w:bCs/>
                      <w:lang w:eastAsia="zh-CN"/>
                    </w:rPr>
                    <m:t>rep</m:t>
                  </m:r>
                </m:sub>
                <m:sup>
                  <m:r>
                    <m:rPr>
                      <m:nor/>
                    </m:rPr>
                    <w:rPr>
                      <w:bCs/>
                      <w:lang w:eastAsia="zh-CN"/>
                    </w:rPr>
                    <m:t>PRS</m:t>
                  </m:r>
                </m:sup>
              </m:sSubSup>
              <m:r>
                <m:rPr>
                  <m:sty m:val="b"/>
                </m:rPr>
                <w:rPr>
                  <w:rFonts w:ascii="Cambria Math" w:hAnsi="Cambria Math"/>
                  <w:lang w:eastAsia="zh-CN"/>
                </w:rPr>
                <m:t>*</m:t>
              </m:r>
              <m:sSub>
                <m:sSubPr>
                  <m:ctrlPr>
                    <w:rPr>
                      <w:rFonts w:ascii="Cambria Math" w:hAnsi="Cambria Math"/>
                      <w:bCs/>
                      <w:i/>
                      <w:iCs/>
                      <w:lang w:val="en-US" w:eastAsia="zh-CN"/>
                    </w:rPr>
                  </m:ctrlPr>
                </m:sSubPr>
                <m:e>
                  <m:r>
                    <m:rPr>
                      <m:sty m:val="b"/>
                    </m:rPr>
                    <w:rPr>
                      <w:rFonts w:ascii="Cambria Math" w:hAnsi="Cambria Math"/>
                      <w:lang w:eastAsia="zh-CN"/>
                    </w:rPr>
                    <m:t>L</m:t>
                  </m:r>
                </m:e>
                <m:sub>
                  <m:r>
                    <m:rPr>
                      <m:nor/>
                    </m:rPr>
                    <w:rPr>
                      <w:bCs/>
                      <w:lang w:eastAsia="zh-CN"/>
                    </w:rPr>
                    <m:t>PRS</m:t>
                  </m:r>
                </m:sub>
              </m:sSub>
              <m:r>
                <m:rPr>
                  <m:sty m:val="b"/>
                </m:rPr>
                <w:rPr>
                  <w:rFonts w:ascii="Cambria Math" w:hAnsi="Cambria Math"/>
                  <w:lang w:eastAsia="zh-CN"/>
                </w:rPr>
                <m:t>/</m:t>
              </m:r>
              <m:sSubSup>
                <m:sSubSupPr>
                  <m:ctrlPr>
                    <w:rPr>
                      <w:rFonts w:ascii="Cambria Math" w:hAnsi="Cambria Math"/>
                      <w:bCs/>
                      <w:i/>
                      <w:iCs/>
                      <w:lang w:val="en-US" w:eastAsia="zh-CN"/>
                    </w:rPr>
                  </m:ctrlPr>
                </m:sSubSupPr>
                <m:e>
                  <m:r>
                    <m:rPr>
                      <m:sty m:val="b"/>
                    </m:rPr>
                    <w:rPr>
                      <w:rFonts w:ascii="Cambria Math" w:hAnsi="Cambria Math"/>
                      <w:lang w:eastAsia="zh-CN"/>
                    </w:rPr>
                    <m:t>K</m:t>
                  </m:r>
                </m:e>
                <m:sub>
                  <m:r>
                    <m:rPr>
                      <m:nor/>
                    </m:rPr>
                    <w:rPr>
                      <w:bCs/>
                      <w:lang w:eastAsia="zh-CN"/>
                    </w:rPr>
                    <m:t>comb</m:t>
                  </m:r>
                </m:sub>
                <m:sup>
                  <m:r>
                    <m:rPr>
                      <m:nor/>
                    </m:rPr>
                    <w:rPr>
                      <w:bCs/>
                      <w:lang w:eastAsia="zh-CN"/>
                    </w:rPr>
                    <m:t>PRS</m:t>
                  </m:r>
                </m:sup>
              </m:sSubSup>
              <m:r>
                <m:rPr>
                  <m:sty m:val="b"/>
                </m:rPr>
                <w:rPr>
                  <w:rFonts w:ascii="Cambria Math" w:hAnsi="Cambria Math"/>
                  <w:lang w:eastAsia="zh-CN"/>
                </w:rPr>
                <m:t>)</m:t>
              </m:r>
            </m:oMath>
          </w:p>
        </w:tc>
        <w:tc>
          <w:tcPr>
            <w:tcW w:w="3798" w:type="dxa"/>
            <w:gridSpan w:val="3"/>
            <w:tcBorders>
              <w:top w:val="single" w:sz="6" w:space="0" w:color="auto"/>
              <w:left w:val="single" w:sz="6" w:space="0" w:color="auto"/>
              <w:bottom w:val="single" w:sz="6" w:space="0" w:color="auto"/>
              <w:right w:val="single" w:sz="4" w:space="0" w:color="auto"/>
            </w:tcBorders>
            <w:vAlign w:val="center"/>
          </w:tcPr>
          <w:p w14:paraId="5649C41E" w14:textId="77777777" w:rsidR="00B0469F" w:rsidRPr="006D0B2F" w:rsidRDefault="00B0469F" w:rsidP="00F37389">
            <w:pPr>
              <w:pStyle w:val="TAH"/>
            </w:pPr>
            <w:r w:rsidRPr="006D0B2F">
              <w:t>Io</w:t>
            </w:r>
            <w:r w:rsidRPr="006D0B2F">
              <w:rPr>
                <w:vertAlign w:val="superscript"/>
                <w:lang w:eastAsia="zh-CN"/>
              </w:rPr>
              <w:t xml:space="preserve"> Note 7</w:t>
            </w:r>
            <w:r w:rsidRPr="006D0B2F">
              <w:t xml:space="preserve"> range</w:t>
            </w:r>
          </w:p>
        </w:tc>
      </w:tr>
      <w:tr w:rsidR="00B0469F" w:rsidRPr="006D0B2F" w14:paraId="1E25C253" w14:textId="77777777" w:rsidTr="003D5855">
        <w:trPr>
          <w:trHeight w:val="883"/>
          <w:jc w:val="center"/>
        </w:trPr>
        <w:tc>
          <w:tcPr>
            <w:tcW w:w="1046" w:type="dxa"/>
            <w:vMerge/>
            <w:tcBorders>
              <w:left w:val="single" w:sz="4" w:space="0" w:color="auto"/>
              <w:right w:val="single" w:sz="6" w:space="0" w:color="auto"/>
            </w:tcBorders>
            <w:shd w:val="clear" w:color="auto" w:fill="auto"/>
            <w:vAlign w:val="center"/>
          </w:tcPr>
          <w:p w14:paraId="761F1514" w14:textId="77777777" w:rsidR="00B0469F" w:rsidRPr="006D0B2F" w:rsidRDefault="00B0469F" w:rsidP="00F37389">
            <w:pPr>
              <w:pStyle w:val="TAH"/>
            </w:pPr>
          </w:p>
        </w:tc>
        <w:tc>
          <w:tcPr>
            <w:tcW w:w="1049" w:type="dxa"/>
            <w:vMerge/>
            <w:tcBorders>
              <w:left w:val="single" w:sz="4" w:space="0" w:color="auto"/>
              <w:right w:val="single" w:sz="6" w:space="0" w:color="auto"/>
            </w:tcBorders>
            <w:shd w:val="clear" w:color="auto" w:fill="auto"/>
            <w:vAlign w:val="center"/>
          </w:tcPr>
          <w:p w14:paraId="217892C2" w14:textId="77777777" w:rsidR="00B0469F" w:rsidRPr="006D0B2F" w:rsidRDefault="00B0469F" w:rsidP="00F37389">
            <w:pPr>
              <w:pStyle w:val="TAH"/>
            </w:pPr>
          </w:p>
        </w:tc>
        <w:tc>
          <w:tcPr>
            <w:tcW w:w="907" w:type="dxa"/>
            <w:vMerge/>
            <w:tcBorders>
              <w:left w:val="single" w:sz="6" w:space="0" w:color="auto"/>
              <w:right w:val="single" w:sz="6" w:space="0" w:color="auto"/>
            </w:tcBorders>
            <w:shd w:val="clear" w:color="auto" w:fill="auto"/>
            <w:vAlign w:val="center"/>
          </w:tcPr>
          <w:p w14:paraId="29A2E4EF" w14:textId="77777777" w:rsidR="00B0469F" w:rsidRPr="006D0B2F" w:rsidRDefault="00B0469F" w:rsidP="00F37389">
            <w:pPr>
              <w:pStyle w:val="TAH"/>
            </w:pPr>
          </w:p>
        </w:tc>
        <w:tc>
          <w:tcPr>
            <w:tcW w:w="1568" w:type="dxa"/>
            <w:vMerge/>
            <w:tcBorders>
              <w:left w:val="single" w:sz="6" w:space="0" w:color="auto"/>
              <w:right w:val="single" w:sz="6" w:space="0" w:color="auto"/>
            </w:tcBorders>
            <w:shd w:val="clear" w:color="auto" w:fill="auto"/>
            <w:vAlign w:val="center"/>
          </w:tcPr>
          <w:p w14:paraId="69357119" w14:textId="77777777" w:rsidR="00B0469F" w:rsidRPr="006D0B2F" w:rsidRDefault="00B0469F" w:rsidP="00F37389">
            <w:pPr>
              <w:pStyle w:val="TAH"/>
            </w:pPr>
          </w:p>
        </w:tc>
        <w:tc>
          <w:tcPr>
            <w:tcW w:w="1487" w:type="dxa"/>
            <w:vMerge/>
            <w:tcBorders>
              <w:left w:val="single" w:sz="6" w:space="0" w:color="auto"/>
              <w:right w:val="single" w:sz="6" w:space="0" w:color="auto"/>
            </w:tcBorders>
            <w:shd w:val="clear" w:color="auto" w:fill="auto"/>
            <w:vAlign w:val="center"/>
          </w:tcPr>
          <w:p w14:paraId="4240C8D6" w14:textId="77777777" w:rsidR="00B0469F" w:rsidRPr="006D0B2F" w:rsidRDefault="00B0469F" w:rsidP="00F37389">
            <w:pPr>
              <w:pStyle w:val="TAH"/>
            </w:pPr>
          </w:p>
        </w:tc>
        <w:tc>
          <w:tcPr>
            <w:tcW w:w="2520" w:type="dxa"/>
            <w:gridSpan w:val="2"/>
            <w:tcBorders>
              <w:top w:val="single" w:sz="6" w:space="0" w:color="auto"/>
              <w:left w:val="single" w:sz="6" w:space="0" w:color="auto"/>
              <w:right w:val="single" w:sz="6" w:space="0" w:color="auto"/>
            </w:tcBorders>
            <w:shd w:val="clear" w:color="auto" w:fill="auto"/>
            <w:vAlign w:val="center"/>
          </w:tcPr>
          <w:p w14:paraId="4A65A424" w14:textId="77777777" w:rsidR="00B0469F" w:rsidRPr="006D0B2F" w:rsidRDefault="00B0469F" w:rsidP="00F37389">
            <w:pPr>
              <w:pStyle w:val="TAH"/>
            </w:pPr>
            <w:r w:rsidRPr="006D0B2F">
              <w:t>Minimum</w:t>
            </w:r>
            <w:r w:rsidRPr="006D0B2F">
              <w:br/>
              <w:t xml:space="preserve">Io </w:t>
            </w:r>
            <w:r w:rsidRPr="006D0B2F">
              <w:rPr>
                <w:vertAlign w:val="superscript"/>
              </w:rPr>
              <w:t>Note 1</w:t>
            </w:r>
          </w:p>
          <w:p w14:paraId="3856D038" w14:textId="77777777" w:rsidR="00B0469F" w:rsidRPr="006D0B2F" w:rsidRDefault="00B0469F" w:rsidP="00F37389">
            <w:pPr>
              <w:pStyle w:val="TAH"/>
            </w:pPr>
            <w:r w:rsidRPr="006D0B2F">
              <w:t>dBm / SCS</w:t>
            </w:r>
            <w:r w:rsidRPr="006D0B2F">
              <w:rPr>
                <w:vertAlign w:val="subscript"/>
              </w:rPr>
              <w:t>PRS</w:t>
            </w:r>
          </w:p>
        </w:tc>
        <w:tc>
          <w:tcPr>
            <w:tcW w:w="1278" w:type="dxa"/>
            <w:tcBorders>
              <w:top w:val="single" w:sz="6" w:space="0" w:color="auto"/>
              <w:left w:val="single" w:sz="6" w:space="0" w:color="auto"/>
              <w:right w:val="single" w:sz="4" w:space="0" w:color="auto"/>
            </w:tcBorders>
            <w:shd w:val="clear" w:color="auto" w:fill="auto"/>
            <w:vAlign w:val="center"/>
          </w:tcPr>
          <w:p w14:paraId="757ED7B2" w14:textId="77777777" w:rsidR="00B0469F" w:rsidRPr="006D0B2F" w:rsidRDefault="00B0469F" w:rsidP="00F37389">
            <w:pPr>
              <w:pStyle w:val="TAH"/>
            </w:pPr>
            <w:r w:rsidRPr="006D0B2F">
              <w:t>Maximum</w:t>
            </w:r>
            <w:r w:rsidRPr="006D0B2F">
              <w:br/>
              <w:t>Io</w:t>
            </w:r>
          </w:p>
        </w:tc>
      </w:tr>
      <w:tr w:rsidR="00B0469F" w:rsidRPr="006D0B2F" w14:paraId="6974DE4B" w14:textId="77777777" w:rsidTr="003D5855">
        <w:trPr>
          <w:trHeight w:val="236"/>
          <w:jc w:val="center"/>
        </w:trPr>
        <w:tc>
          <w:tcPr>
            <w:tcW w:w="1046" w:type="dxa"/>
            <w:vMerge w:val="restart"/>
            <w:tcBorders>
              <w:top w:val="single" w:sz="6" w:space="0" w:color="auto"/>
              <w:left w:val="single" w:sz="4" w:space="0" w:color="auto"/>
              <w:right w:val="single" w:sz="6" w:space="0" w:color="auto"/>
            </w:tcBorders>
            <w:shd w:val="clear" w:color="auto" w:fill="auto"/>
            <w:vAlign w:val="center"/>
          </w:tcPr>
          <w:p w14:paraId="299CAAF8" w14:textId="77777777" w:rsidR="00B0469F" w:rsidRPr="006D0B2F" w:rsidRDefault="00B0469F" w:rsidP="00F37389">
            <w:pPr>
              <w:pStyle w:val="TAH"/>
            </w:pPr>
            <w:r w:rsidRPr="006D0B2F">
              <w:rPr>
                <w:lang w:eastAsia="zh-CN"/>
              </w:rPr>
              <w:t>dB</w:t>
            </w:r>
          </w:p>
        </w:tc>
        <w:tc>
          <w:tcPr>
            <w:tcW w:w="1049" w:type="dxa"/>
            <w:vMerge w:val="restart"/>
            <w:tcBorders>
              <w:top w:val="single" w:sz="6" w:space="0" w:color="auto"/>
              <w:left w:val="single" w:sz="4" w:space="0" w:color="auto"/>
              <w:right w:val="single" w:sz="6" w:space="0" w:color="auto"/>
            </w:tcBorders>
            <w:shd w:val="clear" w:color="auto" w:fill="auto"/>
            <w:vAlign w:val="center"/>
          </w:tcPr>
          <w:p w14:paraId="7A57A423" w14:textId="77777777" w:rsidR="00B0469F" w:rsidRPr="006D0B2F" w:rsidRDefault="00B0469F" w:rsidP="00F37389">
            <w:pPr>
              <w:pStyle w:val="TAH"/>
            </w:pPr>
            <w:r w:rsidRPr="006D0B2F">
              <w:rPr>
                <w:rFonts w:hint="eastAsia"/>
                <w:lang w:eastAsia="zh-CN"/>
              </w:rPr>
              <w:t>dB</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0F40CDD3" w14:textId="77777777" w:rsidR="00B0469F" w:rsidRPr="006D0B2F" w:rsidRDefault="00B0469F" w:rsidP="00F37389">
            <w:pPr>
              <w:pStyle w:val="TAH"/>
            </w:pPr>
            <w:r w:rsidRPr="006D0B2F">
              <w:t>dB</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4424DBE9" w14:textId="77777777" w:rsidR="00B0469F" w:rsidRPr="006D0B2F" w:rsidRDefault="00B0469F" w:rsidP="00F37389">
            <w:pPr>
              <w:pStyle w:val="TAH"/>
            </w:pPr>
            <w:r w:rsidRPr="006D0B2F">
              <w:rPr>
                <w:rFonts w:hint="eastAsia"/>
                <w:lang w:eastAsia="zh-CN"/>
              </w:rPr>
              <w:t>P</w:t>
            </w:r>
            <w:r w:rsidRPr="006D0B2F">
              <w:t>RB</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551565B1" w14:textId="77777777" w:rsidR="00B0469F" w:rsidRPr="006D0B2F" w:rsidRDefault="00B0469F" w:rsidP="00F37389">
            <w:pPr>
              <w:pStyle w:val="TAH"/>
              <w:rPr>
                <w:lang w:eastAsia="zh-CN"/>
              </w:rPr>
            </w:pPr>
            <w:r w:rsidRPr="006D0B2F">
              <w:rPr>
                <w:rFonts w:hint="eastAsia"/>
                <w:lang w:eastAsia="zh-CN"/>
              </w:rPr>
              <w:t>-</w:t>
            </w:r>
          </w:p>
        </w:tc>
        <w:tc>
          <w:tcPr>
            <w:tcW w:w="2520" w:type="dxa"/>
            <w:gridSpan w:val="2"/>
            <w:tcBorders>
              <w:top w:val="single" w:sz="6" w:space="0" w:color="auto"/>
              <w:left w:val="single" w:sz="6" w:space="0" w:color="auto"/>
              <w:right w:val="single" w:sz="6" w:space="0" w:color="auto"/>
            </w:tcBorders>
            <w:shd w:val="clear" w:color="auto" w:fill="auto"/>
            <w:vAlign w:val="center"/>
          </w:tcPr>
          <w:p w14:paraId="30EB0E4B" w14:textId="77777777" w:rsidR="00B0469F" w:rsidRPr="006D0B2F" w:rsidRDefault="00B0469F" w:rsidP="00F37389">
            <w:pPr>
              <w:pStyle w:val="TAH"/>
              <w:rPr>
                <w:lang w:eastAsia="zh-CN"/>
              </w:rPr>
            </w:pPr>
            <w:r w:rsidRPr="006D0B2F">
              <w:t>dBm / SCS</w:t>
            </w:r>
            <w:r w:rsidRPr="006D0B2F">
              <w:rPr>
                <w:vertAlign w:val="subscript"/>
              </w:rPr>
              <w:t>PRS</w:t>
            </w:r>
          </w:p>
        </w:tc>
        <w:tc>
          <w:tcPr>
            <w:tcW w:w="1278" w:type="dxa"/>
            <w:vMerge w:val="restart"/>
            <w:tcBorders>
              <w:top w:val="single" w:sz="6" w:space="0" w:color="auto"/>
              <w:left w:val="single" w:sz="6" w:space="0" w:color="auto"/>
              <w:right w:val="single" w:sz="4" w:space="0" w:color="auto"/>
            </w:tcBorders>
            <w:shd w:val="clear" w:color="auto" w:fill="auto"/>
            <w:vAlign w:val="center"/>
          </w:tcPr>
          <w:p w14:paraId="449028AA" w14:textId="77777777" w:rsidR="00B0469F" w:rsidRPr="006D0B2F" w:rsidRDefault="00B0469F" w:rsidP="00F37389">
            <w:pPr>
              <w:pStyle w:val="TAH"/>
            </w:pPr>
            <w:r w:rsidRPr="006D0B2F">
              <w:t>dBm/BW</w:t>
            </w:r>
            <w:r w:rsidRPr="006D0B2F">
              <w:rPr>
                <w:vertAlign w:val="subscript"/>
              </w:rPr>
              <w:t>Channel</w:t>
            </w:r>
          </w:p>
        </w:tc>
      </w:tr>
      <w:tr w:rsidR="00B0469F" w:rsidRPr="006D0B2F" w14:paraId="4CCC2792" w14:textId="77777777" w:rsidTr="003D5855">
        <w:trPr>
          <w:trHeight w:val="236"/>
          <w:jc w:val="center"/>
        </w:trPr>
        <w:tc>
          <w:tcPr>
            <w:tcW w:w="1046" w:type="dxa"/>
            <w:vMerge/>
            <w:tcBorders>
              <w:left w:val="single" w:sz="4" w:space="0" w:color="auto"/>
              <w:right w:val="single" w:sz="6" w:space="0" w:color="auto"/>
            </w:tcBorders>
            <w:shd w:val="clear" w:color="auto" w:fill="auto"/>
            <w:vAlign w:val="center"/>
          </w:tcPr>
          <w:p w14:paraId="4380C999" w14:textId="77777777" w:rsidR="00B0469F" w:rsidRPr="006D0B2F" w:rsidRDefault="00B0469F" w:rsidP="00F37389">
            <w:pPr>
              <w:pStyle w:val="TAH"/>
            </w:pPr>
          </w:p>
        </w:tc>
        <w:tc>
          <w:tcPr>
            <w:tcW w:w="1049" w:type="dxa"/>
            <w:vMerge/>
            <w:tcBorders>
              <w:left w:val="single" w:sz="4" w:space="0" w:color="auto"/>
              <w:right w:val="single" w:sz="6" w:space="0" w:color="auto"/>
            </w:tcBorders>
            <w:shd w:val="clear" w:color="auto" w:fill="auto"/>
            <w:vAlign w:val="center"/>
          </w:tcPr>
          <w:p w14:paraId="3EC2D111" w14:textId="77777777" w:rsidR="00B0469F" w:rsidRPr="006D0B2F" w:rsidRDefault="00B0469F" w:rsidP="00F37389">
            <w:pPr>
              <w:pStyle w:val="TAH"/>
            </w:pPr>
          </w:p>
        </w:tc>
        <w:tc>
          <w:tcPr>
            <w:tcW w:w="907" w:type="dxa"/>
            <w:vMerge/>
            <w:tcBorders>
              <w:left w:val="single" w:sz="6" w:space="0" w:color="auto"/>
              <w:right w:val="single" w:sz="6" w:space="0" w:color="auto"/>
            </w:tcBorders>
            <w:shd w:val="clear" w:color="auto" w:fill="auto"/>
            <w:vAlign w:val="center"/>
          </w:tcPr>
          <w:p w14:paraId="52DB54E3" w14:textId="77777777" w:rsidR="00B0469F" w:rsidRPr="006D0B2F" w:rsidRDefault="00B0469F" w:rsidP="00F37389">
            <w:pPr>
              <w:pStyle w:val="TAH"/>
            </w:pPr>
          </w:p>
        </w:tc>
        <w:tc>
          <w:tcPr>
            <w:tcW w:w="1568" w:type="dxa"/>
            <w:vMerge/>
            <w:tcBorders>
              <w:left w:val="single" w:sz="6" w:space="0" w:color="auto"/>
              <w:right w:val="single" w:sz="6" w:space="0" w:color="auto"/>
            </w:tcBorders>
            <w:shd w:val="clear" w:color="auto" w:fill="auto"/>
            <w:vAlign w:val="center"/>
          </w:tcPr>
          <w:p w14:paraId="43546EE4" w14:textId="77777777" w:rsidR="00B0469F" w:rsidRPr="006D0B2F" w:rsidRDefault="00B0469F" w:rsidP="00F37389">
            <w:pPr>
              <w:pStyle w:val="TAH"/>
            </w:pPr>
          </w:p>
        </w:tc>
        <w:tc>
          <w:tcPr>
            <w:tcW w:w="1487" w:type="dxa"/>
            <w:vMerge/>
            <w:tcBorders>
              <w:left w:val="single" w:sz="6" w:space="0" w:color="auto"/>
              <w:right w:val="single" w:sz="6" w:space="0" w:color="auto"/>
            </w:tcBorders>
            <w:shd w:val="clear" w:color="auto" w:fill="auto"/>
            <w:vAlign w:val="center"/>
          </w:tcPr>
          <w:p w14:paraId="192F0649" w14:textId="77777777" w:rsidR="00B0469F" w:rsidRPr="006D0B2F" w:rsidRDefault="00B0469F" w:rsidP="00F37389">
            <w:pPr>
              <w:pStyle w:val="TAH"/>
            </w:pPr>
          </w:p>
        </w:tc>
        <w:tc>
          <w:tcPr>
            <w:tcW w:w="1260" w:type="dxa"/>
            <w:tcBorders>
              <w:top w:val="single" w:sz="6" w:space="0" w:color="auto"/>
              <w:left w:val="single" w:sz="6" w:space="0" w:color="auto"/>
              <w:right w:val="single" w:sz="6" w:space="0" w:color="auto"/>
            </w:tcBorders>
            <w:shd w:val="clear" w:color="auto" w:fill="auto"/>
            <w:vAlign w:val="center"/>
          </w:tcPr>
          <w:p w14:paraId="3C10CFBF" w14:textId="77777777" w:rsidR="00B0469F" w:rsidRPr="006D0B2F" w:rsidRDefault="00B0469F" w:rsidP="00F37389">
            <w:pPr>
              <w:pStyle w:val="TAH"/>
            </w:pPr>
            <w:r w:rsidRPr="006D0B2F">
              <w:t>dBm/</w:t>
            </w:r>
            <w:r w:rsidRPr="006D0B2F">
              <w:rPr>
                <w:rFonts w:hint="eastAsia"/>
                <w:lang w:eastAsia="zh-CN"/>
              </w:rPr>
              <w:t>120</w:t>
            </w:r>
            <w:r w:rsidRPr="006D0B2F">
              <w:t>kHz</w:t>
            </w:r>
            <w:r w:rsidRPr="006D0B2F">
              <w:rPr>
                <w:vertAlign w:val="superscript"/>
                <w:lang w:eastAsia="zh-CN"/>
              </w:rPr>
              <w:t xml:space="preserve"> Note 6</w:t>
            </w:r>
          </w:p>
        </w:tc>
        <w:tc>
          <w:tcPr>
            <w:tcW w:w="1260" w:type="dxa"/>
            <w:tcBorders>
              <w:top w:val="single" w:sz="6" w:space="0" w:color="auto"/>
              <w:left w:val="single" w:sz="6" w:space="0" w:color="auto"/>
              <w:right w:val="single" w:sz="6" w:space="0" w:color="auto"/>
            </w:tcBorders>
            <w:shd w:val="clear" w:color="auto" w:fill="auto"/>
            <w:vAlign w:val="center"/>
          </w:tcPr>
          <w:p w14:paraId="6BFEB930" w14:textId="77777777" w:rsidR="00B0469F" w:rsidRPr="006D0B2F" w:rsidRDefault="00B0469F" w:rsidP="00F37389">
            <w:pPr>
              <w:pStyle w:val="TAH"/>
            </w:pPr>
            <w:r w:rsidRPr="006D0B2F">
              <w:t>dBm/</w:t>
            </w:r>
            <w:r w:rsidRPr="006D0B2F">
              <w:rPr>
                <w:rFonts w:hint="eastAsia"/>
                <w:lang w:eastAsia="zh-CN"/>
              </w:rPr>
              <w:t>60</w:t>
            </w:r>
            <w:r w:rsidRPr="006D0B2F">
              <w:t>kHz</w:t>
            </w:r>
            <w:r w:rsidRPr="006D0B2F">
              <w:rPr>
                <w:vertAlign w:val="superscript"/>
                <w:lang w:eastAsia="zh-CN"/>
              </w:rPr>
              <w:t xml:space="preserve"> Note 6</w:t>
            </w:r>
          </w:p>
        </w:tc>
        <w:tc>
          <w:tcPr>
            <w:tcW w:w="1278" w:type="dxa"/>
            <w:vMerge/>
            <w:tcBorders>
              <w:left w:val="single" w:sz="6" w:space="0" w:color="auto"/>
              <w:right w:val="single" w:sz="4" w:space="0" w:color="auto"/>
            </w:tcBorders>
            <w:shd w:val="clear" w:color="auto" w:fill="auto"/>
            <w:vAlign w:val="center"/>
          </w:tcPr>
          <w:p w14:paraId="2613485F" w14:textId="77777777" w:rsidR="00B0469F" w:rsidRPr="006D0B2F" w:rsidRDefault="00B0469F" w:rsidP="00F37389">
            <w:pPr>
              <w:pStyle w:val="TAH"/>
            </w:pPr>
          </w:p>
        </w:tc>
      </w:tr>
      <w:tr w:rsidR="00675E01" w:rsidRPr="006D0B2F" w14:paraId="3413087D" w14:textId="77777777" w:rsidTr="00D70720">
        <w:trPr>
          <w:trHeight w:val="1761"/>
          <w:jc w:val="center"/>
        </w:trPr>
        <w:tc>
          <w:tcPr>
            <w:tcW w:w="1046" w:type="dxa"/>
            <w:vMerge w:val="restart"/>
            <w:tcBorders>
              <w:top w:val="single" w:sz="6" w:space="0" w:color="auto"/>
              <w:left w:val="single" w:sz="4" w:space="0" w:color="auto"/>
              <w:right w:val="single" w:sz="6" w:space="0" w:color="auto"/>
            </w:tcBorders>
            <w:shd w:val="clear" w:color="auto" w:fill="auto"/>
            <w:vAlign w:val="center"/>
          </w:tcPr>
          <w:p w14:paraId="4F16FBAE" w14:textId="47790B20" w:rsidR="00675E01" w:rsidRPr="006D0B2F" w:rsidRDefault="00675E01" w:rsidP="00675E01">
            <w:pPr>
              <w:pStyle w:val="TAC"/>
              <w:rPr>
                <w:lang w:eastAsia="zh-CN"/>
              </w:rPr>
            </w:pPr>
            <w:r w:rsidRPr="006D0B2F">
              <w:rPr>
                <w:rFonts w:hint="eastAsia"/>
                <w:lang w:eastAsia="zh-CN"/>
              </w:rPr>
              <w:t>±</w:t>
            </w:r>
            <w:r>
              <w:rPr>
                <w:lang w:eastAsia="zh-CN"/>
              </w:rPr>
              <w:t>5.0</w:t>
            </w:r>
          </w:p>
        </w:tc>
        <w:tc>
          <w:tcPr>
            <w:tcW w:w="1049" w:type="dxa"/>
            <w:vMerge w:val="restart"/>
            <w:tcBorders>
              <w:top w:val="single" w:sz="6" w:space="0" w:color="auto"/>
              <w:left w:val="single" w:sz="4" w:space="0" w:color="auto"/>
              <w:bottom w:val="single" w:sz="4" w:space="0" w:color="auto"/>
              <w:right w:val="single" w:sz="6" w:space="0" w:color="auto"/>
            </w:tcBorders>
            <w:vAlign w:val="center"/>
          </w:tcPr>
          <w:p w14:paraId="3FC234C7" w14:textId="3F2B80B7" w:rsidR="00675E01" w:rsidRPr="006D0B2F" w:rsidRDefault="00675E01" w:rsidP="00675E01">
            <w:pPr>
              <w:pStyle w:val="TAC"/>
              <w:rPr>
                <w:lang w:eastAsia="zh-CN"/>
              </w:rPr>
            </w:pPr>
            <w:r>
              <w:rPr>
                <w:rFonts w:cs="Arial" w:hint="eastAsia"/>
                <w:lang w:eastAsia="zh-CN"/>
              </w:rPr>
              <w:t>±</w:t>
            </w:r>
            <w:r>
              <w:rPr>
                <w:rFonts w:cs="Arial"/>
                <w:lang w:eastAsia="zh-CN"/>
              </w:rPr>
              <w:t>8.0</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186F85B8" w14:textId="77777777" w:rsidR="00675E01" w:rsidRPr="006D0B2F" w:rsidRDefault="00675E01" w:rsidP="00675E01">
            <w:pPr>
              <w:pStyle w:val="TAC"/>
              <w:rPr>
                <w:lang w:val="sv-SE" w:eastAsia="zh-CN"/>
              </w:rPr>
            </w:pPr>
            <w:r w:rsidRPr="006D0B2F">
              <w:t>≥-</w:t>
            </w:r>
            <w:r w:rsidRPr="006D0B2F">
              <w:rPr>
                <w:rFonts w:hint="eastAsia"/>
                <w:lang w:eastAsia="zh-CN"/>
              </w:rPr>
              <w:t>3</w:t>
            </w:r>
            <w:r w:rsidRPr="006D0B2F">
              <w:t>dB</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0969AC01" w14:textId="40E04760" w:rsidR="00675E01" w:rsidRPr="006D0B2F" w:rsidRDefault="00675E01" w:rsidP="00675E01">
            <w:pPr>
              <w:pStyle w:val="TAC"/>
              <w:rPr>
                <w:lang w:eastAsia="zh-CN"/>
              </w:rPr>
            </w:pPr>
            <w:r w:rsidRPr="006D0B2F">
              <w:t>≥</w:t>
            </w:r>
            <w:r w:rsidRPr="006D0B2F">
              <w:rPr>
                <w:rFonts w:hint="eastAsia"/>
                <w:lang w:eastAsia="zh-CN"/>
              </w:rPr>
              <w:t>24</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35F852C5" w14:textId="77777777" w:rsidR="00675E01" w:rsidRPr="006D0B2F" w:rsidRDefault="00675E01" w:rsidP="00675E01">
            <w:pPr>
              <w:pStyle w:val="TAC"/>
            </w:pPr>
            <w:r w:rsidRPr="006D0B2F">
              <w:rPr>
                <w:lang w:eastAsia="zh-CN"/>
              </w:rPr>
              <w:t>A</w:t>
            </w:r>
            <w:r w:rsidRPr="006D0B2F">
              <w:rPr>
                <w:rFonts w:hint="eastAsia"/>
                <w:lang w:eastAsia="zh-CN"/>
              </w:rPr>
              <w:t>ll</w:t>
            </w:r>
          </w:p>
        </w:tc>
        <w:tc>
          <w:tcPr>
            <w:tcW w:w="2520" w:type="dxa"/>
            <w:gridSpan w:val="2"/>
            <w:tcBorders>
              <w:top w:val="single" w:sz="6" w:space="0" w:color="auto"/>
              <w:left w:val="single" w:sz="6" w:space="0" w:color="auto"/>
              <w:bottom w:val="nil"/>
              <w:right w:val="single" w:sz="6" w:space="0" w:color="auto"/>
            </w:tcBorders>
          </w:tcPr>
          <w:p w14:paraId="128C1015" w14:textId="41B90AD5" w:rsidR="00675E01" w:rsidRPr="006D0B2F" w:rsidRDefault="00675E01" w:rsidP="00675E01">
            <w:pPr>
              <w:pStyle w:val="TAC"/>
            </w:pPr>
            <w:r>
              <w:t xml:space="preserve">Same value as </w:t>
            </w:r>
            <w:r>
              <w:rPr>
                <w:lang w:eastAsia="zh-CN"/>
              </w:rPr>
              <w:t>P</w:t>
            </w:r>
            <w:r>
              <w:t>RP in Table B.</w:t>
            </w:r>
            <w:r>
              <w:rPr>
                <w:lang w:eastAsia="zh-CN"/>
              </w:rPr>
              <w:t>2.14</w:t>
            </w:r>
            <w:r>
              <w:t>-2, according to UE Power class, operating band and angle of arrival</w:t>
            </w:r>
          </w:p>
        </w:tc>
        <w:tc>
          <w:tcPr>
            <w:tcW w:w="1278" w:type="dxa"/>
            <w:tcBorders>
              <w:top w:val="single" w:sz="6" w:space="0" w:color="auto"/>
              <w:left w:val="single" w:sz="6" w:space="0" w:color="auto"/>
              <w:bottom w:val="nil"/>
              <w:right w:val="single" w:sz="4" w:space="0" w:color="auto"/>
            </w:tcBorders>
            <w:vAlign w:val="center"/>
          </w:tcPr>
          <w:p w14:paraId="2251B82B" w14:textId="53E05B67" w:rsidR="00675E01" w:rsidRPr="006D0B2F" w:rsidRDefault="00675E01" w:rsidP="00675E01">
            <w:pPr>
              <w:pStyle w:val="TAC"/>
              <w:rPr>
                <w:lang w:eastAsia="zh-CN"/>
              </w:rPr>
            </w:pPr>
            <w:r>
              <w:t>-50</w:t>
            </w:r>
          </w:p>
        </w:tc>
      </w:tr>
      <w:tr w:rsidR="003D5855" w:rsidRPr="006D0B2F" w14:paraId="08AEBDAA" w14:textId="77777777" w:rsidTr="003D5855">
        <w:trPr>
          <w:jc w:val="center"/>
        </w:trPr>
        <w:tc>
          <w:tcPr>
            <w:tcW w:w="1046" w:type="dxa"/>
            <w:vMerge/>
            <w:tcBorders>
              <w:left w:val="single" w:sz="4" w:space="0" w:color="auto"/>
              <w:right w:val="single" w:sz="6" w:space="0" w:color="auto"/>
            </w:tcBorders>
            <w:shd w:val="clear" w:color="auto" w:fill="auto"/>
            <w:vAlign w:val="center"/>
          </w:tcPr>
          <w:p w14:paraId="59396618" w14:textId="77777777" w:rsidR="003D5855" w:rsidRPr="006D0B2F" w:rsidRDefault="003D5855" w:rsidP="003D5855">
            <w:pPr>
              <w:pStyle w:val="TAC"/>
              <w:rPr>
                <w:lang w:eastAsia="zh-CN"/>
              </w:rPr>
            </w:pPr>
          </w:p>
        </w:tc>
        <w:tc>
          <w:tcPr>
            <w:tcW w:w="1049" w:type="dxa"/>
            <w:vMerge/>
            <w:tcBorders>
              <w:top w:val="single" w:sz="6" w:space="0" w:color="auto"/>
              <w:left w:val="single" w:sz="4" w:space="0" w:color="auto"/>
              <w:bottom w:val="single" w:sz="4" w:space="0" w:color="auto"/>
              <w:right w:val="single" w:sz="6" w:space="0" w:color="auto"/>
            </w:tcBorders>
            <w:vAlign w:val="center"/>
          </w:tcPr>
          <w:p w14:paraId="0A0E99E3" w14:textId="77777777" w:rsidR="003D5855" w:rsidRPr="006D0B2F" w:rsidRDefault="003D5855" w:rsidP="003D5855">
            <w:pPr>
              <w:pStyle w:val="TAC"/>
              <w:rPr>
                <w:lang w:eastAsia="zh-CN"/>
              </w:rPr>
            </w:pPr>
          </w:p>
        </w:tc>
        <w:tc>
          <w:tcPr>
            <w:tcW w:w="907" w:type="dxa"/>
            <w:vMerge/>
            <w:tcBorders>
              <w:left w:val="single" w:sz="6" w:space="0" w:color="auto"/>
              <w:right w:val="single" w:sz="6" w:space="0" w:color="auto"/>
            </w:tcBorders>
            <w:shd w:val="clear" w:color="auto" w:fill="auto"/>
            <w:vAlign w:val="center"/>
          </w:tcPr>
          <w:p w14:paraId="6D3253E8" w14:textId="77777777" w:rsidR="003D5855" w:rsidRPr="006D0B2F" w:rsidRDefault="003D5855" w:rsidP="003D5855">
            <w:pPr>
              <w:pStyle w:val="TAC"/>
              <w:rPr>
                <w:lang w:val="sv-SE"/>
              </w:rPr>
            </w:pPr>
          </w:p>
        </w:tc>
        <w:tc>
          <w:tcPr>
            <w:tcW w:w="1568" w:type="dxa"/>
            <w:vMerge/>
            <w:tcBorders>
              <w:left w:val="single" w:sz="6" w:space="0" w:color="auto"/>
              <w:right w:val="single" w:sz="6" w:space="0" w:color="auto"/>
            </w:tcBorders>
            <w:shd w:val="clear" w:color="auto" w:fill="auto"/>
            <w:vAlign w:val="center"/>
          </w:tcPr>
          <w:p w14:paraId="3EC9DF32" w14:textId="77777777" w:rsidR="003D5855" w:rsidRPr="006D0B2F" w:rsidRDefault="003D5855" w:rsidP="003D5855">
            <w:pPr>
              <w:pStyle w:val="TAC"/>
              <w:rPr>
                <w:lang w:eastAsia="zh-CN"/>
              </w:rPr>
            </w:pPr>
          </w:p>
        </w:tc>
        <w:tc>
          <w:tcPr>
            <w:tcW w:w="1487" w:type="dxa"/>
            <w:vMerge/>
            <w:tcBorders>
              <w:left w:val="single" w:sz="6" w:space="0" w:color="auto"/>
              <w:right w:val="single" w:sz="6" w:space="0" w:color="auto"/>
            </w:tcBorders>
            <w:shd w:val="clear" w:color="auto" w:fill="auto"/>
            <w:vAlign w:val="center"/>
          </w:tcPr>
          <w:p w14:paraId="61845B00" w14:textId="77777777" w:rsidR="003D5855" w:rsidRPr="006D0B2F" w:rsidRDefault="003D5855" w:rsidP="003D5855">
            <w:pPr>
              <w:pStyle w:val="TAC"/>
            </w:pP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2DA40709" w14:textId="77777777" w:rsidR="003D5855" w:rsidRPr="006D0B2F" w:rsidRDefault="003D5855" w:rsidP="003D5855">
            <w:pPr>
              <w:pStyle w:val="TAC"/>
              <w:rPr>
                <w:lang w:eastAsia="zh-CN"/>
              </w:rPr>
            </w:pPr>
            <w:r w:rsidRPr="006D0B2F">
              <w:t>Note 4</w:t>
            </w:r>
          </w:p>
        </w:tc>
      </w:tr>
      <w:tr w:rsidR="003D5855" w:rsidRPr="006D0B2F" w14:paraId="39716676" w14:textId="77777777" w:rsidTr="003D5855">
        <w:trPr>
          <w:jc w:val="center"/>
        </w:trPr>
        <w:tc>
          <w:tcPr>
            <w:tcW w:w="1046" w:type="dxa"/>
            <w:vMerge/>
            <w:tcBorders>
              <w:left w:val="single" w:sz="4" w:space="0" w:color="auto"/>
              <w:bottom w:val="single" w:sz="6" w:space="0" w:color="auto"/>
              <w:right w:val="single" w:sz="6" w:space="0" w:color="auto"/>
            </w:tcBorders>
            <w:shd w:val="clear" w:color="auto" w:fill="auto"/>
            <w:vAlign w:val="center"/>
          </w:tcPr>
          <w:p w14:paraId="32AECA9F" w14:textId="77777777" w:rsidR="003D5855" w:rsidRPr="006D0B2F" w:rsidRDefault="003D5855" w:rsidP="003D5855">
            <w:pPr>
              <w:pStyle w:val="TAC"/>
            </w:pPr>
          </w:p>
        </w:tc>
        <w:tc>
          <w:tcPr>
            <w:tcW w:w="1049" w:type="dxa"/>
            <w:vMerge/>
            <w:tcBorders>
              <w:top w:val="single" w:sz="6" w:space="0" w:color="auto"/>
              <w:left w:val="single" w:sz="4" w:space="0" w:color="auto"/>
              <w:bottom w:val="single" w:sz="4" w:space="0" w:color="auto"/>
              <w:right w:val="single" w:sz="6" w:space="0" w:color="auto"/>
            </w:tcBorders>
            <w:vAlign w:val="center"/>
          </w:tcPr>
          <w:p w14:paraId="76A00183" w14:textId="77777777" w:rsidR="003D5855" w:rsidRPr="006D0B2F" w:rsidRDefault="003D5855" w:rsidP="003D5855">
            <w:pPr>
              <w:pStyle w:val="TAC"/>
              <w:rPr>
                <w:lang w:eastAsia="zh-CN"/>
              </w:rPr>
            </w:pPr>
          </w:p>
        </w:tc>
        <w:tc>
          <w:tcPr>
            <w:tcW w:w="907" w:type="dxa"/>
            <w:vMerge/>
            <w:tcBorders>
              <w:left w:val="single" w:sz="6" w:space="0" w:color="auto"/>
              <w:bottom w:val="single" w:sz="6" w:space="0" w:color="auto"/>
              <w:right w:val="single" w:sz="6" w:space="0" w:color="auto"/>
            </w:tcBorders>
            <w:shd w:val="clear" w:color="auto" w:fill="auto"/>
            <w:vAlign w:val="center"/>
          </w:tcPr>
          <w:p w14:paraId="7366F0ED" w14:textId="77777777" w:rsidR="003D5855" w:rsidRPr="006D0B2F" w:rsidRDefault="003D5855" w:rsidP="003D5855">
            <w:pPr>
              <w:pStyle w:val="TAC"/>
            </w:pPr>
          </w:p>
        </w:tc>
        <w:tc>
          <w:tcPr>
            <w:tcW w:w="1568" w:type="dxa"/>
            <w:vMerge/>
            <w:tcBorders>
              <w:left w:val="single" w:sz="6" w:space="0" w:color="auto"/>
              <w:bottom w:val="single" w:sz="6" w:space="0" w:color="auto"/>
              <w:right w:val="single" w:sz="6" w:space="0" w:color="auto"/>
            </w:tcBorders>
            <w:shd w:val="clear" w:color="auto" w:fill="auto"/>
            <w:vAlign w:val="center"/>
          </w:tcPr>
          <w:p w14:paraId="4F35BB7E" w14:textId="77777777" w:rsidR="003D5855" w:rsidRPr="006D0B2F" w:rsidRDefault="003D5855" w:rsidP="003D5855">
            <w:pPr>
              <w:pStyle w:val="TAC"/>
            </w:pPr>
          </w:p>
        </w:tc>
        <w:tc>
          <w:tcPr>
            <w:tcW w:w="1487" w:type="dxa"/>
            <w:vMerge/>
            <w:tcBorders>
              <w:left w:val="single" w:sz="6" w:space="0" w:color="auto"/>
              <w:bottom w:val="single" w:sz="6" w:space="0" w:color="auto"/>
              <w:right w:val="single" w:sz="6" w:space="0" w:color="auto"/>
            </w:tcBorders>
            <w:shd w:val="clear" w:color="auto" w:fill="auto"/>
            <w:vAlign w:val="center"/>
          </w:tcPr>
          <w:p w14:paraId="5B66B34E" w14:textId="77777777" w:rsidR="003D5855" w:rsidRPr="006D0B2F" w:rsidRDefault="003D5855" w:rsidP="003D5855">
            <w:pPr>
              <w:pStyle w:val="TAC"/>
            </w:pP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0DF98BB5" w14:textId="77777777" w:rsidR="003D5855" w:rsidRPr="006D0B2F" w:rsidRDefault="003D5855" w:rsidP="003D5855">
            <w:pPr>
              <w:pStyle w:val="TAC"/>
            </w:pPr>
            <w:r w:rsidRPr="006D0B2F">
              <w:t>Note 4</w:t>
            </w:r>
          </w:p>
        </w:tc>
      </w:tr>
      <w:tr w:rsidR="003D5855" w:rsidRPr="006D0B2F" w14:paraId="47169EEB" w14:textId="77777777" w:rsidTr="003D5855">
        <w:trPr>
          <w:trHeight w:val="226"/>
          <w:jc w:val="center"/>
        </w:trPr>
        <w:tc>
          <w:tcPr>
            <w:tcW w:w="1046" w:type="dxa"/>
            <w:tcBorders>
              <w:top w:val="single" w:sz="6" w:space="0" w:color="auto"/>
              <w:left w:val="single" w:sz="4" w:space="0" w:color="auto"/>
              <w:bottom w:val="single" w:sz="4" w:space="0" w:color="auto"/>
              <w:right w:val="single" w:sz="6" w:space="0" w:color="auto"/>
            </w:tcBorders>
            <w:shd w:val="clear" w:color="auto" w:fill="auto"/>
            <w:vAlign w:val="center"/>
          </w:tcPr>
          <w:p w14:paraId="4E749030" w14:textId="4F2DF1FD" w:rsidR="003D5855" w:rsidRPr="006D0B2F" w:rsidRDefault="003D5855" w:rsidP="003D5855">
            <w:pPr>
              <w:pStyle w:val="TAC"/>
              <w:rPr>
                <w:lang w:eastAsia="zh-CN"/>
              </w:rPr>
            </w:pPr>
            <w:r w:rsidRPr="006D0B2F">
              <w:rPr>
                <w:rFonts w:hint="eastAsia"/>
                <w:lang w:eastAsia="zh-CN"/>
              </w:rPr>
              <w:t>±</w:t>
            </w:r>
            <w:r>
              <w:rPr>
                <w:rFonts w:hint="eastAsia"/>
                <w:lang w:eastAsia="zh-CN"/>
              </w:rPr>
              <w:t>1</w:t>
            </w:r>
            <w:r>
              <w:rPr>
                <w:lang w:eastAsia="zh-CN"/>
              </w:rPr>
              <w:t>0</w:t>
            </w:r>
          </w:p>
        </w:tc>
        <w:tc>
          <w:tcPr>
            <w:tcW w:w="1049" w:type="dxa"/>
            <w:tcBorders>
              <w:top w:val="single" w:sz="4" w:space="0" w:color="auto"/>
              <w:left w:val="single" w:sz="4" w:space="0" w:color="auto"/>
              <w:bottom w:val="single" w:sz="4" w:space="0" w:color="auto"/>
              <w:right w:val="single" w:sz="4" w:space="0" w:color="auto"/>
            </w:tcBorders>
            <w:vAlign w:val="center"/>
          </w:tcPr>
          <w:p w14:paraId="68CC5AAD" w14:textId="02F5BB29" w:rsidR="003D5855" w:rsidRPr="006D0B2F" w:rsidRDefault="003D5855" w:rsidP="003D5855">
            <w:pPr>
              <w:pStyle w:val="TAC"/>
              <w:rPr>
                <w:lang w:eastAsia="zh-CN"/>
              </w:rPr>
            </w:pPr>
            <w:r>
              <w:rPr>
                <w:rFonts w:cs="Arial" w:hint="eastAsia"/>
                <w:lang w:eastAsia="zh-CN"/>
              </w:rPr>
              <w:t>±</w:t>
            </w:r>
            <w:r>
              <w:rPr>
                <w:rFonts w:cs="Arial"/>
                <w:lang w:eastAsia="zh-CN"/>
              </w:rPr>
              <w:t>13</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02BF8581" w14:textId="77777777" w:rsidR="003D5855" w:rsidRPr="006D0B2F" w:rsidRDefault="003D5855" w:rsidP="003D5855">
            <w:pPr>
              <w:pStyle w:val="TAC"/>
            </w:pPr>
            <w:r w:rsidRPr="006D0B2F">
              <w:t>≥-</w:t>
            </w:r>
            <w:r w:rsidRPr="006D0B2F">
              <w:rPr>
                <w:rFonts w:hint="eastAsia"/>
                <w:lang w:eastAsia="zh-CN"/>
              </w:rPr>
              <w:t>13</w:t>
            </w:r>
            <w:r w:rsidRPr="006D0B2F">
              <w:t>dB</w:t>
            </w:r>
          </w:p>
        </w:tc>
        <w:tc>
          <w:tcPr>
            <w:tcW w:w="1568" w:type="dxa"/>
            <w:tcBorders>
              <w:top w:val="single" w:sz="6" w:space="0" w:color="auto"/>
              <w:left w:val="single" w:sz="6" w:space="0" w:color="auto"/>
              <w:right w:val="single" w:sz="6" w:space="0" w:color="auto"/>
            </w:tcBorders>
            <w:shd w:val="clear" w:color="auto" w:fill="auto"/>
          </w:tcPr>
          <w:p w14:paraId="08715380" w14:textId="77777777" w:rsidR="003D5855" w:rsidRPr="006D0B2F" w:rsidRDefault="003D5855" w:rsidP="003D5855">
            <w:pPr>
              <w:pStyle w:val="TAC"/>
            </w:pPr>
            <w:r w:rsidRPr="006D0B2F">
              <w:rPr>
                <w:lang w:eastAsia="zh-CN"/>
              </w:rPr>
              <w:t>24 ≤ BW ≤ 64</w:t>
            </w:r>
          </w:p>
        </w:tc>
        <w:tc>
          <w:tcPr>
            <w:tcW w:w="1487" w:type="dxa"/>
            <w:tcBorders>
              <w:top w:val="single" w:sz="6" w:space="0" w:color="auto"/>
              <w:left w:val="single" w:sz="6" w:space="0" w:color="auto"/>
              <w:right w:val="single" w:sz="6" w:space="0" w:color="auto"/>
            </w:tcBorders>
            <w:shd w:val="clear" w:color="auto" w:fill="auto"/>
          </w:tcPr>
          <w:p w14:paraId="7E9CFA5D" w14:textId="77777777" w:rsidR="003D5855" w:rsidRPr="006D0B2F" w:rsidRDefault="003D5855" w:rsidP="003D5855">
            <w:pPr>
              <w:pStyle w:val="TAC"/>
              <w:rPr>
                <w:lang w:eastAsia="zh-CN"/>
              </w:rPr>
            </w:pPr>
            <w:r w:rsidRPr="006D0B2F">
              <w:rPr>
                <w:lang w:eastAsia="zh-CN"/>
              </w:rPr>
              <w:t>All</w:t>
            </w:r>
          </w:p>
        </w:tc>
        <w:tc>
          <w:tcPr>
            <w:tcW w:w="3798" w:type="dxa"/>
            <w:gridSpan w:val="3"/>
            <w:tcBorders>
              <w:top w:val="single" w:sz="6" w:space="0" w:color="auto"/>
              <w:left w:val="single" w:sz="6" w:space="0" w:color="auto"/>
              <w:right w:val="single" w:sz="4" w:space="0" w:color="auto"/>
            </w:tcBorders>
            <w:shd w:val="clear" w:color="auto" w:fill="auto"/>
            <w:vAlign w:val="center"/>
          </w:tcPr>
          <w:p w14:paraId="673DC0B4" w14:textId="77777777" w:rsidR="003D5855" w:rsidRPr="006D0B2F" w:rsidRDefault="003D5855" w:rsidP="003D5855">
            <w:pPr>
              <w:pStyle w:val="TAC"/>
              <w:rPr>
                <w:lang w:eastAsia="zh-CN"/>
              </w:rPr>
            </w:pPr>
            <w:r w:rsidRPr="006D0B2F">
              <w:t>Note 4</w:t>
            </w:r>
          </w:p>
        </w:tc>
      </w:tr>
      <w:tr w:rsidR="003D5855" w:rsidRPr="006D0B2F" w14:paraId="628D404A" w14:textId="77777777" w:rsidTr="003D5855">
        <w:trPr>
          <w:jc w:val="center"/>
        </w:trPr>
        <w:tc>
          <w:tcPr>
            <w:tcW w:w="1046" w:type="dxa"/>
            <w:tcBorders>
              <w:top w:val="single" w:sz="4" w:space="0" w:color="auto"/>
              <w:left w:val="single" w:sz="4" w:space="0" w:color="auto"/>
              <w:bottom w:val="single" w:sz="6" w:space="0" w:color="auto"/>
              <w:right w:val="single" w:sz="6" w:space="0" w:color="auto"/>
            </w:tcBorders>
            <w:shd w:val="clear" w:color="auto" w:fill="auto"/>
            <w:vAlign w:val="center"/>
          </w:tcPr>
          <w:p w14:paraId="49DB7BEE" w14:textId="6E2C1DA6" w:rsidR="003D5855" w:rsidRPr="006D0B2F" w:rsidRDefault="003D5855" w:rsidP="003D5855">
            <w:pPr>
              <w:pStyle w:val="TAC"/>
              <w:rPr>
                <w:lang w:eastAsia="zh-CN"/>
              </w:rPr>
            </w:pPr>
            <w:r w:rsidRPr="006D0B2F">
              <w:rPr>
                <w:rFonts w:hint="eastAsia"/>
                <w:lang w:eastAsia="zh-CN"/>
              </w:rPr>
              <w:t>±</w:t>
            </w:r>
            <w:r>
              <w:rPr>
                <w:rFonts w:hint="eastAsia"/>
                <w:lang w:eastAsia="zh-CN"/>
              </w:rPr>
              <w:t>7</w:t>
            </w:r>
            <w:r>
              <w:rPr>
                <w:lang w:eastAsia="zh-CN"/>
              </w:rPr>
              <w:t>.5</w:t>
            </w:r>
          </w:p>
        </w:tc>
        <w:tc>
          <w:tcPr>
            <w:tcW w:w="1049" w:type="dxa"/>
            <w:tcBorders>
              <w:top w:val="single" w:sz="4" w:space="0" w:color="auto"/>
              <w:left w:val="single" w:sz="4" w:space="0" w:color="auto"/>
              <w:bottom w:val="single" w:sz="4" w:space="0" w:color="auto"/>
              <w:right w:val="single" w:sz="4" w:space="0" w:color="auto"/>
            </w:tcBorders>
            <w:vAlign w:val="center"/>
          </w:tcPr>
          <w:p w14:paraId="042E3C25" w14:textId="14CF9F76" w:rsidR="003D5855" w:rsidRPr="006D0B2F" w:rsidRDefault="003D5855" w:rsidP="003D5855">
            <w:pPr>
              <w:pStyle w:val="TAC"/>
              <w:rPr>
                <w:lang w:eastAsia="zh-CN"/>
              </w:rPr>
            </w:pPr>
            <w:r>
              <w:rPr>
                <w:rFonts w:cs="Arial" w:hint="eastAsia"/>
                <w:lang w:eastAsia="zh-CN"/>
              </w:rPr>
              <w:t>±</w:t>
            </w:r>
            <w:r>
              <w:rPr>
                <w:rFonts w:cs="Arial"/>
                <w:lang w:eastAsia="zh-CN"/>
              </w:rPr>
              <w:t>10.5</w:t>
            </w:r>
          </w:p>
        </w:tc>
        <w:tc>
          <w:tcPr>
            <w:tcW w:w="907" w:type="dxa"/>
            <w:vMerge/>
            <w:tcBorders>
              <w:left w:val="single" w:sz="6" w:space="0" w:color="auto"/>
              <w:bottom w:val="single" w:sz="6" w:space="0" w:color="auto"/>
              <w:right w:val="single" w:sz="6" w:space="0" w:color="auto"/>
            </w:tcBorders>
            <w:shd w:val="clear" w:color="auto" w:fill="auto"/>
            <w:vAlign w:val="center"/>
          </w:tcPr>
          <w:p w14:paraId="7CC61361" w14:textId="77777777" w:rsidR="003D5855" w:rsidRPr="006D0B2F" w:rsidRDefault="003D5855" w:rsidP="003D5855">
            <w:pPr>
              <w:pStyle w:val="TAC"/>
            </w:pPr>
          </w:p>
        </w:tc>
        <w:tc>
          <w:tcPr>
            <w:tcW w:w="1568" w:type="dxa"/>
            <w:tcBorders>
              <w:top w:val="single" w:sz="6" w:space="0" w:color="auto"/>
              <w:left w:val="single" w:sz="6" w:space="0" w:color="auto"/>
              <w:bottom w:val="single" w:sz="6" w:space="0" w:color="auto"/>
              <w:right w:val="single" w:sz="6" w:space="0" w:color="auto"/>
            </w:tcBorders>
            <w:shd w:val="clear" w:color="auto" w:fill="auto"/>
          </w:tcPr>
          <w:p w14:paraId="55E27C6E" w14:textId="77777777" w:rsidR="003D5855" w:rsidRPr="006D0B2F" w:rsidRDefault="003D5855" w:rsidP="003D5855">
            <w:pPr>
              <w:pStyle w:val="TAC"/>
            </w:pPr>
            <w:r w:rsidRPr="006D0B2F">
              <w:rPr>
                <w:lang w:eastAsia="zh-CN"/>
              </w:rPr>
              <w:t>BW &gt;64</w:t>
            </w:r>
          </w:p>
        </w:tc>
        <w:tc>
          <w:tcPr>
            <w:tcW w:w="1487" w:type="dxa"/>
            <w:tcBorders>
              <w:top w:val="single" w:sz="6" w:space="0" w:color="auto"/>
              <w:left w:val="single" w:sz="6" w:space="0" w:color="auto"/>
              <w:bottom w:val="single" w:sz="6" w:space="0" w:color="auto"/>
              <w:right w:val="single" w:sz="6" w:space="0" w:color="auto"/>
            </w:tcBorders>
            <w:shd w:val="clear" w:color="auto" w:fill="auto"/>
          </w:tcPr>
          <w:p w14:paraId="6CCC5C1A" w14:textId="77777777" w:rsidR="003D5855" w:rsidRPr="006D0B2F" w:rsidRDefault="003D5855" w:rsidP="003D5855">
            <w:pPr>
              <w:pStyle w:val="TAC"/>
              <w:rPr>
                <w:lang w:eastAsia="zh-CN"/>
              </w:rPr>
            </w:pPr>
            <w:r w:rsidRPr="006D0B2F">
              <w:rPr>
                <w:lang w:eastAsia="zh-CN"/>
              </w:rPr>
              <w:t>All</w:t>
            </w: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76F650F8" w14:textId="77777777" w:rsidR="003D5855" w:rsidRPr="006D0B2F" w:rsidRDefault="003D5855" w:rsidP="003D5855">
            <w:pPr>
              <w:pStyle w:val="TAC"/>
            </w:pPr>
            <w:r w:rsidRPr="006D0B2F">
              <w:t>Note 4</w:t>
            </w:r>
          </w:p>
        </w:tc>
      </w:tr>
      <w:tr w:rsidR="00B0469F" w:rsidRPr="006D0B2F" w14:paraId="2702B522" w14:textId="77777777" w:rsidTr="003D5855">
        <w:trPr>
          <w:jc w:val="center"/>
        </w:trPr>
        <w:tc>
          <w:tcPr>
            <w:tcW w:w="9855" w:type="dxa"/>
            <w:gridSpan w:val="8"/>
            <w:tcBorders>
              <w:top w:val="single" w:sz="6" w:space="0" w:color="auto"/>
              <w:left w:val="single" w:sz="4" w:space="0" w:color="auto"/>
              <w:bottom w:val="single" w:sz="4" w:space="0" w:color="auto"/>
              <w:right w:val="single" w:sz="4" w:space="0" w:color="auto"/>
            </w:tcBorders>
            <w:vAlign w:val="center"/>
          </w:tcPr>
          <w:p w14:paraId="5FE83D02" w14:textId="77777777" w:rsidR="00B0469F" w:rsidRPr="006D0B2F" w:rsidRDefault="00B0469F" w:rsidP="00F37389">
            <w:pPr>
              <w:pStyle w:val="TAN"/>
            </w:pPr>
            <w:r w:rsidRPr="006D0B2F">
              <w:t>N</w:t>
            </w:r>
            <w:r w:rsidRPr="006D0B2F">
              <w:rPr>
                <w:lang w:eastAsia="zh-CN"/>
              </w:rPr>
              <w:t>OTE</w:t>
            </w:r>
            <w:r w:rsidRPr="006D0B2F">
              <w:t xml:space="preserve"> 1:</w:t>
            </w:r>
            <w:r w:rsidRPr="006D0B2F">
              <w:tab/>
              <w:t>This minimum Io condition is expressed as the average Io per RE over all REs in an OFDM symbol.</w:t>
            </w:r>
          </w:p>
          <w:p w14:paraId="6B7965AB" w14:textId="77777777" w:rsidR="00B0469F" w:rsidRPr="006D0B2F" w:rsidRDefault="00B0469F" w:rsidP="00F37389">
            <w:pPr>
              <w:pStyle w:val="TAN"/>
            </w:pPr>
            <w:r w:rsidRPr="006D0B2F">
              <w:t>N</w:t>
            </w:r>
            <w:r w:rsidRPr="006D0B2F">
              <w:rPr>
                <w:lang w:eastAsia="zh-CN"/>
              </w:rPr>
              <w:t>OTE</w:t>
            </w:r>
            <w:r w:rsidRPr="006D0B2F">
              <w:t xml:space="preserve"> 2:</w:t>
            </w:r>
            <w:r w:rsidRPr="006D0B2F">
              <w:tab/>
            </w:r>
            <w:r w:rsidRPr="006D0B2F">
              <w:rPr>
                <w:rFonts w:hint="eastAsia"/>
                <w:lang w:eastAsia="zh-CN"/>
              </w:rPr>
              <w:t>Void</w:t>
            </w:r>
            <w:r w:rsidRPr="006D0B2F">
              <w:t>.</w:t>
            </w:r>
          </w:p>
          <w:p w14:paraId="2B3E3933" w14:textId="77777777" w:rsidR="00B0469F" w:rsidRPr="006D0B2F" w:rsidRDefault="00B0469F" w:rsidP="00F37389">
            <w:pPr>
              <w:pStyle w:val="TAN"/>
              <w:rPr>
                <w:rFonts w:cs="v4.2.0"/>
              </w:rPr>
            </w:pPr>
            <w:r w:rsidRPr="006D0B2F">
              <w:rPr>
                <w:rFonts w:cs="v4.2.0"/>
              </w:rPr>
              <w:t>N</w:t>
            </w:r>
            <w:r w:rsidRPr="006D0B2F">
              <w:rPr>
                <w:lang w:eastAsia="zh-CN"/>
              </w:rPr>
              <w:t>OTE</w:t>
            </w:r>
            <w:r w:rsidRPr="006D0B2F">
              <w:rPr>
                <w:rFonts w:cs="v4.2.0"/>
              </w:rPr>
              <w:t xml:space="preserve"> 3:</w:t>
            </w:r>
            <w:r w:rsidRPr="006D0B2F">
              <w:rPr>
                <w:rFonts w:cs="v4.2.0"/>
              </w:rPr>
              <w:tab/>
              <w:t xml:space="preserve">PRS bandwidth is as indicated in </w:t>
            </w:r>
            <w:r w:rsidRPr="006D0B2F">
              <w:rPr>
                <w:i/>
              </w:rPr>
              <w:t>prs-Bandwidth</w:t>
            </w:r>
            <w:r w:rsidRPr="006D0B2F">
              <w:t xml:space="preserve"> </w:t>
            </w:r>
            <w:r w:rsidRPr="006D0B2F">
              <w:rPr>
                <w:rFonts w:cs="v4.2.0"/>
              </w:rPr>
              <w:t xml:space="preserve">in the OTDOA </w:t>
            </w:r>
            <w:r w:rsidRPr="006D0B2F">
              <w:rPr>
                <w:rFonts w:cs="v4.2.0" w:hint="eastAsia"/>
                <w:lang w:eastAsia="zh-CN"/>
              </w:rPr>
              <w:t>or DL-AoD</w:t>
            </w:r>
            <w:r w:rsidRPr="006D0B2F">
              <w:rPr>
                <w:rFonts w:cs="v4.2.0"/>
              </w:rPr>
              <w:t xml:space="preserve"> assistance data defined in [</w:t>
            </w:r>
            <w:r w:rsidRPr="006D0B2F">
              <w:rPr>
                <w:rFonts w:cs="v4.2.0" w:hint="eastAsia"/>
                <w:lang w:eastAsia="zh-CN"/>
              </w:rPr>
              <w:t>3</w:t>
            </w:r>
            <w:r w:rsidRPr="006D0B2F">
              <w:rPr>
                <w:rFonts w:cs="v4.2.0"/>
              </w:rPr>
              <w:t>4].</w:t>
            </w:r>
          </w:p>
          <w:p w14:paraId="0D25188C" w14:textId="5090D08E" w:rsidR="00B0469F" w:rsidRPr="006D0B2F" w:rsidRDefault="00B0469F" w:rsidP="00F37389">
            <w:pPr>
              <w:pStyle w:val="TAN"/>
            </w:pPr>
            <w:r w:rsidRPr="006D0B2F">
              <w:t>N</w:t>
            </w:r>
            <w:r w:rsidRPr="006D0B2F">
              <w:rPr>
                <w:lang w:eastAsia="zh-CN"/>
              </w:rPr>
              <w:t>OTE</w:t>
            </w:r>
            <w:r w:rsidRPr="006D0B2F">
              <w:t xml:space="preserve"> 4:</w:t>
            </w:r>
            <w:r w:rsidRPr="006D0B2F">
              <w:tab/>
              <w:t xml:space="preserve">The same bands and the same Io conditions for each band apply for this requirement as for the corresponding requirement </w:t>
            </w:r>
            <w:r w:rsidR="00775717">
              <w:t xml:space="preserve">with the PRS bandwidth ≥ </w:t>
            </w:r>
            <w:r w:rsidR="00775717" w:rsidRPr="00F830CA">
              <w:rPr>
                <w:lang w:eastAsia="zh-CN"/>
              </w:rPr>
              <w:t>24</w:t>
            </w:r>
            <w:r w:rsidR="00775717">
              <w:t xml:space="preserve"> RB.</w:t>
            </w:r>
          </w:p>
          <w:p w14:paraId="632B5D1E" w14:textId="77777777" w:rsidR="00B0469F" w:rsidRPr="006D0B2F" w:rsidRDefault="00B0469F" w:rsidP="00F37389">
            <w:pPr>
              <w:pStyle w:val="TAN"/>
            </w:pPr>
            <w:r w:rsidRPr="006D0B2F">
              <w:t>NOTE 5:</w:t>
            </w:r>
            <w:r w:rsidRPr="006D0B2F">
              <w:tab/>
              <w:t>The serving cell, the reference cell, and the measured neighbour cell i are on the same carrier frequency.</w:t>
            </w:r>
          </w:p>
          <w:p w14:paraId="11A032D3" w14:textId="77777777" w:rsidR="00B0469F" w:rsidRPr="006D0B2F" w:rsidRDefault="00B0469F" w:rsidP="00F37389">
            <w:pPr>
              <w:pStyle w:val="TAN"/>
            </w:pPr>
            <w:r w:rsidRPr="006D0B2F">
              <w:t>NOTE 6:</w:t>
            </w:r>
            <w:r w:rsidRPr="006D0B2F">
              <w:tab/>
              <w:t>The condition level is increased by ∆&gt;0, when applicable, as described in Sections B.</w:t>
            </w:r>
            <w:r w:rsidRPr="006D0B2F">
              <w:rPr>
                <w:rFonts w:hint="eastAsia"/>
                <w:lang w:eastAsia="zh-CN"/>
              </w:rPr>
              <w:t>3</w:t>
            </w:r>
            <w:r w:rsidRPr="006D0B2F">
              <w:t>.</w:t>
            </w:r>
            <w:r w:rsidRPr="006D0B2F">
              <w:rPr>
                <w:rFonts w:hint="eastAsia"/>
                <w:lang w:eastAsia="zh-CN"/>
              </w:rPr>
              <w:t>2</w:t>
            </w:r>
            <w:r w:rsidRPr="006D0B2F">
              <w:t xml:space="preserve"> and B.</w:t>
            </w:r>
            <w:r w:rsidRPr="006D0B2F">
              <w:rPr>
                <w:rFonts w:hint="eastAsia"/>
                <w:lang w:eastAsia="zh-CN"/>
              </w:rPr>
              <w:t>3</w:t>
            </w:r>
            <w:r w:rsidRPr="006D0B2F">
              <w:t>.</w:t>
            </w:r>
            <w:r w:rsidRPr="006D0B2F">
              <w:rPr>
                <w:rFonts w:hint="eastAsia"/>
                <w:lang w:eastAsia="zh-CN"/>
              </w:rPr>
              <w:t>3</w:t>
            </w:r>
            <w:r w:rsidRPr="006D0B2F">
              <w:t>.</w:t>
            </w:r>
          </w:p>
          <w:p w14:paraId="49CA83D8" w14:textId="77777777" w:rsidR="00B0469F" w:rsidRPr="006D0B2F" w:rsidRDefault="00B0469F" w:rsidP="00F37389">
            <w:pPr>
              <w:pStyle w:val="TAN"/>
            </w:pPr>
            <w:r w:rsidRPr="006D0B2F">
              <w:t>NOTE 7:</w:t>
            </w:r>
            <w:r w:rsidRPr="006D0B2F">
              <w:tab/>
              <w:t>The Io is defined in PRS positioning subframes. The same Io range applies to PRS and non-PRS symbols. Io levels are different in PRS and non-PRS symbols within the same subframe.</w:t>
            </w:r>
          </w:p>
          <w:p w14:paraId="6367FA85" w14:textId="7F4FC021" w:rsidR="00B0469F" w:rsidRPr="006D0B2F" w:rsidRDefault="00B0469F" w:rsidP="00AD57C0">
            <w:pPr>
              <w:pStyle w:val="TAN"/>
              <w:rPr>
                <w:lang w:eastAsia="zh-CN"/>
              </w:rPr>
            </w:pPr>
            <w:r w:rsidRPr="006D0B2F">
              <w:t>NOTE 8:</w:t>
            </w:r>
            <w:r w:rsidRPr="006D0B2F">
              <w:tab/>
            </w:r>
            <w:r w:rsidRPr="006D0B2F">
              <w:rPr>
                <w:rFonts w:hint="eastAsia"/>
                <w:lang w:eastAsia="zh-CN"/>
              </w:rPr>
              <w:t>NR</w:t>
            </w:r>
            <w:r w:rsidRPr="006D0B2F">
              <w:t xml:space="preserve"> operating band groups are as defined in Section 3.5</w:t>
            </w:r>
            <w:r w:rsidRPr="006D0B2F">
              <w:rPr>
                <w:rFonts w:hint="eastAsia"/>
                <w:lang w:eastAsia="zh-CN"/>
              </w:rPr>
              <w:t>.2</w:t>
            </w:r>
            <w:r w:rsidRPr="006D0B2F">
              <w:t>.</w:t>
            </w:r>
            <w:r w:rsidRPr="006D0B2F">
              <w:rPr>
                <w:rFonts w:hint="eastAsia"/>
                <w:lang w:eastAsia="zh-CN"/>
              </w:rPr>
              <w:t xml:space="preserve"> </w:t>
            </w:r>
          </w:p>
        </w:tc>
      </w:tr>
    </w:tbl>
    <w:p w14:paraId="2DEB93A6" w14:textId="6A31459C" w:rsidR="00B0469F" w:rsidRDefault="00B0469F" w:rsidP="0093626E">
      <w:pPr>
        <w:rPr>
          <w:lang w:eastAsia="zh-CN"/>
        </w:rPr>
      </w:pPr>
    </w:p>
    <w:p w14:paraId="52190E61" w14:textId="77777777" w:rsidR="0093626E" w:rsidRPr="00FA3886" w:rsidRDefault="0093626E" w:rsidP="0093626E">
      <w:pPr>
        <w:rPr>
          <w:rFonts w:eastAsia="SimSun" w:cs="v4.2.0"/>
        </w:rPr>
      </w:pPr>
      <w:r w:rsidRPr="00FA3886">
        <w:rPr>
          <w:rFonts w:eastAsia="SimSun" w:cs="v4.2.0"/>
        </w:rPr>
        <w:t xml:space="preserve">The </w:t>
      </w:r>
      <w:r w:rsidRPr="00FA3886">
        <w:rPr>
          <w:rFonts w:eastAsia="SimSun" w:cs="v4.2.0"/>
          <w:lang w:eastAsia="zh-CN"/>
        </w:rPr>
        <w:t xml:space="preserve">absolute </w:t>
      </w:r>
      <w:r w:rsidRPr="00FA3886">
        <w:rPr>
          <w:rFonts w:eastAsia="SimSun" w:cs="v4.2.0"/>
        </w:rPr>
        <w:t xml:space="preserve">accuracy requirements </w:t>
      </w:r>
      <w:r w:rsidRPr="00FA3886">
        <w:rPr>
          <w:rFonts w:eastAsia="SimSun" w:cs="v4.2.0"/>
          <w:lang w:eastAsia="zh-CN"/>
        </w:rPr>
        <w:t xml:space="preserve">for PRS-RSRP measurement for FR1 defined </w:t>
      </w:r>
      <w:r w:rsidRPr="00FA3886">
        <w:rPr>
          <w:rFonts w:eastAsia="SimSun" w:cs="v4.2.0"/>
        </w:rPr>
        <w:t>in Table 10.1.24.2</w:t>
      </w:r>
      <w:r w:rsidRPr="00FA3886">
        <w:rPr>
          <w:rFonts w:eastAsia="SimSun" w:cs="v4.2.0"/>
          <w:lang w:eastAsia="zh-CN"/>
        </w:rPr>
        <w:t>.2</w:t>
      </w:r>
      <w:r w:rsidRPr="00FA3886">
        <w:rPr>
          <w:rFonts w:eastAsia="SimSun" w:cs="v4.2.0"/>
        </w:rPr>
        <w:t>-3</w:t>
      </w:r>
      <w:r w:rsidRPr="00FA3886">
        <w:rPr>
          <w:rFonts w:eastAsia="SimSun" w:cs="v4.2.0"/>
          <w:lang w:eastAsia="zh-CN"/>
        </w:rPr>
        <w:t xml:space="preserve"> </w:t>
      </w:r>
      <w:r w:rsidRPr="00FA3886">
        <w:rPr>
          <w:rFonts w:eastAsia="SimSun" w:cs="v4.2.0"/>
        </w:rPr>
        <w:t>are valid under the following conditions:</w:t>
      </w:r>
    </w:p>
    <w:p w14:paraId="26498B10" w14:textId="77777777" w:rsidR="0093626E" w:rsidRPr="00FA3886" w:rsidRDefault="0093626E" w:rsidP="0093626E">
      <w:pPr>
        <w:pStyle w:val="B10"/>
        <w:rPr>
          <w:rFonts w:cs="v4.2.0"/>
        </w:rPr>
      </w:pPr>
      <w:r w:rsidRPr="00FA3886">
        <w:t>-</w:t>
      </w:r>
      <w:r w:rsidRPr="00FA3886">
        <w:tab/>
        <w:t>Conditions defined in 3</w:t>
      </w:r>
      <w:r w:rsidRPr="00FA3886">
        <w:rPr>
          <w:lang w:eastAsia="zh-CN"/>
        </w:rPr>
        <w:t>8</w:t>
      </w:r>
      <w:r w:rsidRPr="00FA3886">
        <w:t>.101</w:t>
      </w:r>
      <w:r w:rsidRPr="00FA3886">
        <w:rPr>
          <w:lang w:eastAsia="zh-CN"/>
        </w:rPr>
        <w:t>-1</w:t>
      </w:r>
      <w:r w:rsidRPr="00FA3886">
        <w:t xml:space="preserve"> Clause 7.3 for reference sensitivity are fulfilled.</w:t>
      </w:r>
    </w:p>
    <w:p w14:paraId="6E68A6E6" w14:textId="77777777" w:rsidR="0093626E" w:rsidRPr="00FA3886" w:rsidRDefault="0093626E" w:rsidP="0093626E">
      <w:pPr>
        <w:pStyle w:val="B10"/>
      </w:pPr>
      <w:r w:rsidRPr="00FA3886">
        <w:t>-</w:t>
      </w:r>
      <w:r w:rsidRPr="00FA3886">
        <w:tab/>
        <w:t>PRP 1,2|</w:t>
      </w:r>
      <w:r w:rsidRPr="00FA3886">
        <w:rPr>
          <w:vertAlign w:val="subscript"/>
        </w:rPr>
        <w:t>dBm</w:t>
      </w:r>
      <w:r w:rsidRPr="00FA3886">
        <w:t xml:space="preserve"> according to Annex B.</w:t>
      </w:r>
      <w:r w:rsidRPr="00FA3886">
        <w:rPr>
          <w:lang w:eastAsia="zh-CN"/>
        </w:rPr>
        <w:t>2.14</w:t>
      </w:r>
      <w:r w:rsidRPr="00FA3886">
        <w:t xml:space="preserve"> for a corresponding Band</w:t>
      </w:r>
    </w:p>
    <w:p w14:paraId="3FD7A756" w14:textId="77777777" w:rsidR="0093626E" w:rsidRPr="00FA3886" w:rsidRDefault="0093626E" w:rsidP="0093626E">
      <w:pPr>
        <w:pStyle w:val="B10"/>
      </w:pPr>
      <w:r w:rsidRPr="00FA3886">
        <w:t>-</w:t>
      </w:r>
      <w:r w:rsidRPr="00FA3886">
        <w:tab/>
        <w:t>UE supports positioning measurements with reduced number of samples, and LMF indicates UE to perform positioning measurements with reduced number of samples</w:t>
      </w:r>
    </w:p>
    <w:p w14:paraId="4F3B69BB" w14:textId="77777777" w:rsidR="0093626E" w:rsidRPr="00FA3886" w:rsidRDefault="0093626E" w:rsidP="0093626E">
      <w:pPr>
        <w:pStyle w:val="B10"/>
        <w:rPr>
          <w:rFonts w:cs="v4.2.0"/>
        </w:rPr>
      </w:pPr>
      <w:r w:rsidRPr="00FA3886">
        <w:t>-</w:t>
      </w:r>
      <w:r w:rsidRPr="00FA3886">
        <w:tab/>
        <w:t>AWGN channel</w:t>
      </w:r>
    </w:p>
    <w:p w14:paraId="3553FC75" w14:textId="77777777" w:rsidR="0093626E" w:rsidRPr="00FA3886" w:rsidRDefault="0093626E" w:rsidP="0093626E">
      <w:pPr>
        <w:rPr>
          <w:rFonts w:eastAsia="SimSun" w:cs="v4.2.0"/>
        </w:rPr>
      </w:pPr>
      <w:r w:rsidRPr="00FA3886">
        <w:rPr>
          <w:rFonts w:eastAsia="SimSun" w:cs="v4.2.0"/>
        </w:rPr>
        <w:t xml:space="preserve">The </w:t>
      </w:r>
      <w:r w:rsidRPr="00FA3886">
        <w:rPr>
          <w:rFonts w:eastAsia="SimSun" w:cs="v4.2.0"/>
          <w:lang w:eastAsia="zh-CN"/>
        </w:rPr>
        <w:t xml:space="preserve">absolute </w:t>
      </w:r>
      <w:r w:rsidRPr="00FA3886">
        <w:rPr>
          <w:rFonts w:eastAsia="SimSun" w:cs="v4.2.0"/>
        </w:rPr>
        <w:t xml:space="preserve">accuracy requirements </w:t>
      </w:r>
      <w:r w:rsidRPr="00FA3886">
        <w:rPr>
          <w:rFonts w:eastAsia="SimSun" w:cs="v4.2.0"/>
          <w:lang w:eastAsia="zh-CN"/>
        </w:rPr>
        <w:t xml:space="preserve">for PRS-RSRP measurement for FR2 defined </w:t>
      </w:r>
      <w:r w:rsidRPr="00FA3886">
        <w:rPr>
          <w:rFonts w:eastAsia="SimSun" w:cs="v4.2.0"/>
        </w:rPr>
        <w:t>in Table 10.1.24.2</w:t>
      </w:r>
      <w:r w:rsidRPr="00FA3886">
        <w:rPr>
          <w:rFonts w:eastAsia="SimSun" w:cs="v4.2.0"/>
          <w:lang w:eastAsia="zh-CN"/>
        </w:rPr>
        <w:t>.2</w:t>
      </w:r>
      <w:r w:rsidRPr="00FA3886">
        <w:rPr>
          <w:rFonts w:eastAsia="SimSun" w:cs="v4.2.0"/>
        </w:rPr>
        <w:t>-</w:t>
      </w:r>
      <w:r w:rsidRPr="00FA3886">
        <w:rPr>
          <w:rFonts w:eastAsia="SimSun" w:cs="v4.2.0"/>
          <w:lang w:eastAsia="zh-CN"/>
        </w:rPr>
        <w:t xml:space="preserve">4 </w:t>
      </w:r>
      <w:r w:rsidRPr="00FA3886">
        <w:rPr>
          <w:rFonts w:eastAsia="SimSun" w:cs="v4.2.0"/>
        </w:rPr>
        <w:t>are valid under the following conditions:</w:t>
      </w:r>
    </w:p>
    <w:p w14:paraId="7208DFF4" w14:textId="77777777" w:rsidR="0093626E" w:rsidRPr="00FA3886" w:rsidRDefault="0093626E" w:rsidP="0093626E">
      <w:pPr>
        <w:pStyle w:val="B10"/>
        <w:rPr>
          <w:rFonts w:cs="v4.2.0"/>
        </w:rPr>
      </w:pPr>
      <w:r w:rsidRPr="00FA3886">
        <w:t>-</w:t>
      </w:r>
      <w:r w:rsidRPr="00FA3886">
        <w:tab/>
        <w:t>Conditions defined in 3</w:t>
      </w:r>
      <w:r w:rsidRPr="00FA3886">
        <w:rPr>
          <w:lang w:eastAsia="zh-CN"/>
        </w:rPr>
        <w:t>8</w:t>
      </w:r>
      <w:r w:rsidRPr="00FA3886">
        <w:t>.101</w:t>
      </w:r>
      <w:r w:rsidRPr="00FA3886">
        <w:rPr>
          <w:lang w:eastAsia="zh-CN"/>
        </w:rPr>
        <w:t>-2</w:t>
      </w:r>
      <w:r w:rsidRPr="00FA3886">
        <w:t xml:space="preserve"> Clause 7.3 for reference sensitivity are fulfilled.</w:t>
      </w:r>
    </w:p>
    <w:p w14:paraId="59849078" w14:textId="77777777" w:rsidR="0093626E" w:rsidRPr="00FA3886" w:rsidRDefault="0093626E" w:rsidP="0093626E">
      <w:pPr>
        <w:pStyle w:val="B10"/>
      </w:pPr>
      <w:r w:rsidRPr="00FA3886">
        <w:t>-</w:t>
      </w:r>
      <w:r w:rsidRPr="00FA3886">
        <w:tab/>
        <w:t>PRP 1,2|</w:t>
      </w:r>
      <w:r w:rsidRPr="00FA3886">
        <w:rPr>
          <w:vertAlign w:val="subscript"/>
        </w:rPr>
        <w:t>dBm</w:t>
      </w:r>
      <w:r w:rsidRPr="00FA3886">
        <w:t xml:space="preserve"> according to Annex B.</w:t>
      </w:r>
      <w:r w:rsidRPr="00FA3886">
        <w:rPr>
          <w:lang w:eastAsia="zh-CN"/>
        </w:rPr>
        <w:t>2.14</w:t>
      </w:r>
      <w:r w:rsidRPr="00FA3886">
        <w:t xml:space="preserve"> for a corresponding Band</w:t>
      </w:r>
    </w:p>
    <w:p w14:paraId="4DA73D1C" w14:textId="77777777" w:rsidR="0093626E" w:rsidRPr="00FA3886" w:rsidRDefault="0093626E" w:rsidP="0093626E">
      <w:pPr>
        <w:pStyle w:val="B10"/>
      </w:pPr>
      <w:r w:rsidRPr="00FA3886">
        <w:t>-</w:t>
      </w:r>
      <w:r w:rsidRPr="00FA3886">
        <w:tab/>
        <w:t>UE supports positioning measurements with reduced number of samples, and LMF indicates UE to perform positioning measurements with reduced number of samples</w:t>
      </w:r>
    </w:p>
    <w:p w14:paraId="23E03C22" w14:textId="09955AFF" w:rsidR="0093626E" w:rsidRDefault="0093626E" w:rsidP="0093626E">
      <w:pPr>
        <w:pStyle w:val="B10"/>
      </w:pPr>
      <w:r w:rsidRPr="00FA3886">
        <w:t>-</w:t>
      </w:r>
      <w:r w:rsidRPr="00FA3886">
        <w:tab/>
        <w:t>AWGN channel</w:t>
      </w:r>
    </w:p>
    <w:p w14:paraId="41D0A2EE" w14:textId="77777777" w:rsidR="0093626E" w:rsidRPr="00FA3886" w:rsidRDefault="0093626E" w:rsidP="0093626E">
      <w:pPr>
        <w:ind w:left="568" w:hanging="284"/>
        <w:rPr>
          <w:rFonts w:cs="v4.2.0"/>
        </w:rPr>
      </w:pPr>
    </w:p>
    <w:p w14:paraId="6C6F9979" w14:textId="77777777" w:rsidR="0093626E" w:rsidRPr="00FA3886" w:rsidRDefault="0093626E" w:rsidP="0093626E">
      <w:pPr>
        <w:pStyle w:val="TH"/>
        <w:rPr>
          <w:lang w:eastAsia="zh-CN"/>
        </w:rPr>
      </w:pPr>
      <w:r w:rsidRPr="00FA3886">
        <w:t xml:space="preserve">Table </w:t>
      </w:r>
      <w:r w:rsidRPr="00FA3886">
        <w:rPr>
          <w:rFonts w:cs="v4.2.0"/>
        </w:rPr>
        <w:t>10.1.24.2</w:t>
      </w:r>
      <w:r w:rsidRPr="00FA3886">
        <w:rPr>
          <w:rFonts w:cs="v4.2.0"/>
          <w:lang w:eastAsia="zh-CN"/>
        </w:rPr>
        <w:t>.2</w:t>
      </w:r>
      <w:r w:rsidRPr="00FA3886">
        <w:rPr>
          <w:rFonts w:cs="v4.2.0"/>
        </w:rPr>
        <w:t>-3</w:t>
      </w:r>
      <w:r w:rsidRPr="00FA3886">
        <w:t>: PRS</w:t>
      </w:r>
      <w:r w:rsidRPr="00FA3886">
        <w:rPr>
          <w:lang w:eastAsia="zh-CN"/>
        </w:rPr>
        <w:t>-</w:t>
      </w:r>
      <w:r w:rsidRPr="00FA3886">
        <w:t xml:space="preserve">RSRP </w:t>
      </w:r>
      <w:r w:rsidRPr="00FA3886">
        <w:rPr>
          <w:lang w:eastAsia="zh-CN"/>
        </w:rPr>
        <w:t xml:space="preserve">relative </w:t>
      </w:r>
      <w:r w:rsidRPr="00FA3886">
        <w:t>accuracy</w:t>
      </w:r>
      <w:r w:rsidRPr="00FA3886">
        <w:rPr>
          <w:lang w:eastAsia="zh-CN"/>
        </w:rPr>
        <w:t xml:space="preserve"> for FR1 with reduced sample number</w:t>
      </w:r>
    </w:p>
    <w:tbl>
      <w:tblPr>
        <w:tblW w:w="11055" w:type="dxa"/>
        <w:jc w:val="center"/>
        <w:tblLayout w:type="fixed"/>
        <w:tblLook w:val="01E0" w:firstRow="1" w:lastRow="1" w:firstColumn="1" w:lastColumn="1" w:noHBand="0" w:noVBand="0"/>
      </w:tblPr>
      <w:tblGrid>
        <w:gridCol w:w="965"/>
        <w:gridCol w:w="965"/>
        <w:gridCol w:w="827"/>
        <w:gridCol w:w="1140"/>
        <w:gridCol w:w="1178"/>
        <w:gridCol w:w="1586"/>
        <w:gridCol w:w="992"/>
        <w:gridCol w:w="1134"/>
        <w:gridCol w:w="1071"/>
        <w:gridCol w:w="1197"/>
      </w:tblGrid>
      <w:tr w:rsidR="0093626E" w:rsidRPr="00FA3886" w14:paraId="7F43B733" w14:textId="77777777" w:rsidTr="007F4AB1">
        <w:trPr>
          <w:trHeight w:val="430"/>
          <w:jc w:val="center"/>
        </w:trPr>
        <w:tc>
          <w:tcPr>
            <w:tcW w:w="1930" w:type="dxa"/>
            <w:gridSpan w:val="2"/>
            <w:tcBorders>
              <w:top w:val="single" w:sz="4" w:space="0" w:color="auto"/>
              <w:left w:val="single" w:sz="4" w:space="0" w:color="auto"/>
              <w:bottom w:val="single" w:sz="4" w:space="0" w:color="auto"/>
              <w:right w:val="single" w:sz="4" w:space="0" w:color="auto"/>
            </w:tcBorders>
            <w:vAlign w:val="center"/>
            <w:hideMark/>
          </w:tcPr>
          <w:p w14:paraId="105FAED8"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Accuracy</w:t>
            </w:r>
          </w:p>
        </w:tc>
        <w:tc>
          <w:tcPr>
            <w:tcW w:w="9125" w:type="dxa"/>
            <w:gridSpan w:val="8"/>
            <w:tcBorders>
              <w:top w:val="single" w:sz="4" w:space="0" w:color="auto"/>
              <w:left w:val="single" w:sz="4" w:space="0" w:color="auto"/>
              <w:bottom w:val="single" w:sz="6" w:space="0" w:color="auto"/>
              <w:right w:val="single" w:sz="4" w:space="0" w:color="auto"/>
            </w:tcBorders>
            <w:vAlign w:val="center"/>
            <w:hideMark/>
          </w:tcPr>
          <w:p w14:paraId="41C35FEC"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Conditions</w:t>
            </w:r>
          </w:p>
        </w:tc>
      </w:tr>
      <w:tr w:rsidR="0093626E" w:rsidRPr="00FA3886" w14:paraId="567751E8" w14:textId="77777777" w:rsidTr="007F4AB1">
        <w:trPr>
          <w:trHeight w:val="59"/>
          <w:jc w:val="center"/>
        </w:trPr>
        <w:tc>
          <w:tcPr>
            <w:tcW w:w="965" w:type="dxa"/>
            <w:vMerge w:val="restart"/>
            <w:tcBorders>
              <w:top w:val="single" w:sz="4" w:space="0" w:color="auto"/>
              <w:left w:val="single" w:sz="4" w:space="0" w:color="auto"/>
              <w:bottom w:val="nil"/>
              <w:right w:val="single" w:sz="6" w:space="0" w:color="auto"/>
            </w:tcBorders>
            <w:vAlign w:val="center"/>
            <w:hideMark/>
          </w:tcPr>
          <w:p w14:paraId="63D810E4"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Normal condition</w:t>
            </w:r>
          </w:p>
        </w:tc>
        <w:tc>
          <w:tcPr>
            <w:tcW w:w="965" w:type="dxa"/>
            <w:vMerge w:val="restart"/>
            <w:tcBorders>
              <w:top w:val="single" w:sz="4" w:space="0" w:color="auto"/>
              <w:left w:val="single" w:sz="4" w:space="0" w:color="auto"/>
              <w:bottom w:val="nil"/>
              <w:right w:val="single" w:sz="6" w:space="0" w:color="auto"/>
            </w:tcBorders>
            <w:vAlign w:val="center"/>
            <w:hideMark/>
          </w:tcPr>
          <w:p w14:paraId="730CF449"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Extreme condition</w:t>
            </w:r>
          </w:p>
        </w:tc>
        <w:tc>
          <w:tcPr>
            <w:tcW w:w="827" w:type="dxa"/>
            <w:vMerge w:val="restart"/>
            <w:tcBorders>
              <w:top w:val="single" w:sz="6" w:space="0" w:color="auto"/>
              <w:left w:val="single" w:sz="6" w:space="0" w:color="auto"/>
              <w:bottom w:val="nil"/>
              <w:right w:val="single" w:sz="6" w:space="0" w:color="auto"/>
            </w:tcBorders>
            <w:vAlign w:val="center"/>
            <w:hideMark/>
          </w:tcPr>
          <w:p w14:paraId="53047F37"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PRS Ês/Iot</w:t>
            </w:r>
          </w:p>
        </w:tc>
        <w:tc>
          <w:tcPr>
            <w:tcW w:w="1140" w:type="dxa"/>
            <w:vMerge w:val="restart"/>
            <w:tcBorders>
              <w:top w:val="single" w:sz="6" w:space="0" w:color="auto"/>
              <w:left w:val="single" w:sz="6" w:space="0" w:color="auto"/>
              <w:bottom w:val="nil"/>
              <w:right w:val="single" w:sz="6" w:space="0" w:color="auto"/>
            </w:tcBorders>
            <w:vAlign w:val="center"/>
            <w:hideMark/>
          </w:tcPr>
          <w:p w14:paraId="6E9153FE"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PRS BW</w:t>
            </w:r>
          </w:p>
        </w:tc>
        <w:tc>
          <w:tcPr>
            <w:tcW w:w="1178" w:type="dxa"/>
            <w:vMerge w:val="restart"/>
            <w:tcBorders>
              <w:top w:val="single" w:sz="6" w:space="0" w:color="auto"/>
              <w:left w:val="single" w:sz="6" w:space="0" w:color="auto"/>
              <w:bottom w:val="nil"/>
              <w:right w:val="single" w:sz="6" w:space="0" w:color="auto"/>
            </w:tcBorders>
            <w:vAlign w:val="center"/>
            <w:hideMark/>
          </w:tcPr>
          <w:p w14:paraId="58503082" w14:textId="77777777" w:rsidR="0093626E" w:rsidRPr="00FA3886" w:rsidRDefault="0093626E" w:rsidP="00ED4E9A">
            <w:pPr>
              <w:keepNext/>
              <w:keepLines/>
              <w:spacing w:after="0"/>
              <w:jc w:val="center"/>
              <w:rPr>
                <w:rFonts w:ascii="Arial" w:hAnsi="Arial" w:cs="Arial"/>
                <w:b/>
                <w:sz w:val="18"/>
                <w:lang w:val="en-US" w:eastAsia="zh-CN"/>
              </w:rPr>
            </w:pPr>
            <w:r w:rsidRPr="00FA3886">
              <w:rPr>
                <w:rFonts w:ascii="Arial" w:hAnsi="Arial" w:cs="Arial"/>
                <w:b/>
                <w:bCs/>
                <w:sz w:val="18"/>
                <w:lang w:eastAsia="zh-CN"/>
              </w:rPr>
              <w:t xml:space="preserve">Repetition factor </w:t>
            </w:r>
          </w:p>
          <w:p w14:paraId="1761C12C"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bCs/>
                <w:sz w:val="18"/>
                <w:lang w:eastAsia="zh-CN"/>
              </w:rPr>
              <w:t>(</w:t>
            </w:r>
            <m:oMath>
              <m:sSubSup>
                <m:sSubSupPr>
                  <m:ctrlPr>
                    <w:rPr>
                      <w:rFonts w:ascii="Cambria Math" w:hAnsi="Cambria Math" w:cs="Arial"/>
                      <w:b/>
                      <w:bCs/>
                      <w:i/>
                      <w:iCs/>
                      <w:sz w:val="18"/>
                      <w:lang w:val="en-US" w:eastAsia="zh-CN"/>
                    </w:rPr>
                  </m:ctrlPr>
                </m:sSubSupPr>
                <m:e>
                  <m:r>
                    <m:rPr>
                      <m:sty m:val="b"/>
                    </m:rPr>
                    <w:rPr>
                      <w:rFonts w:ascii="Cambria Math" w:hAnsi="Cambria Math" w:cs="Arial"/>
                      <w:sz w:val="18"/>
                      <w:lang w:eastAsia="zh-CN"/>
                    </w:rPr>
                    <m:t>T</m:t>
                  </m:r>
                </m:e>
                <m:sub>
                  <m:r>
                    <m:rPr>
                      <m:sty m:val="b"/>
                    </m:rPr>
                    <w:rPr>
                      <w:rFonts w:ascii="Cambria Math" w:hAnsi="Cambria Math" w:cs="Arial"/>
                      <w:sz w:val="18"/>
                      <w:lang w:eastAsia="zh-CN"/>
                    </w:rPr>
                    <m:t>rep</m:t>
                  </m:r>
                </m:sub>
                <m:sup>
                  <m:r>
                    <m:rPr>
                      <m:sty m:val="b"/>
                    </m:rPr>
                    <w:rPr>
                      <w:rFonts w:ascii="Cambria Math" w:hAnsi="Cambria Math" w:cs="Arial"/>
                      <w:sz w:val="18"/>
                      <w:lang w:eastAsia="zh-CN"/>
                    </w:rPr>
                    <m:t>PRS</m:t>
                  </m:r>
                </m:sup>
              </m:sSubSup>
              <m:r>
                <m:rPr>
                  <m:sty m:val="b"/>
                </m:rPr>
                <w:rPr>
                  <w:rFonts w:ascii="Cambria Math" w:hAnsi="Cambria Math" w:cs="Arial"/>
                  <w:sz w:val="18"/>
                  <w:lang w:eastAsia="zh-CN"/>
                </w:rPr>
                <m:t>*</m:t>
              </m:r>
              <m:sSub>
                <m:sSubPr>
                  <m:ctrlPr>
                    <w:rPr>
                      <w:rFonts w:ascii="Cambria Math" w:hAnsi="Cambria Math" w:cs="Arial"/>
                      <w:b/>
                      <w:bCs/>
                      <w:i/>
                      <w:iCs/>
                      <w:sz w:val="18"/>
                      <w:lang w:val="en-US" w:eastAsia="zh-CN"/>
                    </w:rPr>
                  </m:ctrlPr>
                </m:sSubPr>
                <m:e>
                  <m:r>
                    <m:rPr>
                      <m:sty m:val="b"/>
                    </m:rPr>
                    <w:rPr>
                      <w:rFonts w:ascii="Cambria Math" w:hAnsi="Cambria Math" w:cs="Arial"/>
                      <w:sz w:val="18"/>
                      <w:lang w:eastAsia="zh-CN"/>
                    </w:rPr>
                    <m:t>L</m:t>
                  </m:r>
                </m:e>
                <m:sub>
                  <m:r>
                    <m:rPr>
                      <m:sty m:val="b"/>
                    </m:rPr>
                    <w:rPr>
                      <w:rFonts w:ascii="Cambria Math" w:hAnsi="Cambria Math" w:cs="Arial"/>
                      <w:sz w:val="18"/>
                      <w:lang w:eastAsia="zh-CN"/>
                    </w:rPr>
                    <m:t>PRS</m:t>
                  </m:r>
                </m:sub>
              </m:sSub>
              <m:r>
                <m:rPr>
                  <m:sty m:val="b"/>
                </m:rPr>
                <w:rPr>
                  <w:rFonts w:ascii="Cambria Math" w:hAnsi="Cambria Math" w:cs="Arial"/>
                  <w:sz w:val="18"/>
                  <w:lang w:eastAsia="zh-CN"/>
                </w:rPr>
                <m:t>/</m:t>
              </m:r>
              <m:sSubSup>
                <m:sSubSupPr>
                  <m:ctrlPr>
                    <w:rPr>
                      <w:rFonts w:ascii="Cambria Math" w:hAnsi="Cambria Math" w:cs="Arial"/>
                      <w:b/>
                      <w:bCs/>
                      <w:i/>
                      <w:iCs/>
                      <w:sz w:val="18"/>
                      <w:lang w:val="en-US" w:eastAsia="zh-CN"/>
                    </w:rPr>
                  </m:ctrlPr>
                </m:sSubSupPr>
                <m:e>
                  <m:r>
                    <m:rPr>
                      <m:sty m:val="b"/>
                    </m:rPr>
                    <w:rPr>
                      <w:rFonts w:ascii="Cambria Math" w:hAnsi="Cambria Math" w:cs="Arial"/>
                      <w:sz w:val="18"/>
                      <w:lang w:eastAsia="zh-CN"/>
                    </w:rPr>
                    <m:t>K</m:t>
                  </m:r>
                </m:e>
                <m:sub>
                  <m:r>
                    <m:rPr>
                      <m:sty m:val="b"/>
                    </m:rPr>
                    <w:rPr>
                      <w:rFonts w:ascii="Cambria Math" w:hAnsi="Cambria Math" w:cs="Arial"/>
                      <w:sz w:val="18"/>
                      <w:lang w:eastAsia="zh-CN"/>
                    </w:rPr>
                    <m:t>comb</m:t>
                  </m:r>
                </m:sub>
                <m:sup>
                  <m:r>
                    <m:rPr>
                      <m:sty m:val="b"/>
                    </m:rPr>
                    <w:rPr>
                      <w:rFonts w:ascii="Cambria Math" w:hAnsi="Cambria Math" w:cs="Arial"/>
                      <w:sz w:val="18"/>
                      <w:lang w:eastAsia="zh-CN"/>
                    </w:rPr>
                    <m:t>PRS</m:t>
                  </m:r>
                </m:sup>
              </m:sSubSup>
              <m:r>
                <m:rPr>
                  <m:sty m:val="b"/>
                </m:rPr>
                <w:rPr>
                  <w:rFonts w:ascii="Cambria Math" w:hAnsi="Cambria Math" w:cs="Arial"/>
                  <w:sz w:val="18"/>
                  <w:lang w:eastAsia="zh-CN"/>
                </w:rPr>
                <m:t>)</m:t>
              </m:r>
            </m:oMath>
          </w:p>
        </w:tc>
        <w:tc>
          <w:tcPr>
            <w:tcW w:w="5980" w:type="dxa"/>
            <w:gridSpan w:val="5"/>
            <w:tcBorders>
              <w:top w:val="single" w:sz="6" w:space="0" w:color="auto"/>
              <w:left w:val="single" w:sz="6" w:space="0" w:color="auto"/>
              <w:bottom w:val="single" w:sz="6" w:space="0" w:color="auto"/>
              <w:right w:val="single" w:sz="4" w:space="0" w:color="auto"/>
            </w:tcBorders>
            <w:vAlign w:val="center"/>
            <w:hideMark/>
          </w:tcPr>
          <w:p w14:paraId="1C3C7593"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Io</w:t>
            </w:r>
            <w:r w:rsidRPr="00FA3886">
              <w:rPr>
                <w:rFonts w:ascii="Arial" w:hAnsi="Arial" w:cs="Arial"/>
                <w:b/>
                <w:sz w:val="18"/>
                <w:vertAlign w:val="superscript"/>
                <w:lang w:eastAsia="zh-CN"/>
              </w:rPr>
              <w:t xml:space="preserve"> Note 6</w:t>
            </w:r>
            <w:r w:rsidRPr="00FA3886">
              <w:rPr>
                <w:rFonts w:ascii="Arial" w:hAnsi="Arial" w:cs="Arial"/>
                <w:b/>
                <w:sz w:val="18"/>
              </w:rPr>
              <w:t xml:space="preserve"> range</w:t>
            </w:r>
          </w:p>
        </w:tc>
      </w:tr>
      <w:tr w:rsidR="0093626E" w:rsidRPr="00FA3886" w14:paraId="64677571" w14:textId="77777777" w:rsidTr="007F4AB1">
        <w:trPr>
          <w:trHeight w:val="916"/>
          <w:jc w:val="center"/>
        </w:trPr>
        <w:tc>
          <w:tcPr>
            <w:tcW w:w="965" w:type="dxa"/>
            <w:vMerge/>
            <w:tcBorders>
              <w:top w:val="single" w:sz="4" w:space="0" w:color="auto"/>
              <w:left w:val="single" w:sz="4" w:space="0" w:color="auto"/>
              <w:bottom w:val="nil"/>
              <w:right w:val="single" w:sz="6" w:space="0" w:color="auto"/>
            </w:tcBorders>
            <w:vAlign w:val="center"/>
            <w:hideMark/>
          </w:tcPr>
          <w:p w14:paraId="3A8E1264" w14:textId="77777777" w:rsidR="0093626E" w:rsidRPr="00FA3886" w:rsidRDefault="0093626E" w:rsidP="00ED4E9A">
            <w:pPr>
              <w:spacing w:after="0"/>
              <w:rPr>
                <w:rFonts w:ascii="Arial" w:eastAsia="SimSun" w:hAnsi="Arial"/>
                <w:b/>
                <w:sz w:val="18"/>
                <w:lang w:eastAsia="zh-CN"/>
              </w:rPr>
            </w:pPr>
          </w:p>
        </w:tc>
        <w:tc>
          <w:tcPr>
            <w:tcW w:w="965" w:type="dxa"/>
            <w:vMerge/>
            <w:tcBorders>
              <w:top w:val="single" w:sz="4" w:space="0" w:color="auto"/>
              <w:left w:val="single" w:sz="4" w:space="0" w:color="auto"/>
              <w:bottom w:val="nil"/>
              <w:right w:val="single" w:sz="6" w:space="0" w:color="auto"/>
            </w:tcBorders>
            <w:vAlign w:val="center"/>
            <w:hideMark/>
          </w:tcPr>
          <w:p w14:paraId="77644963" w14:textId="77777777" w:rsidR="0093626E" w:rsidRPr="00FA3886" w:rsidRDefault="0093626E" w:rsidP="00ED4E9A">
            <w:pPr>
              <w:spacing w:after="0"/>
              <w:rPr>
                <w:rFonts w:ascii="Arial" w:eastAsia="SimSun" w:hAnsi="Arial"/>
                <w:b/>
                <w:sz w:val="18"/>
                <w:lang w:eastAsia="zh-CN"/>
              </w:rPr>
            </w:pPr>
          </w:p>
        </w:tc>
        <w:tc>
          <w:tcPr>
            <w:tcW w:w="827" w:type="dxa"/>
            <w:vMerge/>
            <w:tcBorders>
              <w:top w:val="single" w:sz="6" w:space="0" w:color="auto"/>
              <w:left w:val="single" w:sz="6" w:space="0" w:color="auto"/>
              <w:bottom w:val="nil"/>
              <w:right w:val="single" w:sz="6" w:space="0" w:color="auto"/>
            </w:tcBorders>
            <w:vAlign w:val="center"/>
            <w:hideMark/>
          </w:tcPr>
          <w:p w14:paraId="5D604A9B" w14:textId="77777777" w:rsidR="0093626E" w:rsidRPr="00FA3886" w:rsidRDefault="0093626E" w:rsidP="00ED4E9A">
            <w:pPr>
              <w:spacing w:after="0"/>
              <w:rPr>
                <w:rFonts w:ascii="Arial" w:eastAsia="SimSun" w:hAnsi="Arial"/>
                <w:b/>
                <w:sz w:val="18"/>
              </w:rPr>
            </w:pPr>
          </w:p>
        </w:tc>
        <w:tc>
          <w:tcPr>
            <w:tcW w:w="1140" w:type="dxa"/>
            <w:vMerge/>
            <w:tcBorders>
              <w:top w:val="single" w:sz="6" w:space="0" w:color="auto"/>
              <w:left w:val="single" w:sz="6" w:space="0" w:color="auto"/>
              <w:bottom w:val="nil"/>
              <w:right w:val="single" w:sz="6" w:space="0" w:color="auto"/>
            </w:tcBorders>
            <w:vAlign w:val="center"/>
            <w:hideMark/>
          </w:tcPr>
          <w:p w14:paraId="521B0F06" w14:textId="77777777" w:rsidR="0093626E" w:rsidRPr="00FA3886" w:rsidRDefault="0093626E" w:rsidP="00ED4E9A">
            <w:pPr>
              <w:spacing w:after="0"/>
              <w:rPr>
                <w:rFonts w:ascii="Arial" w:eastAsia="SimSun" w:hAnsi="Arial"/>
                <w:b/>
                <w:sz w:val="18"/>
                <w:lang w:eastAsia="zh-CN"/>
              </w:rPr>
            </w:pPr>
          </w:p>
        </w:tc>
        <w:tc>
          <w:tcPr>
            <w:tcW w:w="1178" w:type="dxa"/>
            <w:vMerge/>
            <w:tcBorders>
              <w:top w:val="single" w:sz="6" w:space="0" w:color="auto"/>
              <w:left w:val="single" w:sz="6" w:space="0" w:color="auto"/>
              <w:bottom w:val="nil"/>
              <w:right w:val="single" w:sz="6" w:space="0" w:color="auto"/>
            </w:tcBorders>
            <w:vAlign w:val="center"/>
            <w:hideMark/>
          </w:tcPr>
          <w:p w14:paraId="731C368A" w14:textId="77777777" w:rsidR="0093626E" w:rsidRPr="00FA3886" w:rsidRDefault="0093626E" w:rsidP="00ED4E9A">
            <w:pPr>
              <w:spacing w:after="0"/>
              <w:rPr>
                <w:rFonts w:ascii="Arial" w:eastAsia="SimSun" w:hAnsi="Arial"/>
                <w:b/>
                <w:sz w:val="18"/>
                <w:lang w:eastAsia="zh-CN"/>
              </w:rPr>
            </w:pPr>
          </w:p>
        </w:tc>
        <w:tc>
          <w:tcPr>
            <w:tcW w:w="1586" w:type="dxa"/>
            <w:tcBorders>
              <w:top w:val="single" w:sz="6" w:space="0" w:color="auto"/>
              <w:left w:val="single" w:sz="6" w:space="0" w:color="auto"/>
              <w:bottom w:val="nil"/>
              <w:right w:val="single" w:sz="6" w:space="0" w:color="auto"/>
            </w:tcBorders>
            <w:vAlign w:val="center"/>
            <w:hideMark/>
          </w:tcPr>
          <w:p w14:paraId="1C65326A"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NR operating band groups</w:t>
            </w:r>
            <w:r w:rsidRPr="00FA3886">
              <w:rPr>
                <w:rFonts w:ascii="Arial" w:hAnsi="Arial" w:cs="Arial"/>
                <w:b/>
                <w:sz w:val="18"/>
                <w:vertAlign w:val="superscript"/>
              </w:rPr>
              <w:t xml:space="preserve"> Note 7</w:t>
            </w:r>
          </w:p>
        </w:tc>
        <w:tc>
          <w:tcPr>
            <w:tcW w:w="3197" w:type="dxa"/>
            <w:gridSpan w:val="3"/>
            <w:tcBorders>
              <w:top w:val="single" w:sz="6" w:space="0" w:color="auto"/>
              <w:left w:val="single" w:sz="6" w:space="0" w:color="auto"/>
              <w:bottom w:val="nil"/>
              <w:right w:val="single" w:sz="6" w:space="0" w:color="auto"/>
            </w:tcBorders>
            <w:vAlign w:val="center"/>
            <w:hideMark/>
          </w:tcPr>
          <w:p w14:paraId="714BBDBC"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Minimum</w:t>
            </w:r>
            <w:r w:rsidRPr="00FA3886">
              <w:rPr>
                <w:rFonts w:ascii="Arial" w:hAnsi="Arial" w:cs="Arial"/>
                <w:b/>
                <w:sz w:val="18"/>
              </w:rPr>
              <w:br/>
              <w:t xml:space="preserve">Io </w:t>
            </w:r>
            <w:r w:rsidRPr="00FA3886">
              <w:rPr>
                <w:rFonts w:ascii="Arial" w:hAnsi="Arial" w:cs="Arial"/>
                <w:b/>
                <w:sz w:val="18"/>
                <w:vertAlign w:val="superscript"/>
              </w:rPr>
              <w:t>Note 1</w:t>
            </w:r>
          </w:p>
          <w:p w14:paraId="01BABC1A"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 / SCS</w:t>
            </w:r>
            <w:r w:rsidRPr="00FA3886">
              <w:rPr>
                <w:rFonts w:ascii="Arial" w:hAnsi="Arial" w:cs="Arial"/>
                <w:b/>
                <w:sz w:val="18"/>
                <w:vertAlign w:val="subscript"/>
              </w:rPr>
              <w:t>PRS</w:t>
            </w:r>
          </w:p>
        </w:tc>
        <w:tc>
          <w:tcPr>
            <w:tcW w:w="1197" w:type="dxa"/>
            <w:tcBorders>
              <w:top w:val="single" w:sz="6" w:space="0" w:color="auto"/>
              <w:left w:val="single" w:sz="6" w:space="0" w:color="auto"/>
              <w:bottom w:val="nil"/>
              <w:right w:val="single" w:sz="4" w:space="0" w:color="auto"/>
            </w:tcBorders>
            <w:vAlign w:val="center"/>
            <w:hideMark/>
          </w:tcPr>
          <w:p w14:paraId="73CEED03"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Maximum</w:t>
            </w:r>
            <w:r w:rsidRPr="00FA3886">
              <w:rPr>
                <w:rFonts w:ascii="Arial" w:hAnsi="Arial" w:cs="Arial"/>
                <w:b/>
                <w:sz w:val="18"/>
              </w:rPr>
              <w:br/>
              <w:t>Io</w:t>
            </w:r>
          </w:p>
        </w:tc>
      </w:tr>
      <w:tr w:rsidR="0093626E" w:rsidRPr="00FA3886" w14:paraId="39593A07" w14:textId="77777777" w:rsidTr="007F4AB1">
        <w:trPr>
          <w:trHeight w:val="162"/>
          <w:jc w:val="center"/>
        </w:trPr>
        <w:tc>
          <w:tcPr>
            <w:tcW w:w="965" w:type="dxa"/>
            <w:vMerge w:val="restart"/>
            <w:tcBorders>
              <w:top w:val="single" w:sz="6" w:space="0" w:color="auto"/>
              <w:left w:val="single" w:sz="4" w:space="0" w:color="auto"/>
              <w:bottom w:val="single" w:sz="6" w:space="0" w:color="auto"/>
              <w:right w:val="single" w:sz="6" w:space="0" w:color="auto"/>
            </w:tcBorders>
            <w:vAlign w:val="center"/>
            <w:hideMark/>
          </w:tcPr>
          <w:p w14:paraId="70114970"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dB</w:t>
            </w:r>
          </w:p>
        </w:tc>
        <w:tc>
          <w:tcPr>
            <w:tcW w:w="965" w:type="dxa"/>
            <w:vMerge w:val="restart"/>
            <w:tcBorders>
              <w:top w:val="single" w:sz="6" w:space="0" w:color="auto"/>
              <w:left w:val="single" w:sz="4" w:space="0" w:color="auto"/>
              <w:bottom w:val="single" w:sz="6" w:space="0" w:color="auto"/>
              <w:right w:val="single" w:sz="6" w:space="0" w:color="auto"/>
            </w:tcBorders>
            <w:vAlign w:val="center"/>
            <w:hideMark/>
          </w:tcPr>
          <w:p w14:paraId="623B4246"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dB</w:t>
            </w:r>
          </w:p>
        </w:tc>
        <w:tc>
          <w:tcPr>
            <w:tcW w:w="827" w:type="dxa"/>
            <w:vMerge w:val="restart"/>
            <w:tcBorders>
              <w:top w:val="single" w:sz="6" w:space="0" w:color="auto"/>
              <w:left w:val="single" w:sz="6" w:space="0" w:color="auto"/>
              <w:bottom w:val="single" w:sz="6" w:space="0" w:color="auto"/>
              <w:right w:val="single" w:sz="6" w:space="0" w:color="auto"/>
            </w:tcBorders>
            <w:vAlign w:val="center"/>
            <w:hideMark/>
          </w:tcPr>
          <w:p w14:paraId="166A698C"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w:t>
            </w:r>
          </w:p>
        </w:tc>
        <w:tc>
          <w:tcPr>
            <w:tcW w:w="1140" w:type="dxa"/>
            <w:vMerge w:val="restart"/>
            <w:tcBorders>
              <w:top w:val="single" w:sz="6" w:space="0" w:color="auto"/>
              <w:left w:val="single" w:sz="6" w:space="0" w:color="auto"/>
              <w:bottom w:val="single" w:sz="6" w:space="0" w:color="auto"/>
              <w:right w:val="single" w:sz="6" w:space="0" w:color="auto"/>
            </w:tcBorders>
            <w:vAlign w:val="center"/>
            <w:hideMark/>
          </w:tcPr>
          <w:p w14:paraId="0B5FEBD7"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lang w:eastAsia="zh-CN"/>
              </w:rPr>
              <w:t>P</w:t>
            </w:r>
            <w:r w:rsidRPr="00FA3886">
              <w:rPr>
                <w:rFonts w:ascii="Arial" w:hAnsi="Arial" w:cs="Arial"/>
                <w:b/>
                <w:sz w:val="18"/>
              </w:rPr>
              <w:t>RB</w:t>
            </w:r>
          </w:p>
        </w:tc>
        <w:tc>
          <w:tcPr>
            <w:tcW w:w="1178" w:type="dxa"/>
            <w:vMerge w:val="restart"/>
            <w:tcBorders>
              <w:top w:val="single" w:sz="6" w:space="0" w:color="auto"/>
              <w:left w:val="single" w:sz="6" w:space="0" w:color="auto"/>
              <w:bottom w:val="single" w:sz="6" w:space="0" w:color="auto"/>
              <w:right w:val="single" w:sz="6" w:space="0" w:color="auto"/>
            </w:tcBorders>
            <w:vAlign w:val="center"/>
            <w:hideMark/>
          </w:tcPr>
          <w:p w14:paraId="79E7519F"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lang w:eastAsia="zh-CN"/>
              </w:rPr>
              <w:t>-</w:t>
            </w:r>
          </w:p>
        </w:tc>
        <w:tc>
          <w:tcPr>
            <w:tcW w:w="1586" w:type="dxa"/>
            <w:vMerge w:val="restart"/>
            <w:tcBorders>
              <w:top w:val="single" w:sz="6" w:space="0" w:color="auto"/>
              <w:left w:val="single" w:sz="6" w:space="0" w:color="auto"/>
              <w:bottom w:val="single" w:sz="6" w:space="0" w:color="auto"/>
              <w:right w:val="single" w:sz="6" w:space="0" w:color="auto"/>
            </w:tcBorders>
            <w:vAlign w:val="center"/>
          </w:tcPr>
          <w:p w14:paraId="3A333BA5" w14:textId="77777777" w:rsidR="0093626E" w:rsidRPr="00FA3886" w:rsidRDefault="0093626E" w:rsidP="00ED4E9A">
            <w:pPr>
              <w:keepNext/>
              <w:keepLines/>
              <w:spacing w:after="0"/>
              <w:jc w:val="center"/>
              <w:rPr>
                <w:rFonts w:ascii="Arial" w:hAnsi="Arial" w:cs="Arial"/>
                <w:b/>
                <w:sz w:val="18"/>
              </w:rPr>
            </w:pPr>
          </w:p>
        </w:tc>
        <w:tc>
          <w:tcPr>
            <w:tcW w:w="3197" w:type="dxa"/>
            <w:gridSpan w:val="3"/>
            <w:tcBorders>
              <w:top w:val="single" w:sz="6" w:space="0" w:color="auto"/>
              <w:left w:val="single" w:sz="6" w:space="0" w:color="auto"/>
              <w:bottom w:val="single" w:sz="6" w:space="0" w:color="auto"/>
              <w:right w:val="single" w:sz="6" w:space="0" w:color="auto"/>
            </w:tcBorders>
            <w:vAlign w:val="center"/>
            <w:hideMark/>
          </w:tcPr>
          <w:p w14:paraId="5A83FE95"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 / SCS</w:t>
            </w:r>
            <w:r w:rsidRPr="00FA3886">
              <w:rPr>
                <w:rFonts w:ascii="Arial" w:hAnsi="Arial" w:cs="Arial"/>
                <w:b/>
                <w:sz w:val="18"/>
                <w:vertAlign w:val="subscript"/>
              </w:rPr>
              <w:t>PRS</w:t>
            </w:r>
          </w:p>
        </w:tc>
        <w:tc>
          <w:tcPr>
            <w:tcW w:w="1197" w:type="dxa"/>
            <w:vMerge w:val="restart"/>
            <w:tcBorders>
              <w:top w:val="single" w:sz="6" w:space="0" w:color="auto"/>
              <w:left w:val="single" w:sz="6" w:space="0" w:color="auto"/>
              <w:bottom w:val="single" w:sz="6" w:space="0" w:color="auto"/>
              <w:right w:val="single" w:sz="4" w:space="0" w:color="auto"/>
            </w:tcBorders>
            <w:vAlign w:val="center"/>
            <w:hideMark/>
          </w:tcPr>
          <w:p w14:paraId="14CA8B93"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dBm/BW</w:t>
            </w:r>
            <w:r w:rsidRPr="00FA3886">
              <w:rPr>
                <w:rFonts w:ascii="Arial" w:hAnsi="Arial" w:cs="Arial"/>
                <w:b/>
                <w:sz w:val="18"/>
                <w:vertAlign w:val="subscript"/>
              </w:rPr>
              <w:t>Channel</w:t>
            </w:r>
          </w:p>
        </w:tc>
      </w:tr>
      <w:tr w:rsidR="0093626E" w:rsidRPr="00FA3886" w14:paraId="6E4FB6A8" w14:textId="77777777" w:rsidTr="007F4AB1">
        <w:trPr>
          <w:trHeight w:val="161"/>
          <w:jc w:val="center"/>
        </w:trPr>
        <w:tc>
          <w:tcPr>
            <w:tcW w:w="965" w:type="dxa"/>
            <w:vMerge/>
            <w:tcBorders>
              <w:top w:val="single" w:sz="6" w:space="0" w:color="auto"/>
              <w:left w:val="single" w:sz="4" w:space="0" w:color="auto"/>
              <w:bottom w:val="single" w:sz="6" w:space="0" w:color="auto"/>
              <w:right w:val="single" w:sz="6" w:space="0" w:color="auto"/>
            </w:tcBorders>
            <w:vAlign w:val="center"/>
            <w:hideMark/>
          </w:tcPr>
          <w:p w14:paraId="2F13FE27" w14:textId="77777777" w:rsidR="0093626E" w:rsidRPr="00FA3886" w:rsidRDefault="0093626E" w:rsidP="00ED4E9A">
            <w:pPr>
              <w:spacing w:after="0"/>
              <w:rPr>
                <w:rFonts w:ascii="Arial" w:eastAsia="SimSun" w:hAnsi="Arial"/>
                <w:b/>
                <w:sz w:val="18"/>
                <w:lang w:eastAsia="zh-CN"/>
              </w:rPr>
            </w:pPr>
          </w:p>
        </w:tc>
        <w:tc>
          <w:tcPr>
            <w:tcW w:w="965" w:type="dxa"/>
            <w:vMerge/>
            <w:tcBorders>
              <w:top w:val="single" w:sz="6" w:space="0" w:color="auto"/>
              <w:left w:val="single" w:sz="4" w:space="0" w:color="auto"/>
              <w:bottom w:val="single" w:sz="6" w:space="0" w:color="auto"/>
              <w:right w:val="single" w:sz="6" w:space="0" w:color="auto"/>
            </w:tcBorders>
            <w:vAlign w:val="center"/>
            <w:hideMark/>
          </w:tcPr>
          <w:p w14:paraId="2D09EF51" w14:textId="77777777" w:rsidR="0093626E" w:rsidRPr="00FA3886" w:rsidRDefault="0093626E" w:rsidP="00ED4E9A">
            <w:pPr>
              <w:spacing w:after="0"/>
              <w:rPr>
                <w:rFonts w:ascii="Arial" w:eastAsia="SimSun" w:hAnsi="Arial"/>
                <w:b/>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712EC566" w14:textId="77777777" w:rsidR="0093626E" w:rsidRPr="00FA3886" w:rsidRDefault="0093626E" w:rsidP="00ED4E9A">
            <w:pPr>
              <w:spacing w:after="0"/>
              <w:rPr>
                <w:rFonts w:ascii="Arial" w:eastAsia="SimSun" w:hAnsi="Arial"/>
                <w:b/>
                <w:sz w:val="18"/>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2A57C521" w14:textId="77777777" w:rsidR="0093626E" w:rsidRPr="00FA3886" w:rsidRDefault="0093626E" w:rsidP="00ED4E9A">
            <w:pPr>
              <w:spacing w:after="0"/>
              <w:rPr>
                <w:rFonts w:ascii="Arial" w:eastAsia="SimSun" w:hAnsi="Arial"/>
                <w:b/>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04324C32" w14:textId="77777777" w:rsidR="0093626E" w:rsidRPr="00FA3886" w:rsidRDefault="0093626E" w:rsidP="00ED4E9A">
            <w:pPr>
              <w:spacing w:after="0"/>
              <w:rPr>
                <w:rFonts w:ascii="Arial" w:eastAsia="SimSun" w:hAnsi="Arial"/>
                <w:b/>
                <w:sz w:val="18"/>
              </w:rPr>
            </w:pPr>
          </w:p>
        </w:tc>
        <w:tc>
          <w:tcPr>
            <w:tcW w:w="1586" w:type="dxa"/>
            <w:vMerge/>
            <w:tcBorders>
              <w:top w:val="single" w:sz="6" w:space="0" w:color="auto"/>
              <w:left w:val="single" w:sz="6" w:space="0" w:color="auto"/>
              <w:bottom w:val="single" w:sz="6" w:space="0" w:color="auto"/>
              <w:right w:val="single" w:sz="6" w:space="0" w:color="auto"/>
            </w:tcBorders>
            <w:vAlign w:val="center"/>
            <w:hideMark/>
          </w:tcPr>
          <w:p w14:paraId="18A1DF67" w14:textId="77777777" w:rsidR="0093626E" w:rsidRPr="00FA3886" w:rsidRDefault="0093626E" w:rsidP="00ED4E9A">
            <w:pPr>
              <w:spacing w:after="0"/>
              <w:rPr>
                <w:rFonts w:ascii="Arial" w:eastAsia="SimSun" w:hAnsi="Arial"/>
                <w:b/>
                <w:sz w:val="18"/>
              </w:rPr>
            </w:pPr>
          </w:p>
        </w:tc>
        <w:tc>
          <w:tcPr>
            <w:tcW w:w="992" w:type="dxa"/>
            <w:tcBorders>
              <w:top w:val="single" w:sz="6" w:space="0" w:color="auto"/>
              <w:left w:val="single" w:sz="6" w:space="0" w:color="auto"/>
              <w:bottom w:val="single" w:sz="6" w:space="0" w:color="auto"/>
              <w:right w:val="single" w:sz="6" w:space="0" w:color="auto"/>
            </w:tcBorders>
            <w:vAlign w:val="center"/>
            <w:hideMark/>
          </w:tcPr>
          <w:p w14:paraId="15041F9A"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dBm/15kHz</w:t>
            </w:r>
            <w:r w:rsidRPr="00FA3886">
              <w:rPr>
                <w:rFonts w:ascii="Arial" w:hAnsi="Arial" w:cs="Arial"/>
                <w:b/>
                <w:sz w:val="18"/>
                <w:vertAlign w:val="superscript"/>
                <w:lang w:eastAsia="zh-CN"/>
              </w:rPr>
              <w:t xml:space="preserve"> Note 5</w:t>
            </w:r>
          </w:p>
        </w:tc>
        <w:tc>
          <w:tcPr>
            <w:tcW w:w="1134" w:type="dxa"/>
            <w:tcBorders>
              <w:top w:val="single" w:sz="6" w:space="0" w:color="auto"/>
              <w:left w:val="single" w:sz="6" w:space="0" w:color="auto"/>
              <w:bottom w:val="single" w:sz="6" w:space="0" w:color="auto"/>
              <w:right w:val="single" w:sz="6" w:space="0" w:color="auto"/>
            </w:tcBorders>
            <w:vAlign w:val="center"/>
            <w:hideMark/>
          </w:tcPr>
          <w:p w14:paraId="5A3D1EBA"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w:t>
            </w:r>
            <w:r w:rsidRPr="00FA3886">
              <w:rPr>
                <w:rFonts w:ascii="Arial" w:hAnsi="Arial" w:cs="Arial"/>
                <w:b/>
                <w:sz w:val="18"/>
                <w:lang w:eastAsia="zh-CN"/>
              </w:rPr>
              <w:t>30</w:t>
            </w:r>
            <w:r w:rsidRPr="00FA3886">
              <w:rPr>
                <w:rFonts w:ascii="Arial" w:hAnsi="Arial" w:cs="Arial"/>
                <w:b/>
                <w:sz w:val="18"/>
              </w:rPr>
              <w:t>kHz</w:t>
            </w:r>
            <w:r w:rsidRPr="00FA3886">
              <w:rPr>
                <w:rFonts w:ascii="Arial" w:hAnsi="Arial" w:cs="Arial"/>
                <w:b/>
                <w:sz w:val="18"/>
                <w:vertAlign w:val="superscript"/>
                <w:lang w:eastAsia="zh-CN"/>
              </w:rPr>
              <w:t xml:space="preserve"> Note 5</w:t>
            </w:r>
          </w:p>
        </w:tc>
        <w:tc>
          <w:tcPr>
            <w:tcW w:w="1071" w:type="dxa"/>
            <w:tcBorders>
              <w:top w:val="nil"/>
              <w:left w:val="single" w:sz="6" w:space="0" w:color="auto"/>
              <w:bottom w:val="single" w:sz="6" w:space="0" w:color="auto"/>
              <w:right w:val="single" w:sz="6" w:space="0" w:color="auto"/>
            </w:tcBorders>
            <w:hideMark/>
          </w:tcPr>
          <w:p w14:paraId="75D09FDB"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w:t>
            </w:r>
            <w:r w:rsidRPr="00FA3886">
              <w:rPr>
                <w:rFonts w:ascii="Arial" w:hAnsi="Arial" w:cs="Arial"/>
                <w:b/>
                <w:sz w:val="18"/>
                <w:lang w:eastAsia="zh-CN"/>
              </w:rPr>
              <w:t>60</w:t>
            </w:r>
            <w:r w:rsidRPr="00FA3886">
              <w:rPr>
                <w:rFonts w:ascii="Arial" w:hAnsi="Arial" w:cs="Arial"/>
                <w:b/>
                <w:sz w:val="18"/>
              </w:rPr>
              <w:t>kHz</w:t>
            </w:r>
            <w:r w:rsidRPr="00FA3886">
              <w:rPr>
                <w:rFonts w:ascii="Arial" w:hAnsi="Arial" w:cs="Arial"/>
                <w:b/>
                <w:sz w:val="18"/>
                <w:vertAlign w:val="superscript"/>
                <w:lang w:eastAsia="zh-CN"/>
              </w:rPr>
              <w:t xml:space="preserve"> Note 5</w:t>
            </w:r>
          </w:p>
        </w:tc>
        <w:tc>
          <w:tcPr>
            <w:tcW w:w="1197" w:type="dxa"/>
            <w:vMerge/>
            <w:tcBorders>
              <w:top w:val="single" w:sz="6" w:space="0" w:color="auto"/>
              <w:left w:val="single" w:sz="6" w:space="0" w:color="auto"/>
              <w:bottom w:val="single" w:sz="6" w:space="0" w:color="auto"/>
              <w:right w:val="single" w:sz="4" w:space="0" w:color="auto"/>
            </w:tcBorders>
            <w:vAlign w:val="center"/>
            <w:hideMark/>
          </w:tcPr>
          <w:p w14:paraId="5F91900A" w14:textId="77777777" w:rsidR="0093626E" w:rsidRPr="00FA3886" w:rsidRDefault="0093626E" w:rsidP="00ED4E9A">
            <w:pPr>
              <w:spacing w:after="0"/>
              <w:rPr>
                <w:rFonts w:ascii="Arial" w:eastAsia="SimSun" w:hAnsi="Arial"/>
                <w:b/>
                <w:sz w:val="18"/>
              </w:rPr>
            </w:pPr>
          </w:p>
        </w:tc>
      </w:tr>
      <w:tr w:rsidR="007F4AB1" w:rsidRPr="00FA3886" w14:paraId="585ADFED" w14:textId="77777777" w:rsidTr="007F4AB1">
        <w:trPr>
          <w:trHeight w:val="37"/>
          <w:jc w:val="center"/>
        </w:trPr>
        <w:tc>
          <w:tcPr>
            <w:tcW w:w="965" w:type="dxa"/>
            <w:vMerge w:val="restart"/>
            <w:tcBorders>
              <w:top w:val="single" w:sz="6" w:space="0" w:color="auto"/>
              <w:left w:val="single" w:sz="4" w:space="0" w:color="auto"/>
              <w:bottom w:val="single" w:sz="4" w:space="0" w:color="auto"/>
              <w:right w:val="single" w:sz="6" w:space="0" w:color="auto"/>
            </w:tcBorders>
            <w:vAlign w:val="center"/>
            <w:hideMark/>
          </w:tcPr>
          <w:p w14:paraId="031F41DF" w14:textId="54137014" w:rsidR="007F4AB1" w:rsidRPr="00FA3886" w:rsidRDefault="007F4AB1" w:rsidP="007F4AB1">
            <w:pPr>
              <w:pStyle w:val="TAC"/>
              <w:rPr>
                <w:lang w:eastAsia="zh-CN"/>
              </w:rPr>
            </w:pPr>
            <w:r w:rsidRPr="00FA3886">
              <w:rPr>
                <w:lang w:eastAsia="zh-CN"/>
              </w:rPr>
              <w:t>[</w:t>
            </w:r>
            <w:r w:rsidRPr="00FA3886">
              <w:rPr>
                <w:rFonts w:hint="eastAsia"/>
                <w:lang w:eastAsia="zh-CN"/>
              </w:rPr>
              <w:t>±</w:t>
            </w:r>
            <w:r w:rsidRPr="00FA3886">
              <w:rPr>
                <w:lang w:eastAsia="zh-CN"/>
              </w:rPr>
              <w:t>3.5]</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14:paraId="612EBEC8" w14:textId="3AE1159B" w:rsidR="007F4AB1" w:rsidRPr="00FA3886" w:rsidRDefault="007F4AB1" w:rsidP="007F4AB1">
            <w:pPr>
              <w:pStyle w:val="TAC"/>
              <w:rPr>
                <w:lang w:eastAsia="zh-CN"/>
              </w:rPr>
            </w:pPr>
            <w:r w:rsidRPr="00FA3886">
              <w:rPr>
                <w:rFonts w:hint="eastAsia"/>
                <w:lang w:eastAsia="zh-CN"/>
              </w:rPr>
              <w:t>±</w:t>
            </w:r>
            <w:r w:rsidRPr="00FA3886">
              <w:rPr>
                <w:lang w:eastAsia="zh-CN"/>
              </w:rPr>
              <w:t>5.0</w:t>
            </w:r>
          </w:p>
        </w:tc>
        <w:tc>
          <w:tcPr>
            <w:tcW w:w="827" w:type="dxa"/>
            <w:vMerge w:val="restart"/>
            <w:tcBorders>
              <w:top w:val="single" w:sz="6" w:space="0" w:color="auto"/>
              <w:left w:val="single" w:sz="6" w:space="0" w:color="auto"/>
              <w:bottom w:val="single" w:sz="6" w:space="0" w:color="auto"/>
              <w:right w:val="single" w:sz="6" w:space="0" w:color="auto"/>
            </w:tcBorders>
            <w:vAlign w:val="center"/>
            <w:hideMark/>
          </w:tcPr>
          <w:p w14:paraId="5959F665" w14:textId="1CCD4EC7" w:rsidR="007F4AB1" w:rsidRPr="00FA3886" w:rsidRDefault="007F4AB1" w:rsidP="007F4AB1">
            <w:pPr>
              <w:pStyle w:val="TAC"/>
              <w:rPr>
                <w:lang w:eastAsia="zh-CN"/>
              </w:rPr>
            </w:pPr>
            <w:r w:rsidRPr="00FA3886">
              <w:t>≥</w:t>
            </w:r>
            <w:r>
              <w:t>0</w:t>
            </w:r>
          </w:p>
        </w:tc>
        <w:tc>
          <w:tcPr>
            <w:tcW w:w="1140" w:type="dxa"/>
            <w:vMerge w:val="restart"/>
            <w:tcBorders>
              <w:top w:val="single" w:sz="6" w:space="0" w:color="auto"/>
              <w:left w:val="single" w:sz="6" w:space="0" w:color="auto"/>
              <w:bottom w:val="single" w:sz="6" w:space="0" w:color="auto"/>
              <w:right w:val="single" w:sz="6" w:space="0" w:color="auto"/>
            </w:tcBorders>
            <w:vAlign w:val="center"/>
            <w:hideMark/>
          </w:tcPr>
          <w:p w14:paraId="6B4E5535" w14:textId="4D546789" w:rsidR="007F4AB1" w:rsidRPr="00FA3886" w:rsidRDefault="007F4AB1" w:rsidP="007F4AB1">
            <w:pPr>
              <w:pStyle w:val="TAC"/>
            </w:pPr>
            <w:r w:rsidRPr="00FA3886">
              <w:t>≥</w:t>
            </w:r>
            <w:r w:rsidRPr="00FA3886">
              <w:rPr>
                <w:lang w:eastAsia="zh-CN"/>
              </w:rPr>
              <w:t>48</w:t>
            </w:r>
          </w:p>
        </w:tc>
        <w:tc>
          <w:tcPr>
            <w:tcW w:w="1178" w:type="dxa"/>
            <w:vMerge w:val="restart"/>
            <w:tcBorders>
              <w:top w:val="single" w:sz="6" w:space="0" w:color="auto"/>
              <w:left w:val="single" w:sz="6" w:space="0" w:color="auto"/>
              <w:bottom w:val="single" w:sz="6" w:space="0" w:color="auto"/>
              <w:right w:val="single" w:sz="6" w:space="0" w:color="auto"/>
            </w:tcBorders>
            <w:vAlign w:val="center"/>
            <w:hideMark/>
          </w:tcPr>
          <w:p w14:paraId="3727CE43" w14:textId="4BB525F0" w:rsidR="007F4AB1" w:rsidRPr="00FA3886" w:rsidRDefault="007F4AB1" w:rsidP="007F4AB1">
            <w:pPr>
              <w:pStyle w:val="TAC"/>
              <w:rPr>
                <w:lang w:eastAsia="zh-CN"/>
              </w:rPr>
            </w:pPr>
            <w:r w:rsidRPr="00FA3886">
              <w:rPr>
                <w:lang w:eastAsia="zh-CN"/>
              </w:rPr>
              <w:t>All</w:t>
            </w:r>
          </w:p>
        </w:tc>
        <w:tc>
          <w:tcPr>
            <w:tcW w:w="1586" w:type="dxa"/>
            <w:tcBorders>
              <w:top w:val="single" w:sz="6" w:space="0" w:color="auto"/>
              <w:left w:val="single" w:sz="6" w:space="0" w:color="auto"/>
              <w:bottom w:val="single" w:sz="6" w:space="0" w:color="auto"/>
              <w:right w:val="single" w:sz="4" w:space="0" w:color="auto"/>
            </w:tcBorders>
            <w:vAlign w:val="center"/>
            <w:hideMark/>
          </w:tcPr>
          <w:p w14:paraId="0D20AB7F"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6"/>
                <w:szCs w:val="16"/>
              </w:rPr>
              <w:t xml:space="preserve">NR_FDD_FR1_A, NR_TDD_FR1_A, </w:t>
            </w:r>
            <w:r w:rsidRPr="00FA3886">
              <w:rPr>
                <w:rFonts w:ascii="Arial" w:hAnsi="Arial" w:cs="Arial"/>
                <w:sz w:val="16"/>
                <w:szCs w:val="16"/>
                <w:lang w:val="en-US"/>
              </w:rPr>
              <w:t>NR_SDL_FR1_A</w:t>
            </w:r>
          </w:p>
        </w:tc>
        <w:tc>
          <w:tcPr>
            <w:tcW w:w="992" w:type="dxa"/>
            <w:tcBorders>
              <w:top w:val="single" w:sz="6" w:space="0" w:color="auto"/>
              <w:left w:val="single" w:sz="6" w:space="0" w:color="auto"/>
              <w:bottom w:val="single" w:sz="6" w:space="0" w:color="auto"/>
              <w:right w:val="single" w:sz="4" w:space="0" w:color="auto"/>
            </w:tcBorders>
            <w:vAlign w:val="center"/>
            <w:hideMark/>
          </w:tcPr>
          <w:p w14:paraId="395FE1BB"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-127</w:t>
            </w:r>
          </w:p>
        </w:tc>
        <w:tc>
          <w:tcPr>
            <w:tcW w:w="1134" w:type="dxa"/>
            <w:tcBorders>
              <w:top w:val="single" w:sz="6" w:space="0" w:color="auto"/>
              <w:left w:val="single" w:sz="6" w:space="0" w:color="auto"/>
              <w:bottom w:val="single" w:sz="6" w:space="0" w:color="auto"/>
              <w:right w:val="single" w:sz="4" w:space="0" w:color="auto"/>
            </w:tcBorders>
            <w:vAlign w:val="center"/>
            <w:hideMark/>
          </w:tcPr>
          <w:p w14:paraId="2E639E6C"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-124</w:t>
            </w:r>
          </w:p>
        </w:tc>
        <w:tc>
          <w:tcPr>
            <w:tcW w:w="1071" w:type="dxa"/>
            <w:tcBorders>
              <w:top w:val="single" w:sz="6" w:space="0" w:color="auto"/>
              <w:left w:val="single" w:sz="6" w:space="0" w:color="auto"/>
              <w:bottom w:val="single" w:sz="6" w:space="0" w:color="auto"/>
              <w:right w:val="single" w:sz="4" w:space="0" w:color="auto"/>
            </w:tcBorders>
            <w:vAlign w:val="center"/>
            <w:hideMark/>
          </w:tcPr>
          <w:p w14:paraId="3EC166C2"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-121</w:t>
            </w:r>
          </w:p>
        </w:tc>
        <w:tc>
          <w:tcPr>
            <w:tcW w:w="1197" w:type="dxa"/>
            <w:tcBorders>
              <w:top w:val="single" w:sz="6" w:space="0" w:color="auto"/>
              <w:left w:val="single" w:sz="6" w:space="0" w:color="auto"/>
              <w:bottom w:val="single" w:sz="6" w:space="0" w:color="auto"/>
              <w:right w:val="single" w:sz="4" w:space="0" w:color="auto"/>
            </w:tcBorders>
            <w:vAlign w:val="center"/>
            <w:hideMark/>
          </w:tcPr>
          <w:p w14:paraId="1C8FEBEF"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-50</w:t>
            </w:r>
          </w:p>
        </w:tc>
      </w:tr>
      <w:tr w:rsidR="0093626E" w:rsidRPr="00FA3886" w14:paraId="01076CE7" w14:textId="77777777" w:rsidTr="007F4AB1">
        <w:trPr>
          <w:trHeight w:val="30"/>
          <w:jc w:val="center"/>
        </w:trPr>
        <w:tc>
          <w:tcPr>
            <w:tcW w:w="965" w:type="dxa"/>
            <w:vMerge/>
            <w:tcBorders>
              <w:top w:val="single" w:sz="6" w:space="0" w:color="auto"/>
              <w:left w:val="single" w:sz="4" w:space="0" w:color="auto"/>
              <w:bottom w:val="single" w:sz="4" w:space="0" w:color="auto"/>
              <w:right w:val="single" w:sz="6" w:space="0" w:color="auto"/>
            </w:tcBorders>
            <w:vAlign w:val="center"/>
            <w:hideMark/>
          </w:tcPr>
          <w:p w14:paraId="314D7877" w14:textId="77777777" w:rsidR="0093626E" w:rsidRPr="00FA3886" w:rsidRDefault="0093626E" w:rsidP="00ED4E9A">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04134041" w14:textId="77777777" w:rsidR="0093626E" w:rsidRPr="00FA3886" w:rsidRDefault="0093626E" w:rsidP="00ED4E9A">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7194BAFA" w14:textId="77777777" w:rsidR="0093626E" w:rsidRPr="00FA3886" w:rsidRDefault="0093626E" w:rsidP="00ED4E9A">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71D5FFF4" w14:textId="77777777" w:rsidR="0093626E" w:rsidRPr="00FA3886" w:rsidRDefault="0093626E" w:rsidP="00ED4E9A">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39C92CA7" w14:textId="77777777" w:rsidR="0093626E" w:rsidRPr="00FA3886" w:rsidRDefault="0093626E" w:rsidP="00ED4E9A">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4" w:space="0" w:color="auto"/>
            </w:tcBorders>
            <w:vAlign w:val="center"/>
            <w:hideMark/>
          </w:tcPr>
          <w:p w14:paraId="75C2C3A1"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6"/>
                <w:szCs w:val="16"/>
                <w:lang w:val="sv-SE"/>
              </w:rPr>
              <w:t>NR_FDD_FR1_B</w:t>
            </w:r>
          </w:p>
        </w:tc>
        <w:tc>
          <w:tcPr>
            <w:tcW w:w="992" w:type="dxa"/>
            <w:tcBorders>
              <w:top w:val="single" w:sz="6" w:space="0" w:color="auto"/>
              <w:left w:val="single" w:sz="6" w:space="0" w:color="auto"/>
              <w:bottom w:val="single" w:sz="6" w:space="0" w:color="auto"/>
              <w:right w:val="single" w:sz="4" w:space="0" w:color="auto"/>
            </w:tcBorders>
            <w:vAlign w:val="center"/>
            <w:hideMark/>
          </w:tcPr>
          <w:p w14:paraId="4BD7E3D6"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-126.5</w:t>
            </w:r>
          </w:p>
        </w:tc>
        <w:tc>
          <w:tcPr>
            <w:tcW w:w="1134" w:type="dxa"/>
            <w:tcBorders>
              <w:top w:val="single" w:sz="6" w:space="0" w:color="auto"/>
              <w:left w:val="single" w:sz="6" w:space="0" w:color="auto"/>
              <w:bottom w:val="single" w:sz="6" w:space="0" w:color="auto"/>
              <w:right w:val="single" w:sz="4" w:space="0" w:color="auto"/>
            </w:tcBorders>
            <w:vAlign w:val="center"/>
            <w:hideMark/>
          </w:tcPr>
          <w:p w14:paraId="344C5565"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-123.5</w:t>
            </w:r>
          </w:p>
        </w:tc>
        <w:tc>
          <w:tcPr>
            <w:tcW w:w="1071" w:type="dxa"/>
            <w:tcBorders>
              <w:top w:val="single" w:sz="6" w:space="0" w:color="auto"/>
              <w:left w:val="single" w:sz="6" w:space="0" w:color="auto"/>
              <w:bottom w:val="single" w:sz="6" w:space="0" w:color="auto"/>
              <w:right w:val="single" w:sz="4" w:space="0" w:color="auto"/>
            </w:tcBorders>
            <w:vAlign w:val="center"/>
            <w:hideMark/>
          </w:tcPr>
          <w:p w14:paraId="6F74D68F"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-120.5</w:t>
            </w:r>
          </w:p>
        </w:tc>
        <w:tc>
          <w:tcPr>
            <w:tcW w:w="1197" w:type="dxa"/>
            <w:tcBorders>
              <w:top w:val="single" w:sz="6" w:space="0" w:color="auto"/>
              <w:left w:val="single" w:sz="6" w:space="0" w:color="auto"/>
              <w:bottom w:val="single" w:sz="6" w:space="0" w:color="auto"/>
              <w:right w:val="single" w:sz="4" w:space="0" w:color="auto"/>
            </w:tcBorders>
            <w:vAlign w:val="center"/>
            <w:hideMark/>
          </w:tcPr>
          <w:p w14:paraId="7058281A"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lang w:eastAsia="ja-JP"/>
              </w:rPr>
              <w:t>-50</w:t>
            </w:r>
          </w:p>
        </w:tc>
      </w:tr>
      <w:tr w:rsidR="0093626E" w:rsidRPr="00FA3886" w14:paraId="169CA4B3" w14:textId="77777777" w:rsidTr="007F4AB1">
        <w:trPr>
          <w:trHeight w:val="30"/>
          <w:jc w:val="center"/>
        </w:trPr>
        <w:tc>
          <w:tcPr>
            <w:tcW w:w="965" w:type="dxa"/>
            <w:vMerge/>
            <w:tcBorders>
              <w:top w:val="single" w:sz="6" w:space="0" w:color="auto"/>
              <w:left w:val="single" w:sz="4" w:space="0" w:color="auto"/>
              <w:bottom w:val="single" w:sz="4" w:space="0" w:color="auto"/>
              <w:right w:val="single" w:sz="6" w:space="0" w:color="auto"/>
            </w:tcBorders>
            <w:vAlign w:val="center"/>
            <w:hideMark/>
          </w:tcPr>
          <w:p w14:paraId="14E98C59" w14:textId="77777777" w:rsidR="0093626E" w:rsidRPr="00FA3886" w:rsidRDefault="0093626E" w:rsidP="00ED4E9A">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5EB9EF2C" w14:textId="77777777" w:rsidR="0093626E" w:rsidRPr="00FA3886" w:rsidRDefault="0093626E" w:rsidP="00ED4E9A">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1E196336" w14:textId="77777777" w:rsidR="0093626E" w:rsidRPr="00FA3886" w:rsidRDefault="0093626E" w:rsidP="00ED4E9A">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4EFFBFEB" w14:textId="77777777" w:rsidR="0093626E" w:rsidRPr="00FA3886" w:rsidRDefault="0093626E" w:rsidP="00ED4E9A">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44728824" w14:textId="77777777" w:rsidR="0093626E" w:rsidRPr="00FA3886" w:rsidRDefault="0093626E" w:rsidP="00ED4E9A">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4" w:space="0" w:color="auto"/>
            </w:tcBorders>
            <w:vAlign w:val="center"/>
            <w:hideMark/>
          </w:tcPr>
          <w:p w14:paraId="78DDAAE3"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6"/>
                <w:szCs w:val="16"/>
                <w:lang w:val="sv-SE"/>
              </w:rPr>
              <w:t>NR_TDD_FR1_C</w:t>
            </w:r>
          </w:p>
        </w:tc>
        <w:tc>
          <w:tcPr>
            <w:tcW w:w="992" w:type="dxa"/>
            <w:tcBorders>
              <w:top w:val="single" w:sz="6" w:space="0" w:color="auto"/>
              <w:left w:val="single" w:sz="6" w:space="0" w:color="auto"/>
              <w:bottom w:val="single" w:sz="6" w:space="0" w:color="auto"/>
              <w:right w:val="single" w:sz="4" w:space="0" w:color="auto"/>
            </w:tcBorders>
            <w:vAlign w:val="center"/>
            <w:hideMark/>
          </w:tcPr>
          <w:p w14:paraId="6AF1B030"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-126</w:t>
            </w:r>
          </w:p>
        </w:tc>
        <w:tc>
          <w:tcPr>
            <w:tcW w:w="1134" w:type="dxa"/>
            <w:tcBorders>
              <w:top w:val="single" w:sz="6" w:space="0" w:color="auto"/>
              <w:left w:val="single" w:sz="6" w:space="0" w:color="auto"/>
              <w:bottom w:val="single" w:sz="6" w:space="0" w:color="auto"/>
              <w:right w:val="single" w:sz="4" w:space="0" w:color="auto"/>
            </w:tcBorders>
            <w:vAlign w:val="center"/>
            <w:hideMark/>
          </w:tcPr>
          <w:p w14:paraId="550106AA"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-123</w:t>
            </w:r>
          </w:p>
        </w:tc>
        <w:tc>
          <w:tcPr>
            <w:tcW w:w="1071" w:type="dxa"/>
            <w:tcBorders>
              <w:top w:val="single" w:sz="6" w:space="0" w:color="auto"/>
              <w:left w:val="single" w:sz="6" w:space="0" w:color="auto"/>
              <w:bottom w:val="single" w:sz="6" w:space="0" w:color="auto"/>
              <w:right w:val="single" w:sz="4" w:space="0" w:color="auto"/>
            </w:tcBorders>
            <w:vAlign w:val="center"/>
            <w:hideMark/>
          </w:tcPr>
          <w:p w14:paraId="236990E2"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-120</w:t>
            </w:r>
          </w:p>
        </w:tc>
        <w:tc>
          <w:tcPr>
            <w:tcW w:w="1197" w:type="dxa"/>
            <w:tcBorders>
              <w:top w:val="single" w:sz="6" w:space="0" w:color="auto"/>
              <w:left w:val="single" w:sz="6" w:space="0" w:color="auto"/>
              <w:bottom w:val="single" w:sz="6" w:space="0" w:color="auto"/>
              <w:right w:val="single" w:sz="4" w:space="0" w:color="auto"/>
            </w:tcBorders>
            <w:vAlign w:val="center"/>
            <w:hideMark/>
          </w:tcPr>
          <w:p w14:paraId="23E801E0"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-50</w:t>
            </w:r>
          </w:p>
        </w:tc>
      </w:tr>
      <w:tr w:rsidR="0093626E" w:rsidRPr="00FA3886" w14:paraId="4F1C2F48" w14:textId="77777777" w:rsidTr="007F4AB1">
        <w:trPr>
          <w:trHeight w:val="30"/>
          <w:jc w:val="center"/>
        </w:trPr>
        <w:tc>
          <w:tcPr>
            <w:tcW w:w="965" w:type="dxa"/>
            <w:vMerge/>
            <w:tcBorders>
              <w:top w:val="single" w:sz="6" w:space="0" w:color="auto"/>
              <w:left w:val="single" w:sz="4" w:space="0" w:color="auto"/>
              <w:bottom w:val="single" w:sz="4" w:space="0" w:color="auto"/>
              <w:right w:val="single" w:sz="6" w:space="0" w:color="auto"/>
            </w:tcBorders>
            <w:vAlign w:val="center"/>
            <w:hideMark/>
          </w:tcPr>
          <w:p w14:paraId="126734F5" w14:textId="77777777" w:rsidR="0093626E" w:rsidRPr="00FA3886" w:rsidRDefault="0093626E" w:rsidP="00ED4E9A">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1C674AE3" w14:textId="77777777" w:rsidR="0093626E" w:rsidRPr="00FA3886" w:rsidRDefault="0093626E" w:rsidP="00ED4E9A">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41B09C90" w14:textId="77777777" w:rsidR="0093626E" w:rsidRPr="00FA3886" w:rsidRDefault="0093626E" w:rsidP="00ED4E9A">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2F731FB3" w14:textId="77777777" w:rsidR="0093626E" w:rsidRPr="00FA3886" w:rsidRDefault="0093626E" w:rsidP="00ED4E9A">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6E93D244" w14:textId="77777777" w:rsidR="0093626E" w:rsidRPr="00FA3886" w:rsidRDefault="0093626E" w:rsidP="00ED4E9A">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4" w:space="0" w:color="auto"/>
            </w:tcBorders>
            <w:vAlign w:val="center"/>
            <w:hideMark/>
          </w:tcPr>
          <w:p w14:paraId="37F67C68" w14:textId="77777777" w:rsidR="0093626E" w:rsidRPr="00FA3886" w:rsidRDefault="0093626E" w:rsidP="00ED4E9A">
            <w:pPr>
              <w:keepNext/>
              <w:keepLines/>
              <w:spacing w:after="0"/>
              <w:jc w:val="center"/>
              <w:rPr>
                <w:rFonts w:ascii="Arial" w:hAnsi="Arial" w:cs="Arial"/>
                <w:sz w:val="18"/>
                <w:lang w:val="sv-SE"/>
              </w:rPr>
            </w:pPr>
            <w:r w:rsidRPr="00FA3886">
              <w:rPr>
                <w:rFonts w:ascii="Arial" w:hAnsi="Arial" w:cs="Arial"/>
                <w:sz w:val="16"/>
                <w:szCs w:val="16"/>
                <w:lang w:val="sv-SE"/>
              </w:rPr>
              <w:t>NR_FDD_FR1_D, NR_TDD_FR1_D</w:t>
            </w:r>
          </w:p>
        </w:tc>
        <w:tc>
          <w:tcPr>
            <w:tcW w:w="992" w:type="dxa"/>
            <w:tcBorders>
              <w:top w:val="single" w:sz="6" w:space="0" w:color="auto"/>
              <w:left w:val="single" w:sz="6" w:space="0" w:color="auto"/>
              <w:bottom w:val="single" w:sz="6" w:space="0" w:color="auto"/>
              <w:right w:val="single" w:sz="4" w:space="0" w:color="auto"/>
            </w:tcBorders>
            <w:vAlign w:val="center"/>
            <w:hideMark/>
          </w:tcPr>
          <w:p w14:paraId="060F6572"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-125.5</w:t>
            </w:r>
          </w:p>
        </w:tc>
        <w:tc>
          <w:tcPr>
            <w:tcW w:w="1134" w:type="dxa"/>
            <w:tcBorders>
              <w:top w:val="single" w:sz="6" w:space="0" w:color="auto"/>
              <w:left w:val="single" w:sz="6" w:space="0" w:color="auto"/>
              <w:bottom w:val="single" w:sz="6" w:space="0" w:color="auto"/>
              <w:right w:val="single" w:sz="4" w:space="0" w:color="auto"/>
            </w:tcBorders>
            <w:vAlign w:val="center"/>
            <w:hideMark/>
          </w:tcPr>
          <w:p w14:paraId="17B37AB8"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-122.5</w:t>
            </w:r>
          </w:p>
        </w:tc>
        <w:tc>
          <w:tcPr>
            <w:tcW w:w="1071" w:type="dxa"/>
            <w:tcBorders>
              <w:top w:val="single" w:sz="6" w:space="0" w:color="auto"/>
              <w:left w:val="single" w:sz="6" w:space="0" w:color="auto"/>
              <w:bottom w:val="single" w:sz="6" w:space="0" w:color="auto"/>
              <w:right w:val="single" w:sz="4" w:space="0" w:color="auto"/>
            </w:tcBorders>
            <w:vAlign w:val="center"/>
            <w:hideMark/>
          </w:tcPr>
          <w:p w14:paraId="5B779013"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-119.5</w:t>
            </w:r>
          </w:p>
        </w:tc>
        <w:tc>
          <w:tcPr>
            <w:tcW w:w="1197" w:type="dxa"/>
            <w:tcBorders>
              <w:top w:val="single" w:sz="6" w:space="0" w:color="auto"/>
              <w:left w:val="single" w:sz="6" w:space="0" w:color="auto"/>
              <w:bottom w:val="single" w:sz="6" w:space="0" w:color="auto"/>
              <w:right w:val="single" w:sz="4" w:space="0" w:color="auto"/>
            </w:tcBorders>
            <w:vAlign w:val="center"/>
            <w:hideMark/>
          </w:tcPr>
          <w:p w14:paraId="14DF21B1"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-50</w:t>
            </w:r>
          </w:p>
        </w:tc>
      </w:tr>
      <w:tr w:rsidR="0093626E" w:rsidRPr="00FA3886" w14:paraId="4B4AB947" w14:textId="77777777" w:rsidTr="007F4AB1">
        <w:trPr>
          <w:trHeight w:val="30"/>
          <w:jc w:val="center"/>
        </w:trPr>
        <w:tc>
          <w:tcPr>
            <w:tcW w:w="965" w:type="dxa"/>
            <w:vMerge/>
            <w:tcBorders>
              <w:top w:val="single" w:sz="6" w:space="0" w:color="auto"/>
              <w:left w:val="single" w:sz="4" w:space="0" w:color="auto"/>
              <w:bottom w:val="single" w:sz="4" w:space="0" w:color="auto"/>
              <w:right w:val="single" w:sz="6" w:space="0" w:color="auto"/>
            </w:tcBorders>
            <w:vAlign w:val="center"/>
            <w:hideMark/>
          </w:tcPr>
          <w:p w14:paraId="074ECEE7" w14:textId="77777777" w:rsidR="0093626E" w:rsidRPr="00FA3886" w:rsidRDefault="0093626E" w:rsidP="00ED4E9A">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75641D0D" w14:textId="77777777" w:rsidR="0093626E" w:rsidRPr="00FA3886" w:rsidRDefault="0093626E" w:rsidP="00ED4E9A">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1CBB7136" w14:textId="77777777" w:rsidR="0093626E" w:rsidRPr="00FA3886" w:rsidRDefault="0093626E" w:rsidP="00ED4E9A">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5DF2F743" w14:textId="77777777" w:rsidR="0093626E" w:rsidRPr="00FA3886" w:rsidRDefault="0093626E" w:rsidP="00ED4E9A">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4D04AC97" w14:textId="77777777" w:rsidR="0093626E" w:rsidRPr="00FA3886" w:rsidRDefault="0093626E" w:rsidP="00ED4E9A">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4" w:space="0" w:color="auto"/>
            </w:tcBorders>
            <w:vAlign w:val="center"/>
            <w:hideMark/>
          </w:tcPr>
          <w:p w14:paraId="475E023C" w14:textId="77777777" w:rsidR="0093626E" w:rsidRPr="00FA3886" w:rsidRDefault="0093626E" w:rsidP="00ED4E9A">
            <w:pPr>
              <w:keepNext/>
              <w:keepLines/>
              <w:spacing w:after="0"/>
              <w:jc w:val="center"/>
              <w:rPr>
                <w:rFonts w:ascii="Arial" w:hAnsi="Arial" w:cs="Arial"/>
                <w:sz w:val="18"/>
                <w:lang w:val="sv-SE"/>
              </w:rPr>
            </w:pPr>
            <w:r w:rsidRPr="00FA3886">
              <w:rPr>
                <w:rFonts w:ascii="Arial" w:hAnsi="Arial" w:cs="Arial"/>
                <w:sz w:val="16"/>
                <w:szCs w:val="16"/>
                <w:lang w:val="sv-SE"/>
              </w:rPr>
              <w:t>NR_FDD_FR1_E, NR_TDD_FR1_E</w:t>
            </w:r>
          </w:p>
        </w:tc>
        <w:tc>
          <w:tcPr>
            <w:tcW w:w="992" w:type="dxa"/>
            <w:tcBorders>
              <w:top w:val="single" w:sz="6" w:space="0" w:color="auto"/>
              <w:left w:val="single" w:sz="6" w:space="0" w:color="auto"/>
              <w:bottom w:val="single" w:sz="6" w:space="0" w:color="auto"/>
              <w:right w:val="single" w:sz="4" w:space="0" w:color="auto"/>
            </w:tcBorders>
            <w:vAlign w:val="center"/>
            <w:hideMark/>
          </w:tcPr>
          <w:p w14:paraId="7C88886B"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-125</w:t>
            </w:r>
          </w:p>
        </w:tc>
        <w:tc>
          <w:tcPr>
            <w:tcW w:w="1134" w:type="dxa"/>
            <w:tcBorders>
              <w:top w:val="single" w:sz="6" w:space="0" w:color="auto"/>
              <w:left w:val="single" w:sz="6" w:space="0" w:color="auto"/>
              <w:bottom w:val="single" w:sz="6" w:space="0" w:color="auto"/>
              <w:right w:val="single" w:sz="4" w:space="0" w:color="auto"/>
            </w:tcBorders>
            <w:vAlign w:val="center"/>
            <w:hideMark/>
          </w:tcPr>
          <w:p w14:paraId="1CE65BCC"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-122</w:t>
            </w:r>
          </w:p>
        </w:tc>
        <w:tc>
          <w:tcPr>
            <w:tcW w:w="1071" w:type="dxa"/>
            <w:tcBorders>
              <w:top w:val="single" w:sz="6" w:space="0" w:color="auto"/>
              <w:left w:val="single" w:sz="6" w:space="0" w:color="auto"/>
              <w:bottom w:val="single" w:sz="6" w:space="0" w:color="auto"/>
              <w:right w:val="single" w:sz="4" w:space="0" w:color="auto"/>
            </w:tcBorders>
            <w:vAlign w:val="center"/>
            <w:hideMark/>
          </w:tcPr>
          <w:p w14:paraId="4C5C5C61"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-119</w:t>
            </w:r>
          </w:p>
        </w:tc>
        <w:tc>
          <w:tcPr>
            <w:tcW w:w="1197" w:type="dxa"/>
            <w:tcBorders>
              <w:top w:val="single" w:sz="6" w:space="0" w:color="auto"/>
              <w:left w:val="single" w:sz="6" w:space="0" w:color="auto"/>
              <w:bottom w:val="single" w:sz="6" w:space="0" w:color="auto"/>
              <w:right w:val="single" w:sz="4" w:space="0" w:color="auto"/>
            </w:tcBorders>
            <w:vAlign w:val="center"/>
            <w:hideMark/>
          </w:tcPr>
          <w:p w14:paraId="0E50C2B8"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-50</w:t>
            </w:r>
          </w:p>
        </w:tc>
      </w:tr>
      <w:tr w:rsidR="00675E01" w:rsidRPr="00FA3886" w14:paraId="13D310C0" w14:textId="77777777" w:rsidTr="007F4AB1">
        <w:trPr>
          <w:trHeight w:val="30"/>
          <w:jc w:val="center"/>
        </w:trPr>
        <w:tc>
          <w:tcPr>
            <w:tcW w:w="965" w:type="dxa"/>
            <w:vMerge/>
            <w:tcBorders>
              <w:top w:val="single" w:sz="6" w:space="0" w:color="auto"/>
              <w:left w:val="single" w:sz="4" w:space="0" w:color="auto"/>
              <w:bottom w:val="single" w:sz="4" w:space="0" w:color="auto"/>
              <w:right w:val="single" w:sz="6" w:space="0" w:color="auto"/>
            </w:tcBorders>
            <w:vAlign w:val="center"/>
            <w:hideMark/>
          </w:tcPr>
          <w:p w14:paraId="0CB2A79F" w14:textId="77777777" w:rsidR="00675E01" w:rsidRPr="00FA3886" w:rsidRDefault="00675E01" w:rsidP="00675E01">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3CD53589" w14:textId="77777777" w:rsidR="00675E01" w:rsidRPr="00FA3886" w:rsidRDefault="00675E01" w:rsidP="00675E01">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5A739A24" w14:textId="77777777" w:rsidR="00675E01" w:rsidRPr="00FA3886" w:rsidRDefault="00675E01" w:rsidP="00675E01">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1FED3AF6" w14:textId="77777777" w:rsidR="00675E01" w:rsidRPr="00FA3886" w:rsidRDefault="00675E01" w:rsidP="00675E01">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6AFBA7B6" w14:textId="77777777" w:rsidR="00675E01" w:rsidRPr="00FA3886" w:rsidRDefault="00675E01" w:rsidP="00675E01">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4" w:space="0" w:color="auto"/>
            </w:tcBorders>
            <w:vAlign w:val="center"/>
            <w:hideMark/>
          </w:tcPr>
          <w:p w14:paraId="535DE1BC" w14:textId="531AD901" w:rsidR="00675E01" w:rsidRPr="00FA3886" w:rsidRDefault="00675E01" w:rsidP="00675E01">
            <w:pPr>
              <w:keepNext/>
              <w:keepLines/>
              <w:spacing w:after="0"/>
              <w:jc w:val="center"/>
              <w:rPr>
                <w:rFonts w:ascii="Arial" w:hAnsi="Arial" w:cs="Arial"/>
                <w:sz w:val="18"/>
              </w:rPr>
            </w:pPr>
            <w:r>
              <w:rPr>
                <w:rFonts w:ascii="Arial" w:hAnsi="Arial" w:cs="Arial"/>
                <w:sz w:val="16"/>
                <w:szCs w:val="16"/>
                <w:lang w:val="sv-SE"/>
              </w:rPr>
              <w:t>NR_FDD_FR1_F</w:t>
            </w:r>
          </w:p>
        </w:tc>
        <w:tc>
          <w:tcPr>
            <w:tcW w:w="992" w:type="dxa"/>
            <w:tcBorders>
              <w:top w:val="single" w:sz="6" w:space="0" w:color="auto"/>
              <w:left w:val="single" w:sz="6" w:space="0" w:color="auto"/>
              <w:bottom w:val="single" w:sz="6" w:space="0" w:color="auto"/>
              <w:right w:val="single" w:sz="4" w:space="0" w:color="auto"/>
            </w:tcBorders>
            <w:vAlign w:val="center"/>
            <w:hideMark/>
          </w:tcPr>
          <w:p w14:paraId="53A9C36F" w14:textId="58EE3CD8" w:rsidR="00675E01" w:rsidRPr="00FA3886" w:rsidRDefault="00675E01" w:rsidP="00675E01">
            <w:pPr>
              <w:keepNext/>
              <w:keepLines/>
              <w:spacing w:after="0"/>
              <w:jc w:val="center"/>
              <w:rPr>
                <w:rFonts w:ascii="Arial" w:hAnsi="Arial" w:cs="Arial"/>
                <w:sz w:val="18"/>
              </w:rPr>
            </w:pPr>
            <w:r>
              <w:rPr>
                <w:rFonts w:ascii="Arial" w:hAnsi="Arial" w:cs="Arial"/>
                <w:sz w:val="18"/>
              </w:rPr>
              <w:t>-124.5</w:t>
            </w:r>
          </w:p>
        </w:tc>
        <w:tc>
          <w:tcPr>
            <w:tcW w:w="1134" w:type="dxa"/>
            <w:tcBorders>
              <w:top w:val="single" w:sz="6" w:space="0" w:color="auto"/>
              <w:left w:val="single" w:sz="6" w:space="0" w:color="auto"/>
              <w:bottom w:val="single" w:sz="6" w:space="0" w:color="auto"/>
              <w:right w:val="single" w:sz="4" w:space="0" w:color="auto"/>
            </w:tcBorders>
            <w:vAlign w:val="center"/>
            <w:hideMark/>
          </w:tcPr>
          <w:p w14:paraId="32BB66DF"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-121.5</w:t>
            </w:r>
          </w:p>
        </w:tc>
        <w:tc>
          <w:tcPr>
            <w:tcW w:w="1071" w:type="dxa"/>
            <w:tcBorders>
              <w:top w:val="single" w:sz="6" w:space="0" w:color="auto"/>
              <w:left w:val="single" w:sz="6" w:space="0" w:color="auto"/>
              <w:bottom w:val="single" w:sz="6" w:space="0" w:color="auto"/>
              <w:right w:val="single" w:sz="4" w:space="0" w:color="auto"/>
            </w:tcBorders>
            <w:vAlign w:val="center"/>
            <w:hideMark/>
          </w:tcPr>
          <w:p w14:paraId="5A6641EA"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-118.5</w:t>
            </w:r>
          </w:p>
        </w:tc>
        <w:tc>
          <w:tcPr>
            <w:tcW w:w="1197" w:type="dxa"/>
            <w:tcBorders>
              <w:top w:val="single" w:sz="6" w:space="0" w:color="auto"/>
              <w:left w:val="single" w:sz="6" w:space="0" w:color="auto"/>
              <w:bottom w:val="single" w:sz="6" w:space="0" w:color="auto"/>
              <w:right w:val="single" w:sz="4" w:space="0" w:color="auto"/>
            </w:tcBorders>
            <w:vAlign w:val="center"/>
            <w:hideMark/>
          </w:tcPr>
          <w:p w14:paraId="1FFBA419"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-50</w:t>
            </w:r>
          </w:p>
        </w:tc>
      </w:tr>
      <w:tr w:rsidR="00675E01" w:rsidRPr="00FA3886" w14:paraId="3D882090" w14:textId="77777777" w:rsidTr="007F4AB1">
        <w:trPr>
          <w:trHeight w:val="30"/>
          <w:jc w:val="center"/>
        </w:trPr>
        <w:tc>
          <w:tcPr>
            <w:tcW w:w="965" w:type="dxa"/>
            <w:vMerge/>
            <w:tcBorders>
              <w:top w:val="single" w:sz="6" w:space="0" w:color="auto"/>
              <w:left w:val="single" w:sz="4" w:space="0" w:color="auto"/>
              <w:bottom w:val="single" w:sz="4" w:space="0" w:color="auto"/>
              <w:right w:val="single" w:sz="6" w:space="0" w:color="auto"/>
            </w:tcBorders>
            <w:vAlign w:val="center"/>
            <w:hideMark/>
          </w:tcPr>
          <w:p w14:paraId="23365C09" w14:textId="77777777" w:rsidR="00675E01" w:rsidRPr="00FA3886" w:rsidRDefault="00675E01" w:rsidP="00675E01">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77758747" w14:textId="77777777" w:rsidR="00675E01" w:rsidRPr="00FA3886" w:rsidRDefault="00675E01" w:rsidP="00675E01">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72D3AFF7" w14:textId="77777777" w:rsidR="00675E01" w:rsidRPr="00FA3886" w:rsidRDefault="00675E01" w:rsidP="00675E01">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3E129CA1" w14:textId="77777777" w:rsidR="00675E01" w:rsidRPr="00FA3886" w:rsidRDefault="00675E01" w:rsidP="00675E01">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6B0F96BD" w14:textId="77777777" w:rsidR="00675E01" w:rsidRPr="00FA3886" w:rsidRDefault="00675E01" w:rsidP="00675E01">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4" w:space="0" w:color="auto"/>
            </w:tcBorders>
            <w:vAlign w:val="center"/>
            <w:hideMark/>
          </w:tcPr>
          <w:p w14:paraId="5016D116" w14:textId="291848EB" w:rsidR="00675E01" w:rsidRPr="00FA3886" w:rsidRDefault="00675E01" w:rsidP="00675E01">
            <w:pPr>
              <w:keepNext/>
              <w:keepLines/>
              <w:spacing w:after="0"/>
              <w:jc w:val="center"/>
              <w:rPr>
                <w:rFonts w:ascii="Arial" w:hAnsi="Arial" w:cs="Arial"/>
                <w:sz w:val="18"/>
              </w:rPr>
            </w:pPr>
            <w:r>
              <w:rPr>
                <w:rFonts w:ascii="Arial" w:hAnsi="Arial" w:cs="Arial"/>
                <w:sz w:val="16"/>
                <w:szCs w:val="16"/>
                <w:lang w:val="sv-SE"/>
              </w:rPr>
              <w:t>NR_FDD_FR1_G</w:t>
            </w:r>
            <w:r w:rsidRPr="00380899">
              <w:rPr>
                <w:rFonts w:ascii="Arial" w:hAnsi="Arial" w:cs="Arial"/>
                <w:sz w:val="16"/>
                <w:szCs w:val="16"/>
                <w:lang w:val="sv-SE" w:eastAsia="en-US"/>
              </w:rPr>
              <w:t>, NR_TDD_FR1_G</w:t>
            </w:r>
          </w:p>
        </w:tc>
        <w:tc>
          <w:tcPr>
            <w:tcW w:w="992" w:type="dxa"/>
            <w:tcBorders>
              <w:top w:val="single" w:sz="6" w:space="0" w:color="auto"/>
              <w:left w:val="single" w:sz="6" w:space="0" w:color="auto"/>
              <w:bottom w:val="single" w:sz="6" w:space="0" w:color="auto"/>
              <w:right w:val="single" w:sz="4" w:space="0" w:color="auto"/>
            </w:tcBorders>
            <w:vAlign w:val="center"/>
            <w:hideMark/>
          </w:tcPr>
          <w:p w14:paraId="16601FB9" w14:textId="03E2A57B" w:rsidR="00675E01" w:rsidRPr="00FA3886" w:rsidRDefault="00675E01" w:rsidP="00675E01">
            <w:pPr>
              <w:keepNext/>
              <w:keepLines/>
              <w:spacing w:after="0"/>
              <w:jc w:val="center"/>
              <w:rPr>
                <w:rFonts w:ascii="Arial" w:hAnsi="Arial" w:cs="Arial"/>
                <w:sz w:val="18"/>
              </w:rPr>
            </w:pPr>
            <w:r>
              <w:rPr>
                <w:rFonts w:ascii="Arial" w:hAnsi="Arial" w:cs="Arial"/>
                <w:sz w:val="18"/>
              </w:rPr>
              <w:t>-124</w:t>
            </w:r>
          </w:p>
        </w:tc>
        <w:tc>
          <w:tcPr>
            <w:tcW w:w="1134" w:type="dxa"/>
            <w:tcBorders>
              <w:top w:val="single" w:sz="6" w:space="0" w:color="auto"/>
              <w:left w:val="single" w:sz="6" w:space="0" w:color="auto"/>
              <w:bottom w:val="single" w:sz="6" w:space="0" w:color="auto"/>
              <w:right w:val="single" w:sz="4" w:space="0" w:color="auto"/>
            </w:tcBorders>
            <w:vAlign w:val="center"/>
            <w:hideMark/>
          </w:tcPr>
          <w:p w14:paraId="00ADB0D0"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-121</w:t>
            </w:r>
          </w:p>
        </w:tc>
        <w:tc>
          <w:tcPr>
            <w:tcW w:w="1071" w:type="dxa"/>
            <w:tcBorders>
              <w:top w:val="single" w:sz="6" w:space="0" w:color="auto"/>
              <w:left w:val="single" w:sz="6" w:space="0" w:color="auto"/>
              <w:bottom w:val="single" w:sz="6" w:space="0" w:color="auto"/>
              <w:right w:val="single" w:sz="4" w:space="0" w:color="auto"/>
            </w:tcBorders>
            <w:vAlign w:val="center"/>
            <w:hideMark/>
          </w:tcPr>
          <w:p w14:paraId="2264BC4F"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-118</w:t>
            </w:r>
          </w:p>
        </w:tc>
        <w:tc>
          <w:tcPr>
            <w:tcW w:w="1197" w:type="dxa"/>
            <w:tcBorders>
              <w:top w:val="single" w:sz="6" w:space="0" w:color="auto"/>
              <w:left w:val="single" w:sz="6" w:space="0" w:color="auto"/>
              <w:bottom w:val="single" w:sz="6" w:space="0" w:color="auto"/>
              <w:right w:val="single" w:sz="4" w:space="0" w:color="auto"/>
            </w:tcBorders>
            <w:vAlign w:val="center"/>
            <w:hideMark/>
          </w:tcPr>
          <w:p w14:paraId="0D98E4A4"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-50</w:t>
            </w:r>
          </w:p>
        </w:tc>
      </w:tr>
      <w:tr w:rsidR="00675E01" w:rsidRPr="00FA3886" w14:paraId="77E338F4" w14:textId="77777777" w:rsidTr="007F4AB1">
        <w:trPr>
          <w:trHeight w:val="30"/>
          <w:jc w:val="center"/>
        </w:trPr>
        <w:tc>
          <w:tcPr>
            <w:tcW w:w="965" w:type="dxa"/>
            <w:vMerge/>
            <w:tcBorders>
              <w:top w:val="single" w:sz="6" w:space="0" w:color="auto"/>
              <w:left w:val="single" w:sz="4" w:space="0" w:color="auto"/>
              <w:bottom w:val="single" w:sz="4" w:space="0" w:color="auto"/>
              <w:right w:val="single" w:sz="6" w:space="0" w:color="auto"/>
            </w:tcBorders>
            <w:vAlign w:val="center"/>
            <w:hideMark/>
          </w:tcPr>
          <w:p w14:paraId="2A560041" w14:textId="77777777" w:rsidR="00675E01" w:rsidRPr="00FA3886" w:rsidRDefault="00675E01" w:rsidP="00675E01">
            <w:pPr>
              <w:spacing w:after="0"/>
              <w:rPr>
                <w:rFonts w:ascii="Arial" w:eastAsia="SimSun" w:hAnsi="Arial"/>
                <w:sz w:val="18"/>
                <w:lang w:eastAsia="zh-CN"/>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05487CB" w14:textId="77777777" w:rsidR="00675E01" w:rsidRPr="00FA3886" w:rsidRDefault="00675E01" w:rsidP="00675E01">
            <w:pPr>
              <w:spacing w:after="0"/>
              <w:rPr>
                <w:rFonts w:ascii="Arial" w:eastAsia="SimSun" w:hAnsi="Arial"/>
                <w:sz w:val="18"/>
                <w:lang w:eastAsia="zh-CN"/>
              </w:rPr>
            </w:pP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05EA49D8" w14:textId="77777777" w:rsidR="00675E01" w:rsidRPr="00FA3886" w:rsidRDefault="00675E01" w:rsidP="00675E01">
            <w:pPr>
              <w:spacing w:after="0"/>
              <w:rPr>
                <w:rFonts w:ascii="Arial" w:eastAsia="SimSun" w:hAnsi="Arial"/>
                <w:sz w:val="18"/>
                <w:lang w:eastAsia="zh-CN"/>
              </w:rPr>
            </w:pPr>
          </w:p>
        </w:tc>
        <w:tc>
          <w:tcPr>
            <w:tcW w:w="1140" w:type="dxa"/>
            <w:vMerge/>
            <w:tcBorders>
              <w:top w:val="single" w:sz="6" w:space="0" w:color="auto"/>
              <w:left w:val="single" w:sz="6" w:space="0" w:color="auto"/>
              <w:bottom w:val="single" w:sz="6" w:space="0" w:color="auto"/>
              <w:right w:val="single" w:sz="6" w:space="0" w:color="auto"/>
            </w:tcBorders>
            <w:vAlign w:val="center"/>
            <w:hideMark/>
          </w:tcPr>
          <w:p w14:paraId="081FA7CF" w14:textId="77777777" w:rsidR="00675E01" w:rsidRPr="00FA3886" w:rsidRDefault="00675E01" w:rsidP="00675E01">
            <w:pPr>
              <w:spacing w:after="0"/>
              <w:rPr>
                <w:rFonts w:ascii="Arial" w:eastAsia="SimSun" w:hAnsi="Arial"/>
                <w:sz w:val="18"/>
              </w:rPr>
            </w:pPr>
          </w:p>
        </w:tc>
        <w:tc>
          <w:tcPr>
            <w:tcW w:w="1178" w:type="dxa"/>
            <w:vMerge/>
            <w:tcBorders>
              <w:top w:val="single" w:sz="6" w:space="0" w:color="auto"/>
              <w:left w:val="single" w:sz="6" w:space="0" w:color="auto"/>
              <w:bottom w:val="single" w:sz="6" w:space="0" w:color="auto"/>
              <w:right w:val="single" w:sz="6" w:space="0" w:color="auto"/>
            </w:tcBorders>
            <w:vAlign w:val="center"/>
            <w:hideMark/>
          </w:tcPr>
          <w:p w14:paraId="4175567D" w14:textId="77777777" w:rsidR="00675E01" w:rsidRPr="00FA3886" w:rsidRDefault="00675E01" w:rsidP="00675E01">
            <w:pPr>
              <w:spacing w:after="0"/>
              <w:rPr>
                <w:rFonts w:ascii="Arial" w:eastAsia="SimSun" w:hAnsi="Arial"/>
                <w:sz w:val="18"/>
                <w:lang w:eastAsia="zh-CN"/>
              </w:rPr>
            </w:pPr>
          </w:p>
        </w:tc>
        <w:tc>
          <w:tcPr>
            <w:tcW w:w="1586" w:type="dxa"/>
            <w:tcBorders>
              <w:top w:val="single" w:sz="6" w:space="0" w:color="auto"/>
              <w:left w:val="single" w:sz="6" w:space="0" w:color="auto"/>
              <w:bottom w:val="single" w:sz="6" w:space="0" w:color="auto"/>
              <w:right w:val="single" w:sz="4" w:space="0" w:color="auto"/>
            </w:tcBorders>
            <w:vAlign w:val="center"/>
            <w:hideMark/>
          </w:tcPr>
          <w:p w14:paraId="4D83CC48" w14:textId="0D899C38" w:rsidR="00675E01" w:rsidRPr="00FA3886" w:rsidRDefault="00675E01" w:rsidP="00675E01">
            <w:pPr>
              <w:keepNext/>
              <w:keepLines/>
              <w:spacing w:after="0"/>
              <w:jc w:val="center"/>
              <w:rPr>
                <w:rFonts w:ascii="Arial" w:hAnsi="Arial" w:cs="Arial"/>
                <w:sz w:val="18"/>
              </w:rPr>
            </w:pPr>
            <w:r>
              <w:rPr>
                <w:rFonts w:ascii="Arial" w:hAnsi="Arial" w:cs="Arial"/>
                <w:sz w:val="16"/>
                <w:szCs w:val="16"/>
                <w:lang w:val="sv-SE"/>
              </w:rPr>
              <w:t>NR_FDD_FR1_H</w:t>
            </w:r>
          </w:p>
        </w:tc>
        <w:tc>
          <w:tcPr>
            <w:tcW w:w="992" w:type="dxa"/>
            <w:tcBorders>
              <w:top w:val="single" w:sz="6" w:space="0" w:color="auto"/>
              <w:left w:val="single" w:sz="6" w:space="0" w:color="auto"/>
              <w:bottom w:val="single" w:sz="6" w:space="0" w:color="auto"/>
              <w:right w:val="single" w:sz="4" w:space="0" w:color="auto"/>
            </w:tcBorders>
            <w:vAlign w:val="center"/>
            <w:hideMark/>
          </w:tcPr>
          <w:p w14:paraId="5440BBF3" w14:textId="33096359" w:rsidR="00675E01" w:rsidRPr="00FA3886" w:rsidRDefault="00675E01" w:rsidP="00675E01">
            <w:pPr>
              <w:keepNext/>
              <w:keepLines/>
              <w:spacing w:after="0"/>
              <w:jc w:val="center"/>
              <w:rPr>
                <w:rFonts w:ascii="Arial" w:hAnsi="Arial" w:cs="Arial"/>
                <w:sz w:val="18"/>
              </w:rPr>
            </w:pPr>
            <w:r>
              <w:rPr>
                <w:rFonts w:ascii="Arial" w:hAnsi="Arial" w:cs="Arial"/>
                <w:sz w:val="18"/>
              </w:rPr>
              <w:t>-123.5</w:t>
            </w:r>
          </w:p>
        </w:tc>
        <w:tc>
          <w:tcPr>
            <w:tcW w:w="1134" w:type="dxa"/>
            <w:tcBorders>
              <w:top w:val="single" w:sz="6" w:space="0" w:color="auto"/>
              <w:left w:val="single" w:sz="6" w:space="0" w:color="auto"/>
              <w:bottom w:val="single" w:sz="6" w:space="0" w:color="auto"/>
              <w:right w:val="single" w:sz="4" w:space="0" w:color="auto"/>
            </w:tcBorders>
            <w:vAlign w:val="center"/>
            <w:hideMark/>
          </w:tcPr>
          <w:p w14:paraId="5277324B"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-120.5</w:t>
            </w:r>
          </w:p>
        </w:tc>
        <w:tc>
          <w:tcPr>
            <w:tcW w:w="1071" w:type="dxa"/>
            <w:tcBorders>
              <w:top w:val="single" w:sz="6" w:space="0" w:color="auto"/>
              <w:left w:val="single" w:sz="6" w:space="0" w:color="auto"/>
              <w:bottom w:val="single" w:sz="6" w:space="0" w:color="auto"/>
              <w:right w:val="single" w:sz="4" w:space="0" w:color="auto"/>
            </w:tcBorders>
            <w:vAlign w:val="center"/>
            <w:hideMark/>
          </w:tcPr>
          <w:p w14:paraId="41D138FE"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-117.5</w:t>
            </w:r>
          </w:p>
        </w:tc>
        <w:tc>
          <w:tcPr>
            <w:tcW w:w="1197" w:type="dxa"/>
            <w:tcBorders>
              <w:top w:val="single" w:sz="6" w:space="0" w:color="auto"/>
              <w:left w:val="single" w:sz="6" w:space="0" w:color="auto"/>
              <w:bottom w:val="single" w:sz="6" w:space="0" w:color="auto"/>
              <w:right w:val="single" w:sz="4" w:space="0" w:color="auto"/>
            </w:tcBorders>
            <w:vAlign w:val="center"/>
            <w:hideMark/>
          </w:tcPr>
          <w:p w14:paraId="128448A2" w14:textId="77777777" w:rsidR="00675E01" w:rsidRPr="00FA3886" w:rsidRDefault="00675E01" w:rsidP="00675E01">
            <w:pPr>
              <w:keepNext/>
              <w:keepLines/>
              <w:spacing w:after="0"/>
              <w:jc w:val="center"/>
              <w:rPr>
                <w:rFonts w:ascii="Arial" w:hAnsi="Arial" w:cs="Arial"/>
                <w:sz w:val="18"/>
              </w:rPr>
            </w:pPr>
            <w:r w:rsidRPr="00FA3886">
              <w:rPr>
                <w:rFonts w:ascii="Arial" w:hAnsi="Arial" w:cs="Arial"/>
                <w:sz w:val="18"/>
              </w:rPr>
              <w:t>-50</w:t>
            </w:r>
          </w:p>
        </w:tc>
      </w:tr>
      <w:tr w:rsidR="007F4AB1" w:rsidRPr="00FA3886" w14:paraId="7840897A" w14:textId="77777777" w:rsidTr="007F4AB1">
        <w:trPr>
          <w:jc w:val="center"/>
        </w:trPr>
        <w:tc>
          <w:tcPr>
            <w:tcW w:w="965" w:type="dxa"/>
            <w:tcBorders>
              <w:top w:val="single" w:sz="4" w:space="0" w:color="auto"/>
              <w:left w:val="single" w:sz="4" w:space="0" w:color="auto"/>
              <w:bottom w:val="single" w:sz="6" w:space="0" w:color="auto"/>
              <w:right w:val="single" w:sz="6" w:space="0" w:color="auto"/>
            </w:tcBorders>
            <w:vAlign w:val="center"/>
            <w:hideMark/>
          </w:tcPr>
          <w:p w14:paraId="630CDB21"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9.5</w:t>
            </w:r>
          </w:p>
        </w:tc>
        <w:tc>
          <w:tcPr>
            <w:tcW w:w="965" w:type="dxa"/>
            <w:tcBorders>
              <w:top w:val="single" w:sz="4" w:space="0" w:color="auto"/>
              <w:left w:val="single" w:sz="4" w:space="0" w:color="auto"/>
              <w:bottom w:val="single" w:sz="4" w:space="0" w:color="auto"/>
              <w:right w:val="single" w:sz="4" w:space="0" w:color="auto"/>
            </w:tcBorders>
            <w:vAlign w:val="center"/>
            <w:hideMark/>
          </w:tcPr>
          <w:p w14:paraId="7F3F6FCE"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11.0</w:t>
            </w:r>
          </w:p>
        </w:tc>
        <w:tc>
          <w:tcPr>
            <w:tcW w:w="827" w:type="dxa"/>
            <w:vMerge w:val="restart"/>
            <w:tcBorders>
              <w:top w:val="single" w:sz="6" w:space="0" w:color="auto"/>
              <w:left w:val="single" w:sz="6" w:space="0" w:color="auto"/>
              <w:bottom w:val="single" w:sz="6" w:space="0" w:color="auto"/>
              <w:right w:val="single" w:sz="6" w:space="0" w:color="auto"/>
            </w:tcBorders>
            <w:vAlign w:val="center"/>
            <w:hideMark/>
          </w:tcPr>
          <w:p w14:paraId="3FB1247A" w14:textId="0B53E61D" w:rsidR="007F4AB1" w:rsidRPr="00FA3886" w:rsidRDefault="007F4AB1" w:rsidP="007F4AB1">
            <w:pPr>
              <w:keepNext/>
              <w:keepLines/>
              <w:spacing w:after="0"/>
              <w:jc w:val="center"/>
              <w:rPr>
                <w:rFonts w:ascii="Arial" w:hAnsi="Arial"/>
                <w:sz w:val="18"/>
              </w:rPr>
            </w:pPr>
            <w:r w:rsidRPr="00FA3886">
              <w:rPr>
                <w:rFonts w:ascii="Arial" w:hAnsi="Arial" w:cs="Arial"/>
                <w:sz w:val="18"/>
              </w:rPr>
              <w:t>≥-</w:t>
            </w:r>
            <w:r w:rsidRPr="00FA3886">
              <w:rPr>
                <w:rFonts w:ascii="Arial" w:hAnsi="Arial" w:cs="Arial"/>
                <w:sz w:val="18"/>
                <w:lang w:eastAsia="zh-CN"/>
              </w:rPr>
              <w:t>6</w:t>
            </w:r>
          </w:p>
        </w:tc>
        <w:tc>
          <w:tcPr>
            <w:tcW w:w="1140" w:type="dxa"/>
            <w:tcBorders>
              <w:top w:val="single" w:sz="6" w:space="0" w:color="auto"/>
              <w:left w:val="single" w:sz="6" w:space="0" w:color="auto"/>
              <w:bottom w:val="single" w:sz="6" w:space="0" w:color="auto"/>
              <w:right w:val="single" w:sz="6" w:space="0" w:color="auto"/>
            </w:tcBorders>
            <w:hideMark/>
          </w:tcPr>
          <w:p w14:paraId="09D132DE"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lang w:eastAsia="zh-CN"/>
              </w:rPr>
              <w:t>48 ≤ BW ≤ 52</w:t>
            </w:r>
          </w:p>
        </w:tc>
        <w:tc>
          <w:tcPr>
            <w:tcW w:w="1178" w:type="dxa"/>
            <w:tcBorders>
              <w:top w:val="single" w:sz="6" w:space="0" w:color="auto"/>
              <w:left w:val="single" w:sz="6" w:space="0" w:color="auto"/>
              <w:bottom w:val="single" w:sz="6" w:space="0" w:color="auto"/>
              <w:right w:val="single" w:sz="6" w:space="0" w:color="auto"/>
            </w:tcBorders>
            <w:hideMark/>
          </w:tcPr>
          <w:p w14:paraId="39991A42"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5980" w:type="dxa"/>
            <w:gridSpan w:val="5"/>
            <w:tcBorders>
              <w:top w:val="single" w:sz="6" w:space="0" w:color="auto"/>
              <w:left w:val="single" w:sz="6" w:space="0" w:color="auto"/>
              <w:bottom w:val="single" w:sz="6" w:space="0" w:color="auto"/>
              <w:right w:val="single" w:sz="4" w:space="0" w:color="auto"/>
            </w:tcBorders>
            <w:vAlign w:val="center"/>
            <w:hideMark/>
          </w:tcPr>
          <w:p w14:paraId="419124E0"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Note 3</w:t>
            </w:r>
          </w:p>
        </w:tc>
      </w:tr>
      <w:tr w:rsidR="007F4AB1" w:rsidRPr="00FA3886" w14:paraId="7CC66349" w14:textId="77777777" w:rsidTr="007F4AB1">
        <w:trPr>
          <w:jc w:val="center"/>
        </w:trPr>
        <w:tc>
          <w:tcPr>
            <w:tcW w:w="965" w:type="dxa"/>
            <w:tcBorders>
              <w:top w:val="single" w:sz="4" w:space="0" w:color="auto"/>
              <w:left w:val="single" w:sz="4" w:space="0" w:color="auto"/>
              <w:bottom w:val="single" w:sz="6" w:space="0" w:color="auto"/>
              <w:right w:val="single" w:sz="6" w:space="0" w:color="auto"/>
            </w:tcBorders>
            <w:vAlign w:val="center"/>
            <w:hideMark/>
          </w:tcPr>
          <w:p w14:paraId="5EE700EF"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6.5</w:t>
            </w:r>
          </w:p>
        </w:tc>
        <w:tc>
          <w:tcPr>
            <w:tcW w:w="965" w:type="dxa"/>
            <w:tcBorders>
              <w:top w:val="single" w:sz="4" w:space="0" w:color="auto"/>
              <w:left w:val="single" w:sz="4" w:space="0" w:color="auto"/>
              <w:bottom w:val="single" w:sz="4" w:space="0" w:color="auto"/>
              <w:right w:val="single" w:sz="4" w:space="0" w:color="auto"/>
            </w:tcBorders>
            <w:vAlign w:val="center"/>
            <w:hideMark/>
          </w:tcPr>
          <w:p w14:paraId="5F1BB527"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8.0</w:t>
            </w: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45017B53" w14:textId="77777777" w:rsidR="007F4AB1" w:rsidRPr="00FA3886" w:rsidRDefault="007F4AB1" w:rsidP="007F4AB1">
            <w:pPr>
              <w:spacing w:after="0"/>
              <w:rPr>
                <w:rFonts w:ascii="Arial" w:eastAsia="SimSun" w:hAnsi="Arial"/>
                <w:sz w:val="18"/>
              </w:rPr>
            </w:pPr>
          </w:p>
        </w:tc>
        <w:tc>
          <w:tcPr>
            <w:tcW w:w="1140" w:type="dxa"/>
            <w:tcBorders>
              <w:top w:val="single" w:sz="6" w:space="0" w:color="auto"/>
              <w:left w:val="single" w:sz="6" w:space="0" w:color="auto"/>
              <w:bottom w:val="single" w:sz="6" w:space="0" w:color="auto"/>
              <w:right w:val="single" w:sz="6" w:space="0" w:color="auto"/>
            </w:tcBorders>
            <w:hideMark/>
          </w:tcPr>
          <w:p w14:paraId="64E4F70B" w14:textId="77777777" w:rsidR="007F4AB1" w:rsidRPr="00FA3886" w:rsidRDefault="007F4AB1" w:rsidP="007F4AB1">
            <w:pPr>
              <w:keepNext/>
              <w:keepLines/>
              <w:spacing w:after="0"/>
              <w:jc w:val="center"/>
              <w:rPr>
                <w:rFonts w:ascii="Arial" w:hAnsi="Arial"/>
                <w:sz w:val="18"/>
                <w:lang w:eastAsia="zh-CN"/>
              </w:rPr>
            </w:pPr>
            <w:r w:rsidRPr="00FA3886">
              <w:rPr>
                <w:rFonts w:ascii="Arial" w:hAnsi="Arial" w:cs="Arial"/>
                <w:sz w:val="18"/>
                <w:lang w:eastAsia="zh-CN"/>
              </w:rPr>
              <w:t>52&lt; BW≤ 104</w:t>
            </w:r>
          </w:p>
        </w:tc>
        <w:tc>
          <w:tcPr>
            <w:tcW w:w="1178" w:type="dxa"/>
            <w:tcBorders>
              <w:top w:val="single" w:sz="6" w:space="0" w:color="auto"/>
              <w:left w:val="single" w:sz="6" w:space="0" w:color="auto"/>
              <w:bottom w:val="single" w:sz="6" w:space="0" w:color="auto"/>
              <w:right w:val="single" w:sz="6" w:space="0" w:color="auto"/>
            </w:tcBorders>
            <w:hideMark/>
          </w:tcPr>
          <w:p w14:paraId="3EE63D4F"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5980" w:type="dxa"/>
            <w:gridSpan w:val="5"/>
            <w:tcBorders>
              <w:top w:val="single" w:sz="6" w:space="0" w:color="auto"/>
              <w:left w:val="single" w:sz="6" w:space="0" w:color="auto"/>
              <w:bottom w:val="single" w:sz="6" w:space="0" w:color="auto"/>
              <w:right w:val="single" w:sz="4" w:space="0" w:color="auto"/>
            </w:tcBorders>
            <w:vAlign w:val="center"/>
            <w:hideMark/>
          </w:tcPr>
          <w:p w14:paraId="21CAD126"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Note 3</w:t>
            </w:r>
          </w:p>
        </w:tc>
      </w:tr>
      <w:tr w:rsidR="007F4AB1" w:rsidRPr="00FA3886" w14:paraId="4CE5BDD6" w14:textId="77777777" w:rsidTr="007F4AB1">
        <w:trPr>
          <w:jc w:val="center"/>
        </w:trPr>
        <w:tc>
          <w:tcPr>
            <w:tcW w:w="965" w:type="dxa"/>
            <w:tcBorders>
              <w:top w:val="single" w:sz="4" w:space="0" w:color="auto"/>
              <w:left w:val="single" w:sz="4" w:space="0" w:color="auto"/>
              <w:bottom w:val="single" w:sz="6" w:space="0" w:color="auto"/>
              <w:right w:val="single" w:sz="6" w:space="0" w:color="auto"/>
            </w:tcBorders>
            <w:vAlign w:val="center"/>
            <w:hideMark/>
          </w:tcPr>
          <w:p w14:paraId="61DBE878"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5.0</w:t>
            </w:r>
          </w:p>
        </w:tc>
        <w:tc>
          <w:tcPr>
            <w:tcW w:w="965" w:type="dxa"/>
            <w:tcBorders>
              <w:top w:val="single" w:sz="4" w:space="0" w:color="auto"/>
              <w:left w:val="single" w:sz="4" w:space="0" w:color="auto"/>
              <w:bottom w:val="single" w:sz="4" w:space="0" w:color="auto"/>
              <w:right w:val="single" w:sz="4" w:space="0" w:color="auto"/>
            </w:tcBorders>
            <w:vAlign w:val="center"/>
            <w:hideMark/>
          </w:tcPr>
          <w:p w14:paraId="4C7234A9"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6.5</w:t>
            </w:r>
          </w:p>
        </w:tc>
        <w:tc>
          <w:tcPr>
            <w:tcW w:w="827" w:type="dxa"/>
            <w:vMerge/>
            <w:tcBorders>
              <w:top w:val="single" w:sz="6" w:space="0" w:color="auto"/>
              <w:left w:val="single" w:sz="6" w:space="0" w:color="auto"/>
              <w:bottom w:val="single" w:sz="6" w:space="0" w:color="auto"/>
              <w:right w:val="single" w:sz="6" w:space="0" w:color="auto"/>
            </w:tcBorders>
            <w:vAlign w:val="center"/>
            <w:hideMark/>
          </w:tcPr>
          <w:p w14:paraId="545B14E7" w14:textId="77777777" w:rsidR="007F4AB1" w:rsidRPr="00FA3886" w:rsidRDefault="007F4AB1" w:rsidP="007F4AB1">
            <w:pPr>
              <w:spacing w:after="0"/>
              <w:rPr>
                <w:rFonts w:ascii="Arial" w:eastAsia="SimSun" w:hAnsi="Arial"/>
                <w:sz w:val="18"/>
              </w:rPr>
            </w:pPr>
          </w:p>
        </w:tc>
        <w:tc>
          <w:tcPr>
            <w:tcW w:w="1140" w:type="dxa"/>
            <w:tcBorders>
              <w:top w:val="single" w:sz="6" w:space="0" w:color="auto"/>
              <w:left w:val="single" w:sz="6" w:space="0" w:color="auto"/>
              <w:bottom w:val="single" w:sz="6" w:space="0" w:color="auto"/>
              <w:right w:val="single" w:sz="6" w:space="0" w:color="auto"/>
            </w:tcBorders>
            <w:hideMark/>
          </w:tcPr>
          <w:p w14:paraId="453DD622" w14:textId="77777777" w:rsidR="007F4AB1" w:rsidRPr="00FA3886" w:rsidRDefault="007F4AB1" w:rsidP="007F4AB1">
            <w:pPr>
              <w:keepNext/>
              <w:keepLines/>
              <w:spacing w:after="0"/>
              <w:jc w:val="center"/>
              <w:rPr>
                <w:rFonts w:ascii="Arial" w:hAnsi="Arial"/>
                <w:sz w:val="18"/>
                <w:lang w:eastAsia="zh-CN"/>
              </w:rPr>
            </w:pPr>
            <w:r w:rsidRPr="00FA3886">
              <w:rPr>
                <w:rFonts w:ascii="Arial" w:hAnsi="Arial" w:cs="Arial"/>
                <w:sz w:val="18"/>
                <w:lang w:eastAsia="zh-CN"/>
              </w:rPr>
              <w:t>BW &gt;104</w:t>
            </w:r>
          </w:p>
        </w:tc>
        <w:tc>
          <w:tcPr>
            <w:tcW w:w="1178" w:type="dxa"/>
            <w:tcBorders>
              <w:top w:val="single" w:sz="6" w:space="0" w:color="auto"/>
              <w:left w:val="single" w:sz="6" w:space="0" w:color="auto"/>
              <w:bottom w:val="single" w:sz="6" w:space="0" w:color="auto"/>
              <w:right w:val="single" w:sz="6" w:space="0" w:color="auto"/>
            </w:tcBorders>
            <w:hideMark/>
          </w:tcPr>
          <w:p w14:paraId="704CA5A0"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5980" w:type="dxa"/>
            <w:gridSpan w:val="5"/>
            <w:tcBorders>
              <w:top w:val="single" w:sz="6" w:space="0" w:color="auto"/>
              <w:left w:val="single" w:sz="6" w:space="0" w:color="auto"/>
              <w:bottom w:val="single" w:sz="6" w:space="0" w:color="auto"/>
              <w:right w:val="single" w:sz="4" w:space="0" w:color="auto"/>
            </w:tcBorders>
            <w:vAlign w:val="center"/>
            <w:hideMark/>
          </w:tcPr>
          <w:p w14:paraId="477ACBB5" w14:textId="77777777" w:rsidR="007F4AB1" w:rsidRPr="00FA3886" w:rsidRDefault="007F4AB1" w:rsidP="007F4AB1">
            <w:pPr>
              <w:keepNext/>
              <w:keepLines/>
              <w:spacing w:after="0"/>
              <w:jc w:val="center"/>
              <w:rPr>
                <w:rFonts w:ascii="Arial" w:hAnsi="Arial" w:cs="Arial"/>
                <w:sz w:val="18"/>
              </w:rPr>
            </w:pPr>
            <w:r w:rsidRPr="00FA3886">
              <w:rPr>
                <w:rFonts w:ascii="Arial" w:hAnsi="Arial" w:cs="Arial"/>
                <w:sz w:val="18"/>
              </w:rPr>
              <w:t>Note 3</w:t>
            </w:r>
          </w:p>
        </w:tc>
      </w:tr>
      <w:tr w:rsidR="007F4AB1" w:rsidRPr="00FA3886" w14:paraId="5FCF4212" w14:textId="77777777" w:rsidTr="007F4AB1">
        <w:trPr>
          <w:jc w:val="center"/>
        </w:trPr>
        <w:tc>
          <w:tcPr>
            <w:tcW w:w="11055" w:type="dxa"/>
            <w:gridSpan w:val="10"/>
            <w:tcBorders>
              <w:top w:val="single" w:sz="6" w:space="0" w:color="auto"/>
              <w:left w:val="single" w:sz="4" w:space="0" w:color="auto"/>
              <w:bottom w:val="single" w:sz="4" w:space="0" w:color="auto"/>
              <w:right w:val="single" w:sz="4" w:space="0" w:color="auto"/>
            </w:tcBorders>
            <w:hideMark/>
          </w:tcPr>
          <w:p w14:paraId="24B0A7D7" w14:textId="77777777" w:rsidR="007F4AB1" w:rsidRPr="00FA3886" w:rsidRDefault="007F4AB1" w:rsidP="007F4AB1">
            <w:pPr>
              <w:keepNext/>
              <w:keepLines/>
              <w:spacing w:after="0"/>
              <w:ind w:left="851" w:hanging="851"/>
              <w:rPr>
                <w:rFonts w:ascii="Arial" w:hAnsi="Arial" w:cs="Arial"/>
                <w:sz w:val="18"/>
              </w:rPr>
            </w:pPr>
            <w:r w:rsidRPr="00FA3886">
              <w:rPr>
                <w:rFonts w:ascii="Arial" w:hAnsi="Arial" w:cs="Arial"/>
                <w:sz w:val="18"/>
              </w:rPr>
              <w:t>N</w:t>
            </w:r>
            <w:r w:rsidRPr="00FA3886">
              <w:rPr>
                <w:rFonts w:ascii="Arial" w:hAnsi="Arial" w:cs="Arial"/>
                <w:sz w:val="18"/>
                <w:lang w:eastAsia="zh-CN"/>
              </w:rPr>
              <w:t>OTE</w:t>
            </w:r>
            <w:r w:rsidRPr="00FA3886">
              <w:rPr>
                <w:rFonts w:ascii="Arial" w:hAnsi="Arial" w:cs="Arial"/>
                <w:sz w:val="18"/>
              </w:rPr>
              <w:t xml:space="preserve"> 1:</w:t>
            </w:r>
            <w:r w:rsidRPr="00FA3886">
              <w:rPr>
                <w:rFonts w:ascii="Arial" w:hAnsi="Arial" w:cs="Arial"/>
                <w:sz w:val="18"/>
              </w:rPr>
              <w:tab/>
              <w:t>This minimum Io condition is expressed as the average Io per RE over all REs in an OFDM symbol.</w:t>
            </w:r>
          </w:p>
          <w:p w14:paraId="2823A891" w14:textId="77777777" w:rsidR="007F4AB1" w:rsidRPr="00FA3886" w:rsidRDefault="007F4AB1" w:rsidP="007F4AB1">
            <w:pPr>
              <w:keepNext/>
              <w:keepLines/>
              <w:spacing w:after="0"/>
              <w:ind w:left="851" w:hanging="851"/>
              <w:rPr>
                <w:rFonts w:ascii="Arial" w:hAnsi="Arial" w:cs="v4.2.0"/>
                <w:sz w:val="18"/>
              </w:rPr>
            </w:pPr>
            <w:r w:rsidRPr="00FA3886">
              <w:rPr>
                <w:rFonts w:ascii="Arial" w:hAnsi="Arial" w:cs="v4.2.0"/>
                <w:sz w:val="18"/>
              </w:rPr>
              <w:t>N</w:t>
            </w:r>
            <w:r w:rsidRPr="00FA3886">
              <w:rPr>
                <w:rFonts w:ascii="Arial" w:hAnsi="Arial" w:cs="Arial"/>
                <w:sz w:val="18"/>
                <w:lang w:eastAsia="zh-CN"/>
              </w:rPr>
              <w:t>OTE</w:t>
            </w:r>
            <w:r w:rsidRPr="00FA3886">
              <w:rPr>
                <w:rFonts w:ascii="Arial" w:hAnsi="Arial" w:cs="v4.2.0"/>
                <w:sz w:val="18"/>
              </w:rPr>
              <w:t xml:space="preserve"> 2:</w:t>
            </w:r>
            <w:r w:rsidRPr="00FA3886">
              <w:rPr>
                <w:rFonts w:ascii="Arial" w:hAnsi="Arial" w:cs="v4.2.0"/>
                <w:sz w:val="18"/>
              </w:rPr>
              <w:tab/>
              <w:t xml:space="preserve">PRS bandwidth is as indicated in </w:t>
            </w:r>
            <w:r w:rsidRPr="00FA3886">
              <w:rPr>
                <w:rFonts w:ascii="Arial" w:hAnsi="Arial" w:cs="Arial"/>
                <w:i/>
                <w:sz w:val="18"/>
              </w:rPr>
              <w:t>prs-Bandwidth</w:t>
            </w:r>
            <w:r w:rsidRPr="00FA3886">
              <w:rPr>
                <w:rFonts w:ascii="Arial" w:hAnsi="Arial" w:cs="Arial"/>
                <w:sz w:val="18"/>
              </w:rPr>
              <w:t xml:space="preserve"> </w:t>
            </w:r>
            <w:r w:rsidRPr="00FA3886">
              <w:rPr>
                <w:rFonts w:ascii="Arial" w:hAnsi="Arial" w:cs="v4.2.0"/>
                <w:sz w:val="18"/>
              </w:rPr>
              <w:t xml:space="preserve">in the OTDOA </w:t>
            </w:r>
            <w:r w:rsidRPr="00FA3886">
              <w:rPr>
                <w:rFonts w:ascii="Arial" w:hAnsi="Arial" w:cs="v4.2.0"/>
                <w:sz w:val="18"/>
                <w:lang w:eastAsia="zh-CN"/>
              </w:rPr>
              <w:t>or DL-AoD</w:t>
            </w:r>
            <w:r w:rsidRPr="00FA3886">
              <w:rPr>
                <w:rFonts w:ascii="Arial" w:hAnsi="Arial" w:cs="v4.2.0"/>
                <w:sz w:val="18"/>
              </w:rPr>
              <w:t xml:space="preserve"> assistance data defined in [</w:t>
            </w:r>
            <w:r w:rsidRPr="00FA3886">
              <w:rPr>
                <w:rFonts w:ascii="Arial" w:hAnsi="Arial" w:cs="v4.2.0"/>
                <w:sz w:val="18"/>
                <w:lang w:eastAsia="zh-CN"/>
              </w:rPr>
              <w:t>3</w:t>
            </w:r>
            <w:r w:rsidRPr="00FA3886">
              <w:rPr>
                <w:rFonts w:ascii="Arial" w:hAnsi="Arial" w:cs="v4.2.0"/>
                <w:sz w:val="18"/>
              </w:rPr>
              <w:t>4].</w:t>
            </w:r>
          </w:p>
          <w:p w14:paraId="7B0684C2" w14:textId="77777777" w:rsidR="007F4AB1" w:rsidRPr="00FA3886" w:rsidRDefault="007F4AB1" w:rsidP="007F4AB1">
            <w:pPr>
              <w:keepNext/>
              <w:keepLines/>
              <w:spacing w:after="0"/>
              <w:ind w:left="851" w:hanging="851"/>
              <w:rPr>
                <w:rFonts w:ascii="Arial" w:hAnsi="Arial"/>
                <w:sz w:val="18"/>
              </w:rPr>
            </w:pPr>
            <w:r w:rsidRPr="00FA3886">
              <w:rPr>
                <w:rFonts w:ascii="Arial" w:hAnsi="Arial" w:cs="Arial"/>
                <w:sz w:val="18"/>
              </w:rPr>
              <w:t>N</w:t>
            </w:r>
            <w:r w:rsidRPr="00FA3886">
              <w:rPr>
                <w:rFonts w:ascii="Arial" w:hAnsi="Arial" w:cs="Arial"/>
                <w:sz w:val="18"/>
                <w:lang w:eastAsia="zh-CN"/>
              </w:rPr>
              <w:t>OTE</w:t>
            </w:r>
            <w:r w:rsidRPr="00FA3886">
              <w:rPr>
                <w:rFonts w:ascii="Arial" w:hAnsi="Arial" w:cs="Arial"/>
                <w:sz w:val="18"/>
              </w:rPr>
              <w:t xml:space="preserve"> 3:</w:t>
            </w:r>
            <w:r w:rsidRPr="00FA3886">
              <w:rPr>
                <w:rFonts w:ascii="Arial" w:hAnsi="Arial" w:cs="Arial"/>
                <w:sz w:val="18"/>
              </w:rPr>
              <w:tab/>
              <w:t>The same bands and the same Io conditions for each band apply for this requirement as for the corresponding requirement with the PRS bandwidth ≥</w:t>
            </w:r>
            <w:r w:rsidRPr="00FA3886">
              <w:rPr>
                <w:rFonts w:ascii="Arial" w:hAnsi="Arial" w:cs="Arial"/>
                <w:sz w:val="18"/>
                <w:lang w:eastAsia="zh-CN"/>
              </w:rPr>
              <w:t xml:space="preserve"> 48</w:t>
            </w:r>
            <w:r w:rsidRPr="00FA3886">
              <w:rPr>
                <w:rFonts w:ascii="Arial" w:hAnsi="Arial" w:cs="Arial"/>
                <w:sz w:val="18"/>
              </w:rPr>
              <w:t xml:space="preserve"> RB.</w:t>
            </w:r>
          </w:p>
          <w:p w14:paraId="44200E9F" w14:textId="77777777" w:rsidR="007F4AB1" w:rsidRPr="00FA3886" w:rsidRDefault="007F4AB1" w:rsidP="007F4AB1">
            <w:pPr>
              <w:keepNext/>
              <w:keepLines/>
              <w:spacing w:after="0"/>
              <w:ind w:left="851" w:hanging="851"/>
              <w:rPr>
                <w:rFonts w:ascii="Arial" w:hAnsi="Arial" w:cs="Arial"/>
                <w:sz w:val="18"/>
              </w:rPr>
            </w:pPr>
            <w:r w:rsidRPr="00FA3886">
              <w:rPr>
                <w:rFonts w:ascii="Arial" w:hAnsi="Arial" w:cs="Arial"/>
                <w:sz w:val="18"/>
              </w:rPr>
              <w:t>NOTE 4:</w:t>
            </w:r>
            <w:r w:rsidRPr="00FA3886">
              <w:rPr>
                <w:rFonts w:ascii="Arial" w:hAnsi="Arial" w:cs="Arial"/>
                <w:sz w:val="18"/>
              </w:rPr>
              <w:tab/>
              <w:t>The serving cell, the reference cell, and the measured neighbour cell i are on the same carrier frequency.</w:t>
            </w:r>
          </w:p>
          <w:p w14:paraId="1CDDC540" w14:textId="77777777" w:rsidR="007F4AB1" w:rsidRPr="00FA3886" w:rsidRDefault="007F4AB1" w:rsidP="007F4AB1">
            <w:pPr>
              <w:keepNext/>
              <w:keepLines/>
              <w:spacing w:after="0"/>
              <w:ind w:left="851" w:hanging="851"/>
              <w:rPr>
                <w:rFonts w:ascii="Arial" w:hAnsi="Arial" w:cs="Arial"/>
                <w:sz w:val="18"/>
              </w:rPr>
            </w:pPr>
            <w:r w:rsidRPr="00FA3886">
              <w:rPr>
                <w:rFonts w:ascii="Arial" w:hAnsi="Arial" w:cs="Arial"/>
                <w:sz w:val="18"/>
              </w:rPr>
              <w:t>NOTE 5:</w:t>
            </w:r>
            <w:r w:rsidRPr="00FA3886">
              <w:rPr>
                <w:rFonts w:ascii="Arial" w:hAnsi="Arial" w:cs="Arial"/>
                <w:sz w:val="18"/>
              </w:rPr>
              <w:tab/>
              <w:t>The condition level is increased by ∆&gt;0, when applicable, as described in Sections B.</w:t>
            </w:r>
            <w:r w:rsidRPr="00FA3886">
              <w:rPr>
                <w:rFonts w:ascii="Arial" w:hAnsi="Arial" w:cs="Arial"/>
                <w:sz w:val="18"/>
                <w:lang w:eastAsia="zh-CN"/>
              </w:rPr>
              <w:t>3</w:t>
            </w:r>
            <w:r w:rsidRPr="00FA3886">
              <w:rPr>
                <w:rFonts w:ascii="Arial" w:hAnsi="Arial" w:cs="Arial"/>
                <w:sz w:val="18"/>
              </w:rPr>
              <w:t>.</w:t>
            </w:r>
            <w:r w:rsidRPr="00FA3886">
              <w:rPr>
                <w:rFonts w:ascii="Arial" w:hAnsi="Arial" w:cs="Arial"/>
                <w:sz w:val="18"/>
                <w:lang w:eastAsia="zh-CN"/>
              </w:rPr>
              <w:t>2</w:t>
            </w:r>
            <w:r w:rsidRPr="00FA3886">
              <w:rPr>
                <w:rFonts w:ascii="Arial" w:hAnsi="Arial" w:cs="Arial"/>
                <w:sz w:val="18"/>
              </w:rPr>
              <w:t xml:space="preserve"> and B.</w:t>
            </w:r>
            <w:r w:rsidRPr="00FA3886">
              <w:rPr>
                <w:rFonts w:ascii="Arial" w:hAnsi="Arial" w:cs="Arial"/>
                <w:sz w:val="18"/>
                <w:lang w:eastAsia="zh-CN"/>
              </w:rPr>
              <w:t>3</w:t>
            </w:r>
            <w:r w:rsidRPr="00FA3886">
              <w:rPr>
                <w:rFonts w:ascii="Arial" w:hAnsi="Arial" w:cs="Arial"/>
                <w:sz w:val="18"/>
              </w:rPr>
              <w:t>.</w:t>
            </w:r>
            <w:r w:rsidRPr="00FA3886">
              <w:rPr>
                <w:rFonts w:ascii="Arial" w:hAnsi="Arial" w:cs="Arial"/>
                <w:sz w:val="18"/>
                <w:lang w:eastAsia="zh-CN"/>
              </w:rPr>
              <w:t>3</w:t>
            </w:r>
            <w:r w:rsidRPr="00FA3886">
              <w:rPr>
                <w:rFonts w:ascii="Arial" w:hAnsi="Arial" w:cs="Arial"/>
                <w:sz w:val="18"/>
              </w:rPr>
              <w:t>.</w:t>
            </w:r>
          </w:p>
          <w:p w14:paraId="02E4F9C7" w14:textId="77777777" w:rsidR="007F4AB1" w:rsidRPr="00FA3886" w:rsidRDefault="007F4AB1" w:rsidP="007F4AB1">
            <w:pPr>
              <w:keepNext/>
              <w:keepLines/>
              <w:spacing w:after="0"/>
              <w:ind w:left="851" w:hanging="851"/>
              <w:rPr>
                <w:rFonts w:ascii="Arial" w:hAnsi="Arial" w:cs="Arial"/>
                <w:sz w:val="18"/>
              </w:rPr>
            </w:pPr>
            <w:r w:rsidRPr="00FA3886">
              <w:rPr>
                <w:rFonts w:ascii="Arial" w:hAnsi="Arial" w:cs="Arial"/>
                <w:sz w:val="18"/>
              </w:rPr>
              <w:t>NOTE 6:</w:t>
            </w:r>
            <w:r w:rsidRPr="00FA3886">
              <w:rPr>
                <w:rFonts w:ascii="Arial" w:hAnsi="Arial" w:cs="Arial"/>
                <w:sz w:val="18"/>
              </w:rPr>
              <w:tab/>
              <w:t>The Io is defined in PRS positioning subframes. The same Io range applies to PRS and non-PRS symbols. Io levels are different in PRS and non-PRS symbols within the same subframe.</w:t>
            </w:r>
          </w:p>
          <w:p w14:paraId="254EEC62" w14:textId="77777777" w:rsidR="007F4AB1" w:rsidRPr="00FA3886" w:rsidRDefault="007F4AB1" w:rsidP="007F4AB1">
            <w:pPr>
              <w:keepNext/>
              <w:keepLines/>
              <w:spacing w:after="0"/>
              <w:ind w:left="851" w:hanging="851"/>
              <w:rPr>
                <w:rFonts w:ascii="Arial" w:hAnsi="Arial" w:cs="Arial"/>
                <w:sz w:val="18"/>
                <w:lang w:eastAsia="zh-CN"/>
              </w:rPr>
            </w:pPr>
            <w:r w:rsidRPr="00FA3886">
              <w:rPr>
                <w:rFonts w:ascii="Arial" w:hAnsi="Arial" w:cs="Arial"/>
                <w:sz w:val="18"/>
              </w:rPr>
              <w:t>NOTE 7:</w:t>
            </w:r>
            <w:r w:rsidRPr="00FA3886">
              <w:rPr>
                <w:rFonts w:ascii="Arial" w:hAnsi="Arial" w:cs="Arial"/>
                <w:sz w:val="18"/>
              </w:rPr>
              <w:tab/>
            </w:r>
            <w:r w:rsidRPr="00FA3886">
              <w:rPr>
                <w:rFonts w:ascii="Arial" w:hAnsi="Arial" w:cs="Arial"/>
                <w:sz w:val="18"/>
                <w:lang w:eastAsia="zh-CN"/>
              </w:rPr>
              <w:t>NR</w:t>
            </w:r>
            <w:r w:rsidRPr="00FA3886">
              <w:rPr>
                <w:rFonts w:ascii="Arial" w:hAnsi="Arial" w:cs="Arial"/>
                <w:sz w:val="18"/>
              </w:rPr>
              <w:t xml:space="preserve"> operating band groups are as defined in Section 3.5</w:t>
            </w:r>
            <w:r w:rsidRPr="00FA3886">
              <w:rPr>
                <w:rFonts w:ascii="Arial" w:hAnsi="Arial" w:cs="Arial"/>
                <w:sz w:val="18"/>
                <w:lang w:eastAsia="zh-CN"/>
              </w:rPr>
              <w:t>.2</w:t>
            </w:r>
            <w:r w:rsidRPr="00FA3886">
              <w:rPr>
                <w:rFonts w:ascii="Arial" w:hAnsi="Arial" w:cs="Arial"/>
                <w:sz w:val="18"/>
              </w:rPr>
              <w:t>.</w:t>
            </w:r>
            <w:r w:rsidRPr="00FA3886">
              <w:rPr>
                <w:rFonts w:ascii="Arial" w:hAnsi="Arial" w:cs="Arial"/>
                <w:sz w:val="18"/>
                <w:lang w:eastAsia="zh-CN"/>
              </w:rPr>
              <w:t xml:space="preserve"> </w:t>
            </w:r>
          </w:p>
        </w:tc>
      </w:tr>
    </w:tbl>
    <w:p w14:paraId="2D268E8C" w14:textId="77777777" w:rsidR="0093626E" w:rsidRPr="00FA3886" w:rsidRDefault="0093626E" w:rsidP="0093626E">
      <w:pPr>
        <w:rPr>
          <w:rFonts w:eastAsia="SimSun"/>
          <w:lang w:eastAsia="zh-CN"/>
        </w:rPr>
      </w:pPr>
    </w:p>
    <w:p w14:paraId="3B375AD0" w14:textId="77777777" w:rsidR="0093626E" w:rsidRPr="00FA3886" w:rsidRDefault="0093626E" w:rsidP="0093626E">
      <w:pPr>
        <w:pStyle w:val="TH"/>
        <w:rPr>
          <w:lang w:eastAsia="zh-CN"/>
        </w:rPr>
      </w:pPr>
      <w:r w:rsidRPr="00FA3886">
        <w:t xml:space="preserve">Table </w:t>
      </w:r>
      <w:r w:rsidRPr="00FA3886">
        <w:rPr>
          <w:rFonts w:cs="v4.2.0"/>
        </w:rPr>
        <w:t>10.1.24.2</w:t>
      </w:r>
      <w:r w:rsidRPr="00FA3886">
        <w:rPr>
          <w:rFonts w:cs="v4.2.0"/>
          <w:lang w:eastAsia="zh-CN"/>
        </w:rPr>
        <w:t>.2</w:t>
      </w:r>
      <w:r w:rsidRPr="00FA3886">
        <w:rPr>
          <w:rFonts w:cs="v4.2.0"/>
        </w:rPr>
        <w:t>-</w:t>
      </w:r>
      <w:r w:rsidRPr="00FA3886">
        <w:rPr>
          <w:rFonts w:cs="v4.2.0"/>
          <w:lang w:eastAsia="zh-CN"/>
        </w:rPr>
        <w:t>4</w:t>
      </w:r>
      <w:r w:rsidRPr="00FA3886">
        <w:t>: PRS</w:t>
      </w:r>
      <w:r w:rsidRPr="00FA3886">
        <w:rPr>
          <w:lang w:eastAsia="zh-CN"/>
        </w:rPr>
        <w:t>-</w:t>
      </w:r>
      <w:r w:rsidRPr="00FA3886">
        <w:t>RSRP</w:t>
      </w:r>
      <w:r w:rsidRPr="00FA3886">
        <w:rPr>
          <w:lang w:eastAsia="zh-CN"/>
        </w:rPr>
        <w:t xml:space="preserve"> relative </w:t>
      </w:r>
      <w:r w:rsidRPr="00FA3886">
        <w:t>accuracy</w:t>
      </w:r>
      <w:r w:rsidRPr="00FA3886">
        <w:rPr>
          <w:lang w:eastAsia="zh-CN"/>
        </w:rPr>
        <w:t xml:space="preserve"> for FR2 with reduced sample number</w:t>
      </w:r>
    </w:p>
    <w:tbl>
      <w:tblPr>
        <w:tblW w:w="9855" w:type="dxa"/>
        <w:jc w:val="center"/>
        <w:tblLayout w:type="fixed"/>
        <w:tblLook w:val="01E0" w:firstRow="1" w:lastRow="1" w:firstColumn="1" w:lastColumn="1" w:noHBand="0" w:noVBand="0"/>
      </w:tblPr>
      <w:tblGrid>
        <w:gridCol w:w="1045"/>
        <w:gridCol w:w="1048"/>
        <w:gridCol w:w="907"/>
        <w:gridCol w:w="1568"/>
        <w:gridCol w:w="1487"/>
        <w:gridCol w:w="1260"/>
        <w:gridCol w:w="1260"/>
        <w:gridCol w:w="1280"/>
      </w:tblGrid>
      <w:tr w:rsidR="0093626E" w:rsidRPr="00FA3886" w14:paraId="63F4BE1C" w14:textId="77777777" w:rsidTr="00ED4E9A">
        <w:trPr>
          <w:jc w:val="center"/>
        </w:trPr>
        <w:tc>
          <w:tcPr>
            <w:tcW w:w="2093" w:type="dxa"/>
            <w:gridSpan w:val="2"/>
            <w:tcBorders>
              <w:top w:val="single" w:sz="4" w:space="0" w:color="auto"/>
              <w:left w:val="single" w:sz="4" w:space="0" w:color="auto"/>
              <w:bottom w:val="single" w:sz="4" w:space="0" w:color="auto"/>
              <w:right w:val="single" w:sz="4" w:space="0" w:color="auto"/>
            </w:tcBorders>
            <w:vAlign w:val="center"/>
            <w:hideMark/>
          </w:tcPr>
          <w:p w14:paraId="55A3C21E"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Accuracy</w:t>
            </w:r>
          </w:p>
        </w:tc>
        <w:tc>
          <w:tcPr>
            <w:tcW w:w="7762" w:type="dxa"/>
            <w:gridSpan w:val="6"/>
            <w:tcBorders>
              <w:top w:val="single" w:sz="4" w:space="0" w:color="auto"/>
              <w:left w:val="single" w:sz="4" w:space="0" w:color="auto"/>
              <w:bottom w:val="single" w:sz="6" w:space="0" w:color="auto"/>
              <w:right w:val="single" w:sz="4" w:space="0" w:color="auto"/>
            </w:tcBorders>
            <w:vAlign w:val="center"/>
            <w:hideMark/>
          </w:tcPr>
          <w:p w14:paraId="065AC99A"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Conditions</w:t>
            </w:r>
          </w:p>
        </w:tc>
      </w:tr>
      <w:tr w:rsidR="0093626E" w:rsidRPr="00FA3886" w14:paraId="4FB700F6" w14:textId="77777777" w:rsidTr="00ED4E9A">
        <w:trPr>
          <w:jc w:val="center"/>
        </w:trPr>
        <w:tc>
          <w:tcPr>
            <w:tcW w:w="1045" w:type="dxa"/>
            <w:vMerge w:val="restart"/>
            <w:tcBorders>
              <w:top w:val="single" w:sz="4" w:space="0" w:color="auto"/>
              <w:left w:val="single" w:sz="4" w:space="0" w:color="auto"/>
              <w:bottom w:val="nil"/>
              <w:right w:val="single" w:sz="6" w:space="0" w:color="auto"/>
            </w:tcBorders>
            <w:vAlign w:val="center"/>
            <w:hideMark/>
          </w:tcPr>
          <w:p w14:paraId="3F2E159C"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Normal condition</w:t>
            </w:r>
          </w:p>
        </w:tc>
        <w:tc>
          <w:tcPr>
            <w:tcW w:w="1048" w:type="dxa"/>
            <w:vMerge w:val="restart"/>
            <w:tcBorders>
              <w:top w:val="single" w:sz="4" w:space="0" w:color="auto"/>
              <w:left w:val="single" w:sz="4" w:space="0" w:color="auto"/>
              <w:bottom w:val="nil"/>
              <w:right w:val="single" w:sz="6" w:space="0" w:color="auto"/>
            </w:tcBorders>
            <w:vAlign w:val="center"/>
            <w:hideMark/>
          </w:tcPr>
          <w:p w14:paraId="65FFC88D"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Extreme condition</w:t>
            </w:r>
          </w:p>
        </w:tc>
        <w:tc>
          <w:tcPr>
            <w:tcW w:w="907" w:type="dxa"/>
            <w:vMerge w:val="restart"/>
            <w:tcBorders>
              <w:top w:val="single" w:sz="6" w:space="0" w:color="auto"/>
              <w:left w:val="single" w:sz="6" w:space="0" w:color="auto"/>
              <w:bottom w:val="nil"/>
              <w:right w:val="single" w:sz="6" w:space="0" w:color="auto"/>
            </w:tcBorders>
            <w:vAlign w:val="center"/>
            <w:hideMark/>
          </w:tcPr>
          <w:p w14:paraId="20BDC2FC"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PRS Ês/Iot</w:t>
            </w:r>
          </w:p>
        </w:tc>
        <w:tc>
          <w:tcPr>
            <w:tcW w:w="1568" w:type="dxa"/>
            <w:vMerge w:val="restart"/>
            <w:tcBorders>
              <w:top w:val="single" w:sz="6" w:space="0" w:color="auto"/>
              <w:left w:val="single" w:sz="6" w:space="0" w:color="auto"/>
              <w:bottom w:val="nil"/>
              <w:right w:val="single" w:sz="6" w:space="0" w:color="auto"/>
            </w:tcBorders>
            <w:vAlign w:val="center"/>
            <w:hideMark/>
          </w:tcPr>
          <w:p w14:paraId="2AEDF765"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PRS BW</w:t>
            </w:r>
          </w:p>
        </w:tc>
        <w:tc>
          <w:tcPr>
            <w:tcW w:w="1487" w:type="dxa"/>
            <w:vMerge w:val="restart"/>
            <w:tcBorders>
              <w:top w:val="single" w:sz="6" w:space="0" w:color="auto"/>
              <w:left w:val="single" w:sz="6" w:space="0" w:color="auto"/>
              <w:bottom w:val="nil"/>
              <w:right w:val="single" w:sz="6" w:space="0" w:color="auto"/>
            </w:tcBorders>
            <w:vAlign w:val="center"/>
            <w:hideMark/>
          </w:tcPr>
          <w:p w14:paraId="063899DD" w14:textId="77777777" w:rsidR="0093626E" w:rsidRPr="00FA3886" w:rsidRDefault="0093626E" w:rsidP="00ED4E9A">
            <w:pPr>
              <w:keepNext/>
              <w:keepLines/>
              <w:spacing w:after="0"/>
              <w:jc w:val="center"/>
              <w:rPr>
                <w:rFonts w:ascii="Arial" w:hAnsi="Arial" w:cs="Arial"/>
                <w:b/>
                <w:sz w:val="18"/>
                <w:lang w:val="en-US" w:eastAsia="zh-CN"/>
              </w:rPr>
            </w:pPr>
            <w:r w:rsidRPr="00FA3886">
              <w:rPr>
                <w:rFonts w:ascii="Arial" w:hAnsi="Arial" w:cs="Arial"/>
                <w:b/>
                <w:bCs/>
                <w:sz w:val="18"/>
                <w:lang w:eastAsia="zh-CN"/>
              </w:rPr>
              <w:t xml:space="preserve">Repetition factor </w:t>
            </w:r>
          </w:p>
          <w:p w14:paraId="4473614B"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bCs/>
                <w:sz w:val="18"/>
                <w:lang w:eastAsia="zh-CN"/>
              </w:rPr>
              <w:t>(</w:t>
            </w:r>
            <m:oMath>
              <m:sSubSup>
                <m:sSubSupPr>
                  <m:ctrlPr>
                    <w:rPr>
                      <w:rFonts w:ascii="Cambria Math" w:hAnsi="Cambria Math" w:cs="Arial"/>
                      <w:b/>
                      <w:bCs/>
                      <w:i/>
                      <w:iCs/>
                      <w:sz w:val="18"/>
                      <w:lang w:val="en-US" w:eastAsia="zh-CN"/>
                    </w:rPr>
                  </m:ctrlPr>
                </m:sSubSupPr>
                <m:e>
                  <m:r>
                    <m:rPr>
                      <m:sty m:val="b"/>
                    </m:rPr>
                    <w:rPr>
                      <w:rFonts w:ascii="Cambria Math" w:hAnsi="Cambria Math" w:cs="Arial"/>
                      <w:sz w:val="18"/>
                      <w:lang w:eastAsia="zh-CN"/>
                    </w:rPr>
                    <m:t>T</m:t>
                  </m:r>
                </m:e>
                <m:sub>
                  <m:r>
                    <m:rPr>
                      <m:sty m:val="b"/>
                    </m:rPr>
                    <w:rPr>
                      <w:rFonts w:ascii="Cambria Math" w:hAnsi="Cambria Math" w:cs="Arial"/>
                      <w:sz w:val="18"/>
                      <w:lang w:eastAsia="zh-CN"/>
                    </w:rPr>
                    <m:t>rep</m:t>
                  </m:r>
                </m:sub>
                <m:sup>
                  <m:r>
                    <m:rPr>
                      <m:sty m:val="b"/>
                    </m:rPr>
                    <w:rPr>
                      <w:rFonts w:ascii="Cambria Math" w:hAnsi="Cambria Math" w:cs="Arial"/>
                      <w:sz w:val="18"/>
                      <w:lang w:eastAsia="zh-CN"/>
                    </w:rPr>
                    <m:t>PRS</m:t>
                  </m:r>
                </m:sup>
              </m:sSubSup>
              <m:r>
                <m:rPr>
                  <m:sty m:val="b"/>
                </m:rPr>
                <w:rPr>
                  <w:rFonts w:ascii="Cambria Math" w:hAnsi="Cambria Math" w:cs="Arial"/>
                  <w:sz w:val="18"/>
                  <w:lang w:eastAsia="zh-CN"/>
                </w:rPr>
                <m:t>*</m:t>
              </m:r>
              <m:sSub>
                <m:sSubPr>
                  <m:ctrlPr>
                    <w:rPr>
                      <w:rFonts w:ascii="Cambria Math" w:hAnsi="Cambria Math" w:cs="Arial"/>
                      <w:b/>
                      <w:bCs/>
                      <w:i/>
                      <w:iCs/>
                      <w:sz w:val="18"/>
                      <w:lang w:val="en-US" w:eastAsia="zh-CN"/>
                    </w:rPr>
                  </m:ctrlPr>
                </m:sSubPr>
                <m:e>
                  <m:r>
                    <m:rPr>
                      <m:sty m:val="b"/>
                    </m:rPr>
                    <w:rPr>
                      <w:rFonts w:ascii="Cambria Math" w:hAnsi="Cambria Math" w:cs="Arial"/>
                      <w:sz w:val="18"/>
                      <w:lang w:eastAsia="zh-CN"/>
                    </w:rPr>
                    <m:t>L</m:t>
                  </m:r>
                </m:e>
                <m:sub>
                  <m:r>
                    <m:rPr>
                      <m:sty m:val="b"/>
                    </m:rPr>
                    <w:rPr>
                      <w:rFonts w:ascii="Cambria Math" w:hAnsi="Cambria Math" w:cs="Arial"/>
                      <w:sz w:val="18"/>
                      <w:lang w:eastAsia="zh-CN"/>
                    </w:rPr>
                    <m:t>PRS</m:t>
                  </m:r>
                </m:sub>
              </m:sSub>
              <m:r>
                <m:rPr>
                  <m:sty m:val="b"/>
                </m:rPr>
                <w:rPr>
                  <w:rFonts w:ascii="Cambria Math" w:hAnsi="Cambria Math" w:cs="Arial"/>
                  <w:sz w:val="18"/>
                  <w:lang w:eastAsia="zh-CN"/>
                </w:rPr>
                <m:t>/</m:t>
              </m:r>
              <m:sSubSup>
                <m:sSubSupPr>
                  <m:ctrlPr>
                    <w:rPr>
                      <w:rFonts w:ascii="Cambria Math" w:hAnsi="Cambria Math" w:cs="Arial"/>
                      <w:b/>
                      <w:bCs/>
                      <w:i/>
                      <w:iCs/>
                      <w:sz w:val="18"/>
                      <w:lang w:val="en-US" w:eastAsia="zh-CN"/>
                    </w:rPr>
                  </m:ctrlPr>
                </m:sSubSupPr>
                <m:e>
                  <m:r>
                    <m:rPr>
                      <m:sty m:val="b"/>
                    </m:rPr>
                    <w:rPr>
                      <w:rFonts w:ascii="Cambria Math" w:hAnsi="Cambria Math" w:cs="Arial"/>
                      <w:sz w:val="18"/>
                      <w:lang w:eastAsia="zh-CN"/>
                    </w:rPr>
                    <m:t>K</m:t>
                  </m:r>
                </m:e>
                <m:sub>
                  <m:r>
                    <m:rPr>
                      <m:sty m:val="b"/>
                    </m:rPr>
                    <w:rPr>
                      <w:rFonts w:ascii="Cambria Math" w:hAnsi="Cambria Math" w:cs="Arial"/>
                      <w:sz w:val="18"/>
                      <w:lang w:eastAsia="zh-CN"/>
                    </w:rPr>
                    <m:t>comb</m:t>
                  </m:r>
                </m:sub>
                <m:sup>
                  <m:r>
                    <m:rPr>
                      <m:sty m:val="b"/>
                    </m:rPr>
                    <w:rPr>
                      <w:rFonts w:ascii="Cambria Math" w:hAnsi="Cambria Math" w:cs="Arial"/>
                      <w:sz w:val="18"/>
                      <w:lang w:eastAsia="zh-CN"/>
                    </w:rPr>
                    <m:t>PRS</m:t>
                  </m:r>
                </m:sup>
              </m:sSubSup>
              <m:r>
                <m:rPr>
                  <m:sty m:val="b"/>
                </m:rPr>
                <w:rPr>
                  <w:rFonts w:ascii="Cambria Math" w:hAnsi="Cambria Math" w:cs="Arial"/>
                  <w:sz w:val="18"/>
                  <w:lang w:eastAsia="zh-CN"/>
                </w:rPr>
                <m:t>)</m:t>
              </m:r>
            </m:oMath>
          </w:p>
        </w:tc>
        <w:tc>
          <w:tcPr>
            <w:tcW w:w="3800" w:type="dxa"/>
            <w:gridSpan w:val="3"/>
            <w:tcBorders>
              <w:top w:val="single" w:sz="6" w:space="0" w:color="auto"/>
              <w:left w:val="single" w:sz="6" w:space="0" w:color="auto"/>
              <w:bottom w:val="single" w:sz="6" w:space="0" w:color="auto"/>
              <w:right w:val="single" w:sz="4" w:space="0" w:color="auto"/>
            </w:tcBorders>
            <w:vAlign w:val="center"/>
            <w:hideMark/>
          </w:tcPr>
          <w:p w14:paraId="196841F5"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Io</w:t>
            </w:r>
            <w:r w:rsidRPr="00FA3886">
              <w:rPr>
                <w:rFonts w:ascii="Arial" w:hAnsi="Arial" w:cs="Arial"/>
                <w:b/>
                <w:sz w:val="18"/>
                <w:vertAlign w:val="superscript"/>
                <w:lang w:eastAsia="zh-CN"/>
              </w:rPr>
              <w:t xml:space="preserve"> Note 6</w:t>
            </w:r>
            <w:r w:rsidRPr="00FA3886">
              <w:rPr>
                <w:rFonts w:ascii="Arial" w:hAnsi="Arial" w:cs="Arial"/>
                <w:b/>
                <w:sz w:val="18"/>
              </w:rPr>
              <w:t xml:space="preserve"> range</w:t>
            </w:r>
          </w:p>
        </w:tc>
      </w:tr>
      <w:tr w:rsidR="0093626E" w:rsidRPr="00FA3886" w14:paraId="68C4865F" w14:textId="77777777" w:rsidTr="007F4AB1">
        <w:trPr>
          <w:trHeight w:val="883"/>
          <w:jc w:val="center"/>
        </w:trPr>
        <w:tc>
          <w:tcPr>
            <w:tcW w:w="1045" w:type="dxa"/>
            <w:vMerge/>
            <w:tcBorders>
              <w:top w:val="single" w:sz="4" w:space="0" w:color="auto"/>
              <w:left w:val="single" w:sz="4" w:space="0" w:color="auto"/>
              <w:bottom w:val="nil"/>
              <w:right w:val="single" w:sz="6" w:space="0" w:color="auto"/>
            </w:tcBorders>
            <w:vAlign w:val="center"/>
            <w:hideMark/>
          </w:tcPr>
          <w:p w14:paraId="3AACB69C" w14:textId="77777777" w:rsidR="0093626E" w:rsidRPr="00FA3886" w:rsidRDefault="0093626E" w:rsidP="00ED4E9A">
            <w:pPr>
              <w:spacing w:after="0"/>
              <w:rPr>
                <w:rFonts w:ascii="Arial" w:eastAsia="SimSun" w:hAnsi="Arial"/>
                <w:b/>
                <w:sz w:val="18"/>
                <w:lang w:eastAsia="zh-CN"/>
              </w:rPr>
            </w:pPr>
          </w:p>
        </w:tc>
        <w:tc>
          <w:tcPr>
            <w:tcW w:w="1048" w:type="dxa"/>
            <w:vMerge/>
            <w:tcBorders>
              <w:top w:val="single" w:sz="4" w:space="0" w:color="auto"/>
              <w:left w:val="single" w:sz="4" w:space="0" w:color="auto"/>
              <w:bottom w:val="nil"/>
              <w:right w:val="single" w:sz="6" w:space="0" w:color="auto"/>
            </w:tcBorders>
            <w:vAlign w:val="center"/>
            <w:hideMark/>
          </w:tcPr>
          <w:p w14:paraId="0EE63EF7" w14:textId="77777777" w:rsidR="0093626E" w:rsidRPr="00FA3886" w:rsidRDefault="0093626E" w:rsidP="00ED4E9A">
            <w:pPr>
              <w:spacing w:after="0"/>
              <w:rPr>
                <w:rFonts w:ascii="Arial" w:eastAsia="SimSun" w:hAnsi="Arial"/>
                <w:b/>
                <w:sz w:val="18"/>
                <w:lang w:eastAsia="zh-CN"/>
              </w:rPr>
            </w:pPr>
          </w:p>
        </w:tc>
        <w:tc>
          <w:tcPr>
            <w:tcW w:w="907" w:type="dxa"/>
            <w:vMerge/>
            <w:tcBorders>
              <w:top w:val="single" w:sz="6" w:space="0" w:color="auto"/>
              <w:left w:val="single" w:sz="6" w:space="0" w:color="auto"/>
              <w:bottom w:val="nil"/>
              <w:right w:val="single" w:sz="6" w:space="0" w:color="auto"/>
            </w:tcBorders>
            <w:vAlign w:val="center"/>
            <w:hideMark/>
          </w:tcPr>
          <w:p w14:paraId="320A375D" w14:textId="77777777" w:rsidR="0093626E" w:rsidRPr="00FA3886" w:rsidRDefault="0093626E" w:rsidP="00ED4E9A">
            <w:pPr>
              <w:spacing w:after="0"/>
              <w:rPr>
                <w:rFonts w:ascii="Arial" w:eastAsia="SimSun" w:hAnsi="Arial"/>
                <w:b/>
                <w:sz w:val="18"/>
              </w:rPr>
            </w:pPr>
          </w:p>
        </w:tc>
        <w:tc>
          <w:tcPr>
            <w:tcW w:w="1568" w:type="dxa"/>
            <w:vMerge/>
            <w:tcBorders>
              <w:top w:val="single" w:sz="6" w:space="0" w:color="auto"/>
              <w:left w:val="single" w:sz="6" w:space="0" w:color="auto"/>
              <w:bottom w:val="nil"/>
              <w:right w:val="single" w:sz="6" w:space="0" w:color="auto"/>
            </w:tcBorders>
            <w:vAlign w:val="center"/>
            <w:hideMark/>
          </w:tcPr>
          <w:p w14:paraId="4CFAB603" w14:textId="77777777" w:rsidR="0093626E" w:rsidRPr="00FA3886" w:rsidRDefault="0093626E" w:rsidP="00ED4E9A">
            <w:pPr>
              <w:spacing w:after="0"/>
              <w:rPr>
                <w:rFonts w:ascii="Arial" w:eastAsia="SimSun" w:hAnsi="Arial"/>
                <w:b/>
                <w:sz w:val="18"/>
                <w:lang w:eastAsia="zh-CN"/>
              </w:rPr>
            </w:pPr>
          </w:p>
        </w:tc>
        <w:tc>
          <w:tcPr>
            <w:tcW w:w="1487" w:type="dxa"/>
            <w:vMerge/>
            <w:tcBorders>
              <w:top w:val="single" w:sz="6" w:space="0" w:color="auto"/>
              <w:left w:val="single" w:sz="6" w:space="0" w:color="auto"/>
              <w:bottom w:val="nil"/>
              <w:right w:val="single" w:sz="6" w:space="0" w:color="auto"/>
            </w:tcBorders>
            <w:vAlign w:val="center"/>
            <w:hideMark/>
          </w:tcPr>
          <w:p w14:paraId="49257904" w14:textId="77777777" w:rsidR="0093626E" w:rsidRPr="00FA3886" w:rsidRDefault="0093626E" w:rsidP="00ED4E9A">
            <w:pPr>
              <w:spacing w:after="0"/>
              <w:rPr>
                <w:rFonts w:ascii="Arial" w:eastAsia="SimSun" w:hAnsi="Arial"/>
                <w:b/>
                <w:sz w:val="18"/>
                <w:lang w:eastAsia="zh-CN"/>
              </w:rPr>
            </w:pPr>
          </w:p>
        </w:tc>
        <w:tc>
          <w:tcPr>
            <w:tcW w:w="2520" w:type="dxa"/>
            <w:gridSpan w:val="2"/>
            <w:tcBorders>
              <w:top w:val="single" w:sz="6" w:space="0" w:color="auto"/>
              <w:left w:val="single" w:sz="6" w:space="0" w:color="auto"/>
              <w:bottom w:val="nil"/>
              <w:right w:val="single" w:sz="6" w:space="0" w:color="auto"/>
            </w:tcBorders>
            <w:vAlign w:val="center"/>
            <w:hideMark/>
          </w:tcPr>
          <w:p w14:paraId="3DA065D2"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Minimum</w:t>
            </w:r>
            <w:r w:rsidRPr="00FA3886">
              <w:rPr>
                <w:rFonts w:ascii="Arial" w:hAnsi="Arial" w:cs="Arial"/>
                <w:b/>
                <w:sz w:val="18"/>
              </w:rPr>
              <w:br/>
              <w:t xml:space="preserve">Io </w:t>
            </w:r>
            <w:r w:rsidRPr="00FA3886">
              <w:rPr>
                <w:rFonts w:ascii="Arial" w:hAnsi="Arial" w:cs="Arial"/>
                <w:b/>
                <w:sz w:val="18"/>
                <w:vertAlign w:val="superscript"/>
              </w:rPr>
              <w:t>Note 1</w:t>
            </w:r>
          </w:p>
          <w:p w14:paraId="4D6EFB2F"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 / SCS</w:t>
            </w:r>
            <w:r w:rsidRPr="00FA3886">
              <w:rPr>
                <w:rFonts w:ascii="Arial" w:hAnsi="Arial" w:cs="Arial"/>
                <w:b/>
                <w:sz w:val="18"/>
                <w:vertAlign w:val="subscript"/>
              </w:rPr>
              <w:t>PRS</w:t>
            </w:r>
          </w:p>
        </w:tc>
        <w:tc>
          <w:tcPr>
            <w:tcW w:w="1280" w:type="dxa"/>
            <w:tcBorders>
              <w:top w:val="single" w:sz="6" w:space="0" w:color="auto"/>
              <w:left w:val="single" w:sz="6" w:space="0" w:color="auto"/>
              <w:bottom w:val="nil"/>
              <w:right w:val="single" w:sz="4" w:space="0" w:color="auto"/>
            </w:tcBorders>
            <w:vAlign w:val="center"/>
            <w:hideMark/>
          </w:tcPr>
          <w:p w14:paraId="35A7285F"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Maximum</w:t>
            </w:r>
            <w:r w:rsidRPr="00FA3886">
              <w:rPr>
                <w:rFonts w:ascii="Arial" w:hAnsi="Arial" w:cs="Arial"/>
                <w:b/>
                <w:sz w:val="18"/>
              </w:rPr>
              <w:br/>
              <w:t>Io</w:t>
            </w:r>
          </w:p>
        </w:tc>
      </w:tr>
      <w:tr w:rsidR="0093626E" w:rsidRPr="00FA3886" w14:paraId="36790BB9" w14:textId="77777777" w:rsidTr="00ED4E9A">
        <w:trPr>
          <w:trHeight w:val="236"/>
          <w:jc w:val="center"/>
        </w:trPr>
        <w:tc>
          <w:tcPr>
            <w:tcW w:w="1045" w:type="dxa"/>
            <w:vMerge w:val="restart"/>
            <w:tcBorders>
              <w:top w:val="single" w:sz="6" w:space="0" w:color="auto"/>
              <w:left w:val="single" w:sz="4" w:space="0" w:color="auto"/>
              <w:bottom w:val="nil"/>
              <w:right w:val="single" w:sz="6" w:space="0" w:color="auto"/>
            </w:tcBorders>
            <w:vAlign w:val="center"/>
            <w:hideMark/>
          </w:tcPr>
          <w:p w14:paraId="5663DDC0"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lang w:eastAsia="zh-CN"/>
              </w:rPr>
              <w:t>dB</w:t>
            </w:r>
          </w:p>
        </w:tc>
        <w:tc>
          <w:tcPr>
            <w:tcW w:w="1048" w:type="dxa"/>
            <w:vMerge w:val="restart"/>
            <w:tcBorders>
              <w:top w:val="single" w:sz="6" w:space="0" w:color="auto"/>
              <w:left w:val="single" w:sz="4" w:space="0" w:color="auto"/>
              <w:bottom w:val="nil"/>
              <w:right w:val="single" w:sz="6" w:space="0" w:color="auto"/>
            </w:tcBorders>
            <w:vAlign w:val="center"/>
            <w:hideMark/>
          </w:tcPr>
          <w:p w14:paraId="503EF686"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lang w:eastAsia="zh-CN"/>
              </w:rPr>
              <w:t>dB</w:t>
            </w:r>
          </w:p>
        </w:tc>
        <w:tc>
          <w:tcPr>
            <w:tcW w:w="907" w:type="dxa"/>
            <w:vMerge w:val="restart"/>
            <w:tcBorders>
              <w:top w:val="single" w:sz="6" w:space="0" w:color="auto"/>
              <w:left w:val="single" w:sz="6" w:space="0" w:color="auto"/>
              <w:bottom w:val="single" w:sz="6" w:space="0" w:color="auto"/>
              <w:right w:val="single" w:sz="6" w:space="0" w:color="auto"/>
            </w:tcBorders>
            <w:vAlign w:val="center"/>
            <w:hideMark/>
          </w:tcPr>
          <w:p w14:paraId="1A84627A"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w:t>
            </w:r>
          </w:p>
        </w:tc>
        <w:tc>
          <w:tcPr>
            <w:tcW w:w="1568" w:type="dxa"/>
            <w:vMerge w:val="restart"/>
            <w:tcBorders>
              <w:top w:val="single" w:sz="6" w:space="0" w:color="auto"/>
              <w:left w:val="single" w:sz="6" w:space="0" w:color="auto"/>
              <w:bottom w:val="nil"/>
              <w:right w:val="single" w:sz="6" w:space="0" w:color="auto"/>
            </w:tcBorders>
            <w:vAlign w:val="center"/>
            <w:hideMark/>
          </w:tcPr>
          <w:p w14:paraId="63C29618"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lang w:eastAsia="zh-CN"/>
              </w:rPr>
              <w:t>P</w:t>
            </w:r>
            <w:r w:rsidRPr="00FA3886">
              <w:rPr>
                <w:rFonts w:ascii="Arial" w:hAnsi="Arial" w:cs="Arial"/>
                <w:b/>
                <w:sz w:val="18"/>
              </w:rPr>
              <w:t>RB</w:t>
            </w:r>
          </w:p>
        </w:tc>
        <w:tc>
          <w:tcPr>
            <w:tcW w:w="1487" w:type="dxa"/>
            <w:vMerge w:val="restart"/>
            <w:tcBorders>
              <w:top w:val="single" w:sz="6" w:space="0" w:color="auto"/>
              <w:left w:val="single" w:sz="6" w:space="0" w:color="auto"/>
              <w:bottom w:val="nil"/>
              <w:right w:val="single" w:sz="6" w:space="0" w:color="auto"/>
            </w:tcBorders>
            <w:vAlign w:val="center"/>
            <w:hideMark/>
          </w:tcPr>
          <w:p w14:paraId="3B050444"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lang w:eastAsia="zh-CN"/>
              </w:rPr>
              <w:t>-</w:t>
            </w:r>
          </w:p>
        </w:tc>
        <w:tc>
          <w:tcPr>
            <w:tcW w:w="2520" w:type="dxa"/>
            <w:gridSpan w:val="2"/>
            <w:tcBorders>
              <w:top w:val="single" w:sz="6" w:space="0" w:color="auto"/>
              <w:left w:val="single" w:sz="6" w:space="0" w:color="auto"/>
              <w:bottom w:val="nil"/>
              <w:right w:val="single" w:sz="6" w:space="0" w:color="auto"/>
            </w:tcBorders>
            <w:vAlign w:val="center"/>
            <w:hideMark/>
          </w:tcPr>
          <w:p w14:paraId="4A816D9C" w14:textId="77777777" w:rsidR="0093626E" w:rsidRPr="00FA3886" w:rsidRDefault="0093626E" w:rsidP="00ED4E9A">
            <w:pPr>
              <w:keepNext/>
              <w:keepLines/>
              <w:spacing w:after="0"/>
              <w:jc w:val="center"/>
              <w:rPr>
                <w:rFonts w:ascii="Arial" w:hAnsi="Arial" w:cs="Arial"/>
                <w:b/>
                <w:sz w:val="18"/>
                <w:lang w:eastAsia="zh-CN"/>
              </w:rPr>
            </w:pPr>
            <w:r w:rsidRPr="00FA3886">
              <w:rPr>
                <w:rFonts w:ascii="Arial" w:hAnsi="Arial" w:cs="Arial"/>
                <w:b/>
                <w:sz w:val="18"/>
              </w:rPr>
              <w:t>dBm / SCS</w:t>
            </w:r>
            <w:r w:rsidRPr="00FA3886">
              <w:rPr>
                <w:rFonts w:ascii="Arial" w:hAnsi="Arial" w:cs="Arial"/>
                <w:b/>
                <w:sz w:val="18"/>
                <w:vertAlign w:val="subscript"/>
              </w:rPr>
              <w:t>PRS</w:t>
            </w:r>
          </w:p>
        </w:tc>
        <w:tc>
          <w:tcPr>
            <w:tcW w:w="1280" w:type="dxa"/>
            <w:vMerge w:val="restart"/>
            <w:tcBorders>
              <w:top w:val="single" w:sz="6" w:space="0" w:color="auto"/>
              <w:left w:val="single" w:sz="6" w:space="0" w:color="auto"/>
              <w:bottom w:val="nil"/>
              <w:right w:val="single" w:sz="4" w:space="0" w:color="auto"/>
            </w:tcBorders>
            <w:vAlign w:val="center"/>
            <w:hideMark/>
          </w:tcPr>
          <w:p w14:paraId="6256C965"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dBm/BW</w:t>
            </w:r>
            <w:r w:rsidRPr="00FA3886">
              <w:rPr>
                <w:rFonts w:ascii="Arial" w:hAnsi="Arial" w:cs="Arial"/>
                <w:b/>
                <w:sz w:val="18"/>
                <w:vertAlign w:val="subscript"/>
              </w:rPr>
              <w:t>Channel</w:t>
            </w:r>
          </w:p>
        </w:tc>
      </w:tr>
      <w:tr w:rsidR="0093626E" w:rsidRPr="00FA3886" w14:paraId="6A2A712B" w14:textId="77777777" w:rsidTr="007F4AB1">
        <w:trPr>
          <w:trHeight w:val="236"/>
          <w:jc w:val="center"/>
        </w:trPr>
        <w:tc>
          <w:tcPr>
            <w:tcW w:w="1045" w:type="dxa"/>
            <w:vMerge/>
            <w:tcBorders>
              <w:top w:val="single" w:sz="6" w:space="0" w:color="auto"/>
              <w:left w:val="single" w:sz="4" w:space="0" w:color="auto"/>
              <w:bottom w:val="nil"/>
              <w:right w:val="single" w:sz="6" w:space="0" w:color="auto"/>
            </w:tcBorders>
            <w:vAlign w:val="center"/>
            <w:hideMark/>
          </w:tcPr>
          <w:p w14:paraId="5CC37E7D" w14:textId="77777777" w:rsidR="0093626E" w:rsidRPr="00FA3886" w:rsidRDefault="0093626E" w:rsidP="00ED4E9A">
            <w:pPr>
              <w:spacing w:after="0"/>
              <w:rPr>
                <w:rFonts w:ascii="Arial" w:eastAsia="SimSun" w:hAnsi="Arial"/>
                <w:b/>
                <w:sz w:val="18"/>
              </w:rPr>
            </w:pPr>
          </w:p>
        </w:tc>
        <w:tc>
          <w:tcPr>
            <w:tcW w:w="1048" w:type="dxa"/>
            <w:vMerge/>
            <w:tcBorders>
              <w:top w:val="single" w:sz="6" w:space="0" w:color="auto"/>
              <w:left w:val="single" w:sz="4" w:space="0" w:color="auto"/>
              <w:bottom w:val="nil"/>
              <w:right w:val="single" w:sz="6" w:space="0" w:color="auto"/>
            </w:tcBorders>
            <w:vAlign w:val="center"/>
            <w:hideMark/>
          </w:tcPr>
          <w:p w14:paraId="52D869C9" w14:textId="77777777" w:rsidR="0093626E" w:rsidRPr="00FA3886" w:rsidRDefault="0093626E" w:rsidP="00ED4E9A">
            <w:pPr>
              <w:spacing w:after="0"/>
              <w:rPr>
                <w:rFonts w:ascii="Arial" w:eastAsia="SimSun" w:hAnsi="Arial"/>
                <w:b/>
                <w:sz w:val="18"/>
              </w:rPr>
            </w:pPr>
          </w:p>
        </w:tc>
        <w:tc>
          <w:tcPr>
            <w:tcW w:w="907" w:type="dxa"/>
            <w:vMerge/>
            <w:tcBorders>
              <w:top w:val="single" w:sz="6" w:space="0" w:color="auto"/>
              <w:left w:val="single" w:sz="6" w:space="0" w:color="auto"/>
              <w:bottom w:val="single" w:sz="6" w:space="0" w:color="auto"/>
              <w:right w:val="single" w:sz="6" w:space="0" w:color="auto"/>
            </w:tcBorders>
            <w:vAlign w:val="center"/>
            <w:hideMark/>
          </w:tcPr>
          <w:p w14:paraId="535F1ED5" w14:textId="77777777" w:rsidR="0093626E" w:rsidRPr="00FA3886" w:rsidRDefault="0093626E" w:rsidP="00ED4E9A">
            <w:pPr>
              <w:spacing w:after="0"/>
              <w:rPr>
                <w:rFonts w:ascii="Arial" w:eastAsia="SimSun" w:hAnsi="Arial"/>
                <w:b/>
                <w:sz w:val="18"/>
              </w:rPr>
            </w:pPr>
          </w:p>
        </w:tc>
        <w:tc>
          <w:tcPr>
            <w:tcW w:w="1568" w:type="dxa"/>
            <w:vMerge/>
            <w:tcBorders>
              <w:top w:val="single" w:sz="6" w:space="0" w:color="auto"/>
              <w:left w:val="single" w:sz="6" w:space="0" w:color="auto"/>
              <w:bottom w:val="nil"/>
              <w:right w:val="single" w:sz="6" w:space="0" w:color="auto"/>
            </w:tcBorders>
            <w:vAlign w:val="center"/>
            <w:hideMark/>
          </w:tcPr>
          <w:p w14:paraId="032EB0EB" w14:textId="77777777" w:rsidR="0093626E" w:rsidRPr="00FA3886" w:rsidRDefault="0093626E" w:rsidP="00ED4E9A">
            <w:pPr>
              <w:spacing w:after="0"/>
              <w:rPr>
                <w:rFonts w:ascii="Arial" w:eastAsia="SimSun" w:hAnsi="Arial"/>
                <w:b/>
                <w:sz w:val="18"/>
              </w:rPr>
            </w:pPr>
          </w:p>
        </w:tc>
        <w:tc>
          <w:tcPr>
            <w:tcW w:w="1487" w:type="dxa"/>
            <w:vMerge/>
            <w:tcBorders>
              <w:top w:val="single" w:sz="6" w:space="0" w:color="auto"/>
              <w:left w:val="single" w:sz="6" w:space="0" w:color="auto"/>
              <w:bottom w:val="nil"/>
              <w:right w:val="single" w:sz="6" w:space="0" w:color="auto"/>
            </w:tcBorders>
            <w:vAlign w:val="center"/>
            <w:hideMark/>
          </w:tcPr>
          <w:p w14:paraId="3145CB30" w14:textId="77777777" w:rsidR="0093626E" w:rsidRPr="00FA3886" w:rsidRDefault="0093626E" w:rsidP="00ED4E9A">
            <w:pPr>
              <w:spacing w:after="0"/>
              <w:rPr>
                <w:rFonts w:ascii="Arial" w:eastAsia="SimSun" w:hAnsi="Arial"/>
                <w:b/>
                <w:sz w:val="18"/>
                <w:lang w:eastAsia="zh-CN"/>
              </w:rPr>
            </w:pPr>
          </w:p>
        </w:tc>
        <w:tc>
          <w:tcPr>
            <w:tcW w:w="1260" w:type="dxa"/>
            <w:tcBorders>
              <w:top w:val="single" w:sz="6" w:space="0" w:color="auto"/>
              <w:left w:val="single" w:sz="6" w:space="0" w:color="auto"/>
              <w:bottom w:val="nil"/>
              <w:right w:val="single" w:sz="6" w:space="0" w:color="auto"/>
            </w:tcBorders>
            <w:vAlign w:val="center"/>
            <w:hideMark/>
          </w:tcPr>
          <w:p w14:paraId="5D90C389"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w:t>
            </w:r>
            <w:r w:rsidRPr="00FA3886">
              <w:rPr>
                <w:rFonts w:ascii="Arial" w:hAnsi="Arial" w:cs="Arial"/>
                <w:b/>
                <w:sz w:val="18"/>
                <w:lang w:eastAsia="zh-CN"/>
              </w:rPr>
              <w:t>120</w:t>
            </w:r>
            <w:r w:rsidRPr="00FA3886">
              <w:rPr>
                <w:rFonts w:ascii="Arial" w:hAnsi="Arial" w:cs="Arial"/>
                <w:b/>
                <w:sz w:val="18"/>
              </w:rPr>
              <w:t>kHz</w:t>
            </w:r>
            <w:r w:rsidRPr="00FA3886">
              <w:rPr>
                <w:rFonts w:ascii="Arial" w:hAnsi="Arial" w:cs="Arial"/>
                <w:b/>
                <w:sz w:val="18"/>
                <w:vertAlign w:val="superscript"/>
                <w:lang w:eastAsia="zh-CN"/>
              </w:rPr>
              <w:t xml:space="preserve"> Note 5</w:t>
            </w:r>
          </w:p>
        </w:tc>
        <w:tc>
          <w:tcPr>
            <w:tcW w:w="1260" w:type="dxa"/>
            <w:tcBorders>
              <w:top w:val="single" w:sz="6" w:space="0" w:color="auto"/>
              <w:left w:val="single" w:sz="6" w:space="0" w:color="auto"/>
              <w:bottom w:val="nil"/>
              <w:right w:val="single" w:sz="6" w:space="0" w:color="auto"/>
            </w:tcBorders>
            <w:vAlign w:val="center"/>
            <w:hideMark/>
          </w:tcPr>
          <w:p w14:paraId="15AA3A1C" w14:textId="77777777" w:rsidR="0093626E" w:rsidRPr="00FA3886" w:rsidRDefault="0093626E" w:rsidP="00ED4E9A">
            <w:pPr>
              <w:keepNext/>
              <w:keepLines/>
              <w:spacing w:after="0"/>
              <w:jc w:val="center"/>
              <w:rPr>
                <w:rFonts w:ascii="Arial" w:hAnsi="Arial" w:cs="Arial"/>
                <w:b/>
                <w:sz w:val="18"/>
              </w:rPr>
            </w:pPr>
            <w:r w:rsidRPr="00FA3886">
              <w:rPr>
                <w:rFonts w:ascii="Arial" w:hAnsi="Arial" w:cs="Arial"/>
                <w:b/>
                <w:sz w:val="18"/>
              </w:rPr>
              <w:t>dBm/</w:t>
            </w:r>
            <w:r w:rsidRPr="00FA3886">
              <w:rPr>
                <w:rFonts w:ascii="Arial" w:hAnsi="Arial" w:cs="Arial"/>
                <w:b/>
                <w:sz w:val="18"/>
                <w:lang w:eastAsia="zh-CN"/>
              </w:rPr>
              <w:t>60</w:t>
            </w:r>
            <w:r w:rsidRPr="00FA3886">
              <w:rPr>
                <w:rFonts w:ascii="Arial" w:hAnsi="Arial" w:cs="Arial"/>
                <w:b/>
                <w:sz w:val="18"/>
              </w:rPr>
              <w:t>kHz</w:t>
            </w:r>
            <w:r w:rsidRPr="00FA3886">
              <w:rPr>
                <w:rFonts w:ascii="Arial" w:hAnsi="Arial" w:cs="Arial"/>
                <w:b/>
                <w:sz w:val="18"/>
                <w:vertAlign w:val="superscript"/>
                <w:lang w:eastAsia="zh-CN"/>
              </w:rPr>
              <w:t xml:space="preserve"> Note 5</w:t>
            </w:r>
          </w:p>
        </w:tc>
        <w:tc>
          <w:tcPr>
            <w:tcW w:w="1280" w:type="dxa"/>
            <w:vMerge/>
            <w:tcBorders>
              <w:top w:val="single" w:sz="6" w:space="0" w:color="auto"/>
              <w:left w:val="single" w:sz="6" w:space="0" w:color="auto"/>
              <w:bottom w:val="nil"/>
              <w:right w:val="single" w:sz="4" w:space="0" w:color="auto"/>
            </w:tcBorders>
            <w:vAlign w:val="center"/>
            <w:hideMark/>
          </w:tcPr>
          <w:p w14:paraId="3E8407C2" w14:textId="77777777" w:rsidR="0093626E" w:rsidRPr="00FA3886" w:rsidRDefault="0093626E" w:rsidP="00ED4E9A">
            <w:pPr>
              <w:spacing w:after="0"/>
              <w:rPr>
                <w:rFonts w:ascii="Arial" w:eastAsia="SimSun" w:hAnsi="Arial"/>
                <w:b/>
                <w:sz w:val="18"/>
              </w:rPr>
            </w:pPr>
          </w:p>
        </w:tc>
      </w:tr>
      <w:tr w:rsidR="007F4AB1" w:rsidRPr="00FA3886" w14:paraId="3A8037BE" w14:textId="77777777" w:rsidTr="007F4AB1">
        <w:trPr>
          <w:trHeight w:val="226"/>
          <w:jc w:val="center"/>
        </w:trPr>
        <w:tc>
          <w:tcPr>
            <w:tcW w:w="1045" w:type="dxa"/>
            <w:tcBorders>
              <w:top w:val="single" w:sz="6" w:space="0" w:color="auto"/>
              <w:left w:val="single" w:sz="4" w:space="0" w:color="auto"/>
              <w:bottom w:val="single" w:sz="4" w:space="0" w:color="auto"/>
              <w:right w:val="single" w:sz="6" w:space="0" w:color="auto"/>
            </w:tcBorders>
            <w:vAlign w:val="center"/>
            <w:hideMark/>
          </w:tcPr>
          <w:p w14:paraId="79447AB3" w14:textId="5EE507B4" w:rsidR="007F4AB1" w:rsidRPr="00FA3886" w:rsidRDefault="007F4AB1" w:rsidP="007F4AB1">
            <w:pPr>
              <w:pStyle w:val="TAC"/>
              <w:rPr>
                <w:lang w:eastAsia="zh-CN"/>
              </w:rPr>
            </w:pPr>
            <w:r w:rsidRPr="00FA3886">
              <w:rPr>
                <w:rFonts w:hint="eastAsia"/>
                <w:lang w:eastAsia="zh-CN"/>
              </w:rPr>
              <w:t>±</w:t>
            </w:r>
            <w:r w:rsidRPr="00FA3886">
              <w:rPr>
                <w:lang w:eastAsia="zh-CN"/>
              </w:rPr>
              <w:t>5.0</w:t>
            </w:r>
          </w:p>
        </w:tc>
        <w:tc>
          <w:tcPr>
            <w:tcW w:w="1048" w:type="dxa"/>
            <w:tcBorders>
              <w:top w:val="single" w:sz="4" w:space="0" w:color="auto"/>
              <w:left w:val="single" w:sz="4" w:space="0" w:color="auto"/>
              <w:bottom w:val="single" w:sz="4" w:space="0" w:color="auto"/>
              <w:right w:val="single" w:sz="4" w:space="0" w:color="auto"/>
            </w:tcBorders>
            <w:vAlign w:val="center"/>
            <w:hideMark/>
          </w:tcPr>
          <w:p w14:paraId="53241D70" w14:textId="35B40E63" w:rsidR="007F4AB1" w:rsidRPr="00FA3886" w:rsidRDefault="007F4AB1" w:rsidP="007F4AB1">
            <w:pPr>
              <w:pStyle w:val="TAC"/>
              <w:rPr>
                <w:lang w:eastAsia="zh-CN"/>
              </w:rPr>
            </w:pPr>
            <w:r w:rsidRPr="00FA3886">
              <w:rPr>
                <w:rFonts w:hint="eastAsia"/>
                <w:lang w:eastAsia="zh-CN"/>
              </w:rPr>
              <w:t>±</w:t>
            </w:r>
            <w:r w:rsidRPr="00FA3886">
              <w:rPr>
                <w:lang w:eastAsia="zh-CN"/>
              </w:rPr>
              <w:t>8.0</w:t>
            </w:r>
          </w:p>
        </w:tc>
        <w:tc>
          <w:tcPr>
            <w:tcW w:w="907" w:type="dxa"/>
            <w:tcBorders>
              <w:top w:val="single" w:sz="6" w:space="0" w:color="auto"/>
              <w:left w:val="single" w:sz="6" w:space="0" w:color="auto"/>
              <w:bottom w:val="single" w:sz="6" w:space="0" w:color="auto"/>
              <w:right w:val="single" w:sz="6" w:space="0" w:color="auto"/>
            </w:tcBorders>
            <w:vAlign w:val="center"/>
            <w:hideMark/>
          </w:tcPr>
          <w:p w14:paraId="2B8A27A2" w14:textId="7775A6DC" w:rsidR="007F4AB1" w:rsidRPr="00FA3886" w:rsidRDefault="007F4AB1" w:rsidP="007F4AB1">
            <w:pPr>
              <w:pStyle w:val="TAC"/>
            </w:pPr>
            <w:r w:rsidRPr="00FA3886">
              <w:t>≥</w:t>
            </w:r>
            <w:r>
              <w:t>0</w:t>
            </w:r>
          </w:p>
        </w:tc>
        <w:tc>
          <w:tcPr>
            <w:tcW w:w="1568" w:type="dxa"/>
            <w:tcBorders>
              <w:top w:val="single" w:sz="6" w:space="0" w:color="auto"/>
              <w:left w:val="single" w:sz="6" w:space="0" w:color="auto"/>
              <w:bottom w:val="nil"/>
              <w:right w:val="single" w:sz="6" w:space="0" w:color="auto"/>
            </w:tcBorders>
            <w:vAlign w:val="center"/>
            <w:hideMark/>
          </w:tcPr>
          <w:p w14:paraId="6E1F3270" w14:textId="5791A4F4" w:rsidR="007F4AB1" w:rsidRPr="00FA3886" w:rsidRDefault="007F4AB1" w:rsidP="007F4AB1">
            <w:pPr>
              <w:pStyle w:val="TAC"/>
            </w:pPr>
            <w:r w:rsidRPr="00FA3886">
              <w:t>≥</w:t>
            </w:r>
            <w:r w:rsidRPr="00FA3886">
              <w:rPr>
                <w:lang w:eastAsia="zh-CN"/>
              </w:rPr>
              <w:t>48</w:t>
            </w:r>
          </w:p>
        </w:tc>
        <w:tc>
          <w:tcPr>
            <w:tcW w:w="1487" w:type="dxa"/>
            <w:tcBorders>
              <w:top w:val="single" w:sz="6" w:space="0" w:color="auto"/>
              <w:left w:val="single" w:sz="6" w:space="0" w:color="auto"/>
              <w:bottom w:val="nil"/>
              <w:right w:val="single" w:sz="6" w:space="0" w:color="auto"/>
            </w:tcBorders>
            <w:vAlign w:val="center"/>
            <w:hideMark/>
          </w:tcPr>
          <w:p w14:paraId="3DDEE28E" w14:textId="77777777" w:rsidR="007F4AB1" w:rsidRPr="00FA3886" w:rsidRDefault="007F4AB1" w:rsidP="007F4AB1">
            <w:pPr>
              <w:pStyle w:val="TAC"/>
              <w:rPr>
                <w:lang w:eastAsia="zh-CN"/>
              </w:rPr>
            </w:pPr>
            <w:r w:rsidRPr="00FA3886">
              <w:rPr>
                <w:lang w:eastAsia="zh-CN"/>
              </w:rPr>
              <w:t>All</w:t>
            </w:r>
          </w:p>
        </w:tc>
        <w:tc>
          <w:tcPr>
            <w:tcW w:w="2520" w:type="dxa"/>
            <w:gridSpan w:val="2"/>
            <w:tcBorders>
              <w:top w:val="single" w:sz="6" w:space="0" w:color="auto"/>
              <w:left w:val="single" w:sz="6" w:space="0" w:color="auto"/>
              <w:bottom w:val="nil"/>
              <w:right w:val="single" w:sz="4" w:space="0" w:color="auto"/>
            </w:tcBorders>
            <w:vAlign w:val="center"/>
            <w:hideMark/>
          </w:tcPr>
          <w:p w14:paraId="2AA642C5"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rPr>
              <w:t xml:space="preserve">Same value as </w:t>
            </w:r>
            <w:r w:rsidRPr="00FA3886">
              <w:rPr>
                <w:rFonts w:ascii="Arial" w:hAnsi="Arial" w:cs="Arial"/>
                <w:sz w:val="18"/>
                <w:lang w:eastAsia="zh-CN"/>
              </w:rPr>
              <w:t>P</w:t>
            </w:r>
            <w:r w:rsidRPr="00FA3886">
              <w:rPr>
                <w:rFonts w:ascii="Arial" w:hAnsi="Arial" w:cs="Arial"/>
                <w:sz w:val="18"/>
              </w:rPr>
              <w:t>RP in Table B.2.</w:t>
            </w:r>
            <w:r w:rsidRPr="00FA3886">
              <w:rPr>
                <w:rFonts w:ascii="Arial" w:hAnsi="Arial" w:cs="Arial"/>
                <w:sz w:val="18"/>
                <w:lang w:eastAsia="zh-CN"/>
              </w:rPr>
              <w:t>14</w:t>
            </w:r>
            <w:r w:rsidRPr="00FA3886">
              <w:rPr>
                <w:rFonts w:ascii="Arial" w:hAnsi="Arial" w:cs="Arial"/>
                <w:sz w:val="18"/>
              </w:rPr>
              <w:t>-2, according to UE Power class, operating band and angle of arrival</w:t>
            </w:r>
          </w:p>
        </w:tc>
        <w:tc>
          <w:tcPr>
            <w:tcW w:w="1280" w:type="dxa"/>
            <w:tcBorders>
              <w:top w:val="single" w:sz="6" w:space="0" w:color="auto"/>
              <w:left w:val="single" w:sz="4" w:space="0" w:color="auto"/>
              <w:bottom w:val="nil"/>
              <w:right w:val="single" w:sz="4" w:space="0" w:color="auto"/>
            </w:tcBorders>
            <w:vAlign w:val="center"/>
            <w:hideMark/>
          </w:tcPr>
          <w:p w14:paraId="475C4998" w14:textId="77777777" w:rsidR="007F4AB1" w:rsidRPr="00FA3886" w:rsidRDefault="007F4AB1" w:rsidP="007F4AB1">
            <w:pPr>
              <w:keepNext/>
              <w:keepLines/>
              <w:spacing w:after="0"/>
              <w:jc w:val="center"/>
              <w:rPr>
                <w:rFonts w:ascii="Arial" w:hAnsi="Arial" w:cs="Arial"/>
                <w:sz w:val="18"/>
                <w:lang w:eastAsia="zh-CN"/>
              </w:rPr>
            </w:pPr>
            <w:r w:rsidRPr="00FA3886">
              <w:rPr>
                <w:rFonts w:ascii="Arial" w:hAnsi="Arial" w:cs="Arial"/>
                <w:sz w:val="18"/>
                <w:lang w:eastAsia="zh-CN"/>
              </w:rPr>
              <w:t>-50</w:t>
            </w:r>
          </w:p>
        </w:tc>
      </w:tr>
      <w:tr w:rsidR="0093626E" w:rsidRPr="00FA3886" w14:paraId="5325577D" w14:textId="77777777" w:rsidTr="00ED4E9A">
        <w:trPr>
          <w:jc w:val="center"/>
        </w:trPr>
        <w:tc>
          <w:tcPr>
            <w:tcW w:w="1045" w:type="dxa"/>
            <w:tcBorders>
              <w:top w:val="single" w:sz="4" w:space="0" w:color="auto"/>
              <w:left w:val="single" w:sz="4" w:space="0" w:color="auto"/>
              <w:bottom w:val="single" w:sz="6" w:space="0" w:color="auto"/>
              <w:right w:val="single" w:sz="6" w:space="0" w:color="auto"/>
            </w:tcBorders>
            <w:vAlign w:val="center"/>
            <w:hideMark/>
          </w:tcPr>
          <w:p w14:paraId="63E74099" w14:textId="77777777" w:rsidR="0093626E" w:rsidRPr="00FA3886" w:rsidRDefault="0093626E" w:rsidP="00ED4E9A">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10</w:t>
            </w:r>
          </w:p>
        </w:tc>
        <w:tc>
          <w:tcPr>
            <w:tcW w:w="1048" w:type="dxa"/>
            <w:tcBorders>
              <w:top w:val="single" w:sz="4" w:space="0" w:color="auto"/>
              <w:left w:val="single" w:sz="4" w:space="0" w:color="auto"/>
              <w:bottom w:val="single" w:sz="4" w:space="0" w:color="auto"/>
              <w:right w:val="single" w:sz="4" w:space="0" w:color="auto"/>
            </w:tcBorders>
            <w:vAlign w:val="center"/>
            <w:hideMark/>
          </w:tcPr>
          <w:p w14:paraId="39A61FD9" w14:textId="77777777" w:rsidR="0093626E" w:rsidRPr="00FA3886" w:rsidRDefault="0093626E" w:rsidP="00ED4E9A">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13</w:t>
            </w:r>
          </w:p>
        </w:tc>
        <w:tc>
          <w:tcPr>
            <w:tcW w:w="907" w:type="dxa"/>
            <w:vMerge w:val="restart"/>
            <w:tcBorders>
              <w:top w:val="single" w:sz="6" w:space="0" w:color="auto"/>
              <w:left w:val="single" w:sz="6" w:space="0" w:color="auto"/>
              <w:bottom w:val="single" w:sz="6" w:space="0" w:color="auto"/>
              <w:right w:val="single" w:sz="6" w:space="0" w:color="auto"/>
            </w:tcBorders>
            <w:vAlign w:val="center"/>
            <w:hideMark/>
          </w:tcPr>
          <w:p w14:paraId="3520A1BF" w14:textId="778F44B3" w:rsidR="0093626E" w:rsidRPr="00FA3886" w:rsidRDefault="007F4AB1" w:rsidP="00ED4E9A">
            <w:pPr>
              <w:keepNext/>
              <w:keepLines/>
              <w:spacing w:after="0"/>
              <w:jc w:val="center"/>
              <w:rPr>
                <w:rFonts w:ascii="Arial" w:hAnsi="Arial"/>
                <w:sz w:val="18"/>
              </w:rPr>
            </w:pPr>
            <w:r w:rsidRPr="00FA3886">
              <w:rPr>
                <w:rFonts w:ascii="Arial" w:hAnsi="Arial" w:cs="Arial"/>
                <w:sz w:val="18"/>
              </w:rPr>
              <w:t>≥-</w:t>
            </w:r>
            <w:r w:rsidRPr="00FA3886">
              <w:rPr>
                <w:rFonts w:ascii="Arial" w:hAnsi="Arial" w:cs="Arial"/>
                <w:sz w:val="18"/>
                <w:lang w:eastAsia="zh-CN"/>
              </w:rPr>
              <w:t>6</w:t>
            </w:r>
          </w:p>
        </w:tc>
        <w:tc>
          <w:tcPr>
            <w:tcW w:w="1568" w:type="dxa"/>
            <w:tcBorders>
              <w:top w:val="single" w:sz="6" w:space="0" w:color="auto"/>
              <w:left w:val="single" w:sz="6" w:space="0" w:color="auto"/>
              <w:bottom w:val="single" w:sz="6" w:space="0" w:color="auto"/>
              <w:right w:val="single" w:sz="6" w:space="0" w:color="auto"/>
            </w:tcBorders>
            <w:hideMark/>
          </w:tcPr>
          <w:p w14:paraId="3FE9F507" w14:textId="77777777" w:rsidR="0093626E" w:rsidRPr="00FA3886" w:rsidRDefault="0093626E" w:rsidP="00ED4E9A">
            <w:pPr>
              <w:keepNext/>
              <w:keepLines/>
              <w:spacing w:after="0"/>
              <w:jc w:val="center"/>
              <w:rPr>
                <w:rFonts w:ascii="Arial" w:hAnsi="Arial" w:cs="Arial"/>
                <w:sz w:val="18"/>
                <w:lang w:eastAsia="zh-CN"/>
              </w:rPr>
            </w:pPr>
            <w:r w:rsidRPr="00FA3886">
              <w:rPr>
                <w:rFonts w:ascii="Arial" w:hAnsi="Arial" w:cs="Arial"/>
                <w:sz w:val="18"/>
                <w:lang w:eastAsia="zh-CN"/>
              </w:rPr>
              <w:t>48 ≤ BW ≤ 64</w:t>
            </w:r>
          </w:p>
        </w:tc>
        <w:tc>
          <w:tcPr>
            <w:tcW w:w="1487" w:type="dxa"/>
            <w:tcBorders>
              <w:top w:val="single" w:sz="6" w:space="0" w:color="auto"/>
              <w:left w:val="single" w:sz="6" w:space="0" w:color="auto"/>
              <w:bottom w:val="single" w:sz="6" w:space="0" w:color="auto"/>
              <w:right w:val="single" w:sz="6" w:space="0" w:color="auto"/>
            </w:tcBorders>
            <w:hideMark/>
          </w:tcPr>
          <w:p w14:paraId="0D69E2D1" w14:textId="77777777" w:rsidR="0093626E" w:rsidRPr="00FA3886" w:rsidRDefault="0093626E" w:rsidP="00ED4E9A">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3800" w:type="dxa"/>
            <w:gridSpan w:val="3"/>
            <w:tcBorders>
              <w:top w:val="single" w:sz="6" w:space="0" w:color="auto"/>
              <w:left w:val="single" w:sz="6" w:space="0" w:color="auto"/>
              <w:bottom w:val="single" w:sz="6" w:space="0" w:color="auto"/>
              <w:right w:val="single" w:sz="4" w:space="0" w:color="auto"/>
            </w:tcBorders>
            <w:vAlign w:val="center"/>
            <w:hideMark/>
          </w:tcPr>
          <w:p w14:paraId="322F142A"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Note 3</w:t>
            </w:r>
          </w:p>
        </w:tc>
      </w:tr>
      <w:tr w:rsidR="0093626E" w:rsidRPr="00FA3886" w14:paraId="5D8CD207" w14:textId="77777777" w:rsidTr="007F4AB1">
        <w:trPr>
          <w:jc w:val="center"/>
        </w:trPr>
        <w:tc>
          <w:tcPr>
            <w:tcW w:w="1045" w:type="dxa"/>
            <w:tcBorders>
              <w:top w:val="single" w:sz="4" w:space="0" w:color="auto"/>
              <w:left w:val="single" w:sz="4" w:space="0" w:color="auto"/>
              <w:bottom w:val="single" w:sz="6" w:space="0" w:color="auto"/>
              <w:right w:val="single" w:sz="6" w:space="0" w:color="auto"/>
            </w:tcBorders>
            <w:vAlign w:val="center"/>
            <w:hideMark/>
          </w:tcPr>
          <w:p w14:paraId="5A9A3425" w14:textId="77777777" w:rsidR="0093626E" w:rsidRPr="00FA3886" w:rsidRDefault="0093626E" w:rsidP="00ED4E9A">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7.5</w:t>
            </w:r>
          </w:p>
        </w:tc>
        <w:tc>
          <w:tcPr>
            <w:tcW w:w="1048" w:type="dxa"/>
            <w:tcBorders>
              <w:top w:val="single" w:sz="4" w:space="0" w:color="auto"/>
              <w:left w:val="single" w:sz="4" w:space="0" w:color="auto"/>
              <w:bottom w:val="single" w:sz="4" w:space="0" w:color="auto"/>
              <w:right w:val="single" w:sz="4" w:space="0" w:color="auto"/>
            </w:tcBorders>
            <w:vAlign w:val="center"/>
            <w:hideMark/>
          </w:tcPr>
          <w:p w14:paraId="68CF5232" w14:textId="77777777" w:rsidR="0093626E" w:rsidRPr="00FA3886" w:rsidRDefault="0093626E" w:rsidP="00ED4E9A">
            <w:pPr>
              <w:keepNext/>
              <w:keepLines/>
              <w:spacing w:after="0"/>
              <w:jc w:val="center"/>
              <w:rPr>
                <w:rFonts w:ascii="Arial" w:hAnsi="Arial" w:cs="Arial"/>
                <w:sz w:val="18"/>
                <w:lang w:eastAsia="zh-CN"/>
              </w:rPr>
            </w:pPr>
            <w:r w:rsidRPr="00FA3886">
              <w:rPr>
                <w:rFonts w:ascii="Arial" w:hAnsi="Arial" w:cs="Arial" w:hint="eastAsia"/>
                <w:sz w:val="18"/>
                <w:lang w:eastAsia="zh-CN"/>
              </w:rPr>
              <w:t>±</w:t>
            </w:r>
            <w:r w:rsidRPr="00FA3886">
              <w:rPr>
                <w:rFonts w:ascii="Arial" w:hAnsi="Arial" w:cs="Arial"/>
                <w:sz w:val="18"/>
                <w:lang w:eastAsia="zh-CN"/>
              </w:rPr>
              <w:t>10.5</w:t>
            </w:r>
          </w:p>
        </w:tc>
        <w:tc>
          <w:tcPr>
            <w:tcW w:w="907" w:type="dxa"/>
            <w:vMerge/>
            <w:tcBorders>
              <w:top w:val="single" w:sz="6" w:space="0" w:color="auto"/>
              <w:left w:val="single" w:sz="6" w:space="0" w:color="auto"/>
              <w:bottom w:val="single" w:sz="6" w:space="0" w:color="auto"/>
              <w:right w:val="single" w:sz="6" w:space="0" w:color="auto"/>
            </w:tcBorders>
            <w:vAlign w:val="center"/>
            <w:hideMark/>
          </w:tcPr>
          <w:p w14:paraId="7491316F" w14:textId="77777777" w:rsidR="0093626E" w:rsidRPr="00FA3886" w:rsidRDefault="0093626E" w:rsidP="00ED4E9A">
            <w:pPr>
              <w:spacing w:after="0"/>
              <w:rPr>
                <w:rFonts w:ascii="Arial" w:eastAsia="SimSun" w:hAnsi="Arial"/>
                <w:sz w:val="18"/>
              </w:rPr>
            </w:pPr>
          </w:p>
        </w:tc>
        <w:tc>
          <w:tcPr>
            <w:tcW w:w="1568" w:type="dxa"/>
            <w:tcBorders>
              <w:top w:val="single" w:sz="6" w:space="0" w:color="auto"/>
              <w:left w:val="single" w:sz="6" w:space="0" w:color="auto"/>
              <w:bottom w:val="single" w:sz="6" w:space="0" w:color="auto"/>
              <w:right w:val="single" w:sz="6" w:space="0" w:color="auto"/>
            </w:tcBorders>
            <w:hideMark/>
          </w:tcPr>
          <w:p w14:paraId="01227766" w14:textId="77777777" w:rsidR="0093626E" w:rsidRPr="00FA3886" w:rsidRDefault="0093626E" w:rsidP="00ED4E9A">
            <w:pPr>
              <w:keepNext/>
              <w:keepLines/>
              <w:spacing w:after="0"/>
              <w:jc w:val="center"/>
              <w:rPr>
                <w:rFonts w:ascii="Arial" w:hAnsi="Arial"/>
                <w:sz w:val="18"/>
                <w:lang w:eastAsia="zh-CN"/>
              </w:rPr>
            </w:pPr>
            <w:r w:rsidRPr="00FA3886">
              <w:rPr>
                <w:rFonts w:ascii="Arial" w:hAnsi="Arial" w:cs="Arial"/>
                <w:sz w:val="18"/>
                <w:lang w:eastAsia="zh-CN"/>
              </w:rPr>
              <w:t>BW &gt;64</w:t>
            </w:r>
          </w:p>
        </w:tc>
        <w:tc>
          <w:tcPr>
            <w:tcW w:w="1487" w:type="dxa"/>
            <w:tcBorders>
              <w:top w:val="single" w:sz="6" w:space="0" w:color="auto"/>
              <w:left w:val="single" w:sz="6" w:space="0" w:color="auto"/>
              <w:bottom w:val="single" w:sz="6" w:space="0" w:color="auto"/>
              <w:right w:val="single" w:sz="6" w:space="0" w:color="auto"/>
            </w:tcBorders>
            <w:hideMark/>
          </w:tcPr>
          <w:p w14:paraId="224B3223" w14:textId="77777777" w:rsidR="0093626E" w:rsidRPr="00FA3886" w:rsidRDefault="0093626E" w:rsidP="00ED4E9A">
            <w:pPr>
              <w:keepNext/>
              <w:keepLines/>
              <w:spacing w:after="0"/>
              <w:jc w:val="center"/>
              <w:rPr>
                <w:rFonts w:ascii="Arial" w:hAnsi="Arial" w:cs="Arial"/>
                <w:sz w:val="18"/>
                <w:lang w:eastAsia="zh-CN"/>
              </w:rPr>
            </w:pPr>
            <w:r w:rsidRPr="00FA3886">
              <w:rPr>
                <w:rFonts w:ascii="Arial" w:hAnsi="Arial" w:cs="Arial"/>
                <w:sz w:val="18"/>
                <w:lang w:eastAsia="zh-CN"/>
              </w:rPr>
              <w:t>All</w:t>
            </w:r>
          </w:p>
        </w:tc>
        <w:tc>
          <w:tcPr>
            <w:tcW w:w="3800" w:type="dxa"/>
            <w:gridSpan w:val="3"/>
            <w:tcBorders>
              <w:top w:val="single" w:sz="6" w:space="0" w:color="auto"/>
              <w:left w:val="single" w:sz="6" w:space="0" w:color="auto"/>
              <w:bottom w:val="single" w:sz="6" w:space="0" w:color="auto"/>
              <w:right w:val="single" w:sz="4" w:space="0" w:color="auto"/>
            </w:tcBorders>
            <w:vAlign w:val="center"/>
            <w:hideMark/>
          </w:tcPr>
          <w:p w14:paraId="39CF3764" w14:textId="77777777" w:rsidR="0093626E" w:rsidRPr="00FA3886" w:rsidRDefault="0093626E" w:rsidP="00ED4E9A">
            <w:pPr>
              <w:keepNext/>
              <w:keepLines/>
              <w:spacing w:after="0"/>
              <w:jc w:val="center"/>
              <w:rPr>
                <w:rFonts w:ascii="Arial" w:hAnsi="Arial" w:cs="Arial"/>
                <w:sz w:val="18"/>
              </w:rPr>
            </w:pPr>
            <w:r w:rsidRPr="00FA3886">
              <w:rPr>
                <w:rFonts w:ascii="Arial" w:hAnsi="Arial" w:cs="Arial"/>
                <w:sz w:val="18"/>
              </w:rPr>
              <w:t>Note 3</w:t>
            </w:r>
          </w:p>
        </w:tc>
      </w:tr>
      <w:tr w:rsidR="0093626E" w:rsidRPr="00FA3886" w14:paraId="356A6E67" w14:textId="77777777" w:rsidTr="00ED4E9A">
        <w:trPr>
          <w:jc w:val="center"/>
        </w:trPr>
        <w:tc>
          <w:tcPr>
            <w:tcW w:w="9855" w:type="dxa"/>
            <w:gridSpan w:val="8"/>
            <w:tcBorders>
              <w:top w:val="single" w:sz="6" w:space="0" w:color="auto"/>
              <w:left w:val="single" w:sz="4" w:space="0" w:color="auto"/>
              <w:bottom w:val="single" w:sz="4" w:space="0" w:color="auto"/>
              <w:right w:val="single" w:sz="4" w:space="0" w:color="auto"/>
            </w:tcBorders>
            <w:vAlign w:val="center"/>
            <w:hideMark/>
          </w:tcPr>
          <w:p w14:paraId="7E623ED7" w14:textId="77777777" w:rsidR="0093626E" w:rsidRPr="00FA3886" w:rsidRDefault="0093626E" w:rsidP="00ED4E9A">
            <w:pPr>
              <w:keepNext/>
              <w:keepLines/>
              <w:spacing w:after="0"/>
              <w:ind w:left="851" w:hanging="851"/>
              <w:rPr>
                <w:rFonts w:ascii="Arial" w:hAnsi="Arial" w:cs="Arial"/>
                <w:sz w:val="18"/>
              </w:rPr>
            </w:pPr>
            <w:r w:rsidRPr="00FA3886">
              <w:rPr>
                <w:rFonts w:ascii="Arial" w:hAnsi="Arial" w:cs="Arial"/>
                <w:sz w:val="18"/>
              </w:rPr>
              <w:t>N</w:t>
            </w:r>
            <w:r w:rsidRPr="00FA3886">
              <w:rPr>
                <w:rFonts w:ascii="Arial" w:hAnsi="Arial" w:cs="Arial"/>
                <w:sz w:val="18"/>
                <w:lang w:eastAsia="zh-CN"/>
              </w:rPr>
              <w:t>OTE</w:t>
            </w:r>
            <w:r w:rsidRPr="00FA3886">
              <w:rPr>
                <w:rFonts w:ascii="Arial" w:hAnsi="Arial" w:cs="Arial"/>
                <w:sz w:val="18"/>
              </w:rPr>
              <w:t xml:space="preserve"> 1:</w:t>
            </w:r>
            <w:r w:rsidRPr="00FA3886">
              <w:rPr>
                <w:rFonts w:ascii="Arial" w:hAnsi="Arial" w:cs="Arial"/>
                <w:sz w:val="18"/>
              </w:rPr>
              <w:tab/>
              <w:t>This minimum Io condition is expressed as the average Io per RE over all REs in an OFDM symbol.</w:t>
            </w:r>
          </w:p>
          <w:p w14:paraId="1A11B851" w14:textId="77777777" w:rsidR="0093626E" w:rsidRPr="00FA3886" w:rsidRDefault="0093626E" w:rsidP="00ED4E9A">
            <w:pPr>
              <w:keepNext/>
              <w:keepLines/>
              <w:spacing w:after="0"/>
              <w:ind w:left="851" w:hanging="851"/>
              <w:rPr>
                <w:rFonts w:ascii="Arial" w:hAnsi="Arial" w:cs="v4.2.0"/>
                <w:sz w:val="18"/>
              </w:rPr>
            </w:pPr>
            <w:r w:rsidRPr="00FA3886">
              <w:rPr>
                <w:rFonts w:ascii="Arial" w:hAnsi="Arial" w:cs="v4.2.0"/>
                <w:sz w:val="18"/>
              </w:rPr>
              <w:t>N</w:t>
            </w:r>
            <w:r w:rsidRPr="00FA3886">
              <w:rPr>
                <w:rFonts w:ascii="Arial" w:hAnsi="Arial" w:cs="Arial"/>
                <w:sz w:val="18"/>
                <w:lang w:eastAsia="zh-CN"/>
              </w:rPr>
              <w:t>OTE</w:t>
            </w:r>
            <w:r w:rsidRPr="00FA3886">
              <w:rPr>
                <w:rFonts w:ascii="Arial" w:hAnsi="Arial" w:cs="v4.2.0"/>
                <w:sz w:val="18"/>
              </w:rPr>
              <w:t xml:space="preserve"> 2:</w:t>
            </w:r>
            <w:r w:rsidRPr="00FA3886">
              <w:rPr>
                <w:rFonts w:ascii="Arial" w:hAnsi="Arial" w:cs="v4.2.0"/>
                <w:sz w:val="18"/>
              </w:rPr>
              <w:tab/>
              <w:t xml:space="preserve">PRS bandwidth is as indicated in </w:t>
            </w:r>
            <w:r w:rsidRPr="00FA3886">
              <w:rPr>
                <w:rFonts w:ascii="Arial" w:hAnsi="Arial" w:cs="Arial"/>
                <w:i/>
                <w:sz w:val="18"/>
              </w:rPr>
              <w:t>prs-Bandwidth</w:t>
            </w:r>
            <w:r w:rsidRPr="00FA3886">
              <w:rPr>
                <w:rFonts w:ascii="Arial" w:hAnsi="Arial" w:cs="Arial"/>
                <w:sz w:val="18"/>
              </w:rPr>
              <w:t xml:space="preserve"> </w:t>
            </w:r>
            <w:r w:rsidRPr="00FA3886">
              <w:rPr>
                <w:rFonts w:ascii="Arial" w:hAnsi="Arial" w:cs="v4.2.0"/>
                <w:sz w:val="18"/>
              </w:rPr>
              <w:t xml:space="preserve">in the OTDOA </w:t>
            </w:r>
            <w:r w:rsidRPr="00FA3886">
              <w:rPr>
                <w:rFonts w:ascii="Arial" w:hAnsi="Arial" w:cs="v4.2.0"/>
                <w:sz w:val="18"/>
                <w:lang w:eastAsia="zh-CN"/>
              </w:rPr>
              <w:t>or DL-AoD</w:t>
            </w:r>
            <w:r w:rsidRPr="00FA3886">
              <w:rPr>
                <w:rFonts w:ascii="Arial" w:hAnsi="Arial" w:cs="v4.2.0"/>
                <w:sz w:val="18"/>
              </w:rPr>
              <w:t xml:space="preserve"> assistance data defined in [</w:t>
            </w:r>
            <w:r w:rsidRPr="00FA3886">
              <w:rPr>
                <w:rFonts w:ascii="Arial" w:hAnsi="Arial" w:cs="v4.2.0"/>
                <w:sz w:val="18"/>
                <w:lang w:eastAsia="zh-CN"/>
              </w:rPr>
              <w:t>3</w:t>
            </w:r>
            <w:r w:rsidRPr="00FA3886">
              <w:rPr>
                <w:rFonts w:ascii="Arial" w:hAnsi="Arial" w:cs="v4.2.0"/>
                <w:sz w:val="18"/>
              </w:rPr>
              <w:t>4].</w:t>
            </w:r>
          </w:p>
          <w:p w14:paraId="34D8B8CB" w14:textId="77777777" w:rsidR="0093626E" w:rsidRPr="00FA3886" w:rsidRDefault="0093626E" w:rsidP="00ED4E9A">
            <w:pPr>
              <w:keepNext/>
              <w:keepLines/>
              <w:spacing w:after="0"/>
              <w:ind w:left="851" w:hanging="851"/>
              <w:rPr>
                <w:rFonts w:ascii="Arial" w:hAnsi="Arial"/>
                <w:sz w:val="18"/>
              </w:rPr>
            </w:pPr>
            <w:r w:rsidRPr="00FA3886">
              <w:rPr>
                <w:rFonts w:ascii="Arial" w:hAnsi="Arial" w:cs="Arial"/>
                <w:sz w:val="18"/>
              </w:rPr>
              <w:t>N</w:t>
            </w:r>
            <w:r w:rsidRPr="00FA3886">
              <w:rPr>
                <w:rFonts w:ascii="Arial" w:hAnsi="Arial" w:cs="Arial"/>
                <w:sz w:val="18"/>
                <w:lang w:eastAsia="zh-CN"/>
              </w:rPr>
              <w:t>OTE</w:t>
            </w:r>
            <w:r w:rsidRPr="00FA3886">
              <w:rPr>
                <w:rFonts w:ascii="Arial" w:hAnsi="Arial" w:cs="Arial"/>
                <w:sz w:val="18"/>
              </w:rPr>
              <w:t xml:space="preserve"> 3:</w:t>
            </w:r>
            <w:r w:rsidRPr="00FA3886">
              <w:rPr>
                <w:rFonts w:ascii="Arial" w:hAnsi="Arial" w:cs="Arial"/>
                <w:sz w:val="18"/>
              </w:rPr>
              <w:tab/>
              <w:t xml:space="preserve">The same bands and the same Io conditions for each band apply for this requirement as for the corresponding requirement with the PRS bandwidth ≥ </w:t>
            </w:r>
            <w:r w:rsidRPr="00FA3886">
              <w:rPr>
                <w:rFonts w:ascii="Arial" w:hAnsi="Arial" w:cs="Arial"/>
                <w:sz w:val="18"/>
                <w:lang w:eastAsia="zh-CN"/>
              </w:rPr>
              <w:t>24</w:t>
            </w:r>
            <w:r w:rsidRPr="00FA3886">
              <w:rPr>
                <w:rFonts w:ascii="Arial" w:hAnsi="Arial" w:cs="Arial"/>
                <w:sz w:val="18"/>
              </w:rPr>
              <w:t xml:space="preserve"> RB.</w:t>
            </w:r>
          </w:p>
          <w:p w14:paraId="79361484" w14:textId="77777777" w:rsidR="0093626E" w:rsidRPr="00FA3886" w:rsidRDefault="0093626E" w:rsidP="00ED4E9A">
            <w:pPr>
              <w:keepNext/>
              <w:keepLines/>
              <w:spacing w:after="0"/>
              <w:ind w:left="851" w:hanging="851"/>
              <w:rPr>
                <w:rFonts w:ascii="Arial" w:hAnsi="Arial" w:cs="Arial"/>
                <w:sz w:val="18"/>
              </w:rPr>
            </w:pPr>
            <w:r w:rsidRPr="00FA3886">
              <w:rPr>
                <w:rFonts w:ascii="Arial" w:hAnsi="Arial" w:cs="Arial"/>
                <w:sz w:val="18"/>
              </w:rPr>
              <w:t>NOTE 4:</w:t>
            </w:r>
            <w:r w:rsidRPr="00FA3886">
              <w:rPr>
                <w:rFonts w:ascii="Arial" w:hAnsi="Arial" w:cs="Arial"/>
                <w:sz w:val="18"/>
              </w:rPr>
              <w:tab/>
              <w:t>The serving cell, the reference cell, and the measured neighbour cell i are on the same carrier frequency.</w:t>
            </w:r>
          </w:p>
          <w:p w14:paraId="2ABE04D0" w14:textId="77777777" w:rsidR="0093626E" w:rsidRPr="00FA3886" w:rsidRDefault="0093626E" w:rsidP="00ED4E9A">
            <w:pPr>
              <w:keepNext/>
              <w:keepLines/>
              <w:spacing w:after="0"/>
              <w:ind w:left="851" w:hanging="851"/>
              <w:rPr>
                <w:rFonts w:ascii="Arial" w:hAnsi="Arial" w:cs="Arial"/>
                <w:sz w:val="18"/>
              </w:rPr>
            </w:pPr>
            <w:r w:rsidRPr="00FA3886">
              <w:rPr>
                <w:rFonts w:ascii="Arial" w:hAnsi="Arial" w:cs="Arial"/>
                <w:sz w:val="18"/>
              </w:rPr>
              <w:t>NOTE 5:</w:t>
            </w:r>
            <w:r w:rsidRPr="00FA3886">
              <w:rPr>
                <w:rFonts w:ascii="Arial" w:hAnsi="Arial" w:cs="Arial"/>
                <w:sz w:val="18"/>
              </w:rPr>
              <w:tab/>
              <w:t>The condition level is increased by ∆&gt;0, when applicable, as described in Sections B.</w:t>
            </w:r>
            <w:r w:rsidRPr="00FA3886">
              <w:rPr>
                <w:rFonts w:ascii="Arial" w:hAnsi="Arial" w:cs="Arial"/>
                <w:sz w:val="18"/>
                <w:lang w:eastAsia="zh-CN"/>
              </w:rPr>
              <w:t>3</w:t>
            </w:r>
            <w:r w:rsidRPr="00FA3886">
              <w:rPr>
                <w:rFonts w:ascii="Arial" w:hAnsi="Arial" w:cs="Arial"/>
                <w:sz w:val="18"/>
              </w:rPr>
              <w:t>.</w:t>
            </w:r>
            <w:r w:rsidRPr="00FA3886">
              <w:rPr>
                <w:rFonts w:ascii="Arial" w:hAnsi="Arial" w:cs="Arial"/>
                <w:sz w:val="18"/>
                <w:lang w:eastAsia="zh-CN"/>
              </w:rPr>
              <w:t>2</w:t>
            </w:r>
            <w:r w:rsidRPr="00FA3886">
              <w:rPr>
                <w:rFonts w:ascii="Arial" w:hAnsi="Arial" w:cs="Arial"/>
                <w:sz w:val="18"/>
              </w:rPr>
              <w:t xml:space="preserve"> and B.</w:t>
            </w:r>
            <w:r w:rsidRPr="00FA3886">
              <w:rPr>
                <w:rFonts w:ascii="Arial" w:hAnsi="Arial" w:cs="Arial"/>
                <w:sz w:val="18"/>
                <w:lang w:eastAsia="zh-CN"/>
              </w:rPr>
              <w:t>3</w:t>
            </w:r>
            <w:r w:rsidRPr="00FA3886">
              <w:rPr>
                <w:rFonts w:ascii="Arial" w:hAnsi="Arial" w:cs="Arial"/>
                <w:sz w:val="18"/>
              </w:rPr>
              <w:t>.</w:t>
            </w:r>
            <w:r w:rsidRPr="00FA3886">
              <w:rPr>
                <w:rFonts w:ascii="Arial" w:hAnsi="Arial" w:cs="Arial"/>
                <w:sz w:val="18"/>
                <w:lang w:eastAsia="zh-CN"/>
              </w:rPr>
              <w:t>3</w:t>
            </w:r>
            <w:r w:rsidRPr="00FA3886">
              <w:rPr>
                <w:rFonts w:ascii="Arial" w:hAnsi="Arial" w:cs="Arial"/>
                <w:sz w:val="18"/>
              </w:rPr>
              <w:t>.</w:t>
            </w:r>
          </w:p>
          <w:p w14:paraId="56CB78F3" w14:textId="77777777" w:rsidR="0093626E" w:rsidRPr="00FA3886" w:rsidRDefault="0093626E" w:rsidP="00ED4E9A">
            <w:pPr>
              <w:keepNext/>
              <w:keepLines/>
              <w:spacing w:after="0"/>
              <w:ind w:left="851" w:hanging="851"/>
              <w:rPr>
                <w:rFonts w:ascii="Arial" w:hAnsi="Arial" w:cs="Arial"/>
                <w:sz w:val="18"/>
              </w:rPr>
            </w:pPr>
            <w:r w:rsidRPr="00FA3886">
              <w:rPr>
                <w:rFonts w:ascii="Arial" w:hAnsi="Arial" w:cs="Arial"/>
                <w:sz w:val="18"/>
              </w:rPr>
              <w:t>NOTE 6:</w:t>
            </w:r>
            <w:r w:rsidRPr="00FA3886">
              <w:rPr>
                <w:rFonts w:ascii="Arial" w:hAnsi="Arial" w:cs="Arial"/>
                <w:sz w:val="18"/>
              </w:rPr>
              <w:tab/>
              <w:t>The Io is defined in PRS positioning subframes. The same Io range applies to PRS and non-PRS symbols. Io levels are different in PRS and non-PRS symbols within the same subframe.</w:t>
            </w:r>
          </w:p>
          <w:p w14:paraId="56EBF6DD" w14:textId="77777777" w:rsidR="0093626E" w:rsidRPr="00FA3886" w:rsidRDefault="0093626E" w:rsidP="00ED4E9A">
            <w:pPr>
              <w:keepNext/>
              <w:keepLines/>
              <w:spacing w:after="0"/>
              <w:ind w:left="851" w:hanging="851"/>
              <w:rPr>
                <w:rFonts w:ascii="Arial" w:hAnsi="Arial" w:cs="Arial"/>
                <w:sz w:val="18"/>
                <w:lang w:eastAsia="zh-CN"/>
              </w:rPr>
            </w:pPr>
            <w:r w:rsidRPr="00FA3886">
              <w:rPr>
                <w:rFonts w:ascii="Arial" w:hAnsi="Arial" w:cs="Arial"/>
                <w:sz w:val="18"/>
              </w:rPr>
              <w:t>NOTE 8:</w:t>
            </w:r>
            <w:r w:rsidRPr="00FA3886">
              <w:rPr>
                <w:rFonts w:ascii="Arial" w:hAnsi="Arial" w:cs="Arial"/>
                <w:sz w:val="18"/>
              </w:rPr>
              <w:tab/>
            </w:r>
            <w:r w:rsidRPr="00FA3886">
              <w:rPr>
                <w:rFonts w:ascii="Arial" w:hAnsi="Arial" w:cs="Arial"/>
                <w:sz w:val="18"/>
                <w:lang w:eastAsia="zh-CN"/>
              </w:rPr>
              <w:t>NR</w:t>
            </w:r>
            <w:r w:rsidRPr="00FA3886">
              <w:rPr>
                <w:rFonts w:ascii="Arial" w:hAnsi="Arial" w:cs="Arial"/>
                <w:sz w:val="18"/>
              </w:rPr>
              <w:t xml:space="preserve"> operating band groups are as defined in Section 3.5</w:t>
            </w:r>
            <w:r w:rsidRPr="00FA3886">
              <w:rPr>
                <w:rFonts w:ascii="Arial" w:hAnsi="Arial" w:cs="Arial"/>
                <w:sz w:val="18"/>
                <w:lang w:eastAsia="zh-CN"/>
              </w:rPr>
              <w:t>.2</w:t>
            </w:r>
            <w:r w:rsidRPr="00FA3886">
              <w:rPr>
                <w:rFonts w:ascii="Arial" w:hAnsi="Arial" w:cs="Arial"/>
                <w:sz w:val="18"/>
              </w:rPr>
              <w:t>.</w:t>
            </w:r>
            <w:r w:rsidRPr="00FA3886">
              <w:rPr>
                <w:rFonts w:ascii="Arial" w:hAnsi="Arial" w:cs="Arial"/>
                <w:sz w:val="18"/>
                <w:lang w:eastAsia="zh-CN"/>
              </w:rPr>
              <w:t xml:space="preserve"> </w:t>
            </w:r>
          </w:p>
        </w:tc>
      </w:tr>
    </w:tbl>
    <w:p w14:paraId="7F485207" w14:textId="77777777" w:rsidR="0093626E" w:rsidRPr="0055204E" w:rsidRDefault="0093626E" w:rsidP="0093626E">
      <w:pPr>
        <w:rPr>
          <w:lang w:eastAsia="zh-CN"/>
        </w:rPr>
      </w:pPr>
    </w:p>
    <w:p w14:paraId="0F752266" w14:textId="77777777" w:rsidR="009323E2" w:rsidRDefault="009323E2" w:rsidP="009323E2">
      <w:pPr>
        <w:pStyle w:val="Heading4"/>
      </w:pPr>
      <w:r w:rsidRPr="00512252">
        <w:t>10.</w:t>
      </w:r>
      <w:r>
        <w:t>1.24</w:t>
      </w:r>
      <w:r w:rsidRPr="00DF3FF6">
        <w:t>.</w:t>
      </w:r>
      <w:r>
        <w:t>3</w:t>
      </w:r>
      <w:r w:rsidRPr="00DF3FF6">
        <w:tab/>
      </w:r>
      <w:r>
        <w:t>Report mapping</w:t>
      </w:r>
    </w:p>
    <w:p w14:paraId="7FC17A60" w14:textId="77777777" w:rsidR="005B6EBB" w:rsidRPr="007B333D" w:rsidRDefault="005B6EBB" w:rsidP="005B6EBB">
      <w:pPr>
        <w:pStyle w:val="Heading5"/>
        <w:rPr>
          <w:lang w:eastAsia="zh-CN"/>
        </w:rPr>
      </w:pPr>
      <w:r>
        <w:t>10.1.24.</w:t>
      </w:r>
      <w:r>
        <w:rPr>
          <w:rFonts w:hint="eastAsia"/>
          <w:lang w:eastAsia="zh-CN"/>
        </w:rPr>
        <w:t>3.1</w:t>
      </w:r>
      <w:r>
        <w:tab/>
      </w:r>
      <w:r>
        <w:rPr>
          <w:rFonts w:hint="eastAsia"/>
          <w:lang w:eastAsia="zh-CN"/>
        </w:rPr>
        <w:t>Absolute PRS-RSRP Measurement R</w:t>
      </w:r>
      <w:r>
        <w:t xml:space="preserve">eport </w:t>
      </w:r>
      <w:r>
        <w:rPr>
          <w:rFonts w:hint="eastAsia"/>
          <w:lang w:eastAsia="zh-CN"/>
        </w:rPr>
        <w:t>M</w:t>
      </w:r>
      <w:r>
        <w:t>apping</w:t>
      </w:r>
    </w:p>
    <w:p w14:paraId="3C80AB1D" w14:textId="0A0A3AAA" w:rsidR="005B6EBB" w:rsidRPr="00534C6E" w:rsidRDefault="005B6EBB" w:rsidP="005B6EBB">
      <w:r w:rsidRPr="00534C6E">
        <w:t>The</w:t>
      </w:r>
      <w:r>
        <w:rPr>
          <w:rFonts w:hint="eastAsia"/>
          <w:lang w:eastAsia="zh-CN"/>
        </w:rPr>
        <w:t xml:space="preserve"> </w:t>
      </w:r>
      <w:r w:rsidRPr="00534C6E">
        <w:t xml:space="preserve">reporting range of </w:t>
      </w:r>
      <w:r>
        <w:rPr>
          <w:rFonts w:hint="eastAsia"/>
          <w:lang w:eastAsia="zh-CN"/>
        </w:rPr>
        <w:t xml:space="preserve">absolute </w:t>
      </w:r>
      <w:r w:rsidRPr="00534C6E">
        <w:t xml:space="preserve">PRS-RSRP </w:t>
      </w:r>
      <w:r>
        <w:rPr>
          <w:rFonts w:hint="eastAsia"/>
          <w:lang w:eastAsia="zh-CN"/>
        </w:rPr>
        <w:t xml:space="preserve">measurement </w:t>
      </w:r>
      <w:r w:rsidRPr="00534C6E">
        <w:t>is defined from -1</w:t>
      </w:r>
      <w:r w:rsidRPr="00534C6E">
        <w:rPr>
          <w:lang w:eastAsia="zh-CN"/>
        </w:rPr>
        <w:t>56</w:t>
      </w:r>
      <w:r w:rsidRPr="00534C6E">
        <w:t xml:space="preserve"> dBm to -31 dBm with 1 dB resolution.</w:t>
      </w:r>
    </w:p>
    <w:p w14:paraId="2F31434A" w14:textId="77777777" w:rsidR="005B6EBB" w:rsidRPr="00534C6E" w:rsidRDefault="005B6EBB" w:rsidP="005B6EBB">
      <w:pPr>
        <w:rPr>
          <w:lang w:eastAsia="zh-CN"/>
        </w:rPr>
      </w:pPr>
      <w:r w:rsidRPr="00534C6E">
        <w:t xml:space="preserve">The mapping of measured quantity is defined in Table </w:t>
      </w:r>
      <w:r w:rsidRPr="00B00B92">
        <w:t>10.1.24.3.1</w:t>
      </w:r>
      <w:r w:rsidRPr="00534C6E">
        <w:t>-1.</w:t>
      </w:r>
      <w:r w:rsidRPr="00200971">
        <w:t xml:space="preserve"> </w:t>
      </w:r>
      <w:r w:rsidRPr="00885F53">
        <w:t>The range in the signalling may be larger than the guaranteed accuracy range.</w:t>
      </w:r>
    </w:p>
    <w:p w14:paraId="0FEF39DD" w14:textId="3DFAC376" w:rsidR="005B6EBB" w:rsidRPr="007651A2" w:rsidRDefault="005B6EBB" w:rsidP="005B6EBB">
      <w:pPr>
        <w:pStyle w:val="TH"/>
        <w:rPr>
          <w:lang w:eastAsia="zh-CN"/>
        </w:rPr>
      </w:pPr>
      <w:r w:rsidRPr="00241959">
        <w:t xml:space="preserve">Table </w:t>
      </w:r>
      <w:r w:rsidRPr="00B00B92">
        <w:t>10.1.24.</w:t>
      </w:r>
      <w:r>
        <w:rPr>
          <w:rFonts w:hint="eastAsia"/>
          <w:lang w:eastAsia="zh-CN"/>
        </w:rPr>
        <w:t>3</w:t>
      </w:r>
      <w:r w:rsidRPr="00B00B92">
        <w:t>.1</w:t>
      </w:r>
      <w:r w:rsidRPr="00534C6E">
        <w:rPr>
          <w:rFonts w:cs="v4.2.0"/>
        </w:rPr>
        <w:t>-1</w:t>
      </w:r>
      <w:r w:rsidRPr="00241959">
        <w:t xml:space="preserve">: </w:t>
      </w:r>
      <w:r>
        <w:t>Measurement</w:t>
      </w:r>
      <w:r w:rsidRPr="00241959">
        <w:t xml:space="preserve"> report mapping</w:t>
      </w:r>
      <w:r>
        <w:t xml:space="preserve"> for PRS-RSRP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2608"/>
        <w:gridCol w:w="863"/>
      </w:tblGrid>
      <w:tr w:rsidR="005B6EBB" w:rsidRPr="00885F53" w14:paraId="49EDA88B" w14:textId="77777777" w:rsidTr="005B6EBB">
        <w:trPr>
          <w:trHeight w:val="187"/>
          <w:jc w:val="center"/>
        </w:trPr>
        <w:tc>
          <w:tcPr>
            <w:tcW w:w="1640" w:type="dxa"/>
            <w:shd w:val="clear" w:color="auto" w:fill="auto"/>
            <w:noWrap/>
            <w:hideMark/>
          </w:tcPr>
          <w:p w14:paraId="678B8DCD" w14:textId="77777777" w:rsidR="005B6EBB" w:rsidRPr="00885F53" w:rsidRDefault="005B6EBB" w:rsidP="006F2A46">
            <w:pPr>
              <w:keepNext/>
              <w:keepLines/>
              <w:spacing w:after="0"/>
              <w:jc w:val="center"/>
              <w:rPr>
                <w:rFonts w:ascii="Arial" w:hAnsi="Arial"/>
                <w:b/>
                <w:sz w:val="18"/>
                <w:lang w:eastAsia="ko-KR"/>
              </w:rPr>
            </w:pPr>
            <w:r w:rsidRPr="00885F53">
              <w:rPr>
                <w:rFonts w:ascii="Arial" w:hAnsi="Arial"/>
                <w:b/>
                <w:sz w:val="18"/>
                <w:lang w:eastAsia="ko-KR"/>
              </w:rPr>
              <w:t>Reported value</w:t>
            </w:r>
          </w:p>
        </w:tc>
        <w:tc>
          <w:tcPr>
            <w:tcW w:w="2608" w:type="dxa"/>
            <w:shd w:val="clear" w:color="auto" w:fill="auto"/>
            <w:noWrap/>
            <w:hideMark/>
          </w:tcPr>
          <w:p w14:paraId="6FCBEC5A" w14:textId="77777777" w:rsidR="005B6EBB" w:rsidRPr="00885F53" w:rsidRDefault="005B6EBB" w:rsidP="006F2A46">
            <w:pPr>
              <w:keepNext/>
              <w:keepLines/>
              <w:spacing w:after="0"/>
              <w:jc w:val="center"/>
              <w:rPr>
                <w:rFonts w:ascii="Arial" w:hAnsi="Arial"/>
                <w:b/>
                <w:sz w:val="18"/>
                <w:lang w:eastAsia="ko-KR"/>
              </w:rPr>
            </w:pPr>
            <w:r w:rsidRPr="00885F53">
              <w:rPr>
                <w:rFonts w:ascii="Arial" w:hAnsi="Arial"/>
                <w:b/>
                <w:sz w:val="18"/>
                <w:lang w:eastAsia="ko-KR"/>
              </w:rPr>
              <w:t>Measured quantity value</w:t>
            </w:r>
          </w:p>
        </w:tc>
        <w:tc>
          <w:tcPr>
            <w:tcW w:w="863" w:type="dxa"/>
            <w:shd w:val="clear" w:color="auto" w:fill="auto"/>
            <w:noWrap/>
            <w:hideMark/>
          </w:tcPr>
          <w:p w14:paraId="7D3734B3" w14:textId="77777777" w:rsidR="005B6EBB" w:rsidRPr="00885F53" w:rsidRDefault="005B6EBB" w:rsidP="006F2A46">
            <w:pPr>
              <w:keepNext/>
              <w:keepLines/>
              <w:spacing w:after="0"/>
              <w:jc w:val="center"/>
              <w:rPr>
                <w:rFonts w:ascii="Arial" w:hAnsi="Arial"/>
                <w:b/>
                <w:sz w:val="18"/>
                <w:lang w:eastAsia="ko-KR"/>
              </w:rPr>
            </w:pPr>
            <w:r w:rsidRPr="00885F53">
              <w:rPr>
                <w:rFonts w:ascii="Arial" w:hAnsi="Arial"/>
                <w:b/>
                <w:sz w:val="18"/>
                <w:lang w:eastAsia="ko-KR"/>
              </w:rPr>
              <w:t>Unit</w:t>
            </w:r>
          </w:p>
        </w:tc>
      </w:tr>
      <w:tr w:rsidR="005B6EBB" w:rsidRPr="00885F53" w14:paraId="1D270EBF" w14:textId="77777777" w:rsidTr="005B6EBB">
        <w:trPr>
          <w:trHeight w:val="187"/>
          <w:jc w:val="center"/>
        </w:trPr>
        <w:tc>
          <w:tcPr>
            <w:tcW w:w="1640" w:type="dxa"/>
            <w:shd w:val="clear" w:color="auto" w:fill="auto"/>
            <w:noWrap/>
            <w:hideMark/>
          </w:tcPr>
          <w:p w14:paraId="3D67BD87"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RSRP_0</w:t>
            </w:r>
          </w:p>
        </w:tc>
        <w:tc>
          <w:tcPr>
            <w:tcW w:w="2608" w:type="dxa"/>
            <w:shd w:val="clear" w:color="auto" w:fill="auto"/>
            <w:noWrap/>
            <w:hideMark/>
          </w:tcPr>
          <w:p w14:paraId="4FDEC680"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w:t>
            </w:r>
            <w:r w:rsidRPr="008939DA">
              <w:rPr>
                <w:rFonts w:ascii="Arial" w:hAnsi="Arial"/>
                <w:sz w:val="18"/>
                <w:lang w:eastAsia="ko-KR"/>
              </w:rPr>
              <w:t>RSRP</w:t>
            </w:r>
            <w:r w:rsidRPr="00885F53">
              <w:rPr>
                <w:rFonts w:ascii="Arial" w:hAnsi="Arial"/>
                <w:sz w:val="18"/>
                <w:lang w:eastAsia="ko-KR"/>
              </w:rPr>
              <w:t>&lt;-156</w:t>
            </w:r>
          </w:p>
        </w:tc>
        <w:tc>
          <w:tcPr>
            <w:tcW w:w="863" w:type="dxa"/>
            <w:shd w:val="clear" w:color="auto" w:fill="auto"/>
            <w:noWrap/>
            <w:hideMark/>
          </w:tcPr>
          <w:p w14:paraId="3071E9E7"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7B9D44D1" w14:textId="77777777" w:rsidTr="005B6EBB">
        <w:trPr>
          <w:trHeight w:val="187"/>
          <w:jc w:val="center"/>
        </w:trPr>
        <w:tc>
          <w:tcPr>
            <w:tcW w:w="1640" w:type="dxa"/>
            <w:shd w:val="clear" w:color="auto" w:fill="auto"/>
            <w:noWrap/>
            <w:hideMark/>
          </w:tcPr>
          <w:p w14:paraId="7E6D8854"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w:t>
            </w:r>
          </w:p>
        </w:tc>
        <w:tc>
          <w:tcPr>
            <w:tcW w:w="2608" w:type="dxa"/>
            <w:shd w:val="clear" w:color="auto" w:fill="auto"/>
            <w:noWrap/>
            <w:hideMark/>
          </w:tcPr>
          <w:p w14:paraId="4B1401A4"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-156</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-RSRP&lt;-155</w:t>
            </w:r>
          </w:p>
        </w:tc>
        <w:tc>
          <w:tcPr>
            <w:tcW w:w="863" w:type="dxa"/>
            <w:shd w:val="clear" w:color="auto" w:fill="auto"/>
            <w:noWrap/>
            <w:hideMark/>
          </w:tcPr>
          <w:p w14:paraId="598FC59F"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74909DF0" w14:textId="77777777" w:rsidTr="005B6EBB">
        <w:trPr>
          <w:trHeight w:val="187"/>
          <w:jc w:val="center"/>
        </w:trPr>
        <w:tc>
          <w:tcPr>
            <w:tcW w:w="1640" w:type="dxa"/>
            <w:shd w:val="clear" w:color="auto" w:fill="auto"/>
            <w:noWrap/>
            <w:hideMark/>
          </w:tcPr>
          <w:p w14:paraId="5B6600E2"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RSRP_2</w:t>
            </w:r>
          </w:p>
        </w:tc>
        <w:tc>
          <w:tcPr>
            <w:tcW w:w="2608" w:type="dxa"/>
            <w:shd w:val="clear" w:color="auto" w:fill="auto"/>
            <w:noWrap/>
            <w:hideMark/>
          </w:tcPr>
          <w:p w14:paraId="733CBAC9"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-155</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-RSRP&lt;-154</w:t>
            </w:r>
          </w:p>
        </w:tc>
        <w:tc>
          <w:tcPr>
            <w:tcW w:w="863" w:type="dxa"/>
            <w:shd w:val="clear" w:color="auto" w:fill="auto"/>
            <w:noWrap/>
            <w:hideMark/>
          </w:tcPr>
          <w:p w14:paraId="7BD6A54E"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513EE9E" w14:textId="77777777" w:rsidTr="005B6EBB">
        <w:trPr>
          <w:trHeight w:val="187"/>
          <w:jc w:val="center"/>
        </w:trPr>
        <w:tc>
          <w:tcPr>
            <w:tcW w:w="1640" w:type="dxa"/>
            <w:shd w:val="clear" w:color="auto" w:fill="auto"/>
            <w:noWrap/>
            <w:hideMark/>
          </w:tcPr>
          <w:p w14:paraId="6B080316"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RSRP_3</w:t>
            </w:r>
          </w:p>
        </w:tc>
        <w:tc>
          <w:tcPr>
            <w:tcW w:w="2608" w:type="dxa"/>
            <w:shd w:val="clear" w:color="auto" w:fill="auto"/>
            <w:noWrap/>
            <w:hideMark/>
          </w:tcPr>
          <w:p w14:paraId="2D6B496C"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-154</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-RSRP&lt;-153</w:t>
            </w:r>
          </w:p>
        </w:tc>
        <w:tc>
          <w:tcPr>
            <w:tcW w:w="863" w:type="dxa"/>
            <w:shd w:val="clear" w:color="auto" w:fill="auto"/>
            <w:noWrap/>
            <w:hideMark/>
          </w:tcPr>
          <w:p w14:paraId="07EC7367"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216665E7" w14:textId="77777777" w:rsidTr="005B6EBB">
        <w:trPr>
          <w:trHeight w:val="187"/>
          <w:jc w:val="center"/>
        </w:trPr>
        <w:tc>
          <w:tcPr>
            <w:tcW w:w="1640" w:type="dxa"/>
            <w:shd w:val="clear" w:color="auto" w:fill="auto"/>
            <w:noWrap/>
            <w:hideMark/>
          </w:tcPr>
          <w:p w14:paraId="38B5DFB7"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RSRP_4</w:t>
            </w:r>
          </w:p>
        </w:tc>
        <w:tc>
          <w:tcPr>
            <w:tcW w:w="2608" w:type="dxa"/>
            <w:shd w:val="clear" w:color="auto" w:fill="auto"/>
            <w:noWrap/>
            <w:hideMark/>
          </w:tcPr>
          <w:p w14:paraId="345451CA"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-153</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-RSRP&lt;-152</w:t>
            </w:r>
          </w:p>
        </w:tc>
        <w:tc>
          <w:tcPr>
            <w:tcW w:w="863" w:type="dxa"/>
            <w:shd w:val="clear" w:color="auto" w:fill="auto"/>
            <w:noWrap/>
            <w:hideMark/>
          </w:tcPr>
          <w:p w14:paraId="21D271D9"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0763A2B6" w14:textId="77777777" w:rsidTr="005B6EBB">
        <w:trPr>
          <w:trHeight w:val="187"/>
          <w:jc w:val="center"/>
        </w:trPr>
        <w:tc>
          <w:tcPr>
            <w:tcW w:w="1640" w:type="dxa"/>
            <w:shd w:val="clear" w:color="auto" w:fill="auto"/>
            <w:noWrap/>
            <w:hideMark/>
          </w:tcPr>
          <w:p w14:paraId="7060211D"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RSRP_5</w:t>
            </w:r>
          </w:p>
        </w:tc>
        <w:tc>
          <w:tcPr>
            <w:tcW w:w="2608" w:type="dxa"/>
            <w:shd w:val="clear" w:color="auto" w:fill="auto"/>
            <w:noWrap/>
            <w:hideMark/>
          </w:tcPr>
          <w:p w14:paraId="32E33957"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-152</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-RSRP&lt;-151</w:t>
            </w:r>
          </w:p>
        </w:tc>
        <w:tc>
          <w:tcPr>
            <w:tcW w:w="863" w:type="dxa"/>
            <w:shd w:val="clear" w:color="auto" w:fill="auto"/>
            <w:noWrap/>
            <w:hideMark/>
          </w:tcPr>
          <w:p w14:paraId="521B9659"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49287D2A" w14:textId="77777777" w:rsidTr="005B6EBB">
        <w:trPr>
          <w:trHeight w:val="187"/>
          <w:jc w:val="center"/>
        </w:trPr>
        <w:tc>
          <w:tcPr>
            <w:tcW w:w="1640" w:type="dxa"/>
            <w:shd w:val="clear" w:color="auto" w:fill="auto"/>
            <w:noWrap/>
            <w:hideMark/>
          </w:tcPr>
          <w:p w14:paraId="1465D372"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RSRP_6</w:t>
            </w:r>
          </w:p>
        </w:tc>
        <w:tc>
          <w:tcPr>
            <w:tcW w:w="2608" w:type="dxa"/>
            <w:shd w:val="clear" w:color="auto" w:fill="auto"/>
            <w:noWrap/>
            <w:hideMark/>
          </w:tcPr>
          <w:p w14:paraId="216D8027"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-151</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-RSRP&lt;-150</w:t>
            </w:r>
          </w:p>
        </w:tc>
        <w:tc>
          <w:tcPr>
            <w:tcW w:w="863" w:type="dxa"/>
            <w:shd w:val="clear" w:color="auto" w:fill="auto"/>
            <w:noWrap/>
            <w:hideMark/>
          </w:tcPr>
          <w:p w14:paraId="00DA1371"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688C604C" w14:textId="77777777" w:rsidTr="005B6EBB">
        <w:trPr>
          <w:trHeight w:val="187"/>
          <w:jc w:val="center"/>
        </w:trPr>
        <w:tc>
          <w:tcPr>
            <w:tcW w:w="1640" w:type="dxa"/>
            <w:shd w:val="clear" w:color="auto" w:fill="auto"/>
            <w:noWrap/>
            <w:hideMark/>
          </w:tcPr>
          <w:p w14:paraId="3156870E"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RSRP_7</w:t>
            </w:r>
          </w:p>
        </w:tc>
        <w:tc>
          <w:tcPr>
            <w:tcW w:w="2608" w:type="dxa"/>
            <w:shd w:val="clear" w:color="auto" w:fill="auto"/>
            <w:noWrap/>
            <w:hideMark/>
          </w:tcPr>
          <w:p w14:paraId="5F87FE5F"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-150</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-RSRP&lt;-149</w:t>
            </w:r>
          </w:p>
        </w:tc>
        <w:tc>
          <w:tcPr>
            <w:tcW w:w="863" w:type="dxa"/>
            <w:shd w:val="clear" w:color="auto" w:fill="auto"/>
            <w:noWrap/>
            <w:hideMark/>
          </w:tcPr>
          <w:p w14:paraId="7F367DFD"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2C5AF543" w14:textId="77777777" w:rsidTr="005B6EBB">
        <w:trPr>
          <w:trHeight w:val="187"/>
          <w:jc w:val="center"/>
        </w:trPr>
        <w:tc>
          <w:tcPr>
            <w:tcW w:w="1640" w:type="dxa"/>
            <w:shd w:val="clear" w:color="auto" w:fill="auto"/>
            <w:noWrap/>
            <w:hideMark/>
          </w:tcPr>
          <w:p w14:paraId="6C573A85"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RSRP_8</w:t>
            </w:r>
          </w:p>
        </w:tc>
        <w:tc>
          <w:tcPr>
            <w:tcW w:w="2608" w:type="dxa"/>
            <w:shd w:val="clear" w:color="auto" w:fill="auto"/>
            <w:noWrap/>
            <w:hideMark/>
          </w:tcPr>
          <w:p w14:paraId="696CE445"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-149</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-RSRP&lt;-148</w:t>
            </w:r>
          </w:p>
        </w:tc>
        <w:tc>
          <w:tcPr>
            <w:tcW w:w="863" w:type="dxa"/>
            <w:shd w:val="clear" w:color="auto" w:fill="auto"/>
            <w:noWrap/>
            <w:hideMark/>
          </w:tcPr>
          <w:p w14:paraId="117E10E6"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83AB0D2" w14:textId="77777777" w:rsidTr="005B6EBB">
        <w:trPr>
          <w:trHeight w:val="187"/>
          <w:jc w:val="center"/>
        </w:trPr>
        <w:tc>
          <w:tcPr>
            <w:tcW w:w="1640" w:type="dxa"/>
            <w:shd w:val="clear" w:color="auto" w:fill="auto"/>
            <w:noWrap/>
            <w:hideMark/>
          </w:tcPr>
          <w:p w14:paraId="387FDD89"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RSRP_9</w:t>
            </w:r>
          </w:p>
        </w:tc>
        <w:tc>
          <w:tcPr>
            <w:tcW w:w="2608" w:type="dxa"/>
            <w:shd w:val="clear" w:color="auto" w:fill="auto"/>
            <w:noWrap/>
            <w:hideMark/>
          </w:tcPr>
          <w:p w14:paraId="1C62B494"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-148</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-RSRP&lt;-147</w:t>
            </w:r>
          </w:p>
        </w:tc>
        <w:tc>
          <w:tcPr>
            <w:tcW w:w="863" w:type="dxa"/>
            <w:shd w:val="clear" w:color="auto" w:fill="auto"/>
            <w:noWrap/>
            <w:hideMark/>
          </w:tcPr>
          <w:p w14:paraId="11B64326"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00E84607" w14:textId="77777777" w:rsidTr="005B6EBB">
        <w:trPr>
          <w:trHeight w:val="187"/>
          <w:jc w:val="center"/>
        </w:trPr>
        <w:tc>
          <w:tcPr>
            <w:tcW w:w="1640" w:type="dxa"/>
            <w:shd w:val="clear" w:color="auto" w:fill="auto"/>
            <w:noWrap/>
            <w:hideMark/>
          </w:tcPr>
          <w:p w14:paraId="1E9E1B9E"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RSRP_10</w:t>
            </w:r>
          </w:p>
        </w:tc>
        <w:tc>
          <w:tcPr>
            <w:tcW w:w="2608" w:type="dxa"/>
            <w:shd w:val="clear" w:color="auto" w:fill="auto"/>
            <w:noWrap/>
            <w:hideMark/>
          </w:tcPr>
          <w:p w14:paraId="32964022"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-147</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-RSRP&lt;-146</w:t>
            </w:r>
          </w:p>
        </w:tc>
        <w:tc>
          <w:tcPr>
            <w:tcW w:w="863" w:type="dxa"/>
            <w:shd w:val="clear" w:color="auto" w:fill="auto"/>
            <w:noWrap/>
            <w:hideMark/>
          </w:tcPr>
          <w:p w14:paraId="492739FC"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591262DA" w14:textId="77777777" w:rsidTr="005B6EBB">
        <w:trPr>
          <w:trHeight w:val="187"/>
          <w:jc w:val="center"/>
        </w:trPr>
        <w:tc>
          <w:tcPr>
            <w:tcW w:w="1640" w:type="dxa"/>
            <w:shd w:val="clear" w:color="auto" w:fill="auto"/>
            <w:noWrap/>
            <w:hideMark/>
          </w:tcPr>
          <w:p w14:paraId="69D326F9"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RSRP_11</w:t>
            </w:r>
          </w:p>
        </w:tc>
        <w:tc>
          <w:tcPr>
            <w:tcW w:w="2608" w:type="dxa"/>
            <w:shd w:val="clear" w:color="auto" w:fill="auto"/>
            <w:noWrap/>
            <w:hideMark/>
          </w:tcPr>
          <w:p w14:paraId="648B13A5"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-146</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-RSRP&lt;-145</w:t>
            </w:r>
          </w:p>
        </w:tc>
        <w:tc>
          <w:tcPr>
            <w:tcW w:w="863" w:type="dxa"/>
            <w:shd w:val="clear" w:color="auto" w:fill="auto"/>
            <w:noWrap/>
            <w:hideMark/>
          </w:tcPr>
          <w:p w14:paraId="467D898B"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3852FCBB" w14:textId="77777777" w:rsidTr="005B6EBB">
        <w:trPr>
          <w:trHeight w:val="187"/>
          <w:jc w:val="center"/>
        </w:trPr>
        <w:tc>
          <w:tcPr>
            <w:tcW w:w="1640" w:type="dxa"/>
            <w:shd w:val="clear" w:color="auto" w:fill="auto"/>
            <w:noWrap/>
            <w:hideMark/>
          </w:tcPr>
          <w:p w14:paraId="3167185E"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RSRP_12</w:t>
            </w:r>
          </w:p>
        </w:tc>
        <w:tc>
          <w:tcPr>
            <w:tcW w:w="2608" w:type="dxa"/>
            <w:shd w:val="clear" w:color="auto" w:fill="auto"/>
            <w:noWrap/>
            <w:hideMark/>
          </w:tcPr>
          <w:p w14:paraId="5B1E9973"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-145</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-RSRP&lt;-144</w:t>
            </w:r>
          </w:p>
        </w:tc>
        <w:tc>
          <w:tcPr>
            <w:tcW w:w="863" w:type="dxa"/>
            <w:shd w:val="clear" w:color="auto" w:fill="auto"/>
            <w:noWrap/>
            <w:hideMark/>
          </w:tcPr>
          <w:p w14:paraId="3FF1BFAC"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70661FE" w14:textId="77777777" w:rsidTr="005B6EBB">
        <w:trPr>
          <w:trHeight w:val="187"/>
          <w:jc w:val="center"/>
        </w:trPr>
        <w:tc>
          <w:tcPr>
            <w:tcW w:w="1640" w:type="dxa"/>
            <w:shd w:val="clear" w:color="auto" w:fill="auto"/>
            <w:noWrap/>
            <w:hideMark/>
          </w:tcPr>
          <w:p w14:paraId="62B66434"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RSRP_13</w:t>
            </w:r>
          </w:p>
        </w:tc>
        <w:tc>
          <w:tcPr>
            <w:tcW w:w="2608" w:type="dxa"/>
            <w:shd w:val="clear" w:color="auto" w:fill="auto"/>
            <w:noWrap/>
            <w:hideMark/>
          </w:tcPr>
          <w:p w14:paraId="0A2F09AB"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-144</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-RSRP&lt;-143</w:t>
            </w:r>
          </w:p>
        </w:tc>
        <w:tc>
          <w:tcPr>
            <w:tcW w:w="863" w:type="dxa"/>
            <w:shd w:val="clear" w:color="auto" w:fill="auto"/>
            <w:noWrap/>
            <w:hideMark/>
          </w:tcPr>
          <w:p w14:paraId="49929261"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39FCC549" w14:textId="77777777" w:rsidTr="005B6EBB">
        <w:trPr>
          <w:trHeight w:val="187"/>
          <w:jc w:val="center"/>
        </w:trPr>
        <w:tc>
          <w:tcPr>
            <w:tcW w:w="1640" w:type="dxa"/>
            <w:shd w:val="clear" w:color="auto" w:fill="auto"/>
            <w:noWrap/>
            <w:hideMark/>
          </w:tcPr>
          <w:p w14:paraId="6AE9FD13" w14:textId="77777777" w:rsidR="005B6EBB" w:rsidRPr="00885F53" w:rsidRDefault="005B6EBB" w:rsidP="006F2A46">
            <w:pPr>
              <w:keepNext/>
              <w:keepLines/>
              <w:spacing w:after="0"/>
              <w:rPr>
                <w:rFonts w:ascii="Arial" w:hAnsi="Arial"/>
                <w:sz w:val="18"/>
                <w:lang w:eastAsia="ko-KR"/>
              </w:rPr>
            </w:pPr>
            <w:r w:rsidRPr="00641F22">
              <w:rPr>
                <w:rFonts w:ascii="Arial" w:hAnsi="Arial"/>
                <w:sz w:val="18"/>
                <w:lang w:eastAsia="zh-CN"/>
              </w:rPr>
              <w:t>PRS</w:t>
            </w:r>
            <w:r>
              <w:rPr>
                <w:rFonts w:ascii="Arial" w:hAnsi="Arial" w:hint="eastAsia"/>
                <w:sz w:val="18"/>
                <w:lang w:eastAsia="zh-CN"/>
              </w:rPr>
              <w:t>_</w:t>
            </w:r>
            <w:r w:rsidRPr="00885F53">
              <w:rPr>
                <w:rFonts w:ascii="Arial" w:hAnsi="Arial"/>
                <w:sz w:val="18"/>
                <w:lang w:eastAsia="ko-KR"/>
              </w:rPr>
              <w:t>RSRP_14</w:t>
            </w:r>
          </w:p>
        </w:tc>
        <w:tc>
          <w:tcPr>
            <w:tcW w:w="2608" w:type="dxa"/>
            <w:shd w:val="clear" w:color="auto" w:fill="auto"/>
            <w:noWrap/>
            <w:hideMark/>
          </w:tcPr>
          <w:p w14:paraId="2D9EBDC3"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-143</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-RSRP&lt;-142</w:t>
            </w:r>
          </w:p>
        </w:tc>
        <w:tc>
          <w:tcPr>
            <w:tcW w:w="863" w:type="dxa"/>
            <w:shd w:val="clear" w:color="auto" w:fill="auto"/>
            <w:noWrap/>
            <w:hideMark/>
          </w:tcPr>
          <w:p w14:paraId="3DE29F0F"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5FC3A6D4" w14:textId="77777777" w:rsidTr="005B6EBB">
        <w:trPr>
          <w:trHeight w:val="187"/>
          <w:jc w:val="center"/>
        </w:trPr>
        <w:tc>
          <w:tcPr>
            <w:tcW w:w="1640" w:type="dxa"/>
            <w:shd w:val="clear" w:color="auto" w:fill="auto"/>
            <w:noWrap/>
            <w:hideMark/>
          </w:tcPr>
          <w:p w14:paraId="31295C42"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RSRP_15</w:t>
            </w:r>
          </w:p>
        </w:tc>
        <w:tc>
          <w:tcPr>
            <w:tcW w:w="2608" w:type="dxa"/>
            <w:shd w:val="clear" w:color="auto" w:fill="auto"/>
            <w:noWrap/>
            <w:hideMark/>
          </w:tcPr>
          <w:p w14:paraId="1AC5288B"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-142</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-RSRP&lt;-141</w:t>
            </w:r>
          </w:p>
        </w:tc>
        <w:tc>
          <w:tcPr>
            <w:tcW w:w="863" w:type="dxa"/>
            <w:shd w:val="clear" w:color="auto" w:fill="auto"/>
            <w:noWrap/>
            <w:hideMark/>
          </w:tcPr>
          <w:p w14:paraId="18B12ACD"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447EAC6" w14:textId="77777777" w:rsidTr="005B6EBB">
        <w:trPr>
          <w:trHeight w:val="187"/>
          <w:jc w:val="center"/>
        </w:trPr>
        <w:tc>
          <w:tcPr>
            <w:tcW w:w="1640" w:type="dxa"/>
            <w:shd w:val="clear" w:color="auto" w:fill="auto"/>
            <w:noWrap/>
            <w:hideMark/>
          </w:tcPr>
          <w:p w14:paraId="6FE4013C"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RSRP_16</w:t>
            </w:r>
          </w:p>
        </w:tc>
        <w:tc>
          <w:tcPr>
            <w:tcW w:w="2608" w:type="dxa"/>
            <w:shd w:val="clear" w:color="auto" w:fill="auto"/>
            <w:noWrap/>
            <w:hideMark/>
          </w:tcPr>
          <w:p w14:paraId="19103C0E"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-141</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-RSRP&lt;-140</w:t>
            </w:r>
          </w:p>
        </w:tc>
        <w:tc>
          <w:tcPr>
            <w:tcW w:w="863" w:type="dxa"/>
            <w:shd w:val="clear" w:color="auto" w:fill="auto"/>
            <w:noWrap/>
            <w:hideMark/>
          </w:tcPr>
          <w:p w14:paraId="1EDCB63C"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2FAE7145" w14:textId="77777777" w:rsidTr="005B6EBB">
        <w:trPr>
          <w:trHeight w:val="187"/>
          <w:jc w:val="center"/>
        </w:trPr>
        <w:tc>
          <w:tcPr>
            <w:tcW w:w="1640" w:type="dxa"/>
            <w:shd w:val="clear" w:color="auto" w:fill="auto"/>
            <w:noWrap/>
          </w:tcPr>
          <w:p w14:paraId="260672A4"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RSRP_17</w:t>
            </w:r>
          </w:p>
        </w:tc>
        <w:tc>
          <w:tcPr>
            <w:tcW w:w="2608" w:type="dxa"/>
            <w:shd w:val="clear" w:color="auto" w:fill="auto"/>
            <w:noWrap/>
          </w:tcPr>
          <w:p w14:paraId="6068C6B5"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-140</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-RSRP&lt;-139</w:t>
            </w:r>
          </w:p>
        </w:tc>
        <w:tc>
          <w:tcPr>
            <w:tcW w:w="863" w:type="dxa"/>
            <w:shd w:val="clear" w:color="auto" w:fill="auto"/>
            <w:noWrap/>
          </w:tcPr>
          <w:p w14:paraId="2E9BF262"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3C9A9F40" w14:textId="77777777" w:rsidTr="005B6EBB">
        <w:trPr>
          <w:trHeight w:val="187"/>
          <w:jc w:val="center"/>
        </w:trPr>
        <w:tc>
          <w:tcPr>
            <w:tcW w:w="1640" w:type="dxa"/>
            <w:shd w:val="clear" w:color="auto" w:fill="auto"/>
            <w:noWrap/>
          </w:tcPr>
          <w:p w14:paraId="523C2B79"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RSRP_18</w:t>
            </w:r>
          </w:p>
        </w:tc>
        <w:tc>
          <w:tcPr>
            <w:tcW w:w="2608" w:type="dxa"/>
            <w:shd w:val="clear" w:color="auto" w:fill="auto"/>
            <w:noWrap/>
          </w:tcPr>
          <w:p w14:paraId="695C9EC4"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-139</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-RSRP&lt;-138</w:t>
            </w:r>
          </w:p>
        </w:tc>
        <w:tc>
          <w:tcPr>
            <w:tcW w:w="863" w:type="dxa"/>
            <w:shd w:val="clear" w:color="auto" w:fill="auto"/>
            <w:noWrap/>
          </w:tcPr>
          <w:p w14:paraId="2143AEEE"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2AEBAE5B" w14:textId="77777777" w:rsidTr="005B6EBB">
        <w:trPr>
          <w:trHeight w:val="187"/>
          <w:jc w:val="center"/>
        </w:trPr>
        <w:tc>
          <w:tcPr>
            <w:tcW w:w="1640" w:type="dxa"/>
            <w:shd w:val="clear" w:color="auto" w:fill="auto"/>
            <w:noWrap/>
          </w:tcPr>
          <w:p w14:paraId="12DC3C56"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w:t>
            </w:r>
          </w:p>
        </w:tc>
        <w:tc>
          <w:tcPr>
            <w:tcW w:w="2608" w:type="dxa"/>
            <w:shd w:val="clear" w:color="auto" w:fill="auto"/>
            <w:noWrap/>
          </w:tcPr>
          <w:p w14:paraId="260359CE"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w:t>
            </w:r>
          </w:p>
        </w:tc>
        <w:tc>
          <w:tcPr>
            <w:tcW w:w="863" w:type="dxa"/>
            <w:shd w:val="clear" w:color="auto" w:fill="auto"/>
            <w:noWrap/>
          </w:tcPr>
          <w:p w14:paraId="6998EDE7"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w:t>
            </w:r>
          </w:p>
        </w:tc>
      </w:tr>
      <w:tr w:rsidR="005B6EBB" w:rsidRPr="00885F53" w14:paraId="554FD9D5" w14:textId="77777777" w:rsidTr="005B6EBB">
        <w:trPr>
          <w:trHeight w:val="187"/>
          <w:jc w:val="center"/>
        </w:trPr>
        <w:tc>
          <w:tcPr>
            <w:tcW w:w="1640" w:type="dxa"/>
            <w:shd w:val="clear" w:color="auto" w:fill="auto"/>
            <w:noWrap/>
          </w:tcPr>
          <w:p w14:paraId="2E8CA111"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RSRP_111</w:t>
            </w:r>
          </w:p>
        </w:tc>
        <w:tc>
          <w:tcPr>
            <w:tcW w:w="2608" w:type="dxa"/>
            <w:shd w:val="clear" w:color="auto" w:fill="auto"/>
            <w:noWrap/>
          </w:tcPr>
          <w:p w14:paraId="640BD201"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-46</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-RSRP&lt;-45</w:t>
            </w:r>
          </w:p>
        </w:tc>
        <w:tc>
          <w:tcPr>
            <w:tcW w:w="863" w:type="dxa"/>
            <w:shd w:val="clear" w:color="auto" w:fill="auto"/>
            <w:noWrap/>
          </w:tcPr>
          <w:p w14:paraId="34845F7C"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71D10A7" w14:textId="77777777" w:rsidTr="005B6EBB">
        <w:trPr>
          <w:trHeight w:val="187"/>
          <w:jc w:val="center"/>
        </w:trPr>
        <w:tc>
          <w:tcPr>
            <w:tcW w:w="1640" w:type="dxa"/>
            <w:shd w:val="clear" w:color="auto" w:fill="auto"/>
            <w:noWrap/>
          </w:tcPr>
          <w:p w14:paraId="7364ACA6"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RSRP_112</w:t>
            </w:r>
          </w:p>
        </w:tc>
        <w:tc>
          <w:tcPr>
            <w:tcW w:w="2608" w:type="dxa"/>
            <w:shd w:val="clear" w:color="auto" w:fill="auto"/>
            <w:noWrap/>
          </w:tcPr>
          <w:p w14:paraId="78404833"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-45</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-RSRP&lt;-44</w:t>
            </w:r>
          </w:p>
        </w:tc>
        <w:tc>
          <w:tcPr>
            <w:tcW w:w="863" w:type="dxa"/>
            <w:shd w:val="clear" w:color="auto" w:fill="auto"/>
            <w:noWrap/>
          </w:tcPr>
          <w:p w14:paraId="551EBBF2"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8791E74" w14:textId="77777777" w:rsidTr="005B6EBB">
        <w:trPr>
          <w:trHeight w:val="187"/>
          <w:jc w:val="center"/>
        </w:trPr>
        <w:tc>
          <w:tcPr>
            <w:tcW w:w="1640" w:type="dxa"/>
            <w:shd w:val="clear" w:color="auto" w:fill="auto"/>
            <w:noWrap/>
          </w:tcPr>
          <w:p w14:paraId="5114930F"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RSRP_113</w:t>
            </w:r>
          </w:p>
        </w:tc>
        <w:tc>
          <w:tcPr>
            <w:tcW w:w="2608" w:type="dxa"/>
            <w:shd w:val="clear" w:color="auto" w:fill="auto"/>
            <w:noWrap/>
          </w:tcPr>
          <w:p w14:paraId="1D5A8FBA"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-44</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-RSRP&lt;-43</w:t>
            </w:r>
          </w:p>
        </w:tc>
        <w:tc>
          <w:tcPr>
            <w:tcW w:w="863" w:type="dxa"/>
            <w:shd w:val="clear" w:color="auto" w:fill="auto"/>
            <w:noWrap/>
          </w:tcPr>
          <w:p w14:paraId="36488DEA"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3B0D2F3D" w14:textId="77777777" w:rsidTr="005B6EBB">
        <w:trPr>
          <w:trHeight w:val="187"/>
          <w:jc w:val="center"/>
        </w:trPr>
        <w:tc>
          <w:tcPr>
            <w:tcW w:w="1640" w:type="dxa"/>
            <w:shd w:val="clear" w:color="auto" w:fill="auto"/>
            <w:noWrap/>
          </w:tcPr>
          <w:p w14:paraId="799216D0"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RSRP_114</w:t>
            </w:r>
          </w:p>
        </w:tc>
        <w:tc>
          <w:tcPr>
            <w:tcW w:w="2608" w:type="dxa"/>
            <w:shd w:val="clear" w:color="auto" w:fill="auto"/>
            <w:noWrap/>
          </w:tcPr>
          <w:p w14:paraId="74821F1F"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-43</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-RSRP&lt;-42</w:t>
            </w:r>
          </w:p>
        </w:tc>
        <w:tc>
          <w:tcPr>
            <w:tcW w:w="863" w:type="dxa"/>
            <w:shd w:val="clear" w:color="auto" w:fill="auto"/>
            <w:noWrap/>
          </w:tcPr>
          <w:p w14:paraId="3EF0E851"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3AD0E0BB" w14:textId="77777777" w:rsidTr="005B6EBB">
        <w:trPr>
          <w:trHeight w:val="187"/>
          <w:jc w:val="center"/>
        </w:trPr>
        <w:tc>
          <w:tcPr>
            <w:tcW w:w="1640" w:type="dxa"/>
            <w:shd w:val="clear" w:color="auto" w:fill="auto"/>
            <w:noWrap/>
          </w:tcPr>
          <w:p w14:paraId="03D9F967"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RSRP_115</w:t>
            </w:r>
          </w:p>
        </w:tc>
        <w:tc>
          <w:tcPr>
            <w:tcW w:w="2608" w:type="dxa"/>
            <w:shd w:val="clear" w:color="auto" w:fill="auto"/>
            <w:noWrap/>
          </w:tcPr>
          <w:p w14:paraId="5C418768"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-42</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-RSRP&lt;-41</w:t>
            </w:r>
          </w:p>
        </w:tc>
        <w:tc>
          <w:tcPr>
            <w:tcW w:w="863" w:type="dxa"/>
            <w:shd w:val="clear" w:color="auto" w:fill="auto"/>
            <w:noWrap/>
          </w:tcPr>
          <w:p w14:paraId="58F49A50"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9CBAB80" w14:textId="77777777" w:rsidTr="005B6EBB">
        <w:trPr>
          <w:trHeight w:val="187"/>
          <w:jc w:val="center"/>
        </w:trPr>
        <w:tc>
          <w:tcPr>
            <w:tcW w:w="1640" w:type="dxa"/>
            <w:shd w:val="clear" w:color="auto" w:fill="auto"/>
            <w:noWrap/>
          </w:tcPr>
          <w:p w14:paraId="7A4A2E76"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RSRP_116</w:t>
            </w:r>
          </w:p>
        </w:tc>
        <w:tc>
          <w:tcPr>
            <w:tcW w:w="2608" w:type="dxa"/>
            <w:shd w:val="clear" w:color="auto" w:fill="auto"/>
            <w:noWrap/>
          </w:tcPr>
          <w:p w14:paraId="0AE55E7B"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-41</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-RSRP&lt;-40</w:t>
            </w:r>
          </w:p>
        </w:tc>
        <w:tc>
          <w:tcPr>
            <w:tcW w:w="863" w:type="dxa"/>
            <w:shd w:val="clear" w:color="auto" w:fill="auto"/>
            <w:noWrap/>
          </w:tcPr>
          <w:p w14:paraId="1C6640AB"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71F6BC51" w14:textId="77777777" w:rsidTr="005B6EBB">
        <w:trPr>
          <w:trHeight w:val="187"/>
          <w:jc w:val="center"/>
        </w:trPr>
        <w:tc>
          <w:tcPr>
            <w:tcW w:w="1640" w:type="dxa"/>
            <w:shd w:val="clear" w:color="auto" w:fill="auto"/>
            <w:noWrap/>
          </w:tcPr>
          <w:p w14:paraId="357F1D00"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RSRP_117</w:t>
            </w:r>
          </w:p>
        </w:tc>
        <w:tc>
          <w:tcPr>
            <w:tcW w:w="2608" w:type="dxa"/>
            <w:shd w:val="clear" w:color="auto" w:fill="auto"/>
            <w:noWrap/>
          </w:tcPr>
          <w:p w14:paraId="6888581F"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-40</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-RSRP&lt;-39</w:t>
            </w:r>
          </w:p>
        </w:tc>
        <w:tc>
          <w:tcPr>
            <w:tcW w:w="863" w:type="dxa"/>
            <w:shd w:val="clear" w:color="auto" w:fill="auto"/>
            <w:noWrap/>
          </w:tcPr>
          <w:p w14:paraId="51A99645"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0CD5730C" w14:textId="77777777" w:rsidTr="005B6EBB">
        <w:trPr>
          <w:trHeight w:val="187"/>
          <w:jc w:val="center"/>
        </w:trPr>
        <w:tc>
          <w:tcPr>
            <w:tcW w:w="1640" w:type="dxa"/>
            <w:shd w:val="clear" w:color="auto" w:fill="auto"/>
            <w:noWrap/>
          </w:tcPr>
          <w:p w14:paraId="21A354CE"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RSRP_118</w:t>
            </w:r>
          </w:p>
        </w:tc>
        <w:tc>
          <w:tcPr>
            <w:tcW w:w="2608" w:type="dxa"/>
            <w:shd w:val="clear" w:color="auto" w:fill="auto"/>
            <w:noWrap/>
          </w:tcPr>
          <w:p w14:paraId="11F93389"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-39</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-RSRP&lt;-38</w:t>
            </w:r>
          </w:p>
        </w:tc>
        <w:tc>
          <w:tcPr>
            <w:tcW w:w="863" w:type="dxa"/>
            <w:shd w:val="clear" w:color="auto" w:fill="auto"/>
            <w:noWrap/>
          </w:tcPr>
          <w:p w14:paraId="203ADA4D"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2876D22B" w14:textId="77777777" w:rsidTr="005B6EBB">
        <w:trPr>
          <w:trHeight w:val="187"/>
          <w:jc w:val="center"/>
        </w:trPr>
        <w:tc>
          <w:tcPr>
            <w:tcW w:w="1640" w:type="dxa"/>
            <w:shd w:val="clear" w:color="auto" w:fill="auto"/>
            <w:noWrap/>
          </w:tcPr>
          <w:p w14:paraId="73AB5A3D"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RSRP_119</w:t>
            </w:r>
          </w:p>
        </w:tc>
        <w:tc>
          <w:tcPr>
            <w:tcW w:w="2608" w:type="dxa"/>
            <w:shd w:val="clear" w:color="auto" w:fill="auto"/>
            <w:noWrap/>
          </w:tcPr>
          <w:p w14:paraId="0FB1CFEC"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-38</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-RSRP&lt;-37</w:t>
            </w:r>
          </w:p>
        </w:tc>
        <w:tc>
          <w:tcPr>
            <w:tcW w:w="863" w:type="dxa"/>
            <w:shd w:val="clear" w:color="auto" w:fill="auto"/>
            <w:noWrap/>
          </w:tcPr>
          <w:p w14:paraId="33824AA8"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C20FCC5" w14:textId="77777777" w:rsidTr="005B6EBB">
        <w:trPr>
          <w:trHeight w:val="187"/>
          <w:jc w:val="center"/>
        </w:trPr>
        <w:tc>
          <w:tcPr>
            <w:tcW w:w="1640" w:type="dxa"/>
            <w:shd w:val="clear" w:color="auto" w:fill="auto"/>
            <w:noWrap/>
          </w:tcPr>
          <w:p w14:paraId="71698BDE"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RSRP_120</w:t>
            </w:r>
          </w:p>
        </w:tc>
        <w:tc>
          <w:tcPr>
            <w:tcW w:w="2608" w:type="dxa"/>
            <w:shd w:val="clear" w:color="auto" w:fill="auto"/>
            <w:noWrap/>
          </w:tcPr>
          <w:p w14:paraId="7927B217"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-37</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-RSRP&lt;-36</w:t>
            </w:r>
          </w:p>
        </w:tc>
        <w:tc>
          <w:tcPr>
            <w:tcW w:w="863" w:type="dxa"/>
            <w:shd w:val="clear" w:color="auto" w:fill="auto"/>
            <w:noWrap/>
          </w:tcPr>
          <w:p w14:paraId="02E812AC"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2BC0BD8C" w14:textId="77777777" w:rsidTr="005B6EBB">
        <w:trPr>
          <w:trHeight w:val="187"/>
          <w:jc w:val="center"/>
        </w:trPr>
        <w:tc>
          <w:tcPr>
            <w:tcW w:w="1640" w:type="dxa"/>
            <w:shd w:val="clear" w:color="auto" w:fill="auto"/>
            <w:noWrap/>
          </w:tcPr>
          <w:p w14:paraId="388DD275"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RSRP_121</w:t>
            </w:r>
          </w:p>
        </w:tc>
        <w:tc>
          <w:tcPr>
            <w:tcW w:w="2608" w:type="dxa"/>
            <w:shd w:val="clear" w:color="auto" w:fill="auto"/>
            <w:noWrap/>
          </w:tcPr>
          <w:p w14:paraId="33CFA886"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-36</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-RSRP&lt;-35</w:t>
            </w:r>
          </w:p>
        </w:tc>
        <w:tc>
          <w:tcPr>
            <w:tcW w:w="863" w:type="dxa"/>
            <w:shd w:val="clear" w:color="auto" w:fill="auto"/>
            <w:noWrap/>
          </w:tcPr>
          <w:p w14:paraId="4080E43D"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1BB814F7" w14:textId="77777777" w:rsidTr="005B6EBB">
        <w:trPr>
          <w:trHeight w:val="187"/>
          <w:jc w:val="center"/>
        </w:trPr>
        <w:tc>
          <w:tcPr>
            <w:tcW w:w="1640" w:type="dxa"/>
            <w:shd w:val="clear" w:color="auto" w:fill="auto"/>
            <w:noWrap/>
          </w:tcPr>
          <w:p w14:paraId="1C345EFB"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RSRP_122</w:t>
            </w:r>
          </w:p>
        </w:tc>
        <w:tc>
          <w:tcPr>
            <w:tcW w:w="2608" w:type="dxa"/>
            <w:shd w:val="clear" w:color="auto" w:fill="auto"/>
            <w:noWrap/>
          </w:tcPr>
          <w:p w14:paraId="202C82BA"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-35</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-RSRP&lt;-34</w:t>
            </w:r>
          </w:p>
        </w:tc>
        <w:tc>
          <w:tcPr>
            <w:tcW w:w="863" w:type="dxa"/>
            <w:shd w:val="clear" w:color="auto" w:fill="auto"/>
            <w:noWrap/>
          </w:tcPr>
          <w:p w14:paraId="669FCE3E"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2A6DD555" w14:textId="77777777" w:rsidTr="005B6EBB">
        <w:trPr>
          <w:trHeight w:val="187"/>
          <w:jc w:val="center"/>
        </w:trPr>
        <w:tc>
          <w:tcPr>
            <w:tcW w:w="1640" w:type="dxa"/>
            <w:shd w:val="clear" w:color="auto" w:fill="auto"/>
            <w:noWrap/>
          </w:tcPr>
          <w:p w14:paraId="0009058D"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RSRP_123</w:t>
            </w:r>
          </w:p>
        </w:tc>
        <w:tc>
          <w:tcPr>
            <w:tcW w:w="2608" w:type="dxa"/>
            <w:shd w:val="clear" w:color="auto" w:fill="auto"/>
            <w:noWrap/>
          </w:tcPr>
          <w:p w14:paraId="7526A013"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-34</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-RSRP&lt;-33</w:t>
            </w:r>
          </w:p>
        </w:tc>
        <w:tc>
          <w:tcPr>
            <w:tcW w:w="863" w:type="dxa"/>
            <w:shd w:val="clear" w:color="auto" w:fill="auto"/>
            <w:noWrap/>
          </w:tcPr>
          <w:p w14:paraId="65D7FF66"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6B1F4FAA" w14:textId="77777777" w:rsidTr="005B6EBB">
        <w:trPr>
          <w:trHeight w:val="187"/>
          <w:jc w:val="center"/>
        </w:trPr>
        <w:tc>
          <w:tcPr>
            <w:tcW w:w="1640" w:type="dxa"/>
            <w:shd w:val="clear" w:color="auto" w:fill="auto"/>
            <w:noWrap/>
          </w:tcPr>
          <w:p w14:paraId="529DD939"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RSRP_124</w:t>
            </w:r>
          </w:p>
        </w:tc>
        <w:tc>
          <w:tcPr>
            <w:tcW w:w="2608" w:type="dxa"/>
            <w:shd w:val="clear" w:color="auto" w:fill="auto"/>
            <w:noWrap/>
          </w:tcPr>
          <w:p w14:paraId="0CA33428"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-33</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-RSRP&lt;-32</w:t>
            </w:r>
          </w:p>
        </w:tc>
        <w:tc>
          <w:tcPr>
            <w:tcW w:w="863" w:type="dxa"/>
            <w:shd w:val="clear" w:color="auto" w:fill="auto"/>
            <w:noWrap/>
          </w:tcPr>
          <w:p w14:paraId="6C148AD7"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4FFE15E4" w14:textId="77777777" w:rsidTr="005B6EBB">
        <w:trPr>
          <w:trHeight w:val="187"/>
          <w:jc w:val="center"/>
        </w:trPr>
        <w:tc>
          <w:tcPr>
            <w:tcW w:w="1640" w:type="dxa"/>
            <w:shd w:val="clear" w:color="auto" w:fill="auto"/>
            <w:noWrap/>
            <w:hideMark/>
          </w:tcPr>
          <w:p w14:paraId="2B402CD0"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RSRP_125</w:t>
            </w:r>
          </w:p>
        </w:tc>
        <w:tc>
          <w:tcPr>
            <w:tcW w:w="2608" w:type="dxa"/>
            <w:shd w:val="clear" w:color="auto" w:fill="auto"/>
            <w:noWrap/>
            <w:hideMark/>
          </w:tcPr>
          <w:p w14:paraId="5803EB5F"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-32</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-RSRP&lt;-31</w:t>
            </w:r>
          </w:p>
        </w:tc>
        <w:tc>
          <w:tcPr>
            <w:tcW w:w="863" w:type="dxa"/>
            <w:shd w:val="clear" w:color="auto" w:fill="auto"/>
            <w:noWrap/>
            <w:hideMark/>
          </w:tcPr>
          <w:p w14:paraId="2969841D"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r w:rsidR="005B6EBB" w:rsidRPr="00885F53" w14:paraId="7A092DE4" w14:textId="77777777" w:rsidTr="005B6EBB">
        <w:trPr>
          <w:trHeight w:val="187"/>
          <w:jc w:val="center"/>
        </w:trPr>
        <w:tc>
          <w:tcPr>
            <w:tcW w:w="1640" w:type="dxa"/>
            <w:shd w:val="clear" w:color="auto" w:fill="auto"/>
            <w:noWrap/>
            <w:hideMark/>
          </w:tcPr>
          <w:p w14:paraId="619A9EFF" w14:textId="77777777" w:rsidR="005B6EBB" w:rsidRPr="00885F53" w:rsidRDefault="005B6EBB" w:rsidP="006F2A46">
            <w:pPr>
              <w:keepNext/>
              <w:keepLines/>
              <w:spacing w:after="0"/>
              <w:rPr>
                <w:rFonts w:ascii="Arial" w:hAnsi="Arial"/>
                <w:sz w:val="18"/>
                <w:lang w:eastAsia="ko-KR"/>
              </w:rPr>
            </w:pPr>
            <w:r>
              <w:rPr>
                <w:rFonts w:ascii="Arial" w:hAnsi="Arial" w:hint="eastAsia"/>
                <w:sz w:val="18"/>
                <w:lang w:eastAsia="zh-CN"/>
              </w:rPr>
              <w:t>PRS_</w:t>
            </w:r>
            <w:r w:rsidRPr="00885F53">
              <w:rPr>
                <w:rFonts w:ascii="Arial" w:hAnsi="Arial"/>
                <w:sz w:val="18"/>
                <w:lang w:eastAsia="ko-KR"/>
              </w:rPr>
              <w:t>RSRP_126</w:t>
            </w:r>
          </w:p>
        </w:tc>
        <w:tc>
          <w:tcPr>
            <w:tcW w:w="2608" w:type="dxa"/>
            <w:shd w:val="clear" w:color="auto" w:fill="auto"/>
            <w:noWrap/>
            <w:hideMark/>
          </w:tcPr>
          <w:p w14:paraId="03D28E4F"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-31</w:t>
            </w:r>
            <w:r w:rsidRPr="00885F53">
              <w:rPr>
                <w:rFonts w:ascii="Arial" w:hAnsi="Arial" w:hint="eastAsia"/>
                <w:sz w:val="18"/>
                <w:lang w:eastAsia="ko-KR"/>
              </w:rPr>
              <w:t>≤</w:t>
            </w:r>
            <w:r w:rsidRPr="00641F22">
              <w:rPr>
                <w:rFonts w:ascii="Arial" w:hAnsi="Arial"/>
                <w:sz w:val="18"/>
                <w:lang w:eastAsia="zh-CN"/>
              </w:rPr>
              <w:t>PRS</w:t>
            </w:r>
            <w:r w:rsidRPr="00885F53">
              <w:rPr>
                <w:rFonts w:ascii="Arial" w:hAnsi="Arial"/>
                <w:sz w:val="18"/>
                <w:lang w:eastAsia="ko-KR"/>
              </w:rPr>
              <w:t>-RSRP</w:t>
            </w:r>
          </w:p>
        </w:tc>
        <w:tc>
          <w:tcPr>
            <w:tcW w:w="863" w:type="dxa"/>
            <w:shd w:val="clear" w:color="auto" w:fill="auto"/>
            <w:noWrap/>
            <w:hideMark/>
          </w:tcPr>
          <w:p w14:paraId="3FAA0EDE" w14:textId="77777777" w:rsidR="005B6EBB" w:rsidRPr="00885F53" w:rsidRDefault="005B6EBB" w:rsidP="006F2A46">
            <w:pPr>
              <w:keepNext/>
              <w:keepLines/>
              <w:spacing w:after="0"/>
              <w:rPr>
                <w:rFonts w:ascii="Arial" w:hAnsi="Arial"/>
                <w:sz w:val="18"/>
                <w:lang w:eastAsia="ko-KR"/>
              </w:rPr>
            </w:pPr>
            <w:r w:rsidRPr="00885F53">
              <w:rPr>
                <w:rFonts w:ascii="Arial" w:hAnsi="Arial"/>
                <w:sz w:val="18"/>
                <w:lang w:eastAsia="ko-KR"/>
              </w:rPr>
              <w:t>dBm</w:t>
            </w:r>
          </w:p>
        </w:tc>
      </w:tr>
    </w:tbl>
    <w:p w14:paraId="4D327C76" w14:textId="77777777" w:rsidR="005B6EBB" w:rsidRDefault="005B6EBB" w:rsidP="005B6EBB">
      <w:pPr>
        <w:jc w:val="center"/>
        <w:rPr>
          <w:rFonts w:cs="Arial"/>
          <w:lang w:eastAsia="zh-CN"/>
        </w:rPr>
      </w:pPr>
    </w:p>
    <w:p w14:paraId="24DDA5CB" w14:textId="77777777" w:rsidR="005B6EBB" w:rsidRPr="000E7E0D" w:rsidRDefault="005B6EBB" w:rsidP="005B6EBB">
      <w:pPr>
        <w:pStyle w:val="Heading5"/>
        <w:rPr>
          <w:lang w:eastAsia="zh-CN"/>
        </w:rPr>
      </w:pPr>
      <w:r>
        <w:t>10.1.24.</w:t>
      </w:r>
      <w:r>
        <w:rPr>
          <w:rFonts w:hint="eastAsia"/>
          <w:lang w:eastAsia="zh-CN"/>
        </w:rPr>
        <w:t>3.2</w:t>
      </w:r>
      <w:r>
        <w:tab/>
        <w:t>Differential Repor</w:t>
      </w:r>
      <w:r>
        <w:rPr>
          <w:rFonts w:hint="eastAsia"/>
          <w:lang w:eastAsia="zh-CN"/>
        </w:rPr>
        <w:t xml:space="preserve">t Mapping </w:t>
      </w:r>
      <w:r>
        <w:t>for PRS-RSRP Measurement</w:t>
      </w:r>
    </w:p>
    <w:p w14:paraId="662E17F0" w14:textId="77777777" w:rsidR="005B6EBB" w:rsidRDefault="005B6EBB" w:rsidP="005B6EBB">
      <w:pPr>
        <w:rPr>
          <w:rFonts w:cs="v4.2.0"/>
          <w:lang w:eastAsia="zh-CN"/>
        </w:rPr>
      </w:pPr>
      <w:r w:rsidRPr="00534C6E">
        <w:rPr>
          <w:rFonts w:cs="v4.2.0"/>
        </w:rPr>
        <w:t xml:space="preserve">The reporting range of differential PRS-RSRP is defined from </w:t>
      </w:r>
      <w:r>
        <w:rPr>
          <w:rFonts w:cs="v4.2.0" w:hint="eastAsia"/>
          <w:lang w:eastAsia="zh-CN"/>
        </w:rPr>
        <w:t>-3</w:t>
      </w:r>
      <w:r w:rsidRPr="00534C6E">
        <w:rPr>
          <w:rFonts w:cs="v4.2.0"/>
        </w:rPr>
        <w:t>0 dB to 0 dB with 1 dB resolution</w:t>
      </w:r>
      <w:r>
        <w:rPr>
          <w:rFonts w:cs="v4.2.0" w:hint="eastAsia"/>
          <w:lang w:eastAsia="zh-CN"/>
        </w:rPr>
        <w:t xml:space="preserve"> </w:t>
      </w:r>
      <w:r w:rsidRPr="007033EE">
        <w:rPr>
          <w:rFonts w:cs="v4.2.0"/>
          <w:lang w:eastAsia="zh-CN"/>
        </w:rPr>
        <w:t xml:space="preserve">when </w:t>
      </w:r>
      <w:r w:rsidRPr="005E1C4E">
        <w:rPr>
          <w:i/>
          <w:iCs/>
          <w:snapToGrid w:val="0"/>
        </w:rPr>
        <w:t>nr-DL-AoD-RequestLocationInformation</w:t>
      </w:r>
      <w:r>
        <w:t xml:space="preserve"> message </w:t>
      </w:r>
      <w:r>
        <w:rPr>
          <w:rFonts w:hint="eastAsia"/>
          <w:lang w:eastAsia="zh-CN"/>
        </w:rPr>
        <w:t>is received</w:t>
      </w:r>
      <w:r w:rsidRPr="00534C6E">
        <w:rPr>
          <w:rFonts w:cs="v4.2.0"/>
        </w:rPr>
        <w:t>.</w:t>
      </w:r>
      <w:r>
        <w:rPr>
          <w:rFonts w:cs="v4.2.0" w:hint="eastAsia"/>
          <w:lang w:eastAsia="zh-CN"/>
        </w:rPr>
        <w:t xml:space="preserve"> </w:t>
      </w:r>
    </w:p>
    <w:p w14:paraId="11593F10" w14:textId="77777777" w:rsidR="005B6EBB" w:rsidRDefault="005B6EBB" w:rsidP="005B6EBB">
      <w:pPr>
        <w:rPr>
          <w:rFonts w:cs="v4.2.0"/>
        </w:rPr>
      </w:pPr>
      <w:r w:rsidRPr="00534C6E">
        <w:rPr>
          <w:rFonts w:cs="v4.2.0"/>
        </w:rPr>
        <w:t xml:space="preserve">The mapping of measured quantity is defined in Table </w:t>
      </w:r>
      <w:r w:rsidRPr="00B00B92">
        <w:t>10.1.24.3.</w:t>
      </w:r>
      <w:r>
        <w:rPr>
          <w:rFonts w:hint="eastAsia"/>
          <w:lang w:eastAsia="zh-CN"/>
        </w:rPr>
        <w:t>2</w:t>
      </w:r>
      <w:r w:rsidRPr="00534C6E">
        <w:rPr>
          <w:rFonts w:cs="v4.2.0"/>
        </w:rPr>
        <w:t>-1. The range in the signalling may be larger than the guaranteed accuracy range.</w:t>
      </w:r>
    </w:p>
    <w:p w14:paraId="27D4F95E" w14:textId="77777777" w:rsidR="005B6EBB" w:rsidRDefault="005B6EBB" w:rsidP="005B6EBB">
      <w:pPr>
        <w:rPr>
          <w:rFonts w:cs="v4.2.0"/>
          <w:lang w:eastAsia="zh-CN"/>
        </w:rPr>
      </w:pPr>
      <w:r w:rsidRPr="00534C6E">
        <w:rPr>
          <w:rFonts w:cs="v4.2.0"/>
        </w:rPr>
        <w:t xml:space="preserve">The reporting range of differential PRS-RSRP is defined from </w:t>
      </w:r>
      <w:r>
        <w:rPr>
          <w:rFonts w:cs="v4.2.0" w:hint="eastAsia"/>
          <w:lang w:eastAsia="zh-CN"/>
        </w:rPr>
        <w:t>-30</w:t>
      </w:r>
      <w:r w:rsidRPr="00534C6E">
        <w:rPr>
          <w:rFonts w:cs="v4.2.0"/>
        </w:rPr>
        <w:t xml:space="preserve"> dB t</w:t>
      </w:r>
      <w:r>
        <w:rPr>
          <w:rFonts w:cs="v4.2.0"/>
        </w:rPr>
        <w:t xml:space="preserve">o </w:t>
      </w:r>
      <w:r w:rsidRPr="00534C6E">
        <w:rPr>
          <w:rFonts w:cs="v4.2.0"/>
        </w:rPr>
        <w:t>30 dB with 1 dB resolution</w:t>
      </w:r>
      <w:r>
        <w:rPr>
          <w:rFonts w:cs="v4.2.0" w:hint="eastAsia"/>
          <w:lang w:eastAsia="zh-CN"/>
        </w:rPr>
        <w:t xml:space="preserve"> </w:t>
      </w:r>
      <w:r w:rsidRPr="007033EE">
        <w:rPr>
          <w:rFonts w:cs="v4.2.0"/>
          <w:lang w:eastAsia="zh-CN"/>
        </w:rPr>
        <w:t xml:space="preserve">when </w:t>
      </w:r>
      <w:r w:rsidRPr="007E32B1">
        <w:rPr>
          <w:i/>
          <w:iCs/>
          <w:snapToGrid w:val="0"/>
        </w:rPr>
        <w:t>nr-DL-TDOA-RequestLocationInformation</w:t>
      </w:r>
      <w:r>
        <w:t xml:space="preserve"> or </w:t>
      </w:r>
      <w:r>
        <w:rPr>
          <w:i/>
          <w:iCs/>
          <w:snapToGrid w:val="0"/>
        </w:rPr>
        <w:t>nr-Multi-RTT</w:t>
      </w:r>
      <w:r>
        <w:rPr>
          <w:rFonts w:hint="eastAsia"/>
          <w:i/>
          <w:iCs/>
          <w:snapToGrid w:val="0"/>
          <w:lang w:eastAsia="zh-CN"/>
        </w:rPr>
        <w:t>-</w:t>
      </w:r>
      <w:r w:rsidRPr="005E1C4E">
        <w:rPr>
          <w:i/>
          <w:iCs/>
          <w:snapToGrid w:val="0"/>
        </w:rPr>
        <w:t>RequestLocationInformation</w:t>
      </w:r>
      <w:r>
        <w:rPr>
          <w:rFonts w:hint="eastAsia"/>
          <w:i/>
          <w:iCs/>
          <w:snapToGrid w:val="0"/>
          <w:lang w:eastAsia="zh-CN"/>
        </w:rPr>
        <w:t xml:space="preserve"> </w:t>
      </w:r>
      <w:r w:rsidRPr="00B46739">
        <w:rPr>
          <w:rFonts w:hint="eastAsia"/>
          <w:iCs/>
          <w:snapToGrid w:val="0"/>
          <w:lang w:eastAsia="zh-CN"/>
        </w:rPr>
        <w:t>is received</w:t>
      </w:r>
      <w:r w:rsidRPr="00534C6E">
        <w:rPr>
          <w:rFonts w:cs="v4.2.0"/>
        </w:rPr>
        <w:t>.</w:t>
      </w:r>
      <w:r>
        <w:rPr>
          <w:rFonts w:cs="v4.2.0" w:hint="eastAsia"/>
          <w:lang w:eastAsia="zh-CN"/>
        </w:rPr>
        <w:t xml:space="preserve"> </w:t>
      </w:r>
    </w:p>
    <w:p w14:paraId="306F599A" w14:textId="77777777" w:rsidR="005B6EBB" w:rsidRPr="00285BDC" w:rsidRDefault="005B6EBB" w:rsidP="005B6EBB">
      <w:pPr>
        <w:rPr>
          <w:rFonts w:cs="v4.2.0"/>
          <w:lang w:eastAsia="zh-CN"/>
        </w:rPr>
      </w:pPr>
      <w:r w:rsidRPr="00534C6E">
        <w:rPr>
          <w:rFonts w:cs="v4.2.0"/>
        </w:rPr>
        <w:t xml:space="preserve">The mapping of measured quantity is defined in Table </w:t>
      </w:r>
      <w:r w:rsidRPr="00B00B92">
        <w:t>10.1.24.3.</w:t>
      </w:r>
      <w:r>
        <w:rPr>
          <w:rFonts w:hint="eastAsia"/>
          <w:lang w:eastAsia="zh-CN"/>
        </w:rPr>
        <w:t>2</w:t>
      </w:r>
      <w:r w:rsidRPr="00534C6E">
        <w:rPr>
          <w:rFonts w:cs="v4.2.0"/>
        </w:rPr>
        <w:t>-</w:t>
      </w:r>
      <w:r>
        <w:rPr>
          <w:rFonts w:cs="v4.2.0" w:hint="eastAsia"/>
          <w:lang w:eastAsia="zh-CN"/>
        </w:rPr>
        <w:t>2</w:t>
      </w:r>
      <w:r w:rsidRPr="00534C6E">
        <w:rPr>
          <w:rFonts w:cs="v4.2.0"/>
        </w:rPr>
        <w:t>. The range in the signalling may be larger than the guaranteed accuracy range</w:t>
      </w:r>
      <w:r>
        <w:rPr>
          <w:rFonts w:cs="v4.2.0"/>
        </w:rPr>
        <w:t xml:space="preserve"> or the range </w:t>
      </w:r>
      <w:r w:rsidRPr="00F847BF">
        <w:rPr>
          <w:rFonts w:cs="v4.2.0"/>
        </w:rPr>
        <w:t>supported by the UE receiver for differentail RSRP measured on different PRS resources in frequency domain at the same time</w:t>
      </w:r>
      <w:r w:rsidRPr="00534C6E">
        <w:rPr>
          <w:rFonts w:cs="v4.2.0"/>
        </w:rPr>
        <w:t>.</w:t>
      </w:r>
    </w:p>
    <w:p w14:paraId="3ACD233D" w14:textId="77777777" w:rsidR="005B6EBB" w:rsidRDefault="005B6EBB" w:rsidP="005B6EBB">
      <w:pPr>
        <w:pStyle w:val="TH"/>
        <w:rPr>
          <w:lang w:eastAsia="zh-CN"/>
        </w:rPr>
      </w:pPr>
      <w:r w:rsidRPr="00241959">
        <w:t xml:space="preserve">Table </w:t>
      </w:r>
      <w:r w:rsidRPr="00B00B92">
        <w:t>10.1.24.</w:t>
      </w:r>
      <w:r>
        <w:rPr>
          <w:rFonts w:hint="eastAsia"/>
          <w:lang w:eastAsia="zh-CN"/>
        </w:rPr>
        <w:t>3</w:t>
      </w:r>
      <w:r w:rsidRPr="00B00B92">
        <w:t>.</w:t>
      </w:r>
      <w:r>
        <w:rPr>
          <w:rFonts w:hint="eastAsia"/>
          <w:lang w:eastAsia="zh-CN"/>
        </w:rPr>
        <w:t>2</w:t>
      </w:r>
      <w:r>
        <w:rPr>
          <w:rFonts w:cs="v4.2.0"/>
        </w:rPr>
        <w:t>-</w:t>
      </w:r>
      <w:r>
        <w:rPr>
          <w:rFonts w:cs="v4.2.0" w:hint="eastAsia"/>
          <w:lang w:eastAsia="zh-CN"/>
        </w:rPr>
        <w:t>1</w:t>
      </w:r>
      <w:r w:rsidRPr="00241959">
        <w:t xml:space="preserve">: </w:t>
      </w:r>
      <w:r>
        <w:t>Measurement</w:t>
      </w:r>
      <w:r w:rsidRPr="00241959">
        <w:t xml:space="preserve"> report mapping</w:t>
      </w:r>
      <w:r>
        <w:t xml:space="preserve"> for differential PRS-RSRP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3204"/>
        <w:gridCol w:w="713"/>
      </w:tblGrid>
      <w:tr w:rsidR="005B6EBB" w:rsidRPr="006D371E" w14:paraId="66E48585" w14:textId="77777777" w:rsidTr="005B6EBB">
        <w:trPr>
          <w:trHeight w:val="187"/>
          <w:jc w:val="center"/>
        </w:trPr>
        <w:tc>
          <w:tcPr>
            <w:tcW w:w="1817" w:type="dxa"/>
            <w:shd w:val="clear" w:color="auto" w:fill="auto"/>
            <w:noWrap/>
            <w:hideMark/>
          </w:tcPr>
          <w:p w14:paraId="6ACDC123" w14:textId="77777777" w:rsidR="005B6EBB" w:rsidRPr="006D371E" w:rsidRDefault="005B6EBB" w:rsidP="005B6EBB">
            <w:pPr>
              <w:pStyle w:val="TAH"/>
              <w:rPr>
                <w:lang w:eastAsia="zh-CN"/>
              </w:rPr>
            </w:pPr>
            <w:r w:rsidRPr="006D371E">
              <w:rPr>
                <w:lang w:eastAsia="zh-CN"/>
              </w:rPr>
              <w:t>Reported value</w:t>
            </w:r>
          </w:p>
        </w:tc>
        <w:tc>
          <w:tcPr>
            <w:tcW w:w="3204" w:type="dxa"/>
          </w:tcPr>
          <w:p w14:paraId="72773DB8" w14:textId="77777777" w:rsidR="005B6EBB" w:rsidRPr="006D371E" w:rsidRDefault="005B6EBB" w:rsidP="005B6EBB">
            <w:pPr>
              <w:pStyle w:val="TAH"/>
              <w:rPr>
                <w:lang w:eastAsia="zh-CN"/>
              </w:rPr>
            </w:pPr>
            <w:r w:rsidRPr="006D371E">
              <w:rPr>
                <w:lang w:eastAsia="zh-CN"/>
              </w:rPr>
              <w:t>Measured quantity value</w:t>
            </w:r>
          </w:p>
        </w:tc>
        <w:tc>
          <w:tcPr>
            <w:tcW w:w="713" w:type="dxa"/>
            <w:shd w:val="clear" w:color="auto" w:fill="auto"/>
            <w:noWrap/>
            <w:hideMark/>
          </w:tcPr>
          <w:p w14:paraId="6387AC29" w14:textId="77777777" w:rsidR="005B6EBB" w:rsidRPr="006D371E" w:rsidRDefault="005B6EBB" w:rsidP="005B6EBB">
            <w:pPr>
              <w:pStyle w:val="TAH"/>
              <w:rPr>
                <w:lang w:eastAsia="zh-CN"/>
              </w:rPr>
            </w:pPr>
            <w:r w:rsidRPr="006D371E">
              <w:rPr>
                <w:lang w:eastAsia="zh-CN"/>
              </w:rPr>
              <w:t>Unit</w:t>
            </w:r>
          </w:p>
        </w:tc>
      </w:tr>
      <w:tr w:rsidR="005B6EBB" w:rsidRPr="006D371E" w14:paraId="1E374B52" w14:textId="77777777" w:rsidTr="005B6EBB">
        <w:trPr>
          <w:trHeight w:val="187"/>
          <w:jc w:val="center"/>
        </w:trPr>
        <w:tc>
          <w:tcPr>
            <w:tcW w:w="1817" w:type="dxa"/>
            <w:shd w:val="clear" w:color="auto" w:fill="auto"/>
            <w:noWrap/>
            <w:hideMark/>
          </w:tcPr>
          <w:p w14:paraId="67E33D58" w14:textId="77777777" w:rsidR="005B6EBB" w:rsidRPr="006D371E" w:rsidRDefault="005B6EBB" w:rsidP="005B6EBB">
            <w:pPr>
              <w:pStyle w:val="TAL"/>
              <w:rPr>
                <w:lang w:eastAsia="zh-CN"/>
              </w:rPr>
            </w:pPr>
            <w:r w:rsidRPr="006D371E">
              <w:rPr>
                <w:lang w:eastAsia="zh-CN"/>
              </w:rPr>
              <w:t>DIFFRSRP_0</w:t>
            </w:r>
          </w:p>
        </w:tc>
        <w:tc>
          <w:tcPr>
            <w:tcW w:w="3204" w:type="dxa"/>
          </w:tcPr>
          <w:p w14:paraId="13B546BE" w14:textId="77777777" w:rsidR="005B6EBB" w:rsidRPr="006D371E" w:rsidRDefault="005B6EBB" w:rsidP="005B6EBB">
            <w:pPr>
              <w:pStyle w:val="TAL"/>
              <w:rPr>
                <w:lang w:eastAsia="zh-CN"/>
              </w:rPr>
            </w:pPr>
            <w:r>
              <w:rPr>
                <w:rFonts w:hint="eastAsia"/>
                <w:lang w:eastAsia="zh-CN"/>
              </w:rPr>
              <w:t>-</w:t>
            </w:r>
            <w:r w:rsidRPr="006D371E">
              <w:rPr>
                <w:lang w:eastAsia="zh-CN"/>
              </w:rPr>
              <w:t>30</w:t>
            </w:r>
            <w:r w:rsidRPr="006D371E">
              <w:rPr>
                <w:rFonts w:hint="eastAsia"/>
                <w:lang w:eastAsia="zh-CN"/>
              </w:rPr>
              <w:t>≥Δ</w:t>
            </w:r>
            <w:r w:rsidRPr="006D371E">
              <w:rPr>
                <w:lang w:eastAsia="zh-CN"/>
              </w:rPr>
              <w:t>RSRP</w:t>
            </w:r>
          </w:p>
        </w:tc>
        <w:tc>
          <w:tcPr>
            <w:tcW w:w="713" w:type="dxa"/>
            <w:shd w:val="clear" w:color="auto" w:fill="auto"/>
            <w:noWrap/>
            <w:hideMark/>
          </w:tcPr>
          <w:p w14:paraId="2C679E79" w14:textId="77777777" w:rsidR="005B6EBB" w:rsidRPr="006D371E" w:rsidRDefault="005B6EBB" w:rsidP="005B6EBB">
            <w:pPr>
              <w:pStyle w:val="TAL"/>
              <w:rPr>
                <w:lang w:eastAsia="zh-CN"/>
              </w:rPr>
            </w:pPr>
            <w:r w:rsidRPr="006D371E">
              <w:rPr>
                <w:lang w:eastAsia="zh-CN"/>
              </w:rPr>
              <w:t>dB</w:t>
            </w:r>
          </w:p>
        </w:tc>
      </w:tr>
      <w:tr w:rsidR="005B6EBB" w:rsidRPr="006D371E" w14:paraId="0EE7D78D" w14:textId="77777777" w:rsidTr="005B6EBB">
        <w:trPr>
          <w:trHeight w:val="187"/>
          <w:jc w:val="center"/>
        </w:trPr>
        <w:tc>
          <w:tcPr>
            <w:tcW w:w="1817" w:type="dxa"/>
            <w:shd w:val="clear" w:color="auto" w:fill="auto"/>
            <w:noWrap/>
          </w:tcPr>
          <w:p w14:paraId="4A514794" w14:textId="77777777" w:rsidR="005B6EBB" w:rsidRPr="006D371E" w:rsidRDefault="005B6EBB" w:rsidP="005B6EBB">
            <w:pPr>
              <w:pStyle w:val="TAL"/>
              <w:rPr>
                <w:lang w:eastAsia="zh-CN"/>
              </w:rPr>
            </w:pPr>
            <w:r w:rsidRPr="006D371E">
              <w:rPr>
                <w:lang w:eastAsia="zh-CN"/>
              </w:rPr>
              <w:t>DIFFRSRP_1</w:t>
            </w:r>
          </w:p>
        </w:tc>
        <w:tc>
          <w:tcPr>
            <w:tcW w:w="3204" w:type="dxa"/>
          </w:tcPr>
          <w:p w14:paraId="2B33DAD9" w14:textId="77777777" w:rsidR="005B6EBB" w:rsidRPr="006D371E" w:rsidRDefault="005B6EBB" w:rsidP="005B6EBB">
            <w:pPr>
              <w:pStyle w:val="TAL"/>
              <w:rPr>
                <w:lang w:eastAsia="zh-CN"/>
              </w:rPr>
            </w:pPr>
            <w:r w:rsidRPr="006D371E">
              <w:rPr>
                <w:lang w:eastAsia="zh-CN"/>
              </w:rPr>
              <w:t>-</w:t>
            </w:r>
            <w:r>
              <w:rPr>
                <w:lang w:eastAsia="zh-CN"/>
              </w:rPr>
              <w:t>29</w:t>
            </w:r>
            <w:r w:rsidRPr="006D371E">
              <w:rPr>
                <w:rFonts w:hint="eastAsia"/>
                <w:lang w:eastAsia="zh-CN"/>
              </w:rPr>
              <w:t>≥Δ</w:t>
            </w:r>
            <w:r w:rsidRPr="006D371E">
              <w:rPr>
                <w:lang w:eastAsia="zh-CN"/>
              </w:rPr>
              <w:t>RSRP&gt;-</w:t>
            </w:r>
            <w:r>
              <w:rPr>
                <w:lang w:eastAsia="zh-CN"/>
              </w:rPr>
              <w:t>30</w:t>
            </w:r>
          </w:p>
        </w:tc>
        <w:tc>
          <w:tcPr>
            <w:tcW w:w="713" w:type="dxa"/>
            <w:shd w:val="clear" w:color="auto" w:fill="auto"/>
            <w:noWrap/>
          </w:tcPr>
          <w:p w14:paraId="7F5F87C0" w14:textId="77777777" w:rsidR="005B6EBB" w:rsidRPr="006D371E" w:rsidRDefault="005B6EBB" w:rsidP="005B6EBB">
            <w:pPr>
              <w:pStyle w:val="TAL"/>
              <w:rPr>
                <w:lang w:eastAsia="zh-CN"/>
              </w:rPr>
            </w:pPr>
            <w:r w:rsidRPr="006D371E">
              <w:rPr>
                <w:lang w:eastAsia="zh-CN"/>
              </w:rPr>
              <w:t>dB</w:t>
            </w:r>
          </w:p>
        </w:tc>
      </w:tr>
      <w:tr w:rsidR="005B6EBB" w:rsidRPr="006D371E" w14:paraId="53C42A51" w14:textId="77777777" w:rsidTr="005B6EBB">
        <w:trPr>
          <w:trHeight w:val="187"/>
          <w:jc w:val="center"/>
        </w:trPr>
        <w:tc>
          <w:tcPr>
            <w:tcW w:w="1817" w:type="dxa"/>
            <w:shd w:val="clear" w:color="auto" w:fill="auto"/>
            <w:noWrap/>
          </w:tcPr>
          <w:p w14:paraId="6F44E701" w14:textId="77777777" w:rsidR="005B6EBB" w:rsidRPr="006D371E" w:rsidRDefault="005B6EBB" w:rsidP="005B6EBB">
            <w:pPr>
              <w:pStyle w:val="TAL"/>
              <w:rPr>
                <w:lang w:eastAsia="zh-CN"/>
              </w:rPr>
            </w:pPr>
            <w:r w:rsidRPr="006D371E">
              <w:rPr>
                <w:lang w:eastAsia="zh-CN"/>
              </w:rPr>
              <w:t>DIFFRSRP_2</w:t>
            </w:r>
          </w:p>
        </w:tc>
        <w:tc>
          <w:tcPr>
            <w:tcW w:w="3204" w:type="dxa"/>
          </w:tcPr>
          <w:p w14:paraId="415F06B4" w14:textId="77777777" w:rsidR="005B6EBB" w:rsidRPr="006D371E" w:rsidRDefault="005B6EBB" w:rsidP="005B6EBB">
            <w:pPr>
              <w:pStyle w:val="TAL"/>
              <w:rPr>
                <w:lang w:eastAsia="zh-CN"/>
              </w:rPr>
            </w:pPr>
            <w:r w:rsidRPr="006D371E">
              <w:rPr>
                <w:lang w:eastAsia="zh-CN"/>
              </w:rPr>
              <w:t>-</w:t>
            </w:r>
            <w:r>
              <w:rPr>
                <w:lang w:eastAsia="zh-CN"/>
              </w:rPr>
              <w:t>28</w:t>
            </w:r>
            <w:r w:rsidRPr="006D371E">
              <w:rPr>
                <w:rFonts w:hint="eastAsia"/>
                <w:lang w:eastAsia="zh-CN"/>
              </w:rPr>
              <w:t>≥Δ</w:t>
            </w:r>
            <w:r w:rsidRPr="006D371E">
              <w:rPr>
                <w:lang w:eastAsia="zh-CN"/>
              </w:rPr>
              <w:t>RSRP&gt;-</w:t>
            </w:r>
            <w:r>
              <w:rPr>
                <w:lang w:eastAsia="zh-CN"/>
              </w:rPr>
              <w:t>29</w:t>
            </w:r>
          </w:p>
        </w:tc>
        <w:tc>
          <w:tcPr>
            <w:tcW w:w="713" w:type="dxa"/>
            <w:shd w:val="clear" w:color="auto" w:fill="auto"/>
            <w:noWrap/>
          </w:tcPr>
          <w:p w14:paraId="7590EC3F" w14:textId="77777777" w:rsidR="005B6EBB" w:rsidRPr="006D371E" w:rsidRDefault="005B6EBB" w:rsidP="005B6EBB">
            <w:pPr>
              <w:pStyle w:val="TAL"/>
              <w:rPr>
                <w:lang w:eastAsia="zh-CN"/>
              </w:rPr>
            </w:pPr>
            <w:r w:rsidRPr="006D371E">
              <w:rPr>
                <w:lang w:eastAsia="zh-CN"/>
              </w:rPr>
              <w:t>dB</w:t>
            </w:r>
          </w:p>
        </w:tc>
      </w:tr>
      <w:tr w:rsidR="005B6EBB" w:rsidRPr="006D371E" w14:paraId="595ADF3A" w14:textId="77777777" w:rsidTr="005B6EBB">
        <w:trPr>
          <w:trHeight w:val="187"/>
          <w:jc w:val="center"/>
        </w:trPr>
        <w:tc>
          <w:tcPr>
            <w:tcW w:w="1817" w:type="dxa"/>
            <w:shd w:val="clear" w:color="auto" w:fill="auto"/>
            <w:noWrap/>
          </w:tcPr>
          <w:p w14:paraId="279841F7" w14:textId="77777777" w:rsidR="005B6EBB" w:rsidRPr="006D371E" w:rsidRDefault="005B6EBB" w:rsidP="005B6EBB">
            <w:pPr>
              <w:pStyle w:val="TAL"/>
              <w:rPr>
                <w:lang w:eastAsia="zh-CN"/>
              </w:rPr>
            </w:pPr>
            <w:r w:rsidRPr="006D371E">
              <w:rPr>
                <w:lang w:eastAsia="zh-CN"/>
              </w:rPr>
              <w:t>DIFFRSRP_3</w:t>
            </w:r>
          </w:p>
        </w:tc>
        <w:tc>
          <w:tcPr>
            <w:tcW w:w="3204" w:type="dxa"/>
          </w:tcPr>
          <w:p w14:paraId="172760B9" w14:textId="77777777" w:rsidR="005B6EBB" w:rsidRPr="006D371E" w:rsidRDefault="005B6EBB" w:rsidP="005B6EBB">
            <w:pPr>
              <w:pStyle w:val="TAL"/>
              <w:rPr>
                <w:lang w:eastAsia="zh-CN"/>
              </w:rPr>
            </w:pPr>
            <w:r w:rsidRPr="006D371E">
              <w:rPr>
                <w:lang w:eastAsia="zh-CN"/>
              </w:rPr>
              <w:t>-</w:t>
            </w:r>
            <w:r>
              <w:rPr>
                <w:lang w:eastAsia="zh-CN"/>
              </w:rPr>
              <w:t>27</w:t>
            </w:r>
            <w:r w:rsidRPr="006D371E">
              <w:rPr>
                <w:rFonts w:hint="eastAsia"/>
                <w:lang w:eastAsia="zh-CN"/>
              </w:rPr>
              <w:t>≥Δ</w:t>
            </w:r>
            <w:r w:rsidRPr="006D371E">
              <w:rPr>
                <w:lang w:eastAsia="zh-CN"/>
              </w:rPr>
              <w:t>RSRP&gt;-</w:t>
            </w:r>
            <w:r>
              <w:rPr>
                <w:lang w:eastAsia="zh-CN"/>
              </w:rPr>
              <w:t>28</w:t>
            </w:r>
          </w:p>
        </w:tc>
        <w:tc>
          <w:tcPr>
            <w:tcW w:w="713" w:type="dxa"/>
            <w:shd w:val="clear" w:color="auto" w:fill="auto"/>
            <w:noWrap/>
          </w:tcPr>
          <w:p w14:paraId="5CB65154" w14:textId="77777777" w:rsidR="005B6EBB" w:rsidRPr="006D371E" w:rsidRDefault="005B6EBB" w:rsidP="005B6EBB">
            <w:pPr>
              <w:pStyle w:val="TAL"/>
              <w:rPr>
                <w:lang w:eastAsia="zh-CN"/>
              </w:rPr>
            </w:pPr>
            <w:r w:rsidRPr="006D371E">
              <w:rPr>
                <w:lang w:eastAsia="zh-CN"/>
              </w:rPr>
              <w:t>dB</w:t>
            </w:r>
          </w:p>
        </w:tc>
      </w:tr>
      <w:tr w:rsidR="005B6EBB" w:rsidRPr="006D371E" w14:paraId="2927AB38" w14:textId="77777777" w:rsidTr="005B6EBB">
        <w:trPr>
          <w:trHeight w:val="187"/>
          <w:jc w:val="center"/>
        </w:trPr>
        <w:tc>
          <w:tcPr>
            <w:tcW w:w="1817" w:type="dxa"/>
            <w:shd w:val="clear" w:color="auto" w:fill="auto"/>
            <w:noWrap/>
          </w:tcPr>
          <w:p w14:paraId="0E329A80" w14:textId="77777777" w:rsidR="005B6EBB" w:rsidRPr="006D371E" w:rsidRDefault="005B6EBB" w:rsidP="005B6EBB">
            <w:pPr>
              <w:pStyle w:val="TAL"/>
              <w:rPr>
                <w:lang w:eastAsia="zh-CN"/>
              </w:rPr>
            </w:pPr>
            <w:r w:rsidRPr="006D371E">
              <w:rPr>
                <w:lang w:eastAsia="zh-CN"/>
              </w:rPr>
              <w:t>DIFFRSRP_4</w:t>
            </w:r>
          </w:p>
        </w:tc>
        <w:tc>
          <w:tcPr>
            <w:tcW w:w="3204" w:type="dxa"/>
          </w:tcPr>
          <w:p w14:paraId="465DDF97" w14:textId="77777777" w:rsidR="005B6EBB" w:rsidRPr="006D371E" w:rsidRDefault="005B6EBB" w:rsidP="005B6EBB">
            <w:pPr>
              <w:pStyle w:val="TAL"/>
              <w:rPr>
                <w:lang w:eastAsia="zh-CN"/>
              </w:rPr>
            </w:pPr>
            <w:r w:rsidRPr="006D371E">
              <w:rPr>
                <w:lang w:eastAsia="zh-CN"/>
              </w:rPr>
              <w:t>-</w:t>
            </w:r>
            <w:r>
              <w:rPr>
                <w:lang w:eastAsia="zh-CN"/>
              </w:rPr>
              <w:t>26</w:t>
            </w:r>
            <w:r w:rsidRPr="006D371E">
              <w:rPr>
                <w:rFonts w:hint="eastAsia"/>
                <w:lang w:eastAsia="zh-CN"/>
              </w:rPr>
              <w:t>≥Δ</w:t>
            </w:r>
            <w:r w:rsidRPr="006D371E">
              <w:rPr>
                <w:lang w:eastAsia="zh-CN"/>
              </w:rPr>
              <w:t>RSRP&gt;-</w:t>
            </w:r>
            <w:r>
              <w:rPr>
                <w:lang w:eastAsia="zh-CN"/>
              </w:rPr>
              <w:t>27</w:t>
            </w:r>
          </w:p>
        </w:tc>
        <w:tc>
          <w:tcPr>
            <w:tcW w:w="713" w:type="dxa"/>
            <w:shd w:val="clear" w:color="auto" w:fill="auto"/>
            <w:noWrap/>
          </w:tcPr>
          <w:p w14:paraId="1A577B73" w14:textId="77777777" w:rsidR="005B6EBB" w:rsidRPr="006D371E" w:rsidRDefault="005B6EBB" w:rsidP="005B6EBB">
            <w:pPr>
              <w:pStyle w:val="TAL"/>
              <w:rPr>
                <w:lang w:eastAsia="zh-CN"/>
              </w:rPr>
            </w:pPr>
            <w:r w:rsidRPr="006D371E">
              <w:rPr>
                <w:lang w:eastAsia="zh-CN"/>
              </w:rPr>
              <w:t>dB</w:t>
            </w:r>
          </w:p>
        </w:tc>
      </w:tr>
      <w:tr w:rsidR="005B6EBB" w:rsidRPr="006D371E" w14:paraId="25AFF358" w14:textId="77777777" w:rsidTr="005B6EBB">
        <w:trPr>
          <w:trHeight w:val="187"/>
          <w:jc w:val="center"/>
        </w:trPr>
        <w:tc>
          <w:tcPr>
            <w:tcW w:w="1817" w:type="dxa"/>
            <w:shd w:val="clear" w:color="auto" w:fill="auto"/>
            <w:noWrap/>
          </w:tcPr>
          <w:p w14:paraId="71E03EE9" w14:textId="77777777" w:rsidR="005B6EBB" w:rsidRPr="006D371E" w:rsidRDefault="005B6EBB" w:rsidP="005B6EBB">
            <w:pPr>
              <w:pStyle w:val="TAL"/>
              <w:rPr>
                <w:lang w:eastAsia="zh-CN"/>
              </w:rPr>
            </w:pPr>
            <w:r w:rsidRPr="006D371E">
              <w:rPr>
                <w:lang w:eastAsia="zh-CN"/>
              </w:rPr>
              <w:t>DIFFRSRP_5</w:t>
            </w:r>
          </w:p>
        </w:tc>
        <w:tc>
          <w:tcPr>
            <w:tcW w:w="3204" w:type="dxa"/>
          </w:tcPr>
          <w:p w14:paraId="42DA59FE" w14:textId="77777777" w:rsidR="005B6EBB" w:rsidRPr="006D371E" w:rsidRDefault="005B6EBB" w:rsidP="005B6EBB">
            <w:pPr>
              <w:pStyle w:val="TAL"/>
              <w:rPr>
                <w:lang w:eastAsia="zh-CN"/>
              </w:rPr>
            </w:pPr>
            <w:r w:rsidRPr="006D371E">
              <w:rPr>
                <w:lang w:eastAsia="zh-CN"/>
              </w:rPr>
              <w:t>-</w:t>
            </w:r>
            <w:r>
              <w:rPr>
                <w:lang w:eastAsia="zh-CN"/>
              </w:rPr>
              <w:t>25</w:t>
            </w:r>
            <w:r w:rsidRPr="006D371E">
              <w:rPr>
                <w:rFonts w:hint="eastAsia"/>
                <w:lang w:eastAsia="zh-CN"/>
              </w:rPr>
              <w:t>≥Δ</w:t>
            </w:r>
            <w:r w:rsidRPr="006D371E">
              <w:rPr>
                <w:lang w:eastAsia="zh-CN"/>
              </w:rPr>
              <w:t>RSRP&gt;-</w:t>
            </w:r>
            <w:r>
              <w:rPr>
                <w:lang w:eastAsia="zh-CN"/>
              </w:rPr>
              <w:t>26</w:t>
            </w:r>
          </w:p>
        </w:tc>
        <w:tc>
          <w:tcPr>
            <w:tcW w:w="713" w:type="dxa"/>
            <w:shd w:val="clear" w:color="auto" w:fill="auto"/>
            <w:noWrap/>
          </w:tcPr>
          <w:p w14:paraId="4DBB4E19" w14:textId="77777777" w:rsidR="005B6EBB" w:rsidRPr="006D371E" w:rsidRDefault="005B6EBB" w:rsidP="005B6EBB">
            <w:pPr>
              <w:pStyle w:val="TAL"/>
              <w:rPr>
                <w:lang w:eastAsia="zh-CN"/>
              </w:rPr>
            </w:pPr>
            <w:r w:rsidRPr="006D371E">
              <w:rPr>
                <w:lang w:eastAsia="zh-CN"/>
              </w:rPr>
              <w:t>dB</w:t>
            </w:r>
          </w:p>
        </w:tc>
      </w:tr>
      <w:tr w:rsidR="005B6EBB" w:rsidRPr="006D371E" w14:paraId="28A8F424" w14:textId="77777777" w:rsidTr="005B6EBB">
        <w:trPr>
          <w:trHeight w:val="187"/>
          <w:jc w:val="center"/>
        </w:trPr>
        <w:tc>
          <w:tcPr>
            <w:tcW w:w="1817" w:type="dxa"/>
            <w:shd w:val="clear" w:color="auto" w:fill="auto"/>
            <w:noWrap/>
          </w:tcPr>
          <w:p w14:paraId="6A173DC6" w14:textId="77777777" w:rsidR="005B6EBB" w:rsidRPr="006D371E" w:rsidRDefault="005B6EBB" w:rsidP="005B6EBB">
            <w:pPr>
              <w:pStyle w:val="TAL"/>
              <w:rPr>
                <w:lang w:eastAsia="zh-CN"/>
              </w:rPr>
            </w:pPr>
            <w:r w:rsidRPr="006D371E">
              <w:rPr>
                <w:lang w:eastAsia="zh-CN"/>
              </w:rPr>
              <w:t>DIFFRSRP_6</w:t>
            </w:r>
          </w:p>
        </w:tc>
        <w:tc>
          <w:tcPr>
            <w:tcW w:w="3204" w:type="dxa"/>
          </w:tcPr>
          <w:p w14:paraId="18A9C7B9" w14:textId="77777777" w:rsidR="005B6EBB" w:rsidRPr="006D371E" w:rsidRDefault="005B6EBB" w:rsidP="005B6EBB">
            <w:pPr>
              <w:pStyle w:val="TAL"/>
              <w:rPr>
                <w:lang w:eastAsia="zh-CN"/>
              </w:rPr>
            </w:pPr>
            <w:r w:rsidRPr="006D371E">
              <w:rPr>
                <w:lang w:eastAsia="zh-CN"/>
              </w:rPr>
              <w:t>-</w:t>
            </w:r>
            <w:r>
              <w:rPr>
                <w:lang w:eastAsia="zh-CN"/>
              </w:rPr>
              <w:t>24</w:t>
            </w:r>
            <w:r w:rsidRPr="006D371E">
              <w:rPr>
                <w:rFonts w:hint="eastAsia"/>
                <w:lang w:eastAsia="zh-CN"/>
              </w:rPr>
              <w:t>≥Δ</w:t>
            </w:r>
            <w:r w:rsidRPr="006D371E">
              <w:rPr>
                <w:lang w:eastAsia="zh-CN"/>
              </w:rPr>
              <w:t>RSRP&gt;-</w:t>
            </w:r>
            <w:r>
              <w:rPr>
                <w:lang w:eastAsia="zh-CN"/>
              </w:rPr>
              <w:t>25</w:t>
            </w:r>
          </w:p>
        </w:tc>
        <w:tc>
          <w:tcPr>
            <w:tcW w:w="713" w:type="dxa"/>
            <w:shd w:val="clear" w:color="auto" w:fill="auto"/>
            <w:noWrap/>
          </w:tcPr>
          <w:p w14:paraId="445FC22C" w14:textId="77777777" w:rsidR="005B6EBB" w:rsidRPr="006D371E" w:rsidRDefault="005B6EBB" w:rsidP="005B6EBB">
            <w:pPr>
              <w:pStyle w:val="TAL"/>
              <w:rPr>
                <w:lang w:eastAsia="zh-CN"/>
              </w:rPr>
            </w:pPr>
            <w:r w:rsidRPr="006D371E">
              <w:rPr>
                <w:lang w:eastAsia="zh-CN"/>
              </w:rPr>
              <w:t>dB</w:t>
            </w:r>
          </w:p>
        </w:tc>
      </w:tr>
      <w:tr w:rsidR="005B6EBB" w:rsidRPr="006D371E" w14:paraId="54BC1CEB" w14:textId="77777777" w:rsidTr="005B6EBB">
        <w:trPr>
          <w:trHeight w:val="187"/>
          <w:jc w:val="center"/>
        </w:trPr>
        <w:tc>
          <w:tcPr>
            <w:tcW w:w="1817" w:type="dxa"/>
            <w:shd w:val="clear" w:color="auto" w:fill="auto"/>
            <w:noWrap/>
          </w:tcPr>
          <w:p w14:paraId="74AAE0F7" w14:textId="77777777" w:rsidR="005B6EBB" w:rsidRPr="006D371E" w:rsidRDefault="005B6EBB" w:rsidP="005B6EBB">
            <w:pPr>
              <w:pStyle w:val="TAL"/>
              <w:rPr>
                <w:lang w:eastAsia="zh-CN"/>
              </w:rPr>
            </w:pPr>
            <w:r w:rsidRPr="006D371E">
              <w:rPr>
                <w:lang w:eastAsia="zh-CN"/>
              </w:rPr>
              <w:t>DIFFRSRP_7</w:t>
            </w:r>
          </w:p>
        </w:tc>
        <w:tc>
          <w:tcPr>
            <w:tcW w:w="3204" w:type="dxa"/>
          </w:tcPr>
          <w:p w14:paraId="5A856667" w14:textId="77777777" w:rsidR="005B6EBB" w:rsidRPr="006D371E" w:rsidRDefault="005B6EBB" w:rsidP="005B6EBB">
            <w:pPr>
              <w:pStyle w:val="TAL"/>
              <w:rPr>
                <w:lang w:eastAsia="zh-CN"/>
              </w:rPr>
            </w:pPr>
            <w:r w:rsidRPr="006D371E">
              <w:rPr>
                <w:lang w:eastAsia="zh-CN"/>
              </w:rPr>
              <w:t>-</w:t>
            </w:r>
            <w:r>
              <w:rPr>
                <w:lang w:eastAsia="zh-CN"/>
              </w:rPr>
              <w:t>23</w:t>
            </w:r>
            <w:r w:rsidRPr="006D371E">
              <w:rPr>
                <w:rFonts w:hint="eastAsia"/>
                <w:lang w:eastAsia="zh-CN"/>
              </w:rPr>
              <w:t>≥Δ</w:t>
            </w:r>
            <w:r w:rsidRPr="006D371E">
              <w:rPr>
                <w:lang w:eastAsia="zh-CN"/>
              </w:rPr>
              <w:t>RSRP&gt;-</w:t>
            </w:r>
            <w:r>
              <w:rPr>
                <w:lang w:eastAsia="zh-CN"/>
              </w:rPr>
              <w:t>24</w:t>
            </w:r>
          </w:p>
        </w:tc>
        <w:tc>
          <w:tcPr>
            <w:tcW w:w="713" w:type="dxa"/>
            <w:shd w:val="clear" w:color="auto" w:fill="auto"/>
            <w:noWrap/>
          </w:tcPr>
          <w:p w14:paraId="4AB6753A" w14:textId="77777777" w:rsidR="005B6EBB" w:rsidRPr="006D371E" w:rsidRDefault="005B6EBB" w:rsidP="005B6EBB">
            <w:pPr>
              <w:pStyle w:val="TAL"/>
              <w:rPr>
                <w:lang w:eastAsia="zh-CN"/>
              </w:rPr>
            </w:pPr>
            <w:r w:rsidRPr="006D371E">
              <w:rPr>
                <w:lang w:eastAsia="zh-CN"/>
              </w:rPr>
              <w:t>dB</w:t>
            </w:r>
          </w:p>
        </w:tc>
      </w:tr>
      <w:tr w:rsidR="005B6EBB" w:rsidRPr="006D371E" w14:paraId="20E3BFAF" w14:textId="77777777" w:rsidTr="005B6EBB">
        <w:trPr>
          <w:trHeight w:val="187"/>
          <w:jc w:val="center"/>
        </w:trPr>
        <w:tc>
          <w:tcPr>
            <w:tcW w:w="1817" w:type="dxa"/>
            <w:shd w:val="clear" w:color="auto" w:fill="auto"/>
            <w:noWrap/>
          </w:tcPr>
          <w:p w14:paraId="4FAE3DF5" w14:textId="77777777" w:rsidR="005B6EBB" w:rsidRPr="006D371E" w:rsidRDefault="005B6EBB" w:rsidP="005B6EBB">
            <w:pPr>
              <w:pStyle w:val="TAL"/>
              <w:rPr>
                <w:lang w:eastAsia="zh-CN"/>
              </w:rPr>
            </w:pPr>
            <w:r w:rsidRPr="006D371E">
              <w:rPr>
                <w:lang w:eastAsia="zh-CN"/>
              </w:rPr>
              <w:t>DIFFRSRP_8</w:t>
            </w:r>
          </w:p>
        </w:tc>
        <w:tc>
          <w:tcPr>
            <w:tcW w:w="3204" w:type="dxa"/>
          </w:tcPr>
          <w:p w14:paraId="6A8BD0FE" w14:textId="77777777" w:rsidR="005B6EBB" w:rsidRPr="006D371E" w:rsidRDefault="005B6EBB" w:rsidP="005B6EBB">
            <w:pPr>
              <w:pStyle w:val="TAL"/>
              <w:rPr>
                <w:lang w:eastAsia="zh-CN"/>
              </w:rPr>
            </w:pPr>
            <w:r w:rsidRPr="006D371E">
              <w:rPr>
                <w:lang w:eastAsia="zh-CN"/>
              </w:rPr>
              <w:t>-</w:t>
            </w:r>
            <w:r>
              <w:rPr>
                <w:lang w:eastAsia="zh-CN"/>
              </w:rPr>
              <w:t>22</w:t>
            </w:r>
            <w:r w:rsidRPr="006D371E">
              <w:rPr>
                <w:rFonts w:hint="eastAsia"/>
                <w:lang w:eastAsia="zh-CN"/>
              </w:rPr>
              <w:t>≥Δ</w:t>
            </w:r>
            <w:r w:rsidRPr="006D371E">
              <w:rPr>
                <w:lang w:eastAsia="zh-CN"/>
              </w:rPr>
              <w:t>RSRP&gt;-</w:t>
            </w:r>
            <w:r>
              <w:rPr>
                <w:lang w:eastAsia="zh-CN"/>
              </w:rPr>
              <w:t>23</w:t>
            </w:r>
          </w:p>
        </w:tc>
        <w:tc>
          <w:tcPr>
            <w:tcW w:w="713" w:type="dxa"/>
            <w:shd w:val="clear" w:color="auto" w:fill="auto"/>
            <w:noWrap/>
          </w:tcPr>
          <w:p w14:paraId="10DD9D2F" w14:textId="77777777" w:rsidR="005B6EBB" w:rsidRPr="006D371E" w:rsidRDefault="005B6EBB" w:rsidP="005B6EBB">
            <w:pPr>
              <w:pStyle w:val="TAL"/>
              <w:rPr>
                <w:lang w:eastAsia="zh-CN"/>
              </w:rPr>
            </w:pPr>
            <w:r w:rsidRPr="006D371E">
              <w:rPr>
                <w:lang w:eastAsia="zh-CN"/>
              </w:rPr>
              <w:t>dB</w:t>
            </w:r>
          </w:p>
        </w:tc>
      </w:tr>
      <w:tr w:rsidR="005B6EBB" w:rsidRPr="006D371E" w14:paraId="57BB9E11" w14:textId="77777777" w:rsidTr="005B6EBB">
        <w:trPr>
          <w:trHeight w:val="187"/>
          <w:jc w:val="center"/>
        </w:trPr>
        <w:tc>
          <w:tcPr>
            <w:tcW w:w="1817" w:type="dxa"/>
            <w:shd w:val="clear" w:color="auto" w:fill="auto"/>
            <w:noWrap/>
          </w:tcPr>
          <w:p w14:paraId="5C3D6B79" w14:textId="77777777" w:rsidR="005B6EBB" w:rsidRPr="006D371E" w:rsidRDefault="005B6EBB" w:rsidP="005B6EBB">
            <w:pPr>
              <w:pStyle w:val="TAL"/>
              <w:rPr>
                <w:lang w:eastAsia="zh-CN"/>
              </w:rPr>
            </w:pPr>
            <w:r w:rsidRPr="006D371E">
              <w:rPr>
                <w:lang w:eastAsia="zh-CN"/>
              </w:rPr>
              <w:t>DIFFRSRP_9</w:t>
            </w:r>
          </w:p>
        </w:tc>
        <w:tc>
          <w:tcPr>
            <w:tcW w:w="3204" w:type="dxa"/>
          </w:tcPr>
          <w:p w14:paraId="3B50E510" w14:textId="77777777" w:rsidR="005B6EBB" w:rsidRPr="006D371E" w:rsidRDefault="005B6EBB" w:rsidP="005B6EBB">
            <w:pPr>
              <w:pStyle w:val="TAL"/>
              <w:rPr>
                <w:lang w:eastAsia="zh-CN"/>
              </w:rPr>
            </w:pPr>
            <w:r w:rsidRPr="006D371E">
              <w:rPr>
                <w:lang w:eastAsia="zh-CN"/>
              </w:rPr>
              <w:t>-</w:t>
            </w:r>
            <w:r>
              <w:rPr>
                <w:lang w:eastAsia="zh-CN"/>
              </w:rPr>
              <w:t>21</w:t>
            </w:r>
            <w:r w:rsidRPr="006D371E">
              <w:rPr>
                <w:rFonts w:hint="eastAsia"/>
                <w:lang w:eastAsia="zh-CN"/>
              </w:rPr>
              <w:t>≥Δ</w:t>
            </w:r>
            <w:r w:rsidRPr="006D371E">
              <w:rPr>
                <w:lang w:eastAsia="zh-CN"/>
              </w:rPr>
              <w:t>RSRP&gt;-</w:t>
            </w:r>
            <w:r>
              <w:rPr>
                <w:lang w:eastAsia="zh-CN"/>
              </w:rPr>
              <w:t>22</w:t>
            </w:r>
          </w:p>
        </w:tc>
        <w:tc>
          <w:tcPr>
            <w:tcW w:w="713" w:type="dxa"/>
            <w:shd w:val="clear" w:color="auto" w:fill="auto"/>
            <w:noWrap/>
          </w:tcPr>
          <w:p w14:paraId="29706411" w14:textId="77777777" w:rsidR="005B6EBB" w:rsidRPr="006D371E" w:rsidRDefault="005B6EBB" w:rsidP="005B6EBB">
            <w:pPr>
              <w:pStyle w:val="TAL"/>
              <w:rPr>
                <w:lang w:eastAsia="zh-CN"/>
              </w:rPr>
            </w:pPr>
            <w:r w:rsidRPr="006D371E">
              <w:rPr>
                <w:lang w:eastAsia="zh-CN"/>
              </w:rPr>
              <w:t>dB</w:t>
            </w:r>
          </w:p>
        </w:tc>
      </w:tr>
      <w:tr w:rsidR="005B6EBB" w:rsidRPr="006D371E" w14:paraId="4294FB54" w14:textId="77777777" w:rsidTr="005B6EBB">
        <w:trPr>
          <w:trHeight w:val="187"/>
          <w:jc w:val="center"/>
        </w:trPr>
        <w:tc>
          <w:tcPr>
            <w:tcW w:w="1817" w:type="dxa"/>
            <w:shd w:val="clear" w:color="auto" w:fill="auto"/>
            <w:noWrap/>
          </w:tcPr>
          <w:p w14:paraId="53ABCD5D" w14:textId="77777777" w:rsidR="005B6EBB" w:rsidRPr="006D371E" w:rsidRDefault="005B6EBB" w:rsidP="005B6EBB">
            <w:pPr>
              <w:pStyle w:val="TAL"/>
              <w:rPr>
                <w:lang w:eastAsia="zh-CN"/>
              </w:rPr>
            </w:pPr>
            <w:r w:rsidRPr="006D371E">
              <w:rPr>
                <w:lang w:eastAsia="zh-CN"/>
              </w:rPr>
              <w:t>DIFFRSRP_10</w:t>
            </w:r>
          </w:p>
        </w:tc>
        <w:tc>
          <w:tcPr>
            <w:tcW w:w="3204" w:type="dxa"/>
          </w:tcPr>
          <w:p w14:paraId="00F244CD" w14:textId="77777777" w:rsidR="005B6EBB" w:rsidRPr="006D371E" w:rsidRDefault="005B6EBB" w:rsidP="005B6EBB">
            <w:pPr>
              <w:pStyle w:val="TAL"/>
              <w:rPr>
                <w:lang w:eastAsia="zh-CN"/>
              </w:rPr>
            </w:pPr>
            <w:r w:rsidRPr="006D371E">
              <w:rPr>
                <w:lang w:eastAsia="zh-CN"/>
              </w:rPr>
              <w:t>-</w:t>
            </w:r>
            <w:r>
              <w:rPr>
                <w:lang w:eastAsia="zh-CN"/>
              </w:rPr>
              <w:t>20</w:t>
            </w:r>
            <w:r w:rsidRPr="006D371E">
              <w:rPr>
                <w:rFonts w:hint="eastAsia"/>
                <w:lang w:eastAsia="zh-CN"/>
              </w:rPr>
              <w:t>≥Δ</w:t>
            </w:r>
            <w:r w:rsidRPr="006D371E">
              <w:rPr>
                <w:lang w:eastAsia="zh-CN"/>
              </w:rPr>
              <w:t>RSRP&gt;-</w:t>
            </w:r>
            <w:r>
              <w:rPr>
                <w:lang w:eastAsia="zh-CN"/>
              </w:rPr>
              <w:t>21</w:t>
            </w:r>
          </w:p>
        </w:tc>
        <w:tc>
          <w:tcPr>
            <w:tcW w:w="713" w:type="dxa"/>
            <w:shd w:val="clear" w:color="auto" w:fill="auto"/>
            <w:noWrap/>
          </w:tcPr>
          <w:p w14:paraId="6946220B" w14:textId="77777777" w:rsidR="005B6EBB" w:rsidRPr="006D371E" w:rsidRDefault="005B6EBB" w:rsidP="005B6EBB">
            <w:pPr>
              <w:pStyle w:val="TAL"/>
              <w:rPr>
                <w:lang w:eastAsia="zh-CN"/>
              </w:rPr>
            </w:pPr>
            <w:r w:rsidRPr="006D371E">
              <w:rPr>
                <w:lang w:eastAsia="zh-CN"/>
              </w:rPr>
              <w:t>dB</w:t>
            </w:r>
          </w:p>
        </w:tc>
      </w:tr>
      <w:tr w:rsidR="005B6EBB" w:rsidRPr="006D371E" w14:paraId="20B33D60" w14:textId="77777777" w:rsidTr="005B6EBB">
        <w:trPr>
          <w:trHeight w:val="187"/>
          <w:jc w:val="center"/>
        </w:trPr>
        <w:tc>
          <w:tcPr>
            <w:tcW w:w="1817" w:type="dxa"/>
            <w:shd w:val="clear" w:color="auto" w:fill="auto"/>
            <w:noWrap/>
          </w:tcPr>
          <w:p w14:paraId="687AAA11" w14:textId="77777777" w:rsidR="005B6EBB" w:rsidRPr="006D371E" w:rsidRDefault="005B6EBB" w:rsidP="005B6EBB">
            <w:pPr>
              <w:pStyle w:val="TAL"/>
              <w:rPr>
                <w:lang w:eastAsia="zh-CN"/>
              </w:rPr>
            </w:pPr>
            <w:r w:rsidRPr="006D371E">
              <w:rPr>
                <w:lang w:eastAsia="zh-CN"/>
              </w:rPr>
              <w:t>DIFFRSRP_11</w:t>
            </w:r>
          </w:p>
        </w:tc>
        <w:tc>
          <w:tcPr>
            <w:tcW w:w="3204" w:type="dxa"/>
          </w:tcPr>
          <w:p w14:paraId="44DB453D" w14:textId="77777777" w:rsidR="005B6EBB" w:rsidRPr="006D371E" w:rsidRDefault="005B6EBB" w:rsidP="005B6EBB">
            <w:pPr>
              <w:pStyle w:val="TAL"/>
              <w:rPr>
                <w:lang w:eastAsia="zh-CN"/>
              </w:rPr>
            </w:pPr>
            <w:r w:rsidRPr="006D371E">
              <w:rPr>
                <w:lang w:eastAsia="zh-CN"/>
              </w:rPr>
              <w:t>-</w:t>
            </w:r>
            <w:r>
              <w:rPr>
                <w:lang w:eastAsia="zh-CN"/>
              </w:rPr>
              <w:t>19</w:t>
            </w:r>
            <w:r w:rsidRPr="006D371E">
              <w:rPr>
                <w:rFonts w:hint="eastAsia"/>
                <w:lang w:eastAsia="zh-CN"/>
              </w:rPr>
              <w:t>≥Δ</w:t>
            </w:r>
            <w:r w:rsidRPr="006D371E">
              <w:rPr>
                <w:lang w:eastAsia="zh-CN"/>
              </w:rPr>
              <w:t>RSRP&gt;-</w:t>
            </w:r>
            <w:r>
              <w:rPr>
                <w:lang w:eastAsia="zh-CN"/>
              </w:rPr>
              <w:t>20</w:t>
            </w:r>
          </w:p>
        </w:tc>
        <w:tc>
          <w:tcPr>
            <w:tcW w:w="713" w:type="dxa"/>
            <w:shd w:val="clear" w:color="auto" w:fill="auto"/>
            <w:noWrap/>
          </w:tcPr>
          <w:p w14:paraId="2AFC00B1" w14:textId="77777777" w:rsidR="005B6EBB" w:rsidRPr="006D371E" w:rsidRDefault="005B6EBB" w:rsidP="005B6EBB">
            <w:pPr>
              <w:pStyle w:val="TAL"/>
              <w:rPr>
                <w:lang w:eastAsia="zh-CN"/>
              </w:rPr>
            </w:pPr>
            <w:r w:rsidRPr="006D371E">
              <w:rPr>
                <w:lang w:eastAsia="zh-CN"/>
              </w:rPr>
              <w:t>dB</w:t>
            </w:r>
          </w:p>
        </w:tc>
      </w:tr>
      <w:tr w:rsidR="005B6EBB" w:rsidRPr="006D371E" w14:paraId="716DECDF" w14:textId="77777777" w:rsidTr="005B6EBB">
        <w:trPr>
          <w:trHeight w:val="187"/>
          <w:jc w:val="center"/>
        </w:trPr>
        <w:tc>
          <w:tcPr>
            <w:tcW w:w="1817" w:type="dxa"/>
            <w:shd w:val="clear" w:color="auto" w:fill="auto"/>
            <w:noWrap/>
          </w:tcPr>
          <w:p w14:paraId="174652C3" w14:textId="77777777" w:rsidR="005B6EBB" w:rsidRPr="006D371E" w:rsidRDefault="005B6EBB" w:rsidP="005B6EBB">
            <w:pPr>
              <w:pStyle w:val="TAL"/>
              <w:rPr>
                <w:lang w:eastAsia="zh-CN"/>
              </w:rPr>
            </w:pPr>
            <w:r w:rsidRPr="006D371E">
              <w:rPr>
                <w:lang w:eastAsia="zh-CN"/>
              </w:rPr>
              <w:t>DIFFRSRP_12</w:t>
            </w:r>
          </w:p>
        </w:tc>
        <w:tc>
          <w:tcPr>
            <w:tcW w:w="3204" w:type="dxa"/>
          </w:tcPr>
          <w:p w14:paraId="7FE1AFDE" w14:textId="77777777" w:rsidR="005B6EBB" w:rsidRPr="006D371E" w:rsidRDefault="005B6EBB" w:rsidP="005B6EBB">
            <w:pPr>
              <w:pStyle w:val="TAL"/>
              <w:rPr>
                <w:lang w:eastAsia="zh-CN"/>
              </w:rPr>
            </w:pPr>
            <w:r w:rsidRPr="006D371E">
              <w:rPr>
                <w:lang w:eastAsia="zh-CN"/>
              </w:rPr>
              <w:t>-</w:t>
            </w:r>
            <w:r>
              <w:rPr>
                <w:lang w:eastAsia="zh-CN"/>
              </w:rPr>
              <w:t>18</w:t>
            </w:r>
            <w:r w:rsidRPr="006D371E">
              <w:rPr>
                <w:rFonts w:hint="eastAsia"/>
                <w:lang w:eastAsia="zh-CN"/>
              </w:rPr>
              <w:t>≥Δ</w:t>
            </w:r>
            <w:r w:rsidRPr="006D371E">
              <w:rPr>
                <w:lang w:eastAsia="zh-CN"/>
              </w:rPr>
              <w:t>RSRP&gt;-</w:t>
            </w:r>
            <w:r>
              <w:rPr>
                <w:lang w:eastAsia="zh-CN"/>
              </w:rPr>
              <w:t>19</w:t>
            </w:r>
          </w:p>
        </w:tc>
        <w:tc>
          <w:tcPr>
            <w:tcW w:w="713" w:type="dxa"/>
            <w:shd w:val="clear" w:color="auto" w:fill="auto"/>
            <w:noWrap/>
          </w:tcPr>
          <w:p w14:paraId="1024DE39" w14:textId="77777777" w:rsidR="005B6EBB" w:rsidRPr="006D371E" w:rsidRDefault="005B6EBB" w:rsidP="005B6EBB">
            <w:pPr>
              <w:pStyle w:val="TAL"/>
              <w:rPr>
                <w:lang w:eastAsia="zh-CN"/>
              </w:rPr>
            </w:pPr>
            <w:r w:rsidRPr="006D371E">
              <w:rPr>
                <w:lang w:eastAsia="zh-CN"/>
              </w:rPr>
              <w:t>dB</w:t>
            </w:r>
          </w:p>
        </w:tc>
      </w:tr>
      <w:tr w:rsidR="005B6EBB" w:rsidRPr="006D371E" w14:paraId="54A8ECA7" w14:textId="77777777" w:rsidTr="005B6EBB">
        <w:trPr>
          <w:trHeight w:val="187"/>
          <w:jc w:val="center"/>
        </w:trPr>
        <w:tc>
          <w:tcPr>
            <w:tcW w:w="1817" w:type="dxa"/>
            <w:shd w:val="clear" w:color="auto" w:fill="auto"/>
            <w:noWrap/>
          </w:tcPr>
          <w:p w14:paraId="212521BF" w14:textId="77777777" w:rsidR="005B6EBB" w:rsidRPr="006D371E" w:rsidRDefault="005B6EBB" w:rsidP="005B6EBB">
            <w:pPr>
              <w:pStyle w:val="TAL"/>
              <w:rPr>
                <w:lang w:eastAsia="zh-CN"/>
              </w:rPr>
            </w:pPr>
            <w:r w:rsidRPr="006D371E">
              <w:rPr>
                <w:lang w:eastAsia="zh-CN"/>
              </w:rPr>
              <w:t>DIFFRSRP_13</w:t>
            </w:r>
          </w:p>
        </w:tc>
        <w:tc>
          <w:tcPr>
            <w:tcW w:w="3204" w:type="dxa"/>
          </w:tcPr>
          <w:p w14:paraId="288C643F" w14:textId="77777777" w:rsidR="005B6EBB" w:rsidRPr="006D371E" w:rsidRDefault="005B6EBB" w:rsidP="005B6EBB">
            <w:pPr>
              <w:pStyle w:val="TAL"/>
              <w:rPr>
                <w:lang w:eastAsia="zh-CN"/>
              </w:rPr>
            </w:pPr>
            <w:r w:rsidRPr="006D371E">
              <w:rPr>
                <w:lang w:eastAsia="zh-CN"/>
              </w:rPr>
              <w:t>-</w:t>
            </w:r>
            <w:r>
              <w:rPr>
                <w:lang w:eastAsia="zh-CN"/>
              </w:rPr>
              <w:t>17</w:t>
            </w:r>
            <w:r w:rsidRPr="006D371E">
              <w:rPr>
                <w:rFonts w:hint="eastAsia"/>
                <w:lang w:eastAsia="zh-CN"/>
              </w:rPr>
              <w:t>≥Δ</w:t>
            </w:r>
            <w:r w:rsidRPr="006D371E">
              <w:rPr>
                <w:lang w:eastAsia="zh-CN"/>
              </w:rPr>
              <w:t>RSRP&gt;-</w:t>
            </w:r>
            <w:r>
              <w:rPr>
                <w:lang w:eastAsia="zh-CN"/>
              </w:rPr>
              <w:t>18</w:t>
            </w:r>
          </w:p>
        </w:tc>
        <w:tc>
          <w:tcPr>
            <w:tcW w:w="713" w:type="dxa"/>
            <w:shd w:val="clear" w:color="auto" w:fill="auto"/>
            <w:noWrap/>
          </w:tcPr>
          <w:p w14:paraId="2CEE7FC8" w14:textId="77777777" w:rsidR="005B6EBB" w:rsidRPr="006D371E" w:rsidRDefault="005B6EBB" w:rsidP="005B6EBB">
            <w:pPr>
              <w:pStyle w:val="TAL"/>
              <w:rPr>
                <w:lang w:eastAsia="zh-CN"/>
              </w:rPr>
            </w:pPr>
            <w:r w:rsidRPr="006D371E">
              <w:rPr>
                <w:lang w:eastAsia="zh-CN"/>
              </w:rPr>
              <w:t>dB</w:t>
            </w:r>
          </w:p>
        </w:tc>
      </w:tr>
      <w:tr w:rsidR="005B6EBB" w:rsidRPr="006D371E" w14:paraId="024A6EB7" w14:textId="77777777" w:rsidTr="005B6EBB">
        <w:trPr>
          <w:trHeight w:val="187"/>
          <w:jc w:val="center"/>
        </w:trPr>
        <w:tc>
          <w:tcPr>
            <w:tcW w:w="1817" w:type="dxa"/>
            <w:shd w:val="clear" w:color="auto" w:fill="auto"/>
            <w:noWrap/>
          </w:tcPr>
          <w:p w14:paraId="6F8BAA11" w14:textId="77777777" w:rsidR="005B6EBB" w:rsidRPr="006D371E" w:rsidRDefault="005B6EBB" w:rsidP="005B6EBB">
            <w:pPr>
              <w:pStyle w:val="TAL"/>
              <w:rPr>
                <w:lang w:eastAsia="zh-CN"/>
              </w:rPr>
            </w:pPr>
            <w:r w:rsidRPr="006D371E">
              <w:rPr>
                <w:lang w:eastAsia="zh-CN"/>
              </w:rPr>
              <w:t>DIFFRSRP_14</w:t>
            </w:r>
          </w:p>
        </w:tc>
        <w:tc>
          <w:tcPr>
            <w:tcW w:w="3204" w:type="dxa"/>
          </w:tcPr>
          <w:p w14:paraId="5C08417D" w14:textId="77777777" w:rsidR="005B6EBB" w:rsidRPr="006D371E" w:rsidRDefault="005B6EBB" w:rsidP="005B6EBB">
            <w:pPr>
              <w:pStyle w:val="TAL"/>
              <w:rPr>
                <w:lang w:eastAsia="zh-CN"/>
              </w:rPr>
            </w:pPr>
            <w:r w:rsidRPr="006D371E">
              <w:rPr>
                <w:lang w:eastAsia="zh-CN"/>
              </w:rPr>
              <w:t>-</w:t>
            </w:r>
            <w:r>
              <w:rPr>
                <w:lang w:eastAsia="zh-CN"/>
              </w:rPr>
              <w:t>16</w:t>
            </w:r>
            <w:r w:rsidRPr="006D371E">
              <w:rPr>
                <w:rFonts w:hint="eastAsia"/>
                <w:lang w:eastAsia="zh-CN"/>
              </w:rPr>
              <w:t>≥Δ</w:t>
            </w:r>
            <w:r w:rsidRPr="006D371E">
              <w:rPr>
                <w:lang w:eastAsia="zh-CN"/>
              </w:rPr>
              <w:t>RSRP&gt;-</w:t>
            </w:r>
            <w:r>
              <w:rPr>
                <w:lang w:eastAsia="zh-CN"/>
              </w:rPr>
              <w:t>17</w:t>
            </w:r>
          </w:p>
        </w:tc>
        <w:tc>
          <w:tcPr>
            <w:tcW w:w="713" w:type="dxa"/>
            <w:shd w:val="clear" w:color="auto" w:fill="auto"/>
            <w:noWrap/>
          </w:tcPr>
          <w:p w14:paraId="43C5473B" w14:textId="77777777" w:rsidR="005B6EBB" w:rsidRPr="006D371E" w:rsidRDefault="005B6EBB" w:rsidP="005B6EBB">
            <w:pPr>
              <w:pStyle w:val="TAL"/>
              <w:rPr>
                <w:lang w:eastAsia="zh-CN"/>
              </w:rPr>
            </w:pPr>
            <w:r w:rsidRPr="006D371E">
              <w:rPr>
                <w:lang w:eastAsia="zh-CN"/>
              </w:rPr>
              <w:t>dB</w:t>
            </w:r>
          </w:p>
        </w:tc>
      </w:tr>
      <w:tr w:rsidR="005B6EBB" w:rsidRPr="006D371E" w14:paraId="06A1003B" w14:textId="77777777" w:rsidTr="005B6EBB">
        <w:trPr>
          <w:trHeight w:val="187"/>
          <w:jc w:val="center"/>
        </w:trPr>
        <w:tc>
          <w:tcPr>
            <w:tcW w:w="1817" w:type="dxa"/>
            <w:shd w:val="clear" w:color="auto" w:fill="auto"/>
            <w:noWrap/>
          </w:tcPr>
          <w:p w14:paraId="7C861282" w14:textId="77777777" w:rsidR="005B6EBB" w:rsidRPr="006D371E" w:rsidRDefault="005B6EBB" w:rsidP="005B6EBB">
            <w:pPr>
              <w:pStyle w:val="TAL"/>
              <w:rPr>
                <w:lang w:eastAsia="zh-CN"/>
              </w:rPr>
            </w:pPr>
            <w:r w:rsidRPr="006D371E">
              <w:rPr>
                <w:lang w:eastAsia="zh-CN"/>
              </w:rPr>
              <w:t>DIFFRSRP_1</w:t>
            </w:r>
            <w:r>
              <w:rPr>
                <w:lang w:eastAsia="zh-CN"/>
              </w:rPr>
              <w:t>5</w:t>
            </w:r>
          </w:p>
        </w:tc>
        <w:tc>
          <w:tcPr>
            <w:tcW w:w="3204" w:type="dxa"/>
          </w:tcPr>
          <w:p w14:paraId="3E80EFA1" w14:textId="77777777" w:rsidR="005B6EBB" w:rsidRPr="006D371E" w:rsidRDefault="005B6EBB" w:rsidP="005B6EBB">
            <w:pPr>
              <w:pStyle w:val="TAL"/>
              <w:rPr>
                <w:lang w:eastAsia="zh-CN"/>
              </w:rPr>
            </w:pPr>
            <w:r w:rsidRPr="006D371E">
              <w:rPr>
                <w:lang w:eastAsia="zh-CN"/>
              </w:rPr>
              <w:t>-</w:t>
            </w:r>
            <w:r>
              <w:rPr>
                <w:lang w:eastAsia="zh-CN"/>
              </w:rPr>
              <w:t>15</w:t>
            </w:r>
            <w:r w:rsidRPr="006D371E">
              <w:rPr>
                <w:rFonts w:hint="eastAsia"/>
                <w:lang w:eastAsia="zh-CN"/>
              </w:rPr>
              <w:t>≥Δ</w:t>
            </w:r>
            <w:r w:rsidRPr="006D371E">
              <w:rPr>
                <w:lang w:eastAsia="zh-CN"/>
              </w:rPr>
              <w:t>RSRP&gt;-</w:t>
            </w:r>
            <w:r>
              <w:rPr>
                <w:lang w:eastAsia="zh-CN"/>
              </w:rPr>
              <w:t>16</w:t>
            </w:r>
          </w:p>
        </w:tc>
        <w:tc>
          <w:tcPr>
            <w:tcW w:w="713" w:type="dxa"/>
            <w:shd w:val="clear" w:color="auto" w:fill="auto"/>
            <w:noWrap/>
          </w:tcPr>
          <w:p w14:paraId="7375BB57" w14:textId="77777777" w:rsidR="005B6EBB" w:rsidRPr="006D371E" w:rsidRDefault="005B6EBB" w:rsidP="005B6EBB">
            <w:pPr>
              <w:pStyle w:val="TAL"/>
              <w:rPr>
                <w:lang w:eastAsia="zh-CN"/>
              </w:rPr>
            </w:pPr>
            <w:r w:rsidRPr="006D371E">
              <w:rPr>
                <w:lang w:eastAsia="zh-CN"/>
              </w:rPr>
              <w:t>dB</w:t>
            </w:r>
          </w:p>
        </w:tc>
      </w:tr>
      <w:tr w:rsidR="005B6EBB" w:rsidRPr="006D371E" w14:paraId="4E06A2A1" w14:textId="77777777" w:rsidTr="005B6EBB">
        <w:trPr>
          <w:trHeight w:val="187"/>
          <w:jc w:val="center"/>
        </w:trPr>
        <w:tc>
          <w:tcPr>
            <w:tcW w:w="1817" w:type="dxa"/>
            <w:shd w:val="clear" w:color="auto" w:fill="auto"/>
            <w:noWrap/>
          </w:tcPr>
          <w:p w14:paraId="69928237" w14:textId="77777777" w:rsidR="005B6EBB" w:rsidRPr="006D371E" w:rsidRDefault="005B6EBB" w:rsidP="005B6EBB">
            <w:pPr>
              <w:pStyle w:val="TAL"/>
              <w:rPr>
                <w:lang w:eastAsia="zh-CN"/>
              </w:rPr>
            </w:pPr>
            <w:r w:rsidRPr="006D371E">
              <w:rPr>
                <w:lang w:eastAsia="zh-CN"/>
              </w:rPr>
              <w:t>DIFFRSRP_1</w:t>
            </w:r>
            <w:r>
              <w:rPr>
                <w:lang w:eastAsia="zh-CN"/>
              </w:rPr>
              <w:t>6</w:t>
            </w:r>
          </w:p>
        </w:tc>
        <w:tc>
          <w:tcPr>
            <w:tcW w:w="3204" w:type="dxa"/>
          </w:tcPr>
          <w:p w14:paraId="349A6D52" w14:textId="77777777" w:rsidR="005B6EBB" w:rsidRPr="006D371E" w:rsidRDefault="005B6EBB" w:rsidP="005B6EBB">
            <w:pPr>
              <w:pStyle w:val="TAL"/>
              <w:rPr>
                <w:lang w:eastAsia="zh-CN"/>
              </w:rPr>
            </w:pPr>
            <w:r w:rsidRPr="006D371E">
              <w:rPr>
                <w:lang w:eastAsia="zh-CN"/>
              </w:rPr>
              <w:t>-</w:t>
            </w:r>
            <w:r>
              <w:rPr>
                <w:lang w:eastAsia="zh-CN"/>
              </w:rPr>
              <w:t>14</w:t>
            </w:r>
            <w:r w:rsidRPr="006D371E">
              <w:rPr>
                <w:rFonts w:hint="eastAsia"/>
                <w:lang w:eastAsia="zh-CN"/>
              </w:rPr>
              <w:t>≥Δ</w:t>
            </w:r>
            <w:r w:rsidRPr="006D371E">
              <w:rPr>
                <w:lang w:eastAsia="zh-CN"/>
              </w:rPr>
              <w:t>RSRP&gt;-</w:t>
            </w:r>
            <w:r>
              <w:rPr>
                <w:lang w:eastAsia="zh-CN"/>
              </w:rPr>
              <w:t>15</w:t>
            </w:r>
          </w:p>
        </w:tc>
        <w:tc>
          <w:tcPr>
            <w:tcW w:w="713" w:type="dxa"/>
            <w:shd w:val="clear" w:color="auto" w:fill="auto"/>
            <w:noWrap/>
          </w:tcPr>
          <w:p w14:paraId="2360A780" w14:textId="77777777" w:rsidR="005B6EBB" w:rsidRPr="006D371E" w:rsidRDefault="005B6EBB" w:rsidP="005B6EBB">
            <w:pPr>
              <w:pStyle w:val="TAL"/>
              <w:rPr>
                <w:lang w:eastAsia="zh-CN"/>
              </w:rPr>
            </w:pPr>
            <w:r w:rsidRPr="006D371E">
              <w:rPr>
                <w:lang w:eastAsia="zh-CN"/>
              </w:rPr>
              <w:t>dB</w:t>
            </w:r>
          </w:p>
        </w:tc>
      </w:tr>
      <w:tr w:rsidR="005B6EBB" w:rsidRPr="006D371E" w14:paraId="7E3EDE40" w14:textId="77777777" w:rsidTr="005B6EBB">
        <w:trPr>
          <w:trHeight w:val="187"/>
          <w:jc w:val="center"/>
        </w:trPr>
        <w:tc>
          <w:tcPr>
            <w:tcW w:w="1817" w:type="dxa"/>
            <w:shd w:val="clear" w:color="auto" w:fill="auto"/>
            <w:noWrap/>
          </w:tcPr>
          <w:p w14:paraId="6F99DF1D" w14:textId="77777777" w:rsidR="005B6EBB" w:rsidRPr="006D371E" w:rsidRDefault="005B6EBB" w:rsidP="005B6EBB">
            <w:pPr>
              <w:pStyle w:val="TAL"/>
              <w:rPr>
                <w:lang w:eastAsia="zh-CN"/>
              </w:rPr>
            </w:pPr>
            <w:r w:rsidRPr="006D371E">
              <w:rPr>
                <w:lang w:eastAsia="zh-CN"/>
              </w:rPr>
              <w:t>DIFFRSRP_1</w:t>
            </w:r>
            <w:r>
              <w:rPr>
                <w:lang w:eastAsia="zh-CN"/>
              </w:rPr>
              <w:t>7</w:t>
            </w:r>
          </w:p>
        </w:tc>
        <w:tc>
          <w:tcPr>
            <w:tcW w:w="3204" w:type="dxa"/>
          </w:tcPr>
          <w:p w14:paraId="7D115990" w14:textId="77777777" w:rsidR="005B6EBB" w:rsidRPr="006D371E" w:rsidRDefault="005B6EBB" w:rsidP="005B6EBB">
            <w:pPr>
              <w:pStyle w:val="TAL"/>
              <w:rPr>
                <w:lang w:eastAsia="zh-CN"/>
              </w:rPr>
            </w:pPr>
            <w:r w:rsidRPr="006D371E">
              <w:rPr>
                <w:lang w:eastAsia="zh-CN"/>
              </w:rPr>
              <w:t>-</w:t>
            </w:r>
            <w:r>
              <w:rPr>
                <w:lang w:eastAsia="zh-CN"/>
              </w:rPr>
              <w:t>13</w:t>
            </w:r>
            <w:r w:rsidRPr="006D371E">
              <w:rPr>
                <w:rFonts w:hint="eastAsia"/>
                <w:lang w:eastAsia="zh-CN"/>
              </w:rPr>
              <w:t>≥Δ</w:t>
            </w:r>
            <w:r w:rsidRPr="006D371E">
              <w:rPr>
                <w:lang w:eastAsia="zh-CN"/>
              </w:rPr>
              <w:t>RSRP&gt;-</w:t>
            </w:r>
            <w:r>
              <w:rPr>
                <w:lang w:eastAsia="zh-CN"/>
              </w:rPr>
              <w:t>14</w:t>
            </w:r>
          </w:p>
        </w:tc>
        <w:tc>
          <w:tcPr>
            <w:tcW w:w="713" w:type="dxa"/>
            <w:shd w:val="clear" w:color="auto" w:fill="auto"/>
            <w:noWrap/>
          </w:tcPr>
          <w:p w14:paraId="1DA5D73C" w14:textId="77777777" w:rsidR="005B6EBB" w:rsidRPr="006D371E" w:rsidRDefault="005B6EBB" w:rsidP="005B6EBB">
            <w:pPr>
              <w:pStyle w:val="TAL"/>
              <w:rPr>
                <w:lang w:eastAsia="zh-CN"/>
              </w:rPr>
            </w:pPr>
            <w:r w:rsidRPr="006D371E">
              <w:rPr>
                <w:lang w:eastAsia="zh-CN"/>
              </w:rPr>
              <w:t>dB</w:t>
            </w:r>
          </w:p>
        </w:tc>
      </w:tr>
      <w:tr w:rsidR="005B6EBB" w:rsidRPr="006D371E" w14:paraId="44DFFA56" w14:textId="77777777" w:rsidTr="005B6EBB">
        <w:trPr>
          <w:trHeight w:val="187"/>
          <w:jc w:val="center"/>
        </w:trPr>
        <w:tc>
          <w:tcPr>
            <w:tcW w:w="1817" w:type="dxa"/>
            <w:shd w:val="clear" w:color="auto" w:fill="auto"/>
            <w:noWrap/>
          </w:tcPr>
          <w:p w14:paraId="4CE14C10" w14:textId="77777777" w:rsidR="005B6EBB" w:rsidRPr="006D371E" w:rsidRDefault="005B6EBB" w:rsidP="005B6EBB">
            <w:pPr>
              <w:pStyle w:val="TAL"/>
              <w:rPr>
                <w:lang w:eastAsia="zh-CN"/>
              </w:rPr>
            </w:pPr>
            <w:r w:rsidRPr="006D371E">
              <w:rPr>
                <w:lang w:eastAsia="zh-CN"/>
              </w:rPr>
              <w:t>DIFFRSRP_1</w:t>
            </w:r>
            <w:r>
              <w:rPr>
                <w:lang w:eastAsia="zh-CN"/>
              </w:rPr>
              <w:t>8</w:t>
            </w:r>
          </w:p>
        </w:tc>
        <w:tc>
          <w:tcPr>
            <w:tcW w:w="3204" w:type="dxa"/>
          </w:tcPr>
          <w:p w14:paraId="7A2FE3BE" w14:textId="77777777" w:rsidR="005B6EBB" w:rsidRPr="006D371E" w:rsidRDefault="005B6EBB" w:rsidP="005B6EBB">
            <w:pPr>
              <w:pStyle w:val="TAL"/>
              <w:rPr>
                <w:lang w:eastAsia="zh-CN"/>
              </w:rPr>
            </w:pPr>
            <w:r w:rsidRPr="006D371E">
              <w:rPr>
                <w:lang w:eastAsia="zh-CN"/>
              </w:rPr>
              <w:t>-</w:t>
            </w:r>
            <w:r>
              <w:rPr>
                <w:lang w:eastAsia="zh-CN"/>
              </w:rPr>
              <w:t>12</w:t>
            </w:r>
            <w:r w:rsidRPr="006D371E">
              <w:rPr>
                <w:rFonts w:hint="eastAsia"/>
                <w:lang w:eastAsia="zh-CN"/>
              </w:rPr>
              <w:t>≥Δ</w:t>
            </w:r>
            <w:r w:rsidRPr="006D371E">
              <w:rPr>
                <w:lang w:eastAsia="zh-CN"/>
              </w:rPr>
              <w:t>RSRP&gt;-</w:t>
            </w:r>
            <w:r>
              <w:rPr>
                <w:lang w:eastAsia="zh-CN"/>
              </w:rPr>
              <w:t>13</w:t>
            </w:r>
          </w:p>
        </w:tc>
        <w:tc>
          <w:tcPr>
            <w:tcW w:w="713" w:type="dxa"/>
            <w:shd w:val="clear" w:color="auto" w:fill="auto"/>
            <w:noWrap/>
          </w:tcPr>
          <w:p w14:paraId="1A40D960" w14:textId="77777777" w:rsidR="005B6EBB" w:rsidRPr="006D371E" w:rsidRDefault="005B6EBB" w:rsidP="005B6EBB">
            <w:pPr>
              <w:pStyle w:val="TAL"/>
              <w:rPr>
                <w:lang w:eastAsia="zh-CN"/>
              </w:rPr>
            </w:pPr>
            <w:r w:rsidRPr="006D371E">
              <w:rPr>
                <w:lang w:eastAsia="zh-CN"/>
              </w:rPr>
              <w:t>dB</w:t>
            </w:r>
          </w:p>
        </w:tc>
      </w:tr>
      <w:tr w:rsidR="005B6EBB" w:rsidRPr="006D371E" w14:paraId="28BCEAFA" w14:textId="77777777" w:rsidTr="005B6EBB">
        <w:trPr>
          <w:trHeight w:val="187"/>
          <w:jc w:val="center"/>
        </w:trPr>
        <w:tc>
          <w:tcPr>
            <w:tcW w:w="1817" w:type="dxa"/>
            <w:shd w:val="clear" w:color="auto" w:fill="auto"/>
            <w:noWrap/>
          </w:tcPr>
          <w:p w14:paraId="5F939380" w14:textId="77777777" w:rsidR="005B6EBB" w:rsidRPr="006D371E" w:rsidRDefault="005B6EBB" w:rsidP="005B6EBB">
            <w:pPr>
              <w:pStyle w:val="TAL"/>
              <w:rPr>
                <w:lang w:eastAsia="zh-CN"/>
              </w:rPr>
            </w:pPr>
            <w:r w:rsidRPr="006D371E">
              <w:rPr>
                <w:lang w:eastAsia="zh-CN"/>
              </w:rPr>
              <w:t>DIFFRSRP_1</w:t>
            </w:r>
            <w:r>
              <w:rPr>
                <w:lang w:eastAsia="zh-CN"/>
              </w:rPr>
              <w:t>9</w:t>
            </w:r>
          </w:p>
        </w:tc>
        <w:tc>
          <w:tcPr>
            <w:tcW w:w="3204" w:type="dxa"/>
          </w:tcPr>
          <w:p w14:paraId="3B8E82AC" w14:textId="77777777" w:rsidR="005B6EBB" w:rsidRPr="006D371E" w:rsidRDefault="005B6EBB" w:rsidP="005B6EBB">
            <w:pPr>
              <w:pStyle w:val="TAL"/>
              <w:rPr>
                <w:lang w:eastAsia="zh-CN"/>
              </w:rPr>
            </w:pPr>
            <w:r w:rsidRPr="006D371E">
              <w:rPr>
                <w:lang w:eastAsia="zh-CN"/>
              </w:rPr>
              <w:t>-</w:t>
            </w:r>
            <w:r>
              <w:rPr>
                <w:lang w:eastAsia="zh-CN"/>
              </w:rPr>
              <w:t>11</w:t>
            </w:r>
            <w:r w:rsidRPr="006D371E">
              <w:rPr>
                <w:rFonts w:hint="eastAsia"/>
                <w:lang w:eastAsia="zh-CN"/>
              </w:rPr>
              <w:t>≥Δ</w:t>
            </w:r>
            <w:r w:rsidRPr="006D371E">
              <w:rPr>
                <w:lang w:eastAsia="zh-CN"/>
              </w:rPr>
              <w:t>RSRP&gt;-</w:t>
            </w:r>
            <w:r>
              <w:rPr>
                <w:lang w:eastAsia="zh-CN"/>
              </w:rPr>
              <w:t>12</w:t>
            </w:r>
          </w:p>
        </w:tc>
        <w:tc>
          <w:tcPr>
            <w:tcW w:w="713" w:type="dxa"/>
            <w:shd w:val="clear" w:color="auto" w:fill="auto"/>
            <w:noWrap/>
          </w:tcPr>
          <w:p w14:paraId="6537CCE9" w14:textId="77777777" w:rsidR="005B6EBB" w:rsidRPr="006D371E" w:rsidRDefault="005B6EBB" w:rsidP="005B6EBB">
            <w:pPr>
              <w:pStyle w:val="TAL"/>
              <w:rPr>
                <w:lang w:eastAsia="zh-CN"/>
              </w:rPr>
            </w:pPr>
            <w:r w:rsidRPr="006D371E">
              <w:rPr>
                <w:lang w:eastAsia="zh-CN"/>
              </w:rPr>
              <w:t>dB</w:t>
            </w:r>
          </w:p>
        </w:tc>
      </w:tr>
      <w:tr w:rsidR="005B6EBB" w:rsidRPr="006D371E" w14:paraId="6E521F89" w14:textId="77777777" w:rsidTr="005B6EBB">
        <w:trPr>
          <w:trHeight w:val="187"/>
          <w:jc w:val="center"/>
        </w:trPr>
        <w:tc>
          <w:tcPr>
            <w:tcW w:w="1817" w:type="dxa"/>
            <w:shd w:val="clear" w:color="auto" w:fill="auto"/>
            <w:noWrap/>
          </w:tcPr>
          <w:p w14:paraId="728F349C" w14:textId="77777777" w:rsidR="005B6EBB" w:rsidRPr="006D371E" w:rsidRDefault="005B6EBB" w:rsidP="005B6EBB">
            <w:pPr>
              <w:pStyle w:val="TAL"/>
              <w:rPr>
                <w:lang w:eastAsia="zh-CN"/>
              </w:rPr>
            </w:pPr>
            <w:r w:rsidRPr="006D371E">
              <w:rPr>
                <w:lang w:eastAsia="zh-CN"/>
              </w:rPr>
              <w:t>DIFFRSRP_</w:t>
            </w:r>
            <w:r>
              <w:rPr>
                <w:lang w:eastAsia="zh-CN"/>
              </w:rPr>
              <w:t>20</w:t>
            </w:r>
          </w:p>
        </w:tc>
        <w:tc>
          <w:tcPr>
            <w:tcW w:w="3204" w:type="dxa"/>
          </w:tcPr>
          <w:p w14:paraId="7AE242EC" w14:textId="77777777" w:rsidR="005B6EBB" w:rsidRPr="006D371E" w:rsidRDefault="005B6EBB" w:rsidP="005B6EBB">
            <w:pPr>
              <w:pStyle w:val="TAL"/>
              <w:rPr>
                <w:lang w:eastAsia="zh-CN"/>
              </w:rPr>
            </w:pPr>
            <w:r w:rsidRPr="006D371E">
              <w:rPr>
                <w:lang w:eastAsia="zh-CN"/>
              </w:rPr>
              <w:t>-</w:t>
            </w:r>
            <w:r>
              <w:rPr>
                <w:lang w:eastAsia="zh-CN"/>
              </w:rPr>
              <w:t>1</w:t>
            </w:r>
            <w:r w:rsidRPr="006D371E">
              <w:rPr>
                <w:lang w:eastAsia="zh-CN"/>
              </w:rPr>
              <w:t>0</w:t>
            </w:r>
            <w:r w:rsidRPr="006D371E">
              <w:rPr>
                <w:rFonts w:hint="eastAsia"/>
                <w:lang w:eastAsia="zh-CN"/>
              </w:rPr>
              <w:t>≥Δ</w:t>
            </w:r>
            <w:r w:rsidRPr="006D371E">
              <w:rPr>
                <w:lang w:eastAsia="zh-CN"/>
              </w:rPr>
              <w:t>RSRP&gt;-</w:t>
            </w:r>
            <w:r>
              <w:rPr>
                <w:lang w:eastAsia="zh-CN"/>
              </w:rPr>
              <w:t>11</w:t>
            </w:r>
          </w:p>
        </w:tc>
        <w:tc>
          <w:tcPr>
            <w:tcW w:w="713" w:type="dxa"/>
            <w:shd w:val="clear" w:color="auto" w:fill="auto"/>
            <w:noWrap/>
          </w:tcPr>
          <w:p w14:paraId="552E5A7C" w14:textId="77777777" w:rsidR="005B6EBB" w:rsidRPr="006D371E" w:rsidRDefault="005B6EBB" w:rsidP="005B6EBB">
            <w:pPr>
              <w:pStyle w:val="TAL"/>
              <w:rPr>
                <w:lang w:eastAsia="zh-CN"/>
              </w:rPr>
            </w:pPr>
            <w:r w:rsidRPr="006D371E">
              <w:rPr>
                <w:lang w:eastAsia="zh-CN"/>
              </w:rPr>
              <w:t>dB</w:t>
            </w:r>
          </w:p>
        </w:tc>
      </w:tr>
      <w:tr w:rsidR="005B6EBB" w:rsidRPr="006D371E" w14:paraId="1B2D5862" w14:textId="77777777" w:rsidTr="005B6EBB">
        <w:trPr>
          <w:trHeight w:val="187"/>
          <w:jc w:val="center"/>
        </w:trPr>
        <w:tc>
          <w:tcPr>
            <w:tcW w:w="1817" w:type="dxa"/>
            <w:shd w:val="clear" w:color="auto" w:fill="auto"/>
            <w:noWrap/>
          </w:tcPr>
          <w:p w14:paraId="5F90B877" w14:textId="77777777" w:rsidR="005B6EBB" w:rsidRPr="006D371E" w:rsidRDefault="005B6EBB" w:rsidP="005B6EBB">
            <w:pPr>
              <w:pStyle w:val="TAL"/>
              <w:rPr>
                <w:lang w:eastAsia="zh-CN"/>
              </w:rPr>
            </w:pPr>
            <w:r w:rsidRPr="006D371E">
              <w:rPr>
                <w:lang w:eastAsia="zh-CN"/>
              </w:rPr>
              <w:t>DIFFRSRP_</w:t>
            </w:r>
            <w:r>
              <w:rPr>
                <w:lang w:eastAsia="zh-CN"/>
              </w:rPr>
              <w:t>21</w:t>
            </w:r>
          </w:p>
        </w:tc>
        <w:tc>
          <w:tcPr>
            <w:tcW w:w="3204" w:type="dxa"/>
          </w:tcPr>
          <w:p w14:paraId="4E018412" w14:textId="77777777" w:rsidR="005B6EBB" w:rsidRPr="006D371E" w:rsidRDefault="005B6EBB" w:rsidP="005B6EBB">
            <w:pPr>
              <w:pStyle w:val="TAL"/>
              <w:rPr>
                <w:lang w:eastAsia="zh-CN"/>
              </w:rPr>
            </w:pPr>
            <w:r w:rsidRPr="006D371E">
              <w:rPr>
                <w:lang w:eastAsia="zh-CN"/>
              </w:rPr>
              <w:t>-</w:t>
            </w:r>
            <w:r>
              <w:rPr>
                <w:lang w:eastAsia="zh-CN"/>
              </w:rPr>
              <w:t>9</w:t>
            </w:r>
            <w:r w:rsidRPr="006D371E">
              <w:rPr>
                <w:rFonts w:hint="eastAsia"/>
                <w:lang w:eastAsia="zh-CN"/>
              </w:rPr>
              <w:t>≥Δ</w:t>
            </w:r>
            <w:r w:rsidRPr="006D371E">
              <w:rPr>
                <w:lang w:eastAsia="zh-CN"/>
              </w:rPr>
              <w:t>RSRP&gt;-</w:t>
            </w:r>
            <w:r>
              <w:rPr>
                <w:lang w:eastAsia="zh-CN"/>
              </w:rPr>
              <w:t>1</w:t>
            </w:r>
            <w:r w:rsidRPr="006D371E">
              <w:rPr>
                <w:lang w:eastAsia="zh-CN"/>
              </w:rPr>
              <w:t>0</w:t>
            </w:r>
          </w:p>
        </w:tc>
        <w:tc>
          <w:tcPr>
            <w:tcW w:w="713" w:type="dxa"/>
            <w:shd w:val="clear" w:color="auto" w:fill="auto"/>
            <w:noWrap/>
          </w:tcPr>
          <w:p w14:paraId="2B349463" w14:textId="77777777" w:rsidR="005B6EBB" w:rsidRPr="006D371E" w:rsidRDefault="005B6EBB" w:rsidP="005B6EBB">
            <w:pPr>
              <w:pStyle w:val="TAL"/>
              <w:rPr>
                <w:lang w:eastAsia="zh-CN"/>
              </w:rPr>
            </w:pPr>
            <w:r w:rsidRPr="006D371E">
              <w:rPr>
                <w:lang w:eastAsia="zh-CN"/>
              </w:rPr>
              <w:t>dB</w:t>
            </w:r>
          </w:p>
        </w:tc>
      </w:tr>
      <w:tr w:rsidR="005B6EBB" w:rsidRPr="006D371E" w14:paraId="50D3D2F9" w14:textId="77777777" w:rsidTr="005B6EBB">
        <w:trPr>
          <w:trHeight w:val="187"/>
          <w:jc w:val="center"/>
        </w:trPr>
        <w:tc>
          <w:tcPr>
            <w:tcW w:w="1817" w:type="dxa"/>
            <w:shd w:val="clear" w:color="auto" w:fill="auto"/>
            <w:noWrap/>
          </w:tcPr>
          <w:p w14:paraId="35A466D8" w14:textId="77777777" w:rsidR="005B6EBB" w:rsidRPr="006D371E" w:rsidRDefault="005B6EBB" w:rsidP="005B6EBB">
            <w:pPr>
              <w:pStyle w:val="TAL"/>
              <w:rPr>
                <w:lang w:eastAsia="zh-CN"/>
              </w:rPr>
            </w:pPr>
            <w:r w:rsidRPr="006D371E">
              <w:rPr>
                <w:lang w:eastAsia="zh-CN"/>
              </w:rPr>
              <w:t>DIFFRSRP_</w:t>
            </w:r>
            <w:r>
              <w:rPr>
                <w:lang w:eastAsia="zh-CN"/>
              </w:rPr>
              <w:t>22</w:t>
            </w:r>
          </w:p>
        </w:tc>
        <w:tc>
          <w:tcPr>
            <w:tcW w:w="3204" w:type="dxa"/>
          </w:tcPr>
          <w:p w14:paraId="7F0A2BA1" w14:textId="77777777" w:rsidR="005B6EBB" w:rsidRPr="006D371E" w:rsidRDefault="005B6EBB" w:rsidP="005B6EBB">
            <w:pPr>
              <w:pStyle w:val="TAL"/>
              <w:rPr>
                <w:lang w:eastAsia="zh-CN"/>
              </w:rPr>
            </w:pPr>
            <w:r w:rsidRPr="006D371E">
              <w:rPr>
                <w:lang w:eastAsia="zh-CN"/>
              </w:rPr>
              <w:t>-</w:t>
            </w:r>
            <w:r>
              <w:rPr>
                <w:lang w:eastAsia="zh-CN"/>
              </w:rPr>
              <w:t>8</w:t>
            </w:r>
            <w:r w:rsidRPr="006D371E">
              <w:rPr>
                <w:rFonts w:hint="eastAsia"/>
                <w:lang w:eastAsia="zh-CN"/>
              </w:rPr>
              <w:t>≥Δ</w:t>
            </w:r>
            <w:r w:rsidRPr="006D371E">
              <w:rPr>
                <w:lang w:eastAsia="zh-CN"/>
              </w:rPr>
              <w:t>RSRP&gt;-</w:t>
            </w:r>
            <w:r>
              <w:rPr>
                <w:lang w:eastAsia="zh-CN"/>
              </w:rPr>
              <w:t>9</w:t>
            </w:r>
          </w:p>
        </w:tc>
        <w:tc>
          <w:tcPr>
            <w:tcW w:w="713" w:type="dxa"/>
            <w:shd w:val="clear" w:color="auto" w:fill="auto"/>
            <w:noWrap/>
          </w:tcPr>
          <w:p w14:paraId="4438C469" w14:textId="77777777" w:rsidR="005B6EBB" w:rsidRPr="006D371E" w:rsidRDefault="005B6EBB" w:rsidP="005B6EBB">
            <w:pPr>
              <w:pStyle w:val="TAL"/>
              <w:rPr>
                <w:lang w:eastAsia="zh-CN"/>
              </w:rPr>
            </w:pPr>
            <w:r w:rsidRPr="006D371E">
              <w:rPr>
                <w:lang w:eastAsia="zh-CN"/>
              </w:rPr>
              <w:t>dB</w:t>
            </w:r>
          </w:p>
        </w:tc>
      </w:tr>
      <w:tr w:rsidR="005B6EBB" w:rsidRPr="006D371E" w14:paraId="4C658DB6" w14:textId="77777777" w:rsidTr="005B6EBB">
        <w:trPr>
          <w:trHeight w:val="187"/>
          <w:jc w:val="center"/>
        </w:trPr>
        <w:tc>
          <w:tcPr>
            <w:tcW w:w="1817" w:type="dxa"/>
            <w:shd w:val="clear" w:color="auto" w:fill="auto"/>
            <w:noWrap/>
          </w:tcPr>
          <w:p w14:paraId="69518AB3" w14:textId="77777777" w:rsidR="005B6EBB" w:rsidRPr="006D371E" w:rsidRDefault="005B6EBB" w:rsidP="005B6EBB">
            <w:pPr>
              <w:pStyle w:val="TAL"/>
              <w:rPr>
                <w:lang w:eastAsia="zh-CN"/>
              </w:rPr>
            </w:pPr>
            <w:r w:rsidRPr="006D371E">
              <w:rPr>
                <w:lang w:eastAsia="zh-CN"/>
              </w:rPr>
              <w:t>DIFFRSRP_</w:t>
            </w:r>
            <w:r>
              <w:rPr>
                <w:lang w:eastAsia="zh-CN"/>
              </w:rPr>
              <w:t>23</w:t>
            </w:r>
          </w:p>
        </w:tc>
        <w:tc>
          <w:tcPr>
            <w:tcW w:w="3204" w:type="dxa"/>
          </w:tcPr>
          <w:p w14:paraId="7842D29C" w14:textId="77777777" w:rsidR="005B6EBB" w:rsidRPr="006D371E" w:rsidRDefault="005B6EBB" w:rsidP="005B6EBB">
            <w:pPr>
              <w:pStyle w:val="TAL"/>
              <w:rPr>
                <w:lang w:eastAsia="zh-CN"/>
              </w:rPr>
            </w:pPr>
            <w:r w:rsidRPr="006D371E">
              <w:rPr>
                <w:lang w:eastAsia="zh-CN"/>
              </w:rPr>
              <w:t>-</w:t>
            </w:r>
            <w:r>
              <w:rPr>
                <w:lang w:eastAsia="zh-CN"/>
              </w:rPr>
              <w:t>7</w:t>
            </w:r>
            <w:r w:rsidRPr="006D371E">
              <w:rPr>
                <w:rFonts w:hint="eastAsia"/>
                <w:lang w:eastAsia="zh-CN"/>
              </w:rPr>
              <w:t>≥Δ</w:t>
            </w:r>
            <w:r w:rsidRPr="006D371E">
              <w:rPr>
                <w:lang w:eastAsia="zh-CN"/>
              </w:rPr>
              <w:t>RSRP&gt;-</w:t>
            </w:r>
            <w:r>
              <w:rPr>
                <w:lang w:eastAsia="zh-CN"/>
              </w:rPr>
              <w:t>8</w:t>
            </w:r>
          </w:p>
        </w:tc>
        <w:tc>
          <w:tcPr>
            <w:tcW w:w="713" w:type="dxa"/>
            <w:shd w:val="clear" w:color="auto" w:fill="auto"/>
            <w:noWrap/>
          </w:tcPr>
          <w:p w14:paraId="3696A5DB" w14:textId="77777777" w:rsidR="005B6EBB" w:rsidRPr="006D371E" w:rsidRDefault="005B6EBB" w:rsidP="005B6EBB">
            <w:pPr>
              <w:pStyle w:val="TAL"/>
              <w:rPr>
                <w:lang w:eastAsia="zh-CN"/>
              </w:rPr>
            </w:pPr>
            <w:r w:rsidRPr="006D371E">
              <w:rPr>
                <w:lang w:eastAsia="zh-CN"/>
              </w:rPr>
              <w:t>dB</w:t>
            </w:r>
          </w:p>
        </w:tc>
      </w:tr>
      <w:tr w:rsidR="005B6EBB" w:rsidRPr="006D371E" w14:paraId="1DD40385" w14:textId="77777777" w:rsidTr="005B6EBB">
        <w:trPr>
          <w:trHeight w:val="187"/>
          <w:jc w:val="center"/>
        </w:trPr>
        <w:tc>
          <w:tcPr>
            <w:tcW w:w="1817" w:type="dxa"/>
            <w:shd w:val="clear" w:color="auto" w:fill="auto"/>
            <w:noWrap/>
          </w:tcPr>
          <w:p w14:paraId="6EFA6012" w14:textId="77777777" w:rsidR="005B6EBB" w:rsidRPr="006D371E" w:rsidRDefault="005B6EBB" w:rsidP="005B6EBB">
            <w:pPr>
              <w:pStyle w:val="TAL"/>
              <w:rPr>
                <w:lang w:eastAsia="zh-CN"/>
              </w:rPr>
            </w:pPr>
            <w:r w:rsidRPr="006D371E">
              <w:rPr>
                <w:lang w:eastAsia="zh-CN"/>
              </w:rPr>
              <w:t>DIFFRSRP_</w:t>
            </w:r>
            <w:r>
              <w:rPr>
                <w:lang w:eastAsia="zh-CN"/>
              </w:rPr>
              <w:t>24</w:t>
            </w:r>
          </w:p>
        </w:tc>
        <w:tc>
          <w:tcPr>
            <w:tcW w:w="3204" w:type="dxa"/>
          </w:tcPr>
          <w:p w14:paraId="16449465" w14:textId="77777777" w:rsidR="005B6EBB" w:rsidRPr="006D371E" w:rsidRDefault="005B6EBB" w:rsidP="005B6EBB">
            <w:pPr>
              <w:pStyle w:val="TAL"/>
              <w:rPr>
                <w:lang w:eastAsia="zh-CN"/>
              </w:rPr>
            </w:pPr>
            <w:r w:rsidRPr="006D371E">
              <w:rPr>
                <w:lang w:eastAsia="zh-CN"/>
              </w:rPr>
              <w:t>-</w:t>
            </w:r>
            <w:r>
              <w:rPr>
                <w:lang w:eastAsia="zh-CN"/>
              </w:rPr>
              <w:t>6</w:t>
            </w:r>
            <w:r w:rsidRPr="006D371E">
              <w:rPr>
                <w:rFonts w:hint="eastAsia"/>
                <w:lang w:eastAsia="zh-CN"/>
              </w:rPr>
              <w:t>≥Δ</w:t>
            </w:r>
            <w:r w:rsidRPr="006D371E">
              <w:rPr>
                <w:lang w:eastAsia="zh-CN"/>
              </w:rPr>
              <w:t>RSRP&gt;-</w:t>
            </w:r>
            <w:r>
              <w:rPr>
                <w:lang w:eastAsia="zh-CN"/>
              </w:rPr>
              <w:t>7</w:t>
            </w:r>
          </w:p>
        </w:tc>
        <w:tc>
          <w:tcPr>
            <w:tcW w:w="713" w:type="dxa"/>
            <w:shd w:val="clear" w:color="auto" w:fill="auto"/>
            <w:noWrap/>
          </w:tcPr>
          <w:p w14:paraId="5FFD91EC" w14:textId="77777777" w:rsidR="005B6EBB" w:rsidRPr="006D371E" w:rsidRDefault="005B6EBB" w:rsidP="005B6EBB">
            <w:pPr>
              <w:pStyle w:val="TAL"/>
              <w:rPr>
                <w:lang w:eastAsia="zh-CN"/>
              </w:rPr>
            </w:pPr>
            <w:r w:rsidRPr="006D371E">
              <w:rPr>
                <w:lang w:eastAsia="zh-CN"/>
              </w:rPr>
              <w:t>dB</w:t>
            </w:r>
          </w:p>
        </w:tc>
      </w:tr>
      <w:tr w:rsidR="005B6EBB" w:rsidRPr="006D371E" w14:paraId="10A4831C" w14:textId="77777777" w:rsidTr="005B6EBB">
        <w:trPr>
          <w:trHeight w:val="187"/>
          <w:jc w:val="center"/>
        </w:trPr>
        <w:tc>
          <w:tcPr>
            <w:tcW w:w="1817" w:type="dxa"/>
            <w:shd w:val="clear" w:color="auto" w:fill="auto"/>
            <w:noWrap/>
          </w:tcPr>
          <w:p w14:paraId="6997D7A9" w14:textId="77777777" w:rsidR="005B6EBB" w:rsidRPr="006D371E" w:rsidRDefault="005B6EBB" w:rsidP="005B6EBB">
            <w:pPr>
              <w:pStyle w:val="TAL"/>
              <w:rPr>
                <w:lang w:eastAsia="zh-CN"/>
              </w:rPr>
            </w:pPr>
            <w:r w:rsidRPr="006D371E">
              <w:rPr>
                <w:lang w:eastAsia="zh-CN"/>
              </w:rPr>
              <w:t>DIFFRSRP_</w:t>
            </w:r>
            <w:r>
              <w:rPr>
                <w:lang w:eastAsia="zh-CN"/>
              </w:rPr>
              <w:t>25</w:t>
            </w:r>
          </w:p>
        </w:tc>
        <w:tc>
          <w:tcPr>
            <w:tcW w:w="3204" w:type="dxa"/>
          </w:tcPr>
          <w:p w14:paraId="01396024" w14:textId="77777777" w:rsidR="005B6EBB" w:rsidRPr="006D371E" w:rsidRDefault="005B6EBB" w:rsidP="005B6EBB">
            <w:pPr>
              <w:pStyle w:val="TAL"/>
              <w:rPr>
                <w:lang w:eastAsia="zh-CN"/>
              </w:rPr>
            </w:pPr>
            <w:r w:rsidRPr="006D371E">
              <w:rPr>
                <w:lang w:eastAsia="zh-CN"/>
              </w:rPr>
              <w:t>-</w:t>
            </w:r>
            <w:r>
              <w:rPr>
                <w:lang w:eastAsia="zh-CN"/>
              </w:rPr>
              <w:t>5</w:t>
            </w:r>
            <w:r w:rsidRPr="006D371E">
              <w:rPr>
                <w:rFonts w:hint="eastAsia"/>
                <w:lang w:eastAsia="zh-CN"/>
              </w:rPr>
              <w:t>≥Δ</w:t>
            </w:r>
            <w:r w:rsidRPr="006D371E">
              <w:rPr>
                <w:lang w:eastAsia="zh-CN"/>
              </w:rPr>
              <w:t>RSRP&gt;-</w:t>
            </w:r>
            <w:r>
              <w:rPr>
                <w:lang w:eastAsia="zh-CN"/>
              </w:rPr>
              <w:t>6</w:t>
            </w:r>
          </w:p>
        </w:tc>
        <w:tc>
          <w:tcPr>
            <w:tcW w:w="713" w:type="dxa"/>
            <w:shd w:val="clear" w:color="auto" w:fill="auto"/>
            <w:noWrap/>
          </w:tcPr>
          <w:p w14:paraId="1129EE38" w14:textId="77777777" w:rsidR="005B6EBB" w:rsidRPr="006D371E" w:rsidRDefault="005B6EBB" w:rsidP="005B6EBB">
            <w:pPr>
              <w:pStyle w:val="TAL"/>
              <w:rPr>
                <w:lang w:eastAsia="zh-CN"/>
              </w:rPr>
            </w:pPr>
            <w:r w:rsidRPr="006D371E">
              <w:rPr>
                <w:lang w:eastAsia="zh-CN"/>
              </w:rPr>
              <w:t>dB</w:t>
            </w:r>
          </w:p>
        </w:tc>
      </w:tr>
      <w:tr w:rsidR="005B6EBB" w:rsidRPr="006D371E" w14:paraId="45655E8A" w14:textId="77777777" w:rsidTr="005B6EBB">
        <w:trPr>
          <w:trHeight w:val="187"/>
          <w:jc w:val="center"/>
        </w:trPr>
        <w:tc>
          <w:tcPr>
            <w:tcW w:w="1817" w:type="dxa"/>
            <w:shd w:val="clear" w:color="auto" w:fill="auto"/>
            <w:noWrap/>
          </w:tcPr>
          <w:p w14:paraId="124680F6" w14:textId="77777777" w:rsidR="005B6EBB" w:rsidRPr="006D371E" w:rsidRDefault="005B6EBB" w:rsidP="005B6EBB">
            <w:pPr>
              <w:pStyle w:val="TAL"/>
              <w:rPr>
                <w:lang w:eastAsia="zh-CN"/>
              </w:rPr>
            </w:pPr>
            <w:r w:rsidRPr="006D371E">
              <w:rPr>
                <w:lang w:eastAsia="zh-CN"/>
              </w:rPr>
              <w:t>DIFFRSRP_</w:t>
            </w:r>
            <w:r>
              <w:rPr>
                <w:lang w:eastAsia="zh-CN"/>
              </w:rPr>
              <w:t>26</w:t>
            </w:r>
          </w:p>
        </w:tc>
        <w:tc>
          <w:tcPr>
            <w:tcW w:w="3204" w:type="dxa"/>
          </w:tcPr>
          <w:p w14:paraId="35CE068B" w14:textId="77777777" w:rsidR="005B6EBB" w:rsidRPr="006D371E" w:rsidRDefault="005B6EBB" w:rsidP="005B6EBB">
            <w:pPr>
              <w:pStyle w:val="TAL"/>
              <w:rPr>
                <w:lang w:eastAsia="zh-CN"/>
              </w:rPr>
            </w:pPr>
            <w:r w:rsidRPr="006D371E">
              <w:rPr>
                <w:lang w:eastAsia="zh-CN"/>
              </w:rPr>
              <w:t>-</w:t>
            </w:r>
            <w:r>
              <w:rPr>
                <w:lang w:eastAsia="zh-CN"/>
              </w:rPr>
              <w:t>4</w:t>
            </w:r>
            <w:r w:rsidRPr="006D371E">
              <w:rPr>
                <w:rFonts w:hint="eastAsia"/>
                <w:lang w:eastAsia="zh-CN"/>
              </w:rPr>
              <w:t>≥Δ</w:t>
            </w:r>
            <w:r w:rsidRPr="006D371E">
              <w:rPr>
                <w:lang w:eastAsia="zh-CN"/>
              </w:rPr>
              <w:t>RSRP&gt;-</w:t>
            </w:r>
            <w:r>
              <w:rPr>
                <w:lang w:eastAsia="zh-CN"/>
              </w:rPr>
              <w:t>5</w:t>
            </w:r>
          </w:p>
        </w:tc>
        <w:tc>
          <w:tcPr>
            <w:tcW w:w="713" w:type="dxa"/>
            <w:shd w:val="clear" w:color="auto" w:fill="auto"/>
            <w:noWrap/>
          </w:tcPr>
          <w:p w14:paraId="3BDDC1EC" w14:textId="77777777" w:rsidR="005B6EBB" w:rsidRPr="006D371E" w:rsidRDefault="005B6EBB" w:rsidP="005B6EBB">
            <w:pPr>
              <w:pStyle w:val="TAL"/>
              <w:rPr>
                <w:lang w:eastAsia="zh-CN"/>
              </w:rPr>
            </w:pPr>
            <w:r w:rsidRPr="006D371E">
              <w:rPr>
                <w:lang w:eastAsia="zh-CN"/>
              </w:rPr>
              <w:t>dB</w:t>
            </w:r>
          </w:p>
        </w:tc>
      </w:tr>
      <w:tr w:rsidR="005B6EBB" w:rsidRPr="006D371E" w14:paraId="228563CA" w14:textId="77777777" w:rsidTr="005B6EBB">
        <w:trPr>
          <w:trHeight w:val="187"/>
          <w:jc w:val="center"/>
        </w:trPr>
        <w:tc>
          <w:tcPr>
            <w:tcW w:w="1817" w:type="dxa"/>
            <w:shd w:val="clear" w:color="auto" w:fill="auto"/>
            <w:noWrap/>
          </w:tcPr>
          <w:p w14:paraId="5CE8ABDF" w14:textId="77777777" w:rsidR="005B6EBB" w:rsidRPr="006D371E" w:rsidRDefault="005B6EBB" w:rsidP="005B6EBB">
            <w:pPr>
              <w:pStyle w:val="TAL"/>
              <w:rPr>
                <w:lang w:eastAsia="zh-CN"/>
              </w:rPr>
            </w:pPr>
            <w:r w:rsidRPr="006D371E">
              <w:rPr>
                <w:lang w:eastAsia="zh-CN"/>
              </w:rPr>
              <w:t>DIFFRSRP_</w:t>
            </w:r>
            <w:r>
              <w:rPr>
                <w:lang w:eastAsia="zh-CN"/>
              </w:rPr>
              <w:t>27</w:t>
            </w:r>
          </w:p>
        </w:tc>
        <w:tc>
          <w:tcPr>
            <w:tcW w:w="3204" w:type="dxa"/>
          </w:tcPr>
          <w:p w14:paraId="65167EC0" w14:textId="77777777" w:rsidR="005B6EBB" w:rsidRPr="006D371E" w:rsidRDefault="005B6EBB" w:rsidP="005B6EBB">
            <w:pPr>
              <w:pStyle w:val="TAL"/>
              <w:rPr>
                <w:lang w:eastAsia="zh-CN"/>
              </w:rPr>
            </w:pPr>
            <w:r w:rsidRPr="006D371E">
              <w:rPr>
                <w:lang w:eastAsia="zh-CN"/>
              </w:rPr>
              <w:t>-</w:t>
            </w:r>
            <w:r>
              <w:rPr>
                <w:lang w:eastAsia="zh-CN"/>
              </w:rPr>
              <w:t>3</w:t>
            </w:r>
            <w:r w:rsidRPr="006D371E">
              <w:rPr>
                <w:rFonts w:hint="eastAsia"/>
                <w:lang w:eastAsia="zh-CN"/>
              </w:rPr>
              <w:t>≥Δ</w:t>
            </w:r>
            <w:r w:rsidRPr="006D371E">
              <w:rPr>
                <w:lang w:eastAsia="zh-CN"/>
              </w:rPr>
              <w:t>RSRP&gt;-</w:t>
            </w:r>
            <w:r>
              <w:rPr>
                <w:lang w:eastAsia="zh-CN"/>
              </w:rPr>
              <w:t>4</w:t>
            </w:r>
          </w:p>
        </w:tc>
        <w:tc>
          <w:tcPr>
            <w:tcW w:w="713" w:type="dxa"/>
            <w:shd w:val="clear" w:color="auto" w:fill="auto"/>
            <w:noWrap/>
          </w:tcPr>
          <w:p w14:paraId="2B096571" w14:textId="77777777" w:rsidR="005B6EBB" w:rsidRPr="006D371E" w:rsidRDefault="005B6EBB" w:rsidP="005B6EBB">
            <w:pPr>
              <w:pStyle w:val="TAL"/>
              <w:rPr>
                <w:lang w:eastAsia="zh-CN"/>
              </w:rPr>
            </w:pPr>
            <w:r w:rsidRPr="006D371E">
              <w:rPr>
                <w:lang w:eastAsia="zh-CN"/>
              </w:rPr>
              <w:t>dB</w:t>
            </w:r>
          </w:p>
        </w:tc>
      </w:tr>
      <w:tr w:rsidR="005B6EBB" w:rsidRPr="006D371E" w14:paraId="6E851FB9" w14:textId="77777777" w:rsidTr="005B6EBB">
        <w:trPr>
          <w:trHeight w:val="187"/>
          <w:jc w:val="center"/>
        </w:trPr>
        <w:tc>
          <w:tcPr>
            <w:tcW w:w="1817" w:type="dxa"/>
            <w:shd w:val="clear" w:color="auto" w:fill="auto"/>
            <w:noWrap/>
          </w:tcPr>
          <w:p w14:paraId="7251F7A6" w14:textId="77777777" w:rsidR="005B6EBB" w:rsidRPr="006D371E" w:rsidRDefault="005B6EBB" w:rsidP="005B6EBB">
            <w:pPr>
              <w:pStyle w:val="TAL"/>
              <w:rPr>
                <w:lang w:eastAsia="zh-CN"/>
              </w:rPr>
            </w:pPr>
            <w:r w:rsidRPr="006D371E">
              <w:rPr>
                <w:lang w:eastAsia="zh-CN"/>
              </w:rPr>
              <w:t>DIFFRSRP_</w:t>
            </w:r>
            <w:r>
              <w:rPr>
                <w:lang w:eastAsia="zh-CN"/>
              </w:rPr>
              <w:t>28</w:t>
            </w:r>
          </w:p>
        </w:tc>
        <w:tc>
          <w:tcPr>
            <w:tcW w:w="3204" w:type="dxa"/>
          </w:tcPr>
          <w:p w14:paraId="4D968F25" w14:textId="77777777" w:rsidR="005B6EBB" w:rsidRPr="006D371E" w:rsidRDefault="005B6EBB" w:rsidP="005B6EBB">
            <w:pPr>
              <w:pStyle w:val="TAL"/>
              <w:rPr>
                <w:lang w:eastAsia="zh-CN"/>
              </w:rPr>
            </w:pPr>
            <w:r w:rsidRPr="006D371E">
              <w:rPr>
                <w:lang w:eastAsia="zh-CN"/>
              </w:rPr>
              <w:t>-</w:t>
            </w:r>
            <w:r>
              <w:rPr>
                <w:lang w:eastAsia="zh-CN"/>
              </w:rPr>
              <w:t>2</w:t>
            </w:r>
            <w:r w:rsidRPr="006D371E">
              <w:rPr>
                <w:rFonts w:hint="eastAsia"/>
                <w:lang w:eastAsia="zh-CN"/>
              </w:rPr>
              <w:t>≥Δ</w:t>
            </w:r>
            <w:r w:rsidRPr="006D371E">
              <w:rPr>
                <w:lang w:eastAsia="zh-CN"/>
              </w:rPr>
              <w:t>RSRP&gt;-</w:t>
            </w:r>
            <w:r>
              <w:rPr>
                <w:lang w:eastAsia="zh-CN"/>
              </w:rPr>
              <w:t>3</w:t>
            </w:r>
          </w:p>
        </w:tc>
        <w:tc>
          <w:tcPr>
            <w:tcW w:w="713" w:type="dxa"/>
            <w:shd w:val="clear" w:color="auto" w:fill="auto"/>
            <w:noWrap/>
          </w:tcPr>
          <w:p w14:paraId="23FE5164" w14:textId="77777777" w:rsidR="005B6EBB" w:rsidRPr="006D371E" w:rsidRDefault="005B6EBB" w:rsidP="005B6EBB">
            <w:pPr>
              <w:pStyle w:val="TAL"/>
              <w:rPr>
                <w:lang w:eastAsia="zh-CN"/>
              </w:rPr>
            </w:pPr>
            <w:r w:rsidRPr="006D371E">
              <w:rPr>
                <w:lang w:eastAsia="zh-CN"/>
              </w:rPr>
              <w:t>dB</w:t>
            </w:r>
          </w:p>
        </w:tc>
      </w:tr>
      <w:tr w:rsidR="005B6EBB" w:rsidRPr="006D371E" w14:paraId="2B1EEE29" w14:textId="77777777" w:rsidTr="005B6EBB">
        <w:trPr>
          <w:trHeight w:val="187"/>
          <w:jc w:val="center"/>
        </w:trPr>
        <w:tc>
          <w:tcPr>
            <w:tcW w:w="1817" w:type="dxa"/>
            <w:shd w:val="clear" w:color="auto" w:fill="auto"/>
            <w:noWrap/>
          </w:tcPr>
          <w:p w14:paraId="041EF778" w14:textId="77777777" w:rsidR="005B6EBB" w:rsidRPr="006D371E" w:rsidRDefault="005B6EBB" w:rsidP="005B6EBB">
            <w:pPr>
              <w:pStyle w:val="TAL"/>
              <w:rPr>
                <w:lang w:eastAsia="zh-CN"/>
              </w:rPr>
            </w:pPr>
            <w:r w:rsidRPr="006D371E">
              <w:rPr>
                <w:lang w:eastAsia="zh-CN"/>
              </w:rPr>
              <w:t>DIFFRSRP_</w:t>
            </w:r>
            <w:r>
              <w:rPr>
                <w:lang w:eastAsia="zh-CN"/>
              </w:rPr>
              <w:t>29</w:t>
            </w:r>
          </w:p>
        </w:tc>
        <w:tc>
          <w:tcPr>
            <w:tcW w:w="3204" w:type="dxa"/>
          </w:tcPr>
          <w:p w14:paraId="3308626E" w14:textId="77777777" w:rsidR="005B6EBB" w:rsidRPr="006D371E" w:rsidRDefault="005B6EBB" w:rsidP="005B6EBB">
            <w:pPr>
              <w:pStyle w:val="TAL"/>
              <w:rPr>
                <w:lang w:eastAsia="zh-CN"/>
              </w:rPr>
            </w:pPr>
            <w:r w:rsidRPr="006D371E">
              <w:rPr>
                <w:lang w:eastAsia="zh-CN"/>
              </w:rPr>
              <w:t>-</w:t>
            </w:r>
            <w:r>
              <w:rPr>
                <w:lang w:eastAsia="zh-CN"/>
              </w:rPr>
              <w:t>1</w:t>
            </w:r>
            <w:r w:rsidRPr="006D371E">
              <w:rPr>
                <w:rFonts w:hint="eastAsia"/>
                <w:lang w:eastAsia="zh-CN"/>
              </w:rPr>
              <w:t>≥Δ</w:t>
            </w:r>
            <w:r w:rsidRPr="006D371E">
              <w:rPr>
                <w:lang w:eastAsia="zh-CN"/>
              </w:rPr>
              <w:t>RSRP&gt;-</w:t>
            </w:r>
            <w:r>
              <w:rPr>
                <w:lang w:eastAsia="zh-CN"/>
              </w:rPr>
              <w:t>2</w:t>
            </w:r>
          </w:p>
        </w:tc>
        <w:tc>
          <w:tcPr>
            <w:tcW w:w="713" w:type="dxa"/>
            <w:shd w:val="clear" w:color="auto" w:fill="auto"/>
            <w:noWrap/>
          </w:tcPr>
          <w:p w14:paraId="63B4D366" w14:textId="77777777" w:rsidR="005B6EBB" w:rsidRPr="006D371E" w:rsidRDefault="005B6EBB" w:rsidP="005B6EBB">
            <w:pPr>
              <w:pStyle w:val="TAL"/>
              <w:rPr>
                <w:lang w:eastAsia="zh-CN"/>
              </w:rPr>
            </w:pPr>
            <w:r w:rsidRPr="006D371E">
              <w:rPr>
                <w:lang w:eastAsia="zh-CN"/>
              </w:rPr>
              <w:t>dB</w:t>
            </w:r>
          </w:p>
        </w:tc>
      </w:tr>
      <w:tr w:rsidR="005B6EBB" w:rsidRPr="006D371E" w14:paraId="66E9743F" w14:textId="77777777" w:rsidTr="005B6EBB">
        <w:trPr>
          <w:trHeight w:val="187"/>
          <w:jc w:val="center"/>
        </w:trPr>
        <w:tc>
          <w:tcPr>
            <w:tcW w:w="1817" w:type="dxa"/>
            <w:shd w:val="clear" w:color="auto" w:fill="auto"/>
            <w:noWrap/>
          </w:tcPr>
          <w:p w14:paraId="5CA36945" w14:textId="77777777" w:rsidR="005B6EBB" w:rsidRPr="006D371E" w:rsidRDefault="005B6EBB" w:rsidP="005B6EBB">
            <w:pPr>
              <w:pStyle w:val="TAL"/>
              <w:rPr>
                <w:lang w:eastAsia="zh-CN"/>
              </w:rPr>
            </w:pPr>
            <w:r w:rsidRPr="006D371E">
              <w:rPr>
                <w:lang w:eastAsia="zh-CN"/>
              </w:rPr>
              <w:t>DIFFRSRP_</w:t>
            </w:r>
            <w:r>
              <w:rPr>
                <w:lang w:eastAsia="zh-CN"/>
              </w:rPr>
              <w:t>30</w:t>
            </w:r>
          </w:p>
        </w:tc>
        <w:tc>
          <w:tcPr>
            <w:tcW w:w="3204" w:type="dxa"/>
          </w:tcPr>
          <w:p w14:paraId="040A55C2" w14:textId="77777777" w:rsidR="005B6EBB" w:rsidRPr="006D371E" w:rsidRDefault="005B6EBB" w:rsidP="005B6EBB">
            <w:pPr>
              <w:pStyle w:val="TAL"/>
              <w:rPr>
                <w:lang w:eastAsia="zh-CN"/>
              </w:rPr>
            </w:pPr>
            <w:r w:rsidRPr="006D371E">
              <w:rPr>
                <w:lang w:eastAsia="zh-CN"/>
              </w:rPr>
              <w:t>0</w:t>
            </w:r>
            <w:r w:rsidRPr="006D371E">
              <w:rPr>
                <w:rFonts w:hint="eastAsia"/>
                <w:lang w:eastAsia="zh-CN"/>
              </w:rPr>
              <w:t>≥Δ</w:t>
            </w:r>
            <w:r w:rsidRPr="006D371E">
              <w:rPr>
                <w:lang w:eastAsia="zh-CN"/>
              </w:rPr>
              <w:t>RSRP&gt;-</w:t>
            </w:r>
            <w:r>
              <w:rPr>
                <w:lang w:eastAsia="zh-CN"/>
              </w:rPr>
              <w:t>1</w:t>
            </w:r>
          </w:p>
        </w:tc>
        <w:tc>
          <w:tcPr>
            <w:tcW w:w="713" w:type="dxa"/>
            <w:shd w:val="clear" w:color="auto" w:fill="auto"/>
            <w:noWrap/>
          </w:tcPr>
          <w:p w14:paraId="1B88B737" w14:textId="77777777" w:rsidR="005B6EBB" w:rsidRPr="006D371E" w:rsidRDefault="005B6EBB" w:rsidP="005B6EBB">
            <w:pPr>
              <w:pStyle w:val="TAL"/>
              <w:rPr>
                <w:lang w:eastAsia="zh-CN"/>
              </w:rPr>
            </w:pPr>
            <w:r w:rsidRPr="006D371E">
              <w:rPr>
                <w:lang w:eastAsia="zh-CN"/>
              </w:rPr>
              <w:t>dB</w:t>
            </w:r>
          </w:p>
        </w:tc>
      </w:tr>
    </w:tbl>
    <w:p w14:paraId="251D88BA" w14:textId="77777777" w:rsidR="005B6EBB" w:rsidRPr="00CC1D38" w:rsidRDefault="005B6EBB" w:rsidP="005B6EBB">
      <w:pPr>
        <w:rPr>
          <w:lang w:eastAsia="zh-CN"/>
        </w:rPr>
      </w:pPr>
    </w:p>
    <w:p w14:paraId="79131A5D" w14:textId="77777777" w:rsidR="005B6EBB" w:rsidRDefault="005B6EBB" w:rsidP="005B6EBB">
      <w:pPr>
        <w:pStyle w:val="TH"/>
        <w:rPr>
          <w:lang w:eastAsia="zh-CN"/>
        </w:rPr>
      </w:pPr>
      <w:r w:rsidRPr="00241959">
        <w:t xml:space="preserve">Table </w:t>
      </w:r>
      <w:r w:rsidRPr="00B00B92">
        <w:t>10.1.24.</w:t>
      </w:r>
      <w:r>
        <w:rPr>
          <w:rFonts w:hint="eastAsia"/>
          <w:lang w:eastAsia="zh-CN"/>
        </w:rPr>
        <w:t>3</w:t>
      </w:r>
      <w:r w:rsidRPr="00B00B92">
        <w:t>.</w:t>
      </w:r>
      <w:r>
        <w:rPr>
          <w:rFonts w:hint="eastAsia"/>
          <w:lang w:eastAsia="zh-CN"/>
        </w:rPr>
        <w:t>2</w:t>
      </w:r>
      <w:r w:rsidRPr="00534C6E">
        <w:rPr>
          <w:rFonts w:cs="v4.2.0"/>
        </w:rPr>
        <w:t>-</w:t>
      </w:r>
      <w:r>
        <w:rPr>
          <w:rFonts w:cs="v4.2.0" w:hint="eastAsia"/>
          <w:lang w:eastAsia="zh-CN"/>
        </w:rPr>
        <w:t>2</w:t>
      </w:r>
      <w:r w:rsidRPr="00241959">
        <w:t xml:space="preserve">: </w:t>
      </w:r>
      <w:r>
        <w:t>Measurement</w:t>
      </w:r>
      <w:r w:rsidRPr="00241959">
        <w:t xml:space="preserve"> report mapping</w:t>
      </w:r>
      <w:r>
        <w:t xml:space="preserve"> for differential PRS-RSRP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3204"/>
        <w:gridCol w:w="713"/>
      </w:tblGrid>
      <w:tr w:rsidR="005B6EBB" w:rsidRPr="006D371E" w14:paraId="75F79F9B" w14:textId="77777777" w:rsidTr="005B6EBB">
        <w:trPr>
          <w:trHeight w:val="187"/>
          <w:jc w:val="center"/>
        </w:trPr>
        <w:tc>
          <w:tcPr>
            <w:tcW w:w="1817" w:type="dxa"/>
            <w:shd w:val="clear" w:color="auto" w:fill="auto"/>
            <w:noWrap/>
            <w:hideMark/>
          </w:tcPr>
          <w:p w14:paraId="6CE756F8" w14:textId="77777777" w:rsidR="005B6EBB" w:rsidRPr="006D371E" w:rsidRDefault="005B6EBB" w:rsidP="005B6EBB">
            <w:pPr>
              <w:pStyle w:val="TAH"/>
              <w:rPr>
                <w:lang w:eastAsia="zh-CN"/>
              </w:rPr>
            </w:pPr>
            <w:r w:rsidRPr="006D371E">
              <w:rPr>
                <w:lang w:eastAsia="zh-CN"/>
              </w:rPr>
              <w:t>Reported value</w:t>
            </w:r>
          </w:p>
        </w:tc>
        <w:tc>
          <w:tcPr>
            <w:tcW w:w="3204" w:type="dxa"/>
          </w:tcPr>
          <w:p w14:paraId="02006B99" w14:textId="77777777" w:rsidR="005B6EBB" w:rsidRPr="006D371E" w:rsidRDefault="005B6EBB" w:rsidP="005B6EBB">
            <w:pPr>
              <w:pStyle w:val="TAH"/>
              <w:rPr>
                <w:lang w:eastAsia="zh-CN"/>
              </w:rPr>
            </w:pPr>
            <w:r w:rsidRPr="006D371E">
              <w:rPr>
                <w:lang w:eastAsia="zh-CN"/>
              </w:rPr>
              <w:t>Measured quantity value</w:t>
            </w:r>
          </w:p>
        </w:tc>
        <w:tc>
          <w:tcPr>
            <w:tcW w:w="713" w:type="dxa"/>
            <w:shd w:val="clear" w:color="auto" w:fill="auto"/>
            <w:noWrap/>
            <w:hideMark/>
          </w:tcPr>
          <w:p w14:paraId="652C77AA" w14:textId="77777777" w:rsidR="005B6EBB" w:rsidRPr="006D371E" w:rsidRDefault="005B6EBB" w:rsidP="005B6EBB">
            <w:pPr>
              <w:pStyle w:val="TAH"/>
              <w:rPr>
                <w:lang w:eastAsia="zh-CN"/>
              </w:rPr>
            </w:pPr>
            <w:r w:rsidRPr="006D371E">
              <w:rPr>
                <w:lang w:eastAsia="zh-CN"/>
              </w:rPr>
              <w:t>Unit</w:t>
            </w:r>
          </w:p>
        </w:tc>
      </w:tr>
      <w:tr w:rsidR="005B6EBB" w:rsidRPr="006D371E" w14:paraId="56926F9E" w14:textId="77777777" w:rsidTr="005B6EBB">
        <w:trPr>
          <w:trHeight w:val="187"/>
          <w:jc w:val="center"/>
        </w:trPr>
        <w:tc>
          <w:tcPr>
            <w:tcW w:w="1817" w:type="dxa"/>
            <w:shd w:val="clear" w:color="auto" w:fill="auto"/>
            <w:noWrap/>
            <w:hideMark/>
          </w:tcPr>
          <w:p w14:paraId="37B2EEE7" w14:textId="77777777" w:rsidR="005B6EBB" w:rsidRPr="006D371E" w:rsidRDefault="005B6EBB" w:rsidP="005B6EBB">
            <w:pPr>
              <w:pStyle w:val="TAL"/>
              <w:rPr>
                <w:lang w:eastAsia="zh-CN"/>
              </w:rPr>
            </w:pPr>
            <w:r w:rsidRPr="006D371E">
              <w:rPr>
                <w:lang w:eastAsia="zh-CN"/>
              </w:rPr>
              <w:t>DIFFRSRP_0</w:t>
            </w:r>
          </w:p>
        </w:tc>
        <w:tc>
          <w:tcPr>
            <w:tcW w:w="3204" w:type="dxa"/>
          </w:tcPr>
          <w:p w14:paraId="6683D57A" w14:textId="77777777" w:rsidR="005B6EBB" w:rsidRPr="006D371E" w:rsidRDefault="005B6EBB" w:rsidP="005B6EBB">
            <w:pPr>
              <w:pStyle w:val="TAL"/>
              <w:rPr>
                <w:lang w:eastAsia="zh-CN"/>
              </w:rPr>
            </w:pPr>
            <w:r>
              <w:rPr>
                <w:rFonts w:hint="eastAsia"/>
                <w:lang w:eastAsia="zh-CN"/>
              </w:rPr>
              <w:t>-</w:t>
            </w:r>
            <w:r w:rsidRPr="006D371E">
              <w:rPr>
                <w:lang w:eastAsia="zh-CN"/>
              </w:rPr>
              <w:t>30</w:t>
            </w:r>
            <w:r w:rsidRPr="006D371E">
              <w:rPr>
                <w:rFonts w:hint="eastAsia"/>
                <w:lang w:eastAsia="zh-CN"/>
              </w:rPr>
              <w:t>≥Δ</w:t>
            </w:r>
            <w:r w:rsidRPr="006D371E">
              <w:rPr>
                <w:lang w:eastAsia="zh-CN"/>
              </w:rPr>
              <w:t>RSRP</w:t>
            </w:r>
          </w:p>
        </w:tc>
        <w:tc>
          <w:tcPr>
            <w:tcW w:w="713" w:type="dxa"/>
            <w:shd w:val="clear" w:color="auto" w:fill="auto"/>
            <w:noWrap/>
            <w:hideMark/>
          </w:tcPr>
          <w:p w14:paraId="6AA1A70C" w14:textId="77777777" w:rsidR="005B6EBB" w:rsidRPr="006D371E" w:rsidRDefault="005B6EBB" w:rsidP="005B6EBB">
            <w:pPr>
              <w:pStyle w:val="TAL"/>
              <w:rPr>
                <w:lang w:eastAsia="zh-CN"/>
              </w:rPr>
            </w:pPr>
            <w:r w:rsidRPr="006D371E">
              <w:rPr>
                <w:lang w:eastAsia="zh-CN"/>
              </w:rPr>
              <w:t>dB</w:t>
            </w:r>
          </w:p>
        </w:tc>
      </w:tr>
      <w:tr w:rsidR="005B6EBB" w:rsidRPr="006D371E" w14:paraId="3769AE26" w14:textId="77777777" w:rsidTr="005B6EBB">
        <w:trPr>
          <w:trHeight w:val="187"/>
          <w:jc w:val="center"/>
        </w:trPr>
        <w:tc>
          <w:tcPr>
            <w:tcW w:w="1817" w:type="dxa"/>
            <w:shd w:val="clear" w:color="auto" w:fill="auto"/>
            <w:noWrap/>
          </w:tcPr>
          <w:p w14:paraId="4AD0EEB1" w14:textId="77777777" w:rsidR="005B6EBB" w:rsidRPr="006D371E" w:rsidRDefault="005B6EBB" w:rsidP="005B6EBB">
            <w:pPr>
              <w:pStyle w:val="TAL"/>
              <w:rPr>
                <w:lang w:eastAsia="zh-CN"/>
              </w:rPr>
            </w:pPr>
            <w:r w:rsidRPr="006D371E">
              <w:rPr>
                <w:lang w:eastAsia="zh-CN"/>
              </w:rPr>
              <w:t>DIFFRSRP_1</w:t>
            </w:r>
          </w:p>
        </w:tc>
        <w:tc>
          <w:tcPr>
            <w:tcW w:w="3204" w:type="dxa"/>
          </w:tcPr>
          <w:p w14:paraId="4C61E487" w14:textId="77777777" w:rsidR="005B6EBB" w:rsidRPr="006D371E" w:rsidRDefault="005B6EBB" w:rsidP="005B6EBB">
            <w:pPr>
              <w:pStyle w:val="TAL"/>
              <w:rPr>
                <w:lang w:eastAsia="zh-CN"/>
              </w:rPr>
            </w:pPr>
            <w:r w:rsidRPr="006D371E">
              <w:rPr>
                <w:lang w:eastAsia="zh-CN"/>
              </w:rPr>
              <w:t>-</w:t>
            </w:r>
            <w:r>
              <w:rPr>
                <w:lang w:eastAsia="zh-CN"/>
              </w:rPr>
              <w:t>29</w:t>
            </w:r>
            <w:r w:rsidRPr="006D371E">
              <w:rPr>
                <w:rFonts w:hint="eastAsia"/>
                <w:lang w:eastAsia="zh-CN"/>
              </w:rPr>
              <w:t>≥Δ</w:t>
            </w:r>
            <w:r w:rsidRPr="006D371E">
              <w:rPr>
                <w:lang w:eastAsia="zh-CN"/>
              </w:rPr>
              <w:t>RSRP&gt;-</w:t>
            </w:r>
            <w:r>
              <w:rPr>
                <w:lang w:eastAsia="zh-CN"/>
              </w:rPr>
              <w:t>30</w:t>
            </w:r>
          </w:p>
        </w:tc>
        <w:tc>
          <w:tcPr>
            <w:tcW w:w="713" w:type="dxa"/>
            <w:shd w:val="clear" w:color="auto" w:fill="auto"/>
            <w:noWrap/>
          </w:tcPr>
          <w:p w14:paraId="6288DBEB" w14:textId="77777777" w:rsidR="005B6EBB" w:rsidRPr="006D371E" w:rsidRDefault="005B6EBB" w:rsidP="005B6EBB">
            <w:pPr>
              <w:pStyle w:val="TAL"/>
              <w:rPr>
                <w:lang w:eastAsia="zh-CN"/>
              </w:rPr>
            </w:pPr>
            <w:r w:rsidRPr="006D371E">
              <w:rPr>
                <w:lang w:eastAsia="zh-CN"/>
              </w:rPr>
              <w:t>dB</w:t>
            </w:r>
          </w:p>
        </w:tc>
      </w:tr>
      <w:tr w:rsidR="005B6EBB" w:rsidRPr="006D371E" w14:paraId="5FA52F49" w14:textId="77777777" w:rsidTr="005B6EBB">
        <w:trPr>
          <w:trHeight w:val="187"/>
          <w:jc w:val="center"/>
        </w:trPr>
        <w:tc>
          <w:tcPr>
            <w:tcW w:w="1817" w:type="dxa"/>
            <w:shd w:val="clear" w:color="auto" w:fill="auto"/>
            <w:noWrap/>
          </w:tcPr>
          <w:p w14:paraId="6C4AB13B" w14:textId="77777777" w:rsidR="005B6EBB" w:rsidRPr="006D371E" w:rsidRDefault="005B6EBB" w:rsidP="005B6EBB">
            <w:pPr>
              <w:pStyle w:val="TAL"/>
              <w:rPr>
                <w:lang w:eastAsia="zh-CN"/>
              </w:rPr>
            </w:pPr>
            <w:r w:rsidRPr="006D371E">
              <w:rPr>
                <w:lang w:eastAsia="zh-CN"/>
              </w:rPr>
              <w:t>DIFFRSRP_2</w:t>
            </w:r>
          </w:p>
        </w:tc>
        <w:tc>
          <w:tcPr>
            <w:tcW w:w="3204" w:type="dxa"/>
          </w:tcPr>
          <w:p w14:paraId="087E24F0" w14:textId="77777777" w:rsidR="005B6EBB" w:rsidRPr="006D371E" w:rsidRDefault="005B6EBB" w:rsidP="005B6EBB">
            <w:pPr>
              <w:pStyle w:val="TAL"/>
              <w:rPr>
                <w:lang w:eastAsia="zh-CN"/>
              </w:rPr>
            </w:pPr>
            <w:r w:rsidRPr="006D371E">
              <w:rPr>
                <w:lang w:eastAsia="zh-CN"/>
              </w:rPr>
              <w:t>-</w:t>
            </w:r>
            <w:r>
              <w:rPr>
                <w:lang w:eastAsia="zh-CN"/>
              </w:rPr>
              <w:t>28</w:t>
            </w:r>
            <w:r w:rsidRPr="006D371E">
              <w:rPr>
                <w:rFonts w:hint="eastAsia"/>
                <w:lang w:eastAsia="zh-CN"/>
              </w:rPr>
              <w:t>≥Δ</w:t>
            </w:r>
            <w:r w:rsidRPr="006D371E">
              <w:rPr>
                <w:lang w:eastAsia="zh-CN"/>
              </w:rPr>
              <w:t>RSRP&gt;-</w:t>
            </w:r>
            <w:r>
              <w:rPr>
                <w:lang w:eastAsia="zh-CN"/>
              </w:rPr>
              <w:t>29</w:t>
            </w:r>
          </w:p>
        </w:tc>
        <w:tc>
          <w:tcPr>
            <w:tcW w:w="713" w:type="dxa"/>
            <w:shd w:val="clear" w:color="auto" w:fill="auto"/>
            <w:noWrap/>
          </w:tcPr>
          <w:p w14:paraId="6A5BD271" w14:textId="77777777" w:rsidR="005B6EBB" w:rsidRPr="006D371E" w:rsidRDefault="005B6EBB" w:rsidP="005B6EBB">
            <w:pPr>
              <w:pStyle w:val="TAL"/>
              <w:rPr>
                <w:lang w:eastAsia="zh-CN"/>
              </w:rPr>
            </w:pPr>
            <w:r w:rsidRPr="006D371E">
              <w:rPr>
                <w:lang w:eastAsia="zh-CN"/>
              </w:rPr>
              <w:t>dB</w:t>
            </w:r>
          </w:p>
        </w:tc>
      </w:tr>
      <w:tr w:rsidR="005B6EBB" w:rsidRPr="006D371E" w14:paraId="1F514FB1" w14:textId="77777777" w:rsidTr="005B6EBB">
        <w:trPr>
          <w:trHeight w:val="187"/>
          <w:jc w:val="center"/>
        </w:trPr>
        <w:tc>
          <w:tcPr>
            <w:tcW w:w="1817" w:type="dxa"/>
            <w:shd w:val="clear" w:color="auto" w:fill="auto"/>
            <w:noWrap/>
          </w:tcPr>
          <w:p w14:paraId="5F13F57C" w14:textId="77777777" w:rsidR="005B6EBB" w:rsidRPr="006D371E" w:rsidRDefault="005B6EBB" w:rsidP="005B6EBB">
            <w:pPr>
              <w:pStyle w:val="TAL"/>
              <w:rPr>
                <w:lang w:eastAsia="zh-CN"/>
              </w:rPr>
            </w:pPr>
            <w:r w:rsidRPr="006D371E">
              <w:rPr>
                <w:lang w:eastAsia="zh-CN"/>
              </w:rPr>
              <w:t>DIFFRSRP_3</w:t>
            </w:r>
          </w:p>
        </w:tc>
        <w:tc>
          <w:tcPr>
            <w:tcW w:w="3204" w:type="dxa"/>
          </w:tcPr>
          <w:p w14:paraId="1BBD7A74" w14:textId="77777777" w:rsidR="005B6EBB" w:rsidRPr="006D371E" w:rsidRDefault="005B6EBB" w:rsidP="005B6EBB">
            <w:pPr>
              <w:pStyle w:val="TAL"/>
              <w:rPr>
                <w:lang w:eastAsia="zh-CN"/>
              </w:rPr>
            </w:pPr>
            <w:r w:rsidRPr="006D371E">
              <w:rPr>
                <w:lang w:eastAsia="zh-CN"/>
              </w:rPr>
              <w:t>-</w:t>
            </w:r>
            <w:r>
              <w:rPr>
                <w:lang w:eastAsia="zh-CN"/>
              </w:rPr>
              <w:t>27</w:t>
            </w:r>
            <w:r w:rsidRPr="006D371E">
              <w:rPr>
                <w:rFonts w:hint="eastAsia"/>
                <w:lang w:eastAsia="zh-CN"/>
              </w:rPr>
              <w:t>≥Δ</w:t>
            </w:r>
            <w:r w:rsidRPr="006D371E">
              <w:rPr>
                <w:lang w:eastAsia="zh-CN"/>
              </w:rPr>
              <w:t>RSRP&gt;-</w:t>
            </w:r>
            <w:r>
              <w:rPr>
                <w:lang w:eastAsia="zh-CN"/>
              </w:rPr>
              <w:t>28</w:t>
            </w:r>
          </w:p>
        </w:tc>
        <w:tc>
          <w:tcPr>
            <w:tcW w:w="713" w:type="dxa"/>
            <w:shd w:val="clear" w:color="auto" w:fill="auto"/>
            <w:noWrap/>
          </w:tcPr>
          <w:p w14:paraId="4F0F76E7" w14:textId="77777777" w:rsidR="005B6EBB" w:rsidRPr="006D371E" w:rsidRDefault="005B6EBB" w:rsidP="005B6EBB">
            <w:pPr>
              <w:pStyle w:val="TAL"/>
              <w:rPr>
                <w:lang w:eastAsia="zh-CN"/>
              </w:rPr>
            </w:pPr>
            <w:r w:rsidRPr="006D371E">
              <w:rPr>
                <w:lang w:eastAsia="zh-CN"/>
              </w:rPr>
              <w:t>dB</w:t>
            </w:r>
          </w:p>
        </w:tc>
      </w:tr>
      <w:tr w:rsidR="005B6EBB" w:rsidRPr="006D371E" w14:paraId="1B983B32" w14:textId="77777777" w:rsidTr="005B6EBB">
        <w:trPr>
          <w:trHeight w:val="187"/>
          <w:jc w:val="center"/>
        </w:trPr>
        <w:tc>
          <w:tcPr>
            <w:tcW w:w="1817" w:type="dxa"/>
            <w:shd w:val="clear" w:color="auto" w:fill="auto"/>
            <w:noWrap/>
          </w:tcPr>
          <w:p w14:paraId="0D6AEFA1" w14:textId="77777777" w:rsidR="005B6EBB" w:rsidRPr="006D371E" w:rsidRDefault="005B6EBB" w:rsidP="005B6EBB">
            <w:pPr>
              <w:pStyle w:val="TAL"/>
              <w:rPr>
                <w:lang w:eastAsia="zh-CN"/>
              </w:rPr>
            </w:pPr>
            <w:r w:rsidRPr="006D371E">
              <w:rPr>
                <w:lang w:eastAsia="zh-CN"/>
              </w:rPr>
              <w:t>DIFFRSRP_4</w:t>
            </w:r>
          </w:p>
        </w:tc>
        <w:tc>
          <w:tcPr>
            <w:tcW w:w="3204" w:type="dxa"/>
          </w:tcPr>
          <w:p w14:paraId="5A779B0D" w14:textId="77777777" w:rsidR="005B6EBB" w:rsidRPr="006D371E" w:rsidRDefault="005B6EBB" w:rsidP="005B6EBB">
            <w:pPr>
              <w:pStyle w:val="TAL"/>
              <w:rPr>
                <w:lang w:eastAsia="zh-CN"/>
              </w:rPr>
            </w:pPr>
            <w:r w:rsidRPr="006D371E">
              <w:rPr>
                <w:lang w:eastAsia="zh-CN"/>
              </w:rPr>
              <w:t>-</w:t>
            </w:r>
            <w:r>
              <w:rPr>
                <w:lang w:eastAsia="zh-CN"/>
              </w:rPr>
              <w:t>26</w:t>
            </w:r>
            <w:r w:rsidRPr="006D371E">
              <w:rPr>
                <w:rFonts w:hint="eastAsia"/>
                <w:lang w:eastAsia="zh-CN"/>
              </w:rPr>
              <w:t>≥Δ</w:t>
            </w:r>
            <w:r w:rsidRPr="006D371E">
              <w:rPr>
                <w:lang w:eastAsia="zh-CN"/>
              </w:rPr>
              <w:t>RSRP&gt;-</w:t>
            </w:r>
            <w:r>
              <w:rPr>
                <w:lang w:eastAsia="zh-CN"/>
              </w:rPr>
              <w:t>27</w:t>
            </w:r>
          </w:p>
        </w:tc>
        <w:tc>
          <w:tcPr>
            <w:tcW w:w="713" w:type="dxa"/>
            <w:shd w:val="clear" w:color="auto" w:fill="auto"/>
            <w:noWrap/>
          </w:tcPr>
          <w:p w14:paraId="398417F7" w14:textId="77777777" w:rsidR="005B6EBB" w:rsidRPr="006D371E" w:rsidRDefault="005B6EBB" w:rsidP="005B6EBB">
            <w:pPr>
              <w:pStyle w:val="TAL"/>
              <w:rPr>
                <w:lang w:eastAsia="zh-CN"/>
              </w:rPr>
            </w:pPr>
            <w:r w:rsidRPr="006D371E">
              <w:rPr>
                <w:lang w:eastAsia="zh-CN"/>
              </w:rPr>
              <w:t>dB</w:t>
            </w:r>
          </w:p>
        </w:tc>
      </w:tr>
      <w:tr w:rsidR="005B6EBB" w:rsidRPr="006D371E" w14:paraId="599AADCF" w14:textId="77777777" w:rsidTr="005B6EBB">
        <w:trPr>
          <w:trHeight w:val="187"/>
          <w:jc w:val="center"/>
        </w:trPr>
        <w:tc>
          <w:tcPr>
            <w:tcW w:w="1817" w:type="dxa"/>
            <w:shd w:val="clear" w:color="auto" w:fill="auto"/>
            <w:noWrap/>
          </w:tcPr>
          <w:p w14:paraId="3A23A62F" w14:textId="77777777" w:rsidR="005B6EBB" w:rsidRPr="006D371E" w:rsidRDefault="005B6EBB" w:rsidP="005B6EBB">
            <w:pPr>
              <w:pStyle w:val="TAL"/>
              <w:rPr>
                <w:lang w:eastAsia="zh-CN"/>
              </w:rPr>
            </w:pPr>
            <w:r w:rsidRPr="006D371E">
              <w:rPr>
                <w:lang w:eastAsia="zh-CN"/>
              </w:rPr>
              <w:t>DIFFRSRP_5</w:t>
            </w:r>
          </w:p>
        </w:tc>
        <w:tc>
          <w:tcPr>
            <w:tcW w:w="3204" w:type="dxa"/>
          </w:tcPr>
          <w:p w14:paraId="04AB3BAF" w14:textId="77777777" w:rsidR="005B6EBB" w:rsidRPr="006D371E" w:rsidRDefault="005B6EBB" w:rsidP="005B6EBB">
            <w:pPr>
              <w:pStyle w:val="TAL"/>
              <w:rPr>
                <w:lang w:eastAsia="zh-CN"/>
              </w:rPr>
            </w:pPr>
            <w:r w:rsidRPr="006D371E">
              <w:rPr>
                <w:lang w:eastAsia="zh-CN"/>
              </w:rPr>
              <w:t>-</w:t>
            </w:r>
            <w:r>
              <w:rPr>
                <w:lang w:eastAsia="zh-CN"/>
              </w:rPr>
              <w:t>25</w:t>
            </w:r>
            <w:r w:rsidRPr="006D371E">
              <w:rPr>
                <w:rFonts w:hint="eastAsia"/>
                <w:lang w:eastAsia="zh-CN"/>
              </w:rPr>
              <w:t>≥Δ</w:t>
            </w:r>
            <w:r w:rsidRPr="006D371E">
              <w:rPr>
                <w:lang w:eastAsia="zh-CN"/>
              </w:rPr>
              <w:t>RSRP&gt;-</w:t>
            </w:r>
            <w:r>
              <w:rPr>
                <w:lang w:eastAsia="zh-CN"/>
              </w:rPr>
              <w:t>26</w:t>
            </w:r>
          </w:p>
        </w:tc>
        <w:tc>
          <w:tcPr>
            <w:tcW w:w="713" w:type="dxa"/>
            <w:shd w:val="clear" w:color="auto" w:fill="auto"/>
            <w:noWrap/>
          </w:tcPr>
          <w:p w14:paraId="381D5D8D" w14:textId="77777777" w:rsidR="005B6EBB" w:rsidRPr="006D371E" w:rsidRDefault="005B6EBB" w:rsidP="005B6EBB">
            <w:pPr>
              <w:pStyle w:val="TAL"/>
              <w:rPr>
                <w:lang w:eastAsia="zh-CN"/>
              </w:rPr>
            </w:pPr>
            <w:r w:rsidRPr="006D371E">
              <w:rPr>
                <w:lang w:eastAsia="zh-CN"/>
              </w:rPr>
              <w:t>dB</w:t>
            </w:r>
          </w:p>
        </w:tc>
      </w:tr>
      <w:tr w:rsidR="005B6EBB" w:rsidRPr="006D371E" w14:paraId="65F6F32B" w14:textId="77777777" w:rsidTr="005B6EBB">
        <w:trPr>
          <w:trHeight w:val="187"/>
          <w:jc w:val="center"/>
        </w:trPr>
        <w:tc>
          <w:tcPr>
            <w:tcW w:w="1817" w:type="dxa"/>
            <w:shd w:val="clear" w:color="auto" w:fill="auto"/>
            <w:noWrap/>
          </w:tcPr>
          <w:p w14:paraId="1E0AB1E6" w14:textId="77777777" w:rsidR="005B6EBB" w:rsidRPr="006D371E" w:rsidRDefault="005B6EBB" w:rsidP="005B6EBB">
            <w:pPr>
              <w:pStyle w:val="TAL"/>
              <w:rPr>
                <w:lang w:eastAsia="zh-CN"/>
              </w:rPr>
            </w:pPr>
            <w:r w:rsidRPr="006D371E">
              <w:rPr>
                <w:lang w:eastAsia="zh-CN"/>
              </w:rPr>
              <w:t>DIFFRSRP_6</w:t>
            </w:r>
          </w:p>
        </w:tc>
        <w:tc>
          <w:tcPr>
            <w:tcW w:w="3204" w:type="dxa"/>
          </w:tcPr>
          <w:p w14:paraId="1B5773E9" w14:textId="77777777" w:rsidR="005B6EBB" w:rsidRPr="006D371E" w:rsidRDefault="005B6EBB" w:rsidP="005B6EBB">
            <w:pPr>
              <w:pStyle w:val="TAL"/>
              <w:rPr>
                <w:lang w:eastAsia="zh-CN"/>
              </w:rPr>
            </w:pPr>
            <w:r w:rsidRPr="006D371E">
              <w:rPr>
                <w:lang w:eastAsia="zh-CN"/>
              </w:rPr>
              <w:t>-</w:t>
            </w:r>
            <w:r>
              <w:rPr>
                <w:lang w:eastAsia="zh-CN"/>
              </w:rPr>
              <w:t>24</w:t>
            </w:r>
            <w:r w:rsidRPr="006D371E">
              <w:rPr>
                <w:rFonts w:hint="eastAsia"/>
                <w:lang w:eastAsia="zh-CN"/>
              </w:rPr>
              <w:t>≥Δ</w:t>
            </w:r>
            <w:r w:rsidRPr="006D371E">
              <w:rPr>
                <w:lang w:eastAsia="zh-CN"/>
              </w:rPr>
              <w:t>RSRP&gt;-</w:t>
            </w:r>
            <w:r>
              <w:rPr>
                <w:lang w:eastAsia="zh-CN"/>
              </w:rPr>
              <w:t>25</w:t>
            </w:r>
          </w:p>
        </w:tc>
        <w:tc>
          <w:tcPr>
            <w:tcW w:w="713" w:type="dxa"/>
            <w:shd w:val="clear" w:color="auto" w:fill="auto"/>
            <w:noWrap/>
          </w:tcPr>
          <w:p w14:paraId="050683B2" w14:textId="77777777" w:rsidR="005B6EBB" w:rsidRPr="006D371E" w:rsidRDefault="005B6EBB" w:rsidP="005B6EBB">
            <w:pPr>
              <w:pStyle w:val="TAL"/>
              <w:rPr>
                <w:lang w:eastAsia="zh-CN"/>
              </w:rPr>
            </w:pPr>
            <w:r w:rsidRPr="006D371E">
              <w:rPr>
                <w:lang w:eastAsia="zh-CN"/>
              </w:rPr>
              <w:t>dB</w:t>
            </w:r>
          </w:p>
        </w:tc>
      </w:tr>
      <w:tr w:rsidR="005B6EBB" w:rsidRPr="006D371E" w14:paraId="3396F89C" w14:textId="77777777" w:rsidTr="005B6EBB">
        <w:trPr>
          <w:trHeight w:val="187"/>
          <w:jc w:val="center"/>
        </w:trPr>
        <w:tc>
          <w:tcPr>
            <w:tcW w:w="1817" w:type="dxa"/>
            <w:shd w:val="clear" w:color="auto" w:fill="auto"/>
            <w:noWrap/>
          </w:tcPr>
          <w:p w14:paraId="4DDB989B" w14:textId="77777777" w:rsidR="005B6EBB" w:rsidRPr="006D371E" w:rsidRDefault="005B6EBB" w:rsidP="005B6EBB">
            <w:pPr>
              <w:pStyle w:val="TAL"/>
              <w:rPr>
                <w:lang w:eastAsia="zh-CN"/>
              </w:rPr>
            </w:pPr>
            <w:r w:rsidRPr="006D371E">
              <w:rPr>
                <w:lang w:eastAsia="zh-CN"/>
              </w:rPr>
              <w:t>DIFFRSRP_7</w:t>
            </w:r>
          </w:p>
        </w:tc>
        <w:tc>
          <w:tcPr>
            <w:tcW w:w="3204" w:type="dxa"/>
          </w:tcPr>
          <w:p w14:paraId="7C7A3FEE" w14:textId="77777777" w:rsidR="005B6EBB" w:rsidRPr="006D371E" w:rsidRDefault="005B6EBB" w:rsidP="005B6EBB">
            <w:pPr>
              <w:pStyle w:val="TAL"/>
              <w:rPr>
                <w:lang w:eastAsia="zh-CN"/>
              </w:rPr>
            </w:pPr>
            <w:r w:rsidRPr="006D371E">
              <w:rPr>
                <w:lang w:eastAsia="zh-CN"/>
              </w:rPr>
              <w:t>-</w:t>
            </w:r>
            <w:r>
              <w:rPr>
                <w:lang w:eastAsia="zh-CN"/>
              </w:rPr>
              <w:t>23</w:t>
            </w:r>
            <w:r w:rsidRPr="006D371E">
              <w:rPr>
                <w:rFonts w:hint="eastAsia"/>
                <w:lang w:eastAsia="zh-CN"/>
              </w:rPr>
              <w:t>≥Δ</w:t>
            </w:r>
            <w:r w:rsidRPr="006D371E">
              <w:rPr>
                <w:lang w:eastAsia="zh-CN"/>
              </w:rPr>
              <w:t>RSRP&gt;-</w:t>
            </w:r>
            <w:r>
              <w:rPr>
                <w:lang w:eastAsia="zh-CN"/>
              </w:rPr>
              <w:t>24</w:t>
            </w:r>
          </w:p>
        </w:tc>
        <w:tc>
          <w:tcPr>
            <w:tcW w:w="713" w:type="dxa"/>
            <w:shd w:val="clear" w:color="auto" w:fill="auto"/>
            <w:noWrap/>
          </w:tcPr>
          <w:p w14:paraId="78F3948E" w14:textId="77777777" w:rsidR="005B6EBB" w:rsidRPr="006D371E" w:rsidRDefault="005B6EBB" w:rsidP="005B6EBB">
            <w:pPr>
              <w:pStyle w:val="TAL"/>
              <w:rPr>
                <w:lang w:eastAsia="zh-CN"/>
              </w:rPr>
            </w:pPr>
            <w:r w:rsidRPr="006D371E">
              <w:rPr>
                <w:lang w:eastAsia="zh-CN"/>
              </w:rPr>
              <w:t>dB</w:t>
            </w:r>
          </w:p>
        </w:tc>
      </w:tr>
      <w:tr w:rsidR="005B6EBB" w:rsidRPr="006D371E" w14:paraId="3518265A" w14:textId="77777777" w:rsidTr="005B6EBB">
        <w:trPr>
          <w:trHeight w:val="187"/>
          <w:jc w:val="center"/>
        </w:trPr>
        <w:tc>
          <w:tcPr>
            <w:tcW w:w="1817" w:type="dxa"/>
            <w:shd w:val="clear" w:color="auto" w:fill="auto"/>
            <w:noWrap/>
          </w:tcPr>
          <w:p w14:paraId="41CC373D" w14:textId="77777777" w:rsidR="005B6EBB" w:rsidRPr="006D371E" w:rsidRDefault="005B6EBB" w:rsidP="005B6EBB">
            <w:pPr>
              <w:pStyle w:val="TAL"/>
              <w:rPr>
                <w:lang w:eastAsia="zh-CN"/>
              </w:rPr>
            </w:pPr>
            <w:r w:rsidRPr="006D371E">
              <w:rPr>
                <w:lang w:eastAsia="zh-CN"/>
              </w:rPr>
              <w:t>DIFFRSRP_8</w:t>
            </w:r>
          </w:p>
        </w:tc>
        <w:tc>
          <w:tcPr>
            <w:tcW w:w="3204" w:type="dxa"/>
          </w:tcPr>
          <w:p w14:paraId="526FEC56" w14:textId="77777777" w:rsidR="005B6EBB" w:rsidRPr="006D371E" w:rsidRDefault="005B6EBB" w:rsidP="005B6EBB">
            <w:pPr>
              <w:pStyle w:val="TAL"/>
              <w:rPr>
                <w:lang w:eastAsia="zh-CN"/>
              </w:rPr>
            </w:pPr>
            <w:r w:rsidRPr="006D371E">
              <w:rPr>
                <w:lang w:eastAsia="zh-CN"/>
              </w:rPr>
              <w:t>-</w:t>
            </w:r>
            <w:r>
              <w:rPr>
                <w:lang w:eastAsia="zh-CN"/>
              </w:rPr>
              <w:t>22</w:t>
            </w:r>
            <w:r w:rsidRPr="006D371E">
              <w:rPr>
                <w:rFonts w:hint="eastAsia"/>
                <w:lang w:eastAsia="zh-CN"/>
              </w:rPr>
              <w:t>≥Δ</w:t>
            </w:r>
            <w:r w:rsidRPr="006D371E">
              <w:rPr>
                <w:lang w:eastAsia="zh-CN"/>
              </w:rPr>
              <w:t>RSRP&gt;-</w:t>
            </w:r>
            <w:r>
              <w:rPr>
                <w:lang w:eastAsia="zh-CN"/>
              </w:rPr>
              <w:t>23</w:t>
            </w:r>
          </w:p>
        </w:tc>
        <w:tc>
          <w:tcPr>
            <w:tcW w:w="713" w:type="dxa"/>
            <w:shd w:val="clear" w:color="auto" w:fill="auto"/>
            <w:noWrap/>
          </w:tcPr>
          <w:p w14:paraId="2ACA7C88" w14:textId="77777777" w:rsidR="005B6EBB" w:rsidRPr="006D371E" w:rsidRDefault="005B6EBB" w:rsidP="005B6EBB">
            <w:pPr>
              <w:pStyle w:val="TAL"/>
              <w:rPr>
                <w:lang w:eastAsia="zh-CN"/>
              </w:rPr>
            </w:pPr>
            <w:r w:rsidRPr="006D371E">
              <w:rPr>
                <w:lang w:eastAsia="zh-CN"/>
              </w:rPr>
              <w:t>dB</w:t>
            </w:r>
          </w:p>
        </w:tc>
      </w:tr>
      <w:tr w:rsidR="005B6EBB" w:rsidRPr="006D371E" w14:paraId="4F653EE2" w14:textId="77777777" w:rsidTr="005B6EBB">
        <w:trPr>
          <w:trHeight w:val="187"/>
          <w:jc w:val="center"/>
        </w:trPr>
        <w:tc>
          <w:tcPr>
            <w:tcW w:w="1817" w:type="dxa"/>
            <w:shd w:val="clear" w:color="auto" w:fill="auto"/>
            <w:noWrap/>
          </w:tcPr>
          <w:p w14:paraId="7A842654" w14:textId="77777777" w:rsidR="005B6EBB" w:rsidRPr="006D371E" w:rsidRDefault="005B6EBB" w:rsidP="005B6EBB">
            <w:pPr>
              <w:pStyle w:val="TAL"/>
              <w:rPr>
                <w:lang w:eastAsia="zh-CN"/>
              </w:rPr>
            </w:pPr>
            <w:r w:rsidRPr="006D371E">
              <w:rPr>
                <w:lang w:eastAsia="zh-CN"/>
              </w:rPr>
              <w:t>DIFFRSRP_9</w:t>
            </w:r>
          </w:p>
        </w:tc>
        <w:tc>
          <w:tcPr>
            <w:tcW w:w="3204" w:type="dxa"/>
          </w:tcPr>
          <w:p w14:paraId="3ABF6A57" w14:textId="77777777" w:rsidR="005B6EBB" w:rsidRPr="006D371E" w:rsidRDefault="005B6EBB" w:rsidP="005B6EBB">
            <w:pPr>
              <w:pStyle w:val="TAL"/>
              <w:rPr>
                <w:lang w:eastAsia="zh-CN"/>
              </w:rPr>
            </w:pPr>
            <w:r w:rsidRPr="006D371E">
              <w:rPr>
                <w:lang w:eastAsia="zh-CN"/>
              </w:rPr>
              <w:t>-</w:t>
            </w:r>
            <w:r>
              <w:rPr>
                <w:lang w:eastAsia="zh-CN"/>
              </w:rPr>
              <w:t>21</w:t>
            </w:r>
            <w:r w:rsidRPr="006D371E">
              <w:rPr>
                <w:rFonts w:hint="eastAsia"/>
                <w:lang w:eastAsia="zh-CN"/>
              </w:rPr>
              <w:t>≥Δ</w:t>
            </w:r>
            <w:r w:rsidRPr="006D371E">
              <w:rPr>
                <w:lang w:eastAsia="zh-CN"/>
              </w:rPr>
              <w:t>RSRP&gt;-</w:t>
            </w:r>
            <w:r>
              <w:rPr>
                <w:lang w:eastAsia="zh-CN"/>
              </w:rPr>
              <w:t>22</w:t>
            </w:r>
          </w:p>
        </w:tc>
        <w:tc>
          <w:tcPr>
            <w:tcW w:w="713" w:type="dxa"/>
            <w:shd w:val="clear" w:color="auto" w:fill="auto"/>
            <w:noWrap/>
          </w:tcPr>
          <w:p w14:paraId="5C5F4EF7" w14:textId="77777777" w:rsidR="005B6EBB" w:rsidRPr="006D371E" w:rsidRDefault="005B6EBB" w:rsidP="005B6EBB">
            <w:pPr>
              <w:pStyle w:val="TAL"/>
              <w:rPr>
                <w:lang w:eastAsia="zh-CN"/>
              </w:rPr>
            </w:pPr>
            <w:r w:rsidRPr="006D371E">
              <w:rPr>
                <w:lang w:eastAsia="zh-CN"/>
              </w:rPr>
              <w:t>dB</w:t>
            </w:r>
          </w:p>
        </w:tc>
      </w:tr>
      <w:tr w:rsidR="005B6EBB" w:rsidRPr="006D371E" w14:paraId="7DD22F9C" w14:textId="77777777" w:rsidTr="005B6EBB">
        <w:trPr>
          <w:trHeight w:val="187"/>
          <w:jc w:val="center"/>
        </w:trPr>
        <w:tc>
          <w:tcPr>
            <w:tcW w:w="1817" w:type="dxa"/>
            <w:shd w:val="clear" w:color="auto" w:fill="auto"/>
            <w:noWrap/>
          </w:tcPr>
          <w:p w14:paraId="7A2A462E" w14:textId="77777777" w:rsidR="005B6EBB" w:rsidRPr="006D371E" w:rsidRDefault="005B6EBB" w:rsidP="005B6EBB">
            <w:pPr>
              <w:pStyle w:val="TAL"/>
              <w:rPr>
                <w:lang w:eastAsia="zh-CN"/>
              </w:rPr>
            </w:pPr>
            <w:r w:rsidRPr="006D371E">
              <w:rPr>
                <w:lang w:eastAsia="zh-CN"/>
              </w:rPr>
              <w:t>DIFFRSRP_10</w:t>
            </w:r>
          </w:p>
        </w:tc>
        <w:tc>
          <w:tcPr>
            <w:tcW w:w="3204" w:type="dxa"/>
          </w:tcPr>
          <w:p w14:paraId="42D349FF" w14:textId="77777777" w:rsidR="005B6EBB" w:rsidRPr="006D371E" w:rsidRDefault="005B6EBB" w:rsidP="005B6EBB">
            <w:pPr>
              <w:pStyle w:val="TAL"/>
              <w:rPr>
                <w:lang w:eastAsia="zh-CN"/>
              </w:rPr>
            </w:pPr>
            <w:r w:rsidRPr="006D371E">
              <w:rPr>
                <w:lang w:eastAsia="zh-CN"/>
              </w:rPr>
              <w:t>-</w:t>
            </w:r>
            <w:r>
              <w:rPr>
                <w:lang w:eastAsia="zh-CN"/>
              </w:rPr>
              <w:t>20</w:t>
            </w:r>
            <w:r w:rsidRPr="006D371E">
              <w:rPr>
                <w:rFonts w:hint="eastAsia"/>
                <w:lang w:eastAsia="zh-CN"/>
              </w:rPr>
              <w:t>≥Δ</w:t>
            </w:r>
            <w:r w:rsidRPr="006D371E">
              <w:rPr>
                <w:lang w:eastAsia="zh-CN"/>
              </w:rPr>
              <w:t>RSRP&gt;-</w:t>
            </w:r>
            <w:r>
              <w:rPr>
                <w:lang w:eastAsia="zh-CN"/>
              </w:rPr>
              <w:t>21</w:t>
            </w:r>
          </w:p>
        </w:tc>
        <w:tc>
          <w:tcPr>
            <w:tcW w:w="713" w:type="dxa"/>
            <w:shd w:val="clear" w:color="auto" w:fill="auto"/>
            <w:noWrap/>
          </w:tcPr>
          <w:p w14:paraId="3ECA9C12" w14:textId="77777777" w:rsidR="005B6EBB" w:rsidRPr="006D371E" w:rsidRDefault="005B6EBB" w:rsidP="005B6EBB">
            <w:pPr>
              <w:pStyle w:val="TAL"/>
              <w:rPr>
                <w:lang w:eastAsia="zh-CN"/>
              </w:rPr>
            </w:pPr>
            <w:r w:rsidRPr="006D371E">
              <w:rPr>
                <w:lang w:eastAsia="zh-CN"/>
              </w:rPr>
              <w:t>dB</w:t>
            </w:r>
          </w:p>
        </w:tc>
      </w:tr>
      <w:tr w:rsidR="005B6EBB" w:rsidRPr="006D371E" w14:paraId="2907589C" w14:textId="77777777" w:rsidTr="005B6EBB">
        <w:trPr>
          <w:trHeight w:val="187"/>
          <w:jc w:val="center"/>
        </w:trPr>
        <w:tc>
          <w:tcPr>
            <w:tcW w:w="1817" w:type="dxa"/>
            <w:shd w:val="clear" w:color="auto" w:fill="auto"/>
            <w:noWrap/>
          </w:tcPr>
          <w:p w14:paraId="0379620C" w14:textId="77777777" w:rsidR="005B6EBB" w:rsidRPr="006D371E" w:rsidRDefault="005B6EBB" w:rsidP="005B6EBB">
            <w:pPr>
              <w:pStyle w:val="TAL"/>
              <w:rPr>
                <w:lang w:eastAsia="zh-CN"/>
              </w:rPr>
            </w:pPr>
            <w:r w:rsidRPr="006D371E">
              <w:rPr>
                <w:lang w:eastAsia="zh-CN"/>
              </w:rPr>
              <w:t>DIFFRSRP_11</w:t>
            </w:r>
          </w:p>
        </w:tc>
        <w:tc>
          <w:tcPr>
            <w:tcW w:w="3204" w:type="dxa"/>
          </w:tcPr>
          <w:p w14:paraId="62B308E6" w14:textId="77777777" w:rsidR="005B6EBB" w:rsidRPr="006D371E" w:rsidRDefault="005B6EBB" w:rsidP="005B6EBB">
            <w:pPr>
              <w:pStyle w:val="TAL"/>
              <w:rPr>
                <w:lang w:eastAsia="zh-CN"/>
              </w:rPr>
            </w:pPr>
            <w:r w:rsidRPr="006D371E">
              <w:rPr>
                <w:lang w:eastAsia="zh-CN"/>
              </w:rPr>
              <w:t>-</w:t>
            </w:r>
            <w:r>
              <w:rPr>
                <w:lang w:eastAsia="zh-CN"/>
              </w:rPr>
              <w:t>19</w:t>
            </w:r>
            <w:r w:rsidRPr="006D371E">
              <w:rPr>
                <w:rFonts w:hint="eastAsia"/>
                <w:lang w:eastAsia="zh-CN"/>
              </w:rPr>
              <w:t>≥Δ</w:t>
            </w:r>
            <w:r w:rsidRPr="006D371E">
              <w:rPr>
                <w:lang w:eastAsia="zh-CN"/>
              </w:rPr>
              <w:t>RSRP&gt;-</w:t>
            </w:r>
            <w:r>
              <w:rPr>
                <w:lang w:eastAsia="zh-CN"/>
              </w:rPr>
              <w:t>20</w:t>
            </w:r>
          </w:p>
        </w:tc>
        <w:tc>
          <w:tcPr>
            <w:tcW w:w="713" w:type="dxa"/>
            <w:shd w:val="clear" w:color="auto" w:fill="auto"/>
            <w:noWrap/>
          </w:tcPr>
          <w:p w14:paraId="096955A5" w14:textId="77777777" w:rsidR="005B6EBB" w:rsidRPr="006D371E" w:rsidRDefault="005B6EBB" w:rsidP="005B6EBB">
            <w:pPr>
              <w:pStyle w:val="TAL"/>
              <w:rPr>
                <w:lang w:eastAsia="zh-CN"/>
              </w:rPr>
            </w:pPr>
            <w:r w:rsidRPr="006D371E">
              <w:rPr>
                <w:lang w:eastAsia="zh-CN"/>
              </w:rPr>
              <w:t>dB</w:t>
            </w:r>
          </w:p>
        </w:tc>
      </w:tr>
      <w:tr w:rsidR="005B6EBB" w:rsidRPr="006D371E" w14:paraId="202ACB3D" w14:textId="77777777" w:rsidTr="005B6EBB">
        <w:trPr>
          <w:trHeight w:val="187"/>
          <w:jc w:val="center"/>
        </w:trPr>
        <w:tc>
          <w:tcPr>
            <w:tcW w:w="1817" w:type="dxa"/>
            <w:shd w:val="clear" w:color="auto" w:fill="auto"/>
            <w:noWrap/>
          </w:tcPr>
          <w:p w14:paraId="19DF1EF5" w14:textId="77777777" w:rsidR="005B6EBB" w:rsidRPr="006D371E" w:rsidRDefault="005B6EBB" w:rsidP="005B6EBB">
            <w:pPr>
              <w:pStyle w:val="TAL"/>
              <w:rPr>
                <w:lang w:eastAsia="zh-CN"/>
              </w:rPr>
            </w:pPr>
            <w:r w:rsidRPr="006D371E">
              <w:rPr>
                <w:lang w:eastAsia="zh-CN"/>
              </w:rPr>
              <w:t>DIFFRSRP_12</w:t>
            </w:r>
          </w:p>
        </w:tc>
        <w:tc>
          <w:tcPr>
            <w:tcW w:w="3204" w:type="dxa"/>
          </w:tcPr>
          <w:p w14:paraId="1FB35F05" w14:textId="77777777" w:rsidR="005B6EBB" w:rsidRPr="006D371E" w:rsidRDefault="005B6EBB" w:rsidP="005B6EBB">
            <w:pPr>
              <w:pStyle w:val="TAL"/>
              <w:rPr>
                <w:lang w:eastAsia="zh-CN"/>
              </w:rPr>
            </w:pPr>
            <w:r w:rsidRPr="006D371E">
              <w:rPr>
                <w:lang w:eastAsia="zh-CN"/>
              </w:rPr>
              <w:t>-</w:t>
            </w:r>
            <w:r>
              <w:rPr>
                <w:lang w:eastAsia="zh-CN"/>
              </w:rPr>
              <w:t>18</w:t>
            </w:r>
            <w:r w:rsidRPr="006D371E">
              <w:rPr>
                <w:rFonts w:hint="eastAsia"/>
                <w:lang w:eastAsia="zh-CN"/>
              </w:rPr>
              <w:t>≥Δ</w:t>
            </w:r>
            <w:r w:rsidRPr="006D371E">
              <w:rPr>
                <w:lang w:eastAsia="zh-CN"/>
              </w:rPr>
              <w:t>RSRP&gt;-</w:t>
            </w:r>
            <w:r>
              <w:rPr>
                <w:lang w:eastAsia="zh-CN"/>
              </w:rPr>
              <w:t>19</w:t>
            </w:r>
          </w:p>
        </w:tc>
        <w:tc>
          <w:tcPr>
            <w:tcW w:w="713" w:type="dxa"/>
            <w:shd w:val="clear" w:color="auto" w:fill="auto"/>
            <w:noWrap/>
          </w:tcPr>
          <w:p w14:paraId="3F50F744" w14:textId="77777777" w:rsidR="005B6EBB" w:rsidRPr="006D371E" w:rsidRDefault="005B6EBB" w:rsidP="005B6EBB">
            <w:pPr>
              <w:pStyle w:val="TAL"/>
              <w:rPr>
                <w:lang w:eastAsia="zh-CN"/>
              </w:rPr>
            </w:pPr>
            <w:r w:rsidRPr="006D371E">
              <w:rPr>
                <w:lang w:eastAsia="zh-CN"/>
              </w:rPr>
              <w:t>dB</w:t>
            </w:r>
          </w:p>
        </w:tc>
      </w:tr>
      <w:tr w:rsidR="005B6EBB" w:rsidRPr="006D371E" w14:paraId="0F5A723A" w14:textId="77777777" w:rsidTr="005B6EBB">
        <w:trPr>
          <w:trHeight w:val="187"/>
          <w:jc w:val="center"/>
        </w:trPr>
        <w:tc>
          <w:tcPr>
            <w:tcW w:w="1817" w:type="dxa"/>
            <w:shd w:val="clear" w:color="auto" w:fill="auto"/>
            <w:noWrap/>
          </w:tcPr>
          <w:p w14:paraId="24C3AD57" w14:textId="77777777" w:rsidR="005B6EBB" w:rsidRPr="006D371E" w:rsidRDefault="005B6EBB" w:rsidP="005B6EBB">
            <w:pPr>
              <w:pStyle w:val="TAL"/>
              <w:rPr>
                <w:lang w:eastAsia="zh-CN"/>
              </w:rPr>
            </w:pPr>
            <w:r w:rsidRPr="006D371E">
              <w:rPr>
                <w:lang w:eastAsia="zh-CN"/>
              </w:rPr>
              <w:t>DIFFRSRP_13</w:t>
            </w:r>
          </w:p>
        </w:tc>
        <w:tc>
          <w:tcPr>
            <w:tcW w:w="3204" w:type="dxa"/>
          </w:tcPr>
          <w:p w14:paraId="01DDB5B4" w14:textId="77777777" w:rsidR="005B6EBB" w:rsidRPr="006D371E" w:rsidRDefault="005B6EBB" w:rsidP="005B6EBB">
            <w:pPr>
              <w:pStyle w:val="TAL"/>
              <w:rPr>
                <w:lang w:eastAsia="zh-CN"/>
              </w:rPr>
            </w:pPr>
            <w:r w:rsidRPr="006D371E">
              <w:rPr>
                <w:lang w:eastAsia="zh-CN"/>
              </w:rPr>
              <w:t>-</w:t>
            </w:r>
            <w:r>
              <w:rPr>
                <w:lang w:eastAsia="zh-CN"/>
              </w:rPr>
              <w:t>17</w:t>
            </w:r>
            <w:r w:rsidRPr="006D371E">
              <w:rPr>
                <w:rFonts w:hint="eastAsia"/>
                <w:lang w:eastAsia="zh-CN"/>
              </w:rPr>
              <w:t>≥Δ</w:t>
            </w:r>
            <w:r w:rsidRPr="006D371E">
              <w:rPr>
                <w:lang w:eastAsia="zh-CN"/>
              </w:rPr>
              <w:t>RSRP&gt;-</w:t>
            </w:r>
            <w:r>
              <w:rPr>
                <w:lang w:eastAsia="zh-CN"/>
              </w:rPr>
              <w:t>18</w:t>
            </w:r>
          </w:p>
        </w:tc>
        <w:tc>
          <w:tcPr>
            <w:tcW w:w="713" w:type="dxa"/>
            <w:shd w:val="clear" w:color="auto" w:fill="auto"/>
            <w:noWrap/>
          </w:tcPr>
          <w:p w14:paraId="31907EBA" w14:textId="77777777" w:rsidR="005B6EBB" w:rsidRPr="006D371E" w:rsidRDefault="005B6EBB" w:rsidP="005B6EBB">
            <w:pPr>
              <w:pStyle w:val="TAL"/>
              <w:rPr>
                <w:lang w:eastAsia="zh-CN"/>
              </w:rPr>
            </w:pPr>
            <w:r w:rsidRPr="006D371E">
              <w:rPr>
                <w:lang w:eastAsia="zh-CN"/>
              </w:rPr>
              <w:t>dB</w:t>
            </w:r>
          </w:p>
        </w:tc>
      </w:tr>
      <w:tr w:rsidR="005B6EBB" w:rsidRPr="006D371E" w14:paraId="7209AFBA" w14:textId="77777777" w:rsidTr="005B6EBB">
        <w:trPr>
          <w:trHeight w:val="187"/>
          <w:jc w:val="center"/>
        </w:trPr>
        <w:tc>
          <w:tcPr>
            <w:tcW w:w="1817" w:type="dxa"/>
            <w:shd w:val="clear" w:color="auto" w:fill="auto"/>
            <w:noWrap/>
          </w:tcPr>
          <w:p w14:paraId="1BDCDE95" w14:textId="77777777" w:rsidR="005B6EBB" w:rsidRPr="006D371E" w:rsidRDefault="005B6EBB" w:rsidP="005B6EBB">
            <w:pPr>
              <w:pStyle w:val="TAL"/>
              <w:rPr>
                <w:lang w:eastAsia="zh-CN"/>
              </w:rPr>
            </w:pPr>
            <w:r w:rsidRPr="006D371E">
              <w:rPr>
                <w:lang w:eastAsia="zh-CN"/>
              </w:rPr>
              <w:t>DIFFRSRP_14</w:t>
            </w:r>
          </w:p>
        </w:tc>
        <w:tc>
          <w:tcPr>
            <w:tcW w:w="3204" w:type="dxa"/>
          </w:tcPr>
          <w:p w14:paraId="0353C6DC" w14:textId="77777777" w:rsidR="005B6EBB" w:rsidRPr="006D371E" w:rsidRDefault="005B6EBB" w:rsidP="005B6EBB">
            <w:pPr>
              <w:pStyle w:val="TAL"/>
              <w:rPr>
                <w:lang w:eastAsia="zh-CN"/>
              </w:rPr>
            </w:pPr>
            <w:r w:rsidRPr="006D371E">
              <w:rPr>
                <w:lang w:eastAsia="zh-CN"/>
              </w:rPr>
              <w:t>-</w:t>
            </w:r>
            <w:r>
              <w:rPr>
                <w:lang w:eastAsia="zh-CN"/>
              </w:rPr>
              <w:t>16</w:t>
            </w:r>
            <w:r w:rsidRPr="006D371E">
              <w:rPr>
                <w:rFonts w:hint="eastAsia"/>
                <w:lang w:eastAsia="zh-CN"/>
              </w:rPr>
              <w:t>≥Δ</w:t>
            </w:r>
            <w:r w:rsidRPr="006D371E">
              <w:rPr>
                <w:lang w:eastAsia="zh-CN"/>
              </w:rPr>
              <w:t>RSRP&gt;-</w:t>
            </w:r>
            <w:r>
              <w:rPr>
                <w:lang w:eastAsia="zh-CN"/>
              </w:rPr>
              <w:t>17</w:t>
            </w:r>
          </w:p>
        </w:tc>
        <w:tc>
          <w:tcPr>
            <w:tcW w:w="713" w:type="dxa"/>
            <w:shd w:val="clear" w:color="auto" w:fill="auto"/>
            <w:noWrap/>
          </w:tcPr>
          <w:p w14:paraId="40009966" w14:textId="77777777" w:rsidR="005B6EBB" w:rsidRPr="006D371E" w:rsidRDefault="005B6EBB" w:rsidP="005B6EBB">
            <w:pPr>
              <w:pStyle w:val="TAL"/>
              <w:rPr>
                <w:lang w:eastAsia="zh-CN"/>
              </w:rPr>
            </w:pPr>
            <w:r w:rsidRPr="006D371E">
              <w:rPr>
                <w:lang w:eastAsia="zh-CN"/>
              </w:rPr>
              <w:t>dB</w:t>
            </w:r>
          </w:p>
        </w:tc>
      </w:tr>
      <w:tr w:rsidR="005B6EBB" w:rsidRPr="006D371E" w14:paraId="2C6BEE8E" w14:textId="77777777" w:rsidTr="005B6EBB">
        <w:trPr>
          <w:trHeight w:val="187"/>
          <w:jc w:val="center"/>
        </w:trPr>
        <w:tc>
          <w:tcPr>
            <w:tcW w:w="1817" w:type="dxa"/>
            <w:shd w:val="clear" w:color="auto" w:fill="auto"/>
            <w:noWrap/>
          </w:tcPr>
          <w:p w14:paraId="78A762F6" w14:textId="77777777" w:rsidR="005B6EBB" w:rsidRPr="006D371E" w:rsidRDefault="005B6EBB" w:rsidP="005B6EBB">
            <w:pPr>
              <w:pStyle w:val="TAL"/>
              <w:rPr>
                <w:lang w:eastAsia="zh-CN"/>
              </w:rPr>
            </w:pPr>
            <w:r>
              <w:rPr>
                <w:lang w:eastAsia="zh-CN"/>
              </w:rPr>
              <w:t>…</w:t>
            </w:r>
          </w:p>
        </w:tc>
        <w:tc>
          <w:tcPr>
            <w:tcW w:w="3204" w:type="dxa"/>
          </w:tcPr>
          <w:p w14:paraId="488C62E4" w14:textId="77777777" w:rsidR="005B6EBB" w:rsidRPr="006D371E" w:rsidRDefault="005B6EBB" w:rsidP="005B6EBB">
            <w:pPr>
              <w:pStyle w:val="TAL"/>
              <w:rPr>
                <w:lang w:eastAsia="zh-CN"/>
              </w:rPr>
            </w:pPr>
            <w:r>
              <w:rPr>
                <w:lang w:eastAsia="zh-CN"/>
              </w:rPr>
              <w:t>…</w:t>
            </w:r>
          </w:p>
        </w:tc>
        <w:tc>
          <w:tcPr>
            <w:tcW w:w="713" w:type="dxa"/>
            <w:shd w:val="clear" w:color="auto" w:fill="auto"/>
            <w:noWrap/>
          </w:tcPr>
          <w:p w14:paraId="4CBA917B" w14:textId="77777777" w:rsidR="005B6EBB" w:rsidRPr="006D371E" w:rsidRDefault="005B6EBB" w:rsidP="005B6EBB">
            <w:pPr>
              <w:pStyle w:val="TAL"/>
              <w:rPr>
                <w:lang w:eastAsia="zh-CN"/>
              </w:rPr>
            </w:pPr>
            <w:r>
              <w:rPr>
                <w:lang w:eastAsia="zh-CN"/>
              </w:rPr>
              <w:t>…</w:t>
            </w:r>
          </w:p>
        </w:tc>
      </w:tr>
      <w:tr w:rsidR="005B6EBB" w:rsidRPr="006D371E" w14:paraId="6F926DC7" w14:textId="77777777" w:rsidTr="005B6EBB">
        <w:trPr>
          <w:trHeight w:val="187"/>
          <w:jc w:val="center"/>
        </w:trPr>
        <w:tc>
          <w:tcPr>
            <w:tcW w:w="1817" w:type="dxa"/>
            <w:shd w:val="clear" w:color="auto" w:fill="auto"/>
            <w:noWrap/>
          </w:tcPr>
          <w:p w14:paraId="43AB9361" w14:textId="77777777" w:rsidR="005B6EBB" w:rsidRPr="006D371E" w:rsidRDefault="005B6EBB" w:rsidP="005B6EBB">
            <w:pPr>
              <w:pStyle w:val="TAL"/>
              <w:rPr>
                <w:lang w:eastAsia="zh-CN"/>
              </w:rPr>
            </w:pPr>
            <w:r w:rsidRPr="006D371E">
              <w:rPr>
                <w:lang w:eastAsia="zh-CN"/>
              </w:rPr>
              <w:t>DIFFRSRP_</w:t>
            </w:r>
            <w:r>
              <w:rPr>
                <w:lang w:eastAsia="zh-CN"/>
              </w:rPr>
              <w:t>25</w:t>
            </w:r>
          </w:p>
        </w:tc>
        <w:tc>
          <w:tcPr>
            <w:tcW w:w="3204" w:type="dxa"/>
          </w:tcPr>
          <w:p w14:paraId="2841C941" w14:textId="77777777" w:rsidR="005B6EBB" w:rsidRPr="006D371E" w:rsidRDefault="005B6EBB" w:rsidP="005B6EBB">
            <w:pPr>
              <w:pStyle w:val="TAL"/>
              <w:rPr>
                <w:lang w:eastAsia="zh-CN"/>
              </w:rPr>
            </w:pPr>
            <w:r w:rsidRPr="006D371E">
              <w:rPr>
                <w:lang w:eastAsia="zh-CN"/>
              </w:rPr>
              <w:t>-</w:t>
            </w:r>
            <w:r>
              <w:rPr>
                <w:lang w:eastAsia="zh-CN"/>
              </w:rPr>
              <w:t>5</w:t>
            </w:r>
            <w:r w:rsidRPr="006D371E">
              <w:rPr>
                <w:rFonts w:hint="eastAsia"/>
                <w:lang w:eastAsia="zh-CN"/>
              </w:rPr>
              <w:t>≥Δ</w:t>
            </w:r>
            <w:r w:rsidRPr="006D371E">
              <w:rPr>
                <w:lang w:eastAsia="zh-CN"/>
              </w:rPr>
              <w:t>RSRP&gt;-</w:t>
            </w:r>
            <w:r>
              <w:rPr>
                <w:lang w:eastAsia="zh-CN"/>
              </w:rPr>
              <w:t>6</w:t>
            </w:r>
          </w:p>
        </w:tc>
        <w:tc>
          <w:tcPr>
            <w:tcW w:w="713" w:type="dxa"/>
            <w:shd w:val="clear" w:color="auto" w:fill="auto"/>
            <w:noWrap/>
          </w:tcPr>
          <w:p w14:paraId="7ED2945B" w14:textId="77777777" w:rsidR="005B6EBB" w:rsidRPr="006D371E" w:rsidRDefault="005B6EBB" w:rsidP="005B6EBB">
            <w:pPr>
              <w:pStyle w:val="TAL"/>
              <w:rPr>
                <w:lang w:eastAsia="zh-CN"/>
              </w:rPr>
            </w:pPr>
            <w:r w:rsidRPr="006D371E">
              <w:rPr>
                <w:lang w:eastAsia="zh-CN"/>
              </w:rPr>
              <w:t>dB</w:t>
            </w:r>
          </w:p>
        </w:tc>
      </w:tr>
      <w:tr w:rsidR="005B6EBB" w:rsidRPr="006D371E" w14:paraId="25CECCCC" w14:textId="77777777" w:rsidTr="005B6EBB">
        <w:trPr>
          <w:trHeight w:val="187"/>
          <w:jc w:val="center"/>
        </w:trPr>
        <w:tc>
          <w:tcPr>
            <w:tcW w:w="1817" w:type="dxa"/>
            <w:shd w:val="clear" w:color="auto" w:fill="auto"/>
            <w:noWrap/>
          </w:tcPr>
          <w:p w14:paraId="5F8A5BE9" w14:textId="77777777" w:rsidR="005B6EBB" w:rsidRPr="006D371E" w:rsidRDefault="005B6EBB" w:rsidP="005B6EBB">
            <w:pPr>
              <w:pStyle w:val="TAL"/>
              <w:rPr>
                <w:lang w:eastAsia="zh-CN"/>
              </w:rPr>
            </w:pPr>
            <w:r w:rsidRPr="006D371E">
              <w:rPr>
                <w:lang w:eastAsia="zh-CN"/>
              </w:rPr>
              <w:t>DIFFRSRP_</w:t>
            </w:r>
            <w:r>
              <w:rPr>
                <w:lang w:eastAsia="zh-CN"/>
              </w:rPr>
              <w:t>26</w:t>
            </w:r>
          </w:p>
        </w:tc>
        <w:tc>
          <w:tcPr>
            <w:tcW w:w="3204" w:type="dxa"/>
          </w:tcPr>
          <w:p w14:paraId="59F4D3C8" w14:textId="77777777" w:rsidR="005B6EBB" w:rsidRPr="006D371E" w:rsidRDefault="005B6EBB" w:rsidP="005B6EBB">
            <w:pPr>
              <w:pStyle w:val="TAL"/>
              <w:rPr>
                <w:lang w:eastAsia="zh-CN"/>
              </w:rPr>
            </w:pPr>
            <w:r w:rsidRPr="006D371E">
              <w:rPr>
                <w:lang w:eastAsia="zh-CN"/>
              </w:rPr>
              <w:t>-</w:t>
            </w:r>
            <w:r>
              <w:rPr>
                <w:lang w:eastAsia="zh-CN"/>
              </w:rPr>
              <w:t>4</w:t>
            </w:r>
            <w:r w:rsidRPr="006D371E">
              <w:rPr>
                <w:rFonts w:hint="eastAsia"/>
                <w:lang w:eastAsia="zh-CN"/>
              </w:rPr>
              <w:t>≥Δ</w:t>
            </w:r>
            <w:r w:rsidRPr="006D371E">
              <w:rPr>
                <w:lang w:eastAsia="zh-CN"/>
              </w:rPr>
              <w:t>RSRP&gt;-</w:t>
            </w:r>
            <w:r>
              <w:rPr>
                <w:lang w:eastAsia="zh-CN"/>
              </w:rPr>
              <w:t>5</w:t>
            </w:r>
          </w:p>
        </w:tc>
        <w:tc>
          <w:tcPr>
            <w:tcW w:w="713" w:type="dxa"/>
            <w:shd w:val="clear" w:color="auto" w:fill="auto"/>
            <w:noWrap/>
          </w:tcPr>
          <w:p w14:paraId="206D8D34" w14:textId="77777777" w:rsidR="005B6EBB" w:rsidRPr="006D371E" w:rsidRDefault="005B6EBB" w:rsidP="005B6EBB">
            <w:pPr>
              <w:pStyle w:val="TAL"/>
              <w:rPr>
                <w:lang w:eastAsia="zh-CN"/>
              </w:rPr>
            </w:pPr>
            <w:r w:rsidRPr="006D371E">
              <w:rPr>
                <w:lang w:eastAsia="zh-CN"/>
              </w:rPr>
              <w:t>dB</w:t>
            </w:r>
          </w:p>
        </w:tc>
      </w:tr>
      <w:tr w:rsidR="005B6EBB" w:rsidRPr="006D371E" w14:paraId="7C4F701F" w14:textId="77777777" w:rsidTr="005B6EBB">
        <w:trPr>
          <w:trHeight w:val="187"/>
          <w:jc w:val="center"/>
        </w:trPr>
        <w:tc>
          <w:tcPr>
            <w:tcW w:w="1817" w:type="dxa"/>
            <w:shd w:val="clear" w:color="auto" w:fill="auto"/>
            <w:noWrap/>
          </w:tcPr>
          <w:p w14:paraId="09937DD6" w14:textId="77777777" w:rsidR="005B6EBB" w:rsidRPr="006D371E" w:rsidRDefault="005B6EBB" w:rsidP="005B6EBB">
            <w:pPr>
              <w:pStyle w:val="TAL"/>
              <w:rPr>
                <w:lang w:eastAsia="zh-CN"/>
              </w:rPr>
            </w:pPr>
            <w:r w:rsidRPr="006D371E">
              <w:rPr>
                <w:lang w:eastAsia="zh-CN"/>
              </w:rPr>
              <w:t>DIFFRSRP_</w:t>
            </w:r>
            <w:r>
              <w:rPr>
                <w:lang w:eastAsia="zh-CN"/>
              </w:rPr>
              <w:t>27</w:t>
            </w:r>
          </w:p>
        </w:tc>
        <w:tc>
          <w:tcPr>
            <w:tcW w:w="3204" w:type="dxa"/>
          </w:tcPr>
          <w:p w14:paraId="7A4F3868" w14:textId="77777777" w:rsidR="005B6EBB" w:rsidRPr="006D371E" w:rsidRDefault="005B6EBB" w:rsidP="005B6EBB">
            <w:pPr>
              <w:pStyle w:val="TAL"/>
              <w:rPr>
                <w:lang w:eastAsia="zh-CN"/>
              </w:rPr>
            </w:pPr>
            <w:r w:rsidRPr="006D371E">
              <w:rPr>
                <w:lang w:eastAsia="zh-CN"/>
              </w:rPr>
              <w:t>-</w:t>
            </w:r>
            <w:r>
              <w:rPr>
                <w:lang w:eastAsia="zh-CN"/>
              </w:rPr>
              <w:t>3</w:t>
            </w:r>
            <w:r w:rsidRPr="006D371E">
              <w:rPr>
                <w:rFonts w:hint="eastAsia"/>
                <w:lang w:eastAsia="zh-CN"/>
              </w:rPr>
              <w:t>≥Δ</w:t>
            </w:r>
            <w:r w:rsidRPr="006D371E">
              <w:rPr>
                <w:lang w:eastAsia="zh-CN"/>
              </w:rPr>
              <w:t>RSRP&gt;-</w:t>
            </w:r>
            <w:r>
              <w:rPr>
                <w:lang w:eastAsia="zh-CN"/>
              </w:rPr>
              <w:t>4</w:t>
            </w:r>
          </w:p>
        </w:tc>
        <w:tc>
          <w:tcPr>
            <w:tcW w:w="713" w:type="dxa"/>
            <w:shd w:val="clear" w:color="auto" w:fill="auto"/>
            <w:noWrap/>
          </w:tcPr>
          <w:p w14:paraId="4C33DA6D" w14:textId="77777777" w:rsidR="005B6EBB" w:rsidRPr="006D371E" w:rsidRDefault="005B6EBB" w:rsidP="005B6EBB">
            <w:pPr>
              <w:pStyle w:val="TAL"/>
              <w:rPr>
                <w:lang w:eastAsia="zh-CN"/>
              </w:rPr>
            </w:pPr>
            <w:r w:rsidRPr="006D371E">
              <w:rPr>
                <w:lang w:eastAsia="zh-CN"/>
              </w:rPr>
              <w:t>dB</w:t>
            </w:r>
          </w:p>
        </w:tc>
      </w:tr>
      <w:tr w:rsidR="005B6EBB" w:rsidRPr="006D371E" w14:paraId="6308A33D" w14:textId="77777777" w:rsidTr="005B6EBB">
        <w:trPr>
          <w:trHeight w:val="187"/>
          <w:jc w:val="center"/>
        </w:trPr>
        <w:tc>
          <w:tcPr>
            <w:tcW w:w="1817" w:type="dxa"/>
            <w:shd w:val="clear" w:color="auto" w:fill="auto"/>
            <w:noWrap/>
          </w:tcPr>
          <w:p w14:paraId="0E8D3E04" w14:textId="77777777" w:rsidR="005B6EBB" w:rsidRPr="006D371E" w:rsidRDefault="005B6EBB" w:rsidP="005B6EBB">
            <w:pPr>
              <w:pStyle w:val="TAL"/>
              <w:rPr>
                <w:lang w:eastAsia="zh-CN"/>
              </w:rPr>
            </w:pPr>
            <w:r w:rsidRPr="006D371E">
              <w:rPr>
                <w:lang w:eastAsia="zh-CN"/>
              </w:rPr>
              <w:t>DIFFRSRP_</w:t>
            </w:r>
            <w:r>
              <w:rPr>
                <w:lang w:eastAsia="zh-CN"/>
              </w:rPr>
              <w:t>28</w:t>
            </w:r>
          </w:p>
        </w:tc>
        <w:tc>
          <w:tcPr>
            <w:tcW w:w="3204" w:type="dxa"/>
          </w:tcPr>
          <w:p w14:paraId="5B90D088" w14:textId="77777777" w:rsidR="005B6EBB" w:rsidRPr="006D371E" w:rsidRDefault="005B6EBB" w:rsidP="005B6EBB">
            <w:pPr>
              <w:pStyle w:val="TAL"/>
              <w:rPr>
                <w:lang w:eastAsia="zh-CN"/>
              </w:rPr>
            </w:pPr>
            <w:r w:rsidRPr="006D371E">
              <w:rPr>
                <w:lang w:eastAsia="zh-CN"/>
              </w:rPr>
              <w:t>-</w:t>
            </w:r>
            <w:r>
              <w:rPr>
                <w:lang w:eastAsia="zh-CN"/>
              </w:rPr>
              <w:t>2</w:t>
            </w:r>
            <w:r w:rsidRPr="006D371E">
              <w:rPr>
                <w:rFonts w:hint="eastAsia"/>
                <w:lang w:eastAsia="zh-CN"/>
              </w:rPr>
              <w:t>≥Δ</w:t>
            </w:r>
            <w:r w:rsidRPr="006D371E">
              <w:rPr>
                <w:lang w:eastAsia="zh-CN"/>
              </w:rPr>
              <w:t>RSRP&gt;-</w:t>
            </w:r>
            <w:r>
              <w:rPr>
                <w:lang w:eastAsia="zh-CN"/>
              </w:rPr>
              <w:t>3</w:t>
            </w:r>
          </w:p>
        </w:tc>
        <w:tc>
          <w:tcPr>
            <w:tcW w:w="713" w:type="dxa"/>
            <w:shd w:val="clear" w:color="auto" w:fill="auto"/>
            <w:noWrap/>
          </w:tcPr>
          <w:p w14:paraId="5D9CCA45" w14:textId="77777777" w:rsidR="005B6EBB" w:rsidRPr="006D371E" w:rsidRDefault="005B6EBB" w:rsidP="005B6EBB">
            <w:pPr>
              <w:pStyle w:val="TAL"/>
              <w:rPr>
                <w:lang w:eastAsia="zh-CN"/>
              </w:rPr>
            </w:pPr>
            <w:r w:rsidRPr="006D371E">
              <w:rPr>
                <w:lang w:eastAsia="zh-CN"/>
              </w:rPr>
              <w:t>dB</w:t>
            </w:r>
          </w:p>
        </w:tc>
      </w:tr>
      <w:tr w:rsidR="005B6EBB" w:rsidRPr="006D371E" w14:paraId="2366FCB2" w14:textId="77777777" w:rsidTr="005B6EBB">
        <w:trPr>
          <w:trHeight w:val="187"/>
          <w:jc w:val="center"/>
        </w:trPr>
        <w:tc>
          <w:tcPr>
            <w:tcW w:w="1817" w:type="dxa"/>
            <w:shd w:val="clear" w:color="auto" w:fill="auto"/>
            <w:noWrap/>
          </w:tcPr>
          <w:p w14:paraId="5D6B43C2" w14:textId="77777777" w:rsidR="005B6EBB" w:rsidRPr="006D371E" w:rsidRDefault="005B6EBB" w:rsidP="005B6EBB">
            <w:pPr>
              <w:pStyle w:val="TAL"/>
              <w:rPr>
                <w:lang w:eastAsia="zh-CN"/>
              </w:rPr>
            </w:pPr>
            <w:r w:rsidRPr="006D371E">
              <w:rPr>
                <w:lang w:eastAsia="zh-CN"/>
              </w:rPr>
              <w:t>DIFFRSRP_</w:t>
            </w:r>
            <w:r>
              <w:rPr>
                <w:lang w:eastAsia="zh-CN"/>
              </w:rPr>
              <w:t>29</w:t>
            </w:r>
          </w:p>
        </w:tc>
        <w:tc>
          <w:tcPr>
            <w:tcW w:w="3204" w:type="dxa"/>
          </w:tcPr>
          <w:p w14:paraId="77135931" w14:textId="77777777" w:rsidR="005B6EBB" w:rsidRPr="006D371E" w:rsidRDefault="005B6EBB" w:rsidP="005B6EBB">
            <w:pPr>
              <w:pStyle w:val="TAL"/>
              <w:rPr>
                <w:lang w:eastAsia="zh-CN"/>
              </w:rPr>
            </w:pPr>
            <w:r w:rsidRPr="006D371E">
              <w:rPr>
                <w:lang w:eastAsia="zh-CN"/>
              </w:rPr>
              <w:t>-</w:t>
            </w:r>
            <w:r>
              <w:rPr>
                <w:lang w:eastAsia="zh-CN"/>
              </w:rPr>
              <w:t>1</w:t>
            </w:r>
            <w:r w:rsidRPr="006D371E">
              <w:rPr>
                <w:rFonts w:hint="eastAsia"/>
                <w:lang w:eastAsia="zh-CN"/>
              </w:rPr>
              <w:t>≥Δ</w:t>
            </w:r>
            <w:r w:rsidRPr="006D371E">
              <w:rPr>
                <w:lang w:eastAsia="zh-CN"/>
              </w:rPr>
              <w:t>RSRP&gt;-</w:t>
            </w:r>
            <w:r>
              <w:rPr>
                <w:lang w:eastAsia="zh-CN"/>
              </w:rPr>
              <w:t>2</w:t>
            </w:r>
          </w:p>
        </w:tc>
        <w:tc>
          <w:tcPr>
            <w:tcW w:w="713" w:type="dxa"/>
            <w:shd w:val="clear" w:color="auto" w:fill="auto"/>
            <w:noWrap/>
          </w:tcPr>
          <w:p w14:paraId="3C51A656" w14:textId="77777777" w:rsidR="005B6EBB" w:rsidRPr="006D371E" w:rsidRDefault="005B6EBB" w:rsidP="005B6EBB">
            <w:pPr>
              <w:pStyle w:val="TAL"/>
              <w:rPr>
                <w:lang w:eastAsia="zh-CN"/>
              </w:rPr>
            </w:pPr>
            <w:r w:rsidRPr="006D371E">
              <w:rPr>
                <w:lang w:eastAsia="zh-CN"/>
              </w:rPr>
              <w:t>dB</w:t>
            </w:r>
          </w:p>
        </w:tc>
      </w:tr>
      <w:tr w:rsidR="005B6EBB" w:rsidRPr="006D371E" w14:paraId="696846FE" w14:textId="77777777" w:rsidTr="005B6EBB">
        <w:trPr>
          <w:trHeight w:val="187"/>
          <w:jc w:val="center"/>
        </w:trPr>
        <w:tc>
          <w:tcPr>
            <w:tcW w:w="1817" w:type="dxa"/>
            <w:shd w:val="clear" w:color="auto" w:fill="auto"/>
            <w:noWrap/>
          </w:tcPr>
          <w:p w14:paraId="40F90F22" w14:textId="77777777" w:rsidR="005B6EBB" w:rsidRPr="006D371E" w:rsidRDefault="005B6EBB" w:rsidP="005B6EBB">
            <w:pPr>
              <w:pStyle w:val="TAL"/>
              <w:rPr>
                <w:lang w:eastAsia="zh-CN"/>
              </w:rPr>
            </w:pPr>
            <w:r w:rsidRPr="006D371E">
              <w:rPr>
                <w:lang w:eastAsia="zh-CN"/>
              </w:rPr>
              <w:t>DIFFRSRP_</w:t>
            </w:r>
            <w:r>
              <w:rPr>
                <w:lang w:eastAsia="zh-CN"/>
              </w:rPr>
              <w:t>30</w:t>
            </w:r>
          </w:p>
        </w:tc>
        <w:tc>
          <w:tcPr>
            <w:tcW w:w="3204" w:type="dxa"/>
          </w:tcPr>
          <w:p w14:paraId="2DC6565B" w14:textId="77777777" w:rsidR="005B6EBB" w:rsidRPr="006D371E" w:rsidRDefault="005B6EBB" w:rsidP="005B6EBB">
            <w:pPr>
              <w:pStyle w:val="TAL"/>
              <w:rPr>
                <w:lang w:eastAsia="zh-CN"/>
              </w:rPr>
            </w:pPr>
            <w:r w:rsidRPr="006D371E">
              <w:rPr>
                <w:lang w:eastAsia="zh-CN"/>
              </w:rPr>
              <w:t>0</w:t>
            </w:r>
            <w:r w:rsidRPr="006D371E">
              <w:rPr>
                <w:rFonts w:hint="eastAsia"/>
                <w:lang w:eastAsia="zh-CN"/>
              </w:rPr>
              <w:t>≥Δ</w:t>
            </w:r>
            <w:r w:rsidRPr="006D371E">
              <w:rPr>
                <w:lang w:eastAsia="zh-CN"/>
              </w:rPr>
              <w:t>RSRP&gt;-</w:t>
            </w:r>
            <w:r>
              <w:rPr>
                <w:lang w:eastAsia="zh-CN"/>
              </w:rPr>
              <w:t>1</w:t>
            </w:r>
          </w:p>
        </w:tc>
        <w:tc>
          <w:tcPr>
            <w:tcW w:w="713" w:type="dxa"/>
            <w:shd w:val="clear" w:color="auto" w:fill="auto"/>
            <w:noWrap/>
          </w:tcPr>
          <w:p w14:paraId="2CEBB415" w14:textId="77777777" w:rsidR="005B6EBB" w:rsidRPr="006D371E" w:rsidRDefault="005B6EBB" w:rsidP="005B6EBB">
            <w:pPr>
              <w:pStyle w:val="TAL"/>
              <w:rPr>
                <w:lang w:eastAsia="zh-CN"/>
              </w:rPr>
            </w:pPr>
            <w:r w:rsidRPr="006D371E">
              <w:rPr>
                <w:lang w:eastAsia="zh-CN"/>
              </w:rPr>
              <w:t>dB</w:t>
            </w:r>
          </w:p>
        </w:tc>
      </w:tr>
      <w:tr w:rsidR="005B6EBB" w:rsidRPr="006D371E" w14:paraId="42D31B73" w14:textId="77777777" w:rsidTr="005B6EBB">
        <w:trPr>
          <w:trHeight w:val="187"/>
          <w:jc w:val="center"/>
        </w:trPr>
        <w:tc>
          <w:tcPr>
            <w:tcW w:w="1817" w:type="dxa"/>
            <w:shd w:val="clear" w:color="auto" w:fill="auto"/>
            <w:noWrap/>
          </w:tcPr>
          <w:p w14:paraId="60787568" w14:textId="77777777" w:rsidR="005B6EBB" w:rsidRPr="006D371E" w:rsidRDefault="005B6EBB" w:rsidP="005B6EBB">
            <w:pPr>
              <w:pStyle w:val="TAL"/>
              <w:rPr>
                <w:lang w:eastAsia="zh-CN"/>
              </w:rPr>
            </w:pPr>
            <w:r w:rsidRPr="006D371E">
              <w:rPr>
                <w:lang w:eastAsia="zh-CN"/>
              </w:rPr>
              <w:t>DIFFRSRP_</w:t>
            </w:r>
            <w:r>
              <w:rPr>
                <w:rFonts w:hint="eastAsia"/>
                <w:lang w:eastAsia="zh-CN"/>
              </w:rPr>
              <w:t>31</w:t>
            </w:r>
          </w:p>
        </w:tc>
        <w:tc>
          <w:tcPr>
            <w:tcW w:w="3204" w:type="dxa"/>
          </w:tcPr>
          <w:p w14:paraId="083D0FA5" w14:textId="77777777" w:rsidR="005B6EBB" w:rsidRPr="006D371E" w:rsidRDefault="005B6EBB" w:rsidP="005B6EBB">
            <w:pPr>
              <w:pStyle w:val="TAL"/>
              <w:rPr>
                <w:lang w:eastAsia="zh-CN"/>
              </w:rPr>
            </w:pPr>
            <w:r>
              <w:rPr>
                <w:rFonts w:hint="eastAsia"/>
                <w:lang w:eastAsia="zh-CN"/>
              </w:rPr>
              <w:t>1</w:t>
            </w:r>
            <w:r w:rsidRPr="006D371E">
              <w:rPr>
                <w:rFonts w:hint="eastAsia"/>
                <w:lang w:eastAsia="zh-CN"/>
              </w:rPr>
              <w:t>≥Δ</w:t>
            </w:r>
            <w:r w:rsidRPr="006D371E">
              <w:rPr>
                <w:lang w:eastAsia="zh-CN"/>
              </w:rPr>
              <w:t>RSRP&gt;</w:t>
            </w:r>
            <w:r>
              <w:rPr>
                <w:rFonts w:hint="eastAsia"/>
                <w:lang w:eastAsia="zh-CN"/>
              </w:rPr>
              <w:t>0</w:t>
            </w:r>
          </w:p>
        </w:tc>
        <w:tc>
          <w:tcPr>
            <w:tcW w:w="713" w:type="dxa"/>
            <w:shd w:val="clear" w:color="auto" w:fill="auto"/>
            <w:noWrap/>
          </w:tcPr>
          <w:p w14:paraId="298DDFE5" w14:textId="77777777" w:rsidR="005B6EBB" w:rsidRPr="006D371E" w:rsidRDefault="005B6EBB" w:rsidP="005B6EBB">
            <w:pPr>
              <w:pStyle w:val="TAL"/>
              <w:rPr>
                <w:lang w:eastAsia="zh-CN"/>
              </w:rPr>
            </w:pPr>
            <w:r w:rsidRPr="006D371E">
              <w:rPr>
                <w:lang w:eastAsia="zh-CN"/>
              </w:rPr>
              <w:t>dB</w:t>
            </w:r>
          </w:p>
        </w:tc>
      </w:tr>
      <w:tr w:rsidR="005B6EBB" w:rsidRPr="006D371E" w14:paraId="3F7177B8" w14:textId="77777777" w:rsidTr="005B6EBB">
        <w:trPr>
          <w:trHeight w:val="187"/>
          <w:jc w:val="center"/>
        </w:trPr>
        <w:tc>
          <w:tcPr>
            <w:tcW w:w="1817" w:type="dxa"/>
            <w:shd w:val="clear" w:color="auto" w:fill="auto"/>
            <w:noWrap/>
          </w:tcPr>
          <w:p w14:paraId="37D0DAA7" w14:textId="77777777" w:rsidR="005B6EBB" w:rsidRPr="006D371E" w:rsidRDefault="005B6EBB" w:rsidP="005B6EBB">
            <w:pPr>
              <w:pStyle w:val="TAL"/>
              <w:rPr>
                <w:lang w:eastAsia="zh-CN"/>
              </w:rPr>
            </w:pPr>
            <w:r w:rsidRPr="006D371E">
              <w:rPr>
                <w:lang w:eastAsia="zh-CN"/>
              </w:rPr>
              <w:t>DIFFRSRP_</w:t>
            </w:r>
            <w:r>
              <w:rPr>
                <w:rFonts w:hint="eastAsia"/>
                <w:lang w:eastAsia="zh-CN"/>
              </w:rPr>
              <w:t>32</w:t>
            </w:r>
          </w:p>
        </w:tc>
        <w:tc>
          <w:tcPr>
            <w:tcW w:w="3204" w:type="dxa"/>
          </w:tcPr>
          <w:p w14:paraId="62610445" w14:textId="77777777" w:rsidR="005B6EBB" w:rsidRPr="006D371E" w:rsidRDefault="005B6EBB" w:rsidP="005B6EBB">
            <w:pPr>
              <w:pStyle w:val="TAL"/>
              <w:rPr>
                <w:lang w:eastAsia="zh-CN"/>
              </w:rPr>
            </w:pPr>
            <w:r>
              <w:rPr>
                <w:rFonts w:hint="eastAsia"/>
                <w:lang w:eastAsia="zh-CN"/>
              </w:rPr>
              <w:t>2</w:t>
            </w:r>
            <w:r w:rsidRPr="006D371E">
              <w:rPr>
                <w:rFonts w:hint="eastAsia"/>
                <w:lang w:eastAsia="zh-CN"/>
              </w:rPr>
              <w:t>≥Δ</w:t>
            </w:r>
            <w:r w:rsidRPr="006D371E">
              <w:rPr>
                <w:lang w:eastAsia="zh-CN"/>
              </w:rPr>
              <w:t>RSRP&gt;</w:t>
            </w:r>
            <w:r>
              <w:rPr>
                <w:rFonts w:hint="eastAsia"/>
                <w:lang w:eastAsia="zh-CN"/>
              </w:rPr>
              <w:t>1</w:t>
            </w:r>
          </w:p>
        </w:tc>
        <w:tc>
          <w:tcPr>
            <w:tcW w:w="713" w:type="dxa"/>
            <w:shd w:val="clear" w:color="auto" w:fill="auto"/>
            <w:noWrap/>
          </w:tcPr>
          <w:p w14:paraId="3EEDAF79" w14:textId="77777777" w:rsidR="005B6EBB" w:rsidRPr="006D371E" w:rsidRDefault="005B6EBB" w:rsidP="005B6EBB">
            <w:pPr>
              <w:pStyle w:val="TAL"/>
              <w:rPr>
                <w:lang w:eastAsia="zh-CN"/>
              </w:rPr>
            </w:pPr>
            <w:r w:rsidRPr="006D371E">
              <w:rPr>
                <w:lang w:eastAsia="zh-CN"/>
              </w:rPr>
              <w:t>dB</w:t>
            </w:r>
          </w:p>
        </w:tc>
      </w:tr>
      <w:tr w:rsidR="005B6EBB" w:rsidRPr="006D371E" w14:paraId="027DB978" w14:textId="77777777" w:rsidTr="005B6EBB">
        <w:trPr>
          <w:trHeight w:val="187"/>
          <w:jc w:val="center"/>
        </w:trPr>
        <w:tc>
          <w:tcPr>
            <w:tcW w:w="1817" w:type="dxa"/>
            <w:shd w:val="clear" w:color="auto" w:fill="auto"/>
            <w:noWrap/>
          </w:tcPr>
          <w:p w14:paraId="7F0AA19C" w14:textId="77777777" w:rsidR="005B6EBB" w:rsidRPr="006D371E" w:rsidRDefault="005B6EBB" w:rsidP="005B6EBB">
            <w:pPr>
              <w:pStyle w:val="TAL"/>
              <w:rPr>
                <w:lang w:eastAsia="zh-CN"/>
              </w:rPr>
            </w:pPr>
            <w:r w:rsidRPr="006D371E">
              <w:rPr>
                <w:lang w:eastAsia="zh-CN"/>
              </w:rPr>
              <w:t>DIFFRSRP_</w:t>
            </w:r>
            <w:r>
              <w:rPr>
                <w:rFonts w:hint="eastAsia"/>
                <w:lang w:eastAsia="zh-CN"/>
              </w:rPr>
              <w:t>33</w:t>
            </w:r>
          </w:p>
        </w:tc>
        <w:tc>
          <w:tcPr>
            <w:tcW w:w="3204" w:type="dxa"/>
          </w:tcPr>
          <w:p w14:paraId="55E6E0B8" w14:textId="77777777" w:rsidR="005B6EBB" w:rsidRPr="006D371E" w:rsidRDefault="005B6EBB" w:rsidP="005B6EBB">
            <w:pPr>
              <w:pStyle w:val="TAL"/>
              <w:rPr>
                <w:lang w:eastAsia="zh-CN"/>
              </w:rPr>
            </w:pPr>
            <w:r>
              <w:rPr>
                <w:rFonts w:hint="eastAsia"/>
                <w:lang w:eastAsia="zh-CN"/>
              </w:rPr>
              <w:t>3</w:t>
            </w:r>
            <w:r w:rsidRPr="006D371E">
              <w:rPr>
                <w:rFonts w:hint="eastAsia"/>
                <w:lang w:eastAsia="zh-CN"/>
              </w:rPr>
              <w:t>≥Δ</w:t>
            </w:r>
            <w:r w:rsidRPr="006D371E">
              <w:rPr>
                <w:lang w:eastAsia="zh-CN"/>
              </w:rPr>
              <w:t>RSRP&gt;</w:t>
            </w:r>
            <w:r>
              <w:rPr>
                <w:rFonts w:hint="eastAsia"/>
                <w:lang w:eastAsia="zh-CN"/>
              </w:rPr>
              <w:t>2</w:t>
            </w:r>
          </w:p>
        </w:tc>
        <w:tc>
          <w:tcPr>
            <w:tcW w:w="713" w:type="dxa"/>
            <w:shd w:val="clear" w:color="auto" w:fill="auto"/>
            <w:noWrap/>
          </w:tcPr>
          <w:p w14:paraId="1547E736" w14:textId="77777777" w:rsidR="005B6EBB" w:rsidRPr="006D371E" w:rsidRDefault="005B6EBB" w:rsidP="005B6EBB">
            <w:pPr>
              <w:pStyle w:val="TAL"/>
              <w:rPr>
                <w:lang w:eastAsia="zh-CN"/>
              </w:rPr>
            </w:pPr>
            <w:r w:rsidRPr="006D371E">
              <w:rPr>
                <w:lang w:eastAsia="zh-CN"/>
              </w:rPr>
              <w:t>dB</w:t>
            </w:r>
          </w:p>
        </w:tc>
      </w:tr>
      <w:tr w:rsidR="005B6EBB" w:rsidRPr="006D371E" w14:paraId="79F1F431" w14:textId="77777777" w:rsidTr="005B6EBB">
        <w:trPr>
          <w:trHeight w:val="187"/>
          <w:jc w:val="center"/>
        </w:trPr>
        <w:tc>
          <w:tcPr>
            <w:tcW w:w="1817" w:type="dxa"/>
            <w:shd w:val="clear" w:color="auto" w:fill="auto"/>
            <w:noWrap/>
          </w:tcPr>
          <w:p w14:paraId="2C40E293" w14:textId="77777777" w:rsidR="005B6EBB" w:rsidRPr="006D371E" w:rsidRDefault="005B6EBB" w:rsidP="005B6EBB">
            <w:pPr>
              <w:pStyle w:val="TAL"/>
              <w:rPr>
                <w:lang w:eastAsia="zh-CN"/>
              </w:rPr>
            </w:pPr>
            <w:r w:rsidRPr="006D371E">
              <w:rPr>
                <w:lang w:eastAsia="zh-CN"/>
              </w:rPr>
              <w:t>DIFFRSRP_</w:t>
            </w:r>
            <w:r>
              <w:rPr>
                <w:rFonts w:hint="eastAsia"/>
                <w:lang w:eastAsia="zh-CN"/>
              </w:rPr>
              <w:t>34</w:t>
            </w:r>
          </w:p>
        </w:tc>
        <w:tc>
          <w:tcPr>
            <w:tcW w:w="3204" w:type="dxa"/>
          </w:tcPr>
          <w:p w14:paraId="5040DACD" w14:textId="77777777" w:rsidR="005B6EBB" w:rsidRPr="006D371E" w:rsidRDefault="005B6EBB" w:rsidP="005B6EBB">
            <w:pPr>
              <w:pStyle w:val="TAL"/>
              <w:rPr>
                <w:lang w:eastAsia="zh-CN"/>
              </w:rPr>
            </w:pPr>
            <w:r>
              <w:rPr>
                <w:rFonts w:hint="eastAsia"/>
                <w:lang w:eastAsia="zh-CN"/>
              </w:rPr>
              <w:t>4</w:t>
            </w:r>
            <w:r w:rsidRPr="006D371E">
              <w:rPr>
                <w:rFonts w:hint="eastAsia"/>
                <w:lang w:eastAsia="zh-CN"/>
              </w:rPr>
              <w:t>≥Δ</w:t>
            </w:r>
            <w:r w:rsidRPr="006D371E">
              <w:rPr>
                <w:lang w:eastAsia="zh-CN"/>
              </w:rPr>
              <w:t>RSRP&gt;</w:t>
            </w:r>
            <w:r>
              <w:rPr>
                <w:rFonts w:hint="eastAsia"/>
                <w:lang w:eastAsia="zh-CN"/>
              </w:rPr>
              <w:t>3</w:t>
            </w:r>
          </w:p>
        </w:tc>
        <w:tc>
          <w:tcPr>
            <w:tcW w:w="713" w:type="dxa"/>
            <w:shd w:val="clear" w:color="auto" w:fill="auto"/>
            <w:noWrap/>
          </w:tcPr>
          <w:p w14:paraId="6316BA32" w14:textId="77777777" w:rsidR="005B6EBB" w:rsidRPr="006D371E" w:rsidRDefault="005B6EBB" w:rsidP="005B6EBB">
            <w:pPr>
              <w:pStyle w:val="TAL"/>
              <w:rPr>
                <w:lang w:eastAsia="zh-CN"/>
              </w:rPr>
            </w:pPr>
            <w:r w:rsidRPr="006D371E">
              <w:rPr>
                <w:lang w:eastAsia="zh-CN"/>
              </w:rPr>
              <w:t>dB</w:t>
            </w:r>
          </w:p>
        </w:tc>
      </w:tr>
      <w:tr w:rsidR="005B6EBB" w:rsidRPr="006D371E" w14:paraId="3E99FE7B" w14:textId="77777777" w:rsidTr="005B6EBB">
        <w:trPr>
          <w:trHeight w:val="187"/>
          <w:jc w:val="center"/>
        </w:trPr>
        <w:tc>
          <w:tcPr>
            <w:tcW w:w="1817" w:type="dxa"/>
            <w:shd w:val="clear" w:color="auto" w:fill="auto"/>
            <w:noWrap/>
          </w:tcPr>
          <w:p w14:paraId="5231E872" w14:textId="77777777" w:rsidR="005B6EBB" w:rsidRPr="006D371E" w:rsidRDefault="005B6EBB" w:rsidP="005B6EBB">
            <w:pPr>
              <w:pStyle w:val="TAL"/>
              <w:rPr>
                <w:lang w:eastAsia="zh-CN"/>
              </w:rPr>
            </w:pPr>
            <w:r w:rsidRPr="006D371E">
              <w:rPr>
                <w:lang w:eastAsia="zh-CN"/>
              </w:rPr>
              <w:t>DIFFRSRP_</w:t>
            </w:r>
            <w:r>
              <w:rPr>
                <w:rFonts w:hint="eastAsia"/>
                <w:lang w:eastAsia="zh-CN"/>
              </w:rPr>
              <w:t>35</w:t>
            </w:r>
          </w:p>
        </w:tc>
        <w:tc>
          <w:tcPr>
            <w:tcW w:w="3204" w:type="dxa"/>
          </w:tcPr>
          <w:p w14:paraId="5FAF45F0" w14:textId="77777777" w:rsidR="005B6EBB" w:rsidRDefault="005B6EBB" w:rsidP="005B6EBB">
            <w:pPr>
              <w:pStyle w:val="TAL"/>
              <w:rPr>
                <w:lang w:eastAsia="zh-CN"/>
              </w:rPr>
            </w:pPr>
            <w:r>
              <w:rPr>
                <w:lang w:eastAsia="zh-CN"/>
              </w:rPr>
              <w:t>5</w:t>
            </w:r>
            <w:r w:rsidRPr="006D371E">
              <w:rPr>
                <w:rFonts w:hint="eastAsia"/>
                <w:lang w:eastAsia="zh-CN"/>
              </w:rPr>
              <w:t>≥Δ</w:t>
            </w:r>
            <w:r w:rsidRPr="006D371E">
              <w:rPr>
                <w:lang w:eastAsia="zh-CN"/>
              </w:rPr>
              <w:t>RSRP&gt;</w:t>
            </w:r>
            <w:r>
              <w:rPr>
                <w:rFonts w:hint="eastAsia"/>
                <w:lang w:eastAsia="zh-CN"/>
              </w:rPr>
              <w:t>4</w:t>
            </w:r>
          </w:p>
        </w:tc>
        <w:tc>
          <w:tcPr>
            <w:tcW w:w="713" w:type="dxa"/>
            <w:shd w:val="clear" w:color="auto" w:fill="auto"/>
            <w:noWrap/>
          </w:tcPr>
          <w:p w14:paraId="621AF0EF" w14:textId="77777777" w:rsidR="005B6EBB" w:rsidRPr="006D371E" w:rsidRDefault="005B6EBB" w:rsidP="005B6EBB">
            <w:pPr>
              <w:pStyle w:val="TAL"/>
              <w:rPr>
                <w:lang w:eastAsia="zh-CN"/>
              </w:rPr>
            </w:pPr>
            <w:r w:rsidRPr="006D371E">
              <w:rPr>
                <w:lang w:eastAsia="zh-CN"/>
              </w:rPr>
              <w:t>dB</w:t>
            </w:r>
          </w:p>
        </w:tc>
      </w:tr>
      <w:tr w:rsidR="005B6EBB" w:rsidRPr="006D371E" w14:paraId="1D7C5C05" w14:textId="77777777" w:rsidTr="005B6EBB">
        <w:trPr>
          <w:trHeight w:val="187"/>
          <w:jc w:val="center"/>
        </w:trPr>
        <w:tc>
          <w:tcPr>
            <w:tcW w:w="1817" w:type="dxa"/>
            <w:shd w:val="clear" w:color="auto" w:fill="auto"/>
            <w:noWrap/>
          </w:tcPr>
          <w:p w14:paraId="34C47F9D" w14:textId="77777777" w:rsidR="005B6EBB" w:rsidRPr="006D371E" w:rsidRDefault="005B6EBB" w:rsidP="005B6EBB">
            <w:pPr>
              <w:pStyle w:val="TAL"/>
              <w:rPr>
                <w:lang w:eastAsia="zh-CN"/>
              </w:rPr>
            </w:pPr>
            <w:r w:rsidRPr="006D371E">
              <w:rPr>
                <w:lang w:eastAsia="zh-CN"/>
              </w:rPr>
              <w:t>DIFFRSRP_</w:t>
            </w:r>
            <w:r>
              <w:rPr>
                <w:rFonts w:hint="eastAsia"/>
                <w:lang w:eastAsia="zh-CN"/>
              </w:rPr>
              <w:t>3</w:t>
            </w:r>
            <w:r>
              <w:rPr>
                <w:lang w:eastAsia="zh-CN"/>
              </w:rPr>
              <w:t>6</w:t>
            </w:r>
          </w:p>
        </w:tc>
        <w:tc>
          <w:tcPr>
            <w:tcW w:w="3204" w:type="dxa"/>
          </w:tcPr>
          <w:p w14:paraId="71607616" w14:textId="77777777" w:rsidR="005B6EBB" w:rsidRPr="006D371E" w:rsidRDefault="005B6EBB" w:rsidP="005B6EBB">
            <w:pPr>
              <w:pStyle w:val="TAL"/>
              <w:rPr>
                <w:lang w:eastAsia="zh-CN"/>
              </w:rPr>
            </w:pPr>
            <w:r>
              <w:rPr>
                <w:rFonts w:hint="eastAsia"/>
                <w:lang w:eastAsia="zh-CN"/>
              </w:rPr>
              <w:t>6</w:t>
            </w:r>
            <w:r w:rsidRPr="006D371E">
              <w:rPr>
                <w:rFonts w:hint="eastAsia"/>
                <w:lang w:eastAsia="zh-CN"/>
              </w:rPr>
              <w:t>≥Δ</w:t>
            </w:r>
            <w:r>
              <w:rPr>
                <w:lang w:eastAsia="zh-CN"/>
              </w:rPr>
              <w:t>RSRP&gt;5</w:t>
            </w:r>
          </w:p>
        </w:tc>
        <w:tc>
          <w:tcPr>
            <w:tcW w:w="713" w:type="dxa"/>
            <w:shd w:val="clear" w:color="auto" w:fill="auto"/>
            <w:noWrap/>
          </w:tcPr>
          <w:p w14:paraId="1C9F11D8" w14:textId="77777777" w:rsidR="005B6EBB" w:rsidRPr="006D371E" w:rsidRDefault="005B6EBB" w:rsidP="005B6EBB">
            <w:pPr>
              <w:pStyle w:val="TAL"/>
              <w:rPr>
                <w:lang w:eastAsia="zh-CN"/>
              </w:rPr>
            </w:pPr>
            <w:r w:rsidRPr="006D371E">
              <w:rPr>
                <w:lang w:eastAsia="zh-CN"/>
              </w:rPr>
              <w:t>dB</w:t>
            </w:r>
          </w:p>
        </w:tc>
      </w:tr>
      <w:tr w:rsidR="005B6EBB" w:rsidRPr="006D371E" w14:paraId="431D7B70" w14:textId="77777777" w:rsidTr="005B6EBB">
        <w:trPr>
          <w:trHeight w:val="187"/>
          <w:jc w:val="center"/>
        </w:trPr>
        <w:tc>
          <w:tcPr>
            <w:tcW w:w="1817" w:type="dxa"/>
            <w:shd w:val="clear" w:color="auto" w:fill="auto"/>
            <w:noWrap/>
          </w:tcPr>
          <w:p w14:paraId="46E2E968" w14:textId="77777777" w:rsidR="005B6EBB" w:rsidRPr="006D371E" w:rsidRDefault="005B6EBB" w:rsidP="005B6EBB">
            <w:pPr>
              <w:pStyle w:val="TAL"/>
              <w:rPr>
                <w:lang w:eastAsia="zh-CN"/>
              </w:rPr>
            </w:pPr>
            <w:r>
              <w:rPr>
                <w:lang w:eastAsia="zh-CN"/>
              </w:rPr>
              <w:t>…</w:t>
            </w:r>
          </w:p>
        </w:tc>
        <w:tc>
          <w:tcPr>
            <w:tcW w:w="3204" w:type="dxa"/>
          </w:tcPr>
          <w:p w14:paraId="0A212076" w14:textId="77777777" w:rsidR="005B6EBB" w:rsidRPr="006D371E" w:rsidRDefault="005B6EBB" w:rsidP="005B6EBB">
            <w:pPr>
              <w:pStyle w:val="TAL"/>
              <w:rPr>
                <w:lang w:eastAsia="zh-CN"/>
              </w:rPr>
            </w:pPr>
            <w:r>
              <w:rPr>
                <w:lang w:eastAsia="zh-CN"/>
              </w:rPr>
              <w:t>…</w:t>
            </w:r>
          </w:p>
        </w:tc>
        <w:tc>
          <w:tcPr>
            <w:tcW w:w="713" w:type="dxa"/>
            <w:shd w:val="clear" w:color="auto" w:fill="auto"/>
            <w:noWrap/>
          </w:tcPr>
          <w:p w14:paraId="33E71500" w14:textId="77777777" w:rsidR="005B6EBB" w:rsidRPr="006D371E" w:rsidRDefault="005B6EBB" w:rsidP="005B6EBB">
            <w:pPr>
              <w:pStyle w:val="TAL"/>
              <w:rPr>
                <w:lang w:eastAsia="zh-CN"/>
              </w:rPr>
            </w:pPr>
            <w:r>
              <w:rPr>
                <w:lang w:eastAsia="zh-CN"/>
              </w:rPr>
              <w:t>…</w:t>
            </w:r>
          </w:p>
        </w:tc>
      </w:tr>
      <w:tr w:rsidR="005B6EBB" w:rsidRPr="006D371E" w14:paraId="6B38D42D" w14:textId="77777777" w:rsidTr="005B6EBB">
        <w:trPr>
          <w:trHeight w:val="187"/>
          <w:jc w:val="center"/>
        </w:trPr>
        <w:tc>
          <w:tcPr>
            <w:tcW w:w="1817" w:type="dxa"/>
            <w:shd w:val="clear" w:color="auto" w:fill="auto"/>
            <w:noWrap/>
          </w:tcPr>
          <w:p w14:paraId="5D155ABE" w14:textId="77777777" w:rsidR="005B6EBB" w:rsidRPr="006D371E" w:rsidRDefault="005B6EBB" w:rsidP="005B6EBB">
            <w:pPr>
              <w:pStyle w:val="TAL"/>
              <w:rPr>
                <w:lang w:eastAsia="zh-CN"/>
              </w:rPr>
            </w:pPr>
            <w:r w:rsidRPr="006D371E">
              <w:rPr>
                <w:lang w:eastAsia="zh-CN"/>
              </w:rPr>
              <w:t>DIFFRSRP_</w:t>
            </w:r>
            <w:r>
              <w:rPr>
                <w:rFonts w:hint="eastAsia"/>
                <w:lang w:eastAsia="zh-CN"/>
              </w:rPr>
              <w:t>47</w:t>
            </w:r>
          </w:p>
        </w:tc>
        <w:tc>
          <w:tcPr>
            <w:tcW w:w="3204" w:type="dxa"/>
          </w:tcPr>
          <w:p w14:paraId="174709CF" w14:textId="77777777" w:rsidR="005B6EBB" w:rsidRDefault="005B6EBB" w:rsidP="005B6EBB">
            <w:pPr>
              <w:pStyle w:val="TAL"/>
              <w:rPr>
                <w:lang w:eastAsia="zh-CN"/>
              </w:rPr>
            </w:pPr>
            <w:r>
              <w:rPr>
                <w:rFonts w:hint="eastAsia"/>
                <w:lang w:eastAsia="zh-CN"/>
              </w:rPr>
              <w:t>17</w:t>
            </w:r>
            <w:r w:rsidRPr="006D371E">
              <w:rPr>
                <w:rFonts w:hint="eastAsia"/>
                <w:lang w:eastAsia="zh-CN"/>
              </w:rPr>
              <w:t>≥Δ</w:t>
            </w:r>
            <w:r>
              <w:rPr>
                <w:lang w:eastAsia="zh-CN"/>
              </w:rPr>
              <w:t>RSRP&gt;</w:t>
            </w:r>
            <w:r>
              <w:rPr>
                <w:rFonts w:hint="eastAsia"/>
                <w:lang w:eastAsia="zh-CN"/>
              </w:rPr>
              <w:t>16</w:t>
            </w:r>
          </w:p>
        </w:tc>
        <w:tc>
          <w:tcPr>
            <w:tcW w:w="713" w:type="dxa"/>
            <w:shd w:val="clear" w:color="auto" w:fill="auto"/>
            <w:noWrap/>
          </w:tcPr>
          <w:p w14:paraId="1B501B6D" w14:textId="77777777" w:rsidR="005B6EBB" w:rsidRPr="006D371E" w:rsidRDefault="005B6EBB" w:rsidP="005B6EBB">
            <w:pPr>
              <w:pStyle w:val="TAL"/>
              <w:rPr>
                <w:lang w:eastAsia="zh-CN"/>
              </w:rPr>
            </w:pPr>
            <w:r w:rsidRPr="006D371E">
              <w:rPr>
                <w:lang w:eastAsia="zh-CN"/>
              </w:rPr>
              <w:t>dB</w:t>
            </w:r>
          </w:p>
        </w:tc>
      </w:tr>
      <w:tr w:rsidR="005B6EBB" w:rsidRPr="006D371E" w14:paraId="60704FAC" w14:textId="77777777" w:rsidTr="005B6EBB">
        <w:trPr>
          <w:trHeight w:val="187"/>
          <w:jc w:val="center"/>
        </w:trPr>
        <w:tc>
          <w:tcPr>
            <w:tcW w:w="1817" w:type="dxa"/>
            <w:shd w:val="clear" w:color="auto" w:fill="auto"/>
            <w:noWrap/>
          </w:tcPr>
          <w:p w14:paraId="7E30A94C" w14:textId="77777777" w:rsidR="005B6EBB" w:rsidRPr="006D371E" w:rsidRDefault="005B6EBB" w:rsidP="005B6EBB">
            <w:pPr>
              <w:pStyle w:val="TAL"/>
              <w:rPr>
                <w:lang w:eastAsia="zh-CN"/>
              </w:rPr>
            </w:pPr>
            <w:r w:rsidRPr="006D371E">
              <w:rPr>
                <w:lang w:eastAsia="zh-CN"/>
              </w:rPr>
              <w:t>DIFFRSRP_</w:t>
            </w:r>
            <w:r>
              <w:rPr>
                <w:rFonts w:hint="eastAsia"/>
                <w:lang w:eastAsia="zh-CN"/>
              </w:rPr>
              <w:t>48</w:t>
            </w:r>
          </w:p>
        </w:tc>
        <w:tc>
          <w:tcPr>
            <w:tcW w:w="3204" w:type="dxa"/>
          </w:tcPr>
          <w:p w14:paraId="2BDBB8A1" w14:textId="77777777" w:rsidR="005B6EBB" w:rsidRPr="006D371E" w:rsidRDefault="005B6EBB" w:rsidP="005B6EBB">
            <w:pPr>
              <w:pStyle w:val="TAL"/>
              <w:rPr>
                <w:lang w:eastAsia="zh-CN"/>
              </w:rPr>
            </w:pPr>
            <w:r>
              <w:rPr>
                <w:rFonts w:hint="eastAsia"/>
                <w:lang w:eastAsia="zh-CN"/>
              </w:rPr>
              <w:t>18</w:t>
            </w:r>
            <w:r w:rsidRPr="006D371E">
              <w:rPr>
                <w:rFonts w:hint="eastAsia"/>
                <w:lang w:eastAsia="zh-CN"/>
              </w:rPr>
              <w:t>≥Δ</w:t>
            </w:r>
            <w:r w:rsidRPr="006D371E">
              <w:rPr>
                <w:lang w:eastAsia="zh-CN"/>
              </w:rPr>
              <w:t>RSRP&gt;</w:t>
            </w:r>
            <w:r>
              <w:rPr>
                <w:rFonts w:hint="eastAsia"/>
                <w:lang w:eastAsia="zh-CN"/>
              </w:rPr>
              <w:t>17</w:t>
            </w:r>
          </w:p>
        </w:tc>
        <w:tc>
          <w:tcPr>
            <w:tcW w:w="713" w:type="dxa"/>
            <w:shd w:val="clear" w:color="auto" w:fill="auto"/>
            <w:noWrap/>
          </w:tcPr>
          <w:p w14:paraId="2746C13F" w14:textId="77777777" w:rsidR="005B6EBB" w:rsidRPr="006D371E" w:rsidRDefault="005B6EBB" w:rsidP="005B6EBB">
            <w:pPr>
              <w:pStyle w:val="TAL"/>
              <w:rPr>
                <w:lang w:eastAsia="zh-CN"/>
              </w:rPr>
            </w:pPr>
            <w:r w:rsidRPr="006D371E">
              <w:rPr>
                <w:lang w:eastAsia="zh-CN"/>
              </w:rPr>
              <w:t>dB</w:t>
            </w:r>
          </w:p>
        </w:tc>
      </w:tr>
      <w:tr w:rsidR="005B6EBB" w:rsidRPr="006D371E" w14:paraId="0A66C61B" w14:textId="77777777" w:rsidTr="005B6EBB">
        <w:trPr>
          <w:trHeight w:val="187"/>
          <w:jc w:val="center"/>
        </w:trPr>
        <w:tc>
          <w:tcPr>
            <w:tcW w:w="1817" w:type="dxa"/>
            <w:shd w:val="clear" w:color="auto" w:fill="auto"/>
            <w:noWrap/>
          </w:tcPr>
          <w:p w14:paraId="4FAD65C1" w14:textId="77777777" w:rsidR="005B6EBB" w:rsidRPr="006D371E" w:rsidRDefault="005B6EBB" w:rsidP="005B6EBB">
            <w:pPr>
              <w:pStyle w:val="TAL"/>
              <w:rPr>
                <w:lang w:eastAsia="zh-CN"/>
              </w:rPr>
            </w:pPr>
            <w:r w:rsidRPr="006D371E">
              <w:rPr>
                <w:lang w:eastAsia="zh-CN"/>
              </w:rPr>
              <w:t>DIFFRSRP_</w:t>
            </w:r>
            <w:r>
              <w:rPr>
                <w:rFonts w:hint="eastAsia"/>
                <w:lang w:eastAsia="zh-CN"/>
              </w:rPr>
              <w:t>49</w:t>
            </w:r>
          </w:p>
        </w:tc>
        <w:tc>
          <w:tcPr>
            <w:tcW w:w="3204" w:type="dxa"/>
          </w:tcPr>
          <w:p w14:paraId="4A258902" w14:textId="77777777" w:rsidR="005B6EBB" w:rsidRPr="006D371E" w:rsidRDefault="005B6EBB" w:rsidP="005B6EBB">
            <w:pPr>
              <w:pStyle w:val="TAL"/>
              <w:rPr>
                <w:lang w:eastAsia="zh-CN"/>
              </w:rPr>
            </w:pPr>
            <w:r>
              <w:rPr>
                <w:rFonts w:hint="eastAsia"/>
                <w:lang w:eastAsia="zh-CN"/>
              </w:rPr>
              <w:t>19</w:t>
            </w:r>
            <w:r w:rsidRPr="006D371E">
              <w:rPr>
                <w:rFonts w:hint="eastAsia"/>
                <w:lang w:eastAsia="zh-CN"/>
              </w:rPr>
              <w:t>≥Δ</w:t>
            </w:r>
            <w:r w:rsidRPr="006D371E">
              <w:rPr>
                <w:lang w:eastAsia="zh-CN"/>
              </w:rPr>
              <w:t>RSRP&gt;</w:t>
            </w:r>
            <w:r>
              <w:rPr>
                <w:rFonts w:hint="eastAsia"/>
                <w:lang w:eastAsia="zh-CN"/>
              </w:rPr>
              <w:t>18</w:t>
            </w:r>
          </w:p>
        </w:tc>
        <w:tc>
          <w:tcPr>
            <w:tcW w:w="713" w:type="dxa"/>
            <w:shd w:val="clear" w:color="auto" w:fill="auto"/>
            <w:noWrap/>
          </w:tcPr>
          <w:p w14:paraId="1D060126" w14:textId="77777777" w:rsidR="005B6EBB" w:rsidRPr="006D371E" w:rsidRDefault="005B6EBB" w:rsidP="005B6EBB">
            <w:pPr>
              <w:pStyle w:val="TAL"/>
              <w:rPr>
                <w:lang w:eastAsia="zh-CN"/>
              </w:rPr>
            </w:pPr>
            <w:r w:rsidRPr="006D371E">
              <w:rPr>
                <w:lang w:eastAsia="zh-CN"/>
              </w:rPr>
              <w:t>dB</w:t>
            </w:r>
          </w:p>
        </w:tc>
      </w:tr>
      <w:tr w:rsidR="005B6EBB" w:rsidRPr="006D371E" w14:paraId="756ECB4C" w14:textId="77777777" w:rsidTr="005B6EBB">
        <w:trPr>
          <w:trHeight w:val="187"/>
          <w:jc w:val="center"/>
        </w:trPr>
        <w:tc>
          <w:tcPr>
            <w:tcW w:w="1817" w:type="dxa"/>
            <w:shd w:val="clear" w:color="auto" w:fill="auto"/>
            <w:noWrap/>
          </w:tcPr>
          <w:p w14:paraId="23CAAF3C" w14:textId="77777777" w:rsidR="005B6EBB" w:rsidRPr="006D371E" w:rsidRDefault="005B6EBB" w:rsidP="005B6EBB">
            <w:pPr>
              <w:pStyle w:val="TAL"/>
              <w:rPr>
                <w:lang w:eastAsia="zh-CN"/>
              </w:rPr>
            </w:pPr>
            <w:r w:rsidRPr="006D371E">
              <w:rPr>
                <w:lang w:eastAsia="zh-CN"/>
              </w:rPr>
              <w:t>DIFFRSRP_</w:t>
            </w:r>
            <w:r>
              <w:rPr>
                <w:rFonts w:hint="eastAsia"/>
                <w:lang w:eastAsia="zh-CN"/>
              </w:rPr>
              <w:t>50</w:t>
            </w:r>
          </w:p>
        </w:tc>
        <w:tc>
          <w:tcPr>
            <w:tcW w:w="3204" w:type="dxa"/>
          </w:tcPr>
          <w:p w14:paraId="31B157D5" w14:textId="77777777" w:rsidR="005B6EBB" w:rsidRPr="006D371E" w:rsidRDefault="005B6EBB" w:rsidP="005B6EBB">
            <w:pPr>
              <w:pStyle w:val="TAL"/>
              <w:rPr>
                <w:lang w:eastAsia="zh-CN"/>
              </w:rPr>
            </w:pPr>
            <w:r>
              <w:rPr>
                <w:rFonts w:hint="eastAsia"/>
                <w:lang w:eastAsia="zh-CN"/>
              </w:rPr>
              <w:t>20</w:t>
            </w:r>
            <w:r w:rsidRPr="006D371E">
              <w:rPr>
                <w:rFonts w:hint="eastAsia"/>
                <w:lang w:eastAsia="zh-CN"/>
              </w:rPr>
              <w:t>≥Δ</w:t>
            </w:r>
            <w:r w:rsidRPr="006D371E">
              <w:rPr>
                <w:lang w:eastAsia="zh-CN"/>
              </w:rPr>
              <w:t>RSRP&gt;</w:t>
            </w:r>
            <w:r>
              <w:rPr>
                <w:rFonts w:hint="eastAsia"/>
                <w:lang w:eastAsia="zh-CN"/>
              </w:rPr>
              <w:t>19</w:t>
            </w:r>
          </w:p>
        </w:tc>
        <w:tc>
          <w:tcPr>
            <w:tcW w:w="713" w:type="dxa"/>
            <w:shd w:val="clear" w:color="auto" w:fill="auto"/>
            <w:noWrap/>
          </w:tcPr>
          <w:p w14:paraId="7B834158" w14:textId="77777777" w:rsidR="005B6EBB" w:rsidRPr="006D371E" w:rsidRDefault="005B6EBB" w:rsidP="005B6EBB">
            <w:pPr>
              <w:pStyle w:val="TAL"/>
              <w:rPr>
                <w:lang w:eastAsia="zh-CN"/>
              </w:rPr>
            </w:pPr>
            <w:r w:rsidRPr="006D371E">
              <w:rPr>
                <w:lang w:eastAsia="zh-CN"/>
              </w:rPr>
              <w:t>dB</w:t>
            </w:r>
          </w:p>
        </w:tc>
      </w:tr>
      <w:tr w:rsidR="005B6EBB" w:rsidRPr="006D371E" w14:paraId="3F0085B2" w14:textId="77777777" w:rsidTr="005B6EBB">
        <w:trPr>
          <w:trHeight w:val="187"/>
          <w:jc w:val="center"/>
        </w:trPr>
        <w:tc>
          <w:tcPr>
            <w:tcW w:w="1817" w:type="dxa"/>
            <w:shd w:val="clear" w:color="auto" w:fill="auto"/>
            <w:noWrap/>
          </w:tcPr>
          <w:p w14:paraId="367A060A" w14:textId="77777777" w:rsidR="005B6EBB" w:rsidRPr="006D371E" w:rsidRDefault="005B6EBB" w:rsidP="005B6EBB">
            <w:pPr>
              <w:pStyle w:val="TAL"/>
              <w:rPr>
                <w:lang w:eastAsia="zh-CN"/>
              </w:rPr>
            </w:pPr>
            <w:r w:rsidRPr="006D371E">
              <w:rPr>
                <w:lang w:eastAsia="zh-CN"/>
              </w:rPr>
              <w:t>DIFFRSRP_5</w:t>
            </w:r>
            <w:r>
              <w:rPr>
                <w:rFonts w:hint="eastAsia"/>
                <w:lang w:eastAsia="zh-CN"/>
              </w:rPr>
              <w:t>1</w:t>
            </w:r>
          </w:p>
        </w:tc>
        <w:tc>
          <w:tcPr>
            <w:tcW w:w="3204" w:type="dxa"/>
          </w:tcPr>
          <w:p w14:paraId="024688F9" w14:textId="77777777" w:rsidR="005B6EBB" w:rsidRPr="006D371E" w:rsidRDefault="005B6EBB" w:rsidP="005B6EBB">
            <w:pPr>
              <w:pStyle w:val="TAL"/>
              <w:rPr>
                <w:lang w:eastAsia="zh-CN"/>
              </w:rPr>
            </w:pPr>
            <w:r>
              <w:rPr>
                <w:rFonts w:hint="eastAsia"/>
                <w:lang w:eastAsia="zh-CN"/>
              </w:rPr>
              <w:t>21</w:t>
            </w:r>
            <w:r w:rsidRPr="006D371E">
              <w:rPr>
                <w:rFonts w:hint="eastAsia"/>
                <w:lang w:eastAsia="zh-CN"/>
              </w:rPr>
              <w:t>≥Δ</w:t>
            </w:r>
            <w:r w:rsidRPr="006D371E">
              <w:rPr>
                <w:lang w:eastAsia="zh-CN"/>
              </w:rPr>
              <w:t>RSRP&gt;</w:t>
            </w:r>
            <w:r>
              <w:rPr>
                <w:rFonts w:hint="eastAsia"/>
                <w:lang w:eastAsia="zh-CN"/>
              </w:rPr>
              <w:t>20</w:t>
            </w:r>
          </w:p>
        </w:tc>
        <w:tc>
          <w:tcPr>
            <w:tcW w:w="713" w:type="dxa"/>
            <w:shd w:val="clear" w:color="auto" w:fill="auto"/>
            <w:noWrap/>
          </w:tcPr>
          <w:p w14:paraId="67017C0A" w14:textId="77777777" w:rsidR="005B6EBB" w:rsidRPr="006D371E" w:rsidRDefault="005B6EBB" w:rsidP="005B6EBB">
            <w:pPr>
              <w:pStyle w:val="TAL"/>
              <w:rPr>
                <w:lang w:eastAsia="zh-CN"/>
              </w:rPr>
            </w:pPr>
            <w:r w:rsidRPr="006D371E">
              <w:rPr>
                <w:lang w:eastAsia="zh-CN"/>
              </w:rPr>
              <w:t>dB</w:t>
            </w:r>
          </w:p>
        </w:tc>
      </w:tr>
      <w:tr w:rsidR="005B6EBB" w:rsidRPr="006D371E" w14:paraId="12C8C467" w14:textId="77777777" w:rsidTr="005B6EBB">
        <w:trPr>
          <w:trHeight w:val="187"/>
          <w:jc w:val="center"/>
        </w:trPr>
        <w:tc>
          <w:tcPr>
            <w:tcW w:w="1817" w:type="dxa"/>
            <w:shd w:val="clear" w:color="auto" w:fill="auto"/>
            <w:noWrap/>
          </w:tcPr>
          <w:p w14:paraId="1215C406" w14:textId="77777777" w:rsidR="005B6EBB" w:rsidRPr="006D371E" w:rsidRDefault="005B6EBB" w:rsidP="005B6EBB">
            <w:pPr>
              <w:pStyle w:val="TAL"/>
              <w:rPr>
                <w:lang w:eastAsia="zh-CN"/>
              </w:rPr>
            </w:pPr>
            <w:r w:rsidRPr="006D371E">
              <w:rPr>
                <w:lang w:eastAsia="zh-CN"/>
              </w:rPr>
              <w:t>DIFFRSRP_</w:t>
            </w:r>
            <w:r>
              <w:rPr>
                <w:rFonts w:hint="eastAsia"/>
                <w:lang w:eastAsia="zh-CN"/>
              </w:rPr>
              <w:t>52</w:t>
            </w:r>
          </w:p>
        </w:tc>
        <w:tc>
          <w:tcPr>
            <w:tcW w:w="3204" w:type="dxa"/>
          </w:tcPr>
          <w:p w14:paraId="680DE328" w14:textId="77777777" w:rsidR="005B6EBB" w:rsidRPr="006D371E" w:rsidRDefault="005B6EBB" w:rsidP="005B6EBB">
            <w:pPr>
              <w:pStyle w:val="TAL"/>
              <w:rPr>
                <w:lang w:eastAsia="zh-CN"/>
              </w:rPr>
            </w:pPr>
            <w:r>
              <w:rPr>
                <w:rFonts w:hint="eastAsia"/>
                <w:lang w:eastAsia="zh-CN"/>
              </w:rPr>
              <w:t>22</w:t>
            </w:r>
            <w:r w:rsidRPr="006D371E">
              <w:rPr>
                <w:rFonts w:hint="eastAsia"/>
                <w:lang w:eastAsia="zh-CN"/>
              </w:rPr>
              <w:t>≥Δ</w:t>
            </w:r>
            <w:r w:rsidRPr="006D371E">
              <w:rPr>
                <w:lang w:eastAsia="zh-CN"/>
              </w:rPr>
              <w:t>RSRP&gt;</w:t>
            </w:r>
            <w:r>
              <w:rPr>
                <w:rFonts w:hint="eastAsia"/>
                <w:lang w:eastAsia="zh-CN"/>
              </w:rPr>
              <w:t>21</w:t>
            </w:r>
          </w:p>
        </w:tc>
        <w:tc>
          <w:tcPr>
            <w:tcW w:w="713" w:type="dxa"/>
            <w:shd w:val="clear" w:color="auto" w:fill="auto"/>
            <w:noWrap/>
          </w:tcPr>
          <w:p w14:paraId="77D07295" w14:textId="77777777" w:rsidR="005B6EBB" w:rsidRPr="006D371E" w:rsidRDefault="005B6EBB" w:rsidP="005B6EBB">
            <w:pPr>
              <w:pStyle w:val="TAL"/>
              <w:rPr>
                <w:lang w:eastAsia="zh-CN"/>
              </w:rPr>
            </w:pPr>
            <w:r w:rsidRPr="006D371E">
              <w:rPr>
                <w:lang w:eastAsia="zh-CN"/>
              </w:rPr>
              <w:t>dB</w:t>
            </w:r>
          </w:p>
        </w:tc>
      </w:tr>
      <w:tr w:rsidR="005B6EBB" w:rsidRPr="006D371E" w14:paraId="40D009FB" w14:textId="77777777" w:rsidTr="005B6EBB">
        <w:trPr>
          <w:trHeight w:val="187"/>
          <w:jc w:val="center"/>
        </w:trPr>
        <w:tc>
          <w:tcPr>
            <w:tcW w:w="1817" w:type="dxa"/>
            <w:shd w:val="clear" w:color="auto" w:fill="auto"/>
            <w:noWrap/>
          </w:tcPr>
          <w:p w14:paraId="3B236A13" w14:textId="77777777" w:rsidR="005B6EBB" w:rsidRPr="006D371E" w:rsidRDefault="005B6EBB" w:rsidP="005B6EBB">
            <w:pPr>
              <w:pStyle w:val="TAL"/>
              <w:rPr>
                <w:lang w:eastAsia="zh-CN"/>
              </w:rPr>
            </w:pPr>
            <w:r w:rsidRPr="006D371E">
              <w:rPr>
                <w:lang w:eastAsia="zh-CN"/>
              </w:rPr>
              <w:t>DIFFRSRP_</w:t>
            </w:r>
            <w:r>
              <w:rPr>
                <w:rFonts w:hint="eastAsia"/>
                <w:lang w:eastAsia="zh-CN"/>
              </w:rPr>
              <w:t>53</w:t>
            </w:r>
          </w:p>
        </w:tc>
        <w:tc>
          <w:tcPr>
            <w:tcW w:w="3204" w:type="dxa"/>
          </w:tcPr>
          <w:p w14:paraId="58A93FC1" w14:textId="77777777" w:rsidR="005B6EBB" w:rsidRPr="006D371E" w:rsidRDefault="005B6EBB" w:rsidP="005B6EBB">
            <w:pPr>
              <w:pStyle w:val="TAL"/>
              <w:rPr>
                <w:lang w:eastAsia="zh-CN"/>
              </w:rPr>
            </w:pPr>
            <w:r>
              <w:rPr>
                <w:rFonts w:hint="eastAsia"/>
                <w:lang w:eastAsia="zh-CN"/>
              </w:rPr>
              <w:t>23</w:t>
            </w:r>
            <w:r w:rsidRPr="006D371E">
              <w:rPr>
                <w:rFonts w:hint="eastAsia"/>
                <w:lang w:eastAsia="zh-CN"/>
              </w:rPr>
              <w:t>≥Δ</w:t>
            </w:r>
            <w:r w:rsidRPr="006D371E">
              <w:rPr>
                <w:lang w:eastAsia="zh-CN"/>
              </w:rPr>
              <w:t>RSRP&gt;-</w:t>
            </w:r>
            <w:r>
              <w:rPr>
                <w:rFonts w:hint="eastAsia"/>
                <w:lang w:eastAsia="zh-CN"/>
              </w:rPr>
              <w:t>22</w:t>
            </w:r>
          </w:p>
        </w:tc>
        <w:tc>
          <w:tcPr>
            <w:tcW w:w="713" w:type="dxa"/>
            <w:shd w:val="clear" w:color="auto" w:fill="auto"/>
            <w:noWrap/>
          </w:tcPr>
          <w:p w14:paraId="6FFFBBAF" w14:textId="77777777" w:rsidR="005B6EBB" w:rsidRPr="006D371E" w:rsidRDefault="005B6EBB" w:rsidP="005B6EBB">
            <w:pPr>
              <w:pStyle w:val="TAL"/>
              <w:rPr>
                <w:lang w:eastAsia="zh-CN"/>
              </w:rPr>
            </w:pPr>
            <w:r w:rsidRPr="006D371E">
              <w:rPr>
                <w:lang w:eastAsia="zh-CN"/>
              </w:rPr>
              <w:t>dB</w:t>
            </w:r>
          </w:p>
        </w:tc>
      </w:tr>
      <w:tr w:rsidR="005B6EBB" w:rsidRPr="006D371E" w14:paraId="4AD3E581" w14:textId="77777777" w:rsidTr="005B6EBB">
        <w:trPr>
          <w:trHeight w:val="187"/>
          <w:jc w:val="center"/>
        </w:trPr>
        <w:tc>
          <w:tcPr>
            <w:tcW w:w="1817" w:type="dxa"/>
            <w:shd w:val="clear" w:color="auto" w:fill="auto"/>
            <w:noWrap/>
          </w:tcPr>
          <w:p w14:paraId="081BC11F" w14:textId="77777777" w:rsidR="005B6EBB" w:rsidRPr="006D371E" w:rsidRDefault="005B6EBB" w:rsidP="005B6EBB">
            <w:pPr>
              <w:pStyle w:val="TAL"/>
              <w:rPr>
                <w:lang w:eastAsia="zh-CN"/>
              </w:rPr>
            </w:pPr>
            <w:r w:rsidRPr="006D371E">
              <w:rPr>
                <w:lang w:eastAsia="zh-CN"/>
              </w:rPr>
              <w:t>DIFFRSRP_</w:t>
            </w:r>
            <w:r>
              <w:rPr>
                <w:rFonts w:hint="eastAsia"/>
                <w:lang w:eastAsia="zh-CN"/>
              </w:rPr>
              <w:t>54</w:t>
            </w:r>
          </w:p>
        </w:tc>
        <w:tc>
          <w:tcPr>
            <w:tcW w:w="3204" w:type="dxa"/>
          </w:tcPr>
          <w:p w14:paraId="2BCC7B0F" w14:textId="77777777" w:rsidR="005B6EBB" w:rsidRPr="006D371E" w:rsidRDefault="005B6EBB" w:rsidP="005B6EBB">
            <w:pPr>
              <w:pStyle w:val="TAL"/>
              <w:rPr>
                <w:lang w:eastAsia="zh-CN"/>
              </w:rPr>
            </w:pPr>
            <w:r>
              <w:rPr>
                <w:rFonts w:hint="eastAsia"/>
                <w:lang w:eastAsia="zh-CN"/>
              </w:rPr>
              <w:t>24</w:t>
            </w:r>
            <w:r w:rsidRPr="006D371E">
              <w:rPr>
                <w:rFonts w:hint="eastAsia"/>
                <w:lang w:eastAsia="zh-CN"/>
              </w:rPr>
              <w:t>≥Δ</w:t>
            </w:r>
            <w:r w:rsidRPr="006D371E">
              <w:rPr>
                <w:lang w:eastAsia="zh-CN"/>
              </w:rPr>
              <w:t>RSRP&gt;</w:t>
            </w:r>
            <w:r>
              <w:rPr>
                <w:rFonts w:hint="eastAsia"/>
                <w:lang w:eastAsia="zh-CN"/>
              </w:rPr>
              <w:t>23</w:t>
            </w:r>
          </w:p>
        </w:tc>
        <w:tc>
          <w:tcPr>
            <w:tcW w:w="713" w:type="dxa"/>
            <w:shd w:val="clear" w:color="auto" w:fill="auto"/>
            <w:noWrap/>
          </w:tcPr>
          <w:p w14:paraId="5E99BC26" w14:textId="77777777" w:rsidR="005B6EBB" w:rsidRPr="006D371E" w:rsidRDefault="005B6EBB" w:rsidP="005B6EBB">
            <w:pPr>
              <w:pStyle w:val="TAL"/>
              <w:rPr>
                <w:lang w:eastAsia="zh-CN"/>
              </w:rPr>
            </w:pPr>
            <w:r w:rsidRPr="006D371E">
              <w:rPr>
                <w:lang w:eastAsia="zh-CN"/>
              </w:rPr>
              <w:t>dB</w:t>
            </w:r>
          </w:p>
        </w:tc>
      </w:tr>
      <w:tr w:rsidR="005B6EBB" w:rsidRPr="006D371E" w14:paraId="7C6662AA" w14:textId="77777777" w:rsidTr="005B6EBB">
        <w:trPr>
          <w:trHeight w:val="187"/>
          <w:jc w:val="center"/>
        </w:trPr>
        <w:tc>
          <w:tcPr>
            <w:tcW w:w="1817" w:type="dxa"/>
            <w:shd w:val="clear" w:color="auto" w:fill="auto"/>
            <w:noWrap/>
          </w:tcPr>
          <w:p w14:paraId="3E186EB0" w14:textId="77777777" w:rsidR="005B6EBB" w:rsidRPr="006D371E" w:rsidRDefault="005B6EBB" w:rsidP="005B6EBB">
            <w:pPr>
              <w:pStyle w:val="TAL"/>
              <w:rPr>
                <w:lang w:eastAsia="zh-CN"/>
              </w:rPr>
            </w:pPr>
            <w:r w:rsidRPr="006D371E">
              <w:rPr>
                <w:lang w:eastAsia="zh-CN"/>
              </w:rPr>
              <w:t>DIFFRSRP_</w:t>
            </w:r>
            <w:r>
              <w:rPr>
                <w:rFonts w:hint="eastAsia"/>
                <w:lang w:eastAsia="zh-CN"/>
              </w:rPr>
              <w:t>55</w:t>
            </w:r>
          </w:p>
        </w:tc>
        <w:tc>
          <w:tcPr>
            <w:tcW w:w="3204" w:type="dxa"/>
          </w:tcPr>
          <w:p w14:paraId="4A5B3432" w14:textId="77777777" w:rsidR="005B6EBB" w:rsidRPr="006D371E" w:rsidRDefault="005B6EBB" w:rsidP="005B6EBB">
            <w:pPr>
              <w:pStyle w:val="TAL"/>
              <w:rPr>
                <w:lang w:eastAsia="zh-CN"/>
              </w:rPr>
            </w:pPr>
            <w:r>
              <w:rPr>
                <w:rFonts w:hint="eastAsia"/>
                <w:lang w:eastAsia="zh-CN"/>
              </w:rPr>
              <w:t>25</w:t>
            </w:r>
            <w:r w:rsidRPr="006D371E">
              <w:rPr>
                <w:rFonts w:hint="eastAsia"/>
                <w:lang w:eastAsia="zh-CN"/>
              </w:rPr>
              <w:t>≥Δ</w:t>
            </w:r>
            <w:r w:rsidRPr="006D371E">
              <w:rPr>
                <w:lang w:eastAsia="zh-CN"/>
              </w:rPr>
              <w:t>RSRP&gt;</w:t>
            </w:r>
            <w:r>
              <w:rPr>
                <w:rFonts w:hint="eastAsia"/>
                <w:lang w:eastAsia="zh-CN"/>
              </w:rPr>
              <w:t>24</w:t>
            </w:r>
          </w:p>
        </w:tc>
        <w:tc>
          <w:tcPr>
            <w:tcW w:w="713" w:type="dxa"/>
            <w:shd w:val="clear" w:color="auto" w:fill="auto"/>
            <w:noWrap/>
          </w:tcPr>
          <w:p w14:paraId="27EE4F56" w14:textId="77777777" w:rsidR="005B6EBB" w:rsidRPr="006D371E" w:rsidRDefault="005B6EBB" w:rsidP="005B6EBB">
            <w:pPr>
              <w:pStyle w:val="TAL"/>
              <w:rPr>
                <w:lang w:eastAsia="zh-CN"/>
              </w:rPr>
            </w:pPr>
            <w:r w:rsidRPr="006D371E">
              <w:rPr>
                <w:lang w:eastAsia="zh-CN"/>
              </w:rPr>
              <w:t>dB</w:t>
            </w:r>
          </w:p>
        </w:tc>
      </w:tr>
      <w:tr w:rsidR="005B6EBB" w:rsidRPr="006D371E" w14:paraId="3800F58E" w14:textId="77777777" w:rsidTr="005B6EBB">
        <w:trPr>
          <w:trHeight w:val="187"/>
          <w:jc w:val="center"/>
        </w:trPr>
        <w:tc>
          <w:tcPr>
            <w:tcW w:w="1817" w:type="dxa"/>
            <w:shd w:val="clear" w:color="auto" w:fill="auto"/>
            <w:noWrap/>
          </w:tcPr>
          <w:p w14:paraId="7EE41E72" w14:textId="77777777" w:rsidR="005B6EBB" w:rsidRPr="006D371E" w:rsidRDefault="005B6EBB" w:rsidP="005B6EBB">
            <w:pPr>
              <w:pStyle w:val="TAL"/>
              <w:rPr>
                <w:lang w:eastAsia="zh-CN"/>
              </w:rPr>
            </w:pPr>
            <w:r w:rsidRPr="006D371E">
              <w:rPr>
                <w:lang w:eastAsia="zh-CN"/>
              </w:rPr>
              <w:t>DIFFRSRP_</w:t>
            </w:r>
            <w:r>
              <w:rPr>
                <w:rFonts w:hint="eastAsia"/>
                <w:lang w:eastAsia="zh-CN"/>
              </w:rPr>
              <w:t>56</w:t>
            </w:r>
          </w:p>
        </w:tc>
        <w:tc>
          <w:tcPr>
            <w:tcW w:w="3204" w:type="dxa"/>
          </w:tcPr>
          <w:p w14:paraId="10710403" w14:textId="77777777" w:rsidR="005B6EBB" w:rsidRPr="006D371E" w:rsidRDefault="005B6EBB" w:rsidP="005B6EBB">
            <w:pPr>
              <w:pStyle w:val="TAL"/>
              <w:rPr>
                <w:lang w:eastAsia="zh-CN"/>
              </w:rPr>
            </w:pPr>
            <w:r>
              <w:rPr>
                <w:rFonts w:hint="eastAsia"/>
                <w:lang w:eastAsia="zh-CN"/>
              </w:rPr>
              <w:t>26</w:t>
            </w:r>
            <w:r w:rsidRPr="006D371E">
              <w:rPr>
                <w:rFonts w:hint="eastAsia"/>
                <w:lang w:eastAsia="zh-CN"/>
              </w:rPr>
              <w:t>≥Δ</w:t>
            </w:r>
            <w:r w:rsidRPr="006D371E">
              <w:rPr>
                <w:lang w:eastAsia="zh-CN"/>
              </w:rPr>
              <w:t>RSRP&gt;</w:t>
            </w:r>
            <w:r>
              <w:rPr>
                <w:rFonts w:hint="eastAsia"/>
                <w:lang w:eastAsia="zh-CN"/>
              </w:rPr>
              <w:t>25</w:t>
            </w:r>
          </w:p>
        </w:tc>
        <w:tc>
          <w:tcPr>
            <w:tcW w:w="713" w:type="dxa"/>
            <w:shd w:val="clear" w:color="auto" w:fill="auto"/>
            <w:noWrap/>
          </w:tcPr>
          <w:p w14:paraId="5AB39FA9" w14:textId="77777777" w:rsidR="005B6EBB" w:rsidRPr="006D371E" w:rsidRDefault="005B6EBB" w:rsidP="005B6EBB">
            <w:pPr>
              <w:pStyle w:val="TAL"/>
              <w:rPr>
                <w:lang w:eastAsia="zh-CN"/>
              </w:rPr>
            </w:pPr>
            <w:r w:rsidRPr="006D371E">
              <w:rPr>
                <w:lang w:eastAsia="zh-CN"/>
              </w:rPr>
              <w:t>dB</w:t>
            </w:r>
          </w:p>
        </w:tc>
      </w:tr>
      <w:tr w:rsidR="005B6EBB" w:rsidRPr="006D371E" w14:paraId="55DC4EF4" w14:textId="77777777" w:rsidTr="005B6EBB">
        <w:trPr>
          <w:trHeight w:val="187"/>
          <w:jc w:val="center"/>
        </w:trPr>
        <w:tc>
          <w:tcPr>
            <w:tcW w:w="1817" w:type="dxa"/>
            <w:shd w:val="clear" w:color="auto" w:fill="auto"/>
            <w:noWrap/>
          </w:tcPr>
          <w:p w14:paraId="17D9164A" w14:textId="77777777" w:rsidR="005B6EBB" w:rsidRPr="006D371E" w:rsidRDefault="005B6EBB" w:rsidP="005B6EBB">
            <w:pPr>
              <w:pStyle w:val="TAL"/>
              <w:rPr>
                <w:lang w:eastAsia="zh-CN"/>
              </w:rPr>
            </w:pPr>
            <w:r w:rsidRPr="006D371E">
              <w:rPr>
                <w:lang w:eastAsia="zh-CN"/>
              </w:rPr>
              <w:t>DIFFRSRP_</w:t>
            </w:r>
            <w:r>
              <w:rPr>
                <w:rFonts w:hint="eastAsia"/>
                <w:lang w:eastAsia="zh-CN"/>
              </w:rPr>
              <w:t>57</w:t>
            </w:r>
          </w:p>
        </w:tc>
        <w:tc>
          <w:tcPr>
            <w:tcW w:w="3204" w:type="dxa"/>
          </w:tcPr>
          <w:p w14:paraId="7E38D638" w14:textId="77777777" w:rsidR="005B6EBB" w:rsidRPr="006D371E" w:rsidRDefault="005B6EBB" w:rsidP="005B6EBB">
            <w:pPr>
              <w:pStyle w:val="TAL"/>
              <w:rPr>
                <w:lang w:eastAsia="zh-CN"/>
              </w:rPr>
            </w:pPr>
            <w:r>
              <w:rPr>
                <w:rFonts w:hint="eastAsia"/>
                <w:lang w:eastAsia="zh-CN"/>
              </w:rPr>
              <w:t>27</w:t>
            </w:r>
            <w:r w:rsidRPr="006D371E">
              <w:rPr>
                <w:rFonts w:hint="eastAsia"/>
                <w:lang w:eastAsia="zh-CN"/>
              </w:rPr>
              <w:t>≥Δ</w:t>
            </w:r>
            <w:r w:rsidRPr="006D371E">
              <w:rPr>
                <w:lang w:eastAsia="zh-CN"/>
              </w:rPr>
              <w:t>RSRP&gt;</w:t>
            </w:r>
            <w:r>
              <w:rPr>
                <w:rFonts w:hint="eastAsia"/>
                <w:lang w:eastAsia="zh-CN"/>
              </w:rPr>
              <w:t>26</w:t>
            </w:r>
          </w:p>
        </w:tc>
        <w:tc>
          <w:tcPr>
            <w:tcW w:w="713" w:type="dxa"/>
            <w:shd w:val="clear" w:color="auto" w:fill="auto"/>
            <w:noWrap/>
          </w:tcPr>
          <w:p w14:paraId="657F0B2B" w14:textId="77777777" w:rsidR="005B6EBB" w:rsidRPr="006D371E" w:rsidRDefault="005B6EBB" w:rsidP="005B6EBB">
            <w:pPr>
              <w:pStyle w:val="TAL"/>
              <w:rPr>
                <w:lang w:eastAsia="zh-CN"/>
              </w:rPr>
            </w:pPr>
            <w:r w:rsidRPr="006D371E">
              <w:rPr>
                <w:lang w:eastAsia="zh-CN"/>
              </w:rPr>
              <w:t>dB</w:t>
            </w:r>
          </w:p>
        </w:tc>
      </w:tr>
      <w:tr w:rsidR="005B6EBB" w:rsidRPr="006D371E" w14:paraId="0297ED0C" w14:textId="77777777" w:rsidTr="005B6EBB">
        <w:trPr>
          <w:trHeight w:val="187"/>
          <w:jc w:val="center"/>
        </w:trPr>
        <w:tc>
          <w:tcPr>
            <w:tcW w:w="1817" w:type="dxa"/>
            <w:shd w:val="clear" w:color="auto" w:fill="auto"/>
            <w:noWrap/>
          </w:tcPr>
          <w:p w14:paraId="7FCDDAC7" w14:textId="77777777" w:rsidR="005B6EBB" w:rsidRPr="006D371E" w:rsidRDefault="005B6EBB" w:rsidP="005B6EBB">
            <w:pPr>
              <w:pStyle w:val="TAL"/>
              <w:rPr>
                <w:lang w:eastAsia="zh-CN"/>
              </w:rPr>
            </w:pPr>
            <w:r w:rsidRPr="006D371E">
              <w:rPr>
                <w:lang w:eastAsia="zh-CN"/>
              </w:rPr>
              <w:t>DIFFRSRP_</w:t>
            </w:r>
            <w:r>
              <w:rPr>
                <w:rFonts w:hint="eastAsia"/>
                <w:lang w:eastAsia="zh-CN"/>
              </w:rPr>
              <w:t>58</w:t>
            </w:r>
          </w:p>
        </w:tc>
        <w:tc>
          <w:tcPr>
            <w:tcW w:w="3204" w:type="dxa"/>
          </w:tcPr>
          <w:p w14:paraId="174EF2F7" w14:textId="77777777" w:rsidR="005B6EBB" w:rsidRPr="006D371E" w:rsidRDefault="005B6EBB" w:rsidP="005B6EBB">
            <w:pPr>
              <w:pStyle w:val="TAL"/>
              <w:rPr>
                <w:lang w:eastAsia="zh-CN"/>
              </w:rPr>
            </w:pPr>
            <w:r>
              <w:rPr>
                <w:rFonts w:hint="eastAsia"/>
                <w:lang w:eastAsia="zh-CN"/>
              </w:rPr>
              <w:t>28</w:t>
            </w:r>
            <w:r w:rsidRPr="006D371E">
              <w:rPr>
                <w:rFonts w:hint="eastAsia"/>
                <w:lang w:eastAsia="zh-CN"/>
              </w:rPr>
              <w:t>≥Δ</w:t>
            </w:r>
            <w:r w:rsidRPr="006D371E">
              <w:rPr>
                <w:lang w:eastAsia="zh-CN"/>
              </w:rPr>
              <w:t>RSRP&gt;</w:t>
            </w:r>
            <w:r>
              <w:rPr>
                <w:rFonts w:hint="eastAsia"/>
                <w:lang w:eastAsia="zh-CN"/>
              </w:rPr>
              <w:t>27</w:t>
            </w:r>
          </w:p>
        </w:tc>
        <w:tc>
          <w:tcPr>
            <w:tcW w:w="713" w:type="dxa"/>
            <w:shd w:val="clear" w:color="auto" w:fill="auto"/>
            <w:noWrap/>
          </w:tcPr>
          <w:p w14:paraId="4ACBAC25" w14:textId="77777777" w:rsidR="005B6EBB" w:rsidRPr="006D371E" w:rsidRDefault="005B6EBB" w:rsidP="005B6EBB">
            <w:pPr>
              <w:pStyle w:val="TAL"/>
              <w:rPr>
                <w:lang w:eastAsia="zh-CN"/>
              </w:rPr>
            </w:pPr>
            <w:r w:rsidRPr="006D371E">
              <w:rPr>
                <w:lang w:eastAsia="zh-CN"/>
              </w:rPr>
              <w:t>dB</w:t>
            </w:r>
          </w:p>
        </w:tc>
      </w:tr>
      <w:tr w:rsidR="005B6EBB" w:rsidRPr="006D371E" w14:paraId="7B0DBFB4" w14:textId="77777777" w:rsidTr="005B6EBB">
        <w:trPr>
          <w:trHeight w:val="187"/>
          <w:jc w:val="center"/>
        </w:trPr>
        <w:tc>
          <w:tcPr>
            <w:tcW w:w="1817" w:type="dxa"/>
            <w:shd w:val="clear" w:color="auto" w:fill="auto"/>
            <w:noWrap/>
          </w:tcPr>
          <w:p w14:paraId="196DA487" w14:textId="77777777" w:rsidR="005B6EBB" w:rsidRPr="006D371E" w:rsidRDefault="005B6EBB" w:rsidP="005B6EBB">
            <w:pPr>
              <w:pStyle w:val="TAL"/>
              <w:rPr>
                <w:lang w:eastAsia="zh-CN"/>
              </w:rPr>
            </w:pPr>
            <w:r w:rsidRPr="006D371E">
              <w:rPr>
                <w:lang w:eastAsia="zh-CN"/>
              </w:rPr>
              <w:t>DIFFRSRP_</w:t>
            </w:r>
            <w:r>
              <w:rPr>
                <w:rFonts w:hint="eastAsia"/>
                <w:lang w:eastAsia="zh-CN"/>
              </w:rPr>
              <w:t>59</w:t>
            </w:r>
          </w:p>
        </w:tc>
        <w:tc>
          <w:tcPr>
            <w:tcW w:w="3204" w:type="dxa"/>
          </w:tcPr>
          <w:p w14:paraId="1E4D873E" w14:textId="77777777" w:rsidR="005B6EBB" w:rsidRPr="006D371E" w:rsidRDefault="005B6EBB" w:rsidP="005B6EBB">
            <w:pPr>
              <w:pStyle w:val="TAL"/>
              <w:rPr>
                <w:lang w:eastAsia="zh-CN"/>
              </w:rPr>
            </w:pPr>
            <w:r>
              <w:rPr>
                <w:rFonts w:hint="eastAsia"/>
                <w:lang w:eastAsia="zh-CN"/>
              </w:rPr>
              <w:t>29</w:t>
            </w:r>
            <w:r w:rsidRPr="006D371E">
              <w:rPr>
                <w:rFonts w:hint="eastAsia"/>
                <w:lang w:eastAsia="zh-CN"/>
              </w:rPr>
              <w:t>≥Δ</w:t>
            </w:r>
            <w:r w:rsidRPr="006D371E">
              <w:rPr>
                <w:lang w:eastAsia="zh-CN"/>
              </w:rPr>
              <w:t>RSRP&gt;</w:t>
            </w:r>
            <w:r>
              <w:rPr>
                <w:rFonts w:hint="eastAsia"/>
                <w:lang w:eastAsia="zh-CN"/>
              </w:rPr>
              <w:t>28</w:t>
            </w:r>
          </w:p>
        </w:tc>
        <w:tc>
          <w:tcPr>
            <w:tcW w:w="713" w:type="dxa"/>
            <w:shd w:val="clear" w:color="auto" w:fill="auto"/>
            <w:noWrap/>
          </w:tcPr>
          <w:p w14:paraId="1F4A28D9" w14:textId="77777777" w:rsidR="005B6EBB" w:rsidRPr="006D371E" w:rsidRDefault="005B6EBB" w:rsidP="005B6EBB">
            <w:pPr>
              <w:pStyle w:val="TAL"/>
              <w:rPr>
                <w:lang w:eastAsia="zh-CN"/>
              </w:rPr>
            </w:pPr>
            <w:r w:rsidRPr="006D371E">
              <w:rPr>
                <w:lang w:eastAsia="zh-CN"/>
              </w:rPr>
              <w:t>dB</w:t>
            </w:r>
          </w:p>
        </w:tc>
      </w:tr>
      <w:tr w:rsidR="005B6EBB" w:rsidRPr="006D371E" w14:paraId="5FD43106" w14:textId="77777777" w:rsidTr="005B6EBB">
        <w:trPr>
          <w:trHeight w:val="187"/>
          <w:jc w:val="center"/>
        </w:trPr>
        <w:tc>
          <w:tcPr>
            <w:tcW w:w="1817" w:type="dxa"/>
            <w:shd w:val="clear" w:color="auto" w:fill="auto"/>
            <w:noWrap/>
          </w:tcPr>
          <w:p w14:paraId="59806968" w14:textId="77777777" w:rsidR="005B6EBB" w:rsidRPr="006D371E" w:rsidRDefault="005B6EBB" w:rsidP="005B6EBB">
            <w:pPr>
              <w:pStyle w:val="TAL"/>
              <w:rPr>
                <w:lang w:eastAsia="zh-CN"/>
              </w:rPr>
            </w:pPr>
            <w:r w:rsidRPr="006D371E">
              <w:rPr>
                <w:lang w:eastAsia="zh-CN"/>
              </w:rPr>
              <w:t>DIFFRSRP_</w:t>
            </w:r>
            <w:r>
              <w:rPr>
                <w:rFonts w:hint="eastAsia"/>
                <w:lang w:eastAsia="zh-CN"/>
              </w:rPr>
              <w:t>60</w:t>
            </w:r>
          </w:p>
        </w:tc>
        <w:tc>
          <w:tcPr>
            <w:tcW w:w="3204" w:type="dxa"/>
          </w:tcPr>
          <w:p w14:paraId="2E588EED" w14:textId="77777777" w:rsidR="005B6EBB" w:rsidRPr="006D371E" w:rsidRDefault="005B6EBB" w:rsidP="005B6EBB">
            <w:pPr>
              <w:pStyle w:val="TAL"/>
              <w:rPr>
                <w:lang w:eastAsia="zh-CN"/>
              </w:rPr>
            </w:pPr>
            <w:r>
              <w:rPr>
                <w:rFonts w:hint="eastAsia"/>
                <w:lang w:eastAsia="zh-CN"/>
              </w:rPr>
              <w:t>30</w:t>
            </w:r>
            <w:r w:rsidRPr="006D371E">
              <w:rPr>
                <w:rFonts w:hint="eastAsia"/>
                <w:lang w:eastAsia="zh-CN"/>
              </w:rPr>
              <w:t>≥Δ</w:t>
            </w:r>
            <w:r w:rsidRPr="006D371E">
              <w:rPr>
                <w:lang w:eastAsia="zh-CN"/>
              </w:rPr>
              <w:t>RSRP&gt;</w:t>
            </w:r>
            <w:r>
              <w:rPr>
                <w:rFonts w:hint="eastAsia"/>
                <w:lang w:eastAsia="zh-CN"/>
              </w:rPr>
              <w:t>29</w:t>
            </w:r>
          </w:p>
        </w:tc>
        <w:tc>
          <w:tcPr>
            <w:tcW w:w="713" w:type="dxa"/>
            <w:shd w:val="clear" w:color="auto" w:fill="auto"/>
            <w:noWrap/>
          </w:tcPr>
          <w:p w14:paraId="166FF344" w14:textId="77777777" w:rsidR="005B6EBB" w:rsidRPr="006D371E" w:rsidRDefault="005B6EBB" w:rsidP="005B6EBB">
            <w:pPr>
              <w:pStyle w:val="TAL"/>
              <w:rPr>
                <w:lang w:eastAsia="zh-CN"/>
              </w:rPr>
            </w:pPr>
            <w:r w:rsidRPr="006D371E">
              <w:rPr>
                <w:lang w:eastAsia="zh-CN"/>
              </w:rPr>
              <w:t>dB</w:t>
            </w:r>
          </w:p>
        </w:tc>
      </w:tr>
      <w:tr w:rsidR="005B6EBB" w:rsidRPr="006D371E" w14:paraId="0BACB030" w14:textId="77777777" w:rsidTr="005B6EBB">
        <w:trPr>
          <w:trHeight w:val="187"/>
          <w:jc w:val="center"/>
        </w:trPr>
        <w:tc>
          <w:tcPr>
            <w:tcW w:w="1817" w:type="dxa"/>
            <w:shd w:val="clear" w:color="auto" w:fill="auto"/>
            <w:noWrap/>
          </w:tcPr>
          <w:p w14:paraId="6A698B4B" w14:textId="77777777" w:rsidR="005B6EBB" w:rsidRPr="006D371E" w:rsidRDefault="005B6EBB" w:rsidP="005B6EBB">
            <w:pPr>
              <w:pStyle w:val="TAL"/>
              <w:rPr>
                <w:lang w:eastAsia="zh-CN"/>
              </w:rPr>
            </w:pPr>
            <w:r w:rsidRPr="006D371E">
              <w:rPr>
                <w:lang w:eastAsia="zh-CN"/>
              </w:rPr>
              <w:t>DIFFRSRP_</w:t>
            </w:r>
            <w:r>
              <w:rPr>
                <w:rFonts w:hint="eastAsia"/>
                <w:lang w:eastAsia="zh-CN"/>
              </w:rPr>
              <w:t>61</w:t>
            </w:r>
          </w:p>
        </w:tc>
        <w:tc>
          <w:tcPr>
            <w:tcW w:w="3204" w:type="dxa"/>
          </w:tcPr>
          <w:p w14:paraId="6E11AD76" w14:textId="77777777" w:rsidR="005B6EBB" w:rsidRDefault="005B6EBB" w:rsidP="005B6EBB">
            <w:pPr>
              <w:pStyle w:val="TAL"/>
              <w:rPr>
                <w:lang w:eastAsia="zh-CN"/>
              </w:rPr>
            </w:pPr>
            <w:r w:rsidRPr="006D371E">
              <w:rPr>
                <w:rFonts w:hint="eastAsia"/>
                <w:lang w:eastAsia="zh-CN"/>
              </w:rPr>
              <w:t>Δ</w:t>
            </w:r>
            <w:r w:rsidRPr="006D371E">
              <w:rPr>
                <w:lang w:eastAsia="zh-CN"/>
              </w:rPr>
              <w:t>RSRP&gt;</w:t>
            </w:r>
            <w:r>
              <w:rPr>
                <w:rFonts w:hint="eastAsia"/>
                <w:lang w:eastAsia="zh-CN"/>
              </w:rPr>
              <w:t>30</w:t>
            </w:r>
          </w:p>
        </w:tc>
        <w:tc>
          <w:tcPr>
            <w:tcW w:w="713" w:type="dxa"/>
            <w:shd w:val="clear" w:color="auto" w:fill="auto"/>
            <w:noWrap/>
          </w:tcPr>
          <w:p w14:paraId="37387351" w14:textId="77777777" w:rsidR="005B6EBB" w:rsidRPr="006D371E" w:rsidRDefault="005B6EBB" w:rsidP="005B6EBB">
            <w:pPr>
              <w:pStyle w:val="TAL"/>
              <w:rPr>
                <w:lang w:eastAsia="zh-CN"/>
              </w:rPr>
            </w:pPr>
            <w:r w:rsidRPr="006D371E">
              <w:rPr>
                <w:lang w:eastAsia="zh-CN"/>
              </w:rPr>
              <w:t>dB</w:t>
            </w:r>
          </w:p>
        </w:tc>
      </w:tr>
    </w:tbl>
    <w:p w14:paraId="6870F7B5" w14:textId="77777777" w:rsidR="005B6EBB" w:rsidRDefault="005B6EBB" w:rsidP="005B6EBB"/>
    <w:p w14:paraId="1BB54F91" w14:textId="35A3D00B" w:rsidR="009323E2" w:rsidRDefault="009323E2" w:rsidP="009323E2">
      <w:pPr>
        <w:pStyle w:val="Heading3"/>
      </w:pPr>
      <w:r>
        <w:t>10</w:t>
      </w:r>
      <w:r w:rsidRPr="002D08F8">
        <w:t>.</w:t>
      </w:r>
      <w:r>
        <w:t>1.25</w:t>
      </w:r>
      <w:r w:rsidRPr="00F674D5">
        <w:tab/>
      </w:r>
      <w:r>
        <w:t>UE Rx-Tx Time Difference Measurements</w:t>
      </w:r>
    </w:p>
    <w:p w14:paraId="15BA1D1C" w14:textId="77777777" w:rsidR="009323E2" w:rsidRDefault="009323E2" w:rsidP="009323E2">
      <w:pPr>
        <w:pStyle w:val="Heading4"/>
      </w:pPr>
      <w:r w:rsidRPr="00512252">
        <w:t>10.</w:t>
      </w:r>
      <w:r>
        <w:t>1.25</w:t>
      </w:r>
      <w:r w:rsidRPr="00DF3FF6">
        <w:t>.</w:t>
      </w:r>
      <w:r>
        <w:t>1</w:t>
      </w:r>
      <w:r w:rsidRPr="00DF3FF6">
        <w:tab/>
      </w:r>
      <w:r>
        <w:t>Introduction</w:t>
      </w:r>
    </w:p>
    <w:p w14:paraId="0EFDB5B3" w14:textId="77777777" w:rsidR="003A3840" w:rsidRPr="00E76F72" w:rsidRDefault="003A3840" w:rsidP="003A3840">
      <w:r w:rsidRPr="00D37076">
        <w:t xml:space="preserve">The requirements in Clause 10.1.25 shall apply, provided the UE has received </w:t>
      </w:r>
      <w:r w:rsidRPr="00D37076">
        <w:rPr>
          <w:i/>
          <w:iCs/>
          <w:snapToGrid w:val="0"/>
        </w:rPr>
        <w:t>nr-Multi-RTT-RequestLocationInformation</w:t>
      </w:r>
      <w:r w:rsidRPr="00D37076">
        <w:t xml:space="preserve"> message from LMF via LPP [31] requesting the UE to report one or more UE Rx-Tx time difference measurements defined in TS 38.215 [4].</w:t>
      </w:r>
      <w:r>
        <w:t xml:space="preserve"> </w:t>
      </w:r>
      <w:r w:rsidRPr="00E76F72">
        <w:t>The requirements in Clause 10.1.2</w:t>
      </w:r>
      <w:r>
        <w:t>5</w:t>
      </w:r>
      <w:r w:rsidRPr="00E76F72">
        <w:t xml:space="preserve"> shall apply: </w:t>
      </w:r>
    </w:p>
    <w:p w14:paraId="3630445B" w14:textId="3EE192B7" w:rsidR="003A3840" w:rsidRPr="00E76F72" w:rsidRDefault="003A3840" w:rsidP="003A3840">
      <w:pPr>
        <w:pStyle w:val="B10"/>
      </w:pPr>
      <w:r>
        <w:t>-</w:t>
      </w:r>
      <w:r>
        <w:tab/>
      </w:r>
      <w:r w:rsidRPr="00E76F72">
        <w:t>when UE is in RRC_CONNECTED state and the measurement is performed with MG or without MG,</w:t>
      </w:r>
    </w:p>
    <w:p w14:paraId="1FFB6DD3" w14:textId="7A606F85" w:rsidR="009323E2" w:rsidRPr="00177A42" w:rsidRDefault="003A3840" w:rsidP="003A3840">
      <w:pPr>
        <w:pStyle w:val="B10"/>
      </w:pPr>
      <w:r>
        <w:t>-</w:t>
      </w:r>
      <w:r>
        <w:tab/>
      </w:r>
      <w:r w:rsidRPr="00E76F72">
        <w:t>when UE is in RRC_INACTIVE state.</w:t>
      </w:r>
    </w:p>
    <w:p w14:paraId="0BB10967" w14:textId="77777777" w:rsidR="009323E2" w:rsidRDefault="009323E2" w:rsidP="009323E2">
      <w:pPr>
        <w:pStyle w:val="Heading4"/>
      </w:pPr>
      <w:r w:rsidRPr="00512252">
        <w:t>10.</w:t>
      </w:r>
      <w:r>
        <w:t>1.25</w:t>
      </w:r>
      <w:r w:rsidRPr="00DF3FF6">
        <w:t>.</w:t>
      </w:r>
      <w:r>
        <w:t>2</w:t>
      </w:r>
      <w:r w:rsidRPr="00DF3FF6">
        <w:tab/>
      </w:r>
      <w:r>
        <w:t>Measurement Accuracy Requirements</w:t>
      </w:r>
    </w:p>
    <w:p w14:paraId="3D542950" w14:textId="77777777" w:rsidR="005A3BCE" w:rsidRDefault="005A3BCE" w:rsidP="005A3BCE">
      <w:r>
        <w:t>The UE Rx-Tx time difference measurement accuracy requirements in this clause shall not apply, if:</w:t>
      </w:r>
    </w:p>
    <w:p w14:paraId="60C1BCA6" w14:textId="77777777" w:rsidR="005A3BCE" w:rsidRDefault="005A3BCE" w:rsidP="005A3BCE">
      <w:pPr>
        <w:ind w:left="714" w:hanging="357"/>
      </w:pPr>
      <w:r>
        <w:t>N</w:t>
      </w:r>
      <w:r>
        <w:rPr>
          <w:vertAlign w:val="subscript"/>
        </w:rPr>
        <w:t>TA_offset</w:t>
      </w:r>
      <w:r>
        <w:t xml:space="preserve"> defined in Table 7.1.2-2 changes during the UE Rx-Tx measurement period or</w:t>
      </w:r>
    </w:p>
    <w:p w14:paraId="036F1D4D" w14:textId="77777777" w:rsidR="005A3BCE" w:rsidRDefault="005A3BCE" w:rsidP="005A3BCE">
      <w:pPr>
        <w:ind w:left="568" w:hanging="284"/>
      </w:pPr>
      <w:r>
        <w:t>if the uplink transmission timing changes during the UE Rx-Tx measurement period due to the network-configured Timing Advance.</w:t>
      </w:r>
    </w:p>
    <w:p w14:paraId="58C3C326" w14:textId="77777777" w:rsidR="005A3BCE" w:rsidRDefault="005A3BCE" w:rsidP="005A3BCE">
      <w:pPr>
        <w:spacing w:before="240"/>
      </w:pPr>
      <w:r>
        <w:t>The UE Rx-Tx time difference measurement accuracy requirements in this clause shall apply provided that:</w:t>
      </w:r>
    </w:p>
    <w:p w14:paraId="69228123" w14:textId="609E34FD" w:rsidR="005A3BCE" w:rsidRDefault="003D5855" w:rsidP="003D5855">
      <w:pPr>
        <w:pStyle w:val="B10"/>
        <w:rPr>
          <w:rFonts w:eastAsia="MS Mincho"/>
          <w:bCs/>
          <w:lang w:eastAsia="zh-CN"/>
        </w:rPr>
      </w:pPr>
      <w:r>
        <w:rPr>
          <w:rFonts w:eastAsia="MS Mincho"/>
          <w:bCs/>
          <w:lang w:eastAsia="zh-CN"/>
        </w:rPr>
        <w:t>-</w:t>
      </w:r>
      <w:r>
        <w:rPr>
          <w:rFonts w:eastAsia="MS Mincho"/>
          <w:bCs/>
          <w:lang w:eastAsia="zh-CN"/>
        </w:rPr>
        <w:tab/>
      </w:r>
      <w:r w:rsidR="005A3BCE">
        <w:rPr>
          <w:rFonts w:eastAsia="MS Mincho"/>
          <w:bCs/>
          <w:lang w:eastAsia="zh-CN"/>
        </w:rPr>
        <w:t xml:space="preserve">The </w:t>
      </w:r>
      <w:r w:rsidR="005A3BCE">
        <w:rPr>
          <w:lang w:val="en-US" w:eastAsia="zh-CN"/>
        </w:rPr>
        <w:t>UE transmits SRS within [-160, 160] msec of at least one DL PRS resource of each of the TRPs in the assistance data.</w:t>
      </w:r>
    </w:p>
    <w:p w14:paraId="5F90069F" w14:textId="4CCA31A0" w:rsidR="00A11203" w:rsidRPr="00050711" w:rsidRDefault="00A11203" w:rsidP="00EF2B82">
      <w:pPr>
        <w:rPr>
          <w:rFonts w:eastAsia="SimSun"/>
          <w:lang w:val="en-US" w:eastAsia="x-none"/>
        </w:rPr>
      </w:pPr>
      <w:r w:rsidRPr="00050711">
        <w:rPr>
          <w:rFonts w:eastAsia="SimSun"/>
          <w:lang w:val="en-US" w:eastAsia="x-none"/>
        </w:rPr>
        <w:t>I</w:t>
      </w:r>
      <w:r w:rsidRPr="00050711">
        <w:rPr>
          <w:rFonts w:eastAsia="SimSun"/>
          <w:lang w:val="x-none" w:eastAsia="x-none"/>
        </w:rPr>
        <w:t xml:space="preserve">f the uplink transmission timing changes during the UE Rx-Tx measurement period due to </w:t>
      </w:r>
      <w:r w:rsidRPr="00050711">
        <w:rPr>
          <w:rFonts w:eastAsia="SimSun"/>
          <w:lang w:val="en-US" w:eastAsia="x-none"/>
        </w:rPr>
        <w:t xml:space="preserve">the </w:t>
      </w:r>
      <w:r w:rsidRPr="00050711">
        <w:rPr>
          <w:rFonts w:eastAsia="SimSun"/>
          <w:lang w:val="x-none" w:eastAsia="x-none"/>
        </w:rPr>
        <w:t xml:space="preserve">autonomous </w:t>
      </w:r>
      <w:r w:rsidRPr="00050711">
        <w:rPr>
          <w:rFonts w:eastAsia="SimSun"/>
          <w:lang w:val="en-US" w:eastAsia="x-none"/>
        </w:rPr>
        <w:t xml:space="preserve">timing </w:t>
      </w:r>
      <w:r w:rsidRPr="00050711">
        <w:rPr>
          <w:rFonts w:eastAsia="SimSun"/>
          <w:lang w:val="x-none" w:eastAsia="x-none"/>
        </w:rPr>
        <w:t>adjustment</w:t>
      </w:r>
      <w:r w:rsidRPr="00050711">
        <w:rPr>
          <w:rFonts w:eastAsia="SimSun"/>
          <w:lang w:val="en-US" w:eastAsia="x-none"/>
        </w:rPr>
        <w:t xml:space="preserve"> </w:t>
      </w:r>
      <w:r w:rsidRPr="00050711">
        <w:rPr>
          <w:rFonts w:eastAsia="SimSun"/>
        </w:rPr>
        <w:t xml:space="preserve">defined in clause 7.1.2 </w:t>
      </w:r>
      <w:r w:rsidRPr="00050711">
        <w:rPr>
          <w:rFonts w:eastAsia="SimSun"/>
          <w:lang w:val="en-US" w:eastAsia="x-none"/>
        </w:rPr>
        <w:t>then:</w:t>
      </w:r>
    </w:p>
    <w:p w14:paraId="335AE664" w14:textId="35F2FFF4" w:rsidR="00A11203" w:rsidRPr="007E01B9" w:rsidRDefault="00EF2B82" w:rsidP="00EF2B82">
      <w:pPr>
        <w:pStyle w:val="B10"/>
        <w:rPr>
          <w:rFonts w:eastAsia="MS Mincho"/>
          <w:lang w:eastAsia="zh-CN"/>
        </w:rPr>
      </w:pPr>
      <w:r>
        <w:rPr>
          <w:rFonts w:eastAsia="MS Mincho"/>
          <w:lang w:eastAsia="zh-CN"/>
        </w:rPr>
        <w:t>-</w:t>
      </w:r>
      <w:r>
        <w:rPr>
          <w:rFonts w:eastAsia="MS Mincho"/>
          <w:lang w:eastAsia="zh-CN"/>
        </w:rPr>
        <w:tab/>
      </w:r>
      <w:r w:rsidR="00A11203" w:rsidRPr="00C3508A">
        <w:rPr>
          <w:rFonts w:eastAsia="MS Mincho"/>
          <w:lang w:eastAsia="zh-CN"/>
        </w:rPr>
        <w:t xml:space="preserve">UE Rx-Tx measurement accuracy requirements shall apply for a cell, which is also the downlink reference cell (defined in section 7.1.1) for SRS transmission even if the </w:t>
      </w:r>
      <w:r w:rsidR="00A11203" w:rsidRPr="007E01B9">
        <w:rPr>
          <w:rFonts w:eastAsia="MS Mincho"/>
          <w:lang w:eastAsia="zh-CN"/>
        </w:rPr>
        <w:t>uplink transmission timing changes during the UE Rx-Tx measurement period due to autonomous adjustment.</w:t>
      </w:r>
    </w:p>
    <w:p w14:paraId="384EE2A3" w14:textId="5E9DA80F" w:rsidR="00A43B00" w:rsidRDefault="00A43B00" w:rsidP="00A43B00">
      <w:pPr>
        <w:pStyle w:val="B10"/>
        <w:rPr>
          <w:lang w:eastAsia="zh-CN"/>
        </w:rPr>
      </w:pPr>
      <w:r>
        <w:rPr>
          <w:lang w:eastAsia="zh-CN"/>
        </w:rPr>
        <w:t>-</w:t>
      </w:r>
      <w:r>
        <w:rPr>
          <w:lang w:eastAsia="zh-CN"/>
        </w:rPr>
        <w:tab/>
      </w:r>
      <w:r w:rsidRPr="007E01B9">
        <w:rPr>
          <w:lang w:eastAsia="zh-CN"/>
        </w:rPr>
        <w:t xml:space="preserve">UE Rx-Tx measurement accuracy requirements shall not apply for a cell, which is not the downlink reference cell (defined in section 7.1.1) for SRS transmission, if the uplink transmission timing changes during the UE Rx-Tx measurement period due to autonomous adjustment. </w:t>
      </w:r>
    </w:p>
    <w:p w14:paraId="45595B0F" w14:textId="77777777" w:rsidR="00A43B00" w:rsidRDefault="00A43B00" w:rsidP="00A43B00">
      <w:r>
        <w:t>When a serving cell change occurs during the UE Rx-Tx measurement period, the UE Rx-Tx time difference measurement accuracy requirements in this clause shall apply provided that the serving cell change does not impact SRS configuration for the UE Rx-Tx measurement.</w:t>
      </w:r>
    </w:p>
    <w:p w14:paraId="4A39B070" w14:textId="22328BDC" w:rsidR="00933B63" w:rsidRDefault="00933B63" w:rsidP="00AD57C0">
      <w:r w:rsidRPr="00C815D2">
        <w:t xml:space="preserve">The relative accuracy of </w:t>
      </w:r>
      <w:r w:rsidRPr="00C3508A">
        <w:rPr>
          <w:rFonts w:eastAsia="MS Mincho"/>
          <w:lang w:eastAsia="zh-CN"/>
        </w:rPr>
        <w:t>UE Rx-Tx measurement</w:t>
      </w:r>
      <w:r w:rsidRPr="00C815D2">
        <w:t xml:space="preserve"> </w:t>
      </w:r>
      <w:r>
        <w:t xml:space="preserve">in this clause </w:t>
      </w:r>
      <w:r w:rsidRPr="00C815D2">
        <w:t xml:space="preserve">is defined as accuracy of the difference between two </w:t>
      </w:r>
      <w:r w:rsidRPr="00C3508A">
        <w:rPr>
          <w:rFonts w:eastAsia="MS Mincho"/>
          <w:lang w:eastAsia="zh-CN"/>
        </w:rPr>
        <w:t>UE Rx-Tx</w:t>
      </w:r>
      <w:r w:rsidRPr="00C815D2">
        <w:t xml:space="preserve"> measurements.</w:t>
      </w:r>
    </w:p>
    <w:p w14:paraId="2AA4DD8B" w14:textId="51EB4818" w:rsidR="00AD57C0" w:rsidRDefault="00AD57C0" w:rsidP="00AD57C0">
      <w:r>
        <w:t>The accuracy requirements in Table 10.1.25.2-1 for FR1 are valid under the following conditions:</w:t>
      </w:r>
    </w:p>
    <w:p w14:paraId="11D3E295" w14:textId="79726E66" w:rsidR="00AD57C0" w:rsidRDefault="00AD57C0" w:rsidP="00301B77">
      <w:r>
        <w:t>Conditions defined in clause 7.3 of TS 38.101-1 [18] for reference sensitivity are fulfilled.</w:t>
      </w:r>
    </w:p>
    <w:p w14:paraId="78BC9DE4" w14:textId="2819BCBB" w:rsidR="005A3BCE" w:rsidRDefault="005A3BCE" w:rsidP="0096773B">
      <w:pPr>
        <w:pStyle w:val="B10"/>
      </w:pPr>
      <w:r>
        <w:t>PRP|</w:t>
      </w:r>
      <w:r>
        <w:rPr>
          <w:vertAlign w:val="subscript"/>
        </w:rPr>
        <w:t>dBm</w:t>
      </w:r>
      <w:r>
        <w:t xml:space="preserve"> according to Annex B.2.14 for a corresponding Band.</w:t>
      </w:r>
    </w:p>
    <w:p w14:paraId="37D5A9AF" w14:textId="77777777" w:rsidR="00AD57C0" w:rsidRDefault="00AD57C0" w:rsidP="00480B64">
      <w:r>
        <w:t>AWGN propagation condition.</w:t>
      </w:r>
    </w:p>
    <w:p w14:paraId="336C18E7" w14:textId="77777777" w:rsidR="00B46EF8" w:rsidRPr="00F8474E" w:rsidRDefault="00B46EF8" w:rsidP="00B46EF8">
      <w:pPr>
        <w:pStyle w:val="TH"/>
      </w:pPr>
      <w:r w:rsidRPr="00F8474E">
        <w:rPr>
          <w:lang w:val="en-US"/>
        </w:rPr>
        <w:t>Table 10.1.25.2-1: UE Rx-Tx time difference measurement accuracy in FR1 in AWGN</w:t>
      </w:r>
    </w:p>
    <w:tbl>
      <w:tblPr>
        <w:tblW w:w="0" w:type="auto"/>
        <w:jc w:val="center"/>
        <w:tblLook w:val="01E0" w:firstRow="1" w:lastRow="1" w:firstColumn="1" w:lastColumn="1" w:noHBand="0" w:noVBand="0"/>
      </w:tblPr>
      <w:tblGrid>
        <w:gridCol w:w="1048"/>
        <w:gridCol w:w="795"/>
        <w:gridCol w:w="1362"/>
        <w:gridCol w:w="673"/>
        <w:gridCol w:w="1620"/>
        <w:gridCol w:w="1971"/>
        <w:gridCol w:w="1093"/>
        <w:gridCol w:w="1067"/>
      </w:tblGrid>
      <w:tr w:rsidR="00B46EF8" w:rsidRPr="00F8474E" w14:paraId="1F3049B5" w14:textId="77777777" w:rsidTr="00FA482E">
        <w:trPr>
          <w:jc w:val="center"/>
        </w:trPr>
        <w:tc>
          <w:tcPr>
            <w:tcW w:w="0" w:type="auto"/>
            <w:vMerge w:val="restart"/>
            <w:tcBorders>
              <w:top w:val="single" w:sz="4" w:space="0" w:color="auto"/>
              <w:left w:val="single" w:sz="4" w:space="0" w:color="auto"/>
              <w:bottom w:val="single" w:sz="6" w:space="0" w:color="auto"/>
              <w:right w:val="single" w:sz="6" w:space="0" w:color="auto"/>
            </w:tcBorders>
            <w:vAlign w:val="center"/>
            <w:hideMark/>
          </w:tcPr>
          <w:p w14:paraId="5504293D" w14:textId="77777777" w:rsidR="00B46EF8" w:rsidRPr="00F8474E" w:rsidRDefault="00B46EF8" w:rsidP="00B46EF8">
            <w:pPr>
              <w:pStyle w:val="TAH"/>
              <w:rPr>
                <w:lang w:eastAsia="ko-KR"/>
              </w:rPr>
            </w:pPr>
            <w:r w:rsidRPr="00F8474E">
              <w:rPr>
                <w:lang w:eastAsia="ko-KR"/>
              </w:rPr>
              <w:t>Accuracy</w:t>
            </w:r>
          </w:p>
        </w:tc>
        <w:tc>
          <w:tcPr>
            <w:tcW w:w="0" w:type="auto"/>
            <w:gridSpan w:val="7"/>
            <w:tcBorders>
              <w:top w:val="single" w:sz="4" w:space="0" w:color="auto"/>
              <w:left w:val="single" w:sz="6" w:space="0" w:color="auto"/>
              <w:bottom w:val="single" w:sz="6" w:space="0" w:color="auto"/>
              <w:right w:val="single" w:sz="4" w:space="0" w:color="auto"/>
            </w:tcBorders>
            <w:hideMark/>
          </w:tcPr>
          <w:p w14:paraId="1BAEE267" w14:textId="77777777" w:rsidR="00B46EF8" w:rsidRPr="00F8474E" w:rsidRDefault="00B46EF8" w:rsidP="00B46EF8">
            <w:pPr>
              <w:pStyle w:val="TAH"/>
              <w:rPr>
                <w:lang w:eastAsia="ko-KR"/>
              </w:rPr>
            </w:pPr>
            <w:r w:rsidRPr="00F8474E">
              <w:rPr>
                <w:lang w:eastAsia="ko-KR"/>
              </w:rPr>
              <w:t>Conditions</w:t>
            </w:r>
          </w:p>
        </w:tc>
      </w:tr>
      <w:tr w:rsidR="00B46EF8" w:rsidRPr="00F8474E" w14:paraId="43F5F5B9" w14:textId="77777777" w:rsidTr="00FA482E">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1A8878C0" w14:textId="77777777" w:rsidR="00B46EF8" w:rsidRPr="00F8474E" w:rsidRDefault="00B46EF8" w:rsidP="00B46EF8">
            <w:pPr>
              <w:pStyle w:val="TAH"/>
              <w:rPr>
                <w:lang w:eastAsia="ko-KR"/>
              </w:rPr>
            </w:pP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008D28FB" w14:textId="77777777" w:rsidR="00B46EF8" w:rsidRPr="00F8474E" w:rsidRDefault="00B46EF8" w:rsidP="00B46EF8">
            <w:pPr>
              <w:pStyle w:val="TAH"/>
              <w:rPr>
                <w:lang w:eastAsia="ko-KR"/>
              </w:rPr>
            </w:pPr>
            <w:r w:rsidRPr="00F8474E">
              <w:rPr>
                <w:lang w:eastAsia="ko-KR"/>
              </w:rPr>
              <w:t>PRS Ês/Iot</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4269E6BF" w14:textId="77777777" w:rsidR="00B46EF8" w:rsidRPr="00F8474E" w:rsidRDefault="00B46EF8" w:rsidP="00B46EF8">
            <w:pPr>
              <w:pStyle w:val="TAH"/>
              <w:rPr>
                <w:lang w:eastAsia="ko-KR"/>
              </w:rPr>
            </w:pPr>
            <w:r w:rsidRPr="00F8474E">
              <w:rPr>
                <w:lang w:eastAsia="ko-KR"/>
              </w:rPr>
              <w:t>Minimum PRS bandwidth</w:t>
            </w:r>
          </w:p>
        </w:tc>
        <w:tc>
          <w:tcPr>
            <w:tcW w:w="0" w:type="auto"/>
            <w:vMerge w:val="restart"/>
            <w:tcBorders>
              <w:top w:val="single" w:sz="6" w:space="0" w:color="auto"/>
              <w:left w:val="single" w:sz="6" w:space="0" w:color="auto"/>
              <w:bottom w:val="single" w:sz="6" w:space="0" w:color="auto"/>
              <w:right w:val="single" w:sz="6" w:space="0" w:color="auto"/>
            </w:tcBorders>
          </w:tcPr>
          <w:p w14:paraId="73C604C0" w14:textId="77777777" w:rsidR="00B46EF8" w:rsidRPr="00F8474E" w:rsidRDefault="00B46EF8" w:rsidP="00B46EF8">
            <w:pPr>
              <w:pStyle w:val="TAH"/>
              <w:rPr>
                <w:lang w:eastAsia="ko-KR"/>
              </w:rPr>
            </w:pPr>
          </w:p>
          <w:p w14:paraId="0EB13D7A" w14:textId="77777777" w:rsidR="00B46EF8" w:rsidRPr="00F8474E" w:rsidRDefault="00B46EF8" w:rsidP="00B46EF8">
            <w:pPr>
              <w:pStyle w:val="TAH"/>
              <w:rPr>
                <w:lang w:eastAsia="ko-KR"/>
              </w:rPr>
            </w:pPr>
            <w:r w:rsidRPr="00F8474E">
              <w:rPr>
                <w:lang w:eastAsia="ko-KR"/>
              </w:rPr>
              <w:t>PRS SCS</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40903162" w14:textId="77777777" w:rsidR="00B46EF8" w:rsidRPr="00F8474E" w:rsidRDefault="00B46EF8" w:rsidP="00B46EF8">
            <w:pPr>
              <w:pStyle w:val="TAH"/>
            </w:pPr>
            <w:r w:rsidRPr="00F8474E">
              <w:t xml:space="preserve">PRS resource repetition </w:t>
            </w:r>
            <m:oMath>
              <m:sSubSup>
                <m:sSubSupPr>
                  <m:ctrlPr>
                    <w:rPr>
                      <w:rFonts w:ascii="Cambria Math" w:hAnsi="Cambria Math"/>
                      <w:i/>
                      <w:szCs w:val="18"/>
                      <w:lang w:eastAsia="ko-KR"/>
                    </w:rPr>
                  </m:ctrlPr>
                </m:sSubSupPr>
                <m:e>
                  <m:r>
                    <m:rPr>
                      <m:sty m:val="bi"/>
                    </m:rPr>
                    <w:rPr>
                      <w:rFonts w:ascii="Cambria Math" w:hAnsi="Cambria Math"/>
                      <w:lang w:eastAsia="ko-KR"/>
                    </w:rPr>
                    <m:t>(T</m:t>
                  </m:r>
                </m:e>
                <m:sub>
                  <m:r>
                    <m:rPr>
                      <m:sty m:val="b"/>
                    </m:rPr>
                    <w:rPr>
                      <w:rFonts w:ascii="Cambria Math" w:hAnsi="Cambria Math"/>
                      <w:lang w:eastAsia="ko-KR"/>
                    </w:rPr>
                    <m:t>rep</m:t>
                  </m:r>
                </m:sub>
                <m:sup>
                  <m:r>
                    <m:rPr>
                      <m:sty m:val="b"/>
                    </m:rPr>
                    <w:rPr>
                      <w:rFonts w:ascii="Cambria Math" w:hAnsi="Cambria Math"/>
                      <w:lang w:eastAsia="ko-KR"/>
                    </w:rPr>
                    <m:t>PRS</m:t>
                  </m:r>
                </m:sup>
              </m:sSubSup>
              <m:r>
                <m:rPr>
                  <m:sty m:val="bi"/>
                </m:rPr>
                <w:rPr>
                  <w:rFonts w:ascii="Cambria Math" w:hAnsi="Cambria Math"/>
                  <w:lang w:eastAsia="ko-KR"/>
                </w:rPr>
                <m:t>*</m:t>
              </m:r>
              <m:sSub>
                <m:sSubPr>
                  <m:ctrlPr>
                    <w:rPr>
                      <w:rFonts w:ascii="Cambria Math" w:hAnsi="Cambria Math"/>
                      <w:szCs w:val="18"/>
                      <w:lang w:eastAsia="ko-KR"/>
                    </w:rPr>
                  </m:ctrlPr>
                </m:sSubPr>
                <m:e>
                  <m:r>
                    <m:rPr>
                      <m:sty m:val="bi"/>
                    </m:rPr>
                    <w:rPr>
                      <w:rFonts w:ascii="Cambria Math" w:hAnsi="Cambria Math"/>
                      <w:lang w:eastAsia="ko-KR"/>
                    </w:rPr>
                    <m:t>L</m:t>
                  </m:r>
                </m:e>
                <m:sub>
                  <m:r>
                    <m:rPr>
                      <m:sty m:val="b"/>
                    </m:rPr>
                    <w:rPr>
                      <w:rFonts w:ascii="Cambria Math" w:hAnsi="Cambria Math"/>
                      <w:lang w:eastAsia="ko-KR"/>
                    </w:rPr>
                    <m:t>PRS</m:t>
                  </m:r>
                </m:sub>
              </m:sSub>
              <m:r>
                <m:rPr>
                  <m:sty m:val="bi"/>
                </m:rPr>
                <w:rPr>
                  <w:rFonts w:ascii="Cambria Math" w:hAnsi="Cambria Math"/>
                  <w:lang w:eastAsia="ko-KR"/>
                </w:rPr>
                <m:t>/</m:t>
              </m:r>
              <m:sSubSup>
                <m:sSubSupPr>
                  <m:ctrlPr>
                    <w:rPr>
                      <w:rFonts w:ascii="Cambria Math" w:hAnsi="Cambria Math"/>
                      <w:i/>
                      <w:szCs w:val="18"/>
                      <w:lang w:eastAsia="ko-KR"/>
                    </w:rPr>
                  </m:ctrlPr>
                </m:sSubSupPr>
                <m:e>
                  <m:r>
                    <m:rPr>
                      <m:sty m:val="bi"/>
                    </m:rPr>
                    <w:rPr>
                      <w:rFonts w:ascii="Cambria Math" w:hAnsi="Cambria Math"/>
                      <w:lang w:eastAsia="ko-KR"/>
                    </w:rPr>
                    <m:t>K</m:t>
                  </m:r>
                </m:e>
                <m:sub>
                  <m:r>
                    <m:rPr>
                      <m:sty m:val="b"/>
                    </m:rPr>
                    <w:rPr>
                      <w:rFonts w:ascii="Cambria Math" w:hAnsi="Cambria Math"/>
                      <w:lang w:eastAsia="ko-KR"/>
                    </w:rPr>
                    <m:t>comb</m:t>
                  </m:r>
                </m:sub>
                <m:sup>
                  <m:r>
                    <m:rPr>
                      <m:sty m:val="b"/>
                    </m:rPr>
                    <w:rPr>
                      <w:rFonts w:ascii="Cambria Math" w:hAnsi="Cambria Math"/>
                      <w:lang w:eastAsia="ko-KR"/>
                    </w:rPr>
                    <m:t>PRS</m:t>
                  </m:r>
                </m:sup>
              </m:sSubSup>
            </m:oMath>
            <w:r w:rsidRPr="00F8474E">
              <w:rPr>
                <w:vertAlign w:val="superscript"/>
                <w:lang w:eastAsia="ko-KR"/>
              </w:rPr>
              <w:t>Note 3</w:t>
            </w:r>
          </w:p>
        </w:tc>
        <w:tc>
          <w:tcPr>
            <w:tcW w:w="0" w:type="auto"/>
            <w:vMerge w:val="restart"/>
            <w:tcBorders>
              <w:top w:val="single" w:sz="6" w:space="0" w:color="auto"/>
              <w:left w:val="single" w:sz="6" w:space="0" w:color="auto"/>
              <w:bottom w:val="single" w:sz="6" w:space="0" w:color="auto"/>
              <w:right w:val="single" w:sz="6" w:space="0" w:color="auto"/>
            </w:tcBorders>
            <w:hideMark/>
          </w:tcPr>
          <w:p w14:paraId="76C3620D" w14:textId="77777777" w:rsidR="00B46EF8" w:rsidRPr="00F8474E" w:rsidRDefault="00B46EF8" w:rsidP="00B46EF8">
            <w:pPr>
              <w:pStyle w:val="TAH"/>
              <w:rPr>
                <w:lang w:eastAsia="ko-KR"/>
              </w:rPr>
            </w:pPr>
            <w:r w:rsidRPr="00F8474E">
              <w:rPr>
                <w:lang w:eastAsia="ko-KR"/>
              </w:rPr>
              <w:t>NR operating band groups</w:t>
            </w:r>
            <w:r w:rsidRPr="00F8474E">
              <w:rPr>
                <w:vertAlign w:val="superscript"/>
                <w:lang w:eastAsia="ko-KR"/>
              </w:rPr>
              <w:t>Note 2</w:t>
            </w:r>
          </w:p>
        </w:tc>
        <w:tc>
          <w:tcPr>
            <w:tcW w:w="0" w:type="auto"/>
            <w:gridSpan w:val="2"/>
            <w:tcBorders>
              <w:top w:val="single" w:sz="6" w:space="0" w:color="auto"/>
              <w:left w:val="single" w:sz="6" w:space="0" w:color="auto"/>
              <w:bottom w:val="single" w:sz="6" w:space="0" w:color="auto"/>
              <w:right w:val="single" w:sz="4" w:space="0" w:color="auto"/>
            </w:tcBorders>
            <w:vAlign w:val="center"/>
            <w:hideMark/>
          </w:tcPr>
          <w:p w14:paraId="40958AAD" w14:textId="77777777" w:rsidR="00B46EF8" w:rsidRPr="00F8474E" w:rsidRDefault="00B46EF8" w:rsidP="00B46EF8">
            <w:pPr>
              <w:pStyle w:val="TAH"/>
              <w:rPr>
                <w:lang w:eastAsia="ko-KR"/>
              </w:rPr>
            </w:pPr>
            <w:r w:rsidRPr="00F8474E">
              <w:rPr>
                <w:lang w:eastAsia="ko-KR"/>
              </w:rPr>
              <w:t>Io</w:t>
            </w:r>
            <w:r w:rsidRPr="00F8474E">
              <w:rPr>
                <w:vertAlign w:val="superscript"/>
              </w:rPr>
              <w:t>Note 4</w:t>
            </w:r>
            <w:r w:rsidRPr="00F8474E">
              <w:rPr>
                <w:lang w:eastAsia="ko-KR"/>
              </w:rPr>
              <w:t xml:space="preserve"> range</w:t>
            </w:r>
          </w:p>
        </w:tc>
      </w:tr>
      <w:tr w:rsidR="00B46EF8" w:rsidRPr="00F8474E" w14:paraId="6094D739" w14:textId="77777777" w:rsidTr="00FA482E">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4DE0A31B" w14:textId="77777777" w:rsidR="00B46EF8" w:rsidRPr="00F8474E" w:rsidRDefault="00B46EF8" w:rsidP="00B46EF8">
            <w:pPr>
              <w:pStyle w:val="TAH"/>
              <w:rPr>
                <w:lang w:eastAsia="ko-KR"/>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DDE280A" w14:textId="77777777" w:rsidR="00B46EF8" w:rsidRPr="00F8474E" w:rsidRDefault="00B46EF8" w:rsidP="00B46EF8">
            <w:pPr>
              <w:pStyle w:val="TAH"/>
              <w:rPr>
                <w:lang w:eastAsia="ko-KR"/>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EB2CA53" w14:textId="77777777" w:rsidR="00B46EF8" w:rsidRPr="00F8474E" w:rsidRDefault="00B46EF8" w:rsidP="00B46EF8">
            <w:pPr>
              <w:pStyle w:val="TAH"/>
              <w:rPr>
                <w:lang w:eastAsia="ko-KR"/>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087896" w14:textId="77777777" w:rsidR="00B46EF8" w:rsidRPr="00F8474E" w:rsidRDefault="00B46EF8" w:rsidP="00B46EF8">
            <w:pPr>
              <w:pStyle w:val="TAH"/>
              <w:rPr>
                <w:lang w:eastAsia="ko-KR"/>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C0719A9" w14:textId="77777777" w:rsidR="00B46EF8" w:rsidRPr="00F8474E" w:rsidRDefault="00B46EF8" w:rsidP="00B46EF8">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7705C4E" w14:textId="77777777" w:rsidR="00B46EF8" w:rsidRPr="00F8474E" w:rsidRDefault="00B46EF8" w:rsidP="00B46EF8">
            <w:pPr>
              <w:pStyle w:val="TAH"/>
              <w:rPr>
                <w:lang w:eastAsia="ko-KR"/>
              </w:rPr>
            </w:pPr>
          </w:p>
        </w:tc>
        <w:tc>
          <w:tcPr>
            <w:tcW w:w="0" w:type="auto"/>
            <w:tcBorders>
              <w:top w:val="single" w:sz="6" w:space="0" w:color="auto"/>
              <w:left w:val="single" w:sz="6" w:space="0" w:color="auto"/>
              <w:bottom w:val="single" w:sz="4" w:space="0" w:color="auto"/>
              <w:right w:val="single" w:sz="6" w:space="0" w:color="auto"/>
            </w:tcBorders>
            <w:hideMark/>
          </w:tcPr>
          <w:p w14:paraId="5C921C89" w14:textId="77777777" w:rsidR="00B46EF8" w:rsidRPr="00F8474E" w:rsidRDefault="00B46EF8" w:rsidP="00B46EF8">
            <w:pPr>
              <w:pStyle w:val="TAH"/>
              <w:rPr>
                <w:lang w:eastAsia="ko-KR"/>
              </w:rPr>
            </w:pPr>
            <w:r w:rsidRPr="00F8474E">
              <w:rPr>
                <w:lang w:eastAsia="ko-KR"/>
              </w:rPr>
              <w:t>Minimum</w:t>
            </w:r>
            <w:r w:rsidRPr="00F8474E">
              <w:rPr>
                <w:lang w:eastAsia="ko-KR"/>
              </w:rPr>
              <w:br/>
              <w:t>Io</w:t>
            </w:r>
            <w:r w:rsidRPr="00F8474E">
              <w:rPr>
                <w:vertAlign w:val="superscript"/>
                <w:lang w:eastAsia="ko-KR"/>
              </w:rPr>
              <w:t>Note 1</w:t>
            </w:r>
          </w:p>
        </w:tc>
        <w:tc>
          <w:tcPr>
            <w:tcW w:w="0" w:type="auto"/>
            <w:tcBorders>
              <w:top w:val="single" w:sz="6" w:space="0" w:color="auto"/>
              <w:left w:val="single" w:sz="6" w:space="0" w:color="auto"/>
              <w:bottom w:val="single" w:sz="6" w:space="0" w:color="auto"/>
              <w:right w:val="single" w:sz="4" w:space="0" w:color="auto"/>
            </w:tcBorders>
            <w:vAlign w:val="center"/>
            <w:hideMark/>
          </w:tcPr>
          <w:p w14:paraId="6C5DABCD" w14:textId="77777777" w:rsidR="00B46EF8" w:rsidRPr="00F8474E" w:rsidRDefault="00B46EF8" w:rsidP="00B46EF8">
            <w:pPr>
              <w:pStyle w:val="TAH"/>
              <w:rPr>
                <w:lang w:eastAsia="ko-KR"/>
              </w:rPr>
            </w:pPr>
            <w:r w:rsidRPr="00F8474E">
              <w:rPr>
                <w:lang w:eastAsia="ko-KR"/>
              </w:rPr>
              <w:t>Maximum</w:t>
            </w:r>
            <w:r w:rsidRPr="00F8474E">
              <w:rPr>
                <w:lang w:eastAsia="ko-KR"/>
              </w:rPr>
              <w:br/>
              <w:t>Io</w:t>
            </w:r>
          </w:p>
        </w:tc>
      </w:tr>
      <w:tr w:rsidR="00B46EF8" w:rsidRPr="00F8474E" w14:paraId="34CE6DF9" w14:textId="77777777" w:rsidTr="00FA482E">
        <w:trPr>
          <w:trHeight w:val="429"/>
          <w:jc w:val="center"/>
        </w:trPr>
        <w:tc>
          <w:tcPr>
            <w:tcW w:w="0" w:type="auto"/>
            <w:tcBorders>
              <w:top w:val="single" w:sz="6" w:space="0" w:color="auto"/>
              <w:left w:val="single" w:sz="4" w:space="0" w:color="auto"/>
              <w:bottom w:val="nil"/>
              <w:right w:val="single" w:sz="6" w:space="0" w:color="auto"/>
            </w:tcBorders>
            <w:vAlign w:val="center"/>
            <w:hideMark/>
          </w:tcPr>
          <w:p w14:paraId="49119A5F" w14:textId="77777777" w:rsidR="00B46EF8" w:rsidRPr="00F8474E" w:rsidRDefault="00B46EF8" w:rsidP="00B46EF8">
            <w:pPr>
              <w:pStyle w:val="TAH"/>
              <w:rPr>
                <w:lang w:eastAsia="ko-KR"/>
              </w:rPr>
            </w:pPr>
            <w:r w:rsidRPr="00F8474E">
              <w:rPr>
                <w:lang w:eastAsia="ko-KR"/>
              </w:rPr>
              <w:t>Tc</w:t>
            </w:r>
            <w:r w:rsidRPr="00F8474E">
              <w:rPr>
                <w:vertAlign w:val="superscript"/>
              </w:rPr>
              <w:t>Note 5</w:t>
            </w:r>
          </w:p>
        </w:tc>
        <w:tc>
          <w:tcPr>
            <w:tcW w:w="0" w:type="auto"/>
            <w:tcBorders>
              <w:top w:val="single" w:sz="6" w:space="0" w:color="auto"/>
              <w:left w:val="single" w:sz="6" w:space="0" w:color="auto"/>
              <w:bottom w:val="nil"/>
              <w:right w:val="single" w:sz="6" w:space="0" w:color="auto"/>
            </w:tcBorders>
            <w:vAlign w:val="center"/>
            <w:hideMark/>
          </w:tcPr>
          <w:p w14:paraId="435C013C" w14:textId="77777777" w:rsidR="00B46EF8" w:rsidRPr="00F8474E" w:rsidRDefault="00B46EF8" w:rsidP="00B46EF8">
            <w:pPr>
              <w:pStyle w:val="TAH"/>
              <w:rPr>
                <w:lang w:eastAsia="ko-KR"/>
              </w:rPr>
            </w:pPr>
            <w:r w:rsidRPr="00F8474E">
              <w:rPr>
                <w:lang w:eastAsia="ko-KR"/>
              </w:rPr>
              <w:t>dB</w:t>
            </w:r>
          </w:p>
        </w:tc>
        <w:tc>
          <w:tcPr>
            <w:tcW w:w="0" w:type="auto"/>
            <w:tcBorders>
              <w:top w:val="single" w:sz="6" w:space="0" w:color="auto"/>
              <w:left w:val="single" w:sz="6" w:space="0" w:color="auto"/>
              <w:bottom w:val="nil"/>
              <w:right w:val="single" w:sz="6" w:space="0" w:color="auto"/>
            </w:tcBorders>
            <w:vAlign w:val="center"/>
            <w:hideMark/>
          </w:tcPr>
          <w:p w14:paraId="3BA822A7" w14:textId="77777777" w:rsidR="00B46EF8" w:rsidRPr="00F8474E" w:rsidRDefault="00B46EF8" w:rsidP="00B46EF8">
            <w:pPr>
              <w:pStyle w:val="TAH"/>
              <w:rPr>
                <w:lang w:eastAsia="ko-KR"/>
              </w:rPr>
            </w:pPr>
            <w:r w:rsidRPr="00F8474E">
              <w:rPr>
                <w:lang w:eastAsia="ko-KR"/>
              </w:rPr>
              <w:t>RB</w:t>
            </w:r>
          </w:p>
        </w:tc>
        <w:tc>
          <w:tcPr>
            <w:tcW w:w="0" w:type="auto"/>
            <w:tcBorders>
              <w:top w:val="single" w:sz="6" w:space="0" w:color="auto"/>
              <w:left w:val="single" w:sz="6" w:space="0" w:color="auto"/>
              <w:bottom w:val="nil"/>
              <w:right w:val="single" w:sz="6" w:space="0" w:color="auto"/>
            </w:tcBorders>
          </w:tcPr>
          <w:p w14:paraId="3C4641ED" w14:textId="77777777" w:rsidR="00B46EF8" w:rsidRPr="00F8474E" w:rsidRDefault="00B46EF8" w:rsidP="00B46EF8">
            <w:pPr>
              <w:pStyle w:val="TAH"/>
              <w:rPr>
                <w:lang w:eastAsia="ko-KR"/>
              </w:rPr>
            </w:pPr>
          </w:p>
          <w:p w14:paraId="6E5BF218" w14:textId="77777777" w:rsidR="00B46EF8" w:rsidRPr="00F8474E" w:rsidRDefault="00B46EF8" w:rsidP="00B46EF8">
            <w:pPr>
              <w:pStyle w:val="TAH"/>
              <w:rPr>
                <w:lang w:eastAsia="ko-KR"/>
              </w:rPr>
            </w:pPr>
            <w:r w:rsidRPr="00F8474E">
              <w:rPr>
                <w:lang w:eastAsia="ko-KR"/>
              </w:rPr>
              <w:t>kHz</w:t>
            </w:r>
          </w:p>
        </w:tc>
        <w:tc>
          <w:tcPr>
            <w:tcW w:w="0" w:type="auto"/>
            <w:tcBorders>
              <w:top w:val="single" w:sz="6" w:space="0" w:color="auto"/>
              <w:left w:val="single" w:sz="6" w:space="0" w:color="auto"/>
              <w:bottom w:val="nil"/>
              <w:right w:val="single" w:sz="6" w:space="0" w:color="auto"/>
            </w:tcBorders>
            <w:vAlign w:val="center"/>
          </w:tcPr>
          <w:p w14:paraId="58636A1E" w14:textId="77777777" w:rsidR="00B46EF8" w:rsidRPr="00F8474E" w:rsidRDefault="00B46EF8" w:rsidP="00B46EF8">
            <w:pPr>
              <w:pStyle w:val="TAH"/>
              <w:rPr>
                <w:lang w:eastAsia="ko-KR"/>
              </w:rPr>
            </w:pPr>
          </w:p>
        </w:tc>
        <w:tc>
          <w:tcPr>
            <w:tcW w:w="0" w:type="auto"/>
            <w:tcBorders>
              <w:top w:val="single" w:sz="6" w:space="0" w:color="auto"/>
              <w:left w:val="single" w:sz="6" w:space="0" w:color="auto"/>
              <w:bottom w:val="nil"/>
              <w:right w:val="single" w:sz="4" w:space="0" w:color="auto"/>
            </w:tcBorders>
            <w:vAlign w:val="center"/>
          </w:tcPr>
          <w:p w14:paraId="78EAF436" w14:textId="77777777" w:rsidR="00B46EF8" w:rsidRPr="00F8474E" w:rsidRDefault="00B46EF8" w:rsidP="00B46EF8">
            <w:pPr>
              <w:pStyle w:val="TAH"/>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8A7AA5C" w14:textId="77777777" w:rsidR="00B46EF8" w:rsidRPr="00F8474E" w:rsidRDefault="00B46EF8" w:rsidP="00B46EF8">
            <w:pPr>
              <w:pStyle w:val="TAH"/>
              <w:rPr>
                <w:lang w:eastAsia="ko-KR"/>
              </w:rPr>
            </w:pPr>
            <w:r w:rsidRPr="00F8474E">
              <w:rPr>
                <w:lang w:eastAsia="ko-KR"/>
              </w:rPr>
              <w:t>dBm / SCS</w:t>
            </w:r>
            <w:r w:rsidRPr="00F8474E">
              <w:rPr>
                <w:vertAlign w:val="subscript"/>
                <w:lang w:eastAsia="ko-KR"/>
              </w:rPr>
              <w:t>PRS</w:t>
            </w:r>
          </w:p>
        </w:tc>
        <w:tc>
          <w:tcPr>
            <w:tcW w:w="0" w:type="auto"/>
            <w:tcBorders>
              <w:top w:val="single" w:sz="6" w:space="0" w:color="auto"/>
              <w:left w:val="single" w:sz="4" w:space="0" w:color="auto"/>
              <w:bottom w:val="nil"/>
              <w:right w:val="single" w:sz="4" w:space="0" w:color="auto"/>
            </w:tcBorders>
            <w:vAlign w:val="center"/>
            <w:hideMark/>
          </w:tcPr>
          <w:p w14:paraId="033F773F" w14:textId="77777777" w:rsidR="00B46EF8" w:rsidRPr="00F8474E" w:rsidRDefault="00B46EF8" w:rsidP="00B46EF8">
            <w:pPr>
              <w:pStyle w:val="TAH"/>
              <w:rPr>
                <w:lang w:eastAsia="ko-KR"/>
              </w:rPr>
            </w:pPr>
            <w:r w:rsidRPr="00F8474E">
              <w:rPr>
                <w:lang w:eastAsia="ko-KR"/>
              </w:rPr>
              <w:t>dBm/BW</w:t>
            </w:r>
          </w:p>
        </w:tc>
      </w:tr>
      <w:tr w:rsidR="00B46EF8" w:rsidRPr="00F8474E" w14:paraId="629F7BC6" w14:textId="77777777" w:rsidTr="00FA482E">
        <w:trPr>
          <w:trHeight w:val="21"/>
          <w:jc w:val="center"/>
        </w:trPr>
        <w:tc>
          <w:tcPr>
            <w:tcW w:w="0" w:type="auto"/>
            <w:vMerge w:val="restart"/>
            <w:tcBorders>
              <w:top w:val="single" w:sz="6" w:space="0" w:color="auto"/>
              <w:left w:val="single" w:sz="4" w:space="0" w:color="auto"/>
              <w:bottom w:val="nil"/>
              <w:right w:val="single" w:sz="6" w:space="0" w:color="auto"/>
            </w:tcBorders>
            <w:vAlign w:val="center"/>
            <w:hideMark/>
          </w:tcPr>
          <w:p w14:paraId="6E5DCB3D" w14:textId="77777777" w:rsidR="00B46EF8" w:rsidRPr="00F8474E" w:rsidRDefault="00B46EF8" w:rsidP="00B46EF8">
            <w:pPr>
              <w:pStyle w:val="TAC"/>
              <w:rPr>
                <w:lang w:eastAsia="ko-KR"/>
              </w:rPr>
            </w:pPr>
            <w:r w:rsidRPr="00F8474E">
              <w:rPr>
                <w:lang w:eastAsia="ko-KR"/>
              </w:rPr>
              <w:t>± 78+</w:t>
            </w:r>
            <w:r w:rsidRPr="00F8474E">
              <w:rPr>
                <w:lang w:eastAsia="ko-KR"/>
              </w:rPr>
              <w:sym w:font="Symbol" w:char="F064"/>
            </w:r>
          </w:p>
        </w:tc>
        <w:tc>
          <w:tcPr>
            <w:tcW w:w="0" w:type="auto"/>
            <w:vMerge w:val="restart"/>
            <w:tcBorders>
              <w:top w:val="single" w:sz="6" w:space="0" w:color="auto"/>
              <w:left w:val="single" w:sz="6" w:space="0" w:color="auto"/>
              <w:bottom w:val="nil"/>
              <w:right w:val="single" w:sz="6" w:space="0" w:color="auto"/>
            </w:tcBorders>
            <w:vAlign w:val="center"/>
            <w:hideMark/>
          </w:tcPr>
          <w:p w14:paraId="1F4AD594" w14:textId="77777777" w:rsidR="00B46EF8" w:rsidRPr="00F8474E" w:rsidRDefault="00B46EF8" w:rsidP="00B46EF8">
            <w:pPr>
              <w:pStyle w:val="TAC"/>
              <w:rPr>
                <w:lang w:val="sv-SE" w:eastAsia="ko-KR"/>
              </w:rPr>
            </w:pPr>
            <w:r w:rsidRPr="00F8474E">
              <w:rPr>
                <w:lang w:val="sv-SE" w:eastAsia="ko-KR"/>
              </w:rPr>
              <w:t>-3</w:t>
            </w:r>
          </w:p>
        </w:tc>
        <w:tc>
          <w:tcPr>
            <w:tcW w:w="0" w:type="auto"/>
            <w:vMerge w:val="restart"/>
            <w:tcBorders>
              <w:top w:val="single" w:sz="6" w:space="0" w:color="auto"/>
              <w:left w:val="single" w:sz="6" w:space="0" w:color="auto"/>
              <w:bottom w:val="nil"/>
              <w:right w:val="single" w:sz="6" w:space="0" w:color="auto"/>
            </w:tcBorders>
            <w:vAlign w:val="center"/>
            <w:hideMark/>
          </w:tcPr>
          <w:p w14:paraId="14F05055" w14:textId="77777777" w:rsidR="00B46EF8" w:rsidRPr="00F8474E" w:rsidRDefault="00B46EF8" w:rsidP="00B46EF8">
            <w:pPr>
              <w:pStyle w:val="TAC"/>
              <w:rPr>
                <w:lang w:eastAsia="ko-KR"/>
              </w:rPr>
            </w:pPr>
            <w:r w:rsidRPr="00F8474E">
              <w:rPr>
                <w:rFonts w:cs="Calibri"/>
              </w:rPr>
              <w:t>≥</w:t>
            </w:r>
            <w:r w:rsidRPr="00F8474E">
              <w:t>24</w:t>
            </w:r>
          </w:p>
        </w:tc>
        <w:tc>
          <w:tcPr>
            <w:tcW w:w="0" w:type="auto"/>
            <w:vMerge w:val="restart"/>
            <w:tcBorders>
              <w:top w:val="single" w:sz="6" w:space="0" w:color="auto"/>
              <w:left w:val="single" w:sz="6" w:space="0" w:color="auto"/>
              <w:bottom w:val="nil"/>
              <w:right w:val="single" w:sz="6" w:space="0" w:color="auto"/>
            </w:tcBorders>
            <w:vAlign w:val="center"/>
            <w:hideMark/>
          </w:tcPr>
          <w:p w14:paraId="62467DE1" w14:textId="77777777" w:rsidR="00B46EF8" w:rsidRPr="00F8474E" w:rsidRDefault="00B46EF8" w:rsidP="00B46EF8">
            <w:pPr>
              <w:pStyle w:val="TAC"/>
              <w:rPr>
                <w:lang w:eastAsia="ko-KR"/>
              </w:rPr>
            </w:pPr>
            <w:r w:rsidRPr="00F8474E">
              <w:rPr>
                <w:lang w:eastAsia="ko-KR"/>
              </w:rPr>
              <w:t>15</w:t>
            </w:r>
          </w:p>
        </w:tc>
        <w:tc>
          <w:tcPr>
            <w:tcW w:w="0" w:type="auto"/>
            <w:vMerge w:val="restart"/>
            <w:tcBorders>
              <w:top w:val="single" w:sz="6" w:space="0" w:color="auto"/>
              <w:left w:val="single" w:sz="6" w:space="0" w:color="auto"/>
              <w:bottom w:val="single" w:sz="4" w:space="0" w:color="auto"/>
              <w:right w:val="single" w:sz="6" w:space="0" w:color="auto"/>
            </w:tcBorders>
            <w:vAlign w:val="center"/>
            <w:hideMark/>
          </w:tcPr>
          <w:p w14:paraId="45581900" w14:textId="77777777" w:rsidR="00B46EF8" w:rsidRPr="00F8474E" w:rsidRDefault="00B46EF8" w:rsidP="00B46EF8">
            <w:pPr>
              <w:pStyle w:val="TAC"/>
              <w:rPr>
                <w:lang w:eastAsia="ko-KR"/>
              </w:rPr>
            </w:pPr>
            <w:r w:rsidRPr="00F8474E">
              <w:rPr>
                <w:rFonts w:cs="Arial"/>
                <w:szCs w:val="18"/>
              </w:rPr>
              <w:t>≥4</w:t>
            </w:r>
          </w:p>
        </w:tc>
        <w:tc>
          <w:tcPr>
            <w:tcW w:w="0" w:type="auto"/>
            <w:tcBorders>
              <w:top w:val="single" w:sz="6" w:space="0" w:color="auto"/>
              <w:left w:val="single" w:sz="6" w:space="0" w:color="auto"/>
              <w:bottom w:val="single" w:sz="6" w:space="0" w:color="auto"/>
              <w:right w:val="single" w:sz="4" w:space="0" w:color="auto"/>
            </w:tcBorders>
            <w:vAlign w:val="center"/>
            <w:hideMark/>
          </w:tcPr>
          <w:p w14:paraId="5FC3DCEE" w14:textId="77777777" w:rsidR="00B46EF8" w:rsidRPr="00F8474E" w:rsidRDefault="00B46EF8" w:rsidP="00B46EF8">
            <w:pPr>
              <w:pStyle w:val="TAC"/>
              <w:rPr>
                <w:lang w:eastAsia="ko-KR"/>
              </w:rPr>
            </w:pPr>
            <w:r w:rsidRPr="00F8474E">
              <w:rPr>
                <w:lang w:eastAsia="ko-KR"/>
              </w:rPr>
              <w:t>NR_FDD_FR1_A, NR_TDD_FR1_A,</w:t>
            </w:r>
          </w:p>
          <w:p w14:paraId="77FF7EAF" w14:textId="77777777" w:rsidR="00B46EF8" w:rsidRPr="00F8474E" w:rsidRDefault="00B46EF8" w:rsidP="00B46EF8">
            <w:pPr>
              <w:pStyle w:val="TAC"/>
              <w:rPr>
                <w:lang w:eastAsia="ko-KR"/>
              </w:rPr>
            </w:pPr>
            <w:r w:rsidRPr="00F8474E">
              <w:rPr>
                <w:lang w:eastAsia="ko-KR"/>
              </w:rPr>
              <w:t>NR_SDL_FR1_A</w:t>
            </w:r>
          </w:p>
        </w:tc>
        <w:tc>
          <w:tcPr>
            <w:tcW w:w="0" w:type="auto"/>
            <w:tcBorders>
              <w:top w:val="single" w:sz="4" w:space="0" w:color="auto"/>
              <w:left w:val="single" w:sz="4" w:space="0" w:color="auto"/>
              <w:bottom w:val="single" w:sz="4" w:space="0" w:color="auto"/>
              <w:right w:val="single" w:sz="4" w:space="0" w:color="auto"/>
            </w:tcBorders>
            <w:vAlign w:val="center"/>
            <w:hideMark/>
          </w:tcPr>
          <w:p w14:paraId="1FABF2D1" w14:textId="72E15C6D" w:rsidR="00B46EF8" w:rsidRPr="00F8474E" w:rsidRDefault="00B46EF8" w:rsidP="00B46EF8">
            <w:pPr>
              <w:pStyle w:val="TAC"/>
              <w:rPr>
                <w:lang w:eastAsia="ko-KR"/>
              </w:rPr>
            </w:pPr>
            <w:r w:rsidRPr="00F8474E">
              <w:t>-127</w:t>
            </w:r>
          </w:p>
        </w:tc>
        <w:tc>
          <w:tcPr>
            <w:tcW w:w="0" w:type="auto"/>
            <w:vMerge w:val="restart"/>
            <w:tcBorders>
              <w:top w:val="single" w:sz="6" w:space="0" w:color="auto"/>
              <w:left w:val="single" w:sz="4" w:space="0" w:color="auto"/>
              <w:bottom w:val="single" w:sz="6" w:space="0" w:color="auto"/>
              <w:right w:val="single" w:sz="4" w:space="0" w:color="auto"/>
            </w:tcBorders>
            <w:vAlign w:val="center"/>
            <w:hideMark/>
          </w:tcPr>
          <w:p w14:paraId="228EFD7D" w14:textId="77777777" w:rsidR="00B46EF8" w:rsidRPr="00F8474E" w:rsidRDefault="00B46EF8" w:rsidP="00B46EF8">
            <w:pPr>
              <w:pStyle w:val="TAC"/>
              <w:rPr>
                <w:lang w:eastAsia="ko-KR"/>
              </w:rPr>
            </w:pPr>
            <w:r w:rsidRPr="00F8474E">
              <w:rPr>
                <w:lang w:eastAsia="ko-KR"/>
              </w:rPr>
              <w:t>-50</w:t>
            </w:r>
          </w:p>
        </w:tc>
      </w:tr>
      <w:tr w:rsidR="00B46EF8" w:rsidRPr="00F8474E" w14:paraId="53A14CF9"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1B5C5331"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3FF046BB"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7FD65C28"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5D9A5DC5"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single" w:sz="4" w:space="0" w:color="auto"/>
              <w:right w:val="single" w:sz="6" w:space="0" w:color="auto"/>
            </w:tcBorders>
            <w:vAlign w:val="center"/>
            <w:hideMark/>
          </w:tcPr>
          <w:p w14:paraId="060C367F" w14:textId="77777777" w:rsidR="00B46EF8" w:rsidRPr="00F8474E" w:rsidRDefault="00B46EF8" w:rsidP="00B46EF8">
            <w:pPr>
              <w:pStyle w:val="TAC"/>
              <w:rPr>
                <w:lang w:eastAsia="ko-KR"/>
              </w:rPr>
            </w:pPr>
          </w:p>
        </w:tc>
        <w:tc>
          <w:tcPr>
            <w:tcW w:w="0" w:type="auto"/>
            <w:tcBorders>
              <w:top w:val="single" w:sz="6" w:space="0" w:color="auto"/>
              <w:left w:val="single" w:sz="6" w:space="0" w:color="auto"/>
              <w:bottom w:val="single" w:sz="6" w:space="0" w:color="auto"/>
              <w:right w:val="single" w:sz="4" w:space="0" w:color="auto"/>
            </w:tcBorders>
            <w:vAlign w:val="center"/>
            <w:hideMark/>
          </w:tcPr>
          <w:p w14:paraId="1D935724" w14:textId="77777777" w:rsidR="00B46EF8" w:rsidRPr="00F8474E" w:rsidRDefault="00B46EF8" w:rsidP="00B46EF8">
            <w:pPr>
              <w:pStyle w:val="TAC"/>
              <w:rPr>
                <w:lang w:eastAsia="ko-KR"/>
              </w:rPr>
            </w:pPr>
            <w:r w:rsidRPr="00F8474E">
              <w:rPr>
                <w:lang w:eastAsia="ko-KR"/>
              </w:rPr>
              <w:t>NR_FDD_FR1_B</w:t>
            </w:r>
          </w:p>
        </w:tc>
        <w:tc>
          <w:tcPr>
            <w:tcW w:w="0" w:type="auto"/>
            <w:tcBorders>
              <w:top w:val="single" w:sz="4" w:space="0" w:color="auto"/>
              <w:left w:val="single" w:sz="4" w:space="0" w:color="auto"/>
              <w:bottom w:val="single" w:sz="4" w:space="0" w:color="auto"/>
              <w:right w:val="single" w:sz="4" w:space="0" w:color="auto"/>
            </w:tcBorders>
            <w:hideMark/>
          </w:tcPr>
          <w:p w14:paraId="3882D1FA" w14:textId="4AA3B3A3" w:rsidR="00B46EF8" w:rsidRPr="00F8474E" w:rsidRDefault="00B46EF8" w:rsidP="00B46EF8">
            <w:pPr>
              <w:pStyle w:val="TAC"/>
              <w:rPr>
                <w:lang w:eastAsia="ko-KR"/>
              </w:rPr>
            </w:pPr>
            <w:r w:rsidRPr="00F8474E">
              <w:t>-126.5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0DBE2BC1" w14:textId="77777777" w:rsidR="00B46EF8" w:rsidRPr="00F8474E" w:rsidRDefault="00B46EF8" w:rsidP="00B46EF8">
            <w:pPr>
              <w:pStyle w:val="TAC"/>
              <w:rPr>
                <w:lang w:eastAsia="ko-KR"/>
              </w:rPr>
            </w:pPr>
          </w:p>
        </w:tc>
      </w:tr>
      <w:tr w:rsidR="00B46EF8" w:rsidRPr="00F8474E" w14:paraId="61AEA7D6"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6E12DFB2"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651C9770"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14EA938F"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062B8FB2"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single" w:sz="4" w:space="0" w:color="auto"/>
              <w:right w:val="single" w:sz="6" w:space="0" w:color="auto"/>
            </w:tcBorders>
            <w:vAlign w:val="center"/>
            <w:hideMark/>
          </w:tcPr>
          <w:p w14:paraId="503462B9" w14:textId="77777777" w:rsidR="00B46EF8" w:rsidRPr="00F8474E" w:rsidRDefault="00B46EF8" w:rsidP="00B46EF8">
            <w:pPr>
              <w:pStyle w:val="TAC"/>
              <w:rPr>
                <w:lang w:eastAsia="ko-KR"/>
              </w:rPr>
            </w:pPr>
          </w:p>
        </w:tc>
        <w:tc>
          <w:tcPr>
            <w:tcW w:w="0" w:type="auto"/>
            <w:tcBorders>
              <w:top w:val="single" w:sz="6" w:space="0" w:color="auto"/>
              <w:left w:val="single" w:sz="6" w:space="0" w:color="auto"/>
              <w:bottom w:val="single" w:sz="6" w:space="0" w:color="auto"/>
              <w:right w:val="single" w:sz="4" w:space="0" w:color="auto"/>
            </w:tcBorders>
            <w:vAlign w:val="center"/>
            <w:hideMark/>
          </w:tcPr>
          <w:p w14:paraId="04BC42DB" w14:textId="77777777" w:rsidR="00B46EF8" w:rsidRPr="00F8474E" w:rsidRDefault="00B46EF8" w:rsidP="00B46EF8">
            <w:pPr>
              <w:pStyle w:val="TAC"/>
              <w:rPr>
                <w:lang w:eastAsia="ko-KR"/>
              </w:rPr>
            </w:pPr>
            <w:r w:rsidRPr="00F8474E">
              <w:rPr>
                <w:lang w:eastAsia="ko-KR"/>
              </w:rPr>
              <w:t>NR_TDD_FR1_C</w:t>
            </w:r>
          </w:p>
        </w:tc>
        <w:tc>
          <w:tcPr>
            <w:tcW w:w="0" w:type="auto"/>
            <w:tcBorders>
              <w:top w:val="single" w:sz="4" w:space="0" w:color="auto"/>
              <w:left w:val="single" w:sz="4" w:space="0" w:color="auto"/>
              <w:bottom w:val="single" w:sz="4" w:space="0" w:color="auto"/>
              <w:right w:val="single" w:sz="4" w:space="0" w:color="auto"/>
            </w:tcBorders>
            <w:vAlign w:val="center"/>
            <w:hideMark/>
          </w:tcPr>
          <w:p w14:paraId="455D7166" w14:textId="052F5FBE" w:rsidR="00B46EF8" w:rsidRPr="00F8474E" w:rsidRDefault="00B46EF8" w:rsidP="00B46EF8">
            <w:pPr>
              <w:pStyle w:val="TAC"/>
              <w:rPr>
                <w:lang w:eastAsia="ko-KR"/>
              </w:rPr>
            </w:pPr>
            <w:r w:rsidRPr="00F8474E">
              <w:t>-126</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2CD4257B" w14:textId="77777777" w:rsidR="00B46EF8" w:rsidRPr="00F8474E" w:rsidRDefault="00B46EF8" w:rsidP="00B46EF8">
            <w:pPr>
              <w:pStyle w:val="TAC"/>
              <w:rPr>
                <w:lang w:eastAsia="ko-KR"/>
              </w:rPr>
            </w:pPr>
          </w:p>
        </w:tc>
      </w:tr>
      <w:tr w:rsidR="00B46EF8" w:rsidRPr="00F8474E" w14:paraId="717E64CC"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0469B9E0"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670C86E3"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669F9B5D"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14182404"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single" w:sz="4" w:space="0" w:color="auto"/>
              <w:right w:val="single" w:sz="6" w:space="0" w:color="auto"/>
            </w:tcBorders>
            <w:vAlign w:val="center"/>
            <w:hideMark/>
          </w:tcPr>
          <w:p w14:paraId="7D2A7023" w14:textId="77777777" w:rsidR="00B46EF8" w:rsidRPr="00F8474E" w:rsidRDefault="00B46EF8" w:rsidP="00B46EF8">
            <w:pPr>
              <w:pStyle w:val="TAC"/>
              <w:rPr>
                <w:lang w:eastAsia="ko-KR"/>
              </w:rPr>
            </w:pPr>
          </w:p>
        </w:tc>
        <w:tc>
          <w:tcPr>
            <w:tcW w:w="0" w:type="auto"/>
            <w:tcBorders>
              <w:top w:val="single" w:sz="6" w:space="0" w:color="auto"/>
              <w:left w:val="single" w:sz="6" w:space="0" w:color="auto"/>
              <w:bottom w:val="single" w:sz="6" w:space="0" w:color="auto"/>
              <w:right w:val="single" w:sz="4" w:space="0" w:color="auto"/>
            </w:tcBorders>
            <w:vAlign w:val="center"/>
            <w:hideMark/>
          </w:tcPr>
          <w:p w14:paraId="601CE1E1" w14:textId="77777777" w:rsidR="00B46EF8" w:rsidRPr="00F8474E" w:rsidRDefault="00B46EF8" w:rsidP="00B46EF8">
            <w:pPr>
              <w:pStyle w:val="TAC"/>
              <w:rPr>
                <w:lang w:val="sv-SE" w:eastAsia="ko-KR"/>
              </w:rPr>
            </w:pPr>
            <w:r w:rsidRPr="00F8474E">
              <w:rPr>
                <w:lang w:val="sv-SE" w:eastAsia="ko-KR"/>
              </w:rPr>
              <w:t>NR_FDD_FR1_D, NR_TDD_FR1_D</w:t>
            </w:r>
          </w:p>
        </w:tc>
        <w:tc>
          <w:tcPr>
            <w:tcW w:w="0" w:type="auto"/>
            <w:tcBorders>
              <w:top w:val="single" w:sz="4" w:space="0" w:color="auto"/>
              <w:left w:val="single" w:sz="4" w:space="0" w:color="auto"/>
              <w:bottom w:val="single" w:sz="4" w:space="0" w:color="auto"/>
              <w:right w:val="single" w:sz="4" w:space="0" w:color="auto"/>
            </w:tcBorders>
            <w:vAlign w:val="center"/>
            <w:hideMark/>
          </w:tcPr>
          <w:p w14:paraId="4F12559F" w14:textId="0578A23E" w:rsidR="00B46EF8" w:rsidRPr="00F8474E" w:rsidRDefault="00B46EF8" w:rsidP="00B46EF8">
            <w:pPr>
              <w:pStyle w:val="TAC"/>
              <w:rPr>
                <w:lang w:eastAsia="ko-KR"/>
              </w:rPr>
            </w:pPr>
            <w:r w:rsidRPr="00F8474E">
              <w:t>-125.5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0D6B8949" w14:textId="77777777" w:rsidR="00B46EF8" w:rsidRPr="00F8474E" w:rsidRDefault="00B46EF8" w:rsidP="00B46EF8">
            <w:pPr>
              <w:pStyle w:val="TAC"/>
              <w:rPr>
                <w:lang w:eastAsia="ko-KR"/>
              </w:rPr>
            </w:pPr>
          </w:p>
        </w:tc>
      </w:tr>
      <w:tr w:rsidR="00B46EF8" w:rsidRPr="00F8474E" w14:paraId="7F3B2638"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18EDD78E"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7773165C"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152DB4F8"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15845727"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single" w:sz="4" w:space="0" w:color="auto"/>
              <w:right w:val="single" w:sz="6" w:space="0" w:color="auto"/>
            </w:tcBorders>
            <w:vAlign w:val="center"/>
            <w:hideMark/>
          </w:tcPr>
          <w:p w14:paraId="11102A78" w14:textId="77777777" w:rsidR="00B46EF8" w:rsidRPr="00F8474E" w:rsidRDefault="00B46EF8" w:rsidP="00B46EF8">
            <w:pPr>
              <w:pStyle w:val="TAC"/>
              <w:rPr>
                <w:lang w:eastAsia="ko-KR"/>
              </w:rPr>
            </w:pPr>
          </w:p>
        </w:tc>
        <w:tc>
          <w:tcPr>
            <w:tcW w:w="0" w:type="auto"/>
            <w:tcBorders>
              <w:top w:val="single" w:sz="6" w:space="0" w:color="auto"/>
              <w:left w:val="single" w:sz="6" w:space="0" w:color="auto"/>
              <w:bottom w:val="single" w:sz="6" w:space="0" w:color="auto"/>
              <w:right w:val="single" w:sz="4" w:space="0" w:color="auto"/>
            </w:tcBorders>
            <w:vAlign w:val="center"/>
            <w:hideMark/>
          </w:tcPr>
          <w:p w14:paraId="3439F305" w14:textId="77777777" w:rsidR="00B46EF8" w:rsidRPr="00F8474E" w:rsidRDefault="00B46EF8" w:rsidP="00B46EF8">
            <w:pPr>
              <w:pStyle w:val="TAC"/>
              <w:rPr>
                <w:lang w:val="sv-SE" w:eastAsia="ko-KR"/>
              </w:rPr>
            </w:pPr>
            <w:r w:rsidRPr="00F8474E">
              <w:rPr>
                <w:lang w:val="sv-SE" w:eastAsia="ko-KR"/>
              </w:rPr>
              <w:t>NR_FDD_FR1_E, NR_TDD_FR1_E</w:t>
            </w:r>
          </w:p>
        </w:tc>
        <w:tc>
          <w:tcPr>
            <w:tcW w:w="0" w:type="auto"/>
            <w:tcBorders>
              <w:top w:val="single" w:sz="4" w:space="0" w:color="auto"/>
              <w:left w:val="single" w:sz="4" w:space="0" w:color="auto"/>
              <w:bottom w:val="single" w:sz="4" w:space="0" w:color="auto"/>
              <w:right w:val="single" w:sz="4" w:space="0" w:color="auto"/>
            </w:tcBorders>
            <w:vAlign w:val="center"/>
            <w:hideMark/>
          </w:tcPr>
          <w:p w14:paraId="2E2CCDDA" w14:textId="7FF4CA0F" w:rsidR="00B46EF8" w:rsidRPr="00F8474E" w:rsidRDefault="00B46EF8" w:rsidP="00B46EF8">
            <w:pPr>
              <w:pStyle w:val="TAC"/>
              <w:rPr>
                <w:lang w:eastAsia="ko-KR"/>
              </w:rPr>
            </w:pPr>
            <w:r w:rsidRPr="00F8474E">
              <w:t>-125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07E1DF2B" w14:textId="77777777" w:rsidR="00B46EF8" w:rsidRPr="00F8474E" w:rsidRDefault="00B46EF8" w:rsidP="00B46EF8">
            <w:pPr>
              <w:pStyle w:val="TAC"/>
              <w:rPr>
                <w:lang w:eastAsia="ko-KR"/>
              </w:rPr>
            </w:pPr>
          </w:p>
        </w:tc>
      </w:tr>
      <w:tr w:rsidR="00B46EF8" w:rsidRPr="00F8474E" w14:paraId="1F2E5D50"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1B363BFD"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0AA82651"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6FD296E3"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7CF37BC5"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single" w:sz="4" w:space="0" w:color="auto"/>
              <w:right w:val="single" w:sz="6" w:space="0" w:color="auto"/>
            </w:tcBorders>
            <w:vAlign w:val="center"/>
            <w:hideMark/>
          </w:tcPr>
          <w:p w14:paraId="23E037C5" w14:textId="77777777" w:rsidR="00B46EF8" w:rsidRPr="00F8474E" w:rsidRDefault="00B46EF8" w:rsidP="00B46EF8">
            <w:pPr>
              <w:pStyle w:val="TAC"/>
              <w:rPr>
                <w:lang w:eastAsia="ko-KR"/>
              </w:rPr>
            </w:pPr>
          </w:p>
        </w:tc>
        <w:tc>
          <w:tcPr>
            <w:tcW w:w="0" w:type="auto"/>
            <w:tcBorders>
              <w:top w:val="single" w:sz="6" w:space="0" w:color="auto"/>
              <w:left w:val="single" w:sz="6" w:space="0" w:color="auto"/>
              <w:bottom w:val="single" w:sz="6" w:space="0" w:color="auto"/>
              <w:right w:val="single" w:sz="4" w:space="0" w:color="auto"/>
            </w:tcBorders>
            <w:vAlign w:val="center"/>
            <w:hideMark/>
          </w:tcPr>
          <w:p w14:paraId="6BC83623" w14:textId="77777777" w:rsidR="00B46EF8" w:rsidRPr="00F8474E" w:rsidRDefault="00B46EF8" w:rsidP="00B46EF8">
            <w:pPr>
              <w:pStyle w:val="TAC"/>
              <w:rPr>
                <w:lang w:eastAsia="ko-KR"/>
              </w:rPr>
            </w:pPr>
            <w:r w:rsidRPr="00F8474E">
              <w:t>NR_FDD_FR1_F</w:t>
            </w:r>
          </w:p>
        </w:tc>
        <w:tc>
          <w:tcPr>
            <w:tcW w:w="0" w:type="auto"/>
            <w:tcBorders>
              <w:top w:val="single" w:sz="4" w:space="0" w:color="auto"/>
              <w:left w:val="single" w:sz="4" w:space="0" w:color="auto"/>
              <w:bottom w:val="single" w:sz="4" w:space="0" w:color="auto"/>
              <w:right w:val="single" w:sz="4" w:space="0" w:color="auto"/>
            </w:tcBorders>
            <w:vAlign w:val="center"/>
            <w:hideMark/>
          </w:tcPr>
          <w:p w14:paraId="7AD1D80B" w14:textId="6CF8A1B9" w:rsidR="00B46EF8" w:rsidRPr="00F8474E" w:rsidRDefault="00B46EF8" w:rsidP="00B46EF8">
            <w:pPr>
              <w:pStyle w:val="TAC"/>
              <w:rPr>
                <w:lang w:eastAsia="ko-KR"/>
              </w:rPr>
            </w:pPr>
            <w:r w:rsidRPr="00F8474E">
              <w:t>-124.5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5F5A1D99" w14:textId="77777777" w:rsidR="00B46EF8" w:rsidRPr="00F8474E" w:rsidRDefault="00B46EF8" w:rsidP="00B46EF8">
            <w:pPr>
              <w:pStyle w:val="TAC"/>
              <w:rPr>
                <w:lang w:eastAsia="ko-KR"/>
              </w:rPr>
            </w:pPr>
          </w:p>
        </w:tc>
      </w:tr>
      <w:tr w:rsidR="00B46EF8" w:rsidRPr="00F8474E" w14:paraId="3F138512"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50BE7AA9"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367492DE"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31331096"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0F101E57"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single" w:sz="4" w:space="0" w:color="auto"/>
              <w:right w:val="single" w:sz="6" w:space="0" w:color="auto"/>
            </w:tcBorders>
            <w:vAlign w:val="center"/>
            <w:hideMark/>
          </w:tcPr>
          <w:p w14:paraId="7868ACE5" w14:textId="77777777" w:rsidR="00B46EF8" w:rsidRPr="00F8474E" w:rsidRDefault="00B46EF8" w:rsidP="00B46EF8">
            <w:pPr>
              <w:pStyle w:val="TAC"/>
              <w:rPr>
                <w:lang w:eastAsia="ko-KR"/>
              </w:rPr>
            </w:pPr>
          </w:p>
        </w:tc>
        <w:tc>
          <w:tcPr>
            <w:tcW w:w="0" w:type="auto"/>
            <w:tcBorders>
              <w:top w:val="single" w:sz="6" w:space="0" w:color="auto"/>
              <w:left w:val="single" w:sz="6" w:space="0" w:color="auto"/>
              <w:bottom w:val="single" w:sz="6" w:space="0" w:color="auto"/>
              <w:right w:val="single" w:sz="4" w:space="0" w:color="auto"/>
            </w:tcBorders>
            <w:vAlign w:val="center"/>
            <w:hideMark/>
          </w:tcPr>
          <w:p w14:paraId="62BDBD5B" w14:textId="77777777" w:rsidR="00B46EF8" w:rsidRPr="00F8474E" w:rsidRDefault="00B46EF8" w:rsidP="00B46EF8">
            <w:pPr>
              <w:pStyle w:val="TAC"/>
              <w:rPr>
                <w:lang w:eastAsia="ko-KR"/>
              </w:rPr>
            </w:pPr>
            <w:r w:rsidRPr="00F8474E">
              <w:t>NR</w:t>
            </w:r>
            <w:r w:rsidRPr="00F8474E">
              <w:rPr>
                <w:lang w:eastAsia="ko-KR"/>
              </w:rPr>
              <w:t>_</w:t>
            </w:r>
            <w:r w:rsidRPr="00F8474E">
              <w:t>FDD_FR1_G</w:t>
            </w:r>
            <w:r w:rsidRPr="00F8474E">
              <w:rPr>
                <w:rFonts w:hint="eastAsia"/>
                <w:lang w:eastAsia="zh-CN"/>
              </w:rPr>
              <w:t xml:space="preserve">, </w:t>
            </w:r>
            <w:r w:rsidRPr="00F8474E">
              <w:rPr>
                <w:lang w:eastAsia="zh-CN"/>
              </w:rPr>
              <w:t>NR</w:t>
            </w:r>
            <w:r w:rsidRPr="00F8474E">
              <w:t>_</w:t>
            </w:r>
            <w:r w:rsidRPr="00F8474E">
              <w:rPr>
                <w:rFonts w:hint="eastAsia"/>
                <w:lang w:eastAsia="zh-CN"/>
              </w:rPr>
              <w:t>T</w:t>
            </w:r>
            <w:r w:rsidRPr="00F8474E">
              <w:rPr>
                <w:lang w:eastAsia="zh-CN"/>
              </w:rPr>
              <w:t>DD_FR1_G</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6491E" w14:textId="19613537" w:rsidR="00B46EF8" w:rsidRPr="00F8474E" w:rsidRDefault="00B46EF8" w:rsidP="00B46EF8">
            <w:pPr>
              <w:pStyle w:val="TAC"/>
              <w:rPr>
                <w:lang w:eastAsia="ko-KR"/>
              </w:rPr>
            </w:pPr>
            <w:r w:rsidRPr="00F8474E">
              <w:t>-124</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05FFBD72" w14:textId="77777777" w:rsidR="00B46EF8" w:rsidRPr="00F8474E" w:rsidRDefault="00B46EF8" w:rsidP="00B46EF8">
            <w:pPr>
              <w:pStyle w:val="TAC"/>
              <w:rPr>
                <w:lang w:eastAsia="ko-KR"/>
              </w:rPr>
            </w:pPr>
          </w:p>
        </w:tc>
      </w:tr>
      <w:tr w:rsidR="00B46EF8" w:rsidRPr="00F8474E" w14:paraId="70E98ADC"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6AE4E864"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6AB430E6"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1DC4C90A"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6" w:space="0" w:color="auto"/>
            </w:tcBorders>
            <w:vAlign w:val="center"/>
            <w:hideMark/>
          </w:tcPr>
          <w:p w14:paraId="2161442D"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single" w:sz="4" w:space="0" w:color="auto"/>
              <w:right w:val="single" w:sz="6" w:space="0" w:color="auto"/>
            </w:tcBorders>
            <w:vAlign w:val="center"/>
            <w:hideMark/>
          </w:tcPr>
          <w:p w14:paraId="2B812706" w14:textId="77777777" w:rsidR="00B46EF8" w:rsidRPr="00F8474E" w:rsidRDefault="00B46EF8" w:rsidP="00B46EF8">
            <w:pPr>
              <w:pStyle w:val="TAC"/>
              <w:rPr>
                <w:lang w:eastAsia="ko-KR"/>
              </w:rPr>
            </w:pPr>
          </w:p>
        </w:tc>
        <w:tc>
          <w:tcPr>
            <w:tcW w:w="0" w:type="auto"/>
            <w:tcBorders>
              <w:top w:val="single" w:sz="6" w:space="0" w:color="auto"/>
              <w:left w:val="single" w:sz="6" w:space="0" w:color="auto"/>
              <w:bottom w:val="single" w:sz="6" w:space="0" w:color="auto"/>
              <w:right w:val="single" w:sz="4" w:space="0" w:color="auto"/>
            </w:tcBorders>
            <w:vAlign w:val="center"/>
            <w:hideMark/>
          </w:tcPr>
          <w:p w14:paraId="14C2DF42" w14:textId="77777777" w:rsidR="00B46EF8" w:rsidRPr="00F8474E" w:rsidRDefault="00B46EF8" w:rsidP="00B46EF8">
            <w:pPr>
              <w:pStyle w:val="TAC"/>
              <w:rPr>
                <w:lang w:eastAsia="ko-KR"/>
              </w:rPr>
            </w:pPr>
            <w:r w:rsidRPr="00F8474E">
              <w:t>NR</w:t>
            </w:r>
            <w:r w:rsidRPr="00F8474E">
              <w:rPr>
                <w:lang w:eastAsia="ko-KR"/>
              </w:rPr>
              <w:t>_</w:t>
            </w:r>
            <w:r w:rsidRPr="00F8474E">
              <w:t>FDD_FR1_H</w:t>
            </w:r>
          </w:p>
        </w:tc>
        <w:tc>
          <w:tcPr>
            <w:tcW w:w="0" w:type="auto"/>
            <w:tcBorders>
              <w:top w:val="single" w:sz="4" w:space="0" w:color="auto"/>
              <w:left w:val="single" w:sz="4" w:space="0" w:color="auto"/>
              <w:bottom w:val="single" w:sz="4" w:space="0" w:color="auto"/>
              <w:right w:val="single" w:sz="4" w:space="0" w:color="auto"/>
            </w:tcBorders>
            <w:vAlign w:val="center"/>
            <w:hideMark/>
          </w:tcPr>
          <w:p w14:paraId="12FBA4CC" w14:textId="41432DF6" w:rsidR="00B46EF8" w:rsidRPr="00F8474E" w:rsidRDefault="00B46EF8" w:rsidP="00B46EF8">
            <w:pPr>
              <w:pStyle w:val="TAC"/>
              <w:rPr>
                <w:lang w:eastAsia="ko-KR"/>
              </w:rPr>
            </w:pPr>
            <w:r w:rsidRPr="00F8474E">
              <w:t>-123.5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5AEDD3F7" w14:textId="77777777" w:rsidR="00B46EF8" w:rsidRPr="00F8474E" w:rsidRDefault="00B46EF8" w:rsidP="00B46EF8">
            <w:pPr>
              <w:pStyle w:val="TAC"/>
              <w:rPr>
                <w:lang w:eastAsia="ko-KR"/>
              </w:rPr>
            </w:pPr>
          </w:p>
        </w:tc>
      </w:tr>
      <w:tr w:rsidR="00B46EF8" w:rsidRPr="00F8474E" w14:paraId="72DF31BE" w14:textId="77777777" w:rsidTr="00FA482E">
        <w:trPr>
          <w:jc w:val="center"/>
        </w:trPr>
        <w:tc>
          <w:tcPr>
            <w:tcW w:w="0" w:type="auto"/>
            <w:tcBorders>
              <w:top w:val="single" w:sz="6" w:space="0" w:color="auto"/>
              <w:left w:val="single" w:sz="4" w:space="0" w:color="auto"/>
              <w:bottom w:val="nil"/>
              <w:right w:val="single" w:sz="6" w:space="0" w:color="auto"/>
            </w:tcBorders>
            <w:vAlign w:val="center"/>
            <w:hideMark/>
          </w:tcPr>
          <w:p w14:paraId="4A811BD9" w14:textId="77777777" w:rsidR="00B46EF8" w:rsidRPr="00F8474E" w:rsidRDefault="00B46EF8" w:rsidP="00B46EF8">
            <w:pPr>
              <w:pStyle w:val="TAC"/>
              <w:rPr>
                <w:lang w:eastAsia="ko-KR"/>
              </w:rPr>
            </w:pPr>
            <w:r w:rsidRPr="00F8474E">
              <w:rPr>
                <w:lang w:eastAsia="ko-KR"/>
              </w:rPr>
              <w:t>± 59+</w:t>
            </w:r>
            <w:r w:rsidRPr="00F8474E">
              <w:rPr>
                <w:lang w:eastAsia="ko-KR"/>
              </w:rPr>
              <w:sym w:font="Symbol" w:char="F064"/>
            </w:r>
          </w:p>
        </w:tc>
        <w:tc>
          <w:tcPr>
            <w:tcW w:w="0" w:type="auto"/>
            <w:vMerge/>
            <w:tcBorders>
              <w:top w:val="single" w:sz="6" w:space="0" w:color="auto"/>
              <w:left w:val="single" w:sz="6" w:space="0" w:color="auto"/>
              <w:bottom w:val="nil"/>
              <w:right w:val="single" w:sz="6" w:space="0" w:color="auto"/>
            </w:tcBorders>
            <w:vAlign w:val="center"/>
            <w:hideMark/>
          </w:tcPr>
          <w:p w14:paraId="56162C79"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2BB4F33A" w14:textId="77777777" w:rsidR="00B46EF8" w:rsidRPr="00F8474E" w:rsidRDefault="00B46EF8" w:rsidP="00B46EF8">
            <w:pPr>
              <w:pStyle w:val="TAC"/>
              <w:rPr>
                <w:lang w:eastAsia="ko-KR"/>
              </w:rPr>
            </w:pPr>
            <w:r w:rsidRPr="00F8474E">
              <w:rPr>
                <w:rFonts w:cs="Calibri"/>
              </w:rPr>
              <w:t>≥</w:t>
            </w:r>
            <w:r w:rsidRPr="00F8474E">
              <w:t>52</w:t>
            </w:r>
          </w:p>
        </w:tc>
        <w:tc>
          <w:tcPr>
            <w:tcW w:w="0" w:type="auto"/>
            <w:vMerge/>
            <w:tcBorders>
              <w:top w:val="single" w:sz="6" w:space="0" w:color="auto"/>
              <w:left w:val="single" w:sz="6" w:space="0" w:color="auto"/>
              <w:bottom w:val="nil"/>
              <w:right w:val="single" w:sz="6" w:space="0" w:color="auto"/>
            </w:tcBorders>
            <w:vAlign w:val="center"/>
            <w:hideMark/>
          </w:tcPr>
          <w:p w14:paraId="57E3C6AB" w14:textId="77777777" w:rsidR="00B46EF8" w:rsidRPr="00F8474E" w:rsidRDefault="00B46EF8" w:rsidP="00B46EF8">
            <w:pPr>
              <w:pStyle w:val="TAC"/>
              <w:rPr>
                <w:lang w:eastAsia="ko-KR"/>
              </w:rPr>
            </w:pPr>
          </w:p>
        </w:tc>
        <w:tc>
          <w:tcPr>
            <w:tcW w:w="0" w:type="auto"/>
            <w:tcBorders>
              <w:top w:val="single" w:sz="4" w:space="0" w:color="auto"/>
              <w:left w:val="single" w:sz="6" w:space="0" w:color="auto"/>
              <w:bottom w:val="single" w:sz="4" w:space="0" w:color="auto"/>
              <w:right w:val="single" w:sz="4" w:space="0" w:color="auto"/>
            </w:tcBorders>
            <w:vAlign w:val="center"/>
            <w:hideMark/>
          </w:tcPr>
          <w:p w14:paraId="58497CB7"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16425638" w14:textId="77777777" w:rsidR="00B46EF8" w:rsidRPr="00F8474E" w:rsidRDefault="00B46EF8" w:rsidP="00B46EF8">
            <w:pPr>
              <w:pStyle w:val="TAC"/>
              <w:rPr>
                <w:lang w:eastAsia="ko-KR"/>
              </w:rPr>
            </w:pPr>
            <w:r w:rsidRPr="00F8474E">
              <w:rPr>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09F25EBD" w14:textId="77777777" w:rsidR="00B46EF8" w:rsidRPr="00F8474E" w:rsidRDefault="00B46EF8" w:rsidP="00B46EF8">
            <w:pPr>
              <w:pStyle w:val="TAC"/>
              <w:rPr>
                <w:lang w:eastAsia="ko-KR"/>
              </w:rPr>
            </w:pPr>
            <w:r w:rsidRPr="00F8474E">
              <w:rPr>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32293B93" w14:textId="77777777" w:rsidR="00B46EF8" w:rsidRPr="00F8474E" w:rsidRDefault="00B46EF8" w:rsidP="00B46EF8">
            <w:pPr>
              <w:pStyle w:val="TAC"/>
              <w:rPr>
                <w:lang w:eastAsia="ko-KR"/>
              </w:rPr>
            </w:pPr>
            <w:r w:rsidRPr="00F8474E">
              <w:rPr>
                <w:lang w:eastAsia="ko-KR"/>
              </w:rPr>
              <w:t>Note 6</w:t>
            </w:r>
          </w:p>
        </w:tc>
      </w:tr>
      <w:tr w:rsidR="00B46EF8" w:rsidRPr="00F8474E" w14:paraId="0FA9AA8A" w14:textId="77777777" w:rsidTr="00FA482E">
        <w:trPr>
          <w:jc w:val="center"/>
        </w:trPr>
        <w:tc>
          <w:tcPr>
            <w:tcW w:w="0" w:type="auto"/>
            <w:tcBorders>
              <w:top w:val="single" w:sz="6" w:space="0" w:color="auto"/>
              <w:left w:val="single" w:sz="4" w:space="0" w:color="auto"/>
              <w:bottom w:val="nil"/>
              <w:right w:val="single" w:sz="6" w:space="0" w:color="auto"/>
            </w:tcBorders>
            <w:vAlign w:val="center"/>
            <w:hideMark/>
          </w:tcPr>
          <w:p w14:paraId="778440D4" w14:textId="77777777" w:rsidR="00B46EF8" w:rsidRPr="00F8474E" w:rsidRDefault="00B46EF8" w:rsidP="00B46EF8">
            <w:pPr>
              <w:pStyle w:val="TAC"/>
              <w:rPr>
                <w:lang w:eastAsia="ko-KR"/>
              </w:rPr>
            </w:pPr>
            <w:r w:rsidRPr="00F8474E">
              <w:rPr>
                <w:lang w:eastAsia="ko-KR"/>
              </w:rPr>
              <w:t>± 30+</w:t>
            </w:r>
            <w:r w:rsidRPr="00F8474E">
              <w:rPr>
                <w:lang w:eastAsia="ko-KR"/>
              </w:rPr>
              <w:sym w:font="Symbol" w:char="F064"/>
            </w:r>
          </w:p>
        </w:tc>
        <w:tc>
          <w:tcPr>
            <w:tcW w:w="0" w:type="auto"/>
            <w:vMerge/>
            <w:tcBorders>
              <w:top w:val="single" w:sz="6" w:space="0" w:color="auto"/>
              <w:left w:val="single" w:sz="6" w:space="0" w:color="auto"/>
              <w:bottom w:val="nil"/>
              <w:right w:val="single" w:sz="6" w:space="0" w:color="auto"/>
            </w:tcBorders>
            <w:vAlign w:val="center"/>
            <w:hideMark/>
          </w:tcPr>
          <w:p w14:paraId="27B7FA21"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58039A3B" w14:textId="77777777" w:rsidR="00B46EF8" w:rsidRPr="00F8474E" w:rsidRDefault="00B46EF8" w:rsidP="00B46EF8">
            <w:pPr>
              <w:pStyle w:val="TAC"/>
              <w:rPr>
                <w:lang w:eastAsia="ko-KR"/>
              </w:rPr>
            </w:pPr>
            <w:r w:rsidRPr="00F8474E">
              <w:rPr>
                <w:lang w:eastAsia="zh-CN"/>
              </w:rPr>
              <w:t>&gt;104</w:t>
            </w:r>
          </w:p>
        </w:tc>
        <w:tc>
          <w:tcPr>
            <w:tcW w:w="0" w:type="auto"/>
            <w:vMerge/>
            <w:tcBorders>
              <w:top w:val="single" w:sz="6" w:space="0" w:color="auto"/>
              <w:left w:val="single" w:sz="6" w:space="0" w:color="auto"/>
              <w:bottom w:val="nil"/>
              <w:right w:val="single" w:sz="6" w:space="0" w:color="auto"/>
            </w:tcBorders>
            <w:vAlign w:val="center"/>
            <w:hideMark/>
          </w:tcPr>
          <w:p w14:paraId="1D40A5E6" w14:textId="77777777" w:rsidR="00B46EF8" w:rsidRPr="00F8474E" w:rsidRDefault="00B46EF8" w:rsidP="00B46EF8">
            <w:pPr>
              <w:pStyle w:val="TAC"/>
              <w:rPr>
                <w:lang w:eastAsia="ko-KR"/>
              </w:rPr>
            </w:pPr>
          </w:p>
        </w:tc>
        <w:tc>
          <w:tcPr>
            <w:tcW w:w="0" w:type="auto"/>
            <w:tcBorders>
              <w:top w:val="single" w:sz="4" w:space="0" w:color="auto"/>
              <w:left w:val="single" w:sz="6" w:space="0" w:color="auto"/>
              <w:bottom w:val="single" w:sz="4" w:space="0" w:color="auto"/>
              <w:right w:val="single" w:sz="4" w:space="0" w:color="auto"/>
            </w:tcBorders>
            <w:hideMark/>
          </w:tcPr>
          <w:p w14:paraId="54292193"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48F9E702" w14:textId="77777777" w:rsidR="00B46EF8" w:rsidRPr="00F8474E" w:rsidRDefault="00B46EF8" w:rsidP="00B46EF8">
            <w:pPr>
              <w:pStyle w:val="TAC"/>
              <w:rPr>
                <w:lang w:eastAsia="ko-KR"/>
              </w:rPr>
            </w:pPr>
            <w:r w:rsidRPr="00F8474E">
              <w:rPr>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36201311" w14:textId="77777777" w:rsidR="00B46EF8" w:rsidRPr="00F8474E" w:rsidRDefault="00B46EF8" w:rsidP="00B46EF8">
            <w:pPr>
              <w:pStyle w:val="TAC"/>
              <w:rPr>
                <w:lang w:eastAsia="ko-KR"/>
              </w:rPr>
            </w:pPr>
            <w:r w:rsidRPr="00F8474E">
              <w:rPr>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078836C4" w14:textId="77777777" w:rsidR="00B46EF8" w:rsidRPr="00F8474E" w:rsidRDefault="00B46EF8" w:rsidP="00B46EF8">
            <w:pPr>
              <w:pStyle w:val="TAC"/>
              <w:rPr>
                <w:lang w:eastAsia="ko-KR"/>
              </w:rPr>
            </w:pPr>
            <w:r w:rsidRPr="00F8474E">
              <w:rPr>
                <w:lang w:eastAsia="ko-KR"/>
              </w:rPr>
              <w:t>Note 6</w:t>
            </w:r>
          </w:p>
        </w:tc>
      </w:tr>
      <w:tr w:rsidR="00B46EF8" w:rsidRPr="00F8474E" w14:paraId="79443CEA" w14:textId="77777777" w:rsidTr="00FA482E">
        <w:trPr>
          <w:trHeight w:val="24"/>
          <w:jc w:val="center"/>
        </w:trPr>
        <w:tc>
          <w:tcPr>
            <w:tcW w:w="0" w:type="auto"/>
            <w:vMerge w:val="restart"/>
            <w:tcBorders>
              <w:top w:val="single" w:sz="6" w:space="0" w:color="auto"/>
              <w:left w:val="single" w:sz="4" w:space="0" w:color="auto"/>
              <w:bottom w:val="nil"/>
              <w:right w:val="single" w:sz="6" w:space="0" w:color="auto"/>
            </w:tcBorders>
            <w:vAlign w:val="center"/>
            <w:hideMark/>
          </w:tcPr>
          <w:p w14:paraId="7B001F7C" w14:textId="77777777" w:rsidR="00B46EF8" w:rsidRPr="00F8474E" w:rsidRDefault="00B46EF8" w:rsidP="00B46EF8">
            <w:pPr>
              <w:pStyle w:val="TAC"/>
              <w:rPr>
                <w:lang w:eastAsia="ko-KR"/>
              </w:rPr>
            </w:pPr>
            <w:r w:rsidRPr="00F8474E">
              <w:rPr>
                <w:lang w:eastAsia="ko-KR"/>
              </w:rPr>
              <w:t>± 57+</w:t>
            </w:r>
            <w:r w:rsidRPr="00F8474E">
              <w:rPr>
                <w:lang w:eastAsia="ko-KR"/>
              </w:rPr>
              <w:sym w:font="Symbol" w:char="F064"/>
            </w:r>
          </w:p>
        </w:tc>
        <w:tc>
          <w:tcPr>
            <w:tcW w:w="0" w:type="auto"/>
            <w:vMerge w:val="restart"/>
            <w:tcBorders>
              <w:top w:val="nil"/>
              <w:left w:val="single" w:sz="6" w:space="0" w:color="auto"/>
              <w:bottom w:val="nil"/>
              <w:right w:val="single" w:sz="6" w:space="0" w:color="auto"/>
            </w:tcBorders>
            <w:vAlign w:val="center"/>
          </w:tcPr>
          <w:p w14:paraId="4EC4D075" w14:textId="77777777" w:rsidR="00B46EF8" w:rsidRPr="00F8474E" w:rsidRDefault="00B46EF8" w:rsidP="00B46EF8">
            <w:pPr>
              <w:pStyle w:val="TAC"/>
              <w:rPr>
                <w:lang w:val="sv-SE" w:eastAsia="ko-KR"/>
              </w:rPr>
            </w:pPr>
          </w:p>
        </w:tc>
        <w:tc>
          <w:tcPr>
            <w:tcW w:w="0" w:type="auto"/>
            <w:vMerge w:val="restart"/>
            <w:tcBorders>
              <w:top w:val="single" w:sz="6" w:space="0" w:color="auto"/>
              <w:left w:val="single" w:sz="6" w:space="0" w:color="auto"/>
              <w:bottom w:val="nil"/>
              <w:right w:val="single" w:sz="6" w:space="0" w:color="auto"/>
            </w:tcBorders>
            <w:vAlign w:val="center"/>
            <w:hideMark/>
          </w:tcPr>
          <w:p w14:paraId="6F7DEE72" w14:textId="77777777" w:rsidR="00B46EF8" w:rsidRPr="00F8474E" w:rsidRDefault="00B46EF8" w:rsidP="00B46EF8">
            <w:pPr>
              <w:pStyle w:val="TAC"/>
              <w:rPr>
                <w:lang w:eastAsia="ko-KR"/>
              </w:rPr>
            </w:pPr>
            <w:r w:rsidRPr="00F8474E">
              <w:rPr>
                <w:rFonts w:cs="Calibri"/>
              </w:rPr>
              <w:t>≥</w:t>
            </w:r>
            <w:r w:rsidRPr="00F8474E">
              <w:t>24</w:t>
            </w:r>
          </w:p>
        </w:tc>
        <w:tc>
          <w:tcPr>
            <w:tcW w:w="0" w:type="auto"/>
            <w:vMerge w:val="restart"/>
            <w:tcBorders>
              <w:top w:val="single" w:sz="6" w:space="0" w:color="auto"/>
              <w:left w:val="single" w:sz="6" w:space="0" w:color="auto"/>
              <w:bottom w:val="nil"/>
              <w:right w:val="single" w:sz="4" w:space="0" w:color="auto"/>
            </w:tcBorders>
            <w:vAlign w:val="center"/>
            <w:hideMark/>
          </w:tcPr>
          <w:p w14:paraId="4D31725D" w14:textId="77777777" w:rsidR="00B46EF8" w:rsidRPr="00F8474E" w:rsidRDefault="00B46EF8" w:rsidP="00B46EF8">
            <w:pPr>
              <w:pStyle w:val="TAC"/>
              <w:rPr>
                <w:lang w:eastAsia="ko-KR"/>
              </w:rPr>
            </w:pPr>
            <w:r w:rsidRPr="00F8474E">
              <w:rPr>
                <w:lang w:eastAsia="ko-KR"/>
              </w:rPr>
              <w:t>30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CFD49CD" w14:textId="77777777" w:rsidR="00B46EF8" w:rsidRPr="00F8474E" w:rsidRDefault="00B46EF8" w:rsidP="00B46EF8">
            <w:pPr>
              <w:pStyle w:val="TAC"/>
              <w:rPr>
                <w:lang w:eastAsia="ko-KR"/>
              </w:rPr>
            </w:pPr>
            <w:r w:rsidRPr="00F8474E">
              <w:rPr>
                <w:rFonts w:cs="Arial"/>
                <w:szCs w:val="18"/>
              </w:rPr>
              <w:t>≥4</w:t>
            </w:r>
          </w:p>
        </w:tc>
        <w:tc>
          <w:tcPr>
            <w:tcW w:w="0" w:type="auto"/>
            <w:tcBorders>
              <w:top w:val="single" w:sz="6" w:space="0" w:color="auto"/>
              <w:left w:val="single" w:sz="4" w:space="0" w:color="auto"/>
              <w:bottom w:val="single" w:sz="6" w:space="0" w:color="auto"/>
              <w:right w:val="single" w:sz="4" w:space="0" w:color="auto"/>
            </w:tcBorders>
            <w:vAlign w:val="center"/>
            <w:hideMark/>
          </w:tcPr>
          <w:p w14:paraId="1C052C85" w14:textId="77777777" w:rsidR="00B46EF8" w:rsidRPr="00F8474E" w:rsidRDefault="00B46EF8" w:rsidP="00B46EF8">
            <w:pPr>
              <w:pStyle w:val="TAC"/>
              <w:rPr>
                <w:lang w:eastAsia="ko-KR"/>
              </w:rPr>
            </w:pPr>
            <w:r w:rsidRPr="00F8474E">
              <w:rPr>
                <w:lang w:eastAsia="ko-KR"/>
              </w:rPr>
              <w:t>NR_FDD_FR1_A, NR_TDD_FR1_A,</w:t>
            </w:r>
          </w:p>
          <w:p w14:paraId="0D89A54A" w14:textId="77777777" w:rsidR="00B46EF8" w:rsidRPr="00F8474E" w:rsidRDefault="00B46EF8" w:rsidP="00B46EF8">
            <w:pPr>
              <w:pStyle w:val="TAC"/>
              <w:rPr>
                <w:lang w:eastAsia="ko-KR"/>
              </w:rPr>
            </w:pPr>
            <w:r w:rsidRPr="00F8474E">
              <w:rPr>
                <w:lang w:eastAsia="ko-KR"/>
              </w:rPr>
              <w:t>NR_SDL_FR1_A</w:t>
            </w:r>
          </w:p>
        </w:tc>
        <w:tc>
          <w:tcPr>
            <w:tcW w:w="0" w:type="auto"/>
            <w:tcBorders>
              <w:top w:val="single" w:sz="4" w:space="0" w:color="auto"/>
              <w:left w:val="single" w:sz="4" w:space="0" w:color="auto"/>
              <w:bottom w:val="single" w:sz="4" w:space="0" w:color="auto"/>
              <w:right w:val="single" w:sz="4" w:space="0" w:color="auto"/>
            </w:tcBorders>
            <w:vAlign w:val="center"/>
            <w:hideMark/>
          </w:tcPr>
          <w:p w14:paraId="7496B97C" w14:textId="49470BEF" w:rsidR="00B46EF8" w:rsidRPr="00F8474E" w:rsidRDefault="00B46EF8" w:rsidP="00B46EF8">
            <w:pPr>
              <w:pStyle w:val="TAC"/>
              <w:rPr>
                <w:lang w:eastAsia="ko-KR"/>
              </w:rPr>
            </w:pPr>
            <w:r w:rsidRPr="00F8474E">
              <w:t>-124</w:t>
            </w:r>
          </w:p>
        </w:tc>
        <w:tc>
          <w:tcPr>
            <w:tcW w:w="0" w:type="auto"/>
            <w:vMerge w:val="restart"/>
            <w:tcBorders>
              <w:top w:val="single" w:sz="6" w:space="0" w:color="auto"/>
              <w:left w:val="single" w:sz="4" w:space="0" w:color="auto"/>
              <w:bottom w:val="single" w:sz="6" w:space="0" w:color="auto"/>
              <w:right w:val="single" w:sz="4" w:space="0" w:color="auto"/>
            </w:tcBorders>
            <w:vAlign w:val="center"/>
            <w:hideMark/>
          </w:tcPr>
          <w:p w14:paraId="5556AD53" w14:textId="77777777" w:rsidR="00B46EF8" w:rsidRPr="00F8474E" w:rsidRDefault="00B46EF8" w:rsidP="00B46EF8">
            <w:pPr>
              <w:pStyle w:val="TAC"/>
              <w:rPr>
                <w:lang w:eastAsia="ko-KR"/>
              </w:rPr>
            </w:pPr>
            <w:r w:rsidRPr="00F8474E">
              <w:rPr>
                <w:lang w:eastAsia="ko-KR"/>
              </w:rPr>
              <w:t>-50</w:t>
            </w:r>
          </w:p>
        </w:tc>
      </w:tr>
      <w:tr w:rsidR="00B46EF8" w:rsidRPr="00F8474E" w14:paraId="2E731D15" w14:textId="77777777" w:rsidTr="00FA482E">
        <w:trPr>
          <w:trHeight w:val="21"/>
          <w:jc w:val="center"/>
        </w:trPr>
        <w:tc>
          <w:tcPr>
            <w:tcW w:w="0" w:type="auto"/>
            <w:vMerge/>
            <w:tcBorders>
              <w:top w:val="single" w:sz="6" w:space="0" w:color="auto"/>
              <w:left w:val="single" w:sz="4" w:space="0" w:color="auto"/>
              <w:bottom w:val="nil"/>
              <w:right w:val="single" w:sz="6" w:space="0" w:color="auto"/>
            </w:tcBorders>
            <w:vAlign w:val="center"/>
            <w:hideMark/>
          </w:tcPr>
          <w:p w14:paraId="49E1CF33" w14:textId="77777777" w:rsidR="00B46EF8" w:rsidRPr="00F8474E" w:rsidRDefault="00B46EF8" w:rsidP="00B46EF8">
            <w:pPr>
              <w:pStyle w:val="TAC"/>
              <w:rPr>
                <w:lang w:eastAsia="ko-KR"/>
              </w:rPr>
            </w:pPr>
          </w:p>
        </w:tc>
        <w:tc>
          <w:tcPr>
            <w:tcW w:w="0" w:type="auto"/>
            <w:vMerge/>
            <w:tcBorders>
              <w:top w:val="nil"/>
              <w:left w:val="single" w:sz="6" w:space="0" w:color="auto"/>
              <w:bottom w:val="nil"/>
              <w:right w:val="single" w:sz="6" w:space="0" w:color="auto"/>
            </w:tcBorders>
            <w:vAlign w:val="center"/>
            <w:hideMark/>
          </w:tcPr>
          <w:p w14:paraId="76D6AA78"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2456C0B8"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2F2C27E4" w14:textId="77777777" w:rsidR="00B46EF8" w:rsidRPr="00F8474E" w:rsidRDefault="00B46EF8" w:rsidP="00B46EF8">
            <w:pPr>
              <w:pStyle w:val="TAC"/>
              <w:rPr>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030F86" w14:textId="77777777" w:rsidR="00B46EF8" w:rsidRPr="00F8474E" w:rsidRDefault="00B46EF8" w:rsidP="00B46EF8">
            <w:pPr>
              <w:pStyle w:val="TAC"/>
              <w:rPr>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2C775C46" w14:textId="77777777" w:rsidR="00B46EF8" w:rsidRPr="00F8474E" w:rsidRDefault="00B46EF8" w:rsidP="00B46EF8">
            <w:pPr>
              <w:pStyle w:val="TAC"/>
              <w:rPr>
                <w:lang w:eastAsia="ko-KR"/>
              </w:rPr>
            </w:pPr>
            <w:r w:rsidRPr="00F8474E">
              <w:rPr>
                <w:lang w:eastAsia="ko-KR"/>
              </w:rPr>
              <w:t>NR_FDD_FR1_B</w:t>
            </w:r>
          </w:p>
        </w:tc>
        <w:tc>
          <w:tcPr>
            <w:tcW w:w="0" w:type="auto"/>
            <w:tcBorders>
              <w:top w:val="single" w:sz="4" w:space="0" w:color="auto"/>
              <w:left w:val="single" w:sz="4" w:space="0" w:color="auto"/>
              <w:bottom w:val="single" w:sz="4" w:space="0" w:color="auto"/>
              <w:right w:val="single" w:sz="4" w:space="0" w:color="auto"/>
            </w:tcBorders>
            <w:hideMark/>
          </w:tcPr>
          <w:p w14:paraId="7A1BC60A" w14:textId="45A1BA4C" w:rsidR="00B46EF8" w:rsidRPr="00F8474E" w:rsidRDefault="00B46EF8" w:rsidP="00B46EF8">
            <w:pPr>
              <w:pStyle w:val="TAC"/>
              <w:rPr>
                <w:lang w:eastAsia="ko-KR"/>
              </w:rPr>
            </w:pPr>
            <w:r w:rsidRPr="00F8474E">
              <w:t>-123.5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16895AF5" w14:textId="77777777" w:rsidR="00B46EF8" w:rsidRPr="00F8474E" w:rsidRDefault="00B46EF8" w:rsidP="00B46EF8">
            <w:pPr>
              <w:pStyle w:val="TAC"/>
              <w:rPr>
                <w:lang w:eastAsia="ko-KR"/>
              </w:rPr>
            </w:pPr>
          </w:p>
        </w:tc>
      </w:tr>
      <w:tr w:rsidR="00B46EF8" w:rsidRPr="00F8474E" w14:paraId="4CA3A89D" w14:textId="77777777" w:rsidTr="00FA482E">
        <w:trPr>
          <w:trHeight w:val="21"/>
          <w:jc w:val="center"/>
        </w:trPr>
        <w:tc>
          <w:tcPr>
            <w:tcW w:w="0" w:type="auto"/>
            <w:vMerge/>
            <w:tcBorders>
              <w:top w:val="single" w:sz="6" w:space="0" w:color="auto"/>
              <w:left w:val="single" w:sz="4" w:space="0" w:color="auto"/>
              <w:bottom w:val="nil"/>
              <w:right w:val="single" w:sz="6" w:space="0" w:color="auto"/>
            </w:tcBorders>
            <w:vAlign w:val="center"/>
            <w:hideMark/>
          </w:tcPr>
          <w:p w14:paraId="112F6B53" w14:textId="77777777" w:rsidR="00B46EF8" w:rsidRPr="00F8474E" w:rsidRDefault="00B46EF8" w:rsidP="00B46EF8">
            <w:pPr>
              <w:pStyle w:val="TAC"/>
              <w:rPr>
                <w:lang w:eastAsia="ko-KR"/>
              </w:rPr>
            </w:pPr>
          </w:p>
        </w:tc>
        <w:tc>
          <w:tcPr>
            <w:tcW w:w="0" w:type="auto"/>
            <w:vMerge/>
            <w:tcBorders>
              <w:top w:val="nil"/>
              <w:left w:val="single" w:sz="6" w:space="0" w:color="auto"/>
              <w:bottom w:val="nil"/>
              <w:right w:val="single" w:sz="6" w:space="0" w:color="auto"/>
            </w:tcBorders>
            <w:vAlign w:val="center"/>
            <w:hideMark/>
          </w:tcPr>
          <w:p w14:paraId="63350792"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047063A1"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66AAC711" w14:textId="77777777" w:rsidR="00B46EF8" w:rsidRPr="00F8474E" w:rsidRDefault="00B46EF8" w:rsidP="00B46EF8">
            <w:pPr>
              <w:pStyle w:val="TAC"/>
              <w:rPr>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3BE21" w14:textId="77777777" w:rsidR="00B46EF8" w:rsidRPr="00F8474E" w:rsidRDefault="00B46EF8" w:rsidP="00B46EF8">
            <w:pPr>
              <w:pStyle w:val="TAC"/>
              <w:rPr>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64C1C17E" w14:textId="77777777" w:rsidR="00B46EF8" w:rsidRPr="00F8474E" w:rsidRDefault="00B46EF8" w:rsidP="00B46EF8">
            <w:pPr>
              <w:pStyle w:val="TAC"/>
              <w:rPr>
                <w:lang w:eastAsia="ko-KR"/>
              </w:rPr>
            </w:pPr>
            <w:r w:rsidRPr="00F8474E">
              <w:rPr>
                <w:lang w:eastAsia="ko-KR"/>
              </w:rPr>
              <w:t>NR_TDD_FR1_C</w:t>
            </w:r>
          </w:p>
        </w:tc>
        <w:tc>
          <w:tcPr>
            <w:tcW w:w="0" w:type="auto"/>
            <w:tcBorders>
              <w:top w:val="single" w:sz="4" w:space="0" w:color="auto"/>
              <w:left w:val="single" w:sz="4" w:space="0" w:color="auto"/>
              <w:bottom w:val="single" w:sz="4" w:space="0" w:color="auto"/>
              <w:right w:val="single" w:sz="4" w:space="0" w:color="auto"/>
            </w:tcBorders>
            <w:vAlign w:val="center"/>
            <w:hideMark/>
          </w:tcPr>
          <w:p w14:paraId="7828DFE1" w14:textId="6874D3B8" w:rsidR="00B46EF8" w:rsidRPr="00F8474E" w:rsidRDefault="00B46EF8" w:rsidP="00B46EF8">
            <w:pPr>
              <w:pStyle w:val="TAC"/>
              <w:rPr>
                <w:lang w:eastAsia="ko-KR"/>
              </w:rPr>
            </w:pPr>
            <w:r w:rsidRPr="00F8474E">
              <w:t>-123</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5321A429" w14:textId="77777777" w:rsidR="00B46EF8" w:rsidRPr="00F8474E" w:rsidRDefault="00B46EF8" w:rsidP="00B46EF8">
            <w:pPr>
              <w:pStyle w:val="TAC"/>
              <w:rPr>
                <w:lang w:eastAsia="ko-KR"/>
              </w:rPr>
            </w:pPr>
          </w:p>
        </w:tc>
      </w:tr>
      <w:tr w:rsidR="00B46EF8" w:rsidRPr="00F8474E" w14:paraId="452F1F0E" w14:textId="77777777" w:rsidTr="00FA482E">
        <w:trPr>
          <w:trHeight w:val="21"/>
          <w:jc w:val="center"/>
        </w:trPr>
        <w:tc>
          <w:tcPr>
            <w:tcW w:w="0" w:type="auto"/>
            <w:vMerge/>
            <w:tcBorders>
              <w:top w:val="single" w:sz="6" w:space="0" w:color="auto"/>
              <w:left w:val="single" w:sz="4" w:space="0" w:color="auto"/>
              <w:bottom w:val="nil"/>
              <w:right w:val="single" w:sz="6" w:space="0" w:color="auto"/>
            </w:tcBorders>
            <w:vAlign w:val="center"/>
            <w:hideMark/>
          </w:tcPr>
          <w:p w14:paraId="3D886235" w14:textId="77777777" w:rsidR="00B46EF8" w:rsidRPr="00F8474E" w:rsidRDefault="00B46EF8" w:rsidP="00B46EF8">
            <w:pPr>
              <w:pStyle w:val="TAC"/>
              <w:rPr>
                <w:lang w:eastAsia="ko-KR"/>
              </w:rPr>
            </w:pPr>
          </w:p>
        </w:tc>
        <w:tc>
          <w:tcPr>
            <w:tcW w:w="0" w:type="auto"/>
            <w:vMerge/>
            <w:tcBorders>
              <w:top w:val="nil"/>
              <w:left w:val="single" w:sz="6" w:space="0" w:color="auto"/>
              <w:bottom w:val="nil"/>
              <w:right w:val="single" w:sz="6" w:space="0" w:color="auto"/>
            </w:tcBorders>
            <w:vAlign w:val="center"/>
            <w:hideMark/>
          </w:tcPr>
          <w:p w14:paraId="342C568F"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2401747B"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66DE65ED" w14:textId="77777777" w:rsidR="00B46EF8" w:rsidRPr="00F8474E" w:rsidRDefault="00B46EF8" w:rsidP="00B46EF8">
            <w:pPr>
              <w:pStyle w:val="TAC"/>
              <w:rPr>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92DBB" w14:textId="77777777" w:rsidR="00B46EF8" w:rsidRPr="00F8474E" w:rsidRDefault="00B46EF8" w:rsidP="00B46EF8">
            <w:pPr>
              <w:pStyle w:val="TAC"/>
              <w:rPr>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7E5C49B4" w14:textId="77777777" w:rsidR="00B46EF8" w:rsidRPr="00F8474E" w:rsidRDefault="00B46EF8" w:rsidP="00B46EF8">
            <w:pPr>
              <w:pStyle w:val="TAC"/>
              <w:rPr>
                <w:lang w:val="sv-SE" w:eastAsia="ko-KR"/>
              </w:rPr>
            </w:pPr>
            <w:r w:rsidRPr="00F8474E">
              <w:rPr>
                <w:lang w:val="sv-SE" w:eastAsia="ko-KR"/>
              </w:rPr>
              <w:t>NR_FDD_FR1_D, NR_TDD_FR1_D</w:t>
            </w:r>
          </w:p>
        </w:tc>
        <w:tc>
          <w:tcPr>
            <w:tcW w:w="0" w:type="auto"/>
            <w:tcBorders>
              <w:top w:val="single" w:sz="4" w:space="0" w:color="auto"/>
              <w:left w:val="single" w:sz="4" w:space="0" w:color="auto"/>
              <w:bottom w:val="single" w:sz="4" w:space="0" w:color="auto"/>
              <w:right w:val="single" w:sz="4" w:space="0" w:color="auto"/>
            </w:tcBorders>
            <w:vAlign w:val="center"/>
            <w:hideMark/>
          </w:tcPr>
          <w:p w14:paraId="35847873" w14:textId="64EB1913" w:rsidR="00B46EF8" w:rsidRPr="00F8474E" w:rsidRDefault="00B46EF8" w:rsidP="00B46EF8">
            <w:pPr>
              <w:pStyle w:val="TAC"/>
              <w:rPr>
                <w:lang w:val="sv-SE" w:eastAsia="ko-KR"/>
              </w:rPr>
            </w:pPr>
            <w:r w:rsidRPr="00F8474E">
              <w:t>-122.5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360DA992" w14:textId="77777777" w:rsidR="00B46EF8" w:rsidRPr="00F8474E" w:rsidRDefault="00B46EF8" w:rsidP="00B46EF8">
            <w:pPr>
              <w:pStyle w:val="TAC"/>
              <w:rPr>
                <w:lang w:eastAsia="ko-KR"/>
              </w:rPr>
            </w:pPr>
          </w:p>
        </w:tc>
      </w:tr>
      <w:tr w:rsidR="00B46EF8" w:rsidRPr="00F8474E" w14:paraId="4707B44F" w14:textId="77777777" w:rsidTr="00FA482E">
        <w:trPr>
          <w:trHeight w:val="21"/>
          <w:jc w:val="center"/>
        </w:trPr>
        <w:tc>
          <w:tcPr>
            <w:tcW w:w="0" w:type="auto"/>
            <w:vMerge/>
            <w:tcBorders>
              <w:top w:val="single" w:sz="6" w:space="0" w:color="auto"/>
              <w:left w:val="single" w:sz="4" w:space="0" w:color="auto"/>
              <w:bottom w:val="nil"/>
              <w:right w:val="single" w:sz="6" w:space="0" w:color="auto"/>
            </w:tcBorders>
            <w:vAlign w:val="center"/>
            <w:hideMark/>
          </w:tcPr>
          <w:p w14:paraId="3BC72DD5" w14:textId="77777777" w:rsidR="00B46EF8" w:rsidRPr="00F8474E" w:rsidRDefault="00B46EF8" w:rsidP="00B46EF8">
            <w:pPr>
              <w:pStyle w:val="TAC"/>
              <w:rPr>
                <w:lang w:eastAsia="ko-KR"/>
              </w:rPr>
            </w:pPr>
          </w:p>
        </w:tc>
        <w:tc>
          <w:tcPr>
            <w:tcW w:w="0" w:type="auto"/>
            <w:vMerge/>
            <w:tcBorders>
              <w:top w:val="nil"/>
              <w:left w:val="single" w:sz="6" w:space="0" w:color="auto"/>
              <w:bottom w:val="nil"/>
              <w:right w:val="single" w:sz="6" w:space="0" w:color="auto"/>
            </w:tcBorders>
            <w:vAlign w:val="center"/>
            <w:hideMark/>
          </w:tcPr>
          <w:p w14:paraId="633624BC"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2F2C30C4"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4D579B54" w14:textId="77777777" w:rsidR="00B46EF8" w:rsidRPr="00F8474E" w:rsidRDefault="00B46EF8" w:rsidP="00B46EF8">
            <w:pPr>
              <w:pStyle w:val="TAC"/>
              <w:rPr>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EED456" w14:textId="77777777" w:rsidR="00B46EF8" w:rsidRPr="00F8474E" w:rsidRDefault="00B46EF8" w:rsidP="00B46EF8">
            <w:pPr>
              <w:pStyle w:val="TAC"/>
              <w:rPr>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4954B385" w14:textId="77777777" w:rsidR="00B46EF8" w:rsidRPr="00F8474E" w:rsidRDefault="00B46EF8" w:rsidP="00B46EF8">
            <w:pPr>
              <w:pStyle w:val="TAC"/>
              <w:rPr>
                <w:lang w:val="sv-SE" w:eastAsia="ko-KR"/>
              </w:rPr>
            </w:pPr>
            <w:r w:rsidRPr="00F8474E">
              <w:rPr>
                <w:lang w:val="sv-SE" w:eastAsia="ko-KR"/>
              </w:rPr>
              <w:t>NR_FDD_FR1_E, NR_TDD_FR1_E</w:t>
            </w:r>
          </w:p>
        </w:tc>
        <w:tc>
          <w:tcPr>
            <w:tcW w:w="0" w:type="auto"/>
            <w:tcBorders>
              <w:top w:val="single" w:sz="4" w:space="0" w:color="auto"/>
              <w:left w:val="single" w:sz="4" w:space="0" w:color="auto"/>
              <w:bottom w:val="single" w:sz="4" w:space="0" w:color="auto"/>
              <w:right w:val="single" w:sz="4" w:space="0" w:color="auto"/>
            </w:tcBorders>
            <w:vAlign w:val="center"/>
            <w:hideMark/>
          </w:tcPr>
          <w:p w14:paraId="5177CBB5" w14:textId="2A2DE8F0" w:rsidR="00B46EF8" w:rsidRPr="00F8474E" w:rsidRDefault="00B46EF8" w:rsidP="00B46EF8">
            <w:pPr>
              <w:pStyle w:val="TAC"/>
              <w:rPr>
                <w:lang w:val="sv-SE" w:eastAsia="ko-KR"/>
              </w:rPr>
            </w:pPr>
            <w:r w:rsidRPr="00F8474E">
              <w:t>-122</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7BCEC926" w14:textId="77777777" w:rsidR="00B46EF8" w:rsidRPr="00F8474E" w:rsidRDefault="00B46EF8" w:rsidP="00B46EF8">
            <w:pPr>
              <w:pStyle w:val="TAC"/>
              <w:rPr>
                <w:lang w:eastAsia="ko-KR"/>
              </w:rPr>
            </w:pPr>
          </w:p>
        </w:tc>
      </w:tr>
      <w:tr w:rsidR="00B46EF8" w:rsidRPr="00F8474E" w14:paraId="0F960557" w14:textId="77777777" w:rsidTr="00FA482E">
        <w:trPr>
          <w:trHeight w:val="21"/>
          <w:jc w:val="center"/>
        </w:trPr>
        <w:tc>
          <w:tcPr>
            <w:tcW w:w="0" w:type="auto"/>
            <w:vMerge/>
            <w:tcBorders>
              <w:top w:val="single" w:sz="6" w:space="0" w:color="auto"/>
              <w:left w:val="single" w:sz="4" w:space="0" w:color="auto"/>
              <w:bottom w:val="nil"/>
              <w:right w:val="single" w:sz="6" w:space="0" w:color="auto"/>
            </w:tcBorders>
            <w:vAlign w:val="center"/>
            <w:hideMark/>
          </w:tcPr>
          <w:p w14:paraId="0D9D1E22" w14:textId="77777777" w:rsidR="00B46EF8" w:rsidRPr="00F8474E" w:rsidRDefault="00B46EF8" w:rsidP="00B46EF8">
            <w:pPr>
              <w:pStyle w:val="TAC"/>
              <w:rPr>
                <w:lang w:eastAsia="ko-KR"/>
              </w:rPr>
            </w:pPr>
          </w:p>
        </w:tc>
        <w:tc>
          <w:tcPr>
            <w:tcW w:w="0" w:type="auto"/>
            <w:vMerge/>
            <w:tcBorders>
              <w:top w:val="nil"/>
              <w:left w:val="single" w:sz="6" w:space="0" w:color="auto"/>
              <w:bottom w:val="nil"/>
              <w:right w:val="single" w:sz="6" w:space="0" w:color="auto"/>
            </w:tcBorders>
            <w:vAlign w:val="center"/>
            <w:hideMark/>
          </w:tcPr>
          <w:p w14:paraId="5F99B340"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267E813B"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5E308C3F" w14:textId="77777777" w:rsidR="00B46EF8" w:rsidRPr="00F8474E" w:rsidRDefault="00B46EF8" w:rsidP="00B46EF8">
            <w:pPr>
              <w:pStyle w:val="TAC"/>
              <w:rPr>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14899" w14:textId="77777777" w:rsidR="00B46EF8" w:rsidRPr="00F8474E" w:rsidRDefault="00B46EF8" w:rsidP="00B46EF8">
            <w:pPr>
              <w:pStyle w:val="TAC"/>
              <w:rPr>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05CAC4CA" w14:textId="77777777" w:rsidR="00B46EF8" w:rsidRPr="00F8474E" w:rsidRDefault="00B46EF8" w:rsidP="00B46EF8">
            <w:pPr>
              <w:pStyle w:val="TAC"/>
              <w:rPr>
                <w:lang w:eastAsia="ko-KR"/>
              </w:rPr>
            </w:pPr>
            <w:r w:rsidRPr="00F8474E">
              <w:t>NR_FDD_FR1_F</w:t>
            </w:r>
          </w:p>
        </w:tc>
        <w:tc>
          <w:tcPr>
            <w:tcW w:w="0" w:type="auto"/>
            <w:tcBorders>
              <w:top w:val="single" w:sz="4" w:space="0" w:color="auto"/>
              <w:left w:val="single" w:sz="4" w:space="0" w:color="auto"/>
              <w:bottom w:val="single" w:sz="4" w:space="0" w:color="auto"/>
              <w:right w:val="single" w:sz="4" w:space="0" w:color="auto"/>
            </w:tcBorders>
            <w:vAlign w:val="center"/>
            <w:hideMark/>
          </w:tcPr>
          <w:p w14:paraId="4EEC3D7E" w14:textId="3E4DFC68" w:rsidR="00B46EF8" w:rsidRPr="00F8474E" w:rsidRDefault="00B46EF8" w:rsidP="00B46EF8">
            <w:pPr>
              <w:pStyle w:val="TAC"/>
              <w:rPr>
                <w:lang w:eastAsia="ko-KR"/>
              </w:rPr>
            </w:pPr>
            <w:r w:rsidRPr="00F8474E">
              <w:t>-121.5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57FFE8E2" w14:textId="77777777" w:rsidR="00B46EF8" w:rsidRPr="00F8474E" w:rsidRDefault="00B46EF8" w:rsidP="00B46EF8">
            <w:pPr>
              <w:pStyle w:val="TAC"/>
              <w:rPr>
                <w:lang w:eastAsia="ko-KR"/>
              </w:rPr>
            </w:pPr>
          </w:p>
        </w:tc>
      </w:tr>
      <w:tr w:rsidR="00B46EF8" w:rsidRPr="00F8474E" w14:paraId="6CEB9D8A" w14:textId="77777777" w:rsidTr="00FA482E">
        <w:trPr>
          <w:trHeight w:val="21"/>
          <w:jc w:val="center"/>
        </w:trPr>
        <w:tc>
          <w:tcPr>
            <w:tcW w:w="0" w:type="auto"/>
            <w:vMerge/>
            <w:tcBorders>
              <w:top w:val="single" w:sz="6" w:space="0" w:color="auto"/>
              <w:left w:val="single" w:sz="4" w:space="0" w:color="auto"/>
              <w:bottom w:val="nil"/>
              <w:right w:val="single" w:sz="6" w:space="0" w:color="auto"/>
            </w:tcBorders>
            <w:vAlign w:val="center"/>
            <w:hideMark/>
          </w:tcPr>
          <w:p w14:paraId="095788EA" w14:textId="77777777" w:rsidR="00B46EF8" w:rsidRPr="00F8474E" w:rsidRDefault="00B46EF8" w:rsidP="00B46EF8">
            <w:pPr>
              <w:pStyle w:val="TAC"/>
              <w:rPr>
                <w:lang w:eastAsia="ko-KR"/>
              </w:rPr>
            </w:pPr>
          </w:p>
        </w:tc>
        <w:tc>
          <w:tcPr>
            <w:tcW w:w="0" w:type="auto"/>
            <w:vMerge/>
            <w:tcBorders>
              <w:top w:val="nil"/>
              <w:left w:val="single" w:sz="6" w:space="0" w:color="auto"/>
              <w:bottom w:val="nil"/>
              <w:right w:val="single" w:sz="6" w:space="0" w:color="auto"/>
            </w:tcBorders>
            <w:vAlign w:val="center"/>
            <w:hideMark/>
          </w:tcPr>
          <w:p w14:paraId="7E2C3639"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012911E9"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1FA0CC06" w14:textId="77777777" w:rsidR="00B46EF8" w:rsidRPr="00F8474E" w:rsidRDefault="00B46EF8" w:rsidP="00B46EF8">
            <w:pPr>
              <w:pStyle w:val="TAC"/>
              <w:rPr>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FB461" w14:textId="77777777" w:rsidR="00B46EF8" w:rsidRPr="00F8474E" w:rsidRDefault="00B46EF8" w:rsidP="00B46EF8">
            <w:pPr>
              <w:pStyle w:val="TAC"/>
              <w:rPr>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3377ED67" w14:textId="77777777" w:rsidR="00B46EF8" w:rsidRPr="00F8474E" w:rsidRDefault="00B46EF8" w:rsidP="00B46EF8">
            <w:pPr>
              <w:pStyle w:val="TAC"/>
              <w:rPr>
                <w:lang w:eastAsia="ko-KR"/>
              </w:rPr>
            </w:pPr>
            <w:r w:rsidRPr="00F8474E">
              <w:t>NR</w:t>
            </w:r>
            <w:r w:rsidRPr="00F8474E">
              <w:rPr>
                <w:lang w:eastAsia="ko-KR"/>
              </w:rPr>
              <w:t>_</w:t>
            </w:r>
            <w:r w:rsidRPr="00F8474E">
              <w:t>FDD_FR1_G</w:t>
            </w:r>
            <w:r w:rsidRPr="00F8474E">
              <w:rPr>
                <w:rFonts w:hint="eastAsia"/>
                <w:lang w:eastAsia="zh-CN"/>
              </w:rPr>
              <w:t xml:space="preserve">, </w:t>
            </w:r>
            <w:r w:rsidRPr="00F8474E">
              <w:rPr>
                <w:lang w:eastAsia="zh-CN"/>
              </w:rPr>
              <w:t>NR</w:t>
            </w:r>
            <w:r w:rsidRPr="00F8474E">
              <w:t>_</w:t>
            </w:r>
            <w:r w:rsidRPr="00F8474E">
              <w:rPr>
                <w:rFonts w:hint="eastAsia"/>
                <w:lang w:eastAsia="zh-CN"/>
              </w:rPr>
              <w:t>T</w:t>
            </w:r>
            <w:r w:rsidRPr="00F8474E">
              <w:rPr>
                <w:lang w:eastAsia="zh-CN"/>
              </w:rPr>
              <w:t>DD_FR1_G</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B69E7" w14:textId="50D8E49E" w:rsidR="00B46EF8" w:rsidRPr="00F8474E" w:rsidRDefault="00B46EF8" w:rsidP="00B46EF8">
            <w:pPr>
              <w:pStyle w:val="TAC"/>
              <w:rPr>
                <w:lang w:eastAsia="ko-KR"/>
              </w:rPr>
            </w:pPr>
            <w:r w:rsidRPr="00F8474E">
              <w:t>-121</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6E7A8274" w14:textId="77777777" w:rsidR="00B46EF8" w:rsidRPr="00F8474E" w:rsidRDefault="00B46EF8" w:rsidP="00B46EF8">
            <w:pPr>
              <w:pStyle w:val="TAC"/>
              <w:rPr>
                <w:lang w:eastAsia="ko-KR"/>
              </w:rPr>
            </w:pPr>
          </w:p>
        </w:tc>
      </w:tr>
      <w:tr w:rsidR="00B46EF8" w:rsidRPr="00F8474E" w14:paraId="74EF45F8" w14:textId="77777777" w:rsidTr="00FA482E">
        <w:trPr>
          <w:jc w:val="center"/>
        </w:trPr>
        <w:tc>
          <w:tcPr>
            <w:tcW w:w="0" w:type="auto"/>
            <w:vMerge/>
            <w:tcBorders>
              <w:top w:val="single" w:sz="6" w:space="0" w:color="auto"/>
              <w:left w:val="single" w:sz="4" w:space="0" w:color="auto"/>
              <w:bottom w:val="nil"/>
              <w:right w:val="single" w:sz="6" w:space="0" w:color="auto"/>
            </w:tcBorders>
            <w:vAlign w:val="center"/>
            <w:hideMark/>
          </w:tcPr>
          <w:p w14:paraId="2607ABA6" w14:textId="77777777" w:rsidR="00B46EF8" w:rsidRPr="00F8474E" w:rsidRDefault="00B46EF8" w:rsidP="00B46EF8">
            <w:pPr>
              <w:pStyle w:val="TAC"/>
              <w:rPr>
                <w:lang w:eastAsia="ko-KR"/>
              </w:rPr>
            </w:pPr>
          </w:p>
        </w:tc>
        <w:tc>
          <w:tcPr>
            <w:tcW w:w="0" w:type="auto"/>
            <w:tcBorders>
              <w:top w:val="nil"/>
              <w:left w:val="single" w:sz="6" w:space="0" w:color="auto"/>
              <w:bottom w:val="nil"/>
              <w:right w:val="single" w:sz="6" w:space="0" w:color="auto"/>
            </w:tcBorders>
            <w:vAlign w:val="center"/>
          </w:tcPr>
          <w:p w14:paraId="0F50C42B"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28825654" w14:textId="77777777" w:rsidR="00B46EF8" w:rsidRPr="00F8474E" w:rsidRDefault="00B46EF8" w:rsidP="00B46EF8">
            <w:pPr>
              <w:pStyle w:val="TAC"/>
              <w:rPr>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2B368A8A" w14:textId="77777777" w:rsidR="00B46EF8" w:rsidRPr="00F8474E" w:rsidRDefault="00B46EF8" w:rsidP="00B46EF8">
            <w:pPr>
              <w:pStyle w:val="TAC"/>
              <w:rPr>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6DA88C" w14:textId="77777777" w:rsidR="00B46EF8" w:rsidRPr="00F8474E" w:rsidRDefault="00B46EF8" w:rsidP="00B46EF8">
            <w:pPr>
              <w:pStyle w:val="TAC"/>
              <w:rPr>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17E7E997" w14:textId="77777777" w:rsidR="00B46EF8" w:rsidRPr="00F8474E" w:rsidRDefault="00B46EF8" w:rsidP="00B46EF8">
            <w:pPr>
              <w:pStyle w:val="TAC"/>
              <w:rPr>
                <w:lang w:eastAsia="ko-KR"/>
              </w:rPr>
            </w:pPr>
            <w:r w:rsidRPr="00F8474E">
              <w:t>NR</w:t>
            </w:r>
            <w:r w:rsidRPr="00F8474E">
              <w:rPr>
                <w:lang w:eastAsia="ko-KR"/>
              </w:rPr>
              <w:t>_</w:t>
            </w:r>
            <w:r w:rsidRPr="00F8474E">
              <w:t>FDD_FR1_H</w:t>
            </w:r>
          </w:p>
        </w:tc>
        <w:tc>
          <w:tcPr>
            <w:tcW w:w="0" w:type="auto"/>
            <w:tcBorders>
              <w:top w:val="single" w:sz="4" w:space="0" w:color="auto"/>
              <w:left w:val="single" w:sz="4" w:space="0" w:color="auto"/>
              <w:bottom w:val="single" w:sz="4" w:space="0" w:color="auto"/>
              <w:right w:val="single" w:sz="4" w:space="0" w:color="auto"/>
            </w:tcBorders>
            <w:vAlign w:val="center"/>
            <w:hideMark/>
          </w:tcPr>
          <w:p w14:paraId="36F8FA75" w14:textId="2BC75C23" w:rsidR="00B46EF8" w:rsidRPr="00F8474E" w:rsidRDefault="00B46EF8" w:rsidP="00B46EF8">
            <w:pPr>
              <w:pStyle w:val="TAC"/>
              <w:rPr>
                <w:lang w:eastAsia="ko-KR"/>
              </w:rPr>
            </w:pPr>
            <w:r w:rsidRPr="00F8474E">
              <w:t>-120.5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08AD219D" w14:textId="77777777" w:rsidR="00B46EF8" w:rsidRPr="00F8474E" w:rsidRDefault="00B46EF8" w:rsidP="00B46EF8">
            <w:pPr>
              <w:pStyle w:val="TAC"/>
              <w:rPr>
                <w:lang w:eastAsia="ko-KR"/>
              </w:rPr>
            </w:pPr>
          </w:p>
        </w:tc>
      </w:tr>
      <w:tr w:rsidR="00B46EF8" w:rsidRPr="00F8474E" w14:paraId="538817C8"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1A5C354E" w14:textId="77777777" w:rsidR="00B46EF8" w:rsidRPr="00F8474E" w:rsidRDefault="00B46EF8" w:rsidP="00B46EF8">
            <w:pPr>
              <w:pStyle w:val="TAC"/>
              <w:rPr>
                <w:lang w:eastAsia="ko-KR"/>
              </w:rPr>
            </w:pPr>
            <w:r w:rsidRPr="00F8474E">
              <w:rPr>
                <w:lang w:eastAsia="ko-KR"/>
              </w:rPr>
              <w:t>± 30+</w:t>
            </w:r>
            <w:r w:rsidRPr="00F8474E">
              <w:rPr>
                <w:lang w:eastAsia="ko-KR"/>
              </w:rPr>
              <w:sym w:font="Symbol" w:char="F064"/>
            </w:r>
          </w:p>
        </w:tc>
        <w:tc>
          <w:tcPr>
            <w:tcW w:w="0" w:type="auto"/>
            <w:tcBorders>
              <w:top w:val="nil"/>
              <w:left w:val="single" w:sz="6" w:space="0" w:color="auto"/>
              <w:bottom w:val="nil"/>
              <w:right w:val="single" w:sz="6" w:space="0" w:color="auto"/>
            </w:tcBorders>
            <w:vAlign w:val="center"/>
          </w:tcPr>
          <w:p w14:paraId="5E75AEB3"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63BC0029" w14:textId="77777777" w:rsidR="00B46EF8" w:rsidRPr="00F8474E" w:rsidRDefault="00B46EF8" w:rsidP="00B46EF8">
            <w:pPr>
              <w:pStyle w:val="TAC"/>
              <w:rPr>
                <w:lang w:eastAsia="ko-KR"/>
              </w:rPr>
            </w:pPr>
            <w:r w:rsidRPr="00F8474E">
              <w:rPr>
                <w:rFonts w:cs="Calibri"/>
              </w:rPr>
              <w:t>≥</w:t>
            </w:r>
            <w:r w:rsidRPr="00F8474E">
              <w:rPr>
                <w:lang w:eastAsia="zh-CN"/>
              </w:rPr>
              <w:t>48</w:t>
            </w:r>
          </w:p>
        </w:tc>
        <w:tc>
          <w:tcPr>
            <w:tcW w:w="0" w:type="auto"/>
            <w:vMerge/>
            <w:tcBorders>
              <w:top w:val="single" w:sz="6" w:space="0" w:color="auto"/>
              <w:left w:val="single" w:sz="6" w:space="0" w:color="auto"/>
              <w:bottom w:val="nil"/>
              <w:right w:val="single" w:sz="4" w:space="0" w:color="auto"/>
            </w:tcBorders>
            <w:vAlign w:val="center"/>
            <w:hideMark/>
          </w:tcPr>
          <w:p w14:paraId="3E5F1DC1"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2054E6D"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009E9939" w14:textId="77777777" w:rsidR="00B46EF8" w:rsidRPr="00F8474E" w:rsidRDefault="00B46EF8" w:rsidP="00B46EF8">
            <w:pPr>
              <w:pStyle w:val="TAC"/>
              <w:rPr>
                <w:lang w:eastAsia="ko-KR"/>
              </w:rPr>
            </w:pPr>
            <w:r w:rsidRPr="00F8474E">
              <w:rPr>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5F68C937" w14:textId="77777777" w:rsidR="00B46EF8" w:rsidRPr="00F8474E" w:rsidRDefault="00B46EF8" w:rsidP="00B46EF8">
            <w:pPr>
              <w:pStyle w:val="TAC"/>
              <w:rPr>
                <w:lang w:eastAsia="ko-KR"/>
              </w:rPr>
            </w:pPr>
            <w:r w:rsidRPr="00F8474E">
              <w:rPr>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51FC34F2" w14:textId="77777777" w:rsidR="00B46EF8" w:rsidRPr="00F8474E" w:rsidRDefault="00B46EF8" w:rsidP="00B46EF8">
            <w:pPr>
              <w:pStyle w:val="TAC"/>
              <w:rPr>
                <w:lang w:eastAsia="ko-KR"/>
              </w:rPr>
            </w:pPr>
            <w:r w:rsidRPr="00F8474E">
              <w:rPr>
                <w:lang w:eastAsia="ko-KR"/>
              </w:rPr>
              <w:t>NOTE 6</w:t>
            </w:r>
          </w:p>
        </w:tc>
      </w:tr>
      <w:tr w:rsidR="00B46EF8" w:rsidRPr="00F8474E" w14:paraId="3CA58AB5"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270534C4" w14:textId="77777777" w:rsidR="00B46EF8" w:rsidRPr="00F8474E" w:rsidRDefault="00B46EF8" w:rsidP="00B46EF8">
            <w:pPr>
              <w:pStyle w:val="TAC"/>
              <w:rPr>
                <w:lang w:eastAsia="ko-KR"/>
              </w:rPr>
            </w:pPr>
            <w:r w:rsidRPr="00F8474E">
              <w:rPr>
                <w:lang w:eastAsia="ko-KR"/>
              </w:rPr>
              <w:t>± 15+</w:t>
            </w:r>
            <w:r w:rsidRPr="00F8474E">
              <w:rPr>
                <w:lang w:eastAsia="ko-KR"/>
              </w:rPr>
              <w:sym w:font="Symbol" w:char="F064"/>
            </w:r>
          </w:p>
        </w:tc>
        <w:tc>
          <w:tcPr>
            <w:tcW w:w="0" w:type="auto"/>
            <w:vMerge w:val="restart"/>
            <w:tcBorders>
              <w:top w:val="nil"/>
              <w:left w:val="single" w:sz="6" w:space="0" w:color="auto"/>
              <w:bottom w:val="nil"/>
              <w:right w:val="single" w:sz="6" w:space="0" w:color="auto"/>
            </w:tcBorders>
            <w:vAlign w:val="center"/>
          </w:tcPr>
          <w:p w14:paraId="0DC60644"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00EB27FD" w14:textId="77777777" w:rsidR="00B46EF8" w:rsidRPr="00F8474E" w:rsidRDefault="00B46EF8" w:rsidP="00B46EF8">
            <w:pPr>
              <w:pStyle w:val="TAC"/>
              <w:rPr>
                <w:lang w:eastAsia="ko-KR"/>
              </w:rPr>
            </w:pPr>
            <w:r w:rsidRPr="00F8474E">
              <w:rPr>
                <w:rFonts w:cs="Calibri"/>
              </w:rPr>
              <w:t>≥</w:t>
            </w:r>
            <w:r w:rsidRPr="00F8474E">
              <w:rPr>
                <w:lang w:eastAsia="zh-CN"/>
              </w:rPr>
              <w:t>132</w:t>
            </w:r>
          </w:p>
        </w:tc>
        <w:tc>
          <w:tcPr>
            <w:tcW w:w="0" w:type="auto"/>
            <w:vMerge/>
            <w:tcBorders>
              <w:top w:val="single" w:sz="6" w:space="0" w:color="auto"/>
              <w:left w:val="single" w:sz="6" w:space="0" w:color="auto"/>
              <w:bottom w:val="nil"/>
              <w:right w:val="single" w:sz="4" w:space="0" w:color="auto"/>
            </w:tcBorders>
            <w:vAlign w:val="center"/>
            <w:hideMark/>
          </w:tcPr>
          <w:p w14:paraId="5869BABF"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B2E272C"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64A1BCF7" w14:textId="77777777" w:rsidR="00B46EF8" w:rsidRPr="00F8474E" w:rsidRDefault="00B46EF8" w:rsidP="00B46EF8">
            <w:pPr>
              <w:pStyle w:val="TAC"/>
              <w:rPr>
                <w:lang w:eastAsia="ko-KR"/>
              </w:rPr>
            </w:pPr>
            <w:r w:rsidRPr="00F8474E">
              <w:rPr>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2BDB44D8" w14:textId="77777777" w:rsidR="00B46EF8" w:rsidRPr="00F8474E" w:rsidRDefault="00B46EF8" w:rsidP="00B46EF8">
            <w:pPr>
              <w:pStyle w:val="TAC"/>
              <w:rPr>
                <w:lang w:eastAsia="ko-KR"/>
              </w:rPr>
            </w:pPr>
            <w:r w:rsidRPr="00F8474E">
              <w:rPr>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15ECE8A4" w14:textId="77777777" w:rsidR="00B46EF8" w:rsidRPr="00F8474E" w:rsidRDefault="00B46EF8" w:rsidP="00B46EF8">
            <w:pPr>
              <w:pStyle w:val="TAC"/>
              <w:rPr>
                <w:lang w:eastAsia="ko-KR"/>
              </w:rPr>
            </w:pPr>
            <w:r w:rsidRPr="00F8474E">
              <w:rPr>
                <w:lang w:eastAsia="ko-KR"/>
              </w:rPr>
              <w:t>NOTE 6</w:t>
            </w:r>
          </w:p>
        </w:tc>
      </w:tr>
      <w:tr w:rsidR="00B46EF8" w:rsidRPr="00F8474E" w14:paraId="774F676C" w14:textId="77777777" w:rsidTr="00FA482E">
        <w:trPr>
          <w:trHeight w:val="21"/>
          <w:jc w:val="center"/>
        </w:trPr>
        <w:tc>
          <w:tcPr>
            <w:tcW w:w="0" w:type="auto"/>
            <w:vMerge w:val="restart"/>
            <w:tcBorders>
              <w:top w:val="single" w:sz="6" w:space="0" w:color="auto"/>
              <w:left w:val="single" w:sz="4" w:space="0" w:color="auto"/>
              <w:bottom w:val="nil"/>
              <w:right w:val="single" w:sz="6" w:space="0" w:color="auto"/>
            </w:tcBorders>
            <w:vAlign w:val="center"/>
            <w:hideMark/>
          </w:tcPr>
          <w:p w14:paraId="35C72542" w14:textId="77777777" w:rsidR="00B46EF8" w:rsidRPr="00F8474E" w:rsidRDefault="00B46EF8" w:rsidP="00B46EF8">
            <w:pPr>
              <w:pStyle w:val="TAC"/>
              <w:rPr>
                <w:rFonts w:cs="Arial"/>
                <w:szCs w:val="18"/>
                <w:lang w:eastAsia="ko-KR"/>
              </w:rPr>
            </w:pPr>
            <w:r w:rsidRPr="00F8474E">
              <w:rPr>
                <w:lang w:eastAsia="ko-KR"/>
              </w:rPr>
              <w:t>± 29+</w:t>
            </w:r>
            <w:r w:rsidRPr="00F8474E">
              <w:rPr>
                <w:lang w:eastAsia="ko-KR"/>
              </w:rPr>
              <w:sym w:font="Symbol" w:char="F064"/>
            </w:r>
          </w:p>
        </w:tc>
        <w:tc>
          <w:tcPr>
            <w:tcW w:w="0" w:type="auto"/>
            <w:vMerge/>
            <w:tcBorders>
              <w:top w:val="nil"/>
              <w:left w:val="single" w:sz="6" w:space="0" w:color="auto"/>
              <w:bottom w:val="nil"/>
              <w:right w:val="single" w:sz="6" w:space="0" w:color="auto"/>
            </w:tcBorders>
            <w:vAlign w:val="center"/>
            <w:hideMark/>
          </w:tcPr>
          <w:p w14:paraId="33ED3735" w14:textId="77777777" w:rsidR="00B46EF8" w:rsidRPr="00F8474E" w:rsidRDefault="00B46EF8" w:rsidP="00B46EF8">
            <w:pPr>
              <w:pStyle w:val="TAC"/>
              <w:rPr>
                <w:lang w:val="sv-SE" w:eastAsia="ko-KR"/>
              </w:rPr>
            </w:pPr>
          </w:p>
        </w:tc>
        <w:tc>
          <w:tcPr>
            <w:tcW w:w="0" w:type="auto"/>
            <w:vMerge w:val="restart"/>
            <w:tcBorders>
              <w:top w:val="single" w:sz="6" w:space="0" w:color="auto"/>
              <w:left w:val="single" w:sz="6" w:space="0" w:color="auto"/>
              <w:bottom w:val="nil"/>
              <w:right w:val="single" w:sz="6" w:space="0" w:color="auto"/>
            </w:tcBorders>
            <w:vAlign w:val="center"/>
            <w:hideMark/>
          </w:tcPr>
          <w:p w14:paraId="2E6BCB1D" w14:textId="77777777" w:rsidR="00B46EF8" w:rsidRPr="00F8474E" w:rsidRDefault="00B46EF8" w:rsidP="00B46EF8">
            <w:pPr>
              <w:pStyle w:val="TAC"/>
              <w:rPr>
                <w:rFonts w:cs="Arial"/>
                <w:szCs w:val="18"/>
                <w:lang w:eastAsia="ko-KR"/>
              </w:rPr>
            </w:pPr>
            <w:r w:rsidRPr="00F8474E">
              <w:rPr>
                <w:rFonts w:cs="Calibri"/>
              </w:rPr>
              <w:t>≥</w:t>
            </w:r>
            <w:r w:rsidRPr="00F8474E">
              <w:t>24</w:t>
            </w:r>
          </w:p>
        </w:tc>
        <w:tc>
          <w:tcPr>
            <w:tcW w:w="0" w:type="auto"/>
            <w:vMerge w:val="restart"/>
            <w:tcBorders>
              <w:top w:val="single" w:sz="6" w:space="0" w:color="auto"/>
              <w:left w:val="single" w:sz="6" w:space="0" w:color="auto"/>
              <w:bottom w:val="nil"/>
              <w:right w:val="single" w:sz="4" w:space="0" w:color="auto"/>
            </w:tcBorders>
            <w:vAlign w:val="center"/>
            <w:hideMark/>
          </w:tcPr>
          <w:p w14:paraId="785BEFB9" w14:textId="77777777" w:rsidR="00B46EF8" w:rsidRPr="00F8474E" w:rsidRDefault="00B46EF8" w:rsidP="00B46EF8">
            <w:pPr>
              <w:pStyle w:val="TAC"/>
              <w:rPr>
                <w:rFonts w:cs="Arial"/>
                <w:szCs w:val="18"/>
                <w:lang w:eastAsia="ko-KR"/>
              </w:rPr>
            </w:pPr>
            <w:r w:rsidRPr="00F8474E">
              <w:rPr>
                <w:rFonts w:cs="Arial"/>
                <w:szCs w:val="18"/>
                <w:lang w:eastAsia="ko-KR"/>
              </w:rPr>
              <w:t>60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A088464" w14:textId="77777777" w:rsidR="00B46EF8" w:rsidRPr="00F8474E" w:rsidRDefault="00B46EF8" w:rsidP="00B46EF8">
            <w:pPr>
              <w:pStyle w:val="TAC"/>
              <w:rPr>
                <w:rFonts w:cs="Arial"/>
                <w:szCs w:val="18"/>
                <w:lang w:eastAsia="ko-KR"/>
              </w:rPr>
            </w:pPr>
            <w:r w:rsidRPr="00F8474E">
              <w:rPr>
                <w:rFonts w:cs="Arial"/>
                <w:szCs w:val="18"/>
              </w:rPr>
              <w:t>≥4</w:t>
            </w:r>
          </w:p>
        </w:tc>
        <w:tc>
          <w:tcPr>
            <w:tcW w:w="0" w:type="auto"/>
            <w:tcBorders>
              <w:top w:val="single" w:sz="6" w:space="0" w:color="auto"/>
              <w:left w:val="single" w:sz="4" w:space="0" w:color="auto"/>
              <w:bottom w:val="single" w:sz="6" w:space="0" w:color="auto"/>
              <w:right w:val="single" w:sz="4" w:space="0" w:color="auto"/>
            </w:tcBorders>
            <w:vAlign w:val="center"/>
            <w:hideMark/>
          </w:tcPr>
          <w:p w14:paraId="33CBD7A8" w14:textId="77777777" w:rsidR="00B46EF8" w:rsidRPr="00F8474E" w:rsidRDefault="00B46EF8" w:rsidP="00B46EF8">
            <w:pPr>
              <w:pStyle w:val="TAC"/>
              <w:rPr>
                <w:rFonts w:cs="Arial"/>
                <w:szCs w:val="18"/>
                <w:lang w:eastAsia="ko-KR"/>
              </w:rPr>
            </w:pPr>
            <w:r w:rsidRPr="00F8474E">
              <w:rPr>
                <w:rFonts w:cs="Arial"/>
                <w:szCs w:val="18"/>
                <w:lang w:eastAsia="ko-KR"/>
              </w:rPr>
              <w:t>NR_FDD_FR1_A, NR_TDD_FR1_A,</w:t>
            </w:r>
          </w:p>
          <w:p w14:paraId="2E1D0E17" w14:textId="77777777" w:rsidR="00B46EF8" w:rsidRPr="00F8474E" w:rsidRDefault="00B46EF8" w:rsidP="00B46EF8">
            <w:pPr>
              <w:pStyle w:val="TAC"/>
              <w:rPr>
                <w:rFonts w:cs="Arial"/>
                <w:szCs w:val="18"/>
                <w:lang w:eastAsia="ko-KR"/>
              </w:rPr>
            </w:pPr>
            <w:r w:rsidRPr="00F8474E">
              <w:rPr>
                <w:rFonts w:cs="Arial"/>
                <w:szCs w:val="18"/>
                <w:lang w:eastAsia="ko-KR"/>
              </w:rPr>
              <w:t>NR_SDL_FR1_A</w:t>
            </w:r>
          </w:p>
        </w:tc>
        <w:tc>
          <w:tcPr>
            <w:tcW w:w="0" w:type="auto"/>
            <w:tcBorders>
              <w:top w:val="single" w:sz="4" w:space="0" w:color="auto"/>
              <w:left w:val="single" w:sz="4" w:space="0" w:color="auto"/>
              <w:bottom w:val="single" w:sz="4" w:space="0" w:color="auto"/>
              <w:right w:val="single" w:sz="4" w:space="0" w:color="auto"/>
            </w:tcBorders>
            <w:vAlign w:val="center"/>
            <w:hideMark/>
          </w:tcPr>
          <w:p w14:paraId="2BB25BD4" w14:textId="1A268348" w:rsidR="00B46EF8" w:rsidRPr="00F8474E" w:rsidRDefault="00B46EF8" w:rsidP="00B46EF8">
            <w:pPr>
              <w:pStyle w:val="TAC"/>
              <w:rPr>
                <w:rFonts w:cs="Arial"/>
                <w:szCs w:val="18"/>
                <w:lang w:eastAsia="ko-KR"/>
              </w:rPr>
            </w:pPr>
            <w:r w:rsidRPr="00F8474E">
              <w:t>-121</w:t>
            </w:r>
          </w:p>
        </w:tc>
        <w:tc>
          <w:tcPr>
            <w:tcW w:w="0" w:type="auto"/>
            <w:vMerge w:val="restart"/>
            <w:tcBorders>
              <w:top w:val="single" w:sz="6" w:space="0" w:color="auto"/>
              <w:left w:val="single" w:sz="4" w:space="0" w:color="auto"/>
              <w:bottom w:val="single" w:sz="6" w:space="0" w:color="auto"/>
              <w:right w:val="single" w:sz="4" w:space="0" w:color="auto"/>
            </w:tcBorders>
            <w:vAlign w:val="center"/>
            <w:hideMark/>
          </w:tcPr>
          <w:p w14:paraId="747994D3" w14:textId="77777777" w:rsidR="00B46EF8" w:rsidRPr="00F8474E" w:rsidRDefault="00B46EF8" w:rsidP="00B46EF8">
            <w:pPr>
              <w:pStyle w:val="TAC"/>
              <w:rPr>
                <w:lang w:eastAsia="ko-KR"/>
              </w:rPr>
            </w:pPr>
            <w:r w:rsidRPr="00F8474E">
              <w:rPr>
                <w:lang w:eastAsia="ko-KR"/>
              </w:rPr>
              <w:t>-50</w:t>
            </w:r>
          </w:p>
        </w:tc>
      </w:tr>
      <w:tr w:rsidR="00B46EF8" w:rsidRPr="00F8474E" w14:paraId="20788D59"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3C3F9558" w14:textId="77777777" w:rsidR="00B46EF8" w:rsidRPr="00F8474E" w:rsidRDefault="00B46EF8" w:rsidP="00B46EF8">
            <w:pPr>
              <w:pStyle w:val="TAC"/>
              <w:rPr>
                <w:rFonts w:cs="Arial"/>
                <w:szCs w:val="18"/>
                <w:lang w:eastAsia="ko-KR"/>
              </w:rPr>
            </w:pPr>
          </w:p>
        </w:tc>
        <w:tc>
          <w:tcPr>
            <w:tcW w:w="0" w:type="auto"/>
            <w:vMerge/>
            <w:tcBorders>
              <w:top w:val="nil"/>
              <w:left w:val="single" w:sz="6" w:space="0" w:color="auto"/>
              <w:bottom w:val="nil"/>
              <w:right w:val="single" w:sz="6" w:space="0" w:color="auto"/>
            </w:tcBorders>
            <w:vAlign w:val="center"/>
            <w:hideMark/>
          </w:tcPr>
          <w:p w14:paraId="6E51153A"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37A83E1E" w14:textId="77777777" w:rsidR="00B46EF8" w:rsidRPr="00F8474E" w:rsidRDefault="00B46EF8" w:rsidP="00B46EF8">
            <w:pPr>
              <w:pStyle w:val="TAC"/>
              <w:rPr>
                <w:rFonts w:cs="Arial"/>
                <w:szCs w:val="18"/>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4C63DC0A" w14:textId="77777777" w:rsidR="00B46EF8" w:rsidRPr="00F8474E" w:rsidRDefault="00B46EF8" w:rsidP="00B46EF8">
            <w:pPr>
              <w:pStyle w:val="TAC"/>
              <w:rPr>
                <w:rFonts w:cs="Arial"/>
                <w:szCs w:val="18"/>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FD4EFD" w14:textId="77777777" w:rsidR="00B46EF8" w:rsidRPr="00F8474E" w:rsidRDefault="00B46EF8" w:rsidP="00B46EF8">
            <w:pPr>
              <w:pStyle w:val="TAC"/>
              <w:rPr>
                <w:rFonts w:cs="Arial"/>
                <w:szCs w:val="18"/>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69CC1434" w14:textId="77777777" w:rsidR="00B46EF8" w:rsidRPr="00F8474E" w:rsidRDefault="00B46EF8" w:rsidP="00B46EF8">
            <w:pPr>
              <w:pStyle w:val="TAC"/>
              <w:rPr>
                <w:rFonts w:cs="Arial"/>
                <w:szCs w:val="18"/>
                <w:lang w:eastAsia="ko-KR"/>
              </w:rPr>
            </w:pPr>
            <w:r w:rsidRPr="00F8474E">
              <w:rPr>
                <w:lang w:eastAsia="ko-KR"/>
              </w:rPr>
              <w:t>NR_FDD_FR1_B</w:t>
            </w:r>
          </w:p>
        </w:tc>
        <w:tc>
          <w:tcPr>
            <w:tcW w:w="0" w:type="auto"/>
            <w:tcBorders>
              <w:top w:val="single" w:sz="4" w:space="0" w:color="auto"/>
              <w:left w:val="single" w:sz="4" w:space="0" w:color="auto"/>
              <w:bottom w:val="single" w:sz="4" w:space="0" w:color="auto"/>
              <w:right w:val="single" w:sz="4" w:space="0" w:color="auto"/>
            </w:tcBorders>
            <w:hideMark/>
          </w:tcPr>
          <w:p w14:paraId="552FF5FE" w14:textId="52872F75" w:rsidR="00B46EF8" w:rsidRPr="00F8474E" w:rsidRDefault="00B46EF8" w:rsidP="00B46EF8">
            <w:pPr>
              <w:pStyle w:val="TAC"/>
              <w:rPr>
                <w:rFonts w:cs="Arial"/>
                <w:szCs w:val="18"/>
                <w:lang w:eastAsia="ko-KR"/>
              </w:rPr>
            </w:pPr>
            <w:r w:rsidRPr="00F8474E">
              <w:t>-120.5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2BFCE8B7" w14:textId="77777777" w:rsidR="00B46EF8" w:rsidRPr="00F8474E" w:rsidRDefault="00B46EF8" w:rsidP="00B46EF8">
            <w:pPr>
              <w:pStyle w:val="TAC"/>
              <w:rPr>
                <w:lang w:eastAsia="ko-KR"/>
              </w:rPr>
            </w:pPr>
          </w:p>
        </w:tc>
      </w:tr>
      <w:tr w:rsidR="00B46EF8" w:rsidRPr="00F8474E" w14:paraId="6BA570BC"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4BD35324" w14:textId="77777777" w:rsidR="00B46EF8" w:rsidRPr="00F8474E" w:rsidRDefault="00B46EF8" w:rsidP="00B46EF8">
            <w:pPr>
              <w:pStyle w:val="TAC"/>
              <w:rPr>
                <w:rFonts w:cs="Arial"/>
                <w:szCs w:val="18"/>
                <w:lang w:eastAsia="ko-KR"/>
              </w:rPr>
            </w:pPr>
          </w:p>
        </w:tc>
        <w:tc>
          <w:tcPr>
            <w:tcW w:w="0" w:type="auto"/>
            <w:vMerge/>
            <w:tcBorders>
              <w:top w:val="nil"/>
              <w:left w:val="single" w:sz="6" w:space="0" w:color="auto"/>
              <w:bottom w:val="nil"/>
              <w:right w:val="single" w:sz="6" w:space="0" w:color="auto"/>
            </w:tcBorders>
            <w:vAlign w:val="center"/>
            <w:hideMark/>
          </w:tcPr>
          <w:p w14:paraId="052974AF"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226E0091" w14:textId="77777777" w:rsidR="00B46EF8" w:rsidRPr="00F8474E" w:rsidRDefault="00B46EF8" w:rsidP="00B46EF8">
            <w:pPr>
              <w:pStyle w:val="TAC"/>
              <w:rPr>
                <w:rFonts w:cs="Arial"/>
                <w:szCs w:val="18"/>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71188DD8" w14:textId="77777777" w:rsidR="00B46EF8" w:rsidRPr="00F8474E" w:rsidRDefault="00B46EF8" w:rsidP="00B46EF8">
            <w:pPr>
              <w:pStyle w:val="TAC"/>
              <w:rPr>
                <w:rFonts w:cs="Arial"/>
                <w:szCs w:val="18"/>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068922" w14:textId="77777777" w:rsidR="00B46EF8" w:rsidRPr="00F8474E" w:rsidRDefault="00B46EF8" w:rsidP="00B46EF8">
            <w:pPr>
              <w:pStyle w:val="TAC"/>
              <w:rPr>
                <w:rFonts w:cs="Arial"/>
                <w:szCs w:val="18"/>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53C7CC52" w14:textId="77777777" w:rsidR="00B46EF8" w:rsidRPr="00F8474E" w:rsidRDefault="00B46EF8" w:rsidP="00B46EF8">
            <w:pPr>
              <w:pStyle w:val="TAC"/>
              <w:rPr>
                <w:rFonts w:cs="Arial"/>
                <w:szCs w:val="18"/>
                <w:lang w:eastAsia="ko-KR"/>
              </w:rPr>
            </w:pPr>
            <w:r w:rsidRPr="00F8474E">
              <w:rPr>
                <w:lang w:eastAsia="ko-KR"/>
              </w:rPr>
              <w:t>NR_TDD_FR1_C</w:t>
            </w:r>
          </w:p>
        </w:tc>
        <w:tc>
          <w:tcPr>
            <w:tcW w:w="0" w:type="auto"/>
            <w:tcBorders>
              <w:top w:val="single" w:sz="4" w:space="0" w:color="auto"/>
              <w:left w:val="single" w:sz="4" w:space="0" w:color="auto"/>
              <w:bottom w:val="single" w:sz="4" w:space="0" w:color="auto"/>
              <w:right w:val="single" w:sz="4" w:space="0" w:color="auto"/>
            </w:tcBorders>
            <w:vAlign w:val="center"/>
            <w:hideMark/>
          </w:tcPr>
          <w:p w14:paraId="32F64001" w14:textId="27346E3A" w:rsidR="00B46EF8" w:rsidRPr="00F8474E" w:rsidRDefault="00B46EF8" w:rsidP="00B46EF8">
            <w:pPr>
              <w:pStyle w:val="TAC"/>
              <w:rPr>
                <w:rFonts w:cs="Arial"/>
                <w:szCs w:val="18"/>
                <w:lang w:eastAsia="ko-KR"/>
              </w:rPr>
            </w:pPr>
            <w:r w:rsidRPr="00F8474E">
              <w:t>-120</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2C023484" w14:textId="77777777" w:rsidR="00B46EF8" w:rsidRPr="00F8474E" w:rsidRDefault="00B46EF8" w:rsidP="00B46EF8">
            <w:pPr>
              <w:pStyle w:val="TAC"/>
              <w:rPr>
                <w:lang w:eastAsia="ko-KR"/>
              </w:rPr>
            </w:pPr>
          </w:p>
        </w:tc>
      </w:tr>
      <w:tr w:rsidR="00B46EF8" w:rsidRPr="00F8474E" w14:paraId="45C74380"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44E2D2C2" w14:textId="77777777" w:rsidR="00B46EF8" w:rsidRPr="00F8474E" w:rsidRDefault="00B46EF8" w:rsidP="00B46EF8">
            <w:pPr>
              <w:pStyle w:val="TAC"/>
              <w:rPr>
                <w:rFonts w:cs="Arial"/>
                <w:szCs w:val="18"/>
                <w:lang w:eastAsia="ko-KR"/>
              </w:rPr>
            </w:pPr>
          </w:p>
        </w:tc>
        <w:tc>
          <w:tcPr>
            <w:tcW w:w="0" w:type="auto"/>
            <w:vMerge/>
            <w:tcBorders>
              <w:top w:val="nil"/>
              <w:left w:val="single" w:sz="6" w:space="0" w:color="auto"/>
              <w:bottom w:val="nil"/>
              <w:right w:val="single" w:sz="6" w:space="0" w:color="auto"/>
            </w:tcBorders>
            <w:vAlign w:val="center"/>
            <w:hideMark/>
          </w:tcPr>
          <w:p w14:paraId="4CBC3D0F"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6C7F4775" w14:textId="77777777" w:rsidR="00B46EF8" w:rsidRPr="00F8474E" w:rsidRDefault="00B46EF8" w:rsidP="00B46EF8">
            <w:pPr>
              <w:pStyle w:val="TAC"/>
              <w:rPr>
                <w:rFonts w:cs="Arial"/>
                <w:szCs w:val="18"/>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69E539A1" w14:textId="77777777" w:rsidR="00B46EF8" w:rsidRPr="00F8474E" w:rsidRDefault="00B46EF8" w:rsidP="00B46EF8">
            <w:pPr>
              <w:pStyle w:val="TAC"/>
              <w:rPr>
                <w:rFonts w:cs="Arial"/>
                <w:szCs w:val="18"/>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E0C582" w14:textId="77777777" w:rsidR="00B46EF8" w:rsidRPr="00F8474E" w:rsidRDefault="00B46EF8" w:rsidP="00B46EF8">
            <w:pPr>
              <w:pStyle w:val="TAC"/>
              <w:rPr>
                <w:rFonts w:cs="Arial"/>
                <w:szCs w:val="18"/>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5F05D4E8" w14:textId="77777777" w:rsidR="00B46EF8" w:rsidRPr="00F8474E" w:rsidRDefault="00B46EF8" w:rsidP="00B46EF8">
            <w:pPr>
              <w:pStyle w:val="TAC"/>
              <w:rPr>
                <w:rFonts w:cs="Arial"/>
                <w:szCs w:val="18"/>
                <w:lang w:val="sv-SE" w:eastAsia="ko-KR"/>
              </w:rPr>
            </w:pPr>
            <w:r w:rsidRPr="00F8474E">
              <w:rPr>
                <w:lang w:val="sv-SE" w:eastAsia="ko-KR"/>
              </w:rPr>
              <w:t>NR_FDD_FR1_D, NR_TDD_FR1_D</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5A976" w14:textId="21756EEE" w:rsidR="00B46EF8" w:rsidRPr="00F8474E" w:rsidRDefault="00B46EF8" w:rsidP="00B46EF8">
            <w:pPr>
              <w:pStyle w:val="TAC"/>
              <w:rPr>
                <w:rFonts w:cs="Arial"/>
                <w:szCs w:val="18"/>
                <w:lang w:val="sv-SE" w:eastAsia="ko-KR"/>
              </w:rPr>
            </w:pPr>
            <w:r w:rsidRPr="00F8474E">
              <w:t>-119.5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23030443" w14:textId="77777777" w:rsidR="00B46EF8" w:rsidRPr="00F8474E" w:rsidRDefault="00B46EF8" w:rsidP="00B46EF8">
            <w:pPr>
              <w:pStyle w:val="TAC"/>
              <w:rPr>
                <w:lang w:eastAsia="ko-KR"/>
              </w:rPr>
            </w:pPr>
          </w:p>
        </w:tc>
      </w:tr>
      <w:tr w:rsidR="00B46EF8" w:rsidRPr="00F8474E" w14:paraId="1E513FED"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08755215" w14:textId="77777777" w:rsidR="00B46EF8" w:rsidRPr="00F8474E" w:rsidRDefault="00B46EF8" w:rsidP="00B46EF8">
            <w:pPr>
              <w:pStyle w:val="TAC"/>
              <w:rPr>
                <w:rFonts w:cs="Arial"/>
                <w:szCs w:val="18"/>
                <w:lang w:eastAsia="ko-KR"/>
              </w:rPr>
            </w:pPr>
          </w:p>
        </w:tc>
        <w:tc>
          <w:tcPr>
            <w:tcW w:w="0" w:type="auto"/>
            <w:vMerge/>
            <w:tcBorders>
              <w:top w:val="nil"/>
              <w:left w:val="single" w:sz="6" w:space="0" w:color="auto"/>
              <w:bottom w:val="nil"/>
              <w:right w:val="single" w:sz="6" w:space="0" w:color="auto"/>
            </w:tcBorders>
            <w:vAlign w:val="center"/>
            <w:hideMark/>
          </w:tcPr>
          <w:p w14:paraId="17DA952C"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37996C89" w14:textId="77777777" w:rsidR="00B46EF8" w:rsidRPr="00F8474E" w:rsidRDefault="00B46EF8" w:rsidP="00B46EF8">
            <w:pPr>
              <w:pStyle w:val="TAC"/>
              <w:rPr>
                <w:rFonts w:cs="Arial"/>
                <w:szCs w:val="18"/>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13E59C6A" w14:textId="77777777" w:rsidR="00B46EF8" w:rsidRPr="00F8474E" w:rsidRDefault="00B46EF8" w:rsidP="00B46EF8">
            <w:pPr>
              <w:pStyle w:val="TAC"/>
              <w:rPr>
                <w:rFonts w:cs="Arial"/>
                <w:szCs w:val="18"/>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AE3D69" w14:textId="77777777" w:rsidR="00B46EF8" w:rsidRPr="00F8474E" w:rsidRDefault="00B46EF8" w:rsidP="00B46EF8">
            <w:pPr>
              <w:pStyle w:val="TAC"/>
              <w:rPr>
                <w:rFonts w:cs="Arial"/>
                <w:szCs w:val="18"/>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3976DA1C" w14:textId="77777777" w:rsidR="00B46EF8" w:rsidRPr="00F8474E" w:rsidRDefault="00B46EF8" w:rsidP="00B46EF8">
            <w:pPr>
              <w:pStyle w:val="TAC"/>
              <w:rPr>
                <w:rFonts w:cs="Arial"/>
                <w:szCs w:val="18"/>
                <w:lang w:val="sv-SE" w:eastAsia="ko-KR"/>
              </w:rPr>
            </w:pPr>
            <w:r w:rsidRPr="00F8474E">
              <w:rPr>
                <w:lang w:val="sv-SE" w:eastAsia="ko-KR"/>
              </w:rPr>
              <w:t>NR_FDD_FR1_E, NR_TDD_FR1_E</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A2C68" w14:textId="312D5B5B" w:rsidR="00B46EF8" w:rsidRPr="00F8474E" w:rsidRDefault="00B46EF8" w:rsidP="00B46EF8">
            <w:pPr>
              <w:pStyle w:val="TAC"/>
              <w:rPr>
                <w:rFonts w:cs="Arial"/>
                <w:szCs w:val="18"/>
                <w:lang w:val="sv-SE" w:eastAsia="ko-KR"/>
              </w:rPr>
            </w:pPr>
            <w:r w:rsidRPr="00F8474E">
              <w:t>-119</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78A64926" w14:textId="77777777" w:rsidR="00B46EF8" w:rsidRPr="00F8474E" w:rsidRDefault="00B46EF8" w:rsidP="00B46EF8">
            <w:pPr>
              <w:pStyle w:val="TAC"/>
              <w:rPr>
                <w:lang w:eastAsia="ko-KR"/>
              </w:rPr>
            </w:pPr>
          </w:p>
        </w:tc>
      </w:tr>
      <w:tr w:rsidR="00B46EF8" w:rsidRPr="00F8474E" w14:paraId="69518A18"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2E0E2A29" w14:textId="77777777" w:rsidR="00B46EF8" w:rsidRPr="00F8474E" w:rsidRDefault="00B46EF8" w:rsidP="00B46EF8">
            <w:pPr>
              <w:pStyle w:val="TAC"/>
              <w:rPr>
                <w:rFonts w:cs="Arial"/>
                <w:szCs w:val="18"/>
                <w:lang w:eastAsia="ko-KR"/>
              </w:rPr>
            </w:pPr>
          </w:p>
        </w:tc>
        <w:tc>
          <w:tcPr>
            <w:tcW w:w="0" w:type="auto"/>
            <w:vMerge/>
            <w:tcBorders>
              <w:top w:val="nil"/>
              <w:left w:val="single" w:sz="6" w:space="0" w:color="auto"/>
              <w:bottom w:val="nil"/>
              <w:right w:val="single" w:sz="6" w:space="0" w:color="auto"/>
            </w:tcBorders>
            <w:vAlign w:val="center"/>
            <w:hideMark/>
          </w:tcPr>
          <w:p w14:paraId="7074302C"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3468FA8D" w14:textId="77777777" w:rsidR="00B46EF8" w:rsidRPr="00F8474E" w:rsidRDefault="00B46EF8" w:rsidP="00B46EF8">
            <w:pPr>
              <w:pStyle w:val="TAC"/>
              <w:rPr>
                <w:rFonts w:cs="Arial"/>
                <w:szCs w:val="18"/>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3A60C2B9" w14:textId="77777777" w:rsidR="00B46EF8" w:rsidRPr="00F8474E" w:rsidRDefault="00B46EF8" w:rsidP="00B46EF8">
            <w:pPr>
              <w:pStyle w:val="TAC"/>
              <w:rPr>
                <w:rFonts w:cs="Arial"/>
                <w:szCs w:val="18"/>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1B0255" w14:textId="77777777" w:rsidR="00B46EF8" w:rsidRPr="00F8474E" w:rsidRDefault="00B46EF8" w:rsidP="00B46EF8">
            <w:pPr>
              <w:pStyle w:val="TAC"/>
              <w:rPr>
                <w:rFonts w:cs="Arial"/>
                <w:szCs w:val="18"/>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00354987" w14:textId="77777777" w:rsidR="00B46EF8" w:rsidRPr="00F8474E" w:rsidRDefault="00B46EF8" w:rsidP="00B46EF8">
            <w:pPr>
              <w:pStyle w:val="TAC"/>
              <w:rPr>
                <w:rFonts w:cs="Arial"/>
                <w:szCs w:val="18"/>
                <w:lang w:eastAsia="ko-KR"/>
              </w:rPr>
            </w:pPr>
            <w:r w:rsidRPr="00F8474E">
              <w:t>NR_FDD_FR1_F</w:t>
            </w:r>
          </w:p>
        </w:tc>
        <w:tc>
          <w:tcPr>
            <w:tcW w:w="0" w:type="auto"/>
            <w:tcBorders>
              <w:top w:val="single" w:sz="4" w:space="0" w:color="auto"/>
              <w:left w:val="single" w:sz="4" w:space="0" w:color="auto"/>
              <w:bottom w:val="single" w:sz="4" w:space="0" w:color="auto"/>
              <w:right w:val="single" w:sz="4" w:space="0" w:color="auto"/>
            </w:tcBorders>
            <w:vAlign w:val="center"/>
            <w:hideMark/>
          </w:tcPr>
          <w:p w14:paraId="175280EF" w14:textId="3416830F" w:rsidR="00B46EF8" w:rsidRPr="00F8474E" w:rsidRDefault="00B46EF8" w:rsidP="00B46EF8">
            <w:pPr>
              <w:pStyle w:val="TAC"/>
              <w:rPr>
                <w:rFonts w:cs="Arial"/>
                <w:szCs w:val="18"/>
                <w:lang w:eastAsia="ko-KR"/>
              </w:rPr>
            </w:pPr>
            <w:r w:rsidRPr="00F8474E">
              <w:t>-118.5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53290FD7" w14:textId="77777777" w:rsidR="00B46EF8" w:rsidRPr="00F8474E" w:rsidRDefault="00B46EF8" w:rsidP="00B46EF8">
            <w:pPr>
              <w:pStyle w:val="TAC"/>
              <w:rPr>
                <w:lang w:eastAsia="ko-KR"/>
              </w:rPr>
            </w:pPr>
          </w:p>
        </w:tc>
      </w:tr>
      <w:tr w:rsidR="00B46EF8" w:rsidRPr="00F8474E" w14:paraId="5237F200"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782BA8B6" w14:textId="77777777" w:rsidR="00B46EF8" w:rsidRPr="00F8474E" w:rsidRDefault="00B46EF8" w:rsidP="00B46EF8">
            <w:pPr>
              <w:pStyle w:val="TAC"/>
              <w:rPr>
                <w:rFonts w:cs="Arial"/>
                <w:szCs w:val="18"/>
                <w:lang w:eastAsia="ko-KR"/>
              </w:rPr>
            </w:pPr>
          </w:p>
        </w:tc>
        <w:tc>
          <w:tcPr>
            <w:tcW w:w="0" w:type="auto"/>
            <w:vMerge/>
            <w:tcBorders>
              <w:top w:val="nil"/>
              <w:left w:val="single" w:sz="6" w:space="0" w:color="auto"/>
              <w:bottom w:val="nil"/>
              <w:right w:val="single" w:sz="6" w:space="0" w:color="auto"/>
            </w:tcBorders>
            <w:vAlign w:val="center"/>
            <w:hideMark/>
          </w:tcPr>
          <w:p w14:paraId="3DF440D5"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5E6808D0" w14:textId="77777777" w:rsidR="00B46EF8" w:rsidRPr="00F8474E" w:rsidRDefault="00B46EF8" w:rsidP="00B46EF8">
            <w:pPr>
              <w:pStyle w:val="TAC"/>
              <w:rPr>
                <w:rFonts w:cs="Arial"/>
                <w:szCs w:val="18"/>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582700CF" w14:textId="77777777" w:rsidR="00B46EF8" w:rsidRPr="00F8474E" w:rsidRDefault="00B46EF8" w:rsidP="00B46EF8">
            <w:pPr>
              <w:pStyle w:val="TAC"/>
              <w:rPr>
                <w:rFonts w:cs="Arial"/>
                <w:szCs w:val="18"/>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56D898" w14:textId="77777777" w:rsidR="00B46EF8" w:rsidRPr="00F8474E" w:rsidRDefault="00B46EF8" w:rsidP="00B46EF8">
            <w:pPr>
              <w:pStyle w:val="TAC"/>
              <w:rPr>
                <w:rFonts w:cs="Arial"/>
                <w:szCs w:val="18"/>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7DC01F6C" w14:textId="77777777" w:rsidR="00B46EF8" w:rsidRPr="00F8474E" w:rsidRDefault="00B46EF8" w:rsidP="00B46EF8">
            <w:pPr>
              <w:pStyle w:val="TAC"/>
              <w:rPr>
                <w:rFonts w:cs="Arial"/>
                <w:szCs w:val="18"/>
                <w:lang w:eastAsia="ko-KR"/>
              </w:rPr>
            </w:pPr>
            <w:r w:rsidRPr="00F8474E">
              <w:t>NR</w:t>
            </w:r>
            <w:r w:rsidRPr="00F8474E">
              <w:rPr>
                <w:lang w:eastAsia="ko-KR"/>
              </w:rPr>
              <w:t>_</w:t>
            </w:r>
            <w:r w:rsidRPr="00F8474E">
              <w:t>FDD_FR1_G</w:t>
            </w:r>
            <w:r w:rsidRPr="00F8474E">
              <w:rPr>
                <w:rFonts w:hint="eastAsia"/>
                <w:lang w:eastAsia="zh-CN"/>
              </w:rPr>
              <w:t xml:space="preserve">, </w:t>
            </w:r>
            <w:r w:rsidRPr="00F8474E">
              <w:rPr>
                <w:lang w:eastAsia="zh-CN"/>
              </w:rPr>
              <w:t>NR</w:t>
            </w:r>
            <w:r w:rsidRPr="00F8474E">
              <w:t>_</w:t>
            </w:r>
            <w:r w:rsidRPr="00F8474E">
              <w:rPr>
                <w:rFonts w:hint="eastAsia"/>
                <w:lang w:eastAsia="zh-CN"/>
              </w:rPr>
              <w:t>T</w:t>
            </w:r>
            <w:r w:rsidRPr="00F8474E">
              <w:rPr>
                <w:lang w:eastAsia="zh-CN"/>
              </w:rPr>
              <w:t>DD_FR1_G</w:t>
            </w:r>
          </w:p>
        </w:tc>
        <w:tc>
          <w:tcPr>
            <w:tcW w:w="0" w:type="auto"/>
            <w:tcBorders>
              <w:top w:val="single" w:sz="4" w:space="0" w:color="auto"/>
              <w:left w:val="single" w:sz="4" w:space="0" w:color="auto"/>
              <w:bottom w:val="single" w:sz="4" w:space="0" w:color="auto"/>
              <w:right w:val="single" w:sz="4" w:space="0" w:color="auto"/>
            </w:tcBorders>
            <w:vAlign w:val="center"/>
            <w:hideMark/>
          </w:tcPr>
          <w:p w14:paraId="4E827B21" w14:textId="5EAE977C" w:rsidR="00B46EF8" w:rsidRPr="00F8474E" w:rsidRDefault="00B46EF8" w:rsidP="00B46EF8">
            <w:pPr>
              <w:pStyle w:val="TAC"/>
              <w:rPr>
                <w:rFonts w:cs="Arial"/>
                <w:szCs w:val="18"/>
                <w:lang w:eastAsia="ko-KR"/>
              </w:rPr>
            </w:pPr>
            <w:r w:rsidRPr="00F8474E">
              <w:t>-118</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7EBA756E" w14:textId="77777777" w:rsidR="00B46EF8" w:rsidRPr="00F8474E" w:rsidRDefault="00B46EF8" w:rsidP="00B46EF8">
            <w:pPr>
              <w:pStyle w:val="TAC"/>
              <w:rPr>
                <w:lang w:eastAsia="ko-KR"/>
              </w:rPr>
            </w:pPr>
          </w:p>
        </w:tc>
      </w:tr>
      <w:tr w:rsidR="00B46EF8" w:rsidRPr="00F8474E" w14:paraId="7DDFAAF1" w14:textId="77777777" w:rsidTr="00FA482E">
        <w:trPr>
          <w:trHeight w:val="20"/>
          <w:jc w:val="center"/>
        </w:trPr>
        <w:tc>
          <w:tcPr>
            <w:tcW w:w="0" w:type="auto"/>
            <w:vMerge/>
            <w:tcBorders>
              <w:top w:val="single" w:sz="6" w:space="0" w:color="auto"/>
              <w:left w:val="single" w:sz="4" w:space="0" w:color="auto"/>
              <w:bottom w:val="nil"/>
              <w:right w:val="single" w:sz="6" w:space="0" w:color="auto"/>
            </w:tcBorders>
            <w:vAlign w:val="center"/>
            <w:hideMark/>
          </w:tcPr>
          <w:p w14:paraId="474BB959" w14:textId="77777777" w:rsidR="00B46EF8" w:rsidRPr="00F8474E" w:rsidRDefault="00B46EF8" w:rsidP="00B46EF8">
            <w:pPr>
              <w:pStyle w:val="TAC"/>
              <w:rPr>
                <w:rFonts w:cs="Arial"/>
                <w:szCs w:val="18"/>
                <w:lang w:eastAsia="ko-KR"/>
              </w:rPr>
            </w:pPr>
          </w:p>
        </w:tc>
        <w:tc>
          <w:tcPr>
            <w:tcW w:w="0" w:type="auto"/>
            <w:vMerge/>
            <w:tcBorders>
              <w:top w:val="nil"/>
              <w:left w:val="single" w:sz="6" w:space="0" w:color="auto"/>
              <w:bottom w:val="nil"/>
              <w:right w:val="single" w:sz="6" w:space="0" w:color="auto"/>
            </w:tcBorders>
            <w:vAlign w:val="center"/>
            <w:hideMark/>
          </w:tcPr>
          <w:p w14:paraId="3F1272E2" w14:textId="77777777" w:rsidR="00B46EF8" w:rsidRPr="00F8474E" w:rsidRDefault="00B46EF8" w:rsidP="00B46EF8">
            <w:pPr>
              <w:pStyle w:val="TAC"/>
              <w:rPr>
                <w:lang w:val="sv-SE" w:eastAsia="ko-KR"/>
              </w:rPr>
            </w:pPr>
          </w:p>
        </w:tc>
        <w:tc>
          <w:tcPr>
            <w:tcW w:w="0" w:type="auto"/>
            <w:vMerge/>
            <w:tcBorders>
              <w:top w:val="single" w:sz="6" w:space="0" w:color="auto"/>
              <w:left w:val="single" w:sz="6" w:space="0" w:color="auto"/>
              <w:bottom w:val="nil"/>
              <w:right w:val="single" w:sz="6" w:space="0" w:color="auto"/>
            </w:tcBorders>
            <w:vAlign w:val="center"/>
            <w:hideMark/>
          </w:tcPr>
          <w:p w14:paraId="41CE22FD" w14:textId="77777777" w:rsidR="00B46EF8" w:rsidRPr="00F8474E" w:rsidRDefault="00B46EF8" w:rsidP="00B46EF8">
            <w:pPr>
              <w:pStyle w:val="TAC"/>
              <w:rPr>
                <w:rFonts w:cs="Arial"/>
                <w:szCs w:val="18"/>
                <w:lang w:eastAsia="ko-KR"/>
              </w:rPr>
            </w:pPr>
          </w:p>
        </w:tc>
        <w:tc>
          <w:tcPr>
            <w:tcW w:w="0" w:type="auto"/>
            <w:vMerge/>
            <w:tcBorders>
              <w:top w:val="single" w:sz="6" w:space="0" w:color="auto"/>
              <w:left w:val="single" w:sz="6" w:space="0" w:color="auto"/>
              <w:bottom w:val="nil"/>
              <w:right w:val="single" w:sz="4" w:space="0" w:color="auto"/>
            </w:tcBorders>
            <w:vAlign w:val="center"/>
            <w:hideMark/>
          </w:tcPr>
          <w:p w14:paraId="1C212A6A" w14:textId="77777777" w:rsidR="00B46EF8" w:rsidRPr="00F8474E" w:rsidRDefault="00B46EF8" w:rsidP="00B46EF8">
            <w:pPr>
              <w:pStyle w:val="TAC"/>
              <w:rPr>
                <w:rFonts w:cs="Arial"/>
                <w:szCs w:val="18"/>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64EA91" w14:textId="77777777" w:rsidR="00B46EF8" w:rsidRPr="00F8474E" w:rsidRDefault="00B46EF8" w:rsidP="00B46EF8">
            <w:pPr>
              <w:pStyle w:val="TAC"/>
              <w:rPr>
                <w:rFonts w:cs="Arial"/>
                <w:szCs w:val="18"/>
                <w:lang w:eastAsia="ko-KR"/>
              </w:rPr>
            </w:pPr>
          </w:p>
        </w:tc>
        <w:tc>
          <w:tcPr>
            <w:tcW w:w="0" w:type="auto"/>
            <w:tcBorders>
              <w:top w:val="single" w:sz="6" w:space="0" w:color="auto"/>
              <w:left w:val="single" w:sz="4" w:space="0" w:color="auto"/>
              <w:bottom w:val="single" w:sz="6" w:space="0" w:color="auto"/>
              <w:right w:val="single" w:sz="4" w:space="0" w:color="auto"/>
            </w:tcBorders>
            <w:vAlign w:val="center"/>
            <w:hideMark/>
          </w:tcPr>
          <w:p w14:paraId="1D879026" w14:textId="77777777" w:rsidR="00B46EF8" w:rsidRPr="00F8474E" w:rsidRDefault="00B46EF8" w:rsidP="00B46EF8">
            <w:pPr>
              <w:pStyle w:val="TAC"/>
              <w:rPr>
                <w:rFonts w:cs="Arial"/>
                <w:szCs w:val="18"/>
                <w:lang w:eastAsia="ko-KR"/>
              </w:rPr>
            </w:pPr>
            <w:r w:rsidRPr="00F8474E">
              <w:t>NR</w:t>
            </w:r>
            <w:r w:rsidRPr="00F8474E">
              <w:rPr>
                <w:lang w:eastAsia="ko-KR"/>
              </w:rPr>
              <w:t>_</w:t>
            </w:r>
            <w:r w:rsidRPr="00F8474E">
              <w:t>FDD_FR1_H</w:t>
            </w:r>
          </w:p>
        </w:tc>
        <w:tc>
          <w:tcPr>
            <w:tcW w:w="0" w:type="auto"/>
            <w:tcBorders>
              <w:top w:val="single" w:sz="4" w:space="0" w:color="auto"/>
              <w:left w:val="single" w:sz="4" w:space="0" w:color="auto"/>
              <w:bottom w:val="single" w:sz="4" w:space="0" w:color="auto"/>
              <w:right w:val="single" w:sz="4" w:space="0" w:color="auto"/>
            </w:tcBorders>
            <w:vAlign w:val="center"/>
            <w:hideMark/>
          </w:tcPr>
          <w:p w14:paraId="74B1C29D" w14:textId="6AF6635C" w:rsidR="00B46EF8" w:rsidRPr="00F8474E" w:rsidRDefault="00B46EF8" w:rsidP="00B46EF8">
            <w:pPr>
              <w:pStyle w:val="TAC"/>
              <w:rPr>
                <w:rFonts w:cs="Arial"/>
                <w:szCs w:val="18"/>
                <w:lang w:eastAsia="ko-KR"/>
              </w:rPr>
            </w:pPr>
            <w:r w:rsidRPr="00F8474E">
              <w:t>-117.5</w:t>
            </w:r>
          </w:p>
        </w:tc>
        <w:tc>
          <w:tcPr>
            <w:tcW w:w="0" w:type="auto"/>
            <w:vMerge/>
            <w:tcBorders>
              <w:top w:val="single" w:sz="6" w:space="0" w:color="auto"/>
              <w:left w:val="single" w:sz="4" w:space="0" w:color="auto"/>
              <w:bottom w:val="single" w:sz="6" w:space="0" w:color="auto"/>
              <w:right w:val="single" w:sz="4" w:space="0" w:color="auto"/>
            </w:tcBorders>
            <w:vAlign w:val="center"/>
            <w:hideMark/>
          </w:tcPr>
          <w:p w14:paraId="628405CE" w14:textId="77777777" w:rsidR="00B46EF8" w:rsidRPr="00F8474E" w:rsidRDefault="00B46EF8" w:rsidP="00B46EF8">
            <w:pPr>
              <w:pStyle w:val="TAC"/>
              <w:rPr>
                <w:lang w:eastAsia="ko-KR"/>
              </w:rPr>
            </w:pPr>
          </w:p>
        </w:tc>
      </w:tr>
      <w:tr w:rsidR="00B46EF8" w:rsidRPr="00F8474E" w14:paraId="568E02E4"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08ADCA1A" w14:textId="77777777" w:rsidR="00B46EF8" w:rsidRPr="00F8474E" w:rsidRDefault="00B46EF8" w:rsidP="00B46EF8">
            <w:pPr>
              <w:pStyle w:val="TAC"/>
              <w:rPr>
                <w:rFonts w:cs="Arial"/>
                <w:szCs w:val="18"/>
                <w:lang w:eastAsia="ko-KR"/>
              </w:rPr>
            </w:pPr>
            <w:r w:rsidRPr="00F8474E">
              <w:rPr>
                <w:lang w:eastAsia="ko-KR"/>
              </w:rPr>
              <w:t>± 15+</w:t>
            </w:r>
            <w:r w:rsidRPr="00F8474E">
              <w:rPr>
                <w:lang w:eastAsia="ko-KR"/>
              </w:rPr>
              <w:sym w:font="Symbol" w:char="F064"/>
            </w:r>
          </w:p>
        </w:tc>
        <w:tc>
          <w:tcPr>
            <w:tcW w:w="0" w:type="auto"/>
            <w:tcBorders>
              <w:top w:val="nil"/>
              <w:left w:val="single" w:sz="6" w:space="0" w:color="auto"/>
              <w:bottom w:val="nil"/>
              <w:right w:val="single" w:sz="6" w:space="0" w:color="auto"/>
            </w:tcBorders>
            <w:vAlign w:val="center"/>
          </w:tcPr>
          <w:p w14:paraId="0E2F0650"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3D11EDC0" w14:textId="77777777" w:rsidR="00B46EF8" w:rsidRPr="00F8474E" w:rsidRDefault="00B46EF8" w:rsidP="00B46EF8">
            <w:pPr>
              <w:pStyle w:val="TAC"/>
              <w:rPr>
                <w:lang w:eastAsia="ko-KR"/>
              </w:rPr>
            </w:pPr>
            <w:r w:rsidRPr="00F8474E">
              <w:rPr>
                <w:rFonts w:cs="Calibri"/>
              </w:rPr>
              <w:t>≥</w:t>
            </w:r>
            <w:r w:rsidRPr="00F8474E">
              <w:rPr>
                <w:lang w:eastAsia="zh-CN"/>
              </w:rPr>
              <w:t xml:space="preserve"> 64</w:t>
            </w:r>
          </w:p>
        </w:tc>
        <w:tc>
          <w:tcPr>
            <w:tcW w:w="0" w:type="auto"/>
            <w:tcBorders>
              <w:top w:val="nil"/>
              <w:left w:val="single" w:sz="6" w:space="0" w:color="auto"/>
              <w:bottom w:val="nil"/>
              <w:right w:val="single" w:sz="4" w:space="0" w:color="auto"/>
            </w:tcBorders>
          </w:tcPr>
          <w:p w14:paraId="73DAAB8C"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6F42108"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7EA3FD74"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743F4B44"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3B3760EC"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1317AC3E"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2111D7C5" w14:textId="77777777" w:rsidR="00B46EF8" w:rsidRPr="00F8474E" w:rsidRDefault="00B46EF8" w:rsidP="00B46EF8">
            <w:pPr>
              <w:pStyle w:val="TAC"/>
              <w:rPr>
                <w:rFonts w:cs="Arial"/>
                <w:szCs w:val="18"/>
                <w:lang w:eastAsia="ko-KR"/>
              </w:rPr>
            </w:pPr>
            <w:r w:rsidRPr="00F8474E">
              <w:rPr>
                <w:lang w:eastAsia="ko-KR"/>
              </w:rPr>
              <w:t>± 7+</w:t>
            </w:r>
            <w:r w:rsidRPr="00F8474E">
              <w:rPr>
                <w:lang w:eastAsia="ko-KR"/>
              </w:rPr>
              <w:sym w:font="Symbol" w:char="F064"/>
            </w:r>
          </w:p>
        </w:tc>
        <w:tc>
          <w:tcPr>
            <w:tcW w:w="0" w:type="auto"/>
            <w:tcBorders>
              <w:top w:val="nil"/>
              <w:left w:val="single" w:sz="6" w:space="0" w:color="auto"/>
              <w:bottom w:val="nil"/>
              <w:right w:val="single" w:sz="6" w:space="0" w:color="auto"/>
            </w:tcBorders>
            <w:vAlign w:val="center"/>
          </w:tcPr>
          <w:p w14:paraId="448F6C78"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4D411182" w14:textId="77777777" w:rsidR="00B46EF8" w:rsidRPr="00F8474E" w:rsidRDefault="00B46EF8" w:rsidP="00B46EF8">
            <w:pPr>
              <w:pStyle w:val="TAC"/>
              <w:rPr>
                <w:lang w:eastAsia="ko-KR"/>
              </w:rPr>
            </w:pPr>
            <w:r w:rsidRPr="00F8474E">
              <w:rPr>
                <w:rFonts w:cs="Calibri"/>
              </w:rPr>
              <w:t>≥</w:t>
            </w:r>
            <w:r w:rsidRPr="00F8474E">
              <w:rPr>
                <w:lang w:eastAsia="zh-CN"/>
              </w:rPr>
              <w:t xml:space="preserve"> 132</w:t>
            </w:r>
          </w:p>
        </w:tc>
        <w:tc>
          <w:tcPr>
            <w:tcW w:w="0" w:type="auto"/>
            <w:tcBorders>
              <w:top w:val="nil"/>
              <w:left w:val="single" w:sz="6" w:space="0" w:color="auto"/>
              <w:bottom w:val="nil"/>
              <w:right w:val="single" w:sz="4" w:space="0" w:color="auto"/>
            </w:tcBorders>
          </w:tcPr>
          <w:p w14:paraId="544980DE"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22E199EB"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43DA9AF9"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34780AB0"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7C3EDFAB"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23EAA61E"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0E378996" w14:textId="77777777" w:rsidR="00B46EF8" w:rsidRPr="00F8474E" w:rsidRDefault="00B46EF8" w:rsidP="00B46EF8">
            <w:pPr>
              <w:pStyle w:val="TAC"/>
              <w:rPr>
                <w:rFonts w:cs="Arial"/>
                <w:szCs w:val="18"/>
                <w:lang w:eastAsia="ko-KR"/>
              </w:rPr>
            </w:pPr>
            <w:r w:rsidRPr="00F8474E">
              <w:rPr>
                <w:lang w:eastAsia="ko-KR"/>
              </w:rPr>
              <w:t>± 101+</w:t>
            </w:r>
            <w:r w:rsidRPr="00F8474E">
              <w:rPr>
                <w:lang w:eastAsia="ko-KR"/>
              </w:rPr>
              <w:sym w:font="Symbol" w:char="F064"/>
            </w:r>
          </w:p>
        </w:tc>
        <w:tc>
          <w:tcPr>
            <w:tcW w:w="0" w:type="auto"/>
            <w:vMerge w:val="restart"/>
            <w:tcBorders>
              <w:top w:val="single" w:sz="6" w:space="0" w:color="auto"/>
              <w:left w:val="single" w:sz="6" w:space="0" w:color="auto"/>
              <w:bottom w:val="nil"/>
              <w:right w:val="single" w:sz="6" w:space="0" w:color="auto"/>
            </w:tcBorders>
            <w:vAlign w:val="center"/>
          </w:tcPr>
          <w:p w14:paraId="03A608C7" w14:textId="77777777" w:rsidR="00B46EF8" w:rsidRPr="00F8474E" w:rsidRDefault="00B46EF8" w:rsidP="00B46EF8">
            <w:pPr>
              <w:pStyle w:val="TAC"/>
              <w:rPr>
                <w:lang w:val="sv-SE" w:eastAsia="ko-KR"/>
              </w:rPr>
            </w:pPr>
          </w:p>
          <w:p w14:paraId="13AB6023" w14:textId="77777777" w:rsidR="00B46EF8" w:rsidRPr="00F8474E" w:rsidRDefault="00B46EF8" w:rsidP="00B46EF8">
            <w:pPr>
              <w:pStyle w:val="TAC"/>
              <w:rPr>
                <w:lang w:val="sv-SE" w:eastAsia="ko-KR"/>
              </w:rPr>
            </w:pPr>
            <w:r w:rsidRPr="00F8474E">
              <w:rPr>
                <w:lang w:val="sv-SE" w:eastAsia="ko-KR"/>
              </w:rPr>
              <w:t>-13</w:t>
            </w:r>
          </w:p>
        </w:tc>
        <w:tc>
          <w:tcPr>
            <w:tcW w:w="0" w:type="auto"/>
            <w:tcBorders>
              <w:top w:val="single" w:sz="6" w:space="0" w:color="auto"/>
              <w:left w:val="single" w:sz="6" w:space="0" w:color="auto"/>
              <w:bottom w:val="nil"/>
              <w:right w:val="single" w:sz="6" w:space="0" w:color="auto"/>
            </w:tcBorders>
            <w:hideMark/>
          </w:tcPr>
          <w:p w14:paraId="3093C7C7" w14:textId="77777777" w:rsidR="00B46EF8" w:rsidRPr="00F8474E" w:rsidRDefault="00B46EF8" w:rsidP="00B46EF8">
            <w:pPr>
              <w:pStyle w:val="TAC"/>
              <w:rPr>
                <w:lang w:eastAsia="ko-KR"/>
              </w:rPr>
            </w:pPr>
            <w:r w:rsidRPr="00F8474E">
              <w:rPr>
                <w:rFonts w:cs="Calibri"/>
              </w:rPr>
              <w:t>≥</w:t>
            </w:r>
            <w:r w:rsidRPr="00F8474E">
              <w:t>24</w:t>
            </w:r>
          </w:p>
        </w:tc>
        <w:tc>
          <w:tcPr>
            <w:tcW w:w="0" w:type="auto"/>
            <w:vMerge w:val="restart"/>
            <w:tcBorders>
              <w:top w:val="single" w:sz="6" w:space="0" w:color="auto"/>
              <w:left w:val="single" w:sz="6" w:space="0" w:color="auto"/>
              <w:bottom w:val="nil"/>
              <w:right w:val="single" w:sz="4" w:space="0" w:color="auto"/>
            </w:tcBorders>
          </w:tcPr>
          <w:p w14:paraId="3063E573" w14:textId="77777777" w:rsidR="00B46EF8" w:rsidRPr="00F8474E" w:rsidRDefault="00B46EF8" w:rsidP="00B46EF8">
            <w:pPr>
              <w:pStyle w:val="TAC"/>
              <w:rPr>
                <w:lang w:eastAsia="ko-KR"/>
              </w:rPr>
            </w:pPr>
          </w:p>
          <w:p w14:paraId="0366438C" w14:textId="77777777" w:rsidR="00B46EF8" w:rsidRPr="00F8474E" w:rsidRDefault="00B46EF8" w:rsidP="00B46EF8">
            <w:pPr>
              <w:pStyle w:val="TAC"/>
              <w:rPr>
                <w:lang w:eastAsia="ko-KR"/>
              </w:rPr>
            </w:pPr>
            <w:r w:rsidRPr="00F8474E">
              <w:rPr>
                <w:lang w:eastAsia="ko-KR"/>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A1260" w14:textId="77777777" w:rsidR="00B46EF8" w:rsidRPr="00F8474E" w:rsidRDefault="00B46EF8" w:rsidP="00B46EF8">
            <w:pPr>
              <w:pStyle w:val="TAC"/>
              <w:rPr>
                <w:lang w:eastAsia="ko-KR"/>
              </w:rPr>
            </w:pPr>
            <w:r w:rsidRPr="00F8474E">
              <w:rPr>
                <w:rFonts w:cs="Arial"/>
                <w:szCs w:val="18"/>
              </w:rPr>
              <w:t>≥4</w:t>
            </w:r>
          </w:p>
        </w:tc>
        <w:tc>
          <w:tcPr>
            <w:tcW w:w="0" w:type="auto"/>
            <w:tcBorders>
              <w:top w:val="single" w:sz="6" w:space="0" w:color="auto"/>
              <w:left w:val="single" w:sz="4" w:space="0" w:color="auto"/>
              <w:bottom w:val="single" w:sz="6" w:space="0" w:color="auto"/>
              <w:right w:val="single" w:sz="4" w:space="0" w:color="auto"/>
            </w:tcBorders>
            <w:hideMark/>
          </w:tcPr>
          <w:p w14:paraId="1FDFAF6A"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6359345F"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703B098F"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09FBE1CD"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7BF3876A" w14:textId="77777777" w:rsidR="00B46EF8" w:rsidRPr="00F8474E" w:rsidRDefault="00B46EF8" w:rsidP="00B46EF8">
            <w:pPr>
              <w:pStyle w:val="TAC"/>
              <w:rPr>
                <w:rFonts w:cs="Arial"/>
                <w:szCs w:val="18"/>
                <w:lang w:eastAsia="ko-KR"/>
              </w:rPr>
            </w:pPr>
            <w:r w:rsidRPr="00F8474E">
              <w:rPr>
                <w:lang w:eastAsia="ko-KR"/>
              </w:rPr>
              <w:t>± 75+</w:t>
            </w:r>
            <w:r w:rsidRPr="00F8474E">
              <w:rPr>
                <w:lang w:eastAsia="ko-KR"/>
              </w:rPr>
              <w:sym w:font="Symbol" w:char="F064"/>
            </w:r>
          </w:p>
        </w:tc>
        <w:tc>
          <w:tcPr>
            <w:tcW w:w="0" w:type="auto"/>
            <w:vMerge/>
            <w:tcBorders>
              <w:top w:val="single" w:sz="6" w:space="0" w:color="auto"/>
              <w:left w:val="single" w:sz="6" w:space="0" w:color="auto"/>
              <w:bottom w:val="nil"/>
              <w:right w:val="single" w:sz="6" w:space="0" w:color="auto"/>
            </w:tcBorders>
            <w:vAlign w:val="center"/>
            <w:hideMark/>
          </w:tcPr>
          <w:p w14:paraId="489EE864"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134619F9" w14:textId="77777777" w:rsidR="00B46EF8" w:rsidRPr="00F8474E" w:rsidRDefault="00B46EF8" w:rsidP="00B46EF8">
            <w:pPr>
              <w:pStyle w:val="TAC"/>
              <w:rPr>
                <w:lang w:eastAsia="ko-KR"/>
              </w:rPr>
            </w:pPr>
            <w:r w:rsidRPr="00F8474E">
              <w:rPr>
                <w:rFonts w:cs="Calibri"/>
              </w:rPr>
              <w:t>≥</w:t>
            </w:r>
            <w:r w:rsidRPr="00F8474E">
              <w:t>52</w:t>
            </w:r>
          </w:p>
        </w:tc>
        <w:tc>
          <w:tcPr>
            <w:tcW w:w="0" w:type="auto"/>
            <w:vMerge/>
            <w:tcBorders>
              <w:top w:val="single" w:sz="6" w:space="0" w:color="auto"/>
              <w:left w:val="single" w:sz="6" w:space="0" w:color="auto"/>
              <w:bottom w:val="nil"/>
              <w:right w:val="single" w:sz="4" w:space="0" w:color="auto"/>
            </w:tcBorders>
            <w:vAlign w:val="center"/>
            <w:hideMark/>
          </w:tcPr>
          <w:p w14:paraId="035F308A"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D5D1C1"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26DCDF16"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02672025"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4948D40D"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72F9F443"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1F122F3F" w14:textId="77777777" w:rsidR="00B46EF8" w:rsidRPr="00F8474E" w:rsidRDefault="00B46EF8" w:rsidP="00B46EF8">
            <w:pPr>
              <w:pStyle w:val="TAC"/>
              <w:rPr>
                <w:rFonts w:cs="Arial"/>
                <w:szCs w:val="18"/>
                <w:lang w:eastAsia="ko-KR"/>
              </w:rPr>
            </w:pPr>
            <w:r w:rsidRPr="00F8474E">
              <w:rPr>
                <w:lang w:eastAsia="ko-KR"/>
              </w:rPr>
              <w:t>± 37+</w:t>
            </w:r>
            <w:r w:rsidRPr="00F8474E">
              <w:rPr>
                <w:lang w:eastAsia="ko-KR"/>
              </w:rPr>
              <w:sym w:font="Symbol" w:char="F064"/>
            </w:r>
          </w:p>
        </w:tc>
        <w:tc>
          <w:tcPr>
            <w:tcW w:w="0" w:type="auto"/>
            <w:vMerge/>
            <w:tcBorders>
              <w:top w:val="single" w:sz="6" w:space="0" w:color="auto"/>
              <w:left w:val="single" w:sz="6" w:space="0" w:color="auto"/>
              <w:bottom w:val="nil"/>
              <w:right w:val="single" w:sz="6" w:space="0" w:color="auto"/>
            </w:tcBorders>
            <w:vAlign w:val="center"/>
            <w:hideMark/>
          </w:tcPr>
          <w:p w14:paraId="17AB3917"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1EB9D97C" w14:textId="77777777" w:rsidR="00B46EF8" w:rsidRPr="00F8474E" w:rsidRDefault="00B46EF8" w:rsidP="00B46EF8">
            <w:pPr>
              <w:pStyle w:val="TAC"/>
              <w:rPr>
                <w:lang w:eastAsia="ko-KR"/>
              </w:rPr>
            </w:pPr>
            <w:r w:rsidRPr="00F8474E">
              <w:rPr>
                <w:lang w:eastAsia="zh-CN"/>
              </w:rPr>
              <w:t>&gt;104</w:t>
            </w:r>
          </w:p>
        </w:tc>
        <w:tc>
          <w:tcPr>
            <w:tcW w:w="0" w:type="auto"/>
            <w:vMerge/>
            <w:tcBorders>
              <w:top w:val="single" w:sz="6" w:space="0" w:color="auto"/>
              <w:left w:val="single" w:sz="6" w:space="0" w:color="auto"/>
              <w:bottom w:val="nil"/>
              <w:right w:val="single" w:sz="4" w:space="0" w:color="auto"/>
            </w:tcBorders>
            <w:vAlign w:val="center"/>
            <w:hideMark/>
          </w:tcPr>
          <w:p w14:paraId="5AD93161"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9482D14"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40F6461C"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42EC84F3"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06B543E2"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0DFF27D9"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7A1CB342" w14:textId="77777777" w:rsidR="00B46EF8" w:rsidRPr="00F8474E" w:rsidRDefault="00B46EF8" w:rsidP="00B46EF8">
            <w:pPr>
              <w:pStyle w:val="TAC"/>
              <w:rPr>
                <w:rFonts w:cs="Arial"/>
                <w:szCs w:val="18"/>
                <w:lang w:eastAsia="ko-KR"/>
              </w:rPr>
            </w:pPr>
            <w:r w:rsidRPr="00F8474E">
              <w:rPr>
                <w:lang w:eastAsia="ko-KR"/>
              </w:rPr>
              <w:t>± 58+</w:t>
            </w:r>
            <w:r w:rsidRPr="00F8474E">
              <w:rPr>
                <w:lang w:eastAsia="ko-KR"/>
              </w:rPr>
              <w:sym w:font="Symbol" w:char="F064"/>
            </w:r>
          </w:p>
        </w:tc>
        <w:tc>
          <w:tcPr>
            <w:tcW w:w="0" w:type="auto"/>
            <w:tcBorders>
              <w:top w:val="nil"/>
              <w:left w:val="single" w:sz="6" w:space="0" w:color="auto"/>
              <w:bottom w:val="nil"/>
              <w:right w:val="single" w:sz="6" w:space="0" w:color="auto"/>
            </w:tcBorders>
            <w:vAlign w:val="center"/>
          </w:tcPr>
          <w:p w14:paraId="3A15F42C"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774505F0" w14:textId="77777777" w:rsidR="00B46EF8" w:rsidRPr="00F8474E" w:rsidRDefault="00B46EF8" w:rsidP="00B46EF8">
            <w:pPr>
              <w:pStyle w:val="TAC"/>
              <w:rPr>
                <w:lang w:eastAsia="ko-KR"/>
              </w:rPr>
            </w:pPr>
            <w:r w:rsidRPr="00F8474E">
              <w:rPr>
                <w:rFonts w:cs="Calibri"/>
              </w:rPr>
              <w:t>≥</w:t>
            </w:r>
            <w:r w:rsidRPr="00F8474E">
              <w:t>24</w:t>
            </w:r>
          </w:p>
        </w:tc>
        <w:tc>
          <w:tcPr>
            <w:tcW w:w="0" w:type="auto"/>
            <w:tcBorders>
              <w:top w:val="single" w:sz="6" w:space="0" w:color="auto"/>
              <w:left w:val="single" w:sz="6" w:space="0" w:color="auto"/>
              <w:bottom w:val="nil"/>
              <w:right w:val="single" w:sz="4" w:space="0" w:color="auto"/>
            </w:tcBorders>
            <w:hideMark/>
          </w:tcPr>
          <w:p w14:paraId="2E01ACBE" w14:textId="77777777" w:rsidR="00B46EF8" w:rsidRPr="00F8474E" w:rsidRDefault="00B46EF8" w:rsidP="00B46EF8">
            <w:pPr>
              <w:pStyle w:val="TAC"/>
              <w:rPr>
                <w:lang w:eastAsia="ko-KR"/>
              </w:rPr>
            </w:pPr>
            <w:r w:rsidRPr="00F8474E">
              <w:rPr>
                <w:lang w:eastAsia="ko-KR"/>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14CC5E0" w14:textId="77777777" w:rsidR="00B46EF8" w:rsidRPr="00F8474E" w:rsidRDefault="00B46EF8" w:rsidP="00B46EF8">
            <w:pPr>
              <w:pStyle w:val="TAC"/>
              <w:rPr>
                <w:lang w:eastAsia="ko-KR"/>
              </w:rPr>
            </w:pPr>
            <w:r w:rsidRPr="00F8474E">
              <w:rPr>
                <w:rFonts w:cs="Arial"/>
                <w:szCs w:val="18"/>
              </w:rPr>
              <w:t>≥4</w:t>
            </w:r>
          </w:p>
        </w:tc>
        <w:tc>
          <w:tcPr>
            <w:tcW w:w="0" w:type="auto"/>
            <w:tcBorders>
              <w:top w:val="single" w:sz="6" w:space="0" w:color="auto"/>
              <w:left w:val="single" w:sz="4" w:space="0" w:color="auto"/>
              <w:bottom w:val="single" w:sz="6" w:space="0" w:color="auto"/>
              <w:right w:val="single" w:sz="4" w:space="0" w:color="auto"/>
            </w:tcBorders>
            <w:hideMark/>
          </w:tcPr>
          <w:p w14:paraId="494FD57A"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16BD7E84"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7EAB5595"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249DF768"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10A866E8" w14:textId="77777777" w:rsidR="00B46EF8" w:rsidRPr="00F8474E" w:rsidRDefault="00B46EF8" w:rsidP="00B46EF8">
            <w:pPr>
              <w:pStyle w:val="TAC"/>
              <w:rPr>
                <w:rFonts w:cs="Arial"/>
                <w:szCs w:val="18"/>
                <w:lang w:eastAsia="ko-KR"/>
              </w:rPr>
            </w:pPr>
            <w:r w:rsidRPr="00F8474E">
              <w:rPr>
                <w:lang w:eastAsia="ko-KR"/>
              </w:rPr>
              <w:t>± 39+</w:t>
            </w:r>
            <w:r w:rsidRPr="00F8474E">
              <w:rPr>
                <w:lang w:eastAsia="ko-KR"/>
              </w:rPr>
              <w:sym w:font="Symbol" w:char="F064"/>
            </w:r>
          </w:p>
        </w:tc>
        <w:tc>
          <w:tcPr>
            <w:tcW w:w="0" w:type="auto"/>
            <w:tcBorders>
              <w:top w:val="nil"/>
              <w:left w:val="single" w:sz="6" w:space="0" w:color="auto"/>
              <w:bottom w:val="nil"/>
              <w:right w:val="single" w:sz="6" w:space="0" w:color="auto"/>
            </w:tcBorders>
            <w:vAlign w:val="center"/>
          </w:tcPr>
          <w:p w14:paraId="2780992A"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0B80B3A8" w14:textId="77777777" w:rsidR="00B46EF8" w:rsidRPr="00F8474E" w:rsidRDefault="00B46EF8" w:rsidP="00B46EF8">
            <w:pPr>
              <w:pStyle w:val="TAC"/>
              <w:rPr>
                <w:rFonts w:cs="Calibri"/>
                <w:lang w:eastAsia="ko-KR"/>
              </w:rPr>
            </w:pPr>
            <w:r w:rsidRPr="00F8474E">
              <w:rPr>
                <w:rFonts w:cs="Calibri"/>
              </w:rPr>
              <w:t>≥48</w:t>
            </w:r>
          </w:p>
        </w:tc>
        <w:tc>
          <w:tcPr>
            <w:tcW w:w="0" w:type="auto"/>
            <w:tcBorders>
              <w:top w:val="single" w:sz="6" w:space="0" w:color="auto"/>
              <w:left w:val="single" w:sz="6" w:space="0" w:color="auto"/>
              <w:bottom w:val="nil"/>
              <w:right w:val="single" w:sz="4" w:space="0" w:color="auto"/>
            </w:tcBorders>
          </w:tcPr>
          <w:p w14:paraId="6378EDE0"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14A8CE8"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140C74A7"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3CE3F260"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0FD62033"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240641D8"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5B291112" w14:textId="77777777" w:rsidR="00B46EF8" w:rsidRPr="00F8474E" w:rsidRDefault="00B46EF8" w:rsidP="00B46EF8">
            <w:pPr>
              <w:pStyle w:val="TAC"/>
              <w:rPr>
                <w:rFonts w:cs="Arial"/>
                <w:szCs w:val="18"/>
                <w:lang w:eastAsia="ko-KR"/>
              </w:rPr>
            </w:pPr>
            <w:r w:rsidRPr="00F8474E">
              <w:rPr>
                <w:lang w:eastAsia="ko-KR"/>
              </w:rPr>
              <w:t>± 16+</w:t>
            </w:r>
            <w:r w:rsidRPr="00F8474E">
              <w:rPr>
                <w:lang w:eastAsia="ko-KR"/>
              </w:rPr>
              <w:sym w:font="Symbol" w:char="F064"/>
            </w:r>
          </w:p>
        </w:tc>
        <w:tc>
          <w:tcPr>
            <w:tcW w:w="0" w:type="auto"/>
            <w:vMerge w:val="restart"/>
            <w:tcBorders>
              <w:top w:val="nil"/>
              <w:left w:val="single" w:sz="6" w:space="0" w:color="auto"/>
              <w:bottom w:val="nil"/>
              <w:right w:val="single" w:sz="6" w:space="0" w:color="auto"/>
            </w:tcBorders>
            <w:vAlign w:val="center"/>
          </w:tcPr>
          <w:p w14:paraId="5180B388"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517459FF" w14:textId="77777777" w:rsidR="00B46EF8" w:rsidRPr="00F8474E" w:rsidRDefault="00B46EF8" w:rsidP="00B46EF8">
            <w:pPr>
              <w:pStyle w:val="TAC"/>
              <w:rPr>
                <w:lang w:eastAsia="ko-KR"/>
              </w:rPr>
            </w:pPr>
            <w:r w:rsidRPr="00F8474E">
              <w:rPr>
                <w:rFonts w:cs="Calibri"/>
              </w:rPr>
              <w:t>≥132</w:t>
            </w:r>
          </w:p>
        </w:tc>
        <w:tc>
          <w:tcPr>
            <w:tcW w:w="0" w:type="auto"/>
            <w:tcBorders>
              <w:top w:val="nil"/>
              <w:left w:val="single" w:sz="6" w:space="0" w:color="auto"/>
              <w:bottom w:val="nil"/>
              <w:right w:val="single" w:sz="4" w:space="0" w:color="auto"/>
            </w:tcBorders>
          </w:tcPr>
          <w:p w14:paraId="77AD738F"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43732AE"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64A00F41"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6B762CD8"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2FA33A74"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1214C276" w14:textId="77777777" w:rsidTr="00FA482E">
        <w:trPr>
          <w:jc w:val="center"/>
        </w:trPr>
        <w:tc>
          <w:tcPr>
            <w:tcW w:w="0" w:type="auto"/>
            <w:tcBorders>
              <w:top w:val="single" w:sz="6" w:space="0" w:color="auto"/>
              <w:left w:val="single" w:sz="4" w:space="0" w:color="auto"/>
              <w:bottom w:val="nil"/>
              <w:right w:val="single" w:sz="6" w:space="0" w:color="auto"/>
            </w:tcBorders>
            <w:hideMark/>
          </w:tcPr>
          <w:p w14:paraId="1F18BCCF" w14:textId="77777777" w:rsidR="00B46EF8" w:rsidRPr="00F8474E" w:rsidRDefault="00B46EF8" w:rsidP="00B46EF8">
            <w:pPr>
              <w:pStyle w:val="TAC"/>
              <w:rPr>
                <w:rFonts w:cs="Arial"/>
                <w:szCs w:val="18"/>
                <w:lang w:eastAsia="ko-KR"/>
              </w:rPr>
            </w:pPr>
            <w:r w:rsidRPr="00F8474E">
              <w:rPr>
                <w:lang w:eastAsia="ko-KR"/>
              </w:rPr>
              <w:t>± 36+</w:t>
            </w:r>
            <w:r w:rsidRPr="00F8474E">
              <w:rPr>
                <w:lang w:eastAsia="ko-KR"/>
              </w:rPr>
              <w:sym w:font="Symbol" w:char="F064"/>
            </w:r>
          </w:p>
        </w:tc>
        <w:tc>
          <w:tcPr>
            <w:tcW w:w="0" w:type="auto"/>
            <w:vMerge/>
            <w:tcBorders>
              <w:top w:val="nil"/>
              <w:left w:val="single" w:sz="6" w:space="0" w:color="auto"/>
              <w:bottom w:val="nil"/>
              <w:right w:val="single" w:sz="6" w:space="0" w:color="auto"/>
            </w:tcBorders>
            <w:vAlign w:val="center"/>
            <w:hideMark/>
          </w:tcPr>
          <w:p w14:paraId="131013AA"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6ACF18A7" w14:textId="77777777" w:rsidR="00B46EF8" w:rsidRPr="00F8474E" w:rsidRDefault="00B46EF8" w:rsidP="00B46EF8">
            <w:pPr>
              <w:pStyle w:val="TAC"/>
              <w:rPr>
                <w:lang w:eastAsia="ko-KR"/>
              </w:rPr>
            </w:pPr>
            <w:r w:rsidRPr="00F8474E">
              <w:rPr>
                <w:rFonts w:cs="Calibri"/>
              </w:rPr>
              <w:t>≥</w:t>
            </w:r>
            <w:r w:rsidRPr="00F8474E">
              <w:t>24</w:t>
            </w:r>
          </w:p>
        </w:tc>
        <w:tc>
          <w:tcPr>
            <w:tcW w:w="0" w:type="auto"/>
            <w:tcBorders>
              <w:top w:val="single" w:sz="6" w:space="0" w:color="auto"/>
              <w:left w:val="single" w:sz="6" w:space="0" w:color="auto"/>
              <w:bottom w:val="nil"/>
              <w:right w:val="single" w:sz="4" w:space="0" w:color="auto"/>
            </w:tcBorders>
            <w:hideMark/>
          </w:tcPr>
          <w:p w14:paraId="25F1ABD7" w14:textId="77777777" w:rsidR="00B46EF8" w:rsidRPr="00F8474E" w:rsidRDefault="00B46EF8" w:rsidP="00B46EF8">
            <w:pPr>
              <w:pStyle w:val="TAC"/>
              <w:rPr>
                <w:lang w:eastAsia="ko-KR"/>
              </w:rPr>
            </w:pPr>
            <w:r w:rsidRPr="00F8474E">
              <w:rPr>
                <w:lang w:eastAsia="ko-KR"/>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435A239B" w14:textId="77777777" w:rsidR="00B46EF8" w:rsidRPr="00F8474E" w:rsidRDefault="00B46EF8" w:rsidP="00B46EF8">
            <w:pPr>
              <w:pStyle w:val="TAC"/>
              <w:rPr>
                <w:lang w:eastAsia="ko-KR"/>
              </w:rPr>
            </w:pPr>
            <w:r w:rsidRPr="00F8474E">
              <w:rPr>
                <w:rFonts w:cs="Arial"/>
                <w:szCs w:val="18"/>
              </w:rPr>
              <w:t>≥4</w:t>
            </w:r>
          </w:p>
        </w:tc>
        <w:tc>
          <w:tcPr>
            <w:tcW w:w="0" w:type="auto"/>
            <w:tcBorders>
              <w:top w:val="single" w:sz="6" w:space="0" w:color="auto"/>
              <w:left w:val="single" w:sz="4" w:space="0" w:color="auto"/>
              <w:bottom w:val="single" w:sz="6" w:space="0" w:color="auto"/>
              <w:right w:val="single" w:sz="4" w:space="0" w:color="auto"/>
            </w:tcBorders>
            <w:hideMark/>
          </w:tcPr>
          <w:p w14:paraId="7414DC9A"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5F600458"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01937C50"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22CE3D3D" w14:textId="77777777" w:rsidTr="00FA482E">
        <w:trPr>
          <w:trHeight w:val="397"/>
          <w:jc w:val="center"/>
        </w:trPr>
        <w:tc>
          <w:tcPr>
            <w:tcW w:w="0" w:type="auto"/>
            <w:tcBorders>
              <w:top w:val="single" w:sz="6" w:space="0" w:color="auto"/>
              <w:left w:val="single" w:sz="4" w:space="0" w:color="auto"/>
              <w:bottom w:val="nil"/>
              <w:right w:val="single" w:sz="6" w:space="0" w:color="auto"/>
            </w:tcBorders>
            <w:hideMark/>
          </w:tcPr>
          <w:p w14:paraId="4174E197" w14:textId="77777777" w:rsidR="00B46EF8" w:rsidRPr="00F8474E" w:rsidRDefault="00B46EF8" w:rsidP="00B46EF8">
            <w:pPr>
              <w:pStyle w:val="TAC"/>
              <w:rPr>
                <w:rFonts w:cs="Arial"/>
                <w:szCs w:val="18"/>
                <w:lang w:eastAsia="ko-KR"/>
              </w:rPr>
            </w:pPr>
            <w:r w:rsidRPr="00F8474E">
              <w:rPr>
                <w:lang w:eastAsia="ko-KR"/>
              </w:rPr>
              <w:t>± 16+</w:t>
            </w:r>
            <w:r w:rsidRPr="00F8474E">
              <w:rPr>
                <w:lang w:eastAsia="ko-KR"/>
              </w:rPr>
              <w:sym w:font="Symbol" w:char="F064"/>
            </w:r>
          </w:p>
        </w:tc>
        <w:tc>
          <w:tcPr>
            <w:tcW w:w="0" w:type="auto"/>
            <w:tcBorders>
              <w:top w:val="nil"/>
              <w:left w:val="single" w:sz="6" w:space="0" w:color="auto"/>
              <w:bottom w:val="nil"/>
              <w:right w:val="single" w:sz="6" w:space="0" w:color="auto"/>
            </w:tcBorders>
            <w:vAlign w:val="center"/>
          </w:tcPr>
          <w:p w14:paraId="3BFF3017"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47E4B66D" w14:textId="77777777" w:rsidR="00B46EF8" w:rsidRPr="00F8474E" w:rsidRDefault="00B46EF8" w:rsidP="00B46EF8">
            <w:pPr>
              <w:pStyle w:val="TAC"/>
              <w:rPr>
                <w:lang w:eastAsia="ko-KR"/>
              </w:rPr>
            </w:pPr>
            <w:r w:rsidRPr="00F8474E">
              <w:rPr>
                <w:rFonts w:cs="Calibri"/>
              </w:rPr>
              <w:t>≥</w:t>
            </w:r>
            <w:r w:rsidRPr="00F8474E">
              <w:rPr>
                <w:lang w:eastAsia="zh-CN"/>
              </w:rPr>
              <w:t xml:space="preserve"> 64</w:t>
            </w:r>
          </w:p>
        </w:tc>
        <w:tc>
          <w:tcPr>
            <w:tcW w:w="0" w:type="auto"/>
            <w:tcBorders>
              <w:top w:val="nil"/>
              <w:left w:val="single" w:sz="6" w:space="0" w:color="auto"/>
              <w:bottom w:val="nil"/>
              <w:right w:val="single" w:sz="4" w:space="0" w:color="auto"/>
            </w:tcBorders>
          </w:tcPr>
          <w:p w14:paraId="2C3745CC"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5F7D608D"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67EDD8F6"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2AA94A1B"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3B8CC780"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510D1973" w14:textId="77777777" w:rsidTr="00FA482E">
        <w:trPr>
          <w:trHeight w:val="340"/>
          <w:jc w:val="center"/>
        </w:trPr>
        <w:tc>
          <w:tcPr>
            <w:tcW w:w="0" w:type="auto"/>
            <w:tcBorders>
              <w:top w:val="single" w:sz="6" w:space="0" w:color="auto"/>
              <w:left w:val="single" w:sz="4" w:space="0" w:color="auto"/>
              <w:bottom w:val="nil"/>
              <w:right w:val="single" w:sz="6" w:space="0" w:color="auto"/>
            </w:tcBorders>
            <w:hideMark/>
          </w:tcPr>
          <w:p w14:paraId="5D10086D" w14:textId="77777777" w:rsidR="00B46EF8" w:rsidRPr="00F8474E" w:rsidRDefault="00B46EF8" w:rsidP="00B46EF8">
            <w:pPr>
              <w:pStyle w:val="TAC"/>
              <w:rPr>
                <w:rFonts w:cs="Arial"/>
                <w:szCs w:val="18"/>
                <w:lang w:eastAsia="ko-KR"/>
              </w:rPr>
            </w:pPr>
            <w:r w:rsidRPr="00F8474E">
              <w:rPr>
                <w:lang w:eastAsia="ko-KR"/>
              </w:rPr>
              <w:t>± 8+</w:t>
            </w:r>
            <w:r w:rsidRPr="00F8474E">
              <w:rPr>
                <w:lang w:eastAsia="ko-KR"/>
              </w:rPr>
              <w:sym w:font="Symbol" w:char="F064"/>
            </w:r>
          </w:p>
        </w:tc>
        <w:tc>
          <w:tcPr>
            <w:tcW w:w="0" w:type="auto"/>
            <w:tcBorders>
              <w:top w:val="nil"/>
              <w:left w:val="single" w:sz="6" w:space="0" w:color="auto"/>
              <w:bottom w:val="nil"/>
              <w:right w:val="single" w:sz="6" w:space="0" w:color="auto"/>
            </w:tcBorders>
            <w:vAlign w:val="center"/>
          </w:tcPr>
          <w:p w14:paraId="4B203170" w14:textId="77777777" w:rsidR="00B46EF8" w:rsidRPr="00F8474E" w:rsidRDefault="00B46EF8" w:rsidP="00B46EF8">
            <w:pPr>
              <w:pStyle w:val="TAC"/>
              <w:rPr>
                <w:lang w:val="sv-SE" w:eastAsia="ko-KR"/>
              </w:rPr>
            </w:pPr>
          </w:p>
        </w:tc>
        <w:tc>
          <w:tcPr>
            <w:tcW w:w="0" w:type="auto"/>
            <w:tcBorders>
              <w:top w:val="single" w:sz="6" w:space="0" w:color="auto"/>
              <w:left w:val="single" w:sz="6" w:space="0" w:color="auto"/>
              <w:bottom w:val="nil"/>
              <w:right w:val="single" w:sz="6" w:space="0" w:color="auto"/>
            </w:tcBorders>
            <w:hideMark/>
          </w:tcPr>
          <w:p w14:paraId="2D15687C" w14:textId="77777777" w:rsidR="00B46EF8" w:rsidRPr="00F8474E" w:rsidRDefault="00B46EF8" w:rsidP="00B46EF8">
            <w:pPr>
              <w:pStyle w:val="TAC"/>
              <w:rPr>
                <w:lang w:eastAsia="ko-KR"/>
              </w:rPr>
            </w:pPr>
            <w:r w:rsidRPr="00F8474E">
              <w:rPr>
                <w:rFonts w:cs="Calibri"/>
              </w:rPr>
              <w:t>≥</w:t>
            </w:r>
            <w:r w:rsidRPr="00F8474E">
              <w:rPr>
                <w:lang w:eastAsia="zh-CN"/>
              </w:rPr>
              <w:t xml:space="preserve"> 132</w:t>
            </w:r>
          </w:p>
        </w:tc>
        <w:tc>
          <w:tcPr>
            <w:tcW w:w="0" w:type="auto"/>
            <w:tcBorders>
              <w:top w:val="nil"/>
              <w:left w:val="single" w:sz="6" w:space="0" w:color="auto"/>
              <w:bottom w:val="nil"/>
              <w:right w:val="single" w:sz="4" w:space="0" w:color="auto"/>
            </w:tcBorders>
          </w:tcPr>
          <w:p w14:paraId="29562BE0" w14:textId="77777777" w:rsidR="00B46EF8" w:rsidRPr="00F8474E" w:rsidRDefault="00B46EF8" w:rsidP="00B46EF8">
            <w:pPr>
              <w:pStyle w:val="TAC"/>
              <w:rPr>
                <w:lang w:eastAsia="ko-KR"/>
              </w:rPr>
            </w:pPr>
          </w:p>
        </w:tc>
        <w:tc>
          <w:tcPr>
            <w:tcW w:w="0" w:type="auto"/>
            <w:tcBorders>
              <w:top w:val="single" w:sz="4" w:space="0" w:color="auto"/>
              <w:left w:val="single" w:sz="4" w:space="0" w:color="auto"/>
              <w:bottom w:val="single" w:sz="4" w:space="0" w:color="auto"/>
              <w:right w:val="single" w:sz="4" w:space="0" w:color="auto"/>
            </w:tcBorders>
            <w:hideMark/>
          </w:tcPr>
          <w:p w14:paraId="69DDE725" w14:textId="77777777" w:rsidR="00B46EF8" w:rsidRPr="00F8474E" w:rsidRDefault="00B46EF8" w:rsidP="00B46EF8">
            <w:pPr>
              <w:pStyle w:val="TAC"/>
              <w:rPr>
                <w:lang w:eastAsia="ko-KR"/>
              </w:rPr>
            </w:pPr>
            <w:r w:rsidRPr="00F8474E">
              <w:rPr>
                <w:rFonts w:cs="Arial"/>
                <w:szCs w:val="18"/>
              </w:rPr>
              <w:t>≥1</w:t>
            </w:r>
          </w:p>
        </w:tc>
        <w:tc>
          <w:tcPr>
            <w:tcW w:w="0" w:type="auto"/>
            <w:tcBorders>
              <w:top w:val="single" w:sz="6" w:space="0" w:color="auto"/>
              <w:left w:val="single" w:sz="4" w:space="0" w:color="auto"/>
              <w:bottom w:val="single" w:sz="6" w:space="0" w:color="auto"/>
              <w:right w:val="single" w:sz="4" w:space="0" w:color="auto"/>
            </w:tcBorders>
            <w:hideMark/>
          </w:tcPr>
          <w:p w14:paraId="00F96E2E"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4" w:space="0" w:color="auto"/>
              <w:left w:val="single" w:sz="4" w:space="0" w:color="auto"/>
              <w:bottom w:val="single" w:sz="4" w:space="0" w:color="auto"/>
              <w:right w:val="single" w:sz="4" w:space="0" w:color="auto"/>
            </w:tcBorders>
            <w:hideMark/>
          </w:tcPr>
          <w:p w14:paraId="7C049839" w14:textId="77777777" w:rsidR="00B46EF8" w:rsidRPr="00F8474E" w:rsidRDefault="00B46EF8" w:rsidP="00B46EF8">
            <w:pPr>
              <w:pStyle w:val="TAC"/>
              <w:rPr>
                <w:rFonts w:cs="Arial"/>
                <w:szCs w:val="18"/>
                <w:lang w:eastAsia="ko-KR"/>
              </w:rPr>
            </w:pPr>
            <w:r w:rsidRPr="00F8474E">
              <w:rPr>
                <w:rFonts w:cs="Arial"/>
                <w:szCs w:val="18"/>
                <w:lang w:eastAsia="ko-KR"/>
              </w:rPr>
              <w:t>NOTE 6</w:t>
            </w:r>
          </w:p>
        </w:tc>
        <w:tc>
          <w:tcPr>
            <w:tcW w:w="0" w:type="auto"/>
            <w:tcBorders>
              <w:top w:val="single" w:sz="6" w:space="0" w:color="auto"/>
              <w:left w:val="single" w:sz="4" w:space="0" w:color="auto"/>
              <w:bottom w:val="single" w:sz="6" w:space="0" w:color="auto"/>
              <w:right w:val="single" w:sz="4" w:space="0" w:color="auto"/>
            </w:tcBorders>
            <w:hideMark/>
          </w:tcPr>
          <w:p w14:paraId="5750C7C8" w14:textId="77777777" w:rsidR="00B46EF8" w:rsidRPr="00F8474E" w:rsidRDefault="00B46EF8" w:rsidP="00B46EF8">
            <w:pPr>
              <w:pStyle w:val="TAC"/>
              <w:rPr>
                <w:rFonts w:cs="Arial"/>
                <w:szCs w:val="18"/>
                <w:lang w:eastAsia="ko-KR"/>
              </w:rPr>
            </w:pPr>
            <w:r w:rsidRPr="00F8474E">
              <w:rPr>
                <w:rFonts w:cs="Arial"/>
                <w:szCs w:val="18"/>
                <w:lang w:eastAsia="ko-KR"/>
              </w:rPr>
              <w:t>NOTE 6</w:t>
            </w:r>
          </w:p>
        </w:tc>
      </w:tr>
      <w:tr w:rsidR="00B46EF8" w:rsidRPr="00F8474E" w14:paraId="3F22431F" w14:textId="77777777" w:rsidTr="00FA482E">
        <w:trPr>
          <w:jc w:val="center"/>
        </w:trPr>
        <w:tc>
          <w:tcPr>
            <w:tcW w:w="0" w:type="auto"/>
            <w:gridSpan w:val="8"/>
            <w:tcBorders>
              <w:top w:val="single" w:sz="6" w:space="0" w:color="auto"/>
              <w:left w:val="single" w:sz="4" w:space="0" w:color="auto"/>
              <w:bottom w:val="single" w:sz="4" w:space="0" w:color="auto"/>
              <w:right w:val="single" w:sz="4" w:space="0" w:color="auto"/>
            </w:tcBorders>
            <w:hideMark/>
          </w:tcPr>
          <w:p w14:paraId="7E9629CA" w14:textId="77777777" w:rsidR="00B46EF8" w:rsidRPr="00F8474E" w:rsidRDefault="00B46EF8" w:rsidP="004E0904">
            <w:pPr>
              <w:pStyle w:val="TAN"/>
              <w:rPr>
                <w:lang w:eastAsia="ko-KR"/>
              </w:rPr>
            </w:pPr>
            <w:r w:rsidRPr="00F8474E">
              <w:rPr>
                <w:lang w:eastAsia="ko-KR"/>
              </w:rPr>
              <w:t>N</w:t>
            </w:r>
            <w:r w:rsidRPr="00F8474E">
              <w:t>OTE</w:t>
            </w:r>
            <w:r w:rsidRPr="00F8474E">
              <w:rPr>
                <w:lang w:eastAsia="ko-KR"/>
              </w:rPr>
              <w:t xml:space="preserve"> 1:</w:t>
            </w:r>
            <w:r w:rsidRPr="00F8474E">
              <w:rPr>
                <w:lang w:eastAsia="ko-KR"/>
              </w:rPr>
              <w:tab/>
              <w:t>This minimum Io condition is expressed as the average Io per RE over all REs in an OFDM symbol.</w:t>
            </w:r>
          </w:p>
          <w:p w14:paraId="61CE227E" w14:textId="77777777" w:rsidR="00B46EF8" w:rsidRPr="00F8474E" w:rsidRDefault="00B46EF8" w:rsidP="004E0904">
            <w:pPr>
              <w:pStyle w:val="TAN"/>
              <w:rPr>
                <w:lang w:eastAsia="ko-KR"/>
              </w:rPr>
            </w:pPr>
            <w:r w:rsidRPr="00F8474E">
              <w:rPr>
                <w:lang w:eastAsia="ko-KR"/>
              </w:rPr>
              <w:t>NOTE 2:</w:t>
            </w:r>
            <w:r w:rsidRPr="00F8474E">
              <w:rPr>
                <w:lang w:eastAsia="ko-KR"/>
              </w:rPr>
              <w:tab/>
              <w:t>NR operating band groups are as defined in Section 3.5.</w:t>
            </w:r>
          </w:p>
          <w:p w14:paraId="3C0E1C35" w14:textId="77777777" w:rsidR="00B46EF8" w:rsidRPr="00F8474E" w:rsidRDefault="00B46EF8" w:rsidP="004E0904">
            <w:pPr>
              <w:pStyle w:val="TAN"/>
              <w:rPr>
                <w:lang w:eastAsia="ko-KR"/>
              </w:rPr>
            </w:pPr>
            <w:r w:rsidRPr="00F8474E">
              <w:rPr>
                <w:lang w:eastAsia="ko-KR"/>
              </w:rPr>
              <w:t>N</w:t>
            </w:r>
            <w:r w:rsidRPr="00F8474E">
              <w:t>OTE</w:t>
            </w:r>
            <w:r w:rsidRPr="00F8474E">
              <w:rPr>
                <w:lang w:eastAsia="ko-KR"/>
              </w:rPr>
              <w:t xml:space="preserve"> 3:</w:t>
            </w:r>
            <w:r w:rsidRPr="00F8474E">
              <w:rPr>
                <w:lang w:eastAsia="ko-KR"/>
              </w:rPr>
              <w:tab/>
            </w:r>
            <m:oMath>
              <m:sSubSup>
                <m:sSubSupPr>
                  <m:ctrlPr>
                    <w:rPr>
                      <w:rFonts w:ascii="Cambria Math" w:hAnsi="Cambria Math"/>
                      <w:i/>
                      <w:szCs w:val="18"/>
                      <w:lang w:eastAsia="ko-KR"/>
                    </w:rPr>
                  </m:ctrlPr>
                </m:sSubSupPr>
                <m:e>
                  <m:r>
                    <w:rPr>
                      <w:rFonts w:ascii="Cambria Math" w:hAnsi="Cambria Math"/>
                      <w:lang w:eastAsia="ko-KR"/>
                    </w:rPr>
                    <m:t>T</m:t>
                  </m:r>
                </m:e>
                <m:sub>
                  <m:r>
                    <m:rPr>
                      <m:sty m:val="p"/>
                    </m:rPr>
                    <w:rPr>
                      <w:rFonts w:ascii="Cambria Math" w:hAnsi="Cambria Math"/>
                      <w:lang w:eastAsia="ko-KR"/>
                    </w:rPr>
                    <m:t>rep</m:t>
                  </m:r>
                </m:sub>
                <m:sup>
                  <m:r>
                    <m:rPr>
                      <m:sty m:val="p"/>
                    </m:rPr>
                    <w:rPr>
                      <w:rFonts w:ascii="Cambria Math" w:hAnsi="Cambria Math"/>
                      <w:lang w:eastAsia="ko-KR"/>
                    </w:rPr>
                    <m:t>PRS</m:t>
                  </m:r>
                </m:sup>
              </m:sSubSup>
              <m:r>
                <w:rPr>
                  <w:rFonts w:ascii="Cambria Math" w:hAnsi="Cambria Math"/>
                  <w:lang w:eastAsia="ko-KR"/>
                </w:rPr>
                <m:t xml:space="preserve">, </m:t>
              </m:r>
              <m:sSub>
                <m:sSubPr>
                  <m:ctrlPr>
                    <w:rPr>
                      <w:rFonts w:ascii="Cambria Math" w:hAnsi="Cambria Math"/>
                      <w:szCs w:val="18"/>
                      <w:lang w:eastAsia="ko-KR"/>
                    </w:rPr>
                  </m:ctrlPr>
                </m:sSubPr>
                <m:e>
                  <m:r>
                    <w:rPr>
                      <w:rFonts w:ascii="Cambria Math" w:hAnsi="Cambria Math"/>
                      <w:lang w:eastAsia="ko-KR"/>
                    </w:rPr>
                    <m:t>L</m:t>
                  </m:r>
                </m:e>
                <m:sub>
                  <m:r>
                    <m:rPr>
                      <m:sty m:val="p"/>
                    </m:rPr>
                    <w:rPr>
                      <w:rFonts w:ascii="Cambria Math" w:hAnsi="Cambria Math"/>
                      <w:lang w:eastAsia="ko-KR"/>
                    </w:rPr>
                    <m:t>PRS</m:t>
                  </m:r>
                </m:sub>
              </m:sSub>
              <m:r>
                <w:rPr>
                  <w:rFonts w:ascii="Cambria Math" w:hAnsi="Cambria Math"/>
                  <w:lang w:eastAsia="ko-KR"/>
                </w:rPr>
                <m:t xml:space="preserve"> ,</m:t>
              </m:r>
              <m:sSubSup>
                <m:sSubSupPr>
                  <m:ctrlPr>
                    <w:rPr>
                      <w:rFonts w:ascii="Cambria Math" w:hAnsi="Cambria Math"/>
                      <w:i/>
                      <w:szCs w:val="18"/>
                      <w:lang w:eastAsia="ko-KR"/>
                    </w:rPr>
                  </m:ctrlPr>
                </m:sSubSupPr>
                <m:e>
                  <m:r>
                    <w:rPr>
                      <w:rFonts w:ascii="Cambria Math" w:hAnsi="Cambria Math"/>
                      <w:lang w:eastAsia="ko-KR"/>
                    </w:rPr>
                    <m:t>K</m:t>
                  </m:r>
                </m:e>
                <m:sub>
                  <m:r>
                    <m:rPr>
                      <m:sty m:val="p"/>
                    </m:rPr>
                    <w:rPr>
                      <w:rFonts w:ascii="Cambria Math" w:hAnsi="Cambria Math"/>
                      <w:lang w:eastAsia="ko-KR"/>
                    </w:rPr>
                    <m:t>comb</m:t>
                  </m:r>
                </m:sub>
                <m:sup>
                  <m:r>
                    <m:rPr>
                      <m:sty m:val="p"/>
                    </m:rPr>
                    <w:rPr>
                      <w:rFonts w:ascii="Cambria Math" w:hAnsi="Cambria Math"/>
                      <w:lang w:eastAsia="ko-KR"/>
                    </w:rPr>
                    <m:t>PRS</m:t>
                  </m:r>
                </m:sup>
              </m:sSubSup>
            </m:oMath>
            <w:r w:rsidRPr="00F8474E">
              <w:rPr>
                <w:b/>
                <w:bCs/>
              </w:rPr>
              <w:t xml:space="preserve"> </w:t>
            </w:r>
            <w:r w:rsidRPr="00F8474E">
              <w:rPr>
                <w:lang w:eastAsia="ko-KR"/>
              </w:rPr>
              <w:t xml:space="preserve">are configured by higher layer parameter  </w:t>
            </w:r>
            <w:r w:rsidRPr="00F8474E">
              <w:rPr>
                <w:i/>
                <w:lang w:eastAsia="ko-KR"/>
              </w:rPr>
              <w:t>dl-PRS-ResourceRepetitionFactor, dl-PRS-NumSymbols and  dl-PRS-CombSizeN</w:t>
            </w:r>
            <w:r w:rsidRPr="00F8474E">
              <w:rPr>
                <w:iCs/>
                <w:lang w:eastAsia="ko-KR"/>
              </w:rPr>
              <w:t>defined in TS 37.355 [34]</w:t>
            </w:r>
            <w:r w:rsidRPr="00F8474E">
              <w:rPr>
                <w:iCs/>
                <w:lang w:val="en-US"/>
              </w:rPr>
              <w:t>.</w:t>
            </w:r>
          </w:p>
          <w:p w14:paraId="045CEE55" w14:textId="77777777" w:rsidR="00B46EF8" w:rsidRPr="00F8474E" w:rsidRDefault="00B46EF8" w:rsidP="004E0904">
            <w:pPr>
              <w:pStyle w:val="TAN"/>
              <w:rPr>
                <w:lang w:eastAsia="ko-KR"/>
              </w:rPr>
            </w:pPr>
            <w:r w:rsidRPr="00F8474E">
              <w:rPr>
                <w:lang w:eastAsia="ko-KR"/>
              </w:rPr>
              <w:t>NOTE 4:</w:t>
            </w:r>
            <w:r w:rsidRPr="00F8474E">
              <w:rPr>
                <w:lang w:eastAsia="ko-KR"/>
              </w:rPr>
              <w:tab/>
              <w:t>The Io is defined in PRS slots. The same Io range applies to PRS and non-PRS symbols. Io levels are different in PRS and non-PRS symbols within the same slot.</w:t>
            </w:r>
          </w:p>
          <w:p w14:paraId="7C2FD485" w14:textId="77777777" w:rsidR="00B46EF8" w:rsidRPr="00F8474E" w:rsidRDefault="00B46EF8" w:rsidP="004E0904">
            <w:pPr>
              <w:pStyle w:val="TAN"/>
              <w:rPr>
                <w:lang w:eastAsia="ko-KR"/>
              </w:rPr>
            </w:pPr>
            <w:r w:rsidRPr="00F8474E">
              <w:rPr>
                <w:lang w:eastAsia="ko-KR"/>
              </w:rPr>
              <w:t>N</w:t>
            </w:r>
            <w:r w:rsidRPr="00F8474E">
              <w:t>OTE</w:t>
            </w:r>
            <w:r w:rsidRPr="00F8474E">
              <w:rPr>
                <w:lang w:eastAsia="ko-KR"/>
              </w:rPr>
              <w:t xml:space="preserve"> 5:</w:t>
            </w:r>
            <w:r w:rsidRPr="00F8474E">
              <w:rPr>
                <w:lang w:eastAsia="ko-KR"/>
              </w:rPr>
              <w:tab/>
              <w:t>Tc is the basic timing unit defined in TS 38.211 [6].</w:t>
            </w:r>
          </w:p>
          <w:p w14:paraId="51F8E182" w14:textId="77777777" w:rsidR="00B46EF8" w:rsidRPr="00F8474E" w:rsidRDefault="00B46EF8" w:rsidP="004E0904">
            <w:pPr>
              <w:pStyle w:val="TAN"/>
              <w:rPr>
                <w:lang w:eastAsia="ko-KR"/>
              </w:rPr>
            </w:pPr>
            <w:r w:rsidRPr="00F8474E">
              <w:rPr>
                <w:lang w:eastAsia="ko-KR"/>
              </w:rPr>
              <w:t>NOTE 6:</w:t>
            </w:r>
            <w:r w:rsidRPr="00F8474E">
              <w:rPr>
                <w:lang w:eastAsia="ko-KR"/>
              </w:rPr>
              <w:tab/>
              <w:t>The same bands and the same Io conditions for each band apply for this requirement as for the corresponding requirement with the PRS bandwidth of the smallest RB number for the corresponding SCS.</w:t>
            </w:r>
          </w:p>
          <w:p w14:paraId="53F02758" w14:textId="77777777" w:rsidR="00B46EF8" w:rsidRPr="00F8474E" w:rsidRDefault="00B46EF8" w:rsidP="004E0904">
            <w:pPr>
              <w:pStyle w:val="TAN"/>
              <w:rPr>
                <w:lang w:eastAsia="ko-KR"/>
              </w:rPr>
            </w:pPr>
            <w:r w:rsidRPr="00F8474E">
              <w:rPr>
                <w:lang w:eastAsia="ko-KR"/>
              </w:rPr>
              <w:t xml:space="preserve">NOTE 7: </w:t>
            </w:r>
            <w:r w:rsidRPr="00F8474E">
              <w:rPr>
                <w:lang w:eastAsia="ko-KR"/>
              </w:rPr>
              <w:tab/>
            </w:r>
            <w:r w:rsidRPr="00F8474E">
              <w:rPr>
                <w:rFonts w:cs="Arial"/>
                <w:szCs w:val="18"/>
                <w:lang w:eastAsia="ko-KR"/>
              </w:rPr>
              <w:sym w:font="Symbol" w:char="F064"/>
            </w:r>
            <w:r w:rsidRPr="00F8474E">
              <w:rPr>
                <w:rFonts w:cs="Arial"/>
                <w:szCs w:val="18"/>
                <w:lang w:eastAsia="ko-KR"/>
              </w:rPr>
              <w:t xml:space="preserve"> is the margin determined from Table 10.1.25.2-5.</w:t>
            </w:r>
          </w:p>
        </w:tc>
      </w:tr>
    </w:tbl>
    <w:p w14:paraId="2075C22C" w14:textId="77777777" w:rsidR="00B46EF8" w:rsidRPr="00F8474E" w:rsidRDefault="00B46EF8" w:rsidP="00B46EF8"/>
    <w:p w14:paraId="5E6A5B22" w14:textId="77777777" w:rsidR="007671C1" w:rsidRDefault="007671C1" w:rsidP="007671C1">
      <w:r>
        <w:t>The accuracy requirements in Table 10.1.25.2-1a for FR1 are valid under the following conditions:</w:t>
      </w:r>
    </w:p>
    <w:p w14:paraId="31370B28" w14:textId="77777777" w:rsidR="007671C1" w:rsidRDefault="007671C1" w:rsidP="007671C1">
      <w:r>
        <w:t>Conditions defined in clause 7.3 of TS 38.101-1 [18] for reference sensitivity are fulfilled.</w:t>
      </w:r>
    </w:p>
    <w:p w14:paraId="27B3D546" w14:textId="77777777" w:rsidR="007671C1" w:rsidRDefault="007671C1" w:rsidP="007671C1">
      <w:pPr>
        <w:ind w:left="568" w:hanging="284"/>
      </w:pPr>
      <w:r>
        <w:t>PRP|</w:t>
      </w:r>
      <w:r>
        <w:rPr>
          <w:vertAlign w:val="subscript"/>
        </w:rPr>
        <w:t>dBm</w:t>
      </w:r>
      <w:r>
        <w:t xml:space="preserve"> according to Annex B.2.14 for a corresponding Band.</w:t>
      </w:r>
    </w:p>
    <w:p w14:paraId="3909ACCE" w14:textId="77777777" w:rsidR="007671C1" w:rsidRDefault="007671C1" w:rsidP="007671C1">
      <w:pPr>
        <w:ind w:left="568" w:hanging="284"/>
      </w:pPr>
      <w:r>
        <w:t>Number of measurement samples is less than 4</w:t>
      </w:r>
    </w:p>
    <w:p w14:paraId="43373486" w14:textId="77777777" w:rsidR="007671C1" w:rsidRDefault="007671C1" w:rsidP="007671C1">
      <w:r>
        <w:t>AWGN propagation condition.</w:t>
      </w:r>
    </w:p>
    <w:p w14:paraId="665D23A0" w14:textId="77777777" w:rsidR="005F5583" w:rsidRPr="00F8474E" w:rsidRDefault="005F5583" w:rsidP="005F5583">
      <w:pPr>
        <w:pStyle w:val="TH"/>
      </w:pPr>
      <w:r w:rsidRPr="00F8474E">
        <w:t>Table 10.1.25.2-1a: UE Rx-Tx time difference measurement accuracy in FR1 in AWGN with reduced measurement samples</w:t>
      </w:r>
    </w:p>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2"/>
        <w:gridCol w:w="715"/>
        <w:gridCol w:w="1133"/>
        <w:gridCol w:w="709"/>
        <w:gridCol w:w="1832"/>
        <w:gridCol w:w="2267"/>
        <w:gridCol w:w="1289"/>
        <w:gridCol w:w="1123"/>
      </w:tblGrid>
      <w:tr w:rsidR="005F5583" w:rsidRPr="00F8474E" w14:paraId="720C59D9" w14:textId="77777777" w:rsidTr="00FA482E">
        <w:trPr>
          <w:jc w:val="center"/>
        </w:trPr>
        <w:tc>
          <w:tcPr>
            <w:tcW w:w="1132" w:type="dxa"/>
            <w:vMerge w:val="restart"/>
            <w:tcBorders>
              <w:top w:val="single" w:sz="4" w:space="0" w:color="auto"/>
              <w:left w:val="single" w:sz="4" w:space="0" w:color="auto"/>
              <w:bottom w:val="single" w:sz="4" w:space="0" w:color="auto"/>
              <w:right w:val="single" w:sz="4" w:space="0" w:color="auto"/>
            </w:tcBorders>
            <w:vAlign w:val="center"/>
            <w:hideMark/>
          </w:tcPr>
          <w:p w14:paraId="1E2C9F7F" w14:textId="77777777" w:rsidR="005F5583" w:rsidRPr="00F8474E" w:rsidRDefault="005F5583" w:rsidP="005F5583">
            <w:pPr>
              <w:pStyle w:val="TAH"/>
            </w:pPr>
            <w:r w:rsidRPr="00F8474E">
              <w:t>Accuracy</w:t>
            </w:r>
          </w:p>
        </w:tc>
        <w:tc>
          <w:tcPr>
            <w:tcW w:w="9068" w:type="dxa"/>
            <w:gridSpan w:val="7"/>
            <w:tcBorders>
              <w:top w:val="single" w:sz="4" w:space="0" w:color="auto"/>
              <w:left w:val="single" w:sz="4" w:space="0" w:color="auto"/>
              <w:bottom w:val="single" w:sz="4" w:space="0" w:color="auto"/>
              <w:right w:val="single" w:sz="4" w:space="0" w:color="auto"/>
            </w:tcBorders>
            <w:hideMark/>
          </w:tcPr>
          <w:p w14:paraId="30EF93F8" w14:textId="77777777" w:rsidR="005F5583" w:rsidRPr="00F8474E" w:rsidRDefault="005F5583" w:rsidP="005F5583">
            <w:pPr>
              <w:pStyle w:val="TAH"/>
            </w:pPr>
            <w:r w:rsidRPr="00F8474E">
              <w:t>Conditions</w:t>
            </w:r>
          </w:p>
        </w:tc>
      </w:tr>
      <w:tr w:rsidR="005F5583" w:rsidRPr="00F8474E" w14:paraId="54D51ADE" w14:textId="77777777" w:rsidTr="00FA482E">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5EDFC1FB" w14:textId="77777777" w:rsidR="005F5583" w:rsidRPr="00F8474E" w:rsidRDefault="005F5583" w:rsidP="005F5583">
            <w:pPr>
              <w:pStyle w:val="TAH"/>
            </w:pPr>
          </w:p>
        </w:tc>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4921A69B" w14:textId="77777777" w:rsidR="005F5583" w:rsidRPr="00F8474E" w:rsidRDefault="005F5583" w:rsidP="005F5583">
            <w:pPr>
              <w:pStyle w:val="TAH"/>
            </w:pPr>
            <w:r w:rsidRPr="00F8474E">
              <w:t>PRS Ês/Iot</w:t>
            </w:r>
          </w:p>
        </w:tc>
        <w:tc>
          <w:tcPr>
            <w:tcW w:w="1133" w:type="dxa"/>
            <w:vMerge w:val="restart"/>
            <w:tcBorders>
              <w:top w:val="single" w:sz="4" w:space="0" w:color="auto"/>
              <w:left w:val="single" w:sz="4" w:space="0" w:color="auto"/>
              <w:bottom w:val="single" w:sz="4" w:space="0" w:color="auto"/>
              <w:right w:val="single" w:sz="4" w:space="0" w:color="auto"/>
            </w:tcBorders>
            <w:vAlign w:val="center"/>
            <w:hideMark/>
          </w:tcPr>
          <w:p w14:paraId="2B015BC8" w14:textId="77777777" w:rsidR="005F5583" w:rsidRPr="00F8474E" w:rsidRDefault="005F5583" w:rsidP="005F5583">
            <w:pPr>
              <w:pStyle w:val="TAH"/>
            </w:pPr>
            <w:r w:rsidRPr="00F8474E">
              <w:t>Minimum PRS bandwidth</w:t>
            </w:r>
          </w:p>
        </w:tc>
        <w:tc>
          <w:tcPr>
            <w:tcW w:w="709" w:type="dxa"/>
            <w:vMerge w:val="restart"/>
            <w:tcBorders>
              <w:top w:val="single" w:sz="4" w:space="0" w:color="auto"/>
              <w:left w:val="single" w:sz="4" w:space="0" w:color="auto"/>
              <w:bottom w:val="single" w:sz="4" w:space="0" w:color="auto"/>
              <w:right w:val="single" w:sz="4" w:space="0" w:color="auto"/>
            </w:tcBorders>
          </w:tcPr>
          <w:p w14:paraId="6E2AC877" w14:textId="77777777" w:rsidR="005F5583" w:rsidRPr="00F8474E" w:rsidRDefault="005F5583" w:rsidP="005F5583">
            <w:pPr>
              <w:pStyle w:val="TAH"/>
            </w:pPr>
          </w:p>
          <w:p w14:paraId="7A598200" w14:textId="77777777" w:rsidR="005F5583" w:rsidRPr="00F8474E" w:rsidRDefault="005F5583" w:rsidP="005F5583">
            <w:pPr>
              <w:pStyle w:val="TAH"/>
            </w:pPr>
            <w:r w:rsidRPr="00F8474E">
              <w:t>PRS SCS</w:t>
            </w:r>
          </w:p>
        </w:tc>
        <w:tc>
          <w:tcPr>
            <w:tcW w:w="1832" w:type="dxa"/>
            <w:vMerge w:val="restart"/>
            <w:tcBorders>
              <w:top w:val="single" w:sz="4" w:space="0" w:color="auto"/>
              <w:left w:val="single" w:sz="4" w:space="0" w:color="auto"/>
              <w:bottom w:val="single" w:sz="4" w:space="0" w:color="auto"/>
              <w:right w:val="single" w:sz="4" w:space="0" w:color="auto"/>
            </w:tcBorders>
            <w:vAlign w:val="center"/>
            <w:hideMark/>
          </w:tcPr>
          <w:p w14:paraId="56DD351B" w14:textId="77777777" w:rsidR="005F5583" w:rsidRPr="00F8474E" w:rsidRDefault="005F5583" w:rsidP="005F5583">
            <w:pPr>
              <w:pStyle w:val="TAH"/>
              <w:rPr>
                <w:lang w:eastAsia="zh-CN"/>
              </w:rPr>
            </w:pPr>
            <w:r w:rsidRPr="00F8474E">
              <w:rPr>
                <w:lang w:eastAsia="zh-CN"/>
              </w:rPr>
              <w:t xml:space="preserve">PRS resource repetition </w:t>
            </w:r>
            <m:oMath>
              <m:sSubSup>
                <m:sSubSupPr>
                  <m:ctrlPr>
                    <w:rPr>
                      <w:rFonts w:ascii="Cambria Math" w:hAnsi="Cambria Math"/>
                      <w:i/>
                      <w:szCs w:val="18"/>
                    </w:rPr>
                  </m:ctrlPr>
                </m:sSubSupPr>
                <m:e>
                  <m:r>
                    <m:rPr>
                      <m:sty m:val="bi"/>
                    </m:rPr>
                    <w:rPr>
                      <w:rFonts w:ascii="Cambria Math" w:hAnsi="Cambria Math"/>
                    </w:rPr>
                    <m:t>(T</m:t>
                  </m:r>
                </m:e>
                <m:sub>
                  <m:r>
                    <m:rPr>
                      <m:sty m:val="b"/>
                    </m:rPr>
                    <w:rPr>
                      <w:rFonts w:ascii="Cambria Math" w:hAnsi="Cambria Math"/>
                    </w:rPr>
                    <m:t>rep</m:t>
                  </m:r>
                </m:sub>
                <m:sup>
                  <m:r>
                    <m:rPr>
                      <m:sty m:val="b"/>
                    </m:rPr>
                    <w:rPr>
                      <w:rFonts w:ascii="Cambria Math" w:hAnsi="Cambria Math"/>
                    </w:rPr>
                    <m:t>PRS</m:t>
                  </m:r>
                </m:sup>
              </m:sSubSup>
              <m:r>
                <m:rPr>
                  <m:sty m:val="bi"/>
                </m:rPr>
                <w:rPr>
                  <w:rFonts w:ascii="Cambria Math" w:hAnsi="Cambria Math"/>
                </w:rPr>
                <m:t>*</m:t>
              </m:r>
              <m:sSub>
                <m:sSubPr>
                  <m:ctrlPr>
                    <w:rPr>
                      <w:rFonts w:ascii="Cambria Math" w:hAnsi="Cambria Math"/>
                      <w:szCs w:val="18"/>
                    </w:rPr>
                  </m:ctrlPr>
                </m:sSubPr>
                <m:e>
                  <m:r>
                    <m:rPr>
                      <m:sty m:val="bi"/>
                    </m:rPr>
                    <w:rPr>
                      <w:rFonts w:ascii="Cambria Math" w:hAnsi="Cambria Math"/>
                    </w:rPr>
                    <m:t>L</m:t>
                  </m:r>
                </m:e>
                <m:sub>
                  <m:r>
                    <m:rPr>
                      <m:sty m:val="b"/>
                    </m:rPr>
                    <w:rPr>
                      <w:rFonts w:ascii="Cambria Math" w:hAnsi="Cambria Math"/>
                    </w:rPr>
                    <m:t>PRS</m:t>
                  </m:r>
                </m:sub>
              </m:sSub>
              <m:r>
                <m:rPr>
                  <m:sty m:val="bi"/>
                </m:rPr>
                <w:rPr>
                  <w:rFonts w:ascii="Cambria Math" w:hAnsi="Cambria Math"/>
                </w:rPr>
                <m:t>/</m:t>
              </m:r>
              <m:sSubSup>
                <m:sSubSupPr>
                  <m:ctrlPr>
                    <w:rPr>
                      <w:rFonts w:ascii="Cambria Math" w:hAnsi="Cambria Math"/>
                      <w:i/>
                      <w:szCs w:val="18"/>
                    </w:rPr>
                  </m:ctrlPr>
                </m:sSubSupPr>
                <m:e>
                  <m:r>
                    <m:rPr>
                      <m:sty m:val="bi"/>
                    </m:rPr>
                    <w:rPr>
                      <w:rFonts w:ascii="Cambria Math" w:hAnsi="Cambria Math"/>
                    </w:rPr>
                    <m:t>K</m:t>
                  </m:r>
                </m:e>
                <m:sub>
                  <m:r>
                    <m:rPr>
                      <m:sty m:val="b"/>
                    </m:rPr>
                    <w:rPr>
                      <w:rFonts w:ascii="Cambria Math" w:hAnsi="Cambria Math"/>
                    </w:rPr>
                    <m:t>comb</m:t>
                  </m:r>
                </m:sub>
                <m:sup>
                  <m:r>
                    <m:rPr>
                      <m:sty m:val="b"/>
                    </m:rPr>
                    <w:rPr>
                      <w:rFonts w:ascii="Cambria Math" w:hAnsi="Cambria Math"/>
                    </w:rPr>
                    <m:t>PRS</m:t>
                  </m:r>
                </m:sup>
              </m:sSubSup>
            </m:oMath>
            <w:r w:rsidRPr="00F8474E">
              <w:rPr>
                <w:vertAlign w:val="superscript"/>
              </w:rPr>
              <w:t>Note 3</w:t>
            </w:r>
          </w:p>
        </w:tc>
        <w:tc>
          <w:tcPr>
            <w:tcW w:w="2267" w:type="dxa"/>
            <w:vMerge w:val="restart"/>
            <w:tcBorders>
              <w:top w:val="single" w:sz="4" w:space="0" w:color="auto"/>
              <w:left w:val="single" w:sz="4" w:space="0" w:color="auto"/>
              <w:bottom w:val="single" w:sz="4" w:space="0" w:color="auto"/>
              <w:right w:val="single" w:sz="4" w:space="0" w:color="auto"/>
            </w:tcBorders>
            <w:hideMark/>
          </w:tcPr>
          <w:p w14:paraId="7F4B376E" w14:textId="77777777" w:rsidR="005F5583" w:rsidRPr="00F8474E" w:rsidRDefault="005F5583" w:rsidP="005F5583">
            <w:pPr>
              <w:pStyle w:val="TAH"/>
            </w:pPr>
            <w:r w:rsidRPr="00F8474E">
              <w:t>NR operating band groups</w:t>
            </w:r>
            <w:r w:rsidRPr="00F8474E">
              <w:rPr>
                <w:vertAlign w:val="superscript"/>
              </w:rPr>
              <w:t>Note 2</w:t>
            </w:r>
          </w:p>
        </w:tc>
        <w:tc>
          <w:tcPr>
            <w:tcW w:w="2412" w:type="dxa"/>
            <w:gridSpan w:val="2"/>
            <w:tcBorders>
              <w:top w:val="single" w:sz="4" w:space="0" w:color="auto"/>
              <w:left w:val="single" w:sz="4" w:space="0" w:color="auto"/>
              <w:bottom w:val="single" w:sz="4" w:space="0" w:color="auto"/>
              <w:right w:val="single" w:sz="4" w:space="0" w:color="auto"/>
            </w:tcBorders>
            <w:vAlign w:val="center"/>
            <w:hideMark/>
          </w:tcPr>
          <w:p w14:paraId="039A6303" w14:textId="77777777" w:rsidR="005F5583" w:rsidRPr="00F8474E" w:rsidRDefault="005F5583" w:rsidP="005F5583">
            <w:pPr>
              <w:pStyle w:val="TAH"/>
            </w:pPr>
            <w:r w:rsidRPr="00F8474E">
              <w:t>Io</w:t>
            </w:r>
            <w:r w:rsidRPr="00F8474E">
              <w:rPr>
                <w:vertAlign w:val="superscript"/>
                <w:lang w:eastAsia="zh-CN"/>
              </w:rPr>
              <w:t>Note 4</w:t>
            </w:r>
            <w:r w:rsidRPr="00F8474E">
              <w:t xml:space="preserve"> range</w:t>
            </w:r>
          </w:p>
        </w:tc>
      </w:tr>
      <w:tr w:rsidR="005F5583" w:rsidRPr="00F8474E" w14:paraId="53CE1B5C" w14:textId="77777777" w:rsidTr="00FA482E">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0E749A02" w14:textId="77777777" w:rsidR="005F5583" w:rsidRPr="00F8474E" w:rsidRDefault="005F5583" w:rsidP="005F5583">
            <w:pPr>
              <w:pStyle w:val="TAH"/>
            </w:pPr>
          </w:p>
        </w:tc>
        <w:tc>
          <w:tcPr>
            <w:tcW w:w="715" w:type="dxa"/>
            <w:vMerge/>
            <w:tcBorders>
              <w:top w:val="single" w:sz="4" w:space="0" w:color="auto"/>
              <w:left w:val="single" w:sz="4" w:space="0" w:color="auto"/>
              <w:bottom w:val="single" w:sz="4" w:space="0" w:color="auto"/>
              <w:right w:val="single" w:sz="4" w:space="0" w:color="auto"/>
            </w:tcBorders>
            <w:vAlign w:val="center"/>
            <w:hideMark/>
          </w:tcPr>
          <w:p w14:paraId="2A44ECA9" w14:textId="77777777" w:rsidR="005F5583" w:rsidRPr="00F8474E" w:rsidRDefault="005F5583" w:rsidP="005F5583">
            <w:pPr>
              <w:pStyle w:val="TAH"/>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3137D022" w14:textId="77777777" w:rsidR="005F5583" w:rsidRPr="00F8474E" w:rsidRDefault="005F5583" w:rsidP="005F5583">
            <w:pPr>
              <w:pStyle w:val="TAH"/>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5387FCB" w14:textId="77777777" w:rsidR="005F5583" w:rsidRPr="00F8474E" w:rsidRDefault="005F5583" w:rsidP="005F5583">
            <w:pPr>
              <w:pStyle w:val="TAH"/>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238B679D" w14:textId="77777777" w:rsidR="005F5583" w:rsidRPr="00F8474E" w:rsidRDefault="005F5583" w:rsidP="005F5583">
            <w:pPr>
              <w:pStyle w:val="TAH"/>
              <w:rPr>
                <w:lang w:eastAsia="zh-CN"/>
              </w:rPr>
            </w:pPr>
          </w:p>
        </w:tc>
        <w:tc>
          <w:tcPr>
            <w:tcW w:w="2267" w:type="dxa"/>
            <w:vMerge/>
            <w:tcBorders>
              <w:top w:val="single" w:sz="4" w:space="0" w:color="auto"/>
              <w:left w:val="single" w:sz="4" w:space="0" w:color="auto"/>
              <w:bottom w:val="single" w:sz="4" w:space="0" w:color="auto"/>
              <w:right w:val="single" w:sz="4" w:space="0" w:color="auto"/>
            </w:tcBorders>
            <w:vAlign w:val="center"/>
            <w:hideMark/>
          </w:tcPr>
          <w:p w14:paraId="3612B5D9" w14:textId="77777777" w:rsidR="005F5583" w:rsidRPr="00F8474E" w:rsidRDefault="005F5583" w:rsidP="005F5583">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06D70813" w14:textId="77777777" w:rsidR="005F5583" w:rsidRPr="00F8474E" w:rsidRDefault="005F5583" w:rsidP="005F5583">
            <w:pPr>
              <w:pStyle w:val="TAH"/>
            </w:pPr>
            <w:r w:rsidRPr="00F8474E">
              <w:t>Minimum</w:t>
            </w:r>
            <w:r w:rsidRPr="00F8474E">
              <w:br/>
              <w:t>Io</w:t>
            </w:r>
            <w:r w:rsidRPr="00F8474E">
              <w:rPr>
                <w:vertAlign w:val="superscript"/>
              </w:rPr>
              <w:t>Note 1</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25D63E6" w14:textId="77777777" w:rsidR="005F5583" w:rsidRPr="00F8474E" w:rsidRDefault="005F5583" w:rsidP="005F5583">
            <w:pPr>
              <w:pStyle w:val="TAH"/>
            </w:pPr>
            <w:r w:rsidRPr="00F8474E">
              <w:t>Maximum</w:t>
            </w:r>
            <w:r w:rsidRPr="00F8474E">
              <w:br/>
              <w:t>Io</w:t>
            </w:r>
          </w:p>
        </w:tc>
      </w:tr>
      <w:tr w:rsidR="005F5583" w:rsidRPr="00F8474E" w14:paraId="69CA7A81" w14:textId="77777777" w:rsidTr="00FA482E">
        <w:trPr>
          <w:trHeight w:val="429"/>
          <w:jc w:val="center"/>
        </w:trPr>
        <w:tc>
          <w:tcPr>
            <w:tcW w:w="1132" w:type="dxa"/>
            <w:tcBorders>
              <w:top w:val="single" w:sz="4" w:space="0" w:color="auto"/>
              <w:left w:val="single" w:sz="4" w:space="0" w:color="auto"/>
              <w:bottom w:val="single" w:sz="4" w:space="0" w:color="auto"/>
              <w:right w:val="single" w:sz="4" w:space="0" w:color="auto"/>
            </w:tcBorders>
            <w:vAlign w:val="center"/>
            <w:hideMark/>
          </w:tcPr>
          <w:p w14:paraId="24FC8A18" w14:textId="77777777" w:rsidR="005F5583" w:rsidRPr="00F8474E" w:rsidRDefault="005F5583" w:rsidP="005F5583">
            <w:pPr>
              <w:pStyle w:val="TAH"/>
            </w:pPr>
            <w:r w:rsidRPr="00F8474E">
              <w:t>Tc</w:t>
            </w:r>
            <w:r w:rsidRPr="00F8474E">
              <w:rPr>
                <w:vertAlign w:val="superscript"/>
                <w:lang w:eastAsia="zh-CN"/>
              </w:rPr>
              <w:t>Note 5</w:t>
            </w:r>
          </w:p>
        </w:tc>
        <w:tc>
          <w:tcPr>
            <w:tcW w:w="715" w:type="dxa"/>
            <w:tcBorders>
              <w:top w:val="single" w:sz="4" w:space="0" w:color="auto"/>
              <w:left w:val="single" w:sz="4" w:space="0" w:color="auto"/>
              <w:bottom w:val="single" w:sz="4" w:space="0" w:color="auto"/>
              <w:right w:val="single" w:sz="4" w:space="0" w:color="auto"/>
            </w:tcBorders>
            <w:vAlign w:val="center"/>
            <w:hideMark/>
          </w:tcPr>
          <w:p w14:paraId="074A73E5" w14:textId="77777777" w:rsidR="005F5583" w:rsidRPr="00F8474E" w:rsidRDefault="005F5583" w:rsidP="005F5583">
            <w:pPr>
              <w:pStyle w:val="TAH"/>
            </w:pPr>
            <w:r w:rsidRPr="00F8474E">
              <w:t>dB</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4CBC02" w14:textId="77777777" w:rsidR="005F5583" w:rsidRPr="00F8474E" w:rsidRDefault="005F5583" w:rsidP="005F5583">
            <w:pPr>
              <w:pStyle w:val="TAH"/>
            </w:pPr>
            <w:r w:rsidRPr="00F8474E">
              <w:t>RB</w:t>
            </w:r>
          </w:p>
        </w:tc>
        <w:tc>
          <w:tcPr>
            <w:tcW w:w="709" w:type="dxa"/>
            <w:tcBorders>
              <w:top w:val="single" w:sz="4" w:space="0" w:color="auto"/>
              <w:left w:val="single" w:sz="4" w:space="0" w:color="auto"/>
              <w:bottom w:val="single" w:sz="4" w:space="0" w:color="auto"/>
              <w:right w:val="single" w:sz="4" w:space="0" w:color="auto"/>
            </w:tcBorders>
          </w:tcPr>
          <w:p w14:paraId="70D56BD2" w14:textId="77777777" w:rsidR="005F5583" w:rsidRPr="00F8474E" w:rsidRDefault="005F5583" w:rsidP="005F5583">
            <w:pPr>
              <w:pStyle w:val="TAH"/>
            </w:pPr>
          </w:p>
          <w:p w14:paraId="469641FD" w14:textId="77777777" w:rsidR="005F5583" w:rsidRPr="00F8474E" w:rsidRDefault="005F5583" w:rsidP="005F5583">
            <w:pPr>
              <w:pStyle w:val="TAH"/>
            </w:pPr>
            <w:r w:rsidRPr="00F8474E">
              <w:t>kHz</w:t>
            </w:r>
          </w:p>
        </w:tc>
        <w:tc>
          <w:tcPr>
            <w:tcW w:w="1832" w:type="dxa"/>
            <w:tcBorders>
              <w:top w:val="single" w:sz="4" w:space="0" w:color="auto"/>
              <w:left w:val="single" w:sz="4" w:space="0" w:color="auto"/>
              <w:bottom w:val="single" w:sz="4" w:space="0" w:color="auto"/>
              <w:right w:val="single" w:sz="4" w:space="0" w:color="auto"/>
            </w:tcBorders>
            <w:vAlign w:val="center"/>
          </w:tcPr>
          <w:p w14:paraId="0D6E5391" w14:textId="77777777" w:rsidR="005F5583" w:rsidRPr="00F8474E" w:rsidRDefault="005F5583" w:rsidP="005F5583">
            <w:pPr>
              <w:pStyle w:val="TAH"/>
            </w:pPr>
          </w:p>
        </w:tc>
        <w:tc>
          <w:tcPr>
            <w:tcW w:w="2267" w:type="dxa"/>
            <w:tcBorders>
              <w:top w:val="single" w:sz="4" w:space="0" w:color="auto"/>
              <w:left w:val="single" w:sz="4" w:space="0" w:color="auto"/>
              <w:bottom w:val="single" w:sz="4" w:space="0" w:color="auto"/>
              <w:right w:val="single" w:sz="4" w:space="0" w:color="auto"/>
            </w:tcBorders>
            <w:vAlign w:val="center"/>
          </w:tcPr>
          <w:p w14:paraId="5C888E2F" w14:textId="77777777" w:rsidR="005F5583" w:rsidRPr="00F8474E" w:rsidRDefault="005F5583" w:rsidP="005F5583">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7DC376DD" w14:textId="77777777" w:rsidR="005F5583" w:rsidRPr="00F8474E" w:rsidRDefault="005F5583" w:rsidP="005F5583">
            <w:pPr>
              <w:pStyle w:val="TAH"/>
            </w:pPr>
            <w:r w:rsidRPr="00F8474E">
              <w:t>dBm / SCS</w:t>
            </w:r>
            <w:r w:rsidRPr="00F8474E">
              <w:rPr>
                <w:vertAlign w:val="subscript"/>
              </w:rPr>
              <w:t>PRS</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EB3FBAA" w14:textId="77777777" w:rsidR="005F5583" w:rsidRPr="00F8474E" w:rsidRDefault="005F5583" w:rsidP="005F5583">
            <w:pPr>
              <w:pStyle w:val="TAH"/>
            </w:pPr>
            <w:r w:rsidRPr="00F8474E">
              <w:t>dBm/BW</w:t>
            </w:r>
          </w:p>
        </w:tc>
      </w:tr>
      <w:tr w:rsidR="005F5583" w:rsidRPr="00F8474E" w14:paraId="1323AE0B" w14:textId="77777777" w:rsidTr="00380899">
        <w:trPr>
          <w:trHeight w:val="26"/>
          <w:jc w:val="center"/>
        </w:trPr>
        <w:tc>
          <w:tcPr>
            <w:tcW w:w="1132" w:type="dxa"/>
            <w:vMerge w:val="restart"/>
            <w:tcBorders>
              <w:top w:val="single" w:sz="6" w:space="0" w:color="auto"/>
              <w:left w:val="single" w:sz="4" w:space="0" w:color="auto"/>
              <w:right w:val="single" w:sz="6" w:space="0" w:color="auto"/>
            </w:tcBorders>
            <w:vAlign w:val="center"/>
            <w:hideMark/>
          </w:tcPr>
          <w:p w14:paraId="17CA8739" w14:textId="2AA2CA15" w:rsidR="005F5583" w:rsidRPr="00F8474E" w:rsidRDefault="005F5583" w:rsidP="005F5583">
            <w:pPr>
              <w:pStyle w:val="TAC"/>
              <w:rPr>
                <w:lang w:eastAsia="zh-CN"/>
              </w:rPr>
            </w:pPr>
            <w:r w:rsidRPr="00F8474E">
              <w:t>± 59+</w:t>
            </w:r>
            <w:r w:rsidRPr="00F8474E">
              <w:rPr>
                <w:lang w:eastAsia="ko-KR"/>
              </w:rPr>
              <w:sym w:font="Symbol" w:char="F064"/>
            </w:r>
          </w:p>
        </w:tc>
        <w:tc>
          <w:tcPr>
            <w:tcW w:w="715" w:type="dxa"/>
            <w:vMerge w:val="restart"/>
            <w:tcBorders>
              <w:top w:val="nil"/>
              <w:left w:val="single" w:sz="4" w:space="0" w:color="auto"/>
              <w:right w:val="single" w:sz="4" w:space="0" w:color="auto"/>
            </w:tcBorders>
            <w:vAlign w:val="center"/>
            <w:hideMark/>
          </w:tcPr>
          <w:p w14:paraId="4FB25FCF" w14:textId="77777777" w:rsidR="005F5583" w:rsidRPr="00F8474E" w:rsidRDefault="005F5583" w:rsidP="005F5583">
            <w:pPr>
              <w:pStyle w:val="TAC"/>
              <w:rPr>
                <w:lang w:val="sv-SE"/>
              </w:rPr>
            </w:pPr>
            <w:r w:rsidRPr="00F8474E">
              <w:rPr>
                <w:lang w:val="sv-SE"/>
              </w:rPr>
              <w:t>0</w:t>
            </w:r>
          </w:p>
        </w:tc>
        <w:tc>
          <w:tcPr>
            <w:tcW w:w="1133" w:type="dxa"/>
            <w:vMerge w:val="restart"/>
            <w:tcBorders>
              <w:top w:val="single" w:sz="4" w:space="0" w:color="auto"/>
              <w:left w:val="single" w:sz="4" w:space="0" w:color="auto"/>
              <w:right w:val="single" w:sz="4" w:space="0" w:color="auto"/>
            </w:tcBorders>
            <w:vAlign w:val="center"/>
            <w:hideMark/>
          </w:tcPr>
          <w:p w14:paraId="09127AB1" w14:textId="2B2BD343" w:rsidR="005F5583" w:rsidRPr="00F8474E" w:rsidRDefault="005F5583" w:rsidP="005F5583">
            <w:pPr>
              <w:pStyle w:val="TAC"/>
              <w:rPr>
                <w:lang w:eastAsia="zh-CN"/>
              </w:rPr>
            </w:pPr>
            <w:r w:rsidRPr="00F8474E">
              <w:rPr>
                <w:rFonts w:cs="Calibri"/>
              </w:rPr>
              <w:t>≥</w:t>
            </w:r>
            <w:r w:rsidRPr="00F8474E">
              <w:t>52</w:t>
            </w:r>
          </w:p>
        </w:tc>
        <w:tc>
          <w:tcPr>
            <w:tcW w:w="709" w:type="dxa"/>
            <w:vMerge w:val="restart"/>
            <w:tcBorders>
              <w:top w:val="nil"/>
              <w:left w:val="single" w:sz="4" w:space="0" w:color="auto"/>
              <w:right w:val="single" w:sz="4" w:space="0" w:color="auto"/>
            </w:tcBorders>
            <w:vAlign w:val="center"/>
            <w:hideMark/>
          </w:tcPr>
          <w:p w14:paraId="24F9A0C2" w14:textId="77777777" w:rsidR="005F5583" w:rsidRPr="00F8474E" w:rsidRDefault="005F5583" w:rsidP="005F5583">
            <w:pPr>
              <w:pStyle w:val="TAC"/>
            </w:pPr>
            <w:r w:rsidRPr="00F8474E">
              <w:t>15</w:t>
            </w:r>
          </w:p>
        </w:tc>
        <w:tc>
          <w:tcPr>
            <w:tcW w:w="1832" w:type="dxa"/>
            <w:vMerge w:val="restart"/>
            <w:tcBorders>
              <w:top w:val="single" w:sz="4" w:space="0" w:color="auto"/>
              <w:left w:val="single" w:sz="4" w:space="0" w:color="auto"/>
              <w:right w:val="single" w:sz="4" w:space="0" w:color="auto"/>
            </w:tcBorders>
            <w:vAlign w:val="center"/>
            <w:hideMark/>
          </w:tcPr>
          <w:p w14:paraId="1798FEC2" w14:textId="05A892AC"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63720881" w14:textId="2F0F79B2" w:rsidR="005F5583" w:rsidRPr="00F8474E" w:rsidRDefault="005F5583" w:rsidP="005F5583">
            <w:pPr>
              <w:pStyle w:val="TAC"/>
            </w:pPr>
            <w:r w:rsidRPr="00F8474E">
              <w:t xml:space="preserve">NR_FDD_FR1_A, NR_TDD_FR1_A, </w:t>
            </w:r>
            <w:r w:rsidRPr="00F8474E">
              <w:rPr>
                <w:lang w:val="en-US"/>
              </w:rPr>
              <w:t>NR_SDL_FR1_A</w:t>
            </w:r>
          </w:p>
        </w:tc>
        <w:tc>
          <w:tcPr>
            <w:tcW w:w="1289" w:type="dxa"/>
            <w:tcBorders>
              <w:top w:val="single" w:sz="4" w:space="0" w:color="auto"/>
              <w:left w:val="single" w:sz="4" w:space="0" w:color="auto"/>
              <w:right w:val="single" w:sz="4" w:space="0" w:color="auto"/>
            </w:tcBorders>
            <w:vAlign w:val="center"/>
            <w:hideMark/>
          </w:tcPr>
          <w:p w14:paraId="28BD2743" w14:textId="7FBC77C1" w:rsidR="005F5583" w:rsidRPr="00F8474E" w:rsidRDefault="005F5583" w:rsidP="005F5583">
            <w:pPr>
              <w:pStyle w:val="TAC"/>
            </w:pPr>
            <w:r w:rsidRPr="00F8474E">
              <w:t>-127</w:t>
            </w:r>
          </w:p>
        </w:tc>
        <w:tc>
          <w:tcPr>
            <w:tcW w:w="1123" w:type="dxa"/>
            <w:tcBorders>
              <w:top w:val="single" w:sz="4" w:space="0" w:color="auto"/>
              <w:left w:val="single" w:sz="4" w:space="0" w:color="auto"/>
              <w:right w:val="single" w:sz="4" w:space="0" w:color="auto"/>
            </w:tcBorders>
            <w:hideMark/>
          </w:tcPr>
          <w:p w14:paraId="7B980C7A" w14:textId="7C4B1C00" w:rsidR="005F5583" w:rsidRPr="00F8474E" w:rsidRDefault="005F5583" w:rsidP="005F5583">
            <w:pPr>
              <w:pStyle w:val="TAC"/>
              <w:rPr>
                <w:lang w:eastAsia="zh-CN"/>
              </w:rPr>
            </w:pPr>
            <w:r w:rsidRPr="00F8474E">
              <w:rPr>
                <w:rFonts w:hint="eastAsia"/>
                <w:lang w:eastAsia="zh-CN"/>
              </w:rPr>
              <w:t>-50</w:t>
            </w:r>
          </w:p>
        </w:tc>
      </w:tr>
      <w:tr w:rsidR="005F5583" w:rsidRPr="00F8474E" w14:paraId="773B7613" w14:textId="77777777" w:rsidTr="00380899">
        <w:trPr>
          <w:trHeight w:val="26"/>
          <w:jc w:val="center"/>
        </w:trPr>
        <w:tc>
          <w:tcPr>
            <w:tcW w:w="1132" w:type="dxa"/>
            <w:vMerge/>
            <w:tcBorders>
              <w:top w:val="single" w:sz="6" w:space="0" w:color="auto"/>
              <w:left w:val="single" w:sz="4" w:space="0" w:color="auto"/>
              <w:right w:val="single" w:sz="6" w:space="0" w:color="auto"/>
            </w:tcBorders>
            <w:vAlign w:val="center"/>
          </w:tcPr>
          <w:p w14:paraId="5AD88A13" w14:textId="77777777" w:rsidR="005F5583" w:rsidRPr="00F8474E" w:rsidRDefault="005F5583" w:rsidP="005F5583">
            <w:pPr>
              <w:pStyle w:val="TAC"/>
            </w:pPr>
          </w:p>
        </w:tc>
        <w:tc>
          <w:tcPr>
            <w:tcW w:w="715" w:type="dxa"/>
            <w:vMerge/>
            <w:tcBorders>
              <w:top w:val="nil"/>
              <w:left w:val="single" w:sz="4" w:space="0" w:color="auto"/>
              <w:right w:val="single" w:sz="4" w:space="0" w:color="auto"/>
            </w:tcBorders>
            <w:vAlign w:val="center"/>
          </w:tcPr>
          <w:p w14:paraId="4035EFF1" w14:textId="77777777" w:rsidR="005F5583" w:rsidRPr="00F8474E" w:rsidRDefault="005F5583" w:rsidP="005F5583">
            <w:pPr>
              <w:pStyle w:val="TAC"/>
              <w:rPr>
                <w:lang w:val="sv-SE"/>
              </w:rPr>
            </w:pPr>
          </w:p>
        </w:tc>
        <w:tc>
          <w:tcPr>
            <w:tcW w:w="1133" w:type="dxa"/>
            <w:vMerge/>
            <w:tcBorders>
              <w:top w:val="single" w:sz="4" w:space="0" w:color="auto"/>
              <w:left w:val="single" w:sz="4" w:space="0" w:color="auto"/>
              <w:right w:val="single" w:sz="4" w:space="0" w:color="auto"/>
            </w:tcBorders>
          </w:tcPr>
          <w:p w14:paraId="7042BFBF" w14:textId="77777777" w:rsidR="005F5583" w:rsidRPr="00F8474E" w:rsidRDefault="005F5583" w:rsidP="005F5583">
            <w:pPr>
              <w:pStyle w:val="TAC"/>
              <w:rPr>
                <w:rFonts w:cs="Calibri"/>
              </w:rPr>
            </w:pPr>
          </w:p>
        </w:tc>
        <w:tc>
          <w:tcPr>
            <w:tcW w:w="709" w:type="dxa"/>
            <w:vMerge/>
            <w:tcBorders>
              <w:top w:val="nil"/>
              <w:left w:val="single" w:sz="4" w:space="0" w:color="auto"/>
              <w:right w:val="single" w:sz="4" w:space="0" w:color="auto"/>
            </w:tcBorders>
            <w:vAlign w:val="center"/>
          </w:tcPr>
          <w:p w14:paraId="4BC3025D" w14:textId="77777777" w:rsidR="005F5583" w:rsidRPr="00F8474E" w:rsidRDefault="005F5583" w:rsidP="005F5583">
            <w:pPr>
              <w:pStyle w:val="TAC"/>
            </w:pPr>
          </w:p>
        </w:tc>
        <w:tc>
          <w:tcPr>
            <w:tcW w:w="1832" w:type="dxa"/>
            <w:vMerge/>
            <w:tcBorders>
              <w:top w:val="single" w:sz="4" w:space="0" w:color="auto"/>
              <w:left w:val="single" w:sz="4" w:space="0" w:color="auto"/>
              <w:right w:val="single" w:sz="4" w:space="0" w:color="auto"/>
            </w:tcBorders>
            <w:vAlign w:val="center"/>
          </w:tcPr>
          <w:p w14:paraId="133E8CEB"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61B0D2C2" w14:textId="77777777" w:rsidR="005F5583" w:rsidRPr="00F8474E" w:rsidRDefault="005F5583" w:rsidP="005F5583">
            <w:pPr>
              <w:pStyle w:val="TAC"/>
            </w:pPr>
            <w:r w:rsidRPr="00F8474E">
              <w:rPr>
                <w:lang w:val="sv-SE"/>
              </w:rPr>
              <w:t>NR_FDD_FR1_B</w:t>
            </w:r>
          </w:p>
        </w:tc>
        <w:tc>
          <w:tcPr>
            <w:tcW w:w="1289" w:type="dxa"/>
            <w:tcBorders>
              <w:left w:val="single" w:sz="4" w:space="0" w:color="auto"/>
              <w:right w:val="single" w:sz="4" w:space="0" w:color="auto"/>
            </w:tcBorders>
          </w:tcPr>
          <w:p w14:paraId="57924FF1" w14:textId="77777777" w:rsidR="005F5583" w:rsidRPr="00F8474E" w:rsidRDefault="005F5583" w:rsidP="005F5583">
            <w:pPr>
              <w:pStyle w:val="TAC"/>
            </w:pPr>
            <w:r w:rsidRPr="00F8474E">
              <w:t>-126.5</w:t>
            </w:r>
          </w:p>
        </w:tc>
        <w:tc>
          <w:tcPr>
            <w:tcW w:w="1123" w:type="dxa"/>
            <w:tcBorders>
              <w:left w:val="single" w:sz="4" w:space="0" w:color="auto"/>
              <w:right w:val="single" w:sz="4" w:space="0" w:color="auto"/>
            </w:tcBorders>
          </w:tcPr>
          <w:p w14:paraId="2311A6DF" w14:textId="77777777" w:rsidR="005F5583" w:rsidRPr="00F8474E" w:rsidRDefault="005F5583" w:rsidP="005F5583">
            <w:pPr>
              <w:pStyle w:val="TAC"/>
            </w:pPr>
            <w:r w:rsidRPr="00F8474E">
              <w:rPr>
                <w:rFonts w:hint="eastAsia"/>
                <w:lang w:eastAsia="zh-CN"/>
              </w:rPr>
              <w:t>-50</w:t>
            </w:r>
          </w:p>
        </w:tc>
      </w:tr>
      <w:tr w:rsidR="005F5583" w:rsidRPr="00F8474E" w14:paraId="0EB11C6A" w14:textId="77777777" w:rsidTr="00380899">
        <w:trPr>
          <w:trHeight w:val="22"/>
          <w:jc w:val="center"/>
        </w:trPr>
        <w:tc>
          <w:tcPr>
            <w:tcW w:w="1132" w:type="dxa"/>
            <w:vMerge/>
            <w:tcBorders>
              <w:left w:val="single" w:sz="4" w:space="0" w:color="auto"/>
              <w:right w:val="single" w:sz="6" w:space="0" w:color="auto"/>
            </w:tcBorders>
            <w:vAlign w:val="center"/>
          </w:tcPr>
          <w:p w14:paraId="3F2DB887"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580CF62C"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044CDBBE"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1396AEC4" w14:textId="77777777" w:rsidR="005F5583" w:rsidRPr="00F8474E" w:rsidRDefault="005F5583" w:rsidP="005F5583">
            <w:pPr>
              <w:pStyle w:val="TAC"/>
            </w:pPr>
          </w:p>
        </w:tc>
        <w:tc>
          <w:tcPr>
            <w:tcW w:w="1832" w:type="dxa"/>
            <w:vMerge/>
            <w:tcBorders>
              <w:left w:val="single" w:sz="4" w:space="0" w:color="auto"/>
              <w:right w:val="single" w:sz="4" w:space="0" w:color="auto"/>
            </w:tcBorders>
            <w:vAlign w:val="center"/>
          </w:tcPr>
          <w:p w14:paraId="16BB4529"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2958F2F6" w14:textId="77777777" w:rsidR="005F5583" w:rsidRPr="00F8474E" w:rsidRDefault="005F5583" w:rsidP="005F5583">
            <w:pPr>
              <w:pStyle w:val="TAC"/>
            </w:pPr>
            <w:r w:rsidRPr="00F8474E">
              <w:rPr>
                <w:lang w:val="sv-SE"/>
              </w:rPr>
              <w:t>NR_TDD_FR1_C</w:t>
            </w:r>
          </w:p>
        </w:tc>
        <w:tc>
          <w:tcPr>
            <w:tcW w:w="1289" w:type="dxa"/>
            <w:tcBorders>
              <w:left w:val="single" w:sz="4" w:space="0" w:color="auto"/>
              <w:right w:val="single" w:sz="4" w:space="0" w:color="auto"/>
            </w:tcBorders>
            <w:vAlign w:val="center"/>
          </w:tcPr>
          <w:p w14:paraId="546DA2A1" w14:textId="77777777" w:rsidR="005F5583" w:rsidRPr="00F8474E" w:rsidRDefault="005F5583" w:rsidP="005F5583">
            <w:pPr>
              <w:pStyle w:val="TAC"/>
            </w:pPr>
            <w:r w:rsidRPr="00F8474E">
              <w:t>-126</w:t>
            </w:r>
          </w:p>
        </w:tc>
        <w:tc>
          <w:tcPr>
            <w:tcW w:w="1123" w:type="dxa"/>
            <w:tcBorders>
              <w:left w:val="single" w:sz="4" w:space="0" w:color="auto"/>
              <w:right w:val="single" w:sz="4" w:space="0" w:color="auto"/>
            </w:tcBorders>
          </w:tcPr>
          <w:p w14:paraId="0D04DD79" w14:textId="77777777" w:rsidR="005F5583" w:rsidRPr="00F8474E" w:rsidRDefault="005F5583" w:rsidP="005F5583">
            <w:pPr>
              <w:pStyle w:val="TAC"/>
            </w:pPr>
            <w:r w:rsidRPr="00F8474E">
              <w:rPr>
                <w:rFonts w:hint="eastAsia"/>
                <w:lang w:eastAsia="zh-CN"/>
              </w:rPr>
              <w:t>-50</w:t>
            </w:r>
          </w:p>
        </w:tc>
      </w:tr>
      <w:tr w:rsidR="005F5583" w:rsidRPr="00F8474E" w14:paraId="1582880B" w14:textId="77777777" w:rsidTr="00380899">
        <w:trPr>
          <w:trHeight w:val="22"/>
          <w:jc w:val="center"/>
        </w:trPr>
        <w:tc>
          <w:tcPr>
            <w:tcW w:w="1132" w:type="dxa"/>
            <w:vMerge/>
            <w:tcBorders>
              <w:left w:val="single" w:sz="4" w:space="0" w:color="auto"/>
              <w:right w:val="single" w:sz="6" w:space="0" w:color="auto"/>
            </w:tcBorders>
            <w:vAlign w:val="center"/>
          </w:tcPr>
          <w:p w14:paraId="3B9BBD7D"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60C139FA"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6FDA164A"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1C96195C" w14:textId="77777777" w:rsidR="005F5583" w:rsidRPr="00F8474E" w:rsidRDefault="005F5583" w:rsidP="005F5583">
            <w:pPr>
              <w:pStyle w:val="TAC"/>
            </w:pPr>
          </w:p>
        </w:tc>
        <w:tc>
          <w:tcPr>
            <w:tcW w:w="1832" w:type="dxa"/>
            <w:vMerge/>
            <w:tcBorders>
              <w:left w:val="single" w:sz="4" w:space="0" w:color="auto"/>
              <w:right w:val="single" w:sz="4" w:space="0" w:color="auto"/>
            </w:tcBorders>
            <w:vAlign w:val="center"/>
          </w:tcPr>
          <w:p w14:paraId="4557974B"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4C53ECEA" w14:textId="77777777" w:rsidR="005F5583" w:rsidRPr="00F8474E" w:rsidRDefault="005F5583" w:rsidP="005F5583">
            <w:pPr>
              <w:pStyle w:val="TAC"/>
            </w:pPr>
            <w:r w:rsidRPr="00F8474E">
              <w:rPr>
                <w:lang w:val="sv-SE"/>
              </w:rPr>
              <w:t>NR_FDD_FR1_D, NR_TDD_FR1_D</w:t>
            </w:r>
          </w:p>
        </w:tc>
        <w:tc>
          <w:tcPr>
            <w:tcW w:w="1289" w:type="dxa"/>
            <w:tcBorders>
              <w:left w:val="single" w:sz="4" w:space="0" w:color="auto"/>
              <w:right w:val="single" w:sz="4" w:space="0" w:color="auto"/>
            </w:tcBorders>
            <w:vAlign w:val="center"/>
          </w:tcPr>
          <w:p w14:paraId="4AB4B096" w14:textId="77777777" w:rsidR="005F5583" w:rsidRPr="00F8474E" w:rsidRDefault="005F5583" w:rsidP="005F5583">
            <w:pPr>
              <w:pStyle w:val="TAC"/>
            </w:pPr>
            <w:r w:rsidRPr="00F8474E">
              <w:t>-125.5</w:t>
            </w:r>
          </w:p>
        </w:tc>
        <w:tc>
          <w:tcPr>
            <w:tcW w:w="1123" w:type="dxa"/>
            <w:tcBorders>
              <w:left w:val="single" w:sz="4" w:space="0" w:color="auto"/>
              <w:right w:val="single" w:sz="4" w:space="0" w:color="auto"/>
            </w:tcBorders>
          </w:tcPr>
          <w:p w14:paraId="10E753B2" w14:textId="77777777" w:rsidR="005F5583" w:rsidRPr="00F8474E" w:rsidRDefault="005F5583" w:rsidP="005F5583">
            <w:pPr>
              <w:pStyle w:val="TAC"/>
            </w:pPr>
            <w:r w:rsidRPr="00F8474E">
              <w:rPr>
                <w:rFonts w:hint="eastAsia"/>
                <w:lang w:eastAsia="zh-CN"/>
              </w:rPr>
              <w:t>-50</w:t>
            </w:r>
          </w:p>
        </w:tc>
      </w:tr>
      <w:tr w:rsidR="005F5583" w:rsidRPr="00F8474E" w14:paraId="1194FE34" w14:textId="77777777" w:rsidTr="00380899">
        <w:trPr>
          <w:trHeight w:val="22"/>
          <w:jc w:val="center"/>
        </w:trPr>
        <w:tc>
          <w:tcPr>
            <w:tcW w:w="1132" w:type="dxa"/>
            <w:vMerge/>
            <w:tcBorders>
              <w:left w:val="single" w:sz="4" w:space="0" w:color="auto"/>
              <w:right w:val="single" w:sz="6" w:space="0" w:color="auto"/>
            </w:tcBorders>
            <w:vAlign w:val="center"/>
          </w:tcPr>
          <w:p w14:paraId="4BA9C033"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4A3F32D4"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758DC1BC"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5A4E3784" w14:textId="77777777" w:rsidR="005F5583" w:rsidRPr="00F8474E" w:rsidRDefault="005F5583" w:rsidP="005F5583">
            <w:pPr>
              <w:pStyle w:val="TAC"/>
            </w:pPr>
          </w:p>
        </w:tc>
        <w:tc>
          <w:tcPr>
            <w:tcW w:w="1832" w:type="dxa"/>
            <w:vMerge/>
            <w:tcBorders>
              <w:left w:val="single" w:sz="4" w:space="0" w:color="auto"/>
              <w:right w:val="single" w:sz="4" w:space="0" w:color="auto"/>
            </w:tcBorders>
            <w:vAlign w:val="center"/>
          </w:tcPr>
          <w:p w14:paraId="05B4A44A"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7E0F5C7B" w14:textId="77777777" w:rsidR="005F5583" w:rsidRPr="00F8474E" w:rsidRDefault="005F5583" w:rsidP="005F5583">
            <w:pPr>
              <w:pStyle w:val="TAC"/>
            </w:pPr>
            <w:r w:rsidRPr="00F8474E">
              <w:rPr>
                <w:lang w:val="sv-SE"/>
              </w:rPr>
              <w:t>NR_FDD_FR1_E, NR_TDD_FR1_E</w:t>
            </w:r>
          </w:p>
        </w:tc>
        <w:tc>
          <w:tcPr>
            <w:tcW w:w="1289" w:type="dxa"/>
            <w:tcBorders>
              <w:left w:val="single" w:sz="4" w:space="0" w:color="auto"/>
              <w:right w:val="single" w:sz="4" w:space="0" w:color="auto"/>
            </w:tcBorders>
            <w:vAlign w:val="center"/>
          </w:tcPr>
          <w:p w14:paraId="2E5BE454" w14:textId="77777777" w:rsidR="005F5583" w:rsidRPr="00F8474E" w:rsidRDefault="005F5583" w:rsidP="005F5583">
            <w:pPr>
              <w:pStyle w:val="TAC"/>
            </w:pPr>
            <w:r w:rsidRPr="00F8474E">
              <w:t>-125</w:t>
            </w:r>
          </w:p>
        </w:tc>
        <w:tc>
          <w:tcPr>
            <w:tcW w:w="1123" w:type="dxa"/>
            <w:tcBorders>
              <w:left w:val="single" w:sz="4" w:space="0" w:color="auto"/>
              <w:right w:val="single" w:sz="4" w:space="0" w:color="auto"/>
            </w:tcBorders>
          </w:tcPr>
          <w:p w14:paraId="165337EB" w14:textId="77777777" w:rsidR="005F5583" w:rsidRPr="00F8474E" w:rsidRDefault="005F5583" w:rsidP="005F5583">
            <w:pPr>
              <w:pStyle w:val="TAC"/>
            </w:pPr>
            <w:r w:rsidRPr="00F8474E">
              <w:rPr>
                <w:rFonts w:hint="eastAsia"/>
                <w:lang w:eastAsia="zh-CN"/>
              </w:rPr>
              <w:t>-50</w:t>
            </w:r>
          </w:p>
        </w:tc>
      </w:tr>
      <w:tr w:rsidR="005F5583" w:rsidRPr="00F8474E" w14:paraId="466BDE03" w14:textId="77777777" w:rsidTr="00380899">
        <w:trPr>
          <w:trHeight w:val="22"/>
          <w:jc w:val="center"/>
        </w:trPr>
        <w:tc>
          <w:tcPr>
            <w:tcW w:w="1132" w:type="dxa"/>
            <w:vMerge/>
            <w:tcBorders>
              <w:left w:val="single" w:sz="4" w:space="0" w:color="auto"/>
              <w:right w:val="single" w:sz="6" w:space="0" w:color="auto"/>
            </w:tcBorders>
            <w:vAlign w:val="center"/>
          </w:tcPr>
          <w:p w14:paraId="1BE8BD7A"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4AB9A7B8"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4F6412BD"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4D2FAEC8" w14:textId="77777777" w:rsidR="005F5583" w:rsidRPr="00F8474E" w:rsidRDefault="005F5583" w:rsidP="005F5583">
            <w:pPr>
              <w:pStyle w:val="TAC"/>
            </w:pPr>
          </w:p>
        </w:tc>
        <w:tc>
          <w:tcPr>
            <w:tcW w:w="1832" w:type="dxa"/>
            <w:vMerge/>
            <w:tcBorders>
              <w:left w:val="single" w:sz="4" w:space="0" w:color="auto"/>
              <w:right w:val="single" w:sz="4" w:space="0" w:color="auto"/>
            </w:tcBorders>
            <w:vAlign w:val="center"/>
          </w:tcPr>
          <w:p w14:paraId="39510B7E"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7532BCA2" w14:textId="77777777" w:rsidR="005F5583" w:rsidRPr="00F8474E" w:rsidRDefault="005F5583" w:rsidP="005F5583">
            <w:pPr>
              <w:pStyle w:val="TAC"/>
            </w:pPr>
            <w:r w:rsidRPr="00F8474E">
              <w:rPr>
                <w:lang w:val="sv-SE"/>
              </w:rPr>
              <w:t>NR_FDD_FR1_F</w:t>
            </w:r>
          </w:p>
        </w:tc>
        <w:tc>
          <w:tcPr>
            <w:tcW w:w="1289" w:type="dxa"/>
            <w:tcBorders>
              <w:left w:val="single" w:sz="4" w:space="0" w:color="auto"/>
              <w:right w:val="single" w:sz="4" w:space="0" w:color="auto"/>
            </w:tcBorders>
            <w:vAlign w:val="center"/>
          </w:tcPr>
          <w:p w14:paraId="367B8737" w14:textId="77777777" w:rsidR="005F5583" w:rsidRPr="00F8474E" w:rsidRDefault="005F5583" w:rsidP="005F5583">
            <w:pPr>
              <w:pStyle w:val="TAC"/>
            </w:pPr>
            <w:r w:rsidRPr="00F8474E">
              <w:t>-124.5</w:t>
            </w:r>
          </w:p>
        </w:tc>
        <w:tc>
          <w:tcPr>
            <w:tcW w:w="1123" w:type="dxa"/>
            <w:tcBorders>
              <w:left w:val="single" w:sz="4" w:space="0" w:color="auto"/>
              <w:right w:val="single" w:sz="4" w:space="0" w:color="auto"/>
            </w:tcBorders>
          </w:tcPr>
          <w:p w14:paraId="3BFF2644" w14:textId="77777777" w:rsidR="005F5583" w:rsidRPr="00F8474E" w:rsidRDefault="005F5583" w:rsidP="005F5583">
            <w:pPr>
              <w:pStyle w:val="TAC"/>
            </w:pPr>
            <w:r w:rsidRPr="00F8474E">
              <w:rPr>
                <w:rFonts w:hint="eastAsia"/>
                <w:lang w:eastAsia="zh-CN"/>
              </w:rPr>
              <w:t>-50</w:t>
            </w:r>
          </w:p>
        </w:tc>
      </w:tr>
      <w:tr w:rsidR="005F5583" w:rsidRPr="00F8474E" w14:paraId="44ABE9E6" w14:textId="77777777" w:rsidTr="00380899">
        <w:trPr>
          <w:trHeight w:val="22"/>
          <w:jc w:val="center"/>
        </w:trPr>
        <w:tc>
          <w:tcPr>
            <w:tcW w:w="1132" w:type="dxa"/>
            <w:vMerge/>
            <w:tcBorders>
              <w:left w:val="single" w:sz="4" w:space="0" w:color="auto"/>
              <w:right w:val="single" w:sz="6" w:space="0" w:color="auto"/>
            </w:tcBorders>
            <w:vAlign w:val="center"/>
          </w:tcPr>
          <w:p w14:paraId="3330F4BA"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78296307"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66C8ED1D"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453D6F31" w14:textId="77777777" w:rsidR="005F5583" w:rsidRPr="00F8474E" w:rsidRDefault="005F5583" w:rsidP="005F5583">
            <w:pPr>
              <w:pStyle w:val="TAC"/>
            </w:pPr>
          </w:p>
        </w:tc>
        <w:tc>
          <w:tcPr>
            <w:tcW w:w="1832" w:type="dxa"/>
            <w:vMerge/>
            <w:tcBorders>
              <w:left w:val="single" w:sz="4" w:space="0" w:color="auto"/>
              <w:right w:val="single" w:sz="4" w:space="0" w:color="auto"/>
            </w:tcBorders>
            <w:vAlign w:val="center"/>
          </w:tcPr>
          <w:p w14:paraId="60DF75BA"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77B452FC" w14:textId="77777777" w:rsidR="005F5583" w:rsidRPr="00F8474E" w:rsidRDefault="005F5583" w:rsidP="005F5583">
            <w:pPr>
              <w:pStyle w:val="TAC"/>
            </w:pPr>
            <w:r w:rsidRPr="00F8474E">
              <w:rPr>
                <w:lang w:val="sv-SE"/>
              </w:rPr>
              <w:t>NR_FDD_FR1_G, NR_TDD_FR1_G</w:t>
            </w:r>
          </w:p>
        </w:tc>
        <w:tc>
          <w:tcPr>
            <w:tcW w:w="1289" w:type="dxa"/>
            <w:tcBorders>
              <w:left w:val="single" w:sz="4" w:space="0" w:color="auto"/>
              <w:right w:val="single" w:sz="4" w:space="0" w:color="auto"/>
            </w:tcBorders>
            <w:vAlign w:val="center"/>
          </w:tcPr>
          <w:p w14:paraId="5BE07565" w14:textId="77777777" w:rsidR="005F5583" w:rsidRPr="00F8474E" w:rsidRDefault="005F5583" w:rsidP="005F5583">
            <w:pPr>
              <w:pStyle w:val="TAC"/>
            </w:pPr>
            <w:r w:rsidRPr="00F8474E">
              <w:t>-124</w:t>
            </w:r>
          </w:p>
        </w:tc>
        <w:tc>
          <w:tcPr>
            <w:tcW w:w="1123" w:type="dxa"/>
            <w:tcBorders>
              <w:left w:val="single" w:sz="4" w:space="0" w:color="auto"/>
              <w:right w:val="single" w:sz="4" w:space="0" w:color="auto"/>
            </w:tcBorders>
          </w:tcPr>
          <w:p w14:paraId="4D049A9A" w14:textId="77777777" w:rsidR="005F5583" w:rsidRPr="00F8474E" w:rsidRDefault="005F5583" w:rsidP="005F5583">
            <w:pPr>
              <w:pStyle w:val="TAC"/>
            </w:pPr>
            <w:r w:rsidRPr="00F8474E">
              <w:rPr>
                <w:rFonts w:hint="eastAsia"/>
                <w:lang w:eastAsia="zh-CN"/>
              </w:rPr>
              <w:t>-50</w:t>
            </w:r>
          </w:p>
        </w:tc>
      </w:tr>
      <w:tr w:rsidR="005F5583" w:rsidRPr="00F8474E" w14:paraId="6135C600" w14:textId="77777777" w:rsidTr="00380899">
        <w:trPr>
          <w:trHeight w:val="22"/>
          <w:jc w:val="center"/>
        </w:trPr>
        <w:tc>
          <w:tcPr>
            <w:tcW w:w="1132" w:type="dxa"/>
            <w:vMerge/>
            <w:tcBorders>
              <w:left w:val="single" w:sz="4" w:space="0" w:color="auto"/>
              <w:bottom w:val="nil"/>
              <w:right w:val="single" w:sz="6" w:space="0" w:color="auto"/>
            </w:tcBorders>
            <w:vAlign w:val="center"/>
          </w:tcPr>
          <w:p w14:paraId="1239023C" w14:textId="77777777" w:rsidR="005F5583" w:rsidRPr="00F8474E" w:rsidRDefault="005F5583" w:rsidP="005F5583">
            <w:pPr>
              <w:pStyle w:val="TAC"/>
            </w:pPr>
          </w:p>
        </w:tc>
        <w:tc>
          <w:tcPr>
            <w:tcW w:w="715" w:type="dxa"/>
            <w:vMerge/>
            <w:tcBorders>
              <w:left w:val="single" w:sz="4" w:space="0" w:color="auto"/>
              <w:bottom w:val="nil"/>
              <w:right w:val="single" w:sz="4" w:space="0" w:color="auto"/>
            </w:tcBorders>
            <w:vAlign w:val="center"/>
          </w:tcPr>
          <w:p w14:paraId="30177DEE" w14:textId="77777777" w:rsidR="005F5583" w:rsidRPr="00F8474E" w:rsidRDefault="005F5583" w:rsidP="005F5583">
            <w:pPr>
              <w:pStyle w:val="TAC"/>
              <w:rPr>
                <w:lang w:val="sv-SE"/>
              </w:rPr>
            </w:pPr>
          </w:p>
        </w:tc>
        <w:tc>
          <w:tcPr>
            <w:tcW w:w="1133" w:type="dxa"/>
            <w:vMerge/>
            <w:tcBorders>
              <w:left w:val="single" w:sz="4" w:space="0" w:color="auto"/>
              <w:bottom w:val="single" w:sz="4" w:space="0" w:color="auto"/>
              <w:right w:val="single" w:sz="4" w:space="0" w:color="auto"/>
            </w:tcBorders>
          </w:tcPr>
          <w:p w14:paraId="1046EDE7" w14:textId="77777777" w:rsidR="005F5583" w:rsidRPr="00F8474E" w:rsidRDefault="005F5583" w:rsidP="005F5583">
            <w:pPr>
              <w:pStyle w:val="TAC"/>
              <w:rPr>
                <w:rFonts w:cs="Calibri"/>
              </w:rPr>
            </w:pPr>
          </w:p>
        </w:tc>
        <w:tc>
          <w:tcPr>
            <w:tcW w:w="709" w:type="dxa"/>
            <w:vMerge/>
            <w:tcBorders>
              <w:left w:val="single" w:sz="4" w:space="0" w:color="auto"/>
              <w:bottom w:val="nil"/>
              <w:right w:val="single" w:sz="4" w:space="0" w:color="auto"/>
            </w:tcBorders>
            <w:vAlign w:val="center"/>
          </w:tcPr>
          <w:p w14:paraId="0C21739D" w14:textId="77777777" w:rsidR="005F5583" w:rsidRPr="00F8474E" w:rsidRDefault="005F5583" w:rsidP="005F5583">
            <w:pPr>
              <w:pStyle w:val="TAC"/>
            </w:pPr>
          </w:p>
        </w:tc>
        <w:tc>
          <w:tcPr>
            <w:tcW w:w="1832" w:type="dxa"/>
            <w:vMerge/>
            <w:tcBorders>
              <w:left w:val="single" w:sz="4" w:space="0" w:color="auto"/>
              <w:bottom w:val="single" w:sz="4" w:space="0" w:color="auto"/>
              <w:right w:val="single" w:sz="4" w:space="0" w:color="auto"/>
            </w:tcBorders>
            <w:vAlign w:val="center"/>
          </w:tcPr>
          <w:p w14:paraId="7A5D0674"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5DCD87BA" w14:textId="77777777" w:rsidR="005F5583" w:rsidRPr="00F8474E" w:rsidRDefault="005F5583" w:rsidP="005F5583">
            <w:pPr>
              <w:pStyle w:val="TAC"/>
            </w:pPr>
            <w:r w:rsidRPr="00F8474E">
              <w:rPr>
                <w:lang w:val="sv-SE"/>
              </w:rPr>
              <w:t>NR_FDD_FR1_H</w:t>
            </w:r>
          </w:p>
        </w:tc>
        <w:tc>
          <w:tcPr>
            <w:tcW w:w="1289" w:type="dxa"/>
            <w:tcBorders>
              <w:left w:val="single" w:sz="4" w:space="0" w:color="auto"/>
              <w:bottom w:val="single" w:sz="4" w:space="0" w:color="auto"/>
              <w:right w:val="single" w:sz="4" w:space="0" w:color="auto"/>
            </w:tcBorders>
            <w:vAlign w:val="center"/>
          </w:tcPr>
          <w:p w14:paraId="30DCC084" w14:textId="77777777" w:rsidR="005F5583" w:rsidRPr="00F8474E" w:rsidRDefault="005F5583" w:rsidP="005F5583">
            <w:pPr>
              <w:pStyle w:val="TAC"/>
            </w:pPr>
            <w:r w:rsidRPr="00F8474E">
              <w:t>-123.5</w:t>
            </w:r>
          </w:p>
        </w:tc>
        <w:tc>
          <w:tcPr>
            <w:tcW w:w="1123" w:type="dxa"/>
            <w:tcBorders>
              <w:left w:val="single" w:sz="4" w:space="0" w:color="auto"/>
              <w:bottom w:val="single" w:sz="4" w:space="0" w:color="auto"/>
              <w:right w:val="single" w:sz="4" w:space="0" w:color="auto"/>
            </w:tcBorders>
          </w:tcPr>
          <w:p w14:paraId="1FD2488B" w14:textId="77777777" w:rsidR="005F5583" w:rsidRPr="00F8474E" w:rsidRDefault="005F5583" w:rsidP="005F5583">
            <w:pPr>
              <w:pStyle w:val="TAC"/>
            </w:pPr>
            <w:r w:rsidRPr="00F8474E">
              <w:rPr>
                <w:rFonts w:hint="eastAsia"/>
                <w:lang w:eastAsia="zh-CN"/>
              </w:rPr>
              <w:t>-50</w:t>
            </w:r>
          </w:p>
        </w:tc>
      </w:tr>
      <w:tr w:rsidR="005F5583" w:rsidRPr="00F8474E" w14:paraId="2FB6ACD9" w14:textId="77777777" w:rsidTr="00FA482E">
        <w:trPr>
          <w:jc w:val="center"/>
        </w:trPr>
        <w:tc>
          <w:tcPr>
            <w:tcW w:w="1132" w:type="dxa"/>
            <w:tcBorders>
              <w:top w:val="single" w:sz="6" w:space="0" w:color="auto"/>
              <w:left w:val="single" w:sz="4" w:space="0" w:color="auto"/>
              <w:bottom w:val="nil"/>
              <w:right w:val="single" w:sz="6" w:space="0" w:color="auto"/>
            </w:tcBorders>
            <w:vAlign w:val="center"/>
            <w:hideMark/>
          </w:tcPr>
          <w:p w14:paraId="66F9CF1B" w14:textId="47C3C30E" w:rsidR="005F5583" w:rsidRPr="00F8474E" w:rsidRDefault="005F5583" w:rsidP="005F5583">
            <w:pPr>
              <w:pStyle w:val="TAC"/>
              <w:rPr>
                <w:lang w:eastAsia="zh-CN"/>
              </w:rPr>
            </w:pPr>
            <w:r w:rsidRPr="00F8474E">
              <w:t>± 30+</w:t>
            </w:r>
            <w:r w:rsidRPr="00F8474E">
              <w:rPr>
                <w:lang w:eastAsia="ko-KR"/>
              </w:rPr>
              <w:sym w:font="Symbol" w:char="F064"/>
            </w:r>
            <w:r w:rsidRPr="00F8474E">
              <w:t>6</w:t>
            </w:r>
          </w:p>
        </w:tc>
        <w:tc>
          <w:tcPr>
            <w:tcW w:w="715" w:type="dxa"/>
            <w:tcBorders>
              <w:top w:val="nil"/>
              <w:left w:val="single" w:sz="4" w:space="0" w:color="auto"/>
              <w:bottom w:val="nil"/>
              <w:right w:val="single" w:sz="4" w:space="0" w:color="auto"/>
            </w:tcBorders>
            <w:vAlign w:val="center"/>
            <w:hideMark/>
          </w:tcPr>
          <w:p w14:paraId="188B283C" w14:textId="77777777" w:rsidR="005F5583" w:rsidRPr="00F8474E" w:rsidRDefault="005F5583" w:rsidP="005F5583">
            <w:pPr>
              <w:pStyle w:val="TAC"/>
              <w:rPr>
                <w:rFonts w:eastAsia="SimSun"/>
                <w:lang w:eastAsia="ko-KR"/>
              </w:rPr>
            </w:pPr>
          </w:p>
        </w:tc>
        <w:tc>
          <w:tcPr>
            <w:tcW w:w="1133" w:type="dxa"/>
            <w:tcBorders>
              <w:top w:val="single" w:sz="4" w:space="0" w:color="auto"/>
              <w:left w:val="single" w:sz="4" w:space="0" w:color="auto"/>
              <w:bottom w:val="single" w:sz="4" w:space="0" w:color="auto"/>
              <w:right w:val="single" w:sz="4" w:space="0" w:color="auto"/>
            </w:tcBorders>
            <w:hideMark/>
          </w:tcPr>
          <w:p w14:paraId="2D934F14" w14:textId="06886001" w:rsidR="005F5583" w:rsidRPr="00F8474E" w:rsidRDefault="005F5583" w:rsidP="005F5583">
            <w:pPr>
              <w:pStyle w:val="TAC"/>
            </w:pPr>
            <w:r w:rsidRPr="00F8474E">
              <w:rPr>
                <w:lang w:eastAsia="zh-CN"/>
              </w:rPr>
              <w:t>&gt;104</w:t>
            </w:r>
          </w:p>
        </w:tc>
        <w:tc>
          <w:tcPr>
            <w:tcW w:w="709" w:type="dxa"/>
            <w:tcBorders>
              <w:top w:val="nil"/>
              <w:left w:val="single" w:sz="4" w:space="0" w:color="auto"/>
              <w:bottom w:val="single" w:sz="4" w:space="0" w:color="auto"/>
              <w:right w:val="single" w:sz="4" w:space="0" w:color="auto"/>
            </w:tcBorders>
            <w:vAlign w:val="center"/>
            <w:hideMark/>
          </w:tcPr>
          <w:p w14:paraId="074D7E79" w14:textId="77777777" w:rsidR="005F5583" w:rsidRPr="00F8474E" w:rsidRDefault="005F5583" w:rsidP="005F5583">
            <w:pPr>
              <w:pStyle w:val="TAC"/>
              <w:rPr>
                <w:rFonts w:eastAsia="SimSun"/>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42F99105" w14:textId="45942F34"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7B3D34F8" w14:textId="60E3A991" w:rsidR="005F5583" w:rsidRPr="00F8474E" w:rsidRDefault="005F5583" w:rsidP="005F5583">
            <w:pPr>
              <w:pStyle w:val="TAC"/>
            </w:pPr>
            <w:r w:rsidRPr="00F8474E">
              <w:rPr>
                <w:rFonts w:hint="eastAsia"/>
                <w:lang w:eastAsia="zh-CN"/>
              </w:rPr>
              <w:t>NOTE</w:t>
            </w:r>
            <w:r w:rsidRPr="00F8474E">
              <w:t xml:space="preserve"> 6</w:t>
            </w:r>
          </w:p>
        </w:tc>
        <w:tc>
          <w:tcPr>
            <w:tcW w:w="1289" w:type="dxa"/>
            <w:tcBorders>
              <w:top w:val="single" w:sz="4" w:space="0" w:color="auto"/>
              <w:left w:val="single" w:sz="4" w:space="0" w:color="auto"/>
              <w:bottom w:val="single" w:sz="4" w:space="0" w:color="auto"/>
              <w:right w:val="single" w:sz="4" w:space="0" w:color="auto"/>
            </w:tcBorders>
            <w:hideMark/>
          </w:tcPr>
          <w:p w14:paraId="76260B39" w14:textId="18ED0B0D" w:rsidR="005F5583" w:rsidRPr="00F8474E" w:rsidRDefault="005F5583" w:rsidP="005F5583">
            <w:pPr>
              <w:pStyle w:val="TAC"/>
            </w:pPr>
            <w:r w:rsidRPr="00F8474E">
              <w:rPr>
                <w:rFonts w:hint="eastAsia"/>
                <w:lang w:eastAsia="zh-CN"/>
              </w:rPr>
              <w:t>NOTE</w:t>
            </w:r>
            <w:r w:rsidRPr="00F8474E">
              <w:t xml:space="preserve"> 6</w:t>
            </w:r>
          </w:p>
        </w:tc>
        <w:tc>
          <w:tcPr>
            <w:tcW w:w="1123" w:type="dxa"/>
            <w:tcBorders>
              <w:top w:val="single" w:sz="4" w:space="0" w:color="auto"/>
              <w:left w:val="single" w:sz="4" w:space="0" w:color="auto"/>
              <w:bottom w:val="single" w:sz="4" w:space="0" w:color="auto"/>
              <w:right w:val="single" w:sz="4" w:space="0" w:color="auto"/>
            </w:tcBorders>
            <w:hideMark/>
          </w:tcPr>
          <w:p w14:paraId="2C8970BC" w14:textId="58CDB05D" w:rsidR="005F5583" w:rsidRPr="00F8474E" w:rsidRDefault="005F5583" w:rsidP="005F5583">
            <w:pPr>
              <w:pStyle w:val="TAC"/>
            </w:pPr>
            <w:r w:rsidRPr="00F8474E">
              <w:rPr>
                <w:rFonts w:hint="eastAsia"/>
                <w:lang w:eastAsia="zh-CN"/>
              </w:rPr>
              <w:t>NOTE</w:t>
            </w:r>
            <w:r w:rsidRPr="00F8474E">
              <w:t xml:space="preserve"> 6</w:t>
            </w:r>
          </w:p>
        </w:tc>
      </w:tr>
      <w:tr w:rsidR="005F5583" w:rsidRPr="00F8474E" w14:paraId="575CA14B" w14:textId="77777777" w:rsidTr="00380899">
        <w:trPr>
          <w:trHeight w:val="26"/>
          <w:jc w:val="center"/>
        </w:trPr>
        <w:tc>
          <w:tcPr>
            <w:tcW w:w="1132" w:type="dxa"/>
            <w:vMerge w:val="restart"/>
            <w:tcBorders>
              <w:top w:val="single" w:sz="6" w:space="0" w:color="auto"/>
              <w:left w:val="single" w:sz="4" w:space="0" w:color="auto"/>
              <w:right w:val="single" w:sz="6" w:space="0" w:color="auto"/>
            </w:tcBorders>
            <w:vAlign w:val="center"/>
            <w:hideMark/>
          </w:tcPr>
          <w:p w14:paraId="0E11BE6D" w14:textId="514A8AA0" w:rsidR="005F5583" w:rsidRPr="00F8474E" w:rsidRDefault="005F5583" w:rsidP="005F5583">
            <w:pPr>
              <w:pStyle w:val="TAC"/>
              <w:rPr>
                <w:lang w:eastAsia="zh-CN"/>
              </w:rPr>
            </w:pPr>
            <w:r w:rsidRPr="00F8474E">
              <w:t>± 30+</w:t>
            </w:r>
            <w:r w:rsidRPr="00F8474E">
              <w:rPr>
                <w:lang w:eastAsia="ko-KR"/>
              </w:rPr>
              <w:sym w:font="Symbol" w:char="F064"/>
            </w:r>
          </w:p>
        </w:tc>
        <w:tc>
          <w:tcPr>
            <w:tcW w:w="715" w:type="dxa"/>
            <w:vMerge w:val="restart"/>
            <w:tcBorders>
              <w:top w:val="nil"/>
              <w:left w:val="single" w:sz="4" w:space="0" w:color="auto"/>
              <w:right w:val="single" w:sz="4" w:space="0" w:color="auto"/>
            </w:tcBorders>
            <w:vAlign w:val="center"/>
          </w:tcPr>
          <w:p w14:paraId="59C31AE9" w14:textId="77777777" w:rsidR="005F5583" w:rsidRPr="00F8474E" w:rsidRDefault="005F5583" w:rsidP="005F5583">
            <w:pPr>
              <w:pStyle w:val="TAC"/>
              <w:rPr>
                <w:lang w:val="sv-SE"/>
              </w:rPr>
            </w:pPr>
          </w:p>
        </w:tc>
        <w:tc>
          <w:tcPr>
            <w:tcW w:w="1133" w:type="dxa"/>
            <w:vMerge w:val="restart"/>
            <w:tcBorders>
              <w:top w:val="single" w:sz="4" w:space="0" w:color="auto"/>
              <w:left w:val="single" w:sz="4" w:space="0" w:color="auto"/>
              <w:right w:val="single" w:sz="4" w:space="0" w:color="auto"/>
            </w:tcBorders>
            <w:vAlign w:val="center"/>
            <w:hideMark/>
          </w:tcPr>
          <w:p w14:paraId="2CEC4924" w14:textId="412D0C51" w:rsidR="005F5583" w:rsidRPr="00F8474E" w:rsidRDefault="005F5583" w:rsidP="005F5583">
            <w:pPr>
              <w:pStyle w:val="TAC"/>
            </w:pPr>
            <w:r w:rsidRPr="00F8474E">
              <w:rPr>
                <w:rFonts w:cs="Calibri"/>
              </w:rPr>
              <w:t>≥</w:t>
            </w:r>
            <w:r w:rsidRPr="00F8474E">
              <w:rPr>
                <w:lang w:eastAsia="zh-CN"/>
              </w:rPr>
              <w:t>48</w:t>
            </w:r>
          </w:p>
        </w:tc>
        <w:tc>
          <w:tcPr>
            <w:tcW w:w="709" w:type="dxa"/>
            <w:vMerge w:val="restart"/>
            <w:tcBorders>
              <w:top w:val="nil"/>
              <w:left w:val="single" w:sz="4" w:space="0" w:color="auto"/>
              <w:right w:val="single" w:sz="4" w:space="0" w:color="auto"/>
            </w:tcBorders>
            <w:vAlign w:val="center"/>
            <w:hideMark/>
          </w:tcPr>
          <w:p w14:paraId="7FBEC483" w14:textId="77777777" w:rsidR="005F5583" w:rsidRPr="00F8474E" w:rsidRDefault="005F5583" w:rsidP="005F5583">
            <w:pPr>
              <w:pStyle w:val="TAC"/>
            </w:pPr>
            <w:r w:rsidRPr="00F8474E">
              <w:t>30</w:t>
            </w:r>
          </w:p>
        </w:tc>
        <w:tc>
          <w:tcPr>
            <w:tcW w:w="1832" w:type="dxa"/>
            <w:vMerge w:val="restart"/>
            <w:tcBorders>
              <w:top w:val="single" w:sz="4" w:space="0" w:color="auto"/>
              <w:left w:val="single" w:sz="4" w:space="0" w:color="auto"/>
              <w:right w:val="single" w:sz="4" w:space="0" w:color="auto"/>
            </w:tcBorders>
            <w:vAlign w:val="center"/>
            <w:hideMark/>
          </w:tcPr>
          <w:p w14:paraId="5485DF02" w14:textId="08B4713E"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2EC92EA9" w14:textId="0D691D49" w:rsidR="005F5583" w:rsidRPr="00F8474E" w:rsidRDefault="005F5583" w:rsidP="005F5583">
            <w:pPr>
              <w:pStyle w:val="TAC"/>
            </w:pPr>
            <w:r w:rsidRPr="00F8474E">
              <w:t xml:space="preserve">NR_FDD_FR1_A, NR_TDD_FR1_A, </w:t>
            </w:r>
            <w:r w:rsidRPr="00F8474E">
              <w:rPr>
                <w:lang w:val="en-US"/>
              </w:rPr>
              <w:t>NR_SDL_FR1_A</w:t>
            </w:r>
          </w:p>
        </w:tc>
        <w:tc>
          <w:tcPr>
            <w:tcW w:w="1289" w:type="dxa"/>
            <w:tcBorders>
              <w:top w:val="single" w:sz="4" w:space="0" w:color="auto"/>
              <w:left w:val="single" w:sz="4" w:space="0" w:color="auto"/>
              <w:right w:val="single" w:sz="4" w:space="0" w:color="auto"/>
            </w:tcBorders>
            <w:vAlign w:val="center"/>
            <w:hideMark/>
          </w:tcPr>
          <w:p w14:paraId="770FE88D" w14:textId="1495311F" w:rsidR="005F5583" w:rsidRPr="00F8474E" w:rsidRDefault="005F5583" w:rsidP="005F5583">
            <w:pPr>
              <w:pStyle w:val="TAC"/>
            </w:pPr>
            <w:r w:rsidRPr="00F8474E">
              <w:t>-124</w:t>
            </w:r>
          </w:p>
        </w:tc>
        <w:tc>
          <w:tcPr>
            <w:tcW w:w="1123" w:type="dxa"/>
            <w:tcBorders>
              <w:top w:val="single" w:sz="4" w:space="0" w:color="auto"/>
              <w:left w:val="single" w:sz="4" w:space="0" w:color="auto"/>
              <w:right w:val="single" w:sz="4" w:space="0" w:color="auto"/>
            </w:tcBorders>
            <w:hideMark/>
          </w:tcPr>
          <w:p w14:paraId="38595D4A" w14:textId="3A8A1D32" w:rsidR="005F5583" w:rsidRPr="00F8474E" w:rsidRDefault="005F5583" w:rsidP="005F5583">
            <w:pPr>
              <w:pStyle w:val="TAC"/>
            </w:pPr>
            <w:r w:rsidRPr="00F8474E">
              <w:rPr>
                <w:rFonts w:hint="eastAsia"/>
                <w:lang w:eastAsia="zh-CN"/>
              </w:rPr>
              <w:t>-50</w:t>
            </w:r>
          </w:p>
        </w:tc>
      </w:tr>
      <w:tr w:rsidR="005F5583" w:rsidRPr="00F8474E" w14:paraId="31777906" w14:textId="77777777" w:rsidTr="00380899">
        <w:trPr>
          <w:trHeight w:val="26"/>
          <w:jc w:val="center"/>
        </w:trPr>
        <w:tc>
          <w:tcPr>
            <w:tcW w:w="1132" w:type="dxa"/>
            <w:vMerge/>
            <w:tcBorders>
              <w:top w:val="single" w:sz="6" w:space="0" w:color="auto"/>
              <w:left w:val="single" w:sz="4" w:space="0" w:color="auto"/>
              <w:right w:val="single" w:sz="6" w:space="0" w:color="auto"/>
            </w:tcBorders>
          </w:tcPr>
          <w:p w14:paraId="17A4AA0B" w14:textId="77777777" w:rsidR="005F5583" w:rsidRPr="00F8474E" w:rsidRDefault="005F5583" w:rsidP="005F5583">
            <w:pPr>
              <w:pStyle w:val="TAC"/>
            </w:pPr>
          </w:p>
        </w:tc>
        <w:tc>
          <w:tcPr>
            <w:tcW w:w="715" w:type="dxa"/>
            <w:vMerge/>
            <w:tcBorders>
              <w:top w:val="nil"/>
              <w:left w:val="single" w:sz="4" w:space="0" w:color="auto"/>
              <w:right w:val="single" w:sz="4" w:space="0" w:color="auto"/>
            </w:tcBorders>
            <w:vAlign w:val="center"/>
          </w:tcPr>
          <w:p w14:paraId="231C1BC6" w14:textId="77777777" w:rsidR="005F5583" w:rsidRPr="00F8474E" w:rsidRDefault="005F5583" w:rsidP="005F5583">
            <w:pPr>
              <w:pStyle w:val="TAC"/>
              <w:rPr>
                <w:lang w:val="sv-SE"/>
              </w:rPr>
            </w:pPr>
          </w:p>
        </w:tc>
        <w:tc>
          <w:tcPr>
            <w:tcW w:w="1133" w:type="dxa"/>
            <w:vMerge/>
            <w:tcBorders>
              <w:top w:val="single" w:sz="4" w:space="0" w:color="auto"/>
              <w:left w:val="single" w:sz="4" w:space="0" w:color="auto"/>
              <w:right w:val="single" w:sz="4" w:space="0" w:color="auto"/>
            </w:tcBorders>
          </w:tcPr>
          <w:p w14:paraId="0862421E" w14:textId="77777777" w:rsidR="005F5583" w:rsidRPr="00F8474E" w:rsidRDefault="005F5583" w:rsidP="005F5583">
            <w:pPr>
              <w:pStyle w:val="TAC"/>
              <w:rPr>
                <w:rFonts w:cs="Calibri"/>
              </w:rPr>
            </w:pPr>
          </w:p>
        </w:tc>
        <w:tc>
          <w:tcPr>
            <w:tcW w:w="709" w:type="dxa"/>
            <w:vMerge/>
            <w:tcBorders>
              <w:top w:val="nil"/>
              <w:left w:val="single" w:sz="4" w:space="0" w:color="auto"/>
              <w:right w:val="single" w:sz="4" w:space="0" w:color="auto"/>
            </w:tcBorders>
            <w:vAlign w:val="center"/>
          </w:tcPr>
          <w:p w14:paraId="3C8F1B71" w14:textId="77777777" w:rsidR="005F5583" w:rsidRPr="00F8474E" w:rsidRDefault="005F5583" w:rsidP="005F5583">
            <w:pPr>
              <w:pStyle w:val="TAC"/>
            </w:pPr>
          </w:p>
        </w:tc>
        <w:tc>
          <w:tcPr>
            <w:tcW w:w="1832" w:type="dxa"/>
            <w:vMerge/>
            <w:tcBorders>
              <w:top w:val="single" w:sz="4" w:space="0" w:color="auto"/>
              <w:left w:val="single" w:sz="4" w:space="0" w:color="auto"/>
              <w:right w:val="single" w:sz="4" w:space="0" w:color="auto"/>
            </w:tcBorders>
          </w:tcPr>
          <w:p w14:paraId="591C8DC6"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3777C8F6" w14:textId="77777777" w:rsidR="005F5583" w:rsidRPr="00F8474E" w:rsidRDefault="005F5583" w:rsidP="005F5583">
            <w:pPr>
              <w:pStyle w:val="TAC"/>
            </w:pPr>
            <w:r w:rsidRPr="00F8474E">
              <w:rPr>
                <w:lang w:val="sv-SE"/>
              </w:rPr>
              <w:t>NR_FDD_FR1_B</w:t>
            </w:r>
          </w:p>
        </w:tc>
        <w:tc>
          <w:tcPr>
            <w:tcW w:w="1289" w:type="dxa"/>
            <w:tcBorders>
              <w:left w:val="single" w:sz="4" w:space="0" w:color="auto"/>
              <w:right w:val="single" w:sz="4" w:space="0" w:color="auto"/>
            </w:tcBorders>
          </w:tcPr>
          <w:p w14:paraId="09654BA7" w14:textId="77777777" w:rsidR="005F5583" w:rsidRPr="00F8474E" w:rsidRDefault="005F5583" w:rsidP="005F5583">
            <w:pPr>
              <w:pStyle w:val="TAC"/>
            </w:pPr>
            <w:r w:rsidRPr="00F8474E">
              <w:t>-123.5</w:t>
            </w:r>
          </w:p>
        </w:tc>
        <w:tc>
          <w:tcPr>
            <w:tcW w:w="1123" w:type="dxa"/>
            <w:tcBorders>
              <w:left w:val="single" w:sz="4" w:space="0" w:color="auto"/>
              <w:right w:val="single" w:sz="4" w:space="0" w:color="auto"/>
            </w:tcBorders>
          </w:tcPr>
          <w:p w14:paraId="0E1407AF" w14:textId="77777777" w:rsidR="005F5583" w:rsidRPr="00F8474E" w:rsidRDefault="005F5583" w:rsidP="005F5583">
            <w:pPr>
              <w:pStyle w:val="TAC"/>
            </w:pPr>
            <w:r w:rsidRPr="00F8474E">
              <w:rPr>
                <w:rFonts w:hint="eastAsia"/>
                <w:lang w:eastAsia="zh-CN"/>
              </w:rPr>
              <w:t>-50</w:t>
            </w:r>
          </w:p>
        </w:tc>
      </w:tr>
      <w:tr w:rsidR="005F5583" w:rsidRPr="00F8474E" w14:paraId="0AC0E0FD" w14:textId="77777777" w:rsidTr="00380899">
        <w:trPr>
          <w:trHeight w:val="22"/>
          <w:jc w:val="center"/>
        </w:trPr>
        <w:tc>
          <w:tcPr>
            <w:tcW w:w="1132" w:type="dxa"/>
            <w:vMerge/>
            <w:tcBorders>
              <w:left w:val="single" w:sz="4" w:space="0" w:color="auto"/>
              <w:right w:val="single" w:sz="6" w:space="0" w:color="auto"/>
            </w:tcBorders>
          </w:tcPr>
          <w:p w14:paraId="4F6ABAB6"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4C89C8A9"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5CE3CE7D"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2A757C1C"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78270AD2"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0CD71387" w14:textId="77777777" w:rsidR="005F5583" w:rsidRPr="00F8474E" w:rsidRDefault="005F5583" w:rsidP="005F5583">
            <w:pPr>
              <w:pStyle w:val="TAC"/>
            </w:pPr>
            <w:r w:rsidRPr="00F8474E">
              <w:rPr>
                <w:lang w:val="sv-SE"/>
              </w:rPr>
              <w:t>NR_TDD_FR1_C</w:t>
            </w:r>
          </w:p>
        </w:tc>
        <w:tc>
          <w:tcPr>
            <w:tcW w:w="1289" w:type="dxa"/>
            <w:tcBorders>
              <w:left w:val="single" w:sz="4" w:space="0" w:color="auto"/>
              <w:right w:val="single" w:sz="4" w:space="0" w:color="auto"/>
            </w:tcBorders>
            <w:vAlign w:val="center"/>
          </w:tcPr>
          <w:p w14:paraId="3214D1A0" w14:textId="77777777" w:rsidR="005F5583" w:rsidRPr="00F8474E" w:rsidRDefault="005F5583" w:rsidP="005F5583">
            <w:pPr>
              <w:pStyle w:val="TAC"/>
            </w:pPr>
            <w:r w:rsidRPr="00F8474E">
              <w:t>-123</w:t>
            </w:r>
          </w:p>
        </w:tc>
        <w:tc>
          <w:tcPr>
            <w:tcW w:w="1123" w:type="dxa"/>
            <w:tcBorders>
              <w:left w:val="single" w:sz="4" w:space="0" w:color="auto"/>
              <w:right w:val="single" w:sz="4" w:space="0" w:color="auto"/>
            </w:tcBorders>
          </w:tcPr>
          <w:p w14:paraId="63BAA7B6" w14:textId="77777777" w:rsidR="005F5583" w:rsidRPr="00F8474E" w:rsidRDefault="005F5583" w:rsidP="005F5583">
            <w:pPr>
              <w:pStyle w:val="TAC"/>
            </w:pPr>
            <w:r w:rsidRPr="00F8474E">
              <w:rPr>
                <w:rFonts w:hint="eastAsia"/>
                <w:lang w:eastAsia="zh-CN"/>
              </w:rPr>
              <w:t>-50</w:t>
            </w:r>
          </w:p>
        </w:tc>
      </w:tr>
      <w:tr w:rsidR="005F5583" w:rsidRPr="00F8474E" w14:paraId="23433FE4" w14:textId="77777777" w:rsidTr="00380899">
        <w:trPr>
          <w:trHeight w:val="22"/>
          <w:jc w:val="center"/>
        </w:trPr>
        <w:tc>
          <w:tcPr>
            <w:tcW w:w="1132" w:type="dxa"/>
            <w:vMerge/>
            <w:tcBorders>
              <w:left w:val="single" w:sz="4" w:space="0" w:color="auto"/>
              <w:right w:val="single" w:sz="6" w:space="0" w:color="auto"/>
            </w:tcBorders>
          </w:tcPr>
          <w:p w14:paraId="248404A8"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77B36417"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3813B600"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6739EA5A"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33E05C0F"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41386B5D" w14:textId="77777777" w:rsidR="005F5583" w:rsidRPr="00F8474E" w:rsidRDefault="005F5583" w:rsidP="005F5583">
            <w:pPr>
              <w:pStyle w:val="TAC"/>
            </w:pPr>
            <w:r w:rsidRPr="00F8474E">
              <w:rPr>
                <w:lang w:val="sv-SE"/>
              </w:rPr>
              <w:t>NR_FDD_FR1_D, NR_TDD_FR1_D</w:t>
            </w:r>
          </w:p>
        </w:tc>
        <w:tc>
          <w:tcPr>
            <w:tcW w:w="1289" w:type="dxa"/>
            <w:tcBorders>
              <w:left w:val="single" w:sz="4" w:space="0" w:color="auto"/>
              <w:right w:val="single" w:sz="4" w:space="0" w:color="auto"/>
            </w:tcBorders>
            <w:vAlign w:val="center"/>
          </w:tcPr>
          <w:p w14:paraId="2C7BA64E" w14:textId="77777777" w:rsidR="005F5583" w:rsidRPr="00F8474E" w:rsidRDefault="005F5583" w:rsidP="005F5583">
            <w:pPr>
              <w:pStyle w:val="TAC"/>
            </w:pPr>
            <w:r w:rsidRPr="00F8474E">
              <w:t>-122.5</w:t>
            </w:r>
          </w:p>
        </w:tc>
        <w:tc>
          <w:tcPr>
            <w:tcW w:w="1123" w:type="dxa"/>
            <w:tcBorders>
              <w:left w:val="single" w:sz="4" w:space="0" w:color="auto"/>
              <w:right w:val="single" w:sz="4" w:space="0" w:color="auto"/>
            </w:tcBorders>
          </w:tcPr>
          <w:p w14:paraId="1EA7B7CF" w14:textId="77777777" w:rsidR="005F5583" w:rsidRPr="00F8474E" w:rsidRDefault="005F5583" w:rsidP="005F5583">
            <w:pPr>
              <w:pStyle w:val="TAC"/>
            </w:pPr>
            <w:r w:rsidRPr="00F8474E">
              <w:rPr>
                <w:rFonts w:hint="eastAsia"/>
                <w:lang w:eastAsia="zh-CN"/>
              </w:rPr>
              <w:t>-50</w:t>
            </w:r>
          </w:p>
        </w:tc>
      </w:tr>
      <w:tr w:rsidR="005F5583" w:rsidRPr="00F8474E" w14:paraId="2431F1F0" w14:textId="77777777" w:rsidTr="00380899">
        <w:trPr>
          <w:trHeight w:val="22"/>
          <w:jc w:val="center"/>
        </w:trPr>
        <w:tc>
          <w:tcPr>
            <w:tcW w:w="1132" w:type="dxa"/>
            <w:vMerge/>
            <w:tcBorders>
              <w:left w:val="single" w:sz="4" w:space="0" w:color="auto"/>
              <w:right w:val="single" w:sz="6" w:space="0" w:color="auto"/>
            </w:tcBorders>
          </w:tcPr>
          <w:p w14:paraId="65F6D070"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48A744E2"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540A7707"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30853B15"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023871EB"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4A76FD51" w14:textId="77777777" w:rsidR="005F5583" w:rsidRPr="00F8474E" w:rsidRDefault="005F5583" w:rsidP="005F5583">
            <w:pPr>
              <w:pStyle w:val="TAC"/>
            </w:pPr>
            <w:r w:rsidRPr="00F8474E">
              <w:rPr>
                <w:lang w:val="sv-SE"/>
              </w:rPr>
              <w:t>NR_FDD_FR1_E, NR_TDD_FR1_E</w:t>
            </w:r>
          </w:p>
        </w:tc>
        <w:tc>
          <w:tcPr>
            <w:tcW w:w="1289" w:type="dxa"/>
            <w:tcBorders>
              <w:left w:val="single" w:sz="4" w:space="0" w:color="auto"/>
              <w:right w:val="single" w:sz="4" w:space="0" w:color="auto"/>
            </w:tcBorders>
            <w:vAlign w:val="center"/>
          </w:tcPr>
          <w:p w14:paraId="51E0E811" w14:textId="77777777" w:rsidR="005F5583" w:rsidRPr="00F8474E" w:rsidRDefault="005F5583" w:rsidP="005F5583">
            <w:pPr>
              <w:pStyle w:val="TAC"/>
            </w:pPr>
            <w:r w:rsidRPr="00F8474E">
              <w:t>-122</w:t>
            </w:r>
          </w:p>
        </w:tc>
        <w:tc>
          <w:tcPr>
            <w:tcW w:w="1123" w:type="dxa"/>
            <w:tcBorders>
              <w:left w:val="single" w:sz="4" w:space="0" w:color="auto"/>
              <w:right w:val="single" w:sz="4" w:space="0" w:color="auto"/>
            </w:tcBorders>
          </w:tcPr>
          <w:p w14:paraId="3C33A446" w14:textId="77777777" w:rsidR="005F5583" w:rsidRPr="00F8474E" w:rsidRDefault="005F5583" w:rsidP="005F5583">
            <w:pPr>
              <w:pStyle w:val="TAC"/>
            </w:pPr>
            <w:r w:rsidRPr="00F8474E">
              <w:rPr>
                <w:rFonts w:hint="eastAsia"/>
                <w:lang w:eastAsia="zh-CN"/>
              </w:rPr>
              <w:t>-50</w:t>
            </w:r>
          </w:p>
        </w:tc>
      </w:tr>
      <w:tr w:rsidR="005F5583" w:rsidRPr="00F8474E" w14:paraId="625043AE" w14:textId="77777777" w:rsidTr="00380899">
        <w:trPr>
          <w:trHeight w:val="22"/>
          <w:jc w:val="center"/>
        </w:trPr>
        <w:tc>
          <w:tcPr>
            <w:tcW w:w="1132" w:type="dxa"/>
            <w:vMerge/>
            <w:tcBorders>
              <w:left w:val="single" w:sz="4" w:space="0" w:color="auto"/>
              <w:right w:val="single" w:sz="6" w:space="0" w:color="auto"/>
            </w:tcBorders>
          </w:tcPr>
          <w:p w14:paraId="2B1B5C3B"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53AE0751"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565B9DFE"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13C904E0"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21CCB28F"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44EADFBB" w14:textId="77777777" w:rsidR="005F5583" w:rsidRPr="00F8474E" w:rsidRDefault="005F5583" w:rsidP="005F5583">
            <w:pPr>
              <w:pStyle w:val="TAC"/>
            </w:pPr>
            <w:r w:rsidRPr="00F8474E">
              <w:rPr>
                <w:lang w:val="sv-SE"/>
              </w:rPr>
              <w:t>NR_FDD_FR1_F</w:t>
            </w:r>
          </w:p>
        </w:tc>
        <w:tc>
          <w:tcPr>
            <w:tcW w:w="1289" w:type="dxa"/>
            <w:tcBorders>
              <w:left w:val="single" w:sz="4" w:space="0" w:color="auto"/>
              <w:right w:val="single" w:sz="4" w:space="0" w:color="auto"/>
            </w:tcBorders>
            <w:vAlign w:val="center"/>
          </w:tcPr>
          <w:p w14:paraId="0195E33A" w14:textId="77777777" w:rsidR="005F5583" w:rsidRPr="00F8474E" w:rsidRDefault="005F5583" w:rsidP="005F5583">
            <w:pPr>
              <w:pStyle w:val="TAC"/>
            </w:pPr>
            <w:r w:rsidRPr="00F8474E">
              <w:t>-121.5</w:t>
            </w:r>
          </w:p>
        </w:tc>
        <w:tc>
          <w:tcPr>
            <w:tcW w:w="1123" w:type="dxa"/>
            <w:tcBorders>
              <w:left w:val="single" w:sz="4" w:space="0" w:color="auto"/>
              <w:right w:val="single" w:sz="4" w:space="0" w:color="auto"/>
            </w:tcBorders>
          </w:tcPr>
          <w:p w14:paraId="6E3AD6D3" w14:textId="77777777" w:rsidR="005F5583" w:rsidRPr="00F8474E" w:rsidRDefault="005F5583" w:rsidP="005F5583">
            <w:pPr>
              <w:pStyle w:val="TAC"/>
            </w:pPr>
            <w:r w:rsidRPr="00F8474E">
              <w:rPr>
                <w:rFonts w:hint="eastAsia"/>
                <w:lang w:eastAsia="zh-CN"/>
              </w:rPr>
              <w:t>-50</w:t>
            </w:r>
          </w:p>
        </w:tc>
      </w:tr>
      <w:tr w:rsidR="005F5583" w:rsidRPr="00F8474E" w14:paraId="7AE97688" w14:textId="77777777" w:rsidTr="00380899">
        <w:trPr>
          <w:trHeight w:val="22"/>
          <w:jc w:val="center"/>
        </w:trPr>
        <w:tc>
          <w:tcPr>
            <w:tcW w:w="1132" w:type="dxa"/>
            <w:vMerge/>
            <w:tcBorders>
              <w:left w:val="single" w:sz="4" w:space="0" w:color="auto"/>
              <w:right w:val="single" w:sz="6" w:space="0" w:color="auto"/>
            </w:tcBorders>
          </w:tcPr>
          <w:p w14:paraId="3C41464C"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2F32B484"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4743FCCD"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vAlign w:val="center"/>
          </w:tcPr>
          <w:p w14:paraId="16461DF1"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1AF75562"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1D93583C" w14:textId="77777777" w:rsidR="005F5583" w:rsidRPr="00F8474E" w:rsidRDefault="005F5583" w:rsidP="005F5583">
            <w:pPr>
              <w:pStyle w:val="TAC"/>
            </w:pPr>
            <w:r w:rsidRPr="00F8474E">
              <w:rPr>
                <w:lang w:val="sv-SE"/>
              </w:rPr>
              <w:t>NR_FDD_FR1_G, NR_TDD_FR1_G</w:t>
            </w:r>
          </w:p>
        </w:tc>
        <w:tc>
          <w:tcPr>
            <w:tcW w:w="1289" w:type="dxa"/>
            <w:tcBorders>
              <w:left w:val="single" w:sz="4" w:space="0" w:color="auto"/>
              <w:right w:val="single" w:sz="4" w:space="0" w:color="auto"/>
            </w:tcBorders>
            <w:vAlign w:val="center"/>
          </w:tcPr>
          <w:p w14:paraId="38ACC226" w14:textId="77777777" w:rsidR="005F5583" w:rsidRPr="00F8474E" w:rsidRDefault="005F5583" w:rsidP="005F5583">
            <w:pPr>
              <w:pStyle w:val="TAC"/>
            </w:pPr>
            <w:r w:rsidRPr="00F8474E">
              <w:t>-121</w:t>
            </w:r>
          </w:p>
        </w:tc>
        <w:tc>
          <w:tcPr>
            <w:tcW w:w="1123" w:type="dxa"/>
            <w:tcBorders>
              <w:left w:val="single" w:sz="4" w:space="0" w:color="auto"/>
              <w:right w:val="single" w:sz="4" w:space="0" w:color="auto"/>
            </w:tcBorders>
          </w:tcPr>
          <w:p w14:paraId="56A1092A" w14:textId="77777777" w:rsidR="005F5583" w:rsidRPr="00F8474E" w:rsidRDefault="005F5583" w:rsidP="005F5583">
            <w:pPr>
              <w:pStyle w:val="TAC"/>
            </w:pPr>
            <w:r w:rsidRPr="00F8474E">
              <w:rPr>
                <w:rFonts w:hint="eastAsia"/>
                <w:lang w:eastAsia="zh-CN"/>
              </w:rPr>
              <w:t>-50</w:t>
            </w:r>
          </w:p>
        </w:tc>
      </w:tr>
      <w:tr w:rsidR="005F5583" w:rsidRPr="00F8474E" w14:paraId="2AB5FBB1" w14:textId="77777777" w:rsidTr="00380899">
        <w:trPr>
          <w:trHeight w:val="22"/>
          <w:jc w:val="center"/>
        </w:trPr>
        <w:tc>
          <w:tcPr>
            <w:tcW w:w="1132" w:type="dxa"/>
            <w:vMerge/>
            <w:tcBorders>
              <w:left w:val="single" w:sz="4" w:space="0" w:color="auto"/>
              <w:bottom w:val="nil"/>
              <w:right w:val="single" w:sz="6" w:space="0" w:color="auto"/>
            </w:tcBorders>
          </w:tcPr>
          <w:p w14:paraId="69753D49" w14:textId="77777777" w:rsidR="005F5583" w:rsidRPr="00F8474E" w:rsidRDefault="005F5583" w:rsidP="005F5583">
            <w:pPr>
              <w:pStyle w:val="TAC"/>
            </w:pPr>
          </w:p>
        </w:tc>
        <w:tc>
          <w:tcPr>
            <w:tcW w:w="715" w:type="dxa"/>
            <w:vMerge/>
            <w:tcBorders>
              <w:left w:val="single" w:sz="4" w:space="0" w:color="auto"/>
              <w:bottom w:val="nil"/>
              <w:right w:val="single" w:sz="4" w:space="0" w:color="auto"/>
            </w:tcBorders>
            <w:vAlign w:val="center"/>
          </w:tcPr>
          <w:p w14:paraId="51BCF95A" w14:textId="77777777" w:rsidR="005F5583" w:rsidRPr="00F8474E" w:rsidRDefault="005F5583" w:rsidP="005F5583">
            <w:pPr>
              <w:pStyle w:val="TAC"/>
              <w:rPr>
                <w:lang w:val="sv-SE"/>
              </w:rPr>
            </w:pPr>
          </w:p>
        </w:tc>
        <w:tc>
          <w:tcPr>
            <w:tcW w:w="1133" w:type="dxa"/>
            <w:vMerge/>
            <w:tcBorders>
              <w:left w:val="single" w:sz="4" w:space="0" w:color="auto"/>
              <w:bottom w:val="single" w:sz="4" w:space="0" w:color="auto"/>
              <w:right w:val="single" w:sz="4" w:space="0" w:color="auto"/>
            </w:tcBorders>
          </w:tcPr>
          <w:p w14:paraId="59B6D7BF" w14:textId="77777777" w:rsidR="005F5583" w:rsidRPr="00F8474E" w:rsidRDefault="005F5583" w:rsidP="005F5583">
            <w:pPr>
              <w:pStyle w:val="TAC"/>
              <w:rPr>
                <w:rFonts w:cs="Calibri"/>
              </w:rPr>
            </w:pPr>
          </w:p>
        </w:tc>
        <w:tc>
          <w:tcPr>
            <w:tcW w:w="709" w:type="dxa"/>
            <w:vMerge/>
            <w:tcBorders>
              <w:left w:val="single" w:sz="4" w:space="0" w:color="auto"/>
              <w:bottom w:val="nil"/>
              <w:right w:val="single" w:sz="4" w:space="0" w:color="auto"/>
            </w:tcBorders>
            <w:vAlign w:val="center"/>
          </w:tcPr>
          <w:p w14:paraId="567FA35C" w14:textId="77777777" w:rsidR="005F5583" w:rsidRPr="00F8474E" w:rsidRDefault="005F5583" w:rsidP="005F5583">
            <w:pPr>
              <w:pStyle w:val="TAC"/>
            </w:pPr>
          </w:p>
        </w:tc>
        <w:tc>
          <w:tcPr>
            <w:tcW w:w="1832" w:type="dxa"/>
            <w:vMerge/>
            <w:tcBorders>
              <w:left w:val="single" w:sz="4" w:space="0" w:color="auto"/>
              <w:bottom w:val="single" w:sz="4" w:space="0" w:color="auto"/>
              <w:right w:val="single" w:sz="4" w:space="0" w:color="auto"/>
            </w:tcBorders>
          </w:tcPr>
          <w:p w14:paraId="79AAEC9D"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2D444E54" w14:textId="77777777" w:rsidR="005F5583" w:rsidRPr="00F8474E" w:rsidRDefault="005F5583" w:rsidP="005F5583">
            <w:pPr>
              <w:pStyle w:val="TAC"/>
            </w:pPr>
            <w:r w:rsidRPr="00F8474E">
              <w:rPr>
                <w:lang w:val="sv-SE"/>
              </w:rPr>
              <w:t>NR_FDD_FR1_H</w:t>
            </w:r>
          </w:p>
        </w:tc>
        <w:tc>
          <w:tcPr>
            <w:tcW w:w="1289" w:type="dxa"/>
            <w:tcBorders>
              <w:left w:val="single" w:sz="4" w:space="0" w:color="auto"/>
              <w:bottom w:val="single" w:sz="4" w:space="0" w:color="auto"/>
              <w:right w:val="single" w:sz="4" w:space="0" w:color="auto"/>
            </w:tcBorders>
            <w:vAlign w:val="center"/>
          </w:tcPr>
          <w:p w14:paraId="307DB9C5" w14:textId="77777777" w:rsidR="005F5583" w:rsidRPr="00F8474E" w:rsidRDefault="005F5583" w:rsidP="005F5583">
            <w:pPr>
              <w:pStyle w:val="TAC"/>
            </w:pPr>
            <w:r w:rsidRPr="00F8474E">
              <w:t>-120.5</w:t>
            </w:r>
          </w:p>
        </w:tc>
        <w:tc>
          <w:tcPr>
            <w:tcW w:w="1123" w:type="dxa"/>
            <w:tcBorders>
              <w:left w:val="single" w:sz="4" w:space="0" w:color="auto"/>
              <w:bottom w:val="single" w:sz="4" w:space="0" w:color="auto"/>
              <w:right w:val="single" w:sz="4" w:space="0" w:color="auto"/>
            </w:tcBorders>
          </w:tcPr>
          <w:p w14:paraId="624C7875" w14:textId="77777777" w:rsidR="005F5583" w:rsidRPr="00F8474E" w:rsidRDefault="005F5583" w:rsidP="005F5583">
            <w:pPr>
              <w:pStyle w:val="TAC"/>
            </w:pPr>
            <w:r w:rsidRPr="00F8474E">
              <w:rPr>
                <w:rFonts w:hint="eastAsia"/>
                <w:lang w:eastAsia="zh-CN"/>
              </w:rPr>
              <w:t>-50</w:t>
            </w:r>
          </w:p>
        </w:tc>
      </w:tr>
      <w:tr w:rsidR="005F5583" w:rsidRPr="00F8474E" w14:paraId="47A6B804" w14:textId="77777777" w:rsidTr="00FA482E">
        <w:trPr>
          <w:jc w:val="center"/>
        </w:trPr>
        <w:tc>
          <w:tcPr>
            <w:tcW w:w="1132" w:type="dxa"/>
            <w:tcBorders>
              <w:top w:val="single" w:sz="6" w:space="0" w:color="auto"/>
              <w:left w:val="single" w:sz="4" w:space="0" w:color="auto"/>
              <w:bottom w:val="nil"/>
              <w:right w:val="single" w:sz="6" w:space="0" w:color="auto"/>
            </w:tcBorders>
            <w:hideMark/>
          </w:tcPr>
          <w:p w14:paraId="22859151" w14:textId="07D08FBD" w:rsidR="005F5583" w:rsidRPr="00F8474E" w:rsidRDefault="005F5583" w:rsidP="005F5583">
            <w:pPr>
              <w:pStyle w:val="TAC"/>
              <w:rPr>
                <w:lang w:eastAsia="zh-CN"/>
              </w:rPr>
            </w:pPr>
            <w:r w:rsidRPr="00F8474E">
              <w:t>± 15+</w:t>
            </w:r>
            <w:r w:rsidRPr="00F8474E">
              <w:rPr>
                <w:lang w:eastAsia="ko-KR"/>
              </w:rPr>
              <w:sym w:font="Symbol" w:char="F064"/>
            </w:r>
          </w:p>
        </w:tc>
        <w:tc>
          <w:tcPr>
            <w:tcW w:w="715" w:type="dxa"/>
            <w:tcBorders>
              <w:top w:val="nil"/>
              <w:left w:val="single" w:sz="4" w:space="0" w:color="auto"/>
              <w:bottom w:val="nil"/>
              <w:right w:val="single" w:sz="4" w:space="0" w:color="auto"/>
            </w:tcBorders>
            <w:vAlign w:val="center"/>
          </w:tcPr>
          <w:p w14:paraId="792485FF" w14:textId="77777777" w:rsidR="005F5583" w:rsidRPr="00F8474E" w:rsidRDefault="005F5583" w:rsidP="005F5583">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93582F9" w14:textId="5ACC40EF" w:rsidR="005F5583" w:rsidRPr="00F8474E" w:rsidRDefault="005F5583" w:rsidP="005F5583">
            <w:pPr>
              <w:pStyle w:val="TAC"/>
            </w:pPr>
            <w:r w:rsidRPr="00F8474E">
              <w:rPr>
                <w:rFonts w:cs="Calibri"/>
              </w:rPr>
              <w:t>≥</w:t>
            </w:r>
            <w:r w:rsidRPr="00F8474E">
              <w:rPr>
                <w:lang w:eastAsia="zh-CN"/>
              </w:rPr>
              <w:t>132</w:t>
            </w:r>
          </w:p>
        </w:tc>
        <w:tc>
          <w:tcPr>
            <w:tcW w:w="709" w:type="dxa"/>
            <w:tcBorders>
              <w:top w:val="nil"/>
              <w:left w:val="single" w:sz="4" w:space="0" w:color="auto"/>
              <w:bottom w:val="single" w:sz="4" w:space="0" w:color="auto"/>
              <w:right w:val="single" w:sz="4" w:space="0" w:color="auto"/>
            </w:tcBorders>
            <w:vAlign w:val="center"/>
            <w:hideMark/>
          </w:tcPr>
          <w:p w14:paraId="64EE3D55" w14:textId="77777777" w:rsidR="005F5583" w:rsidRPr="00F8474E" w:rsidRDefault="005F5583" w:rsidP="005F5583">
            <w:pPr>
              <w:pStyle w:val="TAC"/>
              <w:rPr>
                <w:rFonts w:eastAsia="SimSun"/>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22B3CC88" w14:textId="09EDB619"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66BA5166" w14:textId="77777777" w:rsidR="005F5583" w:rsidRPr="00F8474E" w:rsidRDefault="005F5583" w:rsidP="005F5583">
            <w:pPr>
              <w:pStyle w:val="TAC"/>
            </w:pPr>
            <w:r w:rsidRPr="00F8474E">
              <w:t>NOTE 6</w:t>
            </w:r>
          </w:p>
        </w:tc>
        <w:tc>
          <w:tcPr>
            <w:tcW w:w="1289" w:type="dxa"/>
            <w:tcBorders>
              <w:top w:val="single" w:sz="4" w:space="0" w:color="auto"/>
              <w:left w:val="single" w:sz="4" w:space="0" w:color="auto"/>
              <w:bottom w:val="single" w:sz="4" w:space="0" w:color="auto"/>
              <w:right w:val="single" w:sz="4" w:space="0" w:color="auto"/>
            </w:tcBorders>
            <w:hideMark/>
          </w:tcPr>
          <w:p w14:paraId="14D1A7A6" w14:textId="77777777" w:rsidR="005F5583" w:rsidRPr="00F8474E" w:rsidRDefault="005F5583" w:rsidP="005F5583">
            <w:pPr>
              <w:pStyle w:val="TAC"/>
            </w:pPr>
            <w:r w:rsidRPr="00F8474E">
              <w:t>NOTE 6</w:t>
            </w:r>
          </w:p>
        </w:tc>
        <w:tc>
          <w:tcPr>
            <w:tcW w:w="1123" w:type="dxa"/>
            <w:tcBorders>
              <w:top w:val="single" w:sz="4" w:space="0" w:color="auto"/>
              <w:left w:val="single" w:sz="4" w:space="0" w:color="auto"/>
              <w:bottom w:val="single" w:sz="4" w:space="0" w:color="auto"/>
              <w:right w:val="single" w:sz="4" w:space="0" w:color="auto"/>
            </w:tcBorders>
            <w:hideMark/>
          </w:tcPr>
          <w:p w14:paraId="4A194CDE" w14:textId="77777777" w:rsidR="005F5583" w:rsidRPr="00F8474E" w:rsidRDefault="005F5583" w:rsidP="005F5583">
            <w:pPr>
              <w:pStyle w:val="TAC"/>
            </w:pPr>
            <w:r w:rsidRPr="00F8474E">
              <w:t>NOTE 6</w:t>
            </w:r>
          </w:p>
        </w:tc>
      </w:tr>
      <w:tr w:rsidR="005F5583" w:rsidRPr="00F8474E" w14:paraId="400B4006" w14:textId="77777777" w:rsidTr="00380899">
        <w:trPr>
          <w:trHeight w:val="26"/>
          <w:jc w:val="center"/>
        </w:trPr>
        <w:tc>
          <w:tcPr>
            <w:tcW w:w="1132" w:type="dxa"/>
            <w:vMerge w:val="restart"/>
            <w:tcBorders>
              <w:top w:val="single" w:sz="6" w:space="0" w:color="auto"/>
              <w:left w:val="single" w:sz="4" w:space="0" w:color="auto"/>
              <w:right w:val="single" w:sz="6" w:space="0" w:color="auto"/>
            </w:tcBorders>
            <w:vAlign w:val="center"/>
            <w:hideMark/>
          </w:tcPr>
          <w:p w14:paraId="61EE4359" w14:textId="771AA355" w:rsidR="005F5583" w:rsidRPr="00F8474E" w:rsidRDefault="005F5583" w:rsidP="005F5583">
            <w:pPr>
              <w:pStyle w:val="TAC"/>
              <w:rPr>
                <w:lang w:eastAsia="zh-CN"/>
              </w:rPr>
            </w:pPr>
            <w:r w:rsidRPr="00F8474E">
              <w:t>± 15+</w:t>
            </w:r>
            <w:r w:rsidRPr="00F8474E">
              <w:rPr>
                <w:lang w:eastAsia="ko-KR"/>
              </w:rPr>
              <w:sym w:font="Symbol" w:char="F064"/>
            </w:r>
          </w:p>
        </w:tc>
        <w:tc>
          <w:tcPr>
            <w:tcW w:w="715" w:type="dxa"/>
            <w:vMerge w:val="restart"/>
            <w:tcBorders>
              <w:top w:val="nil"/>
              <w:left w:val="single" w:sz="4" w:space="0" w:color="auto"/>
              <w:right w:val="single" w:sz="4" w:space="0" w:color="auto"/>
            </w:tcBorders>
            <w:vAlign w:val="center"/>
          </w:tcPr>
          <w:p w14:paraId="0C9A9BA1" w14:textId="77777777" w:rsidR="005F5583" w:rsidRPr="00F8474E" w:rsidRDefault="005F5583" w:rsidP="005F5583">
            <w:pPr>
              <w:pStyle w:val="TAC"/>
              <w:rPr>
                <w:lang w:val="sv-SE"/>
              </w:rPr>
            </w:pPr>
          </w:p>
        </w:tc>
        <w:tc>
          <w:tcPr>
            <w:tcW w:w="1133" w:type="dxa"/>
            <w:vMerge w:val="restart"/>
            <w:tcBorders>
              <w:top w:val="single" w:sz="4" w:space="0" w:color="auto"/>
              <w:left w:val="single" w:sz="4" w:space="0" w:color="auto"/>
              <w:right w:val="single" w:sz="4" w:space="0" w:color="auto"/>
            </w:tcBorders>
            <w:vAlign w:val="center"/>
            <w:hideMark/>
          </w:tcPr>
          <w:p w14:paraId="2251315A" w14:textId="0F7C699B" w:rsidR="005F5583" w:rsidRPr="00F8474E" w:rsidRDefault="005F5583" w:rsidP="005F5583">
            <w:pPr>
              <w:pStyle w:val="TAC"/>
            </w:pPr>
            <w:r w:rsidRPr="00F8474E">
              <w:rPr>
                <w:rFonts w:cs="Calibri"/>
              </w:rPr>
              <w:t>≥</w:t>
            </w:r>
            <w:r w:rsidRPr="00F8474E">
              <w:rPr>
                <w:lang w:eastAsia="zh-CN"/>
              </w:rPr>
              <w:t>64</w:t>
            </w:r>
          </w:p>
        </w:tc>
        <w:tc>
          <w:tcPr>
            <w:tcW w:w="709" w:type="dxa"/>
            <w:vMerge w:val="restart"/>
            <w:tcBorders>
              <w:top w:val="nil"/>
              <w:left w:val="single" w:sz="4" w:space="0" w:color="auto"/>
              <w:right w:val="single" w:sz="4" w:space="0" w:color="auto"/>
            </w:tcBorders>
            <w:vAlign w:val="center"/>
            <w:hideMark/>
          </w:tcPr>
          <w:p w14:paraId="1FDF1693" w14:textId="77777777" w:rsidR="005F5583" w:rsidRPr="00F8474E" w:rsidRDefault="005F5583" w:rsidP="005F5583">
            <w:pPr>
              <w:pStyle w:val="TAC"/>
            </w:pPr>
            <w:r w:rsidRPr="00F8474E">
              <w:t>60</w:t>
            </w:r>
          </w:p>
        </w:tc>
        <w:tc>
          <w:tcPr>
            <w:tcW w:w="1832" w:type="dxa"/>
            <w:vMerge w:val="restart"/>
            <w:tcBorders>
              <w:top w:val="single" w:sz="4" w:space="0" w:color="auto"/>
              <w:left w:val="single" w:sz="4" w:space="0" w:color="auto"/>
              <w:right w:val="single" w:sz="4" w:space="0" w:color="auto"/>
            </w:tcBorders>
            <w:vAlign w:val="center"/>
            <w:hideMark/>
          </w:tcPr>
          <w:p w14:paraId="4C71C6D0" w14:textId="25855B99"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43E5095B" w14:textId="0817CC76" w:rsidR="005F5583" w:rsidRPr="00F8474E" w:rsidRDefault="005F5583" w:rsidP="005F5583">
            <w:pPr>
              <w:pStyle w:val="TAC"/>
            </w:pPr>
            <w:r w:rsidRPr="00F8474E">
              <w:t xml:space="preserve">NR_FDD_FR1_A, NR_TDD_FR1_A, </w:t>
            </w:r>
            <w:r w:rsidRPr="00F8474E">
              <w:rPr>
                <w:lang w:val="en-US"/>
              </w:rPr>
              <w:t>NR_SDL_FR1_A</w:t>
            </w:r>
          </w:p>
        </w:tc>
        <w:tc>
          <w:tcPr>
            <w:tcW w:w="1289" w:type="dxa"/>
            <w:tcBorders>
              <w:top w:val="single" w:sz="4" w:space="0" w:color="auto"/>
              <w:left w:val="single" w:sz="4" w:space="0" w:color="auto"/>
              <w:right w:val="single" w:sz="4" w:space="0" w:color="auto"/>
            </w:tcBorders>
            <w:vAlign w:val="center"/>
            <w:hideMark/>
          </w:tcPr>
          <w:p w14:paraId="44A4C233" w14:textId="140B701C" w:rsidR="005F5583" w:rsidRPr="00F8474E" w:rsidRDefault="005F5583" w:rsidP="005F5583">
            <w:pPr>
              <w:pStyle w:val="TAC"/>
            </w:pPr>
            <w:r w:rsidRPr="00F8474E">
              <w:t>-121</w:t>
            </w:r>
          </w:p>
        </w:tc>
        <w:tc>
          <w:tcPr>
            <w:tcW w:w="1123" w:type="dxa"/>
            <w:tcBorders>
              <w:top w:val="single" w:sz="4" w:space="0" w:color="auto"/>
              <w:left w:val="single" w:sz="4" w:space="0" w:color="auto"/>
              <w:right w:val="single" w:sz="4" w:space="0" w:color="auto"/>
            </w:tcBorders>
            <w:hideMark/>
          </w:tcPr>
          <w:p w14:paraId="7FBAE5B5" w14:textId="15D8A037" w:rsidR="005F5583" w:rsidRPr="00F8474E" w:rsidRDefault="005F5583" w:rsidP="005F5583">
            <w:pPr>
              <w:pStyle w:val="TAC"/>
            </w:pPr>
            <w:r w:rsidRPr="00F8474E">
              <w:rPr>
                <w:rFonts w:hint="eastAsia"/>
                <w:lang w:eastAsia="zh-CN"/>
              </w:rPr>
              <w:t>-50</w:t>
            </w:r>
          </w:p>
        </w:tc>
      </w:tr>
      <w:tr w:rsidR="005F5583" w:rsidRPr="00F8474E" w14:paraId="5B4FB6A9" w14:textId="77777777" w:rsidTr="00380899">
        <w:trPr>
          <w:trHeight w:val="26"/>
          <w:jc w:val="center"/>
        </w:trPr>
        <w:tc>
          <w:tcPr>
            <w:tcW w:w="1132" w:type="dxa"/>
            <w:vMerge/>
            <w:tcBorders>
              <w:top w:val="single" w:sz="6" w:space="0" w:color="auto"/>
              <w:left w:val="single" w:sz="4" w:space="0" w:color="auto"/>
              <w:right w:val="single" w:sz="6" w:space="0" w:color="auto"/>
            </w:tcBorders>
          </w:tcPr>
          <w:p w14:paraId="0AA3F5FB" w14:textId="77777777" w:rsidR="005F5583" w:rsidRPr="00F8474E" w:rsidRDefault="005F5583" w:rsidP="005F5583">
            <w:pPr>
              <w:pStyle w:val="TAC"/>
            </w:pPr>
          </w:p>
        </w:tc>
        <w:tc>
          <w:tcPr>
            <w:tcW w:w="715" w:type="dxa"/>
            <w:vMerge/>
            <w:tcBorders>
              <w:top w:val="nil"/>
              <w:left w:val="single" w:sz="4" w:space="0" w:color="auto"/>
              <w:right w:val="single" w:sz="4" w:space="0" w:color="auto"/>
            </w:tcBorders>
            <w:vAlign w:val="center"/>
          </w:tcPr>
          <w:p w14:paraId="4F2062D1" w14:textId="77777777" w:rsidR="005F5583" w:rsidRPr="00F8474E" w:rsidRDefault="005F5583" w:rsidP="005F5583">
            <w:pPr>
              <w:pStyle w:val="TAC"/>
              <w:rPr>
                <w:lang w:val="sv-SE"/>
              </w:rPr>
            </w:pPr>
          </w:p>
        </w:tc>
        <w:tc>
          <w:tcPr>
            <w:tcW w:w="1133" w:type="dxa"/>
            <w:vMerge/>
            <w:tcBorders>
              <w:top w:val="single" w:sz="4" w:space="0" w:color="auto"/>
              <w:left w:val="single" w:sz="4" w:space="0" w:color="auto"/>
              <w:right w:val="single" w:sz="4" w:space="0" w:color="auto"/>
            </w:tcBorders>
          </w:tcPr>
          <w:p w14:paraId="287BD474" w14:textId="77777777" w:rsidR="005F5583" w:rsidRPr="00F8474E" w:rsidRDefault="005F5583" w:rsidP="005F5583">
            <w:pPr>
              <w:pStyle w:val="TAC"/>
              <w:rPr>
                <w:rFonts w:cs="Calibri"/>
              </w:rPr>
            </w:pPr>
          </w:p>
        </w:tc>
        <w:tc>
          <w:tcPr>
            <w:tcW w:w="709" w:type="dxa"/>
            <w:vMerge/>
            <w:tcBorders>
              <w:top w:val="nil"/>
              <w:left w:val="single" w:sz="4" w:space="0" w:color="auto"/>
              <w:right w:val="single" w:sz="4" w:space="0" w:color="auto"/>
            </w:tcBorders>
          </w:tcPr>
          <w:p w14:paraId="31922887" w14:textId="77777777" w:rsidR="005F5583" w:rsidRPr="00F8474E" w:rsidRDefault="005F5583" w:rsidP="005F5583">
            <w:pPr>
              <w:pStyle w:val="TAC"/>
            </w:pPr>
          </w:p>
        </w:tc>
        <w:tc>
          <w:tcPr>
            <w:tcW w:w="1832" w:type="dxa"/>
            <w:vMerge/>
            <w:tcBorders>
              <w:top w:val="single" w:sz="4" w:space="0" w:color="auto"/>
              <w:left w:val="single" w:sz="4" w:space="0" w:color="auto"/>
              <w:right w:val="single" w:sz="4" w:space="0" w:color="auto"/>
            </w:tcBorders>
          </w:tcPr>
          <w:p w14:paraId="4F299A55"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0A12A02D" w14:textId="77777777" w:rsidR="005F5583" w:rsidRPr="00F8474E" w:rsidRDefault="005F5583" w:rsidP="005F5583">
            <w:pPr>
              <w:pStyle w:val="TAC"/>
            </w:pPr>
            <w:r w:rsidRPr="00F8474E">
              <w:rPr>
                <w:lang w:val="sv-SE"/>
              </w:rPr>
              <w:t>NR_FDD_FR1_B</w:t>
            </w:r>
          </w:p>
        </w:tc>
        <w:tc>
          <w:tcPr>
            <w:tcW w:w="1289" w:type="dxa"/>
            <w:tcBorders>
              <w:left w:val="single" w:sz="4" w:space="0" w:color="auto"/>
              <w:right w:val="single" w:sz="4" w:space="0" w:color="auto"/>
            </w:tcBorders>
          </w:tcPr>
          <w:p w14:paraId="0797840A" w14:textId="77777777" w:rsidR="005F5583" w:rsidRPr="00F8474E" w:rsidRDefault="005F5583" w:rsidP="005F5583">
            <w:pPr>
              <w:pStyle w:val="TAC"/>
            </w:pPr>
            <w:r w:rsidRPr="00F8474E">
              <w:t>-120.5</w:t>
            </w:r>
          </w:p>
        </w:tc>
        <w:tc>
          <w:tcPr>
            <w:tcW w:w="1123" w:type="dxa"/>
            <w:tcBorders>
              <w:left w:val="single" w:sz="4" w:space="0" w:color="auto"/>
              <w:right w:val="single" w:sz="4" w:space="0" w:color="auto"/>
            </w:tcBorders>
          </w:tcPr>
          <w:p w14:paraId="5AB1351E" w14:textId="77777777" w:rsidR="005F5583" w:rsidRPr="00F8474E" w:rsidRDefault="005F5583" w:rsidP="005F5583">
            <w:pPr>
              <w:pStyle w:val="TAC"/>
            </w:pPr>
            <w:r w:rsidRPr="00F8474E">
              <w:rPr>
                <w:rFonts w:hint="eastAsia"/>
                <w:lang w:eastAsia="zh-CN"/>
              </w:rPr>
              <w:t>-50</w:t>
            </w:r>
          </w:p>
        </w:tc>
      </w:tr>
      <w:tr w:rsidR="005F5583" w:rsidRPr="00F8474E" w14:paraId="2FAC4FE0" w14:textId="77777777" w:rsidTr="00380899">
        <w:trPr>
          <w:trHeight w:val="22"/>
          <w:jc w:val="center"/>
        </w:trPr>
        <w:tc>
          <w:tcPr>
            <w:tcW w:w="1132" w:type="dxa"/>
            <w:vMerge/>
            <w:tcBorders>
              <w:left w:val="single" w:sz="4" w:space="0" w:color="auto"/>
              <w:right w:val="single" w:sz="6" w:space="0" w:color="auto"/>
            </w:tcBorders>
          </w:tcPr>
          <w:p w14:paraId="1C1F476A"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77037510"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5AAED28F"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tcPr>
          <w:p w14:paraId="7FD09994"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00A0B69C"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308A2B41" w14:textId="77777777" w:rsidR="005F5583" w:rsidRPr="00F8474E" w:rsidRDefault="005F5583" w:rsidP="005F5583">
            <w:pPr>
              <w:pStyle w:val="TAC"/>
            </w:pPr>
            <w:r w:rsidRPr="00F8474E">
              <w:rPr>
                <w:lang w:val="sv-SE"/>
              </w:rPr>
              <w:t>NR_TDD_FR1_C</w:t>
            </w:r>
          </w:p>
        </w:tc>
        <w:tc>
          <w:tcPr>
            <w:tcW w:w="1289" w:type="dxa"/>
            <w:tcBorders>
              <w:left w:val="single" w:sz="4" w:space="0" w:color="auto"/>
              <w:right w:val="single" w:sz="4" w:space="0" w:color="auto"/>
            </w:tcBorders>
            <w:vAlign w:val="center"/>
          </w:tcPr>
          <w:p w14:paraId="3FAA3960" w14:textId="77777777" w:rsidR="005F5583" w:rsidRPr="00F8474E" w:rsidRDefault="005F5583" w:rsidP="005F5583">
            <w:pPr>
              <w:pStyle w:val="TAC"/>
            </w:pPr>
            <w:r w:rsidRPr="00F8474E">
              <w:t>-120</w:t>
            </w:r>
          </w:p>
        </w:tc>
        <w:tc>
          <w:tcPr>
            <w:tcW w:w="1123" w:type="dxa"/>
            <w:tcBorders>
              <w:left w:val="single" w:sz="4" w:space="0" w:color="auto"/>
              <w:right w:val="single" w:sz="4" w:space="0" w:color="auto"/>
            </w:tcBorders>
          </w:tcPr>
          <w:p w14:paraId="0067F846" w14:textId="77777777" w:rsidR="005F5583" w:rsidRPr="00F8474E" w:rsidRDefault="005F5583" w:rsidP="005F5583">
            <w:pPr>
              <w:pStyle w:val="TAC"/>
            </w:pPr>
            <w:r w:rsidRPr="00F8474E">
              <w:rPr>
                <w:rFonts w:hint="eastAsia"/>
                <w:lang w:eastAsia="zh-CN"/>
              </w:rPr>
              <w:t>-50</w:t>
            </w:r>
          </w:p>
        </w:tc>
      </w:tr>
      <w:tr w:rsidR="005F5583" w:rsidRPr="00F8474E" w14:paraId="610540E8" w14:textId="77777777" w:rsidTr="00380899">
        <w:trPr>
          <w:trHeight w:val="22"/>
          <w:jc w:val="center"/>
        </w:trPr>
        <w:tc>
          <w:tcPr>
            <w:tcW w:w="1132" w:type="dxa"/>
            <w:vMerge/>
            <w:tcBorders>
              <w:left w:val="single" w:sz="4" w:space="0" w:color="auto"/>
              <w:right w:val="single" w:sz="6" w:space="0" w:color="auto"/>
            </w:tcBorders>
          </w:tcPr>
          <w:p w14:paraId="008111EE"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7299993F"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0998F22A"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tcPr>
          <w:p w14:paraId="4B8EE00B"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4335D4F8"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0338192C" w14:textId="77777777" w:rsidR="005F5583" w:rsidRPr="00F8474E" w:rsidRDefault="005F5583" w:rsidP="005F5583">
            <w:pPr>
              <w:pStyle w:val="TAC"/>
            </w:pPr>
            <w:r w:rsidRPr="00F8474E">
              <w:rPr>
                <w:lang w:val="sv-SE"/>
              </w:rPr>
              <w:t>NR_FDD_FR1_D, NR_TDD_FR1_D</w:t>
            </w:r>
          </w:p>
        </w:tc>
        <w:tc>
          <w:tcPr>
            <w:tcW w:w="1289" w:type="dxa"/>
            <w:tcBorders>
              <w:left w:val="single" w:sz="4" w:space="0" w:color="auto"/>
              <w:right w:val="single" w:sz="4" w:space="0" w:color="auto"/>
            </w:tcBorders>
            <w:vAlign w:val="center"/>
          </w:tcPr>
          <w:p w14:paraId="1A2A4FC1" w14:textId="77777777" w:rsidR="005F5583" w:rsidRPr="00F8474E" w:rsidRDefault="005F5583" w:rsidP="005F5583">
            <w:pPr>
              <w:pStyle w:val="TAC"/>
            </w:pPr>
            <w:r w:rsidRPr="00F8474E">
              <w:t>-119.5</w:t>
            </w:r>
          </w:p>
        </w:tc>
        <w:tc>
          <w:tcPr>
            <w:tcW w:w="1123" w:type="dxa"/>
            <w:tcBorders>
              <w:left w:val="single" w:sz="4" w:space="0" w:color="auto"/>
              <w:right w:val="single" w:sz="4" w:space="0" w:color="auto"/>
            </w:tcBorders>
          </w:tcPr>
          <w:p w14:paraId="64425D61" w14:textId="77777777" w:rsidR="005F5583" w:rsidRPr="00F8474E" w:rsidRDefault="005F5583" w:rsidP="005F5583">
            <w:pPr>
              <w:pStyle w:val="TAC"/>
            </w:pPr>
            <w:r w:rsidRPr="00F8474E">
              <w:rPr>
                <w:rFonts w:hint="eastAsia"/>
                <w:lang w:eastAsia="zh-CN"/>
              </w:rPr>
              <w:t>-50</w:t>
            </w:r>
          </w:p>
        </w:tc>
      </w:tr>
      <w:tr w:rsidR="005F5583" w:rsidRPr="00F8474E" w14:paraId="785CC69A" w14:textId="77777777" w:rsidTr="00380899">
        <w:trPr>
          <w:trHeight w:val="22"/>
          <w:jc w:val="center"/>
        </w:trPr>
        <w:tc>
          <w:tcPr>
            <w:tcW w:w="1132" w:type="dxa"/>
            <w:vMerge/>
            <w:tcBorders>
              <w:left w:val="single" w:sz="4" w:space="0" w:color="auto"/>
              <w:right w:val="single" w:sz="6" w:space="0" w:color="auto"/>
            </w:tcBorders>
          </w:tcPr>
          <w:p w14:paraId="2197E8FD"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5BD1EA2E"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1F11D05D"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tcPr>
          <w:p w14:paraId="0973379C"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24291B83"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58114123" w14:textId="77777777" w:rsidR="005F5583" w:rsidRPr="00F8474E" w:rsidRDefault="005F5583" w:rsidP="005F5583">
            <w:pPr>
              <w:pStyle w:val="TAC"/>
            </w:pPr>
            <w:r w:rsidRPr="00F8474E">
              <w:rPr>
                <w:lang w:val="sv-SE"/>
              </w:rPr>
              <w:t>NR_FDD_FR1_E, NR_TDD_FR1_E</w:t>
            </w:r>
          </w:p>
        </w:tc>
        <w:tc>
          <w:tcPr>
            <w:tcW w:w="1289" w:type="dxa"/>
            <w:tcBorders>
              <w:left w:val="single" w:sz="4" w:space="0" w:color="auto"/>
              <w:right w:val="single" w:sz="4" w:space="0" w:color="auto"/>
            </w:tcBorders>
            <w:vAlign w:val="center"/>
          </w:tcPr>
          <w:p w14:paraId="28FCBFAC" w14:textId="77777777" w:rsidR="005F5583" w:rsidRPr="00F8474E" w:rsidRDefault="005F5583" w:rsidP="005F5583">
            <w:pPr>
              <w:pStyle w:val="TAC"/>
            </w:pPr>
            <w:r w:rsidRPr="00F8474E">
              <w:t>-119</w:t>
            </w:r>
          </w:p>
        </w:tc>
        <w:tc>
          <w:tcPr>
            <w:tcW w:w="1123" w:type="dxa"/>
            <w:tcBorders>
              <w:left w:val="single" w:sz="4" w:space="0" w:color="auto"/>
              <w:right w:val="single" w:sz="4" w:space="0" w:color="auto"/>
            </w:tcBorders>
          </w:tcPr>
          <w:p w14:paraId="0351E8CE" w14:textId="77777777" w:rsidR="005F5583" w:rsidRPr="00F8474E" w:rsidRDefault="005F5583" w:rsidP="005F5583">
            <w:pPr>
              <w:pStyle w:val="TAC"/>
            </w:pPr>
            <w:r w:rsidRPr="00F8474E">
              <w:rPr>
                <w:rFonts w:hint="eastAsia"/>
                <w:lang w:eastAsia="zh-CN"/>
              </w:rPr>
              <w:t>-50</w:t>
            </w:r>
          </w:p>
        </w:tc>
      </w:tr>
      <w:tr w:rsidR="005F5583" w:rsidRPr="00F8474E" w14:paraId="2F81BC19" w14:textId="77777777" w:rsidTr="00380899">
        <w:trPr>
          <w:trHeight w:val="22"/>
          <w:jc w:val="center"/>
        </w:trPr>
        <w:tc>
          <w:tcPr>
            <w:tcW w:w="1132" w:type="dxa"/>
            <w:vMerge/>
            <w:tcBorders>
              <w:left w:val="single" w:sz="4" w:space="0" w:color="auto"/>
              <w:right w:val="single" w:sz="6" w:space="0" w:color="auto"/>
            </w:tcBorders>
          </w:tcPr>
          <w:p w14:paraId="1A3C02C1"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0B425373"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0A881223"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tcPr>
          <w:p w14:paraId="212C7466"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417A42EC"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0A6637B9" w14:textId="77777777" w:rsidR="005F5583" w:rsidRPr="00F8474E" w:rsidRDefault="005F5583" w:rsidP="005F5583">
            <w:pPr>
              <w:pStyle w:val="TAC"/>
            </w:pPr>
            <w:r w:rsidRPr="00F8474E">
              <w:rPr>
                <w:lang w:val="sv-SE"/>
              </w:rPr>
              <w:t>NR_FDD_FR1_F</w:t>
            </w:r>
          </w:p>
        </w:tc>
        <w:tc>
          <w:tcPr>
            <w:tcW w:w="1289" w:type="dxa"/>
            <w:tcBorders>
              <w:left w:val="single" w:sz="4" w:space="0" w:color="auto"/>
              <w:right w:val="single" w:sz="4" w:space="0" w:color="auto"/>
            </w:tcBorders>
            <w:vAlign w:val="center"/>
          </w:tcPr>
          <w:p w14:paraId="0E745B79" w14:textId="77777777" w:rsidR="005F5583" w:rsidRPr="00F8474E" w:rsidRDefault="005F5583" w:rsidP="005F5583">
            <w:pPr>
              <w:pStyle w:val="TAC"/>
            </w:pPr>
            <w:r w:rsidRPr="00F8474E">
              <w:t>-118.5</w:t>
            </w:r>
          </w:p>
        </w:tc>
        <w:tc>
          <w:tcPr>
            <w:tcW w:w="1123" w:type="dxa"/>
            <w:tcBorders>
              <w:left w:val="single" w:sz="4" w:space="0" w:color="auto"/>
              <w:right w:val="single" w:sz="4" w:space="0" w:color="auto"/>
            </w:tcBorders>
          </w:tcPr>
          <w:p w14:paraId="20E5EB54" w14:textId="77777777" w:rsidR="005F5583" w:rsidRPr="00F8474E" w:rsidRDefault="005F5583" w:rsidP="005F5583">
            <w:pPr>
              <w:pStyle w:val="TAC"/>
            </w:pPr>
            <w:r w:rsidRPr="00F8474E">
              <w:rPr>
                <w:rFonts w:hint="eastAsia"/>
                <w:lang w:eastAsia="zh-CN"/>
              </w:rPr>
              <w:t>-50</w:t>
            </w:r>
          </w:p>
        </w:tc>
      </w:tr>
      <w:tr w:rsidR="005F5583" w:rsidRPr="00F8474E" w14:paraId="242235CD" w14:textId="77777777" w:rsidTr="00380899">
        <w:trPr>
          <w:trHeight w:val="22"/>
          <w:jc w:val="center"/>
        </w:trPr>
        <w:tc>
          <w:tcPr>
            <w:tcW w:w="1132" w:type="dxa"/>
            <w:vMerge/>
            <w:tcBorders>
              <w:left w:val="single" w:sz="4" w:space="0" w:color="auto"/>
              <w:right w:val="single" w:sz="6" w:space="0" w:color="auto"/>
            </w:tcBorders>
          </w:tcPr>
          <w:p w14:paraId="1F19E8F8" w14:textId="77777777" w:rsidR="005F5583" w:rsidRPr="00F8474E" w:rsidRDefault="005F5583" w:rsidP="005F5583">
            <w:pPr>
              <w:pStyle w:val="TAC"/>
            </w:pPr>
          </w:p>
        </w:tc>
        <w:tc>
          <w:tcPr>
            <w:tcW w:w="715" w:type="dxa"/>
            <w:vMerge/>
            <w:tcBorders>
              <w:left w:val="single" w:sz="4" w:space="0" w:color="auto"/>
              <w:right w:val="single" w:sz="4" w:space="0" w:color="auto"/>
            </w:tcBorders>
            <w:vAlign w:val="center"/>
          </w:tcPr>
          <w:p w14:paraId="400B3C6C" w14:textId="77777777" w:rsidR="005F5583" w:rsidRPr="00F8474E" w:rsidRDefault="005F5583" w:rsidP="005F5583">
            <w:pPr>
              <w:pStyle w:val="TAC"/>
              <w:rPr>
                <w:lang w:val="sv-SE"/>
              </w:rPr>
            </w:pPr>
          </w:p>
        </w:tc>
        <w:tc>
          <w:tcPr>
            <w:tcW w:w="1133" w:type="dxa"/>
            <w:vMerge/>
            <w:tcBorders>
              <w:left w:val="single" w:sz="4" w:space="0" w:color="auto"/>
              <w:right w:val="single" w:sz="4" w:space="0" w:color="auto"/>
            </w:tcBorders>
          </w:tcPr>
          <w:p w14:paraId="0A19DC45" w14:textId="77777777" w:rsidR="005F5583" w:rsidRPr="00F8474E" w:rsidRDefault="005F5583" w:rsidP="005F5583">
            <w:pPr>
              <w:pStyle w:val="TAC"/>
              <w:rPr>
                <w:rFonts w:cs="Calibri"/>
              </w:rPr>
            </w:pPr>
          </w:p>
        </w:tc>
        <w:tc>
          <w:tcPr>
            <w:tcW w:w="709" w:type="dxa"/>
            <w:vMerge/>
            <w:tcBorders>
              <w:left w:val="single" w:sz="4" w:space="0" w:color="auto"/>
              <w:right w:val="single" w:sz="4" w:space="0" w:color="auto"/>
            </w:tcBorders>
          </w:tcPr>
          <w:p w14:paraId="1D23FF29" w14:textId="77777777" w:rsidR="005F5583" w:rsidRPr="00F8474E" w:rsidRDefault="005F5583" w:rsidP="005F5583">
            <w:pPr>
              <w:pStyle w:val="TAC"/>
            </w:pPr>
          </w:p>
        </w:tc>
        <w:tc>
          <w:tcPr>
            <w:tcW w:w="1832" w:type="dxa"/>
            <w:vMerge/>
            <w:tcBorders>
              <w:left w:val="single" w:sz="4" w:space="0" w:color="auto"/>
              <w:right w:val="single" w:sz="4" w:space="0" w:color="auto"/>
            </w:tcBorders>
          </w:tcPr>
          <w:p w14:paraId="0900954D"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766C506F" w14:textId="77777777" w:rsidR="005F5583" w:rsidRPr="00F8474E" w:rsidRDefault="005F5583" w:rsidP="005F5583">
            <w:pPr>
              <w:pStyle w:val="TAC"/>
            </w:pPr>
            <w:r w:rsidRPr="00F8474E">
              <w:rPr>
                <w:lang w:val="sv-SE"/>
              </w:rPr>
              <w:t>NR_FDD_FR1_G, NR_TDD_FR1_G</w:t>
            </w:r>
          </w:p>
        </w:tc>
        <w:tc>
          <w:tcPr>
            <w:tcW w:w="1289" w:type="dxa"/>
            <w:tcBorders>
              <w:left w:val="single" w:sz="4" w:space="0" w:color="auto"/>
              <w:right w:val="single" w:sz="4" w:space="0" w:color="auto"/>
            </w:tcBorders>
            <w:vAlign w:val="center"/>
          </w:tcPr>
          <w:p w14:paraId="3456ABA2" w14:textId="77777777" w:rsidR="005F5583" w:rsidRPr="00F8474E" w:rsidRDefault="005F5583" w:rsidP="005F5583">
            <w:pPr>
              <w:pStyle w:val="TAC"/>
            </w:pPr>
            <w:r w:rsidRPr="00F8474E">
              <w:t>-118</w:t>
            </w:r>
          </w:p>
        </w:tc>
        <w:tc>
          <w:tcPr>
            <w:tcW w:w="1123" w:type="dxa"/>
            <w:tcBorders>
              <w:left w:val="single" w:sz="4" w:space="0" w:color="auto"/>
              <w:right w:val="single" w:sz="4" w:space="0" w:color="auto"/>
            </w:tcBorders>
          </w:tcPr>
          <w:p w14:paraId="7C0342AF" w14:textId="77777777" w:rsidR="005F5583" w:rsidRPr="00F8474E" w:rsidRDefault="005F5583" w:rsidP="005F5583">
            <w:pPr>
              <w:pStyle w:val="TAC"/>
            </w:pPr>
            <w:r w:rsidRPr="00F8474E">
              <w:rPr>
                <w:rFonts w:hint="eastAsia"/>
                <w:lang w:eastAsia="zh-CN"/>
              </w:rPr>
              <w:t>-50</w:t>
            </w:r>
          </w:p>
        </w:tc>
      </w:tr>
      <w:tr w:rsidR="005F5583" w:rsidRPr="00F8474E" w14:paraId="78452146" w14:textId="77777777" w:rsidTr="00380899">
        <w:trPr>
          <w:trHeight w:val="22"/>
          <w:jc w:val="center"/>
        </w:trPr>
        <w:tc>
          <w:tcPr>
            <w:tcW w:w="1132" w:type="dxa"/>
            <w:vMerge/>
            <w:tcBorders>
              <w:left w:val="single" w:sz="4" w:space="0" w:color="auto"/>
              <w:bottom w:val="nil"/>
              <w:right w:val="single" w:sz="6" w:space="0" w:color="auto"/>
            </w:tcBorders>
          </w:tcPr>
          <w:p w14:paraId="4F76C79F" w14:textId="77777777" w:rsidR="005F5583" w:rsidRPr="00F8474E" w:rsidRDefault="005F5583" w:rsidP="005F5583">
            <w:pPr>
              <w:pStyle w:val="TAC"/>
            </w:pPr>
          </w:p>
        </w:tc>
        <w:tc>
          <w:tcPr>
            <w:tcW w:w="715" w:type="dxa"/>
            <w:vMerge/>
            <w:tcBorders>
              <w:left w:val="single" w:sz="4" w:space="0" w:color="auto"/>
              <w:bottom w:val="nil"/>
              <w:right w:val="single" w:sz="4" w:space="0" w:color="auto"/>
            </w:tcBorders>
            <w:vAlign w:val="center"/>
          </w:tcPr>
          <w:p w14:paraId="1AD509E9" w14:textId="77777777" w:rsidR="005F5583" w:rsidRPr="00F8474E" w:rsidRDefault="005F5583" w:rsidP="005F5583">
            <w:pPr>
              <w:pStyle w:val="TAC"/>
              <w:rPr>
                <w:lang w:val="sv-SE"/>
              </w:rPr>
            </w:pPr>
          </w:p>
        </w:tc>
        <w:tc>
          <w:tcPr>
            <w:tcW w:w="1133" w:type="dxa"/>
            <w:vMerge/>
            <w:tcBorders>
              <w:left w:val="single" w:sz="4" w:space="0" w:color="auto"/>
              <w:bottom w:val="single" w:sz="4" w:space="0" w:color="auto"/>
              <w:right w:val="single" w:sz="4" w:space="0" w:color="auto"/>
            </w:tcBorders>
          </w:tcPr>
          <w:p w14:paraId="79E9FFBD" w14:textId="77777777" w:rsidR="005F5583" w:rsidRPr="00F8474E" w:rsidRDefault="005F5583" w:rsidP="005F5583">
            <w:pPr>
              <w:pStyle w:val="TAC"/>
              <w:rPr>
                <w:rFonts w:cs="Calibri"/>
              </w:rPr>
            </w:pPr>
          </w:p>
        </w:tc>
        <w:tc>
          <w:tcPr>
            <w:tcW w:w="709" w:type="dxa"/>
            <w:vMerge/>
            <w:tcBorders>
              <w:left w:val="single" w:sz="4" w:space="0" w:color="auto"/>
              <w:bottom w:val="nil"/>
              <w:right w:val="single" w:sz="4" w:space="0" w:color="auto"/>
            </w:tcBorders>
          </w:tcPr>
          <w:p w14:paraId="2104FC89" w14:textId="77777777" w:rsidR="005F5583" w:rsidRPr="00F8474E" w:rsidRDefault="005F5583" w:rsidP="005F5583">
            <w:pPr>
              <w:pStyle w:val="TAC"/>
            </w:pPr>
          </w:p>
        </w:tc>
        <w:tc>
          <w:tcPr>
            <w:tcW w:w="1832" w:type="dxa"/>
            <w:vMerge/>
            <w:tcBorders>
              <w:left w:val="single" w:sz="4" w:space="0" w:color="auto"/>
              <w:bottom w:val="single" w:sz="4" w:space="0" w:color="auto"/>
              <w:right w:val="single" w:sz="4" w:space="0" w:color="auto"/>
            </w:tcBorders>
          </w:tcPr>
          <w:p w14:paraId="5758C572" w14:textId="77777777" w:rsidR="005F5583" w:rsidRPr="00F8474E" w:rsidRDefault="005F5583" w:rsidP="005F5583">
            <w:pPr>
              <w:pStyle w:val="TAC"/>
            </w:pPr>
          </w:p>
        </w:tc>
        <w:tc>
          <w:tcPr>
            <w:tcW w:w="2267" w:type="dxa"/>
            <w:tcBorders>
              <w:top w:val="single" w:sz="4" w:space="0" w:color="auto"/>
              <w:left w:val="single" w:sz="4" w:space="0" w:color="auto"/>
              <w:bottom w:val="single" w:sz="4" w:space="0" w:color="auto"/>
              <w:right w:val="single" w:sz="4" w:space="0" w:color="auto"/>
            </w:tcBorders>
            <w:vAlign w:val="center"/>
          </w:tcPr>
          <w:p w14:paraId="039B90AB" w14:textId="77777777" w:rsidR="005F5583" w:rsidRPr="00F8474E" w:rsidRDefault="005F5583" w:rsidP="005F5583">
            <w:pPr>
              <w:pStyle w:val="TAC"/>
            </w:pPr>
            <w:r w:rsidRPr="00F8474E">
              <w:rPr>
                <w:lang w:val="sv-SE"/>
              </w:rPr>
              <w:t>NR_FDD_FR1_H</w:t>
            </w:r>
          </w:p>
        </w:tc>
        <w:tc>
          <w:tcPr>
            <w:tcW w:w="1289" w:type="dxa"/>
            <w:tcBorders>
              <w:left w:val="single" w:sz="4" w:space="0" w:color="auto"/>
              <w:bottom w:val="single" w:sz="4" w:space="0" w:color="auto"/>
              <w:right w:val="single" w:sz="4" w:space="0" w:color="auto"/>
            </w:tcBorders>
            <w:vAlign w:val="center"/>
          </w:tcPr>
          <w:p w14:paraId="020992F8" w14:textId="77777777" w:rsidR="005F5583" w:rsidRPr="00F8474E" w:rsidRDefault="005F5583" w:rsidP="005F5583">
            <w:pPr>
              <w:pStyle w:val="TAC"/>
            </w:pPr>
            <w:r w:rsidRPr="00F8474E">
              <w:t>-117.5</w:t>
            </w:r>
          </w:p>
        </w:tc>
        <w:tc>
          <w:tcPr>
            <w:tcW w:w="1123" w:type="dxa"/>
            <w:tcBorders>
              <w:left w:val="single" w:sz="4" w:space="0" w:color="auto"/>
              <w:bottom w:val="single" w:sz="4" w:space="0" w:color="auto"/>
              <w:right w:val="single" w:sz="4" w:space="0" w:color="auto"/>
            </w:tcBorders>
          </w:tcPr>
          <w:p w14:paraId="4457D2F7" w14:textId="77777777" w:rsidR="005F5583" w:rsidRPr="00F8474E" w:rsidRDefault="005F5583" w:rsidP="005F5583">
            <w:pPr>
              <w:pStyle w:val="TAC"/>
            </w:pPr>
            <w:r w:rsidRPr="00F8474E">
              <w:rPr>
                <w:rFonts w:hint="eastAsia"/>
                <w:lang w:eastAsia="zh-CN"/>
              </w:rPr>
              <w:t>-50</w:t>
            </w:r>
          </w:p>
        </w:tc>
      </w:tr>
      <w:tr w:rsidR="005F5583" w:rsidRPr="00F8474E" w14:paraId="187F7FF7" w14:textId="77777777" w:rsidTr="00FA482E">
        <w:trPr>
          <w:jc w:val="center"/>
        </w:trPr>
        <w:tc>
          <w:tcPr>
            <w:tcW w:w="1132" w:type="dxa"/>
            <w:tcBorders>
              <w:top w:val="single" w:sz="6" w:space="0" w:color="auto"/>
              <w:left w:val="single" w:sz="4" w:space="0" w:color="auto"/>
              <w:bottom w:val="nil"/>
              <w:right w:val="single" w:sz="6" w:space="0" w:color="auto"/>
            </w:tcBorders>
            <w:hideMark/>
          </w:tcPr>
          <w:p w14:paraId="0F1A7F95" w14:textId="04FFECCC" w:rsidR="005F5583" w:rsidRPr="00F8474E" w:rsidRDefault="005F5583" w:rsidP="005F5583">
            <w:pPr>
              <w:pStyle w:val="TAC"/>
              <w:rPr>
                <w:lang w:eastAsia="zh-CN"/>
              </w:rPr>
            </w:pPr>
            <w:r w:rsidRPr="00F8474E">
              <w:t>± 7+</w:t>
            </w:r>
            <w:r w:rsidRPr="00F8474E">
              <w:rPr>
                <w:lang w:eastAsia="ko-KR"/>
              </w:rPr>
              <w:sym w:font="Symbol" w:char="F064"/>
            </w:r>
          </w:p>
        </w:tc>
        <w:tc>
          <w:tcPr>
            <w:tcW w:w="715" w:type="dxa"/>
            <w:tcBorders>
              <w:top w:val="nil"/>
              <w:left w:val="single" w:sz="4" w:space="0" w:color="auto"/>
              <w:bottom w:val="single" w:sz="4" w:space="0" w:color="auto"/>
              <w:right w:val="single" w:sz="4" w:space="0" w:color="auto"/>
            </w:tcBorders>
            <w:vAlign w:val="center"/>
          </w:tcPr>
          <w:p w14:paraId="069D2211" w14:textId="77777777" w:rsidR="005F5583" w:rsidRPr="00F8474E" w:rsidRDefault="005F5583" w:rsidP="005F5583">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55309CB9" w14:textId="58B2E440" w:rsidR="005F5583" w:rsidRPr="00F8474E" w:rsidRDefault="005F5583" w:rsidP="005F5583">
            <w:pPr>
              <w:pStyle w:val="TAC"/>
            </w:pPr>
            <w:r w:rsidRPr="00F8474E">
              <w:rPr>
                <w:rFonts w:cs="Calibri"/>
              </w:rPr>
              <w:t>≥</w:t>
            </w:r>
            <w:r w:rsidRPr="00F8474E">
              <w:rPr>
                <w:lang w:eastAsia="zh-CN"/>
              </w:rPr>
              <w:t>132</w:t>
            </w:r>
          </w:p>
        </w:tc>
        <w:tc>
          <w:tcPr>
            <w:tcW w:w="709" w:type="dxa"/>
            <w:tcBorders>
              <w:top w:val="nil"/>
              <w:left w:val="single" w:sz="4" w:space="0" w:color="auto"/>
              <w:bottom w:val="single" w:sz="4" w:space="0" w:color="auto"/>
              <w:right w:val="single" w:sz="4" w:space="0" w:color="auto"/>
            </w:tcBorders>
          </w:tcPr>
          <w:p w14:paraId="44F9480A" w14:textId="77777777" w:rsidR="005F5583" w:rsidRPr="00F8474E" w:rsidRDefault="005F5583" w:rsidP="005F5583">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2A4D7184" w14:textId="193C5B3D"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78088C2C" w14:textId="77777777" w:rsidR="005F5583" w:rsidRPr="00F8474E" w:rsidRDefault="005F5583" w:rsidP="005F5583">
            <w:pPr>
              <w:pStyle w:val="TAC"/>
            </w:pPr>
            <w:r w:rsidRPr="00F8474E">
              <w:t>NOTE 6</w:t>
            </w:r>
          </w:p>
        </w:tc>
        <w:tc>
          <w:tcPr>
            <w:tcW w:w="1289" w:type="dxa"/>
            <w:tcBorders>
              <w:top w:val="single" w:sz="4" w:space="0" w:color="auto"/>
              <w:left w:val="single" w:sz="4" w:space="0" w:color="auto"/>
              <w:bottom w:val="single" w:sz="4" w:space="0" w:color="auto"/>
              <w:right w:val="single" w:sz="4" w:space="0" w:color="auto"/>
            </w:tcBorders>
            <w:hideMark/>
          </w:tcPr>
          <w:p w14:paraId="7AF66F2A" w14:textId="77777777" w:rsidR="005F5583" w:rsidRPr="00F8474E" w:rsidRDefault="005F5583" w:rsidP="005F5583">
            <w:pPr>
              <w:pStyle w:val="TAC"/>
            </w:pPr>
            <w:r w:rsidRPr="00F8474E">
              <w:t>NOTE 6</w:t>
            </w:r>
          </w:p>
        </w:tc>
        <w:tc>
          <w:tcPr>
            <w:tcW w:w="1123" w:type="dxa"/>
            <w:tcBorders>
              <w:top w:val="single" w:sz="4" w:space="0" w:color="auto"/>
              <w:left w:val="single" w:sz="4" w:space="0" w:color="auto"/>
              <w:bottom w:val="single" w:sz="4" w:space="0" w:color="auto"/>
              <w:right w:val="single" w:sz="4" w:space="0" w:color="auto"/>
            </w:tcBorders>
            <w:hideMark/>
          </w:tcPr>
          <w:p w14:paraId="5B138FC6" w14:textId="77777777" w:rsidR="005F5583" w:rsidRPr="00F8474E" w:rsidRDefault="005F5583" w:rsidP="005F5583">
            <w:pPr>
              <w:pStyle w:val="TAC"/>
            </w:pPr>
            <w:r w:rsidRPr="00F8474E">
              <w:t>NOTE 6</w:t>
            </w:r>
          </w:p>
        </w:tc>
      </w:tr>
      <w:tr w:rsidR="005F5583" w:rsidRPr="00F8474E" w14:paraId="2B35B54F" w14:textId="77777777" w:rsidTr="00FA482E">
        <w:trPr>
          <w:jc w:val="center"/>
        </w:trPr>
        <w:tc>
          <w:tcPr>
            <w:tcW w:w="1132" w:type="dxa"/>
            <w:tcBorders>
              <w:top w:val="single" w:sz="6" w:space="0" w:color="auto"/>
              <w:left w:val="single" w:sz="4" w:space="0" w:color="auto"/>
              <w:bottom w:val="nil"/>
              <w:right w:val="single" w:sz="6" w:space="0" w:color="auto"/>
            </w:tcBorders>
            <w:hideMark/>
          </w:tcPr>
          <w:p w14:paraId="6E5CE2D2" w14:textId="75658350" w:rsidR="005F5583" w:rsidRPr="00F8474E" w:rsidRDefault="005F5583" w:rsidP="005F5583">
            <w:pPr>
              <w:pStyle w:val="TAC"/>
              <w:rPr>
                <w:lang w:eastAsia="zh-CN"/>
              </w:rPr>
            </w:pPr>
            <w:r w:rsidRPr="00F8474E">
              <w:t>± 75+</w:t>
            </w:r>
            <w:r w:rsidRPr="00F8474E">
              <w:rPr>
                <w:lang w:eastAsia="ko-KR"/>
              </w:rPr>
              <w:sym w:font="Symbol" w:char="F064"/>
            </w:r>
          </w:p>
        </w:tc>
        <w:tc>
          <w:tcPr>
            <w:tcW w:w="715" w:type="dxa"/>
            <w:tcBorders>
              <w:top w:val="nil"/>
              <w:left w:val="single" w:sz="4" w:space="0" w:color="auto"/>
              <w:bottom w:val="nil"/>
              <w:right w:val="single" w:sz="4" w:space="0" w:color="auto"/>
            </w:tcBorders>
            <w:vAlign w:val="center"/>
            <w:hideMark/>
          </w:tcPr>
          <w:p w14:paraId="7C76860D" w14:textId="77777777" w:rsidR="005F5583" w:rsidRPr="00F8474E" w:rsidRDefault="005F5583" w:rsidP="005F5583">
            <w:pPr>
              <w:pStyle w:val="TAC"/>
              <w:rPr>
                <w:lang w:val="sv-SE"/>
              </w:rPr>
            </w:pPr>
            <w:r w:rsidRPr="00F8474E">
              <w:rPr>
                <w:lang w:val="sv-SE"/>
              </w:rPr>
              <w:t>-6</w:t>
            </w:r>
          </w:p>
        </w:tc>
        <w:tc>
          <w:tcPr>
            <w:tcW w:w="1133" w:type="dxa"/>
            <w:tcBorders>
              <w:top w:val="single" w:sz="4" w:space="0" w:color="auto"/>
              <w:left w:val="single" w:sz="4" w:space="0" w:color="auto"/>
              <w:bottom w:val="single" w:sz="4" w:space="0" w:color="auto"/>
              <w:right w:val="single" w:sz="4" w:space="0" w:color="auto"/>
            </w:tcBorders>
            <w:hideMark/>
          </w:tcPr>
          <w:p w14:paraId="6A0192FC" w14:textId="045D43DE" w:rsidR="005F5583" w:rsidRPr="00F8474E" w:rsidRDefault="005F5583" w:rsidP="005F5583">
            <w:pPr>
              <w:pStyle w:val="TAC"/>
              <w:rPr>
                <w:lang w:eastAsia="zh-CN"/>
              </w:rPr>
            </w:pPr>
            <w:r w:rsidRPr="00F8474E">
              <w:rPr>
                <w:rFonts w:cs="Calibri"/>
              </w:rPr>
              <w:t>≥</w:t>
            </w:r>
            <w:r w:rsidRPr="00F8474E">
              <w:t>52</w:t>
            </w:r>
          </w:p>
        </w:tc>
        <w:tc>
          <w:tcPr>
            <w:tcW w:w="709" w:type="dxa"/>
            <w:tcBorders>
              <w:top w:val="nil"/>
              <w:left w:val="single" w:sz="4" w:space="0" w:color="auto"/>
              <w:bottom w:val="nil"/>
              <w:right w:val="single" w:sz="4" w:space="0" w:color="auto"/>
            </w:tcBorders>
            <w:vAlign w:val="center"/>
            <w:hideMark/>
          </w:tcPr>
          <w:p w14:paraId="5970CDE6" w14:textId="77777777" w:rsidR="005F5583" w:rsidRPr="00F8474E" w:rsidRDefault="005F5583" w:rsidP="005F5583">
            <w:pPr>
              <w:pStyle w:val="TAC"/>
            </w:pPr>
            <w:r w:rsidRPr="00F8474E">
              <w:t>15</w:t>
            </w:r>
          </w:p>
        </w:tc>
        <w:tc>
          <w:tcPr>
            <w:tcW w:w="1832" w:type="dxa"/>
            <w:tcBorders>
              <w:top w:val="single" w:sz="4" w:space="0" w:color="auto"/>
              <w:left w:val="single" w:sz="4" w:space="0" w:color="auto"/>
              <w:bottom w:val="single" w:sz="4" w:space="0" w:color="auto"/>
              <w:right w:val="single" w:sz="4" w:space="0" w:color="auto"/>
            </w:tcBorders>
            <w:vAlign w:val="center"/>
            <w:hideMark/>
          </w:tcPr>
          <w:p w14:paraId="5797D029" w14:textId="1264EEE1"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7619AC67" w14:textId="77777777" w:rsidR="005F5583" w:rsidRPr="00F8474E" w:rsidRDefault="005F5583" w:rsidP="005F5583">
            <w:pPr>
              <w:pStyle w:val="TAC"/>
            </w:pPr>
            <w:r w:rsidRPr="00F8474E">
              <w:t>NOTE 6</w:t>
            </w:r>
          </w:p>
        </w:tc>
        <w:tc>
          <w:tcPr>
            <w:tcW w:w="1289" w:type="dxa"/>
            <w:tcBorders>
              <w:top w:val="single" w:sz="4" w:space="0" w:color="auto"/>
              <w:left w:val="single" w:sz="4" w:space="0" w:color="auto"/>
              <w:bottom w:val="single" w:sz="4" w:space="0" w:color="auto"/>
              <w:right w:val="single" w:sz="4" w:space="0" w:color="auto"/>
            </w:tcBorders>
            <w:hideMark/>
          </w:tcPr>
          <w:p w14:paraId="51F7E0C1" w14:textId="77777777" w:rsidR="005F5583" w:rsidRPr="00F8474E" w:rsidRDefault="005F5583" w:rsidP="005F5583">
            <w:pPr>
              <w:pStyle w:val="TAC"/>
            </w:pPr>
            <w:r w:rsidRPr="00F8474E">
              <w:t>NOTE 6</w:t>
            </w:r>
          </w:p>
        </w:tc>
        <w:tc>
          <w:tcPr>
            <w:tcW w:w="1123" w:type="dxa"/>
            <w:tcBorders>
              <w:top w:val="single" w:sz="4" w:space="0" w:color="auto"/>
              <w:left w:val="single" w:sz="4" w:space="0" w:color="auto"/>
              <w:bottom w:val="single" w:sz="4" w:space="0" w:color="auto"/>
              <w:right w:val="single" w:sz="4" w:space="0" w:color="auto"/>
            </w:tcBorders>
            <w:hideMark/>
          </w:tcPr>
          <w:p w14:paraId="2D763756" w14:textId="77777777" w:rsidR="005F5583" w:rsidRPr="00F8474E" w:rsidRDefault="005F5583" w:rsidP="005F5583">
            <w:pPr>
              <w:pStyle w:val="TAC"/>
            </w:pPr>
            <w:r w:rsidRPr="00F8474E">
              <w:t>NOTE 6</w:t>
            </w:r>
          </w:p>
        </w:tc>
      </w:tr>
      <w:tr w:rsidR="005F5583" w:rsidRPr="00F8474E" w14:paraId="23882157" w14:textId="77777777" w:rsidTr="00FA482E">
        <w:trPr>
          <w:jc w:val="center"/>
        </w:trPr>
        <w:tc>
          <w:tcPr>
            <w:tcW w:w="1132" w:type="dxa"/>
            <w:tcBorders>
              <w:top w:val="single" w:sz="6" w:space="0" w:color="auto"/>
              <w:left w:val="single" w:sz="4" w:space="0" w:color="auto"/>
              <w:bottom w:val="nil"/>
              <w:right w:val="single" w:sz="6" w:space="0" w:color="auto"/>
            </w:tcBorders>
            <w:hideMark/>
          </w:tcPr>
          <w:p w14:paraId="46797416" w14:textId="64AC3974" w:rsidR="005F5583" w:rsidRPr="00F8474E" w:rsidRDefault="005F5583" w:rsidP="005F5583">
            <w:pPr>
              <w:pStyle w:val="TAC"/>
              <w:rPr>
                <w:lang w:eastAsia="zh-CN"/>
              </w:rPr>
            </w:pPr>
            <w:r w:rsidRPr="00F8474E">
              <w:t>± 37+</w:t>
            </w:r>
            <w:r w:rsidRPr="00F8474E">
              <w:rPr>
                <w:lang w:eastAsia="ko-KR"/>
              </w:rPr>
              <w:sym w:font="Symbol" w:char="F064"/>
            </w:r>
          </w:p>
        </w:tc>
        <w:tc>
          <w:tcPr>
            <w:tcW w:w="715" w:type="dxa"/>
            <w:tcBorders>
              <w:top w:val="nil"/>
              <w:left w:val="single" w:sz="4" w:space="0" w:color="auto"/>
              <w:bottom w:val="nil"/>
              <w:right w:val="single" w:sz="4" w:space="0" w:color="auto"/>
            </w:tcBorders>
            <w:vAlign w:val="center"/>
            <w:hideMark/>
          </w:tcPr>
          <w:p w14:paraId="3C674868" w14:textId="77777777" w:rsidR="005F5583" w:rsidRPr="00F8474E" w:rsidRDefault="005F5583" w:rsidP="005F5583">
            <w:pPr>
              <w:pStyle w:val="TAC"/>
              <w:rPr>
                <w:rFonts w:eastAsia="SimSun"/>
                <w:lang w:eastAsia="ko-KR"/>
              </w:rPr>
            </w:pPr>
          </w:p>
        </w:tc>
        <w:tc>
          <w:tcPr>
            <w:tcW w:w="1133" w:type="dxa"/>
            <w:tcBorders>
              <w:top w:val="single" w:sz="4" w:space="0" w:color="auto"/>
              <w:left w:val="single" w:sz="4" w:space="0" w:color="auto"/>
              <w:bottom w:val="single" w:sz="4" w:space="0" w:color="auto"/>
              <w:right w:val="single" w:sz="4" w:space="0" w:color="auto"/>
            </w:tcBorders>
            <w:hideMark/>
          </w:tcPr>
          <w:p w14:paraId="6151A482" w14:textId="2DD2959A" w:rsidR="005F5583" w:rsidRPr="00F8474E" w:rsidRDefault="005F5583" w:rsidP="005F5583">
            <w:pPr>
              <w:pStyle w:val="TAC"/>
            </w:pPr>
            <w:r w:rsidRPr="00F8474E">
              <w:rPr>
                <w:lang w:eastAsia="zh-CN"/>
              </w:rPr>
              <w:t>&gt;104</w:t>
            </w:r>
          </w:p>
        </w:tc>
        <w:tc>
          <w:tcPr>
            <w:tcW w:w="709" w:type="dxa"/>
            <w:tcBorders>
              <w:top w:val="nil"/>
              <w:left w:val="single" w:sz="4" w:space="0" w:color="auto"/>
              <w:bottom w:val="single" w:sz="4" w:space="0" w:color="auto"/>
              <w:right w:val="single" w:sz="4" w:space="0" w:color="auto"/>
            </w:tcBorders>
            <w:vAlign w:val="center"/>
            <w:hideMark/>
          </w:tcPr>
          <w:p w14:paraId="1420EA31" w14:textId="77777777" w:rsidR="005F5583" w:rsidRPr="00F8474E" w:rsidRDefault="005F5583" w:rsidP="005F5583">
            <w:pPr>
              <w:pStyle w:val="TAC"/>
              <w:rPr>
                <w:rFonts w:eastAsia="SimSun"/>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4DC520E8" w14:textId="6822F92F"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1E8C4C95" w14:textId="77777777" w:rsidR="005F5583" w:rsidRPr="00F8474E" w:rsidRDefault="005F5583" w:rsidP="005F5583">
            <w:pPr>
              <w:pStyle w:val="TAC"/>
            </w:pPr>
            <w:r w:rsidRPr="00F8474E">
              <w:t>NOTE 6</w:t>
            </w:r>
          </w:p>
        </w:tc>
        <w:tc>
          <w:tcPr>
            <w:tcW w:w="1289" w:type="dxa"/>
            <w:tcBorders>
              <w:top w:val="single" w:sz="4" w:space="0" w:color="auto"/>
              <w:left w:val="single" w:sz="4" w:space="0" w:color="auto"/>
              <w:bottom w:val="single" w:sz="4" w:space="0" w:color="auto"/>
              <w:right w:val="single" w:sz="4" w:space="0" w:color="auto"/>
            </w:tcBorders>
            <w:hideMark/>
          </w:tcPr>
          <w:p w14:paraId="0762C3FA" w14:textId="77777777" w:rsidR="005F5583" w:rsidRPr="00F8474E" w:rsidRDefault="005F5583" w:rsidP="005F5583">
            <w:pPr>
              <w:pStyle w:val="TAC"/>
            </w:pPr>
            <w:r w:rsidRPr="00F8474E">
              <w:t>NOTE 6</w:t>
            </w:r>
          </w:p>
        </w:tc>
        <w:tc>
          <w:tcPr>
            <w:tcW w:w="1123" w:type="dxa"/>
            <w:tcBorders>
              <w:top w:val="single" w:sz="4" w:space="0" w:color="auto"/>
              <w:left w:val="single" w:sz="4" w:space="0" w:color="auto"/>
              <w:bottom w:val="single" w:sz="4" w:space="0" w:color="auto"/>
              <w:right w:val="single" w:sz="4" w:space="0" w:color="auto"/>
            </w:tcBorders>
            <w:hideMark/>
          </w:tcPr>
          <w:p w14:paraId="73050B1C" w14:textId="77777777" w:rsidR="005F5583" w:rsidRPr="00F8474E" w:rsidRDefault="005F5583" w:rsidP="005F5583">
            <w:pPr>
              <w:pStyle w:val="TAC"/>
            </w:pPr>
            <w:r w:rsidRPr="00F8474E">
              <w:t>NOTE 6</w:t>
            </w:r>
          </w:p>
        </w:tc>
      </w:tr>
      <w:tr w:rsidR="005F5583" w:rsidRPr="00F8474E" w14:paraId="0AAF689D" w14:textId="77777777" w:rsidTr="00FA482E">
        <w:trPr>
          <w:jc w:val="center"/>
        </w:trPr>
        <w:tc>
          <w:tcPr>
            <w:tcW w:w="1132" w:type="dxa"/>
            <w:tcBorders>
              <w:top w:val="single" w:sz="6" w:space="0" w:color="auto"/>
              <w:left w:val="single" w:sz="4" w:space="0" w:color="auto"/>
              <w:bottom w:val="nil"/>
              <w:right w:val="single" w:sz="6" w:space="0" w:color="auto"/>
            </w:tcBorders>
            <w:hideMark/>
          </w:tcPr>
          <w:p w14:paraId="3873DD4C" w14:textId="438ED789" w:rsidR="005F5583" w:rsidRPr="00F8474E" w:rsidRDefault="005F5583" w:rsidP="005F5583">
            <w:pPr>
              <w:pStyle w:val="TAC"/>
              <w:rPr>
                <w:lang w:eastAsia="zh-CN"/>
              </w:rPr>
            </w:pPr>
            <w:r w:rsidRPr="00F8474E">
              <w:t>± 39+</w:t>
            </w:r>
            <w:r w:rsidRPr="00F8474E">
              <w:rPr>
                <w:lang w:eastAsia="ko-KR"/>
              </w:rPr>
              <w:sym w:font="Symbol" w:char="F064"/>
            </w:r>
          </w:p>
        </w:tc>
        <w:tc>
          <w:tcPr>
            <w:tcW w:w="715" w:type="dxa"/>
            <w:tcBorders>
              <w:top w:val="nil"/>
              <w:left w:val="single" w:sz="4" w:space="0" w:color="auto"/>
              <w:bottom w:val="nil"/>
              <w:right w:val="single" w:sz="4" w:space="0" w:color="auto"/>
            </w:tcBorders>
            <w:vAlign w:val="center"/>
          </w:tcPr>
          <w:p w14:paraId="4FFD8C84" w14:textId="77777777" w:rsidR="005F5583" w:rsidRPr="00F8474E" w:rsidRDefault="005F5583" w:rsidP="005F5583">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4D0490F9" w14:textId="50CEDDE6" w:rsidR="005F5583" w:rsidRPr="00F8474E" w:rsidRDefault="005F5583" w:rsidP="005F5583">
            <w:pPr>
              <w:pStyle w:val="TAC"/>
              <w:rPr>
                <w:rFonts w:cs="Calibri"/>
                <w:lang w:eastAsia="zh-CN"/>
              </w:rPr>
            </w:pPr>
            <w:r w:rsidRPr="00F8474E">
              <w:rPr>
                <w:rFonts w:cs="Calibri"/>
              </w:rPr>
              <w:t>≥48</w:t>
            </w:r>
          </w:p>
        </w:tc>
        <w:tc>
          <w:tcPr>
            <w:tcW w:w="709" w:type="dxa"/>
            <w:tcBorders>
              <w:top w:val="nil"/>
              <w:left w:val="single" w:sz="4" w:space="0" w:color="auto"/>
              <w:bottom w:val="nil"/>
              <w:right w:val="single" w:sz="4" w:space="0" w:color="auto"/>
            </w:tcBorders>
            <w:hideMark/>
          </w:tcPr>
          <w:p w14:paraId="433A8550" w14:textId="77777777" w:rsidR="005F5583" w:rsidRPr="00F8474E" w:rsidRDefault="005F5583" w:rsidP="005F5583">
            <w:pPr>
              <w:pStyle w:val="TAC"/>
            </w:pPr>
            <w:r w:rsidRPr="00F8474E">
              <w:t>30</w:t>
            </w:r>
          </w:p>
        </w:tc>
        <w:tc>
          <w:tcPr>
            <w:tcW w:w="1832" w:type="dxa"/>
            <w:tcBorders>
              <w:top w:val="single" w:sz="4" w:space="0" w:color="auto"/>
              <w:left w:val="single" w:sz="4" w:space="0" w:color="auto"/>
              <w:bottom w:val="single" w:sz="4" w:space="0" w:color="auto"/>
              <w:right w:val="single" w:sz="4" w:space="0" w:color="auto"/>
            </w:tcBorders>
            <w:vAlign w:val="center"/>
            <w:hideMark/>
          </w:tcPr>
          <w:p w14:paraId="37191445" w14:textId="110C192D"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582B7C79" w14:textId="77777777" w:rsidR="005F5583" w:rsidRPr="00F8474E" w:rsidRDefault="005F5583" w:rsidP="005F5583">
            <w:pPr>
              <w:pStyle w:val="TAC"/>
            </w:pPr>
            <w:r w:rsidRPr="00F8474E">
              <w:t>NOTE 6</w:t>
            </w:r>
          </w:p>
        </w:tc>
        <w:tc>
          <w:tcPr>
            <w:tcW w:w="1289" w:type="dxa"/>
            <w:tcBorders>
              <w:top w:val="single" w:sz="4" w:space="0" w:color="auto"/>
              <w:left w:val="single" w:sz="4" w:space="0" w:color="auto"/>
              <w:bottom w:val="single" w:sz="4" w:space="0" w:color="auto"/>
              <w:right w:val="single" w:sz="4" w:space="0" w:color="auto"/>
            </w:tcBorders>
            <w:hideMark/>
          </w:tcPr>
          <w:p w14:paraId="17530CE5" w14:textId="77777777" w:rsidR="005F5583" w:rsidRPr="00F8474E" w:rsidRDefault="005F5583" w:rsidP="005F5583">
            <w:pPr>
              <w:pStyle w:val="TAC"/>
            </w:pPr>
            <w:r w:rsidRPr="00F8474E">
              <w:t>NOTE 6</w:t>
            </w:r>
          </w:p>
        </w:tc>
        <w:tc>
          <w:tcPr>
            <w:tcW w:w="1123" w:type="dxa"/>
            <w:tcBorders>
              <w:top w:val="single" w:sz="4" w:space="0" w:color="auto"/>
              <w:left w:val="single" w:sz="4" w:space="0" w:color="auto"/>
              <w:bottom w:val="single" w:sz="4" w:space="0" w:color="auto"/>
              <w:right w:val="single" w:sz="4" w:space="0" w:color="auto"/>
            </w:tcBorders>
            <w:hideMark/>
          </w:tcPr>
          <w:p w14:paraId="682265FC" w14:textId="77777777" w:rsidR="005F5583" w:rsidRPr="00F8474E" w:rsidRDefault="005F5583" w:rsidP="005F5583">
            <w:pPr>
              <w:pStyle w:val="TAC"/>
            </w:pPr>
            <w:r w:rsidRPr="00F8474E">
              <w:t>NOTE 6</w:t>
            </w:r>
          </w:p>
        </w:tc>
      </w:tr>
      <w:tr w:rsidR="005F5583" w:rsidRPr="00F8474E" w14:paraId="3644F17C" w14:textId="77777777" w:rsidTr="00FA482E">
        <w:trPr>
          <w:jc w:val="center"/>
        </w:trPr>
        <w:tc>
          <w:tcPr>
            <w:tcW w:w="1132" w:type="dxa"/>
            <w:tcBorders>
              <w:top w:val="single" w:sz="6" w:space="0" w:color="auto"/>
              <w:left w:val="single" w:sz="4" w:space="0" w:color="auto"/>
              <w:bottom w:val="nil"/>
              <w:right w:val="single" w:sz="6" w:space="0" w:color="auto"/>
            </w:tcBorders>
            <w:hideMark/>
          </w:tcPr>
          <w:p w14:paraId="064D1060" w14:textId="4C251C41" w:rsidR="005F5583" w:rsidRPr="00F8474E" w:rsidRDefault="005F5583" w:rsidP="005F5583">
            <w:pPr>
              <w:pStyle w:val="TAC"/>
              <w:rPr>
                <w:lang w:eastAsia="zh-CN"/>
              </w:rPr>
            </w:pPr>
            <w:r w:rsidRPr="00F8474E">
              <w:t>± 16+</w:t>
            </w:r>
            <w:r w:rsidRPr="00F8474E">
              <w:rPr>
                <w:lang w:eastAsia="ko-KR"/>
              </w:rPr>
              <w:sym w:font="Symbol" w:char="F064"/>
            </w:r>
          </w:p>
        </w:tc>
        <w:tc>
          <w:tcPr>
            <w:tcW w:w="715" w:type="dxa"/>
            <w:tcBorders>
              <w:top w:val="nil"/>
              <w:left w:val="single" w:sz="4" w:space="0" w:color="auto"/>
              <w:bottom w:val="nil"/>
              <w:right w:val="single" w:sz="4" w:space="0" w:color="auto"/>
            </w:tcBorders>
            <w:vAlign w:val="center"/>
          </w:tcPr>
          <w:p w14:paraId="5579F556" w14:textId="77777777" w:rsidR="005F5583" w:rsidRPr="00F8474E" w:rsidRDefault="005F5583" w:rsidP="005F5583">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42C5C281" w14:textId="6118B8F7" w:rsidR="005F5583" w:rsidRPr="00F8474E" w:rsidRDefault="005F5583" w:rsidP="005F5583">
            <w:pPr>
              <w:pStyle w:val="TAC"/>
              <w:rPr>
                <w:lang w:eastAsia="zh-CN"/>
              </w:rPr>
            </w:pPr>
            <w:r w:rsidRPr="00F8474E">
              <w:rPr>
                <w:rFonts w:cs="Calibri"/>
              </w:rPr>
              <w:t>≥132</w:t>
            </w:r>
          </w:p>
        </w:tc>
        <w:tc>
          <w:tcPr>
            <w:tcW w:w="709" w:type="dxa"/>
            <w:tcBorders>
              <w:top w:val="nil"/>
              <w:left w:val="single" w:sz="4" w:space="0" w:color="auto"/>
              <w:bottom w:val="single" w:sz="4" w:space="0" w:color="auto"/>
              <w:right w:val="single" w:sz="4" w:space="0" w:color="auto"/>
            </w:tcBorders>
          </w:tcPr>
          <w:p w14:paraId="37C395AC" w14:textId="77777777" w:rsidR="005F5583" w:rsidRPr="00F8474E" w:rsidRDefault="005F5583" w:rsidP="005F5583">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6551B3E9" w14:textId="283FE8D9"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0A6FD5FA" w14:textId="77777777" w:rsidR="005F5583" w:rsidRPr="00F8474E" w:rsidRDefault="005F5583" w:rsidP="005F5583">
            <w:pPr>
              <w:pStyle w:val="TAC"/>
            </w:pPr>
            <w:r w:rsidRPr="00F8474E">
              <w:t>NOTE 6</w:t>
            </w:r>
          </w:p>
        </w:tc>
        <w:tc>
          <w:tcPr>
            <w:tcW w:w="1289" w:type="dxa"/>
            <w:tcBorders>
              <w:top w:val="single" w:sz="4" w:space="0" w:color="auto"/>
              <w:left w:val="single" w:sz="4" w:space="0" w:color="auto"/>
              <w:bottom w:val="single" w:sz="4" w:space="0" w:color="auto"/>
              <w:right w:val="single" w:sz="4" w:space="0" w:color="auto"/>
            </w:tcBorders>
            <w:hideMark/>
          </w:tcPr>
          <w:p w14:paraId="7F70939C" w14:textId="77777777" w:rsidR="005F5583" w:rsidRPr="00F8474E" w:rsidRDefault="005F5583" w:rsidP="005F5583">
            <w:pPr>
              <w:pStyle w:val="TAC"/>
            </w:pPr>
            <w:r w:rsidRPr="00F8474E">
              <w:t>NOTE 6</w:t>
            </w:r>
          </w:p>
        </w:tc>
        <w:tc>
          <w:tcPr>
            <w:tcW w:w="1123" w:type="dxa"/>
            <w:tcBorders>
              <w:top w:val="single" w:sz="4" w:space="0" w:color="auto"/>
              <w:left w:val="single" w:sz="4" w:space="0" w:color="auto"/>
              <w:bottom w:val="single" w:sz="4" w:space="0" w:color="auto"/>
              <w:right w:val="single" w:sz="4" w:space="0" w:color="auto"/>
            </w:tcBorders>
            <w:hideMark/>
          </w:tcPr>
          <w:p w14:paraId="1CDBC5EE" w14:textId="77777777" w:rsidR="005F5583" w:rsidRPr="00F8474E" w:rsidRDefault="005F5583" w:rsidP="005F5583">
            <w:pPr>
              <w:pStyle w:val="TAC"/>
            </w:pPr>
            <w:r w:rsidRPr="00F8474E">
              <w:t>NOTE 6</w:t>
            </w:r>
          </w:p>
        </w:tc>
      </w:tr>
      <w:tr w:rsidR="005F5583" w:rsidRPr="00F8474E" w14:paraId="57F32DEA" w14:textId="77777777" w:rsidTr="00FA482E">
        <w:trPr>
          <w:jc w:val="center"/>
        </w:trPr>
        <w:tc>
          <w:tcPr>
            <w:tcW w:w="1132" w:type="dxa"/>
            <w:tcBorders>
              <w:top w:val="single" w:sz="6" w:space="0" w:color="auto"/>
              <w:left w:val="single" w:sz="4" w:space="0" w:color="auto"/>
              <w:bottom w:val="nil"/>
              <w:right w:val="single" w:sz="6" w:space="0" w:color="auto"/>
            </w:tcBorders>
            <w:hideMark/>
          </w:tcPr>
          <w:p w14:paraId="0DF0FA77" w14:textId="16D7287D" w:rsidR="005F5583" w:rsidRPr="00F8474E" w:rsidRDefault="005F5583" w:rsidP="005F5583">
            <w:pPr>
              <w:pStyle w:val="TAC"/>
              <w:rPr>
                <w:lang w:eastAsia="zh-CN"/>
              </w:rPr>
            </w:pPr>
            <w:r w:rsidRPr="00F8474E">
              <w:t>± 16+</w:t>
            </w:r>
            <w:r w:rsidRPr="00F8474E">
              <w:rPr>
                <w:lang w:eastAsia="ko-KR"/>
              </w:rPr>
              <w:sym w:font="Symbol" w:char="F064"/>
            </w:r>
          </w:p>
        </w:tc>
        <w:tc>
          <w:tcPr>
            <w:tcW w:w="715" w:type="dxa"/>
            <w:tcBorders>
              <w:top w:val="nil"/>
              <w:left w:val="single" w:sz="4" w:space="0" w:color="auto"/>
              <w:bottom w:val="nil"/>
              <w:right w:val="single" w:sz="4" w:space="0" w:color="auto"/>
            </w:tcBorders>
            <w:vAlign w:val="center"/>
          </w:tcPr>
          <w:p w14:paraId="70C56797" w14:textId="77777777" w:rsidR="005F5583" w:rsidRPr="00F8474E" w:rsidRDefault="005F5583" w:rsidP="005F5583">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60240D2E" w14:textId="3EF1394F" w:rsidR="005F5583" w:rsidRPr="00F8474E" w:rsidRDefault="005F5583" w:rsidP="005F5583">
            <w:pPr>
              <w:pStyle w:val="TAC"/>
            </w:pPr>
            <w:r w:rsidRPr="00F8474E">
              <w:rPr>
                <w:rFonts w:cs="Calibri"/>
              </w:rPr>
              <w:t>≥</w:t>
            </w:r>
            <w:r w:rsidRPr="00F8474E">
              <w:rPr>
                <w:lang w:eastAsia="zh-CN"/>
              </w:rPr>
              <w:t>64</w:t>
            </w:r>
          </w:p>
        </w:tc>
        <w:tc>
          <w:tcPr>
            <w:tcW w:w="709" w:type="dxa"/>
            <w:tcBorders>
              <w:top w:val="nil"/>
              <w:left w:val="single" w:sz="4" w:space="0" w:color="auto"/>
              <w:bottom w:val="nil"/>
              <w:right w:val="single" w:sz="4" w:space="0" w:color="auto"/>
            </w:tcBorders>
            <w:hideMark/>
          </w:tcPr>
          <w:p w14:paraId="621A8B54" w14:textId="77777777" w:rsidR="005F5583" w:rsidRPr="00F8474E" w:rsidRDefault="005F5583" w:rsidP="005F5583">
            <w:pPr>
              <w:pStyle w:val="TAC"/>
            </w:pPr>
            <w:r w:rsidRPr="00F8474E">
              <w:t>60</w:t>
            </w:r>
          </w:p>
        </w:tc>
        <w:tc>
          <w:tcPr>
            <w:tcW w:w="1832" w:type="dxa"/>
            <w:tcBorders>
              <w:top w:val="single" w:sz="4" w:space="0" w:color="auto"/>
              <w:left w:val="single" w:sz="4" w:space="0" w:color="auto"/>
              <w:bottom w:val="single" w:sz="4" w:space="0" w:color="auto"/>
              <w:right w:val="single" w:sz="4" w:space="0" w:color="auto"/>
            </w:tcBorders>
            <w:hideMark/>
          </w:tcPr>
          <w:p w14:paraId="2F600BC1" w14:textId="2857DDED"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12AFB6B8" w14:textId="77777777" w:rsidR="005F5583" w:rsidRPr="00F8474E" w:rsidRDefault="005F5583" w:rsidP="005F5583">
            <w:pPr>
              <w:pStyle w:val="TAC"/>
            </w:pPr>
            <w:r w:rsidRPr="00F8474E">
              <w:t>NOTE 6</w:t>
            </w:r>
          </w:p>
        </w:tc>
        <w:tc>
          <w:tcPr>
            <w:tcW w:w="1289" w:type="dxa"/>
            <w:tcBorders>
              <w:top w:val="single" w:sz="4" w:space="0" w:color="auto"/>
              <w:left w:val="single" w:sz="4" w:space="0" w:color="auto"/>
              <w:bottom w:val="single" w:sz="4" w:space="0" w:color="auto"/>
              <w:right w:val="single" w:sz="4" w:space="0" w:color="auto"/>
            </w:tcBorders>
            <w:hideMark/>
          </w:tcPr>
          <w:p w14:paraId="7A016EE2" w14:textId="77777777" w:rsidR="005F5583" w:rsidRPr="00F8474E" w:rsidRDefault="005F5583" w:rsidP="005F5583">
            <w:pPr>
              <w:pStyle w:val="TAC"/>
            </w:pPr>
            <w:r w:rsidRPr="00F8474E">
              <w:t>NOTE 6</w:t>
            </w:r>
          </w:p>
        </w:tc>
        <w:tc>
          <w:tcPr>
            <w:tcW w:w="1123" w:type="dxa"/>
            <w:tcBorders>
              <w:top w:val="single" w:sz="4" w:space="0" w:color="auto"/>
              <w:left w:val="single" w:sz="4" w:space="0" w:color="auto"/>
              <w:bottom w:val="single" w:sz="4" w:space="0" w:color="auto"/>
              <w:right w:val="single" w:sz="4" w:space="0" w:color="auto"/>
            </w:tcBorders>
            <w:hideMark/>
          </w:tcPr>
          <w:p w14:paraId="2407BD3A" w14:textId="77777777" w:rsidR="005F5583" w:rsidRPr="00F8474E" w:rsidRDefault="005F5583" w:rsidP="005F5583">
            <w:pPr>
              <w:pStyle w:val="TAC"/>
            </w:pPr>
            <w:r w:rsidRPr="00F8474E">
              <w:t>NOTE 6</w:t>
            </w:r>
          </w:p>
        </w:tc>
      </w:tr>
      <w:tr w:rsidR="005F5583" w:rsidRPr="00F8474E" w14:paraId="635CBFE4" w14:textId="77777777" w:rsidTr="00FA482E">
        <w:trPr>
          <w:jc w:val="center"/>
        </w:trPr>
        <w:tc>
          <w:tcPr>
            <w:tcW w:w="1132" w:type="dxa"/>
            <w:tcBorders>
              <w:top w:val="single" w:sz="6" w:space="0" w:color="auto"/>
              <w:left w:val="single" w:sz="4" w:space="0" w:color="auto"/>
              <w:bottom w:val="nil"/>
              <w:right w:val="single" w:sz="6" w:space="0" w:color="auto"/>
            </w:tcBorders>
            <w:hideMark/>
          </w:tcPr>
          <w:p w14:paraId="27354DAA" w14:textId="13B6C4E7" w:rsidR="005F5583" w:rsidRPr="00F8474E" w:rsidRDefault="005F5583" w:rsidP="005F5583">
            <w:pPr>
              <w:pStyle w:val="TAC"/>
              <w:rPr>
                <w:lang w:eastAsia="zh-CN"/>
              </w:rPr>
            </w:pPr>
            <w:r w:rsidRPr="00F8474E">
              <w:t>± 8+</w:t>
            </w:r>
            <w:r w:rsidRPr="00F8474E">
              <w:rPr>
                <w:lang w:eastAsia="ko-KR"/>
              </w:rPr>
              <w:sym w:font="Symbol" w:char="F064"/>
            </w:r>
          </w:p>
        </w:tc>
        <w:tc>
          <w:tcPr>
            <w:tcW w:w="715" w:type="dxa"/>
            <w:tcBorders>
              <w:top w:val="nil"/>
              <w:left w:val="single" w:sz="4" w:space="0" w:color="auto"/>
              <w:bottom w:val="single" w:sz="4" w:space="0" w:color="auto"/>
              <w:right w:val="single" w:sz="4" w:space="0" w:color="auto"/>
            </w:tcBorders>
            <w:vAlign w:val="center"/>
          </w:tcPr>
          <w:p w14:paraId="42F13C90" w14:textId="77777777" w:rsidR="005F5583" w:rsidRPr="00F8474E" w:rsidRDefault="005F5583" w:rsidP="005F5583">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3BAD36EE" w14:textId="27D9761B" w:rsidR="005F5583" w:rsidRPr="00F8474E" w:rsidRDefault="005F5583" w:rsidP="005F5583">
            <w:pPr>
              <w:pStyle w:val="TAC"/>
            </w:pPr>
            <w:r w:rsidRPr="00F8474E">
              <w:rPr>
                <w:rFonts w:cs="Calibri"/>
              </w:rPr>
              <w:t>≥</w:t>
            </w:r>
            <w:r w:rsidRPr="00F8474E">
              <w:rPr>
                <w:lang w:eastAsia="zh-CN"/>
              </w:rPr>
              <w:t>132</w:t>
            </w:r>
          </w:p>
        </w:tc>
        <w:tc>
          <w:tcPr>
            <w:tcW w:w="709" w:type="dxa"/>
            <w:tcBorders>
              <w:top w:val="nil"/>
              <w:left w:val="single" w:sz="4" w:space="0" w:color="auto"/>
              <w:bottom w:val="single" w:sz="4" w:space="0" w:color="auto"/>
              <w:right w:val="single" w:sz="4" w:space="0" w:color="auto"/>
            </w:tcBorders>
          </w:tcPr>
          <w:p w14:paraId="7F212166" w14:textId="77777777" w:rsidR="005F5583" w:rsidRPr="00F8474E" w:rsidRDefault="005F5583" w:rsidP="005F5583">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350B3733" w14:textId="4E2EB680" w:rsidR="005F5583" w:rsidRPr="00F8474E" w:rsidRDefault="005F5583" w:rsidP="005F5583">
            <w:pPr>
              <w:pStyle w:val="TAC"/>
              <w:rPr>
                <w:lang w:eastAsia="zh-CN"/>
              </w:rPr>
            </w:pPr>
            <w:r w:rsidRPr="00F8474E">
              <w:t>≥1</w:t>
            </w:r>
          </w:p>
        </w:tc>
        <w:tc>
          <w:tcPr>
            <w:tcW w:w="2267" w:type="dxa"/>
            <w:tcBorders>
              <w:top w:val="single" w:sz="4" w:space="0" w:color="auto"/>
              <w:left w:val="single" w:sz="4" w:space="0" w:color="auto"/>
              <w:bottom w:val="single" w:sz="4" w:space="0" w:color="auto"/>
              <w:right w:val="single" w:sz="4" w:space="0" w:color="auto"/>
            </w:tcBorders>
            <w:hideMark/>
          </w:tcPr>
          <w:p w14:paraId="0A515DCC" w14:textId="77777777" w:rsidR="005F5583" w:rsidRPr="00F8474E" w:rsidRDefault="005F5583" w:rsidP="005F5583">
            <w:pPr>
              <w:pStyle w:val="TAC"/>
            </w:pPr>
            <w:r w:rsidRPr="00F8474E">
              <w:t>NOTE 6</w:t>
            </w:r>
          </w:p>
        </w:tc>
        <w:tc>
          <w:tcPr>
            <w:tcW w:w="1289" w:type="dxa"/>
            <w:tcBorders>
              <w:top w:val="single" w:sz="4" w:space="0" w:color="auto"/>
              <w:left w:val="single" w:sz="4" w:space="0" w:color="auto"/>
              <w:bottom w:val="single" w:sz="4" w:space="0" w:color="auto"/>
              <w:right w:val="single" w:sz="4" w:space="0" w:color="auto"/>
            </w:tcBorders>
            <w:hideMark/>
          </w:tcPr>
          <w:p w14:paraId="6E880C69" w14:textId="77777777" w:rsidR="005F5583" w:rsidRPr="00F8474E" w:rsidRDefault="005F5583" w:rsidP="005F5583">
            <w:pPr>
              <w:pStyle w:val="TAC"/>
            </w:pPr>
            <w:r w:rsidRPr="00F8474E">
              <w:t>NOTE 6</w:t>
            </w:r>
          </w:p>
        </w:tc>
        <w:tc>
          <w:tcPr>
            <w:tcW w:w="1123" w:type="dxa"/>
            <w:tcBorders>
              <w:top w:val="single" w:sz="4" w:space="0" w:color="auto"/>
              <w:left w:val="single" w:sz="4" w:space="0" w:color="auto"/>
              <w:bottom w:val="single" w:sz="4" w:space="0" w:color="auto"/>
              <w:right w:val="single" w:sz="4" w:space="0" w:color="auto"/>
            </w:tcBorders>
            <w:hideMark/>
          </w:tcPr>
          <w:p w14:paraId="745105E9" w14:textId="77777777" w:rsidR="005F5583" w:rsidRPr="00F8474E" w:rsidRDefault="005F5583" w:rsidP="005F5583">
            <w:pPr>
              <w:pStyle w:val="TAC"/>
            </w:pPr>
            <w:r w:rsidRPr="00F8474E">
              <w:t>NOTE 6</w:t>
            </w:r>
          </w:p>
        </w:tc>
      </w:tr>
      <w:tr w:rsidR="005F5583" w:rsidRPr="00F8474E" w14:paraId="3495FD46" w14:textId="77777777" w:rsidTr="00FA482E">
        <w:trPr>
          <w:jc w:val="center"/>
        </w:trPr>
        <w:tc>
          <w:tcPr>
            <w:tcW w:w="10200" w:type="dxa"/>
            <w:gridSpan w:val="8"/>
            <w:tcBorders>
              <w:top w:val="single" w:sz="4" w:space="0" w:color="auto"/>
              <w:left w:val="single" w:sz="4" w:space="0" w:color="auto"/>
              <w:bottom w:val="single" w:sz="4" w:space="0" w:color="auto"/>
              <w:right w:val="single" w:sz="4" w:space="0" w:color="auto"/>
            </w:tcBorders>
            <w:hideMark/>
          </w:tcPr>
          <w:p w14:paraId="783A7E98" w14:textId="77777777" w:rsidR="005F5583" w:rsidRPr="00F8474E" w:rsidRDefault="005F5583" w:rsidP="005F5583">
            <w:pPr>
              <w:pStyle w:val="TAN"/>
            </w:pPr>
            <w:r w:rsidRPr="00F8474E">
              <w:t>N</w:t>
            </w:r>
            <w:r w:rsidRPr="00F8474E">
              <w:rPr>
                <w:lang w:eastAsia="zh-CN"/>
              </w:rPr>
              <w:t>OTE</w:t>
            </w:r>
            <w:r w:rsidRPr="00F8474E">
              <w:t xml:space="preserve"> 1:</w:t>
            </w:r>
            <w:r w:rsidRPr="00F8474E">
              <w:tab/>
              <w:t>This minimum Io condition is expressed as the average Io per RE over all REs in an OFDM symbol.</w:t>
            </w:r>
          </w:p>
          <w:p w14:paraId="77177537" w14:textId="77777777" w:rsidR="005F5583" w:rsidRPr="00F8474E" w:rsidRDefault="005F5583" w:rsidP="005F5583">
            <w:pPr>
              <w:pStyle w:val="TAN"/>
            </w:pPr>
            <w:r w:rsidRPr="00F8474E">
              <w:t>NOTE 2:</w:t>
            </w:r>
            <w:r w:rsidRPr="00F8474E">
              <w:tab/>
              <w:t>NR operating band groups are as defined in Section 3.5.</w:t>
            </w:r>
          </w:p>
          <w:p w14:paraId="59F8C3AD" w14:textId="77777777" w:rsidR="005F5583" w:rsidRPr="00F8474E" w:rsidRDefault="005F5583" w:rsidP="005F5583">
            <w:pPr>
              <w:pStyle w:val="TAN"/>
            </w:pPr>
            <w:r w:rsidRPr="00F8474E">
              <w:t>N</w:t>
            </w:r>
            <w:r w:rsidRPr="00F8474E">
              <w:rPr>
                <w:lang w:eastAsia="zh-CN"/>
              </w:rPr>
              <w:t>OTE</w:t>
            </w:r>
            <w:r w:rsidRPr="00F8474E">
              <w:t xml:space="preserve"> 3:</w:t>
            </w:r>
            <w:r w:rsidRPr="00F8474E">
              <w:tab/>
            </w:r>
            <m:oMath>
              <m:sSubSup>
                <m:sSubSupPr>
                  <m:ctrlPr>
                    <w:rPr>
                      <w:rFonts w:ascii="Cambria Math" w:hAnsi="Cambria Math"/>
                      <w:i/>
                      <w:szCs w:val="18"/>
                    </w:rPr>
                  </m:ctrlPr>
                </m:sSubSupPr>
                <m:e>
                  <m:r>
                    <w:rPr>
                      <w:rFonts w:ascii="Cambria Math" w:hAnsi="Cambria Math"/>
                    </w:rPr>
                    <m:t>T</m:t>
                  </m:r>
                </m:e>
                <m:sub>
                  <m:r>
                    <m:rPr>
                      <m:sty m:val="p"/>
                    </m:rPr>
                    <w:rPr>
                      <w:rFonts w:ascii="Cambria Math" w:hAnsi="Cambria Math"/>
                    </w:rPr>
                    <m:t>rep</m:t>
                  </m:r>
                </m:sub>
                <m:sup>
                  <m:r>
                    <m:rPr>
                      <m:sty m:val="p"/>
                    </m:rPr>
                    <w:rPr>
                      <w:rFonts w:ascii="Cambria Math" w:hAnsi="Cambria Math"/>
                    </w:rPr>
                    <m:t>PRS</m:t>
                  </m:r>
                </m:sup>
              </m:sSubSup>
              <m:r>
                <w:rPr>
                  <w:rFonts w:ascii="Cambria Math" w:hAnsi="Cambria Math"/>
                </w:rPr>
                <m:t xml:space="preserve">, </m:t>
              </m:r>
              <m:sSub>
                <m:sSubPr>
                  <m:ctrlPr>
                    <w:rPr>
                      <w:rFonts w:ascii="Cambria Math" w:hAnsi="Cambria Math"/>
                      <w:szCs w:val="18"/>
                    </w:rPr>
                  </m:ctrlPr>
                </m:sSubPr>
                <m:e>
                  <m:r>
                    <w:rPr>
                      <w:rFonts w:ascii="Cambria Math" w:hAnsi="Cambria Math"/>
                    </w:rPr>
                    <m:t>L</m:t>
                  </m:r>
                </m:e>
                <m:sub>
                  <m:r>
                    <m:rPr>
                      <m:sty m:val="p"/>
                    </m:rPr>
                    <w:rPr>
                      <w:rFonts w:ascii="Cambria Math" w:hAnsi="Cambria Math"/>
                    </w:rPr>
                    <m:t>PRS</m:t>
                  </m:r>
                </m:sub>
              </m:sSub>
              <m:r>
                <w:rPr>
                  <w:rFonts w:ascii="Cambria Math" w:hAnsi="Cambria Math"/>
                </w:rPr>
                <m:t xml:space="preserve"> ,</m:t>
              </m:r>
              <m:sSubSup>
                <m:sSubSupPr>
                  <m:ctrlPr>
                    <w:rPr>
                      <w:rFonts w:ascii="Cambria Math" w:hAnsi="Cambria Math"/>
                      <w:i/>
                      <w:szCs w:val="18"/>
                    </w:rPr>
                  </m:ctrlPr>
                </m:sSubSupPr>
                <m:e>
                  <m:r>
                    <w:rPr>
                      <w:rFonts w:ascii="Cambria Math" w:hAnsi="Cambria Math"/>
                    </w:rPr>
                    <m:t>K</m:t>
                  </m:r>
                </m:e>
                <m:sub>
                  <m:r>
                    <m:rPr>
                      <m:sty m:val="p"/>
                    </m:rPr>
                    <w:rPr>
                      <w:rFonts w:ascii="Cambria Math" w:hAnsi="Cambria Math"/>
                    </w:rPr>
                    <m:t>comb</m:t>
                  </m:r>
                </m:sub>
                <m:sup>
                  <m:r>
                    <m:rPr>
                      <m:sty m:val="p"/>
                    </m:rPr>
                    <w:rPr>
                      <w:rFonts w:ascii="Cambria Math" w:hAnsi="Cambria Math"/>
                    </w:rPr>
                    <m:t>PRS</m:t>
                  </m:r>
                </m:sup>
              </m:sSubSup>
            </m:oMath>
            <w:r w:rsidRPr="00F8474E">
              <w:rPr>
                <w:b/>
                <w:bCs/>
                <w:lang w:eastAsia="zh-CN"/>
              </w:rPr>
              <w:t xml:space="preserve"> </w:t>
            </w:r>
            <w:r w:rsidRPr="00F8474E">
              <w:t xml:space="preserve">are configured by higher layer parameter </w:t>
            </w:r>
            <w:r w:rsidRPr="00F8474E">
              <w:rPr>
                <w:i/>
              </w:rPr>
              <w:t>dl-PRS-ResourceRepetitionFactor, dl-PRS-NumSymbols and  dl-PRS-CombSizeN</w:t>
            </w:r>
            <w:r w:rsidRPr="00F8474E">
              <w:rPr>
                <w:iCs/>
              </w:rPr>
              <w:t>defined in TS 37.355 [34]</w:t>
            </w:r>
            <w:r w:rsidRPr="00F8474E">
              <w:rPr>
                <w:iCs/>
                <w:lang w:val="en-US" w:eastAsia="zh-CN"/>
              </w:rPr>
              <w:t>.</w:t>
            </w:r>
          </w:p>
          <w:p w14:paraId="3777B810" w14:textId="77777777" w:rsidR="005F5583" w:rsidRPr="00F8474E" w:rsidRDefault="005F5583" w:rsidP="005F5583">
            <w:pPr>
              <w:pStyle w:val="TAN"/>
            </w:pPr>
            <w:r w:rsidRPr="00F8474E">
              <w:t>NOTE 4:</w:t>
            </w:r>
            <w:r w:rsidRPr="00F8474E">
              <w:tab/>
              <w:t>The Io is defined in PRS slots. The same Io range applies to PRS and non-PRS symbols. Io levels are different in PRS and non-PRS symbols within the same slot.</w:t>
            </w:r>
          </w:p>
          <w:p w14:paraId="06DD0D17" w14:textId="77777777" w:rsidR="005F5583" w:rsidRPr="00F8474E" w:rsidRDefault="005F5583" w:rsidP="005F5583">
            <w:pPr>
              <w:pStyle w:val="TAN"/>
            </w:pPr>
            <w:r w:rsidRPr="00F8474E">
              <w:t>N</w:t>
            </w:r>
            <w:r w:rsidRPr="00F8474E">
              <w:rPr>
                <w:lang w:eastAsia="zh-CN"/>
              </w:rPr>
              <w:t>OTE</w:t>
            </w:r>
            <w:r w:rsidRPr="00F8474E">
              <w:t xml:space="preserve"> 5:</w:t>
            </w:r>
            <w:r w:rsidRPr="00F8474E">
              <w:tab/>
              <w:t>Tc is the basic timing unit defined in TS 38.211 [6].</w:t>
            </w:r>
          </w:p>
          <w:p w14:paraId="694BE593" w14:textId="77777777" w:rsidR="005F5583" w:rsidRPr="00F8474E" w:rsidRDefault="005F5583" w:rsidP="005F5583">
            <w:pPr>
              <w:pStyle w:val="TAN"/>
            </w:pPr>
            <w:r w:rsidRPr="00F8474E">
              <w:t>NOTE 6:</w:t>
            </w:r>
            <w:r w:rsidRPr="00F8474E">
              <w:tab/>
              <w:t>The same bands and the same Io conditions for each band apply for this requirement as for the corresponding requirement with the PRS bandwidth of the smallest RB number for the corresponding SCS.</w:t>
            </w:r>
          </w:p>
          <w:p w14:paraId="1FB3176A" w14:textId="77777777" w:rsidR="005F5583" w:rsidRPr="00F8474E" w:rsidRDefault="005F5583" w:rsidP="005F5583">
            <w:pPr>
              <w:pStyle w:val="TAN"/>
            </w:pPr>
            <w:r w:rsidRPr="00F8474E">
              <w:rPr>
                <w:lang w:eastAsia="ko-KR"/>
              </w:rPr>
              <w:t xml:space="preserve">NOTE 7: </w:t>
            </w:r>
            <w:r w:rsidRPr="00F8474E">
              <w:rPr>
                <w:lang w:eastAsia="ko-KR"/>
              </w:rPr>
              <w:tab/>
            </w:r>
            <w:r w:rsidRPr="00F8474E">
              <w:rPr>
                <w:rFonts w:cs="Arial"/>
                <w:szCs w:val="18"/>
                <w:lang w:eastAsia="ko-KR"/>
              </w:rPr>
              <w:sym w:font="Symbol" w:char="F064"/>
            </w:r>
            <w:r w:rsidRPr="00F8474E">
              <w:rPr>
                <w:rFonts w:cs="Arial"/>
                <w:szCs w:val="18"/>
                <w:lang w:eastAsia="ko-KR"/>
              </w:rPr>
              <w:t xml:space="preserve"> is the margin determined from Table 10.1.25.2-5.</w:t>
            </w:r>
          </w:p>
        </w:tc>
      </w:tr>
    </w:tbl>
    <w:p w14:paraId="79223002" w14:textId="77777777" w:rsidR="005F5583" w:rsidRPr="00F8474E" w:rsidRDefault="005F5583" w:rsidP="005F5583"/>
    <w:p w14:paraId="770F0049" w14:textId="77777777" w:rsidR="00610D6E" w:rsidRDefault="00610D6E" w:rsidP="00610D6E">
      <w:r>
        <w:t>The relative accuracy requirements in Table 10.1.25.2-1b for FR1 are valid under the following conditions:</w:t>
      </w:r>
    </w:p>
    <w:p w14:paraId="158AF778" w14:textId="77777777" w:rsidR="00610D6E" w:rsidRDefault="00610D6E" w:rsidP="00610D6E">
      <w:r>
        <w:t>Conditions defined in clause 7.3 of TS 38.101-1 [18] for reference sensitivity are fulfilled.</w:t>
      </w:r>
    </w:p>
    <w:p w14:paraId="0F446F51" w14:textId="77777777" w:rsidR="00610D6E" w:rsidRDefault="00610D6E" w:rsidP="00610D6E">
      <w:pPr>
        <w:ind w:left="568" w:hanging="284"/>
      </w:pPr>
      <w:r>
        <w:t>PRP|</w:t>
      </w:r>
      <w:r>
        <w:rPr>
          <w:vertAlign w:val="subscript"/>
        </w:rPr>
        <w:t>dBm</w:t>
      </w:r>
      <w:r>
        <w:t xml:space="preserve"> according to Annex B.2.14 for a corresponding Band.</w:t>
      </w:r>
    </w:p>
    <w:p w14:paraId="4F6F3D28" w14:textId="77777777" w:rsidR="00610D6E" w:rsidRDefault="00610D6E" w:rsidP="00610D6E">
      <w:r>
        <w:t>AWGN propagation condition.</w:t>
      </w:r>
    </w:p>
    <w:p w14:paraId="3F642824" w14:textId="1CFEA663" w:rsidR="007671C1" w:rsidRDefault="00610D6E" w:rsidP="00610D6E">
      <w:r>
        <w:rPr>
          <w:rFonts w:eastAsia="DengXian"/>
          <w:lang w:val="en-US" w:eastAsia="zh-CN"/>
        </w:rPr>
        <w:t>the</w:t>
      </w:r>
      <w:r w:rsidRPr="006C4C16">
        <w:rPr>
          <w:rFonts w:eastAsia="DengXian"/>
          <w:lang w:val="en-US" w:eastAsia="zh-CN"/>
        </w:rPr>
        <w:t xml:space="preserve"> two UE Rx-Tx time difference measurements are </w:t>
      </w:r>
      <w:r>
        <w:rPr>
          <w:rFonts w:eastAsia="DengXian"/>
          <w:lang w:val="en-US" w:eastAsia="zh-CN"/>
        </w:rPr>
        <w:t>associated with the</w:t>
      </w:r>
      <w:r w:rsidRPr="006C4C16">
        <w:rPr>
          <w:rFonts w:eastAsia="DengXian"/>
          <w:lang w:val="en-US" w:eastAsia="zh-CN"/>
        </w:rPr>
        <w:t xml:space="preserve"> same RxTx TEG</w:t>
      </w:r>
    </w:p>
    <w:p w14:paraId="0064C2F3" w14:textId="77777777" w:rsidR="007671C1" w:rsidRDefault="007671C1" w:rsidP="00174920"/>
    <w:p w14:paraId="4C835FBB" w14:textId="77777777" w:rsidR="00C40BE8" w:rsidRPr="00F8474E" w:rsidRDefault="00C40BE8" w:rsidP="00C40BE8">
      <w:pPr>
        <w:pStyle w:val="TH"/>
        <w:rPr>
          <w:lang w:val="en-US" w:eastAsia="zh-CN"/>
        </w:rPr>
      </w:pPr>
      <w:r w:rsidRPr="00F8474E">
        <w:t>Table 10.1.25.2-1b: UE Rx-Tx time difference relative measurement accuracy in FR1 in AWGN with TEG reporting</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1163"/>
        <w:gridCol w:w="992"/>
        <w:gridCol w:w="1134"/>
        <w:gridCol w:w="1367"/>
        <w:gridCol w:w="2040"/>
        <w:gridCol w:w="1134"/>
        <w:gridCol w:w="1275"/>
      </w:tblGrid>
      <w:tr w:rsidR="00C40BE8" w:rsidRPr="00F8474E" w14:paraId="4561AFD4" w14:textId="77777777" w:rsidTr="00FA482E">
        <w:trPr>
          <w:jc w:val="center"/>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66FC77AD" w14:textId="77777777" w:rsidR="00C40BE8" w:rsidRPr="00F8474E" w:rsidRDefault="00C40BE8" w:rsidP="00C40BE8">
            <w:pPr>
              <w:pStyle w:val="TAH"/>
            </w:pPr>
            <w:r w:rsidRPr="00F8474E">
              <w:t>Accuracy</w:t>
            </w:r>
          </w:p>
        </w:tc>
        <w:tc>
          <w:tcPr>
            <w:tcW w:w="9105" w:type="dxa"/>
            <w:gridSpan w:val="7"/>
            <w:tcBorders>
              <w:top w:val="single" w:sz="4" w:space="0" w:color="auto"/>
              <w:left w:val="single" w:sz="4" w:space="0" w:color="auto"/>
              <w:bottom w:val="single" w:sz="4" w:space="0" w:color="auto"/>
              <w:right w:val="single" w:sz="4" w:space="0" w:color="auto"/>
            </w:tcBorders>
            <w:vAlign w:val="center"/>
            <w:hideMark/>
          </w:tcPr>
          <w:p w14:paraId="7E881384" w14:textId="77777777" w:rsidR="00C40BE8" w:rsidRPr="00F8474E" w:rsidRDefault="00C40BE8" w:rsidP="00C40BE8">
            <w:pPr>
              <w:pStyle w:val="TAH"/>
            </w:pPr>
            <w:r w:rsidRPr="00F8474E">
              <w:t>Conditions</w:t>
            </w:r>
          </w:p>
        </w:tc>
      </w:tr>
      <w:tr w:rsidR="00C40BE8" w:rsidRPr="00F8474E" w14:paraId="1E42CB7D"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FA3420A" w14:textId="77777777" w:rsidR="00C40BE8" w:rsidRPr="00F8474E" w:rsidRDefault="00C40BE8" w:rsidP="00C40BE8">
            <w:pPr>
              <w:pStyle w:val="TAH"/>
            </w:pPr>
          </w:p>
        </w:tc>
        <w:tc>
          <w:tcPr>
            <w:tcW w:w="1163" w:type="dxa"/>
            <w:vMerge w:val="restart"/>
            <w:tcBorders>
              <w:top w:val="single" w:sz="4" w:space="0" w:color="auto"/>
              <w:left w:val="single" w:sz="4" w:space="0" w:color="auto"/>
              <w:bottom w:val="single" w:sz="4" w:space="0" w:color="auto"/>
              <w:right w:val="single" w:sz="4" w:space="0" w:color="auto"/>
            </w:tcBorders>
            <w:vAlign w:val="center"/>
            <w:hideMark/>
          </w:tcPr>
          <w:p w14:paraId="4529544C" w14:textId="77777777" w:rsidR="00C40BE8" w:rsidRPr="00F8474E" w:rsidRDefault="00C40BE8" w:rsidP="00C40BE8">
            <w:pPr>
              <w:pStyle w:val="TAH"/>
            </w:pPr>
            <w:r w:rsidRPr="00F8474E">
              <w:t>PRS Ês/Iot</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5D93B934" w14:textId="77777777" w:rsidR="00C40BE8" w:rsidRPr="00F8474E" w:rsidRDefault="00C40BE8" w:rsidP="00C40BE8">
            <w:pPr>
              <w:pStyle w:val="TAH"/>
              <w:rPr>
                <w:lang w:eastAsia="zh-CN"/>
              </w:rPr>
            </w:pPr>
            <w:r w:rsidRPr="00F8474E">
              <w:t>PRS SCS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0734F8AE" w14:textId="77777777" w:rsidR="00C40BE8" w:rsidRPr="00F8474E" w:rsidRDefault="00C40BE8" w:rsidP="00C40BE8">
            <w:pPr>
              <w:pStyle w:val="TAH"/>
              <w:rPr>
                <w:lang w:eastAsia="zh-CN"/>
              </w:rPr>
            </w:pPr>
            <w:r w:rsidRPr="00F8474E">
              <w:rPr>
                <w:lang w:eastAsia="zh-CN"/>
              </w:rPr>
              <w:t>PRS bandwidth</w:t>
            </w:r>
          </w:p>
          <w:p w14:paraId="1634D732" w14:textId="77777777" w:rsidR="00C40BE8" w:rsidRPr="00F8474E" w:rsidRDefault="00C40BE8" w:rsidP="00C40BE8">
            <w:pPr>
              <w:pStyle w:val="TAH"/>
            </w:pPr>
            <w:r w:rsidRPr="00F8474E">
              <w:rPr>
                <w:vertAlign w:val="superscript"/>
              </w:rPr>
              <w:t>Note 1</w:t>
            </w:r>
          </w:p>
        </w:tc>
        <w:tc>
          <w:tcPr>
            <w:tcW w:w="1367" w:type="dxa"/>
            <w:vMerge w:val="restart"/>
            <w:tcBorders>
              <w:top w:val="single" w:sz="4" w:space="0" w:color="auto"/>
              <w:left w:val="single" w:sz="4" w:space="0" w:color="auto"/>
              <w:bottom w:val="single" w:sz="4" w:space="0" w:color="auto"/>
              <w:right w:val="single" w:sz="4" w:space="0" w:color="auto"/>
            </w:tcBorders>
            <w:vAlign w:val="center"/>
            <w:hideMark/>
          </w:tcPr>
          <w:p w14:paraId="0430648C" w14:textId="77777777" w:rsidR="00C40BE8" w:rsidRPr="00F8474E" w:rsidRDefault="00C40BE8" w:rsidP="00C40BE8">
            <w:pPr>
              <w:pStyle w:val="TAH"/>
              <w:rPr>
                <w:lang w:eastAsia="zh-CN"/>
              </w:rPr>
            </w:pPr>
            <w:r w:rsidRPr="00F8474E">
              <w:rPr>
                <w:lang w:eastAsia="zh-CN"/>
              </w:rPr>
              <w:t>PRS resource repetition (</w:t>
            </w:r>
            <m:oMath>
              <m:sSubSup>
                <m:sSubSupPr>
                  <m:ctrlPr>
                    <w:rPr>
                      <w:rFonts w:ascii="Cambria Math" w:hAnsi="Cambria Math"/>
                      <w:bCs/>
                      <w:i/>
                      <w:iCs/>
                    </w:rPr>
                  </m:ctrlPr>
                </m:sSubSupPr>
                <m:e>
                  <m:r>
                    <m:rPr>
                      <m:sty m:val="b"/>
                    </m:rPr>
                    <w:rPr>
                      <w:rFonts w:ascii="Cambria Math" w:hAnsi="Cambria Math"/>
                      <w:lang w:eastAsia="zh-CN"/>
                    </w:rPr>
                    <m:t>T</m:t>
                  </m:r>
                </m:e>
                <m:sub>
                  <m:r>
                    <m:rPr>
                      <m:sty m:val="b"/>
                    </m:rPr>
                    <w:rPr>
                      <w:rFonts w:ascii="Cambria Math" w:hAnsi="Cambria Math"/>
                      <w:lang w:eastAsia="zh-CN"/>
                    </w:rPr>
                    <m:t>rep</m:t>
                  </m:r>
                </m:sub>
                <m:sup>
                  <m:r>
                    <m:rPr>
                      <m:sty m:val="b"/>
                    </m:rPr>
                    <w:rPr>
                      <w:rFonts w:ascii="Cambria Math" w:hAnsi="Cambria Math"/>
                      <w:lang w:eastAsia="zh-CN"/>
                    </w:rPr>
                    <m:t>PRS</m:t>
                  </m:r>
                </m:sup>
              </m:sSubSup>
              <m:r>
                <m:rPr>
                  <m:sty m:val="b"/>
                </m:rPr>
                <w:rPr>
                  <w:rFonts w:ascii="Cambria Math" w:hAnsi="Cambria Math"/>
                  <w:lang w:eastAsia="zh-CN"/>
                </w:rPr>
                <m:t>*</m:t>
              </m:r>
              <m:sSub>
                <m:sSubPr>
                  <m:ctrlPr>
                    <w:rPr>
                      <w:rFonts w:ascii="Cambria Math" w:hAnsi="Cambria Math"/>
                      <w:bCs/>
                      <w:i/>
                      <w:iCs/>
                    </w:rPr>
                  </m:ctrlPr>
                </m:sSubPr>
                <m:e>
                  <m:r>
                    <m:rPr>
                      <m:sty m:val="b"/>
                    </m:rPr>
                    <w:rPr>
                      <w:rFonts w:ascii="Cambria Math" w:hAnsi="Cambria Math"/>
                      <w:lang w:eastAsia="zh-CN"/>
                    </w:rPr>
                    <m:t>L</m:t>
                  </m:r>
                </m:e>
                <m:sub>
                  <m:r>
                    <m:rPr>
                      <m:sty m:val="b"/>
                    </m:rPr>
                    <w:rPr>
                      <w:rFonts w:ascii="Cambria Math" w:hAnsi="Cambria Math"/>
                      <w:lang w:eastAsia="zh-CN"/>
                    </w:rPr>
                    <m:t>PRS</m:t>
                  </m:r>
                </m:sub>
              </m:sSub>
              <m:r>
                <m:rPr>
                  <m:sty m:val="b"/>
                </m:rPr>
                <w:rPr>
                  <w:rFonts w:ascii="Cambria Math" w:hAnsi="Cambria Math"/>
                  <w:lang w:eastAsia="zh-CN"/>
                </w:rPr>
                <m:t>/</m:t>
              </m:r>
              <m:sSubSup>
                <m:sSubSupPr>
                  <m:ctrlPr>
                    <w:rPr>
                      <w:rFonts w:ascii="Cambria Math" w:hAnsi="Cambria Math"/>
                      <w:bCs/>
                      <w:i/>
                      <w:iCs/>
                    </w:rPr>
                  </m:ctrlPr>
                </m:sSubSupPr>
                <m:e>
                  <m:r>
                    <m:rPr>
                      <m:sty m:val="b"/>
                    </m:rPr>
                    <w:rPr>
                      <w:rFonts w:ascii="Cambria Math" w:hAnsi="Cambria Math"/>
                      <w:lang w:eastAsia="zh-CN"/>
                    </w:rPr>
                    <m:t>K</m:t>
                  </m:r>
                </m:e>
                <m:sub>
                  <m:r>
                    <m:rPr>
                      <m:sty m:val="b"/>
                    </m:rPr>
                    <w:rPr>
                      <w:rFonts w:ascii="Cambria Math" w:hAnsi="Cambria Math"/>
                      <w:lang w:eastAsia="zh-CN"/>
                    </w:rPr>
                    <m:t>comb</m:t>
                  </m:r>
                </m:sub>
                <m:sup>
                  <m:r>
                    <m:rPr>
                      <m:sty m:val="b"/>
                    </m:rPr>
                    <w:rPr>
                      <w:rFonts w:ascii="Cambria Math" w:hAnsi="Cambria Math"/>
                      <w:lang w:eastAsia="zh-CN"/>
                    </w:rPr>
                    <m:t>PRS</m:t>
                  </m:r>
                </m:sup>
              </m:sSubSup>
            </m:oMath>
            <w:r w:rsidRPr="00F8474E">
              <w:rPr>
                <w:lang w:eastAsia="zh-CN"/>
              </w:rPr>
              <w:t>)</w:t>
            </w:r>
          </w:p>
          <w:p w14:paraId="4F8DF7FF" w14:textId="77777777" w:rsidR="00C40BE8" w:rsidRPr="00F8474E" w:rsidRDefault="00C40BE8" w:rsidP="00C40BE8">
            <w:pPr>
              <w:pStyle w:val="TAH"/>
              <w:rPr>
                <w:lang w:eastAsia="zh-CN"/>
              </w:rPr>
            </w:pPr>
            <w:r w:rsidRPr="00F8474E">
              <w:rPr>
                <w:vertAlign w:val="superscript"/>
              </w:rPr>
              <w:t>Note 2</w:t>
            </w:r>
          </w:p>
        </w:tc>
        <w:tc>
          <w:tcPr>
            <w:tcW w:w="4449" w:type="dxa"/>
            <w:gridSpan w:val="3"/>
            <w:tcBorders>
              <w:top w:val="single" w:sz="4" w:space="0" w:color="auto"/>
              <w:left w:val="single" w:sz="4" w:space="0" w:color="auto"/>
              <w:bottom w:val="single" w:sz="4" w:space="0" w:color="auto"/>
              <w:right w:val="single" w:sz="4" w:space="0" w:color="auto"/>
            </w:tcBorders>
            <w:vAlign w:val="center"/>
            <w:hideMark/>
          </w:tcPr>
          <w:p w14:paraId="146FC0C4" w14:textId="77777777" w:rsidR="00C40BE8" w:rsidRPr="00F8474E" w:rsidRDefault="00C40BE8" w:rsidP="00C40BE8">
            <w:pPr>
              <w:pStyle w:val="TAH"/>
            </w:pPr>
            <w:r w:rsidRPr="00F8474E">
              <w:t>Io</w:t>
            </w:r>
            <w:r w:rsidRPr="00F8474E">
              <w:rPr>
                <w:vertAlign w:val="superscript"/>
                <w:lang w:eastAsia="zh-CN"/>
              </w:rPr>
              <w:t xml:space="preserve"> Note 3</w:t>
            </w:r>
            <w:r w:rsidRPr="00F8474E">
              <w:t xml:space="preserve"> range</w:t>
            </w:r>
          </w:p>
        </w:tc>
      </w:tr>
      <w:tr w:rsidR="00C40BE8" w:rsidRPr="00F8474E" w14:paraId="7D63D5FE"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3853B4D" w14:textId="77777777" w:rsidR="00C40BE8" w:rsidRPr="00F8474E" w:rsidRDefault="00C40BE8" w:rsidP="00C40BE8">
            <w:pPr>
              <w:pStyle w:val="TAH"/>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2940B7FD" w14:textId="77777777" w:rsidR="00C40BE8" w:rsidRPr="00F8474E" w:rsidRDefault="00C40BE8" w:rsidP="00C40BE8">
            <w:pPr>
              <w:pStyle w:val="TAH"/>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2DF3589" w14:textId="77777777" w:rsidR="00C40BE8" w:rsidRPr="00F8474E" w:rsidRDefault="00C40BE8" w:rsidP="00C40BE8">
            <w:pPr>
              <w:pStyle w:val="TAH"/>
              <w:rPr>
                <w:lang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38158D54" w14:textId="77777777" w:rsidR="00C40BE8" w:rsidRPr="00F8474E" w:rsidRDefault="00C40BE8" w:rsidP="00C40BE8">
            <w:pPr>
              <w:pStyle w:val="TAH"/>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2DDBB113" w14:textId="77777777" w:rsidR="00C40BE8" w:rsidRPr="00F8474E" w:rsidRDefault="00C40BE8" w:rsidP="00C40BE8">
            <w:pPr>
              <w:pStyle w:val="TAH"/>
              <w:rPr>
                <w:lang w:eastAsia="zh-CN"/>
              </w:rPr>
            </w:pPr>
          </w:p>
        </w:tc>
        <w:tc>
          <w:tcPr>
            <w:tcW w:w="2040" w:type="dxa"/>
            <w:tcBorders>
              <w:top w:val="single" w:sz="4" w:space="0" w:color="auto"/>
              <w:left w:val="single" w:sz="4" w:space="0" w:color="auto"/>
              <w:bottom w:val="single" w:sz="4" w:space="0" w:color="auto"/>
              <w:right w:val="single" w:sz="4" w:space="0" w:color="auto"/>
            </w:tcBorders>
            <w:vAlign w:val="center"/>
            <w:hideMark/>
          </w:tcPr>
          <w:p w14:paraId="6024EC69" w14:textId="77777777" w:rsidR="00C40BE8" w:rsidRPr="00F8474E" w:rsidRDefault="00C40BE8" w:rsidP="00C40BE8">
            <w:pPr>
              <w:pStyle w:val="TAH"/>
            </w:pPr>
            <w:r w:rsidRPr="00F8474E">
              <w:t>NR operating band groups</w:t>
            </w:r>
            <w:r w:rsidRPr="00F8474E">
              <w:rPr>
                <w:vertAlign w:val="superscript"/>
              </w:rPr>
              <w:t xml:space="preserve"> Note 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8E4F11" w14:textId="77777777" w:rsidR="00C40BE8" w:rsidRPr="00F8474E" w:rsidRDefault="00C40BE8" w:rsidP="00C40BE8">
            <w:pPr>
              <w:pStyle w:val="TAH"/>
            </w:pPr>
            <w:r w:rsidRPr="00F8474E">
              <w:t xml:space="preserve">Minimum Io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57BE744" w14:textId="77777777" w:rsidR="00C40BE8" w:rsidRPr="00F8474E" w:rsidRDefault="00C40BE8" w:rsidP="00C40BE8">
            <w:pPr>
              <w:pStyle w:val="TAH"/>
            </w:pPr>
            <w:r w:rsidRPr="00F8474E">
              <w:t>Maximum Io</w:t>
            </w:r>
          </w:p>
        </w:tc>
      </w:tr>
      <w:tr w:rsidR="00C40BE8" w:rsidRPr="00F8474E" w14:paraId="142ABE43" w14:textId="77777777" w:rsidTr="00FA482E">
        <w:trPr>
          <w:jc w:val="center"/>
        </w:trPr>
        <w:tc>
          <w:tcPr>
            <w:tcW w:w="960" w:type="dxa"/>
            <w:tcBorders>
              <w:top w:val="single" w:sz="4" w:space="0" w:color="auto"/>
              <w:left w:val="single" w:sz="4" w:space="0" w:color="auto"/>
              <w:bottom w:val="single" w:sz="4" w:space="0" w:color="auto"/>
              <w:right w:val="single" w:sz="4" w:space="0" w:color="auto"/>
            </w:tcBorders>
            <w:vAlign w:val="center"/>
            <w:hideMark/>
          </w:tcPr>
          <w:p w14:paraId="7A157D9C" w14:textId="77777777" w:rsidR="00C40BE8" w:rsidRPr="00F8474E" w:rsidRDefault="00C40BE8" w:rsidP="00C40BE8">
            <w:pPr>
              <w:pStyle w:val="TAH"/>
            </w:pPr>
            <w:r w:rsidRPr="00F8474E">
              <w:t>Tc</w:t>
            </w:r>
            <w:r w:rsidRPr="00F8474E">
              <w:rPr>
                <w:vertAlign w:val="superscript"/>
                <w:lang w:eastAsia="zh-CN"/>
              </w:rPr>
              <w:t xml:space="preserve"> Note 5</w:t>
            </w:r>
          </w:p>
        </w:tc>
        <w:tc>
          <w:tcPr>
            <w:tcW w:w="1163" w:type="dxa"/>
            <w:tcBorders>
              <w:top w:val="single" w:sz="4" w:space="0" w:color="auto"/>
              <w:left w:val="single" w:sz="4" w:space="0" w:color="auto"/>
              <w:bottom w:val="single" w:sz="4" w:space="0" w:color="auto"/>
              <w:right w:val="single" w:sz="4" w:space="0" w:color="auto"/>
            </w:tcBorders>
            <w:vAlign w:val="center"/>
            <w:hideMark/>
          </w:tcPr>
          <w:p w14:paraId="2580D21E" w14:textId="77777777" w:rsidR="00C40BE8" w:rsidRPr="00F8474E" w:rsidRDefault="00C40BE8" w:rsidP="00C40BE8">
            <w:pPr>
              <w:pStyle w:val="TAH"/>
            </w:pPr>
            <w:r w:rsidRPr="00F8474E">
              <w:t>dB</w:t>
            </w:r>
          </w:p>
        </w:tc>
        <w:tc>
          <w:tcPr>
            <w:tcW w:w="992" w:type="dxa"/>
            <w:tcBorders>
              <w:top w:val="single" w:sz="4" w:space="0" w:color="auto"/>
              <w:left w:val="single" w:sz="4" w:space="0" w:color="auto"/>
              <w:bottom w:val="single" w:sz="4" w:space="0" w:color="auto"/>
              <w:right w:val="single" w:sz="4" w:space="0" w:color="auto"/>
            </w:tcBorders>
            <w:vAlign w:val="center"/>
            <w:hideMark/>
          </w:tcPr>
          <w:p w14:paraId="5A0999E5" w14:textId="77777777" w:rsidR="00C40BE8" w:rsidRPr="00F8474E" w:rsidRDefault="00C40BE8" w:rsidP="00C40BE8">
            <w:pPr>
              <w:pStyle w:val="TAH"/>
              <w:rPr>
                <w:lang w:eastAsia="zh-CN"/>
              </w:rPr>
            </w:pPr>
            <w:r w:rsidRPr="00F8474E">
              <w:rPr>
                <w:lang w:eastAsia="zh-CN"/>
              </w:rPr>
              <w:t>kHz</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61CD98" w14:textId="77777777" w:rsidR="00C40BE8" w:rsidRPr="00F8474E" w:rsidRDefault="00C40BE8" w:rsidP="00C40BE8">
            <w:pPr>
              <w:pStyle w:val="TAH"/>
            </w:pPr>
            <w:r w:rsidRPr="00F8474E">
              <w:t>RB</w:t>
            </w:r>
          </w:p>
        </w:tc>
        <w:tc>
          <w:tcPr>
            <w:tcW w:w="1367" w:type="dxa"/>
            <w:tcBorders>
              <w:top w:val="single" w:sz="4" w:space="0" w:color="auto"/>
              <w:left w:val="single" w:sz="4" w:space="0" w:color="auto"/>
              <w:bottom w:val="single" w:sz="4" w:space="0" w:color="auto"/>
              <w:right w:val="single" w:sz="4" w:space="0" w:color="auto"/>
            </w:tcBorders>
            <w:vAlign w:val="center"/>
          </w:tcPr>
          <w:p w14:paraId="6C190D2B" w14:textId="77777777" w:rsidR="00C40BE8" w:rsidRPr="00F8474E" w:rsidRDefault="00C40BE8" w:rsidP="00C40BE8">
            <w:pPr>
              <w:pStyle w:val="TAH"/>
            </w:pPr>
          </w:p>
        </w:tc>
        <w:tc>
          <w:tcPr>
            <w:tcW w:w="2040" w:type="dxa"/>
            <w:tcBorders>
              <w:top w:val="single" w:sz="4" w:space="0" w:color="auto"/>
              <w:left w:val="single" w:sz="4" w:space="0" w:color="auto"/>
              <w:bottom w:val="single" w:sz="4" w:space="0" w:color="auto"/>
              <w:right w:val="single" w:sz="4" w:space="0" w:color="auto"/>
            </w:tcBorders>
            <w:vAlign w:val="center"/>
          </w:tcPr>
          <w:p w14:paraId="181B195E" w14:textId="77777777" w:rsidR="00C40BE8" w:rsidRPr="00F8474E" w:rsidRDefault="00C40BE8" w:rsidP="00C40BE8">
            <w:pPr>
              <w:pStyle w:val="TAH"/>
            </w:pPr>
          </w:p>
        </w:tc>
        <w:tc>
          <w:tcPr>
            <w:tcW w:w="1134" w:type="dxa"/>
            <w:tcBorders>
              <w:top w:val="single" w:sz="4" w:space="0" w:color="auto"/>
              <w:left w:val="single" w:sz="4" w:space="0" w:color="auto"/>
              <w:bottom w:val="single" w:sz="4" w:space="0" w:color="auto"/>
              <w:right w:val="single" w:sz="4" w:space="0" w:color="auto"/>
            </w:tcBorders>
            <w:vAlign w:val="center"/>
            <w:hideMark/>
          </w:tcPr>
          <w:p w14:paraId="62A8F09B" w14:textId="77777777" w:rsidR="00C40BE8" w:rsidRPr="00F8474E" w:rsidRDefault="00C40BE8" w:rsidP="00C40BE8">
            <w:pPr>
              <w:pStyle w:val="TAH"/>
            </w:pPr>
            <w:r w:rsidRPr="00F8474E">
              <w:t>dBm/SCS</w:t>
            </w:r>
            <w:r w:rsidRPr="00F8474E">
              <w:rPr>
                <w:vertAlign w:val="superscript"/>
                <w:lang w:eastAsia="zh-CN"/>
              </w:rPr>
              <w:t xml:space="preserve">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62352C3" w14:textId="77777777" w:rsidR="00C40BE8" w:rsidRPr="00F8474E" w:rsidRDefault="00C40BE8" w:rsidP="00C40BE8">
            <w:pPr>
              <w:pStyle w:val="TAH"/>
            </w:pPr>
            <w:r w:rsidRPr="00F8474E">
              <w:t>dBm/BW</w:t>
            </w:r>
            <w:r w:rsidRPr="00F8474E">
              <w:rPr>
                <w:vertAlign w:val="subscript"/>
              </w:rPr>
              <w:t>Channel</w:t>
            </w:r>
          </w:p>
        </w:tc>
      </w:tr>
      <w:tr w:rsidR="00C40BE8" w:rsidRPr="00F8474E" w14:paraId="5EE304E8" w14:textId="77777777" w:rsidTr="00FA482E">
        <w:trPr>
          <w:jc w:val="center"/>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46D1C564" w14:textId="5ED27678" w:rsidR="00C40BE8" w:rsidRPr="00F8474E" w:rsidRDefault="00C40BE8" w:rsidP="00C40BE8">
            <w:pPr>
              <w:pStyle w:val="TAC"/>
              <w:rPr>
                <w:lang w:eastAsia="zh-CN"/>
              </w:rPr>
            </w:pPr>
            <w:r w:rsidRPr="00F8474E">
              <w:rPr>
                <w:lang w:eastAsia="zh-CN"/>
              </w:rPr>
              <w:t>132 +</w:t>
            </w:r>
            <w:r w:rsidRPr="00F8474E">
              <w:rPr>
                <w:rFonts w:ascii="SimSun" w:hAnsi="SimSun" w:hint="eastAsia"/>
                <w:lang w:eastAsia="zh-CN"/>
              </w:rPr>
              <w:t>Δ</w:t>
            </w:r>
            <w:r w:rsidRPr="00F8474E">
              <w:rPr>
                <w:sz w:val="16"/>
                <w:szCs w:val="16"/>
                <w:vertAlign w:val="superscript"/>
                <w:lang w:eastAsia="zh-CN"/>
              </w:rPr>
              <w:t>Note 7</w:t>
            </w:r>
          </w:p>
        </w:tc>
        <w:tc>
          <w:tcPr>
            <w:tcW w:w="1163" w:type="dxa"/>
            <w:vMerge w:val="restart"/>
            <w:tcBorders>
              <w:top w:val="single" w:sz="4" w:space="0" w:color="auto"/>
              <w:left w:val="single" w:sz="4" w:space="0" w:color="auto"/>
              <w:bottom w:val="single" w:sz="4" w:space="0" w:color="auto"/>
              <w:right w:val="single" w:sz="4" w:space="0" w:color="auto"/>
            </w:tcBorders>
            <w:vAlign w:val="center"/>
          </w:tcPr>
          <w:p w14:paraId="788E57E1" w14:textId="77777777" w:rsidR="00C40BE8" w:rsidRPr="00F8474E" w:rsidRDefault="00C40BE8" w:rsidP="00C40BE8">
            <w:pPr>
              <w:pStyle w:val="TAC"/>
            </w:pPr>
            <w:r w:rsidRPr="00F8474E">
              <w:t>(PRS Ês/Iot)</w:t>
            </w:r>
            <w:r w:rsidRPr="00F8474E">
              <w:rPr>
                <w:i/>
                <w:vertAlign w:val="subscript"/>
              </w:rPr>
              <w:t>j</w:t>
            </w:r>
            <w:r w:rsidRPr="00F8474E">
              <w:rPr>
                <w:vertAlign w:val="subscript"/>
              </w:rPr>
              <w:t xml:space="preserve"> </w:t>
            </w:r>
            <w:r w:rsidRPr="00F8474E">
              <w:t>≥-6dB</w:t>
            </w:r>
          </w:p>
          <w:p w14:paraId="07CE48AE" w14:textId="77777777" w:rsidR="00C40BE8" w:rsidRPr="00F8474E" w:rsidRDefault="00C40BE8" w:rsidP="00C40BE8">
            <w:pPr>
              <w:pStyle w:val="TAC"/>
            </w:pPr>
          </w:p>
          <w:p w14:paraId="0FC6EB18" w14:textId="77777777" w:rsidR="00C40BE8" w:rsidRPr="00F8474E" w:rsidRDefault="00C40BE8" w:rsidP="00C40BE8">
            <w:pPr>
              <w:pStyle w:val="TAC"/>
            </w:pPr>
            <w:r w:rsidRPr="00F8474E">
              <w:t xml:space="preserve"> (PRS Ês/Iot)</w:t>
            </w:r>
            <w:r w:rsidRPr="00F8474E">
              <w:rPr>
                <w:i/>
                <w:vertAlign w:val="subscript"/>
              </w:rPr>
              <w:t>i</w:t>
            </w:r>
            <w:r w:rsidRPr="00F8474E">
              <w:t xml:space="preserve"> ≥-13dB</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5D35ADD1" w14:textId="77777777" w:rsidR="00C40BE8" w:rsidRPr="00F8474E" w:rsidRDefault="00C40BE8" w:rsidP="00C40BE8">
            <w:pPr>
              <w:pStyle w:val="TAC"/>
              <w:rPr>
                <w:lang w:val="sv-SE" w:eastAsia="zh-CN"/>
              </w:rPr>
            </w:pPr>
            <w:r w:rsidRPr="00F8474E">
              <w:rPr>
                <w:lang w:val="sv-SE" w:eastAsia="zh-CN"/>
              </w:rPr>
              <w:t>15</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F5A0A4F" w14:textId="4B17B156" w:rsidR="00C40BE8" w:rsidRPr="00F8474E" w:rsidRDefault="00C40BE8" w:rsidP="00C40BE8">
            <w:pPr>
              <w:pStyle w:val="TAC"/>
              <w:rPr>
                <w:lang w:eastAsia="zh-CN"/>
              </w:rPr>
            </w:pPr>
            <w:r w:rsidRPr="00F8474E">
              <w:t>≥ [24</w:t>
            </w:r>
          </w:p>
        </w:tc>
        <w:tc>
          <w:tcPr>
            <w:tcW w:w="1367" w:type="dxa"/>
            <w:vMerge w:val="restart"/>
            <w:tcBorders>
              <w:top w:val="single" w:sz="4" w:space="0" w:color="auto"/>
              <w:left w:val="single" w:sz="4" w:space="0" w:color="auto"/>
              <w:bottom w:val="single" w:sz="4" w:space="0" w:color="auto"/>
              <w:right w:val="single" w:sz="4" w:space="0" w:color="auto"/>
            </w:tcBorders>
            <w:vAlign w:val="center"/>
            <w:hideMark/>
          </w:tcPr>
          <w:p w14:paraId="6C4A5B4D" w14:textId="4606CD16" w:rsidR="00C40BE8" w:rsidRPr="00F8474E" w:rsidRDefault="00C40BE8" w:rsidP="00C40BE8">
            <w:pPr>
              <w:pStyle w:val="TAC"/>
              <w:rPr>
                <w:lang w:eastAsia="zh-CN"/>
              </w:rPr>
            </w:pPr>
            <w:r w:rsidRPr="00F8474E">
              <w:t>≥ 4</w:t>
            </w:r>
          </w:p>
        </w:tc>
        <w:tc>
          <w:tcPr>
            <w:tcW w:w="2040" w:type="dxa"/>
            <w:tcBorders>
              <w:top w:val="single" w:sz="4" w:space="0" w:color="auto"/>
              <w:left w:val="single" w:sz="4" w:space="0" w:color="auto"/>
              <w:bottom w:val="single" w:sz="4" w:space="0" w:color="auto"/>
              <w:right w:val="single" w:sz="4" w:space="0" w:color="auto"/>
            </w:tcBorders>
            <w:vAlign w:val="center"/>
            <w:hideMark/>
          </w:tcPr>
          <w:p w14:paraId="7B9D9AAC" w14:textId="77777777" w:rsidR="00C40BE8" w:rsidRPr="00F8474E" w:rsidRDefault="00C40BE8" w:rsidP="00C40BE8">
            <w:pPr>
              <w:pStyle w:val="TAC"/>
              <w:rPr>
                <w:szCs w:val="18"/>
              </w:rPr>
            </w:pPr>
            <w:r w:rsidRPr="00F8474E">
              <w:rPr>
                <w:szCs w:val="18"/>
              </w:rPr>
              <w:t>NR_FDD_FR1_A, NR_TDD_FR1_A,</w:t>
            </w:r>
          </w:p>
          <w:p w14:paraId="6843A281" w14:textId="77777777" w:rsidR="00C40BE8" w:rsidRPr="00F8474E" w:rsidRDefault="00C40BE8" w:rsidP="00C40BE8">
            <w:pPr>
              <w:pStyle w:val="TAC"/>
            </w:pPr>
            <w:r w:rsidRPr="00F8474E">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5BE2FF8" w14:textId="0DF6AF18" w:rsidR="00C40BE8" w:rsidRPr="00F8474E" w:rsidRDefault="00C40BE8" w:rsidP="00C40BE8">
            <w:pPr>
              <w:pStyle w:val="TAC"/>
            </w:pPr>
            <w:r w:rsidRPr="00F8474E">
              <w:t>-127</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C42EF4B" w14:textId="77777777" w:rsidR="00C40BE8" w:rsidRPr="00F8474E" w:rsidRDefault="00C40BE8" w:rsidP="00C40BE8">
            <w:pPr>
              <w:pStyle w:val="TAC"/>
              <w:rPr>
                <w:lang w:eastAsia="zh-CN"/>
              </w:rPr>
            </w:pPr>
            <w:r w:rsidRPr="00F8474E">
              <w:rPr>
                <w:lang w:eastAsia="zh-CN"/>
              </w:rPr>
              <w:t>-50</w:t>
            </w:r>
          </w:p>
        </w:tc>
      </w:tr>
      <w:tr w:rsidR="00C40BE8" w:rsidRPr="00F8474E" w14:paraId="0E583827"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6403171"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27B58AE1"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A9D9082"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9BDC2F7"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4FED3B65"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5B0C7E56" w14:textId="77777777" w:rsidR="00C40BE8" w:rsidRPr="00F8474E" w:rsidRDefault="00C40BE8" w:rsidP="00C40BE8">
            <w:pPr>
              <w:pStyle w:val="TAC"/>
            </w:pPr>
            <w:r w:rsidRPr="00F8474E">
              <w:t>NR_FDD_FR1_B</w:t>
            </w:r>
          </w:p>
        </w:tc>
        <w:tc>
          <w:tcPr>
            <w:tcW w:w="1134" w:type="dxa"/>
            <w:tcBorders>
              <w:top w:val="single" w:sz="4" w:space="0" w:color="auto"/>
              <w:left w:val="single" w:sz="4" w:space="0" w:color="auto"/>
              <w:bottom w:val="single" w:sz="4" w:space="0" w:color="auto"/>
              <w:right w:val="single" w:sz="4" w:space="0" w:color="auto"/>
            </w:tcBorders>
            <w:hideMark/>
          </w:tcPr>
          <w:p w14:paraId="0957919F" w14:textId="4BA7E6FD" w:rsidR="00C40BE8" w:rsidRPr="00F8474E" w:rsidRDefault="00C40BE8" w:rsidP="00C40BE8">
            <w:pPr>
              <w:pStyle w:val="TAC"/>
            </w:pPr>
            <w:r w:rsidRPr="00F8474E">
              <w:t>-126.5</w:t>
            </w:r>
          </w:p>
        </w:tc>
        <w:tc>
          <w:tcPr>
            <w:tcW w:w="1275" w:type="dxa"/>
            <w:tcBorders>
              <w:top w:val="single" w:sz="4" w:space="0" w:color="auto"/>
              <w:left w:val="single" w:sz="4" w:space="0" w:color="auto"/>
              <w:bottom w:val="single" w:sz="4" w:space="0" w:color="auto"/>
              <w:right w:val="single" w:sz="4" w:space="0" w:color="auto"/>
            </w:tcBorders>
            <w:hideMark/>
          </w:tcPr>
          <w:p w14:paraId="7F7A3535" w14:textId="77777777" w:rsidR="00C40BE8" w:rsidRPr="00F8474E" w:rsidRDefault="00C40BE8" w:rsidP="00C40BE8">
            <w:pPr>
              <w:pStyle w:val="TAC"/>
            </w:pPr>
            <w:r w:rsidRPr="00F8474E">
              <w:rPr>
                <w:lang w:eastAsia="zh-CN"/>
              </w:rPr>
              <w:t>-50</w:t>
            </w:r>
          </w:p>
        </w:tc>
      </w:tr>
      <w:tr w:rsidR="00C40BE8" w:rsidRPr="00F8474E" w14:paraId="416B6E30"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96EFA6B"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6189DB4C"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0AED931"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ECED377"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6F934B94"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0C75FC9" w14:textId="77777777" w:rsidR="00C40BE8" w:rsidRPr="00F8474E" w:rsidRDefault="00C40BE8" w:rsidP="00C40BE8">
            <w:pPr>
              <w:pStyle w:val="TAC"/>
            </w:pPr>
            <w:r w:rsidRPr="00F8474E">
              <w:t>NR_TDD_FR1_C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B24E99" w14:textId="03554564" w:rsidR="00C40BE8" w:rsidRPr="00F8474E" w:rsidRDefault="00C40BE8" w:rsidP="00C40BE8">
            <w:pPr>
              <w:pStyle w:val="TAC"/>
            </w:pPr>
            <w:r w:rsidRPr="00F8474E">
              <w:t>-126</w:t>
            </w:r>
          </w:p>
        </w:tc>
        <w:tc>
          <w:tcPr>
            <w:tcW w:w="1275" w:type="dxa"/>
            <w:tcBorders>
              <w:top w:val="single" w:sz="4" w:space="0" w:color="auto"/>
              <w:left w:val="single" w:sz="4" w:space="0" w:color="auto"/>
              <w:bottom w:val="single" w:sz="4" w:space="0" w:color="auto"/>
              <w:right w:val="single" w:sz="4" w:space="0" w:color="auto"/>
            </w:tcBorders>
            <w:hideMark/>
          </w:tcPr>
          <w:p w14:paraId="027E46B6" w14:textId="77777777" w:rsidR="00C40BE8" w:rsidRPr="00F8474E" w:rsidRDefault="00C40BE8" w:rsidP="00C40BE8">
            <w:pPr>
              <w:pStyle w:val="TAC"/>
            </w:pPr>
            <w:r w:rsidRPr="00F8474E">
              <w:rPr>
                <w:lang w:eastAsia="zh-CN"/>
              </w:rPr>
              <w:t>-50</w:t>
            </w:r>
          </w:p>
        </w:tc>
      </w:tr>
      <w:tr w:rsidR="00C40BE8" w:rsidRPr="00F8474E" w14:paraId="39F4D320"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16EF883"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2940989A"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E2B0BB6"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46D0EB2"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26D9AABE"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777F9F8" w14:textId="77777777" w:rsidR="00C40BE8" w:rsidRPr="00F8474E" w:rsidRDefault="00C40BE8" w:rsidP="00C40BE8">
            <w:pPr>
              <w:pStyle w:val="TAC"/>
              <w:rPr>
                <w:lang w:val="sv-SE"/>
              </w:rPr>
            </w:pPr>
            <w:r w:rsidRPr="00F8474E">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0BD4263" w14:textId="7953B9C2" w:rsidR="00C40BE8" w:rsidRPr="00F8474E" w:rsidRDefault="00C40BE8" w:rsidP="00C40BE8">
            <w:pPr>
              <w:pStyle w:val="TAC"/>
            </w:pPr>
            <w:r w:rsidRPr="00F8474E">
              <w:t>-125.5</w:t>
            </w:r>
          </w:p>
        </w:tc>
        <w:tc>
          <w:tcPr>
            <w:tcW w:w="1275" w:type="dxa"/>
            <w:tcBorders>
              <w:top w:val="single" w:sz="4" w:space="0" w:color="auto"/>
              <w:left w:val="single" w:sz="4" w:space="0" w:color="auto"/>
              <w:bottom w:val="single" w:sz="4" w:space="0" w:color="auto"/>
              <w:right w:val="single" w:sz="4" w:space="0" w:color="auto"/>
            </w:tcBorders>
            <w:hideMark/>
          </w:tcPr>
          <w:p w14:paraId="17A898A6" w14:textId="77777777" w:rsidR="00C40BE8" w:rsidRPr="00F8474E" w:rsidRDefault="00C40BE8" w:rsidP="00C40BE8">
            <w:pPr>
              <w:pStyle w:val="TAC"/>
            </w:pPr>
            <w:r w:rsidRPr="00F8474E">
              <w:rPr>
                <w:lang w:eastAsia="zh-CN"/>
              </w:rPr>
              <w:t>-50</w:t>
            </w:r>
          </w:p>
        </w:tc>
      </w:tr>
      <w:tr w:rsidR="00C40BE8" w:rsidRPr="00F8474E" w14:paraId="7A1309F5"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0543CA9"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3AA7BE31"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0382A61"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5BEA588"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4DE10129"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BF668EC" w14:textId="77777777" w:rsidR="00C40BE8" w:rsidRPr="00F8474E" w:rsidRDefault="00C40BE8" w:rsidP="00C40BE8">
            <w:pPr>
              <w:pStyle w:val="TAC"/>
              <w:rPr>
                <w:lang w:val="sv-SE"/>
              </w:rPr>
            </w:pPr>
            <w:r w:rsidRPr="00F8474E">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723F635" w14:textId="1C0A3CAB" w:rsidR="00C40BE8" w:rsidRPr="00F8474E" w:rsidRDefault="00C40BE8" w:rsidP="00C40BE8">
            <w:pPr>
              <w:pStyle w:val="TAC"/>
            </w:pPr>
            <w:r w:rsidRPr="00F8474E">
              <w:t>-125</w:t>
            </w:r>
          </w:p>
        </w:tc>
        <w:tc>
          <w:tcPr>
            <w:tcW w:w="1275" w:type="dxa"/>
            <w:tcBorders>
              <w:top w:val="single" w:sz="4" w:space="0" w:color="auto"/>
              <w:left w:val="single" w:sz="4" w:space="0" w:color="auto"/>
              <w:bottom w:val="single" w:sz="4" w:space="0" w:color="auto"/>
              <w:right w:val="single" w:sz="4" w:space="0" w:color="auto"/>
            </w:tcBorders>
            <w:hideMark/>
          </w:tcPr>
          <w:p w14:paraId="49A92C3D" w14:textId="77777777" w:rsidR="00C40BE8" w:rsidRPr="00F8474E" w:rsidRDefault="00C40BE8" w:rsidP="00C40BE8">
            <w:pPr>
              <w:pStyle w:val="TAC"/>
            </w:pPr>
            <w:r w:rsidRPr="00F8474E">
              <w:rPr>
                <w:lang w:eastAsia="zh-CN"/>
              </w:rPr>
              <w:t>-50</w:t>
            </w:r>
          </w:p>
        </w:tc>
      </w:tr>
      <w:tr w:rsidR="00C40BE8" w:rsidRPr="00F8474E" w14:paraId="6BD62490"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771E820"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77E2F1A8"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85DB8A9"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E820456"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7CED2204"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303EFE4C" w14:textId="77777777" w:rsidR="00C40BE8" w:rsidRPr="00F8474E" w:rsidRDefault="00C40BE8" w:rsidP="00C40BE8">
            <w:pPr>
              <w:pStyle w:val="TAC"/>
            </w:pPr>
            <w:r w:rsidRPr="00F8474E">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AE7369" w14:textId="4FC639F9" w:rsidR="00C40BE8" w:rsidRPr="00F8474E" w:rsidRDefault="00C40BE8" w:rsidP="00C40BE8">
            <w:pPr>
              <w:pStyle w:val="TAC"/>
            </w:pPr>
            <w:r w:rsidRPr="00F8474E">
              <w:t>-124.5</w:t>
            </w:r>
          </w:p>
        </w:tc>
        <w:tc>
          <w:tcPr>
            <w:tcW w:w="1275" w:type="dxa"/>
            <w:tcBorders>
              <w:top w:val="single" w:sz="4" w:space="0" w:color="auto"/>
              <w:left w:val="single" w:sz="4" w:space="0" w:color="auto"/>
              <w:bottom w:val="single" w:sz="4" w:space="0" w:color="auto"/>
              <w:right w:val="single" w:sz="4" w:space="0" w:color="auto"/>
            </w:tcBorders>
            <w:hideMark/>
          </w:tcPr>
          <w:p w14:paraId="6E8E801F" w14:textId="77777777" w:rsidR="00C40BE8" w:rsidRPr="00F8474E" w:rsidRDefault="00C40BE8" w:rsidP="00C40BE8">
            <w:pPr>
              <w:pStyle w:val="TAC"/>
            </w:pPr>
            <w:r w:rsidRPr="00F8474E">
              <w:rPr>
                <w:lang w:eastAsia="zh-CN"/>
              </w:rPr>
              <w:t>-50</w:t>
            </w:r>
          </w:p>
        </w:tc>
      </w:tr>
      <w:tr w:rsidR="00C40BE8" w:rsidRPr="00F8474E" w14:paraId="6C0A1C2A"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1459988"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361FBB91"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A6B7640"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7A46785"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49240CF1"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711592A" w14:textId="77777777" w:rsidR="00C40BE8" w:rsidRPr="00F8474E" w:rsidRDefault="00C40BE8" w:rsidP="00C40BE8">
            <w:pPr>
              <w:pStyle w:val="TAC"/>
            </w:pPr>
            <w:r w:rsidRPr="00F8474E">
              <w:rPr>
                <w:lang w:eastAsia="zh-CN"/>
              </w:rPr>
              <w:t>NR</w:t>
            </w:r>
            <w:r w:rsidRPr="00F8474E">
              <w:t>_</w:t>
            </w:r>
            <w:r w:rsidRPr="00F8474E">
              <w:rPr>
                <w:lang w:eastAsia="zh-CN"/>
              </w:rPr>
              <w:t>FDD_FR1_G</w:t>
            </w:r>
            <w:r w:rsidRPr="00C40BE8">
              <w:rPr>
                <w:lang w:eastAsia="zh-CN"/>
              </w:rPr>
              <w:t>, NR_TDD_FR1_G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964B0B" w14:textId="02AAD4BC" w:rsidR="00C40BE8" w:rsidRPr="00F8474E" w:rsidRDefault="00C40BE8" w:rsidP="00C40BE8">
            <w:pPr>
              <w:pStyle w:val="TAC"/>
            </w:pPr>
            <w:r w:rsidRPr="00F8474E">
              <w:t>-124</w:t>
            </w:r>
          </w:p>
        </w:tc>
        <w:tc>
          <w:tcPr>
            <w:tcW w:w="1275" w:type="dxa"/>
            <w:tcBorders>
              <w:top w:val="single" w:sz="4" w:space="0" w:color="auto"/>
              <w:left w:val="single" w:sz="4" w:space="0" w:color="auto"/>
              <w:bottom w:val="single" w:sz="4" w:space="0" w:color="auto"/>
              <w:right w:val="single" w:sz="4" w:space="0" w:color="auto"/>
            </w:tcBorders>
            <w:hideMark/>
          </w:tcPr>
          <w:p w14:paraId="03C9B3F9" w14:textId="77777777" w:rsidR="00C40BE8" w:rsidRPr="00F8474E" w:rsidRDefault="00C40BE8" w:rsidP="00C40BE8">
            <w:pPr>
              <w:pStyle w:val="TAC"/>
            </w:pPr>
            <w:r w:rsidRPr="00F8474E">
              <w:rPr>
                <w:lang w:eastAsia="zh-CN"/>
              </w:rPr>
              <w:t>-50</w:t>
            </w:r>
          </w:p>
        </w:tc>
      </w:tr>
      <w:tr w:rsidR="00C40BE8" w:rsidRPr="00F8474E" w14:paraId="737F59A0"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AE766C0"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7A5DB860"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87738E7"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0CEE3D7"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6C077490"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750FA0C2" w14:textId="77777777" w:rsidR="00C40BE8" w:rsidRPr="00F8474E" w:rsidRDefault="00C40BE8" w:rsidP="00C40BE8">
            <w:pPr>
              <w:pStyle w:val="TAC"/>
            </w:pPr>
            <w:r w:rsidRPr="00F8474E">
              <w:rPr>
                <w:lang w:eastAsia="zh-CN"/>
              </w:rPr>
              <w:t>NR</w:t>
            </w:r>
            <w:r w:rsidRPr="00F8474E">
              <w:t>_</w:t>
            </w:r>
            <w:r w:rsidRPr="00F8474E">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973AC5" w14:textId="6EAFEA83" w:rsidR="00C40BE8" w:rsidRPr="00F8474E" w:rsidRDefault="00C40BE8" w:rsidP="00C40BE8">
            <w:pPr>
              <w:pStyle w:val="TAC"/>
            </w:pPr>
            <w:r w:rsidRPr="00F8474E">
              <w:t>-123.5</w:t>
            </w:r>
          </w:p>
        </w:tc>
        <w:tc>
          <w:tcPr>
            <w:tcW w:w="1275" w:type="dxa"/>
            <w:tcBorders>
              <w:top w:val="single" w:sz="4" w:space="0" w:color="auto"/>
              <w:left w:val="single" w:sz="4" w:space="0" w:color="auto"/>
              <w:bottom w:val="single" w:sz="4" w:space="0" w:color="auto"/>
              <w:right w:val="single" w:sz="4" w:space="0" w:color="auto"/>
            </w:tcBorders>
            <w:hideMark/>
          </w:tcPr>
          <w:p w14:paraId="0BB680FE" w14:textId="77777777" w:rsidR="00C40BE8" w:rsidRPr="00F8474E" w:rsidRDefault="00C40BE8" w:rsidP="00C40BE8">
            <w:pPr>
              <w:pStyle w:val="TAC"/>
            </w:pPr>
            <w:r w:rsidRPr="00F8474E">
              <w:rPr>
                <w:lang w:eastAsia="zh-CN"/>
              </w:rPr>
              <w:t>-50</w:t>
            </w:r>
          </w:p>
        </w:tc>
      </w:tr>
      <w:tr w:rsidR="00C40BE8" w:rsidRPr="00F8474E" w14:paraId="14A5C9CA" w14:textId="77777777" w:rsidTr="00FA482E">
        <w:trPr>
          <w:jc w:val="center"/>
        </w:trPr>
        <w:tc>
          <w:tcPr>
            <w:tcW w:w="960" w:type="dxa"/>
            <w:tcBorders>
              <w:top w:val="single" w:sz="4" w:space="0" w:color="auto"/>
              <w:left w:val="single" w:sz="4" w:space="0" w:color="auto"/>
              <w:bottom w:val="single" w:sz="4" w:space="0" w:color="auto"/>
              <w:right w:val="single" w:sz="4" w:space="0" w:color="auto"/>
            </w:tcBorders>
            <w:hideMark/>
          </w:tcPr>
          <w:p w14:paraId="779E48A8" w14:textId="2C92E293" w:rsidR="00C40BE8" w:rsidRPr="00F8474E" w:rsidRDefault="00C40BE8" w:rsidP="00C40BE8">
            <w:pPr>
              <w:pStyle w:val="TAC"/>
            </w:pPr>
            <w:r w:rsidRPr="00F8474E">
              <w:rPr>
                <w:lang w:eastAsia="zh-CN"/>
              </w:rPr>
              <w:t>98 +</w:t>
            </w:r>
            <w:r w:rsidRPr="00F8474E">
              <w:rPr>
                <w:rFonts w:ascii="SimSun" w:hAnsi="SimSun" w:hint="eastAsia"/>
                <w:lang w:eastAsia="zh-CN"/>
              </w:rPr>
              <w:t>Δ</w:t>
            </w: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0E5646DA"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EE8C960" w14:textId="77777777" w:rsidR="00C40BE8" w:rsidRPr="00F8474E" w:rsidRDefault="00C40BE8" w:rsidP="00C40BE8">
            <w:pPr>
              <w:pStyle w:val="TAC"/>
              <w:rPr>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638239D8" w14:textId="2F97EAC1" w:rsidR="00C40BE8" w:rsidRPr="00F8474E" w:rsidRDefault="00C40BE8" w:rsidP="00C40BE8">
            <w:pPr>
              <w:pStyle w:val="TAC"/>
              <w:rPr>
                <w:lang w:eastAsia="zh-CN"/>
              </w:rPr>
            </w:pPr>
            <w:r w:rsidRPr="00F8474E">
              <w:t>≥ 52</w:t>
            </w:r>
          </w:p>
        </w:tc>
        <w:tc>
          <w:tcPr>
            <w:tcW w:w="1367" w:type="dxa"/>
            <w:tcBorders>
              <w:top w:val="single" w:sz="4" w:space="0" w:color="auto"/>
              <w:left w:val="single" w:sz="4" w:space="0" w:color="auto"/>
              <w:bottom w:val="single" w:sz="4" w:space="0" w:color="auto"/>
              <w:right w:val="single" w:sz="4" w:space="0" w:color="auto"/>
            </w:tcBorders>
            <w:vAlign w:val="center"/>
            <w:hideMark/>
          </w:tcPr>
          <w:p w14:paraId="15F208BC" w14:textId="440A2256" w:rsidR="00C40BE8" w:rsidRPr="00F8474E" w:rsidRDefault="00C40BE8" w:rsidP="00C40BE8">
            <w:pPr>
              <w:pStyle w:val="TAC"/>
              <w:rPr>
                <w:lang w:eastAsia="zh-CN"/>
              </w:rPr>
            </w:pPr>
            <w:r w:rsidRPr="00F8474E">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0145D20B" w14:textId="77777777" w:rsidR="00C40BE8" w:rsidRPr="00F8474E" w:rsidRDefault="00C40BE8" w:rsidP="00C40BE8">
            <w:pPr>
              <w:pStyle w:val="TAC"/>
            </w:pPr>
            <w:r w:rsidRPr="00F8474E">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9796E2" w14:textId="77777777" w:rsidR="00C40BE8" w:rsidRPr="00F8474E" w:rsidRDefault="00C40BE8" w:rsidP="00C40BE8">
            <w:pPr>
              <w:pStyle w:val="TAC"/>
            </w:pPr>
            <w:r w:rsidRPr="00F8474E">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884405B" w14:textId="77777777" w:rsidR="00C40BE8" w:rsidRPr="00F8474E" w:rsidRDefault="00C40BE8" w:rsidP="00C40BE8">
            <w:pPr>
              <w:pStyle w:val="TAC"/>
            </w:pPr>
            <w:r w:rsidRPr="00F8474E">
              <w:t>Note 6</w:t>
            </w:r>
          </w:p>
        </w:tc>
      </w:tr>
      <w:tr w:rsidR="00C40BE8" w:rsidRPr="00F8474E" w14:paraId="434382C0" w14:textId="77777777" w:rsidTr="00FA482E">
        <w:trPr>
          <w:jc w:val="center"/>
        </w:trPr>
        <w:tc>
          <w:tcPr>
            <w:tcW w:w="960" w:type="dxa"/>
            <w:tcBorders>
              <w:top w:val="single" w:sz="4" w:space="0" w:color="auto"/>
              <w:left w:val="single" w:sz="4" w:space="0" w:color="auto"/>
              <w:bottom w:val="single" w:sz="4" w:space="0" w:color="auto"/>
              <w:right w:val="single" w:sz="4" w:space="0" w:color="auto"/>
            </w:tcBorders>
            <w:hideMark/>
          </w:tcPr>
          <w:p w14:paraId="373AFEFC" w14:textId="0AB4503C" w:rsidR="00C40BE8" w:rsidRPr="00F8474E" w:rsidRDefault="00C40BE8" w:rsidP="00C40BE8">
            <w:pPr>
              <w:pStyle w:val="TAC"/>
              <w:rPr>
                <w:lang w:eastAsia="zh-CN"/>
              </w:rPr>
            </w:pPr>
            <w:r w:rsidRPr="00F8474E">
              <w:rPr>
                <w:lang w:eastAsia="zh-CN"/>
              </w:rPr>
              <w:t>42 +</w:t>
            </w:r>
            <w:r w:rsidRPr="00F8474E">
              <w:rPr>
                <w:rFonts w:ascii="SimSun" w:hAnsi="SimSun" w:hint="eastAsia"/>
                <w:lang w:eastAsia="zh-CN"/>
              </w:rPr>
              <w:t>Δ</w:t>
            </w: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6D54D0A7"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9D57EF7" w14:textId="77777777" w:rsidR="00C40BE8" w:rsidRPr="00F8474E" w:rsidRDefault="00C40BE8" w:rsidP="00C40BE8">
            <w:pPr>
              <w:pStyle w:val="TAC"/>
              <w:rPr>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E74C3F0" w14:textId="626E1A41" w:rsidR="00C40BE8" w:rsidRPr="00F8474E" w:rsidRDefault="00C40BE8" w:rsidP="00C40BE8">
            <w:pPr>
              <w:pStyle w:val="TAC"/>
              <w:rPr>
                <w:lang w:eastAsia="zh-CN"/>
              </w:rPr>
            </w:pPr>
            <w:r w:rsidRPr="00F8474E">
              <w:t>≥ 104</w:t>
            </w:r>
          </w:p>
        </w:tc>
        <w:tc>
          <w:tcPr>
            <w:tcW w:w="1367" w:type="dxa"/>
            <w:tcBorders>
              <w:top w:val="single" w:sz="4" w:space="0" w:color="auto"/>
              <w:left w:val="single" w:sz="4" w:space="0" w:color="auto"/>
              <w:bottom w:val="single" w:sz="4" w:space="0" w:color="auto"/>
              <w:right w:val="single" w:sz="4" w:space="0" w:color="auto"/>
            </w:tcBorders>
            <w:vAlign w:val="center"/>
            <w:hideMark/>
          </w:tcPr>
          <w:p w14:paraId="208DB1D8" w14:textId="4552EDF3" w:rsidR="00C40BE8" w:rsidRPr="00F8474E" w:rsidRDefault="00C40BE8" w:rsidP="00C40BE8">
            <w:pPr>
              <w:pStyle w:val="TAC"/>
              <w:rPr>
                <w:lang w:eastAsia="zh-CN"/>
              </w:rPr>
            </w:pPr>
            <w:r w:rsidRPr="00F8474E">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76EC7545" w14:textId="77777777" w:rsidR="00C40BE8" w:rsidRPr="00F8474E" w:rsidRDefault="00C40BE8" w:rsidP="00C40BE8">
            <w:pPr>
              <w:pStyle w:val="TAC"/>
            </w:pPr>
            <w:r w:rsidRPr="00F8474E">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5BD50B" w14:textId="77777777" w:rsidR="00C40BE8" w:rsidRPr="00F8474E" w:rsidRDefault="00C40BE8" w:rsidP="00C40BE8">
            <w:pPr>
              <w:pStyle w:val="TAC"/>
            </w:pPr>
            <w:r w:rsidRPr="00F8474E">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609064D" w14:textId="77777777" w:rsidR="00C40BE8" w:rsidRPr="00F8474E" w:rsidRDefault="00C40BE8" w:rsidP="00C40BE8">
            <w:pPr>
              <w:pStyle w:val="TAC"/>
            </w:pPr>
            <w:r w:rsidRPr="00F8474E">
              <w:t>Note 6</w:t>
            </w:r>
          </w:p>
        </w:tc>
      </w:tr>
      <w:tr w:rsidR="00C40BE8" w:rsidRPr="00F8474E" w14:paraId="1663E5D2" w14:textId="77777777" w:rsidTr="00FA482E">
        <w:trPr>
          <w:jc w:val="center"/>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0FFBE43B" w14:textId="45F05BE6" w:rsidR="00C40BE8" w:rsidRPr="00F8474E" w:rsidRDefault="00C40BE8" w:rsidP="00C40BE8">
            <w:pPr>
              <w:pStyle w:val="TAC"/>
              <w:rPr>
                <w:lang w:eastAsia="zh-CN"/>
              </w:rPr>
            </w:pPr>
            <w:r w:rsidRPr="00F8474E">
              <w:rPr>
                <w:lang w:eastAsia="zh-CN"/>
              </w:rPr>
              <w:t>75 +</w:t>
            </w:r>
            <w:r w:rsidRPr="00F8474E">
              <w:rPr>
                <w:rFonts w:ascii="SimSun" w:hAnsi="SimSun" w:hint="eastAsia"/>
                <w:lang w:eastAsia="zh-CN"/>
              </w:rPr>
              <w:t>Δ</w:t>
            </w: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4D6F752A" w14:textId="77777777" w:rsidR="00C40BE8" w:rsidRPr="00F8474E" w:rsidRDefault="00C40BE8" w:rsidP="00C40BE8">
            <w:pPr>
              <w:pStyle w:val="TAC"/>
            </w:pP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47EE9BE8" w14:textId="77777777" w:rsidR="00C40BE8" w:rsidRPr="00F8474E" w:rsidRDefault="00C40BE8" w:rsidP="00C40BE8">
            <w:pPr>
              <w:pStyle w:val="TAC"/>
              <w:rPr>
                <w:lang w:val="sv-SE" w:eastAsia="zh-CN"/>
              </w:rPr>
            </w:pPr>
            <w:r w:rsidRPr="00F8474E">
              <w:rPr>
                <w:lang w:val="sv-SE" w:eastAsia="zh-CN"/>
              </w:rPr>
              <w:t xml:space="preserve">30 </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7DFF058" w14:textId="42C5D989" w:rsidR="00C40BE8" w:rsidRPr="00F8474E" w:rsidRDefault="00C40BE8" w:rsidP="00C40BE8">
            <w:pPr>
              <w:pStyle w:val="TAC"/>
              <w:rPr>
                <w:lang w:eastAsia="zh-CN"/>
              </w:rPr>
            </w:pPr>
            <w:r w:rsidRPr="00F8474E">
              <w:t>≥ 24</w:t>
            </w:r>
          </w:p>
        </w:tc>
        <w:tc>
          <w:tcPr>
            <w:tcW w:w="1367" w:type="dxa"/>
            <w:vMerge w:val="restart"/>
            <w:tcBorders>
              <w:top w:val="single" w:sz="4" w:space="0" w:color="auto"/>
              <w:left w:val="single" w:sz="4" w:space="0" w:color="auto"/>
              <w:bottom w:val="single" w:sz="4" w:space="0" w:color="auto"/>
              <w:right w:val="single" w:sz="4" w:space="0" w:color="auto"/>
            </w:tcBorders>
            <w:vAlign w:val="center"/>
            <w:hideMark/>
          </w:tcPr>
          <w:p w14:paraId="55142A5F" w14:textId="51DA7D76" w:rsidR="00C40BE8" w:rsidRPr="00F8474E" w:rsidRDefault="00C40BE8" w:rsidP="00C40BE8">
            <w:pPr>
              <w:pStyle w:val="TAC"/>
              <w:rPr>
                <w:lang w:eastAsia="zh-CN"/>
              </w:rPr>
            </w:pPr>
            <w:r w:rsidRPr="00F8474E">
              <w:t>≥ 4</w:t>
            </w:r>
          </w:p>
        </w:tc>
        <w:tc>
          <w:tcPr>
            <w:tcW w:w="2040" w:type="dxa"/>
            <w:tcBorders>
              <w:top w:val="single" w:sz="4" w:space="0" w:color="auto"/>
              <w:left w:val="single" w:sz="4" w:space="0" w:color="auto"/>
              <w:bottom w:val="single" w:sz="4" w:space="0" w:color="auto"/>
              <w:right w:val="single" w:sz="4" w:space="0" w:color="auto"/>
            </w:tcBorders>
            <w:vAlign w:val="center"/>
            <w:hideMark/>
          </w:tcPr>
          <w:p w14:paraId="01AA6684" w14:textId="77777777" w:rsidR="00C40BE8" w:rsidRPr="00F8474E" w:rsidRDefault="00C40BE8" w:rsidP="00C40BE8">
            <w:pPr>
              <w:pStyle w:val="TAC"/>
              <w:rPr>
                <w:szCs w:val="18"/>
              </w:rPr>
            </w:pPr>
            <w:r w:rsidRPr="00F8474E">
              <w:rPr>
                <w:szCs w:val="18"/>
              </w:rPr>
              <w:t>NR_FDD_FR1_A, NR_TDD_FR1_A,</w:t>
            </w:r>
          </w:p>
          <w:p w14:paraId="012B8DEE" w14:textId="77777777" w:rsidR="00C40BE8" w:rsidRPr="00F8474E" w:rsidRDefault="00C40BE8" w:rsidP="00C40BE8">
            <w:pPr>
              <w:pStyle w:val="TAC"/>
            </w:pPr>
            <w:r w:rsidRPr="00F8474E">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EF08ADF" w14:textId="460BFD65" w:rsidR="00C40BE8" w:rsidRPr="00F8474E" w:rsidRDefault="00C40BE8" w:rsidP="00C40BE8">
            <w:pPr>
              <w:pStyle w:val="TAC"/>
            </w:pPr>
            <w:r w:rsidRPr="00F8474E">
              <w:t>-124</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D0C92AD" w14:textId="77777777" w:rsidR="00C40BE8" w:rsidRPr="00F8474E" w:rsidRDefault="00C40BE8" w:rsidP="00C40BE8">
            <w:pPr>
              <w:pStyle w:val="TAC"/>
            </w:pPr>
            <w:r w:rsidRPr="00F8474E">
              <w:rPr>
                <w:lang w:eastAsia="zh-CN"/>
              </w:rPr>
              <w:t>-50</w:t>
            </w:r>
          </w:p>
        </w:tc>
      </w:tr>
      <w:tr w:rsidR="00C40BE8" w:rsidRPr="00F8474E" w14:paraId="24D2BE59"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1745D38"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3828DC1A"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290921D"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F420CA5"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33EBF2EE"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7DD357E5" w14:textId="77777777" w:rsidR="00C40BE8" w:rsidRPr="00F8474E" w:rsidRDefault="00C40BE8" w:rsidP="00C40BE8">
            <w:pPr>
              <w:pStyle w:val="TAC"/>
            </w:pPr>
            <w:r w:rsidRPr="00F8474E">
              <w:t>NR_FDD_FR1_B</w:t>
            </w:r>
          </w:p>
        </w:tc>
        <w:tc>
          <w:tcPr>
            <w:tcW w:w="1134" w:type="dxa"/>
            <w:tcBorders>
              <w:top w:val="single" w:sz="4" w:space="0" w:color="auto"/>
              <w:left w:val="single" w:sz="4" w:space="0" w:color="auto"/>
              <w:bottom w:val="single" w:sz="4" w:space="0" w:color="auto"/>
              <w:right w:val="single" w:sz="4" w:space="0" w:color="auto"/>
            </w:tcBorders>
            <w:hideMark/>
          </w:tcPr>
          <w:p w14:paraId="2FDFD850" w14:textId="5504EA40" w:rsidR="00C40BE8" w:rsidRPr="00F8474E" w:rsidRDefault="00C40BE8" w:rsidP="00C40BE8">
            <w:pPr>
              <w:pStyle w:val="TAC"/>
            </w:pPr>
            <w:r w:rsidRPr="00F8474E">
              <w:t>-123.5</w:t>
            </w:r>
          </w:p>
        </w:tc>
        <w:tc>
          <w:tcPr>
            <w:tcW w:w="1275" w:type="dxa"/>
            <w:tcBorders>
              <w:top w:val="single" w:sz="4" w:space="0" w:color="auto"/>
              <w:left w:val="single" w:sz="4" w:space="0" w:color="auto"/>
              <w:bottom w:val="single" w:sz="4" w:space="0" w:color="auto"/>
              <w:right w:val="single" w:sz="4" w:space="0" w:color="auto"/>
            </w:tcBorders>
            <w:hideMark/>
          </w:tcPr>
          <w:p w14:paraId="397A5319" w14:textId="77777777" w:rsidR="00C40BE8" w:rsidRPr="00F8474E" w:rsidRDefault="00C40BE8" w:rsidP="00C40BE8">
            <w:pPr>
              <w:pStyle w:val="TAC"/>
            </w:pPr>
            <w:r w:rsidRPr="00F8474E">
              <w:rPr>
                <w:lang w:eastAsia="zh-CN"/>
              </w:rPr>
              <w:t>-50</w:t>
            </w:r>
          </w:p>
        </w:tc>
      </w:tr>
      <w:tr w:rsidR="00C40BE8" w:rsidRPr="00F8474E" w14:paraId="161664EF"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3DD351F"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184BC978"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E7CC6F4"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3E947A0"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276D7575"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2D3FC30D" w14:textId="77777777" w:rsidR="00C40BE8" w:rsidRPr="00F8474E" w:rsidRDefault="00C40BE8" w:rsidP="00C40BE8">
            <w:pPr>
              <w:pStyle w:val="TAC"/>
            </w:pPr>
            <w:r w:rsidRPr="00F8474E">
              <w:t>NR_TDD_FR1_C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2A9062" w14:textId="389B7BEE" w:rsidR="00C40BE8" w:rsidRPr="00F8474E" w:rsidRDefault="00C40BE8" w:rsidP="00C40BE8">
            <w:pPr>
              <w:pStyle w:val="TAC"/>
            </w:pPr>
            <w:r w:rsidRPr="00F8474E">
              <w:t>-123</w:t>
            </w:r>
          </w:p>
        </w:tc>
        <w:tc>
          <w:tcPr>
            <w:tcW w:w="1275" w:type="dxa"/>
            <w:tcBorders>
              <w:top w:val="single" w:sz="4" w:space="0" w:color="auto"/>
              <w:left w:val="single" w:sz="4" w:space="0" w:color="auto"/>
              <w:bottom w:val="single" w:sz="4" w:space="0" w:color="auto"/>
              <w:right w:val="single" w:sz="4" w:space="0" w:color="auto"/>
            </w:tcBorders>
            <w:hideMark/>
          </w:tcPr>
          <w:p w14:paraId="35F1BE18" w14:textId="77777777" w:rsidR="00C40BE8" w:rsidRPr="00F8474E" w:rsidRDefault="00C40BE8" w:rsidP="00C40BE8">
            <w:pPr>
              <w:pStyle w:val="TAC"/>
            </w:pPr>
            <w:r w:rsidRPr="00F8474E">
              <w:rPr>
                <w:lang w:eastAsia="zh-CN"/>
              </w:rPr>
              <w:t>-50</w:t>
            </w:r>
          </w:p>
        </w:tc>
      </w:tr>
      <w:tr w:rsidR="00C40BE8" w:rsidRPr="00F8474E" w14:paraId="39AEEA2F"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2AD081"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298DE119"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30135DA"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07BC7C3"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47AB35F7"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E42326E" w14:textId="77777777" w:rsidR="00C40BE8" w:rsidRPr="00F8474E" w:rsidRDefault="00C40BE8" w:rsidP="00C40BE8">
            <w:pPr>
              <w:pStyle w:val="TAC"/>
              <w:rPr>
                <w:lang w:val="sv-SE"/>
              </w:rPr>
            </w:pPr>
            <w:r w:rsidRPr="00F8474E">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C955671" w14:textId="3FEE3BC4" w:rsidR="00C40BE8" w:rsidRPr="00F8474E" w:rsidRDefault="00C40BE8" w:rsidP="00C40BE8">
            <w:pPr>
              <w:pStyle w:val="TAC"/>
            </w:pPr>
            <w:r w:rsidRPr="00F8474E">
              <w:t>-122.5</w:t>
            </w:r>
          </w:p>
        </w:tc>
        <w:tc>
          <w:tcPr>
            <w:tcW w:w="1275" w:type="dxa"/>
            <w:tcBorders>
              <w:top w:val="single" w:sz="4" w:space="0" w:color="auto"/>
              <w:left w:val="single" w:sz="4" w:space="0" w:color="auto"/>
              <w:bottom w:val="single" w:sz="4" w:space="0" w:color="auto"/>
              <w:right w:val="single" w:sz="4" w:space="0" w:color="auto"/>
            </w:tcBorders>
            <w:hideMark/>
          </w:tcPr>
          <w:p w14:paraId="2821F489" w14:textId="77777777" w:rsidR="00C40BE8" w:rsidRPr="00F8474E" w:rsidRDefault="00C40BE8" w:rsidP="00C40BE8">
            <w:pPr>
              <w:pStyle w:val="TAC"/>
            </w:pPr>
            <w:r w:rsidRPr="00F8474E">
              <w:rPr>
                <w:lang w:eastAsia="zh-CN"/>
              </w:rPr>
              <w:t>-50</w:t>
            </w:r>
          </w:p>
        </w:tc>
      </w:tr>
      <w:tr w:rsidR="00C40BE8" w:rsidRPr="00F8474E" w14:paraId="34FF335E"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65AF2AE"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6A1CBC60"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B738D6F"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B05BE01"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36570EBF"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4DD7BD2" w14:textId="77777777" w:rsidR="00C40BE8" w:rsidRPr="00F8474E" w:rsidRDefault="00C40BE8" w:rsidP="00C40BE8">
            <w:pPr>
              <w:pStyle w:val="TAC"/>
              <w:rPr>
                <w:lang w:val="sv-SE"/>
              </w:rPr>
            </w:pPr>
            <w:r w:rsidRPr="00F8474E">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E3F73C" w14:textId="3177B408" w:rsidR="00C40BE8" w:rsidRPr="00F8474E" w:rsidRDefault="00C40BE8" w:rsidP="00C40BE8">
            <w:pPr>
              <w:pStyle w:val="TAC"/>
            </w:pPr>
            <w:r w:rsidRPr="00F8474E">
              <w:t>-122</w:t>
            </w:r>
          </w:p>
        </w:tc>
        <w:tc>
          <w:tcPr>
            <w:tcW w:w="1275" w:type="dxa"/>
            <w:tcBorders>
              <w:top w:val="single" w:sz="4" w:space="0" w:color="auto"/>
              <w:left w:val="single" w:sz="4" w:space="0" w:color="auto"/>
              <w:bottom w:val="single" w:sz="4" w:space="0" w:color="auto"/>
              <w:right w:val="single" w:sz="4" w:space="0" w:color="auto"/>
            </w:tcBorders>
            <w:hideMark/>
          </w:tcPr>
          <w:p w14:paraId="6790B1BB" w14:textId="77777777" w:rsidR="00C40BE8" w:rsidRPr="00F8474E" w:rsidRDefault="00C40BE8" w:rsidP="00C40BE8">
            <w:pPr>
              <w:pStyle w:val="TAC"/>
            </w:pPr>
            <w:r w:rsidRPr="00F8474E">
              <w:rPr>
                <w:lang w:eastAsia="zh-CN"/>
              </w:rPr>
              <w:t>-50</w:t>
            </w:r>
          </w:p>
        </w:tc>
      </w:tr>
      <w:tr w:rsidR="00C40BE8" w:rsidRPr="00F8474E" w14:paraId="7BDD0B30"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D626E39"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042B48B8"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B915D50"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2B58ED1"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6A34D013"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71F552D" w14:textId="77777777" w:rsidR="00C40BE8" w:rsidRPr="00F8474E" w:rsidRDefault="00C40BE8" w:rsidP="00C40BE8">
            <w:pPr>
              <w:pStyle w:val="TAC"/>
            </w:pPr>
            <w:r w:rsidRPr="00F8474E">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81364E1" w14:textId="58426AFA" w:rsidR="00C40BE8" w:rsidRPr="00F8474E" w:rsidRDefault="00C40BE8" w:rsidP="00C40BE8">
            <w:pPr>
              <w:pStyle w:val="TAC"/>
            </w:pPr>
            <w:r w:rsidRPr="00F8474E">
              <w:t>-121.5</w:t>
            </w:r>
          </w:p>
        </w:tc>
        <w:tc>
          <w:tcPr>
            <w:tcW w:w="1275" w:type="dxa"/>
            <w:tcBorders>
              <w:top w:val="single" w:sz="4" w:space="0" w:color="auto"/>
              <w:left w:val="single" w:sz="4" w:space="0" w:color="auto"/>
              <w:bottom w:val="single" w:sz="4" w:space="0" w:color="auto"/>
              <w:right w:val="single" w:sz="4" w:space="0" w:color="auto"/>
            </w:tcBorders>
            <w:hideMark/>
          </w:tcPr>
          <w:p w14:paraId="7B11FB27" w14:textId="77777777" w:rsidR="00C40BE8" w:rsidRPr="00F8474E" w:rsidRDefault="00C40BE8" w:rsidP="00C40BE8">
            <w:pPr>
              <w:pStyle w:val="TAC"/>
            </w:pPr>
            <w:r w:rsidRPr="00F8474E">
              <w:rPr>
                <w:lang w:eastAsia="zh-CN"/>
              </w:rPr>
              <w:t>-50</w:t>
            </w:r>
          </w:p>
        </w:tc>
      </w:tr>
      <w:tr w:rsidR="00C40BE8" w:rsidRPr="00F8474E" w14:paraId="7D89FC28"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A0332BC"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17BE51B5"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B514672"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8087E5E"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78E4DF32"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7F537586" w14:textId="77777777" w:rsidR="00C40BE8" w:rsidRPr="00F8474E" w:rsidRDefault="00C40BE8" w:rsidP="00C40BE8">
            <w:pPr>
              <w:pStyle w:val="TAC"/>
            </w:pPr>
            <w:r w:rsidRPr="00F8474E">
              <w:rPr>
                <w:lang w:eastAsia="zh-CN"/>
              </w:rPr>
              <w:t>NR</w:t>
            </w:r>
            <w:r w:rsidRPr="00F8474E">
              <w:t>_</w:t>
            </w:r>
            <w:r w:rsidRPr="00F8474E">
              <w:rPr>
                <w:lang w:eastAsia="zh-CN"/>
              </w:rPr>
              <w:t>FDD_FR1_G</w:t>
            </w:r>
            <w:r w:rsidRPr="00C40BE8">
              <w:rPr>
                <w:lang w:eastAsia="zh-CN"/>
              </w:rPr>
              <w:t>, NR_TDD_FR1_G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09954" w14:textId="070ECB05" w:rsidR="00C40BE8" w:rsidRPr="00F8474E" w:rsidRDefault="00C40BE8" w:rsidP="00C40BE8">
            <w:pPr>
              <w:pStyle w:val="TAC"/>
            </w:pPr>
            <w:r w:rsidRPr="00F8474E">
              <w:t>-121</w:t>
            </w:r>
          </w:p>
        </w:tc>
        <w:tc>
          <w:tcPr>
            <w:tcW w:w="1275" w:type="dxa"/>
            <w:tcBorders>
              <w:top w:val="single" w:sz="4" w:space="0" w:color="auto"/>
              <w:left w:val="single" w:sz="4" w:space="0" w:color="auto"/>
              <w:bottom w:val="single" w:sz="4" w:space="0" w:color="auto"/>
              <w:right w:val="single" w:sz="4" w:space="0" w:color="auto"/>
            </w:tcBorders>
            <w:hideMark/>
          </w:tcPr>
          <w:p w14:paraId="40970AE6" w14:textId="77777777" w:rsidR="00C40BE8" w:rsidRPr="00F8474E" w:rsidRDefault="00C40BE8" w:rsidP="00C40BE8">
            <w:pPr>
              <w:pStyle w:val="TAC"/>
            </w:pPr>
            <w:r w:rsidRPr="00F8474E">
              <w:rPr>
                <w:lang w:eastAsia="zh-CN"/>
              </w:rPr>
              <w:t>-50</w:t>
            </w:r>
          </w:p>
        </w:tc>
      </w:tr>
      <w:tr w:rsidR="00C40BE8" w:rsidRPr="00F8474E" w14:paraId="0F99458B" w14:textId="77777777" w:rsidTr="00FA482E">
        <w:trPr>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19B8C3C"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375F9D75"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A286C2A"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BCA7F38"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127F59C5"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3AA3868D" w14:textId="77777777" w:rsidR="00C40BE8" w:rsidRPr="00F8474E" w:rsidRDefault="00C40BE8" w:rsidP="00C40BE8">
            <w:pPr>
              <w:pStyle w:val="TAC"/>
            </w:pPr>
            <w:r w:rsidRPr="00F8474E">
              <w:rPr>
                <w:lang w:eastAsia="zh-CN"/>
              </w:rPr>
              <w:t>NR</w:t>
            </w:r>
            <w:r w:rsidRPr="00F8474E">
              <w:t>_</w:t>
            </w:r>
            <w:r w:rsidRPr="00F8474E">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6D9A9A" w14:textId="5D8F3C42" w:rsidR="00C40BE8" w:rsidRPr="00F8474E" w:rsidRDefault="00C40BE8" w:rsidP="00C40BE8">
            <w:pPr>
              <w:pStyle w:val="TAC"/>
            </w:pPr>
            <w:r w:rsidRPr="00F8474E">
              <w:t>-120.5</w:t>
            </w:r>
          </w:p>
        </w:tc>
        <w:tc>
          <w:tcPr>
            <w:tcW w:w="1275" w:type="dxa"/>
            <w:tcBorders>
              <w:top w:val="single" w:sz="4" w:space="0" w:color="auto"/>
              <w:left w:val="single" w:sz="4" w:space="0" w:color="auto"/>
              <w:bottom w:val="single" w:sz="4" w:space="0" w:color="auto"/>
              <w:right w:val="single" w:sz="4" w:space="0" w:color="auto"/>
            </w:tcBorders>
            <w:hideMark/>
          </w:tcPr>
          <w:p w14:paraId="3DD0D572" w14:textId="77777777" w:rsidR="00C40BE8" w:rsidRPr="00F8474E" w:rsidRDefault="00C40BE8" w:rsidP="00C40BE8">
            <w:pPr>
              <w:pStyle w:val="TAC"/>
            </w:pPr>
            <w:r w:rsidRPr="00F8474E">
              <w:rPr>
                <w:lang w:eastAsia="zh-CN"/>
              </w:rPr>
              <w:t>-50</w:t>
            </w:r>
          </w:p>
        </w:tc>
      </w:tr>
      <w:tr w:rsidR="00C40BE8" w:rsidRPr="00F8474E" w14:paraId="6A1E0C75" w14:textId="77777777" w:rsidTr="00FA482E">
        <w:trPr>
          <w:jc w:val="center"/>
        </w:trPr>
        <w:tc>
          <w:tcPr>
            <w:tcW w:w="960" w:type="dxa"/>
            <w:tcBorders>
              <w:top w:val="single" w:sz="4" w:space="0" w:color="auto"/>
              <w:left w:val="single" w:sz="4" w:space="0" w:color="auto"/>
              <w:bottom w:val="single" w:sz="4" w:space="0" w:color="auto"/>
              <w:right w:val="single" w:sz="4" w:space="0" w:color="auto"/>
            </w:tcBorders>
            <w:hideMark/>
          </w:tcPr>
          <w:p w14:paraId="060D91C8" w14:textId="4AEE6C38" w:rsidR="00C40BE8" w:rsidRPr="00F8474E" w:rsidRDefault="00C40BE8" w:rsidP="00C40BE8">
            <w:pPr>
              <w:pStyle w:val="TAC"/>
              <w:rPr>
                <w:lang w:eastAsia="zh-CN"/>
              </w:rPr>
            </w:pPr>
            <w:r w:rsidRPr="00F8474E">
              <w:rPr>
                <w:lang w:eastAsia="zh-CN"/>
              </w:rPr>
              <w:t>48 +</w:t>
            </w:r>
            <w:r w:rsidRPr="00F8474E">
              <w:rPr>
                <w:rFonts w:ascii="SimSun" w:hAnsi="SimSun" w:hint="eastAsia"/>
                <w:lang w:eastAsia="zh-CN"/>
              </w:rPr>
              <w:t>Δ</w:t>
            </w: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519E668B"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4D0C7E0" w14:textId="77777777" w:rsidR="00C40BE8" w:rsidRPr="00F8474E" w:rsidRDefault="00C40BE8" w:rsidP="00C40BE8">
            <w:pPr>
              <w:pStyle w:val="TAC"/>
              <w:rPr>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890AD00" w14:textId="07E86F02" w:rsidR="00C40BE8" w:rsidRPr="00F8474E" w:rsidRDefault="00C40BE8" w:rsidP="00C40BE8">
            <w:pPr>
              <w:pStyle w:val="TAC"/>
              <w:rPr>
                <w:lang w:eastAsia="zh-CN"/>
              </w:rPr>
            </w:pPr>
            <w:r w:rsidRPr="00F8474E">
              <w:t>≥ 48</w:t>
            </w:r>
          </w:p>
        </w:tc>
        <w:tc>
          <w:tcPr>
            <w:tcW w:w="1367" w:type="dxa"/>
            <w:tcBorders>
              <w:top w:val="single" w:sz="4" w:space="0" w:color="auto"/>
              <w:left w:val="single" w:sz="4" w:space="0" w:color="auto"/>
              <w:bottom w:val="single" w:sz="4" w:space="0" w:color="auto"/>
              <w:right w:val="single" w:sz="4" w:space="0" w:color="auto"/>
            </w:tcBorders>
            <w:vAlign w:val="center"/>
            <w:hideMark/>
          </w:tcPr>
          <w:p w14:paraId="01499D90" w14:textId="7E6AB61C" w:rsidR="00C40BE8" w:rsidRPr="00F8474E" w:rsidRDefault="00C40BE8" w:rsidP="00C40BE8">
            <w:pPr>
              <w:pStyle w:val="TAC"/>
              <w:rPr>
                <w:lang w:eastAsia="zh-CN"/>
              </w:rPr>
            </w:pPr>
            <w:r w:rsidRPr="00F8474E">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002E5883" w14:textId="77777777" w:rsidR="00C40BE8" w:rsidRPr="00F8474E" w:rsidRDefault="00C40BE8" w:rsidP="00C40BE8">
            <w:pPr>
              <w:pStyle w:val="TAC"/>
              <w:rPr>
                <w:lang w:eastAsia="zh-CN"/>
              </w:rPr>
            </w:pPr>
            <w:r w:rsidRPr="00F8474E">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0639BD" w14:textId="77777777" w:rsidR="00C40BE8" w:rsidRPr="00F8474E" w:rsidRDefault="00C40BE8" w:rsidP="00C40BE8">
            <w:pPr>
              <w:pStyle w:val="TAC"/>
            </w:pPr>
            <w:r w:rsidRPr="00F8474E">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2E1C3B7" w14:textId="77777777" w:rsidR="00C40BE8" w:rsidRPr="00F8474E" w:rsidRDefault="00C40BE8" w:rsidP="00C40BE8">
            <w:pPr>
              <w:pStyle w:val="TAC"/>
              <w:rPr>
                <w:lang w:eastAsia="zh-CN"/>
              </w:rPr>
            </w:pPr>
            <w:r w:rsidRPr="00F8474E">
              <w:t>Note 6</w:t>
            </w:r>
          </w:p>
        </w:tc>
      </w:tr>
      <w:tr w:rsidR="00C40BE8" w:rsidRPr="00F8474E" w14:paraId="2678E1A8" w14:textId="77777777" w:rsidTr="00FA482E">
        <w:trPr>
          <w:jc w:val="center"/>
        </w:trPr>
        <w:tc>
          <w:tcPr>
            <w:tcW w:w="960" w:type="dxa"/>
            <w:tcBorders>
              <w:top w:val="single" w:sz="4" w:space="0" w:color="auto"/>
              <w:left w:val="single" w:sz="4" w:space="0" w:color="auto"/>
              <w:bottom w:val="single" w:sz="4" w:space="0" w:color="auto"/>
              <w:right w:val="single" w:sz="4" w:space="0" w:color="auto"/>
            </w:tcBorders>
            <w:hideMark/>
          </w:tcPr>
          <w:p w14:paraId="1DD0E190" w14:textId="50E4D085" w:rsidR="00C40BE8" w:rsidRPr="00F8474E" w:rsidRDefault="00C40BE8" w:rsidP="00C40BE8">
            <w:pPr>
              <w:pStyle w:val="TAC"/>
              <w:rPr>
                <w:lang w:eastAsia="zh-CN"/>
              </w:rPr>
            </w:pPr>
            <w:r w:rsidRPr="00F8474E">
              <w:rPr>
                <w:lang w:eastAsia="zh-CN"/>
              </w:rPr>
              <w:t>24 +</w:t>
            </w:r>
            <w:r w:rsidRPr="00F8474E">
              <w:rPr>
                <w:rFonts w:ascii="SimSun" w:hAnsi="SimSun" w:hint="eastAsia"/>
                <w:lang w:eastAsia="zh-CN"/>
              </w:rPr>
              <w:t>Δ</w:t>
            </w: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716A0ADB"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C2F6095" w14:textId="77777777" w:rsidR="00C40BE8" w:rsidRPr="00F8474E" w:rsidRDefault="00C40BE8" w:rsidP="00C40BE8">
            <w:pPr>
              <w:pStyle w:val="TAC"/>
              <w:rPr>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098F2B2" w14:textId="753064B5" w:rsidR="00C40BE8" w:rsidRPr="00F8474E" w:rsidRDefault="00C40BE8" w:rsidP="00C40BE8">
            <w:pPr>
              <w:pStyle w:val="TAC"/>
              <w:rPr>
                <w:lang w:eastAsia="zh-CN"/>
              </w:rPr>
            </w:pPr>
            <w:r w:rsidRPr="00F8474E">
              <w:t>≥ 132</w:t>
            </w:r>
          </w:p>
        </w:tc>
        <w:tc>
          <w:tcPr>
            <w:tcW w:w="1367" w:type="dxa"/>
            <w:tcBorders>
              <w:top w:val="single" w:sz="4" w:space="0" w:color="auto"/>
              <w:left w:val="single" w:sz="4" w:space="0" w:color="auto"/>
              <w:bottom w:val="single" w:sz="4" w:space="0" w:color="auto"/>
              <w:right w:val="single" w:sz="4" w:space="0" w:color="auto"/>
            </w:tcBorders>
            <w:vAlign w:val="center"/>
            <w:hideMark/>
          </w:tcPr>
          <w:p w14:paraId="56A363D7" w14:textId="46B589CD" w:rsidR="00C40BE8" w:rsidRPr="00F8474E" w:rsidRDefault="00C40BE8" w:rsidP="00C40BE8">
            <w:pPr>
              <w:pStyle w:val="TAC"/>
              <w:rPr>
                <w:lang w:eastAsia="zh-CN"/>
              </w:rPr>
            </w:pPr>
            <w:r w:rsidRPr="00F8474E">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553A0C64" w14:textId="77777777" w:rsidR="00C40BE8" w:rsidRPr="00F8474E" w:rsidRDefault="00C40BE8" w:rsidP="00C40BE8">
            <w:pPr>
              <w:pStyle w:val="TAC"/>
            </w:pPr>
            <w:r w:rsidRPr="00F8474E">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FA37A3" w14:textId="77777777" w:rsidR="00C40BE8" w:rsidRPr="00F8474E" w:rsidRDefault="00C40BE8" w:rsidP="00C40BE8">
            <w:pPr>
              <w:pStyle w:val="TAC"/>
            </w:pPr>
            <w:r w:rsidRPr="00F8474E">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03543DA" w14:textId="77777777" w:rsidR="00C40BE8" w:rsidRPr="00F8474E" w:rsidRDefault="00C40BE8" w:rsidP="00C40BE8">
            <w:pPr>
              <w:pStyle w:val="TAC"/>
            </w:pPr>
            <w:r w:rsidRPr="00F8474E">
              <w:t>Note 6</w:t>
            </w:r>
          </w:p>
        </w:tc>
      </w:tr>
      <w:tr w:rsidR="00C40BE8" w:rsidRPr="00F8474E" w14:paraId="1E8E812F" w14:textId="77777777" w:rsidTr="00FA482E">
        <w:trPr>
          <w:trHeight w:val="27"/>
          <w:jc w:val="center"/>
        </w:trPr>
        <w:tc>
          <w:tcPr>
            <w:tcW w:w="960" w:type="dxa"/>
            <w:vMerge w:val="restart"/>
            <w:tcBorders>
              <w:top w:val="single" w:sz="4" w:space="0" w:color="auto"/>
              <w:left w:val="single" w:sz="4" w:space="0" w:color="auto"/>
              <w:bottom w:val="single" w:sz="4" w:space="0" w:color="auto"/>
              <w:right w:val="single" w:sz="4" w:space="0" w:color="auto"/>
            </w:tcBorders>
          </w:tcPr>
          <w:p w14:paraId="0675AD3F" w14:textId="3496BA9B" w:rsidR="00C40BE8" w:rsidRPr="00F8474E" w:rsidRDefault="00C40BE8" w:rsidP="00C40BE8">
            <w:pPr>
              <w:pStyle w:val="TAC"/>
              <w:rPr>
                <w:lang w:eastAsia="zh-CN"/>
              </w:rPr>
            </w:pPr>
            <w:r w:rsidRPr="00F8474E">
              <w:rPr>
                <w:lang w:eastAsia="zh-CN"/>
              </w:rPr>
              <w:t>50 +</w:t>
            </w:r>
            <w:r w:rsidRPr="00F8474E">
              <w:rPr>
                <w:rFonts w:ascii="SimSun" w:hAnsi="SimSun" w:hint="eastAsia"/>
                <w:lang w:eastAsia="zh-CN"/>
              </w:rPr>
              <w:t>Δ</w:t>
            </w:r>
          </w:p>
          <w:p w14:paraId="6B83FABD"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41370EFC" w14:textId="77777777" w:rsidR="00C40BE8" w:rsidRPr="00F8474E" w:rsidRDefault="00C40BE8" w:rsidP="00C40BE8">
            <w:pPr>
              <w:pStyle w:val="TAC"/>
            </w:pP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7846A9CB" w14:textId="77777777" w:rsidR="00C40BE8" w:rsidRPr="00F8474E" w:rsidRDefault="00C40BE8" w:rsidP="00C40BE8">
            <w:pPr>
              <w:pStyle w:val="TAC"/>
              <w:rPr>
                <w:lang w:val="sv-SE" w:eastAsia="zh-CN"/>
              </w:rPr>
            </w:pPr>
            <w:r w:rsidRPr="00F8474E">
              <w:rPr>
                <w:lang w:val="sv-SE" w:eastAsia="zh-CN"/>
              </w:rPr>
              <w:t>60</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49ECBF31" w14:textId="267A17E3" w:rsidR="00C40BE8" w:rsidRPr="00F8474E" w:rsidRDefault="00C40BE8" w:rsidP="00C40BE8">
            <w:pPr>
              <w:pStyle w:val="TAC"/>
              <w:rPr>
                <w:lang w:eastAsia="zh-CN"/>
              </w:rPr>
            </w:pPr>
            <w:r w:rsidRPr="00F8474E">
              <w:t>≥24</w:t>
            </w:r>
          </w:p>
        </w:tc>
        <w:tc>
          <w:tcPr>
            <w:tcW w:w="1367" w:type="dxa"/>
            <w:vMerge w:val="restart"/>
            <w:tcBorders>
              <w:top w:val="single" w:sz="4" w:space="0" w:color="auto"/>
              <w:left w:val="single" w:sz="4" w:space="0" w:color="auto"/>
              <w:bottom w:val="single" w:sz="4" w:space="0" w:color="auto"/>
              <w:right w:val="single" w:sz="4" w:space="0" w:color="auto"/>
            </w:tcBorders>
            <w:vAlign w:val="center"/>
            <w:hideMark/>
          </w:tcPr>
          <w:p w14:paraId="1A6F8AC0" w14:textId="714C1E1E" w:rsidR="00C40BE8" w:rsidRPr="00F8474E" w:rsidRDefault="00C40BE8" w:rsidP="00C40BE8">
            <w:pPr>
              <w:pStyle w:val="TAC"/>
              <w:rPr>
                <w:lang w:eastAsia="zh-CN"/>
              </w:rPr>
            </w:pPr>
            <w:r w:rsidRPr="00F8474E">
              <w:t>≥ 4</w:t>
            </w:r>
          </w:p>
        </w:tc>
        <w:tc>
          <w:tcPr>
            <w:tcW w:w="2040" w:type="dxa"/>
            <w:tcBorders>
              <w:top w:val="single" w:sz="4" w:space="0" w:color="auto"/>
              <w:left w:val="single" w:sz="4" w:space="0" w:color="auto"/>
              <w:bottom w:val="single" w:sz="4" w:space="0" w:color="auto"/>
              <w:right w:val="single" w:sz="4" w:space="0" w:color="auto"/>
            </w:tcBorders>
            <w:vAlign w:val="center"/>
            <w:hideMark/>
          </w:tcPr>
          <w:p w14:paraId="442ABA52" w14:textId="77777777" w:rsidR="00C40BE8" w:rsidRPr="00F8474E" w:rsidRDefault="00C40BE8" w:rsidP="00C40BE8">
            <w:pPr>
              <w:pStyle w:val="TAC"/>
              <w:rPr>
                <w:szCs w:val="18"/>
              </w:rPr>
            </w:pPr>
            <w:r w:rsidRPr="00F8474E">
              <w:rPr>
                <w:szCs w:val="18"/>
              </w:rPr>
              <w:t>NR_FDD_FR1_A, NR_TDD_FR1_A,</w:t>
            </w:r>
          </w:p>
          <w:p w14:paraId="363ABC13" w14:textId="77777777" w:rsidR="00C40BE8" w:rsidRPr="00F8474E" w:rsidRDefault="00C40BE8" w:rsidP="00C40BE8">
            <w:pPr>
              <w:pStyle w:val="TAC"/>
            </w:pPr>
            <w:r w:rsidRPr="00F8474E">
              <w:rPr>
                <w:szCs w:val="18"/>
              </w:rPr>
              <w:t>NR_SDL_FR1_A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64DE80B" w14:textId="102C6122" w:rsidR="00C40BE8" w:rsidRPr="00F8474E" w:rsidRDefault="00C40BE8" w:rsidP="00C40BE8">
            <w:pPr>
              <w:pStyle w:val="TAC"/>
            </w:pPr>
            <w:r w:rsidRPr="00F8474E">
              <w:t>-121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5CB97E1" w14:textId="77777777" w:rsidR="00C40BE8" w:rsidRPr="00F8474E" w:rsidRDefault="00C40BE8" w:rsidP="00C40BE8">
            <w:pPr>
              <w:pStyle w:val="TAC"/>
            </w:pPr>
            <w:r w:rsidRPr="00F8474E">
              <w:rPr>
                <w:lang w:eastAsia="zh-CN"/>
              </w:rPr>
              <w:t>-50</w:t>
            </w:r>
          </w:p>
        </w:tc>
      </w:tr>
      <w:tr w:rsidR="00C40BE8" w:rsidRPr="00F8474E" w14:paraId="49E08A85" w14:textId="77777777" w:rsidTr="00FA482E">
        <w:trPr>
          <w:trHeight w:val="22"/>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BFEB805"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55E690C0"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94BF609"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22A7A68"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72A6B807"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00EED2FE" w14:textId="77777777" w:rsidR="00C40BE8" w:rsidRPr="00F8474E" w:rsidRDefault="00C40BE8" w:rsidP="00C40BE8">
            <w:pPr>
              <w:pStyle w:val="TAC"/>
            </w:pPr>
            <w:r w:rsidRPr="00F8474E">
              <w:t>NR_FDD_FR1_B</w:t>
            </w:r>
          </w:p>
        </w:tc>
        <w:tc>
          <w:tcPr>
            <w:tcW w:w="1134" w:type="dxa"/>
            <w:tcBorders>
              <w:top w:val="single" w:sz="4" w:space="0" w:color="auto"/>
              <w:left w:val="single" w:sz="4" w:space="0" w:color="auto"/>
              <w:bottom w:val="single" w:sz="4" w:space="0" w:color="auto"/>
              <w:right w:val="single" w:sz="4" w:space="0" w:color="auto"/>
            </w:tcBorders>
            <w:hideMark/>
          </w:tcPr>
          <w:p w14:paraId="652103DB" w14:textId="11970F20" w:rsidR="00C40BE8" w:rsidRPr="00F8474E" w:rsidRDefault="00C40BE8" w:rsidP="00C40BE8">
            <w:pPr>
              <w:pStyle w:val="TAC"/>
            </w:pPr>
            <w:r w:rsidRPr="00F8474E">
              <w:t>-120.5</w:t>
            </w:r>
          </w:p>
        </w:tc>
        <w:tc>
          <w:tcPr>
            <w:tcW w:w="1275" w:type="dxa"/>
            <w:tcBorders>
              <w:top w:val="single" w:sz="4" w:space="0" w:color="auto"/>
              <w:left w:val="single" w:sz="4" w:space="0" w:color="auto"/>
              <w:bottom w:val="single" w:sz="4" w:space="0" w:color="auto"/>
              <w:right w:val="single" w:sz="4" w:space="0" w:color="auto"/>
            </w:tcBorders>
            <w:hideMark/>
          </w:tcPr>
          <w:p w14:paraId="3E9DE17F" w14:textId="77777777" w:rsidR="00C40BE8" w:rsidRPr="00F8474E" w:rsidRDefault="00C40BE8" w:rsidP="00C40BE8">
            <w:pPr>
              <w:pStyle w:val="TAC"/>
            </w:pPr>
            <w:r w:rsidRPr="00F8474E">
              <w:rPr>
                <w:lang w:eastAsia="zh-CN"/>
              </w:rPr>
              <w:t>-50</w:t>
            </w:r>
          </w:p>
        </w:tc>
      </w:tr>
      <w:tr w:rsidR="00C40BE8" w:rsidRPr="00F8474E" w14:paraId="294DE592" w14:textId="77777777" w:rsidTr="00FA482E">
        <w:trPr>
          <w:trHeight w:val="22"/>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62EF1CC"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11FF0504"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F701F20"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B670311"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09ED6125"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72B4843B" w14:textId="77777777" w:rsidR="00C40BE8" w:rsidRPr="00F8474E" w:rsidRDefault="00C40BE8" w:rsidP="00C40BE8">
            <w:pPr>
              <w:pStyle w:val="TAC"/>
            </w:pPr>
            <w:r w:rsidRPr="00F8474E">
              <w:t>NR_TDD_FR1_C</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241C9B1" w14:textId="6B2BF3D2" w:rsidR="00C40BE8" w:rsidRPr="00F8474E" w:rsidRDefault="00C40BE8" w:rsidP="00C40BE8">
            <w:pPr>
              <w:pStyle w:val="TAC"/>
            </w:pPr>
            <w:r w:rsidRPr="00F8474E">
              <w:t>-120</w:t>
            </w:r>
          </w:p>
        </w:tc>
        <w:tc>
          <w:tcPr>
            <w:tcW w:w="1275" w:type="dxa"/>
            <w:tcBorders>
              <w:top w:val="single" w:sz="4" w:space="0" w:color="auto"/>
              <w:left w:val="single" w:sz="4" w:space="0" w:color="auto"/>
              <w:bottom w:val="single" w:sz="4" w:space="0" w:color="auto"/>
              <w:right w:val="single" w:sz="4" w:space="0" w:color="auto"/>
            </w:tcBorders>
            <w:hideMark/>
          </w:tcPr>
          <w:p w14:paraId="00E34154" w14:textId="77777777" w:rsidR="00C40BE8" w:rsidRPr="00F8474E" w:rsidRDefault="00C40BE8" w:rsidP="00C40BE8">
            <w:pPr>
              <w:pStyle w:val="TAC"/>
            </w:pPr>
            <w:r w:rsidRPr="00F8474E">
              <w:rPr>
                <w:lang w:eastAsia="zh-CN"/>
              </w:rPr>
              <w:t>-50</w:t>
            </w:r>
          </w:p>
        </w:tc>
      </w:tr>
      <w:tr w:rsidR="00C40BE8" w:rsidRPr="00F8474E" w14:paraId="2FBEE0D7" w14:textId="77777777" w:rsidTr="00FA482E">
        <w:trPr>
          <w:trHeight w:val="22"/>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C6CD268"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65D09FE1"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F9276DC"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0E69850"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296DE5FE"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781D0C33" w14:textId="77777777" w:rsidR="00C40BE8" w:rsidRPr="00F8474E" w:rsidRDefault="00C40BE8" w:rsidP="00C40BE8">
            <w:pPr>
              <w:pStyle w:val="TAC"/>
              <w:rPr>
                <w:lang w:val="sv-SE"/>
              </w:rPr>
            </w:pPr>
            <w:r w:rsidRPr="00F8474E">
              <w:rPr>
                <w:lang w:val="sv-SE"/>
              </w:rPr>
              <w:t>NR_FDD_FR1_D, NR_TDD_FR1_D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69FE73" w14:textId="1035BE25" w:rsidR="00C40BE8" w:rsidRPr="00F8474E" w:rsidRDefault="00C40BE8" w:rsidP="00C40BE8">
            <w:pPr>
              <w:pStyle w:val="TAC"/>
            </w:pPr>
            <w:r w:rsidRPr="00F8474E">
              <w:t>-119.5</w:t>
            </w:r>
          </w:p>
        </w:tc>
        <w:tc>
          <w:tcPr>
            <w:tcW w:w="1275" w:type="dxa"/>
            <w:tcBorders>
              <w:top w:val="single" w:sz="4" w:space="0" w:color="auto"/>
              <w:left w:val="single" w:sz="4" w:space="0" w:color="auto"/>
              <w:bottom w:val="single" w:sz="4" w:space="0" w:color="auto"/>
              <w:right w:val="single" w:sz="4" w:space="0" w:color="auto"/>
            </w:tcBorders>
            <w:hideMark/>
          </w:tcPr>
          <w:p w14:paraId="36532BAA" w14:textId="77777777" w:rsidR="00C40BE8" w:rsidRPr="00F8474E" w:rsidRDefault="00C40BE8" w:rsidP="00C40BE8">
            <w:pPr>
              <w:pStyle w:val="TAC"/>
            </w:pPr>
            <w:r w:rsidRPr="00F8474E">
              <w:rPr>
                <w:lang w:eastAsia="zh-CN"/>
              </w:rPr>
              <w:t>-50</w:t>
            </w:r>
          </w:p>
        </w:tc>
      </w:tr>
      <w:tr w:rsidR="00C40BE8" w:rsidRPr="00F8474E" w14:paraId="1DF9E0AB" w14:textId="77777777" w:rsidTr="00FA482E">
        <w:trPr>
          <w:trHeight w:val="22"/>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8C467E7"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31D2F3EB"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4E44089"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38C8A28"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019CF7D4"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7DDC2494" w14:textId="77777777" w:rsidR="00C40BE8" w:rsidRPr="00F8474E" w:rsidRDefault="00C40BE8" w:rsidP="00C40BE8">
            <w:pPr>
              <w:pStyle w:val="TAC"/>
              <w:rPr>
                <w:lang w:val="sv-SE"/>
              </w:rPr>
            </w:pPr>
            <w:r w:rsidRPr="00F8474E">
              <w:rPr>
                <w:lang w:val="sv-SE"/>
              </w:rPr>
              <w:t>NR_FDD_FR1_E, NR_TDD_FR1_E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1743430" w14:textId="78CC58D8" w:rsidR="00C40BE8" w:rsidRPr="00F8474E" w:rsidRDefault="00C40BE8" w:rsidP="00C40BE8">
            <w:pPr>
              <w:pStyle w:val="TAC"/>
            </w:pPr>
            <w:r w:rsidRPr="00F8474E">
              <w:t>-119</w:t>
            </w:r>
          </w:p>
        </w:tc>
        <w:tc>
          <w:tcPr>
            <w:tcW w:w="1275" w:type="dxa"/>
            <w:tcBorders>
              <w:top w:val="single" w:sz="4" w:space="0" w:color="auto"/>
              <w:left w:val="single" w:sz="4" w:space="0" w:color="auto"/>
              <w:bottom w:val="single" w:sz="4" w:space="0" w:color="auto"/>
              <w:right w:val="single" w:sz="4" w:space="0" w:color="auto"/>
            </w:tcBorders>
            <w:hideMark/>
          </w:tcPr>
          <w:p w14:paraId="6202BC2C" w14:textId="77777777" w:rsidR="00C40BE8" w:rsidRPr="00F8474E" w:rsidRDefault="00C40BE8" w:rsidP="00C40BE8">
            <w:pPr>
              <w:pStyle w:val="TAC"/>
            </w:pPr>
            <w:r w:rsidRPr="00F8474E">
              <w:rPr>
                <w:lang w:eastAsia="zh-CN"/>
              </w:rPr>
              <w:t>-50</w:t>
            </w:r>
          </w:p>
        </w:tc>
      </w:tr>
      <w:tr w:rsidR="00C40BE8" w:rsidRPr="00F8474E" w14:paraId="0B4B0946" w14:textId="77777777" w:rsidTr="00FA482E">
        <w:trPr>
          <w:trHeight w:val="22"/>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62CC8A8"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4F1A81EA"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6F6C047"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33B4E92"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1541E44C"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1BE0065D" w14:textId="77777777" w:rsidR="00C40BE8" w:rsidRPr="00F8474E" w:rsidRDefault="00C40BE8" w:rsidP="00C40BE8">
            <w:pPr>
              <w:pStyle w:val="TAC"/>
            </w:pPr>
            <w:r w:rsidRPr="00F8474E">
              <w:rPr>
                <w:lang w:eastAsia="zh-CN"/>
              </w:rPr>
              <w:t>NR_FDD_FR1_F</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60E497" w14:textId="52795AA4" w:rsidR="00C40BE8" w:rsidRPr="00F8474E" w:rsidRDefault="00C40BE8" w:rsidP="00C40BE8">
            <w:pPr>
              <w:pStyle w:val="TAC"/>
            </w:pPr>
            <w:r w:rsidRPr="00F8474E">
              <w:t>-118.5</w:t>
            </w:r>
          </w:p>
        </w:tc>
        <w:tc>
          <w:tcPr>
            <w:tcW w:w="1275" w:type="dxa"/>
            <w:tcBorders>
              <w:top w:val="single" w:sz="4" w:space="0" w:color="auto"/>
              <w:left w:val="single" w:sz="4" w:space="0" w:color="auto"/>
              <w:bottom w:val="single" w:sz="4" w:space="0" w:color="auto"/>
              <w:right w:val="single" w:sz="4" w:space="0" w:color="auto"/>
            </w:tcBorders>
            <w:hideMark/>
          </w:tcPr>
          <w:p w14:paraId="2C2E67A6" w14:textId="77777777" w:rsidR="00C40BE8" w:rsidRPr="00F8474E" w:rsidRDefault="00C40BE8" w:rsidP="00C40BE8">
            <w:pPr>
              <w:pStyle w:val="TAC"/>
            </w:pPr>
            <w:r w:rsidRPr="00F8474E">
              <w:rPr>
                <w:lang w:eastAsia="zh-CN"/>
              </w:rPr>
              <w:t>-50</w:t>
            </w:r>
          </w:p>
        </w:tc>
      </w:tr>
      <w:tr w:rsidR="00C40BE8" w:rsidRPr="00F8474E" w14:paraId="5415B8C7" w14:textId="77777777" w:rsidTr="00FA482E">
        <w:trPr>
          <w:trHeight w:val="22"/>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8AF7E39"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5F8A2899"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24451E5"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2068FA4"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70C14B0F"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42697F67" w14:textId="77777777" w:rsidR="00C40BE8" w:rsidRPr="00F8474E" w:rsidRDefault="00C40BE8" w:rsidP="00C40BE8">
            <w:pPr>
              <w:pStyle w:val="TAC"/>
            </w:pPr>
            <w:r w:rsidRPr="00F8474E">
              <w:rPr>
                <w:lang w:eastAsia="zh-CN"/>
              </w:rPr>
              <w:t>NR</w:t>
            </w:r>
            <w:r w:rsidRPr="00F8474E">
              <w:t>_</w:t>
            </w:r>
            <w:r w:rsidRPr="00F8474E">
              <w:rPr>
                <w:lang w:eastAsia="zh-CN"/>
              </w:rPr>
              <w:t>FDD_FR1_G, NR_TDD_FR1_G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495D1F" w14:textId="14972F4E" w:rsidR="00C40BE8" w:rsidRPr="00F8474E" w:rsidRDefault="00C40BE8" w:rsidP="00C40BE8">
            <w:pPr>
              <w:pStyle w:val="TAC"/>
            </w:pPr>
            <w:r w:rsidRPr="00F8474E">
              <w:t>-118</w:t>
            </w:r>
          </w:p>
        </w:tc>
        <w:tc>
          <w:tcPr>
            <w:tcW w:w="1275" w:type="dxa"/>
            <w:tcBorders>
              <w:top w:val="single" w:sz="4" w:space="0" w:color="auto"/>
              <w:left w:val="single" w:sz="4" w:space="0" w:color="auto"/>
              <w:bottom w:val="single" w:sz="4" w:space="0" w:color="auto"/>
              <w:right w:val="single" w:sz="4" w:space="0" w:color="auto"/>
            </w:tcBorders>
            <w:hideMark/>
          </w:tcPr>
          <w:p w14:paraId="6D864BC5" w14:textId="77777777" w:rsidR="00C40BE8" w:rsidRPr="00F8474E" w:rsidRDefault="00C40BE8" w:rsidP="00C40BE8">
            <w:pPr>
              <w:pStyle w:val="TAC"/>
            </w:pPr>
            <w:r w:rsidRPr="00F8474E">
              <w:rPr>
                <w:lang w:eastAsia="zh-CN"/>
              </w:rPr>
              <w:t>-50</w:t>
            </w:r>
          </w:p>
        </w:tc>
      </w:tr>
      <w:tr w:rsidR="00C40BE8" w:rsidRPr="00F8474E" w14:paraId="3DC87A9A" w14:textId="77777777" w:rsidTr="00FA482E">
        <w:trPr>
          <w:trHeight w:val="22"/>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05EA001" w14:textId="77777777" w:rsidR="00C40BE8" w:rsidRPr="00F8474E" w:rsidRDefault="00C40BE8" w:rsidP="00C40BE8">
            <w:pPr>
              <w:pStyle w:val="TAC"/>
              <w:rPr>
                <w:lang w:eastAsia="zh-CN"/>
              </w:rPr>
            </w:pP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292D2DEA"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54744E5" w14:textId="77777777" w:rsidR="00C40BE8" w:rsidRPr="00F8474E" w:rsidRDefault="00C40BE8" w:rsidP="00C40BE8">
            <w:pPr>
              <w:pStyle w:val="TAC"/>
              <w:rPr>
                <w:lang w:val="sv-SE"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A2AEBB1" w14:textId="77777777" w:rsidR="00C40BE8" w:rsidRPr="00F8474E" w:rsidRDefault="00C40BE8" w:rsidP="00C40BE8">
            <w:pPr>
              <w:pStyle w:val="TAC"/>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3BA0D1B9" w14:textId="77777777" w:rsidR="00C40BE8" w:rsidRPr="00F8474E" w:rsidRDefault="00C40BE8" w:rsidP="00C40BE8">
            <w:pPr>
              <w:pStyle w:val="TAC"/>
            </w:pPr>
          </w:p>
        </w:tc>
        <w:tc>
          <w:tcPr>
            <w:tcW w:w="2040" w:type="dxa"/>
            <w:tcBorders>
              <w:top w:val="single" w:sz="4" w:space="0" w:color="auto"/>
              <w:left w:val="single" w:sz="4" w:space="0" w:color="auto"/>
              <w:bottom w:val="single" w:sz="4" w:space="0" w:color="auto"/>
              <w:right w:val="single" w:sz="4" w:space="0" w:color="auto"/>
            </w:tcBorders>
            <w:vAlign w:val="center"/>
            <w:hideMark/>
          </w:tcPr>
          <w:p w14:paraId="239A79AE" w14:textId="77777777" w:rsidR="00C40BE8" w:rsidRPr="00F8474E" w:rsidRDefault="00C40BE8" w:rsidP="00C40BE8">
            <w:pPr>
              <w:pStyle w:val="TAC"/>
              <w:rPr>
                <w:lang w:eastAsia="zh-CN"/>
              </w:rPr>
            </w:pPr>
            <w:r w:rsidRPr="00F8474E">
              <w:rPr>
                <w:lang w:eastAsia="zh-CN"/>
              </w:rPr>
              <w:t>NR</w:t>
            </w:r>
            <w:r w:rsidRPr="00F8474E">
              <w:t>_</w:t>
            </w:r>
            <w:r w:rsidRPr="00F8474E">
              <w:rPr>
                <w:lang w:eastAsia="zh-CN"/>
              </w:rPr>
              <w:t>FDD_FR1_H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83AC905" w14:textId="06FE8221" w:rsidR="00C40BE8" w:rsidRPr="00F8474E" w:rsidRDefault="00C40BE8" w:rsidP="00C40BE8">
            <w:pPr>
              <w:pStyle w:val="TAC"/>
            </w:pPr>
            <w:r w:rsidRPr="00F8474E">
              <w:t>-117.5</w:t>
            </w:r>
          </w:p>
        </w:tc>
        <w:tc>
          <w:tcPr>
            <w:tcW w:w="1275" w:type="dxa"/>
            <w:tcBorders>
              <w:top w:val="single" w:sz="4" w:space="0" w:color="auto"/>
              <w:left w:val="single" w:sz="4" w:space="0" w:color="auto"/>
              <w:bottom w:val="single" w:sz="4" w:space="0" w:color="auto"/>
              <w:right w:val="single" w:sz="4" w:space="0" w:color="auto"/>
            </w:tcBorders>
            <w:hideMark/>
          </w:tcPr>
          <w:p w14:paraId="023EC998" w14:textId="77777777" w:rsidR="00C40BE8" w:rsidRPr="00F8474E" w:rsidRDefault="00C40BE8" w:rsidP="00C40BE8">
            <w:pPr>
              <w:pStyle w:val="TAC"/>
              <w:rPr>
                <w:lang w:eastAsia="zh-CN"/>
              </w:rPr>
            </w:pPr>
            <w:r w:rsidRPr="00F8474E">
              <w:rPr>
                <w:lang w:eastAsia="zh-CN"/>
              </w:rPr>
              <w:t>-50</w:t>
            </w:r>
          </w:p>
        </w:tc>
      </w:tr>
      <w:tr w:rsidR="00C40BE8" w:rsidRPr="00F8474E" w14:paraId="46666DA8" w14:textId="77777777" w:rsidTr="00FA482E">
        <w:trPr>
          <w:jc w:val="center"/>
        </w:trPr>
        <w:tc>
          <w:tcPr>
            <w:tcW w:w="960" w:type="dxa"/>
            <w:tcBorders>
              <w:top w:val="single" w:sz="4" w:space="0" w:color="auto"/>
              <w:left w:val="single" w:sz="4" w:space="0" w:color="auto"/>
              <w:bottom w:val="single" w:sz="4" w:space="0" w:color="auto"/>
              <w:right w:val="single" w:sz="4" w:space="0" w:color="auto"/>
            </w:tcBorders>
            <w:hideMark/>
          </w:tcPr>
          <w:p w14:paraId="4F142A22" w14:textId="720FDBAC" w:rsidR="00C40BE8" w:rsidRPr="00F8474E" w:rsidRDefault="00C40BE8" w:rsidP="00C40BE8">
            <w:pPr>
              <w:pStyle w:val="TAC"/>
              <w:rPr>
                <w:lang w:eastAsia="zh-CN"/>
              </w:rPr>
            </w:pPr>
            <w:r w:rsidRPr="00F8474E">
              <w:rPr>
                <w:lang w:eastAsia="zh-CN"/>
              </w:rPr>
              <w:t>24 +</w:t>
            </w:r>
            <w:r w:rsidRPr="00F8474E">
              <w:rPr>
                <w:rFonts w:ascii="SimSun" w:hAnsi="SimSun" w:hint="eastAsia"/>
                <w:lang w:eastAsia="zh-CN"/>
              </w:rPr>
              <w:t>Δ</w:t>
            </w: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53A13012"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9BDF495" w14:textId="77777777" w:rsidR="00C40BE8" w:rsidRPr="00F8474E" w:rsidRDefault="00C40BE8" w:rsidP="00C40BE8">
            <w:pPr>
              <w:pStyle w:val="TAC"/>
              <w:rPr>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75CF45C" w14:textId="62C0074D" w:rsidR="00C40BE8" w:rsidRPr="00F8474E" w:rsidRDefault="00C40BE8" w:rsidP="00C40BE8">
            <w:pPr>
              <w:pStyle w:val="TAC"/>
              <w:rPr>
                <w:lang w:eastAsia="zh-CN"/>
              </w:rPr>
            </w:pPr>
            <w:r w:rsidRPr="00F8474E">
              <w:t>≥ 64</w:t>
            </w:r>
          </w:p>
        </w:tc>
        <w:tc>
          <w:tcPr>
            <w:tcW w:w="1367" w:type="dxa"/>
            <w:tcBorders>
              <w:top w:val="single" w:sz="4" w:space="0" w:color="auto"/>
              <w:left w:val="single" w:sz="4" w:space="0" w:color="auto"/>
              <w:bottom w:val="single" w:sz="4" w:space="0" w:color="auto"/>
              <w:right w:val="single" w:sz="4" w:space="0" w:color="auto"/>
            </w:tcBorders>
            <w:vAlign w:val="center"/>
            <w:hideMark/>
          </w:tcPr>
          <w:p w14:paraId="04174D69" w14:textId="1CC963C6" w:rsidR="00C40BE8" w:rsidRPr="00F8474E" w:rsidRDefault="00C40BE8" w:rsidP="00C40BE8">
            <w:pPr>
              <w:pStyle w:val="TAC"/>
              <w:rPr>
                <w:lang w:eastAsia="zh-CN"/>
              </w:rPr>
            </w:pPr>
            <w:r w:rsidRPr="00F8474E">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0D015C69" w14:textId="77777777" w:rsidR="00C40BE8" w:rsidRPr="00F8474E" w:rsidRDefault="00C40BE8" w:rsidP="00C40BE8">
            <w:pPr>
              <w:pStyle w:val="TAC"/>
            </w:pPr>
            <w:r w:rsidRPr="00F8474E">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842E284" w14:textId="77777777" w:rsidR="00C40BE8" w:rsidRPr="00F8474E" w:rsidRDefault="00C40BE8" w:rsidP="00C40BE8">
            <w:pPr>
              <w:pStyle w:val="TAC"/>
            </w:pPr>
            <w:r w:rsidRPr="00F8474E">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8F8A88A" w14:textId="77777777" w:rsidR="00C40BE8" w:rsidRPr="00F8474E" w:rsidRDefault="00C40BE8" w:rsidP="00C40BE8">
            <w:pPr>
              <w:pStyle w:val="TAC"/>
            </w:pPr>
            <w:r w:rsidRPr="00F8474E">
              <w:t>Note 6</w:t>
            </w:r>
          </w:p>
        </w:tc>
      </w:tr>
      <w:tr w:rsidR="00C40BE8" w:rsidRPr="00F8474E" w14:paraId="67E5A785" w14:textId="77777777" w:rsidTr="00FA482E">
        <w:trPr>
          <w:jc w:val="center"/>
        </w:trPr>
        <w:tc>
          <w:tcPr>
            <w:tcW w:w="960" w:type="dxa"/>
            <w:tcBorders>
              <w:top w:val="single" w:sz="4" w:space="0" w:color="auto"/>
              <w:left w:val="single" w:sz="4" w:space="0" w:color="auto"/>
              <w:bottom w:val="single" w:sz="4" w:space="0" w:color="auto"/>
              <w:right w:val="single" w:sz="4" w:space="0" w:color="auto"/>
            </w:tcBorders>
            <w:hideMark/>
          </w:tcPr>
          <w:p w14:paraId="6289905C" w14:textId="6C123FF2" w:rsidR="00C40BE8" w:rsidRPr="00F8474E" w:rsidRDefault="00C40BE8" w:rsidP="00C40BE8">
            <w:pPr>
              <w:pStyle w:val="TAC"/>
              <w:rPr>
                <w:lang w:eastAsia="zh-CN"/>
              </w:rPr>
            </w:pPr>
            <w:r w:rsidRPr="00F8474E">
              <w:rPr>
                <w:lang w:eastAsia="zh-CN"/>
              </w:rPr>
              <w:t>10 +</w:t>
            </w:r>
            <w:r w:rsidRPr="00F8474E">
              <w:rPr>
                <w:rFonts w:ascii="SimSun" w:hAnsi="SimSun" w:hint="eastAsia"/>
                <w:lang w:eastAsia="zh-CN"/>
              </w:rPr>
              <w:t>Δ</w:t>
            </w:r>
          </w:p>
        </w:tc>
        <w:tc>
          <w:tcPr>
            <w:tcW w:w="1163" w:type="dxa"/>
            <w:vMerge/>
            <w:tcBorders>
              <w:top w:val="single" w:sz="4" w:space="0" w:color="auto"/>
              <w:left w:val="single" w:sz="4" w:space="0" w:color="auto"/>
              <w:bottom w:val="single" w:sz="4" w:space="0" w:color="auto"/>
              <w:right w:val="single" w:sz="4" w:space="0" w:color="auto"/>
            </w:tcBorders>
            <w:vAlign w:val="center"/>
            <w:hideMark/>
          </w:tcPr>
          <w:p w14:paraId="5273FA74" w14:textId="77777777" w:rsidR="00C40BE8" w:rsidRPr="00F8474E" w:rsidRDefault="00C40BE8" w:rsidP="00C40BE8">
            <w:pPr>
              <w:pStyle w:val="TAC"/>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65C1699" w14:textId="77777777" w:rsidR="00C40BE8" w:rsidRPr="00F8474E" w:rsidRDefault="00C40BE8" w:rsidP="00C40BE8">
            <w:pPr>
              <w:pStyle w:val="TAC"/>
              <w:rPr>
                <w:lang w:val="sv-SE" w:eastAsia="zh-CN"/>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DBB8FB" w14:textId="1EF40683" w:rsidR="00C40BE8" w:rsidRPr="00F8474E" w:rsidRDefault="00C40BE8" w:rsidP="00C40BE8">
            <w:pPr>
              <w:pStyle w:val="TAC"/>
              <w:rPr>
                <w:lang w:eastAsia="zh-CN"/>
              </w:rPr>
            </w:pPr>
            <w:r w:rsidRPr="00F8474E">
              <w:t>≥ 132</w:t>
            </w:r>
          </w:p>
        </w:tc>
        <w:tc>
          <w:tcPr>
            <w:tcW w:w="1367" w:type="dxa"/>
            <w:tcBorders>
              <w:top w:val="single" w:sz="4" w:space="0" w:color="auto"/>
              <w:left w:val="single" w:sz="4" w:space="0" w:color="auto"/>
              <w:bottom w:val="single" w:sz="4" w:space="0" w:color="auto"/>
              <w:right w:val="single" w:sz="4" w:space="0" w:color="auto"/>
            </w:tcBorders>
            <w:vAlign w:val="center"/>
            <w:hideMark/>
          </w:tcPr>
          <w:p w14:paraId="6954675F" w14:textId="338F880C" w:rsidR="00C40BE8" w:rsidRPr="00F8474E" w:rsidRDefault="00C40BE8" w:rsidP="00C40BE8">
            <w:pPr>
              <w:pStyle w:val="TAC"/>
              <w:rPr>
                <w:lang w:eastAsia="zh-CN"/>
              </w:rPr>
            </w:pPr>
            <w:r w:rsidRPr="00F8474E">
              <w:t>≥ 1</w:t>
            </w:r>
          </w:p>
        </w:tc>
        <w:tc>
          <w:tcPr>
            <w:tcW w:w="2040" w:type="dxa"/>
            <w:tcBorders>
              <w:top w:val="single" w:sz="4" w:space="0" w:color="auto"/>
              <w:left w:val="single" w:sz="4" w:space="0" w:color="auto"/>
              <w:bottom w:val="single" w:sz="4" w:space="0" w:color="auto"/>
              <w:right w:val="single" w:sz="4" w:space="0" w:color="auto"/>
            </w:tcBorders>
            <w:vAlign w:val="center"/>
            <w:hideMark/>
          </w:tcPr>
          <w:p w14:paraId="660EA0D2" w14:textId="77777777" w:rsidR="00C40BE8" w:rsidRPr="00F8474E" w:rsidRDefault="00C40BE8" w:rsidP="00C40BE8">
            <w:pPr>
              <w:pStyle w:val="TAC"/>
            </w:pPr>
            <w:r w:rsidRPr="00F8474E">
              <w:t>Note 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3C750D" w14:textId="77777777" w:rsidR="00C40BE8" w:rsidRPr="00F8474E" w:rsidRDefault="00C40BE8" w:rsidP="00C40BE8">
            <w:pPr>
              <w:pStyle w:val="TAC"/>
            </w:pPr>
            <w:r w:rsidRPr="00F8474E">
              <w:t>Note 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C63489D" w14:textId="77777777" w:rsidR="00C40BE8" w:rsidRPr="00F8474E" w:rsidRDefault="00C40BE8" w:rsidP="00C40BE8">
            <w:pPr>
              <w:pStyle w:val="TAC"/>
            </w:pPr>
            <w:r w:rsidRPr="00F8474E">
              <w:t>Note 6</w:t>
            </w:r>
          </w:p>
        </w:tc>
      </w:tr>
      <w:tr w:rsidR="00C40BE8" w:rsidRPr="00F8474E" w14:paraId="1240EC51" w14:textId="77777777" w:rsidTr="00FA482E">
        <w:trPr>
          <w:jc w:val="center"/>
        </w:trPr>
        <w:tc>
          <w:tcPr>
            <w:tcW w:w="10065" w:type="dxa"/>
            <w:gridSpan w:val="8"/>
            <w:tcBorders>
              <w:top w:val="single" w:sz="4" w:space="0" w:color="auto"/>
              <w:left w:val="single" w:sz="4" w:space="0" w:color="auto"/>
              <w:bottom w:val="single" w:sz="4" w:space="0" w:color="auto"/>
              <w:right w:val="single" w:sz="4" w:space="0" w:color="auto"/>
            </w:tcBorders>
            <w:vAlign w:val="center"/>
            <w:hideMark/>
          </w:tcPr>
          <w:p w14:paraId="70587626" w14:textId="77777777" w:rsidR="00C40BE8" w:rsidRPr="00F8474E" w:rsidRDefault="00C40BE8" w:rsidP="00C40BE8">
            <w:pPr>
              <w:pStyle w:val="TAN"/>
            </w:pPr>
            <w:r w:rsidRPr="00F8474E">
              <w:t>NOTE 1:</w:t>
            </w:r>
            <w:r w:rsidRPr="00F8474E">
              <w:tab/>
              <w:t>Minimum PRS bandwidth, which is minimum of the PRS bandwidths of resource j and resource i.</w:t>
            </w:r>
          </w:p>
          <w:p w14:paraId="0CB99209" w14:textId="77777777" w:rsidR="00C40BE8" w:rsidRPr="00F8474E" w:rsidRDefault="00C40BE8" w:rsidP="00C40BE8">
            <w:pPr>
              <w:pStyle w:val="TAN"/>
              <w:rPr>
                <w:iCs/>
                <w:szCs w:val="18"/>
                <w:lang w:val="en-US" w:eastAsia="zh-CN"/>
              </w:rPr>
            </w:pPr>
            <w:r w:rsidRPr="00F8474E">
              <w:t xml:space="preserve">NOTE 2: </w:t>
            </w:r>
            <w:r w:rsidRPr="00F8474E">
              <w:tab/>
              <w:t xml:space="preserve">Minimum number of PRS resource repetitions among resource j and resource i. </w:t>
            </w:r>
            <m:oMath>
              <m:sSubSup>
                <m:sSubSupPr>
                  <m:ctrlPr>
                    <w:rPr>
                      <w:rFonts w:ascii="Cambria Math" w:hAnsi="Cambria Math"/>
                      <w:i/>
                    </w:rPr>
                  </m:ctrlPr>
                </m:sSubSupPr>
                <m:e>
                  <m:r>
                    <w:rPr>
                      <w:rFonts w:ascii="Cambria Math" w:hAnsi="Cambria Math"/>
                    </w:rPr>
                    <m:t>T</m:t>
                  </m:r>
                </m:e>
                <m:sub>
                  <m:r>
                    <m:rPr>
                      <m:sty m:val="p"/>
                    </m:rPr>
                    <w:rPr>
                      <w:rFonts w:ascii="Cambria Math" w:hAnsi="Cambria Math"/>
                    </w:rPr>
                    <m:t>rep</m:t>
                  </m:r>
                </m:sub>
                <m:sup>
                  <m:r>
                    <m:rPr>
                      <m:sty m:val="p"/>
                    </m:rPr>
                    <w:rPr>
                      <w:rFonts w:ascii="Cambria Math" w:hAnsi="Cambria Math"/>
                    </w:rPr>
                    <m:t>PRS</m:t>
                  </m:r>
                </m:sup>
              </m:sSubSup>
              <m: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PRS</m:t>
                  </m:r>
                </m:sub>
              </m:sSub>
              <m:r>
                <w:rPr>
                  <w:rFonts w:ascii="Cambria Math" w:hAnsi="Cambria Math"/>
                </w:rPr>
                <m:t xml:space="preserve"> ,</m:t>
              </m:r>
              <m:sSubSup>
                <m:sSubSupPr>
                  <m:ctrlPr>
                    <w:rPr>
                      <w:rFonts w:ascii="Cambria Math" w:hAnsi="Cambria Math"/>
                      <w:i/>
                    </w:rPr>
                  </m:ctrlPr>
                </m:sSubSupPr>
                <m:e>
                  <m:r>
                    <w:rPr>
                      <w:rFonts w:ascii="Cambria Math" w:hAnsi="Cambria Math"/>
                    </w:rPr>
                    <m:t>K</m:t>
                  </m:r>
                </m:e>
                <m:sub>
                  <m:r>
                    <m:rPr>
                      <m:sty m:val="p"/>
                    </m:rPr>
                    <w:rPr>
                      <w:rFonts w:ascii="Cambria Math" w:hAnsi="Cambria Math"/>
                    </w:rPr>
                    <m:t>comb</m:t>
                  </m:r>
                </m:sub>
                <m:sup>
                  <m:r>
                    <m:rPr>
                      <m:sty m:val="p"/>
                    </m:rPr>
                    <w:rPr>
                      <w:rFonts w:ascii="Cambria Math" w:hAnsi="Cambria Math"/>
                    </w:rPr>
                    <m:t>PRS</m:t>
                  </m:r>
                </m:sup>
              </m:sSubSup>
            </m:oMath>
            <w:r w:rsidRPr="00F8474E">
              <w:rPr>
                <w:b/>
                <w:bCs/>
                <w:lang w:eastAsia="zh-CN"/>
              </w:rPr>
              <w:t xml:space="preserve"> </w:t>
            </w:r>
            <w:r w:rsidRPr="00F8474E">
              <w:rPr>
                <w:szCs w:val="18"/>
              </w:rPr>
              <w:t xml:space="preserve">are configured by higher layer parameter </w:t>
            </w:r>
            <w:r w:rsidRPr="00F8474E">
              <w:rPr>
                <w:i/>
                <w:szCs w:val="18"/>
              </w:rPr>
              <w:t>dl-PRS-ResourceRepetitionFactor, dl-PRS-NumSymbols and dl-PRS-CombSizeN</w:t>
            </w:r>
            <w:r w:rsidRPr="00F8474E">
              <w:rPr>
                <w:iCs/>
                <w:szCs w:val="18"/>
              </w:rPr>
              <w:t>defined in TS 37.355 [34], respectively</w:t>
            </w:r>
            <w:r w:rsidRPr="00F8474E">
              <w:rPr>
                <w:iCs/>
                <w:szCs w:val="18"/>
                <w:lang w:val="en-US" w:eastAsia="zh-CN"/>
              </w:rPr>
              <w:t>.</w:t>
            </w:r>
          </w:p>
          <w:p w14:paraId="46240B0E" w14:textId="77777777" w:rsidR="00C40BE8" w:rsidRPr="00F8474E" w:rsidRDefault="00C40BE8" w:rsidP="00C40BE8">
            <w:pPr>
              <w:pStyle w:val="TAN"/>
            </w:pPr>
            <w:r w:rsidRPr="00F8474E">
              <w:t>N</w:t>
            </w:r>
            <w:r w:rsidRPr="00F8474E">
              <w:rPr>
                <w:lang w:eastAsia="zh-CN"/>
              </w:rPr>
              <w:t>OTE</w:t>
            </w:r>
            <w:r w:rsidRPr="00F8474E">
              <w:t xml:space="preserve"> 3:</w:t>
            </w:r>
            <w:r w:rsidRPr="00F8474E">
              <w:tab/>
              <w:t>Io is assumed to have constant EPRE across the bandwidth.</w:t>
            </w:r>
          </w:p>
          <w:p w14:paraId="6FC9033B" w14:textId="77777777" w:rsidR="00C40BE8" w:rsidRPr="00F8474E" w:rsidRDefault="00C40BE8" w:rsidP="00C40BE8">
            <w:pPr>
              <w:pStyle w:val="TAN"/>
            </w:pPr>
            <w:r w:rsidRPr="00F8474E">
              <w:t>N</w:t>
            </w:r>
            <w:r w:rsidRPr="00F8474E">
              <w:rPr>
                <w:lang w:eastAsia="zh-CN"/>
              </w:rPr>
              <w:t>OTE</w:t>
            </w:r>
            <w:r w:rsidRPr="00F8474E">
              <w:t xml:space="preserve"> 4:</w:t>
            </w:r>
            <w:r w:rsidRPr="00F8474E">
              <w:tab/>
              <w:t>NR operating band groups in FR1 are as defined in clause 3.5.2.</w:t>
            </w:r>
          </w:p>
          <w:p w14:paraId="0D8DE4E6" w14:textId="77777777" w:rsidR="00C40BE8" w:rsidRPr="00F8474E" w:rsidRDefault="00C40BE8" w:rsidP="00C40BE8">
            <w:pPr>
              <w:pStyle w:val="TAN"/>
            </w:pPr>
            <w:r w:rsidRPr="00F8474E">
              <w:t>N</w:t>
            </w:r>
            <w:r w:rsidRPr="00F8474E">
              <w:rPr>
                <w:lang w:eastAsia="zh-CN"/>
              </w:rPr>
              <w:t>OTE</w:t>
            </w:r>
            <w:r w:rsidRPr="00F8474E">
              <w:t xml:space="preserve"> 5:</w:t>
            </w:r>
            <w:r w:rsidRPr="00F8474E">
              <w:tab/>
              <w:t>Tc is the basic timing unit defined in TS 38.211 [6].</w:t>
            </w:r>
          </w:p>
          <w:p w14:paraId="179305C7" w14:textId="77777777" w:rsidR="00C40BE8" w:rsidRPr="00F8474E" w:rsidRDefault="00C40BE8" w:rsidP="00C40BE8">
            <w:pPr>
              <w:pStyle w:val="TAN"/>
            </w:pPr>
            <w:r w:rsidRPr="00F8474E">
              <w:t>NOTE 6:</w:t>
            </w:r>
            <w:r w:rsidRPr="00F8474E">
              <w:tab/>
              <w:t>The same bands and the same Io conditions for each band apply for this requirement as for the corresponding requirement with the PRS bandwidth of the smallest RB number for the corresponding SCS.</w:t>
            </w:r>
          </w:p>
          <w:p w14:paraId="7E515BEF" w14:textId="77777777" w:rsidR="00C40BE8" w:rsidRPr="00F8474E" w:rsidRDefault="00C40BE8" w:rsidP="00C40BE8">
            <w:pPr>
              <w:pStyle w:val="TAN"/>
            </w:pPr>
            <w:r w:rsidRPr="00F8474E">
              <w:t>NOTE 7:</w:t>
            </w:r>
            <w:r w:rsidRPr="00F8474E">
              <w:tab/>
            </w:r>
            <w:r w:rsidRPr="00F8474E">
              <w:rPr>
                <w:lang w:val="en-US"/>
              </w:rPr>
              <w:t>Δ</w:t>
            </w:r>
            <w:r w:rsidRPr="00F8474E">
              <w:t xml:space="preserve">is </w:t>
            </w:r>
            <w:r w:rsidRPr="00F8474E">
              <w:rPr>
                <w:lang w:eastAsia="zh-CN"/>
              </w:rPr>
              <w:t>the value of the timing error margin for the RxTx TEG, reported via</w:t>
            </w:r>
            <w:r w:rsidRPr="00F8474E">
              <w:t xml:space="preserve"> </w:t>
            </w:r>
            <w:r w:rsidRPr="00F8474E">
              <w:rPr>
                <w:i/>
                <w:lang w:eastAsia="zh-CN"/>
              </w:rPr>
              <w:t>nr-UE-RxTxTEG-TimingErrorMargin</w:t>
            </w:r>
            <w:r w:rsidRPr="00F8474E">
              <w:t xml:space="preserve">. </w:t>
            </w:r>
            <w:r w:rsidRPr="00F8474E">
              <w:rPr>
                <w:lang w:val="en-US"/>
              </w:rPr>
              <w:t>Δ</w:t>
            </w:r>
            <w:r w:rsidRPr="00F8474E">
              <w:rPr>
                <w:lang w:val="en-US" w:eastAsia="zh-CN"/>
              </w:rPr>
              <w:t xml:space="preserve"> </w:t>
            </w:r>
            <w:r w:rsidRPr="00F8474E">
              <w:rPr>
                <w:lang w:eastAsia="zh-CN"/>
              </w:rPr>
              <w:t>can</w:t>
            </w:r>
            <w:r w:rsidRPr="00F8474E">
              <w:rPr>
                <w:bCs/>
              </w:rPr>
              <w:t xml:space="preserve">not be larger than the </w:t>
            </w:r>
            <w:r w:rsidRPr="00F8474E">
              <w:rPr>
                <w:bCs/>
                <w:lang w:eastAsia="zh-CN"/>
              </w:rPr>
              <w:t xml:space="preserve">sum of the margins in </w:t>
            </w:r>
            <w:r w:rsidRPr="00F8474E">
              <w:rPr>
                <w:lang w:eastAsia="zh-CN"/>
              </w:rPr>
              <w:t>t</w:t>
            </w:r>
            <w:r w:rsidRPr="00F8474E">
              <w:t>able 10.1.2</w:t>
            </w:r>
            <w:r w:rsidRPr="00F8474E">
              <w:rPr>
                <w:lang w:eastAsia="zh-CN"/>
              </w:rPr>
              <w:t>5</w:t>
            </w:r>
            <w:r w:rsidRPr="00F8474E">
              <w:t xml:space="preserve">.2-5 </w:t>
            </w:r>
            <w:r w:rsidRPr="00F8474E">
              <w:rPr>
                <w:lang w:eastAsia="zh-CN"/>
              </w:rPr>
              <w:t>(dependent on PRS/SRS BW) for any pair of individual UE Rx-Tx time difference measurements associated with the RxTx TEG. .</w:t>
            </w:r>
          </w:p>
        </w:tc>
      </w:tr>
    </w:tbl>
    <w:p w14:paraId="5FB6A914" w14:textId="77777777" w:rsidR="00C40BE8" w:rsidRPr="00F8474E" w:rsidRDefault="00C40BE8" w:rsidP="00C40BE8"/>
    <w:p w14:paraId="0F67311B" w14:textId="2C0A4EDC" w:rsidR="00AD57C0" w:rsidRDefault="00AD57C0" w:rsidP="00301B77">
      <w:r>
        <w:t>The accuracy requirements in Table 10.1.25.2-2 for FR1 are valid under the following conditions:</w:t>
      </w:r>
    </w:p>
    <w:p w14:paraId="04D37FA0" w14:textId="77777777" w:rsidR="00AD57C0" w:rsidRDefault="00AD57C0" w:rsidP="00301B77">
      <w:r>
        <w:t>Conditions defined in clause 7.3 of TS 38.101-1 [18] for reference sensitivity are fulfilled.</w:t>
      </w:r>
    </w:p>
    <w:p w14:paraId="731E9248" w14:textId="32B88E9E" w:rsidR="00754FC4" w:rsidRDefault="00754FC4" w:rsidP="0096773B">
      <w:pPr>
        <w:pStyle w:val="B10"/>
      </w:pPr>
      <w:r>
        <w:t>PRP|</w:t>
      </w:r>
      <w:r>
        <w:rPr>
          <w:vertAlign w:val="subscript"/>
        </w:rPr>
        <w:t>dBm</w:t>
      </w:r>
      <w:r>
        <w:t xml:space="preserve"> according to Annex B.2.14 for a corresponding Band.</w:t>
      </w:r>
    </w:p>
    <w:p w14:paraId="197AAFAC" w14:textId="77777777" w:rsidR="00AD57C0" w:rsidRDefault="00AD57C0" w:rsidP="00301B77">
      <w:r>
        <w:t>Fading propagation condition.</w:t>
      </w:r>
    </w:p>
    <w:p w14:paraId="379A6C2E" w14:textId="77777777" w:rsidR="00C40BE8" w:rsidRPr="00F8474E" w:rsidRDefault="00C40BE8" w:rsidP="00C40BE8">
      <w:pPr>
        <w:pStyle w:val="TH"/>
      </w:pPr>
      <w:r w:rsidRPr="00F8474E">
        <w:rPr>
          <w:lang w:val="en-US"/>
        </w:rPr>
        <w:t>Table 10.1.25.2-2: UE Rx-Tx time difference measurement accuracy in FR1 in fading</w:t>
      </w:r>
    </w:p>
    <w:tbl>
      <w:tblPr>
        <w:tblW w:w="10200" w:type="dxa"/>
        <w:jc w:val="center"/>
        <w:tblLayout w:type="fixed"/>
        <w:tblLook w:val="01E0" w:firstRow="1" w:lastRow="1" w:firstColumn="1" w:lastColumn="1" w:noHBand="0" w:noVBand="0"/>
      </w:tblPr>
      <w:tblGrid>
        <w:gridCol w:w="1133"/>
        <w:gridCol w:w="714"/>
        <w:gridCol w:w="1133"/>
        <w:gridCol w:w="709"/>
        <w:gridCol w:w="1832"/>
        <w:gridCol w:w="2267"/>
        <w:gridCol w:w="1289"/>
        <w:gridCol w:w="1123"/>
      </w:tblGrid>
      <w:tr w:rsidR="00C40BE8" w:rsidRPr="00F8474E" w14:paraId="29E2F842" w14:textId="77777777" w:rsidTr="00FA482E">
        <w:trPr>
          <w:jc w:val="center"/>
        </w:trPr>
        <w:tc>
          <w:tcPr>
            <w:tcW w:w="1133" w:type="dxa"/>
            <w:vMerge w:val="restart"/>
            <w:tcBorders>
              <w:top w:val="single" w:sz="4" w:space="0" w:color="auto"/>
              <w:left w:val="single" w:sz="4" w:space="0" w:color="auto"/>
              <w:bottom w:val="single" w:sz="6" w:space="0" w:color="auto"/>
              <w:right w:val="single" w:sz="6" w:space="0" w:color="auto"/>
            </w:tcBorders>
            <w:vAlign w:val="center"/>
            <w:hideMark/>
          </w:tcPr>
          <w:p w14:paraId="3A34E379" w14:textId="77777777" w:rsidR="00C40BE8" w:rsidRPr="00F8474E" w:rsidRDefault="00C40BE8" w:rsidP="00C40BE8">
            <w:pPr>
              <w:pStyle w:val="TAH"/>
              <w:rPr>
                <w:lang w:eastAsia="ko-KR"/>
              </w:rPr>
            </w:pPr>
            <w:r w:rsidRPr="00F8474E">
              <w:rPr>
                <w:lang w:eastAsia="ko-KR"/>
              </w:rPr>
              <w:t>Accuracy</w:t>
            </w:r>
          </w:p>
        </w:tc>
        <w:tc>
          <w:tcPr>
            <w:tcW w:w="9067" w:type="dxa"/>
            <w:gridSpan w:val="7"/>
            <w:tcBorders>
              <w:top w:val="single" w:sz="4" w:space="0" w:color="auto"/>
              <w:left w:val="single" w:sz="6" w:space="0" w:color="auto"/>
              <w:bottom w:val="single" w:sz="6" w:space="0" w:color="auto"/>
              <w:right w:val="single" w:sz="4" w:space="0" w:color="auto"/>
            </w:tcBorders>
            <w:hideMark/>
          </w:tcPr>
          <w:p w14:paraId="1A076CBB" w14:textId="77777777" w:rsidR="00C40BE8" w:rsidRPr="00F8474E" w:rsidRDefault="00C40BE8" w:rsidP="00C40BE8">
            <w:pPr>
              <w:pStyle w:val="TAH"/>
              <w:rPr>
                <w:lang w:eastAsia="ko-KR"/>
              </w:rPr>
            </w:pPr>
            <w:r w:rsidRPr="00F8474E">
              <w:rPr>
                <w:lang w:eastAsia="ko-KR"/>
              </w:rPr>
              <w:t>Conditions</w:t>
            </w:r>
          </w:p>
        </w:tc>
      </w:tr>
      <w:tr w:rsidR="00C40BE8" w:rsidRPr="00F8474E" w14:paraId="3189DB16" w14:textId="77777777" w:rsidTr="00FA482E">
        <w:trPr>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035AC9E8" w14:textId="77777777" w:rsidR="00C40BE8" w:rsidRPr="00F8474E" w:rsidRDefault="00C40BE8" w:rsidP="00C40BE8">
            <w:pPr>
              <w:pStyle w:val="TAH"/>
              <w:rPr>
                <w:lang w:eastAsia="ko-KR"/>
              </w:rPr>
            </w:pPr>
          </w:p>
        </w:tc>
        <w:tc>
          <w:tcPr>
            <w:tcW w:w="714" w:type="dxa"/>
            <w:vMerge w:val="restart"/>
            <w:tcBorders>
              <w:top w:val="single" w:sz="6" w:space="0" w:color="auto"/>
              <w:left w:val="single" w:sz="6" w:space="0" w:color="auto"/>
              <w:bottom w:val="single" w:sz="6" w:space="0" w:color="auto"/>
              <w:right w:val="single" w:sz="6" w:space="0" w:color="auto"/>
            </w:tcBorders>
            <w:vAlign w:val="center"/>
            <w:hideMark/>
          </w:tcPr>
          <w:p w14:paraId="4D007929" w14:textId="77777777" w:rsidR="00C40BE8" w:rsidRPr="00F8474E" w:rsidRDefault="00C40BE8" w:rsidP="00C40BE8">
            <w:pPr>
              <w:pStyle w:val="TAH"/>
              <w:rPr>
                <w:lang w:eastAsia="ko-KR"/>
              </w:rPr>
            </w:pPr>
            <w:r w:rsidRPr="00F8474E">
              <w:rPr>
                <w:lang w:eastAsia="ko-KR"/>
              </w:rPr>
              <w:t>PRS Ês/Iot</w:t>
            </w:r>
          </w:p>
        </w:tc>
        <w:tc>
          <w:tcPr>
            <w:tcW w:w="1133" w:type="dxa"/>
            <w:vMerge w:val="restart"/>
            <w:tcBorders>
              <w:top w:val="single" w:sz="6" w:space="0" w:color="auto"/>
              <w:left w:val="single" w:sz="6" w:space="0" w:color="auto"/>
              <w:bottom w:val="single" w:sz="6" w:space="0" w:color="auto"/>
              <w:right w:val="single" w:sz="6" w:space="0" w:color="auto"/>
            </w:tcBorders>
            <w:vAlign w:val="center"/>
            <w:hideMark/>
          </w:tcPr>
          <w:p w14:paraId="2634F65C" w14:textId="77777777" w:rsidR="00C40BE8" w:rsidRPr="00F8474E" w:rsidRDefault="00C40BE8" w:rsidP="00C40BE8">
            <w:pPr>
              <w:pStyle w:val="TAH"/>
              <w:rPr>
                <w:lang w:eastAsia="ko-KR"/>
              </w:rPr>
            </w:pPr>
            <w:r w:rsidRPr="00F8474E">
              <w:rPr>
                <w:lang w:eastAsia="ko-KR"/>
              </w:rPr>
              <w:t>Minimum PRS bandwidth</w:t>
            </w:r>
          </w:p>
        </w:tc>
        <w:tc>
          <w:tcPr>
            <w:tcW w:w="709" w:type="dxa"/>
            <w:vMerge w:val="restart"/>
            <w:tcBorders>
              <w:top w:val="single" w:sz="6" w:space="0" w:color="auto"/>
              <w:left w:val="single" w:sz="6" w:space="0" w:color="auto"/>
              <w:bottom w:val="single" w:sz="6" w:space="0" w:color="auto"/>
              <w:right w:val="single" w:sz="6" w:space="0" w:color="auto"/>
            </w:tcBorders>
          </w:tcPr>
          <w:p w14:paraId="58DBE071" w14:textId="77777777" w:rsidR="00C40BE8" w:rsidRPr="00F8474E" w:rsidRDefault="00C40BE8" w:rsidP="00C40BE8">
            <w:pPr>
              <w:pStyle w:val="TAH"/>
              <w:rPr>
                <w:lang w:eastAsia="ko-KR"/>
              </w:rPr>
            </w:pPr>
          </w:p>
          <w:p w14:paraId="063E31A9" w14:textId="77777777" w:rsidR="00C40BE8" w:rsidRPr="00F8474E" w:rsidRDefault="00C40BE8" w:rsidP="00C40BE8">
            <w:pPr>
              <w:pStyle w:val="TAH"/>
              <w:rPr>
                <w:lang w:eastAsia="ko-KR"/>
              </w:rPr>
            </w:pPr>
            <w:r w:rsidRPr="00F8474E">
              <w:rPr>
                <w:lang w:eastAsia="ko-KR"/>
              </w:rPr>
              <w:t>PRS SCS</w:t>
            </w:r>
          </w:p>
        </w:tc>
        <w:tc>
          <w:tcPr>
            <w:tcW w:w="1832" w:type="dxa"/>
            <w:vMerge w:val="restart"/>
            <w:tcBorders>
              <w:top w:val="single" w:sz="6" w:space="0" w:color="auto"/>
              <w:left w:val="single" w:sz="6" w:space="0" w:color="auto"/>
              <w:bottom w:val="single" w:sz="6" w:space="0" w:color="auto"/>
              <w:right w:val="single" w:sz="6" w:space="0" w:color="auto"/>
            </w:tcBorders>
            <w:vAlign w:val="center"/>
            <w:hideMark/>
          </w:tcPr>
          <w:p w14:paraId="1B03D55F" w14:textId="77777777" w:rsidR="00C40BE8" w:rsidRPr="00F8474E" w:rsidRDefault="00C40BE8" w:rsidP="00C40BE8">
            <w:pPr>
              <w:pStyle w:val="TAH"/>
            </w:pPr>
            <w:r w:rsidRPr="00F8474E">
              <w:t xml:space="preserve">PRS resource repetition </w:t>
            </w:r>
            <m:oMath>
              <m:sSubSup>
                <m:sSubSupPr>
                  <m:ctrlPr>
                    <w:rPr>
                      <w:rFonts w:ascii="Cambria Math" w:hAnsi="Cambria Math"/>
                      <w:i/>
                      <w:szCs w:val="18"/>
                      <w:lang w:eastAsia="ko-KR"/>
                    </w:rPr>
                  </m:ctrlPr>
                </m:sSubSupPr>
                <m:e>
                  <m:r>
                    <m:rPr>
                      <m:sty m:val="bi"/>
                    </m:rPr>
                    <w:rPr>
                      <w:rFonts w:ascii="Cambria Math" w:hAnsi="Cambria Math"/>
                      <w:lang w:eastAsia="ko-KR"/>
                    </w:rPr>
                    <m:t>(T</m:t>
                  </m:r>
                </m:e>
                <m:sub>
                  <m:r>
                    <m:rPr>
                      <m:sty m:val="b"/>
                    </m:rPr>
                    <w:rPr>
                      <w:rFonts w:ascii="Cambria Math" w:hAnsi="Cambria Math"/>
                      <w:lang w:eastAsia="ko-KR"/>
                    </w:rPr>
                    <m:t>rep</m:t>
                  </m:r>
                </m:sub>
                <m:sup>
                  <m:r>
                    <m:rPr>
                      <m:sty m:val="b"/>
                    </m:rPr>
                    <w:rPr>
                      <w:rFonts w:ascii="Cambria Math" w:hAnsi="Cambria Math"/>
                      <w:lang w:eastAsia="ko-KR"/>
                    </w:rPr>
                    <m:t>PRS</m:t>
                  </m:r>
                </m:sup>
              </m:sSubSup>
              <m:r>
                <m:rPr>
                  <m:sty m:val="bi"/>
                </m:rPr>
                <w:rPr>
                  <w:rFonts w:ascii="Cambria Math" w:hAnsi="Cambria Math"/>
                  <w:lang w:eastAsia="ko-KR"/>
                </w:rPr>
                <m:t>*</m:t>
              </m:r>
              <m:sSub>
                <m:sSubPr>
                  <m:ctrlPr>
                    <w:rPr>
                      <w:rFonts w:ascii="Cambria Math" w:hAnsi="Cambria Math"/>
                      <w:szCs w:val="18"/>
                      <w:lang w:eastAsia="ko-KR"/>
                    </w:rPr>
                  </m:ctrlPr>
                </m:sSubPr>
                <m:e>
                  <m:r>
                    <m:rPr>
                      <m:sty m:val="bi"/>
                    </m:rPr>
                    <w:rPr>
                      <w:rFonts w:ascii="Cambria Math" w:hAnsi="Cambria Math"/>
                      <w:lang w:eastAsia="ko-KR"/>
                    </w:rPr>
                    <m:t>L</m:t>
                  </m:r>
                </m:e>
                <m:sub>
                  <m:r>
                    <m:rPr>
                      <m:sty m:val="b"/>
                    </m:rPr>
                    <w:rPr>
                      <w:rFonts w:ascii="Cambria Math" w:hAnsi="Cambria Math"/>
                      <w:lang w:eastAsia="ko-KR"/>
                    </w:rPr>
                    <m:t>PRS</m:t>
                  </m:r>
                </m:sub>
              </m:sSub>
              <m:r>
                <m:rPr>
                  <m:sty m:val="bi"/>
                </m:rPr>
                <w:rPr>
                  <w:rFonts w:ascii="Cambria Math" w:hAnsi="Cambria Math"/>
                  <w:lang w:eastAsia="ko-KR"/>
                </w:rPr>
                <m:t>/</m:t>
              </m:r>
              <m:sSubSup>
                <m:sSubSupPr>
                  <m:ctrlPr>
                    <w:rPr>
                      <w:rFonts w:ascii="Cambria Math" w:hAnsi="Cambria Math"/>
                      <w:i/>
                      <w:szCs w:val="18"/>
                      <w:lang w:eastAsia="ko-KR"/>
                    </w:rPr>
                  </m:ctrlPr>
                </m:sSubSupPr>
                <m:e>
                  <m:r>
                    <m:rPr>
                      <m:sty m:val="bi"/>
                    </m:rPr>
                    <w:rPr>
                      <w:rFonts w:ascii="Cambria Math" w:hAnsi="Cambria Math"/>
                      <w:lang w:eastAsia="ko-KR"/>
                    </w:rPr>
                    <m:t>K</m:t>
                  </m:r>
                </m:e>
                <m:sub>
                  <m:r>
                    <m:rPr>
                      <m:sty m:val="b"/>
                    </m:rPr>
                    <w:rPr>
                      <w:rFonts w:ascii="Cambria Math" w:hAnsi="Cambria Math"/>
                      <w:lang w:eastAsia="ko-KR"/>
                    </w:rPr>
                    <m:t>comb</m:t>
                  </m:r>
                </m:sub>
                <m:sup>
                  <m:r>
                    <m:rPr>
                      <m:sty m:val="b"/>
                    </m:rPr>
                    <w:rPr>
                      <w:rFonts w:ascii="Cambria Math" w:hAnsi="Cambria Math"/>
                      <w:lang w:eastAsia="ko-KR"/>
                    </w:rPr>
                    <m:t>PRS</m:t>
                  </m:r>
                </m:sup>
              </m:sSubSup>
            </m:oMath>
            <w:r w:rsidRPr="00F8474E">
              <w:rPr>
                <w:vertAlign w:val="superscript"/>
                <w:lang w:eastAsia="ko-KR"/>
              </w:rPr>
              <w:t>Note 3</w:t>
            </w:r>
          </w:p>
        </w:tc>
        <w:tc>
          <w:tcPr>
            <w:tcW w:w="2267" w:type="dxa"/>
            <w:vMerge w:val="restart"/>
            <w:tcBorders>
              <w:top w:val="single" w:sz="6" w:space="0" w:color="auto"/>
              <w:left w:val="single" w:sz="6" w:space="0" w:color="auto"/>
              <w:bottom w:val="single" w:sz="6" w:space="0" w:color="auto"/>
              <w:right w:val="single" w:sz="6" w:space="0" w:color="auto"/>
            </w:tcBorders>
            <w:hideMark/>
          </w:tcPr>
          <w:p w14:paraId="7D1D6118" w14:textId="77777777" w:rsidR="00C40BE8" w:rsidRPr="00F8474E" w:rsidRDefault="00C40BE8" w:rsidP="00C40BE8">
            <w:pPr>
              <w:pStyle w:val="TAH"/>
              <w:rPr>
                <w:lang w:eastAsia="ko-KR"/>
              </w:rPr>
            </w:pPr>
            <w:r w:rsidRPr="00F8474E">
              <w:rPr>
                <w:lang w:eastAsia="ko-KR"/>
              </w:rPr>
              <w:t>NR operating band groups</w:t>
            </w:r>
            <w:r w:rsidRPr="00F8474E">
              <w:rPr>
                <w:vertAlign w:val="superscript"/>
                <w:lang w:eastAsia="ko-KR"/>
              </w:rPr>
              <w:t>Note 2</w:t>
            </w:r>
          </w:p>
        </w:tc>
        <w:tc>
          <w:tcPr>
            <w:tcW w:w="2412" w:type="dxa"/>
            <w:gridSpan w:val="2"/>
            <w:tcBorders>
              <w:top w:val="single" w:sz="6" w:space="0" w:color="auto"/>
              <w:left w:val="single" w:sz="6" w:space="0" w:color="auto"/>
              <w:bottom w:val="single" w:sz="6" w:space="0" w:color="auto"/>
              <w:right w:val="single" w:sz="4" w:space="0" w:color="auto"/>
            </w:tcBorders>
            <w:vAlign w:val="center"/>
            <w:hideMark/>
          </w:tcPr>
          <w:p w14:paraId="6B22CFC6" w14:textId="77777777" w:rsidR="00C40BE8" w:rsidRPr="00F8474E" w:rsidRDefault="00C40BE8" w:rsidP="00C40BE8">
            <w:pPr>
              <w:pStyle w:val="TAH"/>
              <w:rPr>
                <w:lang w:eastAsia="ko-KR"/>
              </w:rPr>
            </w:pPr>
            <w:r w:rsidRPr="00F8474E">
              <w:rPr>
                <w:lang w:eastAsia="ko-KR"/>
              </w:rPr>
              <w:t>Io</w:t>
            </w:r>
            <w:r w:rsidRPr="00F8474E">
              <w:rPr>
                <w:vertAlign w:val="superscript"/>
              </w:rPr>
              <w:t>Note 4</w:t>
            </w:r>
            <w:r w:rsidRPr="00F8474E">
              <w:rPr>
                <w:lang w:eastAsia="ko-KR"/>
              </w:rPr>
              <w:t xml:space="preserve"> range</w:t>
            </w:r>
          </w:p>
        </w:tc>
      </w:tr>
      <w:tr w:rsidR="00C40BE8" w:rsidRPr="00F8474E" w14:paraId="44E23C67" w14:textId="77777777" w:rsidTr="00FA482E">
        <w:trPr>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10A6B416" w14:textId="77777777" w:rsidR="00C40BE8" w:rsidRPr="00F8474E" w:rsidRDefault="00C40BE8" w:rsidP="00C40BE8">
            <w:pPr>
              <w:pStyle w:val="TAH"/>
              <w:rPr>
                <w:lang w:eastAsia="ko-KR"/>
              </w:rPr>
            </w:pPr>
          </w:p>
        </w:tc>
        <w:tc>
          <w:tcPr>
            <w:tcW w:w="714" w:type="dxa"/>
            <w:vMerge/>
            <w:tcBorders>
              <w:top w:val="single" w:sz="6" w:space="0" w:color="auto"/>
              <w:left w:val="single" w:sz="6" w:space="0" w:color="auto"/>
              <w:bottom w:val="single" w:sz="6" w:space="0" w:color="auto"/>
              <w:right w:val="single" w:sz="6" w:space="0" w:color="auto"/>
            </w:tcBorders>
            <w:vAlign w:val="center"/>
            <w:hideMark/>
          </w:tcPr>
          <w:p w14:paraId="66576258" w14:textId="77777777" w:rsidR="00C40BE8" w:rsidRPr="00F8474E" w:rsidRDefault="00C40BE8" w:rsidP="00C40BE8">
            <w:pPr>
              <w:pStyle w:val="TAH"/>
              <w:rPr>
                <w:lang w:eastAsia="ko-KR"/>
              </w:rPr>
            </w:pPr>
          </w:p>
        </w:tc>
        <w:tc>
          <w:tcPr>
            <w:tcW w:w="1133" w:type="dxa"/>
            <w:vMerge/>
            <w:tcBorders>
              <w:top w:val="single" w:sz="6" w:space="0" w:color="auto"/>
              <w:left w:val="single" w:sz="6" w:space="0" w:color="auto"/>
              <w:bottom w:val="single" w:sz="6" w:space="0" w:color="auto"/>
              <w:right w:val="single" w:sz="6" w:space="0" w:color="auto"/>
            </w:tcBorders>
            <w:vAlign w:val="center"/>
            <w:hideMark/>
          </w:tcPr>
          <w:p w14:paraId="4164A635" w14:textId="77777777" w:rsidR="00C40BE8" w:rsidRPr="00F8474E" w:rsidRDefault="00C40BE8" w:rsidP="00C40BE8">
            <w:pPr>
              <w:pStyle w:val="TAH"/>
              <w:rPr>
                <w:lang w:eastAsia="ko-KR"/>
              </w:rPr>
            </w:pPr>
          </w:p>
        </w:tc>
        <w:tc>
          <w:tcPr>
            <w:tcW w:w="709" w:type="dxa"/>
            <w:vMerge/>
            <w:tcBorders>
              <w:top w:val="single" w:sz="6" w:space="0" w:color="auto"/>
              <w:left w:val="single" w:sz="6" w:space="0" w:color="auto"/>
              <w:bottom w:val="single" w:sz="6" w:space="0" w:color="auto"/>
              <w:right w:val="single" w:sz="6" w:space="0" w:color="auto"/>
            </w:tcBorders>
            <w:vAlign w:val="center"/>
            <w:hideMark/>
          </w:tcPr>
          <w:p w14:paraId="4D4909BB" w14:textId="77777777" w:rsidR="00C40BE8" w:rsidRPr="00F8474E" w:rsidRDefault="00C40BE8" w:rsidP="00C40BE8">
            <w:pPr>
              <w:pStyle w:val="TAH"/>
              <w:rPr>
                <w:lang w:eastAsia="ko-KR"/>
              </w:rPr>
            </w:pPr>
          </w:p>
        </w:tc>
        <w:tc>
          <w:tcPr>
            <w:tcW w:w="1832" w:type="dxa"/>
            <w:vMerge/>
            <w:tcBorders>
              <w:top w:val="single" w:sz="6" w:space="0" w:color="auto"/>
              <w:left w:val="single" w:sz="6" w:space="0" w:color="auto"/>
              <w:bottom w:val="single" w:sz="6" w:space="0" w:color="auto"/>
              <w:right w:val="single" w:sz="6" w:space="0" w:color="auto"/>
            </w:tcBorders>
            <w:vAlign w:val="center"/>
            <w:hideMark/>
          </w:tcPr>
          <w:p w14:paraId="060739E8" w14:textId="77777777" w:rsidR="00C40BE8" w:rsidRPr="00F8474E" w:rsidRDefault="00C40BE8" w:rsidP="00C40BE8">
            <w:pPr>
              <w:pStyle w:val="TAH"/>
            </w:pPr>
          </w:p>
        </w:tc>
        <w:tc>
          <w:tcPr>
            <w:tcW w:w="2267" w:type="dxa"/>
            <w:vMerge/>
            <w:tcBorders>
              <w:top w:val="single" w:sz="6" w:space="0" w:color="auto"/>
              <w:left w:val="single" w:sz="6" w:space="0" w:color="auto"/>
              <w:bottom w:val="single" w:sz="6" w:space="0" w:color="auto"/>
              <w:right w:val="single" w:sz="6" w:space="0" w:color="auto"/>
            </w:tcBorders>
            <w:vAlign w:val="center"/>
            <w:hideMark/>
          </w:tcPr>
          <w:p w14:paraId="5E452D21" w14:textId="77777777" w:rsidR="00C40BE8" w:rsidRPr="00F8474E" w:rsidRDefault="00C40BE8" w:rsidP="00C40BE8">
            <w:pPr>
              <w:pStyle w:val="TAH"/>
              <w:rPr>
                <w:lang w:eastAsia="ko-KR"/>
              </w:rPr>
            </w:pPr>
          </w:p>
        </w:tc>
        <w:tc>
          <w:tcPr>
            <w:tcW w:w="1289" w:type="dxa"/>
            <w:tcBorders>
              <w:top w:val="single" w:sz="6" w:space="0" w:color="auto"/>
              <w:left w:val="single" w:sz="6" w:space="0" w:color="auto"/>
              <w:bottom w:val="single" w:sz="4" w:space="0" w:color="auto"/>
              <w:right w:val="single" w:sz="6" w:space="0" w:color="auto"/>
            </w:tcBorders>
            <w:hideMark/>
          </w:tcPr>
          <w:p w14:paraId="1EE13F81" w14:textId="77777777" w:rsidR="00C40BE8" w:rsidRPr="00F8474E" w:rsidRDefault="00C40BE8" w:rsidP="00C40BE8">
            <w:pPr>
              <w:pStyle w:val="TAH"/>
              <w:rPr>
                <w:lang w:eastAsia="ko-KR"/>
              </w:rPr>
            </w:pPr>
            <w:r w:rsidRPr="00F8474E">
              <w:rPr>
                <w:lang w:eastAsia="ko-KR"/>
              </w:rPr>
              <w:t>Minimum</w:t>
            </w:r>
            <w:r w:rsidRPr="00F8474E">
              <w:rPr>
                <w:lang w:eastAsia="ko-KR"/>
              </w:rPr>
              <w:br/>
              <w:t>Io</w:t>
            </w:r>
            <w:r w:rsidRPr="00F8474E">
              <w:rPr>
                <w:vertAlign w:val="superscript"/>
                <w:lang w:eastAsia="ko-KR"/>
              </w:rPr>
              <w:t>Note 1</w:t>
            </w:r>
          </w:p>
        </w:tc>
        <w:tc>
          <w:tcPr>
            <w:tcW w:w="1123" w:type="dxa"/>
            <w:tcBorders>
              <w:top w:val="single" w:sz="6" w:space="0" w:color="auto"/>
              <w:left w:val="single" w:sz="6" w:space="0" w:color="auto"/>
              <w:bottom w:val="single" w:sz="6" w:space="0" w:color="auto"/>
              <w:right w:val="single" w:sz="4" w:space="0" w:color="auto"/>
            </w:tcBorders>
            <w:vAlign w:val="center"/>
            <w:hideMark/>
          </w:tcPr>
          <w:p w14:paraId="424DFCA6" w14:textId="77777777" w:rsidR="00C40BE8" w:rsidRPr="00F8474E" w:rsidRDefault="00C40BE8" w:rsidP="00C40BE8">
            <w:pPr>
              <w:pStyle w:val="TAH"/>
              <w:rPr>
                <w:lang w:eastAsia="ko-KR"/>
              </w:rPr>
            </w:pPr>
            <w:r w:rsidRPr="00F8474E">
              <w:rPr>
                <w:lang w:eastAsia="ko-KR"/>
              </w:rPr>
              <w:t>Maximum</w:t>
            </w:r>
            <w:r w:rsidRPr="00F8474E">
              <w:rPr>
                <w:lang w:eastAsia="ko-KR"/>
              </w:rPr>
              <w:br/>
              <w:t>Io</w:t>
            </w:r>
          </w:p>
        </w:tc>
      </w:tr>
      <w:tr w:rsidR="00C40BE8" w:rsidRPr="00F8474E" w14:paraId="16EBFC37" w14:textId="77777777" w:rsidTr="00FA482E">
        <w:trPr>
          <w:trHeight w:val="429"/>
          <w:jc w:val="center"/>
        </w:trPr>
        <w:tc>
          <w:tcPr>
            <w:tcW w:w="1133" w:type="dxa"/>
            <w:tcBorders>
              <w:top w:val="single" w:sz="6" w:space="0" w:color="auto"/>
              <w:left w:val="single" w:sz="4" w:space="0" w:color="auto"/>
              <w:bottom w:val="nil"/>
              <w:right w:val="single" w:sz="6" w:space="0" w:color="auto"/>
            </w:tcBorders>
            <w:vAlign w:val="center"/>
            <w:hideMark/>
          </w:tcPr>
          <w:p w14:paraId="36341BED" w14:textId="77777777" w:rsidR="00C40BE8" w:rsidRPr="00F8474E" w:rsidRDefault="00C40BE8" w:rsidP="00C40BE8">
            <w:pPr>
              <w:pStyle w:val="TAH"/>
              <w:rPr>
                <w:lang w:eastAsia="ko-KR"/>
              </w:rPr>
            </w:pPr>
            <w:r w:rsidRPr="00F8474E">
              <w:rPr>
                <w:lang w:eastAsia="ko-KR"/>
              </w:rPr>
              <w:t>Tc</w:t>
            </w:r>
            <w:r w:rsidRPr="00F8474E">
              <w:rPr>
                <w:vertAlign w:val="superscript"/>
              </w:rPr>
              <w:t>Note 5</w:t>
            </w:r>
          </w:p>
        </w:tc>
        <w:tc>
          <w:tcPr>
            <w:tcW w:w="714" w:type="dxa"/>
            <w:tcBorders>
              <w:top w:val="single" w:sz="6" w:space="0" w:color="auto"/>
              <w:left w:val="single" w:sz="6" w:space="0" w:color="auto"/>
              <w:bottom w:val="nil"/>
              <w:right w:val="single" w:sz="6" w:space="0" w:color="auto"/>
            </w:tcBorders>
            <w:vAlign w:val="center"/>
            <w:hideMark/>
          </w:tcPr>
          <w:p w14:paraId="08202B24" w14:textId="77777777" w:rsidR="00C40BE8" w:rsidRPr="00F8474E" w:rsidRDefault="00C40BE8" w:rsidP="00C40BE8">
            <w:pPr>
              <w:pStyle w:val="TAH"/>
              <w:rPr>
                <w:lang w:eastAsia="ko-KR"/>
              </w:rPr>
            </w:pPr>
            <w:r w:rsidRPr="00F8474E">
              <w:rPr>
                <w:lang w:eastAsia="ko-KR"/>
              </w:rPr>
              <w:t>dB</w:t>
            </w:r>
          </w:p>
        </w:tc>
        <w:tc>
          <w:tcPr>
            <w:tcW w:w="1133" w:type="dxa"/>
            <w:tcBorders>
              <w:top w:val="single" w:sz="6" w:space="0" w:color="auto"/>
              <w:left w:val="single" w:sz="6" w:space="0" w:color="auto"/>
              <w:bottom w:val="nil"/>
              <w:right w:val="single" w:sz="6" w:space="0" w:color="auto"/>
            </w:tcBorders>
            <w:vAlign w:val="center"/>
            <w:hideMark/>
          </w:tcPr>
          <w:p w14:paraId="5523C7F6" w14:textId="77777777" w:rsidR="00C40BE8" w:rsidRPr="00F8474E" w:rsidRDefault="00C40BE8" w:rsidP="00C40BE8">
            <w:pPr>
              <w:pStyle w:val="TAH"/>
              <w:rPr>
                <w:lang w:eastAsia="ko-KR"/>
              </w:rPr>
            </w:pPr>
            <w:r w:rsidRPr="00F8474E">
              <w:rPr>
                <w:lang w:eastAsia="ko-KR"/>
              </w:rPr>
              <w:t>RB</w:t>
            </w:r>
          </w:p>
        </w:tc>
        <w:tc>
          <w:tcPr>
            <w:tcW w:w="709" w:type="dxa"/>
            <w:tcBorders>
              <w:top w:val="single" w:sz="6" w:space="0" w:color="auto"/>
              <w:left w:val="single" w:sz="6" w:space="0" w:color="auto"/>
              <w:bottom w:val="nil"/>
              <w:right w:val="single" w:sz="6" w:space="0" w:color="auto"/>
            </w:tcBorders>
          </w:tcPr>
          <w:p w14:paraId="58BB17EF" w14:textId="77777777" w:rsidR="00C40BE8" w:rsidRPr="00F8474E" w:rsidRDefault="00C40BE8" w:rsidP="00C40BE8">
            <w:pPr>
              <w:pStyle w:val="TAH"/>
              <w:rPr>
                <w:lang w:eastAsia="ko-KR"/>
              </w:rPr>
            </w:pPr>
          </w:p>
          <w:p w14:paraId="1C92176C" w14:textId="77777777" w:rsidR="00C40BE8" w:rsidRPr="00F8474E" w:rsidRDefault="00C40BE8" w:rsidP="00C40BE8">
            <w:pPr>
              <w:pStyle w:val="TAH"/>
              <w:rPr>
                <w:lang w:eastAsia="ko-KR"/>
              </w:rPr>
            </w:pPr>
            <w:r w:rsidRPr="00F8474E">
              <w:rPr>
                <w:lang w:eastAsia="ko-KR"/>
              </w:rPr>
              <w:t>kHz</w:t>
            </w:r>
          </w:p>
        </w:tc>
        <w:tc>
          <w:tcPr>
            <w:tcW w:w="1832" w:type="dxa"/>
            <w:tcBorders>
              <w:top w:val="single" w:sz="6" w:space="0" w:color="auto"/>
              <w:left w:val="single" w:sz="6" w:space="0" w:color="auto"/>
              <w:bottom w:val="nil"/>
              <w:right w:val="single" w:sz="6" w:space="0" w:color="auto"/>
            </w:tcBorders>
            <w:vAlign w:val="center"/>
          </w:tcPr>
          <w:p w14:paraId="2B995DC8" w14:textId="77777777" w:rsidR="00C40BE8" w:rsidRPr="00F8474E" w:rsidRDefault="00C40BE8" w:rsidP="00C40BE8">
            <w:pPr>
              <w:pStyle w:val="TAH"/>
              <w:rPr>
                <w:lang w:eastAsia="ko-KR"/>
              </w:rPr>
            </w:pPr>
          </w:p>
        </w:tc>
        <w:tc>
          <w:tcPr>
            <w:tcW w:w="2267" w:type="dxa"/>
            <w:tcBorders>
              <w:top w:val="single" w:sz="6" w:space="0" w:color="auto"/>
              <w:left w:val="single" w:sz="6" w:space="0" w:color="auto"/>
              <w:bottom w:val="nil"/>
              <w:right w:val="single" w:sz="4" w:space="0" w:color="auto"/>
            </w:tcBorders>
            <w:vAlign w:val="center"/>
          </w:tcPr>
          <w:p w14:paraId="35AF8970" w14:textId="77777777" w:rsidR="00C40BE8" w:rsidRPr="00F8474E" w:rsidRDefault="00C40BE8" w:rsidP="00C40BE8">
            <w:pPr>
              <w:pStyle w:val="TAH"/>
              <w:rPr>
                <w:lang w:eastAsia="ko-KR"/>
              </w:rPr>
            </w:pPr>
          </w:p>
        </w:tc>
        <w:tc>
          <w:tcPr>
            <w:tcW w:w="1289" w:type="dxa"/>
            <w:tcBorders>
              <w:top w:val="single" w:sz="4" w:space="0" w:color="auto"/>
              <w:left w:val="single" w:sz="4" w:space="0" w:color="auto"/>
              <w:bottom w:val="single" w:sz="4" w:space="0" w:color="auto"/>
              <w:right w:val="single" w:sz="4" w:space="0" w:color="auto"/>
            </w:tcBorders>
            <w:hideMark/>
          </w:tcPr>
          <w:p w14:paraId="2A3867FA" w14:textId="77777777" w:rsidR="00C40BE8" w:rsidRPr="00F8474E" w:rsidRDefault="00C40BE8" w:rsidP="00C40BE8">
            <w:pPr>
              <w:pStyle w:val="TAH"/>
              <w:rPr>
                <w:lang w:eastAsia="ko-KR"/>
              </w:rPr>
            </w:pPr>
            <w:r w:rsidRPr="00F8474E">
              <w:rPr>
                <w:lang w:eastAsia="ko-KR"/>
              </w:rPr>
              <w:t>dBm / SCS</w:t>
            </w:r>
            <w:r w:rsidRPr="00F8474E">
              <w:rPr>
                <w:vertAlign w:val="subscript"/>
                <w:lang w:eastAsia="ko-KR"/>
              </w:rPr>
              <w:t>PRS</w:t>
            </w:r>
          </w:p>
        </w:tc>
        <w:tc>
          <w:tcPr>
            <w:tcW w:w="1123" w:type="dxa"/>
            <w:tcBorders>
              <w:top w:val="single" w:sz="6" w:space="0" w:color="auto"/>
              <w:left w:val="single" w:sz="4" w:space="0" w:color="auto"/>
              <w:bottom w:val="nil"/>
              <w:right w:val="single" w:sz="4" w:space="0" w:color="auto"/>
            </w:tcBorders>
            <w:vAlign w:val="center"/>
            <w:hideMark/>
          </w:tcPr>
          <w:p w14:paraId="50F9B6F0" w14:textId="77777777" w:rsidR="00C40BE8" w:rsidRPr="00F8474E" w:rsidRDefault="00C40BE8" w:rsidP="00C40BE8">
            <w:pPr>
              <w:pStyle w:val="TAH"/>
              <w:rPr>
                <w:lang w:eastAsia="ko-KR"/>
              </w:rPr>
            </w:pPr>
            <w:r w:rsidRPr="00F8474E">
              <w:rPr>
                <w:lang w:eastAsia="ko-KR"/>
              </w:rPr>
              <w:t>dBm/BW</w:t>
            </w:r>
          </w:p>
        </w:tc>
      </w:tr>
      <w:tr w:rsidR="00C40BE8" w:rsidRPr="00F8474E" w14:paraId="5117419A" w14:textId="77777777" w:rsidTr="00FA482E">
        <w:trPr>
          <w:trHeight w:val="21"/>
          <w:jc w:val="center"/>
        </w:trPr>
        <w:tc>
          <w:tcPr>
            <w:tcW w:w="1133" w:type="dxa"/>
            <w:vMerge w:val="restart"/>
            <w:tcBorders>
              <w:top w:val="single" w:sz="6" w:space="0" w:color="auto"/>
              <w:left w:val="single" w:sz="4" w:space="0" w:color="auto"/>
              <w:bottom w:val="nil"/>
              <w:right w:val="single" w:sz="6" w:space="0" w:color="auto"/>
            </w:tcBorders>
            <w:vAlign w:val="center"/>
            <w:hideMark/>
          </w:tcPr>
          <w:p w14:paraId="76379A73" w14:textId="77777777" w:rsidR="00C40BE8" w:rsidRPr="00F8474E" w:rsidRDefault="00C40BE8" w:rsidP="00C40BE8">
            <w:pPr>
              <w:pStyle w:val="TAC"/>
              <w:rPr>
                <w:lang w:eastAsia="ko-KR"/>
              </w:rPr>
            </w:pPr>
            <w:r w:rsidRPr="00F8474E">
              <w:rPr>
                <w:lang w:eastAsia="ko-KR"/>
              </w:rPr>
              <w:t>± 137+</w:t>
            </w:r>
            <w:r w:rsidRPr="00F8474E">
              <w:rPr>
                <w:lang w:eastAsia="ko-KR"/>
              </w:rPr>
              <w:sym w:font="Symbol" w:char="F064"/>
            </w:r>
          </w:p>
        </w:tc>
        <w:tc>
          <w:tcPr>
            <w:tcW w:w="714" w:type="dxa"/>
            <w:vMerge w:val="restart"/>
            <w:tcBorders>
              <w:top w:val="single" w:sz="6" w:space="0" w:color="auto"/>
              <w:left w:val="single" w:sz="6" w:space="0" w:color="auto"/>
              <w:bottom w:val="nil"/>
              <w:right w:val="single" w:sz="6" w:space="0" w:color="auto"/>
            </w:tcBorders>
            <w:vAlign w:val="center"/>
            <w:hideMark/>
          </w:tcPr>
          <w:p w14:paraId="4E2D3120" w14:textId="77777777" w:rsidR="00C40BE8" w:rsidRPr="00F8474E" w:rsidRDefault="00C40BE8" w:rsidP="00C40BE8">
            <w:pPr>
              <w:pStyle w:val="TAC"/>
              <w:rPr>
                <w:lang w:val="sv-SE" w:eastAsia="ko-KR"/>
              </w:rPr>
            </w:pPr>
            <w:r w:rsidRPr="00F8474E">
              <w:rPr>
                <w:lang w:val="sv-SE" w:eastAsia="ko-KR"/>
              </w:rPr>
              <w:t>-3</w:t>
            </w:r>
          </w:p>
        </w:tc>
        <w:tc>
          <w:tcPr>
            <w:tcW w:w="1133" w:type="dxa"/>
            <w:vMerge w:val="restart"/>
            <w:tcBorders>
              <w:top w:val="single" w:sz="6" w:space="0" w:color="auto"/>
              <w:left w:val="single" w:sz="6" w:space="0" w:color="auto"/>
              <w:bottom w:val="nil"/>
              <w:right w:val="single" w:sz="6" w:space="0" w:color="auto"/>
            </w:tcBorders>
            <w:vAlign w:val="center"/>
            <w:hideMark/>
          </w:tcPr>
          <w:p w14:paraId="36C28280" w14:textId="77777777" w:rsidR="00C40BE8" w:rsidRPr="00F8474E" w:rsidRDefault="00C40BE8" w:rsidP="00C40BE8">
            <w:pPr>
              <w:pStyle w:val="TAC"/>
              <w:rPr>
                <w:lang w:eastAsia="ko-KR"/>
              </w:rPr>
            </w:pPr>
            <w:r w:rsidRPr="00F8474E">
              <w:rPr>
                <w:rFonts w:cs="Calibri"/>
              </w:rPr>
              <w:t>≥</w:t>
            </w:r>
            <w:r w:rsidRPr="00F8474E">
              <w:t>24</w:t>
            </w:r>
          </w:p>
        </w:tc>
        <w:tc>
          <w:tcPr>
            <w:tcW w:w="709" w:type="dxa"/>
            <w:vMerge w:val="restart"/>
            <w:tcBorders>
              <w:top w:val="single" w:sz="6" w:space="0" w:color="auto"/>
              <w:left w:val="single" w:sz="6" w:space="0" w:color="auto"/>
              <w:bottom w:val="nil"/>
              <w:right w:val="single" w:sz="6" w:space="0" w:color="auto"/>
            </w:tcBorders>
            <w:vAlign w:val="center"/>
            <w:hideMark/>
          </w:tcPr>
          <w:p w14:paraId="5F15353A" w14:textId="77777777" w:rsidR="00C40BE8" w:rsidRPr="00F8474E" w:rsidRDefault="00C40BE8" w:rsidP="00C40BE8">
            <w:pPr>
              <w:pStyle w:val="TAC"/>
              <w:rPr>
                <w:lang w:eastAsia="ko-KR"/>
              </w:rPr>
            </w:pPr>
            <w:r w:rsidRPr="00F8474E">
              <w:rPr>
                <w:lang w:eastAsia="ko-KR"/>
              </w:rPr>
              <w:t>15</w:t>
            </w:r>
          </w:p>
        </w:tc>
        <w:tc>
          <w:tcPr>
            <w:tcW w:w="1832" w:type="dxa"/>
            <w:vMerge w:val="restart"/>
            <w:tcBorders>
              <w:top w:val="single" w:sz="6" w:space="0" w:color="auto"/>
              <w:left w:val="single" w:sz="6" w:space="0" w:color="auto"/>
              <w:bottom w:val="single" w:sz="4" w:space="0" w:color="auto"/>
              <w:right w:val="single" w:sz="6" w:space="0" w:color="auto"/>
            </w:tcBorders>
            <w:vAlign w:val="center"/>
            <w:hideMark/>
          </w:tcPr>
          <w:p w14:paraId="4BA7CBE9" w14:textId="77777777" w:rsidR="00C40BE8" w:rsidRPr="00F8474E" w:rsidRDefault="00C40BE8" w:rsidP="00C40BE8">
            <w:pPr>
              <w:pStyle w:val="TAC"/>
              <w:rPr>
                <w:lang w:eastAsia="ko-KR"/>
              </w:rPr>
            </w:pPr>
            <w:r w:rsidRPr="00F8474E">
              <w:rPr>
                <w:rFonts w:cs="Arial"/>
                <w:szCs w:val="18"/>
              </w:rPr>
              <w:t>≥4</w:t>
            </w:r>
          </w:p>
        </w:tc>
        <w:tc>
          <w:tcPr>
            <w:tcW w:w="2267" w:type="dxa"/>
            <w:tcBorders>
              <w:top w:val="single" w:sz="6" w:space="0" w:color="auto"/>
              <w:left w:val="single" w:sz="6" w:space="0" w:color="auto"/>
              <w:bottom w:val="single" w:sz="6" w:space="0" w:color="auto"/>
              <w:right w:val="single" w:sz="4" w:space="0" w:color="auto"/>
            </w:tcBorders>
            <w:vAlign w:val="center"/>
            <w:hideMark/>
          </w:tcPr>
          <w:p w14:paraId="7F467B50" w14:textId="77777777" w:rsidR="00C40BE8" w:rsidRPr="00F8474E" w:rsidRDefault="00C40BE8" w:rsidP="00C40BE8">
            <w:pPr>
              <w:pStyle w:val="TAC"/>
              <w:rPr>
                <w:lang w:eastAsia="ko-KR"/>
              </w:rPr>
            </w:pPr>
            <w:r w:rsidRPr="00F8474E">
              <w:rPr>
                <w:lang w:eastAsia="ko-KR"/>
              </w:rPr>
              <w:t>NR_FDD_FR1_A, NR_TDD_FR1_A,</w:t>
            </w:r>
          </w:p>
          <w:p w14:paraId="4DF5ABD1" w14:textId="77777777" w:rsidR="00C40BE8" w:rsidRPr="00F8474E" w:rsidRDefault="00C40BE8" w:rsidP="00C40BE8">
            <w:pPr>
              <w:pStyle w:val="TAC"/>
              <w:rPr>
                <w:lang w:eastAsia="ko-KR"/>
              </w:rPr>
            </w:pPr>
            <w:r w:rsidRPr="00F8474E">
              <w:rPr>
                <w:lang w:eastAsia="ko-KR"/>
              </w:rPr>
              <w:t>NR_SDL_FR1_A</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4CD3F39" w14:textId="2462F566" w:rsidR="00C40BE8" w:rsidRPr="00F8474E" w:rsidRDefault="00C40BE8" w:rsidP="00C40BE8">
            <w:pPr>
              <w:pStyle w:val="TAC"/>
              <w:rPr>
                <w:lang w:eastAsia="ko-KR"/>
              </w:rPr>
            </w:pPr>
            <w:r w:rsidRPr="00F8474E">
              <w:t>-127</w:t>
            </w:r>
          </w:p>
        </w:tc>
        <w:tc>
          <w:tcPr>
            <w:tcW w:w="1123" w:type="dxa"/>
            <w:vMerge w:val="restart"/>
            <w:tcBorders>
              <w:top w:val="single" w:sz="6" w:space="0" w:color="auto"/>
              <w:left w:val="single" w:sz="4" w:space="0" w:color="auto"/>
              <w:bottom w:val="single" w:sz="6" w:space="0" w:color="auto"/>
              <w:right w:val="single" w:sz="4" w:space="0" w:color="auto"/>
            </w:tcBorders>
            <w:vAlign w:val="center"/>
            <w:hideMark/>
          </w:tcPr>
          <w:p w14:paraId="30FF66CB" w14:textId="77777777" w:rsidR="00C40BE8" w:rsidRPr="00F8474E" w:rsidRDefault="00C40BE8" w:rsidP="00C40BE8">
            <w:pPr>
              <w:pStyle w:val="TAC"/>
              <w:rPr>
                <w:lang w:eastAsia="ko-KR"/>
              </w:rPr>
            </w:pPr>
            <w:r w:rsidRPr="00F8474E">
              <w:rPr>
                <w:lang w:eastAsia="ko-KR"/>
              </w:rPr>
              <w:t>-50</w:t>
            </w:r>
          </w:p>
        </w:tc>
      </w:tr>
      <w:tr w:rsidR="00C40BE8" w:rsidRPr="00F8474E" w14:paraId="36A65A30"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043C9235" w14:textId="77777777" w:rsidR="00C40BE8" w:rsidRPr="00F8474E" w:rsidRDefault="00C40BE8" w:rsidP="00C40BE8">
            <w:pPr>
              <w:pStyle w:val="TAC"/>
              <w:rPr>
                <w:lang w:eastAsia="ko-KR"/>
              </w:rPr>
            </w:pPr>
          </w:p>
        </w:tc>
        <w:tc>
          <w:tcPr>
            <w:tcW w:w="714" w:type="dxa"/>
            <w:vMerge/>
            <w:tcBorders>
              <w:top w:val="single" w:sz="6" w:space="0" w:color="auto"/>
              <w:left w:val="single" w:sz="6" w:space="0" w:color="auto"/>
              <w:bottom w:val="nil"/>
              <w:right w:val="single" w:sz="6" w:space="0" w:color="auto"/>
            </w:tcBorders>
            <w:vAlign w:val="center"/>
            <w:hideMark/>
          </w:tcPr>
          <w:p w14:paraId="22C1A5E4"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7A05DCDD"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6" w:space="0" w:color="auto"/>
            </w:tcBorders>
            <w:vAlign w:val="center"/>
            <w:hideMark/>
          </w:tcPr>
          <w:p w14:paraId="4DF6FD99" w14:textId="77777777" w:rsidR="00C40BE8" w:rsidRPr="00F8474E" w:rsidRDefault="00C40BE8" w:rsidP="00C40BE8">
            <w:pPr>
              <w:pStyle w:val="TAC"/>
              <w:rPr>
                <w:lang w:eastAsia="ko-KR"/>
              </w:rPr>
            </w:pPr>
          </w:p>
        </w:tc>
        <w:tc>
          <w:tcPr>
            <w:tcW w:w="1832" w:type="dxa"/>
            <w:vMerge/>
            <w:tcBorders>
              <w:top w:val="single" w:sz="6" w:space="0" w:color="auto"/>
              <w:left w:val="single" w:sz="6" w:space="0" w:color="auto"/>
              <w:bottom w:val="single" w:sz="4" w:space="0" w:color="auto"/>
              <w:right w:val="single" w:sz="6" w:space="0" w:color="auto"/>
            </w:tcBorders>
            <w:vAlign w:val="center"/>
            <w:hideMark/>
          </w:tcPr>
          <w:p w14:paraId="176BC567" w14:textId="77777777" w:rsidR="00C40BE8" w:rsidRPr="00F8474E" w:rsidRDefault="00C40BE8" w:rsidP="00C40BE8">
            <w:pPr>
              <w:pStyle w:val="TAC"/>
              <w:rPr>
                <w:lang w:eastAsia="ko-KR"/>
              </w:rPr>
            </w:pPr>
          </w:p>
        </w:tc>
        <w:tc>
          <w:tcPr>
            <w:tcW w:w="2267" w:type="dxa"/>
            <w:tcBorders>
              <w:top w:val="single" w:sz="6" w:space="0" w:color="auto"/>
              <w:left w:val="single" w:sz="6" w:space="0" w:color="auto"/>
              <w:bottom w:val="single" w:sz="6" w:space="0" w:color="auto"/>
              <w:right w:val="single" w:sz="4" w:space="0" w:color="auto"/>
            </w:tcBorders>
            <w:vAlign w:val="center"/>
            <w:hideMark/>
          </w:tcPr>
          <w:p w14:paraId="1C80CCB3" w14:textId="77777777" w:rsidR="00C40BE8" w:rsidRPr="00F8474E" w:rsidRDefault="00C40BE8" w:rsidP="00C40BE8">
            <w:pPr>
              <w:pStyle w:val="TAC"/>
              <w:rPr>
                <w:lang w:eastAsia="ko-KR"/>
              </w:rPr>
            </w:pPr>
            <w:r w:rsidRPr="00F8474E">
              <w:rPr>
                <w:lang w:eastAsia="ko-KR"/>
              </w:rPr>
              <w:t>NR_FDD_FR1_B</w:t>
            </w:r>
          </w:p>
        </w:tc>
        <w:tc>
          <w:tcPr>
            <w:tcW w:w="1289" w:type="dxa"/>
            <w:tcBorders>
              <w:top w:val="single" w:sz="4" w:space="0" w:color="auto"/>
              <w:left w:val="single" w:sz="4" w:space="0" w:color="auto"/>
              <w:bottom w:val="single" w:sz="4" w:space="0" w:color="auto"/>
              <w:right w:val="single" w:sz="4" w:space="0" w:color="auto"/>
            </w:tcBorders>
            <w:hideMark/>
          </w:tcPr>
          <w:p w14:paraId="14399F0F" w14:textId="036D1703" w:rsidR="00C40BE8" w:rsidRPr="00F8474E" w:rsidRDefault="00C40BE8" w:rsidP="00C40BE8">
            <w:pPr>
              <w:pStyle w:val="TAC"/>
              <w:rPr>
                <w:lang w:eastAsia="ko-KR"/>
              </w:rPr>
            </w:pPr>
            <w:r w:rsidRPr="00F8474E">
              <w:t>-126.5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0197C67D" w14:textId="77777777" w:rsidR="00C40BE8" w:rsidRPr="00F8474E" w:rsidRDefault="00C40BE8" w:rsidP="00C40BE8">
            <w:pPr>
              <w:pStyle w:val="TAC"/>
              <w:rPr>
                <w:lang w:eastAsia="ko-KR"/>
              </w:rPr>
            </w:pPr>
          </w:p>
        </w:tc>
      </w:tr>
      <w:tr w:rsidR="00C40BE8" w:rsidRPr="00F8474E" w14:paraId="2C491F95"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26DEC6CC" w14:textId="77777777" w:rsidR="00C40BE8" w:rsidRPr="00F8474E" w:rsidRDefault="00C40BE8" w:rsidP="00C40BE8">
            <w:pPr>
              <w:pStyle w:val="TAC"/>
              <w:rPr>
                <w:lang w:eastAsia="ko-KR"/>
              </w:rPr>
            </w:pPr>
          </w:p>
        </w:tc>
        <w:tc>
          <w:tcPr>
            <w:tcW w:w="714" w:type="dxa"/>
            <w:vMerge/>
            <w:tcBorders>
              <w:top w:val="single" w:sz="6" w:space="0" w:color="auto"/>
              <w:left w:val="single" w:sz="6" w:space="0" w:color="auto"/>
              <w:bottom w:val="nil"/>
              <w:right w:val="single" w:sz="6" w:space="0" w:color="auto"/>
            </w:tcBorders>
            <w:vAlign w:val="center"/>
            <w:hideMark/>
          </w:tcPr>
          <w:p w14:paraId="4B7D3981"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1E13E8F3"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6" w:space="0" w:color="auto"/>
            </w:tcBorders>
            <w:vAlign w:val="center"/>
            <w:hideMark/>
          </w:tcPr>
          <w:p w14:paraId="7CDC7902" w14:textId="77777777" w:rsidR="00C40BE8" w:rsidRPr="00F8474E" w:rsidRDefault="00C40BE8" w:rsidP="00C40BE8">
            <w:pPr>
              <w:pStyle w:val="TAC"/>
              <w:rPr>
                <w:lang w:eastAsia="ko-KR"/>
              </w:rPr>
            </w:pPr>
          </w:p>
        </w:tc>
        <w:tc>
          <w:tcPr>
            <w:tcW w:w="1832" w:type="dxa"/>
            <w:vMerge/>
            <w:tcBorders>
              <w:top w:val="single" w:sz="6" w:space="0" w:color="auto"/>
              <w:left w:val="single" w:sz="6" w:space="0" w:color="auto"/>
              <w:bottom w:val="single" w:sz="4" w:space="0" w:color="auto"/>
              <w:right w:val="single" w:sz="6" w:space="0" w:color="auto"/>
            </w:tcBorders>
            <w:vAlign w:val="center"/>
            <w:hideMark/>
          </w:tcPr>
          <w:p w14:paraId="311B2D8D" w14:textId="77777777" w:rsidR="00C40BE8" w:rsidRPr="00F8474E" w:rsidRDefault="00C40BE8" w:rsidP="00C40BE8">
            <w:pPr>
              <w:pStyle w:val="TAC"/>
              <w:rPr>
                <w:lang w:eastAsia="ko-KR"/>
              </w:rPr>
            </w:pPr>
          </w:p>
        </w:tc>
        <w:tc>
          <w:tcPr>
            <w:tcW w:w="2267" w:type="dxa"/>
            <w:tcBorders>
              <w:top w:val="single" w:sz="6" w:space="0" w:color="auto"/>
              <w:left w:val="single" w:sz="6" w:space="0" w:color="auto"/>
              <w:bottom w:val="single" w:sz="6" w:space="0" w:color="auto"/>
              <w:right w:val="single" w:sz="4" w:space="0" w:color="auto"/>
            </w:tcBorders>
            <w:vAlign w:val="center"/>
            <w:hideMark/>
          </w:tcPr>
          <w:p w14:paraId="7AAF3C62" w14:textId="77777777" w:rsidR="00C40BE8" w:rsidRPr="00F8474E" w:rsidRDefault="00C40BE8" w:rsidP="00C40BE8">
            <w:pPr>
              <w:pStyle w:val="TAC"/>
              <w:rPr>
                <w:lang w:eastAsia="ko-KR"/>
              </w:rPr>
            </w:pPr>
            <w:r w:rsidRPr="00F8474E">
              <w:rPr>
                <w:lang w:eastAsia="ko-KR"/>
              </w:rPr>
              <w:t>NR_TDD_FR1_C</w:t>
            </w:r>
          </w:p>
        </w:tc>
        <w:tc>
          <w:tcPr>
            <w:tcW w:w="1289" w:type="dxa"/>
            <w:tcBorders>
              <w:top w:val="single" w:sz="4" w:space="0" w:color="auto"/>
              <w:left w:val="single" w:sz="4" w:space="0" w:color="auto"/>
              <w:bottom w:val="single" w:sz="4" w:space="0" w:color="auto"/>
              <w:right w:val="single" w:sz="4" w:space="0" w:color="auto"/>
            </w:tcBorders>
            <w:vAlign w:val="center"/>
            <w:hideMark/>
          </w:tcPr>
          <w:p w14:paraId="2FAC645A" w14:textId="0B18701C" w:rsidR="00C40BE8" w:rsidRPr="00F8474E" w:rsidRDefault="00C40BE8" w:rsidP="00C40BE8">
            <w:pPr>
              <w:pStyle w:val="TAC"/>
              <w:rPr>
                <w:lang w:eastAsia="ko-KR"/>
              </w:rPr>
            </w:pPr>
            <w:r w:rsidRPr="00F8474E">
              <w:t>-126</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0392A824" w14:textId="77777777" w:rsidR="00C40BE8" w:rsidRPr="00F8474E" w:rsidRDefault="00C40BE8" w:rsidP="00C40BE8">
            <w:pPr>
              <w:pStyle w:val="TAC"/>
              <w:rPr>
                <w:lang w:eastAsia="ko-KR"/>
              </w:rPr>
            </w:pPr>
          </w:p>
        </w:tc>
      </w:tr>
      <w:tr w:rsidR="00C40BE8" w:rsidRPr="00F8474E" w14:paraId="559827D5"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0C4D5AF1" w14:textId="77777777" w:rsidR="00C40BE8" w:rsidRPr="00F8474E" w:rsidRDefault="00C40BE8" w:rsidP="00C40BE8">
            <w:pPr>
              <w:pStyle w:val="TAC"/>
              <w:rPr>
                <w:lang w:eastAsia="ko-KR"/>
              </w:rPr>
            </w:pPr>
          </w:p>
        </w:tc>
        <w:tc>
          <w:tcPr>
            <w:tcW w:w="714" w:type="dxa"/>
            <w:vMerge/>
            <w:tcBorders>
              <w:top w:val="single" w:sz="6" w:space="0" w:color="auto"/>
              <w:left w:val="single" w:sz="6" w:space="0" w:color="auto"/>
              <w:bottom w:val="nil"/>
              <w:right w:val="single" w:sz="6" w:space="0" w:color="auto"/>
            </w:tcBorders>
            <w:vAlign w:val="center"/>
            <w:hideMark/>
          </w:tcPr>
          <w:p w14:paraId="0EA691CA"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2733BBBD"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6" w:space="0" w:color="auto"/>
            </w:tcBorders>
            <w:vAlign w:val="center"/>
            <w:hideMark/>
          </w:tcPr>
          <w:p w14:paraId="06B614D6" w14:textId="77777777" w:rsidR="00C40BE8" w:rsidRPr="00F8474E" w:rsidRDefault="00C40BE8" w:rsidP="00C40BE8">
            <w:pPr>
              <w:pStyle w:val="TAC"/>
              <w:rPr>
                <w:lang w:eastAsia="ko-KR"/>
              </w:rPr>
            </w:pPr>
          </w:p>
        </w:tc>
        <w:tc>
          <w:tcPr>
            <w:tcW w:w="1832" w:type="dxa"/>
            <w:vMerge/>
            <w:tcBorders>
              <w:top w:val="single" w:sz="6" w:space="0" w:color="auto"/>
              <w:left w:val="single" w:sz="6" w:space="0" w:color="auto"/>
              <w:bottom w:val="single" w:sz="4" w:space="0" w:color="auto"/>
              <w:right w:val="single" w:sz="6" w:space="0" w:color="auto"/>
            </w:tcBorders>
            <w:vAlign w:val="center"/>
            <w:hideMark/>
          </w:tcPr>
          <w:p w14:paraId="1249FAAF" w14:textId="77777777" w:rsidR="00C40BE8" w:rsidRPr="00F8474E" w:rsidRDefault="00C40BE8" w:rsidP="00C40BE8">
            <w:pPr>
              <w:pStyle w:val="TAC"/>
              <w:rPr>
                <w:lang w:eastAsia="ko-KR"/>
              </w:rPr>
            </w:pPr>
          </w:p>
        </w:tc>
        <w:tc>
          <w:tcPr>
            <w:tcW w:w="2267" w:type="dxa"/>
            <w:tcBorders>
              <w:top w:val="single" w:sz="6" w:space="0" w:color="auto"/>
              <w:left w:val="single" w:sz="6" w:space="0" w:color="auto"/>
              <w:bottom w:val="single" w:sz="6" w:space="0" w:color="auto"/>
              <w:right w:val="single" w:sz="4" w:space="0" w:color="auto"/>
            </w:tcBorders>
            <w:vAlign w:val="center"/>
            <w:hideMark/>
          </w:tcPr>
          <w:p w14:paraId="3B22D41B" w14:textId="77777777" w:rsidR="00C40BE8" w:rsidRPr="00F8474E" w:rsidRDefault="00C40BE8" w:rsidP="00C40BE8">
            <w:pPr>
              <w:pStyle w:val="TAC"/>
              <w:rPr>
                <w:lang w:val="sv-SE" w:eastAsia="ko-KR"/>
              </w:rPr>
            </w:pPr>
            <w:r w:rsidRPr="00F8474E">
              <w:rPr>
                <w:lang w:val="sv-SE" w:eastAsia="ko-KR"/>
              </w:rPr>
              <w:t>NR_FDD_FR1_D, NR_TDD_FR1_D</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22FE30E" w14:textId="4391A77B" w:rsidR="00C40BE8" w:rsidRPr="00F8474E" w:rsidRDefault="00C40BE8" w:rsidP="00C40BE8">
            <w:pPr>
              <w:pStyle w:val="TAC"/>
              <w:rPr>
                <w:lang w:eastAsia="ko-KR"/>
              </w:rPr>
            </w:pPr>
            <w:r w:rsidRPr="00F8474E">
              <w:t>-125.5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4226625B" w14:textId="77777777" w:rsidR="00C40BE8" w:rsidRPr="00F8474E" w:rsidRDefault="00C40BE8" w:rsidP="00C40BE8">
            <w:pPr>
              <w:pStyle w:val="TAC"/>
              <w:rPr>
                <w:lang w:eastAsia="ko-KR"/>
              </w:rPr>
            </w:pPr>
          </w:p>
        </w:tc>
      </w:tr>
      <w:tr w:rsidR="00C40BE8" w:rsidRPr="00F8474E" w14:paraId="4D6C562A"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493CEA00" w14:textId="77777777" w:rsidR="00C40BE8" w:rsidRPr="00F8474E" w:rsidRDefault="00C40BE8" w:rsidP="00C40BE8">
            <w:pPr>
              <w:pStyle w:val="TAC"/>
              <w:rPr>
                <w:lang w:eastAsia="ko-KR"/>
              </w:rPr>
            </w:pPr>
          </w:p>
        </w:tc>
        <w:tc>
          <w:tcPr>
            <w:tcW w:w="714" w:type="dxa"/>
            <w:vMerge/>
            <w:tcBorders>
              <w:top w:val="single" w:sz="6" w:space="0" w:color="auto"/>
              <w:left w:val="single" w:sz="6" w:space="0" w:color="auto"/>
              <w:bottom w:val="nil"/>
              <w:right w:val="single" w:sz="6" w:space="0" w:color="auto"/>
            </w:tcBorders>
            <w:vAlign w:val="center"/>
            <w:hideMark/>
          </w:tcPr>
          <w:p w14:paraId="40E9D0C0"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64FA2BEA"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6" w:space="0" w:color="auto"/>
            </w:tcBorders>
            <w:vAlign w:val="center"/>
            <w:hideMark/>
          </w:tcPr>
          <w:p w14:paraId="6C73ABDD" w14:textId="77777777" w:rsidR="00C40BE8" w:rsidRPr="00F8474E" w:rsidRDefault="00C40BE8" w:rsidP="00C40BE8">
            <w:pPr>
              <w:pStyle w:val="TAC"/>
              <w:rPr>
                <w:lang w:eastAsia="ko-KR"/>
              </w:rPr>
            </w:pPr>
          </w:p>
        </w:tc>
        <w:tc>
          <w:tcPr>
            <w:tcW w:w="1832" w:type="dxa"/>
            <w:vMerge/>
            <w:tcBorders>
              <w:top w:val="single" w:sz="6" w:space="0" w:color="auto"/>
              <w:left w:val="single" w:sz="6" w:space="0" w:color="auto"/>
              <w:bottom w:val="single" w:sz="4" w:space="0" w:color="auto"/>
              <w:right w:val="single" w:sz="6" w:space="0" w:color="auto"/>
            </w:tcBorders>
            <w:vAlign w:val="center"/>
            <w:hideMark/>
          </w:tcPr>
          <w:p w14:paraId="2C9520CB" w14:textId="77777777" w:rsidR="00C40BE8" w:rsidRPr="00F8474E" w:rsidRDefault="00C40BE8" w:rsidP="00C40BE8">
            <w:pPr>
              <w:pStyle w:val="TAC"/>
              <w:rPr>
                <w:lang w:eastAsia="ko-KR"/>
              </w:rPr>
            </w:pPr>
          </w:p>
        </w:tc>
        <w:tc>
          <w:tcPr>
            <w:tcW w:w="2267" w:type="dxa"/>
            <w:tcBorders>
              <w:top w:val="single" w:sz="6" w:space="0" w:color="auto"/>
              <w:left w:val="single" w:sz="6" w:space="0" w:color="auto"/>
              <w:bottom w:val="single" w:sz="6" w:space="0" w:color="auto"/>
              <w:right w:val="single" w:sz="4" w:space="0" w:color="auto"/>
            </w:tcBorders>
            <w:vAlign w:val="center"/>
            <w:hideMark/>
          </w:tcPr>
          <w:p w14:paraId="7017C79C" w14:textId="77777777" w:rsidR="00C40BE8" w:rsidRPr="00F8474E" w:rsidRDefault="00C40BE8" w:rsidP="00C40BE8">
            <w:pPr>
              <w:pStyle w:val="TAC"/>
              <w:rPr>
                <w:lang w:val="sv-SE" w:eastAsia="ko-KR"/>
              </w:rPr>
            </w:pPr>
            <w:r w:rsidRPr="00F8474E">
              <w:rPr>
                <w:lang w:val="sv-SE" w:eastAsia="ko-KR"/>
              </w:rPr>
              <w:t>NR_FDD_FR1_E, NR_TDD_FR1_E</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B51B0E5" w14:textId="45D2F432" w:rsidR="00C40BE8" w:rsidRPr="00F8474E" w:rsidRDefault="00C40BE8" w:rsidP="00C40BE8">
            <w:pPr>
              <w:pStyle w:val="TAC"/>
              <w:rPr>
                <w:lang w:eastAsia="ko-KR"/>
              </w:rPr>
            </w:pPr>
            <w:r w:rsidRPr="00F8474E">
              <w:t>-125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67FC1988" w14:textId="77777777" w:rsidR="00C40BE8" w:rsidRPr="00F8474E" w:rsidRDefault="00C40BE8" w:rsidP="00C40BE8">
            <w:pPr>
              <w:pStyle w:val="TAC"/>
              <w:rPr>
                <w:lang w:eastAsia="ko-KR"/>
              </w:rPr>
            </w:pPr>
          </w:p>
        </w:tc>
      </w:tr>
      <w:tr w:rsidR="00C40BE8" w:rsidRPr="00F8474E" w14:paraId="05700500"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50326857" w14:textId="77777777" w:rsidR="00C40BE8" w:rsidRPr="00F8474E" w:rsidRDefault="00C40BE8" w:rsidP="00C40BE8">
            <w:pPr>
              <w:pStyle w:val="TAC"/>
              <w:rPr>
                <w:lang w:eastAsia="ko-KR"/>
              </w:rPr>
            </w:pPr>
          </w:p>
        </w:tc>
        <w:tc>
          <w:tcPr>
            <w:tcW w:w="714" w:type="dxa"/>
            <w:vMerge/>
            <w:tcBorders>
              <w:top w:val="single" w:sz="6" w:space="0" w:color="auto"/>
              <w:left w:val="single" w:sz="6" w:space="0" w:color="auto"/>
              <w:bottom w:val="nil"/>
              <w:right w:val="single" w:sz="6" w:space="0" w:color="auto"/>
            </w:tcBorders>
            <w:vAlign w:val="center"/>
            <w:hideMark/>
          </w:tcPr>
          <w:p w14:paraId="38D9BEB4"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1475C4DA"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6" w:space="0" w:color="auto"/>
            </w:tcBorders>
            <w:vAlign w:val="center"/>
            <w:hideMark/>
          </w:tcPr>
          <w:p w14:paraId="050DA149" w14:textId="77777777" w:rsidR="00C40BE8" w:rsidRPr="00F8474E" w:rsidRDefault="00C40BE8" w:rsidP="00C40BE8">
            <w:pPr>
              <w:pStyle w:val="TAC"/>
              <w:rPr>
                <w:lang w:eastAsia="ko-KR"/>
              </w:rPr>
            </w:pPr>
          </w:p>
        </w:tc>
        <w:tc>
          <w:tcPr>
            <w:tcW w:w="1832" w:type="dxa"/>
            <w:vMerge/>
            <w:tcBorders>
              <w:top w:val="single" w:sz="6" w:space="0" w:color="auto"/>
              <w:left w:val="single" w:sz="6" w:space="0" w:color="auto"/>
              <w:bottom w:val="single" w:sz="4" w:space="0" w:color="auto"/>
              <w:right w:val="single" w:sz="6" w:space="0" w:color="auto"/>
            </w:tcBorders>
            <w:vAlign w:val="center"/>
            <w:hideMark/>
          </w:tcPr>
          <w:p w14:paraId="76F128EF" w14:textId="77777777" w:rsidR="00C40BE8" w:rsidRPr="00F8474E" w:rsidRDefault="00C40BE8" w:rsidP="00C40BE8">
            <w:pPr>
              <w:pStyle w:val="TAC"/>
              <w:rPr>
                <w:lang w:eastAsia="ko-KR"/>
              </w:rPr>
            </w:pPr>
          </w:p>
        </w:tc>
        <w:tc>
          <w:tcPr>
            <w:tcW w:w="2267" w:type="dxa"/>
            <w:tcBorders>
              <w:top w:val="single" w:sz="6" w:space="0" w:color="auto"/>
              <w:left w:val="single" w:sz="6" w:space="0" w:color="auto"/>
              <w:bottom w:val="single" w:sz="6" w:space="0" w:color="auto"/>
              <w:right w:val="single" w:sz="4" w:space="0" w:color="auto"/>
            </w:tcBorders>
            <w:vAlign w:val="center"/>
            <w:hideMark/>
          </w:tcPr>
          <w:p w14:paraId="1CBC5A9A" w14:textId="77777777" w:rsidR="00C40BE8" w:rsidRPr="00F8474E" w:rsidRDefault="00C40BE8" w:rsidP="00C40BE8">
            <w:pPr>
              <w:pStyle w:val="TAC"/>
              <w:rPr>
                <w:lang w:eastAsia="ko-KR"/>
              </w:rPr>
            </w:pPr>
            <w:r w:rsidRPr="00F8474E">
              <w:t>NR_FDD_FR1_F</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0EC9081" w14:textId="48EF0C30" w:rsidR="00C40BE8" w:rsidRPr="00F8474E" w:rsidRDefault="00C40BE8" w:rsidP="00C40BE8">
            <w:pPr>
              <w:pStyle w:val="TAC"/>
              <w:rPr>
                <w:lang w:eastAsia="ko-KR"/>
              </w:rPr>
            </w:pPr>
            <w:r w:rsidRPr="00F8474E">
              <w:t>-124.5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0E704E14" w14:textId="77777777" w:rsidR="00C40BE8" w:rsidRPr="00F8474E" w:rsidRDefault="00C40BE8" w:rsidP="00C40BE8">
            <w:pPr>
              <w:pStyle w:val="TAC"/>
              <w:rPr>
                <w:lang w:eastAsia="ko-KR"/>
              </w:rPr>
            </w:pPr>
          </w:p>
        </w:tc>
      </w:tr>
      <w:tr w:rsidR="00C40BE8" w:rsidRPr="00F8474E" w14:paraId="6FFDA3B8"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357C84AA" w14:textId="77777777" w:rsidR="00C40BE8" w:rsidRPr="00F8474E" w:rsidRDefault="00C40BE8" w:rsidP="00C40BE8">
            <w:pPr>
              <w:pStyle w:val="TAC"/>
              <w:rPr>
                <w:lang w:eastAsia="ko-KR"/>
              </w:rPr>
            </w:pPr>
          </w:p>
        </w:tc>
        <w:tc>
          <w:tcPr>
            <w:tcW w:w="714" w:type="dxa"/>
            <w:vMerge/>
            <w:tcBorders>
              <w:top w:val="single" w:sz="6" w:space="0" w:color="auto"/>
              <w:left w:val="single" w:sz="6" w:space="0" w:color="auto"/>
              <w:bottom w:val="nil"/>
              <w:right w:val="single" w:sz="6" w:space="0" w:color="auto"/>
            </w:tcBorders>
            <w:vAlign w:val="center"/>
            <w:hideMark/>
          </w:tcPr>
          <w:p w14:paraId="04FA3DAC"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0F1CAB6E"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6" w:space="0" w:color="auto"/>
            </w:tcBorders>
            <w:vAlign w:val="center"/>
            <w:hideMark/>
          </w:tcPr>
          <w:p w14:paraId="59E95A6D" w14:textId="77777777" w:rsidR="00C40BE8" w:rsidRPr="00F8474E" w:rsidRDefault="00C40BE8" w:rsidP="00C40BE8">
            <w:pPr>
              <w:pStyle w:val="TAC"/>
              <w:rPr>
                <w:lang w:eastAsia="ko-KR"/>
              </w:rPr>
            </w:pPr>
          </w:p>
        </w:tc>
        <w:tc>
          <w:tcPr>
            <w:tcW w:w="1832" w:type="dxa"/>
            <w:vMerge/>
            <w:tcBorders>
              <w:top w:val="single" w:sz="6" w:space="0" w:color="auto"/>
              <w:left w:val="single" w:sz="6" w:space="0" w:color="auto"/>
              <w:bottom w:val="single" w:sz="4" w:space="0" w:color="auto"/>
              <w:right w:val="single" w:sz="6" w:space="0" w:color="auto"/>
            </w:tcBorders>
            <w:vAlign w:val="center"/>
            <w:hideMark/>
          </w:tcPr>
          <w:p w14:paraId="683EDBAA" w14:textId="77777777" w:rsidR="00C40BE8" w:rsidRPr="00F8474E" w:rsidRDefault="00C40BE8" w:rsidP="00C40BE8">
            <w:pPr>
              <w:pStyle w:val="TAC"/>
              <w:rPr>
                <w:lang w:eastAsia="ko-KR"/>
              </w:rPr>
            </w:pPr>
          </w:p>
        </w:tc>
        <w:tc>
          <w:tcPr>
            <w:tcW w:w="2267" w:type="dxa"/>
            <w:tcBorders>
              <w:top w:val="single" w:sz="6" w:space="0" w:color="auto"/>
              <w:left w:val="single" w:sz="6" w:space="0" w:color="auto"/>
              <w:bottom w:val="single" w:sz="6" w:space="0" w:color="auto"/>
              <w:right w:val="single" w:sz="4" w:space="0" w:color="auto"/>
            </w:tcBorders>
            <w:vAlign w:val="center"/>
            <w:hideMark/>
          </w:tcPr>
          <w:p w14:paraId="4E7E0151" w14:textId="77777777" w:rsidR="00C40BE8" w:rsidRPr="00F8474E" w:rsidRDefault="00C40BE8" w:rsidP="00C40BE8">
            <w:pPr>
              <w:pStyle w:val="TAC"/>
              <w:rPr>
                <w:lang w:eastAsia="ko-KR"/>
              </w:rPr>
            </w:pPr>
            <w:r w:rsidRPr="00F8474E">
              <w:t>NR</w:t>
            </w:r>
            <w:r w:rsidRPr="00F8474E">
              <w:rPr>
                <w:lang w:eastAsia="ko-KR"/>
              </w:rPr>
              <w:t>_</w:t>
            </w:r>
            <w:r w:rsidRPr="00F8474E">
              <w:t>FDD_FR1_G, NR_TDD_FR1_G</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305643B" w14:textId="15B3681B" w:rsidR="00C40BE8" w:rsidRPr="00F8474E" w:rsidRDefault="00C40BE8" w:rsidP="00C40BE8">
            <w:pPr>
              <w:pStyle w:val="TAC"/>
              <w:rPr>
                <w:lang w:eastAsia="ko-KR"/>
              </w:rPr>
            </w:pPr>
            <w:r w:rsidRPr="00F8474E">
              <w:t>-124</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10E3032E" w14:textId="77777777" w:rsidR="00C40BE8" w:rsidRPr="00F8474E" w:rsidRDefault="00C40BE8" w:rsidP="00C40BE8">
            <w:pPr>
              <w:pStyle w:val="TAC"/>
              <w:rPr>
                <w:lang w:eastAsia="ko-KR"/>
              </w:rPr>
            </w:pPr>
          </w:p>
        </w:tc>
      </w:tr>
      <w:tr w:rsidR="00C40BE8" w:rsidRPr="00F8474E" w14:paraId="6FDB7752"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707EC9E5" w14:textId="77777777" w:rsidR="00C40BE8" w:rsidRPr="00F8474E" w:rsidRDefault="00C40BE8" w:rsidP="00C40BE8">
            <w:pPr>
              <w:pStyle w:val="TAC"/>
              <w:rPr>
                <w:lang w:eastAsia="ko-KR"/>
              </w:rPr>
            </w:pPr>
          </w:p>
        </w:tc>
        <w:tc>
          <w:tcPr>
            <w:tcW w:w="714" w:type="dxa"/>
            <w:vMerge/>
            <w:tcBorders>
              <w:top w:val="single" w:sz="6" w:space="0" w:color="auto"/>
              <w:left w:val="single" w:sz="6" w:space="0" w:color="auto"/>
              <w:bottom w:val="nil"/>
              <w:right w:val="single" w:sz="6" w:space="0" w:color="auto"/>
            </w:tcBorders>
            <w:vAlign w:val="center"/>
            <w:hideMark/>
          </w:tcPr>
          <w:p w14:paraId="4B14405D"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62F61875"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6" w:space="0" w:color="auto"/>
            </w:tcBorders>
            <w:vAlign w:val="center"/>
            <w:hideMark/>
          </w:tcPr>
          <w:p w14:paraId="16153731" w14:textId="77777777" w:rsidR="00C40BE8" w:rsidRPr="00F8474E" w:rsidRDefault="00C40BE8" w:rsidP="00C40BE8">
            <w:pPr>
              <w:pStyle w:val="TAC"/>
              <w:rPr>
                <w:lang w:eastAsia="ko-KR"/>
              </w:rPr>
            </w:pPr>
          </w:p>
        </w:tc>
        <w:tc>
          <w:tcPr>
            <w:tcW w:w="1832" w:type="dxa"/>
            <w:vMerge/>
            <w:tcBorders>
              <w:top w:val="single" w:sz="6" w:space="0" w:color="auto"/>
              <w:left w:val="single" w:sz="6" w:space="0" w:color="auto"/>
              <w:bottom w:val="single" w:sz="4" w:space="0" w:color="auto"/>
              <w:right w:val="single" w:sz="6" w:space="0" w:color="auto"/>
            </w:tcBorders>
            <w:vAlign w:val="center"/>
            <w:hideMark/>
          </w:tcPr>
          <w:p w14:paraId="46F321DA" w14:textId="77777777" w:rsidR="00C40BE8" w:rsidRPr="00F8474E" w:rsidRDefault="00C40BE8" w:rsidP="00C40BE8">
            <w:pPr>
              <w:pStyle w:val="TAC"/>
              <w:rPr>
                <w:lang w:eastAsia="ko-KR"/>
              </w:rPr>
            </w:pPr>
          </w:p>
        </w:tc>
        <w:tc>
          <w:tcPr>
            <w:tcW w:w="2267" w:type="dxa"/>
            <w:tcBorders>
              <w:top w:val="single" w:sz="6" w:space="0" w:color="auto"/>
              <w:left w:val="single" w:sz="6" w:space="0" w:color="auto"/>
              <w:bottom w:val="single" w:sz="6" w:space="0" w:color="auto"/>
              <w:right w:val="single" w:sz="4" w:space="0" w:color="auto"/>
            </w:tcBorders>
            <w:vAlign w:val="center"/>
            <w:hideMark/>
          </w:tcPr>
          <w:p w14:paraId="786673DF" w14:textId="77777777" w:rsidR="00C40BE8" w:rsidRPr="00F8474E" w:rsidRDefault="00C40BE8" w:rsidP="00C40BE8">
            <w:pPr>
              <w:pStyle w:val="TAC"/>
              <w:rPr>
                <w:lang w:eastAsia="ko-KR"/>
              </w:rPr>
            </w:pPr>
            <w:r w:rsidRPr="00F8474E">
              <w:t>NR</w:t>
            </w:r>
            <w:r w:rsidRPr="00F8474E">
              <w:rPr>
                <w:lang w:eastAsia="ko-KR"/>
              </w:rPr>
              <w:t>_</w:t>
            </w:r>
            <w:r w:rsidRPr="00F8474E">
              <w:t>FDD_FR1_H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D781D63" w14:textId="1EAD7F0B" w:rsidR="00C40BE8" w:rsidRPr="00F8474E" w:rsidRDefault="00C40BE8" w:rsidP="00C40BE8">
            <w:pPr>
              <w:pStyle w:val="TAC"/>
              <w:rPr>
                <w:lang w:eastAsia="ko-KR"/>
              </w:rPr>
            </w:pPr>
            <w:r w:rsidRPr="00F8474E">
              <w:t>-123.5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540C1DAE" w14:textId="77777777" w:rsidR="00C40BE8" w:rsidRPr="00F8474E" w:rsidRDefault="00C40BE8" w:rsidP="00C40BE8">
            <w:pPr>
              <w:pStyle w:val="TAC"/>
              <w:rPr>
                <w:lang w:eastAsia="ko-KR"/>
              </w:rPr>
            </w:pPr>
          </w:p>
        </w:tc>
      </w:tr>
      <w:tr w:rsidR="00C40BE8" w:rsidRPr="00F8474E" w14:paraId="369C5BEC" w14:textId="77777777" w:rsidTr="00FA482E">
        <w:trPr>
          <w:jc w:val="center"/>
        </w:trPr>
        <w:tc>
          <w:tcPr>
            <w:tcW w:w="1133" w:type="dxa"/>
            <w:tcBorders>
              <w:top w:val="single" w:sz="6" w:space="0" w:color="auto"/>
              <w:left w:val="single" w:sz="4" w:space="0" w:color="auto"/>
              <w:bottom w:val="nil"/>
              <w:right w:val="single" w:sz="6" w:space="0" w:color="auto"/>
            </w:tcBorders>
            <w:vAlign w:val="center"/>
            <w:hideMark/>
          </w:tcPr>
          <w:p w14:paraId="517D8032" w14:textId="77777777" w:rsidR="00C40BE8" w:rsidRPr="00F8474E" w:rsidRDefault="00C40BE8" w:rsidP="00C40BE8">
            <w:pPr>
              <w:pStyle w:val="TAC"/>
              <w:rPr>
                <w:lang w:eastAsia="ko-KR"/>
              </w:rPr>
            </w:pPr>
            <w:r w:rsidRPr="00F8474E">
              <w:rPr>
                <w:lang w:eastAsia="ko-KR"/>
              </w:rPr>
              <w:t>± 96+</w:t>
            </w:r>
            <w:r w:rsidRPr="00F8474E">
              <w:rPr>
                <w:lang w:eastAsia="ko-KR"/>
              </w:rPr>
              <w:sym w:font="Symbol" w:char="F064"/>
            </w:r>
          </w:p>
        </w:tc>
        <w:tc>
          <w:tcPr>
            <w:tcW w:w="714" w:type="dxa"/>
            <w:vMerge/>
            <w:tcBorders>
              <w:top w:val="single" w:sz="6" w:space="0" w:color="auto"/>
              <w:left w:val="single" w:sz="6" w:space="0" w:color="auto"/>
              <w:bottom w:val="nil"/>
              <w:right w:val="single" w:sz="6" w:space="0" w:color="auto"/>
            </w:tcBorders>
            <w:vAlign w:val="center"/>
            <w:hideMark/>
          </w:tcPr>
          <w:p w14:paraId="56ABDE4C"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1A7BE52D" w14:textId="77777777" w:rsidR="00C40BE8" w:rsidRPr="00F8474E" w:rsidRDefault="00C40BE8" w:rsidP="00C40BE8">
            <w:pPr>
              <w:pStyle w:val="TAC"/>
              <w:rPr>
                <w:lang w:eastAsia="ko-KR"/>
              </w:rPr>
            </w:pPr>
            <w:r w:rsidRPr="00F8474E">
              <w:rPr>
                <w:rFonts w:cs="Calibri"/>
              </w:rPr>
              <w:t>≥</w:t>
            </w:r>
            <w:r w:rsidRPr="00F8474E">
              <w:t>52</w:t>
            </w:r>
          </w:p>
        </w:tc>
        <w:tc>
          <w:tcPr>
            <w:tcW w:w="709" w:type="dxa"/>
            <w:vMerge/>
            <w:tcBorders>
              <w:top w:val="single" w:sz="6" w:space="0" w:color="auto"/>
              <w:left w:val="single" w:sz="6" w:space="0" w:color="auto"/>
              <w:bottom w:val="nil"/>
              <w:right w:val="single" w:sz="6" w:space="0" w:color="auto"/>
            </w:tcBorders>
            <w:vAlign w:val="center"/>
            <w:hideMark/>
          </w:tcPr>
          <w:p w14:paraId="1E13A17A" w14:textId="77777777" w:rsidR="00C40BE8" w:rsidRPr="00F8474E" w:rsidRDefault="00C40BE8" w:rsidP="00C40BE8">
            <w:pPr>
              <w:pStyle w:val="TAC"/>
              <w:rPr>
                <w:lang w:eastAsia="ko-KR"/>
              </w:rPr>
            </w:pPr>
          </w:p>
        </w:tc>
        <w:tc>
          <w:tcPr>
            <w:tcW w:w="1832" w:type="dxa"/>
            <w:tcBorders>
              <w:top w:val="single" w:sz="4" w:space="0" w:color="auto"/>
              <w:left w:val="single" w:sz="6" w:space="0" w:color="auto"/>
              <w:bottom w:val="single" w:sz="4" w:space="0" w:color="auto"/>
              <w:right w:val="single" w:sz="4" w:space="0" w:color="auto"/>
            </w:tcBorders>
            <w:vAlign w:val="center"/>
            <w:hideMark/>
          </w:tcPr>
          <w:p w14:paraId="72268CA6"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4BEEB982"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204F9E26"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2972DD31" w14:textId="77777777" w:rsidR="00C40BE8" w:rsidRPr="00F8474E" w:rsidRDefault="00C40BE8" w:rsidP="00C40BE8">
            <w:pPr>
              <w:pStyle w:val="TAC"/>
              <w:rPr>
                <w:lang w:eastAsia="ko-KR"/>
              </w:rPr>
            </w:pPr>
            <w:r w:rsidRPr="00F8474E">
              <w:rPr>
                <w:lang w:eastAsia="ko-KR"/>
              </w:rPr>
              <w:t>NOTE 6</w:t>
            </w:r>
          </w:p>
        </w:tc>
      </w:tr>
      <w:tr w:rsidR="00C40BE8" w:rsidRPr="00F8474E" w14:paraId="1763DBA8" w14:textId="77777777" w:rsidTr="00FA482E">
        <w:trPr>
          <w:jc w:val="center"/>
        </w:trPr>
        <w:tc>
          <w:tcPr>
            <w:tcW w:w="1133" w:type="dxa"/>
            <w:tcBorders>
              <w:top w:val="single" w:sz="6" w:space="0" w:color="auto"/>
              <w:left w:val="single" w:sz="4" w:space="0" w:color="auto"/>
              <w:bottom w:val="nil"/>
              <w:right w:val="single" w:sz="6" w:space="0" w:color="auto"/>
            </w:tcBorders>
            <w:vAlign w:val="center"/>
            <w:hideMark/>
          </w:tcPr>
          <w:p w14:paraId="277F2C47" w14:textId="77777777" w:rsidR="00C40BE8" w:rsidRPr="00F8474E" w:rsidRDefault="00C40BE8" w:rsidP="00C40BE8">
            <w:pPr>
              <w:pStyle w:val="TAC"/>
              <w:rPr>
                <w:lang w:eastAsia="ko-KR"/>
              </w:rPr>
            </w:pPr>
            <w:r w:rsidRPr="00F8474E">
              <w:rPr>
                <w:lang w:eastAsia="ko-KR"/>
              </w:rPr>
              <w:t>± 62+</w:t>
            </w:r>
            <w:r w:rsidRPr="00F8474E">
              <w:rPr>
                <w:lang w:eastAsia="ko-KR"/>
              </w:rPr>
              <w:sym w:font="Symbol" w:char="F064"/>
            </w:r>
          </w:p>
        </w:tc>
        <w:tc>
          <w:tcPr>
            <w:tcW w:w="714" w:type="dxa"/>
            <w:vMerge/>
            <w:tcBorders>
              <w:top w:val="single" w:sz="6" w:space="0" w:color="auto"/>
              <w:left w:val="single" w:sz="6" w:space="0" w:color="auto"/>
              <w:bottom w:val="nil"/>
              <w:right w:val="single" w:sz="6" w:space="0" w:color="auto"/>
            </w:tcBorders>
            <w:vAlign w:val="center"/>
            <w:hideMark/>
          </w:tcPr>
          <w:p w14:paraId="54D25477"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23FF4DAC" w14:textId="77777777" w:rsidR="00C40BE8" w:rsidRPr="00F8474E" w:rsidRDefault="00C40BE8" w:rsidP="00C40BE8">
            <w:pPr>
              <w:pStyle w:val="TAC"/>
              <w:rPr>
                <w:lang w:eastAsia="ko-KR"/>
              </w:rPr>
            </w:pPr>
            <w:r w:rsidRPr="00F8474E">
              <w:rPr>
                <w:lang w:eastAsia="zh-CN"/>
              </w:rPr>
              <w:t>&gt;104</w:t>
            </w:r>
          </w:p>
        </w:tc>
        <w:tc>
          <w:tcPr>
            <w:tcW w:w="709" w:type="dxa"/>
            <w:vMerge/>
            <w:tcBorders>
              <w:top w:val="single" w:sz="6" w:space="0" w:color="auto"/>
              <w:left w:val="single" w:sz="6" w:space="0" w:color="auto"/>
              <w:bottom w:val="nil"/>
              <w:right w:val="single" w:sz="6" w:space="0" w:color="auto"/>
            </w:tcBorders>
            <w:vAlign w:val="center"/>
            <w:hideMark/>
          </w:tcPr>
          <w:p w14:paraId="14537D4E" w14:textId="77777777" w:rsidR="00C40BE8" w:rsidRPr="00F8474E" w:rsidRDefault="00C40BE8" w:rsidP="00C40BE8">
            <w:pPr>
              <w:pStyle w:val="TAC"/>
              <w:rPr>
                <w:lang w:eastAsia="ko-KR"/>
              </w:rPr>
            </w:pPr>
          </w:p>
        </w:tc>
        <w:tc>
          <w:tcPr>
            <w:tcW w:w="1832" w:type="dxa"/>
            <w:tcBorders>
              <w:top w:val="single" w:sz="4" w:space="0" w:color="auto"/>
              <w:left w:val="single" w:sz="6" w:space="0" w:color="auto"/>
              <w:bottom w:val="single" w:sz="4" w:space="0" w:color="auto"/>
              <w:right w:val="single" w:sz="4" w:space="0" w:color="auto"/>
            </w:tcBorders>
            <w:hideMark/>
          </w:tcPr>
          <w:p w14:paraId="61FAC731"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6CB882EE"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7D83E662"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482A3C9B" w14:textId="77777777" w:rsidR="00C40BE8" w:rsidRPr="00F8474E" w:rsidRDefault="00C40BE8" w:rsidP="00C40BE8">
            <w:pPr>
              <w:pStyle w:val="TAC"/>
              <w:rPr>
                <w:lang w:eastAsia="ko-KR"/>
              </w:rPr>
            </w:pPr>
            <w:r w:rsidRPr="00F8474E">
              <w:rPr>
                <w:lang w:eastAsia="ko-KR"/>
              </w:rPr>
              <w:t>NOTE 6</w:t>
            </w:r>
          </w:p>
        </w:tc>
      </w:tr>
      <w:tr w:rsidR="00C40BE8" w:rsidRPr="00F8474E" w14:paraId="14328761" w14:textId="77777777" w:rsidTr="00FA482E">
        <w:trPr>
          <w:trHeight w:val="24"/>
          <w:jc w:val="center"/>
        </w:trPr>
        <w:tc>
          <w:tcPr>
            <w:tcW w:w="1133" w:type="dxa"/>
            <w:vMerge w:val="restart"/>
            <w:tcBorders>
              <w:top w:val="single" w:sz="6" w:space="0" w:color="auto"/>
              <w:left w:val="single" w:sz="4" w:space="0" w:color="auto"/>
              <w:bottom w:val="nil"/>
              <w:right w:val="single" w:sz="6" w:space="0" w:color="auto"/>
            </w:tcBorders>
            <w:vAlign w:val="center"/>
            <w:hideMark/>
          </w:tcPr>
          <w:p w14:paraId="6CEE6B3C" w14:textId="77777777" w:rsidR="00C40BE8" w:rsidRPr="00F8474E" w:rsidRDefault="00C40BE8" w:rsidP="00C40BE8">
            <w:pPr>
              <w:pStyle w:val="TAC"/>
              <w:rPr>
                <w:lang w:eastAsia="ko-KR"/>
              </w:rPr>
            </w:pPr>
            <w:r w:rsidRPr="00F8474E">
              <w:rPr>
                <w:lang w:eastAsia="ko-KR"/>
              </w:rPr>
              <w:t>± 87+</w:t>
            </w:r>
            <w:r w:rsidRPr="00F8474E">
              <w:rPr>
                <w:lang w:eastAsia="ko-KR"/>
              </w:rPr>
              <w:sym w:font="Symbol" w:char="F064"/>
            </w:r>
          </w:p>
        </w:tc>
        <w:tc>
          <w:tcPr>
            <w:tcW w:w="714" w:type="dxa"/>
            <w:vMerge w:val="restart"/>
            <w:tcBorders>
              <w:top w:val="nil"/>
              <w:left w:val="single" w:sz="6" w:space="0" w:color="auto"/>
              <w:bottom w:val="nil"/>
              <w:right w:val="single" w:sz="6" w:space="0" w:color="auto"/>
            </w:tcBorders>
            <w:vAlign w:val="center"/>
          </w:tcPr>
          <w:p w14:paraId="1194C746" w14:textId="77777777" w:rsidR="00C40BE8" w:rsidRPr="00F8474E" w:rsidRDefault="00C40BE8" w:rsidP="00C40BE8">
            <w:pPr>
              <w:pStyle w:val="TAC"/>
              <w:rPr>
                <w:lang w:val="sv-SE" w:eastAsia="ko-KR"/>
              </w:rPr>
            </w:pPr>
          </w:p>
        </w:tc>
        <w:tc>
          <w:tcPr>
            <w:tcW w:w="1133" w:type="dxa"/>
            <w:vMerge w:val="restart"/>
            <w:tcBorders>
              <w:top w:val="single" w:sz="6" w:space="0" w:color="auto"/>
              <w:left w:val="single" w:sz="6" w:space="0" w:color="auto"/>
              <w:bottom w:val="nil"/>
              <w:right w:val="single" w:sz="6" w:space="0" w:color="auto"/>
            </w:tcBorders>
            <w:vAlign w:val="center"/>
            <w:hideMark/>
          </w:tcPr>
          <w:p w14:paraId="13AD8041" w14:textId="77777777" w:rsidR="00C40BE8" w:rsidRPr="00F8474E" w:rsidRDefault="00C40BE8" w:rsidP="00C40BE8">
            <w:pPr>
              <w:pStyle w:val="TAC"/>
              <w:rPr>
                <w:lang w:eastAsia="ko-KR"/>
              </w:rPr>
            </w:pPr>
            <w:r w:rsidRPr="00F8474E">
              <w:rPr>
                <w:rFonts w:cs="Calibri"/>
              </w:rPr>
              <w:t>≥</w:t>
            </w:r>
            <w:r w:rsidRPr="00F8474E">
              <w:t>24</w:t>
            </w:r>
          </w:p>
        </w:tc>
        <w:tc>
          <w:tcPr>
            <w:tcW w:w="709" w:type="dxa"/>
            <w:vMerge w:val="restart"/>
            <w:tcBorders>
              <w:top w:val="single" w:sz="6" w:space="0" w:color="auto"/>
              <w:left w:val="single" w:sz="6" w:space="0" w:color="auto"/>
              <w:bottom w:val="nil"/>
              <w:right w:val="single" w:sz="4" w:space="0" w:color="auto"/>
            </w:tcBorders>
            <w:vAlign w:val="center"/>
            <w:hideMark/>
          </w:tcPr>
          <w:p w14:paraId="021DFD75" w14:textId="77777777" w:rsidR="00C40BE8" w:rsidRPr="00F8474E" w:rsidRDefault="00C40BE8" w:rsidP="00C40BE8">
            <w:pPr>
              <w:pStyle w:val="TAC"/>
              <w:rPr>
                <w:lang w:eastAsia="ko-KR"/>
              </w:rPr>
            </w:pPr>
            <w:r w:rsidRPr="00F8474E">
              <w:rPr>
                <w:lang w:eastAsia="ko-KR"/>
              </w:rPr>
              <w:t>30</w:t>
            </w:r>
          </w:p>
        </w:tc>
        <w:tc>
          <w:tcPr>
            <w:tcW w:w="1832" w:type="dxa"/>
            <w:vMerge w:val="restart"/>
            <w:tcBorders>
              <w:top w:val="single" w:sz="4" w:space="0" w:color="auto"/>
              <w:left w:val="single" w:sz="4" w:space="0" w:color="auto"/>
              <w:bottom w:val="single" w:sz="4" w:space="0" w:color="auto"/>
              <w:right w:val="single" w:sz="4" w:space="0" w:color="auto"/>
            </w:tcBorders>
            <w:vAlign w:val="center"/>
            <w:hideMark/>
          </w:tcPr>
          <w:p w14:paraId="53911BB0" w14:textId="77777777" w:rsidR="00C40BE8" w:rsidRPr="00F8474E" w:rsidRDefault="00C40BE8" w:rsidP="00C40BE8">
            <w:pPr>
              <w:pStyle w:val="TAC"/>
              <w:rPr>
                <w:lang w:eastAsia="ko-KR"/>
              </w:rPr>
            </w:pPr>
            <w:r w:rsidRPr="00F8474E">
              <w:rPr>
                <w:rFonts w:cs="Arial"/>
                <w:szCs w:val="18"/>
              </w:rPr>
              <w:t>≥4</w:t>
            </w:r>
          </w:p>
        </w:tc>
        <w:tc>
          <w:tcPr>
            <w:tcW w:w="2267" w:type="dxa"/>
            <w:tcBorders>
              <w:top w:val="single" w:sz="6" w:space="0" w:color="auto"/>
              <w:left w:val="single" w:sz="4" w:space="0" w:color="auto"/>
              <w:bottom w:val="single" w:sz="6" w:space="0" w:color="auto"/>
              <w:right w:val="single" w:sz="4" w:space="0" w:color="auto"/>
            </w:tcBorders>
            <w:vAlign w:val="center"/>
            <w:hideMark/>
          </w:tcPr>
          <w:p w14:paraId="00E012E6" w14:textId="77777777" w:rsidR="00C40BE8" w:rsidRPr="00F8474E" w:rsidRDefault="00C40BE8" w:rsidP="00C40BE8">
            <w:pPr>
              <w:pStyle w:val="TAC"/>
              <w:rPr>
                <w:lang w:eastAsia="ko-KR"/>
              </w:rPr>
            </w:pPr>
            <w:r w:rsidRPr="00F8474E">
              <w:rPr>
                <w:lang w:eastAsia="ko-KR"/>
              </w:rPr>
              <w:t>NR_FDD_FR1_A, NR_TDD_FR1_A,</w:t>
            </w:r>
          </w:p>
          <w:p w14:paraId="2F41B183" w14:textId="77777777" w:rsidR="00C40BE8" w:rsidRPr="00F8474E" w:rsidRDefault="00C40BE8" w:rsidP="00C40BE8">
            <w:pPr>
              <w:pStyle w:val="TAC"/>
              <w:rPr>
                <w:lang w:eastAsia="ko-KR"/>
              </w:rPr>
            </w:pPr>
            <w:r w:rsidRPr="00F8474E">
              <w:rPr>
                <w:lang w:eastAsia="ko-KR"/>
              </w:rPr>
              <w:t>NR_SDL_FR1_A</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643ABA9" w14:textId="00EF9B6C" w:rsidR="00C40BE8" w:rsidRPr="00F8474E" w:rsidRDefault="00C40BE8" w:rsidP="00C40BE8">
            <w:pPr>
              <w:pStyle w:val="TAC"/>
              <w:rPr>
                <w:lang w:eastAsia="ko-KR"/>
              </w:rPr>
            </w:pPr>
            <w:r w:rsidRPr="00F8474E">
              <w:t>-124</w:t>
            </w:r>
          </w:p>
        </w:tc>
        <w:tc>
          <w:tcPr>
            <w:tcW w:w="1123" w:type="dxa"/>
            <w:vMerge w:val="restart"/>
            <w:tcBorders>
              <w:top w:val="single" w:sz="6" w:space="0" w:color="auto"/>
              <w:left w:val="single" w:sz="4" w:space="0" w:color="auto"/>
              <w:bottom w:val="single" w:sz="6" w:space="0" w:color="auto"/>
              <w:right w:val="single" w:sz="4" w:space="0" w:color="auto"/>
            </w:tcBorders>
            <w:vAlign w:val="center"/>
            <w:hideMark/>
          </w:tcPr>
          <w:p w14:paraId="6D1D32CB" w14:textId="77777777" w:rsidR="00C40BE8" w:rsidRPr="00F8474E" w:rsidRDefault="00C40BE8" w:rsidP="00C40BE8">
            <w:pPr>
              <w:pStyle w:val="TAC"/>
              <w:rPr>
                <w:lang w:eastAsia="ko-KR"/>
              </w:rPr>
            </w:pPr>
            <w:r w:rsidRPr="00F8474E">
              <w:rPr>
                <w:lang w:eastAsia="ko-KR"/>
              </w:rPr>
              <w:t>-50</w:t>
            </w:r>
          </w:p>
        </w:tc>
      </w:tr>
      <w:tr w:rsidR="00C40BE8" w:rsidRPr="00F8474E" w14:paraId="32C0D2DE" w14:textId="77777777" w:rsidTr="00FA482E">
        <w:trPr>
          <w:trHeight w:val="21"/>
          <w:jc w:val="center"/>
        </w:trPr>
        <w:tc>
          <w:tcPr>
            <w:tcW w:w="1133" w:type="dxa"/>
            <w:vMerge/>
            <w:tcBorders>
              <w:top w:val="single" w:sz="6" w:space="0" w:color="auto"/>
              <w:left w:val="single" w:sz="4" w:space="0" w:color="auto"/>
              <w:bottom w:val="nil"/>
              <w:right w:val="single" w:sz="6" w:space="0" w:color="auto"/>
            </w:tcBorders>
            <w:vAlign w:val="center"/>
            <w:hideMark/>
          </w:tcPr>
          <w:p w14:paraId="71804636"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61128BBD"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1F87B0E5"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339A15DD"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39457C81"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39C623B3" w14:textId="77777777" w:rsidR="00C40BE8" w:rsidRPr="00F8474E" w:rsidRDefault="00C40BE8" w:rsidP="00C40BE8">
            <w:pPr>
              <w:pStyle w:val="TAC"/>
              <w:rPr>
                <w:lang w:eastAsia="ko-KR"/>
              </w:rPr>
            </w:pPr>
            <w:r w:rsidRPr="00F8474E">
              <w:rPr>
                <w:lang w:eastAsia="ko-KR"/>
              </w:rPr>
              <w:t>NR_FDD_FR1_B</w:t>
            </w:r>
          </w:p>
        </w:tc>
        <w:tc>
          <w:tcPr>
            <w:tcW w:w="1289" w:type="dxa"/>
            <w:tcBorders>
              <w:top w:val="single" w:sz="4" w:space="0" w:color="auto"/>
              <w:left w:val="single" w:sz="4" w:space="0" w:color="auto"/>
              <w:bottom w:val="single" w:sz="4" w:space="0" w:color="auto"/>
              <w:right w:val="single" w:sz="4" w:space="0" w:color="auto"/>
            </w:tcBorders>
            <w:hideMark/>
          </w:tcPr>
          <w:p w14:paraId="015464C5" w14:textId="032A2A39" w:rsidR="00C40BE8" w:rsidRPr="00F8474E" w:rsidRDefault="00C40BE8" w:rsidP="00C40BE8">
            <w:pPr>
              <w:pStyle w:val="TAC"/>
              <w:rPr>
                <w:lang w:eastAsia="ko-KR"/>
              </w:rPr>
            </w:pPr>
            <w:r w:rsidRPr="00F8474E">
              <w:t>-123.5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1DAA8BC5" w14:textId="77777777" w:rsidR="00C40BE8" w:rsidRPr="00F8474E" w:rsidRDefault="00C40BE8" w:rsidP="00C40BE8">
            <w:pPr>
              <w:pStyle w:val="TAC"/>
              <w:rPr>
                <w:lang w:eastAsia="ko-KR"/>
              </w:rPr>
            </w:pPr>
          </w:p>
        </w:tc>
      </w:tr>
      <w:tr w:rsidR="00C40BE8" w:rsidRPr="00F8474E" w14:paraId="40A5288A" w14:textId="77777777" w:rsidTr="00FA482E">
        <w:trPr>
          <w:trHeight w:val="21"/>
          <w:jc w:val="center"/>
        </w:trPr>
        <w:tc>
          <w:tcPr>
            <w:tcW w:w="1133" w:type="dxa"/>
            <w:vMerge/>
            <w:tcBorders>
              <w:top w:val="single" w:sz="6" w:space="0" w:color="auto"/>
              <w:left w:val="single" w:sz="4" w:space="0" w:color="auto"/>
              <w:bottom w:val="nil"/>
              <w:right w:val="single" w:sz="6" w:space="0" w:color="auto"/>
            </w:tcBorders>
            <w:vAlign w:val="center"/>
            <w:hideMark/>
          </w:tcPr>
          <w:p w14:paraId="2A666CDF"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366B7D84"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54BB129F"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27C641DE"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7BD9AEE5"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691791CE" w14:textId="77777777" w:rsidR="00C40BE8" w:rsidRPr="00F8474E" w:rsidRDefault="00C40BE8" w:rsidP="00C40BE8">
            <w:pPr>
              <w:pStyle w:val="TAC"/>
              <w:rPr>
                <w:lang w:eastAsia="ko-KR"/>
              </w:rPr>
            </w:pPr>
            <w:r w:rsidRPr="00F8474E">
              <w:rPr>
                <w:lang w:eastAsia="ko-KR"/>
              </w:rPr>
              <w:t>NR_TDD_FR1_C</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8418D89" w14:textId="03A271BA" w:rsidR="00C40BE8" w:rsidRPr="00F8474E" w:rsidRDefault="00C40BE8" w:rsidP="00C40BE8">
            <w:pPr>
              <w:pStyle w:val="TAC"/>
              <w:rPr>
                <w:lang w:eastAsia="ko-KR"/>
              </w:rPr>
            </w:pPr>
            <w:r w:rsidRPr="00F8474E">
              <w:t>-123</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15DFAAB9" w14:textId="77777777" w:rsidR="00C40BE8" w:rsidRPr="00F8474E" w:rsidRDefault="00C40BE8" w:rsidP="00C40BE8">
            <w:pPr>
              <w:pStyle w:val="TAC"/>
              <w:rPr>
                <w:lang w:eastAsia="ko-KR"/>
              </w:rPr>
            </w:pPr>
          </w:p>
        </w:tc>
      </w:tr>
      <w:tr w:rsidR="00C40BE8" w:rsidRPr="00F8474E" w14:paraId="50EE78D8" w14:textId="77777777" w:rsidTr="00FA482E">
        <w:trPr>
          <w:trHeight w:val="21"/>
          <w:jc w:val="center"/>
        </w:trPr>
        <w:tc>
          <w:tcPr>
            <w:tcW w:w="1133" w:type="dxa"/>
            <w:vMerge/>
            <w:tcBorders>
              <w:top w:val="single" w:sz="6" w:space="0" w:color="auto"/>
              <w:left w:val="single" w:sz="4" w:space="0" w:color="auto"/>
              <w:bottom w:val="nil"/>
              <w:right w:val="single" w:sz="6" w:space="0" w:color="auto"/>
            </w:tcBorders>
            <w:vAlign w:val="center"/>
            <w:hideMark/>
          </w:tcPr>
          <w:p w14:paraId="1B110BDA"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78007C3D"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45AB2C64"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52D2D876"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7DC7026D"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56B50E73" w14:textId="77777777" w:rsidR="00C40BE8" w:rsidRPr="00F8474E" w:rsidRDefault="00C40BE8" w:rsidP="00C40BE8">
            <w:pPr>
              <w:pStyle w:val="TAC"/>
              <w:rPr>
                <w:lang w:val="sv-SE" w:eastAsia="ko-KR"/>
              </w:rPr>
            </w:pPr>
            <w:r w:rsidRPr="00F8474E">
              <w:rPr>
                <w:lang w:val="sv-SE" w:eastAsia="ko-KR"/>
              </w:rPr>
              <w:t>NR_FDD_FR1_D, NR_TDD_FR1_D</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AF83F8B" w14:textId="09F1A135" w:rsidR="00C40BE8" w:rsidRPr="00F8474E" w:rsidRDefault="00C40BE8" w:rsidP="00C40BE8">
            <w:pPr>
              <w:pStyle w:val="TAC"/>
              <w:rPr>
                <w:lang w:val="sv-SE" w:eastAsia="ko-KR"/>
              </w:rPr>
            </w:pPr>
            <w:r w:rsidRPr="00F8474E">
              <w:t>-122.5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20AABBAC" w14:textId="77777777" w:rsidR="00C40BE8" w:rsidRPr="00F8474E" w:rsidRDefault="00C40BE8" w:rsidP="00C40BE8">
            <w:pPr>
              <w:pStyle w:val="TAC"/>
              <w:rPr>
                <w:lang w:eastAsia="ko-KR"/>
              </w:rPr>
            </w:pPr>
          </w:p>
        </w:tc>
      </w:tr>
      <w:tr w:rsidR="00C40BE8" w:rsidRPr="00F8474E" w14:paraId="7A91D0F2" w14:textId="77777777" w:rsidTr="00FA482E">
        <w:trPr>
          <w:trHeight w:val="21"/>
          <w:jc w:val="center"/>
        </w:trPr>
        <w:tc>
          <w:tcPr>
            <w:tcW w:w="1133" w:type="dxa"/>
            <w:vMerge/>
            <w:tcBorders>
              <w:top w:val="single" w:sz="6" w:space="0" w:color="auto"/>
              <w:left w:val="single" w:sz="4" w:space="0" w:color="auto"/>
              <w:bottom w:val="nil"/>
              <w:right w:val="single" w:sz="6" w:space="0" w:color="auto"/>
            </w:tcBorders>
            <w:vAlign w:val="center"/>
            <w:hideMark/>
          </w:tcPr>
          <w:p w14:paraId="679EDB9F"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545C44D8"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72C9E363"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462553C3"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210B30FD"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456328E2" w14:textId="77777777" w:rsidR="00C40BE8" w:rsidRPr="00F8474E" w:rsidRDefault="00C40BE8" w:rsidP="00C40BE8">
            <w:pPr>
              <w:pStyle w:val="TAC"/>
              <w:rPr>
                <w:lang w:val="sv-SE" w:eastAsia="ko-KR"/>
              </w:rPr>
            </w:pPr>
            <w:r w:rsidRPr="00F8474E">
              <w:rPr>
                <w:lang w:val="sv-SE" w:eastAsia="ko-KR"/>
              </w:rPr>
              <w:t>NR_FDD_FR1_E, NR_TDD_FR1_E</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824512E" w14:textId="15C23509" w:rsidR="00C40BE8" w:rsidRPr="00F8474E" w:rsidRDefault="00C40BE8" w:rsidP="00C40BE8">
            <w:pPr>
              <w:pStyle w:val="TAC"/>
              <w:rPr>
                <w:lang w:val="sv-SE" w:eastAsia="ko-KR"/>
              </w:rPr>
            </w:pPr>
            <w:r w:rsidRPr="00F8474E">
              <w:t>-122</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744AF47A" w14:textId="77777777" w:rsidR="00C40BE8" w:rsidRPr="00F8474E" w:rsidRDefault="00C40BE8" w:rsidP="00C40BE8">
            <w:pPr>
              <w:pStyle w:val="TAC"/>
              <w:rPr>
                <w:lang w:eastAsia="ko-KR"/>
              </w:rPr>
            </w:pPr>
          </w:p>
        </w:tc>
      </w:tr>
      <w:tr w:rsidR="00C40BE8" w:rsidRPr="00F8474E" w14:paraId="678705E0" w14:textId="77777777" w:rsidTr="00FA482E">
        <w:trPr>
          <w:trHeight w:val="21"/>
          <w:jc w:val="center"/>
        </w:trPr>
        <w:tc>
          <w:tcPr>
            <w:tcW w:w="1133" w:type="dxa"/>
            <w:vMerge/>
            <w:tcBorders>
              <w:top w:val="single" w:sz="6" w:space="0" w:color="auto"/>
              <w:left w:val="single" w:sz="4" w:space="0" w:color="auto"/>
              <w:bottom w:val="nil"/>
              <w:right w:val="single" w:sz="6" w:space="0" w:color="auto"/>
            </w:tcBorders>
            <w:vAlign w:val="center"/>
            <w:hideMark/>
          </w:tcPr>
          <w:p w14:paraId="4709D205"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5ECAD844"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26D7895D"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35BD7466"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40274F10"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3F10E2C4" w14:textId="77777777" w:rsidR="00C40BE8" w:rsidRPr="00F8474E" w:rsidRDefault="00C40BE8" w:rsidP="00C40BE8">
            <w:pPr>
              <w:pStyle w:val="TAC"/>
              <w:rPr>
                <w:lang w:eastAsia="ko-KR"/>
              </w:rPr>
            </w:pPr>
            <w:r w:rsidRPr="00F8474E">
              <w:t>NR_FDD_FR1_F</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5D85DC3" w14:textId="56795F49" w:rsidR="00C40BE8" w:rsidRPr="00F8474E" w:rsidRDefault="00C40BE8" w:rsidP="00C40BE8">
            <w:pPr>
              <w:pStyle w:val="TAC"/>
              <w:rPr>
                <w:lang w:eastAsia="ko-KR"/>
              </w:rPr>
            </w:pPr>
            <w:r w:rsidRPr="00F8474E">
              <w:t>-121.5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5891AC2C" w14:textId="77777777" w:rsidR="00C40BE8" w:rsidRPr="00F8474E" w:rsidRDefault="00C40BE8" w:rsidP="00C40BE8">
            <w:pPr>
              <w:pStyle w:val="TAC"/>
              <w:rPr>
                <w:lang w:eastAsia="ko-KR"/>
              </w:rPr>
            </w:pPr>
          </w:p>
        </w:tc>
      </w:tr>
      <w:tr w:rsidR="00C40BE8" w:rsidRPr="00F8474E" w14:paraId="6025012E" w14:textId="77777777" w:rsidTr="00FA482E">
        <w:trPr>
          <w:trHeight w:val="21"/>
          <w:jc w:val="center"/>
        </w:trPr>
        <w:tc>
          <w:tcPr>
            <w:tcW w:w="1133" w:type="dxa"/>
            <w:vMerge/>
            <w:tcBorders>
              <w:top w:val="single" w:sz="6" w:space="0" w:color="auto"/>
              <w:left w:val="single" w:sz="4" w:space="0" w:color="auto"/>
              <w:bottom w:val="nil"/>
              <w:right w:val="single" w:sz="6" w:space="0" w:color="auto"/>
            </w:tcBorders>
            <w:vAlign w:val="center"/>
            <w:hideMark/>
          </w:tcPr>
          <w:p w14:paraId="41F93FD0"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1211D573"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513649CF"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2ABA6A69"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4C90FA50"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70DFA36E" w14:textId="77777777" w:rsidR="00C40BE8" w:rsidRPr="00F8474E" w:rsidRDefault="00C40BE8" w:rsidP="00C40BE8">
            <w:pPr>
              <w:pStyle w:val="TAC"/>
              <w:rPr>
                <w:lang w:eastAsia="ko-KR"/>
              </w:rPr>
            </w:pPr>
            <w:r w:rsidRPr="00F8474E">
              <w:t>NR</w:t>
            </w:r>
            <w:r w:rsidRPr="00F8474E">
              <w:rPr>
                <w:lang w:eastAsia="ko-KR"/>
              </w:rPr>
              <w:t>_</w:t>
            </w:r>
            <w:r w:rsidRPr="00F8474E">
              <w:t>FDD_FR1_G, NR_TDD_FR1_G</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E8DA108" w14:textId="094967C6" w:rsidR="00C40BE8" w:rsidRPr="00F8474E" w:rsidRDefault="00C40BE8" w:rsidP="00C40BE8">
            <w:pPr>
              <w:pStyle w:val="TAC"/>
              <w:rPr>
                <w:lang w:eastAsia="ko-KR"/>
              </w:rPr>
            </w:pPr>
            <w:r w:rsidRPr="00F8474E">
              <w:t>-121</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2A67834E" w14:textId="77777777" w:rsidR="00C40BE8" w:rsidRPr="00F8474E" w:rsidRDefault="00C40BE8" w:rsidP="00C40BE8">
            <w:pPr>
              <w:pStyle w:val="TAC"/>
              <w:rPr>
                <w:lang w:eastAsia="ko-KR"/>
              </w:rPr>
            </w:pPr>
          </w:p>
        </w:tc>
      </w:tr>
      <w:tr w:rsidR="00C40BE8" w:rsidRPr="00F8474E" w14:paraId="786F334B" w14:textId="77777777" w:rsidTr="00FA482E">
        <w:trPr>
          <w:jc w:val="center"/>
        </w:trPr>
        <w:tc>
          <w:tcPr>
            <w:tcW w:w="1133" w:type="dxa"/>
            <w:vMerge/>
            <w:tcBorders>
              <w:top w:val="single" w:sz="6" w:space="0" w:color="auto"/>
              <w:left w:val="single" w:sz="4" w:space="0" w:color="auto"/>
              <w:bottom w:val="nil"/>
              <w:right w:val="single" w:sz="6" w:space="0" w:color="auto"/>
            </w:tcBorders>
            <w:vAlign w:val="center"/>
            <w:hideMark/>
          </w:tcPr>
          <w:p w14:paraId="06AB243F" w14:textId="77777777" w:rsidR="00C40BE8" w:rsidRPr="00F8474E" w:rsidRDefault="00C40BE8" w:rsidP="00C40BE8">
            <w:pPr>
              <w:pStyle w:val="TAC"/>
              <w:rPr>
                <w:lang w:eastAsia="ko-KR"/>
              </w:rPr>
            </w:pPr>
          </w:p>
        </w:tc>
        <w:tc>
          <w:tcPr>
            <w:tcW w:w="714" w:type="dxa"/>
            <w:tcBorders>
              <w:top w:val="nil"/>
              <w:left w:val="single" w:sz="6" w:space="0" w:color="auto"/>
              <w:bottom w:val="nil"/>
              <w:right w:val="single" w:sz="6" w:space="0" w:color="auto"/>
            </w:tcBorders>
            <w:vAlign w:val="center"/>
          </w:tcPr>
          <w:p w14:paraId="6E9A32E4"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2C9F42E6"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74D644F2"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5B1FFE7C"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7572BD93" w14:textId="77777777" w:rsidR="00C40BE8" w:rsidRPr="00F8474E" w:rsidRDefault="00C40BE8" w:rsidP="00C40BE8">
            <w:pPr>
              <w:pStyle w:val="TAC"/>
              <w:rPr>
                <w:lang w:eastAsia="ko-KR"/>
              </w:rPr>
            </w:pPr>
            <w:r w:rsidRPr="00F8474E">
              <w:t>NR</w:t>
            </w:r>
            <w:r w:rsidRPr="00F8474E">
              <w:rPr>
                <w:lang w:eastAsia="ko-KR"/>
              </w:rPr>
              <w:t>_</w:t>
            </w:r>
            <w:r w:rsidRPr="00F8474E">
              <w:t>FDD_FR1_H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DDFAB22" w14:textId="601ED678" w:rsidR="00C40BE8" w:rsidRPr="00F8474E" w:rsidRDefault="00C40BE8" w:rsidP="00C40BE8">
            <w:pPr>
              <w:pStyle w:val="TAC"/>
              <w:rPr>
                <w:lang w:eastAsia="ko-KR"/>
              </w:rPr>
            </w:pPr>
            <w:r w:rsidRPr="00F8474E">
              <w:t>-120.5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18B52593" w14:textId="77777777" w:rsidR="00C40BE8" w:rsidRPr="00F8474E" w:rsidRDefault="00C40BE8" w:rsidP="00C40BE8">
            <w:pPr>
              <w:pStyle w:val="TAC"/>
              <w:rPr>
                <w:lang w:eastAsia="ko-KR"/>
              </w:rPr>
            </w:pPr>
          </w:p>
        </w:tc>
      </w:tr>
      <w:tr w:rsidR="00C40BE8" w:rsidRPr="00F8474E" w14:paraId="7A386349"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5D0FBB9B" w14:textId="77777777" w:rsidR="00C40BE8" w:rsidRPr="00F8474E" w:rsidRDefault="00C40BE8" w:rsidP="00C40BE8">
            <w:pPr>
              <w:pStyle w:val="TAC"/>
              <w:rPr>
                <w:lang w:eastAsia="ko-KR"/>
              </w:rPr>
            </w:pPr>
            <w:r w:rsidRPr="00F8474E">
              <w:rPr>
                <w:lang w:eastAsia="ko-KR"/>
              </w:rPr>
              <w:t>± 68+</w:t>
            </w:r>
            <w:r w:rsidRPr="00F8474E">
              <w:rPr>
                <w:lang w:eastAsia="ko-KR"/>
              </w:rPr>
              <w:sym w:font="Symbol" w:char="F064"/>
            </w:r>
          </w:p>
        </w:tc>
        <w:tc>
          <w:tcPr>
            <w:tcW w:w="714" w:type="dxa"/>
            <w:tcBorders>
              <w:top w:val="nil"/>
              <w:left w:val="single" w:sz="6" w:space="0" w:color="auto"/>
              <w:bottom w:val="nil"/>
              <w:right w:val="single" w:sz="6" w:space="0" w:color="auto"/>
            </w:tcBorders>
            <w:vAlign w:val="center"/>
          </w:tcPr>
          <w:p w14:paraId="3F9D10C9"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0799C2F1" w14:textId="77777777" w:rsidR="00C40BE8" w:rsidRPr="00F8474E" w:rsidRDefault="00C40BE8" w:rsidP="00C40BE8">
            <w:pPr>
              <w:pStyle w:val="TAC"/>
              <w:rPr>
                <w:lang w:eastAsia="ko-KR"/>
              </w:rPr>
            </w:pPr>
            <w:r w:rsidRPr="00F8474E">
              <w:rPr>
                <w:rFonts w:cs="Calibri"/>
              </w:rPr>
              <w:t>≥</w:t>
            </w:r>
            <w:r w:rsidRPr="00F8474E">
              <w:rPr>
                <w:lang w:eastAsia="zh-CN"/>
              </w:rPr>
              <w:t>48</w:t>
            </w:r>
          </w:p>
        </w:tc>
        <w:tc>
          <w:tcPr>
            <w:tcW w:w="709" w:type="dxa"/>
            <w:vMerge/>
            <w:tcBorders>
              <w:top w:val="single" w:sz="6" w:space="0" w:color="auto"/>
              <w:left w:val="single" w:sz="6" w:space="0" w:color="auto"/>
              <w:bottom w:val="nil"/>
              <w:right w:val="single" w:sz="4" w:space="0" w:color="auto"/>
            </w:tcBorders>
            <w:vAlign w:val="center"/>
            <w:hideMark/>
          </w:tcPr>
          <w:p w14:paraId="30D85BD0"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7747003E"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79E147E0"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528F583B"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6038B303" w14:textId="77777777" w:rsidR="00C40BE8" w:rsidRPr="00F8474E" w:rsidRDefault="00C40BE8" w:rsidP="00C40BE8">
            <w:pPr>
              <w:pStyle w:val="TAC"/>
              <w:rPr>
                <w:lang w:eastAsia="ko-KR"/>
              </w:rPr>
            </w:pPr>
            <w:r w:rsidRPr="00F8474E">
              <w:rPr>
                <w:lang w:eastAsia="ko-KR"/>
              </w:rPr>
              <w:t>NOTE 6</w:t>
            </w:r>
          </w:p>
        </w:tc>
      </w:tr>
      <w:tr w:rsidR="00C40BE8" w:rsidRPr="00F8474E" w14:paraId="6C0D9014"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6045E89F" w14:textId="77777777" w:rsidR="00C40BE8" w:rsidRPr="00F8474E" w:rsidRDefault="00C40BE8" w:rsidP="00C40BE8">
            <w:pPr>
              <w:pStyle w:val="TAC"/>
              <w:rPr>
                <w:lang w:eastAsia="ko-KR"/>
              </w:rPr>
            </w:pPr>
            <w:r w:rsidRPr="00F8474E">
              <w:rPr>
                <w:lang w:eastAsia="ko-KR"/>
              </w:rPr>
              <w:t>± 44+</w:t>
            </w:r>
            <w:r w:rsidRPr="00F8474E">
              <w:rPr>
                <w:lang w:eastAsia="ko-KR"/>
              </w:rPr>
              <w:sym w:font="Symbol" w:char="F064"/>
            </w:r>
          </w:p>
        </w:tc>
        <w:tc>
          <w:tcPr>
            <w:tcW w:w="714" w:type="dxa"/>
            <w:vMerge w:val="restart"/>
            <w:tcBorders>
              <w:top w:val="nil"/>
              <w:left w:val="single" w:sz="6" w:space="0" w:color="auto"/>
              <w:bottom w:val="nil"/>
              <w:right w:val="single" w:sz="6" w:space="0" w:color="auto"/>
            </w:tcBorders>
            <w:vAlign w:val="center"/>
          </w:tcPr>
          <w:p w14:paraId="74F9F466"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3421E8B0" w14:textId="77777777" w:rsidR="00C40BE8" w:rsidRPr="00F8474E" w:rsidRDefault="00C40BE8" w:rsidP="00C40BE8">
            <w:pPr>
              <w:pStyle w:val="TAC"/>
              <w:rPr>
                <w:lang w:eastAsia="ko-KR"/>
              </w:rPr>
            </w:pPr>
            <w:r w:rsidRPr="00F8474E">
              <w:rPr>
                <w:rFonts w:cs="Calibri"/>
              </w:rPr>
              <w:t>≥</w:t>
            </w:r>
            <w:r w:rsidRPr="00F8474E">
              <w:rPr>
                <w:lang w:eastAsia="zh-CN"/>
              </w:rPr>
              <w:t>132</w:t>
            </w:r>
          </w:p>
        </w:tc>
        <w:tc>
          <w:tcPr>
            <w:tcW w:w="709" w:type="dxa"/>
            <w:vMerge/>
            <w:tcBorders>
              <w:top w:val="single" w:sz="6" w:space="0" w:color="auto"/>
              <w:left w:val="single" w:sz="6" w:space="0" w:color="auto"/>
              <w:bottom w:val="nil"/>
              <w:right w:val="single" w:sz="4" w:space="0" w:color="auto"/>
            </w:tcBorders>
            <w:vAlign w:val="center"/>
            <w:hideMark/>
          </w:tcPr>
          <w:p w14:paraId="13E876B1"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581E141B"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14F6254E"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4201DE7A"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5CC0D08D" w14:textId="77777777" w:rsidR="00C40BE8" w:rsidRPr="00F8474E" w:rsidRDefault="00C40BE8" w:rsidP="00C40BE8">
            <w:pPr>
              <w:pStyle w:val="TAC"/>
              <w:rPr>
                <w:lang w:eastAsia="ko-KR"/>
              </w:rPr>
            </w:pPr>
            <w:r w:rsidRPr="00F8474E">
              <w:rPr>
                <w:lang w:eastAsia="ko-KR"/>
              </w:rPr>
              <w:t>NOTE 6</w:t>
            </w:r>
          </w:p>
        </w:tc>
      </w:tr>
      <w:tr w:rsidR="00C40BE8" w:rsidRPr="00F8474E" w14:paraId="657EB5C2" w14:textId="77777777" w:rsidTr="00FA482E">
        <w:trPr>
          <w:trHeight w:val="21"/>
          <w:jc w:val="center"/>
        </w:trPr>
        <w:tc>
          <w:tcPr>
            <w:tcW w:w="1133" w:type="dxa"/>
            <w:vMerge w:val="restart"/>
            <w:tcBorders>
              <w:top w:val="single" w:sz="6" w:space="0" w:color="auto"/>
              <w:left w:val="single" w:sz="4" w:space="0" w:color="auto"/>
              <w:bottom w:val="nil"/>
              <w:right w:val="single" w:sz="6" w:space="0" w:color="auto"/>
            </w:tcBorders>
            <w:vAlign w:val="center"/>
            <w:hideMark/>
          </w:tcPr>
          <w:p w14:paraId="5F5D4DD1" w14:textId="77777777" w:rsidR="00C40BE8" w:rsidRPr="00F8474E" w:rsidRDefault="00C40BE8" w:rsidP="00C40BE8">
            <w:pPr>
              <w:pStyle w:val="TAC"/>
              <w:rPr>
                <w:lang w:eastAsia="ko-KR"/>
              </w:rPr>
            </w:pPr>
            <w:r w:rsidRPr="00F8474E">
              <w:rPr>
                <w:lang w:eastAsia="ko-KR"/>
              </w:rPr>
              <w:t>± 59+</w:t>
            </w:r>
            <w:r w:rsidRPr="00F8474E">
              <w:rPr>
                <w:lang w:eastAsia="ko-KR"/>
              </w:rPr>
              <w:sym w:font="Symbol" w:char="F064"/>
            </w:r>
          </w:p>
        </w:tc>
        <w:tc>
          <w:tcPr>
            <w:tcW w:w="714" w:type="dxa"/>
            <w:vMerge/>
            <w:tcBorders>
              <w:top w:val="nil"/>
              <w:left w:val="single" w:sz="6" w:space="0" w:color="auto"/>
              <w:bottom w:val="nil"/>
              <w:right w:val="single" w:sz="6" w:space="0" w:color="auto"/>
            </w:tcBorders>
            <w:vAlign w:val="center"/>
            <w:hideMark/>
          </w:tcPr>
          <w:p w14:paraId="197F4330" w14:textId="77777777" w:rsidR="00C40BE8" w:rsidRPr="00F8474E" w:rsidRDefault="00C40BE8" w:rsidP="00C40BE8">
            <w:pPr>
              <w:pStyle w:val="TAC"/>
              <w:rPr>
                <w:lang w:val="sv-SE" w:eastAsia="ko-KR"/>
              </w:rPr>
            </w:pPr>
          </w:p>
        </w:tc>
        <w:tc>
          <w:tcPr>
            <w:tcW w:w="1133" w:type="dxa"/>
            <w:vMerge w:val="restart"/>
            <w:tcBorders>
              <w:top w:val="single" w:sz="6" w:space="0" w:color="auto"/>
              <w:left w:val="single" w:sz="6" w:space="0" w:color="auto"/>
              <w:bottom w:val="nil"/>
              <w:right w:val="single" w:sz="6" w:space="0" w:color="auto"/>
            </w:tcBorders>
            <w:vAlign w:val="center"/>
            <w:hideMark/>
          </w:tcPr>
          <w:p w14:paraId="4241505E" w14:textId="77777777" w:rsidR="00C40BE8" w:rsidRPr="00F8474E" w:rsidRDefault="00C40BE8" w:rsidP="00C40BE8">
            <w:pPr>
              <w:pStyle w:val="TAC"/>
              <w:rPr>
                <w:lang w:eastAsia="ko-KR"/>
              </w:rPr>
            </w:pPr>
            <w:r w:rsidRPr="00F8474E">
              <w:rPr>
                <w:rFonts w:cs="Calibri"/>
              </w:rPr>
              <w:t>≥</w:t>
            </w:r>
            <w:r w:rsidRPr="00F8474E">
              <w:t>24</w:t>
            </w:r>
          </w:p>
        </w:tc>
        <w:tc>
          <w:tcPr>
            <w:tcW w:w="709" w:type="dxa"/>
            <w:vMerge w:val="restart"/>
            <w:tcBorders>
              <w:top w:val="single" w:sz="6" w:space="0" w:color="auto"/>
              <w:left w:val="single" w:sz="6" w:space="0" w:color="auto"/>
              <w:bottom w:val="nil"/>
              <w:right w:val="single" w:sz="4" w:space="0" w:color="auto"/>
            </w:tcBorders>
            <w:vAlign w:val="center"/>
            <w:hideMark/>
          </w:tcPr>
          <w:p w14:paraId="5EB50E5F" w14:textId="77777777" w:rsidR="00C40BE8" w:rsidRPr="00F8474E" w:rsidRDefault="00C40BE8" w:rsidP="00C40BE8">
            <w:pPr>
              <w:pStyle w:val="TAC"/>
              <w:rPr>
                <w:lang w:eastAsia="ko-KR"/>
              </w:rPr>
            </w:pPr>
            <w:r w:rsidRPr="00F8474E">
              <w:rPr>
                <w:lang w:eastAsia="ko-KR"/>
              </w:rPr>
              <w:t>60</w:t>
            </w:r>
          </w:p>
        </w:tc>
        <w:tc>
          <w:tcPr>
            <w:tcW w:w="1832" w:type="dxa"/>
            <w:vMerge w:val="restart"/>
            <w:tcBorders>
              <w:top w:val="single" w:sz="4" w:space="0" w:color="auto"/>
              <w:left w:val="single" w:sz="4" w:space="0" w:color="auto"/>
              <w:bottom w:val="single" w:sz="4" w:space="0" w:color="auto"/>
              <w:right w:val="single" w:sz="4" w:space="0" w:color="auto"/>
            </w:tcBorders>
            <w:vAlign w:val="center"/>
            <w:hideMark/>
          </w:tcPr>
          <w:p w14:paraId="62F545C0" w14:textId="77777777" w:rsidR="00C40BE8" w:rsidRPr="00F8474E" w:rsidRDefault="00C40BE8" w:rsidP="00C40BE8">
            <w:pPr>
              <w:pStyle w:val="TAC"/>
              <w:rPr>
                <w:lang w:eastAsia="ko-KR"/>
              </w:rPr>
            </w:pPr>
            <w:r w:rsidRPr="00F8474E">
              <w:rPr>
                <w:rFonts w:cs="Arial"/>
                <w:szCs w:val="18"/>
              </w:rPr>
              <w:t>≥4</w:t>
            </w:r>
          </w:p>
        </w:tc>
        <w:tc>
          <w:tcPr>
            <w:tcW w:w="2267" w:type="dxa"/>
            <w:tcBorders>
              <w:top w:val="single" w:sz="6" w:space="0" w:color="auto"/>
              <w:left w:val="single" w:sz="4" w:space="0" w:color="auto"/>
              <w:bottom w:val="single" w:sz="6" w:space="0" w:color="auto"/>
              <w:right w:val="single" w:sz="4" w:space="0" w:color="auto"/>
            </w:tcBorders>
            <w:vAlign w:val="center"/>
            <w:hideMark/>
          </w:tcPr>
          <w:p w14:paraId="7681BE86" w14:textId="77777777" w:rsidR="00C40BE8" w:rsidRPr="00F8474E" w:rsidRDefault="00C40BE8" w:rsidP="00C40BE8">
            <w:pPr>
              <w:pStyle w:val="TAC"/>
              <w:rPr>
                <w:lang w:eastAsia="ko-KR"/>
              </w:rPr>
            </w:pPr>
            <w:r w:rsidRPr="00F8474E">
              <w:rPr>
                <w:lang w:eastAsia="ko-KR"/>
              </w:rPr>
              <w:t>NR_FDD_FR1_A, NR_TDD_FR1_A,</w:t>
            </w:r>
          </w:p>
          <w:p w14:paraId="6A770A78" w14:textId="77777777" w:rsidR="00C40BE8" w:rsidRPr="00F8474E" w:rsidRDefault="00C40BE8" w:rsidP="00C40BE8">
            <w:pPr>
              <w:pStyle w:val="TAC"/>
              <w:rPr>
                <w:lang w:eastAsia="ko-KR"/>
              </w:rPr>
            </w:pPr>
            <w:r w:rsidRPr="00F8474E">
              <w:rPr>
                <w:lang w:eastAsia="ko-KR"/>
              </w:rPr>
              <w:t>NR_SDL_FR1_A</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3D99E18" w14:textId="1A1694A2" w:rsidR="00C40BE8" w:rsidRPr="00F8474E" w:rsidRDefault="00C40BE8" w:rsidP="00C40BE8">
            <w:pPr>
              <w:pStyle w:val="TAC"/>
              <w:rPr>
                <w:lang w:eastAsia="ko-KR"/>
              </w:rPr>
            </w:pPr>
            <w:r w:rsidRPr="00F8474E">
              <w:t>-121</w:t>
            </w:r>
          </w:p>
        </w:tc>
        <w:tc>
          <w:tcPr>
            <w:tcW w:w="1123" w:type="dxa"/>
            <w:vMerge w:val="restart"/>
            <w:tcBorders>
              <w:top w:val="single" w:sz="6" w:space="0" w:color="auto"/>
              <w:left w:val="single" w:sz="4" w:space="0" w:color="auto"/>
              <w:bottom w:val="single" w:sz="6" w:space="0" w:color="auto"/>
              <w:right w:val="single" w:sz="4" w:space="0" w:color="auto"/>
            </w:tcBorders>
            <w:vAlign w:val="center"/>
            <w:hideMark/>
          </w:tcPr>
          <w:p w14:paraId="7E92EC43" w14:textId="77777777" w:rsidR="00C40BE8" w:rsidRPr="00F8474E" w:rsidRDefault="00C40BE8" w:rsidP="00C40BE8">
            <w:pPr>
              <w:pStyle w:val="TAC"/>
              <w:rPr>
                <w:lang w:eastAsia="ko-KR"/>
              </w:rPr>
            </w:pPr>
            <w:r w:rsidRPr="00F8474E">
              <w:rPr>
                <w:lang w:eastAsia="ko-KR"/>
              </w:rPr>
              <w:t>-50</w:t>
            </w:r>
          </w:p>
        </w:tc>
      </w:tr>
      <w:tr w:rsidR="00C40BE8" w:rsidRPr="00F8474E" w14:paraId="66910CC2"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490FB136"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7A0E475F"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10D4F0CA"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542630CD"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582B03E2"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0540E606" w14:textId="77777777" w:rsidR="00C40BE8" w:rsidRPr="00F8474E" w:rsidRDefault="00C40BE8" w:rsidP="00C40BE8">
            <w:pPr>
              <w:pStyle w:val="TAC"/>
              <w:rPr>
                <w:lang w:eastAsia="ko-KR"/>
              </w:rPr>
            </w:pPr>
            <w:r w:rsidRPr="00F8474E">
              <w:rPr>
                <w:lang w:eastAsia="ko-KR"/>
              </w:rPr>
              <w:t>NR_FDD_FR1_B</w:t>
            </w:r>
          </w:p>
        </w:tc>
        <w:tc>
          <w:tcPr>
            <w:tcW w:w="1289" w:type="dxa"/>
            <w:tcBorders>
              <w:top w:val="single" w:sz="4" w:space="0" w:color="auto"/>
              <w:left w:val="single" w:sz="4" w:space="0" w:color="auto"/>
              <w:bottom w:val="single" w:sz="4" w:space="0" w:color="auto"/>
              <w:right w:val="single" w:sz="4" w:space="0" w:color="auto"/>
            </w:tcBorders>
            <w:hideMark/>
          </w:tcPr>
          <w:p w14:paraId="25C51D64" w14:textId="6F50D8ED" w:rsidR="00C40BE8" w:rsidRPr="00F8474E" w:rsidRDefault="00C40BE8" w:rsidP="00C40BE8">
            <w:pPr>
              <w:pStyle w:val="TAC"/>
              <w:rPr>
                <w:lang w:eastAsia="ko-KR"/>
              </w:rPr>
            </w:pPr>
            <w:r w:rsidRPr="00F8474E">
              <w:t>-120.5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16055B6C" w14:textId="77777777" w:rsidR="00C40BE8" w:rsidRPr="00F8474E" w:rsidRDefault="00C40BE8" w:rsidP="00C40BE8">
            <w:pPr>
              <w:pStyle w:val="TAC"/>
              <w:rPr>
                <w:lang w:eastAsia="ko-KR"/>
              </w:rPr>
            </w:pPr>
          </w:p>
        </w:tc>
      </w:tr>
      <w:tr w:rsidR="00C40BE8" w:rsidRPr="00F8474E" w14:paraId="14ADC22B"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65A3561A"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462B054D"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7B773D5A"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2879927E"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5AF5BBB8"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202F7AC8" w14:textId="77777777" w:rsidR="00C40BE8" w:rsidRPr="00F8474E" w:rsidRDefault="00C40BE8" w:rsidP="00C40BE8">
            <w:pPr>
              <w:pStyle w:val="TAC"/>
              <w:rPr>
                <w:lang w:eastAsia="ko-KR"/>
              </w:rPr>
            </w:pPr>
            <w:r w:rsidRPr="00F8474E">
              <w:rPr>
                <w:lang w:eastAsia="ko-KR"/>
              </w:rPr>
              <w:t>NR_TDD_FR1_C</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8860493" w14:textId="0B9EE048" w:rsidR="00C40BE8" w:rsidRPr="00F8474E" w:rsidRDefault="00C40BE8" w:rsidP="00C40BE8">
            <w:pPr>
              <w:pStyle w:val="TAC"/>
              <w:rPr>
                <w:lang w:eastAsia="ko-KR"/>
              </w:rPr>
            </w:pPr>
            <w:r w:rsidRPr="00F8474E">
              <w:t>-120</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286A64E7" w14:textId="77777777" w:rsidR="00C40BE8" w:rsidRPr="00F8474E" w:rsidRDefault="00C40BE8" w:rsidP="00C40BE8">
            <w:pPr>
              <w:pStyle w:val="TAC"/>
              <w:rPr>
                <w:lang w:eastAsia="ko-KR"/>
              </w:rPr>
            </w:pPr>
          </w:p>
        </w:tc>
      </w:tr>
      <w:tr w:rsidR="00C40BE8" w:rsidRPr="00F8474E" w14:paraId="4EE5C58D"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68FEB3B3"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0E40D031"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677FAC6F"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280706DA"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309E9B95"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4FC37A6B" w14:textId="77777777" w:rsidR="00C40BE8" w:rsidRPr="00F8474E" w:rsidRDefault="00C40BE8" w:rsidP="00C40BE8">
            <w:pPr>
              <w:pStyle w:val="TAC"/>
              <w:rPr>
                <w:lang w:val="sv-SE" w:eastAsia="ko-KR"/>
              </w:rPr>
            </w:pPr>
            <w:r w:rsidRPr="00F8474E">
              <w:rPr>
                <w:lang w:val="sv-SE" w:eastAsia="ko-KR"/>
              </w:rPr>
              <w:t>NR_FDD_FR1_D, NR_TDD_FR1_D</w:t>
            </w:r>
          </w:p>
        </w:tc>
        <w:tc>
          <w:tcPr>
            <w:tcW w:w="1289" w:type="dxa"/>
            <w:tcBorders>
              <w:top w:val="single" w:sz="4" w:space="0" w:color="auto"/>
              <w:left w:val="single" w:sz="4" w:space="0" w:color="auto"/>
              <w:bottom w:val="single" w:sz="4" w:space="0" w:color="auto"/>
              <w:right w:val="single" w:sz="4" w:space="0" w:color="auto"/>
            </w:tcBorders>
            <w:vAlign w:val="center"/>
            <w:hideMark/>
          </w:tcPr>
          <w:p w14:paraId="193C4C2A" w14:textId="690ED816" w:rsidR="00C40BE8" w:rsidRPr="00F8474E" w:rsidRDefault="00C40BE8" w:rsidP="00C40BE8">
            <w:pPr>
              <w:pStyle w:val="TAC"/>
              <w:rPr>
                <w:lang w:val="sv-SE" w:eastAsia="ko-KR"/>
              </w:rPr>
            </w:pPr>
            <w:r w:rsidRPr="00F8474E">
              <w:t>-119.5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3942B350" w14:textId="77777777" w:rsidR="00C40BE8" w:rsidRPr="00F8474E" w:rsidRDefault="00C40BE8" w:rsidP="00C40BE8">
            <w:pPr>
              <w:pStyle w:val="TAC"/>
              <w:rPr>
                <w:lang w:eastAsia="ko-KR"/>
              </w:rPr>
            </w:pPr>
          </w:p>
        </w:tc>
      </w:tr>
      <w:tr w:rsidR="00C40BE8" w:rsidRPr="00F8474E" w14:paraId="1FCD3EE7"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5FD8829E"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1017E3C8"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7F8A3736"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7474FE5C"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474F176B"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4042316C" w14:textId="77777777" w:rsidR="00C40BE8" w:rsidRPr="00F8474E" w:rsidRDefault="00C40BE8" w:rsidP="00C40BE8">
            <w:pPr>
              <w:pStyle w:val="TAC"/>
              <w:rPr>
                <w:lang w:val="sv-SE" w:eastAsia="ko-KR"/>
              </w:rPr>
            </w:pPr>
            <w:r w:rsidRPr="00F8474E">
              <w:rPr>
                <w:lang w:val="sv-SE" w:eastAsia="ko-KR"/>
              </w:rPr>
              <w:t>NR_FDD_FR1_E, NR_TDD_FR1_E</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66ED600" w14:textId="7984AB17" w:rsidR="00C40BE8" w:rsidRPr="00F8474E" w:rsidRDefault="00C40BE8" w:rsidP="00C40BE8">
            <w:pPr>
              <w:pStyle w:val="TAC"/>
              <w:rPr>
                <w:lang w:val="sv-SE" w:eastAsia="ko-KR"/>
              </w:rPr>
            </w:pPr>
            <w:r w:rsidRPr="00F8474E">
              <w:t>-119</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251488B5" w14:textId="77777777" w:rsidR="00C40BE8" w:rsidRPr="00F8474E" w:rsidRDefault="00C40BE8" w:rsidP="00C40BE8">
            <w:pPr>
              <w:pStyle w:val="TAC"/>
              <w:rPr>
                <w:lang w:eastAsia="ko-KR"/>
              </w:rPr>
            </w:pPr>
          </w:p>
        </w:tc>
      </w:tr>
      <w:tr w:rsidR="00C40BE8" w:rsidRPr="00F8474E" w14:paraId="7CDE9A07"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1FF2F1C5"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4631E1D7"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02B1D5B1"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7B5F9FF1"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1E87ED0C"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5F9D9F94" w14:textId="77777777" w:rsidR="00C40BE8" w:rsidRPr="00F8474E" w:rsidRDefault="00C40BE8" w:rsidP="00C40BE8">
            <w:pPr>
              <w:pStyle w:val="TAC"/>
              <w:rPr>
                <w:lang w:eastAsia="ko-KR"/>
              </w:rPr>
            </w:pPr>
            <w:r w:rsidRPr="00F8474E">
              <w:t>NR_FDD_FR1_F</w:t>
            </w:r>
          </w:p>
        </w:tc>
        <w:tc>
          <w:tcPr>
            <w:tcW w:w="1289" w:type="dxa"/>
            <w:tcBorders>
              <w:top w:val="single" w:sz="4" w:space="0" w:color="auto"/>
              <w:left w:val="single" w:sz="4" w:space="0" w:color="auto"/>
              <w:bottom w:val="single" w:sz="4" w:space="0" w:color="auto"/>
              <w:right w:val="single" w:sz="4" w:space="0" w:color="auto"/>
            </w:tcBorders>
            <w:vAlign w:val="center"/>
            <w:hideMark/>
          </w:tcPr>
          <w:p w14:paraId="3CFFCFC6" w14:textId="71A48F28" w:rsidR="00C40BE8" w:rsidRPr="00F8474E" w:rsidRDefault="00C40BE8" w:rsidP="00C40BE8">
            <w:pPr>
              <w:pStyle w:val="TAC"/>
              <w:rPr>
                <w:lang w:eastAsia="ko-KR"/>
              </w:rPr>
            </w:pPr>
            <w:r w:rsidRPr="00F8474E">
              <w:t>-118.5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3CD2C50F" w14:textId="77777777" w:rsidR="00C40BE8" w:rsidRPr="00F8474E" w:rsidRDefault="00C40BE8" w:rsidP="00C40BE8">
            <w:pPr>
              <w:pStyle w:val="TAC"/>
              <w:rPr>
                <w:lang w:eastAsia="ko-KR"/>
              </w:rPr>
            </w:pPr>
          </w:p>
        </w:tc>
      </w:tr>
      <w:tr w:rsidR="00C40BE8" w:rsidRPr="00F8474E" w14:paraId="170300D9"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02C7E69F"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49E720C7"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42E142EB"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56D10CEF"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2CEA0551"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28DABBC2" w14:textId="77777777" w:rsidR="00C40BE8" w:rsidRPr="00F8474E" w:rsidRDefault="00C40BE8" w:rsidP="00C40BE8">
            <w:pPr>
              <w:pStyle w:val="TAC"/>
              <w:rPr>
                <w:lang w:eastAsia="ko-KR"/>
              </w:rPr>
            </w:pPr>
            <w:r w:rsidRPr="00F8474E">
              <w:t>NR</w:t>
            </w:r>
            <w:r w:rsidRPr="00F8474E">
              <w:rPr>
                <w:lang w:eastAsia="ko-KR"/>
              </w:rPr>
              <w:t>_</w:t>
            </w:r>
            <w:r w:rsidRPr="00F8474E">
              <w:t>FDD_FR1_G, NR_TDD_FR1_G</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A61D851" w14:textId="5114F0D5" w:rsidR="00C40BE8" w:rsidRPr="00F8474E" w:rsidRDefault="00C40BE8" w:rsidP="00C40BE8">
            <w:pPr>
              <w:pStyle w:val="TAC"/>
              <w:rPr>
                <w:lang w:eastAsia="ko-KR"/>
              </w:rPr>
            </w:pPr>
            <w:r w:rsidRPr="00F8474E">
              <w:t>-118</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46B48945" w14:textId="77777777" w:rsidR="00C40BE8" w:rsidRPr="00F8474E" w:rsidRDefault="00C40BE8" w:rsidP="00C40BE8">
            <w:pPr>
              <w:pStyle w:val="TAC"/>
              <w:rPr>
                <w:lang w:eastAsia="ko-KR"/>
              </w:rPr>
            </w:pPr>
          </w:p>
        </w:tc>
      </w:tr>
      <w:tr w:rsidR="00C40BE8" w:rsidRPr="00F8474E" w14:paraId="57B1612F" w14:textId="77777777" w:rsidTr="00FA482E">
        <w:trPr>
          <w:trHeight w:val="20"/>
          <w:jc w:val="center"/>
        </w:trPr>
        <w:tc>
          <w:tcPr>
            <w:tcW w:w="1133" w:type="dxa"/>
            <w:vMerge/>
            <w:tcBorders>
              <w:top w:val="single" w:sz="6" w:space="0" w:color="auto"/>
              <w:left w:val="single" w:sz="4" w:space="0" w:color="auto"/>
              <w:bottom w:val="nil"/>
              <w:right w:val="single" w:sz="6" w:space="0" w:color="auto"/>
            </w:tcBorders>
            <w:vAlign w:val="center"/>
            <w:hideMark/>
          </w:tcPr>
          <w:p w14:paraId="69444412" w14:textId="77777777" w:rsidR="00C40BE8" w:rsidRPr="00F8474E" w:rsidRDefault="00C40BE8" w:rsidP="00C40BE8">
            <w:pPr>
              <w:pStyle w:val="TAC"/>
              <w:rPr>
                <w:lang w:eastAsia="ko-KR"/>
              </w:rPr>
            </w:pPr>
          </w:p>
        </w:tc>
        <w:tc>
          <w:tcPr>
            <w:tcW w:w="714" w:type="dxa"/>
            <w:vMerge/>
            <w:tcBorders>
              <w:top w:val="nil"/>
              <w:left w:val="single" w:sz="6" w:space="0" w:color="auto"/>
              <w:bottom w:val="nil"/>
              <w:right w:val="single" w:sz="6" w:space="0" w:color="auto"/>
            </w:tcBorders>
            <w:vAlign w:val="center"/>
            <w:hideMark/>
          </w:tcPr>
          <w:p w14:paraId="7AF44C10" w14:textId="77777777" w:rsidR="00C40BE8" w:rsidRPr="00F8474E" w:rsidRDefault="00C40BE8" w:rsidP="00C40BE8">
            <w:pPr>
              <w:pStyle w:val="TAC"/>
              <w:rPr>
                <w:lang w:val="sv-SE" w:eastAsia="ko-KR"/>
              </w:rPr>
            </w:pPr>
          </w:p>
        </w:tc>
        <w:tc>
          <w:tcPr>
            <w:tcW w:w="1133" w:type="dxa"/>
            <w:vMerge/>
            <w:tcBorders>
              <w:top w:val="single" w:sz="6" w:space="0" w:color="auto"/>
              <w:left w:val="single" w:sz="6" w:space="0" w:color="auto"/>
              <w:bottom w:val="nil"/>
              <w:right w:val="single" w:sz="6" w:space="0" w:color="auto"/>
            </w:tcBorders>
            <w:vAlign w:val="center"/>
            <w:hideMark/>
          </w:tcPr>
          <w:p w14:paraId="091706BD" w14:textId="77777777" w:rsidR="00C40BE8" w:rsidRPr="00F8474E" w:rsidRDefault="00C40BE8" w:rsidP="00C40BE8">
            <w:pPr>
              <w:pStyle w:val="TAC"/>
              <w:rPr>
                <w:lang w:eastAsia="ko-KR"/>
              </w:rPr>
            </w:pPr>
          </w:p>
        </w:tc>
        <w:tc>
          <w:tcPr>
            <w:tcW w:w="709" w:type="dxa"/>
            <w:vMerge/>
            <w:tcBorders>
              <w:top w:val="single" w:sz="6" w:space="0" w:color="auto"/>
              <w:left w:val="single" w:sz="6" w:space="0" w:color="auto"/>
              <w:bottom w:val="nil"/>
              <w:right w:val="single" w:sz="4" w:space="0" w:color="auto"/>
            </w:tcBorders>
            <w:vAlign w:val="center"/>
            <w:hideMark/>
          </w:tcPr>
          <w:p w14:paraId="536A3D20" w14:textId="77777777" w:rsidR="00C40BE8" w:rsidRPr="00F8474E" w:rsidRDefault="00C40BE8" w:rsidP="00C40BE8">
            <w:pPr>
              <w:pStyle w:val="TAC"/>
              <w:rPr>
                <w:lang w:eastAsia="ko-KR"/>
              </w:rPr>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2DB7E4DE" w14:textId="77777777" w:rsidR="00C40BE8" w:rsidRPr="00F8474E" w:rsidRDefault="00C40BE8" w:rsidP="00C40BE8">
            <w:pPr>
              <w:pStyle w:val="TAC"/>
              <w:rPr>
                <w:lang w:eastAsia="ko-KR"/>
              </w:rPr>
            </w:pPr>
          </w:p>
        </w:tc>
        <w:tc>
          <w:tcPr>
            <w:tcW w:w="2267" w:type="dxa"/>
            <w:tcBorders>
              <w:top w:val="single" w:sz="6" w:space="0" w:color="auto"/>
              <w:left w:val="single" w:sz="4" w:space="0" w:color="auto"/>
              <w:bottom w:val="single" w:sz="6" w:space="0" w:color="auto"/>
              <w:right w:val="single" w:sz="4" w:space="0" w:color="auto"/>
            </w:tcBorders>
            <w:vAlign w:val="center"/>
            <w:hideMark/>
          </w:tcPr>
          <w:p w14:paraId="02D3F63D" w14:textId="77777777" w:rsidR="00C40BE8" w:rsidRPr="00F8474E" w:rsidRDefault="00C40BE8" w:rsidP="00C40BE8">
            <w:pPr>
              <w:pStyle w:val="TAC"/>
              <w:rPr>
                <w:lang w:eastAsia="ko-KR"/>
              </w:rPr>
            </w:pPr>
            <w:r w:rsidRPr="00F8474E">
              <w:t>NR</w:t>
            </w:r>
            <w:r w:rsidRPr="00F8474E">
              <w:rPr>
                <w:lang w:eastAsia="ko-KR"/>
              </w:rPr>
              <w:t>_</w:t>
            </w:r>
            <w:r w:rsidRPr="00F8474E">
              <w:t>FDD_FR1_H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189A309E" w14:textId="2B680C99" w:rsidR="00C40BE8" w:rsidRPr="00F8474E" w:rsidRDefault="00C40BE8" w:rsidP="00C40BE8">
            <w:pPr>
              <w:pStyle w:val="TAC"/>
              <w:rPr>
                <w:lang w:eastAsia="ko-KR"/>
              </w:rPr>
            </w:pPr>
            <w:r w:rsidRPr="00F8474E">
              <w:t>-117.5</w:t>
            </w:r>
          </w:p>
        </w:tc>
        <w:tc>
          <w:tcPr>
            <w:tcW w:w="1123" w:type="dxa"/>
            <w:vMerge/>
            <w:tcBorders>
              <w:top w:val="single" w:sz="6" w:space="0" w:color="auto"/>
              <w:left w:val="single" w:sz="4" w:space="0" w:color="auto"/>
              <w:bottom w:val="single" w:sz="6" w:space="0" w:color="auto"/>
              <w:right w:val="single" w:sz="4" w:space="0" w:color="auto"/>
            </w:tcBorders>
            <w:vAlign w:val="center"/>
            <w:hideMark/>
          </w:tcPr>
          <w:p w14:paraId="6E47E88D" w14:textId="77777777" w:rsidR="00C40BE8" w:rsidRPr="00F8474E" w:rsidRDefault="00C40BE8" w:rsidP="00C40BE8">
            <w:pPr>
              <w:pStyle w:val="TAC"/>
              <w:rPr>
                <w:lang w:eastAsia="ko-KR"/>
              </w:rPr>
            </w:pPr>
          </w:p>
        </w:tc>
      </w:tr>
      <w:tr w:rsidR="00C40BE8" w:rsidRPr="00F8474E" w14:paraId="64B19066"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4AEA1A92" w14:textId="77777777" w:rsidR="00C40BE8" w:rsidRPr="00F8474E" w:rsidRDefault="00C40BE8" w:rsidP="00C40BE8">
            <w:pPr>
              <w:pStyle w:val="TAC"/>
              <w:rPr>
                <w:lang w:eastAsia="ko-KR"/>
              </w:rPr>
            </w:pPr>
            <w:r w:rsidRPr="00F8474E">
              <w:rPr>
                <w:lang w:eastAsia="ko-KR"/>
              </w:rPr>
              <w:t>± 42+</w:t>
            </w:r>
            <w:r w:rsidRPr="00F8474E">
              <w:rPr>
                <w:lang w:eastAsia="ko-KR"/>
              </w:rPr>
              <w:sym w:font="Symbol" w:char="F064"/>
            </w:r>
          </w:p>
        </w:tc>
        <w:tc>
          <w:tcPr>
            <w:tcW w:w="714" w:type="dxa"/>
            <w:tcBorders>
              <w:top w:val="nil"/>
              <w:left w:val="single" w:sz="6" w:space="0" w:color="auto"/>
              <w:bottom w:val="nil"/>
              <w:right w:val="single" w:sz="6" w:space="0" w:color="auto"/>
            </w:tcBorders>
            <w:vAlign w:val="center"/>
          </w:tcPr>
          <w:p w14:paraId="120A2C5B"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2B546651" w14:textId="77777777" w:rsidR="00C40BE8" w:rsidRPr="00F8474E" w:rsidRDefault="00C40BE8" w:rsidP="00C40BE8">
            <w:pPr>
              <w:pStyle w:val="TAC"/>
              <w:rPr>
                <w:lang w:eastAsia="ko-KR"/>
              </w:rPr>
            </w:pPr>
            <w:r w:rsidRPr="00F8474E">
              <w:rPr>
                <w:rFonts w:cs="Calibri"/>
              </w:rPr>
              <w:t>≥</w:t>
            </w:r>
            <w:r w:rsidRPr="00F8474E">
              <w:rPr>
                <w:lang w:eastAsia="zh-CN"/>
              </w:rPr>
              <w:t xml:space="preserve"> 64</w:t>
            </w:r>
          </w:p>
        </w:tc>
        <w:tc>
          <w:tcPr>
            <w:tcW w:w="709" w:type="dxa"/>
            <w:tcBorders>
              <w:top w:val="nil"/>
              <w:left w:val="single" w:sz="6" w:space="0" w:color="auto"/>
              <w:bottom w:val="nil"/>
              <w:right w:val="single" w:sz="4" w:space="0" w:color="auto"/>
            </w:tcBorders>
          </w:tcPr>
          <w:p w14:paraId="5FE6014C"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15CCB294"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68EB95CE"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30DEE8F6"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729BF922" w14:textId="77777777" w:rsidR="00C40BE8" w:rsidRPr="00F8474E" w:rsidRDefault="00C40BE8" w:rsidP="00C40BE8">
            <w:pPr>
              <w:pStyle w:val="TAC"/>
              <w:rPr>
                <w:lang w:eastAsia="ko-KR"/>
              </w:rPr>
            </w:pPr>
            <w:r w:rsidRPr="00F8474E">
              <w:rPr>
                <w:lang w:eastAsia="ko-KR"/>
              </w:rPr>
              <w:t>NOTE 6</w:t>
            </w:r>
          </w:p>
        </w:tc>
      </w:tr>
      <w:tr w:rsidR="00C40BE8" w:rsidRPr="00F8474E" w14:paraId="0D7402E1"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0AFD8D6C" w14:textId="77777777" w:rsidR="00C40BE8" w:rsidRPr="00F8474E" w:rsidRDefault="00C40BE8" w:rsidP="00C40BE8">
            <w:pPr>
              <w:pStyle w:val="TAC"/>
              <w:rPr>
                <w:lang w:eastAsia="ko-KR"/>
              </w:rPr>
            </w:pPr>
            <w:r w:rsidRPr="00F8474E">
              <w:rPr>
                <w:lang w:eastAsia="ko-KR"/>
              </w:rPr>
              <w:t>± 36+</w:t>
            </w:r>
            <w:r w:rsidRPr="00F8474E">
              <w:rPr>
                <w:lang w:eastAsia="ko-KR"/>
              </w:rPr>
              <w:sym w:font="Symbol" w:char="F064"/>
            </w:r>
          </w:p>
        </w:tc>
        <w:tc>
          <w:tcPr>
            <w:tcW w:w="714" w:type="dxa"/>
            <w:tcBorders>
              <w:top w:val="nil"/>
              <w:left w:val="single" w:sz="6" w:space="0" w:color="auto"/>
              <w:bottom w:val="nil"/>
              <w:right w:val="single" w:sz="6" w:space="0" w:color="auto"/>
            </w:tcBorders>
            <w:vAlign w:val="center"/>
          </w:tcPr>
          <w:p w14:paraId="3C271F15"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43E040F8" w14:textId="77777777" w:rsidR="00C40BE8" w:rsidRPr="00F8474E" w:rsidRDefault="00C40BE8" w:rsidP="00C40BE8">
            <w:pPr>
              <w:pStyle w:val="TAC"/>
              <w:rPr>
                <w:lang w:eastAsia="ko-KR"/>
              </w:rPr>
            </w:pPr>
            <w:r w:rsidRPr="00F8474E">
              <w:rPr>
                <w:rFonts w:cs="Calibri"/>
              </w:rPr>
              <w:t>≥</w:t>
            </w:r>
            <w:r w:rsidRPr="00F8474E">
              <w:rPr>
                <w:lang w:eastAsia="zh-CN"/>
              </w:rPr>
              <w:t xml:space="preserve"> 132</w:t>
            </w:r>
          </w:p>
        </w:tc>
        <w:tc>
          <w:tcPr>
            <w:tcW w:w="709" w:type="dxa"/>
            <w:tcBorders>
              <w:top w:val="nil"/>
              <w:left w:val="single" w:sz="6" w:space="0" w:color="auto"/>
              <w:bottom w:val="nil"/>
              <w:right w:val="single" w:sz="4" w:space="0" w:color="auto"/>
            </w:tcBorders>
          </w:tcPr>
          <w:p w14:paraId="0D2949DB"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04030F49"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046E03E4"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0B98074A"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625C63F8" w14:textId="77777777" w:rsidR="00C40BE8" w:rsidRPr="00F8474E" w:rsidRDefault="00C40BE8" w:rsidP="00C40BE8">
            <w:pPr>
              <w:pStyle w:val="TAC"/>
              <w:rPr>
                <w:lang w:eastAsia="ko-KR"/>
              </w:rPr>
            </w:pPr>
            <w:r w:rsidRPr="00F8474E">
              <w:rPr>
                <w:lang w:eastAsia="ko-KR"/>
              </w:rPr>
              <w:t>NOTE 6</w:t>
            </w:r>
          </w:p>
        </w:tc>
      </w:tr>
      <w:tr w:rsidR="00C40BE8" w:rsidRPr="00F8474E" w14:paraId="28457946" w14:textId="77777777" w:rsidTr="00FA482E">
        <w:trPr>
          <w:trHeight w:val="208"/>
          <w:jc w:val="center"/>
        </w:trPr>
        <w:tc>
          <w:tcPr>
            <w:tcW w:w="1133" w:type="dxa"/>
            <w:tcBorders>
              <w:top w:val="single" w:sz="6" w:space="0" w:color="auto"/>
              <w:left w:val="single" w:sz="4" w:space="0" w:color="auto"/>
              <w:bottom w:val="nil"/>
              <w:right w:val="single" w:sz="6" w:space="0" w:color="auto"/>
            </w:tcBorders>
            <w:hideMark/>
          </w:tcPr>
          <w:p w14:paraId="369F26CA" w14:textId="77777777" w:rsidR="00C40BE8" w:rsidRPr="00F8474E" w:rsidRDefault="00C40BE8" w:rsidP="00C40BE8">
            <w:pPr>
              <w:pStyle w:val="TAC"/>
              <w:rPr>
                <w:lang w:eastAsia="ko-KR"/>
              </w:rPr>
            </w:pPr>
            <w:r w:rsidRPr="00F8474E">
              <w:rPr>
                <w:lang w:eastAsia="ko-KR"/>
              </w:rPr>
              <w:t>± 180+</w:t>
            </w:r>
            <w:r w:rsidRPr="00F8474E">
              <w:rPr>
                <w:lang w:eastAsia="ko-KR"/>
              </w:rPr>
              <w:sym w:font="Symbol" w:char="F064"/>
            </w:r>
          </w:p>
        </w:tc>
        <w:tc>
          <w:tcPr>
            <w:tcW w:w="714" w:type="dxa"/>
            <w:vMerge w:val="restart"/>
            <w:tcBorders>
              <w:top w:val="single" w:sz="6" w:space="0" w:color="auto"/>
              <w:left w:val="single" w:sz="6" w:space="0" w:color="auto"/>
              <w:bottom w:val="nil"/>
              <w:right w:val="single" w:sz="6" w:space="0" w:color="auto"/>
            </w:tcBorders>
            <w:vAlign w:val="center"/>
            <w:hideMark/>
          </w:tcPr>
          <w:p w14:paraId="129FDDF1" w14:textId="77777777" w:rsidR="00C40BE8" w:rsidRPr="00F8474E" w:rsidRDefault="00C40BE8" w:rsidP="00C40BE8">
            <w:pPr>
              <w:pStyle w:val="TAC"/>
              <w:rPr>
                <w:lang w:val="sv-SE" w:eastAsia="ko-KR"/>
              </w:rPr>
            </w:pPr>
            <w:r w:rsidRPr="00F8474E">
              <w:rPr>
                <w:lang w:val="sv-SE" w:eastAsia="ko-KR"/>
              </w:rPr>
              <w:t>-13</w:t>
            </w:r>
          </w:p>
        </w:tc>
        <w:tc>
          <w:tcPr>
            <w:tcW w:w="1133" w:type="dxa"/>
            <w:tcBorders>
              <w:top w:val="single" w:sz="6" w:space="0" w:color="auto"/>
              <w:left w:val="single" w:sz="6" w:space="0" w:color="auto"/>
              <w:bottom w:val="nil"/>
              <w:right w:val="single" w:sz="6" w:space="0" w:color="auto"/>
            </w:tcBorders>
            <w:hideMark/>
          </w:tcPr>
          <w:p w14:paraId="1A120FC4" w14:textId="77777777" w:rsidR="00C40BE8" w:rsidRPr="00F8474E" w:rsidRDefault="00C40BE8" w:rsidP="00C40BE8">
            <w:pPr>
              <w:pStyle w:val="TAC"/>
              <w:rPr>
                <w:lang w:eastAsia="ko-KR"/>
              </w:rPr>
            </w:pPr>
            <w:r w:rsidRPr="00F8474E">
              <w:rPr>
                <w:rFonts w:cs="Calibri"/>
              </w:rPr>
              <w:t>≥</w:t>
            </w:r>
            <w:r w:rsidRPr="00F8474E">
              <w:t>24</w:t>
            </w:r>
          </w:p>
        </w:tc>
        <w:tc>
          <w:tcPr>
            <w:tcW w:w="709" w:type="dxa"/>
            <w:vMerge w:val="restart"/>
            <w:tcBorders>
              <w:top w:val="single" w:sz="6" w:space="0" w:color="auto"/>
              <w:left w:val="single" w:sz="6" w:space="0" w:color="auto"/>
              <w:bottom w:val="nil"/>
              <w:right w:val="single" w:sz="4" w:space="0" w:color="auto"/>
            </w:tcBorders>
            <w:vAlign w:val="center"/>
            <w:hideMark/>
          </w:tcPr>
          <w:p w14:paraId="41F381EF" w14:textId="77777777" w:rsidR="00C40BE8" w:rsidRPr="00F8474E" w:rsidRDefault="00C40BE8" w:rsidP="00C40BE8">
            <w:pPr>
              <w:pStyle w:val="TAC"/>
              <w:rPr>
                <w:lang w:eastAsia="ko-KR"/>
              </w:rPr>
            </w:pPr>
            <w:r w:rsidRPr="00F8474E">
              <w:rPr>
                <w:lang w:eastAsia="ko-KR"/>
              </w:rPr>
              <w:t>15</w:t>
            </w:r>
          </w:p>
        </w:tc>
        <w:tc>
          <w:tcPr>
            <w:tcW w:w="1832" w:type="dxa"/>
            <w:tcBorders>
              <w:top w:val="single" w:sz="4" w:space="0" w:color="auto"/>
              <w:left w:val="single" w:sz="4" w:space="0" w:color="auto"/>
              <w:bottom w:val="single" w:sz="4" w:space="0" w:color="auto"/>
              <w:right w:val="single" w:sz="4" w:space="0" w:color="auto"/>
            </w:tcBorders>
            <w:vAlign w:val="center"/>
            <w:hideMark/>
          </w:tcPr>
          <w:p w14:paraId="35CC7C5A" w14:textId="77777777" w:rsidR="00C40BE8" w:rsidRPr="00F8474E" w:rsidRDefault="00C40BE8" w:rsidP="00C40BE8">
            <w:pPr>
              <w:pStyle w:val="TAC"/>
              <w:rPr>
                <w:lang w:eastAsia="ko-KR"/>
              </w:rPr>
            </w:pPr>
            <w:r w:rsidRPr="00F8474E">
              <w:rPr>
                <w:rFonts w:cs="Arial"/>
                <w:szCs w:val="18"/>
              </w:rPr>
              <w:t>≥4</w:t>
            </w:r>
          </w:p>
        </w:tc>
        <w:tc>
          <w:tcPr>
            <w:tcW w:w="2267" w:type="dxa"/>
            <w:tcBorders>
              <w:top w:val="single" w:sz="6" w:space="0" w:color="auto"/>
              <w:left w:val="single" w:sz="4" w:space="0" w:color="auto"/>
              <w:bottom w:val="single" w:sz="6" w:space="0" w:color="auto"/>
              <w:right w:val="single" w:sz="4" w:space="0" w:color="auto"/>
            </w:tcBorders>
            <w:hideMark/>
          </w:tcPr>
          <w:p w14:paraId="00CB49F6"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11E11DDD"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0443634F" w14:textId="77777777" w:rsidR="00C40BE8" w:rsidRPr="00F8474E" w:rsidRDefault="00C40BE8" w:rsidP="00C40BE8">
            <w:pPr>
              <w:pStyle w:val="TAC"/>
              <w:rPr>
                <w:lang w:eastAsia="ko-KR"/>
              </w:rPr>
            </w:pPr>
            <w:r w:rsidRPr="00F8474E">
              <w:rPr>
                <w:lang w:eastAsia="ko-KR"/>
              </w:rPr>
              <w:t>NOTE 6</w:t>
            </w:r>
          </w:p>
        </w:tc>
      </w:tr>
      <w:tr w:rsidR="00C40BE8" w:rsidRPr="00F8474E" w14:paraId="060AEFE3"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0C4A2AAB" w14:textId="77777777" w:rsidR="00C40BE8" w:rsidRPr="00F8474E" w:rsidRDefault="00C40BE8" w:rsidP="00C40BE8">
            <w:pPr>
              <w:pStyle w:val="TAC"/>
              <w:rPr>
                <w:lang w:eastAsia="ko-KR"/>
              </w:rPr>
            </w:pPr>
            <w:r w:rsidRPr="00F8474E">
              <w:rPr>
                <w:lang w:eastAsia="ko-KR"/>
              </w:rPr>
              <w:t>± 98+</w:t>
            </w:r>
            <w:r w:rsidRPr="00F8474E">
              <w:rPr>
                <w:lang w:eastAsia="ko-KR"/>
              </w:rPr>
              <w:sym w:font="Symbol" w:char="F064"/>
            </w:r>
          </w:p>
        </w:tc>
        <w:tc>
          <w:tcPr>
            <w:tcW w:w="714" w:type="dxa"/>
            <w:vMerge/>
            <w:tcBorders>
              <w:top w:val="single" w:sz="6" w:space="0" w:color="auto"/>
              <w:left w:val="single" w:sz="6" w:space="0" w:color="auto"/>
              <w:bottom w:val="nil"/>
              <w:right w:val="single" w:sz="6" w:space="0" w:color="auto"/>
            </w:tcBorders>
            <w:vAlign w:val="center"/>
            <w:hideMark/>
          </w:tcPr>
          <w:p w14:paraId="14538EBE"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6497DC16" w14:textId="77777777" w:rsidR="00C40BE8" w:rsidRPr="00F8474E" w:rsidRDefault="00C40BE8" w:rsidP="00C40BE8">
            <w:pPr>
              <w:pStyle w:val="TAC"/>
              <w:rPr>
                <w:lang w:eastAsia="ko-KR"/>
              </w:rPr>
            </w:pPr>
            <w:r w:rsidRPr="00F8474E">
              <w:rPr>
                <w:rFonts w:cs="Calibri"/>
              </w:rPr>
              <w:t>≥</w:t>
            </w:r>
            <w:r w:rsidRPr="00F8474E">
              <w:t>52</w:t>
            </w:r>
          </w:p>
        </w:tc>
        <w:tc>
          <w:tcPr>
            <w:tcW w:w="709" w:type="dxa"/>
            <w:vMerge/>
            <w:tcBorders>
              <w:top w:val="single" w:sz="6" w:space="0" w:color="auto"/>
              <w:left w:val="single" w:sz="6" w:space="0" w:color="auto"/>
              <w:bottom w:val="nil"/>
              <w:right w:val="single" w:sz="4" w:space="0" w:color="auto"/>
            </w:tcBorders>
            <w:vAlign w:val="center"/>
            <w:hideMark/>
          </w:tcPr>
          <w:p w14:paraId="30E31E02"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vAlign w:val="center"/>
            <w:hideMark/>
          </w:tcPr>
          <w:p w14:paraId="14030500"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52E39569"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7FE7B0C3"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76751DF3" w14:textId="77777777" w:rsidR="00C40BE8" w:rsidRPr="00F8474E" w:rsidRDefault="00C40BE8" w:rsidP="00C40BE8">
            <w:pPr>
              <w:pStyle w:val="TAC"/>
              <w:rPr>
                <w:lang w:eastAsia="ko-KR"/>
              </w:rPr>
            </w:pPr>
            <w:r w:rsidRPr="00F8474E">
              <w:rPr>
                <w:lang w:eastAsia="ko-KR"/>
              </w:rPr>
              <w:t>NOTE 6</w:t>
            </w:r>
          </w:p>
        </w:tc>
      </w:tr>
      <w:tr w:rsidR="00C40BE8" w:rsidRPr="00F8474E" w14:paraId="702D9F39"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6CA18DA3" w14:textId="77777777" w:rsidR="00C40BE8" w:rsidRPr="00F8474E" w:rsidRDefault="00C40BE8" w:rsidP="00C40BE8">
            <w:pPr>
              <w:pStyle w:val="TAC"/>
              <w:rPr>
                <w:lang w:eastAsia="ko-KR"/>
              </w:rPr>
            </w:pPr>
            <w:r w:rsidRPr="00F8474E">
              <w:rPr>
                <w:lang w:eastAsia="ko-KR"/>
              </w:rPr>
              <w:t>± 68+</w:t>
            </w:r>
            <w:r w:rsidRPr="00F8474E">
              <w:rPr>
                <w:lang w:eastAsia="ko-KR"/>
              </w:rPr>
              <w:sym w:font="Symbol" w:char="F064"/>
            </w:r>
          </w:p>
        </w:tc>
        <w:tc>
          <w:tcPr>
            <w:tcW w:w="714" w:type="dxa"/>
            <w:vMerge/>
            <w:tcBorders>
              <w:top w:val="single" w:sz="6" w:space="0" w:color="auto"/>
              <w:left w:val="single" w:sz="6" w:space="0" w:color="auto"/>
              <w:bottom w:val="nil"/>
              <w:right w:val="single" w:sz="6" w:space="0" w:color="auto"/>
            </w:tcBorders>
            <w:vAlign w:val="center"/>
            <w:hideMark/>
          </w:tcPr>
          <w:p w14:paraId="0CC38C92"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44F4754F" w14:textId="77777777" w:rsidR="00C40BE8" w:rsidRPr="00F8474E" w:rsidRDefault="00C40BE8" w:rsidP="00C40BE8">
            <w:pPr>
              <w:pStyle w:val="TAC"/>
              <w:rPr>
                <w:lang w:eastAsia="ko-KR"/>
              </w:rPr>
            </w:pPr>
            <w:r w:rsidRPr="00F8474E">
              <w:rPr>
                <w:lang w:eastAsia="zh-CN"/>
              </w:rPr>
              <w:t>&gt;104</w:t>
            </w:r>
          </w:p>
        </w:tc>
        <w:tc>
          <w:tcPr>
            <w:tcW w:w="709" w:type="dxa"/>
            <w:vMerge/>
            <w:tcBorders>
              <w:top w:val="single" w:sz="6" w:space="0" w:color="auto"/>
              <w:left w:val="single" w:sz="6" w:space="0" w:color="auto"/>
              <w:bottom w:val="nil"/>
              <w:right w:val="single" w:sz="4" w:space="0" w:color="auto"/>
            </w:tcBorders>
            <w:vAlign w:val="center"/>
            <w:hideMark/>
          </w:tcPr>
          <w:p w14:paraId="71454158"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08E8D185"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66BA9B3A"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1FE1FDF4"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3BD8331C" w14:textId="77777777" w:rsidR="00C40BE8" w:rsidRPr="00F8474E" w:rsidRDefault="00C40BE8" w:rsidP="00C40BE8">
            <w:pPr>
              <w:pStyle w:val="TAC"/>
              <w:rPr>
                <w:lang w:eastAsia="ko-KR"/>
              </w:rPr>
            </w:pPr>
            <w:r w:rsidRPr="00F8474E">
              <w:rPr>
                <w:lang w:eastAsia="ko-KR"/>
              </w:rPr>
              <w:t>NOTE 6</w:t>
            </w:r>
          </w:p>
        </w:tc>
      </w:tr>
      <w:tr w:rsidR="00C40BE8" w:rsidRPr="00F8474E" w14:paraId="50532D72"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214236AF" w14:textId="77777777" w:rsidR="00C40BE8" w:rsidRPr="00F8474E" w:rsidRDefault="00C40BE8" w:rsidP="00C40BE8">
            <w:pPr>
              <w:pStyle w:val="TAC"/>
              <w:rPr>
                <w:lang w:eastAsia="ko-KR"/>
              </w:rPr>
            </w:pPr>
            <w:r w:rsidRPr="00F8474E">
              <w:rPr>
                <w:lang w:eastAsia="ko-KR"/>
              </w:rPr>
              <w:t>± 87+</w:t>
            </w:r>
            <w:r w:rsidRPr="00F8474E">
              <w:rPr>
                <w:lang w:eastAsia="ko-KR"/>
              </w:rPr>
              <w:sym w:font="Symbol" w:char="F064"/>
            </w:r>
          </w:p>
        </w:tc>
        <w:tc>
          <w:tcPr>
            <w:tcW w:w="714" w:type="dxa"/>
            <w:tcBorders>
              <w:top w:val="nil"/>
              <w:left w:val="single" w:sz="6" w:space="0" w:color="auto"/>
              <w:bottom w:val="nil"/>
              <w:right w:val="single" w:sz="6" w:space="0" w:color="auto"/>
            </w:tcBorders>
            <w:vAlign w:val="center"/>
          </w:tcPr>
          <w:p w14:paraId="04389D7C"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0AFE6395" w14:textId="77777777" w:rsidR="00C40BE8" w:rsidRPr="00F8474E" w:rsidRDefault="00C40BE8" w:rsidP="00C40BE8">
            <w:pPr>
              <w:pStyle w:val="TAC"/>
              <w:rPr>
                <w:lang w:eastAsia="ko-KR"/>
              </w:rPr>
            </w:pPr>
            <w:r w:rsidRPr="00F8474E">
              <w:rPr>
                <w:rFonts w:cs="Calibri"/>
              </w:rPr>
              <w:t>≥</w:t>
            </w:r>
            <w:r w:rsidRPr="00F8474E">
              <w:t>24</w:t>
            </w:r>
          </w:p>
        </w:tc>
        <w:tc>
          <w:tcPr>
            <w:tcW w:w="709" w:type="dxa"/>
            <w:tcBorders>
              <w:top w:val="single" w:sz="6" w:space="0" w:color="auto"/>
              <w:left w:val="single" w:sz="6" w:space="0" w:color="auto"/>
              <w:bottom w:val="nil"/>
              <w:right w:val="single" w:sz="4" w:space="0" w:color="auto"/>
            </w:tcBorders>
            <w:hideMark/>
          </w:tcPr>
          <w:p w14:paraId="5C3F142F" w14:textId="77777777" w:rsidR="00C40BE8" w:rsidRPr="00F8474E" w:rsidRDefault="00C40BE8" w:rsidP="00C40BE8">
            <w:pPr>
              <w:pStyle w:val="TAC"/>
              <w:rPr>
                <w:lang w:eastAsia="ko-KR"/>
              </w:rPr>
            </w:pPr>
            <w:r w:rsidRPr="00F8474E">
              <w:rPr>
                <w:lang w:eastAsia="ko-KR"/>
              </w:rPr>
              <w:t>30</w:t>
            </w:r>
          </w:p>
        </w:tc>
        <w:tc>
          <w:tcPr>
            <w:tcW w:w="1832" w:type="dxa"/>
            <w:tcBorders>
              <w:top w:val="single" w:sz="4" w:space="0" w:color="auto"/>
              <w:left w:val="single" w:sz="4" w:space="0" w:color="auto"/>
              <w:bottom w:val="single" w:sz="4" w:space="0" w:color="auto"/>
              <w:right w:val="single" w:sz="4" w:space="0" w:color="auto"/>
            </w:tcBorders>
            <w:vAlign w:val="center"/>
            <w:hideMark/>
          </w:tcPr>
          <w:p w14:paraId="7AF62CBB" w14:textId="77777777" w:rsidR="00C40BE8" w:rsidRPr="00F8474E" w:rsidRDefault="00C40BE8" w:rsidP="00C40BE8">
            <w:pPr>
              <w:pStyle w:val="TAC"/>
              <w:rPr>
                <w:lang w:eastAsia="ko-KR"/>
              </w:rPr>
            </w:pPr>
            <w:r w:rsidRPr="00F8474E">
              <w:rPr>
                <w:rFonts w:cs="Arial"/>
                <w:szCs w:val="18"/>
              </w:rPr>
              <w:t>≥4</w:t>
            </w:r>
          </w:p>
        </w:tc>
        <w:tc>
          <w:tcPr>
            <w:tcW w:w="2267" w:type="dxa"/>
            <w:tcBorders>
              <w:top w:val="single" w:sz="6" w:space="0" w:color="auto"/>
              <w:left w:val="single" w:sz="4" w:space="0" w:color="auto"/>
              <w:bottom w:val="single" w:sz="6" w:space="0" w:color="auto"/>
              <w:right w:val="single" w:sz="4" w:space="0" w:color="auto"/>
            </w:tcBorders>
            <w:hideMark/>
          </w:tcPr>
          <w:p w14:paraId="511F0415"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2DEC871A"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6607B261" w14:textId="77777777" w:rsidR="00C40BE8" w:rsidRPr="00F8474E" w:rsidRDefault="00C40BE8" w:rsidP="00C40BE8">
            <w:pPr>
              <w:pStyle w:val="TAC"/>
              <w:rPr>
                <w:lang w:eastAsia="ko-KR"/>
              </w:rPr>
            </w:pPr>
            <w:r w:rsidRPr="00F8474E">
              <w:rPr>
                <w:lang w:eastAsia="ko-KR"/>
              </w:rPr>
              <w:t>NOTE 6</w:t>
            </w:r>
          </w:p>
        </w:tc>
      </w:tr>
      <w:tr w:rsidR="00C40BE8" w:rsidRPr="00F8474E" w14:paraId="0C34A4E6"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22035212" w14:textId="77777777" w:rsidR="00C40BE8" w:rsidRPr="00F8474E" w:rsidRDefault="00C40BE8" w:rsidP="00C40BE8">
            <w:pPr>
              <w:pStyle w:val="TAC"/>
              <w:rPr>
                <w:lang w:eastAsia="ko-KR"/>
              </w:rPr>
            </w:pPr>
            <w:r w:rsidRPr="00F8474E">
              <w:rPr>
                <w:lang w:eastAsia="ko-KR"/>
              </w:rPr>
              <w:t>± 85+</w:t>
            </w:r>
            <w:r w:rsidRPr="00F8474E">
              <w:rPr>
                <w:lang w:eastAsia="ko-KR"/>
              </w:rPr>
              <w:sym w:font="Symbol" w:char="F064"/>
            </w:r>
          </w:p>
        </w:tc>
        <w:tc>
          <w:tcPr>
            <w:tcW w:w="714" w:type="dxa"/>
            <w:tcBorders>
              <w:top w:val="nil"/>
              <w:left w:val="single" w:sz="6" w:space="0" w:color="auto"/>
              <w:bottom w:val="nil"/>
              <w:right w:val="single" w:sz="6" w:space="0" w:color="auto"/>
            </w:tcBorders>
            <w:vAlign w:val="center"/>
          </w:tcPr>
          <w:p w14:paraId="74704657"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12477497" w14:textId="77777777" w:rsidR="00C40BE8" w:rsidRPr="00F8474E" w:rsidRDefault="00C40BE8" w:rsidP="00C40BE8">
            <w:pPr>
              <w:pStyle w:val="TAC"/>
              <w:rPr>
                <w:rFonts w:cs="Calibri"/>
                <w:lang w:eastAsia="ko-KR"/>
              </w:rPr>
            </w:pPr>
            <w:r w:rsidRPr="00F8474E">
              <w:rPr>
                <w:rFonts w:cs="Calibri"/>
              </w:rPr>
              <w:t>≥48</w:t>
            </w:r>
          </w:p>
        </w:tc>
        <w:tc>
          <w:tcPr>
            <w:tcW w:w="709" w:type="dxa"/>
            <w:tcBorders>
              <w:top w:val="single" w:sz="6" w:space="0" w:color="auto"/>
              <w:left w:val="single" w:sz="6" w:space="0" w:color="auto"/>
              <w:bottom w:val="nil"/>
              <w:right w:val="single" w:sz="4" w:space="0" w:color="auto"/>
            </w:tcBorders>
          </w:tcPr>
          <w:p w14:paraId="5A50776E"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vAlign w:val="center"/>
            <w:hideMark/>
          </w:tcPr>
          <w:p w14:paraId="5C02A81A"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6CF7D1EC"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7A3D3AD3"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1A06A6AB" w14:textId="77777777" w:rsidR="00C40BE8" w:rsidRPr="00F8474E" w:rsidRDefault="00C40BE8" w:rsidP="00C40BE8">
            <w:pPr>
              <w:pStyle w:val="TAC"/>
              <w:rPr>
                <w:lang w:eastAsia="ko-KR"/>
              </w:rPr>
            </w:pPr>
            <w:r w:rsidRPr="00F8474E">
              <w:rPr>
                <w:lang w:eastAsia="ko-KR"/>
              </w:rPr>
              <w:t>NOTE 6</w:t>
            </w:r>
          </w:p>
        </w:tc>
      </w:tr>
      <w:tr w:rsidR="00C40BE8" w:rsidRPr="00F8474E" w14:paraId="3124A331"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5AA6B690" w14:textId="77777777" w:rsidR="00C40BE8" w:rsidRPr="00F8474E" w:rsidRDefault="00C40BE8" w:rsidP="00C40BE8">
            <w:pPr>
              <w:pStyle w:val="TAC"/>
              <w:rPr>
                <w:lang w:eastAsia="ko-KR"/>
              </w:rPr>
            </w:pPr>
            <w:r w:rsidRPr="00F8474E">
              <w:rPr>
                <w:lang w:eastAsia="ko-KR"/>
              </w:rPr>
              <w:t>± 44+</w:t>
            </w:r>
            <w:r w:rsidRPr="00F8474E">
              <w:rPr>
                <w:lang w:eastAsia="ko-KR"/>
              </w:rPr>
              <w:sym w:font="Symbol" w:char="F064"/>
            </w:r>
          </w:p>
        </w:tc>
        <w:tc>
          <w:tcPr>
            <w:tcW w:w="714" w:type="dxa"/>
            <w:vMerge w:val="restart"/>
            <w:tcBorders>
              <w:top w:val="nil"/>
              <w:left w:val="single" w:sz="6" w:space="0" w:color="auto"/>
              <w:bottom w:val="nil"/>
              <w:right w:val="single" w:sz="6" w:space="0" w:color="auto"/>
            </w:tcBorders>
            <w:vAlign w:val="center"/>
          </w:tcPr>
          <w:p w14:paraId="48B69631"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1FACB483" w14:textId="77777777" w:rsidR="00C40BE8" w:rsidRPr="00F8474E" w:rsidRDefault="00C40BE8" w:rsidP="00C40BE8">
            <w:pPr>
              <w:pStyle w:val="TAC"/>
              <w:rPr>
                <w:lang w:eastAsia="ko-KR"/>
              </w:rPr>
            </w:pPr>
            <w:r w:rsidRPr="00F8474E">
              <w:rPr>
                <w:rFonts w:cs="Calibri"/>
              </w:rPr>
              <w:t>≥132</w:t>
            </w:r>
          </w:p>
        </w:tc>
        <w:tc>
          <w:tcPr>
            <w:tcW w:w="709" w:type="dxa"/>
            <w:tcBorders>
              <w:top w:val="nil"/>
              <w:left w:val="single" w:sz="6" w:space="0" w:color="auto"/>
              <w:bottom w:val="nil"/>
              <w:right w:val="single" w:sz="4" w:space="0" w:color="auto"/>
            </w:tcBorders>
          </w:tcPr>
          <w:p w14:paraId="3F95CFD8"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71536B88"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285126FC"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4C515EA6"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68A8DC9F" w14:textId="77777777" w:rsidR="00C40BE8" w:rsidRPr="00F8474E" w:rsidRDefault="00C40BE8" w:rsidP="00C40BE8">
            <w:pPr>
              <w:pStyle w:val="TAC"/>
              <w:rPr>
                <w:lang w:eastAsia="ko-KR"/>
              </w:rPr>
            </w:pPr>
            <w:r w:rsidRPr="00F8474E">
              <w:rPr>
                <w:lang w:eastAsia="ko-KR"/>
              </w:rPr>
              <w:t>NOTE 6</w:t>
            </w:r>
          </w:p>
        </w:tc>
      </w:tr>
      <w:tr w:rsidR="00C40BE8" w:rsidRPr="00F8474E" w14:paraId="5B7B6B9D"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65956A10" w14:textId="77777777" w:rsidR="00C40BE8" w:rsidRPr="00F8474E" w:rsidRDefault="00C40BE8" w:rsidP="00C40BE8">
            <w:pPr>
              <w:pStyle w:val="TAC"/>
              <w:rPr>
                <w:lang w:eastAsia="ko-KR"/>
              </w:rPr>
            </w:pPr>
            <w:r w:rsidRPr="00F8474E">
              <w:rPr>
                <w:lang w:eastAsia="ko-KR"/>
              </w:rPr>
              <w:t>± 139+</w:t>
            </w:r>
            <w:r w:rsidRPr="00F8474E">
              <w:rPr>
                <w:lang w:eastAsia="ko-KR"/>
              </w:rPr>
              <w:sym w:font="Symbol" w:char="F064"/>
            </w:r>
          </w:p>
        </w:tc>
        <w:tc>
          <w:tcPr>
            <w:tcW w:w="714" w:type="dxa"/>
            <w:vMerge/>
            <w:tcBorders>
              <w:top w:val="nil"/>
              <w:left w:val="single" w:sz="6" w:space="0" w:color="auto"/>
              <w:bottom w:val="nil"/>
              <w:right w:val="single" w:sz="6" w:space="0" w:color="auto"/>
            </w:tcBorders>
            <w:vAlign w:val="center"/>
            <w:hideMark/>
          </w:tcPr>
          <w:p w14:paraId="3012CACB"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5BFAA590" w14:textId="77777777" w:rsidR="00C40BE8" w:rsidRPr="00F8474E" w:rsidRDefault="00C40BE8" w:rsidP="00C40BE8">
            <w:pPr>
              <w:pStyle w:val="TAC"/>
              <w:rPr>
                <w:lang w:eastAsia="ko-KR"/>
              </w:rPr>
            </w:pPr>
            <w:r w:rsidRPr="00F8474E">
              <w:rPr>
                <w:rFonts w:cs="Calibri"/>
              </w:rPr>
              <w:t>≥</w:t>
            </w:r>
            <w:r w:rsidRPr="00F8474E">
              <w:t>24</w:t>
            </w:r>
          </w:p>
        </w:tc>
        <w:tc>
          <w:tcPr>
            <w:tcW w:w="709" w:type="dxa"/>
            <w:tcBorders>
              <w:top w:val="single" w:sz="6" w:space="0" w:color="auto"/>
              <w:left w:val="single" w:sz="6" w:space="0" w:color="auto"/>
              <w:bottom w:val="nil"/>
              <w:right w:val="single" w:sz="4" w:space="0" w:color="auto"/>
            </w:tcBorders>
            <w:hideMark/>
          </w:tcPr>
          <w:p w14:paraId="39AE5AA8" w14:textId="77777777" w:rsidR="00C40BE8" w:rsidRPr="00F8474E" w:rsidRDefault="00C40BE8" w:rsidP="00C40BE8">
            <w:pPr>
              <w:pStyle w:val="TAC"/>
              <w:rPr>
                <w:lang w:eastAsia="ko-KR"/>
              </w:rPr>
            </w:pPr>
            <w:r w:rsidRPr="00F8474E">
              <w:rPr>
                <w:lang w:eastAsia="ko-KR"/>
              </w:rPr>
              <w:t>60</w:t>
            </w:r>
          </w:p>
        </w:tc>
        <w:tc>
          <w:tcPr>
            <w:tcW w:w="1832" w:type="dxa"/>
            <w:tcBorders>
              <w:top w:val="single" w:sz="4" w:space="0" w:color="auto"/>
              <w:left w:val="single" w:sz="4" w:space="0" w:color="auto"/>
              <w:bottom w:val="single" w:sz="4" w:space="0" w:color="auto"/>
              <w:right w:val="single" w:sz="4" w:space="0" w:color="auto"/>
            </w:tcBorders>
            <w:vAlign w:val="center"/>
            <w:hideMark/>
          </w:tcPr>
          <w:p w14:paraId="70D8B499" w14:textId="77777777" w:rsidR="00C40BE8" w:rsidRPr="00F8474E" w:rsidRDefault="00C40BE8" w:rsidP="00C40BE8">
            <w:pPr>
              <w:pStyle w:val="TAC"/>
              <w:rPr>
                <w:lang w:eastAsia="ko-KR"/>
              </w:rPr>
            </w:pPr>
            <w:r w:rsidRPr="00F8474E">
              <w:rPr>
                <w:rFonts w:cs="Arial"/>
                <w:szCs w:val="18"/>
              </w:rPr>
              <w:t>≥4</w:t>
            </w:r>
          </w:p>
        </w:tc>
        <w:tc>
          <w:tcPr>
            <w:tcW w:w="2267" w:type="dxa"/>
            <w:tcBorders>
              <w:top w:val="single" w:sz="6" w:space="0" w:color="auto"/>
              <w:left w:val="single" w:sz="4" w:space="0" w:color="auto"/>
              <w:bottom w:val="single" w:sz="6" w:space="0" w:color="auto"/>
              <w:right w:val="single" w:sz="4" w:space="0" w:color="auto"/>
            </w:tcBorders>
            <w:hideMark/>
          </w:tcPr>
          <w:p w14:paraId="44953C0E"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2C2DC346"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72A91444" w14:textId="77777777" w:rsidR="00C40BE8" w:rsidRPr="00F8474E" w:rsidRDefault="00C40BE8" w:rsidP="00C40BE8">
            <w:pPr>
              <w:pStyle w:val="TAC"/>
              <w:rPr>
                <w:lang w:eastAsia="ko-KR"/>
              </w:rPr>
            </w:pPr>
            <w:r w:rsidRPr="00F8474E">
              <w:rPr>
                <w:lang w:eastAsia="ko-KR"/>
              </w:rPr>
              <w:t>NOTE 6</w:t>
            </w:r>
          </w:p>
        </w:tc>
      </w:tr>
      <w:tr w:rsidR="00C40BE8" w:rsidRPr="00F8474E" w14:paraId="3CAE04CE"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28DC4A11" w14:textId="77777777" w:rsidR="00C40BE8" w:rsidRPr="00F8474E" w:rsidRDefault="00C40BE8" w:rsidP="00C40BE8">
            <w:pPr>
              <w:pStyle w:val="TAC"/>
              <w:rPr>
                <w:lang w:eastAsia="ko-KR"/>
              </w:rPr>
            </w:pPr>
            <w:r w:rsidRPr="00F8474E">
              <w:rPr>
                <w:lang w:eastAsia="ko-KR"/>
              </w:rPr>
              <w:t>± 46+</w:t>
            </w:r>
            <w:r w:rsidRPr="00F8474E">
              <w:rPr>
                <w:lang w:eastAsia="ko-KR"/>
              </w:rPr>
              <w:sym w:font="Symbol" w:char="F064"/>
            </w:r>
          </w:p>
        </w:tc>
        <w:tc>
          <w:tcPr>
            <w:tcW w:w="714" w:type="dxa"/>
            <w:tcBorders>
              <w:top w:val="nil"/>
              <w:left w:val="single" w:sz="6" w:space="0" w:color="auto"/>
              <w:bottom w:val="nil"/>
              <w:right w:val="single" w:sz="6" w:space="0" w:color="auto"/>
            </w:tcBorders>
            <w:vAlign w:val="center"/>
          </w:tcPr>
          <w:p w14:paraId="26123476"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237354E2" w14:textId="77777777" w:rsidR="00C40BE8" w:rsidRPr="00F8474E" w:rsidRDefault="00C40BE8" w:rsidP="00C40BE8">
            <w:pPr>
              <w:pStyle w:val="TAC"/>
              <w:rPr>
                <w:lang w:eastAsia="ko-KR"/>
              </w:rPr>
            </w:pPr>
            <w:r w:rsidRPr="00F8474E">
              <w:rPr>
                <w:rFonts w:cs="Calibri"/>
              </w:rPr>
              <w:t>≥</w:t>
            </w:r>
            <w:r w:rsidRPr="00F8474E">
              <w:rPr>
                <w:lang w:eastAsia="zh-CN"/>
              </w:rPr>
              <w:t xml:space="preserve"> 64</w:t>
            </w:r>
          </w:p>
        </w:tc>
        <w:tc>
          <w:tcPr>
            <w:tcW w:w="709" w:type="dxa"/>
            <w:tcBorders>
              <w:top w:val="nil"/>
              <w:left w:val="single" w:sz="6" w:space="0" w:color="auto"/>
              <w:bottom w:val="nil"/>
              <w:right w:val="single" w:sz="4" w:space="0" w:color="auto"/>
            </w:tcBorders>
          </w:tcPr>
          <w:p w14:paraId="1A8C168E"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0B49FEC3"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30BF22A8"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2FA15A21"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5C0B6852" w14:textId="77777777" w:rsidR="00C40BE8" w:rsidRPr="00F8474E" w:rsidRDefault="00C40BE8" w:rsidP="00C40BE8">
            <w:pPr>
              <w:pStyle w:val="TAC"/>
              <w:rPr>
                <w:lang w:eastAsia="ko-KR"/>
              </w:rPr>
            </w:pPr>
            <w:r w:rsidRPr="00F8474E">
              <w:rPr>
                <w:lang w:eastAsia="ko-KR"/>
              </w:rPr>
              <w:t>NOTE 6</w:t>
            </w:r>
          </w:p>
        </w:tc>
      </w:tr>
      <w:tr w:rsidR="00C40BE8" w:rsidRPr="00F8474E" w14:paraId="502E1A2E"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7AFB25B4" w14:textId="77777777" w:rsidR="00C40BE8" w:rsidRPr="00F8474E" w:rsidRDefault="00C40BE8" w:rsidP="00C40BE8">
            <w:pPr>
              <w:pStyle w:val="TAC"/>
              <w:rPr>
                <w:lang w:eastAsia="ko-KR"/>
              </w:rPr>
            </w:pPr>
            <w:r w:rsidRPr="00F8474E">
              <w:rPr>
                <w:lang w:eastAsia="ko-KR"/>
              </w:rPr>
              <w:t>± 30+</w:t>
            </w:r>
            <w:r w:rsidRPr="00F8474E">
              <w:rPr>
                <w:lang w:eastAsia="ko-KR"/>
              </w:rPr>
              <w:sym w:font="Symbol" w:char="F064"/>
            </w:r>
          </w:p>
        </w:tc>
        <w:tc>
          <w:tcPr>
            <w:tcW w:w="714" w:type="dxa"/>
            <w:tcBorders>
              <w:top w:val="nil"/>
              <w:left w:val="single" w:sz="6" w:space="0" w:color="auto"/>
              <w:bottom w:val="nil"/>
              <w:right w:val="single" w:sz="6" w:space="0" w:color="auto"/>
            </w:tcBorders>
            <w:vAlign w:val="center"/>
          </w:tcPr>
          <w:p w14:paraId="0FE2668D" w14:textId="77777777" w:rsidR="00C40BE8" w:rsidRPr="00F8474E" w:rsidRDefault="00C40BE8" w:rsidP="00C40BE8">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7B84E1F2" w14:textId="77777777" w:rsidR="00C40BE8" w:rsidRPr="00F8474E" w:rsidRDefault="00C40BE8" w:rsidP="00C40BE8">
            <w:pPr>
              <w:pStyle w:val="TAC"/>
              <w:rPr>
                <w:lang w:eastAsia="ko-KR"/>
              </w:rPr>
            </w:pPr>
            <w:r w:rsidRPr="00F8474E">
              <w:rPr>
                <w:rFonts w:cs="Calibri"/>
              </w:rPr>
              <w:t>≥</w:t>
            </w:r>
            <w:r w:rsidRPr="00F8474E">
              <w:rPr>
                <w:lang w:eastAsia="zh-CN"/>
              </w:rPr>
              <w:t xml:space="preserve"> 132</w:t>
            </w:r>
          </w:p>
        </w:tc>
        <w:tc>
          <w:tcPr>
            <w:tcW w:w="709" w:type="dxa"/>
            <w:tcBorders>
              <w:top w:val="nil"/>
              <w:left w:val="single" w:sz="6" w:space="0" w:color="auto"/>
              <w:bottom w:val="nil"/>
              <w:right w:val="single" w:sz="4" w:space="0" w:color="auto"/>
            </w:tcBorders>
          </w:tcPr>
          <w:p w14:paraId="33DCFFFE" w14:textId="77777777" w:rsidR="00C40BE8" w:rsidRPr="00F8474E" w:rsidRDefault="00C40BE8" w:rsidP="00C40BE8">
            <w:pPr>
              <w:pStyle w:val="TAC"/>
              <w:rPr>
                <w:lang w:eastAsia="ko-KR"/>
              </w:rPr>
            </w:pPr>
          </w:p>
        </w:tc>
        <w:tc>
          <w:tcPr>
            <w:tcW w:w="1832" w:type="dxa"/>
            <w:tcBorders>
              <w:top w:val="single" w:sz="4" w:space="0" w:color="auto"/>
              <w:left w:val="single" w:sz="4" w:space="0" w:color="auto"/>
              <w:bottom w:val="single" w:sz="4" w:space="0" w:color="auto"/>
              <w:right w:val="single" w:sz="4" w:space="0" w:color="auto"/>
            </w:tcBorders>
            <w:hideMark/>
          </w:tcPr>
          <w:p w14:paraId="40558F83" w14:textId="77777777" w:rsidR="00C40BE8" w:rsidRPr="00F8474E" w:rsidRDefault="00C40BE8" w:rsidP="00C40BE8">
            <w:pPr>
              <w:pStyle w:val="TAC"/>
              <w:rPr>
                <w:lang w:eastAsia="ko-KR"/>
              </w:rPr>
            </w:pPr>
            <w:r w:rsidRPr="00F8474E">
              <w:rPr>
                <w:rFonts w:cs="Arial"/>
                <w:szCs w:val="18"/>
              </w:rPr>
              <w:t>≥1</w:t>
            </w:r>
          </w:p>
        </w:tc>
        <w:tc>
          <w:tcPr>
            <w:tcW w:w="2267" w:type="dxa"/>
            <w:tcBorders>
              <w:top w:val="single" w:sz="6" w:space="0" w:color="auto"/>
              <w:left w:val="single" w:sz="4" w:space="0" w:color="auto"/>
              <w:bottom w:val="single" w:sz="6" w:space="0" w:color="auto"/>
              <w:right w:val="single" w:sz="4" w:space="0" w:color="auto"/>
            </w:tcBorders>
            <w:hideMark/>
          </w:tcPr>
          <w:p w14:paraId="2D6F5F12" w14:textId="77777777" w:rsidR="00C40BE8" w:rsidRPr="00F8474E" w:rsidRDefault="00C40BE8" w:rsidP="00C40BE8">
            <w:pPr>
              <w:pStyle w:val="TAC"/>
              <w:rPr>
                <w:lang w:eastAsia="ko-KR"/>
              </w:rPr>
            </w:pPr>
            <w:r w:rsidRPr="00F8474E">
              <w:rPr>
                <w:lang w:eastAsia="ko-KR"/>
              </w:rPr>
              <w:t>NOTE 6</w:t>
            </w:r>
          </w:p>
        </w:tc>
        <w:tc>
          <w:tcPr>
            <w:tcW w:w="1289" w:type="dxa"/>
            <w:tcBorders>
              <w:top w:val="single" w:sz="4" w:space="0" w:color="auto"/>
              <w:left w:val="single" w:sz="4" w:space="0" w:color="auto"/>
              <w:bottom w:val="single" w:sz="4" w:space="0" w:color="auto"/>
              <w:right w:val="single" w:sz="4" w:space="0" w:color="auto"/>
            </w:tcBorders>
            <w:hideMark/>
          </w:tcPr>
          <w:p w14:paraId="249EFE26" w14:textId="77777777" w:rsidR="00C40BE8" w:rsidRPr="00F8474E" w:rsidRDefault="00C40BE8" w:rsidP="00C40BE8">
            <w:pPr>
              <w:pStyle w:val="TAC"/>
              <w:rPr>
                <w:lang w:eastAsia="ko-KR"/>
              </w:rPr>
            </w:pPr>
            <w:r w:rsidRPr="00F8474E">
              <w:rPr>
                <w:lang w:eastAsia="ko-KR"/>
              </w:rPr>
              <w:t>NOTE 6</w:t>
            </w:r>
          </w:p>
        </w:tc>
        <w:tc>
          <w:tcPr>
            <w:tcW w:w="1123" w:type="dxa"/>
            <w:tcBorders>
              <w:top w:val="single" w:sz="6" w:space="0" w:color="auto"/>
              <w:left w:val="single" w:sz="4" w:space="0" w:color="auto"/>
              <w:bottom w:val="single" w:sz="6" w:space="0" w:color="auto"/>
              <w:right w:val="single" w:sz="4" w:space="0" w:color="auto"/>
            </w:tcBorders>
            <w:hideMark/>
          </w:tcPr>
          <w:p w14:paraId="0288ABA9" w14:textId="77777777" w:rsidR="00C40BE8" w:rsidRPr="00F8474E" w:rsidRDefault="00C40BE8" w:rsidP="00C40BE8">
            <w:pPr>
              <w:pStyle w:val="TAC"/>
              <w:rPr>
                <w:lang w:eastAsia="ko-KR"/>
              </w:rPr>
            </w:pPr>
            <w:r w:rsidRPr="00F8474E">
              <w:rPr>
                <w:lang w:eastAsia="ko-KR"/>
              </w:rPr>
              <w:t>NOTE 6</w:t>
            </w:r>
          </w:p>
        </w:tc>
      </w:tr>
      <w:tr w:rsidR="00C40BE8" w:rsidRPr="00F8474E" w14:paraId="26188E85" w14:textId="77777777" w:rsidTr="00FA482E">
        <w:trPr>
          <w:jc w:val="center"/>
        </w:trPr>
        <w:tc>
          <w:tcPr>
            <w:tcW w:w="10200" w:type="dxa"/>
            <w:gridSpan w:val="8"/>
            <w:tcBorders>
              <w:top w:val="single" w:sz="6" w:space="0" w:color="auto"/>
              <w:left w:val="single" w:sz="4" w:space="0" w:color="auto"/>
              <w:bottom w:val="single" w:sz="4" w:space="0" w:color="auto"/>
              <w:right w:val="single" w:sz="4" w:space="0" w:color="auto"/>
            </w:tcBorders>
            <w:hideMark/>
          </w:tcPr>
          <w:p w14:paraId="13AF41DD" w14:textId="77777777" w:rsidR="00C40BE8" w:rsidRPr="00F8474E" w:rsidRDefault="00C40BE8" w:rsidP="00C40BE8">
            <w:pPr>
              <w:pStyle w:val="TAN"/>
              <w:rPr>
                <w:lang w:eastAsia="ko-KR"/>
              </w:rPr>
            </w:pPr>
            <w:r w:rsidRPr="00F8474E">
              <w:rPr>
                <w:lang w:eastAsia="ko-KR"/>
              </w:rPr>
              <w:t>N</w:t>
            </w:r>
            <w:r w:rsidRPr="00F8474E">
              <w:t>OTE</w:t>
            </w:r>
            <w:r w:rsidRPr="00F8474E">
              <w:rPr>
                <w:lang w:eastAsia="ko-KR"/>
              </w:rPr>
              <w:t xml:space="preserve"> 1:</w:t>
            </w:r>
            <w:r w:rsidRPr="00F8474E">
              <w:rPr>
                <w:lang w:eastAsia="ko-KR"/>
              </w:rPr>
              <w:tab/>
              <w:t>This minimum Io condition is expressed as the average Io per RE over all REs in an OFDM symbol.</w:t>
            </w:r>
          </w:p>
          <w:p w14:paraId="457E7C06" w14:textId="77777777" w:rsidR="00C40BE8" w:rsidRPr="00F8474E" w:rsidRDefault="00C40BE8" w:rsidP="00C40BE8">
            <w:pPr>
              <w:pStyle w:val="TAN"/>
              <w:rPr>
                <w:lang w:eastAsia="ko-KR"/>
              </w:rPr>
            </w:pPr>
            <w:r w:rsidRPr="00F8474E">
              <w:rPr>
                <w:lang w:eastAsia="ko-KR"/>
              </w:rPr>
              <w:t>NOTE 2:</w:t>
            </w:r>
            <w:r w:rsidRPr="00F8474E">
              <w:rPr>
                <w:lang w:eastAsia="ko-KR"/>
              </w:rPr>
              <w:tab/>
              <w:t>NR operating band groups are as defined in Section 3.5.</w:t>
            </w:r>
          </w:p>
          <w:p w14:paraId="2068C9A0" w14:textId="77777777" w:rsidR="00C40BE8" w:rsidRPr="00F8474E" w:rsidRDefault="00C40BE8" w:rsidP="00C40BE8">
            <w:pPr>
              <w:pStyle w:val="TAN"/>
              <w:rPr>
                <w:lang w:eastAsia="ko-KR"/>
              </w:rPr>
            </w:pPr>
            <w:r w:rsidRPr="00F8474E">
              <w:rPr>
                <w:lang w:eastAsia="ko-KR"/>
              </w:rPr>
              <w:t>N</w:t>
            </w:r>
            <w:r w:rsidRPr="00F8474E">
              <w:t>OTE</w:t>
            </w:r>
            <w:r w:rsidRPr="00F8474E">
              <w:rPr>
                <w:lang w:eastAsia="ko-KR"/>
              </w:rPr>
              <w:t xml:space="preserve"> 3:</w:t>
            </w:r>
            <w:r w:rsidRPr="00F8474E">
              <w:rPr>
                <w:lang w:eastAsia="ko-KR"/>
              </w:rPr>
              <w:tab/>
            </w:r>
            <m:oMath>
              <m:sSubSup>
                <m:sSubSupPr>
                  <m:ctrlPr>
                    <w:rPr>
                      <w:rFonts w:ascii="Cambria Math" w:hAnsi="Cambria Math"/>
                      <w:i/>
                      <w:szCs w:val="18"/>
                      <w:lang w:eastAsia="ko-KR"/>
                    </w:rPr>
                  </m:ctrlPr>
                </m:sSubSupPr>
                <m:e>
                  <m:r>
                    <w:rPr>
                      <w:rFonts w:ascii="Cambria Math" w:hAnsi="Cambria Math"/>
                      <w:lang w:eastAsia="ko-KR"/>
                    </w:rPr>
                    <m:t>T</m:t>
                  </m:r>
                </m:e>
                <m:sub>
                  <m:r>
                    <m:rPr>
                      <m:sty m:val="p"/>
                    </m:rPr>
                    <w:rPr>
                      <w:rFonts w:ascii="Cambria Math" w:hAnsi="Cambria Math"/>
                      <w:lang w:eastAsia="ko-KR"/>
                    </w:rPr>
                    <m:t>rep</m:t>
                  </m:r>
                </m:sub>
                <m:sup>
                  <m:r>
                    <m:rPr>
                      <m:sty m:val="p"/>
                    </m:rPr>
                    <w:rPr>
                      <w:rFonts w:ascii="Cambria Math" w:hAnsi="Cambria Math"/>
                      <w:lang w:eastAsia="ko-KR"/>
                    </w:rPr>
                    <m:t>PRS</m:t>
                  </m:r>
                </m:sup>
              </m:sSubSup>
              <m:r>
                <w:rPr>
                  <w:rFonts w:ascii="Cambria Math" w:hAnsi="Cambria Math"/>
                  <w:lang w:eastAsia="ko-KR"/>
                </w:rPr>
                <m:t xml:space="preserve">, </m:t>
              </m:r>
              <m:sSub>
                <m:sSubPr>
                  <m:ctrlPr>
                    <w:rPr>
                      <w:rFonts w:ascii="Cambria Math" w:hAnsi="Cambria Math"/>
                      <w:szCs w:val="18"/>
                      <w:lang w:eastAsia="ko-KR"/>
                    </w:rPr>
                  </m:ctrlPr>
                </m:sSubPr>
                <m:e>
                  <m:r>
                    <w:rPr>
                      <w:rFonts w:ascii="Cambria Math" w:hAnsi="Cambria Math"/>
                      <w:lang w:eastAsia="ko-KR"/>
                    </w:rPr>
                    <m:t>L</m:t>
                  </m:r>
                </m:e>
                <m:sub>
                  <m:r>
                    <m:rPr>
                      <m:sty m:val="p"/>
                    </m:rPr>
                    <w:rPr>
                      <w:rFonts w:ascii="Cambria Math" w:hAnsi="Cambria Math"/>
                      <w:lang w:eastAsia="ko-KR"/>
                    </w:rPr>
                    <m:t>PRS</m:t>
                  </m:r>
                </m:sub>
              </m:sSub>
              <m:r>
                <w:rPr>
                  <w:rFonts w:ascii="Cambria Math" w:hAnsi="Cambria Math"/>
                  <w:lang w:eastAsia="ko-KR"/>
                </w:rPr>
                <m:t xml:space="preserve"> ,</m:t>
              </m:r>
              <m:sSubSup>
                <m:sSubSupPr>
                  <m:ctrlPr>
                    <w:rPr>
                      <w:rFonts w:ascii="Cambria Math" w:hAnsi="Cambria Math"/>
                      <w:i/>
                      <w:szCs w:val="18"/>
                      <w:lang w:eastAsia="ko-KR"/>
                    </w:rPr>
                  </m:ctrlPr>
                </m:sSubSupPr>
                <m:e>
                  <m:r>
                    <w:rPr>
                      <w:rFonts w:ascii="Cambria Math" w:hAnsi="Cambria Math"/>
                      <w:lang w:eastAsia="ko-KR"/>
                    </w:rPr>
                    <m:t>K</m:t>
                  </m:r>
                </m:e>
                <m:sub>
                  <m:r>
                    <m:rPr>
                      <m:sty m:val="p"/>
                    </m:rPr>
                    <w:rPr>
                      <w:rFonts w:ascii="Cambria Math" w:hAnsi="Cambria Math"/>
                      <w:lang w:eastAsia="ko-KR"/>
                    </w:rPr>
                    <m:t>comb</m:t>
                  </m:r>
                </m:sub>
                <m:sup>
                  <m:r>
                    <m:rPr>
                      <m:sty m:val="p"/>
                    </m:rPr>
                    <w:rPr>
                      <w:rFonts w:ascii="Cambria Math" w:hAnsi="Cambria Math"/>
                      <w:lang w:eastAsia="ko-KR"/>
                    </w:rPr>
                    <m:t>PRS</m:t>
                  </m:r>
                </m:sup>
              </m:sSubSup>
            </m:oMath>
            <w:r w:rsidRPr="00F8474E">
              <w:rPr>
                <w:b/>
                <w:bCs/>
              </w:rPr>
              <w:t xml:space="preserve"> </w:t>
            </w:r>
            <w:r w:rsidRPr="00F8474E">
              <w:rPr>
                <w:lang w:eastAsia="ko-KR"/>
              </w:rPr>
              <w:t xml:space="preserve">are configured by higher layer parameter  </w:t>
            </w:r>
            <w:r w:rsidRPr="00F8474E">
              <w:rPr>
                <w:i/>
                <w:lang w:eastAsia="ko-KR"/>
              </w:rPr>
              <w:t>dl-PRS-ResourceRepetitionFactor, dl-PRS-NumSymbols and  dl-PRS-CombSizeN</w:t>
            </w:r>
            <w:r w:rsidRPr="00F8474E">
              <w:rPr>
                <w:iCs/>
                <w:lang w:eastAsia="ko-KR"/>
              </w:rPr>
              <w:t>defined in TS 37.355 [34]</w:t>
            </w:r>
            <w:r w:rsidRPr="00F8474E">
              <w:rPr>
                <w:iCs/>
                <w:lang w:val="en-US"/>
              </w:rPr>
              <w:t>.</w:t>
            </w:r>
          </w:p>
          <w:p w14:paraId="6F0BB1A0" w14:textId="77777777" w:rsidR="00C40BE8" w:rsidRPr="00F8474E" w:rsidRDefault="00C40BE8" w:rsidP="00C40BE8">
            <w:pPr>
              <w:pStyle w:val="TAN"/>
              <w:rPr>
                <w:lang w:eastAsia="ko-KR"/>
              </w:rPr>
            </w:pPr>
            <w:r w:rsidRPr="00F8474E">
              <w:rPr>
                <w:lang w:eastAsia="ko-KR"/>
              </w:rPr>
              <w:t>NOTE 4:</w:t>
            </w:r>
            <w:r w:rsidRPr="00F8474E">
              <w:rPr>
                <w:lang w:eastAsia="ko-KR"/>
              </w:rPr>
              <w:tab/>
              <w:t>The Io is defined in PRS slots. The same Io range applies to PRS and non-PRS symbols. Io levels are different in PRS and non-PRS symbols within the same slot.</w:t>
            </w:r>
          </w:p>
          <w:p w14:paraId="2EAA314D" w14:textId="77777777" w:rsidR="00C40BE8" w:rsidRPr="00F8474E" w:rsidRDefault="00C40BE8" w:rsidP="00C40BE8">
            <w:pPr>
              <w:pStyle w:val="TAN"/>
              <w:rPr>
                <w:lang w:eastAsia="ko-KR"/>
              </w:rPr>
            </w:pPr>
            <w:r w:rsidRPr="00F8474E">
              <w:rPr>
                <w:lang w:eastAsia="ko-KR"/>
              </w:rPr>
              <w:t>N</w:t>
            </w:r>
            <w:r w:rsidRPr="00F8474E">
              <w:t>OTE</w:t>
            </w:r>
            <w:r w:rsidRPr="00F8474E">
              <w:rPr>
                <w:lang w:eastAsia="ko-KR"/>
              </w:rPr>
              <w:t xml:space="preserve"> 5:</w:t>
            </w:r>
            <w:r w:rsidRPr="00F8474E">
              <w:rPr>
                <w:lang w:eastAsia="ko-KR"/>
              </w:rPr>
              <w:tab/>
              <w:t>Tc is the basic timing unit defined in TS 38.211 [6].</w:t>
            </w:r>
          </w:p>
          <w:p w14:paraId="52321949" w14:textId="77777777" w:rsidR="00C40BE8" w:rsidRPr="00F8474E" w:rsidRDefault="00C40BE8" w:rsidP="00C40BE8">
            <w:pPr>
              <w:pStyle w:val="TAN"/>
              <w:rPr>
                <w:lang w:eastAsia="ko-KR"/>
              </w:rPr>
            </w:pPr>
            <w:r w:rsidRPr="00F8474E">
              <w:rPr>
                <w:lang w:eastAsia="ko-KR"/>
              </w:rPr>
              <w:t>NOTE 6:</w:t>
            </w:r>
            <w:r w:rsidRPr="00F8474E">
              <w:rPr>
                <w:lang w:eastAsia="ko-KR"/>
              </w:rPr>
              <w:tab/>
              <w:t>The same bands and the same Io conditions for each band apply for this requirement as for the corresponding requirement with the PRS bandwidth of the smallest RB number for the corresponding SCS.</w:t>
            </w:r>
          </w:p>
          <w:p w14:paraId="6700D5D7" w14:textId="77777777" w:rsidR="00C40BE8" w:rsidRPr="00F8474E" w:rsidRDefault="00C40BE8" w:rsidP="00C40BE8">
            <w:pPr>
              <w:pStyle w:val="TAN"/>
              <w:rPr>
                <w:lang w:eastAsia="ko-KR"/>
              </w:rPr>
            </w:pPr>
            <w:r w:rsidRPr="00F8474E">
              <w:rPr>
                <w:lang w:eastAsia="ko-KR"/>
              </w:rPr>
              <w:t xml:space="preserve">NOTE 7: </w:t>
            </w:r>
            <w:r w:rsidRPr="00F8474E">
              <w:rPr>
                <w:lang w:eastAsia="ko-KR"/>
              </w:rPr>
              <w:tab/>
            </w:r>
            <w:r w:rsidRPr="00F8474E">
              <w:rPr>
                <w:lang w:eastAsia="ko-KR"/>
              </w:rPr>
              <w:tab/>
            </w:r>
            <w:r w:rsidRPr="00F8474E">
              <w:rPr>
                <w:rFonts w:cs="Arial"/>
                <w:szCs w:val="18"/>
                <w:lang w:eastAsia="ko-KR"/>
              </w:rPr>
              <w:sym w:font="Symbol" w:char="F064"/>
            </w:r>
            <w:r w:rsidRPr="00F8474E">
              <w:rPr>
                <w:rFonts w:cs="Arial"/>
                <w:szCs w:val="18"/>
                <w:lang w:eastAsia="ko-KR"/>
              </w:rPr>
              <w:t xml:space="preserve"> is the margin determined from Table 10.1.25.2-5.</w:t>
            </w:r>
          </w:p>
        </w:tc>
      </w:tr>
    </w:tbl>
    <w:p w14:paraId="17204FFF" w14:textId="77777777" w:rsidR="00C40BE8" w:rsidRPr="00F8474E" w:rsidRDefault="00C40BE8" w:rsidP="00C40BE8"/>
    <w:p w14:paraId="7E9BF42C" w14:textId="28AD7F15" w:rsidR="00AD57C0" w:rsidRDefault="00AD57C0" w:rsidP="00301B77">
      <w:r>
        <w:t>The accuracy requirements in Table 10.1.25.2-3 for FR2 are valid under the following conditions:</w:t>
      </w:r>
    </w:p>
    <w:p w14:paraId="3FF33452" w14:textId="77777777" w:rsidR="00AD57C0" w:rsidRDefault="00AD57C0" w:rsidP="00301B77">
      <w:r>
        <w:t>Conditions defined in clause 7.3 of TS 38.101-2 [19] for reference sensitivity are fulfilled.</w:t>
      </w:r>
    </w:p>
    <w:p w14:paraId="702AFCD6" w14:textId="1B5AE529" w:rsidR="00AD57C0" w:rsidRDefault="00754FC4" w:rsidP="00887560">
      <w:pPr>
        <w:pStyle w:val="B10"/>
      </w:pPr>
      <w:r>
        <w:t>PRP|</w:t>
      </w:r>
      <w:r>
        <w:rPr>
          <w:vertAlign w:val="subscript"/>
        </w:rPr>
        <w:t>dBm</w:t>
      </w:r>
      <w:r>
        <w:t xml:space="preserve"> according to Annex B.2.14 for a corresponding Band.</w:t>
      </w:r>
    </w:p>
    <w:p w14:paraId="3C328FC9" w14:textId="77777777" w:rsidR="00AD57C0" w:rsidRDefault="00AD57C0" w:rsidP="00301B77">
      <w:r>
        <w:t>AWGN propagation condition.</w:t>
      </w:r>
    </w:p>
    <w:p w14:paraId="389025E9" w14:textId="77777777" w:rsidR="00CD3B3E" w:rsidRPr="00666EE6" w:rsidRDefault="00CD3B3E" w:rsidP="00B406AC">
      <w:pPr>
        <w:pStyle w:val="TH"/>
      </w:pPr>
      <w:r w:rsidRPr="00666EE6">
        <w:rPr>
          <w:lang w:val="en-US"/>
        </w:rPr>
        <w:t>Table 10.1.25.2-3: UE Rx-Tx time difference measurement accuracy in FR2 in AWGN</w:t>
      </w:r>
    </w:p>
    <w:tbl>
      <w:tblPr>
        <w:tblW w:w="10200" w:type="dxa"/>
        <w:jc w:val="center"/>
        <w:tblLayout w:type="fixed"/>
        <w:tblLook w:val="01E0" w:firstRow="1" w:lastRow="1" w:firstColumn="1" w:lastColumn="1" w:noHBand="0" w:noVBand="0"/>
      </w:tblPr>
      <w:tblGrid>
        <w:gridCol w:w="1133"/>
        <w:gridCol w:w="851"/>
        <w:gridCol w:w="1133"/>
        <w:gridCol w:w="845"/>
        <w:gridCol w:w="1422"/>
        <w:gridCol w:w="3258"/>
        <w:gridCol w:w="1558"/>
      </w:tblGrid>
      <w:tr w:rsidR="00CD3B3E" w:rsidRPr="006A7330" w14:paraId="3043A9F1" w14:textId="77777777" w:rsidTr="00224E82">
        <w:trPr>
          <w:jc w:val="center"/>
        </w:trPr>
        <w:tc>
          <w:tcPr>
            <w:tcW w:w="1133" w:type="dxa"/>
            <w:vMerge w:val="restart"/>
            <w:tcBorders>
              <w:top w:val="single" w:sz="4" w:space="0" w:color="auto"/>
              <w:left w:val="single" w:sz="4" w:space="0" w:color="auto"/>
              <w:bottom w:val="single" w:sz="6" w:space="0" w:color="auto"/>
              <w:right w:val="single" w:sz="6" w:space="0" w:color="auto"/>
            </w:tcBorders>
            <w:vAlign w:val="center"/>
            <w:hideMark/>
          </w:tcPr>
          <w:p w14:paraId="0D0B1AF6" w14:textId="77777777" w:rsidR="00CD3B3E" w:rsidRPr="006A7330" w:rsidRDefault="00CD3B3E" w:rsidP="00B406AC">
            <w:pPr>
              <w:pStyle w:val="TAH"/>
              <w:rPr>
                <w:lang w:eastAsia="ko-KR"/>
              </w:rPr>
            </w:pPr>
            <w:r w:rsidRPr="006A7330">
              <w:rPr>
                <w:lang w:eastAsia="ko-KR"/>
              </w:rPr>
              <w:t>Accuracy</w:t>
            </w:r>
          </w:p>
        </w:tc>
        <w:tc>
          <w:tcPr>
            <w:tcW w:w="9067" w:type="dxa"/>
            <w:gridSpan w:val="6"/>
            <w:tcBorders>
              <w:top w:val="single" w:sz="4" w:space="0" w:color="auto"/>
              <w:left w:val="single" w:sz="6" w:space="0" w:color="auto"/>
              <w:bottom w:val="single" w:sz="6" w:space="0" w:color="auto"/>
              <w:right w:val="single" w:sz="4" w:space="0" w:color="auto"/>
            </w:tcBorders>
            <w:hideMark/>
          </w:tcPr>
          <w:p w14:paraId="7E16157F" w14:textId="77777777" w:rsidR="00CD3B3E" w:rsidRPr="006A7330" w:rsidRDefault="00CD3B3E" w:rsidP="00B406AC">
            <w:pPr>
              <w:pStyle w:val="TAH"/>
              <w:rPr>
                <w:lang w:eastAsia="ko-KR"/>
              </w:rPr>
            </w:pPr>
            <w:r w:rsidRPr="006A7330">
              <w:rPr>
                <w:lang w:eastAsia="ko-KR"/>
              </w:rPr>
              <w:t>Conditions</w:t>
            </w:r>
          </w:p>
        </w:tc>
      </w:tr>
      <w:tr w:rsidR="00CD3B3E" w:rsidRPr="006A7330" w14:paraId="43F5F156" w14:textId="77777777" w:rsidTr="00B406AC">
        <w:trPr>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2EDB3F52" w14:textId="77777777" w:rsidR="00CD3B3E" w:rsidRPr="006A7330" w:rsidRDefault="00CD3B3E" w:rsidP="00224E82">
            <w:pPr>
              <w:rPr>
                <w:rFonts w:ascii="Arial" w:hAnsi="Arial"/>
                <w:b/>
                <w:sz w:val="18"/>
                <w:lang w:eastAsia="ko-KR"/>
              </w:rPr>
            </w:pPr>
          </w:p>
        </w:tc>
        <w:tc>
          <w:tcPr>
            <w:tcW w:w="851" w:type="dxa"/>
            <w:vMerge w:val="restart"/>
            <w:tcBorders>
              <w:top w:val="single" w:sz="6" w:space="0" w:color="auto"/>
              <w:left w:val="single" w:sz="6" w:space="0" w:color="auto"/>
              <w:bottom w:val="single" w:sz="6" w:space="0" w:color="auto"/>
              <w:right w:val="single" w:sz="6" w:space="0" w:color="auto"/>
            </w:tcBorders>
            <w:vAlign w:val="center"/>
            <w:hideMark/>
          </w:tcPr>
          <w:p w14:paraId="2C18EC2E" w14:textId="77777777" w:rsidR="00CD3B3E" w:rsidRPr="006A7330" w:rsidRDefault="00CD3B3E" w:rsidP="00B406AC">
            <w:pPr>
              <w:pStyle w:val="TAH"/>
              <w:rPr>
                <w:lang w:eastAsia="ko-KR"/>
              </w:rPr>
            </w:pPr>
            <w:r w:rsidRPr="006A7330">
              <w:rPr>
                <w:lang w:eastAsia="ko-KR"/>
              </w:rPr>
              <w:t>PRS Ês/Iot</w:t>
            </w:r>
          </w:p>
        </w:tc>
        <w:tc>
          <w:tcPr>
            <w:tcW w:w="1133" w:type="dxa"/>
            <w:vMerge w:val="restart"/>
            <w:tcBorders>
              <w:top w:val="single" w:sz="6" w:space="0" w:color="auto"/>
              <w:left w:val="single" w:sz="6" w:space="0" w:color="auto"/>
              <w:bottom w:val="single" w:sz="6" w:space="0" w:color="auto"/>
              <w:right w:val="single" w:sz="6" w:space="0" w:color="auto"/>
            </w:tcBorders>
            <w:vAlign w:val="center"/>
            <w:hideMark/>
          </w:tcPr>
          <w:p w14:paraId="53296DD0" w14:textId="77777777" w:rsidR="00CD3B3E" w:rsidRPr="006A7330" w:rsidRDefault="00CD3B3E" w:rsidP="00B406AC">
            <w:pPr>
              <w:pStyle w:val="TAH"/>
              <w:rPr>
                <w:lang w:eastAsia="ko-KR"/>
              </w:rPr>
            </w:pPr>
            <w:r w:rsidRPr="006A7330">
              <w:rPr>
                <w:lang w:eastAsia="ko-KR"/>
              </w:rPr>
              <w:t>Minimum PRS bandwidth</w:t>
            </w:r>
          </w:p>
        </w:tc>
        <w:tc>
          <w:tcPr>
            <w:tcW w:w="845" w:type="dxa"/>
            <w:vMerge w:val="restart"/>
            <w:tcBorders>
              <w:top w:val="single" w:sz="6" w:space="0" w:color="auto"/>
              <w:left w:val="single" w:sz="6" w:space="0" w:color="auto"/>
              <w:bottom w:val="single" w:sz="6" w:space="0" w:color="auto"/>
              <w:right w:val="single" w:sz="6" w:space="0" w:color="auto"/>
            </w:tcBorders>
          </w:tcPr>
          <w:p w14:paraId="77669AE0" w14:textId="77777777" w:rsidR="00CD3B3E" w:rsidRPr="006A7330" w:rsidRDefault="00CD3B3E" w:rsidP="00B406AC">
            <w:pPr>
              <w:pStyle w:val="TAH"/>
              <w:rPr>
                <w:lang w:eastAsia="ko-KR"/>
              </w:rPr>
            </w:pPr>
          </w:p>
          <w:p w14:paraId="36508D2B" w14:textId="77777777" w:rsidR="00CD3B3E" w:rsidRPr="006A7330" w:rsidRDefault="00CD3B3E" w:rsidP="00B406AC">
            <w:pPr>
              <w:pStyle w:val="TAH"/>
              <w:rPr>
                <w:lang w:eastAsia="ko-KR"/>
              </w:rPr>
            </w:pPr>
            <w:r w:rsidRPr="006A7330">
              <w:rPr>
                <w:lang w:eastAsia="ko-KR"/>
              </w:rPr>
              <w:t>PRS SCS</w:t>
            </w:r>
          </w:p>
        </w:tc>
        <w:tc>
          <w:tcPr>
            <w:tcW w:w="1422" w:type="dxa"/>
            <w:vMerge w:val="restart"/>
            <w:tcBorders>
              <w:top w:val="single" w:sz="6" w:space="0" w:color="auto"/>
              <w:left w:val="single" w:sz="6" w:space="0" w:color="auto"/>
              <w:bottom w:val="single" w:sz="6" w:space="0" w:color="auto"/>
              <w:right w:val="single" w:sz="6" w:space="0" w:color="auto"/>
            </w:tcBorders>
            <w:vAlign w:val="center"/>
            <w:hideMark/>
          </w:tcPr>
          <w:p w14:paraId="4B4485F5" w14:textId="77777777" w:rsidR="00CD3B3E" w:rsidRPr="006A7330" w:rsidRDefault="00CD3B3E" w:rsidP="00B406AC">
            <w:pPr>
              <w:pStyle w:val="TAH"/>
            </w:pPr>
            <w:r w:rsidRPr="006A7330">
              <w:t>PRS resource repetition</w:t>
            </w:r>
            <m:oMath>
              <m:sSubSup>
                <m:sSubSupPr>
                  <m:ctrlPr>
                    <w:rPr>
                      <w:rFonts w:ascii="Cambria Math" w:hAnsi="Cambria Math"/>
                      <w:i/>
                      <w:szCs w:val="18"/>
                      <w:lang w:eastAsia="ko-KR"/>
                    </w:rPr>
                  </m:ctrlPr>
                </m:sSubSupPr>
                <m:e>
                  <m:r>
                    <m:rPr>
                      <m:sty m:val="bi"/>
                    </m:rPr>
                    <w:rPr>
                      <w:rFonts w:ascii="Cambria Math" w:hAnsi="Cambria Math"/>
                      <w:lang w:eastAsia="ko-KR"/>
                    </w:rPr>
                    <m:t>(T</m:t>
                  </m:r>
                </m:e>
                <m:sub>
                  <m:r>
                    <m:rPr>
                      <m:sty m:val="b"/>
                    </m:rPr>
                    <w:rPr>
                      <w:rFonts w:ascii="Cambria Math" w:hAnsi="Cambria Math"/>
                      <w:lang w:eastAsia="ko-KR"/>
                    </w:rPr>
                    <m:t>rep</m:t>
                  </m:r>
                </m:sub>
                <m:sup>
                  <m:r>
                    <m:rPr>
                      <m:sty m:val="b"/>
                    </m:rPr>
                    <w:rPr>
                      <w:rFonts w:ascii="Cambria Math" w:hAnsi="Cambria Math"/>
                      <w:lang w:eastAsia="ko-KR"/>
                    </w:rPr>
                    <m:t>PRS</m:t>
                  </m:r>
                </m:sup>
              </m:sSubSup>
              <m:r>
                <m:rPr>
                  <m:sty m:val="bi"/>
                </m:rPr>
                <w:rPr>
                  <w:rFonts w:ascii="Cambria Math" w:hAnsi="Cambria Math"/>
                  <w:lang w:eastAsia="ko-KR"/>
                </w:rPr>
                <m:t>*</m:t>
              </m:r>
              <m:sSub>
                <m:sSubPr>
                  <m:ctrlPr>
                    <w:rPr>
                      <w:rFonts w:ascii="Cambria Math" w:hAnsi="Cambria Math"/>
                      <w:szCs w:val="18"/>
                      <w:lang w:eastAsia="ko-KR"/>
                    </w:rPr>
                  </m:ctrlPr>
                </m:sSubPr>
                <m:e>
                  <m:r>
                    <m:rPr>
                      <m:sty m:val="bi"/>
                    </m:rPr>
                    <w:rPr>
                      <w:rFonts w:ascii="Cambria Math" w:hAnsi="Cambria Math"/>
                      <w:lang w:eastAsia="ko-KR"/>
                    </w:rPr>
                    <m:t>L</m:t>
                  </m:r>
                </m:e>
                <m:sub>
                  <m:r>
                    <m:rPr>
                      <m:sty m:val="b"/>
                    </m:rPr>
                    <w:rPr>
                      <w:rFonts w:ascii="Cambria Math" w:hAnsi="Cambria Math"/>
                      <w:lang w:eastAsia="ko-KR"/>
                    </w:rPr>
                    <m:t>PRS</m:t>
                  </m:r>
                </m:sub>
              </m:sSub>
              <m:r>
                <m:rPr>
                  <m:sty m:val="bi"/>
                </m:rPr>
                <w:rPr>
                  <w:rFonts w:ascii="Cambria Math" w:hAnsi="Cambria Math"/>
                  <w:lang w:eastAsia="ko-KR"/>
                </w:rPr>
                <m:t>/</m:t>
              </m:r>
              <m:sSubSup>
                <m:sSubSupPr>
                  <m:ctrlPr>
                    <w:rPr>
                      <w:rFonts w:ascii="Cambria Math" w:hAnsi="Cambria Math"/>
                      <w:i/>
                      <w:szCs w:val="18"/>
                      <w:lang w:eastAsia="ko-KR"/>
                    </w:rPr>
                  </m:ctrlPr>
                </m:sSubSupPr>
                <m:e>
                  <m:r>
                    <m:rPr>
                      <m:sty m:val="bi"/>
                    </m:rPr>
                    <w:rPr>
                      <w:rFonts w:ascii="Cambria Math" w:hAnsi="Cambria Math"/>
                      <w:lang w:eastAsia="ko-KR"/>
                    </w:rPr>
                    <m:t>K</m:t>
                  </m:r>
                </m:e>
                <m:sub>
                  <m:r>
                    <m:rPr>
                      <m:sty m:val="b"/>
                    </m:rPr>
                    <w:rPr>
                      <w:rFonts w:ascii="Cambria Math" w:hAnsi="Cambria Math"/>
                      <w:lang w:eastAsia="ko-KR"/>
                    </w:rPr>
                    <m:t>comb</m:t>
                  </m:r>
                </m:sub>
                <m:sup>
                  <m:r>
                    <m:rPr>
                      <m:sty m:val="b"/>
                    </m:rPr>
                    <w:rPr>
                      <w:rFonts w:ascii="Cambria Math" w:hAnsi="Cambria Math"/>
                      <w:lang w:eastAsia="ko-KR"/>
                    </w:rPr>
                    <m:t>PRS</m:t>
                  </m:r>
                </m:sup>
              </m:sSubSup>
            </m:oMath>
            <w:r w:rsidRPr="006A7330">
              <w:rPr>
                <w:vertAlign w:val="superscript"/>
                <w:lang w:eastAsia="ko-KR"/>
              </w:rPr>
              <w:t>Note 3</w:t>
            </w:r>
          </w:p>
        </w:tc>
        <w:tc>
          <w:tcPr>
            <w:tcW w:w="4816" w:type="dxa"/>
            <w:gridSpan w:val="2"/>
            <w:tcBorders>
              <w:top w:val="single" w:sz="6" w:space="0" w:color="auto"/>
              <w:left w:val="single" w:sz="6" w:space="0" w:color="auto"/>
              <w:bottom w:val="single" w:sz="6" w:space="0" w:color="auto"/>
              <w:right w:val="single" w:sz="4" w:space="0" w:color="auto"/>
            </w:tcBorders>
            <w:vAlign w:val="center"/>
            <w:hideMark/>
          </w:tcPr>
          <w:p w14:paraId="1ED3F1F4" w14:textId="77777777" w:rsidR="00CD3B3E" w:rsidRPr="006A7330" w:rsidRDefault="00CD3B3E" w:rsidP="00B406AC">
            <w:pPr>
              <w:pStyle w:val="TAH"/>
              <w:rPr>
                <w:lang w:eastAsia="ko-KR"/>
              </w:rPr>
            </w:pPr>
            <w:r w:rsidRPr="006A7330">
              <w:rPr>
                <w:lang w:eastAsia="ko-KR"/>
              </w:rPr>
              <w:t>Io</w:t>
            </w:r>
            <w:r w:rsidRPr="006A7330">
              <w:rPr>
                <w:vertAlign w:val="superscript"/>
              </w:rPr>
              <w:t>Note 4</w:t>
            </w:r>
            <w:r w:rsidRPr="006A7330">
              <w:rPr>
                <w:lang w:eastAsia="ko-KR"/>
              </w:rPr>
              <w:t xml:space="preserve"> range</w:t>
            </w:r>
          </w:p>
        </w:tc>
      </w:tr>
      <w:tr w:rsidR="00CD3B3E" w:rsidRPr="006A7330" w14:paraId="4D2ECABD" w14:textId="77777777" w:rsidTr="00B406AC">
        <w:trPr>
          <w:trHeight w:val="822"/>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4D3845F6" w14:textId="77777777" w:rsidR="00CD3B3E" w:rsidRPr="006A7330" w:rsidRDefault="00CD3B3E" w:rsidP="00224E82">
            <w:pPr>
              <w:rPr>
                <w:rFonts w:ascii="Arial" w:hAnsi="Arial"/>
                <w:b/>
                <w:sz w:val="18"/>
                <w:lang w:eastAsia="ko-KR"/>
              </w:rPr>
            </w:pPr>
          </w:p>
        </w:tc>
        <w:tc>
          <w:tcPr>
            <w:tcW w:w="851" w:type="dxa"/>
            <w:vMerge/>
            <w:tcBorders>
              <w:top w:val="single" w:sz="6" w:space="0" w:color="auto"/>
              <w:left w:val="single" w:sz="6" w:space="0" w:color="auto"/>
              <w:bottom w:val="single" w:sz="6" w:space="0" w:color="auto"/>
              <w:right w:val="single" w:sz="6" w:space="0" w:color="auto"/>
            </w:tcBorders>
            <w:vAlign w:val="center"/>
            <w:hideMark/>
          </w:tcPr>
          <w:p w14:paraId="02E0C06B" w14:textId="77777777" w:rsidR="00CD3B3E" w:rsidRPr="006A7330" w:rsidRDefault="00CD3B3E" w:rsidP="00B406AC">
            <w:pPr>
              <w:pStyle w:val="TAH"/>
              <w:rPr>
                <w:lang w:eastAsia="ko-KR"/>
              </w:rPr>
            </w:pPr>
          </w:p>
        </w:tc>
        <w:tc>
          <w:tcPr>
            <w:tcW w:w="1133" w:type="dxa"/>
            <w:vMerge/>
            <w:tcBorders>
              <w:top w:val="single" w:sz="6" w:space="0" w:color="auto"/>
              <w:left w:val="single" w:sz="6" w:space="0" w:color="auto"/>
              <w:bottom w:val="single" w:sz="6" w:space="0" w:color="auto"/>
              <w:right w:val="single" w:sz="6" w:space="0" w:color="auto"/>
            </w:tcBorders>
            <w:vAlign w:val="center"/>
            <w:hideMark/>
          </w:tcPr>
          <w:p w14:paraId="03427861" w14:textId="77777777" w:rsidR="00CD3B3E" w:rsidRPr="006A7330" w:rsidRDefault="00CD3B3E" w:rsidP="00B406AC">
            <w:pPr>
              <w:pStyle w:val="TAH"/>
              <w:rPr>
                <w:lang w:eastAsia="ko-KR"/>
              </w:rPr>
            </w:pPr>
          </w:p>
        </w:tc>
        <w:tc>
          <w:tcPr>
            <w:tcW w:w="845" w:type="dxa"/>
            <w:vMerge/>
            <w:tcBorders>
              <w:top w:val="single" w:sz="6" w:space="0" w:color="auto"/>
              <w:left w:val="single" w:sz="6" w:space="0" w:color="auto"/>
              <w:bottom w:val="single" w:sz="6" w:space="0" w:color="auto"/>
              <w:right w:val="single" w:sz="6" w:space="0" w:color="auto"/>
            </w:tcBorders>
            <w:vAlign w:val="center"/>
            <w:hideMark/>
          </w:tcPr>
          <w:p w14:paraId="2810DADD" w14:textId="77777777" w:rsidR="00CD3B3E" w:rsidRPr="006A7330" w:rsidRDefault="00CD3B3E" w:rsidP="00B406AC">
            <w:pPr>
              <w:pStyle w:val="TAH"/>
              <w:rPr>
                <w:lang w:eastAsia="ko-KR"/>
              </w:rPr>
            </w:pPr>
          </w:p>
        </w:tc>
        <w:tc>
          <w:tcPr>
            <w:tcW w:w="1422" w:type="dxa"/>
            <w:vMerge/>
            <w:tcBorders>
              <w:top w:val="single" w:sz="6" w:space="0" w:color="auto"/>
              <w:left w:val="single" w:sz="6" w:space="0" w:color="auto"/>
              <w:bottom w:val="single" w:sz="6" w:space="0" w:color="auto"/>
              <w:right w:val="single" w:sz="6" w:space="0" w:color="auto"/>
            </w:tcBorders>
            <w:vAlign w:val="center"/>
            <w:hideMark/>
          </w:tcPr>
          <w:p w14:paraId="29A90E8C" w14:textId="77777777" w:rsidR="00CD3B3E" w:rsidRPr="006A7330" w:rsidRDefault="00CD3B3E" w:rsidP="00B406AC">
            <w:pPr>
              <w:pStyle w:val="TAH"/>
            </w:pPr>
          </w:p>
        </w:tc>
        <w:tc>
          <w:tcPr>
            <w:tcW w:w="3258" w:type="dxa"/>
            <w:tcBorders>
              <w:top w:val="single" w:sz="6" w:space="0" w:color="auto"/>
              <w:left w:val="single" w:sz="6" w:space="0" w:color="auto"/>
              <w:bottom w:val="single" w:sz="6" w:space="0" w:color="auto"/>
              <w:right w:val="single" w:sz="6" w:space="0" w:color="auto"/>
            </w:tcBorders>
            <w:vAlign w:val="center"/>
            <w:hideMark/>
          </w:tcPr>
          <w:p w14:paraId="559FE0E2" w14:textId="77777777" w:rsidR="00CD3B3E" w:rsidRPr="006A7330" w:rsidRDefault="00CD3B3E" w:rsidP="00B406AC">
            <w:pPr>
              <w:pStyle w:val="TAH"/>
              <w:rPr>
                <w:lang w:eastAsia="ko-KR"/>
              </w:rPr>
            </w:pPr>
            <w:r w:rsidRPr="006A7330">
              <w:rPr>
                <w:lang w:eastAsia="ko-KR"/>
              </w:rPr>
              <w:t>Minimum</w:t>
            </w:r>
            <w:r w:rsidRPr="006A7330">
              <w:rPr>
                <w:lang w:eastAsia="ko-KR"/>
              </w:rPr>
              <w:br/>
              <w:t>Io</w:t>
            </w:r>
            <w:r w:rsidRPr="006A7330">
              <w:rPr>
                <w:vertAlign w:val="superscript"/>
                <w:lang w:eastAsia="ko-KR"/>
              </w:rPr>
              <w:t>Note 1</w:t>
            </w:r>
          </w:p>
        </w:tc>
        <w:tc>
          <w:tcPr>
            <w:tcW w:w="1558" w:type="dxa"/>
            <w:tcBorders>
              <w:top w:val="single" w:sz="6" w:space="0" w:color="auto"/>
              <w:left w:val="single" w:sz="6" w:space="0" w:color="auto"/>
              <w:bottom w:val="single" w:sz="6" w:space="0" w:color="auto"/>
              <w:right w:val="single" w:sz="4" w:space="0" w:color="auto"/>
            </w:tcBorders>
            <w:vAlign w:val="center"/>
            <w:hideMark/>
          </w:tcPr>
          <w:p w14:paraId="718317A3" w14:textId="77777777" w:rsidR="00CD3B3E" w:rsidRPr="006A7330" w:rsidRDefault="00CD3B3E" w:rsidP="00B406AC">
            <w:pPr>
              <w:pStyle w:val="TAH"/>
              <w:rPr>
                <w:lang w:eastAsia="ko-KR"/>
              </w:rPr>
            </w:pPr>
            <w:r w:rsidRPr="006A7330">
              <w:rPr>
                <w:lang w:eastAsia="ko-KR"/>
              </w:rPr>
              <w:t>Maximum</w:t>
            </w:r>
            <w:r w:rsidRPr="006A7330">
              <w:rPr>
                <w:lang w:eastAsia="ko-KR"/>
              </w:rPr>
              <w:br/>
              <w:t>Io</w:t>
            </w:r>
          </w:p>
        </w:tc>
      </w:tr>
      <w:tr w:rsidR="00CD3B3E" w:rsidRPr="006A7330" w14:paraId="23C41CAB" w14:textId="77777777" w:rsidTr="00224E82">
        <w:trPr>
          <w:trHeight w:val="279"/>
          <w:jc w:val="center"/>
        </w:trPr>
        <w:tc>
          <w:tcPr>
            <w:tcW w:w="1133" w:type="dxa"/>
            <w:tcBorders>
              <w:top w:val="single" w:sz="6" w:space="0" w:color="auto"/>
              <w:left w:val="single" w:sz="4" w:space="0" w:color="auto"/>
              <w:bottom w:val="nil"/>
              <w:right w:val="single" w:sz="6" w:space="0" w:color="auto"/>
            </w:tcBorders>
            <w:vAlign w:val="center"/>
            <w:hideMark/>
          </w:tcPr>
          <w:p w14:paraId="17249EB0" w14:textId="77777777" w:rsidR="00CD3B3E" w:rsidRPr="006A7330" w:rsidRDefault="00CD3B3E" w:rsidP="00224E82">
            <w:pPr>
              <w:keepNext/>
              <w:keepLines/>
              <w:jc w:val="center"/>
              <w:rPr>
                <w:rFonts w:ascii="Arial" w:hAnsi="Arial"/>
                <w:b/>
                <w:sz w:val="18"/>
                <w:lang w:eastAsia="ko-KR"/>
              </w:rPr>
            </w:pPr>
            <w:r w:rsidRPr="006A7330">
              <w:rPr>
                <w:rFonts w:ascii="Arial" w:hAnsi="Arial"/>
                <w:b/>
                <w:sz w:val="18"/>
                <w:lang w:eastAsia="ko-KR"/>
              </w:rPr>
              <w:t>Tc</w:t>
            </w:r>
            <w:r w:rsidRPr="006A7330">
              <w:rPr>
                <w:rFonts w:ascii="Arial" w:hAnsi="Arial"/>
                <w:b/>
                <w:sz w:val="18"/>
                <w:vertAlign w:val="superscript"/>
              </w:rPr>
              <w:t>Note 5</w:t>
            </w:r>
          </w:p>
        </w:tc>
        <w:tc>
          <w:tcPr>
            <w:tcW w:w="851" w:type="dxa"/>
            <w:tcBorders>
              <w:top w:val="single" w:sz="6" w:space="0" w:color="auto"/>
              <w:left w:val="single" w:sz="6" w:space="0" w:color="auto"/>
              <w:bottom w:val="nil"/>
              <w:right w:val="single" w:sz="6" w:space="0" w:color="auto"/>
            </w:tcBorders>
            <w:vAlign w:val="center"/>
            <w:hideMark/>
          </w:tcPr>
          <w:p w14:paraId="72E87A3C" w14:textId="77777777" w:rsidR="00CD3B3E" w:rsidRPr="006A7330" w:rsidRDefault="00CD3B3E" w:rsidP="00224E82">
            <w:pPr>
              <w:keepNext/>
              <w:keepLines/>
              <w:jc w:val="center"/>
              <w:rPr>
                <w:rFonts w:ascii="Arial" w:hAnsi="Arial"/>
                <w:b/>
                <w:sz w:val="18"/>
                <w:lang w:eastAsia="ko-KR"/>
              </w:rPr>
            </w:pPr>
            <w:r w:rsidRPr="006A7330">
              <w:rPr>
                <w:rFonts w:ascii="Arial" w:hAnsi="Arial"/>
                <w:b/>
                <w:sz w:val="18"/>
                <w:lang w:eastAsia="ko-KR"/>
              </w:rPr>
              <w:t>dB</w:t>
            </w:r>
          </w:p>
        </w:tc>
        <w:tc>
          <w:tcPr>
            <w:tcW w:w="1133" w:type="dxa"/>
            <w:tcBorders>
              <w:top w:val="single" w:sz="6" w:space="0" w:color="auto"/>
              <w:left w:val="single" w:sz="6" w:space="0" w:color="auto"/>
              <w:bottom w:val="nil"/>
              <w:right w:val="single" w:sz="6" w:space="0" w:color="auto"/>
            </w:tcBorders>
            <w:vAlign w:val="center"/>
            <w:hideMark/>
          </w:tcPr>
          <w:p w14:paraId="5BA647C1" w14:textId="77777777" w:rsidR="00CD3B3E" w:rsidRPr="006A7330" w:rsidRDefault="00CD3B3E" w:rsidP="00224E82">
            <w:pPr>
              <w:keepNext/>
              <w:keepLines/>
              <w:jc w:val="center"/>
              <w:rPr>
                <w:rFonts w:ascii="Arial" w:hAnsi="Arial"/>
                <w:b/>
                <w:sz w:val="18"/>
                <w:lang w:eastAsia="ko-KR"/>
              </w:rPr>
            </w:pPr>
            <w:r w:rsidRPr="006A7330">
              <w:rPr>
                <w:rFonts w:ascii="Arial" w:hAnsi="Arial"/>
                <w:b/>
                <w:sz w:val="18"/>
                <w:lang w:eastAsia="ko-KR"/>
              </w:rPr>
              <w:t>RB</w:t>
            </w:r>
          </w:p>
        </w:tc>
        <w:tc>
          <w:tcPr>
            <w:tcW w:w="845" w:type="dxa"/>
            <w:tcBorders>
              <w:top w:val="single" w:sz="6" w:space="0" w:color="auto"/>
              <w:left w:val="single" w:sz="6" w:space="0" w:color="auto"/>
              <w:bottom w:val="nil"/>
              <w:right w:val="single" w:sz="6" w:space="0" w:color="auto"/>
            </w:tcBorders>
            <w:hideMark/>
          </w:tcPr>
          <w:p w14:paraId="151BAFFA" w14:textId="77777777" w:rsidR="00CD3B3E" w:rsidRPr="006A7330" w:rsidRDefault="00CD3B3E" w:rsidP="00224E82">
            <w:pPr>
              <w:keepNext/>
              <w:keepLines/>
              <w:rPr>
                <w:rFonts w:ascii="Arial" w:hAnsi="Arial"/>
                <w:b/>
                <w:sz w:val="18"/>
                <w:lang w:eastAsia="ko-KR"/>
              </w:rPr>
            </w:pPr>
            <w:r w:rsidRPr="006A7330">
              <w:rPr>
                <w:rFonts w:ascii="Arial" w:hAnsi="Arial"/>
                <w:b/>
                <w:sz w:val="18"/>
                <w:lang w:eastAsia="ko-KR"/>
              </w:rPr>
              <w:t>kHz</w:t>
            </w:r>
          </w:p>
        </w:tc>
        <w:tc>
          <w:tcPr>
            <w:tcW w:w="1422" w:type="dxa"/>
            <w:tcBorders>
              <w:top w:val="single" w:sz="6" w:space="0" w:color="auto"/>
              <w:left w:val="single" w:sz="6" w:space="0" w:color="auto"/>
              <w:bottom w:val="nil"/>
              <w:right w:val="single" w:sz="6" w:space="0" w:color="auto"/>
            </w:tcBorders>
            <w:vAlign w:val="center"/>
          </w:tcPr>
          <w:p w14:paraId="623ABCC5" w14:textId="77777777" w:rsidR="00CD3B3E" w:rsidRPr="006A7330" w:rsidRDefault="00CD3B3E" w:rsidP="00224E82">
            <w:pPr>
              <w:keepNext/>
              <w:keepLines/>
              <w:jc w:val="center"/>
              <w:rPr>
                <w:rFonts w:ascii="Arial" w:hAnsi="Arial"/>
                <w:b/>
                <w:sz w:val="18"/>
                <w:lang w:eastAsia="ko-KR"/>
              </w:rPr>
            </w:pPr>
          </w:p>
        </w:tc>
        <w:tc>
          <w:tcPr>
            <w:tcW w:w="3258" w:type="dxa"/>
            <w:tcBorders>
              <w:top w:val="single" w:sz="6" w:space="0" w:color="auto"/>
              <w:left w:val="single" w:sz="6" w:space="0" w:color="auto"/>
              <w:bottom w:val="single" w:sz="4" w:space="0" w:color="auto"/>
              <w:right w:val="single" w:sz="6" w:space="0" w:color="auto"/>
            </w:tcBorders>
            <w:vAlign w:val="center"/>
            <w:hideMark/>
          </w:tcPr>
          <w:p w14:paraId="0268BF31" w14:textId="77777777" w:rsidR="00CD3B3E" w:rsidRPr="006A7330" w:rsidRDefault="00CD3B3E" w:rsidP="00224E82">
            <w:pPr>
              <w:keepNext/>
              <w:keepLines/>
              <w:jc w:val="center"/>
              <w:rPr>
                <w:rFonts w:ascii="Arial" w:hAnsi="Arial"/>
                <w:b/>
                <w:sz w:val="18"/>
                <w:lang w:eastAsia="ko-KR"/>
              </w:rPr>
            </w:pPr>
            <w:r w:rsidRPr="006A7330">
              <w:rPr>
                <w:rFonts w:ascii="Arial" w:hAnsi="Arial"/>
                <w:b/>
                <w:sz w:val="18"/>
                <w:lang w:eastAsia="ko-KR"/>
              </w:rPr>
              <w:t>dBm / SCS</w:t>
            </w:r>
            <w:r w:rsidRPr="006A7330">
              <w:rPr>
                <w:rFonts w:ascii="Arial" w:hAnsi="Arial"/>
                <w:b/>
                <w:sz w:val="18"/>
                <w:vertAlign w:val="subscript"/>
                <w:lang w:eastAsia="ko-KR"/>
              </w:rPr>
              <w:t>PRS</w:t>
            </w:r>
          </w:p>
        </w:tc>
        <w:tc>
          <w:tcPr>
            <w:tcW w:w="1558" w:type="dxa"/>
            <w:tcBorders>
              <w:top w:val="single" w:sz="6" w:space="0" w:color="auto"/>
              <w:left w:val="single" w:sz="6" w:space="0" w:color="auto"/>
              <w:bottom w:val="nil"/>
              <w:right w:val="single" w:sz="4" w:space="0" w:color="auto"/>
            </w:tcBorders>
            <w:vAlign w:val="center"/>
            <w:hideMark/>
          </w:tcPr>
          <w:p w14:paraId="077B6451" w14:textId="77777777" w:rsidR="00CD3B3E" w:rsidRPr="006A7330" w:rsidRDefault="00CD3B3E" w:rsidP="00224E82">
            <w:pPr>
              <w:keepNext/>
              <w:keepLines/>
              <w:jc w:val="center"/>
              <w:rPr>
                <w:rFonts w:ascii="Arial" w:hAnsi="Arial"/>
                <w:b/>
                <w:sz w:val="18"/>
                <w:lang w:eastAsia="ko-KR"/>
              </w:rPr>
            </w:pPr>
            <w:r w:rsidRPr="006A7330">
              <w:rPr>
                <w:rFonts w:ascii="Arial" w:hAnsi="Arial"/>
                <w:b/>
                <w:sz w:val="18"/>
                <w:lang w:eastAsia="ko-KR"/>
              </w:rPr>
              <w:t>dBm/BW</w:t>
            </w:r>
            <w:r w:rsidRPr="006A7330">
              <w:rPr>
                <w:rFonts w:ascii="Arial" w:hAnsi="Arial"/>
                <w:b/>
                <w:sz w:val="18"/>
                <w:vertAlign w:val="subscript"/>
                <w:lang w:eastAsia="ko-KR"/>
              </w:rPr>
              <w:t>Channel</w:t>
            </w:r>
          </w:p>
        </w:tc>
      </w:tr>
      <w:tr w:rsidR="00CD3B3E" w:rsidRPr="006A7330" w14:paraId="19861126" w14:textId="77777777" w:rsidTr="00174920">
        <w:trPr>
          <w:jc w:val="center"/>
        </w:trPr>
        <w:tc>
          <w:tcPr>
            <w:tcW w:w="1133" w:type="dxa"/>
            <w:tcBorders>
              <w:top w:val="single" w:sz="6" w:space="0" w:color="auto"/>
              <w:left w:val="single" w:sz="4" w:space="0" w:color="auto"/>
              <w:bottom w:val="nil"/>
              <w:right w:val="single" w:sz="6" w:space="0" w:color="auto"/>
            </w:tcBorders>
            <w:vAlign w:val="center"/>
            <w:hideMark/>
          </w:tcPr>
          <w:p w14:paraId="358CA128" w14:textId="222A2D65" w:rsidR="00CD3B3E" w:rsidRPr="006A7330" w:rsidRDefault="00B406AC" w:rsidP="00174920">
            <w:pPr>
              <w:pStyle w:val="TAC"/>
              <w:rPr>
                <w:lang w:eastAsia="ko-KR"/>
              </w:rPr>
            </w:pPr>
            <w:r w:rsidRPr="002F3C20">
              <w:rPr>
                <w:rFonts w:cs="Arial"/>
                <w:szCs w:val="18"/>
                <w:lang w:eastAsia="ko-KR"/>
              </w:rPr>
              <w:t>± 22+</w:t>
            </w:r>
            <w:r w:rsidRPr="002F3C20">
              <w:rPr>
                <w:rFonts w:cs="Arial"/>
                <w:szCs w:val="18"/>
                <w:lang w:eastAsia="ko-KR"/>
              </w:rPr>
              <w:sym w:font="Symbol" w:char="F064"/>
            </w:r>
          </w:p>
        </w:tc>
        <w:tc>
          <w:tcPr>
            <w:tcW w:w="851" w:type="dxa"/>
            <w:tcBorders>
              <w:top w:val="single" w:sz="6" w:space="0" w:color="auto"/>
              <w:left w:val="single" w:sz="6" w:space="0" w:color="auto"/>
              <w:bottom w:val="nil"/>
              <w:right w:val="single" w:sz="6" w:space="0" w:color="auto"/>
            </w:tcBorders>
            <w:vAlign w:val="center"/>
            <w:hideMark/>
          </w:tcPr>
          <w:p w14:paraId="6F0F4C57" w14:textId="77777777" w:rsidR="00CD3B3E" w:rsidRPr="006A7330" w:rsidRDefault="00CD3B3E" w:rsidP="00B406AC">
            <w:pPr>
              <w:pStyle w:val="TAC"/>
              <w:rPr>
                <w:lang w:val="sv-SE" w:eastAsia="ko-KR"/>
              </w:rPr>
            </w:pPr>
            <w:r w:rsidRPr="006A7330">
              <w:rPr>
                <w:lang w:val="sv-SE" w:eastAsia="ko-KR"/>
              </w:rPr>
              <w:t>-3</w:t>
            </w:r>
          </w:p>
        </w:tc>
        <w:tc>
          <w:tcPr>
            <w:tcW w:w="1133" w:type="dxa"/>
            <w:tcBorders>
              <w:top w:val="single" w:sz="6" w:space="0" w:color="auto"/>
              <w:left w:val="single" w:sz="6" w:space="0" w:color="auto"/>
              <w:bottom w:val="nil"/>
              <w:right w:val="single" w:sz="6" w:space="0" w:color="auto"/>
            </w:tcBorders>
            <w:vAlign w:val="center"/>
            <w:hideMark/>
          </w:tcPr>
          <w:p w14:paraId="38F08ECE" w14:textId="1F22181B" w:rsidR="00CD3B3E" w:rsidRPr="006A7330" w:rsidRDefault="00B406AC" w:rsidP="00174920">
            <w:pPr>
              <w:pStyle w:val="TAC"/>
              <w:rPr>
                <w:lang w:eastAsia="ko-KR"/>
              </w:rPr>
            </w:pPr>
            <w:r>
              <w:rPr>
                <w:rFonts w:cs="Calibri"/>
              </w:rPr>
              <w:t>≥</w:t>
            </w:r>
            <w:r>
              <w:t>24</w:t>
            </w:r>
          </w:p>
        </w:tc>
        <w:tc>
          <w:tcPr>
            <w:tcW w:w="845" w:type="dxa"/>
            <w:tcBorders>
              <w:top w:val="single" w:sz="6" w:space="0" w:color="auto"/>
              <w:left w:val="single" w:sz="6" w:space="0" w:color="auto"/>
              <w:bottom w:val="nil"/>
              <w:right w:val="single" w:sz="6" w:space="0" w:color="auto"/>
            </w:tcBorders>
            <w:vAlign w:val="center"/>
            <w:hideMark/>
          </w:tcPr>
          <w:p w14:paraId="7FA34F92" w14:textId="77777777" w:rsidR="00CD3B3E" w:rsidRPr="006A7330" w:rsidRDefault="00CD3B3E" w:rsidP="00174920">
            <w:pPr>
              <w:pStyle w:val="TAC"/>
              <w:rPr>
                <w:lang w:eastAsia="ko-KR"/>
              </w:rPr>
            </w:pPr>
            <w:r w:rsidRPr="006A7330">
              <w:rPr>
                <w:lang w:eastAsia="ko-KR"/>
              </w:rPr>
              <w:t>60</w:t>
            </w:r>
          </w:p>
        </w:tc>
        <w:tc>
          <w:tcPr>
            <w:tcW w:w="1422" w:type="dxa"/>
            <w:tcBorders>
              <w:top w:val="single" w:sz="6" w:space="0" w:color="auto"/>
              <w:left w:val="single" w:sz="6" w:space="0" w:color="auto"/>
              <w:bottom w:val="nil"/>
              <w:right w:val="single" w:sz="4" w:space="0" w:color="auto"/>
            </w:tcBorders>
            <w:vAlign w:val="center"/>
            <w:hideMark/>
          </w:tcPr>
          <w:p w14:paraId="373092F8" w14:textId="74D85C99" w:rsidR="00CD3B3E"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vAlign w:val="center"/>
            <w:hideMark/>
          </w:tcPr>
          <w:p w14:paraId="5D83028B" w14:textId="77777777" w:rsidR="00CD3B3E" w:rsidRPr="006A7330" w:rsidRDefault="00CD3B3E" w:rsidP="00B406AC">
            <w:pPr>
              <w:pStyle w:val="TAC"/>
              <w:rPr>
                <w:lang w:eastAsia="ko-KR"/>
              </w:rPr>
            </w:pPr>
            <w:r w:rsidRPr="006A7330">
              <w:rPr>
                <w:lang w:eastAsia="ko-KR"/>
              </w:rP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vAlign w:val="center"/>
            <w:hideMark/>
          </w:tcPr>
          <w:p w14:paraId="06056F28" w14:textId="77777777" w:rsidR="00CD3B3E" w:rsidRPr="006A7330" w:rsidRDefault="00CD3B3E" w:rsidP="00B406AC">
            <w:pPr>
              <w:pStyle w:val="TAC"/>
              <w:rPr>
                <w:lang w:eastAsia="ko-KR"/>
              </w:rPr>
            </w:pPr>
            <w:r w:rsidRPr="006A7330">
              <w:rPr>
                <w:lang w:eastAsia="ko-KR"/>
              </w:rPr>
              <w:t>-50</w:t>
            </w:r>
          </w:p>
        </w:tc>
      </w:tr>
      <w:tr w:rsidR="00B406AC" w:rsidRPr="006A7330" w14:paraId="760905ED"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474C9A73" w14:textId="69BF4AF0" w:rsidR="00B406AC" w:rsidRPr="006A7330" w:rsidRDefault="00B406AC" w:rsidP="00B406AC">
            <w:pPr>
              <w:pStyle w:val="TAC"/>
              <w:rPr>
                <w:lang w:eastAsia="ko-KR"/>
              </w:rPr>
            </w:pPr>
            <w:r w:rsidRPr="002F3C20">
              <w:rPr>
                <w:rFonts w:cs="Arial"/>
                <w:szCs w:val="18"/>
                <w:lang w:eastAsia="ko-KR"/>
              </w:rPr>
              <w:t>± 15+</w:t>
            </w:r>
            <w:r w:rsidRPr="002F3C20">
              <w:rPr>
                <w:rFonts w:cs="Arial"/>
                <w:szCs w:val="18"/>
                <w:lang w:eastAsia="ko-KR"/>
              </w:rPr>
              <w:sym w:font="Symbol" w:char="F064"/>
            </w:r>
          </w:p>
        </w:tc>
        <w:tc>
          <w:tcPr>
            <w:tcW w:w="851" w:type="dxa"/>
            <w:tcBorders>
              <w:top w:val="nil"/>
              <w:left w:val="single" w:sz="6" w:space="0" w:color="auto"/>
              <w:bottom w:val="nil"/>
              <w:right w:val="single" w:sz="6" w:space="0" w:color="auto"/>
            </w:tcBorders>
            <w:vAlign w:val="center"/>
          </w:tcPr>
          <w:p w14:paraId="60CDF7BB"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58A5A57C" w14:textId="3451E64F" w:rsidR="00B406AC" w:rsidRPr="006A7330" w:rsidRDefault="00B406AC" w:rsidP="00B406AC">
            <w:pPr>
              <w:pStyle w:val="TAC"/>
              <w:rPr>
                <w:lang w:eastAsia="ko-KR"/>
              </w:rPr>
            </w:pPr>
            <w:r>
              <w:rPr>
                <w:rFonts w:cs="Calibri"/>
              </w:rPr>
              <w:t>≥</w:t>
            </w:r>
            <w:r>
              <w:t>64</w:t>
            </w:r>
          </w:p>
        </w:tc>
        <w:tc>
          <w:tcPr>
            <w:tcW w:w="845" w:type="dxa"/>
            <w:tcBorders>
              <w:top w:val="nil"/>
              <w:left w:val="single" w:sz="6" w:space="0" w:color="auto"/>
              <w:bottom w:val="nil"/>
              <w:right w:val="single" w:sz="6" w:space="0" w:color="auto"/>
            </w:tcBorders>
          </w:tcPr>
          <w:p w14:paraId="65CA7D1B" w14:textId="77777777" w:rsidR="00B406AC" w:rsidRPr="006A7330" w:rsidRDefault="00B406AC" w:rsidP="00B406AC">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242E66B4" w14:textId="3E641333"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2326BE77"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2065A21D" w14:textId="77777777" w:rsidR="00B406AC" w:rsidRPr="006A7330" w:rsidRDefault="00B406AC" w:rsidP="00B406AC">
            <w:pPr>
              <w:pStyle w:val="TAC"/>
              <w:rPr>
                <w:lang w:eastAsia="ko-KR"/>
              </w:rPr>
            </w:pPr>
            <w:r w:rsidRPr="006A7330">
              <w:rPr>
                <w:lang w:eastAsia="ko-KR"/>
              </w:rPr>
              <w:t>NOTE 6</w:t>
            </w:r>
          </w:p>
        </w:tc>
      </w:tr>
      <w:tr w:rsidR="00B406AC" w:rsidRPr="006A7330" w14:paraId="0A575A31"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53355BAB" w14:textId="06174D21" w:rsidR="00B406AC" w:rsidRPr="006A7330" w:rsidRDefault="00B406AC" w:rsidP="00B406AC">
            <w:pPr>
              <w:pStyle w:val="TAC"/>
              <w:rPr>
                <w:lang w:eastAsia="ko-KR"/>
              </w:rPr>
            </w:pPr>
            <w:r w:rsidRPr="002F3C20">
              <w:rPr>
                <w:rFonts w:cs="Arial"/>
                <w:szCs w:val="18"/>
                <w:lang w:eastAsia="ko-KR"/>
              </w:rPr>
              <w:t>± 7+</w:t>
            </w:r>
            <w:r w:rsidRPr="002F3C20">
              <w:rPr>
                <w:rFonts w:cs="Arial"/>
                <w:szCs w:val="18"/>
                <w:lang w:eastAsia="ko-KR"/>
              </w:rPr>
              <w:sym w:font="Symbol" w:char="F064"/>
            </w:r>
          </w:p>
        </w:tc>
        <w:tc>
          <w:tcPr>
            <w:tcW w:w="851" w:type="dxa"/>
            <w:vMerge w:val="restart"/>
            <w:tcBorders>
              <w:top w:val="nil"/>
              <w:left w:val="single" w:sz="6" w:space="0" w:color="auto"/>
              <w:bottom w:val="nil"/>
              <w:right w:val="single" w:sz="6" w:space="0" w:color="auto"/>
            </w:tcBorders>
            <w:vAlign w:val="center"/>
          </w:tcPr>
          <w:p w14:paraId="410A91A7"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4D828809" w14:textId="7D527699" w:rsidR="00B406AC" w:rsidRPr="006A7330" w:rsidRDefault="00B406AC" w:rsidP="00B406AC">
            <w:pPr>
              <w:pStyle w:val="TAC"/>
              <w:rPr>
                <w:lang w:eastAsia="ko-KR"/>
              </w:rPr>
            </w:pPr>
            <w:r>
              <w:rPr>
                <w:rFonts w:cs="Calibri"/>
              </w:rPr>
              <w:t>≥</w:t>
            </w:r>
            <w:r>
              <w:t>132</w:t>
            </w:r>
          </w:p>
        </w:tc>
        <w:tc>
          <w:tcPr>
            <w:tcW w:w="845" w:type="dxa"/>
            <w:tcBorders>
              <w:top w:val="nil"/>
              <w:left w:val="single" w:sz="6" w:space="0" w:color="auto"/>
              <w:bottom w:val="nil"/>
              <w:right w:val="single" w:sz="6" w:space="0" w:color="auto"/>
            </w:tcBorders>
          </w:tcPr>
          <w:p w14:paraId="23A9AF57" w14:textId="77777777" w:rsidR="00B406AC" w:rsidRPr="006A7330" w:rsidRDefault="00B406AC" w:rsidP="00B406AC">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3FB86FED" w14:textId="1D84CCDF"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21AAB057"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2C3BB9E5" w14:textId="77777777" w:rsidR="00B406AC" w:rsidRPr="006A7330" w:rsidRDefault="00B406AC" w:rsidP="00B406AC">
            <w:pPr>
              <w:pStyle w:val="TAC"/>
              <w:rPr>
                <w:lang w:eastAsia="ko-KR"/>
              </w:rPr>
            </w:pPr>
            <w:r w:rsidRPr="006A7330">
              <w:rPr>
                <w:lang w:eastAsia="ko-KR"/>
              </w:rPr>
              <w:t>NOTE 6</w:t>
            </w:r>
          </w:p>
        </w:tc>
      </w:tr>
      <w:tr w:rsidR="00B406AC" w:rsidRPr="006A7330" w14:paraId="167EE561" w14:textId="77777777" w:rsidTr="00174920">
        <w:trPr>
          <w:jc w:val="center"/>
        </w:trPr>
        <w:tc>
          <w:tcPr>
            <w:tcW w:w="1133" w:type="dxa"/>
            <w:tcBorders>
              <w:top w:val="single" w:sz="6" w:space="0" w:color="auto"/>
              <w:left w:val="single" w:sz="4" w:space="0" w:color="auto"/>
              <w:bottom w:val="nil"/>
              <w:right w:val="single" w:sz="6" w:space="0" w:color="auto"/>
            </w:tcBorders>
            <w:hideMark/>
          </w:tcPr>
          <w:p w14:paraId="542BAEAA" w14:textId="3E8546F9" w:rsidR="00B406AC" w:rsidRPr="006A7330" w:rsidRDefault="00B406AC" w:rsidP="00B406AC">
            <w:pPr>
              <w:pStyle w:val="TAC"/>
              <w:rPr>
                <w:lang w:eastAsia="ko-KR"/>
              </w:rPr>
            </w:pPr>
            <w:r w:rsidRPr="002F3C20">
              <w:rPr>
                <w:rFonts w:cs="Arial"/>
                <w:szCs w:val="18"/>
                <w:lang w:eastAsia="ko-KR"/>
              </w:rPr>
              <w:t>± 12+</w:t>
            </w:r>
            <w:r w:rsidRPr="002F3C20">
              <w:rPr>
                <w:rFonts w:cs="Arial"/>
                <w:szCs w:val="18"/>
                <w:lang w:eastAsia="ko-KR"/>
              </w:rPr>
              <w:sym w:font="Symbol" w:char="F064"/>
            </w:r>
          </w:p>
        </w:tc>
        <w:tc>
          <w:tcPr>
            <w:tcW w:w="851" w:type="dxa"/>
            <w:vMerge/>
            <w:tcBorders>
              <w:top w:val="nil"/>
              <w:left w:val="single" w:sz="6" w:space="0" w:color="auto"/>
              <w:bottom w:val="nil"/>
              <w:right w:val="single" w:sz="6" w:space="0" w:color="auto"/>
            </w:tcBorders>
            <w:vAlign w:val="center"/>
            <w:hideMark/>
          </w:tcPr>
          <w:p w14:paraId="2AD897AF"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vAlign w:val="center"/>
            <w:hideMark/>
          </w:tcPr>
          <w:p w14:paraId="523FEBF1" w14:textId="213BEBAD" w:rsidR="00B406AC" w:rsidRPr="006A7330" w:rsidRDefault="00B406AC" w:rsidP="00174920">
            <w:pPr>
              <w:pStyle w:val="TAC"/>
              <w:rPr>
                <w:lang w:eastAsia="ko-KR"/>
              </w:rPr>
            </w:pPr>
            <w:r>
              <w:rPr>
                <w:rFonts w:cs="Calibri"/>
              </w:rPr>
              <w:t>≥</w:t>
            </w:r>
            <w:r>
              <w:t>32</w:t>
            </w:r>
          </w:p>
        </w:tc>
        <w:tc>
          <w:tcPr>
            <w:tcW w:w="845" w:type="dxa"/>
            <w:tcBorders>
              <w:top w:val="single" w:sz="6" w:space="0" w:color="auto"/>
              <w:left w:val="single" w:sz="6" w:space="0" w:color="auto"/>
              <w:bottom w:val="nil"/>
              <w:right w:val="single" w:sz="6" w:space="0" w:color="auto"/>
            </w:tcBorders>
            <w:vAlign w:val="center"/>
            <w:hideMark/>
          </w:tcPr>
          <w:p w14:paraId="794B4E72" w14:textId="77777777" w:rsidR="00B406AC" w:rsidRPr="006A7330" w:rsidRDefault="00B406AC" w:rsidP="00174920">
            <w:pPr>
              <w:pStyle w:val="TAC"/>
              <w:rPr>
                <w:lang w:eastAsia="ko-KR"/>
              </w:rPr>
            </w:pPr>
            <w:r w:rsidRPr="006A7330">
              <w:rPr>
                <w:lang w:eastAsia="ko-KR"/>
              </w:rPr>
              <w:t>120</w:t>
            </w:r>
          </w:p>
        </w:tc>
        <w:tc>
          <w:tcPr>
            <w:tcW w:w="1422" w:type="dxa"/>
            <w:tcBorders>
              <w:top w:val="single" w:sz="6" w:space="0" w:color="auto"/>
              <w:left w:val="single" w:sz="6" w:space="0" w:color="auto"/>
              <w:bottom w:val="nil"/>
              <w:right w:val="single" w:sz="4" w:space="0" w:color="auto"/>
            </w:tcBorders>
            <w:vAlign w:val="center"/>
            <w:hideMark/>
          </w:tcPr>
          <w:p w14:paraId="590D59B5" w14:textId="5EC1F56F"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vAlign w:val="center"/>
            <w:hideMark/>
          </w:tcPr>
          <w:p w14:paraId="70375CFA" w14:textId="77777777" w:rsidR="00B406AC" w:rsidRPr="006A7330" w:rsidRDefault="00B406AC" w:rsidP="00B406AC">
            <w:pPr>
              <w:pStyle w:val="TAC"/>
              <w:rPr>
                <w:lang w:eastAsia="ko-KR"/>
              </w:rPr>
            </w:pPr>
            <w:r w:rsidRPr="006A7330">
              <w:rPr>
                <w:lang w:eastAsia="ko-KR"/>
              </w:rP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vAlign w:val="center"/>
            <w:hideMark/>
          </w:tcPr>
          <w:p w14:paraId="16F6D610" w14:textId="77777777" w:rsidR="00B406AC" w:rsidRPr="006A7330" w:rsidRDefault="00B406AC" w:rsidP="00B406AC">
            <w:pPr>
              <w:pStyle w:val="TAC"/>
              <w:rPr>
                <w:lang w:eastAsia="ko-KR"/>
              </w:rPr>
            </w:pPr>
            <w:r w:rsidRPr="006A7330">
              <w:rPr>
                <w:lang w:eastAsia="ko-KR"/>
              </w:rPr>
              <w:t>-50</w:t>
            </w:r>
          </w:p>
        </w:tc>
      </w:tr>
      <w:tr w:rsidR="00B406AC" w:rsidRPr="006A7330" w14:paraId="4C695BF4"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1D326B3E" w14:textId="3989585A" w:rsidR="00B406AC" w:rsidRPr="006A7330" w:rsidRDefault="00B406AC" w:rsidP="00B406AC">
            <w:pPr>
              <w:pStyle w:val="TAC"/>
              <w:rPr>
                <w:lang w:eastAsia="ko-KR"/>
              </w:rPr>
            </w:pPr>
            <w:r w:rsidRPr="002F3C20">
              <w:rPr>
                <w:rFonts w:cs="Arial"/>
                <w:szCs w:val="18"/>
                <w:lang w:eastAsia="ko-KR"/>
              </w:rPr>
              <w:t>± 7+</w:t>
            </w:r>
            <w:r w:rsidRPr="002F3C20">
              <w:rPr>
                <w:rFonts w:cs="Arial"/>
                <w:szCs w:val="18"/>
                <w:lang w:eastAsia="ko-KR"/>
              </w:rPr>
              <w:sym w:font="Symbol" w:char="F064"/>
            </w:r>
          </w:p>
        </w:tc>
        <w:tc>
          <w:tcPr>
            <w:tcW w:w="851" w:type="dxa"/>
            <w:tcBorders>
              <w:top w:val="nil"/>
              <w:left w:val="single" w:sz="6" w:space="0" w:color="auto"/>
              <w:bottom w:val="nil"/>
              <w:right w:val="single" w:sz="6" w:space="0" w:color="auto"/>
            </w:tcBorders>
            <w:vAlign w:val="center"/>
          </w:tcPr>
          <w:p w14:paraId="3248FB6C"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34E2262B" w14:textId="159862B7" w:rsidR="00B406AC" w:rsidRPr="006A7330" w:rsidRDefault="00B406AC" w:rsidP="00B406AC">
            <w:pPr>
              <w:pStyle w:val="TAC"/>
              <w:rPr>
                <w:lang w:eastAsia="ko-KR"/>
              </w:rPr>
            </w:pPr>
            <w:r>
              <w:rPr>
                <w:rFonts w:cs="Calibri"/>
              </w:rPr>
              <w:t>≥</w:t>
            </w:r>
            <w:r>
              <w:t>64</w:t>
            </w:r>
          </w:p>
        </w:tc>
        <w:tc>
          <w:tcPr>
            <w:tcW w:w="845" w:type="dxa"/>
            <w:tcBorders>
              <w:top w:val="nil"/>
              <w:left w:val="single" w:sz="6" w:space="0" w:color="auto"/>
              <w:bottom w:val="nil"/>
              <w:right w:val="single" w:sz="6" w:space="0" w:color="auto"/>
            </w:tcBorders>
          </w:tcPr>
          <w:p w14:paraId="62DF017B" w14:textId="77777777" w:rsidR="00B406AC" w:rsidRPr="006A7330" w:rsidRDefault="00B406AC" w:rsidP="00B406AC">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2048BEED" w14:textId="00551E11"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21D14B83"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754AAA04" w14:textId="77777777" w:rsidR="00B406AC" w:rsidRPr="006A7330" w:rsidRDefault="00B406AC" w:rsidP="00B406AC">
            <w:pPr>
              <w:pStyle w:val="TAC"/>
              <w:rPr>
                <w:lang w:eastAsia="ko-KR"/>
              </w:rPr>
            </w:pPr>
            <w:r w:rsidRPr="006A7330">
              <w:rPr>
                <w:lang w:eastAsia="ko-KR"/>
              </w:rPr>
              <w:t>NOTE 6</w:t>
            </w:r>
          </w:p>
        </w:tc>
      </w:tr>
      <w:tr w:rsidR="00B406AC" w:rsidRPr="006A7330" w14:paraId="18E49021"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00F98D44" w14:textId="30CD54C8" w:rsidR="00B406AC" w:rsidRPr="006A7330" w:rsidRDefault="00B406AC" w:rsidP="00B406AC">
            <w:pPr>
              <w:pStyle w:val="TAC"/>
              <w:rPr>
                <w:lang w:eastAsia="ko-KR"/>
              </w:rPr>
            </w:pPr>
            <w:r w:rsidRPr="002F3C20">
              <w:rPr>
                <w:rFonts w:cs="Arial"/>
                <w:szCs w:val="18"/>
                <w:lang w:eastAsia="ko-KR"/>
              </w:rPr>
              <w:t>± 4+</w:t>
            </w:r>
            <w:r w:rsidRPr="002F3C20">
              <w:rPr>
                <w:rFonts w:cs="Arial"/>
                <w:szCs w:val="18"/>
                <w:lang w:eastAsia="ko-KR"/>
              </w:rPr>
              <w:sym w:font="Symbol" w:char="F064"/>
            </w:r>
          </w:p>
        </w:tc>
        <w:tc>
          <w:tcPr>
            <w:tcW w:w="851" w:type="dxa"/>
            <w:tcBorders>
              <w:top w:val="nil"/>
              <w:left w:val="single" w:sz="6" w:space="0" w:color="auto"/>
              <w:bottom w:val="nil"/>
              <w:right w:val="single" w:sz="6" w:space="0" w:color="auto"/>
            </w:tcBorders>
            <w:vAlign w:val="center"/>
          </w:tcPr>
          <w:p w14:paraId="00AD1338"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0AC6F096" w14:textId="64F62745" w:rsidR="00B406AC" w:rsidRPr="006A7330" w:rsidRDefault="00B406AC" w:rsidP="00B406AC">
            <w:pPr>
              <w:pStyle w:val="TAC"/>
              <w:rPr>
                <w:lang w:eastAsia="ko-KR"/>
              </w:rPr>
            </w:pPr>
            <w:r>
              <w:rPr>
                <w:rFonts w:cs="Calibri"/>
              </w:rPr>
              <w:t>≥</w:t>
            </w:r>
            <w:r>
              <w:t>128</w:t>
            </w:r>
          </w:p>
        </w:tc>
        <w:tc>
          <w:tcPr>
            <w:tcW w:w="845" w:type="dxa"/>
            <w:tcBorders>
              <w:top w:val="nil"/>
              <w:left w:val="single" w:sz="6" w:space="0" w:color="auto"/>
              <w:bottom w:val="nil"/>
              <w:right w:val="single" w:sz="6" w:space="0" w:color="auto"/>
            </w:tcBorders>
          </w:tcPr>
          <w:p w14:paraId="0D087409" w14:textId="77777777" w:rsidR="00B406AC" w:rsidRPr="006A7330" w:rsidRDefault="00B406AC" w:rsidP="00B406AC">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185837B0" w14:textId="7F2A29A9"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0B5D2115"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0ECAE5F5" w14:textId="77777777" w:rsidR="00B406AC" w:rsidRPr="006A7330" w:rsidRDefault="00B406AC" w:rsidP="00B406AC">
            <w:pPr>
              <w:pStyle w:val="TAC"/>
              <w:rPr>
                <w:lang w:eastAsia="ko-KR"/>
              </w:rPr>
            </w:pPr>
            <w:r w:rsidRPr="006A7330">
              <w:rPr>
                <w:lang w:eastAsia="ko-KR"/>
              </w:rPr>
              <w:t>NOTE 6</w:t>
            </w:r>
          </w:p>
        </w:tc>
      </w:tr>
      <w:tr w:rsidR="00B406AC" w:rsidRPr="006A7330" w14:paraId="0419C219"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137A12F4" w14:textId="399B61EA" w:rsidR="00B406AC" w:rsidRPr="006A7330" w:rsidRDefault="00B406AC" w:rsidP="00B406AC">
            <w:pPr>
              <w:pStyle w:val="TAC"/>
              <w:rPr>
                <w:lang w:eastAsia="ko-KR"/>
              </w:rPr>
            </w:pPr>
            <w:r w:rsidRPr="002F3C20">
              <w:rPr>
                <w:rFonts w:cs="Arial"/>
                <w:szCs w:val="18"/>
                <w:lang w:eastAsia="ko-KR"/>
              </w:rPr>
              <w:t>± 35+</w:t>
            </w:r>
            <w:r w:rsidRPr="002F3C20">
              <w:rPr>
                <w:rFonts w:cs="Arial"/>
                <w:szCs w:val="18"/>
                <w:lang w:eastAsia="ko-KR"/>
              </w:rPr>
              <w:sym w:font="Symbol" w:char="F064"/>
            </w:r>
          </w:p>
        </w:tc>
        <w:tc>
          <w:tcPr>
            <w:tcW w:w="851" w:type="dxa"/>
            <w:tcBorders>
              <w:top w:val="single" w:sz="6" w:space="0" w:color="auto"/>
              <w:left w:val="single" w:sz="6" w:space="0" w:color="auto"/>
              <w:bottom w:val="nil"/>
              <w:right w:val="single" w:sz="6" w:space="0" w:color="auto"/>
            </w:tcBorders>
            <w:vAlign w:val="center"/>
            <w:hideMark/>
          </w:tcPr>
          <w:p w14:paraId="4D35C503" w14:textId="77777777" w:rsidR="00B406AC" w:rsidRPr="006A7330" w:rsidRDefault="00B406AC" w:rsidP="00B406AC">
            <w:pPr>
              <w:pStyle w:val="TAC"/>
              <w:rPr>
                <w:lang w:val="sv-SE" w:eastAsia="ko-KR"/>
              </w:rPr>
            </w:pPr>
            <w:r w:rsidRPr="006A7330">
              <w:rPr>
                <w:lang w:val="sv-SE" w:eastAsia="ko-KR"/>
              </w:rPr>
              <w:t>-13</w:t>
            </w:r>
          </w:p>
        </w:tc>
        <w:tc>
          <w:tcPr>
            <w:tcW w:w="1133" w:type="dxa"/>
            <w:tcBorders>
              <w:top w:val="single" w:sz="6" w:space="0" w:color="auto"/>
              <w:left w:val="single" w:sz="6" w:space="0" w:color="auto"/>
              <w:bottom w:val="nil"/>
              <w:right w:val="single" w:sz="6" w:space="0" w:color="auto"/>
            </w:tcBorders>
            <w:hideMark/>
          </w:tcPr>
          <w:p w14:paraId="22D3E649" w14:textId="6A71900B" w:rsidR="00B406AC" w:rsidRPr="006A7330" w:rsidRDefault="00B406AC" w:rsidP="00B406AC">
            <w:pPr>
              <w:pStyle w:val="TAC"/>
              <w:rPr>
                <w:lang w:eastAsia="ko-KR"/>
              </w:rPr>
            </w:pPr>
            <w:r>
              <w:rPr>
                <w:rFonts w:cs="Calibri"/>
              </w:rPr>
              <w:t>≥</w:t>
            </w:r>
            <w:r>
              <w:t>24</w:t>
            </w:r>
          </w:p>
        </w:tc>
        <w:tc>
          <w:tcPr>
            <w:tcW w:w="845" w:type="dxa"/>
            <w:tcBorders>
              <w:top w:val="single" w:sz="6" w:space="0" w:color="auto"/>
              <w:left w:val="single" w:sz="6" w:space="0" w:color="auto"/>
              <w:bottom w:val="nil"/>
              <w:right w:val="single" w:sz="6" w:space="0" w:color="auto"/>
            </w:tcBorders>
            <w:hideMark/>
          </w:tcPr>
          <w:p w14:paraId="363646C0" w14:textId="77777777" w:rsidR="00B406AC" w:rsidRPr="006A7330" w:rsidRDefault="00B406AC" w:rsidP="00B406AC">
            <w:pPr>
              <w:pStyle w:val="TAC"/>
              <w:rPr>
                <w:lang w:eastAsia="ko-KR"/>
              </w:rPr>
            </w:pPr>
            <w:r w:rsidRPr="006A7330">
              <w:rPr>
                <w:lang w:eastAsia="ko-KR"/>
              </w:rPr>
              <w:t>60</w:t>
            </w:r>
          </w:p>
        </w:tc>
        <w:tc>
          <w:tcPr>
            <w:tcW w:w="1422" w:type="dxa"/>
            <w:tcBorders>
              <w:top w:val="single" w:sz="6" w:space="0" w:color="auto"/>
              <w:left w:val="single" w:sz="6" w:space="0" w:color="auto"/>
              <w:bottom w:val="nil"/>
              <w:right w:val="single" w:sz="4" w:space="0" w:color="auto"/>
            </w:tcBorders>
            <w:vAlign w:val="center"/>
            <w:hideMark/>
          </w:tcPr>
          <w:p w14:paraId="5B45117C" w14:textId="7390D636"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03BCA4CE"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770B35BE" w14:textId="77777777" w:rsidR="00B406AC" w:rsidRPr="006A7330" w:rsidRDefault="00B406AC" w:rsidP="00B406AC">
            <w:pPr>
              <w:pStyle w:val="TAC"/>
              <w:rPr>
                <w:lang w:eastAsia="ko-KR"/>
              </w:rPr>
            </w:pPr>
            <w:r w:rsidRPr="006A7330">
              <w:rPr>
                <w:lang w:eastAsia="ko-KR"/>
              </w:rPr>
              <w:t>NOTE 6</w:t>
            </w:r>
          </w:p>
        </w:tc>
      </w:tr>
      <w:tr w:rsidR="00B406AC" w:rsidRPr="006A7330" w14:paraId="0A6A9990"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6B37E729" w14:textId="63977D6B" w:rsidR="00B406AC" w:rsidRPr="006A7330" w:rsidRDefault="00B406AC" w:rsidP="00B406AC">
            <w:pPr>
              <w:pStyle w:val="TAC"/>
              <w:rPr>
                <w:lang w:eastAsia="ko-KR"/>
              </w:rPr>
            </w:pPr>
            <w:r w:rsidRPr="002F3C20">
              <w:rPr>
                <w:rFonts w:cs="Arial"/>
                <w:szCs w:val="18"/>
                <w:lang w:eastAsia="ko-KR"/>
              </w:rPr>
              <w:t>± 15+</w:t>
            </w:r>
            <w:r w:rsidRPr="002F3C20">
              <w:rPr>
                <w:rFonts w:cs="Arial"/>
                <w:szCs w:val="18"/>
                <w:lang w:eastAsia="ko-KR"/>
              </w:rPr>
              <w:sym w:font="Symbol" w:char="F064"/>
            </w:r>
          </w:p>
        </w:tc>
        <w:tc>
          <w:tcPr>
            <w:tcW w:w="851" w:type="dxa"/>
            <w:tcBorders>
              <w:top w:val="nil"/>
              <w:left w:val="single" w:sz="6" w:space="0" w:color="auto"/>
              <w:bottom w:val="nil"/>
              <w:right w:val="single" w:sz="6" w:space="0" w:color="auto"/>
            </w:tcBorders>
            <w:vAlign w:val="center"/>
          </w:tcPr>
          <w:p w14:paraId="5AAC04EE"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1446142D" w14:textId="0B386D9C" w:rsidR="00B406AC" w:rsidRPr="006A7330" w:rsidRDefault="00B406AC" w:rsidP="00B406AC">
            <w:pPr>
              <w:pStyle w:val="TAC"/>
              <w:rPr>
                <w:lang w:eastAsia="ko-KR"/>
              </w:rPr>
            </w:pPr>
            <w:r>
              <w:rPr>
                <w:rFonts w:cs="Calibri"/>
              </w:rPr>
              <w:t>≥</w:t>
            </w:r>
            <w:r>
              <w:t>64</w:t>
            </w:r>
          </w:p>
        </w:tc>
        <w:tc>
          <w:tcPr>
            <w:tcW w:w="845" w:type="dxa"/>
            <w:tcBorders>
              <w:top w:val="nil"/>
              <w:left w:val="single" w:sz="6" w:space="0" w:color="auto"/>
              <w:bottom w:val="nil"/>
              <w:right w:val="single" w:sz="6" w:space="0" w:color="auto"/>
            </w:tcBorders>
          </w:tcPr>
          <w:p w14:paraId="5F80C389" w14:textId="77777777" w:rsidR="00B406AC" w:rsidRPr="006A7330" w:rsidRDefault="00B406AC" w:rsidP="00B406AC">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69DA39A8" w14:textId="1F00248E"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73E2C888"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5E33F5D3" w14:textId="77777777" w:rsidR="00B406AC" w:rsidRPr="006A7330" w:rsidRDefault="00B406AC" w:rsidP="00B406AC">
            <w:pPr>
              <w:pStyle w:val="TAC"/>
              <w:rPr>
                <w:lang w:eastAsia="ko-KR"/>
              </w:rPr>
            </w:pPr>
            <w:r w:rsidRPr="006A7330">
              <w:rPr>
                <w:lang w:eastAsia="ko-KR"/>
              </w:rPr>
              <w:t>NOTE 6</w:t>
            </w:r>
          </w:p>
        </w:tc>
      </w:tr>
      <w:tr w:rsidR="00B406AC" w:rsidRPr="006A7330" w14:paraId="0BA1AE24"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3691F118" w14:textId="500342DA" w:rsidR="00B406AC" w:rsidRPr="006A7330" w:rsidRDefault="00B406AC" w:rsidP="00B406AC">
            <w:pPr>
              <w:pStyle w:val="TAC"/>
              <w:rPr>
                <w:lang w:eastAsia="ko-KR"/>
              </w:rPr>
            </w:pPr>
            <w:r w:rsidRPr="002F3C20">
              <w:rPr>
                <w:rFonts w:cs="Arial"/>
                <w:szCs w:val="18"/>
                <w:lang w:eastAsia="ko-KR"/>
              </w:rPr>
              <w:t>± 7+</w:t>
            </w:r>
            <w:r w:rsidRPr="002F3C20">
              <w:rPr>
                <w:rFonts w:cs="Arial"/>
                <w:szCs w:val="18"/>
                <w:lang w:eastAsia="ko-KR"/>
              </w:rPr>
              <w:sym w:font="Symbol" w:char="F064"/>
            </w:r>
          </w:p>
        </w:tc>
        <w:tc>
          <w:tcPr>
            <w:tcW w:w="851" w:type="dxa"/>
            <w:vMerge w:val="restart"/>
            <w:tcBorders>
              <w:top w:val="nil"/>
              <w:left w:val="single" w:sz="6" w:space="0" w:color="auto"/>
              <w:bottom w:val="nil"/>
              <w:right w:val="single" w:sz="6" w:space="0" w:color="auto"/>
            </w:tcBorders>
            <w:vAlign w:val="center"/>
          </w:tcPr>
          <w:p w14:paraId="17DB0003"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479C21D8" w14:textId="385B82E0" w:rsidR="00B406AC" w:rsidRPr="006A7330" w:rsidRDefault="00B406AC" w:rsidP="00B406AC">
            <w:pPr>
              <w:pStyle w:val="TAC"/>
              <w:rPr>
                <w:lang w:eastAsia="ko-KR"/>
              </w:rPr>
            </w:pPr>
            <w:r>
              <w:rPr>
                <w:rFonts w:cs="Calibri"/>
              </w:rPr>
              <w:t>≥</w:t>
            </w:r>
            <w:r>
              <w:t>132</w:t>
            </w:r>
          </w:p>
        </w:tc>
        <w:tc>
          <w:tcPr>
            <w:tcW w:w="845" w:type="dxa"/>
            <w:tcBorders>
              <w:top w:val="nil"/>
              <w:left w:val="single" w:sz="6" w:space="0" w:color="auto"/>
              <w:bottom w:val="nil"/>
              <w:right w:val="single" w:sz="6" w:space="0" w:color="auto"/>
            </w:tcBorders>
          </w:tcPr>
          <w:p w14:paraId="4BCB427F" w14:textId="77777777" w:rsidR="00B406AC" w:rsidRPr="006A7330" w:rsidRDefault="00B406AC" w:rsidP="00B406AC">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4FC2D29C" w14:textId="2CE6124C"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001687AA"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7B5F21D4" w14:textId="77777777" w:rsidR="00B406AC" w:rsidRPr="006A7330" w:rsidRDefault="00B406AC" w:rsidP="00B406AC">
            <w:pPr>
              <w:pStyle w:val="TAC"/>
              <w:rPr>
                <w:lang w:eastAsia="ko-KR"/>
              </w:rPr>
            </w:pPr>
            <w:r w:rsidRPr="006A7330">
              <w:rPr>
                <w:lang w:eastAsia="ko-KR"/>
              </w:rPr>
              <w:t>NOTE 6</w:t>
            </w:r>
          </w:p>
        </w:tc>
      </w:tr>
      <w:tr w:rsidR="00B406AC" w:rsidRPr="006A7330" w14:paraId="35B20C1F" w14:textId="77777777" w:rsidTr="00B406AC">
        <w:trPr>
          <w:jc w:val="center"/>
        </w:trPr>
        <w:tc>
          <w:tcPr>
            <w:tcW w:w="1133" w:type="dxa"/>
            <w:tcBorders>
              <w:top w:val="single" w:sz="6" w:space="0" w:color="auto"/>
              <w:left w:val="single" w:sz="4" w:space="0" w:color="auto"/>
              <w:bottom w:val="nil"/>
              <w:right w:val="single" w:sz="6" w:space="0" w:color="auto"/>
            </w:tcBorders>
            <w:hideMark/>
          </w:tcPr>
          <w:p w14:paraId="54A26063" w14:textId="1647342F" w:rsidR="00B406AC" w:rsidRPr="006A7330" w:rsidRDefault="00B406AC" w:rsidP="00B406AC">
            <w:pPr>
              <w:pStyle w:val="TAC"/>
              <w:rPr>
                <w:lang w:eastAsia="ko-KR"/>
              </w:rPr>
            </w:pPr>
            <w:r w:rsidRPr="002F3C20">
              <w:rPr>
                <w:rFonts w:cs="Arial"/>
                <w:szCs w:val="18"/>
                <w:lang w:eastAsia="ko-KR"/>
              </w:rPr>
              <w:t>± 14+</w:t>
            </w:r>
            <w:r w:rsidRPr="002F3C20">
              <w:rPr>
                <w:rFonts w:cs="Arial"/>
                <w:szCs w:val="18"/>
                <w:lang w:eastAsia="ko-KR"/>
              </w:rPr>
              <w:sym w:font="Symbol" w:char="F064"/>
            </w:r>
          </w:p>
        </w:tc>
        <w:tc>
          <w:tcPr>
            <w:tcW w:w="851" w:type="dxa"/>
            <w:vMerge/>
            <w:tcBorders>
              <w:top w:val="nil"/>
              <w:left w:val="single" w:sz="6" w:space="0" w:color="auto"/>
              <w:bottom w:val="nil"/>
              <w:right w:val="single" w:sz="6" w:space="0" w:color="auto"/>
            </w:tcBorders>
            <w:vAlign w:val="center"/>
            <w:hideMark/>
          </w:tcPr>
          <w:p w14:paraId="7458907A"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04AB8259" w14:textId="3D5A4F8A" w:rsidR="00B406AC" w:rsidRPr="006A7330" w:rsidRDefault="00B406AC" w:rsidP="00B406AC">
            <w:pPr>
              <w:pStyle w:val="TAC"/>
              <w:rPr>
                <w:lang w:eastAsia="ko-KR"/>
              </w:rPr>
            </w:pPr>
            <w:r>
              <w:rPr>
                <w:rFonts w:cs="Calibri"/>
              </w:rPr>
              <w:t>≥</w:t>
            </w:r>
            <w:r>
              <w:t>32</w:t>
            </w:r>
          </w:p>
        </w:tc>
        <w:tc>
          <w:tcPr>
            <w:tcW w:w="845" w:type="dxa"/>
            <w:tcBorders>
              <w:top w:val="single" w:sz="6" w:space="0" w:color="auto"/>
              <w:left w:val="single" w:sz="6" w:space="0" w:color="auto"/>
              <w:bottom w:val="nil"/>
              <w:right w:val="single" w:sz="6" w:space="0" w:color="auto"/>
            </w:tcBorders>
            <w:hideMark/>
          </w:tcPr>
          <w:p w14:paraId="42B444B5" w14:textId="77777777" w:rsidR="00B406AC" w:rsidRPr="006A7330" w:rsidRDefault="00B406AC" w:rsidP="00B406AC">
            <w:pPr>
              <w:pStyle w:val="TAC"/>
              <w:rPr>
                <w:lang w:eastAsia="ko-KR"/>
              </w:rPr>
            </w:pPr>
            <w:r w:rsidRPr="006A7330">
              <w:rPr>
                <w:lang w:eastAsia="ko-KR"/>
              </w:rPr>
              <w:t>120</w:t>
            </w:r>
          </w:p>
        </w:tc>
        <w:tc>
          <w:tcPr>
            <w:tcW w:w="1422" w:type="dxa"/>
            <w:tcBorders>
              <w:top w:val="single" w:sz="6" w:space="0" w:color="auto"/>
              <w:left w:val="single" w:sz="6" w:space="0" w:color="auto"/>
              <w:bottom w:val="nil"/>
              <w:right w:val="single" w:sz="4" w:space="0" w:color="auto"/>
            </w:tcBorders>
            <w:vAlign w:val="center"/>
            <w:hideMark/>
          </w:tcPr>
          <w:p w14:paraId="18BCAC52" w14:textId="375DAE62"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192B9418"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37DD0914" w14:textId="77777777" w:rsidR="00B406AC" w:rsidRPr="006A7330" w:rsidRDefault="00B406AC" w:rsidP="00B406AC">
            <w:pPr>
              <w:pStyle w:val="TAC"/>
              <w:rPr>
                <w:lang w:eastAsia="ko-KR"/>
              </w:rPr>
            </w:pPr>
            <w:r w:rsidRPr="006A7330">
              <w:rPr>
                <w:lang w:eastAsia="ko-KR"/>
              </w:rPr>
              <w:t>NOTE 6</w:t>
            </w:r>
          </w:p>
        </w:tc>
      </w:tr>
      <w:tr w:rsidR="00B406AC" w:rsidRPr="006A7330" w14:paraId="61C20BED"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0A87E286" w14:textId="7D4A514C" w:rsidR="00B406AC" w:rsidRPr="006A7330" w:rsidRDefault="00B406AC" w:rsidP="00B406AC">
            <w:pPr>
              <w:pStyle w:val="TAC"/>
              <w:rPr>
                <w:lang w:eastAsia="ko-KR"/>
              </w:rPr>
            </w:pPr>
            <w:r w:rsidRPr="002F3C20">
              <w:rPr>
                <w:rFonts w:cs="Arial"/>
                <w:szCs w:val="18"/>
                <w:lang w:eastAsia="ko-KR"/>
              </w:rPr>
              <w:t>± 9+</w:t>
            </w:r>
            <w:r w:rsidRPr="002F3C20">
              <w:rPr>
                <w:rFonts w:cs="Arial"/>
                <w:szCs w:val="18"/>
                <w:lang w:eastAsia="ko-KR"/>
              </w:rPr>
              <w:sym w:font="Symbol" w:char="F064"/>
            </w:r>
          </w:p>
        </w:tc>
        <w:tc>
          <w:tcPr>
            <w:tcW w:w="851" w:type="dxa"/>
            <w:tcBorders>
              <w:top w:val="nil"/>
              <w:left w:val="single" w:sz="6" w:space="0" w:color="auto"/>
              <w:bottom w:val="nil"/>
              <w:right w:val="single" w:sz="6" w:space="0" w:color="auto"/>
            </w:tcBorders>
            <w:vAlign w:val="center"/>
          </w:tcPr>
          <w:p w14:paraId="1A09D951"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06E2B978" w14:textId="3F6A5B84" w:rsidR="00B406AC" w:rsidRPr="006A7330" w:rsidRDefault="00B406AC" w:rsidP="00B406AC">
            <w:pPr>
              <w:pStyle w:val="TAC"/>
              <w:rPr>
                <w:lang w:eastAsia="ko-KR"/>
              </w:rPr>
            </w:pPr>
            <w:r>
              <w:rPr>
                <w:rFonts w:cs="Calibri"/>
              </w:rPr>
              <w:t>≥</w:t>
            </w:r>
            <w:r>
              <w:t>64</w:t>
            </w:r>
          </w:p>
        </w:tc>
        <w:tc>
          <w:tcPr>
            <w:tcW w:w="845" w:type="dxa"/>
            <w:tcBorders>
              <w:top w:val="nil"/>
              <w:left w:val="single" w:sz="6" w:space="0" w:color="auto"/>
              <w:bottom w:val="nil"/>
              <w:right w:val="single" w:sz="6" w:space="0" w:color="auto"/>
            </w:tcBorders>
          </w:tcPr>
          <w:p w14:paraId="42F1D72F" w14:textId="77777777" w:rsidR="00B406AC" w:rsidRPr="006A7330" w:rsidRDefault="00B406AC" w:rsidP="00B406AC">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52D8EE74" w14:textId="042BBB72"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6740C3CF"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3AA4DD14" w14:textId="77777777" w:rsidR="00B406AC" w:rsidRPr="006A7330" w:rsidRDefault="00B406AC" w:rsidP="00B406AC">
            <w:pPr>
              <w:pStyle w:val="TAC"/>
              <w:rPr>
                <w:lang w:eastAsia="ko-KR"/>
              </w:rPr>
            </w:pPr>
            <w:r w:rsidRPr="006A7330">
              <w:rPr>
                <w:lang w:eastAsia="ko-KR"/>
              </w:rPr>
              <w:t>NOTE 6</w:t>
            </w:r>
          </w:p>
        </w:tc>
      </w:tr>
      <w:tr w:rsidR="00B406AC" w:rsidRPr="006A7330" w14:paraId="73488E27"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6C505DC2" w14:textId="756BB39E" w:rsidR="00B406AC" w:rsidRPr="006A7330" w:rsidRDefault="00B406AC" w:rsidP="00B406AC">
            <w:pPr>
              <w:pStyle w:val="TAC"/>
              <w:rPr>
                <w:lang w:eastAsia="ko-KR"/>
              </w:rPr>
            </w:pPr>
            <w:r w:rsidRPr="002F3C20">
              <w:rPr>
                <w:rFonts w:cs="Arial"/>
                <w:szCs w:val="18"/>
                <w:lang w:eastAsia="ko-KR"/>
              </w:rPr>
              <w:t>± 4+</w:t>
            </w:r>
            <w:r w:rsidRPr="002F3C20">
              <w:rPr>
                <w:rFonts w:cs="Arial"/>
                <w:szCs w:val="18"/>
                <w:lang w:eastAsia="ko-KR"/>
              </w:rPr>
              <w:sym w:font="Symbol" w:char="F064"/>
            </w:r>
          </w:p>
        </w:tc>
        <w:tc>
          <w:tcPr>
            <w:tcW w:w="851" w:type="dxa"/>
            <w:tcBorders>
              <w:top w:val="nil"/>
              <w:left w:val="single" w:sz="6" w:space="0" w:color="auto"/>
              <w:bottom w:val="nil"/>
              <w:right w:val="single" w:sz="6" w:space="0" w:color="auto"/>
            </w:tcBorders>
            <w:vAlign w:val="center"/>
          </w:tcPr>
          <w:p w14:paraId="6229D36F" w14:textId="77777777" w:rsidR="00B406AC" w:rsidRPr="006A7330" w:rsidRDefault="00B406AC" w:rsidP="00B406AC">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79A1422E" w14:textId="29825936" w:rsidR="00B406AC" w:rsidRPr="006A7330" w:rsidRDefault="00B406AC" w:rsidP="00B406AC">
            <w:pPr>
              <w:pStyle w:val="TAC"/>
              <w:rPr>
                <w:lang w:eastAsia="ko-KR"/>
              </w:rPr>
            </w:pPr>
            <w:r>
              <w:rPr>
                <w:rFonts w:cs="Calibri"/>
              </w:rPr>
              <w:t>≥</w:t>
            </w:r>
            <w:r>
              <w:t>128</w:t>
            </w:r>
          </w:p>
        </w:tc>
        <w:tc>
          <w:tcPr>
            <w:tcW w:w="845" w:type="dxa"/>
            <w:tcBorders>
              <w:top w:val="nil"/>
              <w:left w:val="single" w:sz="6" w:space="0" w:color="auto"/>
              <w:bottom w:val="nil"/>
              <w:right w:val="single" w:sz="6" w:space="0" w:color="auto"/>
            </w:tcBorders>
          </w:tcPr>
          <w:p w14:paraId="3A74DE64" w14:textId="77777777" w:rsidR="00B406AC" w:rsidRPr="006A7330" w:rsidRDefault="00B406AC" w:rsidP="00B406AC">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30846996" w14:textId="47E5E42B" w:rsidR="00B406AC" w:rsidRPr="006A7330" w:rsidRDefault="00B406AC" w:rsidP="00B406AC">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62D36F5D" w14:textId="77777777" w:rsidR="00B406AC" w:rsidRPr="006A7330" w:rsidRDefault="00B406AC" w:rsidP="00B406AC">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646434C0" w14:textId="77777777" w:rsidR="00B406AC" w:rsidRPr="006A7330" w:rsidRDefault="00B406AC" w:rsidP="00B406AC">
            <w:pPr>
              <w:pStyle w:val="TAC"/>
              <w:rPr>
                <w:lang w:eastAsia="ko-KR"/>
              </w:rPr>
            </w:pPr>
            <w:r w:rsidRPr="006A7330">
              <w:rPr>
                <w:lang w:eastAsia="ko-KR"/>
              </w:rPr>
              <w:t>NOTE 6</w:t>
            </w:r>
          </w:p>
        </w:tc>
      </w:tr>
      <w:tr w:rsidR="00CD3B3E" w:rsidRPr="006A7330" w14:paraId="0C6B400A" w14:textId="77777777" w:rsidTr="00224E82">
        <w:trPr>
          <w:jc w:val="center"/>
        </w:trPr>
        <w:tc>
          <w:tcPr>
            <w:tcW w:w="10200" w:type="dxa"/>
            <w:gridSpan w:val="7"/>
            <w:tcBorders>
              <w:top w:val="single" w:sz="6" w:space="0" w:color="auto"/>
              <w:left w:val="single" w:sz="4" w:space="0" w:color="auto"/>
              <w:bottom w:val="single" w:sz="4" w:space="0" w:color="auto"/>
              <w:right w:val="single" w:sz="4" w:space="0" w:color="auto"/>
            </w:tcBorders>
            <w:hideMark/>
          </w:tcPr>
          <w:p w14:paraId="4182574B" w14:textId="77777777" w:rsidR="00CD3B3E" w:rsidRPr="006A7330" w:rsidRDefault="00CD3B3E" w:rsidP="00B406AC">
            <w:pPr>
              <w:pStyle w:val="TAN"/>
              <w:rPr>
                <w:lang w:eastAsia="ko-KR"/>
              </w:rPr>
            </w:pPr>
            <w:r w:rsidRPr="006A7330">
              <w:rPr>
                <w:lang w:eastAsia="ko-KR"/>
              </w:rPr>
              <w:t>N</w:t>
            </w:r>
            <w:r w:rsidRPr="006A7330">
              <w:t>OTE</w:t>
            </w:r>
            <w:r w:rsidRPr="006A7330">
              <w:rPr>
                <w:lang w:eastAsia="ko-KR"/>
              </w:rPr>
              <w:t xml:space="preserve"> 1:</w:t>
            </w:r>
            <w:r w:rsidRPr="006A7330">
              <w:rPr>
                <w:lang w:eastAsia="ko-KR"/>
              </w:rPr>
              <w:tab/>
              <w:t>This minimum Io condition is expressed as the average Io per RE over all REs in an OFDM symbol.</w:t>
            </w:r>
          </w:p>
          <w:p w14:paraId="405BAC17" w14:textId="77777777" w:rsidR="00CD3B3E" w:rsidRPr="006A7330" w:rsidRDefault="00CD3B3E" w:rsidP="00B406AC">
            <w:pPr>
              <w:pStyle w:val="TAN"/>
              <w:rPr>
                <w:lang w:eastAsia="ko-KR"/>
              </w:rPr>
            </w:pPr>
            <w:r w:rsidRPr="006A7330">
              <w:rPr>
                <w:lang w:eastAsia="ko-KR"/>
              </w:rPr>
              <w:t>NOTE 2:</w:t>
            </w:r>
            <w:r w:rsidRPr="006A7330">
              <w:rPr>
                <w:lang w:eastAsia="ko-KR"/>
              </w:rPr>
              <w:tab/>
              <w:t>NR operating band groups are as defined in Section 3.5.</w:t>
            </w:r>
          </w:p>
          <w:p w14:paraId="17E5D203" w14:textId="77777777" w:rsidR="00CD3B3E" w:rsidRPr="006A7330" w:rsidRDefault="00CD3B3E" w:rsidP="00B406AC">
            <w:pPr>
              <w:pStyle w:val="TAN"/>
              <w:rPr>
                <w:lang w:eastAsia="ko-KR"/>
              </w:rPr>
            </w:pPr>
            <w:r w:rsidRPr="006A7330">
              <w:rPr>
                <w:lang w:eastAsia="ko-KR"/>
              </w:rPr>
              <w:t>N</w:t>
            </w:r>
            <w:r w:rsidRPr="006A7330">
              <w:t>OTE</w:t>
            </w:r>
            <w:r w:rsidRPr="006A7330">
              <w:rPr>
                <w:lang w:eastAsia="ko-KR"/>
              </w:rPr>
              <w:t xml:space="preserve"> 3:</w:t>
            </w:r>
            <w:r w:rsidRPr="006A7330">
              <w:rPr>
                <w:lang w:eastAsia="ko-KR"/>
              </w:rPr>
              <w:tab/>
            </w:r>
            <m:oMath>
              <m:sSubSup>
                <m:sSubSupPr>
                  <m:ctrlPr>
                    <w:rPr>
                      <w:rFonts w:ascii="Cambria Math" w:hAnsi="Cambria Math"/>
                      <w:i/>
                      <w:szCs w:val="18"/>
                      <w:lang w:eastAsia="ko-KR"/>
                    </w:rPr>
                  </m:ctrlPr>
                </m:sSubSupPr>
                <m:e>
                  <m:r>
                    <w:rPr>
                      <w:rFonts w:ascii="Cambria Math" w:hAnsi="Cambria Math"/>
                      <w:lang w:eastAsia="ko-KR"/>
                    </w:rPr>
                    <m:t>T</m:t>
                  </m:r>
                </m:e>
                <m:sub>
                  <m:r>
                    <m:rPr>
                      <m:sty m:val="p"/>
                    </m:rPr>
                    <w:rPr>
                      <w:rFonts w:ascii="Cambria Math" w:hAnsi="Cambria Math"/>
                      <w:lang w:eastAsia="ko-KR"/>
                    </w:rPr>
                    <m:t>rep</m:t>
                  </m:r>
                </m:sub>
                <m:sup>
                  <m:r>
                    <m:rPr>
                      <m:sty m:val="p"/>
                    </m:rPr>
                    <w:rPr>
                      <w:rFonts w:ascii="Cambria Math" w:hAnsi="Cambria Math"/>
                      <w:lang w:eastAsia="ko-KR"/>
                    </w:rPr>
                    <m:t>PRS</m:t>
                  </m:r>
                </m:sup>
              </m:sSubSup>
              <m:r>
                <w:rPr>
                  <w:rFonts w:ascii="Cambria Math" w:hAnsi="Cambria Math"/>
                  <w:lang w:eastAsia="ko-KR"/>
                </w:rPr>
                <m:t xml:space="preserve">, </m:t>
              </m:r>
              <m:sSub>
                <m:sSubPr>
                  <m:ctrlPr>
                    <w:rPr>
                      <w:rFonts w:ascii="Cambria Math" w:hAnsi="Cambria Math"/>
                      <w:szCs w:val="18"/>
                      <w:lang w:eastAsia="ko-KR"/>
                    </w:rPr>
                  </m:ctrlPr>
                </m:sSubPr>
                <m:e>
                  <m:r>
                    <w:rPr>
                      <w:rFonts w:ascii="Cambria Math" w:hAnsi="Cambria Math"/>
                      <w:lang w:eastAsia="ko-KR"/>
                    </w:rPr>
                    <m:t>L</m:t>
                  </m:r>
                </m:e>
                <m:sub>
                  <m:r>
                    <m:rPr>
                      <m:sty m:val="p"/>
                    </m:rPr>
                    <w:rPr>
                      <w:rFonts w:ascii="Cambria Math" w:hAnsi="Cambria Math"/>
                      <w:lang w:eastAsia="ko-KR"/>
                    </w:rPr>
                    <m:t>PRS</m:t>
                  </m:r>
                </m:sub>
              </m:sSub>
              <m:r>
                <w:rPr>
                  <w:rFonts w:ascii="Cambria Math" w:hAnsi="Cambria Math"/>
                  <w:lang w:eastAsia="ko-KR"/>
                </w:rPr>
                <m:t xml:space="preserve"> ,</m:t>
              </m:r>
              <m:sSubSup>
                <m:sSubSupPr>
                  <m:ctrlPr>
                    <w:rPr>
                      <w:rFonts w:ascii="Cambria Math" w:hAnsi="Cambria Math"/>
                      <w:i/>
                      <w:szCs w:val="18"/>
                      <w:lang w:eastAsia="ko-KR"/>
                    </w:rPr>
                  </m:ctrlPr>
                </m:sSubSupPr>
                <m:e>
                  <m:r>
                    <w:rPr>
                      <w:rFonts w:ascii="Cambria Math" w:hAnsi="Cambria Math"/>
                      <w:lang w:eastAsia="ko-KR"/>
                    </w:rPr>
                    <m:t>K</m:t>
                  </m:r>
                </m:e>
                <m:sub>
                  <m:r>
                    <m:rPr>
                      <m:sty m:val="p"/>
                    </m:rPr>
                    <w:rPr>
                      <w:rFonts w:ascii="Cambria Math" w:hAnsi="Cambria Math"/>
                      <w:lang w:eastAsia="ko-KR"/>
                    </w:rPr>
                    <m:t>comb</m:t>
                  </m:r>
                </m:sub>
                <m:sup>
                  <m:r>
                    <m:rPr>
                      <m:sty m:val="p"/>
                    </m:rPr>
                    <w:rPr>
                      <w:rFonts w:ascii="Cambria Math" w:hAnsi="Cambria Math"/>
                      <w:lang w:eastAsia="ko-KR"/>
                    </w:rPr>
                    <m:t>PRS</m:t>
                  </m:r>
                </m:sup>
              </m:sSubSup>
            </m:oMath>
            <w:r w:rsidRPr="006A7330">
              <w:rPr>
                <w:b/>
                <w:bCs/>
              </w:rPr>
              <w:t xml:space="preserve"> </w:t>
            </w:r>
            <w:r w:rsidRPr="006A7330">
              <w:rPr>
                <w:lang w:eastAsia="ko-KR"/>
              </w:rPr>
              <w:t xml:space="preserve">are configured by higher layer parameter  </w:t>
            </w:r>
            <w:r w:rsidRPr="006A7330">
              <w:rPr>
                <w:i/>
                <w:lang w:eastAsia="ko-KR"/>
              </w:rPr>
              <w:t>dl-PRS-ResourceRepetitionFactor, dl-PRS-NumSymbols and  dl-PRS-CombSizeN</w:t>
            </w:r>
            <w:r w:rsidRPr="006A7330">
              <w:rPr>
                <w:iCs/>
                <w:lang w:eastAsia="ko-KR"/>
              </w:rPr>
              <w:t>defined in TS 37.355 [34]</w:t>
            </w:r>
            <w:r w:rsidRPr="006A7330">
              <w:rPr>
                <w:iCs/>
                <w:lang w:val="en-US"/>
              </w:rPr>
              <w:t>.</w:t>
            </w:r>
          </w:p>
          <w:p w14:paraId="66B686E4" w14:textId="77777777" w:rsidR="00CD3B3E" w:rsidRPr="006A7330" w:rsidRDefault="00CD3B3E" w:rsidP="00B406AC">
            <w:pPr>
              <w:pStyle w:val="TAN"/>
              <w:rPr>
                <w:lang w:eastAsia="ko-KR"/>
              </w:rPr>
            </w:pPr>
            <w:r w:rsidRPr="006A7330">
              <w:rPr>
                <w:lang w:eastAsia="ko-KR"/>
              </w:rPr>
              <w:t>NOTE 4:</w:t>
            </w:r>
            <w:r w:rsidRPr="006A7330">
              <w:rPr>
                <w:lang w:eastAsia="ko-KR"/>
              </w:rPr>
              <w:tab/>
              <w:t>The Io is defined in PRS slots. The same Io range applies to PRS and non-PRS symbols. Io levels are different in PRS and non-PRS symbols within the same slot.</w:t>
            </w:r>
          </w:p>
          <w:p w14:paraId="0361D5D0" w14:textId="77777777" w:rsidR="00CD3B3E" w:rsidRPr="006A7330" w:rsidRDefault="00CD3B3E" w:rsidP="00B406AC">
            <w:pPr>
              <w:pStyle w:val="TAN"/>
              <w:rPr>
                <w:lang w:eastAsia="ko-KR"/>
              </w:rPr>
            </w:pPr>
            <w:r w:rsidRPr="006A7330">
              <w:rPr>
                <w:lang w:eastAsia="ko-KR"/>
              </w:rPr>
              <w:t>N</w:t>
            </w:r>
            <w:r w:rsidRPr="006A7330">
              <w:t>OTE</w:t>
            </w:r>
            <w:r w:rsidRPr="006A7330">
              <w:rPr>
                <w:lang w:eastAsia="ko-KR"/>
              </w:rPr>
              <w:t xml:space="preserve"> 5:</w:t>
            </w:r>
            <w:r w:rsidRPr="006A7330">
              <w:rPr>
                <w:lang w:eastAsia="ko-KR"/>
              </w:rPr>
              <w:tab/>
              <w:t>Tc is the basic timing unit defined in TS 38.211 [6].</w:t>
            </w:r>
          </w:p>
          <w:p w14:paraId="5B543F23" w14:textId="77777777" w:rsidR="00CD3B3E" w:rsidRDefault="00CD3B3E" w:rsidP="00B406AC">
            <w:pPr>
              <w:pStyle w:val="TAN"/>
              <w:rPr>
                <w:lang w:eastAsia="ko-KR"/>
              </w:rPr>
            </w:pPr>
            <w:r w:rsidRPr="006A7330">
              <w:rPr>
                <w:lang w:eastAsia="ko-KR"/>
              </w:rPr>
              <w:t>NOTE 6:</w:t>
            </w:r>
            <w:r w:rsidRPr="006A7330">
              <w:rPr>
                <w:lang w:eastAsia="ko-KR"/>
              </w:rPr>
              <w:tab/>
              <w:t>The same bands and the same Io conditions for each band apply for this requirement as for the corresponding requirement with the PRS bandwidth of the smallest RB number for the corresponding SCS.</w:t>
            </w:r>
          </w:p>
          <w:p w14:paraId="4A0712DB" w14:textId="77777777" w:rsidR="00CD3B3E" w:rsidRPr="006A7330" w:rsidRDefault="00CD3B3E" w:rsidP="00B406AC">
            <w:pPr>
              <w:pStyle w:val="TAN"/>
              <w:rPr>
                <w:lang w:eastAsia="ko-KR"/>
              </w:rPr>
            </w:pPr>
            <w:r>
              <w:rPr>
                <w:lang w:eastAsia="ko-KR"/>
              </w:rPr>
              <w:t>NOTE 7:</w:t>
            </w:r>
            <w:r w:rsidRPr="006A7330">
              <w:rPr>
                <w:lang w:eastAsia="ko-KR"/>
              </w:rPr>
              <w:t xml:space="preserve"> </w:t>
            </w:r>
            <w:r w:rsidRPr="006A7330">
              <w:rPr>
                <w:lang w:eastAsia="ko-KR"/>
              </w:rPr>
              <w:tab/>
            </w:r>
            <w:r w:rsidRPr="006A7330">
              <w:rPr>
                <w:lang w:eastAsia="ko-KR"/>
              </w:rPr>
              <w:tab/>
            </w:r>
            <w:r w:rsidRPr="006A7330">
              <w:rPr>
                <w:rFonts w:cs="Arial"/>
                <w:szCs w:val="18"/>
                <w:lang w:eastAsia="ko-KR"/>
              </w:rPr>
              <w:sym w:font="Symbol" w:char="F064"/>
            </w:r>
            <w:r>
              <w:rPr>
                <w:rFonts w:cs="Arial"/>
                <w:szCs w:val="18"/>
                <w:lang w:eastAsia="ko-KR"/>
              </w:rPr>
              <w:t xml:space="preserve"> is the margin determined from Table 10.1.25.2-6.</w:t>
            </w:r>
          </w:p>
        </w:tc>
      </w:tr>
    </w:tbl>
    <w:p w14:paraId="0984895E" w14:textId="77777777" w:rsidR="00CD3B3E" w:rsidRDefault="00CD3B3E" w:rsidP="00CD3B3E">
      <w:pPr>
        <w:ind w:left="568" w:hanging="284"/>
        <w:rPr>
          <w:rFonts w:ascii="Tms Rmn" w:hAnsi="Tms Rmn"/>
          <w:lang w:val="en-US"/>
        </w:rPr>
      </w:pPr>
    </w:p>
    <w:p w14:paraId="48935504" w14:textId="77777777" w:rsidR="00F32113" w:rsidRPr="006B6398" w:rsidRDefault="00F32113" w:rsidP="00F32113">
      <w:r w:rsidRPr="006B6398">
        <w:t>The accuracy requirements in Table 10.1.25.2-3a for FR2 are valid under the following conditions:</w:t>
      </w:r>
    </w:p>
    <w:p w14:paraId="57314D06" w14:textId="77777777" w:rsidR="00F32113" w:rsidRPr="006B6398" w:rsidRDefault="00F32113" w:rsidP="00F32113">
      <w:r w:rsidRPr="006B6398">
        <w:t>Conditions defined in clause 7.3 of TS 38.101-2 [19] for reference sensitivity are fulfilled.</w:t>
      </w:r>
    </w:p>
    <w:p w14:paraId="1964BF77" w14:textId="77777777" w:rsidR="00F32113" w:rsidRPr="006B6398" w:rsidRDefault="00F32113" w:rsidP="00F32113">
      <w:pPr>
        <w:ind w:left="568" w:hanging="284"/>
      </w:pPr>
      <w:r w:rsidRPr="006B6398">
        <w:t>PRP|</w:t>
      </w:r>
      <w:r w:rsidRPr="006B6398">
        <w:rPr>
          <w:vertAlign w:val="subscript"/>
        </w:rPr>
        <w:t>dBm</w:t>
      </w:r>
      <w:r w:rsidRPr="006B6398">
        <w:t xml:space="preserve"> according to Annex B.2.14 for a corresponding Band </w:t>
      </w:r>
    </w:p>
    <w:p w14:paraId="4911FB5E" w14:textId="77777777" w:rsidR="00F32113" w:rsidRPr="006B6398" w:rsidRDefault="00F32113" w:rsidP="00F32113">
      <w:pPr>
        <w:ind w:left="568" w:hanging="284"/>
      </w:pPr>
      <w:r w:rsidRPr="006B6398">
        <w:t>Number of measurement samples is less than 4</w:t>
      </w:r>
    </w:p>
    <w:p w14:paraId="51E51565" w14:textId="77777777" w:rsidR="00F32113" w:rsidRPr="006B6398" w:rsidRDefault="00F32113" w:rsidP="008A7648">
      <w:pPr>
        <w:ind w:left="568" w:hanging="284"/>
      </w:pPr>
      <w:r w:rsidRPr="006B6398">
        <w:t>AWGN propagation condition.</w:t>
      </w:r>
    </w:p>
    <w:p w14:paraId="634C7548" w14:textId="77777777" w:rsidR="001E7112" w:rsidRPr="00F8474E" w:rsidRDefault="001E7112" w:rsidP="001E7112">
      <w:pPr>
        <w:pStyle w:val="TH"/>
      </w:pPr>
      <w:r w:rsidRPr="00F8474E">
        <w:t>Table 10.1.25.2-3a: UE Rx-Tx time difference measurement accuracy in FR2 in AWGN with reduced measurement samples</w:t>
      </w:r>
    </w:p>
    <w:tbl>
      <w:tblPr>
        <w:tblW w:w="10200" w:type="dxa"/>
        <w:jc w:val="center"/>
        <w:tblLayout w:type="fixed"/>
        <w:tblLook w:val="01E0" w:firstRow="1" w:lastRow="1" w:firstColumn="1" w:lastColumn="1" w:noHBand="0" w:noVBand="0"/>
      </w:tblPr>
      <w:tblGrid>
        <w:gridCol w:w="1133"/>
        <w:gridCol w:w="851"/>
        <w:gridCol w:w="1133"/>
        <w:gridCol w:w="845"/>
        <w:gridCol w:w="1422"/>
        <w:gridCol w:w="3258"/>
        <w:gridCol w:w="1558"/>
      </w:tblGrid>
      <w:tr w:rsidR="001E7112" w:rsidRPr="00F8474E" w14:paraId="7A4E9E5C" w14:textId="77777777" w:rsidTr="00FA482E">
        <w:trPr>
          <w:jc w:val="center"/>
        </w:trPr>
        <w:tc>
          <w:tcPr>
            <w:tcW w:w="1133" w:type="dxa"/>
            <w:vMerge w:val="restart"/>
            <w:tcBorders>
              <w:top w:val="single" w:sz="4" w:space="0" w:color="auto"/>
              <w:left w:val="single" w:sz="4" w:space="0" w:color="auto"/>
              <w:bottom w:val="single" w:sz="6" w:space="0" w:color="auto"/>
              <w:right w:val="single" w:sz="6" w:space="0" w:color="auto"/>
            </w:tcBorders>
            <w:vAlign w:val="center"/>
            <w:hideMark/>
          </w:tcPr>
          <w:p w14:paraId="073C3542" w14:textId="77777777" w:rsidR="001E7112" w:rsidRPr="00F8474E" w:rsidRDefault="001E7112" w:rsidP="001E7112">
            <w:pPr>
              <w:pStyle w:val="TAH"/>
            </w:pPr>
            <w:r w:rsidRPr="00F8474E">
              <w:t>Accuracy</w:t>
            </w:r>
          </w:p>
        </w:tc>
        <w:tc>
          <w:tcPr>
            <w:tcW w:w="9067" w:type="dxa"/>
            <w:gridSpan w:val="6"/>
            <w:tcBorders>
              <w:top w:val="single" w:sz="4" w:space="0" w:color="auto"/>
              <w:left w:val="single" w:sz="6" w:space="0" w:color="auto"/>
              <w:bottom w:val="single" w:sz="6" w:space="0" w:color="auto"/>
              <w:right w:val="single" w:sz="4" w:space="0" w:color="auto"/>
            </w:tcBorders>
            <w:hideMark/>
          </w:tcPr>
          <w:p w14:paraId="2BD3E03F" w14:textId="77777777" w:rsidR="001E7112" w:rsidRPr="00F8474E" w:rsidRDefault="001E7112" w:rsidP="001E7112">
            <w:pPr>
              <w:pStyle w:val="TAH"/>
            </w:pPr>
            <w:r w:rsidRPr="00F8474E">
              <w:t>Conditions</w:t>
            </w:r>
          </w:p>
        </w:tc>
      </w:tr>
      <w:tr w:rsidR="001E7112" w:rsidRPr="00F8474E" w14:paraId="530550E0" w14:textId="77777777" w:rsidTr="00FA482E">
        <w:trPr>
          <w:jc w:val="center"/>
        </w:trPr>
        <w:tc>
          <w:tcPr>
            <w:tcW w:w="10200" w:type="dxa"/>
            <w:vMerge/>
            <w:tcBorders>
              <w:top w:val="single" w:sz="4" w:space="0" w:color="auto"/>
              <w:left w:val="single" w:sz="4" w:space="0" w:color="auto"/>
              <w:bottom w:val="single" w:sz="6" w:space="0" w:color="auto"/>
              <w:right w:val="single" w:sz="6" w:space="0" w:color="auto"/>
            </w:tcBorders>
            <w:vAlign w:val="center"/>
            <w:hideMark/>
          </w:tcPr>
          <w:p w14:paraId="351E2895" w14:textId="77777777" w:rsidR="001E7112" w:rsidRPr="00F8474E" w:rsidRDefault="001E7112" w:rsidP="001E7112">
            <w:pPr>
              <w:pStyle w:val="TAH"/>
            </w:pPr>
          </w:p>
        </w:tc>
        <w:tc>
          <w:tcPr>
            <w:tcW w:w="851" w:type="dxa"/>
            <w:vMerge w:val="restart"/>
            <w:tcBorders>
              <w:top w:val="single" w:sz="6" w:space="0" w:color="auto"/>
              <w:left w:val="single" w:sz="6" w:space="0" w:color="auto"/>
              <w:bottom w:val="single" w:sz="6" w:space="0" w:color="auto"/>
              <w:right w:val="single" w:sz="6" w:space="0" w:color="auto"/>
            </w:tcBorders>
            <w:vAlign w:val="center"/>
            <w:hideMark/>
          </w:tcPr>
          <w:p w14:paraId="6107AB07" w14:textId="77777777" w:rsidR="001E7112" w:rsidRPr="00F8474E" w:rsidRDefault="001E7112" w:rsidP="001E7112">
            <w:pPr>
              <w:pStyle w:val="TAH"/>
            </w:pPr>
            <w:r w:rsidRPr="00F8474E">
              <w:t>PRS Ês/Iot</w:t>
            </w:r>
          </w:p>
        </w:tc>
        <w:tc>
          <w:tcPr>
            <w:tcW w:w="1133" w:type="dxa"/>
            <w:vMerge w:val="restart"/>
            <w:tcBorders>
              <w:top w:val="single" w:sz="6" w:space="0" w:color="auto"/>
              <w:left w:val="single" w:sz="6" w:space="0" w:color="auto"/>
              <w:bottom w:val="single" w:sz="6" w:space="0" w:color="auto"/>
              <w:right w:val="single" w:sz="6" w:space="0" w:color="auto"/>
            </w:tcBorders>
            <w:vAlign w:val="center"/>
            <w:hideMark/>
          </w:tcPr>
          <w:p w14:paraId="7E390FA5" w14:textId="77777777" w:rsidR="001E7112" w:rsidRPr="00F8474E" w:rsidRDefault="001E7112" w:rsidP="001E7112">
            <w:pPr>
              <w:pStyle w:val="TAH"/>
            </w:pPr>
            <w:r w:rsidRPr="00F8474E">
              <w:t>Minimum PRS bandwidth</w:t>
            </w:r>
          </w:p>
        </w:tc>
        <w:tc>
          <w:tcPr>
            <w:tcW w:w="845" w:type="dxa"/>
            <w:vMerge w:val="restart"/>
            <w:tcBorders>
              <w:top w:val="single" w:sz="6" w:space="0" w:color="auto"/>
              <w:left w:val="single" w:sz="6" w:space="0" w:color="auto"/>
              <w:bottom w:val="single" w:sz="6" w:space="0" w:color="auto"/>
              <w:right w:val="single" w:sz="6" w:space="0" w:color="auto"/>
            </w:tcBorders>
          </w:tcPr>
          <w:p w14:paraId="6E1A208E" w14:textId="77777777" w:rsidR="001E7112" w:rsidRPr="00F8474E" w:rsidRDefault="001E7112" w:rsidP="001E7112">
            <w:pPr>
              <w:pStyle w:val="TAH"/>
            </w:pPr>
          </w:p>
          <w:p w14:paraId="7B5FCBE9" w14:textId="77777777" w:rsidR="001E7112" w:rsidRPr="00F8474E" w:rsidRDefault="001E7112" w:rsidP="001E7112">
            <w:pPr>
              <w:pStyle w:val="TAH"/>
            </w:pPr>
            <w:r w:rsidRPr="00F8474E">
              <w:t>PRS SCS</w:t>
            </w:r>
          </w:p>
        </w:tc>
        <w:tc>
          <w:tcPr>
            <w:tcW w:w="1422" w:type="dxa"/>
            <w:vMerge w:val="restart"/>
            <w:tcBorders>
              <w:top w:val="single" w:sz="6" w:space="0" w:color="auto"/>
              <w:left w:val="single" w:sz="6" w:space="0" w:color="auto"/>
              <w:bottom w:val="single" w:sz="6" w:space="0" w:color="auto"/>
              <w:right w:val="single" w:sz="6" w:space="0" w:color="auto"/>
            </w:tcBorders>
            <w:vAlign w:val="center"/>
            <w:hideMark/>
          </w:tcPr>
          <w:p w14:paraId="251EB23E" w14:textId="77777777" w:rsidR="001E7112" w:rsidRPr="00F8474E" w:rsidRDefault="001E7112" w:rsidP="001E7112">
            <w:pPr>
              <w:pStyle w:val="TAH"/>
              <w:rPr>
                <w:lang w:eastAsia="zh-CN"/>
              </w:rPr>
            </w:pPr>
            <w:r w:rsidRPr="00F8474E">
              <w:rPr>
                <w:lang w:eastAsia="zh-CN"/>
              </w:rPr>
              <w:t>PRS resource repetition</w:t>
            </w:r>
            <m:oMath>
              <m:sSubSup>
                <m:sSubSupPr>
                  <m:ctrlPr>
                    <w:rPr>
                      <w:rFonts w:ascii="Cambria Math" w:hAnsi="Cambria Math"/>
                      <w:i/>
                      <w:szCs w:val="18"/>
                    </w:rPr>
                  </m:ctrlPr>
                </m:sSubSupPr>
                <m:e>
                  <m:r>
                    <m:rPr>
                      <m:sty m:val="bi"/>
                    </m:rPr>
                    <w:rPr>
                      <w:rFonts w:ascii="Cambria Math" w:hAnsi="Cambria Math"/>
                    </w:rPr>
                    <m:t>(T</m:t>
                  </m:r>
                </m:e>
                <m:sub>
                  <m:r>
                    <m:rPr>
                      <m:sty m:val="b"/>
                    </m:rPr>
                    <w:rPr>
                      <w:rFonts w:ascii="Cambria Math" w:hAnsi="Cambria Math"/>
                    </w:rPr>
                    <m:t>rep</m:t>
                  </m:r>
                </m:sub>
                <m:sup>
                  <m:r>
                    <m:rPr>
                      <m:sty m:val="b"/>
                    </m:rPr>
                    <w:rPr>
                      <w:rFonts w:ascii="Cambria Math" w:hAnsi="Cambria Math"/>
                    </w:rPr>
                    <m:t>PRS</m:t>
                  </m:r>
                </m:sup>
              </m:sSubSup>
              <m:r>
                <m:rPr>
                  <m:sty m:val="bi"/>
                </m:rPr>
                <w:rPr>
                  <w:rFonts w:ascii="Cambria Math" w:hAnsi="Cambria Math"/>
                </w:rPr>
                <m:t>*</m:t>
              </m:r>
              <m:sSub>
                <m:sSubPr>
                  <m:ctrlPr>
                    <w:rPr>
                      <w:rFonts w:ascii="Cambria Math" w:hAnsi="Cambria Math"/>
                      <w:szCs w:val="18"/>
                    </w:rPr>
                  </m:ctrlPr>
                </m:sSubPr>
                <m:e>
                  <m:r>
                    <m:rPr>
                      <m:sty m:val="bi"/>
                    </m:rPr>
                    <w:rPr>
                      <w:rFonts w:ascii="Cambria Math" w:hAnsi="Cambria Math"/>
                    </w:rPr>
                    <m:t>L</m:t>
                  </m:r>
                </m:e>
                <m:sub>
                  <m:r>
                    <m:rPr>
                      <m:sty m:val="b"/>
                    </m:rPr>
                    <w:rPr>
                      <w:rFonts w:ascii="Cambria Math" w:hAnsi="Cambria Math"/>
                    </w:rPr>
                    <m:t>PRS</m:t>
                  </m:r>
                </m:sub>
              </m:sSub>
              <m:r>
                <m:rPr>
                  <m:sty m:val="bi"/>
                </m:rPr>
                <w:rPr>
                  <w:rFonts w:ascii="Cambria Math" w:hAnsi="Cambria Math"/>
                </w:rPr>
                <m:t>/</m:t>
              </m:r>
              <m:sSubSup>
                <m:sSubSupPr>
                  <m:ctrlPr>
                    <w:rPr>
                      <w:rFonts w:ascii="Cambria Math" w:hAnsi="Cambria Math"/>
                      <w:i/>
                      <w:szCs w:val="18"/>
                    </w:rPr>
                  </m:ctrlPr>
                </m:sSubSupPr>
                <m:e>
                  <m:r>
                    <m:rPr>
                      <m:sty m:val="bi"/>
                    </m:rPr>
                    <w:rPr>
                      <w:rFonts w:ascii="Cambria Math" w:hAnsi="Cambria Math"/>
                    </w:rPr>
                    <m:t>K</m:t>
                  </m:r>
                </m:e>
                <m:sub>
                  <m:r>
                    <m:rPr>
                      <m:sty m:val="b"/>
                    </m:rPr>
                    <w:rPr>
                      <w:rFonts w:ascii="Cambria Math" w:hAnsi="Cambria Math"/>
                    </w:rPr>
                    <m:t>comb</m:t>
                  </m:r>
                </m:sub>
                <m:sup>
                  <m:r>
                    <m:rPr>
                      <m:sty m:val="b"/>
                    </m:rPr>
                    <w:rPr>
                      <w:rFonts w:ascii="Cambria Math" w:hAnsi="Cambria Math"/>
                    </w:rPr>
                    <m:t>PRS</m:t>
                  </m:r>
                </m:sup>
              </m:sSubSup>
            </m:oMath>
            <w:r w:rsidRPr="00F8474E">
              <w:rPr>
                <w:vertAlign w:val="superscript"/>
              </w:rPr>
              <w:t>Note 3</w:t>
            </w:r>
          </w:p>
        </w:tc>
        <w:tc>
          <w:tcPr>
            <w:tcW w:w="4816" w:type="dxa"/>
            <w:gridSpan w:val="2"/>
            <w:tcBorders>
              <w:top w:val="single" w:sz="6" w:space="0" w:color="auto"/>
              <w:left w:val="single" w:sz="6" w:space="0" w:color="auto"/>
              <w:bottom w:val="single" w:sz="6" w:space="0" w:color="auto"/>
              <w:right w:val="single" w:sz="4" w:space="0" w:color="auto"/>
            </w:tcBorders>
            <w:vAlign w:val="center"/>
            <w:hideMark/>
          </w:tcPr>
          <w:p w14:paraId="25A8AD19" w14:textId="77777777" w:rsidR="001E7112" w:rsidRPr="00F8474E" w:rsidRDefault="001E7112" w:rsidP="001E7112">
            <w:pPr>
              <w:pStyle w:val="TAH"/>
            </w:pPr>
            <w:r w:rsidRPr="00F8474E">
              <w:t>Io</w:t>
            </w:r>
            <w:r w:rsidRPr="00F8474E">
              <w:rPr>
                <w:vertAlign w:val="superscript"/>
                <w:lang w:eastAsia="zh-CN"/>
              </w:rPr>
              <w:t>Note 4</w:t>
            </w:r>
            <w:r w:rsidRPr="00F8474E">
              <w:t xml:space="preserve"> range</w:t>
            </w:r>
          </w:p>
        </w:tc>
      </w:tr>
      <w:tr w:rsidR="001E7112" w:rsidRPr="00F8474E" w14:paraId="7BEB19C5" w14:textId="77777777" w:rsidTr="00FA482E">
        <w:trPr>
          <w:trHeight w:val="822"/>
          <w:jc w:val="center"/>
        </w:trPr>
        <w:tc>
          <w:tcPr>
            <w:tcW w:w="10200" w:type="dxa"/>
            <w:vMerge/>
            <w:tcBorders>
              <w:top w:val="single" w:sz="4" w:space="0" w:color="auto"/>
              <w:left w:val="single" w:sz="4" w:space="0" w:color="auto"/>
              <w:bottom w:val="single" w:sz="6" w:space="0" w:color="auto"/>
              <w:right w:val="single" w:sz="6" w:space="0" w:color="auto"/>
            </w:tcBorders>
            <w:vAlign w:val="center"/>
            <w:hideMark/>
          </w:tcPr>
          <w:p w14:paraId="0DFC9571" w14:textId="77777777" w:rsidR="001E7112" w:rsidRPr="00F8474E" w:rsidRDefault="001E7112" w:rsidP="001E7112">
            <w:pPr>
              <w:pStyle w:val="TAH"/>
            </w:pPr>
          </w:p>
        </w:tc>
        <w:tc>
          <w:tcPr>
            <w:tcW w:w="9067" w:type="dxa"/>
            <w:vMerge/>
            <w:tcBorders>
              <w:top w:val="single" w:sz="6" w:space="0" w:color="auto"/>
              <w:left w:val="single" w:sz="6" w:space="0" w:color="auto"/>
              <w:bottom w:val="single" w:sz="6" w:space="0" w:color="auto"/>
              <w:right w:val="single" w:sz="6" w:space="0" w:color="auto"/>
            </w:tcBorders>
            <w:vAlign w:val="center"/>
            <w:hideMark/>
          </w:tcPr>
          <w:p w14:paraId="2DFDD164" w14:textId="77777777" w:rsidR="001E7112" w:rsidRPr="00F8474E" w:rsidRDefault="001E7112" w:rsidP="001E7112">
            <w:pPr>
              <w:pStyle w:val="TAH"/>
            </w:pPr>
          </w:p>
        </w:tc>
        <w:tc>
          <w:tcPr>
            <w:tcW w:w="1133" w:type="dxa"/>
            <w:vMerge/>
            <w:tcBorders>
              <w:top w:val="single" w:sz="6" w:space="0" w:color="auto"/>
              <w:left w:val="single" w:sz="6" w:space="0" w:color="auto"/>
              <w:bottom w:val="single" w:sz="6" w:space="0" w:color="auto"/>
              <w:right w:val="single" w:sz="6" w:space="0" w:color="auto"/>
            </w:tcBorders>
            <w:vAlign w:val="center"/>
            <w:hideMark/>
          </w:tcPr>
          <w:p w14:paraId="7D56ABC9" w14:textId="77777777" w:rsidR="001E7112" w:rsidRPr="00F8474E" w:rsidRDefault="001E7112" w:rsidP="001E7112">
            <w:pPr>
              <w:pStyle w:val="TAH"/>
            </w:pPr>
          </w:p>
        </w:tc>
        <w:tc>
          <w:tcPr>
            <w:tcW w:w="845" w:type="dxa"/>
            <w:vMerge/>
            <w:tcBorders>
              <w:top w:val="single" w:sz="6" w:space="0" w:color="auto"/>
              <w:left w:val="single" w:sz="6" w:space="0" w:color="auto"/>
              <w:bottom w:val="single" w:sz="6" w:space="0" w:color="auto"/>
              <w:right w:val="single" w:sz="6" w:space="0" w:color="auto"/>
            </w:tcBorders>
            <w:vAlign w:val="center"/>
            <w:hideMark/>
          </w:tcPr>
          <w:p w14:paraId="010942A6" w14:textId="77777777" w:rsidR="001E7112" w:rsidRPr="00F8474E" w:rsidRDefault="001E7112" w:rsidP="001E7112">
            <w:pPr>
              <w:pStyle w:val="TAH"/>
            </w:pPr>
          </w:p>
        </w:tc>
        <w:tc>
          <w:tcPr>
            <w:tcW w:w="1422" w:type="dxa"/>
            <w:vMerge/>
            <w:tcBorders>
              <w:top w:val="single" w:sz="6" w:space="0" w:color="auto"/>
              <w:left w:val="single" w:sz="6" w:space="0" w:color="auto"/>
              <w:bottom w:val="single" w:sz="6" w:space="0" w:color="auto"/>
              <w:right w:val="single" w:sz="6" w:space="0" w:color="auto"/>
            </w:tcBorders>
            <w:vAlign w:val="center"/>
            <w:hideMark/>
          </w:tcPr>
          <w:p w14:paraId="5B4E7AE6" w14:textId="77777777" w:rsidR="001E7112" w:rsidRPr="00F8474E" w:rsidRDefault="001E7112" w:rsidP="001E7112">
            <w:pPr>
              <w:pStyle w:val="TAH"/>
              <w:rPr>
                <w:lang w:eastAsia="zh-CN"/>
              </w:rPr>
            </w:pPr>
          </w:p>
        </w:tc>
        <w:tc>
          <w:tcPr>
            <w:tcW w:w="3258" w:type="dxa"/>
            <w:tcBorders>
              <w:top w:val="single" w:sz="6" w:space="0" w:color="auto"/>
              <w:left w:val="single" w:sz="6" w:space="0" w:color="auto"/>
              <w:bottom w:val="single" w:sz="6" w:space="0" w:color="auto"/>
              <w:right w:val="single" w:sz="6" w:space="0" w:color="auto"/>
            </w:tcBorders>
            <w:vAlign w:val="center"/>
            <w:hideMark/>
          </w:tcPr>
          <w:p w14:paraId="6CCDA3EB" w14:textId="77777777" w:rsidR="001E7112" w:rsidRPr="00F8474E" w:rsidRDefault="001E7112" w:rsidP="001E7112">
            <w:pPr>
              <w:pStyle w:val="TAH"/>
            </w:pPr>
            <w:r w:rsidRPr="00F8474E">
              <w:t>Minimum</w:t>
            </w:r>
            <w:r w:rsidRPr="00F8474E">
              <w:br/>
              <w:t>Io</w:t>
            </w:r>
            <w:r w:rsidRPr="00F8474E">
              <w:rPr>
                <w:vertAlign w:val="superscript"/>
              </w:rPr>
              <w:t>Note 1</w:t>
            </w:r>
          </w:p>
        </w:tc>
        <w:tc>
          <w:tcPr>
            <w:tcW w:w="1558" w:type="dxa"/>
            <w:tcBorders>
              <w:top w:val="single" w:sz="6" w:space="0" w:color="auto"/>
              <w:left w:val="single" w:sz="6" w:space="0" w:color="auto"/>
              <w:bottom w:val="single" w:sz="6" w:space="0" w:color="auto"/>
              <w:right w:val="single" w:sz="4" w:space="0" w:color="auto"/>
            </w:tcBorders>
            <w:vAlign w:val="center"/>
            <w:hideMark/>
          </w:tcPr>
          <w:p w14:paraId="281655EC" w14:textId="77777777" w:rsidR="001E7112" w:rsidRPr="00F8474E" w:rsidRDefault="001E7112" w:rsidP="001E7112">
            <w:pPr>
              <w:pStyle w:val="TAH"/>
            </w:pPr>
            <w:r w:rsidRPr="00F8474E">
              <w:t>Maximum</w:t>
            </w:r>
            <w:r w:rsidRPr="00F8474E">
              <w:br/>
              <w:t>Io</w:t>
            </w:r>
          </w:p>
        </w:tc>
      </w:tr>
      <w:tr w:rsidR="001E7112" w:rsidRPr="00F8474E" w14:paraId="0DB41E1A" w14:textId="77777777" w:rsidTr="00FA482E">
        <w:trPr>
          <w:trHeight w:val="279"/>
          <w:jc w:val="center"/>
        </w:trPr>
        <w:tc>
          <w:tcPr>
            <w:tcW w:w="1133" w:type="dxa"/>
            <w:tcBorders>
              <w:top w:val="single" w:sz="6" w:space="0" w:color="auto"/>
              <w:left w:val="single" w:sz="4" w:space="0" w:color="auto"/>
              <w:bottom w:val="nil"/>
              <w:right w:val="single" w:sz="6" w:space="0" w:color="auto"/>
            </w:tcBorders>
            <w:vAlign w:val="center"/>
            <w:hideMark/>
          </w:tcPr>
          <w:p w14:paraId="05488F02" w14:textId="77777777" w:rsidR="001E7112" w:rsidRPr="00F8474E" w:rsidRDefault="001E7112" w:rsidP="001E7112">
            <w:pPr>
              <w:pStyle w:val="TAH"/>
            </w:pPr>
            <w:r w:rsidRPr="00F8474E">
              <w:t>Tc</w:t>
            </w:r>
            <w:r w:rsidRPr="00F8474E">
              <w:rPr>
                <w:vertAlign w:val="superscript"/>
                <w:lang w:eastAsia="zh-CN"/>
              </w:rPr>
              <w:t>Note 5</w:t>
            </w:r>
          </w:p>
        </w:tc>
        <w:tc>
          <w:tcPr>
            <w:tcW w:w="851" w:type="dxa"/>
            <w:tcBorders>
              <w:top w:val="single" w:sz="6" w:space="0" w:color="auto"/>
              <w:left w:val="single" w:sz="6" w:space="0" w:color="auto"/>
              <w:bottom w:val="single" w:sz="4" w:space="0" w:color="auto"/>
              <w:right w:val="single" w:sz="6" w:space="0" w:color="auto"/>
            </w:tcBorders>
            <w:vAlign w:val="center"/>
            <w:hideMark/>
          </w:tcPr>
          <w:p w14:paraId="4BA2FDB1" w14:textId="77777777" w:rsidR="001E7112" w:rsidRPr="00F8474E" w:rsidRDefault="001E7112" w:rsidP="001E7112">
            <w:pPr>
              <w:pStyle w:val="TAH"/>
            </w:pPr>
            <w:r w:rsidRPr="00F8474E">
              <w:t>dB</w:t>
            </w:r>
          </w:p>
        </w:tc>
        <w:tc>
          <w:tcPr>
            <w:tcW w:w="1133" w:type="dxa"/>
            <w:tcBorders>
              <w:top w:val="single" w:sz="6" w:space="0" w:color="auto"/>
              <w:left w:val="single" w:sz="6" w:space="0" w:color="auto"/>
              <w:bottom w:val="nil"/>
              <w:right w:val="single" w:sz="6" w:space="0" w:color="auto"/>
            </w:tcBorders>
            <w:vAlign w:val="center"/>
            <w:hideMark/>
          </w:tcPr>
          <w:p w14:paraId="46EB5175" w14:textId="77777777" w:rsidR="001E7112" w:rsidRPr="00F8474E" w:rsidRDefault="001E7112" w:rsidP="001E7112">
            <w:pPr>
              <w:pStyle w:val="TAH"/>
            </w:pPr>
            <w:r w:rsidRPr="00F8474E">
              <w:t>RB</w:t>
            </w:r>
          </w:p>
        </w:tc>
        <w:tc>
          <w:tcPr>
            <w:tcW w:w="845" w:type="dxa"/>
            <w:tcBorders>
              <w:top w:val="single" w:sz="6" w:space="0" w:color="auto"/>
              <w:left w:val="single" w:sz="6" w:space="0" w:color="auto"/>
              <w:bottom w:val="single" w:sz="4" w:space="0" w:color="auto"/>
              <w:right w:val="single" w:sz="6" w:space="0" w:color="auto"/>
            </w:tcBorders>
            <w:hideMark/>
          </w:tcPr>
          <w:p w14:paraId="4CA0CD65" w14:textId="77777777" w:rsidR="001E7112" w:rsidRPr="00F8474E" w:rsidRDefault="001E7112" w:rsidP="001E7112">
            <w:pPr>
              <w:pStyle w:val="TAH"/>
            </w:pPr>
            <w:r w:rsidRPr="00F8474E">
              <w:t>kHz</w:t>
            </w:r>
          </w:p>
        </w:tc>
        <w:tc>
          <w:tcPr>
            <w:tcW w:w="1422" w:type="dxa"/>
            <w:tcBorders>
              <w:top w:val="single" w:sz="6" w:space="0" w:color="auto"/>
              <w:left w:val="single" w:sz="6" w:space="0" w:color="auto"/>
              <w:bottom w:val="nil"/>
              <w:right w:val="single" w:sz="6" w:space="0" w:color="auto"/>
            </w:tcBorders>
            <w:vAlign w:val="center"/>
          </w:tcPr>
          <w:p w14:paraId="4FF47801" w14:textId="77777777" w:rsidR="001E7112" w:rsidRPr="00F8474E" w:rsidRDefault="001E7112" w:rsidP="001E7112">
            <w:pPr>
              <w:pStyle w:val="TAH"/>
            </w:pPr>
          </w:p>
        </w:tc>
        <w:tc>
          <w:tcPr>
            <w:tcW w:w="3258" w:type="dxa"/>
            <w:tcBorders>
              <w:top w:val="single" w:sz="6" w:space="0" w:color="auto"/>
              <w:left w:val="single" w:sz="6" w:space="0" w:color="auto"/>
              <w:bottom w:val="single" w:sz="4" w:space="0" w:color="auto"/>
              <w:right w:val="single" w:sz="6" w:space="0" w:color="auto"/>
            </w:tcBorders>
            <w:vAlign w:val="center"/>
            <w:hideMark/>
          </w:tcPr>
          <w:p w14:paraId="70AC8FCF" w14:textId="77777777" w:rsidR="001E7112" w:rsidRPr="00F8474E" w:rsidRDefault="001E7112" w:rsidP="001E7112">
            <w:pPr>
              <w:pStyle w:val="TAH"/>
            </w:pPr>
            <w:r w:rsidRPr="00F8474E">
              <w:t>dBm / SCS</w:t>
            </w:r>
            <w:r w:rsidRPr="00F8474E">
              <w:rPr>
                <w:vertAlign w:val="subscript"/>
              </w:rPr>
              <w:t>PRS</w:t>
            </w:r>
          </w:p>
        </w:tc>
        <w:tc>
          <w:tcPr>
            <w:tcW w:w="1558" w:type="dxa"/>
            <w:tcBorders>
              <w:top w:val="single" w:sz="6" w:space="0" w:color="auto"/>
              <w:left w:val="single" w:sz="6" w:space="0" w:color="auto"/>
              <w:bottom w:val="nil"/>
              <w:right w:val="single" w:sz="4" w:space="0" w:color="auto"/>
            </w:tcBorders>
            <w:vAlign w:val="center"/>
            <w:hideMark/>
          </w:tcPr>
          <w:p w14:paraId="2715E30C" w14:textId="77777777" w:rsidR="001E7112" w:rsidRPr="00F8474E" w:rsidRDefault="001E7112" w:rsidP="001E7112">
            <w:pPr>
              <w:pStyle w:val="TAH"/>
            </w:pPr>
            <w:r w:rsidRPr="00F8474E">
              <w:t>dBm/BW</w:t>
            </w:r>
            <w:r w:rsidRPr="00F8474E">
              <w:rPr>
                <w:vertAlign w:val="subscript"/>
              </w:rPr>
              <w:t>Channel</w:t>
            </w:r>
          </w:p>
        </w:tc>
      </w:tr>
      <w:tr w:rsidR="001E7112" w:rsidRPr="00F8474E" w14:paraId="00565648"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51F37DA6" w14:textId="1D177BBB" w:rsidR="001E7112" w:rsidRPr="00F8474E" w:rsidRDefault="001E7112" w:rsidP="001E7112">
            <w:pPr>
              <w:pStyle w:val="TAC"/>
              <w:rPr>
                <w:lang w:eastAsia="zh-CN"/>
              </w:rPr>
            </w:pPr>
            <w:r w:rsidRPr="00F8474E">
              <w:t>± 15+</w:t>
            </w:r>
            <w:r w:rsidRPr="00F8474E">
              <w:rPr>
                <w:lang w:eastAsia="ko-KR"/>
              </w:rPr>
              <w:sym w:font="Symbol" w:char="F064"/>
            </w:r>
          </w:p>
        </w:tc>
        <w:tc>
          <w:tcPr>
            <w:tcW w:w="851" w:type="dxa"/>
            <w:tcBorders>
              <w:top w:val="single" w:sz="4" w:space="0" w:color="auto"/>
              <w:left w:val="single" w:sz="6" w:space="0" w:color="auto"/>
              <w:bottom w:val="nil"/>
              <w:right w:val="single" w:sz="6" w:space="0" w:color="auto"/>
            </w:tcBorders>
            <w:hideMark/>
          </w:tcPr>
          <w:p w14:paraId="0528179C" w14:textId="77777777" w:rsidR="001E7112" w:rsidRPr="00F8474E" w:rsidRDefault="001E7112" w:rsidP="001E7112">
            <w:pPr>
              <w:pStyle w:val="TAC"/>
              <w:rPr>
                <w:lang w:val="sv-SE"/>
              </w:rPr>
            </w:pPr>
            <w:r w:rsidRPr="00F8474E">
              <w:rPr>
                <w:lang w:val="sv-SE"/>
              </w:rPr>
              <w:t>0</w:t>
            </w:r>
          </w:p>
        </w:tc>
        <w:tc>
          <w:tcPr>
            <w:tcW w:w="1133" w:type="dxa"/>
            <w:tcBorders>
              <w:top w:val="single" w:sz="6" w:space="0" w:color="auto"/>
              <w:left w:val="single" w:sz="6" w:space="0" w:color="auto"/>
              <w:bottom w:val="nil"/>
              <w:right w:val="single" w:sz="6" w:space="0" w:color="auto"/>
            </w:tcBorders>
            <w:hideMark/>
          </w:tcPr>
          <w:p w14:paraId="6E1E6807" w14:textId="7AE3848A" w:rsidR="001E7112" w:rsidRPr="00F8474E" w:rsidRDefault="001E7112" w:rsidP="001E7112">
            <w:pPr>
              <w:pStyle w:val="TAC"/>
              <w:rPr>
                <w:lang w:eastAsia="zh-CN"/>
              </w:rPr>
            </w:pPr>
            <w:r w:rsidRPr="00F8474E">
              <w:rPr>
                <w:rFonts w:cs="Calibri"/>
              </w:rPr>
              <w:t>≥</w:t>
            </w:r>
            <w:r w:rsidRPr="00F8474E">
              <w:t>64</w:t>
            </w:r>
          </w:p>
        </w:tc>
        <w:tc>
          <w:tcPr>
            <w:tcW w:w="845" w:type="dxa"/>
            <w:tcBorders>
              <w:top w:val="single" w:sz="4" w:space="0" w:color="auto"/>
              <w:left w:val="single" w:sz="6" w:space="0" w:color="auto"/>
              <w:bottom w:val="nil"/>
              <w:right w:val="single" w:sz="6" w:space="0" w:color="auto"/>
            </w:tcBorders>
            <w:hideMark/>
          </w:tcPr>
          <w:p w14:paraId="1F89C2C4" w14:textId="77777777" w:rsidR="001E7112" w:rsidRPr="00F8474E" w:rsidRDefault="001E7112" w:rsidP="001E7112">
            <w:pPr>
              <w:pStyle w:val="TAC"/>
            </w:pPr>
            <w:r w:rsidRPr="00F8474E">
              <w:t>60</w:t>
            </w:r>
          </w:p>
        </w:tc>
        <w:tc>
          <w:tcPr>
            <w:tcW w:w="1422" w:type="dxa"/>
            <w:tcBorders>
              <w:top w:val="single" w:sz="6" w:space="0" w:color="auto"/>
              <w:left w:val="single" w:sz="6" w:space="0" w:color="auto"/>
              <w:bottom w:val="nil"/>
              <w:right w:val="single" w:sz="4" w:space="0" w:color="auto"/>
            </w:tcBorders>
            <w:hideMark/>
          </w:tcPr>
          <w:p w14:paraId="0301942D" w14:textId="6799AB0D" w:rsidR="001E7112" w:rsidRPr="00F8474E" w:rsidRDefault="001E7112" w:rsidP="001E7112">
            <w:pPr>
              <w:pStyle w:val="TAC"/>
              <w:rPr>
                <w:lang w:eastAsia="zh-CN"/>
              </w:rPr>
            </w:pPr>
            <w:r w:rsidRPr="00F8474E">
              <w:t>≥1</w:t>
            </w:r>
          </w:p>
        </w:tc>
        <w:tc>
          <w:tcPr>
            <w:tcW w:w="3258" w:type="dxa"/>
            <w:tcBorders>
              <w:top w:val="single" w:sz="4" w:space="0" w:color="auto"/>
              <w:left w:val="single" w:sz="4" w:space="0" w:color="auto"/>
              <w:bottom w:val="single" w:sz="4" w:space="0" w:color="auto"/>
              <w:right w:val="single" w:sz="4" w:space="0" w:color="auto"/>
            </w:tcBorders>
            <w:hideMark/>
          </w:tcPr>
          <w:p w14:paraId="6E9E33F3" w14:textId="0D4412C1" w:rsidR="001E7112" w:rsidRPr="00F8474E" w:rsidRDefault="001E7112" w:rsidP="001E7112">
            <w:pPr>
              <w:pStyle w:val="TAC"/>
            </w:pPr>
            <w:r w:rsidRPr="00F8474E">
              <w:rPr>
                <w:lang w:eastAsia="ko-KR"/>
              </w:rP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hideMark/>
          </w:tcPr>
          <w:p w14:paraId="463BD48F" w14:textId="77777777" w:rsidR="001E7112" w:rsidRPr="00F8474E" w:rsidRDefault="001E7112" w:rsidP="001E7112">
            <w:pPr>
              <w:pStyle w:val="TAC"/>
            </w:pPr>
            <w:r w:rsidRPr="00F8474E">
              <w:t>NOTE 6</w:t>
            </w:r>
          </w:p>
        </w:tc>
      </w:tr>
      <w:tr w:rsidR="001E7112" w:rsidRPr="00F8474E" w14:paraId="3401DB45"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0B38C3F4" w14:textId="3F5C25C1" w:rsidR="001E7112" w:rsidRPr="00F8474E" w:rsidRDefault="001E7112" w:rsidP="001E7112">
            <w:pPr>
              <w:pStyle w:val="TAC"/>
              <w:rPr>
                <w:lang w:eastAsia="zh-CN"/>
              </w:rPr>
            </w:pPr>
            <w:r w:rsidRPr="00F8474E">
              <w:t>± 7+</w:t>
            </w:r>
            <w:r w:rsidRPr="00F8474E">
              <w:rPr>
                <w:lang w:eastAsia="ko-KR"/>
              </w:rPr>
              <w:sym w:font="Symbol" w:char="F064"/>
            </w:r>
          </w:p>
        </w:tc>
        <w:tc>
          <w:tcPr>
            <w:tcW w:w="851" w:type="dxa"/>
            <w:tcBorders>
              <w:top w:val="nil"/>
              <w:left w:val="single" w:sz="6" w:space="0" w:color="auto"/>
              <w:bottom w:val="nil"/>
              <w:right w:val="single" w:sz="6" w:space="0" w:color="auto"/>
            </w:tcBorders>
          </w:tcPr>
          <w:p w14:paraId="1BC2192C" w14:textId="77777777" w:rsidR="001E7112" w:rsidRPr="00F8474E" w:rsidRDefault="001E7112" w:rsidP="001E7112">
            <w:pPr>
              <w:pStyle w:val="TAC"/>
              <w:rPr>
                <w:lang w:val="sv-SE"/>
              </w:rPr>
            </w:pPr>
          </w:p>
        </w:tc>
        <w:tc>
          <w:tcPr>
            <w:tcW w:w="1133" w:type="dxa"/>
            <w:tcBorders>
              <w:top w:val="single" w:sz="6" w:space="0" w:color="auto"/>
              <w:left w:val="single" w:sz="6" w:space="0" w:color="auto"/>
              <w:bottom w:val="nil"/>
              <w:right w:val="single" w:sz="6" w:space="0" w:color="auto"/>
            </w:tcBorders>
            <w:hideMark/>
          </w:tcPr>
          <w:p w14:paraId="004C7150" w14:textId="0D268D40" w:rsidR="001E7112" w:rsidRPr="00F8474E" w:rsidRDefault="001E7112" w:rsidP="001E7112">
            <w:pPr>
              <w:pStyle w:val="TAC"/>
              <w:rPr>
                <w:lang w:eastAsia="zh-CN"/>
              </w:rPr>
            </w:pPr>
            <w:r w:rsidRPr="00F8474E">
              <w:rPr>
                <w:rFonts w:cs="Calibri"/>
              </w:rPr>
              <w:t>≥</w:t>
            </w:r>
            <w:r w:rsidRPr="00F8474E">
              <w:t>132</w:t>
            </w:r>
          </w:p>
        </w:tc>
        <w:tc>
          <w:tcPr>
            <w:tcW w:w="845" w:type="dxa"/>
            <w:tcBorders>
              <w:top w:val="nil"/>
              <w:left w:val="single" w:sz="6" w:space="0" w:color="auto"/>
              <w:bottom w:val="single" w:sz="4" w:space="0" w:color="auto"/>
              <w:right w:val="single" w:sz="6" w:space="0" w:color="auto"/>
            </w:tcBorders>
          </w:tcPr>
          <w:p w14:paraId="0FA3C778" w14:textId="77777777" w:rsidR="001E7112" w:rsidRPr="00F8474E" w:rsidRDefault="001E7112" w:rsidP="001E7112">
            <w:pPr>
              <w:pStyle w:val="TAC"/>
            </w:pPr>
          </w:p>
        </w:tc>
        <w:tc>
          <w:tcPr>
            <w:tcW w:w="1422" w:type="dxa"/>
            <w:tcBorders>
              <w:top w:val="single" w:sz="6" w:space="0" w:color="auto"/>
              <w:left w:val="single" w:sz="6" w:space="0" w:color="auto"/>
              <w:bottom w:val="nil"/>
              <w:right w:val="single" w:sz="4" w:space="0" w:color="auto"/>
            </w:tcBorders>
            <w:hideMark/>
          </w:tcPr>
          <w:p w14:paraId="192807AC" w14:textId="3C0E9A17" w:rsidR="001E7112" w:rsidRPr="00F8474E" w:rsidRDefault="001E7112" w:rsidP="001E7112">
            <w:pPr>
              <w:pStyle w:val="TAC"/>
              <w:rPr>
                <w:lang w:eastAsia="zh-CN"/>
              </w:rPr>
            </w:pPr>
            <w:r w:rsidRPr="00F8474E">
              <w:t>≥1</w:t>
            </w:r>
          </w:p>
        </w:tc>
        <w:tc>
          <w:tcPr>
            <w:tcW w:w="3258" w:type="dxa"/>
            <w:tcBorders>
              <w:top w:val="single" w:sz="4" w:space="0" w:color="auto"/>
              <w:left w:val="single" w:sz="4" w:space="0" w:color="auto"/>
              <w:bottom w:val="single" w:sz="4" w:space="0" w:color="auto"/>
              <w:right w:val="single" w:sz="4" w:space="0" w:color="auto"/>
            </w:tcBorders>
            <w:hideMark/>
          </w:tcPr>
          <w:p w14:paraId="2FBB1D1B" w14:textId="77777777" w:rsidR="001E7112" w:rsidRPr="00F8474E" w:rsidRDefault="001E7112" w:rsidP="001E7112">
            <w:pPr>
              <w:pStyle w:val="TAC"/>
            </w:pPr>
            <w:r w:rsidRPr="00F8474E">
              <w:t>NOTE 6</w:t>
            </w:r>
          </w:p>
        </w:tc>
        <w:tc>
          <w:tcPr>
            <w:tcW w:w="1558" w:type="dxa"/>
            <w:tcBorders>
              <w:top w:val="single" w:sz="6" w:space="0" w:color="auto"/>
              <w:left w:val="single" w:sz="4" w:space="0" w:color="auto"/>
              <w:bottom w:val="single" w:sz="6" w:space="0" w:color="auto"/>
              <w:right w:val="single" w:sz="4" w:space="0" w:color="auto"/>
            </w:tcBorders>
            <w:hideMark/>
          </w:tcPr>
          <w:p w14:paraId="3858715D" w14:textId="77777777" w:rsidR="001E7112" w:rsidRPr="00F8474E" w:rsidRDefault="001E7112" w:rsidP="001E7112">
            <w:pPr>
              <w:pStyle w:val="TAC"/>
            </w:pPr>
            <w:r w:rsidRPr="00F8474E">
              <w:t>NOTE 6</w:t>
            </w:r>
          </w:p>
        </w:tc>
      </w:tr>
      <w:tr w:rsidR="001E7112" w:rsidRPr="00F8474E" w14:paraId="24F76588"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4645C1C7" w14:textId="2F5CE241" w:rsidR="001E7112" w:rsidRPr="00F8474E" w:rsidRDefault="001E7112" w:rsidP="001E7112">
            <w:pPr>
              <w:pStyle w:val="TAC"/>
              <w:rPr>
                <w:lang w:eastAsia="zh-CN"/>
              </w:rPr>
            </w:pPr>
            <w:r w:rsidRPr="00F8474E">
              <w:t>± 7+</w:t>
            </w:r>
            <w:r w:rsidRPr="00F8474E">
              <w:rPr>
                <w:lang w:eastAsia="ko-KR"/>
              </w:rPr>
              <w:sym w:font="Symbol" w:char="F064"/>
            </w:r>
          </w:p>
        </w:tc>
        <w:tc>
          <w:tcPr>
            <w:tcW w:w="851" w:type="dxa"/>
            <w:tcBorders>
              <w:top w:val="nil"/>
              <w:left w:val="single" w:sz="6" w:space="0" w:color="auto"/>
              <w:bottom w:val="nil"/>
              <w:right w:val="single" w:sz="6" w:space="0" w:color="auto"/>
            </w:tcBorders>
          </w:tcPr>
          <w:p w14:paraId="7D27D5B7" w14:textId="77777777" w:rsidR="001E7112" w:rsidRPr="00F8474E" w:rsidRDefault="001E7112" w:rsidP="001E7112">
            <w:pPr>
              <w:pStyle w:val="TAC"/>
              <w:rPr>
                <w:lang w:val="sv-SE"/>
              </w:rPr>
            </w:pPr>
          </w:p>
        </w:tc>
        <w:tc>
          <w:tcPr>
            <w:tcW w:w="1133" w:type="dxa"/>
            <w:tcBorders>
              <w:top w:val="single" w:sz="6" w:space="0" w:color="auto"/>
              <w:left w:val="single" w:sz="6" w:space="0" w:color="auto"/>
              <w:bottom w:val="nil"/>
              <w:right w:val="single" w:sz="6" w:space="0" w:color="auto"/>
            </w:tcBorders>
            <w:hideMark/>
          </w:tcPr>
          <w:p w14:paraId="7C3ED94B" w14:textId="297F6F1D" w:rsidR="001E7112" w:rsidRPr="00F8474E" w:rsidRDefault="001E7112" w:rsidP="001E7112">
            <w:pPr>
              <w:pStyle w:val="TAC"/>
              <w:rPr>
                <w:lang w:eastAsia="zh-CN"/>
              </w:rPr>
            </w:pPr>
            <w:r w:rsidRPr="00F8474E">
              <w:rPr>
                <w:rFonts w:cs="Calibri"/>
              </w:rPr>
              <w:t>≥</w:t>
            </w:r>
            <w:r w:rsidRPr="00F8474E">
              <w:t>64</w:t>
            </w:r>
          </w:p>
        </w:tc>
        <w:tc>
          <w:tcPr>
            <w:tcW w:w="845" w:type="dxa"/>
            <w:tcBorders>
              <w:top w:val="nil"/>
              <w:left w:val="single" w:sz="6" w:space="0" w:color="auto"/>
              <w:bottom w:val="nil"/>
              <w:right w:val="single" w:sz="6" w:space="0" w:color="auto"/>
            </w:tcBorders>
            <w:hideMark/>
          </w:tcPr>
          <w:p w14:paraId="1223105B" w14:textId="77777777" w:rsidR="001E7112" w:rsidRPr="00F8474E" w:rsidRDefault="001E7112" w:rsidP="001E7112">
            <w:pPr>
              <w:pStyle w:val="TAC"/>
            </w:pPr>
            <w:r w:rsidRPr="00F8474E">
              <w:t>120</w:t>
            </w:r>
          </w:p>
        </w:tc>
        <w:tc>
          <w:tcPr>
            <w:tcW w:w="1422" w:type="dxa"/>
            <w:tcBorders>
              <w:top w:val="single" w:sz="6" w:space="0" w:color="auto"/>
              <w:left w:val="single" w:sz="6" w:space="0" w:color="auto"/>
              <w:bottom w:val="nil"/>
              <w:right w:val="single" w:sz="4" w:space="0" w:color="auto"/>
            </w:tcBorders>
            <w:hideMark/>
          </w:tcPr>
          <w:p w14:paraId="66371B25" w14:textId="75972A46" w:rsidR="001E7112" w:rsidRPr="00F8474E" w:rsidRDefault="001E7112" w:rsidP="001E7112">
            <w:pPr>
              <w:pStyle w:val="TAC"/>
              <w:rPr>
                <w:lang w:eastAsia="zh-CN"/>
              </w:rPr>
            </w:pPr>
            <w:r w:rsidRPr="00F8474E">
              <w:t>≥1</w:t>
            </w:r>
          </w:p>
        </w:tc>
        <w:tc>
          <w:tcPr>
            <w:tcW w:w="3258" w:type="dxa"/>
            <w:tcBorders>
              <w:top w:val="single" w:sz="4" w:space="0" w:color="auto"/>
              <w:left w:val="single" w:sz="4" w:space="0" w:color="auto"/>
              <w:bottom w:val="single" w:sz="4" w:space="0" w:color="auto"/>
              <w:right w:val="single" w:sz="4" w:space="0" w:color="auto"/>
            </w:tcBorders>
            <w:hideMark/>
          </w:tcPr>
          <w:p w14:paraId="6B193B19" w14:textId="433DAC4D" w:rsidR="001E7112" w:rsidRPr="00F8474E" w:rsidRDefault="001E7112" w:rsidP="001E7112">
            <w:pPr>
              <w:pStyle w:val="TAC"/>
            </w:pPr>
            <w:r w:rsidRPr="00F8474E">
              <w:rPr>
                <w:lang w:eastAsia="ko-KR"/>
              </w:rP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hideMark/>
          </w:tcPr>
          <w:p w14:paraId="41FD140F" w14:textId="77777777" w:rsidR="001E7112" w:rsidRPr="00F8474E" w:rsidRDefault="001E7112" w:rsidP="001E7112">
            <w:pPr>
              <w:pStyle w:val="TAC"/>
            </w:pPr>
            <w:r w:rsidRPr="00F8474E">
              <w:t>NOTE 6</w:t>
            </w:r>
          </w:p>
        </w:tc>
      </w:tr>
      <w:tr w:rsidR="001E7112" w:rsidRPr="00F8474E" w14:paraId="40F79DBA"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41FEE354" w14:textId="38B4C526" w:rsidR="001E7112" w:rsidRPr="00F8474E" w:rsidRDefault="001E7112" w:rsidP="001E7112">
            <w:pPr>
              <w:pStyle w:val="TAC"/>
              <w:rPr>
                <w:lang w:eastAsia="zh-CN"/>
              </w:rPr>
            </w:pPr>
            <w:r w:rsidRPr="00F8474E">
              <w:t>± 4+</w:t>
            </w:r>
            <w:r w:rsidRPr="00F8474E">
              <w:rPr>
                <w:lang w:eastAsia="ko-KR"/>
              </w:rPr>
              <w:sym w:font="Symbol" w:char="F064"/>
            </w:r>
          </w:p>
        </w:tc>
        <w:tc>
          <w:tcPr>
            <w:tcW w:w="851" w:type="dxa"/>
            <w:tcBorders>
              <w:top w:val="nil"/>
              <w:left w:val="single" w:sz="6" w:space="0" w:color="auto"/>
              <w:bottom w:val="single" w:sz="4" w:space="0" w:color="auto"/>
              <w:right w:val="single" w:sz="6" w:space="0" w:color="auto"/>
            </w:tcBorders>
          </w:tcPr>
          <w:p w14:paraId="6A63EDF2" w14:textId="77777777" w:rsidR="001E7112" w:rsidRPr="00F8474E" w:rsidRDefault="001E7112" w:rsidP="001E7112">
            <w:pPr>
              <w:pStyle w:val="TAC"/>
              <w:rPr>
                <w:lang w:val="sv-SE"/>
              </w:rPr>
            </w:pPr>
          </w:p>
        </w:tc>
        <w:tc>
          <w:tcPr>
            <w:tcW w:w="1133" w:type="dxa"/>
            <w:tcBorders>
              <w:top w:val="single" w:sz="6" w:space="0" w:color="auto"/>
              <w:left w:val="single" w:sz="6" w:space="0" w:color="auto"/>
              <w:bottom w:val="nil"/>
              <w:right w:val="single" w:sz="6" w:space="0" w:color="auto"/>
            </w:tcBorders>
            <w:hideMark/>
          </w:tcPr>
          <w:p w14:paraId="16AC545A" w14:textId="284B32F6" w:rsidR="001E7112" w:rsidRPr="00F8474E" w:rsidRDefault="001E7112" w:rsidP="001E7112">
            <w:pPr>
              <w:pStyle w:val="TAC"/>
              <w:rPr>
                <w:lang w:eastAsia="zh-CN"/>
              </w:rPr>
            </w:pPr>
            <w:r w:rsidRPr="00F8474E">
              <w:rPr>
                <w:rFonts w:cs="Calibri"/>
              </w:rPr>
              <w:t>≥</w:t>
            </w:r>
            <w:r w:rsidRPr="00F8474E">
              <w:t>128</w:t>
            </w:r>
          </w:p>
        </w:tc>
        <w:tc>
          <w:tcPr>
            <w:tcW w:w="845" w:type="dxa"/>
            <w:tcBorders>
              <w:top w:val="nil"/>
              <w:left w:val="single" w:sz="6" w:space="0" w:color="auto"/>
              <w:bottom w:val="single" w:sz="4" w:space="0" w:color="auto"/>
              <w:right w:val="single" w:sz="6" w:space="0" w:color="auto"/>
            </w:tcBorders>
          </w:tcPr>
          <w:p w14:paraId="6C2CC8B3" w14:textId="77777777" w:rsidR="001E7112" w:rsidRPr="00F8474E" w:rsidRDefault="001E7112" w:rsidP="001E7112">
            <w:pPr>
              <w:pStyle w:val="TAC"/>
            </w:pPr>
          </w:p>
        </w:tc>
        <w:tc>
          <w:tcPr>
            <w:tcW w:w="1422" w:type="dxa"/>
            <w:tcBorders>
              <w:top w:val="single" w:sz="6" w:space="0" w:color="auto"/>
              <w:left w:val="single" w:sz="6" w:space="0" w:color="auto"/>
              <w:bottom w:val="nil"/>
              <w:right w:val="single" w:sz="4" w:space="0" w:color="auto"/>
            </w:tcBorders>
            <w:hideMark/>
          </w:tcPr>
          <w:p w14:paraId="0D1C6A39" w14:textId="4D34FA1F" w:rsidR="001E7112" w:rsidRPr="00F8474E" w:rsidRDefault="001E7112" w:rsidP="001E7112">
            <w:pPr>
              <w:pStyle w:val="TAC"/>
              <w:rPr>
                <w:lang w:eastAsia="zh-CN"/>
              </w:rPr>
            </w:pPr>
            <w:r w:rsidRPr="00F8474E">
              <w:t>≥1</w:t>
            </w:r>
          </w:p>
        </w:tc>
        <w:tc>
          <w:tcPr>
            <w:tcW w:w="3258" w:type="dxa"/>
            <w:tcBorders>
              <w:top w:val="single" w:sz="4" w:space="0" w:color="auto"/>
              <w:left w:val="single" w:sz="4" w:space="0" w:color="auto"/>
              <w:bottom w:val="single" w:sz="4" w:space="0" w:color="auto"/>
              <w:right w:val="single" w:sz="4" w:space="0" w:color="auto"/>
            </w:tcBorders>
            <w:hideMark/>
          </w:tcPr>
          <w:p w14:paraId="1623D577" w14:textId="77777777" w:rsidR="001E7112" w:rsidRPr="00F8474E" w:rsidRDefault="001E7112" w:rsidP="001E7112">
            <w:pPr>
              <w:pStyle w:val="TAC"/>
            </w:pPr>
            <w:r w:rsidRPr="00F8474E">
              <w:t>NOTE 6</w:t>
            </w:r>
          </w:p>
        </w:tc>
        <w:tc>
          <w:tcPr>
            <w:tcW w:w="1558" w:type="dxa"/>
            <w:tcBorders>
              <w:top w:val="single" w:sz="6" w:space="0" w:color="auto"/>
              <w:left w:val="single" w:sz="4" w:space="0" w:color="auto"/>
              <w:bottom w:val="single" w:sz="6" w:space="0" w:color="auto"/>
              <w:right w:val="single" w:sz="4" w:space="0" w:color="auto"/>
            </w:tcBorders>
            <w:hideMark/>
          </w:tcPr>
          <w:p w14:paraId="77C0F804" w14:textId="77777777" w:rsidR="001E7112" w:rsidRPr="00F8474E" w:rsidRDefault="001E7112" w:rsidP="001E7112">
            <w:pPr>
              <w:pStyle w:val="TAC"/>
            </w:pPr>
            <w:r w:rsidRPr="00F8474E">
              <w:t>NOTE 6</w:t>
            </w:r>
          </w:p>
        </w:tc>
      </w:tr>
      <w:tr w:rsidR="001E7112" w:rsidRPr="00F8474E" w14:paraId="67954D5A"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766AAE2D" w14:textId="4C530E64" w:rsidR="001E7112" w:rsidRPr="00F8474E" w:rsidRDefault="001E7112" w:rsidP="001E7112">
            <w:pPr>
              <w:pStyle w:val="TAC"/>
              <w:rPr>
                <w:lang w:eastAsia="zh-CN"/>
              </w:rPr>
            </w:pPr>
            <w:r w:rsidRPr="00F8474E">
              <w:t>± 15+</w:t>
            </w:r>
            <w:r w:rsidRPr="00F8474E">
              <w:rPr>
                <w:lang w:eastAsia="ko-KR"/>
              </w:rPr>
              <w:sym w:font="Symbol" w:char="F064"/>
            </w:r>
          </w:p>
        </w:tc>
        <w:tc>
          <w:tcPr>
            <w:tcW w:w="851" w:type="dxa"/>
            <w:tcBorders>
              <w:top w:val="nil"/>
              <w:left w:val="single" w:sz="6" w:space="0" w:color="auto"/>
              <w:bottom w:val="nil"/>
              <w:right w:val="single" w:sz="6" w:space="0" w:color="auto"/>
            </w:tcBorders>
            <w:hideMark/>
          </w:tcPr>
          <w:p w14:paraId="75A8EABB" w14:textId="77777777" w:rsidR="001E7112" w:rsidRPr="00F8474E" w:rsidRDefault="001E7112" w:rsidP="001E7112">
            <w:pPr>
              <w:pStyle w:val="TAC"/>
              <w:rPr>
                <w:lang w:val="sv-SE"/>
              </w:rPr>
            </w:pPr>
            <w:r w:rsidRPr="00F8474E">
              <w:rPr>
                <w:lang w:val="sv-SE"/>
              </w:rPr>
              <w:t>-6</w:t>
            </w:r>
          </w:p>
        </w:tc>
        <w:tc>
          <w:tcPr>
            <w:tcW w:w="1133" w:type="dxa"/>
            <w:tcBorders>
              <w:top w:val="single" w:sz="6" w:space="0" w:color="auto"/>
              <w:left w:val="single" w:sz="6" w:space="0" w:color="auto"/>
              <w:bottom w:val="nil"/>
              <w:right w:val="single" w:sz="6" w:space="0" w:color="auto"/>
            </w:tcBorders>
            <w:hideMark/>
          </w:tcPr>
          <w:p w14:paraId="6C4207D5" w14:textId="4629C32C" w:rsidR="001E7112" w:rsidRPr="00F8474E" w:rsidRDefault="001E7112" w:rsidP="001E7112">
            <w:pPr>
              <w:pStyle w:val="TAC"/>
              <w:rPr>
                <w:lang w:eastAsia="zh-CN"/>
              </w:rPr>
            </w:pPr>
            <w:r w:rsidRPr="00F8474E">
              <w:rPr>
                <w:rFonts w:cs="Calibri"/>
              </w:rPr>
              <w:t>≥</w:t>
            </w:r>
            <w:r w:rsidRPr="00F8474E">
              <w:t>64</w:t>
            </w:r>
          </w:p>
        </w:tc>
        <w:tc>
          <w:tcPr>
            <w:tcW w:w="845" w:type="dxa"/>
            <w:tcBorders>
              <w:top w:val="single" w:sz="4" w:space="0" w:color="auto"/>
              <w:left w:val="single" w:sz="6" w:space="0" w:color="auto"/>
              <w:bottom w:val="nil"/>
              <w:right w:val="single" w:sz="6" w:space="0" w:color="auto"/>
            </w:tcBorders>
            <w:hideMark/>
          </w:tcPr>
          <w:p w14:paraId="3C3378FB" w14:textId="77777777" w:rsidR="001E7112" w:rsidRPr="00F8474E" w:rsidRDefault="001E7112" w:rsidP="001E7112">
            <w:pPr>
              <w:pStyle w:val="TAC"/>
            </w:pPr>
            <w:r w:rsidRPr="00F8474E">
              <w:t>60</w:t>
            </w:r>
          </w:p>
        </w:tc>
        <w:tc>
          <w:tcPr>
            <w:tcW w:w="1422" w:type="dxa"/>
            <w:tcBorders>
              <w:top w:val="single" w:sz="6" w:space="0" w:color="auto"/>
              <w:left w:val="single" w:sz="6" w:space="0" w:color="auto"/>
              <w:bottom w:val="nil"/>
              <w:right w:val="single" w:sz="4" w:space="0" w:color="auto"/>
            </w:tcBorders>
            <w:hideMark/>
          </w:tcPr>
          <w:p w14:paraId="1DB4FFBD" w14:textId="3DFA0A5C" w:rsidR="001E7112" w:rsidRPr="00F8474E" w:rsidRDefault="001E7112" w:rsidP="001E7112">
            <w:pPr>
              <w:pStyle w:val="TAC"/>
              <w:rPr>
                <w:lang w:eastAsia="zh-CN"/>
              </w:rPr>
            </w:pPr>
            <w:r w:rsidRPr="00F8474E">
              <w:t>≥1</w:t>
            </w:r>
          </w:p>
        </w:tc>
        <w:tc>
          <w:tcPr>
            <w:tcW w:w="3258" w:type="dxa"/>
            <w:tcBorders>
              <w:top w:val="single" w:sz="4" w:space="0" w:color="auto"/>
              <w:left w:val="single" w:sz="4" w:space="0" w:color="auto"/>
              <w:bottom w:val="single" w:sz="4" w:space="0" w:color="auto"/>
              <w:right w:val="single" w:sz="4" w:space="0" w:color="auto"/>
            </w:tcBorders>
            <w:hideMark/>
          </w:tcPr>
          <w:p w14:paraId="43C3C53C" w14:textId="77777777" w:rsidR="001E7112" w:rsidRPr="00F8474E" w:rsidRDefault="001E7112" w:rsidP="001E7112">
            <w:pPr>
              <w:pStyle w:val="TAC"/>
            </w:pPr>
            <w:r w:rsidRPr="00F8474E">
              <w:t>NOTE 6</w:t>
            </w:r>
          </w:p>
        </w:tc>
        <w:tc>
          <w:tcPr>
            <w:tcW w:w="1558" w:type="dxa"/>
            <w:tcBorders>
              <w:top w:val="single" w:sz="6" w:space="0" w:color="auto"/>
              <w:left w:val="single" w:sz="4" w:space="0" w:color="auto"/>
              <w:bottom w:val="single" w:sz="6" w:space="0" w:color="auto"/>
              <w:right w:val="single" w:sz="4" w:space="0" w:color="auto"/>
            </w:tcBorders>
            <w:hideMark/>
          </w:tcPr>
          <w:p w14:paraId="487264E4" w14:textId="77777777" w:rsidR="001E7112" w:rsidRPr="00F8474E" w:rsidRDefault="001E7112" w:rsidP="001E7112">
            <w:pPr>
              <w:pStyle w:val="TAC"/>
            </w:pPr>
            <w:r w:rsidRPr="00F8474E">
              <w:t>NOTE 6</w:t>
            </w:r>
          </w:p>
        </w:tc>
      </w:tr>
      <w:tr w:rsidR="001E7112" w:rsidRPr="00F8474E" w14:paraId="3F6F447F"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65C55D52" w14:textId="1D23559F" w:rsidR="001E7112" w:rsidRPr="00F8474E" w:rsidRDefault="001E7112" w:rsidP="001E7112">
            <w:pPr>
              <w:pStyle w:val="TAC"/>
              <w:rPr>
                <w:lang w:eastAsia="zh-CN"/>
              </w:rPr>
            </w:pPr>
            <w:r w:rsidRPr="00F8474E">
              <w:t>± 7+</w:t>
            </w:r>
            <w:r w:rsidRPr="00F8474E">
              <w:rPr>
                <w:lang w:eastAsia="ko-KR"/>
              </w:rPr>
              <w:sym w:font="Symbol" w:char="F064"/>
            </w:r>
          </w:p>
        </w:tc>
        <w:tc>
          <w:tcPr>
            <w:tcW w:w="851" w:type="dxa"/>
            <w:tcBorders>
              <w:top w:val="nil"/>
              <w:left w:val="single" w:sz="6" w:space="0" w:color="auto"/>
              <w:bottom w:val="nil"/>
              <w:right w:val="single" w:sz="6" w:space="0" w:color="auto"/>
            </w:tcBorders>
          </w:tcPr>
          <w:p w14:paraId="5F99F4A5" w14:textId="77777777" w:rsidR="001E7112" w:rsidRPr="00F8474E" w:rsidRDefault="001E7112" w:rsidP="001E7112">
            <w:pPr>
              <w:pStyle w:val="TAC"/>
              <w:rPr>
                <w:lang w:val="sv-SE"/>
              </w:rPr>
            </w:pPr>
          </w:p>
        </w:tc>
        <w:tc>
          <w:tcPr>
            <w:tcW w:w="1133" w:type="dxa"/>
            <w:tcBorders>
              <w:top w:val="single" w:sz="6" w:space="0" w:color="auto"/>
              <w:left w:val="single" w:sz="6" w:space="0" w:color="auto"/>
              <w:bottom w:val="nil"/>
              <w:right w:val="single" w:sz="6" w:space="0" w:color="auto"/>
            </w:tcBorders>
            <w:hideMark/>
          </w:tcPr>
          <w:p w14:paraId="304B4053" w14:textId="49058E3D" w:rsidR="001E7112" w:rsidRPr="00F8474E" w:rsidRDefault="001E7112" w:rsidP="001E7112">
            <w:pPr>
              <w:pStyle w:val="TAC"/>
              <w:rPr>
                <w:lang w:eastAsia="zh-CN"/>
              </w:rPr>
            </w:pPr>
            <w:r w:rsidRPr="00F8474E">
              <w:rPr>
                <w:rFonts w:cs="Calibri"/>
              </w:rPr>
              <w:t>≥</w:t>
            </w:r>
            <w:r w:rsidRPr="00F8474E">
              <w:t>132</w:t>
            </w:r>
          </w:p>
        </w:tc>
        <w:tc>
          <w:tcPr>
            <w:tcW w:w="845" w:type="dxa"/>
            <w:tcBorders>
              <w:top w:val="nil"/>
              <w:left w:val="single" w:sz="6" w:space="0" w:color="auto"/>
              <w:bottom w:val="single" w:sz="4" w:space="0" w:color="auto"/>
              <w:right w:val="single" w:sz="6" w:space="0" w:color="auto"/>
            </w:tcBorders>
          </w:tcPr>
          <w:p w14:paraId="51EF7696" w14:textId="77777777" w:rsidR="001E7112" w:rsidRPr="00F8474E" w:rsidRDefault="001E7112" w:rsidP="001E7112">
            <w:pPr>
              <w:pStyle w:val="TAC"/>
            </w:pPr>
          </w:p>
        </w:tc>
        <w:tc>
          <w:tcPr>
            <w:tcW w:w="1422" w:type="dxa"/>
            <w:tcBorders>
              <w:top w:val="single" w:sz="6" w:space="0" w:color="auto"/>
              <w:left w:val="single" w:sz="6" w:space="0" w:color="auto"/>
              <w:bottom w:val="nil"/>
              <w:right w:val="single" w:sz="4" w:space="0" w:color="auto"/>
            </w:tcBorders>
            <w:hideMark/>
          </w:tcPr>
          <w:p w14:paraId="6AA52870" w14:textId="1996F727" w:rsidR="001E7112" w:rsidRPr="00F8474E" w:rsidRDefault="001E7112" w:rsidP="001E7112">
            <w:pPr>
              <w:pStyle w:val="TAC"/>
              <w:rPr>
                <w:lang w:eastAsia="zh-CN"/>
              </w:rPr>
            </w:pPr>
            <w:r w:rsidRPr="00F8474E">
              <w:t>≥1</w:t>
            </w:r>
          </w:p>
        </w:tc>
        <w:tc>
          <w:tcPr>
            <w:tcW w:w="3258" w:type="dxa"/>
            <w:tcBorders>
              <w:top w:val="single" w:sz="4" w:space="0" w:color="auto"/>
              <w:left w:val="single" w:sz="4" w:space="0" w:color="auto"/>
              <w:bottom w:val="single" w:sz="4" w:space="0" w:color="auto"/>
              <w:right w:val="single" w:sz="4" w:space="0" w:color="auto"/>
            </w:tcBorders>
            <w:hideMark/>
          </w:tcPr>
          <w:p w14:paraId="5D0D499F" w14:textId="77777777" w:rsidR="001E7112" w:rsidRPr="00F8474E" w:rsidRDefault="001E7112" w:rsidP="001E7112">
            <w:pPr>
              <w:pStyle w:val="TAC"/>
            </w:pPr>
            <w:r w:rsidRPr="00F8474E">
              <w:t>NOTE 6</w:t>
            </w:r>
          </w:p>
        </w:tc>
        <w:tc>
          <w:tcPr>
            <w:tcW w:w="1558" w:type="dxa"/>
            <w:tcBorders>
              <w:top w:val="single" w:sz="6" w:space="0" w:color="auto"/>
              <w:left w:val="single" w:sz="4" w:space="0" w:color="auto"/>
              <w:bottom w:val="single" w:sz="6" w:space="0" w:color="auto"/>
              <w:right w:val="single" w:sz="4" w:space="0" w:color="auto"/>
            </w:tcBorders>
            <w:hideMark/>
          </w:tcPr>
          <w:p w14:paraId="61CE390B" w14:textId="77777777" w:rsidR="001E7112" w:rsidRPr="00F8474E" w:rsidRDefault="001E7112" w:rsidP="001E7112">
            <w:pPr>
              <w:pStyle w:val="TAC"/>
            </w:pPr>
            <w:r w:rsidRPr="00F8474E">
              <w:t>NOTE 6</w:t>
            </w:r>
          </w:p>
        </w:tc>
      </w:tr>
      <w:tr w:rsidR="001E7112" w:rsidRPr="00F8474E" w14:paraId="53CD2AC1"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2AA38C63" w14:textId="0A15CF33" w:rsidR="001E7112" w:rsidRPr="00F8474E" w:rsidRDefault="001E7112" w:rsidP="001E7112">
            <w:pPr>
              <w:pStyle w:val="TAC"/>
              <w:rPr>
                <w:lang w:eastAsia="zh-CN"/>
              </w:rPr>
            </w:pPr>
            <w:r w:rsidRPr="00F8474E">
              <w:t>± 9+</w:t>
            </w:r>
            <w:r w:rsidRPr="00F8474E">
              <w:rPr>
                <w:lang w:eastAsia="ko-KR"/>
              </w:rPr>
              <w:sym w:font="Symbol" w:char="F064"/>
            </w:r>
          </w:p>
        </w:tc>
        <w:tc>
          <w:tcPr>
            <w:tcW w:w="851" w:type="dxa"/>
            <w:tcBorders>
              <w:top w:val="nil"/>
              <w:left w:val="single" w:sz="6" w:space="0" w:color="auto"/>
              <w:bottom w:val="nil"/>
              <w:right w:val="single" w:sz="6" w:space="0" w:color="auto"/>
            </w:tcBorders>
          </w:tcPr>
          <w:p w14:paraId="5F4D7A0B" w14:textId="77777777" w:rsidR="001E7112" w:rsidRPr="00F8474E" w:rsidRDefault="001E7112" w:rsidP="001E7112">
            <w:pPr>
              <w:pStyle w:val="TAC"/>
              <w:rPr>
                <w:lang w:val="sv-SE"/>
              </w:rPr>
            </w:pPr>
          </w:p>
        </w:tc>
        <w:tc>
          <w:tcPr>
            <w:tcW w:w="1133" w:type="dxa"/>
            <w:tcBorders>
              <w:top w:val="single" w:sz="6" w:space="0" w:color="auto"/>
              <w:left w:val="single" w:sz="6" w:space="0" w:color="auto"/>
              <w:bottom w:val="nil"/>
              <w:right w:val="single" w:sz="6" w:space="0" w:color="auto"/>
            </w:tcBorders>
            <w:hideMark/>
          </w:tcPr>
          <w:p w14:paraId="3A4FEE29" w14:textId="6B094754" w:rsidR="001E7112" w:rsidRPr="00F8474E" w:rsidRDefault="001E7112" w:rsidP="001E7112">
            <w:pPr>
              <w:pStyle w:val="TAC"/>
              <w:rPr>
                <w:lang w:eastAsia="zh-CN"/>
              </w:rPr>
            </w:pPr>
            <w:r w:rsidRPr="00F8474E">
              <w:rPr>
                <w:rFonts w:cs="Calibri"/>
              </w:rPr>
              <w:t>≥</w:t>
            </w:r>
            <w:r w:rsidRPr="00F8474E">
              <w:t>64</w:t>
            </w:r>
          </w:p>
        </w:tc>
        <w:tc>
          <w:tcPr>
            <w:tcW w:w="845" w:type="dxa"/>
            <w:tcBorders>
              <w:top w:val="single" w:sz="4" w:space="0" w:color="auto"/>
              <w:left w:val="single" w:sz="6" w:space="0" w:color="auto"/>
              <w:bottom w:val="nil"/>
              <w:right w:val="single" w:sz="6" w:space="0" w:color="auto"/>
            </w:tcBorders>
            <w:hideMark/>
          </w:tcPr>
          <w:p w14:paraId="27705F88" w14:textId="77777777" w:rsidR="001E7112" w:rsidRPr="00F8474E" w:rsidRDefault="001E7112" w:rsidP="001E7112">
            <w:pPr>
              <w:pStyle w:val="TAC"/>
            </w:pPr>
            <w:r w:rsidRPr="00F8474E">
              <w:t>120</w:t>
            </w:r>
          </w:p>
        </w:tc>
        <w:tc>
          <w:tcPr>
            <w:tcW w:w="1422" w:type="dxa"/>
            <w:tcBorders>
              <w:top w:val="single" w:sz="6" w:space="0" w:color="auto"/>
              <w:left w:val="single" w:sz="6" w:space="0" w:color="auto"/>
              <w:bottom w:val="nil"/>
              <w:right w:val="single" w:sz="4" w:space="0" w:color="auto"/>
            </w:tcBorders>
            <w:hideMark/>
          </w:tcPr>
          <w:p w14:paraId="1D0DA692" w14:textId="19AE5814" w:rsidR="001E7112" w:rsidRPr="00F8474E" w:rsidRDefault="001E7112" w:rsidP="001E7112">
            <w:pPr>
              <w:pStyle w:val="TAC"/>
              <w:rPr>
                <w:lang w:eastAsia="zh-CN"/>
              </w:rPr>
            </w:pPr>
            <w:r w:rsidRPr="00F8474E">
              <w:t>≥1</w:t>
            </w:r>
          </w:p>
        </w:tc>
        <w:tc>
          <w:tcPr>
            <w:tcW w:w="3258" w:type="dxa"/>
            <w:tcBorders>
              <w:top w:val="single" w:sz="4" w:space="0" w:color="auto"/>
              <w:left w:val="single" w:sz="4" w:space="0" w:color="auto"/>
              <w:bottom w:val="single" w:sz="4" w:space="0" w:color="auto"/>
              <w:right w:val="single" w:sz="4" w:space="0" w:color="auto"/>
            </w:tcBorders>
            <w:hideMark/>
          </w:tcPr>
          <w:p w14:paraId="2FBBF16D" w14:textId="77777777" w:rsidR="001E7112" w:rsidRPr="00F8474E" w:rsidRDefault="001E7112" w:rsidP="001E7112">
            <w:pPr>
              <w:pStyle w:val="TAC"/>
            </w:pPr>
            <w:r w:rsidRPr="00F8474E">
              <w:t>NOTE 6</w:t>
            </w:r>
          </w:p>
        </w:tc>
        <w:tc>
          <w:tcPr>
            <w:tcW w:w="1558" w:type="dxa"/>
            <w:tcBorders>
              <w:top w:val="single" w:sz="6" w:space="0" w:color="auto"/>
              <w:left w:val="single" w:sz="4" w:space="0" w:color="auto"/>
              <w:bottom w:val="single" w:sz="6" w:space="0" w:color="auto"/>
              <w:right w:val="single" w:sz="4" w:space="0" w:color="auto"/>
            </w:tcBorders>
            <w:hideMark/>
          </w:tcPr>
          <w:p w14:paraId="5829B9E3" w14:textId="77777777" w:rsidR="001E7112" w:rsidRPr="00F8474E" w:rsidRDefault="001E7112" w:rsidP="001E7112">
            <w:pPr>
              <w:pStyle w:val="TAC"/>
            </w:pPr>
            <w:r w:rsidRPr="00F8474E">
              <w:t>NOTE 6</w:t>
            </w:r>
          </w:p>
        </w:tc>
      </w:tr>
      <w:tr w:rsidR="001E7112" w:rsidRPr="00F8474E" w14:paraId="12217507" w14:textId="77777777" w:rsidTr="00FA482E">
        <w:trPr>
          <w:jc w:val="center"/>
        </w:trPr>
        <w:tc>
          <w:tcPr>
            <w:tcW w:w="1133" w:type="dxa"/>
            <w:tcBorders>
              <w:top w:val="single" w:sz="6" w:space="0" w:color="auto"/>
              <w:left w:val="single" w:sz="4" w:space="0" w:color="auto"/>
              <w:bottom w:val="nil"/>
              <w:right w:val="single" w:sz="6" w:space="0" w:color="auto"/>
            </w:tcBorders>
            <w:hideMark/>
          </w:tcPr>
          <w:p w14:paraId="00EE2088" w14:textId="4CED6F27" w:rsidR="001E7112" w:rsidRPr="00F8474E" w:rsidRDefault="001E7112" w:rsidP="001E7112">
            <w:pPr>
              <w:pStyle w:val="TAC"/>
              <w:rPr>
                <w:lang w:eastAsia="zh-CN"/>
              </w:rPr>
            </w:pPr>
            <w:r w:rsidRPr="00F8474E">
              <w:t>± 4+</w:t>
            </w:r>
            <w:r w:rsidRPr="00F8474E">
              <w:rPr>
                <w:lang w:eastAsia="ko-KR"/>
              </w:rPr>
              <w:sym w:font="Symbol" w:char="F064"/>
            </w:r>
          </w:p>
        </w:tc>
        <w:tc>
          <w:tcPr>
            <w:tcW w:w="851" w:type="dxa"/>
            <w:tcBorders>
              <w:top w:val="nil"/>
              <w:left w:val="single" w:sz="6" w:space="0" w:color="auto"/>
              <w:bottom w:val="nil"/>
              <w:right w:val="single" w:sz="6" w:space="0" w:color="auto"/>
            </w:tcBorders>
          </w:tcPr>
          <w:p w14:paraId="4A62C2E5" w14:textId="77777777" w:rsidR="001E7112" w:rsidRPr="00F8474E" w:rsidRDefault="001E7112" w:rsidP="001E7112">
            <w:pPr>
              <w:pStyle w:val="TAC"/>
              <w:rPr>
                <w:lang w:val="sv-SE"/>
              </w:rPr>
            </w:pPr>
          </w:p>
        </w:tc>
        <w:tc>
          <w:tcPr>
            <w:tcW w:w="1133" w:type="dxa"/>
            <w:tcBorders>
              <w:top w:val="single" w:sz="6" w:space="0" w:color="auto"/>
              <w:left w:val="single" w:sz="6" w:space="0" w:color="auto"/>
              <w:bottom w:val="nil"/>
              <w:right w:val="single" w:sz="6" w:space="0" w:color="auto"/>
            </w:tcBorders>
            <w:hideMark/>
          </w:tcPr>
          <w:p w14:paraId="49DB9B97" w14:textId="39CE0D76" w:rsidR="001E7112" w:rsidRPr="00F8474E" w:rsidRDefault="001E7112" w:rsidP="001E7112">
            <w:pPr>
              <w:pStyle w:val="TAC"/>
              <w:rPr>
                <w:lang w:eastAsia="zh-CN"/>
              </w:rPr>
            </w:pPr>
            <w:r w:rsidRPr="00F8474E">
              <w:rPr>
                <w:rFonts w:cs="Calibri"/>
              </w:rPr>
              <w:t>≥</w:t>
            </w:r>
            <w:r w:rsidRPr="00F8474E">
              <w:t>128</w:t>
            </w:r>
          </w:p>
        </w:tc>
        <w:tc>
          <w:tcPr>
            <w:tcW w:w="845" w:type="dxa"/>
            <w:tcBorders>
              <w:top w:val="nil"/>
              <w:left w:val="single" w:sz="6" w:space="0" w:color="auto"/>
              <w:bottom w:val="single" w:sz="4" w:space="0" w:color="auto"/>
              <w:right w:val="single" w:sz="6" w:space="0" w:color="auto"/>
            </w:tcBorders>
          </w:tcPr>
          <w:p w14:paraId="08ECD157" w14:textId="77777777" w:rsidR="001E7112" w:rsidRPr="00F8474E" w:rsidRDefault="001E7112" w:rsidP="001E7112">
            <w:pPr>
              <w:pStyle w:val="TAC"/>
            </w:pPr>
          </w:p>
        </w:tc>
        <w:tc>
          <w:tcPr>
            <w:tcW w:w="1422" w:type="dxa"/>
            <w:tcBorders>
              <w:top w:val="single" w:sz="6" w:space="0" w:color="auto"/>
              <w:left w:val="single" w:sz="6" w:space="0" w:color="auto"/>
              <w:bottom w:val="nil"/>
              <w:right w:val="single" w:sz="4" w:space="0" w:color="auto"/>
            </w:tcBorders>
            <w:hideMark/>
          </w:tcPr>
          <w:p w14:paraId="0027B626" w14:textId="2F3B97AF" w:rsidR="001E7112" w:rsidRPr="00F8474E" w:rsidRDefault="001E7112" w:rsidP="001E7112">
            <w:pPr>
              <w:pStyle w:val="TAC"/>
              <w:rPr>
                <w:lang w:eastAsia="zh-CN"/>
              </w:rPr>
            </w:pPr>
            <w:r w:rsidRPr="00F8474E">
              <w:t>≥1</w:t>
            </w:r>
          </w:p>
        </w:tc>
        <w:tc>
          <w:tcPr>
            <w:tcW w:w="3258" w:type="dxa"/>
            <w:tcBorders>
              <w:top w:val="single" w:sz="4" w:space="0" w:color="auto"/>
              <w:left w:val="single" w:sz="4" w:space="0" w:color="auto"/>
              <w:bottom w:val="single" w:sz="4" w:space="0" w:color="auto"/>
              <w:right w:val="single" w:sz="4" w:space="0" w:color="auto"/>
            </w:tcBorders>
            <w:hideMark/>
          </w:tcPr>
          <w:p w14:paraId="0E83847C" w14:textId="77777777" w:rsidR="001E7112" w:rsidRPr="00F8474E" w:rsidRDefault="001E7112" w:rsidP="001E7112">
            <w:pPr>
              <w:pStyle w:val="TAC"/>
            </w:pPr>
            <w:r w:rsidRPr="00F8474E">
              <w:t>NOTE 6</w:t>
            </w:r>
          </w:p>
        </w:tc>
        <w:tc>
          <w:tcPr>
            <w:tcW w:w="1558" w:type="dxa"/>
            <w:tcBorders>
              <w:top w:val="single" w:sz="6" w:space="0" w:color="auto"/>
              <w:left w:val="single" w:sz="4" w:space="0" w:color="auto"/>
              <w:bottom w:val="single" w:sz="6" w:space="0" w:color="auto"/>
              <w:right w:val="single" w:sz="4" w:space="0" w:color="auto"/>
            </w:tcBorders>
            <w:hideMark/>
          </w:tcPr>
          <w:p w14:paraId="667E30C2" w14:textId="77777777" w:rsidR="001E7112" w:rsidRPr="00F8474E" w:rsidRDefault="001E7112" w:rsidP="001E7112">
            <w:pPr>
              <w:pStyle w:val="TAC"/>
            </w:pPr>
            <w:r w:rsidRPr="00F8474E">
              <w:t>NOTE 6</w:t>
            </w:r>
          </w:p>
        </w:tc>
      </w:tr>
      <w:tr w:rsidR="001E7112" w:rsidRPr="00F8474E" w14:paraId="7680166D" w14:textId="77777777" w:rsidTr="00FA482E">
        <w:trPr>
          <w:jc w:val="center"/>
        </w:trPr>
        <w:tc>
          <w:tcPr>
            <w:tcW w:w="10200" w:type="dxa"/>
            <w:gridSpan w:val="7"/>
            <w:tcBorders>
              <w:top w:val="single" w:sz="6" w:space="0" w:color="auto"/>
              <w:left w:val="single" w:sz="4" w:space="0" w:color="auto"/>
              <w:bottom w:val="single" w:sz="4" w:space="0" w:color="auto"/>
              <w:right w:val="single" w:sz="4" w:space="0" w:color="auto"/>
            </w:tcBorders>
            <w:hideMark/>
          </w:tcPr>
          <w:p w14:paraId="28933E79" w14:textId="77777777" w:rsidR="001E7112" w:rsidRPr="00F8474E" w:rsidRDefault="001E7112" w:rsidP="001E7112">
            <w:pPr>
              <w:pStyle w:val="TAN"/>
            </w:pPr>
            <w:r w:rsidRPr="00F8474E">
              <w:t>NOTE 1:</w:t>
            </w:r>
            <w:r w:rsidRPr="00F8474E">
              <w:tab/>
              <w:t>This minimum Io condition is expressed as the average Io per RE over all REs in an OFDM symbol.</w:t>
            </w:r>
          </w:p>
          <w:p w14:paraId="33D072E3" w14:textId="77777777" w:rsidR="001E7112" w:rsidRPr="00F8474E" w:rsidRDefault="001E7112" w:rsidP="001E7112">
            <w:pPr>
              <w:pStyle w:val="TAN"/>
            </w:pPr>
            <w:r w:rsidRPr="00F8474E">
              <w:t>NOTE 2:</w:t>
            </w:r>
            <w:r w:rsidRPr="00F8474E">
              <w:tab/>
              <w:t>NR operating band groups are as defined in Section 3.5.</w:t>
            </w:r>
          </w:p>
          <w:p w14:paraId="5ED43A84" w14:textId="77777777" w:rsidR="001E7112" w:rsidRPr="00F8474E" w:rsidRDefault="001E7112" w:rsidP="001E7112">
            <w:pPr>
              <w:pStyle w:val="TAN"/>
            </w:pPr>
            <w:r w:rsidRPr="00F8474E">
              <w:t>NOTE 3:</w:t>
            </w:r>
            <w:r w:rsidRPr="00F8474E">
              <w:tab/>
            </w:r>
            <m:oMath>
              <m:sSubSup>
                <m:sSubSupPr>
                  <m:ctrlPr>
                    <w:rPr>
                      <w:rFonts w:ascii="Cambria Math" w:hAnsi="Cambria Math"/>
                    </w:rPr>
                  </m:ctrlPr>
                </m:sSubSupPr>
                <m:e>
                  <m:r>
                    <w:rPr>
                      <w:rFonts w:ascii="Cambria Math" w:hAnsi="Cambria Math"/>
                    </w:rPr>
                    <m:t>T</m:t>
                  </m:r>
                </m:e>
                <m:sub>
                  <m:r>
                    <m:rPr>
                      <m:sty m:val="p"/>
                    </m:rPr>
                    <w:rPr>
                      <w:rFonts w:ascii="Cambria Math" w:hAnsi="Cambria Math"/>
                    </w:rPr>
                    <m:t>rep</m:t>
                  </m:r>
                </m:sub>
                <m:sup>
                  <m:r>
                    <m:rPr>
                      <m:sty m:val="p"/>
                    </m:rPr>
                    <w:rPr>
                      <w:rFonts w:ascii="Cambria Math" w:hAnsi="Cambria Math"/>
                    </w:rPr>
                    <m:t>PRS</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PRS</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m:rPr>
                      <m:sty m:val="p"/>
                    </m:rPr>
                    <w:rPr>
                      <w:rFonts w:ascii="Cambria Math" w:hAnsi="Cambria Math"/>
                    </w:rPr>
                    <m:t>comb</m:t>
                  </m:r>
                </m:sub>
                <m:sup>
                  <m:r>
                    <m:rPr>
                      <m:sty m:val="p"/>
                    </m:rPr>
                    <w:rPr>
                      <w:rFonts w:ascii="Cambria Math" w:hAnsi="Cambria Math"/>
                    </w:rPr>
                    <m:t>PRS</m:t>
                  </m:r>
                </m:sup>
              </m:sSubSup>
            </m:oMath>
            <w:r w:rsidRPr="00F8474E">
              <w:t xml:space="preserve"> are configured by higher layer parameter dl-PRS-ResourceRepetitionFactor, dl-PRS-NumSymbols and  dl-PRS-CombSizeNdefined in TS 37.355 [34].</w:t>
            </w:r>
          </w:p>
          <w:p w14:paraId="0ED5C1CF" w14:textId="77777777" w:rsidR="001E7112" w:rsidRPr="00F8474E" w:rsidRDefault="001E7112" w:rsidP="001E7112">
            <w:pPr>
              <w:pStyle w:val="TAN"/>
            </w:pPr>
            <w:r w:rsidRPr="00F8474E">
              <w:t>NOTE 4:</w:t>
            </w:r>
            <w:r w:rsidRPr="00F8474E">
              <w:tab/>
              <w:t>The Io is defined in PRS slots. The same Io range applies to PRS and non-PRS symbols. Io levels are different in PRS and non-PRS symbols within the same slot.</w:t>
            </w:r>
          </w:p>
          <w:p w14:paraId="3978CC3C" w14:textId="77777777" w:rsidR="001E7112" w:rsidRPr="00F8474E" w:rsidRDefault="001E7112" w:rsidP="001E7112">
            <w:pPr>
              <w:pStyle w:val="TAN"/>
            </w:pPr>
            <w:r w:rsidRPr="00F8474E">
              <w:t>NOTE 5:</w:t>
            </w:r>
            <w:r w:rsidRPr="00F8474E">
              <w:tab/>
              <w:t>Tc is the basic timing unit defined in TS 38.211 [6].</w:t>
            </w:r>
          </w:p>
          <w:p w14:paraId="6A3FEFD0" w14:textId="77777777" w:rsidR="001E7112" w:rsidRPr="00F8474E" w:rsidRDefault="001E7112" w:rsidP="001E7112">
            <w:pPr>
              <w:pStyle w:val="TAN"/>
              <w:rPr>
                <w:rFonts w:eastAsia="SimSun"/>
              </w:rPr>
            </w:pPr>
            <w:r w:rsidRPr="00F8474E">
              <w:rPr>
                <w:rFonts w:eastAsia="SimSun"/>
              </w:rPr>
              <w:t>NOTE 6:</w:t>
            </w:r>
            <w:r w:rsidRPr="00F8474E">
              <w:rPr>
                <w:rFonts w:eastAsia="SimSun"/>
              </w:rPr>
              <w:tab/>
              <w:t>The same bands and the same Io conditions for each band apply for this requirement as for the corresponding requirement with the PRS bandwidth of the smallest RB number for the corresponding SCS.</w:t>
            </w:r>
          </w:p>
          <w:p w14:paraId="31DFEC7C" w14:textId="77777777" w:rsidR="001E7112" w:rsidRPr="00F8474E" w:rsidRDefault="001E7112" w:rsidP="001E7112">
            <w:pPr>
              <w:pStyle w:val="TAN"/>
            </w:pPr>
            <w:r w:rsidRPr="00F8474E">
              <w:rPr>
                <w:rFonts w:eastAsia="SimSun"/>
              </w:rPr>
              <w:t xml:space="preserve">NOTE 7: </w:t>
            </w:r>
            <w:r w:rsidRPr="00F8474E">
              <w:rPr>
                <w:rFonts w:eastAsia="SimSun"/>
              </w:rPr>
              <w:tab/>
            </w:r>
            <w:r w:rsidRPr="00F8474E">
              <w:rPr>
                <w:rFonts w:eastAsia="SimSun"/>
              </w:rPr>
              <w:sym w:font="Symbol" w:char="F064"/>
            </w:r>
            <w:r w:rsidRPr="00F8474E">
              <w:rPr>
                <w:rFonts w:eastAsia="SimSun"/>
              </w:rPr>
              <w:t xml:space="preserve"> is the margin determined from Table 10.1.25.2-6.</w:t>
            </w:r>
          </w:p>
        </w:tc>
      </w:tr>
    </w:tbl>
    <w:p w14:paraId="3F5FB6C4" w14:textId="77777777" w:rsidR="001E7112" w:rsidRDefault="001E7112" w:rsidP="0012580B">
      <w:pPr>
        <w:spacing w:before="180"/>
      </w:pPr>
    </w:p>
    <w:p w14:paraId="6B94688A" w14:textId="53AA17CB" w:rsidR="0012580B" w:rsidRPr="006B6398" w:rsidRDefault="0012580B" w:rsidP="0012580B">
      <w:pPr>
        <w:spacing w:before="180"/>
      </w:pPr>
      <w:r w:rsidRPr="006B6398">
        <w:t xml:space="preserve">The </w:t>
      </w:r>
      <w:r>
        <w:t xml:space="preserve">relative </w:t>
      </w:r>
      <w:r w:rsidRPr="006B6398">
        <w:t>accuracy requirements in Table 10.1.25.2-3b for FR2 are valid under the following conditions:</w:t>
      </w:r>
    </w:p>
    <w:p w14:paraId="377B78CF" w14:textId="77777777" w:rsidR="0012580B" w:rsidRPr="006B6398" w:rsidRDefault="0012580B" w:rsidP="0012580B">
      <w:r w:rsidRPr="006B6398">
        <w:t>Conditions defined in clause 7.3 of TS 38.101-2 [19] for reference sensitivity are fulfilled.</w:t>
      </w:r>
    </w:p>
    <w:p w14:paraId="16D66EA6" w14:textId="77777777" w:rsidR="0012580B" w:rsidRPr="006B6398" w:rsidRDefault="0012580B" w:rsidP="0012580B">
      <w:pPr>
        <w:ind w:left="568" w:hanging="284"/>
      </w:pPr>
      <w:r w:rsidRPr="006B6398">
        <w:t>PRP|</w:t>
      </w:r>
      <w:r w:rsidRPr="006B6398">
        <w:rPr>
          <w:vertAlign w:val="subscript"/>
        </w:rPr>
        <w:t>dBm</w:t>
      </w:r>
      <w:r w:rsidRPr="006B6398">
        <w:t xml:space="preserve"> according to Annex B.2.14 for a corresponding Band </w:t>
      </w:r>
    </w:p>
    <w:p w14:paraId="3B5F9ACA" w14:textId="77777777" w:rsidR="0012580B" w:rsidRPr="006B6398" w:rsidRDefault="0012580B" w:rsidP="0012580B">
      <w:r w:rsidRPr="006B6398">
        <w:t>AWGN propagation condition.</w:t>
      </w:r>
    </w:p>
    <w:p w14:paraId="036CE8D6" w14:textId="3D1F1C51" w:rsidR="00F32113" w:rsidRPr="006B6398" w:rsidRDefault="0012580B" w:rsidP="0012580B">
      <w:r>
        <w:rPr>
          <w:rFonts w:eastAsia="DengXian"/>
          <w:lang w:val="en-US" w:eastAsia="zh-CN"/>
        </w:rPr>
        <w:t>the</w:t>
      </w:r>
      <w:r w:rsidRPr="006B6398">
        <w:rPr>
          <w:rFonts w:eastAsia="DengXian"/>
          <w:lang w:val="en-US" w:eastAsia="zh-CN"/>
        </w:rPr>
        <w:t xml:space="preserve"> two UE Rx-Tx time difference measurements are </w:t>
      </w:r>
      <w:r>
        <w:rPr>
          <w:rFonts w:eastAsia="DengXian"/>
          <w:lang w:val="en-US" w:eastAsia="zh-CN"/>
        </w:rPr>
        <w:t>associated with the</w:t>
      </w:r>
      <w:r w:rsidRPr="006B6398">
        <w:rPr>
          <w:rFonts w:eastAsia="DengXian"/>
          <w:lang w:val="en-US" w:eastAsia="zh-CN"/>
        </w:rPr>
        <w:t xml:space="preserve"> same RxTx TEG</w:t>
      </w:r>
    </w:p>
    <w:p w14:paraId="07553502" w14:textId="77777777" w:rsidR="007E4333" w:rsidRPr="00F8474E" w:rsidRDefault="007E4333" w:rsidP="007E4333">
      <w:pPr>
        <w:pStyle w:val="TH"/>
        <w:rPr>
          <w:lang w:val="en-US" w:eastAsia="zh-CN"/>
        </w:rPr>
      </w:pPr>
      <w:r w:rsidRPr="00F8474E">
        <w:t>Table 10.1.25.2-3b: UE Rx-Tx time difference relative measurement accuracy in FR2 in AWGN with TEG reporting</w:t>
      </w:r>
    </w:p>
    <w:tbl>
      <w:tblPr>
        <w:tblW w:w="0" w:type="auto"/>
        <w:jc w:val="center"/>
        <w:tblLook w:val="01E0" w:firstRow="1" w:lastRow="1" w:firstColumn="1" w:lastColumn="1" w:noHBand="0" w:noVBand="0"/>
      </w:tblPr>
      <w:tblGrid>
        <w:gridCol w:w="1084"/>
        <w:gridCol w:w="1031"/>
        <w:gridCol w:w="700"/>
        <w:gridCol w:w="1257"/>
        <w:gridCol w:w="1409"/>
        <w:gridCol w:w="2632"/>
        <w:gridCol w:w="1516"/>
      </w:tblGrid>
      <w:tr w:rsidR="007E4333" w:rsidRPr="00F8474E" w14:paraId="3B91AE6D" w14:textId="77777777" w:rsidTr="00FA482E">
        <w:trPr>
          <w:jc w:val="center"/>
        </w:trPr>
        <w:tc>
          <w:tcPr>
            <w:tcW w:w="0" w:type="auto"/>
            <w:vMerge w:val="restart"/>
            <w:tcBorders>
              <w:top w:val="single" w:sz="4" w:space="0" w:color="auto"/>
              <w:left w:val="single" w:sz="4" w:space="0" w:color="auto"/>
              <w:bottom w:val="single" w:sz="6" w:space="0" w:color="auto"/>
              <w:right w:val="single" w:sz="6" w:space="0" w:color="auto"/>
            </w:tcBorders>
            <w:vAlign w:val="center"/>
            <w:hideMark/>
          </w:tcPr>
          <w:p w14:paraId="6ADF54AE" w14:textId="77777777" w:rsidR="007E4333" w:rsidRPr="00F8474E" w:rsidRDefault="007E4333" w:rsidP="007E4333">
            <w:pPr>
              <w:pStyle w:val="TAH"/>
              <w:rPr>
                <w:lang w:eastAsia="ko-KR"/>
              </w:rPr>
            </w:pPr>
            <w:r w:rsidRPr="00F8474E">
              <w:rPr>
                <w:lang w:eastAsia="ko-KR"/>
              </w:rPr>
              <w:t>Accuracy</w:t>
            </w:r>
          </w:p>
        </w:tc>
        <w:tc>
          <w:tcPr>
            <w:tcW w:w="0" w:type="auto"/>
            <w:gridSpan w:val="6"/>
            <w:tcBorders>
              <w:top w:val="single" w:sz="4" w:space="0" w:color="auto"/>
              <w:left w:val="single" w:sz="6" w:space="0" w:color="auto"/>
              <w:bottom w:val="single" w:sz="6" w:space="0" w:color="auto"/>
              <w:right w:val="single" w:sz="4" w:space="0" w:color="auto"/>
            </w:tcBorders>
            <w:vAlign w:val="center"/>
            <w:hideMark/>
          </w:tcPr>
          <w:p w14:paraId="14C097F1" w14:textId="77777777" w:rsidR="007E4333" w:rsidRPr="00F8474E" w:rsidRDefault="007E4333" w:rsidP="007E4333">
            <w:pPr>
              <w:pStyle w:val="TAH"/>
              <w:rPr>
                <w:lang w:eastAsia="ko-KR"/>
              </w:rPr>
            </w:pPr>
            <w:r w:rsidRPr="00F8474E">
              <w:rPr>
                <w:lang w:eastAsia="ko-KR"/>
              </w:rPr>
              <w:t>Conditions</w:t>
            </w:r>
          </w:p>
        </w:tc>
      </w:tr>
      <w:tr w:rsidR="007E4333" w:rsidRPr="00F8474E" w14:paraId="366A0B4F" w14:textId="77777777" w:rsidTr="00FA482E">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5EDD5613" w14:textId="77777777" w:rsidR="007E4333" w:rsidRPr="00F8474E" w:rsidRDefault="007E4333" w:rsidP="007E4333">
            <w:pPr>
              <w:pStyle w:val="TAH"/>
              <w:rPr>
                <w:lang w:eastAsia="ko-KR"/>
              </w:rPr>
            </w:pPr>
          </w:p>
        </w:tc>
        <w:tc>
          <w:tcPr>
            <w:tcW w:w="0" w:type="auto"/>
            <w:vMerge w:val="restart"/>
            <w:tcBorders>
              <w:top w:val="single" w:sz="6" w:space="0" w:color="auto"/>
              <w:left w:val="single" w:sz="6" w:space="0" w:color="auto"/>
              <w:bottom w:val="single" w:sz="6" w:space="0" w:color="auto"/>
              <w:right w:val="single" w:sz="4" w:space="0" w:color="auto"/>
            </w:tcBorders>
            <w:vAlign w:val="center"/>
            <w:hideMark/>
          </w:tcPr>
          <w:p w14:paraId="6C3C05DE" w14:textId="77777777" w:rsidR="007E4333" w:rsidRPr="00F8474E" w:rsidRDefault="007E4333" w:rsidP="007E4333">
            <w:pPr>
              <w:pStyle w:val="TAH"/>
              <w:rPr>
                <w:lang w:eastAsia="ko-KR"/>
              </w:rPr>
            </w:pPr>
            <w:r w:rsidRPr="00F8474E">
              <w:rPr>
                <w:lang w:eastAsia="ko-KR"/>
              </w:rPr>
              <w:t>PRS Ês/Iot</w:t>
            </w:r>
          </w:p>
        </w:tc>
        <w:tc>
          <w:tcPr>
            <w:tcW w:w="0" w:type="auto"/>
            <w:vMerge w:val="restart"/>
            <w:tcBorders>
              <w:top w:val="single" w:sz="6" w:space="0" w:color="auto"/>
              <w:left w:val="single" w:sz="4" w:space="0" w:color="auto"/>
              <w:bottom w:val="single" w:sz="6" w:space="0" w:color="auto"/>
              <w:right w:val="single" w:sz="6" w:space="0" w:color="auto"/>
            </w:tcBorders>
            <w:vAlign w:val="center"/>
            <w:hideMark/>
          </w:tcPr>
          <w:p w14:paraId="55BA1639" w14:textId="77777777" w:rsidR="007E4333" w:rsidRPr="00F8474E" w:rsidRDefault="007E4333" w:rsidP="007E4333">
            <w:pPr>
              <w:pStyle w:val="TAH"/>
              <w:rPr>
                <w:lang w:eastAsia="ko-KR"/>
              </w:rPr>
            </w:pPr>
            <w:r w:rsidRPr="00F8474E">
              <w:rPr>
                <w:lang w:eastAsia="ko-KR"/>
              </w:rPr>
              <w:t>PRS SCS</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5EF37D38" w14:textId="77777777" w:rsidR="007E4333" w:rsidRPr="00F8474E" w:rsidRDefault="007E4333" w:rsidP="007E4333">
            <w:pPr>
              <w:pStyle w:val="TAH"/>
              <w:rPr>
                <w:lang w:eastAsia="ko-KR"/>
              </w:rPr>
            </w:pPr>
            <w:r w:rsidRPr="00F8474E">
              <w:rPr>
                <w:lang w:eastAsia="ko-KR"/>
              </w:rPr>
              <w:t>PRS bandwidth</w:t>
            </w:r>
          </w:p>
          <w:p w14:paraId="3E17B87E" w14:textId="77777777" w:rsidR="007E4333" w:rsidRPr="00F8474E" w:rsidRDefault="007E4333" w:rsidP="007E4333">
            <w:pPr>
              <w:pStyle w:val="TAH"/>
              <w:rPr>
                <w:lang w:eastAsia="ko-KR"/>
              </w:rPr>
            </w:pPr>
            <w:r w:rsidRPr="00F8474E">
              <w:rPr>
                <w:vertAlign w:val="superscript"/>
                <w:lang w:eastAsia="ko-KR"/>
              </w:rPr>
              <w:t>Note 1</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2F0D89E0" w14:textId="77777777" w:rsidR="007E4333" w:rsidRPr="00F8474E" w:rsidRDefault="007E4333" w:rsidP="007E4333">
            <w:pPr>
              <w:pStyle w:val="TAH"/>
              <w:rPr>
                <w:lang w:eastAsia="ko-KR"/>
              </w:rPr>
            </w:pPr>
            <w:r w:rsidRPr="00F8474E">
              <w:rPr>
                <w:lang w:eastAsia="ko-KR"/>
              </w:rPr>
              <w:t xml:space="preserve">PRS resource repetition </w:t>
            </w:r>
          </w:p>
          <w:p w14:paraId="356F1085" w14:textId="77777777" w:rsidR="007E4333" w:rsidRPr="00F8474E" w:rsidRDefault="007E4333" w:rsidP="007E4333">
            <w:pPr>
              <w:pStyle w:val="TAH"/>
              <w:rPr>
                <w:lang w:eastAsia="ko-KR"/>
              </w:rPr>
            </w:pPr>
            <w:r w:rsidRPr="00F8474E">
              <w:rPr>
                <w:lang w:eastAsia="ko-KR"/>
              </w:rPr>
              <w:t>(</w:t>
            </w:r>
            <m:oMath>
              <m:sSubSup>
                <m:sSubSupPr>
                  <m:ctrlPr>
                    <w:rPr>
                      <w:rFonts w:ascii="Cambria Math" w:eastAsia="DengXian" w:hAnsi="Cambria Math"/>
                      <w:bCs/>
                      <w:i/>
                      <w:iCs/>
                      <w:szCs w:val="22"/>
                      <w:lang w:eastAsia="ko-KR"/>
                    </w:rPr>
                  </m:ctrlPr>
                </m:sSubSupPr>
                <m:e>
                  <m:r>
                    <m:rPr>
                      <m:sty m:val="b"/>
                    </m:rPr>
                    <w:rPr>
                      <w:rFonts w:ascii="Cambria Math" w:hAnsi="Cambria Math"/>
                      <w:lang w:eastAsia="ko-KR"/>
                    </w:rPr>
                    <m:t>T</m:t>
                  </m:r>
                </m:e>
                <m:sub>
                  <m:r>
                    <m:rPr>
                      <m:sty m:val="b"/>
                    </m:rPr>
                    <w:rPr>
                      <w:rFonts w:ascii="Cambria Math" w:hAnsi="Cambria Math"/>
                      <w:lang w:eastAsia="ko-KR"/>
                    </w:rPr>
                    <m:t>rep</m:t>
                  </m:r>
                </m:sub>
                <m:sup>
                  <m:r>
                    <m:rPr>
                      <m:sty m:val="b"/>
                    </m:rPr>
                    <w:rPr>
                      <w:rFonts w:ascii="Cambria Math" w:hAnsi="Cambria Math"/>
                      <w:lang w:eastAsia="ko-KR"/>
                    </w:rPr>
                    <m:t>PRS</m:t>
                  </m:r>
                </m:sup>
              </m:sSubSup>
              <m:r>
                <m:rPr>
                  <m:sty m:val="b"/>
                </m:rPr>
                <w:rPr>
                  <w:rFonts w:ascii="Cambria Math" w:hAnsi="Cambria Math"/>
                  <w:lang w:eastAsia="ko-KR"/>
                </w:rPr>
                <m:t>*</m:t>
              </m:r>
              <m:sSub>
                <m:sSubPr>
                  <m:ctrlPr>
                    <w:rPr>
                      <w:rFonts w:ascii="Cambria Math" w:eastAsia="DengXian" w:hAnsi="Cambria Math"/>
                      <w:bCs/>
                      <w:i/>
                      <w:iCs/>
                      <w:szCs w:val="22"/>
                      <w:lang w:eastAsia="ko-KR"/>
                    </w:rPr>
                  </m:ctrlPr>
                </m:sSubPr>
                <m:e>
                  <m:r>
                    <m:rPr>
                      <m:sty m:val="b"/>
                    </m:rPr>
                    <w:rPr>
                      <w:rFonts w:ascii="Cambria Math" w:hAnsi="Cambria Math"/>
                      <w:lang w:eastAsia="ko-KR"/>
                    </w:rPr>
                    <m:t>L</m:t>
                  </m:r>
                </m:e>
                <m:sub>
                  <m:r>
                    <m:rPr>
                      <m:sty m:val="b"/>
                    </m:rPr>
                    <w:rPr>
                      <w:rFonts w:ascii="Cambria Math" w:hAnsi="Cambria Math"/>
                      <w:lang w:eastAsia="ko-KR"/>
                    </w:rPr>
                    <m:t>PRS</m:t>
                  </m:r>
                </m:sub>
              </m:sSub>
              <m:r>
                <m:rPr>
                  <m:sty m:val="b"/>
                </m:rPr>
                <w:rPr>
                  <w:rFonts w:ascii="Cambria Math" w:hAnsi="Cambria Math"/>
                  <w:lang w:eastAsia="ko-KR"/>
                </w:rPr>
                <m:t>/</m:t>
              </m:r>
              <m:sSubSup>
                <m:sSubSupPr>
                  <m:ctrlPr>
                    <w:rPr>
                      <w:rFonts w:ascii="Cambria Math" w:eastAsia="DengXian" w:hAnsi="Cambria Math"/>
                      <w:bCs/>
                      <w:i/>
                      <w:iCs/>
                      <w:szCs w:val="22"/>
                      <w:lang w:eastAsia="ko-KR"/>
                    </w:rPr>
                  </m:ctrlPr>
                </m:sSubSupPr>
                <m:e>
                  <m:r>
                    <m:rPr>
                      <m:sty m:val="b"/>
                    </m:rPr>
                    <w:rPr>
                      <w:rFonts w:ascii="Cambria Math" w:hAnsi="Cambria Math"/>
                      <w:lang w:eastAsia="ko-KR"/>
                    </w:rPr>
                    <m:t>K</m:t>
                  </m:r>
                </m:e>
                <m:sub>
                  <m:r>
                    <m:rPr>
                      <m:sty m:val="b"/>
                    </m:rPr>
                    <w:rPr>
                      <w:rFonts w:ascii="Cambria Math" w:hAnsi="Cambria Math"/>
                      <w:lang w:eastAsia="ko-KR"/>
                    </w:rPr>
                    <m:t>comb</m:t>
                  </m:r>
                </m:sub>
                <m:sup>
                  <m:r>
                    <m:rPr>
                      <m:sty m:val="b"/>
                    </m:rPr>
                    <w:rPr>
                      <w:rFonts w:ascii="Cambria Math" w:hAnsi="Cambria Math"/>
                      <w:lang w:eastAsia="ko-KR"/>
                    </w:rPr>
                    <m:t>PRS</m:t>
                  </m:r>
                </m:sup>
              </m:sSubSup>
            </m:oMath>
            <w:r w:rsidRPr="00F8474E">
              <w:rPr>
                <w:lang w:eastAsia="ko-KR"/>
              </w:rPr>
              <w:t xml:space="preserve">)          </w:t>
            </w:r>
            <w:r w:rsidRPr="00F8474E">
              <w:rPr>
                <w:vertAlign w:val="superscript"/>
                <w:lang w:eastAsia="ko-KR"/>
              </w:rPr>
              <w:t>Note 2</w:t>
            </w:r>
          </w:p>
        </w:tc>
        <w:tc>
          <w:tcPr>
            <w:tcW w:w="0" w:type="auto"/>
            <w:gridSpan w:val="2"/>
            <w:tcBorders>
              <w:top w:val="single" w:sz="6" w:space="0" w:color="auto"/>
              <w:left w:val="single" w:sz="6" w:space="0" w:color="auto"/>
              <w:bottom w:val="single" w:sz="6" w:space="0" w:color="auto"/>
              <w:right w:val="single" w:sz="4" w:space="0" w:color="auto"/>
            </w:tcBorders>
            <w:vAlign w:val="center"/>
            <w:hideMark/>
          </w:tcPr>
          <w:p w14:paraId="00D9965D" w14:textId="77777777" w:rsidR="007E4333" w:rsidRPr="00F8474E" w:rsidRDefault="007E4333" w:rsidP="007E4333">
            <w:pPr>
              <w:pStyle w:val="TAH"/>
              <w:rPr>
                <w:lang w:eastAsia="ko-KR"/>
              </w:rPr>
            </w:pPr>
            <w:r w:rsidRPr="00F8474E">
              <w:rPr>
                <w:lang w:eastAsia="ko-KR"/>
              </w:rPr>
              <w:t>Io</w:t>
            </w:r>
            <w:r w:rsidRPr="00F8474E">
              <w:rPr>
                <w:vertAlign w:val="superscript"/>
                <w:lang w:eastAsia="ko-KR"/>
              </w:rPr>
              <w:t xml:space="preserve"> Note 3</w:t>
            </w:r>
            <w:r w:rsidRPr="00F8474E">
              <w:rPr>
                <w:lang w:eastAsia="ko-KR"/>
              </w:rPr>
              <w:t xml:space="preserve"> range</w:t>
            </w:r>
          </w:p>
        </w:tc>
      </w:tr>
      <w:tr w:rsidR="007E4333" w:rsidRPr="00F8474E" w14:paraId="0D390C6F" w14:textId="77777777" w:rsidTr="00FA482E">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1D409EE8" w14:textId="77777777" w:rsidR="007E4333" w:rsidRPr="00F8474E" w:rsidRDefault="007E4333" w:rsidP="007E4333">
            <w:pPr>
              <w:pStyle w:val="TAH"/>
              <w:rPr>
                <w:lang w:eastAsia="ko-KR"/>
              </w:rPr>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531CFAFA" w14:textId="77777777" w:rsidR="007E4333" w:rsidRPr="00F8474E" w:rsidRDefault="007E4333" w:rsidP="007E4333">
            <w:pPr>
              <w:pStyle w:val="TAH"/>
              <w:rPr>
                <w:lang w:eastAsia="ko-KR"/>
              </w:rPr>
            </w:pPr>
          </w:p>
        </w:tc>
        <w:tc>
          <w:tcPr>
            <w:tcW w:w="0" w:type="auto"/>
            <w:vMerge/>
            <w:tcBorders>
              <w:top w:val="single" w:sz="6" w:space="0" w:color="auto"/>
              <w:left w:val="single" w:sz="4" w:space="0" w:color="auto"/>
              <w:bottom w:val="single" w:sz="6" w:space="0" w:color="auto"/>
              <w:right w:val="single" w:sz="6" w:space="0" w:color="auto"/>
            </w:tcBorders>
            <w:vAlign w:val="center"/>
            <w:hideMark/>
          </w:tcPr>
          <w:p w14:paraId="19D53AB7" w14:textId="77777777" w:rsidR="007E4333" w:rsidRPr="00F8474E" w:rsidRDefault="007E4333" w:rsidP="007E4333">
            <w:pPr>
              <w:pStyle w:val="TAH"/>
              <w:rPr>
                <w:lang w:eastAsia="ko-KR"/>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43A358E" w14:textId="77777777" w:rsidR="007E4333" w:rsidRPr="00F8474E" w:rsidRDefault="007E4333" w:rsidP="007E4333">
            <w:pPr>
              <w:pStyle w:val="TAH"/>
              <w:rPr>
                <w:lang w:eastAsia="ko-KR"/>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8254F77" w14:textId="77777777" w:rsidR="007E4333" w:rsidRPr="00F8474E" w:rsidRDefault="007E4333" w:rsidP="007E4333">
            <w:pPr>
              <w:pStyle w:val="TAH"/>
              <w:rPr>
                <w:lang w:eastAsia="ko-KR"/>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A6681FC" w14:textId="77777777" w:rsidR="007E4333" w:rsidRPr="00F8474E" w:rsidRDefault="007E4333" w:rsidP="007E4333">
            <w:pPr>
              <w:pStyle w:val="TAH"/>
              <w:rPr>
                <w:lang w:eastAsia="ko-KR"/>
              </w:rPr>
            </w:pPr>
            <w:r w:rsidRPr="00F8474E">
              <w:rPr>
                <w:lang w:eastAsia="ko-KR"/>
              </w:rPr>
              <w:t xml:space="preserve">Minimum Io </w:t>
            </w:r>
          </w:p>
        </w:tc>
        <w:tc>
          <w:tcPr>
            <w:tcW w:w="0" w:type="auto"/>
            <w:tcBorders>
              <w:top w:val="single" w:sz="6" w:space="0" w:color="auto"/>
              <w:left w:val="single" w:sz="6" w:space="0" w:color="auto"/>
              <w:bottom w:val="single" w:sz="6" w:space="0" w:color="auto"/>
              <w:right w:val="single" w:sz="4" w:space="0" w:color="auto"/>
            </w:tcBorders>
            <w:vAlign w:val="center"/>
            <w:hideMark/>
          </w:tcPr>
          <w:p w14:paraId="4995A71E" w14:textId="77777777" w:rsidR="007E4333" w:rsidRPr="00F8474E" w:rsidRDefault="007E4333" w:rsidP="007E4333">
            <w:pPr>
              <w:pStyle w:val="TAH"/>
              <w:rPr>
                <w:lang w:eastAsia="ko-KR"/>
              </w:rPr>
            </w:pPr>
            <w:r w:rsidRPr="00F8474E">
              <w:rPr>
                <w:lang w:eastAsia="ko-KR"/>
              </w:rPr>
              <w:t>Maximum Io</w:t>
            </w:r>
          </w:p>
        </w:tc>
      </w:tr>
      <w:tr w:rsidR="007E4333" w:rsidRPr="00F8474E" w14:paraId="70678A9D" w14:textId="77777777" w:rsidTr="00FA482E">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609EAC54" w14:textId="77777777" w:rsidR="007E4333" w:rsidRPr="00F8474E" w:rsidRDefault="007E4333" w:rsidP="007E4333">
            <w:pPr>
              <w:pStyle w:val="TAH"/>
              <w:rPr>
                <w:lang w:eastAsia="ko-KR"/>
              </w:rPr>
            </w:pPr>
            <w:r w:rsidRPr="00F8474E">
              <w:rPr>
                <w:lang w:eastAsia="ko-KR"/>
              </w:rPr>
              <w:t>Tc</w:t>
            </w:r>
            <w:r w:rsidRPr="00F8474E">
              <w:rPr>
                <w:vertAlign w:val="superscript"/>
                <w:lang w:eastAsia="ko-KR"/>
              </w:rPr>
              <w:t xml:space="preserve"> Note 4</w:t>
            </w:r>
          </w:p>
        </w:tc>
        <w:tc>
          <w:tcPr>
            <w:tcW w:w="0" w:type="auto"/>
            <w:tcBorders>
              <w:top w:val="single" w:sz="6" w:space="0" w:color="auto"/>
              <w:left w:val="single" w:sz="6" w:space="0" w:color="auto"/>
              <w:bottom w:val="single" w:sz="6" w:space="0" w:color="auto"/>
              <w:right w:val="single" w:sz="4" w:space="0" w:color="auto"/>
            </w:tcBorders>
            <w:vAlign w:val="center"/>
            <w:hideMark/>
          </w:tcPr>
          <w:p w14:paraId="42460096" w14:textId="77777777" w:rsidR="007E4333" w:rsidRPr="00F8474E" w:rsidRDefault="007E4333" w:rsidP="007E4333">
            <w:pPr>
              <w:pStyle w:val="TAH"/>
              <w:rPr>
                <w:lang w:eastAsia="ko-KR"/>
              </w:rPr>
            </w:pPr>
            <w:r w:rsidRPr="00F8474E">
              <w:rPr>
                <w:lang w:eastAsia="ko-KR"/>
              </w:rPr>
              <w:t>dB</w:t>
            </w:r>
          </w:p>
        </w:tc>
        <w:tc>
          <w:tcPr>
            <w:tcW w:w="0" w:type="auto"/>
            <w:tcBorders>
              <w:top w:val="single" w:sz="6" w:space="0" w:color="auto"/>
              <w:left w:val="single" w:sz="4" w:space="0" w:color="auto"/>
              <w:bottom w:val="single" w:sz="6" w:space="0" w:color="auto"/>
              <w:right w:val="single" w:sz="6" w:space="0" w:color="auto"/>
            </w:tcBorders>
            <w:vAlign w:val="center"/>
            <w:hideMark/>
          </w:tcPr>
          <w:p w14:paraId="12914DD1" w14:textId="77777777" w:rsidR="007E4333" w:rsidRPr="00F8474E" w:rsidRDefault="007E4333" w:rsidP="007E4333">
            <w:pPr>
              <w:pStyle w:val="TAH"/>
              <w:rPr>
                <w:lang w:eastAsia="ko-KR"/>
              </w:rPr>
            </w:pPr>
            <w:r w:rsidRPr="00F8474E">
              <w:rPr>
                <w:lang w:eastAsia="ko-KR"/>
              </w:rPr>
              <w:t>kHz</w:t>
            </w:r>
          </w:p>
        </w:tc>
        <w:tc>
          <w:tcPr>
            <w:tcW w:w="0" w:type="auto"/>
            <w:tcBorders>
              <w:top w:val="single" w:sz="6" w:space="0" w:color="auto"/>
              <w:left w:val="single" w:sz="6" w:space="0" w:color="auto"/>
              <w:bottom w:val="single" w:sz="6" w:space="0" w:color="auto"/>
              <w:right w:val="single" w:sz="6" w:space="0" w:color="auto"/>
            </w:tcBorders>
            <w:vAlign w:val="center"/>
            <w:hideMark/>
          </w:tcPr>
          <w:p w14:paraId="6B62FDCD" w14:textId="77777777" w:rsidR="007E4333" w:rsidRPr="00F8474E" w:rsidRDefault="007E4333" w:rsidP="007E4333">
            <w:pPr>
              <w:pStyle w:val="TAH"/>
              <w:rPr>
                <w:lang w:eastAsia="ko-KR"/>
              </w:rPr>
            </w:pPr>
            <w:r w:rsidRPr="00F8474E">
              <w:rPr>
                <w:lang w:eastAsia="ko-KR"/>
              </w:rPr>
              <w:t>RB</w:t>
            </w:r>
          </w:p>
        </w:tc>
        <w:tc>
          <w:tcPr>
            <w:tcW w:w="0" w:type="auto"/>
            <w:tcBorders>
              <w:top w:val="single" w:sz="6" w:space="0" w:color="auto"/>
              <w:left w:val="single" w:sz="6" w:space="0" w:color="auto"/>
              <w:bottom w:val="single" w:sz="6" w:space="0" w:color="auto"/>
              <w:right w:val="single" w:sz="6" w:space="0" w:color="auto"/>
            </w:tcBorders>
            <w:vAlign w:val="center"/>
          </w:tcPr>
          <w:p w14:paraId="4FAF8820" w14:textId="77777777" w:rsidR="007E4333" w:rsidRPr="00F8474E" w:rsidRDefault="007E4333" w:rsidP="007E4333">
            <w:pPr>
              <w:pStyle w:val="TAH"/>
              <w:rPr>
                <w:lang w:eastAsia="ko-KR"/>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C0607C6" w14:textId="77777777" w:rsidR="007E4333" w:rsidRPr="00F8474E" w:rsidRDefault="007E4333" w:rsidP="007E4333">
            <w:pPr>
              <w:pStyle w:val="TAH"/>
              <w:rPr>
                <w:lang w:eastAsia="ko-KR"/>
              </w:rPr>
            </w:pPr>
            <w:r w:rsidRPr="00F8474E">
              <w:rPr>
                <w:lang w:eastAsia="ko-KR"/>
              </w:rPr>
              <w:t>dBm/SCS</w:t>
            </w:r>
            <w:r w:rsidRPr="00F8474E">
              <w:rPr>
                <w:vertAlign w:val="superscript"/>
                <w:lang w:eastAsia="ko-KR"/>
              </w:rPr>
              <w:t xml:space="preserve"> </w:t>
            </w:r>
          </w:p>
        </w:tc>
        <w:tc>
          <w:tcPr>
            <w:tcW w:w="0" w:type="auto"/>
            <w:tcBorders>
              <w:top w:val="single" w:sz="6" w:space="0" w:color="auto"/>
              <w:left w:val="single" w:sz="6" w:space="0" w:color="auto"/>
              <w:bottom w:val="single" w:sz="6" w:space="0" w:color="auto"/>
              <w:right w:val="single" w:sz="4" w:space="0" w:color="auto"/>
            </w:tcBorders>
            <w:vAlign w:val="center"/>
            <w:hideMark/>
          </w:tcPr>
          <w:p w14:paraId="2E64E9BC" w14:textId="77777777" w:rsidR="007E4333" w:rsidRPr="00F8474E" w:rsidRDefault="007E4333" w:rsidP="007E4333">
            <w:pPr>
              <w:pStyle w:val="TAH"/>
              <w:rPr>
                <w:lang w:eastAsia="ko-KR"/>
              </w:rPr>
            </w:pPr>
            <w:r w:rsidRPr="00F8474E">
              <w:rPr>
                <w:lang w:eastAsia="ko-KR"/>
              </w:rPr>
              <w:t>dBm/BW</w:t>
            </w:r>
            <w:r w:rsidRPr="00F8474E">
              <w:rPr>
                <w:vertAlign w:val="subscript"/>
                <w:lang w:eastAsia="ko-KR"/>
              </w:rPr>
              <w:t>Channel</w:t>
            </w:r>
          </w:p>
        </w:tc>
      </w:tr>
      <w:tr w:rsidR="007E4333" w:rsidRPr="00F8474E" w14:paraId="0B58B067" w14:textId="77777777" w:rsidTr="00FA482E">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4F3DA783" w14:textId="5F4467C2" w:rsidR="007E4333" w:rsidRPr="00F8474E" w:rsidRDefault="007E4333" w:rsidP="007E4333">
            <w:pPr>
              <w:pStyle w:val="TAC"/>
              <w:rPr>
                <w:b/>
                <w:sz w:val="16"/>
                <w:szCs w:val="16"/>
                <w:lang w:eastAsia="ko-KR"/>
              </w:rPr>
            </w:pPr>
            <w:r>
              <w:rPr>
                <w:rFonts w:eastAsia="SimSun"/>
                <w:lang w:eastAsia="ko-KR"/>
              </w:rPr>
              <w:t>35</w:t>
            </w:r>
            <w:r w:rsidRPr="00F8474E">
              <w:rPr>
                <w:rFonts w:eastAsia="SimSun"/>
                <w:lang w:eastAsia="ko-KR"/>
              </w:rPr>
              <w:t xml:space="preserve"> +</w:t>
            </w:r>
            <w:r w:rsidRPr="00F8474E">
              <w:rPr>
                <w:rFonts w:ascii="SimSun" w:eastAsia="SimSun" w:hAnsi="SimSun" w:hint="eastAsia"/>
              </w:rPr>
              <w:t>Δ</w:t>
            </w:r>
            <w:r w:rsidRPr="00F8474E">
              <w:rPr>
                <w:rFonts w:eastAsia="SimSun"/>
                <w:sz w:val="16"/>
                <w:szCs w:val="16"/>
                <w:vertAlign w:val="superscript"/>
                <w:lang w:eastAsia="ko-KR"/>
              </w:rPr>
              <w:t>Note 6</w:t>
            </w:r>
          </w:p>
        </w:tc>
        <w:tc>
          <w:tcPr>
            <w:tcW w:w="0" w:type="auto"/>
            <w:vMerge w:val="restart"/>
            <w:tcBorders>
              <w:top w:val="single" w:sz="6" w:space="0" w:color="auto"/>
              <w:left w:val="single" w:sz="6" w:space="0" w:color="auto"/>
              <w:bottom w:val="nil"/>
              <w:right w:val="single" w:sz="4" w:space="0" w:color="auto"/>
            </w:tcBorders>
            <w:vAlign w:val="center"/>
          </w:tcPr>
          <w:p w14:paraId="0B503DCF" w14:textId="77777777" w:rsidR="007E4333" w:rsidRPr="00F8474E" w:rsidRDefault="007E4333" w:rsidP="007E4333">
            <w:pPr>
              <w:pStyle w:val="TAC"/>
              <w:rPr>
                <w:szCs w:val="22"/>
                <w:lang w:eastAsia="ko-KR"/>
              </w:rPr>
            </w:pPr>
            <w:r w:rsidRPr="00F8474E">
              <w:rPr>
                <w:lang w:eastAsia="ko-KR"/>
              </w:rPr>
              <w:t>(PRS Ês/Iot)</w:t>
            </w:r>
            <w:r w:rsidRPr="00F8474E">
              <w:rPr>
                <w:i/>
                <w:vertAlign w:val="subscript"/>
                <w:lang w:eastAsia="ko-KR"/>
              </w:rPr>
              <w:t>j</w:t>
            </w:r>
            <w:r w:rsidRPr="00F8474E">
              <w:rPr>
                <w:vertAlign w:val="subscript"/>
                <w:lang w:eastAsia="ko-KR"/>
              </w:rPr>
              <w:t xml:space="preserve"> </w:t>
            </w:r>
            <w:r w:rsidRPr="00F8474E">
              <w:rPr>
                <w:lang w:eastAsia="ko-KR"/>
              </w:rPr>
              <w:t>≥-6dB</w:t>
            </w:r>
          </w:p>
          <w:p w14:paraId="205FF349" w14:textId="77777777" w:rsidR="007E4333" w:rsidRPr="00F8474E" w:rsidRDefault="007E4333" w:rsidP="007E4333">
            <w:pPr>
              <w:pStyle w:val="TAC"/>
              <w:rPr>
                <w:lang w:eastAsia="ko-KR"/>
              </w:rPr>
            </w:pPr>
          </w:p>
          <w:p w14:paraId="1C04FD21" w14:textId="77777777" w:rsidR="007E4333" w:rsidRPr="00F8474E" w:rsidRDefault="007E4333" w:rsidP="007E4333">
            <w:pPr>
              <w:pStyle w:val="TAC"/>
              <w:rPr>
                <w:b/>
                <w:sz w:val="16"/>
                <w:szCs w:val="16"/>
                <w:lang w:eastAsia="ko-KR"/>
              </w:rPr>
            </w:pPr>
            <w:r w:rsidRPr="00F8474E">
              <w:rPr>
                <w:lang w:eastAsia="ko-KR"/>
              </w:rPr>
              <w:t xml:space="preserve"> (PRS Ês/Iot)</w:t>
            </w:r>
            <w:r w:rsidRPr="00F8474E">
              <w:rPr>
                <w:i/>
                <w:vertAlign w:val="subscript"/>
                <w:lang w:eastAsia="ko-KR"/>
              </w:rPr>
              <w:t>i</w:t>
            </w:r>
            <w:r w:rsidRPr="00F8474E">
              <w:rPr>
                <w:lang w:eastAsia="ko-KR"/>
              </w:rPr>
              <w:t xml:space="preserve"> ≥-13dB</w:t>
            </w:r>
          </w:p>
        </w:tc>
        <w:tc>
          <w:tcPr>
            <w:tcW w:w="0" w:type="auto"/>
            <w:vMerge w:val="restart"/>
            <w:tcBorders>
              <w:top w:val="single" w:sz="6" w:space="0" w:color="auto"/>
              <w:left w:val="single" w:sz="4" w:space="0" w:color="auto"/>
              <w:bottom w:val="single" w:sz="6" w:space="0" w:color="auto"/>
              <w:right w:val="single" w:sz="6" w:space="0" w:color="auto"/>
            </w:tcBorders>
            <w:vAlign w:val="center"/>
            <w:hideMark/>
          </w:tcPr>
          <w:p w14:paraId="066FAB04" w14:textId="77777777" w:rsidR="007E4333" w:rsidRPr="00F8474E" w:rsidRDefault="007E4333" w:rsidP="007E4333">
            <w:pPr>
              <w:pStyle w:val="TAC"/>
              <w:rPr>
                <w:szCs w:val="22"/>
                <w:lang w:eastAsia="ko-KR"/>
              </w:rPr>
            </w:pPr>
            <w:r w:rsidRPr="00F8474E">
              <w:rPr>
                <w:lang w:eastAsia="ko-KR"/>
              </w:rPr>
              <w:t>60</w:t>
            </w:r>
          </w:p>
        </w:tc>
        <w:tc>
          <w:tcPr>
            <w:tcW w:w="0" w:type="auto"/>
            <w:tcBorders>
              <w:top w:val="single" w:sz="6" w:space="0" w:color="auto"/>
              <w:left w:val="single" w:sz="6" w:space="0" w:color="auto"/>
              <w:bottom w:val="single" w:sz="6" w:space="0" w:color="auto"/>
              <w:right w:val="single" w:sz="6" w:space="0" w:color="auto"/>
            </w:tcBorders>
            <w:vAlign w:val="center"/>
            <w:hideMark/>
          </w:tcPr>
          <w:p w14:paraId="05006BA2" w14:textId="57F911A6" w:rsidR="007E4333" w:rsidRPr="00F8474E" w:rsidRDefault="007E4333" w:rsidP="007E4333">
            <w:pPr>
              <w:pStyle w:val="TAC"/>
              <w:rPr>
                <w:b/>
                <w:sz w:val="16"/>
                <w:szCs w:val="16"/>
                <w:lang w:eastAsia="zh-CN"/>
              </w:rPr>
            </w:pPr>
            <w:r w:rsidRPr="00F8474E">
              <w:rPr>
                <w:lang w:eastAsia="ko-KR"/>
              </w:rPr>
              <w:t>≥ 24</w:t>
            </w:r>
          </w:p>
        </w:tc>
        <w:tc>
          <w:tcPr>
            <w:tcW w:w="0" w:type="auto"/>
            <w:tcBorders>
              <w:top w:val="single" w:sz="6" w:space="0" w:color="auto"/>
              <w:left w:val="single" w:sz="6" w:space="0" w:color="auto"/>
              <w:bottom w:val="single" w:sz="6" w:space="0" w:color="auto"/>
              <w:right w:val="single" w:sz="6" w:space="0" w:color="auto"/>
            </w:tcBorders>
            <w:vAlign w:val="center"/>
            <w:hideMark/>
          </w:tcPr>
          <w:p w14:paraId="7C2DDBA6" w14:textId="361675C0" w:rsidR="007E4333" w:rsidRPr="00F8474E" w:rsidRDefault="007E4333" w:rsidP="007E4333">
            <w:pPr>
              <w:pStyle w:val="TAC"/>
              <w:rPr>
                <w:b/>
                <w:szCs w:val="22"/>
                <w:lang w:eastAsia="zh-CN"/>
              </w:rPr>
            </w:pPr>
            <w:r w:rsidRPr="00F8474E">
              <w:rPr>
                <w:rFonts w:eastAsia="SimSun"/>
                <w:lang w:eastAsia="ko-KR"/>
              </w:rPr>
              <w:t>≥ 4</w:t>
            </w:r>
          </w:p>
        </w:tc>
        <w:tc>
          <w:tcPr>
            <w:tcW w:w="0" w:type="auto"/>
            <w:tcBorders>
              <w:top w:val="single" w:sz="6" w:space="0" w:color="auto"/>
              <w:left w:val="single" w:sz="6" w:space="0" w:color="auto"/>
              <w:bottom w:val="single" w:sz="6" w:space="0" w:color="auto"/>
              <w:right w:val="single" w:sz="6" w:space="0" w:color="auto"/>
            </w:tcBorders>
            <w:vAlign w:val="center"/>
            <w:hideMark/>
          </w:tcPr>
          <w:p w14:paraId="0650592F" w14:textId="16B01667" w:rsidR="007E4333" w:rsidRPr="00F8474E" w:rsidRDefault="007E4333" w:rsidP="007E4333">
            <w:pPr>
              <w:pStyle w:val="TAC"/>
              <w:rPr>
                <w:b/>
                <w:sz w:val="16"/>
                <w:szCs w:val="16"/>
                <w:lang w:eastAsia="ko-KR"/>
              </w:rPr>
            </w:pPr>
            <w:r w:rsidRPr="00F8474E">
              <w:rPr>
                <w:lang w:eastAsia="ko-KR"/>
              </w:rPr>
              <w:t>Same value as PRS_RP in Table B.2.</w:t>
            </w:r>
            <w:r w:rsidRPr="00F8474E">
              <w:rPr>
                <w:rFonts w:hint="eastAsia"/>
                <w:lang w:eastAsia="zh-CN"/>
              </w:rPr>
              <w:t>14</w:t>
            </w:r>
            <w:r w:rsidRPr="00F8474E">
              <w:rPr>
                <w:lang w:eastAsia="ko-KR"/>
              </w:rPr>
              <w:t>-2, according to UE Power class, operating band and angle of arrival</w:t>
            </w:r>
          </w:p>
        </w:tc>
        <w:tc>
          <w:tcPr>
            <w:tcW w:w="0" w:type="auto"/>
            <w:tcBorders>
              <w:top w:val="single" w:sz="6" w:space="0" w:color="auto"/>
              <w:left w:val="single" w:sz="6" w:space="0" w:color="auto"/>
              <w:bottom w:val="single" w:sz="6" w:space="0" w:color="auto"/>
              <w:right w:val="single" w:sz="4" w:space="0" w:color="auto"/>
            </w:tcBorders>
            <w:vAlign w:val="center"/>
            <w:hideMark/>
          </w:tcPr>
          <w:p w14:paraId="537A0683" w14:textId="77777777" w:rsidR="007E4333" w:rsidRPr="00F8474E" w:rsidRDefault="007E4333" w:rsidP="007E4333">
            <w:pPr>
              <w:pStyle w:val="TAC"/>
              <w:rPr>
                <w:b/>
                <w:sz w:val="16"/>
                <w:szCs w:val="16"/>
                <w:lang w:eastAsia="ko-KR"/>
              </w:rPr>
            </w:pPr>
            <w:r w:rsidRPr="00F8474E">
              <w:rPr>
                <w:lang w:eastAsia="ko-KR"/>
              </w:rPr>
              <w:t>-50</w:t>
            </w:r>
          </w:p>
        </w:tc>
      </w:tr>
      <w:tr w:rsidR="007E4333" w:rsidRPr="00F8474E" w14:paraId="72BF9DCD" w14:textId="77777777" w:rsidTr="00FA482E">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6474069B" w14:textId="10FE3B0D" w:rsidR="007E4333" w:rsidRPr="00F8474E" w:rsidRDefault="007E4333" w:rsidP="007E4333">
            <w:pPr>
              <w:pStyle w:val="TAC"/>
              <w:rPr>
                <w:b/>
                <w:sz w:val="16"/>
                <w:szCs w:val="16"/>
                <w:lang w:eastAsia="ko-KR"/>
              </w:rPr>
            </w:pPr>
            <w:r>
              <w:rPr>
                <w:lang w:eastAsia="ko-KR"/>
              </w:rPr>
              <w:t>24</w:t>
            </w:r>
            <w:r w:rsidRPr="00F8474E">
              <w:rPr>
                <w:lang w:eastAsia="ko-KR"/>
              </w:rPr>
              <w:t xml:space="preserve"> +</w:t>
            </w:r>
            <w:r w:rsidRPr="00F8474E">
              <w:rPr>
                <w:rFonts w:ascii="SimSun" w:hAnsi="SimSun" w:hint="eastAsia"/>
              </w:rPr>
              <w:t>Δ</w:t>
            </w:r>
          </w:p>
        </w:tc>
        <w:tc>
          <w:tcPr>
            <w:tcW w:w="0" w:type="auto"/>
            <w:vMerge/>
            <w:tcBorders>
              <w:top w:val="single" w:sz="6" w:space="0" w:color="auto"/>
              <w:left w:val="single" w:sz="6" w:space="0" w:color="auto"/>
              <w:bottom w:val="nil"/>
              <w:right w:val="single" w:sz="4" w:space="0" w:color="auto"/>
            </w:tcBorders>
            <w:vAlign w:val="center"/>
            <w:hideMark/>
          </w:tcPr>
          <w:p w14:paraId="522E4212" w14:textId="77777777" w:rsidR="007E4333" w:rsidRPr="00F8474E" w:rsidRDefault="007E4333" w:rsidP="007E4333">
            <w:pPr>
              <w:pStyle w:val="TAC"/>
              <w:rPr>
                <w:b/>
                <w:sz w:val="16"/>
                <w:szCs w:val="16"/>
                <w:lang w:eastAsia="ko-KR"/>
              </w:rPr>
            </w:pPr>
          </w:p>
        </w:tc>
        <w:tc>
          <w:tcPr>
            <w:tcW w:w="0" w:type="auto"/>
            <w:vMerge/>
            <w:tcBorders>
              <w:top w:val="single" w:sz="6" w:space="0" w:color="auto"/>
              <w:left w:val="single" w:sz="4" w:space="0" w:color="auto"/>
              <w:bottom w:val="single" w:sz="6" w:space="0" w:color="auto"/>
              <w:right w:val="single" w:sz="6" w:space="0" w:color="auto"/>
            </w:tcBorders>
            <w:vAlign w:val="center"/>
            <w:hideMark/>
          </w:tcPr>
          <w:p w14:paraId="53A99D9B" w14:textId="77777777" w:rsidR="007E4333" w:rsidRPr="00F8474E" w:rsidRDefault="007E4333" w:rsidP="007E4333">
            <w:pPr>
              <w:pStyle w:val="TAC"/>
              <w:rPr>
                <w:szCs w:val="22"/>
                <w:lang w:eastAsia="ko-KR"/>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D1020D2" w14:textId="2BEDE36A" w:rsidR="007E4333" w:rsidRPr="00F8474E" w:rsidRDefault="007E4333" w:rsidP="007E4333">
            <w:pPr>
              <w:pStyle w:val="TAC"/>
              <w:rPr>
                <w:b/>
                <w:sz w:val="16"/>
                <w:szCs w:val="16"/>
                <w:lang w:eastAsia="zh-CN"/>
              </w:rPr>
            </w:pPr>
            <w:r w:rsidRPr="00F8474E">
              <w:rPr>
                <w:lang w:eastAsia="ko-KR"/>
              </w:rPr>
              <w:t>≥ 64</w:t>
            </w:r>
          </w:p>
        </w:tc>
        <w:tc>
          <w:tcPr>
            <w:tcW w:w="0" w:type="auto"/>
            <w:tcBorders>
              <w:top w:val="single" w:sz="6" w:space="0" w:color="auto"/>
              <w:left w:val="single" w:sz="6" w:space="0" w:color="auto"/>
              <w:bottom w:val="single" w:sz="6" w:space="0" w:color="auto"/>
              <w:right w:val="single" w:sz="6" w:space="0" w:color="auto"/>
            </w:tcBorders>
            <w:vAlign w:val="center"/>
            <w:hideMark/>
          </w:tcPr>
          <w:p w14:paraId="5EC7E623" w14:textId="313E6C9F" w:rsidR="007E4333" w:rsidRPr="00F8474E" w:rsidRDefault="007E4333" w:rsidP="007E4333">
            <w:pPr>
              <w:pStyle w:val="TAC"/>
              <w:rPr>
                <w:b/>
                <w:szCs w:val="22"/>
                <w:lang w:eastAsia="zh-CN"/>
              </w:rPr>
            </w:pPr>
            <w:r w:rsidRPr="00F8474E">
              <w:rPr>
                <w:rFonts w:eastAsia="SimSun"/>
                <w:lang w:eastAsia="ko-KR"/>
              </w:rPr>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35D4C25A" w14:textId="77777777" w:rsidR="007E4333" w:rsidRPr="00F8474E" w:rsidRDefault="007E4333" w:rsidP="007E4333">
            <w:pPr>
              <w:pStyle w:val="TAC"/>
              <w:rPr>
                <w:b/>
                <w:sz w:val="16"/>
                <w:szCs w:val="16"/>
                <w:lang w:eastAsia="ko-KR"/>
              </w:rPr>
            </w:pPr>
            <w:r w:rsidRPr="00F8474E">
              <w:rPr>
                <w:lang w:eastAsia="ko-KR"/>
              </w:rPr>
              <w:t>Note 5</w:t>
            </w:r>
          </w:p>
        </w:tc>
        <w:tc>
          <w:tcPr>
            <w:tcW w:w="0" w:type="auto"/>
            <w:tcBorders>
              <w:top w:val="single" w:sz="6" w:space="0" w:color="auto"/>
              <w:left w:val="single" w:sz="6" w:space="0" w:color="auto"/>
              <w:bottom w:val="single" w:sz="6" w:space="0" w:color="auto"/>
              <w:right w:val="single" w:sz="4" w:space="0" w:color="auto"/>
            </w:tcBorders>
            <w:vAlign w:val="center"/>
            <w:hideMark/>
          </w:tcPr>
          <w:p w14:paraId="3E30D747" w14:textId="77777777" w:rsidR="007E4333" w:rsidRPr="00F8474E" w:rsidRDefault="007E4333" w:rsidP="007E4333">
            <w:pPr>
              <w:pStyle w:val="TAC"/>
              <w:rPr>
                <w:b/>
                <w:sz w:val="16"/>
                <w:szCs w:val="16"/>
                <w:lang w:eastAsia="ko-KR"/>
              </w:rPr>
            </w:pPr>
            <w:r w:rsidRPr="00F8474E">
              <w:rPr>
                <w:lang w:eastAsia="ko-KR"/>
              </w:rPr>
              <w:t>Note 5</w:t>
            </w:r>
          </w:p>
        </w:tc>
      </w:tr>
      <w:tr w:rsidR="007E4333" w:rsidRPr="00F8474E" w14:paraId="7BC32282" w14:textId="77777777" w:rsidTr="00FA482E">
        <w:trPr>
          <w:jc w:val="center"/>
        </w:trPr>
        <w:tc>
          <w:tcPr>
            <w:tcW w:w="0" w:type="auto"/>
            <w:tcBorders>
              <w:top w:val="single" w:sz="6" w:space="0" w:color="auto"/>
              <w:left w:val="single" w:sz="4" w:space="0" w:color="auto"/>
              <w:bottom w:val="single" w:sz="6" w:space="0" w:color="auto"/>
              <w:right w:val="single" w:sz="6" w:space="0" w:color="auto"/>
            </w:tcBorders>
            <w:vAlign w:val="center"/>
            <w:hideMark/>
          </w:tcPr>
          <w:p w14:paraId="3C15A79A" w14:textId="1C4061DC" w:rsidR="007E4333" w:rsidRPr="00F8474E" w:rsidRDefault="007E4333" w:rsidP="007E4333">
            <w:pPr>
              <w:pStyle w:val="TAC"/>
              <w:rPr>
                <w:szCs w:val="22"/>
                <w:lang w:eastAsia="ko-KR"/>
              </w:rPr>
            </w:pPr>
            <w:r>
              <w:rPr>
                <w:lang w:eastAsia="ko-KR"/>
              </w:rPr>
              <w:t>11</w:t>
            </w:r>
            <w:r w:rsidRPr="00F8474E">
              <w:rPr>
                <w:lang w:eastAsia="ko-KR"/>
              </w:rPr>
              <w:t xml:space="preserve"> +</w:t>
            </w:r>
            <w:r w:rsidRPr="00F8474E">
              <w:rPr>
                <w:rFonts w:ascii="SimSun" w:hAnsi="SimSun" w:hint="eastAsia"/>
              </w:rPr>
              <w:t>Δ</w:t>
            </w:r>
          </w:p>
        </w:tc>
        <w:tc>
          <w:tcPr>
            <w:tcW w:w="0" w:type="auto"/>
            <w:vMerge/>
            <w:tcBorders>
              <w:top w:val="single" w:sz="6" w:space="0" w:color="auto"/>
              <w:left w:val="single" w:sz="6" w:space="0" w:color="auto"/>
              <w:bottom w:val="nil"/>
              <w:right w:val="single" w:sz="4" w:space="0" w:color="auto"/>
            </w:tcBorders>
            <w:vAlign w:val="center"/>
            <w:hideMark/>
          </w:tcPr>
          <w:p w14:paraId="25CB889A" w14:textId="77777777" w:rsidR="007E4333" w:rsidRPr="00F8474E" w:rsidRDefault="007E4333" w:rsidP="007E4333">
            <w:pPr>
              <w:pStyle w:val="TAC"/>
              <w:rPr>
                <w:b/>
                <w:sz w:val="16"/>
                <w:szCs w:val="16"/>
                <w:lang w:eastAsia="ko-KR"/>
              </w:rPr>
            </w:pPr>
          </w:p>
        </w:tc>
        <w:tc>
          <w:tcPr>
            <w:tcW w:w="0" w:type="auto"/>
            <w:vMerge/>
            <w:tcBorders>
              <w:top w:val="single" w:sz="6" w:space="0" w:color="auto"/>
              <w:left w:val="single" w:sz="4" w:space="0" w:color="auto"/>
              <w:bottom w:val="single" w:sz="6" w:space="0" w:color="auto"/>
              <w:right w:val="single" w:sz="6" w:space="0" w:color="auto"/>
            </w:tcBorders>
            <w:vAlign w:val="center"/>
            <w:hideMark/>
          </w:tcPr>
          <w:p w14:paraId="0C4444A1" w14:textId="77777777" w:rsidR="007E4333" w:rsidRPr="00F8474E" w:rsidRDefault="007E4333" w:rsidP="007E4333">
            <w:pPr>
              <w:pStyle w:val="TAC"/>
              <w:rPr>
                <w:szCs w:val="22"/>
                <w:lang w:eastAsia="ko-KR"/>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2098F4F" w14:textId="5AE77891" w:rsidR="007E4333" w:rsidRPr="00F8474E" w:rsidRDefault="007E4333" w:rsidP="007E4333">
            <w:pPr>
              <w:pStyle w:val="TAC"/>
              <w:rPr>
                <w:lang w:eastAsia="zh-CN"/>
              </w:rPr>
            </w:pPr>
            <w:r w:rsidRPr="00F8474E">
              <w:rPr>
                <w:lang w:eastAsia="ko-KR"/>
              </w:rPr>
              <w:t>≥ 132</w:t>
            </w:r>
          </w:p>
        </w:tc>
        <w:tc>
          <w:tcPr>
            <w:tcW w:w="0" w:type="auto"/>
            <w:tcBorders>
              <w:top w:val="single" w:sz="6" w:space="0" w:color="auto"/>
              <w:left w:val="single" w:sz="6" w:space="0" w:color="auto"/>
              <w:bottom w:val="single" w:sz="6" w:space="0" w:color="auto"/>
              <w:right w:val="single" w:sz="6" w:space="0" w:color="auto"/>
            </w:tcBorders>
            <w:vAlign w:val="center"/>
            <w:hideMark/>
          </w:tcPr>
          <w:p w14:paraId="33CB93BB" w14:textId="63CF97B1" w:rsidR="007E4333" w:rsidRPr="00F8474E" w:rsidRDefault="007E4333" w:rsidP="007E4333">
            <w:pPr>
              <w:pStyle w:val="TAC"/>
              <w:rPr>
                <w:lang w:eastAsia="zh-CN"/>
              </w:rPr>
            </w:pPr>
            <w:r w:rsidRPr="00F8474E">
              <w:rPr>
                <w:rFonts w:eastAsia="SimSun"/>
                <w:lang w:eastAsia="ko-KR"/>
              </w:rPr>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23EF3218" w14:textId="77777777" w:rsidR="007E4333" w:rsidRPr="00F8474E" w:rsidRDefault="007E4333" w:rsidP="007E4333">
            <w:pPr>
              <w:pStyle w:val="TAC"/>
              <w:rPr>
                <w:lang w:eastAsia="ko-KR"/>
              </w:rPr>
            </w:pPr>
            <w:r w:rsidRPr="00F8474E">
              <w:rPr>
                <w:lang w:eastAsia="ko-KR"/>
              </w:rPr>
              <w:t>Note 5</w:t>
            </w:r>
          </w:p>
        </w:tc>
        <w:tc>
          <w:tcPr>
            <w:tcW w:w="0" w:type="auto"/>
            <w:tcBorders>
              <w:top w:val="single" w:sz="6" w:space="0" w:color="auto"/>
              <w:left w:val="single" w:sz="6" w:space="0" w:color="auto"/>
              <w:bottom w:val="single" w:sz="6" w:space="0" w:color="auto"/>
              <w:right w:val="single" w:sz="4" w:space="0" w:color="auto"/>
            </w:tcBorders>
            <w:vAlign w:val="center"/>
            <w:hideMark/>
          </w:tcPr>
          <w:p w14:paraId="2A618F4C" w14:textId="77777777" w:rsidR="007E4333" w:rsidRPr="00F8474E" w:rsidRDefault="007E4333" w:rsidP="007E4333">
            <w:pPr>
              <w:pStyle w:val="TAC"/>
              <w:rPr>
                <w:lang w:eastAsia="ko-KR"/>
              </w:rPr>
            </w:pPr>
            <w:r w:rsidRPr="00F8474E">
              <w:rPr>
                <w:lang w:eastAsia="ko-KR"/>
              </w:rPr>
              <w:t>Note 5</w:t>
            </w:r>
          </w:p>
        </w:tc>
      </w:tr>
      <w:tr w:rsidR="007E4333" w:rsidRPr="00F8474E" w14:paraId="06294E5B" w14:textId="77777777" w:rsidTr="00FA482E">
        <w:trPr>
          <w:trHeight w:val="837"/>
          <w:jc w:val="center"/>
        </w:trPr>
        <w:tc>
          <w:tcPr>
            <w:tcW w:w="0" w:type="auto"/>
            <w:tcBorders>
              <w:top w:val="single" w:sz="6" w:space="0" w:color="auto"/>
              <w:left w:val="single" w:sz="4" w:space="0" w:color="auto"/>
              <w:bottom w:val="nil"/>
              <w:right w:val="single" w:sz="6" w:space="0" w:color="auto"/>
            </w:tcBorders>
            <w:vAlign w:val="center"/>
            <w:hideMark/>
          </w:tcPr>
          <w:p w14:paraId="080FD582" w14:textId="0ABA2058" w:rsidR="007E4333" w:rsidRPr="00F8474E" w:rsidRDefault="007E4333" w:rsidP="007E4333">
            <w:pPr>
              <w:pStyle w:val="TAC"/>
              <w:rPr>
                <w:lang w:eastAsia="ko-KR"/>
              </w:rPr>
            </w:pPr>
            <w:r>
              <w:rPr>
                <w:lang w:eastAsia="ko-KR"/>
              </w:rPr>
              <w:t>24</w:t>
            </w:r>
            <w:r w:rsidRPr="00F8474E">
              <w:rPr>
                <w:lang w:eastAsia="ko-KR"/>
              </w:rPr>
              <w:t>+</w:t>
            </w:r>
            <w:r w:rsidRPr="00F8474E">
              <w:rPr>
                <w:rFonts w:ascii="SimSun" w:hAnsi="SimSun" w:hint="eastAsia"/>
              </w:rPr>
              <w:t>Δ</w:t>
            </w:r>
          </w:p>
        </w:tc>
        <w:tc>
          <w:tcPr>
            <w:tcW w:w="0" w:type="auto"/>
            <w:vMerge/>
            <w:tcBorders>
              <w:top w:val="single" w:sz="6" w:space="0" w:color="auto"/>
              <w:left w:val="single" w:sz="6" w:space="0" w:color="auto"/>
              <w:bottom w:val="nil"/>
              <w:right w:val="single" w:sz="4" w:space="0" w:color="auto"/>
            </w:tcBorders>
            <w:vAlign w:val="center"/>
            <w:hideMark/>
          </w:tcPr>
          <w:p w14:paraId="627E8E80" w14:textId="77777777" w:rsidR="007E4333" w:rsidRPr="00F8474E" w:rsidRDefault="007E4333" w:rsidP="007E4333">
            <w:pPr>
              <w:pStyle w:val="TAC"/>
              <w:rPr>
                <w:b/>
                <w:sz w:val="16"/>
                <w:szCs w:val="16"/>
                <w:lang w:eastAsia="ko-KR"/>
              </w:rPr>
            </w:pPr>
          </w:p>
        </w:tc>
        <w:tc>
          <w:tcPr>
            <w:tcW w:w="0" w:type="auto"/>
            <w:vMerge w:val="restart"/>
            <w:tcBorders>
              <w:top w:val="single" w:sz="4" w:space="0" w:color="auto"/>
              <w:left w:val="single" w:sz="4" w:space="0" w:color="auto"/>
              <w:bottom w:val="single" w:sz="4" w:space="0" w:color="auto"/>
              <w:right w:val="single" w:sz="6" w:space="0" w:color="auto"/>
            </w:tcBorders>
            <w:vAlign w:val="center"/>
            <w:hideMark/>
          </w:tcPr>
          <w:p w14:paraId="2C2DC022" w14:textId="77777777" w:rsidR="007E4333" w:rsidRPr="00F8474E" w:rsidRDefault="007E4333" w:rsidP="007E4333">
            <w:pPr>
              <w:pStyle w:val="TAC"/>
              <w:rPr>
                <w:lang w:val="sv-SE" w:eastAsia="ko-KR"/>
              </w:rPr>
            </w:pPr>
            <w:r w:rsidRPr="00F8474E">
              <w:rPr>
                <w:lang w:val="sv-SE" w:eastAsia="ko-KR"/>
              </w:rPr>
              <w:t>120</w:t>
            </w:r>
          </w:p>
        </w:tc>
        <w:tc>
          <w:tcPr>
            <w:tcW w:w="0" w:type="auto"/>
            <w:tcBorders>
              <w:top w:val="single" w:sz="6" w:space="0" w:color="auto"/>
              <w:left w:val="single" w:sz="6" w:space="0" w:color="auto"/>
              <w:bottom w:val="nil"/>
              <w:right w:val="single" w:sz="6" w:space="0" w:color="auto"/>
            </w:tcBorders>
            <w:vAlign w:val="center"/>
            <w:hideMark/>
          </w:tcPr>
          <w:p w14:paraId="7230A6F3" w14:textId="026D4D68" w:rsidR="007E4333" w:rsidRPr="00F8474E" w:rsidRDefault="007E4333" w:rsidP="007E4333">
            <w:pPr>
              <w:pStyle w:val="TAC"/>
              <w:rPr>
                <w:lang w:eastAsia="zh-CN"/>
              </w:rPr>
            </w:pPr>
            <w:r w:rsidRPr="00F8474E">
              <w:rPr>
                <w:lang w:eastAsia="ko-KR"/>
              </w:rPr>
              <w:t>≥ 32</w:t>
            </w:r>
          </w:p>
        </w:tc>
        <w:tc>
          <w:tcPr>
            <w:tcW w:w="0" w:type="auto"/>
            <w:tcBorders>
              <w:top w:val="single" w:sz="6" w:space="0" w:color="auto"/>
              <w:left w:val="single" w:sz="6" w:space="0" w:color="auto"/>
              <w:bottom w:val="nil"/>
              <w:right w:val="single" w:sz="6" w:space="0" w:color="auto"/>
            </w:tcBorders>
            <w:vAlign w:val="center"/>
            <w:hideMark/>
          </w:tcPr>
          <w:p w14:paraId="4F81A6DF" w14:textId="349E46FD" w:rsidR="007E4333" w:rsidRPr="00F8474E" w:rsidRDefault="007E4333" w:rsidP="007E4333">
            <w:pPr>
              <w:pStyle w:val="TAC"/>
              <w:rPr>
                <w:lang w:eastAsia="zh-CN"/>
              </w:rPr>
            </w:pPr>
            <w:r w:rsidRPr="00F8474E">
              <w:rPr>
                <w:rFonts w:eastAsia="SimSun"/>
                <w:lang w:eastAsia="ko-KR"/>
              </w:rPr>
              <w:t>≥ 4</w:t>
            </w:r>
          </w:p>
        </w:tc>
        <w:tc>
          <w:tcPr>
            <w:tcW w:w="0" w:type="auto"/>
            <w:tcBorders>
              <w:top w:val="single" w:sz="6" w:space="0" w:color="auto"/>
              <w:left w:val="single" w:sz="6" w:space="0" w:color="auto"/>
              <w:bottom w:val="nil"/>
              <w:right w:val="single" w:sz="6" w:space="0" w:color="auto"/>
            </w:tcBorders>
            <w:vAlign w:val="center"/>
            <w:hideMark/>
          </w:tcPr>
          <w:p w14:paraId="3BEB96BF" w14:textId="37161A5F" w:rsidR="007E4333" w:rsidRPr="00F8474E" w:rsidRDefault="007E4333" w:rsidP="007E4333">
            <w:pPr>
              <w:pStyle w:val="TAC"/>
              <w:rPr>
                <w:lang w:eastAsia="ko-KR"/>
              </w:rPr>
            </w:pPr>
            <w:r w:rsidRPr="00F8474E">
              <w:rPr>
                <w:lang w:eastAsia="ko-KR"/>
              </w:rPr>
              <w:t>Same value as PRS_RP in Table B.2.</w:t>
            </w:r>
            <w:r w:rsidRPr="00F8474E">
              <w:rPr>
                <w:rFonts w:hint="eastAsia"/>
                <w:lang w:eastAsia="zh-CN"/>
              </w:rPr>
              <w:t>14</w:t>
            </w:r>
            <w:r w:rsidRPr="00F8474E">
              <w:rPr>
                <w:lang w:eastAsia="ko-KR"/>
              </w:rPr>
              <w:t>-2, according to UE Power class, operating band and angle of arrival</w:t>
            </w:r>
          </w:p>
        </w:tc>
        <w:tc>
          <w:tcPr>
            <w:tcW w:w="0" w:type="auto"/>
            <w:tcBorders>
              <w:top w:val="single" w:sz="6" w:space="0" w:color="auto"/>
              <w:left w:val="single" w:sz="6" w:space="0" w:color="auto"/>
              <w:bottom w:val="nil"/>
              <w:right w:val="single" w:sz="4" w:space="0" w:color="auto"/>
            </w:tcBorders>
            <w:vAlign w:val="center"/>
            <w:hideMark/>
          </w:tcPr>
          <w:p w14:paraId="58030024" w14:textId="77777777" w:rsidR="007E4333" w:rsidRPr="00F8474E" w:rsidRDefault="007E4333" w:rsidP="007E4333">
            <w:pPr>
              <w:pStyle w:val="TAC"/>
              <w:rPr>
                <w:lang w:eastAsia="ko-KR"/>
              </w:rPr>
            </w:pPr>
            <w:r w:rsidRPr="00F8474E">
              <w:rPr>
                <w:lang w:eastAsia="ko-KR"/>
              </w:rPr>
              <w:t>-50</w:t>
            </w:r>
          </w:p>
        </w:tc>
      </w:tr>
      <w:tr w:rsidR="007E4333" w:rsidRPr="00F8474E" w14:paraId="4135153D" w14:textId="77777777" w:rsidTr="00FA482E">
        <w:trPr>
          <w:jc w:val="center"/>
        </w:trPr>
        <w:tc>
          <w:tcPr>
            <w:tcW w:w="0" w:type="auto"/>
            <w:tcBorders>
              <w:top w:val="single" w:sz="6" w:space="0" w:color="auto"/>
              <w:left w:val="single" w:sz="4" w:space="0" w:color="auto"/>
              <w:bottom w:val="single" w:sz="6" w:space="0" w:color="auto"/>
              <w:right w:val="single" w:sz="6" w:space="0" w:color="auto"/>
            </w:tcBorders>
            <w:hideMark/>
          </w:tcPr>
          <w:p w14:paraId="79AFB466" w14:textId="3CB87516" w:rsidR="007E4333" w:rsidRPr="00F8474E" w:rsidRDefault="007E4333" w:rsidP="007E4333">
            <w:pPr>
              <w:pStyle w:val="TAC"/>
              <w:rPr>
                <w:lang w:eastAsia="ko-KR"/>
              </w:rPr>
            </w:pPr>
            <w:r>
              <w:rPr>
                <w:lang w:eastAsia="ko-KR"/>
              </w:rPr>
              <w:t>13</w:t>
            </w:r>
            <w:r w:rsidRPr="00F8474E">
              <w:rPr>
                <w:lang w:eastAsia="ko-KR"/>
              </w:rPr>
              <w:t xml:space="preserve"> +</w:t>
            </w:r>
            <w:r w:rsidRPr="00F8474E">
              <w:rPr>
                <w:rFonts w:ascii="SimSun" w:hAnsi="SimSun" w:hint="eastAsia"/>
              </w:rPr>
              <w:t>Δ</w:t>
            </w:r>
          </w:p>
        </w:tc>
        <w:tc>
          <w:tcPr>
            <w:tcW w:w="0" w:type="auto"/>
            <w:vMerge/>
            <w:tcBorders>
              <w:top w:val="single" w:sz="6" w:space="0" w:color="auto"/>
              <w:left w:val="single" w:sz="6" w:space="0" w:color="auto"/>
              <w:bottom w:val="nil"/>
              <w:right w:val="single" w:sz="4" w:space="0" w:color="auto"/>
            </w:tcBorders>
            <w:vAlign w:val="center"/>
            <w:hideMark/>
          </w:tcPr>
          <w:p w14:paraId="64A8A7DC" w14:textId="77777777" w:rsidR="007E4333" w:rsidRPr="00F8474E" w:rsidRDefault="007E4333" w:rsidP="007E4333">
            <w:pPr>
              <w:pStyle w:val="TAC"/>
              <w:rPr>
                <w:b/>
                <w:sz w:val="16"/>
                <w:szCs w:val="16"/>
                <w:lang w:eastAsia="ko-KR"/>
              </w:rPr>
            </w:pPr>
          </w:p>
        </w:tc>
        <w:tc>
          <w:tcPr>
            <w:tcW w:w="0" w:type="auto"/>
            <w:vMerge/>
            <w:tcBorders>
              <w:top w:val="single" w:sz="4" w:space="0" w:color="auto"/>
              <w:left w:val="single" w:sz="4" w:space="0" w:color="auto"/>
              <w:bottom w:val="single" w:sz="4" w:space="0" w:color="auto"/>
              <w:right w:val="single" w:sz="6" w:space="0" w:color="auto"/>
            </w:tcBorders>
            <w:vAlign w:val="center"/>
            <w:hideMark/>
          </w:tcPr>
          <w:p w14:paraId="353C9809" w14:textId="77777777" w:rsidR="007E4333" w:rsidRPr="00F8474E" w:rsidRDefault="007E4333" w:rsidP="007E4333">
            <w:pPr>
              <w:pStyle w:val="TAC"/>
              <w:rPr>
                <w:lang w:val="sv-SE" w:eastAsia="ko-KR"/>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0A1676F" w14:textId="7D4F78F1" w:rsidR="007E4333" w:rsidRPr="00F8474E" w:rsidRDefault="007E4333" w:rsidP="007E4333">
            <w:pPr>
              <w:pStyle w:val="TAC"/>
              <w:rPr>
                <w:lang w:eastAsia="zh-CN"/>
              </w:rPr>
            </w:pPr>
            <w:r w:rsidRPr="00F8474E">
              <w:rPr>
                <w:lang w:eastAsia="ko-KR"/>
              </w:rPr>
              <w:t>≥ 64</w:t>
            </w:r>
          </w:p>
        </w:tc>
        <w:tc>
          <w:tcPr>
            <w:tcW w:w="0" w:type="auto"/>
            <w:tcBorders>
              <w:top w:val="single" w:sz="6" w:space="0" w:color="auto"/>
              <w:left w:val="single" w:sz="6" w:space="0" w:color="auto"/>
              <w:bottom w:val="single" w:sz="6" w:space="0" w:color="auto"/>
              <w:right w:val="single" w:sz="6" w:space="0" w:color="auto"/>
            </w:tcBorders>
            <w:vAlign w:val="center"/>
            <w:hideMark/>
          </w:tcPr>
          <w:p w14:paraId="7B0A092D" w14:textId="5D01C239" w:rsidR="007E4333" w:rsidRPr="00F8474E" w:rsidRDefault="007E4333" w:rsidP="007E4333">
            <w:pPr>
              <w:pStyle w:val="TAC"/>
              <w:rPr>
                <w:lang w:eastAsia="zh-CN"/>
              </w:rPr>
            </w:pPr>
            <w:r w:rsidRPr="00F8474E">
              <w:rPr>
                <w:lang w:eastAsia="ko-KR"/>
              </w:rPr>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4B0F0D4A" w14:textId="77777777" w:rsidR="007E4333" w:rsidRPr="00F8474E" w:rsidRDefault="007E4333" w:rsidP="007E4333">
            <w:pPr>
              <w:pStyle w:val="TAC"/>
              <w:rPr>
                <w:lang w:eastAsia="ko-KR"/>
              </w:rPr>
            </w:pPr>
            <w:r w:rsidRPr="00F8474E">
              <w:rPr>
                <w:lang w:eastAsia="ko-KR"/>
              </w:rPr>
              <w:t>Note 5</w:t>
            </w:r>
          </w:p>
        </w:tc>
        <w:tc>
          <w:tcPr>
            <w:tcW w:w="0" w:type="auto"/>
            <w:tcBorders>
              <w:top w:val="single" w:sz="6" w:space="0" w:color="auto"/>
              <w:left w:val="single" w:sz="6" w:space="0" w:color="auto"/>
              <w:bottom w:val="single" w:sz="6" w:space="0" w:color="auto"/>
              <w:right w:val="single" w:sz="4" w:space="0" w:color="auto"/>
            </w:tcBorders>
            <w:vAlign w:val="center"/>
            <w:hideMark/>
          </w:tcPr>
          <w:p w14:paraId="1B7DB929" w14:textId="77777777" w:rsidR="007E4333" w:rsidRPr="00F8474E" w:rsidRDefault="007E4333" w:rsidP="007E4333">
            <w:pPr>
              <w:pStyle w:val="TAC"/>
              <w:rPr>
                <w:lang w:eastAsia="ko-KR"/>
              </w:rPr>
            </w:pPr>
            <w:r w:rsidRPr="00F8474E">
              <w:rPr>
                <w:lang w:eastAsia="ko-KR"/>
              </w:rPr>
              <w:t>Note 5</w:t>
            </w:r>
          </w:p>
        </w:tc>
      </w:tr>
      <w:tr w:rsidR="007E4333" w:rsidRPr="00F8474E" w14:paraId="58D195F1" w14:textId="77777777" w:rsidTr="00FA482E">
        <w:trPr>
          <w:jc w:val="center"/>
        </w:trPr>
        <w:tc>
          <w:tcPr>
            <w:tcW w:w="0" w:type="auto"/>
            <w:tcBorders>
              <w:top w:val="single" w:sz="6" w:space="0" w:color="auto"/>
              <w:left w:val="single" w:sz="4" w:space="0" w:color="auto"/>
              <w:bottom w:val="single" w:sz="6" w:space="0" w:color="auto"/>
              <w:right w:val="single" w:sz="6" w:space="0" w:color="auto"/>
            </w:tcBorders>
            <w:hideMark/>
          </w:tcPr>
          <w:p w14:paraId="2C7C999B" w14:textId="7AF532C3" w:rsidR="007E4333" w:rsidRPr="00F8474E" w:rsidRDefault="007E4333" w:rsidP="007E4333">
            <w:pPr>
              <w:pStyle w:val="TAC"/>
              <w:rPr>
                <w:lang w:eastAsia="ko-KR"/>
              </w:rPr>
            </w:pPr>
            <w:r>
              <w:rPr>
                <w:lang w:eastAsia="ko-KR"/>
              </w:rPr>
              <w:t>6</w:t>
            </w:r>
            <w:r w:rsidRPr="00F8474E">
              <w:rPr>
                <w:lang w:eastAsia="ko-KR"/>
              </w:rPr>
              <w:t xml:space="preserve"> +</w:t>
            </w:r>
            <w:r w:rsidRPr="00F8474E">
              <w:rPr>
                <w:rFonts w:ascii="SimSun" w:hAnsi="SimSun" w:hint="eastAsia"/>
              </w:rPr>
              <w:t>Δ</w:t>
            </w:r>
          </w:p>
        </w:tc>
        <w:tc>
          <w:tcPr>
            <w:tcW w:w="0" w:type="auto"/>
            <w:vMerge/>
            <w:tcBorders>
              <w:top w:val="single" w:sz="6" w:space="0" w:color="auto"/>
              <w:left w:val="single" w:sz="6" w:space="0" w:color="auto"/>
              <w:bottom w:val="nil"/>
              <w:right w:val="single" w:sz="4" w:space="0" w:color="auto"/>
            </w:tcBorders>
            <w:vAlign w:val="center"/>
            <w:hideMark/>
          </w:tcPr>
          <w:p w14:paraId="431D9DFC" w14:textId="77777777" w:rsidR="007E4333" w:rsidRPr="00F8474E" w:rsidRDefault="007E4333" w:rsidP="007E4333">
            <w:pPr>
              <w:pStyle w:val="TAC"/>
              <w:rPr>
                <w:b/>
                <w:sz w:val="16"/>
                <w:szCs w:val="16"/>
                <w:lang w:eastAsia="ko-KR"/>
              </w:rPr>
            </w:pPr>
          </w:p>
        </w:tc>
        <w:tc>
          <w:tcPr>
            <w:tcW w:w="0" w:type="auto"/>
            <w:vMerge/>
            <w:tcBorders>
              <w:top w:val="single" w:sz="4" w:space="0" w:color="auto"/>
              <w:left w:val="single" w:sz="4" w:space="0" w:color="auto"/>
              <w:bottom w:val="single" w:sz="4" w:space="0" w:color="auto"/>
              <w:right w:val="single" w:sz="6" w:space="0" w:color="auto"/>
            </w:tcBorders>
            <w:vAlign w:val="center"/>
            <w:hideMark/>
          </w:tcPr>
          <w:p w14:paraId="62429BBF" w14:textId="77777777" w:rsidR="007E4333" w:rsidRPr="00F8474E" w:rsidRDefault="007E4333" w:rsidP="007E4333">
            <w:pPr>
              <w:pStyle w:val="TAC"/>
              <w:rPr>
                <w:lang w:val="sv-SE" w:eastAsia="ko-KR"/>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05DC801" w14:textId="19892E81" w:rsidR="007E4333" w:rsidRPr="00F8474E" w:rsidRDefault="007E4333" w:rsidP="007E4333">
            <w:pPr>
              <w:pStyle w:val="TAC"/>
              <w:rPr>
                <w:lang w:eastAsia="zh-CN"/>
              </w:rPr>
            </w:pPr>
            <w:r w:rsidRPr="00F8474E">
              <w:rPr>
                <w:lang w:eastAsia="ko-KR"/>
              </w:rPr>
              <w:t>≥ 128</w:t>
            </w:r>
          </w:p>
        </w:tc>
        <w:tc>
          <w:tcPr>
            <w:tcW w:w="0" w:type="auto"/>
            <w:tcBorders>
              <w:top w:val="single" w:sz="6" w:space="0" w:color="auto"/>
              <w:left w:val="single" w:sz="6" w:space="0" w:color="auto"/>
              <w:bottom w:val="single" w:sz="6" w:space="0" w:color="auto"/>
              <w:right w:val="single" w:sz="6" w:space="0" w:color="auto"/>
            </w:tcBorders>
            <w:vAlign w:val="center"/>
            <w:hideMark/>
          </w:tcPr>
          <w:p w14:paraId="18CE8B22" w14:textId="6071D4EB" w:rsidR="007E4333" w:rsidRPr="00F8474E" w:rsidRDefault="007E4333" w:rsidP="007E4333">
            <w:pPr>
              <w:pStyle w:val="TAC"/>
              <w:rPr>
                <w:lang w:eastAsia="zh-CN"/>
              </w:rPr>
            </w:pPr>
            <w:r w:rsidRPr="00F8474E">
              <w:rPr>
                <w:lang w:eastAsia="ko-KR"/>
              </w:rPr>
              <w:t>≥ 1</w:t>
            </w:r>
          </w:p>
        </w:tc>
        <w:tc>
          <w:tcPr>
            <w:tcW w:w="0" w:type="auto"/>
            <w:tcBorders>
              <w:top w:val="single" w:sz="6" w:space="0" w:color="auto"/>
              <w:left w:val="single" w:sz="6" w:space="0" w:color="auto"/>
              <w:bottom w:val="single" w:sz="6" w:space="0" w:color="auto"/>
              <w:right w:val="single" w:sz="6" w:space="0" w:color="auto"/>
            </w:tcBorders>
            <w:vAlign w:val="center"/>
            <w:hideMark/>
          </w:tcPr>
          <w:p w14:paraId="46BC56BE" w14:textId="77777777" w:rsidR="007E4333" w:rsidRPr="00F8474E" w:rsidRDefault="007E4333" w:rsidP="007E4333">
            <w:pPr>
              <w:pStyle w:val="TAC"/>
              <w:rPr>
                <w:lang w:eastAsia="ko-KR"/>
              </w:rPr>
            </w:pPr>
            <w:r w:rsidRPr="00F8474E">
              <w:rPr>
                <w:lang w:eastAsia="ko-KR"/>
              </w:rPr>
              <w:t>Note 5</w:t>
            </w:r>
          </w:p>
        </w:tc>
        <w:tc>
          <w:tcPr>
            <w:tcW w:w="0" w:type="auto"/>
            <w:tcBorders>
              <w:top w:val="single" w:sz="6" w:space="0" w:color="auto"/>
              <w:left w:val="single" w:sz="6" w:space="0" w:color="auto"/>
              <w:bottom w:val="single" w:sz="6" w:space="0" w:color="auto"/>
              <w:right w:val="single" w:sz="4" w:space="0" w:color="auto"/>
            </w:tcBorders>
            <w:vAlign w:val="center"/>
            <w:hideMark/>
          </w:tcPr>
          <w:p w14:paraId="42588420" w14:textId="77777777" w:rsidR="007E4333" w:rsidRPr="00F8474E" w:rsidRDefault="007E4333" w:rsidP="007E4333">
            <w:pPr>
              <w:pStyle w:val="TAC"/>
              <w:rPr>
                <w:lang w:eastAsia="ko-KR"/>
              </w:rPr>
            </w:pPr>
            <w:r w:rsidRPr="00F8474E">
              <w:rPr>
                <w:lang w:eastAsia="ko-KR"/>
              </w:rPr>
              <w:t>Note 5</w:t>
            </w:r>
          </w:p>
        </w:tc>
      </w:tr>
      <w:tr w:rsidR="007E4333" w:rsidRPr="00F8474E" w14:paraId="615E6C85" w14:textId="77777777" w:rsidTr="00FA482E">
        <w:trPr>
          <w:jc w:val="center"/>
        </w:trPr>
        <w:tc>
          <w:tcPr>
            <w:tcW w:w="0" w:type="auto"/>
            <w:gridSpan w:val="7"/>
            <w:tcBorders>
              <w:top w:val="single" w:sz="6" w:space="0" w:color="auto"/>
              <w:left w:val="single" w:sz="4" w:space="0" w:color="auto"/>
              <w:bottom w:val="single" w:sz="4" w:space="0" w:color="auto"/>
              <w:right w:val="single" w:sz="4" w:space="0" w:color="auto"/>
            </w:tcBorders>
            <w:vAlign w:val="center"/>
            <w:hideMark/>
          </w:tcPr>
          <w:p w14:paraId="7B7221FA" w14:textId="77777777" w:rsidR="007E4333" w:rsidRPr="00F8474E" w:rsidRDefault="007E4333" w:rsidP="007E4333">
            <w:pPr>
              <w:pStyle w:val="TAN"/>
              <w:rPr>
                <w:lang w:eastAsia="ko-KR"/>
              </w:rPr>
            </w:pPr>
            <w:r w:rsidRPr="00F8474E">
              <w:rPr>
                <w:lang w:eastAsia="ko-KR"/>
              </w:rPr>
              <w:t>NOTE 1:</w:t>
            </w:r>
            <w:r w:rsidRPr="00F8474E">
              <w:rPr>
                <w:lang w:eastAsia="ko-KR"/>
              </w:rPr>
              <w:tab/>
              <w:t>Minimum PRS bandwidth, which is minimum of the PRS bandwidths of resource j and resource i.</w:t>
            </w:r>
          </w:p>
          <w:p w14:paraId="648E7572" w14:textId="77777777" w:rsidR="007E4333" w:rsidRPr="00F8474E" w:rsidRDefault="007E4333" w:rsidP="007E4333">
            <w:pPr>
              <w:pStyle w:val="TAN"/>
              <w:rPr>
                <w:lang w:eastAsia="ko-KR"/>
              </w:rPr>
            </w:pPr>
            <w:r w:rsidRPr="00F8474E">
              <w:rPr>
                <w:lang w:eastAsia="ko-KR"/>
              </w:rPr>
              <w:t xml:space="preserve">NOTE 2: </w:t>
            </w:r>
            <w:r w:rsidRPr="00F8474E">
              <w:rPr>
                <w:lang w:eastAsia="ko-KR"/>
              </w:rPr>
              <w:tab/>
              <w:t xml:space="preserve">Minimum number of PRS resource repetitions among resource j and resource i. </w:t>
            </w:r>
            <m:oMath>
              <m:sSubSup>
                <m:sSubSupPr>
                  <m:ctrlPr>
                    <w:rPr>
                      <w:rFonts w:ascii="Cambria Math" w:eastAsia="DengXian" w:hAnsi="Cambria Math"/>
                      <w:i/>
                      <w:szCs w:val="22"/>
                      <w:lang w:eastAsia="ko-KR"/>
                    </w:rPr>
                  </m:ctrlPr>
                </m:sSubSupPr>
                <m:e>
                  <m:r>
                    <w:rPr>
                      <w:rFonts w:ascii="Cambria Math" w:hAnsi="Cambria Math"/>
                      <w:lang w:eastAsia="ko-KR"/>
                    </w:rPr>
                    <m:t>T</m:t>
                  </m:r>
                </m:e>
                <m:sub>
                  <m:r>
                    <m:rPr>
                      <m:sty m:val="p"/>
                    </m:rPr>
                    <w:rPr>
                      <w:rFonts w:ascii="Cambria Math" w:hAnsi="Cambria Math"/>
                      <w:lang w:eastAsia="ko-KR"/>
                    </w:rPr>
                    <m:t>rep</m:t>
                  </m:r>
                </m:sub>
                <m:sup>
                  <m:r>
                    <m:rPr>
                      <m:sty m:val="p"/>
                    </m:rPr>
                    <w:rPr>
                      <w:rFonts w:ascii="Cambria Math" w:hAnsi="Cambria Math"/>
                      <w:lang w:eastAsia="ko-KR"/>
                    </w:rPr>
                    <m:t>PRS</m:t>
                  </m:r>
                </m:sup>
              </m:sSubSup>
              <m:r>
                <w:rPr>
                  <w:rFonts w:ascii="Cambria Math" w:hAnsi="Cambria Math"/>
                  <w:lang w:eastAsia="ko-KR"/>
                </w:rPr>
                <m:t xml:space="preserve">, </m:t>
              </m:r>
              <m:sSub>
                <m:sSubPr>
                  <m:ctrlPr>
                    <w:rPr>
                      <w:rFonts w:ascii="Cambria Math" w:eastAsia="DengXian" w:hAnsi="Cambria Math"/>
                      <w:szCs w:val="22"/>
                      <w:lang w:eastAsia="ko-KR"/>
                    </w:rPr>
                  </m:ctrlPr>
                </m:sSubPr>
                <m:e>
                  <m:r>
                    <w:rPr>
                      <w:rFonts w:ascii="Cambria Math" w:hAnsi="Cambria Math"/>
                      <w:lang w:eastAsia="ko-KR"/>
                    </w:rPr>
                    <m:t>L</m:t>
                  </m:r>
                </m:e>
                <m:sub>
                  <m:r>
                    <m:rPr>
                      <m:sty m:val="p"/>
                    </m:rPr>
                    <w:rPr>
                      <w:rFonts w:ascii="Cambria Math" w:hAnsi="Cambria Math"/>
                      <w:lang w:eastAsia="ko-KR"/>
                    </w:rPr>
                    <m:t>PRS</m:t>
                  </m:r>
                </m:sub>
              </m:sSub>
              <m:r>
                <w:rPr>
                  <w:rFonts w:ascii="Cambria Math" w:hAnsi="Cambria Math"/>
                  <w:lang w:eastAsia="ko-KR"/>
                </w:rPr>
                <m:t xml:space="preserve"> ,</m:t>
              </m:r>
              <m:sSubSup>
                <m:sSubSupPr>
                  <m:ctrlPr>
                    <w:rPr>
                      <w:rFonts w:ascii="Cambria Math" w:eastAsia="DengXian" w:hAnsi="Cambria Math"/>
                      <w:i/>
                      <w:szCs w:val="22"/>
                      <w:lang w:eastAsia="ko-KR"/>
                    </w:rPr>
                  </m:ctrlPr>
                </m:sSubSupPr>
                <m:e>
                  <m:r>
                    <w:rPr>
                      <w:rFonts w:ascii="Cambria Math" w:hAnsi="Cambria Math"/>
                      <w:lang w:eastAsia="ko-KR"/>
                    </w:rPr>
                    <m:t>K</m:t>
                  </m:r>
                </m:e>
                <m:sub>
                  <m:r>
                    <m:rPr>
                      <m:sty m:val="p"/>
                    </m:rPr>
                    <w:rPr>
                      <w:rFonts w:ascii="Cambria Math" w:hAnsi="Cambria Math"/>
                      <w:lang w:eastAsia="ko-KR"/>
                    </w:rPr>
                    <m:t>comb</m:t>
                  </m:r>
                </m:sub>
                <m:sup>
                  <m:r>
                    <m:rPr>
                      <m:sty m:val="p"/>
                    </m:rPr>
                    <w:rPr>
                      <w:rFonts w:ascii="Cambria Math" w:hAnsi="Cambria Math"/>
                      <w:lang w:eastAsia="ko-KR"/>
                    </w:rPr>
                    <m:t>PRS</m:t>
                  </m:r>
                </m:sup>
              </m:sSubSup>
            </m:oMath>
            <w:r w:rsidRPr="00F8474E">
              <w:rPr>
                <w:b/>
                <w:bCs/>
                <w:lang w:eastAsia="ko-KR"/>
              </w:rPr>
              <w:t xml:space="preserve"> </w:t>
            </w:r>
            <w:r w:rsidRPr="00F8474E">
              <w:rPr>
                <w:lang w:eastAsia="ko-KR"/>
              </w:rPr>
              <w:t xml:space="preserve">are configured by higher layer parameter </w:t>
            </w:r>
            <w:r w:rsidRPr="00F8474E">
              <w:rPr>
                <w:i/>
                <w:lang w:eastAsia="ko-KR"/>
              </w:rPr>
              <w:t>dl-PRS-ResourceRepetitionFactor, dl-PRS-NumSymbols and dl-PRS-CombSizeN</w:t>
            </w:r>
            <w:r w:rsidRPr="00F8474E">
              <w:rPr>
                <w:iCs/>
                <w:lang w:eastAsia="ko-KR"/>
              </w:rPr>
              <w:t>defined in TS 37.355 [34], respectively</w:t>
            </w:r>
            <w:r w:rsidRPr="00F8474E">
              <w:rPr>
                <w:lang w:eastAsia="ko-KR"/>
              </w:rPr>
              <w:t>.</w:t>
            </w:r>
          </w:p>
          <w:p w14:paraId="483C798B" w14:textId="77777777" w:rsidR="007E4333" w:rsidRPr="00F8474E" w:rsidRDefault="007E4333" w:rsidP="007E4333">
            <w:pPr>
              <w:pStyle w:val="TAN"/>
              <w:rPr>
                <w:lang w:eastAsia="ko-KR"/>
              </w:rPr>
            </w:pPr>
            <w:r w:rsidRPr="00F8474E">
              <w:rPr>
                <w:lang w:eastAsia="ko-KR"/>
              </w:rPr>
              <w:t>NOTE 3:</w:t>
            </w:r>
            <w:r w:rsidRPr="00F8474E">
              <w:rPr>
                <w:lang w:eastAsia="ko-KR"/>
              </w:rPr>
              <w:tab/>
              <w:t>Io is assumed to have constant EPRE across the bandwidth.</w:t>
            </w:r>
          </w:p>
          <w:p w14:paraId="530FAF3F" w14:textId="77777777" w:rsidR="007E4333" w:rsidRPr="00F8474E" w:rsidRDefault="007E4333" w:rsidP="007E4333">
            <w:pPr>
              <w:pStyle w:val="TAN"/>
              <w:rPr>
                <w:lang w:eastAsia="ko-KR"/>
              </w:rPr>
            </w:pPr>
            <w:r w:rsidRPr="00F8474E">
              <w:rPr>
                <w:lang w:eastAsia="ko-KR"/>
              </w:rPr>
              <w:t>NOTE 4:</w:t>
            </w:r>
            <w:r w:rsidRPr="00F8474E">
              <w:rPr>
                <w:lang w:eastAsia="ko-KR"/>
              </w:rPr>
              <w:tab/>
              <w:t>Tc is the basic timing unit defined in TS 38.211 [6].</w:t>
            </w:r>
          </w:p>
          <w:p w14:paraId="1BC2F75B" w14:textId="77777777" w:rsidR="007E4333" w:rsidRPr="00F8474E" w:rsidRDefault="007E4333" w:rsidP="007E4333">
            <w:pPr>
              <w:pStyle w:val="TAN"/>
              <w:rPr>
                <w:lang w:eastAsia="ko-KR"/>
              </w:rPr>
            </w:pPr>
            <w:r w:rsidRPr="00F8474E">
              <w:rPr>
                <w:lang w:eastAsia="ko-KR"/>
              </w:rPr>
              <w:t>NOTE 5:</w:t>
            </w:r>
            <w:r w:rsidRPr="00F8474E">
              <w:rPr>
                <w:lang w:eastAsia="ko-KR"/>
              </w:rPr>
              <w:tab/>
              <w:t>The same bands and the same Io conditions for each band apply for this requirement as for the corresponding requirement with the PRS bandwidth of the smallest RB number for the corresponding SCS.</w:t>
            </w:r>
          </w:p>
          <w:p w14:paraId="21980E04" w14:textId="77777777" w:rsidR="007E4333" w:rsidRPr="00F8474E" w:rsidRDefault="007E4333" w:rsidP="007E4333">
            <w:pPr>
              <w:pStyle w:val="TAN"/>
              <w:rPr>
                <w:lang w:eastAsia="ko-KR"/>
              </w:rPr>
            </w:pPr>
            <w:r w:rsidRPr="00F8474E">
              <w:rPr>
                <w:lang w:eastAsia="ko-KR"/>
              </w:rPr>
              <w:t>NOTE 6:</w:t>
            </w:r>
            <w:r w:rsidRPr="00F8474E">
              <w:rPr>
                <w:lang w:eastAsia="ko-KR"/>
              </w:rPr>
              <w:tab/>
            </w:r>
            <w:r w:rsidRPr="00F8474E">
              <w:rPr>
                <w:lang w:val="en-US"/>
              </w:rPr>
              <w:t>Δ</w:t>
            </w:r>
            <w:r w:rsidRPr="00F8474E">
              <w:t xml:space="preserve">is </w:t>
            </w:r>
            <w:r w:rsidRPr="00F8474E">
              <w:rPr>
                <w:lang w:eastAsia="zh-CN"/>
              </w:rPr>
              <w:t>the value of the timing error margin for the RxTx TEG, reported via</w:t>
            </w:r>
            <w:r w:rsidRPr="00F8474E">
              <w:t xml:space="preserve"> </w:t>
            </w:r>
            <w:r w:rsidRPr="00F8474E">
              <w:rPr>
                <w:i/>
                <w:lang w:eastAsia="zh-CN"/>
              </w:rPr>
              <w:t>nr-UE-RxTxTEG-TimingErrorMargin</w:t>
            </w:r>
            <w:r w:rsidRPr="00F8474E">
              <w:t xml:space="preserve">. </w:t>
            </w:r>
            <w:r w:rsidRPr="00F8474E">
              <w:rPr>
                <w:lang w:val="en-US"/>
              </w:rPr>
              <w:t>Δ</w:t>
            </w:r>
            <w:r w:rsidRPr="00F8474E">
              <w:rPr>
                <w:lang w:val="en-US" w:eastAsia="zh-CN"/>
              </w:rPr>
              <w:t xml:space="preserve"> </w:t>
            </w:r>
            <w:r w:rsidRPr="00F8474E">
              <w:rPr>
                <w:lang w:eastAsia="zh-CN"/>
              </w:rPr>
              <w:t>can</w:t>
            </w:r>
            <w:r w:rsidRPr="00F8474E">
              <w:rPr>
                <w:bCs/>
              </w:rPr>
              <w:t xml:space="preserve">not be larger than the </w:t>
            </w:r>
            <w:r w:rsidRPr="00F8474E">
              <w:rPr>
                <w:bCs/>
                <w:lang w:eastAsia="zh-CN"/>
              </w:rPr>
              <w:t xml:space="preserve">sum of the margins in </w:t>
            </w:r>
            <w:r w:rsidRPr="00F8474E">
              <w:rPr>
                <w:lang w:eastAsia="zh-CN"/>
              </w:rPr>
              <w:t>t</w:t>
            </w:r>
            <w:r w:rsidRPr="00F8474E">
              <w:t>able 10.1.2</w:t>
            </w:r>
            <w:r w:rsidRPr="00F8474E">
              <w:rPr>
                <w:lang w:eastAsia="zh-CN"/>
              </w:rPr>
              <w:t>5</w:t>
            </w:r>
            <w:r w:rsidRPr="00F8474E">
              <w:t xml:space="preserve">.2-6 </w:t>
            </w:r>
            <w:r w:rsidRPr="00F8474E">
              <w:rPr>
                <w:lang w:eastAsia="zh-CN"/>
              </w:rPr>
              <w:t xml:space="preserve">(dependent on PRS/SRS BW) for any pair of individual UE Rx-Tx time difference measurements associated with the RxTx TEG. </w:t>
            </w:r>
          </w:p>
        </w:tc>
      </w:tr>
    </w:tbl>
    <w:p w14:paraId="7E760593" w14:textId="77777777" w:rsidR="007E4333" w:rsidRPr="00F8474E" w:rsidRDefault="007E4333" w:rsidP="007E4333"/>
    <w:p w14:paraId="5D49D965" w14:textId="27F1D49E" w:rsidR="00AD57C0" w:rsidRDefault="00AD57C0" w:rsidP="00301B77">
      <w:r>
        <w:t>The accuracy requirements in Table 10.1.25.2-4 for FR2 are valid under the following conditions:</w:t>
      </w:r>
    </w:p>
    <w:p w14:paraId="7525DD4B" w14:textId="77777777" w:rsidR="00AD57C0" w:rsidRDefault="00AD57C0" w:rsidP="00301B77">
      <w:r>
        <w:t>Conditions defined in clause 7.3 of TS 38.101-2 [19] for reference sensitivity are fulfilled.</w:t>
      </w:r>
    </w:p>
    <w:p w14:paraId="0C9A5196" w14:textId="316D1C45" w:rsidR="00754FC4" w:rsidRDefault="00754FC4" w:rsidP="00887560">
      <w:pPr>
        <w:pStyle w:val="B10"/>
      </w:pPr>
      <w:r>
        <w:t>PRP|</w:t>
      </w:r>
      <w:r>
        <w:rPr>
          <w:vertAlign w:val="subscript"/>
        </w:rPr>
        <w:t>dBm</w:t>
      </w:r>
      <w:r>
        <w:t xml:space="preserve"> according to Annex B.2.14 for a corresponding Band.</w:t>
      </w:r>
    </w:p>
    <w:p w14:paraId="59DE6990" w14:textId="77777777" w:rsidR="00AD57C0" w:rsidRDefault="00AD57C0" w:rsidP="00301B77">
      <w:r>
        <w:t>Fading propagation condition.</w:t>
      </w:r>
    </w:p>
    <w:p w14:paraId="0160CFB1" w14:textId="77777777" w:rsidR="00CD3B3E" w:rsidRPr="00DD4741" w:rsidRDefault="00CD3B3E" w:rsidP="00174920">
      <w:pPr>
        <w:pStyle w:val="TH"/>
      </w:pPr>
      <w:r w:rsidRPr="00DD4741">
        <w:rPr>
          <w:lang w:val="en-US"/>
        </w:rPr>
        <w:t>Table 10.1.25.2-4: UE Rx-Tx time difference measurement accuracy in FR2 in fading</w:t>
      </w:r>
    </w:p>
    <w:tbl>
      <w:tblPr>
        <w:tblW w:w="10200" w:type="dxa"/>
        <w:jc w:val="center"/>
        <w:tblLayout w:type="fixed"/>
        <w:tblLook w:val="01E0" w:firstRow="1" w:lastRow="1" w:firstColumn="1" w:lastColumn="1" w:noHBand="0" w:noVBand="0"/>
      </w:tblPr>
      <w:tblGrid>
        <w:gridCol w:w="1133"/>
        <w:gridCol w:w="851"/>
        <w:gridCol w:w="1133"/>
        <w:gridCol w:w="845"/>
        <w:gridCol w:w="1422"/>
        <w:gridCol w:w="3258"/>
        <w:gridCol w:w="1558"/>
      </w:tblGrid>
      <w:tr w:rsidR="00CD3B3E" w:rsidRPr="006A7330" w14:paraId="25E0EB9B" w14:textId="77777777" w:rsidTr="00224E82">
        <w:trPr>
          <w:jc w:val="center"/>
        </w:trPr>
        <w:tc>
          <w:tcPr>
            <w:tcW w:w="1133" w:type="dxa"/>
            <w:vMerge w:val="restart"/>
            <w:tcBorders>
              <w:top w:val="single" w:sz="4" w:space="0" w:color="auto"/>
              <w:left w:val="single" w:sz="4" w:space="0" w:color="auto"/>
              <w:bottom w:val="single" w:sz="6" w:space="0" w:color="auto"/>
              <w:right w:val="single" w:sz="6" w:space="0" w:color="auto"/>
            </w:tcBorders>
            <w:vAlign w:val="center"/>
            <w:hideMark/>
          </w:tcPr>
          <w:p w14:paraId="7A0C7D42" w14:textId="77777777" w:rsidR="00CD3B3E" w:rsidRPr="006A7330" w:rsidRDefault="00CD3B3E" w:rsidP="00174920">
            <w:pPr>
              <w:pStyle w:val="TAH"/>
              <w:rPr>
                <w:lang w:eastAsia="ko-KR"/>
              </w:rPr>
            </w:pPr>
            <w:r w:rsidRPr="006A7330">
              <w:rPr>
                <w:lang w:eastAsia="ko-KR"/>
              </w:rPr>
              <w:t>Accuracy</w:t>
            </w:r>
          </w:p>
        </w:tc>
        <w:tc>
          <w:tcPr>
            <w:tcW w:w="9067" w:type="dxa"/>
            <w:gridSpan w:val="6"/>
            <w:tcBorders>
              <w:top w:val="single" w:sz="4" w:space="0" w:color="auto"/>
              <w:left w:val="single" w:sz="6" w:space="0" w:color="auto"/>
              <w:bottom w:val="single" w:sz="6" w:space="0" w:color="auto"/>
              <w:right w:val="single" w:sz="4" w:space="0" w:color="auto"/>
            </w:tcBorders>
            <w:hideMark/>
          </w:tcPr>
          <w:p w14:paraId="4C2E4384" w14:textId="77777777" w:rsidR="00CD3B3E" w:rsidRPr="006A7330" w:rsidRDefault="00CD3B3E" w:rsidP="00174920">
            <w:pPr>
              <w:pStyle w:val="TAH"/>
              <w:rPr>
                <w:lang w:eastAsia="ko-KR"/>
              </w:rPr>
            </w:pPr>
            <w:r w:rsidRPr="006A7330">
              <w:rPr>
                <w:lang w:eastAsia="ko-KR"/>
              </w:rPr>
              <w:t>Conditions</w:t>
            </w:r>
          </w:p>
        </w:tc>
      </w:tr>
      <w:tr w:rsidR="00CD3B3E" w:rsidRPr="006A7330" w14:paraId="662787AC" w14:textId="77777777" w:rsidTr="00174920">
        <w:trPr>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40BB6C2E" w14:textId="77777777" w:rsidR="00CD3B3E" w:rsidRPr="006A7330" w:rsidRDefault="00CD3B3E" w:rsidP="00174920">
            <w:pPr>
              <w:pStyle w:val="TAH"/>
              <w:rPr>
                <w:lang w:eastAsia="ko-KR"/>
              </w:rPr>
            </w:pPr>
          </w:p>
        </w:tc>
        <w:tc>
          <w:tcPr>
            <w:tcW w:w="851" w:type="dxa"/>
            <w:vMerge w:val="restart"/>
            <w:tcBorders>
              <w:top w:val="single" w:sz="6" w:space="0" w:color="auto"/>
              <w:left w:val="single" w:sz="6" w:space="0" w:color="auto"/>
              <w:bottom w:val="single" w:sz="6" w:space="0" w:color="auto"/>
              <w:right w:val="single" w:sz="6" w:space="0" w:color="auto"/>
            </w:tcBorders>
            <w:vAlign w:val="center"/>
            <w:hideMark/>
          </w:tcPr>
          <w:p w14:paraId="7131F680" w14:textId="77777777" w:rsidR="00CD3B3E" w:rsidRPr="006A7330" w:rsidRDefault="00CD3B3E" w:rsidP="00174920">
            <w:pPr>
              <w:pStyle w:val="TAH"/>
              <w:rPr>
                <w:lang w:eastAsia="ko-KR"/>
              </w:rPr>
            </w:pPr>
            <w:r w:rsidRPr="006A7330">
              <w:rPr>
                <w:lang w:eastAsia="ko-KR"/>
              </w:rPr>
              <w:t>PRS Ês/Iot</w:t>
            </w:r>
          </w:p>
        </w:tc>
        <w:tc>
          <w:tcPr>
            <w:tcW w:w="1133" w:type="dxa"/>
            <w:vMerge w:val="restart"/>
            <w:tcBorders>
              <w:top w:val="single" w:sz="6" w:space="0" w:color="auto"/>
              <w:left w:val="single" w:sz="6" w:space="0" w:color="auto"/>
              <w:bottom w:val="single" w:sz="6" w:space="0" w:color="auto"/>
              <w:right w:val="single" w:sz="6" w:space="0" w:color="auto"/>
            </w:tcBorders>
            <w:vAlign w:val="center"/>
            <w:hideMark/>
          </w:tcPr>
          <w:p w14:paraId="24CA8BE1" w14:textId="77777777" w:rsidR="00CD3B3E" w:rsidRPr="006A7330" w:rsidRDefault="00CD3B3E" w:rsidP="00174920">
            <w:pPr>
              <w:pStyle w:val="TAH"/>
              <w:rPr>
                <w:lang w:eastAsia="ko-KR"/>
              </w:rPr>
            </w:pPr>
            <w:r w:rsidRPr="006A7330">
              <w:rPr>
                <w:lang w:eastAsia="ko-KR"/>
              </w:rPr>
              <w:t>Minimum PRS bandwidth</w:t>
            </w:r>
          </w:p>
        </w:tc>
        <w:tc>
          <w:tcPr>
            <w:tcW w:w="845" w:type="dxa"/>
            <w:vMerge w:val="restart"/>
            <w:tcBorders>
              <w:top w:val="single" w:sz="6" w:space="0" w:color="auto"/>
              <w:left w:val="single" w:sz="6" w:space="0" w:color="auto"/>
              <w:bottom w:val="single" w:sz="6" w:space="0" w:color="auto"/>
              <w:right w:val="single" w:sz="6" w:space="0" w:color="auto"/>
            </w:tcBorders>
          </w:tcPr>
          <w:p w14:paraId="0965087D" w14:textId="77777777" w:rsidR="00CD3B3E" w:rsidRPr="006A7330" w:rsidRDefault="00CD3B3E" w:rsidP="00174920">
            <w:pPr>
              <w:pStyle w:val="TAH"/>
              <w:rPr>
                <w:lang w:eastAsia="ko-KR"/>
              </w:rPr>
            </w:pPr>
          </w:p>
          <w:p w14:paraId="04035D69" w14:textId="77777777" w:rsidR="00CD3B3E" w:rsidRPr="006A7330" w:rsidRDefault="00CD3B3E" w:rsidP="00174920">
            <w:pPr>
              <w:pStyle w:val="TAH"/>
              <w:rPr>
                <w:lang w:eastAsia="ko-KR"/>
              </w:rPr>
            </w:pPr>
            <w:r w:rsidRPr="006A7330">
              <w:rPr>
                <w:lang w:eastAsia="ko-KR"/>
              </w:rPr>
              <w:t>PRS SCS</w:t>
            </w:r>
          </w:p>
        </w:tc>
        <w:tc>
          <w:tcPr>
            <w:tcW w:w="1422" w:type="dxa"/>
            <w:vMerge w:val="restart"/>
            <w:tcBorders>
              <w:top w:val="single" w:sz="6" w:space="0" w:color="auto"/>
              <w:left w:val="single" w:sz="6" w:space="0" w:color="auto"/>
              <w:bottom w:val="single" w:sz="6" w:space="0" w:color="auto"/>
              <w:right w:val="single" w:sz="6" w:space="0" w:color="auto"/>
            </w:tcBorders>
            <w:vAlign w:val="center"/>
            <w:hideMark/>
          </w:tcPr>
          <w:p w14:paraId="102328E3" w14:textId="77777777" w:rsidR="00CD3B3E" w:rsidRPr="006A7330" w:rsidRDefault="00CD3B3E" w:rsidP="00174920">
            <w:pPr>
              <w:pStyle w:val="TAH"/>
            </w:pPr>
            <w:r w:rsidRPr="006A7330">
              <w:t>PRS resource repetition</w:t>
            </w:r>
            <m:oMath>
              <m:sSubSup>
                <m:sSubSupPr>
                  <m:ctrlPr>
                    <w:rPr>
                      <w:rFonts w:ascii="Cambria Math" w:hAnsi="Cambria Math"/>
                      <w:i/>
                      <w:szCs w:val="18"/>
                      <w:lang w:eastAsia="ko-KR"/>
                    </w:rPr>
                  </m:ctrlPr>
                </m:sSubSupPr>
                <m:e>
                  <m:r>
                    <m:rPr>
                      <m:sty m:val="bi"/>
                    </m:rPr>
                    <w:rPr>
                      <w:rFonts w:ascii="Cambria Math" w:hAnsi="Cambria Math"/>
                      <w:lang w:eastAsia="ko-KR"/>
                    </w:rPr>
                    <m:t>(T</m:t>
                  </m:r>
                </m:e>
                <m:sub>
                  <m:r>
                    <m:rPr>
                      <m:sty m:val="b"/>
                    </m:rPr>
                    <w:rPr>
                      <w:rFonts w:ascii="Cambria Math" w:hAnsi="Cambria Math"/>
                      <w:lang w:eastAsia="ko-KR"/>
                    </w:rPr>
                    <m:t>rep</m:t>
                  </m:r>
                </m:sub>
                <m:sup>
                  <m:r>
                    <m:rPr>
                      <m:sty m:val="b"/>
                    </m:rPr>
                    <w:rPr>
                      <w:rFonts w:ascii="Cambria Math" w:hAnsi="Cambria Math"/>
                      <w:lang w:eastAsia="ko-KR"/>
                    </w:rPr>
                    <m:t>PRS</m:t>
                  </m:r>
                </m:sup>
              </m:sSubSup>
              <m:r>
                <m:rPr>
                  <m:sty m:val="bi"/>
                </m:rPr>
                <w:rPr>
                  <w:rFonts w:ascii="Cambria Math" w:hAnsi="Cambria Math"/>
                  <w:lang w:eastAsia="ko-KR"/>
                </w:rPr>
                <m:t>*</m:t>
              </m:r>
              <m:sSub>
                <m:sSubPr>
                  <m:ctrlPr>
                    <w:rPr>
                      <w:rFonts w:ascii="Cambria Math" w:hAnsi="Cambria Math"/>
                      <w:szCs w:val="18"/>
                      <w:lang w:eastAsia="ko-KR"/>
                    </w:rPr>
                  </m:ctrlPr>
                </m:sSubPr>
                <m:e>
                  <m:r>
                    <m:rPr>
                      <m:sty m:val="bi"/>
                    </m:rPr>
                    <w:rPr>
                      <w:rFonts w:ascii="Cambria Math" w:hAnsi="Cambria Math"/>
                      <w:lang w:eastAsia="ko-KR"/>
                    </w:rPr>
                    <m:t>L</m:t>
                  </m:r>
                </m:e>
                <m:sub>
                  <m:r>
                    <m:rPr>
                      <m:sty m:val="b"/>
                    </m:rPr>
                    <w:rPr>
                      <w:rFonts w:ascii="Cambria Math" w:hAnsi="Cambria Math"/>
                      <w:lang w:eastAsia="ko-KR"/>
                    </w:rPr>
                    <m:t>PRS</m:t>
                  </m:r>
                </m:sub>
              </m:sSub>
              <m:r>
                <m:rPr>
                  <m:sty m:val="bi"/>
                </m:rPr>
                <w:rPr>
                  <w:rFonts w:ascii="Cambria Math" w:hAnsi="Cambria Math"/>
                  <w:lang w:eastAsia="ko-KR"/>
                </w:rPr>
                <m:t>/</m:t>
              </m:r>
              <m:sSubSup>
                <m:sSubSupPr>
                  <m:ctrlPr>
                    <w:rPr>
                      <w:rFonts w:ascii="Cambria Math" w:hAnsi="Cambria Math"/>
                      <w:i/>
                      <w:szCs w:val="18"/>
                      <w:lang w:eastAsia="ko-KR"/>
                    </w:rPr>
                  </m:ctrlPr>
                </m:sSubSupPr>
                <m:e>
                  <m:r>
                    <m:rPr>
                      <m:sty m:val="bi"/>
                    </m:rPr>
                    <w:rPr>
                      <w:rFonts w:ascii="Cambria Math" w:hAnsi="Cambria Math"/>
                      <w:lang w:eastAsia="ko-KR"/>
                    </w:rPr>
                    <m:t>K</m:t>
                  </m:r>
                </m:e>
                <m:sub>
                  <m:r>
                    <m:rPr>
                      <m:sty m:val="b"/>
                    </m:rPr>
                    <w:rPr>
                      <w:rFonts w:ascii="Cambria Math" w:hAnsi="Cambria Math"/>
                      <w:lang w:eastAsia="ko-KR"/>
                    </w:rPr>
                    <m:t>comb</m:t>
                  </m:r>
                </m:sub>
                <m:sup>
                  <m:r>
                    <m:rPr>
                      <m:sty m:val="b"/>
                    </m:rPr>
                    <w:rPr>
                      <w:rFonts w:ascii="Cambria Math" w:hAnsi="Cambria Math"/>
                      <w:lang w:eastAsia="ko-KR"/>
                    </w:rPr>
                    <m:t>PRS</m:t>
                  </m:r>
                </m:sup>
              </m:sSubSup>
            </m:oMath>
            <w:r w:rsidRPr="006A7330">
              <w:rPr>
                <w:vertAlign w:val="superscript"/>
                <w:lang w:eastAsia="ko-KR"/>
              </w:rPr>
              <w:t>Note 3</w:t>
            </w:r>
          </w:p>
        </w:tc>
        <w:tc>
          <w:tcPr>
            <w:tcW w:w="4816" w:type="dxa"/>
            <w:gridSpan w:val="2"/>
            <w:tcBorders>
              <w:top w:val="single" w:sz="6" w:space="0" w:color="auto"/>
              <w:left w:val="single" w:sz="6" w:space="0" w:color="auto"/>
              <w:bottom w:val="single" w:sz="6" w:space="0" w:color="auto"/>
              <w:right w:val="single" w:sz="4" w:space="0" w:color="auto"/>
            </w:tcBorders>
            <w:vAlign w:val="center"/>
            <w:hideMark/>
          </w:tcPr>
          <w:p w14:paraId="2FE45898" w14:textId="77777777" w:rsidR="00CD3B3E" w:rsidRPr="006A7330" w:rsidRDefault="00CD3B3E" w:rsidP="00174920">
            <w:pPr>
              <w:pStyle w:val="TAH"/>
              <w:rPr>
                <w:lang w:eastAsia="ko-KR"/>
              </w:rPr>
            </w:pPr>
            <w:r w:rsidRPr="006A7330">
              <w:rPr>
                <w:lang w:eastAsia="ko-KR"/>
              </w:rPr>
              <w:t>Io</w:t>
            </w:r>
            <w:r w:rsidRPr="006A7330">
              <w:rPr>
                <w:vertAlign w:val="superscript"/>
              </w:rPr>
              <w:t>Note 4</w:t>
            </w:r>
            <w:r w:rsidRPr="006A7330">
              <w:rPr>
                <w:lang w:eastAsia="ko-KR"/>
              </w:rPr>
              <w:t xml:space="preserve"> range</w:t>
            </w:r>
          </w:p>
        </w:tc>
      </w:tr>
      <w:tr w:rsidR="00CD3B3E" w:rsidRPr="006A7330" w14:paraId="091D6DC4" w14:textId="77777777" w:rsidTr="00174920">
        <w:trPr>
          <w:trHeight w:val="822"/>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158CC421" w14:textId="77777777" w:rsidR="00CD3B3E" w:rsidRPr="006A7330" w:rsidRDefault="00CD3B3E" w:rsidP="00174920">
            <w:pPr>
              <w:pStyle w:val="TAH"/>
              <w:rPr>
                <w:lang w:eastAsia="ko-KR"/>
              </w:rPr>
            </w:pPr>
          </w:p>
        </w:tc>
        <w:tc>
          <w:tcPr>
            <w:tcW w:w="851" w:type="dxa"/>
            <w:vMerge/>
            <w:tcBorders>
              <w:top w:val="single" w:sz="6" w:space="0" w:color="auto"/>
              <w:left w:val="single" w:sz="6" w:space="0" w:color="auto"/>
              <w:bottom w:val="single" w:sz="6" w:space="0" w:color="auto"/>
              <w:right w:val="single" w:sz="6" w:space="0" w:color="auto"/>
            </w:tcBorders>
            <w:vAlign w:val="center"/>
            <w:hideMark/>
          </w:tcPr>
          <w:p w14:paraId="544CD604" w14:textId="77777777" w:rsidR="00CD3B3E" w:rsidRPr="006A7330" w:rsidRDefault="00CD3B3E" w:rsidP="00174920">
            <w:pPr>
              <w:pStyle w:val="TAH"/>
              <w:rPr>
                <w:lang w:eastAsia="ko-KR"/>
              </w:rPr>
            </w:pPr>
          </w:p>
        </w:tc>
        <w:tc>
          <w:tcPr>
            <w:tcW w:w="1133" w:type="dxa"/>
            <w:vMerge/>
            <w:tcBorders>
              <w:top w:val="single" w:sz="6" w:space="0" w:color="auto"/>
              <w:left w:val="single" w:sz="6" w:space="0" w:color="auto"/>
              <w:bottom w:val="single" w:sz="6" w:space="0" w:color="auto"/>
              <w:right w:val="single" w:sz="6" w:space="0" w:color="auto"/>
            </w:tcBorders>
            <w:vAlign w:val="center"/>
            <w:hideMark/>
          </w:tcPr>
          <w:p w14:paraId="22BB41DA" w14:textId="77777777" w:rsidR="00CD3B3E" w:rsidRPr="006A7330" w:rsidRDefault="00CD3B3E" w:rsidP="00174920">
            <w:pPr>
              <w:pStyle w:val="TAH"/>
              <w:rPr>
                <w:lang w:eastAsia="ko-KR"/>
              </w:rPr>
            </w:pPr>
          </w:p>
        </w:tc>
        <w:tc>
          <w:tcPr>
            <w:tcW w:w="845" w:type="dxa"/>
            <w:vMerge/>
            <w:tcBorders>
              <w:top w:val="single" w:sz="6" w:space="0" w:color="auto"/>
              <w:left w:val="single" w:sz="6" w:space="0" w:color="auto"/>
              <w:bottom w:val="single" w:sz="6" w:space="0" w:color="auto"/>
              <w:right w:val="single" w:sz="6" w:space="0" w:color="auto"/>
            </w:tcBorders>
            <w:vAlign w:val="center"/>
            <w:hideMark/>
          </w:tcPr>
          <w:p w14:paraId="04DA1F57" w14:textId="77777777" w:rsidR="00CD3B3E" w:rsidRPr="006A7330" w:rsidRDefault="00CD3B3E" w:rsidP="00174920">
            <w:pPr>
              <w:pStyle w:val="TAH"/>
              <w:rPr>
                <w:lang w:eastAsia="ko-KR"/>
              </w:rPr>
            </w:pPr>
          </w:p>
        </w:tc>
        <w:tc>
          <w:tcPr>
            <w:tcW w:w="1422" w:type="dxa"/>
            <w:vMerge/>
            <w:tcBorders>
              <w:top w:val="single" w:sz="6" w:space="0" w:color="auto"/>
              <w:left w:val="single" w:sz="6" w:space="0" w:color="auto"/>
              <w:bottom w:val="single" w:sz="6" w:space="0" w:color="auto"/>
              <w:right w:val="single" w:sz="6" w:space="0" w:color="auto"/>
            </w:tcBorders>
            <w:vAlign w:val="center"/>
            <w:hideMark/>
          </w:tcPr>
          <w:p w14:paraId="3EF10999" w14:textId="77777777" w:rsidR="00CD3B3E" w:rsidRPr="006A7330" w:rsidRDefault="00CD3B3E" w:rsidP="00174920">
            <w:pPr>
              <w:pStyle w:val="TAH"/>
            </w:pPr>
          </w:p>
        </w:tc>
        <w:tc>
          <w:tcPr>
            <w:tcW w:w="3258" w:type="dxa"/>
            <w:tcBorders>
              <w:top w:val="single" w:sz="6" w:space="0" w:color="auto"/>
              <w:left w:val="single" w:sz="6" w:space="0" w:color="auto"/>
              <w:bottom w:val="single" w:sz="6" w:space="0" w:color="auto"/>
              <w:right w:val="single" w:sz="6" w:space="0" w:color="auto"/>
            </w:tcBorders>
            <w:vAlign w:val="center"/>
            <w:hideMark/>
          </w:tcPr>
          <w:p w14:paraId="400A06E0" w14:textId="77777777" w:rsidR="00CD3B3E" w:rsidRPr="006A7330" w:rsidRDefault="00CD3B3E" w:rsidP="00174920">
            <w:pPr>
              <w:pStyle w:val="TAH"/>
              <w:rPr>
                <w:lang w:eastAsia="ko-KR"/>
              </w:rPr>
            </w:pPr>
            <w:r w:rsidRPr="006A7330">
              <w:rPr>
                <w:lang w:eastAsia="ko-KR"/>
              </w:rPr>
              <w:t>Minimum</w:t>
            </w:r>
            <w:r w:rsidRPr="006A7330">
              <w:rPr>
                <w:lang w:eastAsia="ko-KR"/>
              </w:rPr>
              <w:br/>
              <w:t>Io</w:t>
            </w:r>
            <w:r w:rsidRPr="006A7330">
              <w:rPr>
                <w:vertAlign w:val="superscript"/>
                <w:lang w:eastAsia="ko-KR"/>
              </w:rPr>
              <w:t>Note 1</w:t>
            </w:r>
          </w:p>
        </w:tc>
        <w:tc>
          <w:tcPr>
            <w:tcW w:w="1558" w:type="dxa"/>
            <w:tcBorders>
              <w:top w:val="single" w:sz="6" w:space="0" w:color="auto"/>
              <w:left w:val="single" w:sz="6" w:space="0" w:color="auto"/>
              <w:bottom w:val="single" w:sz="6" w:space="0" w:color="auto"/>
              <w:right w:val="single" w:sz="4" w:space="0" w:color="auto"/>
            </w:tcBorders>
            <w:vAlign w:val="center"/>
            <w:hideMark/>
          </w:tcPr>
          <w:p w14:paraId="5BB6A67A" w14:textId="77777777" w:rsidR="00CD3B3E" w:rsidRPr="006A7330" w:rsidRDefault="00CD3B3E" w:rsidP="00174920">
            <w:pPr>
              <w:pStyle w:val="TAH"/>
              <w:rPr>
                <w:lang w:eastAsia="ko-KR"/>
              </w:rPr>
            </w:pPr>
            <w:r w:rsidRPr="006A7330">
              <w:rPr>
                <w:lang w:eastAsia="ko-KR"/>
              </w:rPr>
              <w:t>Maximum</w:t>
            </w:r>
            <w:r w:rsidRPr="006A7330">
              <w:rPr>
                <w:lang w:eastAsia="ko-KR"/>
              </w:rPr>
              <w:br/>
              <w:t>Io</w:t>
            </w:r>
          </w:p>
        </w:tc>
      </w:tr>
      <w:tr w:rsidR="00CD3B3E" w:rsidRPr="006A7330" w14:paraId="6D217CE1" w14:textId="77777777" w:rsidTr="00224E82">
        <w:trPr>
          <w:trHeight w:val="279"/>
          <w:jc w:val="center"/>
        </w:trPr>
        <w:tc>
          <w:tcPr>
            <w:tcW w:w="1133" w:type="dxa"/>
            <w:tcBorders>
              <w:top w:val="single" w:sz="6" w:space="0" w:color="auto"/>
              <w:left w:val="single" w:sz="4" w:space="0" w:color="auto"/>
              <w:bottom w:val="nil"/>
              <w:right w:val="single" w:sz="6" w:space="0" w:color="auto"/>
            </w:tcBorders>
            <w:vAlign w:val="center"/>
            <w:hideMark/>
          </w:tcPr>
          <w:p w14:paraId="4908AAB4" w14:textId="77777777" w:rsidR="00CD3B3E" w:rsidRPr="006A7330" w:rsidRDefault="00CD3B3E" w:rsidP="00174920">
            <w:pPr>
              <w:pStyle w:val="TAH"/>
              <w:rPr>
                <w:lang w:eastAsia="ko-KR"/>
              </w:rPr>
            </w:pPr>
            <w:r w:rsidRPr="006A7330">
              <w:rPr>
                <w:lang w:eastAsia="ko-KR"/>
              </w:rPr>
              <w:t>Tc</w:t>
            </w:r>
            <w:r w:rsidRPr="006A7330">
              <w:rPr>
                <w:vertAlign w:val="superscript"/>
              </w:rPr>
              <w:t>Note 5</w:t>
            </w:r>
          </w:p>
        </w:tc>
        <w:tc>
          <w:tcPr>
            <w:tcW w:w="851" w:type="dxa"/>
            <w:tcBorders>
              <w:top w:val="single" w:sz="6" w:space="0" w:color="auto"/>
              <w:left w:val="single" w:sz="6" w:space="0" w:color="auto"/>
              <w:bottom w:val="nil"/>
              <w:right w:val="single" w:sz="6" w:space="0" w:color="auto"/>
            </w:tcBorders>
            <w:vAlign w:val="center"/>
            <w:hideMark/>
          </w:tcPr>
          <w:p w14:paraId="6C89A590" w14:textId="77777777" w:rsidR="00CD3B3E" w:rsidRPr="006A7330" w:rsidRDefault="00CD3B3E" w:rsidP="00174920">
            <w:pPr>
              <w:pStyle w:val="TAH"/>
              <w:rPr>
                <w:lang w:eastAsia="ko-KR"/>
              </w:rPr>
            </w:pPr>
            <w:r w:rsidRPr="006A7330">
              <w:rPr>
                <w:lang w:eastAsia="ko-KR"/>
              </w:rPr>
              <w:t>dB</w:t>
            </w:r>
          </w:p>
        </w:tc>
        <w:tc>
          <w:tcPr>
            <w:tcW w:w="1133" w:type="dxa"/>
            <w:tcBorders>
              <w:top w:val="single" w:sz="6" w:space="0" w:color="auto"/>
              <w:left w:val="single" w:sz="6" w:space="0" w:color="auto"/>
              <w:bottom w:val="nil"/>
              <w:right w:val="single" w:sz="6" w:space="0" w:color="auto"/>
            </w:tcBorders>
            <w:vAlign w:val="center"/>
            <w:hideMark/>
          </w:tcPr>
          <w:p w14:paraId="77A16DE9" w14:textId="77777777" w:rsidR="00CD3B3E" w:rsidRPr="006A7330" w:rsidRDefault="00CD3B3E" w:rsidP="00174920">
            <w:pPr>
              <w:pStyle w:val="TAH"/>
              <w:rPr>
                <w:lang w:eastAsia="ko-KR"/>
              </w:rPr>
            </w:pPr>
            <w:r w:rsidRPr="006A7330">
              <w:rPr>
                <w:lang w:eastAsia="ko-KR"/>
              </w:rPr>
              <w:t>RB</w:t>
            </w:r>
          </w:p>
        </w:tc>
        <w:tc>
          <w:tcPr>
            <w:tcW w:w="845" w:type="dxa"/>
            <w:tcBorders>
              <w:top w:val="single" w:sz="6" w:space="0" w:color="auto"/>
              <w:left w:val="single" w:sz="6" w:space="0" w:color="auto"/>
              <w:bottom w:val="nil"/>
              <w:right w:val="single" w:sz="6" w:space="0" w:color="auto"/>
            </w:tcBorders>
            <w:hideMark/>
          </w:tcPr>
          <w:p w14:paraId="0702735E" w14:textId="77777777" w:rsidR="00CD3B3E" w:rsidRPr="006A7330" w:rsidRDefault="00CD3B3E" w:rsidP="00174920">
            <w:pPr>
              <w:pStyle w:val="TAH"/>
              <w:rPr>
                <w:lang w:eastAsia="ko-KR"/>
              </w:rPr>
            </w:pPr>
            <w:r w:rsidRPr="006A7330">
              <w:rPr>
                <w:lang w:eastAsia="ko-KR"/>
              </w:rPr>
              <w:t>kHz</w:t>
            </w:r>
          </w:p>
        </w:tc>
        <w:tc>
          <w:tcPr>
            <w:tcW w:w="1422" w:type="dxa"/>
            <w:tcBorders>
              <w:top w:val="single" w:sz="6" w:space="0" w:color="auto"/>
              <w:left w:val="single" w:sz="6" w:space="0" w:color="auto"/>
              <w:bottom w:val="nil"/>
              <w:right w:val="single" w:sz="6" w:space="0" w:color="auto"/>
            </w:tcBorders>
            <w:vAlign w:val="center"/>
          </w:tcPr>
          <w:p w14:paraId="04108A09" w14:textId="77777777" w:rsidR="00CD3B3E" w:rsidRPr="006A7330" w:rsidRDefault="00CD3B3E" w:rsidP="00174920">
            <w:pPr>
              <w:pStyle w:val="TAH"/>
              <w:rPr>
                <w:lang w:eastAsia="ko-KR"/>
              </w:rPr>
            </w:pPr>
          </w:p>
        </w:tc>
        <w:tc>
          <w:tcPr>
            <w:tcW w:w="3258" w:type="dxa"/>
            <w:tcBorders>
              <w:top w:val="single" w:sz="6" w:space="0" w:color="auto"/>
              <w:left w:val="single" w:sz="6" w:space="0" w:color="auto"/>
              <w:bottom w:val="single" w:sz="4" w:space="0" w:color="auto"/>
              <w:right w:val="single" w:sz="6" w:space="0" w:color="auto"/>
            </w:tcBorders>
            <w:vAlign w:val="center"/>
            <w:hideMark/>
          </w:tcPr>
          <w:p w14:paraId="098C272E" w14:textId="77777777" w:rsidR="00CD3B3E" w:rsidRPr="006A7330" w:rsidRDefault="00CD3B3E" w:rsidP="00174920">
            <w:pPr>
              <w:pStyle w:val="TAH"/>
              <w:rPr>
                <w:lang w:eastAsia="ko-KR"/>
              </w:rPr>
            </w:pPr>
            <w:r w:rsidRPr="006A7330">
              <w:rPr>
                <w:lang w:eastAsia="ko-KR"/>
              </w:rPr>
              <w:t>dBm / SCS</w:t>
            </w:r>
            <w:r w:rsidRPr="006A7330">
              <w:rPr>
                <w:vertAlign w:val="subscript"/>
                <w:lang w:eastAsia="ko-KR"/>
              </w:rPr>
              <w:t>PRS</w:t>
            </w:r>
          </w:p>
        </w:tc>
        <w:tc>
          <w:tcPr>
            <w:tcW w:w="1558" w:type="dxa"/>
            <w:tcBorders>
              <w:top w:val="single" w:sz="6" w:space="0" w:color="auto"/>
              <w:left w:val="single" w:sz="6" w:space="0" w:color="auto"/>
              <w:bottom w:val="nil"/>
              <w:right w:val="single" w:sz="4" w:space="0" w:color="auto"/>
            </w:tcBorders>
            <w:vAlign w:val="center"/>
            <w:hideMark/>
          </w:tcPr>
          <w:p w14:paraId="60C7D41E" w14:textId="77777777" w:rsidR="00CD3B3E" w:rsidRPr="006A7330" w:rsidRDefault="00CD3B3E" w:rsidP="00174920">
            <w:pPr>
              <w:pStyle w:val="TAH"/>
              <w:rPr>
                <w:lang w:eastAsia="ko-KR"/>
              </w:rPr>
            </w:pPr>
            <w:r w:rsidRPr="006A7330">
              <w:rPr>
                <w:lang w:eastAsia="ko-KR"/>
              </w:rPr>
              <w:t>dBm/BW</w:t>
            </w:r>
            <w:r w:rsidRPr="006A7330">
              <w:rPr>
                <w:vertAlign w:val="subscript"/>
                <w:lang w:eastAsia="ko-KR"/>
              </w:rPr>
              <w:t>Channel</w:t>
            </w:r>
          </w:p>
        </w:tc>
      </w:tr>
      <w:tr w:rsidR="00CD3B3E" w:rsidRPr="006A7330" w14:paraId="25BC66B7" w14:textId="77777777" w:rsidTr="00174920">
        <w:trPr>
          <w:jc w:val="center"/>
        </w:trPr>
        <w:tc>
          <w:tcPr>
            <w:tcW w:w="1133" w:type="dxa"/>
            <w:tcBorders>
              <w:top w:val="single" w:sz="6" w:space="0" w:color="auto"/>
              <w:left w:val="single" w:sz="4" w:space="0" w:color="auto"/>
              <w:bottom w:val="nil"/>
              <w:right w:val="single" w:sz="6" w:space="0" w:color="auto"/>
            </w:tcBorders>
            <w:vAlign w:val="center"/>
            <w:hideMark/>
          </w:tcPr>
          <w:p w14:paraId="38C0B8DA" w14:textId="3918432D" w:rsidR="00CD3B3E" w:rsidRPr="006A7330" w:rsidRDefault="00174920" w:rsidP="00174920">
            <w:pPr>
              <w:pStyle w:val="TAC"/>
              <w:rPr>
                <w:lang w:eastAsia="ko-KR"/>
              </w:rPr>
            </w:pPr>
            <w:r w:rsidRPr="002F3C20">
              <w:rPr>
                <w:lang w:eastAsia="ko-KR"/>
              </w:rPr>
              <w:t>± 75+</w:t>
            </w:r>
            <w:r w:rsidRPr="002F3C20">
              <w:rPr>
                <w:lang w:eastAsia="ko-KR"/>
              </w:rPr>
              <w:sym w:font="Symbol" w:char="F064"/>
            </w:r>
          </w:p>
        </w:tc>
        <w:tc>
          <w:tcPr>
            <w:tcW w:w="851" w:type="dxa"/>
            <w:tcBorders>
              <w:top w:val="single" w:sz="6" w:space="0" w:color="auto"/>
              <w:left w:val="single" w:sz="6" w:space="0" w:color="auto"/>
              <w:bottom w:val="nil"/>
              <w:right w:val="single" w:sz="6" w:space="0" w:color="auto"/>
            </w:tcBorders>
            <w:vAlign w:val="center"/>
            <w:hideMark/>
          </w:tcPr>
          <w:p w14:paraId="54805970" w14:textId="77777777" w:rsidR="00CD3B3E" w:rsidRPr="006A7330" w:rsidRDefault="00CD3B3E" w:rsidP="00174920">
            <w:pPr>
              <w:pStyle w:val="TAC"/>
              <w:rPr>
                <w:lang w:val="sv-SE" w:eastAsia="ko-KR"/>
              </w:rPr>
            </w:pPr>
            <w:r w:rsidRPr="006A7330">
              <w:rPr>
                <w:lang w:val="sv-SE" w:eastAsia="ko-KR"/>
              </w:rPr>
              <w:t>-3</w:t>
            </w:r>
          </w:p>
        </w:tc>
        <w:tc>
          <w:tcPr>
            <w:tcW w:w="1133" w:type="dxa"/>
            <w:tcBorders>
              <w:top w:val="single" w:sz="6" w:space="0" w:color="auto"/>
              <w:left w:val="single" w:sz="6" w:space="0" w:color="auto"/>
              <w:bottom w:val="nil"/>
              <w:right w:val="single" w:sz="6" w:space="0" w:color="auto"/>
            </w:tcBorders>
            <w:vAlign w:val="center"/>
            <w:hideMark/>
          </w:tcPr>
          <w:p w14:paraId="5AF3FA26" w14:textId="150C2D30" w:rsidR="00CD3B3E" w:rsidRPr="006A7330" w:rsidRDefault="00174920" w:rsidP="00174920">
            <w:pPr>
              <w:pStyle w:val="TAC"/>
              <w:rPr>
                <w:lang w:eastAsia="ko-KR"/>
              </w:rPr>
            </w:pPr>
            <w:r>
              <w:rPr>
                <w:rFonts w:cs="Calibri"/>
              </w:rPr>
              <w:t>≥</w:t>
            </w:r>
            <w:r>
              <w:t>24</w:t>
            </w:r>
          </w:p>
        </w:tc>
        <w:tc>
          <w:tcPr>
            <w:tcW w:w="845" w:type="dxa"/>
            <w:tcBorders>
              <w:top w:val="single" w:sz="6" w:space="0" w:color="auto"/>
              <w:left w:val="single" w:sz="6" w:space="0" w:color="auto"/>
              <w:bottom w:val="nil"/>
              <w:right w:val="single" w:sz="6" w:space="0" w:color="auto"/>
            </w:tcBorders>
            <w:vAlign w:val="center"/>
            <w:hideMark/>
          </w:tcPr>
          <w:p w14:paraId="5CD06330" w14:textId="77777777" w:rsidR="00CD3B3E" w:rsidRPr="006A7330" w:rsidRDefault="00CD3B3E" w:rsidP="00174920">
            <w:pPr>
              <w:pStyle w:val="TAC"/>
              <w:rPr>
                <w:lang w:eastAsia="ko-KR"/>
              </w:rPr>
            </w:pPr>
            <w:r w:rsidRPr="006A7330">
              <w:rPr>
                <w:lang w:eastAsia="ko-KR"/>
              </w:rPr>
              <w:t>60</w:t>
            </w:r>
          </w:p>
        </w:tc>
        <w:tc>
          <w:tcPr>
            <w:tcW w:w="1422" w:type="dxa"/>
            <w:tcBorders>
              <w:top w:val="single" w:sz="6" w:space="0" w:color="auto"/>
              <w:left w:val="single" w:sz="6" w:space="0" w:color="auto"/>
              <w:bottom w:val="nil"/>
              <w:right w:val="single" w:sz="4" w:space="0" w:color="auto"/>
            </w:tcBorders>
            <w:vAlign w:val="center"/>
            <w:hideMark/>
          </w:tcPr>
          <w:p w14:paraId="417A0B0B" w14:textId="7F5CE565" w:rsidR="00CD3B3E" w:rsidRPr="006A7330" w:rsidRDefault="00174920" w:rsidP="00174920">
            <w:pPr>
              <w:pStyle w:val="TAC"/>
              <w:rPr>
                <w:lang w:eastAsia="ko-KR"/>
              </w:rPr>
            </w:pPr>
            <w:r>
              <w:rPr>
                <w:rFonts w:cs="Arial"/>
                <w:szCs w:val="18"/>
              </w:rPr>
              <w:t>≥4</w:t>
            </w:r>
          </w:p>
        </w:tc>
        <w:tc>
          <w:tcPr>
            <w:tcW w:w="3258" w:type="dxa"/>
            <w:tcBorders>
              <w:top w:val="single" w:sz="4" w:space="0" w:color="auto"/>
              <w:left w:val="single" w:sz="4" w:space="0" w:color="auto"/>
              <w:bottom w:val="single" w:sz="4" w:space="0" w:color="auto"/>
              <w:right w:val="single" w:sz="4" w:space="0" w:color="auto"/>
            </w:tcBorders>
            <w:vAlign w:val="center"/>
            <w:hideMark/>
          </w:tcPr>
          <w:p w14:paraId="02068056" w14:textId="77777777" w:rsidR="00CD3B3E" w:rsidRPr="006A7330" w:rsidRDefault="00CD3B3E" w:rsidP="00174920">
            <w:pPr>
              <w:pStyle w:val="TAC"/>
              <w:rPr>
                <w:lang w:eastAsia="ko-KR"/>
              </w:rPr>
            </w:pPr>
            <w:r w:rsidRPr="006A7330">
              <w:rPr>
                <w:lang w:eastAsia="ko-KR"/>
              </w:rP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vAlign w:val="center"/>
            <w:hideMark/>
          </w:tcPr>
          <w:p w14:paraId="4E7626D4" w14:textId="77777777" w:rsidR="00CD3B3E" w:rsidRPr="006A7330" w:rsidRDefault="00CD3B3E" w:rsidP="00174920">
            <w:pPr>
              <w:pStyle w:val="TAC"/>
              <w:rPr>
                <w:lang w:eastAsia="ko-KR"/>
              </w:rPr>
            </w:pPr>
            <w:r w:rsidRPr="006A7330">
              <w:rPr>
                <w:lang w:eastAsia="ko-KR"/>
              </w:rPr>
              <w:t>-50</w:t>
            </w:r>
          </w:p>
        </w:tc>
      </w:tr>
      <w:tr w:rsidR="00174920" w:rsidRPr="006A7330" w14:paraId="3891C634"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47BD40D7" w14:textId="128DFD44" w:rsidR="00174920" w:rsidRPr="006A7330" w:rsidRDefault="00174920" w:rsidP="00174920">
            <w:pPr>
              <w:pStyle w:val="TAC"/>
              <w:rPr>
                <w:lang w:eastAsia="ko-KR"/>
              </w:rPr>
            </w:pPr>
            <w:r w:rsidRPr="002F3C20">
              <w:rPr>
                <w:lang w:eastAsia="ko-KR"/>
              </w:rPr>
              <w:t>± 72+</w:t>
            </w:r>
            <w:r w:rsidRPr="002F3C20">
              <w:rPr>
                <w:lang w:eastAsia="ko-KR"/>
              </w:rPr>
              <w:sym w:font="Symbol" w:char="F064"/>
            </w:r>
          </w:p>
        </w:tc>
        <w:tc>
          <w:tcPr>
            <w:tcW w:w="851" w:type="dxa"/>
            <w:tcBorders>
              <w:top w:val="nil"/>
              <w:left w:val="single" w:sz="6" w:space="0" w:color="auto"/>
              <w:bottom w:val="nil"/>
              <w:right w:val="single" w:sz="6" w:space="0" w:color="auto"/>
            </w:tcBorders>
            <w:vAlign w:val="center"/>
          </w:tcPr>
          <w:p w14:paraId="426D4116"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7466BFAE" w14:textId="0432E4D7" w:rsidR="00174920" w:rsidRPr="006A7330" w:rsidRDefault="00174920" w:rsidP="00174920">
            <w:pPr>
              <w:pStyle w:val="TAC"/>
              <w:rPr>
                <w:lang w:eastAsia="ko-KR"/>
              </w:rPr>
            </w:pPr>
            <w:r>
              <w:rPr>
                <w:rFonts w:cs="Calibri"/>
              </w:rPr>
              <w:t>≥</w:t>
            </w:r>
            <w:r>
              <w:t>64</w:t>
            </w:r>
          </w:p>
        </w:tc>
        <w:tc>
          <w:tcPr>
            <w:tcW w:w="845" w:type="dxa"/>
            <w:tcBorders>
              <w:top w:val="nil"/>
              <w:left w:val="single" w:sz="6" w:space="0" w:color="auto"/>
              <w:bottom w:val="nil"/>
              <w:right w:val="single" w:sz="6" w:space="0" w:color="auto"/>
            </w:tcBorders>
          </w:tcPr>
          <w:p w14:paraId="24D47C7C" w14:textId="77777777" w:rsidR="00174920" w:rsidRPr="006A7330" w:rsidRDefault="00174920" w:rsidP="00174920">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06B867B5" w14:textId="1D9A2015"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6B6F493E"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2759BC19" w14:textId="77777777" w:rsidR="00174920" w:rsidRPr="006A7330" w:rsidRDefault="00174920" w:rsidP="00174920">
            <w:pPr>
              <w:pStyle w:val="TAC"/>
              <w:rPr>
                <w:lang w:eastAsia="ko-KR"/>
              </w:rPr>
            </w:pPr>
            <w:r w:rsidRPr="006A7330">
              <w:rPr>
                <w:lang w:eastAsia="ko-KR"/>
              </w:rPr>
              <w:t>NOTE 6</w:t>
            </w:r>
          </w:p>
        </w:tc>
      </w:tr>
      <w:tr w:rsidR="00174920" w:rsidRPr="006A7330" w14:paraId="4039B39B"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4B6D786E" w14:textId="3388FD03" w:rsidR="00174920" w:rsidRPr="006A7330" w:rsidRDefault="00174920" w:rsidP="00174920">
            <w:pPr>
              <w:pStyle w:val="TAC"/>
              <w:rPr>
                <w:lang w:eastAsia="ko-KR"/>
              </w:rPr>
            </w:pPr>
            <w:r w:rsidRPr="002F3C20">
              <w:rPr>
                <w:lang w:eastAsia="ko-KR"/>
              </w:rPr>
              <w:t>± 57+</w:t>
            </w:r>
            <w:r w:rsidRPr="002F3C20">
              <w:rPr>
                <w:lang w:eastAsia="ko-KR"/>
              </w:rPr>
              <w:sym w:font="Symbol" w:char="F064"/>
            </w:r>
          </w:p>
        </w:tc>
        <w:tc>
          <w:tcPr>
            <w:tcW w:w="851" w:type="dxa"/>
            <w:vMerge w:val="restart"/>
            <w:tcBorders>
              <w:top w:val="nil"/>
              <w:left w:val="single" w:sz="6" w:space="0" w:color="auto"/>
              <w:bottom w:val="nil"/>
              <w:right w:val="single" w:sz="6" w:space="0" w:color="auto"/>
            </w:tcBorders>
            <w:vAlign w:val="center"/>
          </w:tcPr>
          <w:p w14:paraId="41B1EF00"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622AA113" w14:textId="458AB2C9" w:rsidR="00174920" w:rsidRPr="006A7330" w:rsidRDefault="00174920" w:rsidP="00174920">
            <w:pPr>
              <w:pStyle w:val="TAC"/>
              <w:rPr>
                <w:lang w:eastAsia="ko-KR"/>
              </w:rPr>
            </w:pPr>
            <w:r>
              <w:rPr>
                <w:rFonts w:cs="Calibri"/>
              </w:rPr>
              <w:t>≥</w:t>
            </w:r>
            <w:r>
              <w:t>132</w:t>
            </w:r>
          </w:p>
        </w:tc>
        <w:tc>
          <w:tcPr>
            <w:tcW w:w="845" w:type="dxa"/>
            <w:tcBorders>
              <w:top w:val="nil"/>
              <w:left w:val="single" w:sz="6" w:space="0" w:color="auto"/>
              <w:bottom w:val="nil"/>
              <w:right w:val="single" w:sz="6" w:space="0" w:color="auto"/>
            </w:tcBorders>
          </w:tcPr>
          <w:p w14:paraId="18723A16" w14:textId="77777777" w:rsidR="00174920" w:rsidRPr="006A7330" w:rsidRDefault="00174920" w:rsidP="00174920">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712B0BD8" w14:textId="2A2E4979"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1B7263F8"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0E71D65F" w14:textId="77777777" w:rsidR="00174920" w:rsidRPr="006A7330" w:rsidRDefault="00174920" w:rsidP="00174920">
            <w:pPr>
              <w:pStyle w:val="TAC"/>
              <w:rPr>
                <w:lang w:eastAsia="ko-KR"/>
              </w:rPr>
            </w:pPr>
            <w:r w:rsidRPr="006A7330">
              <w:rPr>
                <w:lang w:eastAsia="ko-KR"/>
              </w:rPr>
              <w:t>NOTE 6</w:t>
            </w:r>
          </w:p>
        </w:tc>
      </w:tr>
      <w:tr w:rsidR="00CD3B3E" w:rsidRPr="006A7330" w14:paraId="366BB2D5" w14:textId="77777777" w:rsidTr="00174920">
        <w:trPr>
          <w:jc w:val="center"/>
        </w:trPr>
        <w:tc>
          <w:tcPr>
            <w:tcW w:w="1133" w:type="dxa"/>
            <w:tcBorders>
              <w:top w:val="single" w:sz="6" w:space="0" w:color="auto"/>
              <w:left w:val="single" w:sz="4" w:space="0" w:color="auto"/>
              <w:bottom w:val="nil"/>
              <w:right w:val="single" w:sz="6" w:space="0" w:color="auto"/>
            </w:tcBorders>
            <w:vAlign w:val="center"/>
            <w:hideMark/>
          </w:tcPr>
          <w:p w14:paraId="00AC2AE3" w14:textId="4BD492DB" w:rsidR="00CD3B3E" w:rsidRPr="006A7330" w:rsidRDefault="00174920" w:rsidP="00174920">
            <w:pPr>
              <w:pStyle w:val="TAC"/>
              <w:rPr>
                <w:lang w:eastAsia="ko-KR"/>
              </w:rPr>
            </w:pPr>
            <w:r w:rsidRPr="002F3C20">
              <w:rPr>
                <w:lang w:eastAsia="ko-KR"/>
              </w:rPr>
              <w:t>± 61+</w:t>
            </w:r>
            <w:r w:rsidRPr="002F3C20">
              <w:rPr>
                <w:lang w:eastAsia="ko-KR"/>
              </w:rPr>
              <w:sym w:font="Symbol" w:char="F064"/>
            </w:r>
          </w:p>
        </w:tc>
        <w:tc>
          <w:tcPr>
            <w:tcW w:w="851" w:type="dxa"/>
            <w:vMerge/>
            <w:tcBorders>
              <w:top w:val="nil"/>
              <w:left w:val="single" w:sz="6" w:space="0" w:color="auto"/>
              <w:bottom w:val="nil"/>
              <w:right w:val="single" w:sz="6" w:space="0" w:color="auto"/>
            </w:tcBorders>
            <w:vAlign w:val="center"/>
            <w:hideMark/>
          </w:tcPr>
          <w:p w14:paraId="67F5F751" w14:textId="77777777" w:rsidR="00CD3B3E" w:rsidRPr="006A7330" w:rsidRDefault="00CD3B3E"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vAlign w:val="center"/>
            <w:hideMark/>
          </w:tcPr>
          <w:p w14:paraId="621DC8C0" w14:textId="2A4A15C7" w:rsidR="00CD3B3E" w:rsidRPr="006A7330" w:rsidRDefault="00174920" w:rsidP="00174920">
            <w:pPr>
              <w:pStyle w:val="TAC"/>
              <w:rPr>
                <w:lang w:eastAsia="ko-KR"/>
              </w:rPr>
            </w:pPr>
            <w:r>
              <w:rPr>
                <w:rFonts w:cs="Calibri"/>
              </w:rPr>
              <w:t>≥</w:t>
            </w:r>
            <w:r>
              <w:t>32</w:t>
            </w:r>
          </w:p>
        </w:tc>
        <w:tc>
          <w:tcPr>
            <w:tcW w:w="845" w:type="dxa"/>
            <w:tcBorders>
              <w:top w:val="single" w:sz="6" w:space="0" w:color="auto"/>
              <w:left w:val="single" w:sz="6" w:space="0" w:color="auto"/>
              <w:bottom w:val="nil"/>
              <w:right w:val="single" w:sz="6" w:space="0" w:color="auto"/>
            </w:tcBorders>
            <w:vAlign w:val="center"/>
            <w:hideMark/>
          </w:tcPr>
          <w:p w14:paraId="2BAB4964" w14:textId="77777777" w:rsidR="00CD3B3E" w:rsidRPr="006A7330" w:rsidRDefault="00CD3B3E" w:rsidP="00174920">
            <w:pPr>
              <w:pStyle w:val="TAC"/>
              <w:rPr>
                <w:lang w:eastAsia="ko-KR"/>
              </w:rPr>
            </w:pPr>
            <w:r w:rsidRPr="006A7330">
              <w:rPr>
                <w:lang w:eastAsia="ko-KR"/>
              </w:rPr>
              <w:t>120</w:t>
            </w:r>
          </w:p>
        </w:tc>
        <w:tc>
          <w:tcPr>
            <w:tcW w:w="1422" w:type="dxa"/>
            <w:tcBorders>
              <w:top w:val="single" w:sz="6" w:space="0" w:color="auto"/>
              <w:left w:val="single" w:sz="6" w:space="0" w:color="auto"/>
              <w:bottom w:val="nil"/>
              <w:right w:val="single" w:sz="4" w:space="0" w:color="auto"/>
            </w:tcBorders>
            <w:vAlign w:val="center"/>
            <w:hideMark/>
          </w:tcPr>
          <w:p w14:paraId="652B3A6C" w14:textId="600ADFEB" w:rsidR="00CD3B3E"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vAlign w:val="center"/>
            <w:hideMark/>
          </w:tcPr>
          <w:p w14:paraId="466D2ACF" w14:textId="77777777" w:rsidR="00CD3B3E" w:rsidRPr="006A7330" w:rsidRDefault="00CD3B3E" w:rsidP="00174920">
            <w:pPr>
              <w:pStyle w:val="TAC"/>
              <w:rPr>
                <w:lang w:eastAsia="ko-KR"/>
              </w:rPr>
            </w:pPr>
            <w:r w:rsidRPr="006A7330">
              <w:rPr>
                <w:lang w:eastAsia="ko-KR"/>
              </w:rP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vAlign w:val="center"/>
            <w:hideMark/>
          </w:tcPr>
          <w:p w14:paraId="65101E6A" w14:textId="77777777" w:rsidR="00CD3B3E" w:rsidRPr="006A7330" w:rsidRDefault="00CD3B3E" w:rsidP="00174920">
            <w:pPr>
              <w:pStyle w:val="TAC"/>
              <w:rPr>
                <w:lang w:eastAsia="ko-KR"/>
              </w:rPr>
            </w:pPr>
            <w:r w:rsidRPr="006A7330">
              <w:rPr>
                <w:lang w:eastAsia="ko-KR"/>
              </w:rPr>
              <w:t>-50</w:t>
            </w:r>
          </w:p>
        </w:tc>
      </w:tr>
      <w:tr w:rsidR="00174920" w:rsidRPr="006A7330" w14:paraId="208051DE"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5CB8658D" w14:textId="709E91DF" w:rsidR="00174920" w:rsidRPr="006A7330" w:rsidRDefault="00174920" w:rsidP="00174920">
            <w:pPr>
              <w:pStyle w:val="TAC"/>
              <w:rPr>
                <w:lang w:eastAsia="ko-KR"/>
              </w:rPr>
            </w:pPr>
            <w:r w:rsidRPr="002F3C20">
              <w:rPr>
                <w:lang w:eastAsia="ko-KR"/>
              </w:rPr>
              <w:t>± 64+</w:t>
            </w:r>
            <w:r w:rsidRPr="002F3C20">
              <w:rPr>
                <w:lang w:eastAsia="ko-KR"/>
              </w:rPr>
              <w:sym w:font="Symbol" w:char="F064"/>
            </w:r>
          </w:p>
        </w:tc>
        <w:tc>
          <w:tcPr>
            <w:tcW w:w="851" w:type="dxa"/>
            <w:tcBorders>
              <w:top w:val="nil"/>
              <w:left w:val="single" w:sz="6" w:space="0" w:color="auto"/>
              <w:bottom w:val="nil"/>
              <w:right w:val="single" w:sz="6" w:space="0" w:color="auto"/>
            </w:tcBorders>
            <w:vAlign w:val="center"/>
          </w:tcPr>
          <w:p w14:paraId="291CB9B3"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4E0CDBF2" w14:textId="06DD3BB8" w:rsidR="00174920" w:rsidRPr="006A7330" w:rsidRDefault="00174920" w:rsidP="00174920">
            <w:pPr>
              <w:pStyle w:val="TAC"/>
              <w:rPr>
                <w:lang w:eastAsia="ko-KR"/>
              </w:rPr>
            </w:pPr>
            <w:r>
              <w:rPr>
                <w:rFonts w:cs="Calibri"/>
              </w:rPr>
              <w:t>≥</w:t>
            </w:r>
            <w:r>
              <w:t>64</w:t>
            </w:r>
          </w:p>
        </w:tc>
        <w:tc>
          <w:tcPr>
            <w:tcW w:w="845" w:type="dxa"/>
            <w:tcBorders>
              <w:top w:val="nil"/>
              <w:left w:val="single" w:sz="6" w:space="0" w:color="auto"/>
              <w:bottom w:val="nil"/>
              <w:right w:val="single" w:sz="6" w:space="0" w:color="auto"/>
            </w:tcBorders>
          </w:tcPr>
          <w:p w14:paraId="5E5EBD89" w14:textId="77777777" w:rsidR="00174920" w:rsidRPr="006A7330" w:rsidRDefault="00174920" w:rsidP="00174920">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739A1CD0" w14:textId="3269250E"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7A5054EA"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76D690DC" w14:textId="77777777" w:rsidR="00174920" w:rsidRPr="006A7330" w:rsidRDefault="00174920" w:rsidP="00174920">
            <w:pPr>
              <w:pStyle w:val="TAC"/>
              <w:rPr>
                <w:lang w:eastAsia="ko-KR"/>
              </w:rPr>
            </w:pPr>
            <w:r w:rsidRPr="006A7330">
              <w:rPr>
                <w:lang w:eastAsia="ko-KR"/>
              </w:rPr>
              <w:t>NOTE 6</w:t>
            </w:r>
          </w:p>
        </w:tc>
      </w:tr>
      <w:tr w:rsidR="00174920" w:rsidRPr="006A7330" w14:paraId="3F90568F"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75D1748E" w14:textId="74CE6AC5" w:rsidR="00174920" w:rsidRPr="006A7330" w:rsidRDefault="00174920" w:rsidP="00174920">
            <w:pPr>
              <w:pStyle w:val="TAC"/>
              <w:rPr>
                <w:lang w:eastAsia="ko-KR"/>
              </w:rPr>
            </w:pPr>
            <w:r w:rsidRPr="002F3C20">
              <w:rPr>
                <w:lang w:eastAsia="ko-KR"/>
              </w:rPr>
              <w:t>± 55+</w:t>
            </w:r>
            <w:r w:rsidRPr="002F3C20">
              <w:rPr>
                <w:lang w:eastAsia="ko-KR"/>
              </w:rPr>
              <w:sym w:font="Symbol" w:char="F064"/>
            </w:r>
          </w:p>
        </w:tc>
        <w:tc>
          <w:tcPr>
            <w:tcW w:w="851" w:type="dxa"/>
            <w:tcBorders>
              <w:top w:val="nil"/>
              <w:left w:val="single" w:sz="6" w:space="0" w:color="auto"/>
              <w:bottom w:val="nil"/>
              <w:right w:val="single" w:sz="6" w:space="0" w:color="auto"/>
            </w:tcBorders>
            <w:vAlign w:val="center"/>
          </w:tcPr>
          <w:p w14:paraId="7F7173A7"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3E6EC87A" w14:textId="7929A842" w:rsidR="00174920" w:rsidRPr="006A7330" w:rsidRDefault="00174920" w:rsidP="00174920">
            <w:pPr>
              <w:pStyle w:val="TAC"/>
              <w:rPr>
                <w:lang w:eastAsia="ko-KR"/>
              </w:rPr>
            </w:pPr>
            <w:r>
              <w:rPr>
                <w:rFonts w:cs="Calibri"/>
              </w:rPr>
              <w:t>≥</w:t>
            </w:r>
            <w:r>
              <w:t>128</w:t>
            </w:r>
          </w:p>
        </w:tc>
        <w:tc>
          <w:tcPr>
            <w:tcW w:w="845" w:type="dxa"/>
            <w:tcBorders>
              <w:top w:val="nil"/>
              <w:left w:val="single" w:sz="6" w:space="0" w:color="auto"/>
              <w:bottom w:val="nil"/>
              <w:right w:val="single" w:sz="6" w:space="0" w:color="auto"/>
            </w:tcBorders>
          </w:tcPr>
          <w:p w14:paraId="3B0DBF12" w14:textId="77777777" w:rsidR="00174920" w:rsidRPr="006A7330" w:rsidRDefault="00174920" w:rsidP="00174920">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1967EBB6" w14:textId="139D4B04"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42CA543F"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670ED864" w14:textId="77777777" w:rsidR="00174920" w:rsidRPr="006A7330" w:rsidRDefault="00174920" w:rsidP="00174920">
            <w:pPr>
              <w:pStyle w:val="TAC"/>
              <w:rPr>
                <w:lang w:eastAsia="ko-KR"/>
              </w:rPr>
            </w:pPr>
            <w:r w:rsidRPr="006A7330">
              <w:rPr>
                <w:lang w:eastAsia="ko-KR"/>
              </w:rPr>
              <w:t>NOTE 6</w:t>
            </w:r>
          </w:p>
        </w:tc>
      </w:tr>
      <w:tr w:rsidR="00174920" w:rsidRPr="006A7330" w14:paraId="3457BED3"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1F558AD0" w14:textId="6365A40E" w:rsidR="00174920" w:rsidRPr="006A7330" w:rsidRDefault="00174920" w:rsidP="00174920">
            <w:pPr>
              <w:pStyle w:val="TAC"/>
              <w:rPr>
                <w:lang w:eastAsia="ko-KR"/>
              </w:rPr>
            </w:pPr>
            <w:r w:rsidRPr="002F3C20">
              <w:rPr>
                <w:lang w:eastAsia="ko-KR"/>
              </w:rPr>
              <w:t>± 92+</w:t>
            </w:r>
            <w:r w:rsidRPr="002F3C20">
              <w:rPr>
                <w:lang w:eastAsia="ko-KR"/>
              </w:rPr>
              <w:sym w:font="Symbol" w:char="F064"/>
            </w:r>
          </w:p>
        </w:tc>
        <w:tc>
          <w:tcPr>
            <w:tcW w:w="851" w:type="dxa"/>
            <w:tcBorders>
              <w:top w:val="single" w:sz="6" w:space="0" w:color="auto"/>
              <w:left w:val="single" w:sz="6" w:space="0" w:color="auto"/>
              <w:bottom w:val="nil"/>
              <w:right w:val="single" w:sz="6" w:space="0" w:color="auto"/>
            </w:tcBorders>
            <w:vAlign w:val="center"/>
            <w:hideMark/>
          </w:tcPr>
          <w:p w14:paraId="2FBAFF64" w14:textId="77777777" w:rsidR="00174920" w:rsidRPr="006A7330" w:rsidRDefault="00174920" w:rsidP="00174920">
            <w:pPr>
              <w:pStyle w:val="TAC"/>
              <w:rPr>
                <w:lang w:val="sv-SE" w:eastAsia="ko-KR"/>
              </w:rPr>
            </w:pPr>
            <w:r w:rsidRPr="006A7330">
              <w:rPr>
                <w:lang w:val="sv-SE" w:eastAsia="ko-KR"/>
              </w:rPr>
              <w:t>-13</w:t>
            </w:r>
          </w:p>
        </w:tc>
        <w:tc>
          <w:tcPr>
            <w:tcW w:w="1133" w:type="dxa"/>
            <w:tcBorders>
              <w:top w:val="single" w:sz="6" w:space="0" w:color="auto"/>
              <w:left w:val="single" w:sz="6" w:space="0" w:color="auto"/>
              <w:bottom w:val="nil"/>
              <w:right w:val="single" w:sz="6" w:space="0" w:color="auto"/>
            </w:tcBorders>
            <w:hideMark/>
          </w:tcPr>
          <w:p w14:paraId="33E47127" w14:textId="1AB94943" w:rsidR="00174920" w:rsidRPr="006A7330" w:rsidRDefault="00174920" w:rsidP="00174920">
            <w:pPr>
              <w:pStyle w:val="TAC"/>
              <w:rPr>
                <w:lang w:eastAsia="ko-KR"/>
              </w:rPr>
            </w:pPr>
            <w:r>
              <w:rPr>
                <w:rFonts w:cs="Calibri"/>
              </w:rPr>
              <w:t>≥</w:t>
            </w:r>
            <w:r>
              <w:t>24</w:t>
            </w:r>
          </w:p>
        </w:tc>
        <w:tc>
          <w:tcPr>
            <w:tcW w:w="845" w:type="dxa"/>
            <w:tcBorders>
              <w:top w:val="single" w:sz="6" w:space="0" w:color="auto"/>
              <w:left w:val="single" w:sz="6" w:space="0" w:color="auto"/>
              <w:bottom w:val="nil"/>
              <w:right w:val="single" w:sz="6" w:space="0" w:color="auto"/>
            </w:tcBorders>
            <w:hideMark/>
          </w:tcPr>
          <w:p w14:paraId="5DD5A621" w14:textId="77777777" w:rsidR="00174920" w:rsidRPr="006A7330" w:rsidRDefault="00174920" w:rsidP="00174920">
            <w:pPr>
              <w:pStyle w:val="TAC"/>
              <w:rPr>
                <w:lang w:eastAsia="ko-KR"/>
              </w:rPr>
            </w:pPr>
            <w:r w:rsidRPr="006A7330">
              <w:rPr>
                <w:lang w:eastAsia="ko-KR"/>
              </w:rPr>
              <w:t>60</w:t>
            </w:r>
          </w:p>
        </w:tc>
        <w:tc>
          <w:tcPr>
            <w:tcW w:w="1422" w:type="dxa"/>
            <w:tcBorders>
              <w:top w:val="single" w:sz="6" w:space="0" w:color="auto"/>
              <w:left w:val="single" w:sz="6" w:space="0" w:color="auto"/>
              <w:bottom w:val="nil"/>
              <w:right w:val="single" w:sz="4" w:space="0" w:color="auto"/>
            </w:tcBorders>
            <w:vAlign w:val="center"/>
            <w:hideMark/>
          </w:tcPr>
          <w:p w14:paraId="68532C55" w14:textId="0FAB3FCD" w:rsidR="00174920" w:rsidRPr="006A7330" w:rsidRDefault="00174920" w:rsidP="00174920">
            <w:pPr>
              <w:pStyle w:val="TAC"/>
              <w:rPr>
                <w:lang w:eastAsia="ko-KR"/>
              </w:rPr>
            </w:pPr>
            <w:r>
              <w:rPr>
                <w:rFonts w:cs="Arial"/>
                <w:szCs w:val="18"/>
              </w:rPr>
              <w:t>≥4</w:t>
            </w:r>
          </w:p>
        </w:tc>
        <w:tc>
          <w:tcPr>
            <w:tcW w:w="3258" w:type="dxa"/>
            <w:tcBorders>
              <w:top w:val="single" w:sz="4" w:space="0" w:color="auto"/>
              <w:left w:val="single" w:sz="4" w:space="0" w:color="auto"/>
              <w:bottom w:val="single" w:sz="4" w:space="0" w:color="auto"/>
              <w:right w:val="single" w:sz="4" w:space="0" w:color="auto"/>
            </w:tcBorders>
            <w:hideMark/>
          </w:tcPr>
          <w:p w14:paraId="59D8ABBE"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68418352" w14:textId="77777777" w:rsidR="00174920" w:rsidRPr="006A7330" w:rsidRDefault="00174920" w:rsidP="00174920">
            <w:pPr>
              <w:pStyle w:val="TAC"/>
              <w:rPr>
                <w:lang w:eastAsia="ko-KR"/>
              </w:rPr>
            </w:pPr>
            <w:r w:rsidRPr="006A7330">
              <w:rPr>
                <w:lang w:eastAsia="ko-KR"/>
              </w:rPr>
              <w:t>NOTE 6</w:t>
            </w:r>
          </w:p>
        </w:tc>
      </w:tr>
      <w:tr w:rsidR="00174920" w:rsidRPr="006A7330" w14:paraId="17469090"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25407CEB" w14:textId="26BF7E3D" w:rsidR="00174920" w:rsidRPr="006A7330" w:rsidRDefault="00174920" w:rsidP="00174920">
            <w:pPr>
              <w:pStyle w:val="TAC"/>
              <w:rPr>
                <w:lang w:eastAsia="ko-KR"/>
              </w:rPr>
            </w:pPr>
            <w:r w:rsidRPr="002F3C20">
              <w:rPr>
                <w:lang w:eastAsia="ko-KR"/>
              </w:rPr>
              <w:t>± 70+</w:t>
            </w:r>
            <w:r w:rsidRPr="002F3C20">
              <w:rPr>
                <w:lang w:eastAsia="ko-KR"/>
              </w:rPr>
              <w:sym w:font="Symbol" w:char="F064"/>
            </w:r>
          </w:p>
        </w:tc>
        <w:tc>
          <w:tcPr>
            <w:tcW w:w="851" w:type="dxa"/>
            <w:tcBorders>
              <w:top w:val="nil"/>
              <w:left w:val="single" w:sz="6" w:space="0" w:color="auto"/>
              <w:bottom w:val="nil"/>
              <w:right w:val="single" w:sz="6" w:space="0" w:color="auto"/>
            </w:tcBorders>
            <w:vAlign w:val="center"/>
          </w:tcPr>
          <w:p w14:paraId="36051C29"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7D163419" w14:textId="7F7ADB14" w:rsidR="00174920" w:rsidRPr="006A7330" w:rsidRDefault="00174920" w:rsidP="00174920">
            <w:pPr>
              <w:pStyle w:val="TAC"/>
              <w:rPr>
                <w:lang w:eastAsia="ko-KR"/>
              </w:rPr>
            </w:pPr>
            <w:r>
              <w:rPr>
                <w:rFonts w:cs="Calibri"/>
              </w:rPr>
              <w:t>≥</w:t>
            </w:r>
            <w:r>
              <w:t>64</w:t>
            </w:r>
          </w:p>
        </w:tc>
        <w:tc>
          <w:tcPr>
            <w:tcW w:w="845" w:type="dxa"/>
            <w:tcBorders>
              <w:top w:val="nil"/>
              <w:left w:val="single" w:sz="6" w:space="0" w:color="auto"/>
              <w:bottom w:val="nil"/>
              <w:right w:val="single" w:sz="6" w:space="0" w:color="auto"/>
            </w:tcBorders>
          </w:tcPr>
          <w:p w14:paraId="57D98FCD" w14:textId="77777777" w:rsidR="00174920" w:rsidRPr="006A7330" w:rsidRDefault="00174920" w:rsidP="00174920">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506E9AE4" w14:textId="01F5ABDD"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3E38FA7D"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2AEE6933" w14:textId="77777777" w:rsidR="00174920" w:rsidRPr="006A7330" w:rsidRDefault="00174920" w:rsidP="00174920">
            <w:pPr>
              <w:pStyle w:val="TAC"/>
              <w:rPr>
                <w:lang w:eastAsia="ko-KR"/>
              </w:rPr>
            </w:pPr>
            <w:r w:rsidRPr="006A7330">
              <w:rPr>
                <w:lang w:eastAsia="ko-KR"/>
              </w:rPr>
              <w:t>NOTE 6</w:t>
            </w:r>
          </w:p>
        </w:tc>
      </w:tr>
      <w:tr w:rsidR="00174920" w:rsidRPr="006A7330" w14:paraId="642DED53"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09249F49" w14:textId="435978A6" w:rsidR="00174920" w:rsidRPr="006A7330" w:rsidRDefault="00174920" w:rsidP="00174920">
            <w:pPr>
              <w:pStyle w:val="TAC"/>
              <w:rPr>
                <w:lang w:eastAsia="ko-KR"/>
              </w:rPr>
            </w:pPr>
            <w:r w:rsidRPr="002F3C20">
              <w:rPr>
                <w:lang w:eastAsia="ko-KR"/>
              </w:rPr>
              <w:t>± 57+</w:t>
            </w:r>
            <w:r w:rsidRPr="002F3C20">
              <w:rPr>
                <w:lang w:eastAsia="ko-KR"/>
              </w:rPr>
              <w:sym w:font="Symbol" w:char="F064"/>
            </w:r>
          </w:p>
        </w:tc>
        <w:tc>
          <w:tcPr>
            <w:tcW w:w="851" w:type="dxa"/>
            <w:vMerge w:val="restart"/>
            <w:tcBorders>
              <w:top w:val="nil"/>
              <w:left w:val="single" w:sz="6" w:space="0" w:color="auto"/>
              <w:bottom w:val="nil"/>
              <w:right w:val="single" w:sz="6" w:space="0" w:color="auto"/>
            </w:tcBorders>
            <w:vAlign w:val="center"/>
          </w:tcPr>
          <w:p w14:paraId="5CFF651F"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4CD7398B" w14:textId="0606C077" w:rsidR="00174920" w:rsidRPr="006A7330" w:rsidRDefault="00174920" w:rsidP="00174920">
            <w:pPr>
              <w:pStyle w:val="TAC"/>
              <w:rPr>
                <w:lang w:eastAsia="ko-KR"/>
              </w:rPr>
            </w:pPr>
            <w:r>
              <w:rPr>
                <w:rFonts w:cs="Calibri"/>
              </w:rPr>
              <w:t>≥</w:t>
            </w:r>
            <w:r>
              <w:t>132</w:t>
            </w:r>
          </w:p>
        </w:tc>
        <w:tc>
          <w:tcPr>
            <w:tcW w:w="845" w:type="dxa"/>
            <w:tcBorders>
              <w:top w:val="nil"/>
              <w:left w:val="single" w:sz="6" w:space="0" w:color="auto"/>
              <w:bottom w:val="nil"/>
              <w:right w:val="single" w:sz="6" w:space="0" w:color="auto"/>
            </w:tcBorders>
          </w:tcPr>
          <w:p w14:paraId="77C756D2" w14:textId="77777777" w:rsidR="00174920" w:rsidRPr="006A7330" w:rsidRDefault="00174920" w:rsidP="00174920">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355AA183" w14:textId="74BB5694"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70F2F5BB"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33C9EA4A" w14:textId="77777777" w:rsidR="00174920" w:rsidRPr="006A7330" w:rsidRDefault="00174920" w:rsidP="00174920">
            <w:pPr>
              <w:pStyle w:val="TAC"/>
              <w:rPr>
                <w:lang w:eastAsia="ko-KR"/>
              </w:rPr>
            </w:pPr>
            <w:r w:rsidRPr="006A7330">
              <w:rPr>
                <w:lang w:eastAsia="ko-KR"/>
              </w:rPr>
              <w:t>NOTE 6</w:t>
            </w:r>
          </w:p>
        </w:tc>
      </w:tr>
      <w:tr w:rsidR="00174920" w:rsidRPr="006A7330" w14:paraId="263EF146" w14:textId="77777777" w:rsidTr="00174920">
        <w:trPr>
          <w:jc w:val="center"/>
        </w:trPr>
        <w:tc>
          <w:tcPr>
            <w:tcW w:w="1133" w:type="dxa"/>
            <w:tcBorders>
              <w:top w:val="single" w:sz="6" w:space="0" w:color="auto"/>
              <w:left w:val="single" w:sz="4" w:space="0" w:color="auto"/>
              <w:bottom w:val="nil"/>
              <w:right w:val="single" w:sz="6" w:space="0" w:color="auto"/>
            </w:tcBorders>
            <w:hideMark/>
          </w:tcPr>
          <w:p w14:paraId="50F67E31" w14:textId="4D13F3AC" w:rsidR="00174920" w:rsidRPr="006A7330" w:rsidRDefault="00174920" w:rsidP="00174920">
            <w:pPr>
              <w:pStyle w:val="TAC"/>
              <w:rPr>
                <w:lang w:eastAsia="ko-KR"/>
              </w:rPr>
            </w:pPr>
            <w:r w:rsidRPr="002F3C20">
              <w:rPr>
                <w:lang w:eastAsia="ko-KR"/>
              </w:rPr>
              <w:t>± 60+</w:t>
            </w:r>
            <w:r w:rsidRPr="002F3C20">
              <w:rPr>
                <w:lang w:eastAsia="ko-KR"/>
              </w:rPr>
              <w:sym w:font="Symbol" w:char="F064"/>
            </w:r>
          </w:p>
        </w:tc>
        <w:tc>
          <w:tcPr>
            <w:tcW w:w="851" w:type="dxa"/>
            <w:vMerge/>
            <w:tcBorders>
              <w:top w:val="nil"/>
              <w:left w:val="single" w:sz="6" w:space="0" w:color="auto"/>
              <w:bottom w:val="nil"/>
              <w:right w:val="single" w:sz="6" w:space="0" w:color="auto"/>
            </w:tcBorders>
            <w:vAlign w:val="center"/>
            <w:hideMark/>
          </w:tcPr>
          <w:p w14:paraId="1B53ED01"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7DB7F29C" w14:textId="3EC45A67" w:rsidR="00174920" w:rsidRPr="006A7330" w:rsidRDefault="00174920" w:rsidP="00174920">
            <w:pPr>
              <w:pStyle w:val="TAC"/>
              <w:rPr>
                <w:lang w:eastAsia="ko-KR"/>
              </w:rPr>
            </w:pPr>
            <w:r>
              <w:rPr>
                <w:rFonts w:cs="Calibri"/>
              </w:rPr>
              <w:t>≥</w:t>
            </w:r>
            <w:r>
              <w:t>32</w:t>
            </w:r>
          </w:p>
        </w:tc>
        <w:tc>
          <w:tcPr>
            <w:tcW w:w="845" w:type="dxa"/>
            <w:tcBorders>
              <w:top w:val="single" w:sz="6" w:space="0" w:color="auto"/>
              <w:left w:val="single" w:sz="6" w:space="0" w:color="auto"/>
              <w:bottom w:val="nil"/>
              <w:right w:val="single" w:sz="6" w:space="0" w:color="auto"/>
            </w:tcBorders>
            <w:hideMark/>
          </w:tcPr>
          <w:p w14:paraId="14E3542B" w14:textId="77777777" w:rsidR="00174920" w:rsidRPr="006A7330" w:rsidRDefault="00174920" w:rsidP="00174920">
            <w:pPr>
              <w:pStyle w:val="TAC"/>
              <w:rPr>
                <w:lang w:eastAsia="ko-KR"/>
              </w:rPr>
            </w:pPr>
            <w:r w:rsidRPr="006A7330">
              <w:rPr>
                <w:lang w:eastAsia="ko-KR"/>
              </w:rPr>
              <w:t>120</w:t>
            </w:r>
          </w:p>
        </w:tc>
        <w:tc>
          <w:tcPr>
            <w:tcW w:w="1422" w:type="dxa"/>
            <w:tcBorders>
              <w:top w:val="single" w:sz="6" w:space="0" w:color="auto"/>
              <w:left w:val="single" w:sz="6" w:space="0" w:color="auto"/>
              <w:bottom w:val="nil"/>
              <w:right w:val="single" w:sz="4" w:space="0" w:color="auto"/>
            </w:tcBorders>
            <w:vAlign w:val="center"/>
            <w:hideMark/>
          </w:tcPr>
          <w:p w14:paraId="7020B515" w14:textId="0D59B2EF"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31CFE110"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0EF9F529" w14:textId="77777777" w:rsidR="00174920" w:rsidRPr="006A7330" w:rsidRDefault="00174920" w:rsidP="00174920">
            <w:pPr>
              <w:pStyle w:val="TAC"/>
              <w:rPr>
                <w:lang w:eastAsia="ko-KR"/>
              </w:rPr>
            </w:pPr>
            <w:r w:rsidRPr="006A7330">
              <w:rPr>
                <w:lang w:eastAsia="ko-KR"/>
              </w:rPr>
              <w:t>NOTE 6</w:t>
            </w:r>
          </w:p>
        </w:tc>
      </w:tr>
      <w:tr w:rsidR="00174920" w:rsidRPr="006A7330" w14:paraId="71C311AE"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57BAD9ED" w14:textId="32B69FAB" w:rsidR="00174920" w:rsidRPr="006A7330" w:rsidRDefault="00174920" w:rsidP="00174920">
            <w:pPr>
              <w:pStyle w:val="TAC"/>
              <w:rPr>
                <w:lang w:eastAsia="ko-KR"/>
              </w:rPr>
            </w:pPr>
            <w:r w:rsidRPr="002F3C20">
              <w:rPr>
                <w:lang w:eastAsia="ko-KR"/>
              </w:rPr>
              <w:t>± 66+</w:t>
            </w:r>
            <w:r w:rsidRPr="002F3C20">
              <w:rPr>
                <w:lang w:eastAsia="ko-KR"/>
              </w:rPr>
              <w:sym w:font="Symbol" w:char="F064"/>
            </w:r>
          </w:p>
        </w:tc>
        <w:tc>
          <w:tcPr>
            <w:tcW w:w="851" w:type="dxa"/>
            <w:tcBorders>
              <w:top w:val="nil"/>
              <w:left w:val="single" w:sz="6" w:space="0" w:color="auto"/>
              <w:bottom w:val="nil"/>
              <w:right w:val="single" w:sz="6" w:space="0" w:color="auto"/>
            </w:tcBorders>
            <w:vAlign w:val="center"/>
          </w:tcPr>
          <w:p w14:paraId="36474E96"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689EA323" w14:textId="743AD749" w:rsidR="00174920" w:rsidRPr="006A7330" w:rsidRDefault="00174920" w:rsidP="00174920">
            <w:pPr>
              <w:pStyle w:val="TAC"/>
              <w:rPr>
                <w:lang w:eastAsia="ko-KR"/>
              </w:rPr>
            </w:pPr>
            <w:r>
              <w:rPr>
                <w:rFonts w:cs="Calibri"/>
              </w:rPr>
              <w:t>≥</w:t>
            </w:r>
            <w:r>
              <w:t>64</w:t>
            </w:r>
          </w:p>
        </w:tc>
        <w:tc>
          <w:tcPr>
            <w:tcW w:w="845" w:type="dxa"/>
            <w:tcBorders>
              <w:top w:val="nil"/>
              <w:left w:val="single" w:sz="6" w:space="0" w:color="auto"/>
              <w:bottom w:val="nil"/>
              <w:right w:val="single" w:sz="6" w:space="0" w:color="auto"/>
            </w:tcBorders>
          </w:tcPr>
          <w:p w14:paraId="28E55CF8" w14:textId="77777777" w:rsidR="00174920" w:rsidRPr="006A7330" w:rsidRDefault="00174920" w:rsidP="00174920">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022C551D" w14:textId="1BADB270"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79C9E3CB"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5134CDAC" w14:textId="77777777" w:rsidR="00174920" w:rsidRPr="006A7330" w:rsidRDefault="00174920" w:rsidP="00174920">
            <w:pPr>
              <w:pStyle w:val="TAC"/>
              <w:rPr>
                <w:lang w:eastAsia="ko-KR"/>
              </w:rPr>
            </w:pPr>
            <w:r w:rsidRPr="006A7330">
              <w:rPr>
                <w:lang w:eastAsia="ko-KR"/>
              </w:rPr>
              <w:t>NOTE 6</w:t>
            </w:r>
          </w:p>
        </w:tc>
      </w:tr>
      <w:tr w:rsidR="00174920" w:rsidRPr="006A7330" w14:paraId="2E85E457" w14:textId="77777777" w:rsidTr="00224E82">
        <w:trPr>
          <w:jc w:val="center"/>
        </w:trPr>
        <w:tc>
          <w:tcPr>
            <w:tcW w:w="1133" w:type="dxa"/>
            <w:tcBorders>
              <w:top w:val="single" w:sz="6" w:space="0" w:color="auto"/>
              <w:left w:val="single" w:sz="4" w:space="0" w:color="auto"/>
              <w:bottom w:val="nil"/>
              <w:right w:val="single" w:sz="6" w:space="0" w:color="auto"/>
            </w:tcBorders>
            <w:hideMark/>
          </w:tcPr>
          <w:p w14:paraId="638A2403" w14:textId="1CE774D1" w:rsidR="00174920" w:rsidRPr="006A7330" w:rsidRDefault="00174920" w:rsidP="00174920">
            <w:pPr>
              <w:pStyle w:val="TAC"/>
              <w:rPr>
                <w:lang w:eastAsia="ko-KR"/>
              </w:rPr>
            </w:pPr>
            <w:r w:rsidRPr="002F3C20">
              <w:rPr>
                <w:lang w:eastAsia="ko-KR"/>
              </w:rPr>
              <w:t>± 62+</w:t>
            </w:r>
            <w:r w:rsidRPr="002F3C20">
              <w:rPr>
                <w:lang w:eastAsia="ko-KR"/>
              </w:rPr>
              <w:sym w:font="Symbol" w:char="F064"/>
            </w:r>
          </w:p>
        </w:tc>
        <w:tc>
          <w:tcPr>
            <w:tcW w:w="851" w:type="dxa"/>
            <w:tcBorders>
              <w:top w:val="nil"/>
              <w:left w:val="single" w:sz="6" w:space="0" w:color="auto"/>
              <w:bottom w:val="nil"/>
              <w:right w:val="single" w:sz="6" w:space="0" w:color="auto"/>
            </w:tcBorders>
            <w:vAlign w:val="center"/>
          </w:tcPr>
          <w:p w14:paraId="45948532" w14:textId="77777777" w:rsidR="00174920" w:rsidRPr="006A7330" w:rsidRDefault="00174920" w:rsidP="00174920">
            <w:pPr>
              <w:pStyle w:val="TAC"/>
              <w:rPr>
                <w:lang w:val="sv-SE" w:eastAsia="ko-KR"/>
              </w:rPr>
            </w:pPr>
          </w:p>
        </w:tc>
        <w:tc>
          <w:tcPr>
            <w:tcW w:w="1133" w:type="dxa"/>
            <w:tcBorders>
              <w:top w:val="single" w:sz="6" w:space="0" w:color="auto"/>
              <w:left w:val="single" w:sz="6" w:space="0" w:color="auto"/>
              <w:bottom w:val="nil"/>
              <w:right w:val="single" w:sz="6" w:space="0" w:color="auto"/>
            </w:tcBorders>
            <w:hideMark/>
          </w:tcPr>
          <w:p w14:paraId="6DC69D89" w14:textId="24C83CF7" w:rsidR="00174920" w:rsidRPr="006A7330" w:rsidRDefault="00174920" w:rsidP="00174920">
            <w:pPr>
              <w:pStyle w:val="TAC"/>
              <w:rPr>
                <w:lang w:eastAsia="ko-KR"/>
              </w:rPr>
            </w:pPr>
            <w:r>
              <w:rPr>
                <w:rFonts w:cs="Calibri"/>
              </w:rPr>
              <w:t>≥</w:t>
            </w:r>
            <w:r>
              <w:t>128</w:t>
            </w:r>
          </w:p>
        </w:tc>
        <w:tc>
          <w:tcPr>
            <w:tcW w:w="845" w:type="dxa"/>
            <w:tcBorders>
              <w:top w:val="nil"/>
              <w:left w:val="single" w:sz="6" w:space="0" w:color="auto"/>
              <w:bottom w:val="nil"/>
              <w:right w:val="single" w:sz="6" w:space="0" w:color="auto"/>
            </w:tcBorders>
          </w:tcPr>
          <w:p w14:paraId="779690D2" w14:textId="77777777" w:rsidR="00174920" w:rsidRPr="006A7330" w:rsidRDefault="00174920" w:rsidP="00174920">
            <w:pPr>
              <w:pStyle w:val="TAC"/>
              <w:rPr>
                <w:lang w:eastAsia="ko-KR"/>
              </w:rPr>
            </w:pPr>
          </w:p>
        </w:tc>
        <w:tc>
          <w:tcPr>
            <w:tcW w:w="1422" w:type="dxa"/>
            <w:tcBorders>
              <w:top w:val="single" w:sz="6" w:space="0" w:color="auto"/>
              <w:left w:val="single" w:sz="6" w:space="0" w:color="auto"/>
              <w:bottom w:val="nil"/>
              <w:right w:val="single" w:sz="4" w:space="0" w:color="auto"/>
            </w:tcBorders>
            <w:vAlign w:val="center"/>
            <w:hideMark/>
          </w:tcPr>
          <w:p w14:paraId="663EB276" w14:textId="5B942317" w:rsidR="00174920" w:rsidRPr="006A7330" w:rsidRDefault="00174920" w:rsidP="00174920">
            <w:pPr>
              <w:pStyle w:val="TAC"/>
              <w:rPr>
                <w:lang w:eastAsia="ko-KR"/>
              </w:rPr>
            </w:pPr>
            <w:r>
              <w:rPr>
                <w:rFonts w:cs="Arial"/>
                <w:szCs w:val="18"/>
              </w:rPr>
              <w:t>≥1</w:t>
            </w:r>
          </w:p>
        </w:tc>
        <w:tc>
          <w:tcPr>
            <w:tcW w:w="3258" w:type="dxa"/>
            <w:tcBorders>
              <w:top w:val="single" w:sz="4" w:space="0" w:color="auto"/>
              <w:left w:val="single" w:sz="4" w:space="0" w:color="auto"/>
              <w:bottom w:val="single" w:sz="4" w:space="0" w:color="auto"/>
              <w:right w:val="single" w:sz="4" w:space="0" w:color="auto"/>
            </w:tcBorders>
            <w:hideMark/>
          </w:tcPr>
          <w:p w14:paraId="0E51418C" w14:textId="77777777" w:rsidR="00174920" w:rsidRPr="006A7330" w:rsidRDefault="00174920" w:rsidP="00174920">
            <w:pPr>
              <w:pStyle w:val="TAC"/>
              <w:rPr>
                <w:lang w:eastAsia="ko-KR"/>
              </w:rPr>
            </w:pPr>
            <w:r w:rsidRPr="006A7330">
              <w:rPr>
                <w:lang w:eastAsia="ko-KR"/>
              </w:rPr>
              <w:t>NOTE 6</w:t>
            </w:r>
          </w:p>
        </w:tc>
        <w:tc>
          <w:tcPr>
            <w:tcW w:w="1558" w:type="dxa"/>
            <w:tcBorders>
              <w:top w:val="single" w:sz="6" w:space="0" w:color="auto"/>
              <w:left w:val="single" w:sz="4" w:space="0" w:color="auto"/>
              <w:bottom w:val="single" w:sz="6" w:space="0" w:color="auto"/>
              <w:right w:val="single" w:sz="4" w:space="0" w:color="auto"/>
            </w:tcBorders>
            <w:hideMark/>
          </w:tcPr>
          <w:p w14:paraId="5E4C41D1" w14:textId="77777777" w:rsidR="00174920" w:rsidRPr="006A7330" w:rsidRDefault="00174920" w:rsidP="00174920">
            <w:pPr>
              <w:pStyle w:val="TAC"/>
              <w:rPr>
                <w:lang w:eastAsia="ko-KR"/>
              </w:rPr>
            </w:pPr>
            <w:r w:rsidRPr="006A7330">
              <w:rPr>
                <w:lang w:eastAsia="ko-KR"/>
              </w:rPr>
              <w:t>NOTE 6</w:t>
            </w:r>
          </w:p>
        </w:tc>
      </w:tr>
      <w:tr w:rsidR="00CD3B3E" w:rsidRPr="006A7330" w14:paraId="1F449D2A" w14:textId="77777777" w:rsidTr="00224E82">
        <w:trPr>
          <w:jc w:val="center"/>
        </w:trPr>
        <w:tc>
          <w:tcPr>
            <w:tcW w:w="10200" w:type="dxa"/>
            <w:gridSpan w:val="7"/>
            <w:tcBorders>
              <w:top w:val="single" w:sz="6" w:space="0" w:color="auto"/>
              <w:left w:val="single" w:sz="4" w:space="0" w:color="auto"/>
              <w:bottom w:val="single" w:sz="4" w:space="0" w:color="auto"/>
              <w:right w:val="single" w:sz="4" w:space="0" w:color="auto"/>
            </w:tcBorders>
            <w:hideMark/>
          </w:tcPr>
          <w:p w14:paraId="6195A948" w14:textId="77777777" w:rsidR="00CD3B3E" w:rsidRPr="006A7330" w:rsidRDefault="00CD3B3E" w:rsidP="00174920">
            <w:pPr>
              <w:pStyle w:val="TAN"/>
              <w:rPr>
                <w:lang w:eastAsia="ko-KR"/>
              </w:rPr>
            </w:pPr>
            <w:r w:rsidRPr="006A7330">
              <w:rPr>
                <w:lang w:eastAsia="ko-KR"/>
              </w:rPr>
              <w:t>N</w:t>
            </w:r>
            <w:r w:rsidRPr="006A7330">
              <w:t>OTE</w:t>
            </w:r>
            <w:r w:rsidRPr="006A7330">
              <w:rPr>
                <w:lang w:eastAsia="ko-KR"/>
              </w:rPr>
              <w:t xml:space="preserve"> 1:</w:t>
            </w:r>
            <w:r w:rsidRPr="006A7330">
              <w:rPr>
                <w:lang w:eastAsia="ko-KR"/>
              </w:rPr>
              <w:tab/>
              <w:t>This minimum Io condition is expressed as the average Io per RE over all REs in an OFDM symbol.</w:t>
            </w:r>
          </w:p>
          <w:p w14:paraId="458C1A87" w14:textId="77777777" w:rsidR="00CD3B3E" w:rsidRPr="006A7330" w:rsidRDefault="00CD3B3E" w:rsidP="00174920">
            <w:pPr>
              <w:pStyle w:val="TAN"/>
              <w:rPr>
                <w:lang w:eastAsia="ko-KR"/>
              </w:rPr>
            </w:pPr>
            <w:r w:rsidRPr="006A7330">
              <w:rPr>
                <w:lang w:eastAsia="ko-KR"/>
              </w:rPr>
              <w:t>NOTE 2:</w:t>
            </w:r>
            <w:r w:rsidRPr="006A7330">
              <w:rPr>
                <w:lang w:eastAsia="ko-KR"/>
              </w:rPr>
              <w:tab/>
              <w:t>NR operating band groups are as defined in Section 3.5.</w:t>
            </w:r>
          </w:p>
          <w:p w14:paraId="2AE2920C" w14:textId="77777777" w:rsidR="00CD3B3E" w:rsidRPr="006A7330" w:rsidRDefault="00CD3B3E" w:rsidP="00174920">
            <w:pPr>
              <w:pStyle w:val="TAN"/>
              <w:rPr>
                <w:lang w:eastAsia="ko-KR"/>
              </w:rPr>
            </w:pPr>
            <w:r w:rsidRPr="006A7330">
              <w:rPr>
                <w:lang w:eastAsia="ko-KR"/>
              </w:rPr>
              <w:t>N</w:t>
            </w:r>
            <w:r w:rsidRPr="006A7330">
              <w:t>OTE</w:t>
            </w:r>
            <w:r w:rsidRPr="006A7330">
              <w:rPr>
                <w:lang w:eastAsia="ko-KR"/>
              </w:rPr>
              <w:t xml:space="preserve"> 3:</w:t>
            </w:r>
            <w:r w:rsidRPr="006A7330">
              <w:rPr>
                <w:lang w:eastAsia="ko-KR"/>
              </w:rPr>
              <w:tab/>
            </w:r>
            <m:oMath>
              <m:sSubSup>
                <m:sSubSupPr>
                  <m:ctrlPr>
                    <w:rPr>
                      <w:rFonts w:ascii="Cambria Math" w:hAnsi="Cambria Math"/>
                      <w:i/>
                      <w:szCs w:val="18"/>
                      <w:lang w:eastAsia="ko-KR"/>
                    </w:rPr>
                  </m:ctrlPr>
                </m:sSubSupPr>
                <m:e>
                  <m:r>
                    <w:rPr>
                      <w:rFonts w:ascii="Cambria Math" w:hAnsi="Cambria Math"/>
                      <w:lang w:eastAsia="ko-KR"/>
                    </w:rPr>
                    <m:t>T</m:t>
                  </m:r>
                </m:e>
                <m:sub>
                  <m:r>
                    <m:rPr>
                      <m:sty m:val="p"/>
                    </m:rPr>
                    <w:rPr>
                      <w:rFonts w:ascii="Cambria Math" w:hAnsi="Cambria Math"/>
                      <w:lang w:eastAsia="ko-KR"/>
                    </w:rPr>
                    <m:t>rep</m:t>
                  </m:r>
                </m:sub>
                <m:sup>
                  <m:r>
                    <m:rPr>
                      <m:sty m:val="p"/>
                    </m:rPr>
                    <w:rPr>
                      <w:rFonts w:ascii="Cambria Math" w:hAnsi="Cambria Math"/>
                      <w:lang w:eastAsia="ko-KR"/>
                    </w:rPr>
                    <m:t>PRS</m:t>
                  </m:r>
                </m:sup>
              </m:sSubSup>
              <m:r>
                <w:rPr>
                  <w:rFonts w:ascii="Cambria Math" w:hAnsi="Cambria Math"/>
                  <w:lang w:eastAsia="ko-KR"/>
                </w:rPr>
                <m:t xml:space="preserve">, </m:t>
              </m:r>
              <m:sSub>
                <m:sSubPr>
                  <m:ctrlPr>
                    <w:rPr>
                      <w:rFonts w:ascii="Cambria Math" w:hAnsi="Cambria Math"/>
                      <w:szCs w:val="18"/>
                      <w:lang w:eastAsia="ko-KR"/>
                    </w:rPr>
                  </m:ctrlPr>
                </m:sSubPr>
                <m:e>
                  <m:r>
                    <w:rPr>
                      <w:rFonts w:ascii="Cambria Math" w:hAnsi="Cambria Math"/>
                      <w:lang w:eastAsia="ko-KR"/>
                    </w:rPr>
                    <m:t>L</m:t>
                  </m:r>
                </m:e>
                <m:sub>
                  <m:r>
                    <m:rPr>
                      <m:sty m:val="p"/>
                    </m:rPr>
                    <w:rPr>
                      <w:rFonts w:ascii="Cambria Math" w:hAnsi="Cambria Math"/>
                      <w:lang w:eastAsia="ko-KR"/>
                    </w:rPr>
                    <m:t>PRS</m:t>
                  </m:r>
                </m:sub>
              </m:sSub>
              <m:r>
                <w:rPr>
                  <w:rFonts w:ascii="Cambria Math" w:hAnsi="Cambria Math"/>
                  <w:lang w:eastAsia="ko-KR"/>
                </w:rPr>
                <m:t xml:space="preserve"> ,</m:t>
              </m:r>
              <m:sSubSup>
                <m:sSubSupPr>
                  <m:ctrlPr>
                    <w:rPr>
                      <w:rFonts w:ascii="Cambria Math" w:hAnsi="Cambria Math"/>
                      <w:i/>
                      <w:szCs w:val="18"/>
                      <w:lang w:eastAsia="ko-KR"/>
                    </w:rPr>
                  </m:ctrlPr>
                </m:sSubSupPr>
                <m:e>
                  <m:r>
                    <w:rPr>
                      <w:rFonts w:ascii="Cambria Math" w:hAnsi="Cambria Math"/>
                      <w:lang w:eastAsia="ko-KR"/>
                    </w:rPr>
                    <m:t>K</m:t>
                  </m:r>
                </m:e>
                <m:sub>
                  <m:r>
                    <m:rPr>
                      <m:sty m:val="p"/>
                    </m:rPr>
                    <w:rPr>
                      <w:rFonts w:ascii="Cambria Math" w:hAnsi="Cambria Math"/>
                      <w:lang w:eastAsia="ko-KR"/>
                    </w:rPr>
                    <m:t>comb</m:t>
                  </m:r>
                </m:sub>
                <m:sup>
                  <m:r>
                    <m:rPr>
                      <m:sty m:val="p"/>
                    </m:rPr>
                    <w:rPr>
                      <w:rFonts w:ascii="Cambria Math" w:hAnsi="Cambria Math"/>
                      <w:lang w:eastAsia="ko-KR"/>
                    </w:rPr>
                    <m:t>PRS</m:t>
                  </m:r>
                </m:sup>
              </m:sSubSup>
            </m:oMath>
            <w:r w:rsidRPr="006A7330">
              <w:rPr>
                <w:b/>
                <w:bCs/>
              </w:rPr>
              <w:t xml:space="preserve"> </w:t>
            </w:r>
            <w:r w:rsidRPr="006A7330">
              <w:rPr>
                <w:lang w:eastAsia="ko-KR"/>
              </w:rPr>
              <w:t xml:space="preserve">are configured by higher layer parameter  </w:t>
            </w:r>
            <w:r w:rsidRPr="006A7330">
              <w:rPr>
                <w:i/>
                <w:lang w:eastAsia="ko-KR"/>
              </w:rPr>
              <w:t>dl-PRS-ResourceRepetitionFactor, dl-PRS-NumSymbols and  dl-PRS-CombSizeN</w:t>
            </w:r>
            <w:r w:rsidRPr="006A7330">
              <w:rPr>
                <w:iCs/>
                <w:lang w:eastAsia="ko-KR"/>
              </w:rPr>
              <w:t>defined in TS 37.355 [34]</w:t>
            </w:r>
            <w:r w:rsidRPr="006A7330">
              <w:rPr>
                <w:iCs/>
                <w:lang w:val="en-US"/>
              </w:rPr>
              <w:t>.</w:t>
            </w:r>
          </w:p>
          <w:p w14:paraId="5109AA81" w14:textId="77777777" w:rsidR="00CD3B3E" w:rsidRPr="006A7330" w:rsidRDefault="00CD3B3E" w:rsidP="00174920">
            <w:pPr>
              <w:pStyle w:val="TAN"/>
              <w:rPr>
                <w:lang w:eastAsia="ko-KR"/>
              </w:rPr>
            </w:pPr>
            <w:r w:rsidRPr="006A7330">
              <w:rPr>
                <w:lang w:eastAsia="ko-KR"/>
              </w:rPr>
              <w:t>NOTE 4:</w:t>
            </w:r>
            <w:r w:rsidRPr="006A7330">
              <w:rPr>
                <w:lang w:eastAsia="ko-KR"/>
              </w:rPr>
              <w:tab/>
              <w:t>The Io is defined in PRS slots. The same Io range applies to PRS and non-PRS symbols. Io levels are different in PRS and non-PRS symbols within the same slot.</w:t>
            </w:r>
          </w:p>
          <w:p w14:paraId="7ADEF006" w14:textId="77777777" w:rsidR="00CD3B3E" w:rsidRPr="006A7330" w:rsidRDefault="00CD3B3E" w:rsidP="00174920">
            <w:pPr>
              <w:pStyle w:val="TAN"/>
              <w:rPr>
                <w:lang w:eastAsia="ko-KR"/>
              </w:rPr>
            </w:pPr>
            <w:r w:rsidRPr="006A7330">
              <w:rPr>
                <w:lang w:eastAsia="ko-KR"/>
              </w:rPr>
              <w:t>N</w:t>
            </w:r>
            <w:r w:rsidRPr="006A7330">
              <w:t>OTE</w:t>
            </w:r>
            <w:r w:rsidRPr="006A7330">
              <w:rPr>
                <w:lang w:eastAsia="ko-KR"/>
              </w:rPr>
              <w:t xml:space="preserve"> 5:</w:t>
            </w:r>
            <w:r w:rsidRPr="006A7330">
              <w:rPr>
                <w:lang w:eastAsia="ko-KR"/>
              </w:rPr>
              <w:tab/>
              <w:t>Tc is the basic timing unit defined in TS 38.211 [6].</w:t>
            </w:r>
          </w:p>
          <w:p w14:paraId="55AB1C3A" w14:textId="77777777" w:rsidR="00CD3B3E" w:rsidRDefault="00CD3B3E" w:rsidP="00174920">
            <w:pPr>
              <w:pStyle w:val="TAN"/>
              <w:rPr>
                <w:lang w:eastAsia="ko-KR"/>
              </w:rPr>
            </w:pPr>
            <w:r w:rsidRPr="006A7330">
              <w:rPr>
                <w:lang w:eastAsia="ko-KR"/>
              </w:rPr>
              <w:t>NOTE 6:</w:t>
            </w:r>
            <w:r w:rsidRPr="006A7330">
              <w:rPr>
                <w:lang w:eastAsia="ko-KR"/>
              </w:rPr>
              <w:tab/>
              <w:t>The same bands and the same Io conditions for each band apply for this requirement as for the corresponding requirement with the PRS bandwidth of the smallest RB number for the corresponding SCS.</w:t>
            </w:r>
          </w:p>
          <w:p w14:paraId="2066B543" w14:textId="6D0568FD" w:rsidR="00CD3B3E" w:rsidRPr="006A7330" w:rsidRDefault="00CD3B3E" w:rsidP="00174920">
            <w:pPr>
              <w:pStyle w:val="TAN"/>
              <w:rPr>
                <w:lang w:eastAsia="ko-KR"/>
              </w:rPr>
            </w:pPr>
            <w:r>
              <w:rPr>
                <w:lang w:eastAsia="ko-KR"/>
              </w:rPr>
              <w:t>NOTE 7:</w:t>
            </w:r>
            <w:r w:rsidRPr="006A7330">
              <w:rPr>
                <w:lang w:eastAsia="ko-KR"/>
              </w:rPr>
              <w:t xml:space="preserve"> </w:t>
            </w:r>
            <w:r w:rsidRPr="006A7330">
              <w:rPr>
                <w:lang w:eastAsia="ko-KR"/>
              </w:rPr>
              <w:tab/>
            </w:r>
            <w:r w:rsidRPr="006A7330">
              <w:rPr>
                <w:rFonts w:cs="Arial"/>
                <w:szCs w:val="18"/>
                <w:lang w:eastAsia="ko-KR"/>
              </w:rPr>
              <w:sym w:font="Symbol" w:char="F064"/>
            </w:r>
            <w:r>
              <w:rPr>
                <w:rFonts w:cs="Arial"/>
                <w:szCs w:val="18"/>
                <w:lang w:eastAsia="ko-KR"/>
              </w:rPr>
              <w:t xml:space="preserve"> is the margin determined from Table 10.1.25.2-6.</w:t>
            </w:r>
          </w:p>
        </w:tc>
      </w:tr>
    </w:tbl>
    <w:p w14:paraId="0FFAF307" w14:textId="77777777" w:rsidR="00CD3B3E" w:rsidRDefault="00CD3B3E" w:rsidP="00CD3B3E">
      <w:pPr>
        <w:rPr>
          <w:lang w:val="en-US"/>
        </w:rPr>
      </w:pPr>
    </w:p>
    <w:p w14:paraId="08AEB299" w14:textId="25A0416F" w:rsidR="00CD3B3E" w:rsidRPr="006A7330" w:rsidRDefault="00CD3B3E" w:rsidP="00EC132E">
      <w:pPr>
        <w:pStyle w:val="TH"/>
        <w:rPr>
          <w:lang w:eastAsia="sv-SE"/>
        </w:rPr>
      </w:pPr>
      <w:r w:rsidRPr="006A7330">
        <w:rPr>
          <w:lang w:val="en-US"/>
        </w:rPr>
        <w:t>Table 10.1.25.2-</w:t>
      </w:r>
      <w:r>
        <w:rPr>
          <w:lang w:val="en-US"/>
        </w:rPr>
        <w:t>5</w:t>
      </w:r>
      <w:r w:rsidRPr="006A7330">
        <w:rPr>
          <w:lang w:val="en-US"/>
        </w:rPr>
        <w:t xml:space="preserve">: </w:t>
      </w:r>
      <w:r>
        <w:rPr>
          <w:lang w:val="en-US"/>
        </w:rPr>
        <w:t xml:space="preserve">Margin for </w:t>
      </w:r>
      <w:r w:rsidRPr="006A7330">
        <w:rPr>
          <w:lang w:val="en-US"/>
        </w:rPr>
        <w:t>UE Rx-Tx time difference measurement accuracy in FR</w:t>
      </w:r>
      <w:r>
        <w:rPr>
          <w:lang w:val="en-US"/>
        </w:rPr>
        <w:t>1</w:t>
      </w:r>
    </w:p>
    <w:tbl>
      <w:tblPr>
        <w:tblStyle w:val="TableGrid61"/>
        <w:tblW w:w="0" w:type="auto"/>
        <w:jc w:val="center"/>
        <w:tblInd w:w="0" w:type="dxa"/>
        <w:tblLook w:val="04A0" w:firstRow="1" w:lastRow="0" w:firstColumn="1" w:lastColumn="0" w:noHBand="0" w:noVBand="1"/>
      </w:tblPr>
      <w:tblGrid>
        <w:gridCol w:w="1470"/>
        <w:gridCol w:w="1470"/>
        <w:gridCol w:w="1470"/>
        <w:gridCol w:w="1800"/>
      </w:tblGrid>
      <w:tr w:rsidR="00CD3B3E" w:rsidRPr="00E7367E" w14:paraId="55BCCD70" w14:textId="77777777" w:rsidTr="008A7648">
        <w:trPr>
          <w:trHeight w:val="263"/>
          <w:jc w:val="center"/>
        </w:trPr>
        <w:tc>
          <w:tcPr>
            <w:tcW w:w="4410" w:type="dxa"/>
            <w:gridSpan w:val="3"/>
            <w:vAlign w:val="center"/>
          </w:tcPr>
          <w:p w14:paraId="31065998" w14:textId="77777777" w:rsidR="00CD3B3E" w:rsidRPr="008A7648" w:rsidRDefault="00CD3B3E" w:rsidP="008A7648">
            <w:pPr>
              <w:pStyle w:val="TAH"/>
              <w:rPr>
                <w:rFonts w:eastAsiaTheme="minorEastAsia"/>
                <w:b w:val="0"/>
              </w:rPr>
            </w:pPr>
            <w:r w:rsidRPr="00E7367E">
              <w:t>Min(PRS BW, SRS BW) (</w:t>
            </w:r>
            <w:r>
              <w:t>RB</w:t>
            </w:r>
            <w:r w:rsidRPr="00E7367E">
              <w:t>)</w:t>
            </w:r>
          </w:p>
        </w:tc>
        <w:tc>
          <w:tcPr>
            <w:tcW w:w="1800" w:type="dxa"/>
            <w:vMerge w:val="restart"/>
            <w:vAlign w:val="center"/>
          </w:tcPr>
          <w:p w14:paraId="5BA7F708" w14:textId="77777777" w:rsidR="00CD3B3E" w:rsidRPr="00E7367E" w:rsidRDefault="00CD3B3E" w:rsidP="008A7648">
            <w:pPr>
              <w:pStyle w:val="TAH"/>
              <w:rPr>
                <w:rFonts w:eastAsia="Yu Mincho"/>
              </w:rPr>
            </w:pPr>
            <w:r w:rsidRPr="00E7367E">
              <w:rPr>
                <w:rFonts w:eastAsia="Yu Mincho"/>
                <w:kern w:val="24"/>
              </w:rPr>
              <w:t>Margin (Tc</w:t>
            </w:r>
            <w:r w:rsidRPr="006A7330">
              <w:rPr>
                <w:rFonts w:eastAsia="SimSun"/>
                <w:vertAlign w:val="superscript"/>
              </w:rPr>
              <w:t xml:space="preserve"> Note </w:t>
            </w:r>
            <w:r>
              <w:rPr>
                <w:rFonts w:eastAsia="SimSun"/>
                <w:vertAlign w:val="superscript"/>
              </w:rPr>
              <w:t>1</w:t>
            </w:r>
            <w:r w:rsidRPr="00E7367E">
              <w:rPr>
                <w:rFonts w:eastAsia="Yu Mincho"/>
                <w:kern w:val="24"/>
              </w:rPr>
              <w:t>)</w:t>
            </w:r>
          </w:p>
        </w:tc>
      </w:tr>
      <w:tr w:rsidR="00CD3B3E" w:rsidRPr="00E7367E" w14:paraId="20FF01B8" w14:textId="77777777" w:rsidTr="008A7648">
        <w:trPr>
          <w:trHeight w:val="262"/>
          <w:jc w:val="center"/>
        </w:trPr>
        <w:tc>
          <w:tcPr>
            <w:tcW w:w="1470" w:type="dxa"/>
            <w:vAlign w:val="center"/>
          </w:tcPr>
          <w:p w14:paraId="4722323B" w14:textId="77777777" w:rsidR="00CD3B3E" w:rsidRPr="00E7367E" w:rsidRDefault="00CD3B3E" w:rsidP="008A7648">
            <w:pPr>
              <w:pStyle w:val="TAH"/>
            </w:pPr>
            <w:r>
              <w:t>SCS = 15 kHz</w:t>
            </w:r>
          </w:p>
        </w:tc>
        <w:tc>
          <w:tcPr>
            <w:tcW w:w="1470" w:type="dxa"/>
            <w:vAlign w:val="center"/>
          </w:tcPr>
          <w:p w14:paraId="05EDD488" w14:textId="77777777" w:rsidR="00CD3B3E" w:rsidRPr="00E7367E" w:rsidRDefault="00CD3B3E" w:rsidP="008A7648">
            <w:pPr>
              <w:pStyle w:val="TAH"/>
            </w:pPr>
            <w:r>
              <w:t>SCS = 30 kHz</w:t>
            </w:r>
          </w:p>
        </w:tc>
        <w:tc>
          <w:tcPr>
            <w:tcW w:w="1470" w:type="dxa"/>
            <w:vAlign w:val="center"/>
          </w:tcPr>
          <w:p w14:paraId="0FFF29BE" w14:textId="77777777" w:rsidR="00CD3B3E" w:rsidRPr="00E7367E" w:rsidRDefault="00CD3B3E" w:rsidP="008A7648">
            <w:pPr>
              <w:pStyle w:val="TAH"/>
            </w:pPr>
            <w:r>
              <w:t>SCS = 60 kHz</w:t>
            </w:r>
          </w:p>
        </w:tc>
        <w:tc>
          <w:tcPr>
            <w:tcW w:w="1800" w:type="dxa"/>
            <w:vMerge/>
            <w:vAlign w:val="center"/>
          </w:tcPr>
          <w:p w14:paraId="4AF12AAD" w14:textId="77777777" w:rsidR="00CD3B3E" w:rsidRPr="00E7367E" w:rsidRDefault="00CD3B3E" w:rsidP="008A7648">
            <w:pPr>
              <w:pStyle w:val="TAH"/>
              <w:rPr>
                <w:rFonts w:eastAsia="Yu Mincho"/>
                <w:kern w:val="24"/>
              </w:rPr>
            </w:pPr>
          </w:p>
        </w:tc>
      </w:tr>
      <w:tr w:rsidR="00DC0836" w:rsidRPr="00B234C1" w14:paraId="7E51F1CA" w14:textId="77777777" w:rsidTr="008A7648">
        <w:trPr>
          <w:trHeight w:val="46"/>
          <w:jc w:val="center"/>
        </w:trPr>
        <w:tc>
          <w:tcPr>
            <w:tcW w:w="1470" w:type="dxa"/>
            <w:vAlign w:val="center"/>
          </w:tcPr>
          <w:p w14:paraId="71F1C5A2" w14:textId="77777777" w:rsidR="00DC0836" w:rsidRPr="00B234C1" w:rsidRDefault="00DC0836" w:rsidP="00DC0836">
            <w:pPr>
              <w:pStyle w:val="TAC"/>
              <w:rPr>
                <w:rFonts w:eastAsia="Yu Mincho"/>
                <w:b/>
                <w:bCs/>
              </w:rPr>
            </w:pPr>
            <w:r w:rsidRPr="00B234C1">
              <w:rPr>
                <w:rFonts w:eastAsia="Microsoft Sans Serif"/>
              </w:rPr>
              <w:t xml:space="preserve">≥ </w:t>
            </w:r>
            <w:r>
              <w:rPr>
                <w:rFonts w:eastAsia="Microsoft Sans Serif"/>
              </w:rPr>
              <w:t>24</w:t>
            </w:r>
          </w:p>
        </w:tc>
        <w:tc>
          <w:tcPr>
            <w:tcW w:w="1470" w:type="dxa"/>
            <w:vAlign w:val="center"/>
          </w:tcPr>
          <w:p w14:paraId="6337D73A" w14:textId="77777777" w:rsidR="00DC0836" w:rsidRPr="008A7648" w:rsidRDefault="00DC0836" w:rsidP="00DC0836">
            <w:pPr>
              <w:pStyle w:val="TAC"/>
              <w:rPr>
                <w:rFonts w:eastAsia="Yu Mincho"/>
              </w:rPr>
            </w:pPr>
            <w:r w:rsidRPr="008A7648">
              <w:rPr>
                <w:rFonts w:eastAsia="Yu Mincho"/>
              </w:rPr>
              <w:t>N/A</w:t>
            </w:r>
          </w:p>
        </w:tc>
        <w:tc>
          <w:tcPr>
            <w:tcW w:w="1470" w:type="dxa"/>
            <w:vAlign w:val="center"/>
          </w:tcPr>
          <w:p w14:paraId="7048C42E" w14:textId="77777777" w:rsidR="00DC0836" w:rsidRPr="008A7648" w:rsidRDefault="00DC0836" w:rsidP="00DC0836">
            <w:pPr>
              <w:pStyle w:val="TAC"/>
              <w:rPr>
                <w:rFonts w:eastAsia="Yu Mincho"/>
              </w:rPr>
            </w:pPr>
            <w:r w:rsidRPr="008A7648">
              <w:rPr>
                <w:rFonts w:eastAsia="Yu Mincho"/>
              </w:rPr>
              <w:t>N/A</w:t>
            </w:r>
          </w:p>
        </w:tc>
        <w:tc>
          <w:tcPr>
            <w:tcW w:w="1800" w:type="dxa"/>
            <w:vAlign w:val="center"/>
          </w:tcPr>
          <w:p w14:paraId="329AF912" w14:textId="3FF8099C" w:rsidR="00DC0836" w:rsidRPr="00B234C1" w:rsidRDefault="00DC0836" w:rsidP="00DC0836">
            <w:pPr>
              <w:pStyle w:val="TAC"/>
              <w:rPr>
                <w:rFonts w:eastAsia="Yu Mincho"/>
                <w:b/>
                <w:bCs/>
              </w:rPr>
            </w:pPr>
            <w:r w:rsidRPr="002F3C20">
              <w:rPr>
                <w:rFonts w:eastAsia="Yu Mincho"/>
              </w:rPr>
              <w:t>160</w:t>
            </w:r>
          </w:p>
        </w:tc>
      </w:tr>
      <w:tr w:rsidR="00DC0836" w:rsidRPr="00B234C1" w14:paraId="4CBABBAC" w14:textId="77777777" w:rsidTr="008A7648">
        <w:trPr>
          <w:trHeight w:val="46"/>
          <w:jc w:val="center"/>
        </w:trPr>
        <w:tc>
          <w:tcPr>
            <w:tcW w:w="1470" w:type="dxa"/>
            <w:vAlign w:val="center"/>
          </w:tcPr>
          <w:p w14:paraId="28B5D2D0" w14:textId="77777777" w:rsidR="00DC0836" w:rsidRPr="00B234C1" w:rsidRDefault="00DC0836" w:rsidP="00DC0836">
            <w:pPr>
              <w:pStyle w:val="TAC"/>
              <w:rPr>
                <w:rFonts w:eastAsia="Yu Mincho"/>
                <w:b/>
                <w:bCs/>
              </w:rPr>
            </w:pPr>
            <w:r w:rsidRPr="00B234C1">
              <w:rPr>
                <w:rFonts w:eastAsia="Microsoft Sans Serif"/>
              </w:rPr>
              <w:t xml:space="preserve">≥ </w:t>
            </w:r>
            <w:r>
              <w:rPr>
                <w:rFonts w:eastAsia="Yu Mincho"/>
              </w:rPr>
              <w:t>52</w:t>
            </w:r>
          </w:p>
        </w:tc>
        <w:tc>
          <w:tcPr>
            <w:tcW w:w="1470" w:type="dxa"/>
            <w:vAlign w:val="center"/>
          </w:tcPr>
          <w:p w14:paraId="626535ED" w14:textId="77777777" w:rsidR="00DC0836" w:rsidRPr="00B234C1" w:rsidRDefault="00DC0836" w:rsidP="00DC0836">
            <w:pPr>
              <w:pStyle w:val="TAC"/>
              <w:rPr>
                <w:rFonts w:eastAsia="Yu Mincho"/>
                <w:b/>
                <w:bCs/>
              </w:rPr>
            </w:pPr>
            <w:r w:rsidRPr="00B234C1">
              <w:rPr>
                <w:rFonts w:eastAsia="Microsoft Sans Serif"/>
              </w:rPr>
              <w:t xml:space="preserve">≥ </w:t>
            </w:r>
            <w:r>
              <w:rPr>
                <w:rFonts w:eastAsia="Microsoft Sans Serif"/>
              </w:rPr>
              <w:t>24</w:t>
            </w:r>
          </w:p>
        </w:tc>
        <w:tc>
          <w:tcPr>
            <w:tcW w:w="1470" w:type="dxa"/>
            <w:vAlign w:val="center"/>
          </w:tcPr>
          <w:p w14:paraId="5FD2A00F" w14:textId="77777777" w:rsidR="00DC0836" w:rsidRPr="008A7648" w:rsidRDefault="00DC0836" w:rsidP="00DC0836">
            <w:pPr>
              <w:pStyle w:val="TAC"/>
              <w:rPr>
                <w:rFonts w:eastAsia="Yu Mincho"/>
              </w:rPr>
            </w:pPr>
            <w:r w:rsidRPr="008A7648">
              <w:rPr>
                <w:rFonts w:eastAsia="Yu Mincho"/>
              </w:rPr>
              <w:t>N/A</w:t>
            </w:r>
          </w:p>
        </w:tc>
        <w:tc>
          <w:tcPr>
            <w:tcW w:w="1800" w:type="dxa"/>
            <w:vAlign w:val="center"/>
          </w:tcPr>
          <w:p w14:paraId="2E534CEC" w14:textId="65A02966" w:rsidR="00DC0836" w:rsidRPr="00B234C1" w:rsidRDefault="00DC0836" w:rsidP="00DC0836">
            <w:pPr>
              <w:pStyle w:val="TAC"/>
              <w:rPr>
                <w:rFonts w:eastAsia="Yu Mincho"/>
                <w:b/>
                <w:bCs/>
              </w:rPr>
            </w:pPr>
            <w:r w:rsidRPr="002F3C20">
              <w:rPr>
                <w:rFonts w:eastAsia="Yu Mincho"/>
              </w:rPr>
              <w:t>80</w:t>
            </w:r>
          </w:p>
        </w:tc>
      </w:tr>
      <w:tr w:rsidR="00DC0836" w:rsidRPr="00B234C1" w14:paraId="032E68F2" w14:textId="77777777" w:rsidTr="008A7648">
        <w:trPr>
          <w:trHeight w:val="46"/>
          <w:jc w:val="center"/>
        </w:trPr>
        <w:tc>
          <w:tcPr>
            <w:tcW w:w="1470" w:type="dxa"/>
            <w:vAlign w:val="center"/>
          </w:tcPr>
          <w:p w14:paraId="32BE8955" w14:textId="77777777" w:rsidR="00DC0836" w:rsidRPr="00B234C1" w:rsidRDefault="00DC0836" w:rsidP="00DC0836">
            <w:pPr>
              <w:pStyle w:val="TAC"/>
              <w:rPr>
                <w:rFonts w:eastAsia="Yu Mincho"/>
                <w:b/>
                <w:bCs/>
              </w:rPr>
            </w:pPr>
            <w:r w:rsidRPr="00B234C1">
              <w:rPr>
                <w:rFonts w:eastAsia="Microsoft Sans Serif"/>
              </w:rPr>
              <w:t xml:space="preserve">≥ </w:t>
            </w:r>
            <w:r>
              <w:rPr>
                <w:rFonts w:eastAsia="Yu Mincho"/>
              </w:rPr>
              <w:t>104</w:t>
            </w:r>
          </w:p>
        </w:tc>
        <w:tc>
          <w:tcPr>
            <w:tcW w:w="1470" w:type="dxa"/>
            <w:vAlign w:val="center"/>
          </w:tcPr>
          <w:p w14:paraId="52A73F2B" w14:textId="77777777" w:rsidR="00DC0836" w:rsidRPr="00B234C1" w:rsidRDefault="00DC0836" w:rsidP="00DC0836">
            <w:pPr>
              <w:pStyle w:val="TAC"/>
              <w:rPr>
                <w:rFonts w:eastAsia="Yu Mincho"/>
                <w:b/>
                <w:bCs/>
              </w:rPr>
            </w:pPr>
            <w:r w:rsidRPr="00B234C1">
              <w:rPr>
                <w:rFonts w:eastAsia="Microsoft Sans Serif"/>
              </w:rPr>
              <w:t xml:space="preserve">≥ </w:t>
            </w:r>
            <w:r>
              <w:rPr>
                <w:rFonts w:eastAsia="Yu Mincho"/>
              </w:rPr>
              <w:t>48</w:t>
            </w:r>
          </w:p>
        </w:tc>
        <w:tc>
          <w:tcPr>
            <w:tcW w:w="1470" w:type="dxa"/>
            <w:vAlign w:val="center"/>
          </w:tcPr>
          <w:p w14:paraId="752F44C9" w14:textId="77777777" w:rsidR="00DC0836" w:rsidRPr="00B234C1" w:rsidRDefault="00DC0836" w:rsidP="00DC0836">
            <w:pPr>
              <w:pStyle w:val="TAC"/>
              <w:rPr>
                <w:rFonts w:eastAsia="Yu Mincho"/>
                <w:b/>
                <w:bCs/>
              </w:rPr>
            </w:pPr>
            <w:r w:rsidRPr="00B234C1">
              <w:rPr>
                <w:rFonts w:eastAsia="Microsoft Sans Serif"/>
              </w:rPr>
              <w:t xml:space="preserve">≥ </w:t>
            </w:r>
            <w:r>
              <w:rPr>
                <w:rFonts w:eastAsia="Microsoft Sans Serif"/>
              </w:rPr>
              <w:t>24</w:t>
            </w:r>
          </w:p>
        </w:tc>
        <w:tc>
          <w:tcPr>
            <w:tcW w:w="1800" w:type="dxa"/>
            <w:vAlign w:val="center"/>
          </w:tcPr>
          <w:p w14:paraId="316ED000" w14:textId="4691B326" w:rsidR="00DC0836" w:rsidRPr="00B234C1" w:rsidRDefault="00DC0836" w:rsidP="00DC0836">
            <w:pPr>
              <w:pStyle w:val="TAC"/>
              <w:rPr>
                <w:rFonts w:eastAsia="Yu Mincho"/>
                <w:b/>
                <w:bCs/>
              </w:rPr>
            </w:pPr>
            <w:r w:rsidRPr="002F3C20">
              <w:rPr>
                <w:rFonts w:eastAsia="Yu Mincho"/>
              </w:rPr>
              <w:t>56</w:t>
            </w:r>
          </w:p>
        </w:tc>
      </w:tr>
      <w:tr w:rsidR="00DC0836" w:rsidRPr="00B234C1" w14:paraId="45D5AE9B" w14:textId="77777777" w:rsidTr="008A7648">
        <w:trPr>
          <w:trHeight w:val="46"/>
          <w:jc w:val="center"/>
        </w:trPr>
        <w:tc>
          <w:tcPr>
            <w:tcW w:w="1470" w:type="dxa"/>
            <w:vAlign w:val="center"/>
          </w:tcPr>
          <w:p w14:paraId="267CB055" w14:textId="77777777" w:rsidR="00DC0836" w:rsidRPr="00B234C1" w:rsidRDefault="00DC0836" w:rsidP="00DC0836">
            <w:pPr>
              <w:pStyle w:val="TAC"/>
              <w:rPr>
                <w:rFonts w:eastAsia="Yu Mincho"/>
                <w:b/>
                <w:bCs/>
              </w:rPr>
            </w:pPr>
            <w:r>
              <w:rPr>
                <w:rFonts w:eastAsia="Microsoft Sans Serif"/>
              </w:rPr>
              <w:t>N/A</w:t>
            </w:r>
          </w:p>
        </w:tc>
        <w:tc>
          <w:tcPr>
            <w:tcW w:w="1470" w:type="dxa"/>
            <w:vAlign w:val="center"/>
          </w:tcPr>
          <w:p w14:paraId="18856B00" w14:textId="77777777" w:rsidR="00DC0836" w:rsidRPr="00B234C1" w:rsidRDefault="00DC0836" w:rsidP="00DC0836">
            <w:pPr>
              <w:pStyle w:val="TAC"/>
              <w:rPr>
                <w:rFonts w:eastAsia="Yu Mincho"/>
                <w:b/>
                <w:bCs/>
              </w:rPr>
            </w:pPr>
            <w:r w:rsidRPr="00B234C1">
              <w:rPr>
                <w:rFonts w:eastAsia="Microsoft Sans Serif"/>
              </w:rPr>
              <w:t xml:space="preserve">≥ </w:t>
            </w:r>
            <w:r>
              <w:rPr>
                <w:rFonts w:eastAsia="Yu Mincho"/>
              </w:rPr>
              <w:t>132</w:t>
            </w:r>
          </w:p>
        </w:tc>
        <w:tc>
          <w:tcPr>
            <w:tcW w:w="1470" w:type="dxa"/>
            <w:vAlign w:val="center"/>
          </w:tcPr>
          <w:p w14:paraId="5166995E" w14:textId="77777777" w:rsidR="00DC0836" w:rsidRPr="00B234C1" w:rsidRDefault="00DC0836" w:rsidP="00DC0836">
            <w:pPr>
              <w:pStyle w:val="TAC"/>
              <w:rPr>
                <w:rFonts w:eastAsia="Yu Mincho"/>
                <w:b/>
                <w:bCs/>
              </w:rPr>
            </w:pPr>
            <w:r w:rsidRPr="00B234C1">
              <w:rPr>
                <w:rFonts w:eastAsia="Microsoft Sans Serif"/>
              </w:rPr>
              <w:t xml:space="preserve">≥ </w:t>
            </w:r>
            <w:r>
              <w:rPr>
                <w:rFonts w:eastAsia="Microsoft Sans Serif"/>
              </w:rPr>
              <w:t>6</w:t>
            </w:r>
            <w:r>
              <w:rPr>
                <w:rFonts w:eastAsia="Yu Mincho"/>
              </w:rPr>
              <w:t>4</w:t>
            </w:r>
          </w:p>
        </w:tc>
        <w:tc>
          <w:tcPr>
            <w:tcW w:w="1800" w:type="dxa"/>
            <w:vAlign w:val="center"/>
          </w:tcPr>
          <w:p w14:paraId="68169818" w14:textId="39528721" w:rsidR="00DC0836" w:rsidRPr="00B234C1" w:rsidRDefault="00DC0836" w:rsidP="00DC0836">
            <w:pPr>
              <w:pStyle w:val="TAC"/>
              <w:rPr>
                <w:rFonts w:eastAsia="Yu Mincho"/>
                <w:b/>
                <w:bCs/>
              </w:rPr>
            </w:pPr>
            <w:r w:rsidRPr="002F3C20">
              <w:rPr>
                <w:rFonts w:eastAsia="Yu Mincho"/>
              </w:rPr>
              <w:t>24</w:t>
            </w:r>
          </w:p>
        </w:tc>
      </w:tr>
      <w:tr w:rsidR="00DC0836" w:rsidRPr="00B234C1" w14:paraId="6F2FFC56" w14:textId="77777777" w:rsidTr="008A7648">
        <w:trPr>
          <w:trHeight w:val="46"/>
          <w:jc w:val="center"/>
        </w:trPr>
        <w:tc>
          <w:tcPr>
            <w:tcW w:w="1470" w:type="dxa"/>
            <w:vAlign w:val="center"/>
          </w:tcPr>
          <w:p w14:paraId="31983AA3" w14:textId="77777777" w:rsidR="00DC0836" w:rsidRPr="00B234C1" w:rsidRDefault="00DC0836" w:rsidP="00DC0836">
            <w:pPr>
              <w:pStyle w:val="TAC"/>
              <w:rPr>
                <w:rFonts w:eastAsia="Microsoft Sans Serif"/>
              </w:rPr>
            </w:pPr>
            <w:r>
              <w:rPr>
                <w:rFonts w:eastAsia="Microsoft Sans Serif"/>
              </w:rPr>
              <w:t>N/A</w:t>
            </w:r>
          </w:p>
        </w:tc>
        <w:tc>
          <w:tcPr>
            <w:tcW w:w="1470" w:type="dxa"/>
            <w:vAlign w:val="center"/>
          </w:tcPr>
          <w:p w14:paraId="380E603F" w14:textId="77777777" w:rsidR="00DC0836" w:rsidRPr="00B234C1" w:rsidRDefault="00DC0836" w:rsidP="00DC0836">
            <w:pPr>
              <w:pStyle w:val="TAC"/>
              <w:rPr>
                <w:rFonts w:eastAsia="Microsoft Sans Serif"/>
              </w:rPr>
            </w:pPr>
            <w:r>
              <w:rPr>
                <w:rFonts w:eastAsia="Microsoft Sans Serif"/>
              </w:rPr>
              <w:t>N/A</w:t>
            </w:r>
          </w:p>
        </w:tc>
        <w:tc>
          <w:tcPr>
            <w:tcW w:w="1470" w:type="dxa"/>
            <w:vAlign w:val="center"/>
          </w:tcPr>
          <w:p w14:paraId="1A8F3358" w14:textId="77777777" w:rsidR="00DC0836" w:rsidRPr="00B234C1" w:rsidRDefault="00DC0836" w:rsidP="00DC0836">
            <w:pPr>
              <w:pStyle w:val="TAC"/>
              <w:rPr>
                <w:rFonts w:eastAsia="Microsoft Sans Serif"/>
              </w:rPr>
            </w:pPr>
            <w:r w:rsidRPr="00B234C1">
              <w:rPr>
                <w:rFonts w:eastAsia="Microsoft Sans Serif"/>
              </w:rPr>
              <w:t xml:space="preserve">≥ </w:t>
            </w:r>
            <w:r>
              <w:rPr>
                <w:rFonts w:eastAsia="Yu Mincho"/>
              </w:rPr>
              <w:t>132</w:t>
            </w:r>
          </w:p>
        </w:tc>
        <w:tc>
          <w:tcPr>
            <w:tcW w:w="1800" w:type="dxa"/>
            <w:vAlign w:val="center"/>
          </w:tcPr>
          <w:p w14:paraId="02B18460" w14:textId="3CFD1788" w:rsidR="00DC0836" w:rsidRPr="00B234C1" w:rsidRDefault="00DC0836" w:rsidP="00DC0836">
            <w:pPr>
              <w:pStyle w:val="TAC"/>
              <w:rPr>
                <w:rFonts w:eastAsia="Yu Mincho"/>
              </w:rPr>
            </w:pPr>
            <w:r w:rsidRPr="002F3C20">
              <w:rPr>
                <w:rFonts w:eastAsia="Yu Mincho"/>
              </w:rPr>
              <w:t>24</w:t>
            </w:r>
          </w:p>
        </w:tc>
      </w:tr>
      <w:tr w:rsidR="00CD3B3E" w:rsidRPr="00B234C1" w14:paraId="6515A1BC" w14:textId="77777777" w:rsidTr="008A7648">
        <w:trPr>
          <w:trHeight w:val="46"/>
          <w:jc w:val="center"/>
        </w:trPr>
        <w:tc>
          <w:tcPr>
            <w:tcW w:w="6210" w:type="dxa"/>
            <w:gridSpan w:val="4"/>
          </w:tcPr>
          <w:p w14:paraId="1EF0688E" w14:textId="77777777" w:rsidR="00CD3B3E" w:rsidRDefault="00CD3B3E" w:rsidP="00A27A29">
            <w:pPr>
              <w:pStyle w:val="TAN"/>
              <w:rPr>
                <w:rFonts w:eastAsia="SimSun"/>
                <w:lang w:eastAsia="ko-KR"/>
              </w:rPr>
            </w:pPr>
            <w:r w:rsidRPr="006A7330">
              <w:rPr>
                <w:rFonts w:eastAsia="SimSun"/>
                <w:lang w:eastAsia="ko-KR"/>
              </w:rPr>
              <w:t>N</w:t>
            </w:r>
            <w:r w:rsidRPr="006A7330">
              <w:rPr>
                <w:rFonts w:eastAsia="SimSun"/>
              </w:rPr>
              <w:t>OTE</w:t>
            </w:r>
            <w:r w:rsidRPr="006A7330">
              <w:rPr>
                <w:rFonts w:eastAsia="SimSun"/>
                <w:lang w:eastAsia="ko-KR"/>
              </w:rPr>
              <w:t xml:space="preserve"> </w:t>
            </w:r>
            <w:r>
              <w:rPr>
                <w:rFonts w:eastAsia="SimSun"/>
                <w:lang w:eastAsia="ko-KR"/>
              </w:rPr>
              <w:t>1</w:t>
            </w:r>
            <w:r w:rsidRPr="006A7330">
              <w:rPr>
                <w:rFonts w:eastAsia="SimSun"/>
                <w:lang w:eastAsia="ko-KR"/>
              </w:rPr>
              <w:t>:</w:t>
            </w:r>
            <w:r w:rsidRPr="006A7330">
              <w:rPr>
                <w:rFonts w:eastAsia="SimSun"/>
                <w:lang w:eastAsia="ko-KR"/>
              </w:rPr>
              <w:tab/>
              <w:t>Tc is the basic timing unit defined in TS 38.211 [6].</w:t>
            </w:r>
          </w:p>
          <w:p w14:paraId="07E7DCFE" w14:textId="551C5119" w:rsidR="00CD3B3E" w:rsidRPr="00B234C1" w:rsidRDefault="00CD3B3E" w:rsidP="00A27A29">
            <w:pPr>
              <w:pStyle w:val="TAN"/>
              <w:rPr>
                <w:rFonts w:eastAsia="Yu Mincho"/>
                <w:kern w:val="24"/>
              </w:rPr>
            </w:pPr>
            <w:r>
              <w:rPr>
                <w:rFonts w:eastAsia="SimSun"/>
              </w:rPr>
              <w:t>NOTE 2:</w:t>
            </w:r>
            <w:r w:rsidR="00DC0836" w:rsidRPr="006A7330">
              <w:rPr>
                <w:rFonts w:eastAsia="SimSun"/>
                <w:lang w:eastAsia="ko-KR"/>
              </w:rPr>
              <w:tab/>
            </w:r>
            <w:r>
              <w:rPr>
                <w:rFonts w:eastAsia="SimSun"/>
              </w:rPr>
              <w:t>If SRS and PRS have different SCS, the margin corresponding to the smallest RS BW in MHz applies.</w:t>
            </w:r>
          </w:p>
        </w:tc>
      </w:tr>
    </w:tbl>
    <w:p w14:paraId="09EAA29C" w14:textId="77777777" w:rsidR="00CD3B3E" w:rsidRDefault="00CD3B3E" w:rsidP="00A27A29"/>
    <w:p w14:paraId="096CF113" w14:textId="77777777" w:rsidR="00CD3B3E" w:rsidRPr="006A7330" w:rsidRDefault="00CD3B3E" w:rsidP="00EC132E">
      <w:pPr>
        <w:pStyle w:val="TH"/>
        <w:rPr>
          <w:lang w:eastAsia="sv-SE"/>
        </w:rPr>
      </w:pPr>
      <w:r w:rsidRPr="006A7330">
        <w:rPr>
          <w:lang w:val="en-US"/>
        </w:rPr>
        <w:t>Table 10.1.25.2-</w:t>
      </w:r>
      <w:r>
        <w:rPr>
          <w:lang w:val="en-US"/>
        </w:rPr>
        <w:t>6</w:t>
      </w:r>
      <w:r w:rsidRPr="006A7330">
        <w:rPr>
          <w:lang w:val="en-US"/>
        </w:rPr>
        <w:t xml:space="preserve">: </w:t>
      </w:r>
      <w:r>
        <w:rPr>
          <w:lang w:val="en-US"/>
        </w:rPr>
        <w:t xml:space="preserve">Margin for </w:t>
      </w:r>
      <w:r w:rsidRPr="006A7330">
        <w:rPr>
          <w:lang w:val="en-US"/>
        </w:rPr>
        <w:t>UE Rx-Tx time difference measurement accuracy in FR</w:t>
      </w:r>
      <w:r>
        <w:rPr>
          <w:lang w:val="en-US"/>
        </w:rPr>
        <w:t>2</w:t>
      </w:r>
    </w:p>
    <w:tbl>
      <w:tblPr>
        <w:tblStyle w:val="TableGrid71"/>
        <w:tblW w:w="0" w:type="auto"/>
        <w:jc w:val="center"/>
        <w:tblInd w:w="0" w:type="dxa"/>
        <w:tblLook w:val="04A0" w:firstRow="1" w:lastRow="0" w:firstColumn="1" w:lastColumn="0" w:noHBand="0" w:noVBand="1"/>
      </w:tblPr>
      <w:tblGrid>
        <w:gridCol w:w="1861"/>
        <w:gridCol w:w="1862"/>
        <w:gridCol w:w="1848"/>
      </w:tblGrid>
      <w:tr w:rsidR="00CD3B3E" w:rsidRPr="00E7367E" w14:paraId="314DCA40" w14:textId="77777777" w:rsidTr="008A7648">
        <w:trPr>
          <w:trHeight w:val="323"/>
          <w:jc w:val="center"/>
        </w:trPr>
        <w:tc>
          <w:tcPr>
            <w:tcW w:w="3723" w:type="dxa"/>
            <w:gridSpan w:val="2"/>
            <w:vAlign w:val="center"/>
          </w:tcPr>
          <w:p w14:paraId="3369146F" w14:textId="77777777" w:rsidR="00CD3B3E" w:rsidRPr="008A7648" w:rsidRDefault="00CD3B3E" w:rsidP="008A7648">
            <w:pPr>
              <w:pStyle w:val="TAH"/>
              <w:rPr>
                <w:rFonts w:eastAsiaTheme="minorEastAsia"/>
                <w:b w:val="0"/>
              </w:rPr>
            </w:pPr>
            <w:r w:rsidRPr="00E7367E">
              <w:t>Min(PRS BW, SRS BW) (MHz)</w:t>
            </w:r>
          </w:p>
        </w:tc>
        <w:tc>
          <w:tcPr>
            <w:tcW w:w="1848" w:type="dxa"/>
            <w:vMerge w:val="restart"/>
            <w:vAlign w:val="center"/>
          </w:tcPr>
          <w:p w14:paraId="6141B872" w14:textId="77777777" w:rsidR="00CD3B3E" w:rsidRPr="00E7367E" w:rsidRDefault="00CD3B3E" w:rsidP="008A7648">
            <w:pPr>
              <w:pStyle w:val="TAH"/>
              <w:rPr>
                <w:rFonts w:eastAsia="Yu Mincho"/>
              </w:rPr>
            </w:pPr>
            <w:r w:rsidRPr="00E7367E">
              <w:rPr>
                <w:rFonts w:eastAsia="Yu Mincho"/>
              </w:rPr>
              <w:t>Margin (Tc</w:t>
            </w:r>
            <w:r w:rsidRPr="006A7330">
              <w:rPr>
                <w:rFonts w:eastAsia="SimSun"/>
                <w:vertAlign w:val="superscript"/>
              </w:rPr>
              <w:t xml:space="preserve"> Note </w:t>
            </w:r>
            <w:r>
              <w:rPr>
                <w:rFonts w:eastAsia="SimSun"/>
                <w:vertAlign w:val="superscript"/>
              </w:rPr>
              <w:t>1</w:t>
            </w:r>
            <w:r w:rsidRPr="00E7367E">
              <w:rPr>
                <w:rFonts w:eastAsia="Yu Mincho"/>
              </w:rPr>
              <w:t>)</w:t>
            </w:r>
          </w:p>
        </w:tc>
      </w:tr>
      <w:tr w:rsidR="00CD3B3E" w:rsidRPr="00E7367E" w14:paraId="55C0C886" w14:textId="77777777" w:rsidTr="008A7648">
        <w:trPr>
          <w:trHeight w:val="322"/>
          <w:jc w:val="center"/>
        </w:trPr>
        <w:tc>
          <w:tcPr>
            <w:tcW w:w="1861" w:type="dxa"/>
            <w:vAlign w:val="center"/>
          </w:tcPr>
          <w:p w14:paraId="1054D51E" w14:textId="77777777" w:rsidR="00CD3B3E" w:rsidRPr="00E7367E" w:rsidRDefault="00CD3B3E" w:rsidP="00A27A29">
            <w:pPr>
              <w:pStyle w:val="TAH"/>
            </w:pPr>
            <w:r>
              <w:t>SCS = 60 kHz</w:t>
            </w:r>
          </w:p>
        </w:tc>
        <w:tc>
          <w:tcPr>
            <w:tcW w:w="1862" w:type="dxa"/>
            <w:vAlign w:val="center"/>
          </w:tcPr>
          <w:p w14:paraId="2180878A" w14:textId="77777777" w:rsidR="00CD3B3E" w:rsidRPr="00E7367E" w:rsidRDefault="00CD3B3E" w:rsidP="00A27A29">
            <w:pPr>
              <w:pStyle w:val="TAH"/>
            </w:pPr>
            <w:r>
              <w:t>SCS = 120 kHz</w:t>
            </w:r>
          </w:p>
        </w:tc>
        <w:tc>
          <w:tcPr>
            <w:tcW w:w="1848" w:type="dxa"/>
            <w:vMerge/>
            <w:vAlign w:val="center"/>
          </w:tcPr>
          <w:p w14:paraId="5ADC6FFB" w14:textId="77777777" w:rsidR="00CD3B3E" w:rsidRPr="00E7367E" w:rsidRDefault="00CD3B3E" w:rsidP="00224E82">
            <w:pPr>
              <w:spacing w:after="0"/>
              <w:jc w:val="center"/>
              <w:rPr>
                <w:rFonts w:eastAsia="Yu Mincho"/>
                <w:b/>
                <w:bCs/>
                <w:kern w:val="24"/>
              </w:rPr>
            </w:pPr>
          </w:p>
        </w:tc>
      </w:tr>
      <w:tr w:rsidR="00DC0836" w:rsidRPr="00B234C1" w14:paraId="0330D438" w14:textId="77777777" w:rsidTr="008A7648">
        <w:trPr>
          <w:trHeight w:val="46"/>
          <w:jc w:val="center"/>
        </w:trPr>
        <w:tc>
          <w:tcPr>
            <w:tcW w:w="1861" w:type="dxa"/>
            <w:vAlign w:val="center"/>
          </w:tcPr>
          <w:p w14:paraId="5FD99C70" w14:textId="77777777" w:rsidR="00DC0836" w:rsidRPr="00B234C1" w:rsidRDefault="00DC0836" w:rsidP="00DC0836">
            <w:pPr>
              <w:pStyle w:val="TAC"/>
              <w:rPr>
                <w:rFonts w:eastAsia="Yu Mincho"/>
                <w:b/>
                <w:bCs/>
              </w:rPr>
            </w:pPr>
            <w:r w:rsidRPr="00B234C1">
              <w:rPr>
                <w:rFonts w:eastAsia="Microsoft Sans Serif"/>
              </w:rPr>
              <w:t xml:space="preserve">≥ </w:t>
            </w:r>
            <w:r>
              <w:rPr>
                <w:rFonts w:eastAsia="Microsoft Sans Serif"/>
              </w:rPr>
              <w:t>24</w:t>
            </w:r>
          </w:p>
        </w:tc>
        <w:tc>
          <w:tcPr>
            <w:tcW w:w="1862" w:type="dxa"/>
            <w:vAlign w:val="center"/>
          </w:tcPr>
          <w:p w14:paraId="3A5353C6" w14:textId="77777777" w:rsidR="00DC0836" w:rsidRPr="008A7648" w:rsidRDefault="00DC0836" w:rsidP="00DC0836">
            <w:pPr>
              <w:pStyle w:val="TAC"/>
              <w:rPr>
                <w:rFonts w:eastAsia="Yu Mincho"/>
              </w:rPr>
            </w:pPr>
            <w:r w:rsidRPr="008A7648">
              <w:rPr>
                <w:rFonts w:eastAsia="Yu Mincho"/>
              </w:rPr>
              <w:t>N/A</w:t>
            </w:r>
          </w:p>
        </w:tc>
        <w:tc>
          <w:tcPr>
            <w:tcW w:w="1848" w:type="dxa"/>
            <w:vAlign w:val="center"/>
          </w:tcPr>
          <w:p w14:paraId="29C199AA" w14:textId="4CA22948" w:rsidR="00DC0836" w:rsidRPr="00B234C1" w:rsidRDefault="00DC0836" w:rsidP="00DC0836">
            <w:pPr>
              <w:pStyle w:val="TAC"/>
              <w:rPr>
                <w:rFonts w:eastAsia="Yu Mincho"/>
                <w:b/>
                <w:bCs/>
              </w:rPr>
            </w:pPr>
            <w:r w:rsidRPr="002F3C20">
              <w:rPr>
                <w:rFonts w:eastAsia="Yu Mincho"/>
              </w:rPr>
              <w:t>76</w:t>
            </w:r>
          </w:p>
        </w:tc>
      </w:tr>
      <w:tr w:rsidR="00DC0836" w:rsidRPr="00B234C1" w14:paraId="19053889" w14:textId="77777777" w:rsidTr="008A7648">
        <w:trPr>
          <w:trHeight w:val="46"/>
          <w:jc w:val="center"/>
        </w:trPr>
        <w:tc>
          <w:tcPr>
            <w:tcW w:w="1861" w:type="dxa"/>
            <w:vAlign w:val="center"/>
          </w:tcPr>
          <w:p w14:paraId="034A2A6F" w14:textId="77777777" w:rsidR="00DC0836" w:rsidRPr="00B234C1" w:rsidRDefault="00DC0836" w:rsidP="00DC0836">
            <w:pPr>
              <w:pStyle w:val="TAC"/>
              <w:rPr>
                <w:rFonts w:eastAsia="Yu Mincho"/>
                <w:b/>
                <w:bCs/>
              </w:rPr>
            </w:pPr>
            <w:r w:rsidRPr="00B234C1">
              <w:rPr>
                <w:rFonts w:eastAsia="Microsoft Sans Serif"/>
              </w:rPr>
              <w:t xml:space="preserve">≥ </w:t>
            </w:r>
            <w:r>
              <w:rPr>
                <w:rFonts w:eastAsia="Microsoft Sans Serif"/>
              </w:rPr>
              <w:t>6</w:t>
            </w:r>
            <w:r>
              <w:rPr>
                <w:rFonts w:eastAsia="Yu Mincho"/>
              </w:rPr>
              <w:t>4</w:t>
            </w:r>
          </w:p>
        </w:tc>
        <w:tc>
          <w:tcPr>
            <w:tcW w:w="1862" w:type="dxa"/>
            <w:vAlign w:val="center"/>
          </w:tcPr>
          <w:p w14:paraId="4F4A9FBE" w14:textId="77777777" w:rsidR="00DC0836" w:rsidRPr="00B234C1" w:rsidRDefault="00DC0836" w:rsidP="00DC0836">
            <w:pPr>
              <w:pStyle w:val="TAC"/>
              <w:rPr>
                <w:rFonts w:eastAsia="Yu Mincho"/>
                <w:b/>
                <w:bCs/>
              </w:rPr>
            </w:pPr>
            <w:r w:rsidRPr="00B234C1">
              <w:rPr>
                <w:rFonts w:eastAsia="Microsoft Sans Serif"/>
              </w:rPr>
              <w:t xml:space="preserve">≥ </w:t>
            </w:r>
            <w:r>
              <w:rPr>
                <w:rFonts w:eastAsia="Microsoft Sans Serif"/>
              </w:rPr>
              <w:t>32</w:t>
            </w:r>
          </w:p>
        </w:tc>
        <w:tc>
          <w:tcPr>
            <w:tcW w:w="1848" w:type="dxa"/>
            <w:vAlign w:val="center"/>
          </w:tcPr>
          <w:p w14:paraId="7CDF2E6E" w14:textId="6D92C753" w:rsidR="00DC0836" w:rsidRPr="00B234C1" w:rsidRDefault="00DC0836" w:rsidP="00DC0836">
            <w:pPr>
              <w:pStyle w:val="TAC"/>
              <w:rPr>
                <w:rFonts w:eastAsia="Yu Mincho"/>
                <w:b/>
                <w:bCs/>
              </w:rPr>
            </w:pPr>
            <w:r w:rsidRPr="002F3C20">
              <w:rPr>
                <w:rFonts w:eastAsia="Yu Mincho"/>
              </w:rPr>
              <w:t>32</w:t>
            </w:r>
          </w:p>
        </w:tc>
      </w:tr>
      <w:tr w:rsidR="00DC0836" w:rsidRPr="00B234C1" w14:paraId="226E6B18" w14:textId="77777777" w:rsidTr="008A7648">
        <w:trPr>
          <w:trHeight w:val="46"/>
          <w:jc w:val="center"/>
        </w:trPr>
        <w:tc>
          <w:tcPr>
            <w:tcW w:w="1861" w:type="dxa"/>
            <w:vAlign w:val="center"/>
          </w:tcPr>
          <w:p w14:paraId="78569BEF" w14:textId="77777777" w:rsidR="00DC0836" w:rsidRPr="00B234C1" w:rsidRDefault="00DC0836" w:rsidP="00DC0836">
            <w:pPr>
              <w:pStyle w:val="TAC"/>
              <w:rPr>
                <w:rFonts w:eastAsia="Yu Mincho"/>
                <w:b/>
                <w:bCs/>
              </w:rPr>
            </w:pPr>
            <w:r w:rsidRPr="00B234C1">
              <w:rPr>
                <w:rFonts w:eastAsia="Microsoft Sans Serif"/>
              </w:rPr>
              <w:t xml:space="preserve">≥ </w:t>
            </w:r>
            <w:r>
              <w:rPr>
                <w:rFonts w:eastAsia="Yu Mincho"/>
              </w:rPr>
              <w:t>132</w:t>
            </w:r>
          </w:p>
        </w:tc>
        <w:tc>
          <w:tcPr>
            <w:tcW w:w="1862" w:type="dxa"/>
            <w:vAlign w:val="center"/>
          </w:tcPr>
          <w:p w14:paraId="2DA91A8F" w14:textId="77777777" w:rsidR="00DC0836" w:rsidRPr="00B234C1" w:rsidRDefault="00DC0836" w:rsidP="00DC0836">
            <w:pPr>
              <w:pStyle w:val="TAC"/>
              <w:rPr>
                <w:rFonts w:eastAsia="Yu Mincho"/>
                <w:b/>
                <w:bCs/>
              </w:rPr>
            </w:pPr>
            <w:r w:rsidRPr="00B234C1">
              <w:rPr>
                <w:rFonts w:eastAsia="Microsoft Sans Serif"/>
              </w:rPr>
              <w:t xml:space="preserve">≥ </w:t>
            </w:r>
            <w:r>
              <w:rPr>
                <w:rFonts w:eastAsia="Microsoft Sans Serif"/>
              </w:rPr>
              <w:t>6</w:t>
            </w:r>
            <w:r>
              <w:rPr>
                <w:rFonts w:eastAsia="Yu Mincho"/>
              </w:rPr>
              <w:t>4</w:t>
            </w:r>
          </w:p>
        </w:tc>
        <w:tc>
          <w:tcPr>
            <w:tcW w:w="1848" w:type="dxa"/>
            <w:vAlign w:val="center"/>
          </w:tcPr>
          <w:p w14:paraId="4B6CA7CE" w14:textId="18C25C91" w:rsidR="00DC0836" w:rsidRPr="00B234C1" w:rsidRDefault="00DC0836" w:rsidP="00DC0836">
            <w:pPr>
              <w:pStyle w:val="TAC"/>
              <w:rPr>
                <w:rFonts w:eastAsia="Yu Mincho"/>
                <w:b/>
                <w:bCs/>
              </w:rPr>
            </w:pPr>
            <w:r w:rsidRPr="002F3C20">
              <w:rPr>
                <w:rFonts w:eastAsia="Yu Mincho"/>
              </w:rPr>
              <w:t>24</w:t>
            </w:r>
          </w:p>
        </w:tc>
      </w:tr>
      <w:tr w:rsidR="00DC0836" w:rsidRPr="00B234C1" w14:paraId="3AE19EEE" w14:textId="77777777" w:rsidTr="008A7648">
        <w:trPr>
          <w:trHeight w:val="46"/>
          <w:jc w:val="center"/>
        </w:trPr>
        <w:tc>
          <w:tcPr>
            <w:tcW w:w="1861" w:type="dxa"/>
            <w:vAlign w:val="center"/>
          </w:tcPr>
          <w:p w14:paraId="010F48B8" w14:textId="77777777" w:rsidR="00DC0836" w:rsidRPr="00B234C1" w:rsidRDefault="00DC0836" w:rsidP="00DC0836">
            <w:pPr>
              <w:pStyle w:val="TAC"/>
              <w:rPr>
                <w:rFonts w:eastAsia="Microsoft Sans Serif"/>
              </w:rPr>
            </w:pPr>
            <w:r>
              <w:rPr>
                <w:rFonts w:eastAsia="Microsoft Sans Serif"/>
              </w:rPr>
              <w:t>N/A</w:t>
            </w:r>
          </w:p>
        </w:tc>
        <w:tc>
          <w:tcPr>
            <w:tcW w:w="1862" w:type="dxa"/>
            <w:vAlign w:val="center"/>
          </w:tcPr>
          <w:p w14:paraId="42657BE2" w14:textId="77777777" w:rsidR="00DC0836" w:rsidRPr="00B234C1" w:rsidRDefault="00DC0836" w:rsidP="00DC0836">
            <w:pPr>
              <w:pStyle w:val="TAC"/>
              <w:rPr>
                <w:rFonts w:eastAsia="Microsoft Sans Serif"/>
              </w:rPr>
            </w:pPr>
            <w:r w:rsidRPr="00B234C1">
              <w:rPr>
                <w:rFonts w:eastAsia="Microsoft Sans Serif"/>
              </w:rPr>
              <w:t xml:space="preserve">≥ </w:t>
            </w:r>
            <w:r>
              <w:rPr>
                <w:rFonts w:eastAsia="Yu Mincho"/>
              </w:rPr>
              <w:t>128</w:t>
            </w:r>
          </w:p>
        </w:tc>
        <w:tc>
          <w:tcPr>
            <w:tcW w:w="1848" w:type="dxa"/>
            <w:vAlign w:val="center"/>
          </w:tcPr>
          <w:p w14:paraId="4A4E5A0E" w14:textId="2651F1A0" w:rsidR="00DC0836" w:rsidRPr="00B234C1" w:rsidRDefault="00DC0836" w:rsidP="00DC0836">
            <w:pPr>
              <w:pStyle w:val="TAC"/>
              <w:rPr>
                <w:rFonts w:eastAsia="Yu Mincho"/>
              </w:rPr>
            </w:pPr>
            <w:r w:rsidRPr="002F3C20">
              <w:rPr>
                <w:rFonts w:eastAsia="Yu Mincho"/>
              </w:rPr>
              <w:t>20</w:t>
            </w:r>
          </w:p>
        </w:tc>
      </w:tr>
      <w:tr w:rsidR="00CD3B3E" w:rsidRPr="00B234C1" w14:paraId="48EC8C15" w14:textId="77777777" w:rsidTr="008A7648">
        <w:trPr>
          <w:trHeight w:val="46"/>
          <w:jc w:val="center"/>
        </w:trPr>
        <w:tc>
          <w:tcPr>
            <w:tcW w:w="5571" w:type="dxa"/>
            <w:gridSpan w:val="3"/>
          </w:tcPr>
          <w:p w14:paraId="7C9AF41D" w14:textId="77777777" w:rsidR="00CD3B3E" w:rsidRDefault="00CD3B3E" w:rsidP="00A27A29">
            <w:pPr>
              <w:pStyle w:val="TAN"/>
              <w:rPr>
                <w:rFonts w:eastAsia="SimSun"/>
                <w:lang w:eastAsia="ko-KR"/>
              </w:rPr>
            </w:pPr>
            <w:r w:rsidRPr="006A7330">
              <w:rPr>
                <w:rFonts w:eastAsia="SimSun"/>
                <w:lang w:eastAsia="ko-KR"/>
              </w:rPr>
              <w:t>N</w:t>
            </w:r>
            <w:r w:rsidRPr="006A7330">
              <w:rPr>
                <w:rFonts w:eastAsia="SimSun"/>
              </w:rPr>
              <w:t>OTE</w:t>
            </w:r>
            <w:r w:rsidRPr="006A7330">
              <w:rPr>
                <w:rFonts w:eastAsia="SimSun"/>
                <w:lang w:eastAsia="ko-KR"/>
              </w:rPr>
              <w:t xml:space="preserve"> </w:t>
            </w:r>
            <w:r>
              <w:rPr>
                <w:rFonts w:eastAsia="SimSun"/>
                <w:lang w:eastAsia="ko-KR"/>
              </w:rPr>
              <w:t>1</w:t>
            </w:r>
            <w:r w:rsidRPr="006A7330">
              <w:rPr>
                <w:rFonts w:eastAsia="SimSun"/>
                <w:lang w:eastAsia="ko-KR"/>
              </w:rPr>
              <w:t>:</w:t>
            </w:r>
            <w:r w:rsidRPr="006A7330">
              <w:rPr>
                <w:rFonts w:eastAsia="SimSun"/>
                <w:lang w:eastAsia="ko-KR"/>
              </w:rPr>
              <w:tab/>
              <w:t>Tc is the basic timing unit defined in TS 38.211 [6].</w:t>
            </w:r>
          </w:p>
          <w:p w14:paraId="5F93ECB4" w14:textId="75B76298" w:rsidR="00CD3B3E" w:rsidRPr="00B234C1" w:rsidRDefault="00CD3B3E" w:rsidP="00A27A29">
            <w:pPr>
              <w:pStyle w:val="TAN"/>
              <w:rPr>
                <w:rFonts w:eastAsia="Yu Mincho"/>
                <w:kern w:val="24"/>
              </w:rPr>
            </w:pPr>
            <w:r>
              <w:rPr>
                <w:rFonts w:eastAsia="SimSun"/>
              </w:rPr>
              <w:t>NOTE 2:</w:t>
            </w:r>
            <w:r w:rsidR="00DC0836" w:rsidRPr="006A7330">
              <w:rPr>
                <w:rFonts w:eastAsia="SimSun"/>
                <w:lang w:eastAsia="ko-KR"/>
              </w:rPr>
              <w:tab/>
            </w:r>
            <w:r>
              <w:rPr>
                <w:rFonts w:eastAsia="SimSun"/>
              </w:rPr>
              <w:t>If SRS and PRS have different SCS, the margin corresponding to the smallest RS BW in MHz applies.</w:t>
            </w:r>
          </w:p>
        </w:tc>
      </w:tr>
    </w:tbl>
    <w:p w14:paraId="6270E2C9" w14:textId="77777777" w:rsidR="00AD57C0" w:rsidRDefault="00AD57C0" w:rsidP="00626940">
      <w:pPr>
        <w:rPr>
          <w:rFonts w:eastAsia="SimSun"/>
          <w:lang w:eastAsia="sv-SE"/>
        </w:rPr>
      </w:pPr>
    </w:p>
    <w:p w14:paraId="21C26E6A" w14:textId="299BE3DC" w:rsidR="009323E2" w:rsidRDefault="009323E2" w:rsidP="009323E2">
      <w:pPr>
        <w:pStyle w:val="Heading4"/>
      </w:pPr>
      <w:r w:rsidRPr="00512252">
        <w:t>10.</w:t>
      </w:r>
      <w:r>
        <w:t>1.25</w:t>
      </w:r>
      <w:r w:rsidRPr="00DF3FF6">
        <w:t>.</w:t>
      </w:r>
      <w:r>
        <w:t>3</w:t>
      </w:r>
      <w:r w:rsidRPr="00DF3FF6">
        <w:tab/>
      </w:r>
      <w:r>
        <w:t>Report mapping</w:t>
      </w:r>
    </w:p>
    <w:p w14:paraId="069C0C99" w14:textId="77777777" w:rsidR="00626940" w:rsidRPr="00572D28" w:rsidRDefault="00626940" w:rsidP="00626940">
      <w:pPr>
        <w:rPr>
          <w:rFonts w:eastAsia="SimSun"/>
        </w:rPr>
      </w:pPr>
      <w:r w:rsidRPr="00572D28">
        <w:rPr>
          <w:rFonts w:eastAsia="SimSun"/>
        </w:rPr>
        <w:t>Absolute UE Rx-Tx measurement reporting in clause 10.1.25.3.1, differential reporting for UE Rx-Tx measurement in clause 10.1.25.3.2, and additional path report mapping for UE Rx-Tx measurement in clause 10.1.25.3.3 applies, regardless of number of samples used to measure PRS, to report:</w:t>
      </w:r>
    </w:p>
    <w:p w14:paraId="2B9C0753" w14:textId="3F3B24EB" w:rsidR="00626940" w:rsidRPr="00572D28" w:rsidRDefault="00626940" w:rsidP="00626940">
      <w:pPr>
        <w:pStyle w:val="B10"/>
        <w:rPr>
          <w:rFonts w:eastAsia="SimSun"/>
        </w:rPr>
      </w:pPr>
      <w:r>
        <w:rPr>
          <w:rFonts w:eastAsia="SimSun"/>
        </w:rPr>
        <w:t>-</w:t>
      </w:r>
      <w:r>
        <w:rPr>
          <w:rFonts w:eastAsia="SimSun"/>
        </w:rPr>
        <w:tab/>
      </w:r>
      <w:r w:rsidRPr="00572D28">
        <w:rPr>
          <w:rFonts w:eastAsia="SimSun"/>
        </w:rPr>
        <w:t xml:space="preserve">TEG based measurement corresponding to UE reported Rx TEG in </w:t>
      </w:r>
      <w:r w:rsidRPr="00572D28">
        <w:rPr>
          <w:rFonts w:eastAsia="SimSun"/>
          <w:i/>
          <w:iCs/>
          <w:snapToGrid w:val="0"/>
        </w:rPr>
        <w:t>nr-UE-Rx-TEG-ID-r17</w:t>
      </w:r>
      <w:r w:rsidRPr="00572D28">
        <w:rPr>
          <w:rFonts w:eastAsia="SimSun"/>
        </w:rPr>
        <w:t xml:space="preserve"> [34],</w:t>
      </w:r>
    </w:p>
    <w:p w14:paraId="1BD1C868" w14:textId="4D99E6F2" w:rsidR="00626940" w:rsidRPr="00572D28" w:rsidRDefault="00626940" w:rsidP="00626940">
      <w:pPr>
        <w:pStyle w:val="B10"/>
        <w:rPr>
          <w:rFonts w:eastAsia="SimSun"/>
        </w:rPr>
      </w:pPr>
      <w:r>
        <w:rPr>
          <w:rFonts w:eastAsia="SimSun"/>
        </w:rPr>
        <w:t>-</w:t>
      </w:r>
      <w:r>
        <w:rPr>
          <w:rFonts w:eastAsia="SimSun"/>
        </w:rPr>
        <w:tab/>
      </w:r>
      <w:r w:rsidRPr="00572D28">
        <w:rPr>
          <w:rFonts w:eastAsia="SimSun"/>
        </w:rPr>
        <w:t>gap-based UE Rx-Tx measurement,</w:t>
      </w:r>
    </w:p>
    <w:p w14:paraId="5A01FBAC" w14:textId="47E4DA7C" w:rsidR="00626940" w:rsidRPr="00572D28" w:rsidRDefault="00626940" w:rsidP="00626940">
      <w:pPr>
        <w:pStyle w:val="B10"/>
        <w:rPr>
          <w:rFonts w:eastAsia="SimSun"/>
        </w:rPr>
      </w:pPr>
      <w:r>
        <w:rPr>
          <w:rFonts w:eastAsia="SimSun"/>
        </w:rPr>
        <w:t>-</w:t>
      </w:r>
      <w:r>
        <w:rPr>
          <w:rFonts w:eastAsia="SimSun"/>
        </w:rPr>
        <w:tab/>
      </w:r>
      <w:r w:rsidRPr="00572D28">
        <w:rPr>
          <w:rFonts w:eastAsia="SimSun"/>
        </w:rPr>
        <w:t xml:space="preserve">gapless </w:t>
      </w:r>
      <w:r w:rsidRPr="00572D28">
        <w:rPr>
          <w:rFonts w:eastAsia="SimSun"/>
          <w:sz w:val="24"/>
          <w:szCs w:val="24"/>
        </w:rPr>
        <w:t>UE Rx-Tx</w:t>
      </w:r>
      <w:r w:rsidRPr="00572D28">
        <w:rPr>
          <w:rFonts w:eastAsia="SimSun"/>
        </w:rPr>
        <w:t xml:space="preserve"> measurement</w:t>
      </w:r>
      <w:r>
        <w:rPr>
          <w:rFonts w:eastAsia="SimSun"/>
        </w:rPr>
        <w:t>,</w:t>
      </w:r>
    </w:p>
    <w:p w14:paraId="5C8127F1" w14:textId="2E70C0E0" w:rsidR="00626940" w:rsidRDefault="00626940" w:rsidP="00626940">
      <w:pPr>
        <w:pStyle w:val="B10"/>
        <w:rPr>
          <w:rFonts w:eastAsia="SimSun"/>
        </w:rPr>
      </w:pPr>
      <w:r>
        <w:rPr>
          <w:rFonts w:eastAsia="SimSun"/>
        </w:rPr>
        <w:t>-</w:t>
      </w:r>
      <w:r>
        <w:rPr>
          <w:rFonts w:eastAsia="SimSun"/>
        </w:rPr>
        <w:tab/>
      </w:r>
      <w:r w:rsidRPr="00572D28">
        <w:rPr>
          <w:rFonts w:eastAsia="SimSun"/>
        </w:rPr>
        <w:t>UE Rx-Tx in RRC_INACTIVE state</w:t>
      </w:r>
      <w:r>
        <w:rPr>
          <w:rFonts w:eastAsia="SimSun"/>
        </w:rPr>
        <w:t>.</w:t>
      </w:r>
    </w:p>
    <w:p w14:paraId="395F7F9C" w14:textId="77777777" w:rsidR="00626940" w:rsidRPr="00626940" w:rsidRDefault="00626940" w:rsidP="00626940"/>
    <w:p w14:paraId="411AE84F" w14:textId="0F16C6AB" w:rsidR="00777EC6" w:rsidRPr="00E611AB" w:rsidRDefault="00777EC6" w:rsidP="00777EC6">
      <w:pPr>
        <w:pStyle w:val="Heading5"/>
      </w:pPr>
      <w:r w:rsidRPr="00E611AB">
        <w:t>10.1.25.3.1</w:t>
      </w:r>
      <w:r w:rsidRPr="00E611AB">
        <w:tab/>
        <w:t>Absolute UE Rx-Tx Measurement Report Mapping</w:t>
      </w:r>
    </w:p>
    <w:p w14:paraId="404EE44F" w14:textId="77777777" w:rsidR="00777EC6" w:rsidRPr="00E611AB" w:rsidRDefault="00777EC6" w:rsidP="00777EC6">
      <w:pPr>
        <w:keepNext/>
        <w:keepLines/>
        <w:spacing w:after="120"/>
      </w:pPr>
      <w:r w:rsidRPr="00E611AB">
        <w:t>The reporting range for the absolute UE Rx-Tx time difference measurement (</w:t>
      </w:r>
      <w:r w:rsidRPr="00E611AB">
        <w:rPr>
          <w:rFonts w:cs="Arial"/>
          <w:lang w:eastAsia="zh-CN"/>
        </w:rPr>
        <w:t>T</w:t>
      </w:r>
      <w:r w:rsidRPr="00E611AB">
        <w:rPr>
          <w:rFonts w:cs="Arial"/>
          <w:vertAlign w:val="subscript"/>
          <w:lang w:eastAsia="zh-CN"/>
        </w:rPr>
        <w:t>UE Rx-Tx</w:t>
      </w:r>
      <w:r w:rsidRPr="00E611AB">
        <w:t xml:space="preserve">) is defined from </w:t>
      </w:r>
      <w:r w:rsidRPr="00E611AB">
        <w:rPr>
          <w:lang w:eastAsia="zh-CN"/>
        </w:rPr>
        <w:t>-985024</w:t>
      </w:r>
      <w:r w:rsidRPr="00E611AB">
        <w:rPr>
          <w:rFonts w:ascii="Symbol" w:eastAsia="Symbol" w:hAnsi="Symbol" w:cs="Symbol"/>
        </w:rPr>
        <w:t></w:t>
      </w:r>
      <w:r w:rsidRPr="00E611AB">
        <w:t>T</w:t>
      </w:r>
      <w:r w:rsidRPr="00E611AB">
        <w:rPr>
          <w:vertAlign w:val="subscript"/>
        </w:rPr>
        <w:t>c</w:t>
      </w:r>
      <w:r w:rsidRPr="00E611AB">
        <w:t xml:space="preserve"> to </w:t>
      </w:r>
      <w:r w:rsidRPr="00E611AB">
        <w:rPr>
          <w:lang w:eastAsia="zh-CN"/>
        </w:rPr>
        <w:t>985024</w:t>
      </w:r>
      <w:r w:rsidRPr="00E611AB">
        <w:rPr>
          <w:rFonts w:ascii="Symbol" w:eastAsia="Symbol" w:hAnsi="Symbol" w:cs="Symbol"/>
        </w:rPr>
        <w:t></w:t>
      </w:r>
      <w:r w:rsidRPr="00E611AB">
        <w:t>T</w:t>
      </w:r>
      <w:r w:rsidRPr="00E611AB">
        <w:rPr>
          <w:vertAlign w:val="subscript"/>
        </w:rPr>
        <w:t>c</w:t>
      </w:r>
      <w:r w:rsidRPr="00E611AB">
        <w:t xml:space="preserve"> with the resolution step of 2</w:t>
      </w:r>
      <w:r w:rsidRPr="00E611AB">
        <w:rPr>
          <w:i/>
          <w:iCs/>
          <w:vertAlign w:val="superscript"/>
          <w:lang w:eastAsia="zh-CN"/>
        </w:rPr>
        <w:t>k</w:t>
      </w:r>
      <w:r w:rsidRPr="00E611AB">
        <w:rPr>
          <w:rFonts w:ascii="Symbol" w:eastAsia="Symbol" w:hAnsi="Symbol" w:cs="Symbol"/>
        </w:rPr>
        <w:t></w:t>
      </w:r>
      <w:r w:rsidRPr="00E611AB">
        <w:t>T</w:t>
      </w:r>
      <w:r w:rsidRPr="00E611AB">
        <w:rPr>
          <w:vertAlign w:val="subscript"/>
        </w:rPr>
        <w:t>c</w:t>
      </w:r>
      <w:r w:rsidRPr="00E611AB">
        <w:t xml:space="preserve">, where: </w:t>
      </w:r>
    </w:p>
    <w:p w14:paraId="2D997AB9" w14:textId="77777777" w:rsidR="00777EC6" w:rsidRPr="00E611AB" w:rsidRDefault="00777EC6" w:rsidP="002F5786">
      <w:pPr>
        <w:pStyle w:val="B10"/>
      </w:pPr>
      <w:r w:rsidRPr="00E611AB">
        <w:t>T</w:t>
      </w:r>
      <w:r w:rsidRPr="00E611AB">
        <w:rPr>
          <w:vertAlign w:val="subscript"/>
        </w:rPr>
        <w:t>c</w:t>
      </w:r>
      <w:r w:rsidRPr="00E611AB">
        <w:t xml:space="preserve"> is defined in TS 38.211 [6], </w:t>
      </w:r>
    </w:p>
    <w:p w14:paraId="7405E4BE" w14:textId="77777777" w:rsidR="00777EC6" w:rsidRPr="00E611AB" w:rsidRDefault="00777EC6" w:rsidP="002F5786">
      <w:pPr>
        <w:pStyle w:val="B10"/>
      </w:pPr>
      <w:r w:rsidRPr="00E611AB">
        <w:rPr>
          <w:i/>
          <w:iCs/>
          <w:lang w:eastAsia="ja-JP"/>
        </w:rPr>
        <w:t>k</w:t>
      </w:r>
      <w:r w:rsidRPr="00E611AB">
        <w:rPr>
          <w:i/>
          <w:iCs/>
          <w:vertAlign w:val="subscript"/>
          <w:lang w:eastAsia="ja-JP"/>
        </w:rPr>
        <w:t>min</w:t>
      </w:r>
      <w:r w:rsidRPr="00E611AB">
        <w:rPr>
          <w:lang w:eastAsia="ja-JP"/>
        </w:rPr>
        <w:t>≤</w:t>
      </w:r>
      <w:r w:rsidRPr="00E611AB">
        <w:rPr>
          <w:i/>
          <w:iCs/>
        </w:rPr>
        <w:t>k</w:t>
      </w:r>
      <w:r w:rsidRPr="00E611AB">
        <w:rPr>
          <w:lang w:eastAsia="ja-JP"/>
        </w:rPr>
        <w:t>≤</w:t>
      </w:r>
      <w:r w:rsidRPr="00E611AB">
        <w:rPr>
          <w:i/>
          <w:iCs/>
          <w:lang w:eastAsia="ja-JP"/>
        </w:rPr>
        <w:t>k</w:t>
      </w:r>
      <w:r w:rsidRPr="00E611AB">
        <w:rPr>
          <w:i/>
          <w:iCs/>
          <w:vertAlign w:val="subscript"/>
          <w:lang w:eastAsia="ja-JP"/>
        </w:rPr>
        <w:t>max</w:t>
      </w:r>
      <w:r w:rsidRPr="00E611AB">
        <w:t xml:space="preserve">, </w:t>
      </w:r>
    </w:p>
    <w:p w14:paraId="21254F8D" w14:textId="77777777" w:rsidR="00777EC6" w:rsidRPr="00E611AB" w:rsidRDefault="00777EC6" w:rsidP="002F5786">
      <w:pPr>
        <w:pStyle w:val="B10"/>
      </w:pPr>
      <w:r w:rsidRPr="00E611AB">
        <w:rPr>
          <w:i/>
          <w:iCs/>
          <w:lang w:eastAsia="ja-JP"/>
        </w:rPr>
        <w:t>k</w:t>
      </w:r>
      <w:r w:rsidRPr="00E611AB">
        <w:rPr>
          <w:i/>
          <w:iCs/>
          <w:vertAlign w:val="subscript"/>
          <w:lang w:eastAsia="ja-JP"/>
        </w:rPr>
        <w:t>min</w:t>
      </w:r>
      <w:r w:rsidRPr="00E611AB">
        <w:rPr>
          <w:lang w:eastAsia="ja-JP"/>
        </w:rPr>
        <w:t>=</w:t>
      </w:r>
      <w:r>
        <w:rPr>
          <w:lang w:eastAsia="ja-JP"/>
        </w:rPr>
        <w:t>[2]</w:t>
      </w:r>
      <w:r w:rsidRPr="00E611AB">
        <w:rPr>
          <w:lang w:eastAsia="ja-JP"/>
        </w:rPr>
        <w:t xml:space="preserve"> and </w:t>
      </w:r>
      <w:r w:rsidRPr="00E611AB">
        <w:rPr>
          <w:i/>
          <w:iCs/>
          <w:lang w:eastAsia="ja-JP"/>
        </w:rPr>
        <w:t>k</w:t>
      </w:r>
      <w:r w:rsidRPr="00E611AB">
        <w:rPr>
          <w:i/>
          <w:iCs/>
          <w:vertAlign w:val="subscript"/>
          <w:lang w:eastAsia="ja-JP"/>
        </w:rPr>
        <w:t>max</w:t>
      </w:r>
      <w:r w:rsidRPr="00E611AB">
        <w:rPr>
          <w:lang w:eastAsia="ja-JP"/>
        </w:rPr>
        <w:t xml:space="preserve">=5, when at least one of the PRS and the SRS resources configured for </w:t>
      </w:r>
      <w:r w:rsidRPr="00E611AB">
        <w:rPr>
          <w:rFonts w:cs="Arial"/>
          <w:lang w:eastAsia="zh-CN"/>
        </w:rPr>
        <w:t>T</w:t>
      </w:r>
      <w:r w:rsidRPr="00E611AB">
        <w:rPr>
          <w:rFonts w:cs="Arial"/>
          <w:vertAlign w:val="subscript"/>
          <w:lang w:eastAsia="zh-CN"/>
        </w:rPr>
        <w:t>UE Rx-Tx</w:t>
      </w:r>
      <w:r w:rsidRPr="00E611AB">
        <w:rPr>
          <w:lang w:eastAsia="ja-JP"/>
        </w:rPr>
        <w:t xml:space="preserve"> is in FR1,</w:t>
      </w:r>
    </w:p>
    <w:p w14:paraId="2F6997E2" w14:textId="77777777" w:rsidR="00777EC6" w:rsidRDefault="00777EC6" w:rsidP="002F5786">
      <w:pPr>
        <w:pStyle w:val="B10"/>
      </w:pPr>
      <w:r w:rsidRPr="00E611AB">
        <w:rPr>
          <w:i/>
          <w:iCs/>
          <w:lang w:eastAsia="ja-JP"/>
        </w:rPr>
        <w:t>k</w:t>
      </w:r>
      <w:r w:rsidRPr="00E611AB">
        <w:rPr>
          <w:i/>
          <w:iCs/>
          <w:vertAlign w:val="subscript"/>
          <w:lang w:eastAsia="ja-JP"/>
        </w:rPr>
        <w:t>min</w:t>
      </w:r>
      <w:r w:rsidRPr="00E611AB">
        <w:rPr>
          <w:lang w:eastAsia="ja-JP"/>
        </w:rPr>
        <w:t xml:space="preserve">=0 and </w:t>
      </w:r>
      <w:r w:rsidRPr="00E611AB">
        <w:rPr>
          <w:i/>
          <w:iCs/>
          <w:lang w:eastAsia="ja-JP"/>
        </w:rPr>
        <w:t>k</w:t>
      </w:r>
      <w:r w:rsidRPr="00E611AB">
        <w:rPr>
          <w:i/>
          <w:iCs/>
          <w:vertAlign w:val="subscript"/>
          <w:lang w:eastAsia="ja-JP"/>
        </w:rPr>
        <w:t>max</w:t>
      </w:r>
      <w:r w:rsidRPr="00E611AB">
        <w:rPr>
          <w:lang w:eastAsia="ja-JP"/>
        </w:rPr>
        <w:t xml:space="preserve">=5, when both PRS and SRS resources configured for </w:t>
      </w:r>
      <w:r w:rsidRPr="00E611AB">
        <w:rPr>
          <w:rFonts w:cs="Arial"/>
          <w:lang w:eastAsia="zh-CN"/>
        </w:rPr>
        <w:t>T</w:t>
      </w:r>
      <w:r w:rsidRPr="00E611AB">
        <w:rPr>
          <w:rFonts w:cs="Arial"/>
          <w:vertAlign w:val="subscript"/>
          <w:lang w:eastAsia="zh-CN"/>
        </w:rPr>
        <w:t>UE Rx-Tx</w:t>
      </w:r>
      <w:r w:rsidRPr="00E611AB">
        <w:rPr>
          <w:lang w:eastAsia="ja-JP"/>
        </w:rPr>
        <w:t xml:space="preserve"> are in FR2,</w:t>
      </w:r>
    </w:p>
    <w:p w14:paraId="00F493C5" w14:textId="3E6E1545" w:rsidR="00777EC6" w:rsidRPr="00E611AB" w:rsidRDefault="00777EC6" w:rsidP="002F5786">
      <w:pPr>
        <w:pStyle w:val="B10"/>
      </w:pPr>
      <w:r>
        <w:rPr>
          <w:i/>
          <w:iCs/>
          <w:lang w:eastAsia="ja-JP"/>
        </w:rPr>
        <w:t>k≥</w:t>
      </w:r>
      <w:r w:rsidRPr="00194241">
        <w:rPr>
          <w:lang w:eastAsia="ja-JP"/>
        </w:rPr>
        <w:t xml:space="preserve"> </w:t>
      </w:r>
      <w:r w:rsidRPr="00194241">
        <w:rPr>
          <w:i/>
          <w:iCs/>
          <w:snapToGrid w:val="0"/>
        </w:rPr>
        <w:t xml:space="preserve">timingReportingGranularityFactor </w:t>
      </w:r>
      <w:r w:rsidRPr="00194241">
        <w:rPr>
          <w:snapToGrid w:val="0"/>
        </w:rPr>
        <w:t>[3</w:t>
      </w:r>
      <w:r>
        <w:rPr>
          <w:snapToGrid w:val="0"/>
        </w:rPr>
        <w:t>4</w:t>
      </w:r>
      <w:r w:rsidRPr="00194241">
        <w:rPr>
          <w:snapToGrid w:val="0"/>
        </w:rPr>
        <w:t xml:space="preserve">] configured by LMF via LPP for the </w:t>
      </w:r>
      <w:r w:rsidR="00D30086" w:rsidRPr="00603214">
        <w:t>UE Rx-Tx time difference</w:t>
      </w:r>
      <w:r w:rsidRPr="00194241">
        <w:rPr>
          <w:snapToGrid w:val="0"/>
        </w:rPr>
        <w:t xml:space="preserve"> measurement</w:t>
      </w:r>
      <w:r w:rsidRPr="005D59FC">
        <w:rPr>
          <w:snapToGrid w:val="0"/>
        </w:rPr>
        <w:t>.</w:t>
      </w:r>
    </w:p>
    <w:p w14:paraId="41D597CD" w14:textId="77777777" w:rsidR="00777EC6" w:rsidRPr="00E611AB" w:rsidRDefault="00777EC6" w:rsidP="00777EC6">
      <w:pPr>
        <w:keepNext/>
        <w:keepLines/>
        <w:spacing w:after="120"/>
        <w:rPr>
          <w:lang w:val="en-US" w:eastAsia="ja-JP"/>
        </w:rPr>
      </w:pPr>
      <w:r w:rsidRPr="00E611AB">
        <w:rPr>
          <w:lang w:val="en-US" w:eastAsia="ja-JP"/>
        </w:rPr>
        <w:t xml:space="preserve">The </w:t>
      </w:r>
      <w:r w:rsidRPr="00E611AB">
        <w:rPr>
          <w:rFonts w:cs="Arial"/>
          <w:lang w:eastAsia="zh-CN"/>
        </w:rPr>
        <w:t>T</w:t>
      </w:r>
      <w:r w:rsidRPr="00E611AB">
        <w:rPr>
          <w:rFonts w:cs="Arial"/>
          <w:vertAlign w:val="subscript"/>
          <w:lang w:eastAsia="zh-CN"/>
        </w:rPr>
        <w:t>UE Rx-Tx</w:t>
      </w:r>
      <w:r w:rsidRPr="00E611AB">
        <w:rPr>
          <w:lang w:val="en-US" w:eastAsia="ja-JP"/>
        </w:rPr>
        <w:t xml:space="preserve"> report mapping for </w:t>
      </w:r>
      <w:r w:rsidRPr="00E611AB">
        <w:rPr>
          <w:i/>
          <w:iCs/>
          <w:lang w:val="en-US" w:eastAsia="ja-JP"/>
        </w:rPr>
        <w:t>k</w:t>
      </w:r>
      <w:r w:rsidRPr="00E611AB">
        <w:rPr>
          <w:lang w:val="en-US" w:eastAsia="ja-JP"/>
        </w:rPr>
        <w:t xml:space="preserve"> = 0, 1, 2, 3,</w:t>
      </w:r>
      <w:r>
        <w:rPr>
          <w:lang w:val="en-US" w:eastAsia="ja-JP"/>
        </w:rPr>
        <w:t xml:space="preserve"> </w:t>
      </w:r>
      <w:r w:rsidRPr="00E611AB">
        <w:rPr>
          <w:lang w:val="en-US" w:eastAsia="ja-JP"/>
        </w:rPr>
        <w:t>4</w:t>
      </w:r>
      <w:r>
        <w:rPr>
          <w:lang w:val="en-US" w:eastAsia="ja-JP"/>
        </w:rPr>
        <w:t>,</w:t>
      </w:r>
      <w:r w:rsidRPr="00E611AB">
        <w:rPr>
          <w:lang w:val="en-US" w:eastAsia="ja-JP"/>
        </w:rPr>
        <w:t xml:space="preserve"> and </w:t>
      </w:r>
      <w:r>
        <w:rPr>
          <w:lang w:val="en-US" w:eastAsia="ja-JP"/>
        </w:rPr>
        <w:t>5</w:t>
      </w:r>
      <w:r w:rsidRPr="00E611AB">
        <w:rPr>
          <w:lang w:val="en-US" w:eastAsia="ja-JP"/>
        </w:rPr>
        <w:t xml:space="preserve"> are specified in Tables 10.1.25.3.1-1, 10.1.25.3.1-2, 10.1.25.3.1-3, 10.1.25.3.1-4, 10.1.25.3.1-5</w:t>
      </w:r>
      <w:r>
        <w:rPr>
          <w:lang w:val="en-US" w:eastAsia="ja-JP"/>
        </w:rPr>
        <w:t>,</w:t>
      </w:r>
      <w:r w:rsidRPr="00E611AB">
        <w:rPr>
          <w:lang w:val="en-US" w:eastAsia="ja-JP"/>
        </w:rPr>
        <w:t xml:space="preserve"> and 10.1.25.3.1-6</w:t>
      </w:r>
      <w:r>
        <w:rPr>
          <w:lang w:val="en-US" w:eastAsia="ja-JP"/>
        </w:rPr>
        <w:t>,</w:t>
      </w:r>
      <w:r w:rsidRPr="00E611AB">
        <w:rPr>
          <w:lang w:val="en-US" w:eastAsia="ja-JP"/>
        </w:rPr>
        <w:t xml:space="preserve"> respectively.</w:t>
      </w:r>
    </w:p>
    <w:p w14:paraId="3A2D65E5" w14:textId="77777777" w:rsidR="00777EC6" w:rsidRPr="00E611AB" w:rsidRDefault="00777EC6" w:rsidP="002F5786">
      <w:pPr>
        <w:pStyle w:val="TH"/>
        <w:rPr>
          <w:rFonts w:cs="Arial"/>
          <w:lang w:val="en-US" w:eastAsia="ja-JP"/>
        </w:rPr>
      </w:pPr>
      <w:r w:rsidRPr="00E611AB">
        <w:t xml:space="preserve">Table 10.1.25.3.1-1: Absolute UE Rx-Tx time difference measurement report mapping for </w:t>
      </w:r>
      <w:r w:rsidRPr="00E611AB">
        <w:rPr>
          <w:i/>
          <w:iCs/>
        </w:rPr>
        <w:t>k</w:t>
      </w:r>
      <w:r w:rsidRPr="00E611AB">
        <w:t>=0</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7"/>
        <w:gridCol w:w="3260"/>
        <w:gridCol w:w="1276"/>
      </w:tblGrid>
      <w:tr w:rsidR="00777EC6" w:rsidRPr="00E611AB" w14:paraId="20D14260" w14:textId="77777777" w:rsidTr="00051ED3">
        <w:trPr>
          <w:cantSplit/>
        </w:trPr>
        <w:tc>
          <w:tcPr>
            <w:tcW w:w="3827" w:type="dxa"/>
            <w:vAlign w:val="center"/>
          </w:tcPr>
          <w:p w14:paraId="7AAAE000" w14:textId="77777777" w:rsidR="00777EC6" w:rsidRPr="00E611AB" w:rsidRDefault="00777EC6" w:rsidP="002F5786">
            <w:pPr>
              <w:pStyle w:val="TAH"/>
              <w:rPr>
                <w:lang w:eastAsia="zh-CN"/>
              </w:rPr>
            </w:pPr>
            <w:bookmarkStart w:id="17" w:name="_Hlk40263897"/>
            <w:r w:rsidRPr="00E611AB">
              <w:t>Reported Quantity Value</w:t>
            </w:r>
          </w:p>
        </w:tc>
        <w:tc>
          <w:tcPr>
            <w:tcW w:w="3260" w:type="dxa"/>
            <w:vAlign w:val="center"/>
          </w:tcPr>
          <w:p w14:paraId="086049BA" w14:textId="77777777" w:rsidR="00777EC6" w:rsidRPr="00E611AB" w:rsidRDefault="00777EC6" w:rsidP="002F5786">
            <w:pPr>
              <w:pStyle w:val="TAH"/>
              <w:rPr>
                <w:lang w:eastAsia="zh-CN"/>
              </w:rPr>
            </w:pPr>
            <w:r w:rsidRPr="00E611AB">
              <w:t>Measured Quantity Value</w:t>
            </w:r>
          </w:p>
        </w:tc>
        <w:tc>
          <w:tcPr>
            <w:tcW w:w="1276" w:type="dxa"/>
            <w:vAlign w:val="center"/>
          </w:tcPr>
          <w:p w14:paraId="70F9236F" w14:textId="77777777" w:rsidR="00777EC6" w:rsidRPr="00E611AB" w:rsidRDefault="00777EC6" w:rsidP="002F5786">
            <w:pPr>
              <w:pStyle w:val="TAH"/>
            </w:pPr>
            <w:r w:rsidRPr="00E611AB">
              <w:t>Unit</w:t>
            </w:r>
          </w:p>
        </w:tc>
      </w:tr>
      <w:bookmarkEnd w:id="17"/>
      <w:tr w:rsidR="00777EC6" w:rsidRPr="00E611AB" w14:paraId="49186260" w14:textId="77777777" w:rsidTr="00051ED3">
        <w:trPr>
          <w:cantSplit/>
        </w:trPr>
        <w:tc>
          <w:tcPr>
            <w:tcW w:w="3827" w:type="dxa"/>
          </w:tcPr>
          <w:p w14:paraId="16EC29D4" w14:textId="77777777" w:rsidR="00777EC6" w:rsidRPr="00E611AB" w:rsidRDefault="00777EC6" w:rsidP="002F5786">
            <w:pPr>
              <w:pStyle w:val="TAC"/>
            </w:pPr>
            <w:r w:rsidRPr="00E611AB">
              <w:rPr>
                <w:lang w:eastAsia="zh-CN"/>
              </w:rPr>
              <w:t>RX-TX_TIME_DIFFERENCE_</w:t>
            </w:r>
            <w:r w:rsidRPr="00E611AB">
              <w:t>0000</w:t>
            </w:r>
          </w:p>
        </w:tc>
        <w:tc>
          <w:tcPr>
            <w:tcW w:w="3260" w:type="dxa"/>
          </w:tcPr>
          <w:p w14:paraId="7D0D7265" w14:textId="77777777" w:rsidR="00777EC6" w:rsidRPr="00E611AB" w:rsidRDefault="00777EC6" w:rsidP="002F5786">
            <w:pPr>
              <w:pStyle w:val="TAC"/>
            </w:pPr>
            <w:r w:rsidRPr="00E611AB">
              <w:rPr>
                <w:lang w:eastAsia="zh-CN"/>
              </w:rPr>
              <w:t>T</w:t>
            </w:r>
            <w:r w:rsidRPr="00E611AB">
              <w:rPr>
                <w:vertAlign w:val="subscript"/>
                <w:lang w:eastAsia="zh-CN"/>
              </w:rPr>
              <w:t>UE Rx-Tx</w:t>
            </w:r>
            <w:r w:rsidRPr="00E611AB">
              <w:rPr>
                <w:lang w:eastAsia="zh-CN"/>
              </w:rPr>
              <w:t xml:space="preserve"> &lt; -985024</w:t>
            </w:r>
          </w:p>
        </w:tc>
        <w:tc>
          <w:tcPr>
            <w:tcW w:w="1276" w:type="dxa"/>
          </w:tcPr>
          <w:p w14:paraId="07EA785E" w14:textId="77777777" w:rsidR="00777EC6" w:rsidRPr="00E611AB" w:rsidRDefault="00777EC6" w:rsidP="002F5786">
            <w:pPr>
              <w:pStyle w:val="TAC"/>
            </w:pPr>
            <w:r w:rsidRPr="00E611AB">
              <w:t>T</w:t>
            </w:r>
            <w:r w:rsidRPr="00E611AB">
              <w:rPr>
                <w:vertAlign w:val="subscript"/>
              </w:rPr>
              <w:t>c</w:t>
            </w:r>
          </w:p>
        </w:tc>
      </w:tr>
      <w:tr w:rsidR="00777EC6" w:rsidRPr="00E611AB" w14:paraId="62CBCC29" w14:textId="77777777" w:rsidTr="00051ED3">
        <w:trPr>
          <w:cantSplit/>
        </w:trPr>
        <w:tc>
          <w:tcPr>
            <w:tcW w:w="3827" w:type="dxa"/>
          </w:tcPr>
          <w:p w14:paraId="4782C781" w14:textId="77777777" w:rsidR="00777EC6" w:rsidRPr="00E611AB" w:rsidRDefault="00777EC6" w:rsidP="002F5786">
            <w:pPr>
              <w:pStyle w:val="TAC"/>
            </w:pPr>
            <w:r w:rsidRPr="00E611AB">
              <w:rPr>
                <w:lang w:eastAsia="zh-CN"/>
              </w:rPr>
              <w:t>RX-TX_TIME_DIFFERENCE_</w:t>
            </w:r>
            <w:r w:rsidRPr="00E611AB">
              <w:t>0001</w:t>
            </w:r>
          </w:p>
        </w:tc>
        <w:tc>
          <w:tcPr>
            <w:tcW w:w="3260" w:type="dxa"/>
          </w:tcPr>
          <w:p w14:paraId="7F2C7667"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-985023</w:t>
            </w:r>
          </w:p>
        </w:tc>
        <w:tc>
          <w:tcPr>
            <w:tcW w:w="1276" w:type="dxa"/>
          </w:tcPr>
          <w:p w14:paraId="67C745C0" w14:textId="77777777" w:rsidR="00777EC6" w:rsidRPr="00E611AB" w:rsidRDefault="00777EC6" w:rsidP="002F5786">
            <w:pPr>
              <w:pStyle w:val="TAC"/>
            </w:pPr>
            <w:r w:rsidRPr="00E611AB">
              <w:t>T</w:t>
            </w:r>
            <w:r w:rsidRPr="00E611AB">
              <w:rPr>
                <w:vertAlign w:val="subscript"/>
              </w:rPr>
              <w:t>c</w:t>
            </w:r>
          </w:p>
        </w:tc>
      </w:tr>
      <w:tr w:rsidR="00777EC6" w:rsidRPr="00E611AB" w14:paraId="4A41D2C5" w14:textId="77777777" w:rsidTr="00051ED3">
        <w:trPr>
          <w:cantSplit/>
        </w:trPr>
        <w:tc>
          <w:tcPr>
            <w:tcW w:w="3827" w:type="dxa"/>
          </w:tcPr>
          <w:p w14:paraId="3F6432F0" w14:textId="77777777" w:rsidR="00777EC6" w:rsidRPr="00E611AB" w:rsidRDefault="00777EC6" w:rsidP="002F5786">
            <w:pPr>
              <w:pStyle w:val="TAC"/>
            </w:pPr>
            <w:r w:rsidRPr="00E611AB">
              <w:rPr>
                <w:lang w:eastAsia="zh-CN"/>
              </w:rPr>
              <w:t>RX-TX_TIME_DIFFERENCE_</w:t>
            </w:r>
            <w:r w:rsidRPr="00E611AB">
              <w:t>0002</w:t>
            </w:r>
          </w:p>
        </w:tc>
        <w:tc>
          <w:tcPr>
            <w:tcW w:w="3260" w:type="dxa"/>
          </w:tcPr>
          <w:p w14:paraId="0202E633" w14:textId="77777777" w:rsidR="00777EC6" w:rsidRPr="00E611AB" w:rsidRDefault="00777EC6" w:rsidP="002F5786">
            <w:pPr>
              <w:pStyle w:val="TAC"/>
            </w:pPr>
            <w:r w:rsidRPr="00E611AB">
              <w:rPr>
                <w:lang w:eastAsia="zh-CN"/>
              </w:rPr>
              <w:t xml:space="preserve">-985023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-985022</w:t>
            </w:r>
          </w:p>
        </w:tc>
        <w:tc>
          <w:tcPr>
            <w:tcW w:w="1276" w:type="dxa"/>
          </w:tcPr>
          <w:p w14:paraId="4445F12B" w14:textId="77777777" w:rsidR="00777EC6" w:rsidRPr="00E611AB" w:rsidRDefault="00777EC6" w:rsidP="002F5786">
            <w:pPr>
              <w:pStyle w:val="TAC"/>
            </w:pPr>
            <w:r w:rsidRPr="00E611AB">
              <w:t>T</w:t>
            </w:r>
            <w:r w:rsidRPr="00E611AB">
              <w:rPr>
                <w:vertAlign w:val="subscript"/>
              </w:rPr>
              <w:t>c</w:t>
            </w:r>
          </w:p>
        </w:tc>
      </w:tr>
      <w:tr w:rsidR="00777EC6" w:rsidRPr="00E611AB" w14:paraId="14B1BF3E" w14:textId="77777777" w:rsidTr="00051ED3">
        <w:trPr>
          <w:cantSplit/>
        </w:trPr>
        <w:tc>
          <w:tcPr>
            <w:tcW w:w="3827" w:type="dxa"/>
          </w:tcPr>
          <w:p w14:paraId="5A3F995F" w14:textId="77777777" w:rsidR="00777EC6" w:rsidRPr="00E611AB" w:rsidRDefault="00777EC6" w:rsidP="002F5786">
            <w:pPr>
              <w:pStyle w:val="TAC"/>
            </w:pPr>
            <w:r w:rsidRPr="00E611AB">
              <w:rPr>
                <w:rFonts w:ascii="Symbol" w:eastAsia="Symbol" w:hAnsi="Symbol" w:cs="Symbol"/>
              </w:rPr>
              <w:t></w:t>
            </w:r>
          </w:p>
        </w:tc>
        <w:tc>
          <w:tcPr>
            <w:tcW w:w="3260" w:type="dxa"/>
          </w:tcPr>
          <w:p w14:paraId="54EBA821" w14:textId="77777777" w:rsidR="00777EC6" w:rsidRPr="00E611AB" w:rsidRDefault="00777EC6" w:rsidP="002F5786">
            <w:pPr>
              <w:pStyle w:val="TAC"/>
            </w:pPr>
            <w:r w:rsidRPr="00E611AB">
              <w:rPr>
                <w:rFonts w:ascii="Symbol" w:eastAsia="Symbol" w:hAnsi="Symbol" w:cs="Symbol"/>
              </w:rPr>
              <w:t></w:t>
            </w:r>
          </w:p>
        </w:tc>
        <w:tc>
          <w:tcPr>
            <w:tcW w:w="1276" w:type="dxa"/>
          </w:tcPr>
          <w:p w14:paraId="6F9DD2ED" w14:textId="77777777" w:rsidR="00777EC6" w:rsidRPr="00E611AB" w:rsidRDefault="00777EC6" w:rsidP="002F5786">
            <w:pPr>
              <w:pStyle w:val="TAC"/>
            </w:pPr>
            <w:r w:rsidRPr="00E611AB">
              <w:t>…</w:t>
            </w:r>
          </w:p>
        </w:tc>
      </w:tr>
      <w:tr w:rsidR="00777EC6" w:rsidRPr="00E611AB" w14:paraId="09EE54CE" w14:textId="77777777" w:rsidTr="00051ED3">
        <w:trPr>
          <w:cantSplit/>
        </w:trPr>
        <w:tc>
          <w:tcPr>
            <w:tcW w:w="3827" w:type="dxa"/>
          </w:tcPr>
          <w:p w14:paraId="02026BCB" w14:textId="77777777" w:rsidR="00777EC6" w:rsidRPr="00E611AB" w:rsidRDefault="00777EC6" w:rsidP="002F5786">
            <w:pPr>
              <w:pStyle w:val="TAC"/>
            </w:pPr>
            <w:r w:rsidRPr="00E611AB">
              <w:rPr>
                <w:lang w:eastAsia="zh-CN"/>
              </w:rPr>
              <w:t>RX-TX_TIME_DIFFERENCE_985024</w:t>
            </w:r>
          </w:p>
        </w:tc>
        <w:tc>
          <w:tcPr>
            <w:tcW w:w="3260" w:type="dxa"/>
          </w:tcPr>
          <w:p w14:paraId="31EDFC0D" w14:textId="77777777" w:rsidR="00777EC6" w:rsidRPr="00E611AB" w:rsidRDefault="00777EC6" w:rsidP="002F5786">
            <w:pPr>
              <w:pStyle w:val="TAC"/>
            </w:pPr>
            <w:r w:rsidRPr="00E611AB">
              <w:rPr>
                <w:lang w:eastAsia="zh-CN"/>
              </w:rPr>
              <w:t>-1</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0</w:t>
            </w:r>
          </w:p>
        </w:tc>
        <w:tc>
          <w:tcPr>
            <w:tcW w:w="1276" w:type="dxa"/>
          </w:tcPr>
          <w:p w14:paraId="11EB4623" w14:textId="77777777" w:rsidR="00777EC6" w:rsidRPr="00E611AB" w:rsidRDefault="00777EC6" w:rsidP="002F5786">
            <w:pPr>
              <w:pStyle w:val="TAC"/>
            </w:pPr>
            <w:r w:rsidRPr="00E611AB">
              <w:t>T</w:t>
            </w:r>
            <w:r w:rsidRPr="00E611AB">
              <w:rPr>
                <w:vertAlign w:val="subscript"/>
              </w:rPr>
              <w:t>c</w:t>
            </w:r>
          </w:p>
        </w:tc>
      </w:tr>
      <w:tr w:rsidR="00777EC6" w:rsidRPr="00E611AB" w14:paraId="6BC4AD9D" w14:textId="77777777" w:rsidTr="00051ED3">
        <w:trPr>
          <w:cantSplit/>
        </w:trPr>
        <w:tc>
          <w:tcPr>
            <w:tcW w:w="3827" w:type="dxa"/>
          </w:tcPr>
          <w:p w14:paraId="17381D22" w14:textId="77777777" w:rsidR="00777EC6" w:rsidRPr="00E611AB" w:rsidRDefault="00777EC6" w:rsidP="002F5786">
            <w:pPr>
              <w:pStyle w:val="TAC"/>
            </w:pPr>
            <w:r w:rsidRPr="00E611AB">
              <w:rPr>
                <w:lang w:eastAsia="zh-CN"/>
              </w:rPr>
              <w:t>RX-TX_TIME_DIFFERENCE_985025</w:t>
            </w:r>
          </w:p>
        </w:tc>
        <w:tc>
          <w:tcPr>
            <w:tcW w:w="3260" w:type="dxa"/>
          </w:tcPr>
          <w:p w14:paraId="5EC260F7" w14:textId="77777777" w:rsidR="00777EC6" w:rsidRPr="00E611AB" w:rsidRDefault="00777EC6" w:rsidP="002F5786">
            <w:pPr>
              <w:pStyle w:val="TAC"/>
            </w:pPr>
            <w:r w:rsidRPr="00E611AB">
              <w:rPr>
                <w:lang w:eastAsia="zh-CN"/>
              </w:rPr>
              <w:t>0</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1</w:t>
            </w:r>
          </w:p>
        </w:tc>
        <w:tc>
          <w:tcPr>
            <w:tcW w:w="1276" w:type="dxa"/>
          </w:tcPr>
          <w:p w14:paraId="620EC5BC" w14:textId="77777777" w:rsidR="00777EC6" w:rsidRPr="00E611AB" w:rsidRDefault="00777EC6" w:rsidP="002F5786">
            <w:pPr>
              <w:pStyle w:val="TAC"/>
            </w:pPr>
            <w:r w:rsidRPr="00E611AB">
              <w:t>T</w:t>
            </w:r>
            <w:r w:rsidRPr="00E611AB">
              <w:rPr>
                <w:vertAlign w:val="subscript"/>
              </w:rPr>
              <w:t>c</w:t>
            </w:r>
          </w:p>
        </w:tc>
      </w:tr>
      <w:tr w:rsidR="00777EC6" w:rsidRPr="00E611AB" w14:paraId="138EDDA0"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73454496" w14:textId="77777777" w:rsidR="00777EC6" w:rsidRPr="00E611AB" w:rsidRDefault="00777EC6" w:rsidP="002F5786">
            <w:pPr>
              <w:pStyle w:val="TAC"/>
            </w:pPr>
            <w:r w:rsidRPr="00E611AB">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436525B4" w14:textId="77777777" w:rsidR="00777EC6" w:rsidRPr="00E611AB" w:rsidRDefault="00777EC6" w:rsidP="002F5786">
            <w:pPr>
              <w:pStyle w:val="TAC"/>
            </w:pPr>
            <w:r w:rsidRPr="00E611AB">
              <w:rPr>
                <w:lang w:eastAsia="zh-CN"/>
              </w:rPr>
              <w:t>…</w:t>
            </w:r>
          </w:p>
        </w:tc>
        <w:tc>
          <w:tcPr>
            <w:tcW w:w="1276" w:type="dxa"/>
            <w:tcBorders>
              <w:top w:val="single" w:sz="4" w:space="0" w:color="auto"/>
              <w:left w:val="single" w:sz="4" w:space="0" w:color="auto"/>
              <w:bottom w:val="single" w:sz="4" w:space="0" w:color="auto"/>
              <w:right w:val="single" w:sz="4" w:space="0" w:color="auto"/>
            </w:tcBorders>
          </w:tcPr>
          <w:p w14:paraId="1A6443EF" w14:textId="77777777" w:rsidR="00777EC6" w:rsidRPr="00E611AB" w:rsidRDefault="00777EC6" w:rsidP="002F5786">
            <w:pPr>
              <w:pStyle w:val="TAC"/>
            </w:pPr>
            <w:r w:rsidRPr="00E611AB">
              <w:t>…</w:t>
            </w:r>
          </w:p>
        </w:tc>
      </w:tr>
      <w:tr w:rsidR="00777EC6" w:rsidRPr="00E611AB" w14:paraId="27CB6800"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6AD906A2" w14:textId="77777777" w:rsidR="00777EC6" w:rsidRPr="00E611AB" w:rsidRDefault="00777EC6" w:rsidP="002F5786">
            <w:pPr>
              <w:pStyle w:val="TAC"/>
            </w:pPr>
            <w:r w:rsidRPr="00E611AB">
              <w:rPr>
                <w:lang w:eastAsia="zh-CN"/>
              </w:rPr>
              <w:t>RX-TX_TIME_DIFFERENCE_1970047</w:t>
            </w:r>
          </w:p>
        </w:tc>
        <w:tc>
          <w:tcPr>
            <w:tcW w:w="3260" w:type="dxa"/>
            <w:tcBorders>
              <w:top w:val="single" w:sz="4" w:space="0" w:color="auto"/>
              <w:left w:val="single" w:sz="4" w:space="0" w:color="auto"/>
              <w:bottom w:val="single" w:sz="4" w:space="0" w:color="auto"/>
              <w:right w:val="single" w:sz="4" w:space="0" w:color="auto"/>
            </w:tcBorders>
          </w:tcPr>
          <w:p w14:paraId="22E067F2" w14:textId="77777777" w:rsidR="00777EC6" w:rsidRPr="00E611AB" w:rsidRDefault="00777EC6" w:rsidP="002F5786">
            <w:pPr>
              <w:pStyle w:val="TAC"/>
            </w:pPr>
            <w:r w:rsidRPr="00E611AB">
              <w:rPr>
                <w:lang w:eastAsia="zh-CN"/>
              </w:rPr>
              <w:t xml:space="preserve">985022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985023</w:t>
            </w:r>
          </w:p>
        </w:tc>
        <w:tc>
          <w:tcPr>
            <w:tcW w:w="1276" w:type="dxa"/>
            <w:tcBorders>
              <w:top w:val="single" w:sz="4" w:space="0" w:color="auto"/>
              <w:left w:val="single" w:sz="4" w:space="0" w:color="auto"/>
              <w:bottom w:val="single" w:sz="4" w:space="0" w:color="auto"/>
              <w:right w:val="single" w:sz="4" w:space="0" w:color="auto"/>
            </w:tcBorders>
          </w:tcPr>
          <w:p w14:paraId="16006265" w14:textId="77777777" w:rsidR="00777EC6" w:rsidRPr="00E611AB" w:rsidRDefault="00777EC6" w:rsidP="002F5786">
            <w:pPr>
              <w:pStyle w:val="TAC"/>
            </w:pPr>
            <w:r w:rsidRPr="00E611AB">
              <w:t>T</w:t>
            </w:r>
            <w:r w:rsidRPr="00E611AB">
              <w:rPr>
                <w:vertAlign w:val="subscript"/>
              </w:rPr>
              <w:t>c</w:t>
            </w:r>
          </w:p>
        </w:tc>
      </w:tr>
      <w:tr w:rsidR="00777EC6" w:rsidRPr="00E611AB" w14:paraId="47F07B95"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4161A164" w14:textId="77777777" w:rsidR="00777EC6" w:rsidRPr="00E611AB" w:rsidRDefault="00777EC6" w:rsidP="002F5786">
            <w:pPr>
              <w:pStyle w:val="TAC"/>
            </w:pPr>
            <w:r w:rsidRPr="00E611AB">
              <w:rPr>
                <w:lang w:eastAsia="zh-CN"/>
              </w:rPr>
              <w:t>RX-TX_TIME_DIFFERENCE_1970048</w:t>
            </w:r>
          </w:p>
        </w:tc>
        <w:tc>
          <w:tcPr>
            <w:tcW w:w="3260" w:type="dxa"/>
            <w:tcBorders>
              <w:top w:val="single" w:sz="4" w:space="0" w:color="auto"/>
              <w:left w:val="single" w:sz="4" w:space="0" w:color="auto"/>
              <w:bottom w:val="single" w:sz="4" w:space="0" w:color="auto"/>
              <w:right w:val="single" w:sz="4" w:space="0" w:color="auto"/>
            </w:tcBorders>
          </w:tcPr>
          <w:p w14:paraId="5979478D" w14:textId="77777777" w:rsidR="00777EC6" w:rsidRPr="00E611AB" w:rsidRDefault="00777EC6" w:rsidP="002F5786">
            <w:pPr>
              <w:pStyle w:val="TAC"/>
            </w:pPr>
            <w:r w:rsidRPr="00E611AB">
              <w:rPr>
                <w:lang w:eastAsia="zh-CN"/>
              </w:rPr>
              <w:t xml:space="preserve">985023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985024</w:t>
            </w:r>
          </w:p>
        </w:tc>
        <w:tc>
          <w:tcPr>
            <w:tcW w:w="1276" w:type="dxa"/>
            <w:tcBorders>
              <w:top w:val="single" w:sz="4" w:space="0" w:color="auto"/>
              <w:left w:val="single" w:sz="4" w:space="0" w:color="auto"/>
              <w:bottom w:val="single" w:sz="4" w:space="0" w:color="auto"/>
              <w:right w:val="single" w:sz="4" w:space="0" w:color="auto"/>
            </w:tcBorders>
          </w:tcPr>
          <w:p w14:paraId="1CBADE57" w14:textId="77777777" w:rsidR="00777EC6" w:rsidRPr="00E611AB" w:rsidRDefault="00777EC6" w:rsidP="002F5786">
            <w:pPr>
              <w:pStyle w:val="TAC"/>
            </w:pPr>
            <w:r w:rsidRPr="00E611AB">
              <w:t>T</w:t>
            </w:r>
            <w:r w:rsidRPr="00E611AB">
              <w:rPr>
                <w:vertAlign w:val="subscript"/>
              </w:rPr>
              <w:t>c</w:t>
            </w:r>
          </w:p>
        </w:tc>
      </w:tr>
      <w:tr w:rsidR="00777EC6" w:rsidRPr="00E611AB" w14:paraId="7005BF94"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6FC1E402" w14:textId="77777777" w:rsidR="00777EC6" w:rsidRPr="00E611AB" w:rsidRDefault="00777EC6" w:rsidP="002F5786">
            <w:pPr>
              <w:pStyle w:val="TAC"/>
            </w:pPr>
            <w:r w:rsidRPr="00E611AB">
              <w:rPr>
                <w:lang w:eastAsia="zh-CN"/>
              </w:rPr>
              <w:t>RX-TX_TIME_DIFFERENCE_1970049</w:t>
            </w:r>
          </w:p>
        </w:tc>
        <w:tc>
          <w:tcPr>
            <w:tcW w:w="3260" w:type="dxa"/>
            <w:tcBorders>
              <w:top w:val="single" w:sz="4" w:space="0" w:color="auto"/>
              <w:left w:val="single" w:sz="4" w:space="0" w:color="auto"/>
              <w:bottom w:val="single" w:sz="4" w:space="0" w:color="auto"/>
              <w:right w:val="single" w:sz="4" w:space="0" w:color="auto"/>
            </w:tcBorders>
          </w:tcPr>
          <w:p w14:paraId="7C551B9B"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rPr>
              <w:t></w:t>
            </w:r>
            <w:r w:rsidRPr="00E611AB">
              <w:rPr>
                <w:lang w:eastAsia="zh-CN"/>
              </w:rPr>
              <w:t xml:space="preserve"> T</w:t>
            </w:r>
            <w:r w:rsidRPr="00E611AB">
              <w:rPr>
                <w:vertAlign w:val="subscript"/>
                <w:lang w:eastAsia="zh-CN"/>
              </w:rPr>
              <w:t>UE Rx-Tx</w:t>
            </w:r>
          </w:p>
        </w:tc>
        <w:tc>
          <w:tcPr>
            <w:tcW w:w="1276" w:type="dxa"/>
            <w:tcBorders>
              <w:top w:val="single" w:sz="4" w:space="0" w:color="auto"/>
              <w:left w:val="single" w:sz="4" w:space="0" w:color="auto"/>
              <w:bottom w:val="single" w:sz="4" w:space="0" w:color="auto"/>
              <w:right w:val="single" w:sz="4" w:space="0" w:color="auto"/>
            </w:tcBorders>
          </w:tcPr>
          <w:p w14:paraId="68110550" w14:textId="77777777" w:rsidR="00777EC6" w:rsidRPr="00E611AB" w:rsidRDefault="00777EC6" w:rsidP="002F5786">
            <w:pPr>
              <w:pStyle w:val="TAC"/>
            </w:pPr>
            <w:r w:rsidRPr="00E611AB">
              <w:t>T</w:t>
            </w:r>
            <w:r w:rsidRPr="00E611AB">
              <w:rPr>
                <w:vertAlign w:val="subscript"/>
              </w:rPr>
              <w:t>c</w:t>
            </w:r>
          </w:p>
        </w:tc>
      </w:tr>
    </w:tbl>
    <w:p w14:paraId="279371BA" w14:textId="77777777" w:rsidR="00777EC6" w:rsidRDefault="00777EC6" w:rsidP="002F5786"/>
    <w:p w14:paraId="5E7EA1D8" w14:textId="77777777" w:rsidR="00777EC6" w:rsidRPr="00E611AB" w:rsidRDefault="00777EC6" w:rsidP="002F5786">
      <w:pPr>
        <w:pStyle w:val="TH"/>
        <w:rPr>
          <w:rFonts w:cs="Arial"/>
          <w:lang w:val="en-US" w:eastAsia="ja-JP"/>
        </w:rPr>
      </w:pPr>
      <w:r w:rsidRPr="00E611AB">
        <w:t xml:space="preserve">Table 10.1.25.3.1-2: Absolute UE Rx-Tx time difference measurement report mapping for </w:t>
      </w:r>
      <w:r w:rsidRPr="00E611AB">
        <w:rPr>
          <w:i/>
          <w:iCs/>
        </w:rPr>
        <w:t>k</w:t>
      </w:r>
      <w:r w:rsidRPr="00E611AB">
        <w:t>=1</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7"/>
        <w:gridCol w:w="3260"/>
        <w:gridCol w:w="1276"/>
      </w:tblGrid>
      <w:tr w:rsidR="00777EC6" w:rsidRPr="00E611AB" w14:paraId="7EADFD59" w14:textId="77777777" w:rsidTr="00051ED3">
        <w:trPr>
          <w:cantSplit/>
        </w:trPr>
        <w:tc>
          <w:tcPr>
            <w:tcW w:w="3827" w:type="dxa"/>
            <w:vAlign w:val="center"/>
          </w:tcPr>
          <w:p w14:paraId="3B13BAEE" w14:textId="77777777" w:rsidR="00777EC6" w:rsidRPr="00E611AB" w:rsidRDefault="00777EC6" w:rsidP="002F5786">
            <w:pPr>
              <w:pStyle w:val="TAH"/>
              <w:rPr>
                <w:lang w:eastAsia="zh-CN"/>
              </w:rPr>
            </w:pPr>
            <w:r w:rsidRPr="00E611AB">
              <w:t>Reported Quantity Value</w:t>
            </w:r>
          </w:p>
        </w:tc>
        <w:tc>
          <w:tcPr>
            <w:tcW w:w="3260" w:type="dxa"/>
            <w:vAlign w:val="center"/>
          </w:tcPr>
          <w:p w14:paraId="7EF6FFAB" w14:textId="77777777" w:rsidR="00777EC6" w:rsidRPr="00E611AB" w:rsidRDefault="00777EC6" w:rsidP="002F5786">
            <w:pPr>
              <w:pStyle w:val="TAH"/>
              <w:rPr>
                <w:lang w:eastAsia="zh-CN"/>
              </w:rPr>
            </w:pPr>
            <w:r w:rsidRPr="00E611AB">
              <w:t>Measured Quantity Value</w:t>
            </w:r>
          </w:p>
        </w:tc>
        <w:tc>
          <w:tcPr>
            <w:tcW w:w="1276" w:type="dxa"/>
            <w:vAlign w:val="center"/>
          </w:tcPr>
          <w:p w14:paraId="64BB40B3" w14:textId="77777777" w:rsidR="00777EC6" w:rsidRPr="00E611AB" w:rsidRDefault="00777EC6" w:rsidP="002F5786">
            <w:pPr>
              <w:pStyle w:val="TAH"/>
            </w:pPr>
            <w:r w:rsidRPr="00E611AB">
              <w:t>Unit</w:t>
            </w:r>
          </w:p>
        </w:tc>
      </w:tr>
      <w:tr w:rsidR="00777EC6" w:rsidRPr="00E611AB" w14:paraId="7028CAC5" w14:textId="77777777" w:rsidTr="00051ED3">
        <w:trPr>
          <w:cantSplit/>
        </w:trPr>
        <w:tc>
          <w:tcPr>
            <w:tcW w:w="3827" w:type="dxa"/>
          </w:tcPr>
          <w:p w14:paraId="73DD35DE" w14:textId="77777777" w:rsidR="00777EC6" w:rsidRPr="00E611AB" w:rsidRDefault="00777EC6" w:rsidP="002F5786">
            <w:pPr>
              <w:pStyle w:val="TAC"/>
            </w:pPr>
            <w:r w:rsidRPr="00E611AB">
              <w:rPr>
                <w:lang w:eastAsia="zh-CN"/>
              </w:rPr>
              <w:t>RX-TX_TIME_DIFFERENCE_</w:t>
            </w:r>
            <w:r w:rsidRPr="00E611AB">
              <w:t>0000</w:t>
            </w:r>
          </w:p>
        </w:tc>
        <w:tc>
          <w:tcPr>
            <w:tcW w:w="3260" w:type="dxa"/>
          </w:tcPr>
          <w:p w14:paraId="08686D47" w14:textId="77777777" w:rsidR="00777EC6" w:rsidRPr="00E611AB" w:rsidRDefault="00777EC6" w:rsidP="002F5786">
            <w:pPr>
              <w:pStyle w:val="TAC"/>
            </w:pPr>
            <w:r w:rsidRPr="00E611AB">
              <w:rPr>
                <w:lang w:eastAsia="zh-CN"/>
              </w:rPr>
              <w:t>T</w:t>
            </w:r>
            <w:r w:rsidRPr="00E611AB">
              <w:rPr>
                <w:vertAlign w:val="subscript"/>
                <w:lang w:eastAsia="zh-CN"/>
              </w:rPr>
              <w:t>UE Rx-Tx</w:t>
            </w:r>
            <w:r w:rsidRPr="00E611AB">
              <w:rPr>
                <w:lang w:eastAsia="zh-CN"/>
              </w:rPr>
              <w:t xml:space="preserve"> &lt; -985024</w:t>
            </w:r>
          </w:p>
        </w:tc>
        <w:tc>
          <w:tcPr>
            <w:tcW w:w="1276" w:type="dxa"/>
          </w:tcPr>
          <w:p w14:paraId="2934F85D" w14:textId="77777777" w:rsidR="00777EC6" w:rsidRPr="00E611AB" w:rsidRDefault="00777EC6" w:rsidP="002F5786">
            <w:pPr>
              <w:pStyle w:val="TAC"/>
            </w:pPr>
            <w:r w:rsidRPr="00E611AB">
              <w:t>T</w:t>
            </w:r>
            <w:r w:rsidRPr="00E611AB">
              <w:rPr>
                <w:vertAlign w:val="subscript"/>
              </w:rPr>
              <w:t>c</w:t>
            </w:r>
          </w:p>
        </w:tc>
      </w:tr>
      <w:tr w:rsidR="00777EC6" w:rsidRPr="00E611AB" w14:paraId="3121B4AC" w14:textId="77777777" w:rsidTr="00051ED3">
        <w:trPr>
          <w:cantSplit/>
        </w:trPr>
        <w:tc>
          <w:tcPr>
            <w:tcW w:w="3827" w:type="dxa"/>
          </w:tcPr>
          <w:p w14:paraId="67F7D03D" w14:textId="77777777" w:rsidR="00777EC6" w:rsidRPr="00E611AB" w:rsidRDefault="00777EC6" w:rsidP="002F5786">
            <w:pPr>
              <w:pStyle w:val="TAC"/>
            </w:pPr>
            <w:r w:rsidRPr="00E611AB">
              <w:rPr>
                <w:lang w:eastAsia="zh-CN"/>
              </w:rPr>
              <w:t>RX-TX_TIME_DIFFERENCE_</w:t>
            </w:r>
            <w:r w:rsidRPr="00E611AB">
              <w:t>0001</w:t>
            </w:r>
          </w:p>
        </w:tc>
        <w:tc>
          <w:tcPr>
            <w:tcW w:w="3260" w:type="dxa"/>
          </w:tcPr>
          <w:p w14:paraId="28FCAAEC"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-985022</w:t>
            </w:r>
          </w:p>
        </w:tc>
        <w:tc>
          <w:tcPr>
            <w:tcW w:w="1276" w:type="dxa"/>
          </w:tcPr>
          <w:p w14:paraId="0035F5C2" w14:textId="77777777" w:rsidR="00777EC6" w:rsidRPr="00E611AB" w:rsidRDefault="00777EC6" w:rsidP="002F5786">
            <w:pPr>
              <w:pStyle w:val="TAC"/>
            </w:pPr>
            <w:r w:rsidRPr="00E611AB">
              <w:t>T</w:t>
            </w:r>
            <w:r w:rsidRPr="00E611AB">
              <w:rPr>
                <w:vertAlign w:val="subscript"/>
              </w:rPr>
              <w:t>c</w:t>
            </w:r>
          </w:p>
        </w:tc>
      </w:tr>
      <w:tr w:rsidR="00777EC6" w:rsidRPr="00E611AB" w14:paraId="6FF8ECD1" w14:textId="77777777" w:rsidTr="00051ED3">
        <w:trPr>
          <w:cantSplit/>
        </w:trPr>
        <w:tc>
          <w:tcPr>
            <w:tcW w:w="3827" w:type="dxa"/>
          </w:tcPr>
          <w:p w14:paraId="751CEFDE" w14:textId="77777777" w:rsidR="00777EC6" w:rsidRPr="00E611AB" w:rsidRDefault="00777EC6" w:rsidP="002F5786">
            <w:pPr>
              <w:pStyle w:val="TAC"/>
            </w:pPr>
            <w:r w:rsidRPr="00E611AB">
              <w:rPr>
                <w:lang w:eastAsia="zh-CN"/>
              </w:rPr>
              <w:t>RX-TX_TIME_DIFFERENCE_</w:t>
            </w:r>
            <w:r w:rsidRPr="00E611AB">
              <w:t>0002</w:t>
            </w:r>
          </w:p>
        </w:tc>
        <w:tc>
          <w:tcPr>
            <w:tcW w:w="3260" w:type="dxa"/>
          </w:tcPr>
          <w:p w14:paraId="722B0783" w14:textId="77777777" w:rsidR="00777EC6" w:rsidRPr="00E611AB" w:rsidRDefault="00777EC6" w:rsidP="002F5786">
            <w:pPr>
              <w:pStyle w:val="TAC"/>
            </w:pPr>
            <w:r w:rsidRPr="00E611AB">
              <w:rPr>
                <w:lang w:eastAsia="zh-CN"/>
              </w:rPr>
              <w:t xml:space="preserve">-985022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-985020</w:t>
            </w:r>
          </w:p>
        </w:tc>
        <w:tc>
          <w:tcPr>
            <w:tcW w:w="1276" w:type="dxa"/>
          </w:tcPr>
          <w:p w14:paraId="77CC3422" w14:textId="77777777" w:rsidR="00777EC6" w:rsidRPr="00E611AB" w:rsidRDefault="00777EC6" w:rsidP="002F5786">
            <w:pPr>
              <w:pStyle w:val="TAC"/>
            </w:pPr>
            <w:r w:rsidRPr="00E611AB">
              <w:t>T</w:t>
            </w:r>
            <w:r w:rsidRPr="00E611AB">
              <w:rPr>
                <w:vertAlign w:val="subscript"/>
              </w:rPr>
              <w:t>c</w:t>
            </w:r>
          </w:p>
        </w:tc>
      </w:tr>
      <w:tr w:rsidR="00777EC6" w:rsidRPr="00E611AB" w14:paraId="6299AF3B" w14:textId="77777777" w:rsidTr="00051ED3">
        <w:trPr>
          <w:cantSplit/>
        </w:trPr>
        <w:tc>
          <w:tcPr>
            <w:tcW w:w="3827" w:type="dxa"/>
          </w:tcPr>
          <w:p w14:paraId="3BA2007E" w14:textId="77777777" w:rsidR="00777EC6" w:rsidRPr="00E611AB" w:rsidRDefault="00777EC6" w:rsidP="002F5786">
            <w:pPr>
              <w:pStyle w:val="TAC"/>
            </w:pPr>
            <w:r w:rsidRPr="00E611AB">
              <w:rPr>
                <w:rFonts w:ascii="Symbol" w:eastAsia="Symbol" w:hAnsi="Symbol" w:cs="Symbol"/>
              </w:rPr>
              <w:t></w:t>
            </w:r>
          </w:p>
        </w:tc>
        <w:tc>
          <w:tcPr>
            <w:tcW w:w="3260" w:type="dxa"/>
          </w:tcPr>
          <w:p w14:paraId="50F9B146" w14:textId="77777777" w:rsidR="00777EC6" w:rsidRPr="00E611AB" w:rsidRDefault="00777EC6" w:rsidP="002F5786">
            <w:pPr>
              <w:pStyle w:val="TAC"/>
            </w:pPr>
            <w:r w:rsidRPr="00E611AB">
              <w:rPr>
                <w:rFonts w:ascii="Symbol" w:eastAsia="Symbol" w:hAnsi="Symbol" w:cs="Symbol"/>
              </w:rPr>
              <w:t></w:t>
            </w:r>
          </w:p>
        </w:tc>
        <w:tc>
          <w:tcPr>
            <w:tcW w:w="1276" w:type="dxa"/>
          </w:tcPr>
          <w:p w14:paraId="1612998F" w14:textId="77777777" w:rsidR="00777EC6" w:rsidRPr="00E611AB" w:rsidRDefault="00777EC6" w:rsidP="002F5786">
            <w:pPr>
              <w:pStyle w:val="TAC"/>
            </w:pPr>
            <w:r w:rsidRPr="00E611AB">
              <w:t>…</w:t>
            </w:r>
          </w:p>
        </w:tc>
      </w:tr>
      <w:tr w:rsidR="00777EC6" w:rsidRPr="00E611AB" w14:paraId="38075543" w14:textId="77777777" w:rsidTr="00051ED3">
        <w:trPr>
          <w:cantSplit/>
        </w:trPr>
        <w:tc>
          <w:tcPr>
            <w:tcW w:w="3827" w:type="dxa"/>
          </w:tcPr>
          <w:p w14:paraId="3CE451AF" w14:textId="77777777" w:rsidR="00777EC6" w:rsidRPr="00E611AB" w:rsidRDefault="00777EC6" w:rsidP="002F5786">
            <w:pPr>
              <w:pStyle w:val="TAC"/>
            </w:pPr>
            <w:r w:rsidRPr="00E611AB">
              <w:rPr>
                <w:lang w:eastAsia="zh-CN"/>
              </w:rPr>
              <w:t>RX-TX_TIME_DIFFERENCE_492512</w:t>
            </w:r>
          </w:p>
        </w:tc>
        <w:tc>
          <w:tcPr>
            <w:tcW w:w="3260" w:type="dxa"/>
          </w:tcPr>
          <w:p w14:paraId="1E1E8BF4" w14:textId="77777777" w:rsidR="00777EC6" w:rsidRPr="00E611AB" w:rsidRDefault="00777EC6" w:rsidP="002F5786">
            <w:pPr>
              <w:pStyle w:val="TAC"/>
            </w:pPr>
            <w:r w:rsidRPr="00E611AB">
              <w:rPr>
                <w:lang w:eastAsia="zh-CN"/>
              </w:rPr>
              <w:t>-2</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0</w:t>
            </w:r>
          </w:p>
        </w:tc>
        <w:tc>
          <w:tcPr>
            <w:tcW w:w="1276" w:type="dxa"/>
          </w:tcPr>
          <w:p w14:paraId="14EBE044" w14:textId="77777777" w:rsidR="00777EC6" w:rsidRPr="00E611AB" w:rsidRDefault="00777EC6" w:rsidP="002F5786">
            <w:pPr>
              <w:pStyle w:val="TAC"/>
            </w:pPr>
            <w:r w:rsidRPr="00E611AB">
              <w:t>T</w:t>
            </w:r>
            <w:r w:rsidRPr="00E611AB">
              <w:rPr>
                <w:vertAlign w:val="subscript"/>
              </w:rPr>
              <w:t>c</w:t>
            </w:r>
          </w:p>
        </w:tc>
      </w:tr>
      <w:tr w:rsidR="00777EC6" w:rsidRPr="00E611AB" w14:paraId="1EB14A63" w14:textId="77777777" w:rsidTr="00051ED3">
        <w:trPr>
          <w:cantSplit/>
        </w:trPr>
        <w:tc>
          <w:tcPr>
            <w:tcW w:w="3827" w:type="dxa"/>
          </w:tcPr>
          <w:p w14:paraId="0C5ECCE6" w14:textId="77777777" w:rsidR="00777EC6" w:rsidRPr="00E611AB" w:rsidRDefault="00777EC6" w:rsidP="002F5786">
            <w:pPr>
              <w:pStyle w:val="TAC"/>
            </w:pPr>
            <w:r w:rsidRPr="00E611AB">
              <w:rPr>
                <w:lang w:eastAsia="zh-CN"/>
              </w:rPr>
              <w:t>RX-TX_TIME_DIFFERENCE_492513</w:t>
            </w:r>
          </w:p>
        </w:tc>
        <w:tc>
          <w:tcPr>
            <w:tcW w:w="3260" w:type="dxa"/>
          </w:tcPr>
          <w:p w14:paraId="2BE75A10" w14:textId="77777777" w:rsidR="00777EC6" w:rsidRPr="00E611AB" w:rsidRDefault="00777EC6" w:rsidP="002F5786">
            <w:pPr>
              <w:pStyle w:val="TAC"/>
            </w:pPr>
            <w:r w:rsidRPr="00E611AB">
              <w:rPr>
                <w:lang w:eastAsia="zh-CN"/>
              </w:rPr>
              <w:t>0</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2</w:t>
            </w:r>
          </w:p>
        </w:tc>
        <w:tc>
          <w:tcPr>
            <w:tcW w:w="1276" w:type="dxa"/>
          </w:tcPr>
          <w:p w14:paraId="6576EEBA" w14:textId="77777777" w:rsidR="00777EC6" w:rsidRPr="00E611AB" w:rsidRDefault="00777EC6" w:rsidP="002F5786">
            <w:pPr>
              <w:pStyle w:val="TAC"/>
            </w:pPr>
            <w:r w:rsidRPr="00E611AB">
              <w:t>T</w:t>
            </w:r>
            <w:r w:rsidRPr="00E611AB">
              <w:rPr>
                <w:vertAlign w:val="subscript"/>
              </w:rPr>
              <w:t>c</w:t>
            </w:r>
          </w:p>
        </w:tc>
      </w:tr>
      <w:tr w:rsidR="00777EC6" w:rsidRPr="00E611AB" w14:paraId="44DE1F42"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127F7243" w14:textId="77777777" w:rsidR="00777EC6" w:rsidRPr="00E611AB" w:rsidRDefault="00777EC6" w:rsidP="002F5786">
            <w:pPr>
              <w:pStyle w:val="TAC"/>
            </w:pPr>
            <w:r w:rsidRPr="00E611AB">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3E4F33F4" w14:textId="77777777" w:rsidR="00777EC6" w:rsidRPr="00E611AB" w:rsidRDefault="00777EC6" w:rsidP="002F5786">
            <w:pPr>
              <w:pStyle w:val="TAC"/>
            </w:pPr>
            <w:r w:rsidRPr="00E611AB">
              <w:rPr>
                <w:lang w:eastAsia="zh-CN"/>
              </w:rPr>
              <w:t>…</w:t>
            </w:r>
          </w:p>
        </w:tc>
        <w:tc>
          <w:tcPr>
            <w:tcW w:w="1276" w:type="dxa"/>
            <w:tcBorders>
              <w:top w:val="single" w:sz="4" w:space="0" w:color="auto"/>
              <w:left w:val="single" w:sz="4" w:space="0" w:color="auto"/>
              <w:bottom w:val="single" w:sz="4" w:space="0" w:color="auto"/>
              <w:right w:val="single" w:sz="4" w:space="0" w:color="auto"/>
            </w:tcBorders>
          </w:tcPr>
          <w:p w14:paraId="7F88F9A5" w14:textId="77777777" w:rsidR="00777EC6" w:rsidRPr="00E611AB" w:rsidRDefault="00777EC6" w:rsidP="002F5786">
            <w:pPr>
              <w:pStyle w:val="TAC"/>
            </w:pPr>
            <w:r w:rsidRPr="00E611AB">
              <w:t>…</w:t>
            </w:r>
          </w:p>
        </w:tc>
      </w:tr>
      <w:tr w:rsidR="00777EC6" w:rsidRPr="00E611AB" w14:paraId="33EAA4E2"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18620B9C" w14:textId="77777777" w:rsidR="00777EC6" w:rsidRPr="00E611AB" w:rsidRDefault="00777EC6" w:rsidP="002F5786">
            <w:pPr>
              <w:pStyle w:val="TAC"/>
            </w:pPr>
            <w:r w:rsidRPr="00E611AB">
              <w:rPr>
                <w:lang w:eastAsia="zh-CN"/>
              </w:rPr>
              <w:t>RX-TX_TIME_DIFFERENCE_</w:t>
            </w:r>
            <w:r w:rsidRPr="00E611AB">
              <w:rPr>
                <w:bCs/>
                <w:lang w:eastAsia="zh-CN"/>
              </w:rPr>
              <w:t>985023</w:t>
            </w:r>
          </w:p>
        </w:tc>
        <w:tc>
          <w:tcPr>
            <w:tcW w:w="3260" w:type="dxa"/>
            <w:tcBorders>
              <w:top w:val="single" w:sz="4" w:space="0" w:color="auto"/>
              <w:left w:val="single" w:sz="4" w:space="0" w:color="auto"/>
              <w:bottom w:val="single" w:sz="4" w:space="0" w:color="auto"/>
              <w:right w:val="single" w:sz="4" w:space="0" w:color="auto"/>
            </w:tcBorders>
          </w:tcPr>
          <w:p w14:paraId="046410FB" w14:textId="77777777" w:rsidR="00777EC6" w:rsidRPr="00E611AB" w:rsidRDefault="00777EC6" w:rsidP="002F5786">
            <w:pPr>
              <w:pStyle w:val="TAC"/>
            </w:pPr>
            <w:r w:rsidRPr="00E611AB">
              <w:rPr>
                <w:lang w:eastAsia="zh-CN"/>
              </w:rPr>
              <w:t xml:space="preserve">985020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985022</w:t>
            </w:r>
          </w:p>
        </w:tc>
        <w:tc>
          <w:tcPr>
            <w:tcW w:w="1276" w:type="dxa"/>
            <w:tcBorders>
              <w:top w:val="single" w:sz="4" w:space="0" w:color="auto"/>
              <w:left w:val="single" w:sz="4" w:space="0" w:color="auto"/>
              <w:bottom w:val="single" w:sz="4" w:space="0" w:color="auto"/>
              <w:right w:val="single" w:sz="4" w:space="0" w:color="auto"/>
            </w:tcBorders>
          </w:tcPr>
          <w:p w14:paraId="0DEC0E3B" w14:textId="77777777" w:rsidR="00777EC6" w:rsidRPr="00E611AB" w:rsidRDefault="00777EC6" w:rsidP="002F5786">
            <w:pPr>
              <w:pStyle w:val="TAC"/>
            </w:pPr>
            <w:r w:rsidRPr="00E611AB">
              <w:t>T</w:t>
            </w:r>
            <w:r w:rsidRPr="00E611AB">
              <w:rPr>
                <w:vertAlign w:val="subscript"/>
              </w:rPr>
              <w:t>c</w:t>
            </w:r>
          </w:p>
        </w:tc>
      </w:tr>
      <w:tr w:rsidR="00777EC6" w:rsidRPr="00E611AB" w14:paraId="328C027A"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4BC43576" w14:textId="77777777" w:rsidR="00777EC6" w:rsidRPr="00E611AB" w:rsidRDefault="00777EC6" w:rsidP="002F5786">
            <w:pPr>
              <w:pStyle w:val="TAC"/>
            </w:pPr>
            <w:r w:rsidRPr="00E611AB">
              <w:rPr>
                <w:lang w:eastAsia="zh-CN"/>
              </w:rPr>
              <w:t>RX-TX_TIME_DIFFERENCE_</w:t>
            </w:r>
            <w:r w:rsidRPr="00E611AB">
              <w:rPr>
                <w:bCs/>
                <w:lang w:eastAsia="zh-CN"/>
              </w:rPr>
              <w:t>985024</w:t>
            </w:r>
          </w:p>
        </w:tc>
        <w:tc>
          <w:tcPr>
            <w:tcW w:w="3260" w:type="dxa"/>
            <w:tcBorders>
              <w:top w:val="single" w:sz="4" w:space="0" w:color="auto"/>
              <w:left w:val="single" w:sz="4" w:space="0" w:color="auto"/>
              <w:bottom w:val="single" w:sz="4" w:space="0" w:color="auto"/>
              <w:right w:val="single" w:sz="4" w:space="0" w:color="auto"/>
            </w:tcBorders>
          </w:tcPr>
          <w:p w14:paraId="4143D505" w14:textId="77777777" w:rsidR="00777EC6" w:rsidRPr="00E611AB" w:rsidRDefault="00777EC6" w:rsidP="002F5786">
            <w:pPr>
              <w:pStyle w:val="TAC"/>
            </w:pPr>
            <w:r w:rsidRPr="00E611AB">
              <w:rPr>
                <w:lang w:eastAsia="zh-CN"/>
              </w:rPr>
              <w:t xml:space="preserve">985022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985024</w:t>
            </w:r>
          </w:p>
        </w:tc>
        <w:tc>
          <w:tcPr>
            <w:tcW w:w="1276" w:type="dxa"/>
            <w:tcBorders>
              <w:top w:val="single" w:sz="4" w:space="0" w:color="auto"/>
              <w:left w:val="single" w:sz="4" w:space="0" w:color="auto"/>
              <w:bottom w:val="single" w:sz="4" w:space="0" w:color="auto"/>
              <w:right w:val="single" w:sz="4" w:space="0" w:color="auto"/>
            </w:tcBorders>
          </w:tcPr>
          <w:p w14:paraId="625002E5" w14:textId="77777777" w:rsidR="00777EC6" w:rsidRPr="00E611AB" w:rsidRDefault="00777EC6" w:rsidP="002F5786">
            <w:pPr>
              <w:pStyle w:val="TAC"/>
            </w:pPr>
            <w:r w:rsidRPr="00E611AB">
              <w:t>T</w:t>
            </w:r>
            <w:r w:rsidRPr="00E611AB">
              <w:rPr>
                <w:vertAlign w:val="subscript"/>
              </w:rPr>
              <w:t>c</w:t>
            </w:r>
          </w:p>
        </w:tc>
      </w:tr>
      <w:tr w:rsidR="00777EC6" w:rsidRPr="00E611AB" w14:paraId="3F9B223F"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4047E2C1" w14:textId="77777777" w:rsidR="00777EC6" w:rsidRPr="00E611AB" w:rsidRDefault="00777EC6" w:rsidP="002F5786">
            <w:pPr>
              <w:pStyle w:val="TAC"/>
            </w:pPr>
            <w:r w:rsidRPr="00E611AB">
              <w:rPr>
                <w:lang w:eastAsia="zh-CN"/>
              </w:rPr>
              <w:t>RX-TX_TIME_DIFFERENCE_</w:t>
            </w:r>
            <w:r w:rsidRPr="00E611AB">
              <w:rPr>
                <w:bCs/>
                <w:lang w:eastAsia="zh-CN"/>
              </w:rPr>
              <w:t>985025</w:t>
            </w:r>
          </w:p>
        </w:tc>
        <w:tc>
          <w:tcPr>
            <w:tcW w:w="3260" w:type="dxa"/>
            <w:tcBorders>
              <w:top w:val="single" w:sz="4" w:space="0" w:color="auto"/>
              <w:left w:val="single" w:sz="4" w:space="0" w:color="auto"/>
              <w:bottom w:val="single" w:sz="4" w:space="0" w:color="auto"/>
              <w:right w:val="single" w:sz="4" w:space="0" w:color="auto"/>
            </w:tcBorders>
          </w:tcPr>
          <w:p w14:paraId="20D2D730"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rPr>
              <w:t></w:t>
            </w:r>
            <w:r w:rsidRPr="00E611AB">
              <w:rPr>
                <w:lang w:eastAsia="zh-CN"/>
              </w:rPr>
              <w:t xml:space="preserve"> T</w:t>
            </w:r>
            <w:r w:rsidRPr="00E611AB">
              <w:rPr>
                <w:vertAlign w:val="subscript"/>
                <w:lang w:eastAsia="zh-CN"/>
              </w:rPr>
              <w:t>UE Rx-Tx</w:t>
            </w:r>
          </w:p>
        </w:tc>
        <w:tc>
          <w:tcPr>
            <w:tcW w:w="1276" w:type="dxa"/>
            <w:tcBorders>
              <w:top w:val="single" w:sz="4" w:space="0" w:color="auto"/>
              <w:left w:val="single" w:sz="4" w:space="0" w:color="auto"/>
              <w:bottom w:val="single" w:sz="4" w:space="0" w:color="auto"/>
              <w:right w:val="single" w:sz="4" w:space="0" w:color="auto"/>
            </w:tcBorders>
          </w:tcPr>
          <w:p w14:paraId="53961471" w14:textId="77777777" w:rsidR="00777EC6" w:rsidRPr="00E611AB" w:rsidRDefault="00777EC6" w:rsidP="002F5786">
            <w:pPr>
              <w:pStyle w:val="TAC"/>
            </w:pPr>
            <w:r w:rsidRPr="00E611AB">
              <w:t>T</w:t>
            </w:r>
            <w:r w:rsidRPr="00E611AB">
              <w:rPr>
                <w:vertAlign w:val="subscript"/>
              </w:rPr>
              <w:t>c</w:t>
            </w:r>
          </w:p>
        </w:tc>
      </w:tr>
    </w:tbl>
    <w:p w14:paraId="3D7D93A4" w14:textId="77777777" w:rsidR="00777EC6" w:rsidRDefault="00777EC6" w:rsidP="002F5786"/>
    <w:p w14:paraId="1595E2BB" w14:textId="77777777" w:rsidR="00777EC6" w:rsidRPr="00E611AB" w:rsidRDefault="00777EC6" w:rsidP="002F5786">
      <w:pPr>
        <w:pStyle w:val="TH"/>
        <w:rPr>
          <w:rFonts w:cs="Arial"/>
          <w:lang w:val="en-US" w:eastAsia="ja-JP"/>
        </w:rPr>
      </w:pPr>
      <w:r w:rsidRPr="00E611AB">
        <w:t xml:space="preserve">Table 10.1.25.3.1-3: Absolute UE Rx-Tx time difference measurement report mapping for </w:t>
      </w:r>
      <w:r w:rsidRPr="00E611AB">
        <w:rPr>
          <w:i/>
          <w:iCs/>
        </w:rPr>
        <w:t>k</w:t>
      </w:r>
      <w:r w:rsidRPr="00E611AB">
        <w:t>=2</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7"/>
        <w:gridCol w:w="3260"/>
        <w:gridCol w:w="1276"/>
      </w:tblGrid>
      <w:tr w:rsidR="00777EC6" w:rsidRPr="00E611AB" w14:paraId="44FE7688" w14:textId="77777777" w:rsidTr="00051ED3">
        <w:trPr>
          <w:cantSplit/>
        </w:trPr>
        <w:tc>
          <w:tcPr>
            <w:tcW w:w="3827" w:type="dxa"/>
            <w:vAlign w:val="center"/>
          </w:tcPr>
          <w:p w14:paraId="3227E5D8" w14:textId="77777777" w:rsidR="00777EC6" w:rsidRPr="00E611AB" w:rsidRDefault="00777EC6" w:rsidP="002F5786">
            <w:pPr>
              <w:pStyle w:val="TAH"/>
              <w:rPr>
                <w:lang w:eastAsia="zh-CN"/>
              </w:rPr>
            </w:pPr>
            <w:r w:rsidRPr="00E611AB">
              <w:t>Reported Quantity Value</w:t>
            </w:r>
          </w:p>
        </w:tc>
        <w:tc>
          <w:tcPr>
            <w:tcW w:w="3260" w:type="dxa"/>
            <w:vAlign w:val="center"/>
          </w:tcPr>
          <w:p w14:paraId="3FA95501" w14:textId="77777777" w:rsidR="00777EC6" w:rsidRPr="00E611AB" w:rsidRDefault="00777EC6" w:rsidP="002F5786">
            <w:pPr>
              <w:pStyle w:val="TAH"/>
              <w:rPr>
                <w:lang w:eastAsia="zh-CN"/>
              </w:rPr>
            </w:pPr>
            <w:r w:rsidRPr="00E611AB">
              <w:t>Measured Quantity Value</w:t>
            </w:r>
          </w:p>
        </w:tc>
        <w:tc>
          <w:tcPr>
            <w:tcW w:w="1276" w:type="dxa"/>
            <w:vAlign w:val="center"/>
          </w:tcPr>
          <w:p w14:paraId="5E2ED06B" w14:textId="77777777" w:rsidR="00777EC6" w:rsidRPr="00E611AB" w:rsidRDefault="00777EC6" w:rsidP="002F5786">
            <w:pPr>
              <w:pStyle w:val="TAH"/>
            </w:pPr>
            <w:r w:rsidRPr="00E611AB">
              <w:t>Unit</w:t>
            </w:r>
          </w:p>
        </w:tc>
      </w:tr>
      <w:tr w:rsidR="00777EC6" w:rsidRPr="00E611AB" w14:paraId="6802172D" w14:textId="77777777" w:rsidTr="00051ED3">
        <w:trPr>
          <w:cantSplit/>
        </w:trPr>
        <w:tc>
          <w:tcPr>
            <w:tcW w:w="3827" w:type="dxa"/>
          </w:tcPr>
          <w:p w14:paraId="71161B31" w14:textId="77777777" w:rsidR="00777EC6" w:rsidRPr="00E611AB" w:rsidRDefault="00777EC6" w:rsidP="002F5786">
            <w:pPr>
              <w:pStyle w:val="TAC"/>
            </w:pPr>
            <w:r w:rsidRPr="00E611AB">
              <w:rPr>
                <w:lang w:eastAsia="zh-CN"/>
              </w:rPr>
              <w:t>RX-TX_TIME_DIFFERENCE_</w:t>
            </w:r>
            <w:r w:rsidRPr="00E611AB">
              <w:t>0000</w:t>
            </w:r>
          </w:p>
        </w:tc>
        <w:tc>
          <w:tcPr>
            <w:tcW w:w="3260" w:type="dxa"/>
          </w:tcPr>
          <w:p w14:paraId="781E1431" w14:textId="77777777" w:rsidR="00777EC6" w:rsidRPr="00E611AB" w:rsidRDefault="00777EC6" w:rsidP="002F5786">
            <w:pPr>
              <w:pStyle w:val="TAC"/>
            </w:pPr>
            <w:r w:rsidRPr="00E611AB">
              <w:rPr>
                <w:lang w:eastAsia="zh-CN"/>
              </w:rPr>
              <w:t>T</w:t>
            </w:r>
            <w:r w:rsidRPr="00E611AB">
              <w:rPr>
                <w:vertAlign w:val="subscript"/>
                <w:lang w:eastAsia="zh-CN"/>
              </w:rPr>
              <w:t>UE Rx-Tx</w:t>
            </w:r>
            <w:r w:rsidRPr="00E611AB">
              <w:rPr>
                <w:lang w:eastAsia="zh-CN"/>
              </w:rPr>
              <w:t xml:space="preserve"> &lt; -985024</w:t>
            </w:r>
          </w:p>
        </w:tc>
        <w:tc>
          <w:tcPr>
            <w:tcW w:w="1276" w:type="dxa"/>
          </w:tcPr>
          <w:p w14:paraId="34F9A37F" w14:textId="77777777" w:rsidR="00777EC6" w:rsidRPr="00E611AB" w:rsidRDefault="00777EC6" w:rsidP="002F5786">
            <w:pPr>
              <w:pStyle w:val="TAC"/>
            </w:pPr>
            <w:r w:rsidRPr="00E611AB">
              <w:t>T</w:t>
            </w:r>
            <w:r w:rsidRPr="00E611AB">
              <w:rPr>
                <w:vertAlign w:val="subscript"/>
              </w:rPr>
              <w:t>c</w:t>
            </w:r>
          </w:p>
        </w:tc>
      </w:tr>
      <w:tr w:rsidR="00777EC6" w:rsidRPr="00E611AB" w14:paraId="4F4317F1" w14:textId="77777777" w:rsidTr="00051ED3">
        <w:trPr>
          <w:cantSplit/>
        </w:trPr>
        <w:tc>
          <w:tcPr>
            <w:tcW w:w="3827" w:type="dxa"/>
          </w:tcPr>
          <w:p w14:paraId="33400399" w14:textId="77777777" w:rsidR="00777EC6" w:rsidRPr="00E611AB" w:rsidRDefault="00777EC6" w:rsidP="002F5786">
            <w:pPr>
              <w:pStyle w:val="TAC"/>
            </w:pPr>
            <w:r w:rsidRPr="00E611AB">
              <w:rPr>
                <w:lang w:eastAsia="zh-CN"/>
              </w:rPr>
              <w:t>RX-TX_TIME_DIFFERENCE_</w:t>
            </w:r>
            <w:r w:rsidRPr="00E611AB">
              <w:t>0001</w:t>
            </w:r>
          </w:p>
        </w:tc>
        <w:tc>
          <w:tcPr>
            <w:tcW w:w="3260" w:type="dxa"/>
          </w:tcPr>
          <w:p w14:paraId="39D6CDCA"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-985020</w:t>
            </w:r>
          </w:p>
        </w:tc>
        <w:tc>
          <w:tcPr>
            <w:tcW w:w="1276" w:type="dxa"/>
          </w:tcPr>
          <w:p w14:paraId="00A1839F" w14:textId="77777777" w:rsidR="00777EC6" w:rsidRPr="00E611AB" w:rsidRDefault="00777EC6" w:rsidP="002F5786">
            <w:pPr>
              <w:pStyle w:val="TAC"/>
            </w:pPr>
            <w:r w:rsidRPr="00E611AB">
              <w:t>T</w:t>
            </w:r>
            <w:r w:rsidRPr="00E611AB">
              <w:rPr>
                <w:vertAlign w:val="subscript"/>
              </w:rPr>
              <w:t>c</w:t>
            </w:r>
          </w:p>
        </w:tc>
      </w:tr>
      <w:tr w:rsidR="00777EC6" w:rsidRPr="00E611AB" w14:paraId="30B927C7" w14:textId="77777777" w:rsidTr="00051ED3">
        <w:trPr>
          <w:cantSplit/>
        </w:trPr>
        <w:tc>
          <w:tcPr>
            <w:tcW w:w="3827" w:type="dxa"/>
          </w:tcPr>
          <w:p w14:paraId="5BFA66B2" w14:textId="77777777" w:rsidR="00777EC6" w:rsidRPr="00E611AB" w:rsidRDefault="00777EC6" w:rsidP="002F5786">
            <w:pPr>
              <w:pStyle w:val="TAC"/>
            </w:pPr>
            <w:r w:rsidRPr="00E611AB">
              <w:rPr>
                <w:lang w:eastAsia="zh-CN"/>
              </w:rPr>
              <w:t>RX-TX_TIME_DIFFERENCE_</w:t>
            </w:r>
            <w:r w:rsidRPr="00E611AB">
              <w:t>0002</w:t>
            </w:r>
          </w:p>
        </w:tc>
        <w:tc>
          <w:tcPr>
            <w:tcW w:w="3260" w:type="dxa"/>
          </w:tcPr>
          <w:p w14:paraId="3042A06B" w14:textId="77777777" w:rsidR="00777EC6" w:rsidRPr="00E611AB" w:rsidRDefault="00777EC6" w:rsidP="002F5786">
            <w:pPr>
              <w:pStyle w:val="TAC"/>
            </w:pPr>
            <w:r w:rsidRPr="00E611AB">
              <w:rPr>
                <w:lang w:eastAsia="zh-CN"/>
              </w:rPr>
              <w:t xml:space="preserve">-985020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-985016</w:t>
            </w:r>
          </w:p>
        </w:tc>
        <w:tc>
          <w:tcPr>
            <w:tcW w:w="1276" w:type="dxa"/>
          </w:tcPr>
          <w:p w14:paraId="0710F5FA" w14:textId="77777777" w:rsidR="00777EC6" w:rsidRPr="00E611AB" w:rsidRDefault="00777EC6" w:rsidP="002F5786">
            <w:pPr>
              <w:pStyle w:val="TAC"/>
            </w:pPr>
            <w:r w:rsidRPr="00E611AB">
              <w:t>T</w:t>
            </w:r>
            <w:r w:rsidRPr="00E611AB">
              <w:rPr>
                <w:vertAlign w:val="subscript"/>
              </w:rPr>
              <w:t>c</w:t>
            </w:r>
          </w:p>
        </w:tc>
      </w:tr>
      <w:tr w:rsidR="00777EC6" w:rsidRPr="00E611AB" w14:paraId="5FE4B166" w14:textId="77777777" w:rsidTr="00051ED3">
        <w:trPr>
          <w:cantSplit/>
        </w:trPr>
        <w:tc>
          <w:tcPr>
            <w:tcW w:w="3827" w:type="dxa"/>
          </w:tcPr>
          <w:p w14:paraId="4A37BA5C" w14:textId="77777777" w:rsidR="00777EC6" w:rsidRPr="00E611AB" w:rsidRDefault="00777EC6" w:rsidP="002F5786">
            <w:pPr>
              <w:pStyle w:val="TAC"/>
            </w:pPr>
            <w:r w:rsidRPr="00E611AB">
              <w:rPr>
                <w:rFonts w:ascii="Symbol" w:eastAsia="Symbol" w:hAnsi="Symbol" w:cs="Symbol"/>
              </w:rPr>
              <w:t></w:t>
            </w:r>
          </w:p>
        </w:tc>
        <w:tc>
          <w:tcPr>
            <w:tcW w:w="3260" w:type="dxa"/>
          </w:tcPr>
          <w:p w14:paraId="56F536AF" w14:textId="77777777" w:rsidR="00777EC6" w:rsidRPr="00E611AB" w:rsidRDefault="00777EC6" w:rsidP="002F5786">
            <w:pPr>
              <w:pStyle w:val="TAC"/>
            </w:pPr>
            <w:r w:rsidRPr="00E611AB">
              <w:rPr>
                <w:rFonts w:ascii="Symbol" w:eastAsia="Symbol" w:hAnsi="Symbol" w:cs="Symbol"/>
              </w:rPr>
              <w:t></w:t>
            </w:r>
          </w:p>
        </w:tc>
        <w:tc>
          <w:tcPr>
            <w:tcW w:w="1276" w:type="dxa"/>
          </w:tcPr>
          <w:p w14:paraId="183FBA8F" w14:textId="77777777" w:rsidR="00777EC6" w:rsidRPr="00E611AB" w:rsidRDefault="00777EC6" w:rsidP="002F5786">
            <w:pPr>
              <w:pStyle w:val="TAC"/>
            </w:pPr>
            <w:r w:rsidRPr="00E611AB">
              <w:t>…</w:t>
            </w:r>
          </w:p>
        </w:tc>
      </w:tr>
      <w:tr w:rsidR="00777EC6" w:rsidRPr="00E611AB" w14:paraId="1764EEBA" w14:textId="77777777" w:rsidTr="00051ED3">
        <w:trPr>
          <w:cantSplit/>
        </w:trPr>
        <w:tc>
          <w:tcPr>
            <w:tcW w:w="3827" w:type="dxa"/>
          </w:tcPr>
          <w:p w14:paraId="637691C2" w14:textId="77777777" w:rsidR="00777EC6" w:rsidRPr="00E611AB" w:rsidRDefault="00777EC6" w:rsidP="002F5786">
            <w:pPr>
              <w:pStyle w:val="TAC"/>
            </w:pPr>
            <w:r w:rsidRPr="00E611AB">
              <w:rPr>
                <w:lang w:eastAsia="zh-CN"/>
              </w:rPr>
              <w:t>RX-TX_TIME_DIFFERENCE_246256</w:t>
            </w:r>
          </w:p>
        </w:tc>
        <w:tc>
          <w:tcPr>
            <w:tcW w:w="3260" w:type="dxa"/>
          </w:tcPr>
          <w:p w14:paraId="56C2BB68" w14:textId="77777777" w:rsidR="00777EC6" w:rsidRPr="00E611AB" w:rsidRDefault="00777EC6" w:rsidP="002F5786">
            <w:pPr>
              <w:pStyle w:val="TAC"/>
            </w:pPr>
            <w:r w:rsidRPr="00E611AB">
              <w:rPr>
                <w:lang w:eastAsia="zh-CN"/>
              </w:rPr>
              <w:t>-4</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0</w:t>
            </w:r>
          </w:p>
        </w:tc>
        <w:tc>
          <w:tcPr>
            <w:tcW w:w="1276" w:type="dxa"/>
          </w:tcPr>
          <w:p w14:paraId="079C6F42" w14:textId="77777777" w:rsidR="00777EC6" w:rsidRPr="00E611AB" w:rsidRDefault="00777EC6" w:rsidP="002F5786">
            <w:pPr>
              <w:pStyle w:val="TAC"/>
            </w:pPr>
            <w:r w:rsidRPr="00E611AB">
              <w:t>T</w:t>
            </w:r>
            <w:r w:rsidRPr="00E611AB">
              <w:rPr>
                <w:vertAlign w:val="subscript"/>
              </w:rPr>
              <w:t>c</w:t>
            </w:r>
          </w:p>
        </w:tc>
      </w:tr>
      <w:tr w:rsidR="00777EC6" w:rsidRPr="00E611AB" w14:paraId="365C5782" w14:textId="77777777" w:rsidTr="00051ED3">
        <w:trPr>
          <w:cantSplit/>
        </w:trPr>
        <w:tc>
          <w:tcPr>
            <w:tcW w:w="3827" w:type="dxa"/>
          </w:tcPr>
          <w:p w14:paraId="16270E72" w14:textId="77777777" w:rsidR="00777EC6" w:rsidRPr="00E611AB" w:rsidRDefault="00777EC6" w:rsidP="002F5786">
            <w:pPr>
              <w:pStyle w:val="TAC"/>
            </w:pPr>
            <w:r w:rsidRPr="00E611AB">
              <w:rPr>
                <w:lang w:eastAsia="zh-CN"/>
              </w:rPr>
              <w:t>RX-TX_TIME_DIFFERENCE_246257</w:t>
            </w:r>
          </w:p>
        </w:tc>
        <w:tc>
          <w:tcPr>
            <w:tcW w:w="3260" w:type="dxa"/>
          </w:tcPr>
          <w:p w14:paraId="7361D9B8" w14:textId="77777777" w:rsidR="00777EC6" w:rsidRPr="00E611AB" w:rsidRDefault="00777EC6" w:rsidP="002F5786">
            <w:pPr>
              <w:pStyle w:val="TAC"/>
            </w:pPr>
            <w:r w:rsidRPr="00E611AB">
              <w:rPr>
                <w:lang w:eastAsia="zh-CN"/>
              </w:rPr>
              <w:t>0</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4</w:t>
            </w:r>
          </w:p>
        </w:tc>
        <w:tc>
          <w:tcPr>
            <w:tcW w:w="1276" w:type="dxa"/>
          </w:tcPr>
          <w:p w14:paraId="0BEA4B6D" w14:textId="77777777" w:rsidR="00777EC6" w:rsidRPr="00E611AB" w:rsidRDefault="00777EC6" w:rsidP="002F5786">
            <w:pPr>
              <w:pStyle w:val="TAC"/>
            </w:pPr>
            <w:r w:rsidRPr="00E611AB">
              <w:t>T</w:t>
            </w:r>
            <w:r w:rsidRPr="00E611AB">
              <w:rPr>
                <w:vertAlign w:val="subscript"/>
              </w:rPr>
              <w:t>c</w:t>
            </w:r>
          </w:p>
        </w:tc>
      </w:tr>
      <w:tr w:rsidR="00777EC6" w:rsidRPr="00E611AB" w14:paraId="4BF81939"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0F95F7F0" w14:textId="77777777" w:rsidR="00777EC6" w:rsidRPr="00E611AB" w:rsidRDefault="00777EC6" w:rsidP="002F5786">
            <w:pPr>
              <w:pStyle w:val="TAC"/>
            </w:pPr>
            <w:r w:rsidRPr="00E611AB">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07556046" w14:textId="77777777" w:rsidR="00777EC6" w:rsidRPr="00E611AB" w:rsidRDefault="00777EC6" w:rsidP="002F5786">
            <w:pPr>
              <w:pStyle w:val="TAC"/>
            </w:pPr>
            <w:r w:rsidRPr="00E611AB">
              <w:rPr>
                <w:lang w:eastAsia="zh-CN"/>
              </w:rPr>
              <w:t>…</w:t>
            </w:r>
          </w:p>
        </w:tc>
        <w:tc>
          <w:tcPr>
            <w:tcW w:w="1276" w:type="dxa"/>
            <w:tcBorders>
              <w:top w:val="single" w:sz="4" w:space="0" w:color="auto"/>
              <w:left w:val="single" w:sz="4" w:space="0" w:color="auto"/>
              <w:bottom w:val="single" w:sz="4" w:space="0" w:color="auto"/>
              <w:right w:val="single" w:sz="4" w:space="0" w:color="auto"/>
            </w:tcBorders>
          </w:tcPr>
          <w:p w14:paraId="715B05BD" w14:textId="77777777" w:rsidR="00777EC6" w:rsidRPr="00E611AB" w:rsidRDefault="00777EC6" w:rsidP="002F5786">
            <w:pPr>
              <w:pStyle w:val="TAC"/>
            </w:pPr>
            <w:r w:rsidRPr="00E611AB">
              <w:t>…</w:t>
            </w:r>
          </w:p>
        </w:tc>
      </w:tr>
      <w:tr w:rsidR="00777EC6" w:rsidRPr="00E611AB" w14:paraId="748C5AED"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07EC7966" w14:textId="77777777" w:rsidR="00777EC6" w:rsidRPr="00E611AB" w:rsidRDefault="00777EC6" w:rsidP="002F5786">
            <w:pPr>
              <w:pStyle w:val="TAC"/>
            </w:pPr>
            <w:r w:rsidRPr="00E611AB">
              <w:rPr>
                <w:lang w:eastAsia="zh-CN"/>
              </w:rPr>
              <w:t>RX-TX_TIME_DIFFERENCE_</w:t>
            </w:r>
            <w:r w:rsidRPr="00E611AB">
              <w:rPr>
                <w:bCs/>
                <w:lang w:eastAsia="zh-CN"/>
              </w:rPr>
              <w:t>492511</w:t>
            </w:r>
          </w:p>
        </w:tc>
        <w:tc>
          <w:tcPr>
            <w:tcW w:w="3260" w:type="dxa"/>
            <w:tcBorders>
              <w:top w:val="single" w:sz="4" w:space="0" w:color="auto"/>
              <w:left w:val="single" w:sz="4" w:space="0" w:color="auto"/>
              <w:bottom w:val="single" w:sz="4" w:space="0" w:color="auto"/>
              <w:right w:val="single" w:sz="4" w:space="0" w:color="auto"/>
            </w:tcBorders>
          </w:tcPr>
          <w:p w14:paraId="15FA01CB" w14:textId="77777777" w:rsidR="00777EC6" w:rsidRPr="00E611AB" w:rsidRDefault="00777EC6" w:rsidP="002F5786">
            <w:pPr>
              <w:pStyle w:val="TAC"/>
            </w:pPr>
            <w:r w:rsidRPr="00E611AB">
              <w:rPr>
                <w:lang w:eastAsia="zh-CN"/>
              </w:rPr>
              <w:t xml:space="preserve">985016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985020</w:t>
            </w:r>
          </w:p>
        </w:tc>
        <w:tc>
          <w:tcPr>
            <w:tcW w:w="1276" w:type="dxa"/>
            <w:tcBorders>
              <w:top w:val="single" w:sz="4" w:space="0" w:color="auto"/>
              <w:left w:val="single" w:sz="4" w:space="0" w:color="auto"/>
              <w:bottom w:val="single" w:sz="4" w:space="0" w:color="auto"/>
              <w:right w:val="single" w:sz="4" w:space="0" w:color="auto"/>
            </w:tcBorders>
          </w:tcPr>
          <w:p w14:paraId="33238404" w14:textId="77777777" w:rsidR="00777EC6" w:rsidRPr="00E611AB" w:rsidRDefault="00777EC6" w:rsidP="002F5786">
            <w:pPr>
              <w:pStyle w:val="TAC"/>
            </w:pPr>
            <w:r w:rsidRPr="00E611AB">
              <w:t>T</w:t>
            </w:r>
            <w:r w:rsidRPr="00E611AB">
              <w:rPr>
                <w:vertAlign w:val="subscript"/>
              </w:rPr>
              <w:t>c</w:t>
            </w:r>
          </w:p>
        </w:tc>
      </w:tr>
      <w:tr w:rsidR="00777EC6" w:rsidRPr="00E611AB" w14:paraId="03FF69F0"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47892F42" w14:textId="77777777" w:rsidR="00777EC6" w:rsidRPr="00E611AB" w:rsidRDefault="00777EC6" w:rsidP="002F5786">
            <w:pPr>
              <w:pStyle w:val="TAC"/>
            </w:pPr>
            <w:r w:rsidRPr="00E611AB">
              <w:rPr>
                <w:lang w:eastAsia="zh-CN"/>
              </w:rPr>
              <w:t>RX-TX_TIME_DIFFERENCE_</w:t>
            </w:r>
            <w:r w:rsidRPr="00E611AB">
              <w:rPr>
                <w:bCs/>
                <w:lang w:eastAsia="zh-CN"/>
              </w:rPr>
              <w:t>492512</w:t>
            </w:r>
          </w:p>
        </w:tc>
        <w:tc>
          <w:tcPr>
            <w:tcW w:w="3260" w:type="dxa"/>
            <w:tcBorders>
              <w:top w:val="single" w:sz="4" w:space="0" w:color="auto"/>
              <w:left w:val="single" w:sz="4" w:space="0" w:color="auto"/>
              <w:bottom w:val="single" w:sz="4" w:space="0" w:color="auto"/>
              <w:right w:val="single" w:sz="4" w:space="0" w:color="auto"/>
            </w:tcBorders>
          </w:tcPr>
          <w:p w14:paraId="74E6C5E0" w14:textId="77777777" w:rsidR="00777EC6" w:rsidRPr="00E611AB" w:rsidRDefault="00777EC6" w:rsidP="002F5786">
            <w:pPr>
              <w:pStyle w:val="TAC"/>
            </w:pPr>
            <w:r w:rsidRPr="00E611AB">
              <w:rPr>
                <w:lang w:eastAsia="zh-CN"/>
              </w:rPr>
              <w:t xml:space="preserve">985020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985024</w:t>
            </w:r>
          </w:p>
        </w:tc>
        <w:tc>
          <w:tcPr>
            <w:tcW w:w="1276" w:type="dxa"/>
            <w:tcBorders>
              <w:top w:val="single" w:sz="4" w:space="0" w:color="auto"/>
              <w:left w:val="single" w:sz="4" w:space="0" w:color="auto"/>
              <w:bottom w:val="single" w:sz="4" w:space="0" w:color="auto"/>
              <w:right w:val="single" w:sz="4" w:space="0" w:color="auto"/>
            </w:tcBorders>
          </w:tcPr>
          <w:p w14:paraId="5442067A" w14:textId="77777777" w:rsidR="00777EC6" w:rsidRPr="00E611AB" w:rsidRDefault="00777EC6" w:rsidP="002F5786">
            <w:pPr>
              <w:pStyle w:val="TAC"/>
            </w:pPr>
            <w:r w:rsidRPr="00E611AB">
              <w:t>T</w:t>
            </w:r>
            <w:r w:rsidRPr="00E611AB">
              <w:rPr>
                <w:vertAlign w:val="subscript"/>
              </w:rPr>
              <w:t>c</w:t>
            </w:r>
          </w:p>
        </w:tc>
      </w:tr>
      <w:tr w:rsidR="00777EC6" w:rsidRPr="00E611AB" w14:paraId="76C985F9" w14:textId="77777777" w:rsidTr="00051ED3">
        <w:trPr>
          <w:cantSplit/>
        </w:trPr>
        <w:tc>
          <w:tcPr>
            <w:tcW w:w="3827" w:type="dxa"/>
            <w:tcBorders>
              <w:top w:val="single" w:sz="4" w:space="0" w:color="auto"/>
              <w:left w:val="single" w:sz="4" w:space="0" w:color="auto"/>
              <w:bottom w:val="single" w:sz="4" w:space="0" w:color="auto"/>
              <w:right w:val="single" w:sz="4" w:space="0" w:color="auto"/>
            </w:tcBorders>
          </w:tcPr>
          <w:p w14:paraId="788FDA13" w14:textId="77777777" w:rsidR="00777EC6" w:rsidRPr="00E611AB" w:rsidRDefault="00777EC6" w:rsidP="002F5786">
            <w:pPr>
              <w:pStyle w:val="TAC"/>
            </w:pPr>
            <w:r w:rsidRPr="00E611AB">
              <w:rPr>
                <w:lang w:eastAsia="zh-CN"/>
              </w:rPr>
              <w:t>RX-TX_TIME_DIFFERENCE_</w:t>
            </w:r>
            <w:r w:rsidRPr="00E611AB">
              <w:rPr>
                <w:bCs/>
                <w:lang w:eastAsia="zh-CN"/>
              </w:rPr>
              <w:t>492513</w:t>
            </w:r>
          </w:p>
        </w:tc>
        <w:tc>
          <w:tcPr>
            <w:tcW w:w="3260" w:type="dxa"/>
            <w:tcBorders>
              <w:top w:val="single" w:sz="4" w:space="0" w:color="auto"/>
              <w:left w:val="single" w:sz="4" w:space="0" w:color="auto"/>
              <w:bottom w:val="single" w:sz="4" w:space="0" w:color="auto"/>
              <w:right w:val="single" w:sz="4" w:space="0" w:color="auto"/>
            </w:tcBorders>
          </w:tcPr>
          <w:p w14:paraId="41AE0C74"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rPr>
              <w:t></w:t>
            </w:r>
            <w:r w:rsidRPr="00E611AB">
              <w:rPr>
                <w:lang w:eastAsia="zh-CN"/>
              </w:rPr>
              <w:t xml:space="preserve"> T</w:t>
            </w:r>
            <w:r w:rsidRPr="00E611AB">
              <w:rPr>
                <w:vertAlign w:val="subscript"/>
                <w:lang w:eastAsia="zh-CN"/>
              </w:rPr>
              <w:t>UE Rx-Tx</w:t>
            </w:r>
          </w:p>
        </w:tc>
        <w:tc>
          <w:tcPr>
            <w:tcW w:w="1276" w:type="dxa"/>
            <w:tcBorders>
              <w:top w:val="single" w:sz="4" w:space="0" w:color="auto"/>
              <w:left w:val="single" w:sz="4" w:space="0" w:color="auto"/>
              <w:bottom w:val="single" w:sz="4" w:space="0" w:color="auto"/>
              <w:right w:val="single" w:sz="4" w:space="0" w:color="auto"/>
            </w:tcBorders>
          </w:tcPr>
          <w:p w14:paraId="4D209A3A" w14:textId="77777777" w:rsidR="00777EC6" w:rsidRPr="00E611AB" w:rsidRDefault="00777EC6" w:rsidP="002F5786">
            <w:pPr>
              <w:pStyle w:val="TAC"/>
            </w:pPr>
            <w:r w:rsidRPr="00E611AB">
              <w:t>T</w:t>
            </w:r>
            <w:r w:rsidRPr="00E611AB">
              <w:rPr>
                <w:vertAlign w:val="subscript"/>
              </w:rPr>
              <w:t>c</w:t>
            </w:r>
          </w:p>
        </w:tc>
      </w:tr>
    </w:tbl>
    <w:p w14:paraId="2C2598AB" w14:textId="77777777" w:rsidR="00777EC6" w:rsidRPr="00E611AB" w:rsidRDefault="00777EC6" w:rsidP="00777EC6"/>
    <w:p w14:paraId="395EB1A9" w14:textId="77777777" w:rsidR="00777EC6" w:rsidRPr="00E611AB" w:rsidRDefault="00777EC6" w:rsidP="00777EC6">
      <w:pPr>
        <w:pStyle w:val="TH"/>
        <w:rPr>
          <w:rFonts w:cs="Arial"/>
          <w:lang w:val="en-US" w:eastAsia="ja-JP"/>
        </w:rPr>
      </w:pPr>
      <w:r w:rsidRPr="00E611AB">
        <w:t xml:space="preserve">Table 10.1.25.3.1-4: Absolute UE Rx-Tx time difference measurement report mapping for </w:t>
      </w:r>
      <w:r w:rsidRPr="00E611AB">
        <w:rPr>
          <w:i/>
          <w:iCs/>
        </w:rPr>
        <w:t>k</w:t>
      </w:r>
      <w:r w:rsidRPr="00E611AB">
        <w:t>=3</w:t>
      </w:r>
    </w:p>
    <w:tbl>
      <w:tblPr>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3260"/>
        <w:gridCol w:w="1276"/>
      </w:tblGrid>
      <w:tr w:rsidR="00777EC6" w:rsidRPr="00E611AB" w14:paraId="3F7A408F" w14:textId="77777777" w:rsidTr="00051ED3">
        <w:trPr>
          <w:cantSplit/>
        </w:trPr>
        <w:tc>
          <w:tcPr>
            <w:tcW w:w="3686" w:type="dxa"/>
            <w:vAlign w:val="center"/>
          </w:tcPr>
          <w:p w14:paraId="00D27C8F" w14:textId="77777777" w:rsidR="00777EC6" w:rsidRPr="00E611AB" w:rsidRDefault="00777EC6" w:rsidP="00DA29A5">
            <w:pPr>
              <w:pStyle w:val="TAH"/>
              <w:rPr>
                <w:lang w:eastAsia="zh-CN"/>
              </w:rPr>
            </w:pPr>
            <w:r w:rsidRPr="00E611AB">
              <w:t>Reported Quantity Value</w:t>
            </w:r>
          </w:p>
        </w:tc>
        <w:tc>
          <w:tcPr>
            <w:tcW w:w="3260" w:type="dxa"/>
            <w:vAlign w:val="center"/>
          </w:tcPr>
          <w:p w14:paraId="26013D76" w14:textId="77777777" w:rsidR="00777EC6" w:rsidRPr="00E611AB" w:rsidRDefault="00777EC6" w:rsidP="00DA29A5">
            <w:pPr>
              <w:pStyle w:val="TAH"/>
              <w:rPr>
                <w:lang w:eastAsia="zh-CN"/>
              </w:rPr>
            </w:pPr>
            <w:r w:rsidRPr="00E611AB">
              <w:t>Measured Quantity Value</w:t>
            </w:r>
          </w:p>
        </w:tc>
        <w:tc>
          <w:tcPr>
            <w:tcW w:w="1276" w:type="dxa"/>
            <w:vAlign w:val="center"/>
          </w:tcPr>
          <w:p w14:paraId="189FA499" w14:textId="77777777" w:rsidR="00777EC6" w:rsidRPr="00E611AB" w:rsidRDefault="00777EC6" w:rsidP="00DA29A5">
            <w:pPr>
              <w:pStyle w:val="TAH"/>
            </w:pPr>
            <w:r w:rsidRPr="00E611AB">
              <w:t>Unit</w:t>
            </w:r>
          </w:p>
        </w:tc>
      </w:tr>
      <w:tr w:rsidR="00777EC6" w:rsidRPr="00E611AB" w14:paraId="72209723" w14:textId="77777777" w:rsidTr="00051ED3">
        <w:trPr>
          <w:cantSplit/>
        </w:trPr>
        <w:tc>
          <w:tcPr>
            <w:tcW w:w="3686" w:type="dxa"/>
          </w:tcPr>
          <w:p w14:paraId="500B8E45" w14:textId="77777777" w:rsidR="00777EC6" w:rsidRPr="00E611AB" w:rsidRDefault="00777EC6" w:rsidP="00DA29A5">
            <w:pPr>
              <w:pStyle w:val="TAC"/>
            </w:pPr>
            <w:r w:rsidRPr="00E611AB">
              <w:rPr>
                <w:lang w:eastAsia="zh-CN"/>
              </w:rPr>
              <w:t>RX-TX_TIME_DIFFERENCE_</w:t>
            </w:r>
            <w:r w:rsidRPr="00E611AB">
              <w:t>0000</w:t>
            </w:r>
          </w:p>
        </w:tc>
        <w:tc>
          <w:tcPr>
            <w:tcW w:w="3260" w:type="dxa"/>
          </w:tcPr>
          <w:p w14:paraId="665DC6D4" w14:textId="77777777" w:rsidR="00777EC6" w:rsidRPr="00E611AB" w:rsidRDefault="00777EC6" w:rsidP="00DA29A5">
            <w:pPr>
              <w:pStyle w:val="TAC"/>
            </w:pPr>
            <w:r w:rsidRPr="00E611AB">
              <w:rPr>
                <w:lang w:eastAsia="zh-CN"/>
              </w:rPr>
              <w:t>T</w:t>
            </w:r>
            <w:r w:rsidRPr="00E611AB">
              <w:rPr>
                <w:vertAlign w:val="subscript"/>
                <w:lang w:eastAsia="zh-CN"/>
              </w:rPr>
              <w:t>UE Rx-Tx</w:t>
            </w:r>
            <w:r w:rsidRPr="00E611AB">
              <w:rPr>
                <w:lang w:eastAsia="zh-CN"/>
              </w:rPr>
              <w:t xml:space="preserve"> &lt; -985024</w:t>
            </w:r>
          </w:p>
        </w:tc>
        <w:tc>
          <w:tcPr>
            <w:tcW w:w="1276" w:type="dxa"/>
          </w:tcPr>
          <w:p w14:paraId="36A1A415" w14:textId="77777777" w:rsidR="00777EC6" w:rsidRPr="00E611AB" w:rsidRDefault="00777EC6" w:rsidP="00DA29A5">
            <w:pPr>
              <w:pStyle w:val="TAC"/>
            </w:pPr>
            <w:r w:rsidRPr="00E611AB">
              <w:t>T</w:t>
            </w:r>
            <w:r w:rsidRPr="00E611AB">
              <w:rPr>
                <w:vertAlign w:val="subscript"/>
              </w:rPr>
              <w:t>c</w:t>
            </w:r>
          </w:p>
        </w:tc>
      </w:tr>
      <w:tr w:rsidR="00777EC6" w:rsidRPr="00E611AB" w14:paraId="06519ECB" w14:textId="77777777" w:rsidTr="00051ED3">
        <w:trPr>
          <w:cantSplit/>
        </w:trPr>
        <w:tc>
          <w:tcPr>
            <w:tcW w:w="3686" w:type="dxa"/>
          </w:tcPr>
          <w:p w14:paraId="67530DED" w14:textId="77777777" w:rsidR="00777EC6" w:rsidRPr="00E611AB" w:rsidRDefault="00777EC6" w:rsidP="00DA29A5">
            <w:pPr>
              <w:pStyle w:val="TAC"/>
            </w:pPr>
            <w:r w:rsidRPr="00E611AB">
              <w:rPr>
                <w:lang w:eastAsia="zh-CN"/>
              </w:rPr>
              <w:t>RX-TX_TIME_DIFFERENCE_</w:t>
            </w:r>
            <w:r w:rsidRPr="00E611AB">
              <w:t>0001</w:t>
            </w:r>
          </w:p>
        </w:tc>
        <w:tc>
          <w:tcPr>
            <w:tcW w:w="3260" w:type="dxa"/>
          </w:tcPr>
          <w:p w14:paraId="784A32CF" w14:textId="77777777" w:rsidR="00777EC6" w:rsidRPr="00E611AB" w:rsidRDefault="00777EC6" w:rsidP="00DA29A5">
            <w:pPr>
              <w:pStyle w:val="TAC"/>
            </w:pPr>
            <w:r w:rsidRPr="00E611AB">
              <w:rPr>
                <w:lang w:eastAsia="zh-CN"/>
              </w:rPr>
              <w:t xml:space="preserve">-985024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-985016</w:t>
            </w:r>
          </w:p>
        </w:tc>
        <w:tc>
          <w:tcPr>
            <w:tcW w:w="1276" w:type="dxa"/>
          </w:tcPr>
          <w:p w14:paraId="518C16C0" w14:textId="77777777" w:rsidR="00777EC6" w:rsidRPr="00E611AB" w:rsidRDefault="00777EC6" w:rsidP="00DA29A5">
            <w:pPr>
              <w:pStyle w:val="TAC"/>
            </w:pPr>
            <w:r w:rsidRPr="00E611AB">
              <w:t>T</w:t>
            </w:r>
            <w:r w:rsidRPr="00E611AB">
              <w:rPr>
                <w:vertAlign w:val="subscript"/>
              </w:rPr>
              <w:t>c</w:t>
            </w:r>
          </w:p>
        </w:tc>
      </w:tr>
      <w:tr w:rsidR="00777EC6" w:rsidRPr="00E611AB" w14:paraId="2FCB2DE1" w14:textId="77777777" w:rsidTr="00051ED3">
        <w:trPr>
          <w:cantSplit/>
        </w:trPr>
        <w:tc>
          <w:tcPr>
            <w:tcW w:w="3686" w:type="dxa"/>
          </w:tcPr>
          <w:p w14:paraId="04457976" w14:textId="77777777" w:rsidR="00777EC6" w:rsidRPr="00E611AB" w:rsidRDefault="00777EC6" w:rsidP="00DA29A5">
            <w:pPr>
              <w:pStyle w:val="TAC"/>
            </w:pPr>
            <w:r w:rsidRPr="00E611AB">
              <w:rPr>
                <w:lang w:eastAsia="zh-CN"/>
              </w:rPr>
              <w:t>RX-TX_TIME_DIFFERENCE_</w:t>
            </w:r>
            <w:r w:rsidRPr="00E611AB">
              <w:t>0002</w:t>
            </w:r>
          </w:p>
        </w:tc>
        <w:tc>
          <w:tcPr>
            <w:tcW w:w="3260" w:type="dxa"/>
          </w:tcPr>
          <w:p w14:paraId="785161AE" w14:textId="77777777" w:rsidR="00777EC6" w:rsidRPr="00E611AB" w:rsidRDefault="00777EC6" w:rsidP="00DA29A5">
            <w:pPr>
              <w:pStyle w:val="TAC"/>
            </w:pPr>
            <w:r w:rsidRPr="00E611AB">
              <w:rPr>
                <w:lang w:eastAsia="zh-CN"/>
              </w:rPr>
              <w:t xml:space="preserve">-985016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-985008</w:t>
            </w:r>
          </w:p>
        </w:tc>
        <w:tc>
          <w:tcPr>
            <w:tcW w:w="1276" w:type="dxa"/>
          </w:tcPr>
          <w:p w14:paraId="651D4ACB" w14:textId="77777777" w:rsidR="00777EC6" w:rsidRPr="00E611AB" w:rsidRDefault="00777EC6" w:rsidP="00DA29A5">
            <w:pPr>
              <w:pStyle w:val="TAC"/>
            </w:pPr>
            <w:r w:rsidRPr="00E611AB">
              <w:t>T</w:t>
            </w:r>
            <w:r w:rsidRPr="00E611AB">
              <w:rPr>
                <w:vertAlign w:val="subscript"/>
              </w:rPr>
              <w:t>c</w:t>
            </w:r>
          </w:p>
        </w:tc>
      </w:tr>
      <w:tr w:rsidR="00777EC6" w:rsidRPr="00E611AB" w14:paraId="5CA3A527" w14:textId="77777777" w:rsidTr="00051ED3">
        <w:trPr>
          <w:cantSplit/>
        </w:trPr>
        <w:tc>
          <w:tcPr>
            <w:tcW w:w="3686" w:type="dxa"/>
          </w:tcPr>
          <w:p w14:paraId="20ABEC4E" w14:textId="77777777" w:rsidR="00777EC6" w:rsidRPr="00E611AB" w:rsidRDefault="00777EC6" w:rsidP="00DA29A5">
            <w:pPr>
              <w:pStyle w:val="TAC"/>
            </w:pPr>
            <w:r w:rsidRPr="00E611AB">
              <w:rPr>
                <w:rFonts w:ascii="Symbol" w:eastAsia="Symbol" w:hAnsi="Symbol" w:cs="Symbol"/>
              </w:rPr>
              <w:t></w:t>
            </w:r>
          </w:p>
        </w:tc>
        <w:tc>
          <w:tcPr>
            <w:tcW w:w="3260" w:type="dxa"/>
          </w:tcPr>
          <w:p w14:paraId="7E951E76" w14:textId="77777777" w:rsidR="00777EC6" w:rsidRPr="00E611AB" w:rsidRDefault="00777EC6" w:rsidP="00DA29A5">
            <w:pPr>
              <w:pStyle w:val="TAC"/>
            </w:pPr>
            <w:r w:rsidRPr="00E611AB">
              <w:rPr>
                <w:rFonts w:ascii="Symbol" w:eastAsia="Symbol" w:hAnsi="Symbol" w:cs="Symbol"/>
              </w:rPr>
              <w:t></w:t>
            </w:r>
          </w:p>
        </w:tc>
        <w:tc>
          <w:tcPr>
            <w:tcW w:w="1276" w:type="dxa"/>
          </w:tcPr>
          <w:p w14:paraId="39BE8290" w14:textId="77777777" w:rsidR="00777EC6" w:rsidRPr="00E611AB" w:rsidRDefault="00777EC6" w:rsidP="00DA29A5">
            <w:pPr>
              <w:pStyle w:val="TAC"/>
            </w:pPr>
            <w:r w:rsidRPr="00E611AB">
              <w:t>…</w:t>
            </w:r>
          </w:p>
        </w:tc>
      </w:tr>
      <w:tr w:rsidR="00777EC6" w:rsidRPr="00E611AB" w14:paraId="51D6A0C7" w14:textId="77777777" w:rsidTr="00051ED3">
        <w:trPr>
          <w:cantSplit/>
        </w:trPr>
        <w:tc>
          <w:tcPr>
            <w:tcW w:w="3686" w:type="dxa"/>
          </w:tcPr>
          <w:p w14:paraId="0D03B704" w14:textId="77777777" w:rsidR="00777EC6" w:rsidRPr="00E611AB" w:rsidRDefault="00777EC6" w:rsidP="00DA29A5">
            <w:pPr>
              <w:pStyle w:val="TAC"/>
            </w:pPr>
            <w:r w:rsidRPr="00E611AB">
              <w:rPr>
                <w:lang w:eastAsia="zh-CN"/>
              </w:rPr>
              <w:t>RX-TX_TIME_DIFFERENCE_123128</w:t>
            </w:r>
          </w:p>
        </w:tc>
        <w:tc>
          <w:tcPr>
            <w:tcW w:w="3260" w:type="dxa"/>
          </w:tcPr>
          <w:p w14:paraId="6290D2DE" w14:textId="77777777" w:rsidR="00777EC6" w:rsidRPr="00E611AB" w:rsidRDefault="00777EC6" w:rsidP="00DA29A5">
            <w:pPr>
              <w:pStyle w:val="TAC"/>
            </w:pPr>
            <w:r w:rsidRPr="00E611AB">
              <w:rPr>
                <w:lang w:eastAsia="zh-CN"/>
              </w:rPr>
              <w:t>-8</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0</w:t>
            </w:r>
          </w:p>
        </w:tc>
        <w:tc>
          <w:tcPr>
            <w:tcW w:w="1276" w:type="dxa"/>
          </w:tcPr>
          <w:p w14:paraId="68F67440" w14:textId="77777777" w:rsidR="00777EC6" w:rsidRPr="00E611AB" w:rsidRDefault="00777EC6" w:rsidP="00DA29A5">
            <w:pPr>
              <w:pStyle w:val="TAC"/>
            </w:pPr>
            <w:r w:rsidRPr="00E611AB">
              <w:t>T</w:t>
            </w:r>
            <w:r w:rsidRPr="00E611AB">
              <w:rPr>
                <w:vertAlign w:val="subscript"/>
              </w:rPr>
              <w:t>c</w:t>
            </w:r>
          </w:p>
        </w:tc>
      </w:tr>
      <w:tr w:rsidR="00777EC6" w:rsidRPr="00E611AB" w14:paraId="26E3850A" w14:textId="77777777" w:rsidTr="00051ED3">
        <w:trPr>
          <w:cantSplit/>
        </w:trPr>
        <w:tc>
          <w:tcPr>
            <w:tcW w:w="3686" w:type="dxa"/>
          </w:tcPr>
          <w:p w14:paraId="31E2D0DB" w14:textId="77777777" w:rsidR="00777EC6" w:rsidRPr="00E611AB" w:rsidRDefault="00777EC6" w:rsidP="00DA29A5">
            <w:pPr>
              <w:pStyle w:val="TAC"/>
            </w:pPr>
            <w:r w:rsidRPr="00E611AB">
              <w:rPr>
                <w:lang w:eastAsia="zh-CN"/>
              </w:rPr>
              <w:t>RX-TX_TIME_DIFFERENCE_123129</w:t>
            </w:r>
          </w:p>
        </w:tc>
        <w:tc>
          <w:tcPr>
            <w:tcW w:w="3260" w:type="dxa"/>
          </w:tcPr>
          <w:p w14:paraId="65731DE0" w14:textId="77777777" w:rsidR="00777EC6" w:rsidRPr="00E611AB" w:rsidRDefault="00777EC6" w:rsidP="00DA29A5">
            <w:pPr>
              <w:pStyle w:val="TAC"/>
            </w:pPr>
            <w:r w:rsidRPr="00E611AB">
              <w:rPr>
                <w:lang w:eastAsia="zh-CN"/>
              </w:rPr>
              <w:t>0</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8</w:t>
            </w:r>
          </w:p>
        </w:tc>
        <w:tc>
          <w:tcPr>
            <w:tcW w:w="1276" w:type="dxa"/>
          </w:tcPr>
          <w:p w14:paraId="0C4DFCAF" w14:textId="77777777" w:rsidR="00777EC6" w:rsidRPr="00E611AB" w:rsidRDefault="00777EC6" w:rsidP="00DA29A5">
            <w:pPr>
              <w:pStyle w:val="TAC"/>
            </w:pPr>
            <w:r w:rsidRPr="00E611AB">
              <w:t>T</w:t>
            </w:r>
            <w:r w:rsidRPr="00E611AB">
              <w:rPr>
                <w:vertAlign w:val="subscript"/>
              </w:rPr>
              <w:t>c</w:t>
            </w:r>
          </w:p>
        </w:tc>
      </w:tr>
      <w:tr w:rsidR="00777EC6" w:rsidRPr="00E611AB" w14:paraId="6A6503D0"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0173A4B5" w14:textId="77777777" w:rsidR="00777EC6" w:rsidRPr="00E611AB" w:rsidRDefault="00777EC6" w:rsidP="00DA29A5">
            <w:pPr>
              <w:pStyle w:val="TAC"/>
            </w:pPr>
            <w:r w:rsidRPr="00E611AB">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4C825F96" w14:textId="77777777" w:rsidR="00777EC6" w:rsidRPr="00E611AB" w:rsidRDefault="00777EC6" w:rsidP="00DA29A5">
            <w:pPr>
              <w:pStyle w:val="TAC"/>
            </w:pPr>
            <w:r w:rsidRPr="00E611AB">
              <w:rPr>
                <w:lang w:eastAsia="zh-CN"/>
              </w:rPr>
              <w:t>…</w:t>
            </w:r>
          </w:p>
        </w:tc>
        <w:tc>
          <w:tcPr>
            <w:tcW w:w="1276" w:type="dxa"/>
            <w:tcBorders>
              <w:top w:val="single" w:sz="4" w:space="0" w:color="auto"/>
              <w:left w:val="single" w:sz="4" w:space="0" w:color="auto"/>
              <w:bottom w:val="single" w:sz="4" w:space="0" w:color="auto"/>
              <w:right w:val="single" w:sz="4" w:space="0" w:color="auto"/>
            </w:tcBorders>
          </w:tcPr>
          <w:p w14:paraId="4099E14C" w14:textId="77777777" w:rsidR="00777EC6" w:rsidRPr="00E611AB" w:rsidRDefault="00777EC6" w:rsidP="00DA29A5">
            <w:pPr>
              <w:pStyle w:val="TAC"/>
            </w:pPr>
            <w:r w:rsidRPr="00E611AB">
              <w:t>…</w:t>
            </w:r>
          </w:p>
        </w:tc>
      </w:tr>
      <w:tr w:rsidR="00777EC6" w:rsidRPr="00E611AB" w14:paraId="29F234B6"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40502F49" w14:textId="77777777" w:rsidR="00777EC6" w:rsidRPr="00E611AB" w:rsidRDefault="00777EC6" w:rsidP="00DA29A5">
            <w:pPr>
              <w:pStyle w:val="TAC"/>
            </w:pPr>
            <w:r w:rsidRPr="00E611AB">
              <w:rPr>
                <w:lang w:eastAsia="zh-CN"/>
              </w:rPr>
              <w:t>RX-TX_TIME_DIFFERENCE_</w:t>
            </w:r>
            <w:r w:rsidRPr="00E611AB">
              <w:rPr>
                <w:bCs/>
                <w:lang w:eastAsia="zh-CN"/>
              </w:rPr>
              <w:t>246255</w:t>
            </w:r>
          </w:p>
        </w:tc>
        <w:tc>
          <w:tcPr>
            <w:tcW w:w="3260" w:type="dxa"/>
            <w:tcBorders>
              <w:top w:val="single" w:sz="4" w:space="0" w:color="auto"/>
              <w:left w:val="single" w:sz="4" w:space="0" w:color="auto"/>
              <w:bottom w:val="single" w:sz="4" w:space="0" w:color="auto"/>
              <w:right w:val="single" w:sz="4" w:space="0" w:color="auto"/>
            </w:tcBorders>
          </w:tcPr>
          <w:p w14:paraId="5F32CC80" w14:textId="77777777" w:rsidR="00777EC6" w:rsidRPr="00E611AB" w:rsidRDefault="00777EC6" w:rsidP="00DA29A5">
            <w:pPr>
              <w:pStyle w:val="TAC"/>
            </w:pPr>
            <w:r w:rsidRPr="00E611AB">
              <w:rPr>
                <w:lang w:eastAsia="zh-CN"/>
              </w:rPr>
              <w:t xml:space="preserve">985008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985016</w:t>
            </w:r>
          </w:p>
        </w:tc>
        <w:tc>
          <w:tcPr>
            <w:tcW w:w="1276" w:type="dxa"/>
            <w:tcBorders>
              <w:top w:val="single" w:sz="4" w:space="0" w:color="auto"/>
              <w:left w:val="single" w:sz="4" w:space="0" w:color="auto"/>
              <w:bottom w:val="single" w:sz="4" w:space="0" w:color="auto"/>
              <w:right w:val="single" w:sz="4" w:space="0" w:color="auto"/>
            </w:tcBorders>
          </w:tcPr>
          <w:p w14:paraId="3ADC2131" w14:textId="77777777" w:rsidR="00777EC6" w:rsidRPr="00E611AB" w:rsidRDefault="00777EC6" w:rsidP="00DA29A5">
            <w:pPr>
              <w:pStyle w:val="TAC"/>
            </w:pPr>
            <w:r w:rsidRPr="00E611AB">
              <w:t>T</w:t>
            </w:r>
            <w:r w:rsidRPr="00E611AB">
              <w:rPr>
                <w:vertAlign w:val="subscript"/>
              </w:rPr>
              <w:t>c</w:t>
            </w:r>
          </w:p>
        </w:tc>
      </w:tr>
      <w:tr w:rsidR="00777EC6" w:rsidRPr="00E611AB" w14:paraId="6F34838D"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4BDCF0C6" w14:textId="77777777" w:rsidR="00777EC6" w:rsidRPr="00E611AB" w:rsidRDefault="00777EC6" w:rsidP="00DA29A5">
            <w:pPr>
              <w:pStyle w:val="TAC"/>
            </w:pPr>
            <w:r w:rsidRPr="00E611AB">
              <w:rPr>
                <w:lang w:eastAsia="zh-CN"/>
              </w:rPr>
              <w:t>RX-TX_TIME_DIFFERENCE_</w:t>
            </w:r>
            <w:r w:rsidRPr="00E611AB">
              <w:rPr>
                <w:bCs/>
                <w:lang w:eastAsia="zh-CN"/>
              </w:rPr>
              <w:t>246256</w:t>
            </w:r>
          </w:p>
        </w:tc>
        <w:tc>
          <w:tcPr>
            <w:tcW w:w="3260" w:type="dxa"/>
            <w:tcBorders>
              <w:top w:val="single" w:sz="4" w:space="0" w:color="auto"/>
              <w:left w:val="single" w:sz="4" w:space="0" w:color="auto"/>
              <w:bottom w:val="single" w:sz="4" w:space="0" w:color="auto"/>
              <w:right w:val="single" w:sz="4" w:space="0" w:color="auto"/>
            </w:tcBorders>
          </w:tcPr>
          <w:p w14:paraId="760DC0C8" w14:textId="77777777" w:rsidR="00777EC6" w:rsidRPr="00E611AB" w:rsidRDefault="00777EC6" w:rsidP="00DA29A5">
            <w:pPr>
              <w:pStyle w:val="TAC"/>
            </w:pPr>
            <w:r w:rsidRPr="00E611AB">
              <w:rPr>
                <w:lang w:eastAsia="zh-CN"/>
              </w:rPr>
              <w:t xml:space="preserve">985016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985024</w:t>
            </w:r>
          </w:p>
        </w:tc>
        <w:tc>
          <w:tcPr>
            <w:tcW w:w="1276" w:type="dxa"/>
            <w:tcBorders>
              <w:top w:val="single" w:sz="4" w:space="0" w:color="auto"/>
              <w:left w:val="single" w:sz="4" w:space="0" w:color="auto"/>
              <w:bottom w:val="single" w:sz="4" w:space="0" w:color="auto"/>
              <w:right w:val="single" w:sz="4" w:space="0" w:color="auto"/>
            </w:tcBorders>
          </w:tcPr>
          <w:p w14:paraId="08A9A53B" w14:textId="77777777" w:rsidR="00777EC6" w:rsidRPr="00E611AB" w:rsidRDefault="00777EC6" w:rsidP="00DA29A5">
            <w:pPr>
              <w:pStyle w:val="TAC"/>
            </w:pPr>
            <w:r w:rsidRPr="00E611AB">
              <w:t>T</w:t>
            </w:r>
            <w:r w:rsidRPr="00E611AB">
              <w:rPr>
                <w:vertAlign w:val="subscript"/>
              </w:rPr>
              <w:t>c</w:t>
            </w:r>
          </w:p>
        </w:tc>
      </w:tr>
      <w:tr w:rsidR="00777EC6" w:rsidRPr="00E611AB" w14:paraId="75BE068E"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4CA79E20" w14:textId="77777777" w:rsidR="00777EC6" w:rsidRPr="00E611AB" w:rsidRDefault="00777EC6" w:rsidP="00DA29A5">
            <w:pPr>
              <w:pStyle w:val="TAC"/>
            </w:pPr>
            <w:r w:rsidRPr="00E611AB">
              <w:rPr>
                <w:lang w:eastAsia="zh-CN"/>
              </w:rPr>
              <w:t>RX-TX_TIME_DIFFERENCE_246257</w:t>
            </w:r>
          </w:p>
        </w:tc>
        <w:tc>
          <w:tcPr>
            <w:tcW w:w="3260" w:type="dxa"/>
            <w:tcBorders>
              <w:top w:val="single" w:sz="4" w:space="0" w:color="auto"/>
              <w:left w:val="single" w:sz="4" w:space="0" w:color="auto"/>
              <w:bottom w:val="single" w:sz="4" w:space="0" w:color="auto"/>
              <w:right w:val="single" w:sz="4" w:space="0" w:color="auto"/>
            </w:tcBorders>
          </w:tcPr>
          <w:p w14:paraId="556A0CA9" w14:textId="77777777" w:rsidR="00777EC6" w:rsidRPr="00E611AB" w:rsidRDefault="00777EC6" w:rsidP="00DA29A5">
            <w:pPr>
              <w:pStyle w:val="TAC"/>
            </w:pPr>
            <w:r w:rsidRPr="00E611AB">
              <w:rPr>
                <w:lang w:eastAsia="zh-CN"/>
              </w:rPr>
              <w:t xml:space="preserve">985024 </w:t>
            </w:r>
            <w:r w:rsidRPr="00E611AB">
              <w:rPr>
                <w:rFonts w:ascii="Symbol" w:eastAsia="Symbol" w:hAnsi="Symbol" w:cs="Symbol"/>
              </w:rPr>
              <w:t></w:t>
            </w:r>
            <w:r w:rsidRPr="00E611AB">
              <w:rPr>
                <w:lang w:eastAsia="zh-CN"/>
              </w:rPr>
              <w:t xml:space="preserve"> T</w:t>
            </w:r>
            <w:r w:rsidRPr="00E611AB">
              <w:rPr>
                <w:vertAlign w:val="subscript"/>
                <w:lang w:eastAsia="zh-CN"/>
              </w:rPr>
              <w:t>UE Rx-Tx</w:t>
            </w:r>
          </w:p>
        </w:tc>
        <w:tc>
          <w:tcPr>
            <w:tcW w:w="1276" w:type="dxa"/>
            <w:tcBorders>
              <w:top w:val="single" w:sz="4" w:space="0" w:color="auto"/>
              <w:left w:val="single" w:sz="4" w:space="0" w:color="auto"/>
              <w:bottom w:val="single" w:sz="4" w:space="0" w:color="auto"/>
              <w:right w:val="single" w:sz="4" w:space="0" w:color="auto"/>
            </w:tcBorders>
          </w:tcPr>
          <w:p w14:paraId="6074A3D5" w14:textId="77777777" w:rsidR="00777EC6" w:rsidRPr="00E611AB" w:rsidRDefault="00777EC6" w:rsidP="00DA29A5">
            <w:pPr>
              <w:pStyle w:val="TAC"/>
            </w:pPr>
            <w:r w:rsidRPr="00E611AB">
              <w:t>T</w:t>
            </w:r>
            <w:r w:rsidRPr="00E611AB">
              <w:rPr>
                <w:vertAlign w:val="subscript"/>
              </w:rPr>
              <w:t>c</w:t>
            </w:r>
          </w:p>
        </w:tc>
      </w:tr>
    </w:tbl>
    <w:p w14:paraId="160E702C" w14:textId="77777777" w:rsidR="00777EC6" w:rsidRDefault="00777EC6" w:rsidP="00777EC6"/>
    <w:p w14:paraId="42F201C1" w14:textId="77777777" w:rsidR="00777EC6" w:rsidRPr="00E611AB" w:rsidRDefault="00777EC6" w:rsidP="002F5786">
      <w:pPr>
        <w:pStyle w:val="TH"/>
        <w:rPr>
          <w:rFonts w:cs="Arial"/>
          <w:lang w:val="en-US" w:eastAsia="ja-JP"/>
        </w:rPr>
      </w:pPr>
      <w:r w:rsidRPr="00E611AB">
        <w:t xml:space="preserve">Table 10.1.25.3.1-5: Absolute UE Rx-Tx time difference measurement report mapping for </w:t>
      </w:r>
      <w:r w:rsidRPr="00E611AB">
        <w:rPr>
          <w:i/>
          <w:iCs/>
        </w:rPr>
        <w:t>k</w:t>
      </w:r>
      <w:r w:rsidRPr="00E611AB">
        <w:t>=4</w:t>
      </w:r>
    </w:p>
    <w:tbl>
      <w:tblPr>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3260"/>
        <w:gridCol w:w="1276"/>
      </w:tblGrid>
      <w:tr w:rsidR="00777EC6" w:rsidRPr="00E611AB" w14:paraId="0A95BF08" w14:textId="77777777" w:rsidTr="00051ED3">
        <w:trPr>
          <w:cantSplit/>
        </w:trPr>
        <w:tc>
          <w:tcPr>
            <w:tcW w:w="3686" w:type="dxa"/>
            <w:vAlign w:val="center"/>
          </w:tcPr>
          <w:p w14:paraId="593A24AD" w14:textId="77777777" w:rsidR="00777EC6" w:rsidRPr="00E611AB" w:rsidRDefault="00777EC6" w:rsidP="002F5786">
            <w:pPr>
              <w:pStyle w:val="TAH"/>
              <w:rPr>
                <w:lang w:eastAsia="zh-CN"/>
              </w:rPr>
            </w:pPr>
            <w:r w:rsidRPr="00E611AB">
              <w:t>Reported Quantity Value</w:t>
            </w:r>
          </w:p>
        </w:tc>
        <w:tc>
          <w:tcPr>
            <w:tcW w:w="3260" w:type="dxa"/>
            <w:vAlign w:val="center"/>
          </w:tcPr>
          <w:p w14:paraId="269DD957" w14:textId="77777777" w:rsidR="00777EC6" w:rsidRPr="00E611AB" w:rsidRDefault="00777EC6" w:rsidP="002F5786">
            <w:pPr>
              <w:pStyle w:val="TAH"/>
              <w:rPr>
                <w:lang w:eastAsia="zh-CN"/>
              </w:rPr>
            </w:pPr>
            <w:r w:rsidRPr="00E611AB">
              <w:t>Measured Quantity Value</w:t>
            </w:r>
          </w:p>
        </w:tc>
        <w:tc>
          <w:tcPr>
            <w:tcW w:w="1276" w:type="dxa"/>
            <w:vAlign w:val="center"/>
          </w:tcPr>
          <w:p w14:paraId="10A7A5F1" w14:textId="77777777" w:rsidR="00777EC6" w:rsidRPr="00E611AB" w:rsidRDefault="00777EC6" w:rsidP="002F5786">
            <w:pPr>
              <w:pStyle w:val="TAH"/>
            </w:pPr>
            <w:r w:rsidRPr="00E611AB">
              <w:t>Unit</w:t>
            </w:r>
          </w:p>
        </w:tc>
      </w:tr>
      <w:tr w:rsidR="00777EC6" w:rsidRPr="00E611AB" w14:paraId="68E6E0A7" w14:textId="77777777" w:rsidTr="00051ED3">
        <w:trPr>
          <w:cantSplit/>
        </w:trPr>
        <w:tc>
          <w:tcPr>
            <w:tcW w:w="3686" w:type="dxa"/>
          </w:tcPr>
          <w:p w14:paraId="2DCE5D64" w14:textId="77777777" w:rsidR="00777EC6" w:rsidRPr="00E611AB" w:rsidRDefault="00777EC6" w:rsidP="002F5786">
            <w:pPr>
              <w:pStyle w:val="TAC"/>
            </w:pPr>
            <w:r w:rsidRPr="00E611AB">
              <w:rPr>
                <w:lang w:eastAsia="zh-CN"/>
              </w:rPr>
              <w:t>RX-TX_TIME_DIFFERENCE_</w:t>
            </w:r>
            <w:r w:rsidRPr="00E611AB">
              <w:t>0000</w:t>
            </w:r>
          </w:p>
        </w:tc>
        <w:tc>
          <w:tcPr>
            <w:tcW w:w="3260" w:type="dxa"/>
          </w:tcPr>
          <w:p w14:paraId="60E183BE" w14:textId="77777777" w:rsidR="00777EC6" w:rsidRPr="00E611AB" w:rsidRDefault="00777EC6" w:rsidP="002F5786">
            <w:pPr>
              <w:pStyle w:val="TAC"/>
            </w:pPr>
            <w:r w:rsidRPr="00E611AB">
              <w:rPr>
                <w:lang w:eastAsia="zh-CN"/>
              </w:rPr>
              <w:t>T</w:t>
            </w:r>
            <w:r w:rsidRPr="00E611AB">
              <w:rPr>
                <w:vertAlign w:val="subscript"/>
                <w:lang w:eastAsia="zh-CN"/>
              </w:rPr>
              <w:t>UE Rx-Tx</w:t>
            </w:r>
            <w:r w:rsidRPr="00E611AB">
              <w:rPr>
                <w:lang w:eastAsia="zh-CN"/>
              </w:rPr>
              <w:t xml:space="preserve"> &lt; -985024</w:t>
            </w:r>
          </w:p>
        </w:tc>
        <w:tc>
          <w:tcPr>
            <w:tcW w:w="1276" w:type="dxa"/>
          </w:tcPr>
          <w:p w14:paraId="4687F5A0" w14:textId="77777777" w:rsidR="00777EC6" w:rsidRPr="00E611AB" w:rsidRDefault="00777EC6" w:rsidP="002F5786">
            <w:pPr>
              <w:pStyle w:val="TAC"/>
            </w:pPr>
            <w:r w:rsidRPr="00E611AB">
              <w:t>T</w:t>
            </w:r>
            <w:r w:rsidRPr="00E611AB">
              <w:rPr>
                <w:vertAlign w:val="subscript"/>
              </w:rPr>
              <w:t>c</w:t>
            </w:r>
          </w:p>
        </w:tc>
      </w:tr>
      <w:tr w:rsidR="00777EC6" w:rsidRPr="00E611AB" w14:paraId="70DDAAC8" w14:textId="77777777" w:rsidTr="00051ED3">
        <w:trPr>
          <w:cantSplit/>
        </w:trPr>
        <w:tc>
          <w:tcPr>
            <w:tcW w:w="3686" w:type="dxa"/>
          </w:tcPr>
          <w:p w14:paraId="7C454539" w14:textId="77777777" w:rsidR="00777EC6" w:rsidRPr="00E611AB" w:rsidRDefault="00777EC6" w:rsidP="002F5786">
            <w:pPr>
              <w:pStyle w:val="TAC"/>
            </w:pPr>
            <w:r w:rsidRPr="00E611AB">
              <w:rPr>
                <w:lang w:eastAsia="zh-CN"/>
              </w:rPr>
              <w:t>RX-TX_TIME_DIFFERENCE_</w:t>
            </w:r>
            <w:r w:rsidRPr="00E611AB">
              <w:t>0001</w:t>
            </w:r>
          </w:p>
        </w:tc>
        <w:tc>
          <w:tcPr>
            <w:tcW w:w="3260" w:type="dxa"/>
          </w:tcPr>
          <w:p w14:paraId="087DA4C1"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-985008</w:t>
            </w:r>
          </w:p>
        </w:tc>
        <w:tc>
          <w:tcPr>
            <w:tcW w:w="1276" w:type="dxa"/>
          </w:tcPr>
          <w:p w14:paraId="57263C21" w14:textId="77777777" w:rsidR="00777EC6" w:rsidRPr="00E611AB" w:rsidRDefault="00777EC6" w:rsidP="002F5786">
            <w:pPr>
              <w:pStyle w:val="TAC"/>
            </w:pPr>
            <w:r w:rsidRPr="00E611AB">
              <w:t>T</w:t>
            </w:r>
            <w:r w:rsidRPr="00E611AB">
              <w:rPr>
                <w:vertAlign w:val="subscript"/>
              </w:rPr>
              <w:t>c</w:t>
            </w:r>
          </w:p>
        </w:tc>
      </w:tr>
      <w:tr w:rsidR="00777EC6" w:rsidRPr="00E611AB" w14:paraId="2D0EE81A" w14:textId="77777777" w:rsidTr="00051ED3">
        <w:trPr>
          <w:cantSplit/>
        </w:trPr>
        <w:tc>
          <w:tcPr>
            <w:tcW w:w="3686" w:type="dxa"/>
          </w:tcPr>
          <w:p w14:paraId="02EDB0F9" w14:textId="77777777" w:rsidR="00777EC6" w:rsidRPr="00E611AB" w:rsidRDefault="00777EC6" w:rsidP="002F5786">
            <w:pPr>
              <w:pStyle w:val="TAC"/>
            </w:pPr>
            <w:r w:rsidRPr="00E611AB">
              <w:rPr>
                <w:lang w:eastAsia="zh-CN"/>
              </w:rPr>
              <w:t>RX-TX_TIME_DIFFERENCE_</w:t>
            </w:r>
            <w:r w:rsidRPr="00E611AB">
              <w:t>0002</w:t>
            </w:r>
          </w:p>
        </w:tc>
        <w:tc>
          <w:tcPr>
            <w:tcW w:w="3260" w:type="dxa"/>
          </w:tcPr>
          <w:p w14:paraId="73AAECBD" w14:textId="77777777" w:rsidR="00777EC6" w:rsidRPr="00E611AB" w:rsidRDefault="00777EC6" w:rsidP="002F5786">
            <w:pPr>
              <w:pStyle w:val="TAC"/>
            </w:pPr>
            <w:r w:rsidRPr="00E611AB">
              <w:rPr>
                <w:lang w:eastAsia="zh-CN"/>
              </w:rPr>
              <w:t xml:space="preserve">-985008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-984992</w:t>
            </w:r>
          </w:p>
        </w:tc>
        <w:tc>
          <w:tcPr>
            <w:tcW w:w="1276" w:type="dxa"/>
          </w:tcPr>
          <w:p w14:paraId="7F48F5E9" w14:textId="77777777" w:rsidR="00777EC6" w:rsidRPr="00E611AB" w:rsidRDefault="00777EC6" w:rsidP="002F5786">
            <w:pPr>
              <w:pStyle w:val="TAC"/>
            </w:pPr>
            <w:r w:rsidRPr="00E611AB">
              <w:t>T</w:t>
            </w:r>
            <w:r w:rsidRPr="00E611AB">
              <w:rPr>
                <w:vertAlign w:val="subscript"/>
              </w:rPr>
              <w:t>c</w:t>
            </w:r>
          </w:p>
        </w:tc>
      </w:tr>
      <w:tr w:rsidR="00777EC6" w:rsidRPr="00E611AB" w14:paraId="61E9699C" w14:textId="77777777" w:rsidTr="00051ED3">
        <w:trPr>
          <w:cantSplit/>
        </w:trPr>
        <w:tc>
          <w:tcPr>
            <w:tcW w:w="3686" w:type="dxa"/>
          </w:tcPr>
          <w:p w14:paraId="2FEAFC0C" w14:textId="77777777" w:rsidR="00777EC6" w:rsidRPr="00E611AB" w:rsidRDefault="00777EC6" w:rsidP="002F5786">
            <w:pPr>
              <w:pStyle w:val="TAC"/>
            </w:pPr>
            <w:r w:rsidRPr="00E611AB">
              <w:rPr>
                <w:rFonts w:ascii="Symbol" w:eastAsia="Symbol" w:hAnsi="Symbol" w:cs="Symbol"/>
              </w:rPr>
              <w:t></w:t>
            </w:r>
          </w:p>
        </w:tc>
        <w:tc>
          <w:tcPr>
            <w:tcW w:w="3260" w:type="dxa"/>
          </w:tcPr>
          <w:p w14:paraId="64D42097" w14:textId="77777777" w:rsidR="00777EC6" w:rsidRPr="00E611AB" w:rsidRDefault="00777EC6" w:rsidP="002F5786">
            <w:pPr>
              <w:pStyle w:val="TAC"/>
            </w:pPr>
            <w:r w:rsidRPr="00E611AB">
              <w:rPr>
                <w:rFonts w:ascii="Symbol" w:eastAsia="Symbol" w:hAnsi="Symbol" w:cs="Symbol"/>
              </w:rPr>
              <w:t></w:t>
            </w:r>
          </w:p>
        </w:tc>
        <w:tc>
          <w:tcPr>
            <w:tcW w:w="1276" w:type="dxa"/>
          </w:tcPr>
          <w:p w14:paraId="38F31E97" w14:textId="77777777" w:rsidR="00777EC6" w:rsidRPr="00E611AB" w:rsidRDefault="00777EC6" w:rsidP="002F5786">
            <w:pPr>
              <w:pStyle w:val="TAC"/>
            </w:pPr>
            <w:r w:rsidRPr="00E611AB">
              <w:t>…</w:t>
            </w:r>
          </w:p>
        </w:tc>
      </w:tr>
      <w:tr w:rsidR="00777EC6" w:rsidRPr="00E611AB" w14:paraId="29C7FAEE" w14:textId="77777777" w:rsidTr="00051ED3">
        <w:trPr>
          <w:cantSplit/>
        </w:trPr>
        <w:tc>
          <w:tcPr>
            <w:tcW w:w="3686" w:type="dxa"/>
          </w:tcPr>
          <w:p w14:paraId="52856EF2" w14:textId="77777777" w:rsidR="00777EC6" w:rsidRPr="00E611AB" w:rsidRDefault="00777EC6" w:rsidP="002F5786">
            <w:pPr>
              <w:pStyle w:val="TAC"/>
            </w:pPr>
            <w:r w:rsidRPr="00E611AB">
              <w:rPr>
                <w:lang w:eastAsia="zh-CN"/>
              </w:rPr>
              <w:t>RX-TX_TIME_DIFFERENCE_61564</w:t>
            </w:r>
          </w:p>
        </w:tc>
        <w:tc>
          <w:tcPr>
            <w:tcW w:w="3260" w:type="dxa"/>
          </w:tcPr>
          <w:p w14:paraId="63FE1B9E" w14:textId="77777777" w:rsidR="00777EC6" w:rsidRPr="00E611AB" w:rsidRDefault="00777EC6" w:rsidP="002F5786">
            <w:pPr>
              <w:pStyle w:val="TAC"/>
            </w:pPr>
            <w:r w:rsidRPr="00E611AB">
              <w:rPr>
                <w:lang w:eastAsia="zh-CN"/>
              </w:rPr>
              <w:t>-16</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0</w:t>
            </w:r>
          </w:p>
        </w:tc>
        <w:tc>
          <w:tcPr>
            <w:tcW w:w="1276" w:type="dxa"/>
          </w:tcPr>
          <w:p w14:paraId="26767735" w14:textId="77777777" w:rsidR="00777EC6" w:rsidRPr="00E611AB" w:rsidRDefault="00777EC6" w:rsidP="002F5786">
            <w:pPr>
              <w:pStyle w:val="TAC"/>
            </w:pPr>
            <w:r w:rsidRPr="00E611AB">
              <w:t>T</w:t>
            </w:r>
            <w:r w:rsidRPr="00E611AB">
              <w:rPr>
                <w:vertAlign w:val="subscript"/>
              </w:rPr>
              <w:t>c</w:t>
            </w:r>
          </w:p>
        </w:tc>
      </w:tr>
      <w:tr w:rsidR="00777EC6" w:rsidRPr="00E611AB" w14:paraId="6A77964F" w14:textId="77777777" w:rsidTr="00051ED3">
        <w:trPr>
          <w:cantSplit/>
        </w:trPr>
        <w:tc>
          <w:tcPr>
            <w:tcW w:w="3686" w:type="dxa"/>
          </w:tcPr>
          <w:p w14:paraId="77F24BA8" w14:textId="77777777" w:rsidR="00777EC6" w:rsidRPr="00E611AB" w:rsidRDefault="00777EC6" w:rsidP="002F5786">
            <w:pPr>
              <w:pStyle w:val="TAC"/>
            </w:pPr>
            <w:r w:rsidRPr="00E611AB">
              <w:rPr>
                <w:lang w:eastAsia="zh-CN"/>
              </w:rPr>
              <w:t>RX-TX_TIME_DIFFERENCE_61565</w:t>
            </w:r>
          </w:p>
        </w:tc>
        <w:tc>
          <w:tcPr>
            <w:tcW w:w="3260" w:type="dxa"/>
          </w:tcPr>
          <w:p w14:paraId="254D6C03" w14:textId="77777777" w:rsidR="00777EC6" w:rsidRPr="00E611AB" w:rsidRDefault="00777EC6" w:rsidP="002F5786">
            <w:pPr>
              <w:pStyle w:val="TAC"/>
            </w:pPr>
            <w:r w:rsidRPr="00E611AB">
              <w:rPr>
                <w:lang w:eastAsia="zh-CN"/>
              </w:rPr>
              <w:t>0</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16</w:t>
            </w:r>
          </w:p>
        </w:tc>
        <w:tc>
          <w:tcPr>
            <w:tcW w:w="1276" w:type="dxa"/>
          </w:tcPr>
          <w:p w14:paraId="26356BDC" w14:textId="77777777" w:rsidR="00777EC6" w:rsidRPr="00E611AB" w:rsidRDefault="00777EC6" w:rsidP="002F5786">
            <w:pPr>
              <w:pStyle w:val="TAC"/>
            </w:pPr>
            <w:r w:rsidRPr="00E611AB">
              <w:t>T</w:t>
            </w:r>
            <w:r w:rsidRPr="00E611AB">
              <w:rPr>
                <w:vertAlign w:val="subscript"/>
              </w:rPr>
              <w:t>c</w:t>
            </w:r>
          </w:p>
        </w:tc>
      </w:tr>
      <w:tr w:rsidR="00777EC6" w:rsidRPr="00E611AB" w14:paraId="524119B7"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08CE482B" w14:textId="77777777" w:rsidR="00777EC6" w:rsidRPr="00E611AB" w:rsidRDefault="00777EC6" w:rsidP="002F5786">
            <w:pPr>
              <w:pStyle w:val="TAC"/>
            </w:pPr>
            <w:r w:rsidRPr="00E611AB">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6CB34993" w14:textId="77777777" w:rsidR="00777EC6" w:rsidRPr="00E611AB" w:rsidRDefault="00777EC6" w:rsidP="002F5786">
            <w:pPr>
              <w:pStyle w:val="TAC"/>
            </w:pPr>
            <w:r w:rsidRPr="00E611AB">
              <w:rPr>
                <w:lang w:eastAsia="zh-CN"/>
              </w:rPr>
              <w:t>…</w:t>
            </w:r>
          </w:p>
        </w:tc>
        <w:tc>
          <w:tcPr>
            <w:tcW w:w="1276" w:type="dxa"/>
            <w:tcBorders>
              <w:top w:val="single" w:sz="4" w:space="0" w:color="auto"/>
              <w:left w:val="single" w:sz="4" w:space="0" w:color="auto"/>
              <w:bottom w:val="single" w:sz="4" w:space="0" w:color="auto"/>
              <w:right w:val="single" w:sz="4" w:space="0" w:color="auto"/>
            </w:tcBorders>
          </w:tcPr>
          <w:p w14:paraId="351A6FD5" w14:textId="77777777" w:rsidR="00777EC6" w:rsidRPr="00E611AB" w:rsidRDefault="00777EC6" w:rsidP="002F5786">
            <w:pPr>
              <w:pStyle w:val="TAC"/>
            </w:pPr>
            <w:r w:rsidRPr="00E611AB">
              <w:t>…</w:t>
            </w:r>
          </w:p>
        </w:tc>
      </w:tr>
      <w:tr w:rsidR="00777EC6" w:rsidRPr="00E611AB" w14:paraId="5FC86FCB"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26846B6E" w14:textId="77777777" w:rsidR="00777EC6" w:rsidRPr="00E611AB" w:rsidRDefault="00777EC6" w:rsidP="002F5786">
            <w:pPr>
              <w:pStyle w:val="TAC"/>
            </w:pPr>
            <w:r w:rsidRPr="00E611AB">
              <w:rPr>
                <w:lang w:eastAsia="zh-CN"/>
              </w:rPr>
              <w:t>RX-TX_TIME_DIFFERENCE_123127</w:t>
            </w:r>
          </w:p>
        </w:tc>
        <w:tc>
          <w:tcPr>
            <w:tcW w:w="3260" w:type="dxa"/>
            <w:tcBorders>
              <w:top w:val="single" w:sz="4" w:space="0" w:color="auto"/>
              <w:left w:val="single" w:sz="4" w:space="0" w:color="auto"/>
              <w:bottom w:val="single" w:sz="4" w:space="0" w:color="auto"/>
              <w:right w:val="single" w:sz="4" w:space="0" w:color="auto"/>
            </w:tcBorders>
          </w:tcPr>
          <w:p w14:paraId="411A2EA8" w14:textId="77777777" w:rsidR="00777EC6" w:rsidRPr="00E611AB" w:rsidRDefault="00777EC6" w:rsidP="002F5786">
            <w:pPr>
              <w:pStyle w:val="TAC"/>
            </w:pPr>
            <w:r w:rsidRPr="00E611AB">
              <w:rPr>
                <w:lang w:eastAsia="zh-CN"/>
              </w:rPr>
              <w:t xml:space="preserve">984992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985008</w:t>
            </w:r>
          </w:p>
        </w:tc>
        <w:tc>
          <w:tcPr>
            <w:tcW w:w="1276" w:type="dxa"/>
            <w:tcBorders>
              <w:top w:val="single" w:sz="4" w:space="0" w:color="auto"/>
              <w:left w:val="single" w:sz="4" w:space="0" w:color="auto"/>
              <w:bottom w:val="single" w:sz="4" w:space="0" w:color="auto"/>
              <w:right w:val="single" w:sz="4" w:space="0" w:color="auto"/>
            </w:tcBorders>
          </w:tcPr>
          <w:p w14:paraId="247CB8C0" w14:textId="77777777" w:rsidR="00777EC6" w:rsidRPr="00E611AB" w:rsidRDefault="00777EC6" w:rsidP="002F5786">
            <w:pPr>
              <w:pStyle w:val="TAC"/>
            </w:pPr>
            <w:r w:rsidRPr="00E611AB">
              <w:t>T</w:t>
            </w:r>
            <w:r w:rsidRPr="00E611AB">
              <w:rPr>
                <w:vertAlign w:val="subscript"/>
              </w:rPr>
              <w:t>c</w:t>
            </w:r>
          </w:p>
        </w:tc>
      </w:tr>
      <w:tr w:rsidR="00777EC6" w:rsidRPr="00E611AB" w14:paraId="3024339A"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2775BAFB" w14:textId="77777777" w:rsidR="00777EC6" w:rsidRPr="00E611AB" w:rsidRDefault="00777EC6" w:rsidP="002F5786">
            <w:pPr>
              <w:pStyle w:val="TAC"/>
            </w:pPr>
            <w:r w:rsidRPr="00E611AB">
              <w:rPr>
                <w:lang w:eastAsia="zh-CN"/>
              </w:rPr>
              <w:t>RX-TX_TIME_DIFFERENCE_123128</w:t>
            </w:r>
          </w:p>
        </w:tc>
        <w:tc>
          <w:tcPr>
            <w:tcW w:w="3260" w:type="dxa"/>
            <w:tcBorders>
              <w:top w:val="single" w:sz="4" w:space="0" w:color="auto"/>
              <w:left w:val="single" w:sz="4" w:space="0" w:color="auto"/>
              <w:bottom w:val="single" w:sz="4" w:space="0" w:color="auto"/>
              <w:right w:val="single" w:sz="4" w:space="0" w:color="auto"/>
            </w:tcBorders>
          </w:tcPr>
          <w:p w14:paraId="6A92E8CD" w14:textId="77777777" w:rsidR="00777EC6" w:rsidRPr="00E611AB" w:rsidRDefault="00777EC6" w:rsidP="002F5786">
            <w:pPr>
              <w:pStyle w:val="TAC"/>
            </w:pPr>
            <w:r w:rsidRPr="00E611AB">
              <w:rPr>
                <w:lang w:eastAsia="zh-CN"/>
              </w:rPr>
              <w:t xml:space="preserve">985008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985024</w:t>
            </w:r>
          </w:p>
        </w:tc>
        <w:tc>
          <w:tcPr>
            <w:tcW w:w="1276" w:type="dxa"/>
            <w:tcBorders>
              <w:top w:val="single" w:sz="4" w:space="0" w:color="auto"/>
              <w:left w:val="single" w:sz="4" w:space="0" w:color="auto"/>
              <w:bottom w:val="single" w:sz="4" w:space="0" w:color="auto"/>
              <w:right w:val="single" w:sz="4" w:space="0" w:color="auto"/>
            </w:tcBorders>
          </w:tcPr>
          <w:p w14:paraId="20F9F477" w14:textId="77777777" w:rsidR="00777EC6" w:rsidRPr="00E611AB" w:rsidRDefault="00777EC6" w:rsidP="002F5786">
            <w:pPr>
              <w:pStyle w:val="TAC"/>
            </w:pPr>
            <w:r w:rsidRPr="00E611AB">
              <w:t>T</w:t>
            </w:r>
            <w:r w:rsidRPr="00E611AB">
              <w:rPr>
                <w:vertAlign w:val="subscript"/>
              </w:rPr>
              <w:t>c</w:t>
            </w:r>
          </w:p>
        </w:tc>
      </w:tr>
      <w:tr w:rsidR="00777EC6" w:rsidRPr="00E611AB" w14:paraId="46C9E749"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77DC6186" w14:textId="77777777" w:rsidR="00777EC6" w:rsidRPr="00E611AB" w:rsidRDefault="00777EC6" w:rsidP="002F5786">
            <w:pPr>
              <w:pStyle w:val="TAC"/>
            </w:pPr>
            <w:r w:rsidRPr="00E611AB">
              <w:rPr>
                <w:lang w:eastAsia="zh-CN"/>
              </w:rPr>
              <w:t>RX-TX_TIME_DIFFERENCE_123129</w:t>
            </w:r>
          </w:p>
        </w:tc>
        <w:tc>
          <w:tcPr>
            <w:tcW w:w="3260" w:type="dxa"/>
            <w:tcBorders>
              <w:top w:val="single" w:sz="4" w:space="0" w:color="auto"/>
              <w:left w:val="single" w:sz="4" w:space="0" w:color="auto"/>
              <w:bottom w:val="single" w:sz="4" w:space="0" w:color="auto"/>
              <w:right w:val="single" w:sz="4" w:space="0" w:color="auto"/>
            </w:tcBorders>
          </w:tcPr>
          <w:p w14:paraId="5C9655ED"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rPr>
              <w:t></w:t>
            </w:r>
            <w:r w:rsidRPr="00E611AB">
              <w:rPr>
                <w:lang w:eastAsia="zh-CN"/>
              </w:rPr>
              <w:t xml:space="preserve"> T</w:t>
            </w:r>
            <w:r w:rsidRPr="00E611AB">
              <w:rPr>
                <w:vertAlign w:val="subscript"/>
                <w:lang w:eastAsia="zh-CN"/>
              </w:rPr>
              <w:t>UE Rx-Tx</w:t>
            </w:r>
          </w:p>
        </w:tc>
        <w:tc>
          <w:tcPr>
            <w:tcW w:w="1276" w:type="dxa"/>
            <w:tcBorders>
              <w:top w:val="single" w:sz="4" w:space="0" w:color="auto"/>
              <w:left w:val="single" w:sz="4" w:space="0" w:color="auto"/>
              <w:bottom w:val="single" w:sz="4" w:space="0" w:color="auto"/>
              <w:right w:val="single" w:sz="4" w:space="0" w:color="auto"/>
            </w:tcBorders>
          </w:tcPr>
          <w:p w14:paraId="0E6B55DE" w14:textId="77777777" w:rsidR="00777EC6" w:rsidRPr="00E611AB" w:rsidRDefault="00777EC6" w:rsidP="002F5786">
            <w:pPr>
              <w:pStyle w:val="TAC"/>
            </w:pPr>
            <w:r w:rsidRPr="00E611AB">
              <w:t>T</w:t>
            </w:r>
            <w:r w:rsidRPr="00E611AB">
              <w:rPr>
                <w:vertAlign w:val="subscript"/>
              </w:rPr>
              <w:t>c</w:t>
            </w:r>
          </w:p>
        </w:tc>
      </w:tr>
    </w:tbl>
    <w:p w14:paraId="4ABAB9DB" w14:textId="77777777" w:rsidR="00777EC6" w:rsidRDefault="00777EC6" w:rsidP="002F5786"/>
    <w:p w14:paraId="7878D455" w14:textId="77777777" w:rsidR="00777EC6" w:rsidRPr="00E611AB" w:rsidRDefault="00777EC6" w:rsidP="00777EC6">
      <w:pPr>
        <w:keepNext/>
        <w:keepLines/>
        <w:spacing w:before="240" w:after="120"/>
        <w:jc w:val="center"/>
        <w:rPr>
          <w:rFonts w:ascii="Arial" w:hAnsi="Arial" w:cs="Arial"/>
          <w:b/>
          <w:bCs/>
          <w:lang w:val="en-US" w:eastAsia="ja-JP"/>
        </w:rPr>
      </w:pPr>
      <w:r w:rsidRPr="002F5786">
        <w:rPr>
          <w:rFonts w:ascii="Arial" w:hAnsi="Arial"/>
          <w:b/>
        </w:rPr>
        <w:t xml:space="preserve">Table 10.1.25.3.1-6: Absolute UE Rx-Tx time difference measurement report mapping for </w:t>
      </w:r>
      <w:r w:rsidRPr="002F5786">
        <w:rPr>
          <w:rFonts w:ascii="Arial" w:hAnsi="Arial"/>
          <w:b/>
          <w:i/>
          <w:iCs/>
        </w:rPr>
        <w:t>k</w:t>
      </w:r>
      <w:r w:rsidRPr="002F5786">
        <w:rPr>
          <w:rFonts w:ascii="Arial" w:hAnsi="Arial"/>
          <w:b/>
        </w:rPr>
        <w:t>=</w:t>
      </w:r>
      <w:r w:rsidRPr="00E611AB">
        <w:rPr>
          <w:rFonts w:ascii="Arial" w:hAnsi="Arial"/>
          <w:b/>
          <w:bCs/>
        </w:rPr>
        <w:t>5</w:t>
      </w:r>
    </w:p>
    <w:tbl>
      <w:tblPr>
        <w:tblW w:w="822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3260"/>
        <w:gridCol w:w="1276"/>
      </w:tblGrid>
      <w:tr w:rsidR="00777EC6" w:rsidRPr="00E611AB" w14:paraId="302B8374" w14:textId="77777777" w:rsidTr="00051ED3">
        <w:trPr>
          <w:cantSplit/>
          <w:trHeight w:val="207"/>
        </w:trPr>
        <w:tc>
          <w:tcPr>
            <w:tcW w:w="3686" w:type="dxa"/>
            <w:vAlign w:val="center"/>
          </w:tcPr>
          <w:p w14:paraId="4E76AF8C" w14:textId="77777777" w:rsidR="00777EC6" w:rsidRPr="00E611AB" w:rsidRDefault="00777EC6" w:rsidP="002F5786">
            <w:pPr>
              <w:pStyle w:val="TAH"/>
            </w:pPr>
            <w:r w:rsidRPr="00E611AB">
              <w:t>Reported Quantity Value</w:t>
            </w:r>
          </w:p>
        </w:tc>
        <w:tc>
          <w:tcPr>
            <w:tcW w:w="3260" w:type="dxa"/>
            <w:vAlign w:val="center"/>
          </w:tcPr>
          <w:p w14:paraId="3A3972A3" w14:textId="77777777" w:rsidR="00777EC6" w:rsidRPr="00E611AB" w:rsidRDefault="00777EC6" w:rsidP="002F5786">
            <w:pPr>
              <w:pStyle w:val="TAH"/>
            </w:pPr>
            <w:r w:rsidRPr="00E611AB">
              <w:t>Measured Quantity Value</w:t>
            </w:r>
          </w:p>
        </w:tc>
        <w:tc>
          <w:tcPr>
            <w:tcW w:w="1276" w:type="dxa"/>
            <w:vAlign w:val="center"/>
          </w:tcPr>
          <w:p w14:paraId="48EFBCD1" w14:textId="77777777" w:rsidR="00777EC6" w:rsidRPr="00E611AB" w:rsidRDefault="00777EC6" w:rsidP="002F5786">
            <w:pPr>
              <w:pStyle w:val="TAH"/>
            </w:pPr>
            <w:r w:rsidRPr="00E611AB">
              <w:t>Unit</w:t>
            </w:r>
          </w:p>
        </w:tc>
      </w:tr>
      <w:tr w:rsidR="00777EC6" w:rsidRPr="00E611AB" w14:paraId="35842F47" w14:textId="77777777" w:rsidTr="00051ED3">
        <w:trPr>
          <w:cantSplit/>
        </w:trPr>
        <w:tc>
          <w:tcPr>
            <w:tcW w:w="3686" w:type="dxa"/>
          </w:tcPr>
          <w:p w14:paraId="105ED7B4" w14:textId="77777777" w:rsidR="00777EC6" w:rsidRPr="00E611AB" w:rsidRDefault="00777EC6" w:rsidP="002F5786">
            <w:pPr>
              <w:pStyle w:val="TAC"/>
            </w:pPr>
            <w:r w:rsidRPr="00E611AB">
              <w:rPr>
                <w:lang w:eastAsia="zh-CN"/>
              </w:rPr>
              <w:t>RX-TX_TIME_DIFFERENCE_</w:t>
            </w:r>
            <w:r w:rsidRPr="00E611AB">
              <w:t>0000</w:t>
            </w:r>
          </w:p>
        </w:tc>
        <w:tc>
          <w:tcPr>
            <w:tcW w:w="3260" w:type="dxa"/>
          </w:tcPr>
          <w:p w14:paraId="2185D0B6" w14:textId="77777777" w:rsidR="00777EC6" w:rsidRPr="00E611AB" w:rsidRDefault="00777EC6" w:rsidP="002F5786">
            <w:pPr>
              <w:pStyle w:val="TAC"/>
            </w:pPr>
            <w:r w:rsidRPr="00E611AB">
              <w:rPr>
                <w:lang w:eastAsia="zh-CN"/>
              </w:rPr>
              <w:t>T</w:t>
            </w:r>
            <w:r w:rsidRPr="00E611AB">
              <w:rPr>
                <w:vertAlign w:val="subscript"/>
                <w:lang w:eastAsia="zh-CN"/>
              </w:rPr>
              <w:t>UE Rx-Tx</w:t>
            </w:r>
            <w:r w:rsidRPr="00E611AB">
              <w:rPr>
                <w:lang w:eastAsia="zh-CN"/>
              </w:rPr>
              <w:t xml:space="preserve"> &lt; -985024</w:t>
            </w:r>
          </w:p>
        </w:tc>
        <w:tc>
          <w:tcPr>
            <w:tcW w:w="1276" w:type="dxa"/>
          </w:tcPr>
          <w:p w14:paraId="25A49210" w14:textId="77777777" w:rsidR="00777EC6" w:rsidRPr="00E611AB" w:rsidRDefault="00777EC6" w:rsidP="002F5786">
            <w:pPr>
              <w:pStyle w:val="TAC"/>
            </w:pPr>
            <w:r w:rsidRPr="00E611AB">
              <w:t>T</w:t>
            </w:r>
            <w:r w:rsidRPr="00E611AB">
              <w:rPr>
                <w:vertAlign w:val="subscript"/>
              </w:rPr>
              <w:t>c</w:t>
            </w:r>
          </w:p>
        </w:tc>
      </w:tr>
      <w:tr w:rsidR="00777EC6" w:rsidRPr="00E611AB" w14:paraId="1E2E7F27" w14:textId="77777777" w:rsidTr="00051ED3">
        <w:trPr>
          <w:cantSplit/>
        </w:trPr>
        <w:tc>
          <w:tcPr>
            <w:tcW w:w="3686" w:type="dxa"/>
          </w:tcPr>
          <w:p w14:paraId="2B168ADD" w14:textId="77777777" w:rsidR="00777EC6" w:rsidRPr="00E611AB" w:rsidRDefault="00777EC6" w:rsidP="002F5786">
            <w:pPr>
              <w:pStyle w:val="TAC"/>
            </w:pPr>
            <w:r w:rsidRPr="00E611AB">
              <w:rPr>
                <w:lang w:eastAsia="zh-CN"/>
              </w:rPr>
              <w:t>RX-TX_TIME_DIFFERENCE_</w:t>
            </w:r>
            <w:r w:rsidRPr="00E611AB">
              <w:t>0001</w:t>
            </w:r>
          </w:p>
        </w:tc>
        <w:tc>
          <w:tcPr>
            <w:tcW w:w="3260" w:type="dxa"/>
          </w:tcPr>
          <w:p w14:paraId="1ADA127C"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-984992</w:t>
            </w:r>
          </w:p>
        </w:tc>
        <w:tc>
          <w:tcPr>
            <w:tcW w:w="1276" w:type="dxa"/>
          </w:tcPr>
          <w:p w14:paraId="3B03DC7D" w14:textId="77777777" w:rsidR="00777EC6" w:rsidRPr="00E611AB" w:rsidRDefault="00777EC6" w:rsidP="002F5786">
            <w:pPr>
              <w:pStyle w:val="TAC"/>
            </w:pPr>
            <w:r w:rsidRPr="00E611AB">
              <w:t>T</w:t>
            </w:r>
            <w:r w:rsidRPr="00E611AB">
              <w:rPr>
                <w:vertAlign w:val="subscript"/>
              </w:rPr>
              <w:t>c</w:t>
            </w:r>
          </w:p>
        </w:tc>
      </w:tr>
      <w:tr w:rsidR="00777EC6" w:rsidRPr="00E611AB" w14:paraId="08B7E591" w14:textId="77777777" w:rsidTr="00051ED3">
        <w:trPr>
          <w:cantSplit/>
        </w:trPr>
        <w:tc>
          <w:tcPr>
            <w:tcW w:w="3686" w:type="dxa"/>
          </w:tcPr>
          <w:p w14:paraId="78D0C98A" w14:textId="77777777" w:rsidR="00777EC6" w:rsidRPr="00E611AB" w:rsidRDefault="00777EC6" w:rsidP="002F5786">
            <w:pPr>
              <w:pStyle w:val="TAC"/>
            </w:pPr>
            <w:r w:rsidRPr="00E611AB">
              <w:rPr>
                <w:lang w:eastAsia="zh-CN"/>
              </w:rPr>
              <w:t>RX-TX_TIME_DIFFERENCE_</w:t>
            </w:r>
            <w:r w:rsidRPr="00E611AB">
              <w:t>0002</w:t>
            </w:r>
          </w:p>
        </w:tc>
        <w:tc>
          <w:tcPr>
            <w:tcW w:w="3260" w:type="dxa"/>
          </w:tcPr>
          <w:p w14:paraId="7CD0B32F" w14:textId="77777777" w:rsidR="00777EC6" w:rsidRPr="00E611AB" w:rsidRDefault="00777EC6" w:rsidP="002F5786">
            <w:pPr>
              <w:pStyle w:val="TAC"/>
            </w:pPr>
            <w:r w:rsidRPr="00E611AB">
              <w:rPr>
                <w:lang w:eastAsia="zh-CN"/>
              </w:rPr>
              <w:t xml:space="preserve">-984992 </w:t>
            </w:r>
            <w:r w:rsidRPr="00E611AB">
              <w:rPr>
                <w:rFonts w:ascii="Symbol" w:eastAsia="Symbol" w:hAnsi="Symbol" w:cs="Symbol"/>
                <w:lang w:eastAsia="zh-CN"/>
              </w:rPr>
              <w:t></w:t>
            </w:r>
            <w:r w:rsidRPr="00E611AB">
              <w:rPr>
                <w:lang w:eastAsia="zh-CN"/>
              </w:rPr>
              <w:t xml:space="preserve"> T</w:t>
            </w:r>
            <w:r w:rsidRPr="00E611AB">
              <w:rPr>
                <w:vertAlign w:val="subscript"/>
                <w:lang w:eastAsia="zh-CN"/>
              </w:rPr>
              <w:t>UE Rx-Tx</w:t>
            </w:r>
            <w:r w:rsidRPr="00E611AB">
              <w:rPr>
                <w:lang w:eastAsia="zh-CN"/>
              </w:rPr>
              <w:t xml:space="preserve"> &lt; -984960</w:t>
            </w:r>
          </w:p>
        </w:tc>
        <w:tc>
          <w:tcPr>
            <w:tcW w:w="1276" w:type="dxa"/>
          </w:tcPr>
          <w:p w14:paraId="6D76FC3F" w14:textId="77777777" w:rsidR="00777EC6" w:rsidRPr="00E611AB" w:rsidRDefault="00777EC6" w:rsidP="002F5786">
            <w:pPr>
              <w:pStyle w:val="TAC"/>
            </w:pPr>
            <w:r w:rsidRPr="00E611AB">
              <w:t>T</w:t>
            </w:r>
            <w:r w:rsidRPr="00E611AB">
              <w:rPr>
                <w:vertAlign w:val="subscript"/>
              </w:rPr>
              <w:t>c</w:t>
            </w:r>
          </w:p>
        </w:tc>
      </w:tr>
      <w:tr w:rsidR="00777EC6" w:rsidRPr="00E611AB" w14:paraId="7DC255CF" w14:textId="77777777" w:rsidTr="00051ED3">
        <w:trPr>
          <w:cantSplit/>
        </w:trPr>
        <w:tc>
          <w:tcPr>
            <w:tcW w:w="3686" w:type="dxa"/>
          </w:tcPr>
          <w:p w14:paraId="11EE95B7" w14:textId="77777777" w:rsidR="00777EC6" w:rsidRPr="00E611AB" w:rsidRDefault="00777EC6" w:rsidP="002F5786">
            <w:pPr>
              <w:pStyle w:val="TAC"/>
            </w:pPr>
            <w:r w:rsidRPr="00E611AB">
              <w:rPr>
                <w:rFonts w:ascii="Symbol" w:eastAsia="Symbol" w:hAnsi="Symbol" w:cs="Symbol"/>
              </w:rPr>
              <w:t></w:t>
            </w:r>
          </w:p>
        </w:tc>
        <w:tc>
          <w:tcPr>
            <w:tcW w:w="3260" w:type="dxa"/>
          </w:tcPr>
          <w:p w14:paraId="08F23D23" w14:textId="77777777" w:rsidR="00777EC6" w:rsidRPr="00E611AB" w:rsidRDefault="00777EC6" w:rsidP="002F5786">
            <w:pPr>
              <w:pStyle w:val="TAC"/>
            </w:pPr>
            <w:r w:rsidRPr="00E611AB">
              <w:rPr>
                <w:rFonts w:ascii="Symbol" w:eastAsia="Symbol" w:hAnsi="Symbol" w:cs="Symbol"/>
              </w:rPr>
              <w:t></w:t>
            </w:r>
          </w:p>
        </w:tc>
        <w:tc>
          <w:tcPr>
            <w:tcW w:w="1276" w:type="dxa"/>
          </w:tcPr>
          <w:p w14:paraId="50202F45" w14:textId="77777777" w:rsidR="00777EC6" w:rsidRPr="00E611AB" w:rsidRDefault="00777EC6" w:rsidP="002F5786">
            <w:pPr>
              <w:pStyle w:val="TAC"/>
            </w:pPr>
            <w:r w:rsidRPr="00E611AB">
              <w:t>…</w:t>
            </w:r>
          </w:p>
        </w:tc>
      </w:tr>
      <w:tr w:rsidR="00777EC6" w:rsidRPr="00E611AB" w14:paraId="44AF922F" w14:textId="77777777" w:rsidTr="00051ED3">
        <w:trPr>
          <w:cantSplit/>
        </w:trPr>
        <w:tc>
          <w:tcPr>
            <w:tcW w:w="3686" w:type="dxa"/>
          </w:tcPr>
          <w:p w14:paraId="2362EE0C" w14:textId="77777777" w:rsidR="00777EC6" w:rsidRPr="00E611AB" w:rsidRDefault="00777EC6" w:rsidP="002F5786">
            <w:pPr>
              <w:pStyle w:val="TAC"/>
            </w:pPr>
            <w:r w:rsidRPr="00E611AB">
              <w:rPr>
                <w:lang w:eastAsia="zh-CN"/>
              </w:rPr>
              <w:t>RX-TX_TIME_DIFFERENCE_30782</w:t>
            </w:r>
          </w:p>
        </w:tc>
        <w:tc>
          <w:tcPr>
            <w:tcW w:w="3260" w:type="dxa"/>
          </w:tcPr>
          <w:p w14:paraId="255301FA" w14:textId="77777777" w:rsidR="00777EC6" w:rsidRPr="00E611AB" w:rsidRDefault="00777EC6" w:rsidP="002F5786">
            <w:pPr>
              <w:pStyle w:val="TAC"/>
            </w:pPr>
            <w:r w:rsidRPr="00E611AB">
              <w:rPr>
                <w:lang w:eastAsia="zh-CN"/>
              </w:rPr>
              <w:t>-32</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0</w:t>
            </w:r>
          </w:p>
        </w:tc>
        <w:tc>
          <w:tcPr>
            <w:tcW w:w="1276" w:type="dxa"/>
          </w:tcPr>
          <w:p w14:paraId="7C7F8F76" w14:textId="77777777" w:rsidR="00777EC6" w:rsidRPr="00E611AB" w:rsidRDefault="00777EC6" w:rsidP="002F5786">
            <w:pPr>
              <w:pStyle w:val="TAC"/>
            </w:pPr>
            <w:r w:rsidRPr="00E611AB">
              <w:t>T</w:t>
            </w:r>
            <w:r w:rsidRPr="00E611AB">
              <w:rPr>
                <w:vertAlign w:val="subscript"/>
              </w:rPr>
              <w:t>c</w:t>
            </w:r>
          </w:p>
        </w:tc>
      </w:tr>
      <w:tr w:rsidR="00777EC6" w:rsidRPr="00E611AB" w14:paraId="5F46D35E" w14:textId="77777777" w:rsidTr="00051ED3">
        <w:trPr>
          <w:cantSplit/>
        </w:trPr>
        <w:tc>
          <w:tcPr>
            <w:tcW w:w="3686" w:type="dxa"/>
          </w:tcPr>
          <w:p w14:paraId="1E87F9B5" w14:textId="77777777" w:rsidR="00777EC6" w:rsidRPr="00E611AB" w:rsidRDefault="00777EC6" w:rsidP="002F5786">
            <w:pPr>
              <w:pStyle w:val="TAC"/>
            </w:pPr>
            <w:r w:rsidRPr="00E611AB">
              <w:rPr>
                <w:lang w:eastAsia="zh-CN"/>
              </w:rPr>
              <w:t>RX-TX_TIME_DIFFERENCE_30783</w:t>
            </w:r>
          </w:p>
        </w:tc>
        <w:tc>
          <w:tcPr>
            <w:tcW w:w="3260" w:type="dxa"/>
          </w:tcPr>
          <w:p w14:paraId="6183460E" w14:textId="77777777" w:rsidR="00777EC6" w:rsidRPr="00E611AB" w:rsidRDefault="00777EC6" w:rsidP="002F5786">
            <w:pPr>
              <w:pStyle w:val="TAC"/>
            </w:pPr>
            <w:r w:rsidRPr="00E611AB">
              <w:rPr>
                <w:lang w:eastAsia="zh-CN"/>
              </w:rPr>
              <w:t>0</w:t>
            </w:r>
            <w:r w:rsidRPr="00E611AB">
              <w:t xml:space="preserve"> </w:t>
            </w:r>
            <w:r w:rsidRPr="00E611AB">
              <w:rPr>
                <w:rFonts w:ascii="Symbol" w:eastAsia="Symbol" w:hAnsi="Symbol" w:cs="Symbol"/>
              </w:rPr>
              <w:t></w:t>
            </w:r>
            <w:r w:rsidRPr="00E611AB">
              <w:t xml:space="preserve"> </w:t>
            </w:r>
            <w:r w:rsidRPr="00E611AB">
              <w:rPr>
                <w:lang w:eastAsia="zh-CN"/>
              </w:rPr>
              <w:t>T</w:t>
            </w:r>
            <w:r w:rsidRPr="00E611AB">
              <w:rPr>
                <w:vertAlign w:val="subscript"/>
                <w:lang w:eastAsia="zh-CN"/>
              </w:rPr>
              <w:t>UE Rx-Tx</w:t>
            </w:r>
            <w:r w:rsidRPr="00E611AB">
              <w:t xml:space="preserve"> &lt; </w:t>
            </w:r>
            <w:r w:rsidRPr="00E611AB">
              <w:rPr>
                <w:lang w:eastAsia="zh-CN"/>
              </w:rPr>
              <w:t>32</w:t>
            </w:r>
          </w:p>
        </w:tc>
        <w:tc>
          <w:tcPr>
            <w:tcW w:w="1276" w:type="dxa"/>
          </w:tcPr>
          <w:p w14:paraId="042374DC" w14:textId="77777777" w:rsidR="00777EC6" w:rsidRPr="00E611AB" w:rsidRDefault="00777EC6" w:rsidP="002F5786">
            <w:pPr>
              <w:pStyle w:val="TAC"/>
            </w:pPr>
            <w:r w:rsidRPr="00E611AB">
              <w:t>T</w:t>
            </w:r>
            <w:r w:rsidRPr="00E611AB">
              <w:rPr>
                <w:vertAlign w:val="subscript"/>
              </w:rPr>
              <w:t>c</w:t>
            </w:r>
          </w:p>
        </w:tc>
      </w:tr>
      <w:tr w:rsidR="00777EC6" w:rsidRPr="00E611AB" w14:paraId="75A2419A"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3B27A6DF" w14:textId="77777777" w:rsidR="00777EC6" w:rsidRPr="00E611AB" w:rsidRDefault="00777EC6" w:rsidP="002F5786">
            <w:pPr>
              <w:pStyle w:val="TAC"/>
            </w:pPr>
            <w:r w:rsidRPr="00E611AB">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7B399E29" w14:textId="77777777" w:rsidR="00777EC6" w:rsidRPr="00E611AB" w:rsidRDefault="00777EC6" w:rsidP="002F5786">
            <w:pPr>
              <w:pStyle w:val="TAC"/>
            </w:pPr>
            <w:r w:rsidRPr="00E611AB">
              <w:rPr>
                <w:lang w:eastAsia="zh-CN"/>
              </w:rPr>
              <w:t>…</w:t>
            </w:r>
          </w:p>
        </w:tc>
        <w:tc>
          <w:tcPr>
            <w:tcW w:w="1276" w:type="dxa"/>
            <w:tcBorders>
              <w:top w:val="single" w:sz="4" w:space="0" w:color="auto"/>
              <w:left w:val="single" w:sz="4" w:space="0" w:color="auto"/>
              <w:bottom w:val="single" w:sz="4" w:space="0" w:color="auto"/>
              <w:right w:val="single" w:sz="4" w:space="0" w:color="auto"/>
            </w:tcBorders>
          </w:tcPr>
          <w:p w14:paraId="6C759356" w14:textId="77777777" w:rsidR="00777EC6" w:rsidRPr="00E611AB" w:rsidRDefault="00777EC6" w:rsidP="002F5786">
            <w:pPr>
              <w:pStyle w:val="TAC"/>
            </w:pPr>
            <w:r w:rsidRPr="00E611AB">
              <w:t>…</w:t>
            </w:r>
          </w:p>
        </w:tc>
      </w:tr>
      <w:tr w:rsidR="00777EC6" w:rsidRPr="00E611AB" w14:paraId="10794845"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6CBB986B" w14:textId="77777777" w:rsidR="00777EC6" w:rsidRPr="00E611AB" w:rsidRDefault="00777EC6" w:rsidP="002F5786">
            <w:pPr>
              <w:pStyle w:val="TAC"/>
            </w:pPr>
            <w:r w:rsidRPr="00E611AB">
              <w:rPr>
                <w:lang w:eastAsia="zh-CN"/>
              </w:rPr>
              <w:t>RX-TX_TIME_DIFFERENCE_61563</w:t>
            </w:r>
          </w:p>
        </w:tc>
        <w:tc>
          <w:tcPr>
            <w:tcW w:w="3260" w:type="dxa"/>
            <w:tcBorders>
              <w:top w:val="single" w:sz="4" w:space="0" w:color="auto"/>
              <w:left w:val="single" w:sz="4" w:space="0" w:color="auto"/>
              <w:bottom w:val="single" w:sz="4" w:space="0" w:color="auto"/>
              <w:right w:val="single" w:sz="4" w:space="0" w:color="auto"/>
            </w:tcBorders>
          </w:tcPr>
          <w:p w14:paraId="73D33B3A" w14:textId="77777777" w:rsidR="00777EC6" w:rsidRPr="00E611AB" w:rsidRDefault="00777EC6" w:rsidP="002F5786">
            <w:pPr>
              <w:pStyle w:val="TAC"/>
            </w:pPr>
            <w:r w:rsidRPr="00E611AB">
              <w:rPr>
                <w:lang w:eastAsia="zh-CN"/>
              </w:rPr>
              <w:t xml:space="preserve">984960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984992</w:t>
            </w:r>
          </w:p>
        </w:tc>
        <w:tc>
          <w:tcPr>
            <w:tcW w:w="1276" w:type="dxa"/>
            <w:tcBorders>
              <w:top w:val="single" w:sz="4" w:space="0" w:color="auto"/>
              <w:left w:val="single" w:sz="4" w:space="0" w:color="auto"/>
              <w:bottom w:val="single" w:sz="4" w:space="0" w:color="auto"/>
              <w:right w:val="single" w:sz="4" w:space="0" w:color="auto"/>
            </w:tcBorders>
          </w:tcPr>
          <w:p w14:paraId="099411BD" w14:textId="77777777" w:rsidR="00777EC6" w:rsidRPr="00E611AB" w:rsidRDefault="00777EC6" w:rsidP="002F5786">
            <w:pPr>
              <w:pStyle w:val="TAC"/>
            </w:pPr>
            <w:r w:rsidRPr="00E611AB">
              <w:t>T</w:t>
            </w:r>
            <w:r w:rsidRPr="00E611AB">
              <w:rPr>
                <w:vertAlign w:val="subscript"/>
              </w:rPr>
              <w:t>c</w:t>
            </w:r>
          </w:p>
        </w:tc>
      </w:tr>
      <w:tr w:rsidR="00777EC6" w:rsidRPr="00E611AB" w14:paraId="61E76154"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17D632EB" w14:textId="77777777" w:rsidR="00777EC6" w:rsidRPr="00E611AB" w:rsidRDefault="00777EC6" w:rsidP="002F5786">
            <w:pPr>
              <w:pStyle w:val="TAC"/>
            </w:pPr>
            <w:r w:rsidRPr="00E611AB">
              <w:rPr>
                <w:lang w:eastAsia="zh-CN"/>
              </w:rPr>
              <w:t>RX-TX_TIME_DIFFERENCE_61564</w:t>
            </w:r>
          </w:p>
        </w:tc>
        <w:tc>
          <w:tcPr>
            <w:tcW w:w="3260" w:type="dxa"/>
            <w:tcBorders>
              <w:top w:val="single" w:sz="4" w:space="0" w:color="auto"/>
              <w:left w:val="single" w:sz="4" w:space="0" w:color="auto"/>
              <w:bottom w:val="single" w:sz="4" w:space="0" w:color="auto"/>
              <w:right w:val="single" w:sz="4" w:space="0" w:color="auto"/>
            </w:tcBorders>
          </w:tcPr>
          <w:p w14:paraId="0F6C2F86" w14:textId="77777777" w:rsidR="00777EC6" w:rsidRPr="00E611AB" w:rsidRDefault="00777EC6" w:rsidP="002F5786">
            <w:pPr>
              <w:pStyle w:val="TAC"/>
            </w:pPr>
            <w:r w:rsidRPr="00E611AB">
              <w:rPr>
                <w:lang w:eastAsia="zh-CN"/>
              </w:rPr>
              <w:t xml:space="preserve">984992 </w:t>
            </w:r>
            <w:r w:rsidRPr="00E611AB">
              <w:rPr>
                <w:rFonts w:ascii="Symbol" w:eastAsia="Symbol" w:hAnsi="Symbol" w:cs="Symbol"/>
              </w:rPr>
              <w:t></w:t>
            </w:r>
            <w:r w:rsidRPr="00E611AB">
              <w:rPr>
                <w:lang w:eastAsia="zh-CN"/>
              </w:rPr>
              <w:t xml:space="preserve"> T</w:t>
            </w:r>
            <w:r w:rsidRPr="00E611AB">
              <w:rPr>
                <w:vertAlign w:val="subscript"/>
                <w:lang w:eastAsia="zh-CN"/>
              </w:rPr>
              <w:t>UE Rx-Tx</w:t>
            </w:r>
            <w:r w:rsidRPr="00E611AB">
              <w:rPr>
                <w:lang w:eastAsia="zh-CN"/>
              </w:rPr>
              <w:t xml:space="preserve"> </w:t>
            </w:r>
            <w:r w:rsidRPr="00E611AB">
              <w:t>&lt;</w:t>
            </w:r>
            <w:r w:rsidRPr="00E611AB">
              <w:rPr>
                <w:lang w:eastAsia="zh-CN"/>
              </w:rPr>
              <w:t xml:space="preserve"> 985024</w:t>
            </w:r>
          </w:p>
        </w:tc>
        <w:tc>
          <w:tcPr>
            <w:tcW w:w="1276" w:type="dxa"/>
            <w:tcBorders>
              <w:top w:val="single" w:sz="4" w:space="0" w:color="auto"/>
              <w:left w:val="single" w:sz="4" w:space="0" w:color="auto"/>
              <w:bottom w:val="single" w:sz="4" w:space="0" w:color="auto"/>
              <w:right w:val="single" w:sz="4" w:space="0" w:color="auto"/>
            </w:tcBorders>
          </w:tcPr>
          <w:p w14:paraId="4467EC77" w14:textId="77777777" w:rsidR="00777EC6" w:rsidRPr="00E611AB" w:rsidRDefault="00777EC6" w:rsidP="002F5786">
            <w:pPr>
              <w:pStyle w:val="TAC"/>
            </w:pPr>
            <w:r w:rsidRPr="00E611AB">
              <w:t>T</w:t>
            </w:r>
            <w:r w:rsidRPr="00E611AB">
              <w:rPr>
                <w:vertAlign w:val="subscript"/>
              </w:rPr>
              <w:t>c</w:t>
            </w:r>
          </w:p>
        </w:tc>
      </w:tr>
      <w:tr w:rsidR="00777EC6" w:rsidRPr="00E611AB" w14:paraId="67E9986C" w14:textId="77777777" w:rsidTr="00051ED3">
        <w:trPr>
          <w:cantSplit/>
        </w:trPr>
        <w:tc>
          <w:tcPr>
            <w:tcW w:w="3686" w:type="dxa"/>
            <w:tcBorders>
              <w:top w:val="single" w:sz="4" w:space="0" w:color="auto"/>
              <w:left w:val="single" w:sz="4" w:space="0" w:color="auto"/>
              <w:bottom w:val="single" w:sz="4" w:space="0" w:color="auto"/>
              <w:right w:val="single" w:sz="4" w:space="0" w:color="auto"/>
            </w:tcBorders>
          </w:tcPr>
          <w:p w14:paraId="048DB407" w14:textId="77777777" w:rsidR="00777EC6" w:rsidRPr="00E611AB" w:rsidRDefault="00777EC6" w:rsidP="002F5786">
            <w:pPr>
              <w:pStyle w:val="TAC"/>
            </w:pPr>
            <w:r w:rsidRPr="00E611AB">
              <w:rPr>
                <w:lang w:eastAsia="zh-CN"/>
              </w:rPr>
              <w:t>RX-TX_TIME_DIFFERENCE_61565</w:t>
            </w:r>
          </w:p>
        </w:tc>
        <w:tc>
          <w:tcPr>
            <w:tcW w:w="3260" w:type="dxa"/>
            <w:tcBorders>
              <w:top w:val="single" w:sz="4" w:space="0" w:color="auto"/>
              <w:left w:val="single" w:sz="4" w:space="0" w:color="auto"/>
              <w:bottom w:val="single" w:sz="4" w:space="0" w:color="auto"/>
              <w:right w:val="single" w:sz="4" w:space="0" w:color="auto"/>
            </w:tcBorders>
          </w:tcPr>
          <w:p w14:paraId="4B402238" w14:textId="77777777" w:rsidR="00777EC6" w:rsidRPr="00E611AB" w:rsidRDefault="00777EC6" w:rsidP="002F5786">
            <w:pPr>
              <w:pStyle w:val="TAC"/>
            </w:pPr>
            <w:r w:rsidRPr="00E611AB">
              <w:rPr>
                <w:lang w:eastAsia="zh-CN"/>
              </w:rPr>
              <w:t xml:space="preserve">985024 </w:t>
            </w:r>
            <w:r w:rsidRPr="00E611AB">
              <w:rPr>
                <w:rFonts w:ascii="Symbol" w:eastAsia="Symbol" w:hAnsi="Symbol" w:cs="Symbol"/>
              </w:rPr>
              <w:t></w:t>
            </w:r>
            <w:r w:rsidRPr="00E611AB">
              <w:rPr>
                <w:lang w:eastAsia="zh-CN"/>
              </w:rPr>
              <w:t xml:space="preserve"> T</w:t>
            </w:r>
            <w:r w:rsidRPr="00E611AB">
              <w:rPr>
                <w:vertAlign w:val="subscript"/>
                <w:lang w:eastAsia="zh-CN"/>
              </w:rPr>
              <w:t>UE Rx-Tx</w:t>
            </w:r>
          </w:p>
        </w:tc>
        <w:tc>
          <w:tcPr>
            <w:tcW w:w="1276" w:type="dxa"/>
            <w:tcBorders>
              <w:top w:val="single" w:sz="4" w:space="0" w:color="auto"/>
              <w:left w:val="single" w:sz="4" w:space="0" w:color="auto"/>
              <w:bottom w:val="single" w:sz="4" w:space="0" w:color="auto"/>
              <w:right w:val="single" w:sz="4" w:space="0" w:color="auto"/>
            </w:tcBorders>
          </w:tcPr>
          <w:p w14:paraId="766DA897" w14:textId="77777777" w:rsidR="00777EC6" w:rsidRPr="00E611AB" w:rsidRDefault="00777EC6" w:rsidP="002F5786">
            <w:pPr>
              <w:pStyle w:val="TAC"/>
            </w:pPr>
            <w:r w:rsidRPr="00E611AB">
              <w:t>T</w:t>
            </w:r>
            <w:r w:rsidRPr="00E611AB">
              <w:rPr>
                <w:vertAlign w:val="subscript"/>
              </w:rPr>
              <w:t>c</w:t>
            </w:r>
          </w:p>
        </w:tc>
      </w:tr>
    </w:tbl>
    <w:p w14:paraId="078952E9" w14:textId="77777777" w:rsidR="00777EC6" w:rsidRDefault="00777EC6" w:rsidP="002F5786"/>
    <w:p w14:paraId="3A3E68CC" w14:textId="77D03678" w:rsidR="00777EC6" w:rsidRPr="00E611AB" w:rsidRDefault="00777EC6">
      <w:pPr>
        <w:pStyle w:val="Heading5"/>
      </w:pPr>
      <w:r w:rsidRPr="00E611AB">
        <w:t>10.1.25.3.2</w:t>
      </w:r>
      <w:r w:rsidRPr="00E611AB">
        <w:tab/>
        <w:t>Differential UE Rx-Tx Measurement Report Mapping</w:t>
      </w:r>
    </w:p>
    <w:p w14:paraId="07471DC6" w14:textId="77777777" w:rsidR="00777EC6" w:rsidRPr="00E611AB" w:rsidRDefault="00777EC6" w:rsidP="00777EC6">
      <w:pPr>
        <w:keepNext/>
        <w:keepLines/>
        <w:spacing w:before="240" w:after="120"/>
      </w:pPr>
      <w:r w:rsidRPr="00E611AB">
        <w:t>The reporting range for differential UE Rx-Tx time difference measurement (</w:t>
      </w:r>
      <w:r w:rsidRPr="00E611AB">
        <w:rPr>
          <w:rFonts w:ascii="Symbol" w:eastAsia="Symbol" w:hAnsi="Symbol" w:cs="Symbol"/>
          <w:sz w:val="18"/>
          <w:szCs w:val="18"/>
          <w:lang w:eastAsia="zh-CN"/>
        </w:rPr>
        <w:t></w:t>
      </w:r>
      <w:r w:rsidRPr="00E611AB">
        <w:rPr>
          <w:rFonts w:cs="Arial"/>
          <w:lang w:eastAsia="zh-CN"/>
        </w:rPr>
        <w:t>T</w:t>
      </w:r>
      <w:r w:rsidRPr="00E611AB">
        <w:rPr>
          <w:rFonts w:cs="Arial"/>
          <w:vertAlign w:val="subscript"/>
          <w:lang w:eastAsia="zh-CN"/>
        </w:rPr>
        <w:t>UE Rx-Tx</w:t>
      </w:r>
      <w:r w:rsidRPr="00E611AB">
        <w:t xml:space="preserve">) is defined from </w:t>
      </w:r>
      <w:r w:rsidRPr="00E611AB">
        <w:rPr>
          <w:lang w:eastAsia="zh-CN"/>
        </w:rPr>
        <w:t>0</w:t>
      </w:r>
      <w:r w:rsidRPr="00E611AB">
        <w:t xml:space="preserve"> </w:t>
      </w:r>
      <w:r>
        <w:t xml:space="preserve">up </w:t>
      </w:r>
      <w:r w:rsidRPr="00E611AB">
        <w:t xml:space="preserve">to </w:t>
      </w:r>
      <w:r w:rsidRPr="00E611AB">
        <w:rPr>
          <w:lang w:eastAsia="zh-CN"/>
        </w:rPr>
        <w:t>819</w:t>
      </w:r>
      <w:r>
        <w:rPr>
          <w:lang w:eastAsia="zh-CN"/>
        </w:rPr>
        <w:t>1</w:t>
      </w:r>
      <w:r w:rsidRPr="00E611AB">
        <w:rPr>
          <w:rFonts w:ascii="Symbol" w:eastAsia="Symbol" w:hAnsi="Symbol" w:cs="Symbol"/>
        </w:rPr>
        <w:t></w:t>
      </w:r>
      <w:r w:rsidRPr="00E611AB">
        <w:t>T</w:t>
      </w:r>
      <w:r w:rsidRPr="00E611AB">
        <w:rPr>
          <w:vertAlign w:val="subscript"/>
        </w:rPr>
        <w:t>c</w:t>
      </w:r>
      <w:r w:rsidRPr="00E611AB">
        <w:t xml:space="preserve"> where: </w:t>
      </w:r>
    </w:p>
    <w:p w14:paraId="4E4DE93B" w14:textId="77777777" w:rsidR="00777EC6" w:rsidRPr="00E611AB" w:rsidRDefault="00777EC6" w:rsidP="002F5786">
      <w:pPr>
        <w:pStyle w:val="B10"/>
      </w:pPr>
      <w:r w:rsidRPr="00E611AB">
        <w:rPr>
          <w:rFonts w:ascii="Symbol" w:eastAsia="Symbol" w:hAnsi="Symbol" w:cs="Symbol"/>
          <w:sz w:val="18"/>
          <w:szCs w:val="18"/>
          <w:lang w:eastAsia="zh-CN"/>
        </w:rPr>
        <w:t></w:t>
      </w:r>
      <w:r w:rsidRPr="00E611AB">
        <w:rPr>
          <w:lang w:eastAsia="zh-CN"/>
        </w:rPr>
        <w:t>T</w:t>
      </w:r>
      <w:r w:rsidRPr="00E611AB">
        <w:rPr>
          <w:vertAlign w:val="subscript"/>
          <w:lang w:eastAsia="zh-CN"/>
        </w:rPr>
        <w:t xml:space="preserve">UE Rx-Tx </w:t>
      </w:r>
      <w:r w:rsidRPr="00E611AB">
        <w:rPr>
          <w:lang w:eastAsia="zh-CN"/>
        </w:rPr>
        <w:t>= T</w:t>
      </w:r>
      <w:r w:rsidRPr="00E611AB">
        <w:rPr>
          <w:vertAlign w:val="subscript"/>
          <w:lang w:eastAsia="zh-CN"/>
        </w:rPr>
        <w:t>UE Rx-Tx1</w:t>
      </w:r>
      <w:r w:rsidRPr="00E611AB">
        <w:rPr>
          <w:lang w:eastAsia="zh-CN"/>
        </w:rPr>
        <w:t xml:space="preserve"> - T</w:t>
      </w:r>
      <w:r w:rsidRPr="00E611AB">
        <w:rPr>
          <w:vertAlign w:val="subscript"/>
          <w:lang w:eastAsia="zh-CN"/>
        </w:rPr>
        <w:t xml:space="preserve">UE Rx-Tx2; </w:t>
      </w:r>
      <w:r w:rsidRPr="00E611AB">
        <w:rPr>
          <w:lang w:eastAsia="zh-CN"/>
        </w:rPr>
        <w:t>where:</w:t>
      </w:r>
    </w:p>
    <w:p w14:paraId="1DF94E08" w14:textId="77777777" w:rsidR="00777EC6" w:rsidRPr="007C55F6" w:rsidRDefault="00777EC6" w:rsidP="002F5786">
      <w:pPr>
        <w:pStyle w:val="B20"/>
        <w:rPr>
          <w:lang w:val="fr-FR"/>
        </w:rPr>
      </w:pPr>
      <w:r w:rsidRPr="007C55F6">
        <w:rPr>
          <w:lang w:val="fr-FR" w:eastAsia="zh-CN"/>
        </w:rPr>
        <w:t>T</w:t>
      </w:r>
      <w:r w:rsidRPr="007C55F6">
        <w:rPr>
          <w:vertAlign w:val="subscript"/>
          <w:lang w:val="fr-FR" w:eastAsia="zh-CN"/>
        </w:rPr>
        <w:t>UE Rx-Tx1</w:t>
      </w:r>
      <w:r w:rsidRPr="007C55F6">
        <w:rPr>
          <w:lang w:val="fr-FR" w:eastAsia="zh-CN"/>
        </w:rPr>
        <w:t xml:space="preserve"> &gt; T</w:t>
      </w:r>
      <w:r w:rsidRPr="007C55F6">
        <w:rPr>
          <w:vertAlign w:val="subscript"/>
          <w:lang w:val="fr-FR" w:eastAsia="zh-CN"/>
        </w:rPr>
        <w:t>UE Rx-Tx2</w:t>
      </w:r>
      <w:r w:rsidRPr="007C55F6">
        <w:rPr>
          <w:lang w:val="fr-FR" w:eastAsia="zh-CN"/>
        </w:rPr>
        <w:t xml:space="preserve">, </w:t>
      </w:r>
    </w:p>
    <w:p w14:paraId="00335B55" w14:textId="77777777" w:rsidR="00777EC6" w:rsidRPr="00E611AB" w:rsidRDefault="00777EC6" w:rsidP="002F5786">
      <w:pPr>
        <w:pStyle w:val="B20"/>
      </w:pPr>
      <w:r w:rsidRPr="00E611AB">
        <w:rPr>
          <w:lang w:eastAsia="zh-CN"/>
        </w:rPr>
        <w:t>T</w:t>
      </w:r>
      <w:r w:rsidRPr="00E611AB">
        <w:rPr>
          <w:vertAlign w:val="subscript"/>
          <w:lang w:eastAsia="zh-CN"/>
        </w:rPr>
        <w:t>UE Rx-Tx1</w:t>
      </w:r>
      <w:r w:rsidRPr="00E611AB">
        <w:rPr>
          <w:lang w:eastAsia="zh-CN"/>
        </w:rPr>
        <w:t xml:space="preserve"> is the first </w:t>
      </w:r>
      <w:r w:rsidRPr="00E611AB">
        <w:t>absolute UE Rx-Tx time difference measurement,</w:t>
      </w:r>
    </w:p>
    <w:p w14:paraId="4D4377DD" w14:textId="77777777" w:rsidR="00777EC6" w:rsidRPr="00E611AB" w:rsidRDefault="00777EC6" w:rsidP="002F5786">
      <w:pPr>
        <w:pStyle w:val="B20"/>
      </w:pPr>
      <w:r w:rsidRPr="00E611AB">
        <w:rPr>
          <w:lang w:eastAsia="zh-CN"/>
        </w:rPr>
        <w:t>T</w:t>
      </w:r>
      <w:r w:rsidRPr="00E611AB">
        <w:rPr>
          <w:vertAlign w:val="subscript"/>
          <w:lang w:eastAsia="zh-CN"/>
        </w:rPr>
        <w:t>UE Rx-Tx1</w:t>
      </w:r>
      <w:r w:rsidRPr="00E611AB">
        <w:rPr>
          <w:lang w:eastAsia="zh-CN"/>
        </w:rPr>
        <w:t xml:space="preserve"> is the second </w:t>
      </w:r>
      <w:r w:rsidRPr="00E611AB">
        <w:t>absolute UE Rx-Tx time difference measurement,</w:t>
      </w:r>
    </w:p>
    <w:p w14:paraId="305A24AA" w14:textId="77777777" w:rsidR="00777EC6" w:rsidRPr="00E611AB" w:rsidRDefault="00777EC6" w:rsidP="002F5786">
      <w:pPr>
        <w:pStyle w:val="B10"/>
      </w:pPr>
      <w:r w:rsidRPr="00E611AB">
        <w:t>T</w:t>
      </w:r>
      <w:r w:rsidRPr="005D59FC">
        <w:rPr>
          <w:vertAlign w:val="subscript"/>
        </w:rPr>
        <w:t>c</w:t>
      </w:r>
      <w:r w:rsidRPr="00E611AB">
        <w:t xml:space="preserve"> is defined in TS 38.211 [6], </w:t>
      </w:r>
    </w:p>
    <w:p w14:paraId="0D3D6BA5" w14:textId="77777777" w:rsidR="00777EC6" w:rsidRPr="00E611AB" w:rsidRDefault="00777EC6" w:rsidP="002F5786">
      <w:pPr>
        <w:pStyle w:val="B10"/>
      </w:pPr>
      <w:r w:rsidRPr="00E611AB">
        <w:rPr>
          <w:i/>
          <w:iCs/>
          <w:lang w:eastAsia="ja-JP"/>
        </w:rPr>
        <w:t>k</w:t>
      </w:r>
      <w:r w:rsidRPr="00E611AB">
        <w:rPr>
          <w:i/>
          <w:iCs/>
          <w:vertAlign w:val="subscript"/>
          <w:lang w:eastAsia="ja-JP"/>
        </w:rPr>
        <w:t>min</w:t>
      </w:r>
      <w:r w:rsidRPr="00E611AB">
        <w:rPr>
          <w:lang w:eastAsia="ja-JP"/>
        </w:rPr>
        <w:t>≤</w:t>
      </w:r>
      <w:r w:rsidRPr="00E611AB">
        <w:rPr>
          <w:i/>
          <w:iCs/>
        </w:rPr>
        <w:t>k</w:t>
      </w:r>
      <w:r w:rsidRPr="00E611AB">
        <w:rPr>
          <w:lang w:eastAsia="ja-JP"/>
        </w:rPr>
        <w:t>≤</w:t>
      </w:r>
      <w:r w:rsidRPr="00E611AB">
        <w:rPr>
          <w:i/>
          <w:iCs/>
          <w:lang w:eastAsia="ja-JP"/>
        </w:rPr>
        <w:t>k</w:t>
      </w:r>
      <w:r w:rsidRPr="00E611AB">
        <w:rPr>
          <w:i/>
          <w:iCs/>
          <w:vertAlign w:val="subscript"/>
          <w:lang w:eastAsia="ja-JP"/>
        </w:rPr>
        <w:t>max</w:t>
      </w:r>
      <w:r w:rsidRPr="00E611AB">
        <w:t xml:space="preserve">, </w:t>
      </w:r>
    </w:p>
    <w:p w14:paraId="08576346" w14:textId="77777777" w:rsidR="00777EC6" w:rsidRPr="00E611AB" w:rsidRDefault="00777EC6" w:rsidP="002F5786">
      <w:pPr>
        <w:pStyle w:val="B10"/>
      </w:pPr>
      <w:r w:rsidRPr="00E611AB">
        <w:rPr>
          <w:i/>
          <w:iCs/>
          <w:lang w:eastAsia="ja-JP"/>
        </w:rPr>
        <w:t>k</w:t>
      </w:r>
      <w:r w:rsidRPr="00E611AB">
        <w:rPr>
          <w:i/>
          <w:iCs/>
          <w:vertAlign w:val="subscript"/>
          <w:lang w:eastAsia="ja-JP"/>
        </w:rPr>
        <w:t>min</w:t>
      </w:r>
      <w:r w:rsidRPr="00E611AB">
        <w:rPr>
          <w:lang w:eastAsia="ja-JP"/>
        </w:rPr>
        <w:t>=</w:t>
      </w:r>
      <w:r>
        <w:rPr>
          <w:lang w:eastAsia="ja-JP"/>
        </w:rPr>
        <w:t>[2]</w:t>
      </w:r>
      <w:r w:rsidRPr="00E611AB">
        <w:rPr>
          <w:lang w:eastAsia="ja-JP"/>
        </w:rPr>
        <w:t xml:space="preserve"> and </w:t>
      </w:r>
      <w:r w:rsidRPr="00E611AB">
        <w:rPr>
          <w:i/>
          <w:iCs/>
          <w:lang w:eastAsia="ja-JP"/>
        </w:rPr>
        <w:t>k</w:t>
      </w:r>
      <w:r w:rsidRPr="00E611AB">
        <w:rPr>
          <w:i/>
          <w:iCs/>
          <w:vertAlign w:val="subscript"/>
          <w:lang w:eastAsia="ja-JP"/>
        </w:rPr>
        <w:t>max</w:t>
      </w:r>
      <w:r w:rsidRPr="00E611AB">
        <w:rPr>
          <w:lang w:eastAsia="ja-JP"/>
        </w:rPr>
        <w:t xml:space="preserve">=5, when at least one of the PRS and the SRS resources configured for </w:t>
      </w:r>
      <w:r w:rsidRPr="00E611AB">
        <w:rPr>
          <w:rFonts w:ascii="Symbol" w:eastAsia="Symbol" w:hAnsi="Symbol" w:cs="Symbol"/>
          <w:lang w:eastAsia="ja-JP"/>
        </w:rPr>
        <w:t></w:t>
      </w:r>
      <w:r w:rsidRPr="00E611AB">
        <w:rPr>
          <w:rFonts w:cs="Arial"/>
          <w:lang w:eastAsia="zh-CN"/>
        </w:rPr>
        <w:t>T</w:t>
      </w:r>
      <w:r w:rsidRPr="00E611AB">
        <w:rPr>
          <w:rFonts w:cs="Arial"/>
          <w:vertAlign w:val="subscript"/>
          <w:lang w:eastAsia="zh-CN"/>
        </w:rPr>
        <w:t>UE Rx-Tx</w:t>
      </w:r>
      <w:r w:rsidRPr="00E611AB">
        <w:rPr>
          <w:lang w:eastAsia="ja-JP"/>
        </w:rPr>
        <w:t xml:space="preserve"> is in FR1,</w:t>
      </w:r>
    </w:p>
    <w:p w14:paraId="1B882F1A" w14:textId="77777777" w:rsidR="00777EC6" w:rsidRPr="00E611AB" w:rsidRDefault="00777EC6" w:rsidP="002F5786">
      <w:pPr>
        <w:pStyle w:val="B10"/>
      </w:pPr>
      <w:r w:rsidRPr="00E611AB">
        <w:rPr>
          <w:i/>
          <w:iCs/>
          <w:lang w:eastAsia="ja-JP"/>
        </w:rPr>
        <w:t>k</w:t>
      </w:r>
      <w:r w:rsidRPr="00E611AB">
        <w:rPr>
          <w:i/>
          <w:iCs/>
          <w:vertAlign w:val="subscript"/>
          <w:lang w:eastAsia="ja-JP"/>
        </w:rPr>
        <w:t>min</w:t>
      </w:r>
      <w:r w:rsidRPr="00E611AB">
        <w:rPr>
          <w:lang w:eastAsia="ja-JP"/>
        </w:rPr>
        <w:t xml:space="preserve">=0 and </w:t>
      </w:r>
      <w:r w:rsidRPr="00E611AB">
        <w:rPr>
          <w:i/>
          <w:iCs/>
          <w:lang w:eastAsia="ja-JP"/>
        </w:rPr>
        <w:t>k</w:t>
      </w:r>
      <w:r w:rsidRPr="00E611AB">
        <w:rPr>
          <w:i/>
          <w:iCs/>
          <w:vertAlign w:val="subscript"/>
          <w:lang w:eastAsia="ja-JP"/>
        </w:rPr>
        <w:t>max</w:t>
      </w:r>
      <w:r w:rsidRPr="00E611AB">
        <w:rPr>
          <w:lang w:eastAsia="ja-JP"/>
        </w:rPr>
        <w:t xml:space="preserve">=5, when all the PRS and SRS resources configured for </w:t>
      </w:r>
      <w:r w:rsidRPr="00E611AB">
        <w:rPr>
          <w:rFonts w:ascii="Symbol" w:eastAsia="Symbol" w:hAnsi="Symbol" w:cs="Symbol"/>
          <w:lang w:eastAsia="ja-JP"/>
        </w:rPr>
        <w:t></w:t>
      </w:r>
      <w:r w:rsidRPr="00E611AB">
        <w:rPr>
          <w:rFonts w:cs="Arial"/>
          <w:lang w:eastAsia="zh-CN"/>
        </w:rPr>
        <w:t>T</w:t>
      </w:r>
      <w:r w:rsidRPr="00E611AB">
        <w:rPr>
          <w:rFonts w:cs="Arial"/>
          <w:vertAlign w:val="subscript"/>
          <w:lang w:eastAsia="zh-CN"/>
        </w:rPr>
        <w:t>UE Rx-Tx</w:t>
      </w:r>
      <w:r w:rsidRPr="00E611AB">
        <w:rPr>
          <w:lang w:eastAsia="ja-JP"/>
        </w:rPr>
        <w:t xml:space="preserve"> are in FR2,</w:t>
      </w:r>
    </w:p>
    <w:p w14:paraId="5283B489" w14:textId="2032CC37" w:rsidR="00777EC6" w:rsidRPr="00E611AB" w:rsidRDefault="00777EC6" w:rsidP="002F5786">
      <w:pPr>
        <w:pStyle w:val="B10"/>
      </w:pPr>
      <w:r>
        <w:rPr>
          <w:i/>
          <w:iCs/>
          <w:lang w:eastAsia="ja-JP"/>
        </w:rPr>
        <w:t>k≥</w:t>
      </w:r>
      <w:r w:rsidRPr="00194241">
        <w:rPr>
          <w:lang w:eastAsia="ja-JP"/>
        </w:rPr>
        <w:t xml:space="preserve"> </w:t>
      </w:r>
      <w:r w:rsidRPr="00194241">
        <w:rPr>
          <w:i/>
          <w:iCs/>
          <w:snapToGrid w:val="0"/>
        </w:rPr>
        <w:t xml:space="preserve">timingReportingGranularityFactor </w:t>
      </w:r>
      <w:r w:rsidRPr="00194241">
        <w:rPr>
          <w:snapToGrid w:val="0"/>
        </w:rPr>
        <w:t>[3</w:t>
      </w:r>
      <w:r>
        <w:rPr>
          <w:snapToGrid w:val="0"/>
        </w:rPr>
        <w:t>4</w:t>
      </w:r>
      <w:r w:rsidRPr="00194241">
        <w:rPr>
          <w:snapToGrid w:val="0"/>
        </w:rPr>
        <w:t xml:space="preserve">] configured by LMF via LPP for the </w:t>
      </w:r>
      <w:r w:rsidR="00D30086" w:rsidRPr="00603214">
        <w:t>UE Rx-Tx time difference</w:t>
      </w:r>
      <w:r w:rsidRPr="00194241">
        <w:rPr>
          <w:snapToGrid w:val="0"/>
        </w:rPr>
        <w:t xml:space="preserve"> measurement</w:t>
      </w:r>
      <w:r w:rsidRPr="005D59FC">
        <w:rPr>
          <w:snapToGrid w:val="0"/>
        </w:rPr>
        <w:t>.</w:t>
      </w:r>
    </w:p>
    <w:p w14:paraId="21B1DF89" w14:textId="77777777" w:rsidR="00777EC6" w:rsidRPr="00E611AB" w:rsidRDefault="00777EC6" w:rsidP="002F5786">
      <w:pPr>
        <w:rPr>
          <w:lang w:val="en-US" w:eastAsia="ja-JP"/>
        </w:rPr>
      </w:pPr>
      <w:r w:rsidRPr="00E611AB">
        <w:rPr>
          <w:lang w:val="en-US" w:eastAsia="ja-JP"/>
        </w:rPr>
        <w:t xml:space="preserve">The </w:t>
      </w:r>
      <w:r w:rsidRPr="00E611AB">
        <w:rPr>
          <w:rFonts w:ascii="Symbol" w:eastAsia="Symbol" w:hAnsi="Symbol" w:cs="Symbol"/>
          <w:lang w:val="en-US" w:eastAsia="ja-JP"/>
        </w:rPr>
        <w:t></w:t>
      </w:r>
      <w:r w:rsidRPr="00E611AB">
        <w:rPr>
          <w:rFonts w:cs="Arial"/>
          <w:lang w:eastAsia="zh-CN"/>
        </w:rPr>
        <w:t>T</w:t>
      </w:r>
      <w:r w:rsidRPr="00E611AB">
        <w:rPr>
          <w:rFonts w:cs="Arial"/>
          <w:vertAlign w:val="subscript"/>
          <w:lang w:eastAsia="zh-CN"/>
        </w:rPr>
        <w:t>UE Rx-Tx</w:t>
      </w:r>
      <w:r w:rsidRPr="00E611AB">
        <w:rPr>
          <w:lang w:val="en-US" w:eastAsia="ja-JP"/>
        </w:rPr>
        <w:t xml:space="preserve"> report mapping for </w:t>
      </w:r>
      <w:r w:rsidRPr="00E611AB">
        <w:rPr>
          <w:i/>
          <w:iCs/>
          <w:lang w:val="en-US" w:eastAsia="ja-JP"/>
        </w:rPr>
        <w:t>k</w:t>
      </w:r>
      <w:r w:rsidRPr="00E611AB">
        <w:rPr>
          <w:lang w:val="en-US" w:eastAsia="ja-JP"/>
        </w:rPr>
        <w:t xml:space="preserve"> = 0, 1, 2, 3,</w:t>
      </w:r>
      <w:r>
        <w:rPr>
          <w:lang w:val="en-US" w:eastAsia="ja-JP"/>
        </w:rPr>
        <w:t xml:space="preserve"> </w:t>
      </w:r>
      <w:r w:rsidRPr="00E611AB">
        <w:rPr>
          <w:lang w:val="en-US" w:eastAsia="ja-JP"/>
        </w:rPr>
        <w:t>4</w:t>
      </w:r>
      <w:r>
        <w:rPr>
          <w:lang w:val="en-US" w:eastAsia="ja-JP"/>
        </w:rPr>
        <w:t>,</w:t>
      </w:r>
      <w:r w:rsidRPr="00E611AB">
        <w:rPr>
          <w:lang w:val="en-US" w:eastAsia="ja-JP"/>
        </w:rPr>
        <w:t xml:space="preserve"> and </w:t>
      </w:r>
      <w:r>
        <w:rPr>
          <w:lang w:val="en-US" w:eastAsia="ja-JP"/>
        </w:rPr>
        <w:t>5</w:t>
      </w:r>
      <w:r w:rsidRPr="00E611AB">
        <w:rPr>
          <w:lang w:val="en-US" w:eastAsia="ja-JP"/>
        </w:rPr>
        <w:t xml:space="preserve"> are specified in Tables 10.1.25.3.2-1, 10.1.25.3.2-2, 10.1.25.3.2-3, 10.1.25.3.2-4, 10.1.25.3.2-5</w:t>
      </w:r>
      <w:r>
        <w:rPr>
          <w:lang w:val="en-US" w:eastAsia="ja-JP"/>
        </w:rPr>
        <w:t>,</w:t>
      </w:r>
      <w:r w:rsidRPr="00E611AB">
        <w:rPr>
          <w:lang w:val="en-US" w:eastAsia="ja-JP"/>
        </w:rPr>
        <w:t xml:space="preserve"> and 10.1.25.3.2-6</w:t>
      </w:r>
      <w:r>
        <w:rPr>
          <w:lang w:val="en-US" w:eastAsia="ja-JP"/>
        </w:rPr>
        <w:t>,</w:t>
      </w:r>
      <w:r w:rsidRPr="00E611AB">
        <w:rPr>
          <w:lang w:val="en-US" w:eastAsia="ja-JP"/>
        </w:rPr>
        <w:t xml:space="preserve"> respectively.</w:t>
      </w:r>
    </w:p>
    <w:p w14:paraId="3FD95699" w14:textId="77777777" w:rsidR="00777EC6" w:rsidRPr="00E611AB" w:rsidRDefault="00777EC6" w:rsidP="002F5786">
      <w:pPr>
        <w:pStyle w:val="TH"/>
        <w:rPr>
          <w:lang w:val="en-US" w:eastAsia="ja-JP"/>
        </w:rPr>
      </w:pPr>
      <w:r w:rsidRPr="00E611AB">
        <w:t xml:space="preserve">Table 10.1.25.3.2-1: Differential UE Rx-Tx time difference measurement report mapping for </w:t>
      </w:r>
      <w:r w:rsidRPr="00E611AB">
        <w:rPr>
          <w:i/>
          <w:iCs/>
        </w:rPr>
        <w:t>k</w:t>
      </w:r>
      <w:r w:rsidRPr="00E611AB">
        <w:t>=0</w:t>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2"/>
        <w:gridCol w:w="2835"/>
        <w:gridCol w:w="1701"/>
      </w:tblGrid>
      <w:tr w:rsidR="00777EC6" w:rsidRPr="00E611AB" w14:paraId="624CE40E" w14:textId="77777777" w:rsidTr="00051ED3">
        <w:trPr>
          <w:cantSplit/>
          <w:trHeight w:val="207"/>
        </w:trPr>
        <w:tc>
          <w:tcPr>
            <w:tcW w:w="4252" w:type="dxa"/>
            <w:vAlign w:val="center"/>
          </w:tcPr>
          <w:p w14:paraId="0FDBFE88" w14:textId="77777777" w:rsidR="00777EC6" w:rsidRPr="00E611AB" w:rsidRDefault="00777EC6" w:rsidP="002F5786">
            <w:pPr>
              <w:pStyle w:val="TAH"/>
            </w:pPr>
            <w:r w:rsidRPr="00E611AB">
              <w:t>Reported Quantity Value</w:t>
            </w:r>
          </w:p>
        </w:tc>
        <w:tc>
          <w:tcPr>
            <w:tcW w:w="2835" w:type="dxa"/>
            <w:vAlign w:val="center"/>
          </w:tcPr>
          <w:p w14:paraId="05C05DCF" w14:textId="77777777" w:rsidR="00777EC6" w:rsidRPr="00E611AB" w:rsidRDefault="00777EC6" w:rsidP="002F5786">
            <w:pPr>
              <w:pStyle w:val="TAH"/>
            </w:pPr>
            <w:r w:rsidRPr="00E611AB">
              <w:t>Measured Quantity Value</w:t>
            </w:r>
          </w:p>
        </w:tc>
        <w:tc>
          <w:tcPr>
            <w:tcW w:w="1701" w:type="dxa"/>
            <w:vAlign w:val="center"/>
          </w:tcPr>
          <w:p w14:paraId="3FDB7CBB" w14:textId="77777777" w:rsidR="00777EC6" w:rsidRPr="00E611AB" w:rsidRDefault="00777EC6" w:rsidP="002F5786">
            <w:pPr>
              <w:pStyle w:val="TAH"/>
            </w:pPr>
            <w:r w:rsidRPr="00E611AB">
              <w:t>Unit</w:t>
            </w:r>
          </w:p>
        </w:tc>
      </w:tr>
      <w:tr w:rsidR="00777EC6" w:rsidRPr="00E611AB" w14:paraId="1506CE58" w14:textId="77777777" w:rsidTr="00051ED3">
        <w:trPr>
          <w:cantSplit/>
        </w:trPr>
        <w:tc>
          <w:tcPr>
            <w:tcW w:w="4252" w:type="dxa"/>
          </w:tcPr>
          <w:p w14:paraId="3AD5C9EC" w14:textId="77777777" w:rsidR="00777EC6" w:rsidRPr="00E611AB" w:rsidRDefault="00777EC6" w:rsidP="002F5786">
            <w:pPr>
              <w:pStyle w:val="TAC"/>
            </w:pPr>
            <w:r w:rsidRPr="00E611AB">
              <w:rPr>
                <w:lang w:eastAsia="zh-CN"/>
              </w:rPr>
              <w:t>DIFF_RX-TX_TIME_DIFFERENCE_</w:t>
            </w:r>
            <w:r w:rsidRPr="00E611AB">
              <w:t>0000</w:t>
            </w:r>
          </w:p>
        </w:tc>
        <w:tc>
          <w:tcPr>
            <w:tcW w:w="2835" w:type="dxa"/>
          </w:tcPr>
          <w:p w14:paraId="36B03E99" w14:textId="77777777" w:rsidR="00777EC6" w:rsidRPr="00E611AB" w:rsidRDefault="00777EC6" w:rsidP="002F5786">
            <w:pPr>
              <w:pStyle w:val="TAC"/>
            </w:pPr>
            <w:r w:rsidRPr="00E611AB">
              <w:rPr>
                <w:lang w:eastAsia="zh-CN"/>
              </w:rPr>
              <w:t xml:space="preserve">0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1</w:t>
            </w:r>
          </w:p>
        </w:tc>
        <w:tc>
          <w:tcPr>
            <w:tcW w:w="1701" w:type="dxa"/>
          </w:tcPr>
          <w:p w14:paraId="225E4196" w14:textId="77777777" w:rsidR="00777EC6" w:rsidRPr="00E611AB" w:rsidRDefault="00777EC6" w:rsidP="002F5786">
            <w:pPr>
              <w:pStyle w:val="TAC"/>
            </w:pPr>
            <w:r w:rsidRPr="00E611AB">
              <w:t>T</w:t>
            </w:r>
            <w:r w:rsidRPr="00E611AB">
              <w:rPr>
                <w:vertAlign w:val="subscript"/>
              </w:rPr>
              <w:t>c</w:t>
            </w:r>
          </w:p>
        </w:tc>
      </w:tr>
      <w:tr w:rsidR="00777EC6" w:rsidRPr="00E611AB" w14:paraId="4BCFA6C5" w14:textId="77777777" w:rsidTr="00051ED3">
        <w:trPr>
          <w:cantSplit/>
        </w:trPr>
        <w:tc>
          <w:tcPr>
            <w:tcW w:w="4252" w:type="dxa"/>
          </w:tcPr>
          <w:p w14:paraId="4126B7F2" w14:textId="77777777" w:rsidR="00777EC6" w:rsidRPr="00E611AB" w:rsidRDefault="00777EC6" w:rsidP="002F5786">
            <w:pPr>
              <w:pStyle w:val="TAC"/>
            </w:pPr>
            <w:r w:rsidRPr="00E611AB">
              <w:rPr>
                <w:lang w:eastAsia="zh-CN"/>
              </w:rPr>
              <w:t>DIFF_RX-TX_TIME_DIFFERENCE_</w:t>
            </w:r>
            <w:r w:rsidRPr="00E611AB">
              <w:t>0001</w:t>
            </w:r>
          </w:p>
        </w:tc>
        <w:tc>
          <w:tcPr>
            <w:tcW w:w="2835" w:type="dxa"/>
          </w:tcPr>
          <w:p w14:paraId="056B9EAD" w14:textId="77777777" w:rsidR="00777EC6" w:rsidRPr="00E611AB" w:rsidRDefault="00777EC6" w:rsidP="002F5786">
            <w:pPr>
              <w:pStyle w:val="TAC"/>
            </w:pPr>
            <w:r w:rsidRPr="00E611AB">
              <w:rPr>
                <w:lang w:eastAsia="zh-CN"/>
              </w:rPr>
              <w:t xml:space="preserve">1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2</w:t>
            </w:r>
          </w:p>
        </w:tc>
        <w:tc>
          <w:tcPr>
            <w:tcW w:w="1701" w:type="dxa"/>
          </w:tcPr>
          <w:p w14:paraId="0CB30B92" w14:textId="77777777" w:rsidR="00777EC6" w:rsidRPr="00E611AB" w:rsidRDefault="00777EC6" w:rsidP="002F5786">
            <w:pPr>
              <w:pStyle w:val="TAC"/>
            </w:pPr>
            <w:r w:rsidRPr="00E611AB">
              <w:t>T</w:t>
            </w:r>
            <w:r w:rsidRPr="00E611AB">
              <w:rPr>
                <w:vertAlign w:val="subscript"/>
              </w:rPr>
              <w:t>c</w:t>
            </w:r>
          </w:p>
        </w:tc>
      </w:tr>
      <w:tr w:rsidR="00777EC6" w:rsidRPr="00E611AB" w14:paraId="4323CF1D" w14:textId="77777777" w:rsidTr="00051ED3">
        <w:trPr>
          <w:cantSplit/>
        </w:trPr>
        <w:tc>
          <w:tcPr>
            <w:tcW w:w="4252" w:type="dxa"/>
          </w:tcPr>
          <w:p w14:paraId="783DBF63" w14:textId="77777777" w:rsidR="00777EC6" w:rsidRPr="00E611AB" w:rsidRDefault="00777EC6" w:rsidP="002F5786">
            <w:pPr>
              <w:pStyle w:val="TAC"/>
            </w:pPr>
            <w:r w:rsidRPr="00E611AB">
              <w:rPr>
                <w:lang w:eastAsia="zh-CN"/>
              </w:rPr>
              <w:t>DIFF_RX-TX_TIME_DIFFERENCE_</w:t>
            </w:r>
            <w:r w:rsidRPr="00E611AB">
              <w:t>0002</w:t>
            </w:r>
          </w:p>
        </w:tc>
        <w:tc>
          <w:tcPr>
            <w:tcW w:w="2835" w:type="dxa"/>
          </w:tcPr>
          <w:p w14:paraId="73E42169" w14:textId="77777777" w:rsidR="00777EC6" w:rsidRPr="00E611AB" w:rsidRDefault="00777EC6" w:rsidP="002F5786">
            <w:pPr>
              <w:pStyle w:val="TAC"/>
            </w:pPr>
            <w:r w:rsidRPr="00E611AB">
              <w:rPr>
                <w:lang w:eastAsia="zh-CN"/>
              </w:rPr>
              <w:t xml:space="preserve">2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3</w:t>
            </w:r>
          </w:p>
        </w:tc>
        <w:tc>
          <w:tcPr>
            <w:tcW w:w="1701" w:type="dxa"/>
          </w:tcPr>
          <w:p w14:paraId="11E2C171" w14:textId="77777777" w:rsidR="00777EC6" w:rsidRPr="00E611AB" w:rsidRDefault="00777EC6" w:rsidP="002F5786">
            <w:pPr>
              <w:pStyle w:val="TAC"/>
            </w:pPr>
            <w:r w:rsidRPr="00E611AB">
              <w:t>T</w:t>
            </w:r>
            <w:r w:rsidRPr="00E611AB">
              <w:rPr>
                <w:vertAlign w:val="subscript"/>
              </w:rPr>
              <w:t>c</w:t>
            </w:r>
          </w:p>
        </w:tc>
      </w:tr>
      <w:tr w:rsidR="00777EC6" w:rsidRPr="00E611AB" w14:paraId="11A1F9AB" w14:textId="77777777" w:rsidTr="00051ED3">
        <w:trPr>
          <w:cantSplit/>
        </w:trPr>
        <w:tc>
          <w:tcPr>
            <w:tcW w:w="4252" w:type="dxa"/>
          </w:tcPr>
          <w:p w14:paraId="4FCD54D0" w14:textId="77777777" w:rsidR="00777EC6" w:rsidRPr="00E611AB" w:rsidRDefault="00777EC6" w:rsidP="002F5786">
            <w:pPr>
              <w:pStyle w:val="TAC"/>
            </w:pPr>
            <w:r w:rsidRPr="00E611AB">
              <w:rPr>
                <w:rFonts w:ascii="Symbol" w:eastAsia="Symbol" w:hAnsi="Symbol" w:cs="Symbol"/>
              </w:rPr>
              <w:t></w:t>
            </w:r>
          </w:p>
        </w:tc>
        <w:tc>
          <w:tcPr>
            <w:tcW w:w="2835" w:type="dxa"/>
          </w:tcPr>
          <w:p w14:paraId="133BA222" w14:textId="77777777" w:rsidR="00777EC6" w:rsidRPr="00E611AB" w:rsidRDefault="00777EC6" w:rsidP="002F5786">
            <w:pPr>
              <w:pStyle w:val="TAC"/>
            </w:pPr>
            <w:r w:rsidRPr="00E611AB">
              <w:rPr>
                <w:rFonts w:ascii="Symbol" w:eastAsia="Symbol" w:hAnsi="Symbol" w:cs="Symbol"/>
              </w:rPr>
              <w:t></w:t>
            </w:r>
          </w:p>
        </w:tc>
        <w:tc>
          <w:tcPr>
            <w:tcW w:w="1701" w:type="dxa"/>
          </w:tcPr>
          <w:p w14:paraId="71C79B69" w14:textId="77777777" w:rsidR="00777EC6" w:rsidRPr="00E611AB" w:rsidRDefault="00777EC6" w:rsidP="002F5786">
            <w:pPr>
              <w:pStyle w:val="TAC"/>
            </w:pPr>
            <w:r w:rsidRPr="00E611AB">
              <w:t>…</w:t>
            </w:r>
          </w:p>
        </w:tc>
      </w:tr>
      <w:tr w:rsidR="00777EC6" w:rsidRPr="00E611AB" w14:paraId="0ED6267B"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0DF3C59A" w14:textId="77777777" w:rsidR="00777EC6" w:rsidRPr="00E611AB" w:rsidRDefault="00777EC6" w:rsidP="002F5786">
            <w:pPr>
              <w:pStyle w:val="TAC"/>
            </w:pPr>
            <w:r w:rsidRPr="00E611AB">
              <w:rPr>
                <w:lang w:eastAsia="zh-CN"/>
              </w:rPr>
              <w:t>DIFF_RX-TX_TIME_DIFFERENCE_8189</w:t>
            </w:r>
          </w:p>
        </w:tc>
        <w:tc>
          <w:tcPr>
            <w:tcW w:w="2835" w:type="dxa"/>
            <w:tcBorders>
              <w:top w:val="single" w:sz="4" w:space="0" w:color="auto"/>
              <w:left w:val="single" w:sz="4" w:space="0" w:color="auto"/>
              <w:bottom w:val="single" w:sz="4" w:space="0" w:color="auto"/>
              <w:right w:val="single" w:sz="4" w:space="0" w:color="auto"/>
            </w:tcBorders>
          </w:tcPr>
          <w:p w14:paraId="5BF06C6D" w14:textId="77777777" w:rsidR="00777EC6" w:rsidRPr="00E611AB" w:rsidRDefault="00777EC6" w:rsidP="002F5786">
            <w:pPr>
              <w:pStyle w:val="TAC"/>
            </w:pPr>
            <w:r w:rsidRPr="00E611AB">
              <w:rPr>
                <w:lang w:eastAsia="zh-CN"/>
              </w:rPr>
              <w:t xml:space="preserve">8189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8190</w:t>
            </w:r>
          </w:p>
        </w:tc>
        <w:tc>
          <w:tcPr>
            <w:tcW w:w="1701" w:type="dxa"/>
            <w:tcBorders>
              <w:top w:val="single" w:sz="4" w:space="0" w:color="auto"/>
              <w:left w:val="single" w:sz="4" w:space="0" w:color="auto"/>
              <w:bottom w:val="single" w:sz="4" w:space="0" w:color="auto"/>
              <w:right w:val="single" w:sz="4" w:space="0" w:color="auto"/>
            </w:tcBorders>
          </w:tcPr>
          <w:p w14:paraId="317C7661" w14:textId="77777777" w:rsidR="00777EC6" w:rsidRPr="00E611AB" w:rsidRDefault="00777EC6" w:rsidP="002F5786">
            <w:pPr>
              <w:pStyle w:val="TAC"/>
            </w:pPr>
            <w:r w:rsidRPr="00E611AB">
              <w:t>T</w:t>
            </w:r>
            <w:r w:rsidRPr="00E611AB">
              <w:rPr>
                <w:vertAlign w:val="subscript"/>
              </w:rPr>
              <w:t>c</w:t>
            </w:r>
          </w:p>
        </w:tc>
      </w:tr>
      <w:tr w:rsidR="00777EC6" w:rsidRPr="00E611AB" w14:paraId="4CE3D408"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488EFBD9" w14:textId="77777777" w:rsidR="00777EC6" w:rsidRPr="00E611AB" w:rsidRDefault="00777EC6" w:rsidP="002F5786">
            <w:pPr>
              <w:pStyle w:val="TAC"/>
            </w:pPr>
            <w:r w:rsidRPr="00E611AB">
              <w:rPr>
                <w:lang w:eastAsia="zh-CN"/>
              </w:rPr>
              <w:t>DIFF_RX-TX_TIME_DIFFERENCE_8190</w:t>
            </w:r>
          </w:p>
        </w:tc>
        <w:tc>
          <w:tcPr>
            <w:tcW w:w="2835" w:type="dxa"/>
            <w:tcBorders>
              <w:top w:val="single" w:sz="4" w:space="0" w:color="auto"/>
              <w:left w:val="single" w:sz="4" w:space="0" w:color="auto"/>
              <w:bottom w:val="single" w:sz="4" w:space="0" w:color="auto"/>
              <w:right w:val="single" w:sz="4" w:space="0" w:color="auto"/>
            </w:tcBorders>
          </w:tcPr>
          <w:p w14:paraId="30609265" w14:textId="77777777" w:rsidR="00777EC6" w:rsidRPr="00E611AB" w:rsidRDefault="00777EC6" w:rsidP="002F5786">
            <w:pPr>
              <w:pStyle w:val="TAC"/>
            </w:pPr>
            <w:r w:rsidRPr="00E611AB">
              <w:rPr>
                <w:lang w:eastAsia="zh-CN"/>
              </w:rPr>
              <w:t xml:space="preserve">8190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w:t>
            </w:r>
            <w:r>
              <w:rPr>
                <w:lang w:eastAsia="zh-CN"/>
              </w:rPr>
              <w:t>8191</w:t>
            </w:r>
          </w:p>
        </w:tc>
        <w:tc>
          <w:tcPr>
            <w:tcW w:w="1701" w:type="dxa"/>
            <w:tcBorders>
              <w:top w:val="single" w:sz="4" w:space="0" w:color="auto"/>
              <w:left w:val="single" w:sz="4" w:space="0" w:color="auto"/>
              <w:bottom w:val="single" w:sz="4" w:space="0" w:color="auto"/>
              <w:right w:val="single" w:sz="4" w:space="0" w:color="auto"/>
            </w:tcBorders>
          </w:tcPr>
          <w:p w14:paraId="03DCE903" w14:textId="77777777" w:rsidR="00777EC6" w:rsidRPr="00E611AB" w:rsidRDefault="00777EC6" w:rsidP="002F5786">
            <w:pPr>
              <w:pStyle w:val="TAC"/>
            </w:pPr>
            <w:r w:rsidRPr="00E611AB">
              <w:t>T</w:t>
            </w:r>
            <w:r w:rsidRPr="00E611AB">
              <w:rPr>
                <w:vertAlign w:val="subscript"/>
              </w:rPr>
              <w:t>c</w:t>
            </w:r>
          </w:p>
        </w:tc>
      </w:tr>
      <w:tr w:rsidR="00777EC6" w:rsidRPr="00E611AB" w14:paraId="4CD3E7C6"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5B4A1CBC" w14:textId="77777777" w:rsidR="00777EC6" w:rsidRPr="00E611AB" w:rsidRDefault="00777EC6" w:rsidP="002F5786">
            <w:pPr>
              <w:pStyle w:val="TAC"/>
            </w:pPr>
            <w:r w:rsidRPr="00E611AB">
              <w:rPr>
                <w:lang w:eastAsia="zh-CN"/>
              </w:rPr>
              <w:t>DIFF_RX-TX_TIME_DIFFERENCE_8191</w:t>
            </w:r>
          </w:p>
        </w:tc>
        <w:tc>
          <w:tcPr>
            <w:tcW w:w="2835" w:type="dxa"/>
            <w:tcBorders>
              <w:top w:val="single" w:sz="4" w:space="0" w:color="auto"/>
              <w:left w:val="single" w:sz="4" w:space="0" w:color="auto"/>
              <w:bottom w:val="single" w:sz="4" w:space="0" w:color="auto"/>
              <w:right w:val="single" w:sz="4" w:space="0" w:color="auto"/>
            </w:tcBorders>
          </w:tcPr>
          <w:p w14:paraId="453D2C5E" w14:textId="77777777" w:rsidR="00777EC6" w:rsidRPr="00E611AB" w:rsidRDefault="00777EC6" w:rsidP="002F5786">
            <w:pPr>
              <w:pStyle w:val="TAC"/>
            </w:pPr>
            <w:r>
              <w:rPr>
                <w:lang w:eastAsia="zh-CN"/>
              </w:rPr>
              <w:t>8191</w:t>
            </w:r>
            <w:r w:rsidRPr="00E611AB">
              <w:rPr>
                <w:lang w:eastAsia="zh-CN"/>
              </w:rPr>
              <w:t xml:space="preserve">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p>
        </w:tc>
        <w:tc>
          <w:tcPr>
            <w:tcW w:w="1701" w:type="dxa"/>
            <w:tcBorders>
              <w:top w:val="single" w:sz="4" w:space="0" w:color="auto"/>
              <w:left w:val="single" w:sz="4" w:space="0" w:color="auto"/>
              <w:bottom w:val="single" w:sz="4" w:space="0" w:color="auto"/>
              <w:right w:val="single" w:sz="4" w:space="0" w:color="auto"/>
            </w:tcBorders>
          </w:tcPr>
          <w:p w14:paraId="56DBE458" w14:textId="77777777" w:rsidR="00777EC6" w:rsidRPr="00E611AB" w:rsidRDefault="00777EC6" w:rsidP="002F5786">
            <w:pPr>
              <w:pStyle w:val="TAC"/>
            </w:pPr>
            <w:r w:rsidRPr="00E611AB">
              <w:t>T</w:t>
            </w:r>
            <w:r w:rsidRPr="00E611AB">
              <w:rPr>
                <w:vertAlign w:val="subscript"/>
              </w:rPr>
              <w:t>c</w:t>
            </w:r>
          </w:p>
        </w:tc>
      </w:tr>
    </w:tbl>
    <w:p w14:paraId="786F6EAB" w14:textId="77777777" w:rsidR="00777EC6" w:rsidRPr="00E611AB" w:rsidRDefault="00777EC6" w:rsidP="002F5786"/>
    <w:p w14:paraId="65F58ADB" w14:textId="77777777" w:rsidR="00777EC6" w:rsidRPr="00E611AB" w:rsidRDefault="00777EC6" w:rsidP="002F5786">
      <w:pPr>
        <w:pStyle w:val="TH"/>
        <w:rPr>
          <w:lang w:val="en-US" w:eastAsia="ja-JP"/>
        </w:rPr>
      </w:pPr>
      <w:r w:rsidRPr="00E611AB">
        <w:t xml:space="preserve">Table 10.1.25.3.2-2: Differential UE Rx-Tx time difference measurement report mapping for </w:t>
      </w:r>
      <w:r w:rsidRPr="00E611AB">
        <w:rPr>
          <w:i/>
          <w:iCs/>
        </w:rPr>
        <w:t>k</w:t>
      </w:r>
      <w:r w:rsidRPr="00E611AB">
        <w:t>=1</w:t>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2"/>
        <w:gridCol w:w="2835"/>
        <w:gridCol w:w="1701"/>
      </w:tblGrid>
      <w:tr w:rsidR="00777EC6" w:rsidRPr="00E611AB" w14:paraId="79A75668" w14:textId="77777777" w:rsidTr="00051ED3">
        <w:trPr>
          <w:cantSplit/>
          <w:trHeight w:val="193"/>
        </w:trPr>
        <w:tc>
          <w:tcPr>
            <w:tcW w:w="4252" w:type="dxa"/>
            <w:vAlign w:val="center"/>
          </w:tcPr>
          <w:p w14:paraId="17DCF3C4" w14:textId="77777777" w:rsidR="00777EC6" w:rsidRPr="00E611AB" w:rsidRDefault="00777EC6" w:rsidP="002F5786">
            <w:pPr>
              <w:pStyle w:val="TAH"/>
            </w:pPr>
            <w:r w:rsidRPr="00E611AB">
              <w:t>Reported Quantity Value</w:t>
            </w:r>
          </w:p>
        </w:tc>
        <w:tc>
          <w:tcPr>
            <w:tcW w:w="2835" w:type="dxa"/>
            <w:vAlign w:val="center"/>
          </w:tcPr>
          <w:p w14:paraId="12805184" w14:textId="77777777" w:rsidR="00777EC6" w:rsidRPr="00E611AB" w:rsidRDefault="00777EC6" w:rsidP="002F5786">
            <w:pPr>
              <w:pStyle w:val="TAH"/>
            </w:pPr>
            <w:r w:rsidRPr="00E611AB">
              <w:t>Measured Quantity Value</w:t>
            </w:r>
          </w:p>
        </w:tc>
        <w:tc>
          <w:tcPr>
            <w:tcW w:w="1701" w:type="dxa"/>
            <w:vAlign w:val="center"/>
          </w:tcPr>
          <w:p w14:paraId="5FC3E7FA" w14:textId="77777777" w:rsidR="00777EC6" w:rsidRPr="00E611AB" w:rsidRDefault="00777EC6" w:rsidP="002F5786">
            <w:pPr>
              <w:pStyle w:val="TAH"/>
            </w:pPr>
            <w:r w:rsidRPr="00E611AB">
              <w:t>Unit</w:t>
            </w:r>
          </w:p>
        </w:tc>
      </w:tr>
      <w:tr w:rsidR="00777EC6" w:rsidRPr="00E611AB" w14:paraId="090FC34C" w14:textId="77777777" w:rsidTr="00051ED3">
        <w:trPr>
          <w:cantSplit/>
        </w:trPr>
        <w:tc>
          <w:tcPr>
            <w:tcW w:w="4252" w:type="dxa"/>
          </w:tcPr>
          <w:p w14:paraId="23AAC5E6" w14:textId="77777777" w:rsidR="00777EC6" w:rsidRPr="00E611AB" w:rsidRDefault="00777EC6" w:rsidP="002F5786">
            <w:pPr>
              <w:pStyle w:val="TAC"/>
            </w:pPr>
            <w:r w:rsidRPr="00E611AB">
              <w:rPr>
                <w:lang w:eastAsia="zh-CN"/>
              </w:rPr>
              <w:t>DIFF_RX-TX_TIME_DIFFERENCE_</w:t>
            </w:r>
            <w:r w:rsidRPr="00E611AB">
              <w:t>0000</w:t>
            </w:r>
          </w:p>
        </w:tc>
        <w:tc>
          <w:tcPr>
            <w:tcW w:w="2835" w:type="dxa"/>
          </w:tcPr>
          <w:p w14:paraId="6976D49B" w14:textId="77777777" w:rsidR="00777EC6" w:rsidRPr="00E611AB" w:rsidRDefault="00777EC6" w:rsidP="002F5786">
            <w:pPr>
              <w:pStyle w:val="TAC"/>
            </w:pPr>
            <w:r w:rsidRPr="00E611AB">
              <w:rPr>
                <w:lang w:eastAsia="zh-CN"/>
              </w:rPr>
              <w:t xml:space="preserve">0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2</w:t>
            </w:r>
          </w:p>
        </w:tc>
        <w:tc>
          <w:tcPr>
            <w:tcW w:w="1701" w:type="dxa"/>
          </w:tcPr>
          <w:p w14:paraId="0EC7262A" w14:textId="77777777" w:rsidR="00777EC6" w:rsidRPr="00E611AB" w:rsidRDefault="00777EC6" w:rsidP="002F5786">
            <w:pPr>
              <w:pStyle w:val="TAC"/>
            </w:pPr>
            <w:r w:rsidRPr="00E611AB">
              <w:t>T</w:t>
            </w:r>
            <w:r w:rsidRPr="00E611AB">
              <w:rPr>
                <w:vertAlign w:val="subscript"/>
              </w:rPr>
              <w:t>c</w:t>
            </w:r>
          </w:p>
        </w:tc>
      </w:tr>
      <w:tr w:rsidR="00777EC6" w:rsidRPr="00E611AB" w14:paraId="33F017B1" w14:textId="77777777" w:rsidTr="00051ED3">
        <w:trPr>
          <w:cantSplit/>
        </w:trPr>
        <w:tc>
          <w:tcPr>
            <w:tcW w:w="4252" w:type="dxa"/>
          </w:tcPr>
          <w:p w14:paraId="3CC3EA44" w14:textId="77777777" w:rsidR="00777EC6" w:rsidRPr="00E611AB" w:rsidRDefault="00777EC6" w:rsidP="002F5786">
            <w:pPr>
              <w:pStyle w:val="TAC"/>
            </w:pPr>
            <w:r w:rsidRPr="00E611AB">
              <w:rPr>
                <w:lang w:eastAsia="zh-CN"/>
              </w:rPr>
              <w:t>DIFF_RX-TX_TIME_DIFFERENCE_</w:t>
            </w:r>
            <w:r w:rsidRPr="00E611AB">
              <w:t>0001</w:t>
            </w:r>
          </w:p>
        </w:tc>
        <w:tc>
          <w:tcPr>
            <w:tcW w:w="2835" w:type="dxa"/>
          </w:tcPr>
          <w:p w14:paraId="42FEFA43" w14:textId="77777777" w:rsidR="00777EC6" w:rsidRPr="00E611AB" w:rsidRDefault="00777EC6" w:rsidP="002F5786">
            <w:pPr>
              <w:pStyle w:val="TAC"/>
            </w:pPr>
            <w:r w:rsidRPr="00E611AB">
              <w:rPr>
                <w:lang w:eastAsia="zh-CN"/>
              </w:rPr>
              <w:t xml:space="preserve">2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4</w:t>
            </w:r>
          </w:p>
        </w:tc>
        <w:tc>
          <w:tcPr>
            <w:tcW w:w="1701" w:type="dxa"/>
          </w:tcPr>
          <w:p w14:paraId="4AD3A1B9" w14:textId="77777777" w:rsidR="00777EC6" w:rsidRPr="00E611AB" w:rsidRDefault="00777EC6" w:rsidP="002F5786">
            <w:pPr>
              <w:pStyle w:val="TAC"/>
            </w:pPr>
            <w:r w:rsidRPr="00E611AB">
              <w:t>T</w:t>
            </w:r>
            <w:r w:rsidRPr="00E611AB">
              <w:rPr>
                <w:vertAlign w:val="subscript"/>
              </w:rPr>
              <w:t>c</w:t>
            </w:r>
          </w:p>
        </w:tc>
      </w:tr>
      <w:tr w:rsidR="00777EC6" w:rsidRPr="00E611AB" w14:paraId="695C0C48" w14:textId="77777777" w:rsidTr="00051ED3">
        <w:trPr>
          <w:cantSplit/>
        </w:trPr>
        <w:tc>
          <w:tcPr>
            <w:tcW w:w="4252" w:type="dxa"/>
          </w:tcPr>
          <w:p w14:paraId="1CC9A0D8" w14:textId="77777777" w:rsidR="00777EC6" w:rsidRPr="00E611AB" w:rsidRDefault="00777EC6" w:rsidP="002F5786">
            <w:pPr>
              <w:pStyle w:val="TAC"/>
            </w:pPr>
            <w:r w:rsidRPr="00E611AB">
              <w:rPr>
                <w:lang w:eastAsia="zh-CN"/>
              </w:rPr>
              <w:t>DIFF_RX-TX_TIME_DIFFERENCE_</w:t>
            </w:r>
            <w:r w:rsidRPr="00E611AB">
              <w:t>0002</w:t>
            </w:r>
          </w:p>
        </w:tc>
        <w:tc>
          <w:tcPr>
            <w:tcW w:w="2835" w:type="dxa"/>
          </w:tcPr>
          <w:p w14:paraId="7E2C3324" w14:textId="77777777" w:rsidR="00777EC6" w:rsidRPr="00E611AB" w:rsidRDefault="00777EC6" w:rsidP="002F5786">
            <w:pPr>
              <w:pStyle w:val="TAC"/>
            </w:pPr>
            <w:r w:rsidRPr="00E611AB">
              <w:rPr>
                <w:lang w:eastAsia="zh-CN"/>
              </w:rPr>
              <w:t xml:space="preserve">4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6</w:t>
            </w:r>
          </w:p>
        </w:tc>
        <w:tc>
          <w:tcPr>
            <w:tcW w:w="1701" w:type="dxa"/>
          </w:tcPr>
          <w:p w14:paraId="00B2E085" w14:textId="77777777" w:rsidR="00777EC6" w:rsidRPr="00E611AB" w:rsidRDefault="00777EC6" w:rsidP="002F5786">
            <w:pPr>
              <w:pStyle w:val="TAC"/>
            </w:pPr>
            <w:r w:rsidRPr="00E611AB">
              <w:t>T</w:t>
            </w:r>
            <w:r w:rsidRPr="00E611AB">
              <w:rPr>
                <w:vertAlign w:val="subscript"/>
              </w:rPr>
              <w:t>c</w:t>
            </w:r>
          </w:p>
        </w:tc>
      </w:tr>
      <w:tr w:rsidR="00777EC6" w:rsidRPr="00E611AB" w14:paraId="5815835C" w14:textId="77777777" w:rsidTr="00051ED3">
        <w:trPr>
          <w:cantSplit/>
        </w:trPr>
        <w:tc>
          <w:tcPr>
            <w:tcW w:w="4252" w:type="dxa"/>
          </w:tcPr>
          <w:p w14:paraId="0B500851" w14:textId="77777777" w:rsidR="00777EC6" w:rsidRPr="00E611AB" w:rsidRDefault="00777EC6" w:rsidP="002F5786">
            <w:pPr>
              <w:pStyle w:val="TAC"/>
            </w:pPr>
            <w:r w:rsidRPr="00E611AB">
              <w:rPr>
                <w:rFonts w:ascii="Symbol" w:eastAsia="Symbol" w:hAnsi="Symbol" w:cs="Symbol"/>
              </w:rPr>
              <w:t></w:t>
            </w:r>
          </w:p>
        </w:tc>
        <w:tc>
          <w:tcPr>
            <w:tcW w:w="2835" w:type="dxa"/>
          </w:tcPr>
          <w:p w14:paraId="185BC86C" w14:textId="77777777" w:rsidR="00777EC6" w:rsidRPr="00E611AB" w:rsidRDefault="00777EC6" w:rsidP="002F5786">
            <w:pPr>
              <w:pStyle w:val="TAC"/>
            </w:pPr>
            <w:r w:rsidRPr="00E611AB">
              <w:rPr>
                <w:rFonts w:ascii="Symbol" w:eastAsia="Symbol" w:hAnsi="Symbol" w:cs="Symbol"/>
              </w:rPr>
              <w:t></w:t>
            </w:r>
          </w:p>
        </w:tc>
        <w:tc>
          <w:tcPr>
            <w:tcW w:w="1701" w:type="dxa"/>
          </w:tcPr>
          <w:p w14:paraId="1424852B" w14:textId="77777777" w:rsidR="00777EC6" w:rsidRPr="00E611AB" w:rsidRDefault="00777EC6" w:rsidP="002F5786">
            <w:pPr>
              <w:pStyle w:val="TAC"/>
            </w:pPr>
            <w:r w:rsidRPr="00E611AB">
              <w:t>…</w:t>
            </w:r>
          </w:p>
        </w:tc>
      </w:tr>
      <w:tr w:rsidR="00777EC6" w:rsidRPr="00E611AB" w14:paraId="6932B06B"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4C5D37DD" w14:textId="77777777" w:rsidR="00777EC6" w:rsidRPr="00E611AB" w:rsidRDefault="00777EC6" w:rsidP="002F5786">
            <w:pPr>
              <w:pStyle w:val="TAC"/>
            </w:pPr>
            <w:r w:rsidRPr="00E611AB">
              <w:rPr>
                <w:lang w:eastAsia="zh-CN"/>
              </w:rPr>
              <w:t>DIFF_RX-TX_TIME_DIFFERENCE_4093</w:t>
            </w:r>
          </w:p>
        </w:tc>
        <w:tc>
          <w:tcPr>
            <w:tcW w:w="2835" w:type="dxa"/>
            <w:tcBorders>
              <w:top w:val="single" w:sz="4" w:space="0" w:color="auto"/>
              <w:left w:val="single" w:sz="4" w:space="0" w:color="auto"/>
              <w:bottom w:val="single" w:sz="4" w:space="0" w:color="auto"/>
              <w:right w:val="single" w:sz="4" w:space="0" w:color="auto"/>
            </w:tcBorders>
          </w:tcPr>
          <w:p w14:paraId="2F34F227" w14:textId="77777777" w:rsidR="00777EC6" w:rsidRPr="00E611AB" w:rsidRDefault="00777EC6" w:rsidP="002F5786">
            <w:pPr>
              <w:pStyle w:val="TAC"/>
            </w:pPr>
            <w:r w:rsidRPr="00E611AB">
              <w:rPr>
                <w:lang w:eastAsia="zh-CN"/>
              </w:rPr>
              <w:t xml:space="preserve">8186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8188</w:t>
            </w:r>
          </w:p>
        </w:tc>
        <w:tc>
          <w:tcPr>
            <w:tcW w:w="1701" w:type="dxa"/>
            <w:tcBorders>
              <w:top w:val="single" w:sz="4" w:space="0" w:color="auto"/>
              <w:left w:val="single" w:sz="4" w:space="0" w:color="auto"/>
              <w:bottom w:val="single" w:sz="4" w:space="0" w:color="auto"/>
              <w:right w:val="single" w:sz="4" w:space="0" w:color="auto"/>
            </w:tcBorders>
          </w:tcPr>
          <w:p w14:paraId="1D3A85FB" w14:textId="77777777" w:rsidR="00777EC6" w:rsidRPr="00E611AB" w:rsidRDefault="00777EC6" w:rsidP="002F5786">
            <w:pPr>
              <w:pStyle w:val="TAC"/>
            </w:pPr>
            <w:r w:rsidRPr="00E611AB">
              <w:t>T</w:t>
            </w:r>
            <w:r w:rsidRPr="00E611AB">
              <w:rPr>
                <w:vertAlign w:val="subscript"/>
              </w:rPr>
              <w:t>c</w:t>
            </w:r>
          </w:p>
        </w:tc>
      </w:tr>
      <w:tr w:rsidR="00777EC6" w:rsidRPr="00E611AB" w14:paraId="5D1B045C"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58A6E897" w14:textId="77777777" w:rsidR="00777EC6" w:rsidRPr="00E611AB" w:rsidRDefault="00777EC6" w:rsidP="002F5786">
            <w:pPr>
              <w:pStyle w:val="TAC"/>
            </w:pPr>
            <w:r w:rsidRPr="00E611AB">
              <w:rPr>
                <w:lang w:eastAsia="zh-CN"/>
              </w:rPr>
              <w:t>DIFF_RX-TX_TIME_DIFFERENCE_4094</w:t>
            </w:r>
          </w:p>
        </w:tc>
        <w:tc>
          <w:tcPr>
            <w:tcW w:w="2835" w:type="dxa"/>
            <w:tcBorders>
              <w:top w:val="single" w:sz="4" w:space="0" w:color="auto"/>
              <w:left w:val="single" w:sz="4" w:space="0" w:color="auto"/>
              <w:bottom w:val="single" w:sz="4" w:space="0" w:color="auto"/>
              <w:right w:val="single" w:sz="4" w:space="0" w:color="auto"/>
            </w:tcBorders>
          </w:tcPr>
          <w:p w14:paraId="1635BC07" w14:textId="77777777" w:rsidR="00777EC6" w:rsidRPr="00E611AB" w:rsidRDefault="00777EC6" w:rsidP="002F5786">
            <w:pPr>
              <w:pStyle w:val="TAC"/>
            </w:pPr>
            <w:r w:rsidRPr="00E611AB">
              <w:rPr>
                <w:lang w:eastAsia="zh-CN"/>
              </w:rPr>
              <w:t xml:space="preserve">8188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w:t>
            </w:r>
            <w:r>
              <w:rPr>
                <w:lang w:eastAsia="zh-CN"/>
              </w:rPr>
              <w:t>8190</w:t>
            </w:r>
          </w:p>
        </w:tc>
        <w:tc>
          <w:tcPr>
            <w:tcW w:w="1701" w:type="dxa"/>
            <w:tcBorders>
              <w:top w:val="single" w:sz="4" w:space="0" w:color="auto"/>
              <w:left w:val="single" w:sz="4" w:space="0" w:color="auto"/>
              <w:bottom w:val="single" w:sz="4" w:space="0" w:color="auto"/>
              <w:right w:val="single" w:sz="4" w:space="0" w:color="auto"/>
            </w:tcBorders>
          </w:tcPr>
          <w:p w14:paraId="267B23D9" w14:textId="77777777" w:rsidR="00777EC6" w:rsidRPr="00E611AB" w:rsidRDefault="00777EC6" w:rsidP="002F5786">
            <w:pPr>
              <w:pStyle w:val="TAC"/>
            </w:pPr>
            <w:r w:rsidRPr="00E611AB">
              <w:t>T</w:t>
            </w:r>
            <w:r w:rsidRPr="00E611AB">
              <w:rPr>
                <w:vertAlign w:val="subscript"/>
              </w:rPr>
              <w:t>c</w:t>
            </w:r>
          </w:p>
        </w:tc>
      </w:tr>
      <w:tr w:rsidR="00777EC6" w:rsidRPr="00E611AB" w14:paraId="398C9DB3"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70833707" w14:textId="77777777" w:rsidR="00777EC6" w:rsidRPr="00E611AB" w:rsidRDefault="00777EC6" w:rsidP="002F5786">
            <w:pPr>
              <w:pStyle w:val="TAC"/>
            </w:pPr>
            <w:r w:rsidRPr="00E611AB">
              <w:rPr>
                <w:lang w:eastAsia="zh-CN"/>
              </w:rPr>
              <w:t>DIFF_RX-TX_TIME_DIFFERENCE_4095</w:t>
            </w:r>
          </w:p>
        </w:tc>
        <w:tc>
          <w:tcPr>
            <w:tcW w:w="2835" w:type="dxa"/>
            <w:tcBorders>
              <w:top w:val="single" w:sz="4" w:space="0" w:color="auto"/>
              <w:left w:val="single" w:sz="4" w:space="0" w:color="auto"/>
              <w:bottom w:val="single" w:sz="4" w:space="0" w:color="auto"/>
              <w:right w:val="single" w:sz="4" w:space="0" w:color="auto"/>
            </w:tcBorders>
          </w:tcPr>
          <w:p w14:paraId="74E3002D" w14:textId="77777777" w:rsidR="00777EC6" w:rsidRPr="00E611AB" w:rsidRDefault="00777EC6" w:rsidP="002F5786">
            <w:pPr>
              <w:pStyle w:val="TAC"/>
            </w:pPr>
            <w:r>
              <w:rPr>
                <w:lang w:eastAsia="zh-CN"/>
              </w:rPr>
              <w:t>8190</w:t>
            </w:r>
            <w:r w:rsidRPr="00E611AB">
              <w:rPr>
                <w:lang w:eastAsia="zh-CN"/>
              </w:rPr>
              <w:t xml:space="preserve">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p>
        </w:tc>
        <w:tc>
          <w:tcPr>
            <w:tcW w:w="1701" w:type="dxa"/>
            <w:tcBorders>
              <w:top w:val="single" w:sz="4" w:space="0" w:color="auto"/>
              <w:left w:val="single" w:sz="4" w:space="0" w:color="auto"/>
              <w:bottom w:val="single" w:sz="4" w:space="0" w:color="auto"/>
              <w:right w:val="single" w:sz="4" w:space="0" w:color="auto"/>
            </w:tcBorders>
          </w:tcPr>
          <w:p w14:paraId="438AA945" w14:textId="77777777" w:rsidR="00777EC6" w:rsidRPr="00E611AB" w:rsidRDefault="00777EC6" w:rsidP="002F5786">
            <w:pPr>
              <w:pStyle w:val="TAC"/>
            </w:pPr>
            <w:r w:rsidRPr="00E611AB">
              <w:t>T</w:t>
            </w:r>
            <w:r w:rsidRPr="00E611AB">
              <w:rPr>
                <w:vertAlign w:val="subscript"/>
              </w:rPr>
              <w:t>c</w:t>
            </w:r>
          </w:p>
        </w:tc>
      </w:tr>
    </w:tbl>
    <w:p w14:paraId="628AA980" w14:textId="77777777" w:rsidR="00777EC6" w:rsidRPr="00E611AB" w:rsidRDefault="00777EC6" w:rsidP="007D2B70"/>
    <w:p w14:paraId="7C958CA8" w14:textId="77777777" w:rsidR="00777EC6" w:rsidRPr="00E611AB" w:rsidRDefault="00777EC6" w:rsidP="002F5786">
      <w:pPr>
        <w:pStyle w:val="TH"/>
        <w:rPr>
          <w:lang w:val="en-US" w:eastAsia="ja-JP"/>
        </w:rPr>
      </w:pPr>
      <w:r w:rsidRPr="00E611AB">
        <w:t xml:space="preserve">Table 10.1.25.3.2-3: Differential UE Rx-Tx time difference measurement report mapping for </w:t>
      </w:r>
      <w:r w:rsidRPr="00E611AB">
        <w:rPr>
          <w:i/>
          <w:iCs/>
        </w:rPr>
        <w:t>k</w:t>
      </w:r>
      <w:r w:rsidRPr="00E611AB">
        <w:t>=2</w:t>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2"/>
        <w:gridCol w:w="2835"/>
        <w:gridCol w:w="1701"/>
      </w:tblGrid>
      <w:tr w:rsidR="00777EC6" w:rsidRPr="00E611AB" w14:paraId="46503BF7" w14:textId="77777777" w:rsidTr="00051ED3">
        <w:trPr>
          <w:cantSplit/>
          <w:trHeight w:val="126"/>
        </w:trPr>
        <w:tc>
          <w:tcPr>
            <w:tcW w:w="4252" w:type="dxa"/>
            <w:vAlign w:val="center"/>
          </w:tcPr>
          <w:p w14:paraId="1041FE39" w14:textId="77777777" w:rsidR="00777EC6" w:rsidRPr="00E611AB" w:rsidRDefault="00777EC6" w:rsidP="002F5786">
            <w:pPr>
              <w:pStyle w:val="TAH"/>
            </w:pPr>
            <w:r w:rsidRPr="00E611AB">
              <w:t>Reported Quantity Value</w:t>
            </w:r>
          </w:p>
        </w:tc>
        <w:tc>
          <w:tcPr>
            <w:tcW w:w="2835" w:type="dxa"/>
            <w:vAlign w:val="center"/>
          </w:tcPr>
          <w:p w14:paraId="4EC2877B" w14:textId="77777777" w:rsidR="00777EC6" w:rsidRPr="00E611AB" w:rsidRDefault="00777EC6" w:rsidP="002F5786">
            <w:pPr>
              <w:pStyle w:val="TAH"/>
            </w:pPr>
            <w:r w:rsidRPr="00E611AB">
              <w:t>Measured Quantity Value</w:t>
            </w:r>
          </w:p>
        </w:tc>
        <w:tc>
          <w:tcPr>
            <w:tcW w:w="1701" w:type="dxa"/>
            <w:vAlign w:val="center"/>
          </w:tcPr>
          <w:p w14:paraId="17D44B0F" w14:textId="77777777" w:rsidR="00777EC6" w:rsidRPr="00E611AB" w:rsidRDefault="00777EC6" w:rsidP="002F5786">
            <w:pPr>
              <w:pStyle w:val="TAH"/>
            </w:pPr>
            <w:r w:rsidRPr="00E611AB">
              <w:t>Unit</w:t>
            </w:r>
          </w:p>
        </w:tc>
      </w:tr>
      <w:tr w:rsidR="00777EC6" w:rsidRPr="00E611AB" w14:paraId="303427A2" w14:textId="77777777" w:rsidTr="00051ED3">
        <w:trPr>
          <w:cantSplit/>
        </w:trPr>
        <w:tc>
          <w:tcPr>
            <w:tcW w:w="4252" w:type="dxa"/>
          </w:tcPr>
          <w:p w14:paraId="0F195171" w14:textId="77777777" w:rsidR="00777EC6" w:rsidRPr="00E611AB" w:rsidRDefault="00777EC6" w:rsidP="002F5786">
            <w:pPr>
              <w:pStyle w:val="TAC"/>
            </w:pPr>
            <w:r w:rsidRPr="00E611AB">
              <w:rPr>
                <w:lang w:eastAsia="zh-CN"/>
              </w:rPr>
              <w:t>DIFF_RX-TX_TIME_DIFFERENCE_</w:t>
            </w:r>
            <w:r w:rsidRPr="00E611AB">
              <w:t>0000</w:t>
            </w:r>
          </w:p>
        </w:tc>
        <w:tc>
          <w:tcPr>
            <w:tcW w:w="2835" w:type="dxa"/>
          </w:tcPr>
          <w:p w14:paraId="5956264E" w14:textId="77777777" w:rsidR="00777EC6" w:rsidRPr="00E611AB" w:rsidRDefault="00777EC6" w:rsidP="002F5786">
            <w:pPr>
              <w:pStyle w:val="TAC"/>
            </w:pPr>
            <w:r w:rsidRPr="00E611AB">
              <w:rPr>
                <w:lang w:eastAsia="zh-CN"/>
              </w:rPr>
              <w:t xml:space="preserve">0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4</w:t>
            </w:r>
          </w:p>
        </w:tc>
        <w:tc>
          <w:tcPr>
            <w:tcW w:w="1701" w:type="dxa"/>
          </w:tcPr>
          <w:p w14:paraId="59085866" w14:textId="77777777" w:rsidR="00777EC6" w:rsidRPr="00E611AB" w:rsidRDefault="00777EC6" w:rsidP="002F5786">
            <w:pPr>
              <w:pStyle w:val="TAC"/>
            </w:pPr>
            <w:r w:rsidRPr="00E611AB">
              <w:t>T</w:t>
            </w:r>
            <w:r w:rsidRPr="00E611AB">
              <w:rPr>
                <w:vertAlign w:val="subscript"/>
              </w:rPr>
              <w:t>c</w:t>
            </w:r>
          </w:p>
        </w:tc>
      </w:tr>
      <w:tr w:rsidR="00777EC6" w:rsidRPr="00E611AB" w14:paraId="1F9F6B89" w14:textId="77777777" w:rsidTr="00051ED3">
        <w:trPr>
          <w:cantSplit/>
        </w:trPr>
        <w:tc>
          <w:tcPr>
            <w:tcW w:w="4252" w:type="dxa"/>
          </w:tcPr>
          <w:p w14:paraId="5BE13EE0" w14:textId="77777777" w:rsidR="00777EC6" w:rsidRPr="00E611AB" w:rsidRDefault="00777EC6" w:rsidP="002F5786">
            <w:pPr>
              <w:pStyle w:val="TAC"/>
            </w:pPr>
            <w:r w:rsidRPr="00E611AB">
              <w:rPr>
                <w:lang w:eastAsia="zh-CN"/>
              </w:rPr>
              <w:t>DIFF_RX-TX_TIME_DIFFERENCE_</w:t>
            </w:r>
            <w:r w:rsidRPr="00E611AB">
              <w:t>0001</w:t>
            </w:r>
          </w:p>
        </w:tc>
        <w:tc>
          <w:tcPr>
            <w:tcW w:w="2835" w:type="dxa"/>
          </w:tcPr>
          <w:p w14:paraId="6B360D16" w14:textId="77777777" w:rsidR="00777EC6" w:rsidRPr="00E611AB" w:rsidRDefault="00777EC6" w:rsidP="002F5786">
            <w:pPr>
              <w:pStyle w:val="TAC"/>
            </w:pPr>
            <w:r w:rsidRPr="00E611AB">
              <w:rPr>
                <w:lang w:eastAsia="zh-CN"/>
              </w:rPr>
              <w:t xml:space="preserve">4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8</w:t>
            </w:r>
          </w:p>
        </w:tc>
        <w:tc>
          <w:tcPr>
            <w:tcW w:w="1701" w:type="dxa"/>
          </w:tcPr>
          <w:p w14:paraId="13A0EC8C" w14:textId="77777777" w:rsidR="00777EC6" w:rsidRPr="00E611AB" w:rsidRDefault="00777EC6" w:rsidP="002F5786">
            <w:pPr>
              <w:pStyle w:val="TAC"/>
            </w:pPr>
            <w:r w:rsidRPr="00E611AB">
              <w:t>T</w:t>
            </w:r>
            <w:r w:rsidRPr="00E611AB">
              <w:rPr>
                <w:vertAlign w:val="subscript"/>
              </w:rPr>
              <w:t>c</w:t>
            </w:r>
          </w:p>
        </w:tc>
      </w:tr>
      <w:tr w:rsidR="00777EC6" w:rsidRPr="00E611AB" w14:paraId="05102ED1" w14:textId="77777777" w:rsidTr="00051ED3">
        <w:trPr>
          <w:cantSplit/>
        </w:trPr>
        <w:tc>
          <w:tcPr>
            <w:tcW w:w="4252" w:type="dxa"/>
          </w:tcPr>
          <w:p w14:paraId="41ED34D8" w14:textId="77777777" w:rsidR="00777EC6" w:rsidRPr="00E611AB" w:rsidRDefault="00777EC6" w:rsidP="002F5786">
            <w:pPr>
              <w:pStyle w:val="TAC"/>
            </w:pPr>
            <w:r w:rsidRPr="00E611AB">
              <w:rPr>
                <w:lang w:eastAsia="zh-CN"/>
              </w:rPr>
              <w:t>DIFF_RX-TX_TIME_DIFFERENCE_</w:t>
            </w:r>
            <w:r w:rsidRPr="00E611AB">
              <w:t>0002</w:t>
            </w:r>
          </w:p>
        </w:tc>
        <w:tc>
          <w:tcPr>
            <w:tcW w:w="2835" w:type="dxa"/>
          </w:tcPr>
          <w:p w14:paraId="441126A6" w14:textId="77777777" w:rsidR="00777EC6" w:rsidRPr="00E611AB" w:rsidRDefault="00777EC6" w:rsidP="002F5786">
            <w:pPr>
              <w:pStyle w:val="TAC"/>
            </w:pPr>
            <w:r w:rsidRPr="00E611AB">
              <w:rPr>
                <w:lang w:eastAsia="zh-CN"/>
              </w:rPr>
              <w:t xml:space="preserve">8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12</w:t>
            </w:r>
          </w:p>
        </w:tc>
        <w:tc>
          <w:tcPr>
            <w:tcW w:w="1701" w:type="dxa"/>
          </w:tcPr>
          <w:p w14:paraId="61048286" w14:textId="77777777" w:rsidR="00777EC6" w:rsidRPr="00E611AB" w:rsidRDefault="00777EC6" w:rsidP="002F5786">
            <w:pPr>
              <w:pStyle w:val="TAC"/>
            </w:pPr>
            <w:r w:rsidRPr="00E611AB">
              <w:t>T</w:t>
            </w:r>
            <w:r w:rsidRPr="00E611AB">
              <w:rPr>
                <w:vertAlign w:val="subscript"/>
              </w:rPr>
              <w:t>c</w:t>
            </w:r>
          </w:p>
        </w:tc>
      </w:tr>
      <w:tr w:rsidR="00777EC6" w:rsidRPr="00E611AB" w14:paraId="3AB99147" w14:textId="77777777" w:rsidTr="00051ED3">
        <w:trPr>
          <w:cantSplit/>
        </w:trPr>
        <w:tc>
          <w:tcPr>
            <w:tcW w:w="4252" w:type="dxa"/>
          </w:tcPr>
          <w:p w14:paraId="58E0BD20" w14:textId="77777777" w:rsidR="00777EC6" w:rsidRPr="00E611AB" w:rsidRDefault="00777EC6" w:rsidP="002F5786">
            <w:pPr>
              <w:pStyle w:val="TAC"/>
            </w:pPr>
            <w:r w:rsidRPr="00E611AB">
              <w:rPr>
                <w:rFonts w:ascii="Symbol" w:eastAsia="Symbol" w:hAnsi="Symbol" w:cs="Symbol"/>
              </w:rPr>
              <w:t></w:t>
            </w:r>
          </w:p>
        </w:tc>
        <w:tc>
          <w:tcPr>
            <w:tcW w:w="2835" w:type="dxa"/>
          </w:tcPr>
          <w:p w14:paraId="40C44D1E" w14:textId="77777777" w:rsidR="00777EC6" w:rsidRPr="00E611AB" w:rsidRDefault="00777EC6" w:rsidP="002F5786">
            <w:pPr>
              <w:pStyle w:val="TAC"/>
            </w:pPr>
            <w:r w:rsidRPr="00E611AB">
              <w:rPr>
                <w:rFonts w:ascii="Symbol" w:eastAsia="Symbol" w:hAnsi="Symbol" w:cs="Symbol"/>
              </w:rPr>
              <w:t></w:t>
            </w:r>
          </w:p>
        </w:tc>
        <w:tc>
          <w:tcPr>
            <w:tcW w:w="1701" w:type="dxa"/>
          </w:tcPr>
          <w:p w14:paraId="45CF3F3B" w14:textId="77777777" w:rsidR="00777EC6" w:rsidRPr="00E611AB" w:rsidRDefault="00777EC6" w:rsidP="002F5786">
            <w:pPr>
              <w:pStyle w:val="TAC"/>
            </w:pPr>
            <w:r w:rsidRPr="00E611AB">
              <w:t>…</w:t>
            </w:r>
          </w:p>
        </w:tc>
      </w:tr>
      <w:tr w:rsidR="00777EC6" w:rsidRPr="00E611AB" w14:paraId="6F1FBEF4"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7C071845" w14:textId="77777777" w:rsidR="00777EC6" w:rsidRPr="00E611AB" w:rsidRDefault="00777EC6" w:rsidP="002F5786">
            <w:pPr>
              <w:pStyle w:val="TAC"/>
            </w:pPr>
            <w:r w:rsidRPr="00E611AB">
              <w:rPr>
                <w:lang w:eastAsia="zh-CN"/>
              </w:rPr>
              <w:t>DIFF_RX-TX_TIME_DIFFERENCE_2045</w:t>
            </w:r>
          </w:p>
        </w:tc>
        <w:tc>
          <w:tcPr>
            <w:tcW w:w="2835" w:type="dxa"/>
            <w:tcBorders>
              <w:top w:val="single" w:sz="4" w:space="0" w:color="auto"/>
              <w:left w:val="single" w:sz="4" w:space="0" w:color="auto"/>
              <w:bottom w:val="single" w:sz="4" w:space="0" w:color="auto"/>
              <w:right w:val="single" w:sz="4" w:space="0" w:color="auto"/>
            </w:tcBorders>
          </w:tcPr>
          <w:p w14:paraId="373B1A36" w14:textId="77777777" w:rsidR="00777EC6" w:rsidRPr="00E611AB" w:rsidRDefault="00777EC6" w:rsidP="002F5786">
            <w:pPr>
              <w:pStyle w:val="TAC"/>
            </w:pPr>
            <w:r w:rsidRPr="00E611AB">
              <w:rPr>
                <w:lang w:eastAsia="zh-CN"/>
              </w:rPr>
              <w:t xml:space="preserve">8180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8184</w:t>
            </w:r>
          </w:p>
        </w:tc>
        <w:tc>
          <w:tcPr>
            <w:tcW w:w="1701" w:type="dxa"/>
            <w:tcBorders>
              <w:top w:val="single" w:sz="4" w:space="0" w:color="auto"/>
              <w:left w:val="single" w:sz="4" w:space="0" w:color="auto"/>
              <w:bottom w:val="single" w:sz="4" w:space="0" w:color="auto"/>
              <w:right w:val="single" w:sz="4" w:space="0" w:color="auto"/>
            </w:tcBorders>
          </w:tcPr>
          <w:p w14:paraId="716948EE" w14:textId="77777777" w:rsidR="00777EC6" w:rsidRPr="00E611AB" w:rsidRDefault="00777EC6" w:rsidP="002F5786">
            <w:pPr>
              <w:pStyle w:val="TAC"/>
            </w:pPr>
            <w:r w:rsidRPr="00E611AB">
              <w:t>T</w:t>
            </w:r>
            <w:r w:rsidRPr="00E611AB">
              <w:rPr>
                <w:vertAlign w:val="subscript"/>
              </w:rPr>
              <w:t>c</w:t>
            </w:r>
          </w:p>
        </w:tc>
      </w:tr>
      <w:tr w:rsidR="00777EC6" w:rsidRPr="00E611AB" w14:paraId="605AD954"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2FED9772" w14:textId="77777777" w:rsidR="00777EC6" w:rsidRPr="00E611AB" w:rsidRDefault="00777EC6" w:rsidP="002F5786">
            <w:pPr>
              <w:pStyle w:val="TAC"/>
              <w:rPr>
                <w:lang w:val="en-US"/>
              </w:rPr>
            </w:pPr>
            <w:r w:rsidRPr="00E611AB">
              <w:rPr>
                <w:lang w:eastAsia="zh-CN"/>
              </w:rPr>
              <w:t>DIFF_RX-TX_TIME_DIFFERENCE_2046</w:t>
            </w:r>
          </w:p>
        </w:tc>
        <w:tc>
          <w:tcPr>
            <w:tcW w:w="2835" w:type="dxa"/>
            <w:tcBorders>
              <w:top w:val="single" w:sz="4" w:space="0" w:color="auto"/>
              <w:left w:val="single" w:sz="4" w:space="0" w:color="auto"/>
              <w:bottom w:val="single" w:sz="4" w:space="0" w:color="auto"/>
              <w:right w:val="single" w:sz="4" w:space="0" w:color="auto"/>
            </w:tcBorders>
          </w:tcPr>
          <w:p w14:paraId="48D7AD2E" w14:textId="77777777" w:rsidR="00777EC6" w:rsidRPr="00E611AB" w:rsidRDefault="00777EC6" w:rsidP="002F5786">
            <w:pPr>
              <w:pStyle w:val="TAC"/>
            </w:pPr>
            <w:r w:rsidRPr="00E611AB">
              <w:rPr>
                <w:lang w:eastAsia="zh-CN"/>
              </w:rPr>
              <w:t xml:space="preserve">8184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w:t>
            </w:r>
            <w:r>
              <w:rPr>
                <w:lang w:eastAsia="zh-CN"/>
              </w:rPr>
              <w:t>8188</w:t>
            </w:r>
          </w:p>
        </w:tc>
        <w:tc>
          <w:tcPr>
            <w:tcW w:w="1701" w:type="dxa"/>
            <w:tcBorders>
              <w:top w:val="single" w:sz="4" w:space="0" w:color="auto"/>
              <w:left w:val="single" w:sz="4" w:space="0" w:color="auto"/>
              <w:bottom w:val="single" w:sz="4" w:space="0" w:color="auto"/>
              <w:right w:val="single" w:sz="4" w:space="0" w:color="auto"/>
            </w:tcBorders>
          </w:tcPr>
          <w:p w14:paraId="151BA377" w14:textId="77777777" w:rsidR="00777EC6" w:rsidRPr="00E611AB" w:rsidRDefault="00777EC6" w:rsidP="002F5786">
            <w:pPr>
              <w:pStyle w:val="TAC"/>
            </w:pPr>
            <w:r w:rsidRPr="00E611AB">
              <w:t>T</w:t>
            </w:r>
            <w:r w:rsidRPr="00E611AB">
              <w:rPr>
                <w:vertAlign w:val="subscript"/>
              </w:rPr>
              <w:t>c</w:t>
            </w:r>
          </w:p>
        </w:tc>
      </w:tr>
      <w:tr w:rsidR="00777EC6" w:rsidRPr="00E611AB" w14:paraId="718C5CA9"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18506833" w14:textId="77777777" w:rsidR="00777EC6" w:rsidRPr="00E611AB" w:rsidRDefault="00777EC6" w:rsidP="002F5786">
            <w:pPr>
              <w:pStyle w:val="TAC"/>
            </w:pPr>
            <w:r w:rsidRPr="00E611AB">
              <w:rPr>
                <w:lang w:eastAsia="zh-CN"/>
              </w:rPr>
              <w:t>DIFF_RX-TX_TIME_DIFFERENCE_2047</w:t>
            </w:r>
          </w:p>
        </w:tc>
        <w:tc>
          <w:tcPr>
            <w:tcW w:w="2835" w:type="dxa"/>
            <w:tcBorders>
              <w:top w:val="single" w:sz="4" w:space="0" w:color="auto"/>
              <w:left w:val="single" w:sz="4" w:space="0" w:color="auto"/>
              <w:bottom w:val="single" w:sz="4" w:space="0" w:color="auto"/>
              <w:right w:val="single" w:sz="4" w:space="0" w:color="auto"/>
            </w:tcBorders>
          </w:tcPr>
          <w:p w14:paraId="5FBA2998" w14:textId="77777777" w:rsidR="00777EC6" w:rsidRPr="00E611AB" w:rsidRDefault="00777EC6" w:rsidP="002F5786">
            <w:pPr>
              <w:pStyle w:val="TAC"/>
            </w:pPr>
            <w:r>
              <w:rPr>
                <w:lang w:eastAsia="zh-CN"/>
              </w:rPr>
              <w:t>8188</w:t>
            </w:r>
            <w:r w:rsidRPr="00E611AB">
              <w:rPr>
                <w:lang w:eastAsia="zh-CN"/>
              </w:rPr>
              <w:t xml:space="preserve">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p>
        </w:tc>
        <w:tc>
          <w:tcPr>
            <w:tcW w:w="1701" w:type="dxa"/>
            <w:tcBorders>
              <w:top w:val="single" w:sz="4" w:space="0" w:color="auto"/>
              <w:left w:val="single" w:sz="4" w:space="0" w:color="auto"/>
              <w:bottom w:val="single" w:sz="4" w:space="0" w:color="auto"/>
              <w:right w:val="single" w:sz="4" w:space="0" w:color="auto"/>
            </w:tcBorders>
          </w:tcPr>
          <w:p w14:paraId="03DA877C" w14:textId="77777777" w:rsidR="00777EC6" w:rsidRPr="00E611AB" w:rsidRDefault="00777EC6" w:rsidP="002F5786">
            <w:pPr>
              <w:pStyle w:val="TAC"/>
            </w:pPr>
            <w:r w:rsidRPr="00E611AB">
              <w:t>T</w:t>
            </w:r>
            <w:r w:rsidRPr="00E611AB">
              <w:rPr>
                <w:vertAlign w:val="subscript"/>
              </w:rPr>
              <w:t>c</w:t>
            </w:r>
          </w:p>
        </w:tc>
      </w:tr>
    </w:tbl>
    <w:p w14:paraId="30CBBD93" w14:textId="77777777" w:rsidR="00777EC6" w:rsidRPr="00E611AB" w:rsidRDefault="00777EC6" w:rsidP="002F5786"/>
    <w:p w14:paraId="133485C0" w14:textId="77777777" w:rsidR="00777EC6" w:rsidRPr="00E611AB" w:rsidRDefault="00777EC6" w:rsidP="002F5786">
      <w:pPr>
        <w:pStyle w:val="TH"/>
        <w:rPr>
          <w:lang w:val="en-US" w:eastAsia="ja-JP"/>
        </w:rPr>
      </w:pPr>
      <w:r w:rsidRPr="00E611AB">
        <w:t xml:space="preserve">Table 10.1.25.3.2-4: Differential UE Rx-Tx time difference measurement report mapping for </w:t>
      </w:r>
      <w:r w:rsidRPr="00E611AB">
        <w:rPr>
          <w:i/>
          <w:iCs/>
        </w:rPr>
        <w:t>k</w:t>
      </w:r>
      <w:r w:rsidRPr="00E611AB">
        <w:t>=3</w:t>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2"/>
        <w:gridCol w:w="2835"/>
        <w:gridCol w:w="1701"/>
      </w:tblGrid>
      <w:tr w:rsidR="00777EC6" w:rsidRPr="00E611AB" w14:paraId="1AE5A32E" w14:textId="77777777" w:rsidTr="00051ED3">
        <w:trPr>
          <w:cantSplit/>
          <w:trHeight w:val="61"/>
        </w:trPr>
        <w:tc>
          <w:tcPr>
            <w:tcW w:w="4252" w:type="dxa"/>
            <w:vAlign w:val="center"/>
          </w:tcPr>
          <w:p w14:paraId="60FBC5F4" w14:textId="77777777" w:rsidR="00777EC6" w:rsidRPr="00E611AB" w:rsidRDefault="00777EC6" w:rsidP="002F5786">
            <w:pPr>
              <w:pStyle w:val="TAH"/>
            </w:pPr>
            <w:r w:rsidRPr="00E611AB">
              <w:t>Reported Quantity Value</w:t>
            </w:r>
          </w:p>
        </w:tc>
        <w:tc>
          <w:tcPr>
            <w:tcW w:w="2835" w:type="dxa"/>
            <w:vAlign w:val="center"/>
          </w:tcPr>
          <w:p w14:paraId="35E60C1D" w14:textId="77777777" w:rsidR="00777EC6" w:rsidRPr="00E611AB" w:rsidRDefault="00777EC6" w:rsidP="002F5786">
            <w:pPr>
              <w:pStyle w:val="TAH"/>
            </w:pPr>
            <w:r w:rsidRPr="00E611AB">
              <w:t>Measured Quantity Value</w:t>
            </w:r>
          </w:p>
        </w:tc>
        <w:tc>
          <w:tcPr>
            <w:tcW w:w="1701" w:type="dxa"/>
            <w:vAlign w:val="center"/>
          </w:tcPr>
          <w:p w14:paraId="556B92A5" w14:textId="77777777" w:rsidR="00777EC6" w:rsidRPr="00E611AB" w:rsidRDefault="00777EC6" w:rsidP="002F5786">
            <w:pPr>
              <w:pStyle w:val="TAH"/>
            </w:pPr>
            <w:r w:rsidRPr="00E611AB">
              <w:t>Unit</w:t>
            </w:r>
          </w:p>
        </w:tc>
      </w:tr>
      <w:tr w:rsidR="00777EC6" w:rsidRPr="00E611AB" w14:paraId="3285096B" w14:textId="77777777" w:rsidTr="00051ED3">
        <w:trPr>
          <w:cantSplit/>
        </w:trPr>
        <w:tc>
          <w:tcPr>
            <w:tcW w:w="4252" w:type="dxa"/>
          </w:tcPr>
          <w:p w14:paraId="76B1CA03" w14:textId="77777777" w:rsidR="00777EC6" w:rsidRPr="00E611AB" w:rsidRDefault="00777EC6" w:rsidP="002F5786">
            <w:pPr>
              <w:pStyle w:val="TAC"/>
            </w:pPr>
            <w:r w:rsidRPr="00E611AB">
              <w:rPr>
                <w:lang w:eastAsia="zh-CN"/>
              </w:rPr>
              <w:t>DIFF_RX-TX_TIME_DIFFERENCE_</w:t>
            </w:r>
            <w:r w:rsidRPr="00E611AB">
              <w:t>0000</w:t>
            </w:r>
          </w:p>
        </w:tc>
        <w:tc>
          <w:tcPr>
            <w:tcW w:w="2835" w:type="dxa"/>
          </w:tcPr>
          <w:p w14:paraId="1D9FDF09" w14:textId="77777777" w:rsidR="00777EC6" w:rsidRPr="00E611AB" w:rsidRDefault="00777EC6" w:rsidP="002F5786">
            <w:pPr>
              <w:pStyle w:val="TAC"/>
            </w:pPr>
            <w:r w:rsidRPr="00E611AB">
              <w:rPr>
                <w:lang w:eastAsia="zh-CN"/>
              </w:rPr>
              <w:t xml:space="preserve">0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8</w:t>
            </w:r>
          </w:p>
        </w:tc>
        <w:tc>
          <w:tcPr>
            <w:tcW w:w="1701" w:type="dxa"/>
          </w:tcPr>
          <w:p w14:paraId="193C1F2F" w14:textId="77777777" w:rsidR="00777EC6" w:rsidRPr="00E611AB" w:rsidRDefault="00777EC6" w:rsidP="002F5786">
            <w:pPr>
              <w:pStyle w:val="TAC"/>
            </w:pPr>
            <w:r w:rsidRPr="00E611AB">
              <w:t>T</w:t>
            </w:r>
            <w:r w:rsidRPr="00E611AB">
              <w:rPr>
                <w:vertAlign w:val="subscript"/>
              </w:rPr>
              <w:t>c</w:t>
            </w:r>
          </w:p>
        </w:tc>
      </w:tr>
      <w:tr w:rsidR="00777EC6" w:rsidRPr="00E611AB" w14:paraId="4AA2A38E" w14:textId="77777777" w:rsidTr="00051ED3">
        <w:trPr>
          <w:cantSplit/>
        </w:trPr>
        <w:tc>
          <w:tcPr>
            <w:tcW w:w="4252" w:type="dxa"/>
          </w:tcPr>
          <w:p w14:paraId="34C72251" w14:textId="77777777" w:rsidR="00777EC6" w:rsidRPr="00E611AB" w:rsidRDefault="00777EC6" w:rsidP="002F5786">
            <w:pPr>
              <w:pStyle w:val="TAC"/>
            </w:pPr>
            <w:r w:rsidRPr="00E611AB">
              <w:rPr>
                <w:lang w:eastAsia="zh-CN"/>
              </w:rPr>
              <w:t>DIFF_RX-TX_TIME_DIFFERENCE_</w:t>
            </w:r>
            <w:r w:rsidRPr="00E611AB">
              <w:t>0001</w:t>
            </w:r>
          </w:p>
        </w:tc>
        <w:tc>
          <w:tcPr>
            <w:tcW w:w="2835" w:type="dxa"/>
          </w:tcPr>
          <w:p w14:paraId="567C4C19" w14:textId="77777777" w:rsidR="00777EC6" w:rsidRPr="00E611AB" w:rsidRDefault="00777EC6" w:rsidP="002F5786">
            <w:pPr>
              <w:pStyle w:val="TAC"/>
            </w:pPr>
            <w:r w:rsidRPr="00E611AB">
              <w:rPr>
                <w:lang w:eastAsia="zh-CN"/>
              </w:rPr>
              <w:t xml:space="preserve">8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16</w:t>
            </w:r>
          </w:p>
        </w:tc>
        <w:tc>
          <w:tcPr>
            <w:tcW w:w="1701" w:type="dxa"/>
          </w:tcPr>
          <w:p w14:paraId="798050A4" w14:textId="77777777" w:rsidR="00777EC6" w:rsidRPr="00E611AB" w:rsidRDefault="00777EC6" w:rsidP="002F5786">
            <w:pPr>
              <w:pStyle w:val="TAC"/>
            </w:pPr>
            <w:r w:rsidRPr="00E611AB">
              <w:t>T</w:t>
            </w:r>
            <w:r w:rsidRPr="00E611AB">
              <w:rPr>
                <w:vertAlign w:val="subscript"/>
              </w:rPr>
              <w:t>c</w:t>
            </w:r>
          </w:p>
        </w:tc>
      </w:tr>
      <w:tr w:rsidR="00777EC6" w:rsidRPr="00E611AB" w14:paraId="081EF6E0" w14:textId="77777777" w:rsidTr="00051ED3">
        <w:trPr>
          <w:cantSplit/>
        </w:trPr>
        <w:tc>
          <w:tcPr>
            <w:tcW w:w="4252" w:type="dxa"/>
          </w:tcPr>
          <w:p w14:paraId="5C6961B7" w14:textId="77777777" w:rsidR="00777EC6" w:rsidRPr="00E611AB" w:rsidRDefault="00777EC6" w:rsidP="002F5786">
            <w:pPr>
              <w:pStyle w:val="TAC"/>
            </w:pPr>
            <w:r w:rsidRPr="00E611AB">
              <w:rPr>
                <w:lang w:eastAsia="zh-CN"/>
              </w:rPr>
              <w:t>DIFF_RX-TX_TIME_DIFFERENCE_</w:t>
            </w:r>
            <w:r w:rsidRPr="00E611AB">
              <w:t>0002</w:t>
            </w:r>
          </w:p>
        </w:tc>
        <w:tc>
          <w:tcPr>
            <w:tcW w:w="2835" w:type="dxa"/>
          </w:tcPr>
          <w:p w14:paraId="51D68F3B" w14:textId="77777777" w:rsidR="00777EC6" w:rsidRPr="00E611AB" w:rsidRDefault="00777EC6" w:rsidP="002F5786">
            <w:pPr>
              <w:pStyle w:val="TAC"/>
            </w:pPr>
            <w:r w:rsidRPr="00E611AB">
              <w:rPr>
                <w:lang w:eastAsia="zh-CN"/>
              </w:rPr>
              <w:t xml:space="preserve">16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24</w:t>
            </w:r>
          </w:p>
        </w:tc>
        <w:tc>
          <w:tcPr>
            <w:tcW w:w="1701" w:type="dxa"/>
          </w:tcPr>
          <w:p w14:paraId="2F41BDE6" w14:textId="77777777" w:rsidR="00777EC6" w:rsidRPr="00E611AB" w:rsidRDefault="00777EC6" w:rsidP="002F5786">
            <w:pPr>
              <w:pStyle w:val="TAC"/>
            </w:pPr>
            <w:r w:rsidRPr="00E611AB">
              <w:t>T</w:t>
            </w:r>
            <w:r w:rsidRPr="00E611AB">
              <w:rPr>
                <w:vertAlign w:val="subscript"/>
              </w:rPr>
              <w:t>c</w:t>
            </w:r>
          </w:p>
        </w:tc>
      </w:tr>
      <w:tr w:rsidR="00777EC6" w:rsidRPr="00E611AB" w14:paraId="77F5D3CF" w14:textId="77777777" w:rsidTr="00051ED3">
        <w:trPr>
          <w:cantSplit/>
        </w:trPr>
        <w:tc>
          <w:tcPr>
            <w:tcW w:w="4252" w:type="dxa"/>
          </w:tcPr>
          <w:p w14:paraId="26F1AC72" w14:textId="77777777" w:rsidR="00777EC6" w:rsidRPr="00E611AB" w:rsidRDefault="00777EC6" w:rsidP="002F5786">
            <w:pPr>
              <w:pStyle w:val="TAC"/>
            </w:pPr>
            <w:r w:rsidRPr="00E611AB">
              <w:rPr>
                <w:rFonts w:ascii="Symbol" w:eastAsia="Symbol" w:hAnsi="Symbol" w:cs="Symbol"/>
              </w:rPr>
              <w:t></w:t>
            </w:r>
          </w:p>
        </w:tc>
        <w:tc>
          <w:tcPr>
            <w:tcW w:w="2835" w:type="dxa"/>
          </w:tcPr>
          <w:p w14:paraId="20714651" w14:textId="77777777" w:rsidR="00777EC6" w:rsidRPr="00E611AB" w:rsidRDefault="00777EC6" w:rsidP="002F5786">
            <w:pPr>
              <w:pStyle w:val="TAC"/>
            </w:pPr>
            <w:r w:rsidRPr="00E611AB">
              <w:rPr>
                <w:rFonts w:ascii="Symbol" w:eastAsia="Symbol" w:hAnsi="Symbol" w:cs="Symbol"/>
              </w:rPr>
              <w:t></w:t>
            </w:r>
          </w:p>
        </w:tc>
        <w:tc>
          <w:tcPr>
            <w:tcW w:w="1701" w:type="dxa"/>
          </w:tcPr>
          <w:p w14:paraId="34A34E0B" w14:textId="77777777" w:rsidR="00777EC6" w:rsidRPr="00E611AB" w:rsidRDefault="00777EC6" w:rsidP="002F5786">
            <w:pPr>
              <w:pStyle w:val="TAC"/>
            </w:pPr>
            <w:r w:rsidRPr="00E611AB">
              <w:t>…</w:t>
            </w:r>
          </w:p>
        </w:tc>
      </w:tr>
      <w:tr w:rsidR="00777EC6" w:rsidRPr="00E611AB" w14:paraId="6A20AF56"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2CCBA7E8" w14:textId="77777777" w:rsidR="00777EC6" w:rsidRPr="00E611AB" w:rsidRDefault="00777EC6" w:rsidP="002F5786">
            <w:pPr>
              <w:pStyle w:val="TAC"/>
            </w:pPr>
            <w:r w:rsidRPr="00E611AB">
              <w:rPr>
                <w:lang w:eastAsia="zh-CN"/>
              </w:rPr>
              <w:t>DIFF_RX-TX_TIME_DIFFERENCE_1021</w:t>
            </w:r>
          </w:p>
        </w:tc>
        <w:tc>
          <w:tcPr>
            <w:tcW w:w="2835" w:type="dxa"/>
            <w:tcBorders>
              <w:top w:val="single" w:sz="4" w:space="0" w:color="auto"/>
              <w:left w:val="single" w:sz="4" w:space="0" w:color="auto"/>
              <w:bottom w:val="single" w:sz="4" w:space="0" w:color="auto"/>
              <w:right w:val="single" w:sz="4" w:space="0" w:color="auto"/>
            </w:tcBorders>
          </w:tcPr>
          <w:p w14:paraId="1BF544ED" w14:textId="77777777" w:rsidR="00777EC6" w:rsidRPr="00E611AB" w:rsidRDefault="00777EC6" w:rsidP="002F5786">
            <w:pPr>
              <w:pStyle w:val="TAC"/>
            </w:pPr>
            <w:r w:rsidRPr="00E611AB">
              <w:rPr>
                <w:lang w:eastAsia="zh-CN"/>
              </w:rPr>
              <w:t xml:space="preserve">8168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8176</w:t>
            </w:r>
          </w:p>
        </w:tc>
        <w:tc>
          <w:tcPr>
            <w:tcW w:w="1701" w:type="dxa"/>
            <w:tcBorders>
              <w:top w:val="single" w:sz="4" w:space="0" w:color="auto"/>
              <w:left w:val="single" w:sz="4" w:space="0" w:color="auto"/>
              <w:bottom w:val="single" w:sz="4" w:space="0" w:color="auto"/>
              <w:right w:val="single" w:sz="4" w:space="0" w:color="auto"/>
            </w:tcBorders>
          </w:tcPr>
          <w:p w14:paraId="2B62032D" w14:textId="77777777" w:rsidR="00777EC6" w:rsidRPr="00E611AB" w:rsidRDefault="00777EC6" w:rsidP="002F5786">
            <w:pPr>
              <w:pStyle w:val="TAC"/>
            </w:pPr>
            <w:r w:rsidRPr="00E611AB">
              <w:t>T</w:t>
            </w:r>
            <w:r w:rsidRPr="00E611AB">
              <w:rPr>
                <w:vertAlign w:val="subscript"/>
              </w:rPr>
              <w:t>c</w:t>
            </w:r>
          </w:p>
        </w:tc>
      </w:tr>
      <w:tr w:rsidR="00777EC6" w:rsidRPr="00E611AB" w14:paraId="76C16AA0"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02F355DB" w14:textId="77777777" w:rsidR="00777EC6" w:rsidRPr="00E611AB" w:rsidRDefault="00777EC6" w:rsidP="002F5786">
            <w:pPr>
              <w:pStyle w:val="TAC"/>
              <w:rPr>
                <w:lang w:val="en-US"/>
              </w:rPr>
            </w:pPr>
            <w:r w:rsidRPr="00E611AB">
              <w:rPr>
                <w:lang w:eastAsia="zh-CN"/>
              </w:rPr>
              <w:t>DIFF_RX-TX_TIME_DIFFERENCE_1022</w:t>
            </w:r>
          </w:p>
        </w:tc>
        <w:tc>
          <w:tcPr>
            <w:tcW w:w="2835" w:type="dxa"/>
            <w:tcBorders>
              <w:top w:val="single" w:sz="4" w:space="0" w:color="auto"/>
              <w:left w:val="single" w:sz="4" w:space="0" w:color="auto"/>
              <w:bottom w:val="single" w:sz="4" w:space="0" w:color="auto"/>
              <w:right w:val="single" w:sz="4" w:space="0" w:color="auto"/>
            </w:tcBorders>
          </w:tcPr>
          <w:p w14:paraId="4C315D58" w14:textId="77777777" w:rsidR="00777EC6" w:rsidRPr="00E611AB" w:rsidRDefault="00777EC6" w:rsidP="002F5786">
            <w:pPr>
              <w:pStyle w:val="TAC"/>
            </w:pPr>
            <w:r w:rsidRPr="00E611AB">
              <w:rPr>
                <w:lang w:eastAsia="zh-CN"/>
              </w:rPr>
              <w:t xml:space="preserve">8176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w:t>
            </w:r>
            <w:r>
              <w:rPr>
                <w:lang w:eastAsia="zh-CN"/>
              </w:rPr>
              <w:t>8184</w:t>
            </w:r>
          </w:p>
        </w:tc>
        <w:tc>
          <w:tcPr>
            <w:tcW w:w="1701" w:type="dxa"/>
            <w:tcBorders>
              <w:top w:val="single" w:sz="4" w:space="0" w:color="auto"/>
              <w:left w:val="single" w:sz="4" w:space="0" w:color="auto"/>
              <w:bottom w:val="single" w:sz="4" w:space="0" w:color="auto"/>
              <w:right w:val="single" w:sz="4" w:space="0" w:color="auto"/>
            </w:tcBorders>
          </w:tcPr>
          <w:p w14:paraId="1CD6C7F3" w14:textId="77777777" w:rsidR="00777EC6" w:rsidRPr="00E611AB" w:rsidRDefault="00777EC6" w:rsidP="002F5786">
            <w:pPr>
              <w:pStyle w:val="TAC"/>
            </w:pPr>
            <w:r w:rsidRPr="00E611AB">
              <w:t>T</w:t>
            </w:r>
            <w:r w:rsidRPr="00E611AB">
              <w:rPr>
                <w:vertAlign w:val="subscript"/>
              </w:rPr>
              <w:t>c</w:t>
            </w:r>
          </w:p>
        </w:tc>
      </w:tr>
      <w:tr w:rsidR="00777EC6" w:rsidRPr="00E611AB" w14:paraId="09FECD41"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7524628D" w14:textId="77777777" w:rsidR="00777EC6" w:rsidRPr="00E611AB" w:rsidRDefault="00777EC6" w:rsidP="002F5786">
            <w:pPr>
              <w:pStyle w:val="TAC"/>
            </w:pPr>
            <w:r w:rsidRPr="00E611AB">
              <w:rPr>
                <w:lang w:eastAsia="zh-CN"/>
              </w:rPr>
              <w:t>DIFF_RX-TX_TIME_DIFFERENCE_1023</w:t>
            </w:r>
          </w:p>
        </w:tc>
        <w:tc>
          <w:tcPr>
            <w:tcW w:w="2835" w:type="dxa"/>
            <w:tcBorders>
              <w:top w:val="single" w:sz="4" w:space="0" w:color="auto"/>
              <w:left w:val="single" w:sz="4" w:space="0" w:color="auto"/>
              <w:bottom w:val="single" w:sz="4" w:space="0" w:color="auto"/>
              <w:right w:val="single" w:sz="4" w:space="0" w:color="auto"/>
            </w:tcBorders>
          </w:tcPr>
          <w:p w14:paraId="0FE5A0C1" w14:textId="77777777" w:rsidR="00777EC6" w:rsidRPr="00E611AB" w:rsidRDefault="00777EC6" w:rsidP="002F5786">
            <w:pPr>
              <w:pStyle w:val="TAC"/>
            </w:pPr>
            <w:r>
              <w:rPr>
                <w:lang w:eastAsia="zh-CN"/>
              </w:rPr>
              <w:t>8184</w:t>
            </w:r>
            <w:r w:rsidRPr="00E611AB">
              <w:rPr>
                <w:lang w:eastAsia="zh-CN"/>
              </w:rPr>
              <w:t xml:space="preserve">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p>
        </w:tc>
        <w:tc>
          <w:tcPr>
            <w:tcW w:w="1701" w:type="dxa"/>
            <w:tcBorders>
              <w:top w:val="single" w:sz="4" w:space="0" w:color="auto"/>
              <w:left w:val="single" w:sz="4" w:space="0" w:color="auto"/>
              <w:bottom w:val="single" w:sz="4" w:space="0" w:color="auto"/>
              <w:right w:val="single" w:sz="4" w:space="0" w:color="auto"/>
            </w:tcBorders>
          </w:tcPr>
          <w:p w14:paraId="7754C462" w14:textId="77777777" w:rsidR="00777EC6" w:rsidRPr="00E611AB" w:rsidRDefault="00777EC6" w:rsidP="002F5786">
            <w:pPr>
              <w:pStyle w:val="TAC"/>
            </w:pPr>
            <w:r w:rsidRPr="00E611AB">
              <w:t>T</w:t>
            </w:r>
            <w:r w:rsidRPr="00E611AB">
              <w:rPr>
                <w:vertAlign w:val="subscript"/>
              </w:rPr>
              <w:t>c</w:t>
            </w:r>
          </w:p>
        </w:tc>
      </w:tr>
    </w:tbl>
    <w:p w14:paraId="0F14EE97" w14:textId="77777777" w:rsidR="00777EC6" w:rsidRPr="00E611AB" w:rsidRDefault="00777EC6" w:rsidP="002F5786"/>
    <w:p w14:paraId="3111BE45" w14:textId="77777777" w:rsidR="00777EC6" w:rsidRPr="00E611AB" w:rsidRDefault="00777EC6" w:rsidP="002F5786">
      <w:pPr>
        <w:pStyle w:val="TH"/>
        <w:rPr>
          <w:lang w:val="en-US" w:eastAsia="ja-JP"/>
        </w:rPr>
      </w:pPr>
      <w:r w:rsidRPr="00E611AB">
        <w:t xml:space="preserve">Table 10.1.25.3.2-5: Differential UE Rx-Tx time difference measurement report mapping for </w:t>
      </w:r>
      <w:r w:rsidRPr="00E611AB">
        <w:rPr>
          <w:i/>
          <w:iCs/>
        </w:rPr>
        <w:t>k</w:t>
      </w:r>
      <w:r w:rsidRPr="00E611AB">
        <w:t>=4</w:t>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2"/>
        <w:gridCol w:w="2835"/>
        <w:gridCol w:w="1701"/>
      </w:tblGrid>
      <w:tr w:rsidR="00777EC6" w:rsidRPr="00E611AB" w14:paraId="1A3B3EB0" w14:textId="77777777" w:rsidTr="00051ED3">
        <w:trPr>
          <w:cantSplit/>
          <w:trHeight w:val="139"/>
        </w:trPr>
        <w:tc>
          <w:tcPr>
            <w:tcW w:w="4252" w:type="dxa"/>
            <w:vAlign w:val="center"/>
          </w:tcPr>
          <w:p w14:paraId="10BD2560" w14:textId="77777777" w:rsidR="00777EC6" w:rsidRPr="00E611AB" w:rsidRDefault="00777EC6" w:rsidP="002F5786">
            <w:pPr>
              <w:pStyle w:val="TAH"/>
            </w:pPr>
            <w:r w:rsidRPr="00E611AB">
              <w:t>Reported Quantity Value</w:t>
            </w:r>
          </w:p>
        </w:tc>
        <w:tc>
          <w:tcPr>
            <w:tcW w:w="2835" w:type="dxa"/>
            <w:vAlign w:val="center"/>
          </w:tcPr>
          <w:p w14:paraId="434F9237" w14:textId="77777777" w:rsidR="00777EC6" w:rsidRPr="00E611AB" w:rsidRDefault="00777EC6" w:rsidP="002F5786">
            <w:pPr>
              <w:pStyle w:val="TAH"/>
            </w:pPr>
            <w:r w:rsidRPr="00E611AB">
              <w:t>Measured Quantity Value</w:t>
            </w:r>
          </w:p>
        </w:tc>
        <w:tc>
          <w:tcPr>
            <w:tcW w:w="1701" w:type="dxa"/>
            <w:vAlign w:val="center"/>
          </w:tcPr>
          <w:p w14:paraId="5EA9269D" w14:textId="77777777" w:rsidR="00777EC6" w:rsidRPr="00E611AB" w:rsidRDefault="00777EC6" w:rsidP="002F5786">
            <w:pPr>
              <w:pStyle w:val="TAH"/>
            </w:pPr>
            <w:r w:rsidRPr="00E611AB">
              <w:t>Unit</w:t>
            </w:r>
          </w:p>
        </w:tc>
      </w:tr>
      <w:tr w:rsidR="00777EC6" w:rsidRPr="00E611AB" w14:paraId="1D13366F" w14:textId="77777777" w:rsidTr="00051ED3">
        <w:trPr>
          <w:cantSplit/>
        </w:trPr>
        <w:tc>
          <w:tcPr>
            <w:tcW w:w="4252" w:type="dxa"/>
          </w:tcPr>
          <w:p w14:paraId="6DE09DC2" w14:textId="77777777" w:rsidR="00777EC6" w:rsidRPr="00E611AB" w:rsidRDefault="00777EC6" w:rsidP="002F5786">
            <w:pPr>
              <w:pStyle w:val="TAC"/>
            </w:pPr>
            <w:r w:rsidRPr="00E611AB">
              <w:rPr>
                <w:lang w:eastAsia="zh-CN"/>
              </w:rPr>
              <w:t>DIFF_RX-TX_TIME_DIFFERENCE_</w:t>
            </w:r>
            <w:r w:rsidRPr="00E611AB">
              <w:t>0000</w:t>
            </w:r>
          </w:p>
        </w:tc>
        <w:tc>
          <w:tcPr>
            <w:tcW w:w="2835" w:type="dxa"/>
          </w:tcPr>
          <w:p w14:paraId="5D1101AD" w14:textId="77777777" w:rsidR="00777EC6" w:rsidRPr="00E611AB" w:rsidRDefault="00777EC6" w:rsidP="002F5786">
            <w:pPr>
              <w:pStyle w:val="TAC"/>
            </w:pPr>
            <w:r w:rsidRPr="00E611AB">
              <w:rPr>
                <w:lang w:eastAsia="zh-CN"/>
              </w:rPr>
              <w:t xml:space="preserve">0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16</w:t>
            </w:r>
          </w:p>
        </w:tc>
        <w:tc>
          <w:tcPr>
            <w:tcW w:w="1701" w:type="dxa"/>
          </w:tcPr>
          <w:p w14:paraId="707A40C2" w14:textId="77777777" w:rsidR="00777EC6" w:rsidRPr="00E611AB" w:rsidRDefault="00777EC6" w:rsidP="002F5786">
            <w:pPr>
              <w:pStyle w:val="TAC"/>
            </w:pPr>
            <w:r w:rsidRPr="00E611AB">
              <w:t>T</w:t>
            </w:r>
            <w:r w:rsidRPr="00E611AB">
              <w:rPr>
                <w:vertAlign w:val="subscript"/>
              </w:rPr>
              <w:t>c</w:t>
            </w:r>
          </w:p>
        </w:tc>
      </w:tr>
      <w:tr w:rsidR="00777EC6" w:rsidRPr="00E611AB" w14:paraId="63DA470B" w14:textId="77777777" w:rsidTr="00051ED3">
        <w:trPr>
          <w:cantSplit/>
        </w:trPr>
        <w:tc>
          <w:tcPr>
            <w:tcW w:w="4252" w:type="dxa"/>
          </w:tcPr>
          <w:p w14:paraId="051BFFCB" w14:textId="77777777" w:rsidR="00777EC6" w:rsidRPr="00E611AB" w:rsidRDefault="00777EC6" w:rsidP="002F5786">
            <w:pPr>
              <w:pStyle w:val="TAC"/>
            </w:pPr>
            <w:r w:rsidRPr="00E611AB">
              <w:rPr>
                <w:lang w:eastAsia="zh-CN"/>
              </w:rPr>
              <w:t>DIFF_RX-TX_TIME_DIFFERENCE_</w:t>
            </w:r>
            <w:r w:rsidRPr="00E611AB">
              <w:t>0001</w:t>
            </w:r>
          </w:p>
        </w:tc>
        <w:tc>
          <w:tcPr>
            <w:tcW w:w="2835" w:type="dxa"/>
          </w:tcPr>
          <w:p w14:paraId="1E30BC74" w14:textId="77777777" w:rsidR="00777EC6" w:rsidRPr="00E611AB" w:rsidRDefault="00777EC6" w:rsidP="002F5786">
            <w:pPr>
              <w:pStyle w:val="TAC"/>
            </w:pPr>
            <w:r w:rsidRPr="00E611AB">
              <w:rPr>
                <w:lang w:eastAsia="zh-CN"/>
              </w:rPr>
              <w:t xml:space="preserve">16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32</w:t>
            </w:r>
          </w:p>
        </w:tc>
        <w:tc>
          <w:tcPr>
            <w:tcW w:w="1701" w:type="dxa"/>
          </w:tcPr>
          <w:p w14:paraId="4EBA8056" w14:textId="77777777" w:rsidR="00777EC6" w:rsidRPr="00E611AB" w:rsidRDefault="00777EC6" w:rsidP="002F5786">
            <w:pPr>
              <w:pStyle w:val="TAC"/>
            </w:pPr>
            <w:r w:rsidRPr="00E611AB">
              <w:t>T</w:t>
            </w:r>
            <w:r w:rsidRPr="00E611AB">
              <w:rPr>
                <w:vertAlign w:val="subscript"/>
              </w:rPr>
              <w:t>c</w:t>
            </w:r>
          </w:p>
        </w:tc>
      </w:tr>
      <w:tr w:rsidR="00777EC6" w:rsidRPr="00E611AB" w14:paraId="0AC383EC" w14:textId="77777777" w:rsidTr="00051ED3">
        <w:trPr>
          <w:cantSplit/>
        </w:trPr>
        <w:tc>
          <w:tcPr>
            <w:tcW w:w="4252" w:type="dxa"/>
          </w:tcPr>
          <w:p w14:paraId="47E46F1A" w14:textId="77777777" w:rsidR="00777EC6" w:rsidRPr="00E611AB" w:rsidRDefault="00777EC6" w:rsidP="002F5786">
            <w:pPr>
              <w:pStyle w:val="TAC"/>
            </w:pPr>
            <w:r w:rsidRPr="00E611AB">
              <w:rPr>
                <w:lang w:eastAsia="zh-CN"/>
              </w:rPr>
              <w:t>DIFF_RX-TX_TIME_DIFFERENCE_</w:t>
            </w:r>
            <w:r w:rsidRPr="00E611AB">
              <w:t>0002</w:t>
            </w:r>
          </w:p>
        </w:tc>
        <w:tc>
          <w:tcPr>
            <w:tcW w:w="2835" w:type="dxa"/>
          </w:tcPr>
          <w:p w14:paraId="218706D3" w14:textId="77777777" w:rsidR="00777EC6" w:rsidRPr="00E611AB" w:rsidRDefault="00777EC6" w:rsidP="002F5786">
            <w:pPr>
              <w:pStyle w:val="TAC"/>
            </w:pPr>
            <w:r w:rsidRPr="00E611AB">
              <w:rPr>
                <w:lang w:eastAsia="zh-CN"/>
              </w:rPr>
              <w:t xml:space="preserve">32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48</w:t>
            </w:r>
          </w:p>
        </w:tc>
        <w:tc>
          <w:tcPr>
            <w:tcW w:w="1701" w:type="dxa"/>
          </w:tcPr>
          <w:p w14:paraId="541D7FFA" w14:textId="77777777" w:rsidR="00777EC6" w:rsidRPr="00E611AB" w:rsidRDefault="00777EC6" w:rsidP="002F5786">
            <w:pPr>
              <w:pStyle w:val="TAC"/>
            </w:pPr>
            <w:r w:rsidRPr="00E611AB">
              <w:t>T</w:t>
            </w:r>
            <w:r w:rsidRPr="00E611AB">
              <w:rPr>
                <w:vertAlign w:val="subscript"/>
              </w:rPr>
              <w:t>c</w:t>
            </w:r>
          </w:p>
        </w:tc>
      </w:tr>
      <w:tr w:rsidR="00777EC6" w:rsidRPr="00E611AB" w14:paraId="4D6549BE" w14:textId="77777777" w:rsidTr="00051ED3">
        <w:trPr>
          <w:cantSplit/>
        </w:trPr>
        <w:tc>
          <w:tcPr>
            <w:tcW w:w="4252" w:type="dxa"/>
          </w:tcPr>
          <w:p w14:paraId="09A8B002" w14:textId="77777777" w:rsidR="00777EC6" w:rsidRPr="00E611AB" w:rsidRDefault="00777EC6" w:rsidP="002F5786">
            <w:pPr>
              <w:pStyle w:val="TAC"/>
            </w:pPr>
            <w:r w:rsidRPr="00E611AB">
              <w:rPr>
                <w:rFonts w:ascii="Symbol" w:eastAsia="Symbol" w:hAnsi="Symbol" w:cs="Symbol"/>
              </w:rPr>
              <w:t></w:t>
            </w:r>
          </w:p>
        </w:tc>
        <w:tc>
          <w:tcPr>
            <w:tcW w:w="2835" w:type="dxa"/>
          </w:tcPr>
          <w:p w14:paraId="2774E3D7" w14:textId="77777777" w:rsidR="00777EC6" w:rsidRPr="00E611AB" w:rsidRDefault="00777EC6" w:rsidP="002F5786">
            <w:pPr>
              <w:pStyle w:val="TAC"/>
            </w:pPr>
            <w:r w:rsidRPr="00E611AB">
              <w:rPr>
                <w:rFonts w:ascii="Symbol" w:eastAsia="Symbol" w:hAnsi="Symbol" w:cs="Symbol"/>
              </w:rPr>
              <w:t></w:t>
            </w:r>
          </w:p>
        </w:tc>
        <w:tc>
          <w:tcPr>
            <w:tcW w:w="1701" w:type="dxa"/>
          </w:tcPr>
          <w:p w14:paraId="4A5581E7" w14:textId="77777777" w:rsidR="00777EC6" w:rsidRPr="00E611AB" w:rsidRDefault="00777EC6" w:rsidP="002F5786">
            <w:pPr>
              <w:pStyle w:val="TAC"/>
            </w:pPr>
            <w:r w:rsidRPr="00E611AB">
              <w:t>…</w:t>
            </w:r>
          </w:p>
        </w:tc>
      </w:tr>
      <w:tr w:rsidR="00777EC6" w:rsidRPr="00E611AB" w14:paraId="700CE3D6"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41CADB29" w14:textId="77777777" w:rsidR="00777EC6" w:rsidRPr="00E611AB" w:rsidRDefault="00777EC6" w:rsidP="002F5786">
            <w:pPr>
              <w:pStyle w:val="TAC"/>
            </w:pPr>
            <w:r w:rsidRPr="00E611AB">
              <w:rPr>
                <w:lang w:eastAsia="zh-CN"/>
              </w:rPr>
              <w:t>DIFF_RX-TX_TIME_DIFFERENCE_509</w:t>
            </w:r>
          </w:p>
        </w:tc>
        <w:tc>
          <w:tcPr>
            <w:tcW w:w="2835" w:type="dxa"/>
            <w:tcBorders>
              <w:top w:val="single" w:sz="4" w:space="0" w:color="auto"/>
              <w:left w:val="single" w:sz="4" w:space="0" w:color="auto"/>
              <w:bottom w:val="single" w:sz="4" w:space="0" w:color="auto"/>
              <w:right w:val="single" w:sz="4" w:space="0" w:color="auto"/>
            </w:tcBorders>
          </w:tcPr>
          <w:p w14:paraId="1E468545" w14:textId="77777777" w:rsidR="00777EC6" w:rsidRPr="00E611AB" w:rsidRDefault="00777EC6" w:rsidP="002F5786">
            <w:pPr>
              <w:pStyle w:val="TAC"/>
            </w:pPr>
            <w:r w:rsidRPr="00E611AB">
              <w:rPr>
                <w:lang w:eastAsia="zh-CN"/>
              </w:rPr>
              <w:t xml:space="preserve">8144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8160</w:t>
            </w:r>
          </w:p>
        </w:tc>
        <w:tc>
          <w:tcPr>
            <w:tcW w:w="1701" w:type="dxa"/>
            <w:tcBorders>
              <w:top w:val="single" w:sz="4" w:space="0" w:color="auto"/>
              <w:left w:val="single" w:sz="4" w:space="0" w:color="auto"/>
              <w:bottom w:val="single" w:sz="4" w:space="0" w:color="auto"/>
              <w:right w:val="single" w:sz="4" w:space="0" w:color="auto"/>
            </w:tcBorders>
          </w:tcPr>
          <w:p w14:paraId="12736596" w14:textId="77777777" w:rsidR="00777EC6" w:rsidRPr="00E611AB" w:rsidRDefault="00777EC6" w:rsidP="002F5786">
            <w:pPr>
              <w:pStyle w:val="TAC"/>
            </w:pPr>
            <w:r w:rsidRPr="00E611AB">
              <w:t>T</w:t>
            </w:r>
            <w:r w:rsidRPr="00E611AB">
              <w:rPr>
                <w:vertAlign w:val="subscript"/>
              </w:rPr>
              <w:t>c</w:t>
            </w:r>
          </w:p>
        </w:tc>
      </w:tr>
      <w:tr w:rsidR="00777EC6" w:rsidRPr="00E611AB" w14:paraId="00A9380C"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398D795C" w14:textId="77777777" w:rsidR="00777EC6" w:rsidRPr="00E611AB" w:rsidRDefault="00777EC6" w:rsidP="002F5786">
            <w:pPr>
              <w:pStyle w:val="TAC"/>
              <w:rPr>
                <w:lang w:val="en-US"/>
              </w:rPr>
            </w:pPr>
            <w:r w:rsidRPr="00E611AB">
              <w:rPr>
                <w:lang w:eastAsia="zh-CN"/>
              </w:rPr>
              <w:t>DIFF_RX-TX_TIME_DIFFERENCE_510</w:t>
            </w:r>
          </w:p>
        </w:tc>
        <w:tc>
          <w:tcPr>
            <w:tcW w:w="2835" w:type="dxa"/>
            <w:tcBorders>
              <w:top w:val="single" w:sz="4" w:space="0" w:color="auto"/>
              <w:left w:val="single" w:sz="4" w:space="0" w:color="auto"/>
              <w:bottom w:val="single" w:sz="4" w:space="0" w:color="auto"/>
              <w:right w:val="single" w:sz="4" w:space="0" w:color="auto"/>
            </w:tcBorders>
          </w:tcPr>
          <w:p w14:paraId="03759891" w14:textId="77777777" w:rsidR="00777EC6" w:rsidRPr="00E611AB" w:rsidRDefault="00777EC6" w:rsidP="002F5786">
            <w:pPr>
              <w:pStyle w:val="TAC"/>
            </w:pPr>
            <w:r w:rsidRPr="00E611AB">
              <w:rPr>
                <w:lang w:eastAsia="zh-CN"/>
              </w:rPr>
              <w:t xml:space="preserve">8160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w:t>
            </w:r>
            <w:r>
              <w:rPr>
                <w:lang w:eastAsia="zh-CN"/>
              </w:rPr>
              <w:t>8176</w:t>
            </w:r>
          </w:p>
        </w:tc>
        <w:tc>
          <w:tcPr>
            <w:tcW w:w="1701" w:type="dxa"/>
            <w:tcBorders>
              <w:top w:val="single" w:sz="4" w:space="0" w:color="auto"/>
              <w:left w:val="single" w:sz="4" w:space="0" w:color="auto"/>
              <w:bottom w:val="single" w:sz="4" w:space="0" w:color="auto"/>
              <w:right w:val="single" w:sz="4" w:space="0" w:color="auto"/>
            </w:tcBorders>
          </w:tcPr>
          <w:p w14:paraId="516A937E" w14:textId="77777777" w:rsidR="00777EC6" w:rsidRPr="00E611AB" w:rsidRDefault="00777EC6" w:rsidP="002F5786">
            <w:pPr>
              <w:pStyle w:val="TAC"/>
            </w:pPr>
            <w:r w:rsidRPr="00E611AB">
              <w:t>T</w:t>
            </w:r>
            <w:r w:rsidRPr="00E611AB">
              <w:rPr>
                <w:vertAlign w:val="subscript"/>
              </w:rPr>
              <w:t>c</w:t>
            </w:r>
          </w:p>
        </w:tc>
      </w:tr>
      <w:tr w:rsidR="00777EC6" w:rsidRPr="00E611AB" w14:paraId="7AE4E35C"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76D7CDB7" w14:textId="77777777" w:rsidR="00777EC6" w:rsidRPr="00E611AB" w:rsidRDefault="00777EC6" w:rsidP="002F5786">
            <w:pPr>
              <w:pStyle w:val="TAC"/>
            </w:pPr>
            <w:r w:rsidRPr="00E611AB">
              <w:rPr>
                <w:lang w:eastAsia="zh-CN"/>
              </w:rPr>
              <w:t>DIFF_RX-TX_TIME_DIFFERENCE_511</w:t>
            </w:r>
          </w:p>
        </w:tc>
        <w:tc>
          <w:tcPr>
            <w:tcW w:w="2835" w:type="dxa"/>
            <w:tcBorders>
              <w:top w:val="single" w:sz="4" w:space="0" w:color="auto"/>
              <w:left w:val="single" w:sz="4" w:space="0" w:color="auto"/>
              <w:bottom w:val="single" w:sz="4" w:space="0" w:color="auto"/>
              <w:right w:val="single" w:sz="4" w:space="0" w:color="auto"/>
            </w:tcBorders>
          </w:tcPr>
          <w:p w14:paraId="4FFBEFE0" w14:textId="77777777" w:rsidR="00777EC6" w:rsidRPr="00E611AB" w:rsidRDefault="00777EC6" w:rsidP="002F5786">
            <w:pPr>
              <w:pStyle w:val="TAC"/>
            </w:pPr>
            <w:r>
              <w:rPr>
                <w:lang w:eastAsia="zh-CN"/>
              </w:rPr>
              <w:t>8176</w:t>
            </w:r>
            <w:r w:rsidRPr="00E611AB">
              <w:rPr>
                <w:lang w:eastAsia="zh-CN"/>
              </w:rPr>
              <w:t xml:space="preserve">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p>
        </w:tc>
        <w:tc>
          <w:tcPr>
            <w:tcW w:w="1701" w:type="dxa"/>
            <w:tcBorders>
              <w:top w:val="single" w:sz="4" w:space="0" w:color="auto"/>
              <w:left w:val="single" w:sz="4" w:space="0" w:color="auto"/>
              <w:bottom w:val="single" w:sz="4" w:space="0" w:color="auto"/>
              <w:right w:val="single" w:sz="4" w:space="0" w:color="auto"/>
            </w:tcBorders>
          </w:tcPr>
          <w:p w14:paraId="0F2E3646" w14:textId="77777777" w:rsidR="00777EC6" w:rsidRPr="00E611AB" w:rsidRDefault="00777EC6" w:rsidP="002F5786">
            <w:pPr>
              <w:pStyle w:val="TAC"/>
            </w:pPr>
            <w:r w:rsidRPr="00E611AB">
              <w:t>T</w:t>
            </w:r>
            <w:r w:rsidRPr="00E611AB">
              <w:rPr>
                <w:vertAlign w:val="subscript"/>
              </w:rPr>
              <w:t>c</w:t>
            </w:r>
          </w:p>
        </w:tc>
      </w:tr>
    </w:tbl>
    <w:p w14:paraId="39F328A6" w14:textId="77777777" w:rsidR="00777EC6" w:rsidRPr="00E611AB" w:rsidRDefault="00777EC6" w:rsidP="002F5786"/>
    <w:p w14:paraId="406B3542" w14:textId="77777777" w:rsidR="00777EC6" w:rsidRPr="00E611AB" w:rsidRDefault="00777EC6" w:rsidP="002F5786">
      <w:pPr>
        <w:pStyle w:val="TH"/>
        <w:rPr>
          <w:lang w:val="en-US" w:eastAsia="ja-JP"/>
        </w:rPr>
      </w:pPr>
      <w:r w:rsidRPr="00E611AB">
        <w:t xml:space="preserve">Table 10.1.25.3.2-6: Differential UE Rx-Tx time difference measurement report mapping for </w:t>
      </w:r>
      <w:r w:rsidRPr="00E611AB">
        <w:rPr>
          <w:i/>
          <w:iCs/>
        </w:rPr>
        <w:t>k</w:t>
      </w:r>
      <w:r w:rsidRPr="00E611AB">
        <w:t>=5</w:t>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2"/>
        <w:gridCol w:w="2693"/>
        <w:gridCol w:w="1843"/>
      </w:tblGrid>
      <w:tr w:rsidR="00777EC6" w:rsidRPr="00E611AB" w14:paraId="3A945E4F" w14:textId="77777777" w:rsidTr="00051ED3">
        <w:trPr>
          <w:cantSplit/>
          <w:trHeight w:val="268"/>
        </w:trPr>
        <w:tc>
          <w:tcPr>
            <w:tcW w:w="4252" w:type="dxa"/>
            <w:vAlign w:val="center"/>
          </w:tcPr>
          <w:p w14:paraId="6BE6ED5B" w14:textId="77777777" w:rsidR="00777EC6" w:rsidRPr="00E611AB" w:rsidRDefault="00777EC6" w:rsidP="002F5786">
            <w:pPr>
              <w:pStyle w:val="TAH"/>
            </w:pPr>
            <w:r w:rsidRPr="00E611AB">
              <w:t>Reported Quantity Value</w:t>
            </w:r>
          </w:p>
        </w:tc>
        <w:tc>
          <w:tcPr>
            <w:tcW w:w="2693" w:type="dxa"/>
            <w:vAlign w:val="center"/>
          </w:tcPr>
          <w:p w14:paraId="152CA7BC" w14:textId="77777777" w:rsidR="00777EC6" w:rsidRPr="00E611AB" w:rsidRDefault="00777EC6" w:rsidP="002F5786">
            <w:pPr>
              <w:pStyle w:val="TAH"/>
            </w:pPr>
            <w:r w:rsidRPr="00E611AB">
              <w:t>Measured Quantity Value</w:t>
            </w:r>
          </w:p>
        </w:tc>
        <w:tc>
          <w:tcPr>
            <w:tcW w:w="1843" w:type="dxa"/>
            <w:vAlign w:val="center"/>
          </w:tcPr>
          <w:p w14:paraId="6D2B8B85" w14:textId="77777777" w:rsidR="00777EC6" w:rsidRPr="00E611AB" w:rsidRDefault="00777EC6" w:rsidP="002F5786">
            <w:pPr>
              <w:pStyle w:val="TAH"/>
            </w:pPr>
            <w:r w:rsidRPr="00E611AB">
              <w:t>Unit</w:t>
            </w:r>
          </w:p>
        </w:tc>
      </w:tr>
      <w:tr w:rsidR="00777EC6" w:rsidRPr="00E611AB" w14:paraId="5527735F" w14:textId="77777777" w:rsidTr="00051ED3">
        <w:trPr>
          <w:cantSplit/>
        </w:trPr>
        <w:tc>
          <w:tcPr>
            <w:tcW w:w="4252" w:type="dxa"/>
          </w:tcPr>
          <w:p w14:paraId="68F2D33D" w14:textId="77777777" w:rsidR="00777EC6" w:rsidRPr="00E611AB" w:rsidRDefault="00777EC6" w:rsidP="002F5786">
            <w:pPr>
              <w:pStyle w:val="TAC"/>
            </w:pPr>
            <w:r w:rsidRPr="00E611AB">
              <w:rPr>
                <w:lang w:eastAsia="zh-CN"/>
              </w:rPr>
              <w:t>DIFF_RX-TX_TIME_DIFFERENCE_</w:t>
            </w:r>
            <w:r w:rsidRPr="00E611AB">
              <w:t>0000</w:t>
            </w:r>
          </w:p>
        </w:tc>
        <w:tc>
          <w:tcPr>
            <w:tcW w:w="2693" w:type="dxa"/>
          </w:tcPr>
          <w:p w14:paraId="469EC37F" w14:textId="77777777" w:rsidR="00777EC6" w:rsidRPr="00E611AB" w:rsidRDefault="00777EC6" w:rsidP="002F5786">
            <w:pPr>
              <w:pStyle w:val="TAC"/>
            </w:pPr>
            <w:r w:rsidRPr="00E611AB">
              <w:rPr>
                <w:lang w:eastAsia="zh-CN"/>
              </w:rPr>
              <w:t xml:space="preserve">0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32</w:t>
            </w:r>
          </w:p>
        </w:tc>
        <w:tc>
          <w:tcPr>
            <w:tcW w:w="1843" w:type="dxa"/>
          </w:tcPr>
          <w:p w14:paraId="53BEAE09" w14:textId="77777777" w:rsidR="00777EC6" w:rsidRPr="00E611AB" w:rsidRDefault="00777EC6" w:rsidP="002F5786">
            <w:pPr>
              <w:pStyle w:val="TAC"/>
            </w:pPr>
            <w:r w:rsidRPr="00E611AB">
              <w:t>T</w:t>
            </w:r>
            <w:r w:rsidRPr="00E611AB">
              <w:rPr>
                <w:vertAlign w:val="subscript"/>
              </w:rPr>
              <w:t>c</w:t>
            </w:r>
          </w:p>
        </w:tc>
      </w:tr>
      <w:tr w:rsidR="00777EC6" w:rsidRPr="00E611AB" w14:paraId="5E5EA41C" w14:textId="77777777" w:rsidTr="00051ED3">
        <w:trPr>
          <w:cantSplit/>
        </w:trPr>
        <w:tc>
          <w:tcPr>
            <w:tcW w:w="4252" w:type="dxa"/>
          </w:tcPr>
          <w:p w14:paraId="6581F720" w14:textId="77777777" w:rsidR="00777EC6" w:rsidRPr="00E611AB" w:rsidRDefault="00777EC6" w:rsidP="002F5786">
            <w:pPr>
              <w:pStyle w:val="TAC"/>
            </w:pPr>
            <w:r w:rsidRPr="00E611AB">
              <w:rPr>
                <w:lang w:eastAsia="zh-CN"/>
              </w:rPr>
              <w:t>DIFF_RX-TX_TIME_DIFFERENCE_</w:t>
            </w:r>
            <w:r w:rsidRPr="00E611AB">
              <w:t>0001</w:t>
            </w:r>
          </w:p>
        </w:tc>
        <w:tc>
          <w:tcPr>
            <w:tcW w:w="2693" w:type="dxa"/>
          </w:tcPr>
          <w:p w14:paraId="45F26AE1" w14:textId="77777777" w:rsidR="00777EC6" w:rsidRPr="00E611AB" w:rsidRDefault="00777EC6" w:rsidP="002F5786">
            <w:pPr>
              <w:pStyle w:val="TAC"/>
            </w:pPr>
            <w:r w:rsidRPr="00E611AB">
              <w:rPr>
                <w:lang w:eastAsia="zh-CN"/>
              </w:rPr>
              <w:t xml:space="preserve">32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64</w:t>
            </w:r>
          </w:p>
        </w:tc>
        <w:tc>
          <w:tcPr>
            <w:tcW w:w="1843" w:type="dxa"/>
          </w:tcPr>
          <w:p w14:paraId="7FFB14EC" w14:textId="77777777" w:rsidR="00777EC6" w:rsidRPr="00E611AB" w:rsidRDefault="00777EC6" w:rsidP="002F5786">
            <w:pPr>
              <w:pStyle w:val="TAC"/>
            </w:pPr>
            <w:r w:rsidRPr="00E611AB">
              <w:t>T</w:t>
            </w:r>
            <w:r w:rsidRPr="00E611AB">
              <w:rPr>
                <w:vertAlign w:val="subscript"/>
              </w:rPr>
              <w:t>c</w:t>
            </w:r>
          </w:p>
        </w:tc>
      </w:tr>
      <w:tr w:rsidR="00777EC6" w:rsidRPr="00E611AB" w14:paraId="34FC3914" w14:textId="77777777" w:rsidTr="00051ED3">
        <w:trPr>
          <w:cantSplit/>
        </w:trPr>
        <w:tc>
          <w:tcPr>
            <w:tcW w:w="4252" w:type="dxa"/>
          </w:tcPr>
          <w:p w14:paraId="6FCAA21B" w14:textId="77777777" w:rsidR="00777EC6" w:rsidRPr="00E611AB" w:rsidRDefault="00777EC6" w:rsidP="002F5786">
            <w:pPr>
              <w:pStyle w:val="TAC"/>
            </w:pPr>
            <w:r w:rsidRPr="00E611AB">
              <w:rPr>
                <w:lang w:eastAsia="zh-CN"/>
              </w:rPr>
              <w:t>DIFF_RX-TX_TIME_DIFFERENCE_</w:t>
            </w:r>
            <w:r w:rsidRPr="00E611AB">
              <w:t>0002</w:t>
            </w:r>
          </w:p>
        </w:tc>
        <w:tc>
          <w:tcPr>
            <w:tcW w:w="2693" w:type="dxa"/>
          </w:tcPr>
          <w:p w14:paraId="4BB9E124" w14:textId="77777777" w:rsidR="00777EC6" w:rsidRPr="00E611AB" w:rsidRDefault="00777EC6" w:rsidP="002F5786">
            <w:pPr>
              <w:pStyle w:val="TAC"/>
            </w:pPr>
            <w:r w:rsidRPr="00E611AB">
              <w:rPr>
                <w:lang w:eastAsia="zh-CN"/>
              </w:rPr>
              <w:t xml:space="preserve">64 </w:t>
            </w:r>
            <w:r w:rsidRPr="00E611AB">
              <w:rPr>
                <w:rFonts w:ascii="Symbol" w:eastAsia="Symbol" w:hAnsi="Symbol" w:cs="Symbol"/>
                <w:lang w:eastAsia="zh-CN"/>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&lt; 96</w:t>
            </w:r>
          </w:p>
        </w:tc>
        <w:tc>
          <w:tcPr>
            <w:tcW w:w="1843" w:type="dxa"/>
          </w:tcPr>
          <w:p w14:paraId="34FEFB52" w14:textId="77777777" w:rsidR="00777EC6" w:rsidRPr="00E611AB" w:rsidRDefault="00777EC6" w:rsidP="002F5786">
            <w:pPr>
              <w:pStyle w:val="TAC"/>
            </w:pPr>
            <w:r w:rsidRPr="00E611AB">
              <w:t>T</w:t>
            </w:r>
            <w:r w:rsidRPr="00E611AB">
              <w:rPr>
                <w:vertAlign w:val="subscript"/>
              </w:rPr>
              <w:t>c</w:t>
            </w:r>
          </w:p>
        </w:tc>
      </w:tr>
      <w:tr w:rsidR="00777EC6" w:rsidRPr="00E611AB" w14:paraId="4FF3AA50" w14:textId="77777777" w:rsidTr="00051ED3">
        <w:trPr>
          <w:cantSplit/>
        </w:trPr>
        <w:tc>
          <w:tcPr>
            <w:tcW w:w="4252" w:type="dxa"/>
          </w:tcPr>
          <w:p w14:paraId="4B268843" w14:textId="77777777" w:rsidR="00777EC6" w:rsidRPr="00E611AB" w:rsidRDefault="00777EC6" w:rsidP="002F5786">
            <w:pPr>
              <w:pStyle w:val="TAC"/>
            </w:pPr>
            <w:r w:rsidRPr="00E611AB">
              <w:rPr>
                <w:rFonts w:ascii="Symbol" w:eastAsia="Symbol" w:hAnsi="Symbol" w:cs="Symbol"/>
              </w:rPr>
              <w:t></w:t>
            </w:r>
          </w:p>
        </w:tc>
        <w:tc>
          <w:tcPr>
            <w:tcW w:w="2693" w:type="dxa"/>
          </w:tcPr>
          <w:p w14:paraId="20463D92" w14:textId="77777777" w:rsidR="00777EC6" w:rsidRPr="00E611AB" w:rsidRDefault="00777EC6" w:rsidP="002F5786">
            <w:pPr>
              <w:pStyle w:val="TAC"/>
            </w:pPr>
            <w:r w:rsidRPr="00E611AB">
              <w:rPr>
                <w:rFonts w:ascii="Symbol" w:eastAsia="Symbol" w:hAnsi="Symbol" w:cs="Symbol"/>
              </w:rPr>
              <w:t></w:t>
            </w:r>
          </w:p>
        </w:tc>
        <w:tc>
          <w:tcPr>
            <w:tcW w:w="1843" w:type="dxa"/>
          </w:tcPr>
          <w:p w14:paraId="41B4CB9A" w14:textId="77777777" w:rsidR="00777EC6" w:rsidRPr="00E611AB" w:rsidRDefault="00777EC6" w:rsidP="002F5786">
            <w:pPr>
              <w:pStyle w:val="TAC"/>
            </w:pPr>
            <w:r w:rsidRPr="00E611AB">
              <w:t>…</w:t>
            </w:r>
          </w:p>
        </w:tc>
      </w:tr>
      <w:tr w:rsidR="00777EC6" w:rsidRPr="00E611AB" w14:paraId="6BAD7A9E"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51D990F5" w14:textId="77777777" w:rsidR="00777EC6" w:rsidRPr="00E611AB" w:rsidRDefault="00777EC6" w:rsidP="002F5786">
            <w:pPr>
              <w:pStyle w:val="TAC"/>
            </w:pPr>
            <w:r w:rsidRPr="00E611AB">
              <w:rPr>
                <w:lang w:eastAsia="zh-CN"/>
              </w:rPr>
              <w:t>DIFF_RX-TX_TIME_DIFFERENCE_253</w:t>
            </w:r>
          </w:p>
        </w:tc>
        <w:tc>
          <w:tcPr>
            <w:tcW w:w="2693" w:type="dxa"/>
            <w:tcBorders>
              <w:top w:val="single" w:sz="4" w:space="0" w:color="auto"/>
              <w:left w:val="single" w:sz="4" w:space="0" w:color="auto"/>
              <w:bottom w:val="single" w:sz="4" w:space="0" w:color="auto"/>
              <w:right w:val="single" w:sz="4" w:space="0" w:color="auto"/>
            </w:tcBorders>
          </w:tcPr>
          <w:p w14:paraId="229AF54D" w14:textId="77777777" w:rsidR="00777EC6" w:rsidRPr="00E611AB" w:rsidRDefault="00777EC6" w:rsidP="002F5786">
            <w:pPr>
              <w:pStyle w:val="TAC"/>
            </w:pPr>
            <w:r w:rsidRPr="00E611AB">
              <w:rPr>
                <w:lang w:eastAsia="zh-CN"/>
              </w:rPr>
              <w:t xml:space="preserve">8096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8128</w:t>
            </w:r>
          </w:p>
        </w:tc>
        <w:tc>
          <w:tcPr>
            <w:tcW w:w="1843" w:type="dxa"/>
            <w:tcBorders>
              <w:top w:val="single" w:sz="4" w:space="0" w:color="auto"/>
              <w:left w:val="single" w:sz="4" w:space="0" w:color="auto"/>
              <w:bottom w:val="single" w:sz="4" w:space="0" w:color="auto"/>
              <w:right w:val="single" w:sz="4" w:space="0" w:color="auto"/>
            </w:tcBorders>
          </w:tcPr>
          <w:p w14:paraId="2DC14CD6" w14:textId="77777777" w:rsidR="00777EC6" w:rsidRPr="00E611AB" w:rsidRDefault="00777EC6" w:rsidP="002F5786">
            <w:pPr>
              <w:pStyle w:val="TAC"/>
            </w:pPr>
            <w:r w:rsidRPr="00E611AB">
              <w:t>T</w:t>
            </w:r>
            <w:r w:rsidRPr="00E611AB">
              <w:rPr>
                <w:vertAlign w:val="subscript"/>
              </w:rPr>
              <w:t>c</w:t>
            </w:r>
          </w:p>
        </w:tc>
      </w:tr>
      <w:tr w:rsidR="00777EC6" w:rsidRPr="00E611AB" w14:paraId="0344B145"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7945E72C" w14:textId="77777777" w:rsidR="00777EC6" w:rsidRPr="00E611AB" w:rsidRDefault="00777EC6" w:rsidP="002F5786">
            <w:pPr>
              <w:pStyle w:val="TAC"/>
              <w:rPr>
                <w:lang w:val="en-US"/>
              </w:rPr>
            </w:pPr>
            <w:r w:rsidRPr="00E611AB">
              <w:rPr>
                <w:lang w:eastAsia="zh-CN"/>
              </w:rPr>
              <w:t>DIFF_RX-TX_TIME_DIFFERENCE_254</w:t>
            </w:r>
          </w:p>
        </w:tc>
        <w:tc>
          <w:tcPr>
            <w:tcW w:w="2693" w:type="dxa"/>
            <w:tcBorders>
              <w:top w:val="single" w:sz="4" w:space="0" w:color="auto"/>
              <w:left w:val="single" w:sz="4" w:space="0" w:color="auto"/>
              <w:bottom w:val="single" w:sz="4" w:space="0" w:color="auto"/>
              <w:right w:val="single" w:sz="4" w:space="0" w:color="auto"/>
            </w:tcBorders>
          </w:tcPr>
          <w:p w14:paraId="09C272DB" w14:textId="77777777" w:rsidR="00777EC6" w:rsidRPr="00E611AB" w:rsidRDefault="00777EC6" w:rsidP="002F5786">
            <w:pPr>
              <w:pStyle w:val="TAC"/>
            </w:pPr>
            <w:r w:rsidRPr="00E611AB">
              <w:rPr>
                <w:lang w:eastAsia="zh-CN"/>
              </w:rPr>
              <w:t xml:space="preserve">8128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r w:rsidRPr="00E611AB">
              <w:rPr>
                <w:lang w:eastAsia="zh-CN"/>
              </w:rPr>
              <w:t xml:space="preserve"> </w:t>
            </w:r>
            <w:r w:rsidRPr="00E611AB">
              <w:t>&lt;</w:t>
            </w:r>
            <w:r w:rsidRPr="00E611AB">
              <w:rPr>
                <w:lang w:eastAsia="zh-CN"/>
              </w:rPr>
              <w:t xml:space="preserve"> </w:t>
            </w:r>
            <w:r>
              <w:rPr>
                <w:lang w:eastAsia="zh-CN"/>
              </w:rPr>
              <w:t>8160</w:t>
            </w:r>
          </w:p>
        </w:tc>
        <w:tc>
          <w:tcPr>
            <w:tcW w:w="1843" w:type="dxa"/>
            <w:tcBorders>
              <w:top w:val="single" w:sz="4" w:space="0" w:color="auto"/>
              <w:left w:val="single" w:sz="4" w:space="0" w:color="auto"/>
              <w:bottom w:val="single" w:sz="4" w:space="0" w:color="auto"/>
              <w:right w:val="single" w:sz="4" w:space="0" w:color="auto"/>
            </w:tcBorders>
          </w:tcPr>
          <w:p w14:paraId="03BCF662" w14:textId="77777777" w:rsidR="00777EC6" w:rsidRPr="00E611AB" w:rsidRDefault="00777EC6" w:rsidP="002F5786">
            <w:pPr>
              <w:pStyle w:val="TAC"/>
            </w:pPr>
            <w:r w:rsidRPr="00E611AB">
              <w:t>T</w:t>
            </w:r>
            <w:r w:rsidRPr="00E611AB">
              <w:rPr>
                <w:vertAlign w:val="subscript"/>
              </w:rPr>
              <w:t>c</w:t>
            </w:r>
          </w:p>
        </w:tc>
      </w:tr>
      <w:tr w:rsidR="00777EC6" w:rsidRPr="00E611AB" w14:paraId="0E88D157" w14:textId="77777777" w:rsidTr="00051ED3">
        <w:trPr>
          <w:cantSplit/>
        </w:trPr>
        <w:tc>
          <w:tcPr>
            <w:tcW w:w="4252" w:type="dxa"/>
            <w:tcBorders>
              <w:top w:val="single" w:sz="4" w:space="0" w:color="auto"/>
              <w:left w:val="single" w:sz="4" w:space="0" w:color="auto"/>
              <w:bottom w:val="single" w:sz="4" w:space="0" w:color="auto"/>
              <w:right w:val="single" w:sz="4" w:space="0" w:color="auto"/>
            </w:tcBorders>
          </w:tcPr>
          <w:p w14:paraId="7D516939" w14:textId="77777777" w:rsidR="00777EC6" w:rsidRPr="00E611AB" w:rsidRDefault="00777EC6" w:rsidP="002F5786">
            <w:pPr>
              <w:pStyle w:val="TAC"/>
            </w:pPr>
            <w:r w:rsidRPr="00E611AB">
              <w:rPr>
                <w:lang w:eastAsia="zh-CN"/>
              </w:rPr>
              <w:t>DIFF_RX-TX_TIME_DIFFERENCE_255</w:t>
            </w:r>
          </w:p>
        </w:tc>
        <w:tc>
          <w:tcPr>
            <w:tcW w:w="2693" w:type="dxa"/>
            <w:tcBorders>
              <w:top w:val="single" w:sz="4" w:space="0" w:color="auto"/>
              <w:left w:val="single" w:sz="4" w:space="0" w:color="auto"/>
              <w:bottom w:val="single" w:sz="4" w:space="0" w:color="auto"/>
              <w:right w:val="single" w:sz="4" w:space="0" w:color="auto"/>
            </w:tcBorders>
          </w:tcPr>
          <w:p w14:paraId="373EA2A6" w14:textId="77777777" w:rsidR="00777EC6" w:rsidRPr="00E611AB" w:rsidRDefault="00777EC6" w:rsidP="002F5786">
            <w:pPr>
              <w:pStyle w:val="TAC"/>
            </w:pPr>
            <w:r>
              <w:rPr>
                <w:lang w:eastAsia="zh-CN"/>
              </w:rPr>
              <w:t>8160</w:t>
            </w:r>
            <w:r w:rsidRPr="00E611AB">
              <w:rPr>
                <w:lang w:eastAsia="zh-CN"/>
              </w:rPr>
              <w:t xml:space="preserve"> </w:t>
            </w:r>
            <w:r w:rsidRPr="00E611AB">
              <w:rPr>
                <w:rFonts w:ascii="Symbol" w:eastAsia="Symbol" w:hAnsi="Symbol" w:cs="Symbol"/>
              </w:rPr>
              <w:t></w:t>
            </w:r>
            <w:r w:rsidRPr="00E611AB">
              <w:rPr>
                <w:lang w:eastAsia="zh-CN"/>
              </w:rPr>
              <w:t xml:space="preserve"> </w:t>
            </w:r>
            <w:r w:rsidRPr="00E611AB">
              <w:rPr>
                <w:rFonts w:ascii="Symbol" w:eastAsia="Symbol" w:hAnsi="Symbol" w:cs="Symbol"/>
                <w:lang w:eastAsia="zh-CN"/>
              </w:rPr>
              <w:t></w:t>
            </w:r>
            <w:r w:rsidRPr="00E611AB">
              <w:rPr>
                <w:lang w:eastAsia="zh-CN"/>
              </w:rPr>
              <w:t>T</w:t>
            </w:r>
            <w:r w:rsidRPr="00E611AB">
              <w:rPr>
                <w:vertAlign w:val="subscript"/>
                <w:lang w:eastAsia="zh-CN"/>
              </w:rPr>
              <w:t>UE Rx-Tx</w:t>
            </w:r>
          </w:p>
        </w:tc>
        <w:tc>
          <w:tcPr>
            <w:tcW w:w="1843" w:type="dxa"/>
            <w:tcBorders>
              <w:top w:val="single" w:sz="4" w:space="0" w:color="auto"/>
              <w:left w:val="single" w:sz="4" w:space="0" w:color="auto"/>
              <w:bottom w:val="single" w:sz="4" w:space="0" w:color="auto"/>
              <w:right w:val="single" w:sz="4" w:space="0" w:color="auto"/>
            </w:tcBorders>
          </w:tcPr>
          <w:p w14:paraId="78F29D48" w14:textId="77777777" w:rsidR="00777EC6" w:rsidRPr="00E611AB" w:rsidRDefault="00777EC6" w:rsidP="002F5786">
            <w:pPr>
              <w:pStyle w:val="TAC"/>
            </w:pPr>
            <w:r w:rsidRPr="00E611AB">
              <w:t>T</w:t>
            </w:r>
            <w:r w:rsidRPr="00E611AB">
              <w:rPr>
                <w:vertAlign w:val="subscript"/>
              </w:rPr>
              <w:t>c</w:t>
            </w:r>
          </w:p>
        </w:tc>
      </w:tr>
    </w:tbl>
    <w:p w14:paraId="31D3A596" w14:textId="77777777" w:rsidR="00777EC6" w:rsidRPr="00E611AB" w:rsidRDefault="00777EC6"/>
    <w:p w14:paraId="1F844110" w14:textId="6F095684" w:rsidR="00777EC6" w:rsidRDefault="00777EC6">
      <w:pPr>
        <w:pStyle w:val="Heading5"/>
      </w:pPr>
      <w:r>
        <w:t>10</w:t>
      </w:r>
      <w:r w:rsidRPr="002D08F8">
        <w:t>.</w:t>
      </w:r>
      <w:r>
        <w:t>1</w:t>
      </w:r>
      <w:r w:rsidRPr="002D08F8">
        <w:t>.</w:t>
      </w:r>
      <w:r>
        <w:t>25.3.3</w:t>
      </w:r>
      <w:r>
        <w:tab/>
        <w:t xml:space="preserve">Additional Path Report </w:t>
      </w:r>
      <w:r w:rsidRPr="00860F18">
        <w:t>Mapping</w:t>
      </w:r>
      <w:r>
        <w:t xml:space="preserve"> for UE Rx-Tx Time Difference</w:t>
      </w:r>
    </w:p>
    <w:p w14:paraId="2FC0C6EC" w14:textId="77777777" w:rsidR="00777EC6" w:rsidRPr="00DE253F" w:rsidRDefault="00777EC6" w:rsidP="002F5786">
      <w:r w:rsidRPr="00DE253F">
        <w:t xml:space="preserve">The reporting range for the </w:t>
      </w:r>
      <w:r>
        <w:t>additional path reporting</w:t>
      </w:r>
      <w:r w:rsidRPr="00DE253F">
        <w:t xml:space="preserve"> </w:t>
      </w:r>
      <w:r>
        <w:t xml:space="preserve">for an UE Rx-Tx time difference measurement </w:t>
      </w:r>
      <w:r w:rsidRPr="00DE253F">
        <w:t xml:space="preserve">is defined </w:t>
      </w:r>
      <w:r>
        <w:t xml:space="preserve">up to the range </w:t>
      </w:r>
      <w:r w:rsidRPr="00DE253F">
        <w:t xml:space="preserve">from </w:t>
      </w:r>
      <w:r w:rsidRPr="00DE253F">
        <w:rPr>
          <w:lang w:eastAsia="zh-CN"/>
        </w:rPr>
        <w:t>-</w:t>
      </w:r>
      <w:r>
        <w:rPr>
          <w:lang w:eastAsia="zh-CN"/>
        </w:rPr>
        <w:t>8175</w:t>
      </w:r>
      <w:r w:rsidRPr="00DE253F">
        <w:sym w:font="Symbol" w:char="F0B4"/>
      </w:r>
      <w:r w:rsidRPr="00DE253F">
        <w:t>T</w:t>
      </w:r>
      <w:r w:rsidRPr="00DE253F">
        <w:rPr>
          <w:vertAlign w:val="subscript"/>
        </w:rPr>
        <w:t>c</w:t>
      </w:r>
      <w:r w:rsidRPr="00DE253F">
        <w:t xml:space="preserve"> to </w:t>
      </w:r>
      <w:r>
        <w:rPr>
          <w:lang w:eastAsia="zh-CN"/>
        </w:rPr>
        <w:t>8175</w:t>
      </w:r>
      <w:r w:rsidRPr="00DE253F">
        <w:sym w:font="Symbol" w:char="F0B4"/>
      </w:r>
      <w:r w:rsidRPr="00DE253F">
        <w:t>T</w:t>
      </w:r>
      <w:r w:rsidRPr="00DE253F">
        <w:rPr>
          <w:vertAlign w:val="subscript"/>
        </w:rPr>
        <w:t>c</w:t>
      </w:r>
      <w:r w:rsidRPr="00DE253F">
        <w:t xml:space="preserve"> with the resolution step of 2</w:t>
      </w:r>
      <w:r w:rsidRPr="00DE253F">
        <w:rPr>
          <w:i/>
          <w:iCs/>
          <w:vertAlign w:val="superscript"/>
          <w:lang w:eastAsia="zh-CN"/>
        </w:rPr>
        <w:t>k</w:t>
      </w:r>
      <w:r w:rsidRPr="00DE253F">
        <w:sym w:font="Symbol" w:char="F0B4"/>
      </w:r>
      <w:r w:rsidRPr="00DE253F">
        <w:t>T</w:t>
      </w:r>
      <w:r w:rsidRPr="00DE253F">
        <w:rPr>
          <w:vertAlign w:val="subscript"/>
        </w:rPr>
        <w:t>c</w:t>
      </w:r>
      <w:r w:rsidRPr="00DE253F">
        <w:t xml:space="preserve">, where </w:t>
      </w:r>
    </w:p>
    <w:p w14:paraId="119C29D9" w14:textId="77777777" w:rsidR="00777EC6" w:rsidRPr="00DE253F" w:rsidRDefault="00777EC6" w:rsidP="002F5786">
      <w:pPr>
        <w:pStyle w:val="B10"/>
      </w:pPr>
      <w:r w:rsidRPr="005D59FC">
        <w:t>T</w:t>
      </w:r>
      <w:r w:rsidRPr="005D59FC">
        <w:rPr>
          <w:vertAlign w:val="subscript"/>
        </w:rPr>
        <w:t>c</w:t>
      </w:r>
      <w:r w:rsidRPr="005D59FC">
        <w:t xml:space="preserve"> is defined in TS 38.211 [6]</w:t>
      </w:r>
      <w:r w:rsidRPr="00DE253F">
        <w:t xml:space="preserve">, </w:t>
      </w:r>
    </w:p>
    <w:p w14:paraId="2EFE22B4" w14:textId="77777777" w:rsidR="00777EC6" w:rsidRDefault="00777EC6" w:rsidP="002F5786">
      <w:pPr>
        <w:pStyle w:val="B10"/>
      </w:pPr>
      <w:r w:rsidRPr="00DE253F">
        <w:rPr>
          <w:i/>
          <w:iCs/>
          <w:lang w:eastAsia="ja-JP"/>
        </w:rPr>
        <w:t>k</w:t>
      </w:r>
      <w:r w:rsidRPr="00DE253F">
        <w:rPr>
          <w:i/>
          <w:iCs/>
          <w:vertAlign w:val="subscript"/>
          <w:lang w:eastAsia="ja-JP"/>
        </w:rPr>
        <w:t>min</w:t>
      </w:r>
      <w:r w:rsidRPr="00DE253F">
        <w:rPr>
          <w:lang w:eastAsia="ja-JP"/>
        </w:rPr>
        <w:t>≤</w:t>
      </w:r>
      <w:r w:rsidRPr="00DE253F">
        <w:rPr>
          <w:i/>
          <w:iCs/>
        </w:rPr>
        <w:t>k</w:t>
      </w:r>
      <w:r w:rsidRPr="00DE253F">
        <w:rPr>
          <w:lang w:eastAsia="ja-JP"/>
        </w:rPr>
        <w:t>≤</w:t>
      </w:r>
      <w:r w:rsidRPr="00DE253F">
        <w:rPr>
          <w:i/>
          <w:iCs/>
          <w:lang w:eastAsia="ja-JP"/>
        </w:rPr>
        <w:t>k</w:t>
      </w:r>
      <w:r w:rsidRPr="00DE253F">
        <w:rPr>
          <w:i/>
          <w:iCs/>
          <w:vertAlign w:val="subscript"/>
          <w:lang w:eastAsia="ja-JP"/>
        </w:rPr>
        <w:t>max</w:t>
      </w:r>
      <w:r w:rsidRPr="00DE253F">
        <w:t xml:space="preserve">, </w:t>
      </w:r>
    </w:p>
    <w:p w14:paraId="6686280F" w14:textId="77777777" w:rsidR="00777EC6" w:rsidRPr="00C84C83" w:rsidRDefault="00777EC6" w:rsidP="002F5786">
      <w:pPr>
        <w:pStyle w:val="B10"/>
      </w:pPr>
      <w:r w:rsidRPr="00C84C83">
        <w:rPr>
          <w:i/>
          <w:iCs/>
          <w:lang w:eastAsia="ja-JP"/>
        </w:rPr>
        <w:t>k</w:t>
      </w:r>
      <w:r w:rsidRPr="00C84C83">
        <w:rPr>
          <w:i/>
          <w:iCs/>
          <w:vertAlign w:val="subscript"/>
          <w:lang w:eastAsia="ja-JP"/>
        </w:rPr>
        <w:t>min</w:t>
      </w:r>
      <w:r w:rsidRPr="00C84C83">
        <w:rPr>
          <w:lang w:eastAsia="ja-JP"/>
        </w:rPr>
        <w:t>=</w:t>
      </w:r>
      <w:r>
        <w:rPr>
          <w:lang w:eastAsia="ja-JP"/>
        </w:rPr>
        <w:t>[2]</w:t>
      </w:r>
      <w:r w:rsidRPr="00C84C83">
        <w:rPr>
          <w:lang w:eastAsia="ja-JP"/>
        </w:rPr>
        <w:t xml:space="preserve"> and </w:t>
      </w:r>
      <w:r w:rsidRPr="00C84C83">
        <w:rPr>
          <w:i/>
          <w:iCs/>
          <w:lang w:eastAsia="ja-JP"/>
        </w:rPr>
        <w:t>k</w:t>
      </w:r>
      <w:r w:rsidRPr="00C84C83">
        <w:rPr>
          <w:i/>
          <w:iCs/>
          <w:vertAlign w:val="subscript"/>
          <w:lang w:eastAsia="ja-JP"/>
        </w:rPr>
        <w:t>max</w:t>
      </w:r>
      <w:r w:rsidRPr="00C84C83">
        <w:rPr>
          <w:lang w:eastAsia="ja-JP"/>
        </w:rPr>
        <w:t xml:space="preserve">=5, when </w:t>
      </w:r>
      <w:r>
        <w:rPr>
          <w:lang w:eastAsia="ja-JP"/>
        </w:rPr>
        <w:t xml:space="preserve">at least one of </w:t>
      </w:r>
      <w:r w:rsidRPr="00C84C83">
        <w:rPr>
          <w:lang w:eastAsia="ja-JP"/>
        </w:rPr>
        <w:t xml:space="preserve">the PRS resource </w:t>
      </w:r>
      <w:r>
        <w:rPr>
          <w:lang w:eastAsia="ja-JP"/>
        </w:rPr>
        <w:t>and SRS resource configured</w:t>
      </w:r>
      <w:r w:rsidRPr="00C84C83">
        <w:rPr>
          <w:lang w:eastAsia="ja-JP"/>
        </w:rPr>
        <w:t xml:space="preserve"> for the UE Rx-Tx time difference measurement is in FR1,</w:t>
      </w:r>
    </w:p>
    <w:p w14:paraId="43BBAB07" w14:textId="77777777" w:rsidR="00777EC6" w:rsidRPr="00C84C83" w:rsidRDefault="00777EC6" w:rsidP="002F5786">
      <w:pPr>
        <w:pStyle w:val="B10"/>
      </w:pPr>
      <w:r w:rsidRPr="00C84C83">
        <w:rPr>
          <w:i/>
          <w:iCs/>
          <w:lang w:eastAsia="ja-JP"/>
        </w:rPr>
        <w:t>k</w:t>
      </w:r>
      <w:r w:rsidRPr="00C84C83">
        <w:rPr>
          <w:i/>
          <w:iCs/>
          <w:vertAlign w:val="subscript"/>
          <w:lang w:eastAsia="ja-JP"/>
        </w:rPr>
        <w:t>min</w:t>
      </w:r>
      <w:r w:rsidRPr="00C84C83">
        <w:rPr>
          <w:lang w:eastAsia="ja-JP"/>
        </w:rPr>
        <w:t xml:space="preserve">=0 and </w:t>
      </w:r>
      <w:r w:rsidRPr="00C84C83">
        <w:rPr>
          <w:i/>
          <w:iCs/>
          <w:lang w:eastAsia="ja-JP"/>
        </w:rPr>
        <w:t>k</w:t>
      </w:r>
      <w:r w:rsidRPr="00C84C83">
        <w:rPr>
          <w:i/>
          <w:iCs/>
          <w:vertAlign w:val="subscript"/>
          <w:lang w:eastAsia="ja-JP"/>
        </w:rPr>
        <w:t>max</w:t>
      </w:r>
      <w:r w:rsidRPr="00C84C83">
        <w:rPr>
          <w:lang w:eastAsia="ja-JP"/>
        </w:rPr>
        <w:t xml:space="preserve">=5, when </w:t>
      </w:r>
      <w:r>
        <w:rPr>
          <w:lang w:eastAsia="ja-JP"/>
        </w:rPr>
        <w:t xml:space="preserve">both of </w:t>
      </w:r>
      <w:r w:rsidRPr="00C84C83">
        <w:rPr>
          <w:lang w:eastAsia="ja-JP"/>
        </w:rPr>
        <w:t xml:space="preserve">the PRS resource </w:t>
      </w:r>
      <w:r>
        <w:rPr>
          <w:lang w:eastAsia="ja-JP"/>
        </w:rPr>
        <w:t xml:space="preserve">and SRS resource configured </w:t>
      </w:r>
      <w:r w:rsidRPr="00C84C83">
        <w:rPr>
          <w:lang w:eastAsia="ja-JP"/>
        </w:rPr>
        <w:t>for the UE Rx-Tx time difference measurement is in FR2,</w:t>
      </w:r>
    </w:p>
    <w:p w14:paraId="119D14BF" w14:textId="57D10CC8" w:rsidR="00777EC6" w:rsidRPr="00CB48CF" w:rsidRDefault="00777EC6" w:rsidP="002F5786">
      <w:pPr>
        <w:pStyle w:val="B10"/>
      </w:pPr>
      <w:r w:rsidRPr="00CB48CF">
        <w:rPr>
          <w:i/>
          <w:iCs/>
          <w:lang w:eastAsia="ja-JP"/>
        </w:rPr>
        <w:t>k≥</w:t>
      </w:r>
      <w:r w:rsidRPr="00CB48CF">
        <w:rPr>
          <w:lang w:eastAsia="ja-JP"/>
        </w:rPr>
        <w:t xml:space="preserve"> </w:t>
      </w:r>
      <w:r w:rsidRPr="00CB48CF">
        <w:rPr>
          <w:i/>
          <w:iCs/>
          <w:snapToGrid w:val="0"/>
        </w:rPr>
        <w:t xml:space="preserve">timingReportingGranularityFactor </w:t>
      </w:r>
      <w:r w:rsidRPr="00CB48CF">
        <w:rPr>
          <w:snapToGrid w:val="0"/>
        </w:rPr>
        <w:t>[3</w:t>
      </w:r>
      <w:r>
        <w:rPr>
          <w:snapToGrid w:val="0"/>
        </w:rPr>
        <w:t>4</w:t>
      </w:r>
      <w:r w:rsidRPr="00CB48CF">
        <w:rPr>
          <w:snapToGrid w:val="0"/>
        </w:rPr>
        <w:t xml:space="preserve">] configured by LMF via LPP for the </w:t>
      </w:r>
      <w:r w:rsidR="00D30086" w:rsidRPr="00603214">
        <w:t>UE Rx-Tx time difference</w:t>
      </w:r>
      <w:r w:rsidRPr="00CB48CF">
        <w:rPr>
          <w:snapToGrid w:val="0"/>
        </w:rPr>
        <w:t xml:space="preserve"> measurement</w:t>
      </w:r>
      <w:r w:rsidRPr="00CB48CF">
        <w:rPr>
          <w:lang w:eastAsia="ja-JP"/>
        </w:rPr>
        <w:t>.</w:t>
      </w:r>
    </w:p>
    <w:p w14:paraId="523197C3" w14:textId="77777777" w:rsidR="00777EC6" w:rsidRDefault="00777EC6" w:rsidP="002F5786">
      <w:pPr>
        <w:rPr>
          <w:lang w:val="en-US" w:eastAsia="ja-JP"/>
        </w:rPr>
      </w:pPr>
      <w:r>
        <w:rPr>
          <w:lang w:val="en-US" w:eastAsia="ja-JP"/>
        </w:rPr>
        <w:t>The UE can report the timing of up to two additional paths with respect to the path timing determining the UE Rx-Tx time difference measurement.</w:t>
      </w:r>
    </w:p>
    <w:p w14:paraId="19A18387" w14:textId="77777777" w:rsidR="000F45E3" w:rsidRDefault="000F45E3" w:rsidP="00777EC6">
      <w:pPr>
        <w:rPr>
          <w:lang w:val="en-US" w:eastAsia="ja-JP"/>
        </w:rPr>
      </w:pPr>
      <w:r w:rsidRPr="0018642A">
        <w:rPr>
          <w:lang w:val="en-US" w:eastAsia="ja-JP"/>
        </w:rPr>
        <w:t xml:space="preserve">The UE capable of </w:t>
      </w:r>
      <w:r w:rsidRPr="0018642A">
        <w:rPr>
          <w:i/>
          <w:iCs/>
        </w:rPr>
        <w:t xml:space="preserve"> additionalPathsExtSupport-r17</w:t>
      </w:r>
      <w:r w:rsidRPr="0018642A">
        <w:rPr>
          <w:lang w:val="en-US" w:eastAsia="ja-JP"/>
        </w:rPr>
        <w:t xml:space="preserve"> can report the timing of up to its supported number of additional paths with respect to the path timing determining the UE Rx-Tx measurement.</w:t>
      </w:r>
    </w:p>
    <w:p w14:paraId="5397EC67" w14:textId="2639FCBC" w:rsidR="00777EC6" w:rsidRDefault="00777EC6" w:rsidP="00777EC6">
      <w:pPr>
        <w:rPr>
          <w:lang w:val="en-US" w:eastAsia="ja-JP"/>
        </w:rPr>
      </w:pPr>
      <w:r w:rsidRPr="00DE253F">
        <w:rPr>
          <w:lang w:val="en-US" w:eastAsia="ja-JP"/>
        </w:rPr>
        <w:t>The report mapping</w:t>
      </w:r>
      <w:r>
        <w:rPr>
          <w:lang w:val="en-US" w:eastAsia="ja-JP"/>
        </w:rPr>
        <w:t>s</w:t>
      </w:r>
      <w:r w:rsidRPr="00DE253F">
        <w:rPr>
          <w:lang w:val="en-US" w:eastAsia="ja-JP"/>
        </w:rPr>
        <w:t xml:space="preserve"> for different </w:t>
      </w:r>
      <w:r w:rsidRPr="00DE253F">
        <w:rPr>
          <w:i/>
          <w:iCs/>
          <w:lang w:val="en-US" w:eastAsia="ja-JP"/>
        </w:rPr>
        <w:t>k</w:t>
      </w:r>
      <w:r w:rsidRPr="00DE253F">
        <w:rPr>
          <w:lang w:val="en-US" w:eastAsia="ja-JP"/>
        </w:rPr>
        <w:t xml:space="preserve"> values are specified in Tables 10.1.2</w:t>
      </w:r>
      <w:r>
        <w:rPr>
          <w:lang w:val="en-US" w:eastAsia="ja-JP"/>
        </w:rPr>
        <w:t>5</w:t>
      </w:r>
      <w:r w:rsidRPr="00DE253F">
        <w:rPr>
          <w:lang w:val="en-US" w:eastAsia="ja-JP"/>
        </w:rPr>
        <w:t>.3.</w:t>
      </w:r>
      <w:r>
        <w:rPr>
          <w:lang w:val="en-US" w:eastAsia="ja-JP"/>
        </w:rPr>
        <w:t>3</w:t>
      </w:r>
      <w:r w:rsidRPr="00DE253F">
        <w:rPr>
          <w:lang w:val="en-US" w:eastAsia="ja-JP"/>
        </w:rPr>
        <w:t xml:space="preserve">-1 </w:t>
      </w:r>
      <w:r w:rsidRPr="00DE253F">
        <w:rPr>
          <w:lang w:val="en-US" w:eastAsia="ja-JP"/>
        </w:rPr>
        <w:sym w:font="Symbol" w:char="F02D"/>
      </w:r>
      <w:r w:rsidRPr="00DE253F">
        <w:rPr>
          <w:lang w:val="en-US" w:eastAsia="ja-JP"/>
        </w:rPr>
        <w:t xml:space="preserve"> 10.1.2</w:t>
      </w:r>
      <w:r>
        <w:rPr>
          <w:lang w:val="en-US" w:eastAsia="ja-JP"/>
        </w:rPr>
        <w:t>5</w:t>
      </w:r>
      <w:r w:rsidRPr="00DE253F">
        <w:rPr>
          <w:lang w:val="en-US" w:eastAsia="ja-JP"/>
        </w:rPr>
        <w:t>.3.</w:t>
      </w:r>
      <w:r>
        <w:rPr>
          <w:lang w:val="en-US" w:eastAsia="ja-JP"/>
        </w:rPr>
        <w:t>3</w:t>
      </w:r>
      <w:r w:rsidRPr="00DE253F">
        <w:rPr>
          <w:lang w:val="en-US" w:eastAsia="ja-JP"/>
        </w:rPr>
        <w:t>-6.</w:t>
      </w:r>
    </w:p>
    <w:p w14:paraId="06552016" w14:textId="77777777" w:rsidR="00777EC6" w:rsidRDefault="00777EC6" w:rsidP="002F5786">
      <w:pPr>
        <w:pStyle w:val="TH"/>
      </w:pPr>
      <w:r w:rsidRPr="00DE253F">
        <w:t xml:space="preserve">Table </w:t>
      </w:r>
      <w:r>
        <w:t>10.1.25.3.3-1</w:t>
      </w:r>
      <w:r w:rsidRPr="00DE253F">
        <w:t xml:space="preserve">: </w:t>
      </w:r>
      <w:r>
        <w:t xml:space="preserve">Report mapping for </w:t>
      </w:r>
      <w:r w:rsidRPr="00DE253F">
        <w:rPr>
          <w:i/>
          <w:iCs/>
        </w:rPr>
        <w:t>k</w:t>
      </w:r>
      <w:r>
        <w:t>=0</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777EC6" w:rsidRPr="002A78AE" w14:paraId="52DFAA07" w14:textId="77777777" w:rsidTr="00051ED3">
        <w:trPr>
          <w:cantSplit/>
          <w:trHeight w:val="315"/>
        </w:trPr>
        <w:tc>
          <w:tcPr>
            <w:tcW w:w="2693" w:type="dxa"/>
            <w:vMerge w:val="restart"/>
            <w:vAlign w:val="center"/>
          </w:tcPr>
          <w:p w14:paraId="0ABC985A" w14:textId="77777777" w:rsidR="00777EC6" w:rsidRPr="002A78AE" w:rsidRDefault="00777EC6" w:rsidP="00DA29A5">
            <w:pPr>
              <w:pStyle w:val="TAH"/>
            </w:pPr>
            <w:r w:rsidRPr="002A78AE">
              <w:t>Reported Quantity Value</w:t>
            </w:r>
            <w:r>
              <w:t>,</w:t>
            </w:r>
          </w:p>
          <w:p w14:paraId="002D7C8E" w14:textId="77777777" w:rsidR="00777EC6" w:rsidRPr="002A78AE" w:rsidRDefault="00777EC6" w:rsidP="002F5786">
            <w:pPr>
              <w:pStyle w:val="TAH"/>
            </w:pPr>
            <w:r>
              <w:t>path</w:t>
            </w:r>
            <w:r w:rsidRPr="002A78AE">
              <w:t>_i</w:t>
            </w:r>
          </w:p>
        </w:tc>
        <w:tc>
          <w:tcPr>
            <w:tcW w:w="2694" w:type="dxa"/>
            <w:vMerge w:val="restart"/>
            <w:vAlign w:val="center"/>
          </w:tcPr>
          <w:p w14:paraId="6C100E7A" w14:textId="77777777" w:rsidR="00777EC6" w:rsidRDefault="00777EC6" w:rsidP="00DA29A5">
            <w:pPr>
              <w:pStyle w:val="TAH"/>
            </w:pPr>
            <w:r w:rsidRPr="002A78AE">
              <w:t>Measured Quantity Value</w:t>
            </w:r>
            <w:r>
              <w:t>,</w:t>
            </w:r>
          </w:p>
          <w:p w14:paraId="3F0855AF" w14:textId="77777777" w:rsidR="00777EC6" w:rsidRPr="002A78AE" w:rsidRDefault="00777EC6" w:rsidP="00DA29A5">
            <w:pPr>
              <w:pStyle w:val="TAH"/>
            </w:pPr>
            <w:r>
              <w:sym w:font="Symbol" w:char="F044"/>
            </w:r>
            <w:r>
              <w:t>path</w:t>
            </w:r>
          </w:p>
        </w:tc>
        <w:tc>
          <w:tcPr>
            <w:tcW w:w="567" w:type="dxa"/>
            <w:vMerge w:val="restart"/>
            <w:vAlign w:val="center"/>
          </w:tcPr>
          <w:p w14:paraId="3DCBEA13" w14:textId="77777777" w:rsidR="00777EC6" w:rsidRPr="002A78AE" w:rsidRDefault="00777EC6" w:rsidP="00DA29A5">
            <w:pPr>
              <w:pStyle w:val="TAH"/>
            </w:pPr>
            <w:r w:rsidRPr="002A78AE">
              <w:t>Unit</w:t>
            </w:r>
          </w:p>
        </w:tc>
      </w:tr>
      <w:tr w:rsidR="00777EC6" w:rsidRPr="002A78AE" w14:paraId="5D97020C" w14:textId="77777777" w:rsidTr="00051ED3">
        <w:trPr>
          <w:cantSplit/>
          <w:trHeight w:val="207"/>
        </w:trPr>
        <w:tc>
          <w:tcPr>
            <w:tcW w:w="2693" w:type="dxa"/>
            <w:vMerge/>
            <w:vAlign w:val="center"/>
          </w:tcPr>
          <w:p w14:paraId="698AA130" w14:textId="77777777" w:rsidR="00777EC6" w:rsidRPr="002A78AE" w:rsidRDefault="00777EC6" w:rsidP="00DA29A5">
            <w:pPr>
              <w:pStyle w:val="TAH"/>
            </w:pPr>
          </w:p>
        </w:tc>
        <w:tc>
          <w:tcPr>
            <w:tcW w:w="2694" w:type="dxa"/>
            <w:vMerge/>
            <w:vAlign w:val="center"/>
          </w:tcPr>
          <w:p w14:paraId="065695B1" w14:textId="77777777" w:rsidR="00777EC6" w:rsidRPr="002A78AE" w:rsidRDefault="00777EC6" w:rsidP="00DA29A5">
            <w:pPr>
              <w:pStyle w:val="TAH"/>
            </w:pPr>
          </w:p>
        </w:tc>
        <w:tc>
          <w:tcPr>
            <w:tcW w:w="567" w:type="dxa"/>
            <w:vMerge/>
            <w:vAlign w:val="center"/>
          </w:tcPr>
          <w:p w14:paraId="42B96651" w14:textId="77777777" w:rsidR="00777EC6" w:rsidRPr="002A78AE" w:rsidRDefault="00777EC6" w:rsidP="00DA29A5">
            <w:pPr>
              <w:pStyle w:val="TAH"/>
            </w:pPr>
          </w:p>
        </w:tc>
      </w:tr>
      <w:tr w:rsidR="00777EC6" w:rsidRPr="002A78AE" w14:paraId="096562D5" w14:textId="77777777" w:rsidTr="00051ED3">
        <w:trPr>
          <w:cantSplit/>
        </w:trPr>
        <w:tc>
          <w:tcPr>
            <w:tcW w:w="2693" w:type="dxa"/>
          </w:tcPr>
          <w:p w14:paraId="05367149" w14:textId="77777777" w:rsidR="00777EC6" w:rsidRPr="002A78AE" w:rsidRDefault="00777EC6" w:rsidP="00DA29A5">
            <w:pPr>
              <w:pStyle w:val="TAC"/>
            </w:pPr>
            <w:r>
              <w:rPr>
                <w:lang w:eastAsia="zh-CN"/>
              </w:rPr>
              <w:t>path</w:t>
            </w:r>
            <w:r w:rsidRPr="002A78AE">
              <w:t>_000</w:t>
            </w:r>
            <w:r>
              <w:t>0</w:t>
            </w:r>
            <w:r w:rsidRPr="002A78AE">
              <w:t>0</w:t>
            </w:r>
          </w:p>
        </w:tc>
        <w:tc>
          <w:tcPr>
            <w:tcW w:w="2694" w:type="dxa"/>
          </w:tcPr>
          <w:p w14:paraId="14A4B8B7" w14:textId="77777777" w:rsidR="00777EC6" w:rsidRPr="002A78AE" w:rsidRDefault="00777EC6" w:rsidP="00DA29A5">
            <w:pPr>
              <w:pStyle w:val="TAC"/>
            </w:pPr>
            <w:r>
              <w:sym w:font="Symbol" w:char="F044"/>
            </w:r>
            <w:r>
              <w:t>path</w:t>
            </w:r>
            <w:r w:rsidRPr="002A78AE">
              <w:rPr>
                <w:lang w:eastAsia="zh-CN"/>
              </w:rPr>
              <w:t xml:space="preserve"> &lt; -</w:t>
            </w:r>
            <w:r>
              <w:rPr>
                <w:lang w:eastAsia="zh-CN"/>
              </w:rPr>
              <w:t>8175</w:t>
            </w:r>
          </w:p>
        </w:tc>
        <w:tc>
          <w:tcPr>
            <w:tcW w:w="567" w:type="dxa"/>
          </w:tcPr>
          <w:p w14:paraId="0E4F0AFE" w14:textId="77777777" w:rsidR="00777EC6" w:rsidRPr="002A78AE" w:rsidRDefault="00777EC6" w:rsidP="002F5786">
            <w:pPr>
              <w:pStyle w:val="TAC"/>
            </w:pPr>
            <w:r w:rsidRPr="002A78AE">
              <w:t>T</w:t>
            </w:r>
            <w:r w:rsidRPr="002A78AE">
              <w:rPr>
                <w:vertAlign w:val="subscript"/>
              </w:rPr>
              <w:t>c</w:t>
            </w:r>
          </w:p>
        </w:tc>
      </w:tr>
      <w:tr w:rsidR="00777EC6" w:rsidRPr="002A78AE" w14:paraId="2D8BD122" w14:textId="77777777" w:rsidTr="00051ED3">
        <w:trPr>
          <w:cantSplit/>
        </w:trPr>
        <w:tc>
          <w:tcPr>
            <w:tcW w:w="2693" w:type="dxa"/>
          </w:tcPr>
          <w:p w14:paraId="118D2D78" w14:textId="77777777" w:rsidR="00777EC6" w:rsidRPr="002A78AE" w:rsidRDefault="00777EC6" w:rsidP="00DA29A5">
            <w:pPr>
              <w:pStyle w:val="TAC"/>
            </w:pPr>
            <w:r>
              <w:rPr>
                <w:lang w:eastAsia="zh-CN"/>
              </w:rPr>
              <w:t>path</w:t>
            </w:r>
            <w:r w:rsidRPr="002A78AE">
              <w:t>_000</w:t>
            </w:r>
            <w:r>
              <w:t>0</w:t>
            </w:r>
            <w:r w:rsidRPr="002A78AE">
              <w:t>1</w:t>
            </w:r>
          </w:p>
        </w:tc>
        <w:tc>
          <w:tcPr>
            <w:tcW w:w="2694" w:type="dxa"/>
          </w:tcPr>
          <w:p w14:paraId="70160EE3" w14:textId="77777777" w:rsidR="00777EC6" w:rsidRPr="002A78AE" w:rsidRDefault="00777EC6" w:rsidP="00DA29A5">
            <w:pPr>
              <w:pStyle w:val="TAC"/>
            </w:pPr>
            <w:r w:rsidRPr="002A78AE">
              <w:rPr>
                <w:lang w:eastAsia="zh-CN"/>
              </w:rPr>
              <w:t>-</w:t>
            </w:r>
            <w:r>
              <w:rPr>
                <w:lang w:eastAsia="zh-CN"/>
              </w:rPr>
              <w:t>8175</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8174</w:t>
            </w:r>
          </w:p>
        </w:tc>
        <w:tc>
          <w:tcPr>
            <w:tcW w:w="567" w:type="dxa"/>
          </w:tcPr>
          <w:p w14:paraId="19460072" w14:textId="77777777" w:rsidR="00777EC6" w:rsidRPr="002A78AE" w:rsidRDefault="00777EC6" w:rsidP="002F5786">
            <w:pPr>
              <w:pStyle w:val="TAC"/>
            </w:pPr>
            <w:r w:rsidRPr="002A78AE">
              <w:t>T</w:t>
            </w:r>
            <w:r w:rsidRPr="002A78AE">
              <w:rPr>
                <w:vertAlign w:val="subscript"/>
              </w:rPr>
              <w:t>c</w:t>
            </w:r>
          </w:p>
        </w:tc>
      </w:tr>
      <w:tr w:rsidR="00777EC6" w:rsidRPr="002A78AE" w14:paraId="54E3976D" w14:textId="77777777" w:rsidTr="00051ED3">
        <w:trPr>
          <w:cantSplit/>
        </w:trPr>
        <w:tc>
          <w:tcPr>
            <w:tcW w:w="2693" w:type="dxa"/>
          </w:tcPr>
          <w:p w14:paraId="67E2D646" w14:textId="77777777" w:rsidR="00777EC6" w:rsidRPr="002A78AE" w:rsidRDefault="00777EC6" w:rsidP="00DA29A5">
            <w:pPr>
              <w:pStyle w:val="TAC"/>
            </w:pPr>
            <w:r>
              <w:rPr>
                <w:lang w:eastAsia="zh-CN"/>
              </w:rPr>
              <w:t>path</w:t>
            </w:r>
            <w:r w:rsidRPr="002A78AE">
              <w:t>_000</w:t>
            </w:r>
            <w:r>
              <w:t>0</w:t>
            </w:r>
            <w:r w:rsidRPr="002A78AE">
              <w:t>2</w:t>
            </w:r>
          </w:p>
        </w:tc>
        <w:tc>
          <w:tcPr>
            <w:tcW w:w="2694" w:type="dxa"/>
          </w:tcPr>
          <w:p w14:paraId="04431BDE" w14:textId="77777777" w:rsidR="00777EC6" w:rsidRPr="002A78AE" w:rsidRDefault="00777EC6" w:rsidP="00DA29A5">
            <w:pPr>
              <w:pStyle w:val="TAC"/>
            </w:pPr>
            <w:r w:rsidRPr="002A78AE">
              <w:rPr>
                <w:lang w:eastAsia="zh-CN"/>
              </w:rPr>
              <w:t>-</w:t>
            </w:r>
            <w:r>
              <w:rPr>
                <w:lang w:eastAsia="zh-CN"/>
              </w:rPr>
              <w:t>8174</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8173</w:t>
            </w:r>
          </w:p>
        </w:tc>
        <w:tc>
          <w:tcPr>
            <w:tcW w:w="567" w:type="dxa"/>
          </w:tcPr>
          <w:p w14:paraId="1D90BE5C" w14:textId="77777777" w:rsidR="00777EC6" w:rsidRPr="002A78AE" w:rsidRDefault="00777EC6" w:rsidP="00DA29A5">
            <w:pPr>
              <w:pStyle w:val="TAC"/>
            </w:pPr>
            <w:r w:rsidRPr="002A78AE">
              <w:t>T</w:t>
            </w:r>
            <w:r w:rsidRPr="002A78AE">
              <w:rPr>
                <w:vertAlign w:val="subscript"/>
              </w:rPr>
              <w:t>c</w:t>
            </w:r>
          </w:p>
        </w:tc>
      </w:tr>
      <w:tr w:rsidR="00777EC6" w:rsidRPr="002A78AE" w14:paraId="6FA33993" w14:textId="77777777" w:rsidTr="00051ED3">
        <w:trPr>
          <w:cantSplit/>
        </w:trPr>
        <w:tc>
          <w:tcPr>
            <w:tcW w:w="2693" w:type="dxa"/>
          </w:tcPr>
          <w:p w14:paraId="3A351FCB" w14:textId="77777777" w:rsidR="00777EC6" w:rsidRPr="002A78AE" w:rsidRDefault="00777EC6" w:rsidP="00DA29A5">
            <w:pPr>
              <w:pStyle w:val="TAC"/>
            </w:pPr>
            <w:r w:rsidRPr="002A78AE">
              <w:sym w:font="Symbol" w:char="F0BC"/>
            </w:r>
          </w:p>
        </w:tc>
        <w:tc>
          <w:tcPr>
            <w:tcW w:w="2694" w:type="dxa"/>
          </w:tcPr>
          <w:p w14:paraId="23117781" w14:textId="77777777" w:rsidR="00777EC6" w:rsidRPr="002A78AE" w:rsidRDefault="00777EC6" w:rsidP="00DA29A5">
            <w:pPr>
              <w:pStyle w:val="TAC"/>
            </w:pPr>
            <w:r w:rsidRPr="002A78AE">
              <w:sym w:font="Symbol" w:char="F0BC"/>
            </w:r>
          </w:p>
        </w:tc>
        <w:tc>
          <w:tcPr>
            <w:tcW w:w="567" w:type="dxa"/>
          </w:tcPr>
          <w:p w14:paraId="702251A6" w14:textId="77777777" w:rsidR="00777EC6" w:rsidRPr="002A78AE" w:rsidRDefault="00777EC6" w:rsidP="00DA29A5">
            <w:pPr>
              <w:pStyle w:val="TAC"/>
            </w:pPr>
            <w:r w:rsidRPr="002A78AE">
              <w:t>…</w:t>
            </w:r>
          </w:p>
        </w:tc>
      </w:tr>
      <w:tr w:rsidR="00777EC6" w:rsidRPr="002A78AE" w14:paraId="2888D5C6" w14:textId="77777777" w:rsidTr="00051ED3">
        <w:trPr>
          <w:cantSplit/>
        </w:trPr>
        <w:tc>
          <w:tcPr>
            <w:tcW w:w="2693" w:type="dxa"/>
          </w:tcPr>
          <w:p w14:paraId="63E4A85F" w14:textId="77777777" w:rsidR="00777EC6" w:rsidRPr="002A78AE" w:rsidRDefault="00777EC6" w:rsidP="00DA29A5">
            <w:pPr>
              <w:pStyle w:val="TAC"/>
            </w:pPr>
            <w:r>
              <w:rPr>
                <w:lang w:eastAsia="zh-CN"/>
              </w:rPr>
              <w:t>path</w:t>
            </w:r>
            <w:r w:rsidRPr="002A78AE">
              <w:rPr>
                <w:lang w:eastAsia="zh-CN"/>
              </w:rPr>
              <w:t>_</w:t>
            </w:r>
            <w:r>
              <w:rPr>
                <w:lang w:eastAsia="zh-CN"/>
              </w:rPr>
              <w:t>08175</w:t>
            </w:r>
          </w:p>
        </w:tc>
        <w:tc>
          <w:tcPr>
            <w:tcW w:w="2694" w:type="dxa"/>
          </w:tcPr>
          <w:p w14:paraId="561C3AF9" w14:textId="77777777" w:rsidR="00777EC6" w:rsidRPr="002A78AE" w:rsidRDefault="00777EC6" w:rsidP="00DA29A5">
            <w:pPr>
              <w:pStyle w:val="TAC"/>
            </w:pPr>
            <w:r w:rsidRPr="002A78AE">
              <w:rPr>
                <w:lang w:eastAsia="zh-CN"/>
              </w:rPr>
              <w:t>-1</w:t>
            </w:r>
            <w:r w:rsidRPr="002A78AE">
              <w:t xml:space="preserve"> </w:t>
            </w:r>
            <w:r w:rsidRPr="002A78AE">
              <w:sym w:font="Symbol" w:char="F0A3"/>
            </w:r>
            <w:r w:rsidRPr="002A78AE">
              <w:t xml:space="preserve"> </w:t>
            </w:r>
            <w:r>
              <w:sym w:font="Symbol" w:char="F044"/>
            </w:r>
            <w:r>
              <w:t>path</w:t>
            </w:r>
            <w:r w:rsidRPr="002A78AE">
              <w:t xml:space="preserve"> &lt; </w:t>
            </w:r>
            <w:r w:rsidRPr="002A78AE">
              <w:rPr>
                <w:lang w:eastAsia="zh-CN"/>
              </w:rPr>
              <w:t>0</w:t>
            </w:r>
          </w:p>
        </w:tc>
        <w:tc>
          <w:tcPr>
            <w:tcW w:w="567" w:type="dxa"/>
          </w:tcPr>
          <w:p w14:paraId="140F42F8" w14:textId="77777777" w:rsidR="00777EC6" w:rsidRPr="002A78AE" w:rsidRDefault="00777EC6" w:rsidP="002F5786">
            <w:pPr>
              <w:pStyle w:val="TAC"/>
            </w:pPr>
            <w:r w:rsidRPr="002A78AE">
              <w:t>T</w:t>
            </w:r>
            <w:r w:rsidRPr="002A78AE">
              <w:rPr>
                <w:vertAlign w:val="subscript"/>
              </w:rPr>
              <w:t>c</w:t>
            </w:r>
          </w:p>
        </w:tc>
      </w:tr>
      <w:tr w:rsidR="00777EC6" w:rsidRPr="002A78AE" w14:paraId="12F3DA0A" w14:textId="77777777" w:rsidTr="00051ED3">
        <w:trPr>
          <w:cantSplit/>
        </w:trPr>
        <w:tc>
          <w:tcPr>
            <w:tcW w:w="2693" w:type="dxa"/>
          </w:tcPr>
          <w:p w14:paraId="247DD0D1" w14:textId="77777777" w:rsidR="00777EC6" w:rsidRPr="002A78AE" w:rsidRDefault="00777EC6" w:rsidP="00DA29A5">
            <w:pPr>
              <w:pStyle w:val="TAC"/>
            </w:pPr>
            <w:r>
              <w:rPr>
                <w:lang w:eastAsia="zh-CN"/>
              </w:rPr>
              <w:t>path</w:t>
            </w:r>
            <w:r w:rsidRPr="002A78AE">
              <w:rPr>
                <w:lang w:eastAsia="zh-CN"/>
              </w:rPr>
              <w:t>_</w:t>
            </w:r>
            <w:r>
              <w:rPr>
                <w:lang w:eastAsia="zh-CN"/>
              </w:rPr>
              <w:t>08176</w:t>
            </w:r>
          </w:p>
        </w:tc>
        <w:tc>
          <w:tcPr>
            <w:tcW w:w="2694" w:type="dxa"/>
          </w:tcPr>
          <w:p w14:paraId="09C0AB22" w14:textId="77777777" w:rsidR="00777EC6" w:rsidRPr="002A78AE" w:rsidRDefault="00777EC6" w:rsidP="00DA29A5">
            <w:pPr>
              <w:pStyle w:val="TAC"/>
            </w:pPr>
            <w:r w:rsidRPr="002A78AE">
              <w:rPr>
                <w:lang w:eastAsia="zh-CN"/>
              </w:rPr>
              <w:t>0</w:t>
            </w:r>
            <w:r w:rsidRPr="002A78AE">
              <w:t xml:space="preserve"> </w:t>
            </w:r>
            <w:r w:rsidRPr="002A78AE">
              <w:sym w:font="Symbol" w:char="F0A3"/>
            </w:r>
            <w:r w:rsidRPr="002A78AE">
              <w:t xml:space="preserve"> </w:t>
            </w:r>
            <w:r>
              <w:sym w:font="Symbol" w:char="F044"/>
            </w:r>
            <w:r>
              <w:t>path</w:t>
            </w:r>
            <w:r w:rsidRPr="002A78AE">
              <w:t xml:space="preserve"> &lt; </w:t>
            </w:r>
            <w:r w:rsidRPr="002A78AE">
              <w:rPr>
                <w:lang w:eastAsia="zh-CN"/>
              </w:rPr>
              <w:t>1</w:t>
            </w:r>
          </w:p>
        </w:tc>
        <w:tc>
          <w:tcPr>
            <w:tcW w:w="567" w:type="dxa"/>
          </w:tcPr>
          <w:p w14:paraId="3F71FC96" w14:textId="77777777" w:rsidR="00777EC6" w:rsidRPr="002A78AE" w:rsidRDefault="00777EC6" w:rsidP="002F5786">
            <w:pPr>
              <w:pStyle w:val="TAC"/>
            </w:pPr>
            <w:r w:rsidRPr="002A78AE">
              <w:t>T</w:t>
            </w:r>
            <w:r w:rsidRPr="002A78AE">
              <w:rPr>
                <w:vertAlign w:val="subscript"/>
              </w:rPr>
              <w:t>c</w:t>
            </w:r>
          </w:p>
        </w:tc>
      </w:tr>
      <w:tr w:rsidR="00777EC6" w:rsidRPr="002A78AE" w14:paraId="3909FC19"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000796A" w14:textId="77777777" w:rsidR="00777EC6" w:rsidRPr="002A78AE" w:rsidRDefault="00777EC6" w:rsidP="00DA29A5">
            <w:pPr>
              <w:pStyle w:val="TAC"/>
            </w:pPr>
            <w:r w:rsidRPr="002A78AE">
              <w:rPr>
                <w:lang w:eastAsia="zh-CN"/>
              </w:rPr>
              <w:t>…</w:t>
            </w:r>
          </w:p>
        </w:tc>
        <w:tc>
          <w:tcPr>
            <w:tcW w:w="2694" w:type="dxa"/>
            <w:tcBorders>
              <w:top w:val="single" w:sz="4" w:space="0" w:color="auto"/>
              <w:left w:val="single" w:sz="4" w:space="0" w:color="auto"/>
              <w:bottom w:val="single" w:sz="4" w:space="0" w:color="auto"/>
            </w:tcBorders>
          </w:tcPr>
          <w:p w14:paraId="1D3EB1CD" w14:textId="77777777" w:rsidR="00777EC6" w:rsidRPr="002A78AE" w:rsidRDefault="00777EC6" w:rsidP="00DA29A5">
            <w:pPr>
              <w:pStyle w:val="TAC"/>
            </w:pPr>
            <w:r w:rsidRPr="002A78AE">
              <w:rPr>
                <w:lang w:eastAsia="zh-CN"/>
              </w:rPr>
              <w:t>…</w:t>
            </w:r>
          </w:p>
        </w:tc>
        <w:tc>
          <w:tcPr>
            <w:tcW w:w="567" w:type="dxa"/>
            <w:tcBorders>
              <w:top w:val="single" w:sz="4" w:space="0" w:color="auto"/>
              <w:bottom w:val="single" w:sz="4" w:space="0" w:color="auto"/>
              <w:right w:val="single" w:sz="4" w:space="0" w:color="auto"/>
            </w:tcBorders>
          </w:tcPr>
          <w:p w14:paraId="0937B43B" w14:textId="77777777" w:rsidR="00777EC6" w:rsidRPr="002A78AE" w:rsidRDefault="00777EC6" w:rsidP="00DA29A5">
            <w:pPr>
              <w:pStyle w:val="TAC"/>
            </w:pPr>
            <w:r w:rsidRPr="002A78AE">
              <w:t>…</w:t>
            </w:r>
          </w:p>
        </w:tc>
      </w:tr>
      <w:tr w:rsidR="00777EC6" w:rsidRPr="002A78AE" w14:paraId="68C42ADD"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F191B8E" w14:textId="77777777" w:rsidR="00777EC6" w:rsidRPr="002A78AE" w:rsidRDefault="00777EC6" w:rsidP="00DA29A5">
            <w:pPr>
              <w:pStyle w:val="TAC"/>
            </w:pPr>
            <w:r>
              <w:rPr>
                <w:lang w:eastAsia="zh-CN"/>
              </w:rPr>
              <w:t>path</w:t>
            </w:r>
            <w:r w:rsidRPr="002A78AE">
              <w:rPr>
                <w:lang w:eastAsia="zh-CN"/>
              </w:rPr>
              <w:t>_</w:t>
            </w:r>
            <w:r>
              <w:t xml:space="preserve"> </w:t>
            </w:r>
            <w:r w:rsidRPr="00615863">
              <w:rPr>
                <w:lang w:eastAsia="zh-CN"/>
              </w:rPr>
              <w:t>16349</w:t>
            </w:r>
          </w:p>
        </w:tc>
        <w:tc>
          <w:tcPr>
            <w:tcW w:w="2694" w:type="dxa"/>
            <w:tcBorders>
              <w:top w:val="single" w:sz="4" w:space="0" w:color="auto"/>
              <w:left w:val="single" w:sz="4" w:space="0" w:color="auto"/>
              <w:bottom w:val="single" w:sz="4" w:space="0" w:color="auto"/>
            </w:tcBorders>
          </w:tcPr>
          <w:p w14:paraId="1142F393" w14:textId="77777777" w:rsidR="00777EC6" w:rsidRPr="002A78AE" w:rsidRDefault="00777EC6" w:rsidP="00DA29A5">
            <w:pPr>
              <w:pStyle w:val="TAC"/>
            </w:pPr>
            <w:r>
              <w:rPr>
                <w:lang w:eastAsia="zh-CN"/>
              </w:rPr>
              <w:t>8173</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8174</w:t>
            </w:r>
          </w:p>
        </w:tc>
        <w:tc>
          <w:tcPr>
            <w:tcW w:w="567" w:type="dxa"/>
            <w:tcBorders>
              <w:top w:val="single" w:sz="4" w:space="0" w:color="auto"/>
              <w:bottom w:val="single" w:sz="4" w:space="0" w:color="auto"/>
              <w:right w:val="single" w:sz="4" w:space="0" w:color="auto"/>
            </w:tcBorders>
          </w:tcPr>
          <w:p w14:paraId="508711D6" w14:textId="77777777" w:rsidR="00777EC6" w:rsidRPr="002A78AE" w:rsidRDefault="00777EC6" w:rsidP="002F5786">
            <w:pPr>
              <w:pStyle w:val="TAC"/>
            </w:pPr>
            <w:r w:rsidRPr="002A78AE">
              <w:t>T</w:t>
            </w:r>
            <w:r w:rsidRPr="002A78AE">
              <w:rPr>
                <w:vertAlign w:val="subscript"/>
              </w:rPr>
              <w:t>c</w:t>
            </w:r>
          </w:p>
        </w:tc>
      </w:tr>
      <w:tr w:rsidR="00777EC6" w:rsidRPr="002A78AE" w14:paraId="34BD9961"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8AD3E3F" w14:textId="77777777" w:rsidR="00777EC6" w:rsidRPr="002A78AE" w:rsidRDefault="00777EC6" w:rsidP="00DA29A5">
            <w:pPr>
              <w:pStyle w:val="TAC"/>
            </w:pPr>
            <w:r>
              <w:rPr>
                <w:lang w:eastAsia="zh-CN"/>
              </w:rPr>
              <w:t>path</w:t>
            </w:r>
            <w:r w:rsidRPr="002A78AE">
              <w:rPr>
                <w:lang w:eastAsia="zh-CN"/>
              </w:rPr>
              <w:t>_</w:t>
            </w:r>
            <w:r>
              <w:t xml:space="preserve"> </w:t>
            </w:r>
            <w:r w:rsidRPr="00615863">
              <w:rPr>
                <w:lang w:eastAsia="zh-CN"/>
              </w:rPr>
              <w:t>163</w:t>
            </w:r>
            <w:r>
              <w:rPr>
                <w:lang w:eastAsia="zh-CN"/>
              </w:rPr>
              <w:t>50</w:t>
            </w:r>
          </w:p>
        </w:tc>
        <w:tc>
          <w:tcPr>
            <w:tcW w:w="2694" w:type="dxa"/>
            <w:tcBorders>
              <w:top w:val="single" w:sz="4" w:space="0" w:color="auto"/>
              <w:left w:val="single" w:sz="4" w:space="0" w:color="auto"/>
              <w:bottom w:val="single" w:sz="4" w:space="0" w:color="auto"/>
            </w:tcBorders>
          </w:tcPr>
          <w:p w14:paraId="3939C82F" w14:textId="77777777" w:rsidR="00777EC6" w:rsidRPr="002A78AE" w:rsidRDefault="00777EC6" w:rsidP="00DA29A5">
            <w:pPr>
              <w:pStyle w:val="TAC"/>
            </w:pPr>
            <w:r>
              <w:rPr>
                <w:lang w:eastAsia="zh-CN"/>
              </w:rPr>
              <w:t>8174</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8175</w:t>
            </w:r>
          </w:p>
        </w:tc>
        <w:tc>
          <w:tcPr>
            <w:tcW w:w="567" w:type="dxa"/>
            <w:tcBorders>
              <w:top w:val="single" w:sz="4" w:space="0" w:color="auto"/>
              <w:bottom w:val="single" w:sz="4" w:space="0" w:color="auto"/>
              <w:right w:val="single" w:sz="4" w:space="0" w:color="auto"/>
            </w:tcBorders>
          </w:tcPr>
          <w:p w14:paraId="78C18FFB" w14:textId="77777777" w:rsidR="00777EC6" w:rsidRPr="002A78AE" w:rsidRDefault="00777EC6" w:rsidP="002F5786">
            <w:pPr>
              <w:pStyle w:val="TAC"/>
            </w:pPr>
            <w:r w:rsidRPr="002A78AE">
              <w:t>T</w:t>
            </w:r>
            <w:r w:rsidRPr="002A78AE">
              <w:rPr>
                <w:vertAlign w:val="subscript"/>
              </w:rPr>
              <w:t>c</w:t>
            </w:r>
          </w:p>
        </w:tc>
      </w:tr>
      <w:tr w:rsidR="00777EC6" w:rsidRPr="002A78AE" w14:paraId="18C04902"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8B1E831" w14:textId="77777777" w:rsidR="00777EC6" w:rsidRPr="002A78AE" w:rsidRDefault="00777EC6" w:rsidP="00DA29A5">
            <w:pPr>
              <w:pStyle w:val="TAC"/>
            </w:pPr>
            <w:r>
              <w:rPr>
                <w:lang w:eastAsia="zh-CN"/>
              </w:rPr>
              <w:t>path</w:t>
            </w:r>
            <w:r w:rsidRPr="002A78AE">
              <w:rPr>
                <w:lang w:eastAsia="zh-CN"/>
              </w:rPr>
              <w:t>_</w:t>
            </w:r>
            <w:r>
              <w:t xml:space="preserve"> </w:t>
            </w:r>
            <w:r w:rsidRPr="00615863">
              <w:rPr>
                <w:lang w:eastAsia="zh-CN"/>
              </w:rPr>
              <w:t>163</w:t>
            </w:r>
            <w:r>
              <w:rPr>
                <w:lang w:eastAsia="zh-CN"/>
              </w:rPr>
              <w:t>51</w:t>
            </w:r>
          </w:p>
        </w:tc>
        <w:tc>
          <w:tcPr>
            <w:tcW w:w="2694" w:type="dxa"/>
            <w:tcBorders>
              <w:top w:val="single" w:sz="4" w:space="0" w:color="auto"/>
              <w:left w:val="single" w:sz="4" w:space="0" w:color="auto"/>
              <w:bottom w:val="single" w:sz="4" w:space="0" w:color="auto"/>
            </w:tcBorders>
          </w:tcPr>
          <w:p w14:paraId="0C25845C" w14:textId="77777777" w:rsidR="00777EC6" w:rsidRPr="002A78AE" w:rsidRDefault="00777EC6" w:rsidP="00DA29A5">
            <w:pPr>
              <w:pStyle w:val="TAC"/>
            </w:pPr>
            <w:r>
              <w:rPr>
                <w:lang w:eastAsia="zh-CN"/>
              </w:rPr>
              <w:t>8175</w:t>
            </w:r>
            <w:r w:rsidRPr="002A78AE">
              <w:rPr>
                <w:lang w:eastAsia="zh-CN"/>
              </w:rPr>
              <w:t xml:space="preserve"> </w:t>
            </w:r>
            <w:r w:rsidRPr="002A78AE">
              <w:sym w:font="Symbol" w:char="F0A3"/>
            </w:r>
            <w:r w:rsidRPr="002A78AE">
              <w:rPr>
                <w:lang w:eastAsia="zh-CN"/>
              </w:rPr>
              <w:t xml:space="preserve"> </w:t>
            </w:r>
            <w:r>
              <w:sym w:font="Symbol" w:char="F044"/>
            </w:r>
            <w:r>
              <w:t>path</w:t>
            </w:r>
          </w:p>
        </w:tc>
        <w:tc>
          <w:tcPr>
            <w:tcW w:w="567" w:type="dxa"/>
            <w:tcBorders>
              <w:top w:val="single" w:sz="4" w:space="0" w:color="auto"/>
              <w:bottom w:val="single" w:sz="4" w:space="0" w:color="auto"/>
              <w:right w:val="single" w:sz="4" w:space="0" w:color="auto"/>
            </w:tcBorders>
          </w:tcPr>
          <w:p w14:paraId="165367C2" w14:textId="77777777" w:rsidR="00777EC6" w:rsidRPr="002A78AE" w:rsidRDefault="00777EC6" w:rsidP="002F5786">
            <w:pPr>
              <w:pStyle w:val="TAC"/>
            </w:pPr>
            <w:r w:rsidRPr="002A78AE">
              <w:t>T</w:t>
            </w:r>
            <w:r w:rsidRPr="002A78AE">
              <w:rPr>
                <w:vertAlign w:val="subscript"/>
              </w:rPr>
              <w:t>c</w:t>
            </w:r>
          </w:p>
        </w:tc>
      </w:tr>
    </w:tbl>
    <w:p w14:paraId="23BD88CD" w14:textId="77777777" w:rsidR="00777EC6" w:rsidRDefault="00777EC6" w:rsidP="002F5786">
      <w:pPr>
        <w:rPr>
          <w:lang w:val="en-US" w:eastAsia="ja-JP"/>
        </w:rPr>
      </w:pPr>
    </w:p>
    <w:p w14:paraId="3935E75B" w14:textId="77777777" w:rsidR="00777EC6" w:rsidRDefault="00777EC6" w:rsidP="002F5786">
      <w:pPr>
        <w:pStyle w:val="TH"/>
      </w:pPr>
      <w:r w:rsidRPr="00DE253F">
        <w:t xml:space="preserve">Table </w:t>
      </w:r>
      <w:r>
        <w:t>10.1.25.3.3-2</w:t>
      </w:r>
      <w:r w:rsidRPr="00DE253F">
        <w:t xml:space="preserve">: </w:t>
      </w:r>
      <w:r>
        <w:t xml:space="preserve">Report mapping for </w:t>
      </w:r>
      <w:r w:rsidRPr="00DE253F">
        <w:rPr>
          <w:i/>
          <w:iCs/>
        </w:rPr>
        <w:t>k</w:t>
      </w:r>
      <w:r>
        <w:t>=1</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777EC6" w:rsidRPr="002A78AE" w14:paraId="33D0DCD1" w14:textId="77777777" w:rsidTr="00051ED3">
        <w:trPr>
          <w:cantSplit/>
          <w:trHeight w:val="423"/>
        </w:trPr>
        <w:tc>
          <w:tcPr>
            <w:tcW w:w="2693" w:type="dxa"/>
            <w:vAlign w:val="center"/>
          </w:tcPr>
          <w:p w14:paraId="63F96174" w14:textId="77777777" w:rsidR="00777EC6" w:rsidRPr="002A78AE" w:rsidRDefault="00777EC6" w:rsidP="00DA29A5">
            <w:pPr>
              <w:pStyle w:val="TAH"/>
            </w:pPr>
            <w:r w:rsidRPr="002A78AE">
              <w:t>Reported Quantity Value</w:t>
            </w:r>
            <w:r>
              <w:t>,</w:t>
            </w:r>
          </w:p>
          <w:p w14:paraId="711C7F59" w14:textId="77777777" w:rsidR="00777EC6" w:rsidRPr="002A78AE" w:rsidRDefault="00777EC6" w:rsidP="00DA29A5">
            <w:pPr>
              <w:pStyle w:val="TAH"/>
            </w:pPr>
            <w:r>
              <w:t>path</w:t>
            </w:r>
            <w:r w:rsidRPr="002A78AE">
              <w:t>_i</w:t>
            </w:r>
          </w:p>
        </w:tc>
        <w:tc>
          <w:tcPr>
            <w:tcW w:w="2694" w:type="dxa"/>
            <w:vAlign w:val="center"/>
          </w:tcPr>
          <w:p w14:paraId="6D4E5BDC" w14:textId="77777777" w:rsidR="00777EC6" w:rsidRDefault="00777EC6" w:rsidP="00DA29A5">
            <w:pPr>
              <w:pStyle w:val="TAH"/>
            </w:pPr>
            <w:r w:rsidRPr="002A78AE">
              <w:t>Measured Quantity Value</w:t>
            </w:r>
            <w:r>
              <w:t>,</w:t>
            </w:r>
          </w:p>
          <w:p w14:paraId="722701BA" w14:textId="77777777" w:rsidR="00777EC6" w:rsidRPr="002A78AE" w:rsidRDefault="00777EC6" w:rsidP="00DA29A5">
            <w:pPr>
              <w:pStyle w:val="TAH"/>
            </w:pPr>
            <w:r>
              <w:sym w:font="Symbol" w:char="F044"/>
            </w:r>
            <w:r>
              <w:t>path</w:t>
            </w:r>
          </w:p>
        </w:tc>
        <w:tc>
          <w:tcPr>
            <w:tcW w:w="567" w:type="dxa"/>
            <w:vAlign w:val="center"/>
          </w:tcPr>
          <w:p w14:paraId="5D7A31AF" w14:textId="77777777" w:rsidR="00777EC6" w:rsidRPr="002A78AE" w:rsidRDefault="00777EC6" w:rsidP="00DA29A5">
            <w:pPr>
              <w:pStyle w:val="TAH"/>
            </w:pPr>
            <w:r w:rsidRPr="002A78AE">
              <w:t>Unit</w:t>
            </w:r>
          </w:p>
        </w:tc>
      </w:tr>
      <w:tr w:rsidR="00777EC6" w:rsidRPr="002A78AE" w14:paraId="6C40A965" w14:textId="77777777" w:rsidTr="00051ED3">
        <w:trPr>
          <w:cantSplit/>
        </w:trPr>
        <w:tc>
          <w:tcPr>
            <w:tcW w:w="2693" w:type="dxa"/>
          </w:tcPr>
          <w:p w14:paraId="6EB41A63" w14:textId="77777777" w:rsidR="00777EC6" w:rsidRPr="002A78AE" w:rsidRDefault="00777EC6" w:rsidP="00DA29A5">
            <w:pPr>
              <w:pStyle w:val="TAC"/>
            </w:pPr>
            <w:r>
              <w:rPr>
                <w:lang w:eastAsia="zh-CN"/>
              </w:rPr>
              <w:t>path</w:t>
            </w:r>
            <w:r w:rsidRPr="002A78AE">
              <w:t>_0000</w:t>
            </w:r>
          </w:p>
        </w:tc>
        <w:tc>
          <w:tcPr>
            <w:tcW w:w="2694" w:type="dxa"/>
          </w:tcPr>
          <w:p w14:paraId="0E65275A" w14:textId="77777777" w:rsidR="00777EC6" w:rsidRPr="002A78AE" w:rsidRDefault="00777EC6" w:rsidP="00DA29A5">
            <w:pPr>
              <w:pStyle w:val="TAC"/>
            </w:pPr>
            <w:r>
              <w:sym w:font="Symbol" w:char="F044"/>
            </w:r>
            <w:r>
              <w:t>path</w:t>
            </w:r>
            <w:r w:rsidRPr="002A78AE">
              <w:rPr>
                <w:lang w:eastAsia="zh-CN"/>
              </w:rPr>
              <w:t xml:space="preserve"> &lt; -</w:t>
            </w:r>
            <w:r>
              <w:rPr>
                <w:lang w:eastAsia="zh-CN"/>
              </w:rPr>
              <w:t>8175</w:t>
            </w:r>
          </w:p>
        </w:tc>
        <w:tc>
          <w:tcPr>
            <w:tcW w:w="567" w:type="dxa"/>
          </w:tcPr>
          <w:p w14:paraId="59A36403" w14:textId="77777777" w:rsidR="00777EC6" w:rsidRPr="002A78AE" w:rsidRDefault="00777EC6" w:rsidP="002F5786">
            <w:pPr>
              <w:pStyle w:val="TAC"/>
            </w:pPr>
            <w:r w:rsidRPr="002A78AE">
              <w:t>T</w:t>
            </w:r>
            <w:r w:rsidRPr="002A78AE">
              <w:rPr>
                <w:vertAlign w:val="subscript"/>
              </w:rPr>
              <w:t>c</w:t>
            </w:r>
          </w:p>
        </w:tc>
      </w:tr>
      <w:tr w:rsidR="00777EC6" w:rsidRPr="002A78AE" w14:paraId="41DCEDBD" w14:textId="77777777" w:rsidTr="00051ED3">
        <w:trPr>
          <w:cantSplit/>
        </w:trPr>
        <w:tc>
          <w:tcPr>
            <w:tcW w:w="2693" w:type="dxa"/>
          </w:tcPr>
          <w:p w14:paraId="07AF6D86" w14:textId="77777777" w:rsidR="00777EC6" w:rsidRPr="002A78AE" w:rsidRDefault="00777EC6" w:rsidP="00DA29A5">
            <w:pPr>
              <w:pStyle w:val="TAC"/>
            </w:pPr>
            <w:r>
              <w:rPr>
                <w:lang w:eastAsia="zh-CN"/>
              </w:rPr>
              <w:t>path</w:t>
            </w:r>
            <w:r w:rsidRPr="002A78AE">
              <w:t>_0001</w:t>
            </w:r>
          </w:p>
        </w:tc>
        <w:tc>
          <w:tcPr>
            <w:tcW w:w="2694" w:type="dxa"/>
          </w:tcPr>
          <w:p w14:paraId="70095B75" w14:textId="77777777" w:rsidR="00777EC6" w:rsidRPr="002A78AE" w:rsidRDefault="00777EC6" w:rsidP="00DA29A5">
            <w:pPr>
              <w:pStyle w:val="TAC"/>
            </w:pPr>
            <w:r w:rsidRPr="002A78AE">
              <w:rPr>
                <w:lang w:eastAsia="zh-CN"/>
              </w:rPr>
              <w:t>-</w:t>
            </w:r>
            <w:r>
              <w:rPr>
                <w:lang w:eastAsia="zh-CN"/>
              </w:rPr>
              <w:t>8175</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8173</w:t>
            </w:r>
          </w:p>
        </w:tc>
        <w:tc>
          <w:tcPr>
            <w:tcW w:w="567" w:type="dxa"/>
          </w:tcPr>
          <w:p w14:paraId="32069708" w14:textId="77777777" w:rsidR="00777EC6" w:rsidRPr="002A78AE" w:rsidRDefault="00777EC6" w:rsidP="002F5786">
            <w:pPr>
              <w:pStyle w:val="TAC"/>
            </w:pPr>
            <w:r w:rsidRPr="002A78AE">
              <w:t>T</w:t>
            </w:r>
            <w:r w:rsidRPr="002A78AE">
              <w:rPr>
                <w:vertAlign w:val="subscript"/>
              </w:rPr>
              <w:t>c</w:t>
            </w:r>
          </w:p>
        </w:tc>
      </w:tr>
      <w:tr w:rsidR="00777EC6" w:rsidRPr="002A78AE" w14:paraId="188EA827" w14:textId="77777777" w:rsidTr="00051ED3">
        <w:trPr>
          <w:cantSplit/>
        </w:trPr>
        <w:tc>
          <w:tcPr>
            <w:tcW w:w="2693" w:type="dxa"/>
          </w:tcPr>
          <w:p w14:paraId="539951B6" w14:textId="77777777" w:rsidR="00777EC6" w:rsidRPr="002A78AE" w:rsidRDefault="00777EC6" w:rsidP="00DA29A5">
            <w:pPr>
              <w:pStyle w:val="TAC"/>
            </w:pPr>
            <w:r>
              <w:rPr>
                <w:lang w:eastAsia="zh-CN"/>
              </w:rPr>
              <w:t>path</w:t>
            </w:r>
            <w:r w:rsidRPr="002A78AE">
              <w:t>_0002</w:t>
            </w:r>
          </w:p>
        </w:tc>
        <w:tc>
          <w:tcPr>
            <w:tcW w:w="2694" w:type="dxa"/>
          </w:tcPr>
          <w:p w14:paraId="3BE09C18" w14:textId="77777777" w:rsidR="00777EC6" w:rsidRPr="002A78AE" w:rsidRDefault="00777EC6" w:rsidP="00DA29A5">
            <w:pPr>
              <w:pStyle w:val="TAC"/>
            </w:pPr>
            <w:r w:rsidRPr="002A78AE">
              <w:rPr>
                <w:lang w:eastAsia="zh-CN"/>
              </w:rPr>
              <w:t>-</w:t>
            </w:r>
            <w:r>
              <w:rPr>
                <w:lang w:eastAsia="zh-CN"/>
              </w:rPr>
              <w:t>8173</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8171</w:t>
            </w:r>
          </w:p>
        </w:tc>
        <w:tc>
          <w:tcPr>
            <w:tcW w:w="567" w:type="dxa"/>
          </w:tcPr>
          <w:p w14:paraId="32D10A8E" w14:textId="77777777" w:rsidR="00777EC6" w:rsidRPr="002A78AE" w:rsidRDefault="00777EC6" w:rsidP="00DA29A5">
            <w:pPr>
              <w:pStyle w:val="TAC"/>
            </w:pPr>
            <w:r w:rsidRPr="002A78AE">
              <w:t>T</w:t>
            </w:r>
            <w:r w:rsidRPr="002A78AE">
              <w:rPr>
                <w:vertAlign w:val="subscript"/>
              </w:rPr>
              <w:t>c</w:t>
            </w:r>
          </w:p>
        </w:tc>
      </w:tr>
      <w:tr w:rsidR="00777EC6" w:rsidRPr="002A78AE" w14:paraId="0CF07B60" w14:textId="77777777" w:rsidTr="00051ED3">
        <w:trPr>
          <w:cantSplit/>
        </w:trPr>
        <w:tc>
          <w:tcPr>
            <w:tcW w:w="2693" w:type="dxa"/>
          </w:tcPr>
          <w:p w14:paraId="33D5AD58" w14:textId="77777777" w:rsidR="00777EC6" w:rsidRPr="002A78AE" w:rsidRDefault="00777EC6" w:rsidP="00DA29A5">
            <w:pPr>
              <w:pStyle w:val="TAC"/>
            </w:pPr>
            <w:r w:rsidRPr="002A78AE">
              <w:sym w:font="Symbol" w:char="F0BC"/>
            </w:r>
          </w:p>
        </w:tc>
        <w:tc>
          <w:tcPr>
            <w:tcW w:w="2694" w:type="dxa"/>
          </w:tcPr>
          <w:p w14:paraId="2767E642" w14:textId="77777777" w:rsidR="00777EC6" w:rsidRPr="002A78AE" w:rsidRDefault="00777EC6" w:rsidP="00DA29A5">
            <w:pPr>
              <w:pStyle w:val="TAC"/>
            </w:pPr>
            <w:r w:rsidRPr="002A78AE">
              <w:sym w:font="Symbol" w:char="F0BC"/>
            </w:r>
          </w:p>
        </w:tc>
        <w:tc>
          <w:tcPr>
            <w:tcW w:w="567" w:type="dxa"/>
          </w:tcPr>
          <w:p w14:paraId="57F92AEC" w14:textId="77777777" w:rsidR="00777EC6" w:rsidRPr="002A78AE" w:rsidRDefault="00777EC6" w:rsidP="00DA29A5">
            <w:pPr>
              <w:pStyle w:val="TAC"/>
            </w:pPr>
            <w:r w:rsidRPr="002A78AE">
              <w:t>…</w:t>
            </w:r>
          </w:p>
        </w:tc>
      </w:tr>
      <w:tr w:rsidR="00777EC6" w:rsidRPr="002A78AE" w14:paraId="5485F11A" w14:textId="77777777" w:rsidTr="00051ED3">
        <w:trPr>
          <w:cantSplit/>
        </w:trPr>
        <w:tc>
          <w:tcPr>
            <w:tcW w:w="2693" w:type="dxa"/>
          </w:tcPr>
          <w:p w14:paraId="00B9CAF9" w14:textId="77777777" w:rsidR="00777EC6" w:rsidRPr="002A78AE" w:rsidRDefault="00777EC6" w:rsidP="00DA29A5">
            <w:pPr>
              <w:pStyle w:val="TAC"/>
            </w:pPr>
            <w:r>
              <w:rPr>
                <w:lang w:eastAsia="zh-CN"/>
              </w:rPr>
              <w:t>path</w:t>
            </w:r>
            <w:r w:rsidRPr="002A78AE">
              <w:rPr>
                <w:lang w:eastAsia="zh-CN"/>
              </w:rPr>
              <w:t>_4</w:t>
            </w:r>
            <w:r>
              <w:rPr>
                <w:lang w:eastAsia="zh-CN"/>
              </w:rPr>
              <w:t>088</w:t>
            </w:r>
          </w:p>
        </w:tc>
        <w:tc>
          <w:tcPr>
            <w:tcW w:w="2694" w:type="dxa"/>
          </w:tcPr>
          <w:p w14:paraId="72AC75AA" w14:textId="77777777" w:rsidR="00777EC6" w:rsidRPr="002A78AE" w:rsidRDefault="00777EC6" w:rsidP="00DA29A5">
            <w:pPr>
              <w:pStyle w:val="TAC"/>
            </w:pPr>
            <w:r w:rsidRPr="002A78AE">
              <w:rPr>
                <w:lang w:eastAsia="zh-CN"/>
              </w:rPr>
              <w:t>-</w:t>
            </w:r>
            <w:r>
              <w:rPr>
                <w:lang w:eastAsia="zh-CN"/>
              </w:rPr>
              <w:t>1</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1</w:t>
            </w:r>
          </w:p>
        </w:tc>
        <w:tc>
          <w:tcPr>
            <w:tcW w:w="567" w:type="dxa"/>
          </w:tcPr>
          <w:p w14:paraId="5D2AF856" w14:textId="77777777" w:rsidR="00777EC6" w:rsidRPr="002A78AE" w:rsidRDefault="00777EC6" w:rsidP="002F5786">
            <w:pPr>
              <w:pStyle w:val="TAC"/>
            </w:pPr>
            <w:r w:rsidRPr="002A78AE">
              <w:t>T</w:t>
            </w:r>
            <w:r w:rsidRPr="002A78AE">
              <w:rPr>
                <w:vertAlign w:val="subscript"/>
              </w:rPr>
              <w:t>c</w:t>
            </w:r>
          </w:p>
        </w:tc>
      </w:tr>
      <w:tr w:rsidR="00777EC6" w:rsidRPr="002A78AE" w14:paraId="4E6D5BFF"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17F67EF" w14:textId="77777777" w:rsidR="00777EC6" w:rsidRPr="002A78AE" w:rsidRDefault="00777EC6" w:rsidP="00DA29A5">
            <w:pPr>
              <w:pStyle w:val="TAC"/>
            </w:pPr>
            <w:r w:rsidRPr="002A78AE">
              <w:rPr>
                <w:lang w:eastAsia="zh-CN"/>
              </w:rPr>
              <w:t>…</w:t>
            </w:r>
          </w:p>
        </w:tc>
        <w:tc>
          <w:tcPr>
            <w:tcW w:w="2694" w:type="dxa"/>
            <w:tcBorders>
              <w:top w:val="single" w:sz="4" w:space="0" w:color="auto"/>
              <w:left w:val="single" w:sz="4" w:space="0" w:color="auto"/>
              <w:bottom w:val="single" w:sz="4" w:space="0" w:color="auto"/>
            </w:tcBorders>
          </w:tcPr>
          <w:p w14:paraId="7FC30E77" w14:textId="77777777" w:rsidR="00777EC6" w:rsidRPr="002A78AE" w:rsidRDefault="00777EC6" w:rsidP="00DA29A5">
            <w:pPr>
              <w:pStyle w:val="TAC"/>
            </w:pPr>
            <w:r w:rsidRPr="002A78AE">
              <w:rPr>
                <w:lang w:eastAsia="zh-CN"/>
              </w:rPr>
              <w:t>…</w:t>
            </w:r>
          </w:p>
        </w:tc>
        <w:tc>
          <w:tcPr>
            <w:tcW w:w="567" w:type="dxa"/>
            <w:tcBorders>
              <w:top w:val="single" w:sz="4" w:space="0" w:color="auto"/>
              <w:bottom w:val="single" w:sz="4" w:space="0" w:color="auto"/>
              <w:right w:val="single" w:sz="4" w:space="0" w:color="auto"/>
            </w:tcBorders>
          </w:tcPr>
          <w:p w14:paraId="790EF8D7" w14:textId="77777777" w:rsidR="00777EC6" w:rsidRPr="002A78AE" w:rsidRDefault="00777EC6" w:rsidP="00DA29A5">
            <w:pPr>
              <w:pStyle w:val="TAC"/>
            </w:pPr>
            <w:r w:rsidRPr="002A78AE">
              <w:t>…</w:t>
            </w:r>
          </w:p>
        </w:tc>
      </w:tr>
      <w:tr w:rsidR="00777EC6" w:rsidRPr="002A78AE" w14:paraId="499235F6"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46F2445" w14:textId="77777777" w:rsidR="00777EC6" w:rsidRPr="002A78AE" w:rsidRDefault="00777EC6" w:rsidP="00DA29A5">
            <w:pPr>
              <w:pStyle w:val="TAC"/>
            </w:pPr>
            <w:r>
              <w:rPr>
                <w:lang w:eastAsia="zh-CN"/>
              </w:rPr>
              <w:t>path</w:t>
            </w:r>
            <w:r w:rsidRPr="002A78AE">
              <w:rPr>
                <w:lang w:eastAsia="zh-CN"/>
              </w:rPr>
              <w:t>_</w:t>
            </w:r>
            <w:r w:rsidRPr="005D4371">
              <w:rPr>
                <w:bCs/>
                <w:lang w:eastAsia="zh-CN"/>
              </w:rPr>
              <w:t>817</w:t>
            </w:r>
            <w:r>
              <w:rPr>
                <w:bCs/>
                <w:lang w:eastAsia="zh-CN"/>
              </w:rPr>
              <w:t>4</w:t>
            </w:r>
          </w:p>
        </w:tc>
        <w:tc>
          <w:tcPr>
            <w:tcW w:w="2694" w:type="dxa"/>
            <w:tcBorders>
              <w:top w:val="single" w:sz="4" w:space="0" w:color="auto"/>
              <w:left w:val="single" w:sz="4" w:space="0" w:color="auto"/>
              <w:bottom w:val="single" w:sz="4" w:space="0" w:color="auto"/>
            </w:tcBorders>
          </w:tcPr>
          <w:p w14:paraId="46CF54B7" w14:textId="77777777" w:rsidR="00777EC6" w:rsidRPr="002A78AE" w:rsidRDefault="00777EC6" w:rsidP="00DA29A5">
            <w:pPr>
              <w:pStyle w:val="TAC"/>
            </w:pPr>
            <w:r>
              <w:rPr>
                <w:lang w:eastAsia="zh-CN"/>
              </w:rPr>
              <w:t>8171</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8173</w:t>
            </w:r>
          </w:p>
        </w:tc>
        <w:tc>
          <w:tcPr>
            <w:tcW w:w="567" w:type="dxa"/>
            <w:tcBorders>
              <w:top w:val="single" w:sz="4" w:space="0" w:color="auto"/>
              <w:bottom w:val="single" w:sz="4" w:space="0" w:color="auto"/>
              <w:right w:val="single" w:sz="4" w:space="0" w:color="auto"/>
            </w:tcBorders>
          </w:tcPr>
          <w:p w14:paraId="1AF1CEAB" w14:textId="77777777" w:rsidR="00777EC6" w:rsidRPr="002A78AE" w:rsidRDefault="00777EC6" w:rsidP="002F5786">
            <w:pPr>
              <w:pStyle w:val="TAC"/>
            </w:pPr>
            <w:r w:rsidRPr="002A78AE">
              <w:t>T</w:t>
            </w:r>
            <w:r w:rsidRPr="002A78AE">
              <w:rPr>
                <w:vertAlign w:val="subscript"/>
              </w:rPr>
              <w:t>c</w:t>
            </w:r>
          </w:p>
        </w:tc>
      </w:tr>
      <w:tr w:rsidR="00777EC6" w:rsidRPr="002A78AE" w14:paraId="1CAFA37F"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92CEEEB" w14:textId="77777777" w:rsidR="00777EC6" w:rsidRPr="002A78AE" w:rsidRDefault="00777EC6" w:rsidP="00DA29A5">
            <w:pPr>
              <w:pStyle w:val="TAC"/>
            </w:pPr>
            <w:r>
              <w:rPr>
                <w:lang w:eastAsia="zh-CN"/>
              </w:rPr>
              <w:t>path</w:t>
            </w:r>
            <w:r w:rsidRPr="002A78AE">
              <w:rPr>
                <w:lang w:eastAsia="zh-CN"/>
              </w:rPr>
              <w:t>_</w:t>
            </w:r>
            <w:r w:rsidRPr="005D4371">
              <w:rPr>
                <w:bCs/>
                <w:lang w:eastAsia="zh-CN"/>
              </w:rPr>
              <w:t>817</w:t>
            </w:r>
            <w:r>
              <w:rPr>
                <w:bCs/>
                <w:lang w:eastAsia="zh-CN"/>
              </w:rPr>
              <w:t>5</w:t>
            </w:r>
          </w:p>
        </w:tc>
        <w:tc>
          <w:tcPr>
            <w:tcW w:w="2694" w:type="dxa"/>
            <w:tcBorders>
              <w:top w:val="single" w:sz="4" w:space="0" w:color="auto"/>
              <w:left w:val="single" w:sz="4" w:space="0" w:color="auto"/>
              <w:bottom w:val="single" w:sz="4" w:space="0" w:color="auto"/>
            </w:tcBorders>
          </w:tcPr>
          <w:p w14:paraId="1BD66AF7" w14:textId="77777777" w:rsidR="00777EC6" w:rsidRPr="002A78AE" w:rsidRDefault="00777EC6" w:rsidP="00DA29A5">
            <w:pPr>
              <w:pStyle w:val="TAC"/>
            </w:pPr>
            <w:r>
              <w:rPr>
                <w:lang w:eastAsia="zh-CN"/>
              </w:rPr>
              <w:t>8173</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8175</w:t>
            </w:r>
          </w:p>
        </w:tc>
        <w:tc>
          <w:tcPr>
            <w:tcW w:w="567" w:type="dxa"/>
            <w:tcBorders>
              <w:top w:val="single" w:sz="4" w:space="0" w:color="auto"/>
              <w:bottom w:val="single" w:sz="4" w:space="0" w:color="auto"/>
              <w:right w:val="single" w:sz="4" w:space="0" w:color="auto"/>
            </w:tcBorders>
          </w:tcPr>
          <w:p w14:paraId="0BD2450C" w14:textId="77777777" w:rsidR="00777EC6" w:rsidRPr="002A78AE" w:rsidRDefault="00777EC6" w:rsidP="002F5786">
            <w:pPr>
              <w:pStyle w:val="TAC"/>
            </w:pPr>
            <w:r w:rsidRPr="002A78AE">
              <w:t>T</w:t>
            </w:r>
            <w:r w:rsidRPr="002A78AE">
              <w:rPr>
                <w:vertAlign w:val="subscript"/>
              </w:rPr>
              <w:t>c</w:t>
            </w:r>
          </w:p>
        </w:tc>
      </w:tr>
      <w:tr w:rsidR="00777EC6" w:rsidRPr="002A78AE" w14:paraId="3721225D"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91FF337" w14:textId="77777777" w:rsidR="00777EC6" w:rsidRPr="002A78AE" w:rsidRDefault="00777EC6" w:rsidP="00DA29A5">
            <w:pPr>
              <w:pStyle w:val="TAC"/>
            </w:pPr>
            <w:r>
              <w:rPr>
                <w:lang w:eastAsia="zh-CN"/>
              </w:rPr>
              <w:t>path</w:t>
            </w:r>
            <w:r w:rsidRPr="002A78AE">
              <w:rPr>
                <w:lang w:eastAsia="zh-CN"/>
              </w:rPr>
              <w:t>_</w:t>
            </w:r>
            <w:r w:rsidRPr="005D4371">
              <w:rPr>
                <w:bCs/>
                <w:lang w:eastAsia="zh-CN"/>
              </w:rPr>
              <w:t>8176</w:t>
            </w:r>
          </w:p>
        </w:tc>
        <w:tc>
          <w:tcPr>
            <w:tcW w:w="2694" w:type="dxa"/>
            <w:tcBorders>
              <w:top w:val="single" w:sz="4" w:space="0" w:color="auto"/>
              <w:left w:val="single" w:sz="4" w:space="0" w:color="auto"/>
              <w:bottom w:val="single" w:sz="4" w:space="0" w:color="auto"/>
            </w:tcBorders>
          </w:tcPr>
          <w:p w14:paraId="79C241AB" w14:textId="77777777" w:rsidR="00777EC6" w:rsidRPr="002A78AE" w:rsidRDefault="00777EC6" w:rsidP="00DA29A5">
            <w:pPr>
              <w:pStyle w:val="TAC"/>
            </w:pPr>
            <w:r>
              <w:rPr>
                <w:lang w:eastAsia="zh-CN"/>
              </w:rPr>
              <w:t>8175</w:t>
            </w:r>
            <w:r w:rsidRPr="002A78AE">
              <w:rPr>
                <w:lang w:eastAsia="zh-CN"/>
              </w:rPr>
              <w:t xml:space="preserve"> </w:t>
            </w:r>
            <w:r w:rsidRPr="002A78AE">
              <w:sym w:font="Symbol" w:char="F0A3"/>
            </w:r>
            <w:r w:rsidRPr="002A78AE">
              <w:rPr>
                <w:lang w:eastAsia="zh-CN"/>
              </w:rPr>
              <w:t xml:space="preserve"> </w:t>
            </w:r>
            <w:r>
              <w:sym w:font="Symbol" w:char="F044"/>
            </w:r>
            <w:r>
              <w:t>path</w:t>
            </w:r>
          </w:p>
        </w:tc>
        <w:tc>
          <w:tcPr>
            <w:tcW w:w="567" w:type="dxa"/>
            <w:tcBorders>
              <w:top w:val="single" w:sz="4" w:space="0" w:color="auto"/>
              <w:bottom w:val="single" w:sz="4" w:space="0" w:color="auto"/>
              <w:right w:val="single" w:sz="4" w:space="0" w:color="auto"/>
            </w:tcBorders>
          </w:tcPr>
          <w:p w14:paraId="2C5E4245" w14:textId="77777777" w:rsidR="00777EC6" w:rsidRPr="002A78AE" w:rsidRDefault="00777EC6" w:rsidP="002F5786">
            <w:pPr>
              <w:pStyle w:val="TAC"/>
            </w:pPr>
            <w:r w:rsidRPr="002A78AE">
              <w:t>T</w:t>
            </w:r>
            <w:r w:rsidRPr="002A78AE">
              <w:rPr>
                <w:vertAlign w:val="subscript"/>
              </w:rPr>
              <w:t>c</w:t>
            </w:r>
          </w:p>
        </w:tc>
      </w:tr>
    </w:tbl>
    <w:p w14:paraId="0D3026B3" w14:textId="77777777" w:rsidR="00777EC6" w:rsidRPr="00691C7F" w:rsidRDefault="00777EC6" w:rsidP="002F5786">
      <w:pPr>
        <w:rPr>
          <w:lang w:val="en-US" w:eastAsia="ja-JP"/>
        </w:rPr>
      </w:pPr>
    </w:p>
    <w:p w14:paraId="0B495D7F" w14:textId="77777777" w:rsidR="00777EC6" w:rsidRDefault="00777EC6" w:rsidP="002F5786">
      <w:pPr>
        <w:pStyle w:val="TH"/>
      </w:pPr>
      <w:r w:rsidRPr="00DE253F">
        <w:t xml:space="preserve">Table </w:t>
      </w:r>
      <w:r>
        <w:t>10.1.25.3.3-3</w:t>
      </w:r>
      <w:r w:rsidRPr="00DE253F">
        <w:t xml:space="preserve">: </w:t>
      </w:r>
      <w:r>
        <w:t xml:space="preserve">Report mapping for </w:t>
      </w:r>
      <w:r w:rsidRPr="00DE253F">
        <w:rPr>
          <w:i/>
          <w:iCs/>
        </w:rPr>
        <w:t>k</w:t>
      </w:r>
      <w:r>
        <w:t>=2</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777EC6" w:rsidRPr="002A78AE" w14:paraId="3F642B61" w14:textId="77777777" w:rsidTr="00051ED3">
        <w:trPr>
          <w:cantSplit/>
          <w:trHeight w:val="344"/>
        </w:trPr>
        <w:tc>
          <w:tcPr>
            <w:tcW w:w="2693" w:type="dxa"/>
            <w:vAlign w:val="center"/>
          </w:tcPr>
          <w:p w14:paraId="18949B05" w14:textId="77777777" w:rsidR="00777EC6" w:rsidRPr="002A78AE" w:rsidRDefault="00777EC6" w:rsidP="00DA29A5">
            <w:pPr>
              <w:pStyle w:val="TAH"/>
            </w:pPr>
            <w:r w:rsidRPr="002A78AE">
              <w:t>Reported Quantity Value</w:t>
            </w:r>
            <w:r>
              <w:t>,</w:t>
            </w:r>
          </w:p>
          <w:p w14:paraId="180BC60B" w14:textId="77777777" w:rsidR="00777EC6" w:rsidRPr="002A78AE" w:rsidRDefault="00777EC6" w:rsidP="00DA29A5">
            <w:pPr>
              <w:pStyle w:val="TAH"/>
            </w:pPr>
            <w:r>
              <w:t>path</w:t>
            </w:r>
            <w:r w:rsidRPr="002A78AE">
              <w:t>_i</w:t>
            </w:r>
          </w:p>
        </w:tc>
        <w:tc>
          <w:tcPr>
            <w:tcW w:w="2694" w:type="dxa"/>
            <w:vAlign w:val="center"/>
          </w:tcPr>
          <w:p w14:paraId="16B94274" w14:textId="77777777" w:rsidR="00777EC6" w:rsidRDefault="00777EC6" w:rsidP="00DA29A5">
            <w:pPr>
              <w:pStyle w:val="TAH"/>
            </w:pPr>
            <w:r w:rsidRPr="002A78AE">
              <w:t>Measured Quantity Value</w:t>
            </w:r>
            <w:r>
              <w:t>,</w:t>
            </w:r>
          </w:p>
          <w:p w14:paraId="5C37274B" w14:textId="77777777" w:rsidR="00777EC6" w:rsidRPr="002A78AE" w:rsidRDefault="00777EC6" w:rsidP="00DA29A5">
            <w:pPr>
              <w:pStyle w:val="TAH"/>
            </w:pPr>
            <w:r>
              <w:sym w:font="Symbol" w:char="F044"/>
            </w:r>
            <w:r>
              <w:t>path</w:t>
            </w:r>
          </w:p>
        </w:tc>
        <w:tc>
          <w:tcPr>
            <w:tcW w:w="567" w:type="dxa"/>
            <w:vAlign w:val="center"/>
          </w:tcPr>
          <w:p w14:paraId="4AEB4934" w14:textId="77777777" w:rsidR="00777EC6" w:rsidRPr="002A78AE" w:rsidRDefault="00777EC6" w:rsidP="00DA29A5">
            <w:pPr>
              <w:pStyle w:val="TAH"/>
            </w:pPr>
            <w:r w:rsidRPr="002A78AE">
              <w:t>Unit</w:t>
            </w:r>
          </w:p>
        </w:tc>
      </w:tr>
      <w:tr w:rsidR="00777EC6" w:rsidRPr="002A78AE" w14:paraId="5C972AF2" w14:textId="77777777" w:rsidTr="00051ED3">
        <w:trPr>
          <w:cantSplit/>
        </w:trPr>
        <w:tc>
          <w:tcPr>
            <w:tcW w:w="2693" w:type="dxa"/>
          </w:tcPr>
          <w:p w14:paraId="00E0F9C4" w14:textId="77777777" w:rsidR="00777EC6" w:rsidRPr="002A78AE" w:rsidRDefault="00777EC6" w:rsidP="00DA29A5">
            <w:pPr>
              <w:pStyle w:val="TAC"/>
            </w:pPr>
            <w:r>
              <w:rPr>
                <w:lang w:eastAsia="zh-CN"/>
              </w:rPr>
              <w:t>path</w:t>
            </w:r>
            <w:r w:rsidRPr="002A78AE">
              <w:t>_0000</w:t>
            </w:r>
          </w:p>
        </w:tc>
        <w:tc>
          <w:tcPr>
            <w:tcW w:w="2694" w:type="dxa"/>
          </w:tcPr>
          <w:p w14:paraId="51DA794B" w14:textId="77777777" w:rsidR="00777EC6" w:rsidRPr="002A78AE" w:rsidRDefault="00777EC6" w:rsidP="002F5786">
            <w:pPr>
              <w:pStyle w:val="TAC"/>
            </w:pPr>
            <w:r>
              <w:sym w:font="Symbol" w:char="F044"/>
            </w:r>
            <w:r>
              <w:t>path</w:t>
            </w:r>
            <w:r w:rsidRPr="002A78AE">
              <w:rPr>
                <w:lang w:eastAsia="zh-CN"/>
              </w:rPr>
              <w:t xml:space="preserve"> &lt; </w:t>
            </w:r>
            <w:r>
              <w:rPr>
                <w:lang w:eastAsia="zh-CN"/>
              </w:rPr>
              <w:t>-</w:t>
            </w:r>
            <w:r w:rsidRPr="005E6829">
              <w:rPr>
                <w:lang w:eastAsia="zh-CN"/>
              </w:rPr>
              <w:t>817</w:t>
            </w:r>
            <w:r>
              <w:rPr>
                <w:lang w:eastAsia="zh-CN"/>
              </w:rPr>
              <w:t>4</w:t>
            </w:r>
          </w:p>
        </w:tc>
        <w:tc>
          <w:tcPr>
            <w:tcW w:w="567" w:type="dxa"/>
          </w:tcPr>
          <w:p w14:paraId="456C08B7" w14:textId="77777777" w:rsidR="00777EC6" w:rsidRPr="002A78AE" w:rsidRDefault="00777EC6" w:rsidP="002F5786">
            <w:pPr>
              <w:pStyle w:val="TAC"/>
            </w:pPr>
            <w:r w:rsidRPr="002A78AE">
              <w:t>T</w:t>
            </w:r>
            <w:r w:rsidRPr="002A78AE">
              <w:rPr>
                <w:vertAlign w:val="subscript"/>
              </w:rPr>
              <w:t>c</w:t>
            </w:r>
          </w:p>
        </w:tc>
      </w:tr>
      <w:tr w:rsidR="00777EC6" w:rsidRPr="002A78AE" w14:paraId="045E421E" w14:textId="77777777" w:rsidTr="00051ED3">
        <w:trPr>
          <w:cantSplit/>
        </w:trPr>
        <w:tc>
          <w:tcPr>
            <w:tcW w:w="2693" w:type="dxa"/>
          </w:tcPr>
          <w:p w14:paraId="2E577748" w14:textId="77777777" w:rsidR="00777EC6" w:rsidRPr="002A78AE" w:rsidRDefault="00777EC6" w:rsidP="00DA29A5">
            <w:pPr>
              <w:pStyle w:val="TAC"/>
            </w:pPr>
            <w:r>
              <w:rPr>
                <w:lang w:eastAsia="zh-CN"/>
              </w:rPr>
              <w:t>path</w:t>
            </w:r>
            <w:r w:rsidRPr="002A78AE">
              <w:t>_0001</w:t>
            </w:r>
          </w:p>
        </w:tc>
        <w:tc>
          <w:tcPr>
            <w:tcW w:w="2694" w:type="dxa"/>
          </w:tcPr>
          <w:p w14:paraId="6C87D82D" w14:textId="77777777" w:rsidR="00777EC6" w:rsidRPr="002A78AE" w:rsidRDefault="00777EC6" w:rsidP="002F5786">
            <w:pPr>
              <w:pStyle w:val="TAC"/>
            </w:pPr>
            <w:r>
              <w:rPr>
                <w:lang w:eastAsia="zh-CN"/>
              </w:rPr>
              <w:t>-</w:t>
            </w:r>
            <w:r w:rsidRPr="005E6829">
              <w:rPr>
                <w:lang w:eastAsia="zh-CN"/>
              </w:rPr>
              <w:t>817</w:t>
            </w:r>
            <w:r>
              <w:rPr>
                <w:lang w:eastAsia="zh-CN"/>
              </w:rPr>
              <w:t>4</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8170</w:t>
            </w:r>
          </w:p>
        </w:tc>
        <w:tc>
          <w:tcPr>
            <w:tcW w:w="567" w:type="dxa"/>
          </w:tcPr>
          <w:p w14:paraId="327D1A14" w14:textId="77777777" w:rsidR="00777EC6" w:rsidRPr="002A78AE" w:rsidRDefault="00777EC6" w:rsidP="002F5786">
            <w:pPr>
              <w:pStyle w:val="TAC"/>
            </w:pPr>
            <w:r w:rsidRPr="002A78AE">
              <w:t>T</w:t>
            </w:r>
            <w:r w:rsidRPr="002A78AE">
              <w:rPr>
                <w:vertAlign w:val="subscript"/>
              </w:rPr>
              <w:t>c</w:t>
            </w:r>
          </w:p>
        </w:tc>
      </w:tr>
      <w:tr w:rsidR="00777EC6" w:rsidRPr="002A78AE" w14:paraId="7F028875" w14:textId="77777777" w:rsidTr="00051ED3">
        <w:trPr>
          <w:cantSplit/>
        </w:trPr>
        <w:tc>
          <w:tcPr>
            <w:tcW w:w="2693" w:type="dxa"/>
          </w:tcPr>
          <w:p w14:paraId="2F1B2C00" w14:textId="77777777" w:rsidR="00777EC6" w:rsidRPr="002A78AE" w:rsidRDefault="00777EC6" w:rsidP="00DA29A5">
            <w:pPr>
              <w:pStyle w:val="TAC"/>
            </w:pPr>
            <w:r>
              <w:rPr>
                <w:lang w:eastAsia="zh-CN"/>
              </w:rPr>
              <w:t>path</w:t>
            </w:r>
            <w:r w:rsidRPr="002A78AE">
              <w:t>_0002</w:t>
            </w:r>
          </w:p>
        </w:tc>
        <w:tc>
          <w:tcPr>
            <w:tcW w:w="2694" w:type="dxa"/>
          </w:tcPr>
          <w:p w14:paraId="4073D132" w14:textId="77777777" w:rsidR="00777EC6" w:rsidRPr="002A78AE" w:rsidRDefault="00777EC6" w:rsidP="00DA29A5">
            <w:pPr>
              <w:pStyle w:val="TAC"/>
            </w:pPr>
            <w:r w:rsidRPr="002A78AE">
              <w:rPr>
                <w:lang w:eastAsia="zh-CN"/>
              </w:rPr>
              <w:t>-</w:t>
            </w:r>
            <w:r>
              <w:rPr>
                <w:lang w:eastAsia="zh-CN"/>
              </w:rPr>
              <w:t>8170</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8166</w:t>
            </w:r>
          </w:p>
        </w:tc>
        <w:tc>
          <w:tcPr>
            <w:tcW w:w="567" w:type="dxa"/>
          </w:tcPr>
          <w:p w14:paraId="362D32CC" w14:textId="77777777" w:rsidR="00777EC6" w:rsidRPr="002A78AE" w:rsidRDefault="00777EC6" w:rsidP="00DA29A5">
            <w:pPr>
              <w:pStyle w:val="TAC"/>
            </w:pPr>
            <w:r w:rsidRPr="002A78AE">
              <w:t>T</w:t>
            </w:r>
            <w:r w:rsidRPr="002A78AE">
              <w:rPr>
                <w:vertAlign w:val="subscript"/>
              </w:rPr>
              <w:t>c</w:t>
            </w:r>
          </w:p>
        </w:tc>
      </w:tr>
      <w:tr w:rsidR="00777EC6" w:rsidRPr="002A78AE" w14:paraId="0F1AE473" w14:textId="77777777" w:rsidTr="00051ED3">
        <w:trPr>
          <w:cantSplit/>
        </w:trPr>
        <w:tc>
          <w:tcPr>
            <w:tcW w:w="2693" w:type="dxa"/>
          </w:tcPr>
          <w:p w14:paraId="1F39F43B" w14:textId="77777777" w:rsidR="00777EC6" w:rsidRPr="002A78AE" w:rsidRDefault="00777EC6" w:rsidP="00DA29A5">
            <w:pPr>
              <w:pStyle w:val="TAC"/>
            </w:pPr>
            <w:r w:rsidRPr="002A78AE">
              <w:sym w:font="Symbol" w:char="F0BC"/>
            </w:r>
          </w:p>
        </w:tc>
        <w:tc>
          <w:tcPr>
            <w:tcW w:w="2694" w:type="dxa"/>
          </w:tcPr>
          <w:p w14:paraId="0D5B3B80" w14:textId="77777777" w:rsidR="00777EC6" w:rsidRPr="002A78AE" w:rsidRDefault="00777EC6" w:rsidP="00DA29A5">
            <w:pPr>
              <w:pStyle w:val="TAC"/>
            </w:pPr>
            <w:r w:rsidRPr="002A78AE">
              <w:sym w:font="Symbol" w:char="F0BC"/>
            </w:r>
          </w:p>
        </w:tc>
        <w:tc>
          <w:tcPr>
            <w:tcW w:w="567" w:type="dxa"/>
          </w:tcPr>
          <w:p w14:paraId="00065C98" w14:textId="77777777" w:rsidR="00777EC6" w:rsidRPr="002A78AE" w:rsidRDefault="00777EC6" w:rsidP="00DA29A5">
            <w:pPr>
              <w:pStyle w:val="TAC"/>
            </w:pPr>
            <w:r w:rsidRPr="002A78AE">
              <w:t>…</w:t>
            </w:r>
          </w:p>
        </w:tc>
      </w:tr>
      <w:tr w:rsidR="00777EC6" w:rsidRPr="002A78AE" w14:paraId="6223E980" w14:textId="77777777" w:rsidTr="00051ED3">
        <w:trPr>
          <w:cantSplit/>
        </w:trPr>
        <w:tc>
          <w:tcPr>
            <w:tcW w:w="2693" w:type="dxa"/>
          </w:tcPr>
          <w:p w14:paraId="15BAD038" w14:textId="77777777" w:rsidR="00777EC6" w:rsidRPr="002A78AE" w:rsidRDefault="00777EC6" w:rsidP="00DA29A5">
            <w:pPr>
              <w:pStyle w:val="TAC"/>
            </w:pPr>
            <w:r>
              <w:rPr>
                <w:lang w:eastAsia="zh-CN"/>
              </w:rPr>
              <w:t>path</w:t>
            </w:r>
            <w:r w:rsidRPr="002A78AE">
              <w:rPr>
                <w:lang w:eastAsia="zh-CN"/>
              </w:rPr>
              <w:t>_</w:t>
            </w:r>
            <w:r>
              <w:rPr>
                <w:lang w:eastAsia="zh-CN"/>
              </w:rPr>
              <w:t>2044</w:t>
            </w:r>
          </w:p>
        </w:tc>
        <w:tc>
          <w:tcPr>
            <w:tcW w:w="2694" w:type="dxa"/>
          </w:tcPr>
          <w:p w14:paraId="3AD2BD91" w14:textId="77777777" w:rsidR="00777EC6" w:rsidRPr="002A78AE" w:rsidRDefault="00777EC6" w:rsidP="002F5786">
            <w:pPr>
              <w:pStyle w:val="TAC"/>
            </w:pPr>
            <w:r w:rsidRPr="002A78AE">
              <w:rPr>
                <w:lang w:eastAsia="zh-CN"/>
              </w:rPr>
              <w:t>-</w:t>
            </w:r>
            <w:r>
              <w:rPr>
                <w:lang w:eastAsia="zh-CN"/>
              </w:rPr>
              <w:t>2</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2</w:t>
            </w:r>
          </w:p>
        </w:tc>
        <w:tc>
          <w:tcPr>
            <w:tcW w:w="567" w:type="dxa"/>
          </w:tcPr>
          <w:p w14:paraId="41BF476D" w14:textId="77777777" w:rsidR="00777EC6" w:rsidRPr="002A78AE" w:rsidRDefault="00777EC6" w:rsidP="002F5786">
            <w:pPr>
              <w:pStyle w:val="TAC"/>
            </w:pPr>
            <w:r w:rsidRPr="002A78AE">
              <w:t>T</w:t>
            </w:r>
            <w:r w:rsidRPr="002A78AE">
              <w:rPr>
                <w:vertAlign w:val="subscript"/>
              </w:rPr>
              <w:t>c</w:t>
            </w:r>
          </w:p>
        </w:tc>
      </w:tr>
      <w:tr w:rsidR="00777EC6" w:rsidRPr="002A78AE" w14:paraId="6578B2BE"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6C1C997" w14:textId="77777777" w:rsidR="00777EC6" w:rsidRPr="002A78AE" w:rsidRDefault="00777EC6" w:rsidP="00DA29A5">
            <w:pPr>
              <w:pStyle w:val="TAC"/>
            </w:pPr>
            <w:r w:rsidRPr="002A78AE">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235F6386" w14:textId="77777777" w:rsidR="00777EC6" w:rsidRPr="002A78AE" w:rsidRDefault="00777EC6" w:rsidP="00DA29A5">
            <w:pPr>
              <w:pStyle w:val="TAC"/>
            </w:pPr>
            <w:r w:rsidRPr="002A78AE">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1D79D1F7" w14:textId="77777777" w:rsidR="00777EC6" w:rsidRPr="002A78AE" w:rsidRDefault="00777EC6" w:rsidP="00DA29A5">
            <w:pPr>
              <w:pStyle w:val="TAC"/>
            </w:pPr>
            <w:r w:rsidRPr="002A78AE">
              <w:t>…</w:t>
            </w:r>
          </w:p>
        </w:tc>
      </w:tr>
      <w:tr w:rsidR="00777EC6" w:rsidRPr="002A78AE" w14:paraId="20E6E68E"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26DFDD6" w14:textId="77777777" w:rsidR="00777EC6" w:rsidRPr="002A78AE" w:rsidRDefault="00777EC6" w:rsidP="00DA29A5">
            <w:pPr>
              <w:pStyle w:val="TAC"/>
            </w:pPr>
            <w:r>
              <w:rPr>
                <w:lang w:eastAsia="zh-CN"/>
              </w:rPr>
              <w:t>path</w:t>
            </w:r>
            <w:r w:rsidRPr="002A78AE">
              <w:rPr>
                <w:lang w:eastAsia="zh-CN"/>
              </w:rPr>
              <w:t>_</w:t>
            </w:r>
            <w:r>
              <w:rPr>
                <w:bCs/>
                <w:lang w:eastAsia="zh-CN"/>
              </w:rPr>
              <w:t>4086</w:t>
            </w:r>
          </w:p>
        </w:tc>
        <w:tc>
          <w:tcPr>
            <w:tcW w:w="2694" w:type="dxa"/>
            <w:tcBorders>
              <w:top w:val="single" w:sz="4" w:space="0" w:color="auto"/>
              <w:left w:val="single" w:sz="4" w:space="0" w:color="auto"/>
              <w:bottom w:val="single" w:sz="4" w:space="0" w:color="auto"/>
              <w:right w:val="single" w:sz="4" w:space="0" w:color="auto"/>
            </w:tcBorders>
          </w:tcPr>
          <w:p w14:paraId="30AFDA47" w14:textId="77777777" w:rsidR="00777EC6" w:rsidRPr="002A78AE" w:rsidRDefault="00777EC6" w:rsidP="002F5786">
            <w:pPr>
              <w:pStyle w:val="TAC"/>
            </w:pPr>
            <w:r>
              <w:rPr>
                <w:lang w:eastAsia="zh-CN"/>
              </w:rPr>
              <w:t>8166</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8170</w:t>
            </w:r>
          </w:p>
        </w:tc>
        <w:tc>
          <w:tcPr>
            <w:tcW w:w="567" w:type="dxa"/>
            <w:tcBorders>
              <w:top w:val="single" w:sz="4" w:space="0" w:color="auto"/>
              <w:left w:val="single" w:sz="4" w:space="0" w:color="auto"/>
              <w:bottom w:val="single" w:sz="4" w:space="0" w:color="auto"/>
              <w:right w:val="single" w:sz="4" w:space="0" w:color="auto"/>
            </w:tcBorders>
          </w:tcPr>
          <w:p w14:paraId="65559FF8" w14:textId="77777777" w:rsidR="00777EC6" w:rsidRPr="002A78AE" w:rsidRDefault="00777EC6" w:rsidP="002F5786">
            <w:pPr>
              <w:pStyle w:val="TAC"/>
            </w:pPr>
            <w:r w:rsidRPr="002A78AE">
              <w:t>T</w:t>
            </w:r>
            <w:r w:rsidRPr="002A78AE">
              <w:rPr>
                <w:vertAlign w:val="subscript"/>
              </w:rPr>
              <w:t>c</w:t>
            </w:r>
          </w:p>
        </w:tc>
      </w:tr>
      <w:tr w:rsidR="00777EC6" w:rsidRPr="002A78AE" w14:paraId="0149E6B0"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52799EB" w14:textId="77777777" w:rsidR="00777EC6" w:rsidRPr="002A78AE" w:rsidRDefault="00777EC6" w:rsidP="00DA29A5">
            <w:pPr>
              <w:pStyle w:val="TAC"/>
            </w:pPr>
            <w:r>
              <w:rPr>
                <w:lang w:eastAsia="zh-CN"/>
              </w:rPr>
              <w:t>path</w:t>
            </w:r>
            <w:r w:rsidRPr="002A78AE">
              <w:rPr>
                <w:lang w:eastAsia="zh-CN"/>
              </w:rPr>
              <w:t>_</w:t>
            </w:r>
            <w:r>
              <w:rPr>
                <w:bCs/>
                <w:lang w:eastAsia="zh-CN"/>
              </w:rPr>
              <w:t>4087</w:t>
            </w:r>
          </w:p>
        </w:tc>
        <w:tc>
          <w:tcPr>
            <w:tcW w:w="2694" w:type="dxa"/>
            <w:tcBorders>
              <w:top w:val="single" w:sz="4" w:space="0" w:color="auto"/>
              <w:left w:val="single" w:sz="4" w:space="0" w:color="auto"/>
              <w:bottom w:val="single" w:sz="4" w:space="0" w:color="auto"/>
              <w:right w:val="single" w:sz="4" w:space="0" w:color="auto"/>
            </w:tcBorders>
          </w:tcPr>
          <w:p w14:paraId="6B48BF62" w14:textId="77777777" w:rsidR="00777EC6" w:rsidRPr="002A78AE" w:rsidRDefault="00777EC6" w:rsidP="002F5786">
            <w:pPr>
              <w:pStyle w:val="TAC"/>
            </w:pPr>
            <w:r>
              <w:rPr>
                <w:lang w:eastAsia="zh-CN"/>
              </w:rPr>
              <w:t>8170</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sidRPr="005E6829">
              <w:rPr>
                <w:lang w:eastAsia="zh-CN"/>
              </w:rPr>
              <w:t>817</w:t>
            </w:r>
            <w:r>
              <w:rPr>
                <w:lang w:eastAsia="zh-CN"/>
              </w:rPr>
              <w:t>4</w:t>
            </w:r>
          </w:p>
        </w:tc>
        <w:tc>
          <w:tcPr>
            <w:tcW w:w="567" w:type="dxa"/>
            <w:tcBorders>
              <w:top w:val="single" w:sz="4" w:space="0" w:color="auto"/>
              <w:left w:val="single" w:sz="4" w:space="0" w:color="auto"/>
              <w:bottom w:val="single" w:sz="4" w:space="0" w:color="auto"/>
              <w:right w:val="single" w:sz="4" w:space="0" w:color="auto"/>
            </w:tcBorders>
          </w:tcPr>
          <w:p w14:paraId="60E30BD5" w14:textId="77777777" w:rsidR="00777EC6" w:rsidRPr="002A78AE" w:rsidRDefault="00777EC6" w:rsidP="002F5786">
            <w:pPr>
              <w:pStyle w:val="TAC"/>
            </w:pPr>
            <w:r w:rsidRPr="002A78AE">
              <w:t>T</w:t>
            </w:r>
            <w:r w:rsidRPr="002A78AE">
              <w:rPr>
                <w:vertAlign w:val="subscript"/>
              </w:rPr>
              <w:t>c</w:t>
            </w:r>
          </w:p>
        </w:tc>
      </w:tr>
      <w:tr w:rsidR="00777EC6" w:rsidRPr="002A78AE" w14:paraId="293C4258"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0B23AE87" w14:textId="77777777" w:rsidR="00777EC6" w:rsidRPr="002A78AE" w:rsidRDefault="00777EC6" w:rsidP="00DA29A5">
            <w:pPr>
              <w:pStyle w:val="TAC"/>
            </w:pPr>
            <w:r>
              <w:rPr>
                <w:lang w:eastAsia="zh-CN"/>
              </w:rPr>
              <w:t>path</w:t>
            </w:r>
            <w:r w:rsidRPr="002A78AE">
              <w:rPr>
                <w:lang w:eastAsia="zh-CN"/>
              </w:rPr>
              <w:t>_</w:t>
            </w:r>
            <w:r>
              <w:rPr>
                <w:bCs/>
                <w:lang w:eastAsia="zh-CN"/>
              </w:rPr>
              <w:t>4088</w:t>
            </w:r>
          </w:p>
        </w:tc>
        <w:tc>
          <w:tcPr>
            <w:tcW w:w="2694" w:type="dxa"/>
            <w:tcBorders>
              <w:top w:val="single" w:sz="4" w:space="0" w:color="auto"/>
              <w:left w:val="single" w:sz="4" w:space="0" w:color="auto"/>
              <w:bottom w:val="single" w:sz="4" w:space="0" w:color="auto"/>
              <w:right w:val="single" w:sz="4" w:space="0" w:color="auto"/>
            </w:tcBorders>
          </w:tcPr>
          <w:p w14:paraId="72EB3A8C" w14:textId="77777777" w:rsidR="00777EC6" w:rsidRPr="002A78AE" w:rsidRDefault="00777EC6" w:rsidP="002F5786">
            <w:pPr>
              <w:pStyle w:val="TAC"/>
            </w:pPr>
            <w:r w:rsidRPr="005E6829">
              <w:rPr>
                <w:lang w:eastAsia="zh-CN"/>
              </w:rPr>
              <w:t>817</w:t>
            </w:r>
            <w:r>
              <w:rPr>
                <w:lang w:eastAsia="zh-CN"/>
              </w:rPr>
              <w:t>4</w:t>
            </w:r>
            <w:r w:rsidRPr="002A78AE">
              <w:rPr>
                <w:lang w:eastAsia="zh-CN"/>
              </w:rPr>
              <w:t xml:space="preserve"> </w:t>
            </w:r>
            <w:r w:rsidRPr="002A78AE">
              <w:sym w:font="Symbol" w:char="F0A3"/>
            </w:r>
            <w:r w:rsidRPr="002A78AE">
              <w:rPr>
                <w:lang w:eastAsia="zh-CN"/>
              </w:rPr>
              <w:t xml:space="preserve"> </w:t>
            </w:r>
            <w:r>
              <w:sym w:font="Symbol" w:char="F044"/>
            </w:r>
            <w:r>
              <w:t>path</w:t>
            </w:r>
          </w:p>
        </w:tc>
        <w:tc>
          <w:tcPr>
            <w:tcW w:w="567" w:type="dxa"/>
            <w:tcBorders>
              <w:top w:val="single" w:sz="4" w:space="0" w:color="auto"/>
              <w:left w:val="single" w:sz="4" w:space="0" w:color="auto"/>
              <w:bottom w:val="single" w:sz="4" w:space="0" w:color="auto"/>
              <w:right w:val="single" w:sz="4" w:space="0" w:color="auto"/>
            </w:tcBorders>
          </w:tcPr>
          <w:p w14:paraId="4531F978" w14:textId="77777777" w:rsidR="00777EC6" w:rsidRPr="002A78AE" w:rsidRDefault="00777EC6" w:rsidP="002F5786">
            <w:pPr>
              <w:pStyle w:val="TAC"/>
            </w:pPr>
            <w:r w:rsidRPr="002A78AE">
              <w:t>T</w:t>
            </w:r>
            <w:r w:rsidRPr="002A78AE">
              <w:rPr>
                <w:vertAlign w:val="subscript"/>
              </w:rPr>
              <w:t>c</w:t>
            </w:r>
          </w:p>
        </w:tc>
      </w:tr>
    </w:tbl>
    <w:p w14:paraId="07C9E3F8" w14:textId="77777777" w:rsidR="00777EC6" w:rsidRDefault="00777EC6" w:rsidP="002F5786"/>
    <w:p w14:paraId="673B44D5" w14:textId="77777777" w:rsidR="00777EC6" w:rsidRDefault="00777EC6" w:rsidP="002F5786">
      <w:pPr>
        <w:pStyle w:val="TH"/>
      </w:pPr>
      <w:r w:rsidRPr="00DE253F">
        <w:t xml:space="preserve">Table </w:t>
      </w:r>
      <w:r>
        <w:t>10.1.25.3.3-4</w:t>
      </w:r>
      <w:r w:rsidRPr="00DE253F">
        <w:t xml:space="preserve">: </w:t>
      </w:r>
      <w:r>
        <w:t xml:space="preserve">Report mapping for </w:t>
      </w:r>
      <w:r w:rsidRPr="00DE253F">
        <w:rPr>
          <w:i/>
          <w:iCs/>
        </w:rPr>
        <w:t>k</w:t>
      </w:r>
      <w:r>
        <w:t>=3</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777EC6" w:rsidRPr="002A78AE" w14:paraId="46294A11" w14:textId="77777777" w:rsidTr="00051ED3">
        <w:trPr>
          <w:cantSplit/>
          <w:trHeight w:val="147"/>
        </w:trPr>
        <w:tc>
          <w:tcPr>
            <w:tcW w:w="2693" w:type="dxa"/>
            <w:vAlign w:val="center"/>
          </w:tcPr>
          <w:p w14:paraId="67CC91DE" w14:textId="77777777" w:rsidR="00777EC6" w:rsidRPr="002A78AE" w:rsidRDefault="00777EC6" w:rsidP="00DA29A5">
            <w:pPr>
              <w:pStyle w:val="TAH"/>
            </w:pPr>
            <w:r w:rsidRPr="002A78AE">
              <w:t>Reported Quantity Value</w:t>
            </w:r>
            <w:r>
              <w:t>,</w:t>
            </w:r>
          </w:p>
          <w:p w14:paraId="2E04E078" w14:textId="77777777" w:rsidR="00777EC6" w:rsidRPr="002A78AE" w:rsidRDefault="00777EC6" w:rsidP="00DA29A5">
            <w:pPr>
              <w:pStyle w:val="TAH"/>
            </w:pPr>
            <w:r>
              <w:t>path</w:t>
            </w:r>
            <w:r w:rsidRPr="002A78AE">
              <w:t>_i</w:t>
            </w:r>
          </w:p>
        </w:tc>
        <w:tc>
          <w:tcPr>
            <w:tcW w:w="2694" w:type="dxa"/>
            <w:vAlign w:val="center"/>
          </w:tcPr>
          <w:p w14:paraId="0C2427E0" w14:textId="77777777" w:rsidR="00777EC6" w:rsidRDefault="00777EC6" w:rsidP="00DA29A5">
            <w:pPr>
              <w:pStyle w:val="TAH"/>
            </w:pPr>
            <w:r w:rsidRPr="002A78AE">
              <w:t>Measured Quantity Value</w:t>
            </w:r>
            <w:r>
              <w:t>,</w:t>
            </w:r>
          </w:p>
          <w:p w14:paraId="621A6C67" w14:textId="77777777" w:rsidR="00777EC6" w:rsidRPr="002A78AE" w:rsidRDefault="00777EC6" w:rsidP="00DA29A5">
            <w:pPr>
              <w:pStyle w:val="TAH"/>
            </w:pPr>
            <w:r>
              <w:sym w:font="Symbol" w:char="F044"/>
            </w:r>
            <w:r>
              <w:t>path</w:t>
            </w:r>
          </w:p>
        </w:tc>
        <w:tc>
          <w:tcPr>
            <w:tcW w:w="567" w:type="dxa"/>
            <w:vAlign w:val="center"/>
          </w:tcPr>
          <w:p w14:paraId="2ABD95D1" w14:textId="77777777" w:rsidR="00777EC6" w:rsidRPr="002A78AE" w:rsidRDefault="00777EC6" w:rsidP="00DA29A5">
            <w:pPr>
              <w:pStyle w:val="TAH"/>
            </w:pPr>
            <w:r w:rsidRPr="002A78AE">
              <w:t>Unit</w:t>
            </w:r>
          </w:p>
        </w:tc>
      </w:tr>
      <w:tr w:rsidR="00777EC6" w:rsidRPr="002A78AE" w14:paraId="71D08D6E" w14:textId="77777777" w:rsidTr="00051ED3">
        <w:trPr>
          <w:cantSplit/>
        </w:trPr>
        <w:tc>
          <w:tcPr>
            <w:tcW w:w="2693" w:type="dxa"/>
          </w:tcPr>
          <w:p w14:paraId="390B5188" w14:textId="77777777" w:rsidR="00777EC6" w:rsidRPr="002A78AE" w:rsidRDefault="00777EC6" w:rsidP="00DA29A5">
            <w:pPr>
              <w:pStyle w:val="TAC"/>
            </w:pPr>
            <w:r>
              <w:rPr>
                <w:lang w:eastAsia="zh-CN"/>
              </w:rPr>
              <w:t>path</w:t>
            </w:r>
            <w:r w:rsidRPr="002A78AE">
              <w:t>_0000</w:t>
            </w:r>
          </w:p>
        </w:tc>
        <w:tc>
          <w:tcPr>
            <w:tcW w:w="2694" w:type="dxa"/>
          </w:tcPr>
          <w:p w14:paraId="0243A2B4" w14:textId="77777777" w:rsidR="00777EC6" w:rsidRPr="002A78AE" w:rsidRDefault="00777EC6" w:rsidP="00DA29A5">
            <w:pPr>
              <w:pStyle w:val="TAC"/>
            </w:pPr>
            <w:r>
              <w:sym w:font="Symbol" w:char="F044"/>
            </w:r>
            <w:r>
              <w:t>path</w:t>
            </w:r>
            <w:r w:rsidRPr="002A78AE">
              <w:rPr>
                <w:lang w:eastAsia="zh-CN"/>
              </w:rPr>
              <w:t xml:space="preserve"> &lt; </w:t>
            </w:r>
            <w:r>
              <w:rPr>
                <w:lang w:eastAsia="zh-CN"/>
              </w:rPr>
              <w:t>-</w:t>
            </w:r>
            <w:r w:rsidRPr="005E6829">
              <w:rPr>
                <w:lang w:eastAsia="zh-CN"/>
              </w:rPr>
              <w:t>817</w:t>
            </w:r>
            <w:r>
              <w:rPr>
                <w:lang w:eastAsia="zh-CN"/>
              </w:rPr>
              <w:t>2</w:t>
            </w:r>
          </w:p>
        </w:tc>
        <w:tc>
          <w:tcPr>
            <w:tcW w:w="567" w:type="dxa"/>
          </w:tcPr>
          <w:p w14:paraId="77C59420" w14:textId="77777777" w:rsidR="00777EC6" w:rsidRPr="002A78AE" w:rsidRDefault="00777EC6" w:rsidP="00DA29A5">
            <w:pPr>
              <w:pStyle w:val="TAC"/>
            </w:pPr>
            <w:r w:rsidRPr="002A78AE">
              <w:t>T</w:t>
            </w:r>
            <w:r w:rsidRPr="002A78AE">
              <w:rPr>
                <w:vertAlign w:val="subscript"/>
              </w:rPr>
              <w:t>c</w:t>
            </w:r>
          </w:p>
        </w:tc>
      </w:tr>
      <w:tr w:rsidR="00777EC6" w:rsidRPr="002A78AE" w14:paraId="48A7B31C" w14:textId="77777777" w:rsidTr="00051ED3">
        <w:trPr>
          <w:cantSplit/>
        </w:trPr>
        <w:tc>
          <w:tcPr>
            <w:tcW w:w="2693" w:type="dxa"/>
          </w:tcPr>
          <w:p w14:paraId="68CEA4D4" w14:textId="77777777" w:rsidR="00777EC6" w:rsidRPr="002A78AE" w:rsidRDefault="00777EC6" w:rsidP="00DA29A5">
            <w:pPr>
              <w:pStyle w:val="TAC"/>
            </w:pPr>
            <w:r>
              <w:rPr>
                <w:lang w:eastAsia="zh-CN"/>
              </w:rPr>
              <w:t>path</w:t>
            </w:r>
            <w:r w:rsidRPr="002A78AE">
              <w:t>_0001</w:t>
            </w:r>
          </w:p>
        </w:tc>
        <w:tc>
          <w:tcPr>
            <w:tcW w:w="2694" w:type="dxa"/>
          </w:tcPr>
          <w:p w14:paraId="5A963A32" w14:textId="77777777" w:rsidR="00777EC6" w:rsidRPr="002A78AE" w:rsidRDefault="00777EC6" w:rsidP="00DA29A5">
            <w:pPr>
              <w:pStyle w:val="TAC"/>
            </w:pPr>
            <w:r>
              <w:rPr>
                <w:lang w:eastAsia="zh-CN"/>
              </w:rPr>
              <w:t>-</w:t>
            </w:r>
            <w:r w:rsidRPr="005E6829">
              <w:rPr>
                <w:lang w:eastAsia="zh-CN"/>
              </w:rPr>
              <w:t>817</w:t>
            </w:r>
            <w:r>
              <w:rPr>
                <w:lang w:eastAsia="zh-CN"/>
              </w:rPr>
              <w:t>2</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8164</w:t>
            </w:r>
          </w:p>
        </w:tc>
        <w:tc>
          <w:tcPr>
            <w:tcW w:w="567" w:type="dxa"/>
          </w:tcPr>
          <w:p w14:paraId="5043808E" w14:textId="77777777" w:rsidR="00777EC6" w:rsidRPr="002A78AE" w:rsidRDefault="00777EC6" w:rsidP="00DA29A5">
            <w:pPr>
              <w:pStyle w:val="TAC"/>
            </w:pPr>
            <w:r w:rsidRPr="002A78AE">
              <w:t>T</w:t>
            </w:r>
            <w:r w:rsidRPr="002A78AE">
              <w:rPr>
                <w:vertAlign w:val="subscript"/>
              </w:rPr>
              <w:t>c</w:t>
            </w:r>
          </w:p>
        </w:tc>
      </w:tr>
      <w:tr w:rsidR="00777EC6" w:rsidRPr="002A78AE" w14:paraId="1B887EC6" w14:textId="77777777" w:rsidTr="00051ED3">
        <w:trPr>
          <w:cantSplit/>
        </w:trPr>
        <w:tc>
          <w:tcPr>
            <w:tcW w:w="2693" w:type="dxa"/>
          </w:tcPr>
          <w:p w14:paraId="648F05BF" w14:textId="77777777" w:rsidR="00777EC6" w:rsidRPr="002A78AE" w:rsidRDefault="00777EC6" w:rsidP="00DA29A5">
            <w:pPr>
              <w:pStyle w:val="TAC"/>
            </w:pPr>
            <w:r>
              <w:rPr>
                <w:lang w:eastAsia="zh-CN"/>
              </w:rPr>
              <w:t>path</w:t>
            </w:r>
            <w:r w:rsidRPr="002A78AE">
              <w:t>_0002</w:t>
            </w:r>
          </w:p>
        </w:tc>
        <w:tc>
          <w:tcPr>
            <w:tcW w:w="2694" w:type="dxa"/>
          </w:tcPr>
          <w:p w14:paraId="5DDC62A7" w14:textId="77777777" w:rsidR="00777EC6" w:rsidRPr="002A78AE" w:rsidRDefault="00777EC6" w:rsidP="00DA29A5">
            <w:pPr>
              <w:pStyle w:val="TAC"/>
            </w:pPr>
            <w:r w:rsidRPr="002A78AE">
              <w:rPr>
                <w:lang w:eastAsia="zh-CN"/>
              </w:rPr>
              <w:t>-</w:t>
            </w:r>
            <w:r>
              <w:rPr>
                <w:lang w:eastAsia="zh-CN"/>
              </w:rPr>
              <w:t>8164</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8156</w:t>
            </w:r>
          </w:p>
        </w:tc>
        <w:tc>
          <w:tcPr>
            <w:tcW w:w="567" w:type="dxa"/>
          </w:tcPr>
          <w:p w14:paraId="6AC17A94" w14:textId="77777777" w:rsidR="00777EC6" w:rsidRPr="002A78AE" w:rsidRDefault="00777EC6" w:rsidP="00DA29A5">
            <w:pPr>
              <w:pStyle w:val="TAC"/>
            </w:pPr>
            <w:r w:rsidRPr="002A78AE">
              <w:t>T</w:t>
            </w:r>
            <w:r w:rsidRPr="002A78AE">
              <w:rPr>
                <w:vertAlign w:val="subscript"/>
              </w:rPr>
              <w:t>c</w:t>
            </w:r>
          </w:p>
        </w:tc>
      </w:tr>
      <w:tr w:rsidR="00777EC6" w:rsidRPr="002A78AE" w14:paraId="57341A43" w14:textId="77777777" w:rsidTr="00051ED3">
        <w:trPr>
          <w:cantSplit/>
        </w:trPr>
        <w:tc>
          <w:tcPr>
            <w:tcW w:w="2693" w:type="dxa"/>
          </w:tcPr>
          <w:p w14:paraId="5E7420D5" w14:textId="77777777" w:rsidR="00777EC6" w:rsidRPr="002A78AE" w:rsidRDefault="00777EC6" w:rsidP="00DA29A5">
            <w:pPr>
              <w:pStyle w:val="TAC"/>
            </w:pPr>
            <w:r w:rsidRPr="002A78AE">
              <w:sym w:font="Symbol" w:char="F0BC"/>
            </w:r>
          </w:p>
        </w:tc>
        <w:tc>
          <w:tcPr>
            <w:tcW w:w="2694" w:type="dxa"/>
          </w:tcPr>
          <w:p w14:paraId="281C8058" w14:textId="77777777" w:rsidR="00777EC6" w:rsidRPr="002A78AE" w:rsidRDefault="00777EC6" w:rsidP="00DA29A5">
            <w:pPr>
              <w:pStyle w:val="TAC"/>
            </w:pPr>
            <w:r w:rsidRPr="002A78AE">
              <w:sym w:font="Symbol" w:char="F0BC"/>
            </w:r>
          </w:p>
        </w:tc>
        <w:tc>
          <w:tcPr>
            <w:tcW w:w="567" w:type="dxa"/>
          </w:tcPr>
          <w:p w14:paraId="68747833" w14:textId="77777777" w:rsidR="00777EC6" w:rsidRPr="002A78AE" w:rsidRDefault="00777EC6" w:rsidP="00DA29A5">
            <w:pPr>
              <w:pStyle w:val="TAC"/>
            </w:pPr>
            <w:r w:rsidRPr="002A78AE">
              <w:t>…</w:t>
            </w:r>
          </w:p>
        </w:tc>
      </w:tr>
      <w:tr w:rsidR="00777EC6" w:rsidRPr="002A78AE" w14:paraId="6A4622A0" w14:textId="77777777" w:rsidTr="00051ED3">
        <w:trPr>
          <w:cantSplit/>
        </w:trPr>
        <w:tc>
          <w:tcPr>
            <w:tcW w:w="2693" w:type="dxa"/>
          </w:tcPr>
          <w:p w14:paraId="04E05F19" w14:textId="77777777" w:rsidR="00777EC6" w:rsidRPr="002A78AE" w:rsidRDefault="00777EC6" w:rsidP="00DA29A5">
            <w:pPr>
              <w:pStyle w:val="TAC"/>
            </w:pPr>
            <w:r>
              <w:rPr>
                <w:lang w:eastAsia="zh-CN"/>
              </w:rPr>
              <w:t>path</w:t>
            </w:r>
            <w:r w:rsidRPr="002A78AE">
              <w:rPr>
                <w:lang w:eastAsia="zh-CN"/>
              </w:rPr>
              <w:t>_</w:t>
            </w:r>
            <w:r>
              <w:rPr>
                <w:lang w:eastAsia="zh-CN"/>
              </w:rPr>
              <w:t>1022</w:t>
            </w:r>
          </w:p>
        </w:tc>
        <w:tc>
          <w:tcPr>
            <w:tcW w:w="2694" w:type="dxa"/>
          </w:tcPr>
          <w:p w14:paraId="2EAD04FF" w14:textId="77777777" w:rsidR="00777EC6" w:rsidRPr="002A78AE" w:rsidRDefault="00777EC6" w:rsidP="00DA29A5">
            <w:pPr>
              <w:pStyle w:val="TAC"/>
            </w:pPr>
            <w:r w:rsidRPr="002A78AE">
              <w:rPr>
                <w:lang w:eastAsia="zh-CN"/>
              </w:rPr>
              <w:t>-</w:t>
            </w:r>
            <w:r>
              <w:rPr>
                <w:lang w:eastAsia="zh-CN"/>
              </w:rPr>
              <w:t>4</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4</w:t>
            </w:r>
          </w:p>
        </w:tc>
        <w:tc>
          <w:tcPr>
            <w:tcW w:w="567" w:type="dxa"/>
          </w:tcPr>
          <w:p w14:paraId="3EA565FB" w14:textId="77777777" w:rsidR="00777EC6" w:rsidRPr="002A78AE" w:rsidRDefault="00777EC6" w:rsidP="00DA29A5">
            <w:pPr>
              <w:pStyle w:val="TAC"/>
            </w:pPr>
            <w:r w:rsidRPr="002A78AE">
              <w:t>T</w:t>
            </w:r>
            <w:r w:rsidRPr="002A78AE">
              <w:rPr>
                <w:vertAlign w:val="subscript"/>
              </w:rPr>
              <w:t>c</w:t>
            </w:r>
          </w:p>
        </w:tc>
      </w:tr>
      <w:tr w:rsidR="00777EC6" w:rsidRPr="002A78AE" w14:paraId="5438D307"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1FAB492A" w14:textId="77777777" w:rsidR="00777EC6" w:rsidRPr="002A78AE" w:rsidRDefault="00777EC6" w:rsidP="00DA29A5">
            <w:pPr>
              <w:pStyle w:val="TAC"/>
            </w:pPr>
            <w:r w:rsidRPr="002A78AE">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09229F76" w14:textId="77777777" w:rsidR="00777EC6" w:rsidRPr="002A78AE" w:rsidRDefault="00777EC6" w:rsidP="00DA29A5">
            <w:pPr>
              <w:pStyle w:val="TAC"/>
            </w:pPr>
            <w:r w:rsidRPr="002A78AE">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104C251F" w14:textId="77777777" w:rsidR="00777EC6" w:rsidRPr="002A78AE" w:rsidRDefault="00777EC6" w:rsidP="00DA29A5">
            <w:pPr>
              <w:pStyle w:val="TAC"/>
            </w:pPr>
            <w:r w:rsidRPr="002A78AE">
              <w:t>…</w:t>
            </w:r>
          </w:p>
        </w:tc>
      </w:tr>
      <w:tr w:rsidR="00777EC6" w:rsidRPr="002A78AE" w14:paraId="3FE45EC2"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2304994C" w14:textId="77777777" w:rsidR="00777EC6" w:rsidRPr="002A78AE" w:rsidRDefault="00777EC6" w:rsidP="00DA29A5">
            <w:pPr>
              <w:pStyle w:val="TAC"/>
            </w:pPr>
            <w:r>
              <w:rPr>
                <w:lang w:eastAsia="zh-CN"/>
              </w:rPr>
              <w:t>path</w:t>
            </w:r>
            <w:r w:rsidRPr="002A78AE">
              <w:rPr>
                <w:lang w:eastAsia="zh-CN"/>
              </w:rPr>
              <w:t>_</w:t>
            </w:r>
            <w:r>
              <w:rPr>
                <w:bCs/>
                <w:lang w:eastAsia="zh-CN"/>
              </w:rPr>
              <w:t>2042</w:t>
            </w:r>
          </w:p>
        </w:tc>
        <w:tc>
          <w:tcPr>
            <w:tcW w:w="2694" w:type="dxa"/>
            <w:tcBorders>
              <w:top w:val="single" w:sz="4" w:space="0" w:color="auto"/>
              <w:left w:val="single" w:sz="4" w:space="0" w:color="auto"/>
              <w:bottom w:val="single" w:sz="4" w:space="0" w:color="auto"/>
              <w:right w:val="single" w:sz="4" w:space="0" w:color="auto"/>
            </w:tcBorders>
          </w:tcPr>
          <w:p w14:paraId="0279C5B7" w14:textId="77777777" w:rsidR="00777EC6" w:rsidRPr="002A78AE" w:rsidRDefault="00777EC6" w:rsidP="00DA29A5">
            <w:pPr>
              <w:pStyle w:val="TAC"/>
            </w:pPr>
            <w:r>
              <w:rPr>
                <w:lang w:eastAsia="zh-CN"/>
              </w:rPr>
              <w:t>8156</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8164</w:t>
            </w:r>
          </w:p>
        </w:tc>
        <w:tc>
          <w:tcPr>
            <w:tcW w:w="567" w:type="dxa"/>
            <w:tcBorders>
              <w:top w:val="single" w:sz="4" w:space="0" w:color="auto"/>
              <w:left w:val="single" w:sz="4" w:space="0" w:color="auto"/>
              <w:bottom w:val="single" w:sz="4" w:space="0" w:color="auto"/>
              <w:right w:val="single" w:sz="4" w:space="0" w:color="auto"/>
            </w:tcBorders>
          </w:tcPr>
          <w:p w14:paraId="14A2AD70" w14:textId="77777777" w:rsidR="00777EC6" w:rsidRPr="002A78AE" w:rsidRDefault="00777EC6" w:rsidP="00DA29A5">
            <w:pPr>
              <w:pStyle w:val="TAC"/>
            </w:pPr>
            <w:r w:rsidRPr="002A78AE">
              <w:t>T</w:t>
            </w:r>
            <w:r w:rsidRPr="002A78AE">
              <w:rPr>
                <w:vertAlign w:val="subscript"/>
              </w:rPr>
              <w:t>c</w:t>
            </w:r>
          </w:p>
        </w:tc>
      </w:tr>
      <w:tr w:rsidR="00777EC6" w:rsidRPr="002A78AE" w14:paraId="17319978"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7140461" w14:textId="77777777" w:rsidR="00777EC6" w:rsidRPr="002A78AE" w:rsidRDefault="00777EC6" w:rsidP="00DA29A5">
            <w:pPr>
              <w:pStyle w:val="TAC"/>
            </w:pPr>
            <w:r>
              <w:rPr>
                <w:lang w:eastAsia="zh-CN"/>
              </w:rPr>
              <w:t>path</w:t>
            </w:r>
            <w:r w:rsidRPr="002A78AE">
              <w:rPr>
                <w:lang w:eastAsia="zh-CN"/>
              </w:rPr>
              <w:t>_</w:t>
            </w:r>
            <w:r>
              <w:rPr>
                <w:bCs/>
                <w:lang w:eastAsia="zh-CN"/>
              </w:rPr>
              <w:t>2043</w:t>
            </w:r>
          </w:p>
        </w:tc>
        <w:tc>
          <w:tcPr>
            <w:tcW w:w="2694" w:type="dxa"/>
            <w:tcBorders>
              <w:top w:val="single" w:sz="4" w:space="0" w:color="auto"/>
              <w:left w:val="single" w:sz="4" w:space="0" w:color="auto"/>
              <w:bottom w:val="single" w:sz="4" w:space="0" w:color="auto"/>
              <w:right w:val="single" w:sz="4" w:space="0" w:color="auto"/>
            </w:tcBorders>
          </w:tcPr>
          <w:p w14:paraId="15F8D728" w14:textId="77777777" w:rsidR="00777EC6" w:rsidRPr="002A78AE" w:rsidRDefault="00777EC6" w:rsidP="00DA29A5">
            <w:pPr>
              <w:pStyle w:val="TAC"/>
            </w:pPr>
            <w:r>
              <w:rPr>
                <w:lang w:eastAsia="zh-CN"/>
              </w:rPr>
              <w:t>8164</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8172</w:t>
            </w:r>
          </w:p>
        </w:tc>
        <w:tc>
          <w:tcPr>
            <w:tcW w:w="567" w:type="dxa"/>
            <w:tcBorders>
              <w:top w:val="single" w:sz="4" w:space="0" w:color="auto"/>
              <w:left w:val="single" w:sz="4" w:space="0" w:color="auto"/>
              <w:bottom w:val="single" w:sz="4" w:space="0" w:color="auto"/>
              <w:right w:val="single" w:sz="4" w:space="0" w:color="auto"/>
            </w:tcBorders>
          </w:tcPr>
          <w:p w14:paraId="0662CBD0" w14:textId="77777777" w:rsidR="00777EC6" w:rsidRPr="002A78AE" w:rsidRDefault="00777EC6" w:rsidP="00DA29A5">
            <w:pPr>
              <w:pStyle w:val="TAC"/>
            </w:pPr>
            <w:r w:rsidRPr="002A78AE">
              <w:t>T</w:t>
            </w:r>
            <w:r w:rsidRPr="002A78AE">
              <w:rPr>
                <w:vertAlign w:val="subscript"/>
              </w:rPr>
              <w:t>c</w:t>
            </w:r>
          </w:p>
        </w:tc>
      </w:tr>
      <w:tr w:rsidR="00777EC6" w:rsidRPr="002A78AE" w14:paraId="2859095B"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64D95F31" w14:textId="77777777" w:rsidR="00777EC6" w:rsidRPr="002A78AE" w:rsidRDefault="00777EC6" w:rsidP="00DA29A5">
            <w:pPr>
              <w:pStyle w:val="TAC"/>
            </w:pPr>
            <w:r>
              <w:rPr>
                <w:lang w:eastAsia="zh-CN"/>
              </w:rPr>
              <w:t>path</w:t>
            </w:r>
            <w:r w:rsidRPr="002A78AE">
              <w:rPr>
                <w:lang w:eastAsia="zh-CN"/>
              </w:rPr>
              <w:t>_</w:t>
            </w:r>
            <w:r>
              <w:rPr>
                <w:bCs/>
                <w:lang w:eastAsia="zh-CN"/>
              </w:rPr>
              <w:t>2044</w:t>
            </w:r>
          </w:p>
        </w:tc>
        <w:tc>
          <w:tcPr>
            <w:tcW w:w="2694" w:type="dxa"/>
            <w:tcBorders>
              <w:top w:val="single" w:sz="4" w:space="0" w:color="auto"/>
              <w:left w:val="single" w:sz="4" w:space="0" w:color="auto"/>
              <w:bottom w:val="single" w:sz="4" w:space="0" w:color="auto"/>
              <w:right w:val="single" w:sz="4" w:space="0" w:color="auto"/>
            </w:tcBorders>
          </w:tcPr>
          <w:p w14:paraId="0225C966" w14:textId="77777777" w:rsidR="00777EC6" w:rsidRPr="002A78AE" w:rsidRDefault="00777EC6" w:rsidP="00DA29A5">
            <w:pPr>
              <w:pStyle w:val="TAC"/>
            </w:pPr>
            <w:r>
              <w:rPr>
                <w:lang w:eastAsia="zh-CN"/>
              </w:rPr>
              <w:t>8172</w:t>
            </w:r>
            <w:r w:rsidRPr="00354FC8">
              <w:rPr>
                <w:lang w:eastAsia="zh-CN"/>
              </w:rPr>
              <w:t xml:space="preserve"> </w:t>
            </w:r>
            <w:r w:rsidRPr="00354FC8">
              <w:sym w:font="Symbol" w:char="F0A3"/>
            </w:r>
            <w:r w:rsidRPr="00354FC8">
              <w:rPr>
                <w:lang w:eastAsia="zh-CN"/>
              </w:rPr>
              <w:t xml:space="preserve"> </w:t>
            </w:r>
            <w:r w:rsidRPr="00354FC8">
              <w:sym w:font="Symbol" w:char="F044"/>
            </w:r>
            <w:r>
              <w:t>path</w:t>
            </w:r>
          </w:p>
        </w:tc>
        <w:tc>
          <w:tcPr>
            <w:tcW w:w="567" w:type="dxa"/>
            <w:tcBorders>
              <w:top w:val="single" w:sz="4" w:space="0" w:color="auto"/>
              <w:left w:val="single" w:sz="4" w:space="0" w:color="auto"/>
              <w:bottom w:val="single" w:sz="4" w:space="0" w:color="auto"/>
              <w:right w:val="single" w:sz="4" w:space="0" w:color="auto"/>
            </w:tcBorders>
          </w:tcPr>
          <w:p w14:paraId="7EAC056C" w14:textId="77777777" w:rsidR="00777EC6" w:rsidRPr="002A78AE" w:rsidRDefault="00777EC6" w:rsidP="00DA29A5">
            <w:pPr>
              <w:pStyle w:val="TAC"/>
            </w:pPr>
            <w:r w:rsidRPr="002A78AE">
              <w:t>T</w:t>
            </w:r>
            <w:r w:rsidRPr="002A78AE">
              <w:rPr>
                <w:vertAlign w:val="subscript"/>
              </w:rPr>
              <w:t>c</w:t>
            </w:r>
          </w:p>
        </w:tc>
      </w:tr>
    </w:tbl>
    <w:p w14:paraId="7AC8C20B" w14:textId="77777777" w:rsidR="00777EC6" w:rsidRDefault="00777EC6" w:rsidP="002F5786"/>
    <w:p w14:paraId="02C925F9" w14:textId="77777777" w:rsidR="00777EC6" w:rsidRPr="00DE253F" w:rsidRDefault="00777EC6" w:rsidP="002F5786">
      <w:pPr>
        <w:pStyle w:val="TH"/>
        <w:rPr>
          <w:rFonts w:cs="Arial"/>
          <w:lang w:val="en-US" w:eastAsia="ja-JP"/>
        </w:rPr>
      </w:pPr>
      <w:r w:rsidRPr="00DE253F">
        <w:t xml:space="preserve">Table </w:t>
      </w:r>
      <w:r>
        <w:t>10.1.25.3.3-5</w:t>
      </w:r>
      <w:r w:rsidRPr="00DE253F">
        <w:t xml:space="preserve">: </w:t>
      </w:r>
      <w:r>
        <w:t xml:space="preserve">Report mapping for </w:t>
      </w:r>
      <w:r w:rsidRPr="00DE253F">
        <w:rPr>
          <w:i/>
          <w:iCs/>
        </w:rPr>
        <w:t>k</w:t>
      </w:r>
      <w:r>
        <w:t>=4</w:t>
      </w:r>
    </w:p>
    <w:tbl>
      <w:tblPr>
        <w:tblW w:w="5954"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7"/>
      </w:tblGrid>
      <w:tr w:rsidR="00777EC6" w:rsidRPr="002A78AE" w14:paraId="372DE792" w14:textId="77777777" w:rsidTr="00051ED3">
        <w:trPr>
          <w:cantSplit/>
          <w:trHeight w:val="136"/>
        </w:trPr>
        <w:tc>
          <w:tcPr>
            <w:tcW w:w="2693" w:type="dxa"/>
            <w:vAlign w:val="center"/>
          </w:tcPr>
          <w:p w14:paraId="79C26C3D" w14:textId="77777777" w:rsidR="00777EC6" w:rsidRPr="002A78AE" w:rsidRDefault="00777EC6" w:rsidP="00DA29A5">
            <w:pPr>
              <w:pStyle w:val="TAH"/>
            </w:pPr>
            <w:r w:rsidRPr="002A78AE">
              <w:t>Reported Quantity Value</w:t>
            </w:r>
            <w:r>
              <w:t>,</w:t>
            </w:r>
          </w:p>
          <w:p w14:paraId="32BF5580" w14:textId="77777777" w:rsidR="00777EC6" w:rsidRPr="002A78AE" w:rsidRDefault="00777EC6" w:rsidP="00DA29A5">
            <w:pPr>
              <w:pStyle w:val="TAH"/>
            </w:pPr>
            <w:r>
              <w:t>path</w:t>
            </w:r>
            <w:r w:rsidRPr="002A78AE">
              <w:t>_i</w:t>
            </w:r>
          </w:p>
        </w:tc>
        <w:tc>
          <w:tcPr>
            <w:tcW w:w="2694" w:type="dxa"/>
            <w:vAlign w:val="center"/>
          </w:tcPr>
          <w:p w14:paraId="713FEB49" w14:textId="77777777" w:rsidR="00777EC6" w:rsidRDefault="00777EC6" w:rsidP="00DA29A5">
            <w:pPr>
              <w:pStyle w:val="TAH"/>
            </w:pPr>
            <w:r w:rsidRPr="002A78AE">
              <w:t>Measured Quantity Value</w:t>
            </w:r>
            <w:r>
              <w:t>,</w:t>
            </w:r>
          </w:p>
          <w:p w14:paraId="3C323CEA" w14:textId="77777777" w:rsidR="00777EC6" w:rsidRPr="002A78AE" w:rsidRDefault="00777EC6" w:rsidP="00DA29A5">
            <w:pPr>
              <w:pStyle w:val="TAH"/>
            </w:pPr>
            <w:r>
              <w:sym w:font="Symbol" w:char="F044"/>
            </w:r>
            <w:r>
              <w:t>path</w:t>
            </w:r>
          </w:p>
        </w:tc>
        <w:tc>
          <w:tcPr>
            <w:tcW w:w="567" w:type="dxa"/>
            <w:vAlign w:val="center"/>
          </w:tcPr>
          <w:p w14:paraId="6E57BE56" w14:textId="77777777" w:rsidR="00777EC6" w:rsidRPr="002A78AE" w:rsidRDefault="00777EC6" w:rsidP="00DA29A5">
            <w:pPr>
              <w:pStyle w:val="TAH"/>
            </w:pPr>
            <w:r w:rsidRPr="002A78AE">
              <w:t>Unit</w:t>
            </w:r>
          </w:p>
        </w:tc>
      </w:tr>
      <w:tr w:rsidR="00777EC6" w:rsidRPr="002A78AE" w14:paraId="1DE61AB1" w14:textId="77777777" w:rsidTr="00051ED3">
        <w:trPr>
          <w:cantSplit/>
        </w:trPr>
        <w:tc>
          <w:tcPr>
            <w:tcW w:w="2693" w:type="dxa"/>
          </w:tcPr>
          <w:p w14:paraId="7719AF77" w14:textId="77777777" w:rsidR="00777EC6" w:rsidRPr="002A78AE" w:rsidRDefault="00777EC6" w:rsidP="00DA29A5">
            <w:pPr>
              <w:pStyle w:val="TAC"/>
            </w:pPr>
            <w:r>
              <w:rPr>
                <w:lang w:eastAsia="zh-CN"/>
              </w:rPr>
              <w:t>path</w:t>
            </w:r>
            <w:r w:rsidRPr="002A78AE">
              <w:t>_0000</w:t>
            </w:r>
          </w:p>
        </w:tc>
        <w:tc>
          <w:tcPr>
            <w:tcW w:w="2694" w:type="dxa"/>
          </w:tcPr>
          <w:p w14:paraId="2F6D69DC" w14:textId="77777777" w:rsidR="00777EC6" w:rsidRPr="002A78AE" w:rsidRDefault="00777EC6" w:rsidP="002F5786">
            <w:pPr>
              <w:pStyle w:val="TAC"/>
            </w:pPr>
            <w:r>
              <w:sym w:font="Symbol" w:char="F044"/>
            </w:r>
            <w:r>
              <w:t>path</w:t>
            </w:r>
            <w:r w:rsidRPr="002A78AE">
              <w:rPr>
                <w:lang w:eastAsia="zh-CN"/>
              </w:rPr>
              <w:t xml:space="preserve"> &lt; </w:t>
            </w:r>
            <w:r>
              <w:rPr>
                <w:lang w:eastAsia="zh-CN"/>
              </w:rPr>
              <w:t>-</w:t>
            </w:r>
            <w:r w:rsidRPr="005E6829">
              <w:rPr>
                <w:lang w:eastAsia="zh-CN"/>
              </w:rPr>
              <w:t>81</w:t>
            </w:r>
            <w:r>
              <w:rPr>
                <w:lang w:eastAsia="zh-CN"/>
              </w:rPr>
              <w:t>68</w:t>
            </w:r>
          </w:p>
        </w:tc>
        <w:tc>
          <w:tcPr>
            <w:tcW w:w="567" w:type="dxa"/>
          </w:tcPr>
          <w:p w14:paraId="1382D9B1" w14:textId="77777777" w:rsidR="00777EC6" w:rsidRPr="002A78AE" w:rsidRDefault="00777EC6" w:rsidP="002F5786">
            <w:pPr>
              <w:pStyle w:val="TAC"/>
            </w:pPr>
            <w:r w:rsidRPr="002A78AE">
              <w:t>T</w:t>
            </w:r>
            <w:r w:rsidRPr="002A78AE">
              <w:rPr>
                <w:vertAlign w:val="subscript"/>
              </w:rPr>
              <w:t>c</w:t>
            </w:r>
          </w:p>
        </w:tc>
      </w:tr>
      <w:tr w:rsidR="00777EC6" w:rsidRPr="002A78AE" w14:paraId="1B5E33D6" w14:textId="77777777" w:rsidTr="00051ED3">
        <w:trPr>
          <w:cantSplit/>
        </w:trPr>
        <w:tc>
          <w:tcPr>
            <w:tcW w:w="2693" w:type="dxa"/>
          </w:tcPr>
          <w:p w14:paraId="1F9AC568" w14:textId="77777777" w:rsidR="00777EC6" w:rsidRPr="002A78AE" w:rsidRDefault="00777EC6" w:rsidP="00DA29A5">
            <w:pPr>
              <w:pStyle w:val="TAC"/>
            </w:pPr>
            <w:r>
              <w:rPr>
                <w:lang w:eastAsia="zh-CN"/>
              </w:rPr>
              <w:t>path</w:t>
            </w:r>
            <w:r w:rsidRPr="002A78AE">
              <w:t>_0001</w:t>
            </w:r>
          </w:p>
        </w:tc>
        <w:tc>
          <w:tcPr>
            <w:tcW w:w="2694" w:type="dxa"/>
          </w:tcPr>
          <w:p w14:paraId="0F93D6BD" w14:textId="77777777" w:rsidR="00777EC6" w:rsidRPr="002A78AE" w:rsidRDefault="00777EC6" w:rsidP="002F5786">
            <w:pPr>
              <w:pStyle w:val="TAC"/>
            </w:pPr>
            <w:r>
              <w:rPr>
                <w:lang w:eastAsia="zh-CN"/>
              </w:rPr>
              <w:t>-</w:t>
            </w:r>
            <w:r w:rsidRPr="005E6829">
              <w:rPr>
                <w:lang w:eastAsia="zh-CN"/>
              </w:rPr>
              <w:t>81</w:t>
            </w:r>
            <w:r>
              <w:rPr>
                <w:lang w:eastAsia="zh-CN"/>
              </w:rPr>
              <w:t>68</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8152</w:t>
            </w:r>
          </w:p>
        </w:tc>
        <w:tc>
          <w:tcPr>
            <w:tcW w:w="567" w:type="dxa"/>
          </w:tcPr>
          <w:p w14:paraId="35A1CDBA" w14:textId="77777777" w:rsidR="00777EC6" w:rsidRPr="002A78AE" w:rsidRDefault="00777EC6" w:rsidP="002F5786">
            <w:pPr>
              <w:pStyle w:val="TAC"/>
            </w:pPr>
            <w:r w:rsidRPr="002A78AE">
              <w:t>T</w:t>
            </w:r>
            <w:r w:rsidRPr="002A78AE">
              <w:rPr>
                <w:vertAlign w:val="subscript"/>
              </w:rPr>
              <w:t>c</w:t>
            </w:r>
          </w:p>
        </w:tc>
      </w:tr>
      <w:tr w:rsidR="00777EC6" w:rsidRPr="002A78AE" w14:paraId="3613B16F" w14:textId="77777777" w:rsidTr="00051ED3">
        <w:trPr>
          <w:cantSplit/>
        </w:trPr>
        <w:tc>
          <w:tcPr>
            <w:tcW w:w="2693" w:type="dxa"/>
          </w:tcPr>
          <w:p w14:paraId="07F7555D" w14:textId="77777777" w:rsidR="00777EC6" w:rsidRPr="002A78AE" w:rsidRDefault="00777EC6" w:rsidP="00DA29A5">
            <w:pPr>
              <w:pStyle w:val="TAC"/>
            </w:pPr>
            <w:r>
              <w:rPr>
                <w:lang w:eastAsia="zh-CN"/>
              </w:rPr>
              <w:t>path</w:t>
            </w:r>
            <w:r w:rsidRPr="002A78AE">
              <w:t>_0002</w:t>
            </w:r>
          </w:p>
        </w:tc>
        <w:tc>
          <w:tcPr>
            <w:tcW w:w="2694" w:type="dxa"/>
          </w:tcPr>
          <w:p w14:paraId="3692823D" w14:textId="77777777" w:rsidR="00777EC6" w:rsidRPr="002A78AE" w:rsidRDefault="00777EC6" w:rsidP="00DA29A5">
            <w:pPr>
              <w:pStyle w:val="TAC"/>
            </w:pPr>
            <w:r w:rsidRPr="002A78AE">
              <w:rPr>
                <w:lang w:eastAsia="zh-CN"/>
              </w:rPr>
              <w:t>-</w:t>
            </w:r>
            <w:r>
              <w:rPr>
                <w:lang w:eastAsia="zh-CN"/>
              </w:rPr>
              <w:t>8152</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8136</w:t>
            </w:r>
          </w:p>
        </w:tc>
        <w:tc>
          <w:tcPr>
            <w:tcW w:w="567" w:type="dxa"/>
          </w:tcPr>
          <w:p w14:paraId="2D9B3381" w14:textId="77777777" w:rsidR="00777EC6" w:rsidRPr="002A78AE" w:rsidRDefault="00777EC6" w:rsidP="00DA29A5">
            <w:pPr>
              <w:pStyle w:val="TAC"/>
            </w:pPr>
            <w:r w:rsidRPr="002A78AE">
              <w:t>T</w:t>
            </w:r>
            <w:r w:rsidRPr="002A78AE">
              <w:rPr>
                <w:vertAlign w:val="subscript"/>
              </w:rPr>
              <w:t>c</w:t>
            </w:r>
          </w:p>
        </w:tc>
      </w:tr>
      <w:tr w:rsidR="00777EC6" w:rsidRPr="002A78AE" w14:paraId="2B371E9F" w14:textId="77777777" w:rsidTr="00051ED3">
        <w:trPr>
          <w:cantSplit/>
        </w:trPr>
        <w:tc>
          <w:tcPr>
            <w:tcW w:w="2693" w:type="dxa"/>
          </w:tcPr>
          <w:p w14:paraId="2C8AB370" w14:textId="77777777" w:rsidR="00777EC6" w:rsidRPr="002A78AE" w:rsidRDefault="00777EC6" w:rsidP="00DA29A5">
            <w:pPr>
              <w:pStyle w:val="TAC"/>
            </w:pPr>
            <w:r w:rsidRPr="002A78AE">
              <w:sym w:font="Symbol" w:char="F0BC"/>
            </w:r>
          </w:p>
        </w:tc>
        <w:tc>
          <w:tcPr>
            <w:tcW w:w="2694" w:type="dxa"/>
          </w:tcPr>
          <w:p w14:paraId="6012876F" w14:textId="77777777" w:rsidR="00777EC6" w:rsidRPr="002A78AE" w:rsidRDefault="00777EC6" w:rsidP="00DA29A5">
            <w:pPr>
              <w:pStyle w:val="TAC"/>
            </w:pPr>
            <w:r w:rsidRPr="002A78AE">
              <w:sym w:font="Symbol" w:char="F0BC"/>
            </w:r>
          </w:p>
        </w:tc>
        <w:tc>
          <w:tcPr>
            <w:tcW w:w="567" w:type="dxa"/>
          </w:tcPr>
          <w:p w14:paraId="41E28C8F" w14:textId="77777777" w:rsidR="00777EC6" w:rsidRPr="002A78AE" w:rsidRDefault="00777EC6" w:rsidP="00DA29A5">
            <w:pPr>
              <w:pStyle w:val="TAC"/>
            </w:pPr>
            <w:r w:rsidRPr="002A78AE">
              <w:t>…</w:t>
            </w:r>
          </w:p>
        </w:tc>
      </w:tr>
      <w:tr w:rsidR="00777EC6" w:rsidRPr="002A78AE" w14:paraId="1CA4C027" w14:textId="77777777" w:rsidTr="00051ED3">
        <w:trPr>
          <w:cantSplit/>
        </w:trPr>
        <w:tc>
          <w:tcPr>
            <w:tcW w:w="2693" w:type="dxa"/>
          </w:tcPr>
          <w:p w14:paraId="7C9E76FA" w14:textId="77777777" w:rsidR="00777EC6" w:rsidRPr="002A78AE" w:rsidRDefault="00777EC6" w:rsidP="00DA29A5">
            <w:pPr>
              <w:pStyle w:val="TAC"/>
            </w:pPr>
            <w:r>
              <w:rPr>
                <w:lang w:eastAsia="zh-CN"/>
              </w:rPr>
              <w:t>path</w:t>
            </w:r>
            <w:r w:rsidRPr="002A78AE">
              <w:rPr>
                <w:lang w:eastAsia="zh-CN"/>
              </w:rPr>
              <w:t>_</w:t>
            </w:r>
            <w:r>
              <w:rPr>
                <w:lang w:eastAsia="zh-CN"/>
              </w:rPr>
              <w:t>511</w:t>
            </w:r>
          </w:p>
        </w:tc>
        <w:tc>
          <w:tcPr>
            <w:tcW w:w="2694" w:type="dxa"/>
          </w:tcPr>
          <w:p w14:paraId="66473E05" w14:textId="77777777" w:rsidR="00777EC6" w:rsidRPr="002A78AE" w:rsidRDefault="00777EC6" w:rsidP="002F5786">
            <w:pPr>
              <w:pStyle w:val="TAC"/>
            </w:pPr>
            <w:r w:rsidRPr="002A78AE">
              <w:rPr>
                <w:lang w:eastAsia="zh-CN"/>
              </w:rPr>
              <w:t>-</w:t>
            </w:r>
            <w:r>
              <w:rPr>
                <w:lang w:eastAsia="zh-CN"/>
              </w:rPr>
              <w:t>8</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8</w:t>
            </w:r>
          </w:p>
        </w:tc>
        <w:tc>
          <w:tcPr>
            <w:tcW w:w="567" w:type="dxa"/>
          </w:tcPr>
          <w:p w14:paraId="5623208E" w14:textId="77777777" w:rsidR="00777EC6" w:rsidRPr="002A78AE" w:rsidRDefault="00777EC6" w:rsidP="002F5786">
            <w:pPr>
              <w:pStyle w:val="TAC"/>
            </w:pPr>
            <w:r w:rsidRPr="002A78AE">
              <w:t>T</w:t>
            </w:r>
            <w:r w:rsidRPr="002A78AE">
              <w:rPr>
                <w:vertAlign w:val="subscript"/>
              </w:rPr>
              <w:t>c</w:t>
            </w:r>
          </w:p>
        </w:tc>
      </w:tr>
      <w:tr w:rsidR="00777EC6" w:rsidRPr="002A78AE" w14:paraId="781AC669"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776C6677" w14:textId="77777777" w:rsidR="00777EC6" w:rsidRPr="002A78AE" w:rsidRDefault="00777EC6" w:rsidP="00DA29A5">
            <w:pPr>
              <w:pStyle w:val="TAC"/>
            </w:pPr>
            <w:r w:rsidRPr="002A78AE">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14A3DC51" w14:textId="77777777" w:rsidR="00777EC6" w:rsidRPr="002A78AE" w:rsidRDefault="00777EC6" w:rsidP="00DA29A5">
            <w:pPr>
              <w:pStyle w:val="TAC"/>
            </w:pPr>
            <w:r w:rsidRPr="002A78AE">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6D47D748" w14:textId="77777777" w:rsidR="00777EC6" w:rsidRPr="002A78AE" w:rsidRDefault="00777EC6" w:rsidP="00DA29A5">
            <w:pPr>
              <w:pStyle w:val="TAC"/>
            </w:pPr>
            <w:r w:rsidRPr="002A78AE">
              <w:t>…</w:t>
            </w:r>
          </w:p>
        </w:tc>
      </w:tr>
      <w:tr w:rsidR="00777EC6" w:rsidRPr="002A78AE" w14:paraId="3D7529B6"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63AA1A8" w14:textId="77777777" w:rsidR="00777EC6" w:rsidRPr="002A78AE" w:rsidRDefault="00777EC6" w:rsidP="00DA29A5">
            <w:pPr>
              <w:pStyle w:val="TAC"/>
            </w:pPr>
            <w:r>
              <w:rPr>
                <w:lang w:eastAsia="zh-CN"/>
              </w:rPr>
              <w:t>path</w:t>
            </w:r>
            <w:r w:rsidRPr="002A78AE">
              <w:rPr>
                <w:lang w:eastAsia="zh-CN"/>
              </w:rPr>
              <w:t>_</w:t>
            </w:r>
            <w:r>
              <w:rPr>
                <w:bCs/>
                <w:lang w:eastAsia="zh-CN"/>
              </w:rPr>
              <w:t>1020</w:t>
            </w:r>
          </w:p>
        </w:tc>
        <w:tc>
          <w:tcPr>
            <w:tcW w:w="2694" w:type="dxa"/>
            <w:tcBorders>
              <w:top w:val="single" w:sz="4" w:space="0" w:color="auto"/>
              <w:left w:val="single" w:sz="4" w:space="0" w:color="auto"/>
              <w:bottom w:val="single" w:sz="4" w:space="0" w:color="auto"/>
              <w:right w:val="single" w:sz="4" w:space="0" w:color="auto"/>
            </w:tcBorders>
          </w:tcPr>
          <w:p w14:paraId="02587916" w14:textId="77777777" w:rsidR="00777EC6" w:rsidRPr="002A78AE" w:rsidRDefault="00777EC6" w:rsidP="002F5786">
            <w:pPr>
              <w:pStyle w:val="TAC"/>
            </w:pPr>
            <w:r>
              <w:rPr>
                <w:lang w:eastAsia="zh-CN"/>
              </w:rPr>
              <w:t>8136</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Pr>
                <w:lang w:eastAsia="zh-CN"/>
              </w:rPr>
              <w:t>8152</w:t>
            </w:r>
          </w:p>
        </w:tc>
        <w:tc>
          <w:tcPr>
            <w:tcW w:w="567" w:type="dxa"/>
            <w:tcBorders>
              <w:top w:val="single" w:sz="4" w:space="0" w:color="auto"/>
              <w:left w:val="single" w:sz="4" w:space="0" w:color="auto"/>
              <w:bottom w:val="single" w:sz="4" w:space="0" w:color="auto"/>
              <w:right w:val="single" w:sz="4" w:space="0" w:color="auto"/>
            </w:tcBorders>
          </w:tcPr>
          <w:p w14:paraId="1729E64F" w14:textId="77777777" w:rsidR="00777EC6" w:rsidRPr="002A78AE" w:rsidRDefault="00777EC6" w:rsidP="002F5786">
            <w:pPr>
              <w:pStyle w:val="TAC"/>
            </w:pPr>
            <w:r w:rsidRPr="002A78AE">
              <w:t>T</w:t>
            </w:r>
            <w:r w:rsidRPr="002A78AE">
              <w:rPr>
                <w:vertAlign w:val="subscript"/>
              </w:rPr>
              <w:t>c</w:t>
            </w:r>
          </w:p>
        </w:tc>
      </w:tr>
      <w:tr w:rsidR="00777EC6" w:rsidRPr="002A78AE" w14:paraId="41503108"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52CE00C2" w14:textId="77777777" w:rsidR="00777EC6" w:rsidRPr="002A78AE" w:rsidRDefault="00777EC6" w:rsidP="00DA29A5">
            <w:pPr>
              <w:pStyle w:val="TAC"/>
            </w:pPr>
            <w:r>
              <w:rPr>
                <w:lang w:eastAsia="zh-CN"/>
              </w:rPr>
              <w:t>path</w:t>
            </w:r>
            <w:r w:rsidRPr="002A78AE">
              <w:rPr>
                <w:lang w:eastAsia="zh-CN"/>
              </w:rPr>
              <w:t>_</w:t>
            </w:r>
            <w:r>
              <w:rPr>
                <w:bCs/>
                <w:lang w:eastAsia="zh-CN"/>
              </w:rPr>
              <w:t>1021</w:t>
            </w:r>
          </w:p>
        </w:tc>
        <w:tc>
          <w:tcPr>
            <w:tcW w:w="2694" w:type="dxa"/>
            <w:tcBorders>
              <w:top w:val="single" w:sz="4" w:space="0" w:color="auto"/>
              <w:left w:val="single" w:sz="4" w:space="0" w:color="auto"/>
              <w:bottom w:val="single" w:sz="4" w:space="0" w:color="auto"/>
              <w:right w:val="single" w:sz="4" w:space="0" w:color="auto"/>
            </w:tcBorders>
          </w:tcPr>
          <w:p w14:paraId="440003EB" w14:textId="77777777" w:rsidR="00777EC6" w:rsidRPr="002A78AE" w:rsidRDefault="00777EC6" w:rsidP="002F5786">
            <w:pPr>
              <w:pStyle w:val="TAC"/>
            </w:pPr>
            <w:r>
              <w:rPr>
                <w:lang w:eastAsia="zh-CN"/>
              </w:rPr>
              <w:t>8152</w:t>
            </w:r>
            <w:r w:rsidRPr="002A78AE">
              <w:rPr>
                <w:lang w:eastAsia="zh-CN"/>
              </w:rPr>
              <w:t xml:space="preserve"> </w:t>
            </w:r>
            <w:r w:rsidRPr="002A78AE">
              <w:sym w:font="Symbol" w:char="F0A3"/>
            </w:r>
            <w:r w:rsidRPr="002A78AE">
              <w:rPr>
                <w:lang w:eastAsia="zh-CN"/>
              </w:rPr>
              <w:t xml:space="preserve"> </w:t>
            </w:r>
            <w:r>
              <w:sym w:font="Symbol" w:char="F044"/>
            </w:r>
            <w:r>
              <w:t>path</w:t>
            </w:r>
            <w:r w:rsidRPr="002A78AE">
              <w:rPr>
                <w:lang w:eastAsia="zh-CN"/>
              </w:rPr>
              <w:t xml:space="preserve"> </w:t>
            </w:r>
            <w:r w:rsidRPr="002A78AE">
              <w:t>&lt;</w:t>
            </w:r>
            <w:r w:rsidRPr="002A78AE">
              <w:rPr>
                <w:lang w:eastAsia="zh-CN"/>
              </w:rPr>
              <w:t xml:space="preserve"> </w:t>
            </w:r>
            <w:r w:rsidRPr="005E6829">
              <w:rPr>
                <w:lang w:eastAsia="zh-CN"/>
              </w:rPr>
              <w:t>81</w:t>
            </w:r>
            <w:r>
              <w:rPr>
                <w:lang w:eastAsia="zh-CN"/>
              </w:rPr>
              <w:t>68</w:t>
            </w:r>
          </w:p>
        </w:tc>
        <w:tc>
          <w:tcPr>
            <w:tcW w:w="567" w:type="dxa"/>
            <w:tcBorders>
              <w:top w:val="single" w:sz="4" w:space="0" w:color="auto"/>
              <w:left w:val="single" w:sz="4" w:space="0" w:color="auto"/>
              <w:bottom w:val="single" w:sz="4" w:space="0" w:color="auto"/>
              <w:right w:val="single" w:sz="4" w:space="0" w:color="auto"/>
            </w:tcBorders>
          </w:tcPr>
          <w:p w14:paraId="4FA3285C" w14:textId="77777777" w:rsidR="00777EC6" w:rsidRPr="002A78AE" w:rsidRDefault="00777EC6" w:rsidP="002F5786">
            <w:pPr>
              <w:pStyle w:val="TAC"/>
            </w:pPr>
            <w:r w:rsidRPr="002A78AE">
              <w:t>T</w:t>
            </w:r>
            <w:r w:rsidRPr="002A78AE">
              <w:rPr>
                <w:vertAlign w:val="subscript"/>
              </w:rPr>
              <w:t>c</w:t>
            </w:r>
          </w:p>
        </w:tc>
      </w:tr>
      <w:tr w:rsidR="00777EC6" w:rsidRPr="002A78AE" w14:paraId="04705CD0"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3C75D10E" w14:textId="77777777" w:rsidR="00777EC6" w:rsidRPr="002A78AE" w:rsidRDefault="00777EC6" w:rsidP="00DA29A5">
            <w:pPr>
              <w:pStyle w:val="TAC"/>
            </w:pPr>
            <w:r>
              <w:rPr>
                <w:lang w:eastAsia="zh-CN"/>
              </w:rPr>
              <w:t>path</w:t>
            </w:r>
            <w:r w:rsidRPr="002A78AE">
              <w:rPr>
                <w:lang w:eastAsia="zh-CN"/>
              </w:rPr>
              <w:t>_</w:t>
            </w:r>
            <w:r>
              <w:rPr>
                <w:bCs/>
                <w:lang w:eastAsia="zh-CN"/>
              </w:rPr>
              <w:t>1022</w:t>
            </w:r>
          </w:p>
        </w:tc>
        <w:tc>
          <w:tcPr>
            <w:tcW w:w="2694" w:type="dxa"/>
            <w:tcBorders>
              <w:top w:val="single" w:sz="4" w:space="0" w:color="auto"/>
              <w:left w:val="single" w:sz="4" w:space="0" w:color="auto"/>
              <w:bottom w:val="single" w:sz="4" w:space="0" w:color="auto"/>
              <w:right w:val="single" w:sz="4" w:space="0" w:color="auto"/>
            </w:tcBorders>
          </w:tcPr>
          <w:p w14:paraId="0EE1D510" w14:textId="77777777" w:rsidR="00777EC6" w:rsidRPr="002A78AE" w:rsidRDefault="00777EC6" w:rsidP="002F5786">
            <w:pPr>
              <w:pStyle w:val="TAC"/>
            </w:pPr>
            <w:r w:rsidRPr="005E6829">
              <w:rPr>
                <w:lang w:eastAsia="zh-CN"/>
              </w:rPr>
              <w:t>81</w:t>
            </w:r>
            <w:r>
              <w:rPr>
                <w:lang w:eastAsia="zh-CN"/>
              </w:rPr>
              <w:t>68</w:t>
            </w:r>
            <w:r w:rsidRPr="002A78AE">
              <w:rPr>
                <w:lang w:eastAsia="zh-CN"/>
              </w:rPr>
              <w:t xml:space="preserve"> </w:t>
            </w:r>
            <w:r w:rsidRPr="002A78AE">
              <w:sym w:font="Symbol" w:char="F0A3"/>
            </w:r>
            <w:r w:rsidRPr="002A78AE">
              <w:rPr>
                <w:lang w:eastAsia="zh-CN"/>
              </w:rPr>
              <w:t xml:space="preserve"> </w:t>
            </w:r>
            <w:r>
              <w:sym w:font="Symbol" w:char="F044"/>
            </w:r>
            <w:r>
              <w:t>path</w:t>
            </w:r>
          </w:p>
        </w:tc>
        <w:tc>
          <w:tcPr>
            <w:tcW w:w="567" w:type="dxa"/>
            <w:tcBorders>
              <w:top w:val="single" w:sz="4" w:space="0" w:color="auto"/>
              <w:left w:val="single" w:sz="4" w:space="0" w:color="auto"/>
              <w:bottom w:val="single" w:sz="4" w:space="0" w:color="auto"/>
              <w:right w:val="single" w:sz="4" w:space="0" w:color="auto"/>
            </w:tcBorders>
          </w:tcPr>
          <w:p w14:paraId="08B78B87" w14:textId="77777777" w:rsidR="00777EC6" w:rsidRPr="002A78AE" w:rsidRDefault="00777EC6" w:rsidP="002F5786">
            <w:pPr>
              <w:pStyle w:val="TAC"/>
            </w:pPr>
            <w:r w:rsidRPr="002A78AE">
              <w:t>T</w:t>
            </w:r>
            <w:r w:rsidRPr="002A78AE">
              <w:rPr>
                <w:vertAlign w:val="subscript"/>
              </w:rPr>
              <w:t>c</w:t>
            </w:r>
          </w:p>
        </w:tc>
      </w:tr>
    </w:tbl>
    <w:p w14:paraId="65A555D3" w14:textId="77777777" w:rsidR="00777EC6" w:rsidRDefault="00777EC6" w:rsidP="002F5786">
      <w:pPr>
        <w:rPr>
          <w:lang w:val="en-US" w:eastAsia="ja-JP"/>
        </w:rPr>
      </w:pPr>
    </w:p>
    <w:p w14:paraId="12DA7DAF" w14:textId="77777777" w:rsidR="00777EC6" w:rsidRPr="00DE253F" w:rsidRDefault="00777EC6" w:rsidP="002F5786">
      <w:pPr>
        <w:pStyle w:val="TH"/>
        <w:rPr>
          <w:rFonts w:cs="Arial"/>
          <w:lang w:val="en-US" w:eastAsia="ja-JP"/>
        </w:rPr>
      </w:pPr>
      <w:r w:rsidRPr="00DE253F">
        <w:t xml:space="preserve">Table </w:t>
      </w:r>
      <w:r>
        <w:t>10.1.25.3.3-6</w:t>
      </w:r>
      <w:r w:rsidRPr="00DE253F">
        <w:t xml:space="preserve">: </w:t>
      </w:r>
      <w:r>
        <w:t xml:space="preserve">Report mapping for </w:t>
      </w:r>
      <w:r w:rsidRPr="00DE253F">
        <w:rPr>
          <w:i/>
          <w:iCs/>
        </w:rPr>
        <w:t>k</w:t>
      </w:r>
      <w:r>
        <w:t>=5</w:t>
      </w:r>
    </w:p>
    <w:tbl>
      <w:tblPr>
        <w:tblW w:w="5953"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2694"/>
        <w:gridCol w:w="566"/>
      </w:tblGrid>
      <w:tr w:rsidR="00777EC6" w:rsidRPr="002A78AE" w14:paraId="0A78B028" w14:textId="77777777" w:rsidTr="002F5786">
        <w:trPr>
          <w:cantSplit/>
          <w:trHeight w:val="281"/>
        </w:trPr>
        <w:tc>
          <w:tcPr>
            <w:tcW w:w="2693" w:type="dxa"/>
            <w:vAlign w:val="center"/>
          </w:tcPr>
          <w:p w14:paraId="631469FB" w14:textId="77777777" w:rsidR="00777EC6" w:rsidRPr="002A78AE" w:rsidRDefault="00777EC6" w:rsidP="00DA29A5">
            <w:pPr>
              <w:pStyle w:val="TAH"/>
            </w:pPr>
            <w:r w:rsidRPr="002A78AE">
              <w:t>Reported Quantity Value</w:t>
            </w:r>
            <w:r>
              <w:t>,</w:t>
            </w:r>
          </w:p>
          <w:p w14:paraId="21329FFF" w14:textId="77777777" w:rsidR="00777EC6" w:rsidRPr="002A78AE" w:rsidRDefault="00777EC6" w:rsidP="00DA29A5">
            <w:pPr>
              <w:pStyle w:val="TAH"/>
            </w:pPr>
            <w:r>
              <w:t>path</w:t>
            </w:r>
            <w:r w:rsidRPr="002A78AE">
              <w:t>_i</w:t>
            </w:r>
          </w:p>
        </w:tc>
        <w:tc>
          <w:tcPr>
            <w:tcW w:w="2694" w:type="dxa"/>
            <w:vAlign w:val="center"/>
          </w:tcPr>
          <w:p w14:paraId="2E30BD00" w14:textId="77777777" w:rsidR="00777EC6" w:rsidRDefault="00777EC6" w:rsidP="00DA29A5">
            <w:pPr>
              <w:pStyle w:val="TAH"/>
            </w:pPr>
            <w:r w:rsidRPr="002A78AE">
              <w:t>Measured Quantity Value</w:t>
            </w:r>
            <w:r>
              <w:t>,</w:t>
            </w:r>
          </w:p>
          <w:p w14:paraId="1ECF67CB" w14:textId="77777777" w:rsidR="00777EC6" w:rsidRPr="002A78AE" w:rsidRDefault="00777EC6" w:rsidP="00DA29A5">
            <w:pPr>
              <w:pStyle w:val="TAH"/>
            </w:pPr>
            <w:r>
              <w:sym w:font="Symbol" w:char="F044"/>
            </w:r>
            <w:r>
              <w:t>path</w:t>
            </w:r>
          </w:p>
        </w:tc>
        <w:tc>
          <w:tcPr>
            <w:tcW w:w="566" w:type="dxa"/>
            <w:vAlign w:val="center"/>
          </w:tcPr>
          <w:p w14:paraId="15CD9278" w14:textId="77777777" w:rsidR="00777EC6" w:rsidRPr="002A78AE" w:rsidRDefault="00777EC6" w:rsidP="00DA29A5">
            <w:pPr>
              <w:pStyle w:val="TAH"/>
            </w:pPr>
            <w:r w:rsidRPr="002A78AE">
              <w:t>Unit</w:t>
            </w:r>
          </w:p>
        </w:tc>
      </w:tr>
      <w:tr w:rsidR="00777EC6" w:rsidRPr="002A78AE" w14:paraId="05D5877D" w14:textId="77777777" w:rsidTr="002F5786">
        <w:trPr>
          <w:cantSplit/>
        </w:trPr>
        <w:tc>
          <w:tcPr>
            <w:tcW w:w="2693" w:type="dxa"/>
          </w:tcPr>
          <w:p w14:paraId="530AA89A" w14:textId="77777777" w:rsidR="00777EC6" w:rsidRPr="002A78AE" w:rsidRDefault="00777EC6" w:rsidP="00DA29A5">
            <w:pPr>
              <w:pStyle w:val="TAC"/>
            </w:pPr>
            <w:r>
              <w:rPr>
                <w:lang w:eastAsia="zh-CN"/>
              </w:rPr>
              <w:t>path</w:t>
            </w:r>
            <w:r w:rsidRPr="002A78AE">
              <w:t>_000</w:t>
            </w:r>
          </w:p>
        </w:tc>
        <w:tc>
          <w:tcPr>
            <w:tcW w:w="2694" w:type="dxa"/>
          </w:tcPr>
          <w:p w14:paraId="5AF2ED04" w14:textId="77777777" w:rsidR="00777EC6" w:rsidRPr="002A78AE" w:rsidRDefault="00777EC6" w:rsidP="002F5786">
            <w:pPr>
              <w:pStyle w:val="TAC"/>
            </w:pPr>
            <w:r>
              <w:sym w:font="Symbol" w:char="F044"/>
            </w:r>
            <w:r>
              <w:t>path</w:t>
            </w:r>
            <w:r w:rsidRPr="002A78AE">
              <w:rPr>
                <w:lang w:eastAsia="zh-CN"/>
              </w:rPr>
              <w:t xml:space="preserve"> &lt; </w:t>
            </w:r>
            <w:r>
              <w:rPr>
                <w:lang w:eastAsia="zh-CN"/>
              </w:rPr>
              <w:t>-</w:t>
            </w:r>
            <w:r w:rsidRPr="005E6829">
              <w:rPr>
                <w:lang w:eastAsia="zh-CN"/>
              </w:rPr>
              <w:t>81</w:t>
            </w:r>
            <w:r>
              <w:rPr>
                <w:lang w:eastAsia="zh-CN"/>
              </w:rPr>
              <w:t>60</w:t>
            </w:r>
          </w:p>
        </w:tc>
        <w:tc>
          <w:tcPr>
            <w:tcW w:w="566" w:type="dxa"/>
          </w:tcPr>
          <w:p w14:paraId="347BA0D3" w14:textId="77777777" w:rsidR="00777EC6" w:rsidRPr="002A78AE" w:rsidRDefault="00777EC6" w:rsidP="002F5786">
            <w:pPr>
              <w:pStyle w:val="TAC"/>
            </w:pPr>
            <w:r w:rsidRPr="002A78AE">
              <w:t>T</w:t>
            </w:r>
            <w:r w:rsidRPr="002A78AE">
              <w:rPr>
                <w:vertAlign w:val="subscript"/>
              </w:rPr>
              <w:t>c</w:t>
            </w:r>
          </w:p>
        </w:tc>
      </w:tr>
      <w:tr w:rsidR="00777EC6" w:rsidRPr="002A78AE" w14:paraId="1237468C" w14:textId="77777777" w:rsidTr="002F5786">
        <w:trPr>
          <w:cantSplit/>
        </w:trPr>
        <w:tc>
          <w:tcPr>
            <w:tcW w:w="2693" w:type="dxa"/>
          </w:tcPr>
          <w:p w14:paraId="6BBB68CD" w14:textId="77777777" w:rsidR="00777EC6" w:rsidRPr="002A78AE" w:rsidRDefault="00777EC6" w:rsidP="00DA29A5">
            <w:pPr>
              <w:pStyle w:val="TAC"/>
            </w:pPr>
            <w:r>
              <w:rPr>
                <w:lang w:eastAsia="zh-CN"/>
              </w:rPr>
              <w:t>path</w:t>
            </w:r>
            <w:r w:rsidRPr="002A78AE">
              <w:t>_001</w:t>
            </w:r>
          </w:p>
        </w:tc>
        <w:tc>
          <w:tcPr>
            <w:tcW w:w="2694" w:type="dxa"/>
          </w:tcPr>
          <w:p w14:paraId="0FB068A0" w14:textId="77777777" w:rsidR="00777EC6" w:rsidRPr="002A78AE" w:rsidRDefault="00777EC6" w:rsidP="002F5786">
            <w:pPr>
              <w:pStyle w:val="TAC"/>
            </w:pPr>
            <w:r>
              <w:rPr>
                <w:lang w:eastAsia="zh-CN"/>
              </w:rPr>
              <w:t>-</w:t>
            </w:r>
            <w:r w:rsidRPr="005E6829">
              <w:rPr>
                <w:lang w:eastAsia="zh-CN"/>
              </w:rPr>
              <w:t>81</w:t>
            </w:r>
            <w:r>
              <w:rPr>
                <w:lang w:eastAsia="zh-CN"/>
              </w:rPr>
              <w:t>60</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8128</w:t>
            </w:r>
          </w:p>
        </w:tc>
        <w:tc>
          <w:tcPr>
            <w:tcW w:w="566" w:type="dxa"/>
          </w:tcPr>
          <w:p w14:paraId="7DAA882E" w14:textId="77777777" w:rsidR="00777EC6" w:rsidRPr="002A78AE" w:rsidRDefault="00777EC6" w:rsidP="002F5786">
            <w:pPr>
              <w:pStyle w:val="TAC"/>
            </w:pPr>
            <w:r w:rsidRPr="002A78AE">
              <w:t>T</w:t>
            </w:r>
            <w:r w:rsidRPr="002A78AE">
              <w:rPr>
                <w:vertAlign w:val="subscript"/>
              </w:rPr>
              <w:t>c</w:t>
            </w:r>
          </w:p>
        </w:tc>
      </w:tr>
      <w:tr w:rsidR="00777EC6" w:rsidRPr="002A78AE" w14:paraId="14E31D86" w14:textId="77777777" w:rsidTr="002F5786">
        <w:trPr>
          <w:cantSplit/>
        </w:trPr>
        <w:tc>
          <w:tcPr>
            <w:tcW w:w="2693" w:type="dxa"/>
          </w:tcPr>
          <w:p w14:paraId="6D9A29D2" w14:textId="77777777" w:rsidR="00777EC6" w:rsidRPr="002A78AE" w:rsidRDefault="00777EC6" w:rsidP="00DA29A5">
            <w:pPr>
              <w:pStyle w:val="TAC"/>
            </w:pPr>
            <w:r>
              <w:rPr>
                <w:lang w:eastAsia="zh-CN"/>
              </w:rPr>
              <w:t>path</w:t>
            </w:r>
            <w:r w:rsidRPr="002A78AE">
              <w:t>_002</w:t>
            </w:r>
          </w:p>
        </w:tc>
        <w:tc>
          <w:tcPr>
            <w:tcW w:w="2694" w:type="dxa"/>
          </w:tcPr>
          <w:p w14:paraId="4E4349A3" w14:textId="77777777" w:rsidR="00777EC6" w:rsidRPr="002A78AE" w:rsidRDefault="00777EC6" w:rsidP="00DA29A5">
            <w:pPr>
              <w:pStyle w:val="TAC"/>
            </w:pPr>
            <w:r w:rsidRPr="002A78AE">
              <w:rPr>
                <w:lang w:eastAsia="zh-CN"/>
              </w:rPr>
              <w:t>-</w:t>
            </w:r>
            <w:r>
              <w:rPr>
                <w:lang w:eastAsia="zh-CN"/>
              </w:rPr>
              <w:t>8128</w:t>
            </w:r>
            <w:r w:rsidRPr="002A78AE">
              <w:rPr>
                <w:lang w:eastAsia="zh-CN"/>
              </w:rPr>
              <w:t xml:space="preserve"> </w:t>
            </w:r>
            <w:r w:rsidRPr="002A78AE">
              <w:rPr>
                <w:lang w:eastAsia="zh-CN"/>
              </w:rPr>
              <w:sym w:font="Symbol" w:char="F0A3"/>
            </w:r>
            <w:r w:rsidRPr="002A78AE">
              <w:rPr>
                <w:lang w:eastAsia="zh-CN"/>
              </w:rPr>
              <w:t xml:space="preserve"> </w:t>
            </w:r>
            <w:r>
              <w:sym w:font="Symbol" w:char="F044"/>
            </w:r>
            <w:r>
              <w:t>path</w:t>
            </w:r>
            <w:r w:rsidRPr="002A78AE">
              <w:rPr>
                <w:lang w:eastAsia="zh-CN"/>
              </w:rPr>
              <w:t xml:space="preserve"> &lt; -</w:t>
            </w:r>
            <w:r>
              <w:rPr>
                <w:lang w:eastAsia="zh-CN"/>
              </w:rPr>
              <w:t>8096</w:t>
            </w:r>
          </w:p>
        </w:tc>
        <w:tc>
          <w:tcPr>
            <w:tcW w:w="566" w:type="dxa"/>
          </w:tcPr>
          <w:p w14:paraId="066CBEDF" w14:textId="77777777" w:rsidR="00777EC6" w:rsidRPr="002A78AE" w:rsidRDefault="00777EC6" w:rsidP="00DA29A5">
            <w:pPr>
              <w:pStyle w:val="TAC"/>
            </w:pPr>
            <w:r w:rsidRPr="002A78AE">
              <w:t>T</w:t>
            </w:r>
            <w:r w:rsidRPr="002A78AE">
              <w:rPr>
                <w:vertAlign w:val="subscript"/>
              </w:rPr>
              <w:t>c</w:t>
            </w:r>
          </w:p>
        </w:tc>
      </w:tr>
      <w:tr w:rsidR="00777EC6" w:rsidRPr="002A78AE" w14:paraId="2F25266F" w14:textId="77777777" w:rsidTr="002F5786">
        <w:trPr>
          <w:cantSplit/>
        </w:trPr>
        <w:tc>
          <w:tcPr>
            <w:tcW w:w="2693" w:type="dxa"/>
          </w:tcPr>
          <w:p w14:paraId="67F04D1B" w14:textId="77777777" w:rsidR="00777EC6" w:rsidRPr="002A78AE" w:rsidRDefault="00777EC6" w:rsidP="00DA29A5">
            <w:pPr>
              <w:pStyle w:val="TAC"/>
            </w:pPr>
            <w:r w:rsidRPr="002A78AE">
              <w:sym w:font="Symbol" w:char="F0BC"/>
            </w:r>
          </w:p>
        </w:tc>
        <w:tc>
          <w:tcPr>
            <w:tcW w:w="2694" w:type="dxa"/>
          </w:tcPr>
          <w:p w14:paraId="08CB0431" w14:textId="77777777" w:rsidR="00777EC6" w:rsidRPr="002A78AE" w:rsidRDefault="00777EC6" w:rsidP="00DA29A5">
            <w:pPr>
              <w:pStyle w:val="TAC"/>
            </w:pPr>
            <w:r w:rsidRPr="002A78AE">
              <w:sym w:font="Symbol" w:char="F0BC"/>
            </w:r>
          </w:p>
        </w:tc>
        <w:tc>
          <w:tcPr>
            <w:tcW w:w="566" w:type="dxa"/>
          </w:tcPr>
          <w:p w14:paraId="6F6C772F" w14:textId="77777777" w:rsidR="00777EC6" w:rsidRPr="002A78AE" w:rsidRDefault="00777EC6" w:rsidP="00DA29A5">
            <w:pPr>
              <w:pStyle w:val="TAC"/>
            </w:pPr>
            <w:r w:rsidRPr="002A78AE">
              <w:t>…</w:t>
            </w:r>
          </w:p>
        </w:tc>
      </w:tr>
      <w:tr w:rsidR="00777EC6" w:rsidRPr="002A78AE" w14:paraId="36FC543F" w14:textId="77777777" w:rsidTr="002F5786">
        <w:trPr>
          <w:cantSplit/>
        </w:trPr>
        <w:tc>
          <w:tcPr>
            <w:tcW w:w="2693" w:type="dxa"/>
          </w:tcPr>
          <w:p w14:paraId="3F403A94" w14:textId="77777777" w:rsidR="00777EC6" w:rsidRPr="002A78AE" w:rsidRDefault="00777EC6" w:rsidP="00DA29A5">
            <w:pPr>
              <w:pStyle w:val="TAC"/>
            </w:pPr>
            <w:r>
              <w:rPr>
                <w:lang w:eastAsia="zh-CN"/>
              </w:rPr>
              <w:t>path</w:t>
            </w:r>
            <w:r w:rsidRPr="002A78AE">
              <w:rPr>
                <w:lang w:eastAsia="zh-CN"/>
              </w:rPr>
              <w:t>_</w:t>
            </w:r>
            <w:r>
              <w:rPr>
                <w:lang w:eastAsia="zh-CN"/>
              </w:rPr>
              <w:t>256</w:t>
            </w:r>
          </w:p>
        </w:tc>
        <w:tc>
          <w:tcPr>
            <w:tcW w:w="2694" w:type="dxa"/>
          </w:tcPr>
          <w:p w14:paraId="1E1419D5" w14:textId="77777777" w:rsidR="00777EC6" w:rsidRPr="002A78AE" w:rsidRDefault="00777EC6" w:rsidP="002F5786">
            <w:pPr>
              <w:pStyle w:val="TAC"/>
            </w:pPr>
            <w:r>
              <w:rPr>
                <w:lang w:eastAsia="zh-CN"/>
              </w:rPr>
              <w:t>0</w:t>
            </w:r>
            <w:r w:rsidRPr="002A78AE">
              <w:t xml:space="preserve"> </w:t>
            </w:r>
            <w:r w:rsidRPr="002A78AE">
              <w:sym w:font="Symbol" w:char="F0A3"/>
            </w:r>
            <w:r w:rsidRPr="002A78AE">
              <w:t xml:space="preserve"> </w:t>
            </w:r>
            <w:r>
              <w:sym w:font="Symbol" w:char="F044"/>
            </w:r>
            <w:r>
              <w:t>path</w:t>
            </w:r>
            <w:r w:rsidRPr="002A78AE">
              <w:t xml:space="preserve"> &lt; </w:t>
            </w:r>
            <w:r>
              <w:rPr>
                <w:lang w:eastAsia="zh-CN"/>
              </w:rPr>
              <w:t>32</w:t>
            </w:r>
          </w:p>
        </w:tc>
        <w:tc>
          <w:tcPr>
            <w:tcW w:w="566" w:type="dxa"/>
          </w:tcPr>
          <w:p w14:paraId="042FC099" w14:textId="77777777" w:rsidR="00777EC6" w:rsidRPr="002A78AE" w:rsidRDefault="00777EC6" w:rsidP="002F5786">
            <w:pPr>
              <w:pStyle w:val="TAC"/>
            </w:pPr>
            <w:r w:rsidRPr="002A78AE">
              <w:t>T</w:t>
            </w:r>
            <w:r w:rsidRPr="002A78AE">
              <w:rPr>
                <w:vertAlign w:val="subscript"/>
              </w:rPr>
              <w:t>c</w:t>
            </w:r>
          </w:p>
        </w:tc>
      </w:tr>
      <w:tr w:rsidR="00777EC6" w:rsidRPr="002A78AE" w14:paraId="335CB8D9" w14:textId="77777777" w:rsidTr="002F5786">
        <w:trPr>
          <w:cantSplit/>
        </w:trPr>
        <w:tc>
          <w:tcPr>
            <w:tcW w:w="2693" w:type="dxa"/>
            <w:tcBorders>
              <w:top w:val="single" w:sz="4" w:space="0" w:color="auto"/>
              <w:left w:val="single" w:sz="4" w:space="0" w:color="auto"/>
              <w:bottom w:val="single" w:sz="4" w:space="0" w:color="auto"/>
              <w:right w:val="single" w:sz="4" w:space="0" w:color="auto"/>
            </w:tcBorders>
          </w:tcPr>
          <w:p w14:paraId="0938C43D" w14:textId="77777777" w:rsidR="00777EC6" w:rsidRPr="002A78AE" w:rsidRDefault="00777EC6" w:rsidP="00DA29A5">
            <w:pPr>
              <w:pStyle w:val="TAC"/>
            </w:pPr>
            <w:r w:rsidRPr="002A78AE">
              <w:rPr>
                <w:lang w:eastAsia="zh-CN"/>
              </w:rPr>
              <w:t>…</w:t>
            </w:r>
          </w:p>
        </w:tc>
        <w:tc>
          <w:tcPr>
            <w:tcW w:w="2694" w:type="dxa"/>
            <w:tcBorders>
              <w:top w:val="single" w:sz="4" w:space="0" w:color="auto"/>
              <w:left w:val="single" w:sz="4" w:space="0" w:color="auto"/>
              <w:bottom w:val="single" w:sz="4" w:space="0" w:color="auto"/>
              <w:right w:val="single" w:sz="4" w:space="0" w:color="auto"/>
            </w:tcBorders>
          </w:tcPr>
          <w:p w14:paraId="61CD1959" w14:textId="77777777" w:rsidR="00777EC6" w:rsidRPr="005E6829" w:rsidRDefault="00777EC6" w:rsidP="00DA29A5">
            <w:pPr>
              <w:pStyle w:val="TAC"/>
            </w:pPr>
            <w:r w:rsidRPr="005E6829">
              <w:rPr>
                <w:lang w:eastAsia="zh-CN"/>
              </w:rPr>
              <w:t>…</w:t>
            </w:r>
          </w:p>
        </w:tc>
        <w:tc>
          <w:tcPr>
            <w:tcW w:w="566" w:type="dxa"/>
            <w:tcBorders>
              <w:top w:val="single" w:sz="4" w:space="0" w:color="auto"/>
              <w:left w:val="single" w:sz="4" w:space="0" w:color="auto"/>
              <w:bottom w:val="single" w:sz="4" w:space="0" w:color="auto"/>
              <w:right w:val="single" w:sz="4" w:space="0" w:color="auto"/>
            </w:tcBorders>
          </w:tcPr>
          <w:p w14:paraId="14524639" w14:textId="77777777" w:rsidR="00777EC6" w:rsidRPr="002A78AE" w:rsidRDefault="00777EC6" w:rsidP="00DA29A5">
            <w:pPr>
              <w:pStyle w:val="TAC"/>
            </w:pPr>
            <w:r w:rsidRPr="002A78AE">
              <w:t>…</w:t>
            </w:r>
          </w:p>
        </w:tc>
      </w:tr>
      <w:tr w:rsidR="00777EC6" w:rsidRPr="002A78AE" w14:paraId="3DD1F76E" w14:textId="77777777" w:rsidTr="002F5786">
        <w:trPr>
          <w:cantSplit/>
        </w:trPr>
        <w:tc>
          <w:tcPr>
            <w:tcW w:w="2693" w:type="dxa"/>
            <w:tcBorders>
              <w:top w:val="single" w:sz="4" w:space="0" w:color="auto"/>
              <w:left w:val="single" w:sz="4" w:space="0" w:color="auto"/>
              <w:bottom w:val="single" w:sz="4" w:space="0" w:color="auto"/>
              <w:right w:val="single" w:sz="4" w:space="0" w:color="auto"/>
            </w:tcBorders>
          </w:tcPr>
          <w:p w14:paraId="072C22E5" w14:textId="77777777" w:rsidR="00777EC6" w:rsidRPr="002A78AE" w:rsidRDefault="00777EC6" w:rsidP="00DA29A5">
            <w:pPr>
              <w:pStyle w:val="TAC"/>
            </w:pPr>
            <w:r>
              <w:rPr>
                <w:lang w:eastAsia="zh-CN"/>
              </w:rPr>
              <w:t>path</w:t>
            </w:r>
            <w:r w:rsidRPr="002A78AE">
              <w:rPr>
                <w:lang w:eastAsia="zh-CN"/>
              </w:rPr>
              <w:t>_</w:t>
            </w:r>
            <w:r>
              <w:rPr>
                <w:bCs/>
                <w:lang w:eastAsia="zh-CN"/>
              </w:rPr>
              <w:t>509</w:t>
            </w:r>
          </w:p>
        </w:tc>
        <w:tc>
          <w:tcPr>
            <w:tcW w:w="2694" w:type="dxa"/>
            <w:tcBorders>
              <w:top w:val="single" w:sz="4" w:space="0" w:color="auto"/>
              <w:left w:val="single" w:sz="4" w:space="0" w:color="auto"/>
              <w:bottom w:val="single" w:sz="4" w:space="0" w:color="auto"/>
              <w:right w:val="single" w:sz="4" w:space="0" w:color="auto"/>
            </w:tcBorders>
          </w:tcPr>
          <w:p w14:paraId="4343584C" w14:textId="77777777" w:rsidR="00777EC6" w:rsidRPr="005E6829" w:rsidRDefault="00777EC6" w:rsidP="002F5786">
            <w:pPr>
              <w:pStyle w:val="TAC"/>
            </w:pPr>
            <w:r w:rsidRPr="005E6829">
              <w:rPr>
                <w:lang w:eastAsia="zh-CN"/>
              </w:rPr>
              <w:t xml:space="preserve">8096 </w:t>
            </w:r>
            <w:r w:rsidRPr="005E6829">
              <w:sym w:font="Symbol" w:char="F0A3"/>
            </w:r>
            <w:r w:rsidRPr="005E6829">
              <w:rPr>
                <w:lang w:eastAsia="zh-CN"/>
              </w:rPr>
              <w:t xml:space="preserve"> </w:t>
            </w:r>
            <w:r w:rsidRPr="005E6829">
              <w:sym w:font="Symbol" w:char="F044"/>
            </w:r>
            <w:r w:rsidRPr="005E6829">
              <w:t>path</w:t>
            </w:r>
            <w:r w:rsidRPr="005E6829">
              <w:rPr>
                <w:lang w:eastAsia="zh-CN"/>
              </w:rPr>
              <w:t xml:space="preserve"> </w:t>
            </w:r>
            <w:r w:rsidRPr="005E6829">
              <w:t>&lt;</w:t>
            </w:r>
            <w:r w:rsidRPr="005E6829">
              <w:rPr>
                <w:lang w:eastAsia="zh-CN"/>
              </w:rPr>
              <w:t xml:space="preserve"> 8128</w:t>
            </w:r>
          </w:p>
        </w:tc>
        <w:tc>
          <w:tcPr>
            <w:tcW w:w="566" w:type="dxa"/>
            <w:tcBorders>
              <w:top w:val="single" w:sz="4" w:space="0" w:color="auto"/>
              <w:left w:val="single" w:sz="4" w:space="0" w:color="auto"/>
              <w:bottom w:val="single" w:sz="4" w:space="0" w:color="auto"/>
              <w:right w:val="single" w:sz="4" w:space="0" w:color="auto"/>
            </w:tcBorders>
          </w:tcPr>
          <w:p w14:paraId="099F42CA" w14:textId="77777777" w:rsidR="00777EC6" w:rsidRPr="002A78AE" w:rsidRDefault="00777EC6" w:rsidP="002F5786">
            <w:pPr>
              <w:pStyle w:val="TAC"/>
            </w:pPr>
            <w:r w:rsidRPr="002A78AE">
              <w:t>T</w:t>
            </w:r>
            <w:r w:rsidRPr="002A78AE">
              <w:rPr>
                <w:vertAlign w:val="subscript"/>
              </w:rPr>
              <w:t>c</w:t>
            </w:r>
          </w:p>
        </w:tc>
      </w:tr>
      <w:tr w:rsidR="00777EC6" w:rsidRPr="002A78AE" w14:paraId="0F4569D2" w14:textId="77777777" w:rsidTr="002F5786">
        <w:trPr>
          <w:cantSplit/>
        </w:trPr>
        <w:tc>
          <w:tcPr>
            <w:tcW w:w="2693" w:type="dxa"/>
            <w:tcBorders>
              <w:top w:val="single" w:sz="4" w:space="0" w:color="auto"/>
              <w:left w:val="single" w:sz="4" w:space="0" w:color="auto"/>
              <w:bottom w:val="single" w:sz="4" w:space="0" w:color="auto"/>
              <w:right w:val="single" w:sz="4" w:space="0" w:color="auto"/>
            </w:tcBorders>
          </w:tcPr>
          <w:p w14:paraId="3B0E0BB5" w14:textId="77777777" w:rsidR="00777EC6" w:rsidRPr="002A78AE" w:rsidRDefault="00777EC6" w:rsidP="00DA29A5">
            <w:pPr>
              <w:pStyle w:val="TAC"/>
            </w:pPr>
            <w:r>
              <w:rPr>
                <w:lang w:eastAsia="zh-CN"/>
              </w:rPr>
              <w:t>path</w:t>
            </w:r>
            <w:r w:rsidRPr="002A78AE">
              <w:rPr>
                <w:lang w:eastAsia="zh-CN"/>
              </w:rPr>
              <w:t>_</w:t>
            </w:r>
            <w:r>
              <w:rPr>
                <w:bCs/>
                <w:lang w:eastAsia="zh-CN"/>
              </w:rPr>
              <w:t>510</w:t>
            </w:r>
          </w:p>
        </w:tc>
        <w:tc>
          <w:tcPr>
            <w:tcW w:w="2694" w:type="dxa"/>
            <w:tcBorders>
              <w:top w:val="single" w:sz="4" w:space="0" w:color="auto"/>
              <w:left w:val="single" w:sz="4" w:space="0" w:color="auto"/>
              <w:bottom w:val="single" w:sz="4" w:space="0" w:color="auto"/>
              <w:right w:val="single" w:sz="4" w:space="0" w:color="auto"/>
            </w:tcBorders>
          </w:tcPr>
          <w:p w14:paraId="24E3E2F1" w14:textId="77777777" w:rsidR="00777EC6" w:rsidRPr="005E6829" w:rsidRDefault="00777EC6" w:rsidP="002F5786">
            <w:pPr>
              <w:pStyle w:val="TAC"/>
            </w:pPr>
            <w:r w:rsidRPr="005E6829">
              <w:rPr>
                <w:lang w:eastAsia="zh-CN"/>
              </w:rPr>
              <w:t xml:space="preserve">8128 </w:t>
            </w:r>
            <w:r w:rsidRPr="005E6829">
              <w:sym w:font="Symbol" w:char="F0A3"/>
            </w:r>
            <w:r w:rsidRPr="005E6829">
              <w:rPr>
                <w:lang w:eastAsia="zh-CN"/>
              </w:rPr>
              <w:t xml:space="preserve"> </w:t>
            </w:r>
            <w:r w:rsidRPr="005E6829">
              <w:sym w:font="Symbol" w:char="F044"/>
            </w:r>
            <w:r w:rsidRPr="005E6829">
              <w:t>path</w:t>
            </w:r>
            <w:r w:rsidRPr="005E6829">
              <w:rPr>
                <w:lang w:eastAsia="zh-CN"/>
              </w:rPr>
              <w:t xml:space="preserve"> </w:t>
            </w:r>
            <w:r w:rsidRPr="005E6829">
              <w:t>&lt;</w:t>
            </w:r>
            <w:r w:rsidRPr="005E6829">
              <w:rPr>
                <w:lang w:eastAsia="zh-CN"/>
              </w:rPr>
              <w:t xml:space="preserve"> 81</w:t>
            </w:r>
            <w:r>
              <w:rPr>
                <w:lang w:eastAsia="zh-CN"/>
              </w:rPr>
              <w:t>60</w:t>
            </w:r>
          </w:p>
        </w:tc>
        <w:tc>
          <w:tcPr>
            <w:tcW w:w="566" w:type="dxa"/>
            <w:tcBorders>
              <w:top w:val="single" w:sz="4" w:space="0" w:color="auto"/>
              <w:left w:val="single" w:sz="4" w:space="0" w:color="auto"/>
              <w:bottom w:val="single" w:sz="4" w:space="0" w:color="auto"/>
              <w:right w:val="single" w:sz="4" w:space="0" w:color="auto"/>
            </w:tcBorders>
          </w:tcPr>
          <w:p w14:paraId="5585F644" w14:textId="77777777" w:rsidR="00777EC6" w:rsidRPr="002A78AE" w:rsidRDefault="00777EC6" w:rsidP="002F5786">
            <w:pPr>
              <w:pStyle w:val="TAC"/>
            </w:pPr>
            <w:r w:rsidRPr="002A78AE">
              <w:t>T</w:t>
            </w:r>
            <w:r w:rsidRPr="002A78AE">
              <w:rPr>
                <w:vertAlign w:val="subscript"/>
              </w:rPr>
              <w:t>c</w:t>
            </w:r>
          </w:p>
        </w:tc>
      </w:tr>
      <w:tr w:rsidR="00DA29A5" w:rsidRPr="002A78AE" w14:paraId="334F5B8A" w14:textId="77777777" w:rsidTr="00051ED3">
        <w:trPr>
          <w:cantSplit/>
        </w:trPr>
        <w:tc>
          <w:tcPr>
            <w:tcW w:w="2693" w:type="dxa"/>
            <w:tcBorders>
              <w:top w:val="single" w:sz="4" w:space="0" w:color="auto"/>
              <w:left w:val="single" w:sz="4" w:space="0" w:color="auto"/>
              <w:bottom w:val="single" w:sz="4" w:space="0" w:color="auto"/>
              <w:right w:val="single" w:sz="4" w:space="0" w:color="auto"/>
            </w:tcBorders>
          </w:tcPr>
          <w:p w14:paraId="4537D785" w14:textId="2B9AA607" w:rsidR="00DA29A5" w:rsidRDefault="00DA29A5" w:rsidP="00DA29A5">
            <w:pPr>
              <w:pStyle w:val="TAC"/>
              <w:rPr>
                <w:lang w:eastAsia="zh-CN"/>
              </w:rPr>
            </w:pPr>
            <w:r>
              <w:rPr>
                <w:lang w:eastAsia="zh-CN"/>
              </w:rPr>
              <w:t>path</w:t>
            </w:r>
            <w:r w:rsidRPr="002A78AE">
              <w:rPr>
                <w:lang w:eastAsia="zh-CN"/>
              </w:rPr>
              <w:t>_</w:t>
            </w:r>
            <w:r>
              <w:rPr>
                <w:bCs/>
                <w:lang w:eastAsia="zh-CN"/>
              </w:rPr>
              <w:t>511</w:t>
            </w:r>
          </w:p>
        </w:tc>
        <w:tc>
          <w:tcPr>
            <w:tcW w:w="2694" w:type="dxa"/>
            <w:tcBorders>
              <w:top w:val="single" w:sz="4" w:space="0" w:color="auto"/>
              <w:left w:val="single" w:sz="4" w:space="0" w:color="auto"/>
              <w:bottom w:val="single" w:sz="4" w:space="0" w:color="auto"/>
              <w:right w:val="single" w:sz="4" w:space="0" w:color="auto"/>
            </w:tcBorders>
          </w:tcPr>
          <w:p w14:paraId="0A53D6A5" w14:textId="66E03055" w:rsidR="00DA29A5" w:rsidRPr="005E6829" w:rsidRDefault="00DA29A5" w:rsidP="00DA29A5">
            <w:pPr>
              <w:pStyle w:val="TAC"/>
              <w:rPr>
                <w:lang w:eastAsia="zh-CN"/>
              </w:rPr>
            </w:pPr>
            <w:r w:rsidRPr="005E6829">
              <w:rPr>
                <w:lang w:eastAsia="zh-CN"/>
              </w:rPr>
              <w:t>81</w:t>
            </w:r>
            <w:r>
              <w:rPr>
                <w:lang w:eastAsia="zh-CN"/>
              </w:rPr>
              <w:t>60</w:t>
            </w:r>
            <w:r w:rsidRPr="005E6829">
              <w:rPr>
                <w:lang w:eastAsia="zh-CN"/>
              </w:rPr>
              <w:t xml:space="preserve"> </w:t>
            </w:r>
            <w:r w:rsidRPr="005E6829">
              <w:sym w:font="Symbol" w:char="F0A3"/>
            </w:r>
            <w:r w:rsidRPr="005E6829">
              <w:rPr>
                <w:lang w:eastAsia="zh-CN"/>
              </w:rPr>
              <w:t xml:space="preserve"> </w:t>
            </w:r>
            <w:r w:rsidRPr="005E6829">
              <w:sym w:font="Symbol" w:char="F044"/>
            </w:r>
            <w:r w:rsidRPr="005E6829">
              <w:t>path</w:t>
            </w:r>
          </w:p>
        </w:tc>
        <w:tc>
          <w:tcPr>
            <w:tcW w:w="566" w:type="dxa"/>
            <w:tcBorders>
              <w:top w:val="single" w:sz="4" w:space="0" w:color="auto"/>
              <w:left w:val="single" w:sz="4" w:space="0" w:color="auto"/>
              <w:bottom w:val="single" w:sz="4" w:space="0" w:color="auto"/>
              <w:right w:val="single" w:sz="4" w:space="0" w:color="auto"/>
            </w:tcBorders>
          </w:tcPr>
          <w:p w14:paraId="4D5E3CCD" w14:textId="41AB2C42" w:rsidR="00DA29A5" w:rsidRPr="002A78AE" w:rsidRDefault="00DA29A5" w:rsidP="00DA29A5">
            <w:pPr>
              <w:pStyle w:val="TAC"/>
            </w:pPr>
            <w:r w:rsidRPr="002A78AE">
              <w:t>T</w:t>
            </w:r>
            <w:r w:rsidRPr="002A78AE">
              <w:rPr>
                <w:vertAlign w:val="subscript"/>
              </w:rPr>
              <w:t>c</w:t>
            </w:r>
          </w:p>
        </w:tc>
      </w:tr>
    </w:tbl>
    <w:p w14:paraId="68A21816" w14:textId="77777777" w:rsidR="00777EC6" w:rsidRPr="00777EC6" w:rsidRDefault="00777EC6" w:rsidP="00777EC6"/>
    <w:p w14:paraId="62A4902E" w14:textId="77777777" w:rsidR="00EE22F8" w:rsidRPr="00234516" w:rsidRDefault="00EE22F8" w:rsidP="00777EC6">
      <w:pPr>
        <w:pStyle w:val="Heading3"/>
        <w:rPr>
          <w:lang w:val="en-US"/>
        </w:rPr>
      </w:pPr>
      <w:r w:rsidRPr="00234516">
        <w:rPr>
          <w:lang w:val="en-US"/>
        </w:rPr>
        <w:t>10.1.2</w:t>
      </w:r>
      <w:r>
        <w:rPr>
          <w:lang w:val="en-US"/>
        </w:rPr>
        <w:t>6</w:t>
      </w:r>
      <w:r w:rsidRPr="00234516">
        <w:rPr>
          <w:lang w:val="en-US"/>
        </w:rPr>
        <w:tab/>
      </w:r>
      <w:r>
        <w:rPr>
          <w:lang w:val="en-US"/>
        </w:rPr>
        <w:t xml:space="preserve">FR2 </w:t>
      </w:r>
      <w:r w:rsidRPr="00E914A5">
        <w:rPr>
          <w:lang w:val="en-US"/>
        </w:rPr>
        <w:t>P-MPR report</w:t>
      </w:r>
    </w:p>
    <w:p w14:paraId="5E3C160B" w14:textId="77777777" w:rsidR="00EE22F8" w:rsidRDefault="00EE22F8" w:rsidP="00EE22F8">
      <w:r>
        <w:t>The FR2 P-MPR report mapping is defined by this clause.</w:t>
      </w:r>
    </w:p>
    <w:p w14:paraId="42267BF6" w14:textId="14001DF6" w:rsidR="00EE22F8" w:rsidRDefault="00EE22F8">
      <w:pPr>
        <w:pStyle w:val="Heading4"/>
      </w:pPr>
      <w:r w:rsidRPr="00234516">
        <w:rPr>
          <w:lang w:val="en-US"/>
        </w:rPr>
        <w:t>10.1.2</w:t>
      </w:r>
      <w:r>
        <w:rPr>
          <w:lang w:val="en-US"/>
        </w:rPr>
        <w:t>6.1</w:t>
      </w:r>
      <w:r w:rsidR="00777EC6">
        <w:rPr>
          <w:lang w:val="en-US"/>
        </w:rPr>
        <w:tab/>
      </w:r>
      <w:r>
        <w:rPr>
          <w:lang w:val="en-US"/>
        </w:rPr>
        <w:t>Report mapping</w:t>
      </w:r>
    </w:p>
    <w:p w14:paraId="596E6FA5" w14:textId="77777777" w:rsidR="00EE22F8" w:rsidRPr="00885F53" w:rsidRDefault="00EE22F8" w:rsidP="00EE22F8">
      <w:r w:rsidRPr="00885F53">
        <w:t>Table 10.1.</w:t>
      </w:r>
      <w:r>
        <w:t>26</w:t>
      </w:r>
      <w:r w:rsidRPr="00885F53">
        <w:t>.1-1 defines the</w:t>
      </w:r>
      <w:r>
        <w:t xml:space="preserve"> FR2 P-MPR</w:t>
      </w:r>
      <w:r w:rsidRPr="00885F53">
        <w:t xml:space="preserve"> report mapping.</w:t>
      </w:r>
    </w:p>
    <w:p w14:paraId="7CBE00A1" w14:textId="77777777" w:rsidR="00EE22F8" w:rsidRPr="00237C0D" w:rsidRDefault="00EE22F8" w:rsidP="00EE22F8">
      <w:pPr>
        <w:pStyle w:val="TH"/>
      </w:pPr>
      <w:r w:rsidRPr="00237C0D">
        <w:t>Table 10.1.</w:t>
      </w:r>
      <w:r>
        <w:t>26</w:t>
      </w:r>
      <w:r w:rsidRPr="00237C0D">
        <w:t>.</w:t>
      </w:r>
      <w:r>
        <w:t>1</w:t>
      </w:r>
      <w:r w:rsidRPr="00237C0D">
        <w:t xml:space="preserve">-1 </w:t>
      </w:r>
      <w:r w:rsidRPr="00237C0D">
        <w:rPr>
          <w:lang w:eastAsia="zh-CN"/>
        </w:rPr>
        <w:t xml:space="preserve">Mapping of </w:t>
      </w:r>
      <w:r>
        <w:rPr>
          <w:lang w:eastAsia="zh-CN"/>
        </w:rPr>
        <w:t xml:space="preserve">FR2 </w:t>
      </w:r>
      <w:r w:rsidRPr="00237C0D">
        <w:rPr>
          <w:lang w:eastAsia="zh-CN"/>
        </w:rPr>
        <w:t>P-MPR</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4111"/>
        <w:gridCol w:w="851"/>
      </w:tblGrid>
      <w:tr w:rsidR="00EE22F8" w:rsidRPr="00237C0D" w14:paraId="3940D82D" w14:textId="77777777" w:rsidTr="00AE536E">
        <w:tc>
          <w:tcPr>
            <w:tcW w:w="2551" w:type="dxa"/>
            <w:tcBorders>
              <w:top w:val="single" w:sz="4" w:space="0" w:color="auto"/>
              <w:left w:val="single" w:sz="4" w:space="0" w:color="auto"/>
              <w:bottom w:val="single" w:sz="4" w:space="0" w:color="auto"/>
              <w:right w:val="single" w:sz="4" w:space="0" w:color="auto"/>
            </w:tcBorders>
            <w:hideMark/>
          </w:tcPr>
          <w:p w14:paraId="202B0BB7" w14:textId="77777777" w:rsidR="00EE22F8" w:rsidRPr="00237C0D" w:rsidRDefault="00EE22F8" w:rsidP="00DA29A5">
            <w:pPr>
              <w:pStyle w:val="TAH"/>
              <w:rPr>
                <w:rFonts w:cs="Arial"/>
                <w:lang w:val="en-US"/>
              </w:rPr>
            </w:pPr>
            <w:r w:rsidRPr="00237C0D">
              <w:rPr>
                <w:lang w:val="en-US"/>
              </w:rPr>
              <w:t>Reported value</w:t>
            </w:r>
          </w:p>
        </w:tc>
        <w:tc>
          <w:tcPr>
            <w:tcW w:w="4111" w:type="dxa"/>
            <w:tcBorders>
              <w:top w:val="single" w:sz="4" w:space="0" w:color="auto"/>
              <w:left w:val="single" w:sz="4" w:space="0" w:color="auto"/>
              <w:bottom w:val="single" w:sz="4" w:space="0" w:color="auto"/>
              <w:right w:val="single" w:sz="4" w:space="0" w:color="auto"/>
            </w:tcBorders>
            <w:hideMark/>
          </w:tcPr>
          <w:p w14:paraId="2E6D1C43" w14:textId="77777777" w:rsidR="00EE22F8" w:rsidRPr="00237C0D" w:rsidRDefault="00EE22F8" w:rsidP="00DA29A5">
            <w:pPr>
              <w:pStyle w:val="TAH"/>
              <w:rPr>
                <w:rFonts w:cs="Arial"/>
                <w:lang w:val="en-US"/>
              </w:rPr>
            </w:pPr>
            <w:r w:rsidRPr="00237C0D">
              <w:rPr>
                <w:lang w:val="en-US"/>
              </w:rPr>
              <w:t>Measured quantity value</w:t>
            </w:r>
          </w:p>
        </w:tc>
        <w:tc>
          <w:tcPr>
            <w:tcW w:w="851" w:type="dxa"/>
            <w:tcBorders>
              <w:top w:val="single" w:sz="4" w:space="0" w:color="auto"/>
              <w:left w:val="single" w:sz="4" w:space="0" w:color="auto"/>
              <w:bottom w:val="single" w:sz="4" w:space="0" w:color="auto"/>
              <w:right w:val="single" w:sz="4" w:space="0" w:color="auto"/>
            </w:tcBorders>
            <w:hideMark/>
          </w:tcPr>
          <w:p w14:paraId="2AE1F355" w14:textId="77777777" w:rsidR="00EE22F8" w:rsidRPr="00237C0D" w:rsidRDefault="00EE22F8" w:rsidP="00DA29A5">
            <w:pPr>
              <w:pStyle w:val="TAH"/>
              <w:rPr>
                <w:rFonts w:cs="Arial"/>
                <w:lang w:val="en-US"/>
              </w:rPr>
            </w:pPr>
            <w:r w:rsidRPr="00237C0D">
              <w:rPr>
                <w:lang w:val="en-US"/>
              </w:rPr>
              <w:t>Unit</w:t>
            </w:r>
          </w:p>
        </w:tc>
      </w:tr>
      <w:tr w:rsidR="00EE22F8" w:rsidRPr="00237C0D" w14:paraId="6000189C" w14:textId="77777777" w:rsidTr="00AE536E">
        <w:tc>
          <w:tcPr>
            <w:tcW w:w="2551" w:type="dxa"/>
            <w:tcBorders>
              <w:top w:val="single" w:sz="4" w:space="0" w:color="auto"/>
              <w:left w:val="single" w:sz="4" w:space="0" w:color="auto"/>
              <w:bottom w:val="single" w:sz="4" w:space="0" w:color="auto"/>
              <w:right w:val="single" w:sz="4" w:space="0" w:color="auto"/>
            </w:tcBorders>
          </w:tcPr>
          <w:p w14:paraId="07B1F717" w14:textId="77777777" w:rsidR="00EE22F8" w:rsidRPr="00237C0D" w:rsidRDefault="00EE22F8" w:rsidP="00DA29A5">
            <w:pPr>
              <w:pStyle w:val="TAC"/>
              <w:rPr>
                <w:lang w:val="en-US" w:eastAsia="zh-CN"/>
              </w:rPr>
            </w:pPr>
            <w:r w:rsidRPr="00237C0D">
              <w:rPr>
                <w:lang w:val="en-US" w:eastAsia="zh-CN"/>
              </w:rPr>
              <w:t>P-MPR_</w:t>
            </w:r>
            <w:r>
              <w:rPr>
                <w:lang w:val="en-US" w:eastAsia="zh-CN"/>
              </w:rPr>
              <w:t>00</w:t>
            </w:r>
          </w:p>
        </w:tc>
        <w:tc>
          <w:tcPr>
            <w:tcW w:w="4111" w:type="dxa"/>
            <w:tcBorders>
              <w:top w:val="single" w:sz="4" w:space="0" w:color="auto"/>
              <w:left w:val="single" w:sz="4" w:space="0" w:color="auto"/>
              <w:bottom w:val="single" w:sz="4" w:space="0" w:color="auto"/>
              <w:right w:val="single" w:sz="4" w:space="0" w:color="auto"/>
            </w:tcBorders>
          </w:tcPr>
          <w:p w14:paraId="5160DE6F" w14:textId="77777777" w:rsidR="00EE22F8" w:rsidRPr="00237C0D" w:rsidRDefault="00EE22F8" w:rsidP="00DA29A5">
            <w:pPr>
              <w:pStyle w:val="TAC"/>
              <w:rPr>
                <w:lang w:val="en-US"/>
              </w:rPr>
            </w:pPr>
            <w:r>
              <w:rPr>
                <w:lang w:val="en-US"/>
              </w:rPr>
              <w:t>3</w:t>
            </w:r>
            <w:r w:rsidRPr="00237C0D">
              <w:rPr>
                <w:lang w:val="en-US"/>
              </w:rPr>
              <w:t xml:space="preserve"> </w:t>
            </w:r>
            <w:r w:rsidRPr="00237C0D">
              <w:rPr>
                <w:rFonts w:ascii="Symbol" w:eastAsia="Symbol" w:hAnsi="Symbol" w:cs="Symbol"/>
                <w:lang w:val="en-US"/>
              </w:rPr>
              <w:t></w:t>
            </w:r>
            <w:r w:rsidRPr="00237C0D">
              <w:rPr>
                <w:lang w:val="en-US"/>
              </w:rPr>
              <w:t xml:space="preserve"> PMP-R &lt; </w:t>
            </w:r>
            <w:r>
              <w:rPr>
                <w:lang w:val="en-US"/>
              </w:rPr>
              <w:t>6</w:t>
            </w:r>
          </w:p>
        </w:tc>
        <w:tc>
          <w:tcPr>
            <w:tcW w:w="851" w:type="dxa"/>
            <w:tcBorders>
              <w:top w:val="single" w:sz="4" w:space="0" w:color="auto"/>
              <w:left w:val="single" w:sz="4" w:space="0" w:color="auto"/>
              <w:bottom w:val="single" w:sz="4" w:space="0" w:color="auto"/>
              <w:right w:val="single" w:sz="4" w:space="0" w:color="auto"/>
            </w:tcBorders>
          </w:tcPr>
          <w:p w14:paraId="0C422131" w14:textId="77777777" w:rsidR="00EE22F8" w:rsidRPr="00237C0D" w:rsidRDefault="00EE22F8" w:rsidP="00DA29A5">
            <w:pPr>
              <w:pStyle w:val="TAC"/>
              <w:rPr>
                <w:lang w:val="en-US"/>
              </w:rPr>
            </w:pPr>
            <w:r w:rsidRPr="00237C0D">
              <w:rPr>
                <w:lang w:val="en-US"/>
              </w:rPr>
              <w:t>dB</w:t>
            </w:r>
          </w:p>
        </w:tc>
      </w:tr>
      <w:tr w:rsidR="00EE22F8" w:rsidRPr="00237C0D" w14:paraId="7D09E7F9" w14:textId="77777777" w:rsidTr="00AE536E">
        <w:tc>
          <w:tcPr>
            <w:tcW w:w="2551" w:type="dxa"/>
            <w:tcBorders>
              <w:top w:val="single" w:sz="4" w:space="0" w:color="auto"/>
              <w:left w:val="single" w:sz="4" w:space="0" w:color="auto"/>
              <w:bottom w:val="single" w:sz="4" w:space="0" w:color="auto"/>
              <w:right w:val="single" w:sz="4" w:space="0" w:color="auto"/>
            </w:tcBorders>
            <w:hideMark/>
          </w:tcPr>
          <w:p w14:paraId="7EBD0145" w14:textId="77777777" w:rsidR="00EE22F8" w:rsidRPr="00237C0D" w:rsidRDefault="00EE22F8" w:rsidP="00DA29A5">
            <w:pPr>
              <w:pStyle w:val="TAC"/>
              <w:rPr>
                <w:lang w:val="en-US"/>
              </w:rPr>
            </w:pPr>
            <w:r w:rsidRPr="00237C0D">
              <w:rPr>
                <w:lang w:val="en-US" w:eastAsia="zh-CN"/>
              </w:rPr>
              <w:t>P-MPR_</w:t>
            </w:r>
            <w:r w:rsidRPr="00237C0D">
              <w:rPr>
                <w:lang w:val="en-US"/>
              </w:rPr>
              <w:t>0</w:t>
            </w:r>
            <w:r>
              <w:rPr>
                <w:lang w:val="en-US" w:eastAsia="zh-CN"/>
              </w:rPr>
              <w:t>1</w:t>
            </w:r>
          </w:p>
        </w:tc>
        <w:tc>
          <w:tcPr>
            <w:tcW w:w="4111" w:type="dxa"/>
            <w:tcBorders>
              <w:top w:val="single" w:sz="4" w:space="0" w:color="auto"/>
              <w:left w:val="single" w:sz="4" w:space="0" w:color="auto"/>
              <w:bottom w:val="single" w:sz="4" w:space="0" w:color="auto"/>
              <w:right w:val="single" w:sz="4" w:space="0" w:color="auto"/>
            </w:tcBorders>
            <w:hideMark/>
          </w:tcPr>
          <w:p w14:paraId="33E6A3C9" w14:textId="77777777" w:rsidR="00EE22F8" w:rsidRPr="00237C0D" w:rsidRDefault="00EE22F8" w:rsidP="00DA29A5">
            <w:pPr>
              <w:pStyle w:val="TAC"/>
              <w:rPr>
                <w:lang w:val="en-US"/>
              </w:rPr>
            </w:pPr>
            <w:r>
              <w:rPr>
                <w:lang w:val="en-US"/>
              </w:rPr>
              <w:t>6</w:t>
            </w:r>
            <w:r w:rsidRPr="00237C0D">
              <w:rPr>
                <w:lang w:val="en-US"/>
              </w:rPr>
              <w:t xml:space="preserve"> </w:t>
            </w:r>
            <w:r w:rsidRPr="00237C0D">
              <w:rPr>
                <w:rFonts w:ascii="Symbol" w:eastAsia="Symbol" w:hAnsi="Symbol" w:cs="Symbol"/>
                <w:lang w:val="en-US"/>
              </w:rPr>
              <w:t></w:t>
            </w:r>
            <w:r w:rsidRPr="00237C0D">
              <w:rPr>
                <w:lang w:val="en-US"/>
              </w:rPr>
              <w:t xml:space="preserve"> PMP-R &lt; </w:t>
            </w:r>
            <w:r>
              <w:rPr>
                <w:lang w:val="en-US"/>
              </w:rPr>
              <w:t>9</w:t>
            </w:r>
          </w:p>
        </w:tc>
        <w:tc>
          <w:tcPr>
            <w:tcW w:w="851" w:type="dxa"/>
            <w:tcBorders>
              <w:top w:val="single" w:sz="4" w:space="0" w:color="auto"/>
              <w:left w:val="single" w:sz="4" w:space="0" w:color="auto"/>
              <w:bottom w:val="single" w:sz="4" w:space="0" w:color="auto"/>
              <w:right w:val="single" w:sz="4" w:space="0" w:color="auto"/>
            </w:tcBorders>
            <w:hideMark/>
          </w:tcPr>
          <w:p w14:paraId="32262944" w14:textId="77777777" w:rsidR="00EE22F8" w:rsidRPr="00237C0D" w:rsidRDefault="00EE22F8" w:rsidP="00DA29A5">
            <w:pPr>
              <w:pStyle w:val="TAC"/>
              <w:rPr>
                <w:lang w:val="en-US"/>
              </w:rPr>
            </w:pPr>
            <w:r w:rsidRPr="00237C0D">
              <w:rPr>
                <w:lang w:val="en-US"/>
              </w:rPr>
              <w:t>dB</w:t>
            </w:r>
          </w:p>
        </w:tc>
      </w:tr>
      <w:tr w:rsidR="00EE22F8" w:rsidRPr="00237C0D" w14:paraId="44834B70" w14:textId="77777777" w:rsidTr="00AE536E">
        <w:tc>
          <w:tcPr>
            <w:tcW w:w="2551" w:type="dxa"/>
            <w:tcBorders>
              <w:top w:val="single" w:sz="4" w:space="0" w:color="auto"/>
              <w:left w:val="single" w:sz="4" w:space="0" w:color="auto"/>
              <w:bottom w:val="single" w:sz="4" w:space="0" w:color="auto"/>
              <w:right w:val="single" w:sz="4" w:space="0" w:color="auto"/>
            </w:tcBorders>
            <w:hideMark/>
          </w:tcPr>
          <w:p w14:paraId="0015263C" w14:textId="77777777" w:rsidR="00EE22F8" w:rsidRPr="00237C0D" w:rsidRDefault="00EE22F8" w:rsidP="00DA29A5">
            <w:pPr>
              <w:pStyle w:val="TAC"/>
              <w:rPr>
                <w:lang w:val="en-US"/>
              </w:rPr>
            </w:pPr>
            <w:r w:rsidRPr="00237C0D">
              <w:rPr>
                <w:lang w:val="en-US" w:eastAsia="zh-CN"/>
              </w:rPr>
              <w:t>P-MPR_</w:t>
            </w:r>
            <w:r w:rsidRPr="00237C0D">
              <w:rPr>
                <w:lang w:val="en-US"/>
              </w:rPr>
              <w:t>0</w:t>
            </w:r>
            <w:r>
              <w:rPr>
                <w:lang w:val="en-US" w:eastAsia="zh-CN"/>
              </w:rPr>
              <w:t>2</w:t>
            </w:r>
          </w:p>
        </w:tc>
        <w:tc>
          <w:tcPr>
            <w:tcW w:w="4111" w:type="dxa"/>
            <w:tcBorders>
              <w:top w:val="single" w:sz="4" w:space="0" w:color="auto"/>
              <w:left w:val="single" w:sz="4" w:space="0" w:color="auto"/>
              <w:bottom w:val="single" w:sz="4" w:space="0" w:color="auto"/>
              <w:right w:val="single" w:sz="4" w:space="0" w:color="auto"/>
            </w:tcBorders>
            <w:hideMark/>
          </w:tcPr>
          <w:p w14:paraId="46687921" w14:textId="77777777" w:rsidR="00EE22F8" w:rsidRPr="00237C0D" w:rsidRDefault="00EE22F8" w:rsidP="00DA29A5">
            <w:pPr>
              <w:pStyle w:val="TAC"/>
              <w:rPr>
                <w:lang w:val="en-US"/>
              </w:rPr>
            </w:pPr>
            <w:r>
              <w:rPr>
                <w:lang w:val="en-US"/>
              </w:rPr>
              <w:t>9</w:t>
            </w:r>
            <w:r w:rsidRPr="00237C0D">
              <w:rPr>
                <w:lang w:val="en-US"/>
              </w:rPr>
              <w:t xml:space="preserve"> </w:t>
            </w:r>
            <w:r w:rsidRPr="00237C0D">
              <w:rPr>
                <w:rFonts w:ascii="Symbol" w:eastAsia="Symbol" w:hAnsi="Symbol" w:cs="Symbol"/>
                <w:lang w:val="en-US"/>
              </w:rPr>
              <w:t></w:t>
            </w:r>
            <w:r w:rsidRPr="00237C0D">
              <w:rPr>
                <w:lang w:val="en-US"/>
              </w:rPr>
              <w:t xml:space="preserve"> PMP-R &lt; </w:t>
            </w:r>
            <w:r>
              <w:rPr>
                <w:lang w:val="en-US"/>
              </w:rPr>
              <w:t>12</w:t>
            </w:r>
          </w:p>
        </w:tc>
        <w:tc>
          <w:tcPr>
            <w:tcW w:w="851" w:type="dxa"/>
            <w:tcBorders>
              <w:top w:val="single" w:sz="4" w:space="0" w:color="auto"/>
              <w:left w:val="single" w:sz="4" w:space="0" w:color="auto"/>
              <w:bottom w:val="single" w:sz="4" w:space="0" w:color="auto"/>
              <w:right w:val="single" w:sz="4" w:space="0" w:color="auto"/>
            </w:tcBorders>
            <w:hideMark/>
          </w:tcPr>
          <w:p w14:paraId="30FBBCB5" w14:textId="77777777" w:rsidR="00EE22F8" w:rsidRPr="00237C0D" w:rsidRDefault="00EE22F8" w:rsidP="00DA29A5">
            <w:pPr>
              <w:pStyle w:val="TAC"/>
              <w:rPr>
                <w:lang w:val="en-US"/>
              </w:rPr>
            </w:pPr>
            <w:r w:rsidRPr="00237C0D">
              <w:rPr>
                <w:lang w:val="en-US"/>
              </w:rPr>
              <w:t>dB</w:t>
            </w:r>
          </w:p>
        </w:tc>
      </w:tr>
      <w:tr w:rsidR="00EE22F8" w:rsidRPr="00237C0D" w14:paraId="2484C672" w14:textId="77777777" w:rsidTr="00AE536E">
        <w:tc>
          <w:tcPr>
            <w:tcW w:w="2551" w:type="dxa"/>
            <w:tcBorders>
              <w:top w:val="single" w:sz="4" w:space="0" w:color="auto"/>
              <w:left w:val="single" w:sz="4" w:space="0" w:color="auto"/>
              <w:bottom w:val="single" w:sz="4" w:space="0" w:color="auto"/>
              <w:right w:val="single" w:sz="4" w:space="0" w:color="auto"/>
            </w:tcBorders>
            <w:hideMark/>
          </w:tcPr>
          <w:p w14:paraId="7BF1DFCD" w14:textId="77777777" w:rsidR="00EE22F8" w:rsidRPr="00237C0D" w:rsidRDefault="00EE22F8" w:rsidP="00DA29A5">
            <w:pPr>
              <w:pStyle w:val="TAC"/>
              <w:rPr>
                <w:lang w:val="en-US"/>
              </w:rPr>
            </w:pPr>
            <w:r w:rsidRPr="00237C0D">
              <w:rPr>
                <w:lang w:val="en-US" w:eastAsia="zh-CN"/>
              </w:rPr>
              <w:t>P-MPR_</w:t>
            </w:r>
            <w:r w:rsidRPr="00237C0D">
              <w:rPr>
                <w:lang w:val="en-US"/>
              </w:rPr>
              <w:t>0</w:t>
            </w:r>
            <w:r>
              <w:rPr>
                <w:lang w:val="en-US"/>
              </w:rPr>
              <w:t>3</w:t>
            </w:r>
          </w:p>
        </w:tc>
        <w:tc>
          <w:tcPr>
            <w:tcW w:w="4111" w:type="dxa"/>
            <w:tcBorders>
              <w:top w:val="single" w:sz="4" w:space="0" w:color="auto"/>
              <w:left w:val="single" w:sz="4" w:space="0" w:color="auto"/>
              <w:bottom w:val="single" w:sz="4" w:space="0" w:color="auto"/>
              <w:right w:val="single" w:sz="4" w:space="0" w:color="auto"/>
            </w:tcBorders>
            <w:hideMark/>
          </w:tcPr>
          <w:p w14:paraId="0923ACB1" w14:textId="77777777" w:rsidR="00EE22F8" w:rsidRPr="00237C0D" w:rsidRDefault="00EE22F8" w:rsidP="00DA29A5">
            <w:pPr>
              <w:pStyle w:val="TAC"/>
              <w:rPr>
                <w:lang w:val="en-US"/>
              </w:rPr>
            </w:pPr>
            <w:r w:rsidRPr="00237C0D">
              <w:rPr>
                <w:lang w:val="en-US"/>
              </w:rPr>
              <w:t>PMP-R</w:t>
            </w:r>
            <w:r>
              <w:rPr>
                <w:lang w:val="en-US"/>
              </w:rPr>
              <w:t xml:space="preserve"> </w:t>
            </w:r>
            <w:r w:rsidRPr="00C0357E">
              <w:sym w:font="Symbol" w:char="F0B3"/>
            </w:r>
            <w:r>
              <w:t xml:space="preserve"> 12</w:t>
            </w:r>
          </w:p>
        </w:tc>
        <w:tc>
          <w:tcPr>
            <w:tcW w:w="851" w:type="dxa"/>
            <w:tcBorders>
              <w:top w:val="single" w:sz="4" w:space="0" w:color="auto"/>
              <w:left w:val="single" w:sz="4" w:space="0" w:color="auto"/>
              <w:bottom w:val="single" w:sz="4" w:space="0" w:color="auto"/>
              <w:right w:val="single" w:sz="4" w:space="0" w:color="auto"/>
            </w:tcBorders>
            <w:hideMark/>
          </w:tcPr>
          <w:p w14:paraId="38A4C776" w14:textId="77777777" w:rsidR="00EE22F8" w:rsidRPr="00237C0D" w:rsidRDefault="00EE22F8" w:rsidP="00DA29A5">
            <w:pPr>
              <w:pStyle w:val="TAC"/>
              <w:rPr>
                <w:lang w:val="en-US"/>
              </w:rPr>
            </w:pPr>
            <w:r w:rsidRPr="00237C0D">
              <w:rPr>
                <w:lang w:val="en-US"/>
              </w:rPr>
              <w:t>dB</w:t>
            </w:r>
          </w:p>
        </w:tc>
      </w:tr>
    </w:tbl>
    <w:p w14:paraId="2CFCBACD" w14:textId="77777777" w:rsidR="00EE22F8" w:rsidRDefault="00EE22F8" w:rsidP="00EE22F8"/>
    <w:p w14:paraId="0944AA14" w14:textId="77777777" w:rsidR="00C81100" w:rsidRDefault="00C81100" w:rsidP="00C81100">
      <w:pPr>
        <w:pStyle w:val="Heading3"/>
        <w:rPr>
          <w:lang w:val="en-US"/>
        </w:rPr>
      </w:pPr>
      <w:r>
        <w:rPr>
          <w:lang w:val="en-US"/>
        </w:rPr>
        <w:t>10.1.27</w:t>
      </w:r>
      <w:r>
        <w:rPr>
          <w:lang w:val="en-US"/>
        </w:rPr>
        <w:tab/>
        <w:t>L1-SINR accuracy requirements for FR1</w:t>
      </w:r>
    </w:p>
    <w:p w14:paraId="2A3D7485" w14:textId="77777777" w:rsidR="00C81100" w:rsidRDefault="00C81100" w:rsidP="004A4D2E">
      <w:pPr>
        <w:pStyle w:val="Heading4"/>
        <w:rPr>
          <w:lang w:val="en-US"/>
        </w:rPr>
      </w:pPr>
      <w:r>
        <w:rPr>
          <w:lang w:val="en-US"/>
        </w:rPr>
        <w:t>10.1.27.1</w:t>
      </w:r>
      <w:r>
        <w:rPr>
          <w:lang w:val="en-US"/>
        </w:rPr>
        <w:tab/>
        <w:t>L1-SINR accuracy requirements with CSI-RS based CMR and no dedicated IMR configured</w:t>
      </w:r>
    </w:p>
    <w:p w14:paraId="12ABCF16" w14:textId="77777777" w:rsidR="00C81100" w:rsidRDefault="00C81100" w:rsidP="004A4D2E">
      <w:pPr>
        <w:pStyle w:val="Heading5"/>
      </w:pPr>
      <w:r>
        <w:t>10.1.27.1.1</w:t>
      </w:r>
      <w:r>
        <w:tab/>
        <w:t>Absolute Accuracy</w:t>
      </w:r>
    </w:p>
    <w:p w14:paraId="64343E61" w14:textId="77777777" w:rsidR="00C81100" w:rsidRDefault="00C81100" w:rsidP="00C81100">
      <w:pPr>
        <w:rPr>
          <w:rFonts w:cs="v4.2.0"/>
          <w:i/>
        </w:rPr>
      </w:pPr>
      <w:r>
        <w:rPr>
          <w:rFonts w:cs="v4.2.0"/>
        </w:rPr>
        <w:t>Unless otherwise specified, the requirements for absolute accuracy of CSI-RS based L1-SINR in this clause apply to all CSI-RS resources configured as CMR and no dedicated resource configured as IMR of the serving cell configured for L1-SINR measurement.</w:t>
      </w:r>
    </w:p>
    <w:p w14:paraId="434A02B4" w14:textId="77777777" w:rsidR="00C81100" w:rsidRDefault="00C81100" w:rsidP="00C81100">
      <w:pPr>
        <w:rPr>
          <w:rFonts w:cs="v4.2.0"/>
        </w:rPr>
      </w:pPr>
      <w:r>
        <w:rPr>
          <w:rFonts w:cs="v4.2.0"/>
        </w:rPr>
        <w:t xml:space="preserve">The accuracy requirements in Table </w:t>
      </w:r>
      <w:r>
        <w:rPr>
          <w:rFonts w:cs="v4.2.0"/>
          <w:lang w:eastAsia="zh-CN"/>
        </w:rPr>
        <w:t>10.1.27.1.1</w:t>
      </w:r>
      <w:r>
        <w:rPr>
          <w:rFonts w:cs="v4.2.0"/>
        </w:rPr>
        <w:t>-1 are valid under the following conditions:</w:t>
      </w:r>
    </w:p>
    <w:p w14:paraId="095689B6" w14:textId="77777777" w:rsidR="00C81100" w:rsidRDefault="00C81100" w:rsidP="00C81100">
      <w:pPr>
        <w:pStyle w:val="B10"/>
      </w:pPr>
      <w:r>
        <w:t>-</w:t>
      </w:r>
      <w:r>
        <w:tab/>
        <w:t>Conditions defined in clause 7.3 of TS 38.101-1 [18] for reference sensitivity are fulfilled.</w:t>
      </w:r>
    </w:p>
    <w:p w14:paraId="57EDC82F" w14:textId="5F028504" w:rsidR="00C81100" w:rsidRPr="007C55F6" w:rsidRDefault="00C81100" w:rsidP="00C81100">
      <w:pPr>
        <w:pStyle w:val="B10"/>
        <w:rPr>
          <w:lang w:eastAsia="zh-CN"/>
        </w:rPr>
      </w:pPr>
      <w:r w:rsidRPr="009C5807">
        <w:t>-</w:t>
      </w:r>
      <w:r w:rsidRPr="009C5807">
        <w:rPr>
          <w:rFonts w:ascii="Arial" w:hAnsi="Arial"/>
          <w:sz w:val="28"/>
          <w:lang w:val="en-US"/>
        </w:rPr>
        <w:tab/>
      </w:r>
      <w:r w:rsidRPr="009C5807">
        <w:t>Conditions for L1-</w:t>
      </w:r>
      <w:r>
        <w:t>SINR</w:t>
      </w:r>
      <w:r w:rsidRPr="009C5807">
        <w:t xml:space="preserve"> measurements are fulfilled according to Annex B.2</w:t>
      </w:r>
      <w:r w:rsidR="00FA41EA">
        <w:t>.8.1</w:t>
      </w:r>
      <w:r w:rsidRPr="009C5807">
        <w:t xml:space="preserve"> for a corresponding Band </w:t>
      </w:r>
      <w:r w:rsidRPr="009C5807">
        <w:rPr>
          <w:rFonts w:cs="v4.2.0"/>
          <w:lang w:eastAsia="ko-KR"/>
        </w:rPr>
        <w:t>for each relevant CSI-RS</w:t>
      </w:r>
      <w:r>
        <w:rPr>
          <w:rFonts w:cs="v4.2.0"/>
          <w:lang w:eastAsia="ko-KR"/>
        </w:rPr>
        <w:t xml:space="preserve"> based CMR</w:t>
      </w:r>
      <w:r w:rsidRPr="009C5807">
        <w:rPr>
          <w:lang w:eastAsia="zh-CN"/>
        </w:rPr>
        <w:t>.</w:t>
      </w:r>
    </w:p>
    <w:p w14:paraId="58258E56" w14:textId="77777777" w:rsidR="00C81100" w:rsidRDefault="00C81100" w:rsidP="00C81100">
      <w:pPr>
        <w:pStyle w:val="B10"/>
        <w:rPr>
          <w:lang w:eastAsia="zh-CN"/>
        </w:rPr>
      </w:pPr>
      <w:r>
        <w:rPr>
          <w:lang w:eastAsia="zh-CN"/>
        </w:rPr>
        <w:t>-</w:t>
      </w:r>
      <w:r>
        <w:rPr>
          <w:lang w:eastAsia="zh-CN"/>
        </w:rPr>
        <w:tab/>
        <w:t>The bandwidth of CSI-RS as CMR is 48 PRBs and the density is 3.</w:t>
      </w:r>
    </w:p>
    <w:p w14:paraId="33D25C39" w14:textId="12B8C5B9" w:rsidR="00C81100" w:rsidRDefault="00C81100" w:rsidP="00C81100">
      <w:pPr>
        <w:pStyle w:val="B10"/>
        <w:rPr>
          <w:lang w:eastAsia="zh-CN"/>
        </w:rPr>
      </w:pPr>
      <w:r>
        <w:rPr>
          <w:lang w:eastAsia="zh-CN"/>
        </w:rPr>
        <w:t>-</w:t>
      </w:r>
      <w:r>
        <w:rPr>
          <w:lang w:eastAsia="zh-CN"/>
        </w:rPr>
        <w:tab/>
        <w:t>AWGN</w:t>
      </w:r>
      <w:r w:rsidR="00FA41EA" w:rsidRPr="00FB249D">
        <w:t xml:space="preserve"> </w:t>
      </w:r>
      <w:r w:rsidR="00FA41EA" w:rsidRPr="00B910B8">
        <w:t>radio propagation conditions</w:t>
      </w:r>
      <w:r>
        <w:rPr>
          <w:lang w:eastAsia="zh-CN"/>
        </w:rPr>
        <w:t>.</w:t>
      </w:r>
    </w:p>
    <w:p w14:paraId="2828CE86" w14:textId="3D62770D" w:rsidR="00C81100" w:rsidRDefault="00C81100" w:rsidP="00C81100">
      <w:pPr>
        <w:tabs>
          <w:tab w:val="left" w:pos="851"/>
        </w:tabs>
        <w:rPr>
          <w:rFonts w:eastAsia="PMingLiU"/>
          <w:lang w:eastAsia="zh-CN"/>
        </w:rPr>
      </w:pPr>
      <w:r>
        <w:rPr>
          <w:rFonts w:eastAsia="PMingLiU"/>
          <w:lang w:eastAsia="zh-CN"/>
        </w:rPr>
        <w:t>The performance with larger bandwidth of CSI-RS as CMR is equal to or better than the accuracy requirements in Table 10.1.27.1.1-1.</w:t>
      </w:r>
    </w:p>
    <w:p w14:paraId="057E047E" w14:textId="77777777" w:rsidR="003852A9" w:rsidRDefault="003852A9" w:rsidP="00C81100">
      <w:pPr>
        <w:tabs>
          <w:tab w:val="left" w:pos="851"/>
        </w:tabs>
        <w:rPr>
          <w:rFonts w:eastAsia="PMingLiU"/>
          <w:lang w:eastAsia="zh-CN"/>
        </w:rPr>
      </w:pPr>
    </w:p>
    <w:p w14:paraId="4087C006" w14:textId="23148918" w:rsidR="00C81100" w:rsidRPr="003852A9" w:rsidRDefault="00FA41EA" w:rsidP="003852A9">
      <w:pPr>
        <w:pStyle w:val="TH"/>
      </w:pPr>
      <w:bookmarkStart w:id="18" w:name="_Hlk63014419"/>
      <w:r>
        <w:t>Table 10.1.27.1.1-1: L1-SINR absolute accuracy for CSI-RS based CMR only in FR1</w:t>
      </w:r>
    </w:p>
    <w:tbl>
      <w:tblPr>
        <w:tblW w:w="10485" w:type="dxa"/>
        <w:jc w:val="center"/>
        <w:tblLayout w:type="fixed"/>
        <w:tblLook w:val="01E0" w:firstRow="1" w:lastRow="1" w:firstColumn="1" w:lastColumn="1" w:noHBand="0" w:noVBand="0"/>
      </w:tblPr>
      <w:tblGrid>
        <w:gridCol w:w="1027"/>
        <w:gridCol w:w="1030"/>
        <w:gridCol w:w="915"/>
        <w:gridCol w:w="1843"/>
        <w:gridCol w:w="1134"/>
        <w:gridCol w:w="992"/>
        <w:gridCol w:w="992"/>
        <w:gridCol w:w="993"/>
        <w:gridCol w:w="1559"/>
      </w:tblGrid>
      <w:tr w:rsidR="00C81100" w14:paraId="2CAAC824" w14:textId="77777777" w:rsidTr="00F37389">
        <w:trPr>
          <w:jc w:val="center"/>
        </w:trPr>
        <w:tc>
          <w:tcPr>
            <w:tcW w:w="2057" w:type="dxa"/>
            <w:gridSpan w:val="2"/>
            <w:tcBorders>
              <w:top w:val="single" w:sz="4" w:space="0" w:color="auto"/>
              <w:left w:val="single" w:sz="4" w:space="0" w:color="auto"/>
              <w:bottom w:val="single" w:sz="6" w:space="0" w:color="auto"/>
              <w:right w:val="single" w:sz="6" w:space="0" w:color="auto"/>
            </w:tcBorders>
            <w:vAlign w:val="center"/>
          </w:tcPr>
          <w:bookmarkEnd w:id="18"/>
          <w:p w14:paraId="1C3E38DD" w14:textId="13E2CBE6" w:rsidR="00C81100" w:rsidRDefault="00C81100" w:rsidP="00AD2F6B">
            <w:pPr>
              <w:pStyle w:val="TAH"/>
            </w:pPr>
            <w:r>
              <w:t>Accuracy</w:t>
            </w:r>
          </w:p>
        </w:tc>
        <w:tc>
          <w:tcPr>
            <w:tcW w:w="8428" w:type="dxa"/>
            <w:gridSpan w:val="7"/>
            <w:tcBorders>
              <w:top w:val="single" w:sz="4" w:space="0" w:color="auto"/>
              <w:left w:val="single" w:sz="6" w:space="0" w:color="auto"/>
              <w:bottom w:val="single" w:sz="6" w:space="0" w:color="auto"/>
              <w:right w:val="single" w:sz="4" w:space="0" w:color="auto"/>
            </w:tcBorders>
            <w:vAlign w:val="center"/>
            <w:hideMark/>
          </w:tcPr>
          <w:p w14:paraId="1A182E09" w14:textId="77777777" w:rsidR="00C81100" w:rsidRDefault="00C81100" w:rsidP="00AD2F6B">
            <w:pPr>
              <w:pStyle w:val="TAH"/>
            </w:pPr>
            <w:r>
              <w:t>Conditions</w:t>
            </w:r>
          </w:p>
        </w:tc>
      </w:tr>
      <w:tr w:rsidR="00C81100" w14:paraId="4C6632D5" w14:textId="77777777" w:rsidTr="00AD2F6B">
        <w:trPr>
          <w:jc w:val="center"/>
        </w:trPr>
        <w:tc>
          <w:tcPr>
            <w:tcW w:w="1027" w:type="dxa"/>
            <w:tcBorders>
              <w:top w:val="single" w:sz="6" w:space="0" w:color="auto"/>
              <w:left w:val="single" w:sz="4" w:space="0" w:color="auto"/>
              <w:bottom w:val="nil"/>
              <w:right w:val="single" w:sz="6" w:space="0" w:color="auto"/>
            </w:tcBorders>
            <w:vAlign w:val="center"/>
            <w:hideMark/>
          </w:tcPr>
          <w:p w14:paraId="2ECCE1C0" w14:textId="77777777" w:rsidR="00C81100" w:rsidRDefault="00C81100" w:rsidP="00AD2F6B">
            <w:pPr>
              <w:pStyle w:val="TAH"/>
            </w:pPr>
            <w:r>
              <w:t>Normal condition</w:t>
            </w:r>
          </w:p>
        </w:tc>
        <w:tc>
          <w:tcPr>
            <w:tcW w:w="1030" w:type="dxa"/>
            <w:tcBorders>
              <w:top w:val="single" w:sz="6" w:space="0" w:color="auto"/>
              <w:left w:val="single" w:sz="6" w:space="0" w:color="auto"/>
              <w:bottom w:val="nil"/>
              <w:right w:val="single" w:sz="6" w:space="0" w:color="auto"/>
            </w:tcBorders>
            <w:vAlign w:val="center"/>
            <w:hideMark/>
          </w:tcPr>
          <w:p w14:paraId="04FD3FF8" w14:textId="77777777" w:rsidR="00C81100" w:rsidRDefault="00C81100" w:rsidP="00AD2F6B">
            <w:pPr>
              <w:pStyle w:val="TAH"/>
            </w:pPr>
            <w:r>
              <w:t>Extreme condition</w:t>
            </w:r>
          </w:p>
        </w:tc>
        <w:tc>
          <w:tcPr>
            <w:tcW w:w="915" w:type="dxa"/>
            <w:tcBorders>
              <w:top w:val="single" w:sz="6" w:space="0" w:color="auto"/>
              <w:left w:val="single" w:sz="6" w:space="0" w:color="auto"/>
              <w:bottom w:val="nil"/>
              <w:right w:val="single" w:sz="6" w:space="0" w:color="auto"/>
            </w:tcBorders>
            <w:vAlign w:val="center"/>
            <w:hideMark/>
          </w:tcPr>
          <w:p w14:paraId="028BCFEF" w14:textId="77777777" w:rsidR="00C81100" w:rsidRDefault="00C81100" w:rsidP="00AD2F6B">
            <w:pPr>
              <w:pStyle w:val="TAH"/>
            </w:pPr>
            <w:r>
              <w:t xml:space="preserve">CSI-RS </w:t>
            </w:r>
          </w:p>
          <w:p w14:paraId="48B4B833" w14:textId="77777777" w:rsidR="00C81100" w:rsidRDefault="00C81100" w:rsidP="00AD2F6B">
            <w:pPr>
              <w:pStyle w:val="TAH"/>
            </w:pPr>
            <w:r>
              <w:t>CMR</w:t>
            </w:r>
          </w:p>
          <w:p w14:paraId="580B5518" w14:textId="77777777" w:rsidR="00C81100" w:rsidRDefault="00C81100" w:rsidP="00AD2F6B">
            <w:pPr>
              <w:pStyle w:val="TAH"/>
            </w:pPr>
            <w:r>
              <w:t>Ês/Iot</w:t>
            </w:r>
          </w:p>
        </w:tc>
        <w:tc>
          <w:tcPr>
            <w:tcW w:w="7513" w:type="dxa"/>
            <w:gridSpan w:val="6"/>
            <w:tcBorders>
              <w:top w:val="single" w:sz="6" w:space="0" w:color="auto"/>
              <w:left w:val="single" w:sz="6" w:space="0" w:color="auto"/>
              <w:bottom w:val="single" w:sz="6" w:space="0" w:color="auto"/>
              <w:right w:val="single" w:sz="4" w:space="0" w:color="auto"/>
            </w:tcBorders>
            <w:vAlign w:val="center"/>
            <w:hideMark/>
          </w:tcPr>
          <w:p w14:paraId="45CC5F06" w14:textId="77777777" w:rsidR="00C81100" w:rsidRDefault="00C81100" w:rsidP="00AD2F6B">
            <w:pPr>
              <w:pStyle w:val="TAH"/>
            </w:pPr>
            <w:r>
              <w:t>Io</w:t>
            </w:r>
            <w:r>
              <w:rPr>
                <w:vertAlign w:val="superscript"/>
              </w:rPr>
              <w:t xml:space="preserve"> Note 1</w:t>
            </w:r>
            <w:r>
              <w:t xml:space="preserve"> range</w:t>
            </w:r>
          </w:p>
        </w:tc>
      </w:tr>
      <w:tr w:rsidR="00C81100" w14:paraId="27485081" w14:textId="77777777" w:rsidTr="00AD2F6B">
        <w:trPr>
          <w:jc w:val="center"/>
        </w:trPr>
        <w:tc>
          <w:tcPr>
            <w:tcW w:w="1027" w:type="dxa"/>
            <w:tcBorders>
              <w:top w:val="nil"/>
              <w:left w:val="single" w:sz="4" w:space="0" w:color="auto"/>
              <w:bottom w:val="single" w:sz="6" w:space="0" w:color="auto"/>
              <w:right w:val="single" w:sz="6" w:space="0" w:color="auto"/>
            </w:tcBorders>
            <w:vAlign w:val="center"/>
          </w:tcPr>
          <w:p w14:paraId="07B9046D" w14:textId="77777777" w:rsidR="00C81100" w:rsidRDefault="00C81100" w:rsidP="00AD2F6B">
            <w:pPr>
              <w:pStyle w:val="TAH"/>
            </w:pPr>
          </w:p>
        </w:tc>
        <w:tc>
          <w:tcPr>
            <w:tcW w:w="1030" w:type="dxa"/>
            <w:tcBorders>
              <w:top w:val="nil"/>
              <w:left w:val="single" w:sz="6" w:space="0" w:color="auto"/>
              <w:bottom w:val="single" w:sz="6" w:space="0" w:color="auto"/>
              <w:right w:val="single" w:sz="6" w:space="0" w:color="auto"/>
            </w:tcBorders>
            <w:vAlign w:val="center"/>
          </w:tcPr>
          <w:p w14:paraId="5FEB846A" w14:textId="77777777" w:rsidR="00C81100" w:rsidRDefault="00C81100" w:rsidP="00AD2F6B">
            <w:pPr>
              <w:pStyle w:val="TAH"/>
            </w:pPr>
          </w:p>
        </w:tc>
        <w:tc>
          <w:tcPr>
            <w:tcW w:w="915" w:type="dxa"/>
            <w:tcBorders>
              <w:top w:val="nil"/>
              <w:left w:val="single" w:sz="6" w:space="0" w:color="auto"/>
              <w:bottom w:val="single" w:sz="6" w:space="0" w:color="auto"/>
              <w:right w:val="single" w:sz="6" w:space="0" w:color="auto"/>
            </w:tcBorders>
            <w:vAlign w:val="center"/>
          </w:tcPr>
          <w:p w14:paraId="6943C6E6" w14:textId="77777777" w:rsidR="00C81100" w:rsidRDefault="00C81100" w:rsidP="00AD2F6B">
            <w:pPr>
              <w:pStyle w:val="TAH"/>
            </w:pPr>
          </w:p>
        </w:tc>
        <w:tc>
          <w:tcPr>
            <w:tcW w:w="1843" w:type="dxa"/>
            <w:tcBorders>
              <w:top w:val="single" w:sz="6" w:space="0" w:color="auto"/>
              <w:left w:val="single" w:sz="6" w:space="0" w:color="auto"/>
              <w:bottom w:val="single" w:sz="6" w:space="0" w:color="auto"/>
              <w:right w:val="single" w:sz="4" w:space="0" w:color="auto"/>
            </w:tcBorders>
            <w:vAlign w:val="center"/>
            <w:hideMark/>
          </w:tcPr>
          <w:p w14:paraId="68325113" w14:textId="77777777" w:rsidR="00C81100" w:rsidRDefault="00C81100" w:rsidP="00AD2F6B">
            <w:pPr>
              <w:pStyle w:val="TAH"/>
            </w:pPr>
            <w:r>
              <w:t>NR operating band groups</w:t>
            </w:r>
            <w:r>
              <w:rPr>
                <w:vertAlign w:val="superscript"/>
              </w:rPr>
              <w:t xml:space="preserve"> Note 2</w:t>
            </w:r>
          </w:p>
        </w:tc>
        <w:tc>
          <w:tcPr>
            <w:tcW w:w="4111" w:type="dxa"/>
            <w:gridSpan w:val="4"/>
            <w:tcBorders>
              <w:top w:val="single" w:sz="4" w:space="0" w:color="auto"/>
              <w:left w:val="single" w:sz="4" w:space="0" w:color="auto"/>
              <w:bottom w:val="single" w:sz="6" w:space="0" w:color="auto"/>
              <w:right w:val="single" w:sz="6" w:space="0" w:color="auto"/>
            </w:tcBorders>
            <w:vAlign w:val="center"/>
            <w:hideMark/>
          </w:tcPr>
          <w:p w14:paraId="6D5D38D7" w14:textId="77777777" w:rsidR="00C81100" w:rsidRDefault="00C81100" w:rsidP="00AD2F6B">
            <w:pPr>
              <w:pStyle w:val="TAH"/>
            </w:pPr>
            <w:r>
              <w:t>Minimum Io</w:t>
            </w:r>
          </w:p>
        </w:tc>
        <w:tc>
          <w:tcPr>
            <w:tcW w:w="1559" w:type="dxa"/>
            <w:tcBorders>
              <w:top w:val="single" w:sz="4" w:space="0" w:color="auto"/>
              <w:left w:val="single" w:sz="6" w:space="0" w:color="auto"/>
              <w:bottom w:val="single" w:sz="6" w:space="0" w:color="auto"/>
              <w:right w:val="single" w:sz="4" w:space="0" w:color="auto"/>
            </w:tcBorders>
            <w:vAlign w:val="center"/>
            <w:hideMark/>
          </w:tcPr>
          <w:p w14:paraId="2C5A825F" w14:textId="77777777" w:rsidR="00C81100" w:rsidRDefault="00C81100" w:rsidP="00AD2F6B">
            <w:pPr>
              <w:pStyle w:val="TAH"/>
            </w:pPr>
            <w:r>
              <w:t>Maximum Io</w:t>
            </w:r>
          </w:p>
        </w:tc>
      </w:tr>
      <w:tr w:rsidR="00C81100" w14:paraId="2E7CEFCB" w14:textId="77777777" w:rsidTr="00AD2F6B">
        <w:trPr>
          <w:trHeight w:val="308"/>
          <w:jc w:val="center"/>
        </w:trPr>
        <w:tc>
          <w:tcPr>
            <w:tcW w:w="1027" w:type="dxa"/>
            <w:tcBorders>
              <w:top w:val="single" w:sz="6" w:space="0" w:color="auto"/>
              <w:left w:val="single" w:sz="4" w:space="0" w:color="auto"/>
              <w:bottom w:val="nil"/>
              <w:right w:val="single" w:sz="6" w:space="0" w:color="auto"/>
            </w:tcBorders>
            <w:vAlign w:val="center"/>
            <w:hideMark/>
          </w:tcPr>
          <w:p w14:paraId="1C451E1C" w14:textId="77777777" w:rsidR="00C81100" w:rsidRDefault="00C81100" w:rsidP="00AD2F6B">
            <w:pPr>
              <w:pStyle w:val="TAH"/>
            </w:pPr>
            <w:r>
              <w:t>dB</w:t>
            </w:r>
          </w:p>
        </w:tc>
        <w:tc>
          <w:tcPr>
            <w:tcW w:w="1030" w:type="dxa"/>
            <w:tcBorders>
              <w:top w:val="single" w:sz="6" w:space="0" w:color="auto"/>
              <w:left w:val="single" w:sz="6" w:space="0" w:color="auto"/>
              <w:bottom w:val="nil"/>
              <w:right w:val="single" w:sz="6" w:space="0" w:color="auto"/>
            </w:tcBorders>
            <w:vAlign w:val="center"/>
            <w:hideMark/>
          </w:tcPr>
          <w:p w14:paraId="22A0E952" w14:textId="77777777" w:rsidR="00C81100" w:rsidRDefault="00C81100" w:rsidP="00AD2F6B">
            <w:pPr>
              <w:pStyle w:val="TAH"/>
            </w:pPr>
            <w:r>
              <w:t>dB</w:t>
            </w:r>
          </w:p>
        </w:tc>
        <w:tc>
          <w:tcPr>
            <w:tcW w:w="915" w:type="dxa"/>
            <w:tcBorders>
              <w:top w:val="single" w:sz="6" w:space="0" w:color="auto"/>
              <w:left w:val="single" w:sz="6" w:space="0" w:color="auto"/>
              <w:bottom w:val="nil"/>
              <w:right w:val="single" w:sz="6" w:space="0" w:color="auto"/>
            </w:tcBorders>
            <w:vAlign w:val="center"/>
            <w:hideMark/>
          </w:tcPr>
          <w:p w14:paraId="1223BDC4" w14:textId="77777777" w:rsidR="00C81100" w:rsidRDefault="00C81100" w:rsidP="00AD2F6B">
            <w:pPr>
              <w:pStyle w:val="TAH"/>
            </w:pPr>
            <w:r>
              <w:t>dB</w:t>
            </w:r>
          </w:p>
        </w:tc>
        <w:tc>
          <w:tcPr>
            <w:tcW w:w="1843" w:type="dxa"/>
            <w:tcBorders>
              <w:top w:val="single" w:sz="6" w:space="0" w:color="auto"/>
              <w:left w:val="single" w:sz="6" w:space="0" w:color="auto"/>
              <w:bottom w:val="nil"/>
              <w:right w:val="single" w:sz="4" w:space="0" w:color="auto"/>
            </w:tcBorders>
            <w:vAlign w:val="center"/>
          </w:tcPr>
          <w:p w14:paraId="0033CCEB" w14:textId="77777777" w:rsidR="00C81100" w:rsidRDefault="00C81100" w:rsidP="00AD2F6B">
            <w:pPr>
              <w:pStyle w:val="TAH"/>
            </w:pPr>
          </w:p>
        </w:tc>
        <w:tc>
          <w:tcPr>
            <w:tcW w:w="3118" w:type="dxa"/>
            <w:gridSpan w:val="3"/>
            <w:tcBorders>
              <w:top w:val="single" w:sz="6" w:space="0" w:color="auto"/>
              <w:left w:val="single" w:sz="4" w:space="0" w:color="auto"/>
              <w:bottom w:val="single" w:sz="6" w:space="0" w:color="auto"/>
              <w:right w:val="single" w:sz="6" w:space="0" w:color="auto"/>
            </w:tcBorders>
            <w:vAlign w:val="center"/>
            <w:hideMark/>
          </w:tcPr>
          <w:p w14:paraId="5E48F623" w14:textId="77777777" w:rsidR="00C81100" w:rsidRDefault="00C81100" w:rsidP="00AD2F6B">
            <w:pPr>
              <w:pStyle w:val="TAH"/>
            </w:pPr>
            <w:r>
              <w:rPr>
                <w:rFonts w:cs="Arial"/>
              </w:rPr>
              <w:t xml:space="preserve">dBm / </w:t>
            </w:r>
            <w:r>
              <w:t>SCS</w:t>
            </w:r>
            <w:r>
              <w:rPr>
                <w:vertAlign w:val="subscript"/>
              </w:rPr>
              <w:t>CSI-RS</w:t>
            </w:r>
          </w:p>
        </w:tc>
        <w:tc>
          <w:tcPr>
            <w:tcW w:w="993" w:type="dxa"/>
            <w:tcBorders>
              <w:top w:val="single" w:sz="6" w:space="0" w:color="auto"/>
              <w:left w:val="single" w:sz="6" w:space="0" w:color="auto"/>
              <w:bottom w:val="nil"/>
              <w:right w:val="single" w:sz="6" w:space="0" w:color="auto"/>
            </w:tcBorders>
            <w:vAlign w:val="center"/>
            <w:hideMark/>
          </w:tcPr>
          <w:p w14:paraId="30178159" w14:textId="77777777" w:rsidR="00C81100" w:rsidRDefault="00C81100" w:rsidP="00AD2F6B">
            <w:pPr>
              <w:pStyle w:val="TAH"/>
            </w:pPr>
            <w:r>
              <w:t>dBm/BW</w:t>
            </w:r>
            <w:r>
              <w:rPr>
                <w:vertAlign w:val="subscript"/>
              </w:rPr>
              <w:t>Channel</w:t>
            </w:r>
          </w:p>
        </w:tc>
        <w:tc>
          <w:tcPr>
            <w:tcW w:w="1559" w:type="dxa"/>
            <w:tcBorders>
              <w:top w:val="single" w:sz="6" w:space="0" w:color="auto"/>
              <w:left w:val="single" w:sz="6" w:space="0" w:color="auto"/>
              <w:bottom w:val="nil"/>
              <w:right w:val="single" w:sz="4" w:space="0" w:color="auto"/>
            </w:tcBorders>
            <w:vAlign w:val="center"/>
            <w:hideMark/>
          </w:tcPr>
          <w:p w14:paraId="10C9F306" w14:textId="77777777" w:rsidR="00C81100" w:rsidRDefault="00C81100" w:rsidP="00AD2F6B">
            <w:pPr>
              <w:pStyle w:val="TAH"/>
            </w:pPr>
            <w:r>
              <w:t>dBm/BW</w:t>
            </w:r>
            <w:r>
              <w:rPr>
                <w:vertAlign w:val="subscript"/>
              </w:rPr>
              <w:t>Channel</w:t>
            </w:r>
          </w:p>
        </w:tc>
      </w:tr>
      <w:tr w:rsidR="00C81100" w14:paraId="1FEEE633" w14:textId="77777777" w:rsidTr="00AD2F6B">
        <w:trPr>
          <w:trHeight w:val="307"/>
          <w:jc w:val="center"/>
        </w:trPr>
        <w:tc>
          <w:tcPr>
            <w:tcW w:w="1027" w:type="dxa"/>
            <w:tcBorders>
              <w:top w:val="nil"/>
              <w:left w:val="single" w:sz="4" w:space="0" w:color="auto"/>
              <w:bottom w:val="single" w:sz="6" w:space="0" w:color="auto"/>
              <w:right w:val="single" w:sz="6" w:space="0" w:color="auto"/>
            </w:tcBorders>
            <w:vAlign w:val="center"/>
          </w:tcPr>
          <w:p w14:paraId="0A080495" w14:textId="77777777" w:rsidR="00C81100" w:rsidRDefault="00C81100" w:rsidP="00AD2F6B">
            <w:pPr>
              <w:pStyle w:val="TAH"/>
            </w:pPr>
          </w:p>
        </w:tc>
        <w:tc>
          <w:tcPr>
            <w:tcW w:w="1030" w:type="dxa"/>
            <w:tcBorders>
              <w:top w:val="nil"/>
              <w:left w:val="single" w:sz="6" w:space="0" w:color="auto"/>
              <w:bottom w:val="single" w:sz="6" w:space="0" w:color="auto"/>
              <w:right w:val="single" w:sz="6" w:space="0" w:color="auto"/>
            </w:tcBorders>
            <w:vAlign w:val="center"/>
          </w:tcPr>
          <w:p w14:paraId="70A486B1" w14:textId="77777777" w:rsidR="00C81100" w:rsidRDefault="00C81100" w:rsidP="00AD2F6B">
            <w:pPr>
              <w:pStyle w:val="TAH"/>
            </w:pPr>
          </w:p>
        </w:tc>
        <w:tc>
          <w:tcPr>
            <w:tcW w:w="915" w:type="dxa"/>
            <w:tcBorders>
              <w:top w:val="nil"/>
              <w:left w:val="single" w:sz="6" w:space="0" w:color="auto"/>
              <w:bottom w:val="single" w:sz="6" w:space="0" w:color="auto"/>
              <w:right w:val="single" w:sz="6" w:space="0" w:color="auto"/>
            </w:tcBorders>
            <w:vAlign w:val="center"/>
          </w:tcPr>
          <w:p w14:paraId="72D027D6" w14:textId="77777777" w:rsidR="00C81100" w:rsidRDefault="00C81100" w:rsidP="00AD2F6B">
            <w:pPr>
              <w:pStyle w:val="TAH"/>
            </w:pPr>
          </w:p>
        </w:tc>
        <w:tc>
          <w:tcPr>
            <w:tcW w:w="1843" w:type="dxa"/>
            <w:tcBorders>
              <w:top w:val="nil"/>
              <w:left w:val="single" w:sz="6" w:space="0" w:color="auto"/>
              <w:bottom w:val="single" w:sz="6" w:space="0" w:color="auto"/>
              <w:right w:val="single" w:sz="4" w:space="0" w:color="auto"/>
            </w:tcBorders>
            <w:vAlign w:val="center"/>
          </w:tcPr>
          <w:p w14:paraId="3695408B" w14:textId="77777777" w:rsidR="00C81100" w:rsidRDefault="00C81100" w:rsidP="00AD2F6B">
            <w:pPr>
              <w:pStyle w:val="TAH"/>
            </w:pPr>
          </w:p>
        </w:tc>
        <w:tc>
          <w:tcPr>
            <w:tcW w:w="1134" w:type="dxa"/>
            <w:tcBorders>
              <w:top w:val="single" w:sz="6" w:space="0" w:color="auto"/>
              <w:left w:val="single" w:sz="4" w:space="0" w:color="auto"/>
              <w:bottom w:val="single" w:sz="6" w:space="0" w:color="auto"/>
              <w:right w:val="single" w:sz="6" w:space="0" w:color="auto"/>
            </w:tcBorders>
            <w:vAlign w:val="center"/>
            <w:hideMark/>
          </w:tcPr>
          <w:p w14:paraId="16D9DB75" w14:textId="77777777" w:rsidR="00C81100" w:rsidRDefault="00C81100" w:rsidP="00AD2F6B">
            <w:pPr>
              <w:pStyle w:val="TAH"/>
              <w:rPr>
                <w:rFonts w:cs="Arial"/>
              </w:rPr>
            </w:pPr>
            <w:r>
              <w:t>SCS</w:t>
            </w:r>
            <w:r>
              <w:rPr>
                <w:vertAlign w:val="subscript"/>
              </w:rPr>
              <w:t>CSI-RS</w:t>
            </w:r>
            <w:r>
              <w:rPr>
                <w:rFonts w:cs="Arial"/>
              </w:rPr>
              <w:t xml:space="preserve"> = 15 kHz</w:t>
            </w:r>
          </w:p>
        </w:tc>
        <w:tc>
          <w:tcPr>
            <w:tcW w:w="992" w:type="dxa"/>
            <w:tcBorders>
              <w:top w:val="single" w:sz="6" w:space="0" w:color="auto"/>
              <w:left w:val="single" w:sz="4" w:space="0" w:color="auto"/>
              <w:bottom w:val="single" w:sz="6" w:space="0" w:color="auto"/>
              <w:right w:val="single" w:sz="6" w:space="0" w:color="auto"/>
            </w:tcBorders>
            <w:vAlign w:val="center"/>
            <w:hideMark/>
          </w:tcPr>
          <w:p w14:paraId="3EC4CB81" w14:textId="77777777" w:rsidR="00C81100" w:rsidRDefault="00C81100" w:rsidP="00AD2F6B">
            <w:pPr>
              <w:pStyle w:val="TAH"/>
              <w:rPr>
                <w:rFonts w:cs="Arial"/>
              </w:rPr>
            </w:pPr>
            <w:r>
              <w:t>SCS</w:t>
            </w:r>
            <w:r>
              <w:rPr>
                <w:vertAlign w:val="subscript"/>
              </w:rPr>
              <w:t>CSI-RS</w:t>
            </w:r>
            <w:r>
              <w:rPr>
                <w:rFonts w:cs="Arial"/>
              </w:rPr>
              <w:t xml:space="preserve"> = 30 kHz</w:t>
            </w:r>
          </w:p>
        </w:tc>
        <w:tc>
          <w:tcPr>
            <w:tcW w:w="992" w:type="dxa"/>
            <w:tcBorders>
              <w:top w:val="single" w:sz="6" w:space="0" w:color="auto"/>
              <w:left w:val="single" w:sz="4" w:space="0" w:color="auto"/>
              <w:bottom w:val="single" w:sz="6" w:space="0" w:color="auto"/>
              <w:right w:val="single" w:sz="6" w:space="0" w:color="auto"/>
            </w:tcBorders>
            <w:vAlign w:val="center"/>
          </w:tcPr>
          <w:p w14:paraId="1EBFEFF4" w14:textId="77777777" w:rsidR="00C81100" w:rsidRDefault="00C81100" w:rsidP="00AD2F6B">
            <w:pPr>
              <w:pStyle w:val="TAH"/>
              <w:rPr>
                <w:rFonts w:cs="Arial"/>
              </w:rPr>
            </w:pPr>
            <w:r>
              <w:t>SCS</w:t>
            </w:r>
            <w:r>
              <w:rPr>
                <w:vertAlign w:val="subscript"/>
              </w:rPr>
              <w:t>CSI-RS</w:t>
            </w:r>
            <w:r>
              <w:rPr>
                <w:rFonts w:cs="Arial"/>
              </w:rPr>
              <w:t xml:space="preserve"> = 60 kHz</w:t>
            </w:r>
          </w:p>
        </w:tc>
        <w:tc>
          <w:tcPr>
            <w:tcW w:w="993" w:type="dxa"/>
            <w:tcBorders>
              <w:top w:val="nil"/>
              <w:left w:val="single" w:sz="6" w:space="0" w:color="auto"/>
              <w:bottom w:val="single" w:sz="6" w:space="0" w:color="auto"/>
              <w:right w:val="single" w:sz="6" w:space="0" w:color="auto"/>
            </w:tcBorders>
            <w:vAlign w:val="center"/>
          </w:tcPr>
          <w:p w14:paraId="4465202F" w14:textId="77777777" w:rsidR="00C81100" w:rsidRDefault="00C81100" w:rsidP="00AD2F6B">
            <w:pPr>
              <w:pStyle w:val="TAH"/>
            </w:pPr>
          </w:p>
        </w:tc>
        <w:tc>
          <w:tcPr>
            <w:tcW w:w="1559" w:type="dxa"/>
            <w:tcBorders>
              <w:top w:val="nil"/>
              <w:left w:val="single" w:sz="6" w:space="0" w:color="auto"/>
              <w:bottom w:val="single" w:sz="6" w:space="0" w:color="auto"/>
              <w:right w:val="single" w:sz="4" w:space="0" w:color="auto"/>
            </w:tcBorders>
            <w:vAlign w:val="center"/>
          </w:tcPr>
          <w:p w14:paraId="76907BEB" w14:textId="77777777" w:rsidR="00C81100" w:rsidRDefault="00C81100" w:rsidP="00AD2F6B">
            <w:pPr>
              <w:pStyle w:val="TAH"/>
            </w:pPr>
          </w:p>
        </w:tc>
      </w:tr>
      <w:tr w:rsidR="00C81100" w14:paraId="4F4B0B3A" w14:textId="77777777" w:rsidTr="00AD2F6B">
        <w:trPr>
          <w:jc w:val="center"/>
        </w:trPr>
        <w:tc>
          <w:tcPr>
            <w:tcW w:w="1027" w:type="dxa"/>
            <w:tcBorders>
              <w:top w:val="single" w:sz="6" w:space="0" w:color="auto"/>
              <w:left w:val="single" w:sz="4" w:space="0" w:color="auto"/>
              <w:bottom w:val="nil"/>
              <w:right w:val="single" w:sz="6" w:space="0" w:color="auto"/>
            </w:tcBorders>
          </w:tcPr>
          <w:p w14:paraId="2B0207DF" w14:textId="77777777" w:rsidR="00C81100" w:rsidRDefault="00C81100" w:rsidP="00AD2F6B">
            <w:pPr>
              <w:pStyle w:val="TAC"/>
            </w:pPr>
          </w:p>
        </w:tc>
        <w:tc>
          <w:tcPr>
            <w:tcW w:w="1030" w:type="dxa"/>
            <w:tcBorders>
              <w:top w:val="single" w:sz="6" w:space="0" w:color="auto"/>
              <w:left w:val="single" w:sz="6" w:space="0" w:color="auto"/>
              <w:bottom w:val="nil"/>
              <w:right w:val="single" w:sz="6" w:space="0" w:color="auto"/>
            </w:tcBorders>
          </w:tcPr>
          <w:p w14:paraId="07F4CB95" w14:textId="77777777" w:rsidR="00C81100" w:rsidRDefault="00C81100" w:rsidP="00AD2F6B">
            <w:pPr>
              <w:pStyle w:val="TAC"/>
            </w:pPr>
          </w:p>
        </w:tc>
        <w:tc>
          <w:tcPr>
            <w:tcW w:w="915" w:type="dxa"/>
            <w:tcBorders>
              <w:top w:val="single" w:sz="6" w:space="0" w:color="auto"/>
              <w:left w:val="single" w:sz="6" w:space="0" w:color="auto"/>
              <w:bottom w:val="nil"/>
              <w:right w:val="single" w:sz="6" w:space="0" w:color="auto"/>
            </w:tcBorders>
          </w:tcPr>
          <w:p w14:paraId="5532D73D"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1A781D46" w14:textId="77777777" w:rsidR="00C81100" w:rsidRDefault="00C81100" w:rsidP="00AD2F6B">
            <w:pPr>
              <w:pStyle w:val="TAC"/>
            </w:pPr>
            <w:r>
              <w:t>NR_FDD_FR1_A, NR_TDD_FR1_A,</w:t>
            </w:r>
          </w:p>
          <w:p w14:paraId="0D07BF4E" w14:textId="77777777" w:rsidR="00C81100" w:rsidRDefault="00C81100" w:rsidP="00AD2F6B">
            <w:pPr>
              <w:pStyle w:val="TAC"/>
            </w:pPr>
            <w:r>
              <w:t>NR_SDL_FR1_A</w:t>
            </w:r>
          </w:p>
        </w:tc>
        <w:tc>
          <w:tcPr>
            <w:tcW w:w="1134" w:type="dxa"/>
            <w:tcBorders>
              <w:top w:val="single" w:sz="6" w:space="0" w:color="auto"/>
              <w:left w:val="single" w:sz="4" w:space="0" w:color="auto"/>
              <w:bottom w:val="single" w:sz="6" w:space="0" w:color="auto"/>
              <w:right w:val="single" w:sz="6" w:space="0" w:color="auto"/>
            </w:tcBorders>
            <w:hideMark/>
          </w:tcPr>
          <w:p w14:paraId="7D42C1A3" w14:textId="77777777" w:rsidR="00C81100" w:rsidRDefault="00C81100" w:rsidP="00AD2F6B">
            <w:pPr>
              <w:pStyle w:val="TAC"/>
            </w:pPr>
            <w:r>
              <w:t>-121</w:t>
            </w:r>
          </w:p>
        </w:tc>
        <w:tc>
          <w:tcPr>
            <w:tcW w:w="992" w:type="dxa"/>
            <w:tcBorders>
              <w:top w:val="single" w:sz="6" w:space="0" w:color="auto"/>
              <w:left w:val="single" w:sz="4" w:space="0" w:color="auto"/>
              <w:bottom w:val="single" w:sz="6" w:space="0" w:color="auto"/>
              <w:right w:val="single" w:sz="6" w:space="0" w:color="auto"/>
            </w:tcBorders>
            <w:hideMark/>
          </w:tcPr>
          <w:p w14:paraId="050B9429" w14:textId="77777777" w:rsidR="00C81100" w:rsidRDefault="00C81100" w:rsidP="00AD2F6B">
            <w:pPr>
              <w:pStyle w:val="TAC"/>
            </w:pPr>
            <w:r>
              <w:t>-118</w:t>
            </w:r>
          </w:p>
        </w:tc>
        <w:tc>
          <w:tcPr>
            <w:tcW w:w="992" w:type="dxa"/>
            <w:tcBorders>
              <w:top w:val="single" w:sz="6" w:space="0" w:color="auto"/>
              <w:left w:val="single" w:sz="4" w:space="0" w:color="auto"/>
              <w:bottom w:val="single" w:sz="6" w:space="0" w:color="auto"/>
              <w:right w:val="single" w:sz="6" w:space="0" w:color="auto"/>
            </w:tcBorders>
          </w:tcPr>
          <w:p w14:paraId="283FABCF" w14:textId="77777777" w:rsidR="00C81100" w:rsidRDefault="00C81100" w:rsidP="00AD2F6B">
            <w:pPr>
              <w:pStyle w:val="TAC"/>
            </w:pPr>
            <w:r>
              <w:t>-115</w:t>
            </w:r>
          </w:p>
        </w:tc>
        <w:tc>
          <w:tcPr>
            <w:tcW w:w="993" w:type="dxa"/>
            <w:tcBorders>
              <w:top w:val="single" w:sz="6" w:space="0" w:color="auto"/>
              <w:left w:val="single" w:sz="6" w:space="0" w:color="auto"/>
              <w:bottom w:val="single" w:sz="6" w:space="0" w:color="auto"/>
              <w:right w:val="single" w:sz="6" w:space="0" w:color="auto"/>
            </w:tcBorders>
            <w:hideMark/>
          </w:tcPr>
          <w:p w14:paraId="2DAEDF8B"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28C2ABF1" w14:textId="77777777" w:rsidR="00C81100" w:rsidRDefault="00C81100" w:rsidP="00AD2F6B">
            <w:pPr>
              <w:pStyle w:val="TAC"/>
            </w:pPr>
            <w:r>
              <w:t>-50</w:t>
            </w:r>
          </w:p>
        </w:tc>
      </w:tr>
      <w:tr w:rsidR="00C81100" w14:paraId="644E747E" w14:textId="77777777" w:rsidTr="00AD2F6B">
        <w:trPr>
          <w:jc w:val="center"/>
        </w:trPr>
        <w:tc>
          <w:tcPr>
            <w:tcW w:w="1027" w:type="dxa"/>
            <w:tcBorders>
              <w:top w:val="nil"/>
              <w:left w:val="single" w:sz="4" w:space="0" w:color="auto"/>
              <w:bottom w:val="nil"/>
              <w:right w:val="single" w:sz="6" w:space="0" w:color="auto"/>
            </w:tcBorders>
          </w:tcPr>
          <w:p w14:paraId="0CFA7F46"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00F153AF"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45241D57"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1586785D" w14:textId="77777777" w:rsidR="00C81100" w:rsidRDefault="00C81100" w:rsidP="00AD2F6B">
            <w:pPr>
              <w:pStyle w:val="TAC"/>
            </w:pPr>
            <w:r>
              <w:t>NR_FDD_FR1_B</w:t>
            </w:r>
          </w:p>
        </w:tc>
        <w:tc>
          <w:tcPr>
            <w:tcW w:w="1134" w:type="dxa"/>
            <w:tcBorders>
              <w:top w:val="single" w:sz="6" w:space="0" w:color="auto"/>
              <w:left w:val="single" w:sz="4" w:space="0" w:color="auto"/>
              <w:bottom w:val="single" w:sz="6" w:space="0" w:color="auto"/>
              <w:right w:val="single" w:sz="6" w:space="0" w:color="auto"/>
            </w:tcBorders>
            <w:hideMark/>
          </w:tcPr>
          <w:p w14:paraId="62C439FC" w14:textId="77777777" w:rsidR="00C81100" w:rsidRDefault="00C81100" w:rsidP="00AD2F6B">
            <w:pPr>
              <w:pStyle w:val="TAC"/>
            </w:pPr>
            <w:r>
              <w:t>-120.5</w:t>
            </w:r>
          </w:p>
        </w:tc>
        <w:tc>
          <w:tcPr>
            <w:tcW w:w="992" w:type="dxa"/>
            <w:tcBorders>
              <w:top w:val="single" w:sz="6" w:space="0" w:color="auto"/>
              <w:left w:val="single" w:sz="4" w:space="0" w:color="auto"/>
              <w:bottom w:val="single" w:sz="6" w:space="0" w:color="auto"/>
              <w:right w:val="single" w:sz="6" w:space="0" w:color="auto"/>
            </w:tcBorders>
            <w:hideMark/>
          </w:tcPr>
          <w:p w14:paraId="1CF16D36" w14:textId="77777777" w:rsidR="00C81100" w:rsidRDefault="00C81100" w:rsidP="00AD2F6B">
            <w:pPr>
              <w:pStyle w:val="TAC"/>
              <w:rPr>
                <w:lang w:val="sv-SE"/>
              </w:rPr>
            </w:pPr>
            <w:r>
              <w:t>-117.5</w:t>
            </w:r>
          </w:p>
        </w:tc>
        <w:tc>
          <w:tcPr>
            <w:tcW w:w="992" w:type="dxa"/>
            <w:tcBorders>
              <w:top w:val="single" w:sz="6" w:space="0" w:color="auto"/>
              <w:left w:val="single" w:sz="4" w:space="0" w:color="auto"/>
              <w:bottom w:val="single" w:sz="6" w:space="0" w:color="auto"/>
              <w:right w:val="single" w:sz="6" w:space="0" w:color="auto"/>
            </w:tcBorders>
          </w:tcPr>
          <w:p w14:paraId="74F78356" w14:textId="77777777" w:rsidR="00C81100" w:rsidRDefault="00C81100" w:rsidP="00AD2F6B">
            <w:pPr>
              <w:pStyle w:val="TAC"/>
              <w:rPr>
                <w:lang w:val="sv-SE"/>
              </w:rPr>
            </w:pPr>
            <w:r>
              <w:t>-114.5</w:t>
            </w:r>
          </w:p>
        </w:tc>
        <w:tc>
          <w:tcPr>
            <w:tcW w:w="993" w:type="dxa"/>
            <w:tcBorders>
              <w:top w:val="single" w:sz="6" w:space="0" w:color="auto"/>
              <w:left w:val="single" w:sz="6" w:space="0" w:color="auto"/>
              <w:bottom w:val="single" w:sz="6" w:space="0" w:color="auto"/>
              <w:right w:val="single" w:sz="6" w:space="0" w:color="auto"/>
            </w:tcBorders>
            <w:hideMark/>
          </w:tcPr>
          <w:p w14:paraId="56766876"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17925834" w14:textId="77777777" w:rsidR="00C81100" w:rsidRDefault="00C81100" w:rsidP="00AD2F6B">
            <w:pPr>
              <w:pStyle w:val="TAC"/>
            </w:pPr>
            <w:r>
              <w:t>-50</w:t>
            </w:r>
          </w:p>
        </w:tc>
      </w:tr>
      <w:tr w:rsidR="00C81100" w14:paraId="20F9603D" w14:textId="77777777" w:rsidTr="00AD2F6B">
        <w:trPr>
          <w:jc w:val="center"/>
        </w:trPr>
        <w:tc>
          <w:tcPr>
            <w:tcW w:w="1027" w:type="dxa"/>
            <w:tcBorders>
              <w:top w:val="nil"/>
              <w:left w:val="single" w:sz="4" w:space="0" w:color="auto"/>
              <w:bottom w:val="nil"/>
              <w:right w:val="single" w:sz="6" w:space="0" w:color="auto"/>
            </w:tcBorders>
          </w:tcPr>
          <w:p w14:paraId="30D7E90E"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66148B69"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3D35265E"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3B0DBB37" w14:textId="77777777" w:rsidR="00C81100" w:rsidRDefault="00C81100" w:rsidP="00AD2F6B">
            <w:pPr>
              <w:pStyle w:val="TAC"/>
            </w:pPr>
            <w:r>
              <w:t>NR_TDD_FR1_C</w:t>
            </w:r>
          </w:p>
        </w:tc>
        <w:tc>
          <w:tcPr>
            <w:tcW w:w="1134" w:type="dxa"/>
            <w:tcBorders>
              <w:top w:val="single" w:sz="6" w:space="0" w:color="auto"/>
              <w:left w:val="single" w:sz="4" w:space="0" w:color="auto"/>
              <w:bottom w:val="single" w:sz="6" w:space="0" w:color="auto"/>
              <w:right w:val="single" w:sz="6" w:space="0" w:color="auto"/>
            </w:tcBorders>
            <w:hideMark/>
          </w:tcPr>
          <w:p w14:paraId="18D4095F" w14:textId="77777777" w:rsidR="00C81100" w:rsidRDefault="00C81100" w:rsidP="00AD2F6B">
            <w:pPr>
              <w:pStyle w:val="TAC"/>
            </w:pPr>
            <w:r>
              <w:t>-120</w:t>
            </w:r>
          </w:p>
        </w:tc>
        <w:tc>
          <w:tcPr>
            <w:tcW w:w="992" w:type="dxa"/>
            <w:tcBorders>
              <w:top w:val="single" w:sz="6" w:space="0" w:color="auto"/>
              <w:left w:val="single" w:sz="4" w:space="0" w:color="auto"/>
              <w:bottom w:val="single" w:sz="6" w:space="0" w:color="auto"/>
              <w:right w:val="single" w:sz="6" w:space="0" w:color="auto"/>
            </w:tcBorders>
            <w:hideMark/>
          </w:tcPr>
          <w:p w14:paraId="19783391" w14:textId="77777777" w:rsidR="00C81100" w:rsidRDefault="00C81100" w:rsidP="00AD2F6B">
            <w:pPr>
              <w:pStyle w:val="TAC"/>
              <w:rPr>
                <w:lang w:val="sv-SE"/>
              </w:rPr>
            </w:pPr>
            <w:r>
              <w:t>-117</w:t>
            </w:r>
          </w:p>
        </w:tc>
        <w:tc>
          <w:tcPr>
            <w:tcW w:w="992" w:type="dxa"/>
            <w:tcBorders>
              <w:top w:val="single" w:sz="6" w:space="0" w:color="auto"/>
              <w:left w:val="single" w:sz="4" w:space="0" w:color="auto"/>
              <w:bottom w:val="single" w:sz="6" w:space="0" w:color="auto"/>
              <w:right w:val="single" w:sz="6" w:space="0" w:color="auto"/>
            </w:tcBorders>
          </w:tcPr>
          <w:p w14:paraId="335F020A" w14:textId="77777777" w:rsidR="00C81100" w:rsidRDefault="00C81100" w:rsidP="00AD2F6B">
            <w:pPr>
              <w:pStyle w:val="TAC"/>
              <w:rPr>
                <w:lang w:val="sv-SE"/>
              </w:rPr>
            </w:pPr>
            <w:r>
              <w:t>-114</w:t>
            </w:r>
          </w:p>
        </w:tc>
        <w:tc>
          <w:tcPr>
            <w:tcW w:w="993" w:type="dxa"/>
            <w:tcBorders>
              <w:top w:val="single" w:sz="6" w:space="0" w:color="auto"/>
              <w:left w:val="single" w:sz="6" w:space="0" w:color="auto"/>
              <w:bottom w:val="single" w:sz="6" w:space="0" w:color="auto"/>
              <w:right w:val="single" w:sz="6" w:space="0" w:color="auto"/>
            </w:tcBorders>
            <w:hideMark/>
          </w:tcPr>
          <w:p w14:paraId="5EDE1498"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08C8F8B1" w14:textId="77777777" w:rsidR="00C81100" w:rsidRDefault="00C81100" w:rsidP="00AD2F6B">
            <w:pPr>
              <w:pStyle w:val="TAC"/>
            </w:pPr>
            <w:r>
              <w:t>-50</w:t>
            </w:r>
          </w:p>
        </w:tc>
      </w:tr>
      <w:tr w:rsidR="00C81100" w14:paraId="6863D4B7" w14:textId="77777777" w:rsidTr="00AD2F6B">
        <w:trPr>
          <w:jc w:val="center"/>
        </w:trPr>
        <w:tc>
          <w:tcPr>
            <w:tcW w:w="1027" w:type="dxa"/>
            <w:tcBorders>
              <w:top w:val="nil"/>
              <w:left w:val="single" w:sz="4" w:space="0" w:color="auto"/>
              <w:bottom w:val="nil"/>
              <w:right w:val="single" w:sz="6" w:space="0" w:color="auto"/>
            </w:tcBorders>
            <w:hideMark/>
          </w:tcPr>
          <w:p w14:paraId="19EDD802" w14:textId="77777777" w:rsidR="00C81100" w:rsidRDefault="00C81100" w:rsidP="00AD2F6B">
            <w:pPr>
              <w:pStyle w:val="TAC"/>
            </w:pPr>
            <w:r>
              <w:rPr>
                <w:rFonts w:cs="Arial"/>
              </w:rPr>
              <w:t>±</w:t>
            </w:r>
            <w:r>
              <w:t>5.5</w:t>
            </w:r>
          </w:p>
        </w:tc>
        <w:tc>
          <w:tcPr>
            <w:tcW w:w="1030" w:type="dxa"/>
            <w:tcBorders>
              <w:top w:val="nil"/>
              <w:left w:val="single" w:sz="6" w:space="0" w:color="auto"/>
              <w:bottom w:val="nil"/>
              <w:right w:val="single" w:sz="6" w:space="0" w:color="auto"/>
            </w:tcBorders>
            <w:hideMark/>
          </w:tcPr>
          <w:p w14:paraId="54848204" w14:textId="77777777" w:rsidR="00C81100" w:rsidRDefault="00C81100" w:rsidP="00AD2F6B">
            <w:pPr>
              <w:pStyle w:val="TAC"/>
            </w:pPr>
            <w:r>
              <w:rPr>
                <w:rFonts w:cs="Arial"/>
              </w:rPr>
              <w:t>±</w:t>
            </w:r>
            <w:r>
              <w:t>6.5</w:t>
            </w:r>
          </w:p>
        </w:tc>
        <w:tc>
          <w:tcPr>
            <w:tcW w:w="915" w:type="dxa"/>
            <w:tcBorders>
              <w:top w:val="nil"/>
              <w:left w:val="single" w:sz="6" w:space="0" w:color="auto"/>
              <w:bottom w:val="nil"/>
              <w:right w:val="single" w:sz="6" w:space="0" w:color="auto"/>
            </w:tcBorders>
            <w:hideMark/>
          </w:tcPr>
          <w:p w14:paraId="7A7CC39E" w14:textId="77777777" w:rsidR="00C81100" w:rsidRDefault="00C81100" w:rsidP="00AD2F6B">
            <w:pPr>
              <w:pStyle w:val="TAC"/>
            </w:pPr>
            <w:r>
              <w:sym w:font="Symbol" w:char="F0B3"/>
            </w:r>
            <w:r>
              <w:t>-3</w:t>
            </w:r>
          </w:p>
        </w:tc>
        <w:tc>
          <w:tcPr>
            <w:tcW w:w="1843" w:type="dxa"/>
            <w:tcBorders>
              <w:top w:val="single" w:sz="6" w:space="0" w:color="auto"/>
              <w:left w:val="single" w:sz="6" w:space="0" w:color="auto"/>
              <w:bottom w:val="single" w:sz="6" w:space="0" w:color="auto"/>
              <w:right w:val="single" w:sz="4" w:space="0" w:color="auto"/>
            </w:tcBorders>
            <w:hideMark/>
          </w:tcPr>
          <w:p w14:paraId="1F698162" w14:textId="77777777" w:rsidR="00C81100" w:rsidRDefault="00C81100" w:rsidP="00AD2F6B">
            <w:pPr>
              <w:pStyle w:val="TAC"/>
              <w:rPr>
                <w:lang w:val="sv-SE"/>
              </w:rPr>
            </w:pPr>
            <w:r>
              <w:rPr>
                <w:lang w:val="sv-SE"/>
              </w:rPr>
              <w:t>NR_FDD_FR1_D, NR_TDD_FR1_D</w:t>
            </w:r>
          </w:p>
        </w:tc>
        <w:tc>
          <w:tcPr>
            <w:tcW w:w="1134" w:type="dxa"/>
            <w:tcBorders>
              <w:top w:val="single" w:sz="6" w:space="0" w:color="auto"/>
              <w:left w:val="single" w:sz="4" w:space="0" w:color="auto"/>
              <w:bottom w:val="single" w:sz="6" w:space="0" w:color="auto"/>
              <w:right w:val="single" w:sz="6" w:space="0" w:color="auto"/>
            </w:tcBorders>
            <w:hideMark/>
          </w:tcPr>
          <w:p w14:paraId="2D953F2E" w14:textId="77777777" w:rsidR="00C81100" w:rsidRDefault="00C81100" w:rsidP="00AD2F6B">
            <w:pPr>
              <w:pStyle w:val="TAC"/>
            </w:pPr>
            <w:r>
              <w:t>-119.5</w:t>
            </w:r>
          </w:p>
        </w:tc>
        <w:tc>
          <w:tcPr>
            <w:tcW w:w="992" w:type="dxa"/>
            <w:tcBorders>
              <w:top w:val="single" w:sz="6" w:space="0" w:color="auto"/>
              <w:left w:val="single" w:sz="4" w:space="0" w:color="auto"/>
              <w:bottom w:val="single" w:sz="6" w:space="0" w:color="auto"/>
              <w:right w:val="single" w:sz="6" w:space="0" w:color="auto"/>
            </w:tcBorders>
            <w:hideMark/>
          </w:tcPr>
          <w:p w14:paraId="51A5927D" w14:textId="77777777" w:rsidR="00C81100" w:rsidRDefault="00C81100" w:rsidP="00AD2F6B">
            <w:pPr>
              <w:pStyle w:val="TAC"/>
            </w:pPr>
            <w:r>
              <w:t>-116.5</w:t>
            </w:r>
          </w:p>
        </w:tc>
        <w:tc>
          <w:tcPr>
            <w:tcW w:w="992" w:type="dxa"/>
            <w:tcBorders>
              <w:top w:val="single" w:sz="6" w:space="0" w:color="auto"/>
              <w:left w:val="single" w:sz="4" w:space="0" w:color="auto"/>
              <w:bottom w:val="single" w:sz="6" w:space="0" w:color="auto"/>
              <w:right w:val="single" w:sz="6" w:space="0" w:color="auto"/>
            </w:tcBorders>
          </w:tcPr>
          <w:p w14:paraId="57F1A9E3" w14:textId="77777777" w:rsidR="00C81100" w:rsidRDefault="00C81100" w:rsidP="00AD2F6B">
            <w:pPr>
              <w:pStyle w:val="TAC"/>
            </w:pPr>
            <w:r>
              <w:t>-113.5</w:t>
            </w:r>
          </w:p>
        </w:tc>
        <w:tc>
          <w:tcPr>
            <w:tcW w:w="993" w:type="dxa"/>
            <w:tcBorders>
              <w:top w:val="single" w:sz="6" w:space="0" w:color="auto"/>
              <w:left w:val="single" w:sz="6" w:space="0" w:color="auto"/>
              <w:bottom w:val="single" w:sz="6" w:space="0" w:color="auto"/>
              <w:right w:val="single" w:sz="6" w:space="0" w:color="auto"/>
            </w:tcBorders>
            <w:hideMark/>
          </w:tcPr>
          <w:p w14:paraId="6D0F598E"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00EB929A" w14:textId="77777777" w:rsidR="00C81100" w:rsidRDefault="00C81100" w:rsidP="00AD2F6B">
            <w:pPr>
              <w:pStyle w:val="TAC"/>
            </w:pPr>
            <w:r>
              <w:t>-50</w:t>
            </w:r>
          </w:p>
        </w:tc>
      </w:tr>
      <w:tr w:rsidR="00C81100" w14:paraId="3AB561EB" w14:textId="77777777" w:rsidTr="00AD2F6B">
        <w:trPr>
          <w:jc w:val="center"/>
        </w:trPr>
        <w:tc>
          <w:tcPr>
            <w:tcW w:w="1027" w:type="dxa"/>
            <w:tcBorders>
              <w:top w:val="nil"/>
              <w:left w:val="single" w:sz="4" w:space="0" w:color="auto"/>
              <w:bottom w:val="nil"/>
              <w:right w:val="single" w:sz="6" w:space="0" w:color="auto"/>
            </w:tcBorders>
          </w:tcPr>
          <w:p w14:paraId="58E46837"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4D7EF553"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1A9647D9"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124F0961" w14:textId="77777777" w:rsidR="00C81100" w:rsidRDefault="00C81100" w:rsidP="00AD2F6B">
            <w:pPr>
              <w:pStyle w:val="TAC"/>
              <w:rPr>
                <w:lang w:val="sv-SE"/>
              </w:rPr>
            </w:pPr>
            <w:r>
              <w:rPr>
                <w:lang w:val="sv-SE"/>
              </w:rPr>
              <w:t>NR_FDD_FR1_E, NR_TDD_FR1_E</w:t>
            </w:r>
          </w:p>
        </w:tc>
        <w:tc>
          <w:tcPr>
            <w:tcW w:w="1134" w:type="dxa"/>
            <w:tcBorders>
              <w:top w:val="single" w:sz="6" w:space="0" w:color="auto"/>
              <w:left w:val="single" w:sz="4" w:space="0" w:color="auto"/>
              <w:bottom w:val="single" w:sz="6" w:space="0" w:color="auto"/>
              <w:right w:val="single" w:sz="6" w:space="0" w:color="auto"/>
            </w:tcBorders>
            <w:hideMark/>
          </w:tcPr>
          <w:p w14:paraId="7D2794E4" w14:textId="77777777" w:rsidR="00C81100" w:rsidRDefault="00C81100" w:rsidP="00AD2F6B">
            <w:pPr>
              <w:pStyle w:val="TAC"/>
            </w:pPr>
            <w:r>
              <w:t>-119</w:t>
            </w:r>
          </w:p>
        </w:tc>
        <w:tc>
          <w:tcPr>
            <w:tcW w:w="992" w:type="dxa"/>
            <w:tcBorders>
              <w:top w:val="single" w:sz="6" w:space="0" w:color="auto"/>
              <w:left w:val="single" w:sz="4" w:space="0" w:color="auto"/>
              <w:bottom w:val="single" w:sz="6" w:space="0" w:color="auto"/>
              <w:right w:val="single" w:sz="6" w:space="0" w:color="auto"/>
            </w:tcBorders>
            <w:hideMark/>
          </w:tcPr>
          <w:p w14:paraId="7287FA0B" w14:textId="77777777" w:rsidR="00C81100" w:rsidRDefault="00C81100" w:rsidP="00AD2F6B">
            <w:pPr>
              <w:pStyle w:val="TAC"/>
              <w:rPr>
                <w:lang w:val="sv-SE"/>
              </w:rPr>
            </w:pPr>
            <w:r>
              <w:t>-116</w:t>
            </w:r>
          </w:p>
        </w:tc>
        <w:tc>
          <w:tcPr>
            <w:tcW w:w="992" w:type="dxa"/>
            <w:tcBorders>
              <w:top w:val="single" w:sz="6" w:space="0" w:color="auto"/>
              <w:left w:val="single" w:sz="4" w:space="0" w:color="auto"/>
              <w:bottom w:val="single" w:sz="6" w:space="0" w:color="auto"/>
              <w:right w:val="single" w:sz="6" w:space="0" w:color="auto"/>
            </w:tcBorders>
          </w:tcPr>
          <w:p w14:paraId="659064B7" w14:textId="77777777" w:rsidR="00C81100" w:rsidRDefault="00C81100" w:rsidP="00AD2F6B">
            <w:pPr>
              <w:pStyle w:val="TAC"/>
              <w:rPr>
                <w:lang w:val="sv-SE"/>
              </w:rPr>
            </w:pPr>
            <w:r>
              <w:t>-113</w:t>
            </w:r>
          </w:p>
        </w:tc>
        <w:tc>
          <w:tcPr>
            <w:tcW w:w="993" w:type="dxa"/>
            <w:tcBorders>
              <w:top w:val="single" w:sz="6" w:space="0" w:color="auto"/>
              <w:left w:val="single" w:sz="6" w:space="0" w:color="auto"/>
              <w:bottom w:val="single" w:sz="6" w:space="0" w:color="auto"/>
              <w:right w:val="single" w:sz="6" w:space="0" w:color="auto"/>
            </w:tcBorders>
            <w:hideMark/>
          </w:tcPr>
          <w:p w14:paraId="6F74AFE5"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6A8CE836" w14:textId="77777777" w:rsidR="00C81100" w:rsidRDefault="00C81100" w:rsidP="00AD2F6B">
            <w:pPr>
              <w:pStyle w:val="TAC"/>
            </w:pPr>
            <w:r>
              <w:t>-50</w:t>
            </w:r>
          </w:p>
        </w:tc>
      </w:tr>
      <w:tr w:rsidR="00C81100" w14:paraId="6749AA24" w14:textId="77777777" w:rsidTr="00AD2F6B">
        <w:trPr>
          <w:jc w:val="center"/>
        </w:trPr>
        <w:tc>
          <w:tcPr>
            <w:tcW w:w="1027" w:type="dxa"/>
            <w:tcBorders>
              <w:top w:val="nil"/>
              <w:left w:val="single" w:sz="4" w:space="0" w:color="auto"/>
              <w:bottom w:val="nil"/>
              <w:right w:val="single" w:sz="6" w:space="0" w:color="auto"/>
            </w:tcBorders>
          </w:tcPr>
          <w:p w14:paraId="5B7A4957"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7D5C67B1"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5D02F061"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54CC9579" w14:textId="77777777" w:rsidR="00C81100" w:rsidRDefault="00C81100" w:rsidP="00AD2F6B">
            <w:pPr>
              <w:pStyle w:val="TAC"/>
              <w:rPr>
                <w:lang w:val="sv-SE"/>
              </w:rPr>
            </w:pPr>
            <w:r>
              <w:rPr>
                <w:lang w:eastAsia="zh-CN"/>
              </w:rPr>
              <w:t>NR_FDD_FR1_F</w:t>
            </w:r>
          </w:p>
        </w:tc>
        <w:tc>
          <w:tcPr>
            <w:tcW w:w="1134" w:type="dxa"/>
            <w:tcBorders>
              <w:top w:val="single" w:sz="6" w:space="0" w:color="auto"/>
              <w:left w:val="single" w:sz="4" w:space="0" w:color="auto"/>
              <w:bottom w:val="single" w:sz="6" w:space="0" w:color="auto"/>
              <w:right w:val="single" w:sz="6" w:space="0" w:color="auto"/>
            </w:tcBorders>
            <w:hideMark/>
          </w:tcPr>
          <w:p w14:paraId="478F33CD" w14:textId="77777777" w:rsidR="00C81100" w:rsidRDefault="00C81100" w:rsidP="00AD2F6B">
            <w:pPr>
              <w:pStyle w:val="TAC"/>
            </w:pPr>
            <w:r>
              <w:t>-118.5</w:t>
            </w:r>
          </w:p>
        </w:tc>
        <w:tc>
          <w:tcPr>
            <w:tcW w:w="992" w:type="dxa"/>
            <w:tcBorders>
              <w:top w:val="single" w:sz="6" w:space="0" w:color="auto"/>
              <w:left w:val="single" w:sz="4" w:space="0" w:color="auto"/>
              <w:bottom w:val="single" w:sz="6" w:space="0" w:color="auto"/>
              <w:right w:val="single" w:sz="6" w:space="0" w:color="auto"/>
            </w:tcBorders>
            <w:hideMark/>
          </w:tcPr>
          <w:p w14:paraId="5BC30814" w14:textId="77777777" w:rsidR="00C81100" w:rsidRDefault="00C81100" w:rsidP="00AD2F6B">
            <w:pPr>
              <w:pStyle w:val="TAC"/>
            </w:pPr>
            <w:r>
              <w:rPr>
                <w:rFonts w:cs="Arial"/>
              </w:rPr>
              <w:t>-115.5</w:t>
            </w:r>
          </w:p>
        </w:tc>
        <w:tc>
          <w:tcPr>
            <w:tcW w:w="992" w:type="dxa"/>
            <w:tcBorders>
              <w:top w:val="single" w:sz="6" w:space="0" w:color="auto"/>
              <w:left w:val="single" w:sz="4" w:space="0" w:color="auto"/>
              <w:bottom w:val="single" w:sz="6" w:space="0" w:color="auto"/>
              <w:right w:val="single" w:sz="6" w:space="0" w:color="auto"/>
            </w:tcBorders>
          </w:tcPr>
          <w:p w14:paraId="6419C17A" w14:textId="77777777" w:rsidR="00C81100" w:rsidRDefault="00C81100" w:rsidP="00AD2F6B">
            <w:pPr>
              <w:pStyle w:val="TAC"/>
            </w:pPr>
            <w:r>
              <w:rPr>
                <w:rFonts w:cs="Arial"/>
              </w:rPr>
              <w:t>-112.5</w:t>
            </w:r>
          </w:p>
        </w:tc>
        <w:tc>
          <w:tcPr>
            <w:tcW w:w="993" w:type="dxa"/>
            <w:tcBorders>
              <w:top w:val="single" w:sz="6" w:space="0" w:color="auto"/>
              <w:left w:val="single" w:sz="6" w:space="0" w:color="auto"/>
              <w:bottom w:val="single" w:sz="6" w:space="0" w:color="auto"/>
              <w:right w:val="single" w:sz="6" w:space="0" w:color="auto"/>
            </w:tcBorders>
            <w:hideMark/>
          </w:tcPr>
          <w:p w14:paraId="4B2059D5"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33232B87" w14:textId="77777777" w:rsidR="00C81100" w:rsidRDefault="00C81100" w:rsidP="00AD2F6B">
            <w:pPr>
              <w:pStyle w:val="TAC"/>
            </w:pPr>
            <w:r>
              <w:t>-50</w:t>
            </w:r>
          </w:p>
        </w:tc>
      </w:tr>
      <w:tr w:rsidR="00C81100" w14:paraId="1D30363F" w14:textId="77777777" w:rsidTr="00AD2F6B">
        <w:trPr>
          <w:jc w:val="center"/>
        </w:trPr>
        <w:tc>
          <w:tcPr>
            <w:tcW w:w="1027" w:type="dxa"/>
            <w:tcBorders>
              <w:top w:val="nil"/>
              <w:left w:val="single" w:sz="4" w:space="0" w:color="auto"/>
              <w:bottom w:val="nil"/>
              <w:right w:val="single" w:sz="6" w:space="0" w:color="auto"/>
            </w:tcBorders>
          </w:tcPr>
          <w:p w14:paraId="10110797"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785CDD88"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1DAB94A8"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5A72BA62" w14:textId="77777777" w:rsidR="00C81100" w:rsidRDefault="00C81100" w:rsidP="00AD2F6B">
            <w:pPr>
              <w:pStyle w:val="TAC"/>
              <w:rPr>
                <w:lang w:eastAsia="zh-CN"/>
              </w:rPr>
            </w:pPr>
            <w:r>
              <w:rPr>
                <w:lang w:eastAsia="zh-CN"/>
              </w:rPr>
              <w:t>NR</w:t>
            </w:r>
            <w:r>
              <w:t>_</w:t>
            </w:r>
            <w:r>
              <w:rPr>
                <w:lang w:eastAsia="zh-CN"/>
              </w:rPr>
              <w:t>FDD_FR1_G</w:t>
            </w:r>
          </w:p>
        </w:tc>
        <w:tc>
          <w:tcPr>
            <w:tcW w:w="1134" w:type="dxa"/>
            <w:tcBorders>
              <w:top w:val="single" w:sz="6" w:space="0" w:color="auto"/>
              <w:left w:val="single" w:sz="4" w:space="0" w:color="auto"/>
              <w:bottom w:val="single" w:sz="6" w:space="0" w:color="auto"/>
              <w:right w:val="single" w:sz="6" w:space="0" w:color="auto"/>
            </w:tcBorders>
            <w:hideMark/>
          </w:tcPr>
          <w:p w14:paraId="7E653B22" w14:textId="77777777" w:rsidR="00C81100" w:rsidRDefault="00C81100" w:rsidP="00AD2F6B">
            <w:pPr>
              <w:pStyle w:val="TAC"/>
            </w:pPr>
            <w:r>
              <w:t>-118</w:t>
            </w:r>
          </w:p>
        </w:tc>
        <w:tc>
          <w:tcPr>
            <w:tcW w:w="992" w:type="dxa"/>
            <w:tcBorders>
              <w:top w:val="single" w:sz="6" w:space="0" w:color="auto"/>
              <w:left w:val="single" w:sz="4" w:space="0" w:color="auto"/>
              <w:bottom w:val="single" w:sz="6" w:space="0" w:color="auto"/>
              <w:right w:val="single" w:sz="6" w:space="0" w:color="auto"/>
            </w:tcBorders>
            <w:hideMark/>
          </w:tcPr>
          <w:p w14:paraId="0C9A7905" w14:textId="77777777" w:rsidR="00C81100" w:rsidRDefault="00C81100" w:rsidP="00AD2F6B">
            <w:pPr>
              <w:pStyle w:val="TAC"/>
              <w:rPr>
                <w:rFonts w:cs="Arial"/>
                <w:lang w:val="sv-SE"/>
              </w:rPr>
            </w:pPr>
            <w:r>
              <w:rPr>
                <w:rFonts w:cs="Arial"/>
              </w:rPr>
              <w:t>-115</w:t>
            </w:r>
          </w:p>
        </w:tc>
        <w:tc>
          <w:tcPr>
            <w:tcW w:w="992" w:type="dxa"/>
            <w:tcBorders>
              <w:top w:val="single" w:sz="6" w:space="0" w:color="auto"/>
              <w:left w:val="single" w:sz="4" w:space="0" w:color="auto"/>
              <w:bottom w:val="single" w:sz="6" w:space="0" w:color="auto"/>
              <w:right w:val="single" w:sz="6" w:space="0" w:color="auto"/>
            </w:tcBorders>
          </w:tcPr>
          <w:p w14:paraId="1D217D6D" w14:textId="77777777" w:rsidR="00C81100" w:rsidRDefault="00C81100" w:rsidP="00AD2F6B">
            <w:pPr>
              <w:pStyle w:val="TAC"/>
              <w:rPr>
                <w:rFonts w:cs="Arial"/>
                <w:lang w:val="sv-SE"/>
              </w:rPr>
            </w:pPr>
            <w:r>
              <w:rPr>
                <w:rFonts w:cs="Arial"/>
              </w:rPr>
              <w:t>-112</w:t>
            </w:r>
          </w:p>
        </w:tc>
        <w:tc>
          <w:tcPr>
            <w:tcW w:w="993" w:type="dxa"/>
            <w:tcBorders>
              <w:top w:val="single" w:sz="6" w:space="0" w:color="auto"/>
              <w:left w:val="single" w:sz="6" w:space="0" w:color="auto"/>
              <w:bottom w:val="single" w:sz="6" w:space="0" w:color="auto"/>
              <w:right w:val="single" w:sz="6" w:space="0" w:color="auto"/>
            </w:tcBorders>
            <w:hideMark/>
          </w:tcPr>
          <w:p w14:paraId="28D57273"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1F9473EE" w14:textId="77777777" w:rsidR="00C81100" w:rsidRDefault="00C81100" w:rsidP="00AD2F6B">
            <w:pPr>
              <w:pStyle w:val="TAC"/>
            </w:pPr>
            <w:r>
              <w:t>-50</w:t>
            </w:r>
          </w:p>
        </w:tc>
      </w:tr>
      <w:tr w:rsidR="00C81100" w14:paraId="664791B1" w14:textId="77777777" w:rsidTr="00AD2F6B">
        <w:trPr>
          <w:jc w:val="center"/>
        </w:trPr>
        <w:tc>
          <w:tcPr>
            <w:tcW w:w="1027" w:type="dxa"/>
            <w:tcBorders>
              <w:top w:val="nil"/>
              <w:left w:val="single" w:sz="4" w:space="0" w:color="auto"/>
              <w:bottom w:val="nil"/>
              <w:right w:val="single" w:sz="6" w:space="0" w:color="auto"/>
            </w:tcBorders>
          </w:tcPr>
          <w:p w14:paraId="5D9DDEFC"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0C804A0F"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30A5D321"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64A15CDF" w14:textId="77777777" w:rsidR="00C81100" w:rsidRDefault="00C81100" w:rsidP="00AD2F6B">
            <w:pPr>
              <w:pStyle w:val="TAC"/>
              <w:rPr>
                <w:lang w:eastAsia="zh-CN"/>
              </w:rPr>
            </w:pPr>
            <w:r>
              <w:rPr>
                <w:lang w:eastAsia="zh-CN"/>
              </w:rPr>
              <w:t>NR</w:t>
            </w:r>
            <w:r>
              <w:t>_</w:t>
            </w:r>
            <w:r>
              <w:rPr>
                <w:lang w:eastAsia="zh-CN"/>
              </w:rPr>
              <w:t>FDD_FR1_H</w:t>
            </w:r>
          </w:p>
        </w:tc>
        <w:tc>
          <w:tcPr>
            <w:tcW w:w="1134" w:type="dxa"/>
            <w:tcBorders>
              <w:top w:val="single" w:sz="6" w:space="0" w:color="auto"/>
              <w:left w:val="single" w:sz="4" w:space="0" w:color="auto"/>
              <w:bottom w:val="single" w:sz="6" w:space="0" w:color="auto"/>
              <w:right w:val="single" w:sz="6" w:space="0" w:color="auto"/>
            </w:tcBorders>
            <w:hideMark/>
          </w:tcPr>
          <w:p w14:paraId="1D74C695" w14:textId="77777777" w:rsidR="00C81100" w:rsidRDefault="00C81100" w:rsidP="00AD2F6B">
            <w:pPr>
              <w:pStyle w:val="TAC"/>
            </w:pPr>
            <w:r>
              <w:t>-117.5</w:t>
            </w:r>
          </w:p>
        </w:tc>
        <w:tc>
          <w:tcPr>
            <w:tcW w:w="992" w:type="dxa"/>
            <w:tcBorders>
              <w:top w:val="single" w:sz="6" w:space="0" w:color="auto"/>
              <w:left w:val="single" w:sz="4" w:space="0" w:color="auto"/>
              <w:bottom w:val="single" w:sz="6" w:space="0" w:color="auto"/>
              <w:right w:val="single" w:sz="6" w:space="0" w:color="auto"/>
            </w:tcBorders>
            <w:hideMark/>
          </w:tcPr>
          <w:p w14:paraId="23F3075D" w14:textId="77777777" w:rsidR="00C81100" w:rsidRDefault="00C81100" w:rsidP="00AD2F6B">
            <w:pPr>
              <w:pStyle w:val="TAC"/>
              <w:rPr>
                <w:rFonts w:cs="Arial"/>
                <w:lang w:val="sv-SE"/>
              </w:rPr>
            </w:pPr>
            <w:r>
              <w:rPr>
                <w:rFonts w:cs="Arial"/>
              </w:rPr>
              <w:t>-114.5</w:t>
            </w:r>
          </w:p>
        </w:tc>
        <w:tc>
          <w:tcPr>
            <w:tcW w:w="992" w:type="dxa"/>
            <w:tcBorders>
              <w:top w:val="single" w:sz="6" w:space="0" w:color="auto"/>
              <w:left w:val="single" w:sz="4" w:space="0" w:color="auto"/>
              <w:bottom w:val="single" w:sz="6" w:space="0" w:color="auto"/>
              <w:right w:val="single" w:sz="6" w:space="0" w:color="auto"/>
            </w:tcBorders>
          </w:tcPr>
          <w:p w14:paraId="3D6E4E55" w14:textId="77777777" w:rsidR="00C81100" w:rsidRDefault="00C81100" w:rsidP="00AD2F6B">
            <w:pPr>
              <w:pStyle w:val="TAC"/>
              <w:rPr>
                <w:rFonts w:cs="Arial"/>
                <w:lang w:val="sv-SE"/>
              </w:rPr>
            </w:pPr>
            <w:r>
              <w:rPr>
                <w:rFonts w:cs="Arial"/>
              </w:rPr>
              <w:t>-111.5</w:t>
            </w:r>
          </w:p>
        </w:tc>
        <w:tc>
          <w:tcPr>
            <w:tcW w:w="993" w:type="dxa"/>
            <w:tcBorders>
              <w:top w:val="single" w:sz="6" w:space="0" w:color="auto"/>
              <w:left w:val="single" w:sz="6" w:space="0" w:color="auto"/>
              <w:bottom w:val="single" w:sz="6" w:space="0" w:color="auto"/>
              <w:right w:val="single" w:sz="6" w:space="0" w:color="auto"/>
            </w:tcBorders>
            <w:hideMark/>
          </w:tcPr>
          <w:p w14:paraId="4BBFDAA9"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1A345FB0" w14:textId="77777777" w:rsidR="00C81100" w:rsidRDefault="00C81100" w:rsidP="00AD2F6B">
            <w:pPr>
              <w:pStyle w:val="TAC"/>
            </w:pPr>
            <w:r>
              <w:t>-50</w:t>
            </w:r>
          </w:p>
        </w:tc>
      </w:tr>
      <w:tr w:rsidR="00C81100" w14:paraId="64AC3EE5" w14:textId="77777777" w:rsidTr="00AD2F6B">
        <w:trPr>
          <w:jc w:val="center"/>
        </w:trPr>
        <w:tc>
          <w:tcPr>
            <w:tcW w:w="10485" w:type="dxa"/>
            <w:gridSpan w:val="9"/>
            <w:tcBorders>
              <w:top w:val="single" w:sz="6" w:space="0" w:color="auto"/>
              <w:left w:val="single" w:sz="4" w:space="0" w:color="auto"/>
              <w:bottom w:val="single" w:sz="4" w:space="0" w:color="auto"/>
              <w:right w:val="single" w:sz="4" w:space="0" w:color="auto"/>
            </w:tcBorders>
            <w:vAlign w:val="center"/>
            <w:hideMark/>
          </w:tcPr>
          <w:p w14:paraId="60FD4288" w14:textId="77777777" w:rsidR="006055B0" w:rsidRDefault="006055B0" w:rsidP="006055B0">
            <w:pPr>
              <w:pStyle w:val="TAN"/>
            </w:pPr>
            <w:r>
              <w:t>NOTE 1:</w:t>
            </w:r>
            <w:r>
              <w:tab/>
              <w:t>Io is assumed to have constant EPRE across the bandwidth.</w:t>
            </w:r>
          </w:p>
          <w:p w14:paraId="6EEE4D38" w14:textId="77777777" w:rsidR="006055B0" w:rsidRDefault="006055B0" w:rsidP="006055B0">
            <w:pPr>
              <w:pStyle w:val="TAN"/>
            </w:pPr>
            <w:r>
              <w:t>NOTE 2:</w:t>
            </w:r>
            <w:r>
              <w:tab/>
              <w:t>NR operating band groups in FR1 are as defined in clause 3.5.2.</w:t>
            </w:r>
          </w:p>
          <w:p w14:paraId="25D7D8FE" w14:textId="47155A2D" w:rsidR="00C81100" w:rsidRDefault="006055B0" w:rsidP="006055B0">
            <w:pPr>
              <w:pStyle w:val="TAN"/>
            </w:pPr>
            <w:r w:rsidRPr="009C5807">
              <w:rPr>
                <w:rFonts w:cs="Arial"/>
              </w:rPr>
              <w:t xml:space="preserve">NOTE </w:t>
            </w:r>
            <w:r>
              <w:rPr>
                <w:rFonts w:cs="Arial"/>
              </w:rPr>
              <w:t>3</w:t>
            </w:r>
            <w:r w:rsidRPr="009C5807">
              <w:rPr>
                <w:rFonts w:cs="Arial"/>
              </w:rPr>
              <w:t>:</w:t>
            </w:r>
            <w:r w:rsidRPr="009C5807">
              <w:rPr>
                <w:rFonts w:cs="Arial"/>
              </w:rPr>
              <w:tab/>
              <w:t xml:space="preserve">The requirements apply for </w:t>
            </w:r>
            <w:r w:rsidRPr="009D3FB7">
              <w:rPr>
                <w:rFonts w:cs="Arial"/>
              </w:rPr>
              <w:t>CSI-RS CMR</w:t>
            </w:r>
            <w:r w:rsidRPr="009C5807">
              <w:rPr>
                <w:rFonts w:cs="Arial"/>
              </w:rPr>
              <w:t xml:space="preserve"> 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3EF5C0FE" w14:textId="77777777" w:rsidR="00C81100" w:rsidRDefault="00C81100" w:rsidP="00C81100">
      <w:pPr>
        <w:rPr>
          <w:rFonts w:eastAsia="?? ??"/>
        </w:rPr>
      </w:pPr>
    </w:p>
    <w:p w14:paraId="74F99607" w14:textId="77777777" w:rsidR="00C81100" w:rsidRDefault="00C81100" w:rsidP="0039227E">
      <w:pPr>
        <w:pStyle w:val="Heading5"/>
      </w:pPr>
      <w:r>
        <w:t>10.1.27.1.2</w:t>
      </w:r>
      <w:r>
        <w:tab/>
        <w:t>Relative Accuracy</w:t>
      </w:r>
    </w:p>
    <w:p w14:paraId="25FD8EDE" w14:textId="77777777" w:rsidR="00C81100" w:rsidRPr="00822707" w:rsidRDefault="00C81100" w:rsidP="00C81100">
      <w:pPr>
        <w:rPr>
          <w:rFonts w:eastAsia="?? ??"/>
        </w:rPr>
      </w:pPr>
      <w:r w:rsidRPr="00822707">
        <w:rPr>
          <w:rFonts w:eastAsia="?? ??"/>
        </w:rPr>
        <w:t>The relative accuracy of CSI-RS based L1-</w:t>
      </w:r>
      <w:r>
        <w:rPr>
          <w:rFonts w:eastAsia="?? ??"/>
        </w:rPr>
        <w:t>SINR</w:t>
      </w:r>
      <w:r w:rsidRPr="00822707">
        <w:rPr>
          <w:rFonts w:eastAsia="?? ??"/>
        </w:rPr>
        <w:t xml:space="preserve"> is defined as the L1-</w:t>
      </w:r>
      <w:r>
        <w:rPr>
          <w:rFonts w:eastAsia="?? ??"/>
        </w:rPr>
        <w:t>SINR</w:t>
      </w:r>
      <w:r w:rsidRPr="00822707">
        <w:rPr>
          <w:rFonts w:eastAsia="?? ??"/>
        </w:rPr>
        <w:t xml:space="preserve"> measured from one CSI-RS compared to the largest measured value of L1-</w:t>
      </w:r>
      <w:r>
        <w:rPr>
          <w:rFonts w:eastAsia="?? ??"/>
        </w:rPr>
        <w:t>SINR</w:t>
      </w:r>
      <w:r w:rsidRPr="00822707">
        <w:rPr>
          <w:rFonts w:eastAsia="?? ??"/>
        </w:rPr>
        <w:t xml:space="preserve"> among all CSI-RS resources of the serving cell.</w:t>
      </w:r>
    </w:p>
    <w:p w14:paraId="0B5EAC19" w14:textId="77777777" w:rsidR="00C81100" w:rsidRPr="00822707" w:rsidRDefault="00C81100" w:rsidP="00C81100">
      <w:pPr>
        <w:rPr>
          <w:rFonts w:eastAsia="?? ??"/>
        </w:rPr>
      </w:pPr>
      <w:r w:rsidRPr="00822707">
        <w:rPr>
          <w:rFonts w:eastAsia="?? ??"/>
        </w:rPr>
        <w:t xml:space="preserve">The accuracy requirements in Table </w:t>
      </w:r>
      <w:r>
        <w:rPr>
          <w:rFonts w:eastAsia="?? ??"/>
        </w:rPr>
        <w:t>10.1.27</w:t>
      </w:r>
      <w:r w:rsidRPr="00822707">
        <w:rPr>
          <w:rFonts w:eastAsia="?? ??"/>
        </w:rPr>
        <w:t>.</w:t>
      </w:r>
      <w:r>
        <w:rPr>
          <w:rFonts w:eastAsia="?? ??"/>
        </w:rPr>
        <w:t>1</w:t>
      </w:r>
      <w:r w:rsidRPr="00822707">
        <w:rPr>
          <w:rFonts w:eastAsia="?? ??"/>
        </w:rPr>
        <w:t>.2-1 are valid under the following conditions:</w:t>
      </w:r>
    </w:p>
    <w:p w14:paraId="49FCFF91" w14:textId="77777777" w:rsidR="00C81100" w:rsidRPr="00822707" w:rsidRDefault="00C81100" w:rsidP="007C55F6">
      <w:pPr>
        <w:pStyle w:val="B10"/>
        <w:rPr>
          <w:rFonts w:eastAsia="?? ??"/>
        </w:rPr>
      </w:pPr>
      <w:r w:rsidRPr="00822707">
        <w:rPr>
          <w:rFonts w:eastAsia="?? ??"/>
        </w:rPr>
        <w:t>-</w:t>
      </w:r>
      <w:r w:rsidRPr="00822707">
        <w:rPr>
          <w:rFonts w:eastAsia="?? ??"/>
        </w:rPr>
        <w:tab/>
      </w:r>
      <w:r w:rsidRPr="002902EB">
        <w:rPr>
          <w:rFonts w:eastAsia="?? ??"/>
        </w:rPr>
        <w:t>Conditions defined in clause 7.3 of TS 38.101-1 [18] for reference sensitivity are fulfilled.</w:t>
      </w:r>
    </w:p>
    <w:p w14:paraId="09E53845" w14:textId="7EAED5A7" w:rsidR="00C81100" w:rsidRPr="00AB4D49" w:rsidRDefault="00C81100" w:rsidP="007C55F6">
      <w:pPr>
        <w:pStyle w:val="B10"/>
        <w:rPr>
          <w:rFonts w:eastAsia="?? ??"/>
        </w:rPr>
      </w:pPr>
      <w:r w:rsidRPr="002902EB">
        <w:rPr>
          <w:rFonts w:eastAsia="?? ??"/>
        </w:rPr>
        <w:t>-</w:t>
      </w:r>
      <w:r w:rsidRPr="002902EB">
        <w:rPr>
          <w:rFonts w:eastAsia="?? ??"/>
        </w:rPr>
        <w:tab/>
        <w:t>Conditions for L1-</w:t>
      </w:r>
      <w:r w:rsidRPr="00E82642">
        <w:rPr>
          <w:rFonts w:eastAsia="?? ??"/>
        </w:rPr>
        <w:t>SINR</w:t>
      </w:r>
      <w:r w:rsidRPr="004B1190">
        <w:rPr>
          <w:rFonts w:eastAsia="?? ??"/>
        </w:rPr>
        <w:t xml:space="preserve"> measurements are f</w:t>
      </w:r>
      <w:r>
        <w:rPr>
          <w:rFonts w:eastAsia="?? ??"/>
        </w:rPr>
        <w:t>ulfilled according to Annex B.2</w:t>
      </w:r>
      <w:r w:rsidR="00FA41EA">
        <w:rPr>
          <w:rFonts w:eastAsia="?? ??"/>
        </w:rPr>
        <w:t>.8.1</w:t>
      </w:r>
      <w:r w:rsidRPr="004B1190">
        <w:rPr>
          <w:rFonts w:eastAsia="?? ??"/>
        </w:rPr>
        <w:t xml:space="preserve"> for a corresponding Band for each relevant CSI-RS</w:t>
      </w:r>
      <w:r w:rsidRPr="00864B12">
        <w:rPr>
          <w:rFonts w:eastAsia="?? ??"/>
        </w:rPr>
        <w:t xml:space="preserve"> based CMR</w:t>
      </w:r>
      <w:r w:rsidRPr="0071505B">
        <w:rPr>
          <w:rFonts w:eastAsia="?? ??"/>
        </w:rPr>
        <w:t>.</w:t>
      </w:r>
    </w:p>
    <w:p w14:paraId="39AC5355" w14:textId="77777777" w:rsidR="00C81100" w:rsidRPr="00E33C36" w:rsidRDefault="00C81100" w:rsidP="007C55F6">
      <w:pPr>
        <w:pStyle w:val="B10"/>
        <w:rPr>
          <w:rFonts w:eastAsia="?? ??"/>
        </w:rPr>
      </w:pPr>
      <w:r w:rsidRPr="008C3AEE">
        <w:rPr>
          <w:rFonts w:eastAsia="?? ??"/>
        </w:rPr>
        <w:t>-</w:t>
      </w:r>
      <w:r w:rsidRPr="008C3AEE">
        <w:rPr>
          <w:rFonts w:eastAsia="?? ??"/>
        </w:rPr>
        <w:tab/>
        <w:t>The bandwidth of CSI-RS is 48 PRBs and the density is 3.</w:t>
      </w:r>
    </w:p>
    <w:p w14:paraId="2305BA6C" w14:textId="003AA749" w:rsidR="00C81100" w:rsidRPr="002902EB" w:rsidRDefault="00C81100" w:rsidP="007C55F6">
      <w:pPr>
        <w:pStyle w:val="B10"/>
        <w:rPr>
          <w:rFonts w:eastAsia="?? ??"/>
        </w:rPr>
      </w:pPr>
      <w:r w:rsidRPr="0084762B">
        <w:rPr>
          <w:rFonts w:eastAsia="?? ??"/>
        </w:rPr>
        <w:t>-</w:t>
      </w:r>
      <w:r w:rsidRPr="0084762B">
        <w:rPr>
          <w:rFonts w:eastAsia="?? ??"/>
        </w:rPr>
        <w:tab/>
      </w:r>
      <w:r w:rsidRPr="00F11131">
        <w:rPr>
          <w:rFonts w:eastAsia="?? ??"/>
        </w:rPr>
        <w:t>AWGN</w:t>
      </w:r>
      <w:r w:rsidR="00FA41EA" w:rsidRPr="00FB249D">
        <w:t xml:space="preserve"> </w:t>
      </w:r>
      <w:r w:rsidR="00FA41EA" w:rsidRPr="00B910B8">
        <w:t>radio propagation conditions</w:t>
      </w:r>
      <w:r w:rsidRPr="00F11131">
        <w:rPr>
          <w:rFonts w:eastAsia="?? ??"/>
        </w:rPr>
        <w:t>.</w:t>
      </w:r>
    </w:p>
    <w:p w14:paraId="2DCD9335" w14:textId="776828E9" w:rsidR="00C81100" w:rsidRDefault="00C81100" w:rsidP="00C81100">
      <w:pPr>
        <w:rPr>
          <w:rFonts w:eastAsia="?? ??"/>
        </w:rPr>
      </w:pPr>
      <w:r w:rsidRPr="00822707">
        <w:rPr>
          <w:rFonts w:eastAsia="?? ??"/>
        </w:rPr>
        <w:t xml:space="preserve">The performance with larger bandwidth of CSI-RS </w:t>
      </w:r>
      <w:r>
        <w:rPr>
          <w:rFonts w:eastAsia="?? ??"/>
        </w:rPr>
        <w:t xml:space="preserve">as CMR </w:t>
      </w:r>
      <w:r w:rsidRPr="00822707">
        <w:rPr>
          <w:rFonts w:eastAsia="?? ??"/>
        </w:rPr>
        <w:t xml:space="preserve">is equal to or better than the accuracy requirements in Table </w:t>
      </w:r>
      <w:r>
        <w:rPr>
          <w:rFonts w:eastAsia="?? ??"/>
        </w:rPr>
        <w:t>10.1.27</w:t>
      </w:r>
      <w:r w:rsidRPr="00822707">
        <w:rPr>
          <w:rFonts w:eastAsia="?? ??"/>
        </w:rPr>
        <w:t>.</w:t>
      </w:r>
      <w:r>
        <w:rPr>
          <w:rFonts w:eastAsia="?? ??"/>
        </w:rPr>
        <w:t>1</w:t>
      </w:r>
      <w:r w:rsidRPr="00822707">
        <w:rPr>
          <w:rFonts w:eastAsia="?? ??"/>
        </w:rPr>
        <w:t>.2-1</w:t>
      </w:r>
      <w:r>
        <w:rPr>
          <w:rFonts w:eastAsia="?? ??"/>
        </w:rPr>
        <w:t>.</w:t>
      </w:r>
    </w:p>
    <w:p w14:paraId="71F65A45" w14:textId="77777777" w:rsidR="003852A9" w:rsidRDefault="003852A9" w:rsidP="00C81100">
      <w:pPr>
        <w:rPr>
          <w:rFonts w:eastAsia="?? ??"/>
        </w:rPr>
      </w:pPr>
    </w:p>
    <w:p w14:paraId="42952727" w14:textId="69341650" w:rsidR="00C81100" w:rsidRDefault="00C81100" w:rsidP="00C81100">
      <w:pPr>
        <w:pStyle w:val="TH"/>
      </w:pPr>
      <w:r>
        <w:t>Table 10.1.27.1.2-1: L1-SINR relative accuracy for CSI-RS based CMR</w:t>
      </w:r>
      <w:r w:rsidR="00FA41EA">
        <w:t xml:space="preserve"> only</w:t>
      </w:r>
      <w:r>
        <w:t xml:space="preserve"> in FR1</w:t>
      </w:r>
    </w:p>
    <w:tbl>
      <w:tblPr>
        <w:tblW w:w="10485" w:type="dxa"/>
        <w:jc w:val="center"/>
        <w:tblLayout w:type="fixed"/>
        <w:tblLook w:val="01E0" w:firstRow="1" w:lastRow="1" w:firstColumn="1" w:lastColumn="1" w:noHBand="0" w:noVBand="0"/>
      </w:tblPr>
      <w:tblGrid>
        <w:gridCol w:w="1027"/>
        <w:gridCol w:w="1030"/>
        <w:gridCol w:w="915"/>
        <w:gridCol w:w="1843"/>
        <w:gridCol w:w="1134"/>
        <w:gridCol w:w="992"/>
        <w:gridCol w:w="992"/>
        <w:gridCol w:w="993"/>
        <w:gridCol w:w="1559"/>
      </w:tblGrid>
      <w:tr w:rsidR="00C81100" w14:paraId="3A7C388A" w14:textId="77777777" w:rsidTr="00AD2F6B">
        <w:trPr>
          <w:jc w:val="center"/>
        </w:trPr>
        <w:tc>
          <w:tcPr>
            <w:tcW w:w="2057" w:type="dxa"/>
            <w:gridSpan w:val="2"/>
            <w:tcBorders>
              <w:top w:val="single" w:sz="4" w:space="0" w:color="auto"/>
              <w:left w:val="single" w:sz="4" w:space="0" w:color="auto"/>
              <w:bottom w:val="single" w:sz="6" w:space="0" w:color="auto"/>
              <w:right w:val="single" w:sz="6" w:space="0" w:color="auto"/>
            </w:tcBorders>
            <w:vAlign w:val="center"/>
            <w:hideMark/>
          </w:tcPr>
          <w:p w14:paraId="6F0BE745" w14:textId="77777777" w:rsidR="00C81100" w:rsidRDefault="00C81100" w:rsidP="00AD2F6B">
            <w:pPr>
              <w:pStyle w:val="TAH"/>
            </w:pPr>
            <w:r>
              <w:t>Accuracy</w:t>
            </w:r>
          </w:p>
        </w:tc>
        <w:tc>
          <w:tcPr>
            <w:tcW w:w="8428" w:type="dxa"/>
            <w:gridSpan w:val="7"/>
            <w:tcBorders>
              <w:top w:val="single" w:sz="4" w:space="0" w:color="auto"/>
              <w:left w:val="single" w:sz="6" w:space="0" w:color="auto"/>
              <w:bottom w:val="single" w:sz="6" w:space="0" w:color="auto"/>
              <w:right w:val="single" w:sz="4" w:space="0" w:color="auto"/>
            </w:tcBorders>
            <w:vAlign w:val="center"/>
            <w:hideMark/>
          </w:tcPr>
          <w:p w14:paraId="36B435AF" w14:textId="77777777" w:rsidR="00C81100" w:rsidRDefault="00C81100" w:rsidP="00AD2F6B">
            <w:pPr>
              <w:pStyle w:val="TAH"/>
            </w:pPr>
            <w:r>
              <w:t>Conditions</w:t>
            </w:r>
          </w:p>
        </w:tc>
      </w:tr>
      <w:tr w:rsidR="00C81100" w14:paraId="206E4873" w14:textId="77777777" w:rsidTr="00AD2F6B">
        <w:trPr>
          <w:jc w:val="center"/>
        </w:trPr>
        <w:tc>
          <w:tcPr>
            <w:tcW w:w="1027" w:type="dxa"/>
            <w:tcBorders>
              <w:top w:val="single" w:sz="6" w:space="0" w:color="auto"/>
              <w:left w:val="single" w:sz="4" w:space="0" w:color="auto"/>
              <w:bottom w:val="nil"/>
              <w:right w:val="single" w:sz="6" w:space="0" w:color="auto"/>
            </w:tcBorders>
            <w:vAlign w:val="center"/>
            <w:hideMark/>
          </w:tcPr>
          <w:p w14:paraId="4A91E84A" w14:textId="77777777" w:rsidR="00C81100" w:rsidRDefault="00C81100" w:rsidP="00AD2F6B">
            <w:pPr>
              <w:pStyle w:val="TAH"/>
            </w:pPr>
            <w:r>
              <w:t>Normal condition</w:t>
            </w:r>
          </w:p>
        </w:tc>
        <w:tc>
          <w:tcPr>
            <w:tcW w:w="1030" w:type="dxa"/>
            <w:tcBorders>
              <w:top w:val="single" w:sz="6" w:space="0" w:color="auto"/>
              <w:left w:val="single" w:sz="6" w:space="0" w:color="auto"/>
              <w:bottom w:val="nil"/>
              <w:right w:val="single" w:sz="6" w:space="0" w:color="auto"/>
            </w:tcBorders>
            <w:vAlign w:val="center"/>
            <w:hideMark/>
          </w:tcPr>
          <w:p w14:paraId="5A8936C6" w14:textId="77777777" w:rsidR="00C81100" w:rsidRDefault="00C81100" w:rsidP="00AD2F6B">
            <w:pPr>
              <w:pStyle w:val="TAH"/>
            </w:pPr>
            <w:r>
              <w:t>Extreme condition</w:t>
            </w:r>
          </w:p>
        </w:tc>
        <w:tc>
          <w:tcPr>
            <w:tcW w:w="915" w:type="dxa"/>
            <w:tcBorders>
              <w:top w:val="single" w:sz="6" w:space="0" w:color="auto"/>
              <w:left w:val="single" w:sz="6" w:space="0" w:color="auto"/>
              <w:bottom w:val="nil"/>
              <w:right w:val="single" w:sz="6" w:space="0" w:color="auto"/>
            </w:tcBorders>
            <w:vAlign w:val="center"/>
            <w:hideMark/>
          </w:tcPr>
          <w:p w14:paraId="5D07263D" w14:textId="77777777" w:rsidR="00C81100" w:rsidRDefault="00C81100" w:rsidP="00AD2F6B">
            <w:pPr>
              <w:pStyle w:val="TAH"/>
            </w:pPr>
            <w:r>
              <w:t xml:space="preserve">CSI-RS </w:t>
            </w:r>
          </w:p>
          <w:p w14:paraId="7652E9F8" w14:textId="77777777" w:rsidR="00C81100" w:rsidRDefault="00C81100" w:rsidP="00AD2F6B">
            <w:pPr>
              <w:pStyle w:val="TAH"/>
            </w:pPr>
            <w:r>
              <w:t>CMR</w:t>
            </w:r>
          </w:p>
          <w:p w14:paraId="65E6B9F1" w14:textId="5EFE9108" w:rsidR="00C81100" w:rsidRDefault="00C81100" w:rsidP="00AD2F6B">
            <w:pPr>
              <w:pStyle w:val="TAH"/>
            </w:pPr>
            <w:r>
              <w:t>Ês/Iot</w:t>
            </w:r>
            <w:r w:rsidR="00FA41EA">
              <w:rPr>
                <w:vertAlign w:val="superscript"/>
              </w:rPr>
              <w:t xml:space="preserve"> Note 2</w:t>
            </w:r>
          </w:p>
        </w:tc>
        <w:tc>
          <w:tcPr>
            <w:tcW w:w="7513" w:type="dxa"/>
            <w:gridSpan w:val="6"/>
            <w:tcBorders>
              <w:top w:val="single" w:sz="6" w:space="0" w:color="auto"/>
              <w:left w:val="single" w:sz="6" w:space="0" w:color="auto"/>
              <w:bottom w:val="single" w:sz="6" w:space="0" w:color="auto"/>
              <w:right w:val="single" w:sz="4" w:space="0" w:color="auto"/>
            </w:tcBorders>
            <w:vAlign w:val="center"/>
            <w:hideMark/>
          </w:tcPr>
          <w:p w14:paraId="5F782D4A" w14:textId="77777777" w:rsidR="00C81100" w:rsidRDefault="00C81100" w:rsidP="00AD2F6B">
            <w:pPr>
              <w:pStyle w:val="TAH"/>
            </w:pPr>
            <w:r>
              <w:t>Io</w:t>
            </w:r>
            <w:r>
              <w:rPr>
                <w:vertAlign w:val="superscript"/>
              </w:rPr>
              <w:t xml:space="preserve"> Note 1</w:t>
            </w:r>
            <w:r>
              <w:t xml:space="preserve"> range</w:t>
            </w:r>
          </w:p>
        </w:tc>
      </w:tr>
      <w:tr w:rsidR="00C81100" w14:paraId="0D34B4C3" w14:textId="77777777" w:rsidTr="00AD2F6B">
        <w:trPr>
          <w:jc w:val="center"/>
        </w:trPr>
        <w:tc>
          <w:tcPr>
            <w:tcW w:w="1027" w:type="dxa"/>
            <w:tcBorders>
              <w:top w:val="nil"/>
              <w:left w:val="single" w:sz="4" w:space="0" w:color="auto"/>
              <w:bottom w:val="single" w:sz="6" w:space="0" w:color="auto"/>
              <w:right w:val="single" w:sz="6" w:space="0" w:color="auto"/>
            </w:tcBorders>
            <w:vAlign w:val="center"/>
          </w:tcPr>
          <w:p w14:paraId="41DE3214" w14:textId="77777777" w:rsidR="00C81100" w:rsidRDefault="00C81100" w:rsidP="00AD2F6B">
            <w:pPr>
              <w:pStyle w:val="TAH"/>
            </w:pPr>
          </w:p>
        </w:tc>
        <w:tc>
          <w:tcPr>
            <w:tcW w:w="1030" w:type="dxa"/>
            <w:tcBorders>
              <w:top w:val="nil"/>
              <w:left w:val="single" w:sz="6" w:space="0" w:color="auto"/>
              <w:bottom w:val="single" w:sz="6" w:space="0" w:color="auto"/>
              <w:right w:val="single" w:sz="6" w:space="0" w:color="auto"/>
            </w:tcBorders>
            <w:vAlign w:val="center"/>
          </w:tcPr>
          <w:p w14:paraId="0433FBFE" w14:textId="77777777" w:rsidR="00C81100" w:rsidRDefault="00C81100" w:rsidP="00AD2F6B">
            <w:pPr>
              <w:pStyle w:val="TAH"/>
            </w:pPr>
          </w:p>
        </w:tc>
        <w:tc>
          <w:tcPr>
            <w:tcW w:w="915" w:type="dxa"/>
            <w:tcBorders>
              <w:top w:val="nil"/>
              <w:left w:val="single" w:sz="6" w:space="0" w:color="auto"/>
              <w:bottom w:val="single" w:sz="6" w:space="0" w:color="auto"/>
              <w:right w:val="single" w:sz="6" w:space="0" w:color="auto"/>
            </w:tcBorders>
            <w:vAlign w:val="center"/>
          </w:tcPr>
          <w:p w14:paraId="5956E0C4" w14:textId="77777777" w:rsidR="00C81100" w:rsidRDefault="00C81100" w:rsidP="00AD2F6B">
            <w:pPr>
              <w:pStyle w:val="TAH"/>
            </w:pPr>
          </w:p>
        </w:tc>
        <w:tc>
          <w:tcPr>
            <w:tcW w:w="1843" w:type="dxa"/>
            <w:tcBorders>
              <w:top w:val="single" w:sz="6" w:space="0" w:color="auto"/>
              <w:left w:val="single" w:sz="6" w:space="0" w:color="auto"/>
              <w:bottom w:val="single" w:sz="6" w:space="0" w:color="auto"/>
              <w:right w:val="single" w:sz="4" w:space="0" w:color="auto"/>
            </w:tcBorders>
            <w:vAlign w:val="center"/>
            <w:hideMark/>
          </w:tcPr>
          <w:p w14:paraId="74F9A075" w14:textId="65304EB2" w:rsidR="00C81100" w:rsidRDefault="00C81100" w:rsidP="00AD2F6B">
            <w:pPr>
              <w:pStyle w:val="TAH"/>
            </w:pPr>
            <w:r>
              <w:t>NR operating band groups</w:t>
            </w:r>
            <w:r>
              <w:rPr>
                <w:vertAlign w:val="superscript"/>
              </w:rPr>
              <w:t xml:space="preserve"> Note </w:t>
            </w:r>
            <w:r w:rsidR="00FA41EA">
              <w:rPr>
                <w:vertAlign w:val="superscript"/>
              </w:rPr>
              <w:t>3</w:t>
            </w:r>
          </w:p>
        </w:tc>
        <w:tc>
          <w:tcPr>
            <w:tcW w:w="4111" w:type="dxa"/>
            <w:gridSpan w:val="4"/>
            <w:tcBorders>
              <w:top w:val="single" w:sz="4" w:space="0" w:color="auto"/>
              <w:left w:val="single" w:sz="4" w:space="0" w:color="auto"/>
              <w:bottom w:val="single" w:sz="6" w:space="0" w:color="auto"/>
              <w:right w:val="single" w:sz="6" w:space="0" w:color="auto"/>
            </w:tcBorders>
            <w:vAlign w:val="center"/>
            <w:hideMark/>
          </w:tcPr>
          <w:p w14:paraId="278D9FDE" w14:textId="77777777" w:rsidR="00C81100" w:rsidRDefault="00C81100" w:rsidP="00AD2F6B">
            <w:pPr>
              <w:pStyle w:val="TAH"/>
            </w:pPr>
            <w:r>
              <w:t>Minimum Io</w:t>
            </w:r>
          </w:p>
        </w:tc>
        <w:tc>
          <w:tcPr>
            <w:tcW w:w="1559" w:type="dxa"/>
            <w:tcBorders>
              <w:top w:val="single" w:sz="4" w:space="0" w:color="auto"/>
              <w:left w:val="single" w:sz="6" w:space="0" w:color="auto"/>
              <w:bottom w:val="single" w:sz="6" w:space="0" w:color="auto"/>
              <w:right w:val="single" w:sz="4" w:space="0" w:color="auto"/>
            </w:tcBorders>
            <w:vAlign w:val="center"/>
            <w:hideMark/>
          </w:tcPr>
          <w:p w14:paraId="7F3AC8C2" w14:textId="77777777" w:rsidR="00C81100" w:rsidRDefault="00C81100" w:rsidP="00AD2F6B">
            <w:pPr>
              <w:pStyle w:val="TAH"/>
            </w:pPr>
            <w:r>
              <w:t>Maximum Io</w:t>
            </w:r>
          </w:p>
        </w:tc>
      </w:tr>
      <w:tr w:rsidR="00C81100" w14:paraId="2D8A11E7" w14:textId="77777777" w:rsidTr="00AD2F6B">
        <w:trPr>
          <w:trHeight w:val="308"/>
          <w:jc w:val="center"/>
        </w:trPr>
        <w:tc>
          <w:tcPr>
            <w:tcW w:w="1027" w:type="dxa"/>
            <w:tcBorders>
              <w:top w:val="single" w:sz="6" w:space="0" w:color="auto"/>
              <w:left w:val="single" w:sz="4" w:space="0" w:color="auto"/>
              <w:bottom w:val="nil"/>
              <w:right w:val="single" w:sz="6" w:space="0" w:color="auto"/>
            </w:tcBorders>
            <w:vAlign w:val="center"/>
            <w:hideMark/>
          </w:tcPr>
          <w:p w14:paraId="3A07611A" w14:textId="77777777" w:rsidR="00C81100" w:rsidRDefault="00C81100" w:rsidP="00AD2F6B">
            <w:pPr>
              <w:pStyle w:val="TAH"/>
            </w:pPr>
            <w:r>
              <w:t>dB</w:t>
            </w:r>
          </w:p>
        </w:tc>
        <w:tc>
          <w:tcPr>
            <w:tcW w:w="1030" w:type="dxa"/>
            <w:tcBorders>
              <w:top w:val="single" w:sz="6" w:space="0" w:color="auto"/>
              <w:left w:val="single" w:sz="6" w:space="0" w:color="auto"/>
              <w:bottom w:val="nil"/>
              <w:right w:val="single" w:sz="6" w:space="0" w:color="auto"/>
            </w:tcBorders>
            <w:vAlign w:val="center"/>
            <w:hideMark/>
          </w:tcPr>
          <w:p w14:paraId="4824E821" w14:textId="77777777" w:rsidR="00C81100" w:rsidRDefault="00C81100" w:rsidP="00AD2F6B">
            <w:pPr>
              <w:pStyle w:val="TAH"/>
            </w:pPr>
            <w:r>
              <w:t>dB</w:t>
            </w:r>
          </w:p>
        </w:tc>
        <w:tc>
          <w:tcPr>
            <w:tcW w:w="915" w:type="dxa"/>
            <w:tcBorders>
              <w:top w:val="single" w:sz="6" w:space="0" w:color="auto"/>
              <w:left w:val="single" w:sz="6" w:space="0" w:color="auto"/>
              <w:bottom w:val="nil"/>
              <w:right w:val="single" w:sz="6" w:space="0" w:color="auto"/>
            </w:tcBorders>
            <w:vAlign w:val="center"/>
            <w:hideMark/>
          </w:tcPr>
          <w:p w14:paraId="4AEA10FB" w14:textId="77777777" w:rsidR="00C81100" w:rsidRDefault="00C81100" w:rsidP="00AD2F6B">
            <w:pPr>
              <w:pStyle w:val="TAH"/>
            </w:pPr>
            <w:r>
              <w:t>dB</w:t>
            </w:r>
          </w:p>
        </w:tc>
        <w:tc>
          <w:tcPr>
            <w:tcW w:w="1843" w:type="dxa"/>
            <w:tcBorders>
              <w:top w:val="single" w:sz="6" w:space="0" w:color="auto"/>
              <w:left w:val="single" w:sz="6" w:space="0" w:color="auto"/>
              <w:bottom w:val="nil"/>
              <w:right w:val="single" w:sz="4" w:space="0" w:color="auto"/>
            </w:tcBorders>
            <w:vAlign w:val="center"/>
          </w:tcPr>
          <w:p w14:paraId="109A429B" w14:textId="77777777" w:rsidR="00C81100" w:rsidRDefault="00C81100" w:rsidP="00AD2F6B">
            <w:pPr>
              <w:pStyle w:val="TAH"/>
            </w:pPr>
          </w:p>
        </w:tc>
        <w:tc>
          <w:tcPr>
            <w:tcW w:w="3118" w:type="dxa"/>
            <w:gridSpan w:val="3"/>
            <w:tcBorders>
              <w:top w:val="single" w:sz="6" w:space="0" w:color="auto"/>
              <w:left w:val="single" w:sz="4" w:space="0" w:color="auto"/>
              <w:bottom w:val="single" w:sz="6" w:space="0" w:color="auto"/>
              <w:right w:val="single" w:sz="6" w:space="0" w:color="auto"/>
            </w:tcBorders>
            <w:vAlign w:val="center"/>
            <w:hideMark/>
          </w:tcPr>
          <w:p w14:paraId="08F9EA7C" w14:textId="77777777" w:rsidR="00C81100" w:rsidRDefault="00C81100" w:rsidP="00AD2F6B">
            <w:pPr>
              <w:pStyle w:val="TAH"/>
            </w:pPr>
            <w:r>
              <w:rPr>
                <w:rFonts w:cs="Arial"/>
              </w:rPr>
              <w:t xml:space="preserve">dBm / </w:t>
            </w:r>
            <w:r>
              <w:t>SCS</w:t>
            </w:r>
            <w:r>
              <w:rPr>
                <w:vertAlign w:val="subscript"/>
              </w:rPr>
              <w:t>CSI-RS</w:t>
            </w:r>
          </w:p>
        </w:tc>
        <w:tc>
          <w:tcPr>
            <w:tcW w:w="993" w:type="dxa"/>
            <w:tcBorders>
              <w:top w:val="single" w:sz="6" w:space="0" w:color="auto"/>
              <w:left w:val="single" w:sz="6" w:space="0" w:color="auto"/>
              <w:bottom w:val="nil"/>
              <w:right w:val="single" w:sz="6" w:space="0" w:color="auto"/>
            </w:tcBorders>
            <w:vAlign w:val="center"/>
            <w:hideMark/>
          </w:tcPr>
          <w:p w14:paraId="76A55708" w14:textId="77777777" w:rsidR="00C81100" w:rsidRDefault="00C81100" w:rsidP="00AD2F6B">
            <w:pPr>
              <w:pStyle w:val="TAH"/>
            </w:pPr>
            <w:r>
              <w:t>dBm/BW</w:t>
            </w:r>
            <w:r>
              <w:rPr>
                <w:vertAlign w:val="subscript"/>
              </w:rPr>
              <w:t>Channel</w:t>
            </w:r>
          </w:p>
        </w:tc>
        <w:tc>
          <w:tcPr>
            <w:tcW w:w="1559" w:type="dxa"/>
            <w:tcBorders>
              <w:top w:val="single" w:sz="6" w:space="0" w:color="auto"/>
              <w:left w:val="single" w:sz="6" w:space="0" w:color="auto"/>
              <w:bottom w:val="nil"/>
              <w:right w:val="single" w:sz="4" w:space="0" w:color="auto"/>
            </w:tcBorders>
            <w:vAlign w:val="center"/>
            <w:hideMark/>
          </w:tcPr>
          <w:p w14:paraId="4008D2C1" w14:textId="77777777" w:rsidR="00C81100" w:rsidRDefault="00C81100" w:rsidP="00AD2F6B">
            <w:pPr>
              <w:pStyle w:val="TAH"/>
            </w:pPr>
            <w:r>
              <w:t>dBm/BW</w:t>
            </w:r>
            <w:r>
              <w:rPr>
                <w:vertAlign w:val="subscript"/>
              </w:rPr>
              <w:t>Channel</w:t>
            </w:r>
          </w:p>
        </w:tc>
      </w:tr>
      <w:tr w:rsidR="00C81100" w14:paraId="6A61C25B" w14:textId="77777777" w:rsidTr="00AD2F6B">
        <w:trPr>
          <w:trHeight w:val="307"/>
          <w:jc w:val="center"/>
        </w:trPr>
        <w:tc>
          <w:tcPr>
            <w:tcW w:w="1027" w:type="dxa"/>
            <w:tcBorders>
              <w:top w:val="nil"/>
              <w:left w:val="single" w:sz="4" w:space="0" w:color="auto"/>
              <w:bottom w:val="single" w:sz="6" w:space="0" w:color="auto"/>
              <w:right w:val="single" w:sz="6" w:space="0" w:color="auto"/>
            </w:tcBorders>
            <w:vAlign w:val="center"/>
          </w:tcPr>
          <w:p w14:paraId="24DD91F4" w14:textId="77777777" w:rsidR="00C81100" w:rsidRDefault="00C81100" w:rsidP="00AD2F6B">
            <w:pPr>
              <w:pStyle w:val="TAH"/>
            </w:pPr>
          </w:p>
        </w:tc>
        <w:tc>
          <w:tcPr>
            <w:tcW w:w="1030" w:type="dxa"/>
            <w:tcBorders>
              <w:top w:val="nil"/>
              <w:left w:val="single" w:sz="6" w:space="0" w:color="auto"/>
              <w:bottom w:val="single" w:sz="6" w:space="0" w:color="auto"/>
              <w:right w:val="single" w:sz="6" w:space="0" w:color="auto"/>
            </w:tcBorders>
            <w:vAlign w:val="center"/>
          </w:tcPr>
          <w:p w14:paraId="6334F89B" w14:textId="77777777" w:rsidR="00C81100" w:rsidRDefault="00C81100" w:rsidP="00AD2F6B">
            <w:pPr>
              <w:pStyle w:val="TAH"/>
            </w:pPr>
          </w:p>
        </w:tc>
        <w:tc>
          <w:tcPr>
            <w:tcW w:w="915" w:type="dxa"/>
            <w:tcBorders>
              <w:top w:val="nil"/>
              <w:left w:val="single" w:sz="6" w:space="0" w:color="auto"/>
              <w:bottom w:val="single" w:sz="6" w:space="0" w:color="auto"/>
              <w:right w:val="single" w:sz="6" w:space="0" w:color="auto"/>
            </w:tcBorders>
            <w:vAlign w:val="center"/>
          </w:tcPr>
          <w:p w14:paraId="023250A4" w14:textId="77777777" w:rsidR="00C81100" w:rsidRDefault="00C81100" w:rsidP="00AD2F6B">
            <w:pPr>
              <w:pStyle w:val="TAH"/>
            </w:pPr>
          </w:p>
        </w:tc>
        <w:tc>
          <w:tcPr>
            <w:tcW w:w="1843" w:type="dxa"/>
            <w:tcBorders>
              <w:top w:val="nil"/>
              <w:left w:val="single" w:sz="6" w:space="0" w:color="auto"/>
              <w:bottom w:val="single" w:sz="6" w:space="0" w:color="auto"/>
              <w:right w:val="single" w:sz="4" w:space="0" w:color="auto"/>
            </w:tcBorders>
            <w:vAlign w:val="center"/>
          </w:tcPr>
          <w:p w14:paraId="5F4C607E" w14:textId="77777777" w:rsidR="00C81100" w:rsidRDefault="00C81100" w:rsidP="00AD2F6B">
            <w:pPr>
              <w:pStyle w:val="TAH"/>
            </w:pPr>
          </w:p>
        </w:tc>
        <w:tc>
          <w:tcPr>
            <w:tcW w:w="1134" w:type="dxa"/>
            <w:tcBorders>
              <w:top w:val="single" w:sz="6" w:space="0" w:color="auto"/>
              <w:left w:val="single" w:sz="4" w:space="0" w:color="auto"/>
              <w:bottom w:val="single" w:sz="6" w:space="0" w:color="auto"/>
              <w:right w:val="single" w:sz="6" w:space="0" w:color="auto"/>
            </w:tcBorders>
            <w:vAlign w:val="center"/>
            <w:hideMark/>
          </w:tcPr>
          <w:p w14:paraId="101EB578" w14:textId="77777777" w:rsidR="00C81100" w:rsidRDefault="00C81100" w:rsidP="00AD2F6B">
            <w:pPr>
              <w:pStyle w:val="TAH"/>
              <w:rPr>
                <w:rFonts w:cs="Arial"/>
              </w:rPr>
            </w:pPr>
            <w:r>
              <w:t>SCS</w:t>
            </w:r>
            <w:r>
              <w:rPr>
                <w:vertAlign w:val="subscript"/>
              </w:rPr>
              <w:t>CSI-RS</w:t>
            </w:r>
            <w:r>
              <w:rPr>
                <w:rFonts w:cs="Arial"/>
              </w:rPr>
              <w:t xml:space="preserve"> = 15 kHz</w:t>
            </w:r>
          </w:p>
        </w:tc>
        <w:tc>
          <w:tcPr>
            <w:tcW w:w="992" w:type="dxa"/>
            <w:tcBorders>
              <w:top w:val="single" w:sz="6" w:space="0" w:color="auto"/>
              <w:left w:val="single" w:sz="4" w:space="0" w:color="auto"/>
              <w:bottom w:val="single" w:sz="6" w:space="0" w:color="auto"/>
              <w:right w:val="single" w:sz="6" w:space="0" w:color="auto"/>
            </w:tcBorders>
            <w:vAlign w:val="center"/>
            <w:hideMark/>
          </w:tcPr>
          <w:p w14:paraId="05247219" w14:textId="77777777" w:rsidR="00C81100" w:rsidRDefault="00C81100" w:rsidP="00AD2F6B">
            <w:pPr>
              <w:pStyle w:val="TAH"/>
              <w:rPr>
                <w:rFonts w:cs="Arial"/>
              </w:rPr>
            </w:pPr>
            <w:r>
              <w:t>SCS</w:t>
            </w:r>
            <w:r>
              <w:rPr>
                <w:vertAlign w:val="subscript"/>
              </w:rPr>
              <w:t>CSI-RS</w:t>
            </w:r>
            <w:r>
              <w:rPr>
                <w:rFonts w:cs="Arial"/>
              </w:rPr>
              <w:t xml:space="preserve"> = 30 kHz</w:t>
            </w:r>
          </w:p>
        </w:tc>
        <w:tc>
          <w:tcPr>
            <w:tcW w:w="992" w:type="dxa"/>
            <w:tcBorders>
              <w:top w:val="single" w:sz="6" w:space="0" w:color="auto"/>
              <w:left w:val="single" w:sz="4" w:space="0" w:color="auto"/>
              <w:bottom w:val="single" w:sz="6" w:space="0" w:color="auto"/>
              <w:right w:val="single" w:sz="6" w:space="0" w:color="auto"/>
            </w:tcBorders>
            <w:vAlign w:val="center"/>
          </w:tcPr>
          <w:p w14:paraId="6239D0B8" w14:textId="77777777" w:rsidR="00C81100" w:rsidRDefault="00C81100" w:rsidP="00AD2F6B">
            <w:pPr>
              <w:pStyle w:val="TAH"/>
              <w:rPr>
                <w:rFonts w:cs="Arial"/>
              </w:rPr>
            </w:pPr>
            <w:r>
              <w:t>SCS</w:t>
            </w:r>
            <w:r>
              <w:rPr>
                <w:vertAlign w:val="subscript"/>
              </w:rPr>
              <w:t>CSI-RS</w:t>
            </w:r>
            <w:r>
              <w:rPr>
                <w:rFonts w:cs="Arial"/>
              </w:rPr>
              <w:t xml:space="preserve"> = 60 kHz</w:t>
            </w:r>
          </w:p>
        </w:tc>
        <w:tc>
          <w:tcPr>
            <w:tcW w:w="993" w:type="dxa"/>
            <w:tcBorders>
              <w:top w:val="nil"/>
              <w:left w:val="single" w:sz="6" w:space="0" w:color="auto"/>
              <w:bottom w:val="single" w:sz="6" w:space="0" w:color="auto"/>
              <w:right w:val="single" w:sz="6" w:space="0" w:color="auto"/>
            </w:tcBorders>
            <w:vAlign w:val="center"/>
          </w:tcPr>
          <w:p w14:paraId="5F09000E" w14:textId="77777777" w:rsidR="00C81100" w:rsidRDefault="00C81100" w:rsidP="00AD2F6B">
            <w:pPr>
              <w:pStyle w:val="TAH"/>
            </w:pPr>
          </w:p>
        </w:tc>
        <w:tc>
          <w:tcPr>
            <w:tcW w:w="1559" w:type="dxa"/>
            <w:tcBorders>
              <w:top w:val="nil"/>
              <w:left w:val="single" w:sz="6" w:space="0" w:color="auto"/>
              <w:bottom w:val="single" w:sz="6" w:space="0" w:color="auto"/>
              <w:right w:val="single" w:sz="4" w:space="0" w:color="auto"/>
            </w:tcBorders>
            <w:vAlign w:val="center"/>
          </w:tcPr>
          <w:p w14:paraId="7753F16C" w14:textId="77777777" w:rsidR="00C81100" w:rsidRDefault="00C81100" w:rsidP="00AD2F6B">
            <w:pPr>
              <w:pStyle w:val="TAH"/>
            </w:pPr>
          </w:p>
        </w:tc>
      </w:tr>
      <w:tr w:rsidR="00C81100" w14:paraId="2179C97D" w14:textId="77777777" w:rsidTr="00AD2F6B">
        <w:trPr>
          <w:jc w:val="center"/>
        </w:trPr>
        <w:tc>
          <w:tcPr>
            <w:tcW w:w="1027" w:type="dxa"/>
            <w:tcBorders>
              <w:top w:val="single" w:sz="6" w:space="0" w:color="auto"/>
              <w:left w:val="single" w:sz="4" w:space="0" w:color="auto"/>
              <w:bottom w:val="nil"/>
              <w:right w:val="single" w:sz="6" w:space="0" w:color="auto"/>
            </w:tcBorders>
          </w:tcPr>
          <w:p w14:paraId="4369FC4B" w14:textId="77777777" w:rsidR="00C81100" w:rsidRDefault="00C81100" w:rsidP="00AD2F6B">
            <w:pPr>
              <w:pStyle w:val="TAC"/>
            </w:pPr>
          </w:p>
        </w:tc>
        <w:tc>
          <w:tcPr>
            <w:tcW w:w="1030" w:type="dxa"/>
            <w:tcBorders>
              <w:top w:val="single" w:sz="6" w:space="0" w:color="auto"/>
              <w:left w:val="single" w:sz="6" w:space="0" w:color="auto"/>
              <w:bottom w:val="nil"/>
              <w:right w:val="single" w:sz="6" w:space="0" w:color="auto"/>
            </w:tcBorders>
          </w:tcPr>
          <w:p w14:paraId="54009DEA" w14:textId="77777777" w:rsidR="00C81100" w:rsidRDefault="00C81100" w:rsidP="00AD2F6B">
            <w:pPr>
              <w:pStyle w:val="TAC"/>
            </w:pPr>
          </w:p>
        </w:tc>
        <w:tc>
          <w:tcPr>
            <w:tcW w:w="915" w:type="dxa"/>
            <w:tcBorders>
              <w:top w:val="single" w:sz="6" w:space="0" w:color="auto"/>
              <w:left w:val="single" w:sz="6" w:space="0" w:color="auto"/>
              <w:bottom w:val="nil"/>
              <w:right w:val="single" w:sz="6" w:space="0" w:color="auto"/>
            </w:tcBorders>
          </w:tcPr>
          <w:p w14:paraId="36B6FD97"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252B4CB2" w14:textId="77777777" w:rsidR="00C81100" w:rsidRDefault="00C81100" w:rsidP="00AD2F6B">
            <w:pPr>
              <w:pStyle w:val="TAC"/>
            </w:pPr>
            <w:r>
              <w:t>NR_FDD_FR1_A, NR_TDD_FR1_A,</w:t>
            </w:r>
          </w:p>
          <w:p w14:paraId="0929FD0B" w14:textId="77777777" w:rsidR="00C81100" w:rsidRDefault="00C81100" w:rsidP="00AD2F6B">
            <w:pPr>
              <w:pStyle w:val="TAC"/>
            </w:pPr>
            <w:r>
              <w:t>NR_SDL_FR1_A</w:t>
            </w:r>
          </w:p>
        </w:tc>
        <w:tc>
          <w:tcPr>
            <w:tcW w:w="1134" w:type="dxa"/>
            <w:tcBorders>
              <w:top w:val="single" w:sz="6" w:space="0" w:color="auto"/>
              <w:left w:val="single" w:sz="4" w:space="0" w:color="auto"/>
              <w:bottom w:val="single" w:sz="6" w:space="0" w:color="auto"/>
              <w:right w:val="single" w:sz="6" w:space="0" w:color="auto"/>
            </w:tcBorders>
            <w:hideMark/>
          </w:tcPr>
          <w:p w14:paraId="2ADD4133" w14:textId="77777777" w:rsidR="00C81100" w:rsidRDefault="00C81100" w:rsidP="00AD2F6B">
            <w:pPr>
              <w:pStyle w:val="TAC"/>
            </w:pPr>
            <w:r>
              <w:t>-121</w:t>
            </w:r>
          </w:p>
        </w:tc>
        <w:tc>
          <w:tcPr>
            <w:tcW w:w="992" w:type="dxa"/>
            <w:tcBorders>
              <w:top w:val="single" w:sz="6" w:space="0" w:color="auto"/>
              <w:left w:val="single" w:sz="4" w:space="0" w:color="auto"/>
              <w:bottom w:val="single" w:sz="6" w:space="0" w:color="auto"/>
              <w:right w:val="single" w:sz="6" w:space="0" w:color="auto"/>
            </w:tcBorders>
            <w:hideMark/>
          </w:tcPr>
          <w:p w14:paraId="051B0FD5" w14:textId="77777777" w:rsidR="00C81100" w:rsidRDefault="00C81100" w:rsidP="00AD2F6B">
            <w:pPr>
              <w:pStyle w:val="TAC"/>
            </w:pPr>
            <w:r>
              <w:t>-118</w:t>
            </w:r>
          </w:p>
        </w:tc>
        <w:tc>
          <w:tcPr>
            <w:tcW w:w="992" w:type="dxa"/>
            <w:tcBorders>
              <w:top w:val="single" w:sz="6" w:space="0" w:color="auto"/>
              <w:left w:val="single" w:sz="4" w:space="0" w:color="auto"/>
              <w:bottom w:val="single" w:sz="6" w:space="0" w:color="auto"/>
              <w:right w:val="single" w:sz="6" w:space="0" w:color="auto"/>
            </w:tcBorders>
          </w:tcPr>
          <w:p w14:paraId="7A3B0ABC" w14:textId="77777777" w:rsidR="00C81100" w:rsidRDefault="00C81100" w:rsidP="00AD2F6B">
            <w:pPr>
              <w:pStyle w:val="TAC"/>
            </w:pPr>
            <w:r>
              <w:t>-115</w:t>
            </w:r>
          </w:p>
        </w:tc>
        <w:tc>
          <w:tcPr>
            <w:tcW w:w="993" w:type="dxa"/>
            <w:tcBorders>
              <w:top w:val="single" w:sz="6" w:space="0" w:color="auto"/>
              <w:left w:val="single" w:sz="6" w:space="0" w:color="auto"/>
              <w:bottom w:val="single" w:sz="6" w:space="0" w:color="auto"/>
              <w:right w:val="single" w:sz="6" w:space="0" w:color="auto"/>
            </w:tcBorders>
            <w:hideMark/>
          </w:tcPr>
          <w:p w14:paraId="4617BC84"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17A7F54A" w14:textId="77777777" w:rsidR="00C81100" w:rsidRDefault="00C81100" w:rsidP="00AD2F6B">
            <w:pPr>
              <w:pStyle w:val="TAC"/>
            </w:pPr>
            <w:r>
              <w:t>-50</w:t>
            </w:r>
          </w:p>
        </w:tc>
      </w:tr>
      <w:tr w:rsidR="00C81100" w14:paraId="623C566A" w14:textId="77777777" w:rsidTr="00AD2F6B">
        <w:trPr>
          <w:jc w:val="center"/>
        </w:trPr>
        <w:tc>
          <w:tcPr>
            <w:tcW w:w="1027" w:type="dxa"/>
            <w:tcBorders>
              <w:top w:val="nil"/>
              <w:left w:val="single" w:sz="4" w:space="0" w:color="auto"/>
              <w:bottom w:val="nil"/>
              <w:right w:val="single" w:sz="6" w:space="0" w:color="auto"/>
            </w:tcBorders>
          </w:tcPr>
          <w:p w14:paraId="58337D53"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4A5BCCD7"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3ECE3F54"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09605096" w14:textId="77777777" w:rsidR="00C81100" w:rsidRDefault="00C81100" w:rsidP="00AD2F6B">
            <w:pPr>
              <w:pStyle w:val="TAC"/>
            </w:pPr>
            <w:r>
              <w:t>NR_FDD_FR1_B</w:t>
            </w:r>
          </w:p>
        </w:tc>
        <w:tc>
          <w:tcPr>
            <w:tcW w:w="1134" w:type="dxa"/>
            <w:tcBorders>
              <w:top w:val="single" w:sz="6" w:space="0" w:color="auto"/>
              <w:left w:val="single" w:sz="4" w:space="0" w:color="auto"/>
              <w:bottom w:val="single" w:sz="6" w:space="0" w:color="auto"/>
              <w:right w:val="single" w:sz="6" w:space="0" w:color="auto"/>
            </w:tcBorders>
            <w:hideMark/>
          </w:tcPr>
          <w:p w14:paraId="4F004084" w14:textId="77777777" w:rsidR="00C81100" w:rsidRDefault="00C81100" w:rsidP="00AD2F6B">
            <w:pPr>
              <w:pStyle w:val="TAC"/>
            </w:pPr>
            <w:r>
              <w:t>-120.5</w:t>
            </w:r>
          </w:p>
        </w:tc>
        <w:tc>
          <w:tcPr>
            <w:tcW w:w="992" w:type="dxa"/>
            <w:tcBorders>
              <w:top w:val="single" w:sz="6" w:space="0" w:color="auto"/>
              <w:left w:val="single" w:sz="4" w:space="0" w:color="auto"/>
              <w:bottom w:val="single" w:sz="6" w:space="0" w:color="auto"/>
              <w:right w:val="single" w:sz="6" w:space="0" w:color="auto"/>
            </w:tcBorders>
            <w:hideMark/>
          </w:tcPr>
          <w:p w14:paraId="57B7E05E" w14:textId="77777777" w:rsidR="00C81100" w:rsidRDefault="00C81100" w:rsidP="00AD2F6B">
            <w:pPr>
              <w:pStyle w:val="TAC"/>
              <w:rPr>
                <w:lang w:val="sv-SE"/>
              </w:rPr>
            </w:pPr>
            <w:r>
              <w:t>-117.5</w:t>
            </w:r>
          </w:p>
        </w:tc>
        <w:tc>
          <w:tcPr>
            <w:tcW w:w="992" w:type="dxa"/>
            <w:tcBorders>
              <w:top w:val="single" w:sz="6" w:space="0" w:color="auto"/>
              <w:left w:val="single" w:sz="4" w:space="0" w:color="auto"/>
              <w:bottom w:val="single" w:sz="6" w:space="0" w:color="auto"/>
              <w:right w:val="single" w:sz="6" w:space="0" w:color="auto"/>
            </w:tcBorders>
          </w:tcPr>
          <w:p w14:paraId="44275CE0" w14:textId="77777777" w:rsidR="00C81100" w:rsidRDefault="00C81100" w:rsidP="00AD2F6B">
            <w:pPr>
              <w:pStyle w:val="TAC"/>
              <w:rPr>
                <w:lang w:val="sv-SE"/>
              </w:rPr>
            </w:pPr>
            <w:r>
              <w:t>-114.5</w:t>
            </w:r>
          </w:p>
        </w:tc>
        <w:tc>
          <w:tcPr>
            <w:tcW w:w="993" w:type="dxa"/>
            <w:tcBorders>
              <w:top w:val="single" w:sz="6" w:space="0" w:color="auto"/>
              <w:left w:val="single" w:sz="6" w:space="0" w:color="auto"/>
              <w:bottom w:val="single" w:sz="6" w:space="0" w:color="auto"/>
              <w:right w:val="single" w:sz="6" w:space="0" w:color="auto"/>
            </w:tcBorders>
            <w:hideMark/>
          </w:tcPr>
          <w:p w14:paraId="3522D857"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14D248B7" w14:textId="77777777" w:rsidR="00C81100" w:rsidRDefault="00C81100" w:rsidP="00AD2F6B">
            <w:pPr>
              <w:pStyle w:val="TAC"/>
            </w:pPr>
            <w:r>
              <w:t>-50</w:t>
            </w:r>
          </w:p>
        </w:tc>
      </w:tr>
      <w:tr w:rsidR="00C81100" w14:paraId="49D87783" w14:textId="77777777" w:rsidTr="00AD2F6B">
        <w:trPr>
          <w:jc w:val="center"/>
        </w:trPr>
        <w:tc>
          <w:tcPr>
            <w:tcW w:w="1027" w:type="dxa"/>
            <w:tcBorders>
              <w:top w:val="nil"/>
              <w:left w:val="single" w:sz="4" w:space="0" w:color="auto"/>
              <w:bottom w:val="nil"/>
              <w:right w:val="single" w:sz="6" w:space="0" w:color="auto"/>
            </w:tcBorders>
          </w:tcPr>
          <w:p w14:paraId="3FCC1AB7"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1429C223"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21098285"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04E0FEF0" w14:textId="77777777" w:rsidR="00C81100" w:rsidRDefault="00C81100" w:rsidP="00AD2F6B">
            <w:pPr>
              <w:pStyle w:val="TAC"/>
            </w:pPr>
            <w:r>
              <w:t>NR_TDD_FR1_C</w:t>
            </w:r>
          </w:p>
        </w:tc>
        <w:tc>
          <w:tcPr>
            <w:tcW w:w="1134" w:type="dxa"/>
            <w:tcBorders>
              <w:top w:val="single" w:sz="6" w:space="0" w:color="auto"/>
              <w:left w:val="single" w:sz="4" w:space="0" w:color="auto"/>
              <w:bottom w:val="single" w:sz="6" w:space="0" w:color="auto"/>
              <w:right w:val="single" w:sz="6" w:space="0" w:color="auto"/>
            </w:tcBorders>
            <w:hideMark/>
          </w:tcPr>
          <w:p w14:paraId="46A0EFC4" w14:textId="77777777" w:rsidR="00C81100" w:rsidRDefault="00C81100" w:rsidP="00AD2F6B">
            <w:pPr>
              <w:pStyle w:val="TAC"/>
            </w:pPr>
            <w:r>
              <w:t>-120</w:t>
            </w:r>
          </w:p>
        </w:tc>
        <w:tc>
          <w:tcPr>
            <w:tcW w:w="992" w:type="dxa"/>
            <w:tcBorders>
              <w:top w:val="single" w:sz="6" w:space="0" w:color="auto"/>
              <w:left w:val="single" w:sz="4" w:space="0" w:color="auto"/>
              <w:bottom w:val="single" w:sz="6" w:space="0" w:color="auto"/>
              <w:right w:val="single" w:sz="6" w:space="0" w:color="auto"/>
            </w:tcBorders>
            <w:hideMark/>
          </w:tcPr>
          <w:p w14:paraId="271AFCFC" w14:textId="77777777" w:rsidR="00C81100" w:rsidRDefault="00C81100" w:rsidP="00AD2F6B">
            <w:pPr>
              <w:pStyle w:val="TAC"/>
              <w:rPr>
                <w:lang w:val="sv-SE"/>
              </w:rPr>
            </w:pPr>
            <w:r>
              <w:t>-117</w:t>
            </w:r>
          </w:p>
        </w:tc>
        <w:tc>
          <w:tcPr>
            <w:tcW w:w="992" w:type="dxa"/>
            <w:tcBorders>
              <w:top w:val="single" w:sz="6" w:space="0" w:color="auto"/>
              <w:left w:val="single" w:sz="4" w:space="0" w:color="auto"/>
              <w:bottom w:val="single" w:sz="6" w:space="0" w:color="auto"/>
              <w:right w:val="single" w:sz="6" w:space="0" w:color="auto"/>
            </w:tcBorders>
          </w:tcPr>
          <w:p w14:paraId="51680DA9" w14:textId="77777777" w:rsidR="00C81100" w:rsidRDefault="00C81100" w:rsidP="00AD2F6B">
            <w:pPr>
              <w:pStyle w:val="TAC"/>
              <w:rPr>
                <w:lang w:val="sv-SE"/>
              </w:rPr>
            </w:pPr>
            <w:r>
              <w:t>-114</w:t>
            </w:r>
          </w:p>
        </w:tc>
        <w:tc>
          <w:tcPr>
            <w:tcW w:w="993" w:type="dxa"/>
            <w:tcBorders>
              <w:top w:val="single" w:sz="6" w:space="0" w:color="auto"/>
              <w:left w:val="single" w:sz="6" w:space="0" w:color="auto"/>
              <w:bottom w:val="single" w:sz="6" w:space="0" w:color="auto"/>
              <w:right w:val="single" w:sz="6" w:space="0" w:color="auto"/>
            </w:tcBorders>
            <w:hideMark/>
          </w:tcPr>
          <w:p w14:paraId="1FE0FC7D"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15431710" w14:textId="77777777" w:rsidR="00C81100" w:rsidRDefault="00C81100" w:rsidP="00AD2F6B">
            <w:pPr>
              <w:pStyle w:val="TAC"/>
            </w:pPr>
            <w:r>
              <w:t>-50</w:t>
            </w:r>
          </w:p>
        </w:tc>
      </w:tr>
      <w:tr w:rsidR="00C81100" w14:paraId="245D2E87" w14:textId="77777777" w:rsidTr="00AD2F6B">
        <w:trPr>
          <w:jc w:val="center"/>
        </w:trPr>
        <w:tc>
          <w:tcPr>
            <w:tcW w:w="1027" w:type="dxa"/>
            <w:tcBorders>
              <w:top w:val="nil"/>
              <w:left w:val="single" w:sz="4" w:space="0" w:color="auto"/>
              <w:bottom w:val="nil"/>
              <w:right w:val="single" w:sz="6" w:space="0" w:color="auto"/>
            </w:tcBorders>
            <w:hideMark/>
          </w:tcPr>
          <w:p w14:paraId="106DA6FF" w14:textId="77777777" w:rsidR="00C81100" w:rsidRDefault="00C81100" w:rsidP="00AD2F6B">
            <w:pPr>
              <w:pStyle w:val="TAC"/>
            </w:pPr>
            <w:r>
              <w:rPr>
                <w:rFonts w:cs="Arial"/>
              </w:rPr>
              <w:t>±</w:t>
            </w:r>
            <w:r>
              <w:t>[4.5]</w:t>
            </w:r>
          </w:p>
        </w:tc>
        <w:tc>
          <w:tcPr>
            <w:tcW w:w="1030" w:type="dxa"/>
            <w:tcBorders>
              <w:top w:val="nil"/>
              <w:left w:val="single" w:sz="6" w:space="0" w:color="auto"/>
              <w:bottom w:val="nil"/>
              <w:right w:val="single" w:sz="6" w:space="0" w:color="auto"/>
            </w:tcBorders>
            <w:hideMark/>
          </w:tcPr>
          <w:p w14:paraId="59AC4646" w14:textId="77777777" w:rsidR="00C81100" w:rsidRDefault="00C81100" w:rsidP="00AD2F6B">
            <w:pPr>
              <w:pStyle w:val="TAC"/>
            </w:pPr>
            <w:r>
              <w:rPr>
                <w:rFonts w:cs="Arial"/>
              </w:rPr>
              <w:t>±</w:t>
            </w:r>
            <w:r>
              <w:t>[5.5]</w:t>
            </w:r>
          </w:p>
        </w:tc>
        <w:tc>
          <w:tcPr>
            <w:tcW w:w="915" w:type="dxa"/>
            <w:tcBorders>
              <w:top w:val="nil"/>
              <w:left w:val="single" w:sz="6" w:space="0" w:color="auto"/>
              <w:bottom w:val="nil"/>
              <w:right w:val="single" w:sz="6" w:space="0" w:color="auto"/>
            </w:tcBorders>
            <w:hideMark/>
          </w:tcPr>
          <w:p w14:paraId="4110C9C4" w14:textId="77777777" w:rsidR="00C81100" w:rsidRDefault="00C81100" w:rsidP="00AD2F6B">
            <w:pPr>
              <w:pStyle w:val="TAC"/>
            </w:pPr>
            <w:r>
              <w:sym w:font="Symbol" w:char="F0B3"/>
            </w:r>
            <w:r>
              <w:t>-3</w:t>
            </w:r>
          </w:p>
        </w:tc>
        <w:tc>
          <w:tcPr>
            <w:tcW w:w="1843" w:type="dxa"/>
            <w:tcBorders>
              <w:top w:val="single" w:sz="6" w:space="0" w:color="auto"/>
              <w:left w:val="single" w:sz="6" w:space="0" w:color="auto"/>
              <w:bottom w:val="single" w:sz="6" w:space="0" w:color="auto"/>
              <w:right w:val="single" w:sz="4" w:space="0" w:color="auto"/>
            </w:tcBorders>
            <w:hideMark/>
          </w:tcPr>
          <w:p w14:paraId="3C1931FB" w14:textId="77777777" w:rsidR="00C81100" w:rsidRDefault="00C81100" w:rsidP="00AD2F6B">
            <w:pPr>
              <w:pStyle w:val="TAC"/>
              <w:rPr>
                <w:lang w:val="sv-SE"/>
              </w:rPr>
            </w:pPr>
            <w:r>
              <w:rPr>
                <w:lang w:val="sv-SE"/>
              </w:rPr>
              <w:t>NR_FDD_FR1_D, NR_TDD_FR1_D</w:t>
            </w:r>
          </w:p>
        </w:tc>
        <w:tc>
          <w:tcPr>
            <w:tcW w:w="1134" w:type="dxa"/>
            <w:tcBorders>
              <w:top w:val="single" w:sz="6" w:space="0" w:color="auto"/>
              <w:left w:val="single" w:sz="4" w:space="0" w:color="auto"/>
              <w:bottom w:val="single" w:sz="6" w:space="0" w:color="auto"/>
              <w:right w:val="single" w:sz="6" w:space="0" w:color="auto"/>
            </w:tcBorders>
            <w:hideMark/>
          </w:tcPr>
          <w:p w14:paraId="2D9F327E" w14:textId="77777777" w:rsidR="00C81100" w:rsidRDefault="00C81100" w:rsidP="00AD2F6B">
            <w:pPr>
              <w:pStyle w:val="TAC"/>
            </w:pPr>
            <w:r>
              <w:t>-119.5</w:t>
            </w:r>
          </w:p>
        </w:tc>
        <w:tc>
          <w:tcPr>
            <w:tcW w:w="992" w:type="dxa"/>
            <w:tcBorders>
              <w:top w:val="single" w:sz="6" w:space="0" w:color="auto"/>
              <w:left w:val="single" w:sz="4" w:space="0" w:color="auto"/>
              <w:bottom w:val="single" w:sz="6" w:space="0" w:color="auto"/>
              <w:right w:val="single" w:sz="6" w:space="0" w:color="auto"/>
            </w:tcBorders>
            <w:hideMark/>
          </w:tcPr>
          <w:p w14:paraId="4F60CA1D" w14:textId="77777777" w:rsidR="00C81100" w:rsidRDefault="00C81100" w:rsidP="00AD2F6B">
            <w:pPr>
              <w:pStyle w:val="TAC"/>
            </w:pPr>
            <w:r>
              <w:t>-116.5</w:t>
            </w:r>
          </w:p>
        </w:tc>
        <w:tc>
          <w:tcPr>
            <w:tcW w:w="992" w:type="dxa"/>
            <w:tcBorders>
              <w:top w:val="single" w:sz="6" w:space="0" w:color="auto"/>
              <w:left w:val="single" w:sz="4" w:space="0" w:color="auto"/>
              <w:bottom w:val="single" w:sz="6" w:space="0" w:color="auto"/>
              <w:right w:val="single" w:sz="6" w:space="0" w:color="auto"/>
            </w:tcBorders>
          </w:tcPr>
          <w:p w14:paraId="4F36992B" w14:textId="77777777" w:rsidR="00C81100" w:rsidRDefault="00C81100" w:rsidP="00AD2F6B">
            <w:pPr>
              <w:pStyle w:val="TAC"/>
            </w:pPr>
            <w:r>
              <w:t>-113.5</w:t>
            </w:r>
          </w:p>
        </w:tc>
        <w:tc>
          <w:tcPr>
            <w:tcW w:w="993" w:type="dxa"/>
            <w:tcBorders>
              <w:top w:val="single" w:sz="6" w:space="0" w:color="auto"/>
              <w:left w:val="single" w:sz="6" w:space="0" w:color="auto"/>
              <w:bottom w:val="single" w:sz="6" w:space="0" w:color="auto"/>
              <w:right w:val="single" w:sz="6" w:space="0" w:color="auto"/>
            </w:tcBorders>
            <w:hideMark/>
          </w:tcPr>
          <w:p w14:paraId="7C9EF044"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78746540" w14:textId="77777777" w:rsidR="00C81100" w:rsidRDefault="00C81100" w:rsidP="00AD2F6B">
            <w:pPr>
              <w:pStyle w:val="TAC"/>
            </w:pPr>
            <w:r>
              <w:t>-50</w:t>
            </w:r>
          </w:p>
        </w:tc>
      </w:tr>
      <w:tr w:rsidR="00C81100" w14:paraId="6C075E81" w14:textId="77777777" w:rsidTr="00AD2F6B">
        <w:trPr>
          <w:jc w:val="center"/>
        </w:trPr>
        <w:tc>
          <w:tcPr>
            <w:tcW w:w="1027" w:type="dxa"/>
            <w:tcBorders>
              <w:top w:val="nil"/>
              <w:left w:val="single" w:sz="4" w:space="0" w:color="auto"/>
              <w:bottom w:val="nil"/>
              <w:right w:val="single" w:sz="6" w:space="0" w:color="auto"/>
            </w:tcBorders>
          </w:tcPr>
          <w:p w14:paraId="25CEC8A3"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08F3D5A8"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0D58499A"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0F0C5BEF" w14:textId="77777777" w:rsidR="00C81100" w:rsidRDefault="00C81100" w:rsidP="00AD2F6B">
            <w:pPr>
              <w:pStyle w:val="TAC"/>
              <w:rPr>
                <w:lang w:val="sv-SE"/>
              </w:rPr>
            </w:pPr>
            <w:r>
              <w:rPr>
                <w:lang w:val="sv-SE"/>
              </w:rPr>
              <w:t>NR_FDD_FR1_E, NR_TDD_FR1_E</w:t>
            </w:r>
          </w:p>
        </w:tc>
        <w:tc>
          <w:tcPr>
            <w:tcW w:w="1134" w:type="dxa"/>
            <w:tcBorders>
              <w:top w:val="single" w:sz="6" w:space="0" w:color="auto"/>
              <w:left w:val="single" w:sz="4" w:space="0" w:color="auto"/>
              <w:bottom w:val="single" w:sz="6" w:space="0" w:color="auto"/>
              <w:right w:val="single" w:sz="6" w:space="0" w:color="auto"/>
            </w:tcBorders>
            <w:hideMark/>
          </w:tcPr>
          <w:p w14:paraId="682FA222" w14:textId="77777777" w:rsidR="00C81100" w:rsidRDefault="00C81100" w:rsidP="00AD2F6B">
            <w:pPr>
              <w:pStyle w:val="TAC"/>
            </w:pPr>
            <w:r>
              <w:t>-119</w:t>
            </w:r>
          </w:p>
        </w:tc>
        <w:tc>
          <w:tcPr>
            <w:tcW w:w="992" w:type="dxa"/>
            <w:tcBorders>
              <w:top w:val="single" w:sz="6" w:space="0" w:color="auto"/>
              <w:left w:val="single" w:sz="4" w:space="0" w:color="auto"/>
              <w:bottom w:val="single" w:sz="6" w:space="0" w:color="auto"/>
              <w:right w:val="single" w:sz="6" w:space="0" w:color="auto"/>
            </w:tcBorders>
            <w:hideMark/>
          </w:tcPr>
          <w:p w14:paraId="066BE90B" w14:textId="77777777" w:rsidR="00C81100" w:rsidRDefault="00C81100" w:rsidP="00AD2F6B">
            <w:pPr>
              <w:pStyle w:val="TAC"/>
              <w:rPr>
                <w:lang w:val="sv-SE"/>
              </w:rPr>
            </w:pPr>
            <w:r>
              <w:t>-116</w:t>
            </w:r>
          </w:p>
        </w:tc>
        <w:tc>
          <w:tcPr>
            <w:tcW w:w="992" w:type="dxa"/>
            <w:tcBorders>
              <w:top w:val="single" w:sz="6" w:space="0" w:color="auto"/>
              <w:left w:val="single" w:sz="4" w:space="0" w:color="auto"/>
              <w:bottom w:val="single" w:sz="6" w:space="0" w:color="auto"/>
              <w:right w:val="single" w:sz="6" w:space="0" w:color="auto"/>
            </w:tcBorders>
          </w:tcPr>
          <w:p w14:paraId="74D7F3AE" w14:textId="77777777" w:rsidR="00C81100" w:rsidRDefault="00C81100" w:rsidP="00AD2F6B">
            <w:pPr>
              <w:pStyle w:val="TAC"/>
              <w:rPr>
                <w:lang w:val="sv-SE"/>
              </w:rPr>
            </w:pPr>
            <w:r>
              <w:t>-113</w:t>
            </w:r>
          </w:p>
        </w:tc>
        <w:tc>
          <w:tcPr>
            <w:tcW w:w="993" w:type="dxa"/>
            <w:tcBorders>
              <w:top w:val="single" w:sz="6" w:space="0" w:color="auto"/>
              <w:left w:val="single" w:sz="6" w:space="0" w:color="auto"/>
              <w:bottom w:val="single" w:sz="6" w:space="0" w:color="auto"/>
              <w:right w:val="single" w:sz="6" w:space="0" w:color="auto"/>
            </w:tcBorders>
            <w:hideMark/>
          </w:tcPr>
          <w:p w14:paraId="1BAC4C41"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3BF61EC6" w14:textId="77777777" w:rsidR="00C81100" w:rsidRDefault="00C81100" w:rsidP="00AD2F6B">
            <w:pPr>
              <w:pStyle w:val="TAC"/>
            </w:pPr>
            <w:r>
              <w:t>-50</w:t>
            </w:r>
          </w:p>
        </w:tc>
      </w:tr>
      <w:tr w:rsidR="00C81100" w14:paraId="59CBADD7" w14:textId="77777777" w:rsidTr="00AD2F6B">
        <w:trPr>
          <w:jc w:val="center"/>
        </w:trPr>
        <w:tc>
          <w:tcPr>
            <w:tcW w:w="1027" w:type="dxa"/>
            <w:tcBorders>
              <w:top w:val="nil"/>
              <w:left w:val="single" w:sz="4" w:space="0" w:color="auto"/>
              <w:bottom w:val="nil"/>
              <w:right w:val="single" w:sz="6" w:space="0" w:color="auto"/>
            </w:tcBorders>
          </w:tcPr>
          <w:p w14:paraId="71C16D20"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248464FB"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0622AA82"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7AF3EEFA" w14:textId="77777777" w:rsidR="00C81100" w:rsidRDefault="00C81100" w:rsidP="00AD2F6B">
            <w:pPr>
              <w:pStyle w:val="TAC"/>
              <w:rPr>
                <w:lang w:val="sv-SE"/>
              </w:rPr>
            </w:pPr>
            <w:r>
              <w:rPr>
                <w:lang w:eastAsia="zh-CN"/>
              </w:rPr>
              <w:t>NR_FDD_FR1_F</w:t>
            </w:r>
          </w:p>
        </w:tc>
        <w:tc>
          <w:tcPr>
            <w:tcW w:w="1134" w:type="dxa"/>
            <w:tcBorders>
              <w:top w:val="single" w:sz="6" w:space="0" w:color="auto"/>
              <w:left w:val="single" w:sz="4" w:space="0" w:color="auto"/>
              <w:bottom w:val="single" w:sz="6" w:space="0" w:color="auto"/>
              <w:right w:val="single" w:sz="6" w:space="0" w:color="auto"/>
            </w:tcBorders>
            <w:hideMark/>
          </w:tcPr>
          <w:p w14:paraId="7B23DE09" w14:textId="77777777" w:rsidR="00C81100" w:rsidRDefault="00C81100" w:rsidP="00AD2F6B">
            <w:pPr>
              <w:pStyle w:val="TAC"/>
            </w:pPr>
            <w:r>
              <w:t>-118.5</w:t>
            </w:r>
          </w:p>
        </w:tc>
        <w:tc>
          <w:tcPr>
            <w:tcW w:w="992" w:type="dxa"/>
            <w:tcBorders>
              <w:top w:val="single" w:sz="6" w:space="0" w:color="auto"/>
              <w:left w:val="single" w:sz="4" w:space="0" w:color="auto"/>
              <w:bottom w:val="single" w:sz="6" w:space="0" w:color="auto"/>
              <w:right w:val="single" w:sz="6" w:space="0" w:color="auto"/>
            </w:tcBorders>
            <w:hideMark/>
          </w:tcPr>
          <w:p w14:paraId="2A09EACB" w14:textId="77777777" w:rsidR="00C81100" w:rsidRDefault="00C81100" w:rsidP="00AD2F6B">
            <w:pPr>
              <w:pStyle w:val="TAC"/>
            </w:pPr>
            <w:r>
              <w:rPr>
                <w:rFonts w:cs="Arial"/>
              </w:rPr>
              <w:t>-115.5</w:t>
            </w:r>
          </w:p>
        </w:tc>
        <w:tc>
          <w:tcPr>
            <w:tcW w:w="992" w:type="dxa"/>
            <w:tcBorders>
              <w:top w:val="single" w:sz="6" w:space="0" w:color="auto"/>
              <w:left w:val="single" w:sz="4" w:space="0" w:color="auto"/>
              <w:bottom w:val="single" w:sz="6" w:space="0" w:color="auto"/>
              <w:right w:val="single" w:sz="6" w:space="0" w:color="auto"/>
            </w:tcBorders>
          </w:tcPr>
          <w:p w14:paraId="59813A66" w14:textId="77777777" w:rsidR="00C81100" w:rsidRDefault="00C81100" w:rsidP="00AD2F6B">
            <w:pPr>
              <w:pStyle w:val="TAC"/>
            </w:pPr>
            <w:r>
              <w:rPr>
                <w:rFonts w:cs="Arial"/>
              </w:rPr>
              <w:t>-112.5</w:t>
            </w:r>
          </w:p>
        </w:tc>
        <w:tc>
          <w:tcPr>
            <w:tcW w:w="993" w:type="dxa"/>
            <w:tcBorders>
              <w:top w:val="single" w:sz="6" w:space="0" w:color="auto"/>
              <w:left w:val="single" w:sz="6" w:space="0" w:color="auto"/>
              <w:bottom w:val="single" w:sz="6" w:space="0" w:color="auto"/>
              <w:right w:val="single" w:sz="6" w:space="0" w:color="auto"/>
            </w:tcBorders>
            <w:hideMark/>
          </w:tcPr>
          <w:p w14:paraId="4DAA2DED"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14B0B2E5" w14:textId="77777777" w:rsidR="00C81100" w:rsidRDefault="00C81100" w:rsidP="00AD2F6B">
            <w:pPr>
              <w:pStyle w:val="TAC"/>
            </w:pPr>
            <w:r>
              <w:t>-50</w:t>
            </w:r>
          </w:p>
        </w:tc>
      </w:tr>
      <w:tr w:rsidR="00C81100" w14:paraId="616CC6C0" w14:textId="77777777" w:rsidTr="00AD2F6B">
        <w:trPr>
          <w:jc w:val="center"/>
        </w:trPr>
        <w:tc>
          <w:tcPr>
            <w:tcW w:w="1027" w:type="dxa"/>
            <w:tcBorders>
              <w:top w:val="nil"/>
              <w:left w:val="single" w:sz="4" w:space="0" w:color="auto"/>
              <w:bottom w:val="nil"/>
              <w:right w:val="single" w:sz="6" w:space="0" w:color="auto"/>
            </w:tcBorders>
          </w:tcPr>
          <w:p w14:paraId="75D90936"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22436357"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0E46CADD"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4CE133FC" w14:textId="77777777" w:rsidR="00C81100" w:rsidRDefault="00C81100" w:rsidP="00AD2F6B">
            <w:pPr>
              <w:pStyle w:val="TAC"/>
              <w:rPr>
                <w:lang w:eastAsia="zh-CN"/>
              </w:rPr>
            </w:pPr>
            <w:r>
              <w:rPr>
                <w:lang w:eastAsia="zh-CN"/>
              </w:rPr>
              <w:t>NR</w:t>
            </w:r>
            <w:r>
              <w:t>_</w:t>
            </w:r>
            <w:r>
              <w:rPr>
                <w:lang w:eastAsia="zh-CN"/>
              </w:rPr>
              <w:t>FDD_FR1_G</w:t>
            </w:r>
          </w:p>
        </w:tc>
        <w:tc>
          <w:tcPr>
            <w:tcW w:w="1134" w:type="dxa"/>
            <w:tcBorders>
              <w:top w:val="single" w:sz="6" w:space="0" w:color="auto"/>
              <w:left w:val="single" w:sz="4" w:space="0" w:color="auto"/>
              <w:bottom w:val="single" w:sz="6" w:space="0" w:color="auto"/>
              <w:right w:val="single" w:sz="6" w:space="0" w:color="auto"/>
            </w:tcBorders>
            <w:hideMark/>
          </w:tcPr>
          <w:p w14:paraId="7694311F" w14:textId="77777777" w:rsidR="00C81100" w:rsidRDefault="00C81100" w:rsidP="00AD2F6B">
            <w:pPr>
              <w:pStyle w:val="TAC"/>
            </w:pPr>
            <w:r>
              <w:t>-118</w:t>
            </w:r>
          </w:p>
        </w:tc>
        <w:tc>
          <w:tcPr>
            <w:tcW w:w="992" w:type="dxa"/>
            <w:tcBorders>
              <w:top w:val="single" w:sz="6" w:space="0" w:color="auto"/>
              <w:left w:val="single" w:sz="4" w:space="0" w:color="auto"/>
              <w:bottom w:val="single" w:sz="6" w:space="0" w:color="auto"/>
              <w:right w:val="single" w:sz="6" w:space="0" w:color="auto"/>
            </w:tcBorders>
            <w:hideMark/>
          </w:tcPr>
          <w:p w14:paraId="2E2D65A7" w14:textId="77777777" w:rsidR="00C81100" w:rsidRDefault="00C81100" w:rsidP="00AD2F6B">
            <w:pPr>
              <w:pStyle w:val="TAC"/>
              <w:rPr>
                <w:rFonts w:cs="Arial"/>
                <w:lang w:val="sv-SE"/>
              </w:rPr>
            </w:pPr>
            <w:r>
              <w:rPr>
                <w:rFonts w:cs="Arial"/>
              </w:rPr>
              <w:t>-115</w:t>
            </w:r>
          </w:p>
        </w:tc>
        <w:tc>
          <w:tcPr>
            <w:tcW w:w="992" w:type="dxa"/>
            <w:tcBorders>
              <w:top w:val="single" w:sz="6" w:space="0" w:color="auto"/>
              <w:left w:val="single" w:sz="4" w:space="0" w:color="auto"/>
              <w:bottom w:val="single" w:sz="6" w:space="0" w:color="auto"/>
              <w:right w:val="single" w:sz="6" w:space="0" w:color="auto"/>
            </w:tcBorders>
          </w:tcPr>
          <w:p w14:paraId="1EA18705" w14:textId="77777777" w:rsidR="00C81100" w:rsidRDefault="00C81100" w:rsidP="00AD2F6B">
            <w:pPr>
              <w:pStyle w:val="TAC"/>
              <w:rPr>
                <w:rFonts w:cs="Arial"/>
                <w:lang w:val="sv-SE"/>
              </w:rPr>
            </w:pPr>
            <w:r>
              <w:rPr>
                <w:rFonts w:cs="Arial"/>
              </w:rPr>
              <w:t>-112</w:t>
            </w:r>
          </w:p>
        </w:tc>
        <w:tc>
          <w:tcPr>
            <w:tcW w:w="993" w:type="dxa"/>
            <w:tcBorders>
              <w:top w:val="single" w:sz="6" w:space="0" w:color="auto"/>
              <w:left w:val="single" w:sz="6" w:space="0" w:color="auto"/>
              <w:bottom w:val="single" w:sz="6" w:space="0" w:color="auto"/>
              <w:right w:val="single" w:sz="6" w:space="0" w:color="auto"/>
            </w:tcBorders>
            <w:hideMark/>
          </w:tcPr>
          <w:p w14:paraId="35C58C01"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7698DD40" w14:textId="77777777" w:rsidR="00C81100" w:rsidRDefault="00C81100" w:rsidP="00AD2F6B">
            <w:pPr>
              <w:pStyle w:val="TAC"/>
            </w:pPr>
            <w:r>
              <w:t>-50</w:t>
            </w:r>
          </w:p>
        </w:tc>
      </w:tr>
      <w:tr w:rsidR="00C81100" w14:paraId="566D354F" w14:textId="77777777" w:rsidTr="00AD2F6B">
        <w:trPr>
          <w:jc w:val="center"/>
        </w:trPr>
        <w:tc>
          <w:tcPr>
            <w:tcW w:w="1027" w:type="dxa"/>
            <w:tcBorders>
              <w:top w:val="nil"/>
              <w:left w:val="single" w:sz="4" w:space="0" w:color="auto"/>
              <w:bottom w:val="nil"/>
              <w:right w:val="single" w:sz="6" w:space="0" w:color="auto"/>
            </w:tcBorders>
          </w:tcPr>
          <w:p w14:paraId="2511A02C" w14:textId="77777777" w:rsidR="00C81100" w:rsidRDefault="00C81100" w:rsidP="00AD2F6B">
            <w:pPr>
              <w:pStyle w:val="TAC"/>
            </w:pPr>
          </w:p>
        </w:tc>
        <w:tc>
          <w:tcPr>
            <w:tcW w:w="1030" w:type="dxa"/>
            <w:tcBorders>
              <w:top w:val="nil"/>
              <w:left w:val="single" w:sz="6" w:space="0" w:color="auto"/>
              <w:bottom w:val="nil"/>
              <w:right w:val="single" w:sz="6" w:space="0" w:color="auto"/>
            </w:tcBorders>
          </w:tcPr>
          <w:p w14:paraId="303A8B75" w14:textId="77777777" w:rsidR="00C81100" w:rsidRDefault="00C81100" w:rsidP="00AD2F6B">
            <w:pPr>
              <w:pStyle w:val="TAC"/>
            </w:pPr>
          </w:p>
        </w:tc>
        <w:tc>
          <w:tcPr>
            <w:tcW w:w="915" w:type="dxa"/>
            <w:tcBorders>
              <w:top w:val="nil"/>
              <w:left w:val="single" w:sz="6" w:space="0" w:color="auto"/>
              <w:bottom w:val="nil"/>
              <w:right w:val="single" w:sz="6" w:space="0" w:color="auto"/>
            </w:tcBorders>
          </w:tcPr>
          <w:p w14:paraId="5104C851"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3F85A9D6" w14:textId="77777777" w:rsidR="00C81100" w:rsidRDefault="00C81100" w:rsidP="00AD2F6B">
            <w:pPr>
              <w:pStyle w:val="TAC"/>
              <w:rPr>
                <w:lang w:eastAsia="zh-CN"/>
              </w:rPr>
            </w:pPr>
            <w:r>
              <w:rPr>
                <w:lang w:eastAsia="zh-CN"/>
              </w:rPr>
              <w:t>NR</w:t>
            </w:r>
            <w:r>
              <w:t>_</w:t>
            </w:r>
            <w:r>
              <w:rPr>
                <w:lang w:eastAsia="zh-CN"/>
              </w:rPr>
              <w:t>FDD_FR1_H</w:t>
            </w:r>
          </w:p>
        </w:tc>
        <w:tc>
          <w:tcPr>
            <w:tcW w:w="1134" w:type="dxa"/>
            <w:tcBorders>
              <w:top w:val="single" w:sz="6" w:space="0" w:color="auto"/>
              <w:left w:val="single" w:sz="4" w:space="0" w:color="auto"/>
              <w:bottom w:val="single" w:sz="6" w:space="0" w:color="auto"/>
              <w:right w:val="single" w:sz="6" w:space="0" w:color="auto"/>
            </w:tcBorders>
            <w:hideMark/>
          </w:tcPr>
          <w:p w14:paraId="05D14B7D" w14:textId="77777777" w:rsidR="00C81100" w:rsidRDefault="00C81100" w:rsidP="00AD2F6B">
            <w:pPr>
              <w:pStyle w:val="TAC"/>
            </w:pPr>
            <w:r>
              <w:t>-117.5</w:t>
            </w:r>
          </w:p>
        </w:tc>
        <w:tc>
          <w:tcPr>
            <w:tcW w:w="992" w:type="dxa"/>
            <w:tcBorders>
              <w:top w:val="single" w:sz="6" w:space="0" w:color="auto"/>
              <w:left w:val="single" w:sz="4" w:space="0" w:color="auto"/>
              <w:bottom w:val="single" w:sz="6" w:space="0" w:color="auto"/>
              <w:right w:val="single" w:sz="6" w:space="0" w:color="auto"/>
            </w:tcBorders>
            <w:hideMark/>
          </w:tcPr>
          <w:p w14:paraId="4949BE98" w14:textId="77777777" w:rsidR="00C81100" w:rsidRDefault="00C81100" w:rsidP="00AD2F6B">
            <w:pPr>
              <w:pStyle w:val="TAC"/>
              <w:rPr>
                <w:rFonts w:cs="Arial"/>
                <w:lang w:val="sv-SE"/>
              </w:rPr>
            </w:pPr>
            <w:r>
              <w:rPr>
                <w:rFonts w:cs="Arial"/>
              </w:rPr>
              <w:t>-114.5</w:t>
            </w:r>
          </w:p>
        </w:tc>
        <w:tc>
          <w:tcPr>
            <w:tcW w:w="992" w:type="dxa"/>
            <w:tcBorders>
              <w:top w:val="single" w:sz="6" w:space="0" w:color="auto"/>
              <w:left w:val="single" w:sz="4" w:space="0" w:color="auto"/>
              <w:bottom w:val="single" w:sz="6" w:space="0" w:color="auto"/>
              <w:right w:val="single" w:sz="6" w:space="0" w:color="auto"/>
            </w:tcBorders>
          </w:tcPr>
          <w:p w14:paraId="2D21B24C" w14:textId="77777777" w:rsidR="00C81100" w:rsidRDefault="00C81100" w:rsidP="00AD2F6B">
            <w:pPr>
              <w:pStyle w:val="TAC"/>
              <w:rPr>
                <w:rFonts w:cs="Arial"/>
                <w:lang w:val="sv-SE"/>
              </w:rPr>
            </w:pPr>
            <w:r>
              <w:rPr>
                <w:rFonts w:cs="Arial"/>
              </w:rPr>
              <w:t>-111.5</w:t>
            </w:r>
          </w:p>
        </w:tc>
        <w:tc>
          <w:tcPr>
            <w:tcW w:w="993" w:type="dxa"/>
            <w:tcBorders>
              <w:top w:val="single" w:sz="6" w:space="0" w:color="auto"/>
              <w:left w:val="single" w:sz="6" w:space="0" w:color="auto"/>
              <w:bottom w:val="single" w:sz="6" w:space="0" w:color="auto"/>
              <w:right w:val="single" w:sz="6" w:space="0" w:color="auto"/>
            </w:tcBorders>
            <w:hideMark/>
          </w:tcPr>
          <w:p w14:paraId="00C1E8BA" w14:textId="77777777" w:rsidR="00C81100" w:rsidRDefault="00C81100" w:rsidP="00AD2F6B">
            <w:pPr>
              <w:pStyle w:val="TAC"/>
            </w:pPr>
            <w:r>
              <w:t>N/A</w:t>
            </w:r>
          </w:p>
        </w:tc>
        <w:tc>
          <w:tcPr>
            <w:tcW w:w="1559" w:type="dxa"/>
            <w:tcBorders>
              <w:top w:val="single" w:sz="6" w:space="0" w:color="auto"/>
              <w:left w:val="single" w:sz="6" w:space="0" w:color="auto"/>
              <w:bottom w:val="single" w:sz="6" w:space="0" w:color="auto"/>
              <w:right w:val="single" w:sz="4" w:space="0" w:color="auto"/>
            </w:tcBorders>
            <w:hideMark/>
          </w:tcPr>
          <w:p w14:paraId="2A09D641" w14:textId="77777777" w:rsidR="00C81100" w:rsidRDefault="00C81100" w:rsidP="00AD2F6B">
            <w:pPr>
              <w:pStyle w:val="TAC"/>
            </w:pPr>
            <w:r>
              <w:t>-50</w:t>
            </w:r>
          </w:p>
        </w:tc>
      </w:tr>
      <w:tr w:rsidR="00C81100" w14:paraId="4B55212C" w14:textId="77777777" w:rsidTr="00AD2F6B">
        <w:trPr>
          <w:jc w:val="center"/>
        </w:trPr>
        <w:tc>
          <w:tcPr>
            <w:tcW w:w="10485" w:type="dxa"/>
            <w:gridSpan w:val="9"/>
            <w:tcBorders>
              <w:top w:val="single" w:sz="6" w:space="0" w:color="auto"/>
              <w:left w:val="single" w:sz="4" w:space="0" w:color="auto"/>
              <w:bottom w:val="single" w:sz="4" w:space="0" w:color="auto"/>
              <w:right w:val="single" w:sz="4" w:space="0" w:color="auto"/>
            </w:tcBorders>
            <w:vAlign w:val="center"/>
            <w:hideMark/>
          </w:tcPr>
          <w:p w14:paraId="009A85F4" w14:textId="77777777" w:rsidR="006055B0" w:rsidRDefault="006055B0" w:rsidP="006055B0">
            <w:pPr>
              <w:pStyle w:val="TAN"/>
            </w:pPr>
            <w:r>
              <w:t>NOTE 1:</w:t>
            </w:r>
            <w:r>
              <w:tab/>
              <w:t>Io is assumed to have constant EPRE across the bandwidth.</w:t>
            </w:r>
          </w:p>
          <w:p w14:paraId="4311A1A1" w14:textId="77777777" w:rsidR="006055B0" w:rsidRDefault="006055B0" w:rsidP="006055B0">
            <w:pPr>
              <w:pStyle w:val="TAN"/>
            </w:pPr>
            <w:r>
              <w:t>NOTE 2:</w:t>
            </w:r>
            <w:r>
              <w:tab/>
              <w:t>The parameter CSI-RS CMR Ês/Iot is the minimum CMR CMR Ês/Iot of the pair of CSI-RS resources to which the requirement applies.</w:t>
            </w:r>
          </w:p>
          <w:p w14:paraId="16727BFA" w14:textId="77777777" w:rsidR="006055B0" w:rsidRDefault="006055B0" w:rsidP="006055B0">
            <w:pPr>
              <w:pStyle w:val="TAN"/>
            </w:pPr>
            <w:r>
              <w:t>NOTE 3:</w:t>
            </w:r>
            <w:r>
              <w:tab/>
              <w:t>NR operating band groups in FR1 are as defined in clause 3.5.2.</w:t>
            </w:r>
          </w:p>
          <w:p w14:paraId="68060E07" w14:textId="410AE6A2" w:rsidR="00C81100" w:rsidRDefault="006055B0" w:rsidP="006055B0">
            <w:pPr>
              <w:pStyle w:val="TAN"/>
            </w:pPr>
            <w:r w:rsidRPr="009C5807">
              <w:rPr>
                <w:rFonts w:cs="Arial"/>
              </w:rPr>
              <w:t xml:space="preserve">NOTE </w:t>
            </w:r>
            <w:r>
              <w:rPr>
                <w:rFonts w:cs="Arial"/>
              </w:rPr>
              <w:t>4</w:t>
            </w:r>
            <w:r w:rsidRPr="009C5807">
              <w:rPr>
                <w:rFonts w:cs="Arial"/>
              </w:rPr>
              <w:t>:</w:t>
            </w:r>
            <w:r w:rsidRPr="009C5807">
              <w:rPr>
                <w:rFonts w:cs="Arial"/>
              </w:rPr>
              <w:tab/>
              <w:t xml:space="preserve">The requirements apply for </w:t>
            </w:r>
            <w:r w:rsidRPr="009D3FB7">
              <w:rPr>
                <w:rFonts w:cs="Arial"/>
              </w:rPr>
              <w:t>CSI-RS CMR</w:t>
            </w:r>
            <w:r>
              <w:rPr>
                <w:rFonts w:cs="Arial"/>
              </w:rPr>
              <w:t xml:space="preserve"> </w:t>
            </w:r>
            <w:r w:rsidRPr="009C5807">
              <w:rPr>
                <w:rFonts w:cs="Arial"/>
              </w:rPr>
              <w:t xml:space="preserve">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1BE66DC7" w14:textId="77777777" w:rsidR="00C81100" w:rsidRDefault="00C81100" w:rsidP="00C81100">
      <w:pPr>
        <w:rPr>
          <w:rFonts w:eastAsia="?? ??"/>
        </w:rPr>
      </w:pPr>
    </w:p>
    <w:p w14:paraId="24268D13" w14:textId="77777777" w:rsidR="00C81100" w:rsidRDefault="00C81100" w:rsidP="0039227E">
      <w:pPr>
        <w:pStyle w:val="Heading4"/>
        <w:rPr>
          <w:lang w:val="en-US"/>
        </w:rPr>
      </w:pPr>
      <w:r>
        <w:rPr>
          <w:lang w:val="en-US"/>
        </w:rPr>
        <w:t>10.1.27.2</w:t>
      </w:r>
      <w:r>
        <w:rPr>
          <w:lang w:val="en-US"/>
        </w:rPr>
        <w:tab/>
        <w:t>L1-SINR accuracy requirements with SSB based CMR and dedicated IMR configured</w:t>
      </w:r>
    </w:p>
    <w:p w14:paraId="75FEDAF4" w14:textId="77777777" w:rsidR="00C81100" w:rsidRDefault="00C81100" w:rsidP="0039227E">
      <w:pPr>
        <w:pStyle w:val="Heading5"/>
      </w:pPr>
      <w:r>
        <w:t>10.1.27.2.1</w:t>
      </w:r>
      <w:r>
        <w:tab/>
        <w:t>Absolute Accuracy</w:t>
      </w:r>
    </w:p>
    <w:p w14:paraId="4D22C6AA" w14:textId="77777777" w:rsidR="00C81100" w:rsidRDefault="00C81100" w:rsidP="00C81100">
      <w:pPr>
        <w:rPr>
          <w:rFonts w:cs="v4.2.0"/>
        </w:rPr>
      </w:pPr>
      <w:r>
        <w:rPr>
          <w:rFonts w:cs="v4.2.0"/>
        </w:rPr>
        <w:t>Unless otherwise specified, the requirements for absolute accuracy of SSB based L1-SINR in this clause apply to all SSBs configured as CMR and dedicated resources configured as IMR of the serving cell configured for L1-SINR measurement.</w:t>
      </w:r>
    </w:p>
    <w:p w14:paraId="4A2C43B2" w14:textId="77777777" w:rsidR="00C81100" w:rsidRDefault="00C81100" w:rsidP="00C81100">
      <w:pPr>
        <w:rPr>
          <w:rFonts w:cs="v4.2.0"/>
        </w:rPr>
      </w:pPr>
      <w:r>
        <w:rPr>
          <w:rFonts w:cs="v4.2.0"/>
        </w:rPr>
        <w:t xml:space="preserve">The accuracy requirements are defined in Table </w:t>
      </w:r>
      <w:bookmarkStart w:id="19" w:name="_Hlk53324613"/>
      <w:r>
        <w:rPr>
          <w:rFonts w:cs="v4.2.0"/>
        </w:rPr>
        <w:t xml:space="preserve">10.1.27.2.1-1 </w:t>
      </w:r>
      <w:bookmarkEnd w:id="19"/>
      <w:r>
        <w:rPr>
          <w:rFonts w:cs="v4.2.0"/>
        </w:rPr>
        <w:t>for SSB based CMR and NZP-IMR and in Table 10.1.27</w:t>
      </w:r>
      <w:r w:rsidRPr="00313499">
        <w:rPr>
          <w:rFonts w:cs="v4.2.0"/>
        </w:rPr>
        <w:t>.2.1-</w:t>
      </w:r>
      <w:r>
        <w:rPr>
          <w:rFonts w:cs="v4.2.0"/>
        </w:rPr>
        <w:t xml:space="preserve">2 for SSB based CMR and ZP-IMR. </w:t>
      </w:r>
    </w:p>
    <w:p w14:paraId="1F2DD8A3" w14:textId="77777777" w:rsidR="00C81100" w:rsidRDefault="00C81100" w:rsidP="00C81100">
      <w:pPr>
        <w:rPr>
          <w:rFonts w:cs="v4.2.0"/>
        </w:rPr>
      </w:pPr>
      <w:r>
        <w:rPr>
          <w:rFonts w:cs="v4.2.0"/>
        </w:rPr>
        <w:t>The accuracy requirements in Tables 10.1.27.2.1-1 and 10.1.27.2.1-2 are valid under the following conditions:</w:t>
      </w:r>
    </w:p>
    <w:p w14:paraId="3CDC97F1" w14:textId="77777777" w:rsidR="00C81100" w:rsidRDefault="00C81100" w:rsidP="00C81100">
      <w:pPr>
        <w:pStyle w:val="B10"/>
      </w:pPr>
      <w:r>
        <w:t>-</w:t>
      </w:r>
      <w:r>
        <w:tab/>
        <w:t>Conditions defined in clause 7.3 of TS 38.101-1 [18] for reference sensitivity are fulfilled.</w:t>
      </w:r>
    </w:p>
    <w:p w14:paraId="75BDD143" w14:textId="0A98B6EE" w:rsidR="00C81100" w:rsidRDefault="00C81100" w:rsidP="00C81100">
      <w:pPr>
        <w:pStyle w:val="B10"/>
      </w:pPr>
      <w:r w:rsidRPr="009C5807">
        <w:rPr>
          <w:rFonts w:eastAsia="PMingLiU"/>
        </w:rPr>
        <w:t>-</w:t>
      </w:r>
      <w:r w:rsidRPr="009C5807">
        <w:rPr>
          <w:rFonts w:eastAsia="PMingLiU"/>
        </w:rPr>
        <w:tab/>
      </w:r>
      <w:r w:rsidRPr="009C5807">
        <w:t>Conditions for L1-</w:t>
      </w:r>
      <w:r>
        <w:t>SINR</w:t>
      </w:r>
      <w:r w:rsidRPr="009C5807">
        <w:t xml:space="preserve"> measurements are f</w:t>
      </w:r>
      <w:r>
        <w:t>ulfilled according to Annex B.2</w:t>
      </w:r>
      <w:r w:rsidR="00FA41EA">
        <w:t>.8.2</w:t>
      </w:r>
      <w:r w:rsidRPr="009C5807">
        <w:t xml:space="preserve"> for a corresponding Band </w:t>
      </w:r>
      <w:r w:rsidRPr="009C5807">
        <w:rPr>
          <w:rFonts w:eastAsia="PMingLiU"/>
        </w:rPr>
        <w:t>for each relevant SSB</w:t>
      </w:r>
      <w:r>
        <w:rPr>
          <w:rFonts w:eastAsia="PMingLiU"/>
        </w:rPr>
        <w:t xml:space="preserve"> based CMR and IMR</w:t>
      </w:r>
      <w:r w:rsidRPr="009C5807">
        <w:t>.</w:t>
      </w:r>
    </w:p>
    <w:p w14:paraId="0E11F9F1" w14:textId="77777777" w:rsidR="00C81100" w:rsidRDefault="00C81100" w:rsidP="00C81100">
      <w:pPr>
        <w:pStyle w:val="B10"/>
        <w:rPr>
          <w:lang w:eastAsia="zh-CN"/>
        </w:rPr>
      </w:pPr>
      <w:bookmarkStart w:id="20" w:name="_Hlk53385889"/>
      <w:r>
        <w:rPr>
          <w:lang w:eastAsia="zh-CN"/>
        </w:rPr>
        <w:t>-</w:t>
      </w:r>
      <w:r>
        <w:rPr>
          <w:lang w:eastAsia="zh-CN"/>
        </w:rPr>
        <w:tab/>
        <w:t>The bandwidth of NZP-IMR and ZP-IMR is 48 PRBs and the density is 3.</w:t>
      </w:r>
    </w:p>
    <w:p w14:paraId="62AE5D1A" w14:textId="253C3CEA" w:rsidR="00C81100" w:rsidRDefault="00C81100" w:rsidP="00C81100">
      <w:pPr>
        <w:pStyle w:val="B10"/>
        <w:rPr>
          <w:lang w:eastAsia="zh-CN"/>
        </w:rPr>
      </w:pPr>
      <w:r>
        <w:rPr>
          <w:lang w:eastAsia="zh-CN"/>
        </w:rPr>
        <w:t>-</w:t>
      </w:r>
      <w:r>
        <w:rPr>
          <w:lang w:eastAsia="zh-CN"/>
        </w:rPr>
        <w:tab/>
        <w:t>AWGN</w:t>
      </w:r>
      <w:r w:rsidR="00FA41EA" w:rsidRPr="00FB249D">
        <w:t xml:space="preserve"> </w:t>
      </w:r>
      <w:r w:rsidR="00FA41EA" w:rsidRPr="00B910B8">
        <w:t>radio propagation conditions</w:t>
      </w:r>
      <w:r>
        <w:rPr>
          <w:lang w:eastAsia="zh-CN"/>
        </w:rPr>
        <w:t>.</w:t>
      </w:r>
      <w:bookmarkEnd w:id="20"/>
    </w:p>
    <w:p w14:paraId="5636A462" w14:textId="1CB4BE5A" w:rsidR="00C81100" w:rsidRDefault="00C81100" w:rsidP="003852A9">
      <w:pPr>
        <w:rPr>
          <w:lang w:eastAsia="zh-CN"/>
        </w:rPr>
      </w:pPr>
      <w:r>
        <w:rPr>
          <w:lang w:eastAsia="zh-CN"/>
        </w:rPr>
        <w:t>The performance with larger bandwidth of NZP-IMR and ZP-IMR is equal to or better than the accuracy requirements in Tables 10.1.27.2.1-1 and 10.1.27.2.1-2.</w:t>
      </w:r>
    </w:p>
    <w:p w14:paraId="5CF74D3F" w14:textId="77777777" w:rsidR="003852A9" w:rsidRPr="00012E84" w:rsidRDefault="003852A9" w:rsidP="003852A9">
      <w:pPr>
        <w:rPr>
          <w:lang w:eastAsia="zh-CN"/>
        </w:rPr>
      </w:pPr>
    </w:p>
    <w:p w14:paraId="094D19B3" w14:textId="77777777" w:rsidR="00C81100" w:rsidRPr="00ED42F6" w:rsidRDefault="00C81100" w:rsidP="00C81100">
      <w:pPr>
        <w:pStyle w:val="TH"/>
      </w:pPr>
      <w:r>
        <w:t>Table 10.1.27.2.1-1: L1-SINR absolute accuracy for SSB based CMR and NZP-IMR in FR1</w:t>
      </w:r>
    </w:p>
    <w:tbl>
      <w:tblPr>
        <w:tblW w:w="10172" w:type="dxa"/>
        <w:jc w:val="center"/>
        <w:tblLook w:val="01E0" w:firstRow="1" w:lastRow="1" w:firstColumn="1" w:lastColumn="1" w:noHBand="0" w:noVBand="0"/>
      </w:tblPr>
      <w:tblGrid>
        <w:gridCol w:w="1031"/>
        <w:gridCol w:w="1026"/>
        <w:gridCol w:w="923"/>
        <w:gridCol w:w="11"/>
        <w:gridCol w:w="696"/>
        <w:gridCol w:w="1701"/>
        <w:gridCol w:w="928"/>
        <w:gridCol w:w="976"/>
        <w:gridCol w:w="1440"/>
        <w:gridCol w:w="1440"/>
      </w:tblGrid>
      <w:tr w:rsidR="00C81100" w14:paraId="2EEA6CBF" w14:textId="77777777" w:rsidTr="00AD2F6B">
        <w:trPr>
          <w:jc w:val="center"/>
        </w:trPr>
        <w:tc>
          <w:tcPr>
            <w:tcW w:w="2057" w:type="dxa"/>
            <w:gridSpan w:val="2"/>
            <w:tcBorders>
              <w:top w:val="single" w:sz="4" w:space="0" w:color="auto"/>
              <w:left w:val="single" w:sz="4" w:space="0" w:color="auto"/>
              <w:bottom w:val="single" w:sz="6" w:space="0" w:color="auto"/>
              <w:right w:val="single" w:sz="6" w:space="0" w:color="auto"/>
            </w:tcBorders>
            <w:vAlign w:val="center"/>
            <w:hideMark/>
          </w:tcPr>
          <w:p w14:paraId="6DDF9030" w14:textId="77777777" w:rsidR="00C81100" w:rsidRDefault="00C81100" w:rsidP="00AD2F6B">
            <w:pPr>
              <w:pStyle w:val="TAH"/>
            </w:pPr>
            <w:bookmarkStart w:id="21" w:name="_Hlk63015785"/>
            <w:r>
              <w:t>Accuracy</w:t>
            </w:r>
          </w:p>
        </w:tc>
        <w:tc>
          <w:tcPr>
            <w:tcW w:w="8115" w:type="dxa"/>
            <w:gridSpan w:val="8"/>
            <w:tcBorders>
              <w:top w:val="single" w:sz="4" w:space="0" w:color="auto"/>
              <w:left w:val="single" w:sz="6" w:space="0" w:color="auto"/>
              <w:bottom w:val="single" w:sz="6" w:space="0" w:color="auto"/>
              <w:right w:val="single" w:sz="4" w:space="0" w:color="auto"/>
            </w:tcBorders>
            <w:vAlign w:val="center"/>
            <w:hideMark/>
          </w:tcPr>
          <w:p w14:paraId="34AB6910" w14:textId="77777777" w:rsidR="00C81100" w:rsidRDefault="00C81100" w:rsidP="00AD2F6B">
            <w:pPr>
              <w:pStyle w:val="TAH"/>
            </w:pPr>
            <w:r>
              <w:t>Conditions</w:t>
            </w:r>
          </w:p>
        </w:tc>
      </w:tr>
      <w:tr w:rsidR="00C81100" w14:paraId="5D90B12E" w14:textId="77777777" w:rsidTr="00AD2F6B">
        <w:trPr>
          <w:jc w:val="center"/>
        </w:trPr>
        <w:tc>
          <w:tcPr>
            <w:tcW w:w="1031" w:type="dxa"/>
            <w:tcBorders>
              <w:top w:val="single" w:sz="6" w:space="0" w:color="auto"/>
              <w:left w:val="single" w:sz="4" w:space="0" w:color="auto"/>
              <w:bottom w:val="nil"/>
              <w:right w:val="single" w:sz="6" w:space="0" w:color="auto"/>
            </w:tcBorders>
            <w:vAlign w:val="center"/>
            <w:hideMark/>
          </w:tcPr>
          <w:p w14:paraId="725A9E5F" w14:textId="77777777" w:rsidR="00C81100" w:rsidRDefault="00C81100" w:rsidP="00AD2F6B">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197A8B30" w14:textId="77777777" w:rsidR="00C81100" w:rsidRDefault="00C81100" w:rsidP="00AD2F6B">
            <w:pPr>
              <w:pStyle w:val="TAH"/>
            </w:pPr>
            <w:r>
              <w:t>Extreme condition</w:t>
            </w:r>
          </w:p>
        </w:tc>
        <w:tc>
          <w:tcPr>
            <w:tcW w:w="923" w:type="dxa"/>
            <w:tcBorders>
              <w:top w:val="single" w:sz="6" w:space="0" w:color="auto"/>
              <w:left w:val="single" w:sz="6" w:space="0" w:color="auto"/>
              <w:bottom w:val="nil"/>
              <w:right w:val="single" w:sz="6" w:space="0" w:color="auto"/>
            </w:tcBorders>
            <w:vAlign w:val="center"/>
            <w:hideMark/>
          </w:tcPr>
          <w:p w14:paraId="0D3A80D7" w14:textId="77777777" w:rsidR="00C81100" w:rsidRDefault="00C81100" w:rsidP="00AD2F6B">
            <w:pPr>
              <w:pStyle w:val="TAH"/>
            </w:pPr>
            <w:r>
              <w:t xml:space="preserve">SSB- </w:t>
            </w:r>
          </w:p>
          <w:p w14:paraId="186D67C3" w14:textId="77777777" w:rsidR="00C81100" w:rsidRDefault="00C81100" w:rsidP="00AD2F6B">
            <w:pPr>
              <w:pStyle w:val="TAH"/>
            </w:pPr>
            <w:r>
              <w:t>CMR</w:t>
            </w:r>
          </w:p>
          <w:p w14:paraId="38326B66" w14:textId="77777777" w:rsidR="00C81100" w:rsidRDefault="00C81100" w:rsidP="00AD2F6B">
            <w:pPr>
              <w:pStyle w:val="TAH"/>
            </w:pPr>
            <w:r>
              <w:t>Ês/Iot</w:t>
            </w:r>
          </w:p>
        </w:tc>
        <w:tc>
          <w:tcPr>
            <w:tcW w:w="707" w:type="dxa"/>
            <w:gridSpan w:val="2"/>
            <w:tcBorders>
              <w:top w:val="single" w:sz="6" w:space="0" w:color="auto"/>
              <w:left w:val="single" w:sz="6" w:space="0" w:color="auto"/>
              <w:bottom w:val="nil"/>
              <w:right w:val="single" w:sz="6" w:space="0" w:color="auto"/>
            </w:tcBorders>
            <w:vAlign w:val="center"/>
          </w:tcPr>
          <w:p w14:paraId="014EED71" w14:textId="77777777" w:rsidR="00C81100" w:rsidRDefault="00C81100" w:rsidP="00AD2F6B">
            <w:pPr>
              <w:pStyle w:val="TAH"/>
            </w:pPr>
            <w:r>
              <w:t>NZP-IMR</w:t>
            </w:r>
          </w:p>
          <w:p w14:paraId="4BF7C32B" w14:textId="77777777" w:rsidR="00C81100" w:rsidRDefault="00C81100" w:rsidP="00AD2F6B">
            <w:pPr>
              <w:pStyle w:val="TAH"/>
            </w:pPr>
            <w:r>
              <w:t>Ês/Iot</w:t>
            </w:r>
          </w:p>
        </w:tc>
        <w:tc>
          <w:tcPr>
            <w:tcW w:w="6485" w:type="dxa"/>
            <w:gridSpan w:val="5"/>
            <w:tcBorders>
              <w:top w:val="single" w:sz="6" w:space="0" w:color="auto"/>
              <w:left w:val="single" w:sz="6" w:space="0" w:color="auto"/>
              <w:bottom w:val="single" w:sz="6" w:space="0" w:color="auto"/>
              <w:right w:val="single" w:sz="4" w:space="0" w:color="auto"/>
            </w:tcBorders>
            <w:vAlign w:val="center"/>
            <w:hideMark/>
          </w:tcPr>
          <w:p w14:paraId="7B072E85" w14:textId="77777777" w:rsidR="00C81100" w:rsidRDefault="00C81100" w:rsidP="00AD2F6B">
            <w:pPr>
              <w:pStyle w:val="TAH"/>
            </w:pPr>
            <w:r>
              <w:t>Io</w:t>
            </w:r>
            <w:r>
              <w:rPr>
                <w:vertAlign w:val="superscript"/>
              </w:rPr>
              <w:t xml:space="preserve"> Note 1</w:t>
            </w:r>
            <w:r>
              <w:t xml:space="preserve"> range</w:t>
            </w:r>
          </w:p>
        </w:tc>
      </w:tr>
      <w:tr w:rsidR="00C81100" w14:paraId="336327E7" w14:textId="77777777" w:rsidTr="00AD2F6B">
        <w:trPr>
          <w:jc w:val="center"/>
        </w:trPr>
        <w:tc>
          <w:tcPr>
            <w:tcW w:w="1031" w:type="dxa"/>
            <w:tcBorders>
              <w:top w:val="nil"/>
              <w:left w:val="single" w:sz="4" w:space="0" w:color="auto"/>
              <w:bottom w:val="single" w:sz="6" w:space="0" w:color="auto"/>
              <w:right w:val="single" w:sz="6" w:space="0" w:color="auto"/>
            </w:tcBorders>
            <w:vAlign w:val="center"/>
          </w:tcPr>
          <w:p w14:paraId="12EA1E23"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3A92D1D3" w14:textId="77777777" w:rsidR="00C81100" w:rsidRDefault="00C81100" w:rsidP="00AD2F6B">
            <w:pPr>
              <w:pStyle w:val="TAH"/>
            </w:pPr>
          </w:p>
        </w:tc>
        <w:tc>
          <w:tcPr>
            <w:tcW w:w="934" w:type="dxa"/>
            <w:gridSpan w:val="2"/>
            <w:tcBorders>
              <w:top w:val="nil"/>
              <w:left w:val="single" w:sz="6" w:space="0" w:color="auto"/>
              <w:bottom w:val="single" w:sz="6" w:space="0" w:color="auto"/>
              <w:right w:val="single" w:sz="6" w:space="0" w:color="auto"/>
            </w:tcBorders>
            <w:vAlign w:val="center"/>
          </w:tcPr>
          <w:p w14:paraId="2D884C77" w14:textId="77777777" w:rsidR="00C81100" w:rsidRDefault="00C81100" w:rsidP="00AD2F6B">
            <w:pPr>
              <w:pStyle w:val="TAH"/>
            </w:pPr>
          </w:p>
        </w:tc>
        <w:tc>
          <w:tcPr>
            <w:tcW w:w="696" w:type="dxa"/>
            <w:tcBorders>
              <w:top w:val="nil"/>
              <w:left w:val="single" w:sz="6" w:space="0" w:color="auto"/>
              <w:bottom w:val="single" w:sz="6" w:space="0" w:color="auto"/>
              <w:right w:val="single" w:sz="6" w:space="0" w:color="auto"/>
            </w:tcBorders>
            <w:vAlign w:val="center"/>
          </w:tcPr>
          <w:p w14:paraId="60EA4FA3" w14:textId="77777777" w:rsidR="00C81100" w:rsidRDefault="00C81100" w:rsidP="00AD2F6B">
            <w:pPr>
              <w:pStyle w:val="TAH"/>
            </w:pPr>
          </w:p>
        </w:tc>
        <w:tc>
          <w:tcPr>
            <w:tcW w:w="1701" w:type="dxa"/>
            <w:tcBorders>
              <w:top w:val="single" w:sz="6" w:space="0" w:color="auto"/>
              <w:left w:val="single" w:sz="6" w:space="0" w:color="auto"/>
              <w:bottom w:val="single" w:sz="6" w:space="0" w:color="auto"/>
              <w:right w:val="single" w:sz="4" w:space="0" w:color="auto"/>
            </w:tcBorders>
            <w:vAlign w:val="center"/>
            <w:hideMark/>
          </w:tcPr>
          <w:p w14:paraId="17FE1B53" w14:textId="77777777" w:rsidR="00C81100" w:rsidRDefault="00C81100" w:rsidP="00AD2F6B">
            <w:pPr>
              <w:pStyle w:val="TAH"/>
            </w:pPr>
            <w:r>
              <w:t>NR operating band groups</w:t>
            </w:r>
            <w:r>
              <w:rPr>
                <w:vertAlign w:val="superscript"/>
              </w:rPr>
              <w:t xml:space="preserve"> Note 2</w:t>
            </w:r>
          </w:p>
        </w:tc>
        <w:tc>
          <w:tcPr>
            <w:tcW w:w="3344" w:type="dxa"/>
            <w:gridSpan w:val="3"/>
            <w:tcBorders>
              <w:top w:val="single" w:sz="4" w:space="0" w:color="auto"/>
              <w:left w:val="single" w:sz="4" w:space="0" w:color="auto"/>
              <w:bottom w:val="single" w:sz="6" w:space="0" w:color="auto"/>
              <w:right w:val="single" w:sz="6" w:space="0" w:color="auto"/>
            </w:tcBorders>
            <w:vAlign w:val="center"/>
            <w:hideMark/>
          </w:tcPr>
          <w:p w14:paraId="0A6B0357" w14:textId="77777777" w:rsidR="00C81100" w:rsidRDefault="00C811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466BDF52" w14:textId="77777777" w:rsidR="00C81100" w:rsidRDefault="00C81100" w:rsidP="00AD2F6B">
            <w:pPr>
              <w:pStyle w:val="TAH"/>
            </w:pPr>
            <w:r>
              <w:t>Maximum Io</w:t>
            </w:r>
          </w:p>
        </w:tc>
      </w:tr>
      <w:tr w:rsidR="00C81100" w14:paraId="76E4DDAD" w14:textId="77777777" w:rsidTr="00AD2F6B">
        <w:trPr>
          <w:trHeight w:val="308"/>
          <w:jc w:val="center"/>
        </w:trPr>
        <w:tc>
          <w:tcPr>
            <w:tcW w:w="1031" w:type="dxa"/>
            <w:tcBorders>
              <w:top w:val="single" w:sz="6" w:space="0" w:color="auto"/>
              <w:left w:val="single" w:sz="4" w:space="0" w:color="auto"/>
              <w:bottom w:val="nil"/>
              <w:right w:val="single" w:sz="6" w:space="0" w:color="auto"/>
            </w:tcBorders>
            <w:vAlign w:val="center"/>
            <w:hideMark/>
          </w:tcPr>
          <w:p w14:paraId="7DFE9DF5" w14:textId="77777777" w:rsidR="00C81100" w:rsidRDefault="00C81100" w:rsidP="00AD2F6B">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2BFEC66D" w14:textId="77777777" w:rsidR="00C81100" w:rsidRDefault="00C81100" w:rsidP="00AD2F6B">
            <w:pPr>
              <w:pStyle w:val="TAH"/>
            </w:pPr>
            <w:r>
              <w:t>dB</w:t>
            </w:r>
          </w:p>
        </w:tc>
        <w:tc>
          <w:tcPr>
            <w:tcW w:w="934" w:type="dxa"/>
            <w:gridSpan w:val="2"/>
            <w:tcBorders>
              <w:top w:val="single" w:sz="6" w:space="0" w:color="auto"/>
              <w:left w:val="single" w:sz="6" w:space="0" w:color="auto"/>
              <w:bottom w:val="nil"/>
              <w:right w:val="single" w:sz="6" w:space="0" w:color="auto"/>
            </w:tcBorders>
            <w:vAlign w:val="center"/>
            <w:hideMark/>
          </w:tcPr>
          <w:p w14:paraId="680F1857" w14:textId="77777777" w:rsidR="00C81100" w:rsidRDefault="00C81100" w:rsidP="00AD2F6B">
            <w:pPr>
              <w:pStyle w:val="TAH"/>
            </w:pPr>
            <w:r>
              <w:t>dB</w:t>
            </w:r>
          </w:p>
        </w:tc>
        <w:tc>
          <w:tcPr>
            <w:tcW w:w="696" w:type="dxa"/>
            <w:tcBorders>
              <w:top w:val="single" w:sz="6" w:space="0" w:color="auto"/>
              <w:left w:val="single" w:sz="6" w:space="0" w:color="auto"/>
              <w:bottom w:val="nil"/>
              <w:right w:val="single" w:sz="6" w:space="0" w:color="auto"/>
            </w:tcBorders>
            <w:vAlign w:val="center"/>
          </w:tcPr>
          <w:p w14:paraId="2625AC28" w14:textId="77777777" w:rsidR="00C81100" w:rsidRDefault="00C81100" w:rsidP="00AD2F6B">
            <w:pPr>
              <w:pStyle w:val="TAH"/>
            </w:pPr>
            <w:r>
              <w:t>dB</w:t>
            </w:r>
          </w:p>
        </w:tc>
        <w:tc>
          <w:tcPr>
            <w:tcW w:w="1701" w:type="dxa"/>
            <w:tcBorders>
              <w:top w:val="single" w:sz="6" w:space="0" w:color="auto"/>
              <w:left w:val="single" w:sz="6" w:space="0" w:color="auto"/>
              <w:bottom w:val="nil"/>
              <w:right w:val="single" w:sz="4" w:space="0" w:color="auto"/>
            </w:tcBorders>
            <w:vAlign w:val="center"/>
          </w:tcPr>
          <w:p w14:paraId="0E4A3940" w14:textId="77777777" w:rsidR="00C81100" w:rsidRDefault="00C81100" w:rsidP="00AD2F6B">
            <w:pPr>
              <w:pStyle w:val="TAH"/>
            </w:pPr>
          </w:p>
        </w:tc>
        <w:tc>
          <w:tcPr>
            <w:tcW w:w="1904" w:type="dxa"/>
            <w:gridSpan w:val="2"/>
            <w:tcBorders>
              <w:top w:val="single" w:sz="6" w:space="0" w:color="auto"/>
              <w:left w:val="single" w:sz="4" w:space="0" w:color="auto"/>
              <w:bottom w:val="single" w:sz="6" w:space="0" w:color="auto"/>
              <w:right w:val="single" w:sz="6" w:space="0" w:color="auto"/>
            </w:tcBorders>
            <w:vAlign w:val="center"/>
            <w:hideMark/>
          </w:tcPr>
          <w:p w14:paraId="50830100" w14:textId="77777777" w:rsidR="00C81100" w:rsidRDefault="00C81100" w:rsidP="00AD2F6B">
            <w:pPr>
              <w:pStyle w:val="TAH"/>
            </w:pPr>
            <w:r>
              <w:rPr>
                <w:rFonts w:cs="Arial"/>
              </w:rPr>
              <w:t xml:space="preserve">dBm / </w:t>
            </w:r>
            <w:r>
              <w:t>SCS</w:t>
            </w:r>
            <w:r>
              <w:rPr>
                <w:vertAlign w:val="subscript"/>
              </w:rPr>
              <w:t>SSB</w:t>
            </w:r>
          </w:p>
        </w:tc>
        <w:tc>
          <w:tcPr>
            <w:tcW w:w="1440" w:type="dxa"/>
            <w:tcBorders>
              <w:top w:val="single" w:sz="6" w:space="0" w:color="auto"/>
              <w:left w:val="single" w:sz="6" w:space="0" w:color="auto"/>
              <w:bottom w:val="nil"/>
              <w:right w:val="single" w:sz="6" w:space="0" w:color="auto"/>
            </w:tcBorders>
            <w:vAlign w:val="center"/>
            <w:hideMark/>
          </w:tcPr>
          <w:p w14:paraId="4CCA320B" w14:textId="77777777" w:rsidR="00C81100" w:rsidRDefault="00C811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03EEB00F" w14:textId="77777777" w:rsidR="00C81100" w:rsidRDefault="00C81100" w:rsidP="00AD2F6B">
            <w:pPr>
              <w:pStyle w:val="TAH"/>
            </w:pPr>
            <w:r>
              <w:t>dBm/BW</w:t>
            </w:r>
            <w:r>
              <w:rPr>
                <w:vertAlign w:val="subscript"/>
              </w:rPr>
              <w:t>Channel</w:t>
            </w:r>
          </w:p>
        </w:tc>
      </w:tr>
      <w:tr w:rsidR="00C81100" w14:paraId="49C27EEC" w14:textId="77777777" w:rsidTr="00AD2F6B">
        <w:trPr>
          <w:trHeight w:val="307"/>
          <w:jc w:val="center"/>
        </w:trPr>
        <w:tc>
          <w:tcPr>
            <w:tcW w:w="1031" w:type="dxa"/>
            <w:tcBorders>
              <w:top w:val="nil"/>
              <w:left w:val="single" w:sz="4" w:space="0" w:color="auto"/>
              <w:bottom w:val="single" w:sz="6" w:space="0" w:color="auto"/>
              <w:right w:val="single" w:sz="6" w:space="0" w:color="auto"/>
            </w:tcBorders>
          </w:tcPr>
          <w:p w14:paraId="451938D3"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tcPr>
          <w:p w14:paraId="73A5BD9B" w14:textId="77777777" w:rsidR="00C81100" w:rsidRDefault="00C81100" w:rsidP="00AD2F6B">
            <w:pPr>
              <w:pStyle w:val="TAH"/>
            </w:pPr>
          </w:p>
        </w:tc>
        <w:tc>
          <w:tcPr>
            <w:tcW w:w="934" w:type="dxa"/>
            <w:gridSpan w:val="2"/>
            <w:tcBorders>
              <w:top w:val="nil"/>
              <w:left w:val="single" w:sz="6" w:space="0" w:color="auto"/>
              <w:bottom w:val="single" w:sz="6" w:space="0" w:color="auto"/>
              <w:right w:val="single" w:sz="6" w:space="0" w:color="auto"/>
            </w:tcBorders>
          </w:tcPr>
          <w:p w14:paraId="3867E409" w14:textId="77777777" w:rsidR="00C81100" w:rsidRDefault="00C81100" w:rsidP="00AD2F6B">
            <w:pPr>
              <w:pStyle w:val="TAH"/>
            </w:pPr>
          </w:p>
        </w:tc>
        <w:tc>
          <w:tcPr>
            <w:tcW w:w="696" w:type="dxa"/>
            <w:tcBorders>
              <w:top w:val="nil"/>
              <w:left w:val="single" w:sz="6" w:space="0" w:color="auto"/>
              <w:bottom w:val="single" w:sz="6" w:space="0" w:color="auto"/>
              <w:right w:val="single" w:sz="6" w:space="0" w:color="auto"/>
            </w:tcBorders>
          </w:tcPr>
          <w:p w14:paraId="04A40983" w14:textId="77777777" w:rsidR="00C81100" w:rsidRDefault="00C81100" w:rsidP="00AD2F6B">
            <w:pPr>
              <w:pStyle w:val="TAH"/>
            </w:pPr>
          </w:p>
        </w:tc>
        <w:tc>
          <w:tcPr>
            <w:tcW w:w="1701" w:type="dxa"/>
            <w:tcBorders>
              <w:top w:val="nil"/>
              <w:left w:val="single" w:sz="6" w:space="0" w:color="auto"/>
              <w:bottom w:val="single" w:sz="6" w:space="0" w:color="auto"/>
              <w:right w:val="single" w:sz="4" w:space="0" w:color="auto"/>
            </w:tcBorders>
          </w:tcPr>
          <w:p w14:paraId="240D8AB5" w14:textId="77777777" w:rsidR="00C81100" w:rsidRDefault="00C81100" w:rsidP="00AD2F6B">
            <w:pPr>
              <w:pStyle w:val="TAH"/>
            </w:pPr>
          </w:p>
        </w:tc>
        <w:tc>
          <w:tcPr>
            <w:tcW w:w="928" w:type="dxa"/>
            <w:tcBorders>
              <w:top w:val="single" w:sz="6" w:space="0" w:color="auto"/>
              <w:left w:val="single" w:sz="4" w:space="0" w:color="auto"/>
              <w:bottom w:val="single" w:sz="6" w:space="0" w:color="auto"/>
              <w:right w:val="single" w:sz="6" w:space="0" w:color="auto"/>
            </w:tcBorders>
            <w:hideMark/>
          </w:tcPr>
          <w:p w14:paraId="368F0A5C" w14:textId="77777777" w:rsidR="00C81100" w:rsidRDefault="00C81100" w:rsidP="00AD2F6B">
            <w:pPr>
              <w:pStyle w:val="TAH"/>
              <w:rPr>
                <w:rFonts w:cs="Arial"/>
              </w:rPr>
            </w:pPr>
            <w:r>
              <w:t>SCS</w:t>
            </w:r>
            <w:r>
              <w:rPr>
                <w:vertAlign w:val="subscript"/>
              </w:rPr>
              <w:t>SSB</w:t>
            </w:r>
            <w:r>
              <w:rPr>
                <w:rFonts w:cs="Arial"/>
              </w:rPr>
              <w:t xml:space="preserve"> = 15 kHz</w:t>
            </w:r>
          </w:p>
        </w:tc>
        <w:tc>
          <w:tcPr>
            <w:tcW w:w="976" w:type="dxa"/>
            <w:tcBorders>
              <w:top w:val="single" w:sz="6" w:space="0" w:color="auto"/>
              <w:left w:val="single" w:sz="4" w:space="0" w:color="auto"/>
              <w:bottom w:val="single" w:sz="6" w:space="0" w:color="auto"/>
              <w:right w:val="single" w:sz="6" w:space="0" w:color="auto"/>
            </w:tcBorders>
            <w:hideMark/>
          </w:tcPr>
          <w:p w14:paraId="288D45A3" w14:textId="77777777" w:rsidR="00C81100" w:rsidRDefault="00C81100" w:rsidP="00AD2F6B">
            <w:pPr>
              <w:pStyle w:val="TAH"/>
              <w:rPr>
                <w:rFonts w:cs="Arial"/>
              </w:rPr>
            </w:pPr>
            <w:r>
              <w:t>SCS</w:t>
            </w:r>
            <w:r>
              <w:rPr>
                <w:vertAlign w:val="subscript"/>
              </w:rPr>
              <w:t>SSB</w:t>
            </w:r>
            <w:r>
              <w:rPr>
                <w:rFonts w:cs="Arial"/>
              </w:rPr>
              <w:t xml:space="preserve"> = 30 kHz</w:t>
            </w:r>
          </w:p>
        </w:tc>
        <w:tc>
          <w:tcPr>
            <w:tcW w:w="1440" w:type="dxa"/>
            <w:tcBorders>
              <w:top w:val="nil"/>
              <w:left w:val="single" w:sz="6" w:space="0" w:color="auto"/>
              <w:bottom w:val="single" w:sz="6" w:space="0" w:color="auto"/>
              <w:right w:val="single" w:sz="6" w:space="0" w:color="auto"/>
            </w:tcBorders>
          </w:tcPr>
          <w:p w14:paraId="4EB54C5D" w14:textId="77777777" w:rsidR="00C81100" w:rsidRDefault="00C81100" w:rsidP="00AD2F6B">
            <w:pPr>
              <w:pStyle w:val="TAH"/>
            </w:pPr>
          </w:p>
        </w:tc>
        <w:tc>
          <w:tcPr>
            <w:tcW w:w="1440" w:type="dxa"/>
            <w:tcBorders>
              <w:top w:val="nil"/>
              <w:left w:val="single" w:sz="6" w:space="0" w:color="auto"/>
              <w:bottom w:val="single" w:sz="6" w:space="0" w:color="auto"/>
              <w:right w:val="single" w:sz="4" w:space="0" w:color="auto"/>
            </w:tcBorders>
          </w:tcPr>
          <w:p w14:paraId="1C3F76EF" w14:textId="77777777" w:rsidR="00C81100" w:rsidRDefault="00C81100" w:rsidP="00AD2F6B">
            <w:pPr>
              <w:pStyle w:val="TAH"/>
            </w:pPr>
          </w:p>
        </w:tc>
      </w:tr>
      <w:tr w:rsidR="00C81100" w14:paraId="080383C5" w14:textId="77777777" w:rsidTr="00AD2F6B">
        <w:trPr>
          <w:jc w:val="center"/>
        </w:trPr>
        <w:tc>
          <w:tcPr>
            <w:tcW w:w="1031" w:type="dxa"/>
            <w:tcBorders>
              <w:top w:val="single" w:sz="6" w:space="0" w:color="auto"/>
              <w:left w:val="single" w:sz="4" w:space="0" w:color="auto"/>
              <w:bottom w:val="nil"/>
              <w:right w:val="single" w:sz="6" w:space="0" w:color="auto"/>
            </w:tcBorders>
          </w:tcPr>
          <w:p w14:paraId="458C043E" w14:textId="77777777" w:rsidR="00C81100" w:rsidRDefault="00C81100" w:rsidP="00AD2F6B">
            <w:pPr>
              <w:pStyle w:val="TAC"/>
            </w:pPr>
          </w:p>
        </w:tc>
        <w:tc>
          <w:tcPr>
            <w:tcW w:w="1026" w:type="dxa"/>
            <w:tcBorders>
              <w:top w:val="single" w:sz="6" w:space="0" w:color="auto"/>
              <w:left w:val="single" w:sz="6" w:space="0" w:color="auto"/>
              <w:bottom w:val="nil"/>
              <w:right w:val="single" w:sz="6" w:space="0" w:color="auto"/>
            </w:tcBorders>
          </w:tcPr>
          <w:p w14:paraId="278B9691" w14:textId="77777777" w:rsidR="00C81100" w:rsidRDefault="00C81100" w:rsidP="00AD2F6B">
            <w:pPr>
              <w:pStyle w:val="TAC"/>
            </w:pPr>
          </w:p>
        </w:tc>
        <w:tc>
          <w:tcPr>
            <w:tcW w:w="934" w:type="dxa"/>
            <w:gridSpan w:val="2"/>
            <w:tcBorders>
              <w:top w:val="single" w:sz="6" w:space="0" w:color="auto"/>
              <w:left w:val="single" w:sz="6" w:space="0" w:color="auto"/>
              <w:bottom w:val="nil"/>
              <w:right w:val="single" w:sz="6" w:space="0" w:color="auto"/>
            </w:tcBorders>
          </w:tcPr>
          <w:p w14:paraId="311BFC90" w14:textId="77777777" w:rsidR="00C81100" w:rsidRDefault="00C81100" w:rsidP="00AD2F6B">
            <w:pPr>
              <w:pStyle w:val="TAC"/>
            </w:pPr>
          </w:p>
        </w:tc>
        <w:tc>
          <w:tcPr>
            <w:tcW w:w="696" w:type="dxa"/>
            <w:tcBorders>
              <w:top w:val="single" w:sz="6" w:space="0" w:color="auto"/>
              <w:left w:val="single" w:sz="6" w:space="0" w:color="auto"/>
              <w:bottom w:val="nil"/>
              <w:right w:val="single" w:sz="6" w:space="0" w:color="auto"/>
            </w:tcBorders>
          </w:tcPr>
          <w:p w14:paraId="19B4E985"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4C6F588D" w14:textId="77777777" w:rsidR="00C81100" w:rsidRDefault="00C81100" w:rsidP="00AD2F6B">
            <w:pPr>
              <w:pStyle w:val="TAC"/>
            </w:pPr>
            <w:r>
              <w:t>NR_FDD_FR1_A, NR_TDD_FR1_A, NR_SDL_FR1_A</w:t>
            </w:r>
          </w:p>
        </w:tc>
        <w:tc>
          <w:tcPr>
            <w:tcW w:w="928" w:type="dxa"/>
            <w:tcBorders>
              <w:top w:val="single" w:sz="6" w:space="0" w:color="auto"/>
              <w:left w:val="single" w:sz="4" w:space="0" w:color="auto"/>
              <w:bottom w:val="single" w:sz="6" w:space="0" w:color="auto"/>
              <w:right w:val="single" w:sz="6" w:space="0" w:color="auto"/>
            </w:tcBorders>
            <w:hideMark/>
          </w:tcPr>
          <w:p w14:paraId="66A4ECC4" w14:textId="77777777" w:rsidR="00C81100" w:rsidRDefault="00C81100" w:rsidP="00AD2F6B">
            <w:pPr>
              <w:pStyle w:val="TAC"/>
            </w:pPr>
            <w:r>
              <w:t>-121</w:t>
            </w:r>
          </w:p>
        </w:tc>
        <w:tc>
          <w:tcPr>
            <w:tcW w:w="976" w:type="dxa"/>
            <w:tcBorders>
              <w:top w:val="single" w:sz="6" w:space="0" w:color="auto"/>
              <w:left w:val="single" w:sz="4" w:space="0" w:color="auto"/>
              <w:bottom w:val="single" w:sz="6" w:space="0" w:color="auto"/>
              <w:right w:val="single" w:sz="6" w:space="0" w:color="auto"/>
            </w:tcBorders>
            <w:hideMark/>
          </w:tcPr>
          <w:p w14:paraId="601C0959" w14:textId="77777777" w:rsidR="00C81100" w:rsidRDefault="00C81100" w:rsidP="00AD2F6B">
            <w:pPr>
              <w:pStyle w:val="TAC"/>
            </w:pPr>
            <w:r>
              <w:t>-118</w:t>
            </w:r>
          </w:p>
        </w:tc>
        <w:tc>
          <w:tcPr>
            <w:tcW w:w="1440" w:type="dxa"/>
            <w:tcBorders>
              <w:top w:val="single" w:sz="6" w:space="0" w:color="auto"/>
              <w:left w:val="single" w:sz="6" w:space="0" w:color="auto"/>
              <w:bottom w:val="single" w:sz="6" w:space="0" w:color="auto"/>
              <w:right w:val="single" w:sz="6" w:space="0" w:color="auto"/>
            </w:tcBorders>
            <w:hideMark/>
          </w:tcPr>
          <w:p w14:paraId="2E9F759F"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67029E2" w14:textId="77777777" w:rsidR="00C81100" w:rsidRDefault="00C81100" w:rsidP="00AD2F6B">
            <w:pPr>
              <w:pStyle w:val="TAC"/>
            </w:pPr>
            <w:r>
              <w:t>-50</w:t>
            </w:r>
          </w:p>
        </w:tc>
      </w:tr>
      <w:tr w:rsidR="00C81100" w14:paraId="16CA9AA0" w14:textId="77777777" w:rsidTr="00AD2F6B">
        <w:trPr>
          <w:jc w:val="center"/>
        </w:trPr>
        <w:tc>
          <w:tcPr>
            <w:tcW w:w="1031" w:type="dxa"/>
            <w:tcBorders>
              <w:top w:val="nil"/>
              <w:left w:val="single" w:sz="4" w:space="0" w:color="auto"/>
              <w:bottom w:val="nil"/>
              <w:right w:val="single" w:sz="6" w:space="0" w:color="auto"/>
            </w:tcBorders>
          </w:tcPr>
          <w:p w14:paraId="09E2C6AE"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BECB7D5"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2355502E"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1AF1BA79"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468B6B8E" w14:textId="77777777" w:rsidR="00C81100" w:rsidRDefault="00C81100" w:rsidP="00AD2F6B">
            <w:pPr>
              <w:pStyle w:val="TAC"/>
            </w:pPr>
            <w:r>
              <w:t>NR_FDD_FR1_B</w:t>
            </w:r>
          </w:p>
        </w:tc>
        <w:tc>
          <w:tcPr>
            <w:tcW w:w="928" w:type="dxa"/>
            <w:tcBorders>
              <w:top w:val="single" w:sz="6" w:space="0" w:color="auto"/>
              <w:left w:val="single" w:sz="4" w:space="0" w:color="auto"/>
              <w:bottom w:val="single" w:sz="6" w:space="0" w:color="auto"/>
              <w:right w:val="single" w:sz="6" w:space="0" w:color="auto"/>
            </w:tcBorders>
            <w:hideMark/>
          </w:tcPr>
          <w:p w14:paraId="6DA9F7E1" w14:textId="77777777" w:rsidR="00C81100" w:rsidRDefault="00C81100" w:rsidP="00AD2F6B">
            <w:pPr>
              <w:pStyle w:val="TAC"/>
            </w:pPr>
            <w:r>
              <w:t>-120.5</w:t>
            </w:r>
          </w:p>
        </w:tc>
        <w:tc>
          <w:tcPr>
            <w:tcW w:w="976" w:type="dxa"/>
            <w:tcBorders>
              <w:top w:val="single" w:sz="6" w:space="0" w:color="auto"/>
              <w:left w:val="single" w:sz="4" w:space="0" w:color="auto"/>
              <w:bottom w:val="single" w:sz="6" w:space="0" w:color="auto"/>
              <w:right w:val="single" w:sz="6" w:space="0" w:color="auto"/>
            </w:tcBorders>
            <w:hideMark/>
          </w:tcPr>
          <w:p w14:paraId="2C977604" w14:textId="77777777" w:rsidR="00C81100" w:rsidRDefault="00C81100" w:rsidP="00AD2F6B">
            <w:pPr>
              <w:pStyle w:val="TAC"/>
              <w:rPr>
                <w:lang w:val="sv-SE"/>
              </w:rPr>
            </w:pPr>
            <w:r>
              <w:t>-117.5</w:t>
            </w:r>
          </w:p>
        </w:tc>
        <w:tc>
          <w:tcPr>
            <w:tcW w:w="1440" w:type="dxa"/>
            <w:tcBorders>
              <w:top w:val="single" w:sz="6" w:space="0" w:color="auto"/>
              <w:left w:val="single" w:sz="6" w:space="0" w:color="auto"/>
              <w:bottom w:val="single" w:sz="6" w:space="0" w:color="auto"/>
              <w:right w:val="single" w:sz="6" w:space="0" w:color="auto"/>
            </w:tcBorders>
            <w:hideMark/>
          </w:tcPr>
          <w:p w14:paraId="499733EC"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8AFAE9D" w14:textId="77777777" w:rsidR="00C81100" w:rsidRDefault="00C81100" w:rsidP="00AD2F6B">
            <w:pPr>
              <w:pStyle w:val="TAC"/>
            </w:pPr>
            <w:r>
              <w:t>-50</w:t>
            </w:r>
          </w:p>
        </w:tc>
      </w:tr>
      <w:tr w:rsidR="00C81100" w14:paraId="194F45D6" w14:textId="77777777" w:rsidTr="00AD2F6B">
        <w:trPr>
          <w:jc w:val="center"/>
        </w:trPr>
        <w:tc>
          <w:tcPr>
            <w:tcW w:w="1031" w:type="dxa"/>
            <w:tcBorders>
              <w:top w:val="nil"/>
              <w:left w:val="single" w:sz="4" w:space="0" w:color="auto"/>
              <w:bottom w:val="nil"/>
              <w:right w:val="single" w:sz="6" w:space="0" w:color="auto"/>
            </w:tcBorders>
          </w:tcPr>
          <w:p w14:paraId="759A9A94"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47291148"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0D88D831"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55DA8BE4"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3C359D98" w14:textId="77777777" w:rsidR="00C81100" w:rsidRDefault="00C81100" w:rsidP="00AD2F6B">
            <w:pPr>
              <w:pStyle w:val="TAC"/>
            </w:pPr>
            <w:r>
              <w:t>NR_TDD_FR1_C</w:t>
            </w:r>
          </w:p>
        </w:tc>
        <w:tc>
          <w:tcPr>
            <w:tcW w:w="928" w:type="dxa"/>
            <w:tcBorders>
              <w:top w:val="single" w:sz="6" w:space="0" w:color="auto"/>
              <w:left w:val="single" w:sz="4" w:space="0" w:color="auto"/>
              <w:bottom w:val="single" w:sz="6" w:space="0" w:color="auto"/>
              <w:right w:val="single" w:sz="6" w:space="0" w:color="auto"/>
            </w:tcBorders>
            <w:hideMark/>
          </w:tcPr>
          <w:p w14:paraId="6FEB9C0B" w14:textId="77777777" w:rsidR="00C81100" w:rsidRDefault="00C81100" w:rsidP="00AD2F6B">
            <w:pPr>
              <w:pStyle w:val="TAC"/>
            </w:pPr>
            <w:r>
              <w:t>-120</w:t>
            </w:r>
          </w:p>
        </w:tc>
        <w:tc>
          <w:tcPr>
            <w:tcW w:w="976" w:type="dxa"/>
            <w:tcBorders>
              <w:top w:val="single" w:sz="6" w:space="0" w:color="auto"/>
              <w:left w:val="single" w:sz="4" w:space="0" w:color="auto"/>
              <w:bottom w:val="single" w:sz="6" w:space="0" w:color="auto"/>
              <w:right w:val="single" w:sz="6" w:space="0" w:color="auto"/>
            </w:tcBorders>
            <w:hideMark/>
          </w:tcPr>
          <w:p w14:paraId="3CCE4B4E" w14:textId="77777777" w:rsidR="00C81100" w:rsidRDefault="00C81100" w:rsidP="00AD2F6B">
            <w:pPr>
              <w:pStyle w:val="TAC"/>
              <w:rPr>
                <w:lang w:val="sv-SE"/>
              </w:rPr>
            </w:pPr>
            <w:r>
              <w:t>-117</w:t>
            </w:r>
          </w:p>
        </w:tc>
        <w:tc>
          <w:tcPr>
            <w:tcW w:w="1440" w:type="dxa"/>
            <w:tcBorders>
              <w:top w:val="single" w:sz="6" w:space="0" w:color="auto"/>
              <w:left w:val="single" w:sz="6" w:space="0" w:color="auto"/>
              <w:bottom w:val="single" w:sz="6" w:space="0" w:color="auto"/>
              <w:right w:val="single" w:sz="6" w:space="0" w:color="auto"/>
            </w:tcBorders>
            <w:hideMark/>
          </w:tcPr>
          <w:p w14:paraId="512BCC2C"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8448FD9" w14:textId="77777777" w:rsidR="00C81100" w:rsidRDefault="00C81100" w:rsidP="00AD2F6B">
            <w:pPr>
              <w:pStyle w:val="TAC"/>
            </w:pPr>
            <w:r>
              <w:t>-50</w:t>
            </w:r>
          </w:p>
        </w:tc>
      </w:tr>
      <w:tr w:rsidR="00C81100" w14:paraId="15D34D74" w14:textId="77777777" w:rsidTr="00AD2F6B">
        <w:trPr>
          <w:jc w:val="center"/>
        </w:trPr>
        <w:tc>
          <w:tcPr>
            <w:tcW w:w="1031" w:type="dxa"/>
            <w:tcBorders>
              <w:top w:val="nil"/>
              <w:left w:val="single" w:sz="4" w:space="0" w:color="auto"/>
              <w:bottom w:val="nil"/>
              <w:right w:val="single" w:sz="6" w:space="0" w:color="auto"/>
            </w:tcBorders>
            <w:hideMark/>
          </w:tcPr>
          <w:p w14:paraId="1136D998" w14:textId="77777777" w:rsidR="00C81100" w:rsidRDefault="00C81100" w:rsidP="00AD2F6B">
            <w:pPr>
              <w:pStyle w:val="TAC"/>
            </w:pPr>
            <w:r>
              <w:rPr>
                <w:rFonts w:cs="Arial"/>
              </w:rPr>
              <w:t>±</w:t>
            </w:r>
            <w:r>
              <w:t>4.0</w:t>
            </w:r>
          </w:p>
        </w:tc>
        <w:tc>
          <w:tcPr>
            <w:tcW w:w="1026" w:type="dxa"/>
            <w:tcBorders>
              <w:top w:val="nil"/>
              <w:left w:val="single" w:sz="6" w:space="0" w:color="auto"/>
              <w:bottom w:val="nil"/>
              <w:right w:val="single" w:sz="6" w:space="0" w:color="auto"/>
            </w:tcBorders>
            <w:hideMark/>
          </w:tcPr>
          <w:p w14:paraId="00464E33" w14:textId="77777777" w:rsidR="00C81100" w:rsidRDefault="00C81100" w:rsidP="00AD2F6B">
            <w:pPr>
              <w:pStyle w:val="TAC"/>
            </w:pPr>
            <w:r>
              <w:rPr>
                <w:rFonts w:cs="Arial"/>
              </w:rPr>
              <w:t>±</w:t>
            </w:r>
            <w:r>
              <w:t>5.0</w:t>
            </w:r>
          </w:p>
        </w:tc>
        <w:tc>
          <w:tcPr>
            <w:tcW w:w="934" w:type="dxa"/>
            <w:gridSpan w:val="2"/>
            <w:tcBorders>
              <w:top w:val="nil"/>
              <w:left w:val="single" w:sz="6" w:space="0" w:color="auto"/>
              <w:bottom w:val="nil"/>
              <w:right w:val="single" w:sz="6" w:space="0" w:color="auto"/>
            </w:tcBorders>
            <w:hideMark/>
          </w:tcPr>
          <w:p w14:paraId="2432B3ED" w14:textId="77777777" w:rsidR="00C81100" w:rsidRDefault="00C81100" w:rsidP="00AD2F6B">
            <w:pPr>
              <w:pStyle w:val="TAC"/>
            </w:pPr>
            <w:r>
              <w:sym w:font="Symbol" w:char="F0B3"/>
            </w:r>
            <w:r>
              <w:t>0</w:t>
            </w:r>
          </w:p>
        </w:tc>
        <w:tc>
          <w:tcPr>
            <w:tcW w:w="696" w:type="dxa"/>
            <w:tcBorders>
              <w:top w:val="nil"/>
              <w:left w:val="single" w:sz="6" w:space="0" w:color="auto"/>
              <w:bottom w:val="nil"/>
              <w:right w:val="single" w:sz="6" w:space="0" w:color="auto"/>
            </w:tcBorders>
          </w:tcPr>
          <w:p w14:paraId="482D43D2" w14:textId="77777777" w:rsidR="00C81100" w:rsidRDefault="00C81100" w:rsidP="00AD2F6B">
            <w:pPr>
              <w:pStyle w:val="TAC"/>
            </w:pPr>
            <w:r>
              <w:sym w:font="Symbol" w:char="F0B3"/>
            </w:r>
            <w:r>
              <w:t>0</w:t>
            </w:r>
          </w:p>
        </w:tc>
        <w:tc>
          <w:tcPr>
            <w:tcW w:w="1701" w:type="dxa"/>
            <w:tcBorders>
              <w:top w:val="single" w:sz="6" w:space="0" w:color="auto"/>
              <w:left w:val="single" w:sz="6" w:space="0" w:color="auto"/>
              <w:bottom w:val="single" w:sz="6" w:space="0" w:color="auto"/>
              <w:right w:val="single" w:sz="4" w:space="0" w:color="auto"/>
            </w:tcBorders>
            <w:hideMark/>
          </w:tcPr>
          <w:p w14:paraId="0B8FA469" w14:textId="77777777" w:rsidR="00C81100" w:rsidRDefault="00C81100" w:rsidP="00AD2F6B">
            <w:pPr>
              <w:pStyle w:val="TAC"/>
              <w:rPr>
                <w:lang w:val="sv-SE"/>
              </w:rPr>
            </w:pPr>
            <w:r>
              <w:rPr>
                <w:lang w:val="sv-SE"/>
              </w:rPr>
              <w:t>NR_FDD_FR1_D, NR_TDD_FR1_D</w:t>
            </w:r>
          </w:p>
        </w:tc>
        <w:tc>
          <w:tcPr>
            <w:tcW w:w="928" w:type="dxa"/>
            <w:tcBorders>
              <w:top w:val="single" w:sz="6" w:space="0" w:color="auto"/>
              <w:left w:val="single" w:sz="4" w:space="0" w:color="auto"/>
              <w:bottom w:val="single" w:sz="6" w:space="0" w:color="auto"/>
              <w:right w:val="single" w:sz="6" w:space="0" w:color="auto"/>
            </w:tcBorders>
            <w:hideMark/>
          </w:tcPr>
          <w:p w14:paraId="20A310CF" w14:textId="77777777" w:rsidR="00C81100" w:rsidRDefault="00C81100" w:rsidP="00AD2F6B">
            <w:pPr>
              <w:pStyle w:val="TAC"/>
            </w:pPr>
            <w:r>
              <w:t>-119.5</w:t>
            </w:r>
          </w:p>
        </w:tc>
        <w:tc>
          <w:tcPr>
            <w:tcW w:w="976" w:type="dxa"/>
            <w:tcBorders>
              <w:top w:val="single" w:sz="6" w:space="0" w:color="auto"/>
              <w:left w:val="single" w:sz="4" w:space="0" w:color="auto"/>
              <w:bottom w:val="single" w:sz="6" w:space="0" w:color="auto"/>
              <w:right w:val="single" w:sz="6" w:space="0" w:color="auto"/>
            </w:tcBorders>
            <w:hideMark/>
          </w:tcPr>
          <w:p w14:paraId="2AC8A5AC" w14:textId="77777777" w:rsidR="00C81100" w:rsidRDefault="00C81100" w:rsidP="00AD2F6B">
            <w:pPr>
              <w:pStyle w:val="TAC"/>
            </w:pPr>
            <w:r>
              <w:t>-116.5</w:t>
            </w:r>
          </w:p>
        </w:tc>
        <w:tc>
          <w:tcPr>
            <w:tcW w:w="1440" w:type="dxa"/>
            <w:tcBorders>
              <w:top w:val="single" w:sz="6" w:space="0" w:color="auto"/>
              <w:left w:val="single" w:sz="6" w:space="0" w:color="auto"/>
              <w:bottom w:val="single" w:sz="6" w:space="0" w:color="auto"/>
              <w:right w:val="single" w:sz="6" w:space="0" w:color="auto"/>
            </w:tcBorders>
            <w:hideMark/>
          </w:tcPr>
          <w:p w14:paraId="6E889478"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8B4A965" w14:textId="77777777" w:rsidR="00C81100" w:rsidRDefault="00C81100" w:rsidP="00AD2F6B">
            <w:pPr>
              <w:pStyle w:val="TAC"/>
            </w:pPr>
            <w:r>
              <w:t>-50</w:t>
            </w:r>
          </w:p>
        </w:tc>
      </w:tr>
      <w:tr w:rsidR="00C81100" w14:paraId="5F8B723F" w14:textId="77777777" w:rsidTr="00AD2F6B">
        <w:trPr>
          <w:jc w:val="center"/>
        </w:trPr>
        <w:tc>
          <w:tcPr>
            <w:tcW w:w="1031" w:type="dxa"/>
            <w:tcBorders>
              <w:top w:val="nil"/>
              <w:left w:val="single" w:sz="4" w:space="0" w:color="auto"/>
              <w:bottom w:val="nil"/>
              <w:right w:val="single" w:sz="6" w:space="0" w:color="auto"/>
            </w:tcBorders>
          </w:tcPr>
          <w:p w14:paraId="664F12BC"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028EADF6"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36B46CEA"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42C32FD7"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550F2BFD" w14:textId="77777777" w:rsidR="00C81100" w:rsidRDefault="00C81100" w:rsidP="00AD2F6B">
            <w:pPr>
              <w:pStyle w:val="TAC"/>
              <w:rPr>
                <w:lang w:val="sv-SE"/>
              </w:rPr>
            </w:pPr>
            <w:r>
              <w:rPr>
                <w:lang w:val="sv-SE"/>
              </w:rPr>
              <w:t>NR_FDD_FR1_E, NR_TDD_FR1_E</w:t>
            </w:r>
          </w:p>
        </w:tc>
        <w:tc>
          <w:tcPr>
            <w:tcW w:w="928" w:type="dxa"/>
            <w:tcBorders>
              <w:top w:val="single" w:sz="6" w:space="0" w:color="auto"/>
              <w:left w:val="single" w:sz="4" w:space="0" w:color="auto"/>
              <w:bottom w:val="single" w:sz="6" w:space="0" w:color="auto"/>
              <w:right w:val="single" w:sz="6" w:space="0" w:color="auto"/>
            </w:tcBorders>
            <w:hideMark/>
          </w:tcPr>
          <w:p w14:paraId="42175D6E" w14:textId="77777777" w:rsidR="00C81100" w:rsidRDefault="00C81100" w:rsidP="00AD2F6B">
            <w:pPr>
              <w:pStyle w:val="TAC"/>
            </w:pPr>
            <w:r>
              <w:t>-119</w:t>
            </w:r>
          </w:p>
        </w:tc>
        <w:tc>
          <w:tcPr>
            <w:tcW w:w="976" w:type="dxa"/>
            <w:tcBorders>
              <w:top w:val="single" w:sz="6" w:space="0" w:color="auto"/>
              <w:left w:val="single" w:sz="4" w:space="0" w:color="auto"/>
              <w:bottom w:val="single" w:sz="6" w:space="0" w:color="auto"/>
              <w:right w:val="single" w:sz="6" w:space="0" w:color="auto"/>
            </w:tcBorders>
            <w:hideMark/>
          </w:tcPr>
          <w:p w14:paraId="15681A9B" w14:textId="77777777" w:rsidR="00C81100" w:rsidRDefault="00C81100" w:rsidP="00AD2F6B">
            <w:pPr>
              <w:pStyle w:val="TAC"/>
              <w:rPr>
                <w:lang w:val="sv-SE"/>
              </w:rPr>
            </w:pPr>
            <w:r>
              <w:t>-116</w:t>
            </w:r>
          </w:p>
        </w:tc>
        <w:tc>
          <w:tcPr>
            <w:tcW w:w="1440" w:type="dxa"/>
            <w:tcBorders>
              <w:top w:val="single" w:sz="6" w:space="0" w:color="auto"/>
              <w:left w:val="single" w:sz="6" w:space="0" w:color="auto"/>
              <w:bottom w:val="single" w:sz="6" w:space="0" w:color="auto"/>
              <w:right w:val="single" w:sz="6" w:space="0" w:color="auto"/>
            </w:tcBorders>
            <w:hideMark/>
          </w:tcPr>
          <w:p w14:paraId="55D17763"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FDDEAF4" w14:textId="77777777" w:rsidR="00C81100" w:rsidRDefault="00C81100" w:rsidP="00AD2F6B">
            <w:pPr>
              <w:pStyle w:val="TAC"/>
            </w:pPr>
            <w:r>
              <w:t>-50</w:t>
            </w:r>
          </w:p>
        </w:tc>
      </w:tr>
      <w:tr w:rsidR="00C81100" w14:paraId="0BDDF02B" w14:textId="77777777" w:rsidTr="00AD2F6B">
        <w:trPr>
          <w:jc w:val="center"/>
        </w:trPr>
        <w:tc>
          <w:tcPr>
            <w:tcW w:w="1031" w:type="dxa"/>
            <w:tcBorders>
              <w:top w:val="nil"/>
              <w:left w:val="single" w:sz="4" w:space="0" w:color="auto"/>
              <w:bottom w:val="nil"/>
              <w:right w:val="single" w:sz="6" w:space="0" w:color="auto"/>
            </w:tcBorders>
          </w:tcPr>
          <w:p w14:paraId="03AAD267"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4B566207"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4BFB919D"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0D0E2388"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7275D6AB" w14:textId="77777777" w:rsidR="00C81100" w:rsidRDefault="00C81100" w:rsidP="00AD2F6B">
            <w:pPr>
              <w:pStyle w:val="TAC"/>
              <w:rPr>
                <w:lang w:val="sv-SE"/>
              </w:rPr>
            </w:pPr>
            <w:r>
              <w:rPr>
                <w:lang w:eastAsia="zh-CN"/>
              </w:rPr>
              <w:t>NR_FDD_FR1_F</w:t>
            </w:r>
          </w:p>
        </w:tc>
        <w:tc>
          <w:tcPr>
            <w:tcW w:w="928" w:type="dxa"/>
            <w:tcBorders>
              <w:top w:val="single" w:sz="6" w:space="0" w:color="auto"/>
              <w:left w:val="single" w:sz="4" w:space="0" w:color="auto"/>
              <w:bottom w:val="single" w:sz="6" w:space="0" w:color="auto"/>
              <w:right w:val="single" w:sz="6" w:space="0" w:color="auto"/>
            </w:tcBorders>
            <w:hideMark/>
          </w:tcPr>
          <w:p w14:paraId="2DB95C27" w14:textId="77777777" w:rsidR="00C81100" w:rsidRDefault="00C81100" w:rsidP="00AD2F6B">
            <w:pPr>
              <w:pStyle w:val="TAC"/>
            </w:pPr>
            <w:r>
              <w:t>-118.5</w:t>
            </w:r>
          </w:p>
        </w:tc>
        <w:tc>
          <w:tcPr>
            <w:tcW w:w="976" w:type="dxa"/>
            <w:tcBorders>
              <w:top w:val="single" w:sz="6" w:space="0" w:color="auto"/>
              <w:left w:val="single" w:sz="4" w:space="0" w:color="auto"/>
              <w:bottom w:val="single" w:sz="6" w:space="0" w:color="auto"/>
              <w:right w:val="single" w:sz="6" w:space="0" w:color="auto"/>
            </w:tcBorders>
            <w:hideMark/>
          </w:tcPr>
          <w:p w14:paraId="3B110BBA" w14:textId="77777777" w:rsidR="00C81100" w:rsidRDefault="00C81100" w:rsidP="00AD2F6B">
            <w:pPr>
              <w:pStyle w:val="TAC"/>
            </w:pPr>
            <w:r>
              <w:t>-115.5</w:t>
            </w:r>
          </w:p>
        </w:tc>
        <w:tc>
          <w:tcPr>
            <w:tcW w:w="1440" w:type="dxa"/>
            <w:tcBorders>
              <w:top w:val="single" w:sz="6" w:space="0" w:color="auto"/>
              <w:left w:val="single" w:sz="6" w:space="0" w:color="auto"/>
              <w:bottom w:val="single" w:sz="6" w:space="0" w:color="auto"/>
              <w:right w:val="single" w:sz="6" w:space="0" w:color="auto"/>
            </w:tcBorders>
            <w:hideMark/>
          </w:tcPr>
          <w:p w14:paraId="17FBA3F5"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2BCDA920" w14:textId="77777777" w:rsidR="00C81100" w:rsidRDefault="00C81100" w:rsidP="00AD2F6B">
            <w:pPr>
              <w:pStyle w:val="TAC"/>
            </w:pPr>
            <w:r>
              <w:t>-50</w:t>
            </w:r>
          </w:p>
        </w:tc>
      </w:tr>
      <w:tr w:rsidR="00C81100" w14:paraId="0D7E21E6" w14:textId="77777777" w:rsidTr="00AD2F6B">
        <w:trPr>
          <w:jc w:val="center"/>
        </w:trPr>
        <w:tc>
          <w:tcPr>
            <w:tcW w:w="1031" w:type="dxa"/>
            <w:tcBorders>
              <w:top w:val="nil"/>
              <w:left w:val="single" w:sz="4" w:space="0" w:color="auto"/>
              <w:bottom w:val="nil"/>
              <w:right w:val="single" w:sz="6" w:space="0" w:color="auto"/>
            </w:tcBorders>
          </w:tcPr>
          <w:p w14:paraId="5C53564B"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04226FB0"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382370C1"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42A97055"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79474D02" w14:textId="77777777" w:rsidR="00C81100" w:rsidRDefault="00C81100" w:rsidP="00AD2F6B">
            <w:pPr>
              <w:pStyle w:val="TAC"/>
              <w:rPr>
                <w:lang w:eastAsia="zh-CN"/>
              </w:rPr>
            </w:pPr>
            <w:r>
              <w:rPr>
                <w:lang w:eastAsia="zh-CN"/>
              </w:rPr>
              <w:t>NR</w:t>
            </w:r>
            <w:r>
              <w:t>_</w:t>
            </w:r>
            <w:r>
              <w:rPr>
                <w:lang w:eastAsia="zh-CN"/>
              </w:rPr>
              <w:t>FDD_FR1_G</w:t>
            </w:r>
          </w:p>
        </w:tc>
        <w:tc>
          <w:tcPr>
            <w:tcW w:w="928" w:type="dxa"/>
            <w:tcBorders>
              <w:top w:val="single" w:sz="6" w:space="0" w:color="auto"/>
              <w:left w:val="single" w:sz="4" w:space="0" w:color="auto"/>
              <w:bottom w:val="single" w:sz="6" w:space="0" w:color="auto"/>
              <w:right w:val="single" w:sz="6" w:space="0" w:color="auto"/>
            </w:tcBorders>
            <w:hideMark/>
          </w:tcPr>
          <w:p w14:paraId="3F6247A7" w14:textId="77777777" w:rsidR="00C81100" w:rsidRDefault="00C81100" w:rsidP="00AD2F6B">
            <w:pPr>
              <w:pStyle w:val="TAC"/>
            </w:pPr>
            <w:r>
              <w:t>-118</w:t>
            </w:r>
          </w:p>
        </w:tc>
        <w:tc>
          <w:tcPr>
            <w:tcW w:w="976" w:type="dxa"/>
            <w:tcBorders>
              <w:top w:val="single" w:sz="6" w:space="0" w:color="auto"/>
              <w:left w:val="single" w:sz="4" w:space="0" w:color="auto"/>
              <w:bottom w:val="single" w:sz="6" w:space="0" w:color="auto"/>
              <w:right w:val="single" w:sz="6" w:space="0" w:color="auto"/>
            </w:tcBorders>
            <w:hideMark/>
          </w:tcPr>
          <w:p w14:paraId="3863AA4F" w14:textId="77777777" w:rsidR="00C81100" w:rsidRDefault="00C81100" w:rsidP="00AD2F6B">
            <w:pPr>
              <w:pStyle w:val="TAC"/>
              <w:rPr>
                <w:lang w:val="sv-SE"/>
              </w:rPr>
            </w:pPr>
            <w:r>
              <w:t>-115</w:t>
            </w:r>
          </w:p>
        </w:tc>
        <w:tc>
          <w:tcPr>
            <w:tcW w:w="1440" w:type="dxa"/>
            <w:tcBorders>
              <w:top w:val="single" w:sz="6" w:space="0" w:color="auto"/>
              <w:left w:val="single" w:sz="6" w:space="0" w:color="auto"/>
              <w:bottom w:val="single" w:sz="6" w:space="0" w:color="auto"/>
              <w:right w:val="single" w:sz="6" w:space="0" w:color="auto"/>
            </w:tcBorders>
            <w:hideMark/>
          </w:tcPr>
          <w:p w14:paraId="62896DF7"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D4C91B1" w14:textId="77777777" w:rsidR="00C81100" w:rsidRDefault="00C81100" w:rsidP="00AD2F6B">
            <w:pPr>
              <w:pStyle w:val="TAC"/>
            </w:pPr>
            <w:r>
              <w:t>-50</w:t>
            </w:r>
          </w:p>
        </w:tc>
      </w:tr>
      <w:tr w:rsidR="00C81100" w14:paraId="7FBF294D" w14:textId="77777777" w:rsidTr="00AD2F6B">
        <w:trPr>
          <w:jc w:val="center"/>
        </w:trPr>
        <w:tc>
          <w:tcPr>
            <w:tcW w:w="1031" w:type="dxa"/>
            <w:tcBorders>
              <w:top w:val="nil"/>
              <w:left w:val="single" w:sz="4" w:space="0" w:color="auto"/>
              <w:bottom w:val="nil"/>
              <w:right w:val="single" w:sz="6" w:space="0" w:color="auto"/>
            </w:tcBorders>
          </w:tcPr>
          <w:p w14:paraId="3AE72BED"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18D05DA"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2A266579"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1E0F8E4D"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55D2F46A" w14:textId="77777777" w:rsidR="00C81100" w:rsidRDefault="00C81100" w:rsidP="00AD2F6B">
            <w:pPr>
              <w:pStyle w:val="TAC"/>
              <w:rPr>
                <w:lang w:eastAsia="zh-CN"/>
              </w:rPr>
            </w:pPr>
            <w:r>
              <w:rPr>
                <w:lang w:eastAsia="zh-CN"/>
              </w:rPr>
              <w:t>NR</w:t>
            </w:r>
            <w:r>
              <w:t>_</w:t>
            </w:r>
            <w:r>
              <w:rPr>
                <w:lang w:eastAsia="zh-CN"/>
              </w:rPr>
              <w:t>FDD_FR1_H</w:t>
            </w:r>
          </w:p>
        </w:tc>
        <w:tc>
          <w:tcPr>
            <w:tcW w:w="928" w:type="dxa"/>
            <w:tcBorders>
              <w:top w:val="single" w:sz="6" w:space="0" w:color="auto"/>
              <w:left w:val="single" w:sz="4" w:space="0" w:color="auto"/>
              <w:bottom w:val="single" w:sz="6" w:space="0" w:color="auto"/>
              <w:right w:val="single" w:sz="6" w:space="0" w:color="auto"/>
            </w:tcBorders>
            <w:hideMark/>
          </w:tcPr>
          <w:p w14:paraId="18F77B8C" w14:textId="77777777" w:rsidR="00C81100" w:rsidRDefault="00C81100" w:rsidP="00AD2F6B">
            <w:pPr>
              <w:pStyle w:val="TAC"/>
            </w:pPr>
            <w:r>
              <w:t>-117.5</w:t>
            </w:r>
          </w:p>
        </w:tc>
        <w:tc>
          <w:tcPr>
            <w:tcW w:w="976" w:type="dxa"/>
            <w:tcBorders>
              <w:top w:val="single" w:sz="6" w:space="0" w:color="auto"/>
              <w:left w:val="single" w:sz="4" w:space="0" w:color="auto"/>
              <w:bottom w:val="single" w:sz="6" w:space="0" w:color="auto"/>
              <w:right w:val="single" w:sz="6" w:space="0" w:color="auto"/>
            </w:tcBorders>
            <w:hideMark/>
          </w:tcPr>
          <w:p w14:paraId="694B790E" w14:textId="77777777" w:rsidR="00C81100" w:rsidRDefault="00C81100" w:rsidP="00AD2F6B">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0F700E11"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8D85EF1" w14:textId="77777777" w:rsidR="00C81100" w:rsidRDefault="00C81100" w:rsidP="00AD2F6B">
            <w:pPr>
              <w:pStyle w:val="TAC"/>
            </w:pPr>
            <w:r>
              <w:t>-50</w:t>
            </w:r>
          </w:p>
        </w:tc>
      </w:tr>
      <w:tr w:rsidR="00C81100" w14:paraId="19B39EAB" w14:textId="77777777" w:rsidTr="00AD2F6B">
        <w:trPr>
          <w:jc w:val="center"/>
        </w:trPr>
        <w:tc>
          <w:tcPr>
            <w:tcW w:w="10172" w:type="dxa"/>
            <w:gridSpan w:val="10"/>
            <w:tcBorders>
              <w:top w:val="single" w:sz="6" w:space="0" w:color="auto"/>
              <w:left w:val="single" w:sz="4" w:space="0" w:color="auto"/>
              <w:bottom w:val="single" w:sz="4" w:space="0" w:color="auto"/>
              <w:right w:val="single" w:sz="4" w:space="0" w:color="auto"/>
            </w:tcBorders>
            <w:vAlign w:val="center"/>
            <w:hideMark/>
          </w:tcPr>
          <w:p w14:paraId="14373B4B" w14:textId="77777777" w:rsidR="006055B0" w:rsidRDefault="006055B0" w:rsidP="006055B0">
            <w:pPr>
              <w:pStyle w:val="TAN"/>
            </w:pPr>
            <w:r>
              <w:t>NOTE 1:</w:t>
            </w:r>
            <w:r>
              <w:tab/>
              <w:t>Io is assumed to have constant EPRE across the bandwidth.</w:t>
            </w:r>
          </w:p>
          <w:p w14:paraId="25EA7381" w14:textId="77777777" w:rsidR="006055B0" w:rsidRDefault="006055B0" w:rsidP="006055B0">
            <w:pPr>
              <w:pStyle w:val="TAN"/>
            </w:pPr>
            <w:r>
              <w:t>NOTE 2:</w:t>
            </w:r>
            <w:r>
              <w:tab/>
              <w:t>NR operating band groups in FR1 are as defined in clause 3.5.2.</w:t>
            </w:r>
          </w:p>
          <w:p w14:paraId="1AED3915" w14:textId="2E5DEBBD" w:rsidR="00C81100" w:rsidRDefault="006055B0" w:rsidP="006055B0">
            <w:pPr>
              <w:pStyle w:val="TAN"/>
            </w:pPr>
            <w:r w:rsidRPr="009C5807">
              <w:rPr>
                <w:rFonts w:cs="Arial"/>
              </w:rPr>
              <w:t xml:space="preserve">NOTE </w:t>
            </w:r>
            <w:r>
              <w:rPr>
                <w:rFonts w:cs="Arial"/>
              </w:rPr>
              <w:t>3</w:t>
            </w:r>
            <w:r w:rsidRPr="009C5807">
              <w:rPr>
                <w:rFonts w:cs="Arial"/>
              </w:rPr>
              <w:t>:</w:t>
            </w:r>
            <w:r w:rsidRPr="009C5807">
              <w:rPr>
                <w:rFonts w:cs="Arial"/>
              </w:rPr>
              <w:tab/>
              <w:t>The requirements apply for SSB</w:t>
            </w:r>
            <w:r>
              <w:rPr>
                <w:rFonts w:cs="Arial"/>
              </w:rPr>
              <w:t>-CMR</w:t>
            </w:r>
            <w:r w:rsidRPr="009C5807">
              <w:rPr>
                <w:rFonts w:cs="Arial"/>
              </w:rPr>
              <w:t xml:space="preserve"> 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bookmarkEnd w:id="21"/>
    </w:tbl>
    <w:p w14:paraId="1ADAB6E7" w14:textId="77777777" w:rsidR="00C81100" w:rsidRDefault="00C81100" w:rsidP="00C81100">
      <w:pPr>
        <w:rPr>
          <w:rFonts w:eastAsia="?? ??"/>
        </w:rPr>
      </w:pPr>
    </w:p>
    <w:p w14:paraId="5AD656F0" w14:textId="77777777" w:rsidR="00C81100" w:rsidRDefault="00C81100" w:rsidP="00C81100">
      <w:pPr>
        <w:pStyle w:val="TH"/>
      </w:pPr>
      <w:r>
        <w:t>Table 10.1.27.2.1-2: L1-SINR absolute accuracy for SSB based CMR and ZP-IMR in FR1</w:t>
      </w:r>
    </w:p>
    <w:tbl>
      <w:tblPr>
        <w:tblW w:w="10172" w:type="dxa"/>
        <w:jc w:val="center"/>
        <w:tblLook w:val="01E0" w:firstRow="1" w:lastRow="1" w:firstColumn="1" w:lastColumn="1" w:noHBand="0" w:noVBand="0"/>
      </w:tblPr>
      <w:tblGrid>
        <w:gridCol w:w="1031"/>
        <w:gridCol w:w="1026"/>
        <w:gridCol w:w="773"/>
        <w:gridCol w:w="1985"/>
        <w:gridCol w:w="1276"/>
        <w:gridCol w:w="1201"/>
        <w:gridCol w:w="1440"/>
        <w:gridCol w:w="1440"/>
      </w:tblGrid>
      <w:tr w:rsidR="00C81100" w14:paraId="2AC2BB18" w14:textId="77777777" w:rsidTr="00AD2F6B">
        <w:trPr>
          <w:jc w:val="center"/>
        </w:trPr>
        <w:tc>
          <w:tcPr>
            <w:tcW w:w="2057" w:type="dxa"/>
            <w:gridSpan w:val="2"/>
            <w:tcBorders>
              <w:top w:val="single" w:sz="4" w:space="0" w:color="auto"/>
              <w:left w:val="single" w:sz="4" w:space="0" w:color="auto"/>
              <w:bottom w:val="single" w:sz="6" w:space="0" w:color="auto"/>
              <w:right w:val="single" w:sz="6" w:space="0" w:color="auto"/>
            </w:tcBorders>
            <w:vAlign w:val="center"/>
            <w:hideMark/>
          </w:tcPr>
          <w:p w14:paraId="6BD21C49" w14:textId="77777777" w:rsidR="00C81100" w:rsidRDefault="00C81100" w:rsidP="00AD2F6B">
            <w:pPr>
              <w:pStyle w:val="TAH"/>
            </w:pPr>
            <w:r>
              <w:t>Accuracy</w:t>
            </w:r>
          </w:p>
        </w:tc>
        <w:tc>
          <w:tcPr>
            <w:tcW w:w="8115" w:type="dxa"/>
            <w:gridSpan w:val="6"/>
            <w:tcBorders>
              <w:top w:val="single" w:sz="4" w:space="0" w:color="auto"/>
              <w:left w:val="single" w:sz="6" w:space="0" w:color="auto"/>
              <w:bottom w:val="single" w:sz="6" w:space="0" w:color="auto"/>
              <w:right w:val="single" w:sz="4" w:space="0" w:color="auto"/>
            </w:tcBorders>
            <w:vAlign w:val="center"/>
            <w:hideMark/>
          </w:tcPr>
          <w:p w14:paraId="76941A52" w14:textId="77777777" w:rsidR="00C81100" w:rsidRDefault="00C81100" w:rsidP="00AD2F6B">
            <w:pPr>
              <w:pStyle w:val="TAH"/>
            </w:pPr>
            <w:r>
              <w:t>Conditions</w:t>
            </w:r>
          </w:p>
        </w:tc>
      </w:tr>
      <w:tr w:rsidR="00C81100" w14:paraId="1745A052" w14:textId="77777777" w:rsidTr="00AD2F6B">
        <w:trPr>
          <w:jc w:val="center"/>
        </w:trPr>
        <w:tc>
          <w:tcPr>
            <w:tcW w:w="1031" w:type="dxa"/>
            <w:tcBorders>
              <w:top w:val="single" w:sz="6" w:space="0" w:color="auto"/>
              <w:left w:val="single" w:sz="4" w:space="0" w:color="auto"/>
              <w:bottom w:val="nil"/>
              <w:right w:val="single" w:sz="6" w:space="0" w:color="auto"/>
            </w:tcBorders>
            <w:vAlign w:val="center"/>
            <w:hideMark/>
          </w:tcPr>
          <w:p w14:paraId="0B905293" w14:textId="77777777" w:rsidR="00C81100" w:rsidRDefault="00C81100" w:rsidP="00AD2F6B">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3ABC967D" w14:textId="77777777" w:rsidR="00C81100" w:rsidRDefault="00C81100" w:rsidP="00AD2F6B">
            <w:pPr>
              <w:pStyle w:val="TAH"/>
            </w:pPr>
            <w:r>
              <w:t>Extreme condition</w:t>
            </w:r>
          </w:p>
        </w:tc>
        <w:tc>
          <w:tcPr>
            <w:tcW w:w="773" w:type="dxa"/>
            <w:tcBorders>
              <w:top w:val="single" w:sz="6" w:space="0" w:color="auto"/>
              <w:left w:val="single" w:sz="6" w:space="0" w:color="auto"/>
              <w:bottom w:val="nil"/>
              <w:right w:val="single" w:sz="6" w:space="0" w:color="auto"/>
            </w:tcBorders>
            <w:vAlign w:val="center"/>
            <w:hideMark/>
          </w:tcPr>
          <w:p w14:paraId="6FE5FF04" w14:textId="77777777" w:rsidR="00C81100" w:rsidRDefault="00C81100" w:rsidP="00AD2F6B">
            <w:pPr>
              <w:pStyle w:val="TAH"/>
            </w:pPr>
            <w:r>
              <w:t xml:space="preserve">SSB- </w:t>
            </w:r>
          </w:p>
          <w:p w14:paraId="657532D6" w14:textId="77777777" w:rsidR="00C81100" w:rsidRDefault="00C81100" w:rsidP="00AD2F6B">
            <w:pPr>
              <w:pStyle w:val="TAH"/>
            </w:pPr>
            <w:r>
              <w:t>CMR</w:t>
            </w:r>
          </w:p>
          <w:p w14:paraId="5C2C3BA5" w14:textId="77777777" w:rsidR="00C81100" w:rsidRDefault="00C81100" w:rsidP="00AD2F6B">
            <w:pPr>
              <w:pStyle w:val="TAH"/>
            </w:pPr>
            <w:r>
              <w:t>Ês/Iot</w:t>
            </w:r>
          </w:p>
        </w:tc>
        <w:tc>
          <w:tcPr>
            <w:tcW w:w="7342" w:type="dxa"/>
            <w:gridSpan w:val="5"/>
            <w:tcBorders>
              <w:top w:val="single" w:sz="6" w:space="0" w:color="auto"/>
              <w:left w:val="single" w:sz="6" w:space="0" w:color="auto"/>
              <w:bottom w:val="single" w:sz="6" w:space="0" w:color="auto"/>
              <w:right w:val="single" w:sz="4" w:space="0" w:color="auto"/>
            </w:tcBorders>
            <w:vAlign w:val="center"/>
            <w:hideMark/>
          </w:tcPr>
          <w:p w14:paraId="27F9051B" w14:textId="77777777" w:rsidR="00C81100" w:rsidRDefault="00C81100" w:rsidP="00AD2F6B">
            <w:pPr>
              <w:pStyle w:val="TAH"/>
            </w:pPr>
            <w:r>
              <w:t>Io</w:t>
            </w:r>
            <w:r>
              <w:rPr>
                <w:vertAlign w:val="superscript"/>
              </w:rPr>
              <w:t xml:space="preserve"> Note 1</w:t>
            </w:r>
            <w:r>
              <w:t xml:space="preserve"> range</w:t>
            </w:r>
          </w:p>
        </w:tc>
      </w:tr>
      <w:tr w:rsidR="00C81100" w14:paraId="4EC617F0" w14:textId="77777777" w:rsidTr="00AD2F6B">
        <w:trPr>
          <w:jc w:val="center"/>
        </w:trPr>
        <w:tc>
          <w:tcPr>
            <w:tcW w:w="1031" w:type="dxa"/>
            <w:tcBorders>
              <w:top w:val="nil"/>
              <w:left w:val="single" w:sz="4" w:space="0" w:color="auto"/>
              <w:bottom w:val="single" w:sz="6" w:space="0" w:color="auto"/>
              <w:right w:val="single" w:sz="6" w:space="0" w:color="auto"/>
            </w:tcBorders>
            <w:vAlign w:val="center"/>
          </w:tcPr>
          <w:p w14:paraId="65243684"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394C3FCB" w14:textId="77777777" w:rsidR="00C81100" w:rsidRDefault="00C81100" w:rsidP="00AD2F6B">
            <w:pPr>
              <w:pStyle w:val="TAH"/>
            </w:pPr>
          </w:p>
        </w:tc>
        <w:tc>
          <w:tcPr>
            <w:tcW w:w="773" w:type="dxa"/>
            <w:tcBorders>
              <w:top w:val="nil"/>
              <w:left w:val="single" w:sz="6" w:space="0" w:color="auto"/>
              <w:bottom w:val="single" w:sz="6" w:space="0" w:color="auto"/>
              <w:right w:val="single" w:sz="6" w:space="0" w:color="auto"/>
            </w:tcBorders>
            <w:vAlign w:val="center"/>
          </w:tcPr>
          <w:p w14:paraId="3D38206B" w14:textId="77777777" w:rsidR="00C81100" w:rsidRDefault="00C81100" w:rsidP="00AD2F6B">
            <w:pPr>
              <w:pStyle w:val="TAH"/>
            </w:pPr>
          </w:p>
        </w:tc>
        <w:tc>
          <w:tcPr>
            <w:tcW w:w="1985" w:type="dxa"/>
            <w:tcBorders>
              <w:top w:val="single" w:sz="6" w:space="0" w:color="auto"/>
              <w:left w:val="single" w:sz="6" w:space="0" w:color="auto"/>
              <w:bottom w:val="single" w:sz="6" w:space="0" w:color="auto"/>
              <w:right w:val="single" w:sz="4" w:space="0" w:color="auto"/>
            </w:tcBorders>
            <w:vAlign w:val="center"/>
            <w:hideMark/>
          </w:tcPr>
          <w:p w14:paraId="2D408243" w14:textId="77777777" w:rsidR="00C81100" w:rsidRDefault="00C81100" w:rsidP="00AD2F6B">
            <w:pPr>
              <w:pStyle w:val="TAH"/>
            </w:pPr>
            <w:r>
              <w:t>NR operating band groups</w:t>
            </w:r>
            <w:r>
              <w:rPr>
                <w:vertAlign w:val="superscript"/>
              </w:rPr>
              <w:t xml:space="preserve"> Note 2</w:t>
            </w:r>
          </w:p>
        </w:tc>
        <w:tc>
          <w:tcPr>
            <w:tcW w:w="3917" w:type="dxa"/>
            <w:gridSpan w:val="3"/>
            <w:tcBorders>
              <w:top w:val="single" w:sz="4" w:space="0" w:color="auto"/>
              <w:left w:val="single" w:sz="4" w:space="0" w:color="auto"/>
              <w:bottom w:val="single" w:sz="6" w:space="0" w:color="auto"/>
              <w:right w:val="single" w:sz="6" w:space="0" w:color="auto"/>
            </w:tcBorders>
            <w:vAlign w:val="center"/>
            <w:hideMark/>
          </w:tcPr>
          <w:p w14:paraId="1ED21291" w14:textId="77777777" w:rsidR="00C81100" w:rsidRDefault="00C811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7C1F106D" w14:textId="77777777" w:rsidR="00C81100" w:rsidRDefault="00C81100" w:rsidP="00AD2F6B">
            <w:pPr>
              <w:pStyle w:val="TAH"/>
            </w:pPr>
            <w:r>
              <w:t>Maximum Io</w:t>
            </w:r>
          </w:p>
        </w:tc>
      </w:tr>
      <w:tr w:rsidR="00C81100" w14:paraId="24BCF32C" w14:textId="77777777" w:rsidTr="00AD2F6B">
        <w:trPr>
          <w:trHeight w:val="308"/>
          <w:jc w:val="center"/>
        </w:trPr>
        <w:tc>
          <w:tcPr>
            <w:tcW w:w="1031" w:type="dxa"/>
            <w:tcBorders>
              <w:top w:val="single" w:sz="6" w:space="0" w:color="auto"/>
              <w:left w:val="single" w:sz="4" w:space="0" w:color="auto"/>
              <w:bottom w:val="nil"/>
              <w:right w:val="single" w:sz="6" w:space="0" w:color="auto"/>
            </w:tcBorders>
            <w:vAlign w:val="center"/>
            <w:hideMark/>
          </w:tcPr>
          <w:p w14:paraId="20913339" w14:textId="77777777" w:rsidR="00C81100" w:rsidRDefault="00C81100" w:rsidP="00AD2F6B">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7D66CDCC" w14:textId="77777777" w:rsidR="00C81100" w:rsidRDefault="00C81100" w:rsidP="00AD2F6B">
            <w:pPr>
              <w:pStyle w:val="TAH"/>
            </w:pPr>
            <w:r>
              <w:t>dB</w:t>
            </w:r>
          </w:p>
        </w:tc>
        <w:tc>
          <w:tcPr>
            <w:tcW w:w="773" w:type="dxa"/>
            <w:tcBorders>
              <w:top w:val="single" w:sz="6" w:space="0" w:color="auto"/>
              <w:left w:val="single" w:sz="6" w:space="0" w:color="auto"/>
              <w:bottom w:val="nil"/>
              <w:right w:val="single" w:sz="6" w:space="0" w:color="auto"/>
            </w:tcBorders>
            <w:vAlign w:val="center"/>
            <w:hideMark/>
          </w:tcPr>
          <w:p w14:paraId="6BF1FEDF" w14:textId="77777777" w:rsidR="00C81100" w:rsidRDefault="00C81100" w:rsidP="00AD2F6B">
            <w:pPr>
              <w:pStyle w:val="TAH"/>
            </w:pPr>
            <w:r>
              <w:t>dB</w:t>
            </w:r>
          </w:p>
        </w:tc>
        <w:tc>
          <w:tcPr>
            <w:tcW w:w="1985" w:type="dxa"/>
            <w:tcBorders>
              <w:top w:val="single" w:sz="6" w:space="0" w:color="auto"/>
              <w:left w:val="single" w:sz="6" w:space="0" w:color="auto"/>
              <w:bottom w:val="nil"/>
              <w:right w:val="single" w:sz="4" w:space="0" w:color="auto"/>
            </w:tcBorders>
            <w:vAlign w:val="center"/>
          </w:tcPr>
          <w:p w14:paraId="3DCBA347" w14:textId="77777777" w:rsidR="00C81100" w:rsidRDefault="00C81100" w:rsidP="00AD2F6B">
            <w:pPr>
              <w:pStyle w:val="TAH"/>
            </w:pPr>
          </w:p>
        </w:tc>
        <w:tc>
          <w:tcPr>
            <w:tcW w:w="2477" w:type="dxa"/>
            <w:gridSpan w:val="2"/>
            <w:tcBorders>
              <w:top w:val="single" w:sz="6" w:space="0" w:color="auto"/>
              <w:left w:val="single" w:sz="4" w:space="0" w:color="auto"/>
              <w:bottom w:val="single" w:sz="6" w:space="0" w:color="auto"/>
              <w:right w:val="single" w:sz="6" w:space="0" w:color="auto"/>
            </w:tcBorders>
            <w:vAlign w:val="center"/>
            <w:hideMark/>
          </w:tcPr>
          <w:p w14:paraId="4843B4C8" w14:textId="77777777" w:rsidR="00C81100" w:rsidRDefault="00C81100" w:rsidP="00AD2F6B">
            <w:pPr>
              <w:pStyle w:val="TAH"/>
            </w:pPr>
            <w:r>
              <w:rPr>
                <w:rFonts w:cs="Arial"/>
              </w:rPr>
              <w:t xml:space="preserve">dBm / </w:t>
            </w:r>
            <w:r>
              <w:t>SCS</w:t>
            </w:r>
            <w:r>
              <w:rPr>
                <w:vertAlign w:val="subscript"/>
              </w:rPr>
              <w:t>SSB</w:t>
            </w:r>
          </w:p>
        </w:tc>
        <w:tc>
          <w:tcPr>
            <w:tcW w:w="1440" w:type="dxa"/>
            <w:tcBorders>
              <w:top w:val="single" w:sz="6" w:space="0" w:color="auto"/>
              <w:left w:val="single" w:sz="6" w:space="0" w:color="auto"/>
              <w:bottom w:val="nil"/>
              <w:right w:val="single" w:sz="6" w:space="0" w:color="auto"/>
            </w:tcBorders>
            <w:vAlign w:val="center"/>
            <w:hideMark/>
          </w:tcPr>
          <w:p w14:paraId="687B3C43" w14:textId="77777777" w:rsidR="00C81100" w:rsidRDefault="00C811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5AC3CDD9" w14:textId="77777777" w:rsidR="00C81100" w:rsidRDefault="00C81100" w:rsidP="00AD2F6B">
            <w:pPr>
              <w:pStyle w:val="TAH"/>
            </w:pPr>
            <w:r>
              <w:t>dBm/BW</w:t>
            </w:r>
            <w:r>
              <w:rPr>
                <w:vertAlign w:val="subscript"/>
              </w:rPr>
              <w:t>Channel</w:t>
            </w:r>
          </w:p>
        </w:tc>
      </w:tr>
      <w:tr w:rsidR="00C81100" w14:paraId="4046290B" w14:textId="77777777" w:rsidTr="00AD2F6B">
        <w:trPr>
          <w:trHeight w:val="307"/>
          <w:jc w:val="center"/>
        </w:trPr>
        <w:tc>
          <w:tcPr>
            <w:tcW w:w="1031" w:type="dxa"/>
            <w:tcBorders>
              <w:top w:val="nil"/>
              <w:left w:val="single" w:sz="4" w:space="0" w:color="auto"/>
              <w:bottom w:val="single" w:sz="6" w:space="0" w:color="auto"/>
              <w:right w:val="single" w:sz="6" w:space="0" w:color="auto"/>
            </w:tcBorders>
          </w:tcPr>
          <w:p w14:paraId="7FC9A3B1"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tcPr>
          <w:p w14:paraId="7599ACCB" w14:textId="77777777" w:rsidR="00C81100" w:rsidRDefault="00C81100" w:rsidP="00AD2F6B">
            <w:pPr>
              <w:pStyle w:val="TAH"/>
            </w:pPr>
          </w:p>
        </w:tc>
        <w:tc>
          <w:tcPr>
            <w:tcW w:w="773" w:type="dxa"/>
            <w:tcBorders>
              <w:top w:val="nil"/>
              <w:left w:val="single" w:sz="6" w:space="0" w:color="auto"/>
              <w:bottom w:val="single" w:sz="6" w:space="0" w:color="auto"/>
              <w:right w:val="single" w:sz="6" w:space="0" w:color="auto"/>
            </w:tcBorders>
          </w:tcPr>
          <w:p w14:paraId="2386CC60" w14:textId="77777777" w:rsidR="00C81100" w:rsidRDefault="00C81100" w:rsidP="00AD2F6B">
            <w:pPr>
              <w:pStyle w:val="TAH"/>
            </w:pPr>
          </w:p>
        </w:tc>
        <w:tc>
          <w:tcPr>
            <w:tcW w:w="1985" w:type="dxa"/>
            <w:tcBorders>
              <w:top w:val="nil"/>
              <w:left w:val="single" w:sz="6" w:space="0" w:color="auto"/>
              <w:bottom w:val="single" w:sz="6" w:space="0" w:color="auto"/>
              <w:right w:val="single" w:sz="4" w:space="0" w:color="auto"/>
            </w:tcBorders>
          </w:tcPr>
          <w:p w14:paraId="055B569F" w14:textId="77777777" w:rsidR="00C81100" w:rsidRDefault="00C81100" w:rsidP="00AD2F6B">
            <w:pPr>
              <w:pStyle w:val="TAH"/>
            </w:pPr>
          </w:p>
        </w:tc>
        <w:tc>
          <w:tcPr>
            <w:tcW w:w="1276" w:type="dxa"/>
            <w:tcBorders>
              <w:top w:val="single" w:sz="6" w:space="0" w:color="auto"/>
              <w:left w:val="single" w:sz="4" w:space="0" w:color="auto"/>
              <w:bottom w:val="single" w:sz="6" w:space="0" w:color="auto"/>
              <w:right w:val="single" w:sz="6" w:space="0" w:color="auto"/>
            </w:tcBorders>
            <w:hideMark/>
          </w:tcPr>
          <w:p w14:paraId="1C16B9C7" w14:textId="77777777" w:rsidR="00C81100" w:rsidRDefault="00C81100" w:rsidP="00AD2F6B">
            <w:pPr>
              <w:pStyle w:val="TAH"/>
              <w:rPr>
                <w:rFonts w:cs="Arial"/>
              </w:rPr>
            </w:pPr>
            <w:r>
              <w:t>SCS</w:t>
            </w:r>
            <w:r>
              <w:rPr>
                <w:vertAlign w:val="subscript"/>
              </w:rPr>
              <w:t>SSB</w:t>
            </w:r>
            <w:r>
              <w:rPr>
                <w:rFonts w:cs="Arial"/>
              </w:rPr>
              <w:t xml:space="preserve"> = 15 kHz</w:t>
            </w:r>
          </w:p>
        </w:tc>
        <w:tc>
          <w:tcPr>
            <w:tcW w:w="1201" w:type="dxa"/>
            <w:tcBorders>
              <w:top w:val="single" w:sz="6" w:space="0" w:color="auto"/>
              <w:left w:val="single" w:sz="4" w:space="0" w:color="auto"/>
              <w:bottom w:val="single" w:sz="6" w:space="0" w:color="auto"/>
              <w:right w:val="single" w:sz="6" w:space="0" w:color="auto"/>
            </w:tcBorders>
            <w:hideMark/>
          </w:tcPr>
          <w:p w14:paraId="2EE1BA9F" w14:textId="77777777" w:rsidR="00C81100" w:rsidRDefault="00C81100" w:rsidP="00AD2F6B">
            <w:pPr>
              <w:pStyle w:val="TAH"/>
              <w:rPr>
                <w:rFonts w:cs="Arial"/>
              </w:rPr>
            </w:pPr>
            <w:r>
              <w:t>SCS</w:t>
            </w:r>
            <w:r>
              <w:rPr>
                <w:vertAlign w:val="subscript"/>
              </w:rPr>
              <w:t>SSB</w:t>
            </w:r>
            <w:r>
              <w:rPr>
                <w:rFonts w:cs="Arial"/>
              </w:rPr>
              <w:t xml:space="preserve"> = 30 kHz</w:t>
            </w:r>
          </w:p>
        </w:tc>
        <w:tc>
          <w:tcPr>
            <w:tcW w:w="1440" w:type="dxa"/>
            <w:tcBorders>
              <w:top w:val="nil"/>
              <w:left w:val="single" w:sz="6" w:space="0" w:color="auto"/>
              <w:bottom w:val="single" w:sz="6" w:space="0" w:color="auto"/>
              <w:right w:val="single" w:sz="6" w:space="0" w:color="auto"/>
            </w:tcBorders>
          </w:tcPr>
          <w:p w14:paraId="24C12980" w14:textId="77777777" w:rsidR="00C81100" w:rsidRDefault="00C81100" w:rsidP="00AD2F6B">
            <w:pPr>
              <w:pStyle w:val="TAH"/>
            </w:pPr>
          </w:p>
        </w:tc>
        <w:tc>
          <w:tcPr>
            <w:tcW w:w="1440" w:type="dxa"/>
            <w:tcBorders>
              <w:top w:val="nil"/>
              <w:left w:val="single" w:sz="6" w:space="0" w:color="auto"/>
              <w:bottom w:val="single" w:sz="6" w:space="0" w:color="auto"/>
              <w:right w:val="single" w:sz="4" w:space="0" w:color="auto"/>
            </w:tcBorders>
          </w:tcPr>
          <w:p w14:paraId="2161CEC5" w14:textId="77777777" w:rsidR="00C81100" w:rsidRDefault="00C81100" w:rsidP="00AD2F6B">
            <w:pPr>
              <w:pStyle w:val="TAH"/>
            </w:pPr>
          </w:p>
        </w:tc>
      </w:tr>
      <w:tr w:rsidR="00C81100" w14:paraId="5B960ACF" w14:textId="77777777" w:rsidTr="00AD2F6B">
        <w:trPr>
          <w:jc w:val="center"/>
        </w:trPr>
        <w:tc>
          <w:tcPr>
            <w:tcW w:w="1031" w:type="dxa"/>
            <w:tcBorders>
              <w:top w:val="single" w:sz="6" w:space="0" w:color="auto"/>
              <w:left w:val="single" w:sz="4" w:space="0" w:color="auto"/>
              <w:bottom w:val="nil"/>
              <w:right w:val="single" w:sz="6" w:space="0" w:color="auto"/>
            </w:tcBorders>
          </w:tcPr>
          <w:p w14:paraId="5EA15DCA" w14:textId="77777777" w:rsidR="00C81100" w:rsidRDefault="00C81100" w:rsidP="00AD2F6B">
            <w:pPr>
              <w:pStyle w:val="TAC"/>
            </w:pPr>
          </w:p>
        </w:tc>
        <w:tc>
          <w:tcPr>
            <w:tcW w:w="1026" w:type="dxa"/>
            <w:tcBorders>
              <w:top w:val="single" w:sz="6" w:space="0" w:color="auto"/>
              <w:left w:val="single" w:sz="6" w:space="0" w:color="auto"/>
              <w:bottom w:val="nil"/>
              <w:right w:val="single" w:sz="6" w:space="0" w:color="auto"/>
            </w:tcBorders>
          </w:tcPr>
          <w:p w14:paraId="6F980391" w14:textId="77777777" w:rsidR="00C81100" w:rsidRDefault="00C81100" w:rsidP="00AD2F6B">
            <w:pPr>
              <w:pStyle w:val="TAC"/>
            </w:pPr>
          </w:p>
        </w:tc>
        <w:tc>
          <w:tcPr>
            <w:tcW w:w="773" w:type="dxa"/>
            <w:tcBorders>
              <w:top w:val="single" w:sz="6" w:space="0" w:color="auto"/>
              <w:left w:val="single" w:sz="6" w:space="0" w:color="auto"/>
              <w:bottom w:val="nil"/>
              <w:right w:val="single" w:sz="6" w:space="0" w:color="auto"/>
            </w:tcBorders>
          </w:tcPr>
          <w:p w14:paraId="35CDD52D"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3477F0CC" w14:textId="77777777" w:rsidR="00C81100" w:rsidRDefault="00C81100" w:rsidP="00AD2F6B">
            <w:pPr>
              <w:pStyle w:val="TAC"/>
            </w:pPr>
            <w:r>
              <w:t>NR_FDD_FR1_A, NR_TDD_FR1_A, NR_SDL_FR1_A</w:t>
            </w:r>
          </w:p>
        </w:tc>
        <w:tc>
          <w:tcPr>
            <w:tcW w:w="1276" w:type="dxa"/>
            <w:tcBorders>
              <w:top w:val="single" w:sz="6" w:space="0" w:color="auto"/>
              <w:left w:val="single" w:sz="4" w:space="0" w:color="auto"/>
              <w:bottom w:val="single" w:sz="6" w:space="0" w:color="auto"/>
              <w:right w:val="single" w:sz="6" w:space="0" w:color="auto"/>
            </w:tcBorders>
            <w:hideMark/>
          </w:tcPr>
          <w:p w14:paraId="785D8697" w14:textId="77777777" w:rsidR="00C81100" w:rsidRDefault="00C81100" w:rsidP="00AD2F6B">
            <w:pPr>
              <w:pStyle w:val="TAC"/>
            </w:pPr>
            <w:r>
              <w:t>-121</w:t>
            </w:r>
          </w:p>
        </w:tc>
        <w:tc>
          <w:tcPr>
            <w:tcW w:w="1201" w:type="dxa"/>
            <w:tcBorders>
              <w:top w:val="single" w:sz="6" w:space="0" w:color="auto"/>
              <w:left w:val="single" w:sz="4" w:space="0" w:color="auto"/>
              <w:bottom w:val="single" w:sz="6" w:space="0" w:color="auto"/>
              <w:right w:val="single" w:sz="6" w:space="0" w:color="auto"/>
            </w:tcBorders>
            <w:hideMark/>
          </w:tcPr>
          <w:p w14:paraId="37014FCF" w14:textId="77777777" w:rsidR="00C81100" w:rsidRDefault="00C81100" w:rsidP="00AD2F6B">
            <w:pPr>
              <w:pStyle w:val="TAC"/>
            </w:pPr>
            <w:r>
              <w:t>-118</w:t>
            </w:r>
          </w:p>
        </w:tc>
        <w:tc>
          <w:tcPr>
            <w:tcW w:w="1440" w:type="dxa"/>
            <w:tcBorders>
              <w:top w:val="single" w:sz="6" w:space="0" w:color="auto"/>
              <w:left w:val="single" w:sz="6" w:space="0" w:color="auto"/>
              <w:bottom w:val="single" w:sz="6" w:space="0" w:color="auto"/>
              <w:right w:val="single" w:sz="6" w:space="0" w:color="auto"/>
            </w:tcBorders>
            <w:hideMark/>
          </w:tcPr>
          <w:p w14:paraId="485F82E7"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32DB56E" w14:textId="77777777" w:rsidR="00C81100" w:rsidRDefault="00C81100" w:rsidP="00AD2F6B">
            <w:pPr>
              <w:pStyle w:val="TAC"/>
            </w:pPr>
            <w:r>
              <w:t>-50</w:t>
            </w:r>
          </w:p>
        </w:tc>
      </w:tr>
      <w:tr w:rsidR="00C81100" w14:paraId="542062C8" w14:textId="77777777" w:rsidTr="00AD2F6B">
        <w:trPr>
          <w:jc w:val="center"/>
        </w:trPr>
        <w:tc>
          <w:tcPr>
            <w:tcW w:w="1031" w:type="dxa"/>
            <w:tcBorders>
              <w:top w:val="nil"/>
              <w:left w:val="single" w:sz="4" w:space="0" w:color="auto"/>
              <w:bottom w:val="nil"/>
              <w:right w:val="single" w:sz="6" w:space="0" w:color="auto"/>
            </w:tcBorders>
          </w:tcPr>
          <w:p w14:paraId="26299CD7"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25729E54"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3930B52A"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1CA2CC06" w14:textId="77777777" w:rsidR="00C81100" w:rsidRDefault="00C81100" w:rsidP="00AD2F6B">
            <w:pPr>
              <w:pStyle w:val="TAC"/>
            </w:pPr>
            <w:r>
              <w:t>NR_FDD_FR1_B</w:t>
            </w:r>
          </w:p>
        </w:tc>
        <w:tc>
          <w:tcPr>
            <w:tcW w:w="1276" w:type="dxa"/>
            <w:tcBorders>
              <w:top w:val="single" w:sz="6" w:space="0" w:color="auto"/>
              <w:left w:val="single" w:sz="4" w:space="0" w:color="auto"/>
              <w:bottom w:val="single" w:sz="6" w:space="0" w:color="auto"/>
              <w:right w:val="single" w:sz="6" w:space="0" w:color="auto"/>
            </w:tcBorders>
            <w:hideMark/>
          </w:tcPr>
          <w:p w14:paraId="2C79CBC3" w14:textId="77777777" w:rsidR="00C81100" w:rsidRDefault="00C81100" w:rsidP="00AD2F6B">
            <w:pPr>
              <w:pStyle w:val="TAC"/>
            </w:pPr>
            <w:r>
              <w:t>-120.5</w:t>
            </w:r>
          </w:p>
        </w:tc>
        <w:tc>
          <w:tcPr>
            <w:tcW w:w="1201" w:type="dxa"/>
            <w:tcBorders>
              <w:top w:val="single" w:sz="6" w:space="0" w:color="auto"/>
              <w:left w:val="single" w:sz="4" w:space="0" w:color="auto"/>
              <w:bottom w:val="single" w:sz="6" w:space="0" w:color="auto"/>
              <w:right w:val="single" w:sz="6" w:space="0" w:color="auto"/>
            </w:tcBorders>
            <w:hideMark/>
          </w:tcPr>
          <w:p w14:paraId="578AB98D" w14:textId="77777777" w:rsidR="00C81100" w:rsidRDefault="00C81100" w:rsidP="00AD2F6B">
            <w:pPr>
              <w:pStyle w:val="TAC"/>
              <w:rPr>
                <w:lang w:val="sv-SE"/>
              </w:rPr>
            </w:pPr>
            <w:r>
              <w:t>-117.5</w:t>
            </w:r>
          </w:p>
        </w:tc>
        <w:tc>
          <w:tcPr>
            <w:tcW w:w="1440" w:type="dxa"/>
            <w:tcBorders>
              <w:top w:val="single" w:sz="6" w:space="0" w:color="auto"/>
              <w:left w:val="single" w:sz="6" w:space="0" w:color="auto"/>
              <w:bottom w:val="single" w:sz="6" w:space="0" w:color="auto"/>
              <w:right w:val="single" w:sz="6" w:space="0" w:color="auto"/>
            </w:tcBorders>
            <w:hideMark/>
          </w:tcPr>
          <w:p w14:paraId="7FFD3B86"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0E173B3" w14:textId="77777777" w:rsidR="00C81100" w:rsidRDefault="00C81100" w:rsidP="00AD2F6B">
            <w:pPr>
              <w:pStyle w:val="TAC"/>
            </w:pPr>
            <w:r>
              <w:t>-50</w:t>
            </w:r>
          </w:p>
        </w:tc>
      </w:tr>
      <w:tr w:rsidR="00C81100" w14:paraId="29859ED1" w14:textId="77777777" w:rsidTr="00AD2F6B">
        <w:trPr>
          <w:jc w:val="center"/>
        </w:trPr>
        <w:tc>
          <w:tcPr>
            <w:tcW w:w="1031" w:type="dxa"/>
            <w:tcBorders>
              <w:top w:val="nil"/>
              <w:left w:val="single" w:sz="4" w:space="0" w:color="auto"/>
              <w:bottom w:val="nil"/>
              <w:right w:val="single" w:sz="6" w:space="0" w:color="auto"/>
            </w:tcBorders>
          </w:tcPr>
          <w:p w14:paraId="797A7ACE"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6AC61D1B"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4D5780C8"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30F448C1" w14:textId="77777777" w:rsidR="00C81100" w:rsidRDefault="00C81100" w:rsidP="00AD2F6B">
            <w:pPr>
              <w:pStyle w:val="TAC"/>
            </w:pPr>
            <w:r>
              <w:t>NR_TDD_FR1_C</w:t>
            </w:r>
          </w:p>
        </w:tc>
        <w:tc>
          <w:tcPr>
            <w:tcW w:w="1276" w:type="dxa"/>
            <w:tcBorders>
              <w:top w:val="single" w:sz="6" w:space="0" w:color="auto"/>
              <w:left w:val="single" w:sz="4" w:space="0" w:color="auto"/>
              <w:bottom w:val="single" w:sz="6" w:space="0" w:color="auto"/>
              <w:right w:val="single" w:sz="6" w:space="0" w:color="auto"/>
            </w:tcBorders>
            <w:hideMark/>
          </w:tcPr>
          <w:p w14:paraId="2697F49F" w14:textId="77777777" w:rsidR="00C81100" w:rsidRDefault="00C81100" w:rsidP="00AD2F6B">
            <w:pPr>
              <w:pStyle w:val="TAC"/>
            </w:pPr>
            <w:r>
              <w:t>-120</w:t>
            </w:r>
          </w:p>
        </w:tc>
        <w:tc>
          <w:tcPr>
            <w:tcW w:w="1201" w:type="dxa"/>
            <w:tcBorders>
              <w:top w:val="single" w:sz="6" w:space="0" w:color="auto"/>
              <w:left w:val="single" w:sz="4" w:space="0" w:color="auto"/>
              <w:bottom w:val="single" w:sz="6" w:space="0" w:color="auto"/>
              <w:right w:val="single" w:sz="6" w:space="0" w:color="auto"/>
            </w:tcBorders>
            <w:hideMark/>
          </w:tcPr>
          <w:p w14:paraId="2E904FCE" w14:textId="77777777" w:rsidR="00C81100" w:rsidRDefault="00C81100" w:rsidP="00AD2F6B">
            <w:pPr>
              <w:pStyle w:val="TAC"/>
              <w:rPr>
                <w:lang w:val="sv-SE"/>
              </w:rPr>
            </w:pPr>
            <w:r>
              <w:t>-117</w:t>
            </w:r>
          </w:p>
        </w:tc>
        <w:tc>
          <w:tcPr>
            <w:tcW w:w="1440" w:type="dxa"/>
            <w:tcBorders>
              <w:top w:val="single" w:sz="6" w:space="0" w:color="auto"/>
              <w:left w:val="single" w:sz="6" w:space="0" w:color="auto"/>
              <w:bottom w:val="single" w:sz="6" w:space="0" w:color="auto"/>
              <w:right w:val="single" w:sz="6" w:space="0" w:color="auto"/>
            </w:tcBorders>
            <w:hideMark/>
          </w:tcPr>
          <w:p w14:paraId="715255B8"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7EAF6369" w14:textId="77777777" w:rsidR="00C81100" w:rsidRDefault="00C81100" w:rsidP="00AD2F6B">
            <w:pPr>
              <w:pStyle w:val="TAC"/>
            </w:pPr>
            <w:r>
              <w:t>-50</w:t>
            </w:r>
          </w:p>
        </w:tc>
      </w:tr>
      <w:tr w:rsidR="00C81100" w14:paraId="23D484F2" w14:textId="77777777" w:rsidTr="00AD2F6B">
        <w:trPr>
          <w:jc w:val="center"/>
        </w:trPr>
        <w:tc>
          <w:tcPr>
            <w:tcW w:w="1031" w:type="dxa"/>
            <w:tcBorders>
              <w:top w:val="nil"/>
              <w:left w:val="single" w:sz="4" w:space="0" w:color="auto"/>
              <w:bottom w:val="nil"/>
              <w:right w:val="single" w:sz="6" w:space="0" w:color="auto"/>
            </w:tcBorders>
            <w:hideMark/>
          </w:tcPr>
          <w:p w14:paraId="062A9285" w14:textId="77777777" w:rsidR="00C81100" w:rsidRDefault="00C81100" w:rsidP="00AD2F6B">
            <w:pPr>
              <w:pStyle w:val="TAC"/>
            </w:pPr>
            <w:r>
              <w:rPr>
                <w:rFonts w:cs="Arial"/>
              </w:rPr>
              <w:t>±</w:t>
            </w:r>
            <w:r>
              <w:t>4.5</w:t>
            </w:r>
          </w:p>
        </w:tc>
        <w:tc>
          <w:tcPr>
            <w:tcW w:w="1026" w:type="dxa"/>
            <w:tcBorders>
              <w:top w:val="nil"/>
              <w:left w:val="single" w:sz="6" w:space="0" w:color="auto"/>
              <w:bottom w:val="nil"/>
              <w:right w:val="single" w:sz="6" w:space="0" w:color="auto"/>
            </w:tcBorders>
            <w:hideMark/>
          </w:tcPr>
          <w:p w14:paraId="2A439C95" w14:textId="77777777" w:rsidR="00C81100" w:rsidRDefault="00C81100" w:rsidP="00AD2F6B">
            <w:pPr>
              <w:pStyle w:val="TAC"/>
            </w:pPr>
            <w:r>
              <w:rPr>
                <w:rFonts w:cs="Arial"/>
              </w:rPr>
              <w:t>±</w:t>
            </w:r>
            <w:r>
              <w:t>5.5</w:t>
            </w:r>
          </w:p>
        </w:tc>
        <w:tc>
          <w:tcPr>
            <w:tcW w:w="773" w:type="dxa"/>
            <w:tcBorders>
              <w:top w:val="nil"/>
              <w:left w:val="single" w:sz="6" w:space="0" w:color="auto"/>
              <w:bottom w:val="nil"/>
              <w:right w:val="single" w:sz="6" w:space="0" w:color="auto"/>
            </w:tcBorders>
            <w:hideMark/>
          </w:tcPr>
          <w:p w14:paraId="7EDAD6AB" w14:textId="77777777" w:rsidR="00C81100" w:rsidRDefault="00C81100" w:rsidP="00AD2F6B">
            <w:pPr>
              <w:pStyle w:val="TAC"/>
            </w:pPr>
            <w:r>
              <w:sym w:font="Symbol" w:char="F0B3"/>
            </w:r>
            <w:r>
              <w:t>-3</w:t>
            </w:r>
          </w:p>
        </w:tc>
        <w:tc>
          <w:tcPr>
            <w:tcW w:w="1985" w:type="dxa"/>
            <w:tcBorders>
              <w:top w:val="single" w:sz="6" w:space="0" w:color="auto"/>
              <w:left w:val="single" w:sz="6" w:space="0" w:color="auto"/>
              <w:bottom w:val="single" w:sz="6" w:space="0" w:color="auto"/>
              <w:right w:val="single" w:sz="4" w:space="0" w:color="auto"/>
            </w:tcBorders>
            <w:hideMark/>
          </w:tcPr>
          <w:p w14:paraId="2C6A5675" w14:textId="77777777" w:rsidR="00C81100" w:rsidRDefault="00C81100" w:rsidP="00AD2F6B">
            <w:pPr>
              <w:pStyle w:val="TAC"/>
              <w:rPr>
                <w:lang w:val="sv-SE"/>
              </w:rPr>
            </w:pPr>
            <w:r>
              <w:rPr>
                <w:lang w:val="sv-SE"/>
              </w:rPr>
              <w:t>NR_FDD_FR1_D, NR_TDD_FR1_D</w:t>
            </w:r>
          </w:p>
        </w:tc>
        <w:tc>
          <w:tcPr>
            <w:tcW w:w="1276" w:type="dxa"/>
            <w:tcBorders>
              <w:top w:val="single" w:sz="6" w:space="0" w:color="auto"/>
              <w:left w:val="single" w:sz="4" w:space="0" w:color="auto"/>
              <w:bottom w:val="single" w:sz="6" w:space="0" w:color="auto"/>
              <w:right w:val="single" w:sz="6" w:space="0" w:color="auto"/>
            </w:tcBorders>
            <w:hideMark/>
          </w:tcPr>
          <w:p w14:paraId="0683958F" w14:textId="77777777" w:rsidR="00C81100" w:rsidRDefault="00C81100" w:rsidP="00AD2F6B">
            <w:pPr>
              <w:pStyle w:val="TAC"/>
            </w:pPr>
            <w:r>
              <w:t>-119.5</w:t>
            </w:r>
          </w:p>
        </w:tc>
        <w:tc>
          <w:tcPr>
            <w:tcW w:w="1201" w:type="dxa"/>
            <w:tcBorders>
              <w:top w:val="single" w:sz="6" w:space="0" w:color="auto"/>
              <w:left w:val="single" w:sz="4" w:space="0" w:color="auto"/>
              <w:bottom w:val="single" w:sz="6" w:space="0" w:color="auto"/>
              <w:right w:val="single" w:sz="6" w:space="0" w:color="auto"/>
            </w:tcBorders>
            <w:hideMark/>
          </w:tcPr>
          <w:p w14:paraId="010D3445" w14:textId="77777777" w:rsidR="00C81100" w:rsidRDefault="00C81100" w:rsidP="00AD2F6B">
            <w:pPr>
              <w:pStyle w:val="TAC"/>
            </w:pPr>
            <w:r>
              <w:t>-116.5</w:t>
            </w:r>
          </w:p>
        </w:tc>
        <w:tc>
          <w:tcPr>
            <w:tcW w:w="1440" w:type="dxa"/>
            <w:tcBorders>
              <w:top w:val="single" w:sz="6" w:space="0" w:color="auto"/>
              <w:left w:val="single" w:sz="6" w:space="0" w:color="auto"/>
              <w:bottom w:val="single" w:sz="6" w:space="0" w:color="auto"/>
              <w:right w:val="single" w:sz="6" w:space="0" w:color="auto"/>
            </w:tcBorders>
            <w:hideMark/>
          </w:tcPr>
          <w:p w14:paraId="729AD9B6"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99F001F" w14:textId="77777777" w:rsidR="00C81100" w:rsidRDefault="00C81100" w:rsidP="00AD2F6B">
            <w:pPr>
              <w:pStyle w:val="TAC"/>
            </w:pPr>
            <w:r>
              <w:t>-50</w:t>
            </w:r>
          </w:p>
        </w:tc>
      </w:tr>
      <w:tr w:rsidR="00C81100" w14:paraId="58EE2187" w14:textId="77777777" w:rsidTr="00AD2F6B">
        <w:trPr>
          <w:jc w:val="center"/>
        </w:trPr>
        <w:tc>
          <w:tcPr>
            <w:tcW w:w="1031" w:type="dxa"/>
            <w:tcBorders>
              <w:top w:val="nil"/>
              <w:left w:val="single" w:sz="4" w:space="0" w:color="auto"/>
              <w:bottom w:val="nil"/>
              <w:right w:val="single" w:sz="6" w:space="0" w:color="auto"/>
            </w:tcBorders>
          </w:tcPr>
          <w:p w14:paraId="2AFD1008"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495CCDC2"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084E76ED"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453527B5" w14:textId="77777777" w:rsidR="00C81100" w:rsidRDefault="00C81100" w:rsidP="00AD2F6B">
            <w:pPr>
              <w:pStyle w:val="TAC"/>
              <w:rPr>
                <w:lang w:val="sv-SE"/>
              </w:rPr>
            </w:pPr>
            <w:r>
              <w:rPr>
                <w:lang w:val="sv-SE"/>
              </w:rPr>
              <w:t>NR_FDD_FR1_E, NR_TDD_FR1_E</w:t>
            </w:r>
          </w:p>
        </w:tc>
        <w:tc>
          <w:tcPr>
            <w:tcW w:w="1276" w:type="dxa"/>
            <w:tcBorders>
              <w:top w:val="single" w:sz="6" w:space="0" w:color="auto"/>
              <w:left w:val="single" w:sz="4" w:space="0" w:color="auto"/>
              <w:bottom w:val="single" w:sz="6" w:space="0" w:color="auto"/>
              <w:right w:val="single" w:sz="6" w:space="0" w:color="auto"/>
            </w:tcBorders>
            <w:hideMark/>
          </w:tcPr>
          <w:p w14:paraId="23411AC8" w14:textId="77777777" w:rsidR="00C81100" w:rsidRDefault="00C81100" w:rsidP="00AD2F6B">
            <w:pPr>
              <w:pStyle w:val="TAC"/>
            </w:pPr>
            <w:r>
              <w:t>-119</w:t>
            </w:r>
          </w:p>
        </w:tc>
        <w:tc>
          <w:tcPr>
            <w:tcW w:w="1201" w:type="dxa"/>
            <w:tcBorders>
              <w:top w:val="single" w:sz="6" w:space="0" w:color="auto"/>
              <w:left w:val="single" w:sz="4" w:space="0" w:color="auto"/>
              <w:bottom w:val="single" w:sz="6" w:space="0" w:color="auto"/>
              <w:right w:val="single" w:sz="6" w:space="0" w:color="auto"/>
            </w:tcBorders>
            <w:hideMark/>
          </w:tcPr>
          <w:p w14:paraId="13AD1DD6" w14:textId="77777777" w:rsidR="00C81100" w:rsidRDefault="00C81100" w:rsidP="00AD2F6B">
            <w:pPr>
              <w:pStyle w:val="TAC"/>
              <w:rPr>
                <w:lang w:val="sv-SE"/>
              </w:rPr>
            </w:pPr>
            <w:r>
              <w:t>-116</w:t>
            </w:r>
          </w:p>
        </w:tc>
        <w:tc>
          <w:tcPr>
            <w:tcW w:w="1440" w:type="dxa"/>
            <w:tcBorders>
              <w:top w:val="single" w:sz="6" w:space="0" w:color="auto"/>
              <w:left w:val="single" w:sz="6" w:space="0" w:color="auto"/>
              <w:bottom w:val="single" w:sz="6" w:space="0" w:color="auto"/>
              <w:right w:val="single" w:sz="6" w:space="0" w:color="auto"/>
            </w:tcBorders>
            <w:hideMark/>
          </w:tcPr>
          <w:p w14:paraId="735E508A"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444A803" w14:textId="77777777" w:rsidR="00C81100" w:rsidRDefault="00C81100" w:rsidP="00AD2F6B">
            <w:pPr>
              <w:pStyle w:val="TAC"/>
            </w:pPr>
            <w:r>
              <w:t>-50</w:t>
            </w:r>
          </w:p>
        </w:tc>
      </w:tr>
      <w:tr w:rsidR="00C81100" w14:paraId="5CACEE7F" w14:textId="77777777" w:rsidTr="00AD2F6B">
        <w:trPr>
          <w:jc w:val="center"/>
        </w:trPr>
        <w:tc>
          <w:tcPr>
            <w:tcW w:w="1031" w:type="dxa"/>
            <w:tcBorders>
              <w:top w:val="nil"/>
              <w:left w:val="single" w:sz="4" w:space="0" w:color="auto"/>
              <w:bottom w:val="nil"/>
              <w:right w:val="single" w:sz="6" w:space="0" w:color="auto"/>
            </w:tcBorders>
          </w:tcPr>
          <w:p w14:paraId="428918DA"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208B30C0"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16D9E927"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40D247DF" w14:textId="77777777" w:rsidR="00C81100" w:rsidRDefault="00C81100" w:rsidP="00AD2F6B">
            <w:pPr>
              <w:pStyle w:val="TAC"/>
              <w:rPr>
                <w:lang w:val="sv-SE"/>
              </w:rPr>
            </w:pPr>
            <w:r>
              <w:rPr>
                <w:lang w:eastAsia="zh-CN"/>
              </w:rPr>
              <w:t>NR_FDD_FR1_F</w:t>
            </w:r>
          </w:p>
        </w:tc>
        <w:tc>
          <w:tcPr>
            <w:tcW w:w="1276" w:type="dxa"/>
            <w:tcBorders>
              <w:top w:val="single" w:sz="6" w:space="0" w:color="auto"/>
              <w:left w:val="single" w:sz="4" w:space="0" w:color="auto"/>
              <w:bottom w:val="single" w:sz="6" w:space="0" w:color="auto"/>
              <w:right w:val="single" w:sz="6" w:space="0" w:color="auto"/>
            </w:tcBorders>
            <w:hideMark/>
          </w:tcPr>
          <w:p w14:paraId="5E1C1385" w14:textId="77777777" w:rsidR="00C81100" w:rsidRDefault="00C81100" w:rsidP="00AD2F6B">
            <w:pPr>
              <w:pStyle w:val="TAC"/>
            </w:pPr>
            <w:r>
              <w:t>-118.5</w:t>
            </w:r>
          </w:p>
        </w:tc>
        <w:tc>
          <w:tcPr>
            <w:tcW w:w="1201" w:type="dxa"/>
            <w:tcBorders>
              <w:top w:val="single" w:sz="6" w:space="0" w:color="auto"/>
              <w:left w:val="single" w:sz="4" w:space="0" w:color="auto"/>
              <w:bottom w:val="single" w:sz="6" w:space="0" w:color="auto"/>
              <w:right w:val="single" w:sz="6" w:space="0" w:color="auto"/>
            </w:tcBorders>
            <w:hideMark/>
          </w:tcPr>
          <w:p w14:paraId="7625C987" w14:textId="77777777" w:rsidR="00C81100" w:rsidRDefault="00C81100" w:rsidP="00AD2F6B">
            <w:pPr>
              <w:pStyle w:val="TAC"/>
            </w:pPr>
            <w:r>
              <w:t>-115.5</w:t>
            </w:r>
          </w:p>
        </w:tc>
        <w:tc>
          <w:tcPr>
            <w:tcW w:w="1440" w:type="dxa"/>
            <w:tcBorders>
              <w:top w:val="single" w:sz="6" w:space="0" w:color="auto"/>
              <w:left w:val="single" w:sz="6" w:space="0" w:color="auto"/>
              <w:bottom w:val="single" w:sz="6" w:space="0" w:color="auto"/>
              <w:right w:val="single" w:sz="6" w:space="0" w:color="auto"/>
            </w:tcBorders>
            <w:hideMark/>
          </w:tcPr>
          <w:p w14:paraId="22B135AF"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36534F3" w14:textId="77777777" w:rsidR="00C81100" w:rsidRDefault="00C81100" w:rsidP="00AD2F6B">
            <w:pPr>
              <w:pStyle w:val="TAC"/>
            </w:pPr>
            <w:r>
              <w:t>-50</w:t>
            </w:r>
          </w:p>
        </w:tc>
      </w:tr>
      <w:tr w:rsidR="00C81100" w14:paraId="1599406B" w14:textId="77777777" w:rsidTr="00AD2F6B">
        <w:trPr>
          <w:jc w:val="center"/>
        </w:trPr>
        <w:tc>
          <w:tcPr>
            <w:tcW w:w="1031" w:type="dxa"/>
            <w:tcBorders>
              <w:top w:val="nil"/>
              <w:left w:val="single" w:sz="4" w:space="0" w:color="auto"/>
              <w:bottom w:val="nil"/>
              <w:right w:val="single" w:sz="6" w:space="0" w:color="auto"/>
            </w:tcBorders>
          </w:tcPr>
          <w:p w14:paraId="71465C05"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33451C82"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7D638841"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6E6F2E6E" w14:textId="77777777" w:rsidR="00C81100" w:rsidRDefault="00C81100" w:rsidP="00AD2F6B">
            <w:pPr>
              <w:pStyle w:val="TAC"/>
              <w:rPr>
                <w:lang w:eastAsia="zh-CN"/>
              </w:rPr>
            </w:pPr>
            <w:r>
              <w:rPr>
                <w:lang w:eastAsia="zh-CN"/>
              </w:rPr>
              <w:t>NR</w:t>
            </w:r>
            <w:r>
              <w:t>_</w:t>
            </w:r>
            <w:r>
              <w:rPr>
                <w:lang w:eastAsia="zh-CN"/>
              </w:rPr>
              <w:t>FDD_FR1_G</w:t>
            </w:r>
          </w:p>
        </w:tc>
        <w:tc>
          <w:tcPr>
            <w:tcW w:w="1276" w:type="dxa"/>
            <w:tcBorders>
              <w:top w:val="single" w:sz="6" w:space="0" w:color="auto"/>
              <w:left w:val="single" w:sz="4" w:space="0" w:color="auto"/>
              <w:bottom w:val="single" w:sz="6" w:space="0" w:color="auto"/>
              <w:right w:val="single" w:sz="6" w:space="0" w:color="auto"/>
            </w:tcBorders>
            <w:hideMark/>
          </w:tcPr>
          <w:p w14:paraId="3A5525E0" w14:textId="77777777" w:rsidR="00C81100" w:rsidRDefault="00C81100" w:rsidP="00AD2F6B">
            <w:pPr>
              <w:pStyle w:val="TAC"/>
            </w:pPr>
            <w:r>
              <w:t>-118</w:t>
            </w:r>
          </w:p>
        </w:tc>
        <w:tc>
          <w:tcPr>
            <w:tcW w:w="1201" w:type="dxa"/>
            <w:tcBorders>
              <w:top w:val="single" w:sz="6" w:space="0" w:color="auto"/>
              <w:left w:val="single" w:sz="4" w:space="0" w:color="auto"/>
              <w:bottom w:val="single" w:sz="6" w:space="0" w:color="auto"/>
              <w:right w:val="single" w:sz="6" w:space="0" w:color="auto"/>
            </w:tcBorders>
            <w:hideMark/>
          </w:tcPr>
          <w:p w14:paraId="6F9ADC36" w14:textId="77777777" w:rsidR="00C81100" w:rsidRDefault="00C81100" w:rsidP="00AD2F6B">
            <w:pPr>
              <w:pStyle w:val="TAC"/>
              <w:rPr>
                <w:lang w:val="sv-SE"/>
              </w:rPr>
            </w:pPr>
            <w:r>
              <w:t>-115</w:t>
            </w:r>
          </w:p>
        </w:tc>
        <w:tc>
          <w:tcPr>
            <w:tcW w:w="1440" w:type="dxa"/>
            <w:tcBorders>
              <w:top w:val="single" w:sz="6" w:space="0" w:color="auto"/>
              <w:left w:val="single" w:sz="6" w:space="0" w:color="auto"/>
              <w:bottom w:val="single" w:sz="6" w:space="0" w:color="auto"/>
              <w:right w:val="single" w:sz="6" w:space="0" w:color="auto"/>
            </w:tcBorders>
            <w:hideMark/>
          </w:tcPr>
          <w:p w14:paraId="22FEFBA8"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2B090F35" w14:textId="77777777" w:rsidR="00C81100" w:rsidRDefault="00C81100" w:rsidP="00AD2F6B">
            <w:pPr>
              <w:pStyle w:val="TAC"/>
            </w:pPr>
            <w:r>
              <w:t>-50</w:t>
            </w:r>
          </w:p>
        </w:tc>
      </w:tr>
      <w:tr w:rsidR="00C81100" w14:paraId="2375A922" w14:textId="77777777" w:rsidTr="00AD2F6B">
        <w:trPr>
          <w:jc w:val="center"/>
        </w:trPr>
        <w:tc>
          <w:tcPr>
            <w:tcW w:w="1031" w:type="dxa"/>
            <w:tcBorders>
              <w:top w:val="nil"/>
              <w:left w:val="single" w:sz="4" w:space="0" w:color="auto"/>
              <w:bottom w:val="nil"/>
              <w:right w:val="single" w:sz="6" w:space="0" w:color="auto"/>
            </w:tcBorders>
          </w:tcPr>
          <w:p w14:paraId="33490C62"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146CD855"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2EB3E85B"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46E5BCBB" w14:textId="77777777" w:rsidR="00C81100" w:rsidRDefault="00C81100" w:rsidP="00AD2F6B">
            <w:pPr>
              <w:pStyle w:val="TAC"/>
              <w:rPr>
                <w:lang w:eastAsia="zh-CN"/>
              </w:rPr>
            </w:pPr>
            <w:r>
              <w:rPr>
                <w:lang w:eastAsia="zh-CN"/>
              </w:rPr>
              <w:t>NR</w:t>
            </w:r>
            <w:r>
              <w:t>_</w:t>
            </w:r>
            <w:r>
              <w:rPr>
                <w:lang w:eastAsia="zh-CN"/>
              </w:rPr>
              <w:t>FDD_FR1_H</w:t>
            </w:r>
          </w:p>
        </w:tc>
        <w:tc>
          <w:tcPr>
            <w:tcW w:w="1276" w:type="dxa"/>
            <w:tcBorders>
              <w:top w:val="single" w:sz="6" w:space="0" w:color="auto"/>
              <w:left w:val="single" w:sz="4" w:space="0" w:color="auto"/>
              <w:bottom w:val="single" w:sz="6" w:space="0" w:color="auto"/>
              <w:right w:val="single" w:sz="6" w:space="0" w:color="auto"/>
            </w:tcBorders>
            <w:hideMark/>
          </w:tcPr>
          <w:p w14:paraId="76862B52" w14:textId="77777777" w:rsidR="00C81100" w:rsidRDefault="00C81100" w:rsidP="00AD2F6B">
            <w:pPr>
              <w:pStyle w:val="TAC"/>
            </w:pPr>
            <w:r>
              <w:t>-117.5</w:t>
            </w:r>
          </w:p>
        </w:tc>
        <w:tc>
          <w:tcPr>
            <w:tcW w:w="1201" w:type="dxa"/>
            <w:tcBorders>
              <w:top w:val="single" w:sz="6" w:space="0" w:color="auto"/>
              <w:left w:val="single" w:sz="4" w:space="0" w:color="auto"/>
              <w:bottom w:val="single" w:sz="6" w:space="0" w:color="auto"/>
              <w:right w:val="single" w:sz="6" w:space="0" w:color="auto"/>
            </w:tcBorders>
            <w:hideMark/>
          </w:tcPr>
          <w:p w14:paraId="1438DD61" w14:textId="77777777" w:rsidR="00C81100" w:rsidRDefault="00C81100" w:rsidP="00AD2F6B">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64919DFD"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166E540" w14:textId="77777777" w:rsidR="00C81100" w:rsidRDefault="00C81100" w:rsidP="00AD2F6B">
            <w:pPr>
              <w:pStyle w:val="TAC"/>
            </w:pPr>
            <w:r>
              <w:t>-50</w:t>
            </w:r>
          </w:p>
        </w:tc>
      </w:tr>
      <w:tr w:rsidR="00C81100" w14:paraId="5115D12F" w14:textId="77777777" w:rsidTr="00AD2F6B">
        <w:trPr>
          <w:jc w:val="center"/>
        </w:trPr>
        <w:tc>
          <w:tcPr>
            <w:tcW w:w="10172" w:type="dxa"/>
            <w:gridSpan w:val="8"/>
            <w:tcBorders>
              <w:top w:val="single" w:sz="6" w:space="0" w:color="auto"/>
              <w:left w:val="single" w:sz="4" w:space="0" w:color="auto"/>
              <w:bottom w:val="single" w:sz="4" w:space="0" w:color="auto"/>
              <w:right w:val="single" w:sz="4" w:space="0" w:color="auto"/>
            </w:tcBorders>
            <w:vAlign w:val="center"/>
            <w:hideMark/>
          </w:tcPr>
          <w:p w14:paraId="0417D6EE" w14:textId="77777777" w:rsidR="006055B0" w:rsidRDefault="006055B0" w:rsidP="006055B0">
            <w:pPr>
              <w:pStyle w:val="TAN"/>
            </w:pPr>
            <w:r>
              <w:t>NOTE 1:</w:t>
            </w:r>
            <w:r>
              <w:tab/>
              <w:t>Io is assumed to have constant EPRE across the bandwidth.</w:t>
            </w:r>
          </w:p>
          <w:p w14:paraId="219D2A66" w14:textId="77777777" w:rsidR="006055B0" w:rsidRDefault="006055B0" w:rsidP="006055B0">
            <w:pPr>
              <w:pStyle w:val="TAN"/>
            </w:pPr>
            <w:r>
              <w:t>NOTE 2:</w:t>
            </w:r>
            <w:r>
              <w:tab/>
              <w:t>NR operating band groups in FR1 are as defined in clause 3.5.2.</w:t>
            </w:r>
          </w:p>
          <w:p w14:paraId="65DFADA7" w14:textId="25705EE7" w:rsidR="00C81100" w:rsidRDefault="006055B0" w:rsidP="006055B0">
            <w:pPr>
              <w:pStyle w:val="TAN"/>
            </w:pPr>
            <w:r w:rsidRPr="009C5807">
              <w:rPr>
                <w:rFonts w:cs="Arial"/>
              </w:rPr>
              <w:t xml:space="preserve">NOTE </w:t>
            </w:r>
            <w:r>
              <w:rPr>
                <w:rFonts w:cs="Arial"/>
              </w:rPr>
              <w:t>3</w:t>
            </w:r>
            <w:r w:rsidRPr="009C5807">
              <w:rPr>
                <w:rFonts w:cs="Arial"/>
              </w:rPr>
              <w:t>:</w:t>
            </w:r>
            <w:r w:rsidRPr="009C5807">
              <w:rPr>
                <w:rFonts w:cs="Arial"/>
              </w:rPr>
              <w:tab/>
              <w:t xml:space="preserve">The requirements apply for SSB 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4D06D908" w14:textId="77777777" w:rsidR="00C81100" w:rsidRPr="00F37389" w:rsidRDefault="00C81100" w:rsidP="007E2DFC">
      <w:pPr>
        <w:rPr>
          <w:rFonts w:eastAsia="?? ??"/>
        </w:rPr>
      </w:pPr>
    </w:p>
    <w:p w14:paraId="1AC0E365" w14:textId="77777777" w:rsidR="00C81100" w:rsidRDefault="00C81100" w:rsidP="0039227E">
      <w:pPr>
        <w:pStyle w:val="Heading5"/>
      </w:pPr>
      <w:r>
        <w:t>10.1.27.2.2</w:t>
      </w:r>
      <w:r>
        <w:tab/>
        <w:t>Relative Accuracy</w:t>
      </w:r>
    </w:p>
    <w:p w14:paraId="74E06B36" w14:textId="77777777" w:rsidR="00C81100" w:rsidRDefault="00C81100" w:rsidP="00C81100">
      <w:pPr>
        <w:rPr>
          <w:rFonts w:cs="v4.2.0"/>
          <w:i/>
        </w:rPr>
      </w:pPr>
      <w:r>
        <w:rPr>
          <w:rFonts w:cs="v4.2.0"/>
        </w:rPr>
        <w:t xml:space="preserve">The relative accuracy of </w:t>
      </w:r>
      <w:r>
        <w:rPr>
          <w:rFonts w:cs="v4.2.0"/>
          <w:lang w:eastAsia="zh-CN"/>
        </w:rPr>
        <w:t>SSB based L1-SINR</w:t>
      </w:r>
      <w:r>
        <w:rPr>
          <w:rFonts w:cs="v4.2.0"/>
        </w:rPr>
        <w:t xml:space="preserve"> is defined as the </w:t>
      </w:r>
      <w:r>
        <w:rPr>
          <w:rFonts w:cs="v4.2.0"/>
          <w:lang w:eastAsia="zh-CN"/>
        </w:rPr>
        <w:t>L1-SINR</w:t>
      </w:r>
      <w:r>
        <w:rPr>
          <w:rFonts w:cs="v4.2.0"/>
        </w:rPr>
        <w:t xml:space="preserve"> measured from one SSB configured as CMR and one IMR configured as IMR compared to the </w:t>
      </w:r>
      <w:r>
        <w:rPr>
          <w:lang w:val="en-US"/>
        </w:rPr>
        <w:t>largest measured value of L1-SINR among all SSBs and IMRs of the serving cell</w:t>
      </w:r>
      <w:r>
        <w:rPr>
          <w:rFonts w:cs="v4.2.0"/>
        </w:rPr>
        <w:t>.</w:t>
      </w:r>
    </w:p>
    <w:p w14:paraId="607DE86E" w14:textId="77777777" w:rsidR="00C81100" w:rsidRDefault="00C81100" w:rsidP="00C81100">
      <w:pPr>
        <w:rPr>
          <w:rFonts w:cs="v4.2.0"/>
        </w:rPr>
      </w:pPr>
      <w:r>
        <w:rPr>
          <w:rFonts w:cs="v4.2.0"/>
        </w:rPr>
        <w:t>The accuracy requirements are defined in Table 10.1.27.2.2-1 for SSB based CMR and NZP-IMR and in Table 10.1.27</w:t>
      </w:r>
      <w:r w:rsidRPr="00313499">
        <w:rPr>
          <w:rFonts w:cs="v4.2.0"/>
        </w:rPr>
        <w:t>.2.</w:t>
      </w:r>
      <w:r>
        <w:rPr>
          <w:rFonts w:cs="v4.2.0"/>
        </w:rPr>
        <w:t>2</w:t>
      </w:r>
      <w:r w:rsidRPr="00313499">
        <w:rPr>
          <w:rFonts w:cs="v4.2.0"/>
        </w:rPr>
        <w:t>-</w:t>
      </w:r>
      <w:r>
        <w:rPr>
          <w:rFonts w:cs="v4.2.0"/>
        </w:rPr>
        <w:t xml:space="preserve">2 for SSB based CMR and ZP-IMR. </w:t>
      </w:r>
    </w:p>
    <w:p w14:paraId="594AC0DD" w14:textId="77777777" w:rsidR="00C81100" w:rsidRDefault="00C81100" w:rsidP="00C81100">
      <w:pPr>
        <w:rPr>
          <w:rFonts w:cs="v4.2.0"/>
        </w:rPr>
      </w:pPr>
      <w:r>
        <w:rPr>
          <w:rFonts w:cs="v4.2.0"/>
        </w:rPr>
        <w:t>The accuracy requirements in Tables 10.1.27.2.2-1 and 10.1.27.2.2-2 are valid under the following conditions:</w:t>
      </w:r>
    </w:p>
    <w:p w14:paraId="23D5D69F" w14:textId="77777777" w:rsidR="00C81100" w:rsidRDefault="00C81100" w:rsidP="00C81100">
      <w:pPr>
        <w:pStyle w:val="B10"/>
      </w:pPr>
      <w:r>
        <w:t>-</w:t>
      </w:r>
      <w:r>
        <w:tab/>
        <w:t>Conditions defined in clause 7.3 of TS 38.101-1 [18] for reference sensitivity are fulfilled.</w:t>
      </w:r>
    </w:p>
    <w:p w14:paraId="5D9760A9" w14:textId="246EEAAF" w:rsidR="00C81100" w:rsidRDefault="00C81100" w:rsidP="00C81100">
      <w:pPr>
        <w:pStyle w:val="B10"/>
      </w:pPr>
      <w:r w:rsidRPr="009C5807">
        <w:rPr>
          <w:rFonts w:eastAsia="PMingLiU"/>
        </w:rPr>
        <w:t>-</w:t>
      </w:r>
      <w:r w:rsidRPr="009C5807">
        <w:rPr>
          <w:rFonts w:eastAsia="PMingLiU"/>
        </w:rPr>
        <w:tab/>
      </w:r>
      <w:r w:rsidRPr="009C5807">
        <w:t>Conditions for L1-</w:t>
      </w:r>
      <w:r>
        <w:t>SINR</w:t>
      </w:r>
      <w:r w:rsidRPr="009C5807">
        <w:t xml:space="preserve"> measurements are fulfilled according to Annex B.2</w:t>
      </w:r>
      <w:r w:rsidR="00FA41EA">
        <w:t>.8.2</w:t>
      </w:r>
      <w:r w:rsidRPr="009C5807">
        <w:t xml:space="preserve"> for a corresponding Band </w:t>
      </w:r>
      <w:r w:rsidRPr="009C5807">
        <w:rPr>
          <w:rFonts w:eastAsia="PMingLiU"/>
        </w:rPr>
        <w:t>for each relevant SSB</w:t>
      </w:r>
      <w:r>
        <w:rPr>
          <w:rFonts w:eastAsia="PMingLiU"/>
        </w:rPr>
        <w:t xml:space="preserve"> based CMR and IMR</w:t>
      </w:r>
      <w:r w:rsidRPr="009C5807">
        <w:t>.</w:t>
      </w:r>
    </w:p>
    <w:p w14:paraId="13641780" w14:textId="77777777" w:rsidR="00C81100" w:rsidRDefault="00C81100" w:rsidP="00C81100">
      <w:pPr>
        <w:pStyle w:val="B10"/>
        <w:rPr>
          <w:lang w:eastAsia="zh-CN"/>
        </w:rPr>
      </w:pPr>
      <w:r>
        <w:rPr>
          <w:lang w:eastAsia="zh-CN"/>
        </w:rPr>
        <w:t>-</w:t>
      </w:r>
      <w:r>
        <w:rPr>
          <w:lang w:eastAsia="zh-CN"/>
        </w:rPr>
        <w:tab/>
        <w:t>The bandwidth of NZP-IMR and ZP-IMR is 48 PRBs and the density is 3.</w:t>
      </w:r>
    </w:p>
    <w:p w14:paraId="01E656C1" w14:textId="0E39736B" w:rsidR="00C81100" w:rsidRDefault="00C81100" w:rsidP="00C81100">
      <w:pPr>
        <w:pStyle w:val="B10"/>
        <w:rPr>
          <w:lang w:eastAsia="zh-CN"/>
        </w:rPr>
      </w:pPr>
      <w:r>
        <w:rPr>
          <w:lang w:eastAsia="zh-CN"/>
        </w:rPr>
        <w:t>-</w:t>
      </w:r>
      <w:r>
        <w:rPr>
          <w:lang w:eastAsia="zh-CN"/>
        </w:rPr>
        <w:tab/>
        <w:t>AWGN</w:t>
      </w:r>
      <w:r w:rsidR="00FA41EA" w:rsidRPr="00FB249D">
        <w:t xml:space="preserve"> </w:t>
      </w:r>
      <w:r w:rsidR="00FA41EA" w:rsidRPr="00B910B8">
        <w:t>radio propagation conditions</w:t>
      </w:r>
      <w:r>
        <w:rPr>
          <w:lang w:eastAsia="zh-CN"/>
        </w:rPr>
        <w:t>.</w:t>
      </w:r>
    </w:p>
    <w:p w14:paraId="7C9AE800" w14:textId="77777777" w:rsidR="00C81100" w:rsidRPr="00012E84" w:rsidRDefault="00C81100" w:rsidP="003852A9">
      <w:pPr>
        <w:rPr>
          <w:lang w:eastAsia="zh-CN"/>
        </w:rPr>
      </w:pPr>
      <w:r w:rsidRPr="003852A9">
        <w:t>The performance with larger bandwidth of NZP-IMR and ZP-IMR is equal to or better than the accuracy requirements</w:t>
      </w:r>
      <w:r>
        <w:rPr>
          <w:rFonts w:eastAsia="PMingLiU"/>
          <w:lang w:eastAsia="zh-CN"/>
        </w:rPr>
        <w:t xml:space="preserve"> in Tables 10.1.27.2.2-1 and 10.1.27.2.2-2.</w:t>
      </w:r>
    </w:p>
    <w:p w14:paraId="5DC3498D" w14:textId="77777777" w:rsidR="00C81100" w:rsidRDefault="00C81100" w:rsidP="003852A9">
      <w:pPr>
        <w:rPr>
          <w:lang w:eastAsia="zh-CN"/>
        </w:rPr>
      </w:pPr>
    </w:p>
    <w:p w14:paraId="27E9993D" w14:textId="77777777" w:rsidR="00C81100" w:rsidRPr="00ED42F6" w:rsidRDefault="00C81100" w:rsidP="00C81100">
      <w:pPr>
        <w:pStyle w:val="TH"/>
      </w:pPr>
      <w:r>
        <w:t>Table 10.1.27.2.2-1: L1-SINR relative accuracy for SSB based CMR and NZP-IMR in FR1</w:t>
      </w:r>
    </w:p>
    <w:tbl>
      <w:tblPr>
        <w:tblW w:w="10172" w:type="dxa"/>
        <w:jc w:val="center"/>
        <w:tblLook w:val="01E0" w:firstRow="1" w:lastRow="1" w:firstColumn="1" w:lastColumn="1" w:noHBand="0" w:noVBand="0"/>
      </w:tblPr>
      <w:tblGrid>
        <w:gridCol w:w="1031"/>
        <w:gridCol w:w="1026"/>
        <w:gridCol w:w="923"/>
        <w:gridCol w:w="11"/>
        <w:gridCol w:w="696"/>
        <w:gridCol w:w="1701"/>
        <w:gridCol w:w="928"/>
        <w:gridCol w:w="976"/>
        <w:gridCol w:w="1440"/>
        <w:gridCol w:w="1440"/>
      </w:tblGrid>
      <w:tr w:rsidR="00C81100" w14:paraId="2B22800B" w14:textId="77777777" w:rsidTr="00AD2F6B">
        <w:trPr>
          <w:jc w:val="center"/>
        </w:trPr>
        <w:tc>
          <w:tcPr>
            <w:tcW w:w="2057" w:type="dxa"/>
            <w:gridSpan w:val="2"/>
            <w:tcBorders>
              <w:top w:val="single" w:sz="4" w:space="0" w:color="auto"/>
              <w:left w:val="single" w:sz="4" w:space="0" w:color="auto"/>
              <w:bottom w:val="single" w:sz="6" w:space="0" w:color="auto"/>
              <w:right w:val="single" w:sz="6" w:space="0" w:color="auto"/>
            </w:tcBorders>
            <w:vAlign w:val="center"/>
            <w:hideMark/>
          </w:tcPr>
          <w:p w14:paraId="47A88C08" w14:textId="77777777" w:rsidR="00C81100" w:rsidRDefault="00C81100" w:rsidP="00AD2F6B">
            <w:pPr>
              <w:pStyle w:val="TAH"/>
            </w:pPr>
            <w:r>
              <w:t>Accuracy</w:t>
            </w:r>
          </w:p>
        </w:tc>
        <w:tc>
          <w:tcPr>
            <w:tcW w:w="8115" w:type="dxa"/>
            <w:gridSpan w:val="8"/>
            <w:tcBorders>
              <w:top w:val="single" w:sz="4" w:space="0" w:color="auto"/>
              <w:left w:val="single" w:sz="6" w:space="0" w:color="auto"/>
              <w:bottom w:val="single" w:sz="6" w:space="0" w:color="auto"/>
              <w:right w:val="single" w:sz="4" w:space="0" w:color="auto"/>
            </w:tcBorders>
            <w:vAlign w:val="center"/>
            <w:hideMark/>
          </w:tcPr>
          <w:p w14:paraId="2810E4B3" w14:textId="77777777" w:rsidR="00C81100" w:rsidRDefault="00C81100" w:rsidP="00AD2F6B">
            <w:pPr>
              <w:pStyle w:val="TAH"/>
            </w:pPr>
            <w:r>
              <w:t>Conditions</w:t>
            </w:r>
          </w:p>
        </w:tc>
      </w:tr>
      <w:tr w:rsidR="00C81100" w14:paraId="04BFF4A5" w14:textId="77777777" w:rsidTr="00AD2F6B">
        <w:trPr>
          <w:jc w:val="center"/>
        </w:trPr>
        <w:tc>
          <w:tcPr>
            <w:tcW w:w="1031" w:type="dxa"/>
            <w:tcBorders>
              <w:top w:val="single" w:sz="6" w:space="0" w:color="auto"/>
              <w:left w:val="single" w:sz="4" w:space="0" w:color="auto"/>
              <w:bottom w:val="nil"/>
              <w:right w:val="single" w:sz="6" w:space="0" w:color="auto"/>
            </w:tcBorders>
            <w:vAlign w:val="center"/>
            <w:hideMark/>
          </w:tcPr>
          <w:p w14:paraId="6596F7BE" w14:textId="77777777" w:rsidR="00C81100" w:rsidRDefault="00C81100" w:rsidP="00AD2F6B">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6BAB1461" w14:textId="77777777" w:rsidR="00C81100" w:rsidRDefault="00C81100" w:rsidP="00AD2F6B">
            <w:pPr>
              <w:pStyle w:val="TAH"/>
            </w:pPr>
            <w:r>
              <w:t>Extreme condition</w:t>
            </w:r>
          </w:p>
        </w:tc>
        <w:tc>
          <w:tcPr>
            <w:tcW w:w="923" w:type="dxa"/>
            <w:tcBorders>
              <w:top w:val="single" w:sz="6" w:space="0" w:color="auto"/>
              <w:left w:val="single" w:sz="6" w:space="0" w:color="auto"/>
              <w:bottom w:val="nil"/>
              <w:right w:val="single" w:sz="6" w:space="0" w:color="auto"/>
            </w:tcBorders>
            <w:vAlign w:val="center"/>
            <w:hideMark/>
          </w:tcPr>
          <w:p w14:paraId="1D39BDB5" w14:textId="77777777" w:rsidR="00C81100" w:rsidRDefault="00C81100" w:rsidP="00AD2F6B">
            <w:pPr>
              <w:pStyle w:val="TAH"/>
            </w:pPr>
            <w:r>
              <w:t xml:space="preserve">SSB- </w:t>
            </w:r>
          </w:p>
          <w:p w14:paraId="4B2F94F5" w14:textId="77777777" w:rsidR="00C81100" w:rsidRDefault="00C81100" w:rsidP="00AD2F6B">
            <w:pPr>
              <w:pStyle w:val="TAH"/>
            </w:pPr>
            <w:r>
              <w:t>CMR</w:t>
            </w:r>
          </w:p>
          <w:p w14:paraId="7B724A6D" w14:textId="2B1E24F7" w:rsidR="00C81100" w:rsidRDefault="00C81100" w:rsidP="00AD2F6B">
            <w:pPr>
              <w:pStyle w:val="TAH"/>
            </w:pPr>
            <w:r>
              <w:t>Ês/Iot</w:t>
            </w:r>
            <w:r w:rsidR="00FA41EA">
              <w:rPr>
                <w:vertAlign w:val="superscript"/>
              </w:rPr>
              <w:t xml:space="preserve"> Note 2</w:t>
            </w:r>
          </w:p>
        </w:tc>
        <w:tc>
          <w:tcPr>
            <w:tcW w:w="707" w:type="dxa"/>
            <w:gridSpan w:val="2"/>
            <w:tcBorders>
              <w:top w:val="single" w:sz="6" w:space="0" w:color="auto"/>
              <w:left w:val="single" w:sz="6" w:space="0" w:color="auto"/>
              <w:bottom w:val="nil"/>
              <w:right w:val="single" w:sz="6" w:space="0" w:color="auto"/>
            </w:tcBorders>
            <w:vAlign w:val="center"/>
          </w:tcPr>
          <w:p w14:paraId="6A9E261D" w14:textId="77777777" w:rsidR="00C81100" w:rsidRDefault="00C81100" w:rsidP="00AD2F6B">
            <w:pPr>
              <w:pStyle w:val="TAH"/>
            </w:pPr>
            <w:r>
              <w:t>NZP-IMR</w:t>
            </w:r>
          </w:p>
          <w:p w14:paraId="502923BD" w14:textId="77777777" w:rsidR="00C81100" w:rsidRDefault="00C81100" w:rsidP="00AD2F6B">
            <w:pPr>
              <w:pStyle w:val="TAH"/>
            </w:pPr>
            <w:r>
              <w:t>Ês/Iot</w:t>
            </w:r>
          </w:p>
        </w:tc>
        <w:tc>
          <w:tcPr>
            <w:tcW w:w="6485" w:type="dxa"/>
            <w:gridSpan w:val="5"/>
            <w:tcBorders>
              <w:top w:val="single" w:sz="6" w:space="0" w:color="auto"/>
              <w:left w:val="single" w:sz="6" w:space="0" w:color="auto"/>
              <w:bottom w:val="single" w:sz="6" w:space="0" w:color="auto"/>
              <w:right w:val="single" w:sz="4" w:space="0" w:color="auto"/>
            </w:tcBorders>
            <w:vAlign w:val="center"/>
            <w:hideMark/>
          </w:tcPr>
          <w:p w14:paraId="554CF781" w14:textId="77777777" w:rsidR="00C81100" w:rsidRDefault="00C81100" w:rsidP="00AD2F6B">
            <w:pPr>
              <w:pStyle w:val="TAH"/>
            </w:pPr>
            <w:r>
              <w:t>Io</w:t>
            </w:r>
            <w:r>
              <w:rPr>
                <w:vertAlign w:val="superscript"/>
              </w:rPr>
              <w:t xml:space="preserve"> Note 1</w:t>
            </w:r>
            <w:r>
              <w:t xml:space="preserve"> range</w:t>
            </w:r>
          </w:p>
        </w:tc>
      </w:tr>
      <w:tr w:rsidR="00C81100" w14:paraId="487BAD1C" w14:textId="77777777" w:rsidTr="00AD2F6B">
        <w:trPr>
          <w:jc w:val="center"/>
        </w:trPr>
        <w:tc>
          <w:tcPr>
            <w:tcW w:w="1031" w:type="dxa"/>
            <w:tcBorders>
              <w:top w:val="nil"/>
              <w:left w:val="single" w:sz="4" w:space="0" w:color="auto"/>
              <w:bottom w:val="single" w:sz="6" w:space="0" w:color="auto"/>
              <w:right w:val="single" w:sz="6" w:space="0" w:color="auto"/>
            </w:tcBorders>
            <w:vAlign w:val="center"/>
          </w:tcPr>
          <w:p w14:paraId="53191D2E"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0581533E" w14:textId="77777777" w:rsidR="00C81100" w:rsidRDefault="00C81100" w:rsidP="00AD2F6B">
            <w:pPr>
              <w:pStyle w:val="TAH"/>
            </w:pPr>
          </w:p>
        </w:tc>
        <w:tc>
          <w:tcPr>
            <w:tcW w:w="934" w:type="dxa"/>
            <w:gridSpan w:val="2"/>
            <w:tcBorders>
              <w:top w:val="nil"/>
              <w:left w:val="single" w:sz="6" w:space="0" w:color="auto"/>
              <w:bottom w:val="single" w:sz="6" w:space="0" w:color="auto"/>
              <w:right w:val="single" w:sz="6" w:space="0" w:color="auto"/>
            </w:tcBorders>
            <w:vAlign w:val="center"/>
          </w:tcPr>
          <w:p w14:paraId="4D6329B8" w14:textId="77777777" w:rsidR="00C81100" w:rsidRDefault="00C81100" w:rsidP="00AD2F6B">
            <w:pPr>
              <w:pStyle w:val="TAH"/>
            </w:pPr>
          </w:p>
        </w:tc>
        <w:tc>
          <w:tcPr>
            <w:tcW w:w="696" w:type="dxa"/>
            <w:tcBorders>
              <w:top w:val="nil"/>
              <w:left w:val="single" w:sz="6" w:space="0" w:color="auto"/>
              <w:bottom w:val="single" w:sz="6" w:space="0" w:color="auto"/>
              <w:right w:val="single" w:sz="6" w:space="0" w:color="auto"/>
            </w:tcBorders>
            <w:vAlign w:val="center"/>
          </w:tcPr>
          <w:p w14:paraId="70445A86" w14:textId="77777777" w:rsidR="00C81100" w:rsidRDefault="00C81100" w:rsidP="00AD2F6B">
            <w:pPr>
              <w:pStyle w:val="TAH"/>
            </w:pPr>
          </w:p>
        </w:tc>
        <w:tc>
          <w:tcPr>
            <w:tcW w:w="1701" w:type="dxa"/>
            <w:tcBorders>
              <w:top w:val="single" w:sz="6" w:space="0" w:color="auto"/>
              <w:left w:val="single" w:sz="6" w:space="0" w:color="auto"/>
              <w:bottom w:val="single" w:sz="6" w:space="0" w:color="auto"/>
              <w:right w:val="single" w:sz="4" w:space="0" w:color="auto"/>
            </w:tcBorders>
            <w:vAlign w:val="center"/>
            <w:hideMark/>
          </w:tcPr>
          <w:p w14:paraId="0951A8FD" w14:textId="4D0D7662" w:rsidR="00C81100" w:rsidRDefault="00C81100" w:rsidP="00AD2F6B">
            <w:pPr>
              <w:pStyle w:val="TAH"/>
            </w:pPr>
            <w:r>
              <w:t>NR operating band groups</w:t>
            </w:r>
            <w:r>
              <w:rPr>
                <w:vertAlign w:val="superscript"/>
              </w:rPr>
              <w:t xml:space="preserve"> Note </w:t>
            </w:r>
            <w:r w:rsidR="00FA41EA">
              <w:rPr>
                <w:vertAlign w:val="superscript"/>
              </w:rPr>
              <w:t>3</w:t>
            </w:r>
          </w:p>
        </w:tc>
        <w:tc>
          <w:tcPr>
            <w:tcW w:w="3344" w:type="dxa"/>
            <w:gridSpan w:val="3"/>
            <w:tcBorders>
              <w:top w:val="single" w:sz="4" w:space="0" w:color="auto"/>
              <w:left w:val="single" w:sz="4" w:space="0" w:color="auto"/>
              <w:bottom w:val="single" w:sz="6" w:space="0" w:color="auto"/>
              <w:right w:val="single" w:sz="6" w:space="0" w:color="auto"/>
            </w:tcBorders>
            <w:vAlign w:val="center"/>
            <w:hideMark/>
          </w:tcPr>
          <w:p w14:paraId="1CCCB160" w14:textId="77777777" w:rsidR="00C81100" w:rsidRDefault="00C811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73BD83F1" w14:textId="77777777" w:rsidR="00C81100" w:rsidRDefault="00C81100" w:rsidP="00AD2F6B">
            <w:pPr>
              <w:pStyle w:val="TAH"/>
            </w:pPr>
            <w:r>
              <w:t>Maximum Io</w:t>
            </w:r>
          </w:p>
        </w:tc>
      </w:tr>
      <w:tr w:rsidR="00C81100" w14:paraId="611D98A7" w14:textId="77777777" w:rsidTr="00AD2F6B">
        <w:trPr>
          <w:trHeight w:val="308"/>
          <w:jc w:val="center"/>
        </w:trPr>
        <w:tc>
          <w:tcPr>
            <w:tcW w:w="1031" w:type="dxa"/>
            <w:tcBorders>
              <w:top w:val="single" w:sz="6" w:space="0" w:color="auto"/>
              <w:left w:val="single" w:sz="4" w:space="0" w:color="auto"/>
              <w:bottom w:val="nil"/>
              <w:right w:val="single" w:sz="6" w:space="0" w:color="auto"/>
            </w:tcBorders>
            <w:vAlign w:val="center"/>
            <w:hideMark/>
          </w:tcPr>
          <w:p w14:paraId="4BACEF0D" w14:textId="77777777" w:rsidR="00C81100" w:rsidRDefault="00C81100" w:rsidP="00AD2F6B">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445BA46F" w14:textId="77777777" w:rsidR="00C81100" w:rsidRDefault="00C81100" w:rsidP="00AD2F6B">
            <w:pPr>
              <w:pStyle w:val="TAH"/>
            </w:pPr>
            <w:r>
              <w:t>dB</w:t>
            </w:r>
          </w:p>
        </w:tc>
        <w:tc>
          <w:tcPr>
            <w:tcW w:w="934" w:type="dxa"/>
            <w:gridSpan w:val="2"/>
            <w:tcBorders>
              <w:top w:val="single" w:sz="6" w:space="0" w:color="auto"/>
              <w:left w:val="single" w:sz="6" w:space="0" w:color="auto"/>
              <w:bottom w:val="nil"/>
              <w:right w:val="single" w:sz="6" w:space="0" w:color="auto"/>
            </w:tcBorders>
            <w:vAlign w:val="center"/>
            <w:hideMark/>
          </w:tcPr>
          <w:p w14:paraId="0AC00095" w14:textId="77777777" w:rsidR="00C81100" w:rsidRDefault="00C81100" w:rsidP="00AD2F6B">
            <w:pPr>
              <w:pStyle w:val="TAH"/>
            </w:pPr>
            <w:r>
              <w:t>dB</w:t>
            </w:r>
          </w:p>
        </w:tc>
        <w:tc>
          <w:tcPr>
            <w:tcW w:w="696" w:type="dxa"/>
            <w:tcBorders>
              <w:top w:val="single" w:sz="6" w:space="0" w:color="auto"/>
              <w:left w:val="single" w:sz="6" w:space="0" w:color="auto"/>
              <w:bottom w:val="nil"/>
              <w:right w:val="single" w:sz="6" w:space="0" w:color="auto"/>
            </w:tcBorders>
            <w:vAlign w:val="center"/>
          </w:tcPr>
          <w:p w14:paraId="02E307D5" w14:textId="77777777" w:rsidR="00C81100" w:rsidRDefault="00C81100" w:rsidP="00AD2F6B">
            <w:pPr>
              <w:pStyle w:val="TAH"/>
            </w:pPr>
            <w:r>
              <w:t>dB</w:t>
            </w:r>
          </w:p>
        </w:tc>
        <w:tc>
          <w:tcPr>
            <w:tcW w:w="1701" w:type="dxa"/>
            <w:tcBorders>
              <w:top w:val="single" w:sz="6" w:space="0" w:color="auto"/>
              <w:left w:val="single" w:sz="6" w:space="0" w:color="auto"/>
              <w:bottom w:val="nil"/>
              <w:right w:val="single" w:sz="4" w:space="0" w:color="auto"/>
            </w:tcBorders>
            <w:vAlign w:val="center"/>
          </w:tcPr>
          <w:p w14:paraId="5AB03697" w14:textId="77777777" w:rsidR="00C81100" w:rsidRDefault="00C81100" w:rsidP="00AD2F6B">
            <w:pPr>
              <w:pStyle w:val="TAH"/>
            </w:pPr>
          </w:p>
        </w:tc>
        <w:tc>
          <w:tcPr>
            <w:tcW w:w="1904" w:type="dxa"/>
            <w:gridSpan w:val="2"/>
            <w:tcBorders>
              <w:top w:val="single" w:sz="6" w:space="0" w:color="auto"/>
              <w:left w:val="single" w:sz="4" w:space="0" w:color="auto"/>
              <w:bottom w:val="single" w:sz="6" w:space="0" w:color="auto"/>
              <w:right w:val="single" w:sz="6" w:space="0" w:color="auto"/>
            </w:tcBorders>
            <w:vAlign w:val="center"/>
            <w:hideMark/>
          </w:tcPr>
          <w:p w14:paraId="352B3240" w14:textId="77777777" w:rsidR="00C81100" w:rsidRDefault="00C81100" w:rsidP="00AD2F6B">
            <w:pPr>
              <w:pStyle w:val="TAH"/>
            </w:pPr>
            <w:r>
              <w:rPr>
                <w:rFonts w:cs="Arial"/>
              </w:rPr>
              <w:t xml:space="preserve">dBm / </w:t>
            </w:r>
            <w:r>
              <w:t>SCS</w:t>
            </w:r>
            <w:r>
              <w:rPr>
                <w:vertAlign w:val="subscript"/>
              </w:rPr>
              <w:t>SSB</w:t>
            </w:r>
          </w:p>
        </w:tc>
        <w:tc>
          <w:tcPr>
            <w:tcW w:w="1440" w:type="dxa"/>
            <w:tcBorders>
              <w:top w:val="single" w:sz="6" w:space="0" w:color="auto"/>
              <w:left w:val="single" w:sz="6" w:space="0" w:color="auto"/>
              <w:bottom w:val="nil"/>
              <w:right w:val="single" w:sz="6" w:space="0" w:color="auto"/>
            </w:tcBorders>
            <w:vAlign w:val="center"/>
            <w:hideMark/>
          </w:tcPr>
          <w:p w14:paraId="5533813D" w14:textId="77777777" w:rsidR="00C81100" w:rsidRDefault="00C811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33F1DFA5" w14:textId="77777777" w:rsidR="00C81100" w:rsidRDefault="00C81100" w:rsidP="00AD2F6B">
            <w:pPr>
              <w:pStyle w:val="TAH"/>
            </w:pPr>
            <w:r>
              <w:t>dBm/BW</w:t>
            </w:r>
            <w:r>
              <w:rPr>
                <w:vertAlign w:val="subscript"/>
              </w:rPr>
              <w:t>Channel</w:t>
            </w:r>
          </w:p>
        </w:tc>
      </w:tr>
      <w:tr w:rsidR="00C81100" w14:paraId="7DD75751" w14:textId="77777777" w:rsidTr="00AD2F6B">
        <w:trPr>
          <w:trHeight w:val="307"/>
          <w:jc w:val="center"/>
        </w:trPr>
        <w:tc>
          <w:tcPr>
            <w:tcW w:w="1031" w:type="dxa"/>
            <w:tcBorders>
              <w:top w:val="nil"/>
              <w:left w:val="single" w:sz="4" w:space="0" w:color="auto"/>
              <w:bottom w:val="single" w:sz="6" w:space="0" w:color="auto"/>
              <w:right w:val="single" w:sz="6" w:space="0" w:color="auto"/>
            </w:tcBorders>
          </w:tcPr>
          <w:p w14:paraId="47762518"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tcPr>
          <w:p w14:paraId="1A79EF2D" w14:textId="77777777" w:rsidR="00C81100" w:rsidRDefault="00C81100" w:rsidP="00AD2F6B">
            <w:pPr>
              <w:pStyle w:val="TAH"/>
            </w:pPr>
          </w:p>
        </w:tc>
        <w:tc>
          <w:tcPr>
            <w:tcW w:w="934" w:type="dxa"/>
            <w:gridSpan w:val="2"/>
            <w:tcBorders>
              <w:top w:val="nil"/>
              <w:left w:val="single" w:sz="6" w:space="0" w:color="auto"/>
              <w:bottom w:val="single" w:sz="6" w:space="0" w:color="auto"/>
              <w:right w:val="single" w:sz="6" w:space="0" w:color="auto"/>
            </w:tcBorders>
          </w:tcPr>
          <w:p w14:paraId="52D94293" w14:textId="77777777" w:rsidR="00C81100" w:rsidRDefault="00C81100" w:rsidP="00AD2F6B">
            <w:pPr>
              <w:pStyle w:val="TAH"/>
            </w:pPr>
          </w:p>
        </w:tc>
        <w:tc>
          <w:tcPr>
            <w:tcW w:w="696" w:type="dxa"/>
            <w:tcBorders>
              <w:top w:val="nil"/>
              <w:left w:val="single" w:sz="6" w:space="0" w:color="auto"/>
              <w:bottom w:val="single" w:sz="6" w:space="0" w:color="auto"/>
              <w:right w:val="single" w:sz="6" w:space="0" w:color="auto"/>
            </w:tcBorders>
          </w:tcPr>
          <w:p w14:paraId="73DBE833" w14:textId="77777777" w:rsidR="00C81100" w:rsidRDefault="00C81100" w:rsidP="00AD2F6B">
            <w:pPr>
              <w:pStyle w:val="TAH"/>
            </w:pPr>
          </w:p>
        </w:tc>
        <w:tc>
          <w:tcPr>
            <w:tcW w:w="1701" w:type="dxa"/>
            <w:tcBorders>
              <w:top w:val="nil"/>
              <w:left w:val="single" w:sz="6" w:space="0" w:color="auto"/>
              <w:bottom w:val="single" w:sz="6" w:space="0" w:color="auto"/>
              <w:right w:val="single" w:sz="4" w:space="0" w:color="auto"/>
            </w:tcBorders>
          </w:tcPr>
          <w:p w14:paraId="5667F4D2" w14:textId="77777777" w:rsidR="00C81100" w:rsidRDefault="00C81100" w:rsidP="00AD2F6B">
            <w:pPr>
              <w:pStyle w:val="TAH"/>
            </w:pPr>
          </w:p>
        </w:tc>
        <w:tc>
          <w:tcPr>
            <w:tcW w:w="928" w:type="dxa"/>
            <w:tcBorders>
              <w:top w:val="single" w:sz="6" w:space="0" w:color="auto"/>
              <w:left w:val="single" w:sz="4" w:space="0" w:color="auto"/>
              <w:bottom w:val="single" w:sz="6" w:space="0" w:color="auto"/>
              <w:right w:val="single" w:sz="6" w:space="0" w:color="auto"/>
            </w:tcBorders>
            <w:hideMark/>
          </w:tcPr>
          <w:p w14:paraId="6D2805B6" w14:textId="77777777" w:rsidR="00C81100" w:rsidRDefault="00C81100" w:rsidP="00AD2F6B">
            <w:pPr>
              <w:pStyle w:val="TAH"/>
              <w:rPr>
                <w:rFonts w:cs="Arial"/>
              </w:rPr>
            </w:pPr>
            <w:r>
              <w:t>SCS</w:t>
            </w:r>
            <w:r>
              <w:rPr>
                <w:vertAlign w:val="subscript"/>
              </w:rPr>
              <w:t>SSB</w:t>
            </w:r>
            <w:r>
              <w:rPr>
                <w:rFonts w:cs="Arial"/>
              </w:rPr>
              <w:t xml:space="preserve"> = 15 kHz</w:t>
            </w:r>
          </w:p>
        </w:tc>
        <w:tc>
          <w:tcPr>
            <w:tcW w:w="976" w:type="dxa"/>
            <w:tcBorders>
              <w:top w:val="single" w:sz="6" w:space="0" w:color="auto"/>
              <w:left w:val="single" w:sz="4" w:space="0" w:color="auto"/>
              <w:bottom w:val="single" w:sz="6" w:space="0" w:color="auto"/>
              <w:right w:val="single" w:sz="6" w:space="0" w:color="auto"/>
            </w:tcBorders>
            <w:hideMark/>
          </w:tcPr>
          <w:p w14:paraId="337006C3" w14:textId="77777777" w:rsidR="00C81100" w:rsidRDefault="00C81100" w:rsidP="00AD2F6B">
            <w:pPr>
              <w:pStyle w:val="TAH"/>
              <w:rPr>
                <w:rFonts w:cs="Arial"/>
              </w:rPr>
            </w:pPr>
            <w:r>
              <w:t>SCS</w:t>
            </w:r>
            <w:r>
              <w:rPr>
                <w:vertAlign w:val="subscript"/>
              </w:rPr>
              <w:t>SSB</w:t>
            </w:r>
            <w:r>
              <w:rPr>
                <w:rFonts w:cs="Arial"/>
              </w:rPr>
              <w:t xml:space="preserve"> = 30 kHz</w:t>
            </w:r>
          </w:p>
        </w:tc>
        <w:tc>
          <w:tcPr>
            <w:tcW w:w="1440" w:type="dxa"/>
            <w:tcBorders>
              <w:top w:val="nil"/>
              <w:left w:val="single" w:sz="6" w:space="0" w:color="auto"/>
              <w:bottom w:val="single" w:sz="6" w:space="0" w:color="auto"/>
              <w:right w:val="single" w:sz="6" w:space="0" w:color="auto"/>
            </w:tcBorders>
          </w:tcPr>
          <w:p w14:paraId="6BC03330" w14:textId="77777777" w:rsidR="00C81100" w:rsidRDefault="00C81100" w:rsidP="00AD2F6B">
            <w:pPr>
              <w:pStyle w:val="TAH"/>
            </w:pPr>
          </w:p>
        </w:tc>
        <w:tc>
          <w:tcPr>
            <w:tcW w:w="1440" w:type="dxa"/>
            <w:tcBorders>
              <w:top w:val="nil"/>
              <w:left w:val="single" w:sz="6" w:space="0" w:color="auto"/>
              <w:bottom w:val="single" w:sz="6" w:space="0" w:color="auto"/>
              <w:right w:val="single" w:sz="4" w:space="0" w:color="auto"/>
            </w:tcBorders>
          </w:tcPr>
          <w:p w14:paraId="4778BC29" w14:textId="77777777" w:rsidR="00C81100" w:rsidRDefault="00C81100" w:rsidP="00AD2F6B">
            <w:pPr>
              <w:pStyle w:val="TAH"/>
            </w:pPr>
          </w:p>
        </w:tc>
      </w:tr>
      <w:tr w:rsidR="00C81100" w14:paraId="03ED9A94" w14:textId="77777777" w:rsidTr="00AD2F6B">
        <w:trPr>
          <w:jc w:val="center"/>
        </w:trPr>
        <w:tc>
          <w:tcPr>
            <w:tcW w:w="1031" w:type="dxa"/>
            <w:tcBorders>
              <w:top w:val="single" w:sz="6" w:space="0" w:color="auto"/>
              <w:left w:val="single" w:sz="4" w:space="0" w:color="auto"/>
              <w:bottom w:val="nil"/>
              <w:right w:val="single" w:sz="6" w:space="0" w:color="auto"/>
            </w:tcBorders>
          </w:tcPr>
          <w:p w14:paraId="493DCA3E" w14:textId="77777777" w:rsidR="00C81100" w:rsidRDefault="00C81100" w:rsidP="00AD2F6B">
            <w:pPr>
              <w:pStyle w:val="TAC"/>
            </w:pPr>
          </w:p>
        </w:tc>
        <w:tc>
          <w:tcPr>
            <w:tcW w:w="1026" w:type="dxa"/>
            <w:tcBorders>
              <w:top w:val="single" w:sz="6" w:space="0" w:color="auto"/>
              <w:left w:val="single" w:sz="6" w:space="0" w:color="auto"/>
              <w:bottom w:val="nil"/>
              <w:right w:val="single" w:sz="6" w:space="0" w:color="auto"/>
            </w:tcBorders>
          </w:tcPr>
          <w:p w14:paraId="62848443" w14:textId="77777777" w:rsidR="00C81100" w:rsidRDefault="00C81100" w:rsidP="00AD2F6B">
            <w:pPr>
              <w:pStyle w:val="TAC"/>
            </w:pPr>
          </w:p>
        </w:tc>
        <w:tc>
          <w:tcPr>
            <w:tcW w:w="934" w:type="dxa"/>
            <w:gridSpan w:val="2"/>
            <w:tcBorders>
              <w:top w:val="single" w:sz="6" w:space="0" w:color="auto"/>
              <w:left w:val="single" w:sz="6" w:space="0" w:color="auto"/>
              <w:bottom w:val="nil"/>
              <w:right w:val="single" w:sz="6" w:space="0" w:color="auto"/>
            </w:tcBorders>
          </w:tcPr>
          <w:p w14:paraId="10D2F315" w14:textId="77777777" w:rsidR="00C81100" w:rsidRDefault="00C81100" w:rsidP="00AD2F6B">
            <w:pPr>
              <w:pStyle w:val="TAC"/>
            </w:pPr>
          </w:p>
        </w:tc>
        <w:tc>
          <w:tcPr>
            <w:tcW w:w="696" w:type="dxa"/>
            <w:tcBorders>
              <w:top w:val="single" w:sz="6" w:space="0" w:color="auto"/>
              <w:left w:val="single" w:sz="6" w:space="0" w:color="auto"/>
              <w:bottom w:val="nil"/>
              <w:right w:val="single" w:sz="6" w:space="0" w:color="auto"/>
            </w:tcBorders>
          </w:tcPr>
          <w:p w14:paraId="07C41FF5"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0A0ABDBE" w14:textId="77777777" w:rsidR="00C81100" w:rsidRDefault="00C81100" w:rsidP="00AD2F6B">
            <w:pPr>
              <w:pStyle w:val="TAC"/>
            </w:pPr>
            <w:r>
              <w:t>NR_FDD_FR1_A, NR_TDD_FR1_A, NR_SDL_FR1_A</w:t>
            </w:r>
          </w:p>
        </w:tc>
        <w:tc>
          <w:tcPr>
            <w:tcW w:w="928" w:type="dxa"/>
            <w:tcBorders>
              <w:top w:val="single" w:sz="6" w:space="0" w:color="auto"/>
              <w:left w:val="single" w:sz="4" w:space="0" w:color="auto"/>
              <w:bottom w:val="single" w:sz="6" w:space="0" w:color="auto"/>
              <w:right w:val="single" w:sz="6" w:space="0" w:color="auto"/>
            </w:tcBorders>
            <w:hideMark/>
          </w:tcPr>
          <w:p w14:paraId="591DDD4A" w14:textId="77777777" w:rsidR="00C81100" w:rsidRDefault="00C81100" w:rsidP="00AD2F6B">
            <w:pPr>
              <w:pStyle w:val="TAC"/>
            </w:pPr>
            <w:r>
              <w:t>-121</w:t>
            </w:r>
          </w:p>
        </w:tc>
        <w:tc>
          <w:tcPr>
            <w:tcW w:w="976" w:type="dxa"/>
            <w:tcBorders>
              <w:top w:val="single" w:sz="6" w:space="0" w:color="auto"/>
              <w:left w:val="single" w:sz="4" w:space="0" w:color="auto"/>
              <w:bottom w:val="single" w:sz="6" w:space="0" w:color="auto"/>
              <w:right w:val="single" w:sz="6" w:space="0" w:color="auto"/>
            </w:tcBorders>
            <w:hideMark/>
          </w:tcPr>
          <w:p w14:paraId="69BF53B8" w14:textId="77777777" w:rsidR="00C81100" w:rsidRDefault="00C81100" w:rsidP="00AD2F6B">
            <w:pPr>
              <w:pStyle w:val="TAC"/>
            </w:pPr>
            <w:r>
              <w:t>-118</w:t>
            </w:r>
          </w:p>
        </w:tc>
        <w:tc>
          <w:tcPr>
            <w:tcW w:w="1440" w:type="dxa"/>
            <w:tcBorders>
              <w:top w:val="single" w:sz="6" w:space="0" w:color="auto"/>
              <w:left w:val="single" w:sz="6" w:space="0" w:color="auto"/>
              <w:bottom w:val="single" w:sz="6" w:space="0" w:color="auto"/>
              <w:right w:val="single" w:sz="6" w:space="0" w:color="auto"/>
            </w:tcBorders>
            <w:hideMark/>
          </w:tcPr>
          <w:p w14:paraId="6BFBB300"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20EFC30" w14:textId="77777777" w:rsidR="00C81100" w:rsidRDefault="00C81100" w:rsidP="00AD2F6B">
            <w:pPr>
              <w:pStyle w:val="TAC"/>
            </w:pPr>
            <w:r>
              <w:t>-50</w:t>
            </w:r>
          </w:p>
        </w:tc>
      </w:tr>
      <w:tr w:rsidR="00C81100" w14:paraId="4FAA083A" w14:textId="77777777" w:rsidTr="00AD2F6B">
        <w:trPr>
          <w:jc w:val="center"/>
        </w:trPr>
        <w:tc>
          <w:tcPr>
            <w:tcW w:w="1031" w:type="dxa"/>
            <w:tcBorders>
              <w:top w:val="nil"/>
              <w:left w:val="single" w:sz="4" w:space="0" w:color="auto"/>
              <w:bottom w:val="nil"/>
              <w:right w:val="single" w:sz="6" w:space="0" w:color="auto"/>
            </w:tcBorders>
          </w:tcPr>
          <w:p w14:paraId="4D4FCAC6"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0922F1D0"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1CA370E9"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452F64E6"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463EA59E" w14:textId="77777777" w:rsidR="00C81100" w:rsidRDefault="00C81100" w:rsidP="00AD2F6B">
            <w:pPr>
              <w:pStyle w:val="TAC"/>
            </w:pPr>
            <w:r>
              <w:t>NR_FDD_FR1_B</w:t>
            </w:r>
          </w:p>
        </w:tc>
        <w:tc>
          <w:tcPr>
            <w:tcW w:w="928" w:type="dxa"/>
            <w:tcBorders>
              <w:top w:val="single" w:sz="6" w:space="0" w:color="auto"/>
              <w:left w:val="single" w:sz="4" w:space="0" w:color="auto"/>
              <w:bottom w:val="single" w:sz="6" w:space="0" w:color="auto"/>
              <w:right w:val="single" w:sz="6" w:space="0" w:color="auto"/>
            </w:tcBorders>
            <w:hideMark/>
          </w:tcPr>
          <w:p w14:paraId="6C6484F9" w14:textId="77777777" w:rsidR="00C81100" w:rsidRDefault="00C81100" w:rsidP="00AD2F6B">
            <w:pPr>
              <w:pStyle w:val="TAC"/>
            </w:pPr>
            <w:r>
              <w:t>-120.5</w:t>
            </w:r>
          </w:p>
        </w:tc>
        <w:tc>
          <w:tcPr>
            <w:tcW w:w="976" w:type="dxa"/>
            <w:tcBorders>
              <w:top w:val="single" w:sz="6" w:space="0" w:color="auto"/>
              <w:left w:val="single" w:sz="4" w:space="0" w:color="auto"/>
              <w:bottom w:val="single" w:sz="6" w:space="0" w:color="auto"/>
              <w:right w:val="single" w:sz="6" w:space="0" w:color="auto"/>
            </w:tcBorders>
            <w:hideMark/>
          </w:tcPr>
          <w:p w14:paraId="674E37D8" w14:textId="77777777" w:rsidR="00C81100" w:rsidRDefault="00C81100" w:rsidP="00AD2F6B">
            <w:pPr>
              <w:pStyle w:val="TAC"/>
              <w:rPr>
                <w:lang w:val="sv-SE"/>
              </w:rPr>
            </w:pPr>
            <w:r>
              <w:t>-117.5</w:t>
            </w:r>
          </w:p>
        </w:tc>
        <w:tc>
          <w:tcPr>
            <w:tcW w:w="1440" w:type="dxa"/>
            <w:tcBorders>
              <w:top w:val="single" w:sz="6" w:space="0" w:color="auto"/>
              <w:left w:val="single" w:sz="6" w:space="0" w:color="auto"/>
              <w:bottom w:val="single" w:sz="6" w:space="0" w:color="auto"/>
              <w:right w:val="single" w:sz="6" w:space="0" w:color="auto"/>
            </w:tcBorders>
            <w:hideMark/>
          </w:tcPr>
          <w:p w14:paraId="3EC14F2E"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9077F44" w14:textId="77777777" w:rsidR="00C81100" w:rsidRDefault="00C81100" w:rsidP="00AD2F6B">
            <w:pPr>
              <w:pStyle w:val="TAC"/>
            </w:pPr>
            <w:r>
              <w:t>-50</w:t>
            </w:r>
          </w:p>
        </w:tc>
      </w:tr>
      <w:tr w:rsidR="00C81100" w14:paraId="00B607B3" w14:textId="77777777" w:rsidTr="00AD2F6B">
        <w:trPr>
          <w:jc w:val="center"/>
        </w:trPr>
        <w:tc>
          <w:tcPr>
            <w:tcW w:w="1031" w:type="dxa"/>
            <w:tcBorders>
              <w:top w:val="nil"/>
              <w:left w:val="single" w:sz="4" w:space="0" w:color="auto"/>
              <w:bottom w:val="nil"/>
              <w:right w:val="single" w:sz="6" w:space="0" w:color="auto"/>
            </w:tcBorders>
          </w:tcPr>
          <w:p w14:paraId="490A7F92"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32CCF076"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7B31B256"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3C93746B"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7FE60B5A" w14:textId="77777777" w:rsidR="00C81100" w:rsidRDefault="00C81100" w:rsidP="00AD2F6B">
            <w:pPr>
              <w:pStyle w:val="TAC"/>
            </w:pPr>
            <w:r>
              <w:t>NR_TDD_FR1_C</w:t>
            </w:r>
          </w:p>
        </w:tc>
        <w:tc>
          <w:tcPr>
            <w:tcW w:w="928" w:type="dxa"/>
            <w:tcBorders>
              <w:top w:val="single" w:sz="6" w:space="0" w:color="auto"/>
              <w:left w:val="single" w:sz="4" w:space="0" w:color="auto"/>
              <w:bottom w:val="single" w:sz="6" w:space="0" w:color="auto"/>
              <w:right w:val="single" w:sz="6" w:space="0" w:color="auto"/>
            </w:tcBorders>
            <w:hideMark/>
          </w:tcPr>
          <w:p w14:paraId="374E7DC6" w14:textId="77777777" w:rsidR="00C81100" w:rsidRDefault="00C81100" w:rsidP="00AD2F6B">
            <w:pPr>
              <w:pStyle w:val="TAC"/>
            </w:pPr>
            <w:r>
              <w:t>-120</w:t>
            </w:r>
          </w:p>
        </w:tc>
        <w:tc>
          <w:tcPr>
            <w:tcW w:w="976" w:type="dxa"/>
            <w:tcBorders>
              <w:top w:val="single" w:sz="6" w:space="0" w:color="auto"/>
              <w:left w:val="single" w:sz="4" w:space="0" w:color="auto"/>
              <w:bottom w:val="single" w:sz="6" w:space="0" w:color="auto"/>
              <w:right w:val="single" w:sz="6" w:space="0" w:color="auto"/>
            </w:tcBorders>
            <w:hideMark/>
          </w:tcPr>
          <w:p w14:paraId="593BD4FE" w14:textId="77777777" w:rsidR="00C81100" w:rsidRDefault="00C81100" w:rsidP="00AD2F6B">
            <w:pPr>
              <w:pStyle w:val="TAC"/>
              <w:rPr>
                <w:lang w:val="sv-SE"/>
              </w:rPr>
            </w:pPr>
            <w:r>
              <w:t>-117</w:t>
            </w:r>
          </w:p>
        </w:tc>
        <w:tc>
          <w:tcPr>
            <w:tcW w:w="1440" w:type="dxa"/>
            <w:tcBorders>
              <w:top w:val="single" w:sz="6" w:space="0" w:color="auto"/>
              <w:left w:val="single" w:sz="6" w:space="0" w:color="auto"/>
              <w:bottom w:val="single" w:sz="6" w:space="0" w:color="auto"/>
              <w:right w:val="single" w:sz="6" w:space="0" w:color="auto"/>
            </w:tcBorders>
            <w:hideMark/>
          </w:tcPr>
          <w:p w14:paraId="6766F9B9"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74872C29" w14:textId="77777777" w:rsidR="00C81100" w:rsidRDefault="00C81100" w:rsidP="00AD2F6B">
            <w:pPr>
              <w:pStyle w:val="TAC"/>
            </w:pPr>
            <w:r>
              <w:t>-50</w:t>
            </w:r>
          </w:p>
        </w:tc>
      </w:tr>
      <w:tr w:rsidR="00C81100" w14:paraId="549B5185" w14:textId="77777777" w:rsidTr="00AD2F6B">
        <w:trPr>
          <w:jc w:val="center"/>
        </w:trPr>
        <w:tc>
          <w:tcPr>
            <w:tcW w:w="1031" w:type="dxa"/>
            <w:tcBorders>
              <w:top w:val="nil"/>
              <w:left w:val="single" w:sz="4" w:space="0" w:color="auto"/>
              <w:bottom w:val="nil"/>
              <w:right w:val="single" w:sz="6" w:space="0" w:color="auto"/>
            </w:tcBorders>
            <w:hideMark/>
          </w:tcPr>
          <w:p w14:paraId="62521998" w14:textId="77777777" w:rsidR="00C81100" w:rsidRDefault="00C81100" w:rsidP="00AD2F6B">
            <w:pPr>
              <w:pStyle w:val="TAC"/>
            </w:pPr>
            <w:r>
              <w:rPr>
                <w:rFonts w:cs="Arial"/>
              </w:rPr>
              <w:t>±[3.0]</w:t>
            </w:r>
          </w:p>
        </w:tc>
        <w:tc>
          <w:tcPr>
            <w:tcW w:w="1026" w:type="dxa"/>
            <w:tcBorders>
              <w:top w:val="nil"/>
              <w:left w:val="single" w:sz="6" w:space="0" w:color="auto"/>
              <w:bottom w:val="nil"/>
              <w:right w:val="single" w:sz="6" w:space="0" w:color="auto"/>
            </w:tcBorders>
            <w:hideMark/>
          </w:tcPr>
          <w:p w14:paraId="02ACC593" w14:textId="77777777" w:rsidR="00C81100" w:rsidRDefault="00C81100" w:rsidP="00AD2F6B">
            <w:pPr>
              <w:pStyle w:val="TAC"/>
            </w:pPr>
            <w:r>
              <w:rPr>
                <w:rFonts w:cs="Arial"/>
              </w:rPr>
              <w:t>±[4.0]</w:t>
            </w:r>
          </w:p>
        </w:tc>
        <w:tc>
          <w:tcPr>
            <w:tcW w:w="934" w:type="dxa"/>
            <w:gridSpan w:val="2"/>
            <w:tcBorders>
              <w:top w:val="nil"/>
              <w:left w:val="single" w:sz="6" w:space="0" w:color="auto"/>
              <w:bottom w:val="nil"/>
              <w:right w:val="single" w:sz="6" w:space="0" w:color="auto"/>
            </w:tcBorders>
            <w:hideMark/>
          </w:tcPr>
          <w:p w14:paraId="39243FD1" w14:textId="77777777" w:rsidR="00C81100" w:rsidRDefault="00C81100" w:rsidP="00AD2F6B">
            <w:pPr>
              <w:pStyle w:val="TAC"/>
            </w:pPr>
            <w:r>
              <w:sym w:font="Symbol" w:char="F0B3"/>
            </w:r>
            <w:r>
              <w:t>0</w:t>
            </w:r>
          </w:p>
        </w:tc>
        <w:tc>
          <w:tcPr>
            <w:tcW w:w="696" w:type="dxa"/>
            <w:tcBorders>
              <w:top w:val="nil"/>
              <w:left w:val="single" w:sz="6" w:space="0" w:color="auto"/>
              <w:bottom w:val="nil"/>
              <w:right w:val="single" w:sz="6" w:space="0" w:color="auto"/>
            </w:tcBorders>
          </w:tcPr>
          <w:p w14:paraId="3EB0FD3C" w14:textId="77777777" w:rsidR="00C81100" w:rsidRDefault="00C81100" w:rsidP="00AD2F6B">
            <w:pPr>
              <w:pStyle w:val="TAC"/>
            </w:pPr>
            <w:r>
              <w:sym w:font="Symbol" w:char="F0B3"/>
            </w:r>
            <w:r>
              <w:t>0</w:t>
            </w:r>
          </w:p>
        </w:tc>
        <w:tc>
          <w:tcPr>
            <w:tcW w:w="1701" w:type="dxa"/>
            <w:tcBorders>
              <w:top w:val="single" w:sz="6" w:space="0" w:color="auto"/>
              <w:left w:val="single" w:sz="6" w:space="0" w:color="auto"/>
              <w:bottom w:val="single" w:sz="6" w:space="0" w:color="auto"/>
              <w:right w:val="single" w:sz="4" w:space="0" w:color="auto"/>
            </w:tcBorders>
            <w:hideMark/>
          </w:tcPr>
          <w:p w14:paraId="26EFBC24" w14:textId="77777777" w:rsidR="00C81100" w:rsidRDefault="00C81100" w:rsidP="00AD2F6B">
            <w:pPr>
              <w:pStyle w:val="TAC"/>
              <w:rPr>
                <w:lang w:val="sv-SE"/>
              </w:rPr>
            </w:pPr>
            <w:r>
              <w:rPr>
                <w:lang w:val="sv-SE"/>
              </w:rPr>
              <w:t>NR_FDD_FR1_D, NR_TDD_FR1_D</w:t>
            </w:r>
          </w:p>
        </w:tc>
        <w:tc>
          <w:tcPr>
            <w:tcW w:w="928" w:type="dxa"/>
            <w:tcBorders>
              <w:top w:val="single" w:sz="6" w:space="0" w:color="auto"/>
              <w:left w:val="single" w:sz="4" w:space="0" w:color="auto"/>
              <w:bottom w:val="single" w:sz="6" w:space="0" w:color="auto"/>
              <w:right w:val="single" w:sz="6" w:space="0" w:color="auto"/>
            </w:tcBorders>
            <w:hideMark/>
          </w:tcPr>
          <w:p w14:paraId="561186A5" w14:textId="77777777" w:rsidR="00C81100" w:rsidRDefault="00C81100" w:rsidP="00AD2F6B">
            <w:pPr>
              <w:pStyle w:val="TAC"/>
            </w:pPr>
            <w:r>
              <w:t>-119.5</w:t>
            </w:r>
          </w:p>
        </w:tc>
        <w:tc>
          <w:tcPr>
            <w:tcW w:w="976" w:type="dxa"/>
            <w:tcBorders>
              <w:top w:val="single" w:sz="6" w:space="0" w:color="auto"/>
              <w:left w:val="single" w:sz="4" w:space="0" w:color="auto"/>
              <w:bottom w:val="single" w:sz="6" w:space="0" w:color="auto"/>
              <w:right w:val="single" w:sz="6" w:space="0" w:color="auto"/>
            </w:tcBorders>
            <w:hideMark/>
          </w:tcPr>
          <w:p w14:paraId="79675269" w14:textId="77777777" w:rsidR="00C81100" w:rsidRDefault="00C81100" w:rsidP="00AD2F6B">
            <w:pPr>
              <w:pStyle w:val="TAC"/>
            </w:pPr>
            <w:r>
              <w:t>-116.5</w:t>
            </w:r>
          </w:p>
        </w:tc>
        <w:tc>
          <w:tcPr>
            <w:tcW w:w="1440" w:type="dxa"/>
            <w:tcBorders>
              <w:top w:val="single" w:sz="6" w:space="0" w:color="auto"/>
              <w:left w:val="single" w:sz="6" w:space="0" w:color="auto"/>
              <w:bottom w:val="single" w:sz="6" w:space="0" w:color="auto"/>
              <w:right w:val="single" w:sz="6" w:space="0" w:color="auto"/>
            </w:tcBorders>
            <w:hideMark/>
          </w:tcPr>
          <w:p w14:paraId="0BD18A9F"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0BFAEA3" w14:textId="77777777" w:rsidR="00C81100" w:rsidRDefault="00C81100" w:rsidP="00AD2F6B">
            <w:pPr>
              <w:pStyle w:val="TAC"/>
            </w:pPr>
            <w:r>
              <w:t>-50</w:t>
            </w:r>
          </w:p>
        </w:tc>
      </w:tr>
      <w:tr w:rsidR="00C81100" w14:paraId="026D15F4" w14:textId="77777777" w:rsidTr="00AD2F6B">
        <w:trPr>
          <w:jc w:val="center"/>
        </w:trPr>
        <w:tc>
          <w:tcPr>
            <w:tcW w:w="1031" w:type="dxa"/>
            <w:tcBorders>
              <w:top w:val="nil"/>
              <w:left w:val="single" w:sz="4" w:space="0" w:color="auto"/>
              <w:bottom w:val="nil"/>
              <w:right w:val="single" w:sz="6" w:space="0" w:color="auto"/>
            </w:tcBorders>
          </w:tcPr>
          <w:p w14:paraId="65933EE5"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CE0CBDA"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36F96348"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18628904"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172F1959" w14:textId="77777777" w:rsidR="00C81100" w:rsidRDefault="00C81100" w:rsidP="00AD2F6B">
            <w:pPr>
              <w:pStyle w:val="TAC"/>
              <w:rPr>
                <w:lang w:val="sv-SE"/>
              </w:rPr>
            </w:pPr>
            <w:r>
              <w:rPr>
                <w:lang w:val="sv-SE"/>
              </w:rPr>
              <w:t>NR_FDD_FR1_E, NR_TDD_FR1_E</w:t>
            </w:r>
          </w:p>
        </w:tc>
        <w:tc>
          <w:tcPr>
            <w:tcW w:w="928" w:type="dxa"/>
            <w:tcBorders>
              <w:top w:val="single" w:sz="6" w:space="0" w:color="auto"/>
              <w:left w:val="single" w:sz="4" w:space="0" w:color="auto"/>
              <w:bottom w:val="single" w:sz="6" w:space="0" w:color="auto"/>
              <w:right w:val="single" w:sz="6" w:space="0" w:color="auto"/>
            </w:tcBorders>
            <w:hideMark/>
          </w:tcPr>
          <w:p w14:paraId="04EC3C55" w14:textId="77777777" w:rsidR="00C81100" w:rsidRDefault="00C81100" w:rsidP="00AD2F6B">
            <w:pPr>
              <w:pStyle w:val="TAC"/>
            </w:pPr>
            <w:r>
              <w:t>-119</w:t>
            </w:r>
          </w:p>
        </w:tc>
        <w:tc>
          <w:tcPr>
            <w:tcW w:w="976" w:type="dxa"/>
            <w:tcBorders>
              <w:top w:val="single" w:sz="6" w:space="0" w:color="auto"/>
              <w:left w:val="single" w:sz="4" w:space="0" w:color="auto"/>
              <w:bottom w:val="single" w:sz="6" w:space="0" w:color="auto"/>
              <w:right w:val="single" w:sz="6" w:space="0" w:color="auto"/>
            </w:tcBorders>
            <w:hideMark/>
          </w:tcPr>
          <w:p w14:paraId="75D349EA" w14:textId="77777777" w:rsidR="00C81100" w:rsidRDefault="00C81100" w:rsidP="00AD2F6B">
            <w:pPr>
              <w:pStyle w:val="TAC"/>
              <w:rPr>
                <w:lang w:val="sv-SE"/>
              </w:rPr>
            </w:pPr>
            <w:r>
              <w:t>-116</w:t>
            </w:r>
          </w:p>
        </w:tc>
        <w:tc>
          <w:tcPr>
            <w:tcW w:w="1440" w:type="dxa"/>
            <w:tcBorders>
              <w:top w:val="single" w:sz="6" w:space="0" w:color="auto"/>
              <w:left w:val="single" w:sz="6" w:space="0" w:color="auto"/>
              <w:bottom w:val="single" w:sz="6" w:space="0" w:color="auto"/>
              <w:right w:val="single" w:sz="6" w:space="0" w:color="auto"/>
            </w:tcBorders>
            <w:hideMark/>
          </w:tcPr>
          <w:p w14:paraId="45C78953"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2EBFD9C" w14:textId="77777777" w:rsidR="00C81100" w:rsidRDefault="00C81100" w:rsidP="00AD2F6B">
            <w:pPr>
              <w:pStyle w:val="TAC"/>
            </w:pPr>
            <w:r>
              <w:t>-50</w:t>
            </w:r>
          </w:p>
        </w:tc>
      </w:tr>
      <w:tr w:rsidR="00C81100" w14:paraId="7B62A5D8" w14:textId="77777777" w:rsidTr="00AD2F6B">
        <w:trPr>
          <w:jc w:val="center"/>
        </w:trPr>
        <w:tc>
          <w:tcPr>
            <w:tcW w:w="1031" w:type="dxa"/>
            <w:tcBorders>
              <w:top w:val="nil"/>
              <w:left w:val="single" w:sz="4" w:space="0" w:color="auto"/>
              <w:bottom w:val="nil"/>
              <w:right w:val="single" w:sz="6" w:space="0" w:color="auto"/>
            </w:tcBorders>
          </w:tcPr>
          <w:p w14:paraId="2DEFE1AC"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66B14785"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3A11A776"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52523428"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36A7B7A7" w14:textId="77777777" w:rsidR="00C81100" w:rsidRDefault="00C81100" w:rsidP="00AD2F6B">
            <w:pPr>
              <w:pStyle w:val="TAC"/>
              <w:rPr>
                <w:lang w:val="sv-SE"/>
              </w:rPr>
            </w:pPr>
            <w:r>
              <w:rPr>
                <w:lang w:eastAsia="zh-CN"/>
              </w:rPr>
              <w:t>NR_FDD_FR1_F</w:t>
            </w:r>
          </w:p>
        </w:tc>
        <w:tc>
          <w:tcPr>
            <w:tcW w:w="928" w:type="dxa"/>
            <w:tcBorders>
              <w:top w:val="single" w:sz="6" w:space="0" w:color="auto"/>
              <w:left w:val="single" w:sz="4" w:space="0" w:color="auto"/>
              <w:bottom w:val="single" w:sz="6" w:space="0" w:color="auto"/>
              <w:right w:val="single" w:sz="6" w:space="0" w:color="auto"/>
            </w:tcBorders>
            <w:hideMark/>
          </w:tcPr>
          <w:p w14:paraId="5B3D4254" w14:textId="77777777" w:rsidR="00C81100" w:rsidRDefault="00C81100" w:rsidP="00AD2F6B">
            <w:pPr>
              <w:pStyle w:val="TAC"/>
            </w:pPr>
            <w:r>
              <w:t>-118.5</w:t>
            </w:r>
          </w:p>
        </w:tc>
        <w:tc>
          <w:tcPr>
            <w:tcW w:w="976" w:type="dxa"/>
            <w:tcBorders>
              <w:top w:val="single" w:sz="6" w:space="0" w:color="auto"/>
              <w:left w:val="single" w:sz="4" w:space="0" w:color="auto"/>
              <w:bottom w:val="single" w:sz="6" w:space="0" w:color="auto"/>
              <w:right w:val="single" w:sz="6" w:space="0" w:color="auto"/>
            </w:tcBorders>
            <w:hideMark/>
          </w:tcPr>
          <w:p w14:paraId="5826875A" w14:textId="77777777" w:rsidR="00C81100" w:rsidRDefault="00C81100" w:rsidP="00AD2F6B">
            <w:pPr>
              <w:pStyle w:val="TAC"/>
            </w:pPr>
            <w:r>
              <w:t>-115.5</w:t>
            </w:r>
          </w:p>
        </w:tc>
        <w:tc>
          <w:tcPr>
            <w:tcW w:w="1440" w:type="dxa"/>
            <w:tcBorders>
              <w:top w:val="single" w:sz="6" w:space="0" w:color="auto"/>
              <w:left w:val="single" w:sz="6" w:space="0" w:color="auto"/>
              <w:bottom w:val="single" w:sz="6" w:space="0" w:color="auto"/>
              <w:right w:val="single" w:sz="6" w:space="0" w:color="auto"/>
            </w:tcBorders>
            <w:hideMark/>
          </w:tcPr>
          <w:p w14:paraId="592364AE"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DDA5103" w14:textId="77777777" w:rsidR="00C81100" w:rsidRDefault="00C81100" w:rsidP="00AD2F6B">
            <w:pPr>
              <w:pStyle w:val="TAC"/>
            </w:pPr>
            <w:r>
              <w:t>-50</w:t>
            </w:r>
          </w:p>
        </w:tc>
      </w:tr>
      <w:tr w:rsidR="00C81100" w14:paraId="5CE72C68" w14:textId="77777777" w:rsidTr="00AD2F6B">
        <w:trPr>
          <w:jc w:val="center"/>
        </w:trPr>
        <w:tc>
          <w:tcPr>
            <w:tcW w:w="1031" w:type="dxa"/>
            <w:tcBorders>
              <w:top w:val="nil"/>
              <w:left w:val="single" w:sz="4" w:space="0" w:color="auto"/>
              <w:bottom w:val="nil"/>
              <w:right w:val="single" w:sz="6" w:space="0" w:color="auto"/>
            </w:tcBorders>
          </w:tcPr>
          <w:p w14:paraId="128153CC"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06786432"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53A896A6"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05A838E6"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219B73D2" w14:textId="77777777" w:rsidR="00C81100" w:rsidRDefault="00C81100" w:rsidP="00AD2F6B">
            <w:pPr>
              <w:pStyle w:val="TAC"/>
              <w:rPr>
                <w:lang w:eastAsia="zh-CN"/>
              </w:rPr>
            </w:pPr>
            <w:r>
              <w:rPr>
                <w:lang w:eastAsia="zh-CN"/>
              </w:rPr>
              <w:t>NR</w:t>
            </w:r>
            <w:r>
              <w:t>_</w:t>
            </w:r>
            <w:r>
              <w:rPr>
                <w:lang w:eastAsia="zh-CN"/>
              </w:rPr>
              <w:t>FDD_FR1_G</w:t>
            </w:r>
          </w:p>
        </w:tc>
        <w:tc>
          <w:tcPr>
            <w:tcW w:w="928" w:type="dxa"/>
            <w:tcBorders>
              <w:top w:val="single" w:sz="6" w:space="0" w:color="auto"/>
              <w:left w:val="single" w:sz="4" w:space="0" w:color="auto"/>
              <w:bottom w:val="single" w:sz="6" w:space="0" w:color="auto"/>
              <w:right w:val="single" w:sz="6" w:space="0" w:color="auto"/>
            </w:tcBorders>
            <w:hideMark/>
          </w:tcPr>
          <w:p w14:paraId="63B715D4" w14:textId="77777777" w:rsidR="00C81100" w:rsidRDefault="00C81100" w:rsidP="00AD2F6B">
            <w:pPr>
              <w:pStyle w:val="TAC"/>
            </w:pPr>
            <w:r>
              <w:t>-118</w:t>
            </w:r>
          </w:p>
        </w:tc>
        <w:tc>
          <w:tcPr>
            <w:tcW w:w="976" w:type="dxa"/>
            <w:tcBorders>
              <w:top w:val="single" w:sz="6" w:space="0" w:color="auto"/>
              <w:left w:val="single" w:sz="4" w:space="0" w:color="auto"/>
              <w:bottom w:val="single" w:sz="6" w:space="0" w:color="auto"/>
              <w:right w:val="single" w:sz="6" w:space="0" w:color="auto"/>
            </w:tcBorders>
            <w:hideMark/>
          </w:tcPr>
          <w:p w14:paraId="01CD5E5B" w14:textId="77777777" w:rsidR="00C81100" w:rsidRDefault="00C81100" w:rsidP="00AD2F6B">
            <w:pPr>
              <w:pStyle w:val="TAC"/>
              <w:rPr>
                <w:lang w:val="sv-SE"/>
              </w:rPr>
            </w:pPr>
            <w:r>
              <w:t>-115</w:t>
            </w:r>
          </w:p>
        </w:tc>
        <w:tc>
          <w:tcPr>
            <w:tcW w:w="1440" w:type="dxa"/>
            <w:tcBorders>
              <w:top w:val="single" w:sz="6" w:space="0" w:color="auto"/>
              <w:left w:val="single" w:sz="6" w:space="0" w:color="auto"/>
              <w:bottom w:val="single" w:sz="6" w:space="0" w:color="auto"/>
              <w:right w:val="single" w:sz="6" w:space="0" w:color="auto"/>
            </w:tcBorders>
            <w:hideMark/>
          </w:tcPr>
          <w:p w14:paraId="3EA97198"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577B854" w14:textId="77777777" w:rsidR="00C81100" w:rsidRDefault="00C81100" w:rsidP="00AD2F6B">
            <w:pPr>
              <w:pStyle w:val="TAC"/>
            </w:pPr>
            <w:r>
              <w:t>-50</w:t>
            </w:r>
          </w:p>
        </w:tc>
      </w:tr>
      <w:tr w:rsidR="00C81100" w14:paraId="65789992" w14:textId="77777777" w:rsidTr="00AD2F6B">
        <w:trPr>
          <w:jc w:val="center"/>
        </w:trPr>
        <w:tc>
          <w:tcPr>
            <w:tcW w:w="1031" w:type="dxa"/>
            <w:tcBorders>
              <w:top w:val="nil"/>
              <w:left w:val="single" w:sz="4" w:space="0" w:color="auto"/>
              <w:bottom w:val="nil"/>
              <w:right w:val="single" w:sz="6" w:space="0" w:color="auto"/>
            </w:tcBorders>
          </w:tcPr>
          <w:p w14:paraId="2B9F6CF8"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1E24421C" w14:textId="77777777" w:rsidR="00C81100" w:rsidRDefault="00C81100" w:rsidP="00AD2F6B">
            <w:pPr>
              <w:pStyle w:val="TAC"/>
            </w:pPr>
          </w:p>
        </w:tc>
        <w:tc>
          <w:tcPr>
            <w:tcW w:w="934" w:type="dxa"/>
            <w:gridSpan w:val="2"/>
            <w:tcBorders>
              <w:top w:val="nil"/>
              <w:left w:val="single" w:sz="6" w:space="0" w:color="auto"/>
              <w:bottom w:val="nil"/>
              <w:right w:val="single" w:sz="6" w:space="0" w:color="auto"/>
            </w:tcBorders>
          </w:tcPr>
          <w:p w14:paraId="7008E1BE" w14:textId="77777777" w:rsidR="00C81100" w:rsidRDefault="00C81100" w:rsidP="00AD2F6B">
            <w:pPr>
              <w:pStyle w:val="TAC"/>
            </w:pPr>
          </w:p>
        </w:tc>
        <w:tc>
          <w:tcPr>
            <w:tcW w:w="696" w:type="dxa"/>
            <w:tcBorders>
              <w:top w:val="nil"/>
              <w:left w:val="single" w:sz="6" w:space="0" w:color="auto"/>
              <w:bottom w:val="nil"/>
              <w:right w:val="single" w:sz="6" w:space="0" w:color="auto"/>
            </w:tcBorders>
          </w:tcPr>
          <w:p w14:paraId="1FC9315C"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0477494D" w14:textId="77777777" w:rsidR="00C81100" w:rsidRDefault="00C81100" w:rsidP="00AD2F6B">
            <w:pPr>
              <w:pStyle w:val="TAC"/>
              <w:rPr>
                <w:lang w:eastAsia="zh-CN"/>
              </w:rPr>
            </w:pPr>
            <w:r>
              <w:rPr>
                <w:lang w:eastAsia="zh-CN"/>
              </w:rPr>
              <w:t>NR</w:t>
            </w:r>
            <w:r>
              <w:t>_</w:t>
            </w:r>
            <w:r>
              <w:rPr>
                <w:lang w:eastAsia="zh-CN"/>
              </w:rPr>
              <w:t>FDD_FR1_H</w:t>
            </w:r>
          </w:p>
        </w:tc>
        <w:tc>
          <w:tcPr>
            <w:tcW w:w="928" w:type="dxa"/>
            <w:tcBorders>
              <w:top w:val="single" w:sz="6" w:space="0" w:color="auto"/>
              <w:left w:val="single" w:sz="4" w:space="0" w:color="auto"/>
              <w:bottom w:val="single" w:sz="6" w:space="0" w:color="auto"/>
              <w:right w:val="single" w:sz="6" w:space="0" w:color="auto"/>
            </w:tcBorders>
            <w:hideMark/>
          </w:tcPr>
          <w:p w14:paraId="6F43CF42" w14:textId="77777777" w:rsidR="00C81100" w:rsidRDefault="00C81100" w:rsidP="00AD2F6B">
            <w:pPr>
              <w:pStyle w:val="TAC"/>
            </w:pPr>
            <w:r>
              <w:t>-117.5</w:t>
            </w:r>
          </w:p>
        </w:tc>
        <w:tc>
          <w:tcPr>
            <w:tcW w:w="976" w:type="dxa"/>
            <w:tcBorders>
              <w:top w:val="single" w:sz="6" w:space="0" w:color="auto"/>
              <w:left w:val="single" w:sz="4" w:space="0" w:color="auto"/>
              <w:bottom w:val="single" w:sz="6" w:space="0" w:color="auto"/>
              <w:right w:val="single" w:sz="6" w:space="0" w:color="auto"/>
            </w:tcBorders>
            <w:hideMark/>
          </w:tcPr>
          <w:p w14:paraId="17731156" w14:textId="77777777" w:rsidR="00C81100" w:rsidRDefault="00C81100" w:rsidP="00AD2F6B">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346CDB8C"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F2F5264" w14:textId="77777777" w:rsidR="00C81100" w:rsidRDefault="00C81100" w:rsidP="00AD2F6B">
            <w:pPr>
              <w:pStyle w:val="TAC"/>
            </w:pPr>
            <w:r>
              <w:t>-50</w:t>
            </w:r>
          </w:p>
        </w:tc>
      </w:tr>
      <w:tr w:rsidR="00C81100" w14:paraId="5BD65655" w14:textId="77777777" w:rsidTr="00AD2F6B">
        <w:trPr>
          <w:jc w:val="center"/>
        </w:trPr>
        <w:tc>
          <w:tcPr>
            <w:tcW w:w="10172" w:type="dxa"/>
            <w:gridSpan w:val="10"/>
            <w:tcBorders>
              <w:top w:val="single" w:sz="6" w:space="0" w:color="auto"/>
              <w:left w:val="single" w:sz="4" w:space="0" w:color="auto"/>
              <w:bottom w:val="single" w:sz="4" w:space="0" w:color="auto"/>
              <w:right w:val="single" w:sz="4" w:space="0" w:color="auto"/>
            </w:tcBorders>
            <w:vAlign w:val="center"/>
            <w:hideMark/>
          </w:tcPr>
          <w:p w14:paraId="4CC9BB3E" w14:textId="77777777" w:rsidR="006055B0" w:rsidRDefault="006055B0" w:rsidP="006055B0">
            <w:pPr>
              <w:pStyle w:val="TAN"/>
            </w:pPr>
            <w:r>
              <w:t>NOTE 1:</w:t>
            </w:r>
            <w:r>
              <w:tab/>
              <w:t>Io is assumed to have constant EPRE across the bandwidth.</w:t>
            </w:r>
          </w:p>
          <w:p w14:paraId="72210D4B" w14:textId="77777777" w:rsidR="006055B0" w:rsidRDefault="006055B0" w:rsidP="006055B0">
            <w:pPr>
              <w:pStyle w:val="TAN"/>
            </w:pPr>
            <w:r>
              <w:t>NOTE 2:</w:t>
            </w:r>
            <w:r>
              <w:tab/>
              <w:t>The parameter SSB CMR Ês/Iot is the minimum SSB CMR Ês/Iot of the pair of SSBs to which the requirement applies.</w:t>
            </w:r>
          </w:p>
          <w:p w14:paraId="7907DE65" w14:textId="77777777" w:rsidR="006055B0" w:rsidRDefault="006055B0" w:rsidP="006055B0">
            <w:pPr>
              <w:pStyle w:val="TAN"/>
            </w:pPr>
            <w:r>
              <w:t>NOTE 3:</w:t>
            </w:r>
            <w:r>
              <w:tab/>
              <w:t>NR operating band groups in FR1 are as defined in clause 3.5.2.</w:t>
            </w:r>
          </w:p>
          <w:p w14:paraId="73DF6298" w14:textId="3DEBB51D" w:rsidR="00C81100" w:rsidRDefault="006055B0" w:rsidP="006055B0">
            <w:pPr>
              <w:pStyle w:val="TAN"/>
            </w:pPr>
            <w:r w:rsidRPr="009C5807">
              <w:rPr>
                <w:rFonts w:cs="Arial"/>
              </w:rPr>
              <w:t xml:space="preserve">NOTE </w:t>
            </w:r>
            <w:r>
              <w:rPr>
                <w:rFonts w:cs="Arial"/>
              </w:rPr>
              <w:t>4</w:t>
            </w:r>
            <w:r w:rsidRPr="009C5807">
              <w:rPr>
                <w:rFonts w:cs="Arial"/>
              </w:rPr>
              <w:t>:</w:t>
            </w:r>
            <w:r w:rsidRPr="009C5807">
              <w:rPr>
                <w:rFonts w:cs="Arial"/>
              </w:rPr>
              <w:tab/>
              <w:t>The requirements apply for SSB</w:t>
            </w:r>
            <w:r>
              <w:rPr>
                <w:rFonts w:cs="Arial"/>
              </w:rPr>
              <w:t>-CMR</w:t>
            </w:r>
            <w:r w:rsidRPr="009C5807">
              <w:rPr>
                <w:rFonts w:cs="Arial"/>
              </w:rPr>
              <w:t xml:space="preserve"> 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48BAD11F" w14:textId="77777777" w:rsidR="00C81100" w:rsidRPr="00F37389" w:rsidRDefault="00C81100" w:rsidP="009653E9">
      <w:pPr>
        <w:rPr>
          <w:rFonts w:eastAsia="?? ??"/>
        </w:rPr>
      </w:pPr>
    </w:p>
    <w:p w14:paraId="41F56EB9" w14:textId="77777777" w:rsidR="00C81100" w:rsidRDefault="00C81100" w:rsidP="00C81100">
      <w:pPr>
        <w:pStyle w:val="TH"/>
      </w:pPr>
      <w:r>
        <w:t>Table 10.1.27.2.2-2: L1-SINR relative accuracy for SSB based CMR and ZP-IMR in FR1</w:t>
      </w:r>
    </w:p>
    <w:tbl>
      <w:tblPr>
        <w:tblW w:w="10172" w:type="dxa"/>
        <w:jc w:val="center"/>
        <w:tblLook w:val="01E0" w:firstRow="1" w:lastRow="1" w:firstColumn="1" w:lastColumn="1" w:noHBand="0" w:noVBand="0"/>
      </w:tblPr>
      <w:tblGrid>
        <w:gridCol w:w="1031"/>
        <w:gridCol w:w="1026"/>
        <w:gridCol w:w="773"/>
        <w:gridCol w:w="1985"/>
        <w:gridCol w:w="1276"/>
        <w:gridCol w:w="1201"/>
        <w:gridCol w:w="1440"/>
        <w:gridCol w:w="1440"/>
      </w:tblGrid>
      <w:tr w:rsidR="00C81100" w14:paraId="21499F35" w14:textId="77777777" w:rsidTr="00AD2F6B">
        <w:trPr>
          <w:jc w:val="center"/>
        </w:trPr>
        <w:tc>
          <w:tcPr>
            <w:tcW w:w="2057" w:type="dxa"/>
            <w:gridSpan w:val="2"/>
            <w:tcBorders>
              <w:top w:val="single" w:sz="4" w:space="0" w:color="auto"/>
              <w:left w:val="single" w:sz="4" w:space="0" w:color="auto"/>
              <w:bottom w:val="single" w:sz="6" w:space="0" w:color="auto"/>
              <w:right w:val="single" w:sz="6" w:space="0" w:color="auto"/>
            </w:tcBorders>
            <w:vAlign w:val="center"/>
            <w:hideMark/>
          </w:tcPr>
          <w:p w14:paraId="7FA58E96" w14:textId="77777777" w:rsidR="00C81100" w:rsidRDefault="00C81100" w:rsidP="00AD2F6B">
            <w:pPr>
              <w:pStyle w:val="TAH"/>
            </w:pPr>
            <w:r>
              <w:t>Accuracy</w:t>
            </w:r>
          </w:p>
        </w:tc>
        <w:tc>
          <w:tcPr>
            <w:tcW w:w="8115" w:type="dxa"/>
            <w:gridSpan w:val="6"/>
            <w:tcBorders>
              <w:top w:val="single" w:sz="4" w:space="0" w:color="auto"/>
              <w:left w:val="single" w:sz="6" w:space="0" w:color="auto"/>
              <w:bottom w:val="single" w:sz="6" w:space="0" w:color="auto"/>
              <w:right w:val="single" w:sz="4" w:space="0" w:color="auto"/>
            </w:tcBorders>
            <w:vAlign w:val="center"/>
            <w:hideMark/>
          </w:tcPr>
          <w:p w14:paraId="0D5C1977" w14:textId="77777777" w:rsidR="00C81100" w:rsidRDefault="00C81100" w:rsidP="00AD2F6B">
            <w:pPr>
              <w:pStyle w:val="TAH"/>
            </w:pPr>
            <w:r>
              <w:t>Conditions</w:t>
            </w:r>
          </w:p>
        </w:tc>
      </w:tr>
      <w:tr w:rsidR="00C81100" w14:paraId="01643A76" w14:textId="77777777" w:rsidTr="00AD2F6B">
        <w:trPr>
          <w:jc w:val="center"/>
        </w:trPr>
        <w:tc>
          <w:tcPr>
            <w:tcW w:w="1031" w:type="dxa"/>
            <w:tcBorders>
              <w:top w:val="single" w:sz="6" w:space="0" w:color="auto"/>
              <w:left w:val="single" w:sz="4" w:space="0" w:color="auto"/>
              <w:bottom w:val="nil"/>
              <w:right w:val="single" w:sz="6" w:space="0" w:color="auto"/>
            </w:tcBorders>
            <w:vAlign w:val="center"/>
            <w:hideMark/>
          </w:tcPr>
          <w:p w14:paraId="206D77D7" w14:textId="77777777" w:rsidR="00C81100" w:rsidRDefault="00C81100" w:rsidP="00AD2F6B">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229B46CD" w14:textId="77777777" w:rsidR="00C81100" w:rsidRDefault="00C81100" w:rsidP="00AD2F6B">
            <w:pPr>
              <w:pStyle w:val="TAH"/>
            </w:pPr>
            <w:r>
              <w:t>Extreme condition</w:t>
            </w:r>
          </w:p>
        </w:tc>
        <w:tc>
          <w:tcPr>
            <w:tcW w:w="773" w:type="dxa"/>
            <w:tcBorders>
              <w:top w:val="single" w:sz="6" w:space="0" w:color="auto"/>
              <w:left w:val="single" w:sz="6" w:space="0" w:color="auto"/>
              <w:bottom w:val="nil"/>
              <w:right w:val="single" w:sz="6" w:space="0" w:color="auto"/>
            </w:tcBorders>
            <w:vAlign w:val="center"/>
            <w:hideMark/>
          </w:tcPr>
          <w:p w14:paraId="39F7FC31" w14:textId="77777777" w:rsidR="00C81100" w:rsidRDefault="00C81100" w:rsidP="00AD2F6B">
            <w:pPr>
              <w:pStyle w:val="TAH"/>
            </w:pPr>
            <w:r>
              <w:t xml:space="preserve">SSB- </w:t>
            </w:r>
          </w:p>
          <w:p w14:paraId="7992B5D8" w14:textId="77777777" w:rsidR="00C81100" w:rsidRDefault="00C81100" w:rsidP="00AD2F6B">
            <w:pPr>
              <w:pStyle w:val="TAH"/>
            </w:pPr>
            <w:r>
              <w:t>CMR</w:t>
            </w:r>
          </w:p>
          <w:p w14:paraId="0C571BB4" w14:textId="628FE96A" w:rsidR="00C81100" w:rsidRDefault="00C81100" w:rsidP="00AD2F6B">
            <w:pPr>
              <w:pStyle w:val="TAH"/>
            </w:pPr>
            <w:r>
              <w:t>Ês/Iot</w:t>
            </w:r>
            <w:r w:rsidR="00FA41EA">
              <w:rPr>
                <w:vertAlign w:val="superscript"/>
              </w:rPr>
              <w:t xml:space="preserve"> Note 2</w:t>
            </w:r>
          </w:p>
        </w:tc>
        <w:tc>
          <w:tcPr>
            <w:tcW w:w="7342" w:type="dxa"/>
            <w:gridSpan w:val="5"/>
            <w:tcBorders>
              <w:top w:val="single" w:sz="6" w:space="0" w:color="auto"/>
              <w:left w:val="single" w:sz="6" w:space="0" w:color="auto"/>
              <w:bottom w:val="single" w:sz="6" w:space="0" w:color="auto"/>
              <w:right w:val="single" w:sz="4" w:space="0" w:color="auto"/>
            </w:tcBorders>
            <w:vAlign w:val="center"/>
            <w:hideMark/>
          </w:tcPr>
          <w:p w14:paraId="04CE822A" w14:textId="77777777" w:rsidR="00C81100" w:rsidRDefault="00C81100" w:rsidP="00AD2F6B">
            <w:pPr>
              <w:pStyle w:val="TAH"/>
            </w:pPr>
            <w:r>
              <w:t>Io</w:t>
            </w:r>
            <w:r>
              <w:rPr>
                <w:vertAlign w:val="superscript"/>
              </w:rPr>
              <w:t xml:space="preserve"> Note 1</w:t>
            </w:r>
            <w:r>
              <w:t xml:space="preserve"> range</w:t>
            </w:r>
          </w:p>
        </w:tc>
      </w:tr>
      <w:tr w:rsidR="00C81100" w14:paraId="19D4F0E3" w14:textId="77777777" w:rsidTr="00AD2F6B">
        <w:trPr>
          <w:jc w:val="center"/>
        </w:trPr>
        <w:tc>
          <w:tcPr>
            <w:tcW w:w="1031" w:type="dxa"/>
            <w:tcBorders>
              <w:top w:val="nil"/>
              <w:left w:val="single" w:sz="4" w:space="0" w:color="auto"/>
              <w:bottom w:val="single" w:sz="6" w:space="0" w:color="auto"/>
              <w:right w:val="single" w:sz="6" w:space="0" w:color="auto"/>
            </w:tcBorders>
            <w:vAlign w:val="center"/>
          </w:tcPr>
          <w:p w14:paraId="7D2372FE"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53FF67F8" w14:textId="77777777" w:rsidR="00C81100" w:rsidRDefault="00C81100" w:rsidP="00AD2F6B">
            <w:pPr>
              <w:pStyle w:val="TAH"/>
            </w:pPr>
          </w:p>
        </w:tc>
        <w:tc>
          <w:tcPr>
            <w:tcW w:w="773" w:type="dxa"/>
            <w:tcBorders>
              <w:top w:val="nil"/>
              <w:left w:val="single" w:sz="6" w:space="0" w:color="auto"/>
              <w:bottom w:val="single" w:sz="6" w:space="0" w:color="auto"/>
              <w:right w:val="single" w:sz="6" w:space="0" w:color="auto"/>
            </w:tcBorders>
            <w:vAlign w:val="center"/>
          </w:tcPr>
          <w:p w14:paraId="0844777A" w14:textId="77777777" w:rsidR="00C81100" w:rsidRDefault="00C81100" w:rsidP="00AD2F6B">
            <w:pPr>
              <w:pStyle w:val="TAH"/>
            </w:pPr>
          </w:p>
        </w:tc>
        <w:tc>
          <w:tcPr>
            <w:tcW w:w="1985" w:type="dxa"/>
            <w:tcBorders>
              <w:top w:val="single" w:sz="6" w:space="0" w:color="auto"/>
              <w:left w:val="single" w:sz="6" w:space="0" w:color="auto"/>
              <w:bottom w:val="single" w:sz="6" w:space="0" w:color="auto"/>
              <w:right w:val="single" w:sz="4" w:space="0" w:color="auto"/>
            </w:tcBorders>
            <w:vAlign w:val="center"/>
            <w:hideMark/>
          </w:tcPr>
          <w:p w14:paraId="45A849C1" w14:textId="18837561" w:rsidR="00C81100" w:rsidRDefault="00C81100" w:rsidP="00AD2F6B">
            <w:pPr>
              <w:pStyle w:val="TAH"/>
            </w:pPr>
            <w:r>
              <w:t>NR operating band groups</w:t>
            </w:r>
            <w:r>
              <w:rPr>
                <w:vertAlign w:val="superscript"/>
              </w:rPr>
              <w:t xml:space="preserve"> Note </w:t>
            </w:r>
            <w:r w:rsidR="00FA41EA">
              <w:rPr>
                <w:vertAlign w:val="superscript"/>
              </w:rPr>
              <w:t>3</w:t>
            </w:r>
          </w:p>
        </w:tc>
        <w:tc>
          <w:tcPr>
            <w:tcW w:w="3917" w:type="dxa"/>
            <w:gridSpan w:val="3"/>
            <w:tcBorders>
              <w:top w:val="single" w:sz="4" w:space="0" w:color="auto"/>
              <w:left w:val="single" w:sz="4" w:space="0" w:color="auto"/>
              <w:bottom w:val="single" w:sz="6" w:space="0" w:color="auto"/>
              <w:right w:val="single" w:sz="6" w:space="0" w:color="auto"/>
            </w:tcBorders>
            <w:vAlign w:val="center"/>
            <w:hideMark/>
          </w:tcPr>
          <w:p w14:paraId="6422410F" w14:textId="77777777" w:rsidR="00C81100" w:rsidRDefault="00C811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1126D563" w14:textId="77777777" w:rsidR="00C81100" w:rsidRDefault="00C81100" w:rsidP="00AD2F6B">
            <w:pPr>
              <w:pStyle w:val="TAH"/>
            </w:pPr>
            <w:r>
              <w:t>Maximum Io</w:t>
            </w:r>
          </w:p>
        </w:tc>
      </w:tr>
      <w:tr w:rsidR="00C81100" w14:paraId="3F844EB7" w14:textId="77777777" w:rsidTr="00AD2F6B">
        <w:trPr>
          <w:trHeight w:val="308"/>
          <w:jc w:val="center"/>
        </w:trPr>
        <w:tc>
          <w:tcPr>
            <w:tcW w:w="1031" w:type="dxa"/>
            <w:tcBorders>
              <w:top w:val="single" w:sz="6" w:space="0" w:color="auto"/>
              <w:left w:val="single" w:sz="4" w:space="0" w:color="auto"/>
              <w:bottom w:val="nil"/>
              <w:right w:val="single" w:sz="6" w:space="0" w:color="auto"/>
            </w:tcBorders>
            <w:vAlign w:val="center"/>
            <w:hideMark/>
          </w:tcPr>
          <w:p w14:paraId="1929F79A" w14:textId="77777777" w:rsidR="00C81100" w:rsidRDefault="00C81100" w:rsidP="00AD2F6B">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7A0C9F31" w14:textId="77777777" w:rsidR="00C81100" w:rsidRDefault="00C81100" w:rsidP="00AD2F6B">
            <w:pPr>
              <w:pStyle w:val="TAH"/>
            </w:pPr>
            <w:r>
              <w:t>dB</w:t>
            </w:r>
          </w:p>
        </w:tc>
        <w:tc>
          <w:tcPr>
            <w:tcW w:w="773" w:type="dxa"/>
            <w:tcBorders>
              <w:top w:val="single" w:sz="6" w:space="0" w:color="auto"/>
              <w:left w:val="single" w:sz="6" w:space="0" w:color="auto"/>
              <w:bottom w:val="nil"/>
              <w:right w:val="single" w:sz="6" w:space="0" w:color="auto"/>
            </w:tcBorders>
            <w:vAlign w:val="center"/>
            <w:hideMark/>
          </w:tcPr>
          <w:p w14:paraId="5144093F" w14:textId="77777777" w:rsidR="00C81100" w:rsidRDefault="00C81100" w:rsidP="00AD2F6B">
            <w:pPr>
              <w:pStyle w:val="TAH"/>
            </w:pPr>
            <w:r>
              <w:t>dB</w:t>
            </w:r>
          </w:p>
        </w:tc>
        <w:tc>
          <w:tcPr>
            <w:tcW w:w="1985" w:type="dxa"/>
            <w:tcBorders>
              <w:top w:val="single" w:sz="6" w:space="0" w:color="auto"/>
              <w:left w:val="single" w:sz="6" w:space="0" w:color="auto"/>
              <w:bottom w:val="nil"/>
              <w:right w:val="single" w:sz="4" w:space="0" w:color="auto"/>
            </w:tcBorders>
            <w:vAlign w:val="center"/>
          </w:tcPr>
          <w:p w14:paraId="3A2385D6" w14:textId="77777777" w:rsidR="00C81100" w:rsidRDefault="00C81100" w:rsidP="00AD2F6B">
            <w:pPr>
              <w:pStyle w:val="TAH"/>
            </w:pPr>
          </w:p>
        </w:tc>
        <w:tc>
          <w:tcPr>
            <w:tcW w:w="2477" w:type="dxa"/>
            <w:gridSpan w:val="2"/>
            <w:tcBorders>
              <w:top w:val="single" w:sz="6" w:space="0" w:color="auto"/>
              <w:left w:val="single" w:sz="4" w:space="0" w:color="auto"/>
              <w:bottom w:val="single" w:sz="6" w:space="0" w:color="auto"/>
              <w:right w:val="single" w:sz="6" w:space="0" w:color="auto"/>
            </w:tcBorders>
            <w:vAlign w:val="center"/>
            <w:hideMark/>
          </w:tcPr>
          <w:p w14:paraId="7FD2354F" w14:textId="77777777" w:rsidR="00C81100" w:rsidRDefault="00C81100" w:rsidP="00AD2F6B">
            <w:pPr>
              <w:pStyle w:val="TAH"/>
            </w:pPr>
            <w:r>
              <w:rPr>
                <w:rFonts w:cs="Arial"/>
              </w:rPr>
              <w:t xml:space="preserve">dBm / </w:t>
            </w:r>
            <w:r>
              <w:t>SCS</w:t>
            </w:r>
            <w:r>
              <w:rPr>
                <w:vertAlign w:val="subscript"/>
              </w:rPr>
              <w:t>SSB</w:t>
            </w:r>
          </w:p>
        </w:tc>
        <w:tc>
          <w:tcPr>
            <w:tcW w:w="1440" w:type="dxa"/>
            <w:tcBorders>
              <w:top w:val="single" w:sz="6" w:space="0" w:color="auto"/>
              <w:left w:val="single" w:sz="6" w:space="0" w:color="auto"/>
              <w:bottom w:val="nil"/>
              <w:right w:val="single" w:sz="6" w:space="0" w:color="auto"/>
            </w:tcBorders>
            <w:vAlign w:val="center"/>
            <w:hideMark/>
          </w:tcPr>
          <w:p w14:paraId="3E541E59" w14:textId="77777777" w:rsidR="00C81100" w:rsidRDefault="00C811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3C1CFF8B" w14:textId="77777777" w:rsidR="00C81100" w:rsidRDefault="00C81100" w:rsidP="00AD2F6B">
            <w:pPr>
              <w:pStyle w:val="TAH"/>
            </w:pPr>
            <w:r>
              <w:t>dBm/BW</w:t>
            </w:r>
            <w:r>
              <w:rPr>
                <w:vertAlign w:val="subscript"/>
              </w:rPr>
              <w:t>Channel</w:t>
            </w:r>
          </w:p>
        </w:tc>
      </w:tr>
      <w:tr w:rsidR="00C81100" w14:paraId="002A2708" w14:textId="77777777" w:rsidTr="00AD2F6B">
        <w:trPr>
          <w:trHeight w:val="307"/>
          <w:jc w:val="center"/>
        </w:trPr>
        <w:tc>
          <w:tcPr>
            <w:tcW w:w="1031" w:type="dxa"/>
            <w:tcBorders>
              <w:top w:val="nil"/>
              <w:left w:val="single" w:sz="4" w:space="0" w:color="auto"/>
              <w:bottom w:val="single" w:sz="6" w:space="0" w:color="auto"/>
              <w:right w:val="single" w:sz="6" w:space="0" w:color="auto"/>
            </w:tcBorders>
          </w:tcPr>
          <w:p w14:paraId="51CC8671"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tcPr>
          <w:p w14:paraId="2E4E6D3A" w14:textId="77777777" w:rsidR="00C81100" w:rsidRDefault="00C81100" w:rsidP="00AD2F6B">
            <w:pPr>
              <w:pStyle w:val="TAH"/>
            </w:pPr>
          </w:p>
        </w:tc>
        <w:tc>
          <w:tcPr>
            <w:tcW w:w="773" w:type="dxa"/>
            <w:tcBorders>
              <w:top w:val="nil"/>
              <w:left w:val="single" w:sz="6" w:space="0" w:color="auto"/>
              <w:bottom w:val="single" w:sz="6" w:space="0" w:color="auto"/>
              <w:right w:val="single" w:sz="6" w:space="0" w:color="auto"/>
            </w:tcBorders>
          </w:tcPr>
          <w:p w14:paraId="11C10B30" w14:textId="77777777" w:rsidR="00C81100" w:rsidRDefault="00C81100" w:rsidP="00AD2F6B">
            <w:pPr>
              <w:pStyle w:val="TAH"/>
            </w:pPr>
          </w:p>
        </w:tc>
        <w:tc>
          <w:tcPr>
            <w:tcW w:w="1985" w:type="dxa"/>
            <w:tcBorders>
              <w:top w:val="nil"/>
              <w:left w:val="single" w:sz="6" w:space="0" w:color="auto"/>
              <w:bottom w:val="single" w:sz="6" w:space="0" w:color="auto"/>
              <w:right w:val="single" w:sz="4" w:space="0" w:color="auto"/>
            </w:tcBorders>
          </w:tcPr>
          <w:p w14:paraId="35D6DDFF" w14:textId="77777777" w:rsidR="00C81100" w:rsidRDefault="00C81100" w:rsidP="00AD2F6B">
            <w:pPr>
              <w:pStyle w:val="TAH"/>
            </w:pPr>
          </w:p>
        </w:tc>
        <w:tc>
          <w:tcPr>
            <w:tcW w:w="1276" w:type="dxa"/>
            <w:tcBorders>
              <w:top w:val="single" w:sz="6" w:space="0" w:color="auto"/>
              <w:left w:val="single" w:sz="4" w:space="0" w:color="auto"/>
              <w:bottom w:val="single" w:sz="6" w:space="0" w:color="auto"/>
              <w:right w:val="single" w:sz="6" w:space="0" w:color="auto"/>
            </w:tcBorders>
            <w:hideMark/>
          </w:tcPr>
          <w:p w14:paraId="0F0F43E6" w14:textId="77777777" w:rsidR="00C81100" w:rsidRDefault="00C81100" w:rsidP="00AD2F6B">
            <w:pPr>
              <w:pStyle w:val="TAH"/>
              <w:rPr>
                <w:rFonts w:cs="Arial"/>
              </w:rPr>
            </w:pPr>
            <w:r>
              <w:t>SCS</w:t>
            </w:r>
            <w:r>
              <w:rPr>
                <w:vertAlign w:val="subscript"/>
              </w:rPr>
              <w:t>SSB</w:t>
            </w:r>
            <w:r>
              <w:rPr>
                <w:rFonts w:cs="Arial"/>
              </w:rPr>
              <w:t xml:space="preserve"> = 15 kHz</w:t>
            </w:r>
          </w:p>
        </w:tc>
        <w:tc>
          <w:tcPr>
            <w:tcW w:w="1201" w:type="dxa"/>
            <w:tcBorders>
              <w:top w:val="single" w:sz="6" w:space="0" w:color="auto"/>
              <w:left w:val="single" w:sz="4" w:space="0" w:color="auto"/>
              <w:bottom w:val="single" w:sz="6" w:space="0" w:color="auto"/>
              <w:right w:val="single" w:sz="6" w:space="0" w:color="auto"/>
            </w:tcBorders>
            <w:hideMark/>
          </w:tcPr>
          <w:p w14:paraId="57AC943D" w14:textId="77777777" w:rsidR="00C81100" w:rsidRDefault="00C81100" w:rsidP="00AD2F6B">
            <w:pPr>
              <w:pStyle w:val="TAH"/>
              <w:rPr>
                <w:rFonts w:cs="Arial"/>
              </w:rPr>
            </w:pPr>
            <w:r>
              <w:t>SCS</w:t>
            </w:r>
            <w:r>
              <w:rPr>
                <w:vertAlign w:val="subscript"/>
              </w:rPr>
              <w:t>SSB</w:t>
            </w:r>
            <w:r>
              <w:rPr>
                <w:rFonts w:cs="Arial"/>
              </w:rPr>
              <w:t xml:space="preserve"> = 30 kHz</w:t>
            </w:r>
          </w:p>
        </w:tc>
        <w:tc>
          <w:tcPr>
            <w:tcW w:w="1440" w:type="dxa"/>
            <w:tcBorders>
              <w:top w:val="nil"/>
              <w:left w:val="single" w:sz="6" w:space="0" w:color="auto"/>
              <w:bottom w:val="single" w:sz="6" w:space="0" w:color="auto"/>
              <w:right w:val="single" w:sz="6" w:space="0" w:color="auto"/>
            </w:tcBorders>
          </w:tcPr>
          <w:p w14:paraId="12BFBF28" w14:textId="77777777" w:rsidR="00C81100" w:rsidRDefault="00C81100" w:rsidP="00AD2F6B">
            <w:pPr>
              <w:pStyle w:val="TAH"/>
            </w:pPr>
          </w:p>
        </w:tc>
        <w:tc>
          <w:tcPr>
            <w:tcW w:w="1440" w:type="dxa"/>
            <w:tcBorders>
              <w:top w:val="nil"/>
              <w:left w:val="single" w:sz="6" w:space="0" w:color="auto"/>
              <w:bottom w:val="single" w:sz="6" w:space="0" w:color="auto"/>
              <w:right w:val="single" w:sz="4" w:space="0" w:color="auto"/>
            </w:tcBorders>
          </w:tcPr>
          <w:p w14:paraId="61151096" w14:textId="77777777" w:rsidR="00C81100" w:rsidRDefault="00C81100" w:rsidP="00AD2F6B">
            <w:pPr>
              <w:pStyle w:val="TAH"/>
            </w:pPr>
          </w:p>
        </w:tc>
      </w:tr>
      <w:tr w:rsidR="00C81100" w14:paraId="5A39291A" w14:textId="77777777" w:rsidTr="00AD2F6B">
        <w:trPr>
          <w:jc w:val="center"/>
        </w:trPr>
        <w:tc>
          <w:tcPr>
            <w:tcW w:w="1031" w:type="dxa"/>
            <w:tcBorders>
              <w:top w:val="single" w:sz="6" w:space="0" w:color="auto"/>
              <w:left w:val="single" w:sz="4" w:space="0" w:color="auto"/>
              <w:bottom w:val="nil"/>
              <w:right w:val="single" w:sz="6" w:space="0" w:color="auto"/>
            </w:tcBorders>
          </w:tcPr>
          <w:p w14:paraId="6C281DE5" w14:textId="77777777" w:rsidR="00C81100" w:rsidRDefault="00C81100" w:rsidP="00AD2F6B">
            <w:pPr>
              <w:pStyle w:val="TAC"/>
            </w:pPr>
          </w:p>
        </w:tc>
        <w:tc>
          <w:tcPr>
            <w:tcW w:w="1026" w:type="dxa"/>
            <w:tcBorders>
              <w:top w:val="single" w:sz="6" w:space="0" w:color="auto"/>
              <w:left w:val="single" w:sz="6" w:space="0" w:color="auto"/>
              <w:bottom w:val="nil"/>
              <w:right w:val="single" w:sz="6" w:space="0" w:color="auto"/>
            </w:tcBorders>
          </w:tcPr>
          <w:p w14:paraId="5A0FB8AD" w14:textId="77777777" w:rsidR="00C81100" w:rsidRDefault="00C81100" w:rsidP="00AD2F6B">
            <w:pPr>
              <w:pStyle w:val="TAC"/>
            </w:pPr>
          </w:p>
        </w:tc>
        <w:tc>
          <w:tcPr>
            <w:tcW w:w="773" w:type="dxa"/>
            <w:tcBorders>
              <w:top w:val="single" w:sz="6" w:space="0" w:color="auto"/>
              <w:left w:val="single" w:sz="6" w:space="0" w:color="auto"/>
              <w:bottom w:val="nil"/>
              <w:right w:val="single" w:sz="6" w:space="0" w:color="auto"/>
            </w:tcBorders>
          </w:tcPr>
          <w:p w14:paraId="282CAF06"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55433B6A" w14:textId="77777777" w:rsidR="00C81100" w:rsidRDefault="00C81100" w:rsidP="00AD2F6B">
            <w:pPr>
              <w:pStyle w:val="TAC"/>
            </w:pPr>
            <w:r>
              <w:t>NR_FDD_FR1_A, NR_TDD_FR1_A, NR_SDL_FR1_A</w:t>
            </w:r>
          </w:p>
        </w:tc>
        <w:tc>
          <w:tcPr>
            <w:tcW w:w="1276" w:type="dxa"/>
            <w:tcBorders>
              <w:top w:val="single" w:sz="6" w:space="0" w:color="auto"/>
              <w:left w:val="single" w:sz="4" w:space="0" w:color="auto"/>
              <w:bottom w:val="single" w:sz="6" w:space="0" w:color="auto"/>
              <w:right w:val="single" w:sz="6" w:space="0" w:color="auto"/>
            </w:tcBorders>
            <w:hideMark/>
          </w:tcPr>
          <w:p w14:paraId="0F4B413B" w14:textId="77777777" w:rsidR="00C81100" w:rsidRDefault="00C81100" w:rsidP="00AD2F6B">
            <w:pPr>
              <w:pStyle w:val="TAC"/>
            </w:pPr>
            <w:r>
              <w:t>-121</w:t>
            </w:r>
          </w:p>
        </w:tc>
        <w:tc>
          <w:tcPr>
            <w:tcW w:w="1201" w:type="dxa"/>
            <w:tcBorders>
              <w:top w:val="single" w:sz="6" w:space="0" w:color="auto"/>
              <w:left w:val="single" w:sz="4" w:space="0" w:color="auto"/>
              <w:bottom w:val="single" w:sz="6" w:space="0" w:color="auto"/>
              <w:right w:val="single" w:sz="6" w:space="0" w:color="auto"/>
            </w:tcBorders>
            <w:hideMark/>
          </w:tcPr>
          <w:p w14:paraId="5512213D" w14:textId="77777777" w:rsidR="00C81100" w:rsidRDefault="00C81100" w:rsidP="00AD2F6B">
            <w:pPr>
              <w:pStyle w:val="TAC"/>
            </w:pPr>
            <w:r>
              <w:t>-118</w:t>
            </w:r>
          </w:p>
        </w:tc>
        <w:tc>
          <w:tcPr>
            <w:tcW w:w="1440" w:type="dxa"/>
            <w:tcBorders>
              <w:top w:val="single" w:sz="6" w:space="0" w:color="auto"/>
              <w:left w:val="single" w:sz="6" w:space="0" w:color="auto"/>
              <w:bottom w:val="single" w:sz="6" w:space="0" w:color="auto"/>
              <w:right w:val="single" w:sz="6" w:space="0" w:color="auto"/>
            </w:tcBorders>
            <w:hideMark/>
          </w:tcPr>
          <w:p w14:paraId="339212D4"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5E9178D" w14:textId="77777777" w:rsidR="00C81100" w:rsidRDefault="00C81100" w:rsidP="00AD2F6B">
            <w:pPr>
              <w:pStyle w:val="TAC"/>
            </w:pPr>
            <w:r>
              <w:t>-50</w:t>
            </w:r>
          </w:p>
        </w:tc>
      </w:tr>
      <w:tr w:rsidR="00C81100" w14:paraId="0ABF9D3F" w14:textId="77777777" w:rsidTr="00AD2F6B">
        <w:trPr>
          <w:jc w:val="center"/>
        </w:trPr>
        <w:tc>
          <w:tcPr>
            <w:tcW w:w="1031" w:type="dxa"/>
            <w:tcBorders>
              <w:top w:val="nil"/>
              <w:left w:val="single" w:sz="4" w:space="0" w:color="auto"/>
              <w:bottom w:val="nil"/>
              <w:right w:val="single" w:sz="6" w:space="0" w:color="auto"/>
            </w:tcBorders>
          </w:tcPr>
          <w:p w14:paraId="5DEAC314"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124AC10B"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58DC7040"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1BCB3C5E" w14:textId="77777777" w:rsidR="00C81100" w:rsidRDefault="00C81100" w:rsidP="00AD2F6B">
            <w:pPr>
              <w:pStyle w:val="TAC"/>
            </w:pPr>
            <w:r>
              <w:t>NR_FDD_FR1_B</w:t>
            </w:r>
          </w:p>
        </w:tc>
        <w:tc>
          <w:tcPr>
            <w:tcW w:w="1276" w:type="dxa"/>
            <w:tcBorders>
              <w:top w:val="single" w:sz="6" w:space="0" w:color="auto"/>
              <w:left w:val="single" w:sz="4" w:space="0" w:color="auto"/>
              <w:bottom w:val="single" w:sz="6" w:space="0" w:color="auto"/>
              <w:right w:val="single" w:sz="6" w:space="0" w:color="auto"/>
            </w:tcBorders>
            <w:hideMark/>
          </w:tcPr>
          <w:p w14:paraId="5ED791F3" w14:textId="77777777" w:rsidR="00C81100" w:rsidRDefault="00C81100" w:rsidP="00AD2F6B">
            <w:pPr>
              <w:pStyle w:val="TAC"/>
            </w:pPr>
            <w:r>
              <w:t>-120.5</w:t>
            </w:r>
          </w:p>
        </w:tc>
        <w:tc>
          <w:tcPr>
            <w:tcW w:w="1201" w:type="dxa"/>
            <w:tcBorders>
              <w:top w:val="single" w:sz="6" w:space="0" w:color="auto"/>
              <w:left w:val="single" w:sz="4" w:space="0" w:color="auto"/>
              <w:bottom w:val="single" w:sz="6" w:space="0" w:color="auto"/>
              <w:right w:val="single" w:sz="6" w:space="0" w:color="auto"/>
            </w:tcBorders>
            <w:hideMark/>
          </w:tcPr>
          <w:p w14:paraId="0F071323" w14:textId="77777777" w:rsidR="00C81100" w:rsidRDefault="00C81100" w:rsidP="00AD2F6B">
            <w:pPr>
              <w:pStyle w:val="TAC"/>
              <w:rPr>
                <w:lang w:val="sv-SE"/>
              </w:rPr>
            </w:pPr>
            <w:r>
              <w:t>-117.5</w:t>
            </w:r>
          </w:p>
        </w:tc>
        <w:tc>
          <w:tcPr>
            <w:tcW w:w="1440" w:type="dxa"/>
            <w:tcBorders>
              <w:top w:val="single" w:sz="6" w:space="0" w:color="auto"/>
              <w:left w:val="single" w:sz="6" w:space="0" w:color="auto"/>
              <w:bottom w:val="single" w:sz="6" w:space="0" w:color="auto"/>
              <w:right w:val="single" w:sz="6" w:space="0" w:color="auto"/>
            </w:tcBorders>
            <w:hideMark/>
          </w:tcPr>
          <w:p w14:paraId="1D75E2DC"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E8CCDCA" w14:textId="77777777" w:rsidR="00C81100" w:rsidRDefault="00C81100" w:rsidP="00AD2F6B">
            <w:pPr>
              <w:pStyle w:val="TAC"/>
            </w:pPr>
            <w:r>
              <w:t>-50</w:t>
            </w:r>
          </w:p>
        </w:tc>
      </w:tr>
      <w:tr w:rsidR="00C81100" w14:paraId="78C7045B" w14:textId="77777777" w:rsidTr="00AD2F6B">
        <w:trPr>
          <w:jc w:val="center"/>
        </w:trPr>
        <w:tc>
          <w:tcPr>
            <w:tcW w:w="1031" w:type="dxa"/>
            <w:tcBorders>
              <w:top w:val="nil"/>
              <w:left w:val="single" w:sz="4" w:space="0" w:color="auto"/>
              <w:bottom w:val="nil"/>
              <w:right w:val="single" w:sz="6" w:space="0" w:color="auto"/>
            </w:tcBorders>
          </w:tcPr>
          <w:p w14:paraId="74002BB6"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4599DD4D"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3ACBBA4D"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34B6E1F5" w14:textId="77777777" w:rsidR="00C81100" w:rsidRDefault="00C81100" w:rsidP="00AD2F6B">
            <w:pPr>
              <w:pStyle w:val="TAC"/>
            </w:pPr>
            <w:r>
              <w:t>NR_TDD_FR1_C</w:t>
            </w:r>
          </w:p>
        </w:tc>
        <w:tc>
          <w:tcPr>
            <w:tcW w:w="1276" w:type="dxa"/>
            <w:tcBorders>
              <w:top w:val="single" w:sz="6" w:space="0" w:color="auto"/>
              <w:left w:val="single" w:sz="4" w:space="0" w:color="auto"/>
              <w:bottom w:val="single" w:sz="6" w:space="0" w:color="auto"/>
              <w:right w:val="single" w:sz="6" w:space="0" w:color="auto"/>
            </w:tcBorders>
            <w:hideMark/>
          </w:tcPr>
          <w:p w14:paraId="67074081" w14:textId="77777777" w:rsidR="00C81100" w:rsidRDefault="00C81100" w:rsidP="00AD2F6B">
            <w:pPr>
              <w:pStyle w:val="TAC"/>
            </w:pPr>
            <w:r>
              <w:t>-120</w:t>
            </w:r>
          </w:p>
        </w:tc>
        <w:tc>
          <w:tcPr>
            <w:tcW w:w="1201" w:type="dxa"/>
            <w:tcBorders>
              <w:top w:val="single" w:sz="6" w:space="0" w:color="auto"/>
              <w:left w:val="single" w:sz="4" w:space="0" w:color="auto"/>
              <w:bottom w:val="single" w:sz="6" w:space="0" w:color="auto"/>
              <w:right w:val="single" w:sz="6" w:space="0" w:color="auto"/>
            </w:tcBorders>
            <w:hideMark/>
          </w:tcPr>
          <w:p w14:paraId="1C42802A" w14:textId="77777777" w:rsidR="00C81100" w:rsidRDefault="00C81100" w:rsidP="00AD2F6B">
            <w:pPr>
              <w:pStyle w:val="TAC"/>
              <w:rPr>
                <w:lang w:val="sv-SE"/>
              </w:rPr>
            </w:pPr>
            <w:r>
              <w:t>-117</w:t>
            </w:r>
          </w:p>
        </w:tc>
        <w:tc>
          <w:tcPr>
            <w:tcW w:w="1440" w:type="dxa"/>
            <w:tcBorders>
              <w:top w:val="single" w:sz="6" w:space="0" w:color="auto"/>
              <w:left w:val="single" w:sz="6" w:space="0" w:color="auto"/>
              <w:bottom w:val="single" w:sz="6" w:space="0" w:color="auto"/>
              <w:right w:val="single" w:sz="6" w:space="0" w:color="auto"/>
            </w:tcBorders>
            <w:hideMark/>
          </w:tcPr>
          <w:p w14:paraId="3E3B82EE"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C1ABCBB" w14:textId="77777777" w:rsidR="00C81100" w:rsidRDefault="00C81100" w:rsidP="00AD2F6B">
            <w:pPr>
              <w:pStyle w:val="TAC"/>
            </w:pPr>
            <w:r>
              <w:t>-50</w:t>
            </w:r>
          </w:p>
        </w:tc>
      </w:tr>
      <w:tr w:rsidR="00C81100" w14:paraId="07C5E209" w14:textId="77777777" w:rsidTr="00AD2F6B">
        <w:trPr>
          <w:jc w:val="center"/>
        </w:trPr>
        <w:tc>
          <w:tcPr>
            <w:tcW w:w="1031" w:type="dxa"/>
            <w:tcBorders>
              <w:top w:val="nil"/>
              <w:left w:val="single" w:sz="4" w:space="0" w:color="auto"/>
              <w:bottom w:val="nil"/>
              <w:right w:val="single" w:sz="6" w:space="0" w:color="auto"/>
            </w:tcBorders>
            <w:hideMark/>
          </w:tcPr>
          <w:p w14:paraId="05FF20A1" w14:textId="77777777" w:rsidR="00C81100" w:rsidRDefault="00C81100" w:rsidP="00AD2F6B">
            <w:pPr>
              <w:pStyle w:val="TAC"/>
            </w:pPr>
            <w:r>
              <w:rPr>
                <w:rFonts w:cs="Arial"/>
              </w:rPr>
              <w:t>±[3.5]</w:t>
            </w:r>
          </w:p>
        </w:tc>
        <w:tc>
          <w:tcPr>
            <w:tcW w:w="1026" w:type="dxa"/>
            <w:tcBorders>
              <w:top w:val="nil"/>
              <w:left w:val="single" w:sz="6" w:space="0" w:color="auto"/>
              <w:bottom w:val="nil"/>
              <w:right w:val="single" w:sz="6" w:space="0" w:color="auto"/>
            </w:tcBorders>
            <w:hideMark/>
          </w:tcPr>
          <w:p w14:paraId="279386D9" w14:textId="77777777" w:rsidR="00C81100" w:rsidRDefault="00C81100" w:rsidP="00AD2F6B">
            <w:pPr>
              <w:pStyle w:val="TAC"/>
            </w:pPr>
            <w:r>
              <w:rPr>
                <w:rFonts w:cs="Arial"/>
              </w:rPr>
              <w:t>±[4.5]</w:t>
            </w:r>
          </w:p>
        </w:tc>
        <w:tc>
          <w:tcPr>
            <w:tcW w:w="773" w:type="dxa"/>
            <w:tcBorders>
              <w:top w:val="nil"/>
              <w:left w:val="single" w:sz="6" w:space="0" w:color="auto"/>
              <w:bottom w:val="nil"/>
              <w:right w:val="single" w:sz="6" w:space="0" w:color="auto"/>
            </w:tcBorders>
            <w:hideMark/>
          </w:tcPr>
          <w:p w14:paraId="61A8FBCF" w14:textId="77777777" w:rsidR="00C81100" w:rsidRDefault="00C81100" w:rsidP="00AD2F6B">
            <w:pPr>
              <w:pStyle w:val="TAC"/>
            </w:pPr>
            <w:r>
              <w:sym w:font="Symbol" w:char="F0B3"/>
            </w:r>
            <w:r>
              <w:t>-3</w:t>
            </w:r>
          </w:p>
        </w:tc>
        <w:tc>
          <w:tcPr>
            <w:tcW w:w="1985" w:type="dxa"/>
            <w:tcBorders>
              <w:top w:val="single" w:sz="6" w:space="0" w:color="auto"/>
              <w:left w:val="single" w:sz="6" w:space="0" w:color="auto"/>
              <w:bottom w:val="single" w:sz="6" w:space="0" w:color="auto"/>
              <w:right w:val="single" w:sz="4" w:space="0" w:color="auto"/>
            </w:tcBorders>
            <w:hideMark/>
          </w:tcPr>
          <w:p w14:paraId="2AD13142" w14:textId="77777777" w:rsidR="00C81100" w:rsidRDefault="00C81100" w:rsidP="00AD2F6B">
            <w:pPr>
              <w:pStyle w:val="TAC"/>
              <w:rPr>
                <w:lang w:val="sv-SE"/>
              </w:rPr>
            </w:pPr>
            <w:r>
              <w:rPr>
                <w:lang w:val="sv-SE"/>
              </w:rPr>
              <w:t>NR_FDD_FR1_D, NR_TDD_FR1_D</w:t>
            </w:r>
          </w:p>
        </w:tc>
        <w:tc>
          <w:tcPr>
            <w:tcW w:w="1276" w:type="dxa"/>
            <w:tcBorders>
              <w:top w:val="single" w:sz="6" w:space="0" w:color="auto"/>
              <w:left w:val="single" w:sz="4" w:space="0" w:color="auto"/>
              <w:bottom w:val="single" w:sz="6" w:space="0" w:color="auto"/>
              <w:right w:val="single" w:sz="6" w:space="0" w:color="auto"/>
            </w:tcBorders>
            <w:hideMark/>
          </w:tcPr>
          <w:p w14:paraId="365B6A86" w14:textId="77777777" w:rsidR="00C81100" w:rsidRDefault="00C81100" w:rsidP="00AD2F6B">
            <w:pPr>
              <w:pStyle w:val="TAC"/>
            </w:pPr>
            <w:r>
              <w:t>-119.5</w:t>
            </w:r>
          </w:p>
        </w:tc>
        <w:tc>
          <w:tcPr>
            <w:tcW w:w="1201" w:type="dxa"/>
            <w:tcBorders>
              <w:top w:val="single" w:sz="6" w:space="0" w:color="auto"/>
              <w:left w:val="single" w:sz="4" w:space="0" w:color="auto"/>
              <w:bottom w:val="single" w:sz="6" w:space="0" w:color="auto"/>
              <w:right w:val="single" w:sz="6" w:space="0" w:color="auto"/>
            </w:tcBorders>
            <w:hideMark/>
          </w:tcPr>
          <w:p w14:paraId="6C125D56" w14:textId="77777777" w:rsidR="00C81100" w:rsidRDefault="00C81100" w:rsidP="00AD2F6B">
            <w:pPr>
              <w:pStyle w:val="TAC"/>
            </w:pPr>
            <w:r>
              <w:t>-116.5</w:t>
            </w:r>
          </w:p>
        </w:tc>
        <w:tc>
          <w:tcPr>
            <w:tcW w:w="1440" w:type="dxa"/>
            <w:tcBorders>
              <w:top w:val="single" w:sz="6" w:space="0" w:color="auto"/>
              <w:left w:val="single" w:sz="6" w:space="0" w:color="auto"/>
              <w:bottom w:val="single" w:sz="6" w:space="0" w:color="auto"/>
              <w:right w:val="single" w:sz="6" w:space="0" w:color="auto"/>
            </w:tcBorders>
            <w:hideMark/>
          </w:tcPr>
          <w:p w14:paraId="17939119"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3323271" w14:textId="77777777" w:rsidR="00C81100" w:rsidRDefault="00C81100" w:rsidP="00AD2F6B">
            <w:pPr>
              <w:pStyle w:val="TAC"/>
            </w:pPr>
            <w:r>
              <w:t>-50</w:t>
            </w:r>
          </w:p>
        </w:tc>
      </w:tr>
      <w:tr w:rsidR="00C81100" w14:paraId="5FE6E73D" w14:textId="77777777" w:rsidTr="00AD2F6B">
        <w:trPr>
          <w:jc w:val="center"/>
        </w:trPr>
        <w:tc>
          <w:tcPr>
            <w:tcW w:w="1031" w:type="dxa"/>
            <w:tcBorders>
              <w:top w:val="nil"/>
              <w:left w:val="single" w:sz="4" w:space="0" w:color="auto"/>
              <w:bottom w:val="nil"/>
              <w:right w:val="single" w:sz="6" w:space="0" w:color="auto"/>
            </w:tcBorders>
          </w:tcPr>
          <w:p w14:paraId="4D7D2399"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4CB847D"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1EA69C6F"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78CC0CD0" w14:textId="77777777" w:rsidR="00C81100" w:rsidRDefault="00C81100" w:rsidP="00AD2F6B">
            <w:pPr>
              <w:pStyle w:val="TAC"/>
              <w:rPr>
                <w:lang w:val="sv-SE"/>
              </w:rPr>
            </w:pPr>
            <w:r>
              <w:rPr>
                <w:lang w:val="sv-SE"/>
              </w:rPr>
              <w:t>NR_FDD_FR1_E, NR_TDD_FR1_E</w:t>
            </w:r>
          </w:p>
        </w:tc>
        <w:tc>
          <w:tcPr>
            <w:tcW w:w="1276" w:type="dxa"/>
            <w:tcBorders>
              <w:top w:val="single" w:sz="6" w:space="0" w:color="auto"/>
              <w:left w:val="single" w:sz="4" w:space="0" w:color="auto"/>
              <w:bottom w:val="single" w:sz="6" w:space="0" w:color="auto"/>
              <w:right w:val="single" w:sz="6" w:space="0" w:color="auto"/>
            </w:tcBorders>
            <w:hideMark/>
          </w:tcPr>
          <w:p w14:paraId="47147422" w14:textId="77777777" w:rsidR="00C81100" w:rsidRDefault="00C81100" w:rsidP="00AD2F6B">
            <w:pPr>
              <w:pStyle w:val="TAC"/>
            </w:pPr>
            <w:r>
              <w:t>-119</w:t>
            </w:r>
          </w:p>
        </w:tc>
        <w:tc>
          <w:tcPr>
            <w:tcW w:w="1201" w:type="dxa"/>
            <w:tcBorders>
              <w:top w:val="single" w:sz="6" w:space="0" w:color="auto"/>
              <w:left w:val="single" w:sz="4" w:space="0" w:color="auto"/>
              <w:bottom w:val="single" w:sz="6" w:space="0" w:color="auto"/>
              <w:right w:val="single" w:sz="6" w:space="0" w:color="auto"/>
            </w:tcBorders>
            <w:hideMark/>
          </w:tcPr>
          <w:p w14:paraId="76B81DD5" w14:textId="77777777" w:rsidR="00C81100" w:rsidRDefault="00C81100" w:rsidP="00AD2F6B">
            <w:pPr>
              <w:pStyle w:val="TAC"/>
              <w:rPr>
                <w:lang w:val="sv-SE"/>
              </w:rPr>
            </w:pPr>
            <w:r>
              <w:t>-116</w:t>
            </w:r>
          </w:p>
        </w:tc>
        <w:tc>
          <w:tcPr>
            <w:tcW w:w="1440" w:type="dxa"/>
            <w:tcBorders>
              <w:top w:val="single" w:sz="6" w:space="0" w:color="auto"/>
              <w:left w:val="single" w:sz="6" w:space="0" w:color="auto"/>
              <w:bottom w:val="single" w:sz="6" w:space="0" w:color="auto"/>
              <w:right w:val="single" w:sz="6" w:space="0" w:color="auto"/>
            </w:tcBorders>
            <w:hideMark/>
          </w:tcPr>
          <w:p w14:paraId="105D5A49"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85D5731" w14:textId="77777777" w:rsidR="00C81100" w:rsidRDefault="00C81100" w:rsidP="00AD2F6B">
            <w:pPr>
              <w:pStyle w:val="TAC"/>
            </w:pPr>
            <w:r>
              <w:t>-50</w:t>
            </w:r>
          </w:p>
        </w:tc>
      </w:tr>
      <w:tr w:rsidR="00C81100" w14:paraId="1C6BDC44" w14:textId="77777777" w:rsidTr="00AD2F6B">
        <w:trPr>
          <w:jc w:val="center"/>
        </w:trPr>
        <w:tc>
          <w:tcPr>
            <w:tcW w:w="1031" w:type="dxa"/>
            <w:tcBorders>
              <w:top w:val="nil"/>
              <w:left w:val="single" w:sz="4" w:space="0" w:color="auto"/>
              <w:bottom w:val="nil"/>
              <w:right w:val="single" w:sz="6" w:space="0" w:color="auto"/>
            </w:tcBorders>
          </w:tcPr>
          <w:p w14:paraId="3841F357"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52124D3"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738E92C8"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3FA20495" w14:textId="77777777" w:rsidR="00C81100" w:rsidRDefault="00C81100" w:rsidP="00AD2F6B">
            <w:pPr>
              <w:pStyle w:val="TAC"/>
              <w:rPr>
                <w:lang w:val="sv-SE"/>
              </w:rPr>
            </w:pPr>
            <w:r>
              <w:rPr>
                <w:lang w:eastAsia="zh-CN"/>
              </w:rPr>
              <w:t>NR_FDD_FR1_F</w:t>
            </w:r>
          </w:p>
        </w:tc>
        <w:tc>
          <w:tcPr>
            <w:tcW w:w="1276" w:type="dxa"/>
            <w:tcBorders>
              <w:top w:val="single" w:sz="6" w:space="0" w:color="auto"/>
              <w:left w:val="single" w:sz="4" w:space="0" w:color="auto"/>
              <w:bottom w:val="single" w:sz="6" w:space="0" w:color="auto"/>
              <w:right w:val="single" w:sz="6" w:space="0" w:color="auto"/>
            </w:tcBorders>
            <w:hideMark/>
          </w:tcPr>
          <w:p w14:paraId="4596A0C5" w14:textId="77777777" w:rsidR="00C81100" w:rsidRDefault="00C81100" w:rsidP="00AD2F6B">
            <w:pPr>
              <w:pStyle w:val="TAC"/>
            </w:pPr>
            <w:r>
              <w:t>-118.5</w:t>
            </w:r>
          </w:p>
        </w:tc>
        <w:tc>
          <w:tcPr>
            <w:tcW w:w="1201" w:type="dxa"/>
            <w:tcBorders>
              <w:top w:val="single" w:sz="6" w:space="0" w:color="auto"/>
              <w:left w:val="single" w:sz="4" w:space="0" w:color="auto"/>
              <w:bottom w:val="single" w:sz="6" w:space="0" w:color="auto"/>
              <w:right w:val="single" w:sz="6" w:space="0" w:color="auto"/>
            </w:tcBorders>
            <w:hideMark/>
          </w:tcPr>
          <w:p w14:paraId="3EA27AD6" w14:textId="77777777" w:rsidR="00C81100" w:rsidRDefault="00C81100" w:rsidP="00AD2F6B">
            <w:pPr>
              <w:pStyle w:val="TAC"/>
            </w:pPr>
            <w:r>
              <w:t>-115.5</w:t>
            </w:r>
          </w:p>
        </w:tc>
        <w:tc>
          <w:tcPr>
            <w:tcW w:w="1440" w:type="dxa"/>
            <w:tcBorders>
              <w:top w:val="single" w:sz="6" w:space="0" w:color="auto"/>
              <w:left w:val="single" w:sz="6" w:space="0" w:color="auto"/>
              <w:bottom w:val="single" w:sz="6" w:space="0" w:color="auto"/>
              <w:right w:val="single" w:sz="6" w:space="0" w:color="auto"/>
            </w:tcBorders>
            <w:hideMark/>
          </w:tcPr>
          <w:p w14:paraId="7A4F3257"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B4B2233" w14:textId="77777777" w:rsidR="00C81100" w:rsidRDefault="00C81100" w:rsidP="00AD2F6B">
            <w:pPr>
              <w:pStyle w:val="TAC"/>
            </w:pPr>
            <w:r>
              <w:t>-50</w:t>
            </w:r>
          </w:p>
        </w:tc>
      </w:tr>
      <w:tr w:rsidR="00C81100" w14:paraId="122FC066" w14:textId="77777777" w:rsidTr="00AD2F6B">
        <w:trPr>
          <w:jc w:val="center"/>
        </w:trPr>
        <w:tc>
          <w:tcPr>
            <w:tcW w:w="1031" w:type="dxa"/>
            <w:tcBorders>
              <w:top w:val="nil"/>
              <w:left w:val="single" w:sz="4" w:space="0" w:color="auto"/>
              <w:bottom w:val="nil"/>
              <w:right w:val="single" w:sz="6" w:space="0" w:color="auto"/>
            </w:tcBorders>
          </w:tcPr>
          <w:p w14:paraId="70EDD918"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6FAE56FE"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0E4C300F"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1BDC6493" w14:textId="77777777" w:rsidR="00C81100" w:rsidRDefault="00C81100" w:rsidP="00AD2F6B">
            <w:pPr>
              <w:pStyle w:val="TAC"/>
              <w:rPr>
                <w:lang w:eastAsia="zh-CN"/>
              </w:rPr>
            </w:pPr>
            <w:r>
              <w:rPr>
                <w:lang w:eastAsia="zh-CN"/>
              </w:rPr>
              <w:t>NR</w:t>
            </w:r>
            <w:r>
              <w:t>_</w:t>
            </w:r>
            <w:r>
              <w:rPr>
                <w:lang w:eastAsia="zh-CN"/>
              </w:rPr>
              <w:t>FDD_FR1_G</w:t>
            </w:r>
          </w:p>
        </w:tc>
        <w:tc>
          <w:tcPr>
            <w:tcW w:w="1276" w:type="dxa"/>
            <w:tcBorders>
              <w:top w:val="single" w:sz="6" w:space="0" w:color="auto"/>
              <w:left w:val="single" w:sz="4" w:space="0" w:color="auto"/>
              <w:bottom w:val="single" w:sz="6" w:space="0" w:color="auto"/>
              <w:right w:val="single" w:sz="6" w:space="0" w:color="auto"/>
            </w:tcBorders>
            <w:hideMark/>
          </w:tcPr>
          <w:p w14:paraId="710B2CEC" w14:textId="77777777" w:rsidR="00C81100" w:rsidRDefault="00C81100" w:rsidP="00AD2F6B">
            <w:pPr>
              <w:pStyle w:val="TAC"/>
            </w:pPr>
            <w:r>
              <w:t>-118</w:t>
            </w:r>
          </w:p>
        </w:tc>
        <w:tc>
          <w:tcPr>
            <w:tcW w:w="1201" w:type="dxa"/>
            <w:tcBorders>
              <w:top w:val="single" w:sz="6" w:space="0" w:color="auto"/>
              <w:left w:val="single" w:sz="4" w:space="0" w:color="auto"/>
              <w:bottom w:val="single" w:sz="6" w:space="0" w:color="auto"/>
              <w:right w:val="single" w:sz="6" w:space="0" w:color="auto"/>
            </w:tcBorders>
            <w:hideMark/>
          </w:tcPr>
          <w:p w14:paraId="54C74B8D" w14:textId="77777777" w:rsidR="00C81100" w:rsidRDefault="00C81100" w:rsidP="00AD2F6B">
            <w:pPr>
              <w:pStyle w:val="TAC"/>
              <w:rPr>
                <w:lang w:val="sv-SE"/>
              </w:rPr>
            </w:pPr>
            <w:r>
              <w:t>-115</w:t>
            </w:r>
          </w:p>
        </w:tc>
        <w:tc>
          <w:tcPr>
            <w:tcW w:w="1440" w:type="dxa"/>
            <w:tcBorders>
              <w:top w:val="single" w:sz="6" w:space="0" w:color="auto"/>
              <w:left w:val="single" w:sz="6" w:space="0" w:color="auto"/>
              <w:bottom w:val="single" w:sz="6" w:space="0" w:color="auto"/>
              <w:right w:val="single" w:sz="6" w:space="0" w:color="auto"/>
            </w:tcBorders>
            <w:hideMark/>
          </w:tcPr>
          <w:p w14:paraId="7CAA36C3"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2903CF2D" w14:textId="77777777" w:rsidR="00C81100" w:rsidRDefault="00C81100" w:rsidP="00AD2F6B">
            <w:pPr>
              <w:pStyle w:val="TAC"/>
            </w:pPr>
            <w:r>
              <w:t>-50</w:t>
            </w:r>
          </w:p>
        </w:tc>
      </w:tr>
      <w:tr w:rsidR="00C81100" w14:paraId="1A1EA710" w14:textId="77777777" w:rsidTr="00AD2F6B">
        <w:trPr>
          <w:jc w:val="center"/>
        </w:trPr>
        <w:tc>
          <w:tcPr>
            <w:tcW w:w="1031" w:type="dxa"/>
            <w:tcBorders>
              <w:top w:val="nil"/>
              <w:left w:val="single" w:sz="4" w:space="0" w:color="auto"/>
              <w:bottom w:val="nil"/>
              <w:right w:val="single" w:sz="6" w:space="0" w:color="auto"/>
            </w:tcBorders>
          </w:tcPr>
          <w:p w14:paraId="4CF4D4BB"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6791F54E" w14:textId="77777777" w:rsidR="00C81100" w:rsidRDefault="00C81100" w:rsidP="00AD2F6B">
            <w:pPr>
              <w:pStyle w:val="TAC"/>
            </w:pPr>
          </w:p>
        </w:tc>
        <w:tc>
          <w:tcPr>
            <w:tcW w:w="773" w:type="dxa"/>
            <w:tcBorders>
              <w:top w:val="nil"/>
              <w:left w:val="single" w:sz="6" w:space="0" w:color="auto"/>
              <w:bottom w:val="nil"/>
              <w:right w:val="single" w:sz="6" w:space="0" w:color="auto"/>
            </w:tcBorders>
          </w:tcPr>
          <w:p w14:paraId="657C9656" w14:textId="77777777" w:rsidR="00C81100" w:rsidRDefault="00C81100" w:rsidP="00AD2F6B">
            <w:pPr>
              <w:pStyle w:val="TAC"/>
            </w:pPr>
          </w:p>
        </w:tc>
        <w:tc>
          <w:tcPr>
            <w:tcW w:w="1985" w:type="dxa"/>
            <w:tcBorders>
              <w:top w:val="single" w:sz="6" w:space="0" w:color="auto"/>
              <w:left w:val="single" w:sz="6" w:space="0" w:color="auto"/>
              <w:bottom w:val="single" w:sz="6" w:space="0" w:color="auto"/>
              <w:right w:val="single" w:sz="4" w:space="0" w:color="auto"/>
            </w:tcBorders>
            <w:hideMark/>
          </w:tcPr>
          <w:p w14:paraId="77A05BBF" w14:textId="77777777" w:rsidR="00C81100" w:rsidRDefault="00C81100" w:rsidP="00AD2F6B">
            <w:pPr>
              <w:pStyle w:val="TAC"/>
              <w:rPr>
                <w:lang w:eastAsia="zh-CN"/>
              </w:rPr>
            </w:pPr>
            <w:r>
              <w:rPr>
                <w:lang w:eastAsia="zh-CN"/>
              </w:rPr>
              <w:t>NR</w:t>
            </w:r>
            <w:r>
              <w:t>_</w:t>
            </w:r>
            <w:r>
              <w:rPr>
                <w:lang w:eastAsia="zh-CN"/>
              </w:rPr>
              <w:t>FDD_FR1_H</w:t>
            </w:r>
          </w:p>
        </w:tc>
        <w:tc>
          <w:tcPr>
            <w:tcW w:w="1276" w:type="dxa"/>
            <w:tcBorders>
              <w:top w:val="single" w:sz="6" w:space="0" w:color="auto"/>
              <w:left w:val="single" w:sz="4" w:space="0" w:color="auto"/>
              <w:bottom w:val="single" w:sz="6" w:space="0" w:color="auto"/>
              <w:right w:val="single" w:sz="6" w:space="0" w:color="auto"/>
            </w:tcBorders>
            <w:hideMark/>
          </w:tcPr>
          <w:p w14:paraId="5DECADEA" w14:textId="77777777" w:rsidR="00C81100" w:rsidRDefault="00C81100" w:rsidP="00AD2F6B">
            <w:pPr>
              <w:pStyle w:val="TAC"/>
            </w:pPr>
            <w:r>
              <w:t>-117.5</w:t>
            </w:r>
          </w:p>
        </w:tc>
        <w:tc>
          <w:tcPr>
            <w:tcW w:w="1201" w:type="dxa"/>
            <w:tcBorders>
              <w:top w:val="single" w:sz="6" w:space="0" w:color="auto"/>
              <w:left w:val="single" w:sz="4" w:space="0" w:color="auto"/>
              <w:bottom w:val="single" w:sz="6" w:space="0" w:color="auto"/>
              <w:right w:val="single" w:sz="6" w:space="0" w:color="auto"/>
            </w:tcBorders>
            <w:hideMark/>
          </w:tcPr>
          <w:p w14:paraId="5BD8C9D7" w14:textId="77777777" w:rsidR="00C81100" w:rsidRDefault="00C81100" w:rsidP="00AD2F6B">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26C42329"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D859E81" w14:textId="77777777" w:rsidR="00C81100" w:rsidRDefault="00C81100" w:rsidP="00AD2F6B">
            <w:pPr>
              <w:pStyle w:val="TAC"/>
            </w:pPr>
            <w:r>
              <w:t>-50</w:t>
            </w:r>
          </w:p>
        </w:tc>
      </w:tr>
      <w:tr w:rsidR="00C81100" w14:paraId="698E3F21" w14:textId="77777777" w:rsidTr="00AD2F6B">
        <w:trPr>
          <w:jc w:val="center"/>
        </w:trPr>
        <w:tc>
          <w:tcPr>
            <w:tcW w:w="10172" w:type="dxa"/>
            <w:gridSpan w:val="8"/>
            <w:tcBorders>
              <w:top w:val="single" w:sz="6" w:space="0" w:color="auto"/>
              <w:left w:val="single" w:sz="4" w:space="0" w:color="auto"/>
              <w:bottom w:val="single" w:sz="4" w:space="0" w:color="auto"/>
              <w:right w:val="single" w:sz="4" w:space="0" w:color="auto"/>
            </w:tcBorders>
            <w:vAlign w:val="center"/>
            <w:hideMark/>
          </w:tcPr>
          <w:p w14:paraId="6EAC6AAB" w14:textId="77777777" w:rsidR="006055B0" w:rsidRDefault="006055B0" w:rsidP="006055B0">
            <w:pPr>
              <w:pStyle w:val="TAN"/>
            </w:pPr>
            <w:r>
              <w:t>NOTE 1:</w:t>
            </w:r>
            <w:r>
              <w:tab/>
              <w:t>Io is assumed to have constant EPRE across the bandwidth.</w:t>
            </w:r>
          </w:p>
          <w:p w14:paraId="6785197B" w14:textId="77777777" w:rsidR="006055B0" w:rsidRDefault="006055B0" w:rsidP="006055B0">
            <w:pPr>
              <w:pStyle w:val="TAN"/>
            </w:pPr>
            <w:r>
              <w:t>NOTE 2:</w:t>
            </w:r>
            <w:r>
              <w:tab/>
              <w:t>The parameter SSB CMR Ês/Iot is the minimum SSB CMR Ês/Iot of the pair of SSBs to which the requirement applies.</w:t>
            </w:r>
          </w:p>
          <w:p w14:paraId="782F6B28" w14:textId="77777777" w:rsidR="006055B0" w:rsidRDefault="006055B0" w:rsidP="006055B0">
            <w:pPr>
              <w:pStyle w:val="TAN"/>
            </w:pPr>
            <w:r>
              <w:t>NOTE 3:</w:t>
            </w:r>
            <w:r>
              <w:tab/>
              <w:t>NR operating band groups in FR1 are as defined in clause 3.5.2.</w:t>
            </w:r>
          </w:p>
          <w:p w14:paraId="655784CB" w14:textId="4E2ED7D0" w:rsidR="00C81100" w:rsidRDefault="006055B0" w:rsidP="006055B0">
            <w:pPr>
              <w:pStyle w:val="TAN"/>
            </w:pPr>
            <w:r w:rsidRPr="009C5807">
              <w:rPr>
                <w:rFonts w:cs="Arial"/>
              </w:rPr>
              <w:t xml:space="preserve">NOTE </w:t>
            </w:r>
            <w:r>
              <w:rPr>
                <w:rFonts w:cs="Arial"/>
              </w:rPr>
              <w:t>4</w:t>
            </w:r>
            <w:r w:rsidRPr="009C5807">
              <w:rPr>
                <w:rFonts w:cs="Arial"/>
              </w:rPr>
              <w:t>:</w:t>
            </w:r>
            <w:r w:rsidRPr="009C5807">
              <w:rPr>
                <w:rFonts w:cs="Arial"/>
              </w:rPr>
              <w:tab/>
              <w:t xml:space="preserve">The requirements apply for SSB 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1118B799" w14:textId="77777777" w:rsidR="00C81100" w:rsidRPr="00F37389" w:rsidRDefault="00C81100" w:rsidP="003C004B">
      <w:pPr>
        <w:rPr>
          <w:rFonts w:eastAsia="?? ??"/>
        </w:rPr>
      </w:pPr>
    </w:p>
    <w:p w14:paraId="75A2BA88" w14:textId="77777777" w:rsidR="00C81100" w:rsidRDefault="00C81100" w:rsidP="0039227E">
      <w:pPr>
        <w:pStyle w:val="Heading4"/>
        <w:rPr>
          <w:lang w:val="en-US"/>
        </w:rPr>
      </w:pPr>
      <w:r>
        <w:rPr>
          <w:lang w:val="en-US"/>
        </w:rPr>
        <w:t>10.1.27.3</w:t>
      </w:r>
      <w:r>
        <w:rPr>
          <w:lang w:val="en-US"/>
        </w:rPr>
        <w:tab/>
        <w:t>L1-SINR accuracy requirements with CSI-RS based CMR and dedicated IMR configured</w:t>
      </w:r>
    </w:p>
    <w:p w14:paraId="7EDAED9C" w14:textId="77777777" w:rsidR="00C81100" w:rsidRDefault="00C81100" w:rsidP="0039227E">
      <w:pPr>
        <w:pStyle w:val="Heading5"/>
      </w:pPr>
      <w:r>
        <w:t>10.1.27.3.1</w:t>
      </w:r>
      <w:r>
        <w:tab/>
        <w:t>Absolute Accuracy</w:t>
      </w:r>
    </w:p>
    <w:p w14:paraId="2FDA83C4" w14:textId="77777777" w:rsidR="00C81100" w:rsidRDefault="00C81100" w:rsidP="00C81100">
      <w:pPr>
        <w:rPr>
          <w:rFonts w:cs="v4.2.0"/>
        </w:rPr>
      </w:pPr>
      <w:r>
        <w:rPr>
          <w:rFonts w:cs="v4.2.0"/>
        </w:rPr>
        <w:t>Unless otherwise specified, the requirements for absolute accuracy of CSI-RS based L1-SINR in this clause apply to all CSI-RS resources configured as CMR and dedicated resources configured as IMR of the serving cell configured for L1-SINR measurement.</w:t>
      </w:r>
    </w:p>
    <w:p w14:paraId="6CFDC70C" w14:textId="77777777" w:rsidR="00C81100" w:rsidRDefault="00C81100" w:rsidP="00C81100">
      <w:pPr>
        <w:rPr>
          <w:rFonts w:cs="v4.2.0"/>
        </w:rPr>
      </w:pPr>
      <w:r>
        <w:rPr>
          <w:rFonts w:cs="v4.2.0"/>
        </w:rPr>
        <w:t>The accuracy requirements are defined in Table 10.1.27.3.1-1 for CSI-RS based CMR and NZP-IMR and in Table 10.1.27</w:t>
      </w:r>
      <w:r w:rsidRPr="00313499">
        <w:rPr>
          <w:rFonts w:cs="v4.2.0"/>
        </w:rPr>
        <w:t>.</w:t>
      </w:r>
      <w:r>
        <w:rPr>
          <w:rFonts w:cs="v4.2.0"/>
        </w:rPr>
        <w:t>3</w:t>
      </w:r>
      <w:r w:rsidRPr="00313499">
        <w:rPr>
          <w:rFonts w:cs="v4.2.0"/>
        </w:rPr>
        <w:t>.1-</w:t>
      </w:r>
      <w:r>
        <w:rPr>
          <w:rFonts w:cs="v4.2.0"/>
        </w:rPr>
        <w:t>2 for CSI-RS based CMR and ZP-IMR.</w:t>
      </w:r>
    </w:p>
    <w:p w14:paraId="5ECA172F" w14:textId="77777777" w:rsidR="00C81100" w:rsidRDefault="00C81100" w:rsidP="00C81100">
      <w:pPr>
        <w:rPr>
          <w:rFonts w:cs="v4.2.0"/>
        </w:rPr>
      </w:pPr>
      <w:r>
        <w:rPr>
          <w:rFonts w:cs="v4.2.0"/>
        </w:rPr>
        <w:t>The accuracy requirements in Tables 10.1.27.3.1-1 and 10.1.27.3.1-2 are valid under the following conditions:</w:t>
      </w:r>
    </w:p>
    <w:p w14:paraId="09E861C9" w14:textId="77777777" w:rsidR="00C81100" w:rsidRDefault="00C81100" w:rsidP="00C81100">
      <w:pPr>
        <w:pStyle w:val="B10"/>
      </w:pPr>
      <w:r>
        <w:t>-</w:t>
      </w:r>
      <w:r>
        <w:tab/>
        <w:t>Conditions defined in clause 7.3 of TS 38.101-1 [18] for reference sensitivity are fulfilled.</w:t>
      </w:r>
    </w:p>
    <w:p w14:paraId="32FC0B3A" w14:textId="14206AF6" w:rsidR="00C81100" w:rsidRDefault="00C81100" w:rsidP="00C81100">
      <w:pPr>
        <w:pStyle w:val="B10"/>
        <w:rPr>
          <w:lang w:eastAsia="zh-CN"/>
        </w:rPr>
      </w:pPr>
      <w:r w:rsidRPr="009C5807">
        <w:t>-</w:t>
      </w:r>
      <w:r w:rsidRPr="009C5807">
        <w:rPr>
          <w:rFonts w:ascii="Arial" w:hAnsi="Arial"/>
          <w:sz w:val="28"/>
          <w:lang w:val="en-US"/>
        </w:rPr>
        <w:tab/>
      </w:r>
      <w:r w:rsidRPr="009C5807">
        <w:t>Conditions for L1-</w:t>
      </w:r>
      <w:r>
        <w:t>SINR</w:t>
      </w:r>
      <w:r w:rsidRPr="009C5807">
        <w:t xml:space="preserve"> measurements are fulfilled according to Annex B.2</w:t>
      </w:r>
      <w:r w:rsidR="005A3DF0">
        <w:t>.8.3</w:t>
      </w:r>
      <w:r w:rsidRPr="009C5807">
        <w:t xml:space="preserve"> for a corresponding Band </w:t>
      </w:r>
      <w:r w:rsidRPr="009C5807">
        <w:rPr>
          <w:rFonts w:cs="v4.2.0"/>
          <w:lang w:eastAsia="ko-KR"/>
        </w:rPr>
        <w:t>for each relevant CSI-RS</w:t>
      </w:r>
      <w:r>
        <w:rPr>
          <w:rFonts w:cs="v4.2.0"/>
          <w:lang w:eastAsia="ko-KR"/>
        </w:rPr>
        <w:t xml:space="preserve"> based CMR and IMR</w:t>
      </w:r>
      <w:r w:rsidRPr="009C5807">
        <w:rPr>
          <w:lang w:eastAsia="zh-CN"/>
        </w:rPr>
        <w:t>.</w:t>
      </w:r>
    </w:p>
    <w:p w14:paraId="0A47742F" w14:textId="77777777" w:rsidR="00C81100" w:rsidRDefault="00C81100" w:rsidP="00C81100">
      <w:pPr>
        <w:pStyle w:val="B10"/>
        <w:rPr>
          <w:lang w:eastAsia="zh-CN"/>
        </w:rPr>
      </w:pPr>
      <w:r>
        <w:rPr>
          <w:lang w:eastAsia="zh-CN"/>
        </w:rPr>
        <w:t>-</w:t>
      </w:r>
      <w:r>
        <w:rPr>
          <w:lang w:eastAsia="zh-CN"/>
        </w:rPr>
        <w:tab/>
        <w:t>The bandwidth of CSI-RS as CMR, NZP-IMR and ZP-IMR is 48 PRBs and the density is 3.</w:t>
      </w:r>
    </w:p>
    <w:p w14:paraId="7240E6D1" w14:textId="11B6B397" w:rsidR="00C81100" w:rsidRDefault="00C81100" w:rsidP="00C81100">
      <w:pPr>
        <w:pStyle w:val="B10"/>
        <w:rPr>
          <w:lang w:eastAsia="zh-CN"/>
        </w:rPr>
      </w:pPr>
      <w:r>
        <w:rPr>
          <w:lang w:eastAsia="zh-CN"/>
        </w:rPr>
        <w:t>-</w:t>
      </w:r>
      <w:r>
        <w:rPr>
          <w:lang w:eastAsia="zh-CN"/>
        </w:rPr>
        <w:tab/>
        <w:t>AWGN</w:t>
      </w:r>
      <w:r w:rsidR="005A3DF0" w:rsidRPr="00FB249D">
        <w:t xml:space="preserve"> </w:t>
      </w:r>
      <w:r w:rsidR="005A3DF0" w:rsidRPr="00B910B8">
        <w:t>radio propagation conditions</w:t>
      </w:r>
      <w:r>
        <w:rPr>
          <w:lang w:eastAsia="zh-CN"/>
        </w:rPr>
        <w:t>.</w:t>
      </w:r>
    </w:p>
    <w:p w14:paraId="3EE3E586" w14:textId="77777777" w:rsidR="00C81100" w:rsidRPr="00F37389" w:rsidRDefault="00C81100" w:rsidP="00C81100">
      <w:pPr>
        <w:rPr>
          <w:rFonts w:eastAsia="?? ??"/>
          <w:sz w:val="24"/>
          <w:szCs w:val="24"/>
        </w:rPr>
      </w:pPr>
      <w:r>
        <w:rPr>
          <w:rFonts w:eastAsia="PMingLiU"/>
          <w:lang w:eastAsia="zh-CN"/>
        </w:rPr>
        <w:t xml:space="preserve">The performance with larger bandwidth of CSI-RS as CMR, NZP-IMR and ZP-IMR is equal to or better than the accuracy requirements in Tables 10.1.27.3.1-1 and </w:t>
      </w:r>
      <w:r>
        <w:rPr>
          <w:rFonts w:cs="v4.2.0"/>
        </w:rPr>
        <w:t>10.1.27.3.1-2.</w:t>
      </w:r>
    </w:p>
    <w:p w14:paraId="47E91A6C" w14:textId="77777777" w:rsidR="00C81100" w:rsidRPr="00F37389" w:rsidRDefault="00C81100" w:rsidP="003C004B">
      <w:pPr>
        <w:rPr>
          <w:rFonts w:eastAsia="?? ??"/>
        </w:rPr>
      </w:pPr>
    </w:p>
    <w:p w14:paraId="54A78BC8" w14:textId="77777777" w:rsidR="00C81100" w:rsidRDefault="00C81100" w:rsidP="00C81100">
      <w:pPr>
        <w:pStyle w:val="TH"/>
      </w:pPr>
      <w:r>
        <w:t>Table 10.1.27.3.1-1: L1-SINR absolute accuracy for CSI-RS based CMR and NZP-IMR in FR1</w:t>
      </w:r>
    </w:p>
    <w:tbl>
      <w:tblPr>
        <w:tblW w:w="10413" w:type="dxa"/>
        <w:jc w:val="center"/>
        <w:tblLayout w:type="fixed"/>
        <w:tblLook w:val="01E0" w:firstRow="1" w:lastRow="1" w:firstColumn="1" w:lastColumn="1" w:noHBand="0" w:noVBand="0"/>
      </w:tblPr>
      <w:tblGrid>
        <w:gridCol w:w="1026"/>
        <w:gridCol w:w="1026"/>
        <w:gridCol w:w="778"/>
        <w:gridCol w:w="709"/>
        <w:gridCol w:w="1701"/>
        <w:gridCol w:w="709"/>
        <w:gridCol w:w="850"/>
        <w:gridCol w:w="734"/>
        <w:gridCol w:w="1440"/>
        <w:gridCol w:w="1440"/>
      </w:tblGrid>
      <w:tr w:rsidR="00C81100" w14:paraId="09BC5831" w14:textId="77777777" w:rsidTr="00AD2F6B">
        <w:trPr>
          <w:jc w:val="center"/>
        </w:trPr>
        <w:tc>
          <w:tcPr>
            <w:tcW w:w="2052" w:type="dxa"/>
            <w:gridSpan w:val="2"/>
            <w:tcBorders>
              <w:top w:val="single" w:sz="4" w:space="0" w:color="auto"/>
              <w:left w:val="single" w:sz="4" w:space="0" w:color="auto"/>
              <w:bottom w:val="single" w:sz="6" w:space="0" w:color="auto"/>
              <w:right w:val="single" w:sz="6" w:space="0" w:color="auto"/>
            </w:tcBorders>
            <w:vAlign w:val="center"/>
            <w:hideMark/>
          </w:tcPr>
          <w:p w14:paraId="3AAA5CBC" w14:textId="77777777" w:rsidR="00C81100" w:rsidRDefault="00C81100" w:rsidP="00AD2F6B">
            <w:pPr>
              <w:pStyle w:val="TAH"/>
            </w:pPr>
            <w:r>
              <w:t>Accuracy</w:t>
            </w:r>
          </w:p>
        </w:tc>
        <w:tc>
          <w:tcPr>
            <w:tcW w:w="8361" w:type="dxa"/>
            <w:gridSpan w:val="8"/>
            <w:tcBorders>
              <w:top w:val="single" w:sz="4" w:space="0" w:color="auto"/>
              <w:left w:val="single" w:sz="6" w:space="0" w:color="auto"/>
              <w:bottom w:val="single" w:sz="6" w:space="0" w:color="auto"/>
              <w:right w:val="single" w:sz="4" w:space="0" w:color="auto"/>
            </w:tcBorders>
            <w:vAlign w:val="center"/>
            <w:hideMark/>
          </w:tcPr>
          <w:p w14:paraId="34B47369" w14:textId="77777777" w:rsidR="00C81100" w:rsidRDefault="00C81100" w:rsidP="00AD2F6B">
            <w:pPr>
              <w:pStyle w:val="TAH"/>
            </w:pPr>
            <w:r>
              <w:t>Conditions</w:t>
            </w:r>
          </w:p>
        </w:tc>
      </w:tr>
      <w:tr w:rsidR="00C81100" w14:paraId="18E53FA2" w14:textId="77777777" w:rsidTr="00AD2F6B">
        <w:trPr>
          <w:jc w:val="center"/>
        </w:trPr>
        <w:tc>
          <w:tcPr>
            <w:tcW w:w="1026" w:type="dxa"/>
            <w:tcBorders>
              <w:top w:val="single" w:sz="6" w:space="0" w:color="auto"/>
              <w:left w:val="single" w:sz="4" w:space="0" w:color="auto"/>
              <w:bottom w:val="nil"/>
              <w:right w:val="single" w:sz="6" w:space="0" w:color="auto"/>
            </w:tcBorders>
            <w:vAlign w:val="center"/>
            <w:hideMark/>
          </w:tcPr>
          <w:p w14:paraId="19900980" w14:textId="77777777" w:rsidR="00C81100" w:rsidRDefault="00C81100" w:rsidP="00AD2F6B">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45C921BB" w14:textId="77777777" w:rsidR="00C81100" w:rsidRDefault="00C81100" w:rsidP="00AD2F6B">
            <w:pPr>
              <w:pStyle w:val="TAH"/>
            </w:pPr>
            <w:r>
              <w:t>Extreme condition</w:t>
            </w:r>
          </w:p>
        </w:tc>
        <w:tc>
          <w:tcPr>
            <w:tcW w:w="778" w:type="dxa"/>
            <w:tcBorders>
              <w:top w:val="single" w:sz="6" w:space="0" w:color="auto"/>
              <w:left w:val="single" w:sz="6" w:space="0" w:color="auto"/>
              <w:bottom w:val="nil"/>
              <w:right w:val="single" w:sz="6" w:space="0" w:color="auto"/>
            </w:tcBorders>
            <w:vAlign w:val="center"/>
            <w:hideMark/>
          </w:tcPr>
          <w:p w14:paraId="501FDF8B" w14:textId="77777777" w:rsidR="00C81100" w:rsidRDefault="00C81100" w:rsidP="00AD2F6B">
            <w:pPr>
              <w:pStyle w:val="TAH"/>
            </w:pPr>
            <w:r>
              <w:t xml:space="preserve">CSI-RS </w:t>
            </w:r>
          </w:p>
          <w:p w14:paraId="71CFC4D0" w14:textId="77777777" w:rsidR="00C81100" w:rsidRDefault="00C81100" w:rsidP="00AD2F6B">
            <w:pPr>
              <w:pStyle w:val="TAH"/>
            </w:pPr>
            <w:r>
              <w:t xml:space="preserve">CMR Ês/Iot  </w:t>
            </w:r>
          </w:p>
        </w:tc>
        <w:tc>
          <w:tcPr>
            <w:tcW w:w="709" w:type="dxa"/>
            <w:tcBorders>
              <w:top w:val="single" w:sz="6" w:space="0" w:color="auto"/>
              <w:left w:val="single" w:sz="6" w:space="0" w:color="auto"/>
              <w:bottom w:val="nil"/>
              <w:right w:val="single" w:sz="6" w:space="0" w:color="auto"/>
            </w:tcBorders>
            <w:vAlign w:val="center"/>
          </w:tcPr>
          <w:p w14:paraId="4ABE604A" w14:textId="77777777" w:rsidR="00C81100" w:rsidRDefault="00C81100" w:rsidP="00AD2F6B">
            <w:pPr>
              <w:pStyle w:val="TAH"/>
            </w:pPr>
            <w:r>
              <w:t>NZP-IMR</w:t>
            </w:r>
          </w:p>
          <w:p w14:paraId="0480D320" w14:textId="77777777" w:rsidR="00C81100" w:rsidRDefault="00C81100" w:rsidP="00AD2F6B">
            <w:pPr>
              <w:pStyle w:val="TAH"/>
            </w:pPr>
            <w:r>
              <w:t>Ês/Iot</w:t>
            </w:r>
          </w:p>
        </w:tc>
        <w:tc>
          <w:tcPr>
            <w:tcW w:w="6874" w:type="dxa"/>
            <w:gridSpan w:val="6"/>
            <w:tcBorders>
              <w:top w:val="single" w:sz="6" w:space="0" w:color="auto"/>
              <w:left w:val="single" w:sz="6" w:space="0" w:color="auto"/>
              <w:bottom w:val="single" w:sz="6" w:space="0" w:color="auto"/>
              <w:right w:val="single" w:sz="4" w:space="0" w:color="auto"/>
            </w:tcBorders>
            <w:vAlign w:val="center"/>
            <w:hideMark/>
          </w:tcPr>
          <w:p w14:paraId="5D3016BD" w14:textId="77777777" w:rsidR="00C81100" w:rsidRDefault="00C81100" w:rsidP="00AD2F6B">
            <w:pPr>
              <w:pStyle w:val="TAH"/>
            </w:pPr>
            <w:r>
              <w:t>Io</w:t>
            </w:r>
            <w:r>
              <w:rPr>
                <w:vertAlign w:val="superscript"/>
              </w:rPr>
              <w:t xml:space="preserve"> Note 1</w:t>
            </w:r>
            <w:r>
              <w:t xml:space="preserve"> range</w:t>
            </w:r>
          </w:p>
        </w:tc>
      </w:tr>
      <w:tr w:rsidR="00C81100" w14:paraId="0EDBA211" w14:textId="77777777" w:rsidTr="00AD2F6B">
        <w:trPr>
          <w:jc w:val="center"/>
        </w:trPr>
        <w:tc>
          <w:tcPr>
            <w:tcW w:w="1026" w:type="dxa"/>
            <w:tcBorders>
              <w:top w:val="nil"/>
              <w:left w:val="single" w:sz="4" w:space="0" w:color="auto"/>
              <w:bottom w:val="single" w:sz="6" w:space="0" w:color="auto"/>
              <w:right w:val="single" w:sz="6" w:space="0" w:color="auto"/>
            </w:tcBorders>
            <w:vAlign w:val="center"/>
          </w:tcPr>
          <w:p w14:paraId="2DC6DDB4"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4134108B" w14:textId="77777777" w:rsidR="00C81100" w:rsidRDefault="00C81100" w:rsidP="00AD2F6B">
            <w:pPr>
              <w:pStyle w:val="TAH"/>
            </w:pPr>
          </w:p>
        </w:tc>
        <w:tc>
          <w:tcPr>
            <w:tcW w:w="778" w:type="dxa"/>
            <w:tcBorders>
              <w:top w:val="nil"/>
              <w:left w:val="single" w:sz="6" w:space="0" w:color="auto"/>
              <w:bottom w:val="single" w:sz="6" w:space="0" w:color="auto"/>
              <w:right w:val="single" w:sz="6" w:space="0" w:color="auto"/>
            </w:tcBorders>
            <w:vAlign w:val="center"/>
          </w:tcPr>
          <w:p w14:paraId="056B6949" w14:textId="77777777" w:rsidR="00C81100" w:rsidRDefault="00C81100" w:rsidP="00AD2F6B">
            <w:pPr>
              <w:pStyle w:val="TAH"/>
            </w:pPr>
          </w:p>
        </w:tc>
        <w:tc>
          <w:tcPr>
            <w:tcW w:w="709" w:type="dxa"/>
            <w:tcBorders>
              <w:top w:val="nil"/>
              <w:left w:val="single" w:sz="6" w:space="0" w:color="auto"/>
              <w:bottom w:val="single" w:sz="6" w:space="0" w:color="auto"/>
              <w:right w:val="single" w:sz="6" w:space="0" w:color="auto"/>
            </w:tcBorders>
            <w:vAlign w:val="center"/>
          </w:tcPr>
          <w:p w14:paraId="04B2BF42" w14:textId="77777777" w:rsidR="00C81100" w:rsidRDefault="00C81100" w:rsidP="00AD2F6B">
            <w:pPr>
              <w:pStyle w:val="TAH"/>
            </w:pPr>
          </w:p>
        </w:tc>
        <w:tc>
          <w:tcPr>
            <w:tcW w:w="1701" w:type="dxa"/>
            <w:tcBorders>
              <w:top w:val="single" w:sz="6" w:space="0" w:color="auto"/>
              <w:left w:val="single" w:sz="6" w:space="0" w:color="auto"/>
              <w:bottom w:val="single" w:sz="6" w:space="0" w:color="auto"/>
              <w:right w:val="single" w:sz="4" w:space="0" w:color="auto"/>
            </w:tcBorders>
            <w:vAlign w:val="center"/>
            <w:hideMark/>
          </w:tcPr>
          <w:p w14:paraId="5860011F" w14:textId="77777777" w:rsidR="00C81100" w:rsidRDefault="00C81100" w:rsidP="00AD2F6B">
            <w:pPr>
              <w:pStyle w:val="TAH"/>
            </w:pPr>
            <w:r>
              <w:t>NR operating band groups</w:t>
            </w:r>
            <w:r>
              <w:rPr>
                <w:vertAlign w:val="superscript"/>
              </w:rPr>
              <w:t xml:space="preserve"> Note 2</w:t>
            </w:r>
          </w:p>
        </w:tc>
        <w:tc>
          <w:tcPr>
            <w:tcW w:w="3733" w:type="dxa"/>
            <w:gridSpan w:val="4"/>
            <w:tcBorders>
              <w:top w:val="single" w:sz="4" w:space="0" w:color="auto"/>
              <w:left w:val="single" w:sz="4" w:space="0" w:color="auto"/>
              <w:bottom w:val="single" w:sz="6" w:space="0" w:color="auto"/>
              <w:right w:val="single" w:sz="6" w:space="0" w:color="auto"/>
            </w:tcBorders>
            <w:vAlign w:val="center"/>
            <w:hideMark/>
          </w:tcPr>
          <w:p w14:paraId="7617DA4D" w14:textId="77777777" w:rsidR="00C81100" w:rsidRDefault="00C811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0C1EA639" w14:textId="77777777" w:rsidR="00C81100" w:rsidRDefault="00C81100" w:rsidP="00AD2F6B">
            <w:pPr>
              <w:pStyle w:val="TAH"/>
            </w:pPr>
            <w:r>
              <w:t>Maximum Io</w:t>
            </w:r>
          </w:p>
        </w:tc>
      </w:tr>
      <w:tr w:rsidR="00C81100" w14:paraId="5187EA72" w14:textId="77777777" w:rsidTr="00AD2F6B">
        <w:trPr>
          <w:trHeight w:val="308"/>
          <w:jc w:val="center"/>
        </w:trPr>
        <w:tc>
          <w:tcPr>
            <w:tcW w:w="1026" w:type="dxa"/>
            <w:tcBorders>
              <w:top w:val="single" w:sz="6" w:space="0" w:color="auto"/>
              <w:left w:val="single" w:sz="4" w:space="0" w:color="auto"/>
              <w:bottom w:val="nil"/>
              <w:right w:val="single" w:sz="6" w:space="0" w:color="auto"/>
            </w:tcBorders>
            <w:vAlign w:val="center"/>
            <w:hideMark/>
          </w:tcPr>
          <w:p w14:paraId="1AE512FC" w14:textId="77777777" w:rsidR="00C81100" w:rsidRDefault="00C81100" w:rsidP="00AD2F6B">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611618D9" w14:textId="77777777" w:rsidR="00C81100" w:rsidRDefault="00C81100" w:rsidP="00AD2F6B">
            <w:pPr>
              <w:pStyle w:val="TAH"/>
            </w:pPr>
            <w:r>
              <w:t>dB</w:t>
            </w:r>
          </w:p>
        </w:tc>
        <w:tc>
          <w:tcPr>
            <w:tcW w:w="778" w:type="dxa"/>
            <w:tcBorders>
              <w:top w:val="single" w:sz="6" w:space="0" w:color="auto"/>
              <w:left w:val="single" w:sz="6" w:space="0" w:color="auto"/>
              <w:bottom w:val="nil"/>
              <w:right w:val="single" w:sz="6" w:space="0" w:color="auto"/>
            </w:tcBorders>
            <w:vAlign w:val="center"/>
            <w:hideMark/>
          </w:tcPr>
          <w:p w14:paraId="27C42BBA" w14:textId="77777777" w:rsidR="00C81100" w:rsidRDefault="00C81100" w:rsidP="00AD2F6B">
            <w:pPr>
              <w:pStyle w:val="TAH"/>
            </w:pPr>
            <w:r>
              <w:t>dB</w:t>
            </w:r>
          </w:p>
        </w:tc>
        <w:tc>
          <w:tcPr>
            <w:tcW w:w="709" w:type="dxa"/>
            <w:tcBorders>
              <w:top w:val="single" w:sz="6" w:space="0" w:color="auto"/>
              <w:left w:val="single" w:sz="6" w:space="0" w:color="auto"/>
              <w:bottom w:val="nil"/>
              <w:right w:val="single" w:sz="6" w:space="0" w:color="auto"/>
            </w:tcBorders>
            <w:vAlign w:val="center"/>
          </w:tcPr>
          <w:p w14:paraId="2BCE51D1" w14:textId="77777777" w:rsidR="00C81100" w:rsidRDefault="00C81100" w:rsidP="00AD2F6B">
            <w:pPr>
              <w:pStyle w:val="TAH"/>
            </w:pPr>
            <w:r>
              <w:t>dB</w:t>
            </w:r>
          </w:p>
        </w:tc>
        <w:tc>
          <w:tcPr>
            <w:tcW w:w="1701" w:type="dxa"/>
            <w:tcBorders>
              <w:top w:val="single" w:sz="6" w:space="0" w:color="auto"/>
              <w:left w:val="single" w:sz="6" w:space="0" w:color="auto"/>
              <w:bottom w:val="nil"/>
              <w:right w:val="single" w:sz="4" w:space="0" w:color="auto"/>
            </w:tcBorders>
            <w:vAlign w:val="center"/>
          </w:tcPr>
          <w:p w14:paraId="25259133" w14:textId="77777777" w:rsidR="00C81100" w:rsidRDefault="00C81100" w:rsidP="00AD2F6B">
            <w:pPr>
              <w:pStyle w:val="TAH"/>
            </w:pPr>
          </w:p>
        </w:tc>
        <w:tc>
          <w:tcPr>
            <w:tcW w:w="2293" w:type="dxa"/>
            <w:gridSpan w:val="3"/>
            <w:tcBorders>
              <w:top w:val="single" w:sz="6" w:space="0" w:color="auto"/>
              <w:left w:val="single" w:sz="4" w:space="0" w:color="auto"/>
              <w:bottom w:val="single" w:sz="6" w:space="0" w:color="auto"/>
              <w:right w:val="single" w:sz="6" w:space="0" w:color="auto"/>
            </w:tcBorders>
            <w:vAlign w:val="center"/>
            <w:hideMark/>
          </w:tcPr>
          <w:p w14:paraId="2D4015F0" w14:textId="77777777" w:rsidR="00C81100" w:rsidRDefault="00C81100" w:rsidP="00AD2F6B">
            <w:pPr>
              <w:pStyle w:val="TAH"/>
            </w:pPr>
            <w:r>
              <w:rPr>
                <w:rFonts w:cs="Arial"/>
              </w:rPr>
              <w:t xml:space="preserve">dBm / </w:t>
            </w:r>
            <w:r>
              <w:t>SCS</w:t>
            </w:r>
            <w:r>
              <w:rPr>
                <w:vertAlign w:val="subscript"/>
              </w:rPr>
              <w:t>CSI-RS</w:t>
            </w:r>
          </w:p>
        </w:tc>
        <w:tc>
          <w:tcPr>
            <w:tcW w:w="1440" w:type="dxa"/>
            <w:tcBorders>
              <w:top w:val="single" w:sz="6" w:space="0" w:color="auto"/>
              <w:left w:val="single" w:sz="6" w:space="0" w:color="auto"/>
              <w:bottom w:val="nil"/>
              <w:right w:val="single" w:sz="6" w:space="0" w:color="auto"/>
            </w:tcBorders>
            <w:vAlign w:val="center"/>
            <w:hideMark/>
          </w:tcPr>
          <w:p w14:paraId="0E966BD0" w14:textId="77777777" w:rsidR="00C81100" w:rsidRDefault="00C811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3BB2B2F3" w14:textId="77777777" w:rsidR="00C81100" w:rsidRDefault="00C81100" w:rsidP="00AD2F6B">
            <w:pPr>
              <w:pStyle w:val="TAH"/>
            </w:pPr>
            <w:r>
              <w:t>dBm/BW</w:t>
            </w:r>
            <w:r>
              <w:rPr>
                <w:vertAlign w:val="subscript"/>
              </w:rPr>
              <w:t>Channel</w:t>
            </w:r>
          </w:p>
        </w:tc>
      </w:tr>
      <w:tr w:rsidR="00C81100" w14:paraId="7AEA9AEB" w14:textId="77777777" w:rsidTr="00AD2F6B">
        <w:trPr>
          <w:trHeight w:val="307"/>
          <w:jc w:val="center"/>
        </w:trPr>
        <w:tc>
          <w:tcPr>
            <w:tcW w:w="1026" w:type="dxa"/>
            <w:tcBorders>
              <w:top w:val="nil"/>
              <w:left w:val="single" w:sz="4" w:space="0" w:color="auto"/>
              <w:bottom w:val="single" w:sz="6" w:space="0" w:color="auto"/>
              <w:right w:val="single" w:sz="6" w:space="0" w:color="auto"/>
            </w:tcBorders>
            <w:vAlign w:val="center"/>
          </w:tcPr>
          <w:p w14:paraId="6639ECE8"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574263C9" w14:textId="77777777" w:rsidR="00C81100" w:rsidRDefault="00C81100" w:rsidP="00AD2F6B">
            <w:pPr>
              <w:pStyle w:val="TAH"/>
            </w:pPr>
          </w:p>
        </w:tc>
        <w:tc>
          <w:tcPr>
            <w:tcW w:w="778" w:type="dxa"/>
            <w:tcBorders>
              <w:top w:val="nil"/>
              <w:left w:val="single" w:sz="6" w:space="0" w:color="auto"/>
              <w:bottom w:val="single" w:sz="6" w:space="0" w:color="auto"/>
              <w:right w:val="single" w:sz="6" w:space="0" w:color="auto"/>
            </w:tcBorders>
            <w:vAlign w:val="center"/>
          </w:tcPr>
          <w:p w14:paraId="28FAF841" w14:textId="77777777" w:rsidR="00C81100" w:rsidRDefault="00C81100" w:rsidP="00AD2F6B">
            <w:pPr>
              <w:pStyle w:val="TAH"/>
            </w:pPr>
          </w:p>
        </w:tc>
        <w:tc>
          <w:tcPr>
            <w:tcW w:w="709" w:type="dxa"/>
            <w:tcBorders>
              <w:top w:val="nil"/>
              <w:left w:val="single" w:sz="6" w:space="0" w:color="auto"/>
              <w:bottom w:val="single" w:sz="6" w:space="0" w:color="auto"/>
              <w:right w:val="single" w:sz="6" w:space="0" w:color="auto"/>
            </w:tcBorders>
            <w:vAlign w:val="center"/>
          </w:tcPr>
          <w:p w14:paraId="3F128E1C" w14:textId="77777777" w:rsidR="00C81100" w:rsidRDefault="00C81100" w:rsidP="00AD2F6B">
            <w:pPr>
              <w:pStyle w:val="TAH"/>
            </w:pPr>
          </w:p>
        </w:tc>
        <w:tc>
          <w:tcPr>
            <w:tcW w:w="1701" w:type="dxa"/>
            <w:tcBorders>
              <w:top w:val="nil"/>
              <w:left w:val="single" w:sz="6" w:space="0" w:color="auto"/>
              <w:bottom w:val="single" w:sz="6" w:space="0" w:color="auto"/>
              <w:right w:val="single" w:sz="4" w:space="0" w:color="auto"/>
            </w:tcBorders>
            <w:vAlign w:val="center"/>
          </w:tcPr>
          <w:p w14:paraId="45E2A05D" w14:textId="77777777" w:rsidR="00C81100" w:rsidRDefault="00C81100" w:rsidP="00AD2F6B">
            <w:pPr>
              <w:pStyle w:val="TAH"/>
            </w:pPr>
          </w:p>
        </w:tc>
        <w:tc>
          <w:tcPr>
            <w:tcW w:w="709" w:type="dxa"/>
            <w:tcBorders>
              <w:top w:val="single" w:sz="6" w:space="0" w:color="auto"/>
              <w:left w:val="single" w:sz="4" w:space="0" w:color="auto"/>
              <w:bottom w:val="single" w:sz="6" w:space="0" w:color="auto"/>
              <w:right w:val="single" w:sz="6" w:space="0" w:color="auto"/>
            </w:tcBorders>
            <w:vAlign w:val="center"/>
            <w:hideMark/>
          </w:tcPr>
          <w:p w14:paraId="222EE19C" w14:textId="77777777" w:rsidR="00C81100" w:rsidRDefault="00C81100" w:rsidP="00AD2F6B">
            <w:pPr>
              <w:pStyle w:val="TAH"/>
              <w:rPr>
                <w:rFonts w:cs="Arial"/>
              </w:rPr>
            </w:pPr>
            <w:r>
              <w:t>SCS</w:t>
            </w:r>
            <w:r>
              <w:rPr>
                <w:vertAlign w:val="subscript"/>
              </w:rPr>
              <w:t>CSI-RS</w:t>
            </w:r>
            <w:r>
              <w:rPr>
                <w:rFonts w:cs="Arial"/>
              </w:rPr>
              <w:t xml:space="preserve"> = 15 kHz</w:t>
            </w:r>
          </w:p>
        </w:tc>
        <w:tc>
          <w:tcPr>
            <w:tcW w:w="850" w:type="dxa"/>
            <w:tcBorders>
              <w:top w:val="single" w:sz="6" w:space="0" w:color="auto"/>
              <w:left w:val="single" w:sz="4" w:space="0" w:color="auto"/>
              <w:bottom w:val="single" w:sz="6" w:space="0" w:color="auto"/>
              <w:right w:val="single" w:sz="6" w:space="0" w:color="auto"/>
            </w:tcBorders>
            <w:vAlign w:val="center"/>
            <w:hideMark/>
          </w:tcPr>
          <w:p w14:paraId="7B91DEA2" w14:textId="77777777" w:rsidR="00C81100" w:rsidRDefault="00C81100" w:rsidP="00AD2F6B">
            <w:pPr>
              <w:pStyle w:val="TAH"/>
              <w:rPr>
                <w:rFonts w:cs="Arial"/>
              </w:rPr>
            </w:pPr>
            <w:r>
              <w:t>SCS</w:t>
            </w:r>
            <w:r>
              <w:rPr>
                <w:vertAlign w:val="subscript"/>
              </w:rPr>
              <w:t>CSI-RS</w:t>
            </w:r>
            <w:r>
              <w:rPr>
                <w:rFonts w:cs="Arial"/>
              </w:rPr>
              <w:t xml:space="preserve"> = 30 kHz</w:t>
            </w:r>
          </w:p>
        </w:tc>
        <w:tc>
          <w:tcPr>
            <w:tcW w:w="734" w:type="dxa"/>
            <w:tcBorders>
              <w:top w:val="single" w:sz="6" w:space="0" w:color="auto"/>
              <w:left w:val="single" w:sz="4" w:space="0" w:color="auto"/>
              <w:bottom w:val="single" w:sz="6" w:space="0" w:color="auto"/>
              <w:right w:val="single" w:sz="6" w:space="0" w:color="auto"/>
            </w:tcBorders>
            <w:vAlign w:val="center"/>
          </w:tcPr>
          <w:p w14:paraId="2616D933" w14:textId="77777777" w:rsidR="00C81100" w:rsidRDefault="00C81100" w:rsidP="00AD2F6B">
            <w:pPr>
              <w:pStyle w:val="TAH"/>
              <w:rPr>
                <w:rFonts w:cs="Arial"/>
              </w:rPr>
            </w:pPr>
            <w:r>
              <w:t>SCS</w:t>
            </w:r>
            <w:r>
              <w:rPr>
                <w:vertAlign w:val="subscript"/>
              </w:rPr>
              <w:t>CSI-RS</w:t>
            </w:r>
            <w:r>
              <w:rPr>
                <w:rFonts w:cs="Arial"/>
              </w:rPr>
              <w:t xml:space="preserve"> = 60 kHz</w:t>
            </w:r>
          </w:p>
        </w:tc>
        <w:tc>
          <w:tcPr>
            <w:tcW w:w="1440" w:type="dxa"/>
            <w:tcBorders>
              <w:top w:val="nil"/>
              <w:left w:val="single" w:sz="6" w:space="0" w:color="auto"/>
              <w:bottom w:val="single" w:sz="6" w:space="0" w:color="auto"/>
              <w:right w:val="single" w:sz="6" w:space="0" w:color="auto"/>
            </w:tcBorders>
            <w:vAlign w:val="center"/>
          </w:tcPr>
          <w:p w14:paraId="5597462E" w14:textId="77777777" w:rsidR="00C81100" w:rsidRDefault="00C81100" w:rsidP="00AD2F6B">
            <w:pPr>
              <w:pStyle w:val="TAH"/>
            </w:pPr>
          </w:p>
        </w:tc>
        <w:tc>
          <w:tcPr>
            <w:tcW w:w="1440" w:type="dxa"/>
            <w:tcBorders>
              <w:top w:val="nil"/>
              <w:left w:val="single" w:sz="6" w:space="0" w:color="auto"/>
              <w:bottom w:val="single" w:sz="6" w:space="0" w:color="auto"/>
              <w:right w:val="single" w:sz="4" w:space="0" w:color="auto"/>
            </w:tcBorders>
            <w:vAlign w:val="center"/>
          </w:tcPr>
          <w:p w14:paraId="276C2595" w14:textId="77777777" w:rsidR="00C81100" w:rsidRDefault="00C81100" w:rsidP="00AD2F6B">
            <w:pPr>
              <w:pStyle w:val="TAH"/>
            </w:pPr>
          </w:p>
        </w:tc>
      </w:tr>
      <w:tr w:rsidR="00C81100" w14:paraId="2CDBFD08" w14:textId="77777777" w:rsidTr="00AD2F6B">
        <w:trPr>
          <w:jc w:val="center"/>
        </w:trPr>
        <w:tc>
          <w:tcPr>
            <w:tcW w:w="1026" w:type="dxa"/>
            <w:tcBorders>
              <w:top w:val="single" w:sz="6" w:space="0" w:color="auto"/>
              <w:left w:val="single" w:sz="4" w:space="0" w:color="auto"/>
              <w:bottom w:val="nil"/>
              <w:right w:val="single" w:sz="6" w:space="0" w:color="auto"/>
            </w:tcBorders>
          </w:tcPr>
          <w:p w14:paraId="154628C1" w14:textId="77777777" w:rsidR="00C81100" w:rsidRDefault="00C81100" w:rsidP="00AD2F6B">
            <w:pPr>
              <w:pStyle w:val="TAC"/>
            </w:pPr>
          </w:p>
        </w:tc>
        <w:tc>
          <w:tcPr>
            <w:tcW w:w="1026" w:type="dxa"/>
            <w:tcBorders>
              <w:top w:val="single" w:sz="6" w:space="0" w:color="auto"/>
              <w:left w:val="single" w:sz="6" w:space="0" w:color="auto"/>
              <w:bottom w:val="nil"/>
              <w:right w:val="single" w:sz="6" w:space="0" w:color="auto"/>
            </w:tcBorders>
          </w:tcPr>
          <w:p w14:paraId="3F961F7F" w14:textId="77777777" w:rsidR="00C81100" w:rsidRDefault="00C81100" w:rsidP="00AD2F6B">
            <w:pPr>
              <w:pStyle w:val="TAC"/>
            </w:pPr>
          </w:p>
        </w:tc>
        <w:tc>
          <w:tcPr>
            <w:tcW w:w="778" w:type="dxa"/>
            <w:tcBorders>
              <w:top w:val="single" w:sz="6" w:space="0" w:color="auto"/>
              <w:left w:val="single" w:sz="6" w:space="0" w:color="auto"/>
              <w:bottom w:val="nil"/>
              <w:right w:val="single" w:sz="6" w:space="0" w:color="auto"/>
            </w:tcBorders>
          </w:tcPr>
          <w:p w14:paraId="7D432B7E" w14:textId="77777777" w:rsidR="00C81100" w:rsidRDefault="00C81100" w:rsidP="00AD2F6B">
            <w:pPr>
              <w:pStyle w:val="TAC"/>
            </w:pPr>
          </w:p>
        </w:tc>
        <w:tc>
          <w:tcPr>
            <w:tcW w:w="709" w:type="dxa"/>
            <w:tcBorders>
              <w:top w:val="single" w:sz="6" w:space="0" w:color="auto"/>
              <w:left w:val="single" w:sz="6" w:space="0" w:color="auto"/>
              <w:bottom w:val="nil"/>
              <w:right w:val="single" w:sz="6" w:space="0" w:color="auto"/>
            </w:tcBorders>
          </w:tcPr>
          <w:p w14:paraId="14E8713E"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344D23BA" w14:textId="77777777" w:rsidR="00C81100" w:rsidRDefault="00C81100" w:rsidP="00AD2F6B">
            <w:pPr>
              <w:pStyle w:val="TAC"/>
            </w:pPr>
            <w:r>
              <w:t>NR_FDD_FR1_A, NR_TDD_FR1_A,</w:t>
            </w:r>
          </w:p>
          <w:p w14:paraId="0E6065FF" w14:textId="77777777" w:rsidR="00C81100" w:rsidRDefault="00C81100" w:rsidP="00AD2F6B">
            <w:pPr>
              <w:pStyle w:val="TAC"/>
            </w:pPr>
            <w:r>
              <w:t>NR_SDL_FR1_A</w:t>
            </w:r>
          </w:p>
        </w:tc>
        <w:tc>
          <w:tcPr>
            <w:tcW w:w="709" w:type="dxa"/>
            <w:tcBorders>
              <w:top w:val="single" w:sz="6" w:space="0" w:color="auto"/>
              <w:left w:val="single" w:sz="4" w:space="0" w:color="auto"/>
              <w:bottom w:val="single" w:sz="6" w:space="0" w:color="auto"/>
              <w:right w:val="single" w:sz="6" w:space="0" w:color="auto"/>
            </w:tcBorders>
            <w:hideMark/>
          </w:tcPr>
          <w:p w14:paraId="2335AFCB" w14:textId="77777777" w:rsidR="00C81100" w:rsidRDefault="00C81100" w:rsidP="00AD2F6B">
            <w:pPr>
              <w:pStyle w:val="TAC"/>
            </w:pPr>
            <w:r>
              <w:t>-121</w:t>
            </w:r>
          </w:p>
        </w:tc>
        <w:tc>
          <w:tcPr>
            <w:tcW w:w="850" w:type="dxa"/>
            <w:tcBorders>
              <w:top w:val="single" w:sz="6" w:space="0" w:color="auto"/>
              <w:left w:val="single" w:sz="4" w:space="0" w:color="auto"/>
              <w:bottom w:val="single" w:sz="6" w:space="0" w:color="auto"/>
              <w:right w:val="single" w:sz="6" w:space="0" w:color="auto"/>
            </w:tcBorders>
            <w:hideMark/>
          </w:tcPr>
          <w:p w14:paraId="5DA5D583" w14:textId="77777777" w:rsidR="00C81100" w:rsidRDefault="00C81100" w:rsidP="00AD2F6B">
            <w:pPr>
              <w:pStyle w:val="TAC"/>
            </w:pPr>
            <w:r>
              <w:t>-118</w:t>
            </w:r>
          </w:p>
        </w:tc>
        <w:tc>
          <w:tcPr>
            <w:tcW w:w="734" w:type="dxa"/>
            <w:tcBorders>
              <w:top w:val="single" w:sz="6" w:space="0" w:color="auto"/>
              <w:left w:val="single" w:sz="4" w:space="0" w:color="auto"/>
              <w:bottom w:val="single" w:sz="6" w:space="0" w:color="auto"/>
              <w:right w:val="single" w:sz="6" w:space="0" w:color="auto"/>
            </w:tcBorders>
          </w:tcPr>
          <w:p w14:paraId="3DFCE978" w14:textId="77777777" w:rsidR="00C81100" w:rsidRDefault="00C81100" w:rsidP="00AD2F6B">
            <w:pPr>
              <w:pStyle w:val="TAC"/>
            </w:pPr>
            <w:r>
              <w:t>-115</w:t>
            </w:r>
          </w:p>
        </w:tc>
        <w:tc>
          <w:tcPr>
            <w:tcW w:w="1440" w:type="dxa"/>
            <w:tcBorders>
              <w:top w:val="single" w:sz="6" w:space="0" w:color="auto"/>
              <w:left w:val="single" w:sz="6" w:space="0" w:color="auto"/>
              <w:bottom w:val="single" w:sz="6" w:space="0" w:color="auto"/>
              <w:right w:val="single" w:sz="6" w:space="0" w:color="auto"/>
            </w:tcBorders>
            <w:hideMark/>
          </w:tcPr>
          <w:p w14:paraId="2A956322"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008CE37" w14:textId="77777777" w:rsidR="00C81100" w:rsidRDefault="00C81100" w:rsidP="00AD2F6B">
            <w:pPr>
              <w:pStyle w:val="TAC"/>
            </w:pPr>
            <w:r>
              <w:t>-50</w:t>
            </w:r>
          </w:p>
        </w:tc>
      </w:tr>
      <w:tr w:rsidR="00C81100" w14:paraId="7BAC8A46" w14:textId="77777777" w:rsidTr="00AD2F6B">
        <w:trPr>
          <w:jc w:val="center"/>
        </w:trPr>
        <w:tc>
          <w:tcPr>
            <w:tcW w:w="1026" w:type="dxa"/>
            <w:tcBorders>
              <w:top w:val="nil"/>
              <w:left w:val="single" w:sz="4" w:space="0" w:color="auto"/>
              <w:bottom w:val="nil"/>
              <w:right w:val="single" w:sz="6" w:space="0" w:color="auto"/>
            </w:tcBorders>
          </w:tcPr>
          <w:p w14:paraId="0E86E8B6"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689A488F"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01DE89DE"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515BBD0C"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4770666E" w14:textId="77777777" w:rsidR="00C81100" w:rsidRDefault="00C81100" w:rsidP="00AD2F6B">
            <w:pPr>
              <w:pStyle w:val="TAC"/>
            </w:pPr>
            <w:r>
              <w:t>NR_FDD_FR1_B</w:t>
            </w:r>
          </w:p>
        </w:tc>
        <w:tc>
          <w:tcPr>
            <w:tcW w:w="709" w:type="dxa"/>
            <w:tcBorders>
              <w:top w:val="single" w:sz="6" w:space="0" w:color="auto"/>
              <w:left w:val="single" w:sz="4" w:space="0" w:color="auto"/>
              <w:bottom w:val="single" w:sz="6" w:space="0" w:color="auto"/>
              <w:right w:val="single" w:sz="6" w:space="0" w:color="auto"/>
            </w:tcBorders>
            <w:hideMark/>
          </w:tcPr>
          <w:p w14:paraId="3E16581D" w14:textId="77777777" w:rsidR="00C81100" w:rsidRDefault="00C81100" w:rsidP="00AD2F6B">
            <w:pPr>
              <w:pStyle w:val="TAC"/>
            </w:pPr>
            <w:r>
              <w:t>-120.5</w:t>
            </w:r>
          </w:p>
        </w:tc>
        <w:tc>
          <w:tcPr>
            <w:tcW w:w="850" w:type="dxa"/>
            <w:tcBorders>
              <w:top w:val="single" w:sz="6" w:space="0" w:color="auto"/>
              <w:left w:val="single" w:sz="4" w:space="0" w:color="auto"/>
              <w:bottom w:val="single" w:sz="6" w:space="0" w:color="auto"/>
              <w:right w:val="single" w:sz="6" w:space="0" w:color="auto"/>
            </w:tcBorders>
            <w:hideMark/>
          </w:tcPr>
          <w:p w14:paraId="7A3F1551" w14:textId="77777777" w:rsidR="00C81100" w:rsidRDefault="00C81100" w:rsidP="00AD2F6B">
            <w:pPr>
              <w:pStyle w:val="TAC"/>
              <w:rPr>
                <w:lang w:val="sv-SE"/>
              </w:rPr>
            </w:pPr>
            <w:r>
              <w:t>-117.5</w:t>
            </w:r>
          </w:p>
        </w:tc>
        <w:tc>
          <w:tcPr>
            <w:tcW w:w="734" w:type="dxa"/>
            <w:tcBorders>
              <w:top w:val="single" w:sz="6" w:space="0" w:color="auto"/>
              <w:left w:val="single" w:sz="4" w:space="0" w:color="auto"/>
              <w:bottom w:val="single" w:sz="6" w:space="0" w:color="auto"/>
              <w:right w:val="single" w:sz="6" w:space="0" w:color="auto"/>
            </w:tcBorders>
          </w:tcPr>
          <w:p w14:paraId="6121BAE3" w14:textId="77777777" w:rsidR="00C81100" w:rsidRDefault="00C81100" w:rsidP="00AD2F6B">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660B770C"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0E2E65E" w14:textId="77777777" w:rsidR="00C81100" w:rsidRDefault="00C81100" w:rsidP="00AD2F6B">
            <w:pPr>
              <w:pStyle w:val="TAC"/>
            </w:pPr>
            <w:r>
              <w:t>-50</w:t>
            </w:r>
          </w:p>
        </w:tc>
      </w:tr>
      <w:tr w:rsidR="00C81100" w14:paraId="1275B0E7" w14:textId="77777777" w:rsidTr="00AD2F6B">
        <w:trPr>
          <w:jc w:val="center"/>
        </w:trPr>
        <w:tc>
          <w:tcPr>
            <w:tcW w:w="1026" w:type="dxa"/>
            <w:tcBorders>
              <w:top w:val="nil"/>
              <w:left w:val="single" w:sz="4" w:space="0" w:color="auto"/>
              <w:bottom w:val="nil"/>
              <w:right w:val="single" w:sz="6" w:space="0" w:color="auto"/>
            </w:tcBorders>
          </w:tcPr>
          <w:p w14:paraId="25418F60"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F2617BC"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53697A89"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108EC18C"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4FA3E14A" w14:textId="77777777" w:rsidR="00C81100" w:rsidRDefault="00C81100" w:rsidP="00AD2F6B">
            <w:pPr>
              <w:pStyle w:val="TAC"/>
            </w:pPr>
            <w:r>
              <w:t>NR_TDD_FR1_C</w:t>
            </w:r>
          </w:p>
        </w:tc>
        <w:tc>
          <w:tcPr>
            <w:tcW w:w="709" w:type="dxa"/>
            <w:tcBorders>
              <w:top w:val="single" w:sz="6" w:space="0" w:color="auto"/>
              <w:left w:val="single" w:sz="4" w:space="0" w:color="auto"/>
              <w:bottom w:val="single" w:sz="6" w:space="0" w:color="auto"/>
              <w:right w:val="single" w:sz="6" w:space="0" w:color="auto"/>
            </w:tcBorders>
            <w:hideMark/>
          </w:tcPr>
          <w:p w14:paraId="5D06AE05" w14:textId="77777777" w:rsidR="00C81100" w:rsidRDefault="00C81100" w:rsidP="00AD2F6B">
            <w:pPr>
              <w:pStyle w:val="TAC"/>
            </w:pPr>
            <w:r>
              <w:t>-120</w:t>
            </w:r>
          </w:p>
        </w:tc>
        <w:tc>
          <w:tcPr>
            <w:tcW w:w="850" w:type="dxa"/>
            <w:tcBorders>
              <w:top w:val="single" w:sz="6" w:space="0" w:color="auto"/>
              <w:left w:val="single" w:sz="4" w:space="0" w:color="auto"/>
              <w:bottom w:val="single" w:sz="6" w:space="0" w:color="auto"/>
              <w:right w:val="single" w:sz="6" w:space="0" w:color="auto"/>
            </w:tcBorders>
            <w:hideMark/>
          </w:tcPr>
          <w:p w14:paraId="644EE35C" w14:textId="77777777" w:rsidR="00C81100" w:rsidRDefault="00C81100" w:rsidP="00AD2F6B">
            <w:pPr>
              <w:pStyle w:val="TAC"/>
              <w:rPr>
                <w:lang w:val="sv-SE"/>
              </w:rPr>
            </w:pPr>
            <w:r>
              <w:t>-117</w:t>
            </w:r>
          </w:p>
        </w:tc>
        <w:tc>
          <w:tcPr>
            <w:tcW w:w="734" w:type="dxa"/>
            <w:tcBorders>
              <w:top w:val="single" w:sz="6" w:space="0" w:color="auto"/>
              <w:left w:val="single" w:sz="4" w:space="0" w:color="auto"/>
              <w:bottom w:val="single" w:sz="6" w:space="0" w:color="auto"/>
              <w:right w:val="single" w:sz="6" w:space="0" w:color="auto"/>
            </w:tcBorders>
          </w:tcPr>
          <w:p w14:paraId="41752FB1" w14:textId="77777777" w:rsidR="00C81100" w:rsidRDefault="00C81100" w:rsidP="00AD2F6B">
            <w:pPr>
              <w:pStyle w:val="TAC"/>
              <w:rPr>
                <w:lang w:val="sv-SE"/>
              </w:rPr>
            </w:pPr>
            <w:r>
              <w:t>-114</w:t>
            </w:r>
          </w:p>
        </w:tc>
        <w:tc>
          <w:tcPr>
            <w:tcW w:w="1440" w:type="dxa"/>
            <w:tcBorders>
              <w:top w:val="single" w:sz="6" w:space="0" w:color="auto"/>
              <w:left w:val="single" w:sz="6" w:space="0" w:color="auto"/>
              <w:bottom w:val="single" w:sz="6" w:space="0" w:color="auto"/>
              <w:right w:val="single" w:sz="6" w:space="0" w:color="auto"/>
            </w:tcBorders>
            <w:hideMark/>
          </w:tcPr>
          <w:p w14:paraId="47B36906"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8D0EF35" w14:textId="77777777" w:rsidR="00C81100" w:rsidRDefault="00C81100" w:rsidP="00AD2F6B">
            <w:pPr>
              <w:pStyle w:val="TAC"/>
            </w:pPr>
            <w:r>
              <w:t>-50</w:t>
            </w:r>
          </w:p>
        </w:tc>
      </w:tr>
      <w:tr w:rsidR="00C81100" w14:paraId="188EBFA9" w14:textId="77777777" w:rsidTr="00AD2F6B">
        <w:trPr>
          <w:jc w:val="center"/>
        </w:trPr>
        <w:tc>
          <w:tcPr>
            <w:tcW w:w="1026" w:type="dxa"/>
            <w:tcBorders>
              <w:top w:val="nil"/>
              <w:left w:val="single" w:sz="4" w:space="0" w:color="auto"/>
              <w:bottom w:val="nil"/>
              <w:right w:val="single" w:sz="6" w:space="0" w:color="auto"/>
            </w:tcBorders>
            <w:hideMark/>
          </w:tcPr>
          <w:p w14:paraId="48104FEE" w14:textId="77777777" w:rsidR="00C81100" w:rsidRDefault="00C81100" w:rsidP="00AD2F6B">
            <w:pPr>
              <w:pStyle w:val="TAC"/>
            </w:pPr>
            <w:r>
              <w:rPr>
                <w:rFonts w:cs="Arial"/>
              </w:rPr>
              <w:t>±</w:t>
            </w:r>
            <w:r>
              <w:t>4.0</w:t>
            </w:r>
          </w:p>
        </w:tc>
        <w:tc>
          <w:tcPr>
            <w:tcW w:w="1026" w:type="dxa"/>
            <w:tcBorders>
              <w:top w:val="nil"/>
              <w:left w:val="single" w:sz="6" w:space="0" w:color="auto"/>
              <w:bottom w:val="nil"/>
              <w:right w:val="single" w:sz="6" w:space="0" w:color="auto"/>
            </w:tcBorders>
            <w:hideMark/>
          </w:tcPr>
          <w:p w14:paraId="34D73846" w14:textId="77777777" w:rsidR="00C81100" w:rsidRDefault="00C81100" w:rsidP="00AD2F6B">
            <w:pPr>
              <w:pStyle w:val="TAC"/>
            </w:pPr>
            <w:r>
              <w:rPr>
                <w:rFonts w:cs="Arial"/>
              </w:rPr>
              <w:t>±</w:t>
            </w:r>
            <w:r>
              <w:t>5.0</w:t>
            </w:r>
          </w:p>
        </w:tc>
        <w:tc>
          <w:tcPr>
            <w:tcW w:w="778" w:type="dxa"/>
            <w:tcBorders>
              <w:top w:val="nil"/>
              <w:left w:val="single" w:sz="6" w:space="0" w:color="auto"/>
              <w:bottom w:val="nil"/>
              <w:right w:val="single" w:sz="6" w:space="0" w:color="auto"/>
            </w:tcBorders>
            <w:hideMark/>
          </w:tcPr>
          <w:p w14:paraId="3F96B4F7" w14:textId="77777777" w:rsidR="00C81100" w:rsidRDefault="00C81100" w:rsidP="00AD2F6B">
            <w:pPr>
              <w:pStyle w:val="TAC"/>
            </w:pPr>
            <w:r>
              <w:sym w:font="Symbol" w:char="F0B3"/>
            </w:r>
            <w:r>
              <w:t>0</w:t>
            </w:r>
          </w:p>
        </w:tc>
        <w:tc>
          <w:tcPr>
            <w:tcW w:w="709" w:type="dxa"/>
            <w:tcBorders>
              <w:top w:val="nil"/>
              <w:left w:val="single" w:sz="6" w:space="0" w:color="auto"/>
              <w:bottom w:val="nil"/>
              <w:right w:val="single" w:sz="6" w:space="0" w:color="auto"/>
            </w:tcBorders>
          </w:tcPr>
          <w:p w14:paraId="13A931EA" w14:textId="77777777" w:rsidR="00C81100" w:rsidRDefault="00C81100" w:rsidP="00AD2F6B">
            <w:pPr>
              <w:pStyle w:val="TAC"/>
            </w:pPr>
            <w:r>
              <w:sym w:font="Symbol" w:char="F0B3"/>
            </w:r>
            <w:r>
              <w:t>0</w:t>
            </w:r>
          </w:p>
        </w:tc>
        <w:tc>
          <w:tcPr>
            <w:tcW w:w="1701" w:type="dxa"/>
            <w:tcBorders>
              <w:top w:val="single" w:sz="6" w:space="0" w:color="auto"/>
              <w:left w:val="single" w:sz="6" w:space="0" w:color="auto"/>
              <w:bottom w:val="single" w:sz="6" w:space="0" w:color="auto"/>
              <w:right w:val="single" w:sz="4" w:space="0" w:color="auto"/>
            </w:tcBorders>
            <w:hideMark/>
          </w:tcPr>
          <w:p w14:paraId="5CEC8ABD" w14:textId="77777777" w:rsidR="00C81100" w:rsidRDefault="00C81100" w:rsidP="00AD2F6B">
            <w:pPr>
              <w:pStyle w:val="TAC"/>
              <w:rPr>
                <w:lang w:val="sv-SE"/>
              </w:rPr>
            </w:pPr>
            <w:r>
              <w:rPr>
                <w:lang w:val="sv-SE"/>
              </w:rPr>
              <w:t>NR_FDD_FR1_D, NR_TDD_FR1_D</w:t>
            </w:r>
          </w:p>
        </w:tc>
        <w:tc>
          <w:tcPr>
            <w:tcW w:w="709" w:type="dxa"/>
            <w:tcBorders>
              <w:top w:val="single" w:sz="6" w:space="0" w:color="auto"/>
              <w:left w:val="single" w:sz="4" w:space="0" w:color="auto"/>
              <w:bottom w:val="single" w:sz="6" w:space="0" w:color="auto"/>
              <w:right w:val="single" w:sz="6" w:space="0" w:color="auto"/>
            </w:tcBorders>
            <w:hideMark/>
          </w:tcPr>
          <w:p w14:paraId="79935F5B" w14:textId="77777777" w:rsidR="00C81100" w:rsidRDefault="00C81100" w:rsidP="00AD2F6B">
            <w:pPr>
              <w:pStyle w:val="TAC"/>
            </w:pPr>
            <w:r>
              <w:t>-119.5</w:t>
            </w:r>
          </w:p>
        </w:tc>
        <w:tc>
          <w:tcPr>
            <w:tcW w:w="850" w:type="dxa"/>
            <w:tcBorders>
              <w:top w:val="single" w:sz="6" w:space="0" w:color="auto"/>
              <w:left w:val="single" w:sz="4" w:space="0" w:color="auto"/>
              <w:bottom w:val="single" w:sz="6" w:space="0" w:color="auto"/>
              <w:right w:val="single" w:sz="6" w:space="0" w:color="auto"/>
            </w:tcBorders>
            <w:hideMark/>
          </w:tcPr>
          <w:p w14:paraId="25BE1913" w14:textId="77777777" w:rsidR="00C81100" w:rsidRDefault="00C81100" w:rsidP="00AD2F6B">
            <w:pPr>
              <w:pStyle w:val="TAC"/>
            </w:pPr>
            <w:r>
              <w:t>-116.5</w:t>
            </w:r>
          </w:p>
        </w:tc>
        <w:tc>
          <w:tcPr>
            <w:tcW w:w="734" w:type="dxa"/>
            <w:tcBorders>
              <w:top w:val="single" w:sz="6" w:space="0" w:color="auto"/>
              <w:left w:val="single" w:sz="4" w:space="0" w:color="auto"/>
              <w:bottom w:val="single" w:sz="6" w:space="0" w:color="auto"/>
              <w:right w:val="single" w:sz="6" w:space="0" w:color="auto"/>
            </w:tcBorders>
          </w:tcPr>
          <w:p w14:paraId="08D4C0DA" w14:textId="77777777" w:rsidR="00C81100" w:rsidRDefault="00C81100" w:rsidP="00AD2F6B">
            <w:pPr>
              <w:pStyle w:val="TAC"/>
            </w:pPr>
            <w:r>
              <w:t>-113.5</w:t>
            </w:r>
          </w:p>
        </w:tc>
        <w:tc>
          <w:tcPr>
            <w:tcW w:w="1440" w:type="dxa"/>
            <w:tcBorders>
              <w:top w:val="single" w:sz="6" w:space="0" w:color="auto"/>
              <w:left w:val="single" w:sz="6" w:space="0" w:color="auto"/>
              <w:bottom w:val="single" w:sz="6" w:space="0" w:color="auto"/>
              <w:right w:val="single" w:sz="6" w:space="0" w:color="auto"/>
            </w:tcBorders>
            <w:hideMark/>
          </w:tcPr>
          <w:p w14:paraId="64F72197"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77D0991C" w14:textId="77777777" w:rsidR="00C81100" w:rsidRDefault="00C81100" w:rsidP="00AD2F6B">
            <w:pPr>
              <w:pStyle w:val="TAC"/>
            </w:pPr>
            <w:r>
              <w:t>-50</w:t>
            </w:r>
          </w:p>
        </w:tc>
      </w:tr>
      <w:tr w:rsidR="00C81100" w14:paraId="3C112C7E" w14:textId="77777777" w:rsidTr="00AD2F6B">
        <w:trPr>
          <w:jc w:val="center"/>
        </w:trPr>
        <w:tc>
          <w:tcPr>
            <w:tcW w:w="1026" w:type="dxa"/>
            <w:tcBorders>
              <w:top w:val="nil"/>
              <w:left w:val="single" w:sz="4" w:space="0" w:color="auto"/>
              <w:bottom w:val="nil"/>
              <w:right w:val="single" w:sz="6" w:space="0" w:color="auto"/>
            </w:tcBorders>
          </w:tcPr>
          <w:p w14:paraId="375B6CDE"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496C5C83"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5D25DB97"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10660D12"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36101D84" w14:textId="77777777" w:rsidR="00C81100" w:rsidRDefault="00C81100" w:rsidP="00AD2F6B">
            <w:pPr>
              <w:pStyle w:val="TAC"/>
              <w:rPr>
                <w:lang w:val="sv-SE"/>
              </w:rPr>
            </w:pPr>
            <w:r>
              <w:rPr>
                <w:lang w:val="sv-SE"/>
              </w:rPr>
              <w:t>NR_FDD_FR1_E, NR_TDD_FR1_E</w:t>
            </w:r>
          </w:p>
        </w:tc>
        <w:tc>
          <w:tcPr>
            <w:tcW w:w="709" w:type="dxa"/>
            <w:tcBorders>
              <w:top w:val="single" w:sz="6" w:space="0" w:color="auto"/>
              <w:left w:val="single" w:sz="4" w:space="0" w:color="auto"/>
              <w:bottom w:val="single" w:sz="6" w:space="0" w:color="auto"/>
              <w:right w:val="single" w:sz="6" w:space="0" w:color="auto"/>
            </w:tcBorders>
            <w:hideMark/>
          </w:tcPr>
          <w:p w14:paraId="234930B7" w14:textId="77777777" w:rsidR="00C81100" w:rsidRDefault="00C81100" w:rsidP="00AD2F6B">
            <w:pPr>
              <w:pStyle w:val="TAC"/>
            </w:pPr>
            <w:r>
              <w:t>-119</w:t>
            </w:r>
          </w:p>
        </w:tc>
        <w:tc>
          <w:tcPr>
            <w:tcW w:w="850" w:type="dxa"/>
            <w:tcBorders>
              <w:top w:val="single" w:sz="6" w:space="0" w:color="auto"/>
              <w:left w:val="single" w:sz="4" w:space="0" w:color="auto"/>
              <w:bottom w:val="single" w:sz="6" w:space="0" w:color="auto"/>
              <w:right w:val="single" w:sz="6" w:space="0" w:color="auto"/>
            </w:tcBorders>
            <w:hideMark/>
          </w:tcPr>
          <w:p w14:paraId="49DE9533" w14:textId="77777777" w:rsidR="00C81100" w:rsidRDefault="00C81100" w:rsidP="00AD2F6B">
            <w:pPr>
              <w:pStyle w:val="TAC"/>
              <w:rPr>
                <w:lang w:val="sv-SE"/>
              </w:rPr>
            </w:pPr>
            <w:r>
              <w:t>-116</w:t>
            </w:r>
          </w:p>
        </w:tc>
        <w:tc>
          <w:tcPr>
            <w:tcW w:w="734" w:type="dxa"/>
            <w:tcBorders>
              <w:top w:val="single" w:sz="6" w:space="0" w:color="auto"/>
              <w:left w:val="single" w:sz="4" w:space="0" w:color="auto"/>
              <w:bottom w:val="single" w:sz="6" w:space="0" w:color="auto"/>
              <w:right w:val="single" w:sz="6" w:space="0" w:color="auto"/>
            </w:tcBorders>
          </w:tcPr>
          <w:p w14:paraId="7B0EB29F" w14:textId="77777777" w:rsidR="00C81100" w:rsidRDefault="00C81100" w:rsidP="00AD2F6B">
            <w:pPr>
              <w:pStyle w:val="TAC"/>
              <w:rPr>
                <w:lang w:val="sv-SE"/>
              </w:rPr>
            </w:pPr>
            <w:r>
              <w:t>-113</w:t>
            </w:r>
          </w:p>
        </w:tc>
        <w:tc>
          <w:tcPr>
            <w:tcW w:w="1440" w:type="dxa"/>
            <w:tcBorders>
              <w:top w:val="single" w:sz="6" w:space="0" w:color="auto"/>
              <w:left w:val="single" w:sz="6" w:space="0" w:color="auto"/>
              <w:bottom w:val="single" w:sz="6" w:space="0" w:color="auto"/>
              <w:right w:val="single" w:sz="6" w:space="0" w:color="auto"/>
            </w:tcBorders>
            <w:hideMark/>
          </w:tcPr>
          <w:p w14:paraId="7DE76995"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1CA61A8" w14:textId="77777777" w:rsidR="00C81100" w:rsidRDefault="00C81100" w:rsidP="00AD2F6B">
            <w:pPr>
              <w:pStyle w:val="TAC"/>
            </w:pPr>
            <w:r>
              <w:t>-50</w:t>
            </w:r>
          </w:p>
        </w:tc>
      </w:tr>
      <w:tr w:rsidR="00C81100" w14:paraId="5729EA43" w14:textId="77777777" w:rsidTr="00AD2F6B">
        <w:trPr>
          <w:jc w:val="center"/>
        </w:trPr>
        <w:tc>
          <w:tcPr>
            <w:tcW w:w="1026" w:type="dxa"/>
            <w:tcBorders>
              <w:top w:val="nil"/>
              <w:left w:val="single" w:sz="4" w:space="0" w:color="auto"/>
              <w:bottom w:val="nil"/>
              <w:right w:val="single" w:sz="6" w:space="0" w:color="auto"/>
            </w:tcBorders>
          </w:tcPr>
          <w:p w14:paraId="79E4BC08"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70E6C13"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5F5507C4"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5C17D580"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19666D8A" w14:textId="77777777" w:rsidR="00C81100" w:rsidRDefault="00C81100" w:rsidP="00AD2F6B">
            <w:pPr>
              <w:pStyle w:val="TAC"/>
              <w:rPr>
                <w:lang w:val="sv-SE"/>
              </w:rPr>
            </w:pPr>
            <w:r>
              <w:rPr>
                <w:lang w:eastAsia="zh-CN"/>
              </w:rPr>
              <w:t>NR_FDD_FR1_F</w:t>
            </w:r>
          </w:p>
        </w:tc>
        <w:tc>
          <w:tcPr>
            <w:tcW w:w="709" w:type="dxa"/>
            <w:tcBorders>
              <w:top w:val="single" w:sz="6" w:space="0" w:color="auto"/>
              <w:left w:val="single" w:sz="4" w:space="0" w:color="auto"/>
              <w:bottom w:val="single" w:sz="6" w:space="0" w:color="auto"/>
              <w:right w:val="single" w:sz="6" w:space="0" w:color="auto"/>
            </w:tcBorders>
            <w:hideMark/>
          </w:tcPr>
          <w:p w14:paraId="0984F90A" w14:textId="77777777" w:rsidR="00C81100" w:rsidRDefault="00C81100" w:rsidP="00AD2F6B">
            <w:pPr>
              <w:pStyle w:val="TAC"/>
            </w:pPr>
            <w:r>
              <w:t>-118.5</w:t>
            </w:r>
          </w:p>
        </w:tc>
        <w:tc>
          <w:tcPr>
            <w:tcW w:w="850" w:type="dxa"/>
            <w:tcBorders>
              <w:top w:val="single" w:sz="6" w:space="0" w:color="auto"/>
              <w:left w:val="single" w:sz="4" w:space="0" w:color="auto"/>
              <w:bottom w:val="single" w:sz="6" w:space="0" w:color="auto"/>
              <w:right w:val="single" w:sz="6" w:space="0" w:color="auto"/>
            </w:tcBorders>
            <w:hideMark/>
          </w:tcPr>
          <w:p w14:paraId="4D52A70F" w14:textId="77777777" w:rsidR="00C81100" w:rsidRDefault="00C81100" w:rsidP="00AD2F6B">
            <w:pPr>
              <w:pStyle w:val="TAC"/>
            </w:pPr>
            <w:r>
              <w:rPr>
                <w:rFonts w:cs="Arial"/>
              </w:rPr>
              <w:t>-115.5</w:t>
            </w:r>
          </w:p>
        </w:tc>
        <w:tc>
          <w:tcPr>
            <w:tcW w:w="734" w:type="dxa"/>
            <w:tcBorders>
              <w:top w:val="single" w:sz="6" w:space="0" w:color="auto"/>
              <w:left w:val="single" w:sz="4" w:space="0" w:color="auto"/>
              <w:bottom w:val="single" w:sz="6" w:space="0" w:color="auto"/>
              <w:right w:val="single" w:sz="6" w:space="0" w:color="auto"/>
            </w:tcBorders>
          </w:tcPr>
          <w:p w14:paraId="76DFCDA7" w14:textId="77777777" w:rsidR="00C81100" w:rsidRDefault="00C81100" w:rsidP="00AD2F6B">
            <w:pPr>
              <w:pStyle w:val="TAC"/>
            </w:pPr>
            <w:r>
              <w:rPr>
                <w:rFonts w:cs="Arial"/>
              </w:rPr>
              <w:t>-112.5</w:t>
            </w:r>
          </w:p>
        </w:tc>
        <w:tc>
          <w:tcPr>
            <w:tcW w:w="1440" w:type="dxa"/>
            <w:tcBorders>
              <w:top w:val="single" w:sz="6" w:space="0" w:color="auto"/>
              <w:left w:val="single" w:sz="6" w:space="0" w:color="auto"/>
              <w:bottom w:val="single" w:sz="6" w:space="0" w:color="auto"/>
              <w:right w:val="single" w:sz="6" w:space="0" w:color="auto"/>
            </w:tcBorders>
            <w:hideMark/>
          </w:tcPr>
          <w:p w14:paraId="02E16C65"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D080163" w14:textId="77777777" w:rsidR="00C81100" w:rsidRDefault="00C81100" w:rsidP="00AD2F6B">
            <w:pPr>
              <w:pStyle w:val="TAC"/>
            </w:pPr>
            <w:r>
              <w:t>-50</w:t>
            </w:r>
          </w:p>
        </w:tc>
      </w:tr>
      <w:tr w:rsidR="00C81100" w14:paraId="71E30A8B" w14:textId="77777777" w:rsidTr="00AD2F6B">
        <w:trPr>
          <w:jc w:val="center"/>
        </w:trPr>
        <w:tc>
          <w:tcPr>
            <w:tcW w:w="1026" w:type="dxa"/>
            <w:tcBorders>
              <w:top w:val="nil"/>
              <w:left w:val="single" w:sz="4" w:space="0" w:color="auto"/>
              <w:bottom w:val="nil"/>
              <w:right w:val="single" w:sz="6" w:space="0" w:color="auto"/>
            </w:tcBorders>
          </w:tcPr>
          <w:p w14:paraId="7E0CFF20"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3A47951"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67CEFAA8"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0A72DDE5"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73B74C04" w14:textId="77777777" w:rsidR="00C81100" w:rsidRDefault="00C81100" w:rsidP="00AD2F6B">
            <w:pPr>
              <w:pStyle w:val="TAC"/>
              <w:rPr>
                <w:lang w:eastAsia="zh-CN"/>
              </w:rPr>
            </w:pPr>
            <w:r>
              <w:rPr>
                <w:lang w:eastAsia="zh-CN"/>
              </w:rPr>
              <w:t>NR</w:t>
            </w:r>
            <w:r>
              <w:t>_</w:t>
            </w:r>
            <w:r>
              <w:rPr>
                <w:lang w:eastAsia="zh-CN"/>
              </w:rPr>
              <w:t>FDD_FR1_G</w:t>
            </w:r>
          </w:p>
        </w:tc>
        <w:tc>
          <w:tcPr>
            <w:tcW w:w="709" w:type="dxa"/>
            <w:tcBorders>
              <w:top w:val="single" w:sz="6" w:space="0" w:color="auto"/>
              <w:left w:val="single" w:sz="4" w:space="0" w:color="auto"/>
              <w:bottom w:val="single" w:sz="6" w:space="0" w:color="auto"/>
              <w:right w:val="single" w:sz="6" w:space="0" w:color="auto"/>
            </w:tcBorders>
            <w:hideMark/>
          </w:tcPr>
          <w:p w14:paraId="59EC2DA3" w14:textId="77777777" w:rsidR="00C81100" w:rsidRDefault="00C81100" w:rsidP="00AD2F6B">
            <w:pPr>
              <w:pStyle w:val="TAC"/>
            </w:pPr>
            <w:r>
              <w:t>-118</w:t>
            </w:r>
          </w:p>
        </w:tc>
        <w:tc>
          <w:tcPr>
            <w:tcW w:w="850" w:type="dxa"/>
            <w:tcBorders>
              <w:top w:val="single" w:sz="6" w:space="0" w:color="auto"/>
              <w:left w:val="single" w:sz="4" w:space="0" w:color="auto"/>
              <w:bottom w:val="single" w:sz="6" w:space="0" w:color="auto"/>
              <w:right w:val="single" w:sz="6" w:space="0" w:color="auto"/>
            </w:tcBorders>
            <w:hideMark/>
          </w:tcPr>
          <w:p w14:paraId="549FAD8A" w14:textId="77777777" w:rsidR="00C81100" w:rsidRDefault="00C81100" w:rsidP="00AD2F6B">
            <w:pPr>
              <w:pStyle w:val="TAC"/>
              <w:rPr>
                <w:rFonts w:cs="Arial"/>
                <w:lang w:val="sv-SE"/>
              </w:rPr>
            </w:pPr>
            <w:r>
              <w:rPr>
                <w:rFonts w:cs="Arial"/>
              </w:rPr>
              <w:t>-115</w:t>
            </w:r>
          </w:p>
        </w:tc>
        <w:tc>
          <w:tcPr>
            <w:tcW w:w="734" w:type="dxa"/>
            <w:tcBorders>
              <w:top w:val="single" w:sz="6" w:space="0" w:color="auto"/>
              <w:left w:val="single" w:sz="4" w:space="0" w:color="auto"/>
              <w:bottom w:val="single" w:sz="6" w:space="0" w:color="auto"/>
              <w:right w:val="single" w:sz="6" w:space="0" w:color="auto"/>
            </w:tcBorders>
          </w:tcPr>
          <w:p w14:paraId="0CD1737C" w14:textId="77777777" w:rsidR="00C81100" w:rsidRDefault="00C81100" w:rsidP="00AD2F6B">
            <w:pPr>
              <w:pStyle w:val="TAC"/>
              <w:rPr>
                <w:rFonts w:cs="Arial"/>
                <w:lang w:val="sv-SE"/>
              </w:rPr>
            </w:pPr>
            <w:r>
              <w:rPr>
                <w:rFonts w:cs="Arial"/>
              </w:rPr>
              <w:t>-112</w:t>
            </w:r>
          </w:p>
        </w:tc>
        <w:tc>
          <w:tcPr>
            <w:tcW w:w="1440" w:type="dxa"/>
            <w:tcBorders>
              <w:top w:val="single" w:sz="6" w:space="0" w:color="auto"/>
              <w:left w:val="single" w:sz="6" w:space="0" w:color="auto"/>
              <w:bottom w:val="single" w:sz="6" w:space="0" w:color="auto"/>
              <w:right w:val="single" w:sz="6" w:space="0" w:color="auto"/>
            </w:tcBorders>
            <w:hideMark/>
          </w:tcPr>
          <w:p w14:paraId="5A48022F"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788B060" w14:textId="77777777" w:rsidR="00C81100" w:rsidRDefault="00C81100" w:rsidP="00AD2F6B">
            <w:pPr>
              <w:pStyle w:val="TAC"/>
            </w:pPr>
            <w:r>
              <w:t>-50</w:t>
            </w:r>
          </w:p>
        </w:tc>
      </w:tr>
      <w:tr w:rsidR="00C81100" w14:paraId="134088ED" w14:textId="77777777" w:rsidTr="00AD2F6B">
        <w:trPr>
          <w:jc w:val="center"/>
        </w:trPr>
        <w:tc>
          <w:tcPr>
            <w:tcW w:w="1026" w:type="dxa"/>
            <w:tcBorders>
              <w:top w:val="nil"/>
              <w:left w:val="single" w:sz="4" w:space="0" w:color="auto"/>
              <w:bottom w:val="nil"/>
              <w:right w:val="single" w:sz="6" w:space="0" w:color="auto"/>
            </w:tcBorders>
          </w:tcPr>
          <w:p w14:paraId="2E187520"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7B522590"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1977F675"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2A36A4C5"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0D5BF13C" w14:textId="77777777" w:rsidR="00C81100" w:rsidRDefault="00C81100" w:rsidP="00AD2F6B">
            <w:pPr>
              <w:pStyle w:val="TAC"/>
              <w:rPr>
                <w:lang w:eastAsia="zh-CN"/>
              </w:rPr>
            </w:pPr>
            <w:r>
              <w:rPr>
                <w:lang w:eastAsia="zh-CN"/>
              </w:rPr>
              <w:t>NR</w:t>
            </w:r>
            <w:r>
              <w:t>_</w:t>
            </w:r>
            <w:r>
              <w:rPr>
                <w:lang w:eastAsia="zh-CN"/>
              </w:rPr>
              <w:t>FDD_FR1_H</w:t>
            </w:r>
          </w:p>
        </w:tc>
        <w:tc>
          <w:tcPr>
            <w:tcW w:w="709" w:type="dxa"/>
            <w:tcBorders>
              <w:top w:val="single" w:sz="6" w:space="0" w:color="auto"/>
              <w:left w:val="single" w:sz="4" w:space="0" w:color="auto"/>
              <w:bottom w:val="single" w:sz="6" w:space="0" w:color="auto"/>
              <w:right w:val="single" w:sz="6" w:space="0" w:color="auto"/>
            </w:tcBorders>
            <w:hideMark/>
          </w:tcPr>
          <w:p w14:paraId="1B425235" w14:textId="77777777" w:rsidR="00C81100" w:rsidRDefault="00C81100" w:rsidP="00AD2F6B">
            <w:pPr>
              <w:pStyle w:val="TAC"/>
            </w:pPr>
            <w:r>
              <w:t>-117.5</w:t>
            </w:r>
          </w:p>
        </w:tc>
        <w:tc>
          <w:tcPr>
            <w:tcW w:w="850" w:type="dxa"/>
            <w:tcBorders>
              <w:top w:val="single" w:sz="6" w:space="0" w:color="auto"/>
              <w:left w:val="single" w:sz="4" w:space="0" w:color="auto"/>
              <w:bottom w:val="single" w:sz="6" w:space="0" w:color="auto"/>
              <w:right w:val="single" w:sz="6" w:space="0" w:color="auto"/>
            </w:tcBorders>
            <w:hideMark/>
          </w:tcPr>
          <w:p w14:paraId="5A5872B3" w14:textId="77777777" w:rsidR="00C81100" w:rsidRDefault="00C81100" w:rsidP="00AD2F6B">
            <w:pPr>
              <w:pStyle w:val="TAC"/>
              <w:rPr>
                <w:rFonts w:cs="Arial"/>
                <w:lang w:val="sv-SE"/>
              </w:rPr>
            </w:pPr>
            <w:r>
              <w:rPr>
                <w:rFonts w:cs="Arial"/>
              </w:rPr>
              <w:t>-114.5</w:t>
            </w:r>
          </w:p>
        </w:tc>
        <w:tc>
          <w:tcPr>
            <w:tcW w:w="734" w:type="dxa"/>
            <w:tcBorders>
              <w:top w:val="single" w:sz="6" w:space="0" w:color="auto"/>
              <w:left w:val="single" w:sz="4" w:space="0" w:color="auto"/>
              <w:bottom w:val="single" w:sz="6" w:space="0" w:color="auto"/>
              <w:right w:val="single" w:sz="6" w:space="0" w:color="auto"/>
            </w:tcBorders>
          </w:tcPr>
          <w:p w14:paraId="0E3526C1" w14:textId="77777777" w:rsidR="00C81100" w:rsidRDefault="00C81100" w:rsidP="00AD2F6B">
            <w:pPr>
              <w:pStyle w:val="TAC"/>
              <w:rPr>
                <w:rFonts w:cs="Arial"/>
                <w:lang w:val="sv-SE"/>
              </w:rPr>
            </w:pPr>
            <w:r>
              <w:rPr>
                <w:rFonts w:cs="Arial"/>
              </w:rPr>
              <w:t>-111.5</w:t>
            </w:r>
          </w:p>
        </w:tc>
        <w:tc>
          <w:tcPr>
            <w:tcW w:w="1440" w:type="dxa"/>
            <w:tcBorders>
              <w:top w:val="single" w:sz="6" w:space="0" w:color="auto"/>
              <w:left w:val="single" w:sz="6" w:space="0" w:color="auto"/>
              <w:bottom w:val="single" w:sz="6" w:space="0" w:color="auto"/>
              <w:right w:val="single" w:sz="6" w:space="0" w:color="auto"/>
            </w:tcBorders>
            <w:hideMark/>
          </w:tcPr>
          <w:p w14:paraId="281C78E8"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75717FF" w14:textId="77777777" w:rsidR="00C81100" w:rsidRDefault="00C81100" w:rsidP="00AD2F6B">
            <w:pPr>
              <w:pStyle w:val="TAC"/>
            </w:pPr>
            <w:r>
              <w:t>-50</w:t>
            </w:r>
          </w:p>
        </w:tc>
      </w:tr>
      <w:tr w:rsidR="00C81100" w14:paraId="681BC4AB" w14:textId="77777777" w:rsidTr="00AD2F6B">
        <w:trPr>
          <w:jc w:val="center"/>
        </w:trPr>
        <w:tc>
          <w:tcPr>
            <w:tcW w:w="10413" w:type="dxa"/>
            <w:gridSpan w:val="10"/>
            <w:tcBorders>
              <w:top w:val="single" w:sz="6" w:space="0" w:color="auto"/>
              <w:left w:val="single" w:sz="4" w:space="0" w:color="auto"/>
              <w:bottom w:val="single" w:sz="4" w:space="0" w:color="auto"/>
              <w:right w:val="single" w:sz="4" w:space="0" w:color="auto"/>
            </w:tcBorders>
            <w:vAlign w:val="center"/>
            <w:hideMark/>
          </w:tcPr>
          <w:p w14:paraId="5F27B65A" w14:textId="77777777" w:rsidR="006055B0" w:rsidRDefault="006055B0" w:rsidP="006055B0">
            <w:pPr>
              <w:pStyle w:val="TAN"/>
            </w:pPr>
            <w:r>
              <w:t>NOTE 1:</w:t>
            </w:r>
            <w:r>
              <w:tab/>
              <w:t>Io is assumed to have constant EPRE across the bandwidth.</w:t>
            </w:r>
          </w:p>
          <w:p w14:paraId="118B8E63" w14:textId="77777777" w:rsidR="006055B0" w:rsidRDefault="006055B0" w:rsidP="006055B0">
            <w:pPr>
              <w:pStyle w:val="TAN"/>
            </w:pPr>
            <w:r>
              <w:t>NOTE 2:</w:t>
            </w:r>
            <w:r>
              <w:tab/>
              <w:t>NR operating band groups in FR1 are as defined in clause 3.5.2.</w:t>
            </w:r>
          </w:p>
          <w:p w14:paraId="5EE090B1" w14:textId="31E230D3" w:rsidR="00C81100" w:rsidRDefault="006055B0" w:rsidP="006055B0">
            <w:pPr>
              <w:pStyle w:val="TAN"/>
            </w:pPr>
            <w:r w:rsidRPr="009C5807">
              <w:rPr>
                <w:rFonts w:cs="Arial"/>
              </w:rPr>
              <w:t xml:space="preserve">NOTE </w:t>
            </w:r>
            <w:r>
              <w:rPr>
                <w:rFonts w:cs="Arial"/>
              </w:rPr>
              <w:t>3</w:t>
            </w:r>
            <w:r w:rsidRPr="009C5807">
              <w:rPr>
                <w:rFonts w:cs="Arial"/>
              </w:rPr>
              <w:t>:</w:t>
            </w:r>
            <w:r w:rsidRPr="009C5807">
              <w:rPr>
                <w:rFonts w:cs="Arial"/>
              </w:rPr>
              <w:tab/>
              <w:t xml:space="preserve">The requirements apply for </w:t>
            </w:r>
            <w:r w:rsidRPr="009D3FB7">
              <w:rPr>
                <w:rFonts w:cs="Arial"/>
              </w:rPr>
              <w:t>CSI-RS CMR</w:t>
            </w:r>
            <w:r w:rsidRPr="009C5807">
              <w:rPr>
                <w:rFonts w:cs="Arial"/>
              </w:rPr>
              <w:t xml:space="preserve"> 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0C54C351" w14:textId="77777777" w:rsidR="00C81100" w:rsidRDefault="00C81100" w:rsidP="003852A9"/>
    <w:p w14:paraId="65ADA3DC" w14:textId="77777777" w:rsidR="00C81100" w:rsidRDefault="00C81100" w:rsidP="00C81100">
      <w:pPr>
        <w:pStyle w:val="TH"/>
      </w:pPr>
      <w:r>
        <w:t>Table 10.1.27.3.1-2: L1-SINR absolute accuracy for CSI-RS based CMR and ZP-IMR in FR1</w:t>
      </w:r>
    </w:p>
    <w:tbl>
      <w:tblPr>
        <w:tblW w:w="10413" w:type="dxa"/>
        <w:jc w:val="center"/>
        <w:tblLook w:val="01E0" w:firstRow="1" w:lastRow="1" w:firstColumn="1" w:lastColumn="1" w:noHBand="0" w:noVBand="0"/>
      </w:tblPr>
      <w:tblGrid>
        <w:gridCol w:w="1026"/>
        <w:gridCol w:w="1026"/>
        <w:gridCol w:w="917"/>
        <w:gridCol w:w="1842"/>
        <w:gridCol w:w="991"/>
        <w:gridCol w:w="851"/>
        <w:gridCol w:w="880"/>
        <w:gridCol w:w="1440"/>
        <w:gridCol w:w="1440"/>
      </w:tblGrid>
      <w:tr w:rsidR="00C81100" w14:paraId="448E2615" w14:textId="77777777" w:rsidTr="00AD2F6B">
        <w:trPr>
          <w:jc w:val="center"/>
        </w:trPr>
        <w:tc>
          <w:tcPr>
            <w:tcW w:w="2052" w:type="dxa"/>
            <w:gridSpan w:val="2"/>
            <w:tcBorders>
              <w:top w:val="single" w:sz="4" w:space="0" w:color="auto"/>
              <w:left w:val="single" w:sz="4" w:space="0" w:color="auto"/>
              <w:bottom w:val="single" w:sz="6" w:space="0" w:color="auto"/>
              <w:right w:val="single" w:sz="6" w:space="0" w:color="auto"/>
            </w:tcBorders>
            <w:vAlign w:val="center"/>
            <w:hideMark/>
          </w:tcPr>
          <w:p w14:paraId="51741B31" w14:textId="77777777" w:rsidR="00C81100" w:rsidRDefault="00C81100" w:rsidP="00AD2F6B">
            <w:pPr>
              <w:pStyle w:val="TAH"/>
            </w:pPr>
            <w:r>
              <w:t>Accuracy</w:t>
            </w:r>
          </w:p>
        </w:tc>
        <w:tc>
          <w:tcPr>
            <w:tcW w:w="8361" w:type="dxa"/>
            <w:gridSpan w:val="7"/>
            <w:tcBorders>
              <w:top w:val="single" w:sz="4" w:space="0" w:color="auto"/>
              <w:left w:val="single" w:sz="6" w:space="0" w:color="auto"/>
              <w:bottom w:val="single" w:sz="6" w:space="0" w:color="auto"/>
              <w:right w:val="single" w:sz="4" w:space="0" w:color="auto"/>
            </w:tcBorders>
            <w:vAlign w:val="center"/>
            <w:hideMark/>
          </w:tcPr>
          <w:p w14:paraId="6E4412B2" w14:textId="77777777" w:rsidR="00C81100" w:rsidRDefault="00C81100" w:rsidP="00AD2F6B">
            <w:pPr>
              <w:pStyle w:val="TAH"/>
            </w:pPr>
            <w:r>
              <w:t>Conditions</w:t>
            </w:r>
          </w:p>
        </w:tc>
      </w:tr>
      <w:tr w:rsidR="00C81100" w14:paraId="58282DFE" w14:textId="77777777" w:rsidTr="00AD2F6B">
        <w:trPr>
          <w:jc w:val="center"/>
        </w:trPr>
        <w:tc>
          <w:tcPr>
            <w:tcW w:w="1026" w:type="dxa"/>
            <w:tcBorders>
              <w:top w:val="single" w:sz="6" w:space="0" w:color="auto"/>
              <w:left w:val="single" w:sz="4" w:space="0" w:color="auto"/>
              <w:bottom w:val="nil"/>
              <w:right w:val="single" w:sz="6" w:space="0" w:color="auto"/>
            </w:tcBorders>
            <w:vAlign w:val="center"/>
            <w:hideMark/>
          </w:tcPr>
          <w:p w14:paraId="1C57D15E" w14:textId="77777777" w:rsidR="00C81100" w:rsidRDefault="00C81100" w:rsidP="00AD2F6B">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7007BF8A" w14:textId="77777777" w:rsidR="00C81100" w:rsidRDefault="00C81100" w:rsidP="00AD2F6B">
            <w:pPr>
              <w:pStyle w:val="TAH"/>
            </w:pPr>
            <w:r>
              <w:t>Extreme condition</w:t>
            </w:r>
          </w:p>
        </w:tc>
        <w:tc>
          <w:tcPr>
            <w:tcW w:w="920" w:type="dxa"/>
            <w:tcBorders>
              <w:top w:val="single" w:sz="6" w:space="0" w:color="auto"/>
              <w:left w:val="single" w:sz="6" w:space="0" w:color="auto"/>
              <w:bottom w:val="nil"/>
              <w:right w:val="single" w:sz="6" w:space="0" w:color="auto"/>
            </w:tcBorders>
            <w:vAlign w:val="center"/>
            <w:hideMark/>
          </w:tcPr>
          <w:p w14:paraId="744BFA67" w14:textId="77777777" w:rsidR="00C81100" w:rsidRDefault="00C81100" w:rsidP="00AD2F6B">
            <w:pPr>
              <w:pStyle w:val="TAH"/>
            </w:pPr>
            <w:r>
              <w:t xml:space="preserve">CSI-RS </w:t>
            </w:r>
          </w:p>
          <w:p w14:paraId="21D24991" w14:textId="77777777" w:rsidR="00C81100" w:rsidRDefault="00C81100" w:rsidP="00AD2F6B">
            <w:pPr>
              <w:pStyle w:val="TAH"/>
            </w:pPr>
            <w:r>
              <w:t>CMR Ês/Iot</w:t>
            </w:r>
          </w:p>
        </w:tc>
        <w:tc>
          <w:tcPr>
            <w:tcW w:w="7441" w:type="dxa"/>
            <w:gridSpan w:val="6"/>
            <w:tcBorders>
              <w:top w:val="single" w:sz="6" w:space="0" w:color="auto"/>
              <w:left w:val="single" w:sz="6" w:space="0" w:color="auto"/>
              <w:bottom w:val="single" w:sz="6" w:space="0" w:color="auto"/>
              <w:right w:val="single" w:sz="4" w:space="0" w:color="auto"/>
            </w:tcBorders>
            <w:vAlign w:val="center"/>
            <w:hideMark/>
          </w:tcPr>
          <w:p w14:paraId="1B5CF4CD" w14:textId="77777777" w:rsidR="00C81100" w:rsidRDefault="00C81100" w:rsidP="00AD2F6B">
            <w:pPr>
              <w:pStyle w:val="TAH"/>
            </w:pPr>
            <w:r>
              <w:t>Io</w:t>
            </w:r>
            <w:r>
              <w:rPr>
                <w:vertAlign w:val="superscript"/>
              </w:rPr>
              <w:t xml:space="preserve"> Note 1</w:t>
            </w:r>
            <w:r>
              <w:t xml:space="preserve"> range</w:t>
            </w:r>
          </w:p>
        </w:tc>
      </w:tr>
      <w:tr w:rsidR="00C81100" w14:paraId="28A453F0" w14:textId="77777777" w:rsidTr="00AD2F6B">
        <w:trPr>
          <w:jc w:val="center"/>
        </w:trPr>
        <w:tc>
          <w:tcPr>
            <w:tcW w:w="1026" w:type="dxa"/>
            <w:tcBorders>
              <w:top w:val="nil"/>
              <w:left w:val="single" w:sz="4" w:space="0" w:color="auto"/>
              <w:bottom w:val="single" w:sz="6" w:space="0" w:color="auto"/>
              <w:right w:val="single" w:sz="6" w:space="0" w:color="auto"/>
            </w:tcBorders>
            <w:vAlign w:val="center"/>
          </w:tcPr>
          <w:p w14:paraId="18795B18"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02A857D4" w14:textId="77777777" w:rsidR="00C81100" w:rsidRDefault="00C81100" w:rsidP="00AD2F6B">
            <w:pPr>
              <w:pStyle w:val="TAH"/>
            </w:pPr>
          </w:p>
        </w:tc>
        <w:tc>
          <w:tcPr>
            <w:tcW w:w="920" w:type="dxa"/>
            <w:tcBorders>
              <w:top w:val="nil"/>
              <w:left w:val="single" w:sz="6" w:space="0" w:color="auto"/>
              <w:bottom w:val="single" w:sz="6" w:space="0" w:color="auto"/>
              <w:right w:val="single" w:sz="6" w:space="0" w:color="auto"/>
            </w:tcBorders>
            <w:vAlign w:val="center"/>
          </w:tcPr>
          <w:p w14:paraId="0F3E04A9" w14:textId="77777777" w:rsidR="00C81100" w:rsidRDefault="00C81100" w:rsidP="00AD2F6B">
            <w:pPr>
              <w:pStyle w:val="TAH"/>
            </w:pPr>
          </w:p>
        </w:tc>
        <w:tc>
          <w:tcPr>
            <w:tcW w:w="1843" w:type="dxa"/>
            <w:tcBorders>
              <w:top w:val="single" w:sz="6" w:space="0" w:color="auto"/>
              <w:left w:val="single" w:sz="6" w:space="0" w:color="auto"/>
              <w:bottom w:val="single" w:sz="6" w:space="0" w:color="auto"/>
              <w:right w:val="single" w:sz="4" w:space="0" w:color="auto"/>
            </w:tcBorders>
            <w:vAlign w:val="center"/>
            <w:hideMark/>
          </w:tcPr>
          <w:p w14:paraId="5945740E" w14:textId="77777777" w:rsidR="00C81100" w:rsidRDefault="00C81100" w:rsidP="00AD2F6B">
            <w:pPr>
              <w:pStyle w:val="TAH"/>
            </w:pPr>
            <w:r>
              <w:t>NR operating band groups</w:t>
            </w:r>
            <w:r>
              <w:rPr>
                <w:vertAlign w:val="superscript"/>
              </w:rPr>
              <w:t xml:space="preserve"> Note 2</w:t>
            </w:r>
          </w:p>
        </w:tc>
        <w:tc>
          <w:tcPr>
            <w:tcW w:w="4158" w:type="dxa"/>
            <w:gridSpan w:val="4"/>
            <w:tcBorders>
              <w:top w:val="single" w:sz="4" w:space="0" w:color="auto"/>
              <w:left w:val="single" w:sz="4" w:space="0" w:color="auto"/>
              <w:bottom w:val="single" w:sz="6" w:space="0" w:color="auto"/>
              <w:right w:val="single" w:sz="6" w:space="0" w:color="auto"/>
            </w:tcBorders>
            <w:vAlign w:val="center"/>
            <w:hideMark/>
          </w:tcPr>
          <w:p w14:paraId="58821174" w14:textId="77777777" w:rsidR="00C81100" w:rsidRDefault="00C811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10E47D37" w14:textId="77777777" w:rsidR="00C81100" w:rsidRDefault="00C81100" w:rsidP="00AD2F6B">
            <w:pPr>
              <w:pStyle w:val="TAH"/>
            </w:pPr>
            <w:r>
              <w:t>Maximum Io</w:t>
            </w:r>
          </w:p>
        </w:tc>
      </w:tr>
      <w:tr w:rsidR="00C81100" w14:paraId="7FD54797" w14:textId="77777777" w:rsidTr="00AD2F6B">
        <w:trPr>
          <w:trHeight w:val="308"/>
          <w:jc w:val="center"/>
        </w:trPr>
        <w:tc>
          <w:tcPr>
            <w:tcW w:w="1026" w:type="dxa"/>
            <w:tcBorders>
              <w:top w:val="single" w:sz="6" w:space="0" w:color="auto"/>
              <w:left w:val="single" w:sz="4" w:space="0" w:color="auto"/>
              <w:bottom w:val="nil"/>
              <w:right w:val="single" w:sz="6" w:space="0" w:color="auto"/>
            </w:tcBorders>
            <w:vAlign w:val="center"/>
            <w:hideMark/>
          </w:tcPr>
          <w:p w14:paraId="4334F76D" w14:textId="77777777" w:rsidR="00C81100" w:rsidRDefault="00C81100" w:rsidP="00AD2F6B">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6204F73F" w14:textId="77777777" w:rsidR="00C81100" w:rsidRDefault="00C81100" w:rsidP="00AD2F6B">
            <w:pPr>
              <w:pStyle w:val="TAH"/>
            </w:pPr>
            <w:r>
              <w:t>dB</w:t>
            </w:r>
          </w:p>
        </w:tc>
        <w:tc>
          <w:tcPr>
            <w:tcW w:w="920" w:type="dxa"/>
            <w:tcBorders>
              <w:top w:val="single" w:sz="6" w:space="0" w:color="auto"/>
              <w:left w:val="single" w:sz="6" w:space="0" w:color="auto"/>
              <w:bottom w:val="nil"/>
              <w:right w:val="single" w:sz="6" w:space="0" w:color="auto"/>
            </w:tcBorders>
            <w:vAlign w:val="center"/>
            <w:hideMark/>
          </w:tcPr>
          <w:p w14:paraId="738E263E" w14:textId="77777777" w:rsidR="00C81100" w:rsidRDefault="00C81100" w:rsidP="00AD2F6B">
            <w:pPr>
              <w:pStyle w:val="TAH"/>
            </w:pPr>
            <w:r>
              <w:t>dB</w:t>
            </w:r>
          </w:p>
        </w:tc>
        <w:tc>
          <w:tcPr>
            <w:tcW w:w="1843" w:type="dxa"/>
            <w:tcBorders>
              <w:top w:val="single" w:sz="6" w:space="0" w:color="auto"/>
              <w:left w:val="single" w:sz="6" w:space="0" w:color="auto"/>
              <w:bottom w:val="nil"/>
              <w:right w:val="single" w:sz="4" w:space="0" w:color="auto"/>
            </w:tcBorders>
            <w:vAlign w:val="center"/>
          </w:tcPr>
          <w:p w14:paraId="2F5E0A1E" w14:textId="77777777" w:rsidR="00C81100" w:rsidRDefault="00C81100" w:rsidP="00AD2F6B">
            <w:pPr>
              <w:pStyle w:val="TAH"/>
            </w:pPr>
          </w:p>
        </w:tc>
        <w:tc>
          <w:tcPr>
            <w:tcW w:w="2718" w:type="dxa"/>
            <w:gridSpan w:val="3"/>
            <w:tcBorders>
              <w:top w:val="single" w:sz="6" w:space="0" w:color="auto"/>
              <w:left w:val="single" w:sz="4" w:space="0" w:color="auto"/>
              <w:bottom w:val="single" w:sz="6" w:space="0" w:color="auto"/>
              <w:right w:val="single" w:sz="6" w:space="0" w:color="auto"/>
            </w:tcBorders>
            <w:vAlign w:val="center"/>
            <w:hideMark/>
          </w:tcPr>
          <w:p w14:paraId="45B6E276" w14:textId="77777777" w:rsidR="00C81100" w:rsidRDefault="00C81100" w:rsidP="00AD2F6B">
            <w:pPr>
              <w:pStyle w:val="TAH"/>
            </w:pPr>
            <w:r>
              <w:rPr>
                <w:rFonts w:cs="Arial"/>
              </w:rPr>
              <w:t xml:space="preserve">dBm / </w:t>
            </w:r>
            <w:r>
              <w:t>SCS</w:t>
            </w:r>
            <w:r>
              <w:rPr>
                <w:vertAlign w:val="subscript"/>
              </w:rPr>
              <w:t>CSI-RS</w:t>
            </w:r>
          </w:p>
        </w:tc>
        <w:tc>
          <w:tcPr>
            <w:tcW w:w="1440" w:type="dxa"/>
            <w:tcBorders>
              <w:top w:val="single" w:sz="6" w:space="0" w:color="auto"/>
              <w:left w:val="single" w:sz="6" w:space="0" w:color="auto"/>
              <w:bottom w:val="nil"/>
              <w:right w:val="single" w:sz="6" w:space="0" w:color="auto"/>
            </w:tcBorders>
            <w:vAlign w:val="center"/>
            <w:hideMark/>
          </w:tcPr>
          <w:p w14:paraId="141AA03D" w14:textId="77777777" w:rsidR="00C81100" w:rsidRDefault="00C811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5C81EFB1" w14:textId="77777777" w:rsidR="00C81100" w:rsidRDefault="00C81100" w:rsidP="00AD2F6B">
            <w:pPr>
              <w:pStyle w:val="TAH"/>
            </w:pPr>
            <w:r>
              <w:t>dBm/BW</w:t>
            </w:r>
            <w:r>
              <w:rPr>
                <w:vertAlign w:val="subscript"/>
              </w:rPr>
              <w:t>Channel</w:t>
            </w:r>
          </w:p>
        </w:tc>
      </w:tr>
      <w:tr w:rsidR="00C81100" w14:paraId="2A1F4114" w14:textId="77777777" w:rsidTr="00AD2F6B">
        <w:trPr>
          <w:trHeight w:val="307"/>
          <w:jc w:val="center"/>
        </w:trPr>
        <w:tc>
          <w:tcPr>
            <w:tcW w:w="1026" w:type="dxa"/>
            <w:tcBorders>
              <w:top w:val="nil"/>
              <w:left w:val="single" w:sz="4" w:space="0" w:color="auto"/>
              <w:bottom w:val="single" w:sz="6" w:space="0" w:color="auto"/>
              <w:right w:val="single" w:sz="6" w:space="0" w:color="auto"/>
            </w:tcBorders>
            <w:vAlign w:val="center"/>
          </w:tcPr>
          <w:p w14:paraId="34287A72"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0FEE345E" w14:textId="77777777" w:rsidR="00C81100" w:rsidRDefault="00C81100" w:rsidP="00AD2F6B">
            <w:pPr>
              <w:pStyle w:val="TAH"/>
            </w:pPr>
          </w:p>
        </w:tc>
        <w:tc>
          <w:tcPr>
            <w:tcW w:w="920" w:type="dxa"/>
            <w:tcBorders>
              <w:top w:val="nil"/>
              <w:left w:val="single" w:sz="6" w:space="0" w:color="auto"/>
              <w:bottom w:val="single" w:sz="6" w:space="0" w:color="auto"/>
              <w:right w:val="single" w:sz="6" w:space="0" w:color="auto"/>
            </w:tcBorders>
            <w:vAlign w:val="center"/>
          </w:tcPr>
          <w:p w14:paraId="405BC288" w14:textId="77777777" w:rsidR="00C81100" w:rsidRDefault="00C81100" w:rsidP="00AD2F6B">
            <w:pPr>
              <w:pStyle w:val="TAH"/>
            </w:pPr>
          </w:p>
        </w:tc>
        <w:tc>
          <w:tcPr>
            <w:tcW w:w="1843" w:type="dxa"/>
            <w:tcBorders>
              <w:top w:val="nil"/>
              <w:left w:val="single" w:sz="6" w:space="0" w:color="auto"/>
              <w:bottom w:val="single" w:sz="6" w:space="0" w:color="auto"/>
              <w:right w:val="single" w:sz="4" w:space="0" w:color="auto"/>
            </w:tcBorders>
            <w:vAlign w:val="center"/>
          </w:tcPr>
          <w:p w14:paraId="1B42A0B8" w14:textId="77777777" w:rsidR="00C81100" w:rsidRDefault="00C81100" w:rsidP="00AD2F6B">
            <w:pPr>
              <w:pStyle w:val="TAH"/>
            </w:pPr>
          </w:p>
        </w:tc>
        <w:tc>
          <w:tcPr>
            <w:tcW w:w="992" w:type="dxa"/>
            <w:tcBorders>
              <w:top w:val="single" w:sz="6" w:space="0" w:color="auto"/>
              <w:left w:val="single" w:sz="4" w:space="0" w:color="auto"/>
              <w:bottom w:val="single" w:sz="6" w:space="0" w:color="auto"/>
              <w:right w:val="single" w:sz="6" w:space="0" w:color="auto"/>
            </w:tcBorders>
            <w:vAlign w:val="center"/>
            <w:hideMark/>
          </w:tcPr>
          <w:p w14:paraId="661C66FE" w14:textId="77777777" w:rsidR="00C81100" w:rsidRDefault="00C81100" w:rsidP="00AD2F6B">
            <w:pPr>
              <w:pStyle w:val="TAH"/>
              <w:rPr>
                <w:rFonts w:cs="Arial"/>
              </w:rPr>
            </w:pPr>
            <w:r>
              <w:t>SCS</w:t>
            </w:r>
            <w:r>
              <w:rPr>
                <w:vertAlign w:val="subscript"/>
              </w:rPr>
              <w:t>CSI-RS</w:t>
            </w:r>
            <w:r>
              <w:rPr>
                <w:rFonts w:cs="Arial"/>
              </w:rPr>
              <w:t xml:space="preserve"> = 15 kHz</w:t>
            </w:r>
          </w:p>
        </w:tc>
        <w:tc>
          <w:tcPr>
            <w:tcW w:w="846" w:type="dxa"/>
            <w:tcBorders>
              <w:top w:val="single" w:sz="6" w:space="0" w:color="auto"/>
              <w:left w:val="single" w:sz="4" w:space="0" w:color="auto"/>
              <w:bottom w:val="single" w:sz="6" w:space="0" w:color="auto"/>
              <w:right w:val="single" w:sz="6" w:space="0" w:color="auto"/>
            </w:tcBorders>
            <w:vAlign w:val="center"/>
            <w:hideMark/>
          </w:tcPr>
          <w:p w14:paraId="6AA8084B" w14:textId="77777777" w:rsidR="00C81100" w:rsidRDefault="00C81100" w:rsidP="00AD2F6B">
            <w:pPr>
              <w:pStyle w:val="TAH"/>
              <w:rPr>
                <w:rFonts w:cs="Arial"/>
              </w:rPr>
            </w:pPr>
            <w:r>
              <w:t>SCS</w:t>
            </w:r>
            <w:r>
              <w:rPr>
                <w:vertAlign w:val="subscript"/>
              </w:rPr>
              <w:t>CSI-RS</w:t>
            </w:r>
            <w:r>
              <w:rPr>
                <w:rFonts w:cs="Arial"/>
              </w:rPr>
              <w:t xml:space="preserve"> = 30 kHz</w:t>
            </w:r>
          </w:p>
        </w:tc>
        <w:tc>
          <w:tcPr>
            <w:tcW w:w="880" w:type="dxa"/>
            <w:tcBorders>
              <w:top w:val="single" w:sz="6" w:space="0" w:color="auto"/>
              <w:left w:val="single" w:sz="4" w:space="0" w:color="auto"/>
              <w:bottom w:val="single" w:sz="6" w:space="0" w:color="auto"/>
              <w:right w:val="single" w:sz="6" w:space="0" w:color="auto"/>
            </w:tcBorders>
            <w:vAlign w:val="center"/>
          </w:tcPr>
          <w:p w14:paraId="4B532646" w14:textId="77777777" w:rsidR="00C81100" w:rsidRDefault="00C81100" w:rsidP="00AD2F6B">
            <w:pPr>
              <w:pStyle w:val="TAH"/>
              <w:rPr>
                <w:rFonts w:cs="Arial"/>
              </w:rPr>
            </w:pPr>
            <w:r>
              <w:t>SCS</w:t>
            </w:r>
            <w:r>
              <w:rPr>
                <w:vertAlign w:val="subscript"/>
              </w:rPr>
              <w:t>CSI-RS</w:t>
            </w:r>
            <w:r>
              <w:rPr>
                <w:rFonts w:cs="Arial"/>
              </w:rPr>
              <w:t xml:space="preserve"> = 60 kHz</w:t>
            </w:r>
          </w:p>
        </w:tc>
        <w:tc>
          <w:tcPr>
            <w:tcW w:w="1440" w:type="dxa"/>
            <w:tcBorders>
              <w:top w:val="nil"/>
              <w:left w:val="single" w:sz="6" w:space="0" w:color="auto"/>
              <w:bottom w:val="single" w:sz="6" w:space="0" w:color="auto"/>
              <w:right w:val="single" w:sz="6" w:space="0" w:color="auto"/>
            </w:tcBorders>
            <w:vAlign w:val="center"/>
          </w:tcPr>
          <w:p w14:paraId="4FF01D07" w14:textId="77777777" w:rsidR="00C81100" w:rsidRDefault="00C81100" w:rsidP="00AD2F6B">
            <w:pPr>
              <w:pStyle w:val="TAH"/>
            </w:pPr>
          </w:p>
        </w:tc>
        <w:tc>
          <w:tcPr>
            <w:tcW w:w="1440" w:type="dxa"/>
            <w:tcBorders>
              <w:top w:val="nil"/>
              <w:left w:val="single" w:sz="6" w:space="0" w:color="auto"/>
              <w:bottom w:val="single" w:sz="6" w:space="0" w:color="auto"/>
              <w:right w:val="single" w:sz="4" w:space="0" w:color="auto"/>
            </w:tcBorders>
            <w:vAlign w:val="center"/>
          </w:tcPr>
          <w:p w14:paraId="499667F7" w14:textId="77777777" w:rsidR="00C81100" w:rsidRDefault="00C81100" w:rsidP="00AD2F6B">
            <w:pPr>
              <w:pStyle w:val="TAH"/>
            </w:pPr>
          </w:p>
        </w:tc>
      </w:tr>
      <w:tr w:rsidR="00C81100" w14:paraId="5727B19E" w14:textId="77777777" w:rsidTr="00AD2F6B">
        <w:trPr>
          <w:jc w:val="center"/>
        </w:trPr>
        <w:tc>
          <w:tcPr>
            <w:tcW w:w="1026" w:type="dxa"/>
            <w:tcBorders>
              <w:top w:val="single" w:sz="6" w:space="0" w:color="auto"/>
              <w:left w:val="single" w:sz="4" w:space="0" w:color="auto"/>
              <w:bottom w:val="nil"/>
              <w:right w:val="single" w:sz="6" w:space="0" w:color="auto"/>
            </w:tcBorders>
          </w:tcPr>
          <w:p w14:paraId="0C1067A6" w14:textId="77777777" w:rsidR="00C81100" w:rsidRDefault="00C81100" w:rsidP="00AD2F6B">
            <w:pPr>
              <w:pStyle w:val="TAC"/>
            </w:pPr>
          </w:p>
        </w:tc>
        <w:tc>
          <w:tcPr>
            <w:tcW w:w="1026" w:type="dxa"/>
            <w:tcBorders>
              <w:top w:val="single" w:sz="6" w:space="0" w:color="auto"/>
              <w:left w:val="single" w:sz="6" w:space="0" w:color="auto"/>
              <w:bottom w:val="nil"/>
              <w:right w:val="single" w:sz="6" w:space="0" w:color="auto"/>
            </w:tcBorders>
          </w:tcPr>
          <w:p w14:paraId="6C64F470" w14:textId="77777777" w:rsidR="00C81100" w:rsidRDefault="00C81100" w:rsidP="00AD2F6B">
            <w:pPr>
              <w:pStyle w:val="TAC"/>
            </w:pPr>
          </w:p>
        </w:tc>
        <w:tc>
          <w:tcPr>
            <w:tcW w:w="920" w:type="dxa"/>
            <w:tcBorders>
              <w:top w:val="single" w:sz="6" w:space="0" w:color="auto"/>
              <w:left w:val="single" w:sz="6" w:space="0" w:color="auto"/>
              <w:bottom w:val="nil"/>
              <w:right w:val="single" w:sz="6" w:space="0" w:color="auto"/>
            </w:tcBorders>
          </w:tcPr>
          <w:p w14:paraId="7802622C"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0E7D2AFF" w14:textId="77777777" w:rsidR="00C81100" w:rsidRDefault="00C81100" w:rsidP="00AD2F6B">
            <w:pPr>
              <w:pStyle w:val="TAC"/>
            </w:pPr>
            <w:r>
              <w:t>NR_FDD_FR1_A, NR_TDD_FR1_A,</w:t>
            </w:r>
          </w:p>
          <w:p w14:paraId="72E73999" w14:textId="77777777" w:rsidR="00C81100" w:rsidRDefault="00C81100" w:rsidP="00AD2F6B">
            <w:pPr>
              <w:pStyle w:val="TAC"/>
            </w:pPr>
            <w:r>
              <w:t>NR_SDL_FR1_A</w:t>
            </w:r>
          </w:p>
        </w:tc>
        <w:tc>
          <w:tcPr>
            <w:tcW w:w="992" w:type="dxa"/>
            <w:tcBorders>
              <w:top w:val="single" w:sz="6" w:space="0" w:color="auto"/>
              <w:left w:val="single" w:sz="4" w:space="0" w:color="auto"/>
              <w:bottom w:val="single" w:sz="6" w:space="0" w:color="auto"/>
              <w:right w:val="single" w:sz="6" w:space="0" w:color="auto"/>
            </w:tcBorders>
            <w:hideMark/>
          </w:tcPr>
          <w:p w14:paraId="2B998EEE" w14:textId="77777777" w:rsidR="00C81100" w:rsidRDefault="00C81100" w:rsidP="00AD2F6B">
            <w:pPr>
              <w:pStyle w:val="TAC"/>
            </w:pPr>
            <w:r>
              <w:t>-121</w:t>
            </w:r>
          </w:p>
        </w:tc>
        <w:tc>
          <w:tcPr>
            <w:tcW w:w="846" w:type="dxa"/>
            <w:tcBorders>
              <w:top w:val="single" w:sz="6" w:space="0" w:color="auto"/>
              <w:left w:val="single" w:sz="4" w:space="0" w:color="auto"/>
              <w:bottom w:val="single" w:sz="6" w:space="0" w:color="auto"/>
              <w:right w:val="single" w:sz="6" w:space="0" w:color="auto"/>
            </w:tcBorders>
            <w:hideMark/>
          </w:tcPr>
          <w:p w14:paraId="3D0D0D1D" w14:textId="77777777" w:rsidR="00C81100" w:rsidRDefault="00C81100" w:rsidP="00AD2F6B">
            <w:pPr>
              <w:pStyle w:val="TAC"/>
            </w:pPr>
            <w:r>
              <w:t>-118</w:t>
            </w:r>
          </w:p>
        </w:tc>
        <w:tc>
          <w:tcPr>
            <w:tcW w:w="880" w:type="dxa"/>
            <w:tcBorders>
              <w:top w:val="single" w:sz="6" w:space="0" w:color="auto"/>
              <w:left w:val="single" w:sz="4" w:space="0" w:color="auto"/>
              <w:bottom w:val="single" w:sz="6" w:space="0" w:color="auto"/>
              <w:right w:val="single" w:sz="6" w:space="0" w:color="auto"/>
            </w:tcBorders>
          </w:tcPr>
          <w:p w14:paraId="38BCE468" w14:textId="77777777" w:rsidR="00C81100" w:rsidRDefault="00C81100" w:rsidP="00AD2F6B">
            <w:pPr>
              <w:pStyle w:val="TAC"/>
            </w:pPr>
            <w:r>
              <w:t>-115</w:t>
            </w:r>
          </w:p>
        </w:tc>
        <w:tc>
          <w:tcPr>
            <w:tcW w:w="1440" w:type="dxa"/>
            <w:tcBorders>
              <w:top w:val="single" w:sz="6" w:space="0" w:color="auto"/>
              <w:left w:val="single" w:sz="6" w:space="0" w:color="auto"/>
              <w:bottom w:val="single" w:sz="6" w:space="0" w:color="auto"/>
              <w:right w:val="single" w:sz="6" w:space="0" w:color="auto"/>
            </w:tcBorders>
            <w:hideMark/>
          </w:tcPr>
          <w:p w14:paraId="41933F93"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8FAC36B" w14:textId="77777777" w:rsidR="00C81100" w:rsidRDefault="00C81100" w:rsidP="00AD2F6B">
            <w:pPr>
              <w:pStyle w:val="TAC"/>
            </w:pPr>
            <w:r>
              <w:t>-50</w:t>
            </w:r>
          </w:p>
        </w:tc>
      </w:tr>
      <w:tr w:rsidR="00C81100" w14:paraId="259CABD3" w14:textId="77777777" w:rsidTr="00AD2F6B">
        <w:trPr>
          <w:jc w:val="center"/>
        </w:trPr>
        <w:tc>
          <w:tcPr>
            <w:tcW w:w="1026" w:type="dxa"/>
            <w:tcBorders>
              <w:top w:val="nil"/>
              <w:left w:val="single" w:sz="4" w:space="0" w:color="auto"/>
              <w:bottom w:val="nil"/>
              <w:right w:val="single" w:sz="6" w:space="0" w:color="auto"/>
            </w:tcBorders>
          </w:tcPr>
          <w:p w14:paraId="28D5DAC2"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2F360E95" w14:textId="77777777" w:rsidR="00C81100" w:rsidRDefault="00C81100" w:rsidP="00AD2F6B">
            <w:pPr>
              <w:pStyle w:val="TAC"/>
            </w:pPr>
          </w:p>
        </w:tc>
        <w:tc>
          <w:tcPr>
            <w:tcW w:w="920" w:type="dxa"/>
            <w:tcBorders>
              <w:top w:val="nil"/>
              <w:left w:val="single" w:sz="6" w:space="0" w:color="auto"/>
              <w:bottom w:val="nil"/>
              <w:right w:val="single" w:sz="6" w:space="0" w:color="auto"/>
            </w:tcBorders>
          </w:tcPr>
          <w:p w14:paraId="47DA3642"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19604A6F" w14:textId="77777777" w:rsidR="00C81100" w:rsidRDefault="00C81100" w:rsidP="00AD2F6B">
            <w:pPr>
              <w:pStyle w:val="TAC"/>
            </w:pPr>
            <w:r>
              <w:t>NR_FDD_FR1_B</w:t>
            </w:r>
          </w:p>
        </w:tc>
        <w:tc>
          <w:tcPr>
            <w:tcW w:w="992" w:type="dxa"/>
            <w:tcBorders>
              <w:top w:val="single" w:sz="6" w:space="0" w:color="auto"/>
              <w:left w:val="single" w:sz="4" w:space="0" w:color="auto"/>
              <w:bottom w:val="single" w:sz="6" w:space="0" w:color="auto"/>
              <w:right w:val="single" w:sz="6" w:space="0" w:color="auto"/>
            </w:tcBorders>
            <w:hideMark/>
          </w:tcPr>
          <w:p w14:paraId="1E14509B" w14:textId="77777777" w:rsidR="00C81100" w:rsidRDefault="00C81100" w:rsidP="00AD2F6B">
            <w:pPr>
              <w:pStyle w:val="TAC"/>
            </w:pPr>
            <w:r>
              <w:t>-120.5</w:t>
            </w:r>
          </w:p>
        </w:tc>
        <w:tc>
          <w:tcPr>
            <w:tcW w:w="846" w:type="dxa"/>
            <w:tcBorders>
              <w:top w:val="single" w:sz="6" w:space="0" w:color="auto"/>
              <w:left w:val="single" w:sz="4" w:space="0" w:color="auto"/>
              <w:bottom w:val="single" w:sz="6" w:space="0" w:color="auto"/>
              <w:right w:val="single" w:sz="6" w:space="0" w:color="auto"/>
            </w:tcBorders>
            <w:hideMark/>
          </w:tcPr>
          <w:p w14:paraId="0C64FA57" w14:textId="77777777" w:rsidR="00C81100" w:rsidRDefault="00C81100" w:rsidP="00AD2F6B">
            <w:pPr>
              <w:pStyle w:val="TAC"/>
              <w:rPr>
                <w:lang w:val="sv-SE"/>
              </w:rPr>
            </w:pPr>
            <w:r>
              <w:t>-117.5</w:t>
            </w:r>
          </w:p>
        </w:tc>
        <w:tc>
          <w:tcPr>
            <w:tcW w:w="880" w:type="dxa"/>
            <w:tcBorders>
              <w:top w:val="single" w:sz="6" w:space="0" w:color="auto"/>
              <w:left w:val="single" w:sz="4" w:space="0" w:color="auto"/>
              <w:bottom w:val="single" w:sz="6" w:space="0" w:color="auto"/>
              <w:right w:val="single" w:sz="6" w:space="0" w:color="auto"/>
            </w:tcBorders>
          </w:tcPr>
          <w:p w14:paraId="18E49FA5" w14:textId="77777777" w:rsidR="00C81100" w:rsidRDefault="00C81100" w:rsidP="00AD2F6B">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15CD2DB9"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7B5FCF32" w14:textId="77777777" w:rsidR="00C81100" w:rsidRDefault="00C81100" w:rsidP="00AD2F6B">
            <w:pPr>
              <w:pStyle w:val="TAC"/>
            </w:pPr>
            <w:r>
              <w:t>-50</w:t>
            </w:r>
          </w:p>
        </w:tc>
      </w:tr>
      <w:tr w:rsidR="00C81100" w14:paraId="57185669" w14:textId="77777777" w:rsidTr="00AD2F6B">
        <w:trPr>
          <w:jc w:val="center"/>
        </w:trPr>
        <w:tc>
          <w:tcPr>
            <w:tcW w:w="1026" w:type="dxa"/>
            <w:tcBorders>
              <w:top w:val="nil"/>
              <w:left w:val="single" w:sz="4" w:space="0" w:color="auto"/>
              <w:bottom w:val="nil"/>
              <w:right w:val="single" w:sz="6" w:space="0" w:color="auto"/>
            </w:tcBorders>
          </w:tcPr>
          <w:p w14:paraId="06787E78"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79879A4" w14:textId="77777777" w:rsidR="00C81100" w:rsidRDefault="00C81100" w:rsidP="00AD2F6B">
            <w:pPr>
              <w:pStyle w:val="TAC"/>
            </w:pPr>
          </w:p>
        </w:tc>
        <w:tc>
          <w:tcPr>
            <w:tcW w:w="920" w:type="dxa"/>
            <w:tcBorders>
              <w:top w:val="nil"/>
              <w:left w:val="single" w:sz="6" w:space="0" w:color="auto"/>
              <w:bottom w:val="nil"/>
              <w:right w:val="single" w:sz="6" w:space="0" w:color="auto"/>
            </w:tcBorders>
          </w:tcPr>
          <w:p w14:paraId="0F7F5D53"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242BFD57" w14:textId="77777777" w:rsidR="00C81100" w:rsidRDefault="00C81100" w:rsidP="00AD2F6B">
            <w:pPr>
              <w:pStyle w:val="TAC"/>
            </w:pPr>
            <w:r>
              <w:t>NR_TDD_FR1_C</w:t>
            </w:r>
          </w:p>
        </w:tc>
        <w:tc>
          <w:tcPr>
            <w:tcW w:w="992" w:type="dxa"/>
            <w:tcBorders>
              <w:top w:val="single" w:sz="6" w:space="0" w:color="auto"/>
              <w:left w:val="single" w:sz="4" w:space="0" w:color="auto"/>
              <w:bottom w:val="single" w:sz="6" w:space="0" w:color="auto"/>
              <w:right w:val="single" w:sz="6" w:space="0" w:color="auto"/>
            </w:tcBorders>
            <w:hideMark/>
          </w:tcPr>
          <w:p w14:paraId="46A2B152" w14:textId="77777777" w:rsidR="00C81100" w:rsidRDefault="00C81100" w:rsidP="00AD2F6B">
            <w:pPr>
              <w:pStyle w:val="TAC"/>
            </w:pPr>
            <w:r>
              <w:t>-120</w:t>
            </w:r>
          </w:p>
        </w:tc>
        <w:tc>
          <w:tcPr>
            <w:tcW w:w="846" w:type="dxa"/>
            <w:tcBorders>
              <w:top w:val="single" w:sz="6" w:space="0" w:color="auto"/>
              <w:left w:val="single" w:sz="4" w:space="0" w:color="auto"/>
              <w:bottom w:val="single" w:sz="6" w:space="0" w:color="auto"/>
              <w:right w:val="single" w:sz="6" w:space="0" w:color="auto"/>
            </w:tcBorders>
            <w:hideMark/>
          </w:tcPr>
          <w:p w14:paraId="6A7971E6" w14:textId="77777777" w:rsidR="00C81100" w:rsidRDefault="00C81100" w:rsidP="00AD2F6B">
            <w:pPr>
              <w:pStyle w:val="TAC"/>
              <w:rPr>
                <w:lang w:val="sv-SE"/>
              </w:rPr>
            </w:pPr>
            <w:r>
              <w:t>-117</w:t>
            </w:r>
          </w:p>
        </w:tc>
        <w:tc>
          <w:tcPr>
            <w:tcW w:w="880" w:type="dxa"/>
            <w:tcBorders>
              <w:top w:val="single" w:sz="6" w:space="0" w:color="auto"/>
              <w:left w:val="single" w:sz="4" w:space="0" w:color="auto"/>
              <w:bottom w:val="single" w:sz="6" w:space="0" w:color="auto"/>
              <w:right w:val="single" w:sz="6" w:space="0" w:color="auto"/>
            </w:tcBorders>
          </w:tcPr>
          <w:p w14:paraId="50137FF6" w14:textId="77777777" w:rsidR="00C81100" w:rsidRDefault="00C81100" w:rsidP="00AD2F6B">
            <w:pPr>
              <w:pStyle w:val="TAC"/>
              <w:rPr>
                <w:lang w:val="sv-SE"/>
              </w:rPr>
            </w:pPr>
            <w:r>
              <w:t>-114</w:t>
            </w:r>
          </w:p>
        </w:tc>
        <w:tc>
          <w:tcPr>
            <w:tcW w:w="1440" w:type="dxa"/>
            <w:tcBorders>
              <w:top w:val="single" w:sz="6" w:space="0" w:color="auto"/>
              <w:left w:val="single" w:sz="6" w:space="0" w:color="auto"/>
              <w:bottom w:val="single" w:sz="6" w:space="0" w:color="auto"/>
              <w:right w:val="single" w:sz="6" w:space="0" w:color="auto"/>
            </w:tcBorders>
            <w:hideMark/>
          </w:tcPr>
          <w:p w14:paraId="1720E06E"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34E8A31" w14:textId="77777777" w:rsidR="00C81100" w:rsidRDefault="00C81100" w:rsidP="00AD2F6B">
            <w:pPr>
              <w:pStyle w:val="TAC"/>
            </w:pPr>
            <w:r>
              <w:t>-50</w:t>
            </w:r>
          </w:p>
        </w:tc>
      </w:tr>
      <w:tr w:rsidR="00C81100" w14:paraId="3CCE2254" w14:textId="77777777" w:rsidTr="00AD2F6B">
        <w:trPr>
          <w:jc w:val="center"/>
        </w:trPr>
        <w:tc>
          <w:tcPr>
            <w:tcW w:w="1026" w:type="dxa"/>
            <w:tcBorders>
              <w:top w:val="nil"/>
              <w:left w:val="single" w:sz="4" w:space="0" w:color="auto"/>
              <w:bottom w:val="nil"/>
              <w:right w:val="single" w:sz="6" w:space="0" w:color="auto"/>
            </w:tcBorders>
            <w:hideMark/>
          </w:tcPr>
          <w:p w14:paraId="5BB7E777" w14:textId="77777777" w:rsidR="00C81100" w:rsidRDefault="00C81100" w:rsidP="00AD2F6B">
            <w:pPr>
              <w:pStyle w:val="TAC"/>
            </w:pPr>
            <w:r>
              <w:rPr>
                <w:rFonts w:cs="Arial"/>
              </w:rPr>
              <w:t>±</w:t>
            </w:r>
            <w:r>
              <w:t>4.5</w:t>
            </w:r>
          </w:p>
        </w:tc>
        <w:tc>
          <w:tcPr>
            <w:tcW w:w="1026" w:type="dxa"/>
            <w:tcBorders>
              <w:top w:val="nil"/>
              <w:left w:val="single" w:sz="6" w:space="0" w:color="auto"/>
              <w:bottom w:val="nil"/>
              <w:right w:val="single" w:sz="6" w:space="0" w:color="auto"/>
            </w:tcBorders>
            <w:hideMark/>
          </w:tcPr>
          <w:p w14:paraId="39379A98" w14:textId="77777777" w:rsidR="00C81100" w:rsidRDefault="00C81100" w:rsidP="00AD2F6B">
            <w:pPr>
              <w:pStyle w:val="TAC"/>
            </w:pPr>
            <w:r>
              <w:rPr>
                <w:rFonts w:cs="Arial"/>
              </w:rPr>
              <w:t>±</w:t>
            </w:r>
            <w:r>
              <w:t>5.5</w:t>
            </w:r>
          </w:p>
        </w:tc>
        <w:tc>
          <w:tcPr>
            <w:tcW w:w="920" w:type="dxa"/>
            <w:tcBorders>
              <w:top w:val="nil"/>
              <w:left w:val="single" w:sz="6" w:space="0" w:color="auto"/>
              <w:bottom w:val="nil"/>
              <w:right w:val="single" w:sz="6" w:space="0" w:color="auto"/>
            </w:tcBorders>
            <w:hideMark/>
          </w:tcPr>
          <w:p w14:paraId="2532954F" w14:textId="77777777" w:rsidR="00C81100" w:rsidRDefault="00C81100" w:rsidP="00AD2F6B">
            <w:pPr>
              <w:pStyle w:val="TAC"/>
            </w:pPr>
            <w:r>
              <w:sym w:font="Symbol" w:char="F0B3"/>
            </w:r>
            <w:r>
              <w:t>-3</w:t>
            </w:r>
          </w:p>
        </w:tc>
        <w:tc>
          <w:tcPr>
            <w:tcW w:w="1843" w:type="dxa"/>
            <w:tcBorders>
              <w:top w:val="single" w:sz="6" w:space="0" w:color="auto"/>
              <w:left w:val="single" w:sz="6" w:space="0" w:color="auto"/>
              <w:bottom w:val="single" w:sz="6" w:space="0" w:color="auto"/>
              <w:right w:val="single" w:sz="4" w:space="0" w:color="auto"/>
            </w:tcBorders>
            <w:hideMark/>
          </w:tcPr>
          <w:p w14:paraId="2096B43E" w14:textId="77777777" w:rsidR="00C81100" w:rsidRDefault="00C81100" w:rsidP="00AD2F6B">
            <w:pPr>
              <w:pStyle w:val="TAC"/>
              <w:rPr>
                <w:lang w:val="sv-SE"/>
              </w:rPr>
            </w:pPr>
            <w:r>
              <w:rPr>
                <w:lang w:val="sv-SE"/>
              </w:rPr>
              <w:t>NR_FDD_FR1_D, NR_TDD_FR1_D</w:t>
            </w:r>
          </w:p>
        </w:tc>
        <w:tc>
          <w:tcPr>
            <w:tcW w:w="992" w:type="dxa"/>
            <w:tcBorders>
              <w:top w:val="single" w:sz="6" w:space="0" w:color="auto"/>
              <w:left w:val="single" w:sz="4" w:space="0" w:color="auto"/>
              <w:bottom w:val="single" w:sz="6" w:space="0" w:color="auto"/>
              <w:right w:val="single" w:sz="6" w:space="0" w:color="auto"/>
            </w:tcBorders>
            <w:hideMark/>
          </w:tcPr>
          <w:p w14:paraId="508D7F5F" w14:textId="77777777" w:rsidR="00C81100" w:rsidRDefault="00C81100" w:rsidP="00AD2F6B">
            <w:pPr>
              <w:pStyle w:val="TAC"/>
            </w:pPr>
            <w:r>
              <w:t>-119.5</w:t>
            </w:r>
          </w:p>
        </w:tc>
        <w:tc>
          <w:tcPr>
            <w:tcW w:w="846" w:type="dxa"/>
            <w:tcBorders>
              <w:top w:val="single" w:sz="6" w:space="0" w:color="auto"/>
              <w:left w:val="single" w:sz="4" w:space="0" w:color="auto"/>
              <w:bottom w:val="single" w:sz="6" w:space="0" w:color="auto"/>
              <w:right w:val="single" w:sz="6" w:space="0" w:color="auto"/>
            </w:tcBorders>
            <w:hideMark/>
          </w:tcPr>
          <w:p w14:paraId="5F5C38F9" w14:textId="77777777" w:rsidR="00C81100" w:rsidRDefault="00C81100" w:rsidP="00AD2F6B">
            <w:pPr>
              <w:pStyle w:val="TAC"/>
            </w:pPr>
            <w:r>
              <w:t>-116.5</w:t>
            </w:r>
          </w:p>
        </w:tc>
        <w:tc>
          <w:tcPr>
            <w:tcW w:w="880" w:type="dxa"/>
            <w:tcBorders>
              <w:top w:val="single" w:sz="6" w:space="0" w:color="auto"/>
              <w:left w:val="single" w:sz="4" w:space="0" w:color="auto"/>
              <w:bottom w:val="single" w:sz="6" w:space="0" w:color="auto"/>
              <w:right w:val="single" w:sz="6" w:space="0" w:color="auto"/>
            </w:tcBorders>
          </w:tcPr>
          <w:p w14:paraId="7002A403" w14:textId="77777777" w:rsidR="00C81100" w:rsidRDefault="00C81100" w:rsidP="00AD2F6B">
            <w:pPr>
              <w:pStyle w:val="TAC"/>
            </w:pPr>
            <w:r>
              <w:t>-113.5</w:t>
            </w:r>
          </w:p>
        </w:tc>
        <w:tc>
          <w:tcPr>
            <w:tcW w:w="1440" w:type="dxa"/>
            <w:tcBorders>
              <w:top w:val="single" w:sz="6" w:space="0" w:color="auto"/>
              <w:left w:val="single" w:sz="6" w:space="0" w:color="auto"/>
              <w:bottom w:val="single" w:sz="6" w:space="0" w:color="auto"/>
              <w:right w:val="single" w:sz="6" w:space="0" w:color="auto"/>
            </w:tcBorders>
            <w:hideMark/>
          </w:tcPr>
          <w:p w14:paraId="305AF516"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2C791958" w14:textId="77777777" w:rsidR="00C81100" w:rsidRDefault="00C81100" w:rsidP="00AD2F6B">
            <w:pPr>
              <w:pStyle w:val="TAC"/>
            </w:pPr>
            <w:r>
              <w:t>-50</w:t>
            </w:r>
          </w:p>
        </w:tc>
      </w:tr>
      <w:tr w:rsidR="00C81100" w14:paraId="6AC1C206" w14:textId="77777777" w:rsidTr="00AD2F6B">
        <w:trPr>
          <w:jc w:val="center"/>
        </w:trPr>
        <w:tc>
          <w:tcPr>
            <w:tcW w:w="1026" w:type="dxa"/>
            <w:tcBorders>
              <w:top w:val="nil"/>
              <w:left w:val="single" w:sz="4" w:space="0" w:color="auto"/>
              <w:bottom w:val="nil"/>
              <w:right w:val="single" w:sz="6" w:space="0" w:color="auto"/>
            </w:tcBorders>
          </w:tcPr>
          <w:p w14:paraId="4B07D6CB"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06C80144" w14:textId="77777777" w:rsidR="00C81100" w:rsidRDefault="00C81100" w:rsidP="00AD2F6B">
            <w:pPr>
              <w:pStyle w:val="TAC"/>
            </w:pPr>
          </w:p>
        </w:tc>
        <w:tc>
          <w:tcPr>
            <w:tcW w:w="920" w:type="dxa"/>
            <w:tcBorders>
              <w:top w:val="nil"/>
              <w:left w:val="single" w:sz="6" w:space="0" w:color="auto"/>
              <w:bottom w:val="nil"/>
              <w:right w:val="single" w:sz="6" w:space="0" w:color="auto"/>
            </w:tcBorders>
          </w:tcPr>
          <w:p w14:paraId="41E5472C"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13E8490A" w14:textId="77777777" w:rsidR="00C81100" w:rsidRDefault="00C81100" w:rsidP="00AD2F6B">
            <w:pPr>
              <w:pStyle w:val="TAC"/>
              <w:rPr>
                <w:lang w:val="sv-SE"/>
              </w:rPr>
            </w:pPr>
            <w:r>
              <w:rPr>
                <w:lang w:val="sv-SE"/>
              </w:rPr>
              <w:t>NR_FDD_FR1_E, NR_TDD_FR1_E</w:t>
            </w:r>
          </w:p>
        </w:tc>
        <w:tc>
          <w:tcPr>
            <w:tcW w:w="992" w:type="dxa"/>
            <w:tcBorders>
              <w:top w:val="single" w:sz="6" w:space="0" w:color="auto"/>
              <w:left w:val="single" w:sz="4" w:space="0" w:color="auto"/>
              <w:bottom w:val="single" w:sz="6" w:space="0" w:color="auto"/>
              <w:right w:val="single" w:sz="6" w:space="0" w:color="auto"/>
            </w:tcBorders>
            <w:hideMark/>
          </w:tcPr>
          <w:p w14:paraId="5146C73E" w14:textId="77777777" w:rsidR="00C81100" w:rsidRDefault="00C81100" w:rsidP="00AD2F6B">
            <w:pPr>
              <w:pStyle w:val="TAC"/>
            </w:pPr>
            <w:r>
              <w:t>-119</w:t>
            </w:r>
          </w:p>
        </w:tc>
        <w:tc>
          <w:tcPr>
            <w:tcW w:w="846" w:type="dxa"/>
            <w:tcBorders>
              <w:top w:val="single" w:sz="6" w:space="0" w:color="auto"/>
              <w:left w:val="single" w:sz="4" w:space="0" w:color="auto"/>
              <w:bottom w:val="single" w:sz="6" w:space="0" w:color="auto"/>
              <w:right w:val="single" w:sz="6" w:space="0" w:color="auto"/>
            </w:tcBorders>
            <w:hideMark/>
          </w:tcPr>
          <w:p w14:paraId="235681B9" w14:textId="77777777" w:rsidR="00C81100" w:rsidRDefault="00C81100" w:rsidP="00AD2F6B">
            <w:pPr>
              <w:pStyle w:val="TAC"/>
              <w:rPr>
                <w:lang w:val="sv-SE"/>
              </w:rPr>
            </w:pPr>
            <w:r>
              <w:t>-116</w:t>
            </w:r>
          </w:p>
        </w:tc>
        <w:tc>
          <w:tcPr>
            <w:tcW w:w="880" w:type="dxa"/>
            <w:tcBorders>
              <w:top w:val="single" w:sz="6" w:space="0" w:color="auto"/>
              <w:left w:val="single" w:sz="4" w:space="0" w:color="auto"/>
              <w:bottom w:val="single" w:sz="6" w:space="0" w:color="auto"/>
              <w:right w:val="single" w:sz="6" w:space="0" w:color="auto"/>
            </w:tcBorders>
          </w:tcPr>
          <w:p w14:paraId="48BB54C6" w14:textId="77777777" w:rsidR="00C81100" w:rsidRDefault="00C81100" w:rsidP="00AD2F6B">
            <w:pPr>
              <w:pStyle w:val="TAC"/>
              <w:rPr>
                <w:lang w:val="sv-SE"/>
              </w:rPr>
            </w:pPr>
            <w:r>
              <w:t>-113</w:t>
            </w:r>
          </w:p>
        </w:tc>
        <w:tc>
          <w:tcPr>
            <w:tcW w:w="1440" w:type="dxa"/>
            <w:tcBorders>
              <w:top w:val="single" w:sz="6" w:space="0" w:color="auto"/>
              <w:left w:val="single" w:sz="6" w:space="0" w:color="auto"/>
              <w:bottom w:val="single" w:sz="6" w:space="0" w:color="auto"/>
              <w:right w:val="single" w:sz="6" w:space="0" w:color="auto"/>
            </w:tcBorders>
            <w:hideMark/>
          </w:tcPr>
          <w:p w14:paraId="55AFFD1B"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B8DD218" w14:textId="77777777" w:rsidR="00C81100" w:rsidRDefault="00C81100" w:rsidP="00AD2F6B">
            <w:pPr>
              <w:pStyle w:val="TAC"/>
            </w:pPr>
            <w:r>
              <w:t>-50</w:t>
            </w:r>
          </w:p>
        </w:tc>
      </w:tr>
      <w:tr w:rsidR="00C81100" w14:paraId="67A1BFEF" w14:textId="77777777" w:rsidTr="00AD2F6B">
        <w:trPr>
          <w:jc w:val="center"/>
        </w:trPr>
        <w:tc>
          <w:tcPr>
            <w:tcW w:w="1026" w:type="dxa"/>
            <w:tcBorders>
              <w:top w:val="nil"/>
              <w:left w:val="single" w:sz="4" w:space="0" w:color="auto"/>
              <w:bottom w:val="nil"/>
              <w:right w:val="single" w:sz="6" w:space="0" w:color="auto"/>
            </w:tcBorders>
          </w:tcPr>
          <w:p w14:paraId="263D622F"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1BEC5E2C" w14:textId="77777777" w:rsidR="00C81100" w:rsidRDefault="00C81100" w:rsidP="00AD2F6B">
            <w:pPr>
              <w:pStyle w:val="TAC"/>
            </w:pPr>
          </w:p>
        </w:tc>
        <w:tc>
          <w:tcPr>
            <w:tcW w:w="920" w:type="dxa"/>
            <w:tcBorders>
              <w:top w:val="nil"/>
              <w:left w:val="single" w:sz="6" w:space="0" w:color="auto"/>
              <w:bottom w:val="nil"/>
              <w:right w:val="single" w:sz="6" w:space="0" w:color="auto"/>
            </w:tcBorders>
          </w:tcPr>
          <w:p w14:paraId="55E58132"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609A3261" w14:textId="77777777" w:rsidR="00C81100" w:rsidRDefault="00C81100" w:rsidP="00AD2F6B">
            <w:pPr>
              <w:pStyle w:val="TAC"/>
              <w:rPr>
                <w:lang w:val="sv-SE"/>
              </w:rPr>
            </w:pPr>
            <w:r>
              <w:rPr>
                <w:lang w:eastAsia="zh-CN"/>
              </w:rPr>
              <w:t>NR_FDD_FR1_F</w:t>
            </w:r>
          </w:p>
        </w:tc>
        <w:tc>
          <w:tcPr>
            <w:tcW w:w="992" w:type="dxa"/>
            <w:tcBorders>
              <w:top w:val="single" w:sz="6" w:space="0" w:color="auto"/>
              <w:left w:val="single" w:sz="4" w:space="0" w:color="auto"/>
              <w:bottom w:val="single" w:sz="6" w:space="0" w:color="auto"/>
              <w:right w:val="single" w:sz="6" w:space="0" w:color="auto"/>
            </w:tcBorders>
            <w:hideMark/>
          </w:tcPr>
          <w:p w14:paraId="168B9D90" w14:textId="77777777" w:rsidR="00C81100" w:rsidRDefault="00C81100" w:rsidP="00AD2F6B">
            <w:pPr>
              <w:pStyle w:val="TAC"/>
            </w:pPr>
            <w:r>
              <w:t>-118.5</w:t>
            </w:r>
          </w:p>
        </w:tc>
        <w:tc>
          <w:tcPr>
            <w:tcW w:w="846" w:type="dxa"/>
            <w:tcBorders>
              <w:top w:val="single" w:sz="6" w:space="0" w:color="auto"/>
              <w:left w:val="single" w:sz="4" w:space="0" w:color="auto"/>
              <w:bottom w:val="single" w:sz="6" w:space="0" w:color="auto"/>
              <w:right w:val="single" w:sz="6" w:space="0" w:color="auto"/>
            </w:tcBorders>
            <w:hideMark/>
          </w:tcPr>
          <w:p w14:paraId="05286D7D" w14:textId="77777777" w:rsidR="00C81100" w:rsidRDefault="00C81100" w:rsidP="00AD2F6B">
            <w:pPr>
              <w:pStyle w:val="TAC"/>
            </w:pPr>
            <w:r>
              <w:rPr>
                <w:rFonts w:cs="Arial"/>
              </w:rPr>
              <w:t>-115.5</w:t>
            </w:r>
          </w:p>
        </w:tc>
        <w:tc>
          <w:tcPr>
            <w:tcW w:w="880" w:type="dxa"/>
            <w:tcBorders>
              <w:top w:val="single" w:sz="6" w:space="0" w:color="auto"/>
              <w:left w:val="single" w:sz="4" w:space="0" w:color="auto"/>
              <w:bottom w:val="single" w:sz="6" w:space="0" w:color="auto"/>
              <w:right w:val="single" w:sz="6" w:space="0" w:color="auto"/>
            </w:tcBorders>
          </w:tcPr>
          <w:p w14:paraId="7AFD1585" w14:textId="77777777" w:rsidR="00C81100" w:rsidRDefault="00C81100" w:rsidP="00AD2F6B">
            <w:pPr>
              <w:pStyle w:val="TAC"/>
            </w:pPr>
            <w:r>
              <w:rPr>
                <w:rFonts w:cs="Arial"/>
              </w:rPr>
              <w:t>-112.5</w:t>
            </w:r>
          </w:p>
        </w:tc>
        <w:tc>
          <w:tcPr>
            <w:tcW w:w="1440" w:type="dxa"/>
            <w:tcBorders>
              <w:top w:val="single" w:sz="6" w:space="0" w:color="auto"/>
              <w:left w:val="single" w:sz="6" w:space="0" w:color="auto"/>
              <w:bottom w:val="single" w:sz="6" w:space="0" w:color="auto"/>
              <w:right w:val="single" w:sz="6" w:space="0" w:color="auto"/>
            </w:tcBorders>
            <w:hideMark/>
          </w:tcPr>
          <w:p w14:paraId="5A2F8999"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CBE9D34" w14:textId="77777777" w:rsidR="00C81100" w:rsidRDefault="00C81100" w:rsidP="00AD2F6B">
            <w:pPr>
              <w:pStyle w:val="TAC"/>
            </w:pPr>
            <w:r>
              <w:t>-50</w:t>
            </w:r>
          </w:p>
        </w:tc>
      </w:tr>
      <w:tr w:rsidR="00C81100" w14:paraId="275922FB" w14:textId="77777777" w:rsidTr="00AD2F6B">
        <w:trPr>
          <w:jc w:val="center"/>
        </w:trPr>
        <w:tc>
          <w:tcPr>
            <w:tcW w:w="1026" w:type="dxa"/>
            <w:tcBorders>
              <w:top w:val="nil"/>
              <w:left w:val="single" w:sz="4" w:space="0" w:color="auto"/>
              <w:bottom w:val="nil"/>
              <w:right w:val="single" w:sz="6" w:space="0" w:color="auto"/>
            </w:tcBorders>
          </w:tcPr>
          <w:p w14:paraId="434D3154"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036A46E0" w14:textId="77777777" w:rsidR="00C81100" w:rsidRDefault="00C81100" w:rsidP="00AD2F6B">
            <w:pPr>
              <w:pStyle w:val="TAC"/>
            </w:pPr>
          </w:p>
        </w:tc>
        <w:tc>
          <w:tcPr>
            <w:tcW w:w="920" w:type="dxa"/>
            <w:tcBorders>
              <w:top w:val="nil"/>
              <w:left w:val="single" w:sz="6" w:space="0" w:color="auto"/>
              <w:bottom w:val="nil"/>
              <w:right w:val="single" w:sz="6" w:space="0" w:color="auto"/>
            </w:tcBorders>
          </w:tcPr>
          <w:p w14:paraId="1F2DAD4F"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365E7070" w14:textId="77777777" w:rsidR="00C81100" w:rsidRDefault="00C81100" w:rsidP="00AD2F6B">
            <w:pPr>
              <w:pStyle w:val="TAC"/>
              <w:rPr>
                <w:lang w:eastAsia="zh-CN"/>
              </w:rPr>
            </w:pPr>
            <w:r>
              <w:rPr>
                <w:lang w:eastAsia="zh-CN"/>
              </w:rPr>
              <w:t>NR</w:t>
            </w:r>
            <w:r>
              <w:t>_</w:t>
            </w:r>
            <w:r>
              <w:rPr>
                <w:lang w:eastAsia="zh-CN"/>
              </w:rPr>
              <w:t>FDD_FR1_G</w:t>
            </w:r>
          </w:p>
        </w:tc>
        <w:tc>
          <w:tcPr>
            <w:tcW w:w="992" w:type="dxa"/>
            <w:tcBorders>
              <w:top w:val="single" w:sz="6" w:space="0" w:color="auto"/>
              <w:left w:val="single" w:sz="4" w:space="0" w:color="auto"/>
              <w:bottom w:val="single" w:sz="6" w:space="0" w:color="auto"/>
              <w:right w:val="single" w:sz="6" w:space="0" w:color="auto"/>
            </w:tcBorders>
            <w:hideMark/>
          </w:tcPr>
          <w:p w14:paraId="600C5021" w14:textId="77777777" w:rsidR="00C81100" w:rsidRDefault="00C81100" w:rsidP="00AD2F6B">
            <w:pPr>
              <w:pStyle w:val="TAC"/>
            </w:pPr>
            <w:r>
              <w:t>-118</w:t>
            </w:r>
          </w:p>
        </w:tc>
        <w:tc>
          <w:tcPr>
            <w:tcW w:w="851" w:type="dxa"/>
            <w:tcBorders>
              <w:top w:val="single" w:sz="6" w:space="0" w:color="auto"/>
              <w:left w:val="single" w:sz="4" w:space="0" w:color="auto"/>
              <w:bottom w:val="single" w:sz="6" w:space="0" w:color="auto"/>
              <w:right w:val="single" w:sz="6" w:space="0" w:color="auto"/>
            </w:tcBorders>
            <w:hideMark/>
          </w:tcPr>
          <w:p w14:paraId="536ADADA" w14:textId="77777777" w:rsidR="00C81100" w:rsidRDefault="00C81100" w:rsidP="00AD2F6B">
            <w:pPr>
              <w:pStyle w:val="TAC"/>
              <w:rPr>
                <w:rFonts w:cs="Arial"/>
                <w:lang w:val="sv-SE"/>
              </w:rPr>
            </w:pPr>
            <w:r>
              <w:rPr>
                <w:rFonts w:cs="Arial"/>
              </w:rPr>
              <w:t>-115</w:t>
            </w:r>
          </w:p>
        </w:tc>
        <w:tc>
          <w:tcPr>
            <w:tcW w:w="875" w:type="dxa"/>
            <w:tcBorders>
              <w:top w:val="single" w:sz="6" w:space="0" w:color="auto"/>
              <w:left w:val="single" w:sz="4" w:space="0" w:color="auto"/>
              <w:bottom w:val="single" w:sz="6" w:space="0" w:color="auto"/>
              <w:right w:val="single" w:sz="6" w:space="0" w:color="auto"/>
            </w:tcBorders>
          </w:tcPr>
          <w:p w14:paraId="455AC75E" w14:textId="77777777" w:rsidR="00C81100" w:rsidRDefault="00C81100" w:rsidP="00AD2F6B">
            <w:pPr>
              <w:pStyle w:val="TAC"/>
              <w:rPr>
                <w:rFonts w:cs="Arial"/>
                <w:lang w:val="sv-SE"/>
              </w:rPr>
            </w:pPr>
            <w:r>
              <w:rPr>
                <w:rFonts w:cs="Arial"/>
              </w:rPr>
              <w:t>-112</w:t>
            </w:r>
          </w:p>
        </w:tc>
        <w:tc>
          <w:tcPr>
            <w:tcW w:w="1440" w:type="dxa"/>
            <w:tcBorders>
              <w:top w:val="single" w:sz="6" w:space="0" w:color="auto"/>
              <w:left w:val="single" w:sz="6" w:space="0" w:color="auto"/>
              <w:bottom w:val="single" w:sz="6" w:space="0" w:color="auto"/>
              <w:right w:val="single" w:sz="6" w:space="0" w:color="auto"/>
            </w:tcBorders>
            <w:hideMark/>
          </w:tcPr>
          <w:p w14:paraId="469F49C0"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7DD141A" w14:textId="77777777" w:rsidR="00C81100" w:rsidRDefault="00C81100" w:rsidP="00AD2F6B">
            <w:pPr>
              <w:pStyle w:val="TAC"/>
            </w:pPr>
            <w:r>
              <w:t>-50</w:t>
            </w:r>
          </w:p>
        </w:tc>
      </w:tr>
      <w:tr w:rsidR="00C81100" w14:paraId="66740060" w14:textId="77777777" w:rsidTr="00AD2F6B">
        <w:trPr>
          <w:jc w:val="center"/>
        </w:trPr>
        <w:tc>
          <w:tcPr>
            <w:tcW w:w="1026" w:type="dxa"/>
            <w:tcBorders>
              <w:top w:val="nil"/>
              <w:left w:val="single" w:sz="4" w:space="0" w:color="auto"/>
              <w:bottom w:val="nil"/>
              <w:right w:val="single" w:sz="6" w:space="0" w:color="auto"/>
            </w:tcBorders>
          </w:tcPr>
          <w:p w14:paraId="219FC27D"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08F4FDF2" w14:textId="77777777" w:rsidR="00C81100" w:rsidRDefault="00C81100" w:rsidP="00AD2F6B">
            <w:pPr>
              <w:pStyle w:val="TAC"/>
            </w:pPr>
          </w:p>
        </w:tc>
        <w:tc>
          <w:tcPr>
            <w:tcW w:w="920" w:type="dxa"/>
            <w:tcBorders>
              <w:top w:val="nil"/>
              <w:left w:val="single" w:sz="6" w:space="0" w:color="auto"/>
              <w:bottom w:val="nil"/>
              <w:right w:val="single" w:sz="6" w:space="0" w:color="auto"/>
            </w:tcBorders>
          </w:tcPr>
          <w:p w14:paraId="39BED9CC" w14:textId="77777777" w:rsidR="00C81100" w:rsidRDefault="00C81100" w:rsidP="00AD2F6B">
            <w:pPr>
              <w:pStyle w:val="TAC"/>
            </w:pPr>
          </w:p>
        </w:tc>
        <w:tc>
          <w:tcPr>
            <w:tcW w:w="1843" w:type="dxa"/>
            <w:tcBorders>
              <w:top w:val="single" w:sz="6" w:space="0" w:color="auto"/>
              <w:left w:val="single" w:sz="6" w:space="0" w:color="auto"/>
              <w:bottom w:val="single" w:sz="6" w:space="0" w:color="auto"/>
              <w:right w:val="single" w:sz="4" w:space="0" w:color="auto"/>
            </w:tcBorders>
            <w:hideMark/>
          </w:tcPr>
          <w:p w14:paraId="69B63961" w14:textId="77777777" w:rsidR="00C81100" w:rsidRDefault="00C81100" w:rsidP="00AD2F6B">
            <w:pPr>
              <w:pStyle w:val="TAC"/>
              <w:rPr>
                <w:lang w:eastAsia="zh-CN"/>
              </w:rPr>
            </w:pPr>
            <w:r>
              <w:rPr>
                <w:lang w:eastAsia="zh-CN"/>
              </w:rPr>
              <w:t>NR</w:t>
            </w:r>
            <w:r>
              <w:t>_</w:t>
            </w:r>
            <w:r>
              <w:rPr>
                <w:lang w:eastAsia="zh-CN"/>
              </w:rPr>
              <w:t>FDD_FR1_H</w:t>
            </w:r>
          </w:p>
        </w:tc>
        <w:tc>
          <w:tcPr>
            <w:tcW w:w="992" w:type="dxa"/>
            <w:tcBorders>
              <w:top w:val="single" w:sz="6" w:space="0" w:color="auto"/>
              <w:left w:val="single" w:sz="4" w:space="0" w:color="auto"/>
              <w:bottom w:val="single" w:sz="6" w:space="0" w:color="auto"/>
              <w:right w:val="single" w:sz="6" w:space="0" w:color="auto"/>
            </w:tcBorders>
            <w:hideMark/>
          </w:tcPr>
          <w:p w14:paraId="0EC42904" w14:textId="77777777" w:rsidR="00C81100" w:rsidRDefault="00C81100" w:rsidP="00AD2F6B">
            <w:pPr>
              <w:pStyle w:val="TAC"/>
            </w:pPr>
            <w:r>
              <w:t>-117.5</w:t>
            </w:r>
          </w:p>
        </w:tc>
        <w:tc>
          <w:tcPr>
            <w:tcW w:w="851" w:type="dxa"/>
            <w:tcBorders>
              <w:top w:val="single" w:sz="6" w:space="0" w:color="auto"/>
              <w:left w:val="single" w:sz="4" w:space="0" w:color="auto"/>
              <w:bottom w:val="single" w:sz="6" w:space="0" w:color="auto"/>
              <w:right w:val="single" w:sz="6" w:space="0" w:color="auto"/>
            </w:tcBorders>
            <w:hideMark/>
          </w:tcPr>
          <w:p w14:paraId="16662BB6" w14:textId="77777777" w:rsidR="00C81100" w:rsidRDefault="00C81100" w:rsidP="00AD2F6B">
            <w:pPr>
              <w:pStyle w:val="TAC"/>
              <w:rPr>
                <w:rFonts w:cs="Arial"/>
                <w:lang w:val="sv-SE"/>
              </w:rPr>
            </w:pPr>
            <w:r>
              <w:rPr>
                <w:rFonts w:cs="Arial"/>
              </w:rPr>
              <w:t>-114.5</w:t>
            </w:r>
          </w:p>
        </w:tc>
        <w:tc>
          <w:tcPr>
            <w:tcW w:w="875" w:type="dxa"/>
            <w:tcBorders>
              <w:top w:val="single" w:sz="6" w:space="0" w:color="auto"/>
              <w:left w:val="single" w:sz="4" w:space="0" w:color="auto"/>
              <w:bottom w:val="single" w:sz="6" w:space="0" w:color="auto"/>
              <w:right w:val="single" w:sz="6" w:space="0" w:color="auto"/>
            </w:tcBorders>
          </w:tcPr>
          <w:p w14:paraId="68A7B3DD" w14:textId="77777777" w:rsidR="00C81100" w:rsidRDefault="00C81100" w:rsidP="00AD2F6B">
            <w:pPr>
              <w:pStyle w:val="TAC"/>
              <w:rPr>
                <w:rFonts w:cs="Arial"/>
                <w:lang w:val="sv-SE"/>
              </w:rPr>
            </w:pPr>
            <w:r>
              <w:rPr>
                <w:rFonts w:cs="Arial"/>
              </w:rPr>
              <w:t>-111.5</w:t>
            </w:r>
          </w:p>
        </w:tc>
        <w:tc>
          <w:tcPr>
            <w:tcW w:w="1440" w:type="dxa"/>
            <w:tcBorders>
              <w:top w:val="single" w:sz="6" w:space="0" w:color="auto"/>
              <w:left w:val="single" w:sz="6" w:space="0" w:color="auto"/>
              <w:bottom w:val="single" w:sz="6" w:space="0" w:color="auto"/>
              <w:right w:val="single" w:sz="6" w:space="0" w:color="auto"/>
            </w:tcBorders>
            <w:hideMark/>
          </w:tcPr>
          <w:p w14:paraId="04AC21D2"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A9A246B" w14:textId="77777777" w:rsidR="00C81100" w:rsidRDefault="00C81100" w:rsidP="00AD2F6B">
            <w:pPr>
              <w:pStyle w:val="TAC"/>
            </w:pPr>
            <w:r>
              <w:t>-50</w:t>
            </w:r>
          </w:p>
        </w:tc>
      </w:tr>
      <w:tr w:rsidR="00C81100" w14:paraId="78A5A74F" w14:textId="77777777" w:rsidTr="00AD2F6B">
        <w:trPr>
          <w:jc w:val="center"/>
        </w:trPr>
        <w:tc>
          <w:tcPr>
            <w:tcW w:w="10413" w:type="dxa"/>
            <w:gridSpan w:val="9"/>
            <w:tcBorders>
              <w:top w:val="single" w:sz="6" w:space="0" w:color="auto"/>
              <w:left w:val="single" w:sz="4" w:space="0" w:color="auto"/>
              <w:bottom w:val="single" w:sz="4" w:space="0" w:color="auto"/>
              <w:right w:val="single" w:sz="4" w:space="0" w:color="auto"/>
            </w:tcBorders>
            <w:vAlign w:val="center"/>
            <w:hideMark/>
          </w:tcPr>
          <w:p w14:paraId="187466E1" w14:textId="77777777" w:rsidR="006055B0" w:rsidRDefault="006055B0" w:rsidP="006055B0">
            <w:pPr>
              <w:pStyle w:val="TAN"/>
            </w:pPr>
            <w:r>
              <w:t>NOTE 1:</w:t>
            </w:r>
            <w:r>
              <w:tab/>
              <w:t>Io is assumed to have constant EPRE across the bandwidth.</w:t>
            </w:r>
          </w:p>
          <w:p w14:paraId="449B7A0A" w14:textId="77777777" w:rsidR="006055B0" w:rsidRDefault="006055B0" w:rsidP="006055B0">
            <w:pPr>
              <w:pStyle w:val="TAN"/>
            </w:pPr>
            <w:r>
              <w:t>NOTE 2:</w:t>
            </w:r>
            <w:r>
              <w:tab/>
              <w:t>NR operating band groups in FR1 are as defined in clause 3.5.2.</w:t>
            </w:r>
          </w:p>
          <w:p w14:paraId="154AFBAC" w14:textId="1BA5A33B" w:rsidR="00C81100" w:rsidRDefault="006055B0" w:rsidP="006055B0">
            <w:pPr>
              <w:pStyle w:val="TAN"/>
            </w:pPr>
            <w:r w:rsidRPr="009C5807">
              <w:rPr>
                <w:rFonts w:cs="Arial"/>
              </w:rPr>
              <w:t xml:space="preserve">NOTE </w:t>
            </w:r>
            <w:r>
              <w:rPr>
                <w:rFonts w:cs="Arial"/>
              </w:rPr>
              <w:t>3</w:t>
            </w:r>
            <w:r w:rsidRPr="009C5807">
              <w:rPr>
                <w:rFonts w:cs="Arial"/>
              </w:rPr>
              <w:t>:</w:t>
            </w:r>
            <w:r w:rsidRPr="009C5807">
              <w:rPr>
                <w:rFonts w:cs="Arial"/>
              </w:rPr>
              <w:tab/>
              <w:t xml:space="preserve">The requirements apply for </w:t>
            </w:r>
            <w:r w:rsidRPr="009D3FB7">
              <w:rPr>
                <w:rFonts w:cs="Arial"/>
              </w:rPr>
              <w:t>CSI-RS CMR</w:t>
            </w:r>
            <w:r>
              <w:rPr>
                <w:rFonts w:cs="Arial"/>
              </w:rPr>
              <w:t xml:space="preserve"> </w:t>
            </w:r>
            <w:r w:rsidRPr="009C5807">
              <w:rPr>
                <w:rFonts w:cs="Arial"/>
              </w:rPr>
              <w:t xml:space="preserve">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061079E3" w14:textId="77777777" w:rsidR="00C81100" w:rsidRDefault="00C81100" w:rsidP="003852A9"/>
    <w:p w14:paraId="4120BA6E" w14:textId="77777777" w:rsidR="00C81100" w:rsidRDefault="00C81100" w:rsidP="0039227E">
      <w:pPr>
        <w:pStyle w:val="Heading5"/>
      </w:pPr>
      <w:r>
        <w:t>10.1.27.3.2</w:t>
      </w:r>
      <w:r>
        <w:tab/>
        <w:t>Relative Accuracy</w:t>
      </w:r>
    </w:p>
    <w:p w14:paraId="1F9CD3F2" w14:textId="77777777" w:rsidR="00C81100" w:rsidRDefault="00C81100" w:rsidP="00C81100">
      <w:pPr>
        <w:rPr>
          <w:rFonts w:cs="v4.2.0"/>
          <w:i/>
        </w:rPr>
      </w:pPr>
      <w:r>
        <w:rPr>
          <w:rFonts w:cs="v4.2.0"/>
        </w:rPr>
        <w:t xml:space="preserve">The relative accuracy of </w:t>
      </w:r>
      <w:r>
        <w:rPr>
          <w:rFonts w:cs="v4.2.0"/>
          <w:lang w:eastAsia="zh-CN"/>
        </w:rPr>
        <w:t>CSI-RS based L1-</w:t>
      </w:r>
      <w:r>
        <w:rPr>
          <w:rFonts w:cs="v4.2.0"/>
        </w:rPr>
        <w:t xml:space="preserve">SINR is defined as the </w:t>
      </w:r>
      <w:r>
        <w:rPr>
          <w:rFonts w:cs="v4.2.0"/>
          <w:lang w:eastAsia="zh-CN"/>
        </w:rPr>
        <w:t>L1-</w:t>
      </w:r>
      <w:r>
        <w:rPr>
          <w:rFonts w:cs="v4.2.0"/>
        </w:rPr>
        <w:t xml:space="preserve">SINR measured from one CSI-RS configured as CMR and one IMR configured as IMR compared to the </w:t>
      </w:r>
      <w:r>
        <w:rPr>
          <w:lang w:val="en-US"/>
        </w:rPr>
        <w:t>largest measured value of L1-SINR among all CSI-RS and IMR resources of the serving cell</w:t>
      </w:r>
      <w:r>
        <w:rPr>
          <w:rFonts w:cs="v4.2.0"/>
        </w:rPr>
        <w:t>.</w:t>
      </w:r>
    </w:p>
    <w:p w14:paraId="5E7BB76A" w14:textId="77777777" w:rsidR="00C81100" w:rsidRDefault="00C81100" w:rsidP="00C81100">
      <w:pPr>
        <w:rPr>
          <w:rFonts w:cs="v4.2.0"/>
        </w:rPr>
      </w:pPr>
      <w:r>
        <w:rPr>
          <w:rFonts w:cs="v4.2.0"/>
        </w:rPr>
        <w:t>The accuracy requirements are defined in Table 10.1.27.3.2-1 for CSI-RS based CMR and NZP-IMR and in Table 10.1.27</w:t>
      </w:r>
      <w:r w:rsidRPr="00313499">
        <w:rPr>
          <w:rFonts w:cs="v4.2.0"/>
        </w:rPr>
        <w:t>.</w:t>
      </w:r>
      <w:r>
        <w:rPr>
          <w:rFonts w:cs="v4.2.0"/>
        </w:rPr>
        <w:t>3</w:t>
      </w:r>
      <w:r w:rsidRPr="00313499">
        <w:rPr>
          <w:rFonts w:cs="v4.2.0"/>
        </w:rPr>
        <w:t>.</w:t>
      </w:r>
      <w:r>
        <w:rPr>
          <w:rFonts w:cs="v4.2.0"/>
        </w:rPr>
        <w:t>2</w:t>
      </w:r>
      <w:r w:rsidRPr="00313499">
        <w:rPr>
          <w:rFonts w:cs="v4.2.0"/>
        </w:rPr>
        <w:t>-</w:t>
      </w:r>
      <w:r>
        <w:rPr>
          <w:rFonts w:cs="v4.2.0"/>
        </w:rPr>
        <w:t>2 for CSI-RS based CMR and ZP-IMR.</w:t>
      </w:r>
    </w:p>
    <w:p w14:paraId="4B3848CE" w14:textId="77777777" w:rsidR="00C81100" w:rsidRDefault="00C81100" w:rsidP="00C81100">
      <w:pPr>
        <w:rPr>
          <w:rFonts w:cs="v4.2.0"/>
        </w:rPr>
      </w:pPr>
      <w:r>
        <w:rPr>
          <w:rFonts w:cs="v4.2.0"/>
        </w:rPr>
        <w:t>The accuracy requirements in Tables 10.1.27.3.2-1 and 10.1.27.3.2-2 are valid under the following conditions:</w:t>
      </w:r>
    </w:p>
    <w:p w14:paraId="494DE4DF" w14:textId="77777777" w:rsidR="00C81100" w:rsidRDefault="00C81100" w:rsidP="00C81100">
      <w:pPr>
        <w:pStyle w:val="B10"/>
      </w:pPr>
      <w:r>
        <w:t>-</w:t>
      </w:r>
      <w:r>
        <w:tab/>
        <w:t>Conditions defined in clause 7.3 of TS 38.101-1 [18] for reference sensitivity are fulfilled.</w:t>
      </w:r>
    </w:p>
    <w:p w14:paraId="4C521747" w14:textId="60281D4B" w:rsidR="00C81100" w:rsidRDefault="00C81100" w:rsidP="00C81100">
      <w:pPr>
        <w:pStyle w:val="B10"/>
        <w:rPr>
          <w:lang w:eastAsia="zh-CN"/>
        </w:rPr>
      </w:pPr>
      <w:r w:rsidRPr="009C5807">
        <w:t>-</w:t>
      </w:r>
      <w:r w:rsidRPr="009C5807">
        <w:rPr>
          <w:rFonts w:ascii="Arial" w:hAnsi="Arial"/>
          <w:sz w:val="28"/>
          <w:lang w:val="en-US"/>
        </w:rPr>
        <w:tab/>
      </w:r>
      <w:r w:rsidRPr="009C5807">
        <w:t>Conditions for L1-</w:t>
      </w:r>
      <w:r>
        <w:t>SINR</w:t>
      </w:r>
      <w:r w:rsidRPr="009C5807">
        <w:t xml:space="preserve"> measurements are fulfilled according to Annex B.2</w:t>
      </w:r>
      <w:r w:rsidR="005A3DF0">
        <w:t>.8.3</w:t>
      </w:r>
      <w:r w:rsidRPr="009C5807">
        <w:t xml:space="preserve"> for a corresponding Band </w:t>
      </w:r>
      <w:r w:rsidRPr="009C5807">
        <w:rPr>
          <w:rFonts w:cs="v4.2.0"/>
          <w:lang w:eastAsia="ko-KR"/>
        </w:rPr>
        <w:t>for each relevant CSI-RS</w:t>
      </w:r>
      <w:r>
        <w:rPr>
          <w:rFonts w:cs="v4.2.0"/>
          <w:lang w:eastAsia="ko-KR"/>
        </w:rPr>
        <w:t xml:space="preserve"> based CMR and IMR</w:t>
      </w:r>
      <w:r w:rsidRPr="009C5807">
        <w:rPr>
          <w:lang w:eastAsia="zh-CN"/>
        </w:rPr>
        <w:t>.</w:t>
      </w:r>
    </w:p>
    <w:p w14:paraId="0453D796" w14:textId="77777777" w:rsidR="00C81100" w:rsidRDefault="00C81100" w:rsidP="00C81100">
      <w:pPr>
        <w:pStyle w:val="B10"/>
        <w:rPr>
          <w:lang w:eastAsia="zh-CN"/>
        </w:rPr>
      </w:pPr>
      <w:r>
        <w:rPr>
          <w:lang w:eastAsia="zh-CN"/>
        </w:rPr>
        <w:t>-</w:t>
      </w:r>
      <w:r>
        <w:rPr>
          <w:lang w:eastAsia="zh-CN"/>
        </w:rPr>
        <w:tab/>
        <w:t>The bandwidth of CSI-RS as CMR, NZP-IMR and ZP-IMR is 48 PRBs and the density is 3.</w:t>
      </w:r>
    </w:p>
    <w:p w14:paraId="1F825256" w14:textId="32CD9644" w:rsidR="00C81100" w:rsidRDefault="00C81100" w:rsidP="00C81100">
      <w:pPr>
        <w:pStyle w:val="B10"/>
        <w:rPr>
          <w:lang w:eastAsia="zh-CN"/>
        </w:rPr>
      </w:pPr>
      <w:r>
        <w:rPr>
          <w:lang w:eastAsia="zh-CN"/>
        </w:rPr>
        <w:t>-</w:t>
      </w:r>
      <w:r>
        <w:rPr>
          <w:lang w:eastAsia="zh-CN"/>
        </w:rPr>
        <w:tab/>
        <w:t>AWGN</w:t>
      </w:r>
      <w:r w:rsidR="005A3DF0" w:rsidRPr="00FB249D">
        <w:t xml:space="preserve"> </w:t>
      </w:r>
      <w:r w:rsidR="005A3DF0" w:rsidRPr="00B910B8">
        <w:t>radio propagation conditions</w:t>
      </w:r>
      <w:r>
        <w:rPr>
          <w:lang w:eastAsia="zh-CN"/>
        </w:rPr>
        <w:t>.</w:t>
      </w:r>
    </w:p>
    <w:p w14:paraId="659D7399" w14:textId="77777777" w:rsidR="00C81100" w:rsidRPr="00F37389" w:rsidRDefault="00C81100" w:rsidP="00C81100">
      <w:pPr>
        <w:rPr>
          <w:rFonts w:eastAsia="?? ??"/>
          <w:sz w:val="24"/>
          <w:szCs w:val="24"/>
        </w:rPr>
      </w:pPr>
      <w:r>
        <w:rPr>
          <w:rFonts w:eastAsia="PMingLiU"/>
          <w:lang w:eastAsia="zh-CN"/>
        </w:rPr>
        <w:t xml:space="preserve">The performance with larger bandwidth of CSI-RS as CMR, NZP-IMR and ZP-IMR is equal to or better than the accuracy requirements in Tables 10.1.27.3.2-1 and </w:t>
      </w:r>
      <w:r>
        <w:rPr>
          <w:rFonts w:cs="v4.2.0"/>
        </w:rPr>
        <w:t>10.1.27.3.2-2.</w:t>
      </w:r>
    </w:p>
    <w:p w14:paraId="6468A3EC" w14:textId="77777777" w:rsidR="00C81100" w:rsidRDefault="00C81100" w:rsidP="00C81100">
      <w:pPr>
        <w:pStyle w:val="TH"/>
      </w:pPr>
      <w:r>
        <w:t>Table 10.1.27.3.2-1: L1-SINR relative accuracy for CSI-RS based CMR and NZP-IMR in FR1</w:t>
      </w:r>
    </w:p>
    <w:tbl>
      <w:tblPr>
        <w:tblW w:w="10413" w:type="dxa"/>
        <w:jc w:val="center"/>
        <w:tblLayout w:type="fixed"/>
        <w:tblLook w:val="01E0" w:firstRow="1" w:lastRow="1" w:firstColumn="1" w:lastColumn="1" w:noHBand="0" w:noVBand="0"/>
      </w:tblPr>
      <w:tblGrid>
        <w:gridCol w:w="1026"/>
        <w:gridCol w:w="1026"/>
        <w:gridCol w:w="778"/>
        <w:gridCol w:w="709"/>
        <w:gridCol w:w="1701"/>
        <w:gridCol w:w="709"/>
        <w:gridCol w:w="850"/>
        <w:gridCol w:w="734"/>
        <w:gridCol w:w="1440"/>
        <w:gridCol w:w="1440"/>
      </w:tblGrid>
      <w:tr w:rsidR="00C81100" w14:paraId="210E4DE8" w14:textId="77777777" w:rsidTr="00AD2F6B">
        <w:trPr>
          <w:jc w:val="center"/>
        </w:trPr>
        <w:tc>
          <w:tcPr>
            <w:tcW w:w="2052" w:type="dxa"/>
            <w:gridSpan w:val="2"/>
            <w:tcBorders>
              <w:top w:val="single" w:sz="4" w:space="0" w:color="auto"/>
              <w:left w:val="single" w:sz="4" w:space="0" w:color="auto"/>
              <w:bottom w:val="single" w:sz="6" w:space="0" w:color="auto"/>
              <w:right w:val="single" w:sz="6" w:space="0" w:color="auto"/>
            </w:tcBorders>
            <w:vAlign w:val="center"/>
            <w:hideMark/>
          </w:tcPr>
          <w:p w14:paraId="1D6591CB" w14:textId="77777777" w:rsidR="00C81100" w:rsidRDefault="00C81100" w:rsidP="00AD2F6B">
            <w:pPr>
              <w:pStyle w:val="TAH"/>
            </w:pPr>
            <w:r>
              <w:t>Accuracy</w:t>
            </w:r>
          </w:p>
        </w:tc>
        <w:tc>
          <w:tcPr>
            <w:tcW w:w="8361" w:type="dxa"/>
            <w:gridSpan w:val="8"/>
            <w:tcBorders>
              <w:top w:val="single" w:sz="4" w:space="0" w:color="auto"/>
              <w:left w:val="single" w:sz="6" w:space="0" w:color="auto"/>
              <w:bottom w:val="single" w:sz="6" w:space="0" w:color="auto"/>
              <w:right w:val="single" w:sz="4" w:space="0" w:color="auto"/>
            </w:tcBorders>
            <w:vAlign w:val="center"/>
            <w:hideMark/>
          </w:tcPr>
          <w:p w14:paraId="5C96D24A" w14:textId="77777777" w:rsidR="00C81100" w:rsidRDefault="00C81100" w:rsidP="00AD2F6B">
            <w:pPr>
              <w:pStyle w:val="TAH"/>
            </w:pPr>
            <w:r>
              <w:t>Conditions</w:t>
            </w:r>
          </w:p>
        </w:tc>
      </w:tr>
      <w:tr w:rsidR="00C81100" w14:paraId="6E7F5F83" w14:textId="77777777" w:rsidTr="00AD2F6B">
        <w:trPr>
          <w:jc w:val="center"/>
        </w:trPr>
        <w:tc>
          <w:tcPr>
            <w:tcW w:w="1026" w:type="dxa"/>
            <w:tcBorders>
              <w:top w:val="single" w:sz="6" w:space="0" w:color="auto"/>
              <w:left w:val="single" w:sz="4" w:space="0" w:color="auto"/>
              <w:bottom w:val="nil"/>
              <w:right w:val="single" w:sz="6" w:space="0" w:color="auto"/>
            </w:tcBorders>
            <w:vAlign w:val="center"/>
            <w:hideMark/>
          </w:tcPr>
          <w:p w14:paraId="3CCF7BC6" w14:textId="77777777" w:rsidR="00C81100" w:rsidRDefault="00C81100" w:rsidP="00AD2F6B">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7ECC2122" w14:textId="77777777" w:rsidR="00C81100" w:rsidRDefault="00C81100" w:rsidP="00AD2F6B">
            <w:pPr>
              <w:pStyle w:val="TAH"/>
            </w:pPr>
            <w:r>
              <w:t>Extreme condition</w:t>
            </w:r>
          </w:p>
        </w:tc>
        <w:tc>
          <w:tcPr>
            <w:tcW w:w="778" w:type="dxa"/>
            <w:tcBorders>
              <w:top w:val="single" w:sz="6" w:space="0" w:color="auto"/>
              <w:left w:val="single" w:sz="6" w:space="0" w:color="auto"/>
              <w:bottom w:val="nil"/>
              <w:right w:val="single" w:sz="6" w:space="0" w:color="auto"/>
            </w:tcBorders>
            <w:vAlign w:val="center"/>
            <w:hideMark/>
          </w:tcPr>
          <w:p w14:paraId="78201D1E" w14:textId="77777777" w:rsidR="00C81100" w:rsidRDefault="00C81100" w:rsidP="00AD2F6B">
            <w:pPr>
              <w:pStyle w:val="TAH"/>
            </w:pPr>
            <w:r>
              <w:t xml:space="preserve">CSI-RS </w:t>
            </w:r>
          </w:p>
          <w:p w14:paraId="030A0D33" w14:textId="6DCBAE4B" w:rsidR="00C81100" w:rsidRDefault="00C81100" w:rsidP="00AD2F6B">
            <w:pPr>
              <w:pStyle w:val="TAH"/>
            </w:pPr>
            <w:r>
              <w:t xml:space="preserve">CMR Ês/Iot </w:t>
            </w:r>
            <w:r w:rsidR="005A3DF0">
              <w:rPr>
                <w:vertAlign w:val="superscript"/>
              </w:rPr>
              <w:t>Note 2</w:t>
            </w:r>
            <w:r>
              <w:t xml:space="preserve"> </w:t>
            </w:r>
          </w:p>
        </w:tc>
        <w:tc>
          <w:tcPr>
            <w:tcW w:w="709" w:type="dxa"/>
            <w:tcBorders>
              <w:top w:val="single" w:sz="6" w:space="0" w:color="auto"/>
              <w:left w:val="single" w:sz="6" w:space="0" w:color="auto"/>
              <w:bottom w:val="nil"/>
              <w:right w:val="single" w:sz="6" w:space="0" w:color="auto"/>
            </w:tcBorders>
            <w:vAlign w:val="center"/>
          </w:tcPr>
          <w:p w14:paraId="33A91666" w14:textId="77777777" w:rsidR="00C81100" w:rsidRDefault="00C81100" w:rsidP="00AD2F6B">
            <w:pPr>
              <w:pStyle w:val="TAH"/>
            </w:pPr>
            <w:r>
              <w:t>NZP-IMR</w:t>
            </w:r>
          </w:p>
          <w:p w14:paraId="78CD1BB9" w14:textId="77777777" w:rsidR="00C81100" w:rsidRDefault="00C81100" w:rsidP="00AD2F6B">
            <w:pPr>
              <w:pStyle w:val="TAH"/>
            </w:pPr>
            <w:r>
              <w:t>Ês/Iot</w:t>
            </w:r>
          </w:p>
        </w:tc>
        <w:tc>
          <w:tcPr>
            <w:tcW w:w="6874" w:type="dxa"/>
            <w:gridSpan w:val="6"/>
            <w:tcBorders>
              <w:top w:val="single" w:sz="6" w:space="0" w:color="auto"/>
              <w:left w:val="single" w:sz="6" w:space="0" w:color="auto"/>
              <w:bottom w:val="single" w:sz="6" w:space="0" w:color="auto"/>
              <w:right w:val="single" w:sz="4" w:space="0" w:color="auto"/>
            </w:tcBorders>
            <w:vAlign w:val="center"/>
            <w:hideMark/>
          </w:tcPr>
          <w:p w14:paraId="6FAD82CA" w14:textId="77777777" w:rsidR="00C81100" w:rsidRDefault="00C81100" w:rsidP="00AD2F6B">
            <w:pPr>
              <w:pStyle w:val="TAH"/>
            </w:pPr>
            <w:r>
              <w:t>Io</w:t>
            </w:r>
            <w:r>
              <w:rPr>
                <w:vertAlign w:val="superscript"/>
              </w:rPr>
              <w:t xml:space="preserve"> Note 1</w:t>
            </w:r>
            <w:r>
              <w:t xml:space="preserve"> range</w:t>
            </w:r>
          </w:p>
        </w:tc>
      </w:tr>
      <w:tr w:rsidR="00C81100" w14:paraId="1D1C7C1C" w14:textId="77777777" w:rsidTr="00AD2F6B">
        <w:trPr>
          <w:jc w:val="center"/>
        </w:trPr>
        <w:tc>
          <w:tcPr>
            <w:tcW w:w="1026" w:type="dxa"/>
            <w:tcBorders>
              <w:top w:val="nil"/>
              <w:left w:val="single" w:sz="4" w:space="0" w:color="auto"/>
              <w:bottom w:val="single" w:sz="6" w:space="0" w:color="auto"/>
              <w:right w:val="single" w:sz="6" w:space="0" w:color="auto"/>
            </w:tcBorders>
            <w:vAlign w:val="center"/>
          </w:tcPr>
          <w:p w14:paraId="27802698"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7A554E63" w14:textId="77777777" w:rsidR="00C81100" w:rsidRDefault="00C81100" w:rsidP="00AD2F6B">
            <w:pPr>
              <w:pStyle w:val="TAH"/>
            </w:pPr>
          </w:p>
        </w:tc>
        <w:tc>
          <w:tcPr>
            <w:tcW w:w="778" w:type="dxa"/>
            <w:tcBorders>
              <w:top w:val="nil"/>
              <w:left w:val="single" w:sz="6" w:space="0" w:color="auto"/>
              <w:bottom w:val="single" w:sz="6" w:space="0" w:color="auto"/>
              <w:right w:val="single" w:sz="6" w:space="0" w:color="auto"/>
            </w:tcBorders>
            <w:vAlign w:val="center"/>
          </w:tcPr>
          <w:p w14:paraId="35AD1C82" w14:textId="77777777" w:rsidR="00C81100" w:rsidRDefault="00C81100" w:rsidP="00AD2F6B">
            <w:pPr>
              <w:pStyle w:val="TAH"/>
            </w:pPr>
          </w:p>
        </w:tc>
        <w:tc>
          <w:tcPr>
            <w:tcW w:w="709" w:type="dxa"/>
            <w:tcBorders>
              <w:top w:val="nil"/>
              <w:left w:val="single" w:sz="6" w:space="0" w:color="auto"/>
              <w:bottom w:val="single" w:sz="6" w:space="0" w:color="auto"/>
              <w:right w:val="single" w:sz="6" w:space="0" w:color="auto"/>
            </w:tcBorders>
            <w:vAlign w:val="center"/>
          </w:tcPr>
          <w:p w14:paraId="4D2B7A79" w14:textId="77777777" w:rsidR="00C81100" w:rsidRDefault="00C81100" w:rsidP="00AD2F6B">
            <w:pPr>
              <w:pStyle w:val="TAH"/>
            </w:pPr>
          </w:p>
        </w:tc>
        <w:tc>
          <w:tcPr>
            <w:tcW w:w="1701" w:type="dxa"/>
            <w:tcBorders>
              <w:top w:val="single" w:sz="6" w:space="0" w:color="auto"/>
              <w:left w:val="single" w:sz="6" w:space="0" w:color="auto"/>
              <w:bottom w:val="single" w:sz="6" w:space="0" w:color="auto"/>
              <w:right w:val="single" w:sz="4" w:space="0" w:color="auto"/>
            </w:tcBorders>
            <w:vAlign w:val="center"/>
            <w:hideMark/>
          </w:tcPr>
          <w:p w14:paraId="1806463B" w14:textId="140A7118" w:rsidR="00C81100" w:rsidRDefault="00C81100" w:rsidP="00AD2F6B">
            <w:pPr>
              <w:pStyle w:val="TAH"/>
            </w:pPr>
            <w:r>
              <w:t>NR operating band groups</w:t>
            </w:r>
            <w:r>
              <w:rPr>
                <w:vertAlign w:val="superscript"/>
              </w:rPr>
              <w:t xml:space="preserve"> Note </w:t>
            </w:r>
            <w:r w:rsidR="005A3DF0">
              <w:rPr>
                <w:vertAlign w:val="superscript"/>
              </w:rPr>
              <w:t>3</w:t>
            </w:r>
          </w:p>
        </w:tc>
        <w:tc>
          <w:tcPr>
            <w:tcW w:w="3733" w:type="dxa"/>
            <w:gridSpan w:val="4"/>
            <w:tcBorders>
              <w:top w:val="single" w:sz="4" w:space="0" w:color="auto"/>
              <w:left w:val="single" w:sz="4" w:space="0" w:color="auto"/>
              <w:bottom w:val="single" w:sz="6" w:space="0" w:color="auto"/>
              <w:right w:val="single" w:sz="6" w:space="0" w:color="auto"/>
            </w:tcBorders>
            <w:vAlign w:val="center"/>
            <w:hideMark/>
          </w:tcPr>
          <w:p w14:paraId="43C109D8" w14:textId="77777777" w:rsidR="00C81100" w:rsidRDefault="00C811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5FA37716" w14:textId="77777777" w:rsidR="00C81100" w:rsidRDefault="00C81100" w:rsidP="00AD2F6B">
            <w:pPr>
              <w:pStyle w:val="TAH"/>
            </w:pPr>
            <w:r>
              <w:t>Maximum Io</w:t>
            </w:r>
          </w:p>
        </w:tc>
      </w:tr>
      <w:tr w:rsidR="00C81100" w14:paraId="5F2C3B9E" w14:textId="77777777" w:rsidTr="00AD2F6B">
        <w:trPr>
          <w:trHeight w:val="308"/>
          <w:jc w:val="center"/>
        </w:trPr>
        <w:tc>
          <w:tcPr>
            <w:tcW w:w="1026" w:type="dxa"/>
            <w:tcBorders>
              <w:top w:val="single" w:sz="6" w:space="0" w:color="auto"/>
              <w:left w:val="single" w:sz="4" w:space="0" w:color="auto"/>
              <w:bottom w:val="nil"/>
              <w:right w:val="single" w:sz="6" w:space="0" w:color="auto"/>
            </w:tcBorders>
            <w:vAlign w:val="center"/>
            <w:hideMark/>
          </w:tcPr>
          <w:p w14:paraId="68D1EDF9" w14:textId="77777777" w:rsidR="00C81100" w:rsidRDefault="00C81100" w:rsidP="00AD2F6B">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58A36550" w14:textId="77777777" w:rsidR="00C81100" w:rsidRDefault="00C81100" w:rsidP="00AD2F6B">
            <w:pPr>
              <w:pStyle w:val="TAH"/>
            </w:pPr>
            <w:r>
              <w:t>dB</w:t>
            </w:r>
          </w:p>
        </w:tc>
        <w:tc>
          <w:tcPr>
            <w:tcW w:w="778" w:type="dxa"/>
            <w:tcBorders>
              <w:top w:val="single" w:sz="6" w:space="0" w:color="auto"/>
              <w:left w:val="single" w:sz="6" w:space="0" w:color="auto"/>
              <w:bottom w:val="nil"/>
              <w:right w:val="single" w:sz="6" w:space="0" w:color="auto"/>
            </w:tcBorders>
            <w:vAlign w:val="center"/>
            <w:hideMark/>
          </w:tcPr>
          <w:p w14:paraId="0F729192" w14:textId="77777777" w:rsidR="00C81100" w:rsidRDefault="00C81100" w:rsidP="00AD2F6B">
            <w:pPr>
              <w:pStyle w:val="TAH"/>
            </w:pPr>
            <w:r>
              <w:t>dB</w:t>
            </w:r>
          </w:p>
        </w:tc>
        <w:tc>
          <w:tcPr>
            <w:tcW w:w="709" w:type="dxa"/>
            <w:tcBorders>
              <w:top w:val="single" w:sz="6" w:space="0" w:color="auto"/>
              <w:left w:val="single" w:sz="6" w:space="0" w:color="auto"/>
              <w:bottom w:val="nil"/>
              <w:right w:val="single" w:sz="6" w:space="0" w:color="auto"/>
            </w:tcBorders>
            <w:vAlign w:val="center"/>
          </w:tcPr>
          <w:p w14:paraId="394749E8" w14:textId="77777777" w:rsidR="00C81100" w:rsidRDefault="00C81100" w:rsidP="00AD2F6B">
            <w:pPr>
              <w:pStyle w:val="TAH"/>
            </w:pPr>
            <w:r>
              <w:t>dB</w:t>
            </w:r>
          </w:p>
        </w:tc>
        <w:tc>
          <w:tcPr>
            <w:tcW w:w="1701" w:type="dxa"/>
            <w:tcBorders>
              <w:top w:val="single" w:sz="6" w:space="0" w:color="auto"/>
              <w:left w:val="single" w:sz="6" w:space="0" w:color="auto"/>
              <w:bottom w:val="nil"/>
              <w:right w:val="single" w:sz="4" w:space="0" w:color="auto"/>
            </w:tcBorders>
            <w:vAlign w:val="center"/>
          </w:tcPr>
          <w:p w14:paraId="7EEB2823" w14:textId="77777777" w:rsidR="00C81100" w:rsidRDefault="00C81100" w:rsidP="00AD2F6B">
            <w:pPr>
              <w:pStyle w:val="TAH"/>
            </w:pPr>
          </w:p>
        </w:tc>
        <w:tc>
          <w:tcPr>
            <w:tcW w:w="2293" w:type="dxa"/>
            <w:gridSpan w:val="3"/>
            <w:tcBorders>
              <w:top w:val="single" w:sz="6" w:space="0" w:color="auto"/>
              <w:left w:val="single" w:sz="4" w:space="0" w:color="auto"/>
              <w:bottom w:val="single" w:sz="6" w:space="0" w:color="auto"/>
              <w:right w:val="single" w:sz="6" w:space="0" w:color="auto"/>
            </w:tcBorders>
            <w:vAlign w:val="center"/>
            <w:hideMark/>
          </w:tcPr>
          <w:p w14:paraId="1E6FC545" w14:textId="77777777" w:rsidR="00C81100" w:rsidRDefault="00C81100" w:rsidP="00AD2F6B">
            <w:pPr>
              <w:pStyle w:val="TAH"/>
            </w:pPr>
            <w:r>
              <w:rPr>
                <w:rFonts w:cs="Arial"/>
              </w:rPr>
              <w:t xml:space="preserve">dBm / </w:t>
            </w:r>
            <w:r>
              <w:t>SCS</w:t>
            </w:r>
            <w:r>
              <w:rPr>
                <w:vertAlign w:val="subscript"/>
              </w:rPr>
              <w:t>CSI-RS</w:t>
            </w:r>
          </w:p>
        </w:tc>
        <w:tc>
          <w:tcPr>
            <w:tcW w:w="1440" w:type="dxa"/>
            <w:tcBorders>
              <w:top w:val="single" w:sz="6" w:space="0" w:color="auto"/>
              <w:left w:val="single" w:sz="6" w:space="0" w:color="auto"/>
              <w:bottom w:val="nil"/>
              <w:right w:val="single" w:sz="6" w:space="0" w:color="auto"/>
            </w:tcBorders>
            <w:vAlign w:val="center"/>
            <w:hideMark/>
          </w:tcPr>
          <w:p w14:paraId="40EFB9F7" w14:textId="77777777" w:rsidR="00C81100" w:rsidRDefault="00C811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47BE00A9" w14:textId="77777777" w:rsidR="00C81100" w:rsidRDefault="00C81100" w:rsidP="00AD2F6B">
            <w:pPr>
              <w:pStyle w:val="TAH"/>
            </w:pPr>
            <w:r>
              <w:t>dBm/BW</w:t>
            </w:r>
            <w:r>
              <w:rPr>
                <w:vertAlign w:val="subscript"/>
              </w:rPr>
              <w:t>Channel</w:t>
            </w:r>
          </w:p>
        </w:tc>
      </w:tr>
      <w:tr w:rsidR="00C81100" w14:paraId="5EAF3428" w14:textId="77777777" w:rsidTr="00AD2F6B">
        <w:trPr>
          <w:trHeight w:val="307"/>
          <w:jc w:val="center"/>
        </w:trPr>
        <w:tc>
          <w:tcPr>
            <w:tcW w:w="1026" w:type="dxa"/>
            <w:tcBorders>
              <w:top w:val="nil"/>
              <w:left w:val="single" w:sz="4" w:space="0" w:color="auto"/>
              <w:bottom w:val="single" w:sz="6" w:space="0" w:color="auto"/>
              <w:right w:val="single" w:sz="6" w:space="0" w:color="auto"/>
            </w:tcBorders>
            <w:vAlign w:val="center"/>
          </w:tcPr>
          <w:p w14:paraId="3EF80FA3"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4D7CC7FD" w14:textId="77777777" w:rsidR="00C81100" w:rsidRDefault="00C81100" w:rsidP="00AD2F6B">
            <w:pPr>
              <w:pStyle w:val="TAH"/>
            </w:pPr>
          </w:p>
        </w:tc>
        <w:tc>
          <w:tcPr>
            <w:tcW w:w="778" w:type="dxa"/>
            <w:tcBorders>
              <w:top w:val="nil"/>
              <w:left w:val="single" w:sz="6" w:space="0" w:color="auto"/>
              <w:bottom w:val="single" w:sz="6" w:space="0" w:color="auto"/>
              <w:right w:val="single" w:sz="6" w:space="0" w:color="auto"/>
            </w:tcBorders>
            <w:vAlign w:val="center"/>
          </w:tcPr>
          <w:p w14:paraId="471124B4" w14:textId="77777777" w:rsidR="00C81100" w:rsidRDefault="00C81100" w:rsidP="00AD2F6B">
            <w:pPr>
              <w:pStyle w:val="TAH"/>
            </w:pPr>
          </w:p>
        </w:tc>
        <w:tc>
          <w:tcPr>
            <w:tcW w:w="709" w:type="dxa"/>
            <w:tcBorders>
              <w:top w:val="nil"/>
              <w:left w:val="single" w:sz="6" w:space="0" w:color="auto"/>
              <w:bottom w:val="single" w:sz="6" w:space="0" w:color="auto"/>
              <w:right w:val="single" w:sz="6" w:space="0" w:color="auto"/>
            </w:tcBorders>
            <w:vAlign w:val="center"/>
          </w:tcPr>
          <w:p w14:paraId="77B9E787" w14:textId="77777777" w:rsidR="00C81100" w:rsidRDefault="00C81100" w:rsidP="00AD2F6B">
            <w:pPr>
              <w:pStyle w:val="TAH"/>
            </w:pPr>
          </w:p>
        </w:tc>
        <w:tc>
          <w:tcPr>
            <w:tcW w:w="1701" w:type="dxa"/>
            <w:tcBorders>
              <w:top w:val="nil"/>
              <w:left w:val="single" w:sz="6" w:space="0" w:color="auto"/>
              <w:bottom w:val="single" w:sz="6" w:space="0" w:color="auto"/>
              <w:right w:val="single" w:sz="4" w:space="0" w:color="auto"/>
            </w:tcBorders>
            <w:vAlign w:val="center"/>
          </w:tcPr>
          <w:p w14:paraId="31F41397" w14:textId="77777777" w:rsidR="00C81100" w:rsidRDefault="00C81100" w:rsidP="00AD2F6B">
            <w:pPr>
              <w:pStyle w:val="TAH"/>
            </w:pPr>
          </w:p>
        </w:tc>
        <w:tc>
          <w:tcPr>
            <w:tcW w:w="709" w:type="dxa"/>
            <w:tcBorders>
              <w:top w:val="single" w:sz="6" w:space="0" w:color="auto"/>
              <w:left w:val="single" w:sz="4" w:space="0" w:color="auto"/>
              <w:bottom w:val="single" w:sz="6" w:space="0" w:color="auto"/>
              <w:right w:val="single" w:sz="6" w:space="0" w:color="auto"/>
            </w:tcBorders>
            <w:vAlign w:val="center"/>
            <w:hideMark/>
          </w:tcPr>
          <w:p w14:paraId="7BA050E8" w14:textId="77777777" w:rsidR="00C81100" w:rsidRDefault="00C81100" w:rsidP="00AD2F6B">
            <w:pPr>
              <w:pStyle w:val="TAH"/>
              <w:rPr>
                <w:rFonts w:cs="Arial"/>
              </w:rPr>
            </w:pPr>
            <w:r>
              <w:t>SCS</w:t>
            </w:r>
            <w:r>
              <w:rPr>
                <w:vertAlign w:val="subscript"/>
              </w:rPr>
              <w:t>CSI-RS</w:t>
            </w:r>
            <w:r>
              <w:rPr>
                <w:rFonts w:cs="Arial"/>
              </w:rPr>
              <w:t xml:space="preserve"> = 15 kHz</w:t>
            </w:r>
          </w:p>
        </w:tc>
        <w:tc>
          <w:tcPr>
            <w:tcW w:w="850" w:type="dxa"/>
            <w:tcBorders>
              <w:top w:val="single" w:sz="6" w:space="0" w:color="auto"/>
              <w:left w:val="single" w:sz="4" w:space="0" w:color="auto"/>
              <w:bottom w:val="single" w:sz="6" w:space="0" w:color="auto"/>
              <w:right w:val="single" w:sz="6" w:space="0" w:color="auto"/>
            </w:tcBorders>
            <w:vAlign w:val="center"/>
            <w:hideMark/>
          </w:tcPr>
          <w:p w14:paraId="504CD84E" w14:textId="77777777" w:rsidR="00C81100" w:rsidRDefault="00C81100" w:rsidP="00AD2F6B">
            <w:pPr>
              <w:pStyle w:val="TAH"/>
              <w:rPr>
                <w:rFonts w:cs="Arial"/>
              </w:rPr>
            </w:pPr>
            <w:r>
              <w:t>SCS</w:t>
            </w:r>
            <w:r>
              <w:rPr>
                <w:vertAlign w:val="subscript"/>
              </w:rPr>
              <w:t>CSI-RS</w:t>
            </w:r>
            <w:r>
              <w:rPr>
                <w:rFonts w:cs="Arial"/>
              </w:rPr>
              <w:t xml:space="preserve"> = 30 kHz</w:t>
            </w:r>
          </w:p>
        </w:tc>
        <w:tc>
          <w:tcPr>
            <w:tcW w:w="734" w:type="dxa"/>
            <w:tcBorders>
              <w:top w:val="single" w:sz="6" w:space="0" w:color="auto"/>
              <w:left w:val="single" w:sz="4" w:space="0" w:color="auto"/>
              <w:bottom w:val="single" w:sz="6" w:space="0" w:color="auto"/>
              <w:right w:val="single" w:sz="6" w:space="0" w:color="auto"/>
            </w:tcBorders>
            <w:vAlign w:val="center"/>
          </w:tcPr>
          <w:p w14:paraId="2F130446" w14:textId="77777777" w:rsidR="00C81100" w:rsidRDefault="00C81100" w:rsidP="00AD2F6B">
            <w:pPr>
              <w:pStyle w:val="TAH"/>
              <w:rPr>
                <w:rFonts w:cs="Arial"/>
              </w:rPr>
            </w:pPr>
            <w:r>
              <w:t>SCS</w:t>
            </w:r>
            <w:r>
              <w:rPr>
                <w:vertAlign w:val="subscript"/>
              </w:rPr>
              <w:t>CSI-RS</w:t>
            </w:r>
            <w:r>
              <w:rPr>
                <w:rFonts w:cs="Arial"/>
              </w:rPr>
              <w:t xml:space="preserve"> = 60 kHz</w:t>
            </w:r>
          </w:p>
        </w:tc>
        <w:tc>
          <w:tcPr>
            <w:tcW w:w="1440" w:type="dxa"/>
            <w:tcBorders>
              <w:top w:val="nil"/>
              <w:left w:val="single" w:sz="6" w:space="0" w:color="auto"/>
              <w:bottom w:val="single" w:sz="6" w:space="0" w:color="auto"/>
              <w:right w:val="single" w:sz="6" w:space="0" w:color="auto"/>
            </w:tcBorders>
            <w:vAlign w:val="center"/>
          </w:tcPr>
          <w:p w14:paraId="0797C667" w14:textId="77777777" w:rsidR="00C81100" w:rsidRDefault="00C81100" w:rsidP="00AD2F6B">
            <w:pPr>
              <w:pStyle w:val="TAH"/>
            </w:pPr>
          </w:p>
        </w:tc>
        <w:tc>
          <w:tcPr>
            <w:tcW w:w="1440" w:type="dxa"/>
            <w:tcBorders>
              <w:top w:val="nil"/>
              <w:left w:val="single" w:sz="6" w:space="0" w:color="auto"/>
              <w:bottom w:val="single" w:sz="6" w:space="0" w:color="auto"/>
              <w:right w:val="single" w:sz="4" w:space="0" w:color="auto"/>
            </w:tcBorders>
            <w:vAlign w:val="center"/>
          </w:tcPr>
          <w:p w14:paraId="64A31024" w14:textId="77777777" w:rsidR="00C81100" w:rsidRDefault="00C81100" w:rsidP="00AD2F6B">
            <w:pPr>
              <w:pStyle w:val="TAH"/>
            </w:pPr>
          </w:p>
        </w:tc>
      </w:tr>
      <w:tr w:rsidR="00C81100" w14:paraId="1B892B27" w14:textId="77777777" w:rsidTr="00AD2F6B">
        <w:trPr>
          <w:jc w:val="center"/>
        </w:trPr>
        <w:tc>
          <w:tcPr>
            <w:tcW w:w="1026" w:type="dxa"/>
            <w:tcBorders>
              <w:top w:val="single" w:sz="6" w:space="0" w:color="auto"/>
              <w:left w:val="single" w:sz="4" w:space="0" w:color="auto"/>
              <w:bottom w:val="nil"/>
              <w:right w:val="single" w:sz="6" w:space="0" w:color="auto"/>
            </w:tcBorders>
          </w:tcPr>
          <w:p w14:paraId="0270BEC6" w14:textId="77777777" w:rsidR="00C81100" w:rsidRDefault="00C81100" w:rsidP="00AD2F6B">
            <w:pPr>
              <w:pStyle w:val="TAC"/>
            </w:pPr>
          </w:p>
        </w:tc>
        <w:tc>
          <w:tcPr>
            <w:tcW w:w="1026" w:type="dxa"/>
            <w:tcBorders>
              <w:top w:val="single" w:sz="6" w:space="0" w:color="auto"/>
              <w:left w:val="single" w:sz="6" w:space="0" w:color="auto"/>
              <w:bottom w:val="nil"/>
              <w:right w:val="single" w:sz="6" w:space="0" w:color="auto"/>
            </w:tcBorders>
          </w:tcPr>
          <w:p w14:paraId="3A53560C" w14:textId="77777777" w:rsidR="00C81100" w:rsidRDefault="00C81100" w:rsidP="00AD2F6B">
            <w:pPr>
              <w:pStyle w:val="TAC"/>
            </w:pPr>
          </w:p>
        </w:tc>
        <w:tc>
          <w:tcPr>
            <w:tcW w:w="778" w:type="dxa"/>
            <w:tcBorders>
              <w:top w:val="single" w:sz="6" w:space="0" w:color="auto"/>
              <w:left w:val="single" w:sz="6" w:space="0" w:color="auto"/>
              <w:bottom w:val="nil"/>
              <w:right w:val="single" w:sz="6" w:space="0" w:color="auto"/>
            </w:tcBorders>
          </w:tcPr>
          <w:p w14:paraId="2A18D2F8" w14:textId="77777777" w:rsidR="00C81100" w:rsidRDefault="00C81100" w:rsidP="00AD2F6B">
            <w:pPr>
              <w:pStyle w:val="TAC"/>
            </w:pPr>
          </w:p>
        </w:tc>
        <w:tc>
          <w:tcPr>
            <w:tcW w:w="709" w:type="dxa"/>
            <w:tcBorders>
              <w:top w:val="single" w:sz="6" w:space="0" w:color="auto"/>
              <w:left w:val="single" w:sz="6" w:space="0" w:color="auto"/>
              <w:bottom w:val="nil"/>
              <w:right w:val="single" w:sz="6" w:space="0" w:color="auto"/>
            </w:tcBorders>
          </w:tcPr>
          <w:p w14:paraId="15623EF3"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7515B55C" w14:textId="77777777" w:rsidR="00C81100" w:rsidRDefault="00C81100" w:rsidP="00AD2F6B">
            <w:pPr>
              <w:pStyle w:val="TAC"/>
            </w:pPr>
            <w:r>
              <w:t>NR_FDD_FR1_A, NR_TDD_FR1_A,</w:t>
            </w:r>
          </w:p>
          <w:p w14:paraId="5CDB7664" w14:textId="77777777" w:rsidR="00C81100" w:rsidRDefault="00C81100" w:rsidP="00AD2F6B">
            <w:pPr>
              <w:pStyle w:val="TAC"/>
            </w:pPr>
            <w:r>
              <w:t>NR_SDL_FR1_A</w:t>
            </w:r>
          </w:p>
        </w:tc>
        <w:tc>
          <w:tcPr>
            <w:tcW w:w="709" w:type="dxa"/>
            <w:tcBorders>
              <w:top w:val="single" w:sz="6" w:space="0" w:color="auto"/>
              <w:left w:val="single" w:sz="4" w:space="0" w:color="auto"/>
              <w:bottom w:val="single" w:sz="6" w:space="0" w:color="auto"/>
              <w:right w:val="single" w:sz="6" w:space="0" w:color="auto"/>
            </w:tcBorders>
            <w:hideMark/>
          </w:tcPr>
          <w:p w14:paraId="6A59D0CA" w14:textId="77777777" w:rsidR="00C81100" w:rsidRDefault="00C81100" w:rsidP="00AD2F6B">
            <w:pPr>
              <w:pStyle w:val="TAC"/>
            </w:pPr>
            <w:r>
              <w:t>-121</w:t>
            </w:r>
          </w:p>
        </w:tc>
        <w:tc>
          <w:tcPr>
            <w:tcW w:w="850" w:type="dxa"/>
            <w:tcBorders>
              <w:top w:val="single" w:sz="6" w:space="0" w:color="auto"/>
              <w:left w:val="single" w:sz="4" w:space="0" w:color="auto"/>
              <w:bottom w:val="single" w:sz="6" w:space="0" w:color="auto"/>
              <w:right w:val="single" w:sz="6" w:space="0" w:color="auto"/>
            </w:tcBorders>
            <w:hideMark/>
          </w:tcPr>
          <w:p w14:paraId="12ABB5E5" w14:textId="77777777" w:rsidR="00C81100" w:rsidRDefault="00C81100" w:rsidP="00AD2F6B">
            <w:pPr>
              <w:pStyle w:val="TAC"/>
            </w:pPr>
            <w:r>
              <w:t>-118</w:t>
            </w:r>
          </w:p>
        </w:tc>
        <w:tc>
          <w:tcPr>
            <w:tcW w:w="734" w:type="dxa"/>
            <w:tcBorders>
              <w:top w:val="single" w:sz="6" w:space="0" w:color="auto"/>
              <w:left w:val="single" w:sz="4" w:space="0" w:color="auto"/>
              <w:bottom w:val="single" w:sz="6" w:space="0" w:color="auto"/>
              <w:right w:val="single" w:sz="6" w:space="0" w:color="auto"/>
            </w:tcBorders>
          </w:tcPr>
          <w:p w14:paraId="606DC3DE" w14:textId="77777777" w:rsidR="00C81100" w:rsidRDefault="00C81100" w:rsidP="00AD2F6B">
            <w:pPr>
              <w:pStyle w:val="TAC"/>
            </w:pPr>
            <w:r>
              <w:t>-115</w:t>
            </w:r>
          </w:p>
        </w:tc>
        <w:tc>
          <w:tcPr>
            <w:tcW w:w="1440" w:type="dxa"/>
            <w:tcBorders>
              <w:top w:val="single" w:sz="6" w:space="0" w:color="auto"/>
              <w:left w:val="single" w:sz="6" w:space="0" w:color="auto"/>
              <w:bottom w:val="single" w:sz="6" w:space="0" w:color="auto"/>
              <w:right w:val="single" w:sz="6" w:space="0" w:color="auto"/>
            </w:tcBorders>
            <w:hideMark/>
          </w:tcPr>
          <w:p w14:paraId="6E0005E5"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1EF11C3" w14:textId="77777777" w:rsidR="00C81100" w:rsidRDefault="00C81100" w:rsidP="00AD2F6B">
            <w:pPr>
              <w:pStyle w:val="TAC"/>
            </w:pPr>
            <w:r>
              <w:t>-50</w:t>
            </w:r>
          </w:p>
        </w:tc>
      </w:tr>
      <w:tr w:rsidR="00C81100" w14:paraId="64464E4F" w14:textId="77777777" w:rsidTr="00AD2F6B">
        <w:trPr>
          <w:jc w:val="center"/>
        </w:trPr>
        <w:tc>
          <w:tcPr>
            <w:tcW w:w="1026" w:type="dxa"/>
            <w:tcBorders>
              <w:top w:val="nil"/>
              <w:left w:val="single" w:sz="4" w:space="0" w:color="auto"/>
              <w:bottom w:val="nil"/>
              <w:right w:val="single" w:sz="6" w:space="0" w:color="auto"/>
            </w:tcBorders>
          </w:tcPr>
          <w:p w14:paraId="78492B51"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2A0FAC73"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36579284"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589CAA84"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0D467E9F" w14:textId="77777777" w:rsidR="00C81100" w:rsidRDefault="00C81100" w:rsidP="00AD2F6B">
            <w:pPr>
              <w:pStyle w:val="TAC"/>
            </w:pPr>
            <w:r>
              <w:t>NR_FDD_FR1_B</w:t>
            </w:r>
          </w:p>
        </w:tc>
        <w:tc>
          <w:tcPr>
            <w:tcW w:w="709" w:type="dxa"/>
            <w:tcBorders>
              <w:top w:val="single" w:sz="6" w:space="0" w:color="auto"/>
              <w:left w:val="single" w:sz="4" w:space="0" w:color="auto"/>
              <w:bottom w:val="single" w:sz="6" w:space="0" w:color="auto"/>
              <w:right w:val="single" w:sz="6" w:space="0" w:color="auto"/>
            </w:tcBorders>
            <w:hideMark/>
          </w:tcPr>
          <w:p w14:paraId="6474461E" w14:textId="77777777" w:rsidR="00C81100" w:rsidRDefault="00C81100" w:rsidP="00AD2F6B">
            <w:pPr>
              <w:pStyle w:val="TAC"/>
            </w:pPr>
            <w:r>
              <w:t>-120.5</w:t>
            </w:r>
          </w:p>
        </w:tc>
        <w:tc>
          <w:tcPr>
            <w:tcW w:w="850" w:type="dxa"/>
            <w:tcBorders>
              <w:top w:val="single" w:sz="6" w:space="0" w:color="auto"/>
              <w:left w:val="single" w:sz="4" w:space="0" w:color="auto"/>
              <w:bottom w:val="single" w:sz="6" w:space="0" w:color="auto"/>
              <w:right w:val="single" w:sz="6" w:space="0" w:color="auto"/>
            </w:tcBorders>
            <w:hideMark/>
          </w:tcPr>
          <w:p w14:paraId="5BB2DB1E" w14:textId="77777777" w:rsidR="00C81100" w:rsidRDefault="00C81100" w:rsidP="00AD2F6B">
            <w:pPr>
              <w:pStyle w:val="TAC"/>
              <w:rPr>
                <w:lang w:val="sv-SE"/>
              </w:rPr>
            </w:pPr>
            <w:r>
              <w:t>-117.5</w:t>
            </w:r>
          </w:p>
        </w:tc>
        <w:tc>
          <w:tcPr>
            <w:tcW w:w="734" w:type="dxa"/>
            <w:tcBorders>
              <w:top w:val="single" w:sz="6" w:space="0" w:color="auto"/>
              <w:left w:val="single" w:sz="4" w:space="0" w:color="auto"/>
              <w:bottom w:val="single" w:sz="6" w:space="0" w:color="auto"/>
              <w:right w:val="single" w:sz="6" w:space="0" w:color="auto"/>
            </w:tcBorders>
          </w:tcPr>
          <w:p w14:paraId="778CEF27" w14:textId="77777777" w:rsidR="00C81100" w:rsidRDefault="00C81100" w:rsidP="00AD2F6B">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74BFA287"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76CAFC84" w14:textId="77777777" w:rsidR="00C81100" w:rsidRDefault="00C81100" w:rsidP="00AD2F6B">
            <w:pPr>
              <w:pStyle w:val="TAC"/>
            </w:pPr>
            <w:r>
              <w:t>-50</w:t>
            </w:r>
          </w:p>
        </w:tc>
      </w:tr>
      <w:tr w:rsidR="00C81100" w14:paraId="6B323463" w14:textId="77777777" w:rsidTr="00AD2F6B">
        <w:trPr>
          <w:jc w:val="center"/>
        </w:trPr>
        <w:tc>
          <w:tcPr>
            <w:tcW w:w="1026" w:type="dxa"/>
            <w:tcBorders>
              <w:top w:val="nil"/>
              <w:left w:val="single" w:sz="4" w:space="0" w:color="auto"/>
              <w:bottom w:val="nil"/>
              <w:right w:val="single" w:sz="6" w:space="0" w:color="auto"/>
            </w:tcBorders>
          </w:tcPr>
          <w:p w14:paraId="78371E5D"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7594C4AD"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674A1A74"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20E5CCDA"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2AF09293" w14:textId="77777777" w:rsidR="00C81100" w:rsidRDefault="00C81100" w:rsidP="00AD2F6B">
            <w:pPr>
              <w:pStyle w:val="TAC"/>
            </w:pPr>
            <w:r>
              <w:t>NR_TDD_FR1_C</w:t>
            </w:r>
          </w:p>
        </w:tc>
        <w:tc>
          <w:tcPr>
            <w:tcW w:w="709" w:type="dxa"/>
            <w:tcBorders>
              <w:top w:val="single" w:sz="6" w:space="0" w:color="auto"/>
              <w:left w:val="single" w:sz="4" w:space="0" w:color="auto"/>
              <w:bottom w:val="single" w:sz="6" w:space="0" w:color="auto"/>
              <w:right w:val="single" w:sz="6" w:space="0" w:color="auto"/>
            </w:tcBorders>
            <w:hideMark/>
          </w:tcPr>
          <w:p w14:paraId="6A33E0E6" w14:textId="77777777" w:rsidR="00C81100" w:rsidRDefault="00C81100" w:rsidP="00AD2F6B">
            <w:pPr>
              <w:pStyle w:val="TAC"/>
            </w:pPr>
            <w:r>
              <w:t>-120</w:t>
            </w:r>
          </w:p>
        </w:tc>
        <w:tc>
          <w:tcPr>
            <w:tcW w:w="850" w:type="dxa"/>
            <w:tcBorders>
              <w:top w:val="single" w:sz="6" w:space="0" w:color="auto"/>
              <w:left w:val="single" w:sz="4" w:space="0" w:color="auto"/>
              <w:bottom w:val="single" w:sz="6" w:space="0" w:color="auto"/>
              <w:right w:val="single" w:sz="6" w:space="0" w:color="auto"/>
            </w:tcBorders>
            <w:hideMark/>
          </w:tcPr>
          <w:p w14:paraId="6347CD0A" w14:textId="77777777" w:rsidR="00C81100" w:rsidRDefault="00C81100" w:rsidP="00AD2F6B">
            <w:pPr>
              <w:pStyle w:val="TAC"/>
              <w:rPr>
                <w:lang w:val="sv-SE"/>
              </w:rPr>
            </w:pPr>
            <w:r>
              <w:t>-117</w:t>
            </w:r>
          </w:p>
        </w:tc>
        <w:tc>
          <w:tcPr>
            <w:tcW w:w="734" w:type="dxa"/>
            <w:tcBorders>
              <w:top w:val="single" w:sz="6" w:space="0" w:color="auto"/>
              <w:left w:val="single" w:sz="4" w:space="0" w:color="auto"/>
              <w:bottom w:val="single" w:sz="6" w:space="0" w:color="auto"/>
              <w:right w:val="single" w:sz="6" w:space="0" w:color="auto"/>
            </w:tcBorders>
          </w:tcPr>
          <w:p w14:paraId="5491F1A4" w14:textId="77777777" w:rsidR="00C81100" w:rsidRDefault="00C81100" w:rsidP="00AD2F6B">
            <w:pPr>
              <w:pStyle w:val="TAC"/>
              <w:rPr>
                <w:lang w:val="sv-SE"/>
              </w:rPr>
            </w:pPr>
            <w:r>
              <w:t>-114</w:t>
            </w:r>
          </w:p>
        </w:tc>
        <w:tc>
          <w:tcPr>
            <w:tcW w:w="1440" w:type="dxa"/>
            <w:tcBorders>
              <w:top w:val="single" w:sz="6" w:space="0" w:color="auto"/>
              <w:left w:val="single" w:sz="6" w:space="0" w:color="auto"/>
              <w:bottom w:val="single" w:sz="6" w:space="0" w:color="auto"/>
              <w:right w:val="single" w:sz="6" w:space="0" w:color="auto"/>
            </w:tcBorders>
            <w:hideMark/>
          </w:tcPr>
          <w:p w14:paraId="7DF007D3"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7C693564" w14:textId="77777777" w:rsidR="00C81100" w:rsidRDefault="00C81100" w:rsidP="00AD2F6B">
            <w:pPr>
              <w:pStyle w:val="TAC"/>
            </w:pPr>
            <w:r>
              <w:t>-50</w:t>
            </w:r>
          </w:p>
        </w:tc>
      </w:tr>
      <w:tr w:rsidR="00C81100" w14:paraId="4AEE302E" w14:textId="77777777" w:rsidTr="00AD2F6B">
        <w:trPr>
          <w:jc w:val="center"/>
        </w:trPr>
        <w:tc>
          <w:tcPr>
            <w:tcW w:w="1026" w:type="dxa"/>
            <w:tcBorders>
              <w:top w:val="nil"/>
              <w:left w:val="single" w:sz="4" w:space="0" w:color="auto"/>
              <w:bottom w:val="nil"/>
              <w:right w:val="single" w:sz="6" w:space="0" w:color="auto"/>
            </w:tcBorders>
            <w:hideMark/>
          </w:tcPr>
          <w:p w14:paraId="0010ABEF" w14:textId="77777777" w:rsidR="00C81100" w:rsidRDefault="00C81100" w:rsidP="00AD2F6B">
            <w:pPr>
              <w:pStyle w:val="TAC"/>
            </w:pPr>
            <w:r>
              <w:rPr>
                <w:rFonts w:cs="Arial"/>
              </w:rPr>
              <w:t>±</w:t>
            </w:r>
            <w:r>
              <w:t>[3.0]</w:t>
            </w:r>
          </w:p>
        </w:tc>
        <w:tc>
          <w:tcPr>
            <w:tcW w:w="1026" w:type="dxa"/>
            <w:tcBorders>
              <w:top w:val="nil"/>
              <w:left w:val="single" w:sz="6" w:space="0" w:color="auto"/>
              <w:bottom w:val="nil"/>
              <w:right w:val="single" w:sz="6" w:space="0" w:color="auto"/>
            </w:tcBorders>
            <w:hideMark/>
          </w:tcPr>
          <w:p w14:paraId="1AA0ADF1" w14:textId="77777777" w:rsidR="00C81100" w:rsidRDefault="00C81100" w:rsidP="00AD2F6B">
            <w:pPr>
              <w:pStyle w:val="TAC"/>
            </w:pPr>
            <w:r>
              <w:rPr>
                <w:rFonts w:cs="Arial"/>
              </w:rPr>
              <w:t>±</w:t>
            </w:r>
            <w:r>
              <w:t>[4.0]</w:t>
            </w:r>
          </w:p>
        </w:tc>
        <w:tc>
          <w:tcPr>
            <w:tcW w:w="778" w:type="dxa"/>
            <w:tcBorders>
              <w:top w:val="nil"/>
              <w:left w:val="single" w:sz="6" w:space="0" w:color="auto"/>
              <w:bottom w:val="nil"/>
              <w:right w:val="single" w:sz="6" w:space="0" w:color="auto"/>
            </w:tcBorders>
            <w:hideMark/>
          </w:tcPr>
          <w:p w14:paraId="213DC049" w14:textId="77777777" w:rsidR="00C81100" w:rsidRDefault="00C81100" w:rsidP="00AD2F6B">
            <w:pPr>
              <w:pStyle w:val="TAC"/>
            </w:pPr>
            <w:r>
              <w:sym w:font="Symbol" w:char="F0B3"/>
            </w:r>
            <w:r>
              <w:t>0</w:t>
            </w:r>
          </w:p>
        </w:tc>
        <w:tc>
          <w:tcPr>
            <w:tcW w:w="709" w:type="dxa"/>
            <w:tcBorders>
              <w:top w:val="nil"/>
              <w:left w:val="single" w:sz="6" w:space="0" w:color="auto"/>
              <w:bottom w:val="nil"/>
              <w:right w:val="single" w:sz="6" w:space="0" w:color="auto"/>
            </w:tcBorders>
          </w:tcPr>
          <w:p w14:paraId="59066776" w14:textId="77777777" w:rsidR="00C81100" w:rsidRDefault="00C81100" w:rsidP="00AD2F6B">
            <w:pPr>
              <w:pStyle w:val="TAC"/>
            </w:pPr>
            <w:r>
              <w:sym w:font="Symbol" w:char="F0B3"/>
            </w:r>
            <w:r>
              <w:t>0</w:t>
            </w:r>
          </w:p>
        </w:tc>
        <w:tc>
          <w:tcPr>
            <w:tcW w:w="1701" w:type="dxa"/>
            <w:tcBorders>
              <w:top w:val="single" w:sz="6" w:space="0" w:color="auto"/>
              <w:left w:val="single" w:sz="6" w:space="0" w:color="auto"/>
              <w:bottom w:val="single" w:sz="6" w:space="0" w:color="auto"/>
              <w:right w:val="single" w:sz="4" w:space="0" w:color="auto"/>
            </w:tcBorders>
            <w:hideMark/>
          </w:tcPr>
          <w:p w14:paraId="65BBF14E" w14:textId="77777777" w:rsidR="00C81100" w:rsidRDefault="00C81100" w:rsidP="00AD2F6B">
            <w:pPr>
              <w:pStyle w:val="TAC"/>
              <w:rPr>
                <w:lang w:val="sv-SE"/>
              </w:rPr>
            </w:pPr>
            <w:r>
              <w:rPr>
                <w:lang w:val="sv-SE"/>
              </w:rPr>
              <w:t>NR_FDD_FR1_D, NR_TDD_FR1_D</w:t>
            </w:r>
          </w:p>
        </w:tc>
        <w:tc>
          <w:tcPr>
            <w:tcW w:w="709" w:type="dxa"/>
            <w:tcBorders>
              <w:top w:val="single" w:sz="6" w:space="0" w:color="auto"/>
              <w:left w:val="single" w:sz="4" w:space="0" w:color="auto"/>
              <w:bottom w:val="single" w:sz="6" w:space="0" w:color="auto"/>
              <w:right w:val="single" w:sz="6" w:space="0" w:color="auto"/>
            </w:tcBorders>
            <w:hideMark/>
          </w:tcPr>
          <w:p w14:paraId="76253C90" w14:textId="77777777" w:rsidR="00C81100" w:rsidRDefault="00C81100" w:rsidP="00AD2F6B">
            <w:pPr>
              <w:pStyle w:val="TAC"/>
            </w:pPr>
            <w:r>
              <w:t>-119.5</w:t>
            </w:r>
          </w:p>
        </w:tc>
        <w:tc>
          <w:tcPr>
            <w:tcW w:w="850" w:type="dxa"/>
            <w:tcBorders>
              <w:top w:val="single" w:sz="6" w:space="0" w:color="auto"/>
              <w:left w:val="single" w:sz="4" w:space="0" w:color="auto"/>
              <w:bottom w:val="single" w:sz="6" w:space="0" w:color="auto"/>
              <w:right w:val="single" w:sz="6" w:space="0" w:color="auto"/>
            </w:tcBorders>
            <w:hideMark/>
          </w:tcPr>
          <w:p w14:paraId="0D914A7D" w14:textId="77777777" w:rsidR="00C81100" w:rsidRDefault="00C81100" w:rsidP="00AD2F6B">
            <w:pPr>
              <w:pStyle w:val="TAC"/>
            </w:pPr>
            <w:r>
              <w:t>-116.5</w:t>
            </w:r>
          </w:p>
        </w:tc>
        <w:tc>
          <w:tcPr>
            <w:tcW w:w="734" w:type="dxa"/>
            <w:tcBorders>
              <w:top w:val="single" w:sz="6" w:space="0" w:color="auto"/>
              <w:left w:val="single" w:sz="4" w:space="0" w:color="auto"/>
              <w:bottom w:val="single" w:sz="6" w:space="0" w:color="auto"/>
              <w:right w:val="single" w:sz="6" w:space="0" w:color="auto"/>
            </w:tcBorders>
          </w:tcPr>
          <w:p w14:paraId="19E35FB9" w14:textId="77777777" w:rsidR="00C81100" w:rsidRDefault="00C81100" w:rsidP="00AD2F6B">
            <w:pPr>
              <w:pStyle w:val="TAC"/>
            </w:pPr>
            <w:r>
              <w:t>-113.5</w:t>
            </w:r>
          </w:p>
        </w:tc>
        <w:tc>
          <w:tcPr>
            <w:tcW w:w="1440" w:type="dxa"/>
            <w:tcBorders>
              <w:top w:val="single" w:sz="6" w:space="0" w:color="auto"/>
              <w:left w:val="single" w:sz="6" w:space="0" w:color="auto"/>
              <w:bottom w:val="single" w:sz="6" w:space="0" w:color="auto"/>
              <w:right w:val="single" w:sz="6" w:space="0" w:color="auto"/>
            </w:tcBorders>
            <w:hideMark/>
          </w:tcPr>
          <w:p w14:paraId="42DC0C88"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0ED98C75" w14:textId="77777777" w:rsidR="00C81100" w:rsidRDefault="00C81100" w:rsidP="00AD2F6B">
            <w:pPr>
              <w:pStyle w:val="TAC"/>
            </w:pPr>
            <w:r>
              <w:t>-50</w:t>
            </w:r>
          </w:p>
        </w:tc>
      </w:tr>
      <w:tr w:rsidR="00C81100" w14:paraId="54CBEEF9" w14:textId="77777777" w:rsidTr="00AD2F6B">
        <w:trPr>
          <w:jc w:val="center"/>
        </w:trPr>
        <w:tc>
          <w:tcPr>
            <w:tcW w:w="1026" w:type="dxa"/>
            <w:tcBorders>
              <w:top w:val="nil"/>
              <w:left w:val="single" w:sz="4" w:space="0" w:color="auto"/>
              <w:bottom w:val="nil"/>
              <w:right w:val="single" w:sz="6" w:space="0" w:color="auto"/>
            </w:tcBorders>
          </w:tcPr>
          <w:p w14:paraId="2EBB4016"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60964AA1"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00B9FD00"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7A2B9BCC"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7604E727" w14:textId="77777777" w:rsidR="00C81100" w:rsidRDefault="00C81100" w:rsidP="00AD2F6B">
            <w:pPr>
              <w:pStyle w:val="TAC"/>
              <w:rPr>
                <w:lang w:val="sv-SE"/>
              </w:rPr>
            </w:pPr>
            <w:r>
              <w:rPr>
                <w:lang w:val="sv-SE"/>
              </w:rPr>
              <w:t>NR_FDD_FR1_E, NR_TDD_FR1_E</w:t>
            </w:r>
          </w:p>
        </w:tc>
        <w:tc>
          <w:tcPr>
            <w:tcW w:w="709" w:type="dxa"/>
            <w:tcBorders>
              <w:top w:val="single" w:sz="6" w:space="0" w:color="auto"/>
              <w:left w:val="single" w:sz="4" w:space="0" w:color="auto"/>
              <w:bottom w:val="single" w:sz="6" w:space="0" w:color="auto"/>
              <w:right w:val="single" w:sz="6" w:space="0" w:color="auto"/>
            </w:tcBorders>
            <w:hideMark/>
          </w:tcPr>
          <w:p w14:paraId="3524CD43" w14:textId="77777777" w:rsidR="00C81100" w:rsidRDefault="00C81100" w:rsidP="00AD2F6B">
            <w:pPr>
              <w:pStyle w:val="TAC"/>
            </w:pPr>
            <w:r>
              <w:t>-119</w:t>
            </w:r>
          </w:p>
        </w:tc>
        <w:tc>
          <w:tcPr>
            <w:tcW w:w="850" w:type="dxa"/>
            <w:tcBorders>
              <w:top w:val="single" w:sz="6" w:space="0" w:color="auto"/>
              <w:left w:val="single" w:sz="4" w:space="0" w:color="auto"/>
              <w:bottom w:val="single" w:sz="6" w:space="0" w:color="auto"/>
              <w:right w:val="single" w:sz="6" w:space="0" w:color="auto"/>
            </w:tcBorders>
            <w:hideMark/>
          </w:tcPr>
          <w:p w14:paraId="5FE35430" w14:textId="77777777" w:rsidR="00C81100" w:rsidRDefault="00C81100" w:rsidP="00AD2F6B">
            <w:pPr>
              <w:pStyle w:val="TAC"/>
              <w:rPr>
                <w:lang w:val="sv-SE"/>
              </w:rPr>
            </w:pPr>
            <w:r>
              <w:t>-116</w:t>
            </w:r>
          </w:p>
        </w:tc>
        <w:tc>
          <w:tcPr>
            <w:tcW w:w="734" w:type="dxa"/>
            <w:tcBorders>
              <w:top w:val="single" w:sz="6" w:space="0" w:color="auto"/>
              <w:left w:val="single" w:sz="4" w:space="0" w:color="auto"/>
              <w:bottom w:val="single" w:sz="6" w:space="0" w:color="auto"/>
              <w:right w:val="single" w:sz="6" w:space="0" w:color="auto"/>
            </w:tcBorders>
          </w:tcPr>
          <w:p w14:paraId="2F218EE7" w14:textId="77777777" w:rsidR="00C81100" w:rsidRDefault="00C81100" w:rsidP="00AD2F6B">
            <w:pPr>
              <w:pStyle w:val="TAC"/>
              <w:rPr>
                <w:lang w:val="sv-SE"/>
              </w:rPr>
            </w:pPr>
            <w:r>
              <w:t>-113</w:t>
            </w:r>
          </w:p>
        </w:tc>
        <w:tc>
          <w:tcPr>
            <w:tcW w:w="1440" w:type="dxa"/>
            <w:tcBorders>
              <w:top w:val="single" w:sz="6" w:space="0" w:color="auto"/>
              <w:left w:val="single" w:sz="6" w:space="0" w:color="auto"/>
              <w:bottom w:val="single" w:sz="6" w:space="0" w:color="auto"/>
              <w:right w:val="single" w:sz="6" w:space="0" w:color="auto"/>
            </w:tcBorders>
            <w:hideMark/>
          </w:tcPr>
          <w:p w14:paraId="3574091D"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F8E652B" w14:textId="77777777" w:rsidR="00C81100" w:rsidRDefault="00C81100" w:rsidP="00AD2F6B">
            <w:pPr>
              <w:pStyle w:val="TAC"/>
            </w:pPr>
            <w:r>
              <w:t>-50</w:t>
            </w:r>
          </w:p>
        </w:tc>
      </w:tr>
      <w:tr w:rsidR="00C81100" w14:paraId="672D855F" w14:textId="77777777" w:rsidTr="00AD2F6B">
        <w:trPr>
          <w:jc w:val="center"/>
        </w:trPr>
        <w:tc>
          <w:tcPr>
            <w:tcW w:w="1026" w:type="dxa"/>
            <w:tcBorders>
              <w:top w:val="nil"/>
              <w:left w:val="single" w:sz="4" w:space="0" w:color="auto"/>
              <w:bottom w:val="nil"/>
              <w:right w:val="single" w:sz="6" w:space="0" w:color="auto"/>
            </w:tcBorders>
          </w:tcPr>
          <w:p w14:paraId="2E9BA3D2"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23E86F34"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26FEF569"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1E19769E"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51E84B16" w14:textId="77777777" w:rsidR="00C81100" w:rsidRDefault="00C81100" w:rsidP="00AD2F6B">
            <w:pPr>
              <w:pStyle w:val="TAC"/>
              <w:rPr>
                <w:lang w:val="sv-SE"/>
              </w:rPr>
            </w:pPr>
            <w:r>
              <w:rPr>
                <w:lang w:eastAsia="zh-CN"/>
              </w:rPr>
              <w:t>NR_FDD_FR1_F</w:t>
            </w:r>
          </w:p>
        </w:tc>
        <w:tc>
          <w:tcPr>
            <w:tcW w:w="709" w:type="dxa"/>
            <w:tcBorders>
              <w:top w:val="single" w:sz="6" w:space="0" w:color="auto"/>
              <w:left w:val="single" w:sz="4" w:space="0" w:color="auto"/>
              <w:bottom w:val="single" w:sz="6" w:space="0" w:color="auto"/>
              <w:right w:val="single" w:sz="6" w:space="0" w:color="auto"/>
            </w:tcBorders>
            <w:hideMark/>
          </w:tcPr>
          <w:p w14:paraId="579573F7" w14:textId="77777777" w:rsidR="00C81100" w:rsidRDefault="00C81100" w:rsidP="00AD2F6B">
            <w:pPr>
              <w:pStyle w:val="TAC"/>
            </w:pPr>
            <w:r>
              <w:t>-118.5</w:t>
            </w:r>
          </w:p>
        </w:tc>
        <w:tc>
          <w:tcPr>
            <w:tcW w:w="850" w:type="dxa"/>
            <w:tcBorders>
              <w:top w:val="single" w:sz="6" w:space="0" w:color="auto"/>
              <w:left w:val="single" w:sz="4" w:space="0" w:color="auto"/>
              <w:bottom w:val="single" w:sz="6" w:space="0" w:color="auto"/>
              <w:right w:val="single" w:sz="6" w:space="0" w:color="auto"/>
            </w:tcBorders>
            <w:hideMark/>
          </w:tcPr>
          <w:p w14:paraId="1B8EB6EE" w14:textId="77777777" w:rsidR="00C81100" w:rsidRDefault="00C81100" w:rsidP="00AD2F6B">
            <w:pPr>
              <w:pStyle w:val="TAC"/>
            </w:pPr>
            <w:r>
              <w:rPr>
                <w:rFonts w:cs="Arial"/>
              </w:rPr>
              <w:t>-115.5</w:t>
            </w:r>
          </w:p>
        </w:tc>
        <w:tc>
          <w:tcPr>
            <w:tcW w:w="734" w:type="dxa"/>
            <w:tcBorders>
              <w:top w:val="single" w:sz="6" w:space="0" w:color="auto"/>
              <w:left w:val="single" w:sz="4" w:space="0" w:color="auto"/>
              <w:bottom w:val="single" w:sz="6" w:space="0" w:color="auto"/>
              <w:right w:val="single" w:sz="6" w:space="0" w:color="auto"/>
            </w:tcBorders>
          </w:tcPr>
          <w:p w14:paraId="4D0C8707" w14:textId="77777777" w:rsidR="00C81100" w:rsidRDefault="00C81100" w:rsidP="00AD2F6B">
            <w:pPr>
              <w:pStyle w:val="TAC"/>
            </w:pPr>
            <w:r>
              <w:rPr>
                <w:rFonts w:cs="Arial"/>
              </w:rPr>
              <w:t>-112.5</w:t>
            </w:r>
          </w:p>
        </w:tc>
        <w:tc>
          <w:tcPr>
            <w:tcW w:w="1440" w:type="dxa"/>
            <w:tcBorders>
              <w:top w:val="single" w:sz="6" w:space="0" w:color="auto"/>
              <w:left w:val="single" w:sz="6" w:space="0" w:color="auto"/>
              <w:bottom w:val="single" w:sz="6" w:space="0" w:color="auto"/>
              <w:right w:val="single" w:sz="6" w:space="0" w:color="auto"/>
            </w:tcBorders>
            <w:hideMark/>
          </w:tcPr>
          <w:p w14:paraId="74A4E4B7"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74E74420" w14:textId="77777777" w:rsidR="00C81100" w:rsidRDefault="00C81100" w:rsidP="00AD2F6B">
            <w:pPr>
              <w:pStyle w:val="TAC"/>
            </w:pPr>
            <w:r>
              <w:t>-50</w:t>
            </w:r>
          </w:p>
        </w:tc>
      </w:tr>
      <w:tr w:rsidR="00C81100" w14:paraId="4D8173AD" w14:textId="77777777" w:rsidTr="00AD2F6B">
        <w:trPr>
          <w:jc w:val="center"/>
        </w:trPr>
        <w:tc>
          <w:tcPr>
            <w:tcW w:w="1026" w:type="dxa"/>
            <w:tcBorders>
              <w:top w:val="nil"/>
              <w:left w:val="single" w:sz="4" w:space="0" w:color="auto"/>
              <w:bottom w:val="nil"/>
              <w:right w:val="single" w:sz="6" w:space="0" w:color="auto"/>
            </w:tcBorders>
          </w:tcPr>
          <w:p w14:paraId="58627031"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5376EA1B"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13FFF3A4"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5D328848"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76A32AB6" w14:textId="77777777" w:rsidR="00C81100" w:rsidRDefault="00C81100" w:rsidP="00AD2F6B">
            <w:pPr>
              <w:pStyle w:val="TAC"/>
              <w:rPr>
                <w:lang w:eastAsia="zh-CN"/>
              </w:rPr>
            </w:pPr>
            <w:r>
              <w:rPr>
                <w:lang w:eastAsia="zh-CN"/>
              </w:rPr>
              <w:t>NR</w:t>
            </w:r>
            <w:r>
              <w:t>_</w:t>
            </w:r>
            <w:r>
              <w:rPr>
                <w:lang w:eastAsia="zh-CN"/>
              </w:rPr>
              <w:t>FDD_FR1_G</w:t>
            </w:r>
          </w:p>
        </w:tc>
        <w:tc>
          <w:tcPr>
            <w:tcW w:w="709" w:type="dxa"/>
            <w:tcBorders>
              <w:top w:val="single" w:sz="6" w:space="0" w:color="auto"/>
              <w:left w:val="single" w:sz="4" w:space="0" w:color="auto"/>
              <w:bottom w:val="single" w:sz="6" w:space="0" w:color="auto"/>
              <w:right w:val="single" w:sz="6" w:space="0" w:color="auto"/>
            </w:tcBorders>
            <w:hideMark/>
          </w:tcPr>
          <w:p w14:paraId="6CAA9248" w14:textId="77777777" w:rsidR="00C81100" w:rsidRDefault="00C81100" w:rsidP="00AD2F6B">
            <w:pPr>
              <w:pStyle w:val="TAC"/>
            </w:pPr>
            <w:r>
              <w:t>-118</w:t>
            </w:r>
          </w:p>
        </w:tc>
        <w:tc>
          <w:tcPr>
            <w:tcW w:w="850" w:type="dxa"/>
            <w:tcBorders>
              <w:top w:val="single" w:sz="6" w:space="0" w:color="auto"/>
              <w:left w:val="single" w:sz="4" w:space="0" w:color="auto"/>
              <w:bottom w:val="single" w:sz="6" w:space="0" w:color="auto"/>
              <w:right w:val="single" w:sz="6" w:space="0" w:color="auto"/>
            </w:tcBorders>
            <w:hideMark/>
          </w:tcPr>
          <w:p w14:paraId="66BAD242" w14:textId="77777777" w:rsidR="00C81100" w:rsidRDefault="00C81100" w:rsidP="00AD2F6B">
            <w:pPr>
              <w:pStyle w:val="TAC"/>
              <w:rPr>
                <w:rFonts w:cs="Arial"/>
                <w:lang w:val="sv-SE"/>
              </w:rPr>
            </w:pPr>
            <w:r>
              <w:rPr>
                <w:rFonts w:cs="Arial"/>
              </w:rPr>
              <w:t>-115</w:t>
            </w:r>
          </w:p>
        </w:tc>
        <w:tc>
          <w:tcPr>
            <w:tcW w:w="734" w:type="dxa"/>
            <w:tcBorders>
              <w:top w:val="single" w:sz="6" w:space="0" w:color="auto"/>
              <w:left w:val="single" w:sz="4" w:space="0" w:color="auto"/>
              <w:bottom w:val="single" w:sz="6" w:space="0" w:color="auto"/>
              <w:right w:val="single" w:sz="6" w:space="0" w:color="auto"/>
            </w:tcBorders>
          </w:tcPr>
          <w:p w14:paraId="282122CB" w14:textId="77777777" w:rsidR="00C81100" w:rsidRDefault="00C81100" w:rsidP="00AD2F6B">
            <w:pPr>
              <w:pStyle w:val="TAC"/>
              <w:rPr>
                <w:rFonts w:cs="Arial"/>
                <w:lang w:val="sv-SE"/>
              </w:rPr>
            </w:pPr>
            <w:r>
              <w:rPr>
                <w:rFonts w:cs="Arial"/>
              </w:rPr>
              <w:t>-112</w:t>
            </w:r>
          </w:p>
        </w:tc>
        <w:tc>
          <w:tcPr>
            <w:tcW w:w="1440" w:type="dxa"/>
            <w:tcBorders>
              <w:top w:val="single" w:sz="6" w:space="0" w:color="auto"/>
              <w:left w:val="single" w:sz="6" w:space="0" w:color="auto"/>
              <w:bottom w:val="single" w:sz="6" w:space="0" w:color="auto"/>
              <w:right w:val="single" w:sz="6" w:space="0" w:color="auto"/>
            </w:tcBorders>
            <w:hideMark/>
          </w:tcPr>
          <w:p w14:paraId="1A40800B"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77CE59C" w14:textId="77777777" w:rsidR="00C81100" w:rsidRDefault="00C81100" w:rsidP="00AD2F6B">
            <w:pPr>
              <w:pStyle w:val="TAC"/>
            </w:pPr>
            <w:r>
              <w:t>-50</w:t>
            </w:r>
          </w:p>
        </w:tc>
      </w:tr>
      <w:tr w:rsidR="00C81100" w14:paraId="18BD87A9" w14:textId="77777777" w:rsidTr="00AD2F6B">
        <w:trPr>
          <w:jc w:val="center"/>
        </w:trPr>
        <w:tc>
          <w:tcPr>
            <w:tcW w:w="1026" w:type="dxa"/>
            <w:tcBorders>
              <w:top w:val="nil"/>
              <w:left w:val="single" w:sz="4" w:space="0" w:color="auto"/>
              <w:bottom w:val="nil"/>
              <w:right w:val="single" w:sz="6" w:space="0" w:color="auto"/>
            </w:tcBorders>
          </w:tcPr>
          <w:p w14:paraId="7A3FA429"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7689C3CF" w14:textId="77777777" w:rsidR="00C81100" w:rsidRDefault="00C81100" w:rsidP="00AD2F6B">
            <w:pPr>
              <w:pStyle w:val="TAC"/>
            </w:pPr>
          </w:p>
        </w:tc>
        <w:tc>
          <w:tcPr>
            <w:tcW w:w="778" w:type="dxa"/>
            <w:tcBorders>
              <w:top w:val="nil"/>
              <w:left w:val="single" w:sz="6" w:space="0" w:color="auto"/>
              <w:bottom w:val="nil"/>
              <w:right w:val="single" w:sz="6" w:space="0" w:color="auto"/>
            </w:tcBorders>
          </w:tcPr>
          <w:p w14:paraId="1E29D36A" w14:textId="77777777" w:rsidR="00C81100" w:rsidRDefault="00C81100" w:rsidP="00AD2F6B">
            <w:pPr>
              <w:pStyle w:val="TAC"/>
            </w:pPr>
          </w:p>
        </w:tc>
        <w:tc>
          <w:tcPr>
            <w:tcW w:w="709" w:type="dxa"/>
            <w:tcBorders>
              <w:top w:val="nil"/>
              <w:left w:val="single" w:sz="6" w:space="0" w:color="auto"/>
              <w:bottom w:val="nil"/>
              <w:right w:val="single" w:sz="6" w:space="0" w:color="auto"/>
            </w:tcBorders>
          </w:tcPr>
          <w:p w14:paraId="45A03CAF" w14:textId="77777777" w:rsidR="00C81100" w:rsidRDefault="00C81100" w:rsidP="00AD2F6B">
            <w:pPr>
              <w:pStyle w:val="TAC"/>
            </w:pPr>
          </w:p>
        </w:tc>
        <w:tc>
          <w:tcPr>
            <w:tcW w:w="1701" w:type="dxa"/>
            <w:tcBorders>
              <w:top w:val="single" w:sz="6" w:space="0" w:color="auto"/>
              <w:left w:val="single" w:sz="6" w:space="0" w:color="auto"/>
              <w:bottom w:val="single" w:sz="6" w:space="0" w:color="auto"/>
              <w:right w:val="single" w:sz="4" w:space="0" w:color="auto"/>
            </w:tcBorders>
            <w:hideMark/>
          </w:tcPr>
          <w:p w14:paraId="2F44E1BD" w14:textId="77777777" w:rsidR="00C81100" w:rsidRDefault="00C81100" w:rsidP="00AD2F6B">
            <w:pPr>
              <w:pStyle w:val="TAC"/>
              <w:rPr>
                <w:lang w:eastAsia="zh-CN"/>
              </w:rPr>
            </w:pPr>
            <w:r>
              <w:rPr>
                <w:lang w:eastAsia="zh-CN"/>
              </w:rPr>
              <w:t>NR</w:t>
            </w:r>
            <w:r>
              <w:t>_</w:t>
            </w:r>
            <w:r>
              <w:rPr>
                <w:lang w:eastAsia="zh-CN"/>
              </w:rPr>
              <w:t>FDD_FR1_H</w:t>
            </w:r>
          </w:p>
        </w:tc>
        <w:tc>
          <w:tcPr>
            <w:tcW w:w="709" w:type="dxa"/>
            <w:tcBorders>
              <w:top w:val="single" w:sz="6" w:space="0" w:color="auto"/>
              <w:left w:val="single" w:sz="4" w:space="0" w:color="auto"/>
              <w:bottom w:val="single" w:sz="6" w:space="0" w:color="auto"/>
              <w:right w:val="single" w:sz="6" w:space="0" w:color="auto"/>
            </w:tcBorders>
            <w:hideMark/>
          </w:tcPr>
          <w:p w14:paraId="0094D32D" w14:textId="77777777" w:rsidR="00C81100" w:rsidRDefault="00C81100" w:rsidP="00AD2F6B">
            <w:pPr>
              <w:pStyle w:val="TAC"/>
            </w:pPr>
            <w:r>
              <w:t>-117.5</w:t>
            </w:r>
          </w:p>
        </w:tc>
        <w:tc>
          <w:tcPr>
            <w:tcW w:w="850" w:type="dxa"/>
            <w:tcBorders>
              <w:top w:val="single" w:sz="6" w:space="0" w:color="auto"/>
              <w:left w:val="single" w:sz="4" w:space="0" w:color="auto"/>
              <w:bottom w:val="single" w:sz="6" w:space="0" w:color="auto"/>
              <w:right w:val="single" w:sz="6" w:space="0" w:color="auto"/>
            </w:tcBorders>
            <w:hideMark/>
          </w:tcPr>
          <w:p w14:paraId="68760BB5" w14:textId="77777777" w:rsidR="00C81100" w:rsidRDefault="00C81100" w:rsidP="00AD2F6B">
            <w:pPr>
              <w:pStyle w:val="TAC"/>
              <w:rPr>
                <w:rFonts w:cs="Arial"/>
                <w:lang w:val="sv-SE"/>
              </w:rPr>
            </w:pPr>
            <w:r>
              <w:rPr>
                <w:rFonts w:cs="Arial"/>
              </w:rPr>
              <w:t>-114.5</w:t>
            </w:r>
          </w:p>
        </w:tc>
        <w:tc>
          <w:tcPr>
            <w:tcW w:w="734" w:type="dxa"/>
            <w:tcBorders>
              <w:top w:val="single" w:sz="6" w:space="0" w:color="auto"/>
              <w:left w:val="single" w:sz="4" w:space="0" w:color="auto"/>
              <w:bottom w:val="single" w:sz="6" w:space="0" w:color="auto"/>
              <w:right w:val="single" w:sz="6" w:space="0" w:color="auto"/>
            </w:tcBorders>
          </w:tcPr>
          <w:p w14:paraId="13AC1EF6" w14:textId="77777777" w:rsidR="00C81100" w:rsidRDefault="00C81100" w:rsidP="00AD2F6B">
            <w:pPr>
              <w:pStyle w:val="TAC"/>
              <w:rPr>
                <w:rFonts w:cs="Arial"/>
                <w:lang w:val="sv-SE"/>
              </w:rPr>
            </w:pPr>
            <w:r>
              <w:rPr>
                <w:rFonts w:cs="Arial"/>
              </w:rPr>
              <w:t>-111.5</w:t>
            </w:r>
          </w:p>
        </w:tc>
        <w:tc>
          <w:tcPr>
            <w:tcW w:w="1440" w:type="dxa"/>
            <w:tcBorders>
              <w:top w:val="single" w:sz="6" w:space="0" w:color="auto"/>
              <w:left w:val="single" w:sz="6" w:space="0" w:color="auto"/>
              <w:bottom w:val="single" w:sz="6" w:space="0" w:color="auto"/>
              <w:right w:val="single" w:sz="6" w:space="0" w:color="auto"/>
            </w:tcBorders>
            <w:hideMark/>
          </w:tcPr>
          <w:p w14:paraId="4D2C7A24"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E568873" w14:textId="77777777" w:rsidR="00C81100" w:rsidRDefault="00C81100" w:rsidP="00AD2F6B">
            <w:pPr>
              <w:pStyle w:val="TAC"/>
            </w:pPr>
            <w:r>
              <w:t>-50</w:t>
            </w:r>
          </w:p>
        </w:tc>
      </w:tr>
      <w:tr w:rsidR="00C81100" w14:paraId="5B832A22" w14:textId="77777777" w:rsidTr="00AD2F6B">
        <w:trPr>
          <w:jc w:val="center"/>
        </w:trPr>
        <w:tc>
          <w:tcPr>
            <w:tcW w:w="10413" w:type="dxa"/>
            <w:gridSpan w:val="10"/>
            <w:tcBorders>
              <w:top w:val="single" w:sz="6" w:space="0" w:color="auto"/>
              <w:left w:val="single" w:sz="4" w:space="0" w:color="auto"/>
              <w:bottom w:val="single" w:sz="4" w:space="0" w:color="auto"/>
              <w:right w:val="single" w:sz="4" w:space="0" w:color="auto"/>
            </w:tcBorders>
            <w:vAlign w:val="center"/>
            <w:hideMark/>
          </w:tcPr>
          <w:p w14:paraId="063169A6" w14:textId="77777777" w:rsidR="00AF7C66" w:rsidRDefault="00AF7C66" w:rsidP="00AF7C66">
            <w:pPr>
              <w:pStyle w:val="TAN"/>
            </w:pPr>
            <w:r>
              <w:t>NOTE 1:</w:t>
            </w:r>
            <w:r>
              <w:tab/>
              <w:t>Io is assumed to have constant EPRE across the bandwidth.</w:t>
            </w:r>
          </w:p>
          <w:p w14:paraId="30AEBF57" w14:textId="77777777" w:rsidR="00AF7C66" w:rsidRDefault="00AF7C66" w:rsidP="00AF7C66">
            <w:pPr>
              <w:pStyle w:val="TAN"/>
            </w:pPr>
            <w:r>
              <w:t>NOTE 2:</w:t>
            </w:r>
            <w:r>
              <w:tab/>
              <w:t>The parameter CSI-RS CMR Ês/Iot is the minimum CMR CMR Ês/Iot of the pair of CSI-RS resources to which the requirement applies.</w:t>
            </w:r>
          </w:p>
          <w:p w14:paraId="3AEF2703" w14:textId="77777777" w:rsidR="00AF7C66" w:rsidRDefault="00AF7C66" w:rsidP="00AF7C66">
            <w:pPr>
              <w:pStyle w:val="TAN"/>
            </w:pPr>
            <w:r>
              <w:t>NOTE 3:</w:t>
            </w:r>
            <w:r>
              <w:tab/>
              <w:t>NR operating band groups in FR1 are as defined in clause 3.5.2.</w:t>
            </w:r>
          </w:p>
          <w:p w14:paraId="07301ADC" w14:textId="03B87B58" w:rsidR="00C81100" w:rsidRDefault="00AF7C66" w:rsidP="00AF7C66">
            <w:pPr>
              <w:pStyle w:val="TAN"/>
            </w:pPr>
            <w:r w:rsidRPr="009C5807">
              <w:rPr>
                <w:rFonts w:cs="Arial"/>
              </w:rPr>
              <w:t xml:space="preserve">NOTE </w:t>
            </w:r>
            <w:r>
              <w:rPr>
                <w:rFonts w:cs="Arial"/>
              </w:rPr>
              <w:t>4</w:t>
            </w:r>
            <w:r w:rsidRPr="009C5807">
              <w:rPr>
                <w:rFonts w:cs="Arial"/>
              </w:rPr>
              <w:t>:</w:t>
            </w:r>
            <w:r w:rsidRPr="009C5807">
              <w:rPr>
                <w:rFonts w:cs="Arial"/>
              </w:rPr>
              <w:tab/>
              <w:t xml:space="preserve">The requirements apply for </w:t>
            </w:r>
            <w:r w:rsidRPr="009D3FB7">
              <w:rPr>
                <w:rFonts w:cs="Arial"/>
              </w:rPr>
              <w:t>CSI-RS CMR</w:t>
            </w:r>
            <w:r>
              <w:rPr>
                <w:rFonts w:cs="Arial"/>
              </w:rPr>
              <w:t xml:space="preserve"> </w:t>
            </w:r>
            <w:r w:rsidRPr="009C5807">
              <w:rPr>
                <w:rFonts w:cs="Arial"/>
              </w:rPr>
              <w:t xml:space="preserve">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51F44DBE" w14:textId="77777777" w:rsidR="00C81100" w:rsidRDefault="00C81100" w:rsidP="003852A9"/>
    <w:p w14:paraId="24574160" w14:textId="77777777" w:rsidR="00C81100" w:rsidRDefault="00C81100" w:rsidP="00C81100">
      <w:pPr>
        <w:pStyle w:val="TH"/>
      </w:pPr>
      <w:r>
        <w:t>Table 10.1.27.3.2-2: L1-SINR relative accuracy for CSI-RS based CMR and ZP-IMR in FR1</w:t>
      </w:r>
    </w:p>
    <w:tbl>
      <w:tblPr>
        <w:tblW w:w="10413" w:type="dxa"/>
        <w:jc w:val="center"/>
        <w:tblLook w:val="01E0" w:firstRow="1" w:lastRow="1" w:firstColumn="1" w:lastColumn="1" w:noHBand="0" w:noVBand="0"/>
      </w:tblPr>
      <w:tblGrid>
        <w:gridCol w:w="1026"/>
        <w:gridCol w:w="1026"/>
        <w:gridCol w:w="917"/>
        <w:gridCol w:w="1842"/>
        <w:gridCol w:w="991"/>
        <w:gridCol w:w="851"/>
        <w:gridCol w:w="880"/>
        <w:gridCol w:w="1440"/>
        <w:gridCol w:w="1440"/>
      </w:tblGrid>
      <w:tr w:rsidR="00C81100" w14:paraId="54918287" w14:textId="77777777" w:rsidTr="00AD2F6B">
        <w:trPr>
          <w:jc w:val="center"/>
        </w:trPr>
        <w:tc>
          <w:tcPr>
            <w:tcW w:w="2052" w:type="dxa"/>
            <w:gridSpan w:val="2"/>
            <w:tcBorders>
              <w:top w:val="single" w:sz="4" w:space="0" w:color="auto"/>
              <w:left w:val="single" w:sz="4" w:space="0" w:color="auto"/>
              <w:bottom w:val="single" w:sz="6" w:space="0" w:color="auto"/>
              <w:right w:val="single" w:sz="6" w:space="0" w:color="auto"/>
            </w:tcBorders>
            <w:vAlign w:val="center"/>
            <w:hideMark/>
          </w:tcPr>
          <w:p w14:paraId="4273C110" w14:textId="77777777" w:rsidR="00C81100" w:rsidRDefault="00C81100" w:rsidP="00AD2F6B">
            <w:pPr>
              <w:pStyle w:val="TAH"/>
            </w:pPr>
            <w:r>
              <w:t>Accuracy</w:t>
            </w:r>
          </w:p>
        </w:tc>
        <w:tc>
          <w:tcPr>
            <w:tcW w:w="8361" w:type="dxa"/>
            <w:gridSpan w:val="7"/>
            <w:tcBorders>
              <w:top w:val="single" w:sz="4" w:space="0" w:color="auto"/>
              <w:left w:val="single" w:sz="6" w:space="0" w:color="auto"/>
              <w:bottom w:val="single" w:sz="6" w:space="0" w:color="auto"/>
              <w:right w:val="single" w:sz="4" w:space="0" w:color="auto"/>
            </w:tcBorders>
            <w:vAlign w:val="center"/>
            <w:hideMark/>
          </w:tcPr>
          <w:p w14:paraId="6DC25DB3" w14:textId="77777777" w:rsidR="00C81100" w:rsidRDefault="00C81100" w:rsidP="00AD2F6B">
            <w:pPr>
              <w:pStyle w:val="TAH"/>
            </w:pPr>
            <w:r>
              <w:t>Conditions</w:t>
            </w:r>
          </w:p>
        </w:tc>
      </w:tr>
      <w:tr w:rsidR="00C81100" w14:paraId="096D6570" w14:textId="77777777" w:rsidTr="00930E00">
        <w:trPr>
          <w:jc w:val="center"/>
        </w:trPr>
        <w:tc>
          <w:tcPr>
            <w:tcW w:w="1026" w:type="dxa"/>
            <w:tcBorders>
              <w:top w:val="single" w:sz="6" w:space="0" w:color="auto"/>
              <w:left w:val="single" w:sz="4" w:space="0" w:color="auto"/>
              <w:bottom w:val="nil"/>
              <w:right w:val="single" w:sz="6" w:space="0" w:color="auto"/>
            </w:tcBorders>
            <w:vAlign w:val="center"/>
            <w:hideMark/>
          </w:tcPr>
          <w:p w14:paraId="6D496176" w14:textId="77777777" w:rsidR="00C81100" w:rsidRDefault="00C81100" w:rsidP="00AD2F6B">
            <w:pPr>
              <w:pStyle w:val="TAH"/>
            </w:pPr>
            <w:r>
              <w:t>Normal condition</w:t>
            </w:r>
          </w:p>
        </w:tc>
        <w:tc>
          <w:tcPr>
            <w:tcW w:w="1026" w:type="dxa"/>
            <w:tcBorders>
              <w:top w:val="single" w:sz="6" w:space="0" w:color="auto"/>
              <w:left w:val="single" w:sz="6" w:space="0" w:color="auto"/>
              <w:bottom w:val="nil"/>
              <w:right w:val="single" w:sz="6" w:space="0" w:color="auto"/>
            </w:tcBorders>
            <w:vAlign w:val="center"/>
            <w:hideMark/>
          </w:tcPr>
          <w:p w14:paraId="332CE5B4" w14:textId="77777777" w:rsidR="00C81100" w:rsidRDefault="00C81100" w:rsidP="00AD2F6B">
            <w:pPr>
              <w:pStyle w:val="TAH"/>
            </w:pPr>
            <w:r>
              <w:t>Extreme condition</w:t>
            </w:r>
          </w:p>
        </w:tc>
        <w:tc>
          <w:tcPr>
            <w:tcW w:w="917" w:type="dxa"/>
            <w:tcBorders>
              <w:top w:val="single" w:sz="6" w:space="0" w:color="auto"/>
              <w:left w:val="single" w:sz="6" w:space="0" w:color="auto"/>
              <w:bottom w:val="nil"/>
              <w:right w:val="single" w:sz="6" w:space="0" w:color="auto"/>
            </w:tcBorders>
            <w:vAlign w:val="center"/>
            <w:hideMark/>
          </w:tcPr>
          <w:p w14:paraId="5C74EB5A" w14:textId="77777777" w:rsidR="00C81100" w:rsidRDefault="00C81100" w:rsidP="00AD2F6B">
            <w:pPr>
              <w:pStyle w:val="TAH"/>
            </w:pPr>
            <w:r>
              <w:t xml:space="preserve">CSI-RS </w:t>
            </w:r>
          </w:p>
          <w:p w14:paraId="0C75C80C" w14:textId="5DF080BA" w:rsidR="00C81100" w:rsidRDefault="00C81100" w:rsidP="00AD2F6B">
            <w:pPr>
              <w:pStyle w:val="TAH"/>
            </w:pPr>
            <w:r>
              <w:t>CMR Ês/Iot</w:t>
            </w:r>
            <w:r w:rsidR="005A3DF0">
              <w:rPr>
                <w:vertAlign w:val="superscript"/>
              </w:rPr>
              <w:t xml:space="preserve"> Note 2</w:t>
            </w:r>
          </w:p>
        </w:tc>
        <w:tc>
          <w:tcPr>
            <w:tcW w:w="7444" w:type="dxa"/>
            <w:gridSpan w:val="6"/>
            <w:tcBorders>
              <w:top w:val="single" w:sz="6" w:space="0" w:color="auto"/>
              <w:left w:val="single" w:sz="6" w:space="0" w:color="auto"/>
              <w:bottom w:val="single" w:sz="6" w:space="0" w:color="auto"/>
              <w:right w:val="single" w:sz="4" w:space="0" w:color="auto"/>
            </w:tcBorders>
            <w:vAlign w:val="center"/>
            <w:hideMark/>
          </w:tcPr>
          <w:p w14:paraId="1D881A80" w14:textId="77777777" w:rsidR="00C81100" w:rsidRDefault="00C81100" w:rsidP="00AD2F6B">
            <w:pPr>
              <w:pStyle w:val="TAH"/>
            </w:pPr>
            <w:r>
              <w:t>Io</w:t>
            </w:r>
            <w:r>
              <w:rPr>
                <w:vertAlign w:val="superscript"/>
              </w:rPr>
              <w:t xml:space="preserve"> Note 1</w:t>
            </w:r>
            <w:r>
              <w:t xml:space="preserve"> range</w:t>
            </w:r>
          </w:p>
        </w:tc>
      </w:tr>
      <w:tr w:rsidR="00C81100" w14:paraId="351699FF" w14:textId="77777777" w:rsidTr="00930E00">
        <w:trPr>
          <w:jc w:val="center"/>
        </w:trPr>
        <w:tc>
          <w:tcPr>
            <w:tcW w:w="1026" w:type="dxa"/>
            <w:tcBorders>
              <w:top w:val="nil"/>
              <w:left w:val="single" w:sz="4" w:space="0" w:color="auto"/>
              <w:bottom w:val="single" w:sz="6" w:space="0" w:color="auto"/>
              <w:right w:val="single" w:sz="6" w:space="0" w:color="auto"/>
            </w:tcBorders>
            <w:vAlign w:val="center"/>
          </w:tcPr>
          <w:p w14:paraId="44D9315C"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5B476EB0" w14:textId="77777777" w:rsidR="00C81100" w:rsidRDefault="00C81100" w:rsidP="00AD2F6B">
            <w:pPr>
              <w:pStyle w:val="TAH"/>
            </w:pPr>
          </w:p>
        </w:tc>
        <w:tc>
          <w:tcPr>
            <w:tcW w:w="917" w:type="dxa"/>
            <w:tcBorders>
              <w:top w:val="nil"/>
              <w:left w:val="single" w:sz="6" w:space="0" w:color="auto"/>
              <w:bottom w:val="single" w:sz="6" w:space="0" w:color="auto"/>
              <w:right w:val="single" w:sz="6" w:space="0" w:color="auto"/>
            </w:tcBorders>
            <w:vAlign w:val="center"/>
          </w:tcPr>
          <w:p w14:paraId="5E6E2EBA" w14:textId="77777777" w:rsidR="00C81100" w:rsidRDefault="00C81100" w:rsidP="00AD2F6B">
            <w:pPr>
              <w:pStyle w:val="TAH"/>
            </w:pPr>
          </w:p>
        </w:tc>
        <w:tc>
          <w:tcPr>
            <w:tcW w:w="1842" w:type="dxa"/>
            <w:tcBorders>
              <w:top w:val="single" w:sz="6" w:space="0" w:color="auto"/>
              <w:left w:val="single" w:sz="6" w:space="0" w:color="auto"/>
              <w:bottom w:val="single" w:sz="6" w:space="0" w:color="auto"/>
              <w:right w:val="single" w:sz="4" w:space="0" w:color="auto"/>
            </w:tcBorders>
            <w:vAlign w:val="center"/>
            <w:hideMark/>
          </w:tcPr>
          <w:p w14:paraId="440378C7" w14:textId="6FA156A5" w:rsidR="00C81100" w:rsidRDefault="00C81100" w:rsidP="00AD2F6B">
            <w:pPr>
              <w:pStyle w:val="TAH"/>
            </w:pPr>
            <w:r>
              <w:t>NR operating band groups</w:t>
            </w:r>
            <w:r>
              <w:rPr>
                <w:vertAlign w:val="superscript"/>
              </w:rPr>
              <w:t xml:space="preserve"> Note </w:t>
            </w:r>
            <w:r w:rsidR="005A3DF0">
              <w:rPr>
                <w:vertAlign w:val="superscript"/>
              </w:rPr>
              <w:t>3</w:t>
            </w:r>
          </w:p>
        </w:tc>
        <w:tc>
          <w:tcPr>
            <w:tcW w:w="4162" w:type="dxa"/>
            <w:gridSpan w:val="4"/>
            <w:tcBorders>
              <w:top w:val="single" w:sz="4" w:space="0" w:color="auto"/>
              <w:left w:val="single" w:sz="4" w:space="0" w:color="auto"/>
              <w:bottom w:val="single" w:sz="6" w:space="0" w:color="auto"/>
              <w:right w:val="single" w:sz="6" w:space="0" w:color="auto"/>
            </w:tcBorders>
            <w:vAlign w:val="center"/>
            <w:hideMark/>
          </w:tcPr>
          <w:p w14:paraId="543D30A6" w14:textId="77777777" w:rsidR="00C81100" w:rsidRDefault="00C811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4A803FA6" w14:textId="77777777" w:rsidR="00C81100" w:rsidRDefault="00C81100" w:rsidP="00AD2F6B">
            <w:pPr>
              <w:pStyle w:val="TAH"/>
            </w:pPr>
            <w:r>
              <w:t>Maximum Io</w:t>
            </w:r>
          </w:p>
        </w:tc>
      </w:tr>
      <w:tr w:rsidR="00C81100" w14:paraId="037CFD0F" w14:textId="77777777" w:rsidTr="00930E00">
        <w:trPr>
          <w:trHeight w:val="308"/>
          <w:jc w:val="center"/>
        </w:trPr>
        <w:tc>
          <w:tcPr>
            <w:tcW w:w="1026" w:type="dxa"/>
            <w:tcBorders>
              <w:top w:val="single" w:sz="6" w:space="0" w:color="auto"/>
              <w:left w:val="single" w:sz="4" w:space="0" w:color="auto"/>
              <w:bottom w:val="nil"/>
              <w:right w:val="single" w:sz="6" w:space="0" w:color="auto"/>
            </w:tcBorders>
            <w:vAlign w:val="center"/>
            <w:hideMark/>
          </w:tcPr>
          <w:p w14:paraId="3F1EAB8C" w14:textId="77777777" w:rsidR="00C81100" w:rsidRDefault="00C81100" w:rsidP="00AD2F6B">
            <w:pPr>
              <w:pStyle w:val="TAH"/>
            </w:pPr>
            <w:r>
              <w:t>dB</w:t>
            </w:r>
          </w:p>
        </w:tc>
        <w:tc>
          <w:tcPr>
            <w:tcW w:w="1026" w:type="dxa"/>
            <w:tcBorders>
              <w:top w:val="single" w:sz="6" w:space="0" w:color="auto"/>
              <w:left w:val="single" w:sz="6" w:space="0" w:color="auto"/>
              <w:bottom w:val="nil"/>
              <w:right w:val="single" w:sz="6" w:space="0" w:color="auto"/>
            </w:tcBorders>
            <w:vAlign w:val="center"/>
            <w:hideMark/>
          </w:tcPr>
          <w:p w14:paraId="16A7E085" w14:textId="77777777" w:rsidR="00C81100" w:rsidRDefault="00C81100" w:rsidP="00AD2F6B">
            <w:pPr>
              <w:pStyle w:val="TAH"/>
            </w:pPr>
            <w:r>
              <w:t>dB</w:t>
            </w:r>
          </w:p>
        </w:tc>
        <w:tc>
          <w:tcPr>
            <w:tcW w:w="917" w:type="dxa"/>
            <w:tcBorders>
              <w:top w:val="single" w:sz="6" w:space="0" w:color="auto"/>
              <w:left w:val="single" w:sz="6" w:space="0" w:color="auto"/>
              <w:bottom w:val="nil"/>
              <w:right w:val="single" w:sz="6" w:space="0" w:color="auto"/>
            </w:tcBorders>
            <w:vAlign w:val="center"/>
            <w:hideMark/>
          </w:tcPr>
          <w:p w14:paraId="415D0CCF" w14:textId="77777777" w:rsidR="00C81100" w:rsidRDefault="00C81100" w:rsidP="00AD2F6B">
            <w:pPr>
              <w:pStyle w:val="TAH"/>
            </w:pPr>
            <w:r>
              <w:t>dB</w:t>
            </w:r>
          </w:p>
        </w:tc>
        <w:tc>
          <w:tcPr>
            <w:tcW w:w="1842" w:type="dxa"/>
            <w:tcBorders>
              <w:top w:val="single" w:sz="6" w:space="0" w:color="auto"/>
              <w:left w:val="single" w:sz="6" w:space="0" w:color="auto"/>
              <w:bottom w:val="nil"/>
              <w:right w:val="single" w:sz="4" w:space="0" w:color="auto"/>
            </w:tcBorders>
            <w:vAlign w:val="center"/>
          </w:tcPr>
          <w:p w14:paraId="29C12769" w14:textId="77777777" w:rsidR="00C81100" w:rsidRDefault="00C81100" w:rsidP="00AD2F6B">
            <w:pPr>
              <w:pStyle w:val="TAH"/>
            </w:pPr>
          </w:p>
        </w:tc>
        <w:tc>
          <w:tcPr>
            <w:tcW w:w="2722" w:type="dxa"/>
            <w:gridSpan w:val="3"/>
            <w:tcBorders>
              <w:top w:val="single" w:sz="6" w:space="0" w:color="auto"/>
              <w:left w:val="single" w:sz="4" w:space="0" w:color="auto"/>
              <w:bottom w:val="single" w:sz="6" w:space="0" w:color="auto"/>
              <w:right w:val="single" w:sz="6" w:space="0" w:color="auto"/>
            </w:tcBorders>
            <w:vAlign w:val="center"/>
            <w:hideMark/>
          </w:tcPr>
          <w:p w14:paraId="7211A22F" w14:textId="77777777" w:rsidR="00C81100" w:rsidRDefault="00C81100" w:rsidP="00AD2F6B">
            <w:pPr>
              <w:pStyle w:val="TAH"/>
            </w:pPr>
            <w:r>
              <w:rPr>
                <w:rFonts w:cs="Arial"/>
              </w:rPr>
              <w:t xml:space="preserve">dBm / </w:t>
            </w:r>
            <w:r>
              <w:t>SCS</w:t>
            </w:r>
            <w:r>
              <w:rPr>
                <w:vertAlign w:val="subscript"/>
              </w:rPr>
              <w:t>CSI-RS</w:t>
            </w:r>
          </w:p>
        </w:tc>
        <w:tc>
          <w:tcPr>
            <w:tcW w:w="1440" w:type="dxa"/>
            <w:tcBorders>
              <w:top w:val="single" w:sz="6" w:space="0" w:color="auto"/>
              <w:left w:val="single" w:sz="6" w:space="0" w:color="auto"/>
              <w:bottom w:val="nil"/>
              <w:right w:val="single" w:sz="6" w:space="0" w:color="auto"/>
            </w:tcBorders>
            <w:vAlign w:val="center"/>
            <w:hideMark/>
          </w:tcPr>
          <w:p w14:paraId="2987EA60" w14:textId="77777777" w:rsidR="00C81100" w:rsidRDefault="00C811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5E371DBE" w14:textId="77777777" w:rsidR="00C81100" w:rsidRDefault="00C81100" w:rsidP="00AD2F6B">
            <w:pPr>
              <w:pStyle w:val="TAH"/>
            </w:pPr>
            <w:r>
              <w:t>dBm/BW</w:t>
            </w:r>
            <w:r>
              <w:rPr>
                <w:vertAlign w:val="subscript"/>
              </w:rPr>
              <w:t>Channel</w:t>
            </w:r>
          </w:p>
        </w:tc>
      </w:tr>
      <w:tr w:rsidR="00C81100" w14:paraId="26B4055C" w14:textId="77777777" w:rsidTr="00930E00">
        <w:trPr>
          <w:trHeight w:val="307"/>
          <w:jc w:val="center"/>
        </w:trPr>
        <w:tc>
          <w:tcPr>
            <w:tcW w:w="1026" w:type="dxa"/>
            <w:tcBorders>
              <w:top w:val="nil"/>
              <w:left w:val="single" w:sz="4" w:space="0" w:color="auto"/>
              <w:bottom w:val="single" w:sz="6" w:space="0" w:color="auto"/>
              <w:right w:val="single" w:sz="6" w:space="0" w:color="auto"/>
            </w:tcBorders>
            <w:vAlign w:val="center"/>
          </w:tcPr>
          <w:p w14:paraId="6D04E5AA" w14:textId="77777777" w:rsidR="00C81100" w:rsidRDefault="00C81100" w:rsidP="00AD2F6B">
            <w:pPr>
              <w:pStyle w:val="TAH"/>
            </w:pPr>
          </w:p>
        </w:tc>
        <w:tc>
          <w:tcPr>
            <w:tcW w:w="1026" w:type="dxa"/>
            <w:tcBorders>
              <w:top w:val="nil"/>
              <w:left w:val="single" w:sz="6" w:space="0" w:color="auto"/>
              <w:bottom w:val="single" w:sz="6" w:space="0" w:color="auto"/>
              <w:right w:val="single" w:sz="6" w:space="0" w:color="auto"/>
            </w:tcBorders>
            <w:vAlign w:val="center"/>
          </w:tcPr>
          <w:p w14:paraId="6FEB93F4" w14:textId="77777777" w:rsidR="00C81100" w:rsidRDefault="00C81100" w:rsidP="00AD2F6B">
            <w:pPr>
              <w:pStyle w:val="TAH"/>
            </w:pPr>
          </w:p>
        </w:tc>
        <w:tc>
          <w:tcPr>
            <w:tcW w:w="917" w:type="dxa"/>
            <w:tcBorders>
              <w:top w:val="nil"/>
              <w:left w:val="single" w:sz="6" w:space="0" w:color="auto"/>
              <w:bottom w:val="single" w:sz="6" w:space="0" w:color="auto"/>
              <w:right w:val="single" w:sz="6" w:space="0" w:color="auto"/>
            </w:tcBorders>
            <w:vAlign w:val="center"/>
          </w:tcPr>
          <w:p w14:paraId="3B97F8BE" w14:textId="77777777" w:rsidR="00C81100" w:rsidRDefault="00C81100" w:rsidP="00AD2F6B">
            <w:pPr>
              <w:pStyle w:val="TAH"/>
            </w:pPr>
          </w:p>
        </w:tc>
        <w:tc>
          <w:tcPr>
            <w:tcW w:w="1842" w:type="dxa"/>
            <w:tcBorders>
              <w:top w:val="nil"/>
              <w:left w:val="single" w:sz="6" w:space="0" w:color="auto"/>
              <w:bottom w:val="single" w:sz="6" w:space="0" w:color="auto"/>
              <w:right w:val="single" w:sz="4" w:space="0" w:color="auto"/>
            </w:tcBorders>
            <w:vAlign w:val="center"/>
          </w:tcPr>
          <w:p w14:paraId="502E69AA" w14:textId="77777777" w:rsidR="00C81100" w:rsidRDefault="00C81100" w:rsidP="00AD2F6B">
            <w:pPr>
              <w:pStyle w:val="TAH"/>
            </w:pPr>
          </w:p>
        </w:tc>
        <w:tc>
          <w:tcPr>
            <w:tcW w:w="991" w:type="dxa"/>
            <w:tcBorders>
              <w:top w:val="single" w:sz="6" w:space="0" w:color="auto"/>
              <w:left w:val="single" w:sz="4" w:space="0" w:color="auto"/>
              <w:bottom w:val="single" w:sz="6" w:space="0" w:color="auto"/>
              <w:right w:val="single" w:sz="6" w:space="0" w:color="auto"/>
            </w:tcBorders>
            <w:vAlign w:val="center"/>
            <w:hideMark/>
          </w:tcPr>
          <w:p w14:paraId="1F987407" w14:textId="77777777" w:rsidR="00C81100" w:rsidRDefault="00C81100" w:rsidP="00AD2F6B">
            <w:pPr>
              <w:pStyle w:val="TAH"/>
              <w:rPr>
                <w:rFonts w:cs="Arial"/>
              </w:rPr>
            </w:pPr>
            <w:r>
              <w:t>SCS</w:t>
            </w:r>
            <w:r>
              <w:rPr>
                <w:vertAlign w:val="subscript"/>
              </w:rPr>
              <w:t>CSI-RS</w:t>
            </w:r>
            <w:r>
              <w:rPr>
                <w:rFonts w:cs="Arial"/>
              </w:rPr>
              <w:t xml:space="preserve"> = 15 kHz</w:t>
            </w:r>
          </w:p>
        </w:tc>
        <w:tc>
          <w:tcPr>
            <w:tcW w:w="851" w:type="dxa"/>
            <w:tcBorders>
              <w:top w:val="single" w:sz="6" w:space="0" w:color="auto"/>
              <w:left w:val="single" w:sz="4" w:space="0" w:color="auto"/>
              <w:bottom w:val="single" w:sz="6" w:space="0" w:color="auto"/>
              <w:right w:val="single" w:sz="6" w:space="0" w:color="auto"/>
            </w:tcBorders>
            <w:vAlign w:val="center"/>
            <w:hideMark/>
          </w:tcPr>
          <w:p w14:paraId="36A7FF25" w14:textId="77777777" w:rsidR="00C81100" w:rsidRDefault="00C81100" w:rsidP="00AD2F6B">
            <w:pPr>
              <w:pStyle w:val="TAH"/>
              <w:rPr>
                <w:rFonts w:cs="Arial"/>
              </w:rPr>
            </w:pPr>
            <w:r>
              <w:t>SCS</w:t>
            </w:r>
            <w:r>
              <w:rPr>
                <w:vertAlign w:val="subscript"/>
              </w:rPr>
              <w:t>CSI-RS</w:t>
            </w:r>
            <w:r>
              <w:rPr>
                <w:rFonts w:cs="Arial"/>
              </w:rPr>
              <w:t xml:space="preserve"> = 30 kHz</w:t>
            </w:r>
          </w:p>
        </w:tc>
        <w:tc>
          <w:tcPr>
            <w:tcW w:w="880" w:type="dxa"/>
            <w:tcBorders>
              <w:top w:val="single" w:sz="6" w:space="0" w:color="auto"/>
              <w:left w:val="single" w:sz="4" w:space="0" w:color="auto"/>
              <w:bottom w:val="single" w:sz="6" w:space="0" w:color="auto"/>
              <w:right w:val="single" w:sz="6" w:space="0" w:color="auto"/>
            </w:tcBorders>
            <w:vAlign w:val="center"/>
          </w:tcPr>
          <w:p w14:paraId="65F3F6AC" w14:textId="77777777" w:rsidR="00C81100" w:rsidRDefault="00C81100" w:rsidP="00AD2F6B">
            <w:pPr>
              <w:pStyle w:val="TAH"/>
              <w:rPr>
                <w:rFonts w:cs="Arial"/>
              </w:rPr>
            </w:pPr>
            <w:r>
              <w:t>SCS</w:t>
            </w:r>
            <w:r>
              <w:rPr>
                <w:vertAlign w:val="subscript"/>
              </w:rPr>
              <w:t>CSI-RS</w:t>
            </w:r>
            <w:r>
              <w:rPr>
                <w:rFonts w:cs="Arial"/>
              </w:rPr>
              <w:t xml:space="preserve"> = 60 kHz</w:t>
            </w:r>
          </w:p>
        </w:tc>
        <w:tc>
          <w:tcPr>
            <w:tcW w:w="1440" w:type="dxa"/>
            <w:tcBorders>
              <w:top w:val="nil"/>
              <w:left w:val="single" w:sz="6" w:space="0" w:color="auto"/>
              <w:bottom w:val="single" w:sz="6" w:space="0" w:color="auto"/>
              <w:right w:val="single" w:sz="6" w:space="0" w:color="auto"/>
            </w:tcBorders>
            <w:vAlign w:val="center"/>
          </w:tcPr>
          <w:p w14:paraId="5B4B0238" w14:textId="77777777" w:rsidR="00C81100" w:rsidRDefault="00C81100" w:rsidP="00AD2F6B">
            <w:pPr>
              <w:pStyle w:val="TAH"/>
            </w:pPr>
          </w:p>
        </w:tc>
        <w:tc>
          <w:tcPr>
            <w:tcW w:w="1440" w:type="dxa"/>
            <w:tcBorders>
              <w:top w:val="nil"/>
              <w:left w:val="single" w:sz="6" w:space="0" w:color="auto"/>
              <w:bottom w:val="single" w:sz="6" w:space="0" w:color="auto"/>
              <w:right w:val="single" w:sz="4" w:space="0" w:color="auto"/>
            </w:tcBorders>
            <w:vAlign w:val="center"/>
          </w:tcPr>
          <w:p w14:paraId="67A10119" w14:textId="77777777" w:rsidR="00C81100" w:rsidRDefault="00C81100" w:rsidP="00AD2F6B">
            <w:pPr>
              <w:pStyle w:val="TAH"/>
            </w:pPr>
          </w:p>
        </w:tc>
      </w:tr>
      <w:tr w:rsidR="00C81100" w14:paraId="73C211D1" w14:textId="77777777" w:rsidTr="00930E00">
        <w:trPr>
          <w:jc w:val="center"/>
        </w:trPr>
        <w:tc>
          <w:tcPr>
            <w:tcW w:w="1026" w:type="dxa"/>
            <w:tcBorders>
              <w:top w:val="single" w:sz="6" w:space="0" w:color="auto"/>
              <w:left w:val="single" w:sz="4" w:space="0" w:color="auto"/>
              <w:bottom w:val="nil"/>
              <w:right w:val="single" w:sz="6" w:space="0" w:color="auto"/>
            </w:tcBorders>
          </w:tcPr>
          <w:p w14:paraId="633E55C3" w14:textId="77777777" w:rsidR="00C81100" w:rsidRDefault="00C81100" w:rsidP="00AD2F6B">
            <w:pPr>
              <w:pStyle w:val="TAC"/>
            </w:pPr>
          </w:p>
        </w:tc>
        <w:tc>
          <w:tcPr>
            <w:tcW w:w="1026" w:type="dxa"/>
            <w:tcBorders>
              <w:top w:val="single" w:sz="6" w:space="0" w:color="auto"/>
              <w:left w:val="single" w:sz="6" w:space="0" w:color="auto"/>
              <w:bottom w:val="nil"/>
              <w:right w:val="single" w:sz="6" w:space="0" w:color="auto"/>
            </w:tcBorders>
          </w:tcPr>
          <w:p w14:paraId="696D14A5" w14:textId="77777777" w:rsidR="00C81100" w:rsidRDefault="00C81100" w:rsidP="00AD2F6B">
            <w:pPr>
              <w:pStyle w:val="TAC"/>
            </w:pPr>
          </w:p>
        </w:tc>
        <w:tc>
          <w:tcPr>
            <w:tcW w:w="917" w:type="dxa"/>
            <w:tcBorders>
              <w:top w:val="single" w:sz="6" w:space="0" w:color="auto"/>
              <w:left w:val="single" w:sz="6" w:space="0" w:color="auto"/>
              <w:bottom w:val="nil"/>
              <w:right w:val="single" w:sz="6" w:space="0" w:color="auto"/>
            </w:tcBorders>
          </w:tcPr>
          <w:p w14:paraId="18BDF2FB" w14:textId="77777777" w:rsidR="00C81100" w:rsidRDefault="00C81100" w:rsidP="00AD2F6B">
            <w:pPr>
              <w:pStyle w:val="TAC"/>
            </w:pPr>
          </w:p>
        </w:tc>
        <w:tc>
          <w:tcPr>
            <w:tcW w:w="1842" w:type="dxa"/>
            <w:tcBorders>
              <w:top w:val="single" w:sz="6" w:space="0" w:color="auto"/>
              <w:left w:val="single" w:sz="6" w:space="0" w:color="auto"/>
              <w:bottom w:val="single" w:sz="6" w:space="0" w:color="auto"/>
              <w:right w:val="single" w:sz="4" w:space="0" w:color="auto"/>
            </w:tcBorders>
            <w:hideMark/>
          </w:tcPr>
          <w:p w14:paraId="4A1F5662" w14:textId="77777777" w:rsidR="00C81100" w:rsidRDefault="00C81100" w:rsidP="00AD2F6B">
            <w:pPr>
              <w:pStyle w:val="TAC"/>
            </w:pPr>
            <w:r>
              <w:t>NR_FDD_FR1_A, NR_TDD_FR1_A,</w:t>
            </w:r>
          </w:p>
          <w:p w14:paraId="2F41C738" w14:textId="77777777" w:rsidR="00C81100" w:rsidRDefault="00C81100" w:rsidP="00AD2F6B">
            <w:pPr>
              <w:pStyle w:val="TAC"/>
            </w:pPr>
            <w:r>
              <w:t>NR_SDL_FR1_A</w:t>
            </w:r>
          </w:p>
        </w:tc>
        <w:tc>
          <w:tcPr>
            <w:tcW w:w="991" w:type="dxa"/>
            <w:tcBorders>
              <w:top w:val="single" w:sz="6" w:space="0" w:color="auto"/>
              <w:left w:val="single" w:sz="4" w:space="0" w:color="auto"/>
              <w:bottom w:val="single" w:sz="6" w:space="0" w:color="auto"/>
              <w:right w:val="single" w:sz="6" w:space="0" w:color="auto"/>
            </w:tcBorders>
            <w:hideMark/>
          </w:tcPr>
          <w:p w14:paraId="09846C1D" w14:textId="77777777" w:rsidR="00C81100" w:rsidRDefault="00C81100" w:rsidP="00AD2F6B">
            <w:pPr>
              <w:pStyle w:val="TAC"/>
            </w:pPr>
            <w:r>
              <w:t>-121</w:t>
            </w:r>
          </w:p>
        </w:tc>
        <w:tc>
          <w:tcPr>
            <w:tcW w:w="851" w:type="dxa"/>
            <w:tcBorders>
              <w:top w:val="single" w:sz="6" w:space="0" w:color="auto"/>
              <w:left w:val="single" w:sz="4" w:space="0" w:color="auto"/>
              <w:bottom w:val="single" w:sz="6" w:space="0" w:color="auto"/>
              <w:right w:val="single" w:sz="6" w:space="0" w:color="auto"/>
            </w:tcBorders>
            <w:hideMark/>
          </w:tcPr>
          <w:p w14:paraId="383453ED" w14:textId="77777777" w:rsidR="00C81100" w:rsidRDefault="00C81100" w:rsidP="00AD2F6B">
            <w:pPr>
              <w:pStyle w:val="TAC"/>
            </w:pPr>
            <w:r>
              <w:t>-118</w:t>
            </w:r>
          </w:p>
        </w:tc>
        <w:tc>
          <w:tcPr>
            <w:tcW w:w="880" w:type="dxa"/>
            <w:tcBorders>
              <w:top w:val="single" w:sz="6" w:space="0" w:color="auto"/>
              <w:left w:val="single" w:sz="4" w:space="0" w:color="auto"/>
              <w:bottom w:val="single" w:sz="6" w:space="0" w:color="auto"/>
              <w:right w:val="single" w:sz="6" w:space="0" w:color="auto"/>
            </w:tcBorders>
          </w:tcPr>
          <w:p w14:paraId="4A847833" w14:textId="77777777" w:rsidR="00C81100" w:rsidRDefault="00C81100" w:rsidP="00AD2F6B">
            <w:pPr>
              <w:pStyle w:val="TAC"/>
            </w:pPr>
            <w:r>
              <w:t>-115</w:t>
            </w:r>
          </w:p>
        </w:tc>
        <w:tc>
          <w:tcPr>
            <w:tcW w:w="1440" w:type="dxa"/>
            <w:tcBorders>
              <w:top w:val="single" w:sz="6" w:space="0" w:color="auto"/>
              <w:left w:val="single" w:sz="6" w:space="0" w:color="auto"/>
              <w:bottom w:val="single" w:sz="6" w:space="0" w:color="auto"/>
              <w:right w:val="single" w:sz="6" w:space="0" w:color="auto"/>
            </w:tcBorders>
            <w:hideMark/>
          </w:tcPr>
          <w:p w14:paraId="570412D8"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253CBE6" w14:textId="77777777" w:rsidR="00C81100" w:rsidRDefault="00C81100" w:rsidP="00AD2F6B">
            <w:pPr>
              <w:pStyle w:val="TAC"/>
            </w:pPr>
            <w:r>
              <w:t>-50</w:t>
            </w:r>
          </w:p>
        </w:tc>
      </w:tr>
      <w:tr w:rsidR="00C81100" w14:paraId="4800112D" w14:textId="77777777" w:rsidTr="00930E00">
        <w:trPr>
          <w:jc w:val="center"/>
        </w:trPr>
        <w:tc>
          <w:tcPr>
            <w:tcW w:w="1026" w:type="dxa"/>
            <w:tcBorders>
              <w:top w:val="nil"/>
              <w:left w:val="single" w:sz="4" w:space="0" w:color="auto"/>
              <w:bottom w:val="nil"/>
              <w:right w:val="single" w:sz="6" w:space="0" w:color="auto"/>
            </w:tcBorders>
          </w:tcPr>
          <w:p w14:paraId="773261E7"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62E2D92C" w14:textId="77777777" w:rsidR="00C81100" w:rsidRDefault="00C81100" w:rsidP="00AD2F6B">
            <w:pPr>
              <w:pStyle w:val="TAC"/>
            </w:pPr>
          </w:p>
        </w:tc>
        <w:tc>
          <w:tcPr>
            <w:tcW w:w="917" w:type="dxa"/>
            <w:tcBorders>
              <w:top w:val="nil"/>
              <w:left w:val="single" w:sz="6" w:space="0" w:color="auto"/>
              <w:bottom w:val="nil"/>
              <w:right w:val="single" w:sz="6" w:space="0" w:color="auto"/>
            </w:tcBorders>
          </w:tcPr>
          <w:p w14:paraId="33B2495F" w14:textId="77777777" w:rsidR="00C81100" w:rsidRDefault="00C81100" w:rsidP="00AD2F6B">
            <w:pPr>
              <w:pStyle w:val="TAC"/>
            </w:pPr>
          </w:p>
        </w:tc>
        <w:tc>
          <w:tcPr>
            <w:tcW w:w="1842" w:type="dxa"/>
            <w:tcBorders>
              <w:top w:val="single" w:sz="6" w:space="0" w:color="auto"/>
              <w:left w:val="single" w:sz="6" w:space="0" w:color="auto"/>
              <w:bottom w:val="single" w:sz="6" w:space="0" w:color="auto"/>
              <w:right w:val="single" w:sz="4" w:space="0" w:color="auto"/>
            </w:tcBorders>
            <w:hideMark/>
          </w:tcPr>
          <w:p w14:paraId="59B599ED" w14:textId="77777777" w:rsidR="00C81100" w:rsidRDefault="00C81100" w:rsidP="00AD2F6B">
            <w:pPr>
              <w:pStyle w:val="TAC"/>
            </w:pPr>
            <w:r>
              <w:t>NR_FDD_FR1_B</w:t>
            </w:r>
          </w:p>
        </w:tc>
        <w:tc>
          <w:tcPr>
            <w:tcW w:w="991" w:type="dxa"/>
            <w:tcBorders>
              <w:top w:val="single" w:sz="6" w:space="0" w:color="auto"/>
              <w:left w:val="single" w:sz="4" w:space="0" w:color="auto"/>
              <w:bottom w:val="single" w:sz="6" w:space="0" w:color="auto"/>
              <w:right w:val="single" w:sz="6" w:space="0" w:color="auto"/>
            </w:tcBorders>
            <w:hideMark/>
          </w:tcPr>
          <w:p w14:paraId="26DEFFD4" w14:textId="77777777" w:rsidR="00C81100" w:rsidRDefault="00C81100" w:rsidP="00AD2F6B">
            <w:pPr>
              <w:pStyle w:val="TAC"/>
            </w:pPr>
            <w:r>
              <w:t>-120.5</w:t>
            </w:r>
          </w:p>
        </w:tc>
        <w:tc>
          <w:tcPr>
            <w:tcW w:w="851" w:type="dxa"/>
            <w:tcBorders>
              <w:top w:val="single" w:sz="6" w:space="0" w:color="auto"/>
              <w:left w:val="single" w:sz="4" w:space="0" w:color="auto"/>
              <w:bottom w:val="single" w:sz="6" w:space="0" w:color="auto"/>
              <w:right w:val="single" w:sz="6" w:space="0" w:color="auto"/>
            </w:tcBorders>
            <w:hideMark/>
          </w:tcPr>
          <w:p w14:paraId="54091C9D" w14:textId="77777777" w:rsidR="00C81100" w:rsidRDefault="00C81100" w:rsidP="00AD2F6B">
            <w:pPr>
              <w:pStyle w:val="TAC"/>
              <w:rPr>
                <w:lang w:val="sv-SE"/>
              </w:rPr>
            </w:pPr>
            <w:r>
              <w:t>-117.5</w:t>
            </w:r>
          </w:p>
        </w:tc>
        <w:tc>
          <w:tcPr>
            <w:tcW w:w="880" w:type="dxa"/>
            <w:tcBorders>
              <w:top w:val="single" w:sz="6" w:space="0" w:color="auto"/>
              <w:left w:val="single" w:sz="4" w:space="0" w:color="auto"/>
              <w:bottom w:val="single" w:sz="6" w:space="0" w:color="auto"/>
              <w:right w:val="single" w:sz="6" w:space="0" w:color="auto"/>
            </w:tcBorders>
          </w:tcPr>
          <w:p w14:paraId="7C9BA081" w14:textId="77777777" w:rsidR="00C81100" w:rsidRDefault="00C81100" w:rsidP="00AD2F6B">
            <w:pPr>
              <w:pStyle w:val="TAC"/>
              <w:rPr>
                <w:lang w:val="sv-SE"/>
              </w:rPr>
            </w:pPr>
            <w:r>
              <w:t>-114.5</w:t>
            </w:r>
          </w:p>
        </w:tc>
        <w:tc>
          <w:tcPr>
            <w:tcW w:w="1440" w:type="dxa"/>
            <w:tcBorders>
              <w:top w:val="single" w:sz="6" w:space="0" w:color="auto"/>
              <w:left w:val="single" w:sz="6" w:space="0" w:color="auto"/>
              <w:bottom w:val="single" w:sz="6" w:space="0" w:color="auto"/>
              <w:right w:val="single" w:sz="6" w:space="0" w:color="auto"/>
            </w:tcBorders>
            <w:hideMark/>
          </w:tcPr>
          <w:p w14:paraId="79695D29"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A27E81A" w14:textId="77777777" w:rsidR="00C81100" w:rsidRDefault="00C81100" w:rsidP="00AD2F6B">
            <w:pPr>
              <w:pStyle w:val="TAC"/>
            </w:pPr>
            <w:r>
              <w:t>-50</w:t>
            </w:r>
          </w:p>
        </w:tc>
      </w:tr>
      <w:tr w:rsidR="00C81100" w14:paraId="24627797" w14:textId="77777777" w:rsidTr="00930E00">
        <w:trPr>
          <w:jc w:val="center"/>
        </w:trPr>
        <w:tc>
          <w:tcPr>
            <w:tcW w:w="1026" w:type="dxa"/>
            <w:tcBorders>
              <w:top w:val="nil"/>
              <w:left w:val="single" w:sz="4" w:space="0" w:color="auto"/>
              <w:bottom w:val="nil"/>
              <w:right w:val="single" w:sz="6" w:space="0" w:color="auto"/>
            </w:tcBorders>
          </w:tcPr>
          <w:p w14:paraId="459FBC1F"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1C00C3C3" w14:textId="77777777" w:rsidR="00C81100" w:rsidRDefault="00C81100" w:rsidP="00AD2F6B">
            <w:pPr>
              <w:pStyle w:val="TAC"/>
            </w:pPr>
          </w:p>
        </w:tc>
        <w:tc>
          <w:tcPr>
            <w:tcW w:w="917" w:type="dxa"/>
            <w:tcBorders>
              <w:top w:val="nil"/>
              <w:left w:val="single" w:sz="6" w:space="0" w:color="auto"/>
              <w:bottom w:val="nil"/>
              <w:right w:val="single" w:sz="6" w:space="0" w:color="auto"/>
            </w:tcBorders>
          </w:tcPr>
          <w:p w14:paraId="6462C2CA" w14:textId="77777777" w:rsidR="00C81100" w:rsidRDefault="00C81100" w:rsidP="00AD2F6B">
            <w:pPr>
              <w:pStyle w:val="TAC"/>
            </w:pPr>
          </w:p>
        </w:tc>
        <w:tc>
          <w:tcPr>
            <w:tcW w:w="1842" w:type="dxa"/>
            <w:tcBorders>
              <w:top w:val="single" w:sz="6" w:space="0" w:color="auto"/>
              <w:left w:val="single" w:sz="6" w:space="0" w:color="auto"/>
              <w:bottom w:val="single" w:sz="6" w:space="0" w:color="auto"/>
              <w:right w:val="single" w:sz="4" w:space="0" w:color="auto"/>
            </w:tcBorders>
            <w:hideMark/>
          </w:tcPr>
          <w:p w14:paraId="3BD7AD01" w14:textId="77777777" w:rsidR="00C81100" w:rsidRDefault="00C81100" w:rsidP="00AD2F6B">
            <w:pPr>
              <w:pStyle w:val="TAC"/>
            </w:pPr>
            <w:r>
              <w:t>NR_TDD_FR1_C</w:t>
            </w:r>
          </w:p>
        </w:tc>
        <w:tc>
          <w:tcPr>
            <w:tcW w:w="991" w:type="dxa"/>
            <w:tcBorders>
              <w:top w:val="single" w:sz="6" w:space="0" w:color="auto"/>
              <w:left w:val="single" w:sz="4" w:space="0" w:color="auto"/>
              <w:bottom w:val="single" w:sz="6" w:space="0" w:color="auto"/>
              <w:right w:val="single" w:sz="6" w:space="0" w:color="auto"/>
            </w:tcBorders>
            <w:hideMark/>
          </w:tcPr>
          <w:p w14:paraId="5C14CF3C" w14:textId="77777777" w:rsidR="00C81100" w:rsidRDefault="00C81100" w:rsidP="00AD2F6B">
            <w:pPr>
              <w:pStyle w:val="TAC"/>
            </w:pPr>
            <w:r>
              <w:t>-120</w:t>
            </w:r>
          </w:p>
        </w:tc>
        <w:tc>
          <w:tcPr>
            <w:tcW w:w="851" w:type="dxa"/>
            <w:tcBorders>
              <w:top w:val="single" w:sz="6" w:space="0" w:color="auto"/>
              <w:left w:val="single" w:sz="4" w:space="0" w:color="auto"/>
              <w:bottom w:val="single" w:sz="6" w:space="0" w:color="auto"/>
              <w:right w:val="single" w:sz="6" w:space="0" w:color="auto"/>
            </w:tcBorders>
            <w:hideMark/>
          </w:tcPr>
          <w:p w14:paraId="255F22C4" w14:textId="77777777" w:rsidR="00C81100" w:rsidRDefault="00C81100" w:rsidP="00AD2F6B">
            <w:pPr>
              <w:pStyle w:val="TAC"/>
              <w:rPr>
                <w:lang w:val="sv-SE"/>
              </w:rPr>
            </w:pPr>
            <w:r>
              <w:t>-117</w:t>
            </w:r>
          </w:p>
        </w:tc>
        <w:tc>
          <w:tcPr>
            <w:tcW w:w="880" w:type="dxa"/>
            <w:tcBorders>
              <w:top w:val="single" w:sz="6" w:space="0" w:color="auto"/>
              <w:left w:val="single" w:sz="4" w:space="0" w:color="auto"/>
              <w:bottom w:val="single" w:sz="6" w:space="0" w:color="auto"/>
              <w:right w:val="single" w:sz="6" w:space="0" w:color="auto"/>
            </w:tcBorders>
          </w:tcPr>
          <w:p w14:paraId="4DC5773E" w14:textId="77777777" w:rsidR="00C81100" w:rsidRDefault="00C81100" w:rsidP="00AD2F6B">
            <w:pPr>
              <w:pStyle w:val="TAC"/>
              <w:rPr>
                <w:lang w:val="sv-SE"/>
              </w:rPr>
            </w:pPr>
            <w:r>
              <w:t>-114</w:t>
            </w:r>
          </w:p>
        </w:tc>
        <w:tc>
          <w:tcPr>
            <w:tcW w:w="1440" w:type="dxa"/>
            <w:tcBorders>
              <w:top w:val="single" w:sz="6" w:space="0" w:color="auto"/>
              <w:left w:val="single" w:sz="6" w:space="0" w:color="auto"/>
              <w:bottom w:val="single" w:sz="6" w:space="0" w:color="auto"/>
              <w:right w:val="single" w:sz="6" w:space="0" w:color="auto"/>
            </w:tcBorders>
            <w:hideMark/>
          </w:tcPr>
          <w:p w14:paraId="2B7C6EA6"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5FADAA13" w14:textId="77777777" w:rsidR="00C81100" w:rsidRDefault="00C81100" w:rsidP="00AD2F6B">
            <w:pPr>
              <w:pStyle w:val="TAC"/>
            </w:pPr>
            <w:r>
              <w:t>-50</w:t>
            </w:r>
          </w:p>
        </w:tc>
      </w:tr>
      <w:tr w:rsidR="00C81100" w14:paraId="7D5469EB" w14:textId="77777777" w:rsidTr="00930E00">
        <w:trPr>
          <w:jc w:val="center"/>
        </w:trPr>
        <w:tc>
          <w:tcPr>
            <w:tcW w:w="1026" w:type="dxa"/>
            <w:tcBorders>
              <w:top w:val="nil"/>
              <w:left w:val="single" w:sz="4" w:space="0" w:color="auto"/>
              <w:bottom w:val="nil"/>
              <w:right w:val="single" w:sz="6" w:space="0" w:color="auto"/>
            </w:tcBorders>
            <w:hideMark/>
          </w:tcPr>
          <w:p w14:paraId="7092A9C7" w14:textId="77777777" w:rsidR="00C81100" w:rsidRDefault="00C81100" w:rsidP="00AD2F6B">
            <w:pPr>
              <w:pStyle w:val="TAC"/>
            </w:pPr>
            <w:r>
              <w:rPr>
                <w:rFonts w:cs="Arial"/>
              </w:rPr>
              <w:t>±[3.5]</w:t>
            </w:r>
          </w:p>
        </w:tc>
        <w:tc>
          <w:tcPr>
            <w:tcW w:w="1026" w:type="dxa"/>
            <w:tcBorders>
              <w:top w:val="nil"/>
              <w:left w:val="single" w:sz="6" w:space="0" w:color="auto"/>
              <w:bottom w:val="nil"/>
              <w:right w:val="single" w:sz="6" w:space="0" w:color="auto"/>
            </w:tcBorders>
            <w:hideMark/>
          </w:tcPr>
          <w:p w14:paraId="458833E6" w14:textId="77777777" w:rsidR="00C81100" w:rsidRDefault="00C81100" w:rsidP="00AD2F6B">
            <w:pPr>
              <w:pStyle w:val="TAC"/>
            </w:pPr>
            <w:r>
              <w:rPr>
                <w:rFonts w:cs="Arial"/>
              </w:rPr>
              <w:t>±[4.5]</w:t>
            </w:r>
          </w:p>
        </w:tc>
        <w:tc>
          <w:tcPr>
            <w:tcW w:w="917" w:type="dxa"/>
            <w:tcBorders>
              <w:top w:val="nil"/>
              <w:left w:val="single" w:sz="6" w:space="0" w:color="auto"/>
              <w:bottom w:val="nil"/>
              <w:right w:val="single" w:sz="6" w:space="0" w:color="auto"/>
            </w:tcBorders>
            <w:hideMark/>
          </w:tcPr>
          <w:p w14:paraId="153BDB18" w14:textId="77777777" w:rsidR="00C81100" w:rsidRDefault="00C81100" w:rsidP="00AD2F6B">
            <w:pPr>
              <w:pStyle w:val="TAC"/>
            </w:pPr>
            <w:r>
              <w:sym w:font="Symbol" w:char="F0B3"/>
            </w:r>
            <w:r>
              <w:t>-3</w:t>
            </w:r>
          </w:p>
        </w:tc>
        <w:tc>
          <w:tcPr>
            <w:tcW w:w="1842" w:type="dxa"/>
            <w:tcBorders>
              <w:top w:val="single" w:sz="6" w:space="0" w:color="auto"/>
              <w:left w:val="single" w:sz="6" w:space="0" w:color="auto"/>
              <w:bottom w:val="single" w:sz="6" w:space="0" w:color="auto"/>
              <w:right w:val="single" w:sz="4" w:space="0" w:color="auto"/>
            </w:tcBorders>
            <w:hideMark/>
          </w:tcPr>
          <w:p w14:paraId="3450E7B5" w14:textId="77777777" w:rsidR="00C81100" w:rsidRDefault="00C81100" w:rsidP="00AD2F6B">
            <w:pPr>
              <w:pStyle w:val="TAC"/>
              <w:rPr>
                <w:lang w:val="sv-SE"/>
              </w:rPr>
            </w:pPr>
            <w:r>
              <w:rPr>
                <w:lang w:val="sv-SE"/>
              </w:rPr>
              <w:t>NR_FDD_FR1_D, NR_TDD_FR1_D</w:t>
            </w:r>
          </w:p>
        </w:tc>
        <w:tc>
          <w:tcPr>
            <w:tcW w:w="991" w:type="dxa"/>
            <w:tcBorders>
              <w:top w:val="single" w:sz="6" w:space="0" w:color="auto"/>
              <w:left w:val="single" w:sz="4" w:space="0" w:color="auto"/>
              <w:bottom w:val="single" w:sz="6" w:space="0" w:color="auto"/>
              <w:right w:val="single" w:sz="6" w:space="0" w:color="auto"/>
            </w:tcBorders>
            <w:hideMark/>
          </w:tcPr>
          <w:p w14:paraId="1ED5E93E" w14:textId="77777777" w:rsidR="00C81100" w:rsidRDefault="00C81100" w:rsidP="00AD2F6B">
            <w:pPr>
              <w:pStyle w:val="TAC"/>
            </w:pPr>
            <w:r>
              <w:t>-119.5</w:t>
            </w:r>
          </w:p>
        </w:tc>
        <w:tc>
          <w:tcPr>
            <w:tcW w:w="851" w:type="dxa"/>
            <w:tcBorders>
              <w:top w:val="single" w:sz="6" w:space="0" w:color="auto"/>
              <w:left w:val="single" w:sz="4" w:space="0" w:color="auto"/>
              <w:bottom w:val="single" w:sz="6" w:space="0" w:color="auto"/>
              <w:right w:val="single" w:sz="6" w:space="0" w:color="auto"/>
            </w:tcBorders>
            <w:hideMark/>
          </w:tcPr>
          <w:p w14:paraId="0F61A4E0" w14:textId="77777777" w:rsidR="00C81100" w:rsidRDefault="00C81100" w:rsidP="00AD2F6B">
            <w:pPr>
              <w:pStyle w:val="TAC"/>
            </w:pPr>
            <w:r>
              <w:t>-116.5</w:t>
            </w:r>
          </w:p>
        </w:tc>
        <w:tc>
          <w:tcPr>
            <w:tcW w:w="880" w:type="dxa"/>
            <w:tcBorders>
              <w:top w:val="single" w:sz="6" w:space="0" w:color="auto"/>
              <w:left w:val="single" w:sz="4" w:space="0" w:color="auto"/>
              <w:bottom w:val="single" w:sz="6" w:space="0" w:color="auto"/>
              <w:right w:val="single" w:sz="6" w:space="0" w:color="auto"/>
            </w:tcBorders>
          </w:tcPr>
          <w:p w14:paraId="2FFEE571" w14:textId="77777777" w:rsidR="00C81100" w:rsidRDefault="00C81100" w:rsidP="00AD2F6B">
            <w:pPr>
              <w:pStyle w:val="TAC"/>
            </w:pPr>
            <w:r>
              <w:t>-113.5</w:t>
            </w:r>
          </w:p>
        </w:tc>
        <w:tc>
          <w:tcPr>
            <w:tcW w:w="1440" w:type="dxa"/>
            <w:tcBorders>
              <w:top w:val="single" w:sz="6" w:space="0" w:color="auto"/>
              <w:left w:val="single" w:sz="6" w:space="0" w:color="auto"/>
              <w:bottom w:val="single" w:sz="6" w:space="0" w:color="auto"/>
              <w:right w:val="single" w:sz="6" w:space="0" w:color="auto"/>
            </w:tcBorders>
            <w:hideMark/>
          </w:tcPr>
          <w:p w14:paraId="60B4DF24"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15E13FAC" w14:textId="77777777" w:rsidR="00C81100" w:rsidRDefault="00C81100" w:rsidP="00AD2F6B">
            <w:pPr>
              <w:pStyle w:val="TAC"/>
            </w:pPr>
            <w:r>
              <w:t>-50</w:t>
            </w:r>
          </w:p>
        </w:tc>
      </w:tr>
      <w:tr w:rsidR="00C81100" w14:paraId="6C2DB3D6" w14:textId="77777777" w:rsidTr="00930E00">
        <w:trPr>
          <w:jc w:val="center"/>
        </w:trPr>
        <w:tc>
          <w:tcPr>
            <w:tcW w:w="1026" w:type="dxa"/>
            <w:tcBorders>
              <w:top w:val="nil"/>
              <w:left w:val="single" w:sz="4" w:space="0" w:color="auto"/>
              <w:bottom w:val="nil"/>
              <w:right w:val="single" w:sz="6" w:space="0" w:color="auto"/>
            </w:tcBorders>
          </w:tcPr>
          <w:p w14:paraId="2A7064AB"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34D2B72F" w14:textId="77777777" w:rsidR="00C81100" w:rsidRDefault="00C81100" w:rsidP="00AD2F6B">
            <w:pPr>
              <w:pStyle w:val="TAC"/>
            </w:pPr>
          </w:p>
        </w:tc>
        <w:tc>
          <w:tcPr>
            <w:tcW w:w="917" w:type="dxa"/>
            <w:tcBorders>
              <w:top w:val="nil"/>
              <w:left w:val="single" w:sz="6" w:space="0" w:color="auto"/>
              <w:bottom w:val="nil"/>
              <w:right w:val="single" w:sz="6" w:space="0" w:color="auto"/>
            </w:tcBorders>
          </w:tcPr>
          <w:p w14:paraId="12CA4F5B" w14:textId="77777777" w:rsidR="00C81100" w:rsidRDefault="00C81100" w:rsidP="00AD2F6B">
            <w:pPr>
              <w:pStyle w:val="TAC"/>
            </w:pPr>
          </w:p>
        </w:tc>
        <w:tc>
          <w:tcPr>
            <w:tcW w:w="1842" w:type="dxa"/>
            <w:tcBorders>
              <w:top w:val="single" w:sz="6" w:space="0" w:color="auto"/>
              <w:left w:val="single" w:sz="6" w:space="0" w:color="auto"/>
              <w:bottom w:val="single" w:sz="6" w:space="0" w:color="auto"/>
              <w:right w:val="single" w:sz="4" w:space="0" w:color="auto"/>
            </w:tcBorders>
            <w:hideMark/>
          </w:tcPr>
          <w:p w14:paraId="76532242" w14:textId="77777777" w:rsidR="00C81100" w:rsidRDefault="00C81100" w:rsidP="00AD2F6B">
            <w:pPr>
              <w:pStyle w:val="TAC"/>
              <w:rPr>
                <w:lang w:val="sv-SE"/>
              </w:rPr>
            </w:pPr>
            <w:r>
              <w:rPr>
                <w:lang w:val="sv-SE"/>
              </w:rPr>
              <w:t>NR_FDD_FR1_E, NR_TDD_FR1_E</w:t>
            </w:r>
          </w:p>
        </w:tc>
        <w:tc>
          <w:tcPr>
            <w:tcW w:w="991" w:type="dxa"/>
            <w:tcBorders>
              <w:top w:val="single" w:sz="6" w:space="0" w:color="auto"/>
              <w:left w:val="single" w:sz="4" w:space="0" w:color="auto"/>
              <w:bottom w:val="single" w:sz="6" w:space="0" w:color="auto"/>
              <w:right w:val="single" w:sz="6" w:space="0" w:color="auto"/>
            </w:tcBorders>
            <w:hideMark/>
          </w:tcPr>
          <w:p w14:paraId="6E5633C3" w14:textId="77777777" w:rsidR="00C81100" w:rsidRDefault="00C81100" w:rsidP="00AD2F6B">
            <w:pPr>
              <w:pStyle w:val="TAC"/>
            </w:pPr>
            <w:r>
              <w:t>-119</w:t>
            </w:r>
          </w:p>
        </w:tc>
        <w:tc>
          <w:tcPr>
            <w:tcW w:w="851" w:type="dxa"/>
            <w:tcBorders>
              <w:top w:val="single" w:sz="6" w:space="0" w:color="auto"/>
              <w:left w:val="single" w:sz="4" w:space="0" w:color="auto"/>
              <w:bottom w:val="single" w:sz="6" w:space="0" w:color="auto"/>
              <w:right w:val="single" w:sz="6" w:space="0" w:color="auto"/>
            </w:tcBorders>
            <w:hideMark/>
          </w:tcPr>
          <w:p w14:paraId="7C0CAE5B" w14:textId="77777777" w:rsidR="00C81100" w:rsidRDefault="00C81100" w:rsidP="00AD2F6B">
            <w:pPr>
              <w:pStyle w:val="TAC"/>
              <w:rPr>
                <w:lang w:val="sv-SE"/>
              </w:rPr>
            </w:pPr>
            <w:r>
              <w:t>-116</w:t>
            </w:r>
          </w:p>
        </w:tc>
        <w:tc>
          <w:tcPr>
            <w:tcW w:w="880" w:type="dxa"/>
            <w:tcBorders>
              <w:top w:val="single" w:sz="6" w:space="0" w:color="auto"/>
              <w:left w:val="single" w:sz="4" w:space="0" w:color="auto"/>
              <w:bottom w:val="single" w:sz="6" w:space="0" w:color="auto"/>
              <w:right w:val="single" w:sz="6" w:space="0" w:color="auto"/>
            </w:tcBorders>
          </w:tcPr>
          <w:p w14:paraId="0D89D644" w14:textId="77777777" w:rsidR="00C81100" w:rsidRDefault="00C81100" w:rsidP="00AD2F6B">
            <w:pPr>
              <w:pStyle w:val="TAC"/>
              <w:rPr>
                <w:lang w:val="sv-SE"/>
              </w:rPr>
            </w:pPr>
            <w:r>
              <w:t>-113</w:t>
            </w:r>
          </w:p>
        </w:tc>
        <w:tc>
          <w:tcPr>
            <w:tcW w:w="1440" w:type="dxa"/>
            <w:tcBorders>
              <w:top w:val="single" w:sz="6" w:space="0" w:color="auto"/>
              <w:left w:val="single" w:sz="6" w:space="0" w:color="auto"/>
              <w:bottom w:val="single" w:sz="6" w:space="0" w:color="auto"/>
              <w:right w:val="single" w:sz="6" w:space="0" w:color="auto"/>
            </w:tcBorders>
            <w:hideMark/>
          </w:tcPr>
          <w:p w14:paraId="7BEDB642"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975EDB9" w14:textId="77777777" w:rsidR="00C81100" w:rsidRDefault="00C81100" w:rsidP="00AD2F6B">
            <w:pPr>
              <w:pStyle w:val="TAC"/>
            </w:pPr>
            <w:r>
              <w:t>-50</w:t>
            </w:r>
          </w:p>
        </w:tc>
      </w:tr>
      <w:tr w:rsidR="00C81100" w14:paraId="71B08431" w14:textId="77777777" w:rsidTr="00930E00">
        <w:trPr>
          <w:jc w:val="center"/>
        </w:trPr>
        <w:tc>
          <w:tcPr>
            <w:tcW w:w="1026" w:type="dxa"/>
            <w:tcBorders>
              <w:top w:val="nil"/>
              <w:left w:val="single" w:sz="4" w:space="0" w:color="auto"/>
              <w:bottom w:val="nil"/>
              <w:right w:val="single" w:sz="6" w:space="0" w:color="auto"/>
            </w:tcBorders>
          </w:tcPr>
          <w:p w14:paraId="30590C95"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63448313" w14:textId="77777777" w:rsidR="00C81100" w:rsidRDefault="00C81100" w:rsidP="00AD2F6B">
            <w:pPr>
              <w:pStyle w:val="TAC"/>
            </w:pPr>
          </w:p>
        </w:tc>
        <w:tc>
          <w:tcPr>
            <w:tcW w:w="917" w:type="dxa"/>
            <w:tcBorders>
              <w:top w:val="nil"/>
              <w:left w:val="single" w:sz="6" w:space="0" w:color="auto"/>
              <w:bottom w:val="nil"/>
              <w:right w:val="single" w:sz="6" w:space="0" w:color="auto"/>
            </w:tcBorders>
          </w:tcPr>
          <w:p w14:paraId="56654CAA" w14:textId="77777777" w:rsidR="00C81100" w:rsidRDefault="00C81100" w:rsidP="00AD2F6B">
            <w:pPr>
              <w:pStyle w:val="TAC"/>
            </w:pPr>
          </w:p>
        </w:tc>
        <w:tc>
          <w:tcPr>
            <w:tcW w:w="1842" w:type="dxa"/>
            <w:tcBorders>
              <w:top w:val="single" w:sz="6" w:space="0" w:color="auto"/>
              <w:left w:val="single" w:sz="6" w:space="0" w:color="auto"/>
              <w:bottom w:val="single" w:sz="6" w:space="0" w:color="auto"/>
              <w:right w:val="single" w:sz="4" w:space="0" w:color="auto"/>
            </w:tcBorders>
            <w:hideMark/>
          </w:tcPr>
          <w:p w14:paraId="073AEAA8" w14:textId="77777777" w:rsidR="00C81100" w:rsidRDefault="00C81100" w:rsidP="00AD2F6B">
            <w:pPr>
              <w:pStyle w:val="TAC"/>
              <w:rPr>
                <w:lang w:val="sv-SE"/>
              </w:rPr>
            </w:pPr>
            <w:r>
              <w:rPr>
                <w:lang w:eastAsia="zh-CN"/>
              </w:rPr>
              <w:t>NR_FDD_FR1_F</w:t>
            </w:r>
          </w:p>
        </w:tc>
        <w:tc>
          <w:tcPr>
            <w:tcW w:w="991" w:type="dxa"/>
            <w:tcBorders>
              <w:top w:val="single" w:sz="6" w:space="0" w:color="auto"/>
              <w:left w:val="single" w:sz="4" w:space="0" w:color="auto"/>
              <w:bottom w:val="single" w:sz="6" w:space="0" w:color="auto"/>
              <w:right w:val="single" w:sz="6" w:space="0" w:color="auto"/>
            </w:tcBorders>
            <w:hideMark/>
          </w:tcPr>
          <w:p w14:paraId="7A48DAC9" w14:textId="77777777" w:rsidR="00C81100" w:rsidRDefault="00C81100" w:rsidP="00AD2F6B">
            <w:pPr>
              <w:pStyle w:val="TAC"/>
            </w:pPr>
            <w:r>
              <w:t>-118.5</w:t>
            </w:r>
          </w:p>
        </w:tc>
        <w:tc>
          <w:tcPr>
            <w:tcW w:w="851" w:type="dxa"/>
            <w:tcBorders>
              <w:top w:val="single" w:sz="6" w:space="0" w:color="auto"/>
              <w:left w:val="single" w:sz="4" w:space="0" w:color="auto"/>
              <w:bottom w:val="single" w:sz="6" w:space="0" w:color="auto"/>
              <w:right w:val="single" w:sz="6" w:space="0" w:color="auto"/>
            </w:tcBorders>
            <w:hideMark/>
          </w:tcPr>
          <w:p w14:paraId="57FE5438" w14:textId="77777777" w:rsidR="00C81100" w:rsidRDefault="00C81100" w:rsidP="00AD2F6B">
            <w:pPr>
              <w:pStyle w:val="TAC"/>
            </w:pPr>
            <w:r>
              <w:rPr>
                <w:rFonts w:cs="Arial"/>
              </w:rPr>
              <w:t>-115.5</w:t>
            </w:r>
          </w:p>
        </w:tc>
        <w:tc>
          <w:tcPr>
            <w:tcW w:w="880" w:type="dxa"/>
            <w:tcBorders>
              <w:top w:val="single" w:sz="6" w:space="0" w:color="auto"/>
              <w:left w:val="single" w:sz="4" w:space="0" w:color="auto"/>
              <w:bottom w:val="single" w:sz="6" w:space="0" w:color="auto"/>
              <w:right w:val="single" w:sz="6" w:space="0" w:color="auto"/>
            </w:tcBorders>
          </w:tcPr>
          <w:p w14:paraId="52F1C448" w14:textId="77777777" w:rsidR="00C81100" w:rsidRDefault="00C81100" w:rsidP="00AD2F6B">
            <w:pPr>
              <w:pStyle w:val="TAC"/>
            </w:pPr>
            <w:r>
              <w:rPr>
                <w:rFonts w:cs="Arial"/>
              </w:rPr>
              <w:t>-112.5</w:t>
            </w:r>
          </w:p>
        </w:tc>
        <w:tc>
          <w:tcPr>
            <w:tcW w:w="1440" w:type="dxa"/>
            <w:tcBorders>
              <w:top w:val="single" w:sz="6" w:space="0" w:color="auto"/>
              <w:left w:val="single" w:sz="6" w:space="0" w:color="auto"/>
              <w:bottom w:val="single" w:sz="6" w:space="0" w:color="auto"/>
              <w:right w:val="single" w:sz="6" w:space="0" w:color="auto"/>
            </w:tcBorders>
            <w:hideMark/>
          </w:tcPr>
          <w:p w14:paraId="2003D321"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4DC74BB7" w14:textId="77777777" w:rsidR="00C81100" w:rsidRDefault="00C81100" w:rsidP="00AD2F6B">
            <w:pPr>
              <w:pStyle w:val="TAC"/>
            </w:pPr>
            <w:r>
              <w:t>-50</w:t>
            </w:r>
          </w:p>
        </w:tc>
      </w:tr>
      <w:tr w:rsidR="00C81100" w14:paraId="6807C114" w14:textId="77777777" w:rsidTr="00930E00">
        <w:trPr>
          <w:jc w:val="center"/>
        </w:trPr>
        <w:tc>
          <w:tcPr>
            <w:tcW w:w="1026" w:type="dxa"/>
            <w:tcBorders>
              <w:top w:val="nil"/>
              <w:left w:val="single" w:sz="4" w:space="0" w:color="auto"/>
              <w:bottom w:val="nil"/>
              <w:right w:val="single" w:sz="6" w:space="0" w:color="auto"/>
            </w:tcBorders>
          </w:tcPr>
          <w:p w14:paraId="1BCC4E67"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07E88FFA" w14:textId="77777777" w:rsidR="00C81100" w:rsidRDefault="00C81100" w:rsidP="00AD2F6B">
            <w:pPr>
              <w:pStyle w:val="TAC"/>
            </w:pPr>
          </w:p>
        </w:tc>
        <w:tc>
          <w:tcPr>
            <w:tcW w:w="917" w:type="dxa"/>
            <w:tcBorders>
              <w:top w:val="nil"/>
              <w:left w:val="single" w:sz="6" w:space="0" w:color="auto"/>
              <w:bottom w:val="nil"/>
              <w:right w:val="single" w:sz="6" w:space="0" w:color="auto"/>
            </w:tcBorders>
          </w:tcPr>
          <w:p w14:paraId="7FE81307" w14:textId="77777777" w:rsidR="00C81100" w:rsidRDefault="00C81100" w:rsidP="00AD2F6B">
            <w:pPr>
              <w:pStyle w:val="TAC"/>
            </w:pPr>
          </w:p>
        </w:tc>
        <w:tc>
          <w:tcPr>
            <w:tcW w:w="1842" w:type="dxa"/>
            <w:tcBorders>
              <w:top w:val="single" w:sz="6" w:space="0" w:color="auto"/>
              <w:left w:val="single" w:sz="6" w:space="0" w:color="auto"/>
              <w:bottom w:val="single" w:sz="6" w:space="0" w:color="auto"/>
              <w:right w:val="single" w:sz="4" w:space="0" w:color="auto"/>
            </w:tcBorders>
            <w:hideMark/>
          </w:tcPr>
          <w:p w14:paraId="052EF001" w14:textId="77777777" w:rsidR="00C81100" w:rsidRDefault="00C81100" w:rsidP="00AD2F6B">
            <w:pPr>
              <w:pStyle w:val="TAC"/>
              <w:rPr>
                <w:lang w:eastAsia="zh-CN"/>
              </w:rPr>
            </w:pPr>
            <w:r>
              <w:rPr>
                <w:lang w:eastAsia="zh-CN"/>
              </w:rPr>
              <w:t>NR</w:t>
            </w:r>
            <w:r>
              <w:t>_</w:t>
            </w:r>
            <w:r>
              <w:rPr>
                <w:lang w:eastAsia="zh-CN"/>
              </w:rPr>
              <w:t>FDD_FR1_G</w:t>
            </w:r>
          </w:p>
        </w:tc>
        <w:tc>
          <w:tcPr>
            <w:tcW w:w="991" w:type="dxa"/>
            <w:tcBorders>
              <w:top w:val="single" w:sz="6" w:space="0" w:color="auto"/>
              <w:left w:val="single" w:sz="4" w:space="0" w:color="auto"/>
              <w:bottom w:val="single" w:sz="6" w:space="0" w:color="auto"/>
              <w:right w:val="single" w:sz="6" w:space="0" w:color="auto"/>
            </w:tcBorders>
            <w:hideMark/>
          </w:tcPr>
          <w:p w14:paraId="74B9FE99" w14:textId="77777777" w:rsidR="00C81100" w:rsidRDefault="00C81100" w:rsidP="00AD2F6B">
            <w:pPr>
              <w:pStyle w:val="TAC"/>
            </w:pPr>
            <w:r>
              <w:t>-118</w:t>
            </w:r>
          </w:p>
        </w:tc>
        <w:tc>
          <w:tcPr>
            <w:tcW w:w="851" w:type="dxa"/>
            <w:tcBorders>
              <w:top w:val="single" w:sz="6" w:space="0" w:color="auto"/>
              <w:left w:val="single" w:sz="4" w:space="0" w:color="auto"/>
              <w:bottom w:val="single" w:sz="6" w:space="0" w:color="auto"/>
              <w:right w:val="single" w:sz="6" w:space="0" w:color="auto"/>
            </w:tcBorders>
            <w:hideMark/>
          </w:tcPr>
          <w:p w14:paraId="1E69222E" w14:textId="77777777" w:rsidR="00C81100" w:rsidRDefault="00C81100" w:rsidP="00AD2F6B">
            <w:pPr>
              <w:pStyle w:val="TAC"/>
              <w:rPr>
                <w:rFonts w:cs="Arial"/>
                <w:lang w:val="sv-SE"/>
              </w:rPr>
            </w:pPr>
            <w:r>
              <w:rPr>
                <w:rFonts w:cs="Arial"/>
              </w:rPr>
              <w:t>-115</w:t>
            </w:r>
          </w:p>
        </w:tc>
        <w:tc>
          <w:tcPr>
            <w:tcW w:w="880" w:type="dxa"/>
            <w:tcBorders>
              <w:top w:val="single" w:sz="6" w:space="0" w:color="auto"/>
              <w:left w:val="single" w:sz="4" w:space="0" w:color="auto"/>
              <w:bottom w:val="single" w:sz="6" w:space="0" w:color="auto"/>
              <w:right w:val="single" w:sz="6" w:space="0" w:color="auto"/>
            </w:tcBorders>
          </w:tcPr>
          <w:p w14:paraId="4250F615" w14:textId="77777777" w:rsidR="00C81100" w:rsidRDefault="00C81100" w:rsidP="00AD2F6B">
            <w:pPr>
              <w:pStyle w:val="TAC"/>
              <w:rPr>
                <w:rFonts w:cs="Arial"/>
                <w:lang w:val="sv-SE"/>
              </w:rPr>
            </w:pPr>
            <w:r>
              <w:rPr>
                <w:rFonts w:cs="Arial"/>
              </w:rPr>
              <w:t>-112</w:t>
            </w:r>
          </w:p>
        </w:tc>
        <w:tc>
          <w:tcPr>
            <w:tcW w:w="1440" w:type="dxa"/>
            <w:tcBorders>
              <w:top w:val="single" w:sz="6" w:space="0" w:color="auto"/>
              <w:left w:val="single" w:sz="6" w:space="0" w:color="auto"/>
              <w:bottom w:val="single" w:sz="6" w:space="0" w:color="auto"/>
              <w:right w:val="single" w:sz="6" w:space="0" w:color="auto"/>
            </w:tcBorders>
            <w:hideMark/>
          </w:tcPr>
          <w:p w14:paraId="36FD6663"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324DA6E1" w14:textId="77777777" w:rsidR="00C81100" w:rsidRDefault="00C81100" w:rsidP="00AD2F6B">
            <w:pPr>
              <w:pStyle w:val="TAC"/>
            </w:pPr>
            <w:r>
              <w:t>-50</w:t>
            </w:r>
          </w:p>
        </w:tc>
      </w:tr>
      <w:tr w:rsidR="00C81100" w14:paraId="3A54F90A" w14:textId="77777777" w:rsidTr="00930E00">
        <w:trPr>
          <w:jc w:val="center"/>
        </w:trPr>
        <w:tc>
          <w:tcPr>
            <w:tcW w:w="1026" w:type="dxa"/>
            <w:tcBorders>
              <w:top w:val="nil"/>
              <w:left w:val="single" w:sz="4" w:space="0" w:color="auto"/>
              <w:bottom w:val="nil"/>
              <w:right w:val="single" w:sz="6" w:space="0" w:color="auto"/>
            </w:tcBorders>
          </w:tcPr>
          <w:p w14:paraId="0C871714" w14:textId="77777777" w:rsidR="00C81100" w:rsidRDefault="00C81100" w:rsidP="00AD2F6B">
            <w:pPr>
              <w:pStyle w:val="TAC"/>
            </w:pPr>
          </w:p>
        </w:tc>
        <w:tc>
          <w:tcPr>
            <w:tcW w:w="1026" w:type="dxa"/>
            <w:tcBorders>
              <w:top w:val="nil"/>
              <w:left w:val="single" w:sz="6" w:space="0" w:color="auto"/>
              <w:bottom w:val="nil"/>
              <w:right w:val="single" w:sz="6" w:space="0" w:color="auto"/>
            </w:tcBorders>
          </w:tcPr>
          <w:p w14:paraId="358D0294" w14:textId="77777777" w:rsidR="00C81100" w:rsidRDefault="00C81100" w:rsidP="00AD2F6B">
            <w:pPr>
              <w:pStyle w:val="TAC"/>
            </w:pPr>
          </w:p>
        </w:tc>
        <w:tc>
          <w:tcPr>
            <w:tcW w:w="917" w:type="dxa"/>
            <w:tcBorders>
              <w:top w:val="nil"/>
              <w:left w:val="single" w:sz="6" w:space="0" w:color="auto"/>
              <w:bottom w:val="nil"/>
              <w:right w:val="single" w:sz="6" w:space="0" w:color="auto"/>
            </w:tcBorders>
          </w:tcPr>
          <w:p w14:paraId="7DA8B6F6" w14:textId="77777777" w:rsidR="00C81100" w:rsidRDefault="00C81100" w:rsidP="00AD2F6B">
            <w:pPr>
              <w:pStyle w:val="TAC"/>
            </w:pPr>
          </w:p>
        </w:tc>
        <w:tc>
          <w:tcPr>
            <w:tcW w:w="1842" w:type="dxa"/>
            <w:tcBorders>
              <w:top w:val="single" w:sz="6" w:space="0" w:color="auto"/>
              <w:left w:val="single" w:sz="6" w:space="0" w:color="auto"/>
              <w:bottom w:val="single" w:sz="6" w:space="0" w:color="auto"/>
              <w:right w:val="single" w:sz="4" w:space="0" w:color="auto"/>
            </w:tcBorders>
            <w:hideMark/>
          </w:tcPr>
          <w:p w14:paraId="4C7FFB58" w14:textId="77777777" w:rsidR="00C81100" w:rsidRDefault="00C81100" w:rsidP="00AD2F6B">
            <w:pPr>
              <w:pStyle w:val="TAC"/>
              <w:rPr>
                <w:lang w:eastAsia="zh-CN"/>
              </w:rPr>
            </w:pPr>
            <w:r>
              <w:rPr>
                <w:lang w:eastAsia="zh-CN"/>
              </w:rPr>
              <w:t>NR</w:t>
            </w:r>
            <w:r>
              <w:t>_</w:t>
            </w:r>
            <w:r>
              <w:rPr>
                <w:lang w:eastAsia="zh-CN"/>
              </w:rPr>
              <w:t>FDD_FR1_H</w:t>
            </w:r>
          </w:p>
        </w:tc>
        <w:tc>
          <w:tcPr>
            <w:tcW w:w="991" w:type="dxa"/>
            <w:tcBorders>
              <w:top w:val="single" w:sz="6" w:space="0" w:color="auto"/>
              <w:left w:val="single" w:sz="4" w:space="0" w:color="auto"/>
              <w:bottom w:val="single" w:sz="6" w:space="0" w:color="auto"/>
              <w:right w:val="single" w:sz="6" w:space="0" w:color="auto"/>
            </w:tcBorders>
            <w:hideMark/>
          </w:tcPr>
          <w:p w14:paraId="64DA4219" w14:textId="77777777" w:rsidR="00C81100" w:rsidRDefault="00C81100" w:rsidP="00AD2F6B">
            <w:pPr>
              <w:pStyle w:val="TAC"/>
            </w:pPr>
            <w:r>
              <w:t>-117.5</w:t>
            </w:r>
          </w:p>
        </w:tc>
        <w:tc>
          <w:tcPr>
            <w:tcW w:w="851" w:type="dxa"/>
            <w:tcBorders>
              <w:top w:val="single" w:sz="6" w:space="0" w:color="auto"/>
              <w:left w:val="single" w:sz="4" w:space="0" w:color="auto"/>
              <w:bottom w:val="single" w:sz="6" w:space="0" w:color="auto"/>
              <w:right w:val="single" w:sz="6" w:space="0" w:color="auto"/>
            </w:tcBorders>
            <w:hideMark/>
          </w:tcPr>
          <w:p w14:paraId="24269ED6" w14:textId="77777777" w:rsidR="00C81100" w:rsidRDefault="00C81100" w:rsidP="00AD2F6B">
            <w:pPr>
              <w:pStyle w:val="TAC"/>
              <w:rPr>
                <w:rFonts w:cs="Arial"/>
                <w:lang w:val="sv-SE"/>
              </w:rPr>
            </w:pPr>
            <w:r>
              <w:rPr>
                <w:rFonts w:cs="Arial"/>
              </w:rPr>
              <w:t>-114.5</w:t>
            </w:r>
          </w:p>
        </w:tc>
        <w:tc>
          <w:tcPr>
            <w:tcW w:w="880" w:type="dxa"/>
            <w:tcBorders>
              <w:top w:val="single" w:sz="6" w:space="0" w:color="auto"/>
              <w:left w:val="single" w:sz="4" w:space="0" w:color="auto"/>
              <w:bottom w:val="single" w:sz="6" w:space="0" w:color="auto"/>
              <w:right w:val="single" w:sz="6" w:space="0" w:color="auto"/>
            </w:tcBorders>
          </w:tcPr>
          <w:p w14:paraId="78A844D7" w14:textId="77777777" w:rsidR="00C81100" w:rsidRDefault="00C81100" w:rsidP="00AD2F6B">
            <w:pPr>
              <w:pStyle w:val="TAC"/>
              <w:rPr>
                <w:rFonts w:cs="Arial"/>
                <w:lang w:val="sv-SE"/>
              </w:rPr>
            </w:pPr>
            <w:r>
              <w:rPr>
                <w:rFonts w:cs="Arial"/>
              </w:rPr>
              <w:t>-111.5</w:t>
            </w:r>
          </w:p>
        </w:tc>
        <w:tc>
          <w:tcPr>
            <w:tcW w:w="1440" w:type="dxa"/>
            <w:tcBorders>
              <w:top w:val="single" w:sz="6" w:space="0" w:color="auto"/>
              <w:left w:val="single" w:sz="6" w:space="0" w:color="auto"/>
              <w:bottom w:val="single" w:sz="6" w:space="0" w:color="auto"/>
              <w:right w:val="single" w:sz="6" w:space="0" w:color="auto"/>
            </w:tcBorders>
            <w:hideMark/>
          </w:tcPr>
          <w:p w14:paraId="6A65E8C9" w14:textId="77777777" w:rsidR="00C81100" w:rsidRDefault="00C81100" w:rsidP="00AD2F6B">
            <w:pPr>
              <w:pStyle w:val="TAC"/>
            </w:pPr>
            <w:r>
              <w:t>N/A</w:t>
            </w:r>
          </w:p>
        </w:tc>
        <w:tc>
          <w:tcPr>
            <w:tcW w:w="1440" w:type="dxa"/>
            <w:tcBorders>
              <w:top w:val="single" w:sz="6" w:space="0" w:color="auto"/>
              <w:left w:val="single" w:sz="6" w:space="0" w:color="auto"/>
              <w:bottom w:val="single" w:sz="6" w:space="0" w:color="auto"/>
              <w:right w:val="single" w:sz="4" w:space="0" w:color="auto"/>
            </w:tcBorders>
            <w:hideMark/>
          </w:tcPr>
          <w:p w14:paraId="62A04A73" w14:textId="77777777" w:rsidR="00C81100" w:rsidRDefault="00C81100" w:rsidP="00AD2F6B">
            <w:pPr>
              <w:pStyle w:val="TAC"/>
            </w:pPr>
            <w:r>
              <w:t>-50</w:t>
            </w:r>
          </w:p>
        </w:tc>
      </w:tr>
      <w:tr w:rsidR="00C81100" w14:paraId="000304B5" w14:textId="77777777" w:rsidTr="00AD2F6B">
        <w:trPr>
          <w:jc w:val="center"/>
        </w:trPr>
        <w:tc>
          <w:tcPr>
            <w:tcW w:w="10413" w:type="dxa"/>
            <w:gridSpan w:val="9"/>
            <w:tcBorders>
              <w:top w:val="single" w:sz="6" w:space="0" w:color="auto"/>
              <w:left w:val="single" w:sz="4" w:space="0" w:color="auto"/>
              <w:bottom w:val="single" w:sz="4" w:space="0" w:color="auto"/>
              <w:right w:val="single" w:sz="4" w:space="0" w:color="auto"/>
            </w:tcBorders>
            <w:vAlign w:val="center"/>
            <w:hideMark/>
          </w:tcPr>
          <w:p w14:paraId="33D335D0" w14:textId="77777777" w:rsidR="00AF7C66" w:rsidRDefault="00AF7C66" w:rsidP="00AF7C66">
            <w:pPr>
              <w:pStyle w:val="TAN"/>
            </w:pPr>
            <w:r>
              <w:t>NOTE 1:</w:t>
            </w:r>
            <w:r>
              <w:tab/>
              <w:t>Io is assumed to have constant EPRE across the bandwidth.</w:t>
            </w:r>
          </w:p>
          <w:p w14:paraId="48C42954" w14:textId="77777777" w:rsidR="00AF7C66" w:rsidRDefault="00AF7C66" w:rsidP="00AF7C66">
            <w:pPr>
              <w:pStyle w:val="TAN"/>
            </w:pPr>
            <w:r>
              <w:t>NOTE 2:</w:t>
            </w:r>
            <w:r>
              <w:tab/>
              <w:t>The parameter CSI-RS CMR Ês/Iot is the minimum CMR CMR Ês/Iot of the pair of CSI-RS resources to which the requirement applies.</w:t>
            </w:r>
          </w:p>
          <w:p w14:paraId="28726145" w14:textId="30AF4DEF" w:rsidR="00AF7C66" w:rsidRDefault="00AF7C66" w:rsidP="00AF7C66">
            <w:pPr>
              <w:pStyle w:val="TAN"/>
            </w:pPr>
            <w:r>
              <w:t>NOTE 3:</w:t>
            </w:r>
            <w:r>
              <w:tab/>
              <w:t>NR operating band groups in FR1 are as defined in clause 3.5.2.</w:t>
            </w:r>
          </w:p>
          <w:p w14:paraId="192D758B" w14:textId="470A612B" w:rsidR="00C81100" w:rsidRDefault="00AF7C66" w:rsidP="00AF7C66">
            <w:pPr>
              <w:pStyle w:val="TAN"/>
            </w:pPr>
            <w:r w:rsidRPr="009C5807">
              <w:rPr>
                <w:rFonts w:cs="Arial"/>
              </w:rPr>
              <w:t xml:space="preserve">NOTE </w:t>
            </w:r>
            <w:r>
              <w:rPr>
                <w:rFonts w:cs="Arial"/>
              </w:rPr>
              <w:t>4</w:t>
            </w:r>
            <w:r w:rsidRPr="009C5807">
              <w:rPr>
                <w:rFonts w:cs="Arial"/>
              </w:rPr>
              <w:t>:</w:t>
            </w:r>
            <w:r w:rsidRPr="009C5807">
              <w:rPr>
                <w:rFonts w:cs="Arial"/>
              </w:rPr>
              <w:tab/>
              <w:t xml:space="preserve">The requirements apply for </w:t>
            </w:r>
            <w:r w:rsidRPr="009D3FB7">
              <w:rPr>
                <w:rFonts w:cs="Arial"/>
              </w:rPr>
              <w:t>CSI-RS CMR</w:t>
            </w:r>
            <w:r>
              <w:rPr>
                <w:rFonts w:cs="Arial"/>
              </w:rPr>
              <w:t xml:space="preserve"> </w:t>
            </w:r>
            <w:r w:rsidRPr="009C5807">
              <w:rPr>
                <w:rFonts w:cs="Arial"/>
              </w:rPr>
              <w:t xml:space="preserve">Ês/Iot </w:t>
            </w:r>
            <w:r w:rsidRPr="009C5807">
              <w:rPr>
                <w:rFonts w:cs="Arial" w:hint="eastAsia"/>
              </w:rPr>
              <w:t>≤</w:t>
            </w:r>
            <w:r>
              <w:rPr>
                <w:rFonts w:cs="Arial" w:hint="eastAsia"/>
                <w:lang w:eastAsia="zh-CN"/>
              </w:rPr>
              <w:t xml:space="preserve"> </w:t>
            </w:r>
            <w:r>
              <w:rPr>
                <w:rFonts w:cs="Arial"/>
              </w:rPr>
              <w:t>[6]</w:t>
            </w:r>
            <w:r w:rsidRPr="009C5807">
              <w:rPr>
                <w:rFonts w:cs="Arial"/>
              </w:rPr>
              <w:t xml:space="preserve"> dB</w:t>
            </w:r>
            <w:r>
              <w:rPr>
                <w:rFonts w:cs="Arial"/>
              </w:rPr>
              <w:t xml:space="preserve"> with </w:t>
            </w:r>
            <w:r w:rsidRPr="00772FDC">
              <w:rPr>
                <w:rFonts w:cs="Arial"/>
              </w:rPr>
              <w:t xml:space="preserve">SCS 15kHz </w:t>
            </w:r>
            <w:r>
              <w:rPr>
                <w:rFonts w:cs="Arial"/>
              </w:rPr>
              <w:t>or</w:t>
            </w:r>
            <w:r w:rsidRPr="00772FDC">
              <w:rPr>
                <w:rFonts w:cs="Arial"/>
              </w:rPr>
              <w:t xml:space="preserve"> 30kHz </w:t>
            </w:r>
            <w:r>
              <w:rPr>
                <w:rFonts w:cs="Arial"/>
              </w:rPr>
              <w:t>under NR high speed scenarios</w:t>
            </w:r>
            <w:r w:rsidRPr="009C5807">
              <w:rPr>
                <w:rFonts w:cs="Arial"/>
              </w:rPr>
              <w:t>.</w:t>
            </w:r>
          </w:p>
        </w:tc>
      </w:tr>
    </w:tbl>
    <w:p w14:paraId="4DB27533" w14:textId="77777777" w:rsidR="00930E00" w:rsidRDefault="00930E00" w:rsidP="00930E00">
      <w:pPr>
        <w:pStyle w:val="Heading3"/>
        <w:rPr>
          <w:lang w:val="en-US"/>
        </w:rPr>
      </w:pPr>
      <w:r>
        <w:rPr>
          <w:lang w:val="en-US"/>
        </w:rPr>
        <w:t>10.1.28</w:t>
      </w:r>
      <w:r>
        <w:rPr>
          <w:lang w:val="en-US"/>
        </w:rPr>
        <w:tab/>
        <w:t>L1-SINR accuracy requirements for FR2</w:t>
      </w:r>
    </w:p>
    <w:p w14:paraId="5246F540" w14:textId="77777777" w:rsidR="00930E00" w:rsidRDefault="00930E00" w:rsidP="00930E00">
      <w:pPr>
        <w:keepNext/>
        <w:keepLines/>
        <w:spacing w:before="120"/>
        <w:ind w:left="1418" w:hanging="1418"/>
        <w:outlineLvl w:val="3"/>
        <w:rPr>
          <w:lang w:val="en-US"/>
        </w:rPr>
      </w:pPr>
      <w:r>
        <w:rPr>
          <w:rFonts w:ascii="Arial" w:hAnsi="Arial"/>
          <w:sz w:val="24"/>
          <w:lang w:val="en-US"/>
        </w:rPr>
        <w:t>10.1.28.1</w:t>
      </w:r>
      <w:r>
        <w:rPr>
          <w:rFonts w:ascii="Arial" w:hAnsi="Arial"/>
          <w:sz w:val="24"/>
          <w:lang w:val="en-US"/>
        </w:rPr>
        <w:tab/>
        <w:t>L1-SINR accuracy requirements with CSI-RS based CMR and no dedicated IMR configured</w:t>
      </w:r>
    </w:p>
    <w:p w14:paraId="073B7C48" w14:textId="77777777" w:rsidR="00930E00" w:rsidRDefault="00930E00" w:rsidP="00930E00">
      <w:pPr>
        <w:keepNext/>
        <w:keepLines/>
        <w:spacing w:before="120"/>
        <w:ind w:left="1701" w:hanging="1701"/>
        <w:outlineLvl w:val="4"/>
      </w:pPr>
      <w:r>
        <w:rPr>
          <w:rFonts w:ascii="Arial" w:hAnsi="Arial"/>
          <w:sz w:val="22"/>
        </w:rPr>
        <w:t>10.1.28.1.1</w:t>
      </w:r>
      <w:r>
        <w:rPr>
          <w:rFonts w:ascii="Arial" w:hAnsi="Arial"/>
          <w:sz w:val="22"/>
        </w:rPr>
        <w:tab/>
        <w:t>Absolute Accuracy</w:t>
      </w:r>
    </w:p>
    <w:p w14:paraId="101B9C71" w14:textId="77777777" w:rsidR="00930E00" w:rsidRDefault="00930E00" w:rsidP="00930E00">
      <w:pPr>
        <w:rPr>
          <w:rFonts w:cs="v4.2.0"/>
          <w:i/>
        </w:rPr>
      </w:pPr>
      <w:r>
        <w:rPr>
          <w:rFonts w:cs="v4.2.0"/>
        </w:rPr>
        <w:t xml:space="preserve">Unless otherwise specified, the requirements for absolute accuracy of </w:t>
      </w:r>
      <w:r>
        <w:rPr>
          <w:rFonts w:cs="v4.2.0"/>
          <w:lang w:eastAsia="zh-CN"/>
        </w:rPr>
        <w:t>CSI-RS based L1-</w:t>
      </w:r>
      <w:r>
        <w:rPr>
          <w:rFonts w:cs="v4.2.0"/>
        </w:rPr>
        <w:t>SINR in this clause apply to all CSI-RS resources configured as CMR and no dedicated resource configured as IMR of the serving cell configured for L1-SINR measurement.</w:t>
      </w:r>
    </w:p>
    <w:p w14:paraId="0E4D5D11" w14:textId="77777777" w:rsidR="00930E00" w:rsidRDefault="00930E00" w:rsidP="00930E00">
      <w:pPr>
        <w:rPr>
          <w:rFonts w:cs="v4.2.0"/>
        </w:rPr>
      </w:pPr>
      <w:r>
        <w:rPr>
          <w:rFonts w:cs="v4.2.0"/>
        </w:rPr>
        <w:t xml:space="preserve">The accuracy requirements in Table </w:t>
      </w:r>
      <w:r>
        <w:rPr>
          <w:rFonts w:cs="v4.2.0"/>
          <w:lang w:eastAsia="zh-CN"/>
        </w:rPr>
        <w:t>10.1.28.1.1</w:t>
      </w:r>
      <w:r>
        <w:rPr>
          <w:rFonts w:cs="v4.2.0"/>
        </w:rPr>
        <w:t>-1 are valid under the following conditions:</w:t>
      </w:r>
    </w:p>
    <w:p w14:paraId="48F809A0" w14:textId="77777777" w:rsidR="00930E00" w:rsidRDefault="00930E00" w:rsidP="00930E00">
      <w:pPr>
        <w:pStyle w:val="B10"/>
      </w:pPr>
      <w:r>
        <w:t>-</w:t>
      </w:r>
      <w:r>
        <w:tab/>
        <w:t>Conditions defined in clause 7.3 of TS 38.101-2 [19] for reference sensitivity are fulfilled.</w:t>
      </w:r>
    </w:p>
    <w:p w14:paraId="6E961EA8" w14:textId="53B85738" w:rsidR="00930E00" w:rsidRDefault="00930E00" w:rsidP="00930E00">
      <w:pPr>
        <w:pStyle w:val="B10"/>
        <w:rPr>
          <w:lang w:eastAsia="zh-CN"/>
        </w:rPr>
      </w:pPr>
      <w:r w:rsidRPr="009C5807">
        <w:t>-</w:t>
      </w:r>
      <w:r w:rsidRPr="009C5807">
        <w:tab/>
        <w:t>Conditions for L1-</w:t>
      </w:r>
      <w:r>
        <w:t>SINR</w:t>
      </w:r>
      <w:r w:rsidRPr="009C5807">
        <w:t xml:space="preserve"> measurements are fulfilled according to Annex B.2</w:t>
      </w:r>
      <w:r w:rsidR="005A3DF0">
        <w:t>.8.1</w:t>
      </w:r>
      <w:r w:rsidRPr="009C5807">
        <w:t xml:space="preserve"> for a corresponding Band </w:t>
      </w:r>
      <w:r w:rsidRPr="009C5807">
        <w:rPr>
          <w:rFonts w:cs="v4.2.0"/>
          <w:lang w:eastAsia="ko-KR"/>
        </w:rPr>
        <w:t>for each relevant CSI-RS</w:t>
      </w:r>
      <w:r>
        <w:rPr>
          <w:rFonts w:cs="v4.2.0"/>
          <w:lang w:eastAsia="ko-KR"/>
        </w:rPr>
        <w:t xml:space="preserve"> based CMR</w:t>
      </w:r>
      <w:r w:rsidRPr="009C5807">
        <w:rPr>
          <w:lang w:eastAsia="zh-CN"/>
        </w:rPr>
        <w:t>.</w:t>
      </w:r>
    </w:p>
    <w:p w14:paraId="10230394" w14:textId="77777777" w:rsidR="00930E00" w:rsidRDefault="00930E00" w:rsidP="00930E00">
      <w:pPr>
        <w:pStyle w:val="B10"/>
        <w:rPr>
          <w:lang w:eastAsia="zh-CN"/>
        </w:rPr>
      </w:pPr>
      <w:r>
        <w:t>-</w:t>
      </w:r>
      <w:r>
        <w:tab/>
      </w:r>
      <w:r>
        <w:rPr>
          <w:lang w:eastAsia="zh-CN"/>
        </w:rPr>
        <w:t xml:space="preserve">The bandwidth of CSI-RS as CMR is 48 PRBs and the density is 3. </w:t>
      </w:r>
    </w:p>
    <w:p w14:paraId="2A4CF1A6" w14:textId="77777777" w:rsidR="00930E00" w:rsidRDefault="00930E00" w:rsidP="00930E00">
      <w:pPr>
        <w:pStyle w:val="B10"/>
      </w:pPr>
      <w:r>
        <w:t>-</w:t>
      </w:r>
      <w:r>
        <w:tab/>
        <w:t xml:space="preserve">The measured signals are in the directions covered by the percentile EIS spherical coverage of the UE, defined in </w:t>
      </w:r>
      <w:r>
        <w:rPr>
          <w:rFonts w:cs="Arial"/>
        </w:rPr>
        <w:t>clause 7.3.4 of TS 38.101-2 [19]</w:t>
      </w:r>
      <w:r>
        <w:t>.</w:t>
      </w:r>
    </w:p>
    <w:p w14:paraId="64DF3F93" w14:textId="7B516ED9" w:rsidR="00930E00" w:rsidRDefault="00930E00" w:rsidP="00930E00">
      <w:pPr>
        <w:pStyle w:val="B10"/>
        <w:rPr>
          <w:lang w:eastAsia="zh-CN"/>
        </w:rPr>
      </w:pPr>
      <w:r>
        <w:rPr>
          <w:lang w:eastAsia="zh-CN"/>
        </w:rPr>
        <w:t>-</w:t>
      </w:r>
      <w:r>
        <w:rPr>
          <w:lang w:eastAsia="zh-CN"/>
        </w:rPr>
        <w:tab/>
        <w:t>AWGN</w:t>
      </w:r>
      <w:r w:rsidR="005A3DF0" w:rsidRPr="00FB249D">
        <w:t xml:space="preserve"> </w:t>
      </w:r>
      <w:r w:rsidR="005A3DF0" w:rsidRPr="00B910B8">
        <w:t>radio propagation conditions</w:t>
      </w:r>
      <w:r>
        <w:rPr>
          <w:lang w:eastAsia="zh-CN"/>
        </w:rPr>
        <w:t>.</w:t>
      </w:r>
    </w:p>
    <w:p w14:paraId="6396D52C" w14:textId="77777777" w:rsidR="00930E00" w:rsidRDefault="00930E00" w:rsidP="00930E00">
      <w:pPr>
        <w:rPr>
          <w:lang w:eastAsia="zh-CN"/>
        </w:rPr>
      </w:pPr>
      <w:r>
        <w:rPr>
          <w:lang w:eastAsia="zh-CN"/>
        </w:rPr>
        <w:t>The performance with larger bandwidth of CSI-RS as CMR is equal to or better than the accuracy requirements in Table 10.1.28.1.1-1.</w:t>
      </w:r>
    </w:p>
    <w:p w14:paraId="5081E2D8" w14:textId="77777777" w:rsidR="00930E00" w:rsidRPr="007C0623" w:rsidRDefault="00930E00" w:rsidP="00930E00">
      <w:pPr>
        <w:pStyle w:val="TH"/>
      </w:pPr>
      <w:r>
        <w:t>Table 10.1.28.1.1-1: L1-SINR absolute accuracy for CSI-RS based CMR only in FR2</w:t>
      </w:r>
    </w:p>
    <w:tbl>
      <w:tblPr>
        <w:tblW w:w="8720" w:type="dxa"/>
        <w:jc w:val="center"/>
        <w:tblLook w:val="01E0" w:firstRow="1" w:lastRow="1" w:firstColumn="1" w:lastColumn="1" w:noHBand="0" w:noVBand="0"/>
      </w:tblPr>
      <w:tblGrid>
        <w:gridCol w:w="1103"/>
        <w:gridCol w:w="1103"/>
        <w:gridCol w:w="1050"/>
        <w:gridCol w:w="1575"/>
        <w:gridCol w:w="1009"/>
        <w:gridCol w:w="1440"/>
        <w:gridCol w:w="1440"/>
      </w:tblGrid>
      <w:tr w:rsidR="00930E00" w14:paraId="52783B42" w14:textId="77777777" w:rsidTr="00AD2F6B">
        <w:trPr>
          <w:jc w:val="center"/>
        </w:trPr>
        <w:tc>
          <w:tcPr>
            <w:tcW w:w="2206" w:type="dxa"/>
            <w:gridSpan w:val="2"/>
            <w:tcBorders>
              <w:top w:val="single" w:sz="6" w:space="0" w:color="auto"/>
              <w:left w:val="single" w:sz="4" w:space="0" w:color="auto"/>
              <w:bottom w:val="nil"/>
              <w:right w:val="single" w:sz="6" w:space="0" w:color="auto"/>
            </w:tcBorders>
            <w:vAlign w:val="center"/>
            <w:hideMark/>
          </w:tcPr>
          <w:p w14:paraId="21E84EA3" w14:textId="77777777" w:rsidR="00930E00" w:rsidRDefault="00930E00" w:rsidP="00AD2F6B">
            <w:pPr>
              <w:pStyle w:val="TAH"/>
            </w:pPr>
            <w:r>
              <w:t>Accuracy</w:t>
            </w:r>
          </w:p>
        </w:tc>
        <w:tc>
          <w:tcPr>
            <w:tcW w:w="6514" w:type="dxa"/>
            <w:gridSpan w:val="5"/>
            <w:tcBorders>
              <w:top w:val="single" w:sz="4" w:space="0" w:color="auto"/>
              <w:left w:val="single" w:sz="4" w:space="0" w:color="auto"/>
              <w:bottom w:val="nil"/>
              <w:right w:val="single" w:sz="4" w:space="0" w:color="auto"/>
            </w:tcBorders>
            <w:vAlign w:val="center"/>
            <w:hideMark/>
          </w:tcPr>
          <w:p w14:paraId="681D98B5" w14:textId="77777777" w:rsidR="00930E00" w:rsidRDefault="00930E00" w:rsidP="00AD2F6B">
            <w:pPr>
              <w:pStyle w:val="TAH"/>
            </w:pPr>
            <w:r>
              <w:t>Conditions</w:t>
            </w:r>
          </w:p>
        </w:tc>
      </w:tr>
      <w:tr w:rsidR="00930E00" w14:paraId="2F72C241" w14:textId="77777777" w:rsidTr="00AD2F6B">
        <w:trPr>
          <w:jc w:val="center"/>
        </w:trPr>
        <w:tc>
          <w:tcPr>
            <w:tcW w:w="1103" w:type="dxa"/>
            <w:tcBorders>
              <w:top w:val="single" w:sz="6" w:space="0" w:color="auto"/>
              <w:left w:val="single" w:sz="4" w:space="0" w:color="auto"/>
              <w:bottom w:val="nil"/>
              <w:right w:val="single" w:sz="6" w:space="0" w:color="auto"/>
            </w:tcBorders>
            <w:vAlign w:val="center"/>
            <w:hideMark/>
          </w:tcPr>
          <w:p w14:paraId="69863535" w14:textId="77777777" w:rsidR="00930E00" w:rsidRDefault="00930E00" w:rsidP="00AD2F6B">
            <w:pPr>
              <w:pStyle w:val="TAH"/>
            </w:pPr>
            <w:r>
              <w:t>Normal condition</w:t>
            </w:r>
          </w:p>
        </w:tc>
        <w:tc>
          <w:tcPr>
            <w:tcW w:w="1103" w:type="dxa"/>
            <w:tcBorders>
              <w:top w:val="single" w:sz="6" w:space="0" w:color="auto"/>
              <w:left w:val="single" w:sz="6" w:space="0" w:color="auto"/>
              <w:bottom w:val="nil"/>
              <w:right w:val="single" w:sz="6" w:space="0" w:color="auto"/>
            </w:tcBorders>
            <w:vAlign w:val="center"/>
            <w:hideMark/>
          </w:tcPr>
          <w:p w14:paraId="5CB4111D" w14:textId="77777777" w:rsidR="00930E00" w:rsidRDefault="00930E00" w:rsidP="00AD2F6B">
            <w:pPr>
              <w:pStyle w:val="TAH"/>
            </w:pPr>
            <w:r>
              <w:t>Extreme condition</w:t>
            </w:r>
          </w:p>
        </w:tc>
        <w:tc>
          <w:tcPr>
            <w:tcW w:w="1050" w:type="dxa"/>
            <w:vMerge w:val="restart"/>
            <w:tcBorders>
              <w:top w:val="single" w:sz="4" w:space="0" w:color="auto"/>
              <w:left w:val="single" w:sz="4" w:space="0" w:color="auto"/>
              <w:right w:val="single" w:sz="4" w:space="0" w:color="auto"/>
            </w:tcBorders>
            <w:hideMark/>
          </w:tcPr>
          <w:p w14:paraId="03015DBB" w14:textId="77777777" w:rsidR="00930E00" w:rsidRDefault="00930E00" w:rsidP="00AD2F6B">
            <w:pPr>
              <w:pStyle w:val="TAH"/>
              <w:rPr>
                <w:rFonts w:cs="Arial"/>
              </w:rPr>
            </w:pPr>
            <w:r>
              <w:rPr>
                <w:rFonts w:cs="Arial"/>
              </w:rPr>
              <w:t>CSI-RS</w:t>
            </w:r>
          </w:p>
          <w:p w14:paraId="66757A64" w14:textId="77777777" w:rsidR="00930E00" w:rsidRDefault="00930E00" w:rsidP="00AD2F6B">
            <w:pPr>
              <w:pStyle w:val="TAH"/>
              <w:rPr>
                <w:rFonts w:cs="Arial"/>
              </w:rPr>
            </w:pPr>
            <w:r>
              <w:rPr>
                <w:rFonts w:cs="Arial"/>
              </w:rPr>
              <w:t>CMR</w:t>
            </w:r>
          </w:p>
          <w:p w14:paraId="43E535A8" w14:textId="6AABEDAA" w:rsidR="00930E00" w:rsidRPr="00C90B25" w:rsidRDefault="00930E00" w:rsidP="00AD2F6B">
            <w:pPr>
              <w:pStyle w:val="TAH"/>
              <w:rPr>
                <w:rFonts w:cs="Arial"/>
              </w:rPr>
            </w:pPr>
            <w:r>
              <w:rPr>
                <w:rFonts w:cs="Arial"/>
              </w:rPr>
              <w:t>Ês/Iot</w:t>
            </w:r>
            <w:r w:rsidR="005A3DF0">
              <w:rPr>
                <w:rFonts w:cs="Arial"/>
              </w:rPr>
              <w:t xml:space="preserve"> </w:t>
            </w:r>
            <w:r w:rsidR="005A3DF0">
              <w:rPr>
                <w:vertAlign w:val="superscript"/>
              </w:rPr>
              <w:t>Note 3</w:t>
            </w:r>
          </w:p>
        </w:tc>
        <w:tc>
          <w:tcPr>
            <w:tcW w:w="5464" w:type="dxa"/>
            <w:gridSpan w:val="4"/>
            <w:tcBorders>
              <w:top w:val="single" w:sz="4" w:space="0" w:color="auto"/>
              <w:left w:val="single" w:sz="4" w:space="0" w:color="auto"/>
              <w:bottom w:val="single" w:sz="6" w:space="0" w:color="auto"/>
              <w:right w:val="single" w:sz="4" w:space="0" w:color="auto"/>
            </w:tcBorders>
            <w:vAlign w:val="center"/>
            <w:hideMark/>
          </w:tcPr>
          <w:p w14:paraId="4B484B04" w14:textId="77777777" w:rsidR="00930E00" w:rsidRDefault="00930E00" w:rsidP="00AD2F6B">
            <w:pPr>
              <w:pStyle w:val="TAH"/>
            </w:pPr>
            <w:r>
              <w:t>Io</w:t>
            </w:r>
            <w:r>
              <w:rPr>
                <w:vertAlign w:val="superscript"/>
              </w:rPr>
              <w:t xml:space="preserve"> Note 1</w:t>
            </w:r>
            <w:r>
              <w:t xml:space="preserve"> range</w:t>
            </w:r>
          </w:p>
        </w:tc>
      </w:tr>
      <w:tr w:rsidR="00930E00" w14:paraId="4F90BAEA"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6092FD5F"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020F037A" w14:textId="77777777" w:rsidR="00930E00" w:rsidRDefault="00930E00" w:rsidP="003852A9">
            <w:pPr>
              <w:pStyle w:val="TAH"/>
            </w:pPr>
          </w:p>
        </w:tc>
        <w:tc>
          <w:tcPr>
            <w:tcW w:w="1050" w:type="dxa"/>
            <w:vMerge/>
            <w:tcBorders>
              <w:left w:val="single" w:sz="4" w:space="0" w:color="auto"/>
              <w:bottom w:val="single" w:sz="6" w:space="0" w:color="auto"/>
              <w:right w:val="single" w:sz="4" w:space="0" w:color="auto"/>
            </w:tcBorders>
            <w:vAlign w:val="center"/>
            <w:hideMark/>
          </w:tcPr>
          <w:p w14:paraId="15050A42" w14:textId="77777777" w:rsidR="00930E00" w:rsidRDefault="00930E00" w:rsidP="003852A9">
            <w:pPr>
              <w:pStyle w:val="TAH"/>
            </w:pPr>
          </w:p>
        </w:tc>
        <w:tc>
          <w:tcPr>
            <w:tcW w:w="4024" w:type="dxa"/>
            <w:gridSpan w:val="3"/>
            <w:tcBorders>
              <w:top w:val="single" w:sz="4" w:space="0" w:color="auto"/>
              <w:left w:val="single" w:sz="4" w:space="0" w:color="auto"/>
              <w:bottom w:val="single" w:sz="6" w:space="0" w:color="auto"/>
              <w:right w:val="single" w:sz="6" w:space="0" w:color="auto"/>
            </w:tcBorders>
            <w:vAlign w:val="center"/>
            <w:hideMark/>
          </w:tcPr>
          <w:p w14:paraId="7D673C86" w14:textId="77777777" w:rsidR="00930E00" w:rsidRDefault="00930E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7C89DA82" w14:textId="77777777" w:rsidR="00930E00" w:rsidRDefault="00930E00" w:rsidP="00AD2F6B">
            <w:pPr>
              <w:pStyle w:val="TAH"/>
            </w:pPr>
            <w:r>
              <w:t>Maximum Io</w:t>
            </w:r>
          </w:p>
        </w:tc>
      </w:tr>
      <w:tr w:rsidR="00930E00" w14:paraId="2AAF5E7B" w14:textId="77777777" w:rsidTr="00AD2F6B">
        <w:trPr>
          <w:jc w:val="center"/>
        </w:trPr>
        <w:tc>
          <w:tcPr>
            <w:tcW w:w="1103" w:type="dxa"/>
            <w:tcBorders>
              <w:top w:val="single" w:sz="6" w:space="0" w:color="auto"/>
              <w:left w:val="single" w:sz="4" w:space="0" w:color="auto"/>
              <w:bottom w:val="nil"/>
              <w:right w:val="single" w:sz="6" w:space="0" w:color="auto"/>
            </w:tcBorders>
            <w:hideMark/>
          </w:tcPr>
          <w:p w14:paraId="7E5F8F6D" w14:textId="77777777" w:rsidR="00930E00" w:rsidRDefault="00930E00" w:rsidP="003852A9">
            <w:pPr>
              <w:pStyle w:val="TAH"/>
            </w:pPr>
            <w:r>
              <w:t>dB</w:t>
            </w:r>
          </w:p>
        </w:tc>
        <w:tc>
          <w:tcPr>
            <w:tcW w:w="1103" w:type="dxa"/>
            <w:tcBorders>
              <w:top w:val="single" w:sz="6" w:space="0" w:color="auto"/>
              <w:left w:val="single" w:sz="6" w:space="0" w:color="auto"/>
              <w:bottom w:val="nil"/>
              <w:right w:val="single" w:sz="6" w:space="0" w:color="auto"/>
            </w:tcBorders>
            <w:hideMark/>
          </w:tcPr>
          <w:p w14:paraId="330E426F" w14:textId="77777777" w:rsidR="00930E00" w:rsidRDefault="00930E00" w:rsidP="003852A9">
            <w:pPr>
              <w:pStyle w:val="TAH"/>
            </w:pPr>
            <w:r>
              <w:t>dB</w:t>
            </w:r>
          </w:p>
        </w:tc>
        <w:tc>
          <w:tcPr>
            <w:tcW w:w="1050" w:type="dxa"/>
            <w:tcBorders>
              <w:top w:val="single" w:sz="6" w:space="0" w:color="auto"/>
              <w:left w:val="single" w:sz="4" w:space="0" w:color="auto"/>
              <w:bottom w:val="nil"/>
              <w:right w:val="single" w:sz="4" w:space="0" w:color="auto"/>
            </w:tcBorders>
            <w:hideMark/>
          </w:tcPr>
          <w:p w14:paraId="45175D49" w14:textId="77777777" w:rsidR="00930E00" w:rsidRDefault="00930E00" w:rsidP="003852A9">
            <w:pPr>
              <w:pStyle w:val="TAH"/>
              <w:rPr>
                <w:rFonts w:cs="Arial"/>
              </w:rPr>
            </w:pPr>
            <w:r>
              <w:t>dB</w:t>
            </w:r>
          </w:p>
        </w:tc>
        <w:tc>
          <w:tcPr>
            <w:tcW w:w="2584" w:type="dxa"/>
            <w:gridSpan w:val="2"/>
            <w:tcBorders>
              <w:top w:val="single" w:sz="6" w:space="0" w:color="auto"/>
              <w:left w:val="single" w:sz="4" w:space="0" w:color="auto"/>
              <w:bottom w:val="single" w:sz="6" w:space="0" w:color="auto"/>
              <w:right w:val="single" w:sz="6" w:space="0" w:color="auto"/>
            </w:tcBorders>
            <w:hideMark/>
          </w:tcPr>
          <w:p w14:paraId="2C62A5DE" w14:textId="77777777" w:rsidR="00930E00" w:rsidRDefault="00930E00" w:rsidP="00AD2F6B">
            <w:pPr>
              <w:pStyle w:val="TAH"/>
            </w:pPr>
            <w:r>
              <w:rPr>
                <w:rFonts w:cs="Arial"/>
              </w:rPr>
              <w:t xml:space="preserve">dBm / </w:t>
            </w:r>
            <w:r>
              <w:t>SCS</w:t>
            </w:r>
            <w:r>
              <w:rPr>
                <w:vertAlign w:val="subscript"/>
              </w:rPr>
              <w:t>CSI-RS</w:t>
            </w:r>
            <w:r>
              <w:rPr>
                <w:vertAlign w:val="superscript"/>
              </w:rPr>
              <w:t xml:space="preserve"> Note 2</w:t>
            </w:r>
          </w:p>
        </w:tc>
        <w:tc>
          <w:tcPr>
            <w:tcW w:w="1440" w:type="dxa"/>
            <w:tcBorders>
              <w:top w:val="single" w:sz="6" w:space="0" w:color="auto"/>
              <w:left w:val="single" w:sz="6" w:space="0" w:color="auto"/>
              <w:bottom w:val="nil"/>
              <w:right w:val="single" w:sz="6" w:space="0" w:color="auto"/>
            </w:tcBorders>
            <w:hideMark/>
          </w:tcPr>
          <w:p w14:paraId="5F820226" w14:textId="77777777" w:rsidR="00930E00" w:rsidRDefault="00930E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hideMark/>
          </w:tcPr>
          <w:p w14:paraId="1999571B" w14:textId="77777777" w:rsidR="00930E00" w:rsidRDefault="00930E00" w:rsidP="00AD2F6B">
            <w:pPr>
              <w:pStyle w:val="TAH"/>
            </w:pPr>
            <w:r>
              <w:t>dBm/BW</w:t>
            </w:r>
            <w:r>
              <w:rPr>
                <w:vertAlign w:val="subscript"/>
              </w:rPr>
              <w:t>Channel</w:t>
            </w:r>
          </w:p>
        </w:tc>
      </w:tr>
      <w:tr w:rsidR="00930E00" w14:paraId="49336903" w14:textId="77777777" w:rsidTr="00AD2F6B">
        <w:trPr>
          <w:jc w:val="center"/>
        </w:trPr>
        <w:tc>
          <w:tcPr>
            <w:tcW w:w="0" w:type="auto"/>
            <w:tcBorders>
              <w:top w:val="nil"/>
              <w:left w:val="single" w:sz="4" w:space="0" w:color="auto"/>
              <w:bottom w:val="single" w:sz="6" w:space="0" w:color="auto"/>
              <w:right w:val="single" w:sz="6" w:space="0" w:color="auto"/>
            </w:tcBorders>
            <w:hideMark/>
          </w:tcPr>
          <w:p w14:paraId="24C86CF3"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hideMark/>
          </w:tcPr>
          <w:p w14:paraId="38087F11" w14:textId="77777777" w:rsidR="00930E00" w:rsidRDefault="00930E00" w:rsidP="003852A9">
            <w:pPr>
              <w:pStyle w:val="TAH"/>
            </w:pPr>
          </w:p>
        </w:tc>
        <w:tc>
          <w:tcPr>
            <w:tcW w:w="1050" w:type="dxa"/>
            <w:tcBorders>
              <w:top w:val="nil"/>
              <w:left w:val="single" w:sz="4" w:space="0" w:color="auto"/>
              <w:bottom w:val="single" w:sz="4" w:space="0" w:color="auto"/>
              <w:right w:val="single" w:sz="4" w:space="0" w:color="auto"/>
            </w:tcBorders>
            <w:hideMark/>
          </w:tcPr>
          <w:p w14:paraId="38FF9262" w14:textId="77777777" w:rsidR="00930E00" w:rsidRDefault="00930E00" w:rsidP="003852A9">
            <w:pPr>
              <w:pStyle w:val="TAH"/>
            </w:pPr>
          </w:p>
        </w:tc>
        <w:tc>
          <w:tcPr>
            <w:tcW w:w="1575" w:type="dxa"/>
            <w:tcBorders>
              <w:top w:val="single" w:sz="6" w:space="0" w:color="auto"/>
              <w:left w:val="single" w:sz="4" w:space="0" w:color="auto"/>
              <w:bottom w:val="single" w:sz="6" w:space="0" w:color="auto"/>
              <w:right w:val="single" w:sz="6" w:space="0" w:color="auto"/>
            </w:tcBorders>
            <w:hideMark/>
          </w:tcPr>
          <w:p w14:paraId="3F9F7FF6" w14:textId="77777777" w:rsidR="00930E00" w:rsidRDefault="00930E00" w:rsidP="00AD2F6B">
            <w:pPr>
              <w:pStyle w:val="TAH"/>
            </w:pPr>
            <w:r>
              <w:t>SCS</w:t>
            </w:r>
            <w:r>
              <w:rPr>
                <w:vertAlign w:val="subscript"/>
              </w:rPr>
              <w:t>CSI-RS</w:t>
            </w:r>
            <w:r>
              <w:rPr>
                <w:rFonts w:cs="Arial"/>
              </w:rPr>
              <w:t xml:space="preserve"> = 60kHz </w:t>
            </w:r>
          </w:p>
        </w:tc>
        <w:tc>
          <w:tcPr>
            <w:tcW w:w="1009" w:type="dxa"/>
            <w:tcBorders>
              <w:top w:val="single" w:sz="6" w:space="0" w:color="auto"/>
              <w:left w:val="single" w:sz="4" w:space="0" w:color="auto"/>
              <w:bottom w:val="single" w:sz="6" w:space="0" w:color="auto"/>
              <w:right w:val="single" w:sz="6" w:space="0" w:color="auto"/>
            </w:tcBorders>
          </w:tcPr>
          <w:p w14:paraId="64FCC958" w14:textId="77777777" w:rsidR="00930E00" w:rsidRDefault="00930E00" w:rsidP="00AD2F6B">
            <w:pPr>
              <w:pStyle w:val="TAH"/>
            </w:pPr>
            <w:r>
              <w:t>SCS</w:t>
            </w:r>
            <w:r>
              <w:rPr>
                <w:vertAlign w:val="subscript"/>
              </w:rPr>
              <w:t>CSI-RS</w:t>
            </w:r>
            <w:r>
              <w:rPr>
                <w:rFonts w:cs="Arial"/>
              </w:rPr>
              <w:t xml:space="preserve"> = 120kHz</w:t>
            </w:r>
          </w:p>
        </w:tc>
        <w:tc>
          <w:tcPr>
            <w:tcW w:w="1440" w:type="dxa"/>
            <w:tcBorders>
              <w:top w:val="nil"/>
              <w:left w:val="single" w:sz="6" w:space="0" w:color="auto"/>
              <w:bottom w:val="single" w:sz="6" w:space="0" w:color="auto"/>
              <w:right w:val="single" w:sz="6" w:space="0" w:color="auto"/>
            </w:tcBorders>
            <w:hideMark/>
          </w:tcPr>
          <w:p w14:paraId="50C53206" w14:textId="77777777" w:rsidR="00930E00" w:rsidRDefault="00930E00" w:rsidP="003852A9">
            <w:pPr>
              <w:pStyle w:val="TAH"/>
            </w:pPr>
          </w:p>
        </w:tc>
        <w:tc>
          <w:tcPr>
            <w:tcW w:w="1440" w:type="dxa"/>
            <w:tcBorders>
              <w:top w:val="nil"/>
              <w:left w:val="single" w:sz="6" w:space="0" w:color="auto"/>
              <w:bottom w:val="single" w:sz="6" w:space="0" w:color="auto"/>
              <w:right w:val="single" w:sz="4" w:space="0" w:color="auto"/>
            </w:tcBorders>
            <w:hideMark/>
          </w:tcPr>
          <w:p w14:paraId="381CF017" w14:textId="77777777" w:rsidR="00930E00" w:rsidRDefault="00930E00" w:rsidP="003852A9">
            <w:pPr>
              <w:pStyle w:val="TAH"/>
            </w:pPr>
          </w:p>
        </w:tc>
      </w:tr>
      <w:tr w:rsidR="00930E00" w14:paraId="49CFDF31" w14:textId="77777777" w:rsidTr="00AD2F6B">
        <w:trPr>
          <w:jc w:val="center"/>
        </w:trPr>
        <w:tc>
          <w:tcPr>
            <w:tcW w:w="1103" w:type="dxa"/>
            <w:tcBorders>
              <w:top w:val="single" w:sz="6" w:space="0" w:color="auto"/>
              <w:left w:val="single" w:sz="4" w:space="0" w:color="auto"/>
              <w:bottom w:val="nil"/>
              <w:right w:val="single" w:sz="6" w:space="0" w:color="auto"/>
            </w:tcBorders>
            <w:hideMark/>
          </w:tcPr>
          <w:p w14:paraId="54507CF1" w14:textId="77777777" w:rsidR="00930E00" w:rsidRDefault="00930E00" w:rsidP="00AD2F6B">
            <w:pPr>
              <w:pStyle w:val="TAC"/>
            </w:pPr>
            <w:r>
              <w:rPr>
                <w:rFonts w:cs="Arial"/>
              </w:rPr>
              <w:t>±</w:t>
            </w:r>
            <w:r>
              <w:t>5.5</w:t>
            </w:r>
          </w:p>
        </w:tc>
        <w:tc>
          <w:tcPr>
            <w:tcW w:w="1103" w:type="dxa"/>
            <w:tcBorders>
              <w:top w:val="single" w:sz="6" w:space="0" w:color="auto"/>
              <w:left w:val="single" w:sz="6" w:space="0" w:color="auto"/>
              <w:bottom w:val="nil"/>
              <w:right w:val="single" w:sz="4" w:space="0" w:color="auto"/>
            </w:tcBorders>
            <w:hideMark/>
          </w:tcPr>
          <w:p w14:paraId="2ED61620" w14:textId="77777777" w:rsidR="00930E00" w:rsidRDefault="00930E00" w:rsidP="00AD2F6B">
            <w:pPr>
              <w:pStyle w:val="TAC"/>
            </w:pPr>
            <w:r>
              <w:rPr>
                <w:rFonts w:cs="Arial"/>
              </w:rPr>
              <w:t>±</w:t>
            </w:r>
            <w:r>
              <w:t>6.5</w:t>
            </w:r>
          </w:p>
        </w:tc>
        <w:tc>
          <w:tcPr>
            <w:tcW w:w="1050" w:type="dxa"/>
            <w:tcBorders>
              <w:top w:val="single" w:sz="4" w:space="0" w:color="auto"/>
              <w:left w:val="single" w:sz="4" w:space="0" w:color="auto"/>
              <w:bottom w:val="single" w:sz="4" w:space="0" w:color="auto"/>
              <w:right w:val="single" w:sz="4" w:space="0" w:color="auto"/>
            </w:tcBorders>
            <w:hideMark/>
          </w:tcPr>
          <w:p w14:paraId="661B84AB" w14:textId="77777777" w:rsidR="00930E00" w:rsidRDefault="00930E00" w:rsidP="00AD2F6B">
            <w:pPr>
              <w:pStyle w:val="TAC"/>
            </w:pPr>
            <w:r>
              <w:rPr>
                <w:rFonts w:eastAsia="Yu Mincho" w:cs="Arial"/>
                <w:lang w:eastAsia="ja-JP"/>
              </w:rPr>
              <w:t>≥-3</w:t>
            </w:r>
          </w:p>
        </w:tc>
        <w:tc>
          <w:tcPr>
            <w:tcW w:w="2584" w:type="dxa"/>
            <w:gridSpan w:val="2"/>
            <w:tcBorders>
              <w:top w:val="single" w:sz="6" w:space="0" w:color="auto"/>
              <w:left w:val="single" w:sz="4" w:space="0" w:color="auto"/>
              <w:bottom w:val="single" w:sz="6" w:space="0" w:color="auto"/>
              <w:right w:val="single" w:sz="6" w:space="0" w:color="auto"/>
            </w:tcBorders>
            <w:hideMark/>
          </w:tcPr>
          <w:p w14:paraId="48BD730E" w14:textId="186F04FC" w:rsidR="00930E00" w:rsidRDefault="00930E00" w:rsidP="00AD2F6B">
            <w:pPr>
              <w:pStyle w:val="TAC"/>
              <w:rPr>
                <w:rFonts w:eastAsia="Yu Mincho"/>
                <w:lang w:eastAsia="ja-JP"/>
              </w:rPr>
            </w:pPr>
            <w:r w:rsidRPr="009C5807">
              <w:t xml:space="preserve">Same value as CSI-RS_RP in Table </w:t>
            </w:r>
            <w:r>
              <w:t xml:space="preserve">in </w:t>
            </w:r>
            <w:r w:rsidRPr="009C5807">
              <w:t>B.2</w:t>
            </w:r>
            <w:r w:rsidR="005A3DF0">
              <w:t>.8.1</w:t>
            </w:r>
            <w:r w:rsidRPr="009C5807">
              <w:t>, according to UE Power class, operating band and angle of arrival</w:t>
            </w:r>
          </w:p>
        </w:tc>
        <w:tc>
          <w:tcPr>
            <w:tcW w:w="1440" w:type="dxa"/>
            <w:tcBorders>
              <w:top w:val="single" w:sz="6" w:space="0" w:color="auto"/>
              <w:left w:val="single" w:sz="6" w:space="0" w:color="auto"/>
              <w:bottom w:val="single" w:sz="6" w:space="0" w:color="auto"/>
              <w:right w:val="single" w:sz="6" w:space="0" w:color="auto"/>
            </w:tcBorders>
            <w:hideMark/>
          </w:tcPr>
          <w:p w14:paraId="26F3BF3F" w14:textId="77777777" w:rsidR="00930E00" w:rsidRDefault="00930E00" w:rsidP="00AD2F6B">
            <w:pPr>
              <w:pStyle w:val="TAC"/>
            </w:pPr>
            <w:r>
              <w:rPr>
                <w:lang w:eastAsia="zh-CN"/>
              </w:rPr>
              <w:t>N/A</w:t>
            </w:r>
          </w:p>
        </w:tc>
        <w:tc>
          <w:tcPr>
            <w:tcW w:w="1440" w:type="dxa"/>
            <w:tcBorders>
              <w:top w:val="single" w:sz="6" w:space="0" w:color="auto"/>
              <w:left w:val="single" w:sz="6" w:space="0" w:color="auto"/>
              <w:bottom w:val="single" w:sz="6" w:space="0" w:color="auto"/>
              <w:right w:val="single" w:sz="4" w:space="0" w:color="auto"/>
            </w:tcBorders>
            <w:hideMark/>
          </w:tcPr>
          <w:p w14:paraId="6FFCA196" w14:textId="77777777" w:rsidR="00930E00" w:rsidRDefault="00930E00" w:rsidP="00AD2F6B">
            <w:pPr>
              <w:pStyle w:val="TAC"/>
            </w:pPr>
            <w:r>
              <w:t>-50</w:t>
            </w:r>
          </w:p>
        </w:tc>
      </w:tr>
      <w:tr w:rsidR="00930E00" w14:paraId="17930B5C" w14:textId="77777777" w:rsidTr="00AD2F6B">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46B243A0"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3FD92F63" w14:textId="77777777" w:rsidR="00930E00" w:rsidRDefault="00930E00" w:rsidP="00AD2F6B">
            <w:pPr>
              <w:pStyle w:val="TAN"/>
            </w:pPr>
            <w:r>
              <w:t>NOTE 2:</w:t>
            </w:r>
            <w:r>
              <w:tab/>
              <w:t>Values based on Refsens and EIS spherical coverage as defined in clauses 7.3.2 and 7.3.4 of TS 38.101-2 [19]. Applicable side condition selected depending on angle of arrival.</w:t>
            </w:r>
          </w:p>
          <w:p w14:paraId="09FBAFC7" w14:textId="77777777" w:rsidR="00930E00" w:rsidRDefault="00930E00" w:rsidP="00AD2F6B">
            <w:pPr>
              <w:pStyle w:val="TAN"/>
            </w:pPr>
            <w:r>
              <w:t>NOTE 3:</w:t>
            </w:r>
            <w:r>
              <w:tab/>
              <w:t>In the test cases, the CSI-RS CMR Ês/Iot and related parameters may need to be adjusted to ensure Ês/Iot at UE baseband is above the value defined in this table.</w:t>
            </w:r>
          </w:p>
        </w:tc>
      </w:tr>
    </w:tbl>
    <w:p w14:paraId="7F278662" w14:textId="77777777" w:rsidR="00930E00" w:rsidRDefault="00930E00" w:rsidP="00930E00">
      <w:pPr>
        <w:rPr>
          <w:rFonts w:eastAsia="?? ??"/>
        </w:rPr>
      </w:pPr>
    </w:p>
    <w:p w14:paraId="2A5B661F" w14:textId="77777777" w:rsidR="00930E00" w:rsidRDefault="00930E00" w:rsidP="00930E00">
      <w:pPr>
        <w:keepNext/>
        <w:keepLines/>
        <w:spacing w:before="120"/>
        <w:ind w:left="1701" w:hanging="1701"/>
        <w:outlineLvl w:val="4"/>
      </w:pPr>
      <w:r>
        <w:rPr>
          <w:rFonts w:ascii="Arial" w:hAnsi="Arial"/>
          <w:sz w:val="22"/>
        </w:rPr>
        <w:t>10.1.28.1.2</w:t>
      </w:r>
      <w:r>
        <w:rPr>
          <w:rFonts w:ascii="Arial" w:hAnsi="Arial"/>
          <w:sz w:val="22"/>
        </w:rPr>
        <w:tab/>
        <w:t>Relative Accuracy</w:t>
      </w:r>
    </w:p>
    <w:p w14:paraId="0F698B4E" w14:textId="77777777" w:rsidR="00930E00" w:rsidRPr="00822707" w:rsidRDefault="00930E00" w:rsidP="00930E00">
      <w:pPr>
        <w:rPr>
          <w:rFonts w:eastAsia="?? ??"/>
        </w:rPr>
      </w:pPr>
      <w:r w:rsidRPr="00822707">
        <w:rPr>
          <w:rFonts w:eastAsia="?? ??"/>
        </w:rPr>
        <w:t>The relative accuracy of CSI-RS based L1-</w:t>
      </w:r>
      <w:r>
        <w:rPr>
          <w:rFonts w:eastAsia="?? ??"/>
        </w:rPr>
        <w:t>SINR</w:t>
      </w:r>
      <w:r w:rsidRPr="00822707">
        <w:rPr>
          <w:rFonts w:eastAsia="?? ??"/>
        </w:rPr>
        <w:t xml:space="preserve"> is defined as the L1-</w:t>
      </w:r>
      <w:r>
        <w:rPr>
          <w:rFonts w:eastAsia="?? ??"/>
        </w:rPr>
        <w:t>SINR</w:t>
      </w:r>
      <w:r w:rsidRPr="00822707">
        <w:rPr>
          <w:rFonts w:eastAsia="?? ??"/>
        </w:rPr>
        <w:t xml:space="preserve"> measured from one CSI-RS compared to the largest measured value of L1-</w:t>
      </w:r>
      <w:r>
        <w:rPr>
          <w:rFonts w:eastAsia="?? ??"/>
        </w:rPr>
        <w:t>SINR</w:t>
      </w:r>
      <w:r w:rsidRPr="00822707">
        <w:rPr>
          <w:rFonts w:eastAsia="?? ??"/>
        </w:rPr>
        <w:t xml:space="preserve"> among all CSI-RS resources of the serving cell.</w:t>
      </w:r>
    </w:p>
    <w:p w14:paraId="5F11F338" w14:textId="77777777" w:rsidR="00930E00" w:rsidRDefault="00930E00" w:rsidP="00930E00">
      <w:pPr>
        <w:rPr>
          <w:rFonts w:cs="v4.2.0"/>
        </w:rPr>
      </w:pPr>
      <w:r>
        <w:rPr>
          <w:rFonts w:cs="v4.2.0"/>
        </w:rPr>
        <w:t xml:space="preserve">The accuracy requirements in Table </w:t>
      </w:r>
      <w:r>
        <w:rPr>
          <w:rFonts w:cs="v4.2.0"/>
          <w:lang w:eastAsia="zh-CN"/>
        </w:rPr>
        <w:t>10.1.28.1.2</w:t>
      </w:r>
      <w:r>
        <w:rPr>
          <w:rFonts w:cs="v4.2.0"/>
        </w:rPr>
        <w:t>-1 are valid under the following conditions:</w:t>
      </w:r>
    </w:p>
    <w:p w14:paraId="4EAC9AE9" w14:textId="77777777" w:rsidR="00930E00" w:rsidRDefault="00930E00" w:rsidP="00930E00">
      <w:pPr>
        <w:pStyle w:val="B10"/>
      </w:pPr>
      <w:r>
        <w:t>-</w:t>
      </w:r>
      <w:r>
        <w:tab/>
        <w:t>Conditions defined in clause 7.3 of TS 38.101-2 [19] for reference sensitivity are fulfilled.</w:t>
      </w:r>
    </w:p>
    <w:p w14:paraId="4EBFC83E" w14:textId="3ED78D09" w:rsidR="00930E00" w:rsidRDefault="00930E00" w:rsidP="00930E00">
      <w:pPr>
        <w:pStyle w:val="B10"/>
        <w:rPr>
          <w:lang w:eastAsia="zh-CN"/>
        </w:rPr>
      </w:pPr>
      <w:r w:rsidRPr="009C5807">
        <w:t>-</w:t>
      </w:r>
      <w:r w:rsidRPr="009C5807">
        <w:tab/>
        <w:t>Conditions for L1-</w:t>
      </w:r>
      <w:r>
        <w:t>SINR</w:t>
      </w:r>
      <w:r w:rsidRPr="009C5807">
        <w:t xml:space="preserve"> measurements are fulfilled according to Annex B.2</w:t>
      </w:r>
      <w:r w:rsidR="005A3DF0">
        <w:t>.8.1</w:t>
      </w:r>
      <w:r w:rsidRPr="009C5807">
        <w:t xml:space="preserve"> for a corresponding Band </w:t>
      </w:r>
      <w:r w:rsidRPr="009C5807">
        <w:rPr>
          <w:rFonts w:cs="v4.2.0"/>
          <w:lang w:eastAsia="ko-KR"/>
        </w:rPr>
        <w:t>for each relevant CSI-RS</w:t>
      </w:r>
      <w:r>
        <w:rPr>
          <w:rFonts w:cs="v4.2.0"/>
          <w:lang w:eastAsia="ko-KR"/>
        </w:rPr>
        <w:t xml:space="preserve"> based CMR</w:t>
      </w:r>
      <w:r w:rsidRPr="009C5807">
        <w:rPr>
          <w:lang w:eastAsia="zh-CN"/>
        </w:rPr>
        <w:t>.</w:t>
      </w:r>
    </w:p>
    <w:p w14:paraId="2E71C612" w14:textId="77777777" w:rsidR="00930E00" w:rsidRDefault="00930E00" w:rsidP="00930E00">
      <w:pPr>
        <w:pStyle w:val="B10"/>
        <w:rPr>
          <w:lang w:eastAsia="zh-CN"/>
        </w:rPr>
      </w:pPr>
      <w:r>
        <w:t>-</w:t>
      </w:r>
      <w:r>
        <w:tab/>
      </w:r>
      <w:r>
        <w:rPr>
          <w:lang w:eastAsia="zh-CN"/>
        </w:rPr>
        <w:t xml:space="preserve">The bandwidth of CSI-RS as CMR is 48 PRBs and the density is 3. </w:t>
      </w:r>
    </w:p>
    <w:p w14:paraId="5DC86852" w14:textId="77777777" w:rsidR="00930E00" w:rsidRDefault="00930E00" w:rsidP="00930E00">
      <w:pPr>
        <w:pStyle w:val="B10"/>
      </w:pPr>
      <w:r>
        <w:t>-</w:t>
      </w:r>
      <w:r>
        <w:tab/>
        <w:t xml:space="preserve">The measured signals are in the directions covered by the percentile EIS spherical coverage of the UE, defined in </w:t>
      </w:r>
      <w:r>
        <w:rPr>
          <w:rFonts w:cs="Arial"/>
        </w:rPr>
        <w:t>clause 7.3.4 of TS 38.101-2 [19]</w:t>
      </w:r>
      <w:r>
        <w:t>.</w:t>
      </w:r>
    </w:p>
    <w:p w14:paraId="6C56EC13" w14:textId="3BD4A41F" w:rsidR="00930E00" w:rsidRDefault="00930E00" w:rsidP="00930E00">
      <w:pPr>
        <w:pStyle w:val="B10"/>
        <w:rPr>
          <w:lang w:eastAsia="zh-CN"/>
        </w:rPr>
      </w:pPr>
      <w:r>
        <w:rPr>
          <w:lang w:eastAsia="zh-CN"/>
        </w:rPr>
        <w:t>-</w:t>
      </w:r>
      <w:r>
        <w:rPr>
          <w:lang w:eastAsia="zh-CN"/>
        </w:rPr>
        <w:tab/>
        <w:t>AWGN</w:t>
      </w:r>
      <w:r w:rsidR="005A3DF0" w:rsidRPr="00FB249D">
        <w:t xml:space="preserve"> </w:t>
      </w:r>
      <w:r w:rsidR="005A3DF0" w:rsidRPr="00B910B8">
        <w:t>radio propagation conditions</w:t>
      </w:r>
      <w:r>
        <w:rPr>
          <w:lang w:eastAsia="zh-CN"/>
        </w:rPr>
        <w:t>.</w:t>
      </w:r>
    </w:p>
    <w:p w14:paraId="5DAB9062" w14:textId="77777777" w:rsidR="00930E00" w:rsidRDefault="00930E00" w:rsidP="00930E00">
      <w:pPr>
        <w:rPr>
          <w:lang w:eastAsia="zh-CN"/>
        </w:rPr>
      </w:pPr>
      <w:r>
        <w:rPr>
          <w:lang w:eastAsia="zh-CN"/>
        </w:rPr>
        <w:t>The performance with larger bandwidth of CSI-RS as CMR is equal to or better than the accuracy requirements in Table 10.1.28.1.2-1.</w:t>
      </w:r>
    </w:p>
    <w:p w14:paraId="19CEE6A1" w14:textId="03999711" w:rsidR="00930E00" w:rsidRPr="007C0623" w:rsidRDefault="00CA6320" w:rsidP="00930E00">
      <w:pPr>
        <w:pStyle w:val="TH"/>
      </w:pPr>
      <w:r>
        <w:t>Table 10.1.28.1.2-1: L1-SINR relative accuracy for CSI-RS based CMR only in FR2</w:t>
      </w:r>
    </w:p>
    <w:tbl>
      <w:tblPr>
        <w:tblW w:w="8720" w:type="dxa"/>
        <w:jc w:val="center"/>
        <w:tblLook w:val="01E0" w:firstRow="1" w:lastRow="1" w:firstColumn="1" w:lastColumn="1" w:noHBand="0" w:noVBand="0"/>
      </w:tblPr>
      <w:tblGrid>
        <w:gridCol w:w="1103"/>
        <w:gridCol w:w="1103"/>
        <w:gridCol w:w="1050"/>
        <w:gridCol w:w="1575"/>
        <w:gridCol w:w="1009"/>
        <w:gridCol w:w="1440"/>
        <w:gridCol w:w="1440"/>
      </w:tblGrid>
      <w:tr w:rsidR="00930E00" w14:paraId="39B1E67F" w14:textId="77777777" w:rsidTr="00AD2F6B">
        <w:trPr>
          <w:jc w:val="center"/>
        </w:trPr>
        <w:tc>
          <w:tcPr>
            <w:tcW w:w="2206" w:type="dxa"/>
            <w:gridSpan w:val="2"/>
            <w:tcBorders>
              <w:top w:val="single" w:sz="6" w:space="0" w:color="auto"/>
              <w:left w:val="single" w:sz="4" w:space="0" w:color="auto"/>
              <w:bottom w:val="nil"/>
              <w:right w:val="single" w:sz="6" w:space="0" w:color="auto"/>
            </w:tcBorders>
            <w:vAlign w:val="center"/>
            <w:hideMark/>
          </w:tcPr>
          <w:p w14:paraId="31727EF6" w14:textId="77777777" w:rsidR="00930E00" w:rsidRDefault="00930E00" w:rsidP="00AD2F6B">
            <w:pPr>
              <w:pStyle w:val="TAH"/>
            </w:pPr>
            <w:r>
              <w:t>Accuracy</w:t>
            </w:r>
          </w:p>
        </w:tc>
        <w:tc>
          <w:tcPr>
            <w:tcW w:w="6514" w:type="dxa"/>
            <w:gridSpan w:val="5"/>
            <w:tcBorders>
              <w:top w:val="single" w:sz="4" w:space="0" w:color="auto"/>
              <w:left w:val="single" w:sz="4" w:space="0" w:color="auto"/>
              <w:bottom w:val="nil"/>
              <w:right w:val="single" w:sz="4" w:space="0" w:color="auto"/>
            </w:tcBorders>
            <w:vAlign w:val="center"/>
            <w:hideMark/>
          </w:tcPr>
          <w:p w14:paraId="107D805B" w14:textId="77777777" w:rsidR="00930E00" w:rsidRDefault="00930E00" w:rsidP="00AD2F6B">
            <w:pPr>
              <w:pStyle w:val="TAH"/>
            </w:pPr>
            <w:r>
              <w:t>Conditions</w:t>
            </w:r>
          </w:p>
        </w:tc>
      </w:tr>
      <w:tr w:rsidR="00930E00" w14:paraId="30D3ED35" w14:textId="77777777" w:rsidTr="00AD2F6B">
        <w:trPr>
          <w:jc w:val="center"/>
        </w:trPr>
        <w:tc>
          <w:tcPr>
            <w:tcW w:w="1103" w:type="dxa"/>
            <w:tcBorders>
              <w:top w:val="single" w:sz="6" w:space="0" w:color="auto"/>
              <w:left w:val="single" w:sz="4" w:space="0" w:color="auto"/>
              <w:bottom w:val="nil"/>
              <w:right w:val="single" w:sz="6" w:space="0" w:color="auto"/>
            </w:tcBorders>
            <w:vAlign w:val="center"/>
            <w:hideMark/>
          </w:tcPr>
          <w:p w14:paraId="78E45BE4" w14:textId="77777777" w:rsidR="00930E00" w:rsidRDefault="00930E00" w:rsidP="00AD2F6B">
            <w:pPr>
              <w:pStyle w:val="TAH"/>
            </w:pPr>
            <w:r>
              <w:t>Normal condition</w:t>
            </w:r>
          </w:p>
        </w:tc>
        <w:tc>
          <w:tcPr>
            <w:tcW w:w="1103" w:type="dxa"/>
            <w:tcBorders>
              <w:top w:val="single" w:sz="6" w:space="0" w:color="auto"/>
              <w:left w:val="single" w:sz="6" w:space="0" w:color="auto"/>
              <w:bottom w:val="nil"/>
              <w:right w:val="single" w:sz="6" w:space="0" w:color="auto"/>
            </w:tcBorders>
            <w:vAlign w:val="center"/>
            <w:hideMark/>
          </w:tcPr>
          <w:p w14:paraId="6BA63E26" w14:textId="77777777" w:rsidR="00930E00" w:rsidRDefault="00930E00" w:rsidP="00AD2F6B">
            <w:pPr>
              <w:pStyle w:val="TAH"/>
            </w:pPr>
            <w:r>
              <w:t>Extreme condition</w:t>
            </w:r>
          </w:p>
        </w:tc>
        <w:tc>
          <w:tcPr>
            <w:tcW w:w="1050" w:type="dxa"/>
            <w:vMerge w:val="restart"/>
            <w:tcBorders>
              <w:top w:val="single" w:sz="4" w:space="0" w:color="auto"/>
              <w:left w:val="single" w:sz="4" w:space="0" w:color="auto"/>
              <w:right w:val="single" w:sz="4" w:space="0" w:color="auto"/>
            </w:tcBorders>
            <w:hideMark/>
          </w:tcPr>
          <w:p w14:paraId="63AB2F9D" w14:textId="77777777" w:rsidR="00930E00" w:rsidRDefault="00930E00" w:rsidP="00AD2F6B">
            <w:pPr>
              <w:pStyle w:val="TAH"/>
              <w:rPr>
                <w:rFonts w:cs="Arial"/>
              </w:rPr>
            </w:pPr>
            <w:r>
              <w:rPr>
                <w:rFonts w:cs="Arial"/>
              </w:rPr>
              <w:t>CSI-RS</w:t>
            </w:r>
          </w:p>
          <w:p w14:paraId="394E84F5" w14:textId="77777777" w:rsidR="00930E00" w:rsidRDefault="00930E00" w:rsidP="00AD2F6B">
            <w:pPr>
              <w:pStyle w:val="TAH"/>
              <w:rPr>
                <w:rFonts w:cs="Arial"/>
              </w:rPr>
            </w:pPr>
            <w:r>
              <w:rPr>
                <w:rFonts w:cs="Arial"/>
              </w:rPr>
              <w:t>CMR</w:t>
            </w:r>
          </w:p>
          <w:p w14:paraId="144F8C90" w14:textId="3FEA74F2" w:rsidR="00930E00" w:rsidRPr="00C90B25" w:rsidRDefault="00930E00" w:rsidP="00AD2F6B">
            <w:pPr>
              <w:pStyle w:val="TAH"/>
              <w:rPr>
                <w:rFonts w:cs="Arial"/>
              </w:rPr>
            </w:pPr>
            <w:r>
              <w:rPr>
                <w:rFonts w:cs="Arial"/>
              </w:rPr>
              <w:t>Ês/Iot</w:t>
            </w:r>
            <w:r w:rsidR="005A3DF0">
              <w:rPr>
                <w:rFonts w:cs="Arial"/>
              </w:rPr>
              <w:t xml:space="preserve"> </w:t>
            </w:r>
            <w:r w:rsidR="005A3DF0">
              <w:rPr>
                <w:vertAlign w:val="superscript"/>
              </w:rPr>
              <w:t>Note 2, Note 4</w:t>
            </w:r>
          </w:p>
        </w:tc>
        <w:tc>
          <w:tcPr>
            <w:tcW w:w="5464" w:type="dxa"/>
            <w:gridSpan w:val="4"/>
            <w:tcBorders>
              <w:top w:val="single" w:sz="4" w:space="0" w:color="auto"/>
              <w:left w:val="single" w:sz="4" w:space="0" w:color="auto"/>
              <w:bottom w:val="single" w:sz="6" w:space="0" w:color="auto"/>
              <w:right w:val="single" w:sz="4" w:space="0" w:color="auto"/>
            </w:tcBorders>
            <w:vAlign w:val="center"/>
            <w:hideMark/>
          </w:tcPr>
          <w:p w14:paraId="4AD036D2" w14:textId="77777777" w:rsidR="00930E00" w:rsidRDefault="00930E00" w:rsidP="00AD2F6B">
            <w:pPr>
              <w:pStyle w:val="TAH"/>
            </w:pPr>
            <w:r>
              <w:t>Io</w:t>
            </w:r>
            <w:r>
              <w:rPr>
                <w:vertAlign w:val="superscript"/>
              </w:rPr>
              <w:t xml:space="preserve"> Note 1</w:t>
            </w:r>
            <w:r>
              <w:t xml:space="preserve"> range</w:t>
            </w:r>
          </w:p>
        </w:tc>
      </w:tr>
      <w:tr w:rsidR="00930E00" w14:paraId="709C0584"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4D3FD8B4"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2569520D" w14:textId="77777777" w:rsidR="00930E00" w:rsidRDefault="00930E00" w:rsidP="003852A9">
            <w:pPr>
              <w:pStyle w:val="TAH"/>
            </w:pPr>
          </w:p>
        </w:tc>
        <w:tc>
          <w:tcPr>
            <w:tcW w:w="1050" w:type="dxa"/>
            <w:vMerge/>
            <w:tcBorders>
              <w:left w:val="single" w:sz="4" w:space="0" w:color="auto"/>
              <w:bottom w:val="single" w:sz="6" w:space="0" w:color="auto"/>
              <w:right w:val="single" w:sz="4" w:space="0" w:color="auto"/>
            </w:tcBorders>
            <w:vAlign w:val="center"/>
            <w:hideMark/>
          </w:tcPr>
          <w:p w14:paraId="547D7C56" w14:textId="77777777" w:rsidR="00930E00" w:rsidRDefault="00930E00" w:rsidP="003852A9">
            <w:pPr>
              <w:pStyle w:val="TAH"/>
            </w:pPr>
          </w:p>
        </w:tc>
        <w:tc>
          <w:tcPr>
            <w:tcW w:w="4024" w:type="dxa"/>
            <w:gridSpan w:val="3"/>
            <w:tcBorders>
              <w:top w:val="single" w:sz="4" w:space="0" w:color="auto"/>
              <w:left w:val="single" w:sz="4" w:space="0" w:color="auto"/>
              <w:bottom w:val="single" w:sz="6" w:space="0" w:color="auto"/>
              <w:right w:val="single" w:sz="6" w:space="0" w:color="auto"/>
            </w:tcBorders>
            <w:vAlign w:val="center"/>
            <w:hideMark/>
          </w:tcPr>
          <w:p w14:paraId="6D17D13F" w14:textId="77777777" w:rsidR="00930E00" w:rsidRDefault="00930E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45C34E34" w14:textId="77777777" w:rsidR="00930E00" w:rsidRDefault="00930E00" w:rsidP="00AD2F6B">
            <w:pPr>
              <w:pStyle w:val="TAH"/>
            </w:pPr>
            <w:r>
              <w:t>Maximum Io</w:t>
            </w:r>
          </w:p>
        </w:tc>
      </w:tr>
      <w:tr w:rsidR="00930E00" w14:paraId="53393E7C" w14:textId="77777777" w:rsidTr="00AD2F6B">
        <w:trPr>
          <w:jc w:val="center"/>
        </w:trPr>
        <w:tc>
          <w:tcPr>
            <w:tcW w:w="1103" w:type="dxa"/>
            <w:tcBorders>
              <w:top w:val="single" w:sz="6" w:space="0" w:color="auto"/>
              <w:left w:val="single" w:sz="4" w:space="0" w:color="auto"/>
              <w:bottom w:val="nil"/>
              <w:right w:val="single" w:sz="6" w:space="0" w:color="auto"/>
            </w:tcBorders>
            <w:hideMark/>
          </w:tcPr>
          <w:p w14:paraId="2C8C96FC" w14:textId="77777777" w:rsidR="00930E00" w:rsidRDefault="00930E00" w:rsidP="003852A9">
            <w:pPr>
              <w:pStyle w:val="TAH"/>
            </w:pPr>
            <w:r>
              <w:t>dB</w:t>
            </w:r>
          </w:p>
        </w:tc>
        <w:tc>
          <w:tcPr>
            <w:tcW w:w="1103" w:type="dxa"/>
            <w:tcBorders>
              <w:top w:val="single" w:sz="6" w:space="0" w:color="auto"/>
              <w:left w:val="single" w:sz="6" w:space="0" w:color="auto"/>
              <w:bottom w:val="nil"/>
              <w:right w:val="single" w:sz="6" w:space="0" w:color="auto"/>
            </w:tcBorders>
            <w:hideMark/>
          </w:tcPr>
          <w:p w14:paraId="2889091B" w14:textId="77777777" w:rsidR="00930E00" w:rsidRDefault="00930E00" w:rsidP="003852A9">
            <w:pPr>
              <w:pStyle w:val="TAH"/>
            </w:pPr>
            <w:r>
              <w:t>dB</w:t>
            </w:r>
          </w:p>
        </w:tc>
        <w:tc>
          <w:tcPr>
            <w:tcW w:w="1050" w:type="dxa"/>
            <w:tcBorders>
              <w:top w:val="single" w:sz="6" w:space="0" w:color="auto"/>
              <w:left w:val="single" w:sz="4" w:space="0" w:color="auto"/>
              <w:bottom w:val="nil"/>
              <w:right w:val="single" w:sz="4" w:space="0" w:color="auto"/>
            </w:tcBorders>
            <w:hideMark/>
          </w:tcPr>
          <w:p w14:paraId="2C2F1632" w14:textId="77777777" w:rsidR="00930E00" w:rsidRDefault="00930E00" w:rsidP="003852A9">
            <w:pPr>
              <w:pStyle w:val="TAH"/>
              <w:rPr>
                <w:rFonts w:cs="Arial"/>
              </w:rPr>
            </w:pPr>
            <w:r>
              <w:t>dB</w:t>
            </w:r>
          </w:p>
        </w:tc>
        <w:tc>
          <w:tcPr>
            <w:tcW w:w="2584" w:type="dxa"/>
            <w:gridSpan w:val="2"/>
            <w:tcBorders>
              <w:top w:val="single" w:sz="6" w:space="0" w:color="auto"/>
              <w:left w:val="single" w:sz="4" w:space="0" w:color="auto"/>
              <w:bottom w:val="single" w:sz="6" w:space="0" w:color="auto"/>
              <w:right w:val="single" w:sz="6" w:space="0" w:color="auto"/>
            </w:tcBorders>
            <w:hideMark/>
          </w:tcPr>
          <w:p w14:paraId="25733749" w14:textId="67A91D4A" w:rsidR="00930E00" w:rsidRDefault="00930E00" w:rsidP="00AD2F6B">
            <w:pPr>
              <w:pStyle w:val="TAH"/>
            </w:pPr>
            <w:r>
              <w:rPr>
                <w:rFonts w:cs="Arial"/>
              </w:rPr>
              <w:t xml:space="preserve">dBm / </w:t>
            </w:r>
            <w:r>
              <w:t>SCS</w:t>
            </w:r>
            <w:r>
              <w:rPr>
                <w:vertAlign w:val="subscript"/>
              </w:rPr>
              <w:t>CSI-RS</w:t>
            </w:r>
            <w:r>
              <w:rPr>
                <w:vertAlign w:val="superscript"/>
              </w:rPr>
              <w:t xml:space="preserve"> Note </w:t>
            </w:r>
            <w:r w:rsidR="005A3DF0">
              <w:rPr>
                <w:vertAlign w:val="superscript"/>
              </w:rPr>
              <w:t>3</w:t>
            </w:r>
          </w:p>
        </w:tc>
        <w:tc>
          <w:tcPr>
            <w:tcW w:w="1440" w:type="dxa"/>
            <w:tcBorders>
              <w:top w:val="single" w:sz="6" w:space="0" w:color="auto"/>
              <w:left w:val="single" w:sz="6" w:space="0" w:color="auto"/>
              <w:bottom w:val="nil"/>
              <w:right w:val="single" w:sz="6" w:space="0" w:color="auto"/>
            </w:tcBorders>
            <w:hideMark/>
          </w:tcPr>
          <w:p w14:paraId="501CAB0F" w14:textId="77777777" w:rsidR="00930E00" w:rsidRDefault="00930E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hideMark/>
          </w:tcPr>
          <w:p w14:paraId="76DB397C" w14:textId="77777777" w:rsidR="00930E00" w:rsidRDefault="00930E00" w:rsidP="00AD2F6B">
            <w:pPr>
              <w:pStyle w:val="TAH"/>
            </w:pPr>
            <w:r>
              <w:t>dBm/BW</w:t>
            </w:r>
            <w:r>
              <w:rPr>
                <w:vertAlign w:val="subscript"/>
              </w:rPr>
              <w:t>Channel</w:t>
            </w:r>
          </w:p>
        </w:tc>
      </w:tr>
      <w:tr w:rsidR="00930E00" w14:paraId="57BFB9C7" w14:textId="77777777" w:rsidTr="00AD2F6B">
        <w:trPr>
          <w:jc w:val="center"/>
        </w:trPr>
        <w:tc>
          <w:tcPr>
            <w:tcW w:w="0" w:type="auto"/>
            <w:tcBorders>
              <w:top w:val="nil"/>
              <w:left w:val="single" w:sz="4" w:space="0" w:color="auto"/>
              <w:bottom w:val="single" w:sz="6" w:space="0" w:color="auto"/>
              <w:right w:val="single" w:sz="6" w:space="0" w:color="auto"/>
            </w:tcBorders>
            <w:hideMark/>
          </w:tcPr>
          <w:p w14:paraId="561EFF60"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hideMark/>
          </w:tcPr>
          <w:p w14:paraId="7E37E807" w14:textId="77777777" w:rsidR="00930E00" w:rsidRDefault="00930E00" w:rsidP="003852A9">
            <w:pPr>
              <w:pStyle w:val="TAH"/>
            </w:pPr>
          </w:p>
        </w:tc>
        <w:tc>
          <w:tcPr>
            <w:tcW w:w="1050" w:type="dxa"/>
            <w:tcBorders>
              <w:top w:val="nil"/>
              <w:left w:val="single" w:sz="4" w:space="0" w:color="auto"/>
              <w:bottom w:val="single" w:sz="4" w:space="0" w:color="auto"/>
              <w:right w:val="single" w:sz="4" w:space="0" w:color="auto"/>
            </w:tcBorders>
            <w:hideMark/>
          </w:tcPr>
          <w:p w14:paraId="41CD52CC" w14:textId="77777777" w:rsidR="00930E00" w:rsidRDefault="00930E00" w:rsidP="003852A9">
            <w:pPr>
              <w:pStyle w:val="TAH"/>
            </w:pPr>
          </w:p>
        </w:tc>
        <w:tc>
          <w:tcPr>
            <w:tcW w:w="1575" w:type="dxa"/>
            <w:tcBorders>
              <w:top w:val="single" w:sz="6" w:space="0" w:color="auto"/>
              <w:left w:val="single" w:sz="4" w:space="0" w:color="auto"/>
              <w:bottom w:val="single" w:sz="6" w:space="0" w:color="auto"/>
              <w:right w:val="single" w:sz="6" w:space="0" w:color="auto"/>
            </w:tcBorders>
            <w:hideMark/>
          </w:tcPr>
          <w:p w14:paraId="7CEE387E" w14:textId="77777777" w:rsidR="00930E00" w:rsidRDefault="00930E00" w:rsidP="00AD2F6B">
            <w:pPr>
              <w:pStyle w:val="TAH"/>
            </w:pPr>
            <w:r>
              <w:t>SCS</w:t>
            </w:r>
            <w:r>
              <w:rPr>
                <w:vertAlign w:val="subscript"/>
              </w:rPr>
              <w:t>CSI-RS</w:t>
            </w:r>
            <w:r>
              <w:rPr>
                <w:rFonts w:cs="Arial"/>
              </w:rPr>
              <w:t xml:space="preserve"> = 60kHz </w:t>
            </w:r>
          </w:p>
        </w:tc>
        <w:tc>
          <w:tcPr>
            <w:tcW w:w="1009" w:type="dxa"/>
            <w:tcBorders>
              <w:top w:val="single" w:sz="6" w:space="0" w:color="auto"/>
              <w:left w:val="single" w:sz="4" w:space="0" w:color="auto"/>
              <w:bottom w:val="single" w:sz="6" w:space="0" w:color="auto"/>
              <w:right w:val="single" w:sz="6" w:space="0" w:color="auto"/>
            </w:tcBorders>
          </w:tcPr>
          <w:p w14:paraId="59FA388D" w14:textId="77777777" w:rsidR="00930E00" w:rsidRDefault="00930E00" w:rsidP="00AD2F6B">
            <w:pPr>
              <w:pStyle w:val="TAH"/>
            </w:pPr>
            <w:r>
              <w:t>SCS</w:t>
            </w:r>
            <w:r>
              <w:rPr>
                <w:vertAlign w:val="subscript"/>
              </w:rPr>
              <w:t>CSI-RS</w:t>
            </w:r>
            <w:r>
              <w:rPr>
                <w:rFonts w:cs="Arial"/>
              </w:rPr>
              <w:t xml:space="preserve"> = 120kHz</w:t>
            </w:r>
          </w:p>
        </w:tc>
        <w:tc>
          <w:tcPr>
            <w:tcW w:w="1440" w:type="dxa"/>
            <w:tcBorders>
              <w:top w:val="nil"/>
              <w:left w:val="single" w:sz="6" w:space="0" w:color="auto"/>
              <w:bottom w:val="single" w:sz="6" w:space="0" w:color="auto"/>
              <w:right w:val="single" w:sz="6" w:space="0" w:color="auto"/>
            </w:tcBorders>
            <w:hideMark/>
          </w:tcPr>
          <w:p w14:paraId="6F585FF2" w14:textId="77777777" w:rsidR="00930E00" w:rsidRDefault="00930E00" w:rsidP="003852A9">
            <w:pPr>
              <w:pStyle w:val="TAH"/>
            </w:pPr>
          </w:p>
        </w:tc>
        <w:tc>
          <w:tcPr>
            <w:tcW w:w="1440" w:type="dxa"/>
            <w:tcBorders>
              <w:top w:val="nil"/>
              <w:left w:val="single" w:sz="6" w:space="0" w:color="auto"/>
              <w:bottom w:val="single" w:sz="6" w:space="0" w:color="auto"/>
              <w:right w:val="single" w:sz="4" w:space="0" w:color="auto"/>
            </w:tcBorders>
            <w:hideMark/>
          </w:tcPr>
          <w:p w14:paraId="2C65C83E" w14:textId="77777777" w:rsidR="00930E00" w:rsidRDefault="00930E00" w:rsidP="003852A9">
            <w:pPr>
              <w:pStyle w:val="TAH"/>
            </w:pPr>
          </w:p>
        </w:tc>
      </w:tr>
      <w:tr w:rsidR="00CA6320" w14:paraId="1FB0D659" w14:textId="77777777" w:rsidTr="00AD2F6B">
        <w:trPr>
          <w:jc w:val="center"/>
        </w:trPr>
        <w:tc>
          <w:tcPr>
            <w:tcW w:w="1103" w:type="dxa"/>
            <w:tcBorders>
              <w:top w:val="single" w:sz="6" w:space="0" w:color="auto"/>
              <w:left w:val="single" w:sz="4" w:space="0" w:color="auto"/>
              <w:bottom w:val="nil"/>
              <w:right w:val="single" w:sz="6" w:space="0" w:color="auto"/>
            </w:tcBorders>
            <w:hideMark/>
          </w:tcPr>
          <w:p w14:paraId="7146FD87" w14:textId="28F8FDCB" w:rsidR="00CA6320" w:rsidRDefault="00CA6320" w:rsidP="00CA6320">
            <w:pPr>
              <w:pStyle w:val="TAC"/>
            </w:pPr>
            <w:r>
              <w:rPr>
                <w:rFonts w:cs="Arial"/>
              </w:rPr>
              <w:t>±4.5</w:t>
            </w:r>
          </w:p>
        </w:tc>
        <w:tc>
          <w:tcPr>
            <w:tcW w:w="1103" w:type="dxa"/>
            <w:tcBorders>
              <w:top w:val="single" w:sz="6" w:space="0" w:color="auto"/>
              <w:left w:val="single" w:sz="6" w:space="0" w:color="auto"/>
              <w:bottom w:val="nil"/>
              <w:right w:val="single" w:sz="4" w:space="0" w:color="auto"/>
            </w:tcBorders>
            <w:hideMark/>
          </w:tcPr>
          <w:p w14:paraId="4B791602" w14:textId="26CB88E4" w:rsidR="00CA6320" w:rsidRDefault="00CA6320" w:rsidP="00CA6320">
            <w:pPr>
              <w:pStyle w:val="TAC"/>
            </w:pPr>
            <w:r>
              <w:rPr>
                <w:rFonts w:cs="Arial"/>
              </w:rPr>
              <w:t>±5.5</w:t>
            </w:r>
          </w:p>
        </w:tc>
        <w:tc>
          <w:tcPr>
            <w:tcW w:w="1050" w:type="dxa"/>
            <w:tcBorders>
              <w:top w:val="single" w:sz="4" w:space="0" w:color="auto"/>
              <w:left w:val="single" w:sz="4" w:space="0" w:color="auto"/>
              <w:bottom w:val="single" w:sz="4" w:space="0" w:color="auto"/>
              <w:right w:val="single" w:sz="4" w:space="0" w:color="auto"/>
            </w:tcBorders>
            <w:hideMark/>
          </w:tcPr>
          <w:p w14:paraId="7F4E2F34" w14:textId="77777777" w:rsidR="00CA6320" w:rsidRDefault="00CA6320" w:rsidP="00CA6320">
            <w:pPr>
              <w:pStyle w:val="TAC"/>
            </w:pPr>
            <w:r>
              <w:rPr>
                <w:rFonts w:eastAsia="Yu Mincho" w:cs="Arial"/>
                <w:lang w:eastAsia="ja-JP"/>
              </w:rPr>
              <w:t>≥-3</w:t>
            </w:r>
          </w:p>
        </w:tc>
        <w:tc>
          <w:tcPr>
            <w:tcW w:w="2584" w:type="dxa"/>
            <w:gridSpan w:val="2"/>
            <w:tcBorders>
              <w:top w:val="single" w:sz="6" w:space="0" w:color="auto"/>
              <w:left w:val="single" w:sz="4" w:space="0" w:color="auto"/>
              <w:bottom w:val="single" w:sz="6" w:space="0" w:color="auto"/>
              <w:right w:val="single" w:sz="6" w:space="0" w:color="auto"/>
            </w:tcBorders>
            <w:hideMark/>
          </w:tcPr>
          <w:p w14:paraId="7575CDFB" w14:textId="501F423D" w:rsidR="00CA6320" w:rsidRDefault="00CA6320" w:rsidP="00CA6320">
            <w:pPr>
              <w:pStyle w:val="TAC"/>
              <w:rPr>
                <w:rFonts w:eastAsia="Yu Mincho"/>
                <w:lang w:eastAsia="ja-JP"/>
              </w:rPr>
            </w:pPr>
            <w:r w:rsidRPr="009C5807">
              <w:t xml:space="preserve">Same value as CSI-RS_RP in Table </w:t>
            </w:r>
            <w:r>
              <w:t xml:space="preserve">in </w:t>
            </w:r>
            <w:r w:rsidRPr="009C5807">
              <w:t>B.2</w:t>
            </w:r>
            <w:r>
              <w:t>.8.1</w:t>
            </w:r>
            <w:r w:rsidRPr="009C5807">
              <w:t>, according to UE Power class, operating band and angle of arrival</w:t>
            </w:r>
          </w:p>
        </w:tc>
        <w:tc>
          <w:tcPr>
            <w:tcW w:w="1440" w:type="dxa"/>
            <w:tcBorders>
              <w:top w:val="single" w:sz="6" w:space="0" w:color="auto"/>
              <w:left w:val="single" w:sz="6" w:space="0" w:color="auto"/>
              <w:bottom w:val="single" w:sz="6" w:space="0" w:color="auto"/>
              <w:right w:val="single" w:sz="6" w:space="0" w:color="auto"/>
            </w:tcBorders>
            <w:hideMark/>
          </w:tcPr>
          <w:p w14:paraId="436C0C32" w14:textId="77777777" w:rsidR="00CA6320" w:rsidRDefault="00CA6320" w:rsidP="00CA6320">
            <w:pPr>
              <w:pStyle w:val="TAC"/>
            </w:pPr>
            <w:r>
              <w:rPr>
                <w:lang w:eastAsia="zh-CN"/>
              </w:rPr>
              <w:t>N/A</w:t>
            </w:r>
          </w:p>
        </w:tc>
        <w:tc>
          <w:tcPr>
            <w:tcW w:w="1440" w:type="dxa"/>
            <w:tcBorders>
              <w:top w:val="single" w:sz="6" w:space="0" w:color="auto"/>
              <w:left w:val="single" w:sz="6" w:space="0" w:color="auto"/>
              <w:bottom w:val="single" w:sz="6" w:space="0" w:color="auto"/>
              <w:right w:val="single" w:sz="4" w:space="0" w:color="auto"/>
            </w:tcBorders>
            <w:hideMark/>
          </w:tcPr>
          <w:p w14:paraId="231CB74D" w14:textId="77777777" w:rsidR="00CA6320" w:rsidRDefault="00CA6320" w:rsidP="00CA6320">
            <w:pPr>
              <w:pStyle w:val="TAC"/>
            </w:pPr>
            <w:r>
              <w:t>-50</w:t>
            </w:r>
          </w:p>
        </w:tc>
      </w:tr>
      <w:tr w:rsidR="00930E00" w14:paraId="63FA5302" w14:textId="77777777" w:rsidTr="00AD2F6B">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5E1BD1D9"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6C4E508A" w14:textId="77777777" w:rsidR="00930E00" w:rsidRDefault="00930E00" w:rsidP="00AD2F6B">
            <w:pPr>
              <w:pStyle w:val="TAN"/>
              <w:rPr>
                <w:lang w:eastAsia="zh-CN"/>
              </w:rPr>
            </w:pPr>
            <w:r>
              <w:t>N</w:t>
            </w:r>
            <w:r>
              <w:rPr>
                <w:lang w:eastAsia="zh-CN"/>
              </w:rPr>
              <w:t>OTE</w:t>
            </w:r>
            <w:r>
              <w:t xml:space="preserve"> 2:</w:t>
            </w:r>
            <w:r>
              <w:tab/>
            </w:r>
            <w:r>
              <w:rPr>
                <w:lang w:eastAsia="zh-CN"/>
              </w:rPr>
              <w:t xml:space="preserve">The parameter CSI-RS CMR </w:t>
            </w:r>
            <w:r>
              <w:t>Ês/Iot</w:t>
            </w:r>
            <w:r>
              <w:rPr>
                <w:lang w:eastAsia="zh-CN"/>
              </w:rPr>
              <w:t xml:space="preserve"> is the minimum CSI-RS CMR </w:t>
            </w:r>
            <w:r>
              <w:t>Ês/Iot</w:t>
            </w:r>
            <w:r>
              <w:rPr>
                <w:lang w:eastAsia="zh-CN"/>
              </w:rPr>
              <w:t xml:space="preserve"> of the pair of CSI-RS resources to which the requirement applies.</w:t>
            </w:r>
          </w:p>
          <w:p w14:paraId="1374AEC1" w14:textId="77777777" w:rsidR="00930E00" w:rsidRDefault="00930E00" w:rsidP="00AD2F6B">
            <w:pPr>
              <w:pStyle w:val="TAN"/>
            </w:pPr>
            <w:r>
              <w:t>NOTE 3:</w:t>
            </w:r>
            <w:r>
              <w:tab/>
              <w:t>Values based on Refsens and EIS spherical coverage as defined in clauses 7.3.2 and 7.3.4 of TS 38.101-2 [19]. Applicable side condition selected depending on angle of arrival.</w:t>
            </w:r>
          </w:p>
          <w:p w14:paraId="7E60D5E3" w14:textId="77777777" w:rsidR="00930E00" w:rsidRDefault="00930E00" w:rsidP="00AD2F6B">
            <w:pPr>
              <w:pStyle w:val="TAN"/>
            </w:pPr>
            <w:r>
              <w:t>NOTE 4:</w:t>
            </w:r>
            <w:r>
              <w:tab/>
              <w:t>In the test cases, the CSI-RS CMR Ês/Iot and related parameters may need to be adjusted to ensure Ês/Iot at UE baseband is above the value defined in this table.</w:t>
            </w:r>
          </w:p>
        </w:tc>
      </w:tr>
    </w:tbl>
    <w:p w14:paraId="60C2A13B" w14:textId="77777777" w:rsidR="00930E00" w:rsidRDefault="00930E00" w:rsidP="00930E00">
      <w:pPr>
        <w:rPr>
          <w:rFonts w:eastAsia="?? ??"/>
        </w:rPr>
      </w:pPr>
    </w:p>
    <w:p w14:paraId="25B041D5" w14:textId="77777777" w:rsidR="00930E00" w:rsidRDefault="00930E00" w:rsidP="00930E00">
      <w:pPr>
        <w:keepNext/>
        <w:keepLines/>
        <w:spacing w:before="120"/>
        <w:ind w:left="1418" w:hanging="1418"/>
        <w:outlineLvl w:val="3"/>
        <w:rPr>
          <w:lang w:val="en-US"/>
        </w:rPr>
      </w:pPr>
      <w:r>
        <w:rPr>
          <w:rFonts w:ascii="Arial" w:hAnsi="Arial"/>
          <w:sz w:val="24"/>
          <w:lang w:val="en-US"/>
        </w:rPr>
        <w:t>10.1.28.2</w:t>
      </w:r>
      <w:r>
        <w:rPr>
          <w:rFonts w:ascii="Arial" w:hAnsi="Arial"/>
          <w:sz w:val="24"/>
          <w:lang w:val="en-US"/>
        </w:rPr>
        <w:tab/>
        <w:t>L1-SINR accuracy requirements with SSB based CMR and dedicated IMR configured</w:t>
      </w:r>
    </w:p>
    <w:p w14:paraId="75DA4358" w14:textId="77777777" w:rsidR="00930E00" w:rsidRDefault="00930E00" w:rsidP="00930E00">
      <w:pPr>
        <w:keepNext/>
        <w:keepLines/>
        <w:spacing w:before="120"/>
        <w:ind w:left="1701" w:hanging="1701"/>
        <w:outlineLvl w:val="4"/>
      </w:pPr>
      <w:r>
        <w:rPr>
          <w:rFonts w:ascii="Arial" w:hAnsi="Arial"/>
          <w:sz w:val="22"/>
        </w:rPr>
        <w:t>10.1.28.2.1</w:t>
      </w:r>
      <w:r>
        <w:rPr>
          <w:rFonts w:ascii="Arial" w:hAnsi="Arial"/>
          <w:sz w:val="22"/>
        </w:rPr>
        <w:tab/>
        <w:t>Absolute Accuracy</w:t>
      </w:r>
    </w:p>
    <w:p w14:paraId="5156854C" w14:textId="77777777" w:rsidR="00930E00" w:rsidRDefault="00930E00" w:rsidP="00930E00">
      <w:pPr>
        <w:rPr>
          <w:rFonts w:cs="v4.2.0"/>
          <w:i/>
        </w:rPr>
      </w:pPr>
      <w:r>
        <w:rPr>
          <w:rFonts w:cs="v4.2.0"/>
        </w:rPr>
        <w:t xml:space="preserve">Unless otherwise specified, the requirements for absolute accuracy of </w:t>
      </w:r>
      <w:r>
        <w:rPr>
          <w:rFonts w:cs="v4.2.0"/>
          <w:lang w:eastAsia="zh-CN"/>
        </w:rPr>
        <w:t>SSB based L1-</w:t>
      </w:r>
      <w:r>
        <w:rPr>
          <w:rFonts w:cs="v4.2.0"/>
        </w:rPr>
        <w:t>SINR in this clause apply to all SSBs configured as CMR and dedicated resources configured as IMR of the serving cell configured for L1-SINR measurement.</w:t>
      </w:r>
    </w:p>
    <w:p w14:paraId="7F449809" w14:textId="77777777" w:rsidR="00930E00" w:rsidRDefault="00930E00" w:rsidP="00930E00">
      <w:pPr>
        <w:rPr>
          <w:rFonts w:cs="v4.2.0"/>
        </w:rPr>
      </w:pPr>
      <w:r>
        <w:rPr>
          <w:rFonts w:cs="v4.2.0"/>
        </w:rPr>
        <w:t>The accuracy requirements are defined in Table 10.1.28.2.1-1 for SSB based CMR and NZP-IMR and in Table 10.1.28</w:t>
      </w:r>
      <w:r w:rsidRPr="00313499">
        <w:rPr>
          <w:rFonts w:cs="v4.2.0"/>
        </w:rPr>
        <w:t>.2.1-</w:t>
      </w:r>
      <w:r>
        <w:rPr>
          <w:rFonts w:cs="v4.2.0"/>
        </w:rPr>
        <w:t>2 for SSB based CMR and ZP-IMR.</w:t>
      </w:r>
    </w:p>
    <w:p w14:paraId="058992E6" w14:textId="77777777" w:rsidR="00930E00" w:rsidRDefault="00930E00" w:rsidP="00930E00">
      <w:pPr>
        <w:rPr>
          <w:rFonts w:cs="v4.2.0"/>
        </w:rPr>
      </w:pPr>
      <w:r>
        <w:rPr>
          <w:rFonts w:cs="v4.2.0"/>
        </w:rPr>
        <w:t xml:space="preserve">The accuracy requirements in Tables </w:t>
      </w:r>
      <w:r>
        <w:rPr>
          <w:rFonts w:cs="v4.2.0"/>
          <w:lang w:eastAsia="zh-CN"/>
        </w:rPr>
        <w:t>10.1.28.2.1</w:t>
      </w:r>
      <w:r>
        <w:rPr>
          <w:rFonts w:cs="v4.2.0"/>
        </w:rPr>
        <w:t>-1 and 10.1.28</w:t>
      </w:r>
      <w:r w:rsidRPr="00313499">
        <w:rPr>
          <w:rFonts w:cs="v4.2.0"/>
        </w:rPr>
        <w:t>.2.1-</w:t>
      </w:r>
      <w:r>
        <w:rPr>
          <w:rFonts w:cs="v4.2.0"/>
        </w:rPr>
        <w:t>2 are valid under the following conditions:</w:t>
      </w:r>
    </w:p>
    <w:p w14:paraId="09D53E53" w14:textId="77777777" w:rsidR="00930E00" w:rsidRDefault="00930E00" w:rsidP="00930E00">
      <w:pPr>
        <w:pStyle w:val="B10"/>
      </w:pPr>
      <w:r>
        <w:t>-</w:t>
      </w:r>
      <w:r>
        <w:tab/>
        <w:t>Conditions defined in clause 7.3 of TS 38.101-2 [19] for reference sensitivity are fulfilled.</w:t>
      </w:r>
    </w:p>
    <w:p w14:paraId="54C4B58A" w14:textId="68199F1E" w:rsidR="00930E00" w:rsidRDefault="00930E00" w:rsidP="00930E00">
      <w:pPr>
        <w:pStyle w:val="B10"/>
      </w:pPr>
      <w:r w:rsidRPr="009C5807">
        <w:t>-</w:t>
      </w:r>
      <w:r w:rsidRPr="009C5807">
        <w:tab/>
        <w:t>Conditions for L1-</w:t>
      </w:r>
      <w:r>
        <w:t>SINR</w:t>
      </w:r>
      <w:r w:rsidRPr="009C5807">
        <w:t xml:space="preserve"> measurements are fulfilled according to Annex B.2</w:t>
      </w:r>
      <w:r w:rsidR="005A3DF0">
        <w:t>.8.2</w:t>
      </w:r>
      <w:r w:rsidRPr="009C5807">
        <w:t xml:space="preserve"> for a corresponding Band </w:t>
      </w:r>
      <w:r w:rsidRPr="009C5807">
        <w:rPr>
          <w:rFonts w:eastAsia="PMingLiU"/>
        </w:rPr>
        <w:t>for each relevant SSB</w:t>
      </w:r>
      <w:r>
        <w:rPr>
          <w:rFonts w:eastAsia="PMingLiU"/>
        </w:rPr>
        <w:t xml:space="preserve"> based CMR and IMR</w:t>
      </w:r>
      <w:r w:rsidRPr="009C5807">
        <w:t>.</w:t>
      </w:r>
    </w:p>
    <w:p w14:paraId="1975629A" w14:textId="77777777" w:rsidR="00930E00" w:rsidRDefault="00930E00" w:rsidP="00930E00">
      <w:pPr>
        <w:pStyle w:val="B10"/>
        <w:rPr>
          <w:lang w:eastAsia="zh-CN"/>
        </w:rPr>
      </w:pPr>
      <w:r>
        <w:rPr>
          <w:lang w:eastAsia="zh-CN"/>
        </w:rPr>
        <w:t>-</w:t>
      </w:r>
      <w:r>
        <w:rPr>
          <w:lang w:eastAsia="zh-CN"/>
        </w:rPr>
        <w:tab/>
        <w:t>The bandwidth of NZP-IMR and ZP-IMR is 48 PRBs and the density is 3.</w:t>
      </w:r>
    </w:p>
    <w:p w14:paraId="47545DE6" w14:textId="77777777" w:rsidR="00930E00" w:rsidRDefault="00930E00" w:rsidP="00930E00">
      <w:pPr>
        <w:pStyle w:val="B10"/>
      </w:pPr>
      <w:r>
        <w:t>-</w:t>
      </w:r>
      <w:r>
        <w:tab/>
        <w:t xml:space="preserve">The measured signals are in the directions covered by the percentile EIS spherical coverage of the UE, defined in </w:t>
      </w:r>
      <w:r>
        <w:rPr>
          <w:rFonts w:cs="Arial"/>
        </w:rPr>
        <w:t>clause 7.3.4 of TS 38.101-2 [19]</w:t>
      </w:r>
      <w:r>
        <w:t>.</w:t>
      </w:r>
    </w:p>
    <w:p w14:paraId="0AA323FD" w14:textId="647CFF6B" w:rsidR="00930E00" w:rsidRDefault="00930E00" w:rsidP="00930E00">
      <w:pPr>
        <w:pStyle w:val="B10"/>
        <w:rPr>
          <w:lang w:eastAsia="zh-CN"/>
        </w:rPr>
      </w:pPr>
      <w:r>
        <w:rPr>
          <w:lang w:eastAsia="zh-CN"/>
        </w:rPr>
        <w:t>-</w:t>
      </w:r>
      <w:r>
        <w:rPr>
          <w:lang w:eastAsia="zh-CN"/>
        </w:rPr>
        <w:tab/>
        <w:t>AWGN</w:t>
      </w:r>
      <w:r w:rsidR="005A3DF0" w:rsidRPr="00FB249D">
        <w:t xml:space="preserve"> </w:t>
      </w:r>
      <w:r w:rsidR="005A3DF0" w:rsidRPr="00B910B8">
        <w:t>radio propagation conditions</w:t>
      </w:r>
      <w:r>
        <w:rPr>
          <w:lang w:eastAsia="zh-CN"/>
        </w:rPr>
        <w:t>.</w:t>
      </w:r>
    </w:p>
    <w:p w14:paraId="2FA855D0" w14:textId="77777777" w:rsidR="00930E00" w:rsidRDefault="00930E00" w:rsidP="00930E00">
      <w:pPr>
        <w:pStyle w:val="B10"/>
        <w:rPr>
          <w:lang w:eastAsia="zh-CN"/>
        </w:rPr>
      </w:pPr>
      <w:r>
        <w:rPr>
          <w:lang w:eastAsia="zh-CN"/>
        </w:rPr>
        <w:t>-</w:t>
      </w:r>
      <w:r>
        <w:rPr>
          <w:lang w:eastAsia="zh-CN"/>
        </w:rPr>
        <w:tab/>
        <w:t>SSB based CMR and IMR in the test come from the same direction.</w:t>
      </w:r>
    </w:p>
    <w:p w14:paraId="1B62C188" w14:textId="77777777" w:rsidR="00930E00" w:rsidRPr="007C55F6" w:rsidRDefault="00930E00" w:rsidP="007C55F6">
      <w:pPr>
        <w:pStyle w:val="B10"/>
        <w:ind w:left="0" w:firstLine="0"/>
        <w:rPr>
          <w:lang w:eastAsia="zh-CN"/>
        </w:rPr>
      </w:pPr>
      <w:r>
        <w:rPr>
          <w:rFonts w:eastAsia="PMingLiU"/>
          <w:lang w:eastAsia="zh-CN"/>
        </w:rPr>
        <w:t>The performance with larger bandwidth of NZP-IMR and ZP-IMR is equal to or better than the accuracy requirements in Tables 10.1.28.2.1-1 and 10.1.28.2.1-2.</w:t>
      </w:r>
    </w:p>
    <w:p w14:paraId="36A72D63" w14:textId="77777777" w:rsidR="00930E00" w:rsidRPr="007C68C7" w:rsidRDefault="00930E00" w:rsidP="00930E00">
      <w:pPr>
        <w:pStyle w:val="TH"/>
      </w:pPr>
      <w:r>
        <w:t>Table 10.1.28.2.1-1: L1-SINR absolute accuracy for SSB based CMR and NZP-IMR in FR2</w:t>
      </w:r>
    </w:p>
    <w:tbl>
      <w:tblPr>
        <w:tblW w:w="8720" w:type="dxa"/>
        <w:jc w:val="center"/>
        <w:tblLook w:val="01E0" w:firstRow="1" w:lastRow="1" w:firstColumn="1" w:lastColumn="1" w:noHBand="0" w:noVBand="0"/>
      </w:tblPr>
      <w:tblGrid>
        <w:gridCol w:w="1107"/>
        <w:gridCol w:w="1107"/>
        <w:gridCol w:w="875"/>
        <w:gridCol w:w="875"/>
        <w:gridCol w:w="921"/>
        <w:gridCol w:w="922"/>
        <w:gridCol w:w="1473"/>
        <w:gridCol w:w="1440"/>
      </w:tblGrid>
      <w:tr w:rsidR="00930E00" w14:paraId="75CCF8D8" w14:textId="77777777" w:rsidTr="00AD2F6B">
        <w:trPr>
          <w:jc w:val="center"/>
        </w:trPr>
        <w:tc>
          <w:tcPr>
            <w:tcW w:w="2214" w:type="dxa"/>
            <w:gridSpan w:val="2"/>
            <w:tcBorders>
              <w:top w:val="single" w:sz="6" w:space="0" w:color="auto"/>
              <w:left w:val="single" w:sz="4" w:space="0" w:color="auto"/>
              <w:bottom w:val="nil"/>
              <w:right w:val="single" w:sz="6" w:space="0" w:color="auto"/>
            </w:tcBorders>
            <w:vAlign w:val="center"/>
            <w:hideMark/>
          </w:tcPr>
          <w:p w14:paraId="46850488" w14:textId="77777777" w:rsidR="00930E00" w:rsidRDefault="00930E00" w:rsidP="00AD2F6B">
            <w:pPr>
              <w:pStyle w:val="TAH"/>
            </w:pPr>
            <w:r>
              <w:t>Accuracy</w:t>
            </w:r>
          </w:p>
        </w:tc>
        <w:tc>
          <w:tcPr>
            <w:tcW w:w="6506" w:type="dxa"/>
            <w:gridSpan w:val="6"/>
            <w:tcBorders>
              <w:top w:val="single" w:sz="4" w:space="0" w:color="auto"/>
              <w:left w:val="single" w:sz="4" w:space="0" w:color="auto"/>
              <w:bottom w:val="nil"/>
              <w:right w:val="single" w:sz="4" w:space="0" w:color="auto"/>
            </w:tcBorders>
            <w:vAlign w:val="center"/>
            <w:hideMark/>
          </w:tcPr>
          <w:p w14:paraId="780BBFE0" w14:textId="77777777" w:rsidR="00930E00" w:rsidRDefault="00930E00" w:rsidP="00AD2F6B">
            <w:pPr>
              <w:pStyle w:val="TAH"/>
            </w:pPr>
            <w:r>
              <w:t>Conditions</w:t>
            </w:r>
          </w:p>
        </w:tc>
      </w:tr>
      <w:tr w:rsidR="00930E00" w14:paraId="10C5D4F7" w14:textId="77777777" w:rsidTr="00AD2F6B">
        <w:trPr>
          <w:jc w:val="center"/>
        </w:trPr>
        <w:tc>
          <w:tcPr>
            <w:tcW w:w="1107" w:type="dxa"/>
            <w:tcBorders>
              <w:top w:val="single" w:sz="6" w:space="0" w:color="auto"/>
              <w:left w:val="single" w:sz="4" w:space="0" w:color="auto"/>
              <w:bottom w:val="nil"/>
              <w:right w:val="single" w:sz="6" w:space="0" w:color="auto"/>
            </w:tcBorders>
            <w:vAlign w:val="center"/>
            <w:hideMark/>
          </w:tcPr>
          <w:p w14:paraId="53737C11" w14:textId="77777777" w:rsidR="00930E00" w:rsidRDefault="00930E00" w:rsidP="00AD2F6B">
            <w:pPr>
              <w:pStyle w:val="TAH"/>
            </w:pPr>
            <w:r>
              <w:t>Normal condition</w:t>
            </w:r>
          </w:p>
        </w:tc>
        <w:tc>
          <w:tcPr>
            <w:tcW w:w="1107" w:type="dxa"/>
            <w:tcBorders>
              <w:top w:val="single" w:sz="6" w:space="0" w:color="auto"/>
              <w:left w:val="single" w:sz="6" w:space="0" w:color="auto"/>
              <w:bottom w:val="nil"/>
              <w:right w:val="single" w:sz="6" w:space="0" w:color="auto"/>
            </w:tcBorders>
            <w:vAlign w:val="center"/>
            <w:hideMark/>
          </w:tcPr>
          <w:p w14:paraId="106B6CEC" w14:textId="77777777" w:rsidR="00930E00" w:rsidRDefault="00930E00" w:rsidP="00AD2F6B">
            <w:pPr>
              <w:pStyle w:val="TAH"/>
            </w:pPr>
            <w:r>
              <w:t>Extreme condition</w:t>
            </w:r>
          </w:p>
        </w:tc>
        <w:tc>
          <w:tcPr>
            <w:tcW w:w="875" w:type="dxa"/>
            <w:vMerge w:val="restart"/>
            <w:tcBorders>
              <w:top w:val="single" w:sz="4" w:space="0" w:color="auto"/>
              <w:left w:val="single" w:sz="4" w:space="0" w:color="auto"/>
              <w:right w:val="single" w:sz="4" w:space="0" w:color="auto"/>
            </w:tcBorders>
            <w:hideMark/>
          </w:tcPr>
          <w:p w14:paraId="043E5DEC" w14:textId="77777777" w:rsidR="00930E00" w:rsidRDefault="00930E00" w:rsidP="00AD2F6B">
            <w:pPr>
              <w:pStyle w:val="TAH"/>
              <w:rPr>
                <w:rFonts w:cs="Arial"/>
              </w:rPr>
            </w:pPr>
            <w:r>
              <w:rPr>
                <w:rFonts w:cs="Arial"/>
              </w:rPr>
              <w:t xml:space="preserve">SSB </w:t>
            </w:r>
          </w:p>
          <w:p w14:paraId="67A5E572" w14:textId="77777777" w:rsidR="00930E00" w:rsidRDefault="00930E00" w:rsidP="00AD2F6B">
            <w:pPr>
              <w:pStyle w:val="TAH"/>
              <w:rPr>
                <w:rFonts w:cs="Arial"/>
              </w:rPr>
            </w:pPr>
            <w:r>
              <w:rPr>
                <w:rFonts w:cs="Arial"/>
              </w:rPr>
              <w:t>CMR</w:t>
            </w:r>
          </w:p>
          <w:p w14:paraId="626047E3" w14:textId="217A5D65" w:rsidR="00930E00" w:rsidRDefault="00930E00" w:rsidP="00AD2F6B">
            <w:pPr>
              <w:pStyle w:val="TAH"/>
            </w:pPr>
            <w:r>
              <w:rPr>
                <w:rFonts w:cs="Arial"/>
              </w:rPr>
              <w:t>Ês/Iot</w:t>
            </w:r>
            <w:r w:rsidR="005A3DF0">
              <w:rPr>
                <w:rFonts w:cs="Arial"/>
              </w:rPr>
              <w:t xml:space="preserve"> </w:t>
            </w:r>
            <w:r w:rsidR="005A3DF0">
              <w:rPr>
                <w:vertAlign w:val="superscript"/>
              </w:rPr>
              <w:t>Note 3</w:t>
            </w:r>
          </w:p>
        </w:tc>
        <w:tc>
          <w:tcPr>
            <w:tcW w:w="875" w:type="dxa"/>
            <w:tcBorders>
              <w:top w:val="single" w:sz="4" w:space="0" w:color="auto"/>
              <w:left w:val="single" w:sz="4" w:space="0" w:color="auto"/>
              <w:bottom w:val="nil"/>
              <w:right w:val="single" w:sz="4" w:space="0" w:color="auto"/>
            </w:tcBorders>
          </w:tcPr>
          <w:p w14:paraId="22B2CAE0" w14:textId="77777777" w:rsidR="00930E00" w:rsidRDefault="00930E00" w:rsidP="00AD2F6B">
            <w:pPr>
              <w:pStyle w:val="TAH"/>
            </w:pPr>
            <w:r>
              <w:t>NZP-IMR</w:t>
            </w:r>
          </w:p>
          <w:p w14:paraId="401DAD12" w14:textId="4C331859" w:rsidR="00930E00" w:rsidRDefault="00930E00" w:rsidP="00AD2F6B">
            <w:pPr>
              <w:pStyle w:val="TAH"/>
            </w:pPr>
            <w:r>
              <w:rPr>
                <w:rFonts w:cs="Arial"/>
              </w:rPr>
              <w:t>Ês/Iot</w:t>
            </w:r>
            <w:r w:rsidR="005A3DF0">
              <w:rPr>
                <w:rFonts w:cs="Arial"/>
              </w:rPr>
              <w:t xml:space="preserve"> </w:t>
            </w:r>
            <w:r w:rsidR="005A3DF0">
              <w:rPr>
                <w:vertAlign w:val="superscript"/>
              </w:rPr>
              <w:t>Note 3</w:t>
            </w:r>
          </w:p>
        </w:tc>
        <w:tc>
          <w:tcPr>
            <w:tcW w:w="4756" w:type="dxa"/>
            <w:gridSpan w:val="4"/>
            <w:tcBorders>
              <w:top w:val="single" w:sz="4" w:space="0" w:color="auto"/>
              <w:left w:val="single" w:sz="4" w:space="0" w:color="auto"/>
              <w:bottom w:val="single" w:sz="6" w:space="0" w:color="auto"/>
              <w:right w:val="single" w:sz="4" w:space="0" w:color="auto"/>
            </w:tcBorders>
            <w:vAlign w:val="center"/>
            <w:hideMark/>
          </w:tcPr>
          <w:p w14:paraId="4D856022" w14:textId="77777777" w:rsidR="00930E00" w:rsidRDefault="00930E00" w:rsidP="00AD2F6B">
            <w:pPr>
              <w:pStyle w:val="TAH"/>
            </w:pPr>
            <w:r>
              <w:t>Io</w:t>
            </w:r>
            <w:r>
              <w:rPr>
                <w:vertAlign w:val="superscript"/>
              </w:rPr>
              <w:t xml:space="preserve"> Note 1</w:t>
            </w:r>
            <w:r>
              <w:t xml:space="preserve"> range</w:t>
            </w:r>
          </w:p>
        </w:tc>
      </w:tr>
      <w:tr w:rsidR="00930E00" w14:paraId="10CB88BC"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1087CEB1"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4511104D" w14:textId="77777777" w:rsidR="00930E00" w:rsidRDefault="00930E00" w:rsidP="003852A9">
            <w:pPr>
              <w:pStyle w:val="TAH"/>
            </w:pPr>
          </w:p>
        </w:tc>
        <w:tc>
          <w:tcPr>
            <w:tcW w:w="875" w:type="dxa"/>
            <w:vMerge/>
            <w:tcBorders>
              <w:left w:val="single" w:sz="4" w:space="0" w:color="auto"/>
              <w:bottom w:val="single" w:sz="6" w:space="0" w:color="auto"/>
              <w:right w:val="single" w:sz="4" w:space="0" w:color="auto"/>
            </w:tcBorders>
            <w:vAlign w:val="center"/>
            <w:hideMark/>
          </w:tcPr>
          <w:p w14:paraId="3AAB360F" w14:textId="77777777" w:rsidR="00930E00" w:rsidRDefault="00930E00" w:rsidP="003852A9">
            <w:pPr>
              <w:pStyle w:val="TAH"/>
            </w:pPr>
          </w:p>
        </w:tc>
        <w:tc>
          <w:tcPr>
            <w:tcW w:w="875" w:type="dxa"/>
            <w:tcBorders>
              <w:top w:val="nil"/>
              <w:left w:val="single" w:sz="4" w:space="0" w:color="auto"/>
              <w:bottom w:val="single" w:sz="6" w:space="0" w:color="auto"/>
              <w:right w:val="single" w:sz="4" w:space="0" w:color="auto"/>
            </w:tcBorders>
            <w:vAlign w:val="center"/>
          </w:tcPr>
          <w:p w14:paraId="5545C05B" w14:textId="77777777" w:rsidR="00930E00" w:rsidRDefault="00930E00" w:rsidP="003852A9">
            <w:pPr>
              <w:pStyle w:val="TAH"/>
            </w:pPr>
          </w:p>
        </w:tc>
        <w:tc>
          <w:tcPr>
            <w:tcW w:w="3316" w:type="dxa"/>
            <w:gridSpan w:val="3"/>
            <w:tcBorders>
              <w:top w:val="single" w:sz="4" w:space="0" w:color="auto"/>
              <w:left w:val="single" w:sz="4" w:space="0" w:color="auto"/>
              <w:bottom w:val="single" w:sz="6" w:space="0" w:color="auto"/>
              <w:right w:val="single" w:sz="6" w:space="0" w:color="auto"/>
            </w:tcBorders>
            <w:vAlign w:val="center"/>
            <w:hideMark/>
          </w:tcPr>
          <w:p w14:paraId="6FF133E7" w14:textId="77777777" w:rsidR="00930E00" w:rsidRDefault="00930E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136124C0" w14:textId="77777777" w:rsidR="00930E00" w:rsidRDefault="00930E00" w:rsidP="00AD2F6B">
            <w:pPr>
              <w:pStyle w:val="TAH"/>
            </w:pPr>
            <w:r>
              <w:t>Maximum Io</w:t>
            </w:r>
          </w:p>
        </w:tc>
      </w:tr>
      <w:tr w:rsidR="00930E00" w14:paraId="75A2C44E" w14:textId="77777777" w:rsidTr="00AD2F6B">
        <w:trPr>
          <w:jc w:val="center"/>
        </w:trPr>
        <w:tc>
          <w:tcPr>
            <w:tcW w:w="1107" w:type="dxa"/>
            <w:tcBorders>
              <w:top w:val="single" w:sz="6" w:space="0" w:color="auto"/>
              <w:left w:val="single" w:sz="4" w:space="0" w:color="auto"/>
              <w:bottom w:val="nil"/>
              <w:right w:val="single" w:sz="6" w:space="0" w:color="auto"/>
            </w:tcBorders>
            <w:vAlign w:val="center"/>
            <w:hideMark/>
          </w:tcPr>
          <w:p w14:paraId="6B494380" w14:textId="77777777" w:rsidR="00930E00" w:rsidRDefault="00930E00" w:rsidP="003852A9">
            <w:pPr>
              <w:pStyle w:val="TAH"/>
            </w:pPr>
            <w:r>
              <w:t>dB</w:t>
            </w:r>
          </w:p>
        </w:tc>
        <w:tc>
          <w:tcPr>
            <w:tcW w:w="1107" w:type="dxa"/>
            <w:tcBorders>
              <w:top w:val="single" w:sz="6" w:space="0" w:color="auto"/>
              <w:left w:val="single" w:sz="6" w:space="0" w:color="auto"/>
              <w:bottom w:val="nil"/>
              <w:right w:val="single" w:sz="6" w:space="0" w:color="auto"/>
            </w:tcBorders>
            <w:vAlign w:val="center"/>
            <w:hideMark/>
          </w:tcPr>
          <w:p w14:paraId="74AF6FF8" w14:textId="77777777" w:rsidR="00930E00" w:rsidRDefault="00930E00" w:rsidP="003852A9">
            <w:pPr>
              <w:pStyle w:val="TAH"/>
            </w:pPr>
            <w:r>
              <w:t>dB</w:t>
            </w:r>
          </w:p>
        </w:tc>
        <w:tc>
          <w:tcPr>
            <w:tcW w:w="875" w:type="dxa"/>
            <w:tcBorders>
              <w:top w:val="single" w:sz="6" w:space="0" w:color="auto"/>
              <w:left w:val="single" w:sz="4" w:space="0" w:color="auto"/>
              <w:bottom w:val="nil"/>
              <w:right w:val="single" w:sz="4" w:space="0" w:color="auto"/>
            </w:tcBorders>
            <w:vAlign w:val="center"/>
            <w:hideMark/>
          </w:tcPr>
          <w:p w14:paraId="096781A5" w14:textId="77777777" w:rsidR="00930E00" w:rsidRDefault="00930E00" w:rsidP="003852A9">
            <w:pPr>
              <w:pStyle w:val="TAH"/>
              <w:rPr>
                <w:rFonts w:cs="Arial"/>
              </w:rPr>
            </w:pPr>
            <w:r>
              <w:t>dB</w:t>
            </w:r>
          </w:p>
        </w:tc>
        <w:tc>
          <w:tcPr>
            <w:tcW w:w="875" w:type="dxa"/>
            <w:tcBorders>
              <w:top w:val="single" w:sz="6" w:space="0" w:color="auto"/>
              <w:left w:val="single" w:sz="4" w:space="0" w:color="auto"/>
              <w:bottom w:val="nil"/>
              <w:right w:val="single" w:sz="4" w:space="0" w:color="auto"/>
            </w:tcBorders>
            <w:vAlign w:val="center"/>
          </w:tcPr>
          <w:p w14:paraId="62E556DA" w14:textId="77777777" w:rsidR="00930E00" w:rsidRDefault="00930E00" w:rsidP="003852A9">
            <w:pPr>
              <w:pStyle w:val="TAH"/>
              <w:rPr>
                <w:rFonts w:cs="Arial"/>
              </w:rPr>
            </w:pPr>
            <w:r>
              <w:rPr>
                <w:rFonts w:cs="Arial"/>
              </w:rPr>
              <w:t>dB</w:t>
            </w:r>
          </w:p>
        </w:tc>
        <w:tc>
          <w:tcPr>
            <w:tcW w:w="1843" w:type="dxa"/>
            <w:gridSpan w:val="2"/>
            <w:tcBorders>
              <w:top w:val="single" w:sz="6" w:space="0" w:color="auto"/>
              <w:left w:val="single" w:sz="4" w:space="0" w:color="auto"/>
              <w:bottom w:val="single" w:sz="6" w:space="0" w:color="auto"/>
              <w:right w:val="single" w:sz="6" w:space="0" w:color="auto"/>
            </w:tcBorders>
            <w:vAlign w:val="center"/>
            <w:hideMark/>
          </w:tcPr>
          <w:p w14:paraId="1341E714" w14:textId="77777777" w:rsidR="00930E00" w:rsidRDefault="00930E00" w:rsidP="00AD2F6B">
            <w:pPr>
              <w:pStyle w:val="TAH"/>
            </w:pPr>
            <w:r>
              <w:rPr>
                <w:rFonts w:cs="Arial"/>
              </w:rPr>
              <w:t xml:space="preserve">dBm / </w:t>
            </w:r>
            <w:r>
              <w:t>SCS</w:t>
            </w:r>
            <w:r>
              <w:rPr>
                <w:vertAlign w:val="subscript"/>
              </w:rPr>
              <w:t>SSB</w:t>
            </w:r>
            <w:r>
              <w:rPr>
                <w:vertAlign w:val="superscript"/>
              </w:rPr>
              <w:t xml:space="preserve"> Note 2</w:t>
            </w:r>
          </w:p>
        </w:tc>
        <w:tc>
          <w:tcPr>
            <w:tcW w:w="1473" w:type="dxa"/>
            <w:tcBorders>
              <w:top w:val="single" w:sz="6" w:space="0" w:color="auto"/>
              <w:left w:val="single" w:sz="6" w:space="0" w:color="auto"/>
              <w:bottom w:val="nil"/>
              <w:right w:val="single" w:sz="6" w:space="0" w:color="auto"/>
            </w:tcBorders>
            <w:vAlign w:val="center"/>
            <w:hideMark/>
          </w:tcPr>
          <w:p w14:paraId="624AA3BC" w14:textId="77777777" w:rsidR="00930E00" w:rsidRDefault="00930E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64784959" w14:textId="77777777" w:rsidR="00930E00" w:rsidRDefault="00930E00" w:rsidP="00AD2F6B">
            <w:pPr>
              <w:pStyle w:val="TAH"/>
            </w:pPr>
            <w:r>
              <w:t>dBm/BW</w:t>
            </w:r>
            <w:r>
              <w:rPr>
                <w:vertAlign w:val="subscript"/>
              </w:rPr>
              <w:t>Channel</w:t>
            </w:r>
          </w:p>
        </w:tc>
      </w:tr>
      <w:tr w:rsidR="00930E00" w14:paraId="4828713B"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0051D089"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5DB9D655" w14:textId="77777777" w:rsidR="00930E00" w:rsidRDefault="00930E00" w:rsidP="003852A9">
            <w:pPr>
              <w:pStyle w:val="TAH"/>
            </w:pPr>
          </w:p>
        </w:tc>
        <w:tc>
          <w:tcPr>
            <w:tcW w:w="875" w:type="dxa"/>
            <w:tcBorders>
              <w:top w:val="nil"/>
              <w:left w:val="single" w:sz="4" w:space="0" w:color="auto"/>
              <w:bottom w:val="single" w:sz="4" w:space="0" w:color="auto"/>
              <w:right w:val="single" w:sz="4" w:space="0" w:color="auto"/>
            </w:tcBorders>
            <w:vAlign w:val="center"/>
            <w:hideMark/>
          </w:tcPr>
          <w:p w14:paraId="3D606E6C" w14:textId="77777777" w:rsidR="00930E00" w:rsidRDefault="00930E00" w:rsidP="003852A9">
            <w:pPr>
              <w:pStyle w:val="TAH"/>
            </w:pPr>
          </w:p>
        </w:tc>
        <w:tc>
          <w:tcPr>
            <w:tcW w:w="875" w:type="dxa"/>
            <w:tcBorders>
              <w:top w:val="nil"/>
              <w:left w:val="single" w:sz="4" w:space="0" w:color="auto"/>
              <w:bottom w:val="single" w:sz="4" w:space="0" w:color="auto"/>
              <w:right w:val="single" w:sz="4" w:space="0" w:color="auto"/>
            </w:tcBorders>
            <w:vAlign w:val="center"/>
          </w:tcPr>
          <w:p w14:paraId="3778EA8B" w14:textId="77777777" w:rsidR="00930E00" w:rsidRDefault="00930E00" w:rsidP="003852A9">
            <w:pPr>
              <w:pStyle w:val="TAH"/>
            </w:pPr>
          </w:p>
        </w:tc>
        <w:tc>
          <w:tcPr>
            <w:tcW w:w="921" w:type="dxa"/>
            <w:tcBorders>
              <w:top w:val="single" w:sz="6" w:space="0" w:color="auto"/>
              <w:left w:val="single" w:sz="4" w:space="0" w:color="auto"/>
              <w:bottom w:val="single" w:sz="6" w:space="0" w:color="auto"/>
              <w:right w:val="single" w:sz="6" w:space="0" w:color="auto"/>
            </w:tcBorders>
            <w:vAlign w:val="center"/>
            <w:hideMark/>
          </w:tcPr>
          <w:p w14:paraId="34CAB103" w14:textId="77777777" w:rsidR="00930E00" w:rsidRDefault="00930E00" w:rsidP="00AD2F6B">
            <w:pPr>
              <w:pStyle w:val="TAH"/>
            </w:pPr>
            <w:r>
              <w:t>SCS</w:t>
            </w:r>
            <w:r>
              <w:rPr>
                <w:vertAlign w:val="subscript"/>
              </w:rPr>
              <w:t>SSB</w:t>
            </w:r>
            <w:r>
              <w:rPr>
                <w:rFonts w:cs="Arial"/>
              </w:rPr>
              <w:t xml:space="preserve"> = 120kHz</w:t>
            </w:r>
          </w:p>
        </w:tc>
        <w:tc>
          <w:tcPr>
            <w:tcW w:w="922" w:type="dxa"/>
            <w:tcBorders>
              <w:top w:val="single" w:sz="6" w:space="0" w:color="auto"/>
              <w:left w:val="single" w:sz="4" w:space="0" w:color="auto"/>
              <w:bottom w:val="single" w:sz="6" w:space="0" w:color="auto"/>
              <w:right w:val="single" w:sz="6" w:space="0" w:color="auto"/>
            </w:tcBorders>
            <w:vAlign w:val="center"/>
          </w:tcPr>
          <w:p w14:paraId="5EF583C0" w14:textId="77777777" w:rsidR="00930E00" w:rsidRDefault="00930E00" w:rsidP="00AD2F6B">
            <w:pPr>
              <w:pStyle w:val="TAH"/>
            </w:pPr>
            <w:r>
              <w:t>SCS</w:t>
            </w:r>
            <w:r>
              <w:rPr>
                <w:vertAlign w:val="subscript"/>
              </w:rPr>
              <w:t>SSB</w:t>
            </w:r>
            <w:r>
              <w:rPr>
                <w:rFonts w:cs="Arial"/>
              </w:rPr>
              <w:t xml:space="preserve"> = 240kHz</w:t>
            </w:r>
          </w:p>
        </w:tc>
        <w:tc>
          <w:tcPr>
            <w:tcW w:w="1473" w:type="dxa"/>
            <w:tcBorders>
              <w:top w:val="nil"/>
              <w:left w:val="single" w:sz="6" w:space="0" w:color="auto"/>
              <w:bottom w:val="single" w:sz="6" w:space="0" w:color="auto"/>
              <w:right w:val="single" w:sz="6" w:space="0" w:color="auto"/>
            </w:tcBorders>
            <w:vAlign w:val="center"/>
            <w:hideMark/>
          </w:tcPr>
          <w:p w14:paraId="0BCC376B" w14:textId="77777777" w:rsidR="00930E00" w:rsidRDefault="00930E00" w:rsidP="003852A9">
            <w:pPr>
              <w:pStyle w:val="TAH"/>
            </w:pPr>
          </w:p>
        </w:tc>
        <w:tc>
          <w:tcPr>
            <w:tcW w:w="1440" w:type="dxa"/>
            <w:tcBorders>
              <w:top w:val="nil"/>
              <w:left w:val="single" w:sz="6" w:space="0" w:color="auto"/>
              <w:bottom w:val="single" w:sz="6" w:space="0" w:color="auto"/>
              <w:right w:val="single" w:sz="4" w:space="0" w:color="auto"/>
            </w:tcBorders>
            <w:vAlign w:val="center"/>
            <w:hideMark/>
          </w:tcPr>
          <w:p w14:paraId="3476AF1B" w14:textId="77777777" w:rsidR="00930E00" w:rsidRDefault="00930E00" w:rsidP="003852A9">
            <w:pPr>
              <w:pStyle w:val="TAH"/>
            </w:pPr>
          </w:p>
        </w:tc>
      </w:tr>
      <w:tr w:rsidR="00930E00" w14:paraId="1BB4AE36" w14:textId="77777777" w:rsidTr="00AD2F6B">
        <w:trPr>
          <w:jc w:val="center"/>
        </w:trPr>
        <w:tc>
          <w:tcPr>
            <w:tcW w:w="1107" w:type="dxa"/>
            <w:tcBorders>
              <w:top w:val="single" w:sz="6" w:space="0" w:color="auto"/>
              <w:left w:val="single" w:sz="4" w:space="0" w:color="auto"/>
              <w:bottom w:val="nil"/>
              <w:right w:val="single" w:sz="6" w:space="0" w:color="auto"/>
            </w:tcBorders>
            <w:hideMark/>
          </w:tcPr>
          <w:p w14:paraId="528CB6C7" w14:textId="77777777" w:rsidR="00930E00" w:rsidRDefault="00930E00" w:rsidP="00AD2F6B">
            <w:pPr>
              <w:pStyle w:val="TAC"/>
            </w:pPr>
            <w:r>
              <w:rPr>
                <w:rFonts w:cs="Arial"/>
              </w:rPr>
              <w:t>±</w:t>
            </w:r>
            <w:r>
              <w:t>4.0</w:t>
            </w:r>
          </w:p>
        </w:tc>
        <w:tc>
          <w:tcPr>
            <w:tcW w:w="1107" w:type="dxa"/>
            <w:tcBorders>
              <w:top w:val="single" w:sz="6" w:space="0" w:color="auto"/>
              <w:left w:val="single" w:sz="6" w:space="0" w:color="auto"/>
              <w:bottom w:val="nil"/>
              <w:right w:val="single" w:sz="4" w:space="0" w:color="auto"/>
            </w:tcBorders>
            <w:hideMark/>
          </w:tcPr>
          <w:p w14:paraId="7B4CE208" w14:textId="77777777" w:rsidR="00930E00" w:rsidRDefault="00930E00" w:rsidP="00AD2F6B">
            <w:pPr>
              <w:pStyle w:val="TAC"/>
            </w:pPr>
            <w:r>
              <w:rPr>
                <w:rFonts w:cs="Arial"/>
              </w:rPr>
              <w:t>±</w:t>
            </w:r>
            <w:r>
              <w:t>5.0</w:t>
            </w:r>
          </w:p>
        </w:tc>
        <w:tc>
          <w:tcPr>
            <w:tcW w:w="875" w:type="dxa"/>
            <w:tcBorders>
              <w:top w:val="single" w:sz="4" w:space="0" w:color="auto"/>
              <w:left w:val="single" w:sz="4" w:space="0" w:color="auto"/>
              <w:bottom w:val="single" w:sz="4" w:space="0" w:color="auto"/>
              <w:right w:val="single" w:sz="4" w:space="0" w:color="auto"/>
            </w:tcBorders>
            <w:hideMark/>
          </w:tcPr>
          <w:p w14:paraId="4F8842C5" w14:textId="77777777" w:rsidR="00930E00" w:rsidRDefault="00930E00" w:rsidP="00AD2F6B">
            <w:pPr>
              <w:pStyle w:val="TAC"/>
            </w:pPr>
            <w:r>
              <w:rPr>
                <w:rFonts w:eastAsia="Yu Mincho" w:cs="Arial"/>
                <w:lang w:eastAsia="ja-JP"/>
              </w:rPr>
              <w:t>≥0</w:t>
            </w:r>
          </w:p>
        </w:tc>
        <w:tc>
          <w:tcPr>
            <w:tcW w:w="875" w:type="dxa"/>
            <w:tcBorders>
              <w:top w:val="single" w:sz="4" w:space="0" w:color="auto"/>
              <w:left w:val="single" w:sz="4" w:space="0" w:color="auto"/>
              <w:bottom w:val="single" w:sz="4" w:space="0" w:color="auto"/>
              <w:right w:val="single" w:sz="4" w:space="0" w:color="auto"/>
            </w:tcBorders>
          </w:tcPr>
          <w:p w14:paraId="39764EC4" w14:textId="77777777" w:rsidR="00930E00" w:rsidRDefault="00930E00" w:rsidP="00AD2F6B">
            <w:pPr>
              <w:pStyle w:val="TAC"/>
            </w:pPr>
            <w:r>
              <w:rPr>
                <w:rFonts w:eastAsia="Yu Mincho" w:cs="Arial"/>
                <w:lang w:eastAsia="ja-JP"/>
              </w:rPr>
              <w:t>≥0</w:t>
            </w:r>
          </w:p>
        </w:tc>
        <w:tc>
          <w:tcPr>
            <w:tcW w:w="1843" w:type="dxa"/>
            <w:gridSpan w:val="2"/>
            <w:tcBorders>
              <w:top w:val="single" w:sz="6" w:space="0" w:color="auto"/>
              <w:left w:val="single" w:sz="4" w:space="0" w:color="auto"/>
              <w:bottom w:val="single" w:sz="6" w:space="0" w:color="auto"/>
              <w:right w:val="single" w:sz="6" w:space="0" w:color="auto"/>
            </w:tcBorders>
            <w:hideMark/>
          </w:tcPr>
          <w:p w14:paraId="0AB88ED2" w14:textId="6C43CF2F" w:rsidR="00930E00" w:rsidRDefault="00930E00" w:rsidP="00AD2F6B">
            <w:pPr>
              <w:pStyle w:val="TAC"/>
              <w:rPr>
                <w:rFonts w:eastAsia="Yu Mincho"/>
                <w:lang w:eastAsia="ja-JP"/>
              </w:rPr>
            </w:pPr>
            <w:r w:rsidRPr="009C5807">
              <w:t xml:space="preserve">Same value as SSB_RP in Table </w:t>
            </w:r>
            <w:r>
              <w:t xml:space="preserve">in </w:t>
            </w:r>
            <w:r w:rsidRPr="009C5807">
              <w:t>B.2</w:t>
            </w:r>
            <w:r w:rsidR="005A3DF0">
              <w:t>.8.2</w:t>
            </w:r>
            <w:r w:rsidRPr="009C5807">
              <w:t>, according to UE Power class, operating band and angle of arrival</w:t>
            </w:r>
          </w:p>
        </w:tc>
        <w:tc>
          <w:tcPr>
            <w:tcW w:w="1473" w:type="dxa"/>
            <w:tcBorders>
              <w:top w:val="single" w:sz="6" w:space="0" w:color="auto"/>
              <w:left w:val="single" w:sz="6" w:space="0" w:color="auto"/>
              <w:bottom w:val="single" w:sz="6" w:space="0" w:color="auto"/>
              <w:right w:val="single" w:sz="6" w:space="0" w:color="auto"/>
            </w:tcBorders>
            <w:hideMark/>
          </w:tcPr>
          <w:p w14:paraId="654BCB0E" w14:textId="77777777" w:rsidR="00930E00" w:rsidRDefault="00930E00" w:rsidP="00AD2F6B">
            <w:pPr>
              <w:pStyle w:val="TAC"/>
            </w:pPr>
            <w:r>
              <w:rPr>
                <w:lang w:eastAsia="zh-CN"/>
              </w:rPr>
              <w:t>N/A</w:t>
            </w:r>
          </w:p>
        </w:tc>
        <w:tc>
          <w:tcPr>
            <w:tcW w:w="1440" w:type="dxa"/>
            <w:tcBorders>
              <w:top w:val="single" w:sz="6" w:space="0" w:color="auto"/>
              <w:left w:val="single" w:sz="6" w:space="0" w:color="auto"/>
              <w:bottom w:val="single" w:sz="6" w:space="0" w:color="auto"/>
              <w:right w:val="single" w:sz="4" w:space="0" w:color="auto"/>
            </w:tcBorders>
            <w:hideMark/>
          </w:tcPr>
          <w:p w14:paraId="27B9BDD7" w14:textId="77777777" w:rsidR="00930E00" w:rsidRDefault="00930E00" w:rsidP="00AD2F6B">
            <w:pPr>
              <w:pStyle w:val="TAC"/>
            </w:pPr>
            <w:r>
              <w:t>-50</w:t>
            </w:r>
          </w:p>
        </w:tc>
      </w:tr>
      <w:tr w:rsidR="00930E00" w14:paraId="168C277D" w14:textId="77777777" w:rsidTr="00AD2F6B">
        <w:trPr>
          <w:jc w:val="center"/>
        </w:trPr>
        <w:tc>
          <w:tcPr>
            <w:tcW w:w="8720" w:type="dxa"/>
            <w:gridSpan w:val="8"/>
            <w:tcBorders>
              <w:top w:val="single" w:sz="6" w:space="0" w:color="auto"/>
              <w:left w:val="single" w:sz="4" w:space="0" w:color="auto"/>
              <w:bottom w:val="single" w:sz="6" w:space="0" w:color="auto"/>
              <w:right w:val="single" w:sz="4" w:space="0" w:color="auto"/>
            </w:tcBorders>
            <w:vAlign w:val="center"/>
            <w:hideMark/>
          </w:tcPr>
          <w:p w14:paraId="7D8BFD91"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7E8BAD77" w14:textId="77777777" w:rsidR="00930E00" w:rsidRDefault="00930E00" w:rsidP="00AD2F6B">
            <w:pPr>
              <w:pStyle w:val="TAN"/>
            </w:pPr>
            <w:r>
              <w:t>NOTE 2:</w:t>
            </w:r>
            <w:r>
              <w:tab/>
              <w:t>Values based on Refsens and EIS spherical coverage as defined in clauses 7.3.2 and 7.3.4 of TS 38.101-2 [19]. Applicable side condition selected depending on angle of arrival.</w:t>
            </w:r>
          </w:p>
          <w:p w14:paraId="4F8AAFEE" w14:textId="77777777" w:rsidR="00930E00" w:rsidRDefault="00930E00" w:rsidP="00AD2F6B">
            <w:pPr>
              <w:pStyle w:val="TAN"/>
            </w:pPr>
            <w:r>
              <w:t>NOTE 3:</w:t>
            </w:r>
            <w:r>
              <w:tab/>
              <w:t>In the test cases, the SSB Ês/Iot, NZP-IMR Ês/Iot and related parameters may need to be adjusted to ensure Ês/Iot at UE baseband is above the value defined in this table.</w:t>
            </w:r>
          </w:p>
        </w:tc>
      </w:tr>
    </w:tbl>
    <w:p w14:paraId="65E309B6" w14:textId="77777777" w:rsidR="00930E00" w:rsidRPr="009C5807" w:rsidRDefault="00930E00" w:rsidP="00930E00">
      <w:pPr>
        <w:rPr>
          <w:rFonts w:eastAsia="?? ??"/>
        </w:rPr>
      </w:pPr>
    </w:p>
    <w:p w14:paraId="51F883E7" w14:textId="77777777" w:rsidR="00930E00" w:rsidRDefault="00930E00" w:rsidP="00930E00">
      <w:pPr>
        <w:pStyle w:val="TH"/>
      </w:pPr>
      <w:r>
        <w:t>Table 10.1.28.2.1-2: L1-SINR absolute accuracy for SSB based CMR and ZP-IMR in FR2</w:t>
      </w:r>
    </w:p>
    <w:tbl>
      <w:tblPr>
        <w:tblW w:w="8720" w:type="dxa"/>
        <w:jc w:val="center"/>
        <w:tblLook w:val="01E0" w:firstRow="1" w:lastRow="1" w:firstColumn="1" w:lastColumn="1" w:noHBand="0" w:noVBand="0"/>
      </w:tblPr>
      <w:tblGrid>
        <w:gridCol w:w="1107"/>
        <w:gridCol w:w="1107"/>
        <w:gridCol w:w="1042"/>
        <w:gridCol w:w="1275"/>
        <w:gridCol w:w="1276"/>
        <w:gridCol w:w="1473"/>
        <w:gridCol w:w="1440"/>
      </w:tblGrid>
      <w:tr w:rsidR="00930E00" w14:paraId="02F30022" w14:textId="77777777" w:rsidTr="00AD2F6B">
        <w:trPr>
          <w:jc w:val="center"/>
        </w:trPr>
        <w:tc>
          <w:tcPr>
            <w:tcW w:w="2214" w:type="dxa"/>
            <w:gridSpan w:val="2"/>
            <w:tcBorders>
              <w:top w:val="single" w:sz="6" w:space="0" w:color="auto"/>
              <w:left w:val="single" w:sz="4" w:space="0" w:color="auto"/>
              <w:bottom w:val="nil"/>
              <w:right w:val="single" w:sz="6" w:space="0" w:color="auto"/>
            </w:tcBorders>
            <w:vAlign w:val="center"/>
            <w:hideMark/>
          </w:tcPr>
          <w:p w14:paraId="45E90744" w14:textId="77777777" w:rsidR="00930E00" w:rsidRDefault="00930E00" w:rsidP="00AD2F6B">
            <w:pPr>
              <w:pStyle w:val="TAH"/>
            </w:pPr>
            <w:r>
              <w:t>Accuracy</w:t>
            </w:r>
          </w:p>
        </w:tc>
        <w:tc>
          <w:tcPr>
            <w:tcW w:w="6506" w:type="dxa"/>
            <w:gridSpan w:val="5"/>
            <w:tcBorders>
              <w:top w:val="single" w:sz="4" w:space="0" w:color="auto"/>
              <w:left w:val="single" w:sz="4" w:space="0" w:color="auto"/>
              <w:bottom w:val="nil"/>
              <w:right w:val="single" w:sz="4" w:space="0" w:color="auto"/>
            </w:tcBorders>
            <w:vAlign w:val="center"/>
            <w:hideMark/>
          </w:tcPr>
          <w:p w14:paraId="17C88715" w14:textId="77777777" w:rsidR="00930E00" w:rsidRDefault="00930E00" w:rsidP="00AD2F6B">
            <w:pPr>
              <w:pStyle w:val="TAH"/>
            </w:pPr>
            <w:r>
              <w:t>Conditions</w:t>
            </w:r>
          </w:p>
        </w:tc>
      </w:tr>
      <w:tr w:rsidR="00930E00" w14:paraId="088A2026" w14:textId="77777777" w:rsidTr="00AD2F6B">
        <w:trPr>
          <w:jc w:val="center"/>
        </w:trPr>
        <w:tc>
          <w:tcPr>
            <w:tcW w:w="1107" w:type="dxa"/>
            <w:tcBorders>
              <w:top w:val="single" w:sz="6" w:space="0" w:color="auto"/>
              <w:left w:val="single" w:sz="4" w:space="0" w:color="auto"/>
              <w:bottom w:val="nil"/>
              <w:right w:val="single" w:sz="6" w:space="0" w:color="auto"/>
            </w:tcBorders>
            <w:vAlign w:val="center"/>
            <w:hideMark/>
          </w:tcPr>
          <w:p w14:paraId="3F58C11D" w14:textId="77777777" w:rsidR="00930E00" w:rsidRDefault="00930E00" w:rsidP="00AD2F6B">
            <w:pPr>
              <w:pStyle w:val="TAH"/>
            </w:pPr>
            <w:r>
              <w:t>Normal condition</w:t>
            </w:r>
          </w:p>
        </w:tc>
        <w:tc>
          <w:tcPr>
            <w:tcW w:w="1107" w:type="dxa"/>
            <w:tcBorders>
              <w:top w:val="single" w:sz="6" w:space="0" w:color="auto"/>
              <w:left w:val="single" w:sz="6" w:space="0" w:color="auto"/>
              <w:bottom w:val="nil"/>
              <w:right w:val="single" w:sz="6" w:space="0" w:color="auto"/>
            </w:tcBorders>
            <w:vAlign w:val="center"/>
            <w:hideMark/>
          </w:tcPr>
          <w:p w14:paraId="4AF5482F" w14:textId="77777777" w:rsidR="00930E00" w:rsidRDefault="00930E00" w:rsidP="00AD2F6B">
            <w:pPr>
              <w:pStyle w:val="TAH"/>
            </w:pPr>
            <w:r>
              <w:t>Extreme condition</w:t>
            </w:r>
          </w:p>
        </w:tc>
        <w:tc>
          <w:tcPr>
            <w:tcW w:w="1042" w:type="dxa"/>
            <w:vMerge w:val="restart"/>
            <w:tcBorders>
              <w:top w:val="single" w:sz="4" w:space="0" w:color="auto"/>
              <w:left w:val="single" w:sz="4" w:space="0" w:color="auto"/>
              <w:right w:val="single" w:sz="4" w:space="0" w:color="auto"/>
            </w:tcBorders>
            <w:hideMark/>
          </w:tcPr>
          <w:p w14:paraId="3EDF0AF7" w14:textId="77777777" w:rsidR="00930E00" w:rsidRDefault="00930E00" w:rsidP="00AD2F6B">
            <w:pPr>
              <w:pStyle w:val="TAH"/>
              <w:rPr>
                <w:rFonts w:cs="Arial"/>
              </w:rPr>
            </w:pPr>
            <w:r>
              <w:rPr>
                <w:rFonts w:cs="Arial"/>
              </w:rPr>
              <w:t xml:space="preserve">SSB </w:t>
            </w:r>
          </w:p>
          <w:p w14:paraId="0DB4820C" w14:textId="77777777" w:rsidR="00930E00" w:rsidRDefault="00930E00" w:rsidP="00AD2F6B">
            <w:pPr>
              <w:pStyle w:val="TAH"/>
              <w:rPr>
                <w:rFonts w:cs="Arial"/>
              </w:rPr>
            </w:pPr>
            <w:r>
              <w:rPr>
                <w:rFonts w:cs="Arial"/>
              </w:rPr>
              <w:t>CMR</w:t>
            </w:r>
          </w:p>
          <w:p w14:paraId="60EDB171" w14:textId="5F6A140D" w:rsidR="00930E00" w:rsidRDefault="00930E00" w:rsidP="00AD2F6B">
            <w:pPr>
              <w:pStyle w:val="TAH"/>
            </w:pPr>
            <w:r>
              <w:rPr>
                <w:rFonts w:cs="Arial"/>
              </w:rPr>
              <w:t>Ês/Iot</w:t>
            </w:r>
            <w:r w:rsidR="005A3DF0">
              <w:rPr>
                <w:vertAlign w:val="superscript"/>
              </w:rPr>
              <w:t xml:space="preserve"> Note 3</w:t>
            </w:r>
          </w:p>
        </w:tc>
        <w:tc>
          <w:tcPr>
            <w:tcW w:w="5464" w:type="dxa"/>
            <w:gridSpan w:val="4"/>
            <w:tcBorders>
              <w:top w:val="single" w:sz="4" w:space="0" w:color="auto"/>
              <w:left w:val="single" w:sz="4" w:space="0" w:color="auto"/>
              <w:bottom w:val="single" w:sz="6" w:space="0" w:color="auto"/>
              <w:right w:val="single" w:sz="4" w:space="0" w:color="auto"/>
            </w:tcBorders>
            <w:vAlign w:val="center"/>
            <w:hideMark/>
          </w:tcPr>
          <w:p w14:paraId="19BD26E7" w14:textId="77777777" w:rsidR="00930E00" w:rsidRDefault="00930E00" w:rsidP="00AD2F6B">
            <w:pPr>
              <w:pStyle w:val="TAH"/>
            </w:pPr>
            <w:r>
              <w:t>Io</w:t>
            </w:r>
            <w:r>
              <w:rPr>
                <w:vertAlign w:val="superscript"/>
              </w:rPr>
              <w:t xml:space="preserve"> Note 1</w:t>
            </w:r>
            <w:r>
              <w:t xml:space="preserve"> range</w:t>
            </w:r>
          </w:p>
        </w:tc>
      </w:tr>
      <w:tr w:rsidR="00930E00" w14:paraId="551AAAA7"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35FFF612"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378FE715" w14:textId="77777777" w:rsidR="00930E00" w:rsidRDefault="00930E00" w:rsidP="003852A9">
            <w:pPr>
              <w:pStyle w:val="TAH"/>
            </w:pPr>
          </w:p>
        </w:tc>
        <w:tc>
          <w:tcPr>
            <w:tcW w:w="1042" w:type="dxa"/>
            <w:vMerge/>
            <w:tcBorders>
              <w:left w:val="single" w:sz="4" w:space="0" w:color="auto"/>
              <w:bottom w:val="single" w:sz="6" w:space="0" w:color="auto"/>
              <w:right w:val="single" w:sz="4" w:space="0" w:color="auto"/>
            </w:tcBorders>
            <w:vAlign w:val="center"/>
            <w:hideMark/>
          </w:tcPr>
          <w:p w14:paraId="26A0E29A" w14:textId="77777777" w:rsidR="00930E00" w:rsidRDefault="00930E00" w:rsidP="003852A9">
            <w:pPr>
              <w:pStyle w:val="TAH"/>
            </w:pPr>
          </w:p>
        </w:tc>
        <w:tc>
          <w:tcPr>
            <w:tcW w:w="4024" w:type="dxa"/>
            <w:gridSpan w:val="3"/>
            <w:tcBorders>
              <w:top w:val="single" w:sz="4" w:space="0" w:color="auto"/>
              <w:left w:val="single" w:sz="4" w:space="0" w:color="auto"/>
              <w:bottom w:val="single" w:sz="6" w:space="0" w:color="auto"/>
              <w:right w:val="single" w:sz="6" w:space="0" w:color="auto"/>
            </w:tcBorders>
            <w:vAlign w:val="center"/>
            <w:hideMark/>
          </w:tcPr>
          <w:p w14:paraId="0521FCD9" w14:textId="77777777" w:rsidR="00930E00" w:rsidRDefault="00930E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03EDCE94" w14:textId="77777777" w:rsidR="00930E00" w:rsidRDefault="00930E00" w:rsidP="00AD2F6B">
            <w:pPr>
              <w:pStyle w:val="TAH"/>
            </w:pPr>
            <w:r>
              <w:t>Maximum Io</w:t>
            </w:r>
          </w:p>
        </w:tc>
      </w:tr>
      <w:tr w:rsidR="00930E00" w14:paraId="6851040E" w14:textId="77777777" w:rsidTr="00AD2F6B">
        <w:trPr>
          <w:jc w:val="center"/>
        </w:trPr>
        <w:tc>
          <w:tcPr>
            <w:tcW w:w="1107" w:type="dxa"/>
            <w:tcBorders>
              <w:top w:val="single" w:sz="6" w:space="0" w:color="auto"/>
              <w:left w:val="single" w:sz="4" w:space="0" w:color="auto"/>
              <w:bottom w:val="nil"/>
              <w:right w:val="single" w:sz="6" w:space="0" w:color="auto"/>
            </w:tcBorders>
            <w:vAlign w:val="center"/>
            <w:hideMark/>
          </w:tcPr>
          <w:p w14:paraId="7B11ACEB" w14:textId="77777777" w:rsidR="00930E00" w:rsidRDefault="00930E00" w:rsidP="003852A9">
            <w:pPr>
              <w:pStyle w:val="TAH"/>
            </w:pPr>
            <w:r>
              <w:t>dB</w:t>
            </w:r>
          </w:p>
        </w:tc>
        <w:tc>
          <w:tcPr>
            <w:tcW w:w="1107" w:type="dxa"/>
            <w:tcBorders>
              <w:top w:val="single" w:sz="6" w:space="0" w:color="auto"/>
              <w:left w:val="single" w:sz="6" w:space="0" w:color="auto"/>
              <w:bottom w:val="nil"/>
              <w:right w:val="single" w:sz="6" w:space="0" w:color="auto"/>
            </w:tcBorders>
            <w:vAlign w:val="center"/>
            <w:hideMark/>
          </w:tcPr>
          <w:p w14:paraId="7023B4EB" w14:textId="77777777" w:rsidR="00930E00" w:rsidRDefault="00930E00" w:rsidP="003852A9">
            <w:pPr>
              <w:pStyle w:val="TAH"/>
            </w:pPr>
            <w:r>
              <w:t>dB</w:t>
            </w:r>
          </w:p>
        </w:tc>
        <w:tc>
          <w:tcPr>
            <w:tcW w:w="1042" w:type="dxa"/>
            <w:tcBorders>
              <w:top w:val="single" w:sz="6" w:space="0" w:color="auto"/>
              <w:left w:val="single" w:sz="4" w:space="0" w:color="auto"/>
              <w:bottom w:val="nil"/>
              <w:right w:val="single" w:sz="4" w:space="0" w:color="auto"/>
            </w:tcBorders>
            <w:vAlign w:val="center"/>
            <w:hideMark/>
          </w:tcPr>
          <w:p w14:paraId="24E09DD3" w14:textId="77777777" w:rsidR="00930E00" w:rsidRDefault="00930E00" w:rsidP="003852A9">
            <w:pPr>
              <w:pStyle w:val="TAH"/>
              <w:rPr>
                <w:rFonts w:cs="Arial"/>
              </w:rPr>
            </w:pPr>
            <w:r>
              <w:t>dB</w:t>
            </w:r>
          </w:p>
        </w:tc>
        <w:tc>
          <w:tcPr>
            <w:tcW w:w="2551" w:type="dxa"/>
            <w:gridSpan w:val="2"/>
            <w:tcBorders>
              <w:top w:val="single" w:sz="6" w:space="0" w:color="auto"/>
              <w:left w:val="single" w:sz="4" w:space="0" w:color="auto"/>
              <w:bottom w:val="single" w:sz="6" w:space="0" w:color="auto"/>
              <w:right w:val="single" w:sz="6" w:space="0" w:color="auto"/>
            </w:tcBorders>
            <w:vAlign w:val="center"/>
            <w:hideMark/>
          </w:tcPr>
          <w:p w14:paraId="58136445" w14:textId="77777777" w:rsidR="00930E00" w:rsidRDefault="00930E00" w:rsidP="00AD2F6B">
            <w:pPr>
              <w:pStyle w:val="TAH"/>
            </w:pPr>
            <w:r>
              <w:rPr>
                <w:rFonts w:cs="Arial"/>
              </w:rPr>
              <w:t xml:space="preserve">dBm / </w:t>
            </w:r>
            <w:r>
              <w:t>SCS</w:t>
            </w:r>
            <w:r>
              <w:rPr>
                <w:vertAlign w:val="subscript"/>
              </w:rPr>
              <w:t>SSB</w:t>
            </w:r>
            <w:r>
              <w:rPr>
                <w:vertAlign w:val="superscript"/>
              </w:rPr>
              <w:t xml:space="preserve"> Note 2</w:t>
            </w:r>
          </w:p>
        </w:tc>
        <w:tc>
          <w:tcPr>
            <w:tcW w:w="1473" w:type="dxa"/>
            <w:tcBorders>
              <w:top w:val="single" w:sz="6" w:space="0" w:color="auto"/>
              <w:left w:val="single" w:sz="6" w:space="0" w:color="auto"/>
              <w:bottom w:val="nil"/>
              <w:right w:val="single" w:sz="6" w:space="0" w:color="auto"/>
            </w:tcBorders>
            <w:vAlign w:val="center"/>
            <w:hideMark/>
          </w:tcPr>
          <w:p w14:paraId="7AFA82E1" w14:textId="77777777" w:rsidR="00930E00" w:rsidRDefault="00930E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777BED71" w14:textId="77777777" w:rsidR="00930E00" w:rsidRDefault="00930E00" w:rsidP="00AD2F6B">
            <w:pPr>
              <w:pStyle w:val="TAH"/>
            </w:pPr>
            <w:r>
              <w:t>dBm/BW</w:t>
            </w:r>
            <w:r>
              <w:rPr>
                <w:vertAlign w:val="subscript"/>
              </w:rPr>
              <w:t>Channel</w:t>
            </w:r>
          </w:p>
        </w:tc>
      </w:tr>
      <w:tr w:rsidR="00930E00" w14:paraId="1C4E358D"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07157E9B"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5EA6BAE7" w14:textId="77777777" w:rsidR="00930E00" w:rsidRDefault="00930E00" w:rsidP="003852A9">
            <w:pPr>
              <w:pStyle w:val="TAH"/>
            </w:pPr>
          </w:p>
        </w:tc>
        <w:tc>
          <w:tcPr>
            <w:tcW w:w="1042" w:type="dxa"/>
            <w:tcBorders>
              <w:top w:val="nil"/>
              <w:left w:val="single" w:sz="4" w:space="0" w:color="auto"/>
              <w:bottom w:val="single" w:sz="4" w:space="0" w:color="auto"/>
              <w:right w:val="single" w:sz="4" w:space="0" w:color="auto"/>
            </w:tcBorders>
            <w:vAlign w:val="center"/>
            <w:hideMark/>
          </w:tcPr>
          <w:p w14:paraId="3D5D0B68" w14:textId="77777777" w:rsidR="00930E00" w:rsidRDefault="00930E00" w:rsidP="003852A9">
            <w:pPr>
              <w:pStyle w:val="TAH"/>
            </w:pPr>
          </w:p>
        </w:tc>
        <w:tc>
          <w:tcPr>
            <w:tcW w:w="1275" w:type="dxa"/>
            <w:tcBorders>
              <w:top w:val="single" w:sz="6" w:space="0" w:color="auto"/>
              <w:left w:val="single" w:sz="4" w:space="0" w:color="auto"/>
              <w:bottom w:val="single" w:sz="6" w:space="0" w:color="auto"/>
              <w:right w:val="single" w:sz="6" w:space="0" w:color="auto"/>
            </w:tcBorders>
            <w:vAlign w:val="center"/>
            <w:hideMark/>
          </w:tcPr>
          <w:p w14:paraId="358B664E" w14:textId="77777777" w:rsidR="00930E00" w:rsidRDefault="00930E00" w:rsidP="00AD2F6B">
            <w:pPr>
              <w:pStyle w:val="TAH"/>
            </w:pPr>
            <w:r>
              <w:t>SCS</w:t>
            </w:r>
            <w:r>
              <w:rPr>
                <w:vertAlign w:val="subscript"/>
              </w:rPr>
              <w:t>SSB</w:t>
            </w:r>
            <w:r>
              <w:rPr>
                <w:rFonts w:cs="Arial"/>
              </w:rPr>
              <w:t xml:space="preserve"> = 120kHz</w:t>
            </w:r>
          </w:p>
        </w:tc>
        <w:tc>
          <w:tcPr>
            <w:tcW w:w="1276" w:type="dxa"/>
            <w:tcBorders>
              <w:top w:val="single" w:sz="6" w:space="0" w:color="auto"/>
              <w:left w:val="single" w:sz="4" w:space="0" w:color="auto"/>
              <w:bottom w:val="single" w:sz="6" w:space="0" w:color="auto"/>
              <w:right w:val="single" w:sz="6" w:space="0" w:color="auto"/>
            </w:tcBorders>
            <w:vAlign w:val="center"/>
          </w:tcPr>
          <w:p w14:paraId="3FE089CA" w14:textId="77777777" w:rsidR="00930E00" w:rsidRDefault="00930E00" w:rsidP="00AD2F6B">
            <w:pPr>
              <w:pStyle w:val="TAH"/>
            </w:pPr>
            <w:r>
              <w:t>SCS</w:t>
            </w:r>
            <w:r>
              <w:rPr>
                <w:vertAlign w:val="subscript"/>
              </w:rPr>
              <w:t>SSB</w:t>
            </w:r>
            <w:r>
              <w:rPr>
                <w:rFonts w:cs="Arial"/>
              </w:rPr>
              <w:t xml:space="preserve"> = 240kHz</w:t>
            </w:r>
          </w:p>
        </w:tc>
        <w:tc>
          <w:tcPr>
            <w:tcW w:w="1473" w:type="dxa"/>
            <w:tcBorders>
              <w:top w:val="nil"/>
              <w:left w:val="single" w:sz="6" w:space="0" w:color="auto"/>
              <w:bottom w:val="single" w:sz="6" w:space="0" w:color="auto"/>
              <w:right w:val="single" w:sz="6" w:space="0" w:color="auto"/>
            </w:tcBorders>
            <w:vAlign w:val="center"/>
            <w:hideMark/>
          </w:tcPr>
          <w:p w14:paraId="2412E0DA" w14:textId="77777777" w:rsidR="00930E00" w:rsidRDefault="00930E00" w:rsidP="003852A9">
            <w:pPr>
              <w:pStyle w:val="TAH"/>
            </w:pPr>
          </w:p>
        </w:tc>
        <w:tc>
          <w:tcPr>
            <w:tcW w:w="1440" w:type="dxa"/>
            <w:tcBorders>
              <w:top w:val="nil"/>
              <w:left w:val="single" w:sz="6" w:space="0" w:color="auto"/>
              <w:bottom w:val="single" w:sz="6" w:space="0" w:color="auto"/>
              <w:right w:val="single" w:sz="4" w:space="0" w:color="auto"/>
            </w:tcBorders>
            <w:vAlign w:val="center"/>
            <w:hideMark/>
          </w:tcPr>
          <w:p w14:paraId="0348D634" w14:textId="77777777" w:rsidR="00930E00" w:rsidRDefault="00930E00" w:rsidP="003852A9">
            <w:pPr>
              <w:pStyle w:val="TAH"/>
            </w:pPr>
          </w:p>
        </w:tc>
      </w:tr>
      <w:tr w:rsidR="00930E00" w14:paraId="3BF90EF7" w14:textId="77777777" w:rsidTr="00AD2F6B">
        <w:trPr>
          <w:jc w:val="center"/>
        </w:trPr>
        <w:tc>
          <w:tcPr>
            <w:tcW w:w="1107" w:type="dxa"/>
            <w:tcBorders>
              <w:top w:val="single" w:sz="6" w:space="0" w:color="auto"/>
              <w:left w:val="single" w:sz="4" w:space="0" w:color="auto"/>
              <w:bottom w:val="nil"/>
              <w:right w:val="single" w:sz="6" w:space="0" w:color="auto"/>
            </w:tcBorders>
            <w:hideMark/>
          </w:tcPr>
          <w:p w14:paraId="7F691F96" w14:textId="77777777" w:rsidR="00930E00" w:rsidRDefault="00930E00" w:rsidP="00AD2F6B">
            <w:pPr>
              <w:pStyle w:val="TAC"/>
            </w:pPr>
            <w:r>
              <w:rPr>
                <w:rFonts w:cs="Arial"/>
              </w:rPr>
              <w:t>±</w:t>
            </w:r>
            <w:r>
              <w:t>4.5</w:t>
            </w:r>
          </w:p>
        </w:tc>
        <w:tc>
          <w:tcPr>
            <w:tcW w:w="1107" w:type="dxa"/>
            <w:tcBorders>
              <w:top w:val="single" w:sz="6" w:space="0" w:color="auto"/>
              <w:left w:val="single" w:sz="6" w:space="0" w:color="auto"/>
              <w:bottom w:val="nil"/>
              <w:right w:val="single" w:sz="4" w:space="0" w:color="auto"/>
            </w:tcBorders>
            <w:hideMark/>
          </w:tcPr>
          <w:p w14:paraId="7EEDCBA1" w14:textId="77777777" w:rsidR="00930E00" w:rsidRDefault="00930E00" w:rsidP="00AD2F6B">
            <w:pPr>
              <w:pStyle w:val="TAC"/>
            </w:pPr>
            <w:r>
              <w:rPr>
                <w:rFonts w:cs="Arial"/>
              </w:rPr>
              <w:t>±</w:t>
            </w:r>
            <w:r>
              <w:t>5.5</w:t>
            </w:r>
          </w:p>
        </w:tc>
        <w:tc>
          <w:tcPr>
            <w:tcW w:w="1042" w:type="dxa"/>
            <w:tcBorders>
              <w:top w:val="single" w:sz="4" w:space="0" w:color="auto"/>
              <w:left w:val="single" w:sz="4" w:space="0" w:color="auto"/>
              <w:bottom w:val="single" w:sz="4" w:space="0" w:color="auto"/>
              <w:right w:val="single" w:sz="4" w:space="0" w:color="auto"/>
            </w:tcBorders>
            <w:hideMark/>
          </w:tcPr>
          <w:p w14:paraId="03A9CF5C" w14:textId="77777777" w:rsidR="00930E00" w:rsidRDefault="00930E00" w:rsidP="00AD2F6B">
            <w:pPr>
              <w:pStyle w:val="TAC"/>
            </w:pPr>
            <w:r>
              <w:rPr>
                <w:rFonts w:eastAsia="Yu Mincho" w:cs="Arial"/>
                <w:lang w:eastAsia="ja-JP"/>
              </w:rPr>
              <w:t>≥-3</w:t>
            </w:r>
          </w:p>
        </w:tc>
        <w:tc>
          <w:tcPr>
            <w:tcW w:w="2551" w:type="dxa"/>
            <w:gridSpan w:val="2"/>
            <w:tcBorders>
              <w:top w:val="single" w:sz="6" w:space="0" w:color="auto"/>
              <w:left w:val="single" w:sz="4" w:space="0" w:color="auto"/>
              <w:bottom w:val="single" w:sz="6" w:space="0" w:color="auto"/>
              <w:right w:val="single" w:sz="6" w:space="0" w:color="auto"/>
            </w:tcBorders>
            <w:hideMark/>
          </w:tcPr>
          <w:p w14:paraId="2484B73E" w14:textId="5EC1580F" w:rsidR="00930E00" w:rsidRDefault="00930E00" w:rsidP="00AD2F6B">
            <w:pPr>
              <w:pStyle w:val="TAC"/>
              <w:rPr>
                <w:rFonts w:eastAsia="Yu Mincho"/>
                <w:lang w:eastAsia="ja-JP"/>
              </w:rPr>
            </w:pPr>
            <w:r w:rsidRPr="009C5807">
              <w:t xml:space="preserve">Same value as SSB_RP in Table </w:t>
            </w:r>
            <w:r>
              <w:t xml:space="preserve">in </w:t>
            </w:r>
            <w:r w:rsidRPr="009C5807">
              <w:t>B.2</w:t>
            </w:r>
            <w:r w:rsidR="005A3DF0">
              <w:t>.8.2</w:t>
            </w:r>
            <w:r w:rsidRPr="009C5807">
              <w:t>, according to UE Power class, operating band and angle of arrival</w:t>
            </w:r>
          </w:p>
        </w:tc>
        <w:tc>
          <w:tcPr>
            <w:tcW w:w="1473" w:type="dxa"/>
            <w:tcBorders>
              <w:top w:val="single" w:sz="6" w:space="0" w:color="auto"/>
              <w:left w:val="single" w:sz="6" w:space="0" w:color="auto"/>
              <w:bottom w:val="single" w:sz="6" w:space="0" w:color="auto"/>
              <w:right w:val="single" w:sz="6" w:space="0" w:color="auto"/>
            </w:tcBorders>
            <w:hideMark/>
          </w:tcPr>
          <w:p w14:paraId="12768F8E" w14:textId="77777777" w:rsidR="00930E00" w:rsidRDefault="00930E00" w:rsidP="00AD2F6B">
            <w:pPr>
              <w:pStyle w:val="TAC"/>
            </w:pPr>
            <w:r>
              <w:rPr>
                <w:lang w:eastAsia="zh-CN"/>
              </w:rPr>
              <w:t>N/A</w:t>
            </w:r>
          </w:p>
        </w:tc>
        <w:tc>
          <w:tcPr>
            <w:tcW w:w="1440" w:type="dxa"/>
            <w:tcBorders>
              <w:top w:val="single" w:sz="6" w:space="0" w:color="auto"/>
              <w:left w:val="single" w:sz="6" w:space="0" w:color="auto"/>
              <w:bottom w:val="single" w:sz="6" w:space="0" w:color="auto"/>
              <w:right w:val="single" w:sz="4" w:space="0" w:color="auto"/>
            </w:tcBorders>
            <w:hideMark/>
          </w:tcPr>
          <w:p w14:paraId="696DFFBE" w14:textId="77777777" w:rsidR="00930E00" w:rsidRDefault="00930E00" w:rsidP="00AD2F6B">
            <w:pPr>
              <w:pStyle w:val="TAC"/>
            </w:pPr>
            <w:r>
              <w:t>-50</w:t>
            </w:r>
          </w:p>
        </w:tc>
      </w:tr>
      <w:tr w:rsidR="00930E00" w14:paraId="501AC7BD" w14:textId="77777777" w:rsidTr="00AD2F6B">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5CBFE5A2"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48D951C4" w14:textId="77777777" w:rsidR="00930E00" w:rsidRDefault="00930E00" w:rsidP="00AD2F6B">
            <w:pPr>
              <w:pStyle w:val="TAN"/>
            </w:pPr>
            <w:r>
              <w:t>NOTE 2:</w:t>
            </w:r>
            <w:r>
              <w:tab/>
              <w:t>Values based on Refsens and EIS spherical coverage as defined in clauses 7.3.2 and 7.3.4 of TS 38.101-2 [19]. Applicable side condition selected depending on angle of arrival.</w:t>
            </w:r>
          </w:p>
          <w:p w14:paraId="5422A4D8" w14:textId="77777777" w:rsidR="00930E00" w:rsidRDefault="00930E00" w:rsidP="00AD2F6B">
            <w:pPr>
              <w:pStyle w:val="TAN"/>
            </w:pPr>
            <w:r>
              <w:t>NOTE 3:</w:t>
            </w:r>
            <w:r>
              <w:tab/>
              <w:t>In the test cases, the SSB CMR Ês/Iot and related parameters may need to be adjusted to ensure Ês/Iot at UE baseband is above the value defined in this table.</w:t>
            </w:r>
          </w:p>
        </w:tc>
      </w:tr>
    </w:tbl>
    <w:p w14:paraId="2E6D6C43" w14:textId="77777777" w:rsidR="00930E00" w:rsidRPr="00F37389" w:rsidRDefault="00930E00" w:rsidP="00481679">
      <w:pPr>
        <w:rPr>
          <w:rFonts w:eastAsia="?? ??"/>
        </w:rPr>
      </w:pPr>
    </w:p>
    <w:p w14:paraId="36DF0E92" w14:textId="77777777" w:rsidR="00930E00" w:rsidRDefault="00930E00" w:rsidP="00930E00">
      <w:pPr>
        <w:keepNext/>
        <w:keepLines/>
        <w:spacing w:before="120"/>
        <w:ind w:left="1701" w:hanging="1701"/>
        <w:outlineLvl w:val="4"/>
      </w:pPr>
      <w:r>
        <w:rPr>
          <w:rFonts w:ascii="Arial" w:hAnsi="Arial"/>
          <w:sz w:val="22"/>
        </w:rPr>
        <w:t>10.1.28.2.2</w:t>
      </w:r>
      <w:r>
        <w:rPr>
          <w:rFonts w:ascii="Arial" w:hAnsi="Arial"/>
          <w:sz w:val="22"/>
        </w:rPr>
        <w:tab/>
        <w:t>Relative Accuracy</w:t>
      </w:r>
    </w:p>
    <w:p w14:paraId="263ED4C7" w14:textId="32631ACB" w:rsidR="00930E00" w:rsidRPr="00F37389" w:rsidRDefault="00930E00" w:rsidP="00930E00">
      <w:pPr>
        <w:rPr>
          <w:rFonts w:eastAsia="?? ??"/>
          <w:sz w:val="24"/>
          <w:szCs w:val="24"/>
        </w:rPr>
      </w:pPr>
      <w:r>
        <w:rPr>
          <w:rFonts w:cs="v4.2.0"/>
        </w:rPr>
        <w:t xml:space="preserve">The relative accuracy of </w:t>
      </w:r>
      <w:r>
        <w:rPr>
          <w:rFonts w:cs="v4.2.0"/>
          <w:lang w:eastAsia="zh-CN"/>
        </w:rPr>
        <w:t>SSB based L1-SINR</w:t>
      </w:r>
      <w:r>
        <w:rPr>
          <w:rFonts w:cs="v4.2.0"/>
        </w:rPr>
        <w:t xml:space="preserve"> is defined as the </w:t>
      </w:r>
      <w:r>
        <w:rPr>
          <w:rFonts w:cs="v4.2.0"/>
          <w:lang w:eastAsia="zh-CN"/>
        </w:rPr>
        <w:t>L1-SINR</w:t>
      </w:r>
      <w:r>
        <w:rPr>
          <w:rFonts w:cs="v4.2.0"/>
        </w:rPr>
        <w:t xml:space="preserve"> measured from one SSB configured as CMR and one IMR configured as IMR compared to the </w:t>
      </w:r>
      <w:r>
        <w:rPr>
          <w:lang w:val="en-US"/>
        </w:rPr>
        <w:t>largest measured value of L1-SINR among all SSB</w:t>
      </w:r>
      <w:r w:rsidR="009C6F72">
        <w:rPr>
          <w:lang w:val="en-US"/>
        </w:rPr>
        <w:t xml:space="preserve"> based CMRs</w:t>
      </w:r>
      <w:r>
        <w:rPr>
          <w:lang w:val="en-US"/>
        </w:rPr>
        <w:t xml:space="preserve"> and IMRs of the serving cell</w:t>
      </w:r>
      <w:r>
        <w:rPr>
          <w:rFonts w:cs="v4.2.0"/>
        </w:rPr>
        <w:t>.</w:t>
      </w:r>
    </w:p>
    <w:p w14:paraId="537592AF" w14:textId="77777777" w:rsidR="00930E00" w:rsidRDefault="00930E00" w:rsidP="00930E00">
      <w:pPr>
        <w:rPr>
          <w:rFonts w:cs="v4.2.0"/>
        </w:rPr>
      </w:pPr>
      <w:r>
        <w:rPr>
          <w:rFonts w:cs="v4.2.0"/>
        </w:rPr>
        <w:t>The accuracy requirements are defined in Table 10.1.28.2.2-1 for SSB based CMR and NZP-IMR and in Table 10.1.28</w:t>
      </w:r>
      <w:r w:rsidRPr="00313499">
        <w:rPr>
          <w:rFonts w:cs="v4.2.0"/>
        </w:rPr>
        <w:t>.2.</w:t>
      </w:r>
      <w:r>
        <w:rPr>
          <w:rFonts w:cs="v4.2.0"/>
        </w:rPr>
        <w:t>2</w:t>
      </w:r>
      <w:r w:rsidRPr="00313499">
        <w:rPr>
          <w:rFonts w:cs="v4.2.0"/>
        </w:rPr>
        <w:t>-</w:t>
      </w:r>
      <w:r>
        <w:rPr>
          <w:rFonts w:cs="v4.2.0"/>
        </w:rPr>
        <w:t>2 for SSB based CMR and ZP-IMR.</w:t>
      </w:r>
    </w:p>
    <w:p w14:paraId="60892CD9" w14:textId="77777777" w:rsidR="00930E00" w:rsidRDefault="00930E00" w:rsidP="00930E00">
      <w:pPr>
        <w:rPr>
          <w:rFonts w:cs="v4.2.0"/>
        </w:rPr>
      </w:pPr>
      <w:r>
        <w:rPr>
          <w:rFonts w:cs="v4.2.0"/>
        </w:rPr>
        <w:t xml:space="preserve">The accuracy requirements in Tables </w:t>
      </w:r>
      <w:r>
        <w:rPr>
          <w:rFonts w:cs="v4.2.0"/>
          <w:lang w:eastAsia="zh-CN"/>
        </w:rPr>
        <w:t>10.1.28.2.2</w:t>
      </w:r>
      <w:r>
        <w:rPr>
          <w:rFonts w:cs="v4.2.0"/>
        </w:rPr>
        <w:t>-1 and 10.1.28</w:t>
      </w:r>
      <w:r w:rsidRPr="00313499">
        <w:rPr>
          <w:rFonts w:cs="v4.2.0"/>
        </w:rPr>
        <w:t>.2.</w:t>
      </w:r>
      <w:r>
        <w:rPr>
          <w:rFonts w:cs="v4.2.0"/>
        </w:rPr>
        <w:t>2</w:t>
      </w:r>
      <w:r w:rsidRPr="00313499">
        <w:rPr>
          <w:rFonts w:cs="v4.2.0"/>
        </w:rPr>
        <w:t>-</w:t>
      </w:r>
      <w:r>
        <w:rPr>
          <w:rFonts w:cs="v4.2.0"/>
        </w:rPr>
        <w:t>2 are valid under the following conditions:</w:t>
      </w:r>
    </w:p>
    <w:p w14:paraId="098A628B" w14:textId="77777777" w:rsidR="00930E00" w:rsidRDefault="00930E00" w:rsidP="00930E00">
      <w:pPr>
        <w:pStyle w:val="B10"/>
      </w:pPr>
      <w:r>
        <w:t>-</w:t>
      </w:r>
      <w:r>
        <w:tab/>
        <w:t>Conditions defined in clause 7.3 of TS 38.101-2 [19] for reference sensitivity are fulfilled.</w:t>
      </w:r>
    </w:p>
    <w:p w14:paraId="1CF31C94" w14:textId="5CC4E6D7" w:rsidR="00930E00" w:rsidRDefault="00930E00" w:rsidP="00930E00">
      <w:pPr>
        <w:pStyle w:val="B10"/>
      </w:pPr>
      <w:r w:rsidRPr="009C5807">
        <w:t>-</w:t>
      </w:r>
      <w:r w:rsidRPr="009C5807">
        <w:tab/>
        <w:t>Conditions for L1-</w:t>
      </w:r>
      <w:r>
        <w:t>SINR</w:t>
      </w:r>
      <w:r w:rsidRPr="009C5807">
        <w:t xml:space="preserve"> measurements are fulfilled according to Annex B.2</w:t>
      </w:r>
      <w:r w:rsidR="005A3DF0">
        <w:t>.8.2</w:t>
      </w:r>
      <w:r w:rsidRPr="009C5807">
        <w:t xml:space="preserve"> for a corresponding Band </w:t>
      </w:r>
      <w:r w:rsidRPr="009C5807">
        <w:rPr>
          <w:rFonts w:eastAsia="PMingLiU"/>
        </w:rPr>
        <w:t>for each relevant SSB</w:t>
      </w:r>
      <w:r>
        <w:rPr>
          <w:rFonts w:eastAsia="PMingLiU"/>
        </w:rPr>
        <w:t xml:space="preserve"> based CMR and IMR</w:t>
      </w:r>
      <w:r w:rsidRPr="009C5807">
        <w:t>.</w:t>
      </w:r>
    </w:p>
    <w:p w14:paraId="359C2871" w14:textId="77777777" w:rsidR="00930E00" w:rsidRDefault="00930E00" w:rsidP="00930E00">
      <w:pPr>
        <w:pStyle w:val="B10"/>
        <w:rPr>
          <w:lang w:eastAsia="zh-CN"/>
        </w:rPr>
      </w:pPr>
      <w:r>
        <w:rPr>
          <w:lang w:eastAsia="zh-CN"/>
        </w:rPr>
        <w:t>-</w:t>
      </w:r>
      <w:r>
        <w:rPr>
          <w:lang w:eastAsia="zh-CN"/>
        </w:rPr>
        <w:tab/>
        <w:t>The bandwidth of NZP-IMR and ZP-IMR is 48 PRBs and the density is 3.</w:t>
      </w:r>
    </w:p>
    <w:p w14:paraId="42C84640" w14:textId="77777777" w:rsidR="00930E00" w:rsidRDefault="00930E00" w:rsidP="00930E00">
      <w:pPr>
        <w:pStyle w:val="B10"/>
      </w:pPr>
      <w:r>
        <w:t>-</w:t>
      </w:r>
      <w:r>
        <w:tab/>
        <w:t xml:space="preserve">The measured signals are in the directions covered by the percentile EIS spherical coverage of the UE, defined in </w:t>
      </w:r>
      <w:r>
        <w:rPr>
          <w:rFonts w:cs="Arial"/>
        </w:rPr>
        <w:t>clause 7.3.4 of TS 38.101-2 [19]</w:t>
      </w:r>
      <w:r>
        <w:t>.</w:t>
      </w:r>
    </w:p>
    <w:p w14:paraId="183BDEDE" w14:textId="02E1CC49" w:rsidR="00930E00" w:rsidRDefault="00930E00" w:rsidP="00930E00">
      <w:pPr>
        <w:pStyle w:val="B10"/>
        <w:rPr>
          <w:lang w:eastAsia="zh-CN"/>
        </w:rPr>
      </w:pPr>
      <w:r>
        <w:rPr>
          <w:lang w:eastAsia="zh-CN"/>
        </w:rPr>
        <w:t>-</w:t>
      </w:r>
      <w:r>
        <w:rPr>
          <w:lang w:eastAsia="zh-CN"/>
        </w:rPr>
        <w:tab/>
        <w:t>AWGN</w:t>
      </w:r>
      <w:r w:rsidR="005A3DF0" w:rsidRPr="00FB249D">
        <w:t xml:space="preserve"> </w:t>
      </w:r>
      <w:r w:rsidR="005A3DF0" w:rsidRPr="00B910B8">
        <w:t>radio propagation conditions</w:t>
      </w:r>
      <w:r>
        <w:rPr>
          <w:lang w:eastAsia="zh-CN"/>
        </w:rPr>
        <w:t>.</w:t>
      </w:r>
    </w:p>
    <w:p w14:paraId="4BE1A76A" w14:textId="77777777" w:rsidR="00930E00" w:rsidRDefault="00930E00" w:rsidP="00930E00">
      <w:pPr>
        <w:pStyle w:val="B10"/>
        <w:rPr>
          <w:lang w:eastAsia="zh-CN"/>
        </w:rPr>
      </w:pPr>
      <w:r>
        <w:rPr>
          <w:lang w:eastAsia="zh-CN"/>
        </w:rPr>
        <w:t>-</w:t>
      </w:r>
      <w:r>
        <w:rPr>
          <w:lang w:eastAsia="zh-CN"/>
        </w:rPr>
        <w:tab/>
        <w:t>SSB based CMR and IMR in the test come from the same direction.</w:t>
      </w:r>
    </w:p>
    <w:p w14:paraId="7FB29E70" w14:textId="77777777" w:rsidR="00930E00" w:rsidRDefault="00930E00" w:rsidP="00930E00">
      <w:pPr>
        <w:rPr>
          <w:rFonts w:eastAsia="PMingLiU"/>
          <w:lang w:eastAsia="zh-CN"/>
        </w:rPr>
      </w:pPr>
      <w:r>
        <w:rPr>
          <w:rFonts w:eastAsia="PMingLiU"/>
          <w:lang w:eastAsia="zh-CN"/>
        </w:rPr>
        <w:t>The performance with larger bandwidth of NZP-IMR and ZP-IMR is equal to or better than the accuracy requirements in Tables 10.1.28.2.2-1 and 10.1.28.2.2-2.</w:t>
      </w:r>
    </w:p>
    <w:p w14:paraId="02752B5F" w14:textId="77777777" w:rsidR="00930E00" w:rsidRPr="007C68C7" w:rsidRDefault="00930E00" w:rsidP="00930E00">
      <w:pPr>
        <w:pStyle w:val="TH"/>
      </w:pPr>
      <w:r>
        <w:t>Table 10.1.28.2.2-1: L1-SINR relative accuracy for SSB based CMR and NZP-IMR in FR2</w:t>
      </w:r>
    </w:p>
    <w:tbl>
      <w:tblPr>
        <w:tblW w:w="8720" w:type="dxa"/>
        <w:jc w:val="center"/>
        <w:tblLook w:val="01E0" w:firstRow="1" w:lastRow="1" w:firstColumn="1" w:lastColumn="1" w:noHBand="0" w:noVBand="0"/>
      </w:tblPr>
      <w:tblGrid>
        <w:gridCol w:w="1107"/>
        <w:gridCol w:w="1107"/>
        <w:gridCol w:w="875"/>
        <w:gridCol w:w="875"/>
        <w:gridCol w:w="921"/>
        <w:gridCol w:w="922"/>
        <w:gridCol w:w="1473"/>
        <w:gridCol w:w="1440"/>
      </w:tblGrid>
      <w:tr w:rsidR="00930E00" w14:paraId="2A02A387" w14:textId="77777777" w:rsidTr="00AD2F6B">
        <w:trPr>
          <w:jc w:val="center"/>
        </w:trPr>
        <w:tc>
          <w:tcPr>
            <w:tcW w:w="2214" w:type="dxa"/>
            <w:gridSpan w:val="2"/>
            <w:tcBorders>
              <w:top w:val="single" w:sz="6" w:space="0" w:color="auto"/>
              <w:left w:val="single" w:sz="4" w:space="0" w:color="auto"/>
              <w:bottom w:val="nil"/>
              <w:right w:val="single" w:sz="6" w:space="0" w:color="auto"/>
            </w:tcBorders>
            <w:vAlign w:val="center"/>
            <w:hideMark/>
          </w:tcPr>
          <w:p w14:paraId="640D9894" w14:textId="77777777" w:rsidR="00930E00" w:rsidRDefault="00930E00" w:rsidP="00AD2F6B">
            <w:pPr>
              <w:pStyle w:val="TAH"/>
            </w:pPr>
            <w:r>
              <w:t>Accuracy</w:t>
            </w:r>
          </w:p>
        </w:tc>
        <w:tc>
          <w:tcPr>
            <w:tcW w:w="6506" w:type="dxa"/>
            <w:gridSpan w:val="6"/>
            <w:tcBorders>
              <w:top w:val="single" w:sz="4" w:space="0" w:color="auto"/>
              <w:left w:val="single" w:sz="4" w:space="0" w:color="auto"/>
              <w:bottom w:val="nil"/>
              <w:right w:val="single" w:sz="4" w:space="0" w:color="auto"/>
            </w:tcBorders>
            <w:vAlign w:val="center"/>
            <w:hideMark/>
          </w:tcPr>
          <w:p w14:paraId="78A34107" w14:textId="77777777" w:rsidR="00930E00" w:rsidRDefault="00930E00" w:rsidP="00AD2F6B">
            <w:pPr>
              <w:pStyle w:val="TAH"/>
            </w:pPr>
            <w:r>
              <w:t>Conditions</w:t>
            </w:r>
          </w:p>
        </w:tc>
      </w:tr>
      <w:tr w:rsidR="00930E00" w14:paraId="47693359" w14:textId="77777777" w:rsidTr="00AD2F6B">
        <w:trPr>
          <w:jc w:val="center"/>
        </w:trPr>
        <w:tc>
          <w:tcPr>
            <w:tcW w:w="1107" w:type="dxa"/>
            <w:tcBorders>
              <w:top w:val="single" w:sz="6" w:space="0" w:color="auto"/>
              <w:left w:val="single" w:sz="4" w:space="0" w:color="auto"/>
              <w:bottom w:val="nil"/>
              <w:right w:val="single" w:sz="6" w:space="0" w:color="auto"/>
            </w:tcBorders>
            <w:vAlign w:val="center"/>
            <w:hideMark/>
          </w:tcPr>
          <w:p w14:paraId="424840CB" w14:textId="77777777" w:rsidR="00930E00" w:rsidRDefault="00930E00" w:rsidP="00AD2F6B">
            <w:pPr>
              <w:pStyle w:val="TAH"/>
            </w:pPr>
            <w:r>
              <w:t>Normal condition</w:t>
            </w:r>
          </w:p>
        </w:tc>
        <w:tc>
          <w:tcPr>
            <w:tcW w:w="1107" w:type="dxa"/>
            <w:tcBorders>
              <w:top w:val="single" w:sz="6" w:space="0" w:color="auto"/>
              <w:left w:val="single" w:sz="6" w:space="0" w:color="auto"/>
              <w:bottom w:val="nil"/>
              <w:right w:val="single" w:sz="6" w:space="0" w:color="auto"/>
            </w:tcBorders>
            <w:vAlign w:val="center"/>
            <w:hideMark/>
          </w:tcPr>
          <w:p w14:paraId="68EA81E9" w14:textId="77777777" w:rsidR="00930E00" w:rsidRDefault="00930E00" w:rsidP="00AD2F6B">
            <w:pPr>
              <w:pStyle w:val="TAH"/>
            </w:pPr>
            <w:r>
              <w:t>Extreme condition</w:t>
            </w:r>
          </w:p>
        </w:tc>
        <w:tc>
          <w:tcPr>
            <w:tcW w:w="875" w:type="dxa"/>
            <w:vMerge w:val="restart"/>
            <w:tcBorders>
              <w:top w:val="single" w:sz="4" w:space="0" w:color="auto"/>
              <w:left w:val="single" w:sz="4" w:space="0" w:color="auto"/>
              <w:right w:val="single" w:sz="4" w:space="0" w:color="auto"/>
            </w:tcBorders>
            <w:hideMark/>
          </w:tcPr>
          <w:p w14:paraId="0786C381" w14:textId="77777777" w:rsidR="00930E00" w:rsidRDefault="00930E00" w:rsidP="00AD2F6B">
            <w:pPr>
              <w:pStyle w:val="TAH"/>
              <w:rPr>
                <w:rFonts w:cs="Arial"/>
              </w:rPr>
            </w:pPr>
            <w:r>
              <w:rPr>
                <w:rFonts w:cs="Arial"/>
              </w:rPr>
              <w:t xml:space="preserve">SSB </w:t>
            </w:r>
          </w:p>
          <w:p w14:paraId="5806E901" w14:textId="77777777" w:rsidR="00930E00" w:rsidRDefault="00930E00" w:rsidP="00AD2F6B">
            <w:pPr>
              <w:pStyle w:val="TAH"/>
              <w:rPr>
                <w:rFonts w:cs="Arial"/>
              </w:rPr>
            </w:pPr>
            <w:r>
              <w:rPr>
                <w:rFonts w:cs="Arial"/>
              </w:rPr>
              <w:t>CMR</w:t>
            </w:r>
          </w:p>
          <w:p w14:paraId="1C25AD99" w14:textId="16C41509" w:rsidR="00930E00" w:rsidRDefault="00930E00" w:rsidP="00AD2F6B">
            <w:pPr>
              <w:pStyle w:val="TAH"/>
            </w:pPr>
            <w:r>
              <w:rPr>
                <w:rFonts w:cs="Arial"/>
              </w:rPr>
              <w:t>Ês/Iot</w:t>
            </w:r>
            <w:r w:rsidR="005A3DF0">
              <w:rPr>
                <w:vertAlign w:val="superscript"/>
              </w:rPr>
              <w:t xml:space="preserve"> Note 2, Note 4</w:t>
            </w:r>
          </w:p>
        </w:tc>
        <w:tc>
          <w:tcPr>
            <w:tcW w:w="875" w:type="dxa"/>
            <w:tcBorders>
              <w:top w:val="single" w:sz="4" w:space="0" w:color="auto"/>
              <w:left w:val="single" w:sz="4" w:space="0" w:color="auto"/>
              <w:bottom w:val="nil"/>
              <w:right w:val="single" w:sz="4" w:space="0" w:color="auto"/>
            </w:tcBorders>
          </w:tcPr>
          <w:p w14:paraId="6C817F13" w14:textId="77777777" w:rsidR="00930E00" w:rsidRDefault="00930E00" w:rsidP="00AD2F6B">
            <w:pPr>
              <w:pStyle w:val="TAH"/>
            </w:pPr>
            <w:r>
              <w:t>NZP-IMR</w:t>
            </w:r>
          </w:p>
          <w:p w14:paraId="3EF4FA75" w14:textId="11E2056C" w:rsidR="00930E00" w:rsidRDefault="00930E00" w:rsidP="00AD2F6B">
            <w:pPr>
              <w:pStyle w:val="TAH"/>
            </w:pPr>
            <w:r>
              <w:rPr>
                <w:rFonts w:cs="Arial"/>
              </w:rPr>
              <w:t>Ês/Iot</w:t>
            </w:r>
            <w:r w:rsidR="005A3DF0">
              <w:rPr>
                <w:vertAlign w:val="superscript"/>
              </w:rPr>
              <w:t xml:space="preserve"> Note 4</w:t>
            </w:r>
          </w:p>
        </w:tc>
        <w:tc>
          <w:tcPr>
            <w:tcW w:w="4756" w:type="dxa"/>
            <w:gridSpan w:val="4"/>
            <w:tcBorders>
              <w:top w:val="single" w:sz="4" w:space="0" w:color="auto"/>
              <w:left w:val="single" w:sz="4" w:space="0" w:color="auto"/>
              <w:bottom w:val="single" w:sz="6" w:space="0" w:color="auto"/>
              <w:right w:val="single" w:sz="4" w:space="0" w:color="auto"/>
            </w:tcBorders>
            <w:vAlign w:val="center"/>
            <w:hideMark/>
          </w:tcPr>
          <w:p w14:paraId="57392C66" w14:textId="77777777" w:rsidR="00930E00" w:rsidRDefault="00930E00" w:rsidP="00AD2F6B">
            <w:pPr>
              <w:pStyle w:val="TAH"/>
            </w:pPr>
            <w:r>
              <w:t>Io</w:t>
            </w:r>
            <w:r>
              <w:rPr>
                <w:vertAlign w:val="superscript"/>
              </w:rPr>
              <w:t xml:space="preserve"> Note 1</w:t>
            </w:r>
            <w:r>
              <w:t xml:space="preserve"> range</w:t>
            </w:r>
          </w:p>
        </w:tc>
      </w:tr>
      <w:tr w:rsidR="00930E00" w14:paraId="514FC933"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29E3C58F"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221ECBD4" w14:textId="77777777" w:rsidR="00930E00" w:rsidRDefault="00930E00" w:rsidP="003852A9">
            <w:pPr>
              <w:pStyle w:val="TAH"/>
            </w:pPr>
          </w:p>
        </w:tc>
        <w:tc>
          <w:tcPr>
            <w:tcW w:w="875" w:type="dxa"/>
            <w:vMerge/>
            <w:tcBorders>
              <w:left w:val="single" w:sz="4" w:space="0" w:color="auto"/>
              <w:bottom w:val="single" w:sz="6" w:space="0" w:color="auto"/>
              <w:right w:val="single" w:sz="4" w:space="0" w:color="auto"/>
            </w:tcBorders>
            <w:vAlign w:val="center"/>
            <w:hideMark/>
          </w:tcPr>
          <w:p w14:paraId="127E456E" w14:textId="77777777" w:rsidR="00930E00" w:rsidRDefault="00930E00" w:rsidP="003852A9">
            <w:pPr>
              <w:pStyle w:val="TAH"/>
            </w:pPr>
          </w:p>
        </w:tc>
        <w:tc>
          <w:tcPr>
            <w:tcW w:w="875" w:type="dxa"/>
            <w:tcBorders>
              <w:top w:val="nil"/>
              <w:left w:val="single" w:sz="4" w:space="0" w:color="auto"/>
              <w:bottom w:val="single" w:sz="6" w:space="0" w:color="auto"/>
              <w:right w:val="single" w:sz="4" w:space="0" w:color="auto"/>
            </w:tcBorders>
            <w:vAlign w:val="center"/>
          </w:tcPr>
          <w:p w14:paraId="113A5665" w14:textId="77777777" w:rsidR="00930E00" w:rsidRDefault="00930E00" w:rsidP="003852A9">
            <w:pPr>
              <w:pStyle w:val="TAH"/>
            </w:pPr>
          </w:p>
        </w:tc>
        <w:tc>
          <w:tcPr>
            <w:tcW w:w="3316" w:type="dxa"/>
            <w:gridSpan w:val="3"/>
            <w:tcBorders>
              <w:top w:val="single" w:sz="4" w:space="0" w:color="auto"/>
              <w:left w:val="single" w:sz="4" w:space="0" w:color="auto"/>
              <w:bottom w:val="single" w:sz="6" w:space="0" w:color="auto"/>
              <w:right w:val="single" w:sz="6" w:space="0" w:color="auto"/>
            </w:tcBorders>
            <w:vAlign w:val="center"/>
            <w:hideMark/>
          </w:tcPr>
          <w:p w14:paraId="06111479" w14:textId="77777777" w:rsidR="00930E00" w:rsidRDefault="00930E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584B06C6" w14:textId="77777777" w:rsidR="00930E00" w:rsidRDefault="00930E00" w:rsidP="00AD2F6B">
            <w:pPr>
              <w:pStyle w:val="TAH"/>
            </w:pPr>
            <w:r>
              <w:t>Maximum Io</w:t>
            </w:r>
          </w:p>
        </w:tc>
      </w:tr>
      <w:tr w:rsidR="00930E00" w14:paraId="2B850868" w14:textId="77777777" w:rsidTr="00AD2F6B">
        <w:trPr>
          <w:jc w:val="center"/>
        </w:trPr>
        <w:tc>
          <w:tcPr>
            <w:tcW w:w="1107" w:type="dxa"/>
            <w:tcBorders>
              <w:top w:val="single" w:sz="6" w:space="0" w:color="auto"/>
              <w:left w:val="single" w:sz="4" w:space="0" w:color="auto"/>
              <w:bottom w:val="nil"/>
              <w:right w:val="single" w:sz="6" w:space="0" w:color="auto"/>
            </w:tcBorders>
            <w:vAlign w:val="center"/>
            <w:hideMark/>
          </w:tcPr>
          <w:p w14:paraId="7CE6793F" w14:textId="77777777" w:rsidR="00930E00" w:rsidRDefault="00930E00" w:rsidP="003852A9">
            <w:pPr>
              <w:pStyle w:val="TAH"/>
            </w:pPr>
            <w:r>
              <w:t>dB</w:t>
            </w:r>
          </w:p>
        </w:tc>
        <w:tc>
          <w:tcPr>
            <w:tcW w:w="1107" w:type="dxa"/>
            <w:tcBorders>
              <w:top w:val="single" w:sz="6" w:space="0" w:color="auto"/>
              <w:left w:val="single" w:sz="6" w:space="0" w:color="auto"/>
              <w:bottom w:val="nil"/>
              <w:right w:val="single" w:sz="6" w:space="0" w:color="auto"/>
            </w:tcBorders>
            <w:vAlign w:val="center"/>
            <w:hideMark/>
          </w:tcPr>
          <w:p w14:paraId="30C67048" w14:textId="77777777" w:rsidR="00930E00" w:rsidRDefault="00930E00" w:rsidP="003852A9">
            <w:pPr>
              <w:pStyle w:val="TAH"/>
            </w:pPr>
            <w:r>
              <w:t>dB</w:t>
            </w:r>
          </w:p>
        </w:tc>
        <w:tc>
          <w:tcPr>
            <w:tcW w:w="875" w:type="dxa"/>
            <w:tcBorders>
              <w:top w:val="single" w:sz="6" w:space="0" w:color="auto"/>
              <w:left w:val="single" w:sz="4" w:space="0" w:color="auto"/>
              <w:bottom w:val="nil"/>
              <w:right w:val="single" w:sz="4" w:space="0" w:color="auto"/>
            </w:tcBorders>
            <w:vAlign w:val="center"/>
            <w:hideMark/>
          </w:tcPr>
          <w:p w14:paraId="47CE4084" w14:textId="77777777" w:rsidR="00930E00" w:rsidRDefault="00930E00" w:rsidP="003852A9">
            <w:pPr>
              <w:pStyle w:val="TAH"/>
              <w:rPr>
                <w:rFonts w:cs="Arial"/>
              </w:rPr>
            </w:pPr>
            <w:r>
              <w:t>dB</w:t>
            </w:r>
          </w:p>
        </w:tc>
        <w:tc>
          <w:tcPr>
            <w:tcW w:w="875" w:type="dxa"/>
            <w:tcBorders>
              <w:top w:val="single" w:sz="6" w:space="0" w:color="auto"/>
              <w:left w:val="single" w:sz="4" w:space="0" w:color="auto"/>
              <w:bottom w:val="nil"/>
              <w:right w:val="single" w:sz="4" w:space="0" w:color="auto"/>
            </w:tcBorders>
            <w:vAlign w:val="center"/>
          </w:tcPr>
          <w:p w14:paraId="4E8DD0EF" w14:textId="77777777" w:rsidR="00930E00" w:rsidRDefault="00930E00" w:rsidP="003852A9">
            <w:pPr>
              <w:pStyle w:val="TAH"/>
              <w:rPr>
                <w:rFonts w:cs="Arial"/>
              </w:rPr>
            </w:pPr>
            <w:r>
              <w:rPr>
                <w:rFonts w:cs="Arial"/>
              </w:rPr>
              <w:t>dB</w:t>
            </w:r>
          </w:p>
        </w:tc>
        <w:tc>
          <w:tcPr>
            <w:tcW w:w="1843" w:type="dxa"/>
            <w:gridSpan w:val="2"/>
            <w:tcBorders>
              <w:top w:val="single" w:sz="6" w:space="0" w:color="auto"/>
              <w:left w:val="single" w:sz="4" w:space="0" w:color="auto"/>
              <w:bottom w:val="single" w:sz="6" w:space="0" w:color="auto"/>
              <w:right w:val="single" w:sz="6" w:space="0" w:color="auto"/>
            </w:tcBorders>
            <w:vAlign w:val="center"/>
            <w:hideMark/>
          </w:tcPr>
          <w:p w14:paraId="31953784" w14:textId="79148904" w:rsidR="00930E00" w:rsidRDefault="00930E00" w:rsidP="00AD2F6B">
            <w:pPr>
              <w:pStyle w:val="TAH"/>
            </w:pPr>
            <w:r>
              <w:rPr>
                <w:rFonts w:cs="Arial"/>
              </w:rPr>
              <w:t xml:space="preserve">dBm / </w:t>
            </w:r>
            <w:r>
              <w:t>SCS</w:t>
            </w:r>
            <w:r>
              <w:rPr>
                <w:vertAlign w:val="subscript"/>
              </w:rPr>
              <w:t>SSB</w:t>
            </w:r>
            <w:r>
              <w:rPr>
                <w:vertAlign w:val="superscript"/>
              </w:rPr>
              <w:t xml:space="preserve"> Note </w:t>
            </w:r>
            <w:r w:rsidR="005A3DF0">
              <w:rPr>
                <w:vertAlign w:val="superscript"/>
              </w:rPr>
              <w:t>3</w:t>
            </w:r>
          </w:p>
        </w:tc>
        <w:tc>
          <w:tcPr>
            <w:tcW w:w="1473" w:type="dxa"/>
            <w:tcBorders>
              <w:top w:val="single" w:sz="6" w:space="0" w:color="auto"/>
              <w:left w:val="single" w:sz="6" w:space="0" w:color="auto"/>
              <w:bottom w:val="nil"/>
              <w:right w:val="single" w:sz="6" w:space="0" w:color="auto"/>
            </w:tcBorders>
            <w:vAlign w:val="center"/>
            <w:hideMark/>
          </w:tcPr>
          <w:p w14:paraId="447FA2DD" w14:textId="77777777" w:rsidR="00930E00" w:rsidRDefault="00930E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6F97BEF1" w14:textId="77777777" w:rsidR="00930E00" w:rsidRDefault="00930E00" w:rsidP="00AD2F6B">
            <w:pPr>
              <w:pStyle w:val="TAH"/>
            </w:pPr>
            <w:r>
              <w:t>dBm/BW</w:t>
            </w:r>
            <w:r>
              <w:rPr>
                <w:vertAlign w:val="subscript"/>
              </w:rPr>
              <w:t>Channel</w:t>
            </w:r>
          </w:p>
        </w:tc>
      </w:tr>
      <w:tr w:rsidR="00930E00" w14:paraId="5EBDA3FC"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29A04424"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0462E210" w14:textId="77777777" w:rsidR="00930E00" w:rsidRDefault="00930E00" w:rsidP="003852A9">
            <w:pPr>
              <w:pStyle w:val="TAH"/>
            </w:pPr>
          </w:p>
        </w:tc>
        <w:tc>
          <w:tcPr>
            <w:tcW w:w="875" w:type="dxa"/>
            <w:tcBorders>
              <w:top w:val="nil"/>
              <w:left w:val="single" w:sz="4" w:space="0" w:color="auto"/>
              <w:bottom w:val="single" w:sz="4" w:space="0" w:color="auto"/>
              <w:right w:val="single" w:sz="4" w:space="0" w:color="auto"/>
            </w:tcBorders>
            <w:vAlign w:val="center"/>
            <w:hideMark/>
          </w:tcPr>
          <w:p w14:paraId="60873024" w14:textId="77777777" w:rsidR="00930E00" w:rsidRDefault="00930E00" w:rsidP="003852A9">
            <w:pPr>
              <w:pStyle w:val="TAH"/>
            </w:pPr>
          </w:p>
        </w:tc>
        <w:tc>
          <w:tcPr>
            <w:tcW w:w="875" w:type="dxa"/>
            <w:tcBorders>
              <w:top w:val="nil"/>
              <w:left w:val="single" w:sz="4" w:space="0" w:color="auto"/>
              <w:bottom w:val="single" w:sz="4" w:space="0" w:color="auto"/>
              <w:right w:val="single" w:sz="4" w:space="0" w:color="auto"/>
            </w:tcBorders>
            <w:vAlign w:val="center"/>
          </w:tcPr>
          <w:p w14:paraId="3D4EB4FD" w14:textId="77777777" w:rsidR="00930E00" w:rsidRDefault="00930E00" w:rsidP="003852A9">
            <w:pPr>
              <w:pStyle w:val="TAH"/>
            </w:pPr>
          </w:p>
        </w:tc>
        <w:tc>
          <w:tcPr>
            <w:tcW w:w="921" w:type="dxa"/>
            <w:tcBorders>
              <w:top w:val="single" w:sz="6" w:space="0" w:color="auto"/>
              <w:left w:val="single" w:sz="4" w:space="0" w:color="auto"/>
              <w:bottom w:val="single" w:sz="6" w:space="0" w:color="auto"/>
              <w:right w:val="single" w:sz="6" w:space="0" w:color="auto"/>
            </w:tcBorders>
            <w:vAlign w:val="center"/>
            <w:hideMark/>
          </w:tcPr>
          <w:p w14:paraId="0F821492" w14:textId="77777777" w:rsidR="00930E00" w:rsidRDefault="00930E00" w:rsidP="00AD2F6B">
            <w:pPr>
              <w:pStyle w:val="TAH"/>
            </w:pPr>
            <w:r>
              <w:t>SCS</w:t>
            </w:r>
            <w:r>
              <w:rPr>
                <w:vertAlign w:val="subscript"/>
              </w:rPr>
              <w:t>SSB</w:t>
            </w:r>
            <w:r>
              <w:rPr>
                <w:rFonts w:cs="Arial"/>
              </w:rPr>
              <w:t xml:space="preserve"> = 120kHz</w:t>
            </w:r>
          </w:p>
        </w:tc>
        <w:tc>
          <w:tcPr>
            <w:tcW w:w="922" w:type="dxa"/>
            <w:tcBorders>
              <w:top w:val="single" w:sz="6" w:space="0" w:color="auto"/>
              <w:left w:val="single" w:sz="4" w:space="0" w:color="auto"/>
              <w:bottom w:val="single" w:sz="6" w:space="0" w:color="auto"/>
              <w:right w:val="single" w:sz="6" w:space="0" w:color="auto"/>
            </w:tcBorders>
            <w:vAlign w:val="center"/>
          </w:tcPr>
          <w:p w14:paraId="0C5BE388" w14:textId="77777777" w:rsidR="00930E00" w:rsidRDefault="00930E00" w:rsidP="00AD2F6B">
            <w:pPr>
              <w:pStyle w:val="TAH"/>
            </w:pPr>
            <w:r>
              <w:t>SCS</w:t>
            </w:r>
            <w:r>
              <w:rPr>
                <w:vertAlign w:val="subscript"/>
              </w:rPr>
              <w:t>SSB</w:t>
            </w:r>
            <w:r>
              <w:rPr>
                <w:rFonts w:cs="Arial"/>
              </w:rPr>
              <w:t xml:space="preserve"> = 240kHz</w:t>
            </w:r>
          </w:p>
        </w:tc>
        <w:tc>
          <w:tcPr>
            <w:tcW w:w="1473" w:type="dxa"/>
            <w:tcBorders>
              <w:top w:val="nil"/>
              <w:left w:val="single" w:sz="6" w:space="0" w:color="auto"/>
              <w:bottom w:val="single" w:sz="6" w:space="0" w:color="auto"/>
              <w:right w:val="single" w:sz="6" w:space="0" w:color="auto"/>
            </w:tcBorders>
            <w:vAlign w:val="center"/>
            <w:hideMark/>
          </w:tcPr>
          <w:p w14:paraId="3C349E9D" w14:textId="77777777" w:rsidR="00930E00" w:rsidRDefault="00930E00" w:rsidP="003852A9">
            <w:pPr>
              <w:pStyle w:val="TAH"/>
            </w:pPr>
          </w:p>
        </w:tc>
        <w:tc>
          <w:tcPr>
            <w:tcW w:w="1440" w:type="dxa"/>
            <w:tcBorders>
              <w:top w:val="nil"/>
              <w:left w:val="single" w:sz="6" w:space="0" w:color="auto"/>
              <w:bottom w:val="single" w:sz="6" w:space="0" w:color="auto"/>
              <w:right w:val="single" w:sz="4" w:space="0" w:color="auto"/>
            </w:tcBorders>
            <w:vAlign w:val="center"/>
            <w:hideMark/>
          </w:tcPr>
          <w:p w14:paraId="49B5CE71" w14:textId="77777777" w:rsidR="00930E00" w:rsidRDefault="00930E00" w:rsidP="003852A9">
            <w:pPr>
              <w:pStyle w:val="TAH"/>
            </w:pPr>
          </w:p>
        </w:tc>
      </w:tr>
      <w:tr w:rsidR="00CA6320" w14:paraId="47D14A64" w14:textId="77777777" w:rsidTr="00AD2F6B">
        <w:trPr>
          <w:jc w:val="center"/>
        </w:trPr>
        <w:tc>
          <w:tcPr>
            <w:tcW w:w="1107" w:type="dxa"/>
            <w:tcBorders>
              <w:top w:val="single" w:sz="6" w:space="0" w:color="auto"/>
              <w:left w:val="single" w:sz="4" w:space="0" w:color="auto"/>
              <w:bottom w:val="nil"/>
              <w:right w:val="single" w:sz="6" w:space="0" w:color="auto"/>
            </w:tcBorders>
            <w:hideMark/>
          </w:tcPr>
          <w:p w14:paraId="2C48D9B5" w14:textId="249BC9BB" w:rsidR="00CA6320" w:rsidRDefault="00CA6320" w:rsidP="00CA6320">
            <w:pPr>
              <w:pStyle w:val="TAC"/>
            </w:pPr>
            <w:r>
              <w:rPr>
                <w:rFonts w:cs="Arial"/>
              </w:rPr>
              <w:t>±3.0</w:t>
            </w:r>
          </w:p>
        </w:tc>
        <w:tc>
          <w:tcPr>
            <w:tcW w:w="1107" w:type="dxa"/>
            <w:tcBorders>
              <w:top w:val="single" w:sz="6" w:space="0" w:color="auto"/>
              <w:left w:val="single" w:sz="6" w:space="0" w:color="auto"/>
              <w:bottom w:val="nil"/>
              <w:right w:val="single" w:sz="4" w:space="0" w:color="auto"/>
            </w:tcBorders>
            <w:hideMark/>
          </w:tcPr>
          <w:p w14:paraId="01D4C275" w14:textId="3E2D4725" w:rsidR="00CA6320" w:rsidRDefault="00CA6320" w:rsidP="00CA6320">
            <w:pPr>
              <w:pStyle w:val="TAC"/>
            </w:pPr>
            <w:r>
              <w:rPr>
                <w:rFonts w:cs="Arial"/>
              </w:rPr>
              <w:t>±4.0</w:t>
            </w:r>
          </w:p>
        </w:tc>
        <w:tc>
          <w:tcPr>
            <w:tcW w:w="875" w:type="dxa"/>
            <w:tcBorders>
              <w:top w:val="single" w:sz="4" w:space="0" w:color="auto"/>
              <w:left w:val="single" w:sz="4" w:space="0" w:color="auto"/>
              <w:bottom w:val="single" w:sz="4" w:space="0" w:color="auto"/>
              <w:right w:val="single" w:sz="4" w:space="0" w:color="auto"/>
            </w:tcBorders>
            <w:hideMark/>
          </w:tcPr>
          <w:p w14:paraId="5A34C3D7" w14:textId="77777777" w:rsidR="00CA6320" w:rsidRDefault="00CA6320" w:rsidP="00CA6320">
            <w:pPr>
              <w:pStyle w:val="TAC"/>
            </w:pPr>
            <w:r>
              <w:rPr>
                <w:rFonts w:eastAsia="Yu Mincho" w:cs="Arial"/>
                <w:lang w:eastAsia="ja-JP"/>
              </w:rPr>
              <w:t>≥0</w:t>
            </w:r>
          </w:p>
        </w:tc>
        <w:tc>
          <w:tcPr>
            <w:tcW w:w="875" w:type="dxa"/>
            <w:tcBorders>
              <w:top w:val="single" w:sz="4" w:space="0" w:color="auto"/>
              <w:left w:val="single" w:sz="4" w:space="0" w:color="auto"/>
              <w:bottom w:val="single" w:sz="4" w:space="0" w:color="auto"/>
              <w:right w:val="single" w:sz="4" w:space="0" w:color="auto"/>
            </w:tcBorders>
          </w:tcPr>
          <w:p w14:paraId="3549F7EF" w14:textId="77777777" w:rsidR="00CA6320" w:rsidRDefault="00CA6320" w:rsidP="00CA6320">
            <w:pPr>
              <w:pStyle w:val="TAC"/>
            </w:pPr>
            <w:r>
              <w:rPr>
                <w:rFonts w:eastAsia="Yu Mincho" w:cs="Arial"/>
                <w:lang w:eastAsia="ja-JP"/>
              </w:rPr>
              <w:t>≥0</w:t>
            </w:r>
          </w:p>
        </w:tc>
        <w:tc>
          <w:tcPr>
            <w:tcW w:w="1843" w:type="dxa"/>
            <w:gridSpan w:val="2"/>
            <w:tcBorders>
              <w:top w:val="single" w:sz="6" w:space="0" w:color="auto"/>
              <w:left w:val="single" w:sz="4" w:space="0" w:color="auto"/>
              <w:bottom w:val="single" w:sz="6" w:space="0" w:color="auto"/>
              <w:right w:val="single" w:sz="6" w:space="0" w:color="auto"/>
            </w:tcBorders>
            <w:hideMark/>
          </w:tcPr>
          <w:p w14:paraId="71B95AB9" w14:textId="07EABF5F" w:rsidR="00CA6320" w:rsidRDefault="00CA6320" w:rsidP="00CA6320">
            <w:pPr>
              <w:pStyle w:val="TAC"/>
              <w:rPr>
                <w:rFonts w:eastAsia="Yu Mincho"/>
                <w:lang w:eastAsia="ja-JP"/>
              </w:rPr>
            </w:pPr>
            <w:r w:rsidRPr="009C5807">
              <w:t xml:space="preserve">Same value as SSB_RP in Table </w:t>
            </w:r>
            <w:r>
              <w:t xml:space="preserve">in </w:t>
            </w:r>
            <w:r w:rsidRPr="009C5807">
              <w:t>B.2</w:t>
            </w:r>
            <w:r>
              <w:t>.8.2</w:t>
            </w:r>
            <w:r w:rsidRPr="009C5807">
              <w:t>, according to UE Power class, operating band and angle of arrival</w:t>
            </w:r>
          </w:p>
        </w:tc>
        <w:tc>
          <w:tcPr>
            <w:tcW w:w="1473" w:type="dxa"/>
            <w:tcBorders>
              <w:top w:val="single" w:sz="6" w:space="0" w:color="auto"/>
              <w:left w:val="single" w:sz="6" w:space="0" w:color="auto"/>
              <w:bottom w:val="single" w:sz="6" w:space="0" w:color="auto"/>
              <w:right w:val="single" w:sz="6" w:space="0" w:color="auto"/>
            </w:tcBorders>
            <w:hideMark/>
          </w:tcPr>
          <w:p w14:paraId="6EDA4F4F" w14:textId="77777777" w:rsidR="00CA6320" w:rsidRDefault="00CA6320" w:rsidP="00CA6320">
            <w:pPr>
              <w:pStyle w:val="TAC"/>
            </w:pPr>
            <w:r>
              <w:rPr>
                <w:lang w:eastAsia="zh-CN"/>
              </w:rPr>
              <w:t>N/A</w:t>
            </w:r>
          </w:p>
        </w:tc>
        <w:tc>
          <w:tcPr>
            <w:tcW w:w="1440" w:type="dxa"/>
            <w:tcBorders>
              <w:top w:val="single" w:sz="6" w:space="0" w:color="auto"/>
              <w:left w:val="single" w:sz="6" w:space="0" w:color="auto"/>
              <w:bottom w:val="single" w:sz="6" w:space="0" w:color="auto"/>
              <w:right w:val="single" w:sz="4" w:space="0" w:color="auto"/>
            </w:tcBorders>
            <w:hideMark/>
          </w:tcPr>
          <w:p w14:paraId="48217D50" w14:textId="77777777" w:rsidR="00CA6320" w:rsidRDefault="00CA6320" w:rsidP="00CA6320">
            <w:pPr>
              <w:pStyle w:val="TAC"/>
            </w:pPr>
            <w:r>
              <w:t>-50</w:t>
            </w:r>
          </w:p>
        </w:tc>
      </w:tr>
      <w:tr w:rsidR="00930E00" w14:paraId="32F058C3" w14:textId="77777777" w:rsidTr="00AD2F6B">
        <w:trPr>
          <w:jc w:val="center"/>
        </w:trPr>
        <w:tc>
          <w:tcPr>
            <w:tcW w:w="8720" w:type="dxa"/>
            <w:gridSpan w:val="8"/>
            <w:tcBorders>
              <w:top w:val="single" w:sz="6" w:space="0" w:color="auto"/>
              <w:left w:val="single" w:sz="4" w:space="0" w:color="auto"/>
              <w:bottom w:val="single" w:sz="6" w:space="0" w:color="auto"/>
              <w:right w:val="single" w:sz="4" w:space="0" w:color="auto"/>
            </w:tcBorders>
            <w:vAlign w:val="center"/>
            <w:hideMark/>
          </w:tcPr>
          <w:p w14:paraId="431FC07C"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34282CF0" w14:textId="77777777" w:rsidR="00930E00" w:rsidRDefault="00930E00" w:rsidP="00AD2F6B">
            <w:pPr>
              <w:pStyle w:val="TAN"/>
              <w:rPr>
                <w:lang w:eastAsia="zh-CN"/>
              </w:rPr>
            </w:pPr>
            <w:r>
              <w:t>N</w:t>
            </w:r>
            <w:r>
              <w:rPr>
                <w:lang w:eastAsia="zh-CN"/>
              </w:rPr>
              <w:t>OTE</w:t>
            </w:r>
            <w:r>
              <w:t xml:space="preserve"> 2:</w:t>
            </w:r>
            <w:r>
              <w:tab/>
            </w:r>
            <w:r>
              <w:rPr>
                <w:lang w:eastAsia="zh-CN"/>
              </w:rPr>
              <w:t xml:space="preserve">The parameter SSB CMR </w:t>
            </w:r>
            <w:r>
              <w:t>Ês/Iot</w:t>
            </w:r>
            <w:r>
              <w:rPr>
                <w:lang w:eastAsia="zh-CN"/>
              </w:rPr>
              <w:t xml:space="preserve"> is the minimum SSB CMR </w:t>
            </w:r>
            <w:r>
              <w:t>Ês/Iot</w:t>
            </w:r>
            <w:r>
              <w:rPr>
                <w:lang w:eastAsia="zh-CN"/>
              </w:rPr>
              <w:t xml:space="preserve"> of the pair of SSBs to which the requirement applies.</w:t>
            </w:r>
          </w:p>
          <w:p w14:paraId="0450CF81" w14:textId="77777777" w:rsidR="00930E00" w:rsidRDefault="00930E00" w:rsidP="00AD2F6B">
            <w:pPr>
              <w:pStyle w:val="TAN"/>
            </w:pPr>
            <w:r>
              <w:t>NOTE 3:</w:t>
            </w:r>
            <w:r>
              <w:tab/>
              <w:t>Values based on Refsens and EIS spherical coverage as defined in clauses 7.3.2 and 7.3.4 of TS 38.101-2 [19]. Applicable side condition selected depending on angle of arrival.</w:t>
            </w:r>
          </w:p>
          <w:p w14:paraId="2B3532F3" w14:textId="77777777" w:rsidR="00930E00" w:rsidRDefault="00930E00" w:rsidP="00AD2F6B">
            <w:pPr>
              <w:pStyle w:val="TAN"/>
            </w:pPr>
            <w:r>
              <w:t>NOTE 4:</w:t>
            </w:r>
            <w:r>
              <w:tab/>
              <w:t>In the test cases, the SSB CMR Ês/Iot, NZP-IMR Ês/Iot and related parameters may need to be adjusted to ensure Ês/Iot at UE baseband is above the value defined in this table.</w:t>
            </w:r>
          </w:p>
        </w:tc>
      </w:tr>
    </w:tbl>
    <w:p w14:paraId="498A0B6E" w14:textId="77777777" w:rsidR="00930E00" w:rsidRPr="00F37389" w:rsidRDefault="00930E00" w:rsidP="00481679">
      <w:pPr>
        <w:rPr>
          <w:rFonts w:eastAsia="?? ??"/>
        </w:rPr>
      </w:pPr>
    </w:p>
    <w:p w14:paraId="4FE54597" w14:textId="77777777" w:rsidR="00930E00" w:rsidRDefault="00930E00" w:rsidP="00930E00">
      <w:pPr>
        <w:pStyle w:val="TH"/>
      </w:pPr>
      <w:r>
        <w:t>Table 10.1.28.2.2-2: L1-SINR relative accuracy for SSB based CMR and ZP-IMR in FR2</w:t>
      </w:r>
    </w:p>
    <w:tbl>
      <w:tblPr>
        <w:tblW w:w="8720" w:type="dxa"/>
        <w:jc w:val="center"/>
        <w:tblLook w:val="01E0" w:firstRow="1" w:lastRow="1" w:firstColumn="1" w:lastColumn="1" w:noHBand="0" w:noVBand="0"/>
      </w:tblPr>
      <w:tblGrid>
        <w:gridCol w:w="1107"/>
        <w:gridCol w:w="1107"/>
        <w:gridCol w:w="1042"/>
        <w:gridCol w:w="1275"/>
        <w:gridCol w:w="1276"/>
        <w:gridCol w:w="1473"/>
        <w:gridCol w:w="1440"/>
      </w:tblGrid>
      <w:tr w:rsidR="00930E00" w14:paraId="735B7271" w14:textId="77777777" w:rsidTr="00AD2F6B">
        <w:trPr>
          <w:jc w:val="center"/>
        </w:trPr>
        <w:tc>
          <w:tcPr>
            <w:tcW w:w="2214" w:type="dxa"/>
            <w:gridSpan w:val="2"/>
            <w:tcBorders>
              <w:top w:val="single" w:sz="6" w:space="0" w:color="auto"/>
              <w:left w:val="single" w:sz="4" w:space="0" w:color="auto"/>
              <w:bottom w:val="nil"/>
              <w:right w:val="single" w:sz="6" w:space="0" w:color="auto"/>
            </w:tcBorders>
            <w:vAlign w:val="center"/>
            <w:hideMark/>
          </w:tcPr>
          <w:p w14:paraId="29AB8866" w14:textId="77777777" w:rsidR="00930E00" w:rsidRDefault="00930E00" w:rsidP="00AD2F6B">
            <w:pPr>
              <w:pStyle w:val="TAH"/>
            </w:pPr>
            <w:r>
              <w:t>Accuracy</w:t>
            </w:r>
          </w:p>
        </w:tc>
        <w:tc>
          <w:tcPr>
            <w:tcW w:w="6506" w:type="dxa"/>
            <w:gridSpan w:val="5"/>
            <w:tcBorders>
              <w:top w:val="single" w:sz="4" w:space="0" w:color="auto"/>
              <w:left w:val="single" w:sz="4" w:space="0" w:color="auto"/>
              <w:bottom w:val="nil"/>
              <w:right w:val="single" w:sz="4" w:space="0" w:color="auto"/>
            </w:tcBorders>
            <w:vAlign w:val="center"/>
            <w:hideMark/>
          </w:tcPr>
          <w:p w14:paraId="349C8307" w14:textId="77777777" w:rsidR="00930E00" w:rsidRDefault="00930E00" w:rsidP="00AD2F6B">
            <w:pPr>
              <w:pStyle w:val="TAH"/>
            </w:pPr>
            <w:r>
              <w:t>Conditions</w:t>
            </w:r>
          </w:p>
        </w:tc>
      </w:tr>
      <w:tr w:rsidR="00930E00" w14:paraId="203215AD" w14:textId="77777777" w:rsidTr="00AD2F6B">
        <w:trPr>
          <w:jc w:val="center"/>
        </w:trPr>
        <w:tc>
          <w:tcPr>
            <w:tcW w:w="1107" w:type="dxa"/>
            <w:tcBorders>
              <w:top w:val="single" w:sz="6" w:space="0" w:color="auto"/>
              <w:left w:val="single" w:sz="4" w:space="0" w:color="auto"/>
              <w:bottom w:val="nil"/>
              <w:right w:val="single" w:sz="6" w:space="0" w:color="auto"/>
            </w:tcBorders>
            <w:vAlign w:val="center"/>
            <w:hideMark/>
          </w:tcPr>
          <w:p w14:paraId="16423D28" w14:textId="77777777" w:rsidR="00930E00" w:rsidRDefault="00930E00" w:rsidP="00AD2F6B">
            <w:pPr>
              <w:pStyle w:val="TAH"/>
            </w:pPr>
            <w:r>
              <w:t>Normal condition</w:t>
            </w:r>
          </w:p>
        </w:tc>
        <w:tc>
          <w:tcPr>
            <w:tcW w:w="1107" w:type="dxa"/>
            <w:tcBorders>
              <w:top w:val="single" w:sz="6" w:space="0" w:color="auto"/>
              <w:left w:val="single" w:sz="6" w:space="0" w:color="auto"/>
              <w:bottom w:val="nil"/>
              <w:right w:val="single" w:sz="6" w:space="0" w:color="auto"/>
            </w:tcBorders>
            <w:vAlign w:val="center"/>
            <w:hideMark/>
          </w:tcPr>
          <w:p w14:paraId="0630F4C9" w14:textId="77777777" w:rsidR="00930E00" w:rsidRDefault="00930E00" w:rsidP="00AD2F6B">
            <w:pPr>
              <w:pStyle w:val="TAH"/>
            </w:pPr>
            <w:r>
              <w:t>Extreme condition</w:t>
            </w:r>
          </w:p>
        </w:tc>
        <w:tc>
          <w:tcPr>
            <w:tcW w:w="1042" w:type="dxa"/>
            <w:vMerge w:val="restart"/>
            <w:tcBorders>
              <w:top w:val="single" w:sz="4" w:space="0" w:color="auto"/>
              <w:left w:val="single" w:sz="4" w:space="0" w:color="auto"/>
              <w:right w:val="single" w:sz="4" w:space="0" w:color="auto"/>
            </w:tcBorders>
            <w:hideMark/>
          </w:tcPr>
          <w:p w14:paraId="1F2B80EA" w14:textId="77777777" w:rsidR="00930E00" w:rsidRDefault="00930E00" w:rsidP="00AD2F6B">
            <w:pPr>
              <w:pStyle w:val="TAH"/>
              <w:rPr>
                <w:rFonts w:cs="Arial"/>
              </w:rPr>
            </w:pPr>
            <w:r>
              <w:rPr>
                <w:rFonts w:cs="Arial"/>
              </w:rPr>
              <w:t xml:space="preserve">SSB </w:t>
            </w:r>
          </w:p>
          <w:p w14:paraId="62FD45D5" w14:textId="77777777" w:rsidR="00930E00" w:rsidRDefault="00930E00" w:rsidP="00AD2F6B">
            <w:pPr>
              <w:pStyle w:val="TAH"/>
              <w:rPr>
                <w:rFonts w:cs="Arial"/>
              </w:rPr>
            </w:pPr>
            <w:r>
              <w:rPr>
                <w:rFonts w:cs="Arial"/>
              </w:rPr>
              <w:t>CMR</w:t>
            </w:r>
          </w:p>
          <w:p w14:paraId="296CD864" w14:textId="4BC9D6C8" w:rsidR="00930E00" w:rsidRDefault="00930E00" w:rsidP="00AD2F6B">
            <w:pPr>
              <w:pStyle w:val="TAH"/>
            </w:pPr>
            <w:r>
              <w:rPr>
                <w:rFonts w:cs="Arial"/>
              </w:rPr>
              <w:t>Ês/Iot</w:t>
            </w:r>
            <w:r w:rsidR="005A3DF0">
              <w:rPr>
                <w:vertAlign w:val="superscript"/>
              </w:rPr>
              <w:t xml:space="preserve"> Note 2, Note 4</w:t>
            </w:r>
          </w:p>
        </w:tc>
        <w:tc>
          <w:tcPr>
            <w:tcW w:w="5464" w:type="dxa"/>
            <w:gridSpan w:val="4"/>
            <w:tcBorders>
              <w:top w:val="single" w:sz="4" w:space="0" w:color="auto"/>
              <w:left w:val="single" w:sz="4" w:space="0" w:color="auto"/>
              <w:bottom w:val="single" w:sz="6" w:space="0" w:color="auto"/>
              <w:right w:val="single" w:sz="4" w:space="0" w:color="auto"/>
            </w:tcBorders>
            <w:vAlign w:val="center"/>
            <w:hideMark/>
          </w:tcPr>
          <w:p w14:paraId="4FB65044" w14:textId="77777777" w:rsidR="00930E00" w:rsidRDefault="00930E00" w:rsidP="00AD2F6B">
            <w:pPr>
              <w:pStyle w:val="TAH"/>
            </w:pPr>
            <w:r>
              <w:t>Io</w:t>
            </w:r>
            <w:r>
              <w:rPr>
                <w:vertAlign w:val="superscript"/>
              </w:rPr>
              <w:t xml:space="preserve"> Note 1</w:t>
            </w:r>
            <w:r>
              <w:t xml:space="preserve"> range</w:t>
            </w:r>
          </w:p>
        </w:tc>
      </w:tr>
      <w:tr w:rsidR="00930E00" w14:paraId="543AC5C8"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3C764093"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1F98201F" w14:textId="77777777" w:rsidR="00930E00" w:rsidRDefault="00930E00" w:rsidP="003852A9">
            <w:pPr>
              <w:pStyle w:val="TAH"/>
            </w:pPr>
          </w:p>
        </w:tc>
        <w:tc>
          <w:tcPr>
            <w:tcW w:w="1042" w:type="dxa"/>
            <w:vMerge/>
            <w:tcBorders>
              <w:left w:val="single" w:sz="4" w:space="0" w:color="auto"/>
              <w:bottom w:val="single" w:sz="6" w:space="0" w:color="auto"/>
              <w:right w:val="single" w:sz="4" w:space="0" w:color="auto"/>
            </w:tcBorders>
            <w:vAlign w:val="center"/>
            <w:hideMark/>
          </w:tcPr>
          <w:p w14:paraId="2A14FB23" w14:textId="77777777" w:rsidR="00930E00" w:rsidRDefault="00930E00" w:rsidP="003852A9">
            <w:pPr>
              <w:pStyle w:val="TAH"/>
            </w:pPr>
          </w:p>
        </w:tc>
        <w:tc>
          <w:tcPr>
            <w:tcW w:w="4024" w:type="dxa"/>
            <w:gridSpan w:val="3"/>
            <w:tcBorders>
              <w:top w:val="single" w:sz="4" w:space="0" w:color="auto"/>
              <w:left w:val="single" w:sz="4" w:space="0" w:color="auto"/>
              <w:bottom w:val="single" w:sz="6" w:space="0" w:color="auto"/>
              <w:right w:val="single" w:sz="6" w:space="0" w:color="auto"/>
            </w:tcBorders>
            <w:vAlign w:val="center"/>
            <w:hideMark/>
          </w:tcPr>
          <w:p w14:paraId="01F33833" w14:textId="77777777" w:rsidR="00930E00" w:rsidRDefault="00930E00" w:rsidP="00AD2F6B">
            <w:pPr>
              <w:pStyle w:val="TAH"/>
            </w:pPr>
            <w:r>
              <w:t>Minimum Io</w:t>
            </w:r>
          </w:p>
        </w:tc>
        <w:tc>
          <w:tcPr>
            <w:tcW w:w="1440" w:type="dxa"/>
            <w:tcBorders>
              <w:top w:val="single" w:sz="4" w:space="0" w:color="auto"/>
              <w:left w:val="single" w:sz="6" w:space="0" w:color="auto"/>
              <w:bottom w:val="single" w:sz="6" w:space="0" w:color="auto"/>
              <w:right w:val="single" w:sz="4" w:space="0" w:color="auto"/>
            </w:tcBorders>
            <w:vAlign w:val="center"/>
            <w:hideMark/>
          </w:tcPr>
          <w:p w14:paraId="6ABF9EC4" w14:textId="77777777" w:rsidR="00930E00" w:rsidRDefault="00930E00" w:rsidP="00AD2F6B">
            <w:pPr>
              <w:pStyle w:val="TAH"/>
            </w:pPr>
            <w:r>
              <w:t>Maximum Io</w:t>
            </w:r>
          </w:p>
        </w:tc>
      </w:tr>
      <w:tr w:rsidR="00930E00" w14:paraId="597F1E57" w14:textId="77777777" w:rsidTr="00AD2F6B">
        <w:trPr>
          <w:jc w:val="center"/>
        </w:trPr>
        <w:tc>
          <w:tcPr>
            <w:tcW w:w="1107" w:type="dxa"/>
            <w:tcBorders>
              <w:top w:val="single" w:sz="6" w:space="0" w:color="auto"/>
              <w:left w:val="single" w:sz="4" w:space="0" w:color="auto"/>
              <w:bottom w:val="nil"/>
              <w:right w:val="single" w:sz="6" w:space="0" w:color="auto"/>
            </w:tcBorders>
            <w:vAlign w:val="center"/>
            <w:hideMark/>
          </w:tcPr>
          <w:p w14:paraId="6DC26ECF" w14:textId="77777777" w:rsidR="00930E00" w:rsidRDefault="00930E00" w:rsidP="003852A9">
            <w:pPr>
              <w:pStyle w:val="TAH"/>
            </w:pPr>
            <w:r>
              <w:t>dB</w:t>
            </w:r>
          </w:p>
        </w:tc>
        <w:tc>
          <w:tcPr>
            <w:tcW w:w="1107" w:type="dxa"/>
            <w:tcBorders>
              <w:top w:val="single" w:sz="6" w:space="0" w:color="auto"/>
              <w:left w:val="single" w:sz="6" w:space="0" w:color="auto"/>
              <w:bottom w:val="nil"/>
              <w:right w:val="single" w:sz="6" w:space="0" w:color="auto"/>
            </w:tcBorders>
            <w:vAlign w:val="center"/>
            <w:hideMark/>
          </w:tcPr>
          <w:p w14:paraId="5721DD47" w14:textId="77777777" w:rsidR="00930E00" w:rsidRDefault="00930E00" w:rsidP="003852A9">
            <w:pPr>
              <w:pStyle w:val="TAH"/>
            </w:pPr>
            <w:r>
              <w:t>dB</w:t>
            </w:r>
          </w:p>
        </w:tc>
        <w:tc>
          <w:tcPr>
            <w:tcW w:w="1042" w:type="dxa"/>
            <w:tcBorders>
              <w:top w:val="single" w:sz="6" w:space="0" w:color="auto"/>
              <w:left w:val="single" w:sz="4" w:space="0" w:color="auto"/>
              <w:bottom w:val="nil"/>
              <w:right w:val="single" w:sz="4" w:space="0" w:color="auto"/>
            </w:tcBorders>
            <w:vAlign w:val="center"/>
            <w:hideMark/>
          </w:tcPr>
          <w:p w14:paraId="4932E427" w14:textId="77777777" w:rsidR="00930E00" w:rsidRDefault="00930E00" w:rsidP="003852A9">
            <w:pPr>
              <w:pStyle w:val="TAH"/>
              <w:rPr>
                <w:rFonts w:cs="Arial"/>
              </w:rPr>
            </w:pPr>
            <w:r>
              <w:t>dB</w:t>
            </w:r>
          </w:p>
        </w:tc>
        <w:tc>
          <w:tcPr>
            <w:tcW w:w="2551" w:type="dxa"/>
            <w:gridSpan w:val="2"/>
            <w:tcBorders>
              <w:top w:val="single" w:sz="6" w:space="0" w:color="auto"/>
              <w:left w:val="single" w:sz="4" w:space="0" w:color="auto"/>
              <w:bottom w:val="single" w:sz="6" w:space="0" w:color="auto"/>
              <w:right w:val="single" w:sz="6" w:space="0" w:color="auto"/>
            </w:tcBorders>
            <w:vAlign w:val="center"/>
            <w:hideMark/>
          </w:tcPr>
          <w:p w14:paraId="40679392" w14:textId="23D96626" w:rsidR="00930E00" w:rsidRDefault="00930E00" w:rsidP="00AD2F6B">
            <w:pPr>
              <w:pStyle w:val="TAH"/>
            </w:pPr>
            <w:r>
              <w:rPr>
                <w:rFonts w:cs="Arial"/>
              </w:rPr>
              <w:t xml:space="preserve">dBm / </w:t>
            </w:r>
            <w:r>
              <w:t>SCS</w:t>
            </w:r>
            <w:r>
              <w:rPr>
                <w:vertAlign w:val="subscript"/>
              </w:rPr>
              <w:t>SSB</w:t>
            </w:r>
            <w:r>
              <w:rPr>
                <w:vertAlign w:val="superscript"/>
              </w:rPr>
              <w:t xml:space="preserve"> Note </w:t>
            </w:r>
            <w:r w:rsidR="005A3DF0">
              <w:rPr>
                <w:vertAlign w:val="superscript"/>
              </w:rPr>
              <w:t>3</w:t>
            </w:r>
          </w:p>
        </w:tc>
        <w:tc>
          <w:tcPr>
            <w:tcW w:w="1473" w:type="dxa"/>
            <w:tcBorders>
              <w:top w:val="single" w:sz="6" w:space="0" w:color="auto"/>
              <w:left w:val="single" w:sz="6" w:space="0" w:color="auto"/>
              <w:bottom w:val="nil"/>
              <w:right w:val="single" w:sz="6" w:space="0" w:color="auto"/>
            </w:tcBorders>
            <w:vAlign w:val="center"/>
            <w:hideMark/>
          </w:tcPr>
          <w:p w14:paraId="609514FD" w14:textId="77777777" w:rsidR="00930E00" w:rsidRDefault="00930E00" w:rsidP="00AD2F6B">
            <w:pPr>
              <w:pStyle w:val="TAH"/>
            </w:pPr>
            <w:r>
              <w:t>dBm/BW</w:t>
            </w:r>
            <w:r>
              <w:rPr>
                <w:vertAlign w:val="subscript"/>
              </w:rPr>
              <w:t>Channel</w:t>
            </w:r>
          </w:p>
        </w:tc>
        <w:tc>
          <w:tcPr>
            <w:tcW w:w="1440" w:type="dxa"/>
            <w:tcBorders>
              <w:top w:val="single" w:sz="6" w:space="0" w:color="auto"/>
              <w:left w:val="single" w:sz="6" w:space="0" w:color="auto"/>
              <w:bottom w:val="nil"/>
              <w:right w:val="single" w:sz="4" w:space="0" w:color="auto"/>
            </w:tcBorders>
            <w:vAlign w:val="center"/>
            <w:hideMark/>
          </w:tcPr>
          <w:p w14:paraId="52531CA7" w14:textId="77777777" w:rsidR="00930E00" w:rsidRDefault="00930E00" w:rsidP="00AD2F6B">
            <w:pPr>
              <w:pStyle w:val="TAH"/>
            </w:pPr>
            <w:r>
              <w:t>dBm/BW</w:t>
            </w:r>
            <w:r>
              <w:rPr>
                <w:vertAlign w:val="subscript"/>
              </w:rPr>
              <w:t>Channel</w:t>
            </w:r>
          </w:p>
        </w:tc>
      </w:tr>
      <w:tr w:rsidR="00930E00" w14:paraId="5DBBA2DC"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7CBBCA1E"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4B45CAEC" w14:textId="77777777" w:rsidR="00930E00" w:rsidRDefault="00930E00" w:rsidP="003852A9">
            <w:pPr>
              <w:pStyle w:val="TAH"/>
            </w:pPr>
          </w:p>
        </w:tc>
        <w:tc>
          <w:tcPr>
            <w:tcW w:w="1042" w:type="dxa"/>
            <w:tcBorders>
              <w:top w:val="nil"/>
              <w:left w:val="single" w:sz="4" w:space="0" w:color="auto"/>
              <w:bottom w:val="single" w:sz="4" w:space="0" w:color="auto"/>
              <w:right w:val="single" w:sz="4" w:space="0" w:color="auto"/>
            </w:tcBorders>
            <w:vAlign w:val="center"/>
            <w:hideMark/>
          </w:tcPr>
          <w:p w14:paraId="4F869A79" w14:textId="77777777" w:rsidR="00930E00" w:rsidRDefault="00930E00" w:rsidP="003852A9">
            <w:pPr>
              <w:pStyle w:val="TAH"/>
            </w:pPr>
          </w:p>
        </w:tc>
        <w:tc>
          <w:tcPr>
            <w:tcW w:w="1275" w:type="dxa"/>
            <w:tcBorders>
              <w:top w:val="single" w:sz="6" w:space="0" w:color="auto"/>
              <w:left w:val="single" w:sz="4" w:space="0" w:color="auto"/>
              <w:bottom w:val="single" w:sz="6" w:space="0" w:color="auto"/>
              <w:right w:val="single" w:sz="6" w:space="0" w:color="auto"/>
            </w:tcBorders>
            <w:vAlign w:val="center"/>
            <w:hideMark/>
          </w:tcPr>
          <w:p w14:paraId="79E0EC85" w14:textId="77777777" w:rsidR="00930E00" w:rsidRDefault="00930E00" w:rsidP="00AD2F6B">
            <w:pPr>
              <w:pStyle w:val="TAH"/>
            </w:pPr>
            <w:r>
              <w:t>SCS</w:t>
            </w:r>
            <w:r>
              <w:rPr>
                <w:vertAlign w:val="subscript"/>
              </w:rPr>
              <w:t>SSB</w:t>
            </w:r>
            <w:r>
              <w:rPr>
                <w:rFonts w:cs="Arial"/>
              </w:rPr>
              <w:t xml:space="preserve"> = 120kHz</w:t>
            </w:r>
          </w:p>
        </w:tc>
        <w:tc>
          <w:tcPr>
            <w:tcW w:w="1276" w:type="dxa"/>
            <w:tcBorders>
              <w:top w:val="single" w:sz="6" w:space="0" w:color="auto"/>
              <w:left w:val="single" w:sz="4" w:space="0" w:color="auto"/>
              <w:bottom w:val="single" w:sz="6" w:space="0" w:color="auto"/>
              <w:right w:val="single" w:sz="6" w:space="0" w:color="auto"/>
            </w:tcBorders>
            <w:vAlign w:val="center"/>
          </w:tcPr>
          <w:p w14:paraId="44DE9EFB" w14:textId="77777777" w:rsidR="00930E00" w:rsidRDefault="00930E00" w:rsidP="00AD2F6B">
            <w:pPr>
              <w:pStyle w:val="TAH"/>
            </w:pPr>
            <w:r>
              <w:t>SCS</w:t>
            </w:r>
            <w:r>
              <w:rPr>
                <w:vertAlign w:val="subscript"/>
              </w:rPr>
              <w:t>SSB</w:t>
            </w:r>
            <w:r>
              <w:rPr>
                <w:rFonts w:cs="Arial"/>
              </w:rPr>
              <w:t xml:space="preserve"> = 240kHz</w:t>
            </w:r>
          </w:p>
        </w:tc>
        <w:tc>
          <w:tcPr>
            <w:tcW w:w="1473" w:type="dxa"/>
            <w:tcBorders>
              <w:top w:val="nil"/>
              <w:left w:val="single" w:sz="6" w:space="0" w:color="auto"/>
              <w:bottom w:val="single" w:sz="6" w:space="0" w:color="auto"/>
              <w:right w:val="single" w:sz="6" w:space="0" w:color="auto"/>
            </w:tcBorders>
            <w:vAlign w:val="center"/>
            <w:hideMark/>
          </w:tcPr>
          <w:p w14:paraId="2B85D5FB" w14:textId="77777777" w:rsidR="00930E00" w:rsidRDefault="00930E00" w:rsidP="003852A9">
            <w:pPr>
              <w:pStyle w:val="TAH"/>
            </w:pPr>
          </w:p>
        </w:tc>
        <w:tc>
          <w:tcPr>
            <w:tcW w:w="1440" w:type="dxa"/>
            <w:tcBorders>
              <w:top w:val="nil"/>
              <w:left w:val="single" w:sz="6" w:space="0" w:color="auto"/>
              <w:bottom w:val="single" w:sz="6" w:space="0" w:color="auto"/>
              <w:right w:val="single" w:sz="4" w:space="0" w:color="auto"/>
            </w:tcBorders>
            <w:vAlign w:val="center"/>
            <w:hideMark/>
          </w:tcPr>
          <w:p w14:paraId="486ECD02" w14:textId="77777777" w:rsidR="00930E00" w:rsidRDefault="00930E00" w:rsidP="003852A9">
            <w:pPr>
              <w:pStyle w:val="TAH"/>
            </w:pPr>
          </w:p>
        </w:tc>
      </w:tr>
      <w:tr w:rsidR="00CA6320" w14:paraId="4D47EA2A" w14:textId="77777777" w:rsidTr="00AD2F6B">
        <w:trPr>
          <w:jc w:val="center"/>
        </w:trPr>
        <w:tc>
          <w:tcPr>
            <w:tcW w:w="1107" w:type="dxa"/>
            <w:tcBorders>
              <w:top w:val="single" w:sz="6" w:space="0" w:color="auto"/>
              <w:left w:val="single" w:sz="4" w:space="0" w:color="auto"/>
              <w:bottom w:val="nil"/>
              <w:right w:val="single" w:sz="6" w:space="0" w:color="auto"/>
            </w:tcBorders>
            <w:hideMark/>
          </w:tcPr>
          <w:p w14:paraId="0263C9A9" w14:textId="60A2AF85" w:rsidR="00CA6320" w:rsidRDefault="00CA6320" w:rsidP="00CA6320">
            <w:pPr>
              <w:pStyle w:val="TAC"/>
            </w:pPr>
            <w:r>
              <w:rPr>
                <w:rFonts w:cs="Arial"/>
              </w:rPr>
              <w:t>±3.5</w:t>
            </w:r>
          </w:p>
        </w:tc>
        <w:tc>
          <w:tcPr>
            <w:tcW w:w="1107" w:type="dxa"/>
            <w:tcBorders>
              <w:top w:val="single" w:sz="6" w:space="0" w:color="auto"/>
              <w:left w:val="single" w:sz="6" w:space="0" w:color="auto"/>
              <w:bottom w:val="nil"/>
              <w:right w:val="single" w:sz="4" w:space="0" w:color="auto"/>
            </w:tcBorders>
            <w:hideMark/>
          </w:tcPr>
          <w:p w14:paraId="493C15E9" w14:textId="6342F50B" w:rsidR="00CA6320" w:rsidRDefault="00CA6320" w:rsidP="00CA6320">
            <w:pPr>
              <w:pStyle w:val="TAC"/>
            </w:pPr>
            <w:r>
              <w:rPr>
                <w:rFonts w:cs="Arial"/>
              </w:rPr>
              <w:t>±4.5</w:t>
            </w:r>
          </w:p>
        </w:tc>
        <w:tc>
          <w:tcPr>
            <w:tcW w:w="1042" w:type="dxa"/>
            <w:tcBorders>
              <w:top w:val="single" w:sz="4" w:space="0" w:color="auto"/>
              <w:left w:val="single" w:sz="4" w:space="0" w:color="auto"/>
              <w:bottom w:val="single" w:sz="4" w:space="0" w:color="auto"/>
              <w:right w:val="single" w:sz="4" w:space="0" w:color="auto"/>
            </w:tcBorders>
            <w:hideMark/>
          </w:tcPr>
          <w:p w14:paraId="21216A5C" w14:textId="77777777" w:rsidR="00CA6320" w:rsidRDefault="00CA6320" w:rsidP="00CA6320">
            <w:pPr>
              <w:pStyle w:val="TAC"/>
            </w:pPr>
            <w:r>
              <w:rPr>
                <w:rFonts w:eastAsia="Yu Mincho" w:cs="Arial"/>
                <w:lang w:eastAsia="ja-JP"/>
              </w:rPr>
              <w:t>≥-3</w:t>
            </w:r>
          </w:p>
        </w:tc>
        <w:tc>
          <w:tcPr>
            <w:tcW w:w="2551" w:type="dxa"/>
            <w:gridSpan w:val="2"/>
            <w:tcBorders>
              <w:top w:val="single" w:sz="6" w:space="0" w:color="auto"/>
              <w:left w:val="single" w:sz="4" w:space="0" w:color="auto"/>
              <w:bottom w:val="single" w:sz="6" w:space="0" w:color="auto"/>
              <w:right w:val="single" w:sz="6" w:space="0" w:color="auto"/>
            </w:tcBorders>
            <w:hideMark/>
          </w:tcPr>
          <w:p w14:paraId="19FA0651" w14:textId="396A787C" w:rsidR="00CA6320" w:rsidRDefault="00CA6320" w:rsidP="00CA6320">
            <w:pPr>
              <w:pStyle w:val="TAC"/>
              <w:rPr>
                <w:rFonts w:eastAsia="Yu Mincho"/>
                <w:lang w:eastAsia="ja-JP"/>
              </w:rPr>
            </w:pPr>
            <w:r w:rsidRPr="009C5807">
              <w:t xml:space="preserve">Same value as SSB_RP in Table </w:t>
            </w:r>
            <w:r>
              <w:t xml:space="preserve">in </w:t>
            </w:r>
            <w:r w:rsidRPr="009C5807">
              <w:t>B.2</w:t>
            </w:r>
            <w:r>
              <w:t>.8.2</w:t>
            </w:r>
            <w:r w:rsidRPr="009C5807">
              <w:t>, according to UE Power class, operating band and angle of arrival</w:t>
            </w:r>
          </w:p>
        </w:tc>
        <w:tc>
          <w:tcPr>
            <w:tcW w:w="1473" w:type="dxa"/>
            <w:tcBorders>
              <w:top w:val="single" w:sz="6" w:space="0" w:color="auto"/>
              <w:left w:val="single" w:sz="6" w:space="0" w:color="auto"/>
              <w:bottom w:val="single" w:sz="6" w:space="0" w:color="auto"/>
              <w:right w:val="single" w:sz="6" w:space="0" w:color="auto"/>
            </w:tcBorders>
            <w:hideMark/>
          </w:tcPr>
          <w:p w14:paraId="27D1226D" w14:textId="77777777" w:rsidR="00CA6320" w:rsidRDefault="00CA6320" w:rsidP="00CA6320">
            <w:pPr>
              <w:pStyle w:val="TAC"/>
            </w:pPr>
            <w:r>
              <w:rPr>
                <w:lang w:eastAsia="zh-CN"/>
              </w:rPr>
              <w:t>N/A</w:t>
            </w:r>
          </w:p>
        </w:tc>
        <w:tc>
          <w:tcPr>
            <w:tcW w:w="1440" w:type="dxa"/>
            <w:tcBorders>
              <w:top w:val="single" w:sz="6" w:space="0" w:color="auto"/>
              <w:left w:val="single" w:sz="6" w:space="0" w:color="auto"/>
              <w:bottom w:val="single" w:sz="6" w:space="0" w:color="auto"/>
              <w:right w:val="single" w:sz="4" w:space="0" w:color="auto"/>
            </w:tcBorders>
            <w:hideMark/>
          </w:tcPr>
          <w:p w14:paraId="1D2270A3" w14:textId="77777777" w:rsidR="00CA6320" w:rsidRDefault="00CA6320" w:rsidP="00CA6320">
            <w:pPr>
              <w:pStyle w:val="TAC"/>
            </w:pPr>
            <w:r>
              <w:t>-50</w:t>
            </w:r>
          </w:p>
        </w:tc>
      </w:tr>
      <w:tr w:rsidR="00930E00" w14:paraId="17390110" w14:textId="77777777" w:rsidTr="00AD2F6B">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5AEF3C00"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26DDB7AC" w14:textId="77777777" w:rsidR="00930E00" w:rsidRDefault="00930E00" w:rsidP="00AD2F6B">
            <w:pPr>
              <w:pStyle w:val="TAN"/>
              <w:rPr>
                <w:lang w:eastAsia="zh-CN"/>
              </w:rPr>
            </w:pPr>
            <w:r>
              <w:t>N</w:t>
            </w:r>
            <w:r>
              <w:rPr>
                <w:lang w:eastAsia="zh-CN"/>
              </w:rPr>
              <w:t>OTE</w:t>
            </w:r>
            <w:r>
              <w:t xml:space="preserve"> 2:</w:t>
            </w:r>
            <w:r>
              <w:tab/>
            </w:r>
            <w:r>
              <w:rPr>
                <w:lang w:eastAsia="zh-CN"/>
              </w:rPr>
              <w:t xml:space="preserve">The parameter SSB CMR </w:t>
            </w:r>
            <w:r>
              <w:t>Ês/Iot</w:t>
            </w:r>
            <w:r>
              <w:rPr>
                <w:lang w:eastAsia="zh-CN"/>
              </w:rPr>
              <w:t xml:space="preserve"> is the minimum SSB CMR </w:t>
            </w:r>
            <w:r>
              <w:t>Ês/Iot</w:t>
            </w:r>
            <w:r>
              <w:rPr>
                <w:lang w:eastAsia="zh-CN"/>
              </w:rPr>
              <w:t xml:space="preserve"> of the pair of SSBs to which the requirement applies.</w:t>
            </w:r>
          </w:p>
          <w:p w14:paraId="22DC1C00" w14:textId="77777777" w:rsidR="00930E00" w:rsidRDefault="00930E00" w:rsidP="00AD2F6B">
            <w:pPr>
              <w:pStyle w:val="TAN"/>
            </w:pPr>
            <w:r>
              <w:t>NOTE 3:</w:t>
            </w:r>
            <w:r>
              <w:tab/>
              <w:t>Values based on Refsens and EIS spherical coverage as defined in clauses 7.3.2 and 7.3.4 of TS 38.101-2 [19]. Applicable side condition selected depending on angle of arrival.</w:t>
            </w:r>
          </w:p>
          <w:p w14:paraId="712AEFA8" w14:textId="77777777" w:rsidR="00930E00" w:rsidRDefault="00930E00" w:rsidP="00AD2F6B">
            <w:pPr>
              <w:pStyle w:val="TAN"/>
            </w:pPr>
            <w:r>
              <w:t>NOTE 4:</w:t>
            </w:r>
            <w:r>
              <w:tab/>
              <w:t>In the test cases, the SSB CMR Ês/Iot and related parameters may need to be adjusted to ensure Ês/Iot at UE baseband is above the value defined in this table.</w:t>
            </w:r>
          </w:p>
        </w:tc>
      </w:tr>
    </w:tbl>
    <w:p w14:paraId="00EA6E33" w14:textId="77777777" w:rsidR="00930E00" w:rsidRPr="00F37389" w:rsidRDefault="00930E00" w:rsidP="00481679">
      <w:pPr>
        <w:rPr>
          <w:rFonts w:eastAsia="?? ??"/>
        </w:rPr>
      </w:pPr>
    </w:p>
    <w:p w14:paraId="54C162C9" w14:textId="77777777" w:rsidR="00930E00" w:rsidRDefault="00930E00" w:rsidP="00930E00">
      <w:pPr>
        <w:keepNext/>
        <w:keepLines/>
        <w:spacing w:before="120"/>
        <w:ind w:left="1418" w:hanging="1418"/>
        <w:outlineLvl w:val="3"/>
        <w:rPr>
          <w:lang w:val="en-US"/>
        </w:rPr>
      </w:pPr>
      <w:r>
        <w:rPr>
          <w:rFonts w:ascii="Arial" w:hAnsi="Arial"/>
          <w:sz w:val="24"/>
          <w:lang w:val="en-US"/>
        </w:rPr>
        <w:t>10.1.28.3</w:t>
      </w:r>
      <w:r>
        <w:rPr>
          <w:rFonts w:ascii="Arial" w:hAnsi="Arial"/>
          <w:sz w:val="24"/>
          <w:lang w:val="en-US"/>
        </w:rPr>
        <w:tab/>
        <w:t>L1-SINR accuracy requirements with CSI-RS based CMR and dedicated IMR configured</w:t>
      </w:r>
    </w:p>
    <w:p w14:paraId="19F7909D" w14:textId="77777777" w:rsidR="00930E00" w:rsidRDefault="00930E00" w:rsidP="00930E00">
      <w:pPr>
        <w:keepNext/>
        <w:keepLines/>
        <w:spacing w:before="120"/>
        <w:ind w:left="1701" w:hanging="1701"/>
        <w:outlineLvl w:val="4"/>
      </w:pPr>
      <w:r>
        <w:rPr>
          <w:rFonts w:ascii="Arial" w:hAnsi="Arial"/>
          <w:sz w:val="22"/>
        </w:rPr>
        <w:t>10.1.28.3.1</w:t>
      </w:r>
      <w:r>
        <w:rPr>
          <w:rFonts w:ascii="Arial" w:hAnsi="Arial"/>
          <w:sz w:val="22"/>
        </w:rPr>
        <w:tab/>
        <w:t>Absolute Accuracy</w:t>
      </w:r>
    </w:p>
    <w:p w14:paraId="49739779" w14:textId="77777777" w:rsidR="00930E00" w:rsidRDefault="00930E00" w:rsidP="00930E00">
      <w:pPr>
        <w:rPr>
          <w:rFonts w:cs="v4.2.0"/>
          <w:i/>
        </w:rPr>
      </w:pPr>
      <w:r>
        <w:rPr>
          <w:rFonts w:cs="v4.2.0"/>
        </w:rPr>
        <w:t xml:space="preserve">Unless otherwise specified, the requirements for absolute accuracy of </w:t>
      </w:r>
      <w:r>
        <w:rPr>
          <w:rFonts w:cs="v4.2.0"/>
          <w:lang w:eastAsia="zh-CN"/>
        </w:rPr>
        <w:t>CSI-RS based L1-</w:t>
      </w:r>
      <w:r>
        <w:rPr>
          <w:rFonts w:cs="v4.2.0"/>
        </w:rPr>
        <w:t>SINR in this clause apply to all CSI-RS resources as CMR and dedicated resources configured as IMR of the serving cell configured for L1-SINR measurement.</w:t>
      </w:r>
    </w:p>
    <w:p w14:paraId="7286DEE3" w14:textId="77777777" w:rsidR="00930E00" w:rsidRDefault="00930E00" w:rsidP="00930E00">
      <w:pPr>
        <w:rPr>
          <w:rFonts w:cs="v4.2.0"/>
        </w:rPr>
      </w:pPr>
      <w:r>
        <w:rPr>
          <w:rFonts w:cs="v4.2.0"/>
        </w:rPr>
        <w:t>The accuracy requirements are defined in Table 10.1.28.3.1-1 for CSI-RS based CMR and NZP-IMR and in Table 10.1.28</w:t>
      </w:r>
      <w:r w:rsidRPr="00313499">
        <w:rPr>
          <w:rFonts w:cs="v4.2.0"/>
        </w:rPr>
        <w:t>.</w:t>
      </w:r>
      <w:r>
        <w:rPr>
          <w:rFonts w:cs="v4.2.0"/>
        </w:rPr>
        <w:t>3</w:t>
      </w:r>
      <w:r w:rsidRPr="00313499">
        <w:rPr>
          <w:rFonts w:cs="v4.2.0"/>
        </w:rPr>
        <w:t>.1-</w:t>
      </w:r>
      <w:r>
        <w:rPr>
          <w:rFonts w:cs="v4.2.0"/>
        </w:rPr>
        <w:t>2 for CSI-RS based CMR and ZP-IMR.</w:t>
      </w:r>
    </w:p>
    <w:p w14:paraId="3B2193D1" w14:textId="77777777" w:rsidR="00930E00" w:rsidRDefault="00930E00" w:rsidP="00930E00">
      <w:pPr>
        <w:rPr>
          <w:rFonts w:cs="v4.2.0"/>
        </w:rPr>
      </w:pPr>
      <w:r>
        <w:rPr>
          <w:rFonts w:cs="v4.2.0"/>
        </w:rPr>
        <w:t xml:space="preserve">The accuracy requirements in Tables </w:t>
      </w:r>
      <w:r>
        <w:rPr>
          <w:rFonts w:cs="v4.2.0"/>
          <w:lang w:eastAsia="zh-CN"/>
        </w:rPr>
        <w:t>10.1.28.3.1</w:t>
      </w:r>
      <w:r>
        <w:rPr>
          <w:rFonts w:cs="v4.2.0"/>
        </w:rPr>
        <w:t xml:space="preserve">-1 and </w:t>
      </w:r>
      <w:r>
        <w:rPr>
          <w:rFonts w:cs="v4.2.0"/>
          <w:lang w:eastAsia="zh-CN"/>
        </w:rPr>
        <w:t>10.1.28.3.1</w:t>
      </w:r>
      <w:r>
        <w:rPr>
          <w:rFonts w:cs="v4.2.0"/>
        </w:rPr>
        <w:t>-2 are valid under the following conditions:</w:t>
      </w:r>
    </w:p>
    <w:p w14:paraId="12307B64" w14:textId="77777777" w:rsidR="00930E00" w:rsidRDefault="00930E00" w:rsidP="00930E00">
      <w:pPr>
        <w:pStyle w:val="B10"/>
      </w:pPr>
      <w:r>
        <w:t>-</w:t>
      </w:r>
      <w:r>
        <w:tab/>
        <w:t>Conditions defined in clause 7.3 of TS 38.101-2 [19] for reference sensitivity are fulfilled.</w:t>
      </w:r>
    </w:p>
    <w:p w14:paraId="68FA6339" w14:textId="3896E6DC" w:rsidR="00930E00" w:rsidRDefault="00930E00" w:rsidP="00930E00">
      <w:pPr>
        <w:pStyle w:val="B10"/>
        <w:rPr>
          <w:lang w:eastAsia="zh-CN"/>
        </w:rPr>
      </w:pPr>
      <w:r w:rsidRPr="009C5807">
        <w:t>-</w:t>
      </w:r>
      <w:r w:rsidRPr="009C5807">
        <w:tab/>
        <w:t>Conditions for L1-</w:t>
      </w:r>
      <w:r>
        <w:t>SINR</w:t>
      </w:r>
      <w:r w:rsidRPr="009C5807">
        <w:t xml:space="preserve"> measurements are fulfilled according to Annex B.2</w:t>
      </w:r>
      <w:r w:rsidR="005A3DF0">
        <w:t>.8.3</w:t>
      </w:r>
      <w:r w:rsidRPr="009C5807">
        <w:t xml:space="preserve"> for a corresponding Band </w:t>
      </w:r>
      <w:r w:rsidRPr="009C5807">
        <w:rPr>
          <w:rFonts w:cs="v4.2.0"/>
          <w:lang w:eastAsia="ko-KR"/>
        </w:rPr>
        <w:t>for each relevant CSI-RS</w:t>
      </w:r>
      <w:r>
        <w:rPr>
          <w:rFonts w:cs="v4.2.0"/>
          <w:lang w:eastAsia="ko-KR"/>
        </w:rPr>
        <w:t xml:space="preserve"> based CMR and IMR</w:t>
      </w:r>
      <w:r w:rsidRPr="009C5807">
        <w:rPr>
          <w:lang w:eastAsia="zh-CN"/>
        </w:rPr>
        <w:t>.</w:t>
      </w:r>
    </w:p>
    <w:p w14:paraId="68BD6EE0" w14:textId="77777777" w:rsidR="00930E00" w:rsidRDefault="00930E00" w:rsidP="00930E00">
      <w:pPr>
        <w:pStyle w:val="B10"/>
        <w:rPr>
          <w:lang w:eastAsia="zh-CN"/>
        </w:rPr>
      </w:pPr>
      <w:r>
        <w:rPr>
          <w:lang w:eastAsia="zh-CN"/>
        </w:rPr>
        <w:t>-</w:t>
      </w:r>
      <w:r>
        <w:rPr>
          <w:lang w:eastAsia="zh-CN"/>
        </w:rPr>
        <w:tab/>
        <w:t>The bandwidth of CSI-RS as CMR, NZP-IMR and ZP-IMR is 48 PRBs and the density is 3.</w:t>
      </w:r>
    </w:p>
    <w:p w14:paraId="46537A2A" w14:textId="77777777" w:rsidR="00930E00" w:rsidRDefault="00930E00" w:rsidP="00930E00">
      <w:pPr>
        <w:pStyle w:val="B10"/>
        <w:rPr>
          <w:lang w:eastAsia="zh-CN"/>
        </w:rPr>
      </w:pPr>
      <w:r>
        <w:t>-</w:t>
      </w:r>
      <w:r>
        <w:tab/>
        <w:t xml:space="preserve">The measured signals are in the directions covered by the percentile EIS spherical coverage of the UE, defined in </w:t>
      </w:r>
      <w:r>
        <w:rPr>
          <w:rFonts w:cs="Arial"/>
        </w:rPr>
        <w:t>clause 7.3.4 of TS 38.101-2 [19]</w:t>
      </w:r>
      <w:r>
        <w:t>.</w:t>
      </w:r>
    </w:p>
    <w:p w14:paraId="0B828197" w14:textId="5D009F08" w:rsidR="00930E00" w:rsidRDefault="00930E00" w:rsidP="00930E00">
      <w:pPr>
        <w:pStyle w:val="B10"/>
        <w:rPr>
          <w:lang w:eastAsia="zh-CN"/>
        </w:rPr>
      </w:pPr>
      <w:r>
        <w:rPr>
          <w:lang w:eastAsia="zh-CN"/>
        </w:rPr>
        <w:t>-</w:t>
      </w:r>
      <w:r>
        <w:rPr>
          <w:lang w:eastAsia="zh-CN"/>
        </w:rPr>
        <w:tab/>
        <w:t>AWGN</w:t>
      </w:r>
      <w:r w:rsidR="005A3DF0" w:rsidRPr="00FB249D">
        <w:t xml:space="preserve"> </w:t>
      </w:r>
      <w:r w:rsidR="005A3DF0" w:rsidRPr="00B910B8">
        <w:t>radio propagation conditions</w:t>
      </w:r>
      <w:r>
        <w:rPr>
          <w:lang w:eastAsia="zh-CN"/>
        </w:rPr>
        <w:t>.</w:t>
      </w:r>
    </w:p>
    <w:p w14:paraId="28B239A6" w14:textId="77777777" w:rsidR="00930E00" w:rsidRDefault="00930E00" w:rsidP="00930E00">
      <w:pPr>
        <w:pStyle w:val="B10"/>
        <w:rPr>
          <w:lang w:eastAsia="zh-CN"/>
        </w:rPr>
      </w:pPr>
      <w:r>
        <w:rPr>
          <w:lang w:eastAsia="zh-CN"/>
        </w:rPr>
        <w:t>-</w:t>
      </w:r>
      <w:r>
        <w:rPr>
          <w:lang w:eastAsia="zh-CN"/>
        </w:rPr>
        <w:tab/>
        <w:t>CSI-RS based CMR and IMR in the test come from the same direction.</w:t>
      </w:r>
    </w:p>
    <w:p w14:paraId="201BF37A" w14:textId="77777777" w:rsidR="00930E00" w:rsidRPr="00F37389" w:rsidRDefault="00930E00" w:rsidP="00930E00">
      <w:pPr>
        <w:rPr>
          <w:rFonts w:eastAsia="?? ??"/>
          <w:sz w:val="24"/>
          <w:szCs w:val="24"/>
        </w:rPr>
      </w:pPr>
      <w:r>
        <w:rPr>
          <w:rFonts w:eastAsia="PMingLiU"/>
          <w:lang w:eastAsia="zh-CN"/>
        </w:rPr>
        <w:t xml:space="preserve">The performance with larger bandwidth of CSI-RS as CMR, NZP-IMR and ZP-IMR is equal to or better than the accuracy requirements in Tables 10.1.28.3.1-1 and </w:t>
      </w:r>
      <w:r>
        <w:rPr>
          <w:rFonts w:cs="v4.2.0"/>
        </w:rPr>
        <w:t>10.1.28.3.1-2.</w:t>
      </w:r>
    </w:p>
    <w:p w14:paraId="38852A0D" w14:textId="77777777" w:rsidR="00930E00" w:rsidRDefault="00930E00" w:rsidP="00930E00">
      <w:pPr>
        <w:pStyle w:val="TH"/>
      </w:pPr>
      <w:r>
        <w:t>Table 10.1.28.3.1-1: L1-SINR absolute accuracy for CSI-RS based CMR and NZP-IMR in FR2</w:t>
      </w:r>
    </w:p>
    <w:tbl>
      <w:tblPr>
        <w:tblW w:w="8720" w:type="dxa"/>
        <w:jc w:val="center"/>
        <w:tblLook w:val="01E0" w:firstRow="1" w:lastRow="1" w:firstColumn="1" w:lastColumn="1" w:noHBand="0" w:noVBand="0"/>
      </w:tblPr>
      <w:tblGrid>
        <w:gridCol w:w="1110"/>
        <w:gridCol w:w="1109"/>
        <w:gridCol w:w="802"/>
        <w:gridCol w:w="802"/>
        <w:gridCol w:w="981"/>
        <w:gridCol w:w="982"/>
        <w:gridCol w:w="1440"/>
        <w:gridCol w:w="1494"/>
      </w:tblGrid>
      <w:tr w:rsidR="00930E00" w14:paraId="5DA0429F" w14:textId="77777777" w:rsidTr="00AD2F6B">
        <w:trPr>
          <w:jc w:val="center"/>
        </w:trPr>
        <w:tc>
          <w:tcPr>
            <w:tcW w:w="2219" w:type="dxa"/>
            <w:gridSpan w:val="2"/>
            <w:tcBorders>
              <w:top w:val="single" w:sz="6" w:space="0" w:color="auto"/>
              <w:left w:val="single" w:sz="4" w:space="0" w:color="auto"/>
              <w:bottom w:val="nil"/>
              <w:right w:val="single" w:sz="6" w:space="0" w:color="auto"/>
            </w:tcBorders>
            <w:vAlign w:val="center"/>
            <w:hideMark/>
          </w:tcPr>
          <w:p w14:paraId="67AB0F75" w14:textId="77777777" w:rsidR="00930E00" w:rsidRDefault="00930E00" w:rsidP="00AD2F6B">
            <w:pPr>
              <w:pStyle w:val="TAH"/>
            </w:pPr>
            <w:r>
              <w:t>Accuracy</w:t>
            </w:r>
          </w:p>
        </w:tc>
        <w:tc>
          <w:tcPr>
            <w:tcW w:w="6501" w:type="dxa"/>
            <w:gridSpan w:val="6"/>
            <w:tcBorders>
              <w:top w:val="single" w:sz="4" w:space="0" w:color="auto"/>
              <w:left w:val="single" w:sz="4" w:space="0" w:color="auto"/>
              <w:bottom w:val="nil"/>
              <w:right w:val="single" w:sz="4" w:space="0" w:color="auto"/>
            </w:tcBorders>
            <w:vAlign w:val="center"/>
            <w:hideMark/>
          </w:tcPr>
          <w:p w14:paraId="287CFA6F" w14:textId="77777777" w:rsidR="00930E00" w:rsidRDefault="00930E00" w:rsidP="00AD2F6B">
            <w:pPr>
              <w:pStyle w:val="TAH"/>
            </w:pPr>
            <w:r>
              <w:t>Conditions</w:t>
            </w:r>
          </w:p>
        </w:tc>
      </w:tr>
      <w:tr w:rsidR="00930E00" w14:paraId="2E60271A" w14:textId="77777777" w:rsidTr="00AD2F6B">
        <w:trPr>
          <w:jc w:val="center"/>
        </w:trPr>
        <w:tc>
          <w:tcPr>
            <w:tcW w:w="1110" w:type="dxa"/>
            <w:tcBorders>
              <w:top w:val="single" w:sz="6" w:space="0" w:color="auto"/>
              <w:left w:val="single" w:sz="4" w:space="0" w:color="auto"/>
              <w:bottom w:val="nil"/>
              <w:right w:val="single" w:sz="6" w:space="0" w:color="auto"/>
            </w:tcBorders>
            <w:vAlign w:val="center"/>
            <w:hideMark/>
          </w:tcPr>
          <w:p w14:paraId="6828C6D8" w14:textId="77777777" w:rsidR="00930E00" w:rsidRDefault="00930E00" w:rsidP="00AD2F6B">
            <w:pPr>
              <w:pStyle w:val="TAH"/>
            </w:pPr>
            <w:r>
              <w:t>Normal condition</w:t>
            </w:r>
          </w:p>
        </w:tc>
        <w:tc>
          <w:tcPr>
            <w:tcW w:w="1109" w:type="dxa"/>
            <w:tcBorders>
              <w:top w:val="single" w:sz="6" w:space="0" w:color="auto"/>
              <w:left w:val="single" w:sz="6" w:space="0" w:color="auto"/>
              <w:bottom w:val="nil"/>
              <w:right w:val="single" w:sz="6" w:space="0" w:color="auto"/>
            </w:tcBorders>
            <w:vAlign w:val="center"/>
            <w:hideMark/>
          </w:tcPr>
          <w:p w14:paraId="7F613AAF" w14:textId="77777777" w:rsidR="00930E00" w:rsidRDefault="00930E00" w:rsidP="00AD2F6B">
            <w:pPr>
              <w:pStyle w:val="TAH"/>
            </w:pPr>
            <w:r>
              <w:t>Extreme condition</w:t>
            </w:r>
          </w:p>
        </w:tc>
        <w:tc>
          <w:tcPr>
            <w:tcW w:w="802" w:type="dxa"/>
            <w:vMerge w:val="restart"/>
            <w:tcBorders>
              <w:top w:val="single" w:sz="4" w:space="0" w:color="auto"/>
              <w:left w:val="single" w:sz="4" w:space="0" w:color="auto"/>
              <w:right w:val="single" w:sz="4" w:space="0" w:color="auto"/>
            </w:tcBorders>
            <w:hideMark/>
          </w:tcPr>
          <w:p w14:paraId="50155332" w14:textId="3C739E38" w:rsidR="00930E00" w:rsidRDefault="00930E00" w:rsidP="00AD2F6B">
            <w:pPr>
              <w:pStyle w:val="TAH"/>
            </w:pPr>
            <w:r>
              <w:rPr>
                <w:rFonts w:cs="Arial"/>
              </w:rPr>
              <w:t>CSI-RS CMR Ês/Iot</w:t>
            </w:r>
            <w:r w:rsidR="005A3DF0">
              <w:rPr>
                <w:vertAlign w:val="superscript"/>
              </w:rPr>
              <w:t xml:space="preserve"> Note 3</w:t>
            </w:r>
          </w:p>
        </w:tc>
        <w:tc>
          <w:tcPr>
            <w:tcW w:w="802" w:type="dxa"/>
            <w:vMerge w:val="restart"/>
            <w:tcBorders>
              <w:top w:val="single" w:sz="4" w:space="0" w:color="auto"/>
              <w:left w:val="single" w:sz="4" w:space="0" w:color="auto"/>
              <w:right w:val="single" w:sz="4" w:space="0" w:color="auto"/>
            </w:tcBorders>
          </w:tcPr>
          <w:p w14:paraId="5D25764F" w14:textId="77777777" w:rsidR="00930E00" w:rsidRDefault="00930E00" w:rsidP="00AD2F6B">
            <w:pPr>
              <w:pStyle w:val="TAH"/>
            </w:pPr>
            <w:r>
              <w:t>NZP-IMR</w:t>
            </w:r>
          </w:p>
          <w:p w14:paraId="0138AA0B" w14:textId="1A7C4E88" w:rsidR="00930E00" w:rsidRDefault="00930E00" w:rsidP="00AD2F6B">
            <w:pPr>
              <w:pStyle w:val="TAH"/>
            </w:pPr>
            <w:r>
              <w:rPr>
                <w:rFonts w:cs="Arial"/>
              </w:rPr>
              <w:t>Ês/Iot</w:t>
            </w:r>
            <w:r w:rsidR="005A3DF0">
              <w:rPr>
                <w:vertAlign w:val="superscript"/>
              </w:rPr>
              <w:t xml:space="preserve"> Note 3</w:t>
            </w:r>
          </w:p>
        </w:tc>
        <w:tc>
          <w:tcPr>
            <w:tcW w:w="4897" w:type="dxa"/>
            <w:gridSpan w:val="4"/>
            <w:tcBorders>
              <w:top w:val="single" w:sz="4" w:space="0" w:color="auto"/>
              <w:left w:val="single" w:sz="4" w:space="0" w:color="auto"/>
              <w:bottom w:val="single" w:sz="6" w:space="0" w:color="auto"/>
              <w:right w:val="single" w:sz="4" w:space="0" w:color="auto"/>
            </w:tcBorders>
            <w:vAlign w:val="center"/>
            <w:hideMark/>
          </w:tcPr>
          <w:p w14:paraId="75E00657" w14:textId="77777777" w:rsidR="00930E00" w:rsidRDefault="00930E00" w:rsidP="00AD2F6B">
            <w:pPr>
              <w:pStyle w:val="TAH"/>
            </w:pPr>
            <w:r>
              <w:t>Io</w:t>
            </w:r>
            <w:r>
              <w:rPr>
                <w:vertAlign w:val="superscript"/>
              </w:rPr>
              <w:t xml:space="preserve"> Note 1</w:t>
            </w:r>
            <w:r>
              <w:t xml:space="preserve"> range</w:t>
            </w:r>
          </w:p>
        </w:tc>
      </w:tr>
      <w:tr w:rsidR="00930E00" w14:paraId="0F619853"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39C8DA40"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vAlign w:val="center"/>
            <w:hideMark/>
          </w:tcPr>
          <w:p w14:paraId="69699FDD" w14:textId="77777777" w:rsidR="00930E00" w:rsidRDefault="00930E00" w:rsidP="003852A9">
            <w:pPr>
              <w:pStyle w:val="TAH"/>
            </w:pPr>
          </w:p>
        </w:tc>
        <w:tc>
          <w:tcPr>
            <w:tcW w:w="802" w:type="dxa"/>
            <w:vMerge/>
            <w:tcBorders>
              <w:left w:val="single" w:sz="4" w:space="0" w:color="auto"/>
              <w:bottom w:val="single" w:sz="6" w:space="0" w:color="auto"/>
              <w:right w:val="single" w:sz="4" w:space="0" w:color="auto"/>
            </w:tcBorders>
            <w:vAlign w:val="center"/>
            <w:hideMark/>
          </w:tcPr>
          <w:p w14:paraId="1426E097" w14:textId="77777777" w:rsidR="00930E00" w:rsidRDefault="00930E00" w:rsidP="003852A9">
            <w:pPr>
              <w:pStyle w:val="TAH"/>
            </w:pPr>
          </w:p>
        </w:tc>
        <w:tc>
          <w:tcPr>
            <w:tcW w:w="802" w:type="dxa"/>
            <w:vMerge/>
            <w:tcBorders>
              <w:left w:val="single" w:sz="4" w:space="0" w:color="auto"/>
              <w:bottom w:val="single" w:sz="6" w:space="0" w:color="auto"/>
              <w:right w:val="single" w:sz="4" w:space="0" w:color="auto"/>
            </w:tcBorders>
            <w:vAlign w:val="center"/>
          </w:tcPr>
          <w:p w14:paraId="3282CBA3" w14:textId="77777777" w:rsidR="00930E00" w:rsidRDefault="00930E00" w:rsidP="003852A9">
            <w:pPr>
              <w:pStyle w:val="TAH"/>
            </w:pPr>
          </w:p>
        </w:tc>
        <w:tc>
          <w:tcPr>
            <w:tcW w:w="3403" w:type="dxa"/>
            <w:gridSpan w:val="3"/>
            <w:tcBorders>
              <w:top w:val="single" w:sz="4" w:space="0" w:color="auto"/>
              <w:left w:val="single" w:sz="4" w:space="0" w:color="auto"/>
              <w:bottom w:val="single" w:sz="6" w:space="0" w:color="auto"/>
              <w:right w:val="single" w:sz="6" w:space="0" w:color="auto"/>
            </w:tcBorders>
            <w:vAlign w:val="center"/>
            <w:hideMark/>
          </w:tcPr>
          <w:p w14:paraId="5ECAEA54" w14:textId="77777777" w:rsidR="00930E00" w:rsidRDefault="00930E00" w:rsidP="00AD2F6B">
            <w:pPr>
              <w:pStyle w:val="TAH"/>
            </w:pPr>
            <w:r>
              <w:t>Minimum Io</w:t>
            </w:r>
          </w:p>
        </w:tc>
        <w:tc>
          <w:tcPr>
            <w:tcW w:w="1494" w:type="dxa"/>
            <w:tcBorders>
              <w:top w:val="single" w:sz="4" w:space="0" w:color="auto"/>
              <w:left w:val="single" w:sz="6" w:space="0" w:color="auto"/>
              <w:bottom w:val="single" w:sz="6" w:space="0" w:color="auto"/>
              <w:right w:val="single" w:sz="4" w:space="0" w:color="auto"/>
            </w:tcBorders>
            <w:vAlign w:val="center"/>
            <w:hideMark/>
          </w:tcPr>
          <w:p w14:paraId="298C889C" w14:textId="77777777" w:rsidR="00930E00" w:rsidRDefault="00930E00" w:rsidP="00AD2F6B">
            <w:pPr>
              <w:pStyle w:val="TAH"/>
            </w:pPr>
            <w:r>
              <w:t>Maximum Io</w:t>
            </w:r>
          </w:p>
        </w:tc>
      </w:tr>
      <w:tr w:rsidR="00930E00" w14:paraId="66C16C4E" w14:textId="77777777" w:rsidTr="00AD2F6B">
        <w:trPr>
          <w:jc w:val="center"/>
        </w:trPr>
        <w:tc>
          <w:tcPr>
            <w:tcW w:w="1110" w:type="dxa"/>
            <w:tcBorders>
              <w:top w:val="single" w:sz="6" w:space="0" w:color="auto"/>
              <w:left w:val="single" w:sz="4" w:space="0" w:color="auto"/>
              <w:bottom w:val="nil"/>
              <w:right w:val="single" w:sz="6" w:space="0" w:color="auto"/>
            </w:tcBorders>
            <w:hideMark/>
          </w:tcPr>
          <w:p w14:paraId="2E1D5EDA" w14:textId="77777777" w:rsidR="00930E00" w:rsidRDefault="00930E00" w:rsidP="003852A9">
            <w:pPr>
              <w:pStyle w:val="TAH"/>
            </w:pPr>
            <w:r>
              <w:t>dB</w:t>
            </w:r>
          </w:p>
        </w:tc>
        <w:tc>
          <w:tcPr>
            <w:tcW w:w="1109" w:type="dxa"/>
            <w:tcBorders>
              <w:top w:val="single" w:sz="6" w:space="0" w:color="auto"/>
              <w:left w:val="single" w:sz="6" w:space="0" w:color="auto"/>
              <w:bottom w:val="nil"/>
              <w:right w:val="single" w:sz="6" w:space="0" w:color="auto"/>
            </w:tcBorders>
            <w:hideMark/>
          </w:tcPr>
          <w:p w14:paraId="37CC9B9A" w14:textId="77777777" w:rsidR="00930E00" w:rsidRDefault="00930E00" w:rsidP="003852A9">
            <w:pPr>
              <w:pStyle w:val="TAH"/>
            </w:pPr>
            <w:r>
              <w:t>dB</w:t>
            </w:r>
          </w:p>
        </w:tc>
        <w:tc>
          <w:tcPr>
            <w:tcW w:w="802" w:type="dxa"/>
            <w:tcBorders>
              <w:top w:val="single" w:sz="6" w:space="0" w:color="auto"/>
              <w:left w:val="single" w:sz="4" w:space="0" w:color="auto"/>
              <w:bottom w:val="nil"/>
              <w:right w:val="single" w:sz="4" w:space="0" w:color="auto"/>
            </w:tcBorders>
            <w:hideMark/>
          </w:tcPr>
          <w:p w14:paraId="3F7A2495" w14:textId="77777777" w:rsidR="00930E00" w:rsidRDefault="00930E00" w:rsidP="003852A9">
            <w:pPr>
              <w:pStyle w:val="TAH"/>
              <w:rPr>
                <w:rFonts w:cs="Arial"/>
              </w:rPr>
            </w:pPr>
            <w:r>
              <w:t>dB</w:t>
            </w:r>
          </w:p>
        </w:tc>
        <w:tc>
          <w:tcPr>
            <w:tcW w:w="802" w:type="dxa"/>
            <w:tcBorders>
              <w:top w:val="single" w:sz="6" w:space="0" w:color="auto"/>
              <w:left w:val="single" w:sz="4" w:space="0" w:color="auto"/>
              <w:bottom w:val="nil"/>
              <w:right w:val="single" w:sz="4" w:space="0" w:color="auto"/>
            </w:tcBorders>
          </w:tcPr>
          <w:p w14:paraId="4BDA4677" w14:textId="77777777" w:rsidR="00930E00" w:rsidRDefault="00930E00" w:rsidP="003852A9">
            <w:pPr>
              <w:pStyle w:val="TAH"/>
              <w:rPr>
                <w:rFonts w:cs="Arial"/>
              </w:rPr>
            </w:pPr>
            <w:r>
              <w:rPr>
                <w:rFonts w:cs="Arial"/>
              </w:rPr>
              <w:t>dB</w:t>
            </w:r>
          </w:p>
        </w:tc>
        <w:tc>
          <w:tcPr>
            <w:tcW w:w="1963" w:type="dxa"/>
            <w:gridSpan w:val="2"/>
            <w:tcBorders>
              <w:top w:val="single" w:sz="6" w:space="0" w:color="auto"/>
              <w:left w:val="single" w:sz="4" w:space="0" w:color="auto"/>
              <w:bottom w:val="single" w:sz="6" w:space="0" w:color="auto"/>
              <w:right w:val="single" w:sz="6" w:space="0" w:color="auto"/>
            </w:tcBorders>
            <w:hideMark/>
          </w:tcPr>
          <w:p w14:paraId="0FCE1102" w14:textId="77777777" w:rsidR="00930E00" w:rsidRDefault="00930E00" w:rsidP="00AD2F6B">
            <w:pPr>
              <w:pStyle w:val="TAH"/>
            </w:pPr>
            <w:r>
              <w:rPr>
                <w:rFonts w:cs="Arial"/>
              </w:rPr>
              <w:t xml:space="preserve">dBm / </w:t>
            </w:r>
            <w:r>
              <w:t>SCS</w:t>
            </w:r>
            <w:r>
              <w:rPr>
                <w:vertAlign w:val="subscript"/>
              </w:rPr>
              <w:t>CSI-RS</w:t>
            </w:r>
            <w:r>
              <w:rPr>
                <w:vertAlign w:val="superscript"/>
              </w:rPr>
              <w:t xml:space="preserve"> Note 2</w:t>
            </w:r>
          </w:p>
        </w:tc>
        <w:tc>
          <w:tcPr>
            <w:tcW w:w="1440" w:type="dxa"/>
            <w:tcBorders>
              <w:top w:val="single" w:sz="6" w:space="0" w:color="auto"/>
              <w:left w:val="single" w:sz="6" w:space="0" w:color="auto"/>
              <w:bottom w:val="nil"/>
              <w:right w:val="single" w:sz="6" w:space="0" w:color="auto"/>
            </w:tcBorders>
            <w:hideMark/>
          </w:tcPr>
          <w:p w14:paraId="6F6F4208" w14:textId="77777777" w:rsidR="00930E00" w:rsidRDefault="00930E00" w:rsidP="00AD2F6B">
            <w:pPr>
              <w:pStyle w:val="TAH"/>
            </w:pPr>
            <w:r>
              <w:t>dBm/BW</w:t>
            </w:r>
            <w:r>
              <w:rPr>
                <w:vertAlign w:val="subscript"/>
              </w:rPr>
              <w:t>Channel</w:t>
            </w:r>
          </w:p>
        </w:tc>
        <w:tc>
          <w:tcPr>
            <w:tcW w:w="1494" w:type="dxa"/>
            <w:tcBorders>
              <w:top w:val="single" w:sz="6" w:space="0" w:color="auto"/>
              <w:left w:val="single" w:sz="6" w:space="0" w:color="auto"/>
              <w:bottom w:val="nil"/>
              <w:right w:val="single" w:sz="4" w:space="0" w:color="auto"/>
            </w:tcBorders>
            <w:hideMark/>
          </w:tcPr>
          <w:p w14:paraId="1A45119D" w14:textId="77777777" w:rsidR="00930E00" w:rsidRDefault="00930E00" w:rsidP="00AD2F6B">
            <w:pPr>
              <w:pStyle w:val="TAH"/>
            </w:pPr>
            <w:r>
              <w:t>dBm/BW</w:t>
            </w:r>
            <w:r>
              <w:rPr>
                <w:vertAlign w:val="subscript"/>
              </w:rPr>
              <w:t>Channel</w:t>
            </w:r>
          </w:p>
        </w:tc>
      </w:tr>
      <w:tr w:rsidR="00930E00" w14:paraId="6D70668C" w14:textId="77777777" w:rsidTr="00AD2F6B">
        <w:trPr>
          <w:jc w:val="center"/>
        </w:trPr>
        <w:tc>
          <w:tcPr>
            <w:tcW w:w="0" w:type="auto"/>
            <w:tcBorders>
              <w:top w:val="nil"/>
              <w:left w:val="single" w:sz="4" w:space="0" w:color="auto"/>
              <w:bottom w:val="single" w:sz="6" w:space="0" w:color="auto"/>
              <w:right w:val="single" w:sz="6" w:space="0" w:color="auto"/>
            </w:tcBorders>
            <w:hideMark/>
          </w:tcPr>
          <w:p w14:paraId="2564D5FD" w14:textId="77777777" w:rsidR="00930E00" w:rsidRDefault="00930E00" w:rsidP="003852A9">
            <w:pPr>
              <w:pStyle w:val="TAH"/>
            </w:pPr>
          </w:p>
        </w:tc>
        <w:tc>
          <w:tcPr>
            <w:tcW w:w="0" w:type="auto"/>
            <w:tcBorders>
              <w:top w:val="nil"/>
              <w:left w:val="single" w:sz="6" w:space="0" w:color="auto"/>
              <w:bottom w:val="single" w:sz="6" w:space="0" w:color="auto"/>
              <w:right w:val="single" w:sz="6" w:space="0" w:color="auto"/>
            </w:tcBorders>
            <w:hideMark/>
          </w:tcPr>
          <w:p w14:paraId="287202BC" w14:textId="77777777" w:rsidR="00930E00" w:rsidRDefault="00930E00" w:rsidP="003852A9">
            <w:pPr>
              <w:pStyle w:val="TAH"/>
            </w:pPr>
          </w:p>
        </w:tc>
        <w:tc>
          <w:tcPr>
            <w:tcW w:w="802" w:type="dxa"/>
            <w:tcBorders>
              <w:top w:val="nil"/>
              <w:left w:val="single" w:sz="4" w:space="0" w:color="auto"/>
              <w:bottom w:val="single" w:sz="4" w:space="0" w:color="auto"/>
              <w:right w:val="single" w:sz="4" w:space="0" w:color="auto"/>
            </w:tcBorders>
            <w:hideMark/>
          </w:tcPr>
          <w:p w14:paraId="38DFA623" w14:textId="77777777" w:rsidR="00930E00" w:rsidRDefault="00930E00" w:rsidP="003852A9">
            <w:pPr>
              <w:pStyle w:val="TAH"/>
            </w:pPr>
          </w:p>
        </w:tc>
        <w:tc>
          <w:tcPr>
            <w:tcW w:w="802" w:type="dxa"/>
            <w:tcBorders>
              <w:top w:val="nil"/>
              <w:left w:val="single" w:sz="4" w:space="0" w:color="auto"/>
              <w:bottom w:val="single" w:sz="4" w:space="0" w:color="auto"/>
              <w:right w:val="single" w:sz="4" w:space="0" w:color="auto"/>
            </w:tcBorders>
          </w:tcPr>
          <w:p w14:paraId="76F55D42" w14:textId="77777777" w:rsidR="00930E00" w:rsidRDefault="00930E00" w:rsidP="003852A9">
            <w:pPr>
              <w:pStyle w:val="TAH"/>
            </w:pPr>
          </w:p>
        </w:tc>
        <w:tc>
          <w:tcPr>
            <w:tcW w:w="981" w:type="dxa"/>
            <w:tcBorders>
              <w:top w:val="single" w:sz="6" w:space="0" w:color="auto"/>
              <w:left w:val="single" w:sz="4" w:space="0" w:color="auto"/>
              <w:bottom w:val="single" w:sz="6" w:space="0" w:color="auto"/>
              <w:right w:val="single" w:sz="6" w:space="0" w:color="auto"/>
            </w:tcBorders>
            <w:hideMark/>
          </w:tcPr>
          <w:p w14:paraId="3E07B74B" w14:textId="77777777" w:rsidR="00930E00" w:rsidRDefault="00930E00" w:rsidP="00AD2F6B">
            <w:pPr>
              <w:pStyle w:val="TAH"/>
            </w:pPr>
            <w:r>
              <w:t>SCS</w:t>
            </w:r>
            <w:r>
              <w:rPr>
                <w:vertAlign w:val="subscript"/>
              </w:rPr>
              <w:t>CSI-RS</w:t>
            </w:r>
            <w:r>
              <w:rPr>
                <w:rFonts w:cs="Arial"/>
              </w:rPr>
              <w:t xml:space="preserve"> = 60kHz</w:t>
            </w:r>
          </w:p>
        </w:tc>
        <w:tc>
          <w:tcPr>
            <w:tcW w:w="982" w:type="dxa"/>
            <w:tcBorders>
              <w:top w:val="single" w:sz="6" w:space="0" w:color="auto"/>
              <w:left w:val="single" w:sz="4" w:space="0" w:color="auto"/>
              <w:bottom w:val="single" w:sz="6" w:space="0" w:color="auto"/>
              <w:right w:val="single" w:sz="6" w:space="0" w:color="auto"/>
            </w:tcBorders>
          </w:tcPr>
          <w:p w14:paraId="490F9E13" w14:textId="77777777" w:rsidR="00930E00" w:rsidRDefault="00930E00" w:rsidP="00AD2F6B">
            <w:pPr>
              <w:pStyle w:val="TAH"/>
            </w:pPr>
            <w:r>
              <w:t>SCS</w:t>
            </w:r>
            <w:r>
              <w:rPr>
                <w:vertAlign w:val="subscript"/>
              </w:rPr>
              <w:t>CSI-RS</w:t>
            </w:r>
            <w:r>
              <w:rPr>
                <w:rFonts w:cs="Arial"/>
              </w:rPr>
              <w:t xml:space="preserve"> = 120kHz</w:t>
            </w:r>
          </w:p>
        </w:tc>
        <w:tc>
          <w:tcPr>
            <w:tcW w:w="1440" w:type="dxa"/>
            <w:tcBorders>
              <w:top w:val="nil"/>
              <w:left w:val="single" w:sz="6" w:space="0" w:color="auto"/>
              <w:bottom w:val="single" w:sz="6" w:space="0" w:color="auto"/>
              <w:right w:val="single" w:sz="6" w:space="0" w:color="auto"/>
            </w:tcBorders>
            <w:hideMark/>
          </w:tcPr>
          <w:p w14:paraId="773012F8" w14:textId="77777777" w:rsidR="00930E00" w:rsidRDefault="00930E00" w:rsidP="003852A9">
            <w:pPr>
              <w:pStyle w:val="TAH"/>
            </w:pPr>
          </w:p>
        </w:tc>
        <w:tc>
          <w:tcPr>
            <w:tcW w:w="1494" w:type="dxa"/>
            <w:tcBorders>
              <w:top w:val="nil"/>
              <w:left w:val="single" w:sz="6" w:space="0" w:color="auto"/>
              <w:bottom w:val="single" w:sz="6" w:space="0" w:color="auto"/>
              <w:right w:val="single" w:sz="4" w:space="0" w:color="auto"/>
            </w:tcBorders>
            <w:hideMark/>
          </w:tcPr>
          <w:p w14:paraId="0A54ACA8" w14:textId="77777777" w:rsidR="00930E00" w:rsidRDefault="00930E00" w:rsidP="003852A9">
            <w:pPr>
              <w:pStyle w:val="TAH"/>
            </w:pPr>
          </w:p>
        </w:tc>
      </w:tr>
      <w:tr w:rsidR="00930E00" w14:paraId="44D979B3" w14:textId="77777777" w:rsidTr="00AD2F6B">
        <w:trPr>
          <w:jc w:val="center"/>
        </w:trPr>
        <w:tc>
          <w:tcPr>
            <w:tcW w:w="1110" w:type="dxa"/>
            <w:tcBorders>
              <w:top w:val="single" w:sz="6" w:space="0" w:color="auto"/>
              <w:left w:val="single" w:sz="4" w:space="0" w:color="auto"/>
              <w:bottom w:val="nil"/>
              <w:right w:val="single" w:sz="6" w:space="0" w:color="auto"/>
            </w:tcBorders>
            <w:hideMark/>
          </w:tcPr>
          <w:p w14:paraId="0C1AE792" w14:textId="77777777" w:rsidR="00930E00" w:rsidRDefault="00930E00" w:rsidP="00AD2F6B">
            <w:pPr>
              <w:pStyle w:val="TAC"/>
            </w:pPr>
            <w:r>
              <w:rPr>
                <w:rFonts w:cs="Arial"/>
              </w:rPr>
              <w:t>±</w:t>
            </w:r>
            <w:r>
              <w:t>4.0</w:t>
            </w:r>
          </w:p>
        </w:tc>
        <w:tc>
          <w:tcPr>
            <w:tcW w:w="1109" w:type="dxa"/>
            <w:tcBorders>
              <w:top w:val="single" w:sz="6" w:space="0" w:color="auto"/>
              <w:left w:val="single" w:sz="6" w:space="0" w:color="auto"/>
              <w:bottom w:val="nil"/>
              <w:right w:val="single" w:sz="4" w:space="0" w:color="auto"/>
            </w:tcBorders>
            <w:hideMark/>
          </w:tcPr>
          <w:p w14:paraId="7F32964A" w14:textId="77777777" w:rsidR="00930E00" w:rsidRDefault="00930E00" w:rsidP="00AD2F6B">
            <w:pPr>
              <w:pStyle w:val="TAC"/>
            </w:pPr>
            <w:r>
              <w:rPr>
                <w:rFonts w:cs="Arial"/>
              </w:rPr>
              <w:t>±</w:t>
            </w:r>
            <w:r>
              <w:t>5.0</w:t>
            </w:r>
          </w:p>
        </w:tc>
        <w:tc>
          <w:tcPr>
            <w:tcW w:w="802" w:type="dxa"/>
            <w:tcBorders>
              <w:top w:val="single" w:sz="4" w:space="0" w:color="auto"/>
              <w:left w:val="single" w:sz="4" w:space="0" w:color="auto"/>
              <w:bottom w:val="single" w:sz="4" w:space="0" w:color="auto"/>
              <w:right w:val="single" w:sz="4" w:space="0" w:color="auto"/>
            </w:tcBorders>
            <w:hideMark/>
          </w:tcPr>
          <w:p w14:paraId="52BC954F" w14:textId="77777777" w:rsidR="00930E00" w:rsidRDefault="00930E00" w:rsidP="00AD2F6B">
            <w:pPr>
              <w:pStyle w:val="TAC"/>
            </w:pPr>
            <w:r>
              <w:rPr>
                <w:rFonts w:eastAsia="Yu Mincho" w:cs="Arial"/>
                <w:lang w:eastAsia="ja-JP"/>
              </w:rPr>
              <w:t>≥0</w:t>
            </w:r>
          </w:p>
        </w:tc>
        <w:tc>
          <w:tcPr>
            <w:tcW w:w="802" w:type="dxa"/>
            <w:tcBorders>
              <w:top w:val="single" w:sz="4" w:space="0" w:color="auto"/>
              <w:left w:val="single" w:sz="4" w:space="0" w:color="auto"/>
              <w:bottom w:val="single" w:sz="4" w:space="0" w:color="auto"/>
              <w:right w:val="single" w:sz="4" w:space="0" w:color="auto"/>
            </w:tcBorders>
          </w:tcPr>
          <w:p w14:paraId="27B8DE6D" w14:textId="77777777" w:rsidR="00930E00" w:rsidRDefault="00930E00" w:rsidP="00AD2F6B">
            <w:pPr>
              <w:pStyle w:val="TAC"/>
            </w:pPr>
            <w:r>
              <w:rPr>
                <w:rFonts w:eastAsia="Yu Mincho" w:cs="Arial"/>
                <w:lang w:eastAsia="ja-JP"/>
              </w:rPr>
              <w:t>≥0</w:t>
            </w:r>
          </w:p>
        </w:tc>
        <w:tc>
          <w:tcPr>
            <w:tcW w:w="1963" w:type="dxa"/>
            <w:gridSpan w:val="2"/>
            <w:tcBorders>
              <w:top w:val="single" w:sz="6" w:space="0" w:color="auto"/>
              <w:left w:val="single" w:sz="4" w:space="0" w:color="auto"/>
              <w:bottom w:val="single" w:sz="6" w:space="0" w:color="auto"/>
              <w:right w:val="single" w:sz="6" w:space="0" w:color="auto"/>
            </w:tcBorders>
            <w:hideMark/>
          </w:tcPr>
          <w:p w14:paraId="7A39D68F" w14:textId="4A7560B7" w:rsidR="00930E00" w:rsidRDefault="00930E00" w:rsidP="00AD2F6B">
            <w:pPr>
              <w:pStyle w:val="TAC"/>
              <w:rPr>
                <w:rFonts w:eastAsia="Yu Mincho"/>
                <w:lang w:eastAsia="ja-JP"/>
              </w:rPr>
            </w:pPr>
            <w:r w:rsidRPr="009C5807">
              <w:t xml:space="preserve">Same value as CSI-RS_RP in Table </w:t>
            </w:r>
            <w:r>
              <w:t xml:space="preserve">in </w:t>
            </w:r>
            <w:r w:rsidRPr="009C5807">
              <w:t>B.2</w:t>
            </w:r>
            <w:r w:rsidR="00B15E34">
              <w:t>.8.3</w:t>
            </w:r>
            <w:r w:rsidRPr="009C5807">
              <w:t>, according to UE Power class, operating band and angle of arrival</w:t>
            </w:r>
          </w:p>
        </w:tc>
        <w:tc>
          <w:tcPr>
            <w:tcW w:w="1440" w:type="dxa"/>
            <w:tcBorders>
              <w:top w:val="single" w:sz="6" w:space="0" w:color="auto"/>
              <w:left w:val="single" w:sz="6" w:space="0" w:color="auto"/>
              <w:bottom w:val="single" w:sz="6" w:space="0" w:color="auto"/>
              <w:right w:val="single" w:sz="6" w:space="0" w:color="auto"/>
            </w:tcBorders>
            <w:hideMark/>
          </w:tcPr>
          <w:p w14:paraId="17E9196C" w14:textId="77777777" w:rsidR="00930E00" w:rsidRDefault="00930E00" w:rsidP="00AD2F6B">
            <w:pPr>
              <w:pStyle w:val="TAC"/>
            </w:pPr>
            <w:r>
              <w:rPr>
                <w:lang w:eastAsia="zh-CN"/>
              </w:rPr>
              <w:t>N/A</w:t>
            </w:r>
          </w:p>
        </w:tc>
        <w:tc>
          <w:tcPr>
            <w:tcW w:w="1494" w:type="dxa"/>
            <w:tcBorders>
              <w:top w:val="single" w:sz="6" w:space="0" w:color="auto"/>
              <w:left w:val="single" w:sz="6" w:space="0" w:color="auto"/>
              <w:bottom w:val="single" w:sz="6" w:space="0" w:color="auto"/>
              <w:right w:val="single" w:sz="4" w:space="0" w:color="auto"/>
            </w:tcBorders>
            <w:hideMark/>
          </w:tcPr>
          <w:p w14:paraId="6481063F" w14:textId="77777777" w:rsidR="00930E00" w:rsidRDefault="00930E00" w:rsidP="00AD2F6B">
            <w:pPr>
              <w:pStyle w:val="TAC"/>
            </w:pPr>
            <w:r>
              <w:t>-50</w:t>
            </w:r>
          </w:p>
        </w:tc>
      </w:tr>
      <w:tr w:rsidR="00930E00" w14:paraId="0FDDA459" w14:textId="77777777" w:rsidTr="00AD2F6B">
        <w:trPr>
          <w:jc w:val="center"/>
        </w:trPr>
        <w:tc>
          <w:tcPr>
            <w:tcW w:w="8720" w:type="dxa"/>
            <w:gridSpan w:val="8"/>
            <w:tcBorders>
              <w:top w:val="single" w:sz="6" w:space="0" w:color="auto"/>
              <w:left w:val="single" w:sz="4" w:space="0" w:color="auto"/>
              <w:bottom w:val="single" w:sz="6" w:space="0" w:color="auto"/>
              <w:right w:val="single" w:sz="4" w:space="0" w:color="auto"/>
            </w:tcBorders>
            <w:vAlign w:val="center"/>
            <w:hideMark/>
          </w:tcPr>
          <w:p w14:paraId="661EA78F"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410F097E" w14:textId="77777777" w:rsidR="00930E00" w:rsidRDefault="00930E00" w:rsidP="00AD2F6B">
            <w:pPr>
              <w:pStyle w:val="TAN"/>
            </w:pPr>
            <w:r>
              <w:t>NOTE 2:</w:t>
            </w:r>
            <w:r>
              <w:tab/>
              <w:t>Values based on Refsens and EIS spherical coverage as defined in clauses 7.3.2 and 7.3.4 of TS 38.101-2 [19]. Applicable side condition selected depending on angle of arrival.</w:t>
            </w:r>
          </w:p>
          <w:p w14:paraId="78EBF9DE" w14:textId="70974435" w:rsidR="00930E00" w:rsidRDefault="00930E00" w:rsidP="00AD2F6B">
            <w:pPr>
              <w:pStyle w:val="TAN"/>
            </w:pPr>
            <w:r>
              <w:t>NOTE 3:</w:t>
            </w:r>
            <w:r>
              <w:tab/>
              <w:t>In the test cases, the CSI-RS Ês/Iot</w:t>
            </w:r>
            <w:r w:rsidR="00B15E34">
              <w:t>, NZP-IMR Ês/Iot</w:t>
            </w:r>
            <w:r>
              <w:t xml:space="preserve"> and related parameters may need to be adjusted to ensure Ês/Iot at UE baseband is above the value defined in this table.</w:t>
            </w:r>
          </w:p>
        </w:tc>
      </w:tr>
    </w:tbl>
    <w:p w14:paraId="44F6B6FC" w14:textId="77777777" w:rsidR="00930E00" w:rsidRDefault="00930E00" w:rsidP="00930E00"/>
    <w:p w14:paraId="47D6B46B" w14:textId="77777777" w:rsidR="00930E00" w:rsidRDefault="00930E00" w:rsidP="00930E00">
      <w:pPr>
        <w:pStyle w:val="TH"/>
      </w:pPr>
      <w:r>
        <w:t>Table 10.1.28.3.1-2: L1-SINR absolute accuracy for CSI-RS based CMR and ZP-IMR in FR2</w:t>
      </w:r>
    </w:p>
    <w:tbl>
      <w:tblPr>
        <w:tblW w:w="8720" w:type="dxa"/>
        <w:jc w:val="center"/>
        <w:tblLook w:val="01E0" w:firstRow="1" w:lastRow="1" w:firstColumn="1" w:lastColumn="1" w:noHBand="0" w:noVBand="0"/>
      </w:tblPr>
      <w:tblGrid>
        <w:gridCol w:w="1110"/>
        <w:gridCol w:w="1109"/>
        <w:gridCol w:w="895"/>
        <w:gridCol w:w="1690"/>
        <w:gridCol w:w="982"/>
        <w:gridCol w:w="1440"/>
        <w:gridCol w:w="1494"/>
      </w:tblGrid>
      <w:tr w:rsidR="00930E00" w14:paraId="63A419AD" w14:textId="77777777" w:rsidTr="00AD2F6B">
        <w:trPr>
          <w:jc w:val="center"/>
        </w:trPr>
        <w:tc>
          <w:tcPr>
            <w:tcW w:w="2219" w:type="dxa"/>
            <w:gridSpan w:val="2"/>
            <w:tcBorders>
              <w:top w:val="single" w:sz="6" w:space="0" w:color="auto"/>
              <w:left w:val="single" w:sz="4" w:space="0" w:color="auto"/>
              <w:bottom w:val="nil"/>
              <w:right w:val="single" w:sz="6" w:space="0" w:color="auto"/>
            </w:tcBorders>
            <w:vAlign w:val="center"/>
            <w:hideMark/>
          </w:tcPr>
          <w:p w14:paraId="12D442AB" w14:textId="77777777" w:rsidR="00930E00" w:rsidRDefault="00930E00" w:rsidP="00AD2F6B">
            <w:pPr>
              <w:pStyle w:val="TAH"/>
            </w:pPr>
            <w:r>
              <w:t>Accuracy</w:t>
            </w:r>
          </w:p>
        </w:tc>
        <w:tc>
          <w:tcPr>
            <w:tcW w:w="6501" w:type="dxa"/>
            <w:gridSpan w:val="5"/>
            <w:tcBorders>
              <w:top w:val="single" w:sz="4" w:space="0" w:color="auto"/>
              <w:left w:val="single" w:sz="4" w:space="0" w:color="auto"/>
              <w:bottom w:val="nil"/>
              <w:right w:val="single" w:sz="4" w:space="0" w:color="auto"/>
            </w:tcBorders>
            <w:vAlign w:val="center"/>
            <w:hideMark/>
          </w:tcPr>
          <w:p w14:paraId="740E4CC5" w14:textId="77777777" w:rsidR="00930E00" w:rsidRDefault="00930E00" w:rsidP="00AD2F6B">
            <w:pPr>
              <w:pStyle w:val="TAH"/>
            </w:pPr>
            <w:r>
              <w:t>Conditions</w:t>
            </w:r>
          </w:p>
        </w:tc>
      </w:tr>
      <w:tr w:rsidR="00930E00" w14:paraId="197E81DC" w14:textId="77777777" w:rsidTr="00AD2F6B">
        <w:trPr>
          <w:jc w:val="center"/>
        </w:trPr>
        <w:tc>
          <w:tcPr>
            <w:tcW w:w="1110" w:type="dxa"/>
            <w:tcBorders>
              <w:top w:val="single" w:sz="6" w:space="0" w:color="auto"/>
              <w:left w:val="single" w:sz="4" w:space="0" w:color="auto"/>
              <w:bottom w:val="nil"/>
              <w:right w:val="single" w:sz="6" w:space="0" w:color="auto"/>
            </w:tcBorders>
            <w:vAlign w:val="center"/>
            <w:hideMark/>
          </w:tcPr>
          <w:p w14:paraId="2979E248" w14:textId="77777777" w:rsidR="00930E00" w:rsidRDefault="00930E00" w:rsidP="00AD2F6B">
            <w:pPr>
              <w:pStyle w:val="TAH"/>
            </w:pPr>
            <w:r>
              <w:t>Normal condition</w:t>
            </w:r>
          </w:p>
        </w:tc>
        <w:tc>
          <w:tcPr>
            <w:tcW w:w="1109" w:type="dxa"/>
            <w:tcBorders>
              <w:top w:val="single" w:sz="6" w:space="0" w:color="auto"/>
              <w:left w:val="single" w:sz="6" w:space="0" w:color="auto"/>
              <w:bottom w:val="nil"/>
              <w:right w:val="single" w:sz="6" w:space="0" w:color="auto"/>
            </w:tcBorders>
            <w:vAlign w:val="center"/>
            <w:hideMark/>
          </w:tcPr>
          <w:p w14:paraId="43EAB53B" w14:textId="77777777" w:rsidR="00930E00" w:rsidRDefault="00930E00" w:rsidP="00AD2F6B">
            <w:pPr>
              <w:pStyle w:val="TAH"/>
            </w:pPr>
            <w:r>
              <w:t>Extreme condition</w:t>
            </w:r>
          </w:p>
        </w:tc>
        <w:tc>
          <w:tcPr>
            <w:tcW w:w="895" w:type="dxa"/>
            <w:vMerge w:val="restart"/>
            <w:tcBorders>
              <w:top w:val="single" w:sz="4" w:space="0" w:color="auto"/>
              <w:left w:val="single" w:sz="4" w:space="0" w:color="auto"/>
              <w:right w:val="single" w:sz="4" w:space="0" w:color="auto"/>
            </w:tcBorders>
            <w:hideMark/>
          </w:tcPr>
          <w:p w14:paraId="1E376071" w14:textId="05B94EEC" w:rsidR="00930E00" w:rsidRDefault="00930E00" w:rsidP="00AD2F6B">
            <w:pPr>
              <w:pStyle w:val="TAH"/>
            </w:pPr>
            <w:r>
              <w:rPr>
                <w:rFonts w:cs="Arial"/>
              </w:rPr>
              <w:t>CSI-RS CMR Ês/Iot</w:t>
            </w:r>
            <w:r w:rsidR="00B15E34">
              <w:rPr>
                <w:vertAlign w:val="superscript"/>
              </w:rPr>
              <w:t xml:space="preserve"> Note 3</w:t>
            </w:r>
          </w:p>
        </w:tc>
        <w:tc>
          <w:tcPr>
            <w:tcW w:w="5606" w:type="dxa"/>
            <w:gridSpan w:val="4"/>
            <w:tcBorders>
              <w:top w:val="single" w:sz="4" w:space="0" w:color="auto"/>
              <w:left w:val="single" w:sz="4" w:space="0" w:color="auto"/>
              <w:bottom w:val="single" w:sz="6" w:space="0" w:color="auto"/>
              <w:right w:val="single" w:sz="4" w:space="0" w:color="auto"/>
            </w:tcBorders>
            <w:vAlign w:val="center"/>
            <w:hideMark/>
          </w:tcPr>
          <w:p w14:paraId="4D7B97E1" w14:textId="77777777" w:rsidR="00930E00" w:rsidRDefault="00930E00" w:rsidP="00AD2F6B">
            <w:pPr>
              <w:pStyle w:val="TAH"/>
            </w:pPr>
            <w:r>
              <w:t>Io</w:t>
            </w:r>
            <w:r>
              <w:rPr>
                <w:vertAlign w:val="superscript"/>
              </w:rPr>
              <w:t xml:space="preserve"> Note 1</w:t>
            </w:r>
            <w:r>
              <w:t xml:space="preserve"> range</w:t>
            </w:r>
          </w:p>
        </w:tc>
      </w:tr>
      <w:tr w:rsidR="00930E00" w14:paraId="454D0E91"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254896B6" w14:textId="77777777" w:rsidR="00930E00" w:rsidRDefault="00930E00" w:rsidP="00A42E5D">
            <w:pPr>
              <w:pStyle w:val="TAH"/>
            </w:pPr>
          </w:p>
        </w:tc>
        <w:tc>
          <w:tcPr>
            <w:tcW w:w="0" w:type="auto"/>
            <w:tcBorders>
              <w:top w:val="nil"/>
              <w:left w:val="single" w:sz="6" w:space="0" w:color="auto"/>
              <w:bottom w:val="single" w:sz="6" w:space="0" w:color="auto"/>
              <w:right w:val="single" w:sz="6" w:space="0" w:color="auto"/>
            </w:tcBorders>
            <w:vAlign w:val="center"/>
            <w:hideMark/>
          </w:tcPr>
          <w:p w14:paraId="6CCA8A06" w14:textId="77777777" w:rsidR="00930E00" w:rsidRDefault="00930E00" w:rsidP="00A42E5D">
            <w:pPr>
              <w:pStyle w:val="TAH"/>
            </w:pPr>
          </w:p>
        </w:tc>
        <w:tc>
          <w:tcPr>
            <w:tcW w:w="895" w:type="dxa"/>
            <w:vMerge/>
            <w:tcBorders>
              <w:left w:val="single" w:sz="4" w:space="0" w:color="auto"/>
              <w:bottom w:val="single" w:sz="6" w:space="0" w:color="auto"/>
              <w:right w:val="single" w:sz="4" w:space="0" w:color="auto"/>
            </w:tcBorders>
            <w:vAlign w:val="center"/>
            <w:hideMark/>
          </w:tcPr>
          <w:p w14:paraId="311DF414" w14:textId="77777777" w:rsidR="00930E00" w:rsidRDefault="00930E00" w:rsidP="00A42E5D">
            <w:pPr>
              <w:pStyle w:val="TAH"/>
            </w:pPr>
          </w:p>
        </w:tc>
        <w:tc>
          <w:tcPr>
            <w:tcW w:w="4112" w:type="dxa"/>
            <w:gridSpan w:val="3"/>
            <w:tcBorders>
              <w:top w:val="single" w:sz="4" w:space="0" w:color="auto"/>
              <w:left w:val="single" w:sz="4" w:space="0" w:color="auto"/>
              <w:bottom w:val="single" w:sz="6" w:space="0" w:color="auto"/>
              <w:right w:val="single" w:sz="6" w:space="0" w:color="auto"/>
            </w:tcBorders>
            <w:vAlign w:val="center"/>
            <w:hideMark/>
          </w:tcPr>
          <w:p w14:paraId="65296C52" w14:textId="77777777" w:rsidR="00930E00" w:rsidRDefault="00930E00" w:rsidP="00AD2F6B">
            <w:pPr>
              <w:pStyle w:val="TAH"/>
            </w:pPr>
            <w:r>
              <w:t>Minimum Io</w:t>
            </w:r>
          </w:p>
        </w:tc>
        <w:tc>
          <w:tcPr>
            <w:tcW w:w="1494" w:type="dxa"/>
            <w:tcBorders>
              <w:top w:val="single" w:sz="4" w:space="0" w:color="auto"/>
              <w:left w:val="single" w:sz="6" w:space="0" w:color="auto"/>
              <w:bottom w:val="single" w:sz="6" w:space="0" w:color="auto"/>
              <w:right w:val="single" w:sz="4" w:space="0" w:color="auto"/>
            </w:tcBorders>
            <w:vAlign w:val="center"/>
            <w:hideMark/>
          </w:tcPr>
          <w:p w14:paraId="012D6374" w14:textId="77777777" w:rsidR="00930E00" w:rsidRDefault="00930E00" w:rsidP="00AD2F6B">
            <w:pPr>
              <w:pStyle w:val="TAH"/>
            </w:pPr>
            <w:r>
              <w:t>Maximum Io</w:t>
            </w:r>
          </w:p>
        </w:tc>
      </w:tr>
      <w:tr w:rsidR="00930E00" w14:paraId="51DF64EC" w14:textId="77777777" w:rsidTr="00AD2F6B">
        <w:trPr>
          <w:jc w:val="center"/>
        </w:trPr>
        <w:tc>
          <w:tcPr>
            <w:tcW w:w="1110" w:type="dxa"/>
            <w:tcBorders>
              <w:top w:val="single" w:sz="6" w:space="0" w:color="auto"/>
              <w:left w:val="single" w:sz="4" w:space="0" w:color="auto"/>
              <w:bottom w:val="nil"/>
              <w:right w:val="single" w:sz="6" w:space="0" w:color="auto"/>
            </w:tcBorders>
            <w:hideMark/>
          </w:tcPr>
          <w:p w14:paraId="383497B6" w14:textId="77777777" w:rsidR="00930E00" w:rsidRDefault="00930E00" w:rsidP="00A42E5D">
            <w:pPr>
              <w:pStyle w:val="TAH"/>
            </w:pPr>
            <w:r>
              <w:t>dB</w:t>
            </w:r>
          </w:p>
        </w:tc>
        <w:tc>
          <w:tcPr>
            <w:tcW w:w="1109" w:type="dxa"/>
            <w:tcBorders>
              <w:top w:val="single" w:sz="6" w:space="0" w:color="auto"/>
              <w:left w:val="single" w:sz="6" w:space="0" w:color="auto"/>
              <w:bottom w:val="nil"/>
              <w:right w:val="single" w:sz="6" w:space="0" w:color="auto"/>
            </w:tcBorders>
            <w:hideMark/>
          </w:tcPr>
          <w:p w14:paraId="54ACE78D" w14:textId="77777777" w:rsidR="00930E00" w:rsidRDefault="00930E00" w:rsidP="00A42E5D">
            <w:pPr>
              <w:pStyle w:val="TAH"/>
            </w:pPr>
            <w:r>
              <w:t>dB</w:t>
            </w:r>
          </w:p>
        </w:tc>
        <w:tc>
          <w:tcPr>
            <w:tcW w:w="895" w:type="dxa"/>
            <w:tcBorders>
              <w:top w:val="single" w:sz="6" w:space="0" w:color="auto"/>
              <w:left w:val="single" w:sz="4" w:space="0" w:color="auto"/>
              <w:bottom w:val="nil"/>
              <w:right w:val="single" w:sz="4" w:space="0" w:color="auto"/>
            </w:tcBorders>
            <w:hideMark/>
          </w:tcPr>
          <w:p w14:paraId="083BDC2D" w14:textId="77777777" w:rsidR="00930E00" w:rsidRDefault="00930E00" w:rsidP="00A42E5D">
            <w:pPr>
              <w:pStyle w:val="TAH"/>
              <w:rPr>
                <w:rFonts w:cs="Arial"/>
              </w:rPr>
            </w:pPr>
            <w:r>
              <w:t>dB</w:t>
            </w:r>
          </w:p>
        </w:tc>
        <w:tc>
          <w:tcPr>
            <w:tcW w:w="2672" w:type="dxa"/>
            <w:gridSpan w:val="2"/>
            <w:tcBorders>
              <w:top w:val="single" w:sz="6" w:space="0" w:color="auto"/>
              <w:left w:val="single" w:sz="4" w:space="0" w:color="auto"/>
              <w:bottom w:val="single" w:sz="6" w:space="0" w:color="auto"/>
              <w:right w:val="single" w:sz="6" w:space="0" w:color="auto"/>
            </w:tcBorders>
            <w:hideMark/>
          </w:tcPr>
          <w:p w14:paraId="7B7A568D" w14:textId="77777777" w:rsidR="00930E00" w:rsidRDefault="00930E00" w:rsidP="00AD2F6B">
            <w:pPr>
              <w:pStyle w:val="TAH"/>
            </w:pPr>
            <w:r>
              <w:rPr>
                <w:rFonts w:cs="Arial"/>
              </w:rPr>
              <w:t xml:space="preserve">dBm / </w:t>
            </w:r>
            <w:r>
              <w:t>SCS</w:t>
            </w:r>
            <w:r>
              <w:rPr>
                <w:vertAlign w:val="subscript"/>
              </w:rPr>
              <w:t>CSI-RS</w:t>
            </w:r>
            <w:r>
              <w:rPr>
                <w:vertAlign w:val="superscript"/>
              </w:rPr>
              <w:t xml:space="preserve"> Note 2</w:t>
            </w:r>
          </w:p>
        </w:tc>
        <w:tc>
          <w:tcPr>
            <w:tcW w:w="1440" w:type="dxa"/>
            <w:tcBorders>
              <w:top w:val="single" w:sz="6" w:space="0" w:color="auto"/>
              <w:left w:val="single" w:sz="6" w:space="0" w:color="auto"/>
              <w:bottom w:val="nil"/>
              <w:right w:val="single" w:sz="6" w:space="0" w:color="auto"/>
            </w:tcBorders>
            <w:hideMark/>
          </w:tcPr>
          <w:p w14:paraId="1F5765DF" w14:textId="77777777" w:rsidR="00930E00" w:rsidRDefault="00930E00" w:rsidP="00AD2F6B">
            <w:pPr>
              <w:pStyle w:val="TAH"/>
            </w:pPr>
            <w:r>
              <w:t>dBm/BW</w:t>
            </w:r>
            <w:r>
              <w:rPr>
                <w:vertAlign w:val="subscript"/>
              </w:rPr>
              <w:t>Channel</w:t>
            </w:r>
          </w:p>
        </w:tc>
        <w:tc>
          <w:tcPr>
            <w:tcW w:w="1494" w:type="dxa"/>
            <w:tcBorders>
              <w:top w:val="single" w:sz="6" w:space="0" w:color="auto"/>
              <w:left w:val="single" w:sz="6" w:space="0" w:color="auto"/>
              <w:bottom w:val="nil"/>
              <w:right w:val="single" w:sz="4" w:space="0" w:color="auto"/>
            </w:tcBorders>
            <w:hideMark/>
          </w:tcPr>
          <w:p w14:paraId="76EBDF38" w14:textId="77777777" w:rsidR="00930E00" w:rsidRDefault="00930E00" w:rsidP="00AD2F6B">
            <w:pPr>
              <w:pStyle w:val="TAH"/>
            </w:pPr>
            <w:r>
              <w:t>dBm/BW</w:t>
            </w:r>
            <w:r>
              <w:rPr>
                <w:vertAlign w:val="subscript"/>
              </w:rPr>
              <w:t>Channel</w:t>
            </w:r>
          </w:p>
        </w:tc>
      </w:tr>
      <w:tr w:rsidR="00930E00" w14:paraId="00102F1C" w14:textId="77777777" w:rsidTr="00AD2F6B">
        <w:trPr>
          <w:jc w:val="center"/>
        </w:trPr>
        <w:tc>
          <w:tcPr>
            <w:tcW w:w="0" w:type="auto"/>
            <w:tcBorders>
              <w:top w:val="nil"/>
              <w:left w:val="single" w:sz="4" w:space="0" w:color="auto"/>
              <w:bottom w:val="single" w:sz="6" w:space="0" w:color="auto"/>
              <w:right w:val="single" w:sz="6" w:space="0" w:color="auto"/>
            </w:tcBorders>
            <w:hideMark/>
          </w:tcPr>
          <w:p w14:paraId="022F9C10" w14:textId="77777777" w:rsidR="00930E00" w:rsidRDefault="00930E00" w:rsidP="00A42E5D">
            <w:pPr>
              <w:pStyle w:val="TAH"/>
            </w:pPr>
          </w:p>
        </w:tc>
        <w:tc>
          <w:tcPr>
            <w:tcW w:w="0" w:type="auto"/>
            <w:tcBorders>
              <w:top w:val="nil"/>
              <w:left w:val="single" w:sz="6" w:space="0" w:color="auto"/>
              <w:bottom w:val="single" w:sz="6" w:space="0" w:color="auto"/>
              <w:right w:val="single" w:sz="6" w:space="0" w:color="auto"/>
            </w:tcBorders>
            <w:hideMark/>
          </w:tcPr>
          <w:p w14:paraId="7782BB9F" w14:textId="77777777" w:rsidR="00930E00" w:rsidRDefault="00930E00" w:rsidP="00A42E5D">
            <w:pPr>
              <w:pStyle w:val="TAH"/>
            </w:pPr>
          </w:p>
        </w:tc>
        <w:tc>
          <w:tcPr>
            <w:tcW w:w="895" w:type="dxa"/>
            <w:tcBorders>
              <w:top w:val="nil"/>
              <w:left w:val="single" w:sz="4" w:space="0" w:color="auto"/>
              <w:bottom w:val="single" w:sz="4" w:space="0" w:color="auto"/>
              <w:right w:val="single" w:sz="4" w:space="0" w:color="auto"/>
            </w:tcBorders>
            <w:hideMark/>
          </w:tcPr>
          <w:p w14:paraId="6D64AA3D" w14:textId="77777777" w:rsidR="00930E00" w:rsidRDefault="00930E00" w:rsidP="00A42E5D">
            <w:pPr>
              <w:pStyle w:val="TAH"/>
            </w:pPr>
          </w:p>
        </w:tc>
        <w:tc>
          <w:tcPr>
            <w:tcW w:w="1690" w:type="dxa"/>
            <w:tcBorders>
              <w:top w:val="single" w:sz="6" w:space="0" w:color="auto"/>
              <w:left w:val="single" w:sz="4" w:space="0" w:color="auto"/>
              <w:bottom w:val="single" w:sz="6" w:space="0" w:color="auto"/>
              <w:right w:val="single" w:sz="6" w:space="0" w:color="auto"/>
            </w:tcBorders>
            <w:hideMark/>
          </w:tcPr>
          <w:p w14:paraId="49E3D115" w14:textId="77777777" w:rsidR="00930E00" w:rsidRDefault="00930E00" w:rsidP="00AD2F6B">
            <w:pPr>
              <w:pStyle w:val="TAH"/>
            </w:pPr>
            <w:r>
              <w:t>SCS</w:t>
            </w:r>
            <w:r>
              <w:rPr>
                <w:vertAlign w:val="subscript"/>
              </w:rPr>
              <w:t>CSI-RS</w:t>
            </w:r>
            <w:r>
              <w:rPr>
                <w:rFonts w:cs="Arial"/>
              </w:rPr>
              <w:t xml:space="preserve"> = 60kHz</w:t>
            </w:r>
          </w:p>
        </w:tc>
        <w:tc>
          <w:tcPr>
            <w:tcW w:w="982" w:type="dxa"/>
            <w:tcBorders>
              <w:top w:val="single" w:sz="6" w:space="0" w:color="auto"/>
              <w:left w:val="single" w:sz="4" w:space="0" w:color="auto"/>
              <w:bottom w:val="single" w:sz="6" w:space="0" w:color="auto"/>
              <w:right w:val="single" w:sz="6" w:space="0" w:color="auto"/>
            </w:tcBorders>
          </w:tcPr>
          <w:p w14:paraId="43D8F443" w14:textId="77777777" w:rsidR="00930E00" w:rsidRDefault="00930E00" w:rsidP="00AD2F6B">
            <w:pPr>
              <w:pStyle w:val="TAH"/>
            </w:pPr>
            <w:r>
              <w:t>SCS</w:t>
            </w:r>
            <w:r>
              <w:rPr>
                <w:vertAlign w:val="subscript"/>
              </w:rPr>
              <w:t>CSI-RS</w:t>
            </w:r>
            <w:r>
              <w:rPr>
                <w:rFonts w:cs="Arial"/>
              </w:rPr>
              <w:t xml:space="preserve"> = 120kHz</w:t>
            </w:r>
          </w:p>
        </w:tc>
        <w:tc>
          <w:tcPr>
            <w:tcW w:w="1440" w:type="dxa"/>
            <w:tcBorders>
              <w:top w:val="nil"/>
              <w:left w:val="single" w:sz="6" w:space="0" w:color="auto"/>
              <w:bottom w:val="single" w:sz="6" w:space="0" w:color="auto"/>
              <w:right w:val="single" w:sz="6" w:space="0" w:color="auto"/>
            </w:tcBorders>
            <w:hideMark/>
          </w:tcPr>
          <w:p w14:paraId="751F7BD0" w14:textId="77777777" w:rsidR="00930E00" w:rsidRDefault="00930E00" w:rsidP="00A42E5D">
            <w:pPr>
              <w:pStyle w:val="TAH"/>
            </w:pPr>
          </w:p>
        </w:tc>
        <w:tc>
          <w:tcPr>
            <w:tcW w:w="1494" w:type="dxa"/>
            <w:tcBorders>
              <w:top w:val="nil"/>
              <w:left w:val="single" w:sz="6" w:space="0" w:color="auto"/>
              <w:bottom w:val="single" w:sz="6" w:space="0" w:color="auto"/>
              <w:right w:val="single" w:sz="4" w:space="0" w:color="auto"/>
            </w:tcBorders>
            <w:hideMark/>
          </w:tcPr>
          <w:p w14:paraId="53DDD3B8" w14:textId="77777777" w:rsidR="00930E00" w:rsidRDefault="00930E00" w:rsidP="00A42E5D">
            <w:pPr>
              <w:pStyle w:val="TAH"/>
            </w:pPr>
          </w:p>
        </w:tc>
      </w:tr>
      <w:tr w:rsidR="00930E00" w14:paraId="783EA0A5" w14:textId="77777777" w:rsidTr="00AD2F6B">
        <w:trPr>
          <w:jc w:val="center"/>
        </w:trPr>
        <w:tc>
          <w:tcPr>
            <w:tcW w:w="1110" w:type="dxa"/>
            <w:tcBorders>
              <w:top w:val="single" w:sz="6" w:space="0" w:color="auto"/>
              <w:left w:val="single" w:sz="4" w:space="0" w:color="auto"/>
              <w:bottom w:val="nil"/>
              <w:right w:val="single" w:sz="6" w:space="0" w:color="auto"/>
            </w:tcBorders>
            <w:hideMark/>
          </w:tcPr>
          <w:p w14:paraId="07EC02EB" w14:textId="77777777" w:rsidR="00930E00" w:rsidRDefault="00930E00" w:rsidP="00AD2F6B">
            <w:pPr>
              <w:pStyle w:val="TAC"/>
            </w:pPr>
            <w:r>
              <w:rPr>
                <w:rFonts w:cs="Arial"/>
              </w:rPr>
              <w:t>±</w:t>
            </w:r>
            <w:r>
              <w:t>4.5</w:t>
            </w:r>
          </w:p>
        </w:tc>
        <w:tc>
          <w:tcPr>
            <w:tcW w:w="1109" w:type="dxa"/>
            <w:tcBorders>
              <w:top w:val="single" w:sz="6" w:space="0" w:color="auto"/>
              <w:left w:val="single" w:sz="6" w:space="0" w:color="auto"/>
              <w:bottom w:val="nil"/>
              <w:right w:val="single" w:sz="4" w:space="0" w:color="auto"/>
            </w:tcBorders>
            <w:hideMark/>
          </w:tcPr>
          <w:p w14:paraId="04389844" w14:textId="77777777" w:rsidR="00930E00" w:rsidRDefault="00930E00" w:rsidP="00AD2F6B">
            <w:pPr>
              <w:pStyle w:val="TAC"/>
            </w:pPr>
            <w:r>
              <w:rPr>
                <w:rFonts w:cs="Arial"/>
              </w:rPr>
              <w:t>±</w:t>
            </w:r>
            <w:r>
              <w:t>5.5</w:t>
            </w:r>
          </w:p>
        </w:tc>
        <w:tc>
          <w:tcPr>
            <w:tcW w:w="895" w:type="dxa"/>
            <w:tcBorders>
              <w:top w:val="single" w:sz="4" w:space="0" w:color="auto"/>
              <w:left w:val="single" w:sz="4" w:space="0" w:color="auto"/>
              <w:bottom w:val="single" w:sz="4" w:space="0" w:color="auto"/>
              <w:right w:val="single" w:sz="4" w:space="0" w:color="auto"/>
            </w:tcBorders>
            <w:hideMark/>
          </w:tcPr>
          <w:p w14:paraId="0A360DE4" w14:textId="77777777" w:rsidR="00930E00" w:rsidRDefault="00930E00" w:rsidP="00AD2F6B">
            <w:pPr>
              <w:pStyle w:val="TAC"/>
            </w:pPr>
            <w:r>
              <w:rPr>
                <w:rFonts w:eastAsia="Yu Mincho" w:cs="Arial"/>
                <w:lang w:eastAsia="ja-JP"/>
              </w:rPr>
              <w:t>≥-3</w:t>
            </w:r>
          </w:p>
        </w:tc>
        <w:tc>
          <w:tcPr>
            <w:tcW w:w="2672" w:type="dxa"/>
            <w:gridSpan w:val="2"/>
            <w:tcBorders>
              <w:top w:val="single" w:sz="6" w:space="0" w:color="auto"/>
              <w:left w:val="single" w:sz="4" w:space="0" w:color="auto"/>
              <w:bottom w:val="single" w:sz="6" w:space="0" w:color="auto"/>
              <w:right w:val="single" w:sz="6" w:space="0" w:color="auto"/>
            </w:tcBorders>
            <w:hideMark/>
          </w:tcPr>
          <w:p w14:paraId="56BF930D" w14:textId="24FBEE10" w:rsidR="00930E00" w:rsidRDefault="00930E00" w:rsidP="00AD2F6B">
            <w:pPr>
              <w:pStyle w:val="TAC"/>
              <w:rPr>
                <w:rFonts w:eastAsia="Yu Mincho"/>
                <w:lang w:eastAsia="ja-JP"/>
              </w:rPr>
            </w:pPr>
            <w:r w:rsidRPr="009C5807">
              <w:t xml:space="preserve">Same value as CSI-RS_RP in Table </w:t>
            </w:r>
            <w:r>
              <w:t xml:space="preserve">in </w:t>
            </w:r>
            <w:r w:rsidRPr="009C5807">
              <w:t>B.2</w:t>
            </w:r>
            <w:r w:rsidR="00B15E34">
              <w:t>.8.3</w:t>
            </w:r>
            <w:r w:rsidRPr="009C5807">
              <w:t>, according to UE Power class, operating band and angle of arrival</w:t>
            </w:r>
          </w:p>
        </w:tc>
        <w:tc>
          <w:tcPr>
            <w:tcW w:w="1440" w:type="dxa"/>
            <w:tcBorders>
              <w:top w:val="single" w:sz="6" w:space="0" w:color="auto"/>
              <w:left w:val="single" w:sz="6" w:space="0" w:color="auto"/>
              <w:bottom w:val="single" w:sz="6" w:space="0" w:color="auto"/>
              <w:right w:val="single" w:sz="6" w:space="0" w:color="auto"/>
            </w:tcBorders>
            <w:hideMark/>
          </w:tcPr>
          <w:p w14:paraId="0E793C5A" w14:textId="77777777" w:rsidR="00930E00" w:rsidRDefault="00930E00" w:rsidP="00AD2F6B">
            <w:pPr>
              <w:pStyle w:val="TAC"/>
            </w:pPr>
            <w:r>
              <w:rPr>
                <w:lang w:eastAsia="zh-CN"/>
              </w:rPr>
              <w:t>N/A</w:t>
            </w:r>
          </w:p>
        </w:tc>
        <w:tc>
          <w:tcPr>
            <w:tcW w:w="1494" w:type="dxa"/>
            <w:tcBorders>
              <w:top w:val="single" w:sz="6" w:space="0" w:color="auto"/>
              <w:left w:val="single" w:sz="6" w:space="0" w:color="auto"/>
              <w:bottom w:val="single" w:sz="6" w:space="0" w:color="auto"/>
              <w:right w:val="single" w:sz="4" w:space="0" w:color="auto"/>
            </w:tcBorders>
            <w:hideMark/>
          </w:tcPr>
          <w:p w14:paraId="5C0CF5CD" w14:textId="77777777" w:rsidR="00930E00" w:rsidRDefault="00930E00" w:rsidP="00AD2F6B">
            <w:pPr>
              <w:pStyle w:val="TAC"/>
            </w:pPr>
            <w:r>
              <w:t>-50</w:t>
            </w:r>
          </w:p>
        </w:tc>
      </w:tr>
      <w:tr w:rsidR="00930E00" w14:paraId="268582B2" w14:textId="77777777" w:rsidTr="00AD2F6B">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15A5DEB8"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175DE73A" w14:textId="77777777" w:rsidR="00930E00" w:rsidRDefault="00930E00" w:rsidP="00AD2F6B">
            <w:pPr>
              <w:pStyle w:val="TAN"/>
            </w:pPr>
            <w:r>
              <w:t>NOTE 2:</w:t>
            </w:r>
            <w:r>
              <w:tab/>
              <w:t>Values based on Refsens and EIS spherical coverage as defined in clauses 7.3.2 and 7.3.4 of TS 38.101-2 [19]. Applicable side condition selected depending on angle of arrival.</w:t>
            </w:r>
          </w:p>
          <w:p w14:paraId="087C6042" w14:textId="77777777" w:rsidR="00930E00" w:rsidRDefault="00930E00" w:rsidP="00AD2F6B">
            <w:pPr>
              <w:pStyle w:val="TAN"/>
            </w:pPr>
            <w:r>
              <w:t>NOTE 3:</w:t>
            </w:r>
            <w:r>
              <w:tab/>
              <w:t>In the test cases, the CSI-RS Ês/Iot and related parameters may need to be adjusted to ensure Ês/Iot at UE baseband is above the value defined in this table.</w:t>
            </w:r>
          </w:p>
        </w:tc>
      </w:tr>
    </w:tbl>
    <w:p w14:paraId="6AF39B69" w14:textId="77777777" w:rsidR="00930E00" w:rsidRPr="002E610E" w:rsidRDefault="00930E00" w:rsidP="007C55F6"/>
    <w:p w14:paraId="1E9E068E" w14:textId="77777777" w:rsidR="00930E00" w:rsidRDefault="00930E00" w:rsidP="00930E00">
      <w:pPr>
        <w:keepNext/>
        <w:keepLines/>
        <w:spacing w:before="120"/>
        <w:ind w:left="1701" w:hanging="1701"/>
        <w:outlineLvl w:val="4"/>
      </w:pPr>
      <w:r>
        <w:rPr>
          <w:rFonts w:ascii="Arial" w:hAnsi="Arial"/>
          <w:sz w:val="22"/>
        </w:rPr>
        <w:t>10.1.28.3.2</w:t>
      </w:r>
      <w:r>
        <w:rPr>
          <w:rFonts w:ascii="Arial" w:hAnsi="Arial"/>
          <w:sz w:val="22"/>
        </w:rPr>
        <w:tab/>
        <w:t>Relative Accuracy</w:t>
      </w:r>
    </w:p>
    <w:p w14:paraId="2F6E2F5B" w14:textId="2EB8E351" w:rsidR="00930E00" w:rsidRDefault="00930E00" w:rsidP="00930E00">
      <w:pPr>
        <w:rPr>
          <w:rFonts w:cs="v4.2.0"/>
          <w:i/>
        </w:rPr>
      </w:pPr>
      <w:r>
        <w:rPr>
          <w:rFonts w:cs="v4.2.0"/>
        </w:rPr>
        <w:t xml:space="preserve">The relative accuracy of </w:t>
      </w:r>
      <w:r>
        <w:rPr>
          <w:rFonts w:cs="v4.2.0"/>
          <w:lang w:eastAsia="zh-CN"/>
        </w:rPr>
        <w:t>CSI-RS based L1-</w:t>
      </w:r>
      <w:r>
        <w:rPr>
          <w:rFonts w:cs="v4.2.0"/>
        </w:rPr>
        <w:t xml:space="preserve">SINR is defined as the </w:t>
      </w:r>
      <w:r>
        <w:rPr>
          <w:rFonts w:cs="v4.2.0"/>
          <w:lang w:eastAsia="zh-CN"/>
        </w:rPr>
        <w:t>L1-</w:t>
      </w:r>
      <w:r>
        <w:rPr>
          <w:rFonts w:cs="v4.2.0"/>
        </w:rPr>
        <w:t xml:space="preserve">SINR measured from one CSI-RS configured as CMR and one IMR configured as IMR compared to the </w:t>
      </w:r>
      <w:r>
        <w:rPr>
          <w:lang w:val="en-US"/>
        </w:rPr>
        <w:t>largest measured value of L1-SINR among all CSI-RS</w:t>
      </w:r>
      <w:r w:rsidR="009C6F72">
        <w:rPr>
          <w:lang w:val="en-US"/>
        </w:rPr>
        <w:t xml:space="preserve"> </w:t>
      </w:r>
      <w:r w:rsidR="009C6F72">
        <w:rPr>
          <w:rFonts w:hint="eastAsia"/>
          <w:lang w:val="en-US" w:eastAsia="zh-CN"/>
        </w:rPr>
        <w:t>based</w:t>
      </w:r>
      <w:r w:rsidR="009C6F72">
        <w:rPr>
          <w:lang w:val="en-US" w:eastAsia="zh-CN"/>
        </w:rPr>
        <w:t xml:space="preserve"> CMRs</w:t>
      </w:r>
      <w:r>
        <w:rPr>
          <w:lang w:val="en-US"/>
        </w:rPr>
        <w:t xml:space="preserve"> and IMR</w:t>
      </w:r>
      <w:r w:rsidR="009C6F72">
        <w:rPr>
          <w:lang w:val="en-US"/>
        </w:rPr>
        <w:t>s</w:t>
      </w:r>
      <w:r>
        <w:rPr>
          <w:lang w:val="en-US"/>
        </w:rPr>
        <w:t xml:space="preserve"> of the serving cell</w:t>
      </w:r>
      <w:r>
        <w:rPr>
          <w:rFonts w:cs="v4.2.0"/>
        </w:rPr>
        <w:t>.</w:t>
      </w:r>
    </w:p>
    <w:p w14:paraId="311B919F" w14:textId="77777777" w:rsidR="00930E00" w:rsidRDefault="00930E00" w:rsidP="00930E00">
      <w:pPr>
        <w:rPr>
          <w:rFonts w:cs="v4.2.0"/>
        </w:rPr>
      </w:pPr>
      <w:r>
        <w:rPr>
          <w:rFonts w:cs="v4.2.0"/>
        </w:rPr>
        <w:t>The accuracy requirements are defined in Table 10.1.28.3.2-1 for CSI-RS based CMR and NZP-IMR and in Table 10.1.28</w:t>
      </w:r>
      <w:r w:rsidRPr="00313499">
        <w:rPr>
          <w:rFonts w:cs="v4.2.0"/>
        </w:rPr>
        <w:t>.</w:t>
      </w:r>
      <w:r>
        <w:rPr>
          <w:rFonts w:cs="v4.2.0"/>
        </w:rPr>
        <w:t>3</w:t>
      </w:r>
      <w:r w:rsidRPr="00313499">
        <w:rPr>
          <w:rFonts w:cs="v4.2.0"/>
        </w:rPr>
        <w:t>.</w:t>
      </w:r>
      <w:r>
        <w:rPr>
          <w:rFonts w:cs="v4.2.0"/>
        </w:rPr>
        <w:t>2</w:t>
      </w:r>
      <w:r w:rsidRPr="00313499">
        <w:rPr>
          <w:rFonts w:cs="v4.2.0"/>
        </w:rPr>
        <w:t>-</w:t>
      </w:r>
      <w:r>
        <w:rPr>
          <w:rFonts w:cs="v4.2.0"/>
        </w:rPr>
        <w:t>2 for CSI-RS based CMR and ZP-IMR.</w:t>
      </w:r>
    </w:p>
    <w:p w14:paraId="09AE5941" w14:textId="77777777" w:rsidR="00930E00" w:rsidRDefault="00930E00" w:rsidP="00930E00">
      <w:pPr>
        <w:rPr>
          <w:rFonts w:cs="v4.2.0"/>
        </w:rPr>
      </w:pPr>
      <w:r>
        <w:rPr>
          <w:rFonts w:cs="v4.2.0"/>
        </w:rPr>
        <w:t xml:space="preserve">The accuracy requirements in Tables </w:t>
      </w:r>
      <w:r>
        <w:rPr>
          <w:rFonts w:cs="v4.2.0"/>
          <w:lang w:eastAsia="zh-CN"/>
        </w:rPr>
        <w:t>10.1.28.3.2</w:t>
      </w:r>
      <w:r>
        <w:rPr>
          <w:rFonts w:cs="v4.2.0"/>
        </w:rPr>
        <w:t xml:space="preserve">-1 and </w:t>
      </w:r>
      <w:r>
        <w:rPr>
          <w:rFonts w:cs="v4.2.0"/>
          <w:lang w:eastAsia="zh-CN"/>
        </w:rPr>
        <w:t>10.1.28.3.2</w:t>
      </w:r>
      <w:r>
        <w:rPr>
          <w:rFonts w:cs="v4.2.0"/>
        </w:rPr>
        <w:t>-2 are valid under the following conditions:</w:t>
      </w:r>
    </w:p>
    <w:p w14:paraId="00A2D9F3" w14:textId="77777777" w:rsidR="00930E00" w:rsidRDefault="00930E00" w:rsidP="00930E00">
      <w:pPr>
        <w:pStyle w:val="B10"/>
      </w:pPr>
      <w:r>
        <w:t>-</w:t>
      </w:r>
      <w:r>
        <w:tab/>
        <w:t>Conditions defined in clause 7.3 of TS 38.101-2 [19] for reference sensitivity are fulfilled.</w:t>
      </w:r>
    </w:p>
    <w:p w14:paraId="028FEFC3" w14:textId="17710D24" w:rsidR="00930E00" w:rsidRDefault="00930E00" w:rsidP="00930E00">
      <w:pPr>
        <w:pStyle w:val="B10"/>
        <w:rPr>
          <w:lang w:eastAsia="zh-CN"/>
        </w:rPr>
      </w:pPr>
      <w:r w:rsidRPr="009C5807">
        <w:t>-</w:t>
      </w:r>
      <w:r w:rsidRPr="009C5807">
        <w:tab/>
        <w:t>Conditions for L1-</w:t>
      </w:r>
      <w:r>
        <w:t>SINR</w:t>
      </w:r>
      <w:r w:rsidRPr="009C5807">
        <w:t xml:space="preserve"> measurements are fulfilled according to Annex B.2</w:t>
      </w:r>
      <w:r w:rsidR="00B15E34">
        <w:t>.8.3</w:t>
      </w:r>
      <w:r w:rsidRPr="009C5807">
        <w:t xml:space="preserve"> for a corresponding Band </w:t>
      </w:r>
      <w:r w:rsidRPr="009C5807">
        <w:rPr>
          <w:rFonts w:cs="v4.2.0"/>
          <w:lang w:eastAsia="ko-KR"/>
        </w:rPr>
        <w:t>for each relevant CSI-RS</w:t>
      </w:r>
      <w:r>
        <w:rPr>
          <w:rFonts w:cs="v4.2.0"/>
          <w:lang w:eastAsia="ko-KR"/>
        </w:rPr>
        <w:t xml:space="preserve"> based CMR and IMR</w:t>
      </w:r>
      <w:r w:rsidRPr="009C5807">
        <w:rPr>
          <w:lang w:eastAsia="zh-CN"/>
        </w:rPr>
        <w:t>.</w:t>
      </w:r>
    </w:p>
    <w:p w14:paraId="66EDACF5" w14:textId="77777777" w:rsidR="00930E00" w:rsidRDefault="00930E00" w:rsidP="00930E00">
      <w:pPr>
        <w:pStyle w:val="B10"/>
        <w:rPr>
          <w:lang w:eastAsia="zh-CN"/>
        </w:rPr>
      </w:pPr>
      <w:r>
        <w:rPr>
          <w:lang w:eastAsia="zh-CN"/>
        </w:rPr>
        <w:t>-</w:t>
      </w:r>
      <w:r>
        <w:rPr>
          <w:lang w:eastAsia="zh-CN"/>
        </w:rPr>
        <w:tab/>
        <w:t>The bandwidth of CSI-RS as CMR, NZP-IMR and ZP-IMR is 48 PRBs and the density is 3.</w:t>
      </w:r>
    </w:p>
    <w:p w14:paraId="47112348" w14:textId="77777777" w:rsidR="00930E00" w:rsidRDefault="00930E00" w:rsidP="00930E00">
      <w:pPr>
        <w:pStyle w:val="B10"/>
        <w:rPr>
          <w:lang w:eastAsia="zh-CN"/>
        </w:rPr>
      </w:pPr>
      <w:r>
        <w:t>-</w:t>
      </w:r>
      <w:r>
        <w:tab/>
        <w:t xml:space="preserve">The measured signals are in the directions covered by the percentile EIS spherical coverage of the UE, defined in </w:t>
      </w:r>
      <w:r>
        <w:rPr>
          <w:rFonts w:cs="Arial"/>
        </w:rPr>
        <w:t>clause 7.3.4 of TS 38.101-2 [19]</w:t>
      </w:r>
      <w:r>
        <w:t>.</w:t>
      </w:r>
    </w:p>
    <w:p w14:paraId="77835E70" w14:textId="2FABDDBA" w:rsidR="00930E00" w:rsidRDefault="00930E00" w:rsidP="00930E00">
      <w:pPr>
        <w:pStyle w:val="B10"/>
        <w:rPr>
          <w:lang w:eastAsia="zh-CN"/>
        </w:rPr>
      </w:pPr>
      <w:r>
        <w:rPr>
          <w:lang w:eastAsia="zh-CN"/>
        </w:rPr>
        <w:t>-</w:t>
      </w:r>
      <w:r>
        <w:rPr>
          <w:lang w:eastAsia="zh-CN"/>
        </w:rPr>
        <w:tab/>
        <w:t>AWGN</w:t>
      </w:r>
      <w:r w:rsidR="00B15E34" w:rsidRPr="00FB249D">
        <w:t xml:space="preserve"> </w:t>
      </w:r>
      <w:r w:rsidR="00B15E34" w:rsidRPr="00B910B8">
        <w:t>radio propagation conditions</w:t>
      </w:r>
      <w:r>
        <w:rPr>
          <w:lang w:eastAsia="zh-CN"/>
        </w:rPr>
        <w:t>.</w:t>
      </w:r>
    </w:p>
    <w:p w14:paraId="05CAF45D" w14:textId="77777777" w:rsidR="00930E00" w:rsidRDefault="00930E00" w:rsidP="00930E00">
      <w:pPr>
        <w:pStyle w:val="B10"/>
        <w:rPr>
          <w:lang w:eastAsia="zh-CN"/>
        </w:rPr>
      </w:pPr>
      <w:r>
        <w:rPr>
          <w:lang w:eastAsia="zh-CN"/>
        </w:rPr>
        <w:t>-</w:t>
      </w:r>
      <w:r>
        <w:rPr>
          <w:lang w:eastAsia="zh-CN"/>
        </w:rPr>
        <w:tab/>
        <w:t>CSI-RS based CMR and IMR in the test come from the same direction.</w:t>
      </w:r>
    </w:p>
    <w:p w14:paraId="56B8A3E8" w14:textId="77777777" w:rsidR="00930E00" w:rsidRPr="00F37389" w:rsidRDefault="00930E00" w:rsidP="00930E00">
      <w:pPr>
        <w:rPr>
          <w:rFonts w:eastAsia="?? ??"/>
          <w:sz w:val="24"/>
          <w:szCs w:val="24"/>
        </w:rPr>
      </w:pPr>
      <w:r>
        <w:rPr>
          <w:rFonts w:eastAsia="PMingLiU"/>
          <w:lang w:eastAsia="zh-CN"/>
        </w:rPr>
        <w:t xml:space="preserve">The performance with larger bandwidth of CSI-RS as CMR, NZP-IMR and ZP-IMR is equal to or better than the accuracy requirements in Tables 10.1.28.3.2-1 and </w:t>
      </w:r>
      <w:r>
        <w:rPr>
          <w:rFonts w:cs="v4.2.0"/>
        </w:rPr>
        <w:t>10.1.28.3.2-2.</w:t>
      </w:r>
    </w:p>
    <w:p w14:paraId="0474E4DC" w14:textId="77777777" w:rsidR="00930E00" w:rsidRDefault="00930E00" w:rsidP="00930E00">
      <w:pPr>
        <w:pStyle w:val="TH"/>
      </w:pPr>
      <w:r>
        <w:t>Table 10.1.28.3.2-1: L1-SINR relative accuracy for CSI-RS based CMR and NZP-IMR in FR2</w:t>
      </w:r>
    </w:p>
    <w:tbl>
      <w:tblPr>
        <w:tblW w:w="8720" w:type="dxa"/>
        <w:jc w:val="center"/>
        <w:tblLook w:val="01E0" w:firstRow="1" w:lastRow="1" w:firstColumn="1" w:lastColumn="1" w:noHBand="0" w:noVBand="0"/>
      </w:tblPr>
      <w:tblGrid>
        <w:gridCol w:w="1110"/>
        <w:gridCol w:w="1109"/>
        <w:gridCol w:w="802"/>
        <w:gridCol w:w="802"/>
        <w:gridCol w:w="981"/>
        <w:gridCol w:w="982"/>
        <w:gridCol w:w="1440"/>
        <w:gridCol w:w="1494"/>
      </w:tblGrid>
      <w:tr w:rsidR="00930E00" w14:paraId="041C67CA" w14:textId="77777777" w:rsidTr="00AD2F6B">
        <w:trPr>
          <w:jc w:val="center"/>
        </w:trPr>
        <w:tc>
          <w:tcPr>
            <w:tcW w:w="2219" w:type="dxa"/>
            <w:gridSpan w:val="2"/>
            <w:tcBorders>
              <w:top w:val="single" w:sz="6" w:space="0" w:color="auto"/>
              <w:left w:val="single" w:sz="4" w:space="0" w:color="auto"/>
              <w:bottom w:val="nil"/>
              <w:right w:val="single" w:sz="6" w:space="0" w:color="auto"/>
            </w:tcBorders>
            <w:vAlign w:val="center"/>
            <w:hideMark/>
          </w:tcPr>
          <w:p w14:paraId="137C7CC7" w14:textId="77777777" w:rsidR="00930E00" w:rsidRDefault="00930E00" w:rsidP="00AD2F6B">
            <w:pPr>
              <w:pStyle w:val="TAH"/>
            </w:pPr>
            <w:r>
              <w:t>Accuracy</w:t>
            </w:r>
          </w:p>
        </w:tc>
        <w:tc>
          <w:tcPr>
            <w:tcW w:w="6501" w:type="dxa"/>
            <w:gridSpan w:val="6"/>
            <w:tcBorders>
              <w:top w:val="single" w:sz="4" w:space="0" w:color="auto"/>
              <w:left w:val="single" w:sz="4" w:space="0" w:color="auto"/>
              <w:bottom w:val="nil"/>
              <w:right w:val="single" w:sz="4" w:space="0" w:color="auto"/>
            </w:tcBorders>
            <w:vAlign w:val="center"/>
            <w:hideMark/>
          </w:tcPr>
          <w:p w14:paraId="29CBA241" w14:textId="77777777" w:rsidR="00930E00" w:rsidRDefault="00930E00" w:rsidP="00AD2F6B">
            <w:pPr>
              <w:pStyle w:val="TAH"/>
            </w:pPr>
            <w:r>
              <w:t>Conditions</w:t>
            </w:r>
          </w:p>
        </w:tc>
      </w:tr>
      <w:tr w:rsidR="00930E00" w14:paraId="4EEEF89F" w14:textId="77777777" w:rsidTr="00AD2F6B">
        <w:trPr>
          <w:jc w:val="center"/>
        </w:trPr>
        <w:tc>
          <w:tcPr>
            <w:tcW w:w="1110" w:type="dxa"/>
            <w:tcBorders>
              <w:top w:val="single" w:sz="6" w:space="0" w:color="auto"/>
              <w:left w:val="single" w:sz="4" w:space="0" w:color="auto"/>
              <w:bottom w:val="nil"/>
              <w:right w:val="single" w:sz="6" w:space="0" w:color="auto"/>
            </w:tcBorders>
            <w:vAlign w:val="center"/>
            <w:hideMark/>
          </w:tcPr>
          <w:p w14:paraId="50C6717F" w14:textId="77777777" w:rsidR="00930E00" w:rsidRDefault="00930E00" w:rsidP="00AD2F6B">
            <w:pPr>
              <w:pStyle w:val="TAH"/>
            </w:pPr>
            <w:r>
              <w:t>Normal condition</w:t>
            </w:r>
          </w:p>
        </w:tc>
        <w:tc>
          <w:tcPr>
            <w:tcW w:w="1109" w:type="dxa"/>
            <w:tcBorders>
              <w:top w:val="single" w:sz="6" w:space="0" w:color="auto"/>
              <w:left w:val="single" w:sz="6" w:space="0" w:color="auto"/>
              <w:bottom w:val="nil"/>
              <w:right w:val="single" w:sz="6" w:space="0" w:color="auto"/>
            </w:tcBorders>
            <w:vAlign w:val="center"/>
            <w:hideMark/>
          </w:tcPr>
          <w:p w14:paraId="67FCE90E" w14:textId="77777777" w:rsidR="00930E00" w:rsidRDefault="00930E00" w:rsidP="00AD2F6B">
            <w:pPr>
              <w:pStyle w:val="TAH"/>
            </w:pPr>
            <w:r>
              <w:t>Extreme condition</w:t>
            </w:r>
          </w:p>
        </w:tc>
        <w:tc>
          <w:tcPr>
            <w:tcW w:w="802" w:type="dxa"/>
            <w:vMerge w:val="restart"/>
            <w:tcBorders>
              <w:top w:val="single" w:sz="4" w:space="0" w:color="auto"/>
              <w:left w:val="single" w:sz="4" w:space="0" w:color="auto"/>
              <w:right w:val="single" w:sz="4" w:space="0" w:color="auto"/>
            </w:tcBorders>
            <w:hideMark/>
          </w:tcPr>
          <w:p w14:paraId="6C85A8B5" w14:textId="15E1E778" w:rsidR="00930E00" w:rsidRDefault="00930E00" w:rsidP="00AD2F6B">
            <w:pPr>
              <w:pStyle w:val="TAH"/>
            </w:pPr>
            <w:r>
              <w:rPr>
                <w:rFonts w:cs="Arial"/>
              </w:rPr>
              <w:t>CSI-RS CMR Ês/Iot</w:t>
            </w:r>
            <w:r w:rsidR="00B15E34">
              <w:rPr>
                <w:vertAlign w:val="superscript"/>
              </w:rPr>
              <w:t xml:space="preserve"> Note 2, Note 4</w:t>
            </w:r>
          </w:p>
        </w:tc>
        <w:tc>
          <w:tcPr>
            <w:tcW w:w="802" w:type="dxa"/>
            <w:vMerge w:val="restart"/>
            <w:tcBorders>
              <w:top w:val="single" w:sz="4" w:space="0" w:color="auto"/>
              <w:left w:val="single" w:sz="4" w:space="0" w:color="auto"/>
              <w:right w:val="single" w:sz="4" w:space="0" w:color="auto"/>
            </w:tcBorders>
          </w:tcPr>
          <w:p w14:paraId="5EA613CD" w14:textId="77777777" w:rsidR="00930E00" w:rsidRDefault="00930E00" w:rsidP="00AD2F6B">
            <w:pPr>
              <w:pStyle w:val="TAH"/>
            </w:pPr>
            <w:r>
              <w:t>NZP-IMR</w:t>
            </w:r>
          </w:p>
          <w:p w14:paraId="2452769E" w14:textId="7F007747" w:rsidR="00930E00" w:rsidRDefault="00930E00" w:rsidP="00AD2F6B">
            <w:pPr>
              <w:pStyle w:val="TAH"/>
            </w:pPr>
            <w:r>
              <w:rPr>
                <w:rFonts w:cs="Arial"/>
              </w:rPr>
              <w:t>Ês/Iot</w:t>
            </w:r>
            <w:r w:rsidR="00B15E34">
              <w:rPr>
                <w:vertAlign w:val="superscript"/>
              </w:rPr>
              <w:t xml:space="preserve"> Note 4</w:t>
            </w:r>
          </w:p>
        </w:tc>
        <w:tc>
          <w:tcPr>
            <w:tcW w:w="4897" w:type="dxa"/>
            <w:gridSpan w:val="4"/>
            <w:tcBorders>
              <w:top w:val="single" w:sz="4" w:space="0" w:color="auto"/>
              <w:left w:val="single" w:sz="4" w:space="0" w:color="auto"/>
              <w:bottom w:val="single" w:sz="6" w:space="0" w:color="auto"/>
              <w:right w:val="single" w:sz="4" w:space="0" w:color="auto"/>
            </w:tcBorders>
            <w:vAlign w:val="center"/>
            <w:hideMark/>
          </w:tcPr>
          <w:p w14:paraId="0A9D4865" w14:textId="77777777" w:rsidR="00930E00" w:rsidRDefault="00930E00" w:rsidP="00AD2F6B">
            <w:pPr>
              <w:pStyle w:val="TAH"/>
            </w:pPr>
            <w:r>
              <w:t>Io</w:t>
            </w:r>
            <w:r>
              <w:rPr>
                <w:vertAlign w:val="superscript"/>
              </w:rPr>
              <w:t xml:space="preserve"> Note 1</w:t>
            </w:r>
            <w:r>
              <w:t xml:space="preserve"> range</w:t>
            </w:r>
          </w:p>
        </w:tc>
      </w:tr>
      <w:tr w:rsidR="00930E00" w14:paraId="59F24F9F"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40C4D2DD" w14:textId="77777777" w:rsidR="00930E00" w:rsidRDefault="00930E00" w:rsidP="00A42E5D">
            <w:pPr>
              <w:pStyle w:val="TAH"/>
            </w:pPr>
          </w:p>
        </w:tc>
        <w:tc>
          <w:tcPr>
            <w:tcW w:w="0" w:type="auto"/>
            <w:tcBorders>
              <w:top w:val="nil"/>
              <w:left w:val="single" w:sz="6" w:space="0" w:color="auto"/>
              <w:bottom w:val="single" w:sz="6" w:space="0" w:color="auto"/>
              <w:right w:val="single" w:sz="6" w:space="0" w:color="auto"/>
            </w:tcBorders>
            <w:vAlign w:val="center"/>
            <w:hideMark/>
          </w:tcPr>
          <w:p w14:paraId="59DA3FBA" w14:textId="77777777" w:rsidR="00930E00" w:rsidRDefault="00930E00" w:rsidP="00A42E5D">
            <w:pPr>
              <w:pStyle w:val="TAH"/>
            </w:pPr>
          </w:p>
        </w:tc>
        <w:tc>
          <w:tcPr>
            <w:tcW w:w="802" w:type="dxa"/>
            <w:vMerge/>
            <w:tcBorders>
              <w:left w:val="single" w:sz="4" w:space="0" w:color="auto"/>
              <w:bottom w:val="single" w:sz="6" w:space="0" w:color="auto"/>
              <w:right w:val="single" w:sz="4" w:space="0" w:color="auto"/>
            </w:tcBorders>
            <w:vAlign w:val="center"/>
            <w:hideMark/>
          </w:tcPr>
          <w:p w14:paraId="24CB9B70" w14:textId="77777777" w:rsidR="00930E00" w:rsidRDefault="00930E00" w:rsidP="00AD2F6B">
            <w:pPr>
              <w:spacing w:after="0"/>
            </w:pPr>
          </w:p>
        </w:tc>
        <w:tc>
          <w:tcPr>
            <w:tcW w:w="802" w:type="dxa"/>
            <w:vMerge/>
            <w:tcBorders>
              <w:left w:val="single" w:sz="4" w:space="0" w:color="auto"/>
              <w:bottom w:val="single" w:sz="6" w:space="0" w:color="auto"/>
              <w:right w:val="single" w:sz="4" w:space="0" w:color="auto"/>
            </w:tcBorders>
            <w:vAlign w:val="center"/>
          </w:tcPr>
          <w:p w14:paraId="3216DB80" w14:textId="77777777" w:rsidR="00930E00" w:rsidRDefault="00930E00" w:rsidP="00AD2F6B">
            <w:pPr>
              <w:spacing w:after="0"/>
            </w:pPr>
          </w:p>
        </w:tc>
        <w:tc>
          <w:tcPr>
            <w:tcW w:w="3403" w:type="dxa"/>
            <w:gridSpan w:val="3"/>
            <w:tcBorders>
              <w:top w:val="single" w:sz="4" w:space="0" w:color="auto"/>
              <w:left w:val="single" w:sz="4" w:space="0" w:color="auto"/>
              <w:bottom w:val="single" w:sz="6" w:space="0" w:color="auto"/>
              <w:right w:val="single" w:sz="6" w:space="0" w:color="auto"/>
            </w:tcBorders>
            <w:vAlign w:val="center"/>
            <w:hideMark/>
          </w:tcPr>
          <w:p w14:paraId="31EF7FBD" w14:textId="77777777" w:rsidR="00930E00" w:rsidRDefault="00930E00" w:rsidP="00AD2F6B">
            <w:pPr>
              <w:pStyle w:val="TAH"/>
            </w:pPr>
            <w:r>
              <w:t>Minimum Io</w:t>
            </w:r>
          </w:p>
        </w:tc>
        <w:tc>
          <w:tcPr>
            <w:tcW w:w="1494" w:type="dxa"/>
            <w:tcBorders>
              <w:top w:val="single" w:sz="4" w:space="0" w:color="auto"/>
              <w:left w:val="single" w:sz="6" w:space="0" w:color="auto"/>
              <w:bottom w:val="single" w:sz="6" w:space="0" w:color="auto"/>
              <w:right w:val="single" w:sz="4" w:space="0" w:color="auto"/>
            </w:tcBorders>
            <w:vAlign w:val="center"/>
            <w:hideMark/>
          </w:tcPr>
          <w:p w14:paraId="4C043F04" w14:textId="77777777" w:rsidR="00930E00" w:rsidRDefault="00930E00" w:rsidP="00AD2F6B">
            <w:pPr>
              <w:pStyle w:val="TAH"/>
            </w:pPr>
            <w:r>
              <w:t>Maximum Io</w:t>
            </w:r>
          </w:p>
        </w:tc>
      </w:tr>
      <w:tr w:rsidR="00930E00" w14:paraId="15096D97" w14:textId="77777777" w:rsidTr="00AD2F6B">
        <w:trPr>
          <w:jc w:val="center"/>
        </w:trPr>
        <w:tc>
          <w:tcPr>
            <w:tcW w:w="1110" w:type="dxa"/>
            <w:tcBorders>
              <w:top w:val="single" w:sz="6" w:space="0" w:color="auto"/>
              <w:left w:val="single" w:sz="4" w:space="0" w:color="auto"/>
              <w:bottom w:val="nil"/>
              <w:right w:val="single" w:sz="6" w:space="0" w:color="auto"/>
            </w:tcBorders>
            <w:hideMark/>
          </w:tcPr>
          <w:p w14:paraId="3FE5786E" w14:textId="77777777" w:rsidR="00930E00" w:rsidRDefault="00930E00" w:rsidP="00A42E5D">
            <w:pPr>
              <w:pStyle w:val="TAH"/>
            </w:pPr>
            <w:r>
              <w:t>dB</w:t>
            </w:r>
          </w:p>
        </w:tc>
        <w:tc>
          <w:tcPr>
            <w:tcW w:w="1109" w:type="dxa"/>
            <w:tcBorders>
              <w:top w:val="single" w:sz="6" w:space="0" w:color="auto"/>
              <w:left w:val="single" w:sz="6" w:space="0" w:color="auto"/>
              <w:bottom w:val="nil"/>
              <w:right w:val="single" w:sz="6" w:space="0" w:color="auto"/>
            </w:tcBorders>
            <w:hideMark/>
          </w:tcPr>
          <w:p w14:paraId="6149DC7D" w14:textId="77777777" w:rsidR="00930E00" w:rsidRDefault="00930E00" w:rsidP="00A42E5D">
            <w:pPr>
              <w:pStyle w:val="TAH"/>
            </w:pPr>
            <w:r>
              <w:t>dB</w:t>
            </w:r>
          </w:p>
        </w:tc>
        <w:tc>
          <w:tcPr>
            <w:tcW w:w="802" w:type="dxa"/>
            <w:tcBorders>
              <w:top w:val="single" w:sz="6" w:space="0" w:color="auto"/>
              <w:left w:val="single" w:sz="4" w:space="0" w:color="auto"/>
              <w:bottom w:val="nil"/>
              <w:right w:val="single" w:sz="4" w:space="0" w:color="auto"/>
            </w:tcBorders>
            <w:hideMark/>
          </w:tcPr>
          <w:p w14:paraId="699CA104" w14:textId="77777777" w:rsidR="00930E00" w:rsidRDefault="00930E00" w:rsidP="00A42E5D">
            <w:pPr>
              <w:pStyle w:val="TAH"/>
              <w:rPr>
                <w:rFonts w:cs="Arial"/>
              </w:rPr>
            </w:pPr>
            <w:r>
              <w:t>dB</w:t>
            </w:r>
          </w:p>
        </w:tc>
        <w:tc>
          <w:tcPr>
            <w:tcW w:w="802" w:type="dxa"/>
            <w:tcBorders>
              <w:top w:val="single" w:sz="6" w:space="0" w:color="auto"/>
              <w:left w:val="single" w:sz="4" w:space="0" w:color="auto"/>
              <w:bottom w:val="nil"/>
              <w:right w:val="single" w:sz="4" w:space="0" w:color="auto"/>
            </w:tcBorders>
          </w:tcPr>
          <w:p w14:paraId="38DA0F17" w14:textId="77777777" w:rsidR="00930E00" w:rsidRDefault="00930E00" w:rsidP="00A42E5D">
            <w:pPr>
              <w:pStyle w:val="TAH"/>
              <w:rPr>
                <w:rFonts w:cs="Arial"/>
              </w:rPr>
            </w:pPr>
            <w:r>
              <w:rPr>
                <w:rFonts w:cs="Arial"/>
              </w:rPr>
              <w:t>dB</w:t>
            </w:r>
          </w:p>
        </w:tc>
        <w:tc>
          <w:tcPr>
            <w:tcW w:w="1963" w:type="dxa"/>
            <w:gridSpan w:val="2"/>
            <w:tcBorders>
              <w:top w:val="single" w:sz="6" w:space="0" w:color="auto"/>
              <w:left w:val="single" w:sz="4" w:space="0" w:color="auto"/>
              <w:bottom w:val="single" w:sz="6" w:space="0" w:color="auto"/>
              <w:right w:val="single" w:sz="6" w:space="0" w:color="auto"/>
            </w:tcBorders>
            <w:hideMark/>
          </w:tcPr>
          <w:p w14:paraId="2081A9C4" w14:textId="623AAC00" w:rsidR="00930E00" w:rsidRDefault="00930E00" w:rsidP="00AD2F6B">
            <w:pPr>
              <w:pStyle w:val="TAH"/>
            </w:pPr>
            <w:r>
              <w:rPr>
                <w:rFonts w:cs="Arial"/>
              </w:rPr>
              <w:t xml:space="preserve">dBm / </w:t>
            </w:r>
            <w:r>
              <w:t>SCS</w:t>
            </w:r>
            <w:r>
              <w:rPr>
                <w:vertAlign w:val="subscript"/>
              </w:rPr>
              <w:t>CSI-RS</w:t>
            </w:r>
            <w:r>
              <w:rPr>
                <w:vertAlign w:val="superscript"/>
              </w:rPr>
              <w:t xml:space="preserve"> Note </w:t>
            </w:r>
            <w:r w:rsidR="00B15E34">
              <w:rPr>
                <w:vertAlign w:val="superscript"/>
              </w:rPr>
              <w:t>3</w:t>
            </w:r>
          </w:p>
        </w:tc>
        <w:tc>
          <w:tcPr>
            <w:tcW w:w="1440" w:type="dxa"/>
            <w:tcBorders>
              <w:top w:val="single" w:sz="6" w:space="0" w:color="auto"/>
              <w:left w:val="single" w:sz="6" w:space="0" w:color="auto"/>
              <w:bottom w:val="nil"/>
              <w:right w:val="single" w:sz="6" w:space="0" w:color="auto"/>
            </w:tcBorders>
            <w:hideMark/>
          </w:tcPr>
          <w:p w14:paraId="295A97D3" w14:textId="77777777" w:rsidR="00930E00" w:rsidRDefault="00930E00" w:rsidP="00AD2F6B">
            <w:pPr>
              <w:pStyle w:val="TAH"/>
            </w:pPr>
            <w:r>
              <w:t>dBm/BW</w:t>
            </w:r>
            <w:r>
              <w:rPr>
                <w:vertAlign w:val="subscript"/>
              </w:rPr>
              <w:t>Channel</w:t>
            </w:r>
          </w:p>
        </w:tc>
        <w:tc>
          <w:tcPr>
            <w:tcW w:w="1494" w:type="dxa"/>
            <w:tcBorders>
              <w:top w:val="single" w:sz="6" w:space="0" w:color="auto"/>
              <w:left w:val="single" w:sz="6" w:space="0" w:color="auto"/>
              <w:bottom w:val="nil"/>
              <w:right w:val="single" w:sz="4" w:space="0" w:color="auto"/>
            </w:tcBorders>
            <w:hideMark/>
          </w:tcPr>
          <w:p w14:paraId="137F4868" w14:textId="77777777" w:rsidR="00930E00" w:rsidRDefault="00930E00" w:rsidP="00AD2F6B">
            <w:pPr>
              <w:pStyle w:val="TAH"/>
            </w:pPr>
            <w:r>
              <w:t>dBm/BW</w:t>
            </w:r>
            <w:r>
              <w:rPr>
                <w:vertAlign w:val="subscript"/>
              </w:rPr>
              <w:t>Channel</w:t>
            </w:r>
          </w:p>
        </w:tc>
      </w:tr>
      <w:tr w:rsidR="00930E00" w14:paraId="2FFF3D6F" w14:textId="77777777" w:rsidTr="00AD2F6B">
        <w:trPr>
          <w:jc w:val="center"/>
        </w:trPr>
        <w:tc>
          <w:tcPr>
            <w:tcW w:w="0" w:type="auto"/>
            <w:tcBorders>
              <w:top w:val="nil"/>
              <w:left w:val="single" w:sz="4" w:space="0" w:color="auto"/>
              <w:bottom w:val="single" w:sz="6" w:space="0" w:color="auto"/>
              <w:right w:val="single" w:sz="6" w:space="0" w:color="auto"/>
            </w:tcBorders>
            <w:hideMark/>
          </w:tcPr>
          <w:p w14:paraId="25BDE8FD" w14:textId="77777777" w:rsidR="00930E00" w:rsidRDefault="00930E00" w:rsidP="00A42E5D">
            <w:pPr>
              <w:pStyle w:val="TAH"/>
            </w:pPr>
          </w:p>
        </w:tc>
        <w:tc>
          <w:tcPr>
            <w:tcW w:w="0" w:type="auto"/>
            <w:tcBorders>
              <w:top w:val="nil"/>
              <w:left w:val="single" w:sz="6" w:space="0" w:color="auto"/>
              <w:bottom w:val="single" w:sz="6" w:space="0" w:color="auto"/>
              <w:right w:val="single" w:sz="6" w:space="0" w:color="auto"/>
            </w:tcBorders>
            <w:hideMark/>
          </w:tcPr>
          <w:p w14:paraId="019FEF0E" w14:textId="77777777" w:rsidR="00930E00" w:rsidRDefault="00930E00" w:rsidP="00A42E5D">
            <w:pPr>
              <w:pStyle w:val="TAH"/>
            </w:pPr>
          </w:p>
        </w:tc>
        <w:tc>
          <w:tcPr>
            <w:tcW w:w="802" w:type="dxa"/>
            <w:tcBorders>
              <w:top w:val="nil"/>
              <w:left w:val="single" w:sz="4" w:space="0" w:color="auto"/>
              <w:bottom w:val="single" w:sz="4" w:space="0" w:color="auto"/>
              <w:right w:val="single" w:sz="4" w:space="0" w:color="auto"/>
            </w:tcBorders>
            <w:hideMark/>
          </w:tcPr>
          <w:p w14:paraId="6FA2A7F3" w14:textId="77777777" w:rsidR="00930E00" w:rsidRDefault="00930E00" w:rsidP="00A42E5D">
            <w:pPr>
              <w:pStyle w:val="TAH"/>
            </w:pPr>
          </w:p>
        </w:tc>
        <w:tc>
          <w:tcPr>
            <w:tcW w:w="802" w:type="dxa"/>
            <w:tcBorders>
              <w:top w:val="nil"/>
              <w:left w:val="single" w:sz="4" w:space="0" w:color="auto"/>
              <w:bottom w:val="single" w:sz="4" w:space="0" w:color="auto"/>
              <w:right w:val="single" w:sz="4" w:space="0" w:color="auto"/>
            </w:tcBorders>
          </w:tcPr>
          <w:p w14:paraId="4E121A80" w14:textId="77777777" w:rsidR="00930E00" w:rsidRDefault="00930E00" w:rsidP="00A42E5D">
            <w:pPr>
              <w:pStyle w:val="TAH"/>
            </w:pPr>
          </w:p>
        </w:tc>
        <w:tc>
          <w:tcPr>
            <w:tcW w:w="981" w:type="dxa"/>
            <w:tcBorders>
              <w:top w:val="single" w:sz="6" w:space="0" w:color="auto"/>
              <w:left w:val="single" w:sz="4" w:space="0" w:color="auto"/>
              <w:bottom w:val="single" w:sz="6" w:space="0" w:color="auto"/>
              <w:right w:val="single" w:sz="6" w:space="0" w:color="auto"/>
            </w:tcBorders>
            <w:hideMark/>
          </w:tcPr>
          <w:p w14:paraId="278F843B" w14:textId="77777777" w:rsidR="00930E00" w:rsidRDefault="00930E00" w:rsidP="00AD2F6B">
            <w:pPr>
              <w:pStyle w:val="TAH"/>
            </w:pPr>
            <w:r>
              <w:t>SCS</w:t>
            </w:r>
            <w:r>
              <w:rPr>
                <w:vertAlign w:val="subscript"/>
              </w:rPr>
              <w:t>CSI-RS</w:t>
            </w:r>
            <w:r>
              <w:rPr>
                <w:rFonts w:cs="Arial"/>
              </w:rPr>
              <w:t xml:space="preserve"> = 60kHz</w:t>
            </w:r>
          </w:p>
        </w:tc>
        <w:tc>
          <w:tcPr>
            <w:tcW w:w="982" w:type="dxa"/>
            <w:tcBorders>
              <w:top w:val="single" w:sz="6" w:space="0" w:color="auto"/>
              <w:left w:val="single" w:sz="4" w:space="0" w:color="auto"/>
              <w:bottom w:val="single" w:sz="6" w:space="0" w:color="auto"/>
              <w:right w:val="single" w:sz="6" w:space="0" w:color="auto"/>
            </w:tcBorders>
          </w:tcPr>
          <w:p w14:paraId="47D09C35" w14:textId="77777777" w:rsidR="00930E00" w:rsidRDefault="00930E00" w:rsidP="00AD2F6B">
            <w:pPr>
              <w:pStyle w:val="TAH"/>
            </w:pPr>
            <w:r>
              <w:t>SCS</w:t>
            </w:r>
            <w:r>
              <w:rPr>
                <w:vertAlign w:val="subscript"/>
              </w:rPr>
              <w:t>CSI-RS</w:t>
            </w:r>
            <w:r>
              <w:rPr>
                <w:rFonts w:cs="Arial"/>
              </w:rPr>
              <w:t xml:space="preserve"> = 120kHz</w:t>
            </w:r>
          </w:p>
        </w:tc>
        <w:tc>
          <w:tcPr>
            <w:tcW w:w="1440" w:type="dxa"/>
            <w:tcBorders>
              <w:top w:val="nil"/>
              <w:left w:val="single" w:sz="6" w:space="0" w:color="auto"/>
              <w:bottom w:val="single" w:sz="6" w:space="0" w:color="auto"/>
              <w:right w:val="single" w:sz="6" w:space="0" w:color="auto"/>
            </w:tcBorders>
            <w:hideMark/>
          </w:tcPr>
          <w:p w14:paraId="29056FC0" w14:textId="77777777" w:rsidR="00930E00" w:rsidRDefault="00930E00" w:rsidP="003852A9">
            <w:pPr>
              <w:pStyle w:val="TAH"/>
            </w:pPr>
          </w:p>
        </w:tc>
        <w:tc>
          <w:tcPr>
            <w:tcW w:w="1494" w:type="dxa"/>
            <w:tcBorders>
              <w:top w:val="nil"/>
              <w:left w:val="single" w:sz="6" w:space="0" w:color="auto"/>
              <w:bottom w:val="single" w:sz="6" w:space="0" w:color="auto"/>
              <w:right w:val="single" w:sz="4" w:space="0" w:color="auto"/>
            </w:tcBorders>
            <w:hideMark/>
          </w:tcPr>
          <w:p w14:paraId="509CF210" w14:textId="77777777" w:rsidR="00930E00" w:rsidRDefault="00930E00" w:rsidP="003852A9">
            <w:pPr>
              <w:pStyle w:val="TAH"/>
            </w:pPr>
          </w:p>
        </w:tc>
      </w:tr>
      <w:tr w:rsidR="00CA6320" w14:paraId="0B8ED33A" w14:textId="77777777" w:rsidTr="00AD2F6B">
        <w:trPr>
          <w:jc w:val="center"/>
        </w:trPr>
        <w:tc>
          <w:tcPr>
            <w:tcW w:w="1110" w:type="dxa"/>
            <w:tcBorders>
              <w:top w:val="single" w:sz="6" w:space="0" w:color="auto"/>
              <w:left w:val="single" w:sz="4" w:space="0" w:color="auto"/>
              <w:bottom w:val="nil"/>
              <w:right w:val="single" w:sz="6" w:space="0" w:color="auto"/>
            </w:tcBorders>
            <w:hideMark/>
          </w:tcPr>
          <w:p w14:paraId="6DE49B32" w14:textId="3F90657C" w:rsidR="00CA6320" w:rsidRDefault="00CA6320" w:rsidP="00CA6320">
            <w:pPr>
              <w:pStyle w:val="TAC"/>
            </w:pPr>
            <w:r>
              <w:rPr>
                <w:rFonts w:cs="Arial"/>
              </w:rPr>
              <w:t>±3.0</w:t>
            </w:r>
          </w:p>
        </w:tc>
        <w:tc>
          <w:tcPr>
            <w:tcW w:w="1109" w:type="dxa"/>
            <w:tcBorders>
              <w:top w:val="single" w:sz="6" w:space="0" w:color="auto"/>
              <w:left w:val="single" w:sz="6" w:space="0" w:color="auto"/>
              <w:bottom w:val="nil"/>
              <w:right w:val="single" w:sz="4" w:space="0" w:color="auto"/>
            </w:tcBorders>
            <w:hideMark/>
          </w:tcPr>
          <w:p w14:paraId="7622BF21" w14:textId="7C2EEC88" w:rsidR="00CA6320" w:rsidRDefault="00CA6320" w:rsidP="00CA6320">
            <w:pPr>
              <w:pStyle w:val="TAC"/>
            </w:pPr>
            <w:r>
              <w:rPr>
                <w:rFonts w:cs="Arial"/>
              </w:rPr>
              <w:t>±4.0</w:t>
            </w:r>
          </w:p>
        </w:tc>
        <w:tc>
          <w:tcPr>
            <w:tcW w:w="802" w:type="dxa"/>
            <w:tcBorders>
              <w:top w:val="single" w:sz="4" w:space="0" w:color="auto"/>
              <w:left w:val="single" w:sz="4" w:space="0" w:color="auto"/>
              <w:bottom w:val="single" w:sz="4" w:space="0" w:color="auto"/>
              <w:right w:val="single" w:sz="4" w:space="0" w:color="auto"/>
            </w:tcBorders>
            <w:hideMark/>
          </w:tcPr>
          <w:p w14:paraId="2E0B3978" w14:textId="77777777" w:rsidR="00CA6320" w:rsidRDefault="00CA6320" w:rsidP="00CA6320">
            <w:pPr>
              <w:pStyle w:val="TAC"/>
            </w:pPr>
            <w:r>
              <w:rPr>
                <w:rFonts w:eastAsia="Yu Mincho" w:cs="Arial"/>
                <w:lang w:eastAsia="ja-JP"/>
              </w:rPr>
              <w:t>≥0</w:t>
            </w:r>
          </w:p>
        </w:tc>
        <w:tc>
          <w:tcPr>
            <w:tcW w:w="802" w:type="dxa"/>
            <w:tcBorders>
              <w:top w:val="single" w:sz="4" w:space="0" w:color="auto"/>
              <w:left w:val="single" w:sz="4" w:space="0" w:color="auto"/>
              <w:bottom w:val="single" w:sz="4" w:space="0" w:color="auto"/>
              <w:right w:val="single" w:sz="4" w:space="0" w:color="auto"/>
            </w:tcBorders>
          </w:tcPr>
          <w:p w14:paraId="7FA87A65" w14:textId="77777777" w:rsidR="00CA6320" w:rsidRDefault="00CA6320" w:rsidP="00CA6320">
            <w:pPr>
              <w:pStyle w:val="TAC"/>
            </w:pPr>
            <w:r>
              <w:rPr>
                <w:rFonts w:eastAsia="Yu Mincho" w:cs="Arial"/>
                <w:lang w:eastAsia="ja-JP"/>
              </w:rPr>
              <w:t>≥0</w:t>
            </w:r>
          </w:p>
        </w:tc>
        <w:tc>
          <w:tcPr>
            <w:tcW w:w="1963" w:type="dxa"/>
            <w:gridSpan w:val="2"/>
            <w:tcBorders>
              <w:top w:val="single" w:sz="6" w:space="0" w:color="auto"/>
              <w:left w:val="single" w:sz="4" w:space="0" w:color="auto"/>
              <w:bottom w:val="single" w:sz="6" w:space="0" w:color="auto"/>
              <w:right w:val="single" w:sz="6" w:space="0" w:color="auto"/>
            </w:tcBorders>
            <w:hideMark/>
          </w:tcPr>
          <w:p w14:paraId="7D6C71AB" w14:textId="39D4A372" w:rsidR="00CA6320" w:rsidRDefault="00CA6320" w:rsidP="00CA6320">
            <w:pPr>
              <w:pStyle w:val="TAC"/>
              <w:rPr>
                <w:rFonts w:eastAsia="Yu Mincho"/>
                <w:lang w:eastAsia="ja-JP"/>
              </w:rPr>
            </w:pPr>
            <w:r w:rsidRPr="009C5807">
              <w:t xml:space="preserve">Same value as CSI-RS_RP in Table </w:t>
            </w:r>
            <w:r>
              <w:t xml:space="preserve">in </w:t>
            </w:r>
            <w:r w:rsidRPr="009C5807">
              <w:t>B.2</w:t>
            </w:r>
            <w:r>
              <w:t>.8.3</w:t>
            </w:r>
            <w:r w:rsidRPr="009C5807">
              <w:t>, according to UE Power class, operating band and angle of arrival</w:t>
            </w:r>
          </w:p>
        </w:tc>
        <w:tc>
          <w:tcPr>
            <w:tcW w:w="1440" w:type="dxa"/>
            <w:tcBorders>
              <w:top w:val="single" w:sz="6" w:space="0" w:color="auto"/>
              <w:left w:val="single" w:sz="6" w:space="0" w:color="auto"/>
              <w:bottom w:val="single" w:sz="6" w:space="0" w:color="auto"/>
              <w:right w:val="single" w:sz="6" w:space="0" w:color="auto"/>
            </w:tcBorders>
            <w:hideMark/>
          </w:tcPr>
          <w:p w14:paraId="4451AC6D" w14:textId="77777777" w:rsidR="00CA6320" w:rsidRDefault="00CA6320" w:rsidP="00CA6320">
            <w:pPr>
              <w:pStyle w:val="TAC"/>
            </w:pPr>
            <w:r>
              <w:rPr>
                <w:lang w:eastAsia="zh-CN"/>
              </w:rPr>
              <w:t>N/A</w:t>
            </w:r>
          </w:p>
        </w:tc>
        <w:tc>
          <w:tcPr>
            <w:tcW w:w="1494" w:type="dxa"/>
            <w:tcBorders>
              <w:top w:val="single" w:sz="6" w:space="0" w:color="auto"/>
              <w:left w:val="single" w:sz="6" w:space="0" w:color="auto"/>
              <w:bottom w:val="single" w:sz="6" w:space="0" w:color="auto"/>
              <w:right w:val="single" w:sz="4" w:space="0" w:color="auto"/>
            </w:tcBorders>
            <w:hideMark/>
          </w:tcPr>
          <w:p w14:paraId="0C509C74" w14:textId="77777777" w:rsidR="00CA6320" w:rsidRDefault="00CA6320" w:rsidP="00CA6320">
            <w:pPr>
              <w:pStyle w:val="TAC"/>
            </w:pPr>
            <w:r>
              <w:t>-50</w:t>
            </w:r>
          </w:p>
        </w:tc>
      </w:tr>
      <w:tr w:rsidR="00930E00" w14:paraId="15B1E371" w14:textId="77777777" w:rsidTr="00AD2F6B">
        <w:trPr>
          <w:jc w:val="center"/>
        </w:trPr>
        <w:tc>
          <w:tcPr>
            <w:tcW w:w="8720" w:type="dxa"/>
            <w:gridSpan w:val="8"/>
            <w:tcBorders>
              <w:top w:val="single" w:sz="6" w:space="0" w:color="auto"/>
              <w:left w:val="single" w:sz="4" w:space="0" w:color="auto"/>
              <w:bottom w:val="single" w:sz="6" w:space="0" w:color="auto"/>
              <w:right w:val="single" w:sz="4" w:space="0" w:color="auto"/>
            </w:tcBorders>
            <w:vAlign w:val="center"/>
            <w:hideMark/>
          </w:tcPr>
          <w:p w14:paraId="014A1DAF"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13616C3D" w14:textId="77777777" w:rsidR="00930E00" w:rsidRDefault="00930E00" w:rsidP="00AD2F6B">
            <w:pPr>
              <w:pStyle w:val="TAN"/>
            </w:pPr>
            <w:r>
              <w:t>N</w:t>
            </w:r>
            <w:r>
              <w:rPr>
                <w:lang w:eastAsia="zh-CN"/>
              </w:rPr>
              <w:t>OTE</w:t>
            </w:r>
            <w:r>
              <w:t xml:space="preserve"> 2:</w:t>
            </w:r>
            <w:r>
              <w:tab/>
            </w:r>
            <w:r>
              <w:rPr>
                <w:lang w:eastAsia="zh-CN"/>
              </w:rPr>
              <w:t xml:space="preserve">The parameter CSI-RS CMR </w:t>
            </w:r>
            <w:r>
              <w:t>Ês/Iot</w:t>
            </w:r>
            <w:r>
              <w:rPr>
                <w:lang w:eastAsia="zh-CN"/>
              </w:rPr>
              <w:t xml:space="preserve"> is the minimum CSI-RS CMR </w:t>
            </w:r>
            <w:r>
              <w:t>Ês/Iot</w:t>
            </w:r>
            <w:r>
              <w:rPr>
                <w:lang w:eastAsia="zh-CN"/>
              </w:rPr>
              <w:t xml:space="preserve"> of the pair of CSI-RS resources to which the requirement applies.</w:t>
            </w:r>
          </w:p>
          <w:p w14:paraId="1B821357" w14:textId="77777777" w:rsidR="00930E00" w:rsidRDefault="00930E00" w:rsidP="00AD2F6B">
            <w:pPr>
              <w:pStyle w:val="TAN"/>
            </w:pPr>
            <w:r>
              <w:t>NOTE 3:</w:t>
            </w:r>
            <w:r>
              <w:tab/>
              <w:t>Values based on Refsens and EIS spherical coverage as defined in clauses 7.3.2 and 7.3.4 of TS 38.101-2 [19]. Applicable side condition selected depending on angle of arrival.</w:t>
            </w:r>
          </w:p>
          <w:p w14:paraId="682CB1E7" w14:textId="77777777" w:rsidR="00930E00" w:rsidRDefault="00930E00" w:rsidP="00AD2F6B">
            <w:pPr>
              <w:pStyle w:val="TAN"/>
            </w:pPr>
            <w:r>
              <w:t>NOTE 4:</w:t>
            </w:r>
            <w:r>
              <w:tab/>
              <w:t>In the test cases, the CSI-RS CMR Ês/Iot, NZP-IMR Ês/Iot and related parameters may need to be adjusted to ensure Ês/Iot at UE baseband is above the value defined in this table.</w:t>
            </w:r>
          </w:p>
        </w:tc>
      </w:tr>
    </w:tbl>
    <w:p w14:paraId="646F333A" w14:textId="77777777" w:rsidR="00930E00" w:rsidRDefault="00930E00" w:rsidP="00930E00">
      <w:pPr>
        <w:rPr>
          <w:noProof/>
        </w:rPr>
      </w:pPr>
    </w:p>
    <w:p w14:paraId="190D155C" w14:textId="77777777" w:rsidR="00930E00" w:rsidRDefault="00930E00" w:rsidP="00930E00">
      <w:pPr>
        <w:pStyle w:val="TH"/>
      </w:pPr>
      <w:r>
        <w:t>Table 10.1.28.3.2-2: L1-SINR relative accuracy for CSI-RS based CMR and ZP-IMR in FR2</w:t>
      </w:r>
    </w:p>
    <w:tbl>
      <w:tblPr>
        <w:tblW w:w="8720" w:type="dxa"/>
        <w:jc w:val="center"/>
        <w:tblLook w:val="01E0" w:firstRow="1" w:lastRow="1" w:firstColumn="1" w:lastColumn="1" w:noHBand="0" w:noVBand="0"/>
      </w:tblPr>
      <w:tblGrid>
        <w:gridCol w:w="1110"/>
        <w:gridCol w:w="1109"/>
        <w:gridCol w:w="895"/>
        <w:gridCol w:w="1690"/>
        <w:gridCol w:w="982"/>
        <w:gridCol w:w="1440"/>
        <w:gridCol w:w="1494"/>
      </w:tblGrid>
      <w:tr w:rsidR="00930E00" w14:paraId="502E067A" w14:textId="77777777" w:rsidTr="00AD2F6B">
        <w:trPr>
          <w:jc w:val="center"/>
        </w:trPr>
        <w:tc>
          <w:tcPr>
            <w:tcW w:w="2219" w:type="dxa"/>
            <w:gridSpan w:val="2"/>
            <w:tcBorders>
              <w:top w:val="single" w:sz="6" w:space="0" w:color="auto"/>
              <w:left w:val="single" w:sz="4" w:space="0" w:color="auto"/>
              <w:bottom w:val="nil"/>
              <w:right w:val="single" w:sz="6" w:space="0" w:color="auto"/>
            </w:tcBorders>
            <w:vAlign w:val="center"/>
            <w:hideMark/>
          </w:tcPr>
          <w:p w14:paraId="25F9235F" w14:textId="77777777" w:rsidR="00930E00" w:rsidRDefault="00930E00" w:rsidP="00AD2F6B">
            <w:pPr>
              <w:pStyle w:val="TAH"/>
            </w:pPr>
            <w:r>
              <w:t>Accuracy</w:t>
            </w:r>
          </w:p>
        </w:tc>
        <w:tc>
          <w:tcPr>
            <w:tcW w:w="6501" w:type="dxa"/>
            <w:gridSpan w:val="5"/>
            <w:tcBorders>
              <w:top w:val="single" w:sz="4" w:space="0" w:color="auto"/>
              <w:left w:val="single" w:sz="4" w:space="0" w:color="auto"/>
              <w:bottom w:val="nil"/>
              <w:right w:val="single" w:sz="4" w:space="0" w:color="auto"/>
            </w:tcBorders>
            <w:vAlign w:val="center"/>
            <w:hideMark/>
          </w:tcPr>
          <w:p w14:paraId="61CEA8C9" w14:textId="77777777" w:rsidR="00930E00" w:rsidRDefault="00930E00" w:rsidP="00AD2F6B">
            <w:pPr>
              <w:pStyle w:val="TAH"/>
            </w:pPr>
            <w:r>
              <w:t>Conditions</w:t>
            </w:r>
          </w:p>
        </w:tc>
      </w:tr>
      <w:tr w:rsidR="00930E00" w14:paraId="0814CA89" w14:textId="77777777" w:rsidTr="00AD2F6B">
        <w:trPr>
          <w:jc w:val="center"/>
        </w:trPr>
        <w:tc>
          <w:tcPr>
            <w:tcW w:w="1110" w:type="dxa"/>
            <w:tcBorders>
              <w:top w:val="single" w:sz="6" w:space="0" w:color="auto"/>
              <w:left w:val="single" w:sz="4" w:space="0" w:color="auto"/>
              <w:bottom w:val="nil"/>
              <w:right w:val="single" w:sz="6" w:space="0" w:color="auto"/>
            </w:tcBorders>
            <w:vAlign w:val="center"/>
            <w:hideMark/>
          </w:tcPr>
          <w:p w14:paraId="10BB5FE6" w14:textId="77777777" w:rsidR="00930E00" w:rsidRDefault="00930E00" w:rsidP="00AD2F6B">
            <w:pPr>
              <w:pStyle w:val="TAH"/>
            </w:pPr>
            <w:r>
              <w:t>Normal condition</w:t>
            </w:r>
          </w:p>
        </w:tc>
        <w:tc>
          <w:tcPr>
            <w:tcW w:w="1109" w:type="dxa"/>
            <w:tcBorders>
              <w:top w:val="single" w:sz="6" w:space="0" w:color="auto"/>
              <w:left w:val="single" w:sz="6" w:space="0" w:color="auto"/>
              <w:bottom w:val="nil"/>
              <w:right w:val="single" w:sz="6" w:space="0" w:color="auto"/>
            </w:tcBorders>
            <w:vAlign w:val="center"/>
            <w:hideMark/>
          </w:tcPr>
          <w:p w14:paraId="7F5AAB68" w14:textId="77777777" w:rsidR="00930E00" w:rsidRDefault="00930E00" w:rsidP="00AD2F6B">
            <w:pPr>
              <w:pStyle w:val="TAH"/>
            </w:pPr>
            <w:r>
              <w:t>Extreme condition</w:t>
            </w:r>
          </w:p>
        </w:tc>
        <w:tc>
          <w:tcPr>
            <w:tcW w:w="895" w:type="dxa"/>
            <w:vMerge w:val="restart"/>
            <w:tcBorders>
              <w:top w:val="single" w:sz="4" w:space="0" w:color="auto"/>
              <w:left w:val="single" w:sz="4" w:space="0" w:color="auto"/>
              <w:right w:val="single" w:sz="4" w:space="0" w:color="auto"/>
            </w:tcBorders>
            <w:hideMark/>
          </w:tcPr>
          <w:p w14:paraId="546E9F1B" w14:textId="11388F60" w:rsidR="00930E00" w:rsidRDefault="00930E00" w:rsidP="00AD2F6B">
            <w:pPr>
              <w:pStyle w:val="TAH"/>
            </w:pPr>
            <w:r>
              <w:rPr>
                <w:rFonts w:cs="Arial"/>
              </w:rPr>
              <w:t>CSI-RS CMR Ês/Iot</w:t>
            </w:r>
            <w:r w:rsidR="00B15E34">
              <w:rPr>
                <w:vertAlign w:val="superscript"/>
              </w:rPr>
              <w:t xml:space="preserve"> Note 2, Note 4</w:t>
            </w:r>
          </w:p>
        </w:tc>
        <w:tc>
          <w:tcPr>
            <w:tcW w:w="5606" w:type="dxa"/>
            <w:gridSpan w:val="4"/>
            <w:tcBorders>
              <w:top w:val="single" w:sz="4" w:space="0" w:color="auto"/>
              <w:left w:val="single" w:sz="4" w:space="0" w:color="auto"/>
              <w:bottom w:val="single" w:sz="6" w:space="0" w:color="auto"/>
              <w:right w:val="single" w:sz="4" w:space="0" w:color="auto"/>
            </w:tcBorders>
            <w:vAlign w:val="center"/>
            <w:hideMark/>
          </w:tcPr>
          <w:p w14:paraId="32DA9F0F" w14:textId="77777777" w:rsidR="00930E00" w:rsidRDefault="00930E00" w:rsidP="00AD2F6B">
            <w:pPr>
              <w:pStyle w:val="TAH"/>
            </w:pPr>
            <w:r>
              <w:t>Io</w:t>
            </w:r>
            <w:r>
              <w:rPr>
                <w:vertAlign w:val="superscript"/>
              </w:rPr>
              <w:t xml:space="preserve"> Note 1</w:t>
            </w:r>
            <w:r>
              <w:t xml:space="preserve"> range</w:t>
            </w:r>
          </w:p>
        </w:tc>
      </w:tr>
      <w:tr w:rsidR="00930E00" w14:paraId="6114C6DD" w14:textId="77777777" w:rsidTr="00AD2F6B">
        <w:trPr>
          <w:jc w:val="center"/>
        </w:trPr>
        <w:tc>
          <w:tcPr>
            <w:tcW w:w="0" w:type="auto"/>
            <w:tcBorders>
              <w:top w:val="nil"/>
              <w:left w:val="single" w:sz="4" w:space="0" w:color="auto"/>
              <w:bottom w:val="single" w:sz="6" w:space="0" w:color="auto"/>
              <w:right w:val="single" w:sz="6" w:space="0" w:color="auto"/>
            </w:tcBorders>
            <w:vAlign w:val="center"/>
            <w:hideMark/>
          </w:tcPr>
          <w:p w14:paraId="20AA9335" w14:textId="77777777" w:rsidR="00930E00" w:rsidRDefault="00930E00" w:rsidP="00AD2F6B"/>
        </w:tc>
        <w:tc>
          <w:tcPr>
            <w:tcW w:w="0" w:type="auto"/>
            <w:tcBorders>
              <w:top w:val="nil"/>
              <w:left w:val="single" w:sz="6" w:space="0" w:color="auto"/>
              <w:bottom w:val="single" w:sz="6" w:space="0" w:color="auto"/>
              <w:right w:val="single" w:sz="6" w:space="0" w:color="auto"/>
            </w:tcBorders>
            <w:vAlign w:val="center"/>
            <w:hideMark/>
          </w:tcPr>
          <w:p w14:paraId="4ADE1CE3" w14:textId="77777777" w:rsidR="00930E00" w:rsidRDefault="00930E00" w:rsidP="00AD2F6B">
            <w:pPr>
              <w:spacing w:after="0"/>
            </w:pPr>
          </w:p>
        </w:tc>
        <w:tc>
          <w:tcPr>
            <w:tcW w:w="895" w:type="dxa"/>
            <w:vMerge/>
            <w:tcBorders>
              <w:left w:val="single" w:sz="4" w:space="0" w:color="auto"/>
              <w:bottom w:val="single" w:sz="6" w:space="0" w:color="auto"/>
              <w:right w:val="single" w:sz="4" w:space="0" w:color="auto"/>
            </w:tcBorders>
            <w:vAlign w:val="center"/>
            <w:hideMark/>
          </w:tcPr>
          <w:p w14:paraId="460718FD" w14:textId="77777777" w:rsidR="00930E00" w:rsidRDefault="00930E00" w:rsidP="00AD2F6B">
            <w:pPr>
              <w:spacing w:after="0"/>
            </w:pPr>
          </w:p>
        </w:tc>
        <w:tc>
          <w:tcPr>
            <w:tcW w:w="4112" w:type="dxa"/>
            <w:gridSpan w:val="3"/>
            <w:tcBorders>
              <w:top w:val="single" w:sz="4" w:space="0" w:color="auto"/>
              <w:left w:val="single" w:sz="4" w:space="0" w:color="auto"/>
              <w:bottom w:val="single" w:sz="6" w:space="0" w:color="auto"/>
              <w:right w:val="single" w:sz="6" w:space="0" w:color="auto"/>
            </w:tcBorders>
            <w:vAlign w:val="center"/>
            <w:hideMark/>
          </w:tcPr>
          <w:p w14:paraId="19568AAA" w14:textId="77777777" w:rsidR="00930E00" w:rsidRDefault="00930E00" w:rsidP="00AD2F6B">
            <w:pPr>
              <w:pStyle w:val="TAH"/>
            </w:pPr>
            <w:r>
              <w:t>Minimum Io</w:t>
            </w:r>
          </w:p>
        </w:tc>
        <w:tc>
          <w:tcPr>
            <w:tcW w:w="1494" w:type="dxa"/>
            <w:tcBorders>
              <w:top w:val="single" w:sz="4" w:space="0" w:color="auto"/>
              <w:left w:val="single" w:sz="6" w:space="0" w:color="auto"/>
              <w:bottom w:val="single" w:sz="6" w:space="0" w:color="auto"/>
              <w:right w:val="single" w:sz="4" w:space="0" w:color="auto"/>
            </w:tcBorders>
            <w:vAlign w:val="center"/>
            <w:hideMark/>
          </w:tcPr>
          <w:p w14:paraId="28124CB0" w14:textId="77777777" w:rsidR="00930E00" w:rsidRDefault="00930E00" w:rsidP="00AD2F6B">
            <w:pPr>
              <w:pStyle w:val="TAH"/>
            </w:pPr>
            <w:r>
              <w:t>Maximum Io</w:t>
            </w:r>
          </w:p>
        </w:tc>
      </w:tr>
      <w:tr w:rsidR="00930E00" w14:paraId="11BD36B4" w14:textId="77777777" w:rsidTr="00AD2F6B">
        <w:trPr>
          <w:jc w:val="center"/>
        </w:trPr>
        <w:tc>
          <w:tcPr>
            <w:tcW w:w="1110" w:type="dxa"/>
            <w:tcBorders>
              <w:top w:val="single" w:sz="6" w:space="0" w:color="auto"/>
              <w:left w:val="single" w:sz="4" w:space="0" w:color="auto"/>
              <w:bottom w:val="nil"/>
              <w:right w:val="single" w:sz="6" w:space="0" w:color="auto"/>
            </w:tcBorders>
            <w:hideMark/>
          </w:tcPr>
          <w:p w14:paraId="751DFEB3" w14:textId="77777777" w:rsidR="00930E00" w:rsidRDefault="00930E00" w:rsidP="00AD2F6B">
            <w:pPr>
              <w:pStyle w:val="TAH"/>
            </w:pPr>
            <w:r>
              <w:t>dB</w:t>
            </w:r>
          </w:p>
        </w:tc>
        <w:tc>
          <w:tcPr>
            <w:tcW w:w="1109" w:type="dxa"/>
            <w:tcBorders>
              <w:top w:val="single" w:sz="6" w:space="0" w:color="auto"/>
              <w:left w:val="single" w:sz="6" w:space="0" w:color="auto"/>
              <w:bottom w:val="nil"/>
              <w:right w:val="single" w:sz="6" w:space="0" w:color="auto"/>
            </w:tcBorders>
            <w:hideMark/>
          </w:tcPr>
          <w:p w14:paraId="1AC100E1" w14:textId="77777777" w:rsidR="00930E00" w:rsidRDefault="00930E00" w:rsidP="00AD2F6B">
            <w:pPr>
              <w:pStyle w:val="TAH"/>
            </w:pPr>
            <w:r>
              <w:t>dB</w:t>
            </w:r>
          </w:p>
        </w:tc>
        <w:tc>
          <w:tcPr>
            <w:tcW w:w="895" w:type="dxa"/>
            <w:tcBorders>
              <w:top w:val="single" w:sz="6" w:space="0" w:color="auto"/>
              <w:left w:val="single" w:sz="4" w:space="0" w:color="auto"/>
              <w:bottom w:val="nil"/>
              <w:right w:val="single" w:sz="4" w:space="0" w:color="auto"/>
            </w:tcBorders>
            <w:hideMark/>
          </w:tcPr>
          <w:p w14:paraId="794B8848" w14:textId="77777777" w:rsidR="00930E00" w:rsidRDefault="00930E00" w:rsidP="00AD2F6B">
            <w:pPr>
              <w:pStyle w:val="TAH"/>
              <w:rPr>
                <w:rFonts w:cs="Arial"/>
              </w:rPr>
            </w:pPr>
            <w:r>
              <w:t>dB</w:t>
            </w:r>
          </w:p>
        </w:tc>
        <w:tc>
          <w:tcPr>
            <w:tcW w:w="2672" w:type="dxa"/>
            <w:gridSpan w:val="2"/>
            <w:tcBorders>
              <w:top w:val="single" w:sz="6" w:space="0" w:color="auto"/>
              <w:left w:val="single" w:sz="4" w:space="0" w:color="auto"/>
              <w:bottom w:val="single" w:sz="6" w:space="0" w:color="auto"/>
              <w:right w:val="single" w:sz="6" w:space="0" w:color="auto"/>
            </w:tcBorders>
            <w:hideMark/>
          </w:tcPr>
          <w:p w14:paraId="61B83C79" w14:textId="7FE560C6" w:rsidR="00930E00" w:rsidRDefault="00930E00" w:rsidP="00AD2F6B">
            <w:pPr>
              <w:pStyle w:val="TAH"/>
            </w:pPr>
            <w:r>
              <w:rPr>
                <w:rFonts w:cs="Arial"/>
              </w:rPr>
              <w:t xml:space="preserve">dBm / </w:t>
            </w:r>
            <w:r>
              <w:t>SCS</w:t>
            </w:r>
            <w:r>
              <w:rPr>
                <w:vertAlign w:val="subscript"/>
              </w:rPr>
              <w:t>CSI-RS</w:t>
            </w:r>
            <w:r>
              <w:rPr>
                <w:vertAlign w:val="superscript"/>
              </w:rPr>
              <w:t xml:space="preserve"> Note </w:t>
            </w:r>
            <w:r w:rsidR="00B15E34">
              <w:rPr>
                <w:vertAlign w:val="superscript"/>
              </w:rPr>
              <w:t>3</w:t>
            </w:r>
          </w:p>
        </w:tc>
        <w:tc>
          <w:tcPr>
            <w:tcW w:w="1440" w:type="dxa"/>
            <w:tcBorders>
              <w:top w:val="single" w:sz="6" w:space="0" w:color="auto"/>
              <w:left w:val="single" w:sz="6" w:space="0" w:color="auto"/>
              <w:bottom w:val="nil"/>
              <w:right w:val="single" w:sz="6" w:space="0" w:color="auto"/>
            </w:tcBorders>
            <w:hideMark/>
          </w:tcPr>
          <w:p w14:paraId="73F4D3C8" w14:textId="77777777" w:rsidR="00930E00" w:rsidRDefault="00930E00" w:rsidP="00AD2F6B">
            <w:pPr>
              <w:pStyle w:val="TAH"/>
            </w:pPr>
            <w:r>
              <w:t>dBm/BW</w:t>
            </w:r>
            <w:r>
              <w:rPr>
                <w:vertAlign w:val="subscript"/>
              </w:rPr>
              <w:t>Channel</w:t>
            </w:r>
          </w:p>
        </w:tc>
        <w:tc>
          <w:tcPr>
            <w:tcW w:w="1494" w:type="dxa"/>
            <w:tcBorders>
              <w:top w:val="single" w:sz="6" w:space="0" w:color="auto"/>
              <w:left w:val="single" w:sz="6" w:space="0" w:color="auto"/>
              <w:bottom w:val="nil"/>
              <w:right w:val="single" w:sz="4" w:space="0" w:color="auto"/>
            </w:tcBorders>
            <w:hideMark/>
          </w:tcPr>
          <w:p w14:paraId="126D9A18" w14:textId="77777777" w:rsidR="00930E00" w:rsidRDefault="00930E00" w:rsidP="00AD2F6B">
            <w:pPr>
              <w:pStyle w:val="TAH"/>
            </w:pPr>
            <w:r>
              <w:t>dBm/BW</w:t>
            </w:r>
            <w:r>
              <w:rPr>
                <w:vertAlign w:val="subscript"/>
              </w:rPr>
              <w:t>Channel</w:t>
            </w:r>
          </w:p>
        </w:tc>
      </w:tr>
      <w:tr w:rsidR="00930E00" w14:paraId="6BA42DF4" w14:textId="77777777" w:rsidTr="00AD2F6B">
        <w:trPr>
          <w:jc w:val="center"/>
        </w:trPr>
        <w:tc>
          <w:tcPr>
            <w:tcW w:w="0" w:type="auto"/>
            <w:tcBorders>
              <w:top w:val="nil"/>
              <w:left w:val="single" w:sz="4" w:space="0" w:color="auto"/>
              <w:bottom w:val="single" w:sz="6" w:space="0" w:color="auto"/>
              <w:right w:val="single" w:sz="6" w:space="0" w:color="auto"/>
            </w:tcBorders>
            <w:hideMark/>
          </w:tcPr>
          <w:p w14:paraId="22E862C5" w14:textId="77777777" w:rsidR="00930E00" w:rsidRDefault="00930E00" w:rsidP="00AD2F6B"/>
        </w:tc>
        <w:tc>
          <w:tcPr>
            <w:tcW w:w="0" w:type="auto"/>
            <w:tcBorders>
              <w:top w:val="nil"/>
              <w:left w:val="single" w:sz="6" w:space="0" w:color="auto"/>
              <w:bottom w:val="single" w:sz="6" w:space="0" w:color="auto"/>
              <w:right w:val="single" w:sz="6" w:space="0" w:color="auto"/>
            </w:tcBorders>
            <w:hideMark/>
          </w:tcPr>
          <w:p w14:paraId="4821EF11" w14:textId="77777777" w:rsidR="00930E00" w:rsidRDefault="00930E00" w:rsidP="00AD2F6B">
            <w:pPr>
              <w:spacing w:after="0"/>
            </w:pPr>
          </w:p>
        </w:tc>
        <w:tc>
          <w:tcPr>
            <w:tcW w:w="895" w:type="dxa"/>
            <w:tcBorders>
              <w:top w:val="nil"/>
              <w:left w:val="single" w:sz="4" w:space="0" w:color="auto"/>
              <w:bottom w:val="single" w:sz="4" w:space="0" w:color="auto"/>
              <w:right w:val="single" w:sz="4" w:space="0" w:color="auto"/>
            </w:tcBorders>
            <w:hideMark/>
          </w:tcPr>
          <w:p w14:paraId="58DD2E4D" w14:textId="77777777" w:rsidR="00930E00" w:rsidRDefault="00930E00" w:rsidP="00AD2F6B">
            <w:pPr>
              <w:spacing w:after="0"/>
            </w:pPr>
          </w:p>
        </w:tc>
        <w:tc>
          <w:tcPr>
            <w:tcW w:w="1690" w:type="dxa"/>
            <w:tcBorders>
              <w:top w:val="single" w:sz="6" w:space="0" w:color="auto"/>
              <w:left w:val="single" w:sz="4" w:space="0" w:color="auto"/>
              <w:bottom w:val="single" w:sz="6" w:space="0" w:color="auto"/>
              <w:right w:val="single" w:sz="6" w:space="0" w:color="auto"/>
            </w:tcBorders>
            <w:hideMark/>
          </w:tcPr>
          <w:p w14:paraId="3846129F" w14:textId="77777777" w:rsidR="00930E00" w:rsidRDefault="00930E00" w:rsidP="00AD2F6B">
            <w:pPr>
              <w:pStyle w:val="TAH"/>
            </w:pPr>
            <w:r>
              <w:t>SCS</w:t>
            </w:r>
            <w:r>
              <w:rPr>
                <w:vertAlign w:val="subscript"/>
              </w:rPr>
              <w:t>CSI-RS</w:t>
            </w:r>
            <w:r>
              <w:rPr>
                <w:rFonts w:cs="Arial"/>
              </w:rPr>
              <w:t xml:space="preserve"> = 60kHz</w:t>
            </w:r>
          </w:p>
        </w:tc>
        <w:tc>
          <w:tcPr>
            <w:tcW w:w="982" w:type="dxa"/>
            <w:tcBorders>
              <w:top w:val="single" w:sz="6" w:space="0" w:color="auto"/>
              <w:left w:val="single" w:sz="4" w:space="0" w:color="auto"/>
              <w:bottom w:val="single" w:sz="6" w:space="0" w:color="auto"/>
              <w:right w:val="single" w:sz="6" w:space="0" w:color="auto"/>
            </w:tcBorders>
          </w:tcPr>
          <w:p w14:paraId="73451EA6" w14:textId="77777777" w:rsidR="00930E00" w:rsidRDefault="00930E00" w:rsidP="00AD2F6B">
            <w:pPr>
              <w:pStyle w:val="TAH"/>
            </w:pPr>
            <w:r>
              <w:t>SCS</w:t>
            </w:r>
            <w:r>
              <w:rPr>
                <w:vertAlign w:val="subscript"/>
              </w:rPr>
              <w:t>CSI-RS</w:t>
            </w:r>
            <w:r>
              <w:rPr>
                <w:rFonts w:cs="Arial"/>
              </w:rPr>
              <w:t xml:space="preserve"> = 120kHz</w:t>
            </w:r>
          </w:p>
        </w:tc>
        <w:tc>
          <w:tcPr>
            <w:tcW w:w="1440" w:type="dxa"/>
            <w:tcBorders>
              <w:top w:val="nil"/>
              <w:left w:val="single" w:sz="6" w:space="0" w:color="auto"/>
              <w:bottom w:val="single" w:sz="6" w:space="0" w:color="auto"/>
              <w:right w:val="single" w:sz="6" w:space="0" w:color="auto"/>
            </w:tcBorders>
            <w:hideMark/>
          </w:tcPr>
          <w:p w14:paraId="3DB5ABAF" w14:textId="77777777" w:rsidR="00930E00" w:rsidRDefault="00930E00" w:rsidP="00AD2F6B"/>
        </w:tc>
        <w:tc>
          <w:tcPr>
            <w:tcW w:w="1494" w:type="dxa"/>
            <w:tcBorders>
              <w:top w:val="nil"/>
              <w:left w:val="single" w:sz="6" w:space="0" w:color="auto"/>
              <w:bottom w:val="single" w:sz="6" w:space="0" w:color="auto"/>
              <w:right w:val="single" w:sz="4" w:space="0" w:color="auto"/>
            </w:tcBorders>
            <w:hideMark/>
          </w:tcPr>
          <w:p w14:paraId="7D882945" w14:textId="77777777" w:rsidR="00930E00" w:rsidRDefault="00930E00" w:rsidP="00AD2F6B">
            <w:pPr>
              <w:spacing w:after="0"/>
            </w:pPr>
          </w:p>
        </w:tc>
      </w:tr>
      <w:tr w:rsidR="00CA6320" w14:paraId="5436A8A9" w14:textId="77777777" w:rsidTr="00AD2F6B">
        <w:trPr>
          <w:jc w:val="center"/>
        </w:trPr>
        <w:tc>
          <w:tcPr>
            <w:tcW w:w="1110" w:type="dxa"/>
            <w:tcBorders>
              <w:top w:val="single" w:sz="6" w:space="0" w:color="auto"/>
              <w:left w:val="single" w:sz="4" w:space="0" w:color="auto"/>
              <w:bottom w:val="nil"/>
              <w:right w:val="single" w:sz="6" w:space="0" w:color="auto"/>
            </w:tcBorders>
            <w:hideMark/>
          </w:tcPr>
          <w:p w14:paraId="1483ED71" w14:textId="245334B2" w:rsidR="00CA6320" w:rsidRDefault="00CA6320" w:rsidP="00CA6320">
            <w:pPr>
              <w:pStyle w:val="TAC"/>
            </w:pPr>
            <w:r>
              <w:rPr>
                <w:rFonts w:cs="Arial"/>
              </w:rPr>
              <w:t>±3.5</w:t>
            </w:r>
          </w:p>
        </w:tc>
        <w:tc>
          <w:tcPr>
            <w:tcW w:w="1109" w:type="dxa"/>
            <w:tcBorders>
              <w:top w:val="single" w:sz="6" w:space="0" w:color="auto"/>
              <w:left w:val="single" w:sz="6" w:space="0" w:color="auto"/>
              <w:bottom w:val="nil"/>
              <w:right w:val="single" w:sz="4" w:space="0" w:color="auto"/>
            </w:tcBorders>
            <w:hideMark/>
          </w:tcPr>
          <w:p w14:paraId="2438CF03" w14:textId="12B36416" w:rsidR="00CA6320" w:rsidRDefault="00CA6320" w:rsidP="00CA6320">
            <w:pPr>
              <w:pStyle w:val="TAC"/>
            </w:pPr>
            <w:r>
              <w:rPr>
                <w:rFonts w:cs="Arial"/>
              </w:rPr>
              <w:t>±4.5</w:t>
            </w:r>
          </w:p>
        </w:tc>
        <w:tc>
          <w:tcPr>
            <w:tcW w:w="895" w:type="dxa"/>
            <w:tcBorders>
              <w:top w:val="single" w:sz="4" w:space="0" w:color="auto"/>
              <w:left w:val="single" w:sz="4" w:space="0" w:color="auto"/>
              <w:bottom w:val="single" w:sz="4" w:space="0" w:color="auto"/>
              <w:right w:val="single" w:sz="4" w:space="0" w:color="auto"/>
            </w:tcBorders>
            <w:hideMark/>
          </w:tcPr>
          <w:p w14:paraId="326A5A17" w14:textId="77777777" w:rsidR="00CA6320" w:rsidRDefault="00CA6320" w:rsidP="00CA6320">
            <w:pPr>
              <w:pStyle w:val="TAC"/>
            </w:pPr>
            <w:r>
              <w:rPr>
                <w:rFonts w:eastAsia="Yu Mincho" w:cs="Arial"/>
                <w:lang w:eastAsia="ja-JP"/>
              </w:rPr>
              <w:t>≥-3</w:t>
            </w:r>
          </w:p>
        </w:tc>
        <w:tc>
          <w:tcPr>
            <w:tcW w:w="2672" w:type="dxa"/>
            <w:gridSpan w:val="2"/>
            <w:tcBorders>
              <w:top w:val="single" w:sz="6" w:space="0" w:color="auto"/>
              <w:left w:val="single" w:sz="4" w:space="0" w:color="auto"/>
              <w:bottom w:val="single" w:sz="6" w:space="0" w:color="auto"/>
              <w:right w:val="single" w:sz="6" w:space="0" w:color="auto"/>
            </w:tcBorders>
            <w:hideMark/>
          </w:tcPr>
          <w:p w14:paraId="350F0071" w14:textId="4CCE7473" w:rsidR="00CA6320" w:rsidRDefault="00CA6320" w:rsidP="00CA6320">
            <w:pPr>
              <w:pStyle w:val="TAC"/>
              <w:rPr>
                <w:rFonts w:eastAsia="Yu Mincho"/>
                <w:lang w:eastAsia="ja-JP"/>
              </w:rPr>
            </w:pPr>
            <w:r w:rsidRPr="009C5807">
              <w:t xml:space="preserve">Same value as CSI-RS_RP in Table </w:t>
            </w:r>
            <w:r>
              <w:t xml:space="preserve">in </w:t>
            </w:r>
            <w:r w:rsidRPr="009C5807">
              <w:t>B.2</w:t>
            </w:r>
            <w:r>
              <w:t>.8.3</w:t>
            </w:r>
            <w:r w:rsidRPr="009C5807">
              <w:t>, according to UE Power class, operating band and angle of arrival</w:t>
            </w:r>
          </w:p>
        </w:tc>
        <w:tc>
          <w:tcPr>
            <w:tcW w:w="1440" w:type="dxa"/>
            <w:tcBorders>
              <w:top w:val="single" w:sz="6" w:space="0" w:color="auto"/>
              <w:left w:val="single" w:sz="6" w:space="0" w:color="auto"/>
              <w:bottom w:val="single" w:sz="6" w:space="0" w:color="auto"/>
              <w:right w:val="single" w:sz="6" w:space="0" w:color="auto"/>
            </w:tcBorders>
            <w:hideMark/>
          </w:tcPr>
          <w:p w14:paraId="1B90D1F5" w14:textId="77777777" w:rsidR="00CA6320" w:rsidRDefault="00CA6320" w:rsidP="00CA6320">
            <w:pPr>
              <w:pStyle w:val="TAC"/>
            </w:pPr>
            <w:r>
              <w:rPr>
                <w:lang w:eastAsia="zh-CN"/>
              </w:rPr>
              <w:t>N/A</w:t>
            </w:r>
          </w:p>
        </w:tc>
        <w:tc>
          <w:tcPr>
            <w:tcW w:w="1494" w:type="dxa"/>
            <w:tcBorders>
              <w:top w:val="single" w:sz="6" w:space="0" w:color="auto"/>
              <w:left w:val="single" w:sz="6" w:space="0" w:color="auto"/>
              <w:bottom w:val="single" w:sz="6" w:space="0" w:color="auto"/>
              <w:right w:val="single" w:sz="4" w:space="0" w:color="auto"/>
            </w:tcBorders>
            <w:hideMark/>
          </w:tcPr>
          <w:p w14:paraId="1DD374DB" w14:textId="77777777" w:rsidR="00CA6320" w:rsidRDefault="00CA6320" w:rsidP="00CA6320">
            <w:pPr>
              <w:pStyle w:val="TAC"/>
            </w:pPr>
            <w:r>
              <w:t>-50</w:t>
            </w:r>
          </w:p>
        </w:tc>
      </w:tr>
      <w:tr w:rsidR="00930E00" w14:paraId="3B3A9FAD" w14:textId="77777777" w:rsidTr="00AD2F6B">
        <w:trPr>
          <w:jc w:val="center"/>
        </w:trPr>
        <w:tc>
          <w:tcPr>
            <w:tcW w:w="8720" w:type="dxa"/>
            <w:gridSpan w:val="7"/>
            <w:tcBorders>
              <w:top w:val="single" w:sz="6" w:space="0" w:color="auto"/>
              <w:left w:val="single" w:sz="4" w:space="0" w:color="auto"/>
              <w:bottom w:val="single" w:sz="6" w:space="0" w:color="auto"/>
              <w:right w:val="single" w:sz="4" w:space="0" w:color="auto"/>
            </w:tcBorders>
            <w:vAlign w:val="center"/>
            <w:hideMark/>
          </w:tcPr>
          <w:p w14:paraId="4FF13096" w14:textId="77777777" w:rsidR="00930E00" w:rsidRDefault="00930E00" w:rsidP="00AD2F6B">
            <w:pPr>
              <w:pStyle w:val="TAN"/>
            </w:pPr>
            <w:r>
              <w:t>NOTE 1:</w:t>
            </w:r>
            <w:r>
              <w:tab/>
              <w:t xml:space="preserve">Io </w:t>
            </w:r>
            <w:r>
              <w:rPr>
                <w:rFonts w:eastAsia="MS Mincho"/>
              </w:rPr>
              <w:t>specified at the Reference point, and</w:t>
            </w:r>
            <w:r>
              <w:t xml:space="preserve"> assumed to have constant EPRE across the bandwidth.</w:t>
            </w:r>
          </w:p>
          <w:p w14:paraId="72E1D87C" w14:textId="77777777" w:rsidR="00930E00" w:rsidRDefault="00930E00" w:rsidP="00AD2F6B">
            <w:pPr>
              <w:pStyle w:val="TAN"/>
            </w:pPr>
            <w:r>
              <w:t>N</w:t>
            </w:r>
            <w:r>
              <w:rPr>
                <w:lang w:eastAsia="zh-CN"/>
              </w:rPr>
              <w:t>OTE</w:t>
            </w:r>
            <w:r>
              <w:t xml:space="preserve"> 2:</w:t>
            </w:r>
            <w:r>
              <w:tab/>
            </w:r>
            <w:r>
              <w:rPr>
                <w:lang w:eastAsia="zh-CN"/>
              </w:rPr>
              <w:t xml:space="preserve">The parameter CSI-RS CMR </w:t>
            </w:r>
            <w:r>
              <w:t>Ês/Iot</w:t>
            </w:r>
            <w:r>
              <w:rPr>
                <w:lang w:eastAsia="zh-CN"/>
              </w:rPr>
              <w:t xml:space="preserve"> is the minimum CSI-RS CMR </w:t>
            </w:r>
            <w:r>
              <w:t>Ês/Iot</w:t>
            </w:r>
            <w:r>
              <w:rPr>
                <w:lang w:eastAsia="zh-CN"/>
              </w:rPr>
              <w:t xml:space="preserve"> of the pair of CSI-RS resources to which the requirement applies.</w:t>
            </w:r>
          </w:p>
          <w:p w14:paraId="5D3AFFC3" w14:textId="77777777" w:rsidR="00930E00" w:rsidRDefault="00930E00" w:rsidP="00AD2F6B">
            <w:pPr>
              <w:pStyle w:val="TAN"/>
            </w:pPr>
            <w:r>
              <w:t>NOTE 3:</w:t>
            </w:r>
            <w:r>
              <w:tab/>
              <w:t>Values based on Refsens and EIS spherical coverage as defined in clauses 7.3.2 and 7.3.4 of TS 38.101-2 [19]. Applicable side condition selected depending on angle of arrival.</w:t>
            </w:r>
          </w:p>
          <w:p w14:paraId="3B72B947" w14:textId="77777777" w:rsidR="00930E00" w:rsidRDefault="00930E00" w:rsidP="00AD2F6B">
            <w:pPr>
              <w:pStyle w:val="TAN"/>
            </w:pPr>
            <w:r>
              <w:t>NOTE 4:</w:t>
            </w:r>
            <w:r>
              <w:tab/>
              <w:t>In the test cases, the CSI-RS CMR Ês/Iot and related parameters may need to be adjusted to ensure Ês/Iot at UE baseband is above the value defined in this table.</w:t>
            </w:r>
          </w:p>
        </w:tc>
      </w:tr>
    </w:tbl>
    <w:p w14:paraId="530C833E" w14:textId="77777777" w:rsidR="00930E00" w:rsidRDefault="00930E00" w:rsidP="00930E00">
      <w:pPr>
        <w:rPr>
          <w:noProof/>
        </w:rPr>
      </w:pPr>
    </w:p>
    <w:p w14:paraId="3BD8DE38" w14:textId="77777777" w:rsidR="007D2333" w:rsidRPr="007275DF" w:rsidRDefault="007D2333" w:rsidP="007D2333">
      <w:pPr>
        <w:pStyle w:val="Heading3"/>
        <w:rPr>
          <w:lang w:val="en-US"/>
        </w:rPr>
      </w:pPr>
      <w:r w:rsidRPr="007275DF">
        <w:rPr>
          <w:lang w:val="en-US" w:eastAsia="ko-KR"/>
        </w:rPr>
        <w:t>10.1.29</w:t>
      </w:r>
      <w:r w:rsidRPr="007275DF">
        <w:rPr>
          <w:lang w:val="en-US"/>
        </w:rPr>
        <w:tab/>
        <w:t>Intra-frequency RSRQ accuracy requirements under CCA</w:t>
      </w:r>
    </w:p>
    <w:p w14:paraId="09D1E8C2" w14:textId="77777777" w:rsidR="007D2333" w:rsidRPr="007275DF" w:rsidRDefault="007D2333" w:rsidP="007D2333">
      <w:pPr>
        <w:pStyle w:val="Heading4"/>
        <w:rPr>
          <w:lang w:val="en-US" w:eastAsia="zh-CN"/>
        </w:rPr>
      </w:pPr>
      <w:r w:rsidRPr="007275DF">
        <w:rPr>
          <w:lang w:val="en-US" w:eastAsia="zh-CN"/>
        </w:rPr>
        <w:t>10.1.29.1</w:t>
      </w:r>
      <w:r w:rsidRPr="007275DF">
        <w:rPr>
          <w:lang w:val="en-US" w:eastAsia="zh-CN"/>
        </w:rPr>
        <w:tab/>
      </w:r>
      <w:r w:rsidRPr="007275DF">
        <w:rPr>
          <w:lang w:val="en-US" w:eastAsia="ko-KR"/>
        </w:rPr>
        <w:t>Intra-frequency SS-RSRQ accuracy requirements in FR1</w:t>
      </w:r>
    </w:p>
    <w:p w14:paraId="54DB08DB" w14:textId="77777777" w:rsidR="007D2333" w:rsidRPr="007275DF" w:rsidRDefault="007D2333" w:rsidP="007D2333">
      <w:pPr>
        <w:pStyle w:val="Heading5"/>
      </w:pPr>
      <w:r w:rsidRPr="007275DF">
        <w:rPr>
          <w:lang w:eastAsia="zh-CN"/>
        </w:rPr>
        <w:t>10.</w:t>
      </w:r>
      <w:r w:rsidRPr="007275DF">
        <w:t>1</w:t>
      </w:r>
      <w:r w:rsidRPr="007275DF">
        <w:rPr>
          <w:lang w:eastAsia="zh-CN"/>
        </w:rPr>
        <w:t>.</w:t>
      </w:r>
      <w:r w:rsidRPr="007275DF">
        <w:t>29</w:t>
      </w:r>
      <w:r w:rsidRPr="007275DF">
        <w:rPr>
          <w:lang w:eastAsia="zh-CN"/>
        </w:rPr>
        <w:t>.</w:t>
      </w:r>
      <w:r w:rsidRPr="007275DF">
        <w:t>1</w:t>
      </w:r>
      <w:r w:rsidRPr="007275DF">
        <w:rPr>
          <w:lang w:eastAsia="zh-CN"/>
        </w:rPr>
        <w:t>.1</w:t>
      </w:r>
      <w:r w:rsidRPr="007275DF">
        <w:tab/>
        <w:t xml:space="preserve">Absolute </w:t>
      </w:r>
      <w:r w:rsidRPr="007275DF">
        <w:rPr>
          <w:lang w:val="en-US" w:eastAsia="ko-KR"/>
        </w:rPr>
        <w:t xml:space="preserve">SS-RSRQ </w:t>
      </w:r>
      <w:r w:rsidRPr="007275DF">
        <w:t>Accuracy</w:t>
      </w:r>
    </w:p>
    <w:p w14:paraId="71EFA41B" w14:textId="77777777" w:rsidR="007D2333" w:rsidRPr="007275DF" w:rsidRDefault="007D2333" w:rsidP="007D2333">
      <w:pPr>
        <w:rPr>
          <w:rFonts w:cs="v4.2.0"/>
          <w:i/>
        </w:rPr>
      </w:pPr>
      <w:r w:rsidRPr="007275DF">
        <w:rPr>
          <w:rFonts w:cs="v4.2.0"/>
        </w:rPr>
        <w:t xml:space="preserve">Unless otherwise specified, the requirements for absolute accuracy of </w:t>
      </w:r>
      <w:r w:rsidRPr="007275DF">
        <w:rPr>
          <w:rFonts w:cs="v4.2.0"/>
          <w:lang w:eastAsia="zh-CN"/>
        </w:rPr>
        <w:t>SS-RSRQ</w:t>
      </w:r>
      <w:r w:rsidRPr="007275DF">
        <w:rPr>
          <w:rFonts w:cs="v4.2.0"/>
        </w:rPr>
        <w:t xml:space="preserve"> in this clause apply to a cell on the same frequency as that of the serving cell under CCA.</w:t>
      </w:r>
    </w:p>
    <w:p w14:paraId="117784E4"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10.1.29.1.1</w:t>
      </w:r>
      <w:r w:rsidRPr="007275DF">
        <w:rPr>
          <w:rFonts w:cs="v4.2.0"/>
        </w:rPr>
        <w:t>-1 are valid under the following conditions:</w:t>
      </w:r>
    </w:p>
    <w:p w14:paraId="3131D3A7" w14:textId="77777777" w:rsidR="007D2333" w:rsidRPr="007275DF" w:rsidRDefault="007D2333" w:rsidP="007D2333">
      <w:pPr>
        <w:pStyle w:val="B10"/>
        <w:rPr>
          <w:lang w:eastAsia="zh-CN"/>
        </w:rPr>
      </w:pPr>
      <w:r w:rsidRPr="007275DF">
        <w:t>-</w:t>
      </w:r>
      <w:r w:rsidRPr="007275DF">
        <w:tab/>
        <w:t>Conditions defined in clause 7.3F of TS 38.101-1 [18] for reference sensitivity are fulfilled.</w:t>
      </w:r>
    </w:p>
    <w:p w14:paraId="5F9189AE" w14:textId="05F43E21" w:rsidR="007D2333" w:rsidRPr="007275DF" w:rsidRDefault="00233327" w:rsidP="007D2333">
      <w:pPr>
        <w:pStyle w:val="B10"/>
        <w:rPr>
          <w:lang w:eastAsia="zh-CN"/>
        </w:rPr>
      </w:pPr>
      <w:r w:rsidRPr="007275DF">
        <w:t>-</w:t>
      </w:r>
      <w:r w:rsidRPr="007275DF">
        <w:tab/>
      </w:r>
      <w:r w:rsidR="007D2333" w:rsidRPr="007275DF">
        <w:t xml:space="preserve">Conditions for intra-frequency measurements are fulfilled according to Annex B.2.8 for a corresponding Band </w:t>
      </w:r>
      <w:r w:rsidR="007D2333" w:rsidRPr="007275DF">
        <w:rPr>
          <w:rFonts w:cs="v4.2.0"/>
          <w:lang w:eastAsia="ko-KR"/>
        </w:rPr>
        <w:t>for each relevant SSB</w:t>
      </w:r>
      <w:r w:rsidR="007D2333" w:rsidRPr="007275DF">
        <w:t>.</w:t>
      </w:r>
    </w:p>
    <w:p w14:paraId="6D5BB425" w14:textId="77777777" w:rsidR="007D2333" w:rsidRPr="007275DF" w:rsidRDefault="007D2333" w:rsidP="007D2333">
      <w:pPr>
        <w:pStyle w:val="TH"/>
        <w:rPr>
          <w:lang w:eastAsia="zh-CN"/>
        </w:rPr>
      </w:pPr>
      <w:r w:rsidRPr="007275DF">
        <w:t xml:space="preserve">Table </w:t>
      </w:r>
      <w:r w:rsidRPr="007275DF">
        <w:rPr>
          <w:lang w:eastAsia="zh-CN"/>
        </w:rPr>
        <w:t>10.1.29.1.1-1</w:t>
      </w:r>
      <w:r w:rsidRPr="007275DF">
        <w:t xml:space="preserve">: </w:t>
      </w:r>
      <w:r w:rsidRPr="007275DF">
        <w:rPr>
          <w:lang w:eastAsia="zh-CN"/>
        </w:rPr>
        <w:t>SS-RSRQ</w:t>
      </w:r>
      <w:r w:rsidRPr="007275DF">
        <w:t xml:space="preserve"> intra-frequency absolute accuracy</w:t>
      </w:r>
      <w:r w:rsidRPr="007275DF">
        <w:rPr>
          <w:lang w:eastAsia="zh-CN"/>
        </w:rPr>
        <w:t xml:space="preserve"> under CCA</w:t>
      </w:r>
    </w:p>
    <w:tbl>
      <w:tblPr>
        <w:tblW w:w="10172" w:type="dxa"/>
        <w:jc w:val="center"/>
        <w:tblLook w:val="01E0" w:firstRow="1" w:lastRow="1" w:firstColumn="1" w:lastColumn="1" w:noHBand="0" w:noVBand="0"/>
      </w:tblPr>
      <w:tblGrid>
        <w:gridCol w:w="1034"/>
        <w:gridCol w:w="1048"/>
        <w:gridCol w:w="805"/>
        <w:gridCol w:w="2317"/>
        <w:gridCol w:w="1003"/>
        <w:gridCol w:w="1085"/>
        <w:gridCol w:w="1440"/>
        <w:gridCol w:w="1440"/>
      </w:tblGrid>
      <w:tr w:rsidR="007D2333" w:rsidRPr="007275DF" w14:paraId="55276359" w14:textId="77777777" w:rsidTr="007D2333">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721AEAC5" w14:textId="77777777" w:rsidR="007D2333" w:rsidRPr="007275DF" w:rsidRDefault="007D2333" w:rsidP="007D2333">
            <w:pPr>
              <w:pStyle w:val="TAH"/>
            </w:pPr>
            <w:r w:rsidRPr="007275DF">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0DAD872C" w14:textId="77777777" w:rsidR="007D2333" w:rsidRPr="007275DF" w:rsidRDefault="007D2333" w:rsidP="007D2333">
            <w:pPr>
              <w:pStyle w:val="TAH"/>
            </w:pPr>
            <w:r w:rsidRPr="007275DF">
              <w:t>Conditions</w:t>
            </w:r>
          </w:p>
        </w:tc>
      </w:tr>
      <w:tr w:rsidR="007D2333" w:rsidRPr="007275DF" w14:paraId="752E9C27" w14:textId="77777777" w:rsidTr="007D2333">
        <w:trPr>
          <w:jc w:val="center"/>
        </w:trPr>
        <w:tc>
          <w:tcPr>
            <w:tcW w:w="1034" w:type="dxa"/>
            <w:tcBorders>
              <w:top w:val="single" w:sz="6" w:space="0" w:color="auto"/>
              <w:left w:val="single" w:sz="4" w:space="0" w:color="auto"/>
              <w:right w:val="single" w:sz="6" w:space="0" w:color="auto"/>
            </w:tcBorders>
            <w:shd w:val="clear" w:color="auto" w:fill="auto"/>
            <w:vAlign w:val="center"/>
          </w:tcPr>
          <w:p w14:paraId="631B284B" w14:textId="77777777" w:rsidR="007D2333" w:rsidRPr="007275DF" w:rsidRDefault="007D2333" w:rsidP="007D2333">
            <w:pPr>
              <w:pStyle w:val="TAH"/>
            </w:pPr>
            <w:r w:rsidRPr="007275DF">
              <w:t>Normal condition</w:t>
            </w:r>
          </w:p>
        </w:tc>
        <w:tc>
          <w:tcPr>
            <w:tcW w:w="1048" w:type="dxa"/>
            <w:tcBorders>
              <w:top w:val="single" w:sz="6" w:space="0" w:color="auto"/>
              <w:left w:val="single" w:sz="6" w:space="0" w:color="auto"/>
              <w:right w:val="single" w:sz="6" w:space="0" w:color="auto"/>
            </w:tcBorders>
            <w:shd w:val="clear" w:color="auto" w:fill="auto"/>
            <w:vAlign w:val="center"/>
          </w:tcPr>
          <w:p w14:paraId="23E5B2B8" w14:textId="77777777" w:rsidR="007D2333" w:rsidRPr="007275DF" w:rsidRDefault="007D2333" w:rsidP="007D2333">
            <w:pPr>
              <w:pStyle w:val="TAH"/>
            </w:pPr>
            <w:r w:rsidRPr="007275DF">
              <w:t>Extreme condition</w:t>
            </w:r>
          </w:p>
        </w:tc>
        <w:tc>
          <w:tcPr>
            <w:tcW w:w="805" w:type="dxa"/>
            <w:tcBorders>
              <w:top w:val="single" w:sz="6" w:space="0" w:color="auto"/>
              <w:left w:val="single" w:sz="6" w:space="0" w:color="auto"/>
              <w:right w:val="single" w:sz="6" w:space="0" w:color="auto"/>
            </w:tcBorders>
            <w:shd w:val="clear" w:color="auto" w:fill="auto"/>
            <w:vAlign w:val="center"/>
          </w:tcPr>
          <w:p w14:paraId="3E05FEC8" w14:textId="77777777" w:rsidR="007D2333" w:rsidRPr="007275DF" w:rsidRDefault="007D2333" w:rsidP="007D2333">
            <w:pPr>
              <w:pStyle w:val="TAH"/>
            </w:pPr>
            <w:r w:rsidRPr="007275DF">
              <w:t>SSB Ês/Iot</w:t>
            </w:r>
          </w:p>
        </w:tc>
        <w:tc>
          <w:tcPr>
            <w:tcW w:w="7285"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070C1281" w14:textId="77777777" w:rsidR="007D2333" w:rsidRPr="007275DF" w:rsidRDefault="007D2333" w:rsidP="007D2333">
            <w:pPr>
              <w:pStyle w:val="TAH"/>
            </w:pPr>
            <w:r w:rsidRPr="007275DF">
              <w:t>Io</w:t>
            </w:r>
            <w:r w:rsidRPr="007275DF">
              <w:rPr>
                <w:vertAlign w:val="superscript"/>
                <w:lang w:eastAsia="zh-CN"/>
              </w:rPr>
              <w:t xml:space="preserve"> Note 1</w:t>
            </w:r>
            <w:r w:rsidRPr="007275DF">
              <w:t xml:space="preserve"> range</w:t>
            </w:r>
          </w:p>
        </w:tc>
      </w:tr>
      <w:tr w:rsidR="007D2333" w:rsidRPr="007275DF" w14:paraId="21DC871E" w14:textId="77777777" w:rsidTr="007D2333">
        <w:trPr>
          <w:jc w:val="center"/>
        </w:trPr>
        <w:tc>
          <w:tcPr>
            <w:tcW w:w="1034" w:type="dxa"/>
            <w:tcBorders>
              <w:left w:val="single" w:sz="4" w:space="0" w:color="auto"/>
              <w:bottom w:val="single" w:sz="6" w:space="0" w:color="auto"/>
              <w:right w:val="single" w:sz="6" w:space="0" w:color="auto"/>
            </w:tcBorders>
            <w:shd w:val="clear" w:color="auto" w:fill="auto"/>
            <w:vAlign w:val="center"/>
          </w:tcPr>
          <w:p w14:paraId="18297457" w14:textId="77777777" w:rsidR="007D2333" w:rsidRPr="007275DF" w:rsidRDefault="007D2333" w:rsidP="007D2333">
            <w:pPr>
              <w:pStyle w:val="TAH"/>
            </w:pPr>
          </w:p>
        </w:tc>
        <w:tc>
          <w:tcPr>
            <w:tcW w:w="1048" w:type="dxa"/>
            <w:tcBorders>
              <w:left w:val="single" w:sz="6" w:space="0" w:color="auto"/>
              <w:bottom w:val="single" w:sz="6" w:space="0" w:color="auto"/>
              <w:right w:val="single" w:sz="6" w:space="0" w:color="auto"/>
            </w:tcBorders>
            <w:shd w:val="clear" w:color="auto" w:fill="auto"/>
            <w:vAlign w:val="center"/>
          </w:tcPr>
          <w:p w14:paraId="0960DDF0" w14:textId="77777777" w:rsidR="007D2333" w:rsidRPr="007275DF" w:rsidRDefault="007D2333" w:rsidP="007D2333">
            <w:pPr>
              <w:pStyle w:val="TAH"/>
            </w:pPr>
          </w:p>
        </w:tc>
        <w:tc>
          <w:tcPr>
            <w:tcW w:w="805" w:type="dxa"/>
            <w:tcBorders>
              <w:left w:val="single" w:sz="6" w:space="0" w:color="auto"/>
              <w:bottom w:val="single" w:sz="6" w:space="0" w:color="auto"/>
              <w:right w:val="single" w:sz="6" w:space="0" w:color="auto"/>
            </w:tcBorders>
            <w:shd w:val="clear" w:color="auto" w:fill="auto"/>
            <w:vAlign w:val="center"/>
          </w:tcPr>
          <w:p w14:paraId="642EF9BB" w14:textId="77777777" w:rsidR="007D2333" w:rsidRPr="007275DF" w:rsidRDefault="007D2333" w:rsidP="007D2333">
            <w:pPr>
              <w:pStyle w:val="TAH"/>
            </w:pPr>
          </w:p>
        </w:tc>
        <w:tc>
          <w:tcPr>
            <w:tcW w:w="2317" w:type="dxa"/>
            <w:tcBorders>
              <w:top w:val="single" w:sz="6" w:space="0" w:color="auto"/>
              <w:left w:val="single" w:sz="6" w:space="0" w:color="auto"/>
              <w:bottom w:val="single" w:sz="4" w:space="0" w:color="auto"/>
              <w:right w:val="single" w:sz="4" w:space="0" w:color="auto"/>
            </w:tcBorders>
            <w:shd w:val="clear" w:color="auto" w:fill="auto"/>
            <w:vAlign w:val="center"/>
          </w:tcPr>
          <w:p w14:paraId="792F67F3" w14:textId="77777777" w:rsidR="007D2333" w:rsidRPr="007275DF" w:rsidRDefault="007D2333" w:rsidP="007D2333">
            <w:pPr>
              <w:pStyle w:val="TAH"/>
            </w:pPr>
            <w:r w:rsidRPr="007275DF">
              <w:t>NR operating band groups</w:t>
            </w:r>
            <w:r w:rsidRPr="007275DF">
              <w:rPr>
                <w:vertAlign w:val="superscript"/>
              </w:rPr>
              <w:t xml:space="preserve"> </w:t>
            </w:r>
            <w:r w:rsidRPr="007275DF">
              <w:rPr>
                <w:vertAlign w:val="superscript"/>
                <w:lang w:eastAsia="zh-CN"/>
              </w:rPr>
              <w:t>Note 3</w:t>
            </w:r>
          </w:p>
        </w:tc>
        <w:tc>
          <w:tcPr>
            <w:tcW w:w="352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2AB3E07F"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51B82E7E" w14:textId="77777777" w:rsidR="007D2333" w:rsidRPr="007275DF" w:rsidRDefault="007D2333" w:rsidP="007D2333">
            <w:pPr>
              <w:pStyle w:val="TAH"/>
            </w:pPr>
            <w:r w:rsidRPr="007275DF">
              <w:t>Maximum Io</w:t>
            </w:r>
          </w:p>
        </w:tc>
      </w:tr>
      <w:tr w:rsidR="007D2333" w:rsidRPr="007275DF" w14:paraId="12DDF08C" w14:textId="77777777" w:rsidTr="007D2333">
        <w:trPr>
          <w:trHeight w:val="308"/>
          <w:jc w:val="center"/>
        </w:trPr>
        <w:tc>
          <w:tcPr>
            <w:tcW w:w="1034" w:type="dxa"/>
            <w:tcBorders>
              <w:top w:val="single" w:sz="6" w:space="0" w:color="auto"/>
              <w:left w:val="single" w:sz="4" w:space="0" w:color="auto"/>
              <w:right w:val="single" w:sz="6" w:space="0" w:color="auto"/>
            </w:tcBorders>
            <w:shd w:val="clear" w:color="auto" w:fill="auto"/>
          </w:tcPr>
          <w:p w14:paraId="24386098" w14:textId="77777777" w:rsidR="007D2333" w:rsidRPr="007275DF" w:rsidRDefault="007D2333" w:rsidP="007D2333">
            <w:pPr>
              <w:pStyle w:val="TAH"/>
            </w:pPr>
            <w:r w:rsidRPr="007275DF">
              <w:t>dB</w:t>
            </w:r>
          </w:p>
        </w:tc>
        <w:tc>
          <w:tcPr>
            <w:tcW w:w="1048" w:type="dxa"/>
            <w:tcBorders>
              <w:top w:val="single" w:sz="6" w:space="0" w:color="auto"/>
              <w:left w:val="single" w:sz="6" w:space="0" w:color="auto"/>
              <w:right w:val="single" w:sz="6" w:space="0" w:color="auto"/>
            </w:tcBorders>
            <w:shd w:val="clear" w:color="auto" w:fill="auto"/>
          </w:tcPr>
          <w:p w14:paraId="21DE60C4" w14:textId="77777777" w:rsidR="007D2333" w:rsidRPr="007275DF" w:rsidRDefault="007D2333" w:rsidP="007D2333">
            <w:pPr>
              <w:pStyle w:val="TAH"/>
            </w:pPr>
            <w:r w:rsidRPr="007275DF">
              <w:t>dB</w:t>
            </w:r>
          </w:p>
        </w:tc>
        <w:tc>
          <w:tcPr>
            <w:tcW w:w="805" w:type="dxa"/>
            <w:tcBorders>
              <w:top w:val="single" w:sz="6" w:space="0" w:color="auto"/>
              <w:left w:val="single" w:sz="6" w:space="0" w:color="auto"/>
              <w:right w:val="single" w:sz="4" w:space="0" w:color="auto"/>
            </w:tcBorders>
            <w:shd w:val="clear" w:color="auto" w:fill="auto"/>
          </w:tcPr>
          <w:p w14:paraId="6B3305DC" w14:textId="77777777" w:rsidR="007D2333" w:rsidRPr="007275DF" w:rsidRDefault="007D2333" w:rsidP="007D2333">
            <w:pPr>
              <w:pStyle w:val="TAH"/>
            </w:pPr>
            <w:r w:rsidRPr="007275DF">
              <w:t>dB</w:t>
            </w:r>
          </w:p>
        </w:tc>
        <w:tc>
          <w:tcPr>
            <w:tcW w:w="2317" w:type="dxa"/>
            <w:tcBorders>
              <w:top w:val="single" w:sz="4" w:space="0" w:color="auto"/>
              <w:left w:val="single" w:sz="4" w:space="0" w:color="auto"/>
              <w:right w:val="single" w:sz="4" w:space="0" w:color="auto"/>
            </w:tcBorders>
            <w:shd w:val="clear" w:color="auto" w:fill="auto"/>
          </w:tcPr>
          <w:p w14:paraId="1F74ADC7" w14:textId="77777777" w:rsidR="007D2333" w:rsidRPr="007275DF" w:rsidRDefault="007D2333" w:rsidP="007D2333">
            <w:pPr>
              <w:pStyle w:val="TAH"/>
            </w:pPr>
          </w:p>
        </w:tc>
        <w:tc>
          <w:tcPr>
            <w:tcW w:w="2088" w:type="dxa"/>
            <w:gridSpan w:val="2"/>
            <w:tcBorders>
              <w:top w:val="single" w:sz="6" w:space="0" w:color="auto"/>
              <w:left w:val="single" w:sz="4" w:space="0" w:color="auto"/>
              <w:bottom w:val="single" w:sz="6" w:space="0" w:color="auto"/>
              <w:right w:val="single" w:sz="6" w:space="0" w:color="auto"/>
            </w:tcBorders>
            <w:shd w:val="clear" w:color="auto" w:fill="auto"/>
          </w:tcPr>
          <w:p w14:paraId="5A3B71A6"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3583DCA6"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1EB4A300" w14:textId="77777777" w:rsidR="007D2333" w:rsidRPr="007275DF" w:rsidRDefault="007D2333" w:rsidP="007D2333">
            <w:pPr>
              <w:pStyle w:val="TAH"/>
            </w:pPr>
            <w:r w:rsidRPr="007275DF">
              <w:t>dBm/BW</w:t>
            </w:r>
            <w:r w:rsidRPr="007275DF">
              <w:rPr>
                <w:vertAlign w:val="subscript"/>
              </w:rPr>
              <w:t>Channel</w:t>
            </w:r>
          </w:p>
        </w:tc>
      </w:tr>
      <w:tr w:rsidR="007D2333" w:rsidRPr="007275DF" w14:paraId="18FBF4C2" w14:textId="77777777" w:rsidTr="007D2333">
        <w:trPr>
          <w:trHeight w:val="307"/>
          <w:jc w:val="center"/>
        </w:trPr>
        <w:tc>
          <w:tcPr>
            <w:tcW w:w="1034" w:type="dxa"/>
            <w:tcBorders>
              <w:left w:val="single" w:sz="4" w:space="0" w:color="auto"/>
              <w:bottom w:val="single" w:sz="6" w:space="0" w:color="auto"/>
              <w:right w:val="single" w:sz="6" w:space="0" w:color="auto"/>
            </w:tcBorders>
            <w:shd w:val="clear" w:color="auto" w:fill="auto"/>
          </w:tcPr>
          <w:p w14:paraId="6761F184" w14:textId="77777777" w:rsidR="007D2333" w:rsidRPr="007275DF" w:rsidRDefault="007D2333" w:rsidP="007D2333">
            <w:pPr>
              <w:pStyle w:val="TAH"/>
            </w:pPr>
          </w:p>
        </w:tc>
        <w:tc>
          <w:tcPr>
            <w:tcW w:w="1048" w:type="dxa"/>
            <w:tcBorders>
              <w:left w:val="single" w:sz="6" w:space="0" w:color="auto"/>
              <w:bottom w:val="single" w:sz="6" w:space="0" w:color="auto"/>
              <w:right w:val="single" w:sz="6" w:space="0" w:color="auto"/>
            </w:tcBorders>
            <w:shd w:val="clear" w:color="auto" w:fill="auto"/>
          </w:tcPr>
          <w:p w14:paraId="337B39CF" w14:textId="77777777" w:rsidR="007D2333" w:rsidRPr="007275DF" w:rsidRDefault="007D2333" w:rsidP="007D2333">
            <w:pPr>
              <w:pStyle w:val="TAH"/>
            </w:pPr>
          </w:p>
        </w:tc>
        <w:tc>
          <w:tcPr>
            <w:tcW w:w="805" w:type="dxa"/>
            <w:tcBorders>
              <w:left w:val="single" w:sz="6" w:space="0" w:color="auto"/>
              <w:bottom w:val="single" w:sz="6" w:space="0" w:color="auto"/>
              <w:right w:val="single" w:sz="4" w:space="0" w:color="auto"/>
            </w:tcBorders>
            <w:shd w:val="clear" w:color="auto" w:fill="auto"/>
          </w:tcPr>
          <w:p w14:paraId="19658069" w14:textId="77777777" w:rsidR="007D2333" w:rsidRPr="007275DF" w:rsidRDefault="007D2333" w:rsidP="007D2333">
            <w:pPr>
              <w:pStyle w:val="TAH"/>
            </w:pPr>
          </w:p>
        </w:tc>
        <w:tc>
          <w:tcPr>
            <w:tcW w:w="2317" w:type="dxa"/>
            <w:tcBorders>
              <w:left w:val="single" w:sz="4" w:space="0" w:color="auto"/>
              <w:bottom w:val="single" w:sz="4" w:space="0" w:color="auto"/>
              <w:right w:val="single" w:sz="4" w:space="0" w:color="auto"/>
            </w:tcBorders>
            <w:shd w:val="clear" w:color="auto" w:fill="auto"/>
          </w:tcPr>
          <w:p w14:paraId="65FBF730" w14:textId="77777777" w:rsidR="007D2333" w:rsidRPr="007275DF" w:rsidRDefault="007D2333" w:rsidP="007D2333">
            <w:pPr>
              <w:pStyle w:val="TAH"/>
            </w:pP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0E46CB60"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4CF4DAAC"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6875C62F"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tcPr>
          <w:p w14:paraId="0940E0C7" w14:textId="77777777" w:rsidR="007D2333" w:rsidRPr="007275DF" w:rsidRDefault="007D2333" w:rsidP="007D2333">
            <w:pPr>
              <w:pStyle w:val="TAH"/>
            </w:pPr>
          </w:p>
        </w:tc>
      </w:tr>
      <w:tr w:rsidR="007D2333" w:rsidRPr="007275DF" w14:paraId="05793CF4" w14:textId="77777777" w:rsidTr="007D2333">
        <w:trPr>
          <w:jc w:val="center"/>
        </w:trPr>
        <w:tc>
          <w:tcPr>
            <w:tcW w:w="1034" w:type="dxa"/>
            <w:vMerge w:val="restart"/>
            <w:tcBorders>
              <w:top w:val="single" w:sz="6" w:space="0" w:color="auto"/>
              <w:left w:val="single" w:sz="4" w:space="0" w:color="auto"/>
              <w:right w:val="single" w:sz="6" w:space="0" w:color="auto"/>
            </w:tcBorders>
            <w:shd w:val="clear" w:color="auto" w:fill="auto"/>
          </w:tcPr>
          <w:p w14:paraId="14E96E60" w14:textId="77777777" w:rsidR="007D2333" w:rsidRPr="00473F76" w:rsidRDefault="007D2333" w:rsidP="007D2333">
            <w:pPr>
              <w:pStyle w:val="TAC"/>
            </w:pPr>
            <w:r w:rsidRPr="007275DF">
              <w:sym w:font="Symbol" w:char="F0B1"/>
            </w:r>
            <w:r w:rsidRPr="007275DF">
              <w:t>2.5</w:t>
            </w:r>
          </w:p>
        </w:tc>
        <w:tc>
          <w:tcPr>
            <w:tcW w:w="1048" w:type="dxa"/>
            <w:vMerge w:val="restart"/>
            <w:tcBorders>
              <w:top w:val="single" w:sz="6" w:space="0" w:color="auto"/>
              <w:left w:val="single" w:sz="6" w:space="0" w:color="auto"/>
              <w:right w:val="single" w:sz="6" w:space="0" w:color="auto"/>
            </w:tcBorders>
            <w:shd w:val="clear" w:color="auto" w:fill="auto"/>
          </w:tcPr>
          <w:p w14:paraId="5A3C1FAE" w14:textId="77777777" w:rsidR="007D2333" w:rsidRPr="00473F76" w:rsidRDefault="007D2333" w:rsidP="007D2333">
            <w:pPr>
              <w:pStyle w:val="TAC"/>
            </w:pPr>
            <w:r w:rsidRPr="007275DF">
              <w:sym w:font="Symbol" w:char="F0B1"/>
            </w:r>
            <w:r w:rsidRPr="007275DF">
              <w:t>4</w:t>
            </w:r>
          </w:p>
        </w:tc>
        <w:tc>
          <w:tcPr>
            <w:tcW w:w="805" w:type="dxa"/>
            <w:vMerge w:val="restart"/>
            <w:tcBorders>
              <w:top w:val="single" w:sz="6" w:space="0" w:color="auto"/>
              <w:left w:val="single" w:sz="6" w:space="0" w:color="auto"/>
              <w:right w:val="single" w:sz="6" w:space="0" w:color="auto"/>
            </w:tcBorders>
            <w:shd w:val="clear" w:color="auto" w:fill="auto"/>
          </w:tcPr>
          <w:p w14:paraId="4F984900" w14:textId="77777777" w:rsidR="007D2333" w:rsidRPr="00473F76" w:rsidRDefault="007D2333" w:rsidP="007D2333">
            <w:pPr>
              <w:pStyle w:val="TAC"/>
            </w:pPr>
            <w:r w:rsidRPr="007275DF">
              <w:sym w:font="Symbol" w:char="F0B3"/>
            </w:r>
            <w:r w:rsidRPr="007275DF">
              <w:t>-3</w:t>
            </w:r>
          </w:p>
        </w:tc>
        <w:tc>
          <w:tcPr>
            <w:tcW w:w="2317" w:type="dxa"/>
            <w:tcBorders>
              <w:top w:val="single" w:sz="4" w:space="0" w:color="auto"/>
              <w:left w:val="single" w:sz="6" w:space="0" w:color="auto"/>
              <w:bottom w:val="single" w:sz="6" w:space="0" w:color="auto"/>
              <w:right w:val="single" w:sz="4" w:space="0" w:color="auto"/>
            </w:tcBorders>
            <w:shd w:val="clear" w:color="auto" w:fill="auto"/>
          </w:tcPr>
          <w:p w14:paraId="20356955" w14:textId="77777777" w:rsidR="007D2333" w:rsidRPr="007275DF" w:rsidRDefault="007D2333" w:rsidP="007D2333">
            <w:pPr>
              <w:pStyle w:val="TAC"/>
              <w:rPr>
                <w:lang w:val="sv-SE"/>
              </w:rPr>
            </w:pPr>
            <w:r w:rsidRPr="007275DF">
              <w:rPr>
                <w:rFonts w:cs="Arial"/>
                <w:lang w:val="sv-SE"/>
              </w:rPr>
              <w:t>NR_CCA_FR1_I</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3C169DAC" w14:textId="77777777" w:rsidR="007D2333" w:rsidRPr="007275DF" w:rsidRDefault="007D2333" w:rsidP="007D2333">
            <w:pPr>
              <w:pStyle w:val="TAC"/>
            </w:pPr>
            <w:r w:rsidRPr="007275DF">
              <w:t>-117</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4AABA760" w14:textId="77777777" w:rsidR="007D2333" w:rsidRPr="007275DF" w:rsidRDefault="007D2333" w:rsidP="007D2333">
            <w:pPr>
              <w:pStyle w:val="TAC"/>
              <w:rPr>
                <w:rFonts w:cs="Arial"/>
              </w:rPr>
            </w:pPr>
            <w:r w:rsidRPr="007275DF">
              <w:t>-114</w:t>
            </w:r>
          </w:p>
        </w:tc>
        <w:tc>
          <w:tcPr>
            <w:tcW w:w="1440" w:type="dxa"/>
            <w:vMerge w:val="restart"/>
            <w:tcBorders>
              <w:top w:val="single" w:sz="6" w:space="0" w:color="auto"/>
              <w:left w:val="single" w:sz="6" w:space="0" w:color="auto"/>
              <w:right w:val="single" w:sz="6" w:space="0" w:color="auto"/>
            </w:tcBorders>
            <w:shd w:val="clear" w:color="auto" w:fill="auto"/>
          </w:tcPr>
          <w:p w14:paraId="3640EA30"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tcPr>
          <w:p w14:paraId="736504E2" w14:textId="77777777" w:rsidR="007D2333" w:rsidRPr="007275DF" w:rsidRDefault="007D2333" w:rsidP="007D2333">
            <w:pPr>
              <w:pStyle w:val="TAC"/>
            </w:pPr>
            <w:r w:rsidRPr="007275DF">
              <w:t>-50</w:t>
            </w:r>
          </w:p>
        </w:tc>
      </w:tr>
      <w:tr w:rsidR="007D2333" w:rsidRPr="007275DF" w14:paraId="4A1AFCDD" w14:textId="77777777" w:rsidTr="007D2333">
        <w:trPr>
          <w:jc w:val="center"/>
        </w:trPr>
        <w:tc>
          <w:tcPr>
            <w:tcW w:w="1034" w:type="dxa"/>
            <w:vMerge/>
            <w:tcBorders>
              <w:left w:val="single" w:sz="4" w:space="0" w:color="auto"/>
              <w:right w:val="single" w:sz="6" w:space="0" w:color="auto"/>
            </w:tcBorders>
            <w:shd w:val="clear" w:color="auto" w:fill="auto"/>
          </w:tcPr>
          <w:p w14:paraId="17241105" w14:textId="77777777" w:rsidR="007D2333" w:rsidRPr="007275DF" w:rsidRDefault="007D2333" w:rsidP="007D2333">
            <w:pPr>
              <w:pStyle w:val="TAC"/>
            </w:pPr>
          </w:p>
        </w:tc>
        <w:tc>
          <w:tcPr>
            <w:tcW w:w="1048" w:type="dxa"/>
            <w:vMerge/>
            <w:tcBorders>
              <w:left w:val="single" w:sz="6" w:space="0" w:color="auto"/>
              <w:right w:val="single" w:sz="6" w:space="0" w:color="auto"/>
            </w:tcBorders>
            <w:shd w:val="clear" w:color="auto" w:fill="auto"/>
          </w:tcPr>
          <w:p w14:paraId="5DAD9F04" w14:textId="77777777" w:rsidR="007D2333" w:rsidRPr="007275DF" w:rsidRDefault="007D2333" w:rsidP="007D2333">
            <w:pPr>
              <w:pStyle w:val="TAC"/>
            </w:pPr>
          </w:p>
        </w:tc>
        <w:tc>
          <w:tcPr>
            <w:tcW w:w="805" w:type="dxa"/>
            <w:vMerge/>
            <w:tcBorders>
              <w:left w:val="single" w:sz="6" w:space="0" w:color="auto"/>
              <w:right w:val="single" w:sz="6" w:space="0" w:color="auto"/>
            </w:tcBorders>
            <w:shd w:val="clear" w:color="auto" w:fill="auto"/>
          </w:tcPr>
          <w:p w14:paraId="68BA511D" w14:textId="77777777" w:rsidR="007D2333" w:rsidRPr="007275DF" w:rsidRDefault="007D2333" w:rsidP="007D2333">
            <w:pPr>
              <w:pStyle w:val="TAC"/>
            </w:pPr>
          </w:p>
        </w:tc>
        <w:tc>
          <w:tcPr>
            <w:tcW w:w="2317" w:type="dxa"/>
            <w:tcBorders>
              <w:top w:val="single" w:sz="4" w:space="0" w:color="auto"/>
              <w:left w:val="single" w:sz="6" w:space="0" w:color="auto"/>
              <w:bottom w:val="single" w:sz="6" w:space="0" w:color="auto"/>
              <w:right w:val="single" w:sz="4" w:space="0" w:color="auto"/>
            </w:tcBorders>
            <w:shd w:val="clear" w:color="auto" w:fill="auto"/>
          </w:tcPr>
          <w:p w14:paraId="4EC6BE9E" w14:textId="77777777" w:rsidR="007D2333" w:rsidRPr="007275DF" w:rsidRDefault="007D2333" w:rsidP="007D2333">
            <w:pPr>
              <w:pStyle w:val="TAC"/>
              <w:rPr>
                <w:rFonts w:cs="Arial"/>
              </w:rPr>
            </w:pPr>
            <w:r w:rsidRPr="007275DF">
              <w:rPr>
                <w:rFonts w:cs="Arial"/>
              </w:rPr>
              <w:t>NR_CCA_FR1_J</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398BA19E" w14:textId="77777777" w:rsidR="007D2333" w:rsidRPr="007275DF" w:rsidRDefault="007D2333" w:rsidP="007D2333">
            <w:pPr>
              <w:pStyle w:val="TAC"/>
            </w:pPr>
            <w:r w:rsidRPr="007275DF">
              <w:t>-116.5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3CC40BA8" w14:textId="77777777" w:rsidR="007D2333" w:rsidRPr="007275DF" w:rsidRDefault="007D2333" w:rsidP="007D2333">
            <w:pPr>
              <w:pStyle w:val="TAC"/>
            </w:pPr>
            <w:r w:rsidRPr="007275DF">
              <w:t>-113.5</w:t>
            </w:r>
          </w:p>
        </w:tc>
        <w:tc>
          <w:tcPr>
            <w:tcW w:w="1440" w:type="dxa"/>
            <w:vMerge/>
            <w:tcBorders>
              <w:left w:val="single" w:sz="6" w:space="0" w:color="auto"/>
              <w:bottom w:val="single" w:sz="6" w:space="0" w:color="auto"/>
              <w:right w:val="single" w:sz="6" w:space="0" w:color="auto"/>
            </w:tcBorders>
            <w:shd w:val="clear" w:color="auto" w:fill="auto"/>
          </w:tcPr>
          <w:p w14:paraId="47FFFD07" w14:textId="77777777" w:rsidR="007D2333" w:rsidRPr="007275DF" w:rsidRDefault="007D2333" w:rsidP="007D2333">
            <w:pPr>
              <w:pStyle w:val="TAC"/>
            </w:pPr>
          </w:p>
        </w:tc>
        <w:tc>
          <w:tcPr>
            <w:tcW w:w="1440" w:type="dxa"/>
            <w:vMerge/>
            <w:tcBorders>
              <w:left w:val="single" w:sz="6" w:space="0" w:color="auto"/>
              <w:bottom w:val="single" w:sz="6" w:space="0" w:color="auto"/>
              <w:right w:val="single" w:sz="4" w:space="0" w:color="auto"/>
            </w:tcBorders>
            <w:shd w:val="clear" w:color="auto" w:fill="auto"/>
          </w:tcPr>
          <w:p w14:paraId="429ADCF2" w14:textId="77777777" w:rsidR="007D2333" w:rsidRPr="007275DF" w:rsidRDefault="007D2333" w:rsidP="007D2333">
            <w:pPr>
              <w:pStyle w:val="TAC"/>
            </w:pPr>
          </w:p>
        </w:tc>
      </w:tr>
      <w:tr w:rsidR="007D2333" w:rsidRPr="007275DF" w14:paraId="087A4E26" w14:textId="77777777" w:rsidTr="007D2333">
        <w:trPr>
          <w:jc w:val="center"/>
        </w:trPr>
        <w:tc>
          <w:tcPr>
            <w:tcW w:w="1034" w:type="dxa"/>
            <w:tcBorders>
              <w:top w:val="single" w:sz="6" w:space="0" w:color="auto"/>
              <w:left w:val="single" w:sz="4" w:space="0" w:color="auto"/>
              <w:bottom w:val="single" w:sz="6" w:space="0" w:color="auto"/>
              <w:right w:val="single" w:sz="6" w:space="0" w:color="auto"/>
            </w:tcBorders>
            <w:shd w:val="clear" w:color="auto" w:fill="auto"/>
          </w:tcPr>
          <w:p w14:paraId="08639908" w14:textId="77777777" w:rsidR="007D2333" w:rsidRPr="00473F76" w:rsidRDefault="007D2333" w:rsidP="007D2333">
            <w:pPr>
              <w:pStyle w:val="TAC"/>
            </w:pPr>
            <w:r w:rsidRPr="007275DF">
              <w:sym w:font="Symbol" w:char="F0B1"/>
            </w:r>
            <w:r w:rsidRPr="007275DF">
              <w:t>3.5</w:t>
            </w:r>
          </w:p>
        </w:tc>
        <w:tc>
          <w:tcPr>
            <w:tcW w:w="1048" w:type="dxa"/>
            <w:tcBorders>
              <w:top w:val="single" w:sz="6" w:space="0" w:color="auto"/>
              <w:left w:val="single" w:sz="6" w:space="0" w:color="auto"/>
              <w:bottom w:val="single" w:sz="6" w:space="0" w:color="auto"/>
              <w:right w:val="single" w:sz="6" w:space="0" w:color="auto"/>
            </w:tcBorders>
            <w:shd w:val="clear" w:color="auto" w:fill="auto"/>
          </w:tcPr>
          <w:p w14:paraId="6FF28D36" w14:textId="77777777" w:rsidR="007D2333" w:rsidRPr="00473F76" w:rsidRDefault="007D2333" w:rsidP="007D2333">
            <w:pPr>
              <w:pStyle w:val="TAC"/>
            </w:pPr>
            <w:r w:rsidRPr="007275DF">
              <w:sym w:font="Symbol" w:char="F0B1"/>
            </w:r>
            <w:r w:rsidRPr="007275DF">
              <w:t>4</w:t>
            </w:r>
          </w:p>
        </w:tc>
        <w:tc>
          <w:tcPr>
            <w:tcW w:w="805" w:type="dxa"/>
            <w:tcBorders>
              <w:top w:val="single" w:sz="6" w:space="0" w:color="auto"/>
              <w:left w:val="single" w:sz="6" w:space="0" w:color="auto"/>
              <w:bottom w:val="single" w:sz="6" w:space="0" w:color="auto"/>
              <w:right w:val="single" w:sz="6" w:space="0" w:color="auto"/>
            </w:tcBorders>
            <w:shd w:val="clear" w:color="auto" w:fill="auto"/>
          </w:tcPr>
          <w:p w14:paraId="4720517E" w14:textId="77777777" w:rsidR="007D2333" w:rsidRPr="00473F76" w:rsidRDefault="007D2333" w:rsidP="007D2333">
            <w:pPr>
              <w:pStyle w:val="TAC"/>
            </w:pPr>
            <w:r w:rsidRPr="007275DF">
              <w:sym w:font="Symbol" w:char="F0B3"/>
            </w:r>
            <w:r w:rsidRPr="007275DF">
              <w:t>-6</w:t>
            </w: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3DE338CC" w14:textId="77777777" w:rsidR="007D2333" w:rsidRPr="007275DF" w:rsidRDefault="007D2333" w:rsidP="007D2333">
            <w:pPr>
              <w:pStyle w:val="TAC"/>
            </w:pPr>
            <w:r w:rsidRPr="007275DF">
              <w:t>Note 2</w:t>
            </w:r>
          </w:p>
        </w:tc>
        <w:tc>
          <w:tcPr>
            <w:tcW w:w="1003" w:type="dxa"/>
            <w:tcBorders>
              <w:top w:val="single" w:sz="6" w:space="0" w:color="auto"/>
              <w:left w:val="single" w:sz="4" w:space="0" w:color="auto"/>
              <w:bottom w:val="single" w:sz="4" w:space="0" w:color="auto"/>
              <w:right w:val="single" w:sz="6" w:space="0" w:color="auto"/>
            </w:tcBorders>
            <w:shd w:val="clear" w:color="auto" w:fill="auto"/>
          </w:tcPr>
          <w:p w14:paraId="5106C4C6" w14:textId="77777777" w:rsidR="007D2333" w:rsidRPr="007275DF" w:rsidRDefault="007D2333" w:rsidP="007D2333">
            <w:pPr>
              <w:pStyle w:val="TAC"/>
            </w:pPr>
            <w:r w:rsidRPr="007275DF">
              <w:t>Note 2</w:t>
            </w:r>
          </w:p>
        </w:tc>
        <w:tc>
          <w:tcPr>
            <w:tcW w:w="1085" w:type="dxa"/>
            <w:tcBorders>
              <w:top w:val="single" w:sz="6" w:space="0" w:color="auto"/>
              <w:left w:val="single" w:sz="4" w:space="0" w:color="auto"/>
              <w:bottom w:val="single" w:sz="4" w:space="0" w:color="auto"/>
              <w:right w:val="single" w:sz="6" w:space="0" w:color="auto"/>
            </w:tcBorders>
            <w:shd w:val="clear" w:color="auto" w:fill="auto"/>
          </w:tcPr>
          <w:p w14:paraId="0BB7B188" w14:textId="77777777" w:rsidR="007D2333" w:rsidRPr="007275DF" w:rsidRDefault="007D2333" w:rsidP="007D2333">
            <w:pPr>
              <w:pStyle w:val="TAC"/>
              <w:rPr>
                <w:lang w:eastAsia="zh-CN"/>
              </w:rPr>
            </w:pPr>
            <w:r w:rsidRPr="007275DF">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21225A77" w14:textId="77777777" w:rsidR="007D2333" w:rsidRPr="007275DF" w:rsidRDefault="007D2333" w:rsidP="007D2333">
            <w:pPr>
              <w:pStyle w:val="TAC"/>
            </w:pPr>
            <w:r w:rsidRPr="007275DF">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3DF55994" w14:textId="77777777" w:rsidR="007D2333" w:rsidRPr="007275DF" w:rsidRDefault="007D2333" w:rsidP="007D2333">
            <w:pPr>
              <w:pStyle w:val="TAC"/>
            </w:pPr>
            <w:r w:rsidRPr="007275DF">
              <w:t>Note 2</w:t>
            </w:r>
          </w:p>
        </w:tc>
      </w:tr>
      <w:tr w:rsidR="007D2333" w:rsidRPr="007275DF" w14:paraId="3119E807"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714B0F0" w14:textId="77777777" w:rsidR="007D2333" w:rsidRPr="007275DF" w:rsidRDefault="007D2333" w:rsidP="007D2333">
            <w:pPr>
              <w:pStyle w:val="TAN"/>
            </w:pPr>
            <w:r w:rsidRPr="007275DF">
              <w:t>NOTE 1:</w:t>
            </w:r>
            <w:r w:rsidRPr="007275DF">
              <w:tab/>
              <w:t>Io is assumed to have constant EPRE across the bandwidth.</w:t>
            </w:r>
          </w:p>
          <w:p w14:paraId="4FD4DCAD" w14:textId="77777777" w:rsidR="007D2333" w:rsidRPr="007275DF" w:rsidRDefault="007D2333" w:rsidP="007D2333">
            <w:pPr>
              <w:pStyle w:val="TAN"/>
              <w:rPr>
                <w:rFonts w:cs="Arial"/>
              </w:rPr>
            </w:pPr>
            <w:r w:rsidRPr="007275DF">
              <w:rPr>
                <w:rFonts w:cs="Arial"/>
              </w:rPr>
              <w:t>N</w:t>
            </w:r>
            <w:r w:rsidRPr="007275DF">
              <w:rPr>
                <w:rFonts w:cs="Arial"/>
                <w:lang w:eastAsia="zh-CN"/>
              </w:rPr>
              <w:t>OTE</w:t>
            </w:r>
            <w:r w:rsidRPr="007275DF">
              <w:rPr>
                <w:rFonts w:cs="Arial"/>
              </w:rPr>
              <w:t xml:space="preserve"> 2:</w:t>
            </w:r>
            <w:r w:rsidRPr="007275DF">
              <w:rPr>
                <w:rFonts w:cs="Arial"/>
              </w:rPr>
              <w:tab/>
              <w:t>The same bands and the same Io conditions for each band apply for this requirement as for the corresponding highest accuracy requirement.</w:t>
            </w:r>
          </w:p>
          <w:p w14:paraId="3422AB7F" w14:textId="77777777" w:rsidR="007D2333" w:rsidRPr="007275DF" w:rsidRDefault="007D2333" w:rsidP="007D2333">
            <w:pPr>
              <w:pStyle w:val="TAN"/>
            </w:pPr>
            <w:r w:rsidRPr="007275DF">
              <w:t>NOTE 3:</w:t>
            </w:r>
            <w:r w:rsidRPr="007275DF">
              <w:tab/>
              <w:t>NR operating band groups are as defined in clause 3.5.2.</w:t>
            </w:r>
          </w:p>
        </w:tc>
      </w:tr>
    </w:tbl>
    <w:p w14:paraId="49E7138F" w14:textId="77777777" w:rsidR="007D2333" w:rsidRPr="007275DF" w:rsidRDefault="007D2333" w:rsidP="007D2333"/>
    <w:p w14:paraId="40E62593" w14:textId="77777777" w:rsidR="007D2333" w:rsidRPr="007275DF" w:rsidRDefault="007D2333" w:rsidP="007D2333">
      <w:pPr>
        <w:pStyle w:val="Heading3"/>
        <w:rPr>
          <w:lang w:val="en-US"/>
        </w:rPr>
      </w:pPr>
      <w:r w:rsidRPr="007275DF">
        <w:rPr>
          <w:lang w:val="en-US"/>
        </w:rPr>
        <w:t>10.1.30</w:t>
      </w:r>
      <w:r w:rsidRPr="007275DF">
        <w:rPr>
          <w:lang w:val="en-US"/>
        </w:rPr>
        <w:tab/>
        <w:t>Inter-frequency RSRQ accuracy requirements under CCA</w:t>
      </w:r>
    </w:p>
    <w:p w14:paraId="583C3CF6" w14:textId="77777777" w:rsidR="007D2333" w:rsidRPr="007275DF" w:rsidRDefault="007D2333" w:rsidP="007D2333">
      <w:pPr>
        <w:pStyle w:val="Heading4"/>
        <w:rPr>
          <w:lang w:val="en-US" w:eastAsia="zh-CN"/>
        </w:rPr>
      </w:pPr>
      <w:r w:rsidRPr="007275DF">
        <w:rPr>
          <w:lang w:val="en-US" w:eastAsia="zh-CN"/>
        </w:rPr>
        <w:t>10.1.30.1</w:t>
      </w:r>
      <w:r w:rsidRPr="007275DF">
        <w:rPr>
          <w:lang w:val="en-US" w:eastAsia="zh-CN"/>
        </w:rPr>
        <w:tab/>
      </w:r>
      <w:r w:rsidRPr="007275DF">
        <w:rPr>
          <w:lang w:val="en-US" w:eastAsia="ko-KR"/>
        </w:rPr>
        <w:t>Inter-frequency SS-RSRQ accuracy requirements in FR1</w:t>
      </w:r>
    </w:p>
    <w:p w14:paraId="19FB8AED" w14:textId="77777777" w:rsidR="007D2333" w:rsidRPr="007275DF" w:rsidRDefault="007D2333" w:rsidP="007D2333">
      <w:pPr>
        <w:pStyle w:val="Heading5"/>
        <w:rPr>
          <w:lang w:val="en-US" w:eastAsia="zh-CN"/>
        </w:rPr>
      </w:pPr>
      <w:r w:rsidRPr="007275DF">
        <w:rPr>
          <w:lang w:val="en-US" w:eastAsia="zh-CN"/>
        </w:rPr>
        <w:t>10.1.30.1.1</w:t>
      </w:r>
      <w:r w:rsidRPr="007275DF">
        <w:rPr>
          <w:lang w:val="en-US" w:eastAsia="zh-CN"/>
        </w:rPr>
        <w:tab/>
      </w:r>
      <w:r w:rsidRPr="007275DF">
        <w:rPr>
          <w:lang w:eastAsia="zh-CN"/>
        </w:rPr>
        <w:t>Aboslute</w:t>
      </w:r>
      <w:r w:rsidRPr="007275DF">
        <w:t xml:space="preserve"> Accuracy of </w:t>
      </w:r>
      <w:r w:rsidRPr="007275DF">
        <w:rPr>
          <w:lang w:eastAsia="zh-CN"/>
        </w:rPr>
        <w:t>SS-RSRQ</w:t>
      </w:r>
    </w:p>
    <w:p w14:paraId="620D6C9A" w14:textId="77777777" w:rsidR="007D2333" w:rsidRPr="007275DF" w:rsidRDefault="007D2333" w:rsidP="007D2333">
      <w:pPr>
        <w:rPr>
          <w:rFonts w:cs="v4.2.0"/>
          <w:i/>
        </w:rPr>
      </w:pPr>
      <w:r w:rsidRPr="007275DF">
        <w:rPr>
          <w:rFonts w:cs="v4.2.0"/>
        </w:rPr>
        <w:t>The requirements for absolute accuracy of</w:t>
      </w:r>
      <w:r w:rsidRPr="007275DF">
        <w:rPr>
          <w:rFonts w:cs="v4.2.0"/>
          <w:lang w:eastAsia="zh-CN"/>
        </w:rPr>
        <w:t xml:space="preserve"> SS-RSRQ</w:t>
      </w:r>
      <w:r w:rsidRPr="007275DF">
        <w:rPr>
          <w:rFonts w:cs="v4.2.0"/>
        </w:rPr>
        <w:t xml:space="preserve"> in this clause apply to a cell on a frequency under CCA that has different carrier frequency from the serving cell.</w:t>
      </w:r>
    </w:p>
    <w:p w14:paraId="380C4D3A"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10.1.30.1.1</w:t>
      </w:r>
      <w:r w:rsidRPr="007275DF">
        <w:rPr>
          <w:rFonts w:cs="v4.2.0"/>
        </w:rPr>
        <w:t>-1 are valid under the following conditions:</w:t>
      </w:r>
    </w:p>
    <w:p w14:paraId="4AFB7885" w14:textId="512E3347" w:rsidR="007D2333" w:rsidRPr="007275DF" w:rsidRDefault="00233327" w:rsidP="00F37389">
      <w:pPr>
        <w:pStyle w:val="B10"/>
        <w:rPr>
          <w:lang w:eastAsia="zh-CN"/>
        </w:rPr>
      </w:pPr>
      <w:r w:rsidRPr="007275DF">
        <w:t>-</w:t>
      </w:r>
      <w:r w:rsidRPr="007275DF">
        <w:tab/>
      </w:r>
      <w:r w:rsidR="007D2333" w:rsidRPr="007275DF">
        <w:t>Conditions defined in clause 7.3F of TS 38.101-1 [18] for reference sensitivity are fulfilled.</w:t>
      </w:r>
    </w:p>
    <w:p w14:paraId="2C4B66FA" w14:textId="06D738B4" w:rsidR="007D2333" w:rsidRPr="007275DF" w:rsidRDefault="00233327" w:rsidP="00F37389">
      <w:pPr>
        <w:pStyle w:val="B10"/>
        <w:rPr>
          <w:lang w:eastAsia="zh-CN"/>
        </w:rPr>
      </w:pPr>
      <w:r w:rsidRPr="007275DF">
        <w:t>-</w:t>
      </w:r>
      <w:r w:rsidRPr="007275DF">
        <w:tab/>
      </w:r>
      <w:r w:rsidR="007D2333" w:rsidRPr="007275DF">
        <w:t xml:space="preserve">Conditions for inter-frequency measurements are fulfilled according to Annex B.2.9 for a corresponding Band </w:t>
      </w:r>
      <w:r w:rsidR="007D2333" w:rsidRPr="007275DF">
        <w:rPr>
          <w:rFonts w:cs="v4.2.0"/>
          <w:lang w:eastAsia="ko-KR"/>
        </w:rPr>
        <w:t>for each relevant SSB</w:t>
      </w:r>
      <w:r w:rsidR="007D2333" w:rsidRPr="007275DF">
        <w:t>.</w:t>
      </w:r>
    </w:p>
    <w:p w14:paraId="2B286DD4" w14:textId="275E461F" w:rsidR="007D2333" w:rsidRPr="007275DF" w:rsidRDefault="007D2333" w:rsidP="00F37389">
      <w:pPr>
        <w:pStyle w:val="TH"/>
        <w:rPr>
          <w:rFonts w:cs="v4.2.0"/>
        </w:rPr>
      </w:pPr>
      <w:r w:rsidRPr="007275DF">
        <w:t xml:space="preserve">Table </w:t>
      </w:r>
      <w:r w:rsidRPr="007275DF">
        <w:rPr>
          <w:lang w:eastAsia="zh-CN"/>
        </w:rPr>
        <w:t>10.1.30.1.1</w:t>
      </w:r>
      <w:r w:rsidRPr="007275DF">
        <w:t xml:space="preserve">-1: </w:t>
      </w:r>
      <w:r w:rsidRPr="007275DF">
        <w:rPr>
          <w:lang w:eastAsia="zh-CN"/>
        </w:rPr>
        <w:t>SS-RSRQ</w:t>
      </w:r>
      <w:r w:rsidRPr="007275DF">
        <w:t xml:space="preserve"> inter-frequency absolute accuracy</w:t>
      </w:r>
      <w:r w:rsidRPr="007275DF">
        <w:rPr>
          <w:lang w:eastAsia="zh-CN"/>
        </w:rPr>
        <w:t xml:space="preserve"> under CCA</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7D2333" w:rsidRPr="007275DF" w14:paraId="51BA7602" w14:textId="77777777" w:rsidTr="007D2333">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7BE03854" w14:textId="77777777" w:rsidR="007D2333" w:rsidRPr="007275DF" w:rsidRDefault="007D2333" w:rsidP="007D2333">
            <w:pPr>
              <w:pStyle w:val="TAH"/>
            </w:pPr>
            <w:r w:rsidRPr="007275DF">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63DDDED5" w14:textId="77777777" w:rsidR="007D2333" w:rsidRPr="007275DF" w:rsidRDefault="007D2333" w:rsidP="007D2333">
            <w:pPr>
              <w:pStyle w:val="TAH"/>
            </w:pPr>
            <w:r w:rsidRPr="007275DF">
              <w:t>Conditions</w:t>
            </w:r>
          </w:p>
        </w:tc>
      </w:tr>
      <w:tr w:rsidR="007D2333" w:rsidRPr="007275DF" w14:paraId="2D8A6445" w14:textId="77777777" w:rsidTr="007D2333">
        <w:trPr>
          <w:jc w:val="center"/>
        </w:trPr>
        <w:tc>
          <w:tcPr>
            <w:tcW w:w="1035" w:type="dxa"/>
            <w:tcBorders>
              <w:top w:val="single" w:sz="6" w:space="0" w:color="auto"/>
              <w:left w:val="single" w:sz="4" w:space="0" w:color="auto"/>
              <w:right w:val="single" w:sz="6" w:space="0" w:color="auto"/>
            </w:tcBorders>
            <w:shd w:val="clear" w:color="auto" w:fill="auto"/>
            <w:vAlign w:val="center"/>
          </w:tcPr>
          <w:p w14:paraId="794E0264" w14:textId="77777777" w:rsidR="007D2333" w:rsidRPr="007275DF" w:rsidRDefault="007D2333" w:rsidP="007D2333">
            <w:pPr>
              <w:pStyle w:val="TAH"/>
            </w:pPr>
            <w:r w:rsidRPr="007275DF">
              <w:t>Normal condition</w:t>
            </w:r>
          </w:p>
        </w:tc>
        <w:tc>
          <w:tcPr>
            <w:tcW w:w="1047" w:type="dxa"/>
            <w:tcBorders>
              <w:top w:val="single" w:sz="6" w:space="0" w:color="auto"/>
              <w:left w:val="single" w:sz="6" w:space="0" w:color="auto"/>
              <w:right w:val="single" w:sz="6" w:space="0" w:color="auto"/>
            </w:tcBorders>
            <w:shd w:val="clear" w:color="auto" w:fill="auto"/>
            <w:vAlign w:val="center"/>
          </w:tcPr>
          <w:p w14:paraId="40BEA419" w14:textId="77777777" w:rsidR="007D2333" w:rsidRPr="007275DF" w:rsidRDefault="007D2333" w:rsidP="007D2333">
            <w:pPr>
              <w:pStyle w:val="TAH"/>
            </w:pPr>
            <w:r w:rsidRPr="007275DF">
              <w:t>Extreme condition</w:t>
            </w:r>
          </w:p>
        </w:tc>
        <w:tc>
          <w:tcPr>
            <w:tcW w:w="802" w:type="dxa"/>
            <w:tcBorders>
              <w:top w:val="single" w:sz="6" w:space="0" w:color="auto"/>
              <w:left w:val="single" w:sz="6" w:space="0" w:color="auto"/>
              <w:right w:val="single" w:sz="6" w:space="0" w:color="auto"/>
            </w:tcBorders>
            <w:shd w:val="clear" w:color="auto" w:fill="auto"/>
            <w:vAlign w:val="center"/>
          </w:tcPr>
          <w:p w14:paraId="6CAA30F7" w14:textId="77777777" w:rsidR="007D2333" w:rsidRPr="007275DF" w:rsidRDefault="007D2333" w:rsidP="007D2333">
            <w:pPr>
              <w:pStyle w:val="TAH"/>
            </w:pPr>
            <w:r w:rsidRPr="007275DF">
              <w:t>SSB Ês/Iot</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825646C" w14:textId="77777777" w:rsidR="007D2333" w:rsidRPr="007275DF" w:rsidRDefault="007D2333" w:rsidP="007D2333">
            <w:pPr>
              <w:pStyle w:val="TAH"/>
            </w:pPr>
            <w:r w:rsidRPr="007275DF">
              <w:t>Io</w:t>
            </w:r>
            <w:r w:rsidRPr="007275DF">
              <w:rPr>
                <w:vertAlign w:val="superscript"/>
                <w:lang w:eastAsia="zh-CN"/>
              </w:rPr>
              <w:t xml:space="preserve"> Note 1</w:t>
            </w:r>
            <w:r w:rsidRPr="007275DF">
              <w:t xml:space="preserve"> range</w:t>
            </w:r>
          </w:p>
        </w:tc>
      </w:tr>
      <w:tr w:rsidR="007D2333" w:rsidRPr="007275DF" w14:paraId="03638596" w14:textId="77777777" w:rsidTr="007D2333">
        <w:trPr>
          <w:jc w:val="center"/>
        </w:trPr>
        <w:tc>
          <w:tcPr>
            <w:tcW w:w="1035" w:type="dxa"/>
            <w:tcBorders>
              <w:left w:val="single" w:sz="4" w:space="0" w:color="auto"/>
              <w:bottom w:val="single" w:sz="6" w:space="0" w:color="auto"/>
              <w:right w:val="single" w:sz="6" w:space="0" w:color="auto"/>
            </w:tcBorders>
            <w:shd w:val="clear" w:color="auto" w:fill="auto"/>
            <w:vAlign w:val="center"/>
          </w:tcPr>
          <w:p w14:paraId="31356729" w14:textId="77777777" w:rsidR="007D2333" w:rsidRPr="007275DF" w:rsidRDefault="007D2333" w:rsidP="007D2333">
            <w:pPr>
              <w:pStyle w:val="TAH"/>
            </w:pPr>
          </w:p>
        </w:tc>
        <w:tc>
          <w:tcPr>
            <w:tcW w:w="1047" w:type="dxa"/>
            <w:tcBorders>
              <w:left w:val="single" w:sz="6" w:space="0" w:color="auto"/>
              <w:bottom w:val="single" w:sz="6" w:space="0" w:color="auto"/>
              <w:right w:val="single" w:sz="6" w:space="0" w:color="auto"/>
            </w:tcBorders>
            <w:shd w:val="clear" w:color="auto" w:fill="auto"/>
            <w:vAlign w:val="center"/>
          </w:tcPr>
          <w:p w14:paraId="68C35D4B" w14:textId="77777777" w:rsidR="007D2333" w:rsidRPr="007275DF" w:rsidRDefault="007D2333" w:rsidP="007D2333">
            <w:pPr>
              <w:pStyle w:val="TAH"/>
            </w:pPr>
          </w:p>
        </w:tc>
        <w:tc>
          <w:tcPr>
            <w:tcW w:w="802" w:type="dxa"/>
            <w:tcBorders>
              <w:left w:val="single" w:sz="6" w:space="0" w:color="auto"/>
              <w:bottom w:val="single" w:sz="6" w:space="0" w:color="auto"/>
              <w:right w:val="single" w:sz="6" w:space="0" w:color="auto"/>
            </w:tcBorders>
            <w:shd w:val="clear" w:color="auto" w:fill="auto"/>
            <w:vAlign w:val="center"/>
          </w:tcPr>
          <w:p w14:paraId="29DEF870" w14:textId="77777777" w:rsidR="007D2333" w:rsidRPr="007275DF" w:rsidRDefault="007D2333" w:rsidP="007D2333">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vAlign w:val="center"/>
          </w:tcPr>
          <w:p w14:paraId="69EDB3A2" w14:textId="77777777" w:rsidR="007D2333" w:rsidRPr="007275DF" w:rsidRDefault="007D2333" w:rsidP="007D2333">
            <w:pPr>
              <w:pStyle w:val="TAH"/>
            </w:pPr>
            <w:r w:rsidRPr="007275DF">
              <w:t>NR operating band groups</w:t>
            </w:r>
            <w:r w:rsidRPr="007275DF">
              <w:rPr>
                <w:vertAlign w:val="superscript"/>
              </w:rPr>
              <w:t xml:space="preserve"> </w:t>
            </w:r>
            <w:r w:rsidRPr="007275DF">
              <w:rPr>
                <w:vertAlign w:val="superscript"/>
                <w:lang w:eastAsia="zh-CN"/>
              </w:rPr>
              <w:t>Note 3</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5F112A9C"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309C9DEE" w14:textId="77777777" w:rsidR="007D2333" w:rsidRPr="007275DF" w:rsidRDefault="007D2333" w:rsidP="007D2333">
            <w:pPr>
              <w:pStyle w:val="TAH"/>
            </w:pPr>
            <w:r w:rsidRPr="007275DF">
              <w:t>Maximum Io</w:t>
            </w:r>
          </w:p>
        </w:tc>
      </w:tr>
      <w:tr w:rsidR="007D2333" w:rsidRPr="007275DF" w14:paraId="344424AD" w14:textId="77777777" w:rsidTr="007D2333">
        <w:trPr>
          <w:trHeight w:val="308"/>
          <w:jc w:val="center"/>
        </w:trPr>
        <w:tc>
          <w:tcPr>
            <w:tcW w:w="1035" w:type="dxa"/>
            <w:tcBorders>
              <w:top w:val="single" w:sz="6" w:space="0" w:color="auto"/>
              <w:left w:val="single" w:sz="4" w:space="0" w:color="auto"/>
              <w:right w:val="single" w:sz="6" w:space="0" w:color="auto"/>
            </w:tcBorders>
            <w:shd w:val="clear" w:color="auto" w:fill="auto"/>
          </w:tcPr>
          <w:p w14:paraId="1C0881F8" w14:textId="77777777" w:rsidR="007D2333" w:rsidRPr="007275DF" w:rsidRDefault="007D2333" w:rsidP="007D2333">
            <w:pPr>
              <w:pStyle w:val="TAH"/>
            </w:pPr>
            <w:r w:rsidRPr="007275DF">
              <w:t>dB</w:t>
            </w:r>
          </w:p>
        </w:tc>
        <w:tc>
          <w:tcPr>
            <w:tcW w:w="1047" w:type="dxa"/>
            <w:tcBorders>
              <w:top w:val="single" w:sz="6" w:space="0" w:color="auto"/>
              <w:left w:val="single" w:sz="6" w:space="0" w:color="auto"/>
              <w:right w:val="single" w:sz="6" w:space="0" w:color="auto"/>
            </w:tcBorders>
            <w:shd w:val="clear" w:color="auto" w:fill="auto"/>
          </w:tcPr>
          <w:p w14:paraId="0D6EBC99" w14:textId="77777777" w:rsidR="007D2333" w:rsidRPr="007275DF" w:rsidRDefault="007D2333" w:rsidP="007D2333">
            <w:pPr>
              <w:pStyle w:val="TAH"/>
            </w:pPr>
            <w:r w:rsidRPr="007275DF">
              <w:t>dB</w:t>
            </w:r>
          </w:p>
        </w:tc>
        <w:tc>
          <w:tcPr>
            <w:tcW w:w="802" w:type="dxa"/>
            <w:tcBorders>
              <w:top w:val="single" w:sz="6" w:space="0" w:color="auto"/>
              <w:left w:val="single" w:sz="6" w:space="0" w:color="auto"/>
              <w:right w:val="single" w:sz="6" w:space="0" w:color="auto"/>
            </w:tcBorders>
            <w:shd w:val="clear" w:color="auto" w:fill="auto"/>
          </w:tcPr>
          <w:p w14:paraId="6C45E137" w14:textId="77777777" w:rsidR="007D2333" w:rsidRPr="007275DF" w:rsidRDefault="007D2333" w:rsidP="007D2333">
            <w:pPr>
              <w:pStyle w:val="TAH"/>
            </w:pPr>
            <w:r w:rsidRPr="007275DF">
              <w:t>dB</w:t>
            </w:r>
          </w:p>
        </w:tc>
        <w:tc>
          <w:tcPr>
            <w:tcW w:w="2298" w:type="dxa"/>
            <w:tcBorders>
              <w:top w:val="single" w:sz="6" w:space="0" w:color="auto"/>
              <w:left w:val="single" w:sz="6" w:space="0" w:color="auto"/>
              <w:right w:val="single" w:sz="4" w:space="0" w:color="auto"/>
            </w:tcBorders>
            <w:shd w:val="clear" w:color="auto" w:fill="auto"/>
          </w:tcPr>
          <w:p w14:paraId="4FDDFE8E" w14:textId="77777777" w:rsidR="007D2333" w:rsidRPr="007275DF" w:rsidRDefault="007D2333" w:rsidP="007D2333">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127B65EE"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230214DC"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21E6F4A5" w14:textId="77777777" w:rsidR="007D2333" w:rsidRPr="007275DF" w:rsidRDefault="007D2333" w:rsidP="007D2333">
            <w:pPr>
              <w:pStyle w:val="TAH"/>
            </w:pPr>
            <w:r w:rsidRPr="007275DF">
              <w:t>dBm/BW</w:t>
            </w:r>
            <w:r w:rsidRPr="007275DF">
              <w:rPr>
                <w:vertAlign w:val="subscript"/>
              </w:rPr>
              <w:t>Channel</w:t>
            </w:r>
          </w:p>
        </w:tc>
      </w:tr>
      <w:tr w:rsidR="007D2333" w:rsidRPr="007275DF" w14:paraId="1CC357C2" w14:textId="77777777" w:rsidTr="007D2333">
        <w:trPr>
          <w:trHeight w:val="307"/>
          <w:jc w:val="center"/>
        </w:trPr>
        <w:tc>
          <w:tcPr>
            <w:tcW w:w="1035" w:type="dxa"/>
            <w:tcBorders>
              <w:left w:val="single" w:sz="4" w:space="0" w:color="auto"/>
              <w:bottom w:val="single" w:sz="6" w:space="0" w:color="auto"/>
              <w:right w:val="single" w:sz="6" w:space="0" w:color="auto"/>
            </w:tcBorders>
            <w:shd w:val="clear" w:color="auto" w:fill="auto"/>
          </w:tcPr>
          <w:p w14:paraId="353FC64F" w14:textId="77777777" w:rsidR="007D2333" w:rsidRPr="007275DF" w:rsidRDefault="007D2333" w:rsidP="007D2333">
            <w:pPr>
              <w:pStyle w:val="TAH"/>
            </w:pPr>
          </w:p>
        </w:tc>
        <w:tc>
          <w:tcPr>
            <w:tcW w:w="1047" w:type="dxa"/>
            <w:tcBorders>
              <w:left w:val="single" w:sz="6" w:space="0" w:color="auto"/>
              <w:bottom w:val="single" w:sz="6" w:space="0" w:color="auto"/>
              <w:right w:val="single" w:sz="6" w:space="0" w:color="auto"/>
            </w:tcBorders>
            <w:shd w:val="clear" w:color="auto" w:fill="auto"/>
          </w:tcPr>
          <w:p w14:paraId="6AA786C9" w14:textId="77777777" w:rsidR="007D2333" w:rsidRPr="007275DF" w:rsidRDefault="007D2333" w:rsidP="007D2333">
            <w:pPr>
              <w:pStyle w:val="TAH"/>
            </w:pPr>
          </w:p>
        </w:tc>
        <w:tc>
          <w:tcPr>
            <w:tcW w:w="802" w:type="dxa"/>
            <w:tcBorders>
              <w:left w:val="single" w:sz="6" w:space="0" w:color="auto"/>
              <w:bottom w:val="single" w:sz="6" w:space="0" w:color="auto"/>
              <w:right w:val="single" w:sz="6" w:space="0" w:color="auto"/>
            </w:tcBorders>
            <w:shd w:val="clear" w:color="auto" w:fill="auto"/>
          </w:tcPr>
          <w:p w14:paraId="37EAAECD" w14:textId="77777777" w:rsidR="007D2333" w:rsidRPr="007275DF" w:rsidRDefault="007D2333" w:rsidP="007D2333">
            <w:pPr>
              <w:pStyle w:val="TAH"/>
            </w:pPr>
          </w:p>
        </w:tc>
        <w:tc>
          <w:tcPr>
            <w:tcW w:w="2298" w:type="dxa"/>
            <w:tcBorders>
              <w:left w:val="single" w:sz="6" w:space="0" w:color="auto"/>
              <w:bottom w:val="single" w:sz="6" w:space="0" w:color="auto"/>
              <w:right w:val="single" w:sz="4" w:space="0" w:color="auto"/>
            </w:tcBorders>
            <w:shd w:val="clear" w:color="auto" w:fill="auto"/>
          </w:tcPr>
          <w:p w14:paraId="4140C9E3" w14:textId="77777777" w:rsidR="007D2333" w:rsidRPr="007275DF" w:rsidRDefault="007D2333" w:rsidP="007D2333">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D8DD404"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50B9363"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58223992"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tcPr>
          <w:p w14:paraId="34077294" w14:textId="77777777" w:rsidR="007D2333" w:rsidRPr="007275DF" w:rsidRDefault="007D2333" w:rsidP="007D2333">
            <w:pPr>
              <w:pStyle w:val="TAH"/>
            </w:pPr>
          </w:p>
        </w:tc>
      </w:tr>
      <w:tr w:rsidR="007D2333" w:rsidRPr="007275DF" w14:paraId="0AB6254B" w14:textId="77777777" w:rsidTr="007D2333">
        <w:trPr>
          <w:jc w:val="center"/>
        </w:trPr>
        <w:tc>
          <w:tcPr>
            <w:tcW w:w="1035" w:type="dxa"/>
            <w:vMerge w:val="restart"/>
            <w:tcBorders>
              <w:top w:val="single" w:sz="6" w:space="0" w:color="auto"/>
              <w:left w:val="single" w:sz="4" w:space="0" w:color="auto"/>
              <w:right w:val="single" w:sz="6" w:space="0" w:color="auto"/>
            </w:tcBorders>
            <w:shd w:val="clear" w:color="auto" w:fill="auto"/>
          </w:tcPr>
          <w:p w14:paraId="0D0A659A" w14:textId="77777777" w:rsidR="007D2333" w:rsidRPr="00473F76" w:rsidRDefault="007D2333" w:rsidP="007D2333">
            <w:pPr>
              <w:pStyle w:val="TAC"/>
            </w:pPr>
            <w:r w:rsidRPr="007275DF">
              <w:sym w:font="Symbol" w:char="F0B1"/>
            </w:r>
            <w:r w:rsidRPr="007275DF">
              <w:t>2.5</w:t>
            </w:r>
          </w:p>
        </w:tc>
        <w:tc>
          <w:tcPr>
            <w:tcW w:w="1047" w:type="dxa"/>
            <w:vMerge w:val="restart"/>
            <w:tcBorders>
              <w:top w:val="single" w:sz="6" w:space="0" w:color="auto"/>
              <w:left w:val="single" w:sz="6" w:space="0" w:color="auto"/>
              <w:right w:val="single" w:sz="6" w:space="0" w:color="auto"/>
            </w:tcBorders>
            <w:shd w:val="clear" w:color="auto" w:fill="auto"/>
          </w:tcPr>
          <w:p w14:paraId="62E87A4B" w14:textId="77777777" w:rsidR="007D2333" w:rsidRPr="00473F76" w:rsidRDefault="007D2333" w:rsidP="007D2333">
            <w:pPr>
              <w:pStyle w:val="TAC"/>
            </w:pPr>
            <w:r w:rsidRPr="007275DF">
              <w:sym w:font="Symbol" w:char="F0B1"/>
            </w:r>
            <w:r w:rsidRPr="007275DF">
              <w:t>4</w:t>
            </w:r>
          </w:p>
        </w:tc>
        <w:tc>
          <w:tcPr>
            <w:tcW w:w="802" w:type="dxa"/>
            <w:vMerge w:val="restart"/>
            <w:tcBorders>
              <w:top w:val="single" w:sz="6" w:space="0" w:color="auto"/>
              <w:left w:val="single" w:sz="6" w:space="0" w:color="auto"/>
              <w:right w:val="single" w:sz="6" w:space="0" w:color="auto"/>
            </w:tcBorders>
            <w:shd w:val="clear" w:color="auto" w:fill="auto"/>
          </w:tcPr>
          <w:p w14:paraId="0BA875AD" w14:textId="77777777" w:rsidR="007D2333" w:rsidRPr="00473F76" w:rsidRDefault="007D2333" w:rsidP="007D2333">
            <w:pPr>
              <w:pStyle w:val="TAC"/>
            </w:pPr>
            <w:r w:rsidRPr="007275DF">
              <w:sym w:font="Symbol" w:char="F0B3"/>
            </w:r>
            <w:r w:rsidRPr="007275DF">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8B72CF0" w14:textId="77777777" w:rsidR="007D2333" w:rsidRPr="007275DF" w:rsidRDefault="007D2333" w:rsidP="007D2333">
            <w:pPr>
              <w:pStyle w:val="TAC"/>
              <w:rPr>
                <w:lang w:val="sv-SE"/>
              </w:rPr>
            </w:pPr>
            <w:r w:rsidRPr="007275DF">
              <w:rPr>
                <w:rFonts w:cs="Arial"/>
                <w:lang w:val="sv-SE"/>
              </w:rPr>
              <w:t>NR_CCA_FR1_I</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643CAC8" w14:textId="77777777" w:rsidR="007D2333" w:rsidRPr="007275DF" w:rsidRDefault="007D2333" w:rsidP="007D2333">
            <w:pPr>
              <w:pStyle w:val="TAC"/>
            </w:pPr>
            <w:r w:rsidRPr="007275DF">
              <w:t>-117</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1C71B18" w14:textId="77777777" w:rsidR="007D2333" w:rsidRPr="007275DF" w:rsidRDefault="007D2333" w:rsidP="007D2333">
            <w:pPr>
              <w:pStyle w:val="TAC"/>
              <w:rPr>
                <w:rFonts w:cs="Arial"/>
              </w:rPr>
            </w:pPr>
            <w:r w:rsidRPr="007275DF">
              <w:t>-114</w:t>
            </w:r>
          </w:p>
        </w:tc>
        <w:tc>
          <w:tcPr>
            <w:tcW w:w="1440" w:type="dxa"/>
            <w:vMerge w:val="restart"/>
            <w:tcBorders>
              <w:top w:val="single" w:sz="6" w:space="0" w:color="auto"/>
              <w:left w:val="single" w:sz="6" w:space="0" w:color="auto"/>
              <w:right w:val="single" w:sz="6" w:space="0" w:color="auto"/>
            </w:tcBorders>
            <w:shd w:val="clear" w:color="auto" w:fill="auto"/>
          </w:tcPr>
          <w:p w14:paraId="7E6749A6"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tcPr>
          <w:p w14:paraId="5B814EBA" w14:textId="77777777" w:rsidR="007D2333" w:rsidRPr="007275DF" w:rsidRDefault="007D2333" w:rsidP="007D2333">
            <w:pPr>
              <w:pStyle w:val="TAC"/>
            </w:pPr>
            <w:r w:rsidRPr="007275DF">
              <w:t>-50</w:t>
            </w:r>
          </w:p>
        </w:tc>
      </w:tr>
      <w:tr w:rsidR="007D2333" w:rsidRPr="007275DF" w14:paraId="02226DC5" w14:textId="77777777" w:rsidTr="007D2333">
        <w:trPr>
          <w:jc w:val="center"/>
        </w:trPr>
        <w:tc>
          <w:tcPr>
            <w:tcW w:w="1035" w:type="dxa"/>
            <w:vMerge/>
            <w:tcBorders>
              <w:left w:val="single" w:sz="4" w:space="0" w:color="auto"/>
              <w:right w:val="single" w:sz="6" w:space="0" w:color="auto"/>
            </w:tcBorders>
            <w:shd w:val="clear" w:color="auto" w:fill="auto"/>
          </w:tcPr>
          <w:p w14:paraId="08C15B0F" w14:textId="77777777" w:rsidR="007D2333" w:rsidRPr="007275DF" w:rsidRDefault="007D2333" w:rsidP="007D2333">
            <w:pPr>
              <w:pStyle w:val="TAC"/>
            </w:pPr>
          </w:p>
        </w:tc>
        <w:tc>
          <w:tcPr>
            <w:tcW w:w="1047" w:type="dxa"/>
            <w:vMerge/>
            <w:tcBorders>
              <w:left w:val="single" w:sz="6" w:space="0" w:color="auto"/>
              <w:right w:val="single" w:sz="6" w:space="0" w:color="auto"/>
            </w:tcBorders>
            <w:shd w:val="clear" w:color="auto" w:fill="auto"/>
          </w:tcPr>
          <w:p w14:paraId="7CCEF363" w14:textId="77777777" w:rsidR="007D2333" w:rsidRPr="007275DF" w:rsidRDefault="007D2333" w:rsidP="007D2333">
            <w:pPr>
              <w:pStyle w:val="TAC"/>
            </w:pPr>
          </w:p>
        </w:tc>
        <w:tc>
          <w:tcPr>
            <w:tcW w:w="802" w:type="dxa"/>
            <w:vMerge/>
            <w:tcBorders>
              <w:left w:val="single" w:sz="6" w:space="0" w:color="auto"/>
              <w:right w:val="single" w:sz="6" w:space="0" w:color="auto"/>
            </w:tcBorders>
            <w:shd w:val="clear" w:color="auto" w:fill="auto"/>
          </w:tcPr>
          <w:p w14:paraId="2A5C0BDC" w14:textId="77777777" w:rsidR="007D2333" w:rsidRPr="007275DF" w:rsidRDefault="007D2333" w:rsidP="007D2333">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83FCA2B" w14:textId="77777777" w:rsidR="007D2333" w:rsidRPr="007275DF" w:rsidRDefault="007D2333" w:rsidP="007D2333">
            <w:pPr>
              <w:pStyle w:val="TAC"/>
              <w:rPr>
                <w:rFonts w:cs="Arial"/>
                <w:lang w:val="sv-SE"/>
              </w:rPr>
            </w:pPr>
            <w:r w:rsidRPr="007275DF">
              <w:rPr>
                <w:rFonts w:cs="Arial"/>
                <w:lang w:val="sv-SE"/>
              </w:rPr>
              <w:t>NR_CCA_FR1_J</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23BA5E5" w14:textId="77777777" w:rsidR="007D2333" w:rsidRPr="007275DF" w:rsidRDefault="007D2333" w:rsidP="007D2333">
            <w:pPr>
              <w:pStyle w:val="TAC"/>
            </w:pPr>
            <w:r w:rsidRPr="007275DF">
              <w:t>-116.5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558069A" w14:textId="77777777" w:rsidR="007D2333" w:rsidRPr="007275DF" w:rsidRDefault="007D2333" w:rsidP="007D2333">
            <w:pPr>
              <w:pStyle w:val="TAC"/>
            </w:pPr>
            <w:r w:rsidRPr="007275DF">
              <w:t>-113.5</w:t>
            </w:r>
          </w:p>
        </w:tc>
        <w:tc>
          <w:tcPr>
            <w:tcW w:w="1440" w:type="dxa"/>
            <w:vMerge/>
            <w:tcBorders>
              <w:left w:val="single" w:sz="6" w:space="0" w:color="auto"/>
              <w:bottom w:val="single" w:sz="6" w:space="0" w:color="auto"/>
              <w:right w:val="single" w:sz="6" w:space="0" w:color="auto"/>
            </w:tcBorders>
            <w:shd w:val="clear" w:color="auto" w:fill="auto"/>
          </w:tcPr>
          <w:p w14:paraId="0D021592" w14:textId="77777777" w:rsidR="007D2333" w:rsidRPr="007275DF" w:rsidRDefault="007D2333" w:rsidP="007D2333">
            <w:pPr>
              <w:pStyle w:val="TAC"/>
            </w:pPr>
          </w:p>
        </w:tc>
        <w:tc>
          <w:tcPr>
            <w:tcW w:w="1440" w:type="dxa"/>
            <w:vMerge/>
            <w:tcBorders>
              <w:left w:val="single" w:sz="6" w:space="0" w:color="auto"/>
              <w:bottom w:val="single" w:sz="6" w:space="0" w:color="auto"/>
              <w:right w:val="single" w:sz="4" w:space="0" w:color="auto"/>
            </w:tcBorders>
            <w:shd w:val="clear" w:color="auto" w:fill="auto"/>
          </w:tcPr>
          <w:p w14:paraId="24022A6D" w14:textId="77777777" w:rsidR="007D2333" w:rsidRPr="007275DF" w:rsidRDefault="007D2333" w:rsidP="007D2333">
            <w:pPr>
              <w:pStyle w:val="TAC"/>
            </w:pPr>
          </w:p>
        </w:tc>
      </w:tr>
      <w:tr w:rsidR="007D2333" w:rsidRPr="007275DF" w14:paraId="48022496" w14:textId="77777777" w:rsidTr="007D2333">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7DD9CDB1" w14:textId="77777777" w:rsidR="007D2333" w:rsidRPr="00473F76" w:rsidRDefault="007D2333" w:rsidP="007D2333">
            <w:pPr>
              <w:pStyle w:val="TAC"/>
            </w:pPr>
            <w:r w:rsidRPr="007275DF">
              <w:sym w:font="Symbol" w:char="F0B1"/>
            </w:r>
            <w:r w:rsidRPr="007275DF">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27B5092C" w14:textId="77777777" w:rsidR="007D2333" w:rsidRPr="00473F76" w:rsidRDefault="007D2333" w:rsidP="007D2333">
            <w:pPr>
              <w:pStyle w:val="TAC"/>
            </w:pPr>
            <w:r w:rsidRPr="007275DF">
              <w:sym w:font="Symbol" w:char="F0B1"/>
            </w:r>
            <w:r w:rsidRPr="007275DF">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672DAFEE" w14:textId="77777777" w:rsidR="007D2333" w:rsidRPr="00473F76" w:rsidRDefault="007D2333" w:rsidP="007D2333">
            <w:pPr>
              <w:pStyle w:val="TAC"/>
            </w:pPr>
            <w:r w:rsidRPr="007275DF">
              <w:sym w:font="Symbol" w:char="F0B3"/>
            </w:r>
            <w:r w:rsidRPr="007275DF">
              <w:t>-</w:t>
            </w:r>
            <w:r w:rsidRPr="00473F76">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EC31A38" w14:textId="77777777" w:rsidR="007D2333" w:rsidRPr="007275DF" w:rsidRDefault="007D2333" w:rsidP="007D2333">
            <w:pPr>
              <w:pStyle w:val="TAC"/>
            </w:pPr>
            <w:r w:rsidRPr="007275DF">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7DD1D199" w14:textId="77777777" w:rsidR="007D2333" w:rsidRPr="007275DF" w:rsidRDefault="007D2333" w:rsidP="007D2333">
            <w:pPr>
              <w:pStyle w:val="TAC"/>
            </w:pPr>
            <w:r w:rsidRPr="007275DF">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7562D310" w14:textId="77777777" w:rsidR="007D2333" w:rsidRPr="007275DF" w:rsidRDefault="007D2333" w:rsidP="007D2333">
            <w:pPr>
              <w:pStyle w:val="TAC"/>
              <w:rPr>
                <w:lang w:eastAsia="zh-CN"/>
              </w:rPr>
            </w:pPr>
            <w:r w:rsidRPr="007275DF">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6B481002" w14:textId="77777777" w:rsidR="007D2333" w:rsidRPr="007275DF" w:rsidRDefault="007D2333" w:rsidP="007D2333">
            <w:pPr>
              <w:pStyle w:val="TAC"/>
            </w:pPr>
            <w:r w:rsidRPr="007275DF">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469B1F07" w14:textId="77777777" w:rsidR="007D2333" w:rsidRPr="007275DF" w:rsidRDefault="007D2333" w:rsidP="007D2333">
            <w:pPr>
              <w:pStyle w:val="TAC"/>
            </w:pPr>
            <w:r w:rsidRPr="007275DF">
              <w:t>Note 2</w:t>
            </w:r>
          </w:p>
        </w:tc>
      </w:tr>
      <w:tr w:rsidR="007D2333" w:rsidRPr="007275DF" w14:paraId="2DC8AE17"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5426E8E" w14:textId="77777777" w:rsidR="007D2333" w:rsidRPr="007275DF" w:rsidRDefault="007D2333" w:rsidP="007D2333">
            <w:pPr>
              <w:pStyle w:val="TAN"/>
            </w:pPr>
            <w:r w:rsidRPr="007275DF">
              <w:t>NOTE 1:</w:t>
            </w:r>
            <w:r w:rsidRPr="007275DF">
              <w:tab/>
              <w:t>Io is assumed to have constant EPRE across the bandwidth.</w:t>
            </w:r>
          </w:p>
          <w:p w14:paraId="3097EBD1" w14:textId="77777777" w:rsidR="007D2333" w:rsidRPr="007275DF" w:rsidRDefault="007D2333" w:rsidP="007D2333">
            <w:pPr>
              <w:pStyle w:val="TAN"/>
              <w:rPr>
                <w:rFonts w:cs="Arial"/>
              </w:rPr>
            </w:pPr>
            <w:r w:rsidRPr="007275DF">
              <w:rPr>
                <w:rFonts w:cs="Arial"/>
              </w:rPr>
              <w:t>N</w:t>
            </w:r>
            <w:r w:rsidRPr="007275DF">
              <w:rPr>
                <w:rFonts w:cs="Arial"/>
                <w:lang w:eastAsia="zh-CN"/>
              </w:rPr>
              <w:t>OTE</w:t>
            </w:r>
            <w:r w:rsidRPr="007275DF">
              <w:rPr>
                <w:rFonts w:cs="Arial"/>
              </w:rPr>
              <w:t xml:space="preserve"> 2:</w:t>
            </w:r>
            <w:r w:rsidRPr="007275DF">
              <w:rPr>
                <w:rFonts w:cs="Arial"/>
              </w:rPr>
              <w:tab/>
              <w:t>The same bands and the same Io conditions for each band apply for this requirement as for the corresponding highest accuracy requirement.</w:t>
            </w:r>
          </w:p>
          <w:p w14:paraId="4F3E8D89" w14:textId="77777777" w:rsidR="007D2333" w:rsidRPr="007275DF" w:rsidRDefault="007D2333" w:rsidP="007D2333">
            <w:pPr>
              <w:pStyle w:val="TAN"/>
            </w:pPr>
            <w:r w:rsidRPr="007275DF">
              <w:t>NOTE 3:</w:t>
            </w:r>
            <w:r w:rsidRPr="007275DF">
              <w:tab/>
              <w:t>NR operating band groups are as defined in clause 3.5.2.</w:t>
            </w:r>
          </w:p>
        </w:tc>
      </w:tr>
    </w:tbl>
    <w:p w14:paraId="06CB82B9" w14:textId="77777777" w:rsidR="007D2333" w:rsidRPr="007275DF" w:rsidRDefault="007D2333" w:rsidP="007D2333">
      <w:pPr>
        <w:rPr>
          <w:lang w:eastAsia="zh-CN"/>
        </w:rPr>
      </w:pPr>
    </w:p>
    <w:p w14:paraId="4862A8EE" w14:textId="77777777" w:rsidR="007D2333" w:rsidRPr="007275DF" w:rsidRDefault="007D2333" w:rsidP="007D2333">
      <w:pPr>
        <w:pStyle w:val="Heading5"/>
      </w:pPr>
      <w:r w:rsidRPr="007275DF">
        <w:rPr>
          <w:lang w:eastAsia="zh-CN"/>
        </w:rPr>
        <w:t>10.</w:t>
      </w:r>
      <w:r w:rsidRPr="007275DF">
        <w:t>1</w:t>
      </w:r>
      <w:r w:rsidRPr="007275DF">
        <w:rPr>
          <w:lang w:eastAsia="zh-CN"/>
        </w:rPr>
        <w:t>.30.1.2</w:t>
      </w:r>
      <w:r w:rsidRPr="007275DF">
        <w:tab/>
        <w:t xml:space="preserve">Relative Accuracy of </w:t>
      </w:r>
      <w:r w:rsidRPr="007275DF">
        <w:rPr>
          <w:lang w:eastAsia="zh-CN"/>
        </w:rPr>
        <w:t>SS-RSRQ</w:t>
      </w:r>
    </w:p>
    <w:p w14:paraId="0BF7955F" w14:textId="77777777" w:rsidR="007D2333" w:rsidRPr="007275DF" w:rsidRDefault="007D2333" w:rsidP="007D2333">
      <w:pPr>
        <w:rPr>
          <w:rFonts w:cs="v4.2.0"/>
          <w:i/>
        </w:rPr>
      </w:pPr>
      <w:r w:rsidRPr="007275DF">
        <w:rPr>
          <w:rFonts w:cs="v4.2.0"/>
        </w:rPr>
        <w:t xml:space="preserve">The relative accuracy of </w:t>
      </w:r>
      <w:r w:rsidRPr="007275DF">
        <w:rPr>
          <w:rFonts w:cs="v4.2.0"/>
          <w:lang w:eastAsia="zh-CN"/>
        </w:rPr>
        <w:t>SS-RSRQ</w:t>
      </w:r>
      <w:r w:rsidRPr="007275DF">
        <w:rPr>
          <w:rFonts w:cs="v4.2.0"/>
        </w:rPr>
        <w:t xml:space="preserve"> in inter-frequency case is defined as the RSRQ measured from one cell on a frequency compared to the RSRP measured from another cell on a different frequency, with at least one of the two frequencies being under CCA.</w:t>
      </w:r>
    </w:p>
    <w:p w14:paraId="342A07FF"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10.1.30.1.2</w:t>
      </w:r>
      <w:r w:rsidRPr="007275DF">
        <w:rPr>
          <w:rFonts w:cs="v4.2.0"/>
        </w:rPr>
        <w:t>-1 are valid under the following conditions:</w:t>
      </w:r>
    </w:p>
    <w:p w14:paraId="4B819B1A" w14:textId="68AEBC18" w:rsidR="007D2333" w:rsidRPr="007275DF" w:rsidRDefault="00233327" w:rsidP="00F37389">
      <w:pPr>
        <w:pStyle w:val="B10"/>
        <w:rPr>
          <w:rFonts w:cs="v4.2.0"/>
        </w:rPr>
      </w:pPr>
      <w:r w:rsidRPr="007275DF">
        <w:t>-</w:t>
      </w:r>
      <w:r w:rsidRPr="007275DF">
        <w:tab/>
      </w:r>
      <w:r w:rsidR="007D2333" w:rsidRPr="007275DF">
        <w:t>Conditions defined in clause 7.3F of TS 38.101-1 [18] for reference sensitivity are fulfilled.</w:t>
      </w:r>
    </w:p>
    <w:p w14:paraId="462809A4" w14:textId="3D633E3D" w:rsidR="007D2333" w:rsidRPr="007275DF" w:rsidRDefault="00233327" w:rsidP="00F37389">
      <w:pPr>
        <w:pStyle w:val="B10"/>
        <w:rPr>
          <w:lang w:eastAsia="zh-CN"/>
        </w:rPr>
      </w:pPr>
      <w:r w:rsidRPr="007275DF">
        <w:t>-</w:t>
      </w:r>
      <w:r w:rsidRPr="007275DF">
        <w:tab/>
      </w:r>
      <w:r w:rsidR="007D2333" w:rsidRPr="007275DF">
        <w:t xml:space="preserve">Conditions for inter-frequency measurements are fulfilled according to Annex B.2.9 for a corresponding Band </w:t>
      </w:r>
      <w:r w:rsidR="007D2333" w:rsidRPr="007275DF">
        <w:rPr>
          <w:rFonts w:cs="v4.2.0"/>
          <w:lang w:eastAsia="ko-KR"/>
        </w:rPr>
        <w:t>for each relevant SSB</w:t>
      </w:r>
      <w:r w:rsidR="007D2333" w:rsidRPr="007275DF">
        <w:t>.</w:t>
      </w:r>
    </w:p>
    <w:p w14:paraId="0906A037" w14:textId="58023A3D" w:rsidR="007D2333" w:rsidRPr="007275DF" w:rsidRDefault="00233327" w:rsidP="00F37389">
      <w:pPr>
        <w:pStyle w:val="B10"/>
        <w:rPr>
          <w:rFonts w:cs="v4.2.0"/>
          <w:sz w:val="18"/>
        </w:rPr>
      </w:pPr>
      <w:r w:rsidRPr="007275DF">
        <w:t>-</w:t>
      </w:r>
      <w:r w:rsidRPr="007275DF">
        <w:tab/>
      </w:r>
      <w:r w:rsidR="007D2333" w:rsidRPr="007275DF">
        <w:t>|SSB_RP1</w:t>
      </w:r>
      <w:r w:rsidR="007D2333" w:rsidRPr="007275DF">
        <w:rPr>
          <w:vertAlign w:val="subscript"/>
        </w:rPr>
        <w:t>dBm</w:t>
      </w:r>
      <w:r w:rsidR="007D2333" w:rsidRPr="007275DF">
        <w:t xml:space="preserve"> - SSB_RP2</w:t>
      </w:r>
      <w:r w:rsidR="007D2333" w:rsidRPr="007275DF">
        <w:rPr>
          <w:vertAlign w:val="subscript"/>
        </w:rPr>
        <w:t>dBm</w:t>
      </w:r>
      <w:r w:rsidR="007D2333" w:rsidRPr="007275DF">
        <w:t>| ≤ 27 dB</w:t>
      </w:r>
    </w:p>
    <w:p w14:paraId="5E3D03F8" w14:textId="79108316" w:rsidR="007D2333" w:rsidRPr="00473F76" w:rsidRDefault="00233327" w:rsidP="00F37389">
      <w:pPr>
        <w:pStyle w:val="B10"/>
        <w:rPr>
          <w:lang w:eastAsia="zh-CN"/>
        </w:rPr>
      </w:pPr>
      <w:r w:rsidRPr="007275DF">
        <w:t>-</w:t>
      </w:r>
      <w:r w:rsidRPr="007275DF">
        <w:tab/>
      </w:r>
      <w:r w:rsidR="006C5994" w:rsidRPr="007275DF">
        <w:t>|</w:t>
      </w:r>
      <w:r w:rsidR="007D2333" w:rsidRPr="007275DF">
        <w:t xml:space="preserve">Channel 1_Io </w:t>
      </w:r>
      <w:r w:rsidR="007D2333" w:rsidRPr="007275DF">
        <w:noBreakHyphen/>
        <w:t xml:space="preserve">Channel 2_Io | </w:t>
      </w:r>
      <w:r w:rsidR="007D2333" w:rsidRPr="007275DF">
        <w:sym w:font="Symbol" w:char="F0A3"/>
      </w:r>
      <w:r w:rsidR="007D2333" w:rsidRPr="007275DF">
        <w:t xml:space="preserve"> 2</w:t>
      </w:r>
      <w:r w:rsidR="007D2333" w:rsidRPr="00473F76">
        <w:t>0 dB</w:t>
      </w:r>
    </w:p>
    <w:p w14:paraId="65CE1E74" w14:textId="77777777" w:rsidR="007D2333" w:rsidRPr="007275DF" w:rsidRDefault="007D2333" w:rsidP="007D2333">
      <w:pPr>
        <w:pStyle w:val="TH"/>
        <w:rPr>
          <w:sz w:val="22"/>
          <w:szCs w:val="22"/>
          <w:lang w:eastAsia="zh-CN"/>
        </w:rPr>
      </w:pPr>
      <w:r w:rsidRPr="007275DF">
        <w:t xml:space="preserve">Table </w:t>
      </w:r>
      <w:r w:rsidRPr="007275DF">
        <w:rPr>
          <w:lang w:eastAsia="zh-CN"/>
        </w:rPr>
        <w:t>10.1.30.1.2</w:t>
      </w:r>
      <w:r w:rsidRPr="007275DF">
        <w:t xml:space="preserve">-1: </w:t>
      </w:r>
      <w:r w:rsidRPr="007275DF">
        <w:rPr>
          <w:lang w:eastAsia="zh-CN"/>
        </w:rPr>
        <w:t>SS-RSRQ</w:t>
      </w:r>
      <w:r w:rsidRPr="007275DF">
        <w:t xml:space="preserve"> inter-frequency relative accuracy</w:t>
      </w:r>
      <w:r w:rsidRPr="007275DF">
        <w:rPr>
          <w:sz w:val="22"/>
          <w:szCs w:val="22"/>
          <w:lang w:eastAsia="zh-CN"/>
        </w:rPr>
        <w:t xml:space="preserve"> under CCA</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7D2333" w:rsidRPr="007275DF" w14:paraId="5A3E33CC" w14:textId="77777777" w:rsidTr="007D2333">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2F732E6B" w14:textId="77777777" w:rsidR="007D2333" w:rsidRPr="007275DF" w:rsidRDefault="007D2333" w:rsidP="007D2333">
            <w:pPr>
              <w:pStyle w:val="TAH"/>
            </w:pPr>
            <w:r w:rsidRPr="007275DF">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70C89662" w14:textId="77777777" w:rsidR="007D2333" w:rsidRPr="007275DF" w:rsidRDefault="007D2333" w:rsidP="007D2333">
            <w:pPr>
              <w:pStyle w:val="TAH"/>
            </w:pPr>
            <w:r w:rsidRPr="007275DF">
              <w:t>Conditions</w:t>
            </w:r>
          </w:p>
        </w:tc>
      </w:tr>
      <w:tr w:rsidR="007D2333" w:rsidRPr="007275DF" w14:paraId="2929649A" w14:textId="77777777" w:rsidTr="007D2333">
        <w:trPr>
          <w:jc w:val="center"/>
        </w:trPr>
        <w:tc>
          <w:tcPr>
            <w:tcW w:w="1035" w:type="dxa"/>
            <w:tcBorders>
              <w:top w:val="single" w:sz="4" w:space="0" w:color="auto"/>
              <w:left w:val="single" w:sz="4" w:space="0" w:color="auto"/>
              <w:right w:val="single" w:sz="4" w:space="0" w:color="auto"/>
            </w:tcBorders>
            <w:shd w:val="clear" w:color="auto" w:fill="auto"/>
            <w:vAlign w:val="center"/>
          </w:tcPr>
          <w:p w14:paraId="1F55FF3D" w14:textId="77777777" w:rsidR="007D2333" w:rsidRPr="007275DF" w:rsidRDefault="007D2333" w:rsidP="007D2333">
            <w:pPr>
              <w:pStyle w:val="TAH"/>
            </w:pPr>
            <w:r w:rsidRPr="007275DF">
              <w:t>Normal condition</w:t>
            </w:r>
          </w:p>
        </w:tc>
        <w:tc>
          <w:tcPr>
            <w:tcW w:w="1047" w:type="dxa"/>
            <w:tcBorders>
              <w:top w:val="single" w:sz="4" w:space="0" w:color="auto"/>
              <w:left w:val="single" w:sz="4" w:space="0" w:color="auto"/>
              <w:right w:val="single" w:sz="4" w:space="0" w:color="auto"/>
            </w:tcBorders>
            <w:shd w:val="clear" w:color="auto" w:fill="auto"/>
            <w:vAlign w:val="center"/>
          </w:tcPr>
          <w:p w14:paraId="412D90BD" w14:textId="77777777" w:rsidR="007D2333" w:rsidRPr="007275DF" w:rsidRDefault="007D2333" w:rsidP="007D2333">
            <w:pPr>
              <w:pStyle w:val="TAH"/>
            </w:pPr>
            <w:r w:rsidRPr="007275DF">
              <w:t>Extreme condition</w:t>
            </w:r>
          </w:p>
        </w:tc>
        <w:tc>
          <w:tcPr>
            <w:tcW w:w="802" w:type="dxa"/>
            <w:tcBorders>
              <w:top w:val="single" w:sz="4" w:space="0" w:color="auto"/>
              <w:left w:val="single" w:sz="4" w:space="0" w:color="auto"/>
              <w:right w:val="single" w:sz="4" w:space="0" w:color="auto"/>
            </w:tcBorders>
            <w:shd w:val="clear" w:color="auto" w:fill="auto"/>
            <w:vAlign w:val="center"/>
          </w:tcPr>
          <w:p w14:paraId="0C168ABD" w14:textId="77777777" w:rsidR="007D2333" w:rsidRPr="007275DF" w:rsidRDefault="007D2333" w:rsidP="007D2333">
            <w:pPr>
              <w:pStyle w:val="TAH"/>
            </w:pPr>
            <w:r w:rsidRPr="007275DF">
              <w:t>SSB Ês/Iot</w:t>
            </w:r>
            <w:r w:rsidRPr="007275DF">
              <w:rPr>
                <w:vertAlign w:val="superscript"/>
                <w:lang w:eastAsia="zh-CN"/>
              </w:rPr>
              <w:t xml:space="preserve"> </w:t>
            </w:r>
          </w:p>
        </w:tc>
        <w:tc>
          <w:tcPr>
            <w:tcW w:w="7288"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7D53399" w14:textId="77777777" w:rsidR="007D2333" w:rsidRPr="007275DF" w:rsidRDefault="007D2333" w:rsidP="007D2333">
            <w:pPr>
              <w:pStyle w:val="TAH"/>
            </w:pPr>
            <w:r w:rsidRPr="007275DF">
              <w:t>Io</w:t>
            </w:r>
            <w:r w:rsidRPr="007275DF">
              <w:rPr>
                <w:vertAlign w:val="superscript"/>
                <w:lang w:eastAsia="zh-CN"/>
              </w:rPr>
              <w:t xml:space="preserve"> Note 1</w:t>
            </w:r>
            <w:r w:rsidRPr="007275DF">
              <w:t xml:space="preserve"> range</w:t>
            </w:r>
          </w:p>
        </w:tc>
      </w:tr>
      <w:tr w:rsidR="007D2333" w:rsidRPr="007275DF" w14:paraId="33ED4B65" w14:textId="77777777" w:rsidTr="007D2333">
        <w:trPr>
          <w:jc w:val="center"/>
        </w:trPr>
        <w:tc>
          <w:tcPr>
            <w:tcW w:w="1035" w:type="dxa"/>
            <w:tcBorders>
              <w:left w:val="single" w:sz="4" w:space="0" w:color="auto"/>
              <w:bottom w:val="single" w:sz="4" w:space="0" w:color="auto"/>
              <w:right w:val="single" w:sz="4" w:space="0" w:color="auto"/>
            </w:tcBorders>
            <w:shd w:val="clear" w:color="auto" w:fill="auto"/>
            <w:vAlign w:val="center"/>
          </w:tcPr>
          <w:p w14:paraId="340530A0" w14:textId="77777777" w:rsidR="007D2333" w:rsidRPr="007275DF" w:rsidRDefault="007D2333" w:rsidP="007D2333">
            <w:pPr>
              <w:pStyle w:val="TAH"/>
            </w:pPr>
          </w:p>
        </w:tc>
        <w:tc>
          <w:tcPr>
            <w:tcW w:w="1047" w:type="dxa"/>
            <w:tcBorders>
              <w:left w:val="single" w:sz="4" w:space="0" w:color="auto"/>
              <w:bottom w:val="single" w:sz="4" w:space="0" w:color="auto"/>
              <w:right w:val="single" w:sz="4" w:space="0" w:color="auto"/>
            </w:tcBorders>
            <w:shd w:val="clear" w:color="auto" w:fill="auto"/>
            <w:vAlign w:val="center"/>
          </w:tcPr>
          <w:p w14:paraId="46274B4F" w14:textId="77777777" w:rsidR="007D2333" w:rsidRPr="007275DF" w:rsidRDefault="007D2333" w:rsidP="007D2333">
            <w:pPr>
              <w:pStyle w:val="TAH"/>
            </w:pPr>
          </w:p>
        </w:tc>
        <w:tc>
          <w:tcPr>
            <w:tcW w:w="802" w:type="dxa"/>
            <w:tcBorders>
              <w:left w:val="single" w:sz="4" w:space="0" w:color="auto"/>
              <w:bottom w:val="single" w:sz="4" w:space="0" w:color="auto"/>
              <w:right w:val="single" w:sz="4" w:space="0" w:color="auto"/>
            </w:tcBorders>
            <w:shd w:val="clear" w:color="auto" w:fill="auto"/>
          </w:tcPr>
          <w:p w14:paraId="6C80DFBA" w14:textId="77777777" w:rsidR="007D2333" w:rsidRPr="007275DF" w:rsidRDefault="007D2333" w:rsidP="007D2333">
            <w:pPr>
              <w:pStyle w:val="TAH"/>
            </w:pPr>
            <w:r w:rsidRPr="007275DF">
              <w:rPr>
                <w:vertAlign w:val="superscript"/>
                <w:lang w:eastAsia="zh-CN"/>
              </w:rPr>
              <w:t>Note 2</w:t>
            </w:r>
          </w:p>
        </w:tc>
        <w:tc>
          <w:tcPr>
            <w:tcW w:w="2298" w:type="dxa"/>
            <w:tcBorders>
              <w:top w:val="single" w:sz="6" w:space="0" w:color="auto"/>
              <w:left w:val="single" w:sz="4" w:space="0" w:color="auto"/>
              <w:bottom w:val="single" w:sz="6" w:space="0" w:color="auto"/>
              <w:right w:val="single" w:sz="4" w:space="0" w:color="auto"/>
            </w:tcBorders>
            <w:shd w:val="clear" w:color="auto" w:fill="auto"/>
            <w:vAlign w:val="center"/>
          </w:tcPr>
          <w:p w14:paraId="2713CE18" w14:textId="77777777" w:rsidR="007D2333" w:rsidRPr="007275DF" w:rsidRDefault="007D2333" w:rsidP="007D2333">
            <w:pPr>
              <w:pStyle w:val="TAH"/>
            </w:pPr>
            <w:r w:rsidRPr="007275DF">
              <w:t>NR operating band groups</w:t>
            </w:r>
            <w:r w:rsidRPr="007275DF">
              <w:rPr>
                <w:vertAlign w:val="superscript"/>
              </w:rPr>
              <w:t xml:space="preserve"> </w:t>
            </w:r>
            <w:r w:rsidRPr="007275DF">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3DD63B5F"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5EB07E62" w14:textId="77777777" w:rsidR="007D2333" w:rsidRPr="007275DF" w:rsidRDefault="007D2333" w:rsidP="007D2333">
            <w:pPr>
              <w:pStyle w:val="TAH"/>
            </w:pPr>
            <w:r w:rsidRPr="007275DF">
              <w:t>Maximum Io</w:t>
            </w:r>
          </w:p>
        </w:tc>
      </w:tr>
      <w:tr w:rsidR="007D2333" w:rsidRPr="007275DF" w14:paraId="7B019968" w14:textId="77777777" w:rsidTr="007D2333">
        <w:trPr>
          <w:trHeight w:val="308"/>
          <w:jc w:val="center"/>
        </w:trPr>
        <w:tc>
          <w:tcPr>
            <w:tcW w:w="1035" w:type="dxa"/>
            <w:tcBorders>
              <w:top w:val="single" w:sz="4" w:space="0" w:color="auto"/>
              <w:left w:val="single" w:sz="4" w:space="0" w:color="auto"/>
              <w:right w:val="single" w:sz="6" w:space="0" w:color="auto"/>
            </w:tcBorders>
            <w:shd w:val="clear" w:color="auto" w:fill="auto"/>
          </w:tcPr>
          <w:p w14:paraId="31723AB5" w14:textId="77777777" w:rsidR="007D2333" w:rsidRPr="007275DF" w:rsidRDefault="007D2333" w:rsidP="007D2333">
            <w:pPr>
              <w:pStyle w:val="TAC"/>
              <w:rPr>
                <w:b/>
                <w:bCs/>
              </w:rPr>
            </w:pPr>
            <w:r w:rsidRPr="007275DF">
              <w:rPr>
                <w:b/>
                <w:bCs/>
              </w:rPr>
              <w:t>dB</w:t>
            </w:r>
          </w:p>
        </w:tc>
        <w:tc>
          <w:tcPr>
            <w:tcW w:w="1047" w:type="dxa"/>
            <w:tcBorders>
              <w:top w:val="single" w:sz="4" w:space="0" w:color="auto"/>
              <w:left w:val="single" w:sz="6" w:space="0" w:color="auto"/>
              <w:right w:val="single" w:sz="6" w:space="0" w:color="auto"/>
            </w:tcBorders>
            <w:shd w:val="clear" w:color="auto" w:fill="auto"/>
          </w:tcPr>
          <w:p w14:paraId="06430381" w14:textId="77777777" w:rsidR="007D2333" w:rsidRPr="007275DF" w:rsidRDefault="007D2333" w:rsidP="007D2333">
            <w:pPr>
              <w:pStyle w:val="TAC"/>
              <w:rPr>
                <w:b/>
                <w:bCs/>
              </w:rPr>
            </w:pPr>
            <w:r w:rsidRPr="007275DF">
              <w:rPr>
                <w:b/>
                <w:bCs/>
              </w:rPr>
              <w:t>dB</w:t>
            </w:r>
          </w:p>
        </w:tc>
        <w:tc>
          <w:tcPr>
            <w:tcW w:w="802" w:type="dxa"/>
            <w:tcBorders>
              <w:top w:val="single" w:sz="4" w:space="0" w:color="auto"/>
              <w:left w:val="single" w:sz="6" w:space="0" w:color="auto"/>
              <w:right w:val="single" w:sz="6" w:space="0" w:color="auto"/>
            </w:tcBorders>
            <w:shd w:val="clear" w:color="auto" w:fill="auto"/>
          </w:tcPr>
          <w:p w14:paraId="53EA25DB" w14:textId="77777777" w:rsidR="007D2333" w:rsidRPr="007275DF" w:rsidRDefault="007D2333" w:rsidP="007D2333">
            <w:pPr>
              <w:pStyle w:val="TAC"/>
              <w:rPr>
                <w:b/>
                <w:bCs/>
              </w:rPr>
            </w:pPr>
            <w:r w:rsidRPr="007275DF">
              <w:rPr>
                <w:b/>
                <w:bCs/>
              </w:rPr>
              <w:t>dB</w:t>
            </w:r>
          </w:p>
        </w:tc>
        <w:tc>
          <w:tcPr>
            <w:tcW w:w="2298" w:type="dxa"/>
            <w:tcBorders>
              <w:top w:val="single" w:sz="6" w:space="0" w:color="auto"/>
              <w:left w:val="single" w:sz="6" w:space="0" w:color="auto"/>
              <w:right w:val="single" w:sz="4" w:space="0" w:color="auto"/>
            </w:tcBorders>
            <w:shd w:val="clear" w:color="auto" w:fill="auto"/>
          </w:tcPr>
          <w:p w14:paraId="58BB3306" w14:textId="77777777" w:rsidR="007D2333" w:rsidRPr="007275DF" w:rsidRDefault="007D2333" w:rsidP="007D2333">
            <w:pPr>
              <w:pStyle w:val="TAC"/>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20A15FAC" w14:textId="77777777" w:rsidR="007D2333" w:rsidRPr="007275DF" w:rsidRDefault="007D2333" w:rsidP="007D2333">
            <w:pPr>
              <w:pStyle w:val="TAC"/>
              <w:rPr>
                <w:b/>
                <w:bCs/>
              </w:rPr>
            </w:pPr>
            <w:r w:rsidRPr="007275DF">
              <w:rPr>
                <w:rFonts w:cs="Arial"/>
                <w:b/>
                <w:bCs/>
              </w:rPr>
              <w:t xml:space="preserve">dBm / </w:t>
            </w:r>
            <w:r w:rsidRPr="007275DF">
              <w:rPr>
                <w:b/>
                <w:bCs/>
              </w:rPr>
              <w:t>SCS</w:t>
            </w:r>
            <w:r w:rsidRPr="007275DF">
              <w:rPr>
                <w:b/>
                <w:bCs/>
                <w:vertAlign w:val="subscript"/>
              </w:rPr>
              <w:t>SSB</w:t>
            </w:r>
          </w:p>
        </w:tc>
        <w:tc>
          <w:tcPr>
            <w:tcW w:w="1440" w:type="dxa"/>
            <w:tcBorders>
              <w:top w:val="single" w:sz="6" w:space="0" w:color="auto"/>
              <w:left w:val="single" w:sz="6" w:space="0" w:color="auto"/>
              <w:right w:val="single" w:sz="6" w:space="0" w:color="auto"/>
            </w:tcBorders>
            <w:shd w:val="clear" w:color="auto" w:fill="auto"/>
          </w:tcPr>
          <w:p w14:paraId="69E011F0" w14:textId="77777777" w:rsidR="007D2333" w:rsidRPr="007275DF" w:rsidRDefault="007D2333" w:rsidP="007D2333">
            <w:pPr>
              <w:pStyle w:val="TAC"/>
              <w:rPr>
                <w:b/>
                <w:bCs/>
              </w:rPr>
            </w:pPr>
            <w:r w:rsidRPr="007275DF">
              <w:rPr>
                <w:b/>
                <w:bCs/>
              </w:rPr>
              <w:t>dBm/BW</w:t>
            </w:r>
            <w:r w:rsidRPr="007275DF">
              <w:rPr>
                <w:b/>
                <w:bCs/>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541D16D4" w14:textId="77777777" w:rsidR="007D2333" w:rsidRPr="007275DF" w:rsidRDefault="007D2333" w:rsidP="007D2333">
            <w:pPr>
              <w:pStyle w:val="TAC"/>
              <w:rPr>
                <w:b/>
                <w:bCs/>
              </w:rPr>
            </w:pPr>
            <w:r w:rsidRPr="007275DF">
              <w:rPr>
                <w:b/>
                <w:bCs/>
              </w:rPr>
              <w:t>dBm/BW</w:t>
            </w:r>
            <w:r w:rsidRPr="007275DF">
              <w:rPr>
                <w:b/>
                <w:bCs/>
                <w:vertAlign w:val="subscript"/>
              </w:rPr>
              <w:t>Channel</w:t>
            </w:r>
          </w:p>
        </w:tc>
      </w:tr>
      <w:tr w:rsidR="007D2333" w:rsidRPr="007275DF" w14:paraId="6CD50D1B" w14:textId="77777777" w:rsidTr="007D2333">
        <w:trPr>
          <w:trHeight w:val="307"/>
          <w:jc w:val="center"/>
        </w:trPr>
        <w:tc>
          <w:tcPr>
            <w:tcW w:w="1035" w:type="dxa"/>
            <w:tcBorders>
              <w:left w:val="single" w:sz="4" w:space="0" w:color="auto"/>
              <w:bottom w:val="single" w:sz="6" w:space="0" w:color="auto"/>
              <w:right w:val="single" w:sz="6" w:space="0" w:color="auto"/>
            </w:tcBorders>
            <w:shd w:val="clear" w:color="auto" w:fill="auto"/>
          </w:tcPr>
          <w:p w14:paraId="0767152F" w14:textId="77777777" w:rsidR="007D2333" w:rsidRPr="007275DF" w:rsidRDefault="007D2333" w:rsidP="007D2333">
            <w:pPr>
              <w:pStyle w:val="TAC"/>
            </w:pPr>
          </w:p>
        </w:tc>
        <w:tc>
          <w:tcPr>
            <w:tcW w:w="1047" w:type="dxa"/>
            <w:tcBorders>
              <w:left w:val="single" w:sz="6" w:space="0" w:color="auto"/>
              <w:bottom w:val="single" w:sz="6" w:space="0" w:color="auto"/>
              <w:right w:val="single" w:sz="6" w:space="0" w:color="auto"/>
            </w:tcBorders>
            <w:shd w:val="clear" w:color="auto" w:fill="auto"/>
          </w:tcPr>
          <w:p w14:paraId="18A45CDB" w14:textId="77777777" w:rsidR="007D2333" w:rsidRPr="007275DF" w:rsidRDefault="007D2333" w:rsidP="007D2333">
            <w:pPr>
              <w:pStyle w:val="TAC"/>
            </w:pPr>
          </w:p>
        </w:tc>
        <w:tc>
          <w:tcPr>
            <w:tcW w:w="802" w:type="dxa"/>
            <w:tcBorders>
              <w:left w:val="single" w:sz="6" w:space="0" w:color="auto"/>
              <w:bottom w:val="single" w:sz="6" w:space="0" w:color="auto"/>
              <w:right w:val="single" w:sz="6" w:space="0" w:color="auto"/>
            </w:tcBorders>
            <w:shd w:val="clear" w:color="auto" w:fill="auto"/>
          </w:tcPr>
          <w:p w14:paraId="748AFA8C" w14:textId="77777777" w:rsidR="007D2333" w:rsidRPr="007275DF" w:rsidRDefault="007D2333" w:rsidP="007D2333">
            <w:pPr>
              <w:pStyle w:val="TAC"/>
            </w:pPr>
          </w:p>
        </w:tc>
        <w:tc>
          <w:tcPr>
            <w:tcW w:w="2298" w:type="dxa"/>
            <w:tcBorders>
              <w:left w:val="single" w:sz="6" w:space="0" w:color="auto"/>
              <w:bottom w:val="single" w:sz="6" w:space="0" w:color="auto"/>
              <w:right w:val="single" w:sz="4" w:space="0" w:color="auto"/>
            </w:tcBorders>
            <w:shd w:val="clear" w:color="auto" w:fill="auto"/>
          </w:tcPr>
          <w:p w14:paraId="12BAC785" w14:textId="77777777" w:rsidR="007D2333" w:rsidRPr="007275DF" w:rsidRDefault="007D2333" w:rsidP="007D2333">
            <w:pPr>
              <w:pStyle w:val="TAC"/>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284FA22" w14:textId="77777777" w:rsidR="007D2333" w:rsidRPr="007275DF" w:rsidRDefault="007D2333" w:rsidP="007D2333">
            <w:pPr>
              <w:pStyle w:val="TAC"/>
              <w:rPr>
                <w:rFonts w:cs="Arial"/>
                <w:b/>
                <w:bCs/>
              </w:rPr>
            </w:pPr>
            <w:r w:rsidRPr="007275DF">
              <w:rPr>
                <w:b/>
                <w:bCs/>
              </w:rPr>
              <w:t>SCS</w:t>
            </w:r>
            <w:r w:rsidRPr="007275DF">
              <w:rPr>
                <w:b/>
                <w:bCs/>
                <w:vertAlign w:val="subscript"/>
              </w:rPr>
              <w:t>SSB</w:t>
            </w:r>
            <w:r w:rsidRPr="007275DF">
              <w:rPr>
                <w:rFonts w:cs="Arial"/>
                <w:b/>
                <w:bCs/>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27CA265" w14:textId="77777777" w:rsidR="007D2333" w:rsidRPr="007275DF" w:rsidRDefault="007D2333" w:rsidP="007D2333">
            <w:pPr>
              <w:pStyle w:val="TAC"/>
              <w:rPr>
                <w:rFonts w:cs="Arial"/>
                <w:b/>
                <w:bCs/>
              </w:rPr>
            </w:pPr>
            <w:r w:rsidRPr="007275DF">
              <w:rPr>
                <w:b/>
                <w:bCs/>
              </w:rPr>
              <w:t>SCS</w:t>
            </w:r>
            <w:r w:rsidRPr="007275DF">
              <w:rPr>
                <w:b/>
                <w:bCs/>
                <w:vertAlign w:val="subscript"/>
              </w:rPr>
              <w:t>SSB</w:t>
            </w:r>
            <w:r w:rsidRPr="007275DF">
              <w:rPr>
                <w:rFonts w:cs="Arial"/>
                <w:b/>
                <w:bCs/>
              </w:rPr>
              <w:t xml:space="preserve"> = 30 kHz</w:t>
            </w:r>
          </w:p>
        </w:tc>
        <w:tc>
          <w:tcPr>
            <w:tcW w:w="1440" w:type="dxa"/>
            <w:tcBorders>
              <w:left w:val="single" w:sz="6" w:space="0" w:color="auto"/>
              <w:bottom w:val="single" w:sz="6" w:space="0" w:color="auto"/>
              <w:right w:val="single" w:sz="6" w:space="0" w:color="auto"/>
            </w:tcBorders>
            <w:shd w:val="clear" w:color="auto" w:fill="auto"/>
          </w:tcPr>
          <w:p w14:paraId="626EF7CC" w14:textId="77777777" w:rsidR="007D2333" w:rsidRPr="007275DF" w:rsidRDefault="007D2333" w:rsidP="007D2333">
            <w:pPr>
              <w:pStyle w:val="TAC"/>
              <w:rPr>
                <w:b/>
                <w:bCs/>
              </w:rPr>
            </w:pPr>
          </w:p>
        </w:tc>
        <w:tc>
          <w:tcPr>
            <w:tcW w:w="1440" w:type="dxa"/>
            <w:tcBorders>
              <w:left w:val="single" w:sz="6" w:space="0" w:color="auto"/>
              <w:bottom w:val="single" w:sz="6" w:space="0" w:color="auto"/>
              <w:right w:val="single" w:sz="4" w:space="0" w:color="auto"/>
            </w:tcBorders>
            <w:shd w:val="clear" w:color="auto" w:fill="auto"/>
          </w:tcPr>
          <w:p w14:paraId="562537A8" w14:textId="77777777" w:rsidR="007D2333" w:rsidRPr="007275DF" w:rsidRDefault="007D2333" w:rsidP="007D2333">
            <w:pPr>
              <w:pStyle w:val="TAC"/>
              <w:rPr>
                <w:b/>
                <w:bCs/>
              </w:rPr>
            </w:pPr>
          </w:p>
        </w:tc>
      </w:tr>
      <w:tr w:rsidR="007D2333" w:rsidRPr="007275DF" w14:paraId="70DB75DF" w14:textId="77777777" w:rsidTr="007D2333">
        <w:trPr>
          <w:jc w:val="center"/>
        </w:trPr>
        <w:tc>
          <w:tcPr>
            <w:tcW w:w="1035" w:type="dxa"/>
            <w:vMerge w:val="restart"/>
            <w:tcBorders>
              <w:top w:val="single" w:sz="6" w:space="0" w:color="auto"/>
              <w:left w:val="single" w:sz="4" w:space="0" w:color="auto"/>
              <w:right w:val="single" w:sz="6" w:space="0" w:color="auto"/>
            </w:tcBorders>
            <w:shd w:val="clear" w:color="auto" w:fill="auto"/>
          </w:tcPr>
          <w:p w14:paraId="4464C649" w14:textId="77777777" w:rsidR="007D2333" w:rsidRPr="00473F76" w:rsidRDefault="007D2333" w:rsidP="007D2333">
            <w:pPr>
              <w:pStyle w:val="TAC"/>
            </w:pPr>
            <w:r w:rsidRPr="007275DF">
              <w:sym w:font="Symbol" w:char="F0B1"/>
            </w:r>
            <w:r w:rsidRPr="007275DF">
              <w:t>3</w:t>
            </w:r>
          </w:p>
        </w:tc>
        <w:tc>
          <w:tcPr>
            <w:tcW w:w="1047" w:type="dxa"/>
            <w:vMerge w:val="restart"/>
            <w:tcBorders>
              <w:top w:val="single" w:sz="6" w:space="0" w:color="auto"/>
              <w:left w:val="single" w:sz="6" w:space="0" w:color="auto"/>
              <w:right w:val="single" w:sz="6" w:space="0" w:color="auto"/>
            </w:tcBorders>
            <w:shd w:val="clear" w:color="auto" w:fill="auto"/>
          </w:tcPr>
          <w:p w14:paraId="6917B390" w14:textId="77777777" w:rsidR="007D2333" w:rsidRPr="00473F76" w:rsidRDefault="007D2333" w:rsidP="007D2333">
            <w:pPr>
              <w:pStyle w:val="TAC"/>
            </w:pPr>
            <w:r w:rsidRPr="007275DF">
              <w:sym w:font="Symbol" w:char="F0B1"/>
            </w:r>
            <w:r w:rsidRPr="007275DF">
              <w:t>4</w:t>
            </w:r>
          </w:p>
        </w:tc>
        <w:tc>
          <w:tcPr>
            <w:tcW w:w="802" w:type="dxa"/>
            <w:vMerge w:val="restart"/>
            <w:tcBorders>
              <w:top w:val="single" w:sz="6" w:space="0" w:color="auto"/>
              <w:left w:val="single" w:sz="6" w:space="0" w:color="auto"/>
              <w:right w:val="single" w:sz="6" w:space="0" w:color="auto"/>
            </w:tcBorders>
            <w:shd w:val="clear" w:color="auto" w:fill="auto"/>
          </w:tcPr>
          <w:p w14:paraId="4D507B5F" w14:textId="77777777" w:rsidR="007D2333" w:rsidRPr="00473F76" w:rsidRDefault="007D2333" w:rsidP="007D2333">
            <w:pPr>
              <w:pStyle w:val="TAC"/>
            </w:pPr>
            <w:r w:rsidRPr="007275DF">
              <w:sym w:font="Symbol" w:char="F0B3"/>
            </w:r>
            <w:r w:rsidRPr="007275DF">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399C01C" w14:textId="77777777" w:rsidR="007D2333" w:rsidRPr="007275DF" w:rsidRDefault="007D2333" w:rsidP="007D2333">
            <w:pPr>
              <w:pStyle w:val="TAC"/>
              <w:rPr>
                <w:lang w:val="sv-SE"/>
              </w:rPr>
            </w:pPr>
            <w:r w:rsidRPr="007275DF">
              <w:rPr>
                <w:rFonts w:cs="Arial"/>
                <w:lang w:val="sv-SE"/>
              </w:rPr>
              <w:t>NR_CCA_FR1_I</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C6BA86B" w14:textId="77777777" w:rsidR="007D2333" w:rsidRPr="007275DF" w:rsidRDefault="007D2333" w:rsidP="007D2333">
            <w:pPr>
              <w:pStyle w:val="TAC"/>
            </w:pPr>
            <w:r w:rsidRPr="007275DF">
              <w:t>-117</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928FE31" w14:textId="77777777" w:rsidR="007D2333" w:rsidRPr="007275DF" w:rsidRDefault="007D2333" w:rsidP="007D2333">
            <w:pPr>
              <w:pStyle w:val="TAC"/>
              <w:rPr>
                <w:rFonts w:cs="Arial"/>
              </w:rPr>
            </w:pPr>
            <w:r w:rsidRPr="007275DF">
              <w:t>-114</w:t>
            </w:r>
          </w:p>
        </w:tc>
        <w:tc>
          <w:tcPr>
            <w:tcW w:w="1440" w:type="dxa"/>
            <w:vMerge w:val="restart"/>
            <w:tcBorders>
              <w:top w:val="single" w:sz="6" w:space="0" w:color="auto"/>
              <w:left w:val="single" w:sz="6" w:space="0" w:color="auto"/>
              <w:right w:val="single" w:sz="6" w:space="0" w:color="auto"/>
            </w:tcBorders>
            <w:shd w:val="clear" w:color="auto" w:fill="auto"/>
          </w:tcPr>
          <w:p w14:paraId="24AC782B"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tcPr>
          <w:p w14:paraId="078ABF59" w14:textId="77777777" w:rsidR="007D2333" w:rsidRPr="007275DF" w:rsidRDefault="007D2333" w:rsidP="007D2333">
            <w:pPr>
              <w:pStyle w:val="TAC"/>
            </w:pPr>
            <w:r w:rsidRPr="007275DF">
              <w:t>-50</w:t>
            </w:r>
          </w:p>
        </w:tc>
      </w:tr>
      <w:tr w:rsidR="007D2333" w:rsidRPr="007275DF" w14:paraId="2EF5B033" w14:textId="77777777" w:rsidTr="007D2333">
        <w:trPr>
          <w:jc w:val="center"/>
        </w:trPr>
        <w:tc>
          <w:tcPr>
            <w:tcW w:w="1035" w:type="dxa"/>
            <w:vMerge/>
            <w:tcBorders>
              <w:left w:val="single" w:sz="4" w:space="0" w:color="auto"/>
              <w:right w:val="single" w:sz="6" w:space="0" w:color="auto"/>
            </w:tcBorders>
            <w:shd w:val="clear" w:color="auto" w:fill="auto"/>
          </w:tcPr>
          <w:p w14:paraId="2E45E339" w14:textId="77777777" w:rsidR="007D2333" w:rsidRPr="007275DF" w:rsidRDefault="007D2333" w:rsidP="007D2333">
            <w:pPr>
              <w:pStyle w:val="TAC"/>
            </w:pPr>
          </w:p>
        </w:tc>
        <w:tc>
          <w:tcPr>
            <w:tcW w:w="1047" w:type="dxa"/>
            <w:vMerge/>
            <w:tcBorders>
              <w:left w:val="single" w:sz="6" w:space="0" w:color="auto"/>
              <w:right w:val="single" w:sz="6" w:space="0" w:color="auto"/>
            </w:tcBorders>
            <w:shd w:val="clear" w:color="auto" w:fill="auto"/>
          </w:tcPr>
          <w:p w14:paraId="4A2ADB3F" w14:textId="77777777" w:rsidR="007D2333" w:rsidRPr="007275DF" w:rsidRDefault="007D2333" w:rsidP="007D2333">
            <w:pPr>
              <w:pStyle w:val="TAC"/>
            </w:pPr>
          </w:p>
        </w:tc>
        <w:tc>
          <w:tcPr>
            <w:tcW w:w="802" w:type="dxa"/>
            <w:vMerge/>
            <w:tcBorders>
              <w:left w:val="single" w:sz="6" w:space="0" w:color="auto"/>
              <w:right w:val="single" w:sz="6" w:space="0" w:color="auto"/>
            </w:tcBorders>
            <w:shd w:val="clear" w:color="auto" w:fill="auto"/>
          </w:tcPr>
          <w:p w14:paraId="6929DC0C" w14:textId="77777777" w:rsidR="007D2333" w:rsidRPr="007275DF" w:rsidRDefault="007D2333" w:rsidP="007D2333">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5EBA23D" w14:textId="77777777" w:rsidR="007D2333" w:rsidRPr="007275DF" w:rsidRDefault="007D2333" w:rsidP="007D2333">
            <w:pPr>
              <w:pStyle w:val="TAC"/>
              <w:rPr>
                <w:rFonts w:cs="Arial"/>
                <w:lang w:val="sv-SE"/>
              </w:rPr>
            </w:pPr>
            <w:r w:rsidRPr="007275DF">
              <w:rPr>
                <w:rFonts w:cs="Arial"/>
                <w:lang w:val="sv-SE"/>
              </w:rPr>
              <w:t>NR_CCA_FR1_J</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BBBA486" w14:textId="77777777" w:rsidR="007D2333" w:rsidRPr="007275DF" w:rsidRDefault="007D2333" w:rsidP="007D2333">
            <w:pPr>
              <w:pStyle w:val="TAC"/>
              <w:rPr>
                <w:lang w:val="sv-SE"/>
              </w:rPr>
            </w:pPr>
            <w:r w:rsidRPr="007275DF">
              <w:rPr>
                <w:lang w:val="sv-SE"/>
              </w:rPr>
              <w:t>-116.5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8A38285" w14:textId="77777777" w:rsidR="007D2333" w:rsidRPr="007275DF" w:rsidRDefault="007D2333" w:rsidP="007D2333">
            <w:pPr>
              <w:pStyle w:val="TAC"/>
              <w:rPr>
                <w:lang w:val="sv-SE"/>
              </w:rPr>
            </w:pPr>
            <w:r w:rsidRPr="007275DF">
              <w:rPr>
                <w:lang w:val="sv-SE"/>
              </w:rPr>
              <w:t>-113.5</w:t>
            </w:r>
          </w:p>
        </w:tc>
        <w:tc>
          <w:tcPr>
            <w:tcW w:w="1440" w:type="dxa"/>
            <w:vMerge/>
            <w:tcBorders>
              <w:left w:val="single" w:sz="6" w:space="0" w:color="auto"/>
              <w:bottom w:val="single" w:sz="6" w:space="0" w:color="auto"/>
              <w:right w:val="single" w:sz="6" w:space="0" w:color="auto"/>
            </w:tcBorders>
            <w:shd w:val="clear" w:color="auto" w:fill="auto"/>
          </w:tcPr>
          <w:p w14:paraId="23D2F9FE" w14:textId="77777777" w:rsidR="007D2333" w:rsidRPr="007275DF" w:rsidRDefault="007D2333" w:rsidP="007D2333">
            <w:pPr>
              <w:pStyle w:val="TAC"/>
              <w:rPr>
                <w:lang w:val="sv-SE"/>
              </w:rPr>
            </w:pPr>
          </w:p>
        </w:tc>
        <w:tc>
          <w:tcPr>
            <w:tcW w:w="1440" w:type="dxa"/>
            <w:vMerge/>
            <w:tcBorders>
              <w:left w:val="single" w:sz="6" w:space="0" w:color="auto"/>
              <w:bottom w:val="single" w:sz="6" w:space="0" w:color="auto"/>
              <w:right w:val="single" w:sz="4" w:space="0" w:color="auto"/>
            </w:tcBorders>
            <w:shd w:val="clear" w:color="auto" w:fill="auto"/>
          </w:tcPr>
          <w:p w14:paraId="6FCD384C" w14:textId="77777777" w:rsidR="007D2333" w:rsidRPr="007275DF" w:rsidRDefault="007D2333" w:rsidP="007D2333">
            <w:pPr>
              <w:pStyle w:val="TAC"/>
              <w:rPr>
                <w:lang w:val="sv-SE"/>
              </w:rPr>
            </w:pPr>
          </w:p>
        </w:tc>
      </w:tr>
      <w:tr w:rsidR="007D2333" w:rsidRPr="007275DF" w14:paraId="68068F54" w14:textId="77777777" w:rsidTr="007D2333">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22756048" w14:textId="77777777" w:rsidR="007D2333" w:rsidRPr="00473F76" w:rsidRDefault="007D2333" w:rsidP="007D2333">
            <w:pPr>
              <w:pStyle w:val="TAC"/>
            </w:pPr>
            <w:r w:rsidRPr="007275DF">
              <w:sym w:font="Symbol" w:char="F0B1"/>
            </w:r>
            <w:r w:rsidRPr="007275DF">
              <w:t>4</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0BFB7623" w14:textId="77777777" w:rsidR="007D2333" w:rsidRPr="00473F76" w:rsidRDefault="007D2333" w:rsidP="007D2333">
            <w:pPr>
              <w:pStyle w:val="TAC"/>
            </w:pPr>
            <w:r w:rsidRPr="007275DF">
              <w:sym w:font="Symbol" w:char="F0B1"/>
            </w:r>
            <w:r w:rsidRPr="007275DF">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48EFD73C" w14:textId="77777777" w:rsidR="007D2333" w:rsidRPr="00473F76" w:rsidRDefault="007D2333" w:rsidP="007D2333">
            <w:pPr>
              <w:pStyle w:val="TAC"/>
            </w:pPr>
            <w:r w:rsidRPr="007275DF">
              <w:sym w:font="Symbol" w:char="F0B3"/>
            </w:r>
            <w:r w:rsidRPr="007275DF">
              <w:t>-</w:t>
            </w:r>
            <w:r w:rsidRPr="00473F76">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420ED51" w14:textId="77777777" w:rsidR="007D2333" w:rsidRPr="007275DF" w:rsidRDefault="007D2333" w:rsidP="007D2333">
            <w:pPr>
              <w:pStyle w:val="TAC"/>
            </w:pPr>
            <w:r w:rsidRPr="007275DF">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6E3D1211" w14:textId="77777777" w:rsidR="007D2333" w:rsidRPr="007275DF" w:rsidRDefault="007D2333" w:rsidP="007D2333">
            <w:pPr>
              <w:pStyle w:val="TAC"/>
            </w:pPr>
            <w:r w:rsidRPr="007275DF">
              <w:t>Note 3</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37EB079E" w14:textId="77777777" w:rsidR="007D2333" w:rsidRPr="007275DF" w:rsidRDefault="007D2333" w:rsidP="007D2333">
            <w:pPr>
              <w:pStyle w:val="TAC"/>
              <w:rPr>
                <w:lang w:eastAsia="zh-CN"/>
              </w:rPr>
            </w:pPr>
            <w:r w:rsidRPr="007275DF">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4E901289" w14:textId="77777777" w:rsidR="007D2333" w:rsidRPr="007275DF" w:rsidRDefault="007D2333" w:rsidP="007D2333">
            <w:pPr>
              <w:pStyle w:val="TAC"/>
            </w:pPr>
            <w:r w:rsidRPr="007275DF">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0823FF52" w14:textId="77777777" w:rsidR="007D2333" w:rsidRPr="007275DF" w:rsidRDefault="007D2333" w:rsidP="007D2333">
            <w:pPr>
              <w:pStyle w:val="TAC"/>
            </w:pPr>
            <w:r w:rsidRPr="007275DF">
              <w:t>Note 3</w:t>
            </w:r>
          </w:p>
        </w:tc>
      </w:tr>
      <w:tr w:rsidR="007D2333" w:rsidRPr="007275DF" w14:paraId="5126F2D8"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EB57F9A" w14:textId="77777777" w:rsidR="007D2333" w:rsidRPr="007275DF" w:rsidRDefault="007D2333" w:rsidP="007D2333">
            <w:pPr>
              <w:pStyle w:val="TAN"/>
            </w:pPr>
            <w:r w:rsidRPr="007275DF">
              <w:t>N</w:t>
            </w:r>
            <w:r w:rsidRPr="007275DF">
              <w:rPr>
                <w:lang w:eastAsia="zh-CN"/>
              </w:rPr>
              <w:t>OTE</w:t>
            </w:r>
            <w:r w:rsidRPr="007275DF">
              <w:t xml:space="preserve"> 1:</w:t>
            </w:r>
            <w:r w:rsidRPr="007275DF">
              <w:tab/>
              <w:t>Io is assumed to have constant EPRE across the bandwidth.</w:t>
            </w:r>
          </w:p>
          <w:p w14:paraId="73ED1AF9" w14:textId="77777777" w:rsidR="007D2333" w:rsidRPr="007275DF" w:rsidRDefault="007D2333" w:rsidP="007D2333">
            <w:pPr>
              <w:pStyle w:val="TAN"/>
            </w:pPr>
            <w:r w:rsidRPr="007275DF">
              <w:t>N</w:t>
            </w:r>
            <w:r w:rsidRPr="007275DF">
              <w:rPr>
                <w:lang w:eastAsia="zh-CN"/>
              </w:rPr>
              <w:t>OTE</w:t>
            </w:r>
            <w:r w:rsidRPr="007275DF">
              <w:t xml:space="preserve"> 2:</w:t>
            </w:r>
            <w:r w:rsidRPr="007275DF">
              <w:tab/>
            </w:r>
            <w:r w:rsidRPr="007275DF">
              <w:rPr>
                <w:lang w:eastAsia="zh-CN"/>
              </w:rPr>
              <w:t xml:space="preserve">The parameter SSB </w:t>
            </w:r>
            <w:r w:rsidRPr="007275DF">
              <w:t>Ês/Iot</w:t>
            </w:r>
            <w:r w:rsidRPr="007275DF">
              <w:rPr>
                <w:lang w:eastAsia="zh-CN"/>
              </w:rPr>
              <w:t xml:space="preserve"> is the minimum SSB </w:t>
            </w:r>
            <w:r w:rsidRPr="007275DF">
              <w:t>Ês/Iot</w:t>
            </w:r>
            <w:r w:rsidRPr="007275DF">
              <w:rPr>
                <w:lang w:eastAsia="zh-CN"/>
              </w:rPr>
              <w:t xml:space="preserve"> of the pair of cells to which the requirement applies.</w:t>
            </w:r>
          </w:p>
          <w:p w14:paraId="6A30AF1A" w14:textId="77777777" w:rsidR="007D2333" w:rsidRPr="007275DF" w:rsidRDefault="007D2333" w:rsidP="007D2333">
            <w:pPr>
              <w:pStyle w:val="TAN"/>
              <w:rPr>
                <w:rFonts w:cs="Arial"/>
              </w:rPr>
            </w:pPr>
            <w:r w:rsidRPr="007275DF">
              <w:t>N</w:t>
            </w:r>
            <w:r w:rsidRPr="007275DF">
              <w:rPr>
                <w:lang w:eastAsia="zh-CN"/>
              </w:rPr>
              <w:t>OTE</w:t>
            </w:r>
            <w:r w:rsidRPr="007275DF">
              <w:t xml:space="preserve"> 3:</w:t>
            </w:r>
            <w:r w:rsidRPr="007275DF">
              <w:tab/>
            </w:r>
            <w:r w:rsidRPr="007275DF">
              <w:rPr>
                <w:rFonts w:cs="Arial"/>
              </w:rPr>
              <w:t>The same bands and the same Io conditions for each band apply for this requirement as for the corresponding highest accuracy requirement.</w:t>
            </w:r>
          </w:p>
          <w:p w14:paraId="68BA60F8" w14:textId="77777777" w:rsidR="007D2333" w:rsidRPr="007275DF" w:rsidRDefault="007D2333" w:rsidP="007D2333">
            <w:pPr>
              <w:pStyle w:val="TAN"/>
            </w:pPr>
            <w:r w:rsidRPr="007275DF">
              <w:t>NOTE 4:</w:t>
            </w:r>
            <w:r w:rsidRPr="007275DF">
              <w:tab/>
              <w:t>NR operating band groups are as defined in clause 3.5.2.</w:t>
            </w:r>
          </w:p>
        </w:tc>
      </w:tr>
    </w:tbl>
    <w:p w14:paraId="5E3F1FC2" w14:textId="77777777" w:rsidR="007D2333" w:rsidRPr="007275DF" w:rsidRDefault="007D2333" w:rsidP="007D2333">
      <w:pPr>
        <w:rPr>
          <w:lang w:eastAsia="ko-KR"/>
        </w:rPr>
      </w:pPr>
    </w:p>
    <w:p w14:paraId="36B246C5" w14:textId="77777777" w:rsidR="007D2333" w:rsidRPr="007275DF" w:rsidRDefault="007D2333" w:rsidP="007D2333">
      <w:pPr>
        <w:pStyle w:val="Heading3"/>
        <w:rPr>
          <w:lang w:val="en-US" w:eastAsia="ko-KR"/>
        </w:rPr>
      </w:pPr>
      <w:r w:rsidRPr="007275DF">
        <w:rPr>
          <w:lang w:val="en-US" w:eastAsia="ko-KR"/>
        </w:rPr>
        <w:t>10.1.31</w:t>
      </w:r>
      <w:r w:rsidRPr="007275DF">
        <w:rPr>
          <w:lang w:val="en-US" w:eastAsia="ko-KR"/>
        </w:rPr>
        <w:tab/>
        <w:t xml:space="preserve">Intra-frequency SINR accuracy requirements </w:t>
      </w:r>
      <w:r w:rsidRPr="007275DF">
        <w:rPr>
          <w:lang w:val="en-US" w:eastAsia="zh-CN"/>
        </w:rPr>
        <w:t>under CCA</w:t>
      </w:r>
    </w:p>
    <w:p w14:paraId="7051BF9E" w14:textId="77777777" w:rsidR="007D2333" w:rsidRPr="007275DF" w:rsidRDefault="007D2333" w:rsidP="00F37389">
      <w:pPr>
        <w:pStyle w:val="Heading4"/>
        <w:rPr>
          <w:lang w:val="en-US" w:eastAsia="zh-CN"/>
        </w:rPr>
      </w:pPr>
      <w:r w:rsidRPr="007275DF">
        <w:rPr>
          <w:lang w:val="en-US" w:eastAsia="zh-CN"/>
        </w:rPr>
        <w:t>10.1.31.1</w:t>
      </w:r>
      <w:r w:rsidRPr="007275DF">
        <w:rPr>
          <w:lang w:val="en-US" w:eastAsia="zh-CN"/>
        </w:rPr>
        <w:tab/>
      </w:r>
      <w:r w:rsidRPr="007275DF">
        <w:rPr>
          <w:lang w:val="en-US" w:eastAsia="ko-KR"/>
        </w:rPr>
        <w:t>Intra-frequency SS-SINR accuracy requirements in FR1</w:t>
      </w:r>
    </w:p>
    <w:p w14:paraId="0B30F841" w14:textId="77777777" w:rsidR="007D2333" w:rsidRPr="007275DF" w:rsidRDefault="007D2333" w:rsidP="00F37389">
      <w:pPr>
        <w:pStyle w:val="Heading5"/>
      </w:pPr>
      <w:r w:rsidRPr="007275DF">
        <w:rPr>
          <w:lang w:eastAsia="zh-CN"/>
        </w:rPr>
        <w:t>10.1.31</w:t>
      </w:r>
      <w:r w:rsidRPr="007275DF">
        <w:t>.1</w:t>
      </w:r>
      <w:r w:rsidRPr="007275DF">
        <w:rPr>
          <w:lang w:eastAsia="zh-CN"/>
        </w:rPr>
        <w:t>.1</w:t>
      </w:r>
      <w:r w:rsidRPr="007275DF">
        <w:tab/>
        <w:t xml:space="preserve">Absolute </w:t>
      </w:r>
      <w:r w:rsidRPr="007275DF">
        <w:rPr>
          <w:lang w:val="en-US" w:eastAsia="ko-KR"/>
        </w:rPr>
        <w:t xml:space="preserve">SS-SINR </w:t>
      </w:r>
      <w:r w:rsidRPr="007275DF">
        <w:t>Accuracy</w:t>
      </w:r>
    </w:p>
    <w:p w14:paraId="70B07FCC" w14:textId="77777777" w:rsidR="007D2333" w:rsidRPr="007275DF" w:rsidRDefault="007D2333" w:rsidP="007D2333">
      <w:pPr>
        <w:rPr>
          <w:rFonts w:cs="v4.2.0"/>
          <w:i/>
        </w:rPr>
      </w:pPr>
      <w:r w:rsidRPr="007275DF">
        <w:rPr>
          <w:rFonts w:cs="v4.2.0"/>
        </w:rPr>
        <w:t xml:space="preserve">Unless otherwise specified, the requirements for absolute accuracy of </w:t>
      </w:r>
      <w:r w:rsidRPr="007275DF">
        <w:rPr>
          <w:rFonts w:cs="v4.2.0"/>
          <w:lang w:eastAsia="zh-CN"/>
        </w:rPr>
        <w:t>SS-SINR</w:t>
      </w:r>
      <w:r w:rsidRPr="007275DF">
        <w:rPr>
          <w:rFonts w:cs="v4.2.0"/>
        </w:rPr>
        <w:t xml:space="preserve"> in this clause apply to a cell on the same frequency as that of the serving cell under CCA.</w:t>
      </w:r>
    </w:p>
    <w:p w14:paraId="3E239910"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10.1.31.1.1</w:t>
      </w:r>
      <w:r w:rsidRPr="007275DF">
        <w:rPr>
          <w:rFonts w:cs="v4.2.0"/>
        </w:rPr>
        <w:t>-1 are valid under the following conditions:</w:t>
      </w:r>
    </w:p>
    <w:p w14:paraId="76B3E0A3" w14:textId="1773112C" w:rsidR="007D2333" w:rsidRPr="007275DF" w:rsidRDefault="005E4E7D" w:rsidP="004A1BD3">
      <w:pPr>
        <w:pStyle w:val="B10"/>
        <w:rPr>
          <w:rFonts w:cs="v4.2.0"/>
        </w:rPr>
      </w:pPr>
      <w:r w:rsidRPr="007275DF">
        <w:t>-</w:t>
      </w:r>
      <w:r w:rsidRPr="007275DF">
        <w:tab/>
      </w:r>
      <w:r w:rsidR="007D2333" w:rsidRPr="007275DF">
        <w:t>Conditions defined in clause 7.3F of TS 38.101-1 [18] for reference sensitivity are fulfilled.</w:t>
      </w:r>
    </w:p>
    <w:p w14:paraId="6DBDC7A5" w14:textId="2E53FF05" w:rsidR="007D2333" w:rsidRPr="007275DF" w:rsidRDefault="005E4E7D" w:rsidP="004A1BD3">
      <w:pPr>
        <w:pStyle w:val="B10"/>
      </w:pPr>
      <w:r w:rsidRPr="007275DF">
        <w:t>-</w:t>
      </w:r>
      <w:r w:rsidRPr="007275DF">
        <w:tab/>
      </w:r>
      <w:r w:rsidR="007D2333" w:rsidRPr="007275DF">
        <w:t>Conditions for intra-frequency measurements are fulfilled according to Annex B.2.8 for a corresponding Band.</w:t>
      </w:r>
    </w:p>
    <w:p w14:paraId="24A0FDA7" w14:textId="77777777" w:rsidR="007D2333" w:rsidRPr="007275DF" w:rsidRDefault="007D2333" w:rsidP="007D2333">
      <w:pPr>
        <w:pStyle w:val="TH"/>
        <w:rPr>
          <w:lang w:eastAsia="zh-CN"/>
        </w:rPr>
      </w:pPr>
      <w:r w:rsidRPr="007275DF">
        <w:t xml:space="preserve">Table </w:t>
      </w:r>
      <w:r w:rsidRPr="007275DF">
        <w:rPr>
          <w:lang w:eastAsia="zh-CN"/>
        </w:rPr>
        <w:t>10.1.31.1.1-1</w:t>
      </w:r>
      <w:r w:rsidRPr="007275DF">
        <w:t xml:space="preserve">: </w:t>
      </w:r>
      <w:r w:rsidRPr="007275DF">
        <w:rPr>
          <w:lang w:eastAsia="zh-CN"/>
        </w:rPr>
        <w:t>SS-SINR</w:t>
      </w:r>
      <w:r w:rsidRPr="007275DF">
        <w:t xml:space="preserve"> intra-frequency absolute accuracy</w:t>
      </w:r>
      <w:r w:rsidRPr="007275DF">
        <w:rPr>
          <w:lang w:eastAsia="zh-CN"/>
        </w:rPr>
        <w:t xml:space="preserve"> under CCA</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7D2333" w:rsidRPr="007275DF" w14:paraId="774D52EF" w14:textId="77777777" w:rsidTr="007D2333">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4F2FBB1F" w14:textId="77777777" w:rsidR="007D2333" w:rsidRPr="007275DF" w:rsidRDefault="007D2333" w:rsidP="007D2333">
            <w:pPr>
              <w:pStyle w:val="TAH"/>
            </w:pPr>
            <w:r w:rsidRPr="007275DF">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752A6ABA" w14:textId="77777777" w:rsidR="007D2333" w:rsidRPr="007275DF" w:rsidRDefault="007D2333" w:rsidP="007D2333">
            <w:pPr>
              <w:pStyle w:val="TAH"/>
            </w:pPr>
            <w:r w:rsidRPr="007275DF">
              <w:t>Conditions</w:t>
            </w:r>
          </w:p>
        </w:tc>
      </w:tr>
      <w:tr w:rsidR="007D2333" w:rsidRPr="007275DF" w14:paraId="577CB34C" w14:textId="77777777" w:rsidTr="007D2333">
        <w:trPr>
          <w:jc w:val="center"/>
        </w:trPr>
        <w:tc>
          <w:tcPr>
            <w:tcW w:w="1035" w:type="dxa"/>
            <w:tcBorders>
              <w:top w:val="single" w:sz="4" w:space="0" w:color="auto"/>
              <w:left w:val="single" w:sz="4" w:space="0" w:color="auto"/>
              <w:right w:val="single" w:sz="4" w:space="0" w:color="auto"/>
            </w:tcBorders>
            <w:shd w:val="clear" w:color="auto" w:fill="auto"/>
            <w:vAlign w:val="center"/>
          </w:tcPr>
          <w:p w14:paraId="6C739448" w14:textId="77777777" w:rsidR="007D2333" w:rsidRPr="007275DF" w:rsidRDefault="007D2333" w:rsidP="007D2333">
            <w:pPr>
              <w:pStyle w:val="TAH"/>
            </w:pPr>
            <w:r w:rsidRPr="007275DF">
              <w:t>Normal condition</w:t>
            </w:r>
          </w:p>
        </w:tc>
        <w:tc>
          <w:tcPr>
            <w:tcW w:w="1047" w:type="dxa"/>
            <w:tcBorders>
              <w:top w:val="single" w:sz="4" w:space="0" w:color="auto"/>
              <w:left w:val="single" w:sz="4" w:space="0" w:color="auto"/>
              <w:right w:val="single" w:sz="4" w:space="0" w:color="auto"/>
            </w:tcBorders>
            <w:shd w:val="clear" w:color="auto" w:fill="auto"/>
            <w:vAlign w:val="center"/>
          </w:tcPr>
          <w:p w14:paraId="290C78EE" w14:textId="77777777" w:rsidR="007D2333" w:rsidRPr="007275DF" w:rsidRDefault="007D2333" w:rsidP="007D2333">
            <w:pPr>
              <w:pStyle w:val="TAH"/>
            </w:pPr>
            <w:r w:rsidRPr="007275DF">
              <w:t>Extreme condition</w:t>
            </w:r>
          </w:p>
        </w:tc>
        <w:tc>
          <w:tcPr>
            <w:tcW w:w="802" w:type="dxa"/>
            <w:tcBorders>
              <w:top w:val="single" w:sz="4" w:space="0" w:color="auto"/>
              <w:left w:val="single" w:sz="4" w:space="0" w:color="auto"/>
              <w:right w:val="single" w:sz="4" w:space="0" w:color="auto"/>
            </w:tcBorders>
            <w:shd w:val="clear" w:color="auto" w:fill="auto"/>
            <w:vAlign w:val="center"/>
          </w:tcPr>
          <w:p w14:paraId="5E881628" w14:textId="77777777" w:rsidR="007D2333" w:rsidRPr="007275DF" w:rsidRDefault="007D2333" w:rsidP="007D2333">
            <w:pPr>
              <w:pStyle w:val="TAH"/>
            </w:pPr>
            <w:r w:rsidRPr="007275DF">
              <w:t>SSB Ês/Iot</w:t>
            </w:r>
            <w:r w:rsidRPr="007275DF">
              <w:rPr>
                <w:vertAlign w:val="superscript"/>
                <w:lang w:eastAsia="zh-CN"/>
              </w:rPr>
              <w:t xml:space="preserve"> </w:t>
            </w:r>
          </w:p>
        </w:tc>
        <w:tc>
          <w:tcPr>
            <w:tcW w:w="7288"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25C6D240" w14:textId="77777777" w:rsidR="007D2333" w:rsidRPr="007275DF" w:rsidRDefault="007D2333" w:rsidP="007D2333">
            <w:pPr>
              <w:pStyle w:val="TAH"/>
            </w:pPr>
            <w:r w:rsidRPr="007275DF">
              <w:t>Io</w:t>
            </w:r>
            <w:r w:rsidRPr="007275DF">
              <w:rPr>
                <w:vertAlign w:val="superscript"/>
                <w:lang w:eastAsia="zh-CN"/>
              </w:rPr>
              <w:t xml:space="preserve"> Note 1</w:t>
            </w:r>
            <w:r w:rsidRPr="007275DF">
              <w:t xml:space="preserve"> range</w:t>
            </w:r>
          </w:p>
        </w:tc>
      </w:tr>
      <w:tr w:rsidR="007D2333" w:rsidRPr="007275DF" w14:paraId="2F4FC92F" w14:textId="77777777" w:rsidTr="007D2333">
        <w:trPr>
          <w:jc w:val="center"/>
        </w:trPr>
        <w:tc>
          <w:tcPr>
            <w:tcW w:w="1035" w:type="dxa"/>
            <w:tcBorders>
              <w:left w:val="single" w:sz="4" w:space="0" w:color="auto"/>
              <w:bottom w:val="single" w:sz="4" w:space="0" w:color="auto"/>
              <w:right w:val="single" w:sz="4" w:space="0" w:color="auto"/>
            </w:tcBorders>
            <w:shd w:val="clear" w:color="auto" w:fill="auto"/>
          </w:tcPr>
          <w:p w14:paraId="65F7407A" w14:textId="77777777" w:rsidR="007D2333" w:rsidRPr="007275DF" w:rsidRDefault="007D2333" w:rsidP="007D2333">
            <w:pPr>
              <w:pStyle w:val="TAH"/>
            </w:pPr>
          </w:p>
        </w:tc>
        <w:tc>
          <w:tcPr>
            <w:tcW w:w="1047" w:type="dxa"/>
            <w:tcBorders>
              <w:left w:val="single" w:sz="4" w:space="0" w:color="auto"/>
              <w:bottom w:val="single" w:sz="4" w:space="0" w:color="auto"/>
              <w:right w:val="single" w:sz="4" w:space="0" w:color="auto"/>
            </w:tcBorders>
            <w:shd w:val="clear" w:color="auto" w:fill="auto"/>
          </w:tcPr>
          <w:p w14:paraId="5971684D" w14:textId="77777777" w:rsidR="007D2333" w:rsidRPr="007275DF" w:rsidRDefault="007D2333" w:rsidP="007D2333">
            <w:pPr>
              <w:pStyle w:val="TAH"/>
            </w:pPr>
          </w:p>
        </w:tc>
        <w:tc>
          <w:tcPr>
            <w:tcW w:w="802" w:type="dxa"/>
            <w:tcBorders>
              <w:left w:val="single" w:sz="4" w:space="0" w:color="auto"/>
              <w:bottom w:val="single" w:sz="4" w:space="0" w:color="auto"/>
              <w:right w:val="single" w:sz="4" w:space="0" w:color="auto"/>
            </w:tcBorders>
            <w:shd w:val="clear" w:color="auto" w:fill="auto"/>
          </w:tcPr>
          <w:p w14:paraId="6EBB45F6" w14:textId="77777777" w:rsidR="007D2333" w:rsidRPr="007275DF" w:rsidRDefault="007D2333" w:rsidP="007D2333">
            <w:pPr>
              <w:pStyle w:val="TAH"/>
            </w:pPr>
            <w:r w:rsidRPr="007275DF">
              <w:rPr>
                <w:vertAlign w:val="superscript"/>
                <w:lang w:eastAsia="zh-CN"/>
              </w:rPr>
              <w:t>Note 3</w:t>
            </w:r>
          </w:p>
        </w:tc>
        <w:tc>
          <w:tcPr>
            <w:tcW w:w="2298" w:type="dxa"/>
            <w:tcBorders>
              <w:top w:val="single" w:sz="6" w:space="0" w:color="auto"/>
              <w:left w:val="single" w:sz="4" w:space="0" w:color="auto"/>
              <w:bottom w:val="single" w:sz="6" w:space="0" w:color="auto"/>
              <w:right w:val="single" w:sz="4" w:space="0" w:color="auto"/>
            </w:tcBorders>
            <w:shd w:val="clear" w:color="auto" w:fill="auto"/>
            <w:vAlign w:val="center"/>
          </w:tcPr>
          <w:p w14:paraId="2177CF1A" w14:textId="77777777" w:rsidR="007D2333" w:rsidRPr="007275DF" w:rsidRDefault="007D2333" w:rsidP="007D2333">
            <w:pPr>
              <w:pStyle w:val="TAH"/>
            </w:pPr>
            <w:r w:rsidRPr="007275DF">
              <w:t>NR operating band groups</w:t>
            </w:r>
            <w:r w:rsidRPr="007275DF">
              <w:rPr>
                <w:vertAlign w:val="superscript"/>
              </w:rPr>
              <w:t xml:space="preserve"> </w:t>
            </w:r>
            <w:r w:rsidRPr="007275DF">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0C50DF1B"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158BCD4D" w14:textId="77777777" w:rsidR="007D2333" w:rsidRPr="007275DF" w:rsidRDefault="007D2333" w:rsidP="007D2333">
            <w:pPr>
              <w:pStyle w:val="TAH"/>
            </w:pPr>
            <w:r w:rsidRPr="007275DF">
              <w:t>Maximum Io</w:t>
            </w:r>
          </w:p>
        </w:tc>
      </w:tr>
      <w:tr w:rsidR="007D2333" w:rsidRPr="007275DF" w14:paraId="16D0F435" w14:textId="77777777" w:rsidTr="007D2333">
        <w:trPr>
          <w:trHeight w:val="308"/>
          <w:jc w:val="center"/>
        </w:trPr>
        <w:tc>
          <w:tcPr>
            <w:tcW w:w="1035" w:type="dxa"/>
            <w:tcBorders>
              <w:top w:val="single" w:sz="4" w:space="0" w:color="auto"/>
              <w:left w:val="single" w:sz="4" w:space="0" w:color="auto"/>
              <w:right w:val="single" w:sz="6" w:space="0" w:color="auto"/>
            </w:tcBorders>
            <w:shd w:val="clear" w:color="auto" w:fill="auto"/>
          </w:tcPr>
          <w:p w14:paraId="22E5CB1F" w14:textId="77777777" w:rsidR="007D2333" w:rsidRPr="007275DF" w:rsidRDefault="007D2333" w:rsidP="007D2333">
            <w:pPr>
              <w:pStyle w:val="TAH"/>
            </w:pPr>
            <w:r w:rsidRPr="007275DF">
              <w:t>dB</w:t>
            </w:r>
          </w:p>
        </w:tc>
        <w:tc>
          <w:tcPr>
            <w:tcW w:w="1047" w:type="dxa"/>
            <w:tcBorders>
              <w:top w:val="single" w:sz="4" w:space="0" w:color="auto"/>
              <w:left w:val="single" w:sz="6" w:space="0" w:color="auto"/>
              <w:right w:val="single" w:sz="6" w:space="0" w:color="auto"/>
            </w:tcBorders>
            <w:shd w:val="clear" w:color="auto" w:fill="auto"/>
          </w:tcPr>
          <w:p w14:paraId="64AE1CD5" w14:textId="77777777" w:rsidR="007D2333" w:rsidRPr="007275DF" w:rsidRDefault="007D2333" w:rsidP="007D2333">
            <w:pPr>
              <w:pStyle w:val="TAH"/>
            </w:pPr>
            <w:r w:rsidRPr="007275DF">
              <w:t>dB</w:t>
            </w:r>
          </w:p>
        </w:tc>
        <w:tc>
          <w:tcPr>
            <w:tcW w:w="802" w:type="dxa"/>
            <w:tcBorders>
              <w:top w:val="single" w:sz="4" w:space="0" w:color="auto"/>
              <w:left w:val="single" w:sz="6" w:space="0" w:color="auto"/>
              <w:right w:val="single" w:sz="6" w:space="0" w:color="auto"/>
            </w:tcBorders>
            <w:shd w:val="clear" w:color="auto" w:fill="auto"/>
          </w:tcPr>
          <w:p w14:paraId="0694F68B" w14:textId="77777777" w:rsidR="007D2333" w:rsidRPr="007275DF" w:rsidRDefault="007D2333" w:rsidP="007D2333">
            <w:pPr>
              <w:pStyle w:val="TAH"/>
            </w:pPr>
            <w:r w:rsidRPr="007275DF">
              <w:t>dB</w:t>
            </w:r>
          </w:p>
        </w:tc>
        <w:tc>
          <w:tcPr>
            <w:tcW w:w="2298" w:type="dxa"/>
            <w:tcBorders>
              <w:top w:val="single" w:sz="6" w:space="0" w:color="auto"/>
              <w:left w:val="single" w:sz="6" w:space="0" w:color="auto"/>
              <w:right w:val="single" w:sz="4" w:space="0" w:color="auto"/>
            </w:tcBorders>
            <w:shd w:val="clear" w:color="auto" w:fill="auto"/>
          </w:tcPr>
          <w:p w14:paraId="1BC2D9D6" w14:textId="77777777" w:rsidR="007D2333" w:rsidRPr="007275DF" w:rsidRDefault="007D2333" w:rsidP="007D2333">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1D2BA815"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2EDBF017"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4696809D" w14:textId="77777777" w:rsidR="007D2333" w:rsidRPr="007275DF" w:rsidRDefault="007D2333" w:rsidP="007D2333">
            <w:pPr>
              <w:pStyle w:val="TAH"/>
            </w:pPr>
            <w:r w:rsidRPr="007275DF">
              <w:t>dBm/BW</w:t>
            </w:r>
            <w:r w:rsidRPr="007275DF">
              <w:rPr>
                <w:vertAlign w:val="subscript"/>
              </w:rPr>
              <w:t>Channel</w:t>
            </w:r>
          </w:p>
        </w:tc>
      </w:tr>
      <w:tr w:rsidR="007D2333" w:rsidRPr="007275DF" w14:paraId="2CCAF473" w14:textId="77777777" w:rsidTr="007D2333">
        <w:trPr>
          <w:trHeight w:val="307"/>
          <w:jc w:val="center"/>
        </w:trPr>
        <w:tc>
          <w:tcPr>
            <w:tcW w:w="1035" w:type="dxa"/>
            <w:tcBorders>
              <w:left w:val="single" w:sz="4" w:space="0" w:color="auto"/>
              <w:bottom w:val="single" w:sz="6" w:space="0" w:color="auto"/>
              <w:right w:val="single" w:sz="6" w:space="0" w:color="auto"/>
            </w:tcBorders>
            <w:shd w:val="clear" w:color="auto" w:fill="auto"/>
          </w:tcPr>
          <w:p w14:paraId="693561AE" w14:textId="77777777" w:rsidR="007D2333" w:rsidRPr="007275DF" w:rsidRDefault="007D2333" w:rsidP="007D2333">
            <w:pPr>
              <w:pStyle w:val="TAH"/>
            </w:pPr>
          </w:p>
        </w:tc>
        <w:tc>
          <w:tcPr>
            <w:tcW w:w="1047" w:type="dxa"/>
            <w:tcBorders>
              <w:left w:val="single" w:sz="6" w:space="0" w:color="auto"/>
              <w:bottom w:val="single" w:sz="6" w:space="0" w:color="auto"/>
              <w:right w:val="single" w:sz="6" w:space="0" w:color="auto"/>
            </w:tcBorders>
            <w:shd w:val="clear" w:color="auto" w:fill="auto"/>
          </w:tcPr>
          <w:p w14:paraId="3FF1348A" w14:textId="77777777" w:rsidR="007D2333" w:rsidRPr="007275DF" w:rsidRDefault="007D2333" w:rsidP="007D2333">
            <w:pPr>
              <w:pStyle w:val="TAH"/>
            </w:pPr>
          </w:p>
        </w:tc>
        <w:tc>
          <w:tcPr>
            <w:tcW w:w="802" w:type="dxa"/>
            <w:tcBorders>
              <w:left w:val="single" w:sz="6" w:space="0" w:color="auto"/>
              <w:bottom w:val="single" w:sz="6" w:space="0" w:color="auto"/>
              <w:right w:val="single" w:sz="6" w:space="0" w:color="auto"/>
            </w:tcBorders>
            <w:shd w:val="clear" w:color="auto" w:fill="auto"/>
          </w:tcPr>
          <w:p w14:paraId="2379744A" w14:textId="77777777" w:rsidR="007D2333" w:rsidRPr="007275DF" w:rsidRDefault="007D2333" w:rsidP="007D2333">
            <w:pPr>
              <w:pStyle w:val="TAH"/>
            </w:pPr>
          </w:p>
        </w:tc>
        <w:tc>
          <w:tcPr>
            <w:tcW w:w="2298" w:type="dxa"/>
            <w:tcBorders>
              <w:left w:val="single" w:sz="6" w:space="0" w:color="auto"/>
              <w:bottom w:val="single" w:sz="6" w:space="0" w:color="auto"/>
              <w:right w:val="single" w:sz="4" w:space="0" w:color="auto"/>
            </w:tcBorders>
            <w:shd w:val="clear" w:color="auto" w:fill="auto"/>
          </w:tcPr>
          <w:p w14:paraId="056F12C7" w14:textId="77777777" w:rsidR="007D2333" w:rsidRPr="007275DF" w:rsidRDefault="007D2333" w:rsidP="007D2333">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130123F"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C38A5F8"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244405F2"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tcPr>
          <w:p w14:paraId="60A4C94A" w14:textId="77777777" w:rsidR="007D2333" w:rsidRPr="007275DF" w:rsidRDefault="007D2333" w:rsidP="007D2333">
            <w:pPr>
              <w:pStyle w:val="TAH"/>
            </w:pPr>
          </w:p>
        </w:tc>
      </w:tr>
      <w:tr w:rsidR="007D2333" w:rsidRPr="007275DF" w14:paraId="0E23166D" w14:textId="77777777" w:rsidTr="007D2333">
        <w:trPr>
          <w:jc w:val="center"/>
        </w:trPr>
        <w:tc>
          <w:tcPr>
            <w:tcW w:w="1035" w:type="dxa"/>
            <w:vMerge w:val="restart"/>
            <w:tcBorders>
              <w:top w:val="single" w:sz="6" w:space="0" w:color="auto"/>
              <w:left w:val="single" w:sz="4" w:space="0" w:color="auto"/>
              <w:right w:val="single" w:sz="6" w:space="0" w:color="auto"/>
            </w:tcBorders>
            <w:shd w:val="clear" w:color="auto" w:fill="auto"/>
          </w:tcPr>
          <w:p w14:paraId="0110AE15" w14:textId="77777777" w:rsidR="007D2333" w:rsidRPr="00473F76" w:rsidRDefault="007D2333" w:rsidP="007D2333">
            <w:pPr>
              <w:pStyle w:val="TAC"/>
            </w:pPr>
            <w:r w:rsidRPr="007275DF">
              <w:sym w:font="Symbol" w:char="F0B1"/>
            </w:r>
            <w:r w:rsidRPr="007275DF">
              <w:t>3.0</w:t>
            </w:r>
          </w:p>
        </w:tc>
        <w:tc>
          <w:tcPr>
            <w:tcW w:w="1047" w:type="dxa"/>
            <w:vMerge w:val="restart"/>
            <w:tcBorders>
              <w:top w:val="single" w:sz="6" w:space="0" w:color="auto"/>
              <w:left w:val="single" w:sz="6" w:space="0" w:color="auto"/>
              <w:right w:val="single" w:sz="6" w:space="0" w:color="auto"/>
            </w:tcBorders>
            <w:shd w:val="clear" w:color="auto" w:fill="auto"/>
          </w:tcPr>
          <w:p w14:paraId="77F307FC" w14:textId="77777777" w:rsidR="007D2333" w:rsidRPr="00473F76" w:rsidRDefault="007D2333" w:rsidP="007D2333">
            <w:pPr>
              <w:pStyle w:val="TAC"/>
            </w:pPr>
            <w:r w:rsidRPr="007275DF">
              <w:sym w:font="Symbol" w:char="F0B1"/>
            </w:r>
            <w:r w:rsidRPr="007275DF">
              <w:t>4</w:t>
            </w:r>
          </w:p>
        </w:tc>
        <w:tc>
          <w:tcPr>
            <w:tcW w:w="802" w:type="dxa"/>
            <w:vMerge w:val="restart"/>
            <w:tcBorders>
              <w:top w:val="single" w:sz="6" w:space="0" w:color="auto"/>
              <w:left w:val="single" w:sz="6" w:space="0" w:color="auto"/>
              <w:right w:val="single" w:sz="6" w:space="0" w:color="auto"/>
            </w:tcBorders>
            <w:shd w:val="clear" w:color="auto" w:fill="auto"/>
          </w:tcPr>
          <w:p w14:paraId="41863CC5" w14:textId="77777777" w:rsidR="007D2333" w:rsidRPr="00473F76" w:rsidRDefault="007D2333" w:rsidP="007D2333">
            <w:pPr>
              <w:pStyle w:val="TAC"/>
            </w:pPr>
            <w:r w:rsidRPr="007275DF">
              <w:sym w:font="Symbol" w:char="F0B3"/>
            </w:r>
            <w:r w:rsidRPr="007275DF">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5D61813" w14:textId="77777777" w:rsidR="007D2333" w:rsidRPr="007275DF" w:rsidRDefault="007D2333" w:rsidP="007D2333">
            <w:pPr>
              <w:pStyle w:val="TAC"/>
              <w:rPr>
                <w:lang w:val="sv-SE"/>
              </w:rPr>
            </w:pPr>
            <w:r w:rsidRPr="007275DF">
              <w:rPr>
                <w:rFonts w:cs="Arial"/>
                <w:lang w:val="sv-SE"/>
              </w:rPr>
              <w:t>NR_CCA_FR1_I</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16667D3" w14:textId="77777777" w:rsidR="007D2333" w:rsidRPr="007275DF" w:rsidRDefault="007D2333" w:rsidP="007D2333">
            <w:pPr>
              <w:pStyle w:val="TAC"/>
            </w:pPr>
            <w:r w:rsidRPr="007275DF">
              <w:t>-117</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0A9B1BE" w14:textId="77777777" w:rsidR="007D2333" w:rsidRPr="007275DF" w:rsidRDefault="007D2333" w:rsidP="007D2333">
            <w:pPr>
              <w:pStyle w:val="TAC"/>
              <w:rPr>
                <w:rFonts w:cs="Arial"/>
              </w:rPr>
            </w:pPr>
            <w:r w:rsidRPr="007275DF">
              <w:t>-114</w:t>
            </w:r>
          </w:p>
        </w:tc>
        <w:tc>
          <w:tcPr>
            <w:tcW w:w="1440" w:type="dxa"/>
            <w:vMerge w:val="restart"/>
            <w:tcBorders>
              <w:top w:val="single" w:sz="6" w:space="0" w:color="auto"/>
              <w:left w:val="single" w:sz="6" w:space="0" w:color="auto"/>
              <w:right w:val="single" w:sz="6" w:space="0" w:color="auto"/>
            </w:tcBorders>
            <w:shd w:val="clear" w:color="auto" w:fill="auto"/>
          </w:tcPr>
          <w:p w14:paraId="29148052"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tcPr>
          <w:p w14:paraId="128B8968" w14:textId="77777777" w:rsidR="007D2333" w:rsidRPr="007275DF" w:rsidRDefault="007D2333" w:rsidP="007D2333">
            <w:pPr>
              <w:pStyle w:val="TAC"/>
            </w:pPr>
            <w:r w:rsidRPr="007275DF">
              <w:t>-50</w:t>
            </w:r>
          </w:p>
        </w:tc>
      </w:tr>
      <w:tr w:rsidR="007D2333" w:rsidRPr="007275DF" w14:paraId="20CBEAE7" w14:textId="77777777" w:rsidTr="007D2333">
        <w:trPr>
          <w:jc w:val="center"/>
        </w:trPr>
        <w:tc>
          <w:tcPr>
            <w:tcW w:w="1035" w:type="dxa"/>
            <w:vMerge/>
            <w:tcBorders>
              <w:left w:val="single" w:sz="4" w:space="0" w:color="auto"/>
              <w:right w:val="single" w:sz="6" w:space="0" w:color="auto"/>
            </w:tcBorders>
            <w:shd w:val="clear" w:color="auto" w:fill="auto"/>
          </w:tcPr>
          <w:p w14:paraId="73201D8D" w14:textId="77777777" w:rsidR="007D2333" w:rsidRPr="007275DF" w:rsidRDefault="007D2333" w:rsidP="007D2333">
            <w:pPr>
              <w:pStyle w:val="TAC"/>
            </w:pPr>
          </w:p>
        </w:tc>
        <w:tc>
          <w:tcPr>
            <w:tcW w:w="1047" w:type="dxa"/>
            <w:vMerge/>
            <w:tcBorders>
              <w:left w:val="single" w:sz="6" w:space="0" w:color="auto"/>
              <w:right w:val="single" w:sz="6" w:space="0" w:color="auto"/>
            </w:tcBorders>
            <w:shd w:val="clear" w:color="auto" w:fill="auto"/>
          </w:tcPr>
          <w:p w14:paraId="321A8EC7" w14:textId="77777777" w:rsidR="007D2333" w:rsidRPr="007275DF" w:rsidRDefault="007D2333" w:rsidP="007D2333">
            <w:pPr>
              <w:pStyle w:val="TAC"/>
            </w:pPr>
          </w:p>
        </w:tc>
        <w:tc>
          <w:tcPr>
            <w:tcW w:w="802" w:type="dxa"/>
            <w:vMerge/>
            <w:tcBorders>
              <w:left w:val="single" w:sz="6" w:space="0" w:color="auto"/>
              <w:right w:val="single" w:sz="6" w:space="0" w:color="auto"/>
            </w:tcBorders>
            <w:shd w:val="clear" w:color="auto" w:fill="auto"/>
          </w:tcPr>
          <w:p w14:paraId="3FE43924" w14:textId="77777777" w:rsidR="007D2333" w:rsidRPr="007275DF" w:rsidRDefault="007D2333" w:rsidP="007D2333">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170F38B" w14:textId="77777777" w:rsidR="007D2333" w:rsidRPr="007275DF" w:rsidRDefault="007D2333" w:rsidP="007D2333">
            <w:pPr>
              <w:pStyle w:val="TAC"/>
              <w:rPr>
                <w:rFonts w:cs="Arial"/>
                <w:lang w:val="sv-SE"/>
              </w:rPr>
            </w:pPr>
            <w:r w:rsidRPr="007275DF">
              <w:rPr>
                <w:rFonts w:cs="Arial"/>
                <w:lang w:val="sv-SE"/>
              </w:rPr>
              <w:t>NR_CCA_FR1_J</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53BF0B0" w14:textId="77777777" w:rsidR="007D2333" w:rsidRPr="007275DF" w:rsidRDefault="007D2333" w:rsidP="007D2333">
            <w:pPr>
              <w:pStyle w:val="TAC"/>
              <w:rPr>
                <w:lang w:val="sv-SE"/>
              </w:rPr>
            </w:pPr>
            <w:r w:rsidRPr="007275DF">
              <w:rPr>
                <w:lang w:val="sv-SE"/>
              </w:rPr>
              <w:t>-116.5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78D7DEE" w14:textId="77777777" w:rsidR="007D2333" w:rsidRPr="007275DF" w:rsidRDefault="007D2333" w:rsidP="007D2333">
            <w:pPr>
              <w:pStyle w:val="TAC"/>
              <w:rPr>
                <w:lang w:val="sv-SE"/>
              </w:rPr>
            </w:pPr>
            <w:r w:rsidRPr="007275DF">
              <w:rPr>
                <w:lang w:val="sv-SE"/>
              </w:rPr>
              <w:t>-113.5</w:t>
            </w:r>
          </w:p>
        </w:tc>
        <w:tc>
          <w:tcPr>
            <w:tcW w:w="1440" w:type="dxa"/>
            <w:vMerge/>
            <w:tcBorders>
              <w:left w:val="single" w:sz="6" w:space="0" w:color="auto"/>
              <w:bottom w:val="single" w:sz="6" w:space="0" w:color="auto"/>
              <w:right w:val="single" w:sz="6" w:space="0" w:color="auto"/>
            </w:tcBorders>
            <w:shd w:val="clear" w:color="auto" w:fill="auto"/>
          </w:tcPr>
          <w:p w14:paraId="0A25062E" w14:textId="77777777" w:rsidR="007D2333" w:rsidRPr="007275DF" w:rsidRDefault="007D2333" w:rsidP="007D2333">
            <w:pPr>
              <w:pStyle w:val="TAC"/>
              <w:rPr>
                <w:lang w:val="sv-SE"/>
              </w:rPr>
            </w:pPr>
          </w:p>
        </w:tc>
        <w:tc>
          <w:tcPr>
            <w:tcW w:w="1440" w:type="dxa"/>
            <w:vMerge/>
            <w:tcBorders>
              <w:left w:val="single" w:sz="6" w:space="0" w:color="auto"/>
              <w:bottom w:val="single" w:sz="6" w:space="0" w:color="auto"/>
              <w:right w:val="single" w:sz="4" w:space="0" w:color="auto"/>
            </w:tcBorders>
            <w:shd w:val="clear" w:color="auto" w:fill="auto"/>
          </w:tcPr>
          <w:p w14:paraId="496AC9C8" w14:textId="77777777" w:rsidR="007D2333" w:rsidRPr="007275DF" w:rsidRDefault="007D2333" w:rsidP="007D2333">
            <w:pPr>
              <w:pStyle w:val="TAC"/>
              <w:rPr>
                <w:lang w:val="sv-SE"/>
              </w:rPr>
            </w:pPr>
          </w:p>
        </w:tc>
      </w:tr>
      <w:tr w:rsidR="007D2333" w:rsidRPr="007275DF" w14:paraId="29AED4F8" w14:textId="77777777" w:rsidTr="007D2333">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49FF7350" w14:textId="77777777" w:rsidR="007D2333" w:rsidRPr="00473F76" w:rsidRDefault="007D2333" w:rsidP="007D2333">
            <w:pPr>
              <w:pStyle w:val="TAC"/>
            </w:pPr>
            <w:r w:rsidRPr="007275DF">
              <w:sym w:font="Symbol" w:char="F0B1"/>
            </w:r>
            <w:r w:rsidRPr="007275DF">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67F7A445" w14:textId="77777777" w:rsidR="007D2333" w:rsidRPr="00473F76" w:rsidRDefault="007D2333" w:rsidP="007D2333">
            <w:pPr>
              <w:pStyle w:val="TAC"/>
            </w:pPr>
            <w:r w:rsidRPr="007275DF">
              <w:sym w:font="Symbol" w:char="F0B1"/>
            </w:r>
            <w:r w:rsidRPr="007275DF">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2265CD99" w14:textId="77777777" w:rsidR="007D2333" w:rsidRPr="00473F76" w:rsidRDefault="007D2333" w:rsidP="007D2333">
            <w:pPr>
              <w:pStyle w:val="TAC"/>
            </w:pPr>
            <w:r w:rsidRPr="007275DF">
              <w:sym w:font="Symbol" w:char="F0B3"/>
            </w:r>
            <w:r w:rsidRPr="007275DF">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68D3AF4" w14:textId="77777777" w:rsidR="007D2333" w:rsidRPr="007275DF" w:rsidRDefault="007D2333" w:rsidP="007D2333">
            <w:pPr>
              <w:pStyle w:val="TAC"/>
            </w:pPr>
            <w:r w:rsidRPr="007275DF">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631B6A58" w14:textId="77777777" w:rsidR="007D2333" w:rsidRPr="007275DF" w:rsidRDefault="007D2333" w:rsidP="007D2333">
            <w:pPr>
              <w:pStyle w:val="TAC"/>
            </w:pPr>
            <w:r w:rsidRPr="007275DF">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2DCBABA7" w14:textId="77777777" w:rsidR="007D2333" w:rsidRPr="007275DF" w:rsidRDefault="007D2333" w:rsidP="007D2333">
            <w:pPr>
              <w:pStyle w:val="TAC"/>
              <w:rPr>
                <w:lang w:eastAsia="zh-CN"/>
              </w:rPr>
            </w:pPr>
            <w:r w:rsidRPr="007275DF">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7984FEE8" w14:textId="77777777" w:rsidR="007D2333" w:rsidRPr="007275DF" w:rsidRDefault="007D2333" w:rsidP="007D2333">
            <w:pPr>
              <w:pStyle w:val="TAC"/>
            </w:pPr>
            <w:r w:rsidRPr="007275DF">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7E33F0EE" w14:textId="77777777" w:rsidR="007D2333" w:rsidRPr="007275DF" w:rsidRDefault="007D2333" w:rsidP="007D2333">
            <w:pPr>
              <w:pStyle w:val="TAC"/>
            </w:pPr>
            <w:r w:rsidRPr="007275DF">
              <w:t>Note 2</w:t>
            </w:r>
          </w:p>
        </w:tc>
      </w:tr>
      <w:tr w:rsidR="007D2333" w:rsidRPr="007275DF" w14:paraId="2EA236DE"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332D0756" w14:textId="77777777" w:rsidR="007D2333" w:rsidRPr="007275DF" w:rsidRDefault="007D2333" w:rsidP="007D2333">
            <w:pPr>
              <w:pStyle w:val="TAN"/>
            </w:pPr>
            <w:r w:rsidRPr="007275DF">
              <w:t>NOTE 1:</w:t>
            </w:r>
            <w:r w:rsidRPr="007275DF">
              <w:tab/>
              <w:t>Io is assumed to have constant EPRE across the bandwidth.</w:t>
            </w:r>
          </w:p>
          <w:p w14:paraId="617F2E87" w14:textId="77777777" w:rsidR="007D2333" w:rsidRPr="007275DF" w:rsidRDefault="007D2333" w:rsidP="007D2333">
            <w:pPr>
              <w:pStyle w:val="TAN"/>
              <w:rPr>
                <w:rFonts w:cs="Arial"/>
              </w:rPr>
            </w:pPr>
            <w:r w:rsidRPr="007275DF">
              <w:rPr>
                <w:rFonts w:cs="Arial"/>
              </w:rPr>
              <w:t>N</w:t>
            </w:r>
            <w:r w:rsidRPr="007275DF">
              <w:rPr>
                <w:rFonts w:cs="Arial"/>
                <w:lang w:eastAsia="zh-CN"/>
              </w:rPr>
              <w:t>OTE</w:t>
            </w:r>
            <w:r w:rsidRPr="007275DF">
              <w:rPr>
                <w:rFonts w:cs="Arial"/>
              </w:rPr>
              <w:t xml:space="preserve"> 2:</w:t>
            </w:r>
            <w:r w:rsidRPr="007275DF">
              <w:rPr>
                <w:rFonts w:cs="Arial"/>
              </w:rPr>
              <w:tab/>
              <w:t>The same bands and the same Io conditions for each band apply for this requirement as for the corresponding highest accuracy requirement.</w:t>
            </w:r>
          </w:p>
          <w:p w14:paraId="6728EB66" w14:textId="77777777" w:rsidR="007D2333" w:rsidRPr="007275DF" w:rsidRDefault="007D2333" w:rsidP="007D2333">
            <w:pPr>
              <w:pStyle w:val="TAN"/>
              <w:rPr>
                <w:rFonts w:cs="Arial"/>
              </w:rPr>
            </w:pPr>
            <w:r w:rsidRPr="007275DF">
              <w:rPr>
                <w:rFonts w:cs="Arial"/>
              </w:rPr>
              <w:t>NOTE 3:</w:t>
            </w:r>
            <w:r w:rsidRPr="007275DF">
              <w:rPr>
                <w:rFonts w:cs="Arial"/>
              </w:rPr>
              <w:tab/>
              <w:t>The requirements apply for SSB Ês/Iot ≤ 25 dB.</w:t>
            </w:r>
          </w:p>
          <w:p w14:paraId="27DB99A6" w14:textId="77777777" w:rsidR="007D2333" w:rsidRPr="007275DF" w:rsidRDefault="007D2333" w:rsidP="007D2333">
            <w:pPr>
              <w:pStyle w:val="TAN"/>
            </w:pPr>
            <w:r w:rsidRPr="007275DF">
              <w:rPr>
                <w:rFonts w:cs="Arial"/>
              </w:rPr>
              <w:t>NOTE 4:</w:t>
            </w:r>
            <w:r w:rsidRPr="007275DF">
              <w:rPr>
                <w:rFonts w:cs="Arial"/>
              </w:rPr>
              <w:tab/>
            </w:r>
            <w:r w:rsidRPr="007275DF">
              <w:t>NR operating band groups are as defined in clause 3.5.2.</w:t>
            </w:r>
          </w:p>
        </w:tc>
      </w:tr>
    </w:tbl>
    <w:p w14:paraId="201FBA04" w14:textId="77777777" w:rsidR="007D2333" w:rsidRPr="007275DF" w:rsidRDefault="007D2333" w:rsidP="007D2333"/>
    <w:p w14:paraId="7C2FFD59" w14:textId="77777777" w:rsidR="007D2333" w:rsidRPr="007275DF" w:rsidRDefault="007D2333" w:rsidP="007D2333">
      <w:pPr>
        <w:pStyle w:val="Heading3"/>
        <w:rPr>
          <w:lang w:val="en-US" w:eastAsia="ko-KR"/>
        </w:rPr>
      </w:pPr>
      <w:r w:rsidRPr="007275DF">
        <w:rPr>
          <w:lang w:val="en-US" w:eastAsia="ko-KR"/>
        </w:rPr>
        <w:t>10.1.32</w:t>
      </w:r>
      <w:r w:rsidRPr="007275DF">
        <w:rPr>
          <w:lang w:val="en-US" w:eastAsia="ko-KR"/>
        </w:rPr>
        <w:tab/>
        <w:t xml:space="preserve">Inter-frequency SINR accuracy requirements </w:t>
      </w:r>
      <w:r w:rsidRPr="007275DF">
        <w:rPr>
          <w:lang w:val="en-US" w:eastAsia="zh-CN"/>
        </w:rPr>
        <w:t>under CCA</w:t>
      </w:r>
    </w:p>
    <w:p w14:paraId="58172DA0" w14:textId="77777777" w:rsidR="007D2333" w:rsidRPr="007275DF" w:rsidRDefault="007D2333" w:rsidP="00F37389">
      <w:pPr>
        <w:pStyle w:val="Heading4"/>
        <w:rPr>
          <w:lang w:val="en-US" w:eastAsia="zh-CN"/>
        </w:rPr>
      </w:pPr>
      <w:r w:rsidRPr="007275DF">
        <w:rPr>
          <w:lang w:val="en-US" w:eastAsia="zh-CN"/>
        </w:rPr>
        <w:t>10.1.32.1</w:t>
      </w:r>
      <w:r w:rsidRPr="007275DF">
        <w:rPr>
          <w:lang w:val="en-US" w:eastAsia="zh-CN"/>
        </w:rPr>
        <w:tab/>
      </w:r>
      <w:r w:rsidRPr="007275DF">
        <w:rPr>
          <w:lang w:val="en-US" w:eastAsia="ko-KR"/>
        </w:rPr>
        <w:t>Inter-frequency SS-SINR accuracy requirements in FR1</w:t>
      </w:r>
    </w:p>
    <w:p w14:paraId="0C3E3B5B" w14:textId="77777777" w:rsidR="007D2333" w:rsidRPr="007275DF" w:rsidRDefault="007D2333" w:rsidP="00F37389">
      <w:pPr>
        <w:pStyle w:val="Heading5"/>
        <w:rPr>
          <w:lang w:val="en-US" w:eastAsia="zh-CN"/>
        </w:rPr>
      </w:pPr>
      <w:r w:rsidRPr="007275DF">
        <w:rPr>
          <w:lang w:val="en-US" w:eastAsia="zh-CN"/>
        </w:rPr>
        <w:t>10.1.32.1.1</w:t>
      </w:r>
      <w:r w:rsidRPr="007275DF">
        <w:rPr>
          <w:lang w:val="en-US" w:eastAsia="zh-CN"/>
        </w:rPr>
        <w:tab/>
      </w:r>
      <w:r w:rsidRPr="007275DF">
        <w:rPr>
          <w:lang w:eastAsia="zh-CN"/>
        </w:rPr>
        <w:t>Aboslute</w:t>
      </w:r>
      <w:r w:rsidRPr="007275DF">
        <w:t xml:space="preserve"> Accuracy of </w:t>
      </w:r>
      <w:r w:rsidRPr="007275DF">
        <w:rPr>
          <w:lang w:eastAsia="zh-CN"/>
        </w:rPr>
        <w:t>SS-SINR</w:t>
      </w:r>
    </w:p>
    <w:p w14:paraId="4A77B892" w14:textId="77777777" w:rsidR="007D2333" w:rsidRPr="007275DF" w:rsidRDefault="007D2333" w:rsidP="007D2333">
      <w:pPr>
        <w:rPr>
          <w:rFonts w:cs="v4.2.0"/>
          <w:i/>
        </w:rPr>
      </w:pPr>
      <w:r w:rsidRPr="007275DF">
        <w:rPr>
          <w:rFonts w:cs="v4.2.0"/>
        </w:rPr>
        <w:t>The requirements for absolute accuracy of</w:t>
      </w:r>
      <w:r w:rsidRPr="007275DF">
        <w:rPr>
          <w:rFonts w:cs="v4.2.0"/>
          <w:lang w:eastAsia="zh-CN"/>
        </w:rPr>
        <w:t xml:space="preserve"> SS-SINR</w:t>
      </w:r>
      <w:r w:rsidRPr="007275DF">
        <w:rPr>
          <w:rFonts w:cs="v4.2.0"/>
        </w:rPr>
        <w:t xml:space="preserve"> in this clause apply to a cell on a frequency under CCA that has different carrier frequency from the serving cell.</w:t>
      </w:r>
    </w:p>
    <w:p w14:paraId="6DF0A0D0"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10.1.32.1.1</w:t>
      </w:r>
      <w:r w:rsidRPr="007275DF">
        <w:rPr>
          <w:rFonts w:cs="v4.2.0"/>
        </w:rPr>
        <w:t>-1 are valid under the following conditions:</w:t>
      </w:r>
    </w:p>
    <w:p w14:paraId="43563B5B" w14:textId="1B2390B0" w:rsidR="007D2333" w:rsidRPr="007275DF" w:rsidRDefault="005E4E7D" w:rsidP="007D2333">
      <w:pPr>
        <w:pStyle w:val="B10"/>
        <w:rPr>
          <w:rFonts w:cs="v4.2.0"/>
        </w:rPr>
      </w:pPr>
      <w:r w:rsidRPr="007275DF">
        <w:t>-</w:t>
      </w:r>
      <w:r w:rsidRPr="007275DF">
        <w:tab/>
      </w:r>
      <w:r w:rsidR="007D2333" w:rsidRPr="007275DF">
        <w:t>Conditions defined in clause 7.3F of TS 38.101-1 [18] for reference sensitivity are fulfilled.</w:t>
      </w:r>
    </w:p>
    <w:p w14:paraId="5E2FEC32" w14:textId="71809696" w:rsidR="007D2333" w:rsidRPr="007275DF" w:rsidRDefault="005E4E7D" w:rsidP="007D2333">
      <w:pPr>
        <w:pStyle w:val="B10"/>
      </w:pPr>
      <w:r w:rsidRPr="007275DF">
        <w:t>-</w:t>
      </w:r>
      <w:r w:rsidRPr="007275DF">
        <w:tab/>
      </w:r>
      <w:r w:rsidR="007D2333" w:rsidRPr="007275DF">
        <w:t>Conditions for inter-frequency measurements are fulfilled according to Annex B.2.9 for a corresponding Band.</w:t>
      </w:r>
    </w:p>
    <w:p w14:paraId="6F8527B5" w14:textId="77777777" w:rsidR="007D2333" w:rsidRPr="007275DF" w:rsidRDefault="007D2333" w:rsidP="007D2333">
      <w:pPr>
        <w:pStyle w:val="TH"/>
        <w:rPr>
          <w:lang w:eastAsia="zh-CN"/>
        </w:rPr>
      </w:pPr>
      <w:r w:rsidRPr="007275DF">
        <w:t xml:space="preserve">Table </w:t>
      </w:r>
      <w:r w:rsidRPr="007275DF">
        <w:rPr>
          <w:lang w:eastAsia="zh-CN"/>
        </w:rPr>
        <w:t>10.1.32.1.1</w:t>
      </w:r>
      <w:r w:rsidRPr="007275DF">
        <w:t xml:space="preserve">-1: </w:t>
      </w:r>
      <w:r w:rsidRPr="007275DF">
        <w:rPr>
          <w:lang w:eastAsia="zh-CN"/>
        </w:rPr>
        <w:t>SS-SINR</w:t>
      </w:r>
      <w:r w:rsidRPr="007275DF">
        <w:t xml:space="preserve"> inter-frequency absolute accuracy</w:t>
      </w:r>
      <w:r w:rsidRPr="007275DF">
        <w:rPr>
          <w:lang w:eastAsia="zh-CN"/>
        </w:rPr>
        <w:t xml:space="preserve"> under CCA</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7D2333" w:rsidRPr="007275DF" w14:paraId="67A3ACD1" w14:textId="77777777" w:rsidTr="007D2333">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62513A05" w14:textId="77777777" w:rsidR="007D2333" w:rsidRPr="007275DF" w:rsidRDefault="007D2333" w:rsidP="007D2333">
            <w:pPr>
              <w:pStyle w:val="TAH"/>
            </w:pPr>
            <w:r w:rsidRPr="007275DF">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612BC7FA" w14:textId="77777777" w:rsidR="007D2333" w:rsidRPr="007275DF" w:rsidRDefault="007D2333" w:rsidP="007D2333">
            <w:pPr>
              <w:pStyle w:val="TAH"/>
            </w:pPr>
            <w:r w:rsidRPr="007275DF">
              <w:t>Conditions</w:t>
            </w:r>
          </w:p>
        </w:tc>
      </w:tr>
      <w:tr w:rsidR="007D2333" w:rsidRPr="007275DF" w14:paraId="6F7B0609" w14:textId="77777777" w:rsidTr="007D2333">
        <w:trPr>
          <w:jc w:val="center"/>
        </w:trPr>
        <w:tc>
          <w:tcPr>
            <w:tcW w:w="1035" w:type="dxa"/>
            <w:tcBorders>
              <w:top w:val="single" w:sz="4" w:space="0" w:color="auto"/>
              <w:left w:val="single" w:sz="4" w:space="0" w:color="auto"/>
              <w:right w:val="single" w:sz="4" w:space="0" w:color="auto"/>
            </w:tcBorders>
            <w:shd w:val="clear" w:color="auto" w:fill="auto"/>
          </w:tcPr>
          <w:p w14:paraId="0D29B674" w14:textId="77777777" w:rsidR="007D2333" w:rsidRPr="007275DF" w:rsidRDefault="007D2333" w:rsidP="007D2333">
            <w:pPr>
              <w:pStyle w:val="TAH"/>
            </w:pPr>
            <w:r w:rsidRPr="007275DF">
              <w:t>Normal condition</w:t>
            </w:r>
          </w:p>
        </w:tc>
        <w:tc>
          <w:tcPr>
            <w:tcW w:w="1047" w:type="dxa"/>
            <w:tcBorders>
              <w:top w:val="single" w:sz="4" w:space="0" w:color="auto"/>
              <w:left w:val="single" w:sz="4" w:space="0" w:color="auto"/>
              <w:right w:val="single" w:sz="4" w:space="0" w:color="auto"/>
            </w:tcBorders>
            <w:shd w:val="clear" w:color="auto" w:fill="auto"/>
          </w:tcPr>
          <w:p w14:paraId="14494288" w14:textId="77777777" w:rsidR="007D2333" w:rsidRPr="007275DF" w:rsidRDefault="007D2333" w:rsidP="007D2333">
            <w:pPr>
              <w:pStyle w:val="TAH"/>
            </w:pPr>
            <w:r w:rsidRPr="007275DF">
              <w:t>Extreme condition</w:t>
            </w:r>
          </w:p>
        </w:tc>
        <w:tc>
          <w:tcPr>
            <w:tcW w:w="802" w:type="dxa"/>
            <w:vMerge w:val="restart"/>
            <w:tcBorders>
              <w:top w:val="single" w:sz="6" w:space="0" w:color="auto"/>
              <w:left w:val="single" w:sz="4" w:space="0" w:color="auto"/>
              <w:bottom w:val="single" w:sz="6" w:space="0" w:color="auto"/>
              <w:right w:val="single" w:sz="6" w:space="0" w:color="auto"/>
            </w:tcBorders>
            <w:shd w:val="clear" w:color="auto" w:fill="auto"/>
          </w:tcPr>
          <w:p w14:paraId="598A0C55" w14:textId="77777777" w:rsidR="007D2333" w:rsidRPr="007275DF" w:rsidRDefault="007D2333" w:rsidP="007D2333">
            <w:pPr>
              <w:pStyle w:val="TAH"/>
            </w:pPr>
            <w:r w:rsidRPr="007275DF">
              <w:t>SSB Ês/Iot</w:t>
            </w:r>
            <w:r w:rsidRPr="007275DF">
              <w:rPr>
                <w:vertAlign w:val="superscript"/>
                <w:lang w:eastAsia="zh-CN"/>
              </w:rPr>
              <w:t xml:space="preserve"> Note 3</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tcPr>
          <w:p w14:paraId="20080A2C" w14:textId="77777777" w:rsidR="007D2333" w:rsidRPr="007275DF" w:rsidRDefault="007D2333" w:rsidP="007D2333">
            <w:pPr>
              <w:pStyle w:val="TAH"/>
            </w:pPr>
            <w:r w:rsidRPr="007275DF">
              <w:t>Io</w:t>
            </w:r>
            <w:r w:rsidRPr="007275DF">
              <w:rPr>
                <w:vertAlign w:val="superscript"/>
                <w:lang w:eastAsia="zh-CN"/>
              </w:rPr>
              <w:t xml:space="preserve"> Note 1</w:t>
            </w:r>
            <w:r w:rsidRPr="007275DF">
              <w:t xml:space="preserve"> range</w:t>
            </w:r>
          </w:p>
        </w:tc>
      </w:tr>
      <w:tr w:rsidR="007D2333" w:rsidRPr="007275DF" w14:paraId="4C2F26C0" w14:textId="77777777" w:rsidTr="007D2333">
        <w:trPr>
          <w:jc w:val="center"/>
        </w:trPr>
        <w:tc>
          <w:tcPr>
            <w:tcW w:w="1035" w:type="dxa"/>
            <w:tcBorders>
              <w:left w:val="single" w:sz="4" w:space="0" w:color="auto"/>
              <w:bottom w:val="single" w:sz="4" w:space="0" w:color="auto"/>
              <w:right w:val="single" w:sz="4" w:space="0" w:color="auto"/>
            </w:tcBorders>
            <w:shd w:val="clear" w:color="auto" w:fill="auto"/>
          </w:tcPr>
          <w:p w14:paraId="5DA36F1E" w14:textId="77777777" w:rsidR="007D2333" w:rsidRPr="007275DF" w:rsidRDefault="007D2333" w:rsidP="007D2333">
            <w:pPr>
              <w:pStyle w:val="TAH"/>
            </w:pPr>
          </w:p>
        </w:tc>
        <w:tc>
          <w:tcPr>
            <w:tcW w:w="1047" w:type="dxa"/>
            <w:tcBorders>
              <w:left w:val="single" w:sz="4" w:space="0" w:color="auto"/>
              <w:bottom w:val="single" w:sz="4" w:space="0" w:color="auto"/>
              <w:right w:val="single" w:sz="4" w:space="0" w:color="auto"/>
            </w:tcBorders>
            <w:shd w:val="clear" w:color="auto" w:fill="auto"/>
          </w:tcPr>
          <w:p w14:paraId="61EAC8CF" w14:textId="77777777" w:rsidR="007D2333" w:rsidRPr="007275DF" w:rsidRDefault="007D2333" w:rsidP="007D2333">
            <w:pPr>
              <w:pStyle w:val="TAH"/>
            </w:pPr>
          </w:p>
        </w:tc>
        <w:tc>
          <w:tcPr>
            <w:tcW w:w="802" w:type="dxa"/>
            <w:vMerge/>
            <w:tcBorders>
              <w:top w:val="single" w:sz="6" w:space="0" w:color="auto"/>
              <w:left w:val="single" w:sz="4" w:space="0" w:color="auto"/>
              <w:bottom w:val="single" w:sz="6" w:space="0" w:color="auto"/>
              <w:right w:val="single" w:sz="6" w:space="0" w:color="auto"/>
            </w:tcBorders>
            <w:shd w:val="clear" w:color="auto" w:fill="auto"/>
          </w:tcPr>
          <w:p w14:paraId="07269128" w14:textId="77777777" w:rsidR="007D2333" w:rsidRPr="007275DF" w:rsidRDefault="007D2333" w:rsidP="007D2333">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6D9B6AD8" w14:textId="77777777" w:rsidR="007D2333" w:rsidRPr="007275DF" w:rsidRDefault="007D2333" w:rsidP="007D2333">
            <w:pPr>
              <w:pStyle w:val="TAH"/>
            </w:pPr>
            <w:r w:rsidRPr="007275DF">
              <w:t>NR operating band groups</w:t>
            </w:r>
            <w:r w:rsidRPr="007275DF">
              <w:rPr>
                <w:vertAlign w:val="superscript"/>
              </w:rPr>
              <w:t xml:space="preserve"> </w:t>
            </w:r>
            <w:r w:rsidRPr="007275DF">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tcPr>
          <w:p w14:paraId="7E5ECCF6"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15E9FA2C" w14:textId="77777777" w:rsidR="007D2333" w:rsidRPr="007275DF" w:rsidRDefault="007D2333" w:rsidP="007D2333">
            <w:pPr>
              <w:pStyle w:val="TAH"/>
            </w:pPr>
            <w:r w:rsidRPr="007275DF">
              <w:t>Maximum Io</w:t>
            </w:r>
          </w:p>
        </w:tc>
      </w:tr>
      <w:tr w:rsidR="007D2333" w:rsidRPr="007275DF" w14:paraId="4A19FE59" w14:textId="77777777" w:rsidTr="007D2333">
        <w:trPr>
          <w:trHeight w:val="308"/>
          <w:jc w:val="center"/>
        </w:trPr>
        <w:tc>
          <w:tcPr>
            <w:tcW w:w="1035" w:type="dxa"/>
            <w:tcBorders>
              <w:top w:val="single" w:sz="4" w:space="0" w:color="auto"/>
              <w:left w:val="single" w:sz="4" w:space="0" w:color="auto"/>
              <w:right w:val="single" w:sz="6" w:space="0" w:color="auto"/>
            </w:tcBorders>
            <w:shd w:val="clear" w:color="auto" w:fill="auto"/>
          </w:tcPr>
          <w:p w14:paraId="47EE7981" w14:textId="77777777" w:rsidR="007D2333" w:rsidRPr="007275DF" w:rsidRDefault="007D2333" w:rsidP="007D2333">
            <w:pPr>
              <w:pStyle w:val="TAH"/>
            </w:pPr>
            <w:r w:rsidRPr="007275DF">
              <w:t>dB</w:t>
            </w:r>
          </w:p>
        </w:tc>
        <w:tc>
          <w:tcPr>
            <w:tcW w:w="1047" w:type="dxa"/>
            <w:tcBorders>
              <w:top w:val="single" w:sz="4" w:space="0" w:color="auto"/>
              <w:left w:val="single" w:sz="6" w:space="0" w:color="auto"/>
              <w:right w:val="single" w:sz="6" w:space="0" w:color="auto"/>
            </w:tcBorders>
            <w:shd w:val="clear" w:color="auto" w:fill="auto"/>
          </w:tcPr>
          <w:p w14:paraId="22B816F7" w14:textId="77777777" w:rsidR="007D2333" w:rsidRPr="007275DF" w:rsidRDefault="007D2333" w:rsidP="007D2333">
            <w:pPr>
              <w:pStyle w:val="TAH"/>
            </w:pPr>
            <w:r w:rsidRPr="007275DF">
              <w:t>dB</w:t>
            </w:r>
          </w:p>
        </w:tc>
        <w:tc>
          <w:tcPr>
            <w:tcW w:w="802" w:type="dxa"/>
            <w:tcBorders>
              <w:top w:val="single" w:sz="6" w:space="0" w:color="auto"/>
              <w:left w:val="single" w:sz="6" w:space="0" w:color="auto"/>
              <w:right w:val="single" w:sz="6" w:space="0" w:color="auto"/>
            </w:tcBorders>
            <w:shd w:val="clear" w:color="auto" w:fill="auto"/>
          </w:tcPr>
          <w:p w14:paraId="0B55D80D" w14:textId="77777777" w:rsidR="007D2333" w:rsidRPr="007275DF" w:rsidRDefault="007D2333" w:rsidP="007D2333">
            <w:pPr>
              <w:pStyle w:val="TAH"/>
            </w:pPr>
            <w:r w:rsidRPr="007275DF">
              <w:t>dB</w:t>
            </w:r>
          </w:p>
        </w:tc>
        <w:tc>
          <w:tcPr>
            <w:tcW w:w="2298" w:type="dxa"/>
            <w:tcBorders>
              <w:top w:val="single" w:sz="6" w:space="0" w:color="auto"/>
              <w:left w:val="single" w:sz="6" w:space="0" w:color="auto"/>
              <w:right w:val="single" w:sz="4" w:space="0" w:color="auto"/>
            </w:tcBorders>
            <w:shd w:val="clear" w:color="auto" w:fill="auto"/>
          </w:tcPr>
          <w:p w14:paraId="774E27C9" w14:textId="77777777" w:rsidR="007D2333" w:rsidRPr="007275DF" w:rsidRDefault="007D2333" w:rsidP="007D2333">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0C594BA6"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58B7DC12"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2082844B" w14:textId="77777777" w:rsidR="007D2333" w:rsidRPr="007275DF" w:rsidRDefault="007D2333" w:rsidP="007D2333">
            <w:pPr>
              <w:pStyle w:val="TAH"/>
            </w:pPr>
            <w:r w:rsidRPr="007275DF">
              <w:t>dBm/BW</w:t>
            </w:r>
            <w:r w:rsidRPr="007275DF">
              <w:rPr>
                <w:vertAlign w:val="subscript"/>
              </w:rPr>
              <w:t>Channel</w:t>
            </w:r>
          </w:p>
        </w:tc>
      </w:tr>
      <w:tr w:rsidR="007D2333" w:rsidRPr="007275DF" w14:paraId="33E70599" w14:textId="77777777" w:rsidTr="007D2333">
        <w:trPr>
          <w:trHeight w:val="307"/>
          <w:jc w:val="center"/>
        </w:trPr>
        <w:tc>
          <w:tcPr>
            <w:tcW w:w="1035" w:type="dxa"/>
            <w:tcBorders>
              <w:left w:val="single" w:sz="4" w:space="0" w:color="auto"/>
              <w:bottom w:val="single" w:sz="6" w:space="0" w:color="auto"/>
              <w:right w:val="single" w:sz="6" w:space="0" w:color="auto"/>
            </w:tcBorders>
            <w:shd w:val="clear" w:color="auto" w:fill="auto"/>
          </w:tcPr>
          <w:p w14:paraId="623F72A6" w14:textId="77777777" w:rsidR="007D2333" w:rsidRPr="007275DF" w:rsidRDefault="007D2333" w:rsidP="007D2333">
            <w:pPr>
              <w:pStyle w:val="TAH"/>
            </w:pPr>
          </w:p>
        </w:tc>
        <w:tc>
          <w:tcPr>
            <w:tcW w:w="1047" w:type="dxa"/>
            <w:tcBorders>
              <w:left w:val="single" w:sz="6" w:space="0" w:color="auto"/>
              <w:bottom w:val="single" w:sz="6" w:space="0" w:color="auto"/>
              <w:right w:val="single" w:sz="6" w:space="0" w:color="auto"/>
            </w:tcBorders>
            <w:shd w:val="clear" w:color="auto" w:fill="auto"/>
          </w:tcPr>
          <w:p w14:paraId="371E2DBC" w14:textId="77777777" w:rsidR="007D2333" w:rsidRPr="007275DF" w:rsidRDefault="007D2333" w:rsidP="007D2333">
            <w:pPr>
              <w:pStyle w:val="TAH"/>
            </w:pPr>
          </w:p>
        </w:tc>
        <w:tc>
          <w:tcPr>
            <w:tcW w:w="802" w:type="dxa"/>
            <w:tcBorders>
              <w:left w:val="single" w:sz="6" w:space="0" w:color="auto"/>
              <w:bottom w:val="single" w:sz="6" w:space="0" w:color="auto"/>
              <w:right w:val="single" w:sz="6" w:space="0" w:color="auto"/>
            </w:tcBorders>
            <w:shd w:val="clear" w:color="auto" w:fill="auto"/>
          </w:tcPr>
          <w:p w14:paraId="1BCD6090" w14:textId="77777777" w:rsidR="007D2333" w:rsidRPr="007275DF" w:rsidRDefault="007D2333" w:rsidP="007D2333">
            <w:pPr>
              <w:pStyle w:val="TAH"/>
            </w:pPr>
          </w:p>
        </w:tc>
        <w:tc>
          <w:tcPr>
            <w:tcW w:w="2298" w:type="dxa"/>
            <w:tcBorders>
              <w:left w:val="single" w:sz="6" w:space="0" w:color="auto"/>
              <w:bottom w:val="single" w:sz="6" w:space="0" w:color="auto"/>
              <w:right w:val="single" w:sz="4" w:space="0" w:color="auto"/>
            </w:tcBorders>
            <w:shd w:val="clear" w:color="auto" w:fill="auto"/>
          </w:tcPr>
          <w:p w14:paraId="30FE30EE" w14:textId="77777777" w:rsidR="007D2333" w:rsidRPr="007275DF" w:rsidRDefault="007D2333" w:rsidP="007D2333">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2A7F247"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0066323"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30160B49"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tcPr>
          <w:p w14:paraId="58BBB3A1" w14:textId="77777777" w:rsidR="007D2333" w:rsidRPr="007275DF" w:rsidRDefault="007D2333" w:rsidP="007D2333">
            <w:pPr>
              <w:pStyle w:val="TAH"/>
            </w:pPr>
          </w:p>
        </w:tc>
      </w:tr>
      <w:tr w:rsidR="007D2333" w:rsidRPr="007275DF" w14:paraId="6C4341A8" w14:textId="77777777" w:rsidTr="007D2333">
        <w:trPr>
          <w:jc w:val="center"/>
        </w:trPr>
        <w:tc>
          <w:tcPr>
            <w:tcW w:w="1035" w:type="dxa"/>
            <w:vMerge w:val="restart"/>
            <w:tcBorders>
              <w:top w:val="single" w:sz="6" w:space="0" w:color="auto"/>
              <w:left w:val="single" w:sz="4" w:space="0" w:color="auto"/>
              <w:right w:val="single" w:sz="6" w:space="0" w:color="auto"/>
            </w:tcBorders>
            <w:shd w:val="clear" w:color="auto" w:fill="auto"/>
          </w:tcPr>
          <w:p w14:paraId="40CE9DD1" w14:textId="77777777" w:rsidR="007D2333" w:rsidRPr="00473F76" w:rsidRDefault="007D2333" w:rsidP="007D2333">
            <w:pPr>
              <w:pStyle w:val="TAC"/>
            </w:pPr>
            <w:r w:rsidRPr="007275DF">
              <w:sym w:font="Symbol" w:char="F0B1"/>
            </w:r>
            <w:r w:rsidRPr="007275DF">
              <w:t>3.0</w:t>
            </w:r>
          </w:p>
        </w:tc>
        <w:tc>
          <w:tcPr>
            <w:tcW w:w="1047" w:type="dxa"/>
            <w:vMerge w:val="restart"/>
            <w:tcBorders>
              <w:top w:val="single" w:sz="6" w:space="0" w:color="auto"/>
              <w:left w:val="single" w:sz="6" w:space="0" w:color="auto"/>
              <w:right w:val="single" w:sz="6" w:space="0" w:color="auto"/>
            </w:tcBorders>
            <w:shd w:val="clear" w:color="auto" w:fill="auto"/>
          </w:tcPr>
          <w:p w14:paraId="51892F98" w14:textId="77777777" w:rsidR="007D2333" w:rsidRPr="00473F76" w:rsidRDefault="007D2333" w:rsidP="007D2333">
            <w:pPr>
              <w:pStyle w:val="TAC"/>
            </w:pPr>
            <w:r w:rsidRPr="007275DF">
              <w:sym w:font="Symbol" w:char="F0B1"/>
            </w:r>
            <w:r w:rsidRPr="007275DF">
              <w:t>4</w:t>
            </w:r>
          </w:p>
        </w:tc>
        <w:tc>
          <w:tcPr>
            <w:tcW w:w="802" w:type="dxa"/>
            <w:vMerge w:val="restart"/>
            <w:tcBorders>
              <w:top w:val="single" w:sz="6" w:space="0" w:color="auto"/>
              <w:left w:val="single" w:sz="6" w:space="0" w:color="auto"/>
              <w:right w:val="single" w:sz="6" w:space="0" w:color="auto"/>
            </w:tcBorders>
            <w:shd w:val="clear" w:color="auto" w:fill="auto"/>
          </w:tcPr>
          <w:p w14:paraId="16F3BDCD" w14:textId="77777777" w:rsidR="007D2333" w:rsidRPr="00473F76" w:rsidRDefault="007D2333" w:rsidP="007D2333">
            <w:pPr>
              <w:pStyle w:val="TAC"/>
            </w:pPr>
            <w:r w:rsidRPr="007275DF">
              <w:sym w:font="Symbol" w:char="F0B3"/>
            </w:r>
            <w:r w:rsidRPr="007275DF">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FC52450" w14:textId="77777777" w:rsidR="007D2333" w:rsidRPr="007275DF" w:rsidRDefault="007D2333" w:rsidP="007D2333">
            <w:pPr>
              <w:pStyle w:val="TAC"/>
              <w:rPr>
                <w:lang w:val="sv-SE"/>
              </w:rPr>
            </w:pPr>
            <w:r w:rsidRPr="007275DF">
              <w:rPr>
                <w:rFonts w:cs="Arial"/>
                <w:lang w:val="sv-SE"/>
              </w:rPr>
              <w:t>NR_CCA_FR1_I</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90EC56F" w14:textId="77777777" w:rsidR="007D2333" w:rsidRPr="007275DF" w:rsidRDefault="007D2333" w:rsidP="007D2333">
            <w:pPr>
              <w:pStyle w:val="TAC"/>
            </w:pPr>
            <w:r w:rsidRPr="007275DF">
              <w:t>-117</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6B93240" w14:textId="77777777" w:rsidR="007D2333" w:rsidRPr="007275DF" w:rsidRDefault="007D2333" w:rsidP="007D2333">
            <w:pPr>
              <w:pStyle w:val="TAC"/>
              <w:rPr>
                <w:rFonts w:cs="Arial"/>
              </w:rPr>
            </w:pPr>
            <w:r w:rsidRPr="007275DF">
              <w:t>-114</w:t>
            </w:r>
          </w:p>
        </w:tc>
        <w:tc>
          <w:tcPr>
            <w:tcW w:w="1440" w:type="dxa"/>
            <w:vMerge w:val="restart"/>
            <w:tcBorders>
              <w:top w:val="single" w:sz="6" w:space="0" w:color="auto"/>
              <w:left w:val="single" w:sz="6" w:space="0" w:color="auto"/>
              <w:right w:val="single" w:sz="6" w:space="0" w:color="auto"/>
            </w:tcBorders>
            <w:shd w:val="clear" w:color="auto" w:fill="auto"/>
          </w:tcPr>
          <w:p w14:paraId="39C9B5EA"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tcPr>
          <w:p w14:paraId="0A54A4CF" w14:textId="77777777" w:rsidR="007D2333" w:rsidRPr="007275DF" w:rsidRDefault="007D2333" w:rsidP="007D2333">
            <w:pPr>
              <w:pStyle w:val="TAC"/>
            </w:pPr>
            <w:r w:rsidRPr="007275DF">
              <w:t>-50</w:t>
            </w:r>
          </w:p>
        </w:tc>
      </w:tr>
      <w:tr w:rsidR="007D2333" w:rsidRPr="007275DF" w14:paraId="6B6FE2BA" w14:textId="77777777" w:rsidTr="007D2333">
        <w:trPr>
          <w:jc w:val="center"/>
        </w:trPr>
        <w:tc>
          <w:tcPr>
            <w:tcW w:w="1035" w:type="dxa"/>
            <w:vMerge/>
            <w:tcBorders>
              <w:left w:val="single" w:sz="4" w:space="0" w:color="auto"/>
              <w:right w:val="single" w:sz="6" w:space="0" w:color="auto"/>
            </w:tcBorders>
            <w:shd w:val="clear" w:color="auto" w:fill="auto"/>
          </w:tcPr>
          <w:p w14:paraId="6B3ACD87" w14:textId="77777777" w:rsidR="007D2333" w:rsidRPr="007275DF" w:rsidRDefault="007D2333" w:rsidP="007D2333">
            <w:pPr>
              <w:pStyle w:val="TAC"/>
            </w:pPr>
          </w:p>
        </w:tc>
        <w:tc>
          <w:tcPr>
            <w:tcW w:w="1047" w:type="dxa"/>
            <w:vMerge/>
            <w:tcBorders>
              <w:left w:val="single" w:sz="6" w:space="0" w:color="auto"/>
              <w:right w:val="single" w:sz="6" w:space="0" w:color="auto"/>
            </w:tcBorders>
            <w:shd w:val="clear" w:color="auto" w:fill="auto"/>
          </w:tcPr>
          <w:p w14:paraId="49EBABDA" w14:textId="77777777" w:rsidR="007D2333" w:rsidRPr="007275DF" w:rsidRDefault="007D2333" w:rsidP="007D2333">
            <w:pPr>
              <w:pStyle w:val="TAC"/>
            </w:pPr>
          </w:p>
        </w:tc>
        <w:tc>
          <w:tcPr>
            <w:tcW w:w="802" w:type="dxa"/>
            <w:vMerge/>
            <w:tcBorders>
              <w:left w:val="single" w:sz="6" w:space="0" w:color="auto"/>
              <w:right w:val="single" w:sz="6" w:space="0" w:color="auto"/>
            </w:tcBorders>
            <w:shd w:val="clear" w:color="auto" w:fill="auto"/>
          </w:tcPr>
          <w:p w14:paraId="712CB51E" w14:textId="77777777" w:rsidR="007D2333" w:rsidRPr="007275DF" w:rsidRDefault="007D2333" w:rsidP="007D2333">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B2D2174" w14:textId="77777777" w:rsidR="007D2333" w:rsidRPr="007275DF" w:rsidRDefault="007D2333" w:rsidP="007D2333">
            <w:pPr>
              <w:pStyle w:val="TAC"/>
              <w:rPr>
                <w:rFonts w:cs="Arial"/>
                <w:lang w:val="sv-SE"/>
              </w:rPr>
            </w:pPr>
            <w:r w:rsidRPr="007275DF">
              <w:rPr>
                <w:rFonts w:cs="Arial"/>
                <w:lang w:val="sv-SE"/>
              </w:rPr>
              <w:t>NR_CCA_FR1_J</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D694C29" w14:textId="77777777" w:rsidR="007D2333" w:rsidRPr="007275DF" w:rsidRDefault="007D2333" w:rsidP="007D2333">
            <w:pPr>
              <w:pStyle w:val="TAC"/>
              <w:rPr>
                <w:lang w:val="sv-SE"/>
              </w:rPr>
            </w:pPr>
            <w:r w:rsidRPr="007275DF">
              <w:rPr>
                <w:lang w:val="sv-SE"/>
              </w:rPr>
              <w:t>116.5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B9BA5BF" w14:textId="77777777" w:rsidR="007D2333" w:rsidRPr="007275DF" w:rsidRDefault="007D2333" w:rsidP="007D2333">
            <w:pPr>
              <w:pStyle w:val="TAC"/>
              <w:rPr>
                <w:lang w:val="sv-SE"/>
              </w:rPr>
            </w:pPr>
            <w:r w:rsidRPr="007275DF">
              <w:rPr>
                <w:lang w:val="sv-SE"/>
              </w:rPr>
              <w:t>-113.5</w:t>
            </w:r>
          </w:p>
        </w:tc>
        <w:tc>
          <w:tcPr>
            <w:tcW w:w="1440" w:type="dxa"/>
            <w:vMerge/>
            <w:tcBorders>
              <w:left w:val="single" w:sz="6" w:space="0" w:color="auto"/>
              <w:bottom w:val="single" w:sz="6" w:space="0" w:color="auto"/>
              <w:right w:val="single" w:sz="6" w:space="0" w:color="auto"/>
            </w:tcBorders>
            <w:shd w:val="clear" w:color="auto" w:fill="auto"/>
          </w:tcPr>
          <w:p w14:paraId="1D327D1C" w14:textId="77777777" w:rsidR="007D2333" w:rsidRPr="007275DF" w:rsidRDefault="007D2333" w:rsidP="007D2333">
            <w:pPr>
              <w:pStyle w:val="TAC"/>
              <w:rPr>
                <w:lang w:val="sv-SE"/>
              </w:rPr>
            </w:pPr>
          </w:p>
        </w:tc>
        <w:tc>
          <w:tcPr>
            <w:tcW w:w="1440" w:type="dxa"/>
            <w:vMerge/>
            <w:tcBorders>
              <w:left w:val="single" w:sz="6" w:space="0" w:color="auto"/>
              <w:bottom w:val="single" w:sz="6" w:space="0" w:color="auto"/>
              <w:right w:val="single" w:sz="4" w:space="0" w:color="auto"/>
            </w:tcBorders>
            <w:shd w:val="clear" w:color="auto" w:fill="auto"/>
          </w:tcPr>
          <w:p w14:paraId="34F6643A" w14:textId="77777777" w:rsidR="007D2333" w:rsidRPr="007275DF" w:rsidRDefault="007D2333" w:rsidP="007D2333">
            <w:pPr>
              <w:pStyle w:val="TAC"/>
              <w:rPr>
                <w:lang w:val="sv-SE"/>
              </w:rPr>
            </w:pPr>
          </w:p>
        </w:tc>
      </w:tr>
      <w:tr w:rsidR="007D2333" w:rsidRPr="007275DF" w14:paraId="23B4ED9E" w14:textId="77777777" w:rsidTr="007D2333">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3E59FBB9" w14:textId="77777777" w:rsidR="007D2333" w:rsidRPr="00473F76" w:rsidRDefault="007D2333" w:rsidP="007D2333">
            <w:pPr>
              <w:pStyle w:val="TAC"/>
            </w:pPr>
            <w:r w:rsidRPr="007275DF">
              <w:sym w:font="Symbol" w:char="F0B1"/>
            </w:r>
            <w:r w:rsidRPr="007275DF">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1D1AAF51" w14:textId="77777777" w:rsidR="007D2333" w:rsidRPr="00473F76" w:rsidRDefault="007D2333" w:rsidP="007D2333">
            <w:pPr>
              <w:pStyle w:val="TAC"/>
            </w:pPr>
            <w:r w:rsidRPr="007275DF">
              <w:sym w:font="Symbol" w:char="F0B1"/>
            </w:r>
            <w:r w:rsidRPr="007275DF">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23C4785D" w14:textId="77777777" w:rsidR="007D2333" w:rsidRPr="00473F76" w:rsidRDefault="007D2333" w:rsidP="007D2333">
            <w:pPr>
              <w:pStyle w:val="TAC"/>
            </w:pPr>
            <w:r w:rsidRPr="007275DF">
              <w:sym w:font="Symbol" w:char="F0B3"/>
            </w:r>
            <w:r w:rsidRPr="007275DF">
              <w:t>-</w:t>
            </w:r>
            <w:r w:rsidRPr="00473F76">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34A5BA1" w14:textId="77777777" w:rsidR="007D2333" w:rsidRPr="007275DF" w:rsidRDefault="007D2333" w:rsidP="007D2333">
            <w:pPr>
              <w:pStyle w:val="TAC"/>
            </w:pPr>
            <w:r w:rsidRPr="007275DF">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16AA1325" w14:textId="77777777" w:rsidR="007D2333" w:rsidRPr="007275DF" w:rsidRDefault="007D2333" w:rsidP="007D2333">
            <w:pPr>
              <w:pStyle w:val="TAC"/>
            </w:pPr>
            <w:r w:rsidRPr="007275DF">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15AD3C40" w14:textId="77777777" w:rsidR="007D2333" w:rsidRPr="007275DF" w:rsidRDefault="007D2333" w:rsidP="007D2333">
            <w:pPr>
              <w:pStyle w:val="TAC"/>
              <w:rPr>
                <w:lang w:eastAsia="zh-CN"/>
              </w:rPr>
            </w:pPr>
            <w:r w:rsidRPr="007275DF">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31ED1381" w14:textId="77777777" w:rsidR="007D2333" w:rsidRPr="007275DF" w:rsidRDefault="007D2333" w:rsidP="007D2333">
            <w:pPr>
              <w:pStyle w:val="TAC"/>
            </w:pPr>
            <w:r w:rsidRPr="007275DF">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6F1214CD" w14:textId="77777777" w:rsidR="007D2333" w:rsidRPr="007275DF" w:rsidRDefault="007D2333" w:rsidP="007D2333">
            <w:pPr>
              <w:pStyle w:val="TAC"/>
            </w:pPr>
            <w:r w:rsidRPr="007275DF">
              <w:t>Note 2</w:t>
            </w:r>
          </w:p>
        </w:tc>
      </w:tr>
      <w:tr w:rsidR="007D2333" w:rsidRPr="007275DF" w14:paraId="1192E77E"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6F0C84A9" w14:textId="77777777" w:rsidR="007D2333" w:rsidRPr="007275DF" w:rsidRDefault="007D2333" w:rsidP="007D2333">
            <w:pPr>
              <w:pStyle w:val="TAN"/>
            </w:pPr>
            <w:r w:rsidRPr="007275DF">
              <w:t>NOTE 1:</w:t>
            </w:r>
            <w:r w:rsidRPr="007275DF">
              <w:tab/>
              <w:t>Io is assumed to have constant EPRE across the bandwidth.</w:t>
            </w:r>
          </w:p>
          <w:p w14:paraId="4E4A456C" w14:textId="77777777" w:rsidR="007D2333" w:rsidRPr="007275DF" w:rsidRDefault="007D2333" w:rsidP="007D2333">
            <w:pPr>
              <w:pStyle w:val="TAN"/>
              <w:rPr>
                <w:rFonts w:cs="Arial"/>
              </w:rPr>
            </w:pPr>
            <w:r w:rsidRPr="007275DF">
              <w:rPr>
                <w:rFonts w:cs="Arial"/>
              </w:rPr>
              <w:t>N</w:t>
            </w:r>
            <w:r w:rsidRPr="007275DF">
              <w:rPr>
                <w:rFonts w:cs="Arial"/>
                <w:lang w:eastAsia="zh-CN"/>
              </w:rPr>
              <w:t>OTE</w:t>
            </w:r>
            <w:r w:rsidRPr="007275DF">
              <w:rPr>
                <w:rFonts w:cs="Arial"/>
              </w:rPr>
              <w:t xml:space="preserve"> 2:</w:t>
            </w:r>
            <w:r w:rsidRPr="007275DF">
              <w:rPr>
                <w:rFonts w:cs="Arial"/>
              </w:rPr>
              <w:tab/>
              <w:t>The same bands and the same Io conditions for each band apply for this requirement as for the corresponding highest accuracy requirement.</w:t>
            </w:r>
          </w:p>
          <w:p w14:paraId="12562E28" w14:textId="77777777" w:rsidR="007D2333" w:rsidRPr="007275DF" w:rsidRDefault="007D2333" w:rsidP="007D2333">
            <w:pPr>
              <w:pStyle w:val="TAN"/>
              <w:rPr>
                <w:rFonts w:cs="Arial"/>
              </w:rPr>
            </w:pPr>
            <w:r w:rsidRPr="007275DF">
              <w:rPr>
                <w:rFonts w:cs="Arial"/>
              </w:rPr>
              <w:t>NOTE 3:</w:t>
            </w:r>
            <w:r w:rsidRPr="007275DF">
              <w:rPr>
                <w:rFonts w:cs="Arial"/>
              </w:rPr>
              <w:tab/>
              <w:t>The requirements apply for SSB Ês/Iot ≤ 25 dB.</w:t>
            </w:r>
          </w:p>
          <w:p w14:paraId="0F3579EB" w14:textId="77777777" w:rsidR="007D2333" w:rsidRPr="007275DF" w:rsidRDefault="007D2333" w:rsidP="007D2333">
            <w:pPr>
              <w:pStyle w:val="TAN"/>
            </w:pPr>
            <w:r w:rsidRPr="007275DF">
              <w:rPr>
                <w:rFonts w:cs="Arial"/>
              </w:rPr>
              <w:t>NOTE 4:</w:t>
            </w:r>
            <w:r w:rsidRPr="007275DF">
              <w:rPr>
                <w:rFonts w:cs="Arial"/>
              </w:rPr>
              <w:tab/>
            </w:r>
            <w:r w:rsidRPr="007275DF">
              <w:t>NR operating band groups are as defined in clause 3.5.2.</w:t>
            </w:r>
          </w:p>
        </w:tc>
      </w:tr>
    </w:tbl>
    <w:p w14:paraId="4BC78C50" w14:textId="77777777" w:rsidR="007D2333" w:rsidRPr="007275DF" w:rsidRDefault="007D2333" w:rsidP="007D2333">
      <w:pPr>
        <w:rPr>
          <w:lang w:eastAsia="ko-KR"/>
        </w:rPr>
      </w:pPr>
    </w:p>
    <w:p w14:paraId="415EB41A" w14:textId="77777777" w:rsidR="007D2333" w:rsidRPr="007275DF" w:rsidRDefault="007D2333" w:rsidP="00F37389">
      <w:pPr>
        <w:pStyle w:val="Heading5"/>
      </w:pPr>
      <w:r w:rsidRPr="007275DF">
        <w:rPr>
          <w:lang w:eastAsia="zh-CN"/>
        </w:rPr>
        <w:t>10.1.32</w:t>
      </w:r>
      <w:r w:rsidRPr="007275DF">
        <w:t>.</w:t>
      </w:r>
      <w:r w:rsidRPr="007275DF">
        <w:rPr>
          <w:lang w:eastAsia="zh-CN"/>
        </w:rPr>
        <w:t>1.2</w:t>
      </w:r>
      <w:r w:rsidRPr="007275DF">
        <w:tab/>
        <w:t xml:space="preserve">Relative Accuracy of </w:t>
      </w:r>
      <w:r w:rsidRPr="007275DF">
        <w:rPr>
          <w:lang w:eastAsia="zh-CN"/>
        </w:rPr>
        <w:t>SS-SINR</w:t>
      </w:r>
    </w:p>
    <w:p w14:paraId="69301785" w14:textId="77777777" w:rsidR="007D2333" w:rsidRPr="007275DF" w:rsidRDefault="007D2333" w:rsidP="007D2333">
      <w:pPr>
        <w:rPr>
          <w:rFonts w:cs="v4.2.0"/>
          <w:i/>
        </w:rPr>
      </w:pPr>
      <w:r w:rsidRPr="007275DF">
        <w:rPr>
          <w:rFonts w:cs="v4.2.0"/>
        </w:rPr>
        <w:t xml:space="preserve">The relative accuracy of </w:t>
      </w:r>
      <w:r w:rsidRPr="007275DF">
        <w:rPr>
          <w:rFonts w:cs="v4.2.0"/>
          <w:lang w:eastAsia="zh-CN"/>
        </w:rPr>
        <w:t>SS-SINR</w:t>
      </w:r>
      <w:r w:rsidRPr="007275DF">
        <w:rPr>
          <w:rFonts w:cs="v4.2.0"/>
        </w:rPr>
        <w:t xml:space="preserve"> in inter frequency case is defined as the SS-SINR measured from one cell on a frequency compared to the SS-SINR measured from another cell on a different frequency, with at least one of the two frequencies being under CCA.</w:t>
      </w:r>
    </w:p>
    <w:p w14:paraId="75032D7E"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10.1.32.1.2</w:t>
      </w:r>
      <w:r w:rsidRPr="007275DF">
        <w:rPr>
          <w:rFonts w:cs="v4.2.0"/>
        </w:rPr>
        <w:t>-1 are valid under the following conditions:</w:t>
      </w:r>
    </w:p>
    <w:p w14:paraId="15F5355C" w14:textId="1F8C4118" w:rsidR="007D2333" w:rsidRPr="007275DF" w:rsidRDefault="00EC6B23" w:rsidP="007D2333">
      <w:pPr>
        <w:pStyle w:val="B10"/>
        <w:rPr>
          <w:rFonts w:cs="v4.2.0"/>
        </w:rPr>
      </w:pPr>
      <w:r w:rsidRPr="007275DF">
        <w:t>-</w:t>
      </w:r>
      <w:r w:rsidRPr="007275DF">
        <w:tab/>
      </w:r>
      <w:r w:rsidR="007D2333" w:rsidRPr="007275DF">
        <w:t>Conditions defined in clause 7.3F of TS 38.101-1 [18] for reference sensitivity are fulfilled.</w:t>
      </w:r>
    </w:p>
    <w:p w14:paraId="7B0CC430" w14:textId="32E07CCD" w:rsidR="007D2333" w:rsidRPr="007275DF" w:rsidRDefault="00EC6B23" w:rsidP="007D2333">
      <w:pPr>
        <w:pStyle w:val="B10"/>
      </w:pPr>
      <w:r w:rsidRPr="007275DF">
        <w:t>-</w:t>
      </w:r>
      <w:r w:rsidRPr="007275DF">
        <w:tab/>
      </w:r>
      <w:r w:rsidR="007D2333" w:rsidRPr="007275DF">
        <w:t>Conditions for inter-frequency measurements are fulfilled according to Annex B.2.9 for a corresponding Band.</w:t>
      </w:r>
    </w:p>
    <w:p w14:paraId="33CF675D" w14:textId="2BC90031" w:rsidR="007D2333" w:rsidRPr="007275DF" w:rsidRDefault="00EC6B23" w:rsidP="007D2333">
      <w:pPr>
        <w:pStyle w:val="B10"/>
        <w:rPr>
          <w:rFonts w:cs="v4.2.0"/>
          <w:sz w:val="18"/>
        </w:rPr>
      </w:pPr>
      <w:r w:rsidRPr="007275DF">
        <w:t>-</w:t>
      </w:r>
      <w:r w:rsidRPr="007275DF">
        <w:tab/>
      </w:r>
      <w:r w:rsidR="007D2333" w:rsidRPr="007275DF">
        <w:t>SSB_RP1</w:t>
      </w:r>
      <w:r w:rsidR="007D2333" w:rsidRPr="007275DF">
        <w:rPr>
          <w:vertAlign w:val="subscript"/>
        </w:rPr>
        <w:t>dBm</w:t>
      </w:r>
      <w:r w:rsidR="007D2333" w:rsidRPr="007275DF">
        <w:t xml:space="preserve"> - SSB_RP2</w:t>
      </w:r>
      <w:r w:rsidR="007D2333" w:rsidRPr="007275DF">
        <w:rPr>
          <w:vertAlign w:val="subscript"/>
        </w:rPr>
        <w:t>dBm</w:t>
      </w:r>
      <w:r w:rsidR="007D2333" w:rsidRPr="007275DF">
        <w:t>| ≤ 27 dB</w:t>
      </w:r>
    </w:p>
    <w:p w14:paraId="36BD336D" w14:textId="146906EC" w:rsidR="007D2333" w:rsidRPr="00473F76" w:rsidRDefault="00EC6B23" w:rsidP="007D2333">
      <w:pPr>
        <w:pStyle w:val="B10"/>
      </w:pPr>
      <w:r w:rsidRPr="007275DF">
        <w:t>-</w:t>
      </w:r>
      <w:r w:rsidRPr="007275DF">
        <w:tab/>
      </w:r>
      <w:r w:rsidR="007D2333" w:rsidRPr="007275DF">
        <w:t xml:space="preserve">|Channel 1_Io </w:t>
      </w:r>
      <w:r w:rsidR="007D2333" w:rsidRPr="007275DF">
        <w:noBreakHyphen/>
        <w:t xml:space="preserve">Channel 2_Io | </w:t>
      </w:r>
      <w:r w:rsidR="007D2333" w:rsidRPr="007275DF">
        <w:sym w:font="Symbol" w:char="F0A3"/>
      </w:r>
      <w:r w:rsidR="007D2333" w:rsidRPr="007275DF">
        <w:t xml:space="preserve"> 20 dB</w:t>
      </w:r>
    </w:p>
    <w:p w14:paraId="136AB1DE" w14:textId="77777777" w:rsidR="007D2333" w:rsidRPr="007275DF" w:rsidRDefault="007D2333" w:rsidP="007D2333">
      <w:pPr>
        <w:pStyle w:val="TH"/>
        <w:rPr>
          <w:sz w:val="22"/>
          <w:szCs w:val="22"/>
          <w:lang w:eastAsia="zh-CN"/>
        </w:rPr>
      </w:pPr>
      <w:r w:rsidRPr="007275DF">
        <w:t xml:space="preserve">Table </w:t>
      </w:r>
      <w:r w:rsidRPr="007275DF">
        <w:rPr>
          <w:lang w:eastAsia="zh-CN"/>
        </w:rPr>
        <w:t>10.1.32.1.2</w:t>
      </w:r>
      <w:r w:rsidRPr="007275DF">
        <w:t xml:space="preserve">-1: </w:t>
      </w:r>
      <w:r w:rsidRPr="007275DF">
        <w:rPr>
          <w:lang w:eastAsia="zh-CN"/>
        </w:rPr>
        <w:t>SS-SINR</w:t>
      </w:r>
      <w:r w:rsidRPr="007275DF">
        <w:t xml:space="preserve"> inter-frequency relative accuracy</w:t>
      </w:r>
      <w:r w:rsidRPr="007275DF">
        <w:rPr>
          <w:sz w:val="22"/>
          <w:szCs w:val="22"/>
          <w:lang w:eastAsia="zh-CN"/>
        </w:rPr>
        <w:t xml:space="preserve"> under CCA</w:t>
      </w:r>
    </w:p>
    <w:tbl>
      <w:tblPr>
        <w:tblW w:w="10172" w:type="dxa"/>
        <w:jc w:val="center"/>
        <w:tblLook w:val="01E0" w:firstRow="1" w:lastRow="1" w:firstColumn="1" w:lastColumn="1" w:noHBand="0" w:noVBand="0"/>
      </w:tblPr>
      <w:tblGrid>
        <w:gridCol w:w="1033"/>
        <w:gridCol w:w="1047"/>
        <w:gridCol w:w="951"/>
        <w:gridCol w:w="2122"/>
        <w:gridCol w:w="1107"/>
        <w:gridCol w:w="1032"/>
        <w:gridCol w:w="1440"/>
        <w:gridCol w:w="1440"/>
      </w:tblGrid>
      <w:tr w:rsidR="007D2333" w:rsidRPr="007275DF" w14:paraId="6AEB2F6B" w14:textId="77777777" w:rsidTr="007D2333">
        <w:trPr>
          <w:jc w:val="center"/>
        </w:trPr>
        <w:tc>
          <w:tcPr>
            <w:tcW w:w="2080"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7F36603F" w14:textId="77777777" w:rsidR="007D2333" w:rsidRPr="007275DF" w:rsidRDefault="007D2333" w:rsidP="007D2333">
            <w:pPr>
              <w:pStyle w:val="TAH"/>
            </w:pPr>
            <w:r w:rsidRPr="007275DF">
              <w:t>Accuracy</w:t>
            </w:r>
          </w:p>
        </w:tc>
        <w:tc>
          <w:tcPr>
            <w:tcW w:w="8092"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64173F7B" w14:textId="77777777" w:rsidR="007D2333" w:rsidRPr="007275DF" w:rsidRDefault="007D2333" w:rsidP="007D2333">
            <w:pPr>
              <w:pStyle w:val="TAH"/>
            </w:pPr>
            <w:r w:rsidRPr="007275DF">
              <w:t>Conditions</w:t>
            </w:r>
          </w:p>
        </w:tc>
      </w:tr>
      <w:tr w:rsidR="007D2333" w:rsidRPr="007275DF" w14:paraId="637BDFAC" w14:textId="77777777" w:rsidTr="007D2333">
        <w:trPr>
          <w:jc w:val="center"/>
        </w:trPr>
        <w:tc>
          <w:tcPr>
            <w:tcW w:w="1033" w:type="dxa"/>
            <w:tcBorders>
              <w:top w:val="single" w:sz="4" w:space="0" w:color="auto"/>
              <w:left w:val="single" w:sz="4" w:space="0" w:color="auto"/>
              <w:right w:val="single" w:sz="4" w:space="0" w:color="auto"/>
            </w:tcBorders>
            <w:shd w:val="clear" w:color="auto" w:fill="auto"/>
          </w:tcPr>
          <w:p w14:paraId="5B86FEA0" w14:textId="77777777" w:rsidR="007D2333" w:rsidRPr="007275DF" w:rsidRDefault="007D2333" w:rsidP="007D2333">
            <w:pPr>
              <w:pStyle w:val="TAH"/>
            </w:pPr>
            <w:r w:rsidRPr="007275DF">
              <w:t>Normal condition</w:t>
            </w:r>
          </w:p>
        </w:tc>
        <w:tc>
          <w:tcPr>
            <w:tcW w:w="1047" w:type="dxa"/>
            <w:tcBorders>
              <w:top w:val="single" w:sz="4" w:space="0" w:color="auto"/>
              <w:left w:val="single" w:sz="4" w:space="0" w:color="auto"/>
              <w:right w:val="single" w:sz="4" w:space="0" w:color="auto"/>
            </w:tcBorders>
            <w:shd w:val="clear" w:color="auto" w:fill="auto"/>
          </w:tcPr>
          <w:p w14:paraId="64E3298C" w14:textId="77777777" w:rsidR="007D2333" w:rsidRPr="007275DF" w:rsidRDefault="007D2333" w:rsidP="007D2333">
            <w:pPr>
              <w:pStyle w:val="TAH"/>
            </w:pPr>
            <w:r w:rsidRPr="007275DF">
              <w:t>Extreme condition</w:t>
            </w:r>
          </w:p>
        </w:tc>
        <w:tc>
          <w:tcPr>
            <w:tcW w:w="951" w:type="dxa"/>
            <w:tcBorders>
              <w:top w:val="single" w:sz="4" w:space="0" w:color="auto"/>
              <w:left w:val="single" w:sz="4" w:space="0" w:color="auto"/>
              <w:right w:val="single" w:sz="4" w:space="0" w:color="auto"/>
            </w:tcBorders>
            <w:shd w:val="clear" w:color="auto" w:fill="auto"/>
          </w:tcPr>
          <w:p w14:paraId="79BDCF80" w14:textId="77777777" w:rsidR="007D2333" w:rsidRPr="007275DF" w:rsidRDefault="007D2333" w:rsidP="007D2333">
            <w:pPr>
              <w:pStyle w:val="TAH"/>
            </w:pPr>
            <w:r w:rsidRPr="007275DF">
              <w:t>SSB Ês/Iot</w:t>
            </w:r>
            <w:r w:rsidRPr="007275DF">
              <w:rPr>
                <w:vertAlign w:val="superscript"/>
                <w:lang w:eastAsia="zh-CN"/>
              </w:rPr>
              <w:t xml:space="preserve"> </w:t>
            </w:r>
          </w:p>
        </w:tc>
        <w:tc>
          <w:tcPr>
            <w:tcW w:w="7141" w:type="dxa"/>
            <w:gridSpan w:val="5"/>
            <w:tcBorders>
              <w:top w:val="single" w:sz="6" w:space="0" w:color="auto"/>
              <w:left w:val="single" w:sz="4" w:space="0" w:color="auto"/>
              <w:bottom w:val="single" w:sz="6" w:space="0" w:color="auto"/>
              <w:right w:val="single" w:sz="4" w:space="0" w:color="auto"/>
            </w:tcBorders>
            <w:shd w:val="clear" w:color="auto" w:fill="auto"/>
          </w:tcPr>
          <w:p w14:paraId="01CE5412" w14:textId="77777777" w:rsidR="007D2333" w:rsidRPr="007275DF" w:rsidRDefault="007D2333" w:rsidP="007D2333">
            <w:pPr>
              <w:pStyle w:val="TAH"/>
            </w:pPr>
            <w:r w:rsidRPr="007275DF">
              <w:t>Io</w:t>
            </w:r>
            <w:r w:rsidRPr="007275DF">
              <w:rPr>
                <w:vertAlign w:val="superscript"/>
                <w:lang w:eastAsia="zh-CN"/>
              </w:rPr>
              <w:t xml:space="preserve"> Note 1</w:t>
            </w:r>
            <w:r w:rsidRPr="007275DF">
              <w:t xml:space="preserve"> range</w:t>
            </w:r>
          </w:p>
        </w:tc>
      </w:tr>
      <w:tr w:rsidR="007D2333" w:rsidRPr="007275DF" w14:paraId="4280B7B3" w14:textId="77777777" w:rsidTr="007D2333">
        <w:trPr>
          <w:jc w:val="center"/>
        </w:trPr>
        <w:tc>
          <w:tcPr>
            <w:tcW w:w="1033" w:type="dxa"/>
            <w:tcBorders>
              <w:left w:val="single" w:sz="4" w:space="0" w:color="auto"/>
              <w:bottom w:val="single" w:sz="4" w:space="0" w:color="auto"/>
              <w:right w:val="single" w:sz="4" w:space="0" w:color="auto"/>
            </w:tcBorders>
            <w:shd w:val="clear" w:color="auto" w:fill="auto"/>
          </w:tcPr>
          <w:p w14:paraId="2240BEFA" w14:textId="77777777" w:rsidR="007D2333" w:rsidRPr="007275DF" w:rsidRDefault="007D2333" w:rsidP="007D2333">
            <w:pPr>
              <w:pStyle w:val="TAH"/>
            </w:pPr>
          </w:p>
        </w:tc>
        <w:tc>
          <w:tcPr>
            <w:tcW w:w="1047" w:type="dxa"/>
            <w:tcBorders>
              <w:left w:val="single" w:sz="4" w:space="0" w:color="auto"/>
              <w:bottom w:val="single" w:sz="4" w:space="0" w:color="auto"/>
              <w:right w:val="single" w:sz="4" w:space="0" w:color="auto"/>
            </w:tcBorders>
            <w:shd w:val="clear" w:color="auto" w:fill="auto"/>
          </w:tcPr>
          <w:p w14:paraId="28EB401C" w14:textId="77777777" w:rsidR="007D2333" w:rsidRPr="007275DF" w:rsidRDefault="007D2333" w:rsidP="007D2333">
            <w:pPr>
              <w:pStyle w:val="TAH"/>
            </w:pPr>
          </w:p>
        </w:tc>
        <w:tc>
          <w:tcPr>
            <w:tcW w:w="951" w:type="dxa"/>
            <w:tcBorders>
              <w:left w:val="single" w:sz="4" w:space="0" w:color="auto"/>
              <w:bottom w:val="single" w:sz="4" w:space="0" w:color="auto"/>
              <w:right w:val="single" w:sz="4" w:space="0" w:color="auto"/>
            </w:tcBorders>
            <w:shd w:val="clear" w:color="auto" w:fill="auto"/>
          </w:tcPr>
          <w:p w14:paraId="640729FE" w14:textId="77777777" w:rsidR="007D2333" w:rsidRPr="007275DF" w:rsidRDefault="007D2333" w:rsidP="007D2333">
            <w:pPr>
              <w:pStyle w:val="TAH"/>
            </w:pPr>
            <w:r w:rsidRPr="007275DF">
              <w:rPr>
                <w:vertAlign w:val="superscript"/>
                <w:lang w:eastAsia="zh-CN"/>
              </w:rPr>
              <w:t>Note 2,4</w:t>
            </w:r>
          </w:p>
        </w:tc>
        <w:tc>
          <w:tcPr>
            <w:tcW w:w="2122" w:type="dxa"/>
            <w:tcBorders>
              <w:top w:val="single" w:sz="6" w:space="0" w:color="auto"/>
              <w:left w:val="single" w:sz="4" w:space="0" w:color="auto"/>
              <w:bottom w:val="single" w:sz="6" w:space="0" w:color="auto"/>
              <w:right w:val="single" w:sz="4" w:space="0" w:color="auto"/>
            </w:tcBorders>
            <w:shd w:val="clear" w:color="auto" w:fill="auto"/>
          </w:tcPr>
          <w:p w14:paraId="01E2DB7B" w14:textId="77777777" w:rsidR="007D2333" w:rsidRPr="007275DF" w:rsidRDefault="007D2333" w:rsidP="007D2333">
            <w:pPr>
              <w:pStyle w:val="TAH"/>
            </w:pPr>
            <w:r w:rsidRPr="007275DF">
              <w:t>NR operating band groups</w:t>
            </w:r>
            <w:r w:rsidRPr="007275DF">
              <w:rPr>
                <w:vertAlign w:val="superscript"/>
              </w:rPr>
              <w:t xml:space="preserve"> Note 5</w:t>
            </w:r>
          </w:p>
        </w:tc>
        <w:tc>
          <w:tcPr>
            <w:tcW w:w="3579" w:type="dxa"/>
            <w:gridSpan w:val="3"/>
            <w:tcBorders>
              <w:top w:val="single" w:sz="4" w:space="0" w:color="auto"/>
              <w:left w:val="single" w:sz="4" w:space="0" w:color="auto"/>
              <w:bottom w:val="single" w:sz="6" w:space="0" w:color="auto"/>
              <w:right w:val="single" w:sz="6" w:space="0" w:color="auto"/>
            </w:tcBorders>
            <w:shd w:val="clear" w:color="auto" w:fill="auto"/>
          </w:tcPr>
          <w:p w14:paraId="770AA7DD"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6ED6D39A" w14:textId="77777777" w:rsidR="007D2333" w:rsidRPr="007275DF" w:rsidRDefault="007D2333" w:rsidP="007D2333">
            <w:pPr>
              <w:pStyle w:val="TAH"/>
            </w:pPr>
            <w:r w:rsidRPr="007275DF">
              <w:t>Maximum Io</w:t>
            </w:r>
          </w:p>
        </w:tc>
      </w:tr>
      <w:tr w:rsidR="007D2333" w:rsidRPr="007275DF" w14:paraId="737CE99E" w14:textId="77777777" w:rsidTr="007D2333">
        <w:trPr>
          <w:trHeight w:val="308"/>
          <w:jc w:val="center"/>
        </w:trPr>
        <w:tc>
          <w:tcPr>
            <w:tcW w:w="1033" w:type="dxa"/>
            <w:tcBorders>
              <w:top w:val="single" w:sz="4" w:space="0" w:color="auto"/>
              <w:left w:val="single" w:sz="4" w:space="0" w:color="auto"/>
              <w:right w:val="single" w:sz="6" w:space="0" w:color="auto"/>
            </w:tcBorders>
            <w:shd w:val="clear" w:color="auto" w:fill="auto"/>
          </w:tcPr>
          <w:p w14:paraId="5F143880" w14:textId="77777777" w:rsidR="007D2333" w:rsidRPr="007275DF" w:rsidRDefault="007D2333" w:rsidP="007D2333">
            <w:pPr>
              <w:pStyle w:val="TAH"/>
            </w:pPr>
            <w:r w:rsidRPr="007275DF">
              <w:t>dB</w:t>
            </w:r>
          </w:p>
        </w:tc>
        <w:tc>
          <w:tcPr>
            <w:tcW w:w="1047" w:type="dxa"/>
            <w:tcBorders>
              <w:top w:val="single" w:sz="4" w:space="0" w:color="auto"/>
              <w:left w:val="single" w:sz="6" w:space="0" w:color="auto"/>
              <w:right w:val="single" w:sz="6" w:space="0" w:color="auto"/>
            </w:tcBorders>
            <w:shd w:val="clear" w:color="auto" w:fill="auto"/>
          </w:tcPr>
          <w:p w14:paraId="25C8649D" w14:textId="77777777" w:rsidR="007D2333" w:rsidRPr="007275DF" w:rsidRDefault="007D2333" w:rsidP="007D2333">
            <w:pPr>
              <w:pStyle w:val="TAH"/>
            </w:pPr>
            <w:r w:rsidRPr="007275DF">
              <w:t>dB</w:t>
            </w:r>
          </w:p>
        </w:tc>
        <w:tc>
          <w:tcPr>
            <w:tcW w:w="951" w:type="dxa"/>
            <w:tcBorders>
              <w:top w:val="single" w:sz="4" w:space="0" w:color="auto"/>
              <w:left w:val="single" w:sz="6" w:space="0" w:color="auto"/>
              <w:right w:val="single" w:sz="6" w:space="0" w:color="auto"/>
            </w:tcBorders>
            <w:shd w:val="clear" w:color="auto" w:fill="auto"/>
          </w:tcPr>
          <w:p w14:paraId="13C893E9" w14:textId="77777777" w:rsidR="007D2333" w:rsidRPr="007275DF" w:rsidRDefault="007D2333" w:rsidP="007D2333">
            <w:pPr>
              <w:pStyle w:val="TAH"/>
            </w:pPr>
            <w:r w:rsidRPr="007275DF">
              <w:t>dB</w:t>
            </w:r>
          </w:p>
        </w:tc>
        <w:tc>
          <w:tcPr>
            <w:tcW w:w="2122" w:type="dxa"/>
            <w:tcBorders>
              <w:top w:val="single" w:sz="6" w:space="0" w:color="auto"/>
              <w:left w:val="single" w:sz="6" w:space="0" w:color="auto"/>
              <w:right w:val="single" w:sz="4" w:space="0" w:color="auto"/>
            </w:tcBorders>
            <w:shd w:val="clear" w:color="auto" w:fill="auto"/>
          </w:tcPr>
          <w:p w14:paraId="10DEFFF4" w14:textId="77777777" w:rsidR="007D2333" w:rsidRPr="007275DF" w:rsidRDefault="007D2333" w:rsidP="007D2333">
            <w:pPr>
              <w:pStyle w:val="TAH"/>
            </w:pPr>
          </w:p>
        </w:tc>
        <w:tc>
          <w:tcPr>
            <w:tcW w:w="2139" w:type="dxa"/>
            <w:gridSpan w:val="2"/>
            <w:tcBorders>
              <w:top w:val="single" w:sz="6" w:space="0" w:color="auto"/>
              <w:left w:val="single" w:sz="4" w:space="0" w:color="auto"/>
              <w:bottom w:val="single" w:sz="6" w:space="0" w:color="auto"/>
              <w:right w:val="single" w:sz="6" w:space="0" w:color="auto"/>
            </w:tcBorders>
            <w:shd w:val="clear" w:color="auto" w:fill="auto"/>
          </w:tcPr>
          <w:p w14:paraId="560DF0DB"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6FDDEAC1"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2F83EF37" w14:textId="77777777" w:rsidR="007D2333" w:rsidRPr="007275DF" w:rsidRDefault="007D2333" w:rsidP="007D2333">
            <w:pPr>
              <w:pStyle w:val="TAH"/>
            </w:pPr>
            <w:r w:rsidRPr="007275DF">
              <w:t>dBm/BW</w:t>
            </w:r>
            <w:r w:rsidRPr="007275DF">
              <w:rPr>
                <w:vertAlign w:val="subscript"/>
              </w:rPr>
              <w:t>Channel</w:t>
            </w:r>
          </w:p>
        </w:tc>
      </w:tr>
      <w:tr w:rsidR="007D2333" w:rsidRPr="007275DF" w14:paraId="7AB8A958" w14:textId="77777777" w:rsidTr="007D2333">
        <w:trPr>
          <w:trHeight w:val="307"/>
          <w:jc w:val="center"/>
        </w:trPr>
        <w:tc>
          <w:tcPr>
            <w:tcW w:w="1033" w:type="dxa"/>
            <w:tcBorders>
              <w:left w:val="single" w:sz="4" w:space="0" w:color="auto"/>
              <w:bottom w:val="single" w:sz="6" w:space="0" w:color="auto"/>
              <w:right w:val="single" w:sz="6" w:space="0" w:color="auto"/>
            </w:tcBorders>
            <w:shd w:val="clear" w:color="auto" w:fill="auto"/>
          </w:tcPr>
          <w:p w14:paraId="1A1B4E08" w14:textId="77777777" w:rsidR="007D2333" w:rsidRPr="007275DF" w:rsidRDefault="007D2333" w:rsidP="007D2333">
            <w:pPr>
              <w:pStyle w:val="TAH"/>
            </w:pPr>
          </w:p>
        </w:tc>
        <w:tc>
          <w:tcPr>
            <w:tcW w:w="1047" w:type="dxa"/>
            <w:tcBorders>
              <w:left w:val="single" w:sz="6" w:space="0" w:color="auto"/>
              <w:bottom w:val="single" w:sz="6" w:space="0" w:color="auto"/>
              <w:right w:val="single" w:sz="6" w:space="0" w:color="auto"/>
            </w:tcBorders>
            <w:shd w:val="clear" w:color="auto" w:fill="auto"/>
          </w:tcPr>
          <w:p w14:paraId="248D57A8" w14:textId="77777777" w:rsidR="007D2333" w:rsidRPr="007275DF" w:rsidRDefault="007D2333" w:rsidP="007D2333">
            <w:pPr>
              <w:pStyle w:val="TAH"/>
            </w:pPr>
          </w:p>
        </w:tc>
        <w:tc>
          <w:tcPr>
            <w:tcW w:w="951" w:type="dxa"/>
            <w:tcBorders>
              <w:left w:val="single" w:sz="6" w:space="0" w:color="auto"/>
              <w:bottom w:val="single" w:sz="6" w:space="0" w:color="auto"/>
              <w:right w:val="single" w:sz="6" w:space="0" w:color="auto"/>
            </w:tcBorders>
            <w:shd w:val="clear" w:color="auto" w:fill="auto"/>
          </w:tcPr>
          <w:p w14:paraId="5D689E33" w14:textId="77777777" w:rsidR="007D2333" w:rsidRPr="007275DF" w:rsidRDefault="007D2333" w:rsidP="007D2333">
            <w:pPr>
              <w:pStyle w:val="TAH"/>
            </w:pPr>
          </w:p>
        </w:tc>
        <w:tc>
          <w:tcPr>
            <w:tcW w:w="2122" w:type="dxa"/>
            <w:tcBorders>
              <w:left w:val="single" w:sz="6" w:space="0" w:color="auto"/>
              <w:bottom w:val="single" w:sz="6" w:space="0" w:color="auto"/>
              <w:right w:val="single" w:sz="4" w:space="0" w:color="auto"/>
            </w:tcBorders>
            <w:shd w:val="clear" w:color="auto" w:fill="auto"/>
          </w:tcPr>
          <w:p w14:paraId="1189E006" w14:textId="77777777" w:rsidR="007D2333" w:rsidRPr="007275DF" w:rsidRDefault="007D2333" w:rsidP="007D2333">
            <w:pPr>
              <w:pStyle w:val="TAH"/>
            </w:pP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71640352"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120 kHz</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24E04306"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240 kHz</w:t>
            </w:r>
          </w:p>
        </w:tc>
        <w:tc>
          <w:tcPr>
            <w:tcW w:w="1440" w:type="dxa"/>
            <w:tcBorders>
              <w:left w:val="single" w:sz="6" w:space="0" w:color="auto"/>
              <w:bottom w:val="single" w:sz="6" w:space="0" w:color="auto"/>
              <w:right w:val="single" w:sz="6" w:space="0" w:color="auto"/>
            </w:tcBorders>
            <w:shd w:val="clear" w:color="auto" w:fill="auto"/>
          </w:tcPr>
          <w:p w14:paraId="4A77F5C0"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tcPr>
          <w:p w14:paraId="771BA5E8" w14:textId="77777777" w:rsidR="007D2333" w:rsidRPr="007275DF" w:rsidRDefault="007D2333" w:rsidP="007D2333">
            <w:pPr>
              <w:pStyle w:val="TAH"/>
            </w:pPr>
          </w:p>
        </w:tc>
      </w:tr>
      <w:tr w:rsidR="007D2333" w:rsidRPr="007275DF" w14:paraId="04526056" w14:textId="77777777" w:rsidTr="007D2333">
        <w:trPr>
          <w:jc w:val="center"/>
        </w:trPr>
        <w:tc>
          <w:tcPr>
            <w:tcW w:w="1033" w:type="dxa"/>
            <w:vMerge w:val="restart"/>
            <w:tcBorders>
              <w:top w:val="single" w:sz="6" w:space="0" w:color="auto"/>
              <w:left w:val="single" w:sz="4" w:space="0" w:color="auto"/>
              <w:right w:val="single" w:sz="6" w:space="0" w:color="auto"/>
            </w:tcBorders>
            <w:shd w:val="clear" w:color="auto" w:fill="auto"/>
          </w:tcPr>
          <w:p w14:paraId="19457CBF" w14:textId="77777777" w:rsidR="007D2333" w:rsidRPr="00473F76" w:rsidRDefault="007D2333" w:rsidP="007D2333">
            <w:pPr>
              <w:pStyle w:val="TAC"/>
              <w:rPr>
                <w:lang w:eastAsia="zh-CN"/>
              </w:rPr>
            </w:pPr>
            <w:r w:rsidRPr="007275DF">
              <w:sym w:font="Symbol" w:char="F0B1"/>
            </w:r>
            <w:r w:rsidRPr="007275DF">
              <w:t>3.5</w:t>
            </w:r>
          </w:p>
        </w:tc>
        <w:tc>
          <w:tcPr>
            <w:tcW w:w="1047" w:type="dxa"/>
            <w:vMerge w:val="restart"/>
            <w:tcBorders>
              <w:top w:val="single" w:sz="6" w:space="0" w:color="auto"/>
              <w:left w:val="single" w:sz="6" w:space="0" w:color="auto"/>
              <w:right w:val="single" w:sz="6" w:space="0" w:color="auto"/>
            </w:tcBorders>
            <w:shd w:val="clear" w:color="auto" w:fill="auto"/>
          </w:tcPr>
          <w:p w14:paraId="19CF74E5" w14:textId="77777777" w:rsidR="007D2333" w:rsidRPr="00473F76" w:rsidRDefault="007D2333" w:rsidP="007D2333">
            <w:pPr>
              <w:pStyle w:val="TAC"/>
              <w:rPr>
                <w:lang w:eastAsia="zh-CN"/>
              </w:rPr>
            </w:pPr>
            <w:r w:rsidRPr="007275DF">
              <w:sym w:font="Symbol" w:char="F0B1"/>
            </w:r>
            <w:r w:rsidRPr="007275DF">
              <w:t>4</w:t>
            </w:r>
          </w:p>
        </w:tc>
        <w:tc>
          <w:tcPr>
            <w:tcW w:w="951" w:type="dxa"/>
            <w:vMerge w:val="restart"/>
            <w:tcBorders>
              <w:top w:val="single" w:sz="6" w:space="0" w:color="auto"/>
              <w:left w:val="single" w:sz="6" w:space="0" w:color="auto"/>
              <w:right w:val="single" w:sz="6" w:space="0" w:color="auto"/>
            </w:tcBorders>
            <w:shd w:val="clear" w:color="auto" w:fill="auto"/>
          </w:tcPr>
          <w:p w14:paraId="46C42FEF" w14:textId="77777777" w:rsidR="007D2333" w:rsidRPr="00473F76" w:rsidRDefault="007D2333" w:rsidP="007D2333">
            <w:pPr>
              <w:pStyle w:val="TAC"/>
            </w:pPr>
            <w:r w:rsidRPr="007275DF">
              <w:sym w:font="Symbol" w:char="F0B3"/>
            </w:r>
            <w:r w:rsidRPr="007275DF">
              <w:rPr>
                <w:lang w:eastAsia="zh-CN"/>
              </w:rPr>
              <w:t>-3</w:t>
            </w: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6F6FCD3F" w14:textId="77777777" w:rsidR="007D2333" w:rsidRPr="007275DF" w:rsidRDefault="007D2333" w:rsidP="007D2333">
            <w:pPr>
              <w:pStyle w:val="TAC"/>
              <w:rPr>
                <w:lang w:val="sv-SE"/>
              </w:rPr>
            </w:pPr>
            <w:r w:rsidRPr="007275DF">
              <w:rPr>
                <w:rFonts w:cs="Arial"/>
                <w:lang w:val="sv-SE"/>
              </w:rPr>
              <w:t>NR_CCA_FR1_I</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2F21D988" w14:textId="77777777" w:rsidR="007D2333" w:rsidRPr="007275DF" w:rsidRDefault="007D2333" w:rsidP="007D2333">
            <w:pPr>
              <w:pStyle w:val="TAC"/>
            </w:pPr>
            <w:r w:rsidRPr="007275DF">
              <w:t>-117</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40A302C2" w14:textId="77777777" w:rsidR="007D2333" w:rsidRPr="007275DF" w:rsidRDefault="007D2333" w:rsidP="007D2333">
            <w:pPr>
              <w:pStyle w:val="TAC"/>
              <w:rPr>
                <w:rFonts w:cs="Arial"/>
              </w:rPr>
            </w:pPr>
            <w:r w:rsidRPr="007275DF">
              <w:t>-114</w:t>
            </w:r>
          </w:p>
        </w:tc>
        <w:tc>
          <w:tcPr>
            <w:tcW w:w="1440" w:type="dxa"/>
            <w:vMerge w:val="restart"/>
            <w:tcBorders>
              <w:top w:val="single" w:sz="6" w:space="0" w:color="auto"/>
              <w:left w:val="single" w:sz="6" w:space="0" w:color="auto"/>
              <w:right w:val="single" w:sz="6" w:space="0" w:color="auto"/>
            </w:tcBorders>
            <w:shd w:val="clear" w:color="auto" w:fill="auto"/>
          </w:tcPr>
          <w:p w14:paraId="48ADA9D6"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tcPr>
          <w:p w14:paraId="49595D05" w14:textId="77777777" w:rsidR="007D2333" w:rsidRPr="007275DF" w:rsidRDefault="007D2333" w:rsidP="007D2333">
            <w:pPr>
              <w:pStyle w:val="TAC"/>
            </w:pPr>
            <w:r w:rsidRPr="007275DF">
              <w:t>-50</w:t>
            </w:r>
          </w:p>
        </w:tc>
      </w:tr>
      <w:tr w:rsidR="007D2333" w:rsidRPr="007275DF" w14:paraId="00867DF9" w14:textId="77777777" w:rsidTr="007D2333">
        <w:trPr>
          <w:jc w:val="center"/>
        </w:trPr>
        <w:tc>
          <w:tcPr>
            <w:tcW w:w="1033" w:type="dxa"/>
            <w:vMerge/>
            <w:tcBorders>
              <w:left w:val="single" w:sz="4" w:space="0" w:color="auto"/>
              <w:right w:val="single" w:sz="6" w:space="0" w:color="auto"/>
            </w:tcBorders>
            <w:shd w:val="clear" w:color="auto" w:fill="auto"/>
          </w:tcPr>
          <w:p w14:paraId="67467CB6" w14:textId="77777777" w:rsidR="007D2333" w:rsidRPr="007275DF" w:rsidRDefault="007D2333" w:rsidP="007D2333">
            <w:pPr>
              <w:pStyle w:val="TAC"/>
            </w:pPr>
          </w:p>
        </w:tc>
        <w:tc>
          <w:tcPr>
            <w:tcW w:w="1047" w:type="dxa"/>
            <w:vMerge/>
            <w:tcBorders>
              <w:left w:val="single" w:sz="6" w:space="0" w:color="auto"/>
              <w:right w:val="single" w:sz="6" w:space="0" w:color="auto"/>
            </w:tcBorders>
            <w:shd w:val="clear" w:color="auto" w:fill="auto"/>
          </w:tcPr>
          <w:p w14:paraId="162B382C" w14:textId="77777777" w:rsidR="007D2333" w:rsidRPr="007275DF" w:rsidRDefault="007D2333" w:rsidP="007D2333">
            <w:pPr>
              <w:pStyle w:val="TAC"/>
            </w:pPr>
          </w:p>
        </w:tc>
        <w:tc>
          <w:tcPr>
            <w:tcW w:w="951" w:type="dxa"/>
            <w:vMerge/>
            <w:tcBorders>
              <w:left w:val="single" w:sz="6" w:space="0" w:color="auto"/>
              <w:right w:val="single" w:sz="6" w:space="0" w:color="auto"/>
            </w:tcBorders>
            <w:shd w:val="clear" w:color="auto" w:fill="auto"/>
          </w:tcPr>
          <w:p w14:paraId="1316B299" w14:textId="77777777" w:rsidR="007D2333" w:rsidRPr="007275DF" w:rsidRDefault="007D2333" w:rsidP="007D2333">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68CE5D6A" w14:textId="77777777" w:rsidR="007D2333" w:rsidRPr="007275DF" w:rsidRDefault="007D2333" w:rsidP="007D2333">
            <w:pPr>
              <w:pStyle w:val="TAC"/>
              <w:rPr>
                <w:rFonts w:cs="Arial"/>
                <w:lang w:val="sv-SE"/>
              </w:rPr>
            </w:pPr>
            <w:r w:rsidRPr="007275DF">
              <w:rPr>
                <w:rFonts w:cs="Arial"/>
                <w:lang w:val="sv-SE"/>
              </w:rPr>
              <w:t>NR_CCA_FR1_J</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4FE29070" w14:textId="77777777" w:rsidR="007D2333" w:rsidRPr="007275DF" w:rsidRDefault="007D2333" w:rsidP="007D2333">
            <w:pPr>
              <w:pStyle w:val="TAC"/>
              <w:rPr>
                <w:lang w:val="sv-SE"/>
              </w:rPr>
            </w:pPr>
            <w:r w:rsidRPr="007275DF">
              <w:rPr>
                <w:lang w:val="sv-SE"/>
              </w:rPr>
              <w:t>-116.5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41CBE5DD" w14:textId="77777777" w:rsidR="007D2333" w:rsidRPr="007275DF" w:rsidRDefault="007D2333" w:rsidP="007D2333">
            <w:pPr>
              <w:pStyle w:val="TAC"/>
              <w:rPr>
                <w:lang w:val="sv-SE"/>
              </w:rPr>
            </w:pPr>
            <w:r w:rsidRPr="007275DF">
              <w:rPr>
                <w:lang w:val="sv-SE"/>
              </w:rPr>
              <w:t>-113.5</w:t>
            </w:r>
          </w:p>
        </w:tc>
        <w:tc>
          <w:tcPr>
            <w:tcW w:w="1440" w:type="dxa"/>
            <w:vMerge/>
            <w:tcBorders>
              <w:left w:val="single" w:sz="6" w:space="0" w:color="auto"/>
              <w:bottom w:val="single" w:sz="6" w:space="0" w:color="auto"/>
              <w:right w:val="single" w:sz="6" w:space="0" w:color="auto"/>
            </w:tcBorders>
            <w:shd w:val="clear" w:color="auto" w:fill="auto"/>
          </w:tcPr>
          <w:p w14:paraId="463E2C92" w14:textId="77777777" w:rsidR="007D2333" w:rsidRPr="007275DF" w:rsidRDefault="007D2333" w:rsidP="007D2333">
            <w:pPr>
              <w:pStyle w:val="TAC"/>
              <w:rPr>
                <w:lang w:val="sv-SE"/>
              </w:rPr>
            </w:pPr>
          </w:p>
        </w:tc>
        <w:tc>
          <w:tcPr>
            <w:tcW w:w="1440" w:type="dxa"/>
            <w:vMerge/>
            <w:tcBorders>
              <w:left w:val="single" w:sz="6" w:space="0" w:color="auto"/>
              <w:bottom w:val="single" w:sz="6" w:space="0" w:color="auto"/>
              <w:right w:val="single" w:sz="4" w:space="0" w:color="auto"/>
            </w:tcBorders>
            <w:shd w:val="clear" w:color="auto" w:fill="auto"/>
          </w:tcPr>
          <w:p w14:paraId="5A40BC59" w14:textId="77777777" w:rsidR="007D2333" w:rsidRPr="007275DF" w:rsidRDefault="007D2333" w:rsidP="007D2333">
            <w:pPr>
              <w:pStyle w:val="TAC"/>
              <w:rPr>
                <w:lang w:val="sv-SE"/>
              </w:rPr>
            </w:pPr>
          </w:p>
        </w:tc>
      </w:tr>
      <w:tr w:rsidR="007D2333" w:rsidRPr="007275DF" w14:paraId="78691933" w14:textId="77777777" w:rsidTr="007D2333">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429B728D" w14:textId="77777777" w:rsidR="007D2333" w:rsidRPr="00473F76" w:rsidRDefault="007D2333" w:rsidP="007D2333">
            <w:pPr>
              <w:pStyle w:val="TAC"/>
              <w:rPr>
                <w:lang w:eastAsia="zh-CN"/>
              </w:rPr>
            </w:pPr>
            <w:r w:rsidRPr="007275DF">
              <w:sym w:font="Symbol" w:char="F0B1"/>
            </w:r>
            <w:r w:rsidRPr="007275DF">
              <w:t>4</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608674CC" w14:textId="77777777" w:rsidR="007D2333" w:rsidRPr="00473F76" w:rsidRDefault="007D2333" w:rsidP="007D2333">
            <w:pPr>
              <w:pStyle w:val="TAC"/>
              <w:rPr>
                <w:lang w:eastAsia="zh-CN"/>
              </w:rPr>
            </w:pPr>
            <w:r w:rsidRPr="007275DF">
              <w:sym w:font="Symbol" w:char="F0B1"/>
            </w:r>
            <w:r w:rsidRPr="007275DF">
              <w:t>4</w:t>
            </w:r>
          </w:p>
        </w:tc>
        <w:tc>
          <w:tcPr>
            <w:tcW w:w="951" w:type="dxa"/>
            <w:tcBorders>
              <w:top w:val="single" w:sz="6" w:space="0" w:color="auto"/>
              <w:left w:val="single" w:sz="6" w:space="0" w:color="auto"/>
              <w:bottom w:val="single" w:sz="6" w:space="0" w:color="auto"/>
              <w:right w:val="single" w:sz="6" w:space="0" w:color="auto"/>
            </w:tcBorders>
            <w:shd w:val="clear" w:color="auto" w:fill="auto"/>
          </w:tcPr>
          <w:p w14:paraId="213B98CB" w14:textId="77777777" w:rsidR="007D2333" w:rsidRPr="00473F76" w:rsidRDefault="007D2333" w:rsidP="007D2333">
            <w:pPr>
              <w:pStyle w:val="TAC"/>
            </w:pPr>
            <w:r w:rsidRPr="007275DF">
              <w:sym w:font="Symbol" w:char="F0B3"/>
            </w:r>
            <w:r w:rsidRPr="007275DF">
              <w:rPr>
                <w:lang w:eastAsia="zh-CN"/>
              </w:rPr>
              <w:t>-6</w:t>
            </w: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06615FB1" w14:textId="77777777" w:rsidR="007D2333" w:rsidRPr="007275DF" w:rsidRDefault="007D2333" w:rsidP="007D2333">
            <w:pPr>
              <w:pStyle w:val="TAC"/>
            </w:pPr>
            <w:r w:rsidRPr="007275DF">
              <w:t>Note 3</w:t>
            </w:r>
          </w:p>
        </w:tc>
        <w:tc>
          <w:tcPr>
            <w:tcW w:w="1107" w:type="dxa"/>
            <w:tcBorders>
              <w:top w:val="single" w:sz="6" w:space="0" w:color="auto"/>
              <w:left w:val="single" w:sz="4" w:space="0" w:color="auto"/>
              <w:bottom w:val="single" w:sz="4" w:space="0" w:color="auto"/>
              <w:right w:val="single" w:sz="6" w:space="0" w:color="auto"/>
            </w:tcBorders>
            <w:shd w:val="clear" w:color="auto" w:fill="auto"/>
          </w:tcPr>
          <w:p w14:paraId="60A0C8C3" w14:textId="77777777" w:rsidR="007D2333" w:rsidRPr="007275DF" w:rsidRDefault="007D2333" w:rsidP="007D2333">
            <w:pPr>
              <w:pStyle w:val="TAC"/>
            </w:pPr>
            <w:r w:rsidRPr="007275DF">
              <w:t>Note 3</w:t>
            </w:r>
          </w:p>
        </w:tc>
        <w:tc>
          <w:tcPr>
            <w:tcW w:w="1032" w:type="dxa"/>
            <w:tcBorders>
              <w:top w:val="single" w:sz="6" w:space="0" w:color="auto"/>
              <w:left w:val="single" w:sz="4" w:space="0" w:color="auto"/>
              <w:bottom w:val="single" w:sz="4" w:space="0" w:color="auto"/>
              <w:right w:val="single" w:sz="6" w:space="0" w:color="auto"/>
            </w:tcBorders>
            <w:shd w:val="clear" w:color="auto" w:fill="auto"/>
          </w:tcPr>
          <w:p w14:paraId="1342DB47" w14:textId="77777777" w:rsidR="007D2333" w:rsidRPr="007275DF" w:rsidRDefault="007D2333" w:rsidP="007D2333">
            <w:pPr>
              <w:pStyle w:val="TAC"/>
              <w:rPr>
                <w:lang w:eastAsia="zh-CN"/>
              </w:rPr>
            </w:pPr>
            <w:r w:rsidRPr="007275DF">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06E2DEA1" w14:textId="77777777" w:rsidR="007D2333" w:rsidRPr="007275DF" w:rsidRDefault="007D2333" w:rsidP="007D2333">
            <w:pPr>
              <w:pStyle w:val="TAC"/>
            </w:pPr>
            <w:r w:rsidRPr="007275DF">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488383EE" w14:textId="77777777" w:rsidR="007D2333" w:rsidRPr="007275DF" w:rsidRDefault="007D2333" w:rsidP="007D2333">
            <w:pPr>
              <w:pStyle w:val="TAC"/>
            </w:pPr>
            <w:r w:rsidRPr="007275DF">
              <w:t>Note 3</w:t>
            </w:r>
          </w:p>
        </w:tc>
      </w:tr>
      <w:tr w:rsidR="007D2333" w:rsidRPr="007275DF" w14:paraId="798F3D61"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72F8AE43" w14:textId="77777777" w:rsidR="007D2333" w:rsidRPr="007275DF" w:rsidRDefault="007D2333" w:rsidP="007D2333">
            <w:pPr>
              <w:pStyle w:val="TAN"/>
            </w:pPr>
            <w:r w:rsidRPr="007275DF">
              <w:t>N</w:t>
            </w:r>
            <w:r w:rsidRPr="007275DF">
              <w:rPr>
                <w:lang w:eastAsia="zh-CN"/>
              </w:rPr>
              <w:t>OTE</w:t>
            </w:r>
            <w:r w:rsidRPr="007275DF">
              <w:t xml:space="preserve"> 1:</w:t>
            </w:r>
            <w:r w:rsidRPr="007275DF">
              <w:tab/>
              <w:t>Io is assumed to have constant EPRE across the bandwidth.</w:t>
            </w:r>
          </w:p>
          <w:p w14:paraId="4942408B" w14:textId="77777777" w:rsidR="007D2333" w:rsidRPr="007275DF" w:rsidRDefault="007D2333" w:rsidP="007D2333">
            <w:pPr>
              <w:pStyle w:val="TAN"/>
            </w:pPr>
            <w:r w:rsidRPr="007275DF">
              <w:t>N</w:t>
            </w:r>
            <w:r w:rsidRPr="007275DF">
              <w:rPr>
                <w:lang w:eastAsia="zh-CN"/>
              </w:rPr>
              <w:t>OTE</w:t>
            </w:r>
            <w:r w:rsidRPr="007275DF">
              <w:t xml:space="preserve"> 2:</w:t>
            </w:r>
            <w:r w:rsidRPr="007275DF">
              <w:tab/>
            </w:r>
            <w:r w:rsidRPr="007275DF">
              <w:rPr>
                <w:lang w:eastAsia="zh-CN"/>
              </w:rPr>
              <w:t xml:space="preserve">The parameter </w:t>
            </w:r>
            <w:r w:rsidRPr="007275DF">
              <w:t>SSB Ês/Iot</w:t>
            </w:r>
            <w:r w:rsidRPr="007275DF">
              <w:rPr>
                <w:lang w:eastAsia="zh-CN"/>
              </w:rPr>
              <w:t xml:space="preserve"> is the minimum </w:t>
            </w:r>
            <w:r w:rsidRPr="007275DF">
              <w:t>SSB Ês/Iot</w:t>
            </w:r>
            <w:r w:rsidRPr="007275DF">
              <w:rPr>
                <w:lang w:eastAsia="zh-CN"/>
              </w:rPr>
              <w:t xml:space="preserve"> of the pair of cells to which the requirement applies.</w:t>
            </w:r>
          </w:p>
          <w:p w14:paraId="0DB2E63F" w14:textId="77777777" w:rsidR="007D2333" w:rsidRPr="007275DF" w:rsidRDefault="007D2333" w:rsidP="007D2333">
            <w:pPr>
              <w:pStyle w:val="TAN"/>
              <w:rPr>
                <w:rFonts w:cs="Arial"/>
              </w:rPr>
            </w:pPr>
            <w:r w:rsidRPr="007275DF">
              <w:t>N</w:t>
            </w:r>
            <w:r w:rsidRPr="007275DF">
              <w:rPr>
                <w:lang w:eastAsia="zh-CN"/>
              </w:rPr>
              <w:t>OTE</w:t>
            </w:r>
            <w:r w:rsidRPr="007275DF">
              <w:t xml:space="preserve"> 3:</w:t>
            </w:r>
            <w:r w:rsidRPr="007275DF">
              <w:tab/>
            </w:r>
            <w:r w:rsidRPr="007275DF">
              <w:rPr>
                <w:rFonts w:cs="Arial"/>
              </w:rPr>
              <w:t>The same bands and the same Io conditions for each band apply for this requirement as for the corresponding highest accuracy requirement.</w:t>
            </w:r>
          </w:p>
          <w:p w14:paraId="2337B8E2" w14:textId="77777777" w:rsidR="007D2333" w:rsidRPr="007275DF" w:rsidRDefault="007D2333" w:rsidP="007D2333">
            <w:pPr>
              <w:pStyle w:val="TAN"/>
              <w:rPr>
                <w:rFonts w:cs="Arial"/>
              </w:rPr>
            </w:pPr>
            <w:r w:rsidRPr="007275DF">
              <w:rPr>
                <w:rFonts w:cs="Arial"/>
              </w:rPr>
              <w:t>NOTE 4:</w:t>
            </w:r>
            <w:r w:rsidRPr="007275DF">
              <w:rPr>
                <w:rFonts w:cs="Arial"/>
              </w:rPr>
              <w:tab/>
              <w:t>The requirements apply for SSB Ês/Iot ≤ 25 dB.</w:t>
            </w:r>
          </w:p>
          <w:p w14:paraId="2BBC8035" w14:textId="77777777" w:rsidR="007D2333" w:rsidRPr="007275DF" w:rsidRDefault="007D2333" w:rsidP="007D2333">
            <w:pPr>
              <w:pStyle w:val="TAN"/>
            </w:pPr>
            <w:r w:rsidRPr="007275DF">
              <w:rPr>
                <w:rFonts w:cs="Arial"/>
              </w:rPr>
              <w:t>NOTE 5:</w:t>
            </w:r>
            <w:r w:rsidRPr="007275DF">
              <w:rPr>
                <w:rFonts w:cs="Arial"/>
              </w:rPr>
              <w:tab/>
            </w:r>
            <w:r w:rsidRPr="007275DF">
              <w:t>NR operating band groups are as defined in clause 3.5.2.</w:t>
            </w:r>
          </w:p>
        </w:tc>
      </w:tr>
    </w:tbl>
    <w:p w14:paraId="0732A110" w14:textId="77777777" w:rsidR="007D2333" w:rsidRPr="007275DF" w:rsidRDefault="007D2333" w:rsidP="007D2333">
      <w:pPr>
        <w:rPr>
          <w:lang w:eastAsia="ko-KR"/>
        </w:rPr>
      </w:pPr>
    </w:p>
    <w:p w14:paraId="3C5988CD" w14:textId="77777777" w:rsidR="007D2333" w:rsidRPr="007275DF" w:rsidRDefault="007D2333" w:rsidP="007D2333">
      <w:pPr>
        <w:pStyle w:val="Heading3"/>
        <w:rPr>
          <w:lang w:val="en-US"/>
        </w:rPr>
      </w:pPr>
      <w:r w:rsidRPr="007275DF">
        <w:rPr>
          <w:lang w:val="en-US"/>
        </w:rPr>
        <w:t>10.1.33</w:t>
      </w:r>
      <w:r w:rsidRPr="007275DF">
        <w:rPr>
          <w:lang w:val="en-US"/>
        </w:rPr>
        <w:tab/>
        <w:t>L1-RSRP accuracy requirements under CCA</w:t>
      </w:r>
    </w:p>
    <w:p w14:paraId="51E1FDD5" w14:textId="77777777" w:rsidR="007D2333" w:rsidRPr="007275DF" w:rsidRDefault="007D2333" w:rsidP="00F37389">
      <w:pPr>
        <w:pStyle w:val="Heading4"/>
        <w:rPr>
          <w:lang w:val="en-US"/>
        </w:rPr>
      </w:pPr>
      <w:r w:rsidRPr="007275DF">
        <w:rPr>
          <w:lang w:val="en-US"/>
        </w:rPr>
        <w:t>10.1.33.1</w:t>
      </w:r>
      <w:r w:rsidRPr="007275DF">
        <w:rPr>
          <w:lang w:val="en-US"/>
        </w:rPr>
        <w:tab/>
        <w:t>SSB based L1-RSRP accuracy requirements in FR1</w:t>
      </w:r>
    </w:p>
    <w:p w14:paraId="65D3BAA7" w14:textId="77777777" w:rsidR="007D2333" w:rsidRPr="007275DF" w:rsidRDefault="007D2333" w:rsidP="00F37389">
      <w:pPr>
        <w:pStyle w:val="Heading5"/>
      </w:pPr>
      <w:r w:rsidRPr="007275DF">
        <w:t>10.1.33.1.1</w:t>
      </w:r>
      <w:r w:rsidRPr="007275DF">
        <w:tab/>
        <w:t>Absolute Accuracy</w:t>
      </w:r>
    </w:p>
    <w:p w14:paraId="06AC968D" w14:textId="77777777" w:rsidR="007D2333" w:rsidRPr="007275DF" w:rsidRDefault="007D2333" w:rsidP="007D2333">
      <w:pPr>
        <w:rPr>
          <w:rFonts w:cs="v4.2.0"/>
          <w:i/>
        </w:rPr>
      </w:pPr>
      <w:r w:rsidRPr="007275DF">
        <w:rPr>
          <w:rFonts w:cs="v4.2.0"/>
        </w:rPr>
        <w:t xml:space="preserve">Unless otherwise specified, the requirements for absolute accuracy of </w:t>
      </w:r>
      <w:r w:rsidRPr="007275DF">
        <w:rPr>
          <w:rFonts w:cs="v4.2.0"/>
          <w:lang w:eastAsia="zh-CN"/>
        </w:rPr>
        <w:t>SSB based L1-</w:t>
      </w:r>
      <w:r w:rsidRPr="007275DF">
        <w:rPr>
          <w:rFonts w:cs="v4.2.0"/>
        </w:rPr>
        <w:t>RSRP in this clause apply to all SSBs of the serving cell configured for L1-RSRP measurement under CCA.</w:t>
      </w:r>
    </w:p>
    <w:p w14:paraId="261858B2"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10.1.33.1.1</w:t>
      </w:r>
      <w:r w:rsidRPr="007275DF">
        <w:rPr>
          <w:rFonts w:cs="v4.2.0"/>
        </w:rPr>
        <w:t>-1 are valid under the following conditions:</w:t>
      </w:r>
    </w:p>
    <w:p w14:paraId="0F0F645B" w14:textId="77777777" w:rsidR="007D2333" w:rsidRPr="007275DF" w:rsidRDefault="007D2333" w:rsidP="007D2333">
      <w:pPr>
        <w:pStyle w:val="B10"/>
        <w:rPr>
          <w:rFonts w:eastAsia="PMingLiU"/>
        </w:rPr>
      </w:pPr>
      <w:r w:rsidRPr="007275DF">
        <w:t>-</w:t>
      </w:r>
      <w:r w:rsidRPr="007275DF">
        <w:tab/>
        <w:t>Conditions defined in clause 7.3F of TS 38.101-1 [18] for reference sensitivity are fulfilled.</w:t>
      </w:r>
    </w:p>
    <w:p w14:paraId="5C89B9AB" w14:textId="77777777" w:rsidR="007D2333" w:rsidRPr="007275DF" w:rsidRDefault="007D2333" w:rsidP="007D2333">
      <w:pPr>
        <w:pStyle w:val="B10"/>
      </w:pPr>
      <w:r w:rsidRPr="007275DF">
        <w:rPr>
          <w:rFonts w:eastAsia="PMingLiU"/>
        </w:rPr>
        <w:t>-</w:t>
      </w:r>
      <w:r w:rsidRPr="007275DF">
        <w:rPr>
          <w:rFonts w:eastAsia="PMingLiU"/>
        </w:rPr>
        <w:tab/>
      </w:r>
      <w:r w:rsidRPr="007275DF">
        <w:t xml:space="preserve">Conditions for L1-RSRP measurements are fulfilled according to Annex B.2.10.1 for a corresponding Band </w:t>
      </w:r>
      <w:r w:rsidRPr="007275DF">
        <w:rPr>
          <w:rFonts w:eastAsia="PMingLiU"/>
        </w:rPr>
        <w:t>for each relevant SSB</w:t>
      </w:r>
      <w:r w:rsidRPr="007275DF">
        <w:t>.</w:t>
      </w:r>
    </w:p>
    <w:p w14:paraId="2AA4C152" w14:textId="77777777" w:rsidR="007D2333" w:rsidRPr="007275DF" w:rsidRDefault="007D2333" w:rsidP="007D2333">
      <w:pPr>
        <w:pStyle w:val="TH"/>
      </w:pPr>
      <w:r w:rsidRPr="007275DF">
        <w:t>Table 10.1.33.1.1-1: SSB based L1-RSRP absolute accuracy under CCA</w:t>
      </w:r>
    </w:p>
    <w:tbl>
      <w:tblPr>
        <w:tblW w:w="10172" w:type="dxa"/>
        <w:jc w:val="center"/>
        <w:tblLook w:val="01E0" w:firstRow="1" w:lastRow="1" w:firstColumn="1" w:lastColumn="1" w:noHBand="0" w:noVBand="0"/>
      </w:tblPr>
      <w:tblGrid>
        <w:gridCol w:w="1036"/>
        <w:gridCol w:w="1126"/>
        <w:gridCol w:w="825"/>
        <w:gridCol w:w="2267"/>
        <w:gridCol w:w="982"/>
        <w:gridCol w:w="1056"/>
        <w:gridCol w:w="1440"/>
        <w:gridCol w:w="1440"/>
      </w:tblGrid>
      <w:tr w:rsidR="007D2333" w:rsidRPr="007275DF" w14:paraId="38DF9815" w14:textId="77777777" w:rsidTr="007D2333">
        <w:trPr>
          <w:jc w:val="center"/>
        </w:trPr>
        <w:tc>
          <w:tcPr>
            <w:tcW w:w="216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0D99255C" w14:textId="77777777" w:rsidR="007D2333" w:rsidRPr="007275DF" w:rsidRDefault="007D2333" w:rsidP="007D2333">
            <w:pPr>
              <w:pStyle w:val="TAH"/>
            </w:pPr>
            <w:r w:rsidRPr="007275DF">
              <w:t>Accuracy</w:t>
            </w:r>
          </w:p>
        </w:tc>
        <w:tc>
          <w:tcPr>
            <w:tcW w:w="801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473AE13C" w14:textId="77777777" w:rsidR="007D2333" w:rsidRPr="007275DF" w:rsidRDefault="007D2333" w:rsidP="007D2333">
            <w:pPr>
              <w:pStyle w:val="TAH"/>
            </w:pPr>
            <w:r w:rsidRPr="007275DF">
              <w:t>Conditions</w:t>
            </w:r>
          </w:p>
        </w:tc>
      </w:tr>
      <w:tr w:rsidR="007D2333" w:rsidRPr="007275DF" w14:paraId="0FF3935E" w14:textId="77777777" w:rsidTr="007D2333">
        <w:trPr>
          <w:jc w:val="center"/>
        </w:trPr>
        <w:tc>
          <w:tcPr>
            <w:tcW w:w="1036" w:type="dxa"/>
            <w:tcBorders>
              <w:top w:val="single" w:sz="6" w:space="0" w:color="auto"/>
              <w:left w:val="single" w:sz="4" w:space="0" w:color="auto"/>
              <w:right w:val="single" w:sz="6" w:space="0" w:color="auto"/>
            </w:tcBorders>
            <w:shd w:val="clear" w:color="auto" w:fill="auto"/>
            <w:vAlign w:val="center"/>
          </w:tcPr>
          <w:p w14:paraId="74DA3CEF" w14:textId="77777777" w:rsidR="007D2333" w:rsidRPr="007275DF" w:rsidRDefault="007D2333" w:rsidP="007D2333">
            <w:pPr>
              <w:pStyle w:val="TAH"/>
            </w:pPr>
            <w:r w:rsidRPr="007275DF">
              <w:t>Normal condition</w:t>
            </w:r>
          </w:p>
        </w:tc>
        <w:tc>
          <w:tcPr>
            <w:tcW w:w="1126" w:type="dxa"/>
            <w:tcBorders>
              <w:top w:val="single" w:sz="6" w:space="0" w:color="auto"/>
              <w:left w:val="single" w:sz="6" w:space="0" w:color="auto"/>
              <w:right w:val="single" w:sz="6" w:space="0" w:color="auto"/>
            </w:tcBorders>
            <w:shd w:val="clear" w:color="auto" w:fill="auto"/>
            <w:vAlign w:val="center"/>
          </w:tcPr>
          <w:p w14:paraId="73609ED2" w14:textId="77777777" w:rsidR="007D2333" w:rsidRPr="007275DF" w:rsidRDefault="007D2333" w:rsidP="007D2333">
            <w:pPr>
              <w:pStyle w:val="TAH"/>
            </w:pPr>
            <w:r w:rsidRPr="007275DF">
              <w:t>Extreme condition</w:t>
            </w:r>
          </w:p>
        </w:tc>
        <w:tc>
          <w:tcPr>
            <w:tcW w:w="825" w:type="dxa"/>
            <w:tcBorders>
              <w:top w:val="single" w:sz="6" w:space="0" w:color="auto"/>
              <w:left w:val="single" w:sz="6" w:space="0" w:color="auto"/>
              <w:right w:val="single" w:sz="6" w:space="0" w:color="auto"/>
            </w:tcBorders>
            <w:shd w:val="clear" w:color="auto" w:fill="auto"/>
            <w:vAlign w:val="center"/>
          </w:tcPr>
          <w:p w14:paraId="5CB9E42F" w14:textId="77777777" w:rsidR="007D2333" w:rsidRPr="007275DF" w:rsidRDefault="007D2333" w:rsidP="007D2333">
            <w:pPr>
              <w:pStyle w:val="TAH"/>
            </w:pPr>
            <w:r w:rsidRPr="007275DF">
              <w:t>SSB Ês/Iot</w:t>
            </w:r>
          </w:p>
        </w:tc>
        <w:tc>
          <w:tcPr>
            <w:tcW w:w="7185"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273CFB1" w14:textId="77777777" w:rsidR="007D2333" w:rsidRPr="007275DF" w:rsidRDefault="007D2333" w:rsidP="007D2333">
            <w:pPr>
              <w:pStyle w:val="TAH"/>
            </w:pPr>
            <w:r w:rsidRPr="007275DF">
              <w:t>Io</w:t>
            </w:r>
            <w:r w:rsidRPr="007275DF">
              <w:rPr>
                <w:vertAlign w:val="superscript"/>
              </w:rPr>
              <w:t xml:space="preserve"> Note 1</w:t>
            </w:r>
            <w:r w:rsidRPr="007275DF">
              <w:t xml:space="preserve"> range</w:t>
            </w:r>
          </w:p>
        </w:tc>
      </w:tr>
      <w:tr w:rsidR="007D2333" w:rsidRPr="007275DF" w14:paraId="7C151C38" w14:textId="77777777" w:rsidTr="007D2333">
        <w:trPr>
          <w:jc w:val="center"/>
        </w:trPr>
        <w:tc>
          <w:tcPr>
            <w:tcW w:w="1036" w:type="dxa"/>
            <w:tcBorders>
              <w:left w:val="single" w:sz="4" w:space="0" w:color="auto"/>
              <w:bottom w:val="single" w:sz="6" w:space="0" w:color="auto"/>
              <w:right w:val="single" w:sz="6" w:space="0" w:color="auto"/>
            </w:tcBorders>
            <w:shd w:val="clear" w:color="auto" w:fill="auto"/>
            <w:vAlign w:val="center"/>
          </w:tcPr>
          <w:p w14:paraId="0E693D5E" w14:textId="77777777" w:rsidR="007D2333" w:rsidRPr="007275DF" w:rsidRDefault="007D2333" w:rsidP="007D2333">
            <w:pPr>
              <w:pStyle w:val="TAH"/>
            </w:pPr>
          </w:p>
        </w:tc>
        <w:tc>
          <w:tcPr>
            <w:tcW w:w="1126" w:type="dxa"/>
            <w:tcBorders>
              <w:left w:val="single" w:sz="6" w:space="0" w:color="auto"/>
              <w:bottom w:val="single" w:sz="6" w:space="0" w:color="auto"/>
              <w:right w:val="single" w:sz="6" w:space="0" w:color="auto"/>
            </w:tcBorders>
            <w:shd w:val="clear" w:color="auto" w:fill="auto"/>
            <w:vAlign w:val="center"/>
          </w:tcPr>
          <w:p w14:paraId="7663E5CF" w14:textId="77777777" w:rsidR="007D2333" w:rsidRPr="007275DF" w:rsidRDefault="007D2333" w:rsidP="007D2333">
            <w:pPr>
              <w:pStyle w:val="TAH"/>
            </w:pPr>
          </w:p>
        </w:tc>
        <w:tc>
          <w:tcPr>
            <w:tcW w:w="825" w:type="dxa"/>
            <w:tcBorders>
              <w:left w:val="single" w:sz="6" w:space="0" w:color="auto"/>
              <w:bottom w:val="single" w:sz="6" w:space="0" w:color="auto"/>
              <w:right w:val="single" w:sz="6" w:space="0" w:color="auto"/>
            </w:tcBorders>
            <w:shd w:val="clear" w:color="auto" w:fill="auto"/>
            <w:vAlign w:val="center"/>
          </w:tcPr>
          <w:p w14:paraId="71742BE9" w14:textId="77777777" w:rsidR="007D2333" w:rsidRPr="007275DF" w:rsidRDefault="007D2333" w:rsidP="007D2333">
            <w:pPr>
              <w:pStyle w:val="TAH"/>
            </w:pPr>
          </w:p>
        </w:tc>
        <w:tc>
          <w:tcPr>
            <w:tcW w:w="2267" w:type="dxa"/>
            <w:tcBorders>
              <w:top w:val="single" w:sz="6" w:space="0" w:color="auto"/>
              <w:left w:val="single" w:sz="6" w:space="0" w:color="auto"/>
              <w:bottom w:val="single" w:sz="6" w:space="0" w:color="auto"/>
              <w:right w:val="single" w:sz="4" w:space="0" w:color="auto"/>
            </w:tcBorders>
            <w:shd w:val="clear" w:color="auto" w:fill="auto"/>
            <w:vAlign w:val="center"/>
          </w:tcPr>
          <w:p w14:paraId="10C57146" w14:textId="77777777" w:rsidR="007D2333" w:rsidRPr="007275DF" w:rsidRDefault="007D2333" w:rsidP="007D2333">
            <w:pPr>
              <w:pStyle w:val="TAH"/>
            </w:pPr>
            <w:r w:rsidRPr="007275DF">
              <w:t>NR operating band groups</w:t>
            </w:r>
            <w:r w:rsidRPr="007275DF">
              <w:rPr>
                <w:vertAlign w:val="superscript"/>
              </w:rPr>
              <w:t xml:space="preserve"> Note 2</w:t>
            </w:r>
          </w:p>
        </w:tc>
        <w:tc>
          <w:tcPr>
            <w:tcW w:w="34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01974600"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236530FD" w14:textId="77777777" w:rsidR="007D2333" w:rsidRPr="007275DF" w:rsidRDefault="007D2333" w:rsidP="007D2333">
            <w:pPr>
              <w:pStyle w:val="TAH"/>
            </w:pPr>
            <w:r w:rsidRPr="007275DF">
              <w:t>Maximum Io</w:t>
            </w:r>
          </w:p>
        </w:tc>
      </w:tr>
      <w:tr w:rsidR="007D2333" w:rsidRPr="007275DF" w14:paraId="3649036E" w14:textId="77777777" w:rsidTr="007D2333">
        <w:trPr>
          <w:trHeight w:val="308"/>
          <w:jc w:val="center"/>
        </w:trPr>
        <w:tc>
          <w:tcPr>
            <w:tcW w:w="1036" w:type="dxa"/>
            <w:tcBorders>
              <w:top w:val="single" w:sz="6" w:space="0" w:color="auto"/>
              <w:left w:val="single" w:sz="4" w:space="0" w:color="auto"/>
              <w:right w:val="single" w:sz="6" w:space="0" w:color="auto"/>
            </w:tcBorders>
            <w:shd w:val="clear" w:color="auto" w:fill="auto"/>
            <w:vAlign w:val="center"/>
          </w:tcPr>
          <w:p w14:paraId="50E89288" w14:textId="77777777" w:rsidR="007D2333" w:rsidRPr="007275DF" w:rsidRDefault="007D2333" w:rsidP="007D2333">
            <w:pPr>
              <w:pStyle w:val="TAH"/>
            </w:pPr>
            <w:r w:rsidRPr="007275DF">
              <w:t>dB</w:t>
            </w:r>
          </w:p>
        </w:tc>
        <w:tc>
          <w:tcPr>
            <w:tcW w:w="1126" w:type="dxa"/>
            <w:tcBorders>
              <w:top w:val="single" w:sz="6" w:space="0" w:color="auto"/>
              <w:left w:val="single" w:sz="6" w:space="0" w:color="auto"/>
              <w:right w:val="single" w:sz="6" w:space="0" w:color="auto"/>
            </w:tcBorders>
            <w:shd w:val="clear" w:color="auto" w:fill="auto"/>
            <w:vAlign w:val="center"/>
          </w:tcPr>
          <w:p w14:paraId="054A4925" w14:textId="77777777" w:rsidR="007D2333" w:rsidRPr="007275DF" w:rsidRDefault="007D2333" w:rsidP="007D2333">
            <w:pPr>
              <w:pStyle w:val="TAH"/>
            </w:pPr>
            <w:r w:rsidRPr="007275DF">
              <w:t>dB</w:t>
            </w:r>
          </w:p>
        </w:tc>
        <w:tc>
          <w:tcPr>
            <w:tcW w:w="825" w:type="dxa"/>
            <w:tcBorders>
              <w:top w:val="single" w:sz="6" w:space="0" w:color="auto"/>
              <w:left w:val="single" w:sz="6" w:space="0" w:color="auto"/>
              <w:right w:val="single" w:sz="6" w:space="0" w:color="auto"/>
            </w:tcBorders>
            <w:shd w:val="clear" w:color="auto" w:fill="auto"/>
            <w:vAlign w:val="center"/>
          </w:tcPr>
          <w:p w14:paraId="0DE4CCD6" w14:textId="77777777" w:rsidR="007D2333" w:rsidRPr="007275DF" w:rsidRDefault="007D2333" w:rsidP="007D2333">
            <w:pPr>
              <w:pStyle w:val="TAH"/>
            </w:pPr>
            <w:r w:rsidRPr="007275DF">
              <w:t>dB</w:t>
            </w:r>
          </w:p>
        </w:tc>
        <w:tc>
          <w:tcPr>
            <w:tcW w:w="2267" w:type="dxa"/>
            <w:tcBorders>
              <w:top w:val="single" w:sz="6" w:space="0" w:color="auto"/>
              <w:left w:val="single" w:sz="6" w:space="0" w:color="auto"/>
              <w:right w:val="single" w:sz="4" w:space="0" w:color="auto"/>
            </w:tcBorders>
            <w:shd w:val="clear" w:color="auto" w:fill="auto"/>
            <w:vAlign w:val="center"/>
          </w:tcPr>
          <w:p w14:paraId="1D92F0A8" w14:textId="77777777" w:rsidR="007D2333" w:rsidRPr="007275DF" w:rsidRDefault="007D2333" w:rsidP="007D2333">
            <w:pPr>
              <w:pStyle w:val="TAH"/>
            </w:pPr>
          </w:p>
        </w:tc>
        <w:tc>
          <w:tcPr>
            <w:tcW w:w="20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29271860"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5BDEEF51"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128FEB78" w14:textId="77777777" w:rsidR="007D2333" w:rsidRPr="007275DF" w:rsidRDefault="007D2333" w:rsidP="007D2333">
            <w:pPr>
              <w:pStyle w:val="TAH"/>
            </w:pPr>
            <w:r w:rsidRPr="007275DF">
              <w:t>dBm/BW</w:t>
            </w:r>
            <w:r w:rsidRPr="007275DF">
              <w:rPr>
                <w:vertAlign w:val="subscript"/>
              </w:rPr>
              <w:t>Channel</w:t>
            </w:r>
          </w:p>
        </w:tc>
      </w:tr>
      <w:tr w:rsidR="007D2333" w:rsidRPr="007275DF" w14:paraId="567F77F5" w14:textId="77777777" w:rsidTr="007D2333">
        <w:trPr>
          <w:trHeight w:val="307"/>
          <w:jc w:val="center"/>
        </w:trPr>
        <w:tc>
          <w:tcPr>
            <w:tcW w:w="1036" w:type="dxa"/>
            <w:tcBorders>
              <w:left w:val="single" w:sz="4" w:space="0" w:color="auto"/>
              <w:bottom w:val="single" w:sz="6" w:space="0" w:color="auto"/>
              <w:right w:val="single" w:sz="6" w:space="0" w:color="auto"/>
            </w:tcBorders>
            <w:shd w:val="clear" w:color="auto" w:fill="auto"/>
          </w:tcPr>
          <w:p w14:paraId="2A156C94" w14:textId="77777777" w:rsidR="007D2333" w:rsidRPr="007275DF" w:rsidRDefault="007D2333" w:rsidP="007D2333">
            <w:pPr>
              <w:pStyle w:val="TAH"/>
            </w:pPr>
          </w:p>
        </w:tc>
        <w:tc>
          <w:tcPr>
            <w:tcW w:w="1126" w:type="dxa"/>
            <w:tcBorders>
              <w:left w:val="single" w:sz="6" w:space="0" w:color="auto"/>
              <w:bottom w:val="single" w:sz="6" w:space="0" w:color="auto"/>
              <w:right w:val="single" w:sz="6" w:space="0" w:color="auto"/>
            </w:tcBorders>
            <w:shd w:val="clear" w:color="auto" w:fill="auto"/>
          </w:tcPr>
          <w:p w14:paraId="12F32689" w14:textId="77777777" w:rsidR="007D2333" w:rsidRPr="007275DF" w:rsidRDefault="007D2333" w:rsidP="007D2333">
            <w:pPr>
              <w:pStyle w:val="TAH"/>
            </w:pPr>
          </w:p>
        </w:tc>
        <w:tc>
          <w:tcPr>
            <w:tcW w:w="825" w:type="dxa"/>
            <w:tcBorders>
              <w:left w:val="single" w:sz="6" w:space="0" w:color="auto"/>
              <w:bottom w:val="single" w:sz="6" w:space="0" w:color="auto"/>
              <w:right w:val="single" w:sz="6" w:space="0" w:color="auto"/>
            </w:tcBorders>
            <w:shd w:val="clear" w:color="auto" w:fill="auto"/>
          </w:tcPr>
          <w:p w14:paraId="151A1529" w14:textId="77777777" w:rsidR="007D2333" w:rsidRPr="007275DF" w:rsidRDefault="007D2333" w:rsidP="007D2333">
            <w:pPr>
              <w:pStyle w:val="TAH"/>
            </w:pPr>
          </w:p>
        </w:tc>
        <w:tc>
          <w:tcPr>
            <w:tcW w:w="2267" w:type="dxa"/>
            <w:tcBorders>
              <w:left w:val="single" w:sz="6" w:space="0" w:color="auto"/>
              <w:bottom w:val="single" w:sz="6" w:space="0" w:color="auto"/>
              <w:right w:val="single" w:sz="4" w:space="0" w:color="auto"/>
            </w:tcBorders>
            <w:shd w:val="clear" w:color="auto" w:fill="auto"/>
          </w:tcPr>
          <w:p w14:paraId="24AA92FF" w14:textId="77777777" w:rsidR="007D2333" w:rsidRPr="007275DF" w:rsidRDefault="007D2333" w:rsidP="007D2333">
            <w:pPr>
              <w:pStyle w:val="TAH"/>
            </w:pP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3ED616F4"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363B7212"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2193F7CE"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tcPr>
          <w:p w14:paraId="44965674" w14:textId="77777777" w:rsidR="007D2333" w:rsidRPr="007275DF" w:rsidRDefault="007D2333" w:rsidP="007D2333">
            <w:pPr>
              <w:pStyle w:val="TAH"/>
            </w:pPr>
          </w:p>
        </w:tc>
      </w:tr>
      <w:tr w:rsidR="007D2333" w:rsidRPr="007275DF" w14:paraId="65CDDBB5" w14:textId="77777777" w:rsidTr="007D2333">
        <w:trPr>
          <w:jc w:val="center"/>
        </w:trPr>
        <w:tc>
          <w:tcPr>
            <w:tcW w:w="1036" w:type="dxa"/>
            <w:vMerge w:val="restart"/>
            <w:tcBorders>
              <w:top w:val="single" w:sz="6" w:space="0" w:color="auto"/>
              <w:left w:val="single" w:sz="4" w:space="0" w:color="auto"/>
              <w:right w:val="single" w:sz="6" w:space="0" w:color="auto"/>
            </w:tcBorders>
            <w:shd w:val="clear" w:color="auto" w:fill="auto"/>
          </w:tcPr>
          <w:p w14:paraId="7329C758" w14:textId="77777777" w:rsidR="007D2333" w:rsidRPr="007275DF" w:rsidRDefault="007D2333" w:rsidP="007D2333">
            <w:pPr>
              <w:pStyle w:val="TAC"/>
            </w:pPr>
            <w:r w:rsidRPr="007275DF">
              <w:t>±5.0</w:t>
            </w:r>
          </w:p>
        </w:tc>
        <w:tc>
          <w:tcPr>
            <w:tcW w:w="1126" w:type="dxa"/>
            <w:vMerge w:val="restart"/>
            <w:tcBorders>
              <w:top w:val="single" w:sz="6" w:space="0" w:color="auto"/>
              <w:left w:val="single" w:sz="6" w:space="0" w:color="auto"/>
              <w:right w:val="single" w:sz="6" w:space="0" w:color="auto"/>
            </w:tcBorders>
            <w:shd w:val="clear" w:color="auto" w:fill="auto"/>
          </w:tcPr>
          <w:p w14:paraId="24D176E7" w14:textId="77777777" w:rsidR="007D2333" w:rsidRPr="007275DF" w:rsidRDefault="007D2333" w:rsidP="007D2333">
            <w:pPr>
              <w:pStyle w:val="TAC"/>
            </w:pPr>
            <w:r w:rsidRPr="007275DF">
              <w:t>±9.5</w:t>
            </w:r>
          </w:p>
        </w:tc>
        <w:tc>
          <w:tcPr>
            <w:tcW w:w="825" w:type="dxa"/>
            <w:vMerge w:val="restart"/>
            <w:tcBorders>
              <w:top w:val="single" w:sz="6" w:space="0" w:color="auto"/>
              <w:left w:val="single" w:sz="6" w:space="0" w:color="auto"/>
              <w:right w:val="single" w:sz="6" w:space="0" w:color="auto"/>
            </w:tcBorders>
            <w:shd w:val="clear" w:color="auto" w:fill="auto"/>
          </w:tcPr>
          <w:p w14:paraId="12CB402E" w14:textId="77777777" w:rsidR="007D2333" w:rsidRPr="00473F76" w:rsidRDefault="007D2333" w:rsidP="007D2333">
            <w:pPr>
              <w:pStyle w:val="TAC"/>
            </w:pPr>
            <w:r w:rsidRPr="007275DF">
              <w:sym w:font="Symbol" w:char="F0B3"/>
            </w:r>
            <w:r w:rsidRPr="007275DF">
              <w:t>-3</w:t>
            </w: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1A69EA66" w14:textId="77777777" w:rsidR="007D2333" w:rsidRPr="007275DF" w:rsidRDefault="007D2333" w:rsidP="007D2333">
            <w:pPr>
              <w:pStyle w:val="TAC"/>
              <w:rPr>
                <w:lang w:val="sv-SE"/>
              </w:rPr>
            </w:pPr>
            <w:r w:rsidRPr="007275DF">
              <w:rPr>
                <w:rFonts w:cs="Arial"/>
                <w:lang w:val="sv-SE"/>
              </w:rPr>
              <w:t>NR_CCA_FR1_I</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6C51FBAE" w14:textId="77777777" w:rsidR="007D2333" w:rsidRPr="007275DF" w:rsidRDefault="007D2333" w:rsidP="007D2333">
            <w:pPr>
              <w:pStyle w:val="TAC"/>
            </w:pPr>
            <w:r w:rsidRPr="007275DF">
              <w:t>-117</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20313DFF" w14:textId="77777777" w:rsidR="007D2333" w:rsidRPr="007275DF" w:rsidRDefault="007D2333" w:rsidP="007D2333">
            <w:pPr>
              <w:pStyle w:val="TAC"/>
            </w:pPr>
            <w:r w:rsidRPr="007275DF">
              <w:t>-114</w:t>
            </w:r>
          </w:p>
        </w:tc>
        <w:tc>
          <w:tcPr>
            <w:tcW w:w="1440" w:type="dxa"/>
            <w:vMerge w:val="restart"/>
            <w:tcBorders>
              <w:top w:val="single" w:sz="6" w:space="0" w:color="auto"/>
              <w:left w:val="single" w:sz="6" w:space="0" w:color="auto"/>
              <w:right w:val="single" w:sz="6" w:space="0" w:color="auto"/>
            </w:tcBorders>
            <w:shd w:val="clear" w:color="auto" w:fill="auto"/>
          </w:tcPr>
          <w:p w14:paraId="1C2415D0"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tcPr>
          <w:p w14:paraId="2F658C8D" w14:textId="77777777" w:rsidR="007D2333" w:rsidRPr="007275DF" w:rsidRDefault="007D2333" w:rsidP="007D2333">
            <w:pPr>
              <w:pStyle w:val="TAC"/>
            </w:pPr>
            <w:r w:rsidRPr="007275DF">
              <w:t>-70</w:t>
            </w:r>
          </w:p>
        </w:tc>
      </w:tr>
      <w:tr w:rsidR="007D2333" w:rsidRPr="007275DF" w14:paraId="6ADE347B" w14:textId="77777777" w:rsidTr="007D2333">
        <w:trPr>
          <w:jc w:val="center"/>
        </w:trPr>
        <w:tc>
          <w:tcPr>
            <w:tcW w:w="1036" w:type="dxa"/>
            <w:vMerge/>
            <w:tcBorders>
              <w:left w:val="single" w:sz="4" w:space="0" w:color="auto"/>
              <w:right w:val="single" w:sz="6" w:space="0" w:color="auto"/>
            </w:tcBorders>
            <w:shd w:val="clear" w:color="auto" w:fill="auto"/>
          </w:tcPr>
          <w:p w14:paraId="25728A78" w14:textId="77777777" w:rsidR="007D2333" w:rsidRPr="007275DF" w:rsidRDefault="007D2333" w:rsidP="007D2333">
            <w:pPr>
              <w:pStyle w:val="TAC"/>
            </w:pPr>
          </w:p>
        </w:tc>
        <w:tc>
          <w:tcPr>
            <w:tcW w:w="1126" w:type="dxa"/>
            <w:vMerge/>
            <w:tcBorders>
              <w:left w:val="single" w:sz="6" w:space="0" w:color="auto"/>
              <w:right w:val="single" w:sz="6" w:space="0" w:color="auto"/>
            </w:tcBorders>
            <w:shd w:val="clear" w:color="auto" w:fill="auto"/>
          </w:tcPr>
          <w:p w14:paraId="3636DDA9" w14:textId="77777777" w:rsidR="007D2333" w:rsidRPr="007275DF" w:rsidRDefault="007D2333" w:rsidP="007D2333">
            <w:pPr>
              <w:pStyle w:val="TAC"/>
            </w:pPr>
          </w:p>
        </w:tc>
        <w:tc>
          <w:tcPr>
            <w:tcW w:w="825" w:type="dxa"/>
            <w:vMerge/>
            <w:tcBorders>
              <w:left w:val="single" w:sz="6" w:space="0" w:color="auto"/>
              <w:right w:val="single" w:sz="6" w:space="0" w:color="auto"/>
            </w:tcBorders>
            <w:shd w:val="clear" w:color="auto" w:fill="auto"/>
          </w:tcPr>
          <w:p w14:paraId="71E25B7B" w14:textId="77777777" w:rsidR="007D2333" w:rsidRPr="007275DF" w:rsidRDefault="007D2333" w:rsidP="007D2333">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13DC7BA4" w14:textId="77777777" w:rsidR="007D2333" w:rsidRPr="007275DF" w:rsidRDefault="007D2333" w:rsidP="007D2333">
            <w:pPr>
              <w:pStyle w:val="TAC"/>
              <w:rPr>
                <w:rFonts w:cs="Arial"/>
                <w:lang w:val="sv-SE"/>
              </w:rPr>
            </w:pPr>
            <w:r w:rsidRPr="007275DF">
              <w:rPr>
                <w:rFonts w:cs="Arial"/>
                <w:lang w:val="sv-SE"/>
              </w:rPr>
              <w:t>NR_CCA_FR1_J</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0C800318" w14:textId="77777777" w:rsidR="007D2333" w:rsidRPr="007275DF" w:rsidRDefault="007D2333" w:rsidP="007D2333">
            <w:pPr>
              <w:pStyle w:val="TAC"/>
              <w:rPr>
                <w:lang w:val="sv-SE"/>
              </w:rPr>
            </w:pPr>
            <w:r w:rsidRPr="007275DF">
              <w:rPr>
                <w:lang w:val="sv-SE"/>
              </w:rPr>
              <w:t>-116.5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26037242" w14:textId="77777777" w:rsidR="007D2333" w:rsidRPr="007275DF" w:rsidRDefault="007D2333" w:rsidP="007D2333">
            <w:pPr>
              <w:pStyle w:val="TAC"/>
              <w:rPr>
                <w:lang w:val="sv-SE"/>
              </w:rPr>
            </w:pPr>
            <w:r w:rsidRPr="007275DF">
              <w:rPr>
                <w:lang w:val="sv-SE"/>
              </w:rPr>
              <w:t>-113.5</w:t>
            </w:r>
          </w:p>
        </w:tc>
        <w:tc>
          <w:tcPr>
            <w:tcW w:w="1440" w:type="dxa"/>
            <w:vMerge/>
            <w:tcBorders>
              <w:left w:val="single" w:sz="6" w:space="0" w:color="auto"/>
              <w:bottom w:val="single" w:sz="6" w:space="0" w:color="auto"/>
              <w:right w:val="single" w:sz="6" w:space="0" w:color="auto"/>
            </w:tcBorders>
            <w:shd w:val="clear" w:color="auto" w:fill="auto"/>
          </w:tcPr>
          <w:p w14:paraId="6D430CD7" w14:textId="77777777" w:rsidR="007D2333" w:rsidRPr="007275DF" w:rsidRDefault="007D2333" w:rsidP="007D2333">
            <w:pPr>
              <w:pStyle w:val="TAC"/>
              <w:rPr>
                <w:lang w:val="sv-SE"/>
              </w:rPr>
            </w:pPr>
          </w:p>
        </w:tc>
        <w:tc>
          <w:tcPr>
            <w:tcW w:w="1440" w:type="dxa"/>
            <w:vMerge/>
            <w:tcBorders>
              <w:left w:val="single" w:sz="6" w:space="0" w:color="auto"/>
              <w:bottom w:val="single" w:sz="6" w:space="0" w:color="auto"/>
              <w:right w:val="single" w:sz="4" w:space="0" w:color="auto"/>
            </w:tcBorders>
            <w:shd w:val="clear" w:color="auto" w:fill="auto"/>
          </w:tcPr>
          <w:p w14:paraId="40507D28" w14:textId="77777777" w:rsidR="007D2333" w:rsidRPr="007275DF" w:rsidRDefault="007D2333" w:rsidP="007D2333">
            <w:pPr>
              <w:pStyle w:val="TAC"/>
              <w:rPr>
                <w:lang w:val="sv-SE"/>
              </w:rPr>
            </w:pPr>
          </w:p>
        </w:tc>
      </w:tr>
      <w:tr w:rsidR="007D2333" w:rsidRPr="007275DF" w14:paraId="3D820A07" w14:textId="77777777" w:rsidTr="007D2333">
        <w:trPr>
          <w:jc w:val="center"/>
        </w:trPr>
        <w:tc>
          <w:tcPr>
            <w:tcW w:w="1036" w:type="dxa"/>
            <w:vMerge w:val="restart"/>
            <w:tcBorders>
              <w:top w:val="single" w:sz="6" w:space="0" w:color="auto"/>
              <w:left w:val="single" w:sz="4" w:space="0" w:color="auto"/>
              <w:right w:val="single" w:sz="6" w:space="0" w:color="auto"/>
            </w:tcBorders>
            <w:shd w:val="clear" w:color="auto" w:fill="auto"/>
          </w:tcPr>
          <w:p w14:paraId="6990416D" w14:textId="77777777" w:rsidR="007D2333" w:rsidRPr="007275DF" w:rsidRDefault="007D2333" w:rsidP="007D2333">
            <w:pPr>
              <w:pStyle w:val="TAC"/>
            </w:pPr>
            <w:r w:rsidRPr="007275DF">
              <w:t>±8.5</w:t>
            </w:r>
          </w:p>
        </w:tc>
        <w:tc>
          <w:tcPr>
            <w:tcW w:w="1126" w:type="dxa"/>
            <w:vMerge w:val="restart"/>
            <w:tcBorders>
              <w:top w:val="single" w:sz="6" w:space="0" w:color="auto"/>
              <w:left w:val="single" w:sz="6" w:space="0" w:color="auto"/>
              <w:right w:val="single" w:sz="6" w:space="0" w:color="auto"/>
            </w:tcBorders>
            <w:shd w:val="clear" w:color="auto" w:fill="auto"/>
          </w:tcPr>
          <w:p w14:paraId="5E2ADE6B" w14:textId="77777777" w:rsidR="007D2333" w:rsidRPr="007275DF" w:rsidRDefault="007D2333" w:rsidP="007D2333">
            <w:pPr>
              <w:pStyle w:val="TAC"/>
            </w:pPr>
            <w:r w:rsidRPr="007275DF">
              <w:t>±11.5</w:t>
            </w:r>
          </w:p>
        </w:tc>
        <w:tc>
          <w:tcPr>
            <w:tcW w:w="825" w:type="dxa"/>
            <w:vMerge w:val="restart"/>
            <w:tcBorders>
              <w:top w:val="single" w:sz="6" w:space="0" w:color="auto"/>
              <w:left w:val="single" w:sz="6" w:space="0" w:color="auto"/>
              <w:right w:val="single" w:sz="6" w:space="0" w:color="auto"/>
            </w:tcBorders>
            <w:shd w:val="clear" w:color="auto" w:fill="auto"/>
          </w:tcPr>
          <w:p w14:paraId="2DA39753" w14:textId="77777777" w:rsidR="007D2333" w:rsidRPr="00473F76" w:rsidRDefault="007D2333" w:rsidP="007D2333">
            <w:pPr>
              <w:pStyle w:val="TAC"/>
            </w:pPr>
            <w:r w:rsidRPr="007275DF">
              <w:sym w:font="Symbol" w:char="F0B3"/>
            </w:r>
            <w:r w:rsidRPr="007275DF">
              <w:t>-3</w:t>
            </w: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77F10691" w14:textId="77777777" w:rsidR="007D2333" w:rsidRPr="007275DF" w:rsidRDefault="007D2333" w:rsidP="007D2333">
            <w:pPr>
              <w:pStyle w:val="TAC"/>
              <w:rPr>
                <w:lang w:val="sv-SE"/>
              </w:rPr>
            </w:pPr>
            <w:r w:rsidRPr="007275DF">
              <w:rPr>
                <w:rFonts w:cs="Arial"/>
                <w:lang w:val="sv-SE"/>
              </w:rPr>
              <w:t>NR_CCA_FR1_I</w:t>
            </w:r>
          </w:p>
        </w:tc>
        <w:tc>
          <w:tcPr>
            <w:tcW w:w="982" w:type="dxa"/>
            <w:vMerge w:val="restart"/>
            <w:tcBorders>
              <w:top w:val="single" w:sz="6" w:space="0" w:color="auto"/>
              <w:left w:val="single" w:sz="4" w:space="0" w:color="auto"/>
              <w:right w:val="single" w:sz="6" w:space="0" w:color="auto"/>
            </w:tcBorders>
            <w:shd w:val="clear" w:color="auto" w:fill="auto"/>
          </w:tcPr>
          <w:p w14:paraId="7495EA73" w14:textId="77777777" w:rsidR="007D2333" w:rsidRPr="007275DF" w:rsidRDefault="007D2333" w:rsidP="007D2333">
            <w:pPr>
              <w:pStyle w:val="TAC"/>
            </w:pPr>
            <w:r w:rsidRPr="007275DF">
              <w:t>N/A</w:t>
            </w:r>
          </w:p>
        </w:tc>
        <w:tc>
          <w:tcPr>
            <w:tcW w:w="1056" w:type="dxa"/>
            <w:vMerge w:val="restart"/>
            <w:tcBorders>
              <w:top w:val="single" w:sz="6" w:space="0" w:color="auto"/>
              <w:left w:val="single" w:sz="4" w:space="0" w:color="auto"/>
              <w:right w:val="single" w:sz="6" w:space="0" w:color="auto"/>
            </w:tcBorders>
            <w:shd w:val="clear" w:color="auto" w:fill="auto"/>
          </w:tcPr>
          <w:p w14:paraId="36502EB2" w14:textId="77777777" w:rsidR="007D2333" w:rsidRPr="007275DF" w:rsidRDefault="007D2333" w:rsidP="007D2333">
            <w:pPr>
              <w:pStyle w:val="TAC"/>
              <w:rPr>
                <w:lang w:eastAsia="zh-CN"/>
              </w:rPr>
            </w:pPr>
            <w:r w:rsidRPr="007275DF">
              <w:rPr>
                <w:lang w:eastAsia="zh-CN"/>
              </w:rPr>
              <w:t>N/A</w:t>
            </w:r>
          </w:p>
        </w:tc>
        <w:tc>
          <w:tcPr>
            <w:tcW w:w="1440" w:type="dxa"/>
            <w:vMerge w:val="restart"/>
            <w:tcBorders>
              <w:top w:val="single" w:sz="6" w:space="0" w:color="auto"/>
              <w:left w:val="single" w:sz="6" w:space="0" w:color="auto"/>
              <w:right w:val="single" w:sz="6" w:space="0" w:color="auto"/>
            </w:tcBorders>
            <w:shd w:val="clear" w:color="auto" w:fill="auto"/>
          </w:tcPr>
          <w:p w14:paraId="3D1C3250" w14:textId="77777777" w:rsidR="007D2333" w:rsidRPr="007275DF" w:rsidRDefault="007D2333" w:rsidP="007D2333">
            <w:pPr>
              <w:pStyle w:val="TAC"/>
            </w:pPr>
            <w:r w:rsidRPr="007275DF">
              <w:t>-70</w:t>
            </w:r>
          </w:p>
        </w:tc>
        <w:tc>
          <w:tcPr>
            <w:tcW w:w="1440" w:type="dxa"/>
            <w:vMerge w:val="restart"/>
            <w:tcBorders>
              <w:top w:val="single" w:sz="6" w:space="0" w:color="auto"/>
              <w:left w:val="single" w:sz="6" w:space="0" w:color="auto"/>
              <w:right w:val="single" w:sz="4" w:space="0" w:color="auto"/>
            </w:tcBorders>
            <w:shd w:val="clear" w:color="auto" w:fill="auto"/>
          </w:tcPr>
          <w:p w14:paraId="7DC3041F" w14:textId="77777777" w:rsidR="007D2333" w:rsidRPr="007275DF" w:rsidRDefault="007D2333" w:rsidP="007D2333">
            <w:pPr>
              <w:pStyle w:val="TAC"/>
            </w:pPr>
            <w:r w:rsidRPr="007275DF">
              <w:t>-50</w:t>
            </w:r>
          </w:p>
        </w:tc>
      </w:tr>
      <w:tr w:rsidR="007D2333" w:rsidRPr="007275DF" w14:paraId="66EB17D8" w14:textId="77777777" w:rsidTr="007D2333">
        <w:trPr>
          <w:jc w:val="center"/>
        </w:trPr>
        <w:tc>
          <w:tcPr>
            <w:tcW w:w="1036" w:type="dxa"/>
            <w:vMerge/>
            <w:tcBorders>
              <w:left w:val="single" w:sz="4" w:space="0" w:color="auto"/>
              <w:bottom w:val="single" w:sz="6" w:space="0" w:color="auto"/>
              <w:right w:val="single" w:sz="6" w:space="0" w:color="auto"/>
            </w:tcBorders>
            <w:shd w:val="clear" w:color="auto" w:fill="auto"/>
          </w:tcPr>
          <w:p w14:paraId="40C7969E" w14:textId="77777777" w:rsidR="007D2333" w:rsidRPr="007275DF" w:rsidRDefault="007D2333" w:rsidP="007D2333">
            <w:pPr>
              <w:pStyle w:val="TAC"/>
            </w:pPr>
          </w:p>
        </w:tc>
        <w:tc>
          <w:tcPr>
            <w:tcW w:w="1126" w:type="dxa"/>
            <w:vMerge/>
            <w:tcBorders>
              <w:left w:val="single" w:sz="6" w:space="0" w:color="auto"/>
              <w:bottom w:val="single" w:sz="6" w:space="0" w:color="auto"/>
              <w:right w:val="single" w:sz="6" w:space="0" w:color="auto"/>
            </w:tcBorders>
            <w:shd w:val="clear" w:color="auto" w:fill="auto"/>
          </w:tcPr>
          <w:p w14:paraId="43EA10B4" w14:textId="77777777" w:rsidR="007D2333" w:rsidRPr="007275DF" w:rsidRDefault="007D2333" w:rsidP="007D2333">
            <w:pPr>
              <w:pStyle w:val="TAC"/>
            </w:pPr>
          </w:p>
        </w:tc>
        <w:tc>
          <w:tcPr>
            <w:tcW w:w="825" w:type="dxa"/>
            <w:vMerge/>
            <w:tcBorders>
              <w:left w:val="single" w:sz="6" w:space="0" w:color="auto"/>
              <w:bottom w:val="single" w:sz="6" w:space="0" w:color="auto"/>
              <w:right w:val="single" w:sz="6" w:space="0" w:color="auto"/>
            </w:tcBorders>
            <w:shd w:val="clear" w:color="auto" w:fill="auto"/>
          </w:tcPr>
          <w:p w14:paraId="058F930D" w14:textId="77777777" w:rsidR="007D2333" w:rsidRPr="007275DF" w:rsidRDefault="007D2333" w:rsidP="007D2333">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7008FC0A" w14:textId="77777777" w:rsidR="007D2333" w:rsidRPr="007275DF" w:rsidRDefault="007D2333" w:rsidP="007D2333">
            <w:pPr>
              <w:pStyle w:val="TAC"/>
              <w:rPr>
                <w:rFonts w:cs="Arial"/>
                <w:lang w:val="sv-SE"/>
              </w:rPr>
            </w:pPr>
            <w:r w:rsidRPr="007275DF">
              <w:rPr>
                <w:rFonts w:cs="Arial"/>
                <w:lang w:val="sv-SE"/>
              </w:rPr>
              <w:t>NR_CCA_FR1_J</w:t>
            </w:r>
          </w:p>
        </w:tc>
        <w:tc>
          <w:tcPr>
            <w:tcW w:w="982" w:type="dxa"/>
            <w:vMerge/>
            <w:tcBorders>
              <w:left w:val="single" w:sz="4" w:space="0" w:color="auto"/>
              <w:bottom w:val="single" w:sz="4" w:space="0" w:color="auto"/>
              <w:right w:val="single" w:sz="6" w:space="0" w:color="auto"/>
            </w:tcBorders>
            <w:shd w:val="clear" w:color="auto" w:fill="auto"/>
          </w:tcPr>
          <w:p w14:paraId="23B9ECD1" w14:textId="77777777" w:rsidR="007D2333" w:rsidRPr="007275DF" w:rsidRDefault="007D2333" w:rsidP="007D2333">
            <w:pPr>
              <w:pStyle w:val="TAC"/>
              <w:rPr>
                <w:lang w:val="sv-SE"/>
              </w:rPr>
            </w:pPr>
          </w:p>
        </w:tc>
        <w:tc>
          <w:tcPr>
            <w:tcW w:w="1056" w:type="dxa"/>
            <w:vMerge/>
            <w:tcBorders>
              <w:left w:val="single" w:sz="4" w:space="0" w:color="auto"/>
              <w:bottom w:val="single" w:sz="4" w:space="0" w:color="auto"/>
              <w:right w:val="single" w:sz="6" w:space="0" w:color="auto"/>
            </w:tcBorders>
            <w:shd w:val="clear" w:color="auto" w:fill="auto"/>
          </w:tcPr>
          <w:p w14:paraId="2EBED808" w14:textId="77777777" w:rsidR="007D2333" w:rsidRPr="007275DF" w:rsidRDefault="007D2333" w:rsidP="007D2333">
            <w:pPr>
              <w:pStyle w:val="TAC"/>
              <w:rPr>
                <w:lang w:val="sv-SE" w:eastAsia="zh-CN"/>
              </w:rPr>
            </w:pPr>
          </w:p>
        </w:tc>
        <w:tc>
          <w:tcPr>
            <w:tcW w:w="1440" w:type="dxa"/>
            <w:vMerge/>
            <w:tcBorders>
              <w:left w:val="single" w:sz="6" w:space="0" w:color="auto"/>
              <w:bottom w:val="single" w:sz="4" w:space="0" w:color="auto"/>
              <w:right w:val="single" w:sz="6" w:space="0" w:color="auto"/>
            </w:tcBorders>
            <w:shd w:val="clear" w:color="auto" w:fill="auto"/>
          </w:tcPr>
          <w:p w14:paraId="6A727708" w14:textId="77777777" w:rsidR="007D2333" w:rsidRPr="007275DF" w:rsidRDefault="007D2333" w:rsidP="007D2333">
            <w:pPr>
              <w:pStyle w:val="TAC"/>
              <w:rPr>
                <w:lang w:val="sv-SE"/>
              </w:rPr>
            </w:pPr>
          </w:p>
        </w:tc>
        <w:tc>
          <w:tcPr>
            <w:tcW w:w="1440" w:type="dxa"/>
            <w:vMerge/>
            <w:tcBorders>
              <w:left w:val="single" w:sz="6" w:space="0" w:color="auto"/>
              <w:bottom w:val="single" w:sz="4" w:space="0" w:color="auto"/>
              <w:right w:val="single" w:sz="4" w:space="0" w:color="auto"/>
            </w:tcBorders>
            <w:shd w:val="clear" w:color="auto" w:fill="auto"/>
          </w:tcPr>
          <w:p w14:paraId="444D5CBA" w14:textId="77777777" w:rsidR="007D2333" w:rsidRPr="007275DF" w:rsidRDefault="007D2333" w:rsidP="007D2333">
            <w:pPr>
              <w:pStyle w:val="TAC"/>
              <w:rPr>
                <w:lang w:val="sv-SE"/>
              </w:rPr>
            </w:pPr>
          </w:p>
        </w:tc>
      </w:tr>
      <w:tr w:rsidR="007D2333" w:rsidRPr="007275DF" w14:paraId="7A9549F2"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63FEB639" w14:textId="77777777" w:rsidR="007D2333" w:rsidRPr="007275DF" w:rsidRDefault="007D2333" w:rsidP="007D2333">
            <w:pPr>
              <w:pStyle w:val="TAN"/>
            </w:pPr>
            <w:r w:rsidRPr="007275DF">
              <w:t>NOTE 1:</w:t>
            </w:r>
            <w:r w:rsidRPr="007275DF">
              <w:tab/>
              <w:t>Io is assumed to have constant EPRE across the bandwidth.</w:t>
            </w:r>
          </w:p>
          <w:p w14:paraId="3DA1931B" w14:textId="77777777" w:rsidR="007D2333" w:rsidRPr="007275DF" w:rsidRDefault="007D2333" w:rsidP="007D2333">
            <w:pPr>
              <w:pStyle w:val="TAN"/>
            </w:pPr>
            <w:r w:rsidRPr="007275DF">
              <w:t>NOTE 2:</w:t>
            </w:r>
            <w:r w:rsidRPr="007275DF">
              <w:tab/>
              <w:t>NR operating band groups are as defined in clause 3.5.2.</w:t>
            </w:r>
          </w:p>
        </w:tc>
      </w:tr>
    </w:tbl>
    <w:p w14:paraId="4C42D2A2" w14:textId="77777777" w:rsidR="007D2333" w:rsidRPr="007275DF" w:rsidRDefault="007D2333" w:rsidP="007D2333">
      <w:pPr>
        <w:rPr>
          <w:lang w:eastAsia="zh-CN"/>
        </w:rPr>
      </w:pPr>
    </w:p>
    <w:p w14:paraId="3A97654C" w14:textId="77777777" w:rsidR="007D2333" w:rsidRPr="007275DF" w:rsidRDefault="007D2333" w:rsidP="00F37389">
      <w:pPr>
        <w:pStyle w:val="Heading5"/>
      </w:pPr>
      <w:r w:rsidRPr="007275DF">
        <w:t>10.1.33.1.2</w:t>
      </w:r>
      <w:r w:rsidRPr="007275DF">
        <w:tab/>
        <w:t>Relative Accuracy</w:t>
      </w:r>
    </w:p>
    <w:p w14:paraId="5D15E348" w14:textId="77777777" w:rsidR="007D2333" w:rsidRPr="007275DF" w:rsidRDefault="007D2333" w:rsidP="007D2333">
      <w:pPr>
        <w:rPr>
          <w:rFonts w:cs="v4.2.0"/>
          <w:i/>
        </w:rPr>
      </w:pPr>
      <w:r w:rsidRPr="007275DF">
        <w:rPr>
          <w:rFonts w:cs="v4.2.0"/>
        </w:rPr>
        <w:t xml:space="preserve">The relative accuracy of </w:t>
      </w:r>
      <w:r w:rsidRPr="007275DF">
        <w:rPr>
          <w:rFonts w:cs="v4.2.0"/>
          <w:lang w:eastAsia="zh-CN"/>
        </w:rPr>
        <w:t>SSB based L1-</w:t>
      </w:r>
      <w:r w:rsidRPr="007275DF">
        <w:rPr>
          <w:rFonts w:cs="v4.2.0"/>
        </w:rPr>
        <w:t xml:space="preserve">RSRP is defined as the </w:t>
      </w:r>
      <w:r w:rsidRPr="007275DF">
        <w:rPr>
          <w:rFonts w:cs="v4.2.0"/>
          <w:lang w:eastAsia="zh-CN"/>
        </w:rPr>
        <w:t>L1-</w:t>
      </w:r>
      <w:r w:rsidRPr="007275DF">
        <w:rPr>
          <w:rFonts w:cs="v4.2.0"/>
        </w:rPr>
        <w:t xml:space="preserve">RSRP measured from one SSB compared to the </w:t>
      </w:r>
      <w:r w:rsidRPr="007275DF">
        <w:rPr>
          <w:lang w:val="en-US"/>
        </w:rPr>
        <w:t>largest measured value of L1-RSRP among all SSBs of the serving cell under CCA</w:t>
      </w:r>
      <w:r w:rsidRPr="007275DF">
        <w:rPr>
          <w:rFonts w:cs="v4.2.0"/>
        </w:rPr>
        <w:t>.</w:t>
      </w:r>
    </w:p>
    <w:p w14:paraId="2BBD36B8" w14:textId="77777777" w:rsidR="007D2333" w:rsidRPr="007275DF" w:rsidRDefault="007D2333" w:rsidP="007D2333">
      <w:pPr>
        <w:rPr>
          <w:rFonts w:cs="v4.2.0"/>
          <w:lang w:eastAsia="zh-CN"/>
        </w:rPr>
      </w:pPr>
      <w:r w:rsidRPr="007275DF">
        <w:rPr>
          <w:rFonts w:cs="v4.2.0"/>
        </w:rPr>
        <w:t xml:space="preserve">The accuracy requirements in Table </w:t>
      </w:r>
      <w:r w:rsidRPr="007275DF">
        <w:rPr>
          <w:lang w:eastAsia="zh-CN"/>
        </w:rPr>
        <w:t>10.1.33</w:t>
      </w:r>
      <w:r w:rsidRPr="007275DF">
        <w:t>.1</w:t>
      </w:r>
      <w:r w:rsidRPr="007275DF">
        <w:rPr>
          <w:lang w:eastAsia="zh-CN"/>
        </w:rPr>
        <w:t>.2</w:t>
      </w:r>
      <w:r w:rsidRPr="007275DF">
        <w:rPr>
          <w:rFonts w:cs="v4.2.0"/>
        </w:rPr>
        <w:t>-1 are valid under the following conditions:</w:t>
      </w:r>
    </w:p>
    <w:p w14:paraId="14E90A76" w14:textId="77777777" w:rsidR="007D2333" w:rsidRPr="007275DF" w:rsidRDefault="007D2333" w:rsidP="007D2333">
      <w:pPr>
        <w:pStyle w:val="B10"/>
        <w:rPr>
          <w:rFonts w:eastAsia="PMingLiU"/>
        </w:rPr>
      </w:pPr>
      <w:r w:rsidRPr="007275DF">
        <w:t>-</w:t>
      </w:r>
      <w:r w:rsidRPr="007275DF">
        <w:tab/>
        <w:t>Conditions defined in clause 7.3F of TS 38.101-1 [18] for reference sensitivity are fulfilled.</w:t>
      </w:r>
    </w:p>
    <w:p w14:paraId="4B430DA2" w14:textId="77777777" w:rsidR="007D2333" w:rsidRPr="007275DF" w:rsidRDefault="007D2333" w:rsidP="007D2333">
      <w:pPr>
        <w:pStyle w:val="B10"/>
      </w:pPr>
      <w:r w:rsidRPr="007275DF">
        <w:rPr>
          <w:rFonts w:eastAsia="PMingLiU"/>
        </w:rPr>
        <w:t>-</w:t>
      </w:r>
      <w:r w:rsidRPr="007275DF">
        <w:rPr>
          <w:rFonts w:eastAsia="PMingLiU"/>
        </w:rPr>
        <w:tab/>
      </w:r>
      <w:r w:rsidRPr="007275DF">
        <w:t xml:space="preserve">Conditions for L1-RSRP measurements are fulfilled according to Annex B.2.10.1 for a corresponding Band </w:t>
      </w:r>
      <w:r w:rsidRPr="007275DF">
        <w:rPr>
          <w:rFonts w:eastAsia="PMingLiU"/>
        </w:rPr>
        <w:t>for each relevant SSB</w:t>
      </w:r>
      <w:r w:rsidRPr="007275DF">
        <w:t>.</w:t>
      </w:r>
    </w:p>
    <w:p w14:paraId="666EE59A" w14:textId="77777777" w:rsidR="007D2333" w:rsidRPr="007275DF" w:rsidRDefault="007D2333" w:rsidP="007D2333">
      <w:pPr>
        <w:pStyle w:val="TH"/>
      </w:pPr>
      <w:r w:rsidRPr="007275DF">
        <w:t>Table 10.1.33.1.2-1: SSB based L1-RSRP relative accuracy under CCA</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7D2333" w:rsidRPr="007275DF" w14:paraId="35B2944C" w14:textId="77777777" w:rsidTr="007D2333">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476B3869" w14:textId="77777777" w:rsidR="007D2333" w:rsidRPr="007275DF" w:rsidRDefault="007D2333" w:rsidP="007D2333">
            <w:pPr>
              <w:pStyle w:val="TAH"/>
            </w:pPr>
            <w:r w:rsidRPr="007275DF">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775FEA75" w14:textId="77777777" w:rsidR="007D2333" w:rsidRPr="007275DF" w:rsidRDefault="007D2333" w:rsidP="007D2333">
            <w:pPr>
              <w:pStyle w:val="TAH"/>
            </w:pPr>
            <w:r w:rsidRPr="007275DF">
              <w:t>Conditions</w:t>
            </w:r>
          </w:p>
        </w:tc>
      </w:tr>
      <w:tr w:rsidR="007D2333" w:rsidRPr="007275DF" w14:paraId="274E75D6" w14:textId="77777777" w:rsidTr="007D2333">
        <w:trPr>
          <w:jc w:val="center"/>
        </w:trPr>
        <w:tc>
          <w:tcPr>
            <w:tcW w:w="1033" w:type="dxa"/>
            <w:tcBorders>
              <w:top w:val="single" w:sz="6" w:space="0" w:color="auto"/>
              <w:left w:val="single" w:sz="4" w:space="0" w:color="auto"/>
              <w:right w:val="single" w:sz="6" w:space="0" w:color="auto"/>
            </w:tcBorders>
            <w:shd w:val="clear" w:color="auto" w:fill="auto"/>
            <w:vAlign w:val="center"/>
          </w:tcPr>
          <w:p w14:paraId="1EF002F3" w14:textId="77777777" w:rsidR="007D2333" w:rsidRPr="007275DF" w:rsidRDefault="007D2333" w:rsidP="007D2333">
            <w:pPr>
              <w:pStyle w:val="TAH"/>
            </w:pPr>
            <w:r w:rsidRPr="007275DF">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78ADE7DC" w14:textId="77777777" w:rsidR="007D2333" w:rsidRPr="007275DF" w:rsidRDefault="007D2333" w:rsidP="007D2333">
            <w:pPr>
              <w:pStyle w:val="TAH"/>
            </w:pPr>
            <w:r w:rsidRPr="007275DF">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42A4DCFB" w14:textId="77777777" w:rsidR="007D2333" w:rsidRPr="007275DF" w:rsidRDefault="007D2333" w:rsidP="007D2333">
            <w:pPr>
              <w:pStyle w:val="TAH"/>
            </w:pPr>
            <w:r w:rsidRPr="007275DF">
              <w:t>SSB Ês/Iot</w:t>
            </w:r>
            <w:r w:rsidRPr="007275DF">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49BE5EFA" w14:textId="77777777" w:rsidR="007D2333" w:rsidRPr="007275DF" w:rsidRDefault="007D2333" w:rsidP="007D2333">
            <w:pPr>
              <w:pStyle w:val="TAH"/>
            </w:pPr>
            <w:r w:rsidRPr="007275DF">
              <w:t>Io</w:t>
            </w:r>
            <w:r w:rsidRPr="007275DF">
              <w:rPr>
                <w:vertAlign w:val="superscript"/>
              </w:rPr>
              <w:t xml:space="preserve"> Note 1</w:t>
            </w:r>
            <w:r w:rsidRPr="007275DF">
              <w:t xml:space="preserve"> range</w:t>
            </w:r>
          </w:p>
        </w:tc>
      </w:tr>
      <w:tr w:rsidR="007D2333" w:rsidRPr="007275DF" w14:paraId="75D1B91D" w14:textId="77777777" w:rsidTr="007D2333">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080B647E" w14:textId="77777777" w:rsidR="007D2333" w:rsidRPr="007275DF" w:rsidRDefault="007D2333" w:rsidP="007D2333">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381AEFC5" w14:textId="77777777" w:rsidR="007D2333" w:rsidRPr="007275DF" w:rsidRDefault="007D2333" w:rsidP="007D2333">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7C6D22AB" w14:textId="77777777" w:rsidR="007D2333" w:rsidRPr="007275DF" w:rsidRDefault="007D2333" w:rsidP="007D2333">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01D7EC9E" w14:textId="77777777" w:rsidR="007D2333" w:rsidRPr="007275DF" w:rsidRDefault="007D2333" w:rsidP="007D2333">
            <w:pPr>
              <w:pStyle w:val="TAH"/>
            </w:pPr>
            <w:r w:rsidRPr="007275DF">
              <w:t>NR operating band groups</w:t>
            </w:r>
            <w:r w:rsidRPr="007275DF">
              <w:rPr>
                <w:vertAlign w:val="superscript"/>
              </w:rPr>
              <w:t xml:space="preserve"> Note 3</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539D0B7D"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4ACEAD0D" w14:textId="77777777" w:rsidR="007D2333" w:rsidRPr="007275DF" w:rsidRDefault="007D2333" w:rsidP="007D2333">
            <w:pPr>
              <w:pStyle w:val="TAH"/>
            </w:pPr>
            <w:r w:rsidRPr="007275DF">
              <w:t>Maximum Io</w:t>
            </w:r>
          </w:p>
        </w:tc>
      </w:tr>
      <w:tr w:rsidR="007D2333" w:rsidRPr="007275DF" w14:paraId="3EBCBD94" w14:textId="77777777" w:rsidTr="007D2333">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09B7953C" w14:textId="77777777" w:rsidR="007D2333" w:rsidRPr="007275DF" w:rsidRDefault="007D2333" w:rsidP="007D2333">
            <w:pPr>
              <w:pStyle w:val="TAH"/>
            </w:pPr>
            <w:r w:rsidRPr="007275DF">
              <w:t>dB</w:t>
            </w:r>
          </w:p>
        </w:tc>
        <w:tc>
          <w:tcPr>
            <w:tcW w:w="1049" w:type="dxa"/>
            <w:tcBorders>
              <w:top w:val="single" w:sz="6" w:space="0" w:color="auto"/>
              <w:left w:val="single" w:sz="6" w:space="0" w:color="auto"/>
              <w:right w:val="single" w:sz="6" w:space="0" w:color="auto"/>
            </w:tcBorders>
            <w:shd w:val="clear" w:color="auto" w:fill="auto"/>
            <w:vAlign w:val="center"/>
          </w:tcPr>
          <w:p w14:paraId="62E4D079" w14:textId="77777777" w:rsidR="007D2333" w:rsidRPr="007275DF" w:rsidRDefault="007D2333" w:rsidP="007D2333">
            <w:pPr>
              <w:pStyle w:val="TAH"/>
            </w:pPr>
            <w:r w:rsidRPr="007275DF">
              <w:t>dB</w:t>
            </w:r>
          </w:p>
        </w:tc>
        <w:tc>
          <w:tcPr>
            <w:tcW w:w="807" w:type="dxa"/>
            <w:tcBorders>
              <w:top w:val="single" w:sz="6" w:space="0" w:color="auto"/>
              <w:left w:val="single" w:sz="6" w:space="0" w:color="auto"/>
              <w:right w:val="single" w:sz="6" w:space="0" w:color="auto"/>
            </w:tcBorders>
            <w:shd w:val="clear" w:color="auto" w:fill="auto"/>
            <w:vAlign w:val="center"/>
          </w:tcPr>
          <w:p w14:paraId="7F1E9C34" w14:textId="77777777" w:rsidR="007D2333" w:rsidRPr="007275DF" w:rsidRDefault="007D2333" w:rsidP="007D2333">
            <w:pPr>
              <w:pStyle w:val="TAH"/>
            </w:pPr>
            <w:r w:rsidRPr="007275DF">
              <w:t>dB</w:t>
            </w:r>
          </w:p>
        </w:tc>
        <w:tc>
          <w:tcPr>
            <w:tcW w:w="2349" w:type="dxa"/>
            <w:tcBorders>
              <w:top w:val="single" w:sz="6" w:space="0" w:color="auto"/>
              <w:left w:val="single" w:sz="6" w:space="0" w:color="auto"/>
              <w:right w:val="single" w:sz="4" w:space="0" w:color="auto"/>
            </w:tcBorders>
            <w:shd w:val="clear" w:color="auto" w:fill="auto"/>
            <w:vAlign w:val="center"/>
          </w:tcPr>
          <w:p w14:paraId="545B6675" w14:textId="77777777" w:rsidR="007D2333" w:rsidRPr="007275DF" w:rsidRDefault="007D2333" w:rsidP="007D2333">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5176822D"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4A6CD2DC"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4BE22BF2" w14:textId="77777777" w:rsidR="007D2333" w:rsidRPr="007275DF" w:rsidRDefault="007D2333" w:rsidP="007D2333">
            <w:pPr>
              <w:pStyle w:val="TAH"/>
            </w:pPr>
            <w:r w:rsidRPr="007275DF">
              <w:t>dBm/BW</w:t>
            </w:r>
            <w:r w:rsidRPr="007275DF">
              <w:rPr>
                <w:vertAlign w:val="subscript"/>
              </w:rPr>
              <w:t>Channel</w:t>
            </w:r>
          </w:p>
        </w:tc>
      </w:tr>
      <w:tr w:rsidR="007D2333" w:rsidRPr="007275DF" w14:paraId="10D5E026" w14:textId="77777777" w:rsidTr="007D2333">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69C1A85C" w14:textId="77777777" w:rsidR="007D2333" w:rsidRPr="007275DF" w:rsidRDefault="007D2333" w:rsidP="007D2333">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4564CA35" w14:textId="77777777" w:rsidR="007D2333" w:rsidRPr="007275DF" w:rsidRDefault="007D2333" w:rsidP="007D2333">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46AE259A" w14:textId="77777777" w:rsidR="007D2333" w:rsidRPr="007275DF" w:rsidRDefault="007D2333" w:rsidP="007D2333">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21E55053" w14:textId="77777777" w:rsidR="007D2333" w:rsidRPr="007275DF" w:rsidRDefault="007D2333" w:rsidP="007D2333">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5474FA6"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4BC788CB"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40D7A664"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2C173195" w14:textId="77777777" w:rsidR="007D2333" w:rsidRPr="007275DF" w:rsidRDefault="007D2333" w:rsidP="007D2333">
            <w:pPr>
              <w:pStyle w:val="TAH"/>
            </w:pPr>
          </w:p>
        </w:tc>
      </w:tr>
      <w:tr w:rsidR="007D2333" w:rsidRPr="007275DF" w14:paraId="03F9EDBB" w14:textId="77777777" w:rsidTr="007D2333">
        <w:trPr>
          <w:jc w:val="center"/>
        </w:trPr>
        <w:tc>
          <w:tcPr>
            <w:tcW w:w="1033" w:type="dxa"/>
            <w:vMerge w:val="restart"/>
            <w:tcBorders>
              <w:top w:val="single" w:sz="6" w:space="0" w:color="auto"/>
              <w:left w:val="single" w:sz="4" w:space="0" w:color="auto"/>
              <w:right w:val="single" w:sz="6" w:space="0" w:color="auto"/>
            </w:tcBorders>
            <w:shd w:val="clear" w:color="auto" w:fill="auto"/>
          </w:tcPr>
          <w:p w14:paraId="7804BC10" w14:textId="77777777" w:rsidR="007D2333" w:rsidRPr="007275DF" w:rsidRDefault="007D2333" w:rsidP="007D2333">
            <w:pPr>
              <w:pStyle w:val="TAC"/>
            </w:pPr>
            <w:r w:rsidRPr="007275DF">
              <w:rPr>
                <w:rFonts w:cs="Arial"/>
              </w:rPr>
              <w:t>±</w:t>
            </w:r>
            <w:r w:rsidRPr="007275DF">
              <w:t>3</w:t>
            </w:r>
          </w:p>
        </w:tc>
        <w:tc>
          <w:tcPr>
            <w:tcW w:w="1049" w:type="dxa"/>
            <w:vMerge w:val="restart"/>
            <w:tcBorders>
              <w:top w:val="single" w:sz="6" w:space="0" w:color="auto"/>
              <w:left w:val="single" w:sz="6" w:space="0" w:color="auto"/>
              <w:right w:val="single" w:sz="6" w:space="0" w:color="auto"/>
            </w:tcBorders>
            <w:shd w:val="clear" w:color="auto" w:fill="auto"/>
          </w:tcPr>
          <w:p w14:paraId="68AF9CBC" w14:textId="77777777" w:rsidR="007D2333" w:rsidRPr="007275DF" w:rsidRDefault="007D2333" w:rsidP="007D2333">
            <w:pPr>
              <w:pStyle w:val="TAC"/>
            </w:pPr>
            <w:r w:rsidRPr="007275DF">
              <w:rPr>
                <w:rFonts w:cs="Arial"/>
              </w:rPr>
              <w:t>±</w:t>
            </w:r>
            <w:r w:rsidRPr="007275DF">
              <w:t>4</w:t>
            </w:r>
          </w:p>
        </w:tc>
        <w:tc>
          <w:tcPr>
            <w:tcW w:w="807" w:type="dxa"/>
            <w:vMerge w:val="restart"/>
            <w:tcBorders>
              <w:top w:val="single" w:sz="6" w:space="0" w:color="auto"/>
              <w:left w:val="single" w:sz="6" w:space="0" w:color="auto"/>
              <w:right w:val="single" w:sz="6" w:space="0" w:color="auto"/>
            </w:tcBorders>
            <w:shd w:val="clear" w:color="auto" w:fill="auto"/>
          </w:tcPr>
          <w:p w14:paraId="341CB9EE" w14:textId="77777777" w:rsidR="007D2333" w:rsidRPr="00473F76" w:rsidRDefault="007D2333" w:rsidP="007D2333">
            <w:pPr>
              <w:pStyle w:val="TAC"/>
            </w:pPr>
            <w:r w:rsidRPr="007275DF">
              <w:sym w:font="Symbol" w:char="F0B3"/>
            </w:r>
            <w:r w:rsidRPr="007275DF">
              <w:t>-3</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4D15ACF0" w14:textId="77777777" w:rsidR="007D2333" w:rsidRPr="007275DF" w:rsidRDefault="007D2333" w:rsidP="007D2333">
            <w:pPr>
              <w:pStyle w:val="TAC"/>
              <w:rPr>
                <w:lang w:val="sv-SE"/>
              </w:rPr>
            </w:pPr>
            <w:r w:rsidRPr="007275DF">
              <w:rPr>
                <w:rFonts w:cs="Arial"/>
                <w:lang w:val="sv-SE"/>
              </w:rPr>
              <w:t>NR_CCA_FR1_I</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39845FB" w14:textId="77777777" w:rsidR="007D2333" w:rsidRPr="007275DF" w:rsidRDefault="007D2333" w:rsidP="007D2333">
            <w:pPr>
              <w:pStyle w:val="TAC"/>
            </w:pPr>
            <w:r w:rsidRPr="007275DF">
              <w:t>-117</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3C1A360" w14:textId="77777777" w:rsidR="007D2333" w:rsidRPr="007275DF" w:rsidRDefault="007D2333" w:rsidP="007D2333">
            <w:pPr>
              <w:pStyle w:val="TAC"/>
            </w:pPr>
            <w:r w:rsidRPr="007275DF">
              <w:t>-114</w:t>
            </w:r>
          </w:p>
        </w:tc>
        <w:tc>
          <w:tcPr>
            <w:tcW w:w="1440" w:type="dxa"/>
            <w:vMerge w:val="restart"/>
            <w:tcBorders>
              <w:top w:val="single" w:sz="6" w:space="0" w:color="auto"/>
              <w:left w:val="single" w:sz="6" w:space="0" w:color="auto"/>
              <w:right w:val="single" w:sz="6" w:space="0" w:color="auto"/>
            </w:tcBorders>
            <w:shd w:val="clear" w:color="auto" w:fill="auto"/>
          </w:tcPr>
          <w:p w14:paraId="06A550A7"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tcPr>
          <w:p w14:paraId="0F13C1AE" w14:textId="77777777" w:rsidR="007D2333" w:rsidRPr="007275DF" w:rsidRDefault="007D2333" w:rsidP="007D2333">
            <w:pPr>
              <w:pStyle w:val="TAC"/>
            </w:pPr>
            <w:r w:rsidRPr="007275DF">
              <w:t>-50</w:t>
            </w:r>
          </w:p>
        </w:tc>
      </w:tr>
      <w:tr w:rsidR="007D2333" w:rsidRPr="007275DF" w14:paraId="10BC8F22" w14:textId="77777777" w:rsidTr="007D2333">
        <w:trPr>
          <w:jc w:val="center"/>
        </w:trPr>
        <w:tc>
          <w:tcPr>
            <w:tcW w:w="1033" w:type="dxa"/>
            <w:vMerge/>
            <w:tcBorders>
              <w:left w:val="single" w:sz="4" w:space="0" w:color="auto"/>
              <w:right w:val="single" w:sz="6" w:space="0" w:color="auto"/>
            </w:tcBorders>
            <w:shd w:val="clear" w:color="auto" w:fill="auto"/>
          </w:tcPr>
          <w:p w14:paraId="2621D748" w14:textId="77777777" w:rsidR="007D2333" w:rsidRPr="007275DF" w:rsidRDefault="007D2333" w:rsidP="007D2333">
            <w:pPr>
              <w:pStyle w:val="TAC"/>
              <w:rPr>
                <w:rFonts w:cs="Arial"/>
              </w:rPr>
            </w:pPr>
          </w:p>
        </w:tc>
        <w:tc>
          <w:tcPr>
            <w:tcW w:w="1049" w:type="dxa"/>
            <w:vMerge/>
            <w:tcBorders>
              <w:left w:val="single" w:sz="6" w:space="0" w:color="auto"/>
              <w:right w:val="single" w:sz="6" w:space="0" w:color="auto"/>
            </w:tcBorders>
            <w:shd w:val="clear" w:color="auto" w:fill="auto"/>
          </w:tcPr>
          <w:p w14:paraId="7B4CAF68" w14:textId="77777777" w:rsidR="007D2333" w:rsidRPr="007275DF" w:rsidRDefault="007D2333" w:rsidP="007D2333">
            <w:pPr>
              <w:pStyle w:val="TAC"/>
              <w:rPr>
                <w:rFonts w:cs="Arial"/>
              </w:rPr>
            </w:pPr>
          </w:p>
        </w:tc>
        <w:tc>
          <w:tcPr>
            <w:tcW w:w="807" w:type="dxa"/>
            <w:vMerge/>
            <w:tcBorders>
              <w:left w:val="single" w:sz="6" w:space="0" w:color="auto"/>
              <w:right w:val="single" w:sz="6" w:space="0" w:color="auto"/>
            </w:tcBorders>
            <w:shd w:val="clear" w:color="auto" w:fill="auto"/>
          </w:tcPr>
          <w:p w14:paraId="47F22935" w14:textId="77777777" w:rsidR="007D2333" w:rsidRPr="007275DF" w:rsidRDefault="007D2333" w:rsidP="007D2333">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3023BCFB" w14:textId="77777777" w:rsidR="007D2333" w:rsidRPr="007275DF" w:rsidRDefault="007D2333" w:rsidP="007D2333">
            <w:pPr>
              <w:pStyle w:val="TAC"/>
              <w:rPr>
                <w:rFonts w:cs="Arial"/>
                <w:lang w:val="sv-SE"/>
              </w:rPr>
            </w:pPr>
            <w:r w:rsidRPr="007275DF">
              <w:rPr>
                <w:rFonts w:cs="Arial"/>
                <w:lang w:val="sv-SE"/>
              </w:rPr>
              <w:t>NR_CCA_FR1_J</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615C425" w14:textId="77777777" w:rsidR="007D2333" w:rsidRPr="007275DF" w:rsidRDefault="007D2333" w:rsidP="007D2333">
            <w:pPr>
              <w:pStyle w:val="TAC"/>
              <w:rPr>
                <w:lang w:val="sv-SE"/>
              </w:rPr>
            </w:pPr>
            <w:r w:rsidRPr="007275DF">
              <w:rPr>
                <w:lang w:val="sv-SE"/>
              </w:rPr>
              <w:t>-116.5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C12ACE9" w14:textId="77777777" w:rsidR="007D2333" w:rsidRPr="007275DF" w:rsidRDefault="007D2333" w:rsidP="007D2333">
            <w:pPr>
              <w:pStyle w:val="TAC"/>
              <w:rPr>
                <w:lang w:val="sv-SE"/>
              </w:rPr>
            </w:pPr>
            <w:r w:rsidRPr="007275DF">
              <w:rPr>
                <w:lang w:val="sv-SE"/>
              </w:rPr>
              <w:t>-113.5</w:t>
            </w:r>
          </w:p>
        </w:tc>
        <w:tc>
          <w:tcPr>
            <w:tcW w:w="1440" w:type="dxa"/>
            <w:vMerge/>
            <w:tcBorders>
              <w:left w:val="single" w:sz="6" w:space="0" w:color="auto"/>
              <w:bottom w:val="single" w:sz="6" w:space="0" w:color="auto"/>
              <w:right w:val="single" w:sz="6" w:space="0" w:color="auto"/>
            </w:tcBorders>
            <w:shd w:val="clear" w:color="auto" w:fill="auto"/>
          </w:tcPr>
          <w:p w14:paraId="23804EF2" w14:textId="77777777" w:rsidR="007D2333" w:rsidRPr="007275DF" w:rsidRDefault="007D2333" w:rsidP="007D2333">
            <w:pPr>
              <w:pStyle w:val="TAC"/>
              <w:rPr>
                <w:lang w:val="sv-SE"/>
              </w:rPr>
            </w:pPr>
          </w:p>
        </w:tc>
        <w:tc>
          <w:tcPr>
            <w:tcW w:w="1440" w:type="dxa"/>
            <w:vMerge/>
            <w:tcBorders>
              <w:left w:val="single" w:sz="6" w:space="0" w:color="auto"/>
              <w:bottom w:val="single" w:sz="6" w:space="0" w:color="auto"/>
              <w:right w:val="single" w:sz="4" w:space="0" w:color="auto"/>
            </w:tcBorders>
            <w:shd w:val="clear" w:color="auto" w:fill="auto"/>
          </w:tcPr>
          <w:p w14:paraId="0C616DC3" w14:textId="77777777" w:rsidR="007D2333" w:rsidRPr="007275DF" w:rsidRDefault="007D2333" w:rsidP="007D2333">
            <w:pPr>
              <w:pStyle w:val="TAC"/>
              <w:rPr>
                <w:lang w:val="sv-SE"/>
              </w:rPr>
            </w:pPr>
          </w:p>
        </w:tc>
      </w:tr>
      <w:tr w:rsidR="007D2333" w:rsidRPr="007275DF" w14:paraId="72CEF22A"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2CCBD528" w14:textId="77777777" w:rsidR="007D2333" w:rsidRPr="007275DF" w:rsidRDefault="007D2333" w:rsidP="007D2333">
            <w:pPr>
              <w:pStyle w:val="TAN"/>
            </w:pPr>
            <w:r w:rsidRPr="007275DF">
              <w:t>NOTE 1:</w:t>
            </w:r>
            <w:r w:rsidRPr="007275DF">
              <w:tab/>
              <w:t>Io is assumed to have constant EPRE across the bandwidth.</w:t>
            </w:r>
          </w:p>
          <w:p w14:paraId="22BD3627" w14:textId="77777777" w:rsidR="007D2333" w:rsidRPr="007275DF" w:rsidRDefault="007D2333" w:rsidP="007D2333">
            <w:pPr>
              <w:pStyle w:val="TAN"/>
            </w:pPr>
            <w:r w:rsidRPr="007275DF">
              <w:t>NOTE 2:</w:t>
            </w:r>
            <w:r w:rsidRPr="007275DF">
              <w:tab/>
              <w:t>The parameter SSB Ês/Iot is the minimum SSB Ês/Iot of the pair of SSBs to which the requirement applies.</w:t>
            </w:r>
          </w:p>
          <w:p w14:paraId="4FD328BE" w14:textId="77777777" w:rsidR="007D2333" w:rsidRPr="007275DF" w:rsidRDefault="007D2333" w:rsidP="007D2333">
            <w:pPr>
              <w:pStyle w:val="TAN"/>
            </w:pPr>
            <w:r w:rsidRPr="007275DF">
              <w:t>NOTE 3:</w:t>
            </w:r>
            <w:r w:rsidRPr="007275DF">
              <w:tab/>
              <w:t>NR operating band groups are as defined in clause 3.5.2.</w:t>
            </w:r>
          </w:p>
        </w:tc>
      </w:tr>
    </w:tbl>
    <w:p w14:paraId="082D19BE" w14:textId="77777777" w:rsidR="007D2333" w:rsidRPr="007275DF" w:rsidRDefault="007D2333" w:rsidP="007D2333">
      <w:pPr>
        <w:rPr>
          <w:lang w:eastAsia="ko-KR"/>
        </w:rPr>
      </w:pPr>
    </w:p>
    <w:p w14:paraId="45413177" w14:textId="77777777" w:rsidR="007D2333" w:rsidRPr="007275DF" w:rsidRDefault="007D2333" w:rsidP="007D2333">
      <w:pPr>
        <w:pStyle w:val="Heading3"/>
        <w:rPr>
          <w:lang w:val="en-US"/>
        </w:rPr>
      </w:pPr>
      <w:r w:rsidRPr="007275DF">
        <w:rPr>
          <w:lang w:val="en-US"/>
        </w:rPr>
        <w:t>10.1.34</w:t>
      </w:r>
      <w:r w:rsidRPr="007275DF">
        <w:rPr>
          <w:lang w:val="en-US"/>
        </w:rPr>
        <w:tab/>
        <w:t xml:space="preserve">RSSI measurements under CCA </w:t>
      </w:r>
    </w:p>
    <w:p w14:paraId="711378D8" w14:textId="77777777" w:rsidR="007D2333" w:rsidRPr="007275DF" w:rsidRDefault="007D2333" w:rsidP="007D2333">
      <w:pPr>
        <w:pStyle w:val="Heading4"/>
        <w:rPr>
          <w:lang w:val="en-US"/>
        </w:rPr>
      </w:pPr>
      <w:r w:rsidRPr="007275DF">
        <w:rPr>
          <w:lang w:val="en-US"/>
        </w:rPr>
        <w:t>10.1.34.1</w:t>
      </w:r>
      <w:r w:rsidRPr="007275DF">
        <w:rPr>
          <w:lang w:val="en-US"/>
        </w:rPr>
        <w:tab/>
        <w:t>Intra-frequency absolute RSSI measurement accuracy requirements in FR1</w:t>
      </w:r>
    </w:p>
    <w:p w14:paraId="130FF5C6" w14:textId="77777777" w:rsidR="007D2333" w:rsidRPr="007275DF" w:rsidRDefault="007D2333" w:rsidP="007D2333">
      <w:pPr>
        <w:rPr>
          <w:lang w:eastAsia="zh-CN"/>
        </w:rPr>
      </w:pPr>
      <w:r w:rsidRPr="007275DF">
        <w:rPr>
          <w:lang w:eastAsia="zh-CN"/>
        </w:rPr>
        <w:t xml:space="preserve">The accuracy requirements for intra-frequency RSSI measurements on a carrier frequency under CCA are specified in Table 10.1.34.1-1. The requirements apply for any configured RSSI </w:t>
      </w:r>
      <w:r w:rsidRPr="007275DF">
        <w:rPr>
          <w:i/>
        </w:rPr>
        <w:t xml:space="preserve">measDuration </w:t>
      </w:r>
      <w:r w:rsidRPr="007275DF">
        <w:rPr>
          <w:lang w:eastAsia="zh-CN"/>
        </w:rPr>
        <w:t>[2], provided that:</w:t>
      </w:r>
    </w:p>
    <w:p w14:paraId="665477C8" w14:textId="77777777" w:rsidR="007D2333" w:rsidRPr="007275DF" w:rsidRDefault="007D2333" w:rsidP="007D2333">
      <w:pPr>
        <w:pStyle w:val="B10"/>
        <w:rPr>
          <w:lang w:eastAsia="zh-CN"/>
        </w:rPr>
      </w:pPr>
      <w:r w:rsidRPr="007275DF">
        <w:rPr>
          <w:lang w:eastAsia="zh-CN"/>
        </w:rPr>
        <w:t>-</w:t>
      </w:r>
      <w:r w:rsidRPr="007275DF">
        <w:rPr>
          <w:lang w:eastAsia="zh-CN"/>
        </w:rPr>
        <w:tab/>
        <w:t>All symbols duing each RSSI measurement duration are available for RSSI sampling within the same reporting interval.</w:t>
      </w:r>
    </w:p>
    <w:p w14:paraId="51841F1A" w14:textId="77777777" w:rsidR="007D2333" w:rsidRPr="007275DF" w:rsidRDefault="007D2333" w:rsidP="00F37389">
      <w:pPr>
        <w:rPr>
          <w:lang w:eastAsia="zh-CN"/>
        </w:rPr>
      </w:pPr>
      <w:r w:rsidRPr="007275DF">
        <w:rPr>
          <w:lang w:eastAsia="zh-CN"/>
        </w:rPr>
        <w:t xml:space="preserve">The intra-frequency RSSI measurement bandwidth is </w:t>
      </w:r>
      <w:r w:rsidRPr="007275DF">
        <w:t xml:space="preserve">the channel bandwidth defined in Clause 4 of TS 37.213 [33], where the channel has the center frequency configured by </w:t>
      </w:r>
      <w:r w:rsidRPr="007275DF">
        <w:rPr>
          <w:i/>
          <w:iCs/>
        </w:rPr>
        <w:t>ARFCN-valueNR</w:t>
      </w:r>
      <w:r w:rsidRPr="007275DF">
        <w:rPr>
          <w:lang w:eastAsia="zh-CN"/>
        </w:rPr>
        <w:t>.</w:t>
      </w:r>
    </w:p>
    <w:p w14:paraId="1BDE1CE6" w14:textId="77777777" w:rsidR="007D2333" w:rsidRPr="007275DF" w:rsidRDefault="007D2333" w:rsidP="007D2333">
      <w:pPr>
        <w:pStyle w:val="TH"/>
      </w:pPr>
      <w:r w:rsidRPr="007275DF">
        <w:t>Table 10.1.34.1-1: Intra-frequency RSSI accuracy under CCA</w:t>
      </w:r>
    </w:p>
    <w:tbl>
      <w:tblPr>
        <w:tblW w:w="10627" w:type="dxa"/>
        <w:jc w:val="center"/>
        <w:tblLayout w:type="fixed"/>
        <w:tblLook w:val="01E0" w:firstRow="1" w:lastRow="1" w:firstColumn="1" w:lastColumn="1" w:noHBand="0" w:noVBand="0"/>
      </w:tblPr>
      <w:tblGrid>
        <w:gridCol w:w="1036"/>
        <w:gridCol w:w="1055"/>
        <w:gridCol w:w="2015"/>
        <w:gridCol w:w="1701"/>
        <w:gridCol w:w="1701"/>
        <w:gridCol w:w="1559"/>
        <w:gridCol w:w="1560"/>
      </w:tblGrid>
      <w:tr w:rsidR="007D2333" w:rsidRPr="007275DF" w14:paraId="2FB72298" w14:textId="77777777" w:rsidTr="007D2333">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330756BB" w14:textId="77777777" w:rsidR="007D2333" w:rsidRPr="007275DF" w:rsidRDefault="007D2333" w:rsidP="007D2333">
            <w:pPr>
              <w:pStyle w:val="TAH"/>
            </w:pPr>
            <w:r w:rsidRPr="007275DF">
              <w:t>Accuracy</w:t>
            </w:r>
          </w:p>
        </w:tc>
        <w:tc>
          <w:tcPr>
            <w:tcW w:w="8536" w:type="dxa"/>
            <w:gridSpan w:val="5"/>
            <w:tcBorders>
              <w:top w:val="single" w:sz="4" w:space="0" w:color="auto"/>
              <w:left w:val="single" w:sz="6" w:space="0" w:color="auto"/>
              <w:bottom w:val="single" w:sz="6" w:space="0" w:color="auto"/>
              <w:right w:val="single" w:sz="4" w:space="0" w:color="auto"/>
            </w:tcBorders>
            <w:shd w:val="clear" w:color="auto" w:fill="auto"/>
            <w:vAlign w:val="center"/>
          </w:tcPr>
          <w:p w14:paraId="3B972019" w14:textId="77777777" w:rsidR="007D2333" w:rsidRPr="007275DF" w:rsidRDefault="007D2333" w:rsidP="007D2333">
            <w:pPr>
              <w:pStyle w:val="TAH"/>
            </w:pPr>
            <w:r w:rsidRPr="007275DF">
              <w:t>Conditions</w:t>
            </w:r>
          </w:p>
        </w:tc>
      </w:tr>
      <w:tr w:rsidR="007D2333" w:rsidRPr="007275DF" w14:paraId="49160769" w14:textId="77777777" w:rsidTr="007D2333">
        <w:trPr>
          <w:jc w:val="center"/>
        </w:trPr>
        <w:tc>
          <w:tcPr>
            <w:tcW w:w="1036" w:type="dxa"/>
            <w:tcBorders>
              <w:top w:val="single" w:sz="6" w:space="0" w:color="auto"/>
              <w:left w:val="single" w:sz="4" w:space="0" w:color="auto"/>
              <w:right w:val="single" w:sz="6" w:space="0" w:color="auto"/>
            </w:tcBorders>
            <w:shd w:val="clear" w:color="auto" w:fill="auto"/>
            <w:vAlign w:val="center"/>
          </w:tcPr>
          <w:p w14:paraId="1FB6EDF3" w14:textId="77777777" w:rsidR="007D2333" w:rsidRPr="007275DF" w:rsidRDefault="007D2333" w:rsidP="007D2333">
            <w:pPr>
              <w:pStyle w:val="TAH"/>
            </w:pPr>
            <w:r w:rsidRPr="007275DF">
              <w:t>Normal condition</w:t>
            </w:r>
          </w:p>
        </w:tc>
        <w:tc>
          <w:tcPr>
            <w:tcW w:w="1055" w:type="dxa"/>
            <w:tcBorders>
              <w:top w:val="single" w:sz="6" w:space="0" w:color="auto"/>
              <w:left w:val="single" w:sz="6" w:space="0" w:color="auto"/>
              <w:right w:val="single" w:sz="6" w:space="0" w:color="auto"/>
            </w:tcBorders>
            <w:shd w:val="clear" w:color="auto" w:fill="auto"/>
            <w:vAlign w:val="center"/>
          </w:tcPr>
          <w:p w14:paraId="47D336C1" w14:textId="77777777" w:rsidR="007D2333" w:rsidRPr="007275DF" w:rsidRDefault="007D2333" w:rsidP="007D2333">
            <w:pPr>
              <w:pStyle w:val="TAH"/>
            </w:pPr>
            <w:r w:rsidRPr="007275DF">
              <w:t>Extreme condition</w:t>
            </w:r>
          </w:p>
        </w:tc>
        <w:tc>
          <w:tcPr>
            <w:tcW w:w="8536" w:type="dxa"/>
            <w:gridSpan w:val="5"/>
            <w:tcBorders>
              <w:top w:val="single" w:sz="6" w:space="0" w:color="auto"/>
              <w:left w:val="single" w:sz="6" w:space="0" w:color="auto"/>
              <w:right w:val="single" w:sz="4" w:space="0" w:color="auto"/>
            </w:tcBorders>
            <w:shd w:val="clear" w:color="auto" w:fill="auto"/>
            <w:vAlign w:val="center"/>
          </w:tcPr>
          <w:p w14:paraId="0CE85BCA" w14:textId="77777777" w:rsidR="007D2333" w:rsidRPr="007275DF" w:rsidRDefault="007D2333" w:rsidP="007D2333">
            <w:pPr>
              <w:pStyle w:val="TAH"/>
            </w:pPr>
            <w:r w:rsidRPr="007275DF">
              <w:t>Io</w:t>
            </w:r>
            <w:r w:rsidRPr="007275DF">
              <w:rPr>
                <w:vertAlign w:val="superscript"/>
              </w:rPr>
              <w:t xml:space="preserve"> Note 1</w:t>
            </w:r>
            <w:r w:rsidRPr="007275DF">
              <w:t xml:space="preserve"> range</w:t>
            </w:r>
          </w:p>
        </w:tc>
      </w:tr>
      <w:tr w:rsidR="007D2333" w:rsidRPr="007275DF" w14:paraId="3B785C02" w14:textId="77777777" w:rsidTr="007D2333">
        <w:trPr>
          <w:jc w:val="center"/>
        </w:trPr>
        <w:tc>
          <w:tcPr>
            <w:tcW w:w="1036" w:type="dxa"/>
            <w:tcBorders>
              <w:left w:val="single" w:sz="4" w:space="0" w:color="auto"/>
              <w:bottom w:val="single" w:sz="4" w:space="0" w:color="auto"/>
              <w:right w:val="single" w:sz="6" w:space="0" w:color="auto"/>
            </w:tcBorders>
            <w:shd w:val="clear" w:color="auto" w:fill="auto"/>
            <w:vAlign w:val="center"/>
          </w:tcPr>
          <w:p w14:paraId="6D27155E" w14:textId="77777777" w:rsidR="007D2333" w:rsidRPr="007275DF" w:rsidRDefault="007D2333" w:rsidP="007D2333">
            <w:pPr>
              <w:pStyle w:val="TAH"/>
            </w:pPr>
          </w:p>
        </w:tc>
        <w:tc>
          <w:tcPr>
            <w:tcW w:w="1055" w:type="dxa"/>
            <w:tcBorders>
              <w:left w:val="single" w:sz="6" w:space="0" w:color="auto"/>
              <w:bottom w:val="single" w:sz="6" w:space="0" w:color="auto"/>
              <w:right w:val="single" w:sz="4" w:space="0" w:color="auto"/>
            </w:tcBorders>
            <w:shd w:val="clear" w:color="auto" w:fill="auto"/>
            <w:vAlign w:val="center"/>
          </w:tcPr>
          <w:p w14:paraId="0F6BA944" w14:textId="77777777" w:rsidR="007D2333" w:rsidRPr="007275DF" w:rsidRDefault="007D2333" w:rsidP="007D2333">
            <w:pPr>
              <w:pStyle w:val="TAH"/>
            </w:pPr>
          </w:p>
        </w:tc>
        <w:tc>
          <w:tcPr>
            <w:tcW w:w="2015" w:type="dxa"/>
            <w:tcBorders>
              <w:top w:val="single" w:sz="4" w:space="0" w:color="auto"/>
              <w:left w:val="single" w:sz="4" w:space="0" w:color="auto"/>
              <w:bottom w:val="single" w:sz="4" w:space="0" w:color="auto"/>
              <w:right w:val="single" w:sz="4" w:space="0" w:color="auto"/>
            </w:tcBorders>
            <w:shd w:val="clear" w:color="auto" w:fill="auto"/>
          </w:tcPr>
          <w:p w14:paraId="304961C2" w14:textId="77777777" w:rsidR="007D2333" w:rsidRPr="007275DF" w:rsidRDefault="007D2333" w:rsidP="007D2333">
            <w:pPr>
              <w:pStyle w:val="TAH"/>
            </w:pPr>
            <w:r w:rsidRPr="007275DF">
              <w:t>NR operating band groups</w:t>
            </w:r>
            <w:r w:rsidRPr="007275DF">
              <w:rPr>
                <w:vertAlign w:val="superscript"/>
              </w:rPr>
              <w:t xml:space="preserve"> Note 2</w:t>
            </w:r>
          </w:p>
        </w:tc>
        <w:tc>
          <w:tcPr>
            <w:tcW w:w="4961"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0A3810F8" w14:textId="77777777" w:rsidR="007D2333" w:rsidRPr="007275DF" w:rsidRDefault="007D2333" w:rsidP="007D2333">
            <w:pPr>
              <w:pStyle w:val="TAH"/>
            </w:pPr>
            <w:r w:rsidRPr="007275DF">
              <w:t>Minimum Io</w:t>
            </w:r>
          </w:p>
        </w:tc>
        <w:tc>
          <w:tcPr>
            <w:tcW w:w="1560" w:type="dxa"/>
            <w:tcBorders>
              <w:top w:val="single" w:sz="4" w:space="0" w:color="auto"/>
              <w:left w:val="single" w:sz="6" w:space="0" w:color="auto"/>
              <w:bottom w:val="single" w:sz="6" w:space="0" w:color="auto"/>
              <w:right w:val="single" w:sz="4" w:space="0" w:color="auto"/>
            </w:tcBorders>
            <w:shd w:val="clear" w:color="auto" w:fill="auto"/>
            <w:vAlign w:val="center"/>
          </w:tcPr>
          <w:p w14:paraId="23EFA421" w14:textId="77777777" w:rsidR="007D2333" w:rsidRPr="007275DF" w:rsidRDefault="007D2333" w:rsidP="007D2333">
            <w:pPr>
              <w:pStyle w:val="TAH"/>
            </w:pPr>
            <w:r w:rsidRPr="007275DF">
              <w:t>Maximum Io</w:t>
            </w:r>
          </w:p>
        </w:tc>
      </w:tr>
      <w:tr w:rsidR="007D2333" w:rsidRPr="007275DF" w14:paraId="4A4302B8" w14:textId="77777777" w:rsidTr="007D2333">
        <w:trPr>
          <w:trHeight w:val="308"/>
          <w:jc w:val="center"/>
        </w:trPr>
        <w:tc>
          <w:tcPr>
            <w:tcW w:w="1036" w:type="dxa"/>
            <w:tcBorders>
              <w:top w:val="single" w:sz="4" w:space="0" w:color="auto"/>
              <w:left w:val="single" w:sz="4" w:space="0" w:color="auto"/>
              <w:right w:val="single" w:sz="6" w:space="0" w:color="auto"/>
            </w:tcBorders>
            <w:shd w:val="clear" w:color="auto" w:fill="auto"/>
            <w:vAlign w:val="center"/>
          </w:tcPr>
          <w:p w14:paraId="136E8049" w14:textId="77777777" w:rsidR="007D2333" w:rsidRPr="007275DF" w:rsidRDefault="007D2333" w:rsidP="007D2333">
            <w:pPr>
              <w:pStyle w:val="TAH"/>
            </w:pPr>
            <w:r w:rsidRPr="007275DF">
              <w:t>dB</w:t>
            </w:r>
          </w:p>
        </w:tc>
        <w:tc>
          <w:tcPr>
            <w:tcW w:w="1055" w:type="dxa"/>
            <w:tcBorders>
              <w:top w:val="single" w:sz="6" w:space="0" w:color="auto"/>
              <w:left w:val="single" w:sz="6" w:space="0" w:color="auto"/>
              <w:right w:val="single" w:sz="6" w:space="0" w:color="auto"/>
            </w:tcBorders>
            <w:shd w:val="clear" w:color="auto" w:fill="auto"/>
            <w:vAlign w:val="center"/>
          </w:tcPr>
          <w:p w14:paraId="113C35E8" w14:textId="77777777" w:rsidR="007D2333" w:rsidRPr="007275DF" w:rsidRDefault="007D2333" w:rsidP="007D2333">
            <w:pPr>
              <w:pStyle w:val="TAH"/>
            </w:pPr>
            <w:r w:rsidRPr="007275DF">
              <w:t>dB</w:t>
            </w:r>
          </w:p>
        </w:tc>
        <w:tc>
          <w:tcPr>
            <w:tcW w:w="2015" w:type="dxa"/>
            <w:tcBorders>
              <w:top w:val="single" w:sz="4" w:space="0" w:color="auto"/>
              <w:left w:val="single" w:sz="6" w:space="0" w:color="auto"/>
              <w:right w:val="single" w:sz="4" w:space="0" w:color="auto"/>
            </w:tcBorders>
            <w:shd w:val="clear" w:color="auto" w:fill="auto"/>
            <w:vAlign w:val="center"/>
          </w:tcPr>
          <w:p w14:paraId="4DECC066" w14:textId="77777777" w:rsidR="007D2333" w:rsidRPr="007275DF" w:rsidRDefault="007D2333" w:rsidP="007D2333">
            <w:pPr>
              <w:pStyle w:val="TAH"/>
            </w:pPr>
          </w:p>
        </w:tc>
        <w:tc>
          <w:tcPr>
            <w:tcW w:w="3402"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0E9DEEF6"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559" w:type="dxa"/>
            <w:tcBorders>
              <w:top w:val="single" w:sz="6" w:space="0" w:color="auto"/>
              <w:left w:val="single" w:sz="6" w:space="0" w:color="auto"/>
              <w:right w:val="single" w:sz="6" w:space="0" w:color="auto"/>
            </w:tcBorders>
            <w:shd w:val="clear" w:color="auto" w:fill="auto"/>
            <w:vAlign w:val="center"/>
          </w:tcPr>
          <w:p w14:paraId="5BE5080A" w14:textId="77777777" w:rsidR="007D2333" w:rsidRPr="007275DF" w:rsidRDefault="007D2333" w:rsidP="007D2333">
            <w:pPr>
              <w:pStyle w:val="TAH"/>
            </w:pPr>
            <w:r w:rsidRPr="007275DF">
              <w:t>dBm/BW</w:t>
            </w:r>
            <w:r w:rsidRPr="007275DF">
              <w:rPr>
                <w:vertAlign w:val="subscript"/>
              </w:rPr>
              <w:t>Channel</w:t>
            </w:r>
          </w:p>
        </w:tc>
        <w:tc>
          <w:tcPr>
            <w:tcW w:w="1560" w:type="dxa"/>
            <w:tcBorders>
              <w:top w:val="single" w:sz="6" w:space="0" w:color="auto"/>
              <w:left w:val="single" w:sz="6" w:space="0" w:color="auto"/>
              <w:right w:val="single" w:sz="4" w:space="0" w:color="auto"/>
            </w:tcBorders>
            <w:shd w:val="clear" w:color="auto" w:fill="auto"/>
            <w:vAlign w:val="center"/>
          </w:tcPr>
          <w:p w14:paraId="7C725C11" w14:textId="77777777" w:rsidR="007D2333" w:rsidRPr="007275DF" w:rsidRDefault="007D2333" w:rsidP="007D2333">
            <w:pPr>
              <w:pStyle w:val="TAH"/>
            </w:pPr>
            <w:r w:rsidRPr="007275DF">
              <w:t>dBm/BW</w:t>
            </w:r>
            <w:r w:rsidRPr="007275DF">
              <w:rPr>
                <w:vertAlign w:val="subscript"/>
              </w:rPr>
              <w:t>Channel</w:t>
            </w:r>
          </w:p>
        </w:tc>
      </w:tr>
      <w:tr w:rsidR="007D2333" w:rsidRPr="007275DF" w14:paraId="29975E74" w14:textId="77777777" w:rsidTr="007D2333">
        <w:trPr>
          <w:trHeight w:val="307"/>
          <w:jc w:val="center"/>
        </w:trPr>
        <w:tc>
          <w:tcPr>
            <w:tcW w:w="1036" w:type="dxa"/>
            <w:tcBorders>
              <w:left w:val="single" w:sz="4" w:space="0" w:color="auto"/>
              <w:bottom w:val="single" w:sz="6" w:space="0" w:color="auto"/>
              <w:right w:val="single" w:sz="6" w:space="0" w:color="auto"/>
            </w:tcBorders>
            <w:shd w:val="clear" w:color="auto" w:fill="auto"/>
            <w:vAlign w:val="center"/>
          </w:tcPr>
          <w:p w14:paraId="07CC2124" w14:textId="77777777" w:rsidR="007D2333" w:rsidRPr="007275DF" w:rsidRDefault="007D2333" w:rsidP="007D2333">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3D2022D1" w14:textId="77777777" w:rsidR="007D2333" w:rsidRPr="007275DF" w:rsidRDefault="007D2333" w:rsidP="007D2333">
            <w:pPr>
              <w:pStyle w:val="TAH"/>
            </w:pPr>
          </w:p>
        </w:tc>
        <w:tc>
          <w:tcPr>
            <w:tcW w:w="2015" w:type="dxa"/>
            <w:tcBorders>
              <w:left w:val="single" w:sz="6" w:space="0" w:color="auto"/>
              <w:bottom w:val="single" w:sz="6" w:space="0" w:color="auto"/>
              <w:right w:val="single" w:sz="4" w:space="0" w:color="auto"/>
            </w:tcBorders>
            <w:shd w:val="clear" w:color="auto" w:fill="auto"/>
            <w:vAlign w:val="center"/>
          </w:tcPr>
          <w:p w14:paraId="14E4835F" w14:textId="77777777" w:rsidR="007D2333" w:rsidRPr="007275DF" w:rsidRDefault="007D2333" w:rsidP="007D2333">
            <w:pPr>
              <w:pStyle w:val="TAH"/>
            </w:pPr>
          </w:p>
        </w:tc>
        <w:tc>
          <w:tcPr>
            <w:tcW w:w="1701" w:type="dxa"/>
            <w:tcBorders>
              <w:top w:val="single" w:sz="6" w:space="0" w:color="auto"/>
              <w:left w:val="single" w:sz="4" w:space="0" w:color="auto"/>
              <w:bottom w:val="single" w:sz="6" w:space="0" w:color="auto"/>
              <w:right w:val="single" w:sz="6" w:space="0" w:color="auto"/>
            </w:tcBorders>
            <w:shd w:val="clear" w:color="auto" w:fill="auto"/>
            <w:vAlign w:val="center"/>
          </w:tcPr>
          <w:p w14:paraId="1D908604"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701" w:type="dxa"/>
            <w:tcBorders>
              <w:top w:val="single" w:sz="6" w:space="0" w:color="auto"/>
              <w:left w:val="single" w:sz="4" w:space="0" w:color="auto"/>
              <w:bottom w:val="single" w:sz="6" w:space="0" w:color="auto"/>
              <w:right w:val="single" w:sz="6" w:space="0" w:color="auto"/>
            </w:tcBorders>
            <w:shd w:val="clear" w:color="auto" w:fill="auto"/>
            <w:vAlign w:val="center"/>
          </w:tcPr>
          <w:p w14:paraId="4C720B43"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559" w:type="dxa"/>
            <w:tcBorders>
              <w:left w:val="single" w:sz="6" w:space="0" w:color="auto"/>
              <w:bottom w:val="single" w:sz="6" w:space="0" w:color="auto"/>
              <w:right w:val="single" w:sz="6" w:space="0" w:color="auto"/>
            </w:tcBorders>
            <w:shd w:val="clear" w:color="auto" w:fill="auto"/>
            <w:vAlign w:val="center"/>
          </w:tcPr>
          <w:p w14:paraId="4E26F1F0" w14:textId="77777777" w:rsidR="007D2333" w:rsidRPr="007275DF" w:rsidRDefault="007D2333" w:rsidP="007D2333">
            <w:pPr>
              <w:pStyle w:val="TAH"/>
            </w:pPr>
          </w:p>
        </w:tc>
        <w:tc>
          <w:tcPr>
            <w:tcW w:w="1560" w:type="dxa"/>
            <w:tcBorders>
              <w:left w:val="single" w:sz="6" w:space="0" w:color="auto"/>
              <w:bottom w:val="single" w:sz="6" w:space="0" w:color="auto"/>
              <w:right w:val="single" w:sz="4" w:space="0" w:color="auto"/>
            </w:tcBorders>
            <w:shd w:val="clear" w:color="auto" w:fill="auto"/>
            <w:vAlign w:val="center"/>
          </w:tcPr>
          <w:p w14:paraId="471C73E8" w14:textId="77777777" w:rsidR="007D2333" w:rsidRPr="007275DF" w:rsidRDefault="007D2333" w:rsidP="007D2333">
            <w:pPr>
              <w:pStyle w:val="TAH"/>
            </w:pPr>
          </w:p>
        </w:tc>
      </w:tr>
      <w:tr w:rsidR="007D2333" w:rsidRPr="007275DF" w14:paraId="4AB25827" w14:textId="77777777" w:rsidTr="007D2333">
        <w:trPr>
          <w:jc w:val="center"/>
        </w:trPr>
        <w:tc>
          <w:tcPr>
            <w:tcW w:w="1036" w:type="dxa"/>
            <w:vMerge w:val="restart"/>
            <w:tcBorders>
              <w:top w:val="single" w:sz="6" w:space="0" w:color="auto"/>
              <w:left w:val="single" w:sz="4" w:space="0" w:color="auto"/>
              <w:right w:val="single" w:sz="6" w:space="0" w:color="auto"/>
            </w:tcBorders>
            <w:shd w:val="clear" w:color="auto" w:fill="auto"/>
            <w:vAlign w:val="center"/>
          </w:tcPr>
          <w:p w14:paraId="2F0F5372" w14:textId="77777777" w:rsidR="007D2333" w:rsidRPr="00473F76" w:rsidRDefault="007D2333" w:rsidP="007D2333">
            <w:pPr>
              <w:pStyle w:val="TAC"/>
            </w:pPr>
            <w:r w:rsidRPr="007275DF">
              <w:t>[</w:t>
            </w:r>
            <w:r w:rsidRPr="007275DF">
              <w:rPr>
                <w:rFonts w:cs="Arial"/>
                <w:lang w:eastAsia="ja-JP"/>
              </w:rPr>
              <w:sym w:font="Symbol" w:char="F0B1"/>
            </w:r>
            <w:r w:rsidRPr="007275DF">
              <w:rPr>
                <w:rFonts w:cs="Arial"/>
                <w:lang w:eastAsia="ja-JP"/>
              </w:rPr>
              <w:t>3.5</w:t>
            </w:r>
            <w:r w:rsidRPr="00473F76">
              <w:t>]</w:t>
            </w:r>
          </w:p>
        </w:tc>
        <w:tc>
          <w:tcPr>
            <w:tcW w:w="1055" w:type="dxa"/>
            <w:vMerge w:val="restart"/>
            <w:tcBorders>
              <w:top w:val="single" w:sz="6" w:space="0" w:color="auto"/>
              <w:left w:val="single" w:sz="6" w:space="0" w:color="auto"/>
              <w:right w:val="single" w:sz="6" w:space="0" w:color="auto"/>
            </w:tcBorders>
            <w:shd w:val="clear" w:color="auto" w:fill="auto"/>
            <w:vAlign w:val="center"/>
          </w:tcPr>
          <w:p w14:paraId="7A0104F1" w14:textId="77777777" w:rsidR="007D2333" w:rsidRPr="007275DF" w:rsidRDefault="007D2333" w:rsidP="007D2333">
            <w:pPr>
              <w:pStyle w:val="TAC"/>
            </w:pPr>
            <w:r w:rsidRPr="007275DF">
              <w:t>[</w:t>
            </w:r>
            <w:r w:rsidRPr="007275DF">
              <w:rPr>
                <w:rFonts w:cs="Arial"/>
                <w:lang w:eastAsia="ja-JP"/>
              </w:rPr>
              <w:sym w:font="Symbol" w:char="F0B1"/>
            </w:r>
            <w:r w:rsidRPr="007275DF">
              <w:rPr>
                <w:rFonts w:cs="Arial"/>
                <w:lang w:eastAsia="ja-JP"/>
              </w:rPr>
              <w:t>6</w:t>
            </w:r>
            <w:r w:rsidRPr="00473F76">
              <w:rPr>
                <w:rFonts w:cs="Arial"/>
                <w:lang w:eastAsia="ja-JP"/>
              </w:rPr>
              <w:t>.5</w:t>
            </w:r>
            <w:r w:rsidRPr="00473F76">
              <w:t>]</w:t>
            </w:r>
          </w:p>
        </w:tc>
        <w:tc>
          <w:tcPr>
            <w:tcW w:w="2015" w:type="dxa"/>
            <w:tcBorders>
              <w:top w:val="single" w:sz="6" w:space="0" w:color="auto"/>
              <w:left w:val="single" w:sz="6" w:space="0" w:color="auto"/>
              <w:right w:val="single" w:sz="4" w:space="0" w:color="auto"/>
            </w:tcBorders>
            <w:shd w:val="clear" w:color="auto" w:fill="auto"/>
            <w:vAlign w:val="center"/>
          </w:tcPr>
          <w:p w14:paraId="14278B2A" w14:textId="77777777" w:rsidR="007D2333" w:rsidRPr="007275DF" w:rsidRDefault="007D2333" w:rsidP="007D2333">
            <w:pPr>
              <w:pStyle w:val="TAC"/>
              <w:rPr>
                <w:rFonts w:cs="Arial"/>
                <w:szCs w:val="18"/>
                <w:lang w:val="sv-SE"/>
              </w:rPr>
            </w:pPr>
            <w:r w:rsidRPr="007275DF">
              <w:rPr>
                <w:rFonts w:cs="Arial"/>
                <w:lang w:val="sv-SE"/>
              </w:rPr>
              <w:t>NR_CCA_FR1_I</w:t>
            </w:r>
          </w:p>
        </w:tc>
        <w:tc>
          <w:tcPr>
            <w:tcW w:w="1701" w:type="dxa"/>
            <w:tcBorders>
              <w:top w:val="single" w:sz="6" w:space="0" w:color="auto"/>
              <w:left w:val="single" w:sz="4" w:space="0" w:color="auto"/>
              <w:bottom w:val="single" w:sz="6" w:space="0" w:color="auto"/>
              <w:right w:val="single" w:sz="6" w:space="0" w:color="auto"/>
            </w:tcBorders>
            <w:shd w:val="clear" w:color="auto" w:fill="auto"/>
            <w:vAlign w:val="center"/>
          </w:tcPr>
          <w:p w14:paraId="4C12763E" w14:textId="77777777" w:rsidR="007D2333" w:rsidRPr="007275DF" w:rsidRDefault="007D2333" w:rsidP="007D2333">
            <w:pPr>
              <w:pStyle w:val="TAC"/>
            </w:pPr>
            <w:r w:rsidRPr="007275DF">
              <w:t>-117</w:t>
            </w:r>
          </w:p>
        </w:tc>
        <w:tc>
          <w:tcPr>
            <w:tcW w:w="1701" w:type="dxa"/>
            <w:tcBorders>
              <w:top w:val="single" w:sz="6" w:space="0" w:color="auto"/>
              <w:left w:val="single" w:sz="4" w:space="0" w:color="auto"/>
              <w:bottom w:val="single" w:sz="6" w:space="0" w:color="auto"/>
              <w:right w:val="single" w:sz="6" w:space="0" w:color="auto"/>
            </w:tcBorders>
            <w:shd w:val="clear" w:color="auto" w:fill="auto"/>
            <w:vAlign w:val="center"/>
          </w:tcPr>
          <w:p w14:paraId="7B4EF3E6" w14:textId="77777777" w:rsidR="007D2333" w:rsidRPr="007275DF" w:rsidRDefault="007D2333" w:rsidP="007D2333">
            <w:pPr>
              <w:pStyle w:val="TAC"/>
            </w:pPr>
            <w:r w:rsidRPr="007275DF">
              <w:t>-114</w:t>
            </w:r>
          </w:p>
        </w:tc>
        <w:tc>
          <w:tcPr>
            <w:tcW w:w="1559" w:type="dxa"/>
            <w:vMerge w:val="restart"/>
            <w:tcBorders>
              <w:top w:val="single" w:sz="6" w:space="0" w:color="auto"/>
              <w:left w:val="single" w:sz="6" w:space="0" w:color="auto"/>
              <w:right w:val="single" w:sz="6" w:space="0" w:color="auto"/>
            </w:tcBorders>
            <w:shd w:val="clear" w:color="auto" w:fill="auto"/>
            <w:vAlign w:val="center"/>
          </w:tcPr>
          <w:p w14:paraId="1EEFB46B" w14:textId="77777777" w:rsidR="007D2333" w:rsidRPr="007275DF" w:rsidRDefault="007D2333" w:rsidP="007D2333">
            <w:pPr>
              <w:pStyle w:val="TAC"/>
            </w:pPr>
            <w:r w:rsidRPr="007275DF">
              <w:t>N/A</w:t>
            </w:r>
          </w:p>
        </w:tc>
        <w:tc>
          <w:tcPr>
            <w:tcW w:w="1560" w:type="dxa"/>
            <w:vMerge w:val="restart"/>
            <w:tcBorders>
              <w:top w:val="single" w:sz="6" w:space="0" w:color="auto"/>
              <w:left w:val="single" w:sz="6" w:space="0" w:color="auto"/>
              <w:right w:val="single" w:sz="4" w:space="0" w:color="auto"/>
            </w:tcBorders>
            <w:shd w:val="clear" w:color="auto" w:fill="auto"/>
            <w:vAlign w:val="center"/>
          </w:tcPr>
          <w:p w14:paraId="6CE93C11" w14:textId="77777777" w:rsidR="007D2333" w:rsidRPr="007275DF" w:rsidRDefault="007D2333" w:rsidP="007D2333">
            <w:pPr>
              <w:pStyle w:val="TAC"/>
            </w:pPr>
            <w:r w:rsidRPr="007275DF">
              <w:t>-70</w:t>
            </w:r>
          </w:p>
        </w:tc>
      </w:tr>
      <w:tr w:rsidR="007D2333" w:rsidRPr="007275DF" w14:paraId="1268800A" w14:textId="77777777" w:rsidTr="007D2333">
        <w:trPr>
          <w:jc w:val="center"/>
        </w:trPr>
        <w:tc>
          <w:tcPr>
            <w:tcW w:w="1036" w:type="dxa"/>
            <w:vMerge/>
            <w:tcBorders>
              <w:left w:val="single" w:sz="4" w:space="0" w:color="auto"/>
              <w:right w:val="single" w:sz="6" w:space="0" w:color="auto"/>
            </w:tcBorders>
            <w:shd w:val="clear" w:color="auto" w:fill="auto"/>
            <w:vAlign w:val="center"/>
          </w:tcPr>
          <w:p w14:paraId="36ECB34D" w14:textId="77777777" w:rsidR="007D2333" w:rsidRPr="007275DF" w:rsidRDefault="007D2333" w:rsidP="007D2333">
            <w:pPr>
              <w:pStyle w:val="TAC"/>
            </w:pPr>
          </w:p>
        </w:tc>
        <w:tc>
          <w:tcPr>
            <w:tcW w:w="1055" w:type="dxa"/>
            <w:vMerge/>
            <w:tcBorders>
              <w:left w:val="single" w:sz="6" w:space="0" w:color="auto"/>
              <w:right w:val="single" w:sz="6" w:space="0" w:color="auto"/>
            </w:tcBorders>
            <w:shd w:val="clear" w:color="auto" w:fill="auto"/>
            <w:vAlign w:val="center"/>
          </w:tcPr>
          <w:p w14:paraId="31A7505D" w14:textId="77777777" w:rsidR="007D2333" w:rsidRPr="007275DF" w:rsidRDefault="007D2333" w:rsidP="007D2333">
            <w:pPr>
              <w:pStyle w:val="TAC"/>
            </w:pPr>
          </w:p>
        </w:tc>
        <w:tc>
          <w:tcPr>
            <w:tcW w:w="2015" w:type="dxa"/>
            <w:tcBorders>
              <w:top w:val="single" w:sz="6" w:space="0" w:color="auto"/>
              <w:left w:val="single" w:sz="6" w:space="0" w:color="auto"/>
              <w:right w:val="single" w:sz="4" w:space="0" w:color="auto"/>
            </w:tcBorders>
            <w:shd w:val="clear" w:color="auto" w:fill="auto"/>
            <w:vAlign w:val="center"/>
          </w:tcPr>
          <w:p w14:paraId="7AC2CCE2" w14:textId="77777777" w:rsidR="007D2333" w:rsidRPr="007275DF" w:rsidRDefault="007D2333" w:rsidP="007D2333">
            <w:pPr>
              <w:pStyle w:val="TAC"/>
              <w:rPr>
                <w:rFonts w:cs="Arial"/>
                <w:lang w:val="sv-SE"/>
              </w:rPr>
            </w:pPr>
            <w:r w:rsidRPr="007275DF">
              <w:rPr>
                <w:rFonts w:cs="Arial"/>
                <w:lang w:val="sv-SE"/>
              </w:rPr>
              <w:t>NR_CCA_FR1_J</w:t>
            </w:r>
          </w:p>
        </w:tc>
        <w:tc>
          <w:tcPr>
            <w:tcW w:w="1701" w:type="dxa"/>
            <w:tcBorders>
              <w:top w:val="single" w:sz="6" w:space="0" w:color="auto"/>
              <w:left w:val="single" w:sz="4" w:space="0" w:color="auto"/>
              <w:bottom w:val="single" w:sz="6" w:space="0" w:color="auto"/>
              <w:right w:val="single" w:sz="6" w:space="0" w:color="auto"/>
            </w:tcBorders>
            <w:shd w:val="clear" w:color="auto" w:fill="auto"/>
            <w:vAlign w:val="center"/>
          </w:tcPr>
          <w:p w14:paraId="1E3AF6C9" w14:textId="77777777" w:rsidR="007D2333" w:rsidRPr="007275DF" w:rsidRDefault="007D2333" w:rsidP="007D2333">
            <w:pPr>
              <w:pStyle w:val="TAC"/>
              <w:rPr>
                <w:lang w:val="sv-SE"/>
              </w:rPr>
            </w:pPr>
            <w:r w:rsidRPr="007275DF">
              <w:rPr>
                <w:lang w:val="sv-SE"/>
              </w:rPr>
              <w:t>-116.5</w:t>
            </w:r>
          </w:p>
        </w:tc>
        <w:tc>
          <w:tcPr>
            <w:tcW w:w="1701" w:type="dxa"/>
            <w:tcBorders>
              <w:top w:val="single" w:sz="6" w:space="0" w:color="auto"/>
              <w:left w:val="single" w:sz="4" w:space="0" w:color="auto"/>
              <w:bottom w:val="single" w:sz="6" w:space="0" w:color="auto"/>
              <w:right w:val="single" w:sz="6" w:space="0" w:color="auto"/>
            </w:tcBorders>
            <w:shd w:val="clear" w:color="auto" w:fill="auto"/>
            <w:vAlign w:val="center"/>
          </w:tcPr>
          <w:p w14:paraId="571A3A16" w14:textId="77777777" w:rsidR="007D2333" w:rsidRPr="007275DF" w:rsidRDefault="007D2333" w:rsidP="007D2333">
            <w:pPr>
              <w:pStyle w:val="TAC"/>
              <w:rPr>
                <w:lang w:val="sv-SE"/>
              </w:rPr>
            </w:pPr>
            <w:r w:rsidRPr="007275DF">
              <w:rPr>
                <w:lang w:val="sv-SE"/>
              </w:rPr>
              <w:t>-113.5</w:t>
            </w:r>
          </w:p>
        </w:tc>
        <w:tc>
          <w:tcPr>
            <w:tcW w:w="1559" w:type="dxa"/>
            <w:vMerge/>
            <w:tcBorders>
              <w:left w:val="single" w:sz="6" w:space="0" w:color="auto"/>
              <w:bottom w:val="single" w:sz="6" w:space="0" w:color="auto"/>
              <w:right w:val="single" w:sz="6" w:space="0" w:color="auto"/>
            </w:tcBorders>
            <w:shd w:val="clear" w:color="auto" w:fill="auto"/>
            <w:vAlign w:val="center"/>
          </w:tcPr>
          <w:p w14:paraId="24333942" w14:textId="77777777" w:rsidR="007D2333" w:rsidRPr="007275DF" w:rsidRDefault="007D2333" w:rsidP="007D2333">
            <w:pPr>
              <w:pStyle w:val="TAC"/>
              <w:rPr>
                <w:lang w:val="sv-SE"/>
              </w:rPr>
            </w:pPr>
          </w:p>
        </w:tc>
        <w:tc>
          <w:tcPr>
            <w:tcW w:w="1560" w:type="dxa"/>
            <w:vMerge/>
            <w:tcBorders>
              <w:left w:val="single" w:sz="6" w:space="0" w:color="auto"/>
              <w:bottom w:val="single" w:sz="6" w:space="0" w:color="auto"/>
              <w:right w:val="single" w:sz="4" w:space="0" w:color="auto"/>
            </w:tcBorders>
            <w:shd w:val="clear" w:color="auto" w:fill="auto"/>
            <w:vAlign w:val="center"/>
          </w:tcPr>
          <w:p w14:paraId="5C285598" w14:textId="77777777" w:rsidR="007D2333" w:rsidRPr="007275DF" w:rsidRDefault="007D2333" w:rsidP="007D2333">
            <w:pPr>
              <w:pStyle w:val="TAC"/>
              <w:rPr>
                <w:lang w:val="sv-SE"/>
              </w:rPr>
            </w:pPr>
          </w:p>
        </w:tc>
      </w:tr>
      <w:tr w:rsidR="007D2333" w:rsidRPr="007275DF" w14:paraId="25EBFB65" w14:textId="77777777" w:rsidTr="007D2333">
        <w:trPr>
          <w:jc w:val="center"/>
        </w:trPr>
        <w:tc>
          <w:tcPr>
            <w:tcW w:w="1036" w:type="dxa"/>
            <w:vMerge w:val="restart"/>
            <w:tcBorders>
              <w:top w:val="single" w:sz="6" w:space="0" w:color="auto"/>
              <w:left w:val="single" w:sz="4" w:space="0" w:color="auto"/>
              <w:right w:val="single" w:sz="6" w:space="0" w:color="auto"/>
            </w:tcBorders>
            <w:shd w:val="clear" w:color="auto" w:fill="auto"/>
            <w:vAlign w:val="center"/>
          </w:tcPr>
          <w:p w14:paraId="4E04AE9D" w14:textId="77777777" w:rsidR="007D2333" w:rsidRPr="007275DF" w:rsidRDefault="007D2333" w:rsidP="007D2333">
            <w:pPr>
              <w:pStyle w:val="TAC"/>
            </w:pPr>
            <w:r w:rsidRPr="007275DF">
              <w:t>[</w:t>
            </w:r>
            <w:r w:rsidRPr="007275DF">
              <w:rPr>
                <w:rFonts w:cs="Arial"/>
                <w:lang w:eastAsia="ja-JP"/>
              </w:rPr>
              <w:sym w:font="Symbol" w:char="F0B1"/>
            </w:r>
            <w:r w:rsidRPr="007275DF">
              <w:rPr>
                <w:rFonts w:cs="Arial"/>
                <w:lang w:eastAsia="ja-JP"/>
              </w:rPr>
              <w:t>5</w:t>
            </w:r>
            <w:r w:rsidRPr="00473F76">
              <w:rPr>
                <w:rFonts w:cs="Arial"/>
                <w:lang w:eastAsia="ja-JP"/>
              </w:rPr>
              <w:t>.5</w:t>
            </w:r>
            <w:r w:rsidRPr="00473F76">
              <w:t>]</w:t>
            </w:r>
          </w:p>
        </w:tc>
        <w:tc>
          <w:tcPr>
            <w:tcW w:w="1055" w:type="dxa"/>
            <w:vMerge w:val="restart"/>
            <w:tcBorders>
              <w:top w:val="single" w:sz="6" w:space="0" w:color="auto"/>
              <w:left w:val="single" w:sz="6" w:space="0" w:color="auto"/>
              <w:right w:val="single" w:sz="6" w:space="0" w:color="auto"/>
            </w:tcBorders>
            <w:shd w:val="clear" w:color="auto" w:fill="auto"/>
            <w:vAlign w:val="center"/>
          </w:tcPr>
          <w:p w14:paraId="24AB929B" w14:textId="77777777" w:rsidR="007D2333" w:rsidRPr="007275DF" w:rsidRDefault="007D2333" w:rsidP="007D2333">
            <w:pPr>
              <w:pStyle w:val="TAC"/>
            </w:pPr>
            <w:r w:rsidRPr="007275DF">
              <w:t>[</w:t>
            </w:r>
            <w:r w:rsidRPr="007275DF">
              <w:rPr>
                <w:rFonts w:cs="Arial"/>
                <w:lang w:eastAsia="ja-JP"/>
              </w:rPr>
              <w:sym w:font="Symbol" w:char="F0B1"/>
            </w:r>
            <w:r w:rsidRPr="007275DF">
              <w:rPr>
                <w:rFonts w:cs="Arial"/>
                <w:lang w:eastAsia="ja-JP"/>
              </w:rPr>
              <w:t>8</w:t>
            </w:r>
            <w:r w:rsidRPr="00473F76">
              <w:rPr>
                <w:rFonts w:cs="Arial"/>
                <w:lang w:eastAsia="ja-JP"/>
              </w:rPr>
              <w:t>.5</w:t>
            </w:r>
            <w:r w:rsidRPr="00473F76">
              <w:t>]</w:t>
            </w:r>
          </w:p>
        </w:tc>
        <w:tc>
          <w:tcPr>
            <w:tcW w:w="2015" w:type="dxa"/>
            <w:tcBorders>
              <w:top w:val="single" w:sz="6" w:space="0" w:color="auto"/>
              <w:left w:val="single" w:sz="6" w:space="0" w:color="auto"/>
              <w:bottom w:val="single" w:sz="6" w:space="0" w:color="auto"/>
              <w:right w:val="single" w:sz="4" w:space="0" w:color="auto"/>
            </w:tcBorders>
            <w:shd w:val="clear" w:color="auto" w:fill="auto"/>
            <w:vAlign w:val="center"/>
          </w:tcPr>
          <w:p w14:paraId="6524086B" w14:textId="77777777" w:rsidR="007D2333" w:rsidRPr="007275DF" w:rsidRDefault="007D2333" w:rsidP="007D2333">
            <w:pPr>
              <w:pStyle w:val="TAC"/>
              <w:rPr>
                <w:lang w:val="sv-FI"/>
              </w:rPr>
            </w:pPr>
            <w:r w:rsidRPr="007275DF">
              <w:rPr>
                <w:rFonts w:cs="Arial"/>
                <w:lang w:val="sv-SE"/>
              </w:rPr>
              <w:t>NR_CCA_FR1_I</w:t>
            </w:r>
          </w:p>
        </w:tc>
        <w:tc>
          <w:tcPr>
            <w:tcW w:w="1701" w:type="dxa"/>
            <w:vMerge w:val="restart"/>
            <w:tcBorders>
              <w:top w:val="single" w:sz="6" w:space="0" w:color="auto"/>
              <w:left w:val="single" w:sz="4" w:space="0" w:color="auto"/>
              <w:right w:val="single" w:sz="6" w:space="0" w:color="auto"/>
            </w:tcBorders>
            <w:shd w:val="clear" w:color="auto" w:fill="auto"/>
            <w:vAlign w:val="center"/>
          </w:tcPr>
          <w:p w14:paraId="3263CEFB" w14:textId="77777777" w:rsidR="007D2333" w:rsidRPr="007275DF" w:rsidRDefault="007D2333" w:rsidP="007D2333">
            <w:pPr>
              <w:pStyle w:val="TAC"/>
            </w:pPr>
            <w:r w:rsidRPr="007275DF">
              <w:t>N/A</w:t>
            </w:r>
          </w:p>
        </w:tc>
        <w:tc>
          <w:tcPr>
            <w:tcW w:w="1701" w:type="dxa"/>
            <w:vMerge w:val="restart"/>
            <w:tcBorders>
              <w:top w:val="single" w:sz="6" w:space="0" w:color="auto"/>
              <w:left w:val="single" w:sz="4" w:space="0" w:color="auto"/>
              <w:right w:val="single" w:sz="6" w:space="0" w:color="auto"/>
            </w:tcBorders>
            <w:shd w:val="clear" w:color="auto" w:fill="auto"/>
            <w:vAlign w:val="center"/>
          </w:tcPr>
          <w:p w14:paraId="3A08526B" w14:textId="77777777" w:rsidR="007D2333" w:rsidRPr="007275DF" w:rsidRDefault="007D2333" w:rsidP="007D2333">
            <w:pPr>
              <w:pStyle w:val="TAC"/>
              <w:rPr>
                <w:lang w:eastAsia="zh-CN"/>
              </w:rPr>
            </w:pPr>
            <w:r w:rsidRPr="007275DF">
              <w:rPr>
                <w:lang w:eastAsia="zh-CN"/>
              </w:rPr>
              <w:t>N/A</w:t>
            </w:r>
          </w:p>
        </w:tc>
        <w:tc>
          <w:tcPr>
            <w:tcW w:w="1559" w:type="dxa"/>
            <w:vMerge w:val="restart"/>
            <w:tcBorders>
              <w:top w:val="single" w:sz="6" w:space="0" w:color="auto"/>
              <w:left w:val="single" w:sz="6" w:space="0" w:color="auto"/>
              <w:right w:val="single" w:sz="6" w:space="0" w:color="auto"/>
            </w:tcBorders>
            <w:shd w:val="clear" w:color="auto" w:fill="auto"/>
            <w:vAlign w:val="center"/>
          </w:tcPr>
          <w:p w14:paraId="6C4EA78A" w14:textId="77777777" w:rsidR="007D2333" w:rsidRPr="007275DF" w:rsidRDefault="007D2333" w:rsidP="007D2333">
            <w:pPr>
              <w:pStyle w:val="TAC"/>
            </w:pPr>
            <w:r w:rsidRPr="007275DF">
              <w:t>-70</w:t>
            </w:r>
          </w:p>
        </w:tc>
        <w:tc>
          <w:tcPr>
            <w:tcW w:w="1560" w:type="dxa"/>
            <w:vMerge w:val="restart"/>
            <w:tcBorders>
              <w:top w:val="single" w:sz="6" w:space="0" w:color="auto"/>
              <w:left w:val="single" w:sz="6" w:space="0" w:color="auto"/>
              <w:right w:val="single" w:sz="4" w:space="0" w:color="auto"/>
            </w:tcBorders>
            <w:shd w:val="clear" w:color="auto" w:fill="auto"/>
            <w:vAlign w:val="center"/>
          </w:tcPr>
          <w:p w14:paraId="207E3CB7" w14:textId="77777777" w:rsidR="007D2333" w:rsidRPr="007275DF" w:rsidRDefault="007D2333" w:rsidP="007D2333">
            <w:pPr>
              <w:pStyle w:val="TAC"/>
            </w:pPr>
            <w:r w:rsidRPr="007275DF">
              <w:t>-50</w:t>
            </w:r>
          </w:p>
        </w:tc>
      </w:tr>
      <w:tr w:rsidR="007D2333" w:rsidRPr="007275DF" w14:paraId="62DFC85E" w14:textId="77777777" w:rsidTr="007D2333">
        <w:trPr>
          <w:jc w:val="center"/>
        </w:trPr>
        <w:tc>
          <w:tcPr>
            <w:tcW w:w="1036" w:type="dxa"/>
            <w:vMerge/>
            <w:tcBorders>
              <w:left w:val="single" w:sz="4" w:space="0" w:color="auto"/>
              <w:bottom w:val="single" w:sz="6" w:space="0" w:color="auto"/>
              <w:right w:val="single" w:sz="6" w:space="0" w:color="auto"/>
            </w:tcBorders>
            <w:shd w:val="clear" w:color="auto" w:fill="auto"/>
            <w:vAlign w:val="center"/>
          </w:tcPr>
          <w:p w14:paraId="69180D08" w14:textId="77777777" w:rsidR="007D2333" w:rsidRPr="007275DF" w:rsidRDefault="007D2333" w:rsidP="007D2333">
            <w:pPr>
              <w:pStyle w:val="TAC"/>
            </w:pPr>
          </w:p>
        </w:tc>
        <w:tc>
          <w:tcPr>
            <w:tcW w:w="1055" w:type="dxa"/>
            <w:vMerge/>
            <w:tcBorders>
              <w:left w:val="single" w:sz="6" w:space="0" w:color="auto"/>
              <w:bottom w:val="single" w:sz="6" w:space="0" w:color="auto"/>
              <w:right w:val="single" w:sz="6" w:space="0" w:color="auto"/>
            </w:tcBorders>
            <w:shd w:val="clear" w:color="auto" w:fill="auto"/>
            <w:vAlign w:val="center"/>
          </w:tcPr>
          <w:p w14:paraId="5AB8E6B6" w14:textId="77777777" w:rsidR="007D2333" w:rsidRPr="007275DF" w:rsidRDefault="007D2333" w:rsidP="007D2333">
            <w:pPr>
              <w:pStyle w:val="TAC"/>
            </w:pPr>
          </w:p>
        </w:tc>
        <w:tc>
          <w:tcPr>
            <w:tcW w:w="2015" w:type="dxa"/>
            <w:tcBorders>
              <w:top w:val="single" w:sz="6" w:space="0" w:color="auto"/>
              <w:left w:val="single" w:sz="6" w:space="0" w:color="auto"/>
              <w:bottom w:val="single" w:sz="6" w:space="0" w:color="auto"/>
              <w:right w:val="single" w:sz="4" w:space="0" w:color="auto"/>
            </w:tcBorders>
            <w:shd w:val="clear" w:color="auto" w:fill="auto"/>
            <w:vAlign w:val="center"/>
          </w:tcPr>
          <w:p w14:paraId="0277C929" w14:textId="77777777" w:rsidR="007D2333" w:rsidRPr="007275DF" w:rsidRDefault="007D2333" w:rsidP="007D2333">
            <w:pPr>
              <w:pStyle w:val="TAC"/>
              <w:rPr>
                <w:rFonts w:cs="Arial"/>
                <w:lang w:val="sv-SE"/>
              </w:rPr>
            </w:pPr>
            <w:r w:rsidRPr="007275DF">
              <w:rPr>
                <w:rFonts w:cs="Arial"/>
                <w:lang w:val="sv-SE"/>
              </w:rPr>
              <w:t>NR_CCA_FR1_J</w:t>
            </w:r>
          </w:p>
        </w:tc>
        <w:tc>
          <w:tcPr>
            <w:tcW w:w="1701" w:type="dxa"/>
            <w:vMerge/>
            <w:tcBorders>
              <w:left w:val="single" w:sz="4" w:space="0" w:color="auto"/>
              <w:bottom w:val="single" w:sz="4" w:space="0" w:color="auto"/>
              <w:right w:val="single" w:sz="6" w:space="0" w:color="auto"/>
            </w:tcBorders>
            <w:shd w:val="clear" w:color="auto" w:fill="auto"/>
            <w:vAlign w:val="center"/>
          </w:tcPr>
          <w:p w14:paraId="486CD2BB" w14:textId="77777777" w:rsidR="007D2333" w:rsidRPr="007275DF" w:rsidRDefault="007D2333" w:rsidP="007D2333">
            <w:pPr>
              <w:pStyle w:val="TAC"/>
              <w:rPr>
                <w:lang w:val="sv-SE"/>
              </w:rPr>
            </w:pPr>
          </w:p>
        </w:tc>
        <w:tc>
          <w:tcPr>
            <w:tcW w:w="1701" w:type="dxa"/>
            <w:vMerge/>
            <w:tcBorders>
              <w:left w:val="single" w:sz="4" w:space="0" w:color="auto"/>
              <w:bottom w:val="single" w:sz="4" w:space="0" w:color="auto"/>
              <w:right w:val="single" w:sz="6" w:space="0" w:color="auto"/>
            </w:tcBorders>
            <w:shd w:val="clear" w:color="auto" w:fill="auto"/>
            <w:vAlign w:val="center"/>
          </w:tcPr>
          <w:p w14:paraId="11DD298E" w14:textId="77777777" w:rsidR="007D2333" w:rsidRPr="007275DF" w:rsidRDefault="007D2333" w:rsidP="007D2333">
            <w:pPr>
              <w:pStyle w:val="TAC"/>
              <w:rPr>
                <w:lang w:val="sv-SE" w:eastAsia="zh-CN"/>
              </w:rPr>
            </w:pPr>
          </w:p>
        </w:tc>
        <w:tc>
          <w:tcPr>
            <w:tcW w:w="1559" w:type="dxa"/>
            <w:vMerge/>
            <w:tcBorders>
              <w:left w:val="single" w:sz="6" w:space="0" w:color="auto"/>
              <w:bottom w:val="single" w:sz="4" w:space="0" w:color="auto"/>
              <w:right w:val="single" w:sz="6" w:space="0" w:color="auto"/>
            </w:tcBorders>
            <w:shd w:val="clear" w:color="auto" w:fill="auto"/>
            <w:vAlign w:val="center"/>
          </w:tcPr>
          <w:p w14:paraId="6C8FD9FD" w14:textId="77777777" w:rsidR="007D2333" w:rsidRPr="007275DF" w:rsidRDefault="007D2333" w:rsidP="007D2333">
            <w:pPr>
              <w:pStyle w:val="TAC"/>
              <w:rPr>
                <w:lang w:val="sv-SE"/>
              </w:rPr>
            </w:pPr>
          </w:p>
        </w:tc>
        <w:tc>
          <w:tcPr>
            <w:tcW w:w="1560" w:type="dxa"/>
            <w:vMerge/>
            <w:tcBorders>
              <w:left w:val="single" w:sz="6" w:space="0" w:color="auto"/>
              <w:bottom w:val="single" w:sz="4" w:space="0" w:color="auto"/>
              <w:right w:val="single" w:sz="4" w:space="0" w:color="auto"/>
            </w:tcBorders>
            <w:shd w:val="clear" w:color="auto" w:fill="auto"/>
            <w:vAlign w:val="center"/>
          </w:tcPr>
          <w:p w14:paraId="65AAC1F5" w14:textId="77777777" w:rsidR="007D2333" w:rsidRPr="007275DF" w:rsidRDefault="007D2333" w:rsidP="007D2333">
            <w:pPr>
              <w:pStyle w:val="TAC"/>
              <w:rPr>
                <w:lang w:val="sv-SE"/>
              </w:rPr>
            </w:pPr>
          </w:p>
        </w:tc>
      </w:tr>
      <w:tr w:rsidR="007D2333" w:rsidRPr="007275DF" w14:paraId="7CEB4898" w14:textId="77777777" w:rsidTr="007D2333">
        <w:trPr>
          <w:jc w:val="center"/>
        </w:trPr>
        <w:tc>
          <w:tcPr>
            <w:tcW w:w="10627"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E169B5C" w14:textId="77777777" w:rsidR="007D2333" w:rsidRPr="007275DF" w:rsidRDefault="007D2333" w:rsidP="007D2333">
            <w:pPr>
              <w:keepNext/>
              <w:keepLines/>
              <w:spacing w:after="0"/>
              <w:ind w:left="851" w:hanging="851"/>
              <w:rPr>
                <w:rFonts w:ascii="Arial" w:hAnsi="Arial" w:cs="Arial"/>
                <w:sz w:val="18"/>
                <w:szCs w:val="18"/>
              </w:rPr>
            </w:pPr>
            <w:r w:rsidRPr="007275DF">
              <w:rPr>
                <w:rFonts w:ascii="Arial" w:hAnsi="Arial" w:cs="Arial"/>
                <w:sz w:val="18"/>
                <w:szCs w:val="18"/>
              </w:rPr>
              <w:t>NOTE 1:</w:t>
            </w:r>
            <w:r w:rsidRPr="007275DF">
              <w:rPr>
                <w:rFonts w:ascii="Arial" w:hAnsi="Arial" w:cs="Arial"/>
                <w:sz w:val="18"/>
                <w:szCs w:val="18"/>
              </w:rPr>
              <w:tab/>
              <w:t>Io is assumed to have constant EPRE across the bandwidth.</w:t>
            </w:r>
          </w:p>
          <w:p w14:paraId="0452F0C4" w14:textId="77777777" w:rsidR="007D2333" w:rsidRPr="007275DF" w:rsidRDefault="007D2333" w:rsidP="007D2333">
            <w:pPr>
              <w:keepNext/>
              <w:keepLines/>
              <w:spacing w:after="0"/>
              <w:ind w:left="851" w:hanging="851"/>
              <w:rPr>
                <w:rFonts w:ascii="Arial" w:hAnsi="Arial" w:cs="Arial"/>
                <w:sz w:val="18"/>
                <w:szCs w:val="18"/>
              </w:rPr>
            </w:pPr>
            <w:r w:rsidRPr="007275DF">
              <w:rPr>
                <w:rFonts w:ascii="Arial" w:hAnsi="Arial" w:cs="Arial"/>
                <w:sz w:val="18"/>
                <w:szCs w:val="18"/>
              </w:rPr>
              <w:t>NOTE 2:</w:t>
            </w:r>
            <w:r w:rsidRPr="007275DF">
              <w:rPr>
                <w:rFonts w:ascii="Arial" w:hAnsi="Arial" w:cs="Arial"/>
                <w:sz w:val="18"/>
                <w:szCs w:val="18"/>
              </w:rPr>
              <w:tab/>
              <w:t>NR operating band groups are as defined in clause 3.5.2.</w:t>
            </w:r>
          </w:p>
        </w:tc>
      </w:tr>
    </w:tbl>
    <w:p w14:paraId="34D718E4" w14:textId="77777777" w:rsidR="007D2333" w:rsidRPr="007275DF" w:rsidRDefault="007D2333" w:rsidP="007D2333">
      <w:pPr>
        <w:pStyle w:val="Heading4"/>
        <w:rPr>
          <w:lang w:val="en-US"/>
        </w:rPr>
      </w:pPr>
      <w:r w:rsidRPr="007275DF">
        <w:rPr>
          <w:lang w:val="en-US"/>
        </w:rPr>
        <w:t>10.1.34.2</w:t>
      </w:r>
      <w:r w:rsidRPr="007275DF">
        <w:rPr>
          <w:lang w:val="en-US"/>
        </w:rPr>
        <w:tab/>
        <w:t>Inter-frequency absolute RSSI measurement accuracy requirements in FR1</w:t>
      </w:r>
    </w:p>
    <w:p w14:paraId="3AE2A0CB" w14:textId="77777777" w:rsidR="007D2333" w:rsidRPr="007275DF" w:rsidRDefault="007D2333" w:rsidP="007D2333">
      <w:pPr>
        <w:rPr>
          <w:lang w:eastAsia="zh-CN"/>
        </w:rPr>
      </w:pPr>
      <w:r w:rsidRPr="007275DF">
        <w:rPr>
          <w:lang w:eastAsia="zh-CN"/>
        </w:rPr>
        <w:t>The accuracy requirements for inter-frequency RSSI measurements on a carrier frequency under CCA are the same as specified in clause 10.1.34.1.</w:t>
      </w:r>
    </w:p>
    <w:p w14:paraId="233F6DE7" w14:textId="77777777" w:rsidR="007D2333" w:rsidRPr="007275DF" w:rsidRDefault="007D2333" w:rsidP="007D2333">
      <w:pPr>
        <w:rPr>
          <w:lang w:eastAsia="zh-CN"/>
        </w:rPr>
      </w:pPr>
      <w:r w:rsidRPr="007275DF">
        <w:rPr>
          <w:lang w:eastAsia="zh-CN"/>
        </w:rPr>
        <w:t xml:space="preserve">The inter-frequency RSSI measurement bandwidth is </w:t>
      </w:r>
      <w:r w:rsidRPr="007275DF">
        <w:t xml:space="preserve">the channel bandwidth defined in Clause 4 of TS 37.213 [33], where the channel has the center frequency configured by </w:t>
      </w:r>
      <w:r w:rsidRPr="007275DF">
        <w:rPr>
          <w:i/>
          <w:iCs/>
        </w:rPr>
        <w:t>ARFCN-valueNR</w:t>
      </w:r>
      <w:r w:rsidRPr="007275DF">
        <w:rPr>
          <w:lang w:eastAsia="zh-CN"/>
        </w:rPr>
        <w:t>.</w:t>
      </w:r>
    </w:p>
    <w:p w14:paraId="53680ECF" w14:textId="77777777" w:rsidR="007D2333" w:rsidRPr="007275DF" w:rsidRDefault="007D2333" w:rsidP="007D2333">
      <w:pPr>
        <w:rPr>
          <w:lang w:eastAsia="zh-CN"/>
        </w:rPr>
      </w:pPr>
    </w:p>
    <w:p w14:paraId="5A0CF782" w14:textId="77777777" w:rsidR="007D2333" w:rsidRPr="007275DF" w:rsidRDefault="007D2333" w:rsidP="007D2333">
      <w:pPr>
        <w:pStyle w:val="Heading4"/>
        <w:rPr>
          <w:lang w:val="en-US"/>
        </w:rPr>
      </w:pPr>
      <w:r w:rsidRPr="007275DF">
        <w:rPr>
          <w:lang w:val="en-US"/>
        </w:rPr>
        <w:t>10.1.34.3</w:t>
      </w:r>
      <w:r w:rsidRPr="007275DF">
        <w:rPr>
          <w:lang w:val="en-US"/>
        </w:rPr>
        <w:tab/>
        <w:t>RSSI measurement report mapping</w:t>
      </w:r>
    </w:p>
    <w:p w14:paraId="3E802E0A" w14:textId="77777777" w:rsidR="007D2333" w:rsidRPr="007275DF" w:rsidRDefault="007D2333" w:rsidP="007D2333">
      <w:pPr>
        <w:rPr>
          <w:rFonts w:cs="v4.2.0"/>
        </w:rPr>
      </w:pPr>
      <w:r w:rsidRPr="007275DF">
        <w:rPr>
          <w:rFonts w:cs="v4.2.0"/>
        </w:rPr>
        <w:t>The reporting range of RSSI measurement is defined from -100 dBm to -25 dBm with 1 dBm resolution.</w:t>
      </w:r>
    </w:p>
    <w:p w14:paraId="5672FA1E" w14:textId="77777777" w:rsidR="007D2333" w:rsidRPr="007275DF" w:rsidRDefault="007D2333" w:rsidP="007D2333">
      <w:pPr>
        <w:rPr>
          <w:rFonts w:cs="v4.2.0"/>
        </w:rPr>
      </w:pPr>
      <w:r w:rsidRPr="007275DF">
        <w:rPr>
          <w:rFonts w:cs="v4.2.0"/>
        </w:rPr>
        <w:t>The mapping of the measured quantity is defined in Table 10.1.34.3-1. The range in the signalling may be larger than the guaranteed accuracy range, provided that the following condition is met:</w:t>
      </w:r>
    </w:p>
    <w:p w14:paraId="13F22B7D" w14:textId="77777777" w:rsidR="007D2333" w:rsidRPr="007275DF" w:rsidRDefault="007D2333" w:rsidP="007D2333">
      <w:pPr>
        <w:rPr>
          <w:rFonts w:cs="v4.2.0"/>
        </w:rPr>
      </w:pPr>
      <w:r w:rsidRPr="007275DF">
        <w:rPr>
          <w:rFonts w:cs="v4.2.0"/>
        </w:rPr>
        <w:t xml:space="preserve">the RSSI measurement bandwidth is the </w:t>
      </w:r>
      <w:r w:rsidRPr="007275DF">
        <w:t xml:space="preserve">channel bandwidth defined in Clause 4 of TS 37.213 [33], where the channel has the center frequency configured by </w:t>
      </w:r>
      <w:r w:rsidRPr="007275DF">
        <w:rPr>
          <w:i/>
          <w:iCs/>
        </w:rPr>
        <w:t>ARFCN-valueNR</w:t>
      </w:r>
      <w:r w:rsidRPr="007275DF">
        <w:rPr>
          <w:rFonts w:cs="v4.2.0"/>
        </w:rPr>
        <w:t>.</w:t>
      </w:r>
    </w:p>
    <w:p w14:paraId="4C7B250A" w14:textId="77777777" w:rsidR="007D2333" w:rsidRPr="007275DF" w:rsidRDefault="007D2333" w:rsidP="007D2333">
      <w:pPr>
        <w:pStyle w:val="TH"/>
      </w:pPr>
      <w:r w:rsidRPr="007275DF">
        <w:t>Table 10.1.34.3-1: RSSI measurement report mapping</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3402"/>
        <w:gridCol w:w="1418"/>
      </w:tblGrid>
      <w:tr w:rsidR="007D2333" w:rsidRPr="007275DF" w14:paraId="0964EF0C" w14:textId="77777777" w:rsidTr="007D2333">
        <w:trPr>
          <w:cantSplit/>
        </w:trPr>
        <w:tc>
          <w:tcPr>
            <w:tcW w:w="3118" w:type="dxa"/>
          </w:tcPr>
          <w:p w14:paraId="2B48C72D" w14:textId="77777777" w:rsidR="007D2333" w:rsidRPr="007275DF" w:rsidRDefault="007D2333" w:rsidP="007D2333">
            <w:pPr>
              <w:pStyle w:val="TAH"/>
              <w:rPr>
                <w:rFonts w:cs="v4.2.0"/>
                <w:lang w:eastAsia="ja-JP"/>
              </w:rPr>
            </w:pPr>
            <w:r w:rsidRPr="007275DF">
              <w:rPr>
                <w:rFonts w:cs="v4.2.0"/>
                <w:lang w:eastAsia="ja-JP"/>
              </w:rPr>
              <w:t>Reported value</w:t>
            </w:r>
          </w:p>
        </w:tc>
        <w:tc>
          <w:tcPr>
            <w:tcW w:w="3402" w:type="dxa"/>
          </w:tcPr>
          <w:p w14:paraId="220DDB52" w14:textId="77777777" w:rsidR="007D2333" w:rsidRPr="007275DF" w:rsidRDefault="007D2333" w:rsidP="007D2333">
            <w:pPr>
              <w:pStyle w:val="TAH"/>
              <w:rPr>
                <w:rFonts w:cs="v4.2.0"/>
                <w:lang w:eastAsia="ja-JP"/>
              </w:rPr>
            </w:pPr>
            <w:r w:rsidRPr="007275DF">
              <w:rPr>
                <w:rFonts w:cs="v4.2.0"/>
                <w:lang w:eastAsia="ja-JP"/>
              </w:rPr>
              <w:t>Measured quantity value</w:t>
            </w:r>
          </w:p>
        </w:tc>
        <w:tc>
          <w:tcPr>
            <w:tcW w:w="1418" w:type="dxa"/>
          </w:tcPr>
          <w:p w14:paraId="08A3A7B1" w14:textId="77777777" w:rsidR="007D2333" w:rsidRPr="007275DF" w:rsidRDefault="007D2333" w:rsidP="007D2333">
            <w:pPr>
              <w:pStyle w:val="TAH"/>
              <w:rPr>
                <w:rFonts w:cs="v4.2.0"/>
                <w:lang w:eastAsia="ja-JP"/>
              </w:rPr>
            </w:pPr>
            <w:r w:rsidRPr="007275DF">
              <w:rPr>
                <w:rFonts w:cs="v4.2.0"/>
                <w:lang w:eastAsia="ja-JP"/>
              </w:rPr>
              <w:t>Unit</w:t>
            </w:r>
          </w:p>
        </w:tc>
      </w:tr>
      <w:tr w:rsidR="007D2333" w:rsidRPr="007275DF" w14:paraId="1432761B" w14:textId="77777777" w:rsidTr="007D2333">
        <w:trPr>
          <w:cantSplit/>
        </w:trPr>
        <w:tc>
          <w:tcPr>
            <w:tcW w:w="3118" w:type="dxa"/>
          </w:tcPr>
          <w:p w14:paraId="00334640" w14:textId="77777777" w:rsidR="007D2333" w:rsidRPr="007275DF" w:rsidRDefault="007D2333" w:rsidP="007D2333">
            <w:pPr>
              <w:pStyle w:val="TAC"/>
              <w:rPr>
                <w:rFonts w:cs="Arial"/>
                <w:lang w:val="sv-SE" w:eastAsia="ja-JP"/>
              </w:rPr>
            </w:pPr>
            <w:r w:rsidRPr="007275DF">
              <w:rPr>
                <w:rFonts w:cs="Arial"/>
                <w:lang w:val="sv-SE" w:eastAsia="ja-JP"/>
              </w:rPr>
              <w:t>RSSI_00</w:t>
            </w:r>
          </w:p>
        </w:tc>
        <w:tc>
          <w:tcPr>
            <w:tcW w:w="3402" w:type="dxa"/>
          </w:tcPr>
          <w:p w14:paraId="4A1AC324" w14:textId="77777777" w:rsidR="007D2333" w:rsidRPr="007275DF" w:rsidRDefault="007D2333" w:rsidP="007D2333">
            <w:pPr>
              <w:pStyle w:val="TAC"/>
              <w:rPr>
                <w:rFonts w:cs="Arial"/>
                <w:lang w:eastAsia="ja-JP"/>
              </w:rPr>
            </w:pPr>
            <w:r w:rsidRPr="007275DF">
              <w:rPr>
                <w:rFonts w:cs="Arial"/>
                <w:lang w:eastAsia="ja-JP"/>
              </w:rPr>
              <w:t xml:space="preserve">RSSI &lt; </w:t>
            </w:r>
            <w:r w:rsidRPr="007275DF">
              <w:rPr>
                <w:rFonts w:cs="Arial"/>
                <w:lang w:eastAsia="ja-JP"/>
              </w:rPr>
              <w:noBreakHyphen/>
              <w:t xml:space="preserve">100 </w:t>
            </w:r>
          </w:p>
        </w:tc>
        <w:tc>
          <w:tcPr>
            <w:tcW w:w="1418" w:type="dxa"/>
          </w:tcPr>
          <w:p w14:paraId="7FBD1744" w14:textId="77777777" w:rsidR="007D2333" w:rsidRPr="007275DF" w:rsidRDefault="007D2333" w:rsidP="007D2333">
            <w:pPr>
              <w:pStyle w:val="TAC"/>
              <w:rPr>
                <w:rFonts w:cs="Arial"/>
                <w:lang w:eastAsia="ja-JP"/>
              </w:rPr>
            </w:pPr>
            <w:r w:rsidRPr="007275DF">
              <w:rPr>
                <w:rFonts w:cs="Arial"/>
                <w:lang w:eastAsia="ja-JP"/>
              </w:rPr>
              <w:t>dBm</w:t>
            </w:r>
          </w:p>
        </w:tc>
      </w:tr>
      <w:tr w:rsidR="007D2333" w:rsidRPr="007275DF" w14:paraId="1C13CE78" w14:textId="77777777" w:rsidTr="007D2333">
        <w:trPr>
          <w:cantSplit/>
        </w:trPr>
        <w:tc>
          <w:tcPr>
            <w:tcW w:w="3118" w:type="dxa"/>
          </w:tcPr>
          <w:p w14:paraId="6EE99A96" w14:textId="77777777" w:rsidR="007D2333" w:rsidRPr="007275DF" w:rsidRDefault="007D2333" w:rsidP="007D2333">
            <w:pPr>
              <w:pStyle w:val="TAC"/>
              <w:rPr>
                <w:rFonts w:cs="Arial"/>
                <w:lang w:val="sv-SE" w:eastAsia="ja-JP"/>
              </w:rPr>
            </w:pPr>
            <w:r w:rsidRPr="007275DF">
              <w:rPr>
                <w:rFonts w:cs="Arial"/>
                <w:lang w:val="sv-SE" w:eastAsia="ja-JP"/>
              </w:rPr>
              <w:t>RSSI_01</w:t>
            </w:r>
          </w:p>
        </w:tc>
        <w:tc>
          <w:tcPr>
            <w:tcW w:w="3402" w:type="dxa"/>
          </w:tcPr>
          <w:p w14:paraId="12DC4FDA" w14:textId="77777777" w:rsidR="007D2333" w:rsidRPr="00473F76" w:rsidRDefault="007D2333" w:rsidP="007D2333">
            <w:pPr>
              <w:pStyle w:val="TAC"/>
              <w:rPr>
                <w:rFonts w:cs="Arial"/>
                <w:lang w:eastAsia="ja-JP"/>
              </w:rPr>
            </w:pPr>
            <w:r w:rsidRPr="007275DF">
              <w:rPr>
                <w:rFonts w:cs="Arial"/>
                <w:lang w:eastAsia="ja-JP"/>
              </w:rPr>
              <w:t xml:space="preserve">-100 </w:t>
            </w:r>
            <w:r w:rsidRPr="007275DF">
              <w:rPr>
                <w:rFonts w:cs="Arial"/>
                <w:lang w:eastAsia="ja-JP"/>
              </w:rPr>
              <w:sym w:font="Symbol" w:char="F0A3"/>
            </w:r>
            <w:r w:rsidRPr="007275DF">
              <w:rPr>
                <w:rFonts w:cs="Arial"/>
                <w:lang w:eastAsia="ja-JP"/>
              </w:rPr>
              <w:t xml:space="preserve"> RSSI &lt; </w:t>
            </w:r>
            <w:r w:rsidRPr="007275DF">
              <w:rPr>
                <w:rFonts w:cs="Arial"/>
                <w:lang w:eastAsia="ja-JP"/>
              </w:rPr>
              <w:noBreakHyphen/>
              <w:t>99</w:t>
            </w:r>
          </w:p>
        </w:tc>
        <w:tc>
          <w:tcPr>
            <w:tcW w:w="1418" w:type="dxa"/>
          </w:tcPr>
          <w:p w14:paraId="28F00C47" w14:textId="77777777" w:rsidR="007D2333" w:rsidRPr="007275DF" w:rsidRDefault="007D2333" w:rsidP="007D2333">
            <w:pPr>
              <w:pStyle w:val="TAC"/>
              <w:rPr>
                <w:rFonts w:cs="Arial"/>
                <w:lang w:eastAsia="ja-JP"/>
              </w:rPr>
            </w:pPr>
            <w:r w:rsidRPr="007275DF">
              <w:rPr>
                <w:rFonts w:cs="Arial"/>
                <w:lang w:eastAsia="ja-JP"/>
              </w:rPr>
              <w:t>dBm</w:t>
            </w:r>
          </w:p>
        </w:tc>
      </w:tr>
      <w:tr w:rsidR="007D2333" w:rsidRPr="007275DF" w14:paraId="62BBCFF9" w14:textId="77777777" w:rsidTr="007D2333">
        <w:trPr>
          <w:cantSplit/>
        </w:trPr>
        <w:tc>
          <w:tcPr>
            <w:tcW w:w="3118" w:type="dxa"/>
          </w:tcPr>
          <w:p w14:paraId="3EE4A0CB" w14:textId="77777777" w:rsidR="007D2333" w:rsidRPr="007275DF" w:rsidRDefault="007D2333" w:rsidP="007D2333">
            <w:pPr>
              <w:pStyle w:val="TAC"/>
              <w:rPr>
                <w:rFonts w:cs="Arial"/>
                <w:lang w:val="sv-SE" w:eastAsia="ja-JP"/>
              </w:rPr>
            </w:pPr>
            <w:r w:rsidRPr="007275DF">
              <w:rPr>
                <w:rFonts w:cs="Arial"/>
                <w:lang w:val="sv-SE" w:eastAsia="ja-JP"/>
              </w:rPr>
              <w:t>RSSI_02</w:t>
            </w:r>
          </w:p>
        </w:tc>
        <w:tc>
          <w:tcPr>
            <w:tcW w:w="3402" w:type="dxa"/>
          </w:tcPr>
          <w:p w14:paraId="63F9655C" w14:textId="77777777" w:rsidR="007D2333" w:rsidRPr="00473F76" w:rsidRDefault="007D2333" w:rsidP="007D2333">
            <w:pPr>
              <w:pStyle w:val="TAC"/>
              <w:rPr>
                <w:rFonts w:cs="Arial"/>
                <w:lang w:eastAsia="ja-JP"/>
              </w:rPr>
            </w:pPr>
            <w:r w:rsidRPr="007275DF">
              <w:rPr>
                <w:rFonts w:cs="Arial"/>
                <w:lang w:eastAsia="ja-JP"/>
              </w:rPr>
              <w:t xml:space="preserve">-99 </w:t>
            </w:r>
            <w:r w:rsidRPr="007275DF">
              <w:rPr>
                <w:rFonts w:cs="Arial"/>
                <w:lang w:eastAsia="ja-JP"/>
              </w:rPr>
              <w:sym w:font="Symbol" w:char="F0A3"/>
            </w:r>
            <w:r w:rsidRPr="007275DF">
              <w:rPr>
                <w:rFonts w:cs="Arial"/>
                <w:lang w:eastAsia="ja-JP"/>
              </w:rPr>
              <w:t xml:space="preserve"> R</w:t>
            </w:r>
            <w:r w:rsidRPr="00473F76">
              <w:rPr>
                <w:rFonts w:cs="Arial"/>
                <w:lang w:eastAsia="ja-JP"/>
              </w:rPr>
              <w:t xml:space="preserve">SSI &lt; </w:t>
            </w:r>
            <w:r w:rsidRPr="00473F76">
              <w:rPr>
                <w:rFonts w:cs="Arial"/>
                <w:lang w:eastAsia="ja-JP"/>
              </w:rPr>
              <w:noBreakHyphen/>
              <w:t>98</w:t>
            </w:r>
          </w:p>
        </w:tc>
        <w:tc>
          <w:tcPr>
            <w:tcW w:w="1418" w:type="dxa"/>
          </w:tcPr>
          <w:p w14:paraId="71B25D8D" w14:textId="77777777" w:rsidR="007D2333" w:rsidRPr="007275DF" w:rsidRDefault="007D2333" w:rsidP="007D2333">
            <w:pPr>
              <w:pStyle w:val="TAC"/>
              <w:rPr>
                <w:rFonts w:cs="Arial"/>
                <w:lang w:eastAsia="ja-JP"/>
              </w:rPr>
            </w:pPr>
            <w:r w:rsidRPr="007275DF">
              <w:rPr>
                <w:rFonts w:cs="Arial"/>
                <w:lang w:eastAsia="ja-JP"/>
              </w:rPr>
              <w:t>dBm</w:t>
            </w:r>
          </w:p>
        </w:tc>
      </w:tr>
      <w:tr w:rsidR="007D2333" w:rsidRPr="007275DF" w14:paraId="760033D5" w14:textId="77777777" w:rsidTr="007D2333">
        <w:trPr>
          <w:cantSplit/>
        </w:trPr>
        <w:tc>
          <w:tcPr>
            <w:tcW w:w="3118" w:type="dxa"/>
          </w:tcPr>
          <w:p w14:paraId="5A267712" w14:textId="77777777" w:rsidR="007D2333" w:rsidRPr="007275DF" w:rsidRDefault="007D2333" w:rsidP="007D2333">
            <w:pPr>
              <w:pStyle w:val="TAC"/>
              <w:rPr>
                <w:rFonts w:cs="Arial"/>
                <w:lang w:eastAsia="ja-JP"/>
              </w:rPr>
            </w:pPr>
            <w:r w:rsidRPr="007275DF">
              <w:rPr>
                <w:rFonts w:cs="Arial"/>
                <w:lang w:eastAsia="ja-JP"/>
              </w:rPr>
              <w:t>…</w:t>
            </w:r>
          </w:p>
        </w:tc>
        <w:tc>
          <w:tcPr>
            <w:tcW w:w="3402" w:type="dxa"/>
          </w:tcPr>
          <w:p w14:paraId="10B2D1CC" w14:textId="77777777" w:rsidR="007D2333" w:rsidRPr="007275DF" w:rsidRDefault="007D2333" w:rsidP="007D2333">
            <w:pPr>
              <w:pStyle w:val="TAC"/>
              <w:rPr>
                <w:rFonts w:cs="Arial"/>
                <w:lang w:eastAsia="ja-JP"/>
              </w:rPr>
            </w:pPr>
            <w:r w:rsidRPr="007275DF">
              <w:rPr>
                <w:rFonts w:cs="Arial"/>
                <w:lang w:eastAsia="ja-JP"/>
              </w:rPr>
              <w:t>…</w:t>
            </w:r>
          </w:p>
        </w:tc>
        <w:tc>
          <w:tcPr>
            <w:tcW w:w="1418" w:type="dxa"/>
          </w:tcPr>
          <w:p w14:paraId="372733EF" w14:textId="77777777" w:rsidR="007D2333" w:rsidRPr="007275DF" w:rsidRDefault="007D2333" w:rsidP="007D2333">
            <w:pPr>
              <w:pStyle w:val="TAC"/>
              <w:rPr>
                <w:rFonts w:cs="Arial"/>
                <w:lang w:eastAsia="ja-JP"/>
              </w:rPr>
            </w:pPr>
            <w:r w:rsidRPr="007275DF">
              <w:rPr>
                <w:rFonts w:cs="Arial"/>
                <w:lang w:eastAsia="ja-JP"/>
              </w:rPr>
              <w:t>…</w:t>
            </w:r>
          </w:p>
        </w:tc>
      </w:tr>
      <w:tr w:rsidR="007D2333" w:rsidRPr="007275DF" w14:paraId="33371B9E" w14:textId="77777777" w:rsidTr="007D2333">
        <w:trPr>
          <w:cantSplit/>
        </w:trPr>
        <w:tc>
          <w:tcPr>
            <w:tcW w:w="3118" w:type="dxa"/>
          </w:tcPr>
          <w:p w14:paraId="00D174AF" w14:textId="77777777" w:rsidR="007D2333" w:rsidRPr="007275DF" w:rsidRDefault="007D2333" w:rsidP="007D2333">
            <w:pPr>
              <w:pStyle w:val="TAC"/>
              <w:rPr>
                <w:rFonts w:cs="Arial"/>
                <w:lang w:val="sv-SE" w:eastAsia="ja-JP"/>
              </w:rPr>
            </w:pPr>
            <w:r w:rsidRPr="007275DF">
              <w:rPr>
                <w:rFonts w:cs="Arial"/>
                <w:lang w:val="sv-SE" w:eastAsia="ja-JP"/>
              </w:rPr>
              <w:t>RSSI_74</w:t>
            </w:r>
          </w:p>
        </w:tc>
        <w:tc>
          <w:tcPr>
            <w:tcW w:w="3402" w:type="dxa"/>
          </w:tcPr>
          <w:p w14:paraId="7E760C40" w14:textId="77777777" w:rsidR="007D2333" w:rsidRPr="00473F76" w:rsidRDefault="007D2333" w:rsidP="007D2333">
            <w:pPr>
              <w:pStyle w:val="TAC"/>
              <w:rPr>
                <w:rFonts w:cs="Arial"/>
                <w:lang w:eastAsia="ja-JP"/>
              </w:rPr>
            </w:pPr>
            <w:r w:rsidRPr="007275DF">
              <w:rPr>
                <w:rFonts w:cs="Arial"/>
                <w:lang w:eastAsia="ja-JP"/>
              </w:rPr>
              <w:t xml:space="preserve">-27 </w:t>
            </w:r>
            <w:r w:rsidRPr="007275DF">
              <w:rPr>
                <w:rFonts w:cs="Arial"/>
                <w:lang w:eastAsia="ja-JP"/>
              </w:rPr>
              <w:sym w:font="Symbol" w:char="F0A3"/>
            </w:r>
            <w:r w:rsidRPr="007275DF">
              <w:rPr>
                <w:rFonts w:cs="Arial"/>
                <w:lang w:eastAsia="ja-JP"/>
              </w:rPr>
              <w:t xml:space="preserve"> RSSI &lt; -26</w:t>
            </w:r>
          </w:p>
        </w:tc>
        <w:tc>
          <w:tcPr>
            <w:tcW w:w="1418" w:type="dxa"/>
          </w:tcPr>
          <w:p w14:paraId="11C0F9AD" w14:textId="77777777" w:rsidR="007D2333" w:rsidRPr="007275DF" w:rsidRDefault="007D2333" w:rsidP="007D2333">
            <w:pPr>
              <w:pStyle w:val="TAC"/>
              <w:rPr>
                <w:rFonts w:cs="Arial"/>
                <w:lang w:eastAsia="ja-JP"/>
              </w:rPr>
            </w:pPr>
            <w:r w:rsidRPr="007275DF">
              <w:rPr>
                <w:rFonts w:cs="Arial"/>
                <w:lang w:eastAsia="ja-JP"/>
              </w:rPr>
              <w:t>dBm</w:t>
            </w:r>
          </w:p>
        </w:tc>
      </w:tr>
      <w:tr w:rsidR="007D2333" w:rsidRPr="007275DF" w14:paraId="6287C774" w14:textId="77777777" w:rsidTr="007D2333">
        <w:trPr>
          <w:cantSplit/>
        </w:trPr>
        <w:tc>
          <w:tcPr>
            <w:tcW w:w="3118" w:type="dxa"/>
          </w:tcPr>
          <w:p w14:paraId="642B57F5" w14:textId="77777777" w:rsidR="007D2333" w:rsidRPr="007275DF" w:rsidRDefault="007D2333" w:rsidP="007D2333">
            <w:pPr>
              <w:pStyle w:val="TAC"/>
              <w:rPr>
                <w:rFonts w:cs="Arial"/>
                <w:lang w:val="sv-SE" w:eastAsia="ja-JP"/>
              </w:rPr>
            </w:pPr>
            <w:r w:rsidRPr="007275DF">
              <w:rPr>
                <w:rFonts w:cs="Arial"/>
                <w:lang w:val="sv-SE" w:eastAsia="ja-JP"/>
              </w:rPr>
              <w:t>RSSI_75</w:t>
            </w:r>
          </w:p>
        </w:tc>
        <w:tc>
          <w:tcPr>
            <w:tcW w:w="3402" w:type="dxa"/>
          </w:tcPr>
          <w:p w14:paraId="6DDA50DB" w14:textId="77777777" w:rsidR="007D2333" w:rsidRPr="00473F76" w:rsidRDefault="007D2333" w:rsidP="007D2333">
            <w:pPr>
              <w:pStyle w:val="TAC"/>
              <w:rPr>
                <w:rFonts w:cs="Arial"/>
                <w:lang w:eastAsia="ja-JP"/>
              </w:rPr>
            </w:pPr>
            <w:r w:rsidRPr="007275DF">
              <w:rPr>
                <w:rFonts w:cs="Arial"/>
                <w:lang w:eastAsia="ja-JP"/>
              </w:rPr>
              <w:t xml:space="preserve">-26 </w:t>
            </w:r>
            <w:r w:rsidRPr="007275DF">
              <w:rPr>
                <w:rFonts w:cs="Arial"/>
                <w:lang w:eastAsia="ja-JP"/>
              </w:rPr>
              <w:sym w:font="Symbol" w:char="F0A3"/>
            </w:r>
            <w:r w:rsidRPr="007275DF">
              <w:rPr>
                <w:rFonts w:cs="Arial"/>
                <w:lang w:eastAsia="ja-JP"/>
              </w:rPr>
              <w:t xml:space="preserve"> RSSI &lt; -25</w:t>
            </w:r>
          </w:p>
        </w:tc>
        <w:tc>
          <w:tcPr>
            <w:tcW w:w="1418" w:type="dxa"/>
          </w:tcPr>
          <w:p w14:paraId="6B5CCF40" w14:textId="77777777" w:rsidR="007D2333" w:rsidRPr="007275DF" w:rsidRDefault="007D2333" w:rsidP="007D2333">
            <w:pPr>
              <w:pStyle w:val="TAC"/>
              <w:rPr>
                <w:rFonts w:cs="Arial"/>
                <w:lang w:eastAsia="ja-JP"/>
              </w:rPr>
            </w:pPr>
            <w:r w:rsidRPr="007275DF">
              <w:rPr>
                <w:rFonts w:cs="Arial"/>
                <w:lang w:eastAsia="ja-JP"/>
              </w:rPr>
              <w:t>dBm</w:t>
            </w:r>
          </w:p>
        </w:tc>
      </w:tr>
      <w:tr w:rsidR="007D2333" w:rsidRPr="007275DF" w14:paraId="164FECD9" w14:textId="77777777" w:rsidTr="007D2333">
        <w:trPr>
          <w:cantSplit/>
        </w:trPr>
        <w:tc>
          <w:tcPr>
            <w:tcW w:w="3118" w:type="dxa"/>
          </w:tcPr>
          <w:p w14:paraId="0DFB9B10" w14:textId="77777777" w:rsidR="007D2333" w:rsidRPr="007275DF" w:rsidRDefault="007D2333" w:rsidP="007D2333">
            <w:pPr>
              <w:pStyle w:val="TAC"/>
              <w:rPr>
                <w:rFonts w:cs="Arial"/>
                <w:lang w:val="sv-SE" w:eastAsia="ja-JP"/>
              </w:rPr>
            </w:pPr>
            <w:r w:rsidRPr="007275DF">
              <w:rPr>
                <w:rFonts w:cs="Arial"/>
                <w:lang w:val="sv-SE" w:eastAsia="ja-JP"/>
              </w:rPr>
              <w:t>RSSI_76</w:t>
            </w:r>
          </w:p>
        </w:tc>
        <w:tc>
          <w:tcPr>
            <w:tcW w:w="3402" w:type="dxa"/>
          </w:tcPr>
          <w:p w14:paraId="08787A33" w14:textId="77777777" w:rsidR="007D2333" w:rsidRPr="00473F76" w:rsidRDefault="007D2333" w:rsidP="007D2333">
            <w:pPr>
              <w:pStyle w:val="TAC"/>
              <w:rPr>
                <w:rFonts w:cs="Arial"/>
                <w:lang w:eastAsia="ja-JP"/>
              </w:rPr>
            </w:pPr>
            <w:r w:rsidRPr="007275DF">
              <w:rPr>
                <w:rFonts w:cs="Arial"/>
                <w:lang w:eastAsia="ja-JP"/>
              </w:rPr>
              <w:t xml:space="preserve">-25 </w:t>
            </w:r>
            <w:r w:rsidRPr="007275DF">
              <w:rPr>
                <w:rFonts w:cs="Arial"/>
                <w:lang w:eastAsia="ja-JP"/>
              </w:rPr>
              <w:sym w:font="Symbol" w:char="F0A3"/>
            </w:r>
            <w:r w:rsidRPr="007275DF">
              <w:rPr>
                <w:rFonts w:cs="Arial"/>
                <w:lang w:eastAsia="ja-JP"/>
              </w:rPr>
              <w:t xml:space="preserve"> RSSI</w:t>
            </w:r>
          </w:p>
        </w:tc>
        <w:tc>
          <w:tcPr>
            <w:tcW w:w="1418" w:type="dxa"/>
          </w:tcPr>
          <w:p w14:paraId="10F4B1A6" w14:textId="77777777" w:rsidR="007D2333" w:rsidRPr="007275DF" w:rsidRDefault="007D2333" w:rsidP="007D2333">
            <w:pPr>
              <w:pStyle w:val="TAC"/>
              <w:rPr>
                <w:rFonts w:cs="Arial"/>
                <w:lang w:eastAsia="ja-JP"/>
              </w:rPr>
            </w:pPr>
            <w:r w:rsidRPr="007275DF">
              <w:rPr>
                <w:rFonts w:cs="Arial"/>
                <w:lang w:eastAsia="ja-JP"/>
              </w:rPr>
              <w:t>dBm</w:t>
            </w:r>
          </w:p>
        </w:tc>
      </w:tr>
    </w:tbl>
    <w:p w14:paraId="133DF582" w14:textId="77777777" w:rsidR="007D2333" w:rsidRPr="007275DF" w:rsidRDefault="007D2333" w:rsidP="007D2333">
      <w:pPr>
        <w:rPr>
          <w:i/>
          <w:iCs/>
          <w:lang w:val="en-US"/>
        </w:rPr>
      </w:pPr>
    </w:p>
    <w:p w14:paraId="4B004A4D" w14:textId="77777777" w:rsidR="007D2333" w:rsidRPr="007275DF" w:rsidRDefault="007D2333" w:rsidP="007D2333">
      <w:pPr>
        <w:pStyle w:val="Heading3"/>
        <w:rPr>
          <w:lang w:eastAsia="zh-CN"/>
        </w:rPr>
      </w:pPr>
      <w:r w:rsidRPr="007275DF">
        <w:rPr>
          <w:lang w:eastAsia="zh-CN"/>
        </w:rPr>
        <w:t>10.1.35</w:t>
      </w:r>
      <w:r w:rsidRPr="007275DF">
        <w:rPr>
          <w:lang w:eastAsia="zh-CN"/>
        </w:rPr>
        <w:tab/>
        <w:t>Channel occupancy measurements under CCA</w:t>
      </w:r>
    </w:p>
    <w:p w14:paraId="652F5026" w14:textId="77777777" w:rsidR="007D2333" w:rsidRPr="007275DF" w:rsidRDefault="007D2333" w:rsidP="007D2333">
      <w:pPr>
        <w:pStyle w:val="Heading4"/>
      </w:pPr>
      <w:r w:rsidRPr="007275DF">
        <w:t>10.1.35.1</w:t>
      </w:r>
      <w:r w:rsidRPr="007275DF">
        <w:tab/>
        <w:t>Intra-frequency channel occupancy measurement accuracy requirements in FR1</w:t>
      </w:r>
    </w:p>
    <w:p w14:paraId="6322BC63" w14:textId="77777777" w:rsidR="007D2333" w:rsidRPr="007275DF" w:rsidRDefault="007D2333" w:rsidP="007D2333">
      <w:pPr>
        <w:rPr>
          <w:lang w:eastAsia="zh-CN"/>
        </w:rPr>
      </w:pPr>
      <w:r w:rsidRPr="007275DF">
        <w:rPr>
          <w:lang w:eastAsia="zh-CN"/>
        </w:rPr>
        <w:t>The UE shall be able to correctly evaluate the intra-frequency channel occupancy configured according to TS 38.331 [2], provided that the following conditions are met:</w:t>
      </w:r>
    </w:p>
    <w:p w14:paraId="46A20219" w14:textId="77777777" w:rsidR="007D2333" w:rsidRPr="007275DF" w:rsidRDefault="007D2333" w:rsidP="007D2333">
      <w:pPr>
        <w:pStyle w:val="B10"/>
        <w:rPr>
          <w:lang w:eastAsia="zh-CN"/>
        </w:rPr>
      </w:pPr>
      <w:r w:rsidRPr="007275DF">
        <w:rPr>
          <w:lang w:eastAsia="zh-CN"/>
        </w:rPr>
        <w:t>-</w:t>
      </w:r>
      <w:r w:rsidRPr="007275DF">
        <w:rPr>
          <w:lang w:eastAsia="zh-CN"/>
        </w:rPr>
        <w:tab/>
        <w:t>All symbols during each RSSI measurement duration are available for RSSI sampling within the same reporting interval,</w:t>
      </w:r>
    </w:p>
    <w:p w14:paraId="503754A5" w14:textId="77777777" w:rsidR="007D2333" w:rsidRPr="007275DF" w:rsidRDefault="007D2333" w:rsidP="007D2333">
      <w:pPr>
        <w:pStyle w:val="B10"/>
        <w:rPr>
          <w:lang w:eastAsia="zh-CN"/>
        </w:rPr>
      </w:pPr>
      <w:r w:rsidRPr="007275DF">
        <w:rPr>
          <w:lang w:eastAsia="zh-CN"/>
        </w:rPr>
        <w:t>-</w:t>
      </w:r>
      <w:r w:rsidRPr="007275DF">
        <w:rPr>
          <w:lang w:eastAsia="zh-CN"/>
        </w:rPr>
        <w:tab/>
        <w:t xml:space="preserve">RSSI at the UE receiver meets the following condition with respect to the configured </w:t>
      </w:r>
      <w:r w:rsidRPr="007275DF">
        <w:rPr>
          <w:i/>
          <w:lang w:eastAsia="zh-CN"/>
        </w:rPr>
        <w:t>channelOccupancyThreshold</w:t>
      </w:r>
      <w:r w:rsidRPr="007275DF">
        <w:rPr>
          <w:lang w:eastAsia="zh-CN"/>
        </w:rPr>
        <w:t xml:space="preserve"> [2]:</w:t>
      </w:r>
    </w:p>
    <w:p w14:paraId="75B7166E" w14:textId="20399774" w:rsidR="007D2333" w:rsidRPr="00473F76" w:rsidRDefault="00506B4C" w:rsidP="00506B4C">
      <w:pPr>
        <w:pStyle w:val="B20"/>
        <w:rPr>
          <w:lang w:eastAsia="zh-CN"/>
        </w:rPr>
      </w:pPr>
      <w:r>
        <w:rPr>
          <w:lang w:eastAsia="zh-CN"/>
        </w:rPr>
        <w:t>-</w:t>
      </w:r>
      <w:r>
        <w:rPr>
          <w:lang w:eastAsia="zh-CN"/>
        </w:rPr>
        <w:tab/>
      </w:r>
      <w:r w:rsidR="007D2333" w:rsidRPr="007275DF">
        <w:rPr>
          <w:lang w:eastAsia="zh-CN"/>
        </w:rPr>
        <w:t xml:space="preserve">RSSI at the UE receiver is below </w:t>
      </w:r>
      <w:r w:rsidR="007D2333" w:rsidRPr="007275DF">
        <w:rPr>
          <w:i/>
          <w:lang w:eastAsia="zh-CN"/>
        </w:rPr>
        <w:t>channelOccupancyThreshold</w:t>
      </w:r>
      <w:r w:rsidR="007D2333" w:rsidRPr="007275DF">
        <w:rPr>
          <w:lang w:eastAsia="zh-CN"/>
        </w:rPr>
        <w:t>-</w:t>
      </w:r>
      <w:r w:rsidR="007D2333" w:rsidRPr="00473F76">
        <w:rPr>
          <w:position w:val="-12"/>
          <w:lang w:eastAsia="zh-CN"/>
        </w:rPr>
        <w:object w:dxaOrig="540" w:dyaOrig="360" w14:anchorId="0C9D1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0.5pt" o:ole="">
            <v:imagedata r:id="rId8" o:title=""/>
          </v:shape>
          <o:OLEObject Type="Embed" ProgID="Equation.3" ShapeID="_x0000_i1025" DrawAspect="Content" ObjectID="_1749664981" r:id="rId9"/>
        </w:object>
      </w:r>
      <w:r w:rsidR="007D2333" w:rsidRPr="007275DF">
        <w:rPr>
          <w:lang w:eastAsia="zh-CN"/>
        </w:rPr>
        <w:t>, or</w:t>
      </w:r>
    </w:p>
    <w:p w14:paraId="0BE467A9" w14:textId="5C740F1C" w:rsidR="007D2333" w:rsidRPr="00473F76" w:rsidRDefault="00506B4C" w:rsidP="00506B4C">
      <w:pPr>
        <w:pStyle w:val="B20"/>
        <w:rPr>
          <w:lang w:eastAsia="zh-CN"/>
        </w:rPr>
      </w:pPr>
      <w:r>
        <w:rPr>
          <w:lang w:eastAsia="zh-CN"/>
        </w:rPr>
        <w:t>-</w:t>
      </w:r>
      <w:r>
        <w:rPr>
          <w:lang w:eastAsia="zh-CN"/>
        </w:rPr>
        <w:tab/>
      </w:r>
      <w:r w:rsidR="007D2333" w:rsidRPr="00473F76">
        <w:rPr>
          <w:lang w:eastAsia="zh-CN"/>
        </w:rPr>
        <w:t>RSSI at</w:t>
      </w:r>
      <w:r w:rsidR="007D2333" w:rsidRPr="007275DF">
        <w:rPr>
          <w:lang w:eastAsia="zh-CN"/>
        </w:rPr>
        <w:t xml:space="preserve"> the UE receiver is above </w:t>
      </w:r>
      <w:r w:rsidR="007D2333" w:rsidRPr="007275DF">
        <w:rPr>
          <w:i/>
          <w:lang w:eastAsia="zh-CN"/>
        </w:rPr>
        <w:t>channelOccupancyThreshold</w:t>
      </w:r>
      <w:r w:rsidR="007D2333" w:rsidRPr="007275DF">
        <w:rPr>
          <w:lang w:eastAsia="zh-CN"/>
        </w:rPr>
        <w:t>+</w:t>
      </w:r>
      <w:r w:rsidR="007D2333" w:rsidRPr="00473F76">
        <w:rPr>
          <w:position w:val="-12"/>
          <w:lang w:eastAsia="zh-CN"/>
        </w:rPr>
        <w:object w:dxaOrig="540" w:dyaOrig="360" w14:anchorId="00E7EEA4">
          <v:shape id="_x0000_i1026" type="#_x0000_t75" style="width:25.5pt;height:20.5pt" o:ole="">
            <v:imagedata r:id="rId10" o:title=""/>
          </v:shape>
          <o:OLEObject Type="Embed" ProgID="Equation.3" ShapeID="_x0000_i1026" DrawAspect="Content" ObjectID="_1749664982" r:id="rId11"/>
        </w:object>
      </w:r>
      <w:r w:rsidR="007D2333" w:rsidRPr="007275DF">
        <w:rPr>
          <w:lang w:eastAsia="zh-CN"/>
        </w:rPr>
        <w:t>,</w:t>
      </w:r>
    </w:p>
    <w:p w14:paraId="54696EDF" w14:textId="57891682" w:rsidR="007D2333" w:rsidRPr="007275DF" w:rsidRDefault="00B60AA0" w:rsidP="00D85C16">
      <w:pPr>
        <w:pStyle w:val="B10"/>
      </w:pPr>
      <w:r>
        <w:rPr>
          <w:lang w:eastAsia="zh-CN"/>
        </w:rPr>
        <w:t>-</w:t>
      </w:r>
      <w:r w:rsidR="00506B4C">
        <w:rPr>
          <w:lang w:eastAsia="zh-CN"/>
        </w:rPr>
        <w:tab/>
      </w:r>
      <w:r w:rsidR="007D2333" w:rsidRPr="00473F76">
        <w:rPr>
          <w:lang w:eastAsia="zh-CN"/>
        </w:rPr>
        <w:t xml:space="preserve">where </w:t>
      </w:r>
      <w:r w:rsidR="007D2333" w:rsidRPr="00473F76">
        <w:rPr>
          <w:position w:val="-12"/>
          <w:lang w:eastAsia="zh-CN"/>
        </w:rPr>
        <w:object w:dxaOrig="540" w:dyaOrig="360" w14:anchorId="5CBAAFB7">
          <v:shape id="_x0000_i1027" type="#_x0000_t75" style="width:25.5pt;height:20.5pt" o:ole="">
            <v:imagedata r:id="rId12" o:title=""/>
          </v:shape>
          <o:OLEObject Type="Embed" ProgID="Equation.3" ShapeID="_x0000_i1027" DrawAspect="Content" ObjectID="_1749664983" r:id="rId13"/>
        </w:object>
      </w:r>
      <w:r w:rsidR="007D2333" w:rsidRPr="007275DF">
        <w:rPr>
          <w:lang w:eastAsia="zh-CN"/>
        </w:rPr>
        <w:t xml:space="preserve"> is the applicable RSSI measurement accuracy value from the RSSI measu</w:t>
      </w:r>
      <w:r w:rsidR="007D2333" w:rsidRPr="00473F76">
        <w:rPr>
          <w:lang w:eastAsia="zh-CN"/>
        </w:rPr>
        <w:t xml:space="preserve">rement accuracy requirements specified in </w:t>
      </w:r>
      <w:r w:rsidR="007D2333" w:rsidRPr="007275DF">
        <w:rPr>
          <w:lang w:eastAsia="zh-CN"/>
        </w:rPr>
        <w:t xml:space="preserve">clause </w:t>
      </w:r>
      <w:r w:rsidR="007D2333" w:rsidRPr="007275DF">
        <w:t>10.1.34.1.</w:t>
      </w:r>
    </w:p>
    <w:p w14:paraId="6BCF4EDB" w14:textId="77777777" w:rsidR="007D2333" w:rsidRPr="007275DF" w:rsidRDefault="007D2333" w:rsidP="00F37389">
      <w:pPr>
        <w:rPr>
          <w:lang w:eastAsia="zh-CN"/>
        </w:rPr>
      </w:pPr>
      <w:r w:rsidRPr="007275DF">
        <w:rPr>
          <w:lang w:eastAsia="zh-CN"/>
        </w:rPr>
        <w:t xml:space="preserve">The channel occupancy measurement bandwidth is </w:t>
      </w:r>
      <w:r w:rsidRPr="007275DF">
        <w:t>the same as the RSSI measurement bandwidth in Clause 10.1.34.1</w:t>
      </w:r>
      <w:r w:rsidRPr="007275DF">
        <w:rPr>
          <w:lang w:eastAsia="zh-CN"/>
        </w:rPr>
        <w:t>.</w:t>
      </w:r>
    </w:p>
    <w:p w14:paraId="0B110C57" w14:textId="77777777" w:rsidR="007D2333" w:rsidRPr="007275DF" w:rsidRDefault="007D2333" w:rsidP="00F37389">
      <w:pPr>
        <w:rPr>
          <w:lang w:eastAsia="zh-CN"/>
        </w:rPr>
      </w:pPr>
    </w:p>
    <w:p w14:paraId="281324EC" w14:textId="77777777" w:rsidR="007D2333" w:rsidRPr="007275DF" w:rsidRDefault="007D2333" w:rsidP="007D2333">
      <w:pPr>
        <w:pStyle w:val="Heading4"/>
        <w:rPr>
          <w:lang w:eastAsia="zh-CN"/>
        </w:rPr>
      </w:pPr>
      <w:r w:rsidRPr="007275DF">
        <w:rPr>
          <w:lang w:eastAsia="zh-CN"/>
        </w:rPr>
        <w:t>10.1.35.2</w:t>
      </w:r>
      <w:r w:rsidRPr="007275DF">
        <w:rPr>
          <w:lang w:eastAsia="zh-CN"/>
        </w:rPr>
        <w:tab/>
        <w:t>Inter-frequency channel occupancy measurement accuracy requirements in FR1</w:t>
      </w:r>
    </w:p>
    <w:p w14:paraId="017C37DF" w14:textId="77777777" w:rsidR="007D2333" w:rsidRPr="007275DF" w:rsidRDefault="007D2333" w:rsidP="007D2333">
      <w:pPr>
        <w:rPr>
          <w:lang w:eastAsia="zh-CN"/>
        </w:rPr>
      </w:pPr>
      <w:r w:rsidRPr="007275DF">
        <w:rPr>
          <w:lang w:eastAsia="zh-CN"/>
        </w:rPr>
        <w:t>The UE shall be able to correctly evaluate the inter-frequency channel occupancy configured according to TS 38.331 [2], provided that the following conditions are met:</w:t>
      </w:r>
    </w:p>
    <w:p w14:paraId="15781A17" w14:textId="77777777" w:rsidR="007D2333" w:rsidRPr="007275DF" w:rsidRDefault="007D2333" w:rsidP="007D2333">
      <w:pPr>
        <w:pStyle w:val="B10"/>
        <w:rPr>
          <w:lang w:eastAsia="zh-CN"/>
        </w:rPr>
      </w:pPr>
      <w:r w:rsidRPr="007275DF">
        <w:rPr>
          <w:lang w:eastAsia="zh-CN"/>
        </w:rPr>
        <w:t>-</w:t>
      </w:r>
      <w:r w:rsidRPr="007275DF">
        <w:rPr>
          <w:lang w:eastAsia="zh-CN"/>
        </w:rPr>
        <w:tab/>
        <w:t>All symbols during each RSSI measurement duration are available for RSSI sampling within the same reporting interval,</w:t>
      </w:r>
    </w:p>
    <w:p w14:paraId="3B8DA10D" w14:textId="77777777" w:rsidR="007D2333" w:rsidRPr="007275DF" w:rsidRDefault="007D2333" w:rsidP="007D2333">
      <w:pPr>
        <w:pStyle w:val="B10"/>
        <w:rPr>
          <w:lang w:eastAsia="zh-CN"/>
        </w:rPr>
      </w:pPr>
      <w:r w:rsidRPr="007275DF">
        <w:rPr>
          <w:lang w:eastAsia="zh-CN"/>
        </w:rPr>
        <w:t>-</w:t>
      </w:r>
      <w:r w:rsidRPr="007275DF">
        <w:rPr>
          <w:lang w:eastAsia="zh-CN"/>
        </w:rPr>
        <w:tab/>
        <w:t xml:space="preserve">RSSI at the UE receiver meets the following condition with respect to the configured </w:t>
      </w:r>
      <w:r w:rsidRPr="007275DF">
        <w:rPr>
          <w:i/>
          <w:lang w:eastAsia="zh-CN"/>
        </w:rPr>
        <w:t>channelOccupancyThreshold</w:t>
      </w:r>
      <w:r w:rsidRPr="007275DF">
        <w:rPr>
          <w:lang w:eastAsia="zh-CN"/>
        </w:rPr>
        <w:t xml:space="preserve"> [2]:</w:t>
      </w:r>
    </w:p>
    <w:p w14:paraId="436833A5" w14:textId="04FEBB42" w:rsidR="007D2333" w:rsidRPr="00473F76" w:rsidRDefault="00EA02A8" w:rsidP="00C8413E">
      <w:pPr>
        <w:pStyle w:val="B20"/>
        <w:rPr>
          <w:lang w:eastAsia="zh-CN"/>
        </w:rPr>
      </w:pPr>
      <w:r>
        <w:rPr>
          <w:lang w:eastAsia="zh-CN"/>
        </w:rPr>
        <w:t>-</w:t>
      </w:r>
      <w:r>
        <w:rPr>
          <w:lang w:eastAsia="zh-CN"/>
        </w:rPr>
        <w:tab/>
      </w:r>
      <w:r w:rsidR="007D2333" w:rsidRPr="007275DF">
        <w:rPr>
          <w:lang w:eastAsia="zh-CN"/>
        </w:rPr>
        <w:t xml:space="preserve">RSSI at the UE receiver is below </w:t>
      </w:r>
      <w:r w:rsidR="007D2333" w:rsidRPr="007275DF">
        <w:rPr>
          <w:i/>
          <w:lang w:eastAsia="zh-CN"/>
        </w:rPr>
        <w:t>channelOccupancyThreshold</w:t>
      </w:r>
      <w:r w:rsidR="007D2333" w:rsidRPr="007275DF">
        <w:rPr>
          <w:lang w:eastAsia="zh-CN"/>
        </w:rPr>
        <w:t>-</w:t>
      </w:r>
      <w:r w:rsidR="007D2333" w:rsidRPr="00473F76">
        <w:rPr>
          <w:position w:val="-12"/>
          <w:lang w:eastAsia="zh-CN"/>
        </w:rPr>
        <w:object w:dxaOrig="540" w:dyaOrig="360" w14:anchorId="00F3EAC8">
          <v:shape id="_x0000_i1028" type="#_x0000_t75" style="width:25.5pt;height:20.5pt" o:ole="">
            <v:imagedata r:id="rId8" o:title=""/>
          </v:shape>
          <o:OLEObject Type="Embed" ProgID="Equation.3" ShapeID="_x0000_i1028" DrawAspect="Content" ObjectID="_1749664984" r:id="rId14"/>
        </w:object>
      </w:r>
      <w:r w:rsidR="007D2333" w:rsidRPr="007275DF">
        <w:rPr>
          <w:lang w:eastAsia="zh-CN"/>
        </w:rPr>
        <w:t>, or</w:t>
      </w:r>
    </w:p>
    <w:p w14:paraId="0F9220DA" w14:textId="3B627DD6" w:rsidR="007D2333" w:rsidRPr="00473F76" w:rsidRDefault="00EA02A8" w:rsidP="00C8413E">
      <w:pPr>
        <w:pStyle w:val="B20"/>
        <w:rPr>
          <w:lang w:eastAsia="zh-CN"/>
        </w:rPr>
      </w:pPr>
      <w:r>
        <w:rPr>
          <w:lang w:eastAsia="zh-CN"/>
        </w:rPr>
        <w:t>-</w:t>
      </w:r>
      <w:r>
        <w:rPr>
          <w:lang w:eastAsia="zh-CN"/>
        </w:rPr>
        <w:tab/>
      </w:r>
      <w:r w:rsidR="007D2333" w:rsidRPr="00473F76">
        <w:rPr>
          <w:lang w:eastAsia="zh-CN"/>
        </w:rPr>
        <w:t xml:space="preserve">RSSI at the UE receiver is above </w:t>
      </w:r>
      <w:r w:rsidR="007D2333" w:rsidRPr="007275DF">
        <w:rPr>
          <w:i/>
          <w:lang w:eastAsia="zh-CN"/>
        </w:rPr>
        <w:t>channelOccupancyThreshold</w:t>
      </w:r>
      <w:r w:rsidR="007D2333" w:rsidRPr="007275DF">
        <w:rPr>
          <w:lang w:eastAsia="zh-CN"/>
        </w:rPr>
        <w:t>+</w:t>
      </w:r>
      <w:r w:rsidR="007D2333" w:rsidRPr="00473F76">
        <w:rPr>
          <w:position w:val="-12"/>
          <w:lang w:eastAsia="zh-CN"/>
        </w:rPr>
        <w:object w:dxaOrig="540" w:dyaOrig="360" w14:anchorId="2882BDCB">
          <v:shape id="_x0000_i1029" type="#_x0000_t75" style="width:25.5pt;height:20.5pt" o:ole="">
            <v:imagedata r:id="rId10" o:title=""/>
          </v:shape>
          <o:OLEObject Type="Embed" ProgID="Equation.3" ShapeID="_x0000_i1029" DrawAspect="Content" ObjectID="_1749664985" r:id="rId15"/>
        </w:object>
      </w:r>
      <w:r w:rsidR="007D2333" w:rsidRPr="007275DF">
        <w:rPr>
          <w:lang w:eastAsia="zh-CN"/>
        </w:rPr>
        <w:t>,</w:t>
      </w:r>
    </w:p>
    <w:p w14:paraId="740311DA" w14:textId="4C8250AF" w:rsidR="007D2333" w:rsidRPr="007275DF" w:rsidRDefault="00EA02A8" w:rsidP="00B60AA0">
      <w:pPr>
        <w:pStyle w:val="B10"/>
        <w:rPr>
          <w:lang w:eastAsia="zh-CN"/>
        </w:rPr>
      </w:pPr>
      <w:r>
        <w:rPr>
          <w:lang w:eastAsia="zh-CN"/>
        </w:rPr>
        <w:t>-</w:t>
      </w:r>
      <w:r>
        <w:rPr>
          <w:lang w:eastAsia="zh-CN"/>
        </w:rPr>
        <w:tab/>
      </w:r>
      <w:r w:rsidR="007D2333" w:rsidRPr="00473F76">
        <w:rPr>
          <w:lang w:eastAsia="zh-CN"/>
        </w:rPr>
        <w:t xml:space="preserve">where </w:t>
      </w:r>
      <w:r w:rsidR="007D2333" w:rsidRPr="00473F76">
        <w:rPr>
          <w:position w:val="-12"/>
          <w:lang w:eastAsia="zh-CN"/>
        </w:rPr>
        <w:object w:dxaOrig="540" w:dyaOrig="360" w14:anchorId="3AB7E4FF">
          <v:shape id="_x0000_i1030" type="#_x0000_t75" style="width:25.5pt;height:20.5pt" o:ole="">
            <v:imagedata r:id="rId12" o:title=""/>
          </v:shape>
          <o:OLEObject Type="Embed" ProgID="Equation.3" ShapeID="_x0000_i1030" DrawAspect="Content" ObjectID="_1749664986" r:id="rId16"/>
        </w:object>
      </w:r>
      <w:r w:rsidR="007D2333" w:rsidRPr="007275DF">
        <w:rPr>
          <w:lang w:eastAsia="zh-CN"/>
        </w:rPr>
        <w:t xml:space="preserve"> is the applicable</w:t>
      </w:r>
      <w:r w:rsidR="007D2333" w:rsidRPr="00473F76">
        <w:rPr>
          <w:lang w:eastAsia="zh-CN"/>
        </w:rPr>
        <w:t xml:space="preserve"> RSSI measurement accuracy value from the RSSI measurement accuracy requirements specified in </w:t>
      </w:r>
      <w:r w:rsidR="007D2333" w:rsidRPr="007275DF">
        <w:rPr>
          <w:lang w:eastAsia="zh-CN"/>
        </w:rPr>
        <w:t xml:space="preserve">clause </w:t>
      </w:r>
      <w:r w:rsidR="007D2333" w:rsidRPr="007275DF">
        <w:t>10.1.34.2</w:t>
      </w:r>
      <w:r w:rsidR="007D2333" w:rsidRPr="007275DF">
        <w:rPr>
          <w:lang w:eastAsia="zh-CN"/>
        </w:rPr>
        <w:t>.</w:t>
      </w:r>
    </w:p>
    <w:p w14:paraId="34D0BD0D" w14:textId="77777777" w:rsidR="007D2333" w:rsidRPr="007275DF" w:rsidRDefault="007D2333" w:rsidP="007D2333">
      <w:pPr>
        <w:rPr>
          <w:lang w:eastAsia="zh-CN"/>
        </w:rPr>
      </w:pPr>
      <w:r w:rsidRPr="007275DF">
        <w:rPr>
          <w:lang w:eastAsia="zh-CN"/>
        </w:rPr>
        <w:t xml:space="preserve">The channel occupancy measurement bandwidth is </w:t>
      </w:r>
      <w:r w:rsidRPr="007275DF">
        <w:t>the same as the RSSI measurement bandwidth in Clause 10.1.34.2</w:t>
      </w:r>
      <w:r w:rsidRPr="007275DF">
        <w:rPr>
          <w:lang w:eastAsia="zh-CN"/>
        </w:rPr>
        <w:t>.</w:t>
      </w:r>
    </w:p>
    <w:p w14:paraId="46F16215" w14:textId="77777777" w:rsidR="007D2333" w:rsidRPr="007275DF" w:rsidRDefault="007D2333" w:rsidP="007D2333">
      <w:pPr>
        <w:rPr>
          <w:lang w:eastAsia="zh-CN"/>
        </w:rPr>
      </w:pPr>
    </w:p>
    <w:p w14:paraId="354C889C" w14:textId="77777777" w:rsidR="007D2333" w:rsidRPr="007275DF" w:rsidRDefault="007D2333" w:rsidP="007D2333">
      <w:pPr>
        <w:pStyle w:val="Heading3"/>
        <w:rPr>
          <w:lang w:val="en-US"/>
        </w:rPr>
      </w:pPr>
      <w:r w:rsidRPr="007275DF">
        <w:rPr>
          <w:lang w:val="en-US"/>
        </w:rPr>
        <w:t>10.1.36</w:t>
      </w:r>
      <w:r w:rsidRPr="007275DF">
        <w:rPr>
          <w:lang w:val="en-US"/>
        </w:rPr>
        <w:tab/>
        <w:t>Intra-frequency RSRP accuracy requirements under CCA</w:t>
      </w:r>
    </w:p>
    <w:p w14:paraId="54219F5D" w14:textId="77777777" w:rsidR="007D2333" w:rsidRPr="007275DF" w:rsidRDefault="007D2333" w:rsidP="007D2333">
      <w:pPr>
        <w:pStyle w:val="Heading4"/>
        <w:rPr>
          <w:lang w:val="en-US"/>
        </w:rPr>
      </w:pPr>
      <w:r w:rsidRPr="007275DF">
        <w:rPr>
          <w:lang w:val="en-US"/>
        </w:rPr>
        <w:t>10.1.36.1</w:t>
      </w:r>
      <w:r w:rsidRPr="007275DF">
        <w:rPr>
          <w:lang w:val="en-US"/>
        </w:rPr>
        <w:tab/>
        <w:t>Intra-frequency SS-RSRP accuracy requirements in FR1</w:t>
      </w:r>
    </w:p>
    <w:p w14:paraId="28EB92B2" w14:textId="77777777" w:rsidR="007D2333" w:rsidRPr="007275DF" w:rsidRDefault="007D2333" w:rsidP="007D2333">
      <w:pPr>
        <w:pStyle w:val="Heading5"/>
      </w:pPr>
      <w:r w:rsidRPr="007275DF">
        <w:t>10.1.36.1.1</w:t>
      </w:r>
      <w:r w:rsidRPr="007275DF">
        <w:tab/>
        <w:t xml:space="preserve">Absolute </w:t>
      </w:r>
      <w:r w:rsidRPr="007275DF">
        <w:rPr>
          <w:lang w:val="en-US"/>
        </w:rPr>
        <w:t xml:space="preserve">SS-RSRP </w:t>
      </w:r>
      <w:r w:rsidRPr="007275DF">
        <w:t>Accuracy</w:t>
      </w:r>
    </w:p>
    <w:p w14:paraId="70677D52" w14:textId="77777777" w:rsidR="007D2333" w:rsidRPr="007275DF" w:rsidRDefault="007D2333" w:rsidP="007D2333">
      <w:pPr>
        <w:rPr>
          <w:rFonts w:cs="v4.2.0"/>
          <w:i/>
        </w:rPr>
      </w:pPr>
      <w:r w:rsidRPr="007275DF">
        <w:rPr>
          <w:rFonts w:cs="v4.2.0"/>
        </w:rPr>
        <w:t xml:space="preserve">Unless otherwise specified, the requirements for absolute accuracy of </w:t>
      </w:r>
      <w:r w:rsidRPr="007275DF">
        <w:rPr>
          <w:rFonts w:cs="v4.2.0"/>
          <w:lang w:eastAsia="zh-CN"/>
        </w:rPr>
        <w:t>SS-RSRP</w:t>
      </w:r>
      <w:r w:rsidRPr="007275DF">
        <w:rPr>
          <w:rFonts w:cs="v4.2.0"/>
        </w:rPr>
        <w:t xml:space="preserve"> in this clause apply to a cell on the same frequency as that of the serving cell under CCA.</w:t>
      </w:r>
    </w:p>
    <w:p w14:paraId="4D3F97A4"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10.1.36.1.1</w:t>
      </w:r>
      <w:r w:rsidRPr="007275DF">
        <w:rPr>
          <w:rFonts w:cs="v4.2.0"/>
        </w:rPr>
        <w:t>-1 are valid under the following conditions:</w:t>
      </w:r>
    </w:p>
    <w:p w14:paraId="1BA95B4D" w14:textId="77777777" w:rsidR="007D2333" w:rsidRPr="007275DF" w:rsidRDefault="007D2333" w:rsidP="007D2333">
      <w:pPr>
        <w:pStyle w:val="B10"/>
        <w:rPr>
          <w:rFonts w:cs="v4.2.0"/>
        </w:rPr>
      </w:pPr>
      <w:r w:rsidRPr="007275DF">
        <w:t>-</w:t>
      </w:r>
      <w:r w:rsidRPr="007275DF">
        <w:tab/>
        <w:t>Conditions defined in clause 7.3F of TS 38.101-1 [18] for reference sensitivity are fulfilled.</w:t>
      </w:r>
    </w:p>
    <w:p w14:paraId="4B2061F4" w14:textId="77777777" w:rsidR="007D2333" w:rsidRPr="007275DF" w:rsidRDefault="007D2333" w:rsidP="007D2333">
      <w:pPr>
        <w:pStyle w:val="B10"/>
        <w:rPr>
          <w:lang w:eastAsia="zh-CN"/>
        </w:rPr>
      </w:pPr>
      <w:r w:rsidRPr="007275DF">
        <w:t>-</w:t>
      </w:r>
      <w:r w:rsidRPr="007275DF">
        <w:tab/>
        <w:t xml:space="preserve">Conditions for intra-frequency measurements are fulfilled according to Annex B.2.8 for a corresponding Band </w:t>
      </w:r>
      <w:r w:rsidRPr="007275DF">
        <w:rPr>
          <w:rFonts w:cs="v4.2.0"/>
          <w:lang w:eastAsia="ko-KR"/>
        </w:rPr>
        <w:t>for each relevant SSB</w:t>
      </w:r>
      <w:r w:rsidRPr="007275DF">
        <w:t>.</w:t>
      </w:r>
    </w:p>
    <w:p w14:paraId="700854A7" w14:textId="60C7745A" w:rsidR="004276DF" w:rsidRPr="007275DF" w:rsidRDefault="004276DF" w:rsidP="00F37389">
      <w:pPr>
        <w:pStyle w:val="TH"/>
        <w:rPr>
          <w:rFonts w:cs="v4.2.0"/>
        </w:rPr>
      </w:pPr>
      <w:r w:rsidRPr="007275DF">
        <w:t>Table 10.1.36.1.1-1: SS-RSRP intra-frequency absolute accuracy</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7D2333" w:rsidRPr="007275DF" w14:paraId="72A6707C" w14:textId="77777777" w:rsidTr="007D2333">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145F30CA" w14:textId="77777777" w:rsidR="007D2333" w:rsidRPr="007275DF" w:rsidRDefault="007D2333" w:rsidP="007D2333">
            <w:pPr>
              <w:pStyle w:val="TAH"/>
            </w:pPr>
            <w:r w:rsidRPr="007275DF">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22DF7C0B" w14:textId="77777777" w:rsidR="007D2333" w:rsidRPr="007275DF" w:rsidRDefault="007D2333" w:rsidP="007D2333">
            <w:pPr>
              <w:pStyle w:val="TAH"/>
            </w:pPr>
            <w:r w:rsidRPr="007275DF">
              <w:t>Conditions</w:t>
            </w:r>
          </w:p>
        </w:tc>
      </w:tr>
      <w:tr w:rsidR="007D2333" w:rsidRPr="007275DF" w14:paraId="6975E75D" w14:textId="77777777" w:rsidTr="007D2333">
        <w:trPr>
          <w:jc w:val="center"/>
        </w:trPr>
        <w:tc>
          <w:tcPr>
            <w:tcW w:w="1036" w:type="dxa"/>
            <w:tcBorders>
              <w:top w:val="single" w:sz="6" w:space="0" w:color="auto"/>
              <w:left w:val="single" w:sz="4" w:space="0" w:color="auto"/>
              <w:right w:val="single" w:sz="6" w:space="0" w:color="auto"/>
            </w:tcBorders>
            <w:shd w:val="clear" w:color="auto" w:fill="auto"/>
            <w:vAlign w:val="center"/>
          </w:tcPr>
          <w:p w14:paraId="7636319D" w14:textId="77777777" w:rsidR="007D2333" w:rsidRPr="007275DF" w:rsidRDefault="007D2333" w:rsidP="007D2333">
            <w:pPr>
              <w:pStyle w:val="TAH"/>
            </w:pPr>
            <w:r w:rsidRPr="007275DF">
              <w:t>Normal condition</w:t>
            </w:r>
          </w:p>
        </w:tc>
        <w:tc>
          <w:tcPr>
            <w:tcW w:w="1055" w:type="dxa"/>
            <w:tcBorders>
              <w:top w:val="single" w:sz="6" w:space="0" w:color="auto"/>
              <w:left w:val="single" w:sz="6" w:space="0" w:color="auto"/>
              <w:right w:val="single" w:sz="6" w:space="0" w:color="auto"/>
            </w:tcBorders>
            <w:shd w:val="clear" w:color="auto" w:fill="auto"/>
            <w:vAlign w:val="center"/>
          </w:tcPr>
          <w:p w14:paraId="181A5BE2" w14:textId="77777777" w:rsidR="007D2333" w:rsidRPr="007275DF" w:rsidRDefault="007D2333" w:rsidP="007D2333">
            <w:pPr>
              <w:pStyle w:val="TAH"/>
            </w:pPr>
            <w:r w:rsidRPr="007275DF">
              <w:t>Extreme condition</w:t>
            </w:r>
          </w:p>
        </w:tc>
        <w:tc>
          <w:tcPr>
            <w:tcW w:w="833" w:type="dxa"/>
            <w:tcBorders>
              <w:top w:val="single" w:sz="6" w:space="0" w:color="auto"/>
              <w:left w:val="single" w:sz="6" w:space="0" w:color="auto"/>
              <w:right w:val="single" w:sz="6" w:space="0" w:color="auto"/>
            </w:tcBorders>
            <w:shd w:val="clear" w:color="auto" w:fill="auto"/>
            <w:vAlign w:val="center"/>
          </w:tcPr>
          <w:p w14:paraId="4643ACB7" w14:textId="77777777" w:rsidR="007D2333" w:rsidRPr="007275DF" w:rsidRDefault="007D2333" w:rsidP="007D2333">
            <w:pPr>
              <w:pStyle w:val="TAH"/>
            </w:pPr>
            <w:r w:rsidRPr="007275DF">
              <w:t>SSB Ês/Iot</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2D45CA7D" w14:textId="77777777" w:rsidR="007D2333" w:rsidRPr="007275DF" w:rsidRDefault="007D2333" w:rsidP="007D2333">
            <w:pPr>
              <w:pStyle w:val="TAH"/>
            </w:pPr>
            <w:r w:rsidRPr="007275DF">
              <w:t>Io</w:t>
            </w:r>
            <w:r w:rsidRPr="007275DF">
              <w:rPr>
                <w:vertAlign w:val="superscript"/>
              </w:rPr>
              <w:t xml:space="preserve"> Note 1</w:t>
            </w:r>
            <w:r w:rsidRPr="007275DF">
              <w:t xml:space="preserve"> range</w:t>
            </w:r>
          </w:p>
        </w:tc>
      </w:tr>
      <w:tr w:rsidR="007D2333" w:rsidRPr="007275DF" w14:paraId="258FD954" w14:textId="77777777" w:rsidTr="007D2333">
        <w:trPr>
          <w:jc w:val="center"/>
        </w:trPr>
        <w:tc>
          <w:tcPr>
            <w:tcW w:w="1036" w:type="dxa"/>
            <w:tcBorders>
              <w:left w:val="single" w:sz="4" w:space="0" w:color="auto"/>
              <w:bottom w:val="single" w:sz="4" w:space="0" w:color="auto"/>
              <w:right w:val="single" w:sz="6" w:space="0" w:color="auto"/>
            </w:tcBorders>
            <w:shd w:val="clear" w:color="auto" w:fill="auto"/>
            <w:vAlign w:val="center"/>
          </w:tcPr>
          <w:p w14:paraId="6B39BF56" w14:textId="77777777" w:rsidR="007D2333" w:rsidRPr="007275DF" w:rsidRDefault="007D2333" w:rsidP="007D2333">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216E3D4E" w14:textId="77777777" w:rsidR="007D2333" w:rsidRPr="007275DF" w:rsidRDefault="007D2333" w:rsidP="007D2333">
            <w:pPr>
              <w:pStyle w:val="TAH"/>
            </w:pPr>
          </w:p>
        </w:tc>
        <w:tc>
          <w:tcPr>
            <w:tcW w:w="833" w:type="dxa"/>
            <w:tcBorders>
              <w:left w:val="single" w:sz="6" w:space="0" w:color="auto"/>
              <w:bottom w:val="single" w:sz="6" w:space="0" w:color="auto"/>
              <w:right w:val="single" w:sz="6" w:space="0" w:color="auto"/>
            </w:tcBorders>
            <w:shd w:val="clear" w:color="auto" w:fill="auto"/>
          </w:tcPr>
          <w:p w14:paraId="1D32A4F1" w14:textId="77777777" w:rsidR="007D2333" w:rsidRPr="007275DF" w:rsidRDefault="007D2333" w:rsidP="007D2333">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3AEE6F98" w14:textId="77777777" w:rsidR="007D2333" w:rsidRPr="007275DF" w:rsidRDefault="007D2333" w:rsidP="007D2333">
            <w:pPr>
              <w:pStyle w:val="TAH"/>
            </w:pPr>
            <w:r w:rsidRPr="007275DF">
              <w:t>NR operating band groups</w:t>
            </w:r>
            <w:r w:rsidRPr="007275DF">
              <w:rPr>
                <w:vertAlign w:val="superscript"/>
              </w:rPr>
              <w:t xml:space="preserve"> Note 2</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683BDCFA"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5B995CF4" w14:textId="77777777" w:rsidR="007D2333" w:rsidRPr="007275DF" w:rsidRDefault="007D2333" w:rsidP="007D2333">
            <w:pPr>
              <w:pStyle w:val="TAH"/>
            </w:pPr>
            <w:r w:rsidRPr="007275DF">
              <w:t>Maximum Io</w:t>
            </w:r>
          </w:p>
        </w:tc>
      </w:tr>
      <w:tr w:rsidR="007D2333" w:rsidRPr="007275DF" w14:paraId="0151DC61" w14:textId="77777777" w:rsidTr="007D2333">
        <w:trPr>
          <w:trHeight w:val="308"/>
          <w:jc w:val="center"/>
        </w:trPr>
        <w:tc>
          <w:tcPr>
            <w:tcW w:w="1036" w:type="dxa"/>
            <w:tcBorders>
              <w:top w:val="single" w:sz="4" w:space="0" w:color="auto"/>
              <w:left w:val="single" w:sz="4" w:space="0" w:color="auto"/>
              <w:right w:val="single" w:sz="6" w:space="0" w:color="auto"/>
            </w:tcBorders>
            <w:shd w:val="clear" w:color="auto" w:fill="auto"/>
            <w:vAlign w:val="center"/>
          </w:tcPr>
          <w:p w14:paraId="1A913972" w14:textId="77777777" w:rsidR="007D2333" w:rsidRPr="007275DF" w:rsidRDefault="007D2333" w:rsidP="007D2333">
            <w:pPr>
              <w:pStyle w:val="TAH"/>
            </w:pPr>
            <w:r w:rsidRPr="007275DF">
              <w:t>dB</w:t>
            </w:r>
          </w:p>
        </w:tc>
        <w:tc>
          <w:tcPr>
            <w:tcW w:w="1055" w:type="dxa"/>
            <w:tcBorders>
              <w:top w:val="single" w:sz="6" w:space="0" w:color="auto"/>
              <w:left w:val="single" w:sz="6" w:space="0" w:color="auto"/>
              <w:right w:val="single" w:sz="6" w:space="0" w:color="auto"/>
            </w:tcBorders>
            <w:shd w:val="clear" w:color="auto" w:fill="auto"/>
            <w:vAlign w:val="center"/>
          </w:tcPr>
          <w:p w14:paraId="50557A4B" w14:textId="77777777" w:rsidR="007D2333" w:rsidRPr="007275DF" w:rsidRDefault="007D2333" w:rsidP="007D2333">
            <w:pPr>
              <w:pStyle w:val="TAH"/>
            </w:pPr>
            <w:r w:rsidRPr="007275DF">
              <w:t>dB</w:t>
            </w:r>
          </w:p>
        </w:tc>
        <w:tc>
          <w:tcPr>
            <w:tcW w:w="833" w:type="dxa"/>
            <w:tcBorders>
              <w:top w:val="single" w:sz="6" w:space="0" w:color="auto"/>
              <w:left w:val="single" w:sz="6" w:space="0" w:color="auto"/>
              <w:right w:val="single" w:sz="6" w:space="0" w:color="auto"/>
            </w:tcBorders>
            <w:shd w:val="clear" w:color="auto" w:fill="auto"/>
            <w:vAlign w:val="center"/>
          </w:tcPr>
          <w:p w14:paraId="7A416BB4" w14:textId="77777777" w:rsidR="007D2333" w:rsidRPr="007275DF" w:rsidRDefault="007D2333" w:rsidP="007D2333">
            <w:pPr>
              <w:pStyle w:val="TAH"/>
            </w:pPr>
            <w:r w:rsidRPr="007275DF">
              <w:t>dB</w:t>
            </w:r>
          </w:p>
        </w:tc>
        <w:tc>
          <w:tcPr>
            <w:tcW w:w="2530" w:type="dxa"/>
            <w:tcBorders>
              <w:top w:val="single" w:sz="6" w:space="0" w:color="auto"/>
              <w:left w:val="single" w:sz="6" w:space="0" w:color="auto"/>
              <w:right w:val="single" w:sz="4" w:space="0" w:color="auto"/>
            </w:tcBorders>
            <w:shd w:val="clear" w:color="auto" w:fill="auto"/>
            <w:vAlign w:val="center"/>
          </w:tcPr>
          <w:p w14:paraId="3ACDDE23" w14:textId="77777777" w:rsidR="007D2333" w:rsidRPr="007275DF" w:rsidRDefault="007D2333" w:rsidP="007D2333">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06CFC766"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6C214FFF"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5506CF77" w14:textId="77777777" w:rsidR="007D2333" w:rsidRPr="007275DF" w:rsidRDefault="007D2333" w:rsidP="007D2333">
            <w:pPr>
              <w:pStyle w:val="TAH"/>
            </w:pPr>
            <w:r w:rsidRPr="007275DF">
              <w:t>dBm/BW</w:t>
            </w:r>
            <w:r w:rsidRPr="007275DF">
              <w:rPr>
                <w:vertAlign w:val="subscript"/>
              </w:rPr>
              <w:t>Channel</w:t>
            </w:r>
          </w:p>
        </w:tc>
      </w:tr>
      <w:tr w:rsidR="007D2333" w:rsidRPr="007275DF" w14:paraId="21C08AF8" w14:textId="77777777" w:rsidTr="007D2333">
        <w:trPr>
          <w:trHeight w:val="307"/>
          <w:jc w:val="center"/>
        </w:trPr>
        <w:tc>
          <w:tcPr>
            <w:tcW w:w="1036" w:type="dxa"/>
            <w:tcBorders>
              <w:left w:val="single" w:sz="4" w:space="0" w:color="auto"/>
              <w:bottom w:val="single" w:sz="6" w:space="0" w:color="auto"/>
              <w:right w:val="single" w:sz="6" w:space="0" w:color="auto"/>
            </w:tcBorders>
            <w:shd w:val="clear" w:color="auto" w:fill="auto"/>
            <w:vAlign w:val="center"/>
          </w:tcPr>
          <w:p w14:paraId="3C80280A" w14:textId="77777777" w:rsidR="007D2333" w:rsidRPr="007275DF" w:rsidRDefault="007D2333" w:rsidP="007D2333">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1B8CE752" w14:textId="77777777" w:rsidR="007D2333" w:rsidRPr="007275DF" w:rsidRDefault="007D2333" w:rsidP="007D2333">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0792F202" w14:textId="77777777" w:rsidR="007D2333" w:rsidRPr="007275DF" w:rsidRDefault="007D2333" w:rsidP="007D2333">
            <w:pPr>
              <w:pStyle w:val="TAH"/>
            </w:pPr>
          </w:p>
        </w:tc>
        <w:tc>
          <w:tcPr>
            <w:tcW w:w="2530" w:type="dxa"/>
            <w:tcBorders>
              <w:left w:val="single" w:sz="6" w:space="0" w:color="auto"/>
              <w:bottom w:val="single" w:sz="6" w:space="0" w:color="auto"/>
              <w:right w:val="single" w:sz="4" w:space="0" w:color="auto"/>
            </w:tcBorders>
            <w:shd w:val="clear" w:color="auto" w:fill="auto"/>
            <w:vAlign w:val="center"/>
          </w:tcPr>
          <w:p w14:paraId="2B5AF990" w14:textId="77777777" w:rsidR="007D2333" w:rsidRPr="007275DF" w:rsidRDefault="007D2333" w:rsidP="007D2333">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5C24E40D"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0E4D9F4B"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52E4A82F"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2914E5CC" w14:textId="77777777" w:rsidR="007D2333" w:rsidRPr="007275DF" w:rsidRDefault="007D2333" w:rsidP="007D2333">
            <w:pPr>
              <w:pStyle w:val="TAH"/>
            </w:pPr>
          </w:p>
        </w:tc>
      </w:tr>
      <w:tr w:rsidR="007D2333" w:rsidRPr="007275DF" w14:paraId="483FA803" w14:textId="77777777" w:rsidTr="007D2333">
        <w:trPr>
          <w:jc w:val="center"/>
        </w:trPr>
        <w:tc>
          <w:tcPr>
            <w:tcW w:w="1036" w:type="dxa"/>
            <w:vMerge w:val="restart"/>
            <w:tcBorders>
              <w:top w:val="single" w:sz="6" w:space="0" w:color="auto"/>
              <w:left w:val="single" w:sz="4" w:space="0" w:color="auto"/>
              <w:right w:val="single" w:sz="6" w:space="0" w:color="auto"/>
            </w:tcBorders>
            <w:shd w:val="clear" w:color="auto" w:fill="auto"/>
            <w:vAlign w:val="center"/>
          </w:tcPr>
          <w:p w14:paraId="72A006FC" w14:textId="77777777" w:rsidR="007D2333" w:rsidRPr="00473F76" w:rsidRDefault="007D2333" w:rsidP="007D2333">
            <w:pPr>
              <w:pStyle w:val="TAC"/>
            </w:pPr>
            <w:r w:rsidRPr="007275DF">
              <w:sym w:font="Symbol" w:char="F0B1"/>
            </w:r>
            <w:r w:rsidRPr="007275DF">
              <w:t>4.5</w:t>
            </w:r>
          </w:p>
        </w:tc>
        <w:tc>
          <w:tcPr>
            <w:tcW w:w="1055" w:type="dxa"/>
            <w:vMerge w:val="restart"/>
            <w:tcBorders>
              <w:top w:val="single" w:sz="6" w:space="0" w:color="auto"/>
              <w:left w:val="single" w:sz="6" w:space="0" w:color="auto"/>
              <w:right w:val="single" w:sz="6" w:space="0" w:color="auto"/>
            </w:tcBorders>
            <w:shd w:val="clear" w:color="auto" w:fill="auto"/>
            <w:vAlign w:val="center"/>
          </w:tcPr>
          <w:p w14:paraId="0038E8E9" w14:textId="77777777" w:rsidR="007D2333" w:rsidRPr="00473F76" w:rsidRDefault="007D2333" w:rsidP="007D2333">
            <w:pPr>
              <w:pStyle w:val="TAC"/>
            </w:pPr>
            <w:r w:rsidRPr="007275DF">
              <w:sym w:font="Symbol" w:char="F0B1"/>
            </w:r>
            <w:r w:rsidRPr="007275DF">
              <w:t>9</w:t>
            </w:r>
          </w:p>
        </w:tc>
        <w:tc>
          <w:tcPr>
            <w:tcW w:w="833" w:type="dxa"/>
            <w:vMerge w:val="restart"/>
            <w:tcBorders>
              <w:top w:val="single" w:sz="6" w:space="0" w:color="auto"/>
              <w:left w:val="single" w:sz="6" w:space="0" w:color="auto"/>
              <w:right w:val="single" w:sz="6" w:space="0" w:color="auto"/>
            </w:tcBorders>
            <w:shd w:val="clear" w:color="auto" w:fill="auto"/>
            <w:vAlign w:val="center"/>
          </w:tcPr>
          <w:p w14:paraId="224BF3C2" w14:textId="77777777" w:rsidR="007D2333" w:rsidRPr="00473F76" w:rsidRDefault="007D2333" w:rsidP="007D2333">
            <w:pPr>
              <w:pStyle w:val="TAC"/>
            </w:pPr>
            <w:r w:rsidRPr="007275DF">
              <w:sym w:font="Symbol" w:char="F0B3"/>
            </w:r>
            <w:r w:rsidRPr="007275DF">
              <w:t>-6</w:t>
            </w: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56D32D66" w14:textId="77777777" w:rsidR="007D2333" w:rsidRPr="007275DF" w:rsidRDefault="007D2333" w:rsidP="007D2333">
            <w:pPr>
              <w:pStyle w:val="TAC"/>
              <w:rPr>
                <w:rFonts w:cs="Arial"/>
                <w:szCs w:val="18"/>
                <w:lang w:val="sv-SE"/>
              </w:rPr>
            </w:pPr>
            <w:r w:rsidRPr="007275DF">
              <w:rPr>
                <w:rFonts w:cs="Arial"/>
                <w:lang w:val="sv-SE"/>
              </w:rPr>
              <w:t>NR_CCA_FR1_I</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7E8174B2" w14:textId="77777777" w:rsidR="007D2333" w:rsidRPr="007275DF" w:rsidRDefault="007D2333" w:rsidP="007D2333">
            <w:pPr>
              <w:pStyle w:val="TAC"/>
            </w:pPr>
            <w:r w:rsidRPr="007275DF">
              <w:t>-117</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4766DE47" w14:textId="77777777" w:rsidR="007D2333" w:rsidRPr="007275DF" w:rsidRDefault="007D2333" w:rsidP="007D2333">
            <w:pPr>
              <w:pStyle w:val="TAC"/>
            </w:pPr>
            <w:r w:rsidRPr="007275DF">
              <w:t>-114</w:t>
            </w:r>
          </w:p>
        </w:tc>
        <w:tc>
          <w:tcPr>
            <w:tcW w:w="1440" w:type="dxa"/>
            <w:vMerge w:val="restart"/>
            <w:tcBorders>
              <w:top w:val="single" w:sz="6" w:space="0" w:color="auto"/>
              <w:left w:val="single" w:sz="6" w:space="0" w:color="auto"/>
              <w:right w:val="single" w:sz="6" w:space="0" w:color="auto"/>
            </w:tcBorders>
            <w:shd w:val="clear" w:color="auto" w:fill="auto"/>
            <w:vAlign w:val="center"/>
          </w:tcPr>
          <w:p w14:paraId="506A2F52"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vAlign w:val="center"/>
          </w:tcPr>
          <w:p w14:paraId="14A63B5A" w14:textId="77777777" w:rsidR="007D2333" w:rsidRPr="007275DF" w:rsidRDefault="007D2333" w:rsidP="007D2333">
            <w:pPr>
              <w:pStyle w:val="TAC"/>
            </w:pPr>
            <w:r w:rsidRPr="007275DF">
              <w:t>-70</w:t>
            </w:r>
          </w:p>
        </w:tc>
      </w:tr>
      <w:tr w:rsidR="007D2333" w:rsidRPr="007275DF" w14:paraId="57B1F312" w14:textId="77777777" w:rsidTr="007D2333">
        <w:trPr>
          <w:jc w:val="center"/>
        </w:trPr>
        <w:tc>
          <w:tcPr>
            <w:tcW w:w="1036" w:type="dxa"/>
            <w:vMerge/>
            <w:tcBorders>
              <w:left w:val="single" w:sz="4" w:space="0" w:color="auto"/>
              <w:right w:val="single" w:sz="6" w:space="0" w:color="auto"/>
            </w:tcBorders>
            <w:shd w:val="clear" w:color="auto" w:fill="auto"/>
            <w:vAlign w:val="center"/>
          </w:tcPr>
          <w:p w14:paraId="4D1D5D65" w14:textId="77777777" w:rsidR="007D2333" w:rsidRPr="007275DF" w:rsidRDefault="007D2333" w:rsidP="007D2333">
            <w:pPr>
              <w:pStyle w:val="TAC"/>
            </w:pPr>
          </w:p>
        </w:tc>
        <w:tc>
          <w:tcPr>
            <w:tcW w:w="1055" w:type="dxa"/>
            <w:vMerge/>
            <w:tcBorders>
              <w:left w:val="single" w:sz="6" w:space="0" w:color="auto"/>
              <w:right w:val="single" w:sz="6" w:space="0" w:color="auto"/>
            </w:tcBorders>
            <w:shd w:val="clear" w:color="auto" w:fill="auto"/>
            <w:vAlign w:val="center"/>
          </w:tcPr>
          <w:p w14:paraId="7A94D184" w14:textId="77777777" w:rsidR="007D2333" w:rsidRPr="007275DF" w:rsidRDefault="007D2333" w:rsidP="007D2333">
            <w:pPr>
              <w:pStyle w:val="TAC"/>
            </w:pPr>
          </w:p>
        </w:tc>
        <w:tc>
          <w:tcPr>
            <w:tcW w:w="833" w:type="dxa"/>
            <w:vMerge/>
            <w:tcBorders>
              <w:left w:val="single" w:sz="6" w:space="0" w:color="auto"/>
              <w:right w:val="single" w:sz="6" w:space="0" w:color="auto"/>
            </w:tcBorders>
            <w:shd w:val="clear" w:color="auto" w:fill="auto"/>
            <w:vAlign w:val="center"/>
          </w:tcPr>
          <w:p w14:paraId="3A36AF63" w14:textId="77777777" w:rsidR="007D2333" w:rsidRPr="007275DF" w:rsidRDefault="007D2333" w:rsidP="007D2333">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5EF33B4F" w14:textId="77777777" w:rsidR="007D2333" w:rsidRPr="007275DF" w:rsidRDefault="007D2333" w:rsidP="007D2333">
            <w:pPr>
              <w:pStyle w:val="TAC"/>
              <w:rPr>
                <w:rFonts w:cs="Arial"/>
              </w:rPr>
            </w:pPr>
            <w:r w:rsidRPr="007275DF">
              <w:rPr>
                <w:rFonts w:cs="Arial"/>
              </w:rPr>
              <w:t>NR_CCA_FR1_J</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34373771" w14:textId="77777777" w:rsidR="007D2333" w:rsidRPr="007275DF" w:rsidRDefault="007D2333" w:rsidP="007D2333">
            <w:pPr>
              <w:pStyle w:val="TAC"/>
            </w:pPr>
            <w:r w:rsidRPr="007275DF">
              <w:t>-116.5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4556B98D" w14:textId="77777777" w:rsidR="007D2333" w:rsidRPr="007275DF" w:rsidRDefault="007D2333" w:rsidP="007D2333">
            <w:pPr>
              <w:pStyle w:val="TAC"/>
            </w:pPr>
            <w:r w:rsidRPr="007275DF">
              <w:t>-113.5</w:t>
            </w:r>
          </w:p>
        </w:tc>
        <w:tc>
          <w:tcPr>
            <w:tcW w:w="1440" w:type="dxa"/>
            <w:vMerge/>
            <w:tcBorders>
              <w:left w:val="single" w:sz="6" w:space="0" w:color="auto"/>
              <w:bottom w:val="single" w:sz="6" w:space="0" w:color="auto"/>
              <w:right w:val="single" w:sz="6" w:space="0" w:color="auto"/>
            </w:tcBorders>
            <w:shd w:val="clear" w:color="auto" w:fill="auto"/>
            <w:vAlign w:val="center"/>
          </w:tcPr>
          <w:p w14:paraId="2B192559" w14:textId="77777777" w:rsidR="007D2333" w:rsidRPr="007275DF" w:rsidRDefault="007D2333" w:rsidP="007D2333">
            <w:pPr>
              <w:pStyle w:val="TAC"/>
            </w:pPr>
          </w:p>
        </w:tc>
        <w:tc>
          <w:tcPr>
            <w:tcW w:w="1440" w:type="dxa"/>
            <w:vMerge/>
            <w:tcBorders>
              <w:left w:val="single" w:sz="6" w:space="0" w:color="auto"/>
              <w:bottom w:val="single" w:sz="6" w:space="0" w:color="auto"/>
              <w:right w:val="single" w:sz="4" w:space="0" w:color="auto"/>
            </w:tcBorders>
            <w:shd w:val="clear" w:color="auto" w:fill="auto"/>
            <w:vAlign w:val="center"/>
          </w:tcPr>
          <w:p w14:paraId="7EBA99F9" w14:textId="77777777" w:rsidR="007D2333" w:rsidRPr="007275DF" w:rsidRDefault="007D2333" w:rsidP="007D2333">
            <w:pPr>
              <w:pStyle w:val="TAC"/>
            </w:pPr>
          </w:p>
        </w:tc>
      </w:tr>
      <w:tr w:rsidR="007D2333" w:rsidRPr="007275DF" w14:paraId="21C494E4" w14:textId="77777777" w:rsidTr="007D2333">
        <w:trPr>
          <w:jc w:val="center"/>
        </w:trPr>
        <w:tc>
          <w:tcPr>
            <w:tcW w:w="1036" w:type="dxa"/>
            <w:vMerge w:val="restart"/>
            <w:tcBorders>
              <w:top w:val="single" w:sz="6" w:space="0" w:color="auto"/>
              <w:left w:val="single" w:sz="4" w:space="0" w:color="auto"/>
              <w:right w:val="single" w:sz="6" w:space="0" w:color="auto"/>
            </w:tcBorders>
            <w:shd w:val="clear" w:color="auto" w:fill="auto"/>
            <w:vAlign w:val="center"/>
          </w:tcPr>
          <w:p w14:paraId="60C6DF11" w14:textId="77777777" w:rsidR="007D2333" w:rsidRPr="00473F76" w:rsidRDefault="007D2333" w:rsidP="007D2333">
            <w:pPr>
              <w:pStyle w:val="TAC"/>
            </w:pPr>
            <w:r w:rsidRPr="007275DF">
              <w:sym w:font="Symbol" w:char="F0B1"/>
            </w:r>
            <w:r w:rsidRPr="007275DF">
              <w:t>8</w:t>
            </w:r>
          </w:p>
        </w:tc>
        <w:tc>
          <w:tcPr>
            <w:tcW w:w="1055" w:type="dxa"/>
            <w:vMerge w:val="restart"/>
            <w:tcBorders>
              <w:top w:val="single" w:sz="6" w:space="0" w:color="auto"/>
              <w:left w:val="single" w:sz="6" w:space="0" w:color="auto"/>
              <w:right w:val="single" w:sz="6" w:space="0" w:color="auto"/>
            </w:tcBorders>
            <w:shd w:val="clear" w:color="auto" w:fill="auto"/>
            <w:vAlign w:val="center"/>
          </w:tcPr>
          <w:p w14:paraId="48686DBC" w14:textId="77777777" w:rsidR="007D2333" w:rsidRPr="00473F76" w:rsidRDefault="007D2333" w:rsidP="007D2333">
            <w:pPr>
              <w:pStyle w:val="TAC"/>
            </w:pPr>
            <w:r w:rsidRPr="007275DF">
              <w:sym w:font="Symbol" w:char="F0B1"/>
            </w:r>
            <w:r w:rsidRPr="007275DF">
              <w:t>11</w:t>
            </w:r>
          </w:p>
        </w:tc>
        <w:tc>
          <w:tcPr>
            <w:tcW w:w="833" w:type="dxa"/>
            <w:vMerge w:val="restart"/>
            <w:tcBorders>
              <w:top w:val="single" w:sz="6" w:space="0" w:color="auto"/>
              <w:left w:val="single" w:sz="6" w:space="0" w:color="auto"/>
              <w:right w:val="single" w:sz="6" w:space="0" w:color="auto"/>
            </w:tcBorders>
            <w:shd w:val="clear" w:color="auto" w:fill="auto"/>
            <w:vAlign w:val="center"/>
          </w:tcPr>
          <w:p w14:paraId="6946A7FA" w14:textId="77777777" w:rsidR="007D2333" w:rsidRPr="00473F76" w:rsidRDefault="007D2333" w:rsidP="007D2333">
            <w:pPr>
              <w:pStyle w:val="TAC"/>
            </w:pPr>
            <w:r w:rsidRPr="007275DF">
              <w:sym w:font="Symbol" w:char="F0B3"/>
            </w:r>
            <w:r w:rsidRPr="007275DF">
              <w:t>-6</w:t>
            </w: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56A70420" w14:textId="77777777" w:rsidR="007D2333" w:rsidRPr="007275DF" w:rsidRDefault="007D2333" w:rsidP="007D2333">
            <w:pPr>
              <w:pStyle w:val="TAC"/>
              <w:rPr>
                <w:lang w:val="sv-FI"/>
              </w:rPr>
            </w:pPr>
            <w:r w:rsidRPr="007275DF">
              <w:rPr>
                <w:rFonts w:cs="Arial"/>
                <w:lang w:val="sv-SE"/>
              </w:rPr>
              <w:t>NR_CCA_FR1_I</w:t>
            </w:r>
          </w:p>
        </w:tc>
        <w:tc>
          <w:tcPr>
            <w:tcW w:w="1005" w:type="dxa"/>
            <w:vMerge w:val="restart"/>
            <w:tcBorders>
              <w:top w:val="single" w:sz="6" w:space="0" w:color="auto"/>
              <w:left w:val="single" w:sz="4" w:space="0" w:color="auto"/>
              <w:right w:val="single" w:sz="6" w:space="0" w:color="auto"/>
            </w:tcBorders>
            <w:shd w:val="clear" w:color="auto" w:fill="auto"/>
            <w:vAlign w:val="center"/>
          </w:tcPr>
          <w:p w14:paraId="60562573" w14:textId="77777777" w:rsidR="007D2333" w:rsidRPr="007275DF" w:rsidRDefault="007D2333" w:rsidP="007D2333">
            <w:pPr>
              <w:pStyle w:val="TAC"/>
            </w:pPr>
            <w:r w:rsidRPr="007275DF">
              <w:t>N/A</w:t>
            </w:r>
          </w:p>
        </w:tc>
        <w:tc>
          <w:tcPr>
            <w:tcW w:w="833" w:type="dxa"/>
            <w:vMerge w:val="restart"/>
            <w:tcBorders>
              <w:top w:val="single" w:sz="6" w:space="0" w:color="auto"/>
              <w:left w:val="single" w:sz="4" w:space="0" w:color="auto"/>
              <w:right w:val="single" w:sz="6" w:space="0" w:color="auto"/>
            </w:tcBorders>
            <w:shd w:val="clear" w:color="auto" w:fill="auto"/>
            <w:vAlign w:val="center"/>
          </w:tcPr>
          <w:p w14:paraId="63E7A735" w14:textId="77777777" w:rsidR="007D2333" w:rsidRPr="007275DF" w:rsidRDefault="007D2333" w:rsidP="007D2333">
            <w:pPr>
              <w:pStyle w:val="TAC"/>
              <w:rPr>
                <w:lang w:eastAsia="zh-CN"/>
              </w:rPr>
            </w:pPr>
            <w:r w:rsidRPr="007275DF">
              <w:rPr>
                <w:lang w:eastAsia="zh-CN"/>
              </w:rPr>
              <w:t>N/A</w:t>
            </w:r>
          </w:p>
        </w:tc>
        <w:tc>
          <w:tcPr>
            <w:tcW w:w="1440" w:type="dxa"/>
            <w:vMerge w:val="restart"/>
            <w:tcBorders>
              <w:top w:val="single" w:sz="6" w:space="0" w:color="auto"/>
              <w:left w:val="single" w:sz="6" w:space="0" w:color="auto"/>
              <w:right w:val="single" w:sz="6" w:space="0" w:color="auto"/>
            </w:tcBorders>
            <w:shd w:val="clear" w:color="auto" w:fill="auto"/>
            <w:vAlign w:val="center"/>
          </w:tcPr>
          <w:p w14:paraId="490694D0" w14:textId="77777777" w:rsidR="007D2333" w:rsidRPr="007275DF" w:rsidRDefault="007D2333" w:rsidP="007D2333">
            <w:pPr>
              <w:pStyle w:val="TAC"/>
            </w:pPr>
            <w:r w:rsidRPr="007275DF">
              <w:t>-70</w:t>
            </w:r>
          </w:p>
        </w:tc>
        <w:tc>
          <w:tcPr>
            <w:tcW w:w="1440" w:type="dxa"/>
            <w:vMerge w:val="restart"/>
            <w:tcBorders>
              <w:top w:val="single" w:sz="6" w:space="0" w:color="auto"/>
              <w:left w:val="single" w:sz="6" w:space="0" w:color="auto"/>
              <w:right w:val="single" w:sz="4" w:space="0" w:color="auto"/>
            </w:tcBorders>
            <w:shd w:val="clear" w:color="auto" w:fill="auto"/>
            <w:vAlign w:val="center"/>
          </w:tcPr>
          <w:p w14:paraId="1C87D35F" w14:textId="77777777" w:rsidR="007D2333" w:rsidRPr="007275DF" w:rsidRDefault="007D2333" w:rsidP="007D2333">
            <w:pPr>
              <w:pStyle w:val="TAC"/>
            </w:pPr>
            <w:r w:rsidRPr="007275DF">
              <w:t>-50</w:t>
            </w:r>
          </w:p>
        </w:tc>
      </w:tr>
      <w:tr w:rsidR="007D2333" w:rsidRPr="007275DF" w14:paraId="769D52CA" w14:textId="77777777" w:rsidTr="007D2333">
        <w:trPr>
          <w:jc w:val="center"/>
        </w:trPr>
        <w:tc>
          <w:tcPr>
            <w:tcW w:w="1036" w:type="dxa"/>
            <w:vMerge/>
            <w:tcBorders>
              <w:left w:val="single" w:sz="4" w:space="0" w:color="auto"/>
              <w:bottom w:val="single" w:sz="6" w:space="0" w:color="auto"/>
              <w:right w:val="single" w:sz="6" w:space="0" w:color="auto"/>
            </w:tcBorders>
            <w:shd w:val="clear" w:color="auto" w:fill="auto"/>
            <w:vAlign w:val="center"/>
          </w:tcPr>
          <w:p w14:paraId="0D90BD35" w14:textId="77777777" w:rsidR="007D2333" w:rsidRPr="007275DF" w:rsidRDefault="007D2333" w:rsidP="007D2333">
            <w:pPr>
              <w:pStyle w:val="TAC"/>
            </w:pPr>
          </w:p>
        </w:tc>
        <w:tc>
          <w:tcPr>
            <w:tcW w:w="1055" w:type="dxa"/>
            <w:vMerge/>
            <w:tcBorders>
              <w:left w:val="single" w:sz="6" w:space="0" w:color="auto"/>
              <w:bottom w:val="single" w:sz="6" w:space="0" w:color="auto"/>
              <w:right w:val="single" w:sz="6" w:space="0" w:color="auto"/>
            </w:tcBorders>
            <w:shd w:val="clear" w:color="auto" w:fill="auto"/>
            <w:vAlign w:val="center"/>
          </w:tcPr>
          <w:p w14:paraId="04B74D95" w14:textId="77777777" w:rsidR="007D2333" w:rsidRPr="007275DF" w:rsidRDefault="007D2333" w:rsidP="007D2333">
            <w:pPr>
              <w:pStyle w:val="TAC"/>
            </w:pPr>
          </w:p>
        </w:tc>
        <w:tc>
          <w:tcPr>
            <w:tcW w:w="833" w:type="dxa"/>
            <w:vMerge/>
            <w:tcBorders>
              <w:left w:val="single" w:sz="6" w:space="0" w:color="auto"/>
              <w:bottom w:val="single" w:sz="6" w:space="0" w:color="auto"/>
              <w:right w:val="single" w:sz="6" w:space="0" w:color="auto"/>
            </w:tcBorders>
            <w:shd w:val="clear" w:color="auto" w:fill="auto"/>
            <w:vAlign w:val="center"/>
          </w:tcPr>
          <w:p w14:paraId="072810DE" w14:textId="77777777" w:rsidR="007D2333" w:rsidRPr="007275DF" w:rsidRDefault="007D2333" w:rsidP="007D2333">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271BCFEB" w14:textId="77777777" w:rsidR="007D2333" w:rsidRPr="007275DF" w:rsidRDefault="007D2333" w:rsidP="007D2333">
            <w:pPr>
              <w:pStyle w:val="TAC"/>
              <w:rPr>
                <w:rFonts w:cs="Arial"/>
              </w:rPr>
            </w:pPr>
            <w:r w:rsidRPr="007275DF">
              <w:rPr>
                <w:rFonts w:cs="Arial"/>
              </w:rPr>
              <w:t>NR_CCA_FR1_J</w:t>
            </w:r>
          </w:p>
        </w:tc>
        <w:tc>
          <w:tcPr>
            <w:tcW w:w="1005" w:type="dxa"/>
            <w:vMerge/>
            <w:tcBorders>
              <w:left w:val="single" w:sz="4" w:space="0" w:color="auto"/>
              <w:bottom w:val="single" w:sz="4" w:space="0" w:color="auto"/>
              <w:right w:val="single" w:sz="6" w:space="0" w:color="auto"/>
            </w:tcBorders>
            <w:shd w:val="clear" w:color="auto" w:fill="auto"/>
            <w:vAlign w:val="center"/>
          </w:tcPr>
          <w:p w14:paraId="710437D8" w14:textId="77777777" w:rsidR="007D2333" w:rsidRPr="007275DF" w:rsidRDefault="007D2333" w:rsidP="007D2333">
            <w:pPr>
              <w:pStyle w:val="TAC"/>
            </w:pPr>
          </w:p>
        </w:tc>
        <w:tc>
          <w:tcPr>
            <w:tcW w:w="833" w:type="dxa"/>
            <w:vMerge/>
            <w:tcBorders>
              <w:left w:val="single" w:sz="4" w:space="0" w:color="auto"/>
              <w:bottom w:val="single" w:sz="4" w:space="0" w:color="auto"/>
              <w:right w:val="single" w:sz="6" w:space="0" w:color="auto"/>
            </w:tcBorders>
            <w:shd w:val="clear" w:color="auto" w:fill="auto"/>
            <w:vAlign w:val="center"/>
          </w:tcPr>
          <w:p w14:paraId="49DF52A1" w14:textId="77777777" w:rsidR="007D2333" w:rsidRPr="007275DF" w:rsidRDefault="007D2333" w:rsidP="007D2333">
            <w:pPr>
              <w:pStyle w:val="TAC"/>
              <w:rPr>
                <w:lang w:eastAsia="zh-CN"/>
              </w:rPr>
            </w:pPr>
          </w:p>
        </w:tc>
        <w:tc>
          <w:tcPr>
            <w:tcW w:w="1440" w:type="dxa"/>
            <w:vMerge/>
            <w:tcBorders>
              <w:left w:val="single" w:sz="6" w:space="0" w:color="auto"/>
              <w:bottom w:val="single" w:sz="4" w:space="0" w:color="auto"/>
              <w:right w:val="single" w:sz="6" w:space="0" w:color="auto"/>
            </w:tcBorders>
            <w:shd w:val="clear" w:color="auto" w:fill="auto"/>
            <w:vAlign w:val="center"/>
          </w:tcPr>
          <w:p w14:paraId="1771B964" w14:textId="77777777" w:rsidR="007D2333" w:rsidRPr="007275DF" w:rsidRDefault="007D2333" w:rsidP="007D2333">
            <w:pPr>
              <w:pStyle w:val="TAC"/>
            </w:pPr>
          </w:p>
        </w:tc>
        <w:tc>
          <w:tcPr>
            <w:tcW w:w="1440" w:type="dxa"/>
            <w:vMerge/>
            <w:tcBorders>
              <w:left w:val="single" w:sz="6" w:space="0" w:color="auto"/>
              <w:bottom w:val="single" w:sz="4" w:space="0" w:color="auto"/>
              <w:right w:val="single" w:sz="4" w:space="0" w:color="auto"/>
            </w:tcBorders>
            <w:shd w:val="clear" w:color="auto" w:fill="auto"/>
            <w:vAlign w:val="center"/>
          </w:tcPr>
          <w:p w14:paraId="00E1EF13" w14:textId="77777777" w:rsidR="007D2333" w:rsidRPr="007275DF" w:rsidRDefault="007D2333" w:rsidP="007D2333">
            <w:pPr>
              <w:pStyle w:val="TAC"/>
            </w:pPr>
          </w:p>
        </w:tc>
      </w:tr>
      <w:tr w:rsidR="007D2333" w:rsidRPr="007275DF" w14:paraId="1A5CEA84"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0C7DF3A4" w14:textId="77777777" w:rsidR="007D2333" w:rsidRPr="007275DF" w:rsidRDefault="007D2333" w:rsidP="007D2333">
            <w:pPr>
              <w:pStyle w:val="TAN"/>
            </w:pPr>
            <w:r w:rsidRPr="007275DF">
              <w:t>NOTE 1:</w:t>
            </w:r>
            <w:r w:rsidRPr="007275DF">
              <w:tab/>
              <w:t>Io is assumed to have constant EPRE across the bandwidth.</w:t>
            </w:r>
          </w:p>
          <w:p w14:paraId="56F89AF1" w14:textId="77777777" w:rsidR="007D2333" w:rsidRPr="007275DF" w:rsidRDefault="007D2333" w:rsidP="007D2333">
            <w:pPr>
              <w:pStyle w:val="TAN"/>
            </w:pPr>
            <w:r w:rsidRPr="007275DF">
              <w:t>NOTE 2:</w:t>
            </w:r>
            <w:r w:rsidRPr="007275DF">
              <w:tab/>
              <w:t>NR operating band groups are as defined in clause 3.5.2.</w:t>
            </w:r>
          </w:p>
        </w:tc>
      </w:tr>
    </w:tbl>
    <w:p w14:paraId="799D910F" w14:textId="77777777" w:rsidR="007D2333" w:rsidRPr="007275DF" w:rsidRDefault="007D2333" w:rsidP="007D2333">
      <w:pPr>
        <w:rPr>
          <w:lang w:eastAsia="zh-CN"/>
        </w:rPr>
      </w:pPr>
    </w:p>
    <w:p w14:paraId="2CD2D4C0" w14:textId="77777777" w:rsidR="007D2333" w:rsidRPr="007275DF" w:rsidRDefault="007D2333" w:rsidP="007D2333">
      <w:pPr>
        <w:pStyle w:val="Heading5"/>
      </w:pPr>
      <w:r w:rsidRPr="007275DF">
        <w:t>10.1.36.1.2</w:t>
      </w:r>
      <w:r w:rsidRPr="007275DF">
        <w:tab/>
        <w:t xml:space="preserve">Relative </w:t>
      </w:r>
      <w:r w:rsidRPr="007275DF">
        <w:rPr>
          <w:lang w:val="en-US"/>
        </w:rPr>
        <w:t xml:space="preserve">SS-RSRP </w:t>
      </w:r>
      <w:r w:rsidRPr="007275DF">
        <w:t>Accuracy</w:t>
      </w:r>
    </w:p>
    <w:p w14:paraId="2F389D99" w14:textId="77777777" w:rsidR="007D2333" w:rsidRPr="007275DF" w:rsidRDefault="007D2333" w:rsidP="007D2333">
      <w:pPr>
        <w:rPr>
          <w:rFonts w:cs="v4.2.0"/>
          <w:i/>
        </w:rPr>
      </w:pPr>
      <w:r w:rsidRPr="007275DF">
        <w:rPr>
          <w:rFonts w:cs="v4.2.0"/>
        </w:rPr>
        <w:t xml:space="preserve">The relative accuracy of </w:t>
      </w:r>
      <w:r w:rsidRPr="007275DF">
        <w:rPr>
          <w:rFonts w:cs="v4.2.0"/>
          <w:lang w:eastAsia="zh-CN"/>
        </w:rPr>
        <w:t>SS-RSRP</w:t>
      </w:r>
      <w:r w:rsidRPr="007275DF">
        <w:rPr>
          <w:rFonts w:cs="v4.2.0"/>
        </w:rPr>
        <w:t xml:space="preserve"> is defined as the </w:t>
      </w:r>
      <w:r w:rsidRPr="007275DF">
        <w:rPr>
          <w:rFonts w:cs="v4.2.0"/>
          <w:lang w:eastAsia="zh-CN"/>
        </w:rPr>
        <w:t>SS-RSRP</w:t>
      </w:r>
      <w:r w:rsidRPr="007275DF">
        <w:rPr>
          <w:rFonts w:cs="v4.2.0"/>
        </w:rPr>
        <w:t xml:space="preserve"> measured from one cell compared to the </w:t>
      </w:r>
      <w:r w:rsidRPr="007275DF">
        <w:rPr>
          <w:rFonts w:cs="v4.2.0"/>
          <w:lang w:eastAsia="zh-CN"/>
        </w:rPr>
        <w:t>SS-RSRP</w:t>
      </w:r>
      <w:r w:rsidRPr="007275DF">
        <w:rPr>
          <w:rFonts w:cs="v4.2.0"/>
        </w:rPr>
        <w:t xml:space="preserve"> measured from another cell on the same frequency, or between any two SS-RSRP levels measured on the same cell under CCA.</w:t>
      </w:r>
    </w:p>
    <w:p w14:paraId="2A02B3E0" w14:textId="77777777" w:rsidR="007D2333" w:rsidRPr="007275DF" w:rsidRDefault="007D2333" w:rsidP="007D2333">
      <w:pPr>
        <w:rPr>
          <w:rFonts w:cs="v4.2.0"/>
        </w:rPr>
      </w:pPr>
      <w:r w:rsidRPr="007275DF">
        <w:rPr>
          <w:rFonts w:cs="v4.2.0"/>
        </w:rPr>
        <w:t xml:space="preserve">The accuracy requirements in Table </w:t>
      </w:r>
      <w:r w:rsidRPr="007275DF">
        <w:rPr>
          <w:lang w:eastAsia="zh-CN"/>
        </w:rPr>
        <w:t>10</w:t>
      </w:r>
      <w:r w:rsidRPr="007275DF">
        <w:t>.1.36.1</w:t>
      </w:r>
      <w:r w:rsidRPr="007275DF">
        <w:rPr>
          <w:lang w:eastAsia="zh-CN"/>
        </w:rPr>
        <w:t>.2</w:t>
      </w:r>
      <w:r w:rsidRPr="007275DF">
        <w:rPr>
          <w:rFonts w:cs="v4.2.0"/>
        </w:rPr>
        <w:t>-1 are valid under the following conditions:</w:t>
      </w:r>
    </w:p>
    <w:p w14:paraId="44BB622E" w14:textId="77777777" w:rsidR="007D2333" w:rsidRPr="007275DF" w:rsidRDefault="007D2333" w:rsidP="00F37389">
      <w:pPr>
        <w:pStyle w:val="B10"/>
        <w:rPr>
          <w:lang w:eastAsia="zh-CN"/>
        </w:rPr>
      </w:pPr>
      <w:r w:rsidRPr="007275DF">
        <w:t>-</w:t>
      </w:r>
      <w:r w:rsidRPr="007275DF">
        <w:tab/>
        <w:t>Conditions defined in clause 7.3F of TS 38.101-1 [18] for reference sensitivity are fulfilled.</w:t>
      </w:r>
    </w:p>
    <w:p w14:paraId="63B25554" w14:textId="77777777" w:rsidR="007D2333" w:rsidRPr="007275DF" w:rsidRDefault="007D2333" w:rsidP="00F37389">
      <w:pPr>
        <w:pStyle w:val="B10"/>
        <w:rPr>
          <w:lang w:eastAsia="zh-CN"/>
        </w:rPr>
      </w:pPr>
      <w:r w:rsidRPr="007275DF">
        <w:t>-</w:t>
      </w:r>
      <w:r w:rsidRPr="007275DF">
        <w:tab/>
        <w:t>Conditions for intra-frequency measurements are fulfilled according to Annex B.2.8 for a corresponding Band for each relevant SSB.</w:t>
      </w:r>
    </w:p>
    <w:p w14:paraId="4B805075" w14:textId="77777777" w:rsidR="007D2333" w:rsidRPr="007275DF" w:rsidRDefault="007D2333" w:rsidP="007D2333">
      <w:pPr>
        <w:pStyle w:val="TH"/>
      </w:pPr>
      <w:r w:rsidRPr="007275DF">
        <w:t>Table 10.1.36.1.2-1: SS-RSRP intra-frequency relative accuracy under CCA</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7D2333" w:rsidRPr="007275DF" w14:paraId="39AB27F2" w14:textId="77777777" w:rsidTr="007D2333">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149B6349" w14:textId="77777777" w:rsidR="007D2333" w:rsidRPr="007275DF" w:rsidRDefault="007D2333" w:rsidP="007D2333">
            <w:pPr>
              <w:pStyle w:val="TAH"/>
            </w:pPr>
            <w:r w:rsidRPr="007275DF">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283CA5A3" w14:textId="77777777" w:rsidR="007D2333" w:rsidRPr="007275DF" w:rsidRDefault="007D2333" w:rsidP="007D2333">
            <w:pPr>
              <w:pStyle w:val="TAH"/>
            </w:pPr>
            <w:r w:rsidRPr="007275DF">
              <w:t>Conditions</w:t>
            </w:r>
          </w:p>
        </w:tc>
      </w:tr>
      <w:tr w:rsidR="007D2333" w:rsidRPr="007275DF" w14:paraId="3437D054" w14:textId="77777777" w:rsidTr="007D2333">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vAlign w:val="center"/>
          </w:tcPr>
          <w:p w14:paraId="76283E8F" w14:textId="77777777" w:rsidR="007D2333" w:rsidRPr="007275DF" w:rsidRDefault="007D2333" w:rsidP="007D2333">
            <w:pPr>
              <w:pStyle w:val="TAH"/>
            </w:pPr>
            <w:r w:rsidRPr="007275DF">
              <w:t>Normal condition</w:t>
            </w:r>
          </w:p>
        </w:tc>
        <w:tc>
          <w:tcPr>
            <w:tcW w:w="1049" w:type="dxa"/>
            <w:tcBorders>
              <w:top w:val="single" w:sz="6" w:space="0" w:color="auto"/>
              <w:left w:val="single" w:sz="6" w:space="0" w:color="auto"/>
              <w:bottom w:val="single" w:sz="4" w:space="0" w:color="auto"/>
              <w:right w:val="single" w:sz="6" w:space="0" w:color="auto"/>
            </w:tcBorders>
            <w:shd w:val="clear" w:color="auto" w:fill="auto"/>
            <w:vAlign w:val="center"/>
          </w:tcPr>
          <w:p w14:paraId="00F4F761" w14:textId="77777777" w:rsidR="007D2333" w:rsidRPr="007275DF" w:rsidRDefault="007D2333" w:rsidP="007D2333">
            <w:pPr>
              <w:pStyle w:val="TAH"/>
            </w:pPr>
            <w:r w:rsidRPr="007275DF">
              <w:t>Extreme condition</w:t>
            </w:r>
          </w:p>
        </w:tc>
        <w:tc>
          <w:tcPr>
            <w:tcW w:w="807" w:type="dxa"/>
            <w:tcBorders>
              <w:top w:val="single" w:sz="4" w:space="0" w:color="auto"/>
              <w:left w:val="single" w:sz="6" w:space="0" w:color="auto"/>
              <w:bottom w:val="single" w:sz="4" w:space="0" w:color="auto"/>
              <w:right w:val="single" w:sz="6" w:space="0" w:color="auto"/>
            </w:tcBorders>
            <w:shd w:val="clear" w:color="auto" w:fill="auto"/>
            <w:vAlign w:val="center"/>
          </w:tcPr>
          <w:p w14:paraId="50C2E86E" w14:textId="77777777" w:rsidR="007D2333" w:rsidRPr="007275DF" w:rsidRDefault="007D2333" w:rsidP="007D2333">
            <w:pPr>
              <w:pStyle w:val="TAH"/>
            </w:pPr>
            <w:r w:rsidRPr="007275DF">
              <w:t>SSB Ês/Iot</w:t>
            </w:r>
            <w:r w:rsidRPr="007275DF">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05B9389" w14:textId="77777777" w:rsidR="007D2333" w:rsidRPr="007275DF" w:rsidRDefault="007D2333" w:rsidP="007D2333">
            <w:pPr>
              <w:pStyle w:val="TAH"/>
            </w:pPr>
            <w:r w:rsidRPr="007275DF">
              <w:t>Io</w:t>
            </w:r>
            <w:r w:rsidRPr="007275DF">
              <w:rPr>
                <w:vertAlign w:val="superscript"/>
              </w:rPr>
              <w:t xml:space="preserve"> Note 1</w:t>
            </w:r>
            <w:r w:rsidRPr="007275DF">
              <w:t xml:space="preserve"> range</w:t>
            </w:r>
          </w:p>
        </w:tc>
      </w:tr>
      <w:tr w:rsidR="007D2333" w:rsidRPr="007275DF" w14:paraId="33472D11" w14:textId="77777777" w:rsidTr="007D2333">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vAlign w:val="center"/>
          </w:tcPr>
          <w:p w14:paraId="5C3FED06" w14:textId="77777777" w:rsidR="007D2333" w:rsidRPr="007275DF" w:rsidRDefault="007D2333" w:rsidP="007D2333">
            <w:pPr>
              <w:pStyle w:val="TAH"/>
            </w:pPr>
          </w:p>
        </w:tc>
        <w:tc>
          <w:tcPr>
            <w:tcW w:w="1049" w:type="dxa"/>
            <w:tcBorders>
              <w:top w:val="single" w:sz="4" w:space="0" w:color="auto"/>
              <w:left w:val="single" w:sz="6" w:space="0" w:color="auto"/>
              <w:bottom w:val="single" w:sz="6" w:space="0" w:color="auto"/>
              <w:right w:val="single" w:sz="6" w:space="0" w:color="auto"/>
            </w:tcBorders>
            <w:shd w:val="clear" w:color="auto" w:fill="auto"/>
            <w:vAlign w:val="center"/>
          </w:tcPr>
          <w:p w14:paraId="1B74D619" w14:textId="77777777" w:rsidR="007D2333" w:rsidRPr="007275DF" w:rsidRDefault="007D2333" w:rsidP="007D2333">
            <w:pPr>
              <w:pStyle w:val="TAH"/>
            </w:pPr>
          </w:p>
        </w:tc>
        <w:tc>
          <w:tcPr>
            <w:tcW w:w="807" w:type="dxa"/>
            <w:tcBorders>
              <w:top w:val="single" w:sz="4" w:space="0" w:color="auto"/>
              <w:left w:val="single" w:sz="6" w:space="0" w:color="auto"/>
              <w:bottom w:val="single" w:sz="6" w:space="0" w:color="auto"/>
              <w:right w:val="single" w:sz="6" w:space="0" w:color="auto"/>
            </w:tcBorders>
            <w:shd w:val="clear" w:color="auto" w:fill="auto"/>
          </w:tcPr>
          <w:p w14:paraId="6C464B88" w14:textId="77777777" w:rsidR="007D2333" w:rsidRPr="007275DF" w:rsidRDefault="007D2333" w:rsidP="007D2333">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5FCC8110" w14:textId="77777777" w:rsidR="007D2333" w:rsidRPr="007275DF" w:rsidRDefault="007D2333" w:rsidP="007D2333">
            <w:pPr>
              <w:pStyle w:val="TAH"/>
            </w:pPr>
            <w:r w:rsidRPr="007275DF">
              <w:t>NR operating band groups</w:t>
            </w:r>
            <w:r w:rsidRPr="007275DF">
              <w:rPr>
                <w:vertAlign w:val="superscript"/>
              </w:rPr>
              <w:t xml:space="preserve"> Note 4</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438028F1"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26AF6F22" w14:textId="77777777" w:rsidR="007D2333" w:rsidRPr="007275DF" w:rsidRDefault="007D2333" w:rsidP="007D2333">
            <w:pPr>
              <w:pStyle w:val="TAH"/>
            </w:pPr>
            <w:r w:rsidRPr="007275DF">
              <w:t>Maximum Io</w:t>
            </w:r>
          </w:p>
        </w:tc>
      </w:tr>
      <w:tr w:rsidR="007D2333" w:rsidRPr="007275DF" w14:paraId="286E9557" w14:textId="77777777" w:rsidTr="007D2333">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4C98A41D" w14:textId="77777777" w:rsidR="007D2333" w:rsidRPr="007275DF" w:rsidRDefault="007D2333" w:rsidP="007D2333">
            <w:pPr>
              <w:pStyle w:val="TAH"/>
            </w:pPr>
            <w:r w:rsidRPr="007275DF">
              <w:t>dB</w:t>
            </w:r>
          </w:p>
        </w:tc>
        <w:tc>
          <w:tcPr>
            <w:tcW w:w="1049" w:type="dxa"/>
            <w:tcBorders>
              <w:top w:val="single" w:sz="6" w:space="0" w:color="auto"/>
              <w:left w:val="single" w:sz="6" w:space="0" w:color="auto"/>
              <w:right w:val="single" w:sz="6" w:space="0" w:color="auto"/>
            </w:tcBorders>
            <w:shd w:val="clear" w:color="auto" w:fill="auto"/>
            <w:vAlign w:val="center"/>
          </w:tcPr>
          <w:p w14:paraId="16DCDC8E" w14:textId="77777777" w:rsidR="007D2333" w:rsidRPr="007275DF" w:rsidRDefault="007D2333" w:rsidP="007D2333">
            <w:pPr>
              <w:pStyle w:val="TAH"/>
            </w:pPr>
            <w:r w:rsidRPr="007275DF">
              <w:t>dB</w:t>
            </w:r>
          </w:p>
        </w:tc>
        <w:tc>
          <w:tcPr>
            <w:tcW w:w="807" w:type="dxa"/>
            <w:tcBorders>
              <w:top w:val="single" w:sz="6" w:space="0" w:color="auto"/>
              <w:left w:val="single" w:sz="6" w:space="0" w:color="auto"/>
              <w:right w:val="single" w:sz="6" w:space="0" w:color="auto"/>
            </w:tcBorders>
            <w:shd w:val="clear" w:color="auto" w:fill="auto"/>
            <w:vAlign w:val="center"/>
          </w:tcPr>
          <w:p w14:paraId="3205FC44" w14:textId="77777777" w:rsidR="007D2333" w:rsidRPr="007275DF" w:rsidRDefault="007D2333" w:rsidP="007D2333">
            <w:pPr>
              <w:pStyle w:val="TAH"/>
            </w:pPr>
            <w:r w:rsidRPr="007275DF">
              <w:t>dB</w:t>
            </w:r>
          </w:p>
        </w:tc>
        <w:tc>
          <w:tcPr>
            <w:tcW w:w="2349" w:type="dxa"/>
            <w:tcBorders>
              <w:top w:val="single" w:sz="6" w:space="0" w:color="auto"/>
              <w:left w:val="single" w:sz="6" w:space="0" w:color="auto"/>
              <w:right w:val="single" w:sz="4" w:space="0" w:color="auto"/>
            </w:tcBorders>
            <w:shd w:val="clear" w:color="auto" w:fill="auto"/>
            <w:vAlign w:val="center"/>
          </w:tcPr>
          <w:p w14:paraId="2AAB9DE3" w14:textId="77777777" w:rsidR="007D2333" w:rsidRPr="007275DF" w:rsidRDefault="007D2333" w:rsidP="007D2333">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14D4D77F"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445BE84C"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14EB7830" w14:textId="77777777" w:rsidR="007D2333" w:rsidRPr="007275DF" w:rsidRDefault="007D2333" w:rsidP="007D2333">
            <w:pPr>
              <w:pStyle w:val="TAH"/>
            </w:pPr>
            <w:r w:rsidRPr="007275DF">
              <w:t>dBm/BW</w:t>
            </w:r>
            <w:r w:rsidRPr="007275DF">
              <w:rPr>
                <w:vertAlign w:val="subscript"/>
              </w:rPr>
              <w:t>Channel</w:t>
            </w:r>
          </w:p>
        </w:tc>
      </w:tr>
      <w:tr w:rsidR="007D2333" w:rsidRPr="007275DF" w14:paraId="45F9EFAE" w14:textId="77777777" w:rsidTr="007D2333">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35640485" w14:textId="77777777" w:rsidR="007D2333" w:rsidRPr="007275DF" w:rsidRDefault="007D2333" w:rsidP="007D2333">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590E3AF5" w14:textId="77777777" w:rsidR="007D2333" w:rsidRPr="007275DF" w:rsidRDefault="007D2333" w:rsidP="007D2333">
            <w:pPr>
              <w:pStyle w:val="TAH"/>
            </w:pPr>
          </w:p>
        </w:tc>
        <w:tc>
          <w:tcPr>
            <w:tcW w:w="807" w:type="dxa"/>
            <w:tcBorders>
              <w:left w:val="single" w:sz="6" w:space="0" w:color="auto"/>
              <w:bottom w:val="single" w:sz="6" w:space="0" w:color="auto"/>
              <w:right w:val="single" w:sz="6" w:space="0" w:color="auto"/>
            </w:tcBorders>
            <w:shd w:val="clear" w:color="auto" w:fill="auto"/>
          </w:tcPr>
          <w:p w14:paraId="11F89E47" w14:textId="77777777" w:rsidR="007D2333" w:rsidRPr="007275DF" w:rsidRDefault="007D2333" w:rsidP="007D2333">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09DCB208" w14:textId="77777777" w:rsidR="007D2333" w:rsidRPr="007275DF" w:rsidRDefault="007D2333" w:rsidP="007D2333">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2A6A522"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E1A0D72"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4882D79C"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5E9645A0" w14:textId="77777777" w:rsidR="007D2333" w:rsidRPr="007275DF" w:rsidRDefault="007D2333" w:rsidP="007D2333">
            <w:pPr>
              <w:pStyle w:val="TAH"/>
            </w:pPr>
          </w:p>
        </w:tc>
      </w:tr>
      <w:tr w:rsidR="007D2333" w:rsidRPr="007275DF" w14:paraId="4FBA0144" w14:textId="77777777" w:rsidTr="007D2333">
        <w:trPr>
          <w:jc w:val="center"/>
        </w:trPr>
        <w:tc>
          <w:tcPr>
            <w:tcW w:w="1033" w:type="dxa"/>
            <w:vMerge w:val="restart"/>
            <w:tcBorders>
              <w:top w:val="single" w:sz="6" w:space="0" w:color="auto"/>
              <w:left w:val="single" w:sz="4" w:space="0" w:color="auto"/>
              <w:right w:val="single" w:sz="6" w:space="0" w:color="auto"/>
            </w:tcBorders>
            <w:shd w:val="clear" w:color="auto" w:fill="auto"/>
            <w:vAlign w:val="center"/>
          </w:tcPr>
          <w:p w14:paraId="206CB6E9" w14:textId="77777777" w:rsidR="007D2333" w:rsidRPr="00473F76" w:rsidRDefault="007D2333" w:rsidP="007D2333">
            <w:pPr>
              <w:pStyle w:val="TAC"/>
            </w:pPr>
            <w:r w:rsidRPr="007275DF">
              <w:sym w:font="Symbol" w:char="F0B1"/>
            </w:r>
            <w:r w:rsidRPr="007275DF">
              <w:t>2</w:t>
            </w:r>
          </w:p>
        </w:tc>
        <w:tc>
          <w:tcPr>
            <w:tcW w:w="1049" w:type="dxa"/>
            <w:vMerge w:val="restart"/>
            <w:tcBorders>
              <w:top w:val="single" w:sz="6" w:space="0" w:color="auto"/>
              <w:left w:val="single" w:sz="6" w:space="0" w:color="auto"/>
              <w:right w:val="single" w:sz="6" w:space="0" w:color="auto"/>
            </w:tcBorders>
            <w:shd w:val="clear" w:color="auto" w:fill="auto"/>
            <w:vAlign w:val="center"/>
          </w:tcPr>
          <w:p w14:paraId="05B1D42D" w14:textId="77777777" w:rsidR="007D2333" w:rsidRPr="00473F76" w:rsidRDefault="007D2333" w:rsidP="007D2333">
            <w:pPr>
              <w:pStyle w:val="TAC"/>
            </w:pPr>
            <w:r w:rsidRPr="007275DF">
              <w:sym w:font="Symbol" w:char="F0B1"/>
            </w:r>
            <w:r w:rsidRPr="007275DF">
              <w:t>3</w:t>
            </w:r>
          </w:p>
        </w:tc>
        <w:tc>
          <w:tcPr>
            <w:tcW w:w="807" w:type="dxa"/>
            <w:vMerge w:val="restart"/>
            <w:tcBorders>
              <w:top w:val="single" w:sz="6" w:space="0" w:color="auto"/>
              <w:left w:val="single" w:sz="6" w:space="0" w:color="auto"/>
              <w:right w:val="single" w:sz="6" w:space="0" w:color="auto"/>
            </w:tcBorders>
            <w:shd w:val="clear" w:color="auto" w:fill="auto"/>
            <w:vAlign w:val="center"/>
          </w:tcPr>
          <w:p w14:paraId="1225796C" w14:textId="77777777" w:rsidR="007D2333" w:rsidRPr="00473F76" w:rsidRDefault="007D2333" w:rsidP="007D2333">
            <w:pPr>
              <w:pStyle w:val="TAC"/>
            </w:pPr>
            <w:r w:rsidRPr="007275DF">
              <w:sym w:font="Symbol" w:char="F0B3"/>
            </w:r>
            <w:r w:rsidRPr="007275DF">
              <w:t>-3</w:t>
            </w: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42AFEB1E" w14:textId="77777777" w:rsidR="007D2333" w:rsidRPr="007275DF" w:rsidRDefault="007D2333" w:rsidP="007D2333">
            <w:pPr>
              <w:pStyle w:val="TAC"/>
              <w:rPr>
                <w:rFonts w:cs="Arial"/>
                <w:szCs w:val="18"/>
                <w:lang w:val="sv-SE"/>
              </w:rPr>
            </w:pPr>
            <w:r w:rsidRPr="007275DF">
              <w:rPr>
                <w:rFonts w:cs="Arial"/>
                <w:lang w:val="sv-SE"/>
              </w:rPr>
              <w:t>NR_CCA_FR1_I</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1DBB14A" w14:textId="77777777" w:rsidR="007D2333" w:rsidRPr="007275DF" w:rsidRDefault="007D2333" w:rsidP="007D2333">
            <w:pPr>
              <w:pStyle w:val="TAC"/>
            </w:pPr>
            <w:r w:rsidRPr="007275DF">
              <w:t>-117</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42D6A75" w14:textId="77777777" w:rsidR="007D2333" w:rsidRPr="007275DF" w:rsidRDefault="007D2333" w:rsidP="007D2333">
            <w:pPr>
              <w:pStyle w:val="TAC"/>
            </w:pPr>
            <w:r w:rsidRPr="007275DF">
              <w:t>-114</w:t>
            </w:r>
          </w:p>
        </w:tc>
        <w:tc>
          <w:tcPr>
            <w:tcW w:w="1440" w:type="dxa"/>
            <w:vMerge w:val="restart"/>
            <w:tcBorders>
              <w:top w:val="single" w:sz="6" w:space="0" w:color="auto"/>
              <w:left w:val="single" w:sz="6" w:space="0" w:color="auto"/>
              <w:right w:val="single" w:sz="6" w:space="0" w:color="auto"/>
            </w:tcBorders>
            <w:shd w:val="clear" w:color="auto" w:fill="auto"/>
            <w:vAlign w:val="center"/>
          </w:tcPr>
          <w:p w14:paraId="2D59C6AC"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vAlign w:val="center"/>
          </w:tcPr>
          <w:p w14:paraId="682788DA" w14:textId="77777777" w:rsidR="007D2333" w:rsidRPr="007275DF" w:rsidRDefault="007D2333" w:rsidP="007D2333">
            <w:pPr>
              <w:pStyle w:val="TAC"/>
            </w:pPr>
            <w:r w:rsidRPr="007275DF">
              <w:t>-50</w:t>
            </w:r>
          </w:p>
        </w:tc>
      </w:tr>
      <w:tr w:rsidR="007D2333" w:rsidRPr="007275DF" w14:paraId="26959CF7" w14:textId="77777777" w:rsidTr="007D2333">
        <w:trPr>
          <w:jc w:val="center"/>
        </w:trPr>
        <w:tc>
          <w:tcPr>
            <w:tcW w:w="1033" w:type="dxa"/>
            <w:vMerge/>
            <w:tcBorders>
              <w:left w:val="single" w:sz="4" w:space="0" w:color="auto"/>
              <w:right w:val="single" w:sz="6" w:space="0" w:color="auto"/>
            </w:tcBorders>
            <w:shd w:val="clear" w:color="auto" w:fill="auto"/>
            <w:vAlign w:val="center"/>
          </w:tcPr>
          <w:p w14:paraId="2DCF6106" w14:textId="77777777" w:rsidR="007D2333" w:rsidRPr="007275DF" w:rsidRDefault="007D2333" w:rsidP="007D2333">
            <w:pPr>
              <w:pStyle w:val="TAC"/>
            </w:pPr>
          </w:p>
        </w:tc>
        <w:tc>
          <w:tcPr>
            <w:tcW w:w="1049" w:type="dxa"/>
            <w:vMerge/>
            <w:tcBorders>
              <w:left w:val="single" w:sz="6" w:space="0" w:color="auto"/>
              <w:right w:val="single" w:sz="6" w:space="0" w:color="auto"/>
            </w:tcBorders>
            <w:shd w:val="clear" w:color="auto" w:fill="auto"/>
            <w:vAlign w:val="center"/>
          </w:tcPr>
          <w:p w14:paraId="07C9FC6C" w14:textId="77777777" w:rsidR="007D2333" w:rsidRPr="007275DF" w:rsidRDefault="007D2333" w:rsidP="007D2333">
            <w:pPr>
              <w:pStyle w:val="TAC"/>
            </w:pPr>
          </w:p>
        </w:tc>
        <w:tc>
          <w:tcPr>
            <w:tcW w:w="807" w:type="dxa"/>
            <w:vMerge/>
            <w:tcBorders>
              <w:left w:val="single" w:sz="6" w:space="0" w:color="auto"/>
              <w:right w:val="single" w:sz="6" w:space="0" w:color="auto"/>
            </w:tcBorders>
            <w:shd w:val="clear" w:color="auto" w:fill="auto"/>
            <w:vAlign w:val="center"/>
          </w:tcPr>
          <w:p w14:paraId="6AE57B85" w14:textId="77777777" w:rsidR="007D2333" w:rsidRPr="007275DF" w:rsidRDefault="007D2333" w:rsidP="007D2333">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00C097AE" w14:textId="77777777" w:rsidR="007D2333" w:rsidRPr="007275DF" w:rsidRDefault="007D2333" w:rsidP="007D2333">
            <w:pPr>
              <w:pStyle w:val="TAC"/>
              <w:rPr>
                <w:rFonts w:cs="Arial"/>
              </w:rPr>
            </w:pPr>
            <w:r w:rsidRPr="007275DF">
              <w:rPr>
                <w:rFonts w:cs="Arial"/>
              </w:rPr>
              <w:t>NR_CCA_FR1_J</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7879326" w14:textId="77777777" w:rsidR="007D2333" w:rsidRPr="007275DF" w:rsidRDefault="007D2333" w:rsidP="007D2333">
            <w:pPr>
              <w:pStyle w:val="TAC"/>
            </w:pPr>
            <w:r w:rsidRPr="007275DF">
              <w:t>-116.5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72507B4" w14:textId="77777777" w:rsidR="007D2333" w:rsidRPr="007275DF" w:rsidRDefault="007D2333" w:rsidP="007D2333">
            <w:pPr>
              <w:pStyle w:val="TAC"/>
            </w:pPr>
            <w:r w:rsidRPr="007275DF">
              <w:t>-113.5</w:t>
            </w:r>
          </w:p>
        </w:tc>
        <w:tc>
          <w:tcPr>
            <w:tcW w:w="1440" w:type="dxa"/>
            <w:vMerge/>
            <w:tcBorders>
              <w:left w:val="single" w:sz="6" w:space="0" w:color="auto"/>
              <w:bottom w:val="single" w:sz="6" w:space="0" w:color="auto"/>
              <w:right w:val="single" w:sz="6" w:space="0" w:color="auto"/>
            </w:tcBorders>
            <w:shd w:val="clear" w:color="auto" w:fill="auto"/>
            <w:vAlign w:val="center"/>
          </w:tcPr>
          <w:p w14:paraId="52A53CD0" w14:textId="77777777" w:rsidR="007D2333" w:rsidRPr="007275DF" w:rsidRDefault="007D2333" w:rsidP="007D2333">
            <w:pPr>
              <w:pStyle w:val="TAC"/>
            </w:pPr>
          </w:p>
        </w:tc>
        <w:tc>
          <w:tcPr>
            <w:tcW w:w="1440" w:type="dxa"/>
            <w:vMerge/>
            <w:tcBorders>
              <w:left w:val="single" w:sz="6" w:space="0" w:color="auto"/>
              <w:bottom w:val="single" w:sz="6" w:space="0" w:color="auto"/>
              <w:right w:val="single" w:sz="4" w:space="0" w:color="auto"/>
            </w:tcBorders>
            <w:shd w:val="clear" w:color="auto" w:fill="auto"/>
            <w:vAlign w:val="center"/>
          </w:tcPr>
          <w:p w14:paraId="281AC8C9" w14:textId="77777777" w:rsidR="007D2333" w:rsidRPr="007275DF" w:rsidRDefault="007D2333" w:rsidP="007D2333">
            <w:pPr>
              <w:pStyle w:val="TAC"/>
            </w:pPr>
          </w:p>
        </w:tc>
      </w:tr>
      <w:tr w:rsidR="007D2333" w:rsidRPr="007275DF" w14:paraId="11613DA9" w14:textId="77777777" w:rsidTr="007D2333">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vAlign w:val="center"/>
          </w:tcPr>
          <w:p w14:paraId="54B37051" w14:textId="77777777" w:rsidR="007D2333" w:rsidRPr="00473F76" w:rsidRDefault="007D2333" w:rsidP="007D2333">
            <w:pPr>
              <w:pStyle w:val="TAC"/>
            </w:pPr>
            <w:r w:rsidRPr="007275DF">
              <w:sym w:font="Symbol" w:char="F0B1"/>
            </w:r>
            <w:r w:rsidRPr="007275DF">
              <w:t>3</w:t>
            </w:r>
          </w:p>
        </w:tc>
        <w:tc>
          <w:tcPr>
            <w:tcW w:w="1049" w:type="dxa"/>
            <w:tcBorders>
              <w:top w:val="single" w:sz="6" w:space="0" w:color="auto"/>
              <w:left w:val="single" w:sz="6" w:space="0" w:color="auto"/>
              <w:bottom w:val="single" w:sz="6" w:space="0" w:color="auto"/>
              <w:right w:val="single" w:sz="6" w:space="0" w:color="auto"/>
            </w:tcBorders>
            <w:shd w:val="clear" w:color="auto" w:fill="auto"/>
            <w:vAlign w:val="center"/>
          </w:tcPr>
          <w:p w14:paraId="02E8C34C" w14:textId="77777777" w:rsidR="007D2333" w:rsidRPr="00473F76" w:rsidRDefault="007D2333" w:rsidP="007D2333">
            <w:pPr>
              <w:pStyle w:val="TAC"/>
            </w:pPr>
            <w:r w:rsidRPr="007275DF">
              <w:sym w:font="Symbol" w:char="F0B1"/>
            </w:r>
            <w:r w:rsidRPr="007275DF">
              <w:t>3</w:t>
            </w:r>
          </w:p>
        </w:tc>
        <w:tc>
          <w:tcPr>
            <w:tcW w:w="807" w:type="dxa"/>
            <w:tcBorders>
              <w:top w:val="single" w:sz="6" w:space="0" w:color="auto"/>
              <w:left w:val="single" w:sz="6" w:space="0" w:color="auto"/>
              <w:bottom w:val="single" w:sz="6" w:space="0" w:color="auto"/>
              <w:right w:val="single" w:sz="6" w:space="0" w:color="auto"/>
            </w:tcBorders>
            <w:shd w:val="clear" w:color="auto" w:fill="auto"/>
            <w:vAlign w:val="center"/>
          </w:tcPr>
          <w:p w14:paraId="3698F55B" w14:textId="77777777" w:rsidR="007D2333" w:rsidRPr="00473F76" w:rsidRDefault="007D2333" w:rsidP="007D2333">
            <w:pPr>
              <w:pStyle w:val="TAC"/>
            </w:pPr>
            <w:r w:rsidRPr="007275DF">
              <w:sym w:font="Symbol" w:char="F0B3"/>
            </w:r>
            <w:r w:rsidRPr="007275DF">
              <w:t>-6</w:t>
            </w: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25096720" w14:textId="77777777" w:rsidR="007D2333" w:rsidRPr="007275DF" w:rsidRDefault="007D2333" w:rsidP="007D2333">
            <w:pPr>
              <w:pStyle w:val="TAC"/>
            </w:pPr>
            <w:r w:rsidRPr="007275DF">
              <w:t>Note 3</w:t>
            </w:r>
          </w:p>
        </w:tc>
        <w:tc>
          <w:tcPr>
            <w:tcW w:w="1027" w:type="dxa"/>
            <w:tcBorders>
              <w:top w:val="single" w:sz="6" w:space="0" w:color="auto"/>
              <w:left w:val="single" w:sz="4" w:space="0" w:color="auto"/>
              <w:bottom w:val="single" w:sz="4" w:space="0" w:color="auto"/>
              <w:right w:val="single" w:sz="6" w:space="0" w:color="auto"/>
            </w:tcBorders>
            <w:shd w:val="clear" w:color="auto" w:fill="auto"/>
            <w:vAlign w:val="center"/>
          </w:tcPr>
          <w:p w14:paraId="74C5F08B" w14:textId="77777777" w:rsidR="007D2333" w:rsidRPr="007275DF" w:rsidRDefault="007D2333" w:rsidP="007D2333">
            <w:pPr>
              <w:pStyle w:val="TAC"/>
            </w:pPr>
            <w:r w:rsidRPr="007275DF">
              <w:t>Note 3</w:t>
            </w:r>
          </w:p>
        </w:tc>
        <w:tc>
          <w:tcPr>
            <w:tcW w:w="1027" w:type="dxa"/>
            <w:tcBorders>
              <w:top w:val="single" w:sz="6" w:space="0" w:color="auto"/>
              <w:left w:val="single" w:sz="4" w:space="0" w:color="auto"/>
              <w:bottom w:val="single" w:sz="4" w:space="0" w:color="auto"/>
              <w:right w:val="single" w:sz="6" w:space="0" w:color="auto"/>
            </w:tcBorders>
            <w:shd w:val="clear" w:color="auto" w:fill="auto"/>
            <w:vAlign w:val="center"/>
          </w:tcPr>
          <w:p w14:paraId="68A9EDFE" w14:textId="77777777" w:rsidR="007D2333" w:rsidRPr="007275DF" w:rsidRDefault="007D2333" w:rsidP="007D2333">
            <w:pPr>
              <w:pStyle w:val="TAC"/>
            </w:pPr>
            <w:r w:rsidRPr="007275DF">
              <w:t>Note 3</w:t>
            </w:r>
          </w:p>
        </w:tc>
        <w:tc>
          <w:tcPr>
            <w:tcW w:w="1440" w:type="dxa"/>
            <w:tcBorders>
              <w:top w:val="single" w:sz="6" w:space="0" w:color="auto"/>
              <w:left w:val="single" w:sz="6" w:space="0" w:color="auto"/>
              <w:bottom w:val="single" w:sz="4" w:space="0" w:color="auto"/>
              <w:right w:val="single" w:sz="6" w:space="0" w:color="auto"/>
            </w:tcBorders>
            <w:shd w:val="clear" w:color="auto" w:fill="auto"/>
            <w:vAlign w:val="center"/>
          </w:tcPr>
          <w:p w14:paraId="5A1C1FE2" w14:textId="77777777" w:rsidR="007D2333" w:rsidRPr="007275DF" w:rsidRDefault="007D2333" w:rsidP="007D2333">
            <w:pPr>
              <w:pStyle w:val="TAC"/>
            </w:pPr>
            <w:r w:rsidRPr="007275DF">
              <w:t>N/A</w:t>
            </w:r>
          </w:p>
        </w:tc>
        <w:tc>
          <w:tcPr>
            <w:tcW w:w="1440" w:type="dxa"/>
            <w:tcBorders>
              <w:top w:val="single" w:sz="6" w:space="0" w:color="auto"/>
              <w:left w:val="single" w:sz="6" w:space="0" w:color="auto"/>
              <w:bottom w:val="single" w:sz="4" w:space="0" w:color="auto"/>
              <w:right w:val="single" w:sz="4" w:space="0" w:color="auto"/>
            </w:tcBorders>
            <w:shd w:val="clear" w:color="auto" w:fill="auto"/>
            <w:vAlign w:val="center"/>
          </w:tcPr>
          <w:p w14:paraId="04000F8D" w14:textId="77777777" w:rsidR="007D2333" w:rsidRPr="007275DF" w:rsidRDefault="007D2333" w:rsidP="007D2333">
            <w:pPr>
              <w:pStyle w:val="TAC"/>
            </w:pPr>
            <w:r w:rsidRPr="007275DF">
              <w:t>Note 3</w:t>
            </w:r>
          </w:p>
        </w:tc>
      </w:tr>
      <w:tr w:rsidR="007D2333" w:rsidRPr="007275DF" w14:paraId="2E35C455"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A874107" w14:textId="77777777" w:rsidR="007D2333" w:rsidRPr="007275DF" w:rsidRDefault="007D2333" w:rsidP="007D2333">
            <w:pPr>
              <w:pStyle w:val="TAN"/>
            </w:pPr>
            <w:r w:rsidRPr="007275DF">
              <w:t>NOTE 1:</w:t>
            </w:r>
            <w:r w:rsidRPr="007275DF">
              <w:tab/>
              <w:t>Io is assumed to have constant EPRE across the bandwidth.</w:t>
            </w:r>
          </w:p>
          <w:p w14:paraId="11D69212" w14:textId="77777777" w:rsidR="007D2333" w:rsidRPr="007275DF" w:rsidRDefault="007D2333" w:rsidP="007D2333">
            <w:pPr>
              <w:pStyle w:val="TAN"/>
            </w:pPr>
            <w:r w:rsidRPr="007275DF">
              <w:t>NOTE 2:</w:t>
            </w:r>
            <w:r w:rsidRPr="007275DF">
              <w:tab/>
              <w:t>The parameter SSB Ês/Iot is the minimum SSB Ês/Iot of the pair of cells to which the requirement applies.</w:t>
            </w:r>
          </w:p>
          <w:p w14:paraId="6FAE7EEC" w14:textId="77777777" w:rsidR="007D2333" w:rsidRPr="007275DF" w:rsidRDefault="007D2333" w:rsidP="007D2333">
            <w:pPr>
              <w:pStyle w:val="TAN"/>
            </w:pPr>
            <w:r w:rsidRPr="007275DF">
              <w:t>NOTE 3:</w:t>
            </w:r>
            <w:r w:rsidRPr="007275DF">
              <w:tab/>
              <w:t>The same bands and the same Io conditions for each band apply for this requirement as for the corresponding highest accuracy requirement.</w:t>
            </w:r>
          </w:p>
          <w:p w14:paraId="14482164" w14:textId="77777777" w:rsidR="007D2333" w:rsidRPr="007275DF" w:rsidRDefault="007D2333" w:rsidP="007D2333">
            <w:pPr>
              <w:pStyle w:val="TAN"/>
            </w:pPr>
            <w:r w:rsidRPr="007275DF">
              <w:t>NOTE 4:</w:t>
            </w:r>
            <w:r w:rsidRPr="007275DF">
              <w:tab/>
              <w:t>NR operating band groups are as defined in clause 3.5.2.</w:t>
            </w:r>
          </w:p>
        </w:tc>
      </w:tr>
    </w:tbl>
    <w:p w14:paraId="5FB9C3E6" w14:textId="77777777" w:rsidR="007D2333" w:rsidRPr="007275DF" w:rsidRDefault="007D2333" w:rsidP="007D2333">
      <w:pPr>
        <w:rPr>
          <w:lang w:eastAsia="zh-CN"/>
        </w:rPr>
      </w:pPr>
    </w:p>
    <w:p w14:paraId="749D3248" w14:textId="77777777" w:rsidR="007D2333" w:rsidRPr="007275DF" w:rsidRDefault="007D2333" w:rsidP="007D2333">
      <w:pPr>
        <w:pStyle w:val="Heading3"/>
        <w:rPr>
          <w:lang w:val="en-US" w:eastAsia="ko-KR"/>
        </w:rPr>
      </w:pPr>
      <w:r w:rsidRPr="007275DF">
        <w:rPr>
          <w:lang w:val="en-US" w:eastAsia="ko-KR"/>
        </w:rPr>
        <w:t>10.1.37</w:t>
      </w:r>
      <w:r w:rsidRPr="007275DF">
        <w:rPr>
          <w:lang w:val="en-US" w:eastAsia="ko-KR"/>
        </w:rPr>
        <w:tab/>
        <w:t xml:space="preserve">Inter-frequency RSRP accuracy requirements </w:t>
      </w:r>
      <w:r w:rsidRPr="007275DF">
        <w:rPr>
          <w:lang w:val="en-US" w:eastAsia="zh-CN"/>
        </w:rPr>
        <w:t>under CCA</w:t>
      </w:r>
    </w:p>
    <w:p w14:paraId="4D9EEB4B" w14:textId="77777777" w:rsidR="007D2333" w:rsidRPr="007275DF" w:rsidRDefault="007D2333" w:rsidP="007D2333">
      <w:pPr>
        <w:pStyle w:val="Heading4"/>
        <w:rPr>
          <w:lang w:val="en-US" w:eastAsia="zh-CN"/>
        </w:rPr>
      </w:pPr>
      <w:r w:rsidRPr="007275DF">
        <w:rPr>
          <w:lang w:val="en-US" w:eastAsia="zh-CN"/>
        </w:rPr>
        <w:t>10.1.37.1</w:t>
      </w:r>
      <w:r w:rsidRPr="007275DF">
        <w:rPr>
          <w:lang w:val="en-US" w:eastAsia="zh-CN"/>
        </w:rPr>
        <w:tab/>
      </w:r>
      <w:r w:rsidRPr="007275DF">
        <w:rPr>
          <w:lang w:val="en-US" w:eastAsia="ko-KR"/>
        </w:rPr>
        <w:t>Inter-frequency SS-RSRP accuracy requirements in FR1</w:t>
      </w:r>
    </w:p>
    <w:p w14:paraId="64B56EE4" w14:textId="77777777" w:rsidR="007D2333" w:rsidRPr="007275DF" w:rsidRDefault="007D2333" w:rsidP="007D2333">
      <w:pPr>
        <w:pStyle w:val="Heading5"/>
        <w:rPr>
          <w:lang w:val="en-US" w:eastAsia="zh-CN"/>
        </w:rPr>
      </w:pPr>
      <w:r w:rsidRPr="007275DF">
        <w:rPr>
          <w:lang w:val="en-US" w:eastAsia="zh-CN"/>
        </w:rPr>
        <w:t>10.1.37.1.1</w:t>
      </w:r>
      <w:r w:rsidRPr="007275DF">
        <w:rPr>
          <w:lang w:val="en-US" w:eastAsia="zh-CN"/>
        </w:rPr>
        <w:tab/>
      </w:r>
      <w:r w:rsidRPr="007275DF">
        <w:rPr>
          <w:lang w:eastAsia="zh-CN"/>
        </w:rPr>
        <w:t>Absolute</w:t>
      </w:r>
      <w:r w:rsidRPr="007275DF">
        <w:t xml:space="preserve"> Accuracy of </w:t>
      </w:r>
      <w:r w:rsidRPr="007275DF">
        <w:rPr>
          <w:lang w:eastAsia="zh-CN"/>
        </w:rPr>
        <w:t>SS-RSRP</w:t>
      </w:r>
    </w:p>
    <w:p w14:paraId="1F6C0815" w14:textId="77777777" w:rsidR="007D2333" w:rsidRPr="007275DF" w:rsidRDefault="007D2333" w:rsidP="007D2333">
      <w:pPr>
        <w:rPr>
          <w:rFonts w:cs="v4.2.0"/>
          <w:i/>
        </w:rPr>
      </w:pPr>
      <w:r w:rsidRPr="007275DF">
        <w:rPr>
          <w:rFonts w:cs="v4.2.0"/>
        </w:rPr>
        <w:t>The requirements for absolute accuracy of</w:t>
      </w:r>
      <w:r w:rsidRPr="007275DF">
        <w:rPr>
          <w:rFonts w:cs="v4.2.0"/>
          <w:lang w:eastAsia="zh-CN"/>
        </w:rPr>
        <w:t xml:space="preserve"> SS-RSRP</w:t>
      </w:r>
      <w:r w:rsidRPr="007275DF">
        <w:rPr>
          <w:rFonts w:cs="v4.2.0"/>
        </w:rPr>
        <w:t xml:space="preserve"> in this clause apply to a cell on a frequency under CCA that has different carrier frequency from the serving cell.</w:t>
      </w:r>
    </w:p>
    <w:p w14:paraId="0E7ECCA6"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10.1.37.1.1</w:t>
      </w:r>
      <w:r w:rsidRPr="007275DF">
        <w:rPr>
          <w:rFonts w:cs="v4.2.0"/>
        </w:rPr>
        <w:t>-1 are valid under the following conditions:</w:t>
      </w:r>
    </w:p>
    <w:p w14:paraId="317DA691" w14:textId="77777777" w:rsidR="007D2333" w:rsidRPr="007275DF" w:rsidRDefault="007D2333" w:rsidP="007D2333">
      <w:pPr>
        <w:pStyle w:val="B10"/>
        <w:rPr>
          <w:lang w:eastAsia="zh-CN"/>
        </w:rPr>
      </w:pPr>
      <w:r w:rsidRPr="007275DF">
        <w:t>-</w:t>
      </w:r>
      <w:r w:rsidRPr="007275DF">
        <w:tab/>
        <w:t>Conditions defined in clause 7.3F of TS 38.101-1 [18] for reference sensitivity are fulfilled.</w:t>
      </w:r>
    </w:p>
    <w:p w14:paraId="3C6BCD3C" w14:textId="77777777" w:rsidR="007D2333" w:rsidRPr="007275DF" w:rsidRDefault="007D2333" w:rsidP="007D2333">
      <w:pPr>
        <w:pStyle w:val="B10"/>
        <w:rPr>
          <w:lang w:eastAsia="zh-CN"/>
        </w:rPr>
      </w:pPr>
      <w:r w:rsidRPr="007275DF">
        <w:t>-</w:t>
      </w:r>
      <w:r w:rsidRPr="007275DF">
        <w:tab/>
        <w:t xml:space="preserve">Conditions for inter-frequency measurements are fulfilled according to Annex B.2.9 for a corresponding Band </w:t>
      </w:r>
      <w:r w:rsidRPr="007275DF">
        <w:rPr>
          <w:rFonts w:cs="v4.2.0"/>
          <w:lang w:eastAsia="ko-KR"/>
        </w:rPr>
        <w:t>for each relevant SSB</w:t>
      </w:r>
      <w:r w:rsidRPr="007275DF">
        <w:t>.</w:t>
      </w:r>
    </w:p>
    <w:p w14:paraId="0EAD585B" w14:textId="77777777" w:rsidR="007D2333" w:rsidRPr="007275DF" w:rsidRDefault="007D2333" w:rsidP="007D2333">
      <w:pPr>
        <w:pStyle w:val="TH"/>
      </w:pPr>
      <w:r w:rsidRPr="007275DF">
        <w:t xml:space="preserve">Table </w:t>
      </w:r>
      <w:r w:rsidRPr="007275DF">
        <w:rPr>
          <w:lang w:eastAsia="zh-CN"/>
        </w:rPr>
        <w:t>10.1.37.1.1-1</w:t>
      </w:r>
      <w:r w:rsidRPr="007275DF">
        <w:t xml:space="preserve">: </w:t>
      </w:r>
      <w:r w:rsidRPr="007275DF">
        <w:rPr>
          <w:lang w:eastAsia="zh-CN"/>
        </w:rPr>
        <w:t>SS-</w:t>
      </w:r>
      <w:r w:rsidRPr="007275DF">
        <w:t>RSRP inter-frequency absolute accuracy under CCA</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7D2333" w:rsidRPr="007275DF" w14:paraId="749C6BAA" w14:textId="77777777" w:rsidTr="007D2333">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2B236191" w14:textId="77777777" w:rsidR="007D2333" w:rsidRPr="007275DF" w:rsidRDefault="007D2333" w:rsidP="007D2333">
            <w:pPr>
              <w:pStyle w:val="TAH"/>
            </w:pPr>
            <w:r w:rsidRPr="007275DF">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0762CE99" w14:textId="77777777" w:rsidR="007D2333" w:rsidRPr="007275DF" w:rsidRDefault="007D2333" w:rsidP="007D2333">
            <w:pPr>
              <w:pStyle w:val="TAH"/>
            </w:pPr>
            <w:r w:rsidRPr="007275DF">
              <w:t>Conditions</w:t>
            </w:r>
          </w:p>
        </w:tc>
      </w:tr>
      <w:tr w:rsidR="007D2333" w:rsidRPr="007275DF" w14:paraId="7EB81884" w14:textId="77777777" w:rsidTr="007D2333">
        <w:trPr>
          <w:jc w:val="center"/>
        </w:trPr>
        <w:tc>
          <w:tcPr>
            <w:tcW w:w="1033" w:type="dxa"/>
            <w:tcBorders>
              <w:top w:val="single" w:sz="6" w:space="0" w:color="auto"/>
              <w:left w:val="single" w:sz="4" w:space="0" w:color="auto"/>
              <w:right w:val="single" w:sz="6" w:space="0" w:color="auto"/>
            </w:tcBorders>
            <w:shd w:val="clear" w:color="auto" w:fill="auto"/>
            <w:vAlign w:val="center"/>
          </w:tcPr>
          <w:p w14:paraId="2FDB5FC8" w14:textId="77777777" w:rsidR="007D2333" w:rsidRPr="007275DF" w:rsidRDefault="007D2333" w:rsidP="007D2333">
            <w:pPr>
              <w:pStyle w:val="TAH"/>
            </w:pPr>
            <w:r w:rsidRPr="007275DF">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0DF63B6C" w14:textId="77777777" w:rsidR="007D2333" w:rsidRPr="007275DF" w:rsidRDefault="007D2333" w:rsidP="007D2333">
            <w:pPr>
              <w:pStyle w:val="TAH"/>
            </w:pPr>
            <w:r w:rsidRPr="007275DF">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3A5267D1" w14:textId="77777777" w:rsidR="007D2333" w:rsidRPr="007275DF" w:rsidRDefault="007D2333" w:rsidP="007D2333">
            <w:pPr>
              <w:pStyle w:val="TAH"/>
            </w:pPr>
            <w:r w:rsidRPr="007275DF">
              <w:t>SSB Ês/Iot</w:t>
            </w:r>
            <w:r w:rsidRPr="007275DF">
              <w:rPr>
                <w:vertAlign w:val="superscript"/>
              </w:rPr>
              <w:t xml:space="preserve"> </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06657EA4" w14:textId="77777777" w:rsidR="007D2333" w:rsidRPr="007275DF" w:rsidRDefault="007D2333" w:rsidP="007D2333">
            <w:pPr>
              <w:pStyle w:val="TAH"/>
            </w:pPr>
            <w:r w:rsidRPr="007275DF">
              <w:t>Io</w:t>
            </w:r>
            <w:r w:rsidRPr="007275DF">
              <w:rPr>
                <w:vertAlign w:val="superscript"/>
              </w:rPr>
              <w:t xml:space="preserve"> Note 1</w:t>
            </w:r>
            <w:r w:rsidRPr="007275DF">
              <w:t xml:space="preserve"> range</w:t>
            </w:r>
          </w:p>
        </w:tc>
      </w:tr>
      <w:tr w:rsidR="007D2333" w:rsidRPr="007275DF" w14:paraId="5805B8CA" w14:textId="77777777" w:rsidTr="007D2333">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77916FF8" w14:textId="77777777" w:rsidR="007D2333" w:rsidRPr="007275DF" w:rsidRDefault="007D2333" w:rsidP="007D2333">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21816C37" w14:textId="77777777" w:rsidR="007D2333" w:rsidRPr="007275DF" w:rsidRDefault="007D2333" w:rsidP="007D2333">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7D213BD7" w14:textId="77777777" w:rsidR="007D2333" w:rsidRPr="007275DF" w:rsidRDefault="007D2333" w:rsidP="007D2333">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7F019A57" w14:textId="77777777" w:rsidR="007D2333" w:rsidRPr="007275DF" w:rsidRDefault="007D2333" w:rsidP="007D2333">
            <w:pPr>
              <w:pStyle w:val="TAH"/>
            </w:pPr>
            <w:r w:rsidRPr="007275DF">
              <w:t>NR operating band groups</w:t>
            </w:r>
            <w:r w:rsidRPr="007275DF">
              <w:rPr>
                <w:vertAlign w:val="superscript"/>
              </w:rPr>
              <w:t xml:space="preserve"> Note 2</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7B8B09E4"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20076DA3" w14:textId="77777777" w:rsidR="007D2333" w:rsidRPr="007275DF" w:rsidRDefault="007D2333" w:rsidP="007D2333">
            <w:pPr>
              <w:pStyle w:val="TAH"/>
            </w:pPr>
            <w:r w:rsidRPr="007275DF">
              <w:t>Maximum Io</w:t>
            </w:r>
          </w:p>
        </w:tc>
      </w:tr>
      <w:tr w:rsidR="007D2333" w:rsidRPr="007275DF" w14:paraId="38825119" w14:textId="77777777" w:rsidTr="007D2333">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6E8F0E86" w14:textId="77777777" w:rsidR="007D2333" w:rsidRPr="007275DF" w:rsidRDefault="007D2333" w:rsidP="007D2333">
            <w:pPr>
              <w:pStyle w:val="TAH"/>
            </w:pPr>
            <w:r w:rsidRPr="007275DF">
              <w:t>dB</w:t>
            </w:r>
          </w:p>
        </w:tc>
        <w:tc>
          <w:tcPr>
            <w:tcW w:w="1049" w:type="dxa"/>
            <w:tcBorders>
              <w:top w:val="single" w:sz="6" w:space="0" w:color="auto"/>
              <w:left w:val="single" w:sz="6" w:space="0" w:color="auto"/>
              <w:right w:val="single" w:sz="6" w:space="0" w:color="auto"/>
            </w:tcBorders>
            <w:shd w:val="clear" w:color="auto" w:fill="auto"/>
            <w:vAlign w:val="center"/>
          </w:tcPr>
          <w:p w14:paraId="012D0F2A" w14:textId="77777777" w:rsidR="007D2333" w:rsidRPr="007275DF" w:rsidRDefault="007D2333" w:rsidP="007D2333">
            <w:pPr>
              <w:pStyle w:val="TAH"/>
            </w:pPr>
            <w:r w:rsidRPr="007275DF">
              <w:t>dB</w:t>
            </w:r>
          </w:p>
        </w:tc>
        <w:tc>
          <w:tcPr>
            <w:tcW w:w="807" w:type="dxa"/>
            <w:tcBorders>
              <w:top w:val="single" w:sz="6" w:space="0" w:color="auto"/>
              <w:left w:val="single" w:sz="6" w:space="0" w:color="auto"/>
              <w:right w:val="single" w:sz="6" w:space="0" w:color="auto"/>
            </w:tcBorders>
            <w:shd w:val="clear" w:color="auto" w:fill="auto"/>
            <w:vAlign w:val="center"/>
          </w:tcPr>
          <w:p w14:paraId="38AB61B3" w14:textId="77777777" w:rsidR="007D2333" w:rsidRPr="007275DF" w:rsidRDefault="007D2333" w:rsidP="007D2333">
            <w:pPr>
              <w:pStyle w:val="TAH"/>
            </w:pPr>
            <w:r w:rsidRPr="007275DF">
              <w:t>dB</w:t>
            </w:r>
          </w:p>
        </w:tc>
        <w:tc>
          <w:tcPr>
            <w:tcW w:w="2349" w:type="dxa"/>
            <w:tcBorders>
              <w:top w:val="single" w:sz="6" w:space="0" w:color="auto"/>
              <w:left w:val="single" w:sz="6" w:space="0" w:color="auto"/>
              <w:right w:val="single" w:sz="4" w:space="0" w:color="auto"/>
            </w:tcBorders>
            <w:shd w:val="clear" w:color="auto" w:fill="auto"/>
            <w:vAlign w:val="center"/>
          </w:tcPr>
          <w:p w14:paraId="21CFE6A6" w14:textId="77777777" w:rsidR="007D2333" w:rsidRPr="007275DF" w:rsidRDefault="007D2333" w:rsidP="007D2333">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3FD02C58"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30421518"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72300D7C" w14:textId="77777777" w:rsidR="007D2333" w:rsidRPr="007275DF" w:rsidRDefault="007D2333" w:rsidP="007D2333">
            <w:pPr>
              <w:pStyle w:val="TAH"/>
            </w:pPr>
            <w:r w:rsidRPr="007275DF">
              <w:t>dBm/BW</w:t>
            </w:r>
            <w:r w:rsidRPr="007275DF">
              <w:rPr>
                <w:vertAlign w:val="subscript"/>
              </w:rPr>
              <w:t>Channel</w:t>
            </w:r>
          </w:p>
        </w:tc>
      </w:tr>
      <w:tr w:rsidR="007D2333" w:rsidRPr="007275DF" w14:paraId="5BF1C9CA" w14:textId="77777777" w:rsidTr="007D2333">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7A6DFA14" w14:textId="77777777" w:rsidR="007D2333" w:rsidRPr="007275DF" w:rsidRDefault="007D2333" w:rsidP="007D2333">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681FD4D6" w14:textId="77777777" w:rsidR="007D2333" w:rsidRPr="007275DF" w:rsidRDefault="007D2333" w:rsidP="007D2333">
            <w:pPr>
              <w:pStyle w:val="TAH"/>
            </w:pPr>
          </w:p>
        </w:tc>
        <w:tc>
          <w:tcPr>
            <w:tcW w:w="807" w:type="dxa"/>
            <w:tcBorders>
              <w:left w:val="single" w:sz="6" w:space="0" w:color="auto"/>
              <w:bottom w:val="single" w:sz="6" w:space="0" w:color="auto"/>
              <w:right w:val="single" w:sz="6" w:space="0" w:color="auto"/>
            </w:tcBorders>
            <w:shd w:val="clear" w:color="auto" w:fill="auto"/>
          </w:tcPr>
          <w:p w14:paraId="28351473" w14:textId="77777777" w:rsidR="007D2333" w:rsidRPr="007275DF" w:rsidRDefault="007D2333" w:rsidP="007D2333">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175E392D" w14:textId="77777777" w:rsidR="007D2333" w:rsidRPr="007275DF" w:rsidRDefault="007D2333" w:rsidP="007D2333">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4C42C12"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44DB7545"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322EC3E4"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471DC3EA" w14:textId="77777777" w:rsidR="007D2333" w:rsidRPr="007275DF" w:rsidRDefault="007D2333" w:rsidP="007D2333">
            <w:pPr>
              <w:pStyle w:val="TAH"/>
            </w:pPr>
          </w:p>
        </w:tc>
      </w:tr>
      <w:tr w:rsidR="007D2333" w:rsidRPr="007275DF" w14:paraId="7F587E06" w14:textId="77777777" w:rsidTr="007D2333">
        <w:trPr>
          <w:jc w:val="center"/>
        </w:trPr>
        <w:tc>
          <w:tcPr>
            <w:tcW w:w="1033" w:type="dxa"/>
            <w:vMerge w:val="restart"/>
            <w:tcBorders>
              <w:top w:val="single" w:sz="6" w:space="0" w:color="auto"/>
              <w:left w:val="single" w:sz="4" w:space="0" w:color="auto"/>
              <w:right w:val="single" w:sz="6" w:space="0" w:color="auto"/>
            </w:tcBorders>
            <w:shd w:val="clear" w:color="auto" w:fill="auto"/>
            <w:vAlign w:val="center"/>
          </w:tcPr>
          <w:p w14:paraId="65D725CB" w14:textId="77777777" w:rsidR="007D2333" w:rsidRPr="00473F76" w:rsidRDefault="007D2333" w:rsidP="007D2333">
            <w:pPr>
              <w:pStyle w:val="TAC"/>
            </w:pPr>
            <w:r w:rsidRPr="007275DF">
              <w:sym w:font="Symbol" w:char="F0B1"/>
            </w:r>
            <w:r w:rsidRPr="007275DF">
              <w:t>4.5</w:t>
            </w:r>
          </w:p>
        </w:tc>
        <w:tc>
          <w:tcPr>
            <w:tcW w:w="1049" w:type="dxa"/>
            <w:vMerge w:val="restart"/>
            <w:tcBorders>
              <w:top w:val="single" w:sz="6" w:space="0" w:color="auto"/>
              <w:left w:val="single" w:sz="6" w:space="0" w:color="auto"/>
              <w:right w:val="single" w:sz="6" w:space="0" w:color="auto"/>
            </w:tcBorders>
            <w:shd w:val="clear" w:color="auto" w:fill="auto"/>
            <w:vAlign w:val="center"/>
          </w:tcPr>
          <w:p w14:paraId="09D1CDAB" w14:textId="77777777" w:rsidR="007D2333" w:rsidRPr="00473F76" w:rsidRDefault="007D2333" w:rsidP="007D2333">
            <w:pPr>
              <w:pStyle w:val="TAC"/>
            </w:pPr>
            <w:r w:rsidRPr="007275DF">
              <w:sym w:font="Symbol" w:char="F0B1"/>
            </w:r>
            <w:r w:rsidRPr="007275DF">
              <w:t>9</w:t>
            </w:r>
          </w:p>
        </w:tc>
        <w:tc>
          <w:tcPr>
            <w:tcW w:w="807" w:type="dxa"/>
            <w:vMerge w:val="restart"/>
            <w:tcBorders>
              <w:top w:val="single" w:sz="6" w:space="0" w:color="auto"/>
              <w:left w:val="single" w:sz="6" w:space="0" w:color="auto"/>
              <w:right w:val="single" w:sz="6" w:space="0" w:color="auto"/>
            </w:tcBorders>
            <w:shd w:val="clear" w:color="auto" w:fill="auto"/>
            <w:vAlign w:val="center"/>
          </w:tcPr>
          <w:p w14:paraId="50CBC255" w14:textId="77777777" w:rsidR="007D2333" w:rsidRPr="00473F76" w:rsidRDefault="007D2333" w:rsidP="007D2333">
            <w:pPr>
              <w:pStyle w:val="TAC"/>
            </w:pPr>
            <w:r w:rsidRPr="007275DF">
              <w:sym w:font="Symbol" w:char="F0B3"/>
            </w:r>
            <w:r w:rsidRPr="007275DF">
              <w:t>-</w:t>
            </w:r>
            <w:r w:rsidRPr="00473F76">
              <w:rPr>
                <w:lang w:eastAsia="zh-CN"/>
              </w:rPr>
              <w:t>6</w:t>
            </w: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33EB0CF9" w14:textId="77777777" w:rsidR="007D2333" w:rsidRPr="007275DF" w:rsidRDefault="007D2333" w:rsidP="007D2333">
            <w:pPr>
              <w:pStyle w:val="TAC"/>
              <w:rPr>
                <w:lang w:val="sv-SE"/>
              </w:rPr>
            </w:pPr>
            <w:r w:rsidRPr="007275DF">
              <w:rPr>
                <w:rFonts w:cs="Arial"/>
                <w:lang w:val="sv-SE"/>
              </w:rPr>
              <w:t>NR_CCA_FR1_I</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B5D7AFB" w14:textId="77777777" w:rsidR="007D2333" w:rsidRPr="007275DF" w:rsidRDefault="007D2333" w:rsidP="007D2333">
            <w:pPr>
              <w:pStyle w:val="TAC"/>
            </w:pPr>
            <w:r w:rsidRPr="007275DF">
              <w:t>-117</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C43D6D0" w14:textId="77777777" w:rsidR="007D2333" w:rsidRPr="007275DF" w:rsidRDefault="007D2333" w:rsidP="007D2333">
            <w:pPr>
              <w:pStyle w:val="TAC"/>
            </w:pPr>
            <w:r w:rsidRPr="007275DF">
              <w:t>-114</w:t>
            </w:r>
          </w:p>
        </w:tc>
        <w:tc>
          <w:tcPr>
            <w:tcW w:w="1440" w:type="dxa"/>
            <w:vMerge w:val="restart"/>
            <w:tcBorders>
              <w:top w:val="single" w:sz="6" w:space="0" w:color="auto"/>
              <w:left w:val="single" w:sz="6" w:space="0" w:color="auto"/>
              <w:right w:val="single" w:sz="6" w:space="0" w:color="auto"/>
            </w:tcBorders>
            <w:shd w:val="clear" w:color="auto" w:fill="auto"/>
            <w:vAlign w:val="center"/>
          </w:tcPr>
          <w:p w14:paraId="4194A50E"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vAlign w:val="center"/>
          </w:tcPr>
          <w:p w14:paraId="7E8CEC77" w14:textId="77777777" w:rsidR="007D2333" w:rsidRPr="007275DF" w:rsidRDefault="007D2333" w:rsidP="007D2333">
            <w:pPr>
              <w:pStyle w:val="TAC"/>
            </w:pPr>
            <w:r w:rsidRPr="007275DF">
              <w:t>-70</w:t>
            </w:r>
          </w:p>
        </w:tc>
      </w:tr>
      <w:tr w:rsidR="007D2333" w:rsidRPr="007275DF" w14:paraId="458CEA4C" w14:textId="77777777" w:rsidTr="007D2333">
        <w:trPr>
          <w:jc w:val="center"/>
        </w:trPr>
        <w:tc>
          <w:tcPr>
            <w:tcW w:w="1033" w:type="dxa"/>
            <w:vMerge/>
            <w:tcBorders>
              <w:left w:val="single" w:sz="4" w:space="0" w:color="auto"/>
              <w:right w:val="single" w:sz="6" w:space="0" w:color="auto"/>
            </w:tcBorders>
            <w:shd w:val="clear" w:color="auto" w:fill="auto"/>
            <w:vAlign w:val="center"/>
          </w:tcPr>
          <w:p w14:paraId="00E7A27F" w14:textId="77777777" w:rsidR="007D2333" w:rsidRPr="007275DF" w:rsidRDefault="007D2333" w:rsidP="007D2333">
            <w:pPr>
              <w:pStyle w:val="TAC"/>
            </w:pPr>
          </w:p>
        </w:tc>
        <w:tc>
          <w:tcPr>
            <w:tcW w:w="1049" w:type="dxa"/>
            <w:vMerge/>
            <w:tcBorders>
              <w:left w:val="single" w:sz="6" w:space="0" w:color="auto"/>
              <w:right w:val="single" w:sz="6" w:space="0" w:color="auto"/>
            </w:tcBorders>
            <w:shd w:val="clear" w:color="auto" w:fill="auto"/>
            <w:vAlign w:val="center"/>
          </w:tcPr>
          <w:p w14:paraId="51518E6B" w14:textId="77777777" w:rsidR="007D2333" w:rsidRPr="007275DF" w:rsidRDefault="007D2333" w:rsidP="007D2333">
            <w:pPr>
              <w:pStyle w:val="TAC"/>
            </w:pPr>
          </w:p>
        </w:tc>
        <w:tc>
          <w:tcPr>
            <w:tcW w:w="807" w:type="dxa"/>
            <w:vMerge/>
            <w:tcBorders>
              <w:left w:val="single" w:sz="6" w:space="0" w:color="auto"/>
              <w:right w:val="single" w:sz="6" w:space="0" w:color="auto"/>
            </w:tcBorders>
            <w:shd w:val="clear" w:color="auto" w:fill="auto"/>
            <w:vAlign w:val="center"/>
          </w:tcPr>
          <w:p w14:paraId="40D18620" w14:textId="77777777" w:rsidR="007D2333" w:rsidRPr="007275DF" w:rsidRDefault="007D2333" w:rsidP="007D2333">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4113441B" w14:textId="77777777" w:rsidR="007D2333" w:rsidRPr="007275DF" w:rsidRDefault="007D2333" w:rsidP="007D2333">
            <w:pPr>
              <w:pStyle w:val="TAC"/>
              <w:rPr>
                <w:rFonts w:cs="Arial"/>
              </w:rPr>
            </w:pPr>
            <w:r w:rsidRPr="007275DF">
              <w:rPr>
                <w:rFonts w:cs="Arial"/>
              </w:rPr>
              <w:t>NR_CCA_FR1_J</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B28886B" w14:textId="77777777" w:rsidR="007D2333" w:rsidRPr="007275DF" w:rsidRDefault="007D2333" w:rsidP="007D2333">
            <w:pPr>
              <w:pStyle w:val="TAC"/>
            </w:pPr>
            <w:r w:rsidRPr="007275DF">
              <w:t>-116.5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D0624B8" w14:textId="77777777" w:rsidR="007D2333" w:rsidRPr="007275DF" w:rsidRDefault="007D2333" w:rsidP="007D2333">
            <w:pPr>
              <w:pStyle w:val="TAC"/>
            </w:pPr>
            <w:r w:rsidRPr="007275DF">
              <w:t>-113.5</w:t>
            </w:r>
          </w:p>
        </w:tc>
        <w:tc>
          <w:tcPr>
            <w:tcW w:w="1440" w:type="dxa"/>
            <w:vMerge/>
            <w:tcBorders>
              <w:left w:val="single" w:sz="6" w:space="0" w:color="auto"/>
              <w:bottom w:val="single" w:sz="6" w:space="0" w:color="auto"/>
              <w:right w:val="single" w:sz="6" w:space="0" w:color="auto"/>
            </w:tcBorders>
            <w:shd w:val="clear" w:color="auto" w:fill="auto"/>
            <w:vAlign w:val="center"/>
          </w:tcPr>
          <w:p w14:paraId="6FBB9B5B" w14:textId="77777777" w:rsidR="007D2333" w:rsidRPr="007275DF" w:rsidRDefault="007D2333" w:rsidP="007D2333">
            <w:pPr>
              <w:pStyle w:val="TAC"/>
            </w:pPr>
          </w:p>
        </w:tc>
        <w:tc>
          <w:tcPr>
            <w:tcW w:w="1440" w:type="dxa"/>
            <w:vMerge/>
            <w:tcBorders>
              <w:left w:val="single" w:sz="6" w:space="0" w:color="auto"/>
              <w:bottom w:val="single" w:sz="6" w:space="0" w:color="auto"/>
              <w:right w:val="single" w:sz="4" w:space="0" w:color="auto"/>
            </w:tcBorders>
            <w:shd w:val="clear" w:color="auto" w:fill="auto"/>
            <w:vAlign w:val="center"/>
          </w:tcPr>
          <w:p w14:paraId="0B43DD49" w14:textId="77777777" w:rsidR="007D2333" w:rsidRPr="007275DF" w:rsidRDefault="007D2333" w:rsidP="007D2333">
            <w:pPr>
              <w:pStyle w:val="TAC"/>
            </w:pPr>
          </w:p>
        </w:tc>
      </w:tr>
      <w:tr w:rsidR="007D2333" w:rsidRPr="007275DF" w14:paraId="7AF1B412" w14:textId="77777777" w:rsidTr="007D2333">
        <w:trPr>
          <w:jc w:val="center"/>
        </w:trPr>
        <w:tc>
          <w:tcPr>
            <w:tcW w:w="1033" w:type="dxa"/>
            <w:vMerge w:val="restart"/>
            <w:tcBorders>
              <w:top w:val="single" w:sz="4" w:space="0" w:color="auto"/>
              <w:left w:val="single" w:sz="4" w:space="0" w:color="auto"/>
              <w:right w:val="single" w:sz="6" w:space="0" w:color="auto"/>
            </w:tcBorders>
            <w:shd w:val="clear" w:color="auto" w:fill="auto"/>
            <w:vAlign w:val="center"/>
          </w:tcPr>
          <w:p w14:paraId="4A0548F7" w14:textId="77777777" w:rsidR="007D2333" w:rsidRPr="00473F76" w:rsidRDefault="007D2333" w:rsidP="007D2333">
            <w:pPr>
              <w:pStyle w:val="TAC"/>
            </w:pPr>
            <w:r w:rsidRPr="007275DF">
              <w:sym w:font="Symbol" w:char="F0B1"/>
            </w:r>
            <w:r w:rsidRPr="007275DF">
              <w:t>8</w:t>
            </w:r>
          </w:p>
        </w:tc>
        <w:tc>
          <w:tcPr>
            <w:tcW w:w="1049" w:type="dxa"/>
            <w:vMerge w:val="restart"/>
            <w:tcBorders>
              <w:top w:val="single" w:sz="4" w:space="0" w:color="auto"/>
              <w:left w:val="single" w:sz="6" w:space="0" w:color="auto"/>
              <w:right w:val="single" w:sz="6" w:space="0" w:color="auto"/>
            </w:tcBorders>
            <w:shd w:val="clear" w:color="auto" w:fill="auto"/>
            <w:vAlign w:val="center"/>
          </w:tcPr>
          <w:p w14:paraId="47CD0006" w14:textId="77777777" w:rsidR="007D2333" w:rsidRPr="00473F76" w:rsidRDefault="007D2333" w:rsidP="007D2333">
            <w:pPr>
              <w:pStyle w:val="TAC"/>
            </w:pPr>
            <w:r w:rsidRPr="007275DF">
              <w:sym w:font="Symbol" w:char="F0B1"/>
            </w:r>
            <w:r w:rsidRPr="007275DF">
              <w:t>11</w:t>
            </w:r>
          </w:p>
        </w:tc>
        <w:tc>
          <w:tcPr>
            <w:tcW w:w="807" w:type="dxa"/>
            <w:vMerge w:val="restart"/>
            <w:tcBorders>
              <w:top w:val="single" w:sz="4" w:space="0" w:color="auto"/>
              <w:left w:val="single" w:sz="6" w:space="0" w:color="auto"/>
              <w:right w:val="single" w:sz="4" w:space="0" w:color="auto"/>
            </w:tcBorders>
            <w:shd w:val="clear" w:color="auto" w:fill="auto"/>
            <w:vAlign w:val="center"/>
          </w:tcPr>
          <w:p w14:paraId="1E86CD49" w14:textId="77777777" w:rsidR="007D2333" w:rsidRPr="00473F76" w:rsidRDefault="007D2333" w:rsidP="007D2333">
            <w:pPr>
              <w:pStyle w:val="TAC"/>
            </w:pPr>
            <w:r w:rsidRPr="007275DF">
              <w:sym w:font="Symbol" w:char="F0B3"/>
            </w:r>
            <w:r w:rsidRPr="007275DF">
              <w:t>-</w:t>
            </w:r>
            <w:r w:rsidRPr="00473F76">
              <w:rPr>
                <w:lang w:eastAsia="zh-CN"/>
              </w:rPr>
              <w:t>6</w:t>
            </w:r>
          </w:p>
        </w:tc>
        <w:tc>
          <w:tcPr>
            <w:tcW w:w="2349" w:type="dxa"/>
            <w:tcBorders>
              <w:top w:val="single" w:sz="6" w:space="0" w:color="auto"/>
              <w:left w:val="single" w:sz="4" w:space="0" w:color="auto"/>
              <w:bottom w:val="single" w:sz="6" w:space="0" w:color="auto"/>
              <w:right w:val="single" w:sz="4" w:space="0" w:color="auto"/>
            </w:tcBorders>
            <w:shd w:val="clear" w:color="auto" w:fill="auto"/>
            <w:vAlign w:val="center"/>
          </w:tcPr>
          <w:p w14:paraId="347E1A99" w14:textId="77777777" w:rsidR="007D2333" w:rsidRPr="007275DF" w:rsidRDefault="007D2333" w:rsidP="007D2333">
            <w:pPr>
              <w:pStyle w:val="TAC"/>
              <w:rPr>
                <w:lang w:val="sv-FI" w:eastAsia="zh-CN"/>
              </w:rPr>
            </w:pPr>
            <w:r w:rsidRPr="007275DF">
              <w:rPr>
                <w:rFonts w:cs="Arial"/>
                <w:lang w:val="sv-SE"/>
              </w:rPr>
              <w:t>NR_CCA_FR1_I</w:t>
            </w:r>
          </w:p>
        </w:tc>
        <w:tc>
          <w:tcPr>
            <w:tcW w:w="1027" w:type="dxa"/>
            <w:vMerge w:val="restart"/>
            <w:tcBorders>
              <w:top w:val="single" w:sz="6" w:space="0" w:color="auto"/>
              <w:left w:val="single" w:sz="4" w:space="0" w:color="auto"/>
              <w:right w:val="single" w:sz="6" w:space="0" w:color="auto"/>
            </w:tcBorders>
            <w:shd w:val="clear" w:color="auto" w:fill="auto"/>
            <w:vAlign w:val="center"/>
          </w:tcPr>
          <w:p w14:paraId="64CF3872" w14:textId="77777777" w:rsidR="007D2333" w:rsidRPr="007275DF" w:rsidRDefault="007D2333" w:rsidP="007D2333">
            <w:pPr>
              <w:pStyle w:val="TAC"/>
            </w:pPr>
            <w:r w:rsidRPr="007275DF">
              <w:t>N/A</w:t>
            </w:r>
          </w:p>
        </w:tc>
        <w:tc>
          <w:tcPr>
            <w:tcW w:w="1027" w:type="dxa"/>
            <w:vMerge w:val="restart"/>
            <w:tcBorders>
              <w:top w:val="single" w:sz="6" w:space="0" w:color="auto"/>
              <w:left w:val="single" w:sz="4" w:space="0" w:color="auto"/>
              <w:right w:val="single" w:sz="6" w:space="0" w:color="auto"/>
            </w:tcBorders>
            <w:shd w:val="clear" w:color="auto" w:fill="auto"/>
            <w:vAlign w:val="center"/>
          </w:tcPr>
          <w:p w14:paraId="7CB55796" w14:textId="77777777" w:rsidR="007D2333" w:rsidRPr="007275DF" w:rsidRDefault="007D2333" w:rsidP="007D2333">
            <w:pPr>
              <w:pStyle w:val="TAC"/>
              <w:rPr>
                <w:rFonts w:cs="Arial"/>
              </w:rPr>
            </w:pPr>
            <w:r w:rsidRPr="007275DF">
              <w:rPr>
                <w:lang w:eastAsia="zh-CN"/>
              </w:rPr>
              <w:t>N/A</w:t>
            </w:r>
          </w:p>
        </w:tc>
        <w:tc>
          <w:tcPr>
            <w:tcW w:w="1440" w:type="dxa"/>
            <w:vMerge w:val="restart"/>
            <w:tcBorders>
              <w:top w:val="single" w:sz="6" w:space="0" w:color="auto"/>
              <w:left w:val="single" w:sz="6" w:space="0" w:color="auto"/>
              <w:right w:val="single" w:sz="6" w:space="0" w:color="auto"/>
            </w:tcBorders>
            <w:shd w:val="clear" w:color="auto" w:fill="auto"/>
            <w:vAlign w:val="center"/>
          </w:tcPr>
          <w:p w14:paraId="53EDFE17" w14:textId="77777777" w:rsidR="007D2333" w:rsidRPr="007275DF" w:rsidRDefault="007D2333" w:rsidP="007D2333">
            <w:pPr>
              <w:pStyle w:val="TAC"/>
            </w:pPr>
            <w:r w:rsidRPr="007275DF">
              <w:t>-70</w:t>
            </w:r>
          </w:p>
        </w:tc>
        <w:tc>
          <w:tcPr>
            <w:tcW w:w="1440" w:type="dxa"/>
            <w:vMerge w:val="restart"/>
            <w:tcBorders>
              <w:top w:val="single" w:sz="6" w:space="0" w:color="auto"/>
              <w:left w:val="single" w:sz="6" w:space="0" w:color="auto"/>
              <w:right w:val="single" w:sz="4" w:space="0" w:color="auto"/>
            </w:tcBorders>
            <w:shd w:val="clear" w:color="auto" w:fill="auto"/>
            <w:vAlign w:val="center"/>
          </w:tcPr>
          <w:p w14:paraId="6C39A812" w14:textId="77777777" w:rsidR="007D2333" w:rsidRPr="007275DF" w:rsidRDefault="007D2333" w:rsidP="007D2333">
            <w:pPr>
              <w:pStyle w:val="TAC"/>
            </w:pPr>
            <w:r w:rsidRPr="007275DF">
              <w:t>-50</w:t>
            </w:r>
          </w:p>
        </w:tc>
      </w:tr>
      <w:tr w:rsidR="007D2333" w:rsidRPr="007275DF" w14:paraId="2410B5BC" w14:textId="77777777" w:rsidTr="007D2333">
        <w:trPr>
          <w:jc w:val="center"/>
        </w:trPr>
        <w:tc>
          <w:tcPr>
            <w:tcW w:w="1033" w:type="dxa"/>
            <w:vMerge/>
            <w:tcBorders>
              <w:left w:val="single" w:sz="4" w:space="0" w:color="auto"/>
              <w:bottom w:val="single" w:sz="4" w:space="0" w:color="auto"/>
              <w:right w:val="single" w:sz="6" w:space="0" w:color="auto"/>
            </w:tcBorders>
            <w:shd w:val="clear" w:color="auto" w:fill="auto"/>
            <w:vAlign w:val="center"/>
          </w:tcPr>
          <w:p w14:paraId="2596085B" w14:textId="77777777" w:rsidR="007D2333" w:rsidRPr="007275DF" w:rsidRDefault="007D2333" w:rsidP="007D2333">
            <w:pPr>
              <w:pStyle w:val="TAC"/>
            </w:pPr>
          </w:p>
        </w:tc>
        <w:tc>
          <w:tcPr>
            <w:tcW w:w="1049" w:type="dxa"/>
            <w:vMerge/>
            <w:tcBorders>
              <w:left w:val="single" w:sz="6" w:space="0" w:color="auto"/>
              <w:bottom w:val="single" w:sz="4" w:space="0" w:color="auto"/>
              <w:right w:val="single" w:sz="6" w:space="0" w:color="auto"/>
            </w:tcBorders>
            <w:shd w:val="clear" w:color="auto" w:fill="auto"/>
            <w:vAlign w:val="center"/>
          </w:tcPr>
          <w:p w14:paraId="07CB619B" w14:textId="77777777" w:rsidR="007D2333" w:rsidRPr="007275DF" w:rsidRDefault="007D2333" w:rsidP="007D2333">
            <w:pPr>
              <w:pStyle w:val="TAC"/>
            </w:pPr>
          </w:p>
        </w:tc>
        <w:tc>
          <w:tcPr>
            <w:tcW w:w="807" w:type="dxa"/>
            <w:vMerge/>
            <w:tcBorders>
              <w:left w:val="single" w:sz="6" w:space="0" w:color="auto"/>
              <w:bottom w:val="single" w:sz="4" w:space="0" w:color="auto"/>
              <w:right w:val="single" w:sz="4" w:space="0" w:color="auto"/>
            </w:tcBorders>
            <w:shd w:val="clear" w:color="auto" w:fill="auto"/>
            <w:vAlign w:val="center"/>
          </w:tcPr>
          <w:p w14:paraId="206C22EB" w14:textId="77777777" w:rsidR="007D2333" w:rsidRPr="007275DF" w:rsidRDefault="007D2333" w:rsidP="007D2333">
            <w:pPr>
              <w:pStyle w:val="TAC"/>
            </w:pPr>
          </w:p>
        </w:tc>
        <w:tc>
          <w:tcPr>
            <w:tcW w:w="2349" w:type="dxa"/>
            <w:tcBorders>
              <w:top w:val="single" w:sz="6" w:space="0" w:color="auto"/>
              <w:left w:val="single" w:sz="4" w:space="0" w:color="auto"/>
              <w:bottom w:val="single" w:sz="6" w:space="0" w:color="auto"/>
              <w:right w:val="single" w:sz="4" w:space="0" w:color="auto"/>
            </w:tcBorders>
            <w:shd w:val="clear" w:color="auto" w:fill="auto"/>
            <w:vAlign w:val="center"/>
          </w:tcPr>
          <w:p w14:paraId="6F846045" w14:textId="77777777" w:rsidR="007D2333" w:rsidRPr="007275DF" w:rsidRDefault="007D2333" w:rsidP="007D2333">
            <w:pPr>
              <w:pStyle w:val="TAC"/>
              <w:rPr>
                <w:rFonts w:cs="Arial"/>
              </w:rPr>
            </w:pPr>
            <w:r w:rsidRPr="007275DF">
              <w:rPr>
                <w:rFonts w:cs="Arial"/>
              </w:rPr>
              <w:t>NR_CCA_FR1_J</w:t>
            </w:r>
          </w:p>
        </w:tc>
        <w:tc>
          <w:tcPr>
            <w:tcW w:w="1027" w:type="dxa"/>
            <w:vMerge/>
            <w:tcBorders>
              <w:left w:val="single" w:sz="4" w:space="0" w:color="auto"/>
              <w:bottom w:val="single" w:sz="6" w:space="0" w:color="auto"/>
              <w:right w:val="single" w:sz="6" w:space="0" w:color="auto"/>
            </w:tcBorders>
            <w:shd w:val="clear" w:color="auto" w:fill="auto"/>
            <w:vAlign w:val="center"/>
          </w:tcPr>
          <w:p w14:paraId="446E1B2C" w14:textId="77777777" w:rsidR="007D2333" w:rsidRPr="007275DF" w:rsidRDefault="007D2333" w:rsidP="007D2333">
            <w:pPr>
              <w:pStyle w:val="TAC"/>
            </w:pPr>
          </w:p>
        </w:tc>
        <w:tc>
          <w:tcPr>
            <w:tcW w:w="1027" w:type="dxa"/>
            <w:vMerge/>
            <w:tcBorders>
              <w:left w:val="single" w:sz="4" w:space="0" w:color="auto"/>
              <w:bottom w:val="single" w:sz="6" w:space="0" w:color="auto"/>
              <w:right w:val="single" w:sz="6" w:space="0" w:color="auto"/>
            </w:tcBorders>
            <w:shd w:val="clear" w:color="auto" w:fill="auto"/>
            <w:vAlign w:val="center"/>
          </w:tcPr>
          <w:p w14:paraId="4F15343C" w14:textId="77777777" w:rsidR="007D2333" w:rsidRPr="007275DF" w:rsidRDefault="007D2333" w:rsidP="007D2333">
            <w:pPr>
              <w:pStyle w:val="TAC"/>
              <w:rPr>
                <w:lang w:eastAsia="zh-CN"/>
              </w:rPr>
            </w:pPr>
          </w:p>
        </w:tc>
        <w:tc>
          <w:tcPr>
            <w:tcW w:w="1440" w:type="dxa"/>
            <w:vMerge/>
            <w:tcBorders>
              <w:left w:val="single" w:sz="6" w:space="0" w:color="auto"/>
              <w:bottom w:val="single" w:sz="6" w:space="0" w:color="auto"/>
              <w:right w:val="single" w:sz="6" w:space="0" w:color="auto"/>
            </w:tcBorders>
            <w:shd w:val="clear" w:color="auto" w:fill="auto"/>
            <w:vAlign w:val="center"/>
          </w:tcPr>
          <w:p w14:paraId="7B81C60C" w14:textId="77777777" w:rsidR="007D2333" w:rsidRPr="007275DF" w:rsidRDefault="007D2333" w:rsidP="007D2333">
            <w:pPr>
              <w:pStyle w:val="TAC"/>
            </w:pPr>
          </w:p>
        </w:tc>
        <w:tc>
          <w:tcPr>
            <w:tcW w:w="1440" w:type="dxa"/>
            <w:vMerge/>
            <w:tcBorders>
              <w:left w:val="single" w:sz="6" w:space="0" w:color="auto"/>
              <w:bottom w:val="single" w:sz="6" w:space="0" w:color="auto"/>
              <w:right w:val="single" w:sz="4" w:space="0" w:color="auto"/>
            </w:tcBorders>
            <w:shd w:val="clear" w:color="auto" w:fill="auto"/>
            <w:vAlign w:val="center"/>
          </w:tcPr>
          <w:p w14:paraId="3C97BBE9" w14:textId="77777777" w:rsidR="007D2333" w:rsidRPr="007275DF" w:rsidRDefault="007D2333" w:rsidP="007D2333">
            <w:pPr>
              <w:pStyle w:val="TAC"/>
            </w:pPr>
          </w:p>
        </w:tc>
      </w:tr>
      <w:tr w:rsidR="007D2333" w:rsidRPr="007275DF" w14:paraId="38DF031B"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3018A9D7" w14:textId="77777777" w:rsidR="007D2333" w:rsidRPr="007275DF" w:rsidRDefault="007D2333" w:rsidP="007D2333">
            <w:pPr>
              <w:pStyle w:val="TAN"/>
            </w:pPr>
            <w:r w:rsidRPr="007275DF">
              <w:t>NOTE 1:</w:t>
            </w:r>
            <w:r w:rsidRPr="007275DF">
              <w:tab/>
              <w:t>Io is assumed to have constant EPRE across the bandwidth.</w:t>
            </w:r>
          </w:p>
          <w:p w14:paraId="3D386DF4" w14:textId="77777777" w:rsidR="007D2333" w:rsidRPr="007275DF" w:rsidRDefault="007D2333" w:rsidP="007D2333">
            <w:pPr>
              <w:pStyle w:val="TAN"/>
            </w:pPr>
            <w:r w:rsidRPr="007275DF">
              <w:t>NOTE 2:</w:t>
            </w:r>
            <w:r w:rsidRPr="007275DF">
              <w:tab/>
              <w:t>NR operating band groups are as defined in clause 3.5.2.</w:t>
            </w:r>
          </w:p>
        </w:tc>
      </w:tr>
    </w:tbl>
    <w:p w14:paraId="5E86F800" w14:textId="77777777" w:rsidR="007D2333" w:rsidRPr="007275DF" w:rsidRDefault="007D2333" w:rsidP="007D2333">
      <w:pPr>
        <w:rPr>
          <w:lang w:eastAsia="zh-CN"/>
        </w:rPr>
      </w:pPr>
    </w:p>
    <w:p w14:paraId="7AE505FE" w14:textId="77777777" w:rsidR="007D2333" w:rsidRPr="007275DF" w:rsidRDefault="007D2333" w:rsidP="007D2333">
      <w:pPr>
        <w:pStyle w:val="Heading5"/>
      </w:pPr>
      <w:r w:rsidRPr="007275DF">
        <w:t>10.1.37.1.2</w:t>
      </w:r>
      <w:r w:rsidRPr="007275DF">
        <w:tab/>
        <w:t>Relative Accuracy of SS-RSRP</w:t>
      </w:r>
    </w:p>
    <w:p w14:paraId="3F23D3FD" w14:textId="77777777" w:rsidR="007D2333" w:rsidRPr="007275DF" w:rsidRDefault="007D2333" w:rsidP="007D2333">
      <w:pPr>
        <w:rPr>
          <w:rFonts w:cs="v4.2.0"/>
          <w:i/>
        </w:rPr>
      </w:pPr>
      <w:r w:rsidRPr="007275DF">
        <w:rPr>
          <w:rFonts w:cs="v4.2.0"/>
        </w:rPr>
        <w:t xml:space="preserve">The relative accuracy of </w:t>
      </w:r>
      <w:r w:rsidRPr="007275DF">
        <w:rPr>
          <w:rFonts w:cs="v4.2.0"/>
          <w:lang w:eastAsia="zh-CN"/>
        </w:rPr>
        <w:t>SS-RSRP</w:t>
      </w:r>
      <w:r w:rsidRPr="007275DF">
        <w:rPr>
          <w:rFonts w:cs="v4.2.0"/>
        </w:rPr>
        <w:t xml:space="preserve"> in inter frequency case is defined as the RSRP measured from one cell on a frequency compared to the RSRP measured from another cell on a different frequency, with at least one of the two frequencies being under CCA.</w:t>
      </w:r>
    </w:p>
    <w:p w14:paraId="5C886E58" w14:textId="77777777" w:rsidR="007D2333" w:rsidRPr="007275DF" w:rsidRDefault="007D2333" w:rsidP="007D2333">
      <w:pPr>
        <w:rPr>
          <w:rFonts w:cs="v4.2.0"/>
        </w:rPr>
      </w:pPr>
      <w:r w:rsidRPr="007275DF">
        <w:rPr>
          <w:rFonts w:cs="v4.2.0"/>
        </w:rPr>
        <w:t xml:space="preserve">The accuracy requirements in Table </w:t>
      </w:r>
      <w:r w:rsidRPr="007275DF">
        <w:rPr>
          <w:rFonts w:cs="v4.2.0"/>
          <w:lang w:eastAsia="zh-CN"/>
        </w:rPr>
        <w:t>10.1.37.1.2</w:t>
      </w:r>
      <w:r w:rsidRPr="007275DF">
        <w:rPr>
          <w:rFonts w:cs="v4.2.0"/>
        </w:rPr>
        <w:t>-1 are valid under the following conditions:</w:t>
      </w:r>
    </w:p>
    <w:p w14:paraId="78FE1336" w14:textId="77777777" w:rsidR="007D2333" w:rsidRPr="007275DF" w:rsidRDefault="007D2333" w:rsidP="007D2333">
      <w:pPr>
        <w:pStyle w:val="B10"/>
        <w:rPr>
          <w:lang w:eastAsia="zh-CN"/>
        </w:rPr>
      </w:pPr>
      <w:r w:rsidRPr="007275DF">
        <w:t>-</w:t>
      </w:r>
      <w:r w:rsidRPr="007275DF">
        <w:tab/>
        <w:t>Conditions defined in clause 7.3F of TS 38.101-1 [18] for reference sensitivity are fulfilled.</w:t>
      </w:r>
    </w:p>
    <w:p w14:paraId="4633F860" w14:textId="77777777" w:rsidR="007D2333" w:rsidRPr="007275DF" w:rsidRDefault="007D2333" w:rsidP="007D2333">
      <w:pPr>
        <w:pStyle w:val="B10"/>
        <w:rPr>
          <w:lang w:eastAsia="zh-CN"/>
        </w:rPr>
      </w:pPr>
      <w:r w:rsidRPr="007275DF">
        <w:t>-</w:t>
      </w:r>
      <w:r w:rsidRPr="007275DF">
        <w:tab/>
        <w:t xml:space="preserve">Conditions for inter-frequency measurements are fulfilled according to Annex B.2.9 for a corresponding Band </w:t>
      </w:r>
      <w:r w:rsidRPr="007275DF">
        <w:rPr>
          <w:rFonts w:cs="v4.2.0"/>
          <w:lang w:eastAsia="ko-KR"/>
        </w:rPr>
        <w:t>for each relevant SSB</w:t>
      </w:r>
      <w:r w:rsidRPr="007275DF">
        <w:t>.</w:t>
      </w:r>
    </w:p>
    <w:p w14:paraId="52CC5B28" w14:textId="77777777" w:rsidR="007D2333" w:rsidRPr="007275DF" w:rsidRDefault="007D2333" w:rsidP="007D2333">
      <w:pPr>
        <w:pStyle w:val="B10"/>
      </w:pPr>
      <w:r w:rsidRPr="007275DF">
        <w:t>-</w:t>
      </w:r>
      <w:r w:rsidRPr="007275DF">
        <w:tab/>
        <w:t>|SSB_RP1</w:t>
      </w:r>
      <w:r w:rsidRPr="007275DF">
        <w:rPr>
          <w:vertAlign w:val="subscript"/>
        </w:rPr>
        <w:t>dBm</w:t>
      </w:r>
      <w:r w:rsidRPr="007275DF">
        <w:t xml:space="preserve"> - SSB_RP2</w:t>
      </w:r>
      <w:r w:rsidRPr="007275DF">
        <w:rPr>
          <w:vertAlign w:val="subscript"/>
        </w:rPr>
        <w:t>dBm</w:t>
      </w:r>
      <w:r w:rsidRPr="007275DF">
        <w:t>| ≤ 27 dB</w:t>
      </w:r>
      <w:r w:rsidRPr="007275DF">
        <w:rPr>
          <w:noProof/>
          <w:lang w:val="en-US" w:eastAsia="zh-CN"/>
        </w:rPr>
        <w:t xml:space="preserve"> </w:t>
      </w:r>
    </w:p>
    <w:p w14:paraId="04D1F709" w14:textId="45F700DA" w:rsidR="007D2333" w:rsidRPr="00473F76" w:rsidRDefault="007D2333" w:rsidP="007D2333">
      <w:pPr>
        <w:pStyle w:val="B10"/>
        <w:rPr>
          <w:lang w:eastAsia="zh-CN"/>
        </w:rPr>
      </w:pPr>
      <w:r w:rsidRPr="007275DF">
        <w:t>-</w:t>
      </w:r>
      <w:r w:rsidRPr="007275DF">
        <w:tab/>
        <w:t xml:space="preserve">|Channel 1_Io </w:t>
      </w:r>
      <w:r w:rsidRPr="007275DF">
        <w:noBreakHyphen/>
        <w:t xml:space="preserve">Channel 2_Io | </w:t>
      </w:r>
      <w:r w:rsidRPr="007275DF">
        <w:sym w:font="Symbol" w:char="F0A3"/>
      </w:r>
      <w:r w:rsidRPr="007275DF">
        <w:t xml:space="preserve"> 20 dB</w:t>
      </w:r>
    </w:p>
    <w:p w14:paraId="05FEBE29" w14:textId="77777777" w:rsidR="007D2333" w:rsidRPr="007275DF" w:rsidRDefault="007D2333" w:rsidP="007D2333">
      <w:pPr>
        <w:pStyle w:val="TH"/>
      </w:pPr>
      <w:r w:rsidRPr="007275DF">
        <w:t>Table 10.1.37.1.2-1: SS-RSRP inter-frequency relative accuracy under CCA</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7D2333" w:rsidRPr="007275DF" w14:paraId="70794060" w14:textId="77777777" w:rsidTr="007D2333">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18D1CC9D" w14:textId="77777777" w:rsidR="007D2333" w:rsidRPr="007275DF" w:rsidRDefault="007D2333" w:rsidP="007D2333">
            <w:pPr>
              <w:pStyle w:val="TAH"/>
            </w:pPr>
            <w:r w:rsidRPr="007275DF">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43A372D5" w14:textId="77777777" w:rsidR="007D2333" w:rsidRPr="007275DF" w:rsidRDefault="007D2333" w:rsidP="007D2333">
            <w:pPr>
              <w:pStyle w:val="TAH"/>
            </w:pPr>
            <w:r w:rsidRPr="007275DF">
              <w:t>Conditions</w:t>
            </w:r>
          </w:p>
        </w:tc>
      </w:tr>
      <w:tr w:rsidR="007D2333" w:rsidRPr="007275DF" w14:paraId="01565F85" w14:textId="77777777" w:rsidTr="007D2333">
        <w:trPr>
          <w:jc w:val="center"/>
        </w:trPr>
        <w:tc>
          <w:tcPr>
            <w:tcW w:w="1036" w:type="dxa"/>
            <w:tcBorders>
              <w:top w:val="single" w:sz="6" w:space="0" w:color="auto"/>
              <w:left w:val="single" w:sz="4" w:space="0" w:color="auto"/>
              <w:right w:val="single" w:sz="6" w:space="0" w:color="auto"/>
            </w:tcBorders>
            <w:shd w:val="clear" w:color="auto" w:fill="auto"/>
            <w:vAlign w:val="center"/>
          </w:tcPr>
          <w:p w14:paraId="76A78B66" w14:textId="77777777" w:rsidR="007D2333" w:rsidRPr="007275DF" w:rsidRDefault="007D2333" w:rsidP="007D2333">
            <w:pPr>
              <w:pStyle w:val="TAH"/>
            </w:pPr>
            <w:r w:rsidRPr="007275DF">
              <w:t>Normal condition</w:t>
            </w:r>
          </w:p>
        </w:tc>
        <w:tc>
          <w:tcPr>
            <w:tcW w:w="1055" w:type="dxa"/>
            <w:tcBorders>
              <w:top w:val="single" w:sz="6" w:space="0" w:color="auto"/>
              <w:left w:val="single" w:sz="6" w:space="0" w:color="auto"/>
              <w:right w:val="single" w:sz="6" w:space="0" w:color="auto"/>
            </w:tcBorders>
            <w:shd w:val="clear" w:color="auto" w:fill="auto"/>
            <w:vAlign w:val="center"/>
          </w:tcPr>
          <w:p w14:paraId="149BB0E2" w14:textId="77777777" w:rsidR="007D2333" w:rsidRPr="007275DF" w:rsidRDefault="007D2333" w:rsidP="007D2333">
            <w:pPr>
              <w:pStyle w:val="TAH"/>
            </w:pPr>
            <w:r w:rsidRPr="007275DF">
              <w:t>Extreme condition</w:t>
            </w:r>
          </w:p>
        </w:tc>
        <w:tc>
          <w:tcPr>
            <w:tcW w:w="833" w:type="dxa"/>
            <w:tcBorders>
              <w:top w:val="single" w:sz="6" w:space="0" w:color="auto"/>
              <w:left w:val="single" w:sz="6" w:space="0" w:color="auto"/>
              <w:right w:val="single" w:sz="6" w:space="0" w:color="auto"/>
            </w:tcBorders>
            <w:shd w:val="clear" w:color="auto" w:fill="auto"/>
            <w:vAlign w:val="center"/>
          </w:tcPr>
          <w:p w14:paraId="33DD8613" w14:textId="77777777" w:rsidR="007D2333" w:rsidRPr="007275DF" w:rsidRDefault="007D2333" w:rsidP="007D2333">
            <w:pPr>
              <w:pStyle w:val="TAH"/>
            </w:pPr>
            <w:r w:rsidRPr="007275DF">
              <w:t>SSB Ês/Iot</w:t>
            </w:r>
            <w:r w:rsidRPr="007275DF">
              <w:rPr>
                <w:vertAlign w:val="superscript"/>
              </w:rPr>
              <w:t xml:space="preserve"> Note 2</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46D54AD" w14:textId="77777777" w:rsidR="007D2333" w:rsidRPr="007275DF" w:rsidRDefault="007D2333" w:rsidP="007D2333">
            <w:pPr>
              <w:pStyle w:val="TAH"/>
            </w:pPr>
            <w:r w:rsidRPr="007275DF">
              <w:t>Io</w:t>
            </w:r>
            <w:r w:rsidRPr="007275DF">
              <w:rPr>
                <w:vertAlign w:val="superscript"/>
              </w:rPr>
              <w:t xml:space="preserve"> Note 1</w:t>
            </w:r>
            <w:r w:rsidRPr="007275DF">
              <w:t xml:space="preserve"> range</w:t>
            </w:r>
          </w:p>
        </w:tc>
      </w:tr>
      <w:tr w:rsidR="007D2333" w:rsidRPr="007275DF" w14:paraId="37710C13" w14:textId="77777777" w:rsidTr="007D2333">
        <w:trPr>
          <w:jc w:val="center"/>
        </w:trPr>
        <w:tc>
          <w:tcPr>
            <w:tcW w:w="1036" w:type="dxa"/>
            <w:tcBorders>
              <w:left w:val="single" w:sz="4" w:space="0" w:color="auto"/>
              <w:bottom w:val="single" w:sz="6" w:space="0" w:color="auto"/>
              <w:right w:val="single" w:sz="6" w:space="0" w:color="auto"/>
            </w:tcBorders>
            <w:shd w:val="clear" w:color="auto" w:fill="auto"/>
            <w:vAlign w:val="center"/>
          </w:tcPr>
          <w:p w14:paraId="699B2FA8" w14:textId="77777777" w:rsidR="007D2333" w:rsidRPr="007275DF" w:rsidRDefault="007D2333" w:rsidP="007D2333">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01801EAC" w14:textId="77777777" w:rsidR="007D2333" w:rsidRPr="007275DF" w:rsidRDefault="007D2333" w:rsidP="007D2333">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2B2554DF" w14:textId="77777777" w:rsidR="007D2333" w:rsidRPr="007275DF" w:rsidRDefault="007D2333" w:rsidP="007D2333">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5235C52E" w14:textId="77777777" w:rsidR="007D2333" w:rsidRPr="007275DF" w:rsidRDefault="007D2333" w:rsidP="007D2333">
            <w:pPr>
              <w:pStyle w:val="TAH"/>
            </w:pPr>
            <w:r w:rsidRPr="007275DF">
              <w:t>NR operating band groups</w:t>
            </w:r>
            <w:r w:rsidRPr="007275DF">
              <w:rPr>
                <w:vertAlign w:val="superscript"/>
              </w:rPr>
              <w:t xml:space="preserve"> Note 3</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73DA56B4" w14:textId="77777777" w:rsidR="007D2333" w:rsidRPr="007275DF" w:rsidRDefault="007D2333" w:rsidP="007D2333">
            <w:pPr>
              <w:pStyle w:val="TAH"/>
            </w:pPr>
            <w:r w:rsidRPr="007275DF">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1A3D2995" w14:textId="77777777" w:rsidR="007D2333" w:rsidRPr="007275DF" w:rsidRDefault="007D2333" w:rsidP="007D2333">
            <w:pPr>
              <w:pStyle w:val="TAH"/>
            </w:pPr>
            <w:r w:rsidRPr="007275DF">
              <w:t>Maximum Io</w:t>
            </w:r>
          </w:p>
        </w:tc>
      </w:tr>
      <w:tr w:rsidR="007D2333" w:rsidRPr="007275DF" w14:paraId="12FE5CFF" w14:textId="77777777" w:rsidTr="007D2333">
        <w:trPr>
          <w:trHeight w:val="308"/>
          <w:jc w:val="center"/>
        </w:trPr>
        <w:tc>
          <w:tcPr>
            <w:tcW w:w="1036" w:type="dxa"/>
            <w:tcBorders>
              <w:top w:val="single" w:sz="6" w:space="0" w:color="auto"/>
              <w:left w:val="single" w:sz="4" w:space="0" w:color="auto"/>
              <w:right w:val="single" w:sz="6" w:space="0" w:color="auto"/>
            </w:tcBorders>
            <w:shd w:val="clear" w:color="auto" w:fill="auto"/>
            <w:vAlign w:val="center"/>
          </w:tcPr>
          <w:p w14:paraId="06E911AB" w14:textId="77777777" w:rsidR="007D2333" w:rsidRPr="007275DF" w:rsidRDefault="007D2333" w:rsidP="007D2333">
            <w:pPr>
              <w:pStyle w:val="TAH"/>
            </w:pPr>
            <w:r w:rsidRPr="007275DF">
              <w:t>dB</w:t>
            </w:r>
          </w:p>
        </w:tc>
        <w:tc>
          <w:tcPr>
            <w:tcW w:w="1055" w:type="dxa"/>
            <w:tcBorders>
              <w:top w:val="single" w:sz="6" w:space="0" w:color="auto"/>
              <w:left w:val="single" w:sz="6" w:space="0" w:color="auto"/>
              <w:right w:val="single" w:sz="6" w:space="0" w:color="auto"/>
            </w:tcBorders>
            <w:shd w:val="clear" w:color="auto" w:fill="auto"/>
            <w:vAlign w:val="center"/>
          </w:tcPr>
          <w:p w14:paraId="36577BA7" w14:textId="77777777" w:rsidR="007D2333" w:rsidRPr="007275DF" w:rsidRDefault="007D2333" w:rsidP="007D2333">
            <w:pPr>
              <w:pStyle w:val="TAH"/>
            </w:pPr>
            <w:r w:rsidRPr="007275DF">
              <w:t>dB</w:t>
            </w:r>
          </w:p>
        </w:tc>
        <w:tc>
          <w:tcPr>
            <w:tcW w:w="833" w:type="dxa"/>
            <w:tcBorders>
              <w:top w:val="single" w:sz="6" w:space="0" w:color="auto"/>
              <w:left w:val="single" w:sz="6" w:space="0" w:color="auto"/>
              <w:right w:val="single" w:sz="6" w:space="0" w:color="auto"/>
            </w:tcBorders>
            <w:shd w:val="clear" w:color="auto" w:fill="auto"/>
            <w:vAlign w:val="center"/>
          </w:tcPr>
          <w:p w14:paraId="552F87CA" w14:textId="77777777" w:rsidR="007D2333" w:rsidRPr="007275DF" w:rsidRDefault="007D2333" w:rsidP="007D2333">
            <w:pPr>
              <w:pStyle w:val="TAH"/>
            </w:pPr>
            <w:r w:rsidRPr="007275DF">
              <w:t>dB</w:t>
            </w:r>
          </w:p>
        </w:tc>
        <w:tc>
          <w:tcPr>
            <w:tcW w:w="2530" w:type="dxa"/>
            <w:tcBorders>
              <w:top w:val="single" w:sz="6" w:space="0" w:color="auto"/>
              <w:left w:val="single" w:sz="6" w:space="0" w:color="auto"/>
              <w:right w:val="single" w:sz="4" w:space="0" w:color="auto"/>
            </w:tcBorders>
            <w:shd w:val="clear" w:color="auto" w:fill="auto"/>
            <w:vAlign w:val="center"/>
          </w:tcPr>
          <w:p w14:paraId="1B792D39" w14:textId="77777777" w:rsidR="007D2333" w:rsidRPr="007275DF" w:rsidRDefault="007D2333" w:rsidP="007D2333">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12C89935" w14:textId="77777777" w:rsidR="007D2333" w:rsidRPr="007275DF" w:rsidRDefault="007D2333" w:rsidP="007D2333">
            <w:pPr>
              <w:pStyle w:val="TAH"/>
            </w:pPr>
            <w:r w:rsidRPr="007275DF">
              <w:rPr>
                <w:rFonts w:cs="Arial"/>
              </w:rPr>
              <w:t xml:space="preserve">dBm / </w:t>
            </w:r>
            <w:r w:rsidRPr="007275DF">
              <w:t>SCS</w:t>
            </w:r>
            <w:r w:rsidRPr="007275DF">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34AA5441" w14:textId="77777777" w:rsidR="007D2333" w:rsidRPr="007275DF" w:rsidRDefault="007D2333" w:rsidP="007D2333">
            <w:pPr>
              <w:pStyle w:val="TAH"/>
            </w:pPr>
            <w:r w:rsidRPr="007275DF">
              <w:t>dBm/BW</w:t>
            </w:r>
            <w:r w:rsidRPr="007275DF">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056F1ED4" w14:textId="77777777" w:rsidR="007D2333" w:rsidRPr="007275DF" w:rsidRDefault="007D2333" w:rsidP="007D2333">
            <w:pPr>
              <w:pStyle w:val="TAH"/>
            </w:pPr>
            <w:r w:rsidRPr="007275DF">
              <w:t>dBm/BW</w:t>
            </w:r>
            <w:r w:rsidRPr="007275DF">
              <w:rPr>
                <w:vertAlign w:val="subscript"/>
              </w:rPr>
              <w:t>Channel</w:t>
            </w:r>
          </w:p>
        </w:tc>
      </w:tr>
      <w:tr w:rsidR="007D2333" w:rsidRPr="007275DF" w14:paraId="31CC2610" w14:textId="77777777" w:rsidTr="007D2333">
        <w:trPr>
          <w:trHeight w:val="307"/>
          <w:jc w:val="center"/>
        </w:trPr>
        <w:tc>
          <w:tcPr>
            <w:tcW w:w="1036" w:type="dxa"/>
            <w:tcBorders>
              <w:left w:val="single" w:sz="4" w:space="0" w:color="auto"/>
              <w:bottom w:val="single" w:sz="6" w:space="0" w:color="auto"/>
              <w:right w:val="single" w:sz="6" w:space="0" w:color="auto"/>
            </w:tcBorders>
            <w:shd w:val="clear" w:color="auto" w:fill="auto"/>
            <w:vAlign w:val="center"/>
          </w:tcPr>
          <w:p w14:paraId="43425C08" w14:textId="77777777" w:rsidR="007D2333" w:rsidRPr="007275DF" w:rsidRDefault="007D2333" w:rsidP="007D2333">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63D17DFD" w14:textId="77777777" w:rsidR="007D2333" w:rsidRPr="007275DF" w:rsidRDefault="007D2333" w:rsidP="007D2333">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76DB4001" w14:textId="77777777" w:rsidR="007D2333" w:rsidRPr="007275DF" w:rsidRDefault="007D2333" w:rsidP="007D2333">
            <w:pPr>
              <w:pStyle w:val="TAH"/>
            </w:pPr>
          </w:p>
        </w:tc>
        <w:tc>
          <w:tcPr>
            <w:tcW w:w="2530" w:type="dxa"/>
            <w:tcBorders>
              <w:left w:val="single" w:sz="6" w:space="0" w:color="auto"/>
              <w:bottom w:val="single" w:sz="6" w:space="0" w:color="auto"/>
              <w:right w:val="single" w:sz="4" w:space="0" w:color="auto"/>
            </w:tcBorders>
            <w:shd w:val="clear" w:color="auto" w:fill="auto"/>
            <w:vAlign w:val="center"/>
          </w:tcPr>
          <w:p w14:paraId="5433522F" w14:textId="77777777" w:rsidR="007D2333" w:rsidRPr="007275DF" w:rsidRDefault="007D2333" w:rsidP="007D2333">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4FE4BD99"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154A7F56" w14:textId="77777777" w:rsidR="007D2333" w:rsidRPr="007275DF" w:rsidRDefault="007D2333" w:rsidP="007D2333">
            <w:pPr>
              <w:pStyle w:val="TAH"/>
              <w:rPr>
                <w:rFonts w:cs="Arial"/>
              </w:rPr>
            </w:pPr>
            <w:r w:rsidRPr="007275DF">
              <w:t>SCS</w:t>
            </w:r>
            <w:r w:rsidRPr="007275DF">
              <w:rPr>
                <w:vertAlign w:val="subscript"/>
              </w:rPr>
              <w:t>SSB</w:t>
            </w:r>
            <w:r w:rsidRPr="007275DF">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6603B72B" w14:textId="77777777" w:rsidR="007D2333" w:rsidRPr="007275DF" w:rsidRDefault="007D2333" w:rsidP="007D2333">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3796DDEA" w14:textId="77777777" w:rsidR="007D2333" w:rsidRPr="007275DF" w:rsidRDefault="007D2333" w:rsidP="007D2333">
            <w:pPr>
              <w:pStyle w:val="TAH"/>
            </w:pPr>
          </w:p>
        </w:tc>
      </w:tr>
      <w:tr w:rsidR="007D2333" w:rsidRPr="007275DF" w14:paraId="64159683" w14:textId="77777777" w:rsidTr="007D2333">
        <w:trPr>
          <w:jc w:val="center"/>
        </w:trPr>
        <w:tc>
          <w:tcPr>
            <w:tcW w:w="1036" w:type="dxa"/>
            <w:vMerge w:val="restart"/>
            <w:tcBorders>
              <w:top w:val="single" w:sz="6" w:space="0" w:color="auto"/>
              <w:left w:val="single" w:sz="4" w:space="0" w:color="auto"/>
              <w:right w:val="single" w:sz="6" w:space="0" w:color="auto"/>
            </w:tcBorders>
            <w:shd w:val="clear" w:color="auto" w:fill="auto"/>
            <w:vAlign w:val="center"/>
          </w:tcPr>
          <w:p w14:paraId="7FDCF54C" w14:textId="77777777" w:rsidR="007D2333" w:rsidRPr="00473F76" w:rsidRDefault="007D2333" w:rsidP="007D2333">
            <w:pPr>
              <w:pStyle w:val="TAC"/>
            </w:pPr>
            <w:r w:rsidRPr="007275DF">
              <w:sym w:font="Symbol" w:char="F0B1"/>
            </w:r>
            <w:r w:rsidRPr="007275DF">
              <w:t>4.5</w:t>
            </w:r>
          </w:p>
        </w:tc>
        <w:tc>
          <w:tcPr>
            <w:tcW w:w="1055" w:type="dxa"/>
            <w:vMerge w:val="restart"/>
            <w:tcBorders>
              <w:top w:val="single" w:sz="6" w:space="0" w:color="auto"/>
              <w:left w:val="single" w:sz="6" w:space="0" w:color="auto"/>
              <w:right w:val="single" w:sz="6" w:space="0" w:color="auto"/>
            </w:tcBorders>
            <w:shd w:val="clear" w:color="auto" w:fill="auto"/>
            <w:vAlign w:val="center"/>
          </w:tcPr>
          <w:p w14:paraId="5ABB5B5F" w14:textId="77777777" w:rsidR="007D2333" w:rsidRPr="00473F76" w:rsidRDefault="007D2333" w:rsidP="007D2333">
            <w:pPr>
              <w:pStyle w:val="TAC"/>
            </w:pPr>
            <w:r w:rsidRPr="007275DF">
              <w:sym w:font="Symbol" w:char="F0B1"/>
            </w:r>
            <w:r w:rsidRPr="007275DF">
              <w:t>6</w:t>
            </w:r>
          </w:p>
        </w:tc>
        <w:tc>
          <w:tcPr>
            <w:tcW w:w="833" w:type="dxa"/>
            <w:vMerge w:val="restart"/>
            <w:tcBorders>
              <w:top w:val="single" w:sz="6" w:space="0" w:color="auto"/>
              <w:left w:val="single" w:sz="6" w:space="0" w:color="auto"/>
              <w:right w:val="single" w:sz="6" w:space="0" w:color="auto"/>
            </w:tcBorders>
            <w:shd w:val="clear" w:color="auto" w:fill="auto"/>
            <w:vAlign w:val="center"/>
          </w:tcPr>
          <w:p w14:paraId="60AD219A" w14:textId="77777777" w:rsidR="007D2333" w:rsidRPr="00473F76" w:rsidRDefault="007D2333" w:rsidP="007D2333">
            <w:pPr>
              <w:pStyle w:val="TAC"/>
            </w:pPr>
            <w:r w:rsidRPr="007275DF">
              <w:sym w:font="Symbol" w:char="F0B3"/>
            </w:r>
            <w:r w:rsidRPr="007275DF">
              <w:t>-</w:t>
            </w:r>
            <w:r w:rsidRPr="00473F76">
              <w:rPr>
                <w:lang w:eastAsia="zh-CN"/>
              </w:rPr>
              <w:t>6</w:t>
            </w: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6CEF05D5" w14:textId="77777777" w:rsidR="007D2333" w:rsidRPr="007275DF" w:rsidRDefault="007D2333" w:rsidP="007D2333">
            <w:pPr>
              <w:pStyle w:val="TAC"/>
              <w:rPr>
                <w:lang w:val="sv-SE"/>
              </w:rPr>
            </w:pPr>
            <w:r w:rsidRPr="007275DF">
              <w:rPr>
                <w:rFonts w:cs="Arial"/>
                <w:lang w:val="sv-SE"/>
              </w:rPr>
              <w:t>NR_CCA_FR1_I</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28BFA402" w14:textId="77777777" w:rsidR="007D2333" w:rsidRPr="007275DF" w:rsidRDefault="007D2333" w:rsidP="007D2333">
            <w:pPr>
              <w:pStyle w:val="TAC"/>
            </w:pPr>
            <w:r w:rsidRPr="007275DF">
              <w:t>-117</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5B039C4B" w14:textId="77777777" w:rsidR="007D2333" w:rsidRPr="007275DF" w:rsidRDefault="007D2333" w:rsidP="007D2333">
            <w:pPr>
              <w:pStyle w:val="TAC"/>
            </w:pPr>
            <w:r w:rsidRPr="007275DF">
              <w:t>-114</w:t>
            </w:r>
          </w:p>
        </w:tc>
        <w:tc>
          <w:tcPr>
            <w:tcW w:w="1440" w:type="dxa"/>
            <w:vMerge w:val="restart"/>
            <w:tcBorders>
              <w:top w:val="single" w:sz="6" w:space="0" w:color="auto"/>
              <w:left w:val="single" w:sz="6" w:space="0" w:color="auto"/>
              <w:right w:val="single" w:sz="6" w:space="0" w:color="auto"/>
            </w:tcBorders>
            <w:shd w:val="clear" w:color="auto" w:fill="auto"/>
            <w:vAlign w:val="center"/>
          </w:tcPr>
          <w:p w14:paraId="348FD299" w14:textId="77777777" w:rsidR="007D2333" w:rsidRPr="007275DF" w:rsidRDefault="007D2333" w:rsidP="007D2333">
            <w:pPr>
              <w:pStyle w:val="TAC"/>
            </w:pPr>
            <w:r w:rsidRPr="007275DF">
              <w:t>N/A</w:t>
            </w:r>
          </w:p>
        </w:tc>
        <w:tc>
          <w:tcPr>
            <w:tcW w:w="1440" w:type="dxa"/>
            <w:vMerge w:val="restart"/>
            <w:tcBorders>
              <w:top w:val="single" w:sz="6" w:space="0" w:color="auto"/>
              <w:left w:val="single" w:sz="6" w:space="0" w:color="auto"/>
              <w:right w:val="single" w:sz="4" w:space="0" w:color="auto"/>
            </w:tcBorders>
            <w:shd w:val="clear" w:color="auto" w:fill="auto"/>
            <w:vAlign w:val="center"/>
          </w:tcPr>
          <w:p w14:paraId="0C8EF9E6" w14:textId="77777777" w:rsidR="007D2333" w:rsidRPr="007275DF" w:rsidRDefault="007D2333" w:rsidP="007D2333">
            <w:pPr>
              <w:pStyle w:val="TAC"/>
            </w:pPr>
            <w:r w:rsidRPr="007275DF">
              <w:t>-50</w:t>
            </w:r>
          </w:p>
        </w:tc>
      </w:tr>
      <w:tr w:rsidR="007D2333" w:rsidRPr="007275DF" w14:paraId="4802A813" w14:textId="77777777" w:rsidTr="007D2333">
        <w:trPr>
          <w:jc w:val="center"/>
        </w:trPr>
        <w:tc>
          <w:tcPr>
            <w:tcW w:w="1036" w:type="dxa"/>
            <w:vMerge/>
            <w:tcBorders>
              <w:left w:val="single" w:sz="4" w:space="0" w:color="auto"/>
              <w:right w:val="single" w:sz="6" w:space="0" w:color="auto"/>
            </w:tcBorders>
            <w:shd w:val="clear" w:color="auto" w:fill="auto"/>
            <w:vAlign w:val="center"/>
          </w:tcPr>
          <w:p w14:paraId="2B3C1501" w14:textId="77777777" w:rsidR="007D2333" w:rsidRPr="007275DF" w:rsidRDefault="007D2333" w:rsidP="007D2333">
            <w:pPr>
              <w:pStyle w:val="TAC"/>
            </w:pPr>
          </w:p>
        </w:tc>
        <w:tc>
          <w:tcPr>
            <w:tcW w:w="1055" w:type="dxa"/>
            <w:vMerge/>
            <w:tcBorders>
              <w:left w:val="single" w:sz="6" w:space="0" w:color="auto"/>
              <w:right w:val="single" w:sz="6" w:space="0" w:color="auto"/>
            </w:tcBorders>
            <w:shd w:val="clear" w:color="auto" w:fill="auto"/>
            <w:vAlign w:val="center"/>
          </w:tcPr>
          <w:p w14:paraId="3AFE930B" w14:textId="77777777" w:rsidR="007D2333" w:rsidRPr="007275DF" w:rsidRDefault="007D2333" w:rsidP="007D2333">
            <w:pPr>
              <w:pStyle w:val="TAC"/>
            </w:pPr>
          </w:p>
        </w:tc>
        <w:tc>
          <w:tcPr>
            <w:tcW w:w="833" w:type="dxa"/>
            <w:vMerge/>
            <w:tcBorders>
              <w:left w:val="single" w:sz="6" w:space="0" w:color="auto"/>
              <w:right w:val="single" w:sz="6" w:space="0" w:color="auto"/>
            </w:tcBorders>
            <w:shd w:val="clear" w:color="auto" w:fill="auto"/>
            <w:vAlign w:val="center"/>
          </w:tcPr>
          <w:p w14:paraId="535BD201" w14:textId="77777777" w:rsidR="007D2333" w:rsidRPr="007275DF" w:rsidRDefault="007D2333" w:rsidP="007D2333">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0494555F" w14:textId="77777777" w:rsidR="007D2333" w:rsidRPr="007275DF" w:rsidRDefault="007D2333" w:rsidP="007D2333">
            <w:pPr>
              <w:pStyle w:val="TAC"/>
              <w:rPr>
                <w:rFonts w:cs="Arial"/>
              </w:rPr>
            </w:pPr>
            <w:r w:rsidRPr="007275DF">
              <w:rPr>
                <w:rFonts w:cs="Arial"/>
              </w:rPr>
              <w:t>NR_CCA_FR1_J</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499BCB4B" w14:textId="77777777" w:rsidR="007D2333" w:rsidRPr="007275DF" w:rsidRDefault="007D2333" w:rsidP="007D2333">
            <w:pPr>
              <w:pStyle w:val="TAC"/>
            </w:pPr>
            <w:r w:rsidRPr="007275DF">
              <w:t>-116.5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78D2D568" w14:textId="77777777" w:rsidR="007D2333" w:rsidRPr="007275DF" w:rsidRDefault="007D2333" w:rsidP="007D2333">
            <w:pPr>
              <w:pStyle w:val="TAC"/>
            </w:pPr>
            <w:r w:rsidRPr="007275DF">
              <w:t>-113.5</w:t>
            </w:r>
          </w:p>
        </w:tc>
        <w:tc>
          <w:tcPr>
            <w:tcW w:w="1440" w:type="dxa"/>
            <w:vMerge/>
            <w:tcBorders>
              <w:left w:val="single" w:sz="6" w:space="0" w:color="auto"/>
              <w:bottom w:val="single" w:sz="6" w:space="0" w:color="auto"/>
              <w:right w:val="single" w:sz="6" w:space="0" w:color="auto"/>
            </w:tcBorders>
            <w:shd w:val="clear" w:color="auto" w:fill="auto"/>
            <w:vAlign w:val="center"/>
          </w:tcPr>
          <w:p w14:paraId="4B51FCD4" w14:textId="77777777" w:rsidR="007D2333" w:rsidRPr="007275DF" w:rsidRDefault="007D2333" w:rsidP="007D2333">
            <w:pPr>
              <w:pStyle w:val="TAC"/>
            </w:pPr>
          </w:p>
        </w:tc>
        <w:tc>
          <w:tcPr>
            <w:tcW w:w="1440" w:type="dxa"/>
            <w:vMerge/>
            <w:tcBorders>
              <w:left w:val="single" w:sz="6" w:space="0" w:color="auto"/>
              <w:bottom w:val="single" w:sz="6" w:space="0" w:color="auto"/>
              <w:right w:val="single" w:sz="4" w:space="0" w:color="auto"/>
            </w:tcBorders>
            <w:shd w:val="clear" w:color="auto" w:fill="auto"/>
            <w:vAlign w:val="center"/>
          </w:tcPr>
          <w:p w14:paraId="235D2935" w14:textId="77777777" w:rsidR="007D2333" w:rsidRPr="007275DF" w:rsidRDefault="007D2333" w:rsidP="007D2333">
            <w:pPr>
              <w:pStyle w:val="TAC"/>
            </w:pPr>
          </w:p>
        </w:tc>
      </w:tr>
      <w:tr w:rsidR="007D2333" w:rsidRPr="007275DF" w14:paraId="0925B5D0" w14:textId="77777777" w:rsidTr="007D2333">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28F6C83B" w14:textId="77777777" w:rsidR="007D2333" w:rsidRPr="007275DF" w:rsidRDefault="007D2333" w:rsidP="007D2333">
            <w:pPr>
              <w:pStyle w:val="TAN"/>
            </w:pPr>
            <w:r w:rsidRPr="007275DF">
              <w:t>NOTE 1:</w:t>
            </w:r>
            <w:r w:rsidRPr="007275DF">
              <w:tab/>
              <w:t>Io is assumed to have constant EPRE across the bandwidth.</w:t>
            </w:r>
          </w:p>
          <w:p w14:paraId="1E6C456B" w14:textId="77777777" w:rsidR="007D2333" w:rsidRPr="007275DF" w:rsidRDefault="007D2333" w:rsidP="007D2333">
            <w:pPr>
              <w:pStyle w:val="TAN"/>
              <w:rPr>
                <w:lang w:eastAsia="zh-CN"/>
              </w:rPr>
            </w:pPr>
            <w:r w:rsidRPr="007275DF">
              <w:t>NOTE 2:</w:t>
            </w:r>
            <w:r w:rsidRPr="007275DF">
              <w:tab/>
            </w:r>
            <w:r w:rsidRPr="007275DF">
              <w:rPr>
                <w:lang w:eastAsia="zh-CN"/>
              </w:rPr>
              <w:t xml:space="preserve">The parameter </w:t>
            </w:r>
            <w:r w:rsidRPr="007275DF">
              <w:t>SSB Ês/Iot</w:t>
            </w:r>
            <w:r w:rsidRPr="007275DF">
              <w:rPr>
                <w:lang w:eastAsia="zh-CN"/>
              </w:rPr>
              <w:t xml:space="preserve"> is the minimum SSB </w:t>
            </w:r>
            <w:r w:rsidRPr="007275DF">
              <w:t>Ês/Iot</w:t>
            </w:r>
            <w:r w:rsidRPr="007275DF">
              <w:rPr>
                <w:lang w:eastAsia="zh-CN"/>
              </w:rPr>
              <w:t xml:space="preserve"> of the pair of cells to which the requirement applies.</w:t>
            </w:r>
          </w:p>
          <w:p w14:paraId="3AAFE660" w14:textId="77777777" w:rsidR="007D2333" w:rsidRPr="007275DF" w:rsidRDefault="007D2333" w:rsidP="007D2333">
            <w:pPr>
              <w:pStyle w:val="TAN"/>
            </w:pPr>
            <w:r w:rsidRPr="007275DF">
              <w:t>NOTE 3:</w:t>
            </w:r>
            <w:r w:rsidRPr="007275DF">
              <w:tab/>
              <w:t>NR operating band groups are as defined in clause 3.5.2.</w:t>
            </w:r>
          </w:p>
        </w:tc>
      </w:tr>
    </w:tbl>
    <w:p w14:paraId="06BCA43D" w14:textId="2E7E47FA" w:rsidR="007D2333" w:rsidRDefault="007D2333" w:rsidP="007D2333"/>
    <w:p w14:paraId="0D798C1C" w14:textId="1C812633" w:rsidR="00BB469D" w:rsidRPr="00976585" w:rsidRDefault="00BB469D" w:rsidP="00BB469D">
      <w:pPr>
        <w:pStyle w:val="Heading3"/>
        <w:rPr>
          <w:rFonts w:eastAsia="SimSun"/>
        </w:rPr>
      </w:pPr>
      <w:r>
        <w:rPr>
          <w:rFonts w:eastAsia="SimSun"/>
        </w:rPr>
        <w:t>1</w:t>
      </w:r>
      <w:r w:rsidRPr="003D16CA">
        <w:rPr>
          <w:rFonts w:eastAsia="SimSun"/>
        </w:rPr>
        <w:t>0.1.</w:t>
      </w:r>
      <w:r>
        <w:rPr>
          <w:rFonts w:eastAsia="SimSun"/>
        </w:rPr>
        <w:t>38</w:t>
      </w:r>
      <w:r w:rsidRPr="003D16CA">
        <w:rPr>
          <w:rFonts w:eastAsia="SimSun"/>
        </w:rPr>
        <w:tab/>
      </w:r>
      <w:r>
        <w:rPr>
          <w:rFonts w:eastAsia="SimSun"/>
        </w:rPr>
        <w:t>PRS</w:t>
      </w:r>
      <w:r w:rsidRPr="00CC6412">
        <w:rPr>
          <w:rFonts w:eastAsia="SimSun"/>
          <w:lang w:val="en-US"/>
        </w:rPr>
        <w:t xml:space="preserve">-RSRPP </w:t>
      </w:r>
      <w:r w:rsidRPr="003D16CA">
        <w:rPr>
          <w:rFonts w:eastAsia="SimSun"/>
        </w:rPr>
        <w:t>Measurements</w:t>
      </w:r>
    </w:p>
    <w:p w14:paraId="3828A26F" w14:textId="77777777" w:rsidR="00BB469D" w:rsidRPr="00956E6E" w:rsidRDefault="00BB469D" w:rsidP="00BB469D">
      <w:pPr>
        <w:pStyle w:val="Heading4"/>
        <w:rPr>
          <w:rFonts w:eastAsiaTheme="minorEastAsia"/>
        </w:rPr>
      </w:pPr>
      <w:r w:rsidRPr="00956E6E">
        <w:rPr>
          <w:rFonts w:eastAsiaTheme="minorEastAsia"/>
        </w:rPr>
        <w:t>10.1.</w:t>
      </w:r>
      <w:r>
        <w:rPr>
          <w:rFonts w:eastAsiaTheme="minorEastAsia"/>
        </w:rPr>
        <w:t>38</w:t>
      </w:r>
      <w:r w:rsidRPr="00956E6E">
        <w:rPr>
          <w:rFonts w:eastAsiaTheme="minorEastAsia"/>
        </w:rPr>
        <w:t>.1</w:t>
      </w:r>
      <w:r w:rsidRPr="00956E6E">
        <w:rPr>
          <w:rFonts w:eastAsiaTheme="minorEastAsia"/>
        </w:rPr>
        <w:tab/>
        <w:t>Introduction</w:t>
      </w:r>
    </w:p>
    <w:p w14:paraId="09EC459C" w14:textId="18FF71D1" w:rsidR="00BB469D" w:rsidRPr="00956E6E" w:rsidRDefault="00EF4F31" w:rsidP="00BB469D">
      <w:pPr>
        <w:rPr>
          <w:rFonts w:eastAsiaTheme="minorEastAsia"/>
        </w:rPr>
      </w:pPr>
      <w:r w:rsidRPr="00956E6E">
        <w:rPr>
          <w:rFonts w:eastAsiaTheme="minorEastAsia"/>
        </w:rPr>
        <w:t>The requirements in Clause 10.1.</w:t>
      </w:r>
      <w:r>
        <w:rPr>
          <w:rFonts w:eastAsiaTheme="minorEastAsia"/>
        </w:rPr>
        <w:t>38.2</w:t>
      </w:r>
      <w:r w:rsidRPr="00956E6E">
        <w:rPr>
          <w:rFonts w:eastAsiaTheme="minorEastAsia"/>
        </w:rPr>
        <w:t xml:space="preserve"> shall apply, provided the UE has received </w:t>
      </w:r>
      <w:r w:rsidRPr="00956E6E">
        <w:rPr>
          <w:rFonts w:eastAsiaTheme="minorEastAsia"/>
          <w:i/>
          <w:iCs/>
          <w:snapToGrid w:val="0"/>
        </w:rPr>
        <w:t>nr-DL-AoD-RequestLocationInformation</w:t>
      </w:r>
      <w:r w:rsidRPr="00956E6E">
        <w:rPr>
          <w:rFonts w:eastAsiaTheme="minorEastAsia"/>
        </w:rPr>
        <w:t xml:space="preserve"> message from LMF via LPP [34] requesting the UE to report one or more DL PRS-RSRPP measurements defined in TS 38.215 [4]. The requirements in Clause 10.1.</w:t>
      </w:r>
      <w:r>
        <w:rPr>
          <w:rFonts w:eastAsiaTheme="minorEastAsia"/>
          <w:lang w:eastAsia="zh-CN"/>
        </w:rPr>
        <w:t>38</w:t>
      </w:r>
      <w:r w:rsidRPr="00956E6E">
        <w:rPr>
          <w:rFonts w:eastAsiaTheme="minorEastAsia"/>
        </w:rPr>
        <w:t xml:space="preserve"> shall apply:</w:t>
      </w:r>
    </w:p>
    <w:p w14:paraId="48371783" w14:textId="5B7BB052" w:rsidR="00BB469D" w:rsidRPr="00956E6E" w:rsidRDefault="00F1512F" w:rsidP="00F1512F">
      <w:pPr>
        <w:pStyle w:val="B10"/>
        <w:rPr>
          <w:rFonts w:eastAsiaTheme="minorEastAsia"/>
        </w:rPr>
      </w:pPr>
      <w:r>
        <w:rPr>
          <w:rFonts w:eastAsiaTheme="minorEastAsia"/>
        </w:rPr>
        <w:t>-</w:t>
      </w:r>
      <w:r>
        <w:rPr>
          <w:rFonts w:eastAsiaTheme="minorEastAsia"/>
        </w:rPr>
        <w:tab/>
      </w:r>
      <w:r w:rsidR="00BB469D" w:rsidRPr="00956E6E">
        <w:rPr>
          <w:rFonts w:eastAsiaTheme="minorEastAsia"/>
        </w:rPr>
        <w:t>when UE is in RRC_CONNECTED state,</w:t>
      </w:r>
    </w:p>
    <w:p w14:paraId="048DCC05" w14:textId="3328228A" w:rsidR="00BB469D" w:rsidRPr="00956E6E" w:rsidRDefault="00F1512F" w:rsidP="00F1512F">
      <w:pPr>
        <w:pStyle w:val="B10"/>
        <w:rPr>
          <w:rFonts w:eastAsiaTheme="minorEastAsia"/>
        </w:rPr>
      </w:pPr>
      <w:r>
        <w:rPr>
          <w:rFonts w:eastAsiaTheme="minorEastAsia"/>
        </w:rPr>
        <w:t>-</w:t>
      </w:r>
      <w:r>
        <w:rPr>
          <w:rFonts w:eastAsiaTheme="minorEastAsia"/>
        </w:rPr>
        <w:tab/>
      </w:r>
      <w:r w:rsidR="00BB469D" w:rsidRPr="00956E6E">
        <w:rPr>
          <w:rFonts w:eastAsiaTheme="minorEastAsia"/>
        </w:rPr>
        <w:t>when UE is in RRC_INACTIVE state.</w:t>
      </w:r>
      <w:r w:rsidR="00BB469D" w:rsidRPr="00956E6E">
        <w:rPr>
          <w:rFonts w:eastAsiaTheme="minorEastAsia" w:hint="eastAsia"/>
          <w:lang w:eastAsia="zh-CN"/>
        </w:rPr>
        <w:t xml:space="preserve"> </w:t>
      </w:r>
    </w:p>
    <w:p w14:paraId="4ED87D9C" w14:textId="1ABE10FB" w:rsidR="00BB469D" w:rsidRPr="00956E6E" w:rsidRDefault="00EF4F31" w:rsidP="00BB469D">
      <w:pPr>
        <w:rPr>
          <w:rFonts w:eastAsiaTheme="minorEastAsia"/>
          <w:lang w:eastAsia="zh-CN"/>
        </w:rPr>
      </w:pPr>
      <w:r w:rsidRPr="00956E6E">
        <w:rPr>
          <w:rFonts w:eastAsiaTheme="minorEastAsia"/>
        </w:rPr>
        <w:t>The requirements in Clause 10.1.</w:t>
      </w:r>
      <w:r>
        <w:rPr>
          <w:rFonts w:eastAsiaTheme="minorEastAsia"/>
        </w:rPr>
        <w:t>38.2</w:t>
      </w:r>
      <w:r w:rsidRPr="00956E6E">
        <w:rPr>
          <w:rFonts w:eastAsiaTheme="minorEastAsia"/>
        </w:rPr>
        <w:t xml:space="preserve"> apply</w:t>
      </w:r>
      <w:r w:rsidRPr="00956E6E">
        <w:rPr>
          <w:rFonts w:eastAsiaTheme="minorEastAsia"/>
          <w:lang w:eastAsia="zh-CN"/>
        </w:rPr>
        <w:t xml:space="preserve"> for the first path PRS-RSRP measurement</w:t>
      </w:r>
      <w:r w:rsidRPr="00956E6E">
        <w:rPr>
          <w:rFonts w:eastAsiaTheme="minorEastAsia"/>
        </w:rPr>
        <w:t>.</w:t>
      </w:r>
    </w:p>
    <w:p w14:paraId="6257A070" w14:textId="77777777" w:rsidR="00BB469D" w:rsidRPr="00956E6E" w:rsidRDefault="00BB469D" w:rsidP="00BB469D">
      <w:pPr>
        <w:pStyle w:val="Heading4"/>
        <w:rPr>
          <w:rFonts w:eastAsiaTheme="minorEastAsia"/>
        </w:rPr>
      </w:pPr>
      <w:r w:rsidRPr="00956E6E">
        <w:rPr>
          <w:rFonts w:eastAsiaTheme="minorEastAsia"/>
        </w:rPr>
        <w:t>10.1.</w:t>
      </w:r>
      <w:r>
        <w:rPr>
          <w:rFonts w:eastAsiaTheme="minorEastAsia"/>
        </w:rPr>
        <w:t>38</w:t>
      </w:r>
      <w:r w:rsidRPr="00956E6E">
        <w:rPr>
          <w:rFonts w:eastAsiaTheme="minorEastAsia"/>
        </w:rPr>
        <w:t>.2</w:t>
      </w:r>
      <w:r w:rsidRPr="00956E6E">
        <w:rPr>
          <w:rFonts w:eastAsiaTheme="minorEastAsia"/>
        </w:rPr>
        <w:tab/>
        <w:t>Measurement Accuracy Requirements</w:t>
      </w:r>
    </w:p>
    <w:p w14:paraId="56B2CF90" w14:textId="77777777" w:rsidR="00BB469D" w:rsidRPr="00956E6E" w:rsidRDefault="00BB469D" w:rsidP="00BB469D">
      <w:pPr>
        <w:pStyle w:val="Heading5"/>
        <w:rPr>
          <w:rFonts w:eastAsiaTheme="minorEastAsia"/>
        </w:rPr>
      </w:pPr>
      <w:r w:rsidRPr="00956E6E">
        <w:rPr>
          <w:rFonts w:eastAsiaTheme="minorEastAsia"/>
        </w:rPr>
        <w:t>10.1.</w:t>
      </w:r>
      <w:r>
        <w:rPr>
          <w:rFonts w:eastAsiaTheme="minorEastAsia"/>
        </w:rPr>
        <w:t>38</w:t>
      </w:r>
      <w:r w:rsidRPr="00956E6E">
        <w:rPr>
          <w:rFonts w:eastAsiaTheme="minorEastAsia"/>
        </w:rPr>
        <w:t>.2.1</w:t>
      </w:r>
      <w:r w:rsidRPr="00956E6E">
        <w:rPr>
          <w:rFonts w:eastAsiaTheme="minorEastAsia"/>
        </w:rPr>
        <w:tab/>
      </w:r>
      <w:r w:rsidRPr="00956E6E">
        <w:rPr>
          <w:rFonts w:eastAsiaTheme="minorEastAsia" w:hint="eastAsia"/>
          <w:lang w:eastAsia="zh-CN"/>
        </w:rPr>
        <w:t>A</w:t>
      </w:r>
      <w:r w:rsidRPr="00956E6E">
        <w:rPr>
          <w:rFonts w:eastAsiaTheme="minorEastAsia"/>
        </w:rPr>
        <w:t>bsolute PRS RSRP</w:t>
      </w:r>
      <w:r w:rsidRPr="00956E6E">
        <w:rPr>
          <w:rFonts w:eastAsiaTheme="minorEastAsia" w:hint="eastAsia"/>
          <w:lang w:eastAsia="zh-CN"/>
        </w:rPr>
        <w:t>P</w:t>
      </w:r>
      <w:r w:rsidRPr="00956E6E">
        <w:rPr>
          <w:rFonts w:eastAsiaTheme="minorEastAsia"/>
        </w:rPr>
        <w:t xml:space="preserve"> accuracy</w:t>
      </w:r>
    </w:p>
    <w:p w14:paraId="24D1B037" w14:textId="4ED80311" w:rsidR="00BB469D" w:rsidRPr="00956E6E" w:rsidRDefault="00BB469D" w:rsidP="00BB469D">
      <w:pPr>
        <w:rPr>
          <w:rFonts w:eastAsiaTheme="minorEastAsia" w:cs="v4.2.0"/>
        </w:rPr>
      </w:pPr>
      <w:r w:rsidRPr="00956E6E">
        <w:rPr>
          <w:rFonts w:eastAsiaTheme="minorEastAsia" w:cs="v4.2.0"/>
        </w:rPr>
        <w:t xml:space="preserve">The </w:t>
      </w:r>
      <w:r w:rsidRPr="00956E6E">
        <w:rPr>
          <w:rFonts w:eastAsiaTheme="minorEastAsia" w:cs="v4.2.0" w:hint="eastAsia"/>
          <w:lang w:eastAsia="zh-CN"/>
        </w:rPr>
        <w:t xml:space="preserve">absolute </w:t>
      </w:r>
      <w:r w:rsidRPr="00956E6E">
        <w:rPr>
          <w:rFonts w:eastAsiaTheme="minorEastAsia" w:cs="v4.2.0"/>
        </w:rPr>
        <w:t xml:space="preserve">accuracy requirements </w:t>
      </w:r>
      <w:r w:rsidRPr="00956E6E">
        <w:rPr>
          <w:rFonts w:eastAsiaTheme="minorEastAsia" w:cs="v4.2.0" w:hint="eastAsia"/>
          <w:lang w:eastAsia="zh-CN"/>
        </w:rPr>
        <w:t xml:space="preserve">for PRS-RSRPP measurement for FR1 defined </w:t>
      </w:r>
      <w:r w:rsidRPr="00956E6E">
        <w:rPr>
          <w:rFonts w:eastAsiaTheme="minorEastAsia" w:cs="v4.2.0"/>
        </w:rPr>
        <w:t>in Table 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-1</w:t>
      </w:r>
      <w:r w:rsidRPr="00956E6E">
        <w:rPr>
          <w:rFonts w:eastAsiaTheme="minorEastAsia" w:cs="v4.2.0" w:hint="eastAsia"/>
          <w:lang w:eastAsia="zh-CN"/>
        </w:rPr>
        <w:t xml:space="preserve"> and </w:t>
      </w:r>
      <w:r w:rsidRPr="00956E6E">
        <w:rPr>
          <w:rFonts w:eastAsiaTheme="minorEastAsia" w:cs="v4.2.0"/>
        </w:rPr>
        <w:t>Table 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 xml:space="preserve">3 </w:t>
      </w:r>
      <w:r w:rsidRPr="00956E6E">
        <w:rPr>
          <w:rFonts w:eastAsiaTheme="minorEastAsia" w:cs="v4.2.0"/>
        </w:rPr>
        <w:t>are valid under the following conditions:</w:t>
      </w:r>
    </w:p>
    <w:p w14:paraId="1B61ECD9" w14:textId="77777777" w:rsidR="00BB469D" w:rsidRPr="00956E6E" w:rsidRDefault="00BB469D" w:rsidP="00F1512F">
      <w:pPr>
        <w:pStyle w:val="B10"/>
        <w:rPr>
          <w:rFonts w:eastAsiaTheme="minorEastAsia" w:cs="v4.2.0"/>
        </w:rPr>
      </w:pPr>
      <w:r w:rsidRPr="00956E6E">
        <w:rPr>
          <w:rFonts w:eastAsiaTheme="minorEastAsia"/>
        </w:rPr>
        <w:t>-</w:t>
      </w:r>
      <w:r w:rsidRPr="00956E6E">
        <w:rPr>
          <w:rFonts w:eastAsiaTheme="minorEastAsia"/>
        </w:rPr>
        <w:tab/>
        <w:t>Conditions defined in 3</w:t>
      </w:r>
      <w:r w:rsidRPr="00956E6E">
        <w:rPr>
          <w:rFonts w:eastAsiaTheme="minorEastAsia" w:hint="eastAsia"/>
          <w:lang w:eastAsia="zh-CN"/>
        </w:rPr>
        <w:t>8</w:t>
      </w:r>
      <w:r w:rsidRPr="00956E6E">
        <w:rPr>
          <w:rFonts w:eastAsiaTheme="minorEastAsia"/>
        </w:rPr>
        <w:t>.101</w:t>
      </w:r>
      <w:r w:rsidRPr="00956E6E">
        <w:rPr>
          <w:rFonts w:eastAsiaTheme="minorEastAsia" w:hint="eastAsia"/>
          <w:lang w:eastAsia="zh-CN"/>
        </w:rPr>
        <w:t>-1</w:t>
      </w:r>
      <w:r w:rsidRPr="00956E6E">
        <w:rPr>
          <w:rFonts w:eastAsiaTheme="minorEastAsia"/>
        </w:rPr>
        <w:t xml:space="preserve"> Clause 7.3 for reference sensitivity are fulfilled.</w:t>
      </w:r>
    </w:p>
    <w:p w14:paraId="16C80385" w14:textId="37462ED3" w:rsidR="00BB469D" w:rsidRPr="00956E6E" w:rsidRDefault="00EF4F31" w:rsidP="00F1512F">
      <w:pPr>
        <w:pStyle w:val="B10"/>
        <w:rPr>
          <w:rFonts w:eastAsiaTheme="minorEastAsia" w:cs="v4.2.0"/>
        </w:rPr>
      </w:pPr>
      <w:r w:rsidRPr="00956E6E">
        <w:rPr>
          <w:rFonts w:eastAsiaTheme="minorEastAsia"/>
        </w:rPr>
        <w:t>-</w:t>
      </w:r>
      <w:r w:rsidRPr="00956E6E">
        <w:rPr>
          <w:rFonts w:eastAsiaTheme="minorEastAsia"/>
        </w:rPr>
        <w:tab/>
        <w:t>PRP 1,2|</w:t>
      </w:r>
      <w:r w:rsidRPr="00956E6E">
        <w:rPr>
          <w:rFonts w:eastAsiaTheme="minorEastAsia"/>
          <w:vertAlign w:val="subscript"/>
        </w:rPr>
        <w:t>dBm</w:t>
      </w:r>
      <w:r w:rsidRPr="00956E6E">
        <w:rPr>
          <w:rFonts w:eastAsiaTheme="minorEastAsia"/>
        </w:rPr>
        <w:t xml:space="preserve"> according to Annex B.</w:t>
      </w:r>
      <w:r w:rsidRPr="00956E6E">
        <w:rPr>
          <w:rFonts w:eastAsiaTheme="minorEastAsia"/>
          <w:lang w:eastAsia="zh-CN"/>
        </w:rPr>
        <w:t>2</w:t>
      </w:r>
      <w:r w:rsidRPr="00E74F81">
        <w:rPr>
          <w:rFonts w:eastAsiaTheme="minorEastAsia"/>
          <w:lang w:eastAsia="zh-CN"/>
        </w:rPr>
        <w:t>.</w:t>
      </w:r>
      <w:r>
        <w:rPr>
          <w:rFonts w:eastAsiaTheme="minorEastAsia"/>
          <w:lang w:eastAsia="zh-CN"/>
        </w:rPr>
        <w:t>14</w:t>
      </w:r>
      <w:r w:rsidRPr="00956E6E">
        <w:rPr>
          <w:rFonts w:eastAsiaTheme="minorEastAsia"/>
        </w:rPr>
        <w:t xml:space="preserve"> for a corresponding Band</w:t>
      </w:r>
    </w:p>
    <w:p w14:paraId="123BD21F" w14:textId="39AB4238" w:rsidR="00BB469D" w:rsidRPr="00956E6E" w:rsidRDefault="00BB469D" w:rsidP="00BB469D">
      <w:pPr>
        <w:rPr>
          <w:rFonts w:eastAsiaTheme="minorEastAsia" w:cs="v4.2.0"/>
        </w:rPr>
      </w:pPr>
      <w:r w:rsidRPr="00956E6E">
        <w:rPr>
          <w:rFonts w:eastAsiaTheme="minorEastAsia" w:cs="v4.2.0"/>
        </w:rPr>
        <w:t xml:space="preserve">The </w:t>
      </w:r>
      <w:r w:rsidRPr="00956E6E">
        <w:rPr>
          <w:rFonts w:eastAsiaTheme="minorEastAsia" w:cs="v4.2.0" w:hint="eastAsia"/>
          <w:lang w:eastAsia="zh-CN"/>
        </w:rPr>
        <w:t xml:space="preserve">absolute </w:t>
      </w:r>
      <w:r w:rsidRPr="00956E6E">
        <w:rPr>
          <w:rFonts w:eastAsiaTheme="minorEastAsia" w:cs="v4.2.0"/>
        </w:rPr>
        <w:t xml:space="preserve">accuracy requirements </w:t>
      </w:r>
      <w:r w:rsidRPr="00956E6E">
        <w:rPr>
          <w:rFonts w:eastAsiaTheme="minorEastAsia" w:cs="v4.2.0" w:hint="eastAsia"/>
          <w:lang w:eastAsia="zh-CN"/>
        </w:rPr>
        <w:t xml:space="preserve">for PRS-RSRPP measurement for FR2 defined </w:t>
      </w:r>
      <w:r w:rsidRPr="00956E6E">
        <w:rPr>
          <w:rFonts w:eastAsiaTheme="minorEastAsia" w:cs="v4.2.0"/>
        </w:rPr>
        <w:t>in Table 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 xml:space="preserve">2 and </w:t>
      </w:r>
      <w:r w:rsidRPr="00956E6E">
        <w:rPr>
          <w:rFonts w:eastAsiaTheme="minorEastAsia" w:cs="v4.2.0"/>
        </w:rPr>
        <w:t>Table 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 xml:space="preserve">4 </w:t>
      </w:r>
      <w:r w:rsidRPr="00956E6E">
        <w:rPr>
          <w:rFonts w:eastAsiaTheme="minorEastAsia" w:cs="v4.2.0"/>
        </w:rPr>
        <w:t>are valid under the following conditions:</w:t>
      </w:r>
    </w:p>
    <w:p w14:paraId="1BF8A9B5" w14:textId="77777777" w:rsidR="00BB469D" w:rsidRPr="00956E6E" w:rsidRDefault="00BB469D" w:rsidP="00F1512F">
      <w:pPr>
        <w:pStyle w:val="B10"/>
        <w:rPr>
          <w:rFonts w:eastAsiaTheme="minorEastAsia" w:cs="v4.2.0"/>
        </w:rPr>
      </w:pPr>
      <w:r w:rsidRPr="00956E6E">
        <w:rPr>
          <w:rFonts w:eastAsiaTheme="minorEastAsia"/>
        </w:rPr>
        <w:t>-</w:t>
      </w:r>
      <w:r w:rsidRPr="00956E6E">
        <w:rPr>
          <w:rFonts w:eastAsiaTheme="minorEastAsia"/>
        </w:rPr>
        <w:tab/>
        <w:t>Conditions defined in 3</w:t>
      </w:r>
      <w:r w:rsidRPr="00956E6E">
        <w:rPr>
          <w:rFonts w:eastAsiaTheme="minorEastAsia" w:hint="eastAsia"/>
          <w:lang w:eastAsia="zh-CN"/>
        </w:rPr>
        <w:t>8</w:t>
      </w:r>
      <w:r w:rsidRPr="00956E6E">
        <w:rPr>
          <w:rFonts w:eastAsiaTheme="minorEastAsia"/>
        </w:rPr>
        <w:t>.101</w:t>
      </w:r>
      <w:r w:rsidRPr="00956E6E">
        <w:rPr>
          <w:rFonts w:eastAsiaTheme="minorEastAsia" w:hint="eastAsia"/>
          <w:lang w:eastAsia="zh-CN"/>
        </w:rPr>
        <w:t>-2</w:t>
      </w:r>
      <w:r w:rsidRPr="00956E6E">
        <w:rPr>
          <w:rFonts w:eastAsiaTheme="minorEastAsia"/>
        </w:rPr>
        <w:t xml:space="preserve"> Clause 7.3 for reference sensitivity are fulfilled.</w:t>
      </w:r>
    </w:p>
    <w:p w14:paraId="2D93524E" w14:textId="1958C9C8" w:rsidR="00BB469D" w:rsidRPr="00956E6E" w:rsidRDefault="00EF4F31" w:rsidP="00F1512F">
      <w:pPr>
        <w:pStyle w:val="B10"/>
        <w:rPr>
          <w:rFonts w:eastAsiaTheme="minorEastAsia"/>
          <w:lang w:eastAsia="zh-CN"/>
        </w:rPr>
      </w:pPr>
      <w:r w:rsidRPr="00956E6E">
        <w:rPr>
          <w:rFonts w:eastAsiaTheme="minorEastAsia"/>
        </w:rPr>
        <w:t>-</w:t>
      </w:r>
      <w:r w:rsidRPr="00956E6E">
        <w:rPr>
          <w:rFonts w:eastAsiaTheme="minorEastAsia"/>
        </w:rPr>
        <w:tab/>
        <w:t>PRP 1,2|</w:t>
      </w:r>
      <w:r w:rsidRPr="00956E6E">
        <w:rPr>
          <w:rFonts w:eastAsiaTheme="minorEastAsia"/>
          <w:vertAlign w:val="subscript"/>
        </w:rPr>
        <w:t>dBm</w:t>
      </w:r>
      <w:r w:rsidRPr="00956E6E">
        <w:rPr>
          <w:rFonts w:eastAsiaTheme="minorEastAsia"/>
        </w:rPr>
        <w:t xml:space="preserve"> according to Annex B.</w:t>
      </w:r>
      <w:r w:rsidRPr="00956E6E">
        <w:rPr>
          <w:rFonts w:eastAsiaTheme="minorEastAsia"/>
          <w:lang w:eastAsia="zh-CN"/>
        </w:rPr>
        <w:t>2.</w:t>
      </w:r>
      <w:r>
        <w:rPr>
          <w:rFonts w:eastAsiaTheme="minorEastAsia"/>
          <w:lang w:eastAsia="zh-CN"/>
        </w:rPr>
        <w:t>14</w:t>
      </w:r>
      <w:r w:rsidRPr="00956E6E">
        <w:rPr>
          <w:rFonts w:eastAsiaTheme="minorEastAsia"/>
        </w:rPr>
        <w:t xml:space="preserve"> for a corresponding Band</w:t>
      </w:r>
    </w:p>
    <w:p w14:paraId="07C9541B" w14:textId="0CB09F5F" w:rsidR="00BB469D" w:rsidRPr="00956E6E" w:rsidRDefault="00BB469D" w:rsidP="00BB469D">
      <w:pPr>
        <w:rPr>
          <w:rFonts w:eastAsiaTheme="minorEastAsia" w:cs="v4.2.0"/>
          <w:lang w:eastAsia="zh-CN"/>
        </w:rPr>
      </w:pPr>
      <w:r w:rsidRPr="00956E6E">
        <w:rPr>
          <w:rFonts w:eastAsiaTheme="minorEastAsia" w:cs="v4.2.0"/>
        </w:rPr>
        <w:t xml:space="preserve">The </w:t>
      </w:r>
      <w:r w:rsidRPr="00956E6E">
        <w:rPr>
          <w:rFonts w:eastAsiaTheme="minorEastAsia" w:cs="v4.2.0" w:hint="eastAsia"/>
          <w:lang w:eastAsia="zh-CN"/>
        </w:rPr>
        <w:t xml:space="preserve">absolute </w:t>
      </w:r>
      <w:r w:rsidRPr="00956E6E">
        <w:rPr>
          <w:rFonts w:eastAsiaTheme="minorEastAsia" w:cs="v4.2.0"/>
        </w:rPr>
        <w:t xml:space="preserve">accuracy requirements </w:t>
      </w:r>
      <w:r w:rsidRPr="00956E6E">
        <w:rPr>
          <w:rFonts w:eastAsiaTheme="minorEastAsia" w:cs="v4.2.0" w:hint="eastAsia"/>
          <w:lang w:eastAsia="zh-CN"/>
        </w:rPr>
        <w:t xml:space="preserve">for PRS-RSRPP measurement defined </w:t>
      </w:r>
      <w:r w:rsidRPr="00956E6E">
        <w:rPr>
          <w:rFonts w:eastAsiaTheme="minorEastAsia" w:cs="v4.2.0"/>
        </w:rPr>
        <w:t>in Table 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 xml:space="preserve">1 and </w:t>
      </w:r>
      <w:r w:rsidRPr="00956E6E">
        <w:rPr>
          <w:rFonts w:eastAsiaTheme="minorEastAsia" w:cs="v4.2.0"/>
        </w:rPr>
        <w:t>Table 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 xml:space="preserve">2 apply for the UE not supporting </w:t>
      </w:r>
      <w:r w:rsidRPr="00956E6E">
        <w:rPr>
          <w:rFonts w:eastAsiaTheme="minorEastAsia"/>
          <w:i/>
          <w:iCs/>
        </w:rPr>
        <w:t>supportedDL-PRS-ProcessingSamples</w:t>
      </w:r>
      <w:r w:rsidRPr="00956E6E">
        <w:rPr>
          <w:rFonts w:eastAsiaTheme="minorEastAsia"/>
        </w:rPr>
        <w:t xml:space="preserve"> [34] or LMF does not indicate UE to perform positioning measurements with reduced number of samples</w:t>
      </w:r>
      <w:r w:rsidRPr="00956E6E">
        <w:rPr>
          <w:rFonts w:eastAsiaTheme="minorEastAsia" w:cs="v4.2.0" w:hint="eastAsia"/>
          <w:lang w:eastAsia="zh-CN"/>
        </w:rPr>
        <w:t xml:space="preserve">. </w:t>
      </w:r>
    </w:p>
    <w:p w14:paraId="51AC3426" w14:textId="0111F52E" w:rsidR="00BB469D" w:rsidRPr="00956E6E" w:rsidRDefault="00BB469D" w:rsidP="00BB469D">
      <w:pPr>
        <w:rPr>
          <w:rFonts w:eastAsiaTheme="minorEastAsia" w:cs="v4.2.0"/>
          <w:lang w:eastAsia="zh-CN"/>
        </w:rPr>
      </w:pPr>
      <w:r w:rsidRPr="00956E6E">
        <w:rPr>
          <w:rFonts w:eastAsiaTheme="minorEastAsia" w:cs="v4.2.0"/>
        </w:rPr>
        <w:t xml:space="preserve">The </w:t>
      </w:r>
      <w:r w:rsidRPr="00956E6E">
        <w:rPr>
          <w:rFonts w:eastAsiaTheme="minorEastAsia" w:cs="v4.2.0" w:hint="eastAsia"/>
          <w:lang w:eastAsia="zh-CN"/>
        </w:rPr>
        <w:t xml:space="preserve">absolute </w:t>
      </w:r>
      <w:r w:rsidRPr="00956E6E">
        <w:rPr>
          <w:rFonts w:eastAsiaTheme="minorEastAsia" w:cs="v4.2.0"/>
        </w:rPr>
        <w:t xml:space="preserve">accuracy requirements </w:t>
      </w:r>
      <w:r w:rsidRPr="00956E6E">
        <w:rPr>
          <w:rFonts w:eastAsiaTheme="minorEastAsia" w:cs="v4.2.0" w:hint="eastAsia"/>
          <w:lang w:eastAsia="zh-CN"/>
        </w:rPr>
        <w:t xml:space="preserve">for PRS-RSRPP measurement defined </w:t>
      </w:r>
      <w:r w:rsidRPr="00956E6E">
        <w:rPr>
          <w:rFonts w:eastAsiaTheme="minorEastAsia" w:cs="v4.2.0"/>
        </w:rPr>
        <w:t>in Table 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 xml:space="preserve">3 and </w:t>
      </w:r>
      <w:r w:rsidRPr="00956E6E">
        <w:rPr>
          <w:rFonts w:eastAsiaTheme="minorEastAsia" w:cs="v4.2.0"/>
        </w:rPr>
        <w:t>Table 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 xml:space="preserve">4 apply for the UE supporting </w:t>
      </w:r>
      <w:r w:rsidRPr="00956E6E">
        <w:rPr>
          <w:rFonts w:eastAsiaTheme="minorEastAsia"/>
          <w:i/>
          <w:iCs/>
        </w:rPr>
        <w:t>supportedDL-PRS-ProcessingSamples</w:t>
      </w:r>
      <w:r w:rsidRPr="00956E6E">
        <w:rPr>
          <w:rFonts w:eastAsiaTheme="minorEastAsia"/>
        </w:rPr>
        <w:t xml:space="preserve"> [34]</w:t>
      </w:r>
      <w:r w:rsidRPr="00956E6E">
        <w:rPr>
          <w:rFonts w:eastAsiaTheme="minorEastAsia" w:cs="v4.2.0" w:hint="eastAsia"/>
          <w:lang w:eastAsia="zh-CN"/>
        </w:rPr>
        <w:t xml:space="preserve">. </w:t>
      </w:r>
    </w:p>
    <w:p w14:paraId="56597350" w14:textId="0299AF28" w:rsidR="00BB469D" w:rsidRDefault="00BB469D" w:rsidP="0012580B">
      <w:pPr>
        <w:pStyle w:val="NO"/>
        <w:rPr>
          <w:rFonts w:eastAsiaTheme="minorEastAsia"/>
        </w:rPr>
      </w:pPr>
      <w:r w:rsidRPr="00956E6E">
        <w:rPr>
          <w:rFonts w:eastAsiaTheme="minorEastAsia"/>
        </w:rPr>
        <w:t xml:space="preserve">Note: The requriements in this clause are derived based on </w:t>
      </w:r>
      <w:r w:rsidRPr="00956E6E">
        <w:rPr>
          <w:rFonts w:eastAsiaTheme="minorEastAsia" w:hint="eastAsia"/>
          <w:lang w:eastAsia="zh-CN"/>
        </w:rPr>
        <w:t>t</w:t>
      </w:r>
      <w:r w:rsidRPr="00956E6E">
        <w:rPr>
          <w:rFonts w:eastAsiaTheme="minorEastAsia"/>
        </w:rPr>
        <w:t>wo-tap channel defined in 38.101-4 Annex B.2.4</w:t>
      </w:r>
      <w:r w:rsidRPr="00956E6E">
        <w:rPr>
          <w:rFonts w:eastAsiaTheme="minorEastAsia" w:hint="eastAsia"/>
          <w:lang w:eastAsia="zh-CN"/>
        </w:rPr>
        <w:t xml:space="preserve"> (</w:t>
      </w:r>
      <w:r w:rsidRPr="00956E6E">
        <w:rPr>
          <w:rFonts w:eastAsiaTheme="minorEastAsia"/>
        </w:rPr>
        <w:t>a = 1, τ</w:t>
      </w:r>
      <w:r w:rsidRPr="00251070">
        <w:rPr>
          <w:rFonts w:eastAsiaTheme="minorEastAsia"/>
          <w:vertAlign w:val="subscript"/>
        </w:rPr>
        <w:t>d</w:t>
      </w:r>
      <w:r w:rsidRPr="00956E6E">
        <w:rPr>
          <w:rFonts w:eastAsiaTheme="minorEastAsia"/>
        </w:rPr>
        <w:t>=0.45 µs and f</w:t>
      </w:r>
      <w:r w:rsidRPr="00251070">
        <w:rPr>
          <w:rFonts w:eastAsiaTheme="minorEastAsia"/>
          <w:vertAlign w:val="subscript"/>
        </w:rPr>
        <w:t>D</w:t>
      </w:r>
      <w:r w:rsidRPr="00956E6E">
        <w:rPr>
          <w:rFonts w:eastAsiaTheme="minorEastAsia"/>
        </w:rPr>
        <w:t>=5 Hz</w:t>
      </w:r>
      <w:r w:rsidRPr="00956E6E">
        <w:rPr>
          <w:rFonts w:eastAsiaTheme="minorEastAsia" w:hint="eastAsia"/>
          <w:lang w:eastAsia="zh-CN"/>
        </w:rPr>
        <w:t>)</w:t>
      </w:r>
      <w:r w:rsidRPr="00956E6E">
        <w:rPr>
          <w:rFonts w:eastAsiaTheme="minorEastAsia"/>
        </w:rPr>
        <w:t xml:space="preserve">. </w:t>
      </w:r>
    </w:p>
    <w:p w14:paraId="46163273" w14:textId="77777777" w:rsidR="0012580B" w:rsidRDefault="0012580B" w:rsidP="0012580B">
      <w:pPr>
        <w:pStyle w:val="NO"/>
        <w:rPr>
          <w:lang w:eastAsia="zh-CN"/>
        </w:rPr>
      </w:pPr>
      <w:r>
        <w:rPr>
          <w:rFonts w:hint="eastAsia"/>
          <w:lang w:eastAsia="zh-CN"/>
        </w:rPr>
        <w:t>N</w:t>
      </w:r>
      <w:r>
        <w:rPr>
          <w:lang w:eastAsia="zh-CN"/>
        </w:rPr>
        <w:t xml:space="preserve">ote: The requirements in this clause are derived based on the difference between the estimated PRS-RSRPP compared to the ideal PRS-RSRPP defined as </w:t>
      </w:r>
    </w:p>
    <w:p w14:paraId="5C9A3413" w14:textId="77777777" w:rsidR="0012580B" w:rsidRPr="004F0ADC" w:rsidRDefault="00000000" w:rsidP="0012580B">
      <w:pPr>
        <w:spacing w:after="120"/>
        <w:rPr>
          <w:bCs/>
          <w:i/>
          <w:lang w:val="sv-SE" w:eastAsia="zh-CN"/>
        </w:rPr>
      </w:pPr>
      <m:oMathPara>
        <m:oMath>
          <m:sSub>
            <m:sSubPr>
              <m:ctrlPr>
                <w:rPr>
                  <w:rFonts w:ascii="Cambria Math" w:eastAsia="Calibri" w:hAnsi="Cambria Math"/>
                  <w:bCs/>
                  <w:lang w:val="sv-SE" w:eastAsia="zh-CN"/>
                </w:rPr>
              </m:ctrlPr>
            </m:sSubPr>
            <m:e>
              <m:r>
                <m:rPr>
                  <m:sty m:val="p"/>
                </m:rPr>
                <w:rPr>
                  <w:rFonts w:ascii="Cambria Math" w:eastAsia="Calibri" w:hAnsi="Cambria Math"/>
                  <w:lang w:val="sv-SE" w:eastAsia="zh-CN"/>
                </w:rPr>
                <m:t>RSRPP</m:t>
              </m:r>
            </m:e>
            <m:sub>
              <m:r>
                <w:rPr>
                  <w:rFonts w:ascii="Cambria Math" w:eastAsia="Calibri" w:hAnsi="Cambria Math"/>
                  <w:lang w:val="sv-SE" w:eastAsia="zh-CN"/>
                </w:rPr>
                <m:t>p</m:t>
              </m:r>
            </m:sub>
          </m:sSub>
          <m:r>
            <w:rPr>
              <w:rFonts w:ascii="Cambria Math" w:eastAsia="Calibri" w:hAnsi="Cambria Math"/>
              <w:lang w:val="sv-SE" w:eastAsia="zh-CN"/>
            </w:rPr>
            <m:t>∝</m:t>
          </m:r>
          <m:sSup>
            <m:sSupPr>
              <m:ctrlPr>
                <w:rPr>
                  <w:rFonts w:ascii="Cambria Math" w:eastAsia="Calibri" w:hAnsi="Cambria Math"/>
                  <w:bCs/>
                  <w:i/>
                  <w:lang w:val="sv-SE" w:eastAsia="zh-CN"/>
                </w:rPr>
              </m:ctrlPr>
            </m:sSupPr>
            <m:e>
              <m:d>
                <m:dPr>
                  <m:begChr m:val="|"/>
                  <m:endChr m:val="|"/>
                  <m:ctrlPr>
                    <w:rPr>
                      <w:rFonts w:ascii="Cambria Math" w:eastAsia="Calibri" w:hAnsi="Cambria Math"/>
                      <w:bCs/>
                      <w:i/>
                      <w:lang w:val="sv-SE" w:eastAsia="zh-CN"/>
                    </w:rPr>
                  </m:ctrlPr>
                </m:dPr>
                <m:e>
                  <m:nary>
                    <m:naryPr>
                      <m:chr m:val="∑"/>
                      <m:supHide m:val="1"/>
                      <m:ctrlPr>
                        <w:rPr>
                          <w:rFonts w:ascii="Cambria Math" w:eastAsia="Calibri" w:hAnsi="Cambria Math"/>
                          <w:bCs/>
                          <w:i/>
                          <w:lang w:val="sv-SE" w:eastAsia="zh-CN"/>
                        </w:rPr>
                      </m:ctrlPr>
                    </m:naryPr>
                    <m:sub>
                      <m:r>
                        <w:rPr>
                          <w:rFonts w:ascii="Cambria Math" w:eastAsia="Calibri" w:hAnsi="Cambria Math"/>
                          <w:lang w:val="sv-SE" w:eastAsia="zh-CN"/>
                        </w:rPr>
                        <m:t>k</m:t>
                      </m:r>
                    </m:sub>
                    <m:sup/>
                    <m:e>
                      <m:sSub>
                        <m:sSubPr>
                          <m:ctrlPr>
                            <w:rPr>
                              <w:rFonts w:ascii="Cambria Math" w:eastAsia="Calibri" w:hAnsi="Cambria Math"/>
                              <w:bCs/>
                              <w:i/>
                              <w:lang w:val="sv-SE" w:eastAsia="zh-CN"/>
                            </w:rPr>
                          </m:ctrlPr>
                        </m:sSubPr>
                        <m:e>
                          <m:r>
                            <w:rPr>
                              <w:rFonts w:ascii="Cambria Math" w:eastAsia="Calibri" w:hAnsi="Cambria Math"/>
                              <w:lang w:val="sv-SE" w:eastAsia="zh-CN"/>
                            </w:rPr>
                            <m:t>H</m:t>
                          </m:r>
                        </m:e>
                        <m:sub>
                          <m:r>
                            <w:rPr>
                              <w:rFonts w:ascii="Cambria Math" w:eastAsia="Calibri" w:hAnsi="Cambria Math"/>
                              <w:lang w:val="sv-SE" w:eastAsia="zh-CN"/>
                            </w:rPr>
                            <m:t>k</m:t>
                          </m:r>
                        </m:sub>
                      </m:sSub>
                      <m:func>
                        <m:funcPr>
                          <m:ctrlPr>
                            <w:rPr>
                              <w:rFonts w:ascii="Cambria Math" w:eastAsia="Calibri" w:hAnsi="Cambria Math"/>
                              <w:bCs/>
                              <w:i/>
                              <w:lang w:val="sv-SE" w:eastAsia="zh-CN"/>
                            </w:rPr>
                          </m:ctrlPr>
                        </m:funcPr>
                        <m:fName>
                          <m:r>
                            <m:rPr>
                              <m:sty m:val="p"/>
                            </m:rPr>
                            <w:rPr>
                              <w:rFonts w:ascii="Cambria Math" w:eastAsia="Calibri" w:hAnsi="Cambria Math"/>
                              <w:lang w:val="sv-SE" w:eastAsia="zh-CN"/>
                            </w:rPr>
                            <m:t>exp</m:t>
                          </m:r>
                        </m:fName>
                        <m:e>
                          <m:d>
                            <m:dPr>
                              <m:ctrlPr>
                                <w:rPr>
                                  <w:rFonts w:ascii="Cambria Math" w:eastAsia="Calibri" w:hAnsi="Cambria Math"/>
                                  <w:bCs/>
                                  <w:i/>
                                  <w:lang w:val="sv-SE" w:eastAsia="zh-CN"/>
                                </w:rPr>
                              </m:ctrlPr>
                            </m:dPr>
                            <m:e>
                              <m:r>
                                <w:rPr>
                                  <w:rFonts w:ascii="Cambria Math" w:eastAsia="Calibri" w:hAnsi="Cambria Math"/>
                                  <w:lang w:val="sv-SE" w:eastAsia="zh-CN"/>
                                </w:rPr>
                                <m:t>j2π</m:t>
                              </m:r>
                              <m:sSub>
                                <m:sSubPr>
                                  <m:ctrlPr>
                                    <w:rPr>
                                      <w:rFonts w:ascii="Cambria Math" w:eastAsia="Calibri" w:hAnsi="Cambria Math"/>
                                      <w:bCs/>
                                      <w:i/>
                                      <w:lang w:val="sv-SE" w:eastAsia="zh-CN"/>
                                    </w:rPr>
                                  </m:ctrlPr>
                                </m:sSubPr>
                                <m:e>
                                  <m:r>
                                    <w:rPr>
                                      <w:rFonts w:ascii="Cambria Math" w:eastAsia="Calibri" w:hAnsi="Cambria Math"/>
                                      <w:lang w:val="sv-SE" w:eastAsia="zh-CN"/>
                                    </w:rPr>
                                    <m:t>D</m:t>
                                  </m:r>
                                </m:e>
                                <m:sub>
                                  <m:r>
                                    <w:rPr>
                                      <w:rFonts w:ascii="Cambria Math" w:eastAsia="Calibri" w:hAnsi="Cambria Math"/>
                                      <w:lang w:val="sv-SE" w:eastAsia="zh-CN"/>
                                    </w:rPr>
                                    <m:t>p</m:t>
                                  </m:r>
                                </m:sub>
                              </m:sSub>
                              <m:f>
                                <m:fPr>
                                  <m:ctrlPr>
                                    <w:rPr>
                                      <w:rFonts w:ascii="Cambria Math" w:eastAsia="Calibri" w:hAnsi="Cambria Math"/>
                                      <w:bCs/>
                                      <w:i/>
                                      <w:lang w:val="sv-SE" w:eastAsia="zh-CN"/>
                                    </w:rPr>
                                  </m:ctrlPr>
                                </m:fPr>
                                <m:num>
                                  <m:r>
                                    <w:rPr>
                                      <w:rFonts w:ascii="Cambria Math" w:eastAsia="Calibri" w:hAnsi="Cambria Math"/>
                                      <w:lang w:val="sv-SE" w:eastAsia="zh-CN"/>
                                    </w:rPr>
                                    <m:t>k</m:t>
                                  </m:r>
                                </m:num>
                                <m:den>
                                  <m:sSub>
                                    <m:sSubPr>
                                      <m:ctrlPr>
                                        <w:rPr>
                                          <w:rFonts w:ascii="Cambria Math" w:eastAsia="Calibri" w:hAnsi="Cambria Math"/>
                                          <w:bCs/>
                                          <w:lang w:val="sv-SE" w:eastAsia="zh-CN"/>
                                        </w:rPr>
                                      </m:ctrlPr>
                                    </m:sSubPr>
                                    <m:e>
                                      <m:r>
                                        <w:rPr>
                                          <w:rFonts w:ascii="Cambria Math" w:eastAsia="Calibri" w:hAnsi="Cambria Math"/>
                                          <w:lang w:val="sv-SE" w:eastAsia="zh-CN"/>
                                        </w:rPr>
                                        <m:t>N</m:t>
                                      </m:r>
                                      <m:ctrlPr>
                                        <w:rPr>
                                          <w:rFonts w:ascii="Cambria Math" w:eastAsia="Calibri" w:hAnsi="Cambria Math"/>
                                          <w:bCs/>
                                          <w:i/>
                                          <w:lang w:val="sv-SE" w:eastAsia="zh-CN"/>
                                        </w:rPr>
                                      </m:ctrlPr>
                                    </m:e>
                                    <m:sub>
                                      <m:r>
                                        <m:rPr>
                                          <m:sty m:val="p"/>
                                        </m:rPr>
                                        <w:rPr>
                                          <w:rFonts w:ascii="Cambria Math" w:eastAsia="Calibri" w:hAnsi="Cambria Math"/>
                                          <w:lang w:val="sv-SE" w:eastAsia="zh-CN"/>
                                        </w:rPr>
                                        <m:t>IFFT</m:t>
                                      </m:r>
                                    </m:sub>
                                  </m:sSub>
                                </m:den>
                              </m:f>
                            </m:e>
                          </m:d>
                        </m:e>
                      </m:func>
                    </m:e>
                  </m:nary>
                </m:e>
              </m:d>
            </m:e>
            <m:sup>
              <m:r>
                <w:rPr>
                  <w:rFonts w:ascii="Cambria Math" w:eastAsia="Calibri" w:hAnsi="Cambria Math"/>
                  <w:lang w:val="sv-SE" w:eastAsia="zh-CN"/>
                </w:rPr>
                <m:t>2</m:t>
              </m:r>
            </m:sup>
          </m:sSup>
        </m:oMath>
      </m:oMathPara>
    </w:p>
    <w:p w14:paraId="22CCB5FD" w14:textId="77777777" w:rsidR="0012580B" w:rsidRPr="004F0ADC" w:rsidRDefault="0012580B" w:rsidP="0012580B">
      <w:pPr>
        <w:spacing w:after="120"/>
        <w:rPr>
          <w:bCs/>
          <w:lang w:val="en-US" w:eastAsia="zh-CN"/>
        </w:rPr>
      </w:pPr>
      <w:r w:rsidRPr="004F0ADC">
        <w:rPr>
          <w:bCs/>
          <w:lang w:val="en-US" w:eastAsia="zh-CN"/>
        </w:rPr>
        <w:t>Where:</w:t>
      </w:r>
    </w:p>
    <w:p w14:paraId="226E72C5" w14:textId="77777777" w:rsidR="0012580B" w:rsidRPr="004F0ADC" w:rsidRDefault="00000000" w:rsidP="0012580B">
      <w:pPr>
        <w:spacing w:after="120"/>
        <w:rPr>
          <w:bCs/>
          <w:lang w:val="en-US" w:eastAsia="zh-CN"/>
        </w:rPr>
      </w:pPr>
      <m:oMath>
        <m:sSub>
          <m:sSubPr>
            <m:ctrlPr>
              <w:rPr>
                <w:rFonts w:ascii="Cambria Math" w:eastAsia="Calibri" w:hAnsi="Cambria Math"/>
                <w:bCs/>
                <w:i/>
                <w:lang w:val="sv-SE" w:eastAsia="zh-CN"/>
              </w:rPr>
            </m:ctrlPr>
          </m:sSubPr>
          <m:e>
            <m:r>
              <w:rPr>
                <w:rFonts w:ascii="Cambria Math" w:eastAsia="Calibri" w:hAnsi="Cambria Math"/>
                <w:lang w:val="sv-SE" w:eastAsia="zh-CN"/>
              </w:rPr>
              <m:t>H</m:t>
            </m:r>
          </m:e>
          <m:sub>
            <m:r>
              <w:rPr>
                <w:rFonts w:ascii="Cambria Math" w:eastAsia="Calibri" w:hAnsi="Cambria Math"/>
                <w:lang w:val="sv-SE" w:eastAsia="zh-CN"/>
              </w:rPr>
              <m:t>k</m:t>
            </m:r>
          </m:sub>
        </m:sSub>
      </m:oMath>
      <w:r w:rsidR="0012580B" w:rsidRPr="004F0ADC">
        <w:rPr>
          <w:bCs/>
          <w:lang w:val="en-US" w:eastAsia="zh-CN"/>
        </w:rPr>
        <w:t xml:space="preserve"> is the effective channel frequency response (over REs occupied by PRS) measured without receiver noise.</w:t>
      </w:r>
    </w:p>
    <w:p w14:paraId="0235AA77" w14:textId="77777777" w:rsidR="0012580B" w:rsidRPr="004F0ADC" w:rsidRDefault="00000000" w:rsidP="0012580B">
      <w:pPr>
        <w:spacing w:after="120"/>
        <w:rPr>
          <w:bCs/>
          <w:lang w:val="en-US" w:eastAsia="zh-CN"/>
        </w:rPr>
      </w:pPr>
      <m:oMath>
        <m:sSub>
          <m:sSubPr>
            <m:ctrlPr>
              <w:rPr>
                <w:rFonts w:ascii="Cambria Math" w:eastAsia="Calibri" w:hAnsi="Cambria Math"/>
                <w:bCs/>
                <w:i/>
                <w:lang w:val="sv-SE" w:eastAsia="zh-CN"/>
              </w:rPr>
            </m:ctrlPr>
          </m:sSubPr>
          <m:e>
            <m:r>
              <w:rPr>
                <w:rFonts w:ascii="Cambria Math" w:eastAsia="Calibri" w:hAnsi="Cambria Math"/>
                <w:lang w:val="sv-SE" w:eastAsia="zh-CN"/>
              </w:rPr>
              <m:t>D</m:t>
            </m:r>
          </m:e>
          <m:sub>
            <m:r>
              <w:rPr>
                <w:rFonts w:ascii="Cambria Math" w:eastAsia="Calibri" w:hAnsi="Cambria Math"/>
                <w:lang w:val="sv-SE" w:eastAsia="zh-CN"/>
              </w:rPr>
              <m:t>p</m:t>
            </m:r>
          </m:sub>
        </m:sSub>
      </m:oMath>
      <w:r w:rsidR="0012580B" w:rsidRPr="004F0ADC">
        <w:rPr>
          <w:bCs/>
          <w:lang w:val="en-US" w:eastAsia="zh-CN"/>
        </w:rPr>
        <w:t xml:space="preserve"> is the exact delay of the p-th path in the channel model.</w:t>
      </w:r>
    </w:p>
    <w:p w14:paraId="5CE130B3" w14:textId="77777777" w:rsidR="0012580B" w:rsidRPr="00251070" w:rsidRDefault="0012580B" w:rsidP="00BB469D">
      <w:pPr>
        <w:rPr>
          <w:rFonts w:eastAsiaTheme="minorEastAsia"/>
        </w:rPr>
      </w:pPr>
    </w:p>
    <w:p w14:paraId="40A9B847" w14:textId="7D0E6CE5" w:rsidR="00BB469D" w:rsidRPr="00956E6E" w:rsidRDefault="00BB469D" w:rsidP="00F1512F">
      <w:pPr>
        <w:pStyle w:val="TH"/>
        <w:rPr>
          <w:rFonts w:eastAsiaTheme="minorEastAsia"/>
          <w:lang w:eastAsia="zh-CN"/>
        </w:rPr>
      </w:pPr>
      <w:r w:rsidRPr="00956E6E">
        <w:rPr>
          <w:rFonts w:eastAsiaTheme="minorEastAsia"/>
        </w:rPr>
        <w:t xml:space="preserve">Table </w:t>
      </w:r>
      <w:r w:rsidRPr="00956E6E">
        <w:rPr>
          <w:rFonts w:eastAsiaTheme="minorEastAsia" w:cs="v4.2.0"/>
        </w:rPr>
        <w:t>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-1</w:t>
      </w:r>
      <w:r w:rsidRPr="00956E6E">
        <w:rPr>
          <w:rFonts w:eastAsiaTheme="minorEastAsia"/>
        </w:rPr>
        <w:t xml:space="preserve">: PRS-RSRPP </w:t>
      </w:r>
      <w:r w:rsidRPr="00956E6E">
        <w:rPr>
          <w:rFonts w:eastAsiaTheme="minorEastAsia" w:hint="eastAsia"/>
          <w:lang w:eastAsia="zh-CN"/>
        </w:rPr>
        <w:t xml:space="preserve">absolute </w:t>
      </w:r>
      <w:r w:rsidRPr="00956E6E">
        <w:rPr>
          <w:rFonts w:eastAsiaTheme="minorEastAsia"/>
        </w:rPr>
        <w:t>accuracy</w:t>
      </w:r>
      <w:r w:rsidRPr="00956E6E">
        <w:rPr>
          <w:rFonts w:eastAsiaTheme="minorEastAsia" w:hint="eastAsia"/>
          <w:lang w:eastAsia="zh-CN"/>
        </w:rPr>
        <w:t xml:space="preserve"> for FR1</w:t>
      </w:r>
    </w:p>
    <w:tbl>
      <w:tblPr>
        <w:tblW w:w="11052" w:type="dxa"/>
        <w:jc w:val="center"/>
        <w:tblLayout w:type="fixed"/>
        <w:tblLook w:val="01E0" w:firstRow="1" w:lastRow="1" w:firstColumn="1" w:lastColumn="1" w:noHBand="0" w:noVBand="0"/>
      </w:tblPr>
      <w:tblGrid>
        <w:gridCol w:w="965"/>
        <w:gridCol w:w="965"/>
        <w:gridCol w:w="827"/>
        <w:gridCol w:w="1140"/>
        <w:gridCol w:w="1178"/>
        <w:gridCol w:w="1586"/>
        <w:gridCol w:w="984"/>
        <w:gridCol w:w="1013"/>
        <w:gridCol w:w="1197"/>
        <w:gridCol w:w="1197"/>
      </w:tblGrid>
      <w:tr w:rsidR="00BB469D" w:rsidRPr="00956E6E" w14:paraId="1F2D107D" w14:textId="77777777" w:rsidTr="007A5129">
        <w:trPr>
          <w:trHeight w:val="430"/>
          <w:jc w:val="center"/>
        </w:trPr>
        <w:tc>
          <w:tcPr>
            <w:tcW w:w="1930" w:type="dxa"/>
            <w:gridSpan w:val="2"/>
            <w:tcBorders>
              <w:top w:val="single" w:sz="4" w:space="0" w:color="auto"/>
              <w:left w:val="single" w:sz="4" w:space="0" w:color="auto"/>
              <w:right w:val="single" w:sz="6" w:space="0" w:color="auto"/>
            </w:tcBorders>
            <w:shd w:val="clear" w:color="auto" w:fill="auto"/>
            <w:vAlign w:val="center"/>
          </w:tcPr>
          <w:p w14:paraId="4A0F4B11" w14:textId="77777777" w:rsidR="00BB469D" w:rsidRPr="00956E6E" w:rsidRDefault="00BB469D" w:rsidP="00F1512F">
            <w:pPr>
              <w:pStyle w:val="TAH"/>
              <w:rPr>
                <w:rFonts w:eastAsiaTheme="minorEastAsia"/>
              </w:rPr>
            </w:pPr>
            <w:r w:rsidRPr="00956E6E">
              <w:rPr>
                <w:rFonts w:eastAsiaTheme="minorEastAsia"/>
              </w:rPr>
              <w:t>Accuracy</w:t>
            </w:r>
          </w:p>
        </w:tc>
        <w:tc>
          <w:tcPr>
            <w:tcW w:w="9122" w:type="dxa"/>
            <w:gridSpan w:val="8"/>
            <w:tcBorders>
              <w:top w:val="single" w:sz="4" w:space="0" w:color="auto"/>
              <w:left w:val="single" w:sz="6" w:space="0" w:color="auto"/>
              <w:bottom w:val="single" w:sz="6" w:space="0" w:color="auto"/>
              <w:right w:val="single" w:sz="4" w:space="0" w:color="auto"/>
            </w:tcBorders>
            <w:vAlign w:val="center"/>
          </w:tcPr>
          <w:p w14:paraId="47BFABC2" w14:textId="77777777" w:rsidR="00BB469D" w:rsidRPr="00956E6E" w:rsidRDefault="00BB469D" w:rsidP="00F1512F">
            <w:pPr>
              <w:pStyle w:val="TAH"/>
              <w:rPr>
                <w:rFonts w:eastAsiaTheme="minorEastAsia"/>
              </w:rPr>
            </w:pPr>
            <w:r w:rsidRPr="00956E6E">
              <w:rPr>
                <w:rFonts w:eastAsiaTheme="minorEastAsia"/>
              </w:rPr>
              <w:t>Conditions</w:t>
            </w:r>
          </w:p>
        </w:tc>
      </w:tr>
      <w:tr w:rsidR="00BB469D" w:rsidRPr="00956E6E" w14:paraId="5A1E2A6A" w14:textId="77777777" w:rsidTr="007A5129">
        <w:trPr>
          <w:trHeight w:val="59"/>
          <w:jc w:val="center"/>
        </w:trPr>
        <w:tc>
          <w:tcPr>
            <w:tcW w:w="965" w:type="dxa"/>
            <w:vMerge w:val="restart"/>
            <w:tcBorders>
              <w:left w:val="single" w:sz="4" w:space="0" w:color="auto"/>
              <w:right w:val="single" w:sz="6" w:space="0" w:color="auto"/>
            </w:tcBorders>
            <w:shd w:val="clear" w:color="auto" w:fill="auto"/>
            <w:vAlign w:val="center"/>
          </w:tcPr>
          <w:p w14:paraId="1EDE4B2D" w14:textId="77777777" w:rsidR="00BB469D" w:rsidRPr="00956E6E" w:rsidRDefault="00BB469D" w:rsidP="007A5129">
            <w:pPr>
              <w:keepNext/>
              <w:keepLines/>
              <w:spacing w:after="0"/>
              <w:jc w:val="center"/>
              <w:rPr>
                <w:rFonts w:ascii="Arial" w:eastAsiaTheme="minorEastAsia" w:hAnsi="Arial"/>
                <w:b/>
                <w:sz w:val="18"/>
                <w:lang w:eastAsia="zh-CN"/>
              </w:rPr>
            </w:pPr>
            <w:r w:rsidRPr="00956E6E">
              <w:rPr>
                <w:rFonts w:ascii="Arial" w:eastAsiaTheme="minorEastAsia" w:hAnsi="Arial"/>
                <w:b/>
                <w:sz w:val="18"/>
                <w:lang w:eastAsia="zh-CN"/>
              </w:rPr>
              <w:t>N</w:t>
            </w:r>
            <w:r w:rsidRPr="00956E6E">
              <w:rPr>
                <w:rFonts w:ascii="Arial" w:eastAsiaTheme="minorEastAsia" w:hAnsi="Arial" w:hint="eastAsia"/>
                <w:b/>
                <w:sz w:val="18"/>
                <w:lang w:eastAsia="zh-CN"/>
              </w:rPr>
              <w:t>ormal condition</w:t>
            </w:r>
          </w:p>
        </w:tc>
        <w:tc>
          <w:tcPr>
            <w:tcW w:w="965" w:type="dxa"/>
            <w:vMerge w:val="restart"/>
            <w:tcBorders>
              <w:left w:val="single" w:sz="4" w:space="0" w:color="auto"/>
              <w:right w:val="single" w:sz="6" w:space="0" w:color="auto"/>
            </w:tcBorders>
            <w:shd w:val="clear" w:color="auto" w:fill="auto"/>
            <w:vAlign w:val="center"/>
          </w:tcPr>
          <w:p w14:paraId="50F6C6ED" w14:textId="77777777" w:rsidR="00BB469D" w:rsidRPr="00956E6E" w:rsidRDefault="00BB469D" w:rsidP="00F1512F">
            <w:pPr>
              <w:pStyle w:val="TAH"/>
              <w:rPr>
                <w:rFonts w:eastAsiaTheme="minorEastAsia"/>
                <w:lang w:eastAsia="zh-CN"/>
              </w:rPr>
            </w:pPr>
            <w:r w:rsidRPr="00956E6E">
              <w:rPr>
                <w:rFonts w:eastAsiaTheme="minorEastAsia"/>
                <w:lang w:eastAsia="zh-CN"/>
              </w:rPr>
              <w:t>E</w:t>
            </w:r>
            <w:r w:rsidRPr="00956E6E">
              <w:rPr>
                <w:rFonts w:eastAsiaTheme="minorEastAsia" w:hint="eastAsia"/>
                <w:lang w:eastAsia="zh-CN"/>
              </w:rPr>
              <w:t>xtreme condition</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263A5A2D" w14:textId="77777777" w:rsidR="00BB469D" w:rsidRPr="00956E6E" w:rsidRDefault="00BB469D" w:rsidP="00F1512F">
            <w:pPr>
              <w:pStyle w:val="TAH"/>
              <w:rPr>
                <w:rFonts w:eastAsiaTheme="minorEastAsia"/>
              </w:rPr>
            </w:pPr>
            <w:r w:rsidRPr="00956E6E">
              <w:rPr>
                <w:rFonts w:eastAsiaTheme="minorEastAsia"/>
              </w:rPr>
              <w:t>PRS Ês/Iot</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27A22F4A" w14:textId="77777777" w:rsidR="00BB469D" w:rsidRPr="00956E6E" w:rsidRDefault="00BB469D" w:rsidP="00F1512F">
            <w:pPr>
              <w:pStyle w:val="TAH"/>
              <w:rPr>
                <w:rFonts w:eastAsiaTheme="minorEastAsia"/>
                <w:lang w:eastAsia="zh-CN"/>
              </w:rPr>
            </w:pPr>
            <w:r w:rsidRPr="00956E6E">
              <w:rPr>
                <w:rFonts w:eastAsiaTheme="minorEastAsia" w:hint="eastAsia"/>
                <w:lang w:eastAsia="zh-CN"/>
              </w:rPr>
              <w:t>PRS BW</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13FCF38A" w14:textId="77777777" w:rsidR="00BB469D" w:rsidRPr="00956E6E" w:rsidRDefault="00BB469D" w:rsidP="00F1512F">
            <w:pPr>
              <w:pStyle w:val="TAH"/>
              <w:rPr>
                <w:rFonts w:eastAsiaTheme="minorEastAsia"/>
                <w:lang w:val="en-US" w:eastAsia="zh-CN"/>
              </w:rPr>
            </w:pPr>
            <w:r w:rsidRPr="00956E6E">
              <w:rPr>
                <w:rFonts w:eastAsiaTheme="minorEastAsia"/>
                <w:bCs/>
                <w:lang w:eastAsia="zh-CN"/>
              </w:rPr>
              <w:t xml:space="preserve">Repetition </w:t>
            </w:r>
            <w:r w:rsidRPr="00956E6E">
              <w:rPr>
                <w:rFonts w:eastAsiaTheme="minorEastAsia" w:hint="eastAsia"/>
                <w:bCs/>
                <w:lang w:eastAsia="zh-CN"/>
              </w:rPr>
              <w:t>factor</w:t>
            </w:r>
            <w:r w:rsidRPr="00956E6E">
              <w:rPr>
                <w:rFonts w:eastAsiaTheme="minorEastAsia"/>
                <w:bCs/>
                <w:lang w:eastAsia="zh-CN"/>
              </w:rPr>
              <w:t xml:space="preserve"> </w:t>
            </w:r>
          </w:p>
          <w:p w14:paraId="6A17BDD0" w14:textId="77777777" w:rsidR="00BB469D" w:rsidRPr="00956E6E" w:rsidRDefault="00BB469D" w:rsidP="00F1512F">
            <w:pPr>
              <w:pStyle w:val="TAH"/>
              <w:rPr>
                <w:rFonts w:eastAsiaTheme="minorEastAsia"/>
                <w:lang w:eastAsia="zh-CN"/>
              </w:rPr>
            </w:pPr>
            <w:r w:rsidRPr="00956E6E">
              <w:rPr>
                <w:rFonts w:eastAsiaTheme="minorEastAsia"/>
                <w:bCs/>
                <w:lang w:eastAsia="zh-CN"/>
              </w:rPr>
              <w:t>(</w:t>
            </w:r>
            <m:oMath>
              <m:sSubSup>
                <m:sSubSupPr>
                  <m:ctrlPr>
                    <w:rPr>
                      <w:rFonts w:ascii="Cambria Math" w:eastAsiaTheme="minorEastAsia" w:hAnsi="Cambria Math"/>
                      <w:bCs/>
                      <w:i/>
                      <w:iCs/>
                      <w:lang w:val="en-US" w:eastAsia="zh-CN"/>
                    </w:rPr>
                  </m:ctrlPr>
                </m:sSubSupPr>
                <m:e>
                  <m:r>
                    <m:rPr>
                      <m:sty m:val="b"/>
                    </m:rPr>
                    <w:rPr>
                      <w:rFonts w:ascii="Cambria Math" w:eastAsiaTheme="minorEastAsia" w:hAnsi="Cambria Math"/>
                      <w:lang w:eastAsia="zh-CN"/>
                    </w:rPr>
                    <m:t>T</m:t>
                  </m:r>
                </m:e>
                <m:sub>
                  <m:r>
                    <m:rPr>
                      <m:nor/>
                    </m:rPr>
                    <w:rPr>
                      <w:rFonts w:eastAsiaTheme="minorEastAsia"/>
                      <w:bCs/>
                      <w:lang w:eastAsia="zh-CN"/>
                    </w:rPr>
                    <m:t>rep</m:t>
                  </m:r>
                </m:sub>
                <m:sup>
                  <m:r>
                    <m:rPr>
                      <m:nor/>
                    </m:rPr>
                    <w:rPr>
                      <w:rFonts w:eastAsiaTheme="minorEastAsia"/>
                      <w:bCs/>
                      <w:lang w:eastAsia="zh-CN"/>
                    </w:rPr>
                    <m:t>PRS</m:t>
                  </m:r>
                </m:sup>
              </m:sSubSup>
              <m:r>
                <m:rPr>
                  <m:sty m:val="b"/>
                </m:rPr>
                <w:rPr>
                  <w:rFonts w:ascii="Cambria Math" w:eastAsiaTheme="minorEastAsia" w:hAnsi="Cambria Math"/>
                  <w:lang w:eastAsia="zh-CN"/>
                </w:rPr>
                <m:t>*</m:t>
              </m:r>
              <m:sSub>
                <m:sSubPr>
                  <m:ctrlPr>
                    <w:rPr>
                      <w:rFonts w:ascii="Cambria Math" w:eastAsiaTheme="minorEastAsia" w:hAnsi="Cambria Math"/>
                      <w:bCs/>
                      <w:i/>
                      <w:iCs/>
                      <w:lang w:val="en-US" w:eastAsia="zh-CN"/>
                    </w:rPr>
                  </m:ctrlPr>
                </m:sSubPr>
                <m:e>
                  <m:r>
                    <m:rPr>
                      <m:sty m:val="b"/>
                    </m:rPr>
                    <w:rPr>
                      <w:rFonts w:ascii="Cambria Math" w:eastAsiaTheme="minorEastAsia" w:hAnsi="Cambria Math"/>
                      <w:lang w:eastAsia="zh-CN"/>
                    </w:rPr>
                    <m:t>L</m:t>
                  </m:r>
                </m:e>
                <m:sub>
                  <m:r>
                    <m:rPr>
                      <m:nor/>
                    </m:rPr>
                    <w:rPr>
                      <w:rFonts w:eastAsiaTheme="minorEastAsia"/>
                      <w:bCs/>
                      <w:lang w:eastAsia="zh-CN"/>
                    </w:rPr>
                    <m:t>PRS</m:t>
                  </m:r>
                </m:sub>
              </m:sSub>
              <m:r>
                <m:rPr>
                  <m:sty m:val="b"/>
                </m:rPr>
                <w:rPr>
                  <w:rFonts w:ascii="Cambria Math" w:eastAsiaTheme="minorEastAsia" w:hAnsi="Cambria Math"/>
                  <w:lang w:eastAsia="zh-CN"/>
                </w:rPr>
                <m:t>/</m:t>
              </m:r>
              <m:sSubSup>
                <m:sSubSupPr>
                  <m:ctrlPr>
                    <w:rPr>
                      <w:rFonts w:ascii="Cambria Math" w:eastAsiaTheme="minorEastAsia" w:hAnsi="Cambria Math"/>
                      <w:bCs/>
                      <w:i/>
                      <w:iCs/>
                      <w:lang w:val="en-US" w:eastAsia="zh-CN"/>
                    </w:rPr>
                  </m:ctrlPr>
                </m:sSubSupPr>
                <m:e>
                  <m:r>
                    <m:rPr>
                      <m:sty m:val="b"/>
                    </m:rPr>
                    <w:rPr>
                      <w:rFonts w:ascii="Cambria Math" w:eastAsiaTheme="minorEastAsia" w:hAnsi="Cambria Math"/>
                      <w:lang w:eastAsia="zh-CN"/>
                    </w:rPr>
                    <m:t>K</m:t>
                  </m:r>
                </m:e>
                <m:sub>
                  <m:r>
                    <m:rPr>
                      <m:nor/>
                    </m:rPr>
                    <w:rPr>
                      <w:rFonts w:eastAsiaTheme="minorEastAsia"/>
                      <w:bCs/>
                      <w:lang w:eastAsia="zh-CN"/>
                    </w:rPr>
                    <m:t>comb</m:t>
                  </m:r>
                </m:sub>
                <m:sup>
                  <m:r>
                    <m:rPr>
                      <m:nor/>
                    </m:rPr>
                    <w:rPr>
                      <w:rFonts w:eastAsiaTheme="minorEastAsia"/>
                      <w:bCs/>
                      <w:lang w:eastAsia="zh-CN"/>
                    </w:rPr>
                    <m:t>PRS</m:t>
                  </m:r>
                </m:sup>
              </m:sSubSup>
              <m:r>
                <m:rPr>
                  <m:sty m:val="b"/>
                </m:rPr>
                <w:rPr>
                  <w:rFonts w:ascii="Cambria Math" w:eastAsiaTheme="minorEastAsia" w:hAnsi="Cambria Math"/>
                  <w:lang w:eastAsia="zh-CN"/>
                </w:rPr>
                <m:t>)</m:t>
              </m:r>
            </m:oMath>
          </w:p>
        </w:tc>
        <w:tc>
          <w:tcPr>
            <w:tcW w:w="5977" w:type="dxa"/>
            <w:gridSpan w:val="5"/>
            <w:tcBorders>
              <w:top w:val="single" w:sz="6" w:space="0" w:color="auto"/>
              <w:left w:val="single" w:sz="6" w:space="0" w:color="auto"/>
              <w:bottom w:val="single" w:sz="6" w:space="0" w:color="auto"/>
              <w:right w:val="single" w:sz="4" w:space="0" w:color="auto"/>
            </w:tcBorders>
            <w:vAlign w:val="center"/>
          </w:tcPr>
          <w:p w14:paraId="2BD9B5BF" w14:textId="77777777" w:rsidR="00BB469D" w:rsidRPr="00956E6E" w:rsidRDefault="00BB469D" w:rsidP="007A5129">
            <w:pPr>
              <w:keepNext/>
              <w:keepLines/>
              <w:spacing w:after="0"/>
              <w:jc w:val="center"/>
              <w:rPr>
                <w:rFonts w:ascii="Arial" w:eastAsiaTheme="minorEastAsia" w:hAnsi="Arial"/>
                <w:b/>
                <w:sz w:val="18"/>
              </w:rPr>
            </w:pPr>
            <w:r w:rsidRPr="00956E6E">
              <w:rPr>
                <w:rFonts w:ascii="Arial" w:eastAsiaTheme="minorEastAsia" w:hAnsi="Arial"/>
                <w:b/>
                <w:sz w:val="18"/>
              </w:rPr>
              <w:t>Io</w:t>
            </w:r>
            <w:r w:rsidRPr="00956E6E">
              <w:rPr>
                <w:rFonts w:ascii="Arial" w:eastAsiaTheme="minorEastAsia" w:hAnsi="Arial"/>
                <w:b/>
                <w:sz w:val="18"/>
                <w:vertAlign w:val="superscript"/>
                <w:lang w:eastAsia="zh-CN"/>
              </w:rPr>
              <w:t xml:space="preserve"> Note 7</w:t>
            </w:r>
            <w:r w:rsidRPr="00956E6E">
              <w:rPr>
                <w:rFonts w:ascii="Arial" w:eastAsiaTheme="minorEastAsia" w:hAnsi="Arial"/>
                <w:b/>
                <w:sz w:val="18"/>
              </w:rPr>
              <w:t xml:space="preserve"> range</w:t>
            </w:r>
          </w:p>
        </w:tc>
      </w:tr>
      <w:tr w:rsidR="00BB469D" w:rsidRPr="00956E6E" w14:paraId="3D6BDE55" w14:textId="77777777" w:rsidTr="007A5129">
        <w:trPr>
          <w:trHeight w:val="916"/>
          <w:jc w:val="center"/>
        </w:trPr>
        <w:tc>
          <w:tcPr>
            <w:tcW w:w="965" w:type="dxa"/>
            <w:vMerge/>
            <w:tcBorders>
              <w:left w:val="single" w:sz="4" w:space="0" w:color="auto"/>
              <w:right w:val="single" w:sz="6" w:space="0" w:color="auto"/>
            </w:tcBorders>
            <w:shd w:val="clear" w:color="auto" w:fill="auto"/>
            <w:vAlign w:val="center"/>
          </w:tcPr>
          <w:p w14:paraId="524E1007" w14:textId="77777777" w:rsidR="00BB469D" w:rsidRPr="00956E6E" w:rsidRDefault="00BB469D" w:rsidP="007A5129">
            <w:pPr>
              <w:keepNext/>
              <w:keepLines/>
              <w:spacing w:after="0"/>
              <w:jc w:val="center"/>
              <w:rPr>
                <w:rFonts w:ascii="Arial" w:eastAsiaTheme="minorEastAsia" w:hAnsi="Arial"/>
                <w:b/>
                <w:sz w:val="18"/>
              </w:rPr>
            </w:pPr>
          </w:p>
        </w:tc>
        <w:tc>
          <w:tcPr>
            <w:tcW w:w="965" w:type="dxa"/>
            <w:vMerge/>
            <w:tcBorders>
              <w:left w:val="single" w:sz="4" w:space="0" w:color="auto"/>
              <w:right w:val="single" w:sz="6" w:space="0" w:color="auto"/>
            </w:tcBorders>
            <w:shd w:val="clear" w:color="auto" w:fill="auto"/>
            <w:vAlign w:val="center"/>
          </w:tcPr>
          <w:p w14:paraId="17C9CF7C" w14:textId="77777777" w:rsidR="00BB469D" w:rsidRPr="00956E6E" w:rsidRDefault="00BB469D" w:rsidP="007A5129">
            <w:pPr>
              <w:keepNext/>
              <w:keepLines/>
              <w:spacing w:after="0"/>
              <w:jc w:val="center"/>
              <w:rPr>
                <w:rFonts w:ascii="Arial" w:eastAsiaTheme="minorEastAsia" w:hAnsi="Arial"/>
                <w:b/>
                <w:sz w:val="18"/>
              </w:rPr>
            </w:pPr>
          </w:p>
        </w:tc>
        <w:tc>
          <w:tcPr>
            <w:tcW w:w="827" w:type="dxa"/>
            <w:vMerge/>
            <w:tcBorders>
              <w:left w:val="single" w:sz="6" w:space="0" w:color="auto"/>
              <w:right w:val="single" w:sz="6" w:space="0" w:color="auto"/>
            </w:tcBorders>
            <w:shd w:val="clear" w:color="auto" w:fill="auto"/>
            <w:vAlign w:val="center"/>
          </w:tcPr>
          <w:p w14:paraId="342993F3" w14:textId="77777777" w:rsidR="00BB469D" w:rsidRPr="00956E6E" w:rsidRDefault="00BB469D" w:rsidP="007A5129">
            <w:pPr>
              <w:keepNext/>
              <w:keepLines/>
              <w:spacing w:after="0"/>
              <w:jc w:val="center"/>
              <w:rPr>
                <w:rFonts w:ascii="Arial" w:eastAsiaTheme="minorEastAsia" w:hAnsi="Arial"/>
                <w:b/>
                <w:sz w:val="18"/>
              </w:rPr>
            </w:pPr>
          </w:p>
        </w:tc>
        <w:tc>
          <w:tcPr>
            <w:tcW w:w="1140" w:type="dxa"/>
            <w:vMerge/>
            <w:tcBorders>
              <w:left w:val="single" w:sz="6" w:space="0" w:color="auto"/>
              <w:right w:val="single" w:sz="6" w:space="0" w:color="auto"/>
            </w:tcBorders>
            <w:shd w:val="clear" w:color="auto" w:fill="auto"/>
            <w:vAlign w:val="center"/>
          </w:tcPr>
          <w:p w14:paraId="3A1DAB31" w14:textId="77777777" w:rsidR="00BB469D" w:rsidRPr="00956E6E" w:rsidRDefault="00BB469D" w:rsidP="007A5129">
            <w:pPr>
              <w:keepNext/>
              <w:keepLines/>
              <w:spacing w:after="0"/>
              <w:jc w:val="center"/>
              <w:rPr>
                <w:rFonts w:ascii="Arial" w:eastAsiaTheme="minorEastAsia" w:hAnsi="Arial"/>
                <w:b/>
                <w:sz w:val="18"/>
              </w:rPr>
            </w:pPr>
          </w:p>
        </w:tc>
        <w:tc>
          <w:tcPr>
            <w:tcW w:w="1178" w:type="dxa"/>
            <w:vMerge/>
            <w:tcBorders>
              <w:left w:val="single" w:sz="6" w:space="0" w:color="auto"/>
              <w:right w:val="single" w:sz="6" w:space="0" w:color="auto"/>
            </w:tcBorders>
            <w:shd w:val="clear" w:color="auto" w:fill="auto"/>
            <w:vAlign w:val="center"/>
          </w:tcPr>
          <w:p w14:paraId="1F3D4F71" w14:textId="77777777" w:rsidR="00BB469D" w:rsidRPr="00956E6E" w:rsidRDefault="00BB469D" w:rsidP="007A5129">
            <w:pPr>
              <w:keepNext/>
              <w:keepLines/>
              <w:spacing w:after="0"/>
              <w:jc w:val="center"/>
              <w:rPr>
                <w:rFonts w:ascii="Arial" w:eastAsiaTheme="minorEastAsia" w:hAnsi="Arial"/>
                <w:b/>
                <w:sz w:val="18"/>
              </w:rPr>
            </w:pPr>
          </w:p>
        </w:tc>
        <w:tc>
          <w:tcPr>
            <w:tcW w:w="1586" w:type="dxa"/>
            <w:tcBorders>
              <w:top w:val="single" w:sz="6" w:space="0" w:color="auto"/>
              <w:left w:val="single" w:sz="6" w:space="0" w:color="auto"/>
              <w:right w:val="single" w:sz="6" w:space="0" w:color="auto"/>
            </w:tcBorders>
            <w:shd w:val="clear" w:color="auto" w:fill="auto"/>
            <w:vAlign w:val="center"/>
          </w:tcPr>
          <w:p w14:paraId="0E1D7753" w14:textId="77777777" w:rsidR="00BB469D" w:rsidRPr="00956E6E" w:rsidRDefault="00BB469D" w:rsidP="00F1512F">
            <w:pPr>
              <w:pStyle w:val="TAH"/>
              <w:rPr>
                <w:rFonts w:eastAsiaTheme="minorEastAsia"/>
              </w:rPr>
            </w:pPr>
            <w:r w:rsidRPr="00956E6E">
              <w:rPr>
                <w:rFonts w:eastAsiaTheme="minorEastAsia"/>
              </w:rPr>
              <w:t>NR operating band groups</w:t>
            </w:r>
            <w:r w:rsidRPr="00956E6E">
              <w:rPr>
                <w:rFonts w:eastAsiaTheme="minorEastAsia"/>
                <w:vertAlign w:val="superscript"/>
              </w:rPr>
              <w:t xml:space="preserve"> Note 8</w:t>
            </w:r>
          </w:p>
        </w:tc>
        <w:tc>
          <w:tcPr>
            <w:tcW w:w="3194" w:type="dxa"/>
            <w:gridSpan w:val="3"/>
            <w:tcBorders>
              <w:top w:val="single" w:sz="6" w:space="0" w:color="auto"/>
              <w:left w:val="single" w:sz="6" w:space="0" w:color="auto"/>
              <w:right w:val="single" w:sz="6" w:space="0" w:color="auto"/>
            </w:tcBorders>
            <w:vAlign w:val="center"/>
          </w:tcPr>
          <w:p w14:paraId="1B775364" w14:textId="77777777" w:rsidR="00BB469D" w:rsidRPr="00956E6E" w:rsidRDefault="00BB469D" w:rsidP="00F1512F">
            <w:pPr>
              <w:pStyle w:val="TAH"/>
              <w:rPr>
                <w:rFonts w:eastAsiaTheme="minorEastAsia"/>
              </w:rPr>
            </w:pPr>
            <w:r w:rsidRPr="00956E6E">
              <w:rPr>
                <w:rFonts w:eastAsiaTheme="minorEastAsia"/>
              </w:rPr>
              <w:t>Minimum</w:t>
            </w:r>
            <w:r w:rsidRPr="00956E6E">
              <w:rPr>
                <w:rFonts w:eastAsiaTheme="minorEastAsia"/>
              </w:rPr>
              <w:br/>
              <w:t xml:space="preserve">Io </w:t>
            </w:r>
            <w:r w:rsidRPr="00956E6E">
              <w:rPr>
                <w:rFonts w:eastAsiaTheme="minorEastAsia"/>
                <w:vertAlign w:val="superscript"/>
              </w:rPr>
              <w:t>Note 1</w:t>
            </w:r>
          </w:p>
          <w:p w14:paraId="4BC6EB8F" w14:textId="77777777" w:rsidR="00BB469D" w:rsidRPr="00956E6E" w:rsidRDefault="00BB469D" w:rsidP="00F1512F">
            <w:pPr>
              <w:pStyle w:val="TAH"/>
              <w:rPr>
                <w:rFonts w:eastAsiaTheme="minorEastAsia"/>
              </w:rPr>
            </w:pPr>
            <w:r w:rsidRPr="00956E6E">
              <w:rPr>
                <w:rFonts w:eastAsiaTheme="minorEastAsia"/>
              </w:rPr>
              <w:t>dBm / SCS</w:t>
            </w:r>
            <w:r w:rsidRPr="00956E6E">
              <w:rPr>
                <w:rFonts w:eastAsiaTheme="minorEastAsia"/>
                <w:vertAlign w:val="subscript"/>
              </w:rPr>
              <w:t>PRS</w:t>
            </w:r>
          </w:p>
        </w:tc>
        <w:tc>
          <w:tcPr>
            <w:tcW w:w="1197" w:type="dxa"/>
            <w:tcBorders>
              <w:top w:val="single" w:sz="6" w:space="0" w:color="auto"/>
              <w:left w:val="single" w:sz="6" w:space="0" w:color="auto"/>
              <w:right w:val="single" w:sz="4" w:space="0" w:color="auto"/>
            </w:tcBorders>
            <w:vAlign w:val="center"/>
          </w:tcPr>
          <w:p w14:paraId="2947AAB0" w14:textId="77777777" w:rsidR="00BB469D" w:rsidRPr="00956E6E" w:rsidRDefault="00BB469D" w:rsidP="00F1512F">
            <w:pPr>
              <w:pStyle w:val="TAH"/>
              <w:rPr>
                <w:rFonts w:eastAsiaTheme="minorEastAsia"/>
              </w:rPr>
            </w:pPr>
            <w:r w:rsidRPr="00956E6E">
              <w:rPr>
                <w:rFonts w:eastAsiaTheme="minorEastAsia"/>
              </w:rPr>
              <w:t>Maximum</w:t>
            </w:r>
            <w:r w:rsidRPr="00956E6E">
              <w:rPr>
                <w:rFonts w:eastAsiaTheme="minorEastAsia"/>
              </w:rPr>
              <w:br/>
              <w:t>Io</w:t>
            </w:r>
          </w:p>
        </w:tc>
      </w:tr>
      <w:tr w:rsidR="00BB469D" w:rsidRPr="00956E6E" w14:paraId="32B68602" w14:textId="77777777" w:rsidTr="007A5129">
        <w:trPr>
          <w:trHeight w:val="162"/>
          <w:jc w:val="center"/>
        </w:trPr>
        <w:tc>
          <w:tcPr>
            <w:tcW w:w="965" w:type="dxa"/>
            <w:vMerge w:val="restart"/>
            <w:tcBorders>
              <w:top w:val="single" w:sz="6" w:space="0" w:color="auto"/>
              <w:left w:val="single" w:sz="4" w:space="0" w:color="auto"/>
              <w:right w:val="single" w:sz="6" w:space="0" w:color="auto"/>
            </w:tcBorders>
            <w:shd w:val="clear" w:color="auto" w:fill="auto"/>
            <w:vAlign w:val="center"/>
          </w:tcPr>
          <w:p w14:paraId="6E3D25CA" w14:textId="77777777" w:rsidR="00BB469D" w:rsidRPr="00956E6E" w:rsidRDefault="00BB469D" w:rsidP="007A5129">
            <w:pPr>
              <w:keepNext/>
              <w:keepLines/>
              <w:spacing w:after="0"/>
              <w:jc w:val="center"/>
              <w:rPr>
                <w:rFonts w:ascii="Arial" w:eastAsiaTheme="minorEastAsia" w:hAnsi="Arial"/>
                <w:b/>
                <w:sz w:val="18"/>
                <w:lang w:eastAsia="zh-CN"/>
              </w:rPr>
            </w:pPr>
            <w:r w:rsidRPr="00956E6E">
              <w:rPr>
                <w:rFonts w:ascii="Arial" w:eastAsiaTheme="minorEastAsia" w:hAnsi="Arial" w:hint="eastAsia"/>
                <w:b/>
                <w:sz w:val="18"/>
                <w:lang w:eastAsia="zh-CN"/>
              </w:rPr>
              <w:t>dB</w:t>
            </w:r>
          </w:p>
        </w:tc>
        <w:tc>
          <w:tcPr>
            <w:tcW w:w="965" w:type="dxa"/>
            <w:vMerge w:val="restart"/>
            <w:tcBorders>
              <w:top w:val="single" w:sz="6" w:space="0" w:color="auto"/>
              <w:left w:val="single" w:sz="4" w:space="0" w:color="auto"/>
              <w:right w:val="single" w:sz="6" w:space="0" w:color="auto"/>
            </w:tcBorders>
            <w:shd w:val="clear" w:color="auto" w:fill="auto"/>
            <w:vAlign w:val="center"/>
          </w:tcPr>
          <w:p w14:paraId="3ADF9817" w14:textId="77777777" w:rsidR="00BB469D" w:rsidRPr="00956E6E" w:rsidRDefault="00BB469D" w:rsidP="007A5129">
            <w:pPr>
              <w:keepNext/>
              <w:keepLines/>
              <w:spacing w:after="0"/>
              <w:jc w:val="center"/>
              <w:rPr>
                <w:rFonts w:ascii="Arial" w:eastAsiaTheme="minorEastAsia" w:hAnsi="Arial"/>
                <w:b/>
                <w:sz w:val="18"/>
                <w:lang w:eastAsia="zh-CN"/>
              </w:rPr>
            </w:pPr>
            <w:r w:rsidRPr="00956E6E">
              <w:rPr>
                <w:rFonts w:ascii="Arial" w:eastAsiaTheme="minorEastAsia" w:hAnsi="Arial" w:hint="eastAsia"/>
                <w:b/>
                <w:sz w:val="18"/>
                <w:lang w:eastAsia="zh-CN"/>
              </w:rPr>
              <w:t>dB</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2EDA7ECD" w14:textId="77777777" w:rsidR="00BB469D" w:rsidRPr="00956E6E" w:rsidRDefault="00BB469D" w:rsidP="007A5129">
            <w:pPr>
              <w:keepNext/>
              <w:keepLines/>
              <w:spacing w:after="0"/>
              <w:jc w:val="center"/>
              <w:rPr>
                <w:rFonts w:ascii="Arial" w:eastAsiaTheme="minorEastAsia" w:hAnsi="Arial"/>
                <w:b/>
                <w:sz w:val="18"/>
              </w:rPr>
            </w:pPr>
            <w:r w:rsidRPr="00956E6E">
              <w:rPr>
                <w:rFonts w:ascii="Arial" w:eastAsiaTheme="minorEastAsia" w:hAnsi="Arial"/>
                <w:b/>
                <w:sz w:val="18"/>
              </w:rPr>
              <w:t>dB</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0F3F4D27" w14:textId="77777777" w:rsidR="00BB469D" w:rsidRPr="00956E6E" w:rsidRDefault="00BB469D" w:rsidP="007A5129">
            <w:pPr>
              <w:keepNext/>
              <w:keepLines/>
              <w:spacing w:after="0"/>
              <w:jc w:val="center"/>
              <w:rPr>
                <w:rFonts w:ascii="Arial" w:eastAsiaTheme="minorEastAsia" w:hAnsi="Arial"/>
                <w:b/>
                <w:sz w:val="18"/>
              </w:rPr>
            </w:pPr>
            <w:r w:rsidRPr="00956E6E">
              <w:rPr>
                <w:rFonts w:ascii="Arial" w:eastAsiaTheme="minorEastAsia" w:hAnsi="Arial" w:hint="eastAsia"/>
                <w:b/>
                <w:sz w:val="18"/>
                <w:lang w:eastAsia="zh-CN"/>
              </w:rPr>
              <w:t>P</w:t>
            </w:r>
            <w:r w:rsidRPr="00956E6E">
              <w:rPr>
                <w:rFonts w:ascii="Arial" w:eastAsiaTheme="minorEastAsia" w:hAnsi="Arial"/>
                <w:b/>
                <w:sz w:val="18"/>
              </w:rPr>
              <w:t>RB</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0A7F7A02" w14:textId="77777777" w:rsidR="00BB469D" w:rsidRPr="00956E6E" w:rsidRDefault="00BB469D" w:rsidP="007A5129">
            <w:pPr>
              <w:keepNext/>
              <w:keepLines/>
              <w:spacing w:after="0"/>
              <w:jc w:val="center"/>
              <w:rPr>
                <w:rFonts w:ascii="Arial" w:eastAsiaTheme="minorEastAsia" w:hAnsi="Arial"/>
                <w:b/>
                <w:sz w:val="18"/>
              </w:rPr>
            </w:pPr>
            <w:r w:rsidRPr="00956E6E">
              <w:rPr>
                <w:rFonts w:ascii="Arial" w:eastAsiaTheme="minorEastAsia" w:hAnsi="Arial" w:hint="eastAsia"/>
                <w:b/>
                <w:sz w:val="18"/>
                <w:lang w:eastAsia="zh-CN"/>
              </w:rPr>
              <w:t>-</w:t>
            </w:r>
          </w:p>
        </w:tc>
        <w:tc>
          <w:tcPr>
            <w:tcW w:w="1586" w:type="dxa"/>
            <w:vMerge w:val="restart"/>
            <w:tcBorders>
              <w:top w:val="single" w:sz="6" w:space="0" w:color="auto"/>
              <w:left w:val="single" w:sz="6" w:space="0" w:color="auto"/>
              <w:right w:val="single" w:sz="6" w:space="0" w:color="auto"/>
            </w:tcBorders>
            <w:shd w:val="clear" w:color="auto" w:fill="auto"/>
            <w:vAlign w:val="center"/>
          </w:tcPr>
          <w:p w14:paraId="577851FA" w14:textId="77777777" w:rsidR="00BB469D" w:rsidRPr="00956E6E" w:rsidRDefault="00BB469D" w:rsidP="00F1512F">
            <w:pPr>
              <w:pStyle w:val="TAH"/>
              <w:rPr>
                <w:rFonts w:eastAsiaTheme="minorEastAsia"/>
              </w:rPr>
            </w:pPr>
          </w:p>
        </w:tc>
        <w:tc>
          <w:tcPr>
            <w:tcW w:w="3194" w:type="dxa"/>
            <w:gridSpan w:val="3"/>
            <w:tcBorders>
              <w:top w:val="single" w:sz="6" w:space="0" w:color="auto"/>
              <w:left w:val="single" w:sz="6" w:space="0" w:color="auto"/>
              <w:bottom w:val="single" w:sz="6" w:space="0" w:color="auto"/>
              <w:right w:val="single" w:sz="6" w:space="0" w:color="auto"/>
            </w:tcBorders>
            <w:vAlign w:val="center"/>
          </w:tcPr>
          <w:p w14:paraId="3DEDC6F3" w14:textId="77777777" w:rsidR="00BB469D" w:rsidRPr="00956E6E" w:rsidRDefault="00BB469D" w:rsidP="00F1512F">
            <w:pPr>
              <w:pStyle w:val="TAH"/>
              <w:rPr>
                <w:rFonts w:eastAsiaTheme="minorEastAsia"/>
              </w:rPr>
            </w:pPr>
            <w:r w:rsidRPr="00956E6E">
              <w:rPr>
                <w:rFonts w:eastAsiaTheme="minorEastAsia"/>
              </w:rPr>
              <w:t>dBm / SCS</w:t>
            </w:r>
            <w:r w:rsidRPr="00956E6E">
              <w:rPr>
                <w:rFonts w:eastAsiaTheme="minorEastAsia"/>
                <w:vertAlign w:val="subscript"/>
              </w:rPr>
              <w:t>PRS</w:t>
            </w:r>
          </w:p>
        </w:tc>
        <w:tc>
          <w:tcPr>
            <w:tcW w:w="1197" w:type="dxa"/>
            <w:vMerge w:val="restart"/>
            <w:tcBorders>
              <w:top w:val="single" w:sz="6" w:space="0" w:color="auto"/>
              <w:left w:val="single" w:sz="6" w:space="0" w:color="auto"/>
              <w:right w:val="single" w:sz="4" w:space="0" w:color="auto"/>
            </w:tcBorders>
            <w:vAlign w:val="center"/>
          </w:tcPr>
          <w:p w14:paraId="65F63E07" w14:textId="77777777" w:rsidR="00BB469D" w:rsidRPr="00956E6E" w:rsidRDefault="00BB469D" w:rsidP="00F1512F">
            <w:pPr>
              <w:pStyle w:val="TAH"/>
              <w:rPr>
                <w:rFonts w:eastAsiaTheme="minorEastAsia"/>
              </w:rPr>
            </w:pPr>
            <w:r w:rsidRPr="00956E6E">
              <w:rPr>
                <w:rFonts w:eastAsiaTheme="minorEastAsia"/>
              </w:rPr>
              <w:t>dBm/BW</w:t>
            </w:r>
            <w:r w:rsidRPr="00956E6E">
              <w:rPr>
                <w:rFonts w:eastAsiaTheme="minorEastAsia"/>
                <w:vertAlign w:val="subscript"/>
              </w:rPr>
              <w:t>Channel</w:t>
            </w:r>
          </w:p>
        </w:tc>
      </w:tr>
      <w:tr w:rsidR="00BB469D" w:rsidRPr="00956E6E" w14:paraId="73A789E8" w14:textId="77777777" w:rsidTr="007A5129">
        <w:trPr>
          <w:trHeight w:val="161"/>
          <w:jc w:val="center"/>
        </w:trPr>
        <w:tc>
          <w:tcPr>
            <w:tcW w:w="965" w:type="dxa"/>
            <w:vMerge/>
            <w:tcBorders>
              <w:left w:val="single" w:sz="4" w:space="0" w:color="auto"/>
              <w:bottom w:val="single" w:sz="6" w:space="0" w:color="auto"/>
              <w:right w:val="single" w:sz="6" w:space="0" w:color="auto"/>
            </w:tcBorders>
            <w:shd w:val="clear" w:color="auto" w:fill="auto"/>
            <w:vAlign w:val="center"/>
          </w:tcPr>
          <w:p w14:paraId="1F3FD10C" w14:textId="77777777" w:rsidR="00BB469D" w:rsidRPr="00956E6E" w:rsidRDefault="00BB469D" w:rsidP="007A5129">
            <w:pPr>
              <w:keepNext/>
              <w:keepLines/>
              <w:spacing w:after="0"/>
              <w:jc w:val="center"/>
              <w:rPr>
                <w:rFonts w:ascii="Arial" w:eastAsiaTheme="minorEastAsia" w:hAnsi="Arial"/>
                <w:b/>
                <w:sz w:val="18"/>
              </w:rPr>
            </w:pPr>
          </w:p>
        </w:tc>
        <w:tc>
          <w:tcPr>
            <w:tcW w:w="965" w:type="dxa"/>
            <w:vMerge/>
            <w:tcBorders>
              <w:left w:val="single" w:sz="4" w:space="0" w:color="auto"/>
              <w:bottom w:val="single" w:sz="6" w:space="0" w:color="auto"/>
              <w:right w:val="single" w:sz="6" w:space="0" w:color="auto"/>
            </w:tcBorders>
            <w:shd w:val="clear" w:color="auto" w:fill="auto"/>
            <w:vAlign w:val="center"/>
          </w:tcPr>
          <w:p w14:paraId="6E43766C" w14:textId="77777777" w:rsidR="00BB469D" w:rsidRPr="00956E6E" w:rsidRDefault="00BB469D" w:rsidP="007A5129">
            <w:pPr>
              <w:keepNext/>
              <w:keepLines/>
              <w:spacing w:after="0"/>
              <w:jc w:val="center"/>
              <w:rPr>
                <w:rFonts w:ascii="Arial" w:eastAsiaTheme="minorEastAsia" w:hAnsi="Arial"/>
                <w:b/>
                <w:sz w:val="18"/>
              </w:rPr>
            </w:pPr>
          </w:p>
        </w:tc>
        <w:tc>
          <w:tcPr>
            <w:tcW w:w="827" w:type="dxa"/>
            <w:vMerge/>
            <w:tcBorders>
              <w:left w:val="single" w:sz="6" w:space="0" w:color="auto"/>
              <w:bottom w:val="single" w:sz="6" w:space="0" w:color="auto"/>
              <w:right w:val="single" w:sz="6" w:space="0" w:color="auto"/>
            </w:tcBorders>
            <w:shd w:val="clear" w:color="auto" w:fill="auto"/>
            <w:vAlign w:val="center"/>
          </w:tcPr>
          <w:p w14:paraId="2D230EDD" w14:textId="77777777" w:rsidR="00BB469D" w:rsidRPr="00956E6E" w:rsidRDefault="00BB469D" w:rsidP="007A5129">
            <w:pPr>
              <w:keepNext/>
              <w:keepLines/>
              <w:spacing w:after="0"/>
              <w:jc w:val="center"/>
              <w:rPr>
                <w:rFonts w:ascii="Arial" w:eastAsiaTheme="minorEastAsia" w:hAnsi="Arial"/>
                <w:b/>
                <w:sz w:val="18"/>
              </w:rPr>
            </w:pPr>
          </w:p>
        </w:tc>
        <w:tc>
          <w:tcPr>
            <w:tcW w:w="1140" w:type="dxa"/>
            <w:vMerge/>
            <w:tcBorders>
              <w:left w:val="single" w:sz="6" w:space="0" w:color="auto"/>
              <w:bottom w:val="single" w:sz="6" w:space="0" w:color="auto"/>
              <w:right w:val="single" w:sz="6" w:space="0" w:color="auto"/>
            </w:tcBorders>
            <w:shd w:val="clear" w:color="auto" w:fill="auto"/>
            <w:vAlign w:val="center"/>
          </w:tcPr>
          <w:p w14:paraId="34FDF10E" w14:textId="77777777" w:rsidR="00BB469D" w:rsidRPr="00956E6E" w:rsidRDefault="00BB469D" w:rsidP="007A5129">
            <w:pPr>
              <w:keepNext/>
              <w:keepLines/>
              <w:spacing w:after="0"/>
              <w:jc w:val="center"/>
              <w:rPr>
                <w:rFonts w:ascii="Arial" w:eastAsiaTheme="minorEastAsia" w:hAnsi="Arial"/>
                <w:b/>
                <w:sz w:val="18"/>
              </w:rPr>
            </w:pPr>
          </w:p>
        </w:tc>
        <w:tc>
          <w:tcPr>
            <w:tcW w:w="1178" w:type="dxa"/>
            <w:vMerge/>
            <w:tcBorders>
              <w:left w:val="single" w:sz="6" w:space="0" w:color="auto"/>
              <w:bottom w:val="single" w:sz="6" w:space="0" w:color="auto"/>
              <w:right w:val="single" w:sz="6" w:space="0" w:color="auto"/>
            </w:tcBorders>
            <w:shd w:val="clear" w:color="auto" w:fill="auto"/>
            <w:vAlign w:val="center"/>
          </w:tcPr>
          <w:p w14:paraId="0D15657B" w14:textId="77777777" w:rsidR="00BB469D" w:rsidRPr="00956E6E" w:rsidRDefault="00BB469D" w:rsidP="007A5129">
            <w:pPr>
              <w:keepNext/>
              <w:keepLines/>
              <w:spacing w:after="0"/>
              <w:jc w:val="center"/>
              <w:rPr>
                <w:rFonts w:ascii="Arial" w:eastAsiaTheme="minorEastAsia" w:hAnsi="Arial"/>
                <w:b/>
                <w:sz w:val="18"/>
              </w:rPr>
            </w:pPr>
          </w:p>
        </w:tc>
        <w:tc>
          <w:tcPr>
            <w:tcW w:w="1586" w:type="dxa"/>
            <w:vMerge/>
            <w:tcBorders>
              <w:left w:val="single" w:sz="6" w:space="0" w:color="auto"/>
              <w:bottom w:val="single" w:sz="6" w:space="0" w:color="auto"/>
              <w:right w:val="single" w:sz="6" w:space="0" w:color="auto"/>
            </w:tcBorders>
            <w:shd w:val="clear" w:color="auto" w:fill="auto"/>
            <w:vAlign w:val="center"/>
          </w:tcPr>
          <w:p w14:paraId="08E2C66D" w14:textId="77777777" w:rsidR="00BB469D" w:rsidRPr="00956E6E" w:rsidRDefault="00BB469D" w:rsidP="007A5129">
            <w:pPr>
              <w:keepNext/>
              <w:keepLines/>
              <w:spacing w:after="0"/>
              <w:jc w:val="center"/>
              <w:rPr>
                <w:rFonts w:ascii="Arial" w:eastAsiaTheme="minorEastAsia" w:hAnsi="Arial"/>
                <w:b/>
                <w:sz w:val="18"/>
              </w:rPr>
            </w:pPr>
          </w:p>
        </w:tc>
        <w:tc>
          <w:tcPr>
            <w:tcW w:w="984" w:type="dxa"/>
            <w:tcBorders>
              <w:top w:val="single" w:sz="6" w:space="0" w:color="auto"/>
              <w:left w:val="single" w:sz="6" w:space="0" w:color="auto"/>
              <w:bottom w:val="single" w:sz="6" w:space="0" w:color="auto"/>
              <w:right w:val="single" w:sz="6" w:space="0" w:color="auto"/>
            </w:tcBorders>
            <w:vAlign w:val="center"/>
          </w:tcPr>
          <w:p w14:paraId="7EE2F38C" w14:textId="77777777" w:rsidR="00BB469D" w:rsidRPr="00956E6E" w:rsidRDefault="00BB469D" w:rsidP="00F1512F">
            <w:pPr>
              <w:pStyle w:val="TAH"/>
              <w:rPr>
                <w:rFonts w:eastAsiaTheme="minorEastAsia"/>
              </w:rPr>
            </w:pPr>
            <w:r w:rsidRPr="00956E6E">
              <w:rPr>
                <w:rFonts w:eastAsiaTheme="minorEastAsia"/>
              </w:rPr>
              <w:t>dBm/15kHz</w:t>
            </w:r>
            <w:r w:rsidRPr="00956E6E">
              <w:rPr>
                <w:rFonts w:eastAsiaTheme="minorEastAsia"/>
                <w:vertAlign w:val="superscript"/>
                <w:lang w:eastAsia="zh-CN"/>
              </w:rPr>
              <w:t xml:space="preserve"> Note 6</w:t>
            </w:r>
          </w:p>
        </w:tc>
        <w:tc>
          <w:tcPr>
            <w:tcW w:w="1013" w:type="dxa"/>
            <w:tcBorders>
              <w:top w:val="single" w:sz="6" w:space="0" w:color="auto"/>
              <w:left w:val="single" w:sz="6" w:space="0" w:color="auto"/>
              <w:bottom w:val="single" w:sz="6" w:space="0" w:color="auto"/>
              <w:right w:val="single" w:sz="6" w:space="0" w:color="auto"/>
            </w:tcBorders>
            <w:vAlign w:val="center"/>
          </w:tcPr>
          <w:p w14:paraId="63A64BA7" w14:textId="77777777" w:rsidR="00BB469D" w:rsidRPr="00956E6E" w:rsidRDefault="00BB469D" w:rsidP="00F1512F">
            <w:pPr>
              <w:pStyle w:val="TAH"/>
              <w:rPr>
                <w:rFonts w:eastAsiaTheme="minorEastAsia"/>
              </w:rPr>
            </w:pPr>
            <w:r w:rsidRPr="00956E6E">
              <w:rPr>
                <w:rFonts w:eastAsiaTheme="minorEastAsia"/>
              </w:rPr>
              <w:t>dBm/</w:t>
            </w:r>
            <w:r w:rsidRPr="00956E6E">
              <w:rPr>
                <w:rFonts w:eastAsiaTheme="minorEastAsia" w:hint="eastAsia"/>
                <w:lang w:eastAsia="zh-CN"/>
              </w:rPr>
              <w:t>30</w:t>
            </w:r>
            <w:r w:rsidRPr="00956E6E">
              <w:rPr>
                <w:rFonts w:eastAsiaTheme="minorEastAsia"/>
              </w:rPr>
              <w:t>kHz</w:t>
            </w:r>
            <w:r w:rsidRPr="00956E6E">
              <w:rPr>
                <w:rFonts w:eastAsiaTheme="minorEastAsia"/>
                <w:vertAlign w:val="superscript"/>
                <w:lang w:eastAsia="zh-CN"/>
              </w:rPr>
              <w:t xml:space="preserve"> Note 6</w:t>
            </w:r>
          </w:p>
        </w:tc>
        <w:tc>
          <w:tcPr>
            <w:tcW w:w="1197" w:type="dxa"/>
            <w:tcBorders>
              <w:left w:val="single" w:sz="6" w:space="0" w:color="auto"/>
              <w:bottom w:val="single" w:sz="6" w:space="0" w:color="auto"/>
              <w:right w:val="single" w:sz="6" w:space="0" w:color="auto"/>
            </w:tcBorders>
            <w:shd w:val="clear" w:color="auto" w:fill="auto"/>
          </w:tcPr>
          <w:p w14:paraId="7DB12101" w14:textId="77777777" w:rsidR="00BB469D" w:rsidRPr="00956E6E" w:rsidRDefault="00BB469D" w:rsidP="00F1512F">
            <w:pPr>
              <w:pStyle w:val="TAH"/>
              <w:rPr>
                <w:rFonts w:eastAsiaTheme="minorEastAsia"/>
              </w:rPr>
            </w:pPr>
            <w:r w:rsidRPr="00956E6E">
              <w:rPr>
                <w:rFonts w:eastAsiaTheme="minorEastAsia"/>
              </w:rPr>
              <w:t>dBm/</w:t>
            </w:r>
            <w:r w:rsidRPr="00956E6E">
              <w:rPr>
                <w:rFonts w:eastAsiaTheme="minorEastAsia" w:hint="eastAsia"/>
                <w:lang w:eastAsia="zh-CN"/>
              </w:rPr>
              <w:t>60</w:t>
            </w:r>
            <w:r w:rsidRPr="00956E6E">
              <w:rPr>
                <w:rFonts w:eastAsiaTheme="minorEastAsia"/>
              </w:rPr>
              <w:t>kHz</w:t>
            </w:r>
            <w:r w:rsidRPr="00956E6E">
              <w:rPr>
                <w:rFonts w:eastAsiaTheme="minorEastAsia"/>
                <w:vertAlign w:val="superscript"/>
                <w:lang w:eastAsia="zh-CN"/>
              </w:rPr>
              <w:t xml:space="preserve"> Note 6</w:t>
            </w:r>
          </w:p>
        </w:tc>
        <w:tc>
          <w:tcPr>
            <w:tcW w:w="1197" w:type="dxa"/>
            <w:vMerge/>
            <w:tcBorders>
              <w:left w:val="single" w:sz="6" w:space="0" w:color="auto"/>
              <w:bottom w:val="single" w:sz="6" w:space="0" w:color="auto"/>
              <w:right w:val="single" w:sz="4" w:space="0" w:color="auto"/>
            </w:tcBorders>
            <w:vAlign w:val="center"/>
          </w:tcPr>
          <w:p w14:paraId="0F4C0D51" w14:textId="77777777" w:rsidR="00BB469D" w:rsidRPr="00956E6E" w:rsidRDefault="00BB469D" w:rsidP="007A5129">
            <w:pPr>
              <w:keepNext/>
              <w:keepLines/>
              <w:spacing w:after="0"/>
              <w:jc w:val="center"/>
              <w:rPr>
                <w:rFonts w:ascii="Arial" w:eastAsiaTheme="minorEastAsia" w:hAnsi="Arial"/>
                <w:b/>
                <w:sz w:val="18"/>
              </w:rPr>
            </w:pPr>
          </w:p>
        </w:tc>
      </w:tr>
      <w:tr w:rsidR="006D557A" w:rsidRPr="00956E6E" w14:paraId="20D76A1B" w14:textId="77777777" w:rsidTr="007A5129">
        <w:trPr>
          <w:jc w:val="center"/>
        </w:trPr>
        <w:tc>
          <w:tcPr>
            <w:tcW w:w="965" w:type="dxa"/>
            <w:vMerge w:val="restart"/>
            <w:tcBorders>
              <w:top w:val="single" w:sz="6" w:space="0" w:color="auto"/>
              <w:left w:val="single" w:sz="4" w:space="0" w:color="auto"/>
              <w:right w:val="single" w:sz="6" w:space="0" w:color="auto"/>
            </w:tcBorders>
            <w:shd w:val="clear" w:color="auto" w:fill="auto"/>
            <w:vAlign w:val="center"/>
          </w:tcPr>
          <w:p w14:paraId="7D626CEF" w14:textId="77777777" w:rsidR="006D557A" w:rsidRPr="00956E6E" w:rsidRDefault="006D557A" w:rsidP="00F1512F">
            <w:pPr>
              <w:pStyle w:val="TAC"/>
              <w:rPr>
                <w:rFonts w:eastAsiaTheme="minorEastAsia"/>
                <w:noProof/>
                <w:lang w:eastAsia="zh-CN"/>
              </w:rPr>
            </w:pPr>
            <w:r w:rsidRPr="00F25D91">
              <w:rPr>
                <w:rFonts w:eastAsiaTheme="minorEastAsia" w:hint="eastAsia"/>
                <w:noProof/>
                <w:lang w:eastAsia="zh-CN"/>
              </w:rPr>
              <w:t>±</w:t>
            </w:r>
            <w:r w:rsidRPr="00F25D91">
              <w:rPr>
                <w:rFonts w:eastAsiaTheme="minorEastAsia"/>
                <w:noProof/>
                <w:lang w:eastAsia="zh-CN"/>
              </w:rPr>
              <w:t>TBD</w:t>
            </w:r>
          </w:p>
        </w:tc>
        <w:tc>
          <w:tcPr>
            <w:tcW w:w="965" w:type="dxa"/>
            <w:vMerge w:val="restart"/>
            <w:tcBorders>
              <w:top w:val="single" w:sz="6" w:space="0" w:color="auto"/>
              <w:left w:val="single" w:sz="4" w:space="0" w:color="auto"/>
              <w:bottom w:val="single" w:sz="4" w:space="0" w:color="auto"/>
              <w:right w:val="single" w:sz="6" w:space="0" w:color="auto"/>
            </w:tcBorders>
            <w:vAlign w:val="center"/>
          </w:tcPr>
          <w:p w14:paraId="43F9FD24" w14:textId="77777777" w:rsidR="006D557A" w:rsidRPr="00956E6E" w:rsidRDefault="006D557A" w:rsidP="00F1512F">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687132B4" w14:textId="789C96DB" w:rsidR="006D557A" w:rsidRPr="00956E6E" w:rsidRDefault="006D557A" w:rsidP="006D557A">
            <w:pPr>
              <w:pStyle w:val="TAC"/>
              <w:rPr>
                <w:rFonts w:eastAsiaTheme="minorEastAsia"/>
                <w:noProof/>
                <w:lang w:eastAsia="zh-CN"/>
              </w:rPr>
            </w:pPr>
            <w:r w:rsidRPr="00956E6E">
              <w:rPr>
                <w:rFonts w:eastAsiaTheme="minorEastAsia"/>
                <w:noProof/>
              </w:rPr>
              <w:t>≥-</w:t>
            </w:r>
            <w:r w:rsidRPr="00956E6E">
              <w:rPr>
                <w:rFonts w:eastAsiaTheme="minorEastAsia" w:hint="eastAsia"/>
                <w:noProof/>
                <w:lang w:eastAsia="zh-CN"/>
              </w:rPr>
              <w:t>3</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59B3216B" w14:textId="504D9640" w:rsidR="006D557A" w:rsidRPr="00956E6E" w:rsidRDefault="006D557A" w:rsidP="00F1512F">
            <w:pPr>
              <w:pStyle w:val="TAC"/>
              <w:rPr>
                <w:rFonts w:eastAsiaTheme="minorEastAsia"/>
                <w:noProof/>
                <w:lang w:eastAsia="zh-CN"/>
              </w:rPr>
            </w:pPr>
            <w:r w:rsidRPr="000501F5">
              <w:t>≥</w:t>
            </w:r>
            <w:r w:rsidRPr="000501F5">
              <w:rPr>
                <w:rFonts w:hint="eastAsia"/>
                <w:lang w:eastAsia="zh-CN"/>
              </w:rPr>
              <w:t>24</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4815F3A4" w14:textId="77777777" w:rsidR="006D557A" w:rsidRPr="00956E6E" w:rsidRDefault="006D557A" w:rsidP="00F1512F">
            <w:pPr>
              <w:pStyle w:val="TAC"/>
              <w:rPr>
                <w:rFonts w:eastAsiaTheme="minorEastAsia"/>
                <w:lang w:eastAsia="zh-CN"/>
              </w:rPr>
            </w:pPr>
            <w:r w:rsidRPr="00956E6E">
              <w:rPr>
                <w:rFonts w:eastAsiaTheme="minorEastAsia" w:hint="eastAsia"/>
                <w:lang w:eastAsia="zh-CN"/>
              </w:rPr>
              <w:t>All</w:t>
            </w:r>
          </w:p>
        </w:tc>
        <w:tc>
          <w:tcPr>
            <w:tcW w:w="1586" w:type="dxa"/>
            <w:tcBorders>
              <w:top w:val="single" w:sz="6" w:space="0" w:color="auto"/>
              <w:left w:val="single" w:sz="6" w:space="0" w:color="auto"/>
              <w:bottom w:val="single" w:sz="6" w:space="0" w:color="auto"/>
              <w:right w:val="single" w:sz="6" w:space="0" w:color="auto"/>
            </w:tcBorders>
            <w:shd w:val="clear" w:color="auto" w:fill="auto"/>
          </w:tcPr>
          <w:p w14:paraId="0D30B864" w14:textId="77777777" w:rsidR="006D557A" w:rsidRPr="00956E6E" w:rsidRDefault="006D557A" w:rsidP="00F1512F">
            <w:pPr>
              <w:pStyle w:val="TAC"/>
              <w:rPr>
                <w:rFonts w:eastAsiaTheme="minorEastAsia"/>
              </w:rPr>
            </w:pPr>
            <w:r w:rsidRPr="00956E6E">
              <w:rPr>
                <w:rFonts w:eastAsiaTheme="minorEastAsia"/>
              </w:rPr>
              <w:t xml:space="preserve">NR_FDD_FR1_A, NR_TDD_FR1_A, </w:t>
            </w:r>
            <w:r w:rsidRPr="00956E6E">
              <w:rPr>
                <w:rFonts w:eastAsiaTheme="minorEastAsia"/>
                <w:lang w:val="en-US"/>
              </w:rPr>
              <w:t>NR_SDL_FR1_A</w:t>
            </w:r>
          </w:p>
        </w:tc>
        <w:tc>
          <w:tcPr>
            <w:tcW w:w="984" w:type="dxa"/>
            <w:tcBorders>
              <w:top w:val="single" w:sz="6" w:space="0" w:color="auto"/>
              <w:left w:val="single" w:sz="6" w:space="0" w:color="auto"/>
              <w:bottom w:val="single" w:sz="6" w:space="0" w:color="auto"/>
              <w:right w:val="single" w:sz="6" w:space="0" w:color="auto"/>
            </w:tcBorders>
          </w:tcPr>
          <w:p w14:paraId="211E97B1" w14:textId="77777777" w:rsidR="006D557A" w:rsidRPr="00956E6E" w:rsidRDefault="006D557A" w:rsidP="00F1512F">
            <w:pPr>
              <w:pStyle w:val="TAC"/>
              <w:rPr>
                <w:rFonts w:eastAsiaTheme="minorEastAsia"/>
              </w:rPr>
            </w:pPr>
            <w:r w:rsidRPr="00956E6E">
              <w:rPr>
                <w:rFonts w:eastAsiaTheme="minorEastAsia"/>
              </w:rPr>
              <w:t>-127</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2DAE2018" w14:textId="77777777" w:rsidR="006D557A" w:rsidRPr="00956E6E" w:rsidRDefault="006D557A" w:rsidP="00F1512F">
            <w:pPr>
              <w:pStyle w:val="TAC"/>
              <w:rPr>
                <w:rFonts w:eastAsiaTheme="minorEastAsia"/>
              </w:rPr>
            </w:pPr>
            <w:r w:rsidRPr="00956E6E">
              <w:rPr>
                <w:rFonts w:eastAsiaTheme="minorEastAsia"/>
              </w:rPr>
              <w:t>-124</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0C11F471" w14:textId="77777777" w:rsidR="006D557A" w:rsidRPr="00956E6E" w:rsidRDefault="006D557A" w:rsidP="00F1512F">
            <w:pPr>
              <w:pStyle w:val="TAC"/>
              <w:rPr>
                <w:rFonts w:eastAsiaTheme="minorEastAsia"/>
              </w:rPr>
            </w:pPr>
            <w:r w:rsidRPr="00956E6E">
              <w:rPr>
                <w:rFonts w:eastAsiaTheme="minorEastAsia"/>
              </w:rPr>
              <w:t>-121</w:t>
            </w:r>
          </w:p>
        </w:tc>
        <w:tc>
          <w:tcPr>
            <w:tcW w:w="1197" w:type="dxa"/>
            <w:tcBorders>
              <w:top w:val="single" w:sz="6" w:space="0" w:color="auto"/>
              <w:left w:val="single" w:sz="6" w:space="0" w:color="auto"/>
              <w:bottom w:val="single" w:sz="6" w:space="0" w:color="auto"/>
              <w:right w:val="single" w:sz="4" w:space="0" w:color="auto"/>
            </w:tcBorders>
            <w:vAlign w:val="center"/>
          </w:tcPr>
          <w:p w14:paraId="27DB3D9D" w14:textId="77777777" w:rsidR="006D557A" w:rsidRPr="00956E6E" w:rsidRDefault="006D557A" w:rsidP="00F1512F">
            <w:pPr>
              <w:pStyle w:val="TAC"/>
              <w:rPr>
                <w:rFonts w:eastAsiaTheme="minorEastAsia"/>
              </w:rPr>
            </w:pPr>
            <w:r w:rsidRPr="00956E6E">
              <w:rPr>
                <w:rFonts w:eastAsiaTheme="minorEastAsia"/>
              </w:rPr>
              <w:t>-50</w:t>
            </w:r>
          </w:p>
        </w:tc>
      </w:tr>
      <w:tr w:rsidR="006D557A" w:rsidRPr="00956E6E" w14:paraId="1B4589E5" w14:textId="77777777" w:rsidTr="007A5129">
        <w:trPr>
          <w:jc w:val="center"/>
        </w:trPr>
        <w:tc>
          <w:tcPr>
            <w:tcW w:w="965" w:type="dxa"/>
            <w:vMerge/>
            <w:tcBorders>
              <w:left w:val="single" w:sz="4" w:space="0" w:color="auto"/>
              <w:right w:val="single" w:sz="6" w:space="0" w:color="auto"/>
            </w:tcBorders>
            <w:shd w:val="clear" w:color="auto" w:fill="auto"/>
            <w:vAlign w:val="center"/>
          </w:tcPr>
          <w:p w14:paraId="030E5EE3"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595ACC1B"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0B551702" w14:textId="7A89194D" w:rsidR="006D557A" w:rsidRPr="00956E6E" w:rsidRDefault="006D557A" w:rsidP="006D557A">
            <w:pPr>
              <w:pStyle w:val="TAC"/>
              <w:rPr>
                <w:rFonts w:eastAsiaTheme="minorEastAsia"/>
              </w:rPr>
            </w:pPr>
          </w:p>
        </w:tc>
        <w:tc>
          <w:tcPr>
            <w:tcW w:w="1140" w:type="dxa"/>
            <w:vMerge/>
            <w:tcBorders>
              <w:left w:val="single" w:sz="6" w:space="0" w:color="auto"/>
              <w:right w:val="single" w:sz="6" w:space="0" w:color="auto"/>
            </w:tcBorders>
            <w:shd w:val="clear" w:color="auto" w:fill="auto"/>
            <w:vAlign w:val="center"/>
          </w:tcPr>
          <w:p w14:paraId="5A60611F"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3E7AC159"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06583A11" w14:textId="77777777" w:rsidR="006D557A" w:rsidRPr="00956E6E" w:rsidRDefault="006D557A" w:rsidP="00F1512F">
            <w:pPr>
              <w:pStyle w:val="TAC"/>
              <w:rPr>
                <w:rFonts w:eastAsiaTheme="minorEastAsia"/>
              </w:rPr>
            </w:pPr>
            <w:r w:rsidRPr="00956E6E">
              <w:rPr>
                <w:rFonts w:eastAsiaTheme="minorEastAsia"/>
                <w:lang w:val="sv-SE"/>
              </w:rPr>
              <w:t>NR_FDD_FR1_B</w:t>
            </w:r>
          </w:p>
        </w:tc>
        <w:tc>
          <w:tcPr>
            <w:tcW w:w="984" w:type="dxa"/>
            <w:tcBorders>
              <w:top w:val="single" w:sz="6" w:space="0" w:color="auto"/>
              <w:left w:val="single" w:sz="6" w:space="0" w:color="auto"/>
              <w:bottom w:val="single" w:sz="6" w:space="0" w:color="auto"/>
              <w:right w:val="single" w:sz="6" w:space="0" w:color="auto"/>
            </w:tcBorders>
          </w:tcPr>
          <w:p w14:paraId="01B863A3" w14:textId="77777777" w:rsidR="006D557A" w:rsidRPr="00956E6E" w:rsidRDefault="006D557A" w:rsidP="00F1512F">
            <w:pPr>
              <w:pStyle w:val="TAC"/>
              <w:rPr>
                <w:rFonts w:eastAsiaTheme="minorEastAsia"/>
                <w:lang w:eastAsia="ja-JP"/>
              </w:rPr>
            </w:pPr>
            <w:r w:rsidRPr="00956E6E">
              <w:rPr>
                <w:rFonts w:eastAsiaTheme="minorEastAsia"/>
              </w:rPr>
              <w:t>-126.5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19D3264E" w14:textId="77777777" w:rsidR="006D557A" w:rsidRPr="00956E6E" w:rsidRDefault="006D557A" w:rsidP="00F1512F">
            <w:pPr>
              <w:pStyle w:val="TAC"/>
              <w:rPr>
                <w:rFonts w:eastAsiaTheme="minorEastAsia"/>
              </w:rPr>
            </w:pPr>
            <w:r w:rsidRPr="00956E6E">
              <w:rPr>
                <w:rFonts w:eastAsiaTheme="minorEastAsia"/>
              </w:rPr>
              <w:t>-123.5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547139C1" w14:textId="77777777" w:rsidR="006D557A" w:rsidRPr="00956E6E" w:rsidRDefault="006D557A" w:rsidP="00F1512F">
            <w:pPr>
              <w:pStyle w:val="TAC"/>
              <w:rPr>
                <w:rFonts w:eastAsiaTheme="minorEastAsia"/>
                <w:lang w:eastAsia="ja-JP"/>
              </w:rPr>
            </w:pPr>
            <w:r w:rsidRPr="00956E6E">
              <w:rPr>
                <w:rFonts w:eastAsiaTheme="minorEastAsia"/>
              </w:rPr>
              <w:t>-120.5</w:t>
            </w:r>
          </w:p>
        </w:tc>
        <w:tc>
          <w:tcPr>
            <w:tcW w:w="1197" w:type="dxa"/>
            <w:tcBorders>
              <w:top w:val="single" w:sz="6" w:space="0" w:color="auto"/>
              <w:left w:val="single" w:sz="6" w:space="0" w:color="auto"/>
              <w:bottom w:val="single" w:sz="6" w:space="0" w:color="auto"/>
              <w:right w:val="single" w:sz="4" w:space="0" w:color="auto"/>
            </w:tcBorders>
            <w:vAlign w:val="center"/>
          </w:tcPr>
          <w:p w14:paraId="16C19388" w14:textId="77777777" w:rsidR="006D557A" w:rsidRPr="00956E6E" w:rsidRDefault="006D557A" w:rsidP="00F1512F">
            <w:pPr>
              <w:pStyle w:val="TAC"/>
              <w:rPr>
                <w:rFonts w:eastAsiaTheme="minorEastAsia"/>
              </w:rPr>
            </w:pPr>
            <w:r w:rsidRPr="00956E6E">
              <w:rPr>
                <w:rFonts w:eastAsiaTheme="minorEastAsia"/>
                <w:lang w:eastAsia="ja-JP"/>
              </w:rPr>
              <w:t>-50</w:t>
            </w:r>
          </w:p>
        </w:tc>
      </w:tr>
      <w:tr w:rsidR="006D557A" w:rsidRPr="00956E6E" w14:paraId="147B8C70" w14:textId="77777777" w:rsidTr="007A5129">
        <w:trPr>
          <w:jc w:val="center"/>
        </w:trPr>
        <w:tc>
          <w:tcPr>
            <w:tcW w:w="965" w:type="dxa"/>
            <w:vMerge/>
            <w:tcBorders>
              <w:left w:val="single" w:sz="4" w:space="0" w:color="auto"/>
              <w:right w:val="single" w:sz="6" w:space="0" w:color="auto"/>
            </w:tcBorders>
            <w:shd w:val="clear" w:color="auto" w:fill="auto"/>
            <w:vAlign w:val="center"/>
          </w:tcPr>
          <w:p w14:paraId="55C7E697"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70E604DF"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4355CCEF" w14:textId="502C4D67" w:rsidR="006D557A" w:rsidRPr="00956E6E" w:rsidRDefault="006D557A" w:rsidP="006D557A">
            <w:pPr>
              <w:pStyle w:val="TAC"/>
              <w:rPr>
                <w:rFonts w:eastAsiaTheme="minorEastAsia"/>
              </w:rPr>
            </w:pPr>
          </w:p>
        </w:tc>
        <w:tc>
          <w:tcPr>
            <w:tcW w:w="1140" w:type="dxa"/>
            <w:vMerge/>
            <w:tcBorders>
              <w:left w:val="single" w:sz="6" w:space="0" w:color="auto"/>
              <w:right w:val="single" w:sz="6" w:space="0" w:color="auto"/>
            </w:tcBorders>
            <w:shd w:val="clear" w:color="auto" w:fill="auto"/>
            <w:vAlign w:val="center"/>
          </w:tcPr>
          <w:p w14:paraId="4DA3B248"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1BFB5C9C"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151C8818" w14:textId="77777777" w:rsidR="006D557A" w:rsidRPr="00956E6E" w:rsidRDefault="006D557A" w:rsidP="00F1512F">
            <w:pPr>
              <w:pStyle w:val="TAC"/>
              <w:rPr>
                <w:rFonts w:eastAsiaTheme="minorEastAsia"/>
              </w:rPr>
            </w:pPr>
            <w:r w:rsidRPr="00956E6E">
              <w:rPr>
                <w:rFonts w:eastAsiaTheme="minorEastAsia"/>
                <w:lang w:val="sv-SE"/>
              </w:rPr>
              <w:t>NR_TDD_FR1_C</w:t>
            </w:r>
          </w:p>
        </w:tc>
        <w:tc>
          <w:tcPr>
            <w:tcW w:w="984" w:type="dxa"/>
            <w:tcBorders>
              <w:top w:val="single" w:sz="6" w:space="0" w:color="auto"/>
              <w:left w:val="single" w:sz="6" w:space="0" w:color="auto"/>
              <w:bottom w:val="single" w:sz="6" w:space="0" w:color="auto"/>
              <w:right w:val="single" w:sz="6" w:space="0" w:color="auto"/>
            </w:tcBorders>
          </w:tcPr>
          <w:p w14:paraId="029DB5C6" w14:textId="77777777" w:rsidR="006D557A" w:rsidRPr="00956E6E" w:rsidRDefault="006D557A" w:rsidP="00F1512F">
            <w:pPr>
              <w:pStyle w:val="TAC"/>
              <w:rPr>
                <w:rFonts w:eastAsiaTheme="minorEastAsia"/>
              </w:rPr>
            </w:pPr>
            <w:r w:rsidRPr="00956E6E">
              <w:rPr>
                <w:rFonts w:eastAsiaTheme="minorEastAsia"/>
              </w:rPr>
              <w:t>-126</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7753111E" w14:textId="77777777" w:rsidR="006D557A" w:rsidRPr="00956E6E" w:rsidRDefault="006D557A" w:rsidP="00F1512F">
            <w:pPr>
              <w:pStyle w:val="TAC"/>
              <w:rPr>
                <w:rFonts w:eastAsiaTheme="minorEastAsia"/>
              </w:rPr>
            </w:pPr>
            <w:r w:rsidRPr="00956E6E">
              <w:rPr>
                <w:rFonts w:eastAsiaTheme="minorEastAsia"/>
              </w:rPr>
              <w:t>-123</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48C4A1D6" w14:textId="77777777" w:rsidR="006D557A" w:rsidRPr="00956E6E" w:rsidRDefault="006D557A" w:rsidP="00F1512F">
            <w:pPr>
              <w:pStyle w:val="TAC"/>
              <w:rPr>
                <w:rFonts w:eastAsiaTheme="minorEastAsia"/>
              </w:rPr>
            </w:pPr>
            <w:r w:rsidRPr="00956E6E">
              <w:rPr>
                <w:rFonts w:eastAsiaTheme="minorEastAsia"/>
              </w:rPr>
              <w:t>-120</w:t>
            </w:r>
          </w:p>
        </w:tc>
        <w:tc>
          <w:tcPr>
            <w:tcW w:w="1197" w:type="dxa"/>
            <w:tcBorders>
              <w:top w:val="single" w:sz="6" w:space="0" w:color="auto"/>
              <w:left w:val="single" w:sz="6" w:space="0" w:color="auto"/>
              <w:bottom w:val="single" w:sz="6" w:space="0" w:color="auto"/>
              <w:right w:val="single" w:sz="4" w:space="0" w:color="auto"/>
            </w:tcBorders>
            <w:vAlign w:val="center"/>
          </w:tcPr>
          <w:p w14:paraId="3A817BEA" w14:textId="77777777" w:rsidR="006D557A" w:rsidRPr="00956E6E" w:rsidRDefault="006D557A" w:rsidP="00F1512F">
            <w:pPr>
              <w:pStyle w:val="TAC"/>
              <w:rPr>
                <w:rFonts w:eastAsiaTheme="minorEastAsia"/>
              </w:rPr>
            </w:pPr>
            <w:r w:rsidRPr="00956E6E">
              <w:rPr>
                <w:rFonts w:eastAsiaTheme="minorEastAsia"/>
              </w:rPr>
              <w:t>-50</w:t>
            </w:r>
          </w:p>
        </w:tc>
      </w:tr>
      <w:tr w:rsidR="006D557A" w:rsidRPr="00956E6E" w14:paraId="308141D5" w14:textId="77777777" w:rsidTr="007A5129">
        <w:trPr>
          <w:jc w:val="center"/>
        </w:trPr>
        <w:tc>
          <w:tcPr>
            <w:tcW w:w="965" w:type="dxa"/>
            <w:vMerge/>
            <w:tcBorders>
              <w:left w:val="single" w:sz="4" w:space="0" w:color="auto"/>
              <w:right w:val="single" w:sz="6" w:space="0" w:color="auto"/>
            </w:tcBorders>
            <w:shd w:val="clear" w:color="auto" w:fill="auto"/>
            <w:vAlign w:val="center"/>
          </w:tcPr>
          <w:p w14:paraId="62C762A7"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162082D4"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7847B08A" w14:textId="79CAD8E2" w:rsidR="006D557A" w:rsidRPr="00956E6E" w:rsidRDefault="006D557A" w:rsidP="006D557A">
            <w:pPr>
              <w:pStyle w:val="TAC"/>
              <w:rPr>
                <w:rFonts w:eastAsiaTheme="minorEastAsia"/>
              </w:rPr>
            </w:pPr>
          </w:p>
        </w:tc>
        <w:tc>
          <w:tcPr>
            <w:tcW w:w="1140" w:type="dxa"/>
            <w:vMerge/>
            <w:tcBorders>
              <w:left w:val="single" w:sz="6" w:space="0" w:color="auto"/>
              <w:right w:val="single" w:sz="6" w:space="0" w:color="auto"/>
            </w:tcBorders>
            <w:shd w:val="clear" w:color="auto" w:fill="auto"/>
            <w:vAlign w:val="center"/>
          </w:tcPr>
          <w:p w14:paraId="714CA0CE"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23C1F6A6"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632002DD" w14:textId="77777777" w:rsidR="006D557A" w:rsidRPr="00956E6E" w:rsidRDefault="006D557A" w:rsidP="00F1512F">
            <w:pPr>
              <w:pStyle w:val="TAC"/>
              <w:rPr>
                <w:rFonts w:eastAsiaTheme="minorEastAsia"/>
                <w:lang w:val="sv-SE"/>
              </w:rPr>
            </w:pPr>
            <w:r w:rsidRPr="00956E6E">
              <w:rPr>
                <w:rFonts w:eastAsiaTheme="minorEastAsia"/>
                <w:lang w:val="sv-SE"/>
              </w:rPr>
              <w:t>NR_FDD_FR1_D, NR_TDD_FR1_D</w:t>
            </w:r>
          </w:p>
        </w:tc>
        <w:tc>
          <w:tcPr>
            <w:tcW w:w="984" w:type="dxa"/>
            <w:tcBorders>
              <w:top w:val="single" w:sz="6" w:space="0" w:color="auto"/>
              <w:left w:val="single" w:sz="6" w:space="0" w:color="auto"/>
              <w:bottom w:val="single" w:sz="6" w:space="0" w:color="auto"/>
              <w:right w:val="single" w:sz="6" w:space="0" w:color="auto"/>
            </w:tcBorders>
          </w:tcPr>
          <w:p w14:paraId="5E1AB9D7" w14:textId="77777777" w:rsidR="006D557A" w:rsidRPr="00956E6E" w:rsidRDefault="006D557A" w:rsidP="00F1512F">
            <w:pPr>
              <w:pStyle w:val="TAC"/>
              <w:rPr>
                <w:rFonts w:eastAsiaTheme="minorEastAsia"/>
              </w:rPr>
            </w:pPr>
            <w:r w:rsidRPr="00956E6E">
              <w:rPr>
                <w:rFonts w:eastAsiaTheme="minorEastAsia"/>
              </w:rPr>
              <w:t>-125.5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425859FA" w14:textId="77777777" w:rsidR="006D557A" w:rsidRPr="00956E6E" w:rsidRDefault="006D557A" w:rsidP="00F1512F">
            <w:pPr>
              <w:pStyle w:val="TAC"/>
              <w:rPr>
                <w:rFonts w:eastAsiaTheme="minorEastAsia"/>
              </w:rPr>
            </w:pPr>
            <w:r w:rsidRPr="00956E6E">
              <w:rPr>
                <w:rFonts w:eastAsiaTheme="minorEastAsia"/>
              </w:rPr>
              <w:t>-122.5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5280A2BC" w14:textId="77777777" w:rsidR="006D557A" w:rsidRPr="00956E6E" w:rsidRDefault="006D557A" w:rsidP="00F1512F">
            <w:pPr>
              <w:pStyle w:val="TAC"/>
              <w:rPr>
                <w:rFonts w:eastAsiaTheme="minorEastAsia"/>
              </w:rPr>
            </w:pPr>
            <w:r w:rsidRPr="00956E6E">
              <w:rPr>
                <w:rFonts w:eastAsiaTheme="minorEastAsia"/>
              </w:rPr>
              <w:t>-119.5</w:t>
            </w:r>
          </w:p>
        </w:tc>
        <w:tc>
          <w:tcPr>
            <w:tcW w:w="1197" w:type="dxa"/>
            <w:tcBorders>
              <w:top w:val="single" w:sz="6" w:space="0" w:color="auto"/>
              <w:left w:val="single" w:sz="6" w:space="0" w:color="auto"/>
              <w:bottom w:val="single" w:sz="6" w:space="0" w:color="auto"/>
              <w:right w:val="single" w:sz="4" w:space="0" w:color="auto"/>
            </w:tcBorders>
            <w:vAlign w:val="center"/>
          </w:tcPr>
          <w:p w14:paraId="2BEFFB1D" w14:textId="77777777" w:rsidR="006D557A" w:rsidRPr="00956E6E" w:rsidRDefault="006D557A" w:rsidP="00F1512F">
            <w:pPr>
              <w:pStyle w:val="TAC"/>
              <w:rPr>
                <w:rFonts w:eastAsiaTheme="minorEastAsia"/>
              </w:rPr>
            </w:pPr>
            <w:r w:rsidRPr="00956E6E">
              <w:rPr>
                <w:rFonts w:eastAsiaTheme="minorEastAsia"/>
              </w:rPr>
              <w:t>-50</w:t>
            </w:r>
          </w:p>
        </w:tc>
      </w:tr>
      <w:tr w:rsidR="006D557A" w:rsidRPr="00956E6E" w14:paraId="42B222A9" w14:textId="77777777" w:rsidTr="007A5129">
        <w:trPr>
          <w:jc w:val="center"/>
        </w:trPr>
        <w:tc>
          <w:tcPr>
            <w:tcW w:w="965" w:type="dxa"/>
            <w:vMerge/>
            <w:tcBorders>
              <w:left w:val="single" w:sz="4" w:space="0" w:color="auto"/>
              <w:right w:val="single" w:sz="6" w:space="0" w:color="auto"/>
            </w:tcBorders>
            <w:shd w:val="clear" w:color="auto" w:fill="auto"/>
            <w:vAlign w:val="center"/>
          </w:tcPr>
          <w:p w14:paraId="69C747FE"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1D21BD48"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32673D1D"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3DA03FBA"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47B99345"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35538998" w14:textId="77777777" w:rsidR="006D557A" w:rsidRPr="00956E6E" w:rsidRDefault="006D557A" w:rsidP="00F1512F">
            <w:pPr>
              <w:pStyle w:val="TAC"/>
              <w:rPr>
                <w:rFonts w:eastAsiaTheme="minorEastAsia"/>
                <w:lang w:val="sv-SE"/>
              </w:rPr>
            </w:pPr>
            <w:r w:rsidRPr="00956E6E">
              <w:rPr>
                <w:rFonts w:eastAsiaTheme="minorEastAsia"/>
                <w:lang w:val="sv-SE"/>
              </w:rPr>
              <w:t>NR_FDD_FR1_E, NR_TDD_FR1_E</w:t>
            </w:r>
          </w:p>
        </w:tc>
        <w:tc>
          <w:tcPr>
            <w:tcW w:w="984" w:type="dxa"/>
            <w:tcBorders>
              <w:top w:val="single" w:sz="6" w:space="0" w:color="auto"/>
              <w:left w:val="single" w:sz="6" w:space="0" w:color="auto"/>
              <w:bottom w:val="single" w:sz="6" w:space="0" w:color="auto"/>
              <w:right w:val="single" w:sz="6" w:space="0" w:color="auto"/>
            </w:tcBorders>
          </w:tcPr>
          <w:p w14:paraId="60D269A7" w14:textId="77777777" w:rsidR="006D557A" w:rsidRPr="00956E6E" w:rsidRDefault="006D557A" w:rsidP="00F1512F">
            <w:pPr>
              <w:pStyle w:val="TAC"/>
              <w:rPr>
                <w:rFonts w:eastAsiaTheme="minorEastAsia"/>
              </w:rPr>
            </w:pPr>
            <w:r w:rsidRPr="00956E6E">
              <w:rPr>
                <w:rFonts w:eastAsiaTheme="minorEastAsia"/>
              </w:rPr>
              <w:t>-125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032C18EB" w14:textId="77777777" w:rsidR="006D557A" w:rsidRPr="00956E6E" w:rsidRDefault="006D557A" w:rsidP="00F1512F">
            <w:pPr>
              <w:pStyle w:val="TAC"/>
              <w:rPr>
                <w:rFonts w:eastAsiaTheme="minorEastAsia"/>
              </w:rPr>
            </w:pPr>
            <w:r w:rsidRPr="00956E6E">
              <w:rPr>
                <w:rFonts w:eastAsiaTheme="minorEastAsia"/>
              </w:rPr>
              <w:t>-122</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4DC49C67" w14:textId="77777777" w:rsidR="006D557A" w:rsidRPr="00956E6E" w:rsidRDefault="006D557A" w:rsidP="00F1512F">
            <w:pPr>
              <w:pStyle w:val="TAC"/>
              <w:rPr>
                <w:rFonts w:eastAsiaTheme="minorEastAsia"/>
              </w:rPr>
            </w:pPr>
            <w:r w:rsidRPr="00956E6E">
              <w:rPr>
                <w:rFonts w:eastAsiaTheme="minorEastAsia"/>
              </w:rPr>
              <w:t>-119</w:t>
            </w:r>
          </w:p>
        </w:tc>
        <w:tc>
          <w:tcPr>
            <w:tcW w:w="1197" w:type="dxa"/>
            <w:tcBorders>
              <w:top w:val="single" w:sz="6" w:space="0" w:color="auto"/>
              <w:left w:val="single" w:sz="6" w:space="0" w:color="auto"/>
              <w:bottom w:val="single" w:sz="6" w:space="0" w:color="auto"/>
              <w:right w:val="single" w:sz="4" w:space="0" w:color="auto"/>
            </w:tcBorders>
            <w:vAlign w:val="center"/>
          </w:tcPr>
          <w:p w14:paraId="0AB0FBA2" w14:textId="77777777" w:rsidR="006D557A" w:rsidRPr="00956E6E" w:rsidRDefault="006D557A" w:rsidP="00F1512F">
            <w:pPr>
              <w:pStyle w:val="TAC"/>
              <w:rPr>
                <w:rFonts w:eastAsiaTheme="minorEastAsia"/>
              </w:rPr>
            </w:pPr>
            <w:r w:rsidRPr="00956E6E">
              <w:rPr>
                <w:rFonts w:eastAsiaTheme="minorEastAsia"/>
              </w:rPr>
              <w:t>-50</w:t>
            </w:r>
          </w:p>
        </w:tc>
      </w:tr>
      <w:tr w:rsidR="006D557A" w:rsidRPr="00956E6E" w14:paraId="25174342" w14:textId="77777777" w:rsidTr="007A5129">
        <w:trPr>
          <w:jc w:val="center"/>
        </w:trPr>
        <w:tc>
          <w:tcPr>
            <w:tcW w:w="965" w:type="dxa"/>
            <w:vMerge/>
            <w:tcBorders>
              <w:left w:val="single" w:sz="4" w:space="0" w:color="auto"/>
              <w:right w:val="single" w:sz="6" w:space="0" w:color="auto"/>
            </w:tcBorders>
            <w:shd w:val="clear" w:color="auto" w:fill="auto"/>
            <w:vAlign w:val="center"/>
          </w:tcPr>
          <w:p w14:paraId="46E878B3"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5F6B338E"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2EA5C832"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28FDF870"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3230A519"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0F3A83B5" w14:textId="77777777" w:rsidR="006D557A" w:rsidRPr="00956E6E" w:rsidRDefault="006D557A" w:rsidP="00F1512F">
            <w:pPr>
              <w:pStyle w:val="TAC"/>
              <w:rPr>
                <w:rFonts w:eastAsiaTheme="minorEastAsia"/>
              </w:rPr>
            </w:pPr>
            <w:r w:rsidRPr="00956E6E">
              <w:rPr>
                <w:rFonts w:eastAsiaTheme="minorEastAsia"/>
                <w:lang w:val="sv-SE"/>
              </w:rPr>
              <w:t>NR_FDD_FR1_F</w:t>
            </w:r>
          </w:p>
        </w:tc>
        <w:tc>
          <w:tcPr>
            <w:tcW w:w="984" w:type="dxa"/>
            <w:tcBorders>
              <w:top w:val="single" w:sz="6" w:space="0" w:color="auto"/>
              <w:left w:val="single" w:sz="6" w:space="0" w:color="auto"/>
              <w:bottom w:val="single" w:sz="6" w:space="0" w:color="auto"/>
              <w:right w:val="single" w:sz="6" w:space="0" w:color="auto"/>
            </w:tcBorders>
          </w:tcPr>
          <w:p w14:paraId="52DB5F24" w14:textId="77777777" w:rsidR="006D557A" w:rsidRPr="00956E6E" w:rsidRDefault="006D557A" w:rsidP="00F1512F">
            <w:pPr>
              <w:pStyle w:val="TAC"/>
              <w:rPr>
                <w:rFonts w:eastAsiaTheme="minorEastAsia"/>
              </w:rPr>
            </w:pPr>
            <w:r w:rsidRPr="00956E6E">
              <w:rPr>
                <w:rFonts w:eastAsiaTheme="minorEastAsia"/>
              </w:rPr>
              <w:t>-124.5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44DDBE3F" w14:textId="77777777" w:rsidR="006D557A" w:rsidRPr="00956E6E" w:rsidRDefault="006D557A" w:rsidP="00F1512F">
            <w:pPr>
              <w:pStyle w:val="TAC"/>
              <w:rPr>
                <w:rFonts w:eastAsiaTheme="minorEastAsia"/>
              </w:rPr>
            </w:pPr>
            <w:r w:rsidRPr="00956E6E">
              <w:rPr>
                <w:rFonts w:eastAsiaTheme="minorEastAsia"/>
              </w:rPr>
              <w:t>-121.5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09D84C62" w14:textId="77777777" w:rsidR="006D557A" w:rsidRPr="00956E6E" w:rsidRDefault="006D557A" w:rsidP="00F1512F">
            <w:pPr>
              <w:pStyle w:val="TAC"/>
              <w:rPr>
                <w:rFonts w:eastAsiaTheme="minorEastAsia"/>
              </w:rPr>
            </w:pPr>
            <w:r w:rsidRPr="00956E6E">
              <w:rPr>
                <w:rFonts w:eastAsiaTheme="minorEastAsia"/>
              </w:rPr>
              <w:t>-118.5</w:t>
            </w:r>
          </w:p>
        </w:tc>
        <w:tc>
          <w:tcPr>
            <w:tcW w:w="1197" w:type="dxa"/>
            <w:tcBorders>
              <w:top w:val="single" w:sz="6" w:space="0" w:color="auto"/>
              <w:left w:val="single" w:sz="6" w:space="0" w:color="auto"/>
              <w:bottom w:val="single" w:sz="6" w:space="0" w:color="auto"/>
              <w:right w:val="single" w:sz="4" w:space="0" w:color="auto"/>
            </w:tcBorders>
            <w:vAlign w:val="center"/>
          </w:tcPr>
          <w:p w14:paraId="49F708BE" w14:textId="77777777" w:rsidR="006D557A" w:rsidRPr="00956E6E" w:rsidRDefault="006D557A" w:rsidP="00F1512F">
            <w:pPr>
              <w:pStyle w:val="TAC"/>
              <w:rPr>
                <w:rFonts w:eastAsiaTheme="minorEastAsia"/>
              </w:rPr>
            </w:pPr>
            <w:r w:rsidRPr="00956E6E">
              <w:rPr>
                <w:rFonts w:eastAsiaTheme="minorEastAsia"/>
              </w:rPr>
              <w:t>-50</w:t>
            </w:r>
          </w:p>
        </w:tc>
      </w:tr>
      <w:tr w:rsidR="006D557A" w:rsidRPr="00956E6E" w14:paraId="3E207FD4" w14:textId="77777777" w:rsidTr="007A5129">
        <w:trPr>
          <w:jc w:val="center"/>
        </w:trPr>
        <w:tc>
          <w:tcPr>
            <w:tcW w:w="965" w:type="dxa"/>
            <w:vMerge/>
            <w:tcBorders>
              <w:left w:val="single" w:sz="4" w:space="0" w:color="auto"/>
              <w:right w:val="single" w:sz="6" w:space="0" w:color="auto"/>
            </w:tcBorders>
            <w:shd w:val="clear" w:color="auto" w:fill="auto"/>
            <w:vAlign w:val="center"/>
          </w:tcPr>
          <w:p w14:paraId="087BF37A"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16384127"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072820A1"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29788174"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0F0B0521"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34D06921" w14:textId="77777777" w:rsidR="006D557A" w:rsidRPr="00956E6E" w:rsidRDefault="006D557A" w:rsidP="00F1512F">
            <w:pPr>
              <w:pStyle w:val="TAC"/>
              <w:rPr>
                <w:rFonts w:eastAsiaTheme="minorEastAsia"/>
              </w:rPr>
            </w:pPr>
            <w:r w:rsidRPr="00956E6E">
              <w:rPr>
                <w:rFonts w:eastAsiaTheme="minorEastAsia"/>
                <w:lang w:val="sv-SE"/>
              </w:rPr>
              <w:t>NR_FDD_FR1_G</w:t>
            </w:r>
          </w:p>
        </w:tc>
        <w:tc>
          <w:tcPr>
            <w:tcW w:w="984" w:type="dxa"/>
            <w:tcBorders>
              <w:top w:val="single" w:sz="6" w:space="0" w:color="auto"/>
              <w:left w:val="single" w:sz="6" w:space="0" w:color="auto"/>
              <w:bottom w:val="single" w:sz="6" w:space="0" w:color="auto"/>
              <w:right w:val="single" w:sz="6" w:space="0" w:color="auto"/>
            </w:tcBorders>
          </w:tcPr>
          <w:p w14:paraId="3A5DDBEC" w14:textId="77777777" w:rsidR="006D557A" w:rsidRPr="00956E6E" w:rsidRDefault="006D557A" w:rsidP="00F1512F">
            <w:pPr>
              <w:pStyle w:val="TAC"/>
              <w:rPr>
                <w:rFonts w:eastAsiaTheme="minorEastAsia"/>
              </w:rPr>
            </w:pPr>
            <w:r w:rsidRPr="00956E6E">
              <w:rPr>
                <w:rFonts w:eastAsiaTheme="minorEastAsia"/>
              </w:rPr>
              <w:t>-124</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3DCACAC5" w14:textId="77777777" w:rsidR="006D557A" w:rsidRPr="00956E6E" w:rsidRDefault="006D557A" w:rsidP="00F1512F">
            <w:pPr>
              <w:pStyle w:val="TAC"/>
              <w:rPr>
                <w:rFonts w:eastAsiaTheme="minorEastAsia"/>
              </w:rPr>
            </w:pPr>
            <w:r w:rsidRPr="00956E6E">
              <w:rPr>
                <w:rFonts w:eastAsiaTheme="minorEastAsia"/>
              </w:rPr>
              <w:t>-121</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27D1BFD5" w14:textId="77777777" w:rsidR="006D557A" w:rsidRPr="00956E6E" w:rsidRDefault="006D557A" w:rsidP="00F1512F">
            <w:pPr>
              <w:pStyle w:val="TAC"/>
              <w:rPr>
                <w:rFonts w:eastAsiaTheme="minorEastAsia"/>
              </w:rPr>
            </w:pPr>
            <w:r w:rsidRPr="00956E6E">
              <w:rPr>
                <w:rFonts w:eastAsiaTheme="minorEastAsia"/>
              </w:rPr>
              <w:t>-118</w:t>
            </w:r>
          </w:p>
        </w:tc>
        <w:tc>
          <w:tcPr>
            <w:tcW w:w="1197" w:type="dxa"/>
            <w:tcBorders>
              <w:top w:val="single" w:sz="6" w:space="0" w:color="auto"/>
              <w:left w:val="single" w:sz="6" w:space="0" w:color="auto"/>
              <w:bottom w:val="single" w:sz="6" w:space="0" w:color="auto"/>
              <w:right w:val="single" w:sz="4" w:space="0" w:color="auto"/>
            </w:tcBorders>
            <w:vAlign w:val="center"/>
          </w:tcPr>
          <w:p w14:paraId="34B9272C" w14:textId="77777777" w:rsidR="006D557A" w:rsidRPr="00956E6E" w:rsidRDefault="006D557A" w:rsidP="00F1512F">
            <w:pPr>
              <w:pStyle w:val="TAC"/>
              <w:rPr>
                <w:rFonts w:eastAsiaTheme="minorEastAsia"/>
              </w:rPr>
            </w:pPr>
            <w:r w:rsidRPr="00956E6E">
              <w:rPr>
                <w:rFonts w:eastAsiaTheme="minorEastAsia"/>
              </w:rPr>
              <w:t>-50</w:t>
            </w:r>
          </w:p>
        </w:tc>
      </w:tr>
      <w:tr w:rsidR="006D557A" w:rsidRPr="00956E6E" w14:paraId="468514A9" w14:textId="77777777" w:rsidTr="007A5129">
        <w:trPr>
          <w:jc w:val="center"/>
        </w:trPr>
        <w:tc>
          <w:tcPr>
            <w:tcW w:w="965" w:type="dxa"/>
            <w:vMerge/>
            <w:tcBorders>
              <w:left w:val="single" w:sz="4" w:space="0" w:color="auto"/>
              <w:right w:val="single" w:sz="6" w:space="0" w:color="auto"/>
            </w:tcBorders>
            <w:shd w:val="clear" w:color="auto" w:fill="auto"/>
            <w:vAlign w:val="center"/>
          </w:tcPr>
          <w:p w14:paraId="7FD4AE5F"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1D3261DC"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30E0E567"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3ECD67E6"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6917C755"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5046ED7B" w14:textId="77777777" w:rsidR="006D557A" w:rsidRPr="00956E6E" w:rsidRDefault="006D557A" w:rsidP="00F1512F">
            <w:pPr>
              <w:pStyle w:val="TAC"/>
              <w:rPr>
                <w:rFonts w:eastAsiaTheme="minorEastAsia"/>
              </w:rPr>
            </w:pPr>
            <w:r w:rsidRPr="00956E6E">
              <w:rPr>
                <w:rFonts w:eastAsiaTheme="minorEastAsia"/>
                <w:lang w:val="sv-SE"/>
              </w:rPr>
              <w:t>NR_FDD_FR1_H</w:t>
            </w:r>
          </w:p>
        </w:tc>
        <w:tc>
          <w:tcPr>
            <w:tcW w:w="984" w:type="dxa"/>
            <w:tcBorders>
              <w:top w:val="single" w:sz="6" w:space="0" w:color="auto"/>
              <w:left w:val="single" w:sz="6" w:space="0" w:color="auto"/>
              <w:bottom w:val="single" w:sz="6" w:space="0" w:color="auto"/>
              <w:right w:val="single" w:sz="6" w:space="0" w:color="auto"/>
            </w:tcBorders>
          </w:tcPr>
          <w:p w14:paraId="4C116D36" w14:textId="77777777" w:rsidR="006D557A" w:rsidRPr="00956E6E" w:rsidRDefault="006D557A" w:rsidP="00F1512F">
            <w:pPr>
              <w:pStyle w:val="TAC"/>
              <w:rPr>
                <w:rFonts w:eastAsiaTheme="minorEastAsia"/>
              </w:rPr>
            </w:pPr>
            <w:r w:rsidRPr="00956E6E">
              <w:rPr>
                <w:rFonts w:eastAsiaTheme="minorEastAsia"/>
              </w:rPr>
              <w:t>-123.5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53978F2D" w14:textId="77777777" w:rsidR="006D557A" w:rsidRPr="00956E6E" w:rsidRDefault="006D557A" w:rsidP="00F1512F">
            <w:pPr>
              <w:pStyle w:val="TAC"/>
              <w:rPr>
                <w:rFonts w:eastAsiaTheme="minorEastAsia"/>
              </w:rPr>
            </w:pPr>
            <w:r w:rsidRPr="00956E6E">
              <w:rPr>
                <w:rFonts w:eastAsiaTheme="minorEastAsia"/>
              </w:rPr>
              <w:t>-120.5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785C9406" w14:textId="77777777" w:rsidR="006D557A" w:rsidRPr="00956E6E" w:rsidRDefault="006D557A" w:rsidP="00F1512F">
            <w:pPr>
              <w:pStyle w:val="TAC"/>
              <w:rPr>
                <w:rFonts w:eastAsiaTheme="minorEastAsia"/>
              </w:rPr>
            </w:pPr>
            <w:r w:rsidRPr="00956E6E">
              <w:rPr>
                <w:rFonts w:eastAsiaTheme="minorEastAsia"/>
              </w:rPr>
              <w:t>-117.5</w:t>
            </w:r>
          </w:p>
        </w:tc>
        <w:tc>
          <w:tcPr>
            <w:tcW w:w="1197" w:type="dxa"/>
            <w:tcBorders>
              <w:top w:val="single" w:sz="6" w:space="0" w:color="auto"/>
              <w:left w:val="single" w:sz="6" w:space="0" w:color="auto"/>
              <w:bottom w:val="single" w:sz="6" w:space="0" w:color="auto"/>
              <w:right w:val="single" w:sz="4" w:space="0" w:color="auto"/>
            </w:tcBorders>
            <w:vAlign w:val="center"/>
          </w:tcPr>
          <w:p w14:paraId="12A7B2DA" w14:textId="77777777" w:rsidR="006D557A" w:rsidRPr="00956E6E" w:rsidRDefault="006D557A" w:rsidP="00F1512F">
            <w:pPr>
              <w:pStyle w:val="TAC"/>
              <w:rPr>
                <w:rFonts w:eastAsiaTheme="minorEastAsia"/>
              </w:rPr>
            </w:pPr>
            <w:r w:rsidRPr="00956E6E">
              <w:rPr>
                <w:rFonts w:eastAsiaTheme="minorEastAsia"/>
              </w:rPr>
              <w:t>-50</w:t>
            </w:r>
          </w:p>
        </w:tc>
      </w:tr>
      <w:tr w:rsidR="006D557A" w:rsidRPr="00956E6E" w14:paraId="02F3E296" w14:textId="77777777" w:rsidTr="007A5129">
        <w:trPr>
          <w:jc w:val="center"/>
        </w:trPr>
        <w:tc>
          <w:tcPr>
            <w:tcW w:w="965" w:type="dxa"/>
            <w:vMerge/>
            <w:tcBorders>
              <w:left w:val="single" w:sz="4" w:space="0" w:color="auto"/>
              <w:right w:val="single" w:sz="6" w:space="0" w:color="auto"/>
            </w:tcBorders>
            <w:shd w:val="clear" w:color="auto" w:fill="auto"/>
            <w:vAlign w:val="center"/>
          </w:tcPr>
          <w:p w14:paraId="7A766B76" w14:textId="77777777" w:rsidR="006D557A" w:rsidRPr="00956E6E" w:rsidRDefault="006D557A" w:rsidP="007A5129">
            <w:pPr>
              <w:keepNext/>
              <w:keepLines/>
              <w:spacing w:after="0"/>
              <w:jc w:val="center"/>
              <w:rPr>
                <w:rFonts w:ascii="Arial" w:eastAsiaTheme="minorEastAsia" w:hAnsi="Arial"/>
                <w:sz w:val="18"/>
                <w:lang w:eastAsia="zh-CN"/>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2C05866E" w14:textId="77777777" w:rsidR="006D557A" w:rsidRPr="00956E6E" w:rsidRDefault="006D557A" w:rsidP="007A5129">
            <w:pPr>
              <w:keepNext/>
              <w:keepLines/>
              <w:spacing w:after="0"/>
              <w:jc w:val="center"/>
              <w:rPr>
                <w:rFonts w:ascii="Arial" w:eastAsiaTheme="minorEastAsia" w:hAnsi="Arial"/>
                <w:sz w:val="18"/>
                <w:lang w:eastAsia="zh-CN"/>
              </w:rPr>
            </w:pPr>
          </w:p>
        </w:tc>
        <w:tc>
          <w:tcPr>
            <w:tcW w:w="827" w:type="dxa"/>
            <w:vMerge/>
            <w:tcBorders>
              <w:left w:val="single" w:sz="6" w:space="0" w:color="auto"/>
              <w:right w:val="single" w:sz="6" w:space="0" w:color="auto"/>
            </w:tcBorders>
            <w:shd w:val="clear" w:color="auto" w:fill="auto"/>
            <w:vAlign w:val="center"/>
          </w:tcPr>
          <w:p w14:paraId="6B02E77A" w14:textId="77777777" w:rsidR="006D557A" w:rsidRPr="00956E6E" w:rsidRDefault="006D557A" w:rsidP="007A5129">
            <w:pPr>
              <w:keepNext/>
              <w:keepLines/>
              <w:spacing w:after="0"/>
              <w:jc w:val="center"/>
              <w:rPr>
                <w:rFonts w:ascii="Arial" w:eastAsiaTheme="minorEastAsia" w:hAnsi="Arial"/>
                <w:sz w:val="18"/>
                <w:lang w:val="sv-SE"/>
              </w:rPr>
            </w:pPr>
          </w:p>
        </w:tc>
        <w:tc>
          <w:tcPr>
            <w:tcW w:w="1140" w:type="dxa"/>
            <w:vMerge/>
            <w:tcBorders>
              <w:left w:val="single" w:sz="6" w:space="0" w:color="auto"/>
              <w:right w:val="single" w:sz="6" w:space="0" w:color="auto"/>
            </w:tcBorders>
            <w:shd w:val="clear" w:color="auto" w:fill="auto"/>
            <w:vAlign w:val="center"/>
          </w:tcPr>
          <w:p w14:paraId="69771207" w14:textId="77777777" w:rsidR="006D557A" w:rsidRPr="00956E6E" w:rsidRDefault="006D557A" w:rsidP="007A5129">
            <w:pPr>
              <w:keepNext/>
              <w:keepLines/>
              <w:spacing w:after="0"/>
              <w:jc w:val="center"/>
              <w:rPr>
                <w:rFonts w:ascii="Arial" w:eastAsiaTheme="minorEastAsia" w:hAnsi="Arial"/>
                <w:sz w:val="18"/>
                <w:lang w:eastAsia="zh-CN"/>
              </w:rPr>
            </w:pPr>
          </w:p>
        </w:tc>
        <w:tc>
          <w:tcPr>
            <w:tcW w:w="1178" w:type="dxa"/>
            <w:vMerge/>
            <w:tcBorders>
              <w:left w:val="single" w:sz="6" w:space="0" w:color="auto"/>
              <w:right w:val="single" w:sz="6" w:space="0" w:color="auto"/>
            </w:tcBorders>
            <w:shd w:val="clear" w:color="auto" w:fill="auto"/>
            <w:vAlign w:val="center"/>
          </w:tcPr>
          <w:p w14:paraId="17FB872A" w14:textId="77777777" w:rsidR="006D557A" w:rsidRPr="00956E6E" w:rsidRDefault="006D557A" w:rsidP="007A5129">
            <w:pPr>
              <w:keepNext/>
              <w:keepLines/>
              <w:spacing w:after="0"/>
              <w:jc w:val="center"/>
              <w:rPr>
                <w:rFonts w:ascii="Arial" w:eastAsiaTheme="minorEastAsia" w:hAnsi="Arial"/>
                <w:sz w:val="18"/>
                <w:lang w:eastAsia="zh-CN"/>
              </w:rPr>
            </w:pP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277D09F6" w14:textId="77777777" w:rsidR="006D557A" w:rsidRPr="00956E6E" w:rsidRDefault="006D557A" w:rsidP="00F1512F">
            <w:pPr>
              <w:pStyle w:val="TAC"/>
              <w:rPr>
                <w:rFonts w:eastAsiaTheme="minorEastAsia"/>
                <w:lang w:eastAsia="zh-CN"/>
              </w:rPr>
            </w:pPr>
            <w:r w:rsidRPr="00956E6E">
              <w:rPr>
                <w:rFonts w:eastAsiaTheme="minorEastAsia"/>
              </w:rPr>
              <w:t>Note 4</w:t>
            </w:r>
          </w:p>
        </w:tc>
      </w:tr>
      <w:tr w:rsidR="006D557A" w:rsidRPr="00956E6E" w14:paraId="263C5B35" w14:textId="77777777" w:rsidTr="007A5129">
        <w:trPr>
          <w:jc w:val="center"/>
        </w:trPr>
        <w:tc>
          <w:tcPr>
            <w:tcW w:w="965" w:type="dxa"/>
            <w:vMerge/>
            <w:tcBorders>
              <w:left w:val="single" w:sz="4" w:space="0" w:color="auto"/>
              <w:bottom w:val="single" w:sz="6" w:space="0" w:color="auto"/>
              <w:right w:val="single" w:sz="6" w:space="0" w:color="auto"/>
            </w:tcBorders>
            <w:shd w:val="clear" w:color="auto" w:fill="auto"/>
            <w:vAlign w:val="center"/>
          </w:tcPr>
          <w:p w14:paraId="61483B27" w14:textId="77777777" w:rsidR="006D557A" w:rsidRPr="00956E6E" w:rsidRDefault="006D557A" w:rsidP="007A5129">
            <w:pPr>
              <w:keepNext/>
              <w:keepLines/>
              <w:spacing w:after="0"/>
              <w:jc w:val="center"/>
              <w:rPr>
                <w:rFonts w:ascii="Arial" w:eastAsiaTheme="minorEastAsia" w:hAnsi="Arial"/>
                <w:sz w:val="18"/>
                <w:lang w:eastAsia="zh-CN"/>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2B123CE2" w14:textId="77777777" w:rsidR="006D557A" w:rsidRPr="00956E6E" w:rsidRDefault="006D557A" w:rsidP="007A5129">
            <w:pPr>
              <w:keepNext/>
              <w:keepLines/>
              <w:spacing w:after="0"/>
              <w:jc w:val="center"/>
              <w:rPr>
                <w:rFonts w:ascii="Arial" w:eastAsiaTheme="minorEastAsia" w:hAnsi="Arial"/>
                <w:sz w:val="18"/>
                <w:lang w:eastAsia="zh-CN"/>
              </w:rPr>
            </w:pPr>
          </w:p>
        </w:tc>
        <w:tc>
          <w:tcPr>
            <w:tcW w:w="827" w:type="dxa"/>
            <w:vMerge/>
            <w:tcBorders>
              <w:left w:val="single" w:sz="6" w:space="0" w:color="auto"/>
              <w:right w:val="single" w:sz="6" w:space="0" w:color="auto"/>
            </w:tcBorders>
            <w:shd w:val="clear" w:color="auto" w:fill="auto"/>
            <w:vAlign w:val="center"/>
          </w:tcPr>
          <w:p w14:paraId="75B6824A"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bottom w:val="single" w:sz="6" w:space="0" w:color="auto"/>
              <w:right w:val="single" w:sz="6" w:space="0" w:color="auto"/>
            </w:tcBorders>
            <w:shd w:val="clear" w:color="auto" w:fill="auto"/>
            <w:vAlign w:val="center"/>
          </w:tcPr>
          <w:p w14:paraId="75B14911"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bottom w:val="single" w:sz="6" w:space="0" w:color="auto"/>
              <w:right w:val="single" w:sz="6" w:space="0" w:color="auto"/>
            </w:tcBorders>
            <w:shd w:val="clear" w:color="auto" w:fill="auto"/>
            <w:vAlign w:val="center"/>
          </w:tcPr>
          <w:p w14:paraId="2D4CF881" w14:textId="77777777" w:rsidR="006D557A" w:rsidRPr="00956E6E" w:rsidRDefault="006D557A" w:rsidP="007A5129">
            <w:pPr>
              <w:keepNext/>
              <w:keepLines/>
              <w:spacing w:after="0"/>
              <w:jc w:val="center"/>
              <w:rPr>
                <w:rFonts w:ascii="Arial" w:eastAsiaTheme="minorEastAsia" w:hAnsi="Arial"/>
                <w:sz w:val="18"/>
                <w:lang w:eastAsia="zh-CN"/>
              </w:rPr>
            </w:pP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CE632EB" w14:textId="77777777" w:rsidR="006D557A" w:rsidRPr="00956E6E" w:rsidRDefault="006D557A" w:rsidP="00F1512F">
            <w:pPr>
              <w:pStyle w:val="TAC"/>
              <w:rPr>
                <w:rFonts w:eastAsiaTheme="minorEastAsia"/>
                <w:lang w:eastAsia="zh-CN"/>
              </w:rPr>
            </w:pPr>
            <w:r w:rsidRPr="00956E6E">
              <w:rPr>
                <w:rFonts w:eastAsiaTheme="minorEastAsia"/>
              </w:rPr>
              <w:t>Note 4</w:t>
            </w:r>
          </w:p>
        </w:tc>
      </w:tr>
      <w:tr w:rsidR="006D557A" w:rsidRPr="00956E6E" w14:paraId="21C3E9AC" w14:textId="77777777" w:rsidTr="007A5129">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3C279416"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65" w:type="dxa"/>
            <w:tcBorders>
              <w:top w:val="single" w:sz="4" w:space="0" w:color="auto"/>
              <w:left w:val="single" w:sz="4" w:space="0" w:color="auto"/>
              <w:bottom w:val="single" w:sz="4" w:space="0" w:color="auto"/>
              <w:right w:val="single" w:sz="4" w:space="0" w:color="auto"/>
            </w:tcBorders>
            <w:vAlign w:val="center"/>
          </w:tcPr>
          <w:p w14:paraId="5568EBDA"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352CFE8F" w14:textId="77777777" w:rsidR="006D557A" w:rsidRPr="00956E6E" w:rsidRDefault="006D557A" w:rsidP="006D557A">
            <w:pPr>
              <w:pStyle w:val="TAC"/>
              <w:rPr>
                <w:rFonts w:eastAsiaTheme="minorEastAsia"/>
                <w:lang w:eastAsia="zh-CN"/>
              </w:rPr>
            </w:pPr>
            <w:r w:rsidRPr="00956E6E">
              <w:rPr>
                <w:rFonts w:eastAsiaTheme="minorEastAsia"/>
              </w:rPr>
              <w:t>≥-</w:t>
            </w:r>
            <w:r w:rsidRPr="00956E6E">
              <w:rPr>
                <w:rFonts w:eastAsiaTheme="minorEastAsia" w:hint="eastAsia"/>
                <w:lang w:eastAsia="zh-CN"/>
              </w:rPr>
              <w:t>13</w:t>
            </w: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1A2E912A" w14:textId="4B89F994" w:rsidR="006D557A" w:rsidRPr="00956E6E" w:rsidRDefault="006D557A" w:rsidP="006D557A">
            <w:pPr>
              <w:pStyle w:val="TAC"/>
              <w:rPr>
                <w:rFonts w:eastAsiaTheme="minorEastAsia"/>
              </w:rPr>
            </w:pPr>
            <w:r w:rsidRPr="000501F5">
              <w:rPr>
                <w:lang w:eastAsia="zh-CN"/>
              </w:rPr>
              <w:t>24 ≤ BW ≤ 52</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0783AA3D" w14:textId="77777777" w:rsidR="006D557A" w:rsidRPr="00956E6E" w:rsidRDefault="006D557A" w:rsidP="006D557A">
            <w:pPr>
              <w:pStyle w:val="TAC"/>
              <w:rPr>
                <w:rFonts w:eastAsiaTheme="minorEastAsia"/>
                <w:lang w:eastAsia="zh-CN"/>
              </w:rPr>
            </w:pPr>
            <w:r w:rsidRPr="00956E6E">
              <w:rPr>
                <w:rFonts w:eastAsiaTheme="minorEastAsia"/>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1269F8E" w14:textId="77777777" w:rsidR="006D557A" w:rsidRPr="00956E6E" w:rsidRDefault="006D557A" w:rsidP="006D557A">
            <w:pPr>
              <w:pStyle w:val="TAC"/>
              <w:rPr>
                <w:rFonts w:eastAsiaTheme="minorEastAsia"/>
              </w:rPr>
            </w:pPr>
            <w:r w:rsidRPr="00956E6E">
              <w:rPr>
                <w:rFonts w:eastAsiaTheme="minorEastAsia"/>
              </w:rPr>
              <w:t>Note 4</w:t>
            </w:r>
          </w:p>
        </w:tc>
      </w:tr>
      <w:tr w:rsidR="006D557A" w:rsidRPr="00956E6E" w14:paraId="4AE9AD55" w14:textId="77777777" w:rsidTr="007A5129">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73E83237" w14:textId="77777777" w:rsidR="006D557A" w:rsidRPr="00956E6E" w:rsidRDefault="006D557A" w:rsidP="006D557A">
            <w:pPr>
              <w:pStyle w:val="TAC"/>
              <w:rPr>
                <w:rFonts w:eastAsiaTheme="minorEastAsia"/>
                <w:szCs w:val="18"/>
                <w:lang w:eastAsia="zh-CN"/>
              </w:rPr>
            </w:pPr>
            <w:r w:rsidRPr="00956E6E">
              <w:rPr>
                <w:rFonts w:eastAsiaTheme="minorEastAsia" w:hint="eastAsia"/>
                <w:lang w:eastAsia="zh-CN"/>
              </w:rPr>
              <w:t>±</w:t>
            </w:r>
            <w:r w:rsidRPr="00956E6E">
              <w:rPr>
                <w:rFonts w:eastAsiaTheme="minorEastAsia" w:hint="eastAsia"/>
                <w:lang w:eastAsia="zh-CN"/>
              </w:rPr>
              <w:t>TBD</w:t>
            </w:r>
          </w:p>
        </w:tc>
        <w:tc>
          <w:tcPr>
            <w:tcW w:w="965" w:type="dxa"/>
            <w:tcBorders>
              <w:top w:val="single" w:sz="4" w:space="0" w:color="auto"/>
              <w:left w:val="single" w:sz="4" w:space="0" w:color="auto"/>
              <w:bottom w:val="single" w:sz="4" w:space="0" w:color="auto"/>
              <w:right w:val="single" w:sz="4" w:space="0" w:color="auto"/>
            </w:tcBorders>
            <w:vAlign w:val="center"/>
          </w:tcPr>
          <w:p w14:paraId="2DDB53CE"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827" w:type="dxa"/>
            <w:vMerge/>
            <w:tcBorders>
              <w:left w:val="single" w:sz="6" w:space="0" w:color="auto"/>
              <w:right w:val="single" w:sz="6" w:space="0" w:color="auto"/>
            </w:tcBorders>
            <w:shd w:val="clear" w:color="auto" w:fill="auto"/>
            <w:vAlign w:val="center"/>
          </w:tcPr>
          <w:p w14:paraId="522AC7FF" w14:textId="77777777" w:rsidR="006D557A" w:rsidRPr="00956E6E" w:rsidRDefault="006D557A" w:rsidP="006D557A">
            <w:pPr>
              <w:pStyle w:val="TAC"/>
              <w:rPr>
                <w:rFonts w:eastAsiaTheme="minorEastAsia"/>
              </w:rPr>
            </w:pP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4E476A63" w14:textId="073884ED" w:rsidR="006D557A" w:rsidRPr="00956E6E" w:rsidRDefault="006D557A" w:rsidP="006D557A">
            <w:pPr>
              <w:pStyle w:val="TAC"/>
              <w:rPr>
                <w:rFonts w:eastAsiaTheme="minorEastAsia"/>
              </w:rPr>
            </w:pPr>
            <w:r w:rsidRPr="000501F5">
              <w:rPr>
                <w:lang w:eastAsia="zh-CN"/>
              </w:rPr>
              <w:t>52&lt; BW≤ 104</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24C92F42" w14:textId="77777777" w:rsidR="006D557A" w:rsidRPr="00956E6E" w:rsidRDefault="006D557A" w:rsidP="006D557A">
            <w:pPr>
              <w:pStyle w:val="TAC"/>
              <w:rPr>
                <w:rFonts w:eastAsiaTheme="minorEastAsia"/>
                <w:lang w:eastAsia="zh-CN"/>
              </w:rPr>
            </w:pPr>
            <w:r w:rsidRPr="00956E6E">
              <w:rPr>
                <w:rFonts w:eastAsiaTheme="minorEastAsia"/>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5526C1E7" w14:textId="77777777" w:rsidR="006D557A" w:rsidRPr="00956E6E" w:rsidRDefault="006D557A" w:rsidP="006D557A">
            <w:pPr>
              <w:pStyle w:val="TAC"/>
              <w:rPr>
                <w:rFonts w:eastAsiaTheme="minorEastAsia"/>
              </w:rPr>
            </w:pPr>
            <w:r w:rsidRPr="00956E6E">
              <w:rPr>
                <w:rFonts w:eastAsiaTheme="minorEastAsia"/>
              </w:rPr>
              <w:t>Note 4</w:t>
            </w:r>
          </w:p>
        </w:tc>
      </w:tr>
      <w:tr w:rsidR="006D557A" w:rsidRPr="00956E6E" w14:paraId="279DDC38" w14:textId="77777777" w:rsidTr="007A5129">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01AB7DBC"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65" w:type="dxa"/>
            <w:tcBorders>
              <w:top w:val="single" w:sz="4" w:space="0" w:color="auto"/>
              <w:left w:val="single" w:sz="4" w:space="0" w:color="auto"/>
              <w:bottom w:val="single" w:sz="4" w:space="0" w:color="auto"/>
              <w:right w:val="single" w:sz="4" w:space="0" w:color="auto"/>
            </w:tcBorders>
            <w:vAlign w:val="center"/>
          </w:tcPr>
          <w:p w14:paraId="2B033F55"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827" w:type="dxa"/>
            <w:vMerge/>
            <w:tcBorders>
              <w:left w:val="single" w:sz="6" w:space="0" w:color="auto"/>
              <w:bottom w:val="single" w:sz="6" w:space="0" w:color="auto"/>
              <w:right w:val="single" w:sz="6" w:space="0" w:color="auto"/>
            </w:tcBorders>
            <w:shd w:val="clear" w:color="auto" w:fill="auto"/>
            <w:vAlign w:val="center"/>
          </w:tcPr>
          <w:p w14:paraId="36A175E6" w14:textId="77777777" w:rsidR="006D557A" w:rsidRPr="00956E6E" w:rsidRDefault="006D557A" w:rsidP="006D557A">
            <w:pPr>
              <w:pStyle w:val="TAC"/>
              <w:rPr>
                <w:rFonts w:eastAsiaTheme="minorEastAsia"/>
              </w:rPr>
            </w:pP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6B34D71D" w14:textId="1E5029A1" w:rsidR="006D557A" w:rsidRPr="00956E6E" w:rsidRDefault="006D557A" w:rsidP="006D557A">
            <w:pPr>
              <w:pStyle w:val="TAC"/>
              <w:rPr>
                <w:rFonts w:eastAsiaTheme="minorEastAsia"/>
              </w:rPr>
            </w:pPr>
            <w:r w:rsidRPr="000501F5">
              <w:rPr>
                <w:lang w:eastAsia="zh-CN"/>
              </w:rPr>
              <w:t>BW &gt;104</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652D5637" w14:textId="77777777" w:rsidR="006D557A" w:rsidRPr="00956E6E" w:rsidRDefault="006D557A" w:rsidP="006D557A">
            <w:pPr>
              <w:pStyle w:val="TAC"/>
              <w:rPr>
                <w:rFonts w:eastAsiaTheme="minorEastAsia"/>
                <w:lang w:eastAsia="zh-CN"/>
              </w:rPr>
            </w:pPr>
            <w:r w:rsidRPr="00956E6E">
              <w:rPr>
                <w:rFonts w:eastAsiaTheme="minorEastAsia"/>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17515E5D" w14:textId="77777777" w:rsidR="006D557A" w:rsidRPr="00956E6E" w:rsidRDefault="006D557A" w:rsidP="006D557A">
            <w:pPr>
              <w:pStyle w:val="TAC"/>
              <w:rPr>
                <w:rFonts w:eastAsiaTheme="minorEastAsia"/>
              </w:rPr>
            </w:pPr>
            <w:r w:rsidRPr="00956E6E">
              <w:rPr>
                <w:rFonts w:eastAsiaTheme="minorEastAsia"/>
              </w:rPr>
              <w:t>Note 4</w:t>
            </w:r>
          </w:p>
        </w:tc>
      </w:tr>
      <w:tr w:rsidR="00BB469D" w:rsidRPr="00956E6E" w14:paraId="1F2CF6FB" w14:textId="77777777" w:rsidTr="007A5129">
        <w:trPr>
          <w:jc w:val="center"/>
        </w:trPr>
        <w:tc>
          <w:tcPr>
            <w:tcW w:w="11052" w:type="dxa"/>
            <w:gridSpan w:val="10"/>
            <w:tcBorders>
              <w:top w:val="single" w:sz="6" w:space="0" w:color="auto"/>
              <w:left w:val="single" w:sz="4" w:space="0" w:color="auto"/>
              <w:bottom w:val="single" w:sz="4" w:space="0" w:color="auto"/>
              <w:right w:val="single" w:sz="4" w:space="0" w:color="auto"/>
            </w:tcBorders>
          </w:tcPr>
          <w:p w14:paraId="6E16204A" w14:textId="77777777" w:rsidR="00BB469D" w:rsidRPr="00956E6E" w:rsidRDefault="00BB469D" w:rsidP="00F1512F">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1:</w:t>
            </w:r>
            <w:r w:rsidRPr="00956E6E">
              <w:rPr>
                <w:rFonts w:eastAsiaTheme="minorEastAsia"/>
              </w:rPr>
              <w:tab/>
              <w:t>This minimum Io condition is expressed as the average Io per RE over all REs in an OFDM symbol.</w:t>
            </w:r>
          </w:p>
          <w:p w14:paraId="61E1AFD1" w14:textId="77777777" w:rsidR="00BB469D" w:rsidRPr="00956E6E" w:rsidRDefault="00BB469D" w:rsidP="00F1512F">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2:</w:t>
            </w:r>
            <w:r w:rsidRPr="00956E6E">
              <w:rPr>
                <w:rFonts w:eastAsiaTheme="minorEastAsia"/>
              </w:rPr>
              <w:tab/>
            </w:r>
            <w:r w:rsidRPr="00956E6E">
              <w:rPr>
                <w:rFonts w:eastAsiaTheme="minorEastAsia" w:hint="eastAsia"/>
                <w:lang w:eastAsia="zh-CN"/>
              </w:rPr>
              <w:t>Void</w:t>
            </w:r>
            <w:r w:rsidRPr="00956E6E">
              <w:rPr>
                <w:rFonts w:eastAsiaTheme="minorEastAsia"/>
              </w:rPr>
              <w:t>.</w:t>
            </w:r>
          </w:p>
          <w:p w14:paraId="2A22C55C" w14:textId="77777777" w:rsidR="00BB469D" w:rsidRPr="00956E6E" w:rsidRDefault="00BB469D" w:rsidP="00F1512F">
            <w:pPr>
              <w:pStyle w:val="TAN"/>
              <w:rPr>
                <w:rFonts w:eastAsiaTheme="minorEastAsia" w:cs="v4.2.0"/>
              </w:rPr>
            </w:pPr>
            <w:r w:rsidRPr="00956E6E">
              <w:rPr>
                <w:rFonts w:eastAsiaTheme="minorEastAsia" w:cs="v4.2.0"/>
              </w:rPr>
              <w:t>N</w:t>
            </w:r>
            <w:r w:rsidRPr="00956E6E">
              <w:rPr>
                <w:rFonts w:eastAsiaTheme="minorEastAsia"/>
                <w:lang w:eastAsia="zh-CN"/>
              </w:rPr>
              <w:t>OTE</w:t>
            </w:r>
            <w:r w:rsidRPr="00956E6E">
              <w:rPr>
                <w:rFonts w:eastAsiaTheme="minorEastAsia" w:cs="v4.2.0"/>
              </w:rPr>
              <w:t xml:space="preserve"> 3:</w:t>
            </w:r>
            <w:r w:rsidRPr="00956E6E">
              <w:rPr>
                <w:rFonts w:eastAsiaTheme="minorEastAsia" w:cs="v4.2.0"/>
              </w:rPr>
              <w:tab/>
              <w:t xml:space="preserve">PRS bandwidth is as indicated in </w:t>
            </w:r>
            <w:r w:rsidRPr="00956E6E">
              <w:rPr>
                <w:rFonts w:eastAsiaTheme="minorEastAsia"/>
                <w:i/>
              </w:rPr>
              <w:t>prs-Bandwidth</w:t>
            </w:r>
            <w:r w:rsidRPr="00956E6E">
              <w:rPr>
                <w:rFonts w:eastAsiaTheme="minorEastAsia"/>
              </w:rPr>
              <w:t xml:space="preserve"> </w:t>
            </w:r>
            <w:r w:rsidRPr="00956E6E">
              <w:rPr>
                <w:rFonts w:eastAsiaTheme="minorEastAsia" w:cs="v4.2.0"/>
              </w:rPr>
              <w:t xml:space="preserve">in the OTDOA </w:t>
            </w:r>
            <w:r w:rsidRPr="00956E6E">
              <w:rPr>
                <w:rFonts w:eastAsiaTheme="minorEastAsia" w:cs="v4.2.0" w:hint="eastAsia"/>
                <w:lang w:eastAsia="zh-CN"/>
              </w:rPr>
              <w:t>or DL-AoD</w:t>
            </w:r>
            <w:r w:rsidRPr="00956E6E">
              <w:rPr>
                <w:rFonts w:eastAsiaTheme="minorEastAsia" w:cs="v4.2.0"/>
              </w:rPr>
              <w:t xml:space="preserve"> assistance data defined in [</w:t>
            </w:r>
            <w:r w:rsidRPr="00956E6E">
              <w:rPr>
                <w:rFonts w:eastAsiaTheme="minorEastAsia" w:cs="v4.2.0" w:hint="eastAsia"/>
                <w:lang w:eastAsia="zh-CN"/>
              </w:rPr>
              <w:t>3</w:t>
            </w:r>
            <w:r w:rsidRPr="00956E6E">
              <w:rPr>
                <w:rFonts w:eastAsiaTheme="minorEastAsia" w:cs="v4.2.0"/>
              </w:rPr>
              <w:t>4].</w:t>
            </w:r>
          </w:p>
          <w:p w14:paraId="12FA2B7F" w14:textId="0A021AAF" w:rsidR="00BB469D" w:rsidRPr="00956E6E" w:rsidRDefault="00574F47" w:rsidP="00F1512F">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4:</w:t>
            </w:r>
            <w:r w:rsidRPr="00956E6E">
              <w:rPr>
                <w:rFonts w:eastAsiaTheme="minorEastAsia"/>
              </w:rPr>
              <w:tab/>
              <w:t xml:space="preserve">The same bands and the same Io conditions for each band apply for this requirement as for the corresponding requirement with the PRS bandwidth ≥ </w:t>
            </w:r>
            <w:r>
              <w:rPr>
                <w:rFonts w:eastAsiaTheme="minorEastAsia"/>
                <w:lang w:eastAsia="zh-CN"/>
              </w:rPr>
              <w:t>24</w:t>
            </w:r>
            <w:r w:rsidRPr="00956E6E">
              <w:rPr>
                <w:rFonts w:eastAsiaTheme="minorEastAsia"/>
              </w:rPr>
              <w:t xml:space="preserve"> RB.</w:t>
            </w:r>
          </w:p>
          <w:p w14:paraId="22636F25" w14:textId="77777777" w:rsidR="00BB469D" w:rsidRPr="00956E6E" w:rsidRDefault="00BB469D" w:rsidP="00F1512F">
            <w:pPr>
              <w:pStyle w:val="TAN"/>
              <w:rPr>
                <w:rFonts w:eastAsiaTheme="minorEastAsia"/>
              </w:rPr>
            </w:pPr>
            <w:r w:rsidRPr="00956E6E">
              <w:rPr>
                <w:rFonts w:eastAsiaTheme="minorEastAsia"/>
              </w:rPr>
              <w:t>NOTE 5:</w:t>
            </w:r>
            <w:r w:rsidRPr="00956E6E">
              <w:rPr>
                <w:rFonts w:eastAsiaTheme="minorEastAsia"/>
              </w:rPr>
              <w:tab/>
              <w:t>The serving cell, the reference cell, and the measured neighbour cell i are on the same carrier frequency.</w:t>
            </w:r>
          </w:p>
          <w:p w14:paraId="5BABA745" w14:textId="77777777" w:rsidR="00BB469D" w:rsidRPr="00956E6E" w:rsidRDefault="00BB469D" w:rsidP="00F1512F">
            <w:pPr>
              <w:pStyle w:val="TAN"/>
              <w:rPr>
                <w:rFonts w:eastAsiaTheme="minorEastAsia"/>
              </w:rPr>
            </w:pPr>
            <w:r w:rsidRPr="00956E6E">
              <w:rPr>
                <w:rFonts w:eastAsiaTheme="minorEastAsia"/>
              </w:rPr>
              <w:t>NOTE 6:</w:t>
            </w:r>
            <w:r w:rsidRPr="00956E6E">
              <w:rPr>
                <w:rFonts w:eastAsiaTheme="minorEastAsia"/>
              </w:rPr>
              <w:tab/>
              <w:t>The condition level is increased by ∆&gt;0, when applicable, as described in Sections B.</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2</w:t>
            </w:r>
            <w:r w:rsidRPr="00956E6E">
              <w:rPr>
                <w:rFonts w:eastAsiaTheme="minorEastAsia"/>
              </w:rPr>
              <w:t xml:space="preserve"> and B.</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3</w:t>
            </w:r>
            <w:r w:rsidRPr="00956E6E">
              <w:rPr>
                <w:rFonts w:eastAsiaTheme="minorEastAsia"/>
              </w:rPr>
              <w:t>.</w:t>
            </w:r>
          </w:p>
          <w:p w14:paraId="633CF12F" w14:textId="77777777" w:rsidR="00BB469D" w:rsidRPr="00956E6E" w:rsidRDefault="00BB469D" w:rsidP="00F1512F">
            <w:pPr>
              <w:pStyle w:val="TAN"/>
              <w:rPr>
                <w:rFonts w:eastAsiaTheme="minorEastAsia"/>
              </w:rPr>
            </w:pPr>
            <w:r w:rsidRPr="00956E6E">
              <w:rPr>
                <w:rFonts w:eastAsiaTheme="minorEastAsia"/>
              </w:rPr>
              <w:t>NOTE 7:</w:t>
            </w:r>
            <w:r w:rsidRPr="00956E6E">
              <w:rPr>
                <w:rFonts w:eastAsiaTheme="minorEastAsia"/>
              </w:rPr>
              <w:tab/>
              <w:t>The Io is defined in PRS positioning subframes. The same Io range applies to PRS and non-PRS symbols. Io levels are different in PRS and non-PRS symbols within the same subframe.</w:t>
            </w:r>
          </w:p>
          <w:p w14:paraId="33FD803A" w14:textId="77777777" w:rsidR="00BB469D" w:rsidRPr="00956E6E" w:rsidRDefault="00BB469D" w:rsidP="00F1512F">
            <w:pPr>
              <w:pStyle w:val="TAN"/>
              <w:rPr>
                <w:rFonts w:eastAsiaTheme="minorEastAsia"/>
              </w:rPr>
            </w:pPr>
            <w:r w:rsidRPr="00956E6E">
              <w:rPr>
                <w:rFonts w:eastAsiaTheme="minorEastAsia"/>
              </w:rPr>
              <w:t>NOTE 8:</w:t>
            </w:r>
            <w:r w:rsidRPr="00956E6E">
              <w:rPr>
                <w:rFonts w:eastAsiaTheme="minorEastAsia"/>
              </w:rPr>
              <w:tab/>
            </w:r>
            <w:r w:rsidRPr="00956E6E">
              <w:rPr>
                <w:rFonts w:eastAsiaTheme="minorEastAsia" w:hint="eastAsia"/>
                <w:lang w:eastAsia="zh-CN"/>
              </w:rPr>
              <w:t>NR</w:t>
            </w:r>
            <w:r w:rsidRPr="00956E6E">
              <w:rPr>
                <w:rFonts w:eastAsiaTheme="minorEastAsia"/>
              </w:rPr>
              <w:t xml:space="preserve"> operating band groups are as defined in Section 3.5</w:t>
            </w:r>
            <w:r w:rsidRPr="00956E6E">
              <w:rPr>
                <w:rFonts w:eastAsiaTheme="minorEastAsia" w:hint="eastAsia"/>
                <w:lang w:eastAsia="zh-CN"/>
              </w:rPr>
              <w:t>.2</w:t>
            </w:r>
            <w:r w:rsidRPr="00956E6E">
              <w:rPr>
                <w:rFonts w:eastAsiaTheme="minorEastAsia"/>
              </w:rPr>
              <w:t>.</w:t>
            </w:r>
          </w:p>
        </w:tc>
      </w:tr>
    </w:tbl>
    <w:p w14:paraId="1B0BC0B8" w14:textId="77777777" w:rsidR="00BB469D" w:rsidRPr="00956E6E" w:rsidRDefault="00BB469D" w:rsidP="00F1512F">
      <w:pPr>
        <w:rPr>
          <w:rFonts w:eastAsiaTheme="minorEastAsia"/>
          <w:lang w:eastAsia="zh-CN"/>
        </w:rPr>
      </w:pPr>
    </w:p>
    <w:p w14:paraId="2CED1BE6" w14:textId="4165EAF0" w:rsidR="00BB469D" w:rsidRPr="00956E6E" w:rsidRDefault="00BB469D" w:rsidP="00F1512F">
      <w:pPr>
        <w:pStyle w:val="TH"/>
        <w:rPr>
          <w:rFonts w:eastAsiaTheme="minorEastAsia"/>
          <w:lang w:eastAsia="zh-CN"/>
        </w:rPr>
      </w:pPr>
      <w:r w:rsidRPr="00956E6E">
        <w:rPr>
          <w:rFonts w:eastAsiaTheme="minorEastAsia"/>
        </w:rPr>
        <w:t xml:space="preserve">Table </w:t>
      </w:r>
      <w:r w:rsidRPr="00956E6E">
        <w:rPr>
          <w:rFonts w:eastAsiaTheme="minorEastAsia" w:cs="v4.2.0"/>
        </w:rPr>
        <w:t>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2</w:t>
      </w:r>
      <w:r w:rsidRPr="00956E6E">
        <w:rPr>
          <w:rFonts w:eastAsiaTheme="minorEastAsia"/>
        </w:rPr>
        <w:t>: PRS-RSRPP</w:t>
      </w:r>
      <w:r w:rsidRPr="00956E6E">
        <w:rPr>
          <w:rFonts w:eastAsiaTheme="minorEastAsia" w:hint="eastAsia"/>
          <w:lang w:eastAsia="zh-CN"/>
        </w:rPr>
        <w:t xml:space="preserve"> absolute </w:t>
      </w:r>
      <w:r w:rsidRPr="00956E6E">
        <w:rPr>
          <w:rFonts w:eastAsiaTheme="minorEastAsia"/>
        </w:rPr>
        <w:t>accuracy</w:t>
      </w:r>
      <w:r w:rsidRPr="00956E6E">
        <w:rPr>
          <w:rFonts w:eastAsiaTheme="minorEastAsia" w:hint="eastAsia"/>
          <w:lang w:eastAsia="zh-CN"/>
        </w:rPr>
        <w:t xml:space="preserve"> for FR2</w:t>
      </w:r>
    </w:p>
    <w:tbl>
      <w:tblPr>
        <w:tblW w:w="9855" w:type="dxa"/>
        <w:jc w:val="center"/>
        <w:tblLayout w:type="fixed"/>
        <w:tblLook w:val="01E0" w:firstRow="1" w:lastRow="1" w:firstColumn="1" w:lastColumn="1" w:noHBand="0" w:noVBand="0"/>
      </w:tblPr>
      <w:tblGrid>
        <w:gridCol w:w="1046"/>
        <w:gridCol w:w="1049"/>
        <w:gridCol w:w="907"/>
        <w:gridCol w:w="1568"/>
        <w:gridCol w:w="1487"/>
        <w:gridCol w:w="1260"/>
        <w:gridCol w:w="1260"/>
        <w:gridCol w:w="1278"/>
      </w:tblGrid>
      <w:tr w:rsidR="00BB469D" w:rsidRPr="00956E6E" w14:paraId="272EA59A" w14:textId="77777777" w:rsidTr="007A5129">
        <w:trPr>
          <w:jc w:val="center"/>
        </w:trPr>
        <w:tc>
          <w:tcPr>
            <w:tcW w:w="2095" w:type="dxa"/>
            <w:gridSpan w:val="2"/>
            <w:tcBorders>
              <w:top w:val="single" w:sz="4" w:space="0" w:color="auto"/>
              <w:left w:val="single" w:sz="4" w:space="0" w:color="auto"/>
              <w:right w:val="single" w:sz="6" w:space="0" w:color="auto"/>
            </w:tcBorders>
            <w:shd w:val="clear" w:color="auto" w:fill="auto"/>
            <w:vAlign w:val="center"/>
          </w:tcPr>
          <w:p w14:paraId="1F542438" w14:textId="77777777" w:rsidR="00BB469D" w:rsidRPr="00956E6E" w:rsidRDefault="00BB469D" w:rsidP="00F1512F">
            <w:pPr>
              <w:pStyle w:val="TAH"/>
              <w:rPr>
                <w:rFonts w:eastAsiaTheme="minorEastAsia"/>
              </w:rPr>
            </w:pPr>
            <w:r w:rsidRPr="00956E6E">
              <w:rPr>
                <w:rFonts w:eastAsiaTheme="minorEastAsia"/>
              </w:rPr>
              <w:t>Accuracy</w:t>
            </w:r>
          </w:p>
        </w:tc>
        <w:tc>
          <w:tcPr>
            <w:tcW w:w="7760" w:type="dxa"/>
            <w:gridSpan w:val="6"/>
            <w:tcBorders>
              <w:top w:val="single" w:sz="4" w:space="0" w:color="auto"/>
              <w:left w:val="single" w:sz="6" w:space="0" w:color="auto"/>
              <w:bottom w:val="single" w:sz="6" w:space="0" w:color="auto"/>
              <w:right w:val="single" w:sz="4" w:space="0" w:color="auto"/>
            </w:tcBorders>
            <w:vAlign w:val="center"/>
          </w:tcPr>
          <w:p w14:paraId="79FE2DC4" w14:textId="77777777" w:rsidR="00BB469D" w:rsidRPr="00956E6E" w:rsidRDefault="00BB469D" w:rsidP="00F1512F">
            <w:pPr>
              <w:pStyle w:val="TAH"/>
              <w:rPr>
                <w:rFonts w:eastAsiaTheme="minorEastAsia"/>
              </w:rPr>
            </w:pPr>
            <w:r w:rsidRPr="00956E6E">
              <w:rPr>
                <w:rFonts w:eastAsiaTheme="minorEastAsia"/>
              </w:rPr>
              <w:t>Conditions</w:t>
            </w:r>
          </w:p>
        </w:tc>
      </w:tr>
      <w:tr w:rsidR="00BB469D" w:rsidRPr="00956E6E" w14:paraId="3D5D989E" w14:textId="77777777" w:rsidTr="007A5129">
        <w:trPr>
          <w:jc w:val="center"/>
        </w:trPr>
        <w:tc>
          <w:tcPr>
            <w:tcW w:w="1046" w:type="dxa"/>
            <w:vMerge w:val="restart"/>
            <w:tcBorders>
              <w:left w:val="single" w:sz="4" w:space="0" w:color="auto"/>
              <w:right w:val="single" w:sz="6" w:space="0" w:color="auto"/>
            </w:tcBorders>
            <w:shd w:val="clear" w:color="auto" w:fill="auto"/>
            <w:vAlign w:val="center"/>
          </w:tcPr>
          <w:p w14:paraId="4393BFEA" w14:textId="77777777" w:rsidR="00BB469D" w:rsidRPr="00956E6E" w:rsidRDefault="00BB469D" w:rsidP="00F1512F">
            <w:pPr>
              <w:pStyle w:val="TAH"/>
              <w:rPr>
                <w:rFonts w:eastAsiaTheme="minorEastAsia"/>
                <w:lang w:eastAsia="zh-CN"/>
              </w:rPr>
            </w:pPr>
            <w:r w:rsidRPr="00956E6E">
              <w:rPr>
                <w:rFonts w:eastAsiaTheme="minorEastAsia"/>
                <w:lang w:eastAsia="zh-CN"/>
              </w:rPr>
              <w:t>N</w:t>
            </w:r>
            <w:r w:rsidRPr="00956E6E">
              <w:rPr>
                <w:rFonts w:eastAsiaTheme="minorEastAsia" w:hint="eastAsia"/>
                <w:lang w:eastAsia="zh-CN"/>
              </w:rPr>
              <w:t>ormal condition</w:t>
            </w:r>
          </w:p>
        </w:tc>
        <w:tc>
          <w:tcPr>
            <w:tcW w:w="1049" w:type="dxa"/>
            <w:vMerge w:val="restart"/>
            <w:tcBorders>
              <w:left w:val="single" w:sz="4" w:space="0" w:color="auto"/>
              <w:right w:val="single" w:sz="6" w:space="0" w:color="auto"/>
            </w:tcBorders>
            <w:shd w:val="clear" w:color="auto" w:fill="auto"/>
            <w:vAlign w:val="center"/>
          </w:tcPr>
          <w:p w14:paraId="16364BFA" w14:textId="77777777" w:rsidR="00BB469D" w:rsidRPr="00956E6E" w:rsidRDefault="00BB469D" w:rsidP="00F1512F">
            <w:pPr>
              <w:pStyle w:val="TAH"/>
              <w:rPr>
                <w:rFonts w:eastAsiaTheme="minorEastAsia"/>
                <w:lang w:eastAsia="zh-CN"/>
              </w:rPr>
            </w:pPr>
            <w:r w:rsidRPr="00956E6E">
              <w:rPr>
                <w:rFonts w:eastAsiaTheme="minorEastAsia"/>
                <w:lang w:eastAsia="zh-CN"/>
              </w:rPr>
              <w:t>E</w:t>
            </w:r>
            <w:r w:rsidRPr="00956E6E">
              <w:rPr>
                <w:rFonts w:eastAsiaTheme="minorEastAsia" w:hint="eastAsia"/>
                <w:lang w:eastAsia="zh-CN"/>
              </w:rPr>
              <w:t>xtreme condition</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3C0D72BD" w14:textId="77777777" w:rsidR="00BB469D" w:rsidRPr="00956E6E" w:rsidRDefault="00BB469D" w:rsidP="00F1512F">
            <w:pPr>
              <w:pStyle w:val="TAH"/>
              <w:rPr>
                <w:rFonts w:eastAsiaTheme="minorEastAsia"/>
              </w:rPr>
            </w:pPr>
            <w:r w:rsidRPr="00956E6E">
              <w:rPr>
                <w:rFonts w:eastAsiaTheme="minorEastAsia"/>
              </w:rPr>
              <w:t>PRS Ês/Iot</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6AF789FC" w14:textId="77777777" w:rsidR="00BB469D" w:rsidRPr="00956E6E" w:rsidRDefault="00BB469D" w:rsidP="00F1512F">
            <w:pPr>
              <w:pStyle w:val="TAH"/>
              <w:rPr>
                <w:rFonts w:eastAsiaTheme="minorEastAsia"/>
                <w:lang w:eastAsia="zh-CN"/>
              </w:rPr>
            </w:pPr>
            <w:r w:rsidRPr="00956E6E">
              <w:rPr>
                <w:rFonts w:eastAsiaTheme="minorEastAsia" w:hint="eastAsia"/>
                <w:lang w:eastAsia="zh-CN"/>
              </w:rPr>
              <w:t>PRS BW</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357573C5" w14:textId="77777777" w:rsidR="00BB469D" w:rsidRPr="00956E6E" w:rsidRDefault="00BB469D" w:rsidP="00F1512F">
            <w:pPr>
              <w:pStyle w:val="TAH"/>
              <w:rPr>
                <w:rFonts w:eastAsiaTheme="minorEastAsia"/>
                <w:lang w:val="en-US" w:eastAsia="zh-CN"/>
              </w:rPr>
            </w:pPr>
            <w:r w:rsidRPr="00956E6E">
              <w:rPr>
                <w:rFonts w:eastAsiaTheme="minorEastAsia"/>
                <w:bCs/>
                <w:lang w:eastAsia="zh-CN"/>
              </w:rPr>
              <w:t xml:space="preserve">Repetition </w:t>
            </w:r>
            <w:r w:rsidRPr="00956E6E">
              <w:rPr>
                <w:rFonts w:eastAsiaTheme="minorEastAsia" w:hint="eastAsia"/>
                <w:bCs/>
                <w:lang w:eastAsia="zh-CN"/>
              </w:rPr>
              <w:t>factor</w:t>
            </w:r>
            <w:r w:rsidRPr="00956E6E">
              <w:rPr>
                <w:rFonts w:eastAsiaTheme="minorEastAsia"/>
                <w:bCs/>
                <w:lang w:eastAsia="zh-CN"/>
              </w:rPr>
              <w:t xml:space="preserve"> </w:t>
            </w:r>
          </w:p>
          <w:p w14:paraId="75E723B4" w14:textId="77777777" w:rsidR="00BB469D" w:rsidRPr="00956E6E" w:rsidRDefault="00BB469D" w:rsidP="00F1512F">
            <w:pPr>
              <w:pStyle w:val="TAH"/>
              <w:rPr>
                <w:rFonts w:eastAsiaTheme="minorEastAsia"/>
                <w:lang w:eastAsia="zh-CN"/>
              </w:rPr>
            </w:pPr>
            <w:r w:rsidRPr="00956E6E">
              <w:rPr>
                <w:rFonts w:eastAsiaTheme="minorEastAsia"/>
                <w:bCs/>
                <w:lang w:eastAsia="zh-CN"/>
              </w:rPr>
              <w:t>(</w:t>
            </w:r>
            <m:oMath>
              <m:sSubSup>
                <m:sSubSupPr>
                  <m:ctrlPr>
                    <w:rPr>
                      <w:rFonts w:ascii="Cambria Math" w:eastAsiaTheme="minorEastAsia" w:hAnsi="Cambria Math"/>
                      <w:bCs/>
                      <w:i/>
                      <w:iCs/>
                      <w:lang w:val="en-US" w:eastAsia="zh-CN"/>
                    </w:rPr>
                  </m:ctrlPr>
                </m:sSubSupPr>
                <m:e>
                  <m:r>
                    <m:rPr>
                      <m:sty m:val="b"/>
                    </m:rPr>
                    <w:rPr>
                      <w:rFonts w:ascii="Cambria Math" w:eastAsiaTheme="minorEastAsia" w:hAnsi="Cambria Math"/>
                      <w:lang w:eastAsia="zh-CN"/>
                    </w:rPr>
                    <m:t>T</m:t>
                  </m:r>
                </m:e>
                <m:sub>
                  <m:r>
                    <m:rPr>
                      <m:nor/>
                    </m:rPr>
                    <w:rPr>
                      <w:rFonts w:eastAsiaTheme="minorEastAsia"/>
                      <w:bCs/>
                      <w:lang w:eastAsia="zh-CN"/>
                    </w:rPr>
                    <m:t>rep</m:t>
                  </m:r>
                </m:sub>
                <m:sup>
                  <m:r>
                    <m:rPr>
                      <m:nor/>
                    </m:rPr>
                    <w:rPr>
                      <w:rFonts w:eastAsiaTheme="minorEastAsia"/>
                      <w:bCs/>
                      <w:lang w:eastAsia="zh-CN"/>
                    </w:rPr>
                    <m:t>PRS</m:t>
                  </m:r>
                </m:sup>
              </m:sSubSup>
              <m:r>
                <m:rPr>
                  <m:sty m:val="b"/>
                </m:rPr>
                <w:rPr>
                  <w:rFonts w:ascii="Cambria Math" w:eastAsiaTheme="minorEastAsia" w:hAnsi="Cambria Math"/>
                  <w:lang w:eastAsia="zh-CN"/>
                </w:rPr>
                <m:t>*</m:t>
              </m:r>
              <m:sSub>
                <m:sSubPr>
                  <m:ctrlPr>
                    <w:rPr>
                      <w:rFonts w:ascii="Cambria Math" w:eastAsiaTheme="minorEastAsia" w:hAnsi="Cambria Math"/>
                      <w:bCs/>
                      <w:i/>
                      <w:iCs/>
                      <w:lang w:val="en-US" w:eastAsia="zh-CN"/>
                    </w:rPr>
                  </m:ctrlPr>
                </m:sSubPr>
                <m:e>
                  <m:r>
                    <m:rPr>
                      <m:sty m:val="b"/>
                    </m:rPr>
                    <w:rPr>
                      <w:rFonts w:ascii="Cambria Math" w:eastAsiaTheme="minorEastAsia" w:hAnsi="Cambria Math"/>
                      <w:lang w:eastAsia="zh-CN"/>
                    </w:rPr>
                    <m:t>L</m:t>
                  </m:r>
                </m:e>
                <m:sub>
                  <m:r>
                    <m:rPr>
                      <m:nor/>
                    </m:rPr>
                    <w:rPr>
                      <w:rFonts w:eastAsiaTheme="minorEastAsia"/>
                      <w:bCs/>
                      <w:lang w:eastAsia="zh-CN"/>
                    </w:rPr>
                    <m:t>PRS</m:t>
                  </m:r>
                </m:sub>
              </m:sSub>
              <m:r>
                <m:rPr>
                  <m:sty m:val="b"/>
                </m:rPr>
                <w:rPr>
                  <w:rFonts w:ascii="Cambria Math" w:eastAsiaTheme="minorEastAsia" w:hAnsi="Cambria Math"/>
                  <w:lang w:eastAsia="zh-CN"/>
                </w:rPr>
                <m:t>/</m:t>
              </m:r>
              <m:sSubSup>
                <m:sSubSupPr>
                  <m:ctrlPr>
                    <w:rPr>
                      <w:rFonts w:ascii="Cambria Math" w:eastAsiaTheme="minorEastAsia" w:hAnsi="Cambria Math"/>
                      <w:bCs/>
                      <w:i/>
                      <w:iCs/>
                      <w:lang w:val="en-US" w:eastAsia="zh-CN"/>
                    </w:rPr>
                  </m:ctrlPr>
                </m:sSubSupPr>
                <m:e>
                  <m:r>
                    <m:rPr>
                      <m:sty m:val="b"/>
                    </m:rPr>
                    <w:rPr>
                      <w:rFonts w:ascii="Cambria Math" w:eastAsiaTheme="minorEastAsia" w:hAnsi="Cambria Math"/>
                      <w:lang w:eastAsia="zh-CN"/>
                    </w:rPr>
                    <m:t>K</m:t>
                  </m:r>
                </m:e>
                <m:sub>
                  <m:r>
                    <m:rPr>
                      <m:nor/>
                    </m:rPr>
                    <w:rPr>
                      <w:rFonts w:eastAsiaTheme="minorEastAsia"/>
                      <w:bCs/>
                      <w:lang w:eastAsia="zh-CN"/>
                    </w:rPr>
                    <m:t>comb</m:t>
                  </m:r>
                </m:sub>
                <m:sup>
                  <m:r>
                    <m:rPr>
                      <m:nor/>
                    </m:rPr>
                    <w:rPr>
                      <w:rFonts w:eastAsiaTheme="minorEastAsia"/>
                      <w:bCs/>
                      <w:lang w:eastAsia="zh-CN"/>
                    </w:rPr>
                    <m:t>PRS</m:t>
                  </m:r>
                </m:sup>
              </m:sSubSup>
              <m:r>
                <m:rPr>
                  <m:sty m:val="b"/>
                </m:rPr>
                <w:rPr>
                  <w:rFonts w:ascii="Cambria Math" w:eastAsiaTheme="minorEastAsia" w:hAnsi="Cambria Math"/>
                  <w:lang w:eastAsia="zh-CN"/>
                </w:rPr>
                <m:t>)</m:t>
              </m:r>
            </m:oMath>
          </w:p>
        </w:tc>
        <w:tc>
          <w:tcPr>
            <w:tcW w:w="3798" w:type="dxa"/>
            <w:gridSpan w:val="3"/>
            <w:tcBorders>
              <w:top w:val="single" w:sz="6" w:space="0" w:color="auto"/>
              <w:left w:val="single" w:sz="6" w:space="0" w:color="auto"/>
              <w:bottom w:val="single" w:sz="6" w:space="0" w:color="auto"/>
              <w:right w:val="single" w:sz="4" w:space="0" w:color="auto"/>
            </w:tcBorders>
            <w:vAlign w:val="center"/>
          </w:tcPr>
          <w:p w14:paraId="3F51BA1C" w14:textId="77777777" w:rsidR="00BB469D" w:rsidRPr="00956E6E" w:rsidRDefault="00BB469D" w:rsidP="00F1512F">
            <w:pPr>
              <w:pStyle w:val="TAH"/>
              <w:rPr>
                <w:rFonts w:eastAsiaTheme="minorEastAsia"/>
              </w:rPr>
            </w:pPr>
            <w:r w:rsidRPr="00956E6E">
              <w:rPr>
                <w:rFonts w:eastAsiaTheme="minorEastAsia"/>
              </w:rPr>
              <w:t>Io</w:t>
            </w:r>
            <w:r w:rsidRPr="00956E6E">
              <w:rPr>
                <w:rFonts w:eastAsiaTheme="minorEastAsia"/>
                <w:vertAlign w:val="superscript"/>
                <w:lang w:eastAsia="zh-CN"/>
              </w:rPr>
              <w:t xml:space="preserve"> Note 7</w:t>
            </w:r>
            <w:r w:rsidRPr="00956E6E">
              <w:rPr>
                <w:rFonts w:eastAsiaTheme="minorEastAsia"/>
              </w:rPr>
              <w:t xml:space="preserve"> range</w:t>
            </w:r>
          </w:p>
        </w:tc>
      </w:tr>
      <w:tr w:rsidR="00BB469D" w:rsidRPr="00956E6E" w14:paraId="1C35C1EA" w14:textId="77777777" w:rsidTr="007A5129">
        <w:trPr>
          <w:trHeight w:val="742"/>
          <w:jc w:val="center"/>
        </w:trPr>
        <w:tc>
          <w:tcPr>
            <w:tcW w:w="1046" w:type="dxa"/>
            <w:vMerge/>
            <w:tcBorders>
              <w:left w:val="single" w:sz="4" w:space="0" w:color="auto"/>
              <w:right w:val="single" w:sz="6" w:space="0" w:color="auto"/>
            </w:tcBorders>
            <w:shd w:val="clear" w:color="auto" w:fill="auto"/>
            <w:vAlign w:val="center"/>
          </w:tcPr>
          <w:p w14:paraId="4AB4B413" w14:textId="77777777" w:rsidR="00BB469D" w:rsidRPr="00956E6E" w:rsidRDefault="00BB469D" w:rsidP="00F1512F">
            <w:pPr>
              <w:pStyle w:val="TAH"/>
              <w:rPr>
                <w:rFonts w:eastAsiaTheme="minorEastAsia"/>
              </w:rPr>
            </w:pPr>
          </w:p>
        </w:tc>
        <w:tc>
          <w:tcPr>
            <w:tcW w:w="1049" w:type="dxa"/>
            <w:vMerge/>
            <w:tcBorders>
              <w:left w:val="single" w:sz="4" w:space="0" w:color="auto"/>
              <w:right w:val="single" w:sz="6" w:space="0" w:color="auto"/>
            </w:tcBorders>
            <w:shd w:val="clear" w:color="auto" w:fill="auto"/>
            <w:vAlign w:val="center"/>
          </w:tcPr>
          <w:p w14:paraId="116D0C1B" w14:textId="77777777" w:rsidR="00BB469D" w:rsidRPr="00956E6E" w:rsidRDefault="00BB469D" w:rsidP="00F1512F">
            <w:pPr>
              <w:pStyle w:val="TAH"/>
              <w:rPr>
                <w:rFonts w:eastAsiaTheme="minorEastAsia"/>
              </w:rPr>
            </w:pPr>
          </w:p>
        </w:tc>
        <w:tc>
          <w:tcPr>
            <w:tcW w:w="907" w:type="dxa"/>
            <w:vMerge/>
            <w:tcBorders>
              <w:left w:val="single" w:sz="6" w:space="0" w:color="auto"/>
              <w:right w:val="single" w:sz="6" w:space="0" w:color="auto"/>
            </w:tcBorders>
            <w:shd w:val="clear" w:color="auto" w:fill="auto"/>
            <w:vAlign w:val="center"/>
          </w:tcPr>
          <w:p w14:paraId="1F761B10" w14:textId="77777777" w:rsidR="00BB469D" w:rsidRPr="00956E6E" w:rsidRDefault="00BB469D" w:rsidP="00F1512F">
            <w:pPr>
              <w:pStyle w:val="TAH"/>
              <w:rPr>
                <w:rFonts w:eastAsiaTheme="minorEastAsia"/>
              </w:rPr>
            </w:pPr>
          </w:p>
        </w:tc>
        <w:tc>
          <w:tcPr>
            <w:tcW w:w="1568" w:type="dxa"/>
            <w:vMerge/>
            <w:tcBorders>
              <w:left w:val="single" w:sz="6" w:space="0" w:color="auto"/>
              <w:right w:val="single" w:sz="6" w:space="0" w:color="auto"/>
            </w:tcBorders>
            <w:shd w:val="clear" w:color="auto" w:fill="auto"/>
            <w:vAlign w:val="center"/>
          </w:tcPr>
          <w:p w14:paraId="10F8F195" w14:textId="77777777" w:rsidR="00BB469D" w:rsidRPr="00956E6E" w:rsidRDefault="00BB469D" w:rsidP="00F1512F">
            <w:pPr>
              <w:pStyle w:val="TAH"/>
              <w:rPr>
                <w:rFonts w:eastAsiaTheme="minorEastAsia"/>
              </w:rPr>
            </w:pPr>
          </w:p>
        </w:tc>
        <w:tc>
          <w:tcPr>
            <w:tcW w:w="1487" w:type="dxa"/>
            <w:vMerge/>
            <w:tcBorders>
              <w:left w:val="single" w:sz="6" w:space="0" w:color="auto"/>
              <w:right w:val="single" w:sz="6" w:space="0" w:color="auto"/>
            </w:tcBorders>
            <w:shd w:val="clear" w:color="auto" w:fill="auto"/>
            <w:vAlign w:val="center"/>
          </w:tcPr>
          <w:p w14:paraId="3958A085" w14:textId="77777777" w:rsidR="00BB469D" w:rsidRPr="00956E6E" w:rsidRDefault="00BB469D" w:rsidP="00F1512F">
            <w:pPr>
              <w:pStyle w:val="TAH"/>
              <w:rPr>
                <w:rFonts w:eastAsiaTheme="minorEastAsia"/>
              </w:rPr>
            </w:pPr>
          </w:p>
        </w:tc>
        <w:tc>
          <w:tcPr>
            <w:tcW w:w="2520" w:type="dxa"/>
            <w:gridSpan w:val="2"/>
            <w:tcBorders>
              <w:top w:val="single" w:sz="6" w:space="0" w:color="auto"/>
              <w:left w:val="single" w:sz="6" w:space="0" w:color="auto"/>
              <w:right w:val="single" w:sz="6" w:space="0" w:color="auto"/>
            </w:tcBorders>
            <w:shd w:val="clear" w:color="auto" w:fill="auto"/>
            <w:vAlign w:val="center"/>
          </w:tcPr>
          <w:p w14:paraId="1812DB6C" w14:textId="77777777" w:rsidR="00BB469D" w:rsidRPr="00956E6E" w:rsidRDefault="00BB469D" w:rsidP="00F1512F">
            <w:pPr>
              <w:pStyle w:val="TAH"/>
              <w:rPr>
                <w:rFonts w:eastAsiaTheme="minorEastAsia"/>
              </w:rPr>
            </w:pPr>
            <w:r w:rsidRPr="00956E6E">
              <w:rPr>
                <w:rFonts w:eastAsiaTheme="minorEastAsia"/>
              </w:rPr>
              <w:t>Minimum</w:t>
            </w:r>
            <w:r w:rsidRPr="00956E6E">
              <w:rPr>
                <w:rFonts w:eastAsiaTheme="minorEastAsia"/>
              </w:rPr>
              <w:br/>
              <w:t xml:space="preserve">Io </w:t>
            </w:r>
            <w:r w:rsidRPr="00956E6E">
              <w:rPr>
                <w:rFonts w:eastAsiaTheme="minorEastAsia"/>
                <w:vertAlign w:val="superscript"/>
              </w:rPr>
              <w:t>Note 1</w:t>
            </w:r>
          </w:p>
          <w:p w14:paraId="26786E31" w14:textId="77777777" w:rsidR="00BB469D" w:rsidRPr="00956E6E" w:rsidRDefault="00BB469D" w:rsidP="00F1512F">
            <w:pPr>
              <w:pStyle w:val="TAH"/>
              <w:rPr>
                <w:rFonts w:eastAsiaTheme="minorEastAsia"/>
              </w:rPr>
            </w:pPr>
            <w:r w:rsidRPr="00956E6E">
              <w:rPr>
                <w:rFonts w:eastAsiaTheme="minorEastAsia"/>
              </w:rPr>
              <w:t>dBm / SCS</w:t>
            </w:r>
            <w:r w:rsidRPr="00956E6E">
              <w:rPr>
                <w:rFonts w:eastAsiaTheme="minorEastAsia"/>
                <w:vertAlign w:val="subscript"/>
              </w:rPr>
              <w:t>PRS</w:t>
            </w:r>
          </w:p>
        </w:tc>
        <w:tc>
          <w:tcPr>
            <w:tcW w:w="1278" w:type="dxa"/>
            <w:tcBorders>
              <w:top w:val="single" w:sz="6" w:space="0" w:color="auto"/>
              <w:left w:val="single" w:sz="6" w:space="0" w:color="auto"/>
              <w:right w:val="single" w:sz="4" w:space="0" w:color="auto"/>
            </w:tcBorders>
            <w:shd w:val="clear" w:color="auto" w:fill="auto"/>
            <w:vAlign w:val="center"/>
          </w:tcPr>
          <w:p w14:paraId="75280ADD" w14:textId="77777777" w:rsidR="00BB469D" w:rsidRPr="00956E6E" w:rsidRDefault="00BB469D" w:rsidP="00F1512F">
            <w:pPr>
              <w:pStyle w:val="TAH"/>
              <w:rPr>
                <w:rFonts w:eastAsiaTheme="minorEastAsia"/>
              </w:rPr>
            </w:pPr>
            <w:r w:rsidRPr="00956E6E">
              <w:rPr>
                <w:rFonts w:eastAsiaTheme="minorEastAsia"/>
              </w:rPr>
              <w:t>Maximum</w:t>
            </w:r>
            <w:r w:rsidRPr="00956E6E">
              <w:rPr>
                <w:rFonts w:eastAsiaTheme="minorEastAsia"/>
              </w:rPr>
              <w:br/>
              <w:t>Io</w:t>
            </w:r>
          </w:p>
        </w:tc>
      </w:tr>
      <w:tr w:rsidR="00BB469D" w:rsidRPr="00956E6E" w14:paraId="79C172C8" w14:textId="77777777" w:rsidTr="007A5129">
        <w:trPr>
          <w:trHeight w:val="236"/>
          <w:jc w:val="center"/>
        </w:trPr>
        <w:tc>
          <w:tcPr>
            <w:tcW w:w="1046" w:type="dxa"/>
            <w:vMerge w:val="restart"/>
            <w:tcBorders>
              <w:top w:val="single" w:sz="6" w:space="0" w:color="auto"/>
              <w:left w:val="single" w:sz="4" w:space="0" w:color="auto"/>
              <w:right w:val="single" w:sz="6" w:space="0" w:color="auto"/>
            </w:tcBorders>
            <w:shd w:val="clear" w:color="auto" w:fill="auto"/>
            <w:vAlign w:val="center"/>
          </w:tcPr>
          <w:p w14:paraId="555CEAC6" w14:textId="77777777" w:rsidR="00BB469D" w:rsidRPr="00956E6E" w:rsidRDefault="00BB469D" w:rsidP="00F1512F">
            <w:pPr>
              <w:pStyle w:val="TAH"/>
              <w:rPr>
                <w:rFonts w:eastAsiaTheme="minorEastAsia"/>
              </w:rPr>
            </w:pPr>
            <w:r w:rsidRPr="00956E6E">
              <w:rPr>
                <w:rFonts w:eastAsiaTheme="minorEastAsia"/>
                <w:lang w:eastAsia="zh-CN"/>
              </w:rPr>
              <w:t>dB</w:t>
            </w:r>
          </w:p>
        </w:tc>
        <w:tc>
          <w:tcPr>
            <w:tcW w:w="1049" w:type="dxa"/>
            <w:vMerge w:val="restart"/>
            <w:tcBorders>
              <w:top w:val="single" w:sz="6" w:space="0" w:color="auto"/>
              <w:left w:val="single" w:sz="4" w:space="0" w:color="auto"/>
              <w:right w:val="single" w:sz="6" w:space="0" w:color="auto"/>
            </w:tcBorders>
            <w:shd w:val="clear" w:color="auto" w:fill="auto"/>
            <w:vAlign w:val="center"/>
          </w:tcPr>
          <w:p w14:paraId="68A793AE" w14:textId="77777777" w:rsidR="00BB469D" w:rsidRPr="00956E6E" w:rsidRDefault="00BB469D" w:rsidP="00F1512F">
            <w:pPr>
              <w:pStyle w:val="TAH"/>
              <w:rPr>
                <w:rFonts w:eastAsiaTheme="minorEastAsia"/>
              </w:rPr>
            </w:pPr>
            <w:r w:rsidRPr="00956E6E">
              <w:rPr>
                <w:rFonts w:eastAsiaTheme="minorEastAsia" w:hint="eastAsia"/>
                <w:lang w:eastAsia="zh-CN"/>
              </w:rPr>
              <w:t>dB</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7FD96DAC" w14:textId="77777777" w:rsidR="00BB469D" w:rsidRPr="00956E6E" w:rsidRDefault="00BB469D" w:rsidP="00F1512F">
            <w:pPr>
              <w:pStyle w:val="TAH"/>
              <w:rPr>
                <w:rFonts w:eastAsiaTheme="minorEastAsia"/>
              </w:rPr>
            </w:pPr>
            <w:r w:rsidRPr="00956E6E">
              <w:rPr>
                <w:rFonts w:eastAsiaTheme="minorEastAsia"/>
              </w:rPr>
              <w:t>dB</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53515C2A" w14:textId="77777777" w:rsidR="00BB469D" w:rsidRPr="00956E6E" w:rsidRDefault="00BB469D" w:rsidP="00F1512F">
            <w:pPr>
              <w:pStyle w:val="TAH"/>
              <w:rPr>
                <w:rFonts w:eastAsiaTheme="minorEastAsia"/>
              </w:rPr>
            </w:pPr>
            <w:r w:rsidRPr="00956E6E">
              <w:rPr>
                <w:rFonts w:eastAsiaTheme="minorEastAsia" w:hint="eastAsia"/>
                <w:lang w:eastAsia="zh-CN"/>
              </w:rPr>
              <w:t>P</w:t>
            </w:r>
            <w:r w:rsidRPr="00956E6E">
              <w:rPr>
                <w:rFonts w:eastAsiaTheme="minorEastAsia"/>
              </w:rPr>
              <w:t>RB</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73499AAF" w14:textId="77777777" w:rsidR="00BB469D" w:rsidRPr="00956E6E" w:rsidRDefault="00BB469D" w:rsidP="00F1512F">
            <w:pPr>
              <w:pStyle w:val="TAH"/>
              <w:rPr>
                <w:rFonts w:eastAsiaTheme="minorEastAsia"/>
                <w:lang w:eastAsia="zh-CN"/>
              </w:rPr>
            </w:pPr>
            <w:r w:rsidRPr="00956E6E">
              <w:rPr>
                <w:rFonts w:eastAsiaTheme="minorEastAsia" w:hint="eastAsia"/>
                <w:lang w:eastAsia="zh-CN"/>
              </w:rPr>
              <w:t>-</w:t>
            </w:r>
          </w:p>
        </w:tc>
        <w:tc>
          <w:tcPr>
            <w:tcW w:w="2520" w:type="dxa"/>
            <w:gridSpan w:val="2"/>
            <w:tcBorders>
              <w:top w:val="single" w:sz="6" w:space="0" w:color="auto"/>
              <w:left w:val="single" w:sz="6" w:space="0" w:color="auto"/>
              <w:right w:val="single" w:sz="6" w:space="0" w:color="auto"/>
            </w:tcBorders>
            <w:shd w:val="clear" w:color="auto" w:fill="auto"/>
            <w:vAlign w:val="center"/>
          </w:tcPr>
          <w:p w14:paraId="69C02D33" w14:textId="77777777" w:rsidR="00BB469D" w:rsidRPr="00956E6E" w:rsidRDefault="00BB469D" w:rsidP="00F1512F">
            <w:pPr>
              <w:pStyle w:val="TAH"/>
              <w:rPr>
                <w:rFonts w:eastAsiaTheme="minorEastAsia"/>
                <w:lang w:eastAsia="zh-CN"/>
              </w:rPr>
            </w:pPr>
            <w:r w:rsidRPr="00956E6E">
              <w:rPr>
                <w:rFonts w:eastAsiaTheme="minorEastAsia"/>
              </w:rPr>
              <w:t>dBm / SCS</w:t>
            </w:r>
            <w:r w:rsidRPr="00956E6E">
              <w:rPr>
                <w:rFonts w:eastAsiaTheme="minorEastAsia"/>
                <w:vertAlign w:val="subscript"/>
              </w:rPr>
              <w:t>PRS</w:t>
            </w:r>
          </w:p>
        </w:tc>
        <w:tc>
          <w:tcPr>
            <w:tcW w:w="1278" w:type="dxa"/>
            <w:vMerge w:val="restart"/>
            <w:tcBorders>
              <w:top w:val="single" w:sz="6" w:space="0" w:color="auto"/>
              <w:left w:val="single" w:sz="6" w:space="0" w:color="auto"/>
              <w:right w:val="single" w:sz="4" w:space="0" w:color="auto"/>
            </w:tcBorders>
            <w:shd w:val="clear" w:color="auto" w:fill="auto"/>
            <w:vAlign w:val="center"/>
          </w:tcPr>
          <w:p w14:paraId="0C92E0A9" w14:textId="77777777" w:rsidR="00BB469D" w:rsidRPr="00956E6E" w:rsidRDefault="00BB469D" w:rsidP="00F1512F">
            <w:pPr>
              <w:pStyle w:val="TAH"/>
              <w:rPr>
                <w:rFonts w:eastAsiaTheme="minorEastAsia"/>
              </w:rPr>
            </w:pPr>
            <w:r w:rsidRPr="00956E6E">
              <w:rPr>
                <w:rFonts w:eastAsiaTheme="minorEastAsia"/>
              </w:rPr>
              <w:t>dBm/BW</w:t>
            </w:r>
            <w:r w:rsidRPr="00956E6E">
              <w:rPr>
                <w:rFonts w:eastAsiaTheme="minorEastAsia"/>
                <w:vertAlign w:val="subscript"/>
              </w:rPr>
              <w:t>Channel</w:t>
            </w:r>
          </w:p>
        </w:tc>
      </w:tr>
      <w:tr w:rsidR="00BB469D" w:rsidRPr="00956E6E" w14:paraId="410AA413" w14:textId="77777777" w:rsidTr="007A5129">
        <w:trPr>
          <w:trHeight w:val="236"/>
          <w:jc w:val="center"/>
        </w:trPr>
        <w:tc>
          <w:tcPr>
            <w:tcW w:w="1046" w:type="dxa"/>
            <w:vMerge/>
            <w:tcBorders>
              <w:left w:val="single" w:sz="4" w:space="0" w:color="auto"/>
              <w:bottom w:val="single" w:sz="6" w:space="0" w:color="auto"/>
              <w:right w:val="single" w:sz="6" w:space="0" w:color="auto"/>
            </w:tcBorders>
            <w:shd w:val="clear" w:color="auto" w:fill="auto"/>
            <w:vAlign w:val="center"/>
          </w:tcPr>
          <w:p w14:paraId="0D5D5620" w14:textId="77777777" w:rsidR="00BB469D" w:rsidRPr="00956E6E" w:rsidRDefault="00BB469D" w:rsidP="007A5129">
            <w:pPr>
              <w:keepNext/>
              <w:keepLines/>
              <w:spacing w:after="0"/>
              <w:jc w:val="center"/>
              <w:rPr>
                <w:rFonts w:ascii="Arial" w:eastAsiaTheme="minorEastAsia" w:hAnsi="Arial"/>
                <w:b/>
                <w:sz w:val="18"/>
              </w:rPr>
            </w:pPr>
          </w:p>
        </w:tc>
        <w:tc>
          <w:tcPr>
            <w:tcW w:w="1049" w:type="dxa"/>
            <w:vMerge/>
            <w:tcBorders>
              <w:left w:val="single" w:sz="4" w:space="0" w:color="auto"/>
              <w:right w:val="single" w:sz="6" w:space="0" w:color="auto"/>
            </w:tcBorders>
            <w:shd w:val="clear" w:color="auto" w:fill="auto"/>
            <w:vAlign w:val="center"/>
          </w:tcPr>
          <w:p w14:paraId="50BDB9A7" w14:textId="77777777" w:rsidR="00BB469D" w:rsidRPr="00956E6E" w:rsidRDefault="00BB469D" w:rsidP="007A5129">
            <w:pPr>
              <w:keepNext/>
              <w:keepLines/>
              <w:spacing w:after="0"/>
              <w:jc w:val="center"/>
              <w:rPr>
                <w:rFonts w:ascii="Arial" w:eastAsiaTheme="minorEastAsia" w:hAnsi="Arial"/>
                <w:b/>
                <w:sz w:val="18"/>
              </w:rPr>
            </w:pPr>
          </w:p>
        </w:tc>
        <w:tc>
          <w:tcPr>
            <w:tcW w:w="907" w:type="dxa"/>
            <w:vMerge/>
            <w:tcBorders>
              <w:left w:val="single" w:sz="6" w:space="0" w:color="auto"/>
              <w:right w:val="single" w:sz="6" w:space="0" w:color="auto"/>
            </w:tcBorders>
            <w:shd w:val="clear" w:color="auto" w:fill="auto"/>
            <w:vAlign w:val="center"/>
          </w:tcPr>
          <w:p w14:paraId="19882612" w14:textId="77777777" w:rsidR="00BB469D" w:rsidRPr="00956E6E" w:rsidRDefault="00BB469D" w:rsidP="007A5129">
            <w:pPr>
              <w:keepNext/>
              <w:keepLines/>
              <w:spacing w:after="0"/>
              <w:jc w:val="center"/>
              <w:rPr>
                <w:rFonts w:ascii="Arial" w:eastAsiaTheme="minorEastAsia" w:hAnsi="Arial"/>
                <w:b/>
                <w:sz w:val="18"/>
              </w:rPr>
            </w:pPr>
          </w:p>
        </w:tc>
        <w:tc>
          <w:tcPr>
            <w:tcW w:w="1568" w:type="dxa"/>
            <w:vMerge/>
            <w:tcBorders>
              <w:left w:val="single" w:sz="6" w:space="0" w:color="auto"/>
              <w:right w:val="single" w:sz="6" w:space="0" w:color="auto"/>
            </w:tcBorders>
            <w:shd w:val="clear" w:color="auto" w:fill="auto"/>
            <w:vAlign w:val="center"/>
          </w:tcPr>
          <w:p w14:paraId="17293152" w14:textId="77777777" w:rsidR="00BB469D" w:rsidRPr="00956E6E" w:rsidRDefault="00BB469D" w:rsidP="007A5129">
            <w:pPr>
              <w:keepNext/>
              <w:keepLines/>
              <w:spacing w:after="0"/>
              <w:jc w:val="center"/>
              <w:rPr>
                <w:rFonts w:ascii="Arial" w:eastAsiaTheme="minorEastAsia" w:hAnsi="Arial"/>
                <w:b/>
                <w:sz w:val="18"/>
              </w:rPr>
            </w:pPr>
          </w:p>
        </w:tc>
        <w:tc>
          <w:tcPr>
            <w:tcW w:w="1487" w:type="dxa"/>
            <w:vMerge/>
            <w:tcBorders>
              <w:left w:val="single" w:sz="6" w:space="0" w:color="auto"/>
              <w:right w:val="single" w:sz="6" w:space="0" w:color="auto"/>
            </w:tcBorders>
            <w:shd w:val="clear" w:color="auto" w:fill="auto"/>
            <w:vAlign w:val="center"/>
          </w:tcPr>
          <w:p w14:paraId="2255D3C8" w14:textId="77777777" w:rsidR="00BB469D" w:rsidRPr="00956E6E" w:rsidRDefault="00BB469D" w:rsidP="007A5129">
            <w:pPr>
              <w:keepNext/>
              <w:keepLines/>
              <w:spacing w:after="0"/>
              <w:jc w:val="center"/>
              <w:rPr>
                <w:rFonts w:ascii="Arial" w:eastAsiaTheme="minorEastAsia" w:hAnsi="Arial"/>
                <w:b/>
                <w:sz w:val="18"/>
              </w:rPr>
            </w:pPr>
          </w:p>
        </w:tc>
        <w:tc>
          <w:tcPr>
            <w:tcW w:w="1260" w:type="dxa"/>
            <w:tcBorders>
              <w:top w:val="single" w:sz="6" w:space="0" w:color="auto"/>
              <w:left w:val="single" w:sz="6" w:space="0" w:color="auto"/>
              <w:right w:val="single" w:sz="6" w:space="0" w:color="auto"/>
            </w:tcBorders>
            <w:shd w:val="clear" w:color="auto" w:fill="auto"/>
            <w:vAlign w:val="center"/>
          </w:tcPr>
          <w:p w14:paraId="51AA73F3" w14:textId="77777777" w:rsidR="00BB469D" w:rsidRPr="00956E6E" w:rsidRDefault="00BB469D" w:rsidP="00F1512F">
            <w:pPr>
              <w:pStyle w:val="TAH"/>
              <w:rPr>
                <w:rFonts w:eastAsiaTheme="minorEastAsia"/>
              </w:rPr>
            </w:pPr>
            <w:r w:rsidRPr="00956E6E">
              <w:rPr>
                <w:rFonts w:eastAsiaTheme="minorEastAsia"/>
              </w:rPr>
              <w:t>dBm/</w:t>
            </w:r>
            <w:r w:rsidRPr="00956E6E">
              <w:rPr>
                <w:rFonts w:eastAsiaTheme="minorEastAsia" w:hint="eastAsia"/>
                <w:lang w:eastAsia="zh-CN"/>
              </w:rPr>
              <w:t>120</w:t>
            </w:r>
            <w:r w:rsidRPr="00956E6E">
              <w:rPr>
                <w:rFonts w:eastAsiaTheme="minorEastAsia"/>
              </w:rPr>
              <w:t>kHz</w:t>
            </w:r>
            <w:r w:rsidRPr="00956E6E">
              <w:rPr>
                <w:rFonts w:eastAsiaTheme="minorEastAsia"/>
                <w:vertAlign w:val="superscript"/>
                <w:lang w:eastAsia="zh-CN"/>
              </w:rPr>
              <w:t xml:space="preserve"> Note 6</w:t>
            </w:r>
          </w:p>
        </w:tc>
        <w:tc>
          <w:tcPr>
            <w:tcW w:w="1260" w:type="dxa"/>
            <w:tcBorders>
              <w:top w:val="single" w:sz="6" w:space="0" w:color="auto"/>
              <w:left w:val="single" w:sz="6" w:space="0" w:color="auto"/>
              <w:right w:val="single" w:sz="6" w:space="0" w:color="auto"/>
            </w:tcBorders>
            <w:shd w:val="clear" w:color="auto" w:fill="auto"/>
            <w:vAlign w:val="center"/>
          </w:tcPr>
          <w:p w14:paraId="132F1862" w14:textId="77777777" w:rsidR="00BB469D" w:rsidRPr="00956E6E" w:rsidRDefault="00BB469D" w:rsidP="00F1512F">
            <w:pPr>
              <w:pStyle w:val="TAH"/>
              <w:rPr>
                <w:rFonts w:eastAsiaTheme="minorEastAsia"/>
              </w:rPr>
            </w:pPr>
            <w:r w:rsidRPr="00956E6E">
              <w:rPr>
                <w:rFonts w:eastAsiaTheme="minorEastAsia"/>
              </w:rPr>
              <w:t>dBm/</w:t>
            </w:r>
            <w:r w:rsidRPr="00956E6E">
              <w:rPr>
                <w:rFonts w:eastAsiaTheme="minorEastAsia" w:hint="eastAsia"/>
                <w:lang w:eastAsia="zh-CN"/>
              </w:rPr>
              <w:t>60</w:t>
            </w:r>
            <w:r w:rsidRPr="00956E6E">
              <w:rPr>
                <w:rFonts w:eastAsiaTheme="minorEastAsia"/>
              </w:rPr>
              <w:t>kHz</w:t>
            </w:r>
            <w:r w:rsidRPr="00956E6E">
              <w:rPr>
                <w:rFonts w:eastAsiaTheme="minorEastAsia"/>
                <w:vertAlign w:val="superscript"/>
                <w:lang w:eastAsia="zh-CN"/>
              </w:rPr>
              <w:t xml:space="preserve"> Note 6</w:t>
            </w:r>
          </w:p>
        </w:tc>
        <w:tc>
          <w:tcPr>
            <w:tcW w:w="1278" w:type="dxa"/>
            <w:vMerge/>
            <w:tcBorders>
              <w:left w:val="single" w:sz="6" w:space="0" w:color="auto"/>
              <w:right w:val="single" w:sz="4" w:space="0" w:color="auto"/>
            </w:tcBorders>
            <w:shd w:val="clear" w:color="auto" w:fill="auto"/>
            <w:vAlign w:val="center"/>
          </w:tcPr>
          <w:p w14:paraId="10C718AF" w14:textId="77777777" w:rsidR="00BB469D" w:rsidRPr="00956E6E" w:rsidRDefault="00BB469D" w:rsidP="007A5129">
            <w:pPr>
              <w:keepNext/>
              <w:keepLines/>
              <w:spacing w:after="0"/>
              <w:jc w:val="center"/>
              <w:rPr>
                <w:rFonts w:ascii="Arial" w:eastAsiaTheme="minorEastAsia" w:hAnsi="Arial"/>
                <w:b/>
                <w:sz w:val="18"/>
              </w:rPr>
            </w:pPr>
          </w:p>
        </w:tc>
      </w:tr>
      <w:tr w:rsidR="00BB469D" w:rsidRPr="00956E6E" w14:paraId="08CCDE3B" w14:textId="77777777" w:rsidTr="007A5129">
        <w:trPr>
          <w:trHeight w:val="1761"/>
          <w:jc w:val="center"/>
        </w:trPr>
        <w:tc>
          <w:tcPr>
            <w:tcW w:w="1046" w:type="dxa"/>
            <w:vMerge w:val="restart"/>
            <w:tcBorders>
              <w:top w:val="single" w:sz="6" w:space="0" w:color="auto"/>
              <w:left w:val="single" w:sz="6" w:space="0" w:color="auto"/>
              <w:right w:val="single" w:sz="6" w:space="0" w:color="auto"/>
            </w:tcBorders>
            <w:shd w:val="clear" w:color="auto" w:fill="auto"/>
            <w:vAlign w:val="center"/>
          </w:tcPr>
          <w:p w14:paraId="50455713" w14:textId="77777777" w:rsidR="00BB469D" w:rsidRPr="00956E6E" w:rsidRDefault="00BB469D" w:rsidP="00F1512F">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1049" w:type="dxa"/>
            <w:vMerge w:val="restart"/>
            <w:tcBorders>
              <w:top w:val="single" w:sz="6" w:space="0" w:color="auto"/>
              <w:left w:val="single" w:sz="4" w:space="0" w:color="auto"/>
              <w:bottom w:val="single" w:sz="4" w:space="0" w:color="auto"/>
              <w:right w:val="single" w:sz="6" w:space="0" w:color="auto"/>
            </w:tcBorders>
            <w:vAlign w:val="center"/>
          </w:tcPr>
          <w:p w14:paraId="0F2A5C81" w14:textId="77777777" w:rsidR="00BB469D" w:rsidRPr="00956E6E" w:rsidRDefault="00BB469D" w:rsidP="00F1512F">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672B8A37" w14:textId="77777777" w:rsidR="00BB469D" w:rsidRPr="00956E6E" w:rsidRDefault="00BB469D" w:rsidP="00F1512F">
            <w:pPr>
              <w:pStyle w:val="TAC"/>
              <w:rPr>
                <w:rFonts w:eastAsiaTheme="minorEastAsia"/>
                <w:noProof/>
                <w:lang w:val="sv-SE" w:eastAsia="zh-CN"/>
              </w:rPr>
            </w:pPr>
            <w:r w:rsidRPr="00956E6E">
              <w:rPr>
                <w:rFonts w:eastAsiaTheme="minorEastAsia"/>
                <w:noProof/>
              </w:rPr>
              <w:t>≥</w:t>
            </w:r>
            <w:r w:rsidRPr="00956E6E">
              <w:rPr>
                <w:rFonts w:eastAsiaTheme="minorEastAsia" w:hint="eastAsia"/>
                <w:noProof/>
                <w:lang w:eastAsia="zh-CN"/>
              </w:rPr>
              <w:t>-3</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0C625985" w14:textId="0459BB71" w:rsidR="00BB469D" w:rsidRPr="00956E6E" w:rsidRDefault="006D557A" w:rsidP="00F1512F">
            <w:pPr>
              <w:pStyle w:val="TAC"/>
              <w:rPr>
                <w:rFonts w:eastAsiaTheme="minorEastAsia"/>
                <w:lang w:eastAsia="zh-CN"/>
              </w:rPr>
            </w:pPr>
            <w:r w:rsidRPr="001C6009">
              <w:t>≥</w:t>
            </w:r>
            <w:r w:rsidRPr="001C6009">
              <w:rPr>
                <w:rFonts w:hint="eastAsia"/>
                <w:lang w:eastAsia="zh-CN"/>
              </w:rPr>
              <w:t>24</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3410E842" w14:textId="77777777" w:rsidR="00BB469D" w:rsidRPr="00956E6E" w:rsidRDefault="00BB469D" w:rsidP="00F1512F">
            <w:pPr>
              <w:pStyle w:val="TAC"/>
              <w:rPr>
                <w:rFonts w:eastAsiaTheme="minorEastAsia"/>
                <w:lang w:eastAsia="zh-CN"/>
              </w:rPr>
            </w:pPr>
            <w:r w:rsidRPr="00956E6E">
              <w:rPr>
                <w:rFonts w:eastAsiaTheme="minorEastAsia"/>
                <w:lang w:eastAsia="zh-CN"/>
              </w:rPr>
              <w:t>A</w:t>
            </w:r>
            <w:r w:rsidRPr="00956E6E">
              <w:rPr>
                <w:rFonts w:eastAsiaTheme="minorEastAsia" w:hint="eastAsia"/>
                <w:lang w:eastAsia="zh-CN"/>
              </w:rPr>
              <w:t>ll</w:t>
            </w:r>
          </w:p>
        </w:tc>
        <w:tc>
          <w:tcPr>
            <w:tcW w:w="2520" w:type="dxa"/>
            <w:gridSpan w:val="2"/>
            <w:tcBorders>
              <w:top w:val="single" w:sz="6" w:space="0" w:color="auto"/>
              <w:left w:val="single" w:sz="6" w:space="0" w:color="auto"/>
              <w:right w:val="single" w:sz="6" w:space="0" w:color="auto"/>
            </w:tcBorders>
            <w:shd w:val="clear" w:color="auto" w:fill="auto"/>
          </w:tcPr>
          <w:p w14:paraId="07AAF483" w14:textId="0DC660DA" w:rsidR="00BB469D" w:rsidRPr="00956E6E" w:rsidRDefault="00574F47" w:rsidP="00F1512F">
            <w:pPr>
              <w:pStyle w:val="TAC"/>
              <w:rPr>
                <w:rFonts w:eastAsiaTheme="minorEastAsia"/>
                <w:noProof/>
              </w:rPr>
            </w:pPr>
            <w:r w:rsidRPr="00F25D91">
              <w:rPr>
                <w:rFonts w:eastAsiaTheme="minorEastAsia"/>
                <w:noProof/>
              </w:rPr>
              <w:t xml:space="preserve">Same value as </w:t>
            </w:r>
            <w:r w:rsidRPr="00F25D91">
              <w:rPr>
                <w:rFonts w:eastAsiaTheme="minorEastAsia"/>
                <w:noProof/>
                <w:lang w:eastAsia="zh-CN"/>
              </w:rPr>
              <w:t>P</w:t>
            </w:r>
            <w:r w:rsidRPr="00F25D91">
              <w:rPr>
                <w:rFonts w:eastAsiaTheme="minorEastAsia"/>
                <w:noProof/>
              </w:rPr>
              <w:t>RP in Table B.2.</w:t>
            </w:r>
            <w:r>
              <w:rPr>
                <w:rFonts w:eastAsiaTheme="minorEastAsia"/>
                <w:noProof/>
                <w:lang w:eastAsia="zh-CN"/>
              </w:rPr>
              <w:t>14</w:t>
            </w:r>
            <w:r w:rsidRPr="00F25D91">
              <w:rPr>
                <w:rFonts w:eastAsiaTheme="minorEastAsia"/>
                <w:noProof/>
              </w:rPr>
              <w:t>-2, according to UE Power class, operating band and angle of arrival</w:t>
            </w:r>
          </w:p>
        </w:tc>
        <w:tc>
          <w:tcPr>
            <w:tcW w:w="1278" w:type="dxa"/>
            <w:tcBorders>
              <w:top w:val="single" w:sz="6" w:space="0" w:color="auto"/>
              <w:left w:val="single" w:sz="6" w:space="0" w:color="auto"/>
              <w:right w:val="single" w:sz="4" w:space="0" w:color="auto"/>
            </w:tcBorders>
            <w:shd w:val="clear" w:color="auto" w:fill="auto"/>
            <w:vAlign w:val="center"/>
          </w:tcPr>
          <w:p w14:paraId="4472F279" w14:textId="77777777" w:rsidR="00BB469D" w:rsidRPr="00956E6E" w:rsidRDefault="00BB469D" w:rsidP="00F1512F">
            <w:pPr>
              <w:pStyle w:val="TAC"/>
              <w:rPr>
                <w:rFonts w:eastAsiaTheme="minorEastAsia"/>
                <w:lang w:eastAsia="zh-CN"/>
              </w:rPr>
            </w:pPr>
            <w:r w:rsidRPr="00956E6E">
              <w:rPr>
                <w:rFonts w:eastAsiaTheme="minorEastAsia"/>
              </w:rPr>
              <w:t>-50</w:t>
            </w:r>
          </w:p>
        </w:tc>
      </w:tr>
      <w:tr w:rsidR="00BB469D" w:rsidRPr="00956E6E" w14:paraId="45C6121C" w14:textId="77777777" w:rsidTr="007A5129">
        <w:trPr>
          <w:jc w:val="center"/>
        </w:trPr>
        <w:tc>
          <w:tcPr>
            <w:tcW w:w="1046" w:type="dxa"/>
            <w:vMerge/>
            <w:tcBorders>
              <w:left w:val="single" w:sz="6" w:space="0" w:color="auto"/>
              <w:right w:val="single" w:sz="6" w:space="0" w:color="auto"/>
            </w:tcBorders>
            <w:shd w:val="clear" w:color="auto" w:fill="auto"/>
            <w:vAlign w:val="center"/>
          </w:tcPr>
          <w:p w14:paraId="367641D8" w14:textId="77777777" w:rsidR="00BB469D" w:rsidRPr="00956E6E" w:rsidRDefault="00BB469D" w:rsidP="00F1512F">
            <w:pPr>
              <w:pStyle w:val="TAC"/>
              <w:rPr>
                <w:rFonts w:eastAsiaTheme="minorEastAsia"/>
                <w:lang w:eastAsia="zh-CN"/>
              </w:rPr>
            </w:pPr>
          </w:p>
        </w:tc>
        <w:tc>
          <w:tcPr>
            <w:tcW w:w="1049" w:type="dxa"/>
            <w:vMerge/>
            <w:tcBorders>
              <w:top w:val="single" w:sz="6" w:space="0" w:color="auto"/>
              <w:left w:val="single" w:sz="4" w:space="0" w:color="auto"/>
              <w:bottom w:val="single" w:sz="4" w:space="0" w:color="auto"/>
              <w:right w:val="single" w:sz="6" w:space="0" w:color="auto"/>
            </w:tcBorders>
            <w:vAlign w:val="center"/>
          </w:tcPr>
          <w:p w14:paraId="71C8CF16" w14:textId="77777777" w:rsidR="00BB469D" w:rsidRPr="00956E6E" w:rsidRDefault="00BB469D" w:rsidP="00F1512F">
            <w:pPr>
              <w:pStyle w:val="TAC"/>
              <w:rPr>
                <w:rFonts w:eastAsiaTheme="minorEastAsia"/>
                <w:lang w:eastAsia="zh-CN"/>
              </w:rPr>
            </w:pPr>
          </w:p>
        </w:tc>
        <w:tc>
          <w:tcPr>
            <w:tcW w:w="907" w:type="dxa"/>
            <w:vMerge/>
            <w:tcBorders>
              <w:left w:val="single" w:sz="6" w:space="0" w:color="auto"/>
              <w:right w:val="single" w:sz="6" w:space="0" w:color="auto"/>
            </w:tcBorders>
            <w:shd w:val="clear" w:color="auto" w:fill="auto"/>
            <w:vAlign w:val="center"/>
          </w:tcPr>
          <w:p w14:paraId="3FBD741B" w14:textId="77777777" w:rsidR="00BB469D" w:rsidRPr="00956E6E" w:rsidRDefault="00BB469D" w:rsidP="00F1512F">
            <w:pPr>
              <w:pStyle w:val="TAC"/>
              <w:rPr>
                <w:rFonts w:eastAsiaTheme="minorEastAsia"/>
                <w:lang w:val="sv-SE"/>
              </w:rPr>
            </w:pPr>
          </w:p>
        </w:tc>
        <w:tc>
          <w:tcPr>
            <w:tcW w:w="1568" w:type="dxa"/>
            <w:vMerge/>
            <w:tcBorders>
              <w:left w:val="single" w:sz="6" w:space="0" w:color="auto"/>
              <w:right w:val="single" w:sz="6" w:space="0" w:color="auto"/>
            </w:tcBorders>
            <w:shd w:val="clear" w:color="auto" w:fill="auto"/>
            <w:vAlign w:val="center"/>
          </w:tcPr>
          <w:p w14:paraId="621C060D" w14:textId="77777777" w:rsidR="00BB469D" w:rsidRPr="00956E6E" w:rsidRDefault="00BB469D" w:rsidP="00F1512F">
            <w:pPr>
              <w:pStyle w:val="TAC"/>
              <w:rPr>
                <w:rFonts w:eastAsiaTheme="minorEastAsia"/>
                <w:lang w:eastAsia="zh-CN"/>
              </w:rPr>
            </w:pPr>
          </w:p>
        </w:tc>
        <w:tc>
          <w:tcPr>
            <w:tcW w:w="1487" w:type="dxa"/>
            <w:vMerge/>
            <w:tcBorders>
              <w:left w:val="single" w:sz="6" w:space="0" w:color="auto"/>
              <w:right w:val="single" w:sz="6" w:space="0" w:color="auto"/>
            </w:tcBorders>
            <w:shd w:val="clear" w:color="auto" w:fill="auto"/>
            <w:vAlign w:val="center"/>
          </w:tcPr>
          <w:p w14:paraId="6820FD2F" w14:textId="77777777" w:rsidR="00BB469D" w:rsidRPr="00956E6E" w:rsidRDefault="00BB469D" w:rsidP="00F1512F">
            <w:pPr>
              <w:pStyle w:val="TAC"/>
              <w:rPr>
                <w:rFonts w:eastAsiaTheme="minorEastAsia"/>
              </w:rPr>
            </w:pP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549DD375" w14:textId="77777777" w:rsidR="00BB469D" w:rsidRPr="00956E6E" w:rsidRDefault="00BB469D" w:rsidP="00F1512F">
            <w:pPr>
              <w:pStyle w:val="TAC"/>
              <w:rPr>
                <w:rFonts w:eastAsiaTheme="minorEastAsia"/>
                <w:lang w:eastAsia="zh-CN"/>
              </w:rPr>
            </w:pPr>
            <w:r w:rsidRPr="00956E6E">
              <w:rPr>
                <w:rFonts w:eastAsiaTheme="minorEastAsia"/>
              </w:rPr>
              <w:t>Note 4</w:t>
            </w:r>
          </w:p>
        </w:tc>
      </w:tr>
      <w:tr w:rsidR="00BB469D" w:rsidRPr="00956E6E" w14:paraId="423B21A1" w14:textId="77777777" w:rsidTr="007A5129">
        <w:trPr>
          <w:jc w:val="center"/>
        </w:trPr>
        <w:tc>
          <w:tcPr>
            <w:tcW w:w="1046" w:type="dxa"/>
            <w:vMerge/>
            <w:tcBorders>
              <w:left w:val="single" w:sz="6" w:space="0" w:color="auto"/>
              <w:bottom w:val="single" w:sz="6" w:space="0" w:color="auto"/>
              <w:right w:val="single" w:sz="6" w:space="0" w:color="auto"/>
            </w:tcBorders>
            <w:shd w:val="clear" w:color="auto" w:fill="auto"/>
            <w:vAlign w:val="center"/>
          </w:tcPr>
          <w:p w14:paraId="5AB19782" w14:textId="77777777" w:rsidR="00BB469D" w:rsidRPr="00956E6E" w:rsidRDefault="00BB469D" w:rsidP="00F1512F">
            <w:pPr>
              <w:pStyle w:val="TAC"/>
              <w:rPr>
                <w:rFonts w:eastAsiaTheme="minorEastAsia"/>
              </w:rPr>
            </w:pPr>
          </w:p>
        </w:tc>
        <w:tc>
          <w:tcPr>
            <w:tcW w:w="1049" w:type="dxa"/>
            <w:vMerge/>
            <w:tcBorders>
              <w:top w:val="single" w:sz="6" w:space="0" w:color="auto"/>
              <w:left w:val="single" w:sz="4" w:space="0" w:color="auto"/>
              <w:bottom w:val="single" w:sz="4" w:space="0" w:color="auto"/>
              <w:right w:val="single" w:sz="6" w:space="0" w:color="auto"/>
            </w:tcBorders>
            <w:vAlign w:val="center"/>
          </w:tcPr>
          <w:p w14:paraId="6A0E402C" w14:textId="77777777" w:rsidR="00BB469D" w:rsidRPr="00956E6E" w:rsidRDefault="00BB469D" w:rsidP="00F1512F">
            <w:pPr>
              <w:pStyle w:val="TAC"/>
              <w:rPr>
                <w:rFonts w:eastAsiaTheme="minorEastAsia"/>
                <w:lang w:eastAsia="zh-CN"/>
              </w:rPr>
            </w:pPr>
          </w:p>
        </w:tc>
        <w:tc>
          <w:tcPr>
            <w:tcW w:w="907" w:type="dxa"/>
            <w:vMerge/>
            <w:tcBorders>
              <w:left w:val="single" w:sz="6" w:space="0" w:color="auto"/>
              <w:bottom w:val="single" w:sz="6" w:space="0" w:color="auto"/>
              <w:right w:val="single" w:sz="6" w:space="0" w:color="auto"/>
            </w:tcBorders>
            <w:shd w:val="clear" w:color="auto" w:fill="auto"/>
            <w:vAlign w:val="center"/>
          </w:tcPr>
          <w:p w14:paraId="3FC0D20B" w14:textId="77777777" w:rsidR="00BB469D" w:rsidRPr="00956E6E" w:rsidRDefault="00BB469D" w:rsidP="00F1512F">
            <w:pPr>
              <w:pStyle w:val="TAC"/>
              <w:rPr>
                <w:rFonts w:eastAsiaTheme="minorEastAsia"/>
              </w:rPr>
            </w:pPr>
          </w:p>
        </w:tc>
        <w:tc>
          <w:tcPr>
            <w:tcW w:w="1568" w:type="dxa"/>
            <w:vMerge/>
            <w:tcBorders>
              <w:left w:val="single" w:sz="6" w:space="0" w:color="auto"/>
              <w:bottom w:val="single" w:sz="6" w:space="0" w:color="auto"/>
              <w:right w:val="single" w:sz="6" w:space="0" w:color="auto"/>
            </w:tcBorders>
            <w:shd w:val="clear" w:color="auto" w:fill="auto"/>
            <w:vAlign w:val="center"/>
          </w:tcPr>
          <w:p w14:paraId="6346C5B6" w14:textId="77777777" w:rsidR="00BB469D" w:rsidRPr="00956E6E" w:rsidRDefault="00BB469D" w:rsidP="00F1512F">
            <w:pPr>
              <w:pStyle w:val="TAC"/>
              <w:rPr>
                <w:rFonts w:eastAsiaTheme="minorEastAsia"/>
              </w:rPr>
            </w:pPr>
          </w:p>
        </w:tc>
        <w:tc>
          <w:tcPr>
            <w:tcW w:w="1487" w:type="dxa"/>
            <w:vMerge/>
            <w:tcBorders>
              <w:left w:val="single" w:sz="6" w:space="0" w:color="auto"/>
              <w:bottom w:val="single" w:sz="6" w:space="0" w:color="auto"/>
              <w:right w:val="single" w:sz="6" w:space="0" w:color="auto"/>
            </w:tcBorders>
            <w:shd w:val="clear" w:color="auto" w:fill="auto"/>
            <w:vAlign w:val="center"/>
          </w:tcPr>
          <w:p w14:paraId="2D1BCF87" w14:textId="77777777" w:rsidR="00BB469D" w:rsidRPr="00956E6E" w:rsidRDefault="00BB469D" w:rsidP="00F1512F">
            <w:pPr>
              <w:pStyle w:val="TAC"/>
              <w:rPr>
                <w:rFonts w:eastAsiaTheme="minorEastAsia"/>
              </w:rPr>
            </w:pP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1EF543EA" w14:textId="77777777" w:rsidR="00BB469D" w:rsidRPr="00956E6E" w:rsidRDefault="00BB469D" w:rsidP="00F1512F">
            <w:pPr>
              <w:pStyle w:val="TAC"/>
              <w:rPr>
                <w:rFonts w:eastAsiaTheme="minorEastAsia"/>
              </w:rPr>
            </w:pPr>
            <w:r w:rsidRPr="00956E6E">
              <w:rPr>
                <w:rFonts w:eastAsiaTheme="minorEastAsia"/>
              </w:rPr>
              <w:t>Note 4</w:t>
            </w:r>
          </w:p>
        </w:tc>
      </w:tr>
      <w:tr w:rsidR="006D557A" w:rsidRPr="00956E6E" w14:paraId="31EAEDA4" w14:textId="77777777" w:rsidTr="007A5129">
        <w:trPr>
          <w:trHeight w:val="226"/>
          <w:jc w:val="center"/>
        </w:trPr>
        <w:tc>
          <w:tcPr>
            <w:tcW w:w="1046" w:type="dxa"/>
            <w:tcBorders>
              <w:top w:val="single" w:sz="6" w:space="0" w:color="auto"/>
              <w:left w:val="single" w:sz="6" w:space="0" w:color="auto"/>
              <w:right w:val="single" w:sz="6" w:space="0" w:color="auto"/>
            </w:tcBorders>
            <w:shd w:val="clear" w:color="auto" w:fill="auto"/>
            <w:vAlign w:val="center"/>
          </w:tcPr>
          <w:p w14:paraId="7185EB1C"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1049" w:type="dxa"/>
            <w:tcBorders>
              <w:top w:val="single" w:sz="4" w:space="0" w:color="auto"/>
              <w:left w:val="single" w:sz="4" w:space="0" w:color="auto"/>
              <w:bottom w:val="single" w:sz="4" w:space="0" w:color="auto"/>
              <w:right w:val="single" w:sz="4" w:space="0" w:color="auto"/>
            </w:tcBorders>
            <w:vAlign w:val="center"/>
          </w:tcPr>
          <w:p w14:paraId="39999845"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547355B9" w14:textId="77777777" w:rsidR="006D557A" w:rsidRPr="00956E6E" w:rsidRDefault="006D557A" w:rsidP="006D557A">
            <w:pPr>
              <w:pStyle w:val="TAC"/>
              <w:rPr>
                <w:rFonts w:eastAsiaTheme="minorEastAsia"/>
                <w:lang w:eastAsia="zh-CN"/>
              </w:rPr>
            </w:pPr>
            <w:r w:rsidRPr="00956E6E">
              <w:rPr>
                <w:rFonts w:eastAsiaTheme="minorEastAsia"/>
              </w:rPr>
              <w:t>≥-</w:t>
            </w:r>
            <w:r w:rsidRPr="00956E6E">
              <w:rPr>
                <w:rFonts w:eastAsiaTheme="minorEastAsia" w:hint="eastAsia"/>
                <w:lang w:eastAsia="zh-CN"/>
              </w:rPr>
              <w:t>13</w:t>
            </w:r>
          </w:p>
        </w:tc>
        <w:tc>
          <w:tcPr>
            <w:tcW w:w="1568" w:type="dxa"/>
            <w:tcBorders>
              <w:top w:val="single" w:sz="6" w:space="0" w:color="auto"/>
              <w:left w:val="single" w:sz="6" w:space="0" w:color="auto"/>
              <w:right w:val="single" w:sz="6" w:space="0" w:color="auto"/>
            </w:tcBorders>
            <w:shd w:val="clear" w:color="auto" w:fill="auto"/>
          </w:tcPr>
          <w:p w14:paraId="67AC7F0F" w14:textId="01788924" w:rsidR="006D557A" w:rsidRPr="00956E6E" w:rsidRDefault="006D557A" w:rsidP="006D557A">
            <w:pPr>
              <w:pStyle w:val="TAC"/>
              <w:rPr>
                <w:rFonts w:eastAsiaTheme="minorEastAsia"/>
                <w:lang w:eastAsia="zh-CN"/>
              </w:rPr>
            </w:pPr>
            <w:r w:rsidRPr="001C6009">
              <w:rPr>
                <w:lang w:eastAsia="zh-CN"/>
              </w:rPr>
              <w:t>24 ≤ BW ≤ 64</w:t>
            </w:r>
          </w:p>
        </w:tc>
        <w:tc>
          <w:tcPr>
            <w:tcW w:w="1487" w:type="dxa"/>
            <w:tcBorders>
              <w:top w:val="single" w:sz="6" w:space="0" w:color="auto"/>
              <w:left w:val="single" w:sz="6" w:space="0" w:color="auto"/>
              <w:right w:val="single" w:sz="6" w:space="0" w:color="auto"/>
            </w:tcBorders>
            <w:shd w:val="clear" w:color="auto" w:fill="auto"/>
          </w:tcPr>
          <w:p w14:paraId="5F934F05" w14:textId="77777777" w:rsidR="006D557A" w:rsidRPr="00956E6E" w:rsidRDefault="006D557A" w:rsidP="006D557A">
            <w:pPr>
              <w:pStyle w:val="TAC"/>
              <w:rPr>
                <w:rFonts w:eastAsiaTheme="minorEastAsia"/>
                <w:lang w:eastAsia="zh-CN"/>
              </w:rPr>
            </w:pPr>
            <w:r w:rsidRPr="00956E6E">
              <w:rPr>
                <w:rFonts w:eastAsiaTheme="minorEastAsia"/>
                <w:lang w:eastAsia="zh-CN"/>
              </w:rPr>
              <w:t>All</w:t>
            </w:r>
          </w:p>
        </w:tc>
        <w:tc>
          <w:tcPr>
            <w:tcW w:w="3798" w:type="dxa"/>
            <w:gridSpan w:val="3"/>
            <w:tcBorders>
              <w:top w:val="single" w:sz="6" w:space="0" w:color="auto"/>
              <w:left w:val="single" w:sz="6" w:space="0" w:color="auto"/>
              <w:right w:val="single" w:sz="4" w:space="0" w:color="auto"/>
            </w:tcBorders>
            <w:shd w:val="clear" w:color="auto" w:fill="auto"/>
            <w:vAlign w:val="center"/>
          </w:tcPr>
          <w:p w14:paraId="314B5439" w14:textId="77777777" w:rsidR="006D557A" w:rsidRPr="00956E6E" w:rsidRDefault="006D557A" w:rsidP="006D557A">
            <w:pPr>
              <w:pStyle w:val="TAC"/>
              <w:rPr>
                <w:rFonts w:eastAsiaTheme="minorEastAsia"/>
                <w:lang w:eastAsia="zh-CN"/>
              </w:rPr>
            </w:pPr>
            <w:r w:rsidRPr="00956E6E">
              <w:rPr>
                <w:rFonts w:eastAsiaTheme="minorEastAsia"/>
              </w:rPr>
              <w:t>Note 4</w:t>
            </w:r>
          </w:p>
        </w:tc>
      </w:tr>
      <w:tr w:rsidR="006D557A" w:rsidRPr="00956E6E" w14:paraId="0068CDB5" w14:textId="77777777" w:rsidTr="007A5129">
        <w:trPr>
          <w:jc w:val="center"/>
        </w:trPr>
        <w:tc>
          <w:tcPr>
            <w:tcW w:w="1046" w:type="dxa"/>
            <w:tcBorders>
              <w:top w:val="single" w:sz="6" w:space="0" w:color="auto"/>
              <w:left w:val="single" w:sz="6" w:space="0" w:color="auto"/>
              <w:bottom w:val="single" w:sz="6" w:space="0" w:color="auto"/>
              <w:right w:val="single" w:sz="6" w:space="0" w:color="auto"/>
            </w:tcBorders>
            <w:shd w:val="clear" w:color="auto" w:fill="auto"/>
            <w:vAlign w:val="center"/>
          </w:tcPr>
          <w:p w14:paraId="1CAB8BBD"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1049" w:type="dxa"/>
            <w:tcBorders>
              <w:top w:val="single" w:sz="4" w:space="0" w:color="auto"/>
              <w:left w:val="single" w:sz="4" w:space="0" w:color="auto"/>
              <w:bottom w:val="single" w:sz="4" w:space="0" w:color="auto"/>
              <w:right w:val="single" w:sz="4" w:space="0" w:color="auto"/>
            </w:tcBorders>
            <w:vAlign w:val="center"/>
          </w:tcPr>
          <w:p w14:paraId="7C1C9F5C"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07" w:type="dxa"/>
            <w:vMerge/>
            <w:tcBorders>
              <w:left w:val="single" w:sz="6" w:space="0" w:color="auto"/>
              <w:bottom w:val="single" w:sz="6" w:space="0" w:color="auto"/>
              <w:right w:val="single" w:sz="6" w:space="0" w:color="auto"/>
            </w:tcBorders>
            <w:shd w:val="clear" w:color="auto" w:fill="auto"/>
            <w:vAlign w:val="center"/>
          </w:tcPr>
          <w:p w14:paraId="711A741F" w14:textId="77777777" w:rsidR="006D557A" w:rsidRPr="00956E6E" w:rsidRDefault="006D557A" w:rsidP="006D557A">
            <w:pPr>
              <w:pStyle w:val="TAC"/>
              <w:rPr>
                <w:rFonts w:eastAsiaTheme="minorEastAsia"/>
              </w:rPr>
            </w:pPr>
          </w:p>
        </w:tc>
        <w:tc>
          <w:tcPr>
            <w:tcW w:w="1568" w:type="dxa"/>
            <w:tcBorders>
              <w:top w:val="single" w:sz="6" w:space="0" w:color="auto"/>
              <w:left w:val="single" w:sz="6" w:space="0" w:color="auto"/>
              <w:bottom w:val="single" w:sz="6" w:space="0" w:color="auto"/>
              <w:right w:val="single" w:sz="6" w:space="0" w:color="auto"/>
            </w:tcBorders>
            <w:shd w:val="clear" w:color="auto" w:fill="auto"/>
          </w:tcPr>
          <w:p w14:paraId="1EE5B217" w14:textId="0831C834" w:rsidR="006D557A" w:rsidRPr="00956E6E" w:rsidRDefault="006D557A" w:rsidP="006D557A">
            <w:pPr>
              <w:pStyle w:val="TAC"/>
              <w:rPr>
                <w:rFonts w:eastAsiaTheme="minorEastAsia"/>
              </w:rPr>
            </w:pPr>
            <w:r w:rsidRPr="001C6009">
              <w:rPr>
                <w:lang w:eastAsia="zh-CN"/>
              </w:rPr>
              <w:t>BW &gt;64</w:t>
            </w:r>
          </w:p>
        </w:tc>
        <w:tc>
          <w:tcPr>
            <w:tcW w:w="1487" w:type="dxa"/>
            <w:tcBorders>
              <w:top w:val="single" w:sz="6" w:space="0" w:color="auto"/>
              <w:left w:val="single" w:sz="6" w:space="0" w:color="auto"/>
              <w:bottom w:val="single" w:sz="6" w:space="0" w:color="auto"/>
              <w:right w:val="single" w:sz="6" w:space="0" w:color="auto"/>
            </w:tcBorders>
            <w:shd w:val="clear" w:color="auto" w:fill="auto"/>
          </w:tcPr>
          <w:p w14:paraId="6CEDD453" w14:textId="77777777" w:rsidR="006D557A" w:rsidRPr="00956E6E" w:rsidRDefault="006D557A" w:rsidP="006D557A">
            <w:pPr>
              <w:pStyle w:val="TAC"/>
              <w:rPr>
                <w:rFonts w:eastAsiaTheme="minorEastAsia"/>
                <w:lang w:eastAsia="zh-CN"/>
              </w:rPr>
            </w:pPr>
            <w:r w:rsidRPr="00956E6E">
              <w:rPr>
                <w:rFonts w:eastAsiaTheme="minorEastAsia"/>
                <w:lang w:eastAsia="zh-CN"/>
              </w:rPr>
              <w:t>All</w:t>
            </w: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7AF7684A" w14:textId="77777777" w:rsidR="006D557A" w:rsidRPr="00956E6E" w:rsidRDefault="006D557A" w:rsidP="006D557A">
            <w:pPr>
              <w:pStyle w:val="TAC"/>
              <w:rPr>
                <w:rFonts w:eastAsiaTheme="minorEastAsia"/>
              </w:rPr>
            </w:pPr>
            <w:r w:rsidRPr="00956E6E">
              <w:rPr>
                <w:rFonts w:eastAsiaTheme="minorEastAsia"/>
              </w:rPr>
              <w:t>Note 4</w:t>
            </w:r>
          </w:p>
        </w:tc>
      </w:tr>
      <w:tr w:rsidR="00BB469D" w:rsidRPr="00956E6E" w14:paraId="5AF60793" w14:textId="77777777" w:rsidTr="007A5129">
        <w:trPr>
          <w:jc w:val="center"/>
        </w:trPr>
        <w:tc>
          <w:tcPr>
            <w:tcW w:w="9855" w:type="dxa"/>
            <w:gridSpan w:val="8"/>
            <w:tcBorders>
              <w:top w:val="single" w:sz="6" w:space="0" w:color="auto"/>
              <w:left w:val="single" w:sz="4" w:space="0" w:color="auto"/>
              <w:bottom w:val="single" w:sz="4" w:space="0" w:color="auto"/>
              <w:right w:val="single" w:sz="4" w:space="0" w:color="auto"/>
            </w:tcBorders>
            <w:vAlign w:val="center"/>
          </w:tcPr>
          <w:p w14:paraId="4FA83EBE" w14:textId="77777777" w:rsidR="00BB469D" w:rsidRPr="00956E6E" w:rsidRDefault="00BB469D" w:rsidP="00F1512F">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1:</w:t>
            </w:r>
            <w:r w:rsidRPr="00956E6E">
              <w:rPr>
                <w:rFonts w:eastAsiaTheme="minorEastAsia"/>
              </w:rPr>
              <w:tab/>
              <w:t>This minimum Io condition is expressed as the average Io per RE over all REs in an OFDM symbol.</w:t>
            </w:r>
          </w:p>
          <w:p w14:paraId="047BDC64" w14:textId="77777777" w:rsidR="00BB469D" w:rsidRPr="00956E6E" w:rsidRDefault="00BB469D" w:rsidP="00F1512F">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2:</w:t>
            </w:r>
            <w:r w:rsidRPr="00956E6E">
              <w:rPr>
                <w:rFonts w:eastAsiaTheme="minorEastAsia"/>
              </w:rPr>
              <w:tab/>
            </w:r>
            <w:r w:rsidRPr="00956E6E">
              <w:rPr>
                <w:rFonts w:eastAsiaTheme="minorEastAsia" w:hint="eastAsia"/>
                <w:lang w:eastAsia="zh-CN"/>
              </w:rPr>
              <w:t>Void</w:t>
            </w:r>
            <w:r w:rsidRPr="00956E6E">
              <w:rPr>
                <w:rFonts w:eastAsiaTheme="minorEastAsia"/>
              </w:rPr>
              <w:t>.</w:t>
            </w:r>
          </w:p>
          <w:p w14:paraId="1EC29044" w14:textId="77777777" w:rsidR="00BB469D" w:rsidRPr="00956E6E" w:rsidRDefault="00BB469D" w:rsidP="00F1512F">
            <w:pPr>
              <w:pStyle w:val="TAN"/>
              <w:rPr>
                <w:rFonts w:eastAsiaTheme="minorEastAsia" w:cs="v4.2.0"/>
              </w:rPr>
            </w:pPr>
            <w:r w:rsidRPr="00956E6E">
              <w:rPr>
                <w:rFonts w:eastAsiaTheme="minorEastAsia" w:cs="v4.2.0"/>
              </w:rPr>
              <w:t>N</w:t>
            </w:r>
            <w:r w:rsidRPr="00956E6E">
              <w:rPr>
                <w:rFonts w:eastAsiaTheme="minorEastAsia"/>
                <w:lang w:eastAsia="zh-CN"/>
              </w:rPr>
              <w:t>OTE</w:t>
            </w:r>
            <w:r w:rsidRPr="00956E6E">
              <w:rPr>
                <w:rFonts w:eastAsiaTheme="minorEastAsia" w:cs="v4.2.0"/>
              </w:rPr>
              <w:t xml:space="preserve"> 3:</w:t>
            </w:r>
            <w:r w:rsidRPr="00956E6E">
              <w:rPr>
                <w:rFonts w:eastAsiaTheme="minorEastAsia" w:cs="v4.2.0"/>
              </w:rPr>
              <w:tab/>
              <w:t xml:space="preserve">PRS bandwidth is as indicated in </w:t>
            </w:r>
            <w:r w:rsidRPr="00956E6E">
              <w:rPr>
                <w:rFonts w:eastAsiaTheme="minorEastAsia"/>
                <w:i/>
              </w:rPr>
              <w:t>prs-Bandwidth</w:t>
            </w:r>
            <w:r w:rsidRPr="00956E6E">
              <w:rPr>
                <w:rFonts w:eastAsiaTheme="minorEastAsia"/>
              </w:rPr>
              <w:t xml:space="preserve"> </w:t>
            </w:r>
            <w:r w:rsidRPr="00956E6E">
              <w:rPr>
                <w:rFonts w:eastAsiaTheme="minorEastAsia" w:cs="v4.2.0"/>
              </w:rPr>
              <w:t xml:space="preserve">in the OTDOA </w:t>
            </w:r>
            <w:r w:rsidRPr="00956E6E">
              <w:rPr>
                <w:rFonts w:eastAsiaTheme="minorEastAsia" w:cs="v4.2.0" w:hint="eastAsia"/>
                <w:lang w:eastAsia="zh-CN"/>
              </w:rPr>
              <w:t xml:space="preserve">or DL-AoD </w:t>
            </w:r>
            <w:r w:rsidRPr="00956E6E">
              <w:rPr>
                <w:rFonts w:eastAsiaTheme="minorEastAsia" w:cs="v4.2.0"/>
              </w:rPr>
              <w:t>assistance data defined in [</w:t>
            </w:r>
            <w:r w:rsidRPr="00956E6E">
              <w:rPr>
                <w:rFonts w:eastAsiaTheme="minorEastAsia" w:cs="v4.2.0" w:hint="eastAsia"/>
                <w:lang w:eastAsia="zh-CN"/>
              </w:rPr>
              <w:t>3</w:t>
            </w:r>
            <w:r w:rsidRPr="00956E6E">
              <w:rPr>
                <w:rFonts w:eastAsiaTheme="minorEastAsia" w:cs="v4.2.0"/>
              </w:rPr>
              <w:t>4].</w:t>
            </w:r>
          </w:p>
          <w:p w14:paraId="2925536D" w14:textId="0E7E444B" w:rsidR="00BB469D" w:rsidRPr="00956E6E" w:rsidRDefault="00574F47" w:rsidP="00F1512F">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4:</w:t>
            </w:r>
            <w:r w:rsidRPr="00956E6E">
              <w:rPr>
                <w:rFonts w:eastAsiaTheme="minorEastAsia"/>
              </w:rPr>
              <w:tab/>
              <w:t xml:space="preserve">The same bands and the same Io conditions for each band apply for this requirement as for the corresponding requirement with the PRS bandwidth ≥ </w:t>
            </w:r>
            <w:r>
              <w:rPr>
                <w:rFonts w:eastAsiaTheme="minorEastAsia"/>
                <w:lang w:eastAsia="zh-CN"/>
              </w:rPr>
              <w:t>24</w:t>
            </w:r>
            <w:r w:rsidRPr="00956E6E">
              <w:rPr>
                <w:rFonts w:eastAsiaTheme="minorEastAsia"/>
              </w:rPr>
              <w:t xml:space="preserve"> RB.</w:t>
            </w:r>
          </w:p>
          <w:p w14:paraId="17FE4475" w14:textId="77777777" w:rsidR="00BB469D" w:rsidRPr="00956E6E" w:rsidRDefault="00BB469D" w:rsidP="00F1512F">
            <w:pPr>
              <w:pStyle w:val="TAN"/>
              <w:rPr>
                <w:rFonts w:eastAsiaTheme="minorEastAsia"/>
              </w:rPr>
            </w:pPr>
            <w:r w:rsidRPr="00956E6E">
              <w:rPr>
                <w:rFonts w:eastAsiaTheme="minorEastAsia"/>
              </w:rPr>
              <w:t>NOTE 5:</w:t>
            </w:r>
            <w:r w:rsidRPr="00956E6E">
              <w:rPr>
                <w:rFonts w:eastAsiaTheme="minorEastAsia"/>
              </w:rPr>
              <w:tab/>
              <w:t>The serving cell, the reference cell, and the measured neighbour cell i are on the same carrier frequency.</w:t>
            </w:r>
          </w:p>
          <w:p w14:paraId="1094F767" w14:textId="77777777" w:rsidR="00BB469D" w:rsidRPr="00956E6E" w:rsidRDefault="00BB469D" w:rsidP="00F1512F">
            <w:pPr>
              <w:pStyle w:val="TAN"/>
              <w:rPr>
                <w:rFonts w:eastAsiaTheme="minorEastAsia"/>
              </w:rPr>
            </w:pPr>
            <w:r w:rsidRPr="00956E6E">
              <w:rPr>
                <w:rFonts w:eastAsiaTheme="minorEastAsia"/>
              </w:rPr>
              <w:t>NOTE 6:</w:t>
            </w:r>
            <w:r w:rsidRPr="00956E6E">
              <w:rPr>
                <w:rFonts w:eastAsiaTheme="minorEastAsia"/>
              </w:rPr>
              <w:tab/>
              <w:t>The condition level is increased by ∆&gt;0, when applicable, as described in Sections B.</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2</w:t>
            </w:r>
            <w:r w:rsidRPr="00956E6E">
              <w:rPr>
                <w:rFonts w:eastAsiaTheme="minorEastAsia"/>
              </w:rPr>
              <w:t xml:space="preserve"> and B.</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3</w:t>
            </w:r>
            <w:r w:rsidRPr="00956E6E">
              <w:rPr>
                <w:rFonts w:eastAsiaTheme="minorEastAsia"/>
              </w:rPr>
              <w:t>.</w:t>
            </w:r>
          </w:p>
          <w:p w14:paraId="3DE3D50D" w14:textId="77777777" w:rsidR="00BB469D" w:rsidRPr="00956E6E" w:rsidRDefault="00BB469D" w:rsidP="00F1512F">
            <w:pPr>
              <w:pStyle w:val="TAN"/>
              <w:rPr>
                <w:rFonts w:eastAsiaTheme="minorEastAsia"/>
              </w:rPr>
            </w:pPr>
            <w:r w:rsidRPr="00956E6E">
              <w:rPr>
                <w:rFonts w:eastAsiaTheme="minorEastAsia"/>
              </w:rPr>
              <w:t>NOTE 7:</w:t>
            </w:r>
            <w:r w:rsidRPr="00956E6E">
              <w:rPr>
                <w:rFonts w:eastAsiaTheme="minorEastAsia"/>
              </w:rPr>
              <w:tab/>
              <w:t>The Io is defined in PRS positioning subframes. The same Io range applies to PRS and non-PRS symbols. Io levels are different in PRS and non-PRS symbols within the same subframe.</w:t>
            </w:r>
          </w:p>
          <w:p w14:paraId="68713B1F" w14:textId="77777777" w:rsidR="00BB469D" w:rsidRPr="00956E6E" w:rsidRDefault="00BB469D" w:rsidP="00F1512F">
            <w:pPr>
              <w:pStyle w:val="TAN"/>
              <w:rPr>
                <w:rFonts w:eastAsiaTheme="minorEastAsia"/>
              </w:rPr>
            </w:pPr>
            <w:r w:rsidRPr="00956E6E">
              <w:rPr>
                <w:rFonts w:eastAsiaTheme="minorEastAsia"/>
              </w:rPr>
              <w:t>NOTE 8:</w:t>
            </w:r>
            <w:r w:rsidRPr="00956E6E">
              <w:rPr>
                <w:rFonts w:eastAsiaTheme="minorEastAsia"/>
              </w:rPr>
              <w:tab/>
            </w:r>
            <w:r w:rsidRPr="00956E6E">
              <w:rPr>
                <w:rFonts w:eastAsiaTheme="minorEastAsia" w:hint="eastAsia"/>
                <w:lang w:eastAsia="zh-CN"/>
              </w:rPr>
              <w:t>NR</w:t>
            </w:r>
            <w:r w:rsidRPr="00956E6E">
              <w:rPr>
                <w:rFonts w:eastAsiaTheme="minorEastAsia"/>
              </w:rPr>
              <w:t xml:space="preserve"> operating band groups are as defined in Section 3.5</w:t>
            </w:r>
            <w:r w:rsidRPr="00956E6E">
              <w:rPr>
                <w:rFonts w:eastAsiaTheme="minorEastAsia" w:hint="eastAsia"/>
                <w:lang w:eastAsia="zh-CN"/>
              </w:rPr>
              <w:t>.2</w:t>
            </w:r>
            <w:r w:rsidRPr="00956E6E">
              <w:rPr>
                <w:rFonts w:eastAsiaTheme="minorEastAsia"/>
              </w:rPr>
              <w:t>.</w:t>
            </w:r>
          </w:p>
        </w:tc>
      </w:tr>
    </w:tbl>
    <w:p w14:paraId="2B8D8126" w14:textId="77777777" w:rsidR="00BB469D" w:rsidRPr="00956E6E" w:rsidRDefault="00BB469D" w:rsidP="00BB469D">
      <w:pPr>
        <w:rPr>
          <w:rFonts w:eastAsiaTheme="minorEastAsia"/>
          <w:lang w:eastAsia="zh-CN"/>
        </w:rPr>
      </w:pPr>
    </w:p>
    <w:p w14:paraId="6EA0541C" w14:textId="0E6B3AF7" w:rsidR="00BB469D" w:rsidRPr="00956E6E" w:rsidRDefault="00BB469D" w:rsidP="00F1512F">
      <w:pPr>
        <w:pStyle w:val="TH"/>
        <w:rPr>
          <w:rFonts w:eastAsiaTheme="minorEastAsia"/>
          <w:lang w:eastAsia="zh-CN"/>
        </w:rPr>
      </w:pPr>
      <w:r w:rsidRPr="00956E6E">
        <w:rPr>
          <w:rFonts w:eastAsiaTheme="minorEastAsia"/>
        </w:rPr>
        <w:t xml:space="preserve">Table </w:t>
      </w:r>
      <w:r w:rsidRPr="00956E6E">
        <w:rPr>
          <w:rFonts w:eastAsiaTheme="minorEastAsia" w:cs="v4.2.0"/>
        </w:rPr>
        <w:t>10.1.</w:t>
      </w:r>
      <w:r w:rsidR="00F1512F">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3</w:t>
      </w:r>
      <w:r w:rsidRPr="00956E6E">
        <w:rPr>
          <w:rFonts w:eastAsiaTheme="minorEastAsia"/>
        </w:rPr>
        <w:t xml:space="preserve">: PRS-RSRPP </w:t>
      </w:r>
      <w:r w:rsidRPr="00956E6E">
        <w:rPr>
          <w:rFonts w:eastAsiaTheme="minorEastAsia" w:hint="eastAsia"/>
          <w:lang w:eastAsia="zh-CN"/>
        </w:rPr>
        <w:t xml:space="preserve">absolute </w:t>
      </w:r>
      <w:r w:rsidRPr="00956E6E">
        <w:rPr>
          <w:rFonts w:eastAsiaTheme="minorEastAsia"/>
        </w:rPr>
        <w:t>accuracy</w:t>
      </w:r>
      <w:r w:rsidRPr="00956E6E">
        <w:rPr>
          <w:rFonts w:eastAsiaTheme="minorEastAsia" w:hint="eastAsia"/>
          <w:lang w:eastAsia="zh-CN"/>
        </w:rPr>
        <w:t xml:space="preserve"> for FR1 for reduced number of samples</w:t>
      </w:r>
    </w:p>
    <w:tbl>
      <w:tblPr>
        <w:tblW w:w="11052" w:type="dxa"/>
        <w:jc w:val="center"/>
        <w:tblLayout w:type="fixed"/>
        <w:tblLook w:val="01E0" w:firstRow="1" w:lastRow="1" w:firstColumn="1" w:lastColumn="1" w:noHBand="0" w:noVBand="0"/>
      </w:tblPr>
      <w:tblGrid>
        <w:gridCol w:w="965"/>
        <w:gridCol w:w="965"/>
        <w:gridCol w:w="827"/>
        <w:gridCol w:w="1140"/>
        <w:gridCol w:w="1178"/>
        <w:gridCol w:w="1586"/>
        <w:gridCol w:w="984"/>
        <w:gridCol w:w="1013"/>
        <w:gridCol w:w="1197"/>
        <w:gridCol w:w="1197"/>
      </w:tblGrid>
      <w:tr w:rsidR="00BB469D" w:rsidRPr="00956E6E" w14:paraId="45615744" w14:textId="77777777" w:rsidTr="007A5129">
        <w:trPr>
          <w:trHeight w:val="430"/>
          <w:jc w:val="center"/>
        </w:trPr>
        <w:tc>
          <w:tcPr>
            <w:tcW w:w="1930" w:type="dxa"/>
            <w:gridSpan w:val="2"/>
            <w:tcBorders>
              <w:top w:val="single" w:sz="4" w:space="0" w:color="auto"/>
              <w:left w:val="single" w:sz="4" w:space="0" w:color="auto"/>
              <w:right w:val="single" w:sz="6" w:space="0" w:color="auto"/>
            </w:tcBorders>
            <w:shd w:val="clear" w:color="auto" w:fill="auto"/>
            <w:vAlign w:val="center"/>
          </w:tcPr>
          <w:p w14:paraId="17C7B70D" w14:textId="77777777" w:rsidR="00BB469D" w:rsidRPr="00956E6E" w:rsidRDefault="00BB469D" w:rsidP="00F1512F">
            <w:pPr>
              <w:pStyle w:val="TAH"/>
              <w:rPr>
                <w:rFonts w:eastAsiaTheme="minorEastAsia"/>
              </w:rPr>
            </w:pPr>
            <w:r w:rsidRPr="00956E6E">
              <w:rPr>
                <w:rFonts w:eastAsiaTheme="minorEastAsia"/>
              </w:rPr>
              <w:t>Accuracy</w:t>
            </w:r>
          </w:p>
        </w:tc>
        <w:tc>
          <w:tcPr>
            <w:tcW w:w="9122" w:type="dxa"/>
            <w:gridSpan w:val="8"/>
            <w:tcBorders>
              <w:top w:val="single" w:sz="4" w:space="0" w:color="auto"/>
              <w:left w:val="single" w:sz="6" w:space="0" w:color="auto"/>
              <w:bottom w:val="single" w:sz="6" w:space="0" w:color="auto"/>
              <w:right w:val="single" w:sz="4" w:space="0" w:color="auto"/>
            </w:tcBorders>
            <w:vAlign w:val="center"/>
          </w:tcPr>
          <w:p w14:paraId="63C63162" w14:textId="77777777" w:rsidR="00BB469D" w:rsidRPr="00956E6E" w:rsidRDefault="00BB469D" w:rsidP="00F1512F">
            <w:pPr>
              <w:pStyle w:val="TAH"/>
              <w:rPr>
                <w:rFonts w:eastAsiaTheme="minorEastAsia"/>
              </w:rPr>
            </w:pPr>
            <w:r w:rsidRPr="00956E6E">
              <w:rPr>
                <w:rFonts w:eastAsiaTheme="minorEastAsia"/>
              </w:rPr>
              <w:t>Conditions</w:t>
            </w:r>
          </w:p>
        </w:tc>
      </w:tr>
      <w:tr w:rsidR="00BB469D" w:rsidRPr="00956E6E" w14:paraId="0010F9AD" w14:textId="77777777" w:rsidTr="007A5129">
        <w:trPr>
          <w:trHeight w:val="59"/>
          <w:jc w:val="center"/>
        </w:trPr>
        <w:tc>
          <w:tcPr>
            <w:tcW w:w="965" w:type="dxa"/>
            <w:vMerge w:val="restart"/>
            <w:tcBorders>
              <w:left w:val="single" w:sz="4" w:space="0" w:color="auto"/>
              <w:right w:val="single" w:sz="6" w:space="0" w:color="auto"/>
            </w:tcBorders>
            <w:shd w:val="clear" w:color="auto" w:fill="auto"/>
            <w:vAlign w:val="center"/>
          </w:tcPr>
          <w:p w14:paraId="425D9D4D" w14:textId="77777777" w:rsidR="00BB469D" w:rsidRPr="00956E6E" w:rsidRDefault="00BB469D" w:rsidP="00F1512F">
            <w:pPr>
              <w:pStyle w:val="TAH"/>
              <w:rPr>
                <w:rFonts w:eastAsiaTheme="minorEastAsia"/>
                <w:lang w:eastAsia="zh-CN"/>
              </w:rPr>
            </w:pPr>
            <w:r w:rsidRPr="00956E6E">
              <w:rPr>
                <w:rFonts w:eastAsiaTheme="minorEastAsia"/>
                <w:lang w:eastAsia="zh-CN"/>
              </w:rPr>
              <w:t>N</w:t>
            </w:r>
            <w:r w:rsidRPr="00956E6E">
              <w:rPr>
                <w:rFonts w:eastAsiaTheme="minorEastAsia" w:hint="eastAsia"/>
                <w:lang w:eastAsia="zh-CN"/>
              </w:rPr>
              <w:t>ormal condition</w:t>
            </w:r>
          </w:p>
        </w:tc>
        <w:tc>
          <w:tcPr>
            <w:tcW w:w="965" w:type="dxa"/>
            <w:vMerge w:val="restart"/>
            <w:tcBorders>
              <w:left w:val="single" w:sz="4" w:space="0" w:color="auto"/>
              <w:right w:val="single" w:sz="6" w:space="0" w:color="auto"/>
            </w:tcBorders>
            <w:shd w:val="clear" w:color="auto" w:fill="auto"/>
            <w:vAlign w:val="center"/>
          </w:tcPr>
          <w:p w14:paraId="1C686565" w14:textId="77777777" w:rsidR="00BB469D" w:rsidRPr="00956E6E" w:rsidRDefault="00BB469D" w:rsidP="00F1512F">
            <w:pPr>
              <w:pStyle w:val="TAH"/>
              <w:rPr>
                <w:rFonts w:eastAsiaTheme="minorEastAsia"/>
                <w:lang w:eastAsia="zh-CN"/>
              </w:rPr>
            </w:pPr>
            <w:r w:rsidRPr="00956E6E">
              <w:rPr>
                <w:rFonts w:eastAsiaTheme="minorEastAsia"/>
                <w:lang w:eastAsia="zh-CN"/>
              </w:rPr>
              <w:t>E</w:t>
            </w:r>
            <w:r w:rsidRPr="00956E6E">
              <w:rPr>
                <w:rFonts w:eastAsiaTheme="minorEastAsia" w:hint="eastAsia"/>
                <w:lang w:eastAsia="zh-CN"/>
              </w:rPr>
              <w:t>xtreme condition</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6C06A609" w14:textId="77777777" w:rsidR="00BB469D" w:rsidRPr="00956E6E" w:rsidRDefault="00BB469D" w:rsidP="00F1512F">
            <w:pPr>
              <w:pStyle w:val="TAH"/>
              <w:rPr>
                <w:rFonts w:eastAsiaTheme="minorEastAsia"/>
              </w:rPr>
            </w:pPr>
            <w:r w:rsidRPr="00956E6E">
              <w:rPr>
                <w:rFonts w:eastAsiaTheme="minorEastAsia"/>
              </w:rPr>
              <w:t>PRS Ês/Iot</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561C9902" w14:textId="77777777" w:rsidR="00BB469D" w:rsidRPr="00956E6E" w:rsidRDefault="00BB469D" w:rsidP="00F1512F">
            <w:pPr>
              <w:pStyle w:val="TAH"/>
              <w:rPr>
                <w:rFonts w:eastAsiaTheme="minorEastAsia"/>
                <w:lang w:eastAsia="zh-CN"/>
              </w:rPr>
            </w:pPr>
            <w:r w:rsidRPr="00956E6E">
              <w:rPr>
                <w:rFonts w:eastAsiaTheme="minorEastAsia" w:hint="eastAsia"/>
                <w:lang w:eastAsia="zh-CN"/>
              </w:rPr>
              <w:t>PRS BW</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2226D7BE" w14:textId="77777777" w:rsidR="00BB469D" w:rsidRPr="00956E6E" w:rsidRDefault="00BB469D" w:rsidP="00F1512F">
            <w:pPr>
              <w:pStyle w:val="TAH"/>
              <w:rPr>
                <w:rFonts w:eastAsiaTheme="minorEastAsia"/>
                <w:lang w:val="en-US" w:eastAsia="zh-CN"/>
              </w:rPr>
            </w:pPr>
            <w:r w:rsidRPr="00956E6E">
              <w:rPr>
                <w:rFonts w:eastAsiaTheme="minorEastAsia"/>
                <w:bCs/>
                <w:lang w:eastAsia="zh-CN"/>
              </w:rPr>
              <w:t xml:space="preserve">Repetition </w:t>
            </w:r>
            <w:r w:rsidRPr="00956E6E">
              <w:rPr>
                <w:rFonts w:eastAsiaTheme="minorEastAsia" w:hint="eastAsia"/>
                <w:bCs/>
                <w:lang w:eastAsia="zh-CN"/>
              </w:rPr>
              <w:t>factor</w:t>
            </w:r>
            <w:r w:rsidRPr="00956E6E">
              <w:rPr>
                <w:rFonts w:eastAsiaTheme="minorEastAsia"/>
                <w:bCs/>
                <w:lang w:eastAsia="zh-CN"/>
              </w:rPr>
              <w:t xml:space="preserve"> </w:t>
            </w:r>
          </w:p>
          <w:p w14:paraId="472F4AB9" w14:textId="77777777" w:rsidR="00BB469D" w:rsidRPr="00956E6E" w:rsidRDefault="00BB469D" w:rsidP="00F1512F">
            <w:pPr>
              <w:pStyle w:val="TAH"/>
              <w:rPr>
                <w:rFonts w:eastAsiaTheme="minorEastAsia"/>
                <w:lang w:eastAsia="zh-CN"/>
              </w:rPr>
            </w:pPr>
            <w:r w:rsidRPr="00956E6E">
              <w:rPr>
                <w:rFonts w:eastAsiaTheme="minorEastAsia"/>
                <w:bCs/>
                <w:lang w:eastAsia="zh-CN"/>
              </w:rPr>
              <w:t>(</w:t>
            </w:r>
            <m:oMath>
              <m:sSubSup>
                <m:sSubSupPr>
                  <m:ctrlPr>
                    <w:rPr>
                      <w:rFonts w:ascii="Cambria Math" w:eastAsiaTheme="minorEastAsia" w:hAnsi="Cambria Math"/>
                      <w:bCs/>
                      <w:i/>
                      <w:iCs/>
                      <w:lang w:val="en-US" w:eastAsia="zh-CN"/>
                    </w:rPr>
                  </m:ctrlPr>
                </m:sSubSupPr>
                <m:e>
                  <m:r>
                    <m:rPr>
                      <m:sty m:val="b"/>
                    </m:rPr>
                    <w:rPr>
                      <w:rFonts w:ascii="Cambria Math" w:eastAsiaTheme="minorEastAsia" w:hAnsi="Cambria Math"/>
                      <w:lang w:eastAsia="zh-CN"/>
                    </w:rPr>
                    <m:t>T</m:t>
                  </m:r>
                </m:e>
                <m:sub>
                  <m:r>
                    <m:rPr>
                      <m:nor/>
                    </m:rPr>
                    <w:rPr>
                      <w:rFonts w:eastAsiaTheme="minorEastAsia"/>
                      <w:bCs/>
                      <w:lang w:eastAsia="zh-CN"/>
                    </w:rPr>
                    <m:t>rep</m:t>
                  </m:r>
                </m:sub>
                <m:sup>
                  <m:r>
                    <m:rPr>
                      <m:nor/>
                    </m:rPr>
                    <w:rPr>
                      <w:rFonts w:eastAsiaTheme="minorEastAsia"/>
                      <w:bCs/>
                      <w:lang w:eastAsia="zh-CN"/>
                    </w:rPr>
                    <m:t>PRS</m:t>
                  </m:r>
                </m:sup>
              </m:sSubSup>
              <m:r>
                <m:rPr>
                  <m:sty m:val="b"/>
                </m:rPr>
                <w:rPr>
                  <w:rFonts w:ascii="Cambria Math" w:eastAsiaTheme="minorEastAsia" w:hAnsi="Cambria Math"/>
                  <w:lang w:eastAsia="zh-CN"/>
                </w:rPr>
                <m:t>*</m:t>
              </m:r>
              <m:sSub>
                <m:sSubPr>
                  <m:ctrlPr>
                    <w:rPr>
                      <w:rFonts w:ascii="Cambria Math" w:eastAsiaTheme="minorEastAsia" w:hAnsi="Cambria Math"/>
                      <w:bCs/>
                      <w:i/>
                      <w:iCs/>
                      <w:lang w:val="en-US" w:eastAsia="zh-CN"/>
                    </w:rPr>
                  </m:ctrlPr>
                </m:sSubPr>
                <m:e>
                  <m:r>
                    <m:rPr>
                      <m:sty m:val="b"/>
                    </m:rPr>
                    <w:rPr>
                      <w:rFonts w:ascii="Cambria Math" w:eastAsiaTheme="minorEastAsia" w:hAnsi="Cambria Math"/>
                      <w:lang w:eastAsia="zh-CN"/>
                    </w:rPr>
                    <m:t>L</m:t>
                  </m:r>
                </m:e>
                <m:sub>
                  <m:r>
                    <m:rPr>
                      <m:nor/>
                    </m:rPr>
                    <w:rPr>
                      <w:rFonts w:eastAsiaTheme="minorEastAsia"/>
                      <w:bCs/>
                      <w:lang w:eastAsia="zh-CN"/>
                    </w:rPr>
                    <m:t>PRS</m:t>
                  </m:r>
                </m:sub>
              </m:sSub>
              <m:r>
                <m:rPr>
                  <m:sty m:val="b"/>
                </m:rPr>
                <w:rPr>
                  <w:rFonts w:ascii="Cambria Math" w:eastAsiaTheme="minorEastAsia" w:hAnsi="Cambria Math"/>
                  <w:lang w:eastAsia="zh-CN"/>
                </w:rPr>
                <m:t>/</m:t>
              </m:r>
              <m:sSubSup>
                <m:sSubSupPr>
                  <m:ctrlPr>
                    <w:rPr>
                      <w:rFonts w:ascii="Cambria Math" w:eastAsiaTheme="minorEastAsia" w:hAnsi="Cambria Math"/>
                      <w:bCs/>
                      <w:i/>
                      <w:iCs/>
                      <w:lang w:val="en-US" w:eastAsia="zh-CN"/>
                    </w:rPr>
                  </m:ctrlPr>
                </m:sSubSupPr>
                <m:e>
                  <m:r>
                    <m:rPr>
                      <m:sty m:val="b"/>
                    </m:rPr>
                    <w:rPr>
                      <w:rFonts w:ascii="Cambria Math" w:eastAsiaTheme="minorEastAsia" w:hAnsi="Cambria Math"/>
                      <w:lang w:eastAsia="zh-CN"/>
                    </w:rPr>
                    <m:t>K</m:t>
                  </m:r>
                </m:e>
                <m:sub>
                  <m:r>
                    <m:rPr>
                      <m:nor/>
                    </m:rPr>
                    <w:rPr>
                      <w:rFonts w:eastAsiaTheme="minorEastAsia"/>
                      <w:bCs/>
                      <w:lang w:eastAsia="zh-CN"/>
                    </w:rPr>
                    <m:t>comb</m:t>
                  </m:r>
                </m:sub>
                <m:sup>
                  <m:r>
                    <m:rPr>
                      <m:nor/>
                    </m:rPr>
                    <w:rPr>
                      <w:rFonts w:eastAsiaTheme="minorEastAsia"/>
                      <w:bCs/>
                      <w:lang w:eastAsia="zh-CN"/>
                    </w:rPr>
                    <m:t>PRS</m:t>
                  </m:r>
                </m:sup>
              </m:sSubSup>
              <m:r>
                <m:rPr>
                  <m:sty m:val="b"/>
                </m:rPr>
                <w:rPr>
                  <w:rFonts w:ascii="Cambria Math" w:eastAsiaTheme="minorEastAsia" w:hAnsi="Cambria Math"/>
                  <w:lang w:eastAsia="zh-CN"/>
                </w:rPr>
                <m:t>)</m:t>
              </m:r>
            </m:oMath>
          </w:p>
        </w:tc>
        <w:tc>
          <w:tcPr>
            <w:tcW w:w="5977" w:type="dxa"/>
            <w:gridSpan w:val="5"/>
            <w:tcBorders>
              <w:top w:val="single" w:sz="6" w:space="0" w:color="auto"/>
              <w:left w:val="single" w:sz="6" w:space="0" w:color="auto"/>
              <w:bottom w:val="single" w:sz="6" w:space="0" w:color="auto"/>
              <w:right w:val="single" w:sz="4" w:space="0" w:color="auto"/>
            </w:tcBorders>
            <w:vAlign w:val="center"/>
          </w:tcPr>
          <w:p w14:paraId="7C52659C" w14:textId="77777777" w:rsidR="00BB469D" w:rsidRPr="00956E6E" w:rsidRDefault="00BB469D" w:rsidP="00F1512F">
            <w:pPr>
              <w:pStyle w:val="TAH"/>
              <w:rPr>
                <w:rFonts w:eastAsiaTheme="minorEastAsia"/>
              </w:rPr>
            </w:pPr>
            <w:r w:rsidRPr="00956E6E">
              <w:rPr>
                <w:rFonts w:eastAsiaTheme="minorEastAsia"/>
              </w:rPr>
              <w:t>Io</w:t>
            </w:r>
            <w:r w:rsidRPr="00956E6E">
              <w:rPr>
                <w:rFonts w:eastAsiaTheme="minorEastAsia"/>
                <w:vertAlign w:val="superscript"/>
                <w:lang w:eastAsia="zh-CN"/>
              </w:rPr>
              <w:t xml:space="preserve"> Note 7</w:t>
            </w:r>
            <w:r w:rsidRPr="00956E6E">
              <w:rPr>
                <w:rFonts w:eastAsiaTheme="minorEastAsia"/>
              </w:rPr>
              <w:t xml:space="preserve"> range</w:t>
            </w:r>
          </w:p>
        </w:tc>
      </w:tr>
      <w:tr w:rsidR="00BB469D" w:rsidRPr="00956E6E" w14:paraId="3BFCA28D" w14:textId="77777777" w:rsidTr="007A5129">
        <w:trPr>
          <w:trHeight w:val="916"/>
          <w:jc w:val="center"/>
        </w:trPr>
        <w:tc>
          <w:tcPr>
            <w:tcW w:w="965" w:type="dxa"/>
            <w:vMerge/>
            <w:tcBorders>
              <w:left w:val="single" w:sz="4" w:space="0" w:color="auto"/>
              <w:right w:val="single" w:sz="6" w:space="0" w:color="auto"/>
            </w:tcBorders>
            <w:shd w:val="clear" w:color="auto" w:fill="auto"/>
            <w:vAlign w:val="center"/>
          </w:tcPr>
          <w:p w14:paraId="264719D2" w14:textId="77777777" w:rsidR="00BB469D" w:rsidRPr="00956E6E" w:rsidRDefault="00BB469D" w:rsidP="007A5129">
            <w:pPr>
              <w:keepNext/>
              <w:keepLines/>
              <w:spacing w:after="0"/>
              <w:jc w:val="center"/>
              <w:rPr>
                <w:rFonts w:ascii="Arial" w:eastAsiaTheme="minorEastAsia" w:hAnsi="Arial"/>
                <w:b/>
                <w:sz w:val="18"/>
              </w:rPr>
            </w:pPr>
          </w:p>
        </w:tc>
        <w:tc>
          <w:tcPr>
            <w:tcW w:w="965" w:type="dxa"/>
            <w:vMerge/>
            <w:tcBorders>
              <w:left w:val="single" w:sz="4" w:space="0" w:color="auto"/>
              <w:right w:val="single" w:sz="6" w:space="0" w:color="auto"/>
            </w:tcBorders>
            <w:shd w:val="clear" w:color="auto" w:fill="auto"/>
            <w:vAlign w:val="center"/>
          </w:tcPr>
          <w:p w14:paraId="10B65B12" w14:textId="77777777" w:rsidR="00BB469D" w:rsidRPr="00956E6E" w:rsidRDefault="00BB469D" w:rsidP="007A5129">
            <w:pPr>
              <w:keepNext/>
              <w:keepLines/>
              <w:spacing w:after="0"/>
              <w:jc w:val="center"/>
              <w:rPr>
                <w:rFonts w:ascii="Arial" w:eastAsiaTheme="minorEastAsia" w:hAnsi="Arial"/>
                <w:b/>
                <w:sz w:val="18"/>
              </w:rPr>
            </w:pPr>
          </w:p>
        </w:tc>
        <w:tc>
          <w:tcPr>
            <w:tcW w:w="827" w:type="dxa"/>
            <w:vMerge/>
            <w:tcBorders>
              <w:left w:val="single" w:sz="6" w:space="0" w:color="auto"/>
              <w:right w:val="single" w:sz="6" w:space="0" w:color="auto"/>
            </w:tcBorders>
            <w:shd w:val="clear" w:color="auto" w:fill="auto"/>
            <w:vAlign w:val="center"/>
          </w:tcPr>
          <w:p w14:paraId="3ED0711E" w14:textId="77777777" w:rsidR="00BB469D" w:rsidRPr="00956E6E" w:rsidRDefault="00BB469D" w:rsidP="00F1512F">
            <w:pPr>
              <w:pStyle w:val="TAH"/>
              <w:rPr>
                <w:rFonts w:eastAsiaTheme="minorEastAsia"/>
              </w:rPr>
            </w:pPr>
          </w:p>
        </w:tc>
        <w:tc>
          <w:tcPr>
            <w:tcW w:w="1140" w:type="dxa"/>
            <w:vMerge/>
            <w:tcBorders>
              <w:left w:val="single" w:sz="6" w:space="0" w:color="auto"/>
              <w:right w:val="single" w:sz="6" w:space="0" w:color="auto"/>
            </w:tcBorders>
            <w:shd w:val="clear" w:color="auto" w:fill="auto"/>
            <w:vAlign w:val="center"/>
          </w:tcPr>
          <w:p w14:paraId="5D9072D9" w14:textId="77777777" w:rsidR="00BB469D" w:rsidRPr="00956E6E" w:rsidRDefault="00BB469D" w:rsidP="00F1512F">
            <w:pPr>
              <w:pStyle w:val="TAH"/>
              <w:rPr>
                <w:rFonts w:eastAsiaTheme="minorEastAsia"/>
              </w:rPr>
            </w:pPr>
          </w:p>
        </w:tc>
        <w:tc>
          <w:tcPr>
            <w:tcW w:w="1178" w:type="dxa"/>
            <w:vMerge/>
            <w:tcBorders>
              <w:left w:val="single" w:sz="6" w:space="0" w:color="auto"/>
              <w:right w:val="single" w:sz="6" w:space="0" w:color="auto"/>
            </w:tcBorders>
            <w:shd w:val="clear" w:color="auto" w:fill="auto"/>
            <w:vAlign w:val="center"/>
          </w:tcPr>
          <w:p w14:paraId="0992DEB4" w14:textId="77777777" w:rsidR="00BB469D" w:rsidRPr="00956E6E" w:rsidRDefault="00BB469D" w:rsidP="00F1512F">
            <w:pPr>
              <w:pStyle w:val="TAH"/>
              <w:rPr>
                <w:rFonts w:eastAsiaTheme="minorEastAsia"/>
              </w:rPr>
            </w:pPr>
          </w:p>
        </w:tc>
        <w:tc>
          <w:tcPr>
            <w:tcW w:w="1586" w:type="dxa"/>
            <w:tcBorders>
              <w:top w:val="single" w:sz="6" w:space="0" w:color="auto"/>
              <w:left w:val="single" w:sz="6" w:space="0" w:color="auto"/>
              <w:right w:val="single" w:sz="6" w:space="0" w:color="auto"/>
            </w:tcBorders>
            <w:shd w:val="clear" w:color="auto" w:fill="auto"/>
            <w:vAlign w:val="center"/>
          </w:tcPr>
          <w:p w14:paraId="62765A22" w14:textId="77777777" w:rsidR="00BB469D" w:rsidRPr="00956E6E" w:rsidRDefault="00BB469D" w:rsidP="00F1512F">
            <w:pPr>
              <w:pStyle w:val="TAH"/>
              <w:rPr>
                <w:rFonts w:eastAsiaTheme="minorEastAsia"/>
              </w:rPr>
            </w:pPr>
            <w:r w:rsidRPr="00956E6E">
              <w:rPr>
                <w:rFonts w:eastAsiaTheme="minorEastAsia"/>
              </w:rPr>
              <w:t>NR operating band groups</w:t>
            </w:r>
            <w:r w:rsidRPr="00956E6E">
              <w:rPr>
                <w:rFonts w:eastAsiaTheme="minorEastAsia"/>
                <w:vertAlign w:val="superscript"/>
              </w:rPr>
              <w:t xml:space="preserve"> Note 8</w:t>
            </w:r>
          </w:p>
        </w:tc>
        <w:tc>
          <w:tcPr>
            <w:tcW w:w="3194" w:type="dxa"/>
            <w:gridSpan w:val="3"/>
            <w:tcBorders>
              <w:top w:val="single" w:sz="6" w:space="0" w:color="auto"/>
              <w:left w:val="single" w:sz="6" w:space="0" w:color="auto"/>
              <w:right w:val="single" w:sz="6" w:space="0" w:color="auto"/>
            </w:tcBorders>
            <w:vAlign w:val="center"/>
          </w:tcPr>
          <w:p w14:paraId="716CB3C6" w14:textId="77777777" w:rsidR="00BB469D" w:rsidRPr="00956E6E" w:rsidRDefault="00BB469D" w:rsidP="00F1512F">
            <w:pPr>
              <w:pStyle w:val="TAH"/>
              <w:rPr>
                <w:rFonts w:eastAsiaTheme="minorEastAsia"/>
              </w:rPr>
            </w:pPr>
            <w:r w:rsidRPr="00956E6E">
              <w:rPr>
                <w:rFonts w:eastAsiaTheme="minorEastAsia"/>
              </w:rPr>
              <w:t>Minimum</w:t>
            </w:r>
            <w:r w:rsidRPr="00956E6E">
              <w:rPr>
                <w:rFonts w:eastAsiaTheme="minorEastAsia"/>
              </w:rPr>
              <w:br/>
              <w:t xml:space="preserve">Io </w:t>
            </w:r>
            <w:r w:rsidRPr="00956E6E">
              <w:rPr>
                <w:rFonts w:eastAsiaTheme="minorEastAsia"/>
                <w:vertAlign w:val="superscript"/>
              </w:rPr>
              <w:t>Note 1</w:t>
            </w:r>
          </w:p>
          <w:p w14:paraId="7239A292" w14:textId="77777777" w:rsidR="00BB469D" w:rsidRPr="00956E6E" w:rsidRDefault="00BB469D" w:rsidP="00F1512F">
            <w:pPr>
              <w:pStyle w:val="TAH"/>
              <w:rPr>
                <w:rFonts w:eastAsiaTheme="minorEastAsia"/>
              </w:rPr>
            </w:pPr>
            <w:r w:rsidRPr="00956E6E">
              <w:rPr>
                <w:rFonts w:eastAsiaTheme="minorEastAsia"/>
              </w:rPr>
              <w:t>dBm / SCS</w:t>
            </w:r>
            <w:r w:rsidRPr="00956E6E">
              <w:rPr>
                <w:rFonts w:eastAsiaTheme="minorEastAsia"/>
                <w:vertAlign w:val="subscript"/>
              </w:rPr>
              <w:t>PRS</w:t>
            </w:r>
          </w:p>
        </w:tc>
        <w:tc>
          <w:tcPr>
            <w:tcW w:w="1197" w:type="dxa"/>
            <w:tcBorders>
              <w:top w:val="single" w:sz="6" w:space="0" w:color="auto"/>
              <w:left w:val="single" w:sz="6" w:space="0" w:color="auto"/>
              <w:right w:val="single" w:sz="4" w:space="0" w:color="auto"/>
            </w:tcBorders>
            <w:vAlign w:val="center"/>
          </w:tcPr>
          <w:p w14:paraId="281EADC2" w14:textId="77777777" w:rsidR="00BB469D" w:rsidRPr="00956E6E" w:rsidRDefault="00BB469D" w:rsidP="00F1512F">
            <w:pPr>
              <w:pStyle w:val="TAH"/>
              <w:rPr>
                <w:rFonts w:eastAsiaTheme="minorEastAsia"/>
              </w:rPr>
            </w:pPr>
            <w:r w:rsidRPr="00956E6E">
              <w:rPr>
                <w:rFonts w:eastAsiaTheme="minorEastAsia"/>
              </w:rPr>
              <w:t>Maximum</w:t>
            </w:r>
            <w:r w:rsidRPr="00956E6E">
              <w:rPr>
                <w:rFonts w:eastAsiaTheme="minorEastAsia"/>
              </w:rPr>
              <w:br/>
              <w:t>Io</w:t>
            </w:r>
          </w:p>
        </w:tc>
      </w:tr>
      <w:tr w:rsidR="00BB469D" w:rsidRPr="00956E6E" w14:paraId="72B8D3C9" w14:textId="77777777" w:rsidTr="007A5129">
        <w:trPr>
          <w:trHeight w:val="162"/>
          <w:jc w:val="center"/>
        </w:trPr>
        <w:tc>
          <w:tcPr>
            <w:tcW w:w="965" w:type="dxa"/>
            <w:vMerge w:val="restart"/>
            <w:tcBorders>
              <w:top w:val="single" w:sz="6" w:space="0" w:color="auto"/>
              <w:left w:val="single" w:sz="4" w:space="0" w:color="auto"/>
              <w:right w:val="single" w:sz="6" w:space="0" w:color="auto"/>
            </w:tcBorders>
            <w:shd w:val="clear" w:color="auto" w:fill="auto"/>
            <w:vAlign w:val="center"/>
          </w:tcPr>
          <w:p w14:paraId="65F4C21A" w14:textId="77777777" w:rsidR="00BB469D" w:rsidRPr="00956E6E" w:rsidRDefault="00BB469D" w:rsidP="00F1512F">
            <w:pPr>
              <w:pStyle w:val="TAH"/>
              <w:rPr>
                <w:rFonts w:eastAsiaTheme="minorEastAsia"/>
                <w:lang w:eastAsia="zh-CN"/>
              </w:rPr>
            </w:pPr>
            <w:r w:rsidRPr="00956E6E">
              <w:rPr>
                <w:rFonts w:eastAsiaTheme="minorEastAsia" w:hint="eastAsia"/>
                <w:lang w:eastAsia="zh-CN"/>
              </w:rPr>
              <w:t>dB</w:t>
            </w:r>
          </w:p>
        </w:tc>
        <w:tc>
          <w:tcPr>
            <w:tcW w:w="965" w:type="dxa"/>
            <w:vMerge w:val="restart"/>
            <w:tcBorders>
              <w:top w:val="single" w:sz="6" w:space="0" w:color="auto"/>
              <w:left w:val="single" w:sz="4" w:space="0" w:color="auto"/>
              <w:right w:val="single" w:sz="6" w:space="0" w:color="auto"/>
            </w:tcBorders>
            <w:shd w:val="clear" w:color="auto" w:fill="auto"/>
            <w:vAlign w:val="center"/>
          </w:tcPr>
          <w:p w14:paraId="79C75933" w14:textId="77777777" w:rsidR="00BB469D" w:rsidRPr="00956E6E" w:rsidRDefault="00BB469D" w:rsidP="00F1512F">
            <w:pPr>
              <w:pStyle w:val="TAH"/>
              <w:rPr>
                <w:rFonts w:eastAsiaTheme="minorEastAsia"/>
                <w:lang w:eastAsia="zh-CN"/>
              </w:rPr>
            </w:pPr>
            <w:r w:rsidRPr="00956E6E">
              <w:rPr>
                <w:rFonts w:eastAsiaTheme="minorEastAsia" w:hint="eastAsia"/>
                <w:lang w:eastAsia="zh-CN"/>
              </w:rPr>
              <w:t>dB</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6FB60019" w14:textId="77777777" w:rsidR="00BB469D" w:rsidRPr="00956E6E" w:rsidRDefault="00BB469D" w:rsidP="00F1512F">
            <w:pPr>
              <w:pStyle w:val="TAH"/>
              <w:rPr>
                <w:rFonts w:eastAsiaTheme="minorEastAsia"/>
              </w:rPr>
            </w:pPr>
            <w:r w:rsidRPr="00956E6E">
              <w:rPr>
                <w:rFonts w:eastAsiaTheme="minorEastAsia"/>
              </w:rPr>
              <w:t>dB</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342EA19D" w14:textId="77777777" w:rsidR="00BB469D" w:rsidRPr="00956E6E" w:rsidRDefault="00BB469D" w:rsidP="00F1512F">
            <w:pPr>
              <w:pStyle w:val="TAH"/>
              <w:rPr>
                <w:rFonts w:eastAsiaTheme="minorEastAsia"/>
              </w:rPr>
            </w:pPr>
            <w:r w:rsidRPr="00956E6E">
              <w:rPr>
                <w:rFonts w:eastAsiaTheme="minorEastAsia" w:hint="eastAsia"/>
                <w:lang w:eastAsia="zh-CN"/>
              </w:rPr>
              <w:t>P</w:t>
            </w:r>
            <w:r w:rsidRPr="00956E6E">
              <w:rPr>
                <w:rFonts w:eastAsiaTheme="minorEastAsia"/>
              </w:rPr>
              <w:t>RB</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7BFAD87A" w14:textId="77777777" w:rsidR="00BB469D" w:rsidRPr="00956E6E" w:rsidRDefault="00BB469D" w:rsidP="00F1512F">
            <w:pPr>
              <w:pStyle w:val="TAH"/>
              <w:rPr>
                <w:rFonts w:eastAsiaTheme="minorEastAsia"/>
              </w:rPr>
            </w:pPr>
            <w:r w:rsidRPr="00956E6E">
              <w:rPr>
                <w:rFonts w:eastAsiaTheme="minorEastAsia" w:hint="eastAsia"/>
                <w:lang w:eastAsia="zh-CN"/>
              </w:rPr>
              <w:t>-</w:t>
            </w:r>
          </w:p>
        </w:tc>
        <w:tc>
          <w:tcPr>
            <w:tcW w:w="1586" w:type="dxa"/>
            <w:vMerge w:val="restart"/>
            <w:tcBorders>
              <w:top w:val="single" w:sz="6" w:space="0" w:color="auto"/>
              <w:left w:val="single" w:sz="6" w:space="0" w:color="auto"/>
              <w:right w:val="single" w:sz="6" w:space="0" w:color="auto"/>
            </w:tcBorders>
            <w:shd w:val="clear" w:color="auto" w:fill="auto"/>
            <w:vAlign w:val="center"/>
          </w:tcPr>
          <w:p w14:paraId="614FB55B" w14:textId="77777777" w:rsidR="00BB469D" w:rsidRPr="00956E6E" w:rsidRDefault="00BB469D" w:rsidP="00F1512F">
            <w:pPr>
              <w:pStyle w:val="TAH"/>
              <w:rPr>
                <w:rFonts w:eastAsiaTheme="minorEastAsia"/>
              </w:rPr>
            </w:pPr>
          </w:p>
        </w:tc>
        <w:tc>
          <w:tcPr>
            <w:tcW w:w="3194" w:type="dxa"/>
            <w:gridSpan w:val="3"/>
            <w:tcBorders>
              <w:top w:val="single" w:sz="6" w:space="0" w:color="auto"/>
              <w:left w:val="single" w:sz="6" w:space="0" w:color="auto"/>
              <w:bottom w:val="single" w:sz="6" w:space="0" w:color="auto"/>
              <w:right w:val="single" w:sz="6" w:space="0" w:color="auto"/>
            </w:tcBorders>
            <w:vAlign w:val="center"/>
          </w:tcPr>
          <w:p w14:paraId="49ED59C5" w14:textId="77777777" w:rsidR="00BB469D" w:rsidRPr="00956E6E" w:rsidRDefault="00BB469D" w:rsidP="00F1512F">
            <w:pPr>
              <w:pStyle w:val="TAH"/>
              <w:rPr>
                <w:rFonts w:eastAsiaTheme="minorEastAsia"/>
              </w:rPr>
            </w:pPr>
            <w:r w:rsidRPr="00956E6E">
              <w:rPr>
                <w:rFonts w:eastAsiaTheme="minorEastAsia"/>
              </w:rPr>
              <w:t>dBm / SCS</w:t>
            </w:r>
            <w:r w:rsidRPr="00956E6E">
              <w:rPr>
                <w:rFonts w:eastAsiaTheme="minorEastAsia"/>
                <w:vertAlign w:val="subscript"/>
              </w:rPr>
              <w:t>PRS</w:t>
            </w:r>
          </w:p>
        </w:tc>
        <w:tc>
          <w:tcPr>
            <w:tcW w:w="1197" w:type="dxa"/>
            <w:vMerge w:val="restart"/>
            <w:tcBorders>
              <w:top w:val="single" w:sz="6" w:space="0" w:color="auto"/>
              <w:left w:val="single" w:sz="6" w:space="0" w:color="auto"/>
              <w:right w:val="single" w:sz="4" w:space="0" w:color="auto"/>
            </w:tcBorders>
            <w:vAlign w:val="center"/>
          </w:tcPr>
          <w:p w14:paraId="3199C21E" w14:textId="77777777" w:rsidR="00BB469D" w:rsidRPr="00956E6E" w:rsidRDefault="00BB469D" w:rsidP="00F1512F">
            <w:pPr>
              <w:pStyle w:val="TAH"/>
              <w:rPr>
                <w:rFonts w:eastAsiaTheme="minorEastAsia"/>
              </w:rPr>
            </w:pPr>
            <w:r w:rsidRPr="00956E6E">
              <w:rPr>
                <w:rFonts w:eastAsiaTheme="minorEastAsia"/>
              </w:rPr>
              <w:t>dBm/BW</w:t>
            </w:r>
            <w:r w:rsidRPr="00956E6E">
              <w:rPr>
                <w:rFonts w:eastAsiaTheme="minorEastAsia"/>
                <w:vertAlign w:val="subscript"/>
              </w:rPr>
              <w:t>Channel</w:t>
            </w:r>
          </w:p>
        </w:tc>
      </w:tr>
      <w:tr w:rsidR="00BB469D" w:rsidRPr="00956E6E" w14:paraId="2ED26079" w14:textId="77777777" w:rsidTr="007A5129">
        <w:trPr>
          <w:trHeight w:val="161"/>
          <w:jc w:val="center"/>
        </w:trPr>
        <w:tc>
          <w:tcPr>
            <w:tcW w:w="965" w:type="dxa"/>
            <w:vMerge/>
            <w:tcBorders>
              <w:left w:val="single" w:sz="4" w:space="0" w:color="auto"/>
              <w:bottom w:val="single" w:sz="6" w:space="0" w:color="auto"/>
              <w:right w:val="single" w:sz="6" w:space="0" w:color="auto"/>
            </w:tcBorders>
            <w:shd w:val="clear" w:color="auto" w:fill="auto"/>
            <w:vAlign w:val="center"/>
          </w:tcPr>
          <w:p w14:paraId="37A1AC86" w14:textId="77777777" w:rsidR="00BB469D" w:rsidRPr="00956E6E" w:rsidRDefault="00BB469D" w:rsidP="007A5129">
            <w:pPr>
              <w:keepNext/>
              <w:keepLines/>
              <w:spacing w:after="0"/>
              <w:jc w:val="center"/>
              <w:rPr>
                <w:rFonts w:ascii="Arial" w:eastAsiaTheme="minorEastAsia" w:hAnsi="Arial"/>
                <w:b/>
                <w:sz w:val="18"/>
              </w:rPr>
            </w:pPr>
          </w:p>
        </w:tc>
        <w:tc>
          <w:tcPr>
            <w:tcW w:w="965" w:type="dxa"/>
            <w:vMerge/>
            <w:tcBorders>
              <w:left w:val="single" w:sz="4" w:space="0" w:color="auto"/>
              <w:bottom w:val="single" w:sz="6" w:space="0" w:color="auto"/>
              <w:right w:val="single" w:sz="6" w:space="0" w:color="auto"/>
            </w:tcBorders>
            <w:shd w:val="clear" w:color="auto" w:fill="auto"/>
            <w:vAlign w:val="center"/>
          </w:tcPr>
          <w:p w14:paraId="506456BD" w14:textId="77777777" w:rsidR="00BB469D" w:rsidRPr="00956E6E" w:rsidRDefault="00BB469D" w:rsidP="007A5129">
            <w:pPr>
              <w:keepNext/>
              <w:keepLines/>
              <w:spacing w:after="0"/>
              <w:jc w:val="center"/>
              <w:rPr>
                <w:rFonts w:ascii="Arial" w:eastAsiaTheme="minorEastAsia" w:hAnsi="Arial"/>
                <w:b/>
                <w:sz w:val="18"/>
              </w:rPr>
            </w:pPr>
          </w:p>
        </w:tc>
        <w:tc>
          <w:tcPr>
            <w:tcW w:w="827" w:type="dxa"/>
            <w:vMerge/>
            <w:tcBorders>
              <w:left w:val="single" w:sz="6" w:space="0" w:color="auto"/>
              <w:bottom w:val="single" w:sz="6" w:space="0" w:color="auto"/>
              <w:right w:val="single" w:sz="6" w:space="0" w:color="auto"/>
            </w:tcBorders>
            <w:shd w:val="clear" w:color="auto" w:fill="auto"/>
            <w:vAlign w:val="center"/>
          </w:tcPr>
          <w:p w14:paraId="34606422" w14:textId="77777777" w:rsidR="00BB469D" w:rsidRPr="00956E6E" w:rsidRDefault="00BB469D" w:rsidP="007A5129">
            <w:pPr>
              <w:keepNext/>
              <w:keepLines/>
              <w:spacing w:after="0"/>
              <w:jc w:val="center"/>
              <w:rPr>
                <w:rFonts w:ascii="Arial" w:eastAsiaTheme="minorEastAsia" w:hAnsi="Arial"/>
                <w:b/>
                <w:sz w:val="18"/>
              </w:rPr>
            </w:pPr>
          </w:p>
        </w:tc>
        <w:tc>
          <w:tcPr>
            <w:tcW w:w="1140" w:type="dxa"/>
            <w:vMerge/>
            <w:tcBorders>
              <w:left w:val="single" w:sz="6" w:space="0" w:color="auto"/>
              <w:bottom w:val="single" w:sz="6" w:space="0" w:color="auto"/>
              <w:right w:val="single" w:sz="6" w:space="0" w:color="auto"/>
            </w:tcBorders>
            <w:shd w:val="clear" w:color="auto" w:fill="auto"/>
            <w:vAlign w:val="center"/>
          </w:tcPr>
          <w:p w14:paraId="70EE2D29" w14:textId="77777777" w:rsidR="00BB469D" w:rsidRPr="00956E6E" w:rsidRDefault="00BB469D" w:rsidP="007A5129">
            <w:pPr>
              <w:keepNext/>
              <w:keepLines/>
              <w:spacing w:after="0"/>
              <w:jc w:val="center"/>
              <w:rPr>
                <w:rFonts w:ascii="Arial" w:eastAsiaTheme="minorEastAsia" w:hAnsi="Arial"/>
                <w:b/>
                <w:sz w:val="18"/>
              </w:rPr>
            </w:pPr>
          </w:p>
        </w:tc>
        <w:tc>
          <w:tcPr>
            <w:tcW w:w="1178" w:type="dxa"/>
            <w:vMerge/>
            <w:tcBorders>
              <w:left w:val="single" w:sz="6" w:space="0" w:color="auto"/>
              <w:bottom w:val="single" w:sz="6" w:space="0" w:color="auto"/>
              <w:right w:val="single" w:sz="6" w:space="0" w:color="auto"/>
            </w:tcBorders>
            <w:shd w:val="clear" w:color="auto" w:fill="auto"/>
            <w:vAlign w:val="center"/>
          </w:tcPr>
          <w:p w14:paraId="7C4782AA" w14:textId="77777777" w:rsidR="00BB469D" w:rsidRPr="00956E6E" w:rsidRDefault="00BB469D" w:rsidP="007A5129">
            <w:pPr>
              <w:keepNext/>
              <w:keepLines/>
              <w:spacing w:after="0"/>
              <w:jc w:val="center"/>
              <w:rPr>
                <w:rFonts w:ascii="Arial" w:eastAsiaTheme="minorEastAsia" w:hAnsi="Arial"/>
                <w:b/>
                <w:sz w:val="18"/>
              </w:rPr>
            </w:pPr>
          </w:p>
        </w:tc>
        <w:tc>
          <w:tcPr>
            <w:tcW w:w="1586" w:type="dxa"/>
            <w:vMerge/>
            <w:tcBorders>
              <w:left w:val="single" w:sz="6" w:space="0" w:color="auto"/>
              <w:bottom w:val="single" w:sz="6" w:space="0" w:color="auto"/>
              <w:right w:val="single" w:sz="6" w:space="0" w:color="auto"/>
            </w:tcBorders>
            <w:shd w:val="clear" w:color="auto" w:fill="auto"/>
            <w:vAlign w:val="center"/>
          </w:tcPr>
          <w:p w14:paraId="5E6CAEDD" w14:textId="77777777" w:rsidR="00BB469D" w:rsidRPr="00956E6E" w:rsidRDefault="00BB469D" w:rsidP="007A5129">
            <w:pPr>
              <w:keepNext/>
              <w:keepLines/>
              <w:spacing w:after="0"/>
              <w:jc w:val="center"/>
              <w:rPr>
                <w:rFonts w:ascii="Arial" w:eastAsiaTheme="minorEastAsia" w:hAnsi="Arial"/>
                <w:b/>
                <w:sz w:val="18"/>
              </w:rPr>
            </w:pPr>
          </w:p>
        </w:tc>
        <w:tc>
          <w:tcPr>
            <w:tcW w:w="984" w:type="dxa"/>
            <w:tcBorders>
              <w:top w:val="single" w:sz="6" w:space="0" w:color="auto"/>
              <w:left w:val="single" w:sz="6" w:space="0" w:color="auto"/>
              <w:bottom w:val="single" w:sz="6" w:space="0" w:color="auto"/>
              <w:right w:val="single" w:sz="6" w:space="0" w:color="auto"/>
            </w:tcBorders>
            <w:vAlign w:val="center"/>
          </w:tcPr>
          <w:p w14:paraId="0A7D3EE9" w14:textId="77777777" w:rsidR="00BB469D" w:rsidRPr="00956E6E" w:rsidRDefault="00BB469D" w:rsidP="00F1512F">
            <w:pPr>
              <w:pStyle w:val="TAH"/>
              <w:rPr>
                <w:rFonts w:eastAsiaTheme="minorEastAsia"/>
              </w:rPr>
            </w:pPr>
            <w:r w:rsidRPr="00956E6E">
              <w:rPr>
                <w:rFonts w:eastAsiaTheme="minorEastAsia"/>
              </w:rPr>
              <w:t>dBm/15kHz</w:t>
            </w:r>
            <w:r w:rsidRPr="00956E6E">
              <w:rPr>
                <w:rFonts w:eastAsiaTheme="minorEastAsia"/>
                <w:vertAlign w:val="superscript"/>
                <w:lang w:eastAsia="zh-CN"/>
              </w:rPr>
              <w:t xml:space="preserve"> Note 6</w:t>
            </w:r>
          </w:p>
        </w:tc>
        <w:tc>
          <w:tcPr>
            <w:tcW w:w="1013" w:type="dxa"/>
            <w:tcBorders>
              <w:top w:val="single" w:sz="6" w:space="0" w:color="auto"/>
              <w:left w:val="single" w:sz="6" w:space="0" w:color="auto"/>
              <w:bottom w:val="single" w:sz="6" w:space="0" w:color="auto"/>
              <w:right w:val="single" w:sz="6" w:space="0" w:color="auto"/>
            </w:tcBorders>
            <w:vAlign w:val="center"/>
          </w:tcPr>
          <w:p w14:paraId="01E33655" w14:textId="77777777" w:rsidR="00BB469D" w:rsidRPr="00956E6E" w:rsidRDefault="00BB469D" w:rsidP="00F1512F">
            <w:pPr>
              <w:pStyle w:val="TAH"/>
              <w:rPr>
                <w:rFonts w:eastAsiaTheme="minorEastAsia"/>
              </w:rPr>
            </w:pPr>
            <w:r w:rsidRPr="00956E6E">
              <w:rPr>
                <w:rFonts w:eastAsiaTheme="minorEastAsia"/>
              </w:rPr>
              <w:t>dBm/</w:t>
            </w:r>
            <w:r w:rsidRPr="00956E6E">
              <w:rPr>
                <w:rFonts w:eastAsiaTheme="minorEastAsia" w:hint="eastAsia"/>
                <w:lang w:eastAsia="zh-CN"/>
              </w:rPr>
              <w:t>30</w:t>
            </w:r>
            <w:r w:rsidRPr="00956E6E">
              <w:rPr>
                <w:rFonts w:eastAsiaTheme="minorEastAsia"/>
              </w:rPr>
              <w:t>kHz</w:t>
            </w:r>
            <w:r w:rsidRPr="00956E6E">
              <w:rPr>
                <w:rFonts w:eastAsiaTheme="minorEastAsia"/>
                <w:vertAlign w:val="superscript"/>
                <w:lang w:eastAsia="zh-CN"/>
              </w:rPr>
              <w:t xml:space="preserve"> Note 6</w:t>
            </w:r>
          </w:p>
        </w:tc>
        <w:tc>
          <w:tcPr>
            <w:tcW w:w="1197" w:type="dxa"/>
            <w:tcBorders>
              <w:left w:val="single" w:sz="6" w:space="0" w:color="auto"/>
              <w:bottom w:val="single" w:sz="6" w:space="0" w:color="auto"/>
              <w:right w:val="single" w:sz="6" w:space="0" w:color="auto"/>
            </w:tcBorders>
            <w:shd w:val="clear" w:color="auto" w:fill="auto"/>
          </w:tcPr>
          <w:p w14:paraId="04A80B83" w14:textId="77777777" w:rsidR="00BB469D" w:rsidRPr="00956E6E" w:rsidRDefault="00BB469D" w:rsidP="00F1512F">
            <w:pPr>
              <w:pStyle w:val="TAH"/>
              <w:rPr>
                <w:rFonts w:eastAsiaTheme="minorEastAsia"/>
              </w:rPr>
            </w:pPr>
            <w:r w:rsidRPr="00956E6E">
              <w:rPr>
                <w:rFonts w:eastAsiaTheme="minorEastAsia"/>
              </w:rPr>
              <w:t>dBm/</w:t>
            </w:r>
            <w:r w:rsidRPr="00956E6E">
              <w:rPr>
                <w:rFonts w:eastAsiaTheme="minorEastAsia" w:hint="eastAsia"/>
                <w:lang w:eastAsia="zh-CN"/>
              </w:rPr>
              <w:t>60</w:t>
            </w:r>
            <w:r w:rsidRPr="00956E6E">
              <w:rPr>
                <w:rFonts w:eastAsiaTheme="minorEastAsia"/>
              </w:rPr>
              <w:t>kHz</w:t>
            </w:r>
            <w:r w:rsidRPr="00956E6E">
              <w:rPr>
                <w:rFonts w:eastAsiaTheme="minorEastAsia"/>
                <w:vertAlign w:val="superscript"/>
                <w:lang w:eastAsia="zh-CN"/>
              </w:rPr>
              <w:t xml:space="preserve"> Note 6</w:t>
            </w:r>
          </w:p>
        </w:tc>
        <w:tc>
          <w:tcPr>
            <w:tcW w:w="1197" w:type="dxa"/>
            <w:vMerge/>
            <w:tcBorders>
              <w:left w:val="single" w:sz="6" w:space="0" w:color="auto"/>
              <w:bottom w:val="single" w:sz="6" w:space="0" w:color="auto"/>
              <w:right w:val="single" w:sz="4" w:space="0" w:color="auto"/>
            </w:tcBorders>
            <w:vAlign w:val="center"/>
          </w:tcPr>
          <w:p w14:paraId="3DCE4FA6" w14:textId="77777777" w:rsidR="00BB469D" w:rsidRPr="00956E6E" w:rsidRDefault="00BB469D" w:rsidP="007A5129">
            <w:pPr>
              <w:keepNext/>
              <w:keepLines/>
              <w:spacing w:after="0"/>
              <w:jc w:val="center"/>
              <w:rPr>
                <w:rFonts w:ascii="Arial" w:eastAsiaTheme="minorEastAsia" w:hAnsi="Arial"/>
                <w:b/>
                <w:sz w:val="18"/>
              </w:rPr>
            </w:pPr>
          </w:p>
        </w:tc>
      </w:tr>
      <w:tr w:rsidR="00EF4F31" w:rsidRPr="00956E6E" w14:paraId="7A72DDFE" w14:textId="77777777" w:rsidTr="00D5072C">
        <w:trPr>
          <w:jc w:val="center"/>
        </w:trPr>
        <w:tc>
          <w:tcPr>
            <w:tcW w:w="965" w:type="dxa"/>
            <w:vMerge w:val="restart"/>
            <w:tcBorders>
              <w:top w:val="single" w:sz="6" w:space="0" w:color="auto"/>
              <w:left w:val="single" w:sz="4" w:space="0" w:color="auto"/>
              <w:right w:val="single" w:sz="6" w:space="0" w:color="auto"/>
            </w:tcBorders>
            <w:shd w:val="clear" w:color="auto" w:fill="auto"/>
            <w:vAlign w:val="center"/>
          </w:tcPr>
          <w:p w14:paraId="57CBCFF5" w14:textId="5C4A0D4A" w:rsidR="00EF4F31" w:rsidRPr="00956E6E" w:rsidRDefault="00EF4F31" w:rsidP="00EF4F31">
            <w:pPr>
              <w:pStyle w:val="TAC"/>
              <w:rPr>
                <w:rFonts w:eastAsiaTheme="minorEastAsia"/>
                <w:noProof/>
                <w:lang w:eastAsia="zh-CN"/>
              </w:rPr>
            </w:pPr>
            <w:r>
              <w:rPr>
                <w:rFonts w:eastAsiaTheme="minorEastAsia"/>
                <w:noProof/>
                <w:lang w:eastAsia="zh-CN"/>
              </w:rPr>
              <w:t>TBD</w:t>
            </w:r>
          </w:p>
        </w:tc>
        <w:tc>
          <w:tcPr>
            <w:tcW w:w="965" w:type="dxa"/>
            <w:vMerge w:val="restart"/>
            <w:tcBorders>
              <w:top w:val="single" w:sz="6" w:space="0" w:color="auto"/>
              <w:left w:val="single" w:sz="4" w:space="0" w:color="auto"/>
              <w:bottom w:val="single" w:sz="4" w:space="0" w:color="auto"/>
              <w:right w:val="single" w:sz="6" w:space="0" w:color="auto"/>
            </w:tcBorders>
            <w:vAlign w:val="center"/>
          </w:tcPr>
          <w:p w14:paraId="40F5C737" w14:textId="56ECDC38" w:rsidR="00EF4F31" w:rsidRPr="00956E6E" w:rsidRDefault="00EF4F31" w:rsidP="00EF4F31">
            <w:pPr>
              <w:pStyle w:val="TAC"/>
              <w:rPr>
                <w:rFonts w:eastAsiaTheme="minorEastAsia"/>
                <w:lang w:eastAsia="zh-CN"/>
              </w:rPr>
            </w:pPr>
            <w:r>
              <w:rPr>
                <w:rFonts w:eastAsiaTheme="minorEastAsia"/>
                <w:lang w:eastAsia="zh-CN"/>
              </w:rPr>
              <w:t>TBD</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2FE86152" w14:textId="7E41AB22" w:rsidR="00EF4F31" w:rsidRPr="00956E6E" w:rsidRDefault="00EF4F31" w:rsidP="00EF4F31">
            <w:pPr>
              <w:pStyle w:val="TAC"/>
              <w:rPr>
                <w:rFonts w:eastAsiaTheme="minorEastAsia"/>
                <w:noProof/>
                <w:lang w:eastAsia="zh-CN"/>
              </w:rPr>
            </w:pPr>
            <w:r w:rsidRPr="0097752B">
              <w:rPr>
                <w:rFonts w:eastAsiaTheme="minorEastAsia"/>
                <w:noProof/>
                <w:lang w:eastAsia="zh-CN"/>
              </w:rPr>
              <w:t>≥</w:t>
            </w:r>
            <w:r>
              <w:rPr>
                <w:rFonts w:eastAsiaTheme="minorEastAsia"/>
                <w:noProof/>
                <w:lang w:eastAsia="zh-CN"/>
              </w:rPr>
              <w:t>0</w:t>
            </w:r>
          </w:p>
        </w:tc>
        <w:tc>
          <w:tcPr>
            <w:tcW w:w="1140" w:type="dxa"/>
            <w:vMerge w:val="restart"/>
            <w:tcBorders>
              <w:top w:val="single" w:sz="6" w:space="0" w:color="auto"/>
              <w:left w:val="single" w:sz="6" w:space="0" w:color="auto"/>
              <w:right w:val="single" w:sz="6" w:space="0" w:color="auto"/>
            </w:tcBorders>
            <w:shd w:val="clear" w:color="auto" w:fill="auto"/>
            <w:vAlign w:val="center"/>
          </w:tcPr>
          <w:p w14:paraId="00EA668D" w14:textId="098EAB0F" w:rsidR="00EF4F31" w:rsidRPr="00956E6E" w:rsidRDefault="00EF4F31" w:rsidP="00EF4F31">
            <w:pPr>
              <w:pStyle w:val="TAC"/>
              <w:rPr>
                <w:rFonts w:eastAsiaTheme="minorEastAsia"/>
                <w:noProof/>
                <w:lang w:eastAsia="zh-CN"/>
              </w:rPr>
            </w:pPr>
            <w:r w:rsidRPr="000501F5">
              <w:t>≥</w:t>
            </w:r>
            <w:r>
              <w:rPr>
                <w:lang w:eastAsia="zh-CN"/>
              </w:rPr>
              <w:t>48</w:t>
            </w:r>
          </w:p>
        </w:tc>
        <w:tc>
          <w:tcPr>
            <w:tcW w:w="1178" w:type="dxa"/>
            <w:vMerge w:val="restart"/>
            <w:tcBorders>
              <w:top w:val="single" w:sz="6" w:space="0" w:color="auto"/>
              <w:left w:val="single" w:sz="6" w:space="0" w:color="auto"/>
              <w:right w:val="single" w:sz="6" w:space="0" w:color="auto"/>
            </w:tcBorders>
            <w:shd w:val="clear" w:color="auto" w:fill="auto"/>
            <w:vAlign w:val="center"/>
          </w:tcPr>
          <w:p w14:paraId="3B6CE7F2" w14:textId="0F88DCE6" w:rsidR="00EF4F31" w:rsidRPr="00956E6E" w:rsidRDefault="00EF4F31" w:rsidP="00EF4F31">
            <w:pPr>
              <w:pStyle w:val="TAC"/>
              <w:rPr>
                <w:rFonts w:eastAsiaTheme="minorEastAsia"/>
                <w:lang w:eastAsia="zh-CN"/>
              </w:rPr>
            </w:pPr>
            <w:r w:rsidRPr="00956E6E">
              <w:rPr>
                <w:rFonts w:eastAsiaTheme="minorEastAsia" w:hint="eastAsia"/>
                <w:lang w:eastAsia="zh-CN"/>
              </w:rPr>
              <w:t>All</w:t>
            </w:r>
          </w:p>
        </w:tc>
        <w:tc>
          <w:tcPr>
            <w:tcW w:w="1586" w:type="dxa"/>
            <w:tcBorders>
              <w:top w:val="single" w:sz="6" w:space="0" w:color="auto"/>
              <w:left w:val="single" w:sz="6" w:space="0" w:color="auto"/>
              <w:bottom w:val="single" w:sz="6" w:space="0" w:color="auto"/>
              <w:right w:val="single" w:sz="6" w:space="0" w:color="auto"/>
            </w:tcBorders>
            <w:shd w:val="clear" w:color="auto" w:fill="auto"/>
          </w:tcPr>
          <w:p w14:paraId="5C0AF5A5" w14:textId="77777777" w:rsidR="00EF4F31" w:rsidRPr="00956E6E" w:rsidRDefault="00EF4F31" w:rsidP="00EF4F31">
            <w:pPr>
              <w:pStyle w:val="TAC"/>
              <w:rPr>
                <w:rFonts w:eastAsiaTheme="minorEastAsia"/>
              </w:rPr>
            </w:pPr>
            <w:r w:rsidRPr="00956E6E">
              <w:rPr>
                <w:rFonts w:eastAsiaTheme="minorEastAsia"/>
              </w:rPr>
              <w:t xml:space="preserve">NR_FDD_FR1_A, NR_TDD_FR1_A, </w:t>
            </w:r>
            <w:r w:rsidRPr="00956E6E">
              <w:rPr>
                <w:rFonts w:eastAsiaTheme="minorEastAsia"/>
                <w:lang w:val="en-US"/>
              </w:rPr>
              <w:t>NR_SDL_FR1_A</w:t>
            </w:r>
          </w:p>
        </w:tc>
        <w:tc>
          <w:tcPr>
            <w:tcW w:w="984" w:type="dxa"/>
            <w:tcBorders>
              <w:top w:val="single" w:sz="6" w:space="0" w:color="auto"/>
              <w:left w:val="single" w:sz="6" w:space="0" w:color="auto"/>
              <w:bottom w:val="single" w:sz="6" w:space="0" w:color="auto"/>
              <w:right w:val="single" w:sz="6" w:space="0" w:color="auto"/>
            </w:tcBorders>
          </w:tcPr>
          <w:p w14:paraId="2B7EB23B" w14:textId="77777777" w:rsidR="00EF4F31" w:rsidRPr="00956E6E" w:rsidRDefault="00EF4F31" w:rsidP="00EF4F31">
            <w:pPr>
              <w:pStyle w:val="TAC"/>
              <w:rPr>
                <w:rFonts w:eastAsiaTheme="minorEastAsia"/>
              </w:rPr>
            </w:pPr>
            <w:r w:rsidRPr="00956E6E">
              <w:rPr>
                <w:rFonts w:eastAsiaTheme="minorEastAsia"/>
              </w:rPr>
              <w:t>-127</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36883B81" w14:textId="77777777" w:rsidR="00EF4F31" w:rsidRPr="00956E6E" w:rsidRDefault="00EF4F31" w:rsidP="00EF4F31">
            <w:pPr>
              <w:pStyle w:val="TAC"/>
              <w:rPr>
                <w:rFonts w:eastAsiaTheme="minorEastAsia"/>
              </w:rPr>
            </w:pPr>
            <w:r w:rsidRPr="00956E6E">
              <w:rPr>
                <w:rFonts w:eastAsiaTheme="minorEastAsia"/>
              </w:rPr>
              <w:t>-124</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235F94F0" w14:textId="77777777" w:rsidR="00EF4F31" w:rsidRPr="00956E6E" w:rsidRDefault="00EF4F31" w:rsidP="00EF4F31">
            <w:pPr>
              <w:pStyle w:val="TAC"/>
              <w:rPr>
                <w:rFonts w:eastAsiaTheme="minorEastAsia"/>
              </w:rPr>
            </w:pPr>
            <w:r w:rsidRPr="00956E6E">
              <w:rPr>
                <w:rFonts w:eastAsiaTheme="minorEastAsia"/>
              </w:rPr>
              <w:t>-121</w:t>
            </w:r>
          </w:p>
        </w:tc>
        <w:tc>
          <w:tcPr>
            <w:tcW w:w="1197" w:type="dxa"/>
            <w:tcBorders>
              <w:top w:val="single" w:sz="6" w:space="0" w:color="auto"/>
              <w:left w:val="single" w:sz="6" w:space="0" w:color="auto"/>
              <w:bottom w:val="single" w:sz="6" w:space="0" w:color="auto"/>
              <w:right w:val="single" w:sz="4" w:space="0" w:color="auto"/>
            </w:tcBorders>
            <w:vAlign w:val="center"/>
          </w:tcPr>
          <w:p w14:paraId="24E18332" w14:textId="77777777" w:rsidR="00EF4F31" w:rsidRPr="00956E6E" w:rsidRDefault="00EF4F31" w:rsidP="00EF4F31">
            <w:pPr>
              <w:pStyle w:val="TAC"/>
              <w:rPr>
                <w:rFonts w:eastAsiaTheme="minorEastAsia"/>
              </w:rPr>
            </w:pPr>
            <w:r w:rsidRPr="00956E6E">
              <w:rPr>
                <w:rFonts w:eastAsiaTheme="minorEastAsia"/>
              </w:rPr>
              <w:t>-50</w:t>
            </w:r>
          </w:p>
        </w:tc>
      </w:tr>
      <w:tr w:rsidR="006D557A" w:rsidRPr="00956E6E" w14:paraId="6AFA5E90" w14:textId="77777777" w:rsidTr="007A5129">
        <w:trPr>
          <w:jc w:val="center"/>
        </w:trPr>
        <w:tc>
          <w:tcPr>
            <w:tcW w:w="965" w:type="dxa"/>
            <w:vMerge/>
            <w:tcBorders>
              <w:left w:val="single" w:sz="4" w:space="0" w:color="auto"/>
              <w:right w:val="single" w:sz="6" w:space="0" w:color="auto"/>
            </w:tcBorders>
            <w:shd w:val="clear" w:color="auto" w:fill="auto"/>
            <w:vAlign w:val="center"/>
          </w:tcPr>
          <w:p w14:paraId="23BB4865"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62D50C8D"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224F7077"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5C9A46A4" w14:textId="10FA45F3" w:rsidR="006D557A" w:rsidRPr="00956E6E" w:rsidRDefault="006D557A" w:rsidP="006D557A">
            <w:pPr>
              <w:pStyle w:val="TAC"/>
              <w:rPr>
                <w:rFonts w:eastAsiaTheme="minorEastAsia"/>
              </w:rPr>
            </w:pPr>
          </w:p>
        </w:tc>
        <w:tc>
          <w:tcPr>
            <w:tcW w:w="1178" w:type="dxa"/>
            <w:vMerge/>
            <w:tcBorders>
              <w:left w:val="single" w:sz="6" w:space="0" w:color="auto"/>
              <w:right w:val="single" w:sz="6" w:space="0" w:color="auto"/>
            </w:tcBorders>
            <w:shd w:val="clear" w:color="auto" w:fill="auto"/>
            <w:vAlign w:val="center"/>
          </w:tcPr>
          <w:p w14:paraId="2594F160"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5DFCA3A6" w14:textId="77777777" w:rsidR="006D557A" w:rsidRPr="00956E6E" w:rsidRDefault="006D557A" w:rsidP="00D5072C">
            <w:pPr>
              <w:pStyle w:val="TAC"/>
              <w:rPr>
                <w:rFonts w:eastAsiaTheme="minorEastAsia"/>
              </w:rPr>
            </w:pPr>
            <w:r w:rsidRPr="00956E6E">
              <w:rPr>
                <w:rFonts w:eastAsiaTheme="minorEastAsia"/>
                <w:lang w:val="sv-SE"/>
              </w:rPr>
              <w:t>NR_FDD_FR1_B</w:t>
            </w:r>
          </w:p>
        </w:tc>
        <w:tc>
          <w:tcPr>
            <w:tcW w:w="984" w:type="dxa"/>
            <w:tcBorders>
              <w:top w:val="single" w:sz="6" w:space="0" w:color="auto"/>
              <w:left w:val="single" w:sz="6" w:space="0" w:color="auto"/>
              <w:bottom w:val="single" w:sz="6" w:space="0" w:color="auto"/>
              <w:right w:val="single" w:sz="6" w:space="0" w:color="auto"/>
            </w:tcBorders>
          </w:tcPr>
          <w:p w14:paraId="401F04DA" w14:textId="77777777" w:rsidR="006D557A" w:rsidRPr="00956E6E" w:rsidRDefault="006D557A" w:rsidP="00D5072C">
            <w:pPr>
              <w:pStyle w:val="TAC"/>
              <w:rPr>
                <w:rFonts w:eastAsiaTheme="minorEastAsia"/>
                <w:lang w:eastAsia="ja-JP"/>
              </w:rPr>
            </w:pPr>
            <w:r w:rsidRPr="00956E6E">
              <w:rPr>
                <w:rFonts w:eastAsiaTheme="minorEastAsia"/>
              </w:rPr>
              <w:t>-126.5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0109E81B" w14:textId="77777777" w:rsidR="006D557A" w:rsidRPr="00956E6E" w:rsidRDefault="006D557A" w:rsidP="00D5072C">
            <w:pPr>
              <w:pStyle w:val="TAC"/>
              <w:rPr>
                <w:rFonts w:eastAsiaTheme="minorEastAsia"/>
              </w:rPr>
            </w:pPr>
            <w:r w:rsidRPr="00956E6E">
              <w:rPr>
                <w:rFonts w:eastAsiaTheme="minorEastAsia"/>
              </w:rPr>
              <w:t>-123.5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7419FD2B" w14:textId="77777777" w:rsidR="006D557A" w:rsidRPr="00956E6E" w:rsidRDefault="006D557A" w:rsidP="00D5072C">
            <w:pPr>
              <w:pStyle w:val="TAC"/>
              <w:rPr>
                <w:rFonts w:eastAsiaTheme="minorEastAsia"/>
                <w:lang w:eastAsia="ja-JP"/>
              </w:rPr>
            </w:pPr>
            <w:r w:rsidRPr="00956E6E">
              <w:rPr>
                <w:rFonts w:eastAsiaTheme="minorEastAsia"/>
              </w:rPr>
              <w:t>-120.5</w:t>
            </w:r>
          </w:p>
        </w:tc>
        <w:tc>
          <w:tcPr>
            <w:tcW w:w="1197" w:type="dxa"/>
            <w:tcBorders>
              <w:top w:val="single" w:sz="6" w:space="0" w:color="auto"/>
              <w:left w:val="single" w:sz="6" w:space="0" w:color="auto"/>
              <w:bottom w:val="single" w:sz="6" w:space="0" w:color="auto"/>
              <w:right w:val="single" w:sz="4" w:space="0" w:color="auto"/>
            </w:tcBorders>
            <w:vAlign w:val="center"/>
          </w:tcPr>
          <w:p w14:paraId="24123EA7" w14:textId="77777777" w:rsidR="006D557A" w:rsidRPr="00956E6E" w:rsidRDefault="006D557A" w:rsidP="00D5072C">
            <w:pPr>
              <w:pStyle w:val="TAC"/>
              <w:rPr>
                <w:rFonts w:eastAsiaTheme="minorEastAsia"/>
              </w:rPr>
            </w:pPr>
            <w:r w:rsidRPr="00956E6E">
              <w:rPr>
                <w:rFonts w:eastAsiaTheme="minorEastAsia"/>
                <w:lang w:eastAsia="ja-JP"/>
              </w:rPr>
              <w:t>-50</w:t>
            </w:r>
          </w:p>
        </w:tc>
      </w:tr>
      <w:tr w:rsidR="006D557A" w:rsidRPr="00956E6E" w14:paraId="0D722616" w14:textId="77777777" w:rsidTr="007A5129">
        <w:trPr>
          <w:jc w:val="center"/>
        </w:trPr>
        <w:tc>
          <w:tcPr>
            <w:tcW w:w="965" w:type="dxa"/>
            <w:vMerge/>
            <w:tcBorders>
              <w:left w:val="single" w:sz="4" w:space="0" w:color="auto"/>
              <w:right w:val="single" w:sz="6" w:space="0" w:color="auto"/>
            </w:tcBorders>
            <w:shd w:val="clear" w:color="auto" w:fill="auto"/>
            <w:vAlign w:val="center"/>
          </w:tcPr>
          <w:p w14:paraId="220AA89C"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0DF32A8A"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44B396A5"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38A71FB8" w14:textId="33E5EDAF" w:rsidR="006D557A" w:rsidRPr="00956E6E" w:rsidRDefault="006D557A" w:rsidP="006D557A">
            <w:pPr>
              <w:pStyle w:val="TAC"/>
              <w:rPr>
                <w:rFonts w:eastAsiaTheme="minorEastAsia"/>
              </w:rPr>
            </w:pPr>
          </w:p>
        </w:tc>
        <w:tc>
          <w:tcPr>
            <w:tcW w:w="1178" w:type="dxa"/>
            <w:vMerge/>
            <w:tcBorders>
              <w:left w:val="single" w:sz="6" w:space="0" w:color="auto"/>
              <w:right w:val="single" w:sz="6" w:space="0" w:color="auto"/>
            </w:tcBorders>
            <w:shd w:val="clear" w:color="auto" w:fill="auto"/>
            <w:vAlign w:val="center"/>
          </w:tcPr>
          <w:p w14:paraId="7E789F45"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74831A91" w14:textId="77777777" w:rsidR="006D557A" w:rsidRPr="00956E6E" w:rsidRDefault="006D557A" w:rsidP="00D5072C">
            <w:pPr>
              <w:pStyle w:val="TAC"/>
              <w:rPr>
                <w:rFonts w:eastAsiaTheme="minorEastAsia"/>
              </w:rPr>
            </w:pPr>
            <w:r w:rsidRPr="00956E6E">
              <w:rPr>
                <w:rFonts w:eastAsiaTheme="minorEastAsia"/>
                <w:lang w:val="sv-SE"/>
              </w:rPr>
              <w:t>NR_TDD_FR1_C</w:t>
            </w:r>
          </w:p>
        </w:tc>
        <w:tc>
          <w:tcPr>
            <w:tcW w:w="984" w:type="dxa"/>
            <w:tcBorders>
              <w:top w:val="single" w:sz="6" w:space="0" w:color="auto"/>
              <w:left w:val="single" w:sz="6" w:space="0" w:color="auto"/>
              <w:bottom w:val="single" w:sz="6" w:space="0" w:color="auto"/>
              <w:right w:val="single" w:sz="6" w:space="0" w:color="auto"/>
            </w:tcBorders>
          </w:tcPr>
          <w:p w14:paraId="649F1A4B" w14:textId="77777777" w:rsidR="006D557A" w:rsidRPr="00956E6E" w:rsidRDefault="006D557A" w:rsidP="00D5072C">
            <w:pPr>
              <w:pStyle w:val="TAC"/>
              <w:rPr>
                <w:rFonts w:eastAsiaTheme="minorEastAsia"/>
              </w:rPr>
            </w:pPr>
            <w:r w:rsidRPr="00956E6E">
              <w:rPr>
                <w:rFonts w:eastAsiaTheme="minorEastAsia"/>
              </w:rPr>
              <w:t>-126</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46C0A58F" w14:textId="77777777" w:rsidR="006D557A" w:rsidRPr="00956E6E" w:rsidRDefault="006D557A" w:rsidP="00D5072C">
            <w:pPr>
              <w:pStyle w:val="TAC"/>
              <w:rPr>
                <w:rFonts w:eastAsiaTheme="minorEastAsia"/>
              </w:rPr>
            </w:pPr>
            <w:r w:rsidRPr="00956E6E">
              <w:rPr>
                <w:rFonts w:eastAsiaTheme="minorEastAsia"/>
              </w:rPr>
              <w:t>-123</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679C3185" w14:textId="77777777" w:rsidR="006D557A" w:rsidRPr="00956E6E" w:rsidRDefault="006D557A" w:rsidP="00D5072C">
            <w:pPr>
              <w:pStyle w:val="TAC"/>
              <w:rPr>
                <w:rFonts w:eastAsiaTheme="minorEastAsia"/>
              </w:rPr>
            </w:pPr>
            <w:r w:rsidRPr="00956E6E">
              <w:rPr>
                <w:rFonts w:eastAsiaTheme="minorEastAsia"/>
              </w:rPr>
              <w:t>-120</w:t>
            </w:r>
          </w:p>
        </w:tc>
        <w:tc>
          <w:tcPr>
            <w:tcW w:w="1197" w:type="dxa"/>
            <w:tcBorders>
              <w:top w:val="single" w:sz="6" w:space="0" w:color="auto"/>
              <w:left w:val="single" w:sz="6" w:space="0" w:color="auto"/>
              <w:bottom w:val="single" w:sz="6" w:space="0" w:color="auto"/>
              <w:right w:val="single" w:sz="4" w:space="0" w:color="auto"/>
            </w:tcBorders>
            <w:vAlign w:val="center"/>
          </w:tcPr>
          <w:p w14:paraId="6E249B99" w14:textId="77777777" w:rsidR="006D557A" w:rsidRPr="00956E6E" w:rsidRDefault="006D557A" w:rsidP="00D5072C">
            <w:pPr>
              <w:pStyle w:val="TAC"/>
              <w:rPr>
                <w:rFonts w:eastAsiaTheme="minorEastAsia"/>
              </w:rPr>
            </w:pPr>
            <w:r w:rsidRPr="00956E6E">
              <w:rPr>
                <w:rFonts w:eastAsiaTheme="minorEastAsia"/>
              </w:rPr>
              <w:t>-50</w:t>
            </w:r>
          </w:p>
        </w:tc>
      </w:tr>
      <w:tr w:rsidR="006D557A" w:rsidRPr="00956E6E" w14:paraId="2E1530F2" w14:textId="77777777" w:rsidTr="007A5129">
        <w:trPr>
          <w:jc w:val="center"/>
        </w:trPr>
        <w:tc>
          <w:tcPr>
            <w:tcW w:w="965" w:type="dxa"/>
            <w:vMerge/>
            <w:tcBorders>
              <w:left w:val="single" w:sz="4" w:space="0" w:color="auto"/>
              <w:right w:val="single" w:sz="6" w:space="0" w:color="auto"/>
            </w:tcBorders>
            <w:shd w:val="clear" w:color="auto" w:fill="auto"/>
            <w:vAlign w:val="center"/>
          </w:tcPr>
          <w:p w14:paraId="6F2BC3E0"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7D0656D1"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773D863C"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0E53A4CF" w14:textId="1EE7856F" w:rsidR="006D557A" w:rsidRPr="00956E6E" w:rsidRDefault="006D557A" w:rsidP="006D557A">
            <w:pPr>
              <w:pStyle w:val="TAC"/>
              <w:rPr>
                <w:rFonts w:eastAsiaTheme="minorEastAsia"/>
              </w:rPr>
            </w:pPr>
          </w:p>
        </w:tc>
        <w:tc>
          <w:tcPr>
            <w:tcW w:w="1178" w:type="dxa"/>
            <w:vMerge/>
            <w:tcBorders>
              <w:left w:val="single" w:sz="6" w:space="0" w:color="auto"/>
              <w:right w:val="single" w:sz="6" w:space="0" w:color="auto"/>
            </w:tcBorders>
            <w:shd w:val="clear" w:color="auto" w:fill="auto"/>
            <w:vAlign w:val="center"/>
          </w:tcPr>
          <w:p w14:paraId="39E65A2A"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551DC33D" w14:textId="77777777" w:rsidR="006D557A" w:rsidRPr="00956E6E" w:rsidRDefault="006D557A" w:rsidP="00D5072C">
            <w:pPr>
              <w:pStyle w:val="TAC"/>
              <w:rPr>
                <w:rFonts w:eastAsiaTheme="minorEastAsia"/>
                <w:lang w:val="sv-SE"/>
              </w:rPr>
            </w:pPr>
            <w:r w:rsidRPr="00956E6E">
              <w:rPr>
                <w:rFonts w:eastAsiaTheme="minorEastAsia"/>
                <w:lang w:val="sv-SE"/>
              </w:rPr>
              <w:t>NR_FDD_FR1_D, NR_TDD_FR1_D</w:t>
            </w:r>
          </w:p>
        </w:tc>
        <w:tc>
          <w:tcPr>
            <w:tcW w:w="984" w:type="dxa"/>
            <w:tcBorders>
              <w:top w:val="single" w:sz="6" w:space="0" w:color="auto"/>
              <w:left w:val="single" w:sz="6" w:space="0" w:color="auto"/>
              <w:bottom w:val="single" w:sz="6" w:space="0" w:color="auto"/>
              <w:right w:val="single" w:sz="6" w:space="0" w:color="auto"/>
            </w:tcBorders>
          </w:tcPr>
          <w:p w14:paraId="71D7EE06" w14:textId="77777777" w:rsidR="006D557A" w:rsidRPr="00956E6E" w:rsidRDefault="006D557A" w:rsidP="00D5072C">
            <w:pPr>
              <w:pStyle w:val="TAC"/>
              <w:rPr>
                <w:rFonts w:eastAsiaTheme="minorEastAsia"/>
              </w:rPr>
            </w:pPr>
            <w:r w:rsidRPr="00956E6E">
              <w:rPr>
                <w:rFonts w:eastAsiaTheme="minorEastAsia"/>
              </w:rPr>
              <w:t>-125.5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03D3477B" w14:textId="77777777" w:rsidR="006D557A" w:rsidRPr="00956E6E" w:rsidRDefault="006D557A" w:rsidP="00D5072C">
            <w:pPr>
              <w:pStyle w:val="TAC"/>
              <w:rPr>
                <w:rFonts w:eastAsiaTheme="minorEastAsia"/>
              </w:rPr>
            </w:pPr>
            <w:r w:rsidRPr="00956E6E">
              <w:rPr>
                <w:rFonts w:eastAsiaTheme="minorEastAsia"/>
              </w:rPr>
              <w:t>-122.5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5B69F15B" w14:textId="77777777" w:rsidR="006D557A" w:rsidRPr="00956E6E" w:rsidRDefault="006D557A" w:rsidP="00D5072C">
            <w:pPr>
              <w:pStyle w:val="TAC"/>
              <w:rPr>
                <w:rFonts w:eastAsiaTheme="minorEastAsia"/>
              </w:rPr>
            </w:pPr>
            <w:r w:rsidRPr="00956E6E">
              <w:rPr>
                <w:rFonts w:eastAsiaTheme="minorEastAsia"/>
              </w:rPr>
              <w:t>-119.5</w:t>
            </w:r>
          </w:p>
        </w:tc>
        <w:tc>
          <w:tcPr>
            <w:tcW w:w="1197" w:type="dxa"/>
            <w:tcBorders>
              <w:top w:val="single" w:sz="6" w:space="0" w:color="auto"/>
              <w:left w:val="single" w:sz="6" w:space="0" w:color="auto"/>
              <w:bottom w:val="single" w:sz="6" w:space="0" w:color="auto"/>
              <w:right w:val="single" w:sz="4" w:space="0" w:color="auto"/>
            </w:tcBorders>
            <w:vAlign w:val="center"/>
          </w:tcPr>
          <w:p w14:paraId="0A5D0854" w14:textId="77777777" w:rsidR="006D557A" w:rsidRPr="00956E6E" w:rsidRDefault="006D557A" w:rsidP="00D5072C">
            <w:pPr>
              <w:pStyle w:val="TAC"/>
              <w:rPr>
                <w:rFonts w:eastAsiaTheme="minorEastAsia"/>
              </w:rPr>
            </w:pPr>
            <w:r w:rsidRPr="00956E6E">
              <w:rPr>
                <w:rFonts w:eastAsiaTheme="minorEastAsia"/>
              </w:rPr>
              <w:t>-50</w:t>
            </w:r>
          </w:p>
        </w:tc>
      </w:tr>
      <w:tr w:rsidR="006D557A" w:rsidRPr="00956E6E" w14:paraId="2B623D67" w14:textId="77777777" w:rsidTr="007A5129">
        <w:trPr>
          <w:jc w:val="center"/>
        </w:trPr>
        <w:tc>
          <w:tcPr>
            <w:tcW w:w="965" w:type="dxa"/>
            <w:vMerge/>
            <w:tcBorders>
              <w:left w:val="single" w:sz="4" w:space="0" w:color="auto"/>
              <w:right w:val="single" w:sz="6" w:space="0" w:color="auto"/>
            </w:tcBorders>
            <w:shd w:val="clear" w:color="auto" w:fill="auto"/>
            <w:vAlign w:val="center"/>
          </w:tcPr>
          <w:p w14:paraId="7E0370C1"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650988D5"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39D342CC"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78B669C4"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0904865B"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0DA3182B" w14:textId="77777777" w:rsidR="006D557A" w:rsidRPr="00956E6E" w:rsidRDefault="006D557A" w:rsidP="00D5072C">
            <w:pPr>
              <w:pStyle w:val="TAC"/>
              <w:rPr>
                <w:rFonts w:eastAsiaTheme="minorEastAsia"/>
                <w:lang w:val="sv-SE"/>
              </w:rPr>
            </w:pPr>
            <w:r w:rsidRPr="00956E6E">
              <w:rPr>
                <w:rFonts w:eastAsiaTheme="minorEastAsia"/>
                <w:lang w:val="sv-SE"/>
              </w:rPr>
              <w:t>NR_FDD_FR1_E, NR_TDD_FR1_E</w:t>
            </w:r>
          </w:p>
        </w:tc>
        <w:tc>
          <w:tcPr>
            <w:tcW w:w="984" w:type="dxa"/>
            <w:tcBorders>
              <w:top w:val="single" w:sz="6" w:space="0" w:color="auto"/>
              <w:left w:val="single" w:sz="6" w:space="0" w:color="auto"/>
              <w:bottom w:val="single" w:sz="6" w:space="0" w:color="auto"/>
              <w:right w:val="single" w:sz="6" w:space="0" w:color="auto"/>
            </w:tcBorders>
          </w:tcPr>
          <w:p w14:paraId="44E2EB8F" w14:textId="77777777" w:rsidR="006D557A" w:rsidRPr="00956E6E" w:rsidRDefault="006D557A" w:rsidP="00D5072C">
            <w:pPr>
              <w:pStyle w:val="TAC"/>
              <w:rPr>
                <w:rFonts w:eastAsiaTheme="minorEastAsia"/>
              </w:rPr>
            </w:pPr>
            <w:r w:rsidRPr="00956E6E">
              <w:rPr>
                <w:rFonts w:eastAsiaTheme="minorEastAsia"/>
              </w:rPr>
              <w:t>-125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5073A0CB" w14:textId="77777777" w:rsidR="006D557A" w:rsidRPr="00956E6E" w:rsidRDefault="006D557A" w:rsidP="00D5072C">
            <w:pPr>
              <w:pStyle w:val="TAC"/>
              <w:rPr>
                <w:rFonts w:eastAsiaTheme="minorEastAsia"/>
              </w:rPr>
            </w:pPr>
            <w:r w:rsidRPr="00956E6E">
              <w:rPr>
                <w:rFonts w:eastAsiaTheme="minorEastAsia"/>
              </w:rPr>
              <w:t>-122</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7EEC6F66" w14:textId="77777777" w:rsidR="006D557A" w:rsidRPr="00956E6E" w:rsidRDefault="006D557A" w:rsidP="00D5072C">
            <w:pPr>
              <w:pStyle w:val="TAC"/>
              <w:rPr>
                <w:rFonts w:eastAsiaTheme="minorEastAsia"/>
              </w:rPr>
            </w:pPr>
            <w:r w:rsidRPr="00956E6E">
              <w:rPr>
                <w:rFonts w:eastAsiaTheme="minorEastAsia"/>
              </w:rPr>
              <w:t>-119</w:t>
            </w:r>
          </w:p>
        </w:tc>
        <w:tc>
          <w:tcPr>
            <w:tcW w:w="1197" w:type="dxa"/>
            <w:tcBorders>
              <w:top w:val="single" w:sz="6" w:space="0" w:color="auto"/>
              <w:left w:val="single" w:sz="6" w:space="0" w:color="auto"/>
              <w:bottom w:val="single" w:sz="6" w:space="0" w:color="auto"/>
              <w:right w:val="single" w:sz="4" w:space="0" w:color="auto"/>
            </w:tcBorders>
            <w:vAlign w:val="center"/>
          </w:tcPr>
          <w:p w14:paraId="4F7A8C39" w14:textId="77777777" w:rsidR="006D557A" w:rsidRPr="00956E6E" w:rsidRDefault="006D557A" w:rsidP="00D5072C">
            <w:pPr>
              <w:pStyle w:val="TAC"/>
              <w:rPr>
                <w:rFonts w:eastAsiaTheme="minorEastAsia"/>
              </w:rPr>
            </w:pPr>
            <w:r w:rsidRPr="00956E6E">
              <w:rPr>
                <w:rFonts w:eastAsiaTheme="minorEastAsia"/>
              </w:rPr>
              <w:t>-50</w:t>
            </w:r>
          </w:p>
        </w:tc>
      </w:tr>
      <w:tr w:rsidR="006D557A" w:rsidRPr="00956E6E" w14:paraId="39311CF7" w14:textId="77777777" w:rsidTr="007A5129">
        <w:trPr>
          <w:jc w:val="center"/>
        </w:trPr>
        <w:tc>
          <w:tcPr>
            <w:tcW w:w="965" w:type="dxa"/>
            <w:vMerge/>
            <w:tcBorders>
              <w:left w:val="single" w:sz="4" w:space="0" w:color="auto"/>
              <w:right w:val="single" w:sz="6" w:space="0" w:color="auto"/>
            </w:tcBorders>
            <w:shd w:val="clear" w:color="auto" w:fill="auto"/>
            <w:vAlign w:val="center"/>
          </w:tcPr>
          <w:p w14:paraId="72DA51F6"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3C873763"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2A64B5E5"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74A2DF5D"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275FF670"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277DDFB6" w14:textId="77777777" w:rsidR="006D557A" w:rsidRPr="00956E6E" w:rsidRDefault="006D557A" w:rsidP="00D5072C">
            <w:pPr>
              <w:pStyle w:val="TAC"/>
              <w:rPr>
                <w:rFonts w:eastAsiaTheme="minorEastAsia"/>
              </w:rPr>
            </w:pPr>
            <w:r w:rsidRPr="00956E6E">
              <w:rPr>
                <w:rFonts w:eastAsiaTheme="minorEastAsia"/>
                <w:lang w:val="sv-SE"/>
              </w:rPr>
              <w:t>NR_FDD_FR1_F</w:t>
            </w:r>
          </w:p>
        </w:tc>
        <w:tc>
          <w:tcPr>
            <w:tcW w:w="984" w:type="dxa"/>
            <w:tcBorders>
              <w:top w:val="single" w:sz="6" w:space="0" w:color="auto"/>
              <w:left w:val="single" w:sz="6" w:space="0" w:color="auto"/>
              <w:bottom w:val="single" w:sz="6" w:space="0" w:color="auto"/>
              <w:right w:val="single" w:sz="6" w:space="0" w:color="auto"/>
            </w:tcBorders>
          </w:tcPr>
          <w:p w14:paraId="22FC055D" w14:textId="77777777" w:rsidR="006D557A" w:rsidRPr="00956E6E" w:rsidRDefault="006D557A" w:rsidP="00D5072C">
            <w:pPr>
              <w:pStyle w:val="TAC"/>
              <w:rPr>
                <w:rFonts w:eastAsiaTheme="minorEastAsia"/>
              </w:rPr>
            </w:pPr>
            <w:r w:rsidRPr="00956E6E">
              <w:rPr>
                <w:rFonts w:eastAsiaTheme="minorEastAsia"/>
              </w:rPr>
              <w:t>-124.5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396675C3" w14:textId="77777777" w:rsidR="006D557A" w:rsidRPr="00956E6E" w:rsidRDefault="006D557A" w:rsidP="00D5072C">
            <w:pPr>
              <w:pStyle w:val="TAC"/>
              <w:rPr>
                <w:rFonts w:eastAsiaTheme="minorEastAsia"/>
              </w:rPr>
            </w:pPr>
            <w:r w:rsidRPr="00956E6E">
              <w:rPr>
                <w:rFonts w:eastAsiaTheme="minorEastAsia"/>
              </w:rPr>
              <w:t>-121.5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2AC07D6D" w14:textId="77777777" w:rsidR="006D557A" w:rsidRPr="00956E6E" w:rsidRDefault="006D557A" w:rsidP="00D5072C">
            <w:pPr>
              <w:pStyle w:val="TAC"/>
              <w:rPr>
                <w:rFonts w:eastAsiaTheme="minorEastAsia"/>
              </w:rPr>
            </w:pPr>
            <w:r w:rsidRPr="00956E6E">
              <w:rPr>
                <w:rFonts w:eastAsiaTheme="minorEastAsia"/>
              </w:rPr>
              <w:t>-118.5</w:t>
            </w:r>
          </w:p>
        </w:tc>
        <w:tc>
          <w:tcPr>
            <w:tcW w:w="1197" w:type="dxa"/>
            <w:tcBorders>
              <w:top w:val="single" w:sz="6" w:space="0" w:color="auto"/>
              <w:left w:val="single" w:sz="6" w:space="0" w:color="auto"/>
              <w:bottom w:val="single" w:sz="6" w:space="0" w:color="auto"/>
              <w:right w:val="single" w:sz="4" w:space="0" w:color="auto"/>
            </w:tcBorders>
            <w:vAlign w:val="center"/>
          </w:tcPr>
          <w:p w14:paraId="3598924B" w14:textId="77777777" w:rsidR="006D557A" w:rsidRPr="00956E6E" w:rsidRDefault="006D557A" w:rsidP="00D5072C">
            <w:pPr>
              <w:pStyle w:val="TAC"/>
              <w:rPr>
                <w:rFonts w:eastAsiaTheme="minorEastAsia"/>
              </w:rPr>
            </w:pPr>
            <w:r w:rsidRPr="00956E6E">
              <w:rPr>
                <w:rFonts w:eastAsiaTheme="minorEastAsia"/>
              </w:rPr>
              <w:t>-50</w:t>
            </w:r>
          </w:p>
        </w:tc>
      </w:tr>
      <w:tr w:rsidR="006D557A" w:rsidRPr="00956E6E" w14:paraId="6ECE1228" w14:textId="77777777" w:rsidTr="007A5129">
        <w:trPr>
          <w:jc w:val="center"/>
        </w:trPr>
        <w:tc>
          <w:tcPr>
            <w:tcW w:w="965" w:type="dxa"/>
            <w:vMerge/>
            <w:tcBorders>
              <w:left w:val="single" w:sz="4" w:space="0" w:color="auto"/>
              <w:right w:val="single" w:sz="6" w:space="0" w:color="auto"/>
            </w:tcBorders>
            <w:shd w:val="clear" w:color="auto" w:fill="auto"/>
            <w:vAlign w:val="center"/>
          </w:tcPr>
          <w:p w14:paraId="2C3101C7"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6F1E0529"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6DB8D5E0"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66F1E670"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69223E76"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61C324A9" w14:textId="77777777" w:rsidR="006D557A" w:rsidRPr="00956E6E" w:rsidRDefault="006D557A" w:rsidP="00D5072C">
            <w:pPr>
              <w:pStyle w:val="TAC"/>
              <w:rPr>
                <w:rFonts w:eastAsiaTheme="minorEastAsia"/>
              </w:rPr>
            </w:pPr>
            <w:r w:rsidRPr="00956E6E">
              <w:rPr>
                <w:rFonts w:eastAsiaTheme="minorEastAsia"/>
                <w:lang w:val="sv-SE"/>
              </w:rPr>
              <w:t>NR_FDD_FR1_G</w:t>
            </w:r>
          </w:p>
        </w:tc>
        <w:tc>
          <w:tcPr>
            <w:tcW w:w="984" w:type="dxa"/>
            <w:tcBorders>
              <w:top w:val="single" w:sz="6" w:space="0" w:color="auto"/>
              <w:left w:val="single" w:sz="6" w:space="0" w:color="auto"/>
              <w:bottom w:val="single" w:sz="6" w:space="0" w:color="auto"/>
              <w:right w:val="single" w:sz="6" w:space="0" w:color="auto"/>
            </w:tcBorders>
          </w:tcPr>
          <w:p w14:paraId="16624189" w14:textId="77777777" w:rsidR="006D557A" w:rsidRPr="00956E6E" w:rsidRDefault="006D557A" w:rsidP="00D5072C">
            <w:pPr>
              <w:pStyle w:val="TAC"/>
              <w:rPr>
                <w:rFonts w:eastAsiaTheme="minorEastAsia"/>
              </w:rPr>
            </w:pPr>
            <w:r w:rsidRPr="00956E6E">
              <w:rPr>
                <w:rFonts w:eastAsiaTheme="minorEastAsia"/>
              </w:rPr>
              <w:t>-124</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5278EBF3" w14:textId="77777777" w:rsidR="006D557A" w:rsidRPr="00956E6E" w:rsidRDefault="006D557A" w:rsidP="00D5072C">
            <w:pPr>
              <w:pStyle w:val="TAC"/>
              <w:rPr>
                <w:rFonts w:eastAsiaTheme="minorEastAsia"/>
              </w:rPr>
            </w:pPr>
            <w:r w:rsidRPr="00956E6E">
              <w:rPr>
                <w:rFonts w:eastAsiaTheme="minorEastAsia"/>
              </w:rPr>
              <w:t>-121</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0400B88D" w14:textId="77777777" w:rsidR="006D557A" w:rsidRPr="00956E6E" w:rsidRDefault="006D557A" w:rsidP="00D5072C">
            <w:pPr>
              <w:pStyle w:val="TAC"/>
              <w:rPr>
                <w:rFonts w:eastAsiaTheme="minorEastAsia"/>
              </w:rPr>
            </w:pPr>
            <w:r w:rsidRPr="00956E6E">
              <w:rPr>
                <w:rFonts w:eastAsiaTheme="minorEastAsia"/>
              </w:rPr>
              <w:t>-118</w:t>
            </w:r>
          </w:p>
        </w:tc>
        <w:tc>
          <w:tcPr>
            <w:tcW w:w="1197" w:type="dxa"/>
            <w:tcBorders>
              <w:top w:val="single" w:sz="6" w:space="0" w:color="auto"/>
              <w:left w:val="single" w:sz="6" w:space="0" w:color="auto"/>
              <w:bottom w:val="single" w:sz="6" w:space="0" w:color="auto"/>
              <w:right w:val="single" w:sz="4" w:space="0" w:color="auto"/>
            </w:tcBorders>
            <w:vAlign w:val="center"/>
          </w:tcPr>
          <w:p w14:paraId="2AB4A296" w14:textId="77777777" w:rsidR="006D557A" w:rsidRPr="00956E6E" w:rsidRDefault="006D557A" w:rsidP="00D5072C">
            <w:pPr>
              <w:pStyle w:val="TAC"/>
              <w:rPr>
                <w:rFonts w:eastAsiaTheme="minorEastAsia"/>
              </w:rPr>
            </w:pPr>
            <w:r w:rsidRPr="00956E6E">
              <w:rPr>
                <w:rFonts w:eastAsiaTheme="minorEastAsia"/>
              </w:rPr>
              <w:t>-50</w:t>
            </w:r>
          </w:p>
        </w:tc>
      </w:tr>
      <w:tr w:rsidR="006D557A" w:rsidRPr="00956E6E" w14:paraId="7D9673F5" w14:textId="77777777" w:rsidTr="007A5129">
        <w:trPr>
          <w:jc w:val="center"/>
        </w:trPr>
        <w:tc>
          <w:tcPr>
            <w:tcW w:w="965" w:type="dxa"/>
            <w:vMerge/>
            <w:tcBorders>
              <w:left w:val="single" w:sz="4" w:space="0" w:color="auto"/>
              <w:right w:val="single" w:sz="6" w:space="0" w:color="auto"/>
            </w:tcBorders>
            <w:shd w:val="clear" w:color="auto" w:fill="auto"/>
            <w:vAlign w:val="center"/>
          </w:tcPr>
          <w:p w14:paraId="729B752D" w14:textId="77777777" w:rsidR="006D557A" w:rsidRPr="00956E6E" w:rsidRDefault="006D557A" w:rsidP="007A5129">
            <w:pPr>
              <w:keepNext/>
              <w:keepLines/>
              <w:spacing w:after="0"/>
              <w:jc w:val="center"/>
              <w:rPr>
                <w:rFonts w:ascii="Arial" w:eastAsiaTheme="minorEastAsia" w:hAnsi="Arial"/>
                <w:sz w:val="18"/>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50EB27DF" w14:textId="77777777" w:rsidR="006D557A" w:rsidRPr="00956E6E" w:rsidRDefault="006D557A" w:rsidP="007A5129">
            <w:pPr>
              <w:keepNext/>
              <w:keepLines/>
              <w:spacing w:after="0"/>
              <w:jc w:val="center"/>
              <w:rPr>
                <w:rFonts w:ascii="Arial" w:eastAsiaTheme="minorEastAsia" w:hAnsi="Arial"/>
                <w:sz w:val="18"/>
              </w:rPr>
            </w:pPr>
          </w:p>
        </w:tc>
        <w:tc>
          <w:tcPr>
            <w:tcW w:w="827" w:type="dxa"/>
            <w:vMerge/>
            <w:tcBorders>
              <w:left w:val="single" w:sz="6" w:space="0" w:color="auto"/>
              <w:right w:val="single" w:sz="6" w:space="0" w:color="auto"/>
            </w:tcBorders>
            <w:shd w:val="clear" w:color="auto" w:fill="auto"/>
            <w:vAlign w:val="center"/>
          </w:tcPr>
          <w:p w14:paraId="68657ED6"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right w:val="single" w:sz="6" w:space="0" w:color="auto"/>
            </w:tcBorders>
            <w:shd w:val="clear" w:color="auto" w:fill="auto"/>
            <w:vAlign w:val="center"/>
          </w:tcPr>
          <w:p w14:paraId="18BFB601"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right w:val="single" w:sz="6" w:space="0" w:color="auto"/>
            </w:tcBorders>
            <w:shd w:val="clear" w:color="auto" w:fill="auto"/>
            <w:vAlign w:val="center"/>
          </w:tcPr>
          <w:p w14:paraId="0DB60B2D" w14:textId="77777777" w:rsidR="006D557A" w:rsidRPr="00956E6E" w:rsidRDefault="006D557A" w:rsidP="007A5129">
            <w:pPr>
              <w:keepNext/>
              <w:keepLines/>
              <w:spacing w:after="0"/>
              <w:jc w:val="center"/>
              <w:rPr>
                <w:rFonts w:ascii="Arial" w:eastAsiaTheme="minorEastAsia" w:hAnsi="Arial"/>
                <w:sz w:val="18"/>
              </w:rPr>
            </w:pPr>
          </w:p>
        </w:tc>
        <w:tc>
          <w:tcPr>
            <w:tcW w:w="1586" w:type="dxa"/>
            <w:tcBorders>
              <w:top w:val="single" w:sz="6" w:space="0" w:color="auto"/>
              <w:left w:val="single" w:sz="6" w:space="0" w:color="auto"/>
              <w:bottom w:val="single" w:sz="6" w:space="0" w:color="auto"/>
              <w:right w:val="single" w:sz="6" w:space="0" w:color="auto"/>
            </w:tcBorders>
            <w:shd w:val="clear" w:color="auto" w:fill="auto"/>
            <w:vAlign w:val="center"/>
          </w:tcPr>
          <w:p w14:paraId="1BD7636A" w14:textId="77777777" w:rsidR="006D557A" w:rsidRPr="00956E6E" w:rsidRDefault="006D557A" w:rsidP="00D5072C">
            <w:pPr>
              <w:pStyle w:val="TAC"/>
              <w:rPr>
                <w:rFonts w:eastAsiaTheme="minorEastAsia"/>
              </w:rPr>
            </w:pPr>
            <w:r w:rsidRPr="00956E6E">
              <w:rPr>
                <w:rFonts w:eastAsiaTheme="minorEastAsia"/>
                <w:lang w:val="sv-SE"/>
              </w:rPr>
              <w:t>NR_FDD_FR1_H</w:t>
            </w:r>
          </w:p>
        </w:tc>
        <w:tc>
          <w:tcPr>
            <w:tcW w:w="984" w:type="dxa"/>
            <w:tcBorders>
              <w:top w:val="single" w:sz="6" w:space="0" w:color="auto"/>
              <w:left w:val="single" w:sz="6" w:space="0" w:color="auto"/>
              <w:bottom w:val="single" w:sz="6" w:space="0" w:color="auto"/>
              <w:right w:val="single" w:sz="6" w:space="0" w:color="auto"/>
            </w:tcBorders>
          </w:tcPr>
          <w:p w14:paraId="310D977A" w14:textId="77777777" w:rsidR="006D557A" w:rsidRPr="00956E6E" w:rsidRDefault="006D557A" w:rsidP="00D5072C">
            <w:pPr>
              <w:pStyle w:val="TAC"/>
              <w:rPr>
                <w:rFonts w:eastAsiaTheme="minorEastAsia"/>
              </w:rPr>
            </w:pPr>
            <w:r w:rsidRPr="00956E6E">
              <w:rPr>
                <w:rFonts w:eastAsiaTheme="minorEastAsia"/>
              </w:rPr>
              <w:t>-123.5</w:t>
            </w:r>
          </w:p>
        </w:tc>
        <w:tc>
          <w:tcPr>
            <w:tcW w:w="1013" w:type="dxa"/>
            <w:tcBorders>
              <w:top w:val="single" w:sz="6" w:space="0" w:color="auto"/>
              <w:left w:val="single" w:sz="6" w:space="0" w:color="auto"/>
              <w:bottom w:val="single" w:sz="6" w:space="0" w:color="auto"/>
              <w:right w:val="single" w:sz="6" w:space="0" w:color="auto"/>
            </w:tcBorders>
            <w:shd w:val="clear" w:color="auto" w:fill="auto"/>
          </w:tcPr>
          <w:p w14:paraId="7178DF1C" w14:textId="77777777" w:rsidR="006D557A" w:rsidRPr="00956E6E" w:rsidRDefault="006D557A" w:rsidP="00D5072C">
            <w:pPr>
              <w:pStyle w:val="TAC"/>
              <w:rPr>
                <w:rFonts w:eastAsiaTheme="minorEastAsia"/>
              </w:rPr>
            </w:pPr>
            <w:r w:rsidRPr="00956E6E">
              <w:rPr>
                <w:rFonts w:eastAsiaTheme="minorEastAsia"/>
              </w:rPr>
              <w:t>-120.5</w:t>
            </w:r>
          </w:p>
        </w:tc>
        <w:tc>
          <w:tcPr>
            <w:tcW w:w="1197" w:type="dxa"/>
            <w:tcBorders>
              <w:top w:val="single" w:sz="6" w:space="0" w:color="auto"/>
              <w:left w:val="single" w:sz="6" w:space="0" w:color="auto"/>
              <w:bottom w:val="single" w:sz="6" w:space="0" w:color="auto"/>
              <w:right w:val="single" w:sz="6" w:space="0" w:color="auto"/>
            </w:tcBorders>
            <w:shd w:val="clear" w:color="auto" w:fill="auto"/>
          </w:tcPr>
          <w:p w14:paraId="4514336D" w14:textId="77777777" w:rsidR="006D557A" w:rsidRPr="00956E6E" w:rsidRDefault="006D557A" w:rsidP="00D5072C">
            <w:pPr>
              <w:pStyle w:val="TAC"/>
              <w:rPr>
                <w:rFonts w:eastAsiaTheme="minorEastAsia"/>
              </w:rPr>
            </w:pPr>
            <w:r w:rsidRPr="00956E6E">
              <w:rPr>
                <w:rFonts w:eastAsiaTheme="minorEastAsia"/>
              </w:rPr>
              <w:t>-117.5</w:t>
            </w:r>
          </w:p>
        </w:tc>
        <w:tc>
          <w:tcPr>
            <w:tcW w:w="1197" w:type="dxa"/>
            <w:tcBorders>
              <w:top w:val="single" w:sz="6" w:space="0" w:color="auto"/>
              <w:left w:val="single" w:sz="6" w:space="0" w:color="auto"/>
              <w:bottom w:val="single" w:sz="6" w:space="0" w:color="auto"/>
              <w:right w:val="single" w:sz="4" w:space="0" w:color="auto"/>
            </w:tcBorders>
            <w:vAlign w:val="center"/>
          </w:tcPr>
          <w:p w14:paraId="3305B8FC" w14:textId="77777777" w:rsidR="006D557A" w:rsidRPr="00956E6E" w:rsidRDefault="006D557A" w:rsidP="00D5072C">
            <w:pPr>
              <w:pStyle w:val="TAC"/>
              <w:rPr>
                <w:rFonts w:eastAsiaTheme="minorEastAsia"/>
              </w:rPr>
            </w:pPr>
            <w:r w:rsidRPr="00956E6E">
              <w:rPr>
                <w:rFonts w:eastAsiaTheme="minorEastAsia"/>
              </w:rPr>
              <w:t>-50</w:t>
            </w:r>
          </w:p>
        </w:tc>
      </w:tr>
      <w:tr w:rsidR="006D557A" w:rsidRPr="00956E6E" w14:paraId="468432C9" w14:textId="77777777" w:rsidTr="007A5129">
        <w:trPr>
          <w:jc w:val="center"/>
        </w:trPr>
        <w:tc>
          <w:tcPr>
            <w:tcW w:w="965" w:type="dxa"/>
            <w:vMerge/>
            <w:tcBorders>
              <w:left w:val="single" w:sz="4" w:space="0" w:color="auto"/>
              <w:right w:val="single" w:sz="6" w:space="0" w:color="auto"/>
            </w:tcBorders>
            <w:shd w:val="clear" w:color="auto" w:fill="auto"/>
            <w:vAlign w:val="center"/>
          </w:tcPr>
          <w:p w14:paraId="0FEB8B19" w14:textId="77777777" w:rsidR="006D557A" w:rsidRPr="00956E6E" w:rsidRDefault="006D557A" w:rsidP="007A5129">
            <w:pPr>
              <w:keepNext/>
              <w:keepLines/>
              <w:spacing w:after="0"/>
              <w:jc w:val="center"/>
              <w:rPr>
                <w:rFonts w:ascii="Arial" w:eastAsiaTheme="minorEastAsia" w:hAnsi="Arial"/>
                <w:sz w:val="18"/>
                <w:lang w:eastAsia="zh-CN"/>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5A43F2C1" w14:textId="77777777" w:rsidR="006D557A" w:rsidRPr="00956E6E" w:rsidRDefault="006D557A" w:rsidP="007A5129">
            <w:pPr>
              <w:keepNext/>
              <w:keepLines/>
              <w:spacing w:after="0"/>
              <w:jc w:val="center"/>
              <w:rPr>
                <w:rFonts w:ascii="Arial" w:eastAsiaTheme="minorEastAsia" w:hAnsi="Arial"/>
                <w:sz w:val="18"/>
                <w:lang w:eastAsia="zh-CN"/>
              </w:rPr>
            </w:pPr>
          </w:p>
        </w:tc>
        <w:tc>
          <w:tcPr>
            <w:tcW w:w="827" w:type="dxa"/>
            <w:vMerge/>
            <w:tcBorders>
              <w:left w:val="single" w:sz="6" w:space="0" w:color="auto"/>
              <w:right w:val="single" w:sz="6" w:space="0" w:color="auto"/>
            </w:tcBorders>
            <w:shd w:val="clear" w:color="auto" w:fill="auto"/>
            <w:vAlign w:val="center"/>
          </w:tcPr>
          <w:p w14:paraId="7BC4CA8C" w14:textId="77777777" w:rsidR="006D557A" w:rsidRPr="00956E6E" w:rsidRDefault="006D557A" w:rsidP="007A5129">
            <w:pPr>
              <w:keepNext/>
              <w:keepLines/>
              <w:spacing w:after="0"/>
              <w:jc w:val="center"/>
              <w:rPr>
                <w:rFonts w:ascii="Arial" w:eastAsiaTheme="minorEastAsia" w:hAnsi="Arial"/>
                <w:sz w:val="18"/>
                <w:lang w:val="sv-SE"/>
              </w:rPr>
            </w:pPr>
          </w:p>
        </w:tc>
        <w:tc>
          <w:tcPr>
            <w:tcW w:w="1140" w:type="dxa"/>
            <w:vMerge/>
            <w:tcBorders>
              <w:left w:val="single" w:sz="6" w:space="0" w:color="auto"/>
              <w:right w:val="single" w:sz="6" w:space="0" w:color="auto"/>
            </w:tcBorders>
            <w:shd w:val="clear" w:color="auto" w:fill="auto"/>
            <w:vAlign w:val="center"/>
          </w:tcPr>
          <w:p w14:paraId="479B6767" w14:textId="77777777" w:rsidR="006D557A" w:rsidRPr="00956E6E" w:rsidRDefault="006D557A" w:rsidP="007A5129">
            <w:pPr>
              <w:keepNext/>
              <w:keepLines/>
              <w:spacing w:after="0"/>
              <w:jc w:val="center"/>
              <w:rPr>
                <w:rFonts w:ascii="Arial" w:eastAsiaTheme="minorEastAsia" w:hAnsi="Arial"/>
                <w:sz w:val="18"/>
                <w:lang w:eastAsia="zh-CN"/>
              </w:rPr>
            </w:pPr>
          </w:p>
        </w:tc>
        <w:tc>
          <w:tcPr>
            <w:tcW w:w="1178" w:type="dxa"/>
            <w:vMerge/>
            <w:tcBorders>
              <w:left w:val="single" w:sz="6" w:space="0" w:color="auto"/>
              <w:right w:val="single" w:sz="6" w:space="0" w:color="auto"/>
            </w:tcBorders>
            <w:shd w:val="clear" w:color="auto" w:fill="auto"/>
            <w:vAlign w:val="center"/>
          </w:tcPr>
          <w:p w14:paraId="2FDAAEB7" w14:textId="77777777" w:rsidR="006D557A" w:rsidRPr="00956E6E" w:rsidRDefault="006D557A" w:rsidP="007A5129">
            <w:pPr>
              <w:keepNext/>
              <w:keepLines/>
              <w:spacing w:after="0"/>
              <w:jc w:val="center"/>
              <w:rPr>
                <w:rFonts w:ascii="Arial" w:eastAsiaTheme="minorEastAsia" w:hAnsi="Arial"/>
                <w:sz w:val="18"/>
                <w:lang w:eastAsia="zh-CN"/>
              </w:rPr>
            </w:pP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36D6337" w14:textId="77777777" w:rsidR="006D557A" w:rsidRPr="00956E6E" w:rsidRDefault="006D557A" w:rsidP="007A5129">
            <w:pPr>
              <w:keepNext/>
              <w:keepLines/>
              <w:spacing w:after="0"/>
              <w:jc w:val="center"/>
              <w:rPr>
                <w:rFonts w:ascii="Arial" w:eastAsiaTheme="minorEastAsia" w:hAnsi="Arial"/>
                <w:sz w:val="18"/>
                <w:lang w:eastAsia="zh-CN"/>
              </w:rPr>
            </w:pPr>
            <w:r w:rsidRPr="00956E6E">
              <w:rPr>
                <w:rFonts w:ascii="Arial" w:eastAsiaTheme="minorEastAsia" w:hAnsi="Arial"/>
                <w:sz w:val="18"/>
              </w:rPr>
              <w:t>Note 4</w:t>
            </w:r>
          </w:p>
        </w:tc>
      </w:tr>
      <w:tr w:rsidR="006D557A" w:rsidRPr="00956E6E" w14:paraId="26D12DE1" w14:textId="77777777" w:rsidTr="007A5129">
        <w:trPr>
          <w:jc w:val="center"/>
        </w:trPr>
        <w:tc>
          <w:tcPr>
            <w:tcW w:w="965" w:type="dxa"/>
            <w:vMerge/>
            <w:tcBorders>
              <w:left w:val="single" w:sz="4" w:space="0" w:color="auto"/>
              <w:bottom w:val="single" w:sz="6" w:space="0" w:color="auto"/>
              <w:right w:val="single" w:sz="6" w:space="0" w:color="auto"/>
            </w:tcBorders>
            <w:shd w:val="clear" w:color="auto" w:fill="auto"/>
            <w:vAlign w:val="center"/>
          </w:tcPr>
          <w:p w14:paraId="589D21F5" w14:textId="77777777" w:rsidR="006D557A" w:rsidRPr="00956E6E" w:rsidRDefault="006D557A" w:rsidP="007A5129">
            <w:pPr>
              <w:keepNext/>
              <w:keepLines/>
              <w:spacing w:after="0"/>
              <w:jc w:val="center"/>
              <w:rPr>
                <w:rFonts w:ascii="Arial" w:eastAsiaTheme="minorEastAsia" w:hAnsi="Arial"/>
                <w:sz w:val="18"/>
                <w:lang w:eastAsia="zh-CN"/>
              </w:rPr>
            </w:pPr>
          </w:p>
        </w:tc>
        <w:tc>
          <w:tcPr>
            <w:tcW w:w="965" w:type="dxa"/>
            <w:vMerge/>
            <w:tcBorders>
              <w:top w:val="single" w:sz="6" w:space="0" w:color="auto"/>
              <w:left w:val="single" w:sz="4" w:space="0" w:color="auto"/>
              <w:bottom w:val="single" w:sz="4" w:space="0" w:color="auto"/>
              <w:right w:val="single" w:sz="6" w:space="0" w:color="auto"/>
            </w:tcBorders>
            <w:vAlign w:val="center"/>
          </w:tcPr>
          <w:p w14:paraId="1F2CA526" w14:textId="77777777" w:rsidR="006D557A" w:rsidRPr="00956E6E" w:rsidRDefault="006D557A" w:rsidP="007A5129">
            <w:pPr>
              <w:keepNext/>
              <w:keepLines/>
              <w:spacing w:after="0"/>
              <w:jc w:val="center"/>
              <w:rPr>
                <w:rFonts w:ascii="Arial" w:eastAsiaTheme="minorEastAsia" w:hAnsi="Arial"/>
                <w:sz w:val="18"/>
                <w:lang w:eastAsia="zh-CN"/>
              </w:rPr>
            </w:pPr>
          </w:p>
        </w:tc>
        <w:tc>
          <w:tcPr>
            <w:tcW w:w="827" w:type="dxa"/>
            <w:vMerge/>
            <w:tcBorders>
              <w:left w:val="single" w:sz="6" w:space="0" w:color="auto"/>
              <w:right w:val="single" w:sz="6" w:space="0" w:color="auto"/>
            </w:tcBorders>
            <w:shd w:val="clear" w:color="auto" w:fill="auto"/>
            <w:vAlign w:val="center"/>
          </w:tcPr>
          <w:p w14:paraId="0EC860EC" w14:textId="77777777" w:rsidR="006D557A" w:rsidRPr="00956E6E" w:rsidRDefault="006D557A" w:rsidP="007A5129">
            <w:pPr>
              <w:keepNext/>
              <w:keepLines/>
              <w:spacing w:after="0"/>
              <w:jc w:val="center"/>
              <w:rPr>
                <w:rFonts w:ascii="Arial" w:eastAsiaTheme="minorEastAsia" w:hAnsi="Arial"/>
                <w:sz w:val="18"/>
              </w:rPr>
            </w:pPr>
          </w:p>
        </w:tc>
        <w:tc>
          <w:tcPr>
            <w:tcW w:w="1140" w:type="dxa"/>
            <w:vMerge/>
            <w:tcBorders>
              <w:left w:val="single" w:sz="6" w:space="0" w:color="auto"/>
              <w:bottom w:val="single" w:sz="6" w:space="0" w:color="auto"/>
              <w:right w:val="single" w:sz="6" w:space="0" w:color="auto"/>
            </w:tcBorders>
            <w:shd w:val="clear" w:color="auto" w:fill="auto"/>
            <w:vAlign w:val="center"/>
          </w:tcPr>
          <w:p w14:paraId="383B0777" w14:textId="77777777" w:rsidR="006D557A" w:rsidRPr="00956E6E" w:rsidRDefault="006D557A" w:rsidP="007A5129">
            <w:pPr>
              <w:keepNext/>
              <w:keepLines/>
              <w:spacing w:after="0"/>
              <w:jc w:val="center"/>
              <w:rPr>
                <w:rFonts w:ascii="Arial" w:eastAsiaTheme="minorEastAsia" w:hAnsi="Arial"/>
                <w:sz w:val="18"/>
              </w:rPr>
            </w:pPr>
          </w:p>
        </w:tc>
        <w:tc>
          <w:tcPr>
            <w:tcW w:w="1178" w:type="dxa"/>
            <w:vMerge/>
            <w:tcBorders>
              <w:left w:val="single" w:sz="6" w:space="0" w:color="auto"/>
              <w:bottom w:val="single" w:sz="6" w:space="0" w:color="auto"/>
              <w:right w:val="single" w:sz="6" w:space="0" w:color="auto"/>
            </w:tcBorders>
            <w:shd w:val="clear" w:color="auto" w:fill="auto"/>
            <w:vAlign w:val="center"/>
          </w:tcPr>
          <w:p w14:paraId="4B9A2FE1" w14:textId="77777777" w:rsidR="006D557A" w:rsidRPr="00956E6E" w:rsidRDefault="006D557A" w:rsidP="007A5129">
            <w:pPr>
              <w:keepNext/>
              <w:keepLines/>
              <w:spacing w:after="0"/>
              <w:jc w:val="center"/>
              <w:rPr>
                <w:rFonts w:ascii="Arial" w:eastAsiaTheme="minorEastAsia" w:hAnsi="Arial"/>
                <w:sz w:val="18"/>
                <w:lang w:eastAsia="zh-CN"/>
              </w:rPr>
            </w:pP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52BA7CC" w14:textId="77777777" w:rsidR="006D557A" w:rsidRPr="00956E6E" w:rsidRDefault="006D557A" w:rsidP="007A5129">
            <w:pPr>
              <w:keepNext/>
              <w:keepLines/>
              <w:spacing w:after="0"/>
              <w:jc w:val="center"/>
              <w:rPr>
                <w:rFonts w:ascii="Arial" w:eastAsiaTheme="minorEastAsia" w:hAnsi="Arial"/>
                <w:sz w:val="18"/>
                <w:lang w:eastAsia="zh-CN"/>
              </w:rPr>
            </w:pPr>
            <w:r w:rsidRPr="00956E6E">
              <w:rPr>
                <w:rFonts w:ascii="Arial" w:eastAsiaTheme="minorEastAsia" w:hAnsi="Arial"/>
                <w:sz w:val="18"/>
              </w:rPr>
              <w:t>Note 4</w:t>
            </w:r>
          </w:p>
        </w:tc>
      </w:tr>
      <w:tr w:rsidR="006D557A" w:rsidRPr="00956E6E" w14:paraId="0A116F9B" w14:textId="77777777" w:rsidTr="007A5129">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16346286"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65" w:type="dxa"/>
            <w:tcBorders>
              <w:top w:val="single" w:sz="4" w:space="0" w:color="auto"/>
              <w:left w:val="single" w:sz="4" w:space="0" w:color="auto"/>
              <w:bottom w:val="single" w:sz="4" w:space="0" w:color="auto"/>
              <w:right w:val="single" w:sz="4" w:space="0" w:color="auto"/>
            </w:tcBorders>
            <w:vAlign w:val="center"/>
          </w:tcPr>
          <w:p w14:paraId="72B469DF"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827" w:type="dxa"/>
            <w:vMerge w:val="restart"/>
            <w:tcBorders>
              <w:top w:val="single" w:sz="6" w:space="0" w:color="auto"/>
              <w:left w:val="single" w:sz="6" w:space="0" w:color="auto"/>
              <w:right w:val="single" w:sz="6" w:space="0" w:color="auto"/>
            </w:tcBorders>
            <w:shd w:val="clear" w:color="auto" w:fill="auto"/>
            <w:vAlign w:val="center"/>
          </w:tcPr>
          <w:p w14:paraId="0E4E7CE3" w14:textId="2F0AF0C9" w:rsidR="006D557A" w:rsidRPr="00956E6E" w:rsidRDefault="00EF4F31" w:rsidP="006D557A">
            <w:pPr>
              <w:pStyle w:val="TAC"/>
              <w:rPr>
                <w:rFonts w:eastAsiaTheme="minorEastAsia"/>
                <w:lang w:eastAsia="zh-CN"/>
              </w:rPr>
            </w:pPr>
            <w:r w:rsidRPr="00956E6E">
              <w:rPr>
                <w:rFonts w:eastAsiaTheme="minorEastAsia"/>
              </w:rPr>
              <w:t>≥</w:t>
            </w:r>
            <w:r>
              <w:rPr>
                <w:rFonts w:eastAsiaTheme="minorEastAsia"/>
                <w:lang w:eastAsia="zh-CN"/>
              </w:rPr>
              <w:t>-6</w:t>
            </w: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7419C117" w14:textId="641B8007" w:rsidR="006D557A" w:rsidRPr="00956E6E" w:rsidRDefault="006D557A" w:rsidP="006D557A">
            <w:pPr>
              <w:pStyle w:val="TAC"/>
              <w:rPr>
                <w:rFonts w:eastAsiaTheme="minorEastAsia"/>
              </w:rPr>
            </w:pPr>
            <w:r>
              <w:rPr>
                <w:lang w:eastAsia="zh-CN"/>
              </w:rPr>
              <w:t>48</w:t>
            </w:r>
            <w:r w:rsidRPr="000501F5">
              <w:rPr>
                <w:lang w:eastAsia="zh-CN"/>
              </w:rPr>
              <w:t xml:space="preserve"> ≤ BW ≤ 52</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1B118B24" w14:textId="77777777" w:rsidR="006D557A" w:rsidRPr="00956E6E" w:rsidRDefault="006D557A" w:rsidP="006D557A">
            <w:pPr>
              <w:pStyle w:val="TAC"/>
              <w:rPr>
                <w:rFonts w:eastAsiaTheme="minorEastAsia"/>
                <w:lang w:eastAsia="zh-CN"/>
              </w:rPr>
            </w:pPr>
            <w:r w:rsidRPr="00956E6E">
              <w:rPr>
                <w:rFonts w:eastAsiaTheme="minorEastAsia"/>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0B139A41" w14:textId="77777777" w:rsidR="006D557A" w:rsidRPr="00956E6E" w:rsidRDefault="006D557A" w:rsidP="006D557A">
            <w:pPr>
              <w:pStyle w:val="TAC"/>
              <w:rPr>
                <w:rFonts w:eastAsiaTheme="minorEastAsia"/>
              </w:rPr>
            </w:pPr>
            <w:r w:rsidRPr="00956E6E">
              <w:rPr>
                <w:rFonts w:eastAsiaTheme="minorEastAsia"/>
              </w:rPr>
              <w:t>Note 4</w:t>
            </w:r>
          </w:p>
        </w:tc>
      </w:tr>
      <w:tr w:rsidR="006D557A" w:rsidRPr="00956E6E" w14:paraId="3CAB3574" w14:textId="77777777" w:rsidTr="007A5129">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59F3456E" w14:textId="77777777" w:rsidR="006D557A" w:rsidRPr="00956E6E" w:rsidRDefault="006D557A" w:rsidP="006D557A">
            <w:pPr>
              <w:pStyle w:val="TAC"/>
              <w:rPr>
                <w:rFonts w:eastAsiaTheme="minorEastAsia"/>
                <w:szCs w:val="18"/>
                <w:lang w:eastAsia="zh-CN"/>
              </w:rPr>
            </w:pPr>
            <w:r w:rsidRPr="00956E6E">
              <w:rPr>
                <w:rFonts w:eastAsiaTheme="minorEastAsia" w:hint="eastAsia"/>
                <w:lang w:eastAsia="zh-CN"/>
              </w:rPr>
              <w:t>±</w:t>
            </w:r>
            <w:r w:rsidRPr="00956E6E">
              <w:rPr>
                <w:rFonts w:eastAsiaTheme="minorEastAsia" w:hint="eastAsia"/>
                <w:lang w:eastAsia="zh-CN"/>
              </w:rPr>
              <w:t>TBD</w:t>
            </w:r>
          </w:p>
        </w:tc>
        <w:tc>
          <w:tcPr>
            <w:tcW w:w="965" w:type="dxa"/>
            <w:tcBorders>
              <w:top w:val="single" w:sz="4" w:space="0" w:color="auto"/>
              <w:left w:val="single" w:sz="4" w:space="0" w:color="auto"/>
              <w:bottom w:val="single" w:sz="4" w:space="0" w:color="auto"/>
              <w:right w:val="single" w:sz="4" w:space="0" w:color="auto"/>
            </w:tcBorders>
            <w:vAlign w:val="center"/>
          </w:tcPr>
          <w:p w14:paraId="64BB68AC"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827" w:type="dxa"/>
            <w:vMerge/>
            <w:tcBorders>
              <w:left w:val="single" w:sz="6" w:space="0" w:color="auto"/>
              <w:right w:val="single" w:sz="6" w:space="0" w:color="auto"/>
            </w:tcBorders>
            <w:shd w:val="clear" w:color="auto" w:fill="auto"/>
            <w:vAlign w:val="center"/>
          </w:tcPr>
          <w:p w14:paraId="04AB74EA" w14:textId="77777777" w:rsidR="006D557A" w:rsidRPr="00956E6E" w:rsidRDefault="006D557A" w:rsidP="006D557A">
            <w:pPr>
              <w:pStyle w:val="TAC"/>
              <w:rPr>
                <w:rFonts w:eastAsiaTheme="minorEastAsia"/>
              </w:rPr>
            </w:pP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40B0F419" w14:textId="0E0B71C6" w:rsidR="006D557A" w:rsidRPr="00956E6E" w:rsidRDefault="006D557A" w:rsidP="006D557A">
            <w:pPr>
              <w:pStyle w:val="TAC"/>
              <w:rPr>
                <w:rFonts w:eastAsiaTheme="minorEastAsia"/>
              </w:rPr>
            </w:pPr>
            <w:r w:rsidRPr="000501F5">
              <w:rPr>
                <w:lang w:eastAsia="zh-CN"/>
              </w:rPr>
              <w:t>52&lt; BW≤ 104</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5F913AAC" w14:textId="77777777" w:rsidR="006D557A" w:rsidRPr="00956E6E" w:rsidRDefault="006D557A" w:rsidP="006D557A">
            <w:pPr>
              <w:pStyle w:val="TAC"/>
              <w:rPr>
                <w:rFonts w:eastAsiaTheme="minorEastAsia"/>
                <w:lang w:eastAsia="zh-CN"/>
              </w:rPr>
            </w:pPr>
            <w:r w:rsidRPr="00956E6E">
              <w:rPr>
                <w:rFonts w:eastAsiaTheme="minorEastAsia"/>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184BF49" w14:textId="77777777" w:rsidR="006D557A" w:rsidRPr="00956E6E" w:rsidRDefault="006D557A" w:rsidP="006D557A">
            <w:pPr>
              <w:pStyle w:val="TAC"/>
              <w:rPr>
                <w:rFonts w:eastAsiaTheme="minorEastAsia"/>
              </w:rPr>
            </w:pPr>
            <w:r w:rsidRPr="00956E6E">
              <w:rPr>
                <w:rFonts w:eastAsiaTheme="minorEastAsia"/>
              </w:rPr>
              <w:t>Note 4</w:t>
            </w:r>
          </w:p>
        </w:tc>
      </w:tr>
      <w:tr w:rsidR="006D557A" w:rsidRPr="00956E6E" w14:paraId="7A083A14" w14:textId="77777777" w:rsidTr="007A5129">
        <w:trPr>
          <w:jc w:val="center"/>
        </w:trPr>
        <w:tc>
          <w:tcPr>
            <w:tcW w:w="965" w:type="dxa"/>
            <w:tcBorders>
              <w:top w:val="single" w:sz="6" w:space="0" w:color="auto"/>
              <w:left w:val="single" w:sz="6" w:space="0" w:color="auto"/>
              <w:bottom w:val="single" w:sz="6" w:space="0" w:color="auto"/>
              <w:right w:val="single" w:sz="6" w:space="0" w:color="auto"/>
            </w:tcBorders>
            <w:shd w:val="clear" w:color="auto" w:fill="auto"/>
            <w:vAlign w:val="center"/>
          </w:tcPr>
          <w:p w14:paraId="0F2E6621"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65" w:type="dxa"/>
            <w:tcBorders>
              <w:top w:val="single" w:sz="4" w:space="0" w:color="auto"/>
              <w:left w:val="single" w:sz="4" w:space="0" w:color="auto"/>
              <w:bottom w:val="single" w:sz="4" w:space="0" w:color="auto"/>
              <w:right w:val="single" w:sz="4" w:space="0" w:color="auto"/>
            </w:tcBorders>
            <w:vAlign w:val="center"/>
          </w:tcPr>
          <w:p w14:paraId="0210C24E" w14:textId="77777777" w:rsidR="006D557A" w:rsidRPr="00956E6E" w:rsidRDefault="006D557A" w:rsidP="006D557A">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827" w:type="dxa"/>
            <w:vMerge/>
            <w:tcBorders>
              <w:left w:val="single" w:sz="6" w:space="0" w:color="auto"/>
              <w:bottom w:val="single" w:sz="6" w:space="0" w:color="auto"/>
              <w:right w:val="single" w:sz="6" w:space="0" w:color="auto"/>
            </w:tcBorders>
            <w:shd w:val="clear" w:color="auto" w:fill="auto"/>
            <w:vAlign w:val="center"/>
          </w:tcPr>
          <w:p w14:paraId="57FAD44B" w14:textId="77777777" w:rsidR="006D557A" w:rsidRPr="00956E6E" w:rsidRDefault="006D557A" w:rsidP="006D557A">
            <w:pPr>
              <w:pStyle w:val="TAC"/>
              <w:rPr>
                <w:rFonts w:eastAsiaTheme="minorEastAsia"/>
              </w:rPr>
            </w:pP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4CAF36A9" w14:textId="68187B9D" w:rsidR="006D557A" w:rsidRPr="00956E6E" w:rsidRDefault="006D557A" w:rsidP="006D557A">
            <w:pPr>
              <w:pStyle w:val="TAC"/>
              <w:rPr>
                <w:rFonts w:eastAsiaTheme="minorEastAsia"/>
              </w:rPr>
            </w:pPr>
            <w:r w:rsidRPr="000501F5">
              <w:rPr>
                <w:lang w:eastAsia="zh-CN"/>
              </w:rPr>
              <w:t>BW &gt;104</w:t>
            </w:r>
          </w:p>
        </w:tc>
        <w:tc>
          <w:tcPr>
            <w:tcW w:w="1178" w:type="dxa"/>
            <w:tcBorders>
              <w:top w:val="single" w:sz="6" w:space="0" w:color="auto"/>
              <w:left w:val="single" w:sz="6" w:space="0" w:color="auto"/>
              <w:bottom w:val="single" w:sz="6" w:space="0" w:color="auto"/>
              <w:right w:val="single" w:sz="6" w:space="0" w:color="auto"/>
            </w:tcBorders>
            <w:shd w:val="clear" w:color="auto" w:fill="auto"/>
          </w:tcPr>
          <w:p w14:paraId="78D0D412" w14:textId="77777777" w:rsidR="006D557A" w:rsidRPr="00956E6E" w:rsidRDefault="006D557A" w:rsidP="006D557A">
            <w:pPr>
              <w:pStyle w:val="TAC"/>
              <w:rPr>
                <w:rFonts w:eastAsiaTheme="minorEastAsia"/>
                <w:lang w:eastAsia="zh-CN"/>
              </w:rPr>
            </w:pPr>
            <w:r w:rsidRPr="00956E6E">
              <w:rPr>
                <w:rFonts w:eastAsiaTheme="minorEastAsia"/>
                <w:lang w:eastAsia="zh-CN"/>
              </w:rPr>
              <w:t>All</w:t>
            </w:r>
          </w:p>
        </w:tc>
        <w:tc>
          <w:tcPr>
            <w:tcW w:w="5977"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E64BF34" w14:textId="77777777" w:rsidR="006D557A" w:rsidRPr="00956E6E" w:rsidRDefault="006D557A" w:rsidP="006D557A">
            <w:pPr>
              <w:pStyle w:val="TAC"/>
              <w:rPr>
                <w:rFonts w:eastAsiaTheme="minorEastAsia"/>
              </w:rPr>
            </w:pPr>
            <w:r w:rsidRPr="00956E6E">
              <w:rPr>
                <w:rFonts w:eastAsiaTheme="minorEastAsia"/>
              </w:rPr>
              <w:t>Note 4</w:t>
            </w:r>
          </w:p>
        </w:tc>
      </w:tr>
      <w:tr w:rsidR="00BB469D" w:rsidRPr="00956E6E" w14:paraId="621BFB11" w14:textId="77777777" w:rsidTr="007A5129">
        <w:trPr>
          <w:jc w:val="center"/>
        </w:trPr>
        <w:tc>
          <w:tcPr>
            <w:tcW w:w="11052" w:type="dxa"/>
            <w:gridSpan w:val="10"/>
            <w:tcBorders>
              <w:top w:val="single" w:sz="6" w:space="0" w:color="auto"/>
              <w:left w:val="single" w:sz="4" w:space="0" w:color="auto"/>
              <w:bottom w:val="single" w:sz="4" w:space="0" w:color="auto"/>
              <w:right w:val="single" w:sz="4" w:space="0" w:color="auto"/>
            </w:tcBorders>
          </w:tcPr>
          <w:p w14:paraId="28A90BC6" w14:textId="77777777" w:rsidR="00BB469D" w:rsidRPr="00956E6E" w:rsidRDefault="00BB469D" w:rsidP="00D5072C">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1:</w:t>
            </w:r>
            <w:r w:rsidRPr="00956E6E">
              <w:rPr>
                <w:rFonts w:eastAsiaTheme="minorEastAsia"/>
              </w:rPr>
              <w:tab/>
              <w:t>This minimum Io condition is expressed as the average Io per RE over all REs in an OFDM symbol.</w:t>
            </w:r>
          </w:p>
          <w:p w14:paraId="7835842B" w14:textId="77777777" w:rsidR="00BB469D" w:rsidRPr="00956E6E" w:rsidRDefault="00BB469D" w:rsidP="00D5072C">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2:</w:t>
            </w:r>
            <w:r w:rsidRPr="00956E6E">
              <w:rPr>
                <w:rFonts w:eastAsiaTheme="minorEastAsia"/>
              </w:rPr>
              <w:tab/>
            </w:r>
            <w:r w:rsidRPr="00956E6E">
              <w:rPr>
                <w:rFonts w:eastAsiaTheme="minorEastAsia" w:hint="eastAsia"/>
                <w:lang w:eastAsia="zh-CN"/>
              </w:rPr>
              <w:t>Void</w:t>
            </w:r>
            <w:r w:rsidRPr="00956E6E">
              <w:rPr>
                <w:rFonts w:eastAsiaTheme="minorEastAsia"/>
              </w:rPr>
              <w:t>.</w:t>
            </w:r>
          </w:p>
          <w:p w14:paraId="381C4C46" w14:textId="77777777" w:rsidR="00BB469D" w:rsidRPr="00956E6E" w:rsidRDefault="00BB469D" w:rsidP="00D5072C">
            <w:pPr>
              <w:pStyle w:val="TAN"/>
              <w:rPr>
                <w:rFonts w:eastAsiaTheme="minorEastAsia" w:cs="v4.2.0"/>
              </w:rPr>
            </w:pPr>
            <w:r w:rsidRPr="00956E6E">
              <w:rPr>
                <w:rFonts w:eastAsiaTheme="minorEastAsia" w:cs="v4.2.0"/>
              </w:rPr>
              <w:t>N</w:t>
            </w:r>
            <w:r w:rsidRPr="00956E6E">
              <w:rPr>
                <w:rFonts w:eastAsiaTheme="minorEastAsia"/>
                <w:lang w:eastAsia="zh-CN"/>
              </w:rPr>
              <w:t>OTE</w:t>
            </w:r>
            <w:r w:rsidRPr="00956E6E">
              <w:rPr>
                <w:rFonts w:eastAsiaTheme="minorEastAsia" w:cs="v4.2.0"/>
              </w:rPr>
              <w:t xml:space="preserve"> 3:</w:t>
            </w:r>
            <w:r w:rsidRPr="00956E6E">
              <w:rPr>
                <w:rFonts w:eastAsiaTheme="minorEastAsia" w:cs="v4.2.0"/>
              </w:rPr>
              <w:tab/>
              <w:t xml:space="preserve">PRS bandwidth is as indicated in </w:t>
            </w:r>
            <w:r w:rsidRPr="00956E6E">
              <w:rPr>
                <w:rFonts w:eastAsiaTheme="minorEastAsia"/>
                <w:i/>
              </w:rPr>
              <w:t>prs-Bandwidth</w:t>
            </w:r>
            <w:r w:rsidRPr="00956E6E">
              <w:rPr>
                <w:rFonts w:eastAsiaTheme="minorEastAsia"/>
              </w:rPr>
              <w:t xml:space="preserve"> </w:t>
            </w:r>
            <w:r w:rsidRPr="00956E6E">
              <w:rPr>
                <w:rFonts w:eastAsiaTheme="minorEastAsia" w:cs="v4.2.0"/>
              </w:rPr>
              <w:t xml:space="preserve">in the OTDOA </w:t>
            </w:r>
            <w:r w:rsidRPr="00956E6E">
              <w:rPr>
                <w:rFonts w:eastAsiaTheme="minorEastAsia" w:cs="v4.2.0" w:hint="eastAsia"/>
                <w:lang w:eastAsia="zh-CN"/>
              </w:rPr>
              <w:t>or DL-AoD</w:t>
            </w:r>
            <w:r w:rsidRPr="00956E6E">
              <w:rPr>
                <w:rFonts w:eastAsiaTheme="minorEastAsia" w:cs="v4.2.0"/>
              </w:rPr>
              <w:t xml:space="preserve"> assistance data defined in [</w:t>
            </w:r>
            <w:r w:rsidRPr="00956E6E">
              <w:rPr>
                <w:rFonts w:eastAsiaTheme="minorEastAsia" w:cs="v4.2.0" w:hint="eastAsia"/>
                <w:lang w:eastAsia="zh-CN"/>
              </w:rPr>
              <w:t>3</w:t>
            </w:r>
            <w:r w:rsidRPr="00956E6E">
              <w:rPr>
                <w:rFonts w:eastAsiaTheme="minorEastAsia" w:cs="v4.2.0"/>
              </w:rPr>
              <w:t>4].</w:t>
            </w:r>
          </w:p>
          <w:p w14:paraId="30A6ED93" w14:textId="1D0EB476" w:rsidR="00BB469D" w:rsidRPr="00956E6E" w:rsidRDefault="00574F47" w:rsidP="00D5072C">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4:</w:t>
            </w:r>
            <w:r w:rsidRPr="00956E6E">
              <w:rPr>
                <w:rFonts w:eastAsiaTheme="minorEastAsia"/>
              </w:rPr>
              <w:tab/>
              <w:t xml:space="preserve">The same bands and the same Io conditions for each band apply for this requirement as for the corresponding requirement with the PRS bandwidth ≥ </w:t>
            </w:r>
            <w:r>
              <w:rPr>
                <w:rFonts w:eastAsiaTheme="minorEastAsia"/>
                <w:lang w:eastAsia="zh-CN"/>
              </w:rPr>
              <w:t>48</w:t>
            </w:r>
            <w:r w:rsidRPr="00956E6E">
              <w:rPr>
                <w:rFonts w:eastAsiaTheme="minorEastAsia"/>
              </w:rPr>
              <w:t xml:space="preserve"> RB.</w:t>
            </w:r>
          </w:p>
          <w:p w14:paraId="0EF4F992" w14:textId="77777777" w:rsidR="00BB469D" w:rsidRPr="00956E6E" w:rsidRDefault="00BB469D" w:rsidP="00D5072C">
            <w:pPr>
              <w:pStyle w:val="TAN"/>
              <w:rPr>
                <w:rFonts w:eastAsiaTheme="minorEastAsia"/>
              </w:rPr>
            </w:pPr>
            <w:r w:rsidRPr="00956E6E">
              <w:rPr>
                <w:rFonts w:eastAsiaTheme="minorEastAsia"/>
              </w:rPr>
              <w:t>NOTE 5:</w:t>
            </w:r>
            <w:r w:rsidRPr="00956E6E">
              <w:rPr>
                <w:rFonts w:eastAsiaTheme="minorEastAsia"/>
              </w:rPr>
              <w:tab/>
              <w:t>The serving cell, the reference cell, and the measured neighbour cell i are on the same carrier frequency.</w:t>
            </w:r>
          </w:p>
          <w:p w14:paraId="67170F5B" w14:textId="77777777" w:rsidR="00BB469D" w:rsidRPr="00956E6E" w:rsidRDefault="00BB469D" w:rsidP="00D5072C">
            <w:pPr>
              <w:pStyle w:val="TAN"/>
              <w:rPr>
                <w:rFonts w:eastAsiaTheme="minorEastAsia"/>
              </w:rPr>
            </w:pPr>
            <w:r w:rsidRPr="00956E6E">
              <w:rPr>
                <w:rFonts w:eastAsiaTheme="minorEastAsia"/>
              </w:rPr>
              <w:t>NOTE 6:</w:t>
            </w:r>
            <w:r w:rsidRPr="00956E6E">
              <w:rPr>
                <w:rFonts w:eastAsiaTheme="minorEastAsia"/>
              </w:rPr>
              <w:tab/>
              <w:t>The condition level is increased by ∆&gt;0, when applicable, as described in Sections B.</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2</w:t>
            </w:r>
            <w:r w:rsidRPr="00956E6E">
              <w:rPr>
                <w:rFonts w:eastAsiaTheme="minorEastAsia"/>
              </w:rPr>
              <w:t xml:space="preserve"> and B.</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3</w:t>
            </w:r>
            <w:r w:rsidRPr="00956E6E">
              <w:rPr>
                <w:rFonts w:eastAsiaTheme="minorEastAsia"/>
              </w:rPr>
              <w:t>.</w:t>
            </w:r>
          </w:p>
          <w:p w14:paraId="7AB51489" w14:textId="77777777" w:rsidR="00BB469D" w:rsidRPr="00956E6E" w:rsidRDefault="00BB469D" w:rsidP="00D5072C">
            <w:pPr>
              <w:pStyle w:val="TAN"/>
              <w:rPr>
                <w:rFonts w:eastAsiaTheme="minorEastAsia"/>
              </w:rPr>
            </w:pPr>
            <w:r w:rsidRPr="00956E6E">
              <w:rPr>
                <w:rFonts w:eastAsiaTheme="minorEastAsia"/>
              </w:rPr>
              <w:t>NOTE 7:</w:t>
            </w:r>
            <w:r w:rsidRPr="00956E6E">
              <w:rPr>
                <w:rFonts w:eastAsiaTheme="minorEastAsia"/>
              </w:rPr>
              <w:tab/>
              <w:t>The Io is defined in PRS positioning subframes. The same Io range applies to PRS and non-PRS symbols. Io levels are different in PRS and non-PRS symbols within the same subframe.</w:t>
            </w:r>
          </w:p>
          <w:p w14:paraId="0FE1BCFD" w14:textId="77777777" w:rsidR="00BB469D" w:rsidRPr="00956E6E" w:rsidRDefault="00BB469D" w:rsidP="00D5072C">
            <w:pPr>
              <w:pStyle w:val="TAN"/>
              <w:rPr>
                <w:rFonts w:eastAsiaTheme="minorEastAsia"/>
              </w:rPr>
            </w:pPr>
            <w:r w:rsidRPr="00956E6E">
              <w:rPr>
                <w:rFonts w:eastAsiaTheme="minorEastAsia"/>
              </w:rPr>
              <w:t>NOTE 8:</w:t>
            </w:r>
            <w:r w:rsidRPr="00956E6E">
              <w:rPr>
                <w:rFonts w:eastAsiaTheme="minorEastAsia"/>
              </w:rPr>
              <w:tab/>
            </w:r>
            <w:r w:rsidRPr="00956E6E">
              <w:rPr>
                <w:rFonts w:eastAsiaTheme="minorEastAsia" w:hint="eastAsia"/>
                <w:lang w:eastAsia="zh-CN"/>
              </w:rPr>
              <w:t>NR</w:t>
            </w:r>
            <w:r w:rsidRPr="00956E6E">
              <w:rPr>
                <w:rFonts w:eastAsiaTheme="minorEastAsia"/>
              </w:rPr>
              <w:t xml:space="preserve"> operating band groups are as defined in Section 3.5</w:t>
            </w:r>
            <w:r w:rsidRPr="00956E6E">
              <w:rPr>
                <w:rFonts w:eastAsiaTheme="minorEastAsia" w:hint="eastAsia"/>
                <w:lang w:eastAsia="zh-CN"/>
              </w:rPr>
              <w:t>.2</w:t>
            </w:r>
            <w:r w:rsidRPr="00956E6E">
              <w:rPr>
                <w:rFonts w:eastAsiaTheme="minorEastAsia"/>
              </w:rPr>
              <w:t>.</w:t>
            </w:r>
          </w:p>
        </w:tc>
      </w:tr>
    </w:tbl>
    <w:p w14:paraId="667BAE1D" w14:textId="77777777" w:rsidR="00BB469D" w:rsidRPr="00956E6E" w:rsidRDefault="00BB469D" w:rsidP="00BB469D">
      <w:pPr>
        <w:rPr>
          <w:rFonts w:eastAsiaTheme="minorEastAsia"/>
          <w:lang w:eastAsia="zh-CN"/>
        </w:rPr>
      </w:pPr>
    </w:p>
    <w:p w14:paraId="31D380CD" w14:textId="1E80CFEA" w:rsidR="00BB469D" w:rsidRPr="00956E6E" w:rsidRDefault="00BB469D" w:rsidP="00D5072C">
      <w:pPr>
        <w:pStyle w:val="TH"/>
        <w:rPr>
          <w:rFonts w:eastAsiaTheme="minorEastAsia"/>
          <w:lang w:eastAsia="zh-CN"/>
        </w:rPr>
      </w:pPr>
      <w:r w:rsidRPr="00956E6E">
        <w:rPr>
          <w:rFonts w:eastAsiaTheme="minorEastAsia"/>
        </w:rPr>
        <w:t xml:space="preserve">Table </w:t>
      </w:r>
      <w:r w:rsidRPr="00956E6E">
        <w:rPr>
          <w:rFonts w:eastAsiaTheme="minorEastAsia" w:cs="v4.2.0"/>
        </w:rPr>
        <w:t>10.1.</w:t>
      </w:r>
      <w:r w:rsidR="00D5072C">
        <w:rPr>
          <w:rFonts w:eastAsiaTheme="minorEastAsia" w:cs="v4.2.0"/>
        </w:rPr>
        <w:t>38</w:t>
      </w:r>
      <w:r w:rsidRPr="00956E6E">
        <w:rPr>
          <w:rFonts w:eastAsiaTheme="minorEastAsia" w:cs="v4.2.0"/>
        </w:rPr>
        <w:t>.2</w:t>
      </w:r>
      <w:r w:rsidRPr="00956E6E">
        <w:rPr>
          <w:rFonts w:eastAsiaTheme="minorEastAsia" w:cs="v4.2.0" w:hint="eastAsia"/>
          <w:lang w:eastAsia="zh-CN"/>
        </w:rPr>
        <w:t>.1</w:t>
      </w:r>
      <w:r w:rsidRPr="00956E6E">
        <w:rPr>
          <w:rFonts w:eastAsiaTheme="minorEastAsia" w:cs="v4.2.0"/>
        </w:rPr>
        <w:t>-</w:t>
      </w:r>
      <w:r w:rsidRPr="00956E6E">
        <w:rPr>
          <w:rFonts w:eastAsiaTheme="minorEastAsia" w:cs="v4.2.0" w:hint="eastAsia"/>
          <w:lang w:eastAsia="zh-CN"/>
        </w:rPr>
        <w:t>4</w:t>
      </w:r>
      <w:r w:rsidRPr="00956E6E">
        <w:rPr>
          <w:rFonts w:eastAsiaTheme="minorEastAsia"/>
        </w:rPr>
        <w:t>: PRS-RSRPP</w:t>
      </w:r>
      <w:r w:rsidRPr="00956E6E">
        <w:rPr>
          <w:rFonts w:eastAsiaTheme="minorEastAsia" w:hint="eastAsia"/>
          <w:lang w:eastAsia="zh-CN"/>
        </w:rPr>
        <w:t xml:space="preserve"> absolute </w:t>
      </w:r>
      <w:r w:rsidRPr="00956E6E">
        <w:rPr>
          <w:rFonts w:eastAsiaTheme="minorEastAsia"/>
        </w:rPr>
        <w:t>accuracy</w:t>
      </w:r>
      <w:r w:rsidRPr="00956E6E">
        <w:rPr>
          <w:rFonts w:eastAsiaTheme="minorEastAsia" w:hint="eastAsia"/>
          <w:lang w:eastAsia="zh-CN"/>
        </w:rPr>
        <w:t xml:space="preserve"> for FR2 for reduced number of samples</w:t>
      </w:r>
    </w:p>
    <w:tbl>
      <w:tblPr>
        <w:tblW w:w="9855" w:type="dxa"/>
        <w:jc w:val="center"/>
        <w:tblLayout w:type="fixed"/>
        <w:tblLook w:val="01E0" w:firstRow="1" w:lastRow="1" w:firstColumn="1" w:lastColumn="1" w:noHBand="0" w:noVBand="0"/>
      </w:tblPr>
      <w:tblGrid>
        <w:gridCol w:w="1046"/>
        <w:gridCol w:w="1049"/>
        <w:gridCol w:w="907"/>
        <w:gridCol w:w="1568"/>
        <w:gridCol w:w="1487"/>
        <w:gridCol w:w="1260"/>
        <w:gridCol w:w="1260"/>
        <w:gridCol w:w="1278"/>
      </w:tblGrid>
      <w:tr w:rsidR="00BB469D" w:rsidRPr="00956E6E" w14:paraId="33276794" w14:textId="77777777" w:rsidTr="007A5129">
        <w:trPr>
          <w:jc w:val="center"/>
        </w:trPr>
        <w:tc>
          <w:tcPr>
            <w:tcW w:w="2095" w:type="dxa"/>
            <w:gridSpan w:val="2"/>
            <w:tcBorders>
              <w:top w:val="single" w:sz="4" w:space="0" w:color="auto"/>
              <w:left w:val="single" w:sz="4" w:space="0" w:color="auto"/>
              <w:right w:val="single" w:sz="6" w:space="0" w:color="auto"/>
            </w:tcBorders>
            <w:shd w:val="clear" w:color="auto" w:fill="auto"/>
            <w:vAlign w:val="center"/>
          </w:tcPr>
          <w:p w14:paraId="1A011264" w14:textId="77777777" w:rsidR="00BB469D" w:rsidRPr="00956E6E" w:rsidRDefault="00BB469D" w:rsidP="007A5129">
            <w:pPr>
              <w:keepNext/>
              <w:keepLines/>
              <w:spacing w:after="0"/>
              <w:jc w:val="center"/>
              <w:rPr>
                <w:rFonts w:ascii="Arial" w:eastAsiaTheme="minorEastAsia" w:hAnsi="Arial"/>
                <w:b/>
                <w:sz w:val="18"/>
              </w:rPr>
            </w:pPr>
            <w:r w:rsidRPr="00956E6E">
              <w:rPr>
                <w:rFonts w:ascii="Arial" w:eastAsiaTheme="minorEastAsia" w:hAnsi="Arial"/>
                <w:b/>
                <w:sz w:val="18"/>
              </w:rPr>
              <w:t>Accuracy</w:t>
            </w:r>
          </w:p>
        </w:tc>
        <w:tc>
          <w:tcPr>
            <w:tcW w:w="7760" w:type="dxa"/>
            <w:gridSpan w:val="6"/>
            <w:tcBorders>
              <w:top w:val="single" w:sz="4" w:space="0" w:color="auto"/>
              <w:left w:val="single" w:sz="6" w:space="0" w:color="auto"/>
              <w:bottom w:val="single" w:sz="6" w:space="0" w:color="auto"/>
              <w:right w:val="single" w:sz="4" w:space="0" w:color="auto"/>
            </w:tcBorders>
            <w:vAlign w:val="center"/>
          </w:tcPr>
          <w:p w14:paraId="362B389B" w14:textId="77777777" w:rsidR="00BB469D" w:rsidRPr="00956E6E" w:rsidRDefault="00BB469D" w:rsidP="007A5129">
            <w:pPr>
              <w:keepNext/>
              <w:keepLines/>
              <w:spacing w:after="0"/>
              <w:jc w:val="center"/>
              <w:rPr>
                <w:rFonts w:ascii="Arial" w:eastAsiaTheme="minorEastAsia" w:hAnsi="Arial"/>
                <w:b/>
                <w:sz w:val="18"/>
              </w:rPr>
            </w:pPr>
            <w:r w:rsidRPr="00956E6E">
              <w:rPr>
                <w:rFonts w:ascii="Arial" w:eastAsiaTheme="minorEastAsia" w:hAnsi="Arial"/>
                <w:b/>
                <w:sz w:val="18"/>
              </w:rPr>
              <w:t>Conditions</w:t>
            </w:r>
          </w:p>
        </w:tc>
      </w:tr>
      <w:tr w:rsidR="00BB469D" w:rsidRPr="00956E6E" w14:paraId="422916A8" w14:textId="77777777" w:rsidTr="007A5129">
        <w:trPr>
          <w:jc w:val="center"/>
        </w:trPr>
        <w:tc>
          <w:tcPr>
            <w:tcW w:w="1046" w:type="dxa"/>
            <w:vMerge w:val="restart"/>
            <w:tcBorders>
              <w:left w:val="single" w:sz="4" w:space="0" w:color="auto"/>
              <w:right w:val="single" w:sz="6" w:space="0" w:color="auto"/>
            </w:tcBorders>
            <w:shd w:val="clear" w:color="auto" w:fill="auto"/>
            <w:vAlign w:val="center"/>
          </w:tcPr>
          <w:p w14:paraId="09BD675E" w14:textId="77777777" w:rsidR="00BB469D" w:rsidRPr="00956E6E" w:rsidRDefault="00BB469D" w:rsidP="00D5072C">
            <w:pPr>
              <w:pStyle w:val="TAH"/>
              <w:rPr>
                <w:rFonts w:eastAsiaTheme="minorEastAsia"/>
                <w:lang w:eastAsia="zh-CN"/>
              </w:rPr>
            </w:pPr>
            <w:r w:rsidRPr="00956E6E">
              <w:rPr>
                <w:rFonts w:eastAsiaTheme="minorEastAsia"/>
                <w:lang w:eastAsia="zh-CN"/>
              </w:rPr>
              <w:t>N</w:t>
            </w:r>
            <w:r w:rsidRPr="00956E6E">
              <w:rPr>
                <w:rFonts w:eastAsiaTheme="minorEastAsia" w:hint="eastAsia"/>
                <w:lang w:eastAsia="zh-CN"/>
              </w:rPr>
              <w:t>ormal condition</w:t>
            </w:r>
          </w:p>
        </w:tc>
        <w:tc>
          <w:tcPr>
            <w:tcW w:w="1049" w:type="dxa"/>
            <w:vMerge w:val="restart"/>
            <w:tcBorders>
              <w:left w:val="single" w:sz="4" w:space="0" w:color="auto"/>
              <w:right w:val="single" w:sz="6" w:space="0" w:color="auto"/>
            </w:tcBorders>
            <w:shd w:val="clear" w:color="auto" w:fill="auto"/>
            <w:vAlign w:val="center"/>
          </w:tcPr>
          <w:p w14:paraId="42334961" w14:textId="77777777" w:rsidR="00BB469D" w:rsidRPr="00956E6E" w:rsidRDefault="00BB469D" w:rsidP="00D5072C">
            <w:pPr>
              <w:pStyle w:val="TAH"/>
              <w:rPr>
                <w:rFonts w:eastAsiaTheme="minorEastAsia"/>
                <w:lang w:eastAsia="zh-CN"/>
              </w:rPr>
            </w:pPr>
            <w:r w:rsidRPr="00956E6E">
              <w:rPr>
                <w:rFonts w:eastAsiaTheme="minorEastAsia"/>
                <w:lang w:eastAsia="zh-CN"/>
              </w:rPr>
              <w:t>E</w:t>
            </w:r>
            <w:r w:rsidRPr="00956E6E">
              <w:rPr>
                <w:rFonts w:eastAsiaTheme="minorEastAsia" w:hint="eastAsia"/>
                <w:lang w:eastAsia="zh-CN"/>
              </w:rPr>
              <w:t>xtreme condition</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4492EBF9" w14:textId="77777777" w:rsidR="00BB469D" w:rsidRPr="00956E6E" w:rsidRDefault="00BB469D" w:rsidP="00D5072C">
            <w:pPr>
              <w:pStyle w:val="TAH"/>
              <w:rPr>
                <w:rFonts w:eastAsiaTheme="minorEastAsia"/>
              </w:rPr>
            </w:pPr>
            <w:r w:rsidRPr="00956E6E">
              <w:rPr>
                <w:rFonts w:eastAsiaTheme="minorEastAsia"/>
              </w:rPr>
              <w:t>PRS Ês/Iot</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53739236" w14:textId="77777777" w:rsidR="00BB469D" w:rsidRPr="00956E6E" w:rsidRDefault="00BB469D" w:rsidP="00D5072C">
            <w:pPr>
              <w:pStyle w:val="TAH"/>
              <w:rPr>
                <w:rFonts w:eastAsiaTheme="minorEastAsia"/>
                <w:lang w:eastAsia="zh-CN"/>
              </w:rPr>
            </w:pPr>
            <w:r w:rsidRPr="00956E6E">
              <w:rPr>
                <w:rFonts w:eastAsiaTheme="minorEastAsia" w:hint="eastAsia"/>
                <w:lang w:eastAsia="zh-CN"/>
              </w:rPr>
              <w:t>PRS BW</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13BD0AE5" w14:textId="77777777" w:rsidR="00BB469D" w:rsidRPr="00956E6E" w:rsidRDefault="00BB469D" w:rsidP="00D5072C">
            <w:pPr>
              <w:pStyle w:val="TAH"/>
              <w:rPr>
                <w:rFonts w:eastAsiaTheme="minorEastAsia"/>
                <w:lang w:val="en-US" w:eastAsia="zh-CN"/>
              </w:rPr>
            </w:pPr>
            <w:r w:rsidRPr="00956E6E">
              <w:rPr>
                <w:rFonts w:eastAsiaTheme="minorEastAsia"/>
                <w:bCs/>
                <w:lang w:eastAsia="zh-CN"/>
              </w:rPr>
              <w:t xml:space="preserve">Repetition </w:t>
            </w:r>
            <w:r w:rsidRPr="00956E6E">
              <w:rPr>
                <w:rFonts w:eastAsiaTheme="minorEastAsia" w:hint="eastAsia"/>
                <w:bCs/>
                <w:lang w:eastAsia="zh-CN"/>
              </w:rPr>
              <w:t>factor</w:t>
            </w:r>
            <w:r w:rsidRPr="00956E6E">
              <w:rPr>
                <w:rFonts w:eastAsiaTheme="minorEastAsia"/>
                <w:bCs/>
                <w:lang w:eastAsia="zh-CN"/>
              </w:rPr>
              <w:t xml:space="preserve"> </w:t>
            </w:r>
          </w:p>
          <w:p w14:paraId="5657AE89" w14:textId="77777777" w:rsidR="00BB469D" w:rsidRPr="00956E6E" w:rsidRDefault="00BB469D" w:rsidP="00D5072C">
            <w:pPr>
              <w:pStyle w:val="TAH"/>
              <w:rPr>
                <w:rFonts w:eastAsiaTheme="minorEastAsia"/>
                <w:lang w:eastAsia="zh-CN"/>
              </w:rPr>
            </w:pPr>
            <w:r w:rsidRPr="00956E6E">
              <w:rPr>
                <w:rFonts w:eastAsiaTheme="minorEastAsia"/>
                <w:bCs/>
                <w:lang w:eastAsia="zh-CN"/>
              </w:rPr>
              <w:t>(</w:t>
            </w:r>
            <m:oMath>
              <m:sSubSup>
                <m:sSubSupPr>
                  <m:ctrlPr>
                    <w:rPr>
                      <w:rFonts w:ascii="Cambria Math" w:eastAsiaTheme="minorEastAsia" w:hAnsi="Cambria Math"/>
                      <w:bCs/>
                      <w:i/>
                      <w:iCs/>
                      <w:lang w:val="en-US" w:eastAsia="zh-CN"/>
                    </w:rPr>
                  </m:ctrlPr>
                </m:sSubSupPr>
                <m:e>
                  <m:r>
                    <m:rPr>
                      <m:sty m:val="b"/>
                    </m:rPr>
                    <w:rPr>
                      <w:rFonts w:ascii="Cambria Math" w:eastAsiaTheme="minorEastAsia" w:hAnsi="Cambria Math"/>
                      <w:lang w:eastAsia="zh-CN"/>
                    </w:rPr>
                    <m:t>T</m:t>
                  </m:r>
                </m:e>
                <m:sub>
                  <m:r>
                    <m:rPr>
                      <m:nor/>
                    </m:rPr>
                    <w:rPr>
                      <w:rFonts w:eastAsiaTheme="minorEastAsia"/>
                      <w:bCs/>
                      <w:lang w:eastAsia="zh-CN"/>
                    </w:rPr>
                    <m:t>rep</m:t>
                  </m:r>
                </m:sub>
                <m:sup>
                  <m:r>
                    <m:rPr>
                      <m:nor/>
                    </m:rPr>
                    <w:rPr>
                      <w:rFonts w:eastAsiaTheme="minorEastAsia"/>
                      <w:bCs/>
                      <w:lang w:eastAsia="zh-CN"/>
                    </w:rPr>
                    <m:t>PRS</m:t>
                  </m:r>
                </m:sup>
              </m:sSubSup>
              <m:r>
                <m:rPr>
                  <m:sty m:val="b"/>
                </m:rPr>
                <w:rPr>
                  <w:rFonts w:ascii="Cambria Math" w:eastAsiaTheme="minorEastAsia" w:hAnsi="Cambria Math"/>
                  <w:lang w:eastAsia="zh-CN"/>
                </w:rPr>
                <m:t>*</m:t>
              </m:r>
              <m:sSub>
                <m:sSubPr>
                  <m:ctrlPr>
                    <w:rPr>
                      <w:rFonts w:ascii="Cambria Math" w:eastAsiaTheme="minorEastAsia" w:hAnsi="Cambria Math"/>
                      <w:bCs/>
                      <w:i/>
                      <w:iCs/>
                      <w:lang w:val="en-US" w:eastAsia="zh-CN"/>
                    </w:rPr>
                  </m:ctrlPr>
                </m:sSubPr>
                <m:e>
                  <m:r>
                    <m:rPr>
                      <m:sty m:val="b"/>
                    </m:rPr>
                    <w:rPr>
                      <w:rFonts w:ascii="Cambria Math" w:eastAsiaTheme="minorEastAsia" w:hAnsi="Cambria Math"/>
                      <w:lang w:eastAsia="zh-CN"/>
                    </w:rPr>
                    <m:t>L</m:t>
                  </m:r>
                </m:e>
                <m:sub>
                  <m:r>
                    <m:rPr>
                      <m:nor/>
                    </m:rPr>
                    <w:rPr>
                      <w:rFonts w:eastAsiaTheme="minorEastAsia"/>
                      <w:bCs/>
                      <w:lang w:eastAsia="zh-CN"/>
                    </w:rPr>
                    <m:t>PRS</m:t>
                  </m:r>
                </m:sub>
              </m:sSub>
              <m:r>
                <m:rPr>
                  <m:sty m:val="b"/>
                </m:rPr>
                <w:rPr>
                  <w:rFonts w:ascii="Cambria Math" w:eastAsiaTheme="minorEastAsia" w:hAnsi="Cambria Math"/>
                  <w:lang w:eastAsia="zh-CN"/>
                </w:rPr>
                <m:t>/</m:t>
              </m:r>
              <m:sSubSup>
                <m:sSubSupPr>
                  <m:ctrlPr>
                    <w:rPr>
                      <w:rFonts w:ascii="Cambria Math" w:eastAsiaTheme="minorEastAsia" w:hAnsi="Cambria Math"/>
                      <w:bCs/>
                      <w:i/>
                      <w:iCs/>
                      <w:lang w:val="en-US" w:eastAsia="zh-CN"/>
                    </w:rPr>
                  </m:ctrlPr>
                </m:sSubSupPr>
                <m:e>
                  <m:r>
                    <m:rPr>
                      <m:sty m:val="b"/>
                    </m:rPr>
                    <w:rPr>
                      <w:rFonts w:ascii="Cambria Math" w:eastAsiaTheme="minorEastAsia" w:hAnsi="Cambria Math"/>
                      <w:lang w:eastAsia="zh-CN"/>
                    </w:rPr>
                    <m:t>K</m:t>
                  </m:r>
                </m:e>
                <m:sub>
                  <m:r>
                    <m:rPr>
                      <m:nor/>
                    </m:rPr>
                    <w:rPr>
                      <w:rFonts w:eastAsiaTheme="minorEastAsia"/>
                      <w:bCs/>
                      <w:lang w:eastAsia="zh-CN"/>
                    </w:rPr>
                    <m:t>comb</m:t>
                  </m:r>
                </m:sub>
                <m:sup>
                  <m:r>
                    <m:rPr>
                      <m:nor/>
                    </m:rPr>
                    <w:rPr>
                      <w:rFonts w:eastAsiaTheme="minorEastAsia"/>
                      <w:bCs/>
                      <w:lang w:eastAsia="zh-CN"/>
                    </w:rPr>
                    <m:t>PRS</m:t>
                  </m:r>
                </m:sup>
              </m:sSubSup>
              <m:r>
                <m:rPr>
                  <m:sty m:val="b"/>
                </m:rPr>
                <w:rPr>
                  <w:rFonts w:ascii="Cambria Math" w:eastAsiaTheme="minorEastAsia" w:hAnsi="Cambria Math"/>
                  <w:lang w:eastAsia="zh-CN"/>
                </w:rPr>
                <m:t>)</m:t>
              </m:r>
            </m:oMath>
          </w:p>
        </w:tc>
        <w:tc>
          <w:tcPr>
            <w:tcW w:w="3798" w:type="dxa"/>
            <w:gridSpan w:val="3"/>
            <w:tcBorders>
              <w:top w:val="single" w:sz="6" w:space="0" w:color="auto"/>
              <w:left w:val="single" w:sz="6" w:space="0" w:color="auto"/>
              <w:bottom w:val="single" w:sz="6" w:space="0" w:color="auto"/>
              <w:right w:val="single" w:sz="4" w:space="0" w:color="auto"/>
            </w:tcBorders>
            <w:vAlign w:val="center"/>
          </w:tcPr>
          <w:p w14:paraId="7CCF9236" w14:textId="77777777" w:rsidR="00BB469D" w:rsidRPr="00956E6E" w:rsidRDefault="00BB469D" w:rsidP="00D5072C">
            <w:pPr>
              <w:pStyle w:val="TAH"/>
              <w:rPr>
                <w:rFonts w:eastAsiaTheme="minorEastAsia"/>
              </w:rPr>
            </w:pPr>
            <w:r w:rsidRPr="00956E6E">
              <w:rPr>
                <w:rFonts w:eastAsiaTheme="minorEastAsia"/>
              </w:rPr>
              <w:t>Io</w:t>
            </w:r>
            <w:r w:rsidRPr="00956E6E">
              <w:rPr>
                <w:rFonts w:eastAsiaTheme="minorEastAsia"/>
                <w:vertAlign w:val="superscript"/>
                <w:lang w:eastAsia="zh-CN"/>
              </w:rPr>
              <w:t xml:space="preserve"> Note 7</w:t>
            </w:r>
            <w:r w:rsidRPr="00956E6E">
              <w:rPr>
                <w:rFonts w:eastAsiaTheme="minorEastAsia"/>
              </w:rPr>
              <w:t xml:space="preserve"> range</w:t>
            </w:r>
          </w:p>
        </w:tc>
      </w:tr>
      <w:tr w:rsidR="00BB469D" w:rsidRPr="00956E6E" w14:paraId="4D9A50F9" w14:textId="77777777" w:rsidTr="007A5129">
        <w:trPr>
          <w:trHeight w:val="742"/>
          <w:jc w:val="center"/>
        </w:trPr>
        <w:tc>
          <w:tcPr>
            <w:tcW w:w="1046" w:type="dxa"/>
            <w:vMerge/>
            <w:tcBorders>
              <w:left w:val="single" w:sz="4" w:space="0" w:color="auto"/>
              <w:right w:val="single" w:sz="6" w:space="0" w:color="auto"/>
            </w:tcBorders>
            <w:shd w:val="clear" w:color="auto" w:fill="auto"/>
            <w:vAlign w:val="center"/>
          </w:tcPr>
          <w:p w14:paraId="3D56FA61" w14:textId="77777777" w:rsidR="00BB469D" w:rsidRPr="00956E6E" w:rsidRDefault="00BB469D" w:rsidP="00D5072C">
            <w:pPr>
              <w:pStyle w:val="TAH"/>
              <w:rPr>
                <w:rFonts w:eastAsiaTheme="minorEastAsia"/>
              </w:rPr>
            </w:pPr>
          </w:p>
        </w:tc>
        <w:tc>
          <w:tcPr>
            <w:tcW w:w="1049" w:type="dxa"/>
            <w:vMerge/>
            <w:tcBorders>
              <w:left w:val="single" w:sz="4" w:space="0" w:color="auto"/>
              <w:right w:val="single" w:sz="6" w:space="0" w:color="auto"/>
            </w:tcBorders>
            <w:shd w:val="clear" w:color="auto" w:fill="auto"/>
            <w:vAlign w:val="center"/>
          </w:tcPr>
          <w:p w14:paraId="4CD042CA" w14:textId="77777777" w:rsidR="00BB469D" w:rsidRPr="00956E6E" w:rsidRDefault="00BB469D" w:rsidP="00D5072C">
            <w:pPr>
              <w:pStyle w:val="TAH"/>
              <w:rPr>
                <w:rFonts w:eastAsiaTheme="minorEastAsia"/>
              </w:rPr>
            </w:pPr>
          </w:p>
        </w:tc>
        <w:tc>
          <w:tcPr>
            <w:tcW w:w="907" w:type="dxa"/>
            <w:vMerge/>
            <w:tcBorders>
              <w:left w:val="single" w:sz="6" w:space="0" w:color="auto"/>
              <w:right w:val="single" w:sz="6" w:space="0" w:color="auto"/>
            </w:tcBorders>
            <w:shd w:val="clear" w:color="auto" w:fill="auto"/>
            <w:vAlign w:val="center"/>
          </w:tcPr>
          <w:p w14:paraId="6C9F1A45" w14:textId="77777777" w:rsidR="00BB469D" w:rsidRPr="00956E6E" w:rsidRDefault="00BB469D" w:rsidP="00D5072C">
            <w:pPr>
              <w:pStyle w:val="TAH"/>
              <w:rPr>
                <w:rFonts w:eastAsiaTheme="minorEastAsia"/>
              </w:rPr>
            </w:pPr>
          </w:p>
        </w:tc>
        <w:tc>
          <w:tcPr>
            <w:tcW w:w="1568" w:type="dxa"/>
            <w:vMerge/>
            <w:tcBorders>
              <w:left w:val="single" w:sz="6" w:space="0" w:color="auto"/>
              <w:right w:val="single" w:sz="6" w:space="0" w:color="auto"/>
            </w:tcBorders>
            <w:shd w:val="clear" w:color="auto" w:fill="auto"/>
            <w:vAlign w:val="center"/>
          </w:tcPr>
          <w:p w14:paraId="2EBFAF92" w14:textId="77777777" w:rsidR="00BB469D" w:rsidRPr="00956E6E" w:rsidRDefault="00BB469D" w:rsidP="00D5072C">
            <w:pPr>
              <w:pStyle w:val="TAH"/>
              <w:rPr>
                <w:rFonts w:eastAsiaTheme="minorEastAsia"/>
              </w:rPr>
            </w:pPr>
          </w:p>
        </w:tc>
        <w:tc>
          <w:tcPr>
            <w:tcW w:w="1487" w:type="dxa"/>
            <w:vMerge/>
            <w:tcBorders>
              <w:left w:val="single" w:sz="6" w:space="0" w:color="auto"/>
              <w:right w:val="single" w:sz="6" w:space="0" w:color="auto"/>
            </w:tcBorders>
            <w:shd w:val="clear" w:color="auto" w:fill="auto"/>
            <w:vAlign w:val="center"/>
          </w:tcPr>
          <w:p w14:paraId="0ABF3A1A" w14:textId="77777777" w:rsidR="00BB469D" w:rsidRPr="00956E6E" w:rsidRDefault="00BB469D" w:rsidP="00D5072C">
            <w:pPr>
              <w:pStyle w:val="TAH"/>
              <w:rPr>
                <w:rFonts w:eastAsiaTheme="minorEastAsia"/>
              </w:rPr>
            </w:pPr>
          </w:p>
        </w:tc>
        <w:tc>
          <w:tcPr>
            <w:tcW w:w="2520" w:type="dxa"/>
            <w:gridSpan w:val="2"/>
            <w:tcBorders>
              <w:top w:val="single" w:sz="6" w:space="0" w:color="auto"/>
              <w:left w:val="single" w:sz="6" w:space="0" w:color="auto"/>
              <w:right w:val="single" w:sz="6" w:space="0" w:color="auto"/>
            </w:tcBorders>
            <w:shd w:val="clear" w:color="auto" w:fill="auto"/>
            <w:vAlign w:val="center"/>
          </w:tcPr>
          <w:p w14:paraId="6524A48D" w14:textId="77777777" w:rsidR="00BB469D" w:rsidRPr="00956E6E" w:rsidRDefault="00BB469D" w:rsidP="00D5072C">
            <w:pPr>
              <w:pStyle w:val="TAH"/>
              <w:rPr>
                <w:rFonts w:eastAsiaTheme="minorEastAsia"/>
              </w:rPr>
            </w:pPr>
            <w:r w:rsidRPr="00956E6E">
              <w:rPr>
                <w:rFonts w:eastAsiaTheme="minorEastAsia"/>
              </w:rPr>
              <w:t>Minimum</w:t>
            </w:r>
            <w:r w:rsidRPr="00956E6E">
              <w:rPr>
                <w:rFonts w:eastAsiaTheme="minorEastAsia"/>
              </w:rPr>
              <w:br/>
              <w:t xml:space="preserve">Io </w:t>
            </w:r>
            <w:r w:rsidRPr="00956E6E">
              <w:rPr>
                <w:rFonts w:eastAsiaTheme="minorEastAsia"/>
                <w:vertAlign w:val="superscript"/>
              </w:rPr>
              <w:t>Note 1</w:t>
            </w:r>
          </w:p>
          <w:p w14:paraId="49C99C66" w14:textId="77777777" w:rsidR="00BB469D" w:rsidRPr="00956E6E" w:rsidRDefault="00BB469D" w:rsidP="00D5072C">
            <w:pPr>
              <w:pStyle w:val="TAH"/>
              <w:rPr>
                <w:rFonts w:eastAsiaTheme="minorEastAsia"/>
              </w:rPr>
            </w:pPr>
            <w:r w:rsidRPr="00956E6E">
              <w:rPr>
                <w:rFonts w:eastAsiaTheme="minorEastAsia"/>
              </w:rPr>
              <w:t>dBm / SCS</w:t>
            </w:r>
            <w:r w:rsidRPr="00956E6E">
              <w:rPr>
                <w:rFonts w:eastAsiaTheme="minorEastAsia"/>
                <w:vertAlign w:val="subscript"/>
              </w:rPr>
              <w:t>PRS</w:t>
            </w:r>
          </w:p>
        </w:tc>
        <w:tc>
          <w:tcPr>
            <w:tcW w:w="1278" w:type="dxa"/>
            <w:tcBorders>
              <w:top w:val="single" w:sz="6" w:space="0" w:color="auto"/>
              <w:left w:val="single" w:sz="6" w:space="0" w:color="auto"/>
              <w:right w:val="single" w:sz="4" w:space="0" w:color="auto"/>
            </w:tcBorders>
            <w:shd w:val="clear" w:color="auto" w:fill="auto"/>
            <w:vAlign w:val="center"/>
          </w:tcPr>
          <w:p w14:paraId="5681D377" w14:textId="77777777" w:rsidR="00BB469D" w:rsidRPr="00956E6E" w:rsidRDefault="00BB469D" w:rsidP="00D5072C">
            <w:pPr>
              <w:pStyle w:val="TAH"/>
              <w:rPr>
                <w:rFonts w:eastAsiaTheme="minorEastAsia"/>
              </w:rPr>
            </w:pPr>
            <w:r w:rsidRPr="00956E6E">
              <w:rPr>
                <w:rFonts w:eastAsiaTheme="minorEastAsia"/>
              </w:rPr>
              <w:t>Maximum</w:t>
            </w:r>
            <w:r w:rsidRPr="00956E6E">
              <w:rPr>
                <w:rFonts w:eastAsiaTheme="minorEastAsia"/>
              </w:rPr>
              <w:br/>
              <w:t>Io</w:t>
            </w:r>
          </w:p>
        </w:tc>
      </w:tr>
      <w:tr w:rsidR="00BB469D" w:rsidRPr="00956E6E" w14:paraId="164F0B7F" w14:textId="77777777" w:rsidTr="007A5129">
        <w:trPr>
          <w:trHeight w:val="236"/>
          <w:jc w:val="center"/>
        </w:trPr>
        <w:tc>
          <w:tcPr>
            <w:tcW w:w="1046" w:type="dxa"/>
            <w:vMerge w:val="restart"/>
            <w:tcBorders>
              <w:top w:val="single" w:sz="6" w:space="0" w:color="auto"/>
              <w:left w:val="single" w:sz="4" w:space="0" w:color="auto"/>
              <w:right w:val="single" w:sz="6" w:space="0" w:color="auto"/>
            </w:tcBorders>
            <w:shd w:val="clear" w:color="auto" w:fill="auto"/>
            <w:vAlign w:val="center"/>
          </w:tcPr>
          <w:p w14:paraId="34214B02" w14:textId="77777777" w:rsidR="00BB469D" w:rsidRPr="00956E6E" w:rsidRDefault="00BB469D" w:rsidP="00D5072C">
            <w:pPr>
              <w:pStyle w:val="TAH"/>
              <w:rPr>
                <w:rFonts w:eastAsiaTheme="minorEastAsia"/>
              </w:rPr>
            </w:pPr>
            <w:r w:rsidRPr="00956E6E">
              <w:rPr>
                <w:rFonts w:eastAsiaTheme="minorEastAsia"/>
                <w:lang w:eastAsia="zh-CN"/>
              </w:rPr>
              <w:t>dB</w:t>
            </w:r>
          </w:p>
        </w:tc>
        <w:tc>
          <w:tcPr>
            <w:tcW w:w="1049" w:type="dxa"/>
            <w:vMerge w:val="restart"/>
            <w:tcBorders>
              <w:top w:val="single" w:sz="6" w:space="0" w:color="auto"/>
              <w:left w:val="single" w:sz="4" w:space="0" w:color="auto"/>
              <w:right w:val="single" w:sz="6" w:space="0" w:color="auto"/>
            </w:tcBorders>
            <w:shd w:val="clear" w:color="auto" w:fill="auto"/>
            <w:vAlign w:val="center"/>
          </w:tcPr>
          <w:p w14:paraId="7C474A70" w14:textId="77777777" w:rsidR="00BB469D" w:rsidRPr="00956E6E" w:rsidRDefault="00BB469D" w:rsidP="00D5072C">
            <w:pPr>
              <w:pStyle w:val="TAH"/>
              <w:rPr>
                <w:rFonts w:eastAsiaTheme="minorEastAsia"/>
              </w:rPr>
            </w:pPr>
            <w:r w:rsidRPr="00956E6E">
              <w:rPr>
                <w:rFonts w:eastAsiaTheme="minorEastAsia" w:hint="eastAsia"/>
                <w:lang w:eastAsia="zh-CN"/>
              </w:rPr>
              <w:t>dB</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55FFAC2A" w14:textId="77777777" w:rsidR="00BB469D" w:rsidRPr="00956E6E" w:rsidRDefault="00BB469D" w:rsidP="00D5072C">
            <w:pPr>
              <w:pStyle w:val="TAH"/>
              <w:rPr>
                <w:rFonts w:eastAsiaTheme="minorEastAsia"/>
              </w:rPr>
            </w:pPr>
            <w:r w:rsidRPr="00956E6E">
              <w:rPr>
                <w:rFonts w:eastAsiaTheme="minorEastAsia"/>
              </w:rPr>
              <w:t>dB</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4C7C9C4D" w14:textId="77777777" w:rsidR="00BB469D" w:rsidRPr="00956E6E" w:rsidRDefault="00BB469D" w:rsidP="00D5072C">
            <w:pPr>
              <w:pStyle w:val="TAH"/>
              <w:rPr>
                <w:rFonts w:eastAsiaTheme="minorEastAsia"/>
              </w:rPr>
            </w:pPr>
            <w:r w:rsidRPr="00956E6E">
              <w:rPr>
                <w:rFonts w:eastAsiaTheme="minorEastAsia" w:hint="eastAsia"/>
                <w:lang w:eastAsia="zh-CN"/>
              </w:rPr>
              <w:t>P</w:t>
            </w:r>
            <w:r w:rsidRPr="00956E6E">
              <w:rPr>
                <w:rFonts w:eastAsiaTheme="minorEastAsia"/>
              </w:rPr>
              <w:t>RB</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63851607" w14:textId="77777777" w:rsidR="00BB469D" w:rsidRPr="00956E6E" w:rsidRDefault="00BB469D" w:rsidP="00D5072C">
            <w:pPr>
              <w:pStyle w:val="TAH"/>
              <w:rPr>
                <w:rFonts w:eastAsiaTheme="minorEastAsia"/>
                <w:lang w:eastAsia="zh-CN"/>
              </w:rPr>
            </w:pPr>
            <w:r w:rsidRPr="00956E6E">
              <w:rPr>
                <w:rFonts w:eastAsiaTheme="minorEastAsia" w:hint="eastAsia"/>
                <w:lang w:eastAsia="zh-CN"/>
              </w:rPr>
              <w:t>-</w:t>
            </w:r>
          </w:p>
        </w:tc>
        <w:tc>
          <w:tcPr>
            <w:tcW w:w="2520" w:type="dxa"/>
            <w:gridSpan w:val="2"/>
            <w:tcBorders>
              <w:top w:val="single" w:sz="6" w:space="0" w:color="auto"/>
              <w:left w:val="single" w:sz="6" w:space="0" w:color="auto"/>
              <w:right w:val="single" w:sz="6" w:space="0" w:color="auto"/>
            </w:tcBorders>
            <w:shd w:val="clear" w:color="auto" w:fill="auto"/>
            <w:vAlign w:val="center"/>
          </w:tcPr>
          <w:p w14:paraId="03AB0581" w14:textId="77777777" w:rsidR="00BB469D" w:rsidRPr="00956E6E" w:rsidRDefault="00BB469D" w:rsidP="00D5072C">
            <w:pPr>
              <w:pStyle w:val="TAH"/>
              <w:rPr>
                <w:rFonts w:eastAsiaTheme="minorEastAsia"/>
                <w:lang w:eastAsia="zh-CN"/>
              </w:rPr>
            </w:pPr>
            <w:r w:rsidRPr="00956E6E">
              <w:rPr>
                <w:rFonts w:eastAsiaTheme="minorEastAsia"/>
              </w:rPr>
              <w:t>dBm / SCS</w:t>
            </w:r>
            <w:r w:rsidRPr="00956E6E">
              <w:rPr>
                <w:rFonts w:eastAsiaTheme="minorEastAsia"/>
                <w:vertAlign w:val="subscript"/>
              </w:rPr>
              <w:t>PRS</w:t>
            </w:r>
          </w:p>
        </w:tc>
        <w:tc>
          <w:tcPr>
            <w:tcW w:w="1278" w:type="dxa"/>
            <w:vMerge w:val="restart"/>
            <w:tcBorders>
              <w:top w:val="single" w:sz="6" w:space="0" w:color="auto"/>
              <w:left w:val="single" w:sz="6" w:space="0" w:color="auto"/>
              <w:right w:val="single" w:sz="4" w:space="0" w:color="auto"/>
            </w:tcBorders>
            <w:shd w:val="clear" w:color="auto" w:fill="auto"/>
            <w:vAlign w:val="center"/>
          </w:tcPr>
          <w:p w14:paraId="52FEDC1C" w14:textId="77777777" w:rsidR="00BB469D" w:rsidRPr="00956E6E" w:rsidRDefault="00BB469D" w:rsidP="00D5072C">
            <w:pPr>
              <w:pStyle w:val="TAH"/>
              <w:rPr>
                <w:rFonts w:eastAsiaTheme="minorEastAsia"/>
              </w:rPr>
            </w:pPr>
            <w:r w:rsidRPr="00956E6E">
              <w:rPr>
                <w:rFonts w:eastAsiaTheme="minorEastAsia"/>
              </w:rPr>
              <w:t>dBm/BW</w:t>
            </w:r>
            <w:r w:rsidRPr="00956E6E">
              <w:rPr>
                <w:rFonts w:eastAsiaTheme="minorEastAsia"/>
                <w:vertAlign w:val="subscript"/>
              </w:rPr>
              <w:t>Channel</w:t>
            </w:r>
          </w:p>
        </w:tc>
      </w:tr>
      <w:tr w:rsidR="00BB469D" w:rsidRPr="00956E6E" w14:paraId="31A0A1E7" w14:textId="77777777" w:rsidTr="007A5129">
        <w:trPr>
          <w:trHeight w:val="236"/>
          <w:jc w:val="center"/>
        </w:trPr>
        <w:tc>
          <w:tcPr>
            <w:tcW w:w="1046" w:type="dxa"/>
            <w:vMerge/>
            <w:tcBorders>
              <w:left w:val="single" w:sz="4" w:space="0" w:color="auto"/>
              <w:bottom w:val="single" w:sz="6" w:space="0" w:color="auto"/>
              <w:right w:val="single" w:sz="6" w:space="0" w:color="auto"/>
            </w:tcBorders>
            <w:shd w:val="clear" w:color="auto" w:fill="auto"/>
            <w:vAlign w:val="center"/>
          </w:tcPr>
          <w:p w14:paraId="7178BB22" w14:textId="77777777" w:rsidR="00BB469D" w:rsidRPr="00956E6E" w:rsidRDefault="00BB469D" w:rsidP="007A5129">
            <w:pPr>
              <w:keepNext/>
              <w:keepLines/>
              <w:spacing w:after="0"/>
              <w:jc w:val="center"/>
              <w:rPr>
                <w:rFonts w:ascii="Arial" w:eastAsiaTheme="minorEastAsia" w:hAnsi="Arial"/>
                <w:b/>
                <w:sz w:val="18"/>
              </w:rPr>
            </w:pPr>
          </w:p>
        </w:tc>
        <w:tc>
          <w:tcPr>
            <w:tcW w:w="1049" w:type="dxa"/>
            <w:vMerge/>
            <w:tcBorders>
              <w:left w:val="single" w:sz="4" w:space="0" w:color="auto"/>
              <w:right w:val="single" w:sz="6" w:space="0" w:color="auto"/>
            </w:tcBorders>
            <w:shd w:val="clear" w:color="auto" w:fill="auto"/>
            <w:vAlign w:val="center"/>
          </w:tcPr>
          <w:p w14:paraId="3FB009CD" w14:textId="77777777" w:rsidR="00BB469D" w:rsidRPr="00956E6E" w:rsidRDefault="00BB469D" w:rsidP="007A5129">
            <w:pPr>
              <w:keepNext/>
              <w:keepLines/>
              <w:spacing w:after="0"/>
              <w:jc w:val="center"/>
              <w:rPr>
                <w:rFonts w:ascii="Arial" w:eastAsiaTheme="minorEastAsia" w:hAnsi="Arial"/>
                <w:b/>
                <w:sz w:val="18"/>
              </w:rPr>
            </w:pPr>
          </w:p>
        </w:tc>
        <w:tc>
          <w:tcPr>
            <w:tcW w:w="907" w:type="dxa"/>
            <w:vMerge/>
            <w:tcBorders>
              <w:left w:val="single" w:sz="6" w:space="0" w:color="auto"/>
              <w:right w:val="single" w:sz="6" w:space="0" w:color="auto"/>
            </w:tcBorders>
            <w:shd w:val="clear" w:color="auto" w:fill="auto"/>
            <w:vAlign w:val="center"/>
          </w:tcPr>
          <w:p w14:paraId="5F74E074" w14:textId="77777777" w:rsidR="00BB469D" w:rsidRPr="00956E6E" w:rsidRDefault="00BB469D" w:rsidP="007A5129">
            <w:pPr>
              <w:keepNext/>
              <w:keepLines/>
              <w:spacing w:after="0"/>
              <w:jc w:val="center"/>
              <w:rPr>
                <w:rFonts w:ascii="Arial" w:eastAsiaTheme="minorEastAsia" w:hAnsi="Arial"/>
                <w:b/>
                <w:sz w:val="18"/>
              </w:rPr>
            </w:pPr>
          </w:p>
        </w:tc>
        <w:tc>
          <w:tcPr>
            <w:tcW w:w="1568" w:type="dxa"/>
            <w:vMerge/>
            <w:tcBorders>
              <w:left w:val="single" w:sz="6" w:space="0" w:color="auto"/>
              <w:right w:val="single" w:sz="6" w:space="0" w:color="auto"/>
            </w:tcBorders>
            <w:shd w:val="clear" w:color="auto" w:fill="auto"/>
            <w:vAlign w:val="center"/>
          </w:tcPr>
          <w:p w14:paraId="21D399F5" w14:textId="77777777" w:rsidR="00BB469D" w:rsidRPr="00956E6E" w:rsidRDefault="00BB469D" w:rsidP="007A5129">
            <w:pPr>
              <w:keepNext/>
              <w:keepLines/>
              <w:spacing w:after="0"/>
              <w:jc w:val="center"/>
              <w:rPr>
                <w:rFonts w:ascii="Arial" w:eastAsiaTheme="minorEastAsia" w:hAnsi="Arial"/>
                <w:b/>
                <w:sz w:val="18"/>
              </w:rPr>
            </w:pPr>
          </w:p>
        </w:tc>
        <w:tc>
          <w:tcPr>
            <w:tcW w:w="1487" w:type="dxa"/>
            <w:vMerge/>
            <w:tcBorders>
              <w:left w:val="single" w:sz="6" w:space="0" w:color="auto"/>
              <w:right w:val="single" w:sz="6" w:space="0" w:color="auto"/>
            </w:tcBorders>
            <w:shd w:val="clear" w:color="auto" w:fill="auto"/>
            <w:vAlign w:val="center"/>
          </w:tcPr>
          <w:p w14:paraId="4DC62159" w14:textId="77777777" w:rsidR="00BB469D" w:rsidRPr="00956E6E" w:rsidRDefault="00BB469D" w:rsidP="007A5129">
            <w:pPr>
              <w:keepNext/>
              <w:keepLines/>
              <w:spacing w:after="0"/>
              <w:jc w:val="center"/>
              <w:rPr>
                <w:rFonts w:ascii="Arial" w:eastAsiaTheme="minorEastAsia" w:hAnsi="Arial"/>
                <w:b/>
                <w:sz w:val="18"/>
              </w:rPr>
            </w:pPr>
          </w:p>
        </w:tc>
        <w:tc>
          <w:tcPr>
            <w:tcW w:w="1260" w:type="dxa"/>
            <w:tcBorders>
              <w:top w:val="single" w:sz="6" w:space="0" w:color="auto"/>
              <w:left w:val="single" w:sz="6" w:space="0" w:color="auto"/>
              <w:right w:val="single" w:sz="6" w:space="0" w:color="auto"/>
            </w:tcBorders>
            <w:shd w:val="clear" w:color="auto" w:fill="auto"/>
            <w:vAlign w:val="center"/>
          </w:tcPr>
          <w:p w14:paraId="44FA28E6" w14:textId="77777777" w:rsidR="00BB469D" w:rsidRPr="00956E6E" w:rsidRDefault="00BB469D" w:rsidP="00D5072C">
            <w:pPr>
              <w:pStyle w:val="TAH"/>
              <w:rPr>
                <w:rFonts w:eastAsiaTheme="minorEastAsia"/>
              </w:rPr>
            </w:pPr>
            <w:r w:rsidRPr="00956E6E">
              <w:rPr>
                <w:rFonts w:eastAsiaTheme="minorEastAsia"/>
              </w:rPr>
              <w:t>dBm/</w:t>
            </w:r>
            <w:r w:rsidRPr="00956E6E">
              <w:rPr>
                <w:rFonts w:eastAsiaTheme="minorEastAsia" w:hint="eastAsia"/>
                <w:lang w:eastAsia="zh-CN"/>
              </w:rPr>
              <w:t>120</w:t>
            </w:r>
            <w:r w:rsidRPr="00956E6E">
              <w:rPr>
                <w:rFonts w:eastAsiaTheme="minorEastAsia"/>
              </w:rPr>
              <w:t>kHz</w:t>
            </w:r>
            <w:r w:rsidRPr="00956E6E">
              <w:rPr>
                <w:rFonts w:eastAsiaTheme="minorEastAsia"/>
                <w:vertAlign w:val="superscript"/>
                <w:lang w:eastAsia="zh-CN"/>
              </w:rPr>
              <w:t xml:space="preserve"> Note 6</w:t>
            </w:r>
          </w:p>
        </w:tc>
        <w:tc>
          <w:tcPr>
            <w:tcW w:w="1260" w:type="dxa"/>
            <w:tcBorders>
              <w:top w:val="single" w:sz="6" w:space="0" w:color="auto"/>
              <w:left w:val="single" w:sz="6" w:space="0" w:color="auto"/>
              <w:right w:val="single" w:sz="6" w:space="0" w:color="auto"/>
            </w:tcBorders>
            <w:shd w:val="clear" w:color="auto" w:fill="auto"/>
            <w:vAlign w:val="center"/>
          </w:tcPr>
          <w:p w14:paraId="4BFFEA07" w14:textId="77777777" w:rsidR="00BB469D" w:rsidRPr="00956E6E" w:rsidRDefault="00BB469D" w:rsidP="00D5072C">
            <w:pPr>
              <w:pStyle w:val="TAH"/>
              <w:rPr>
                <w:rFonts w:eastAsiaTheme="minorEastAsia"/>
              </w:rPr>
            </w:pPr>
            <w:r w:rsidRPr="00956E6E">
              <w:rPr>
                <w:rFonts w:eastAsiaTheme="minorEastAsia"/>
              </w:rPr>
              <w:t>dBm/</w:t>
            </w:r>
            <w:r w:rsidRPr="00956E6E">
              <w:rPr>
                <w:rFonts w:eastAsiaTheme="minorEastAsia" w:hint="eastAsia"/>
                <w:lang w:eastAsia="zh-CN"/>
              </w:rPr>
              <w:t>60</w:t>
            </w:r>
            <w:r w:rsidRPr="00956E6E">
              <w:rPr>
                <w:rFonts w:eastAsiaTheme="minorEastAsia"/>
              </w:rPr>
              <w:t>kHz</w:t>
            </w:r>
            <w:r w:rsidRPr="00956E6E">
              <w:rPr>
                <w:rFonts w:eastAsiaTheme="minorEastAsia"/>
                <w:vertAlign w:val="superscript"/>
                <w:lang w:eastAsia="zh-CN"/>
              </w:rPr>
              <w:t xml:space="preserve"> Note 6</w:t>
            </w:r>
          </w:p>
        </w:tc>
        <w:tc>
          <w:tcPr>
            <w:tcW w:w="1278" w:type="dxa"/>
            <w:vMerge/>
            <w:tcBorders>
              <w:left w:val="single" w:sz="6" w:space="0" w:color="auto"/>
              <w:right w:val="single" w:sz="4" w:space="0" w:color="auto"/>
            </w:tcBorders>
            <w:shd w:val="clear" w:color="auto" w:fill="auto"/>
            <w:vAlign w:val="center"/>
          </w:tcPr>
          <w:p w14:paraId="33C1ECA7" w14:textId="77777777" w:rsidR="00BB469D" w:rsidRPr="00956E6E" w:rsidRDefault="00BB469D" w:rsidP="007A5129">
            <w:pPr>
              <w:keepNext/>
              <w:keepLines/>
              <w:spacing w:after="0"/>
              <w:jc w:val="center"/>
              <w:rPr>
                <w:rFonts w:ascii="Arial" w:eastAsiaTheme="minorEastAsia" w:hAnsi="Arial"/>
                <w:b/>
                <w:sz w:val="18"/>
              </w:rPr>
            </w:pPr>
          </w:p>
        </w:tc>
      </w:tr>
      <w:tr w:rsidR="00EF4F31" w:rsidRPr="00956E6E" w14:paraId="71D98645" w14:textId="77777777" w:rsidTr="007A5129">
        <w:trPr>
          <w:trHeight w:val="1761"/>
          <w:jc w:val="center"/>
        </w:trPr>
        <w:tc>
          <w:tcPr>
            <w:tcW w:w="1046" w:type="dxa"/>
            <w:vMerge w:val="restart"/>
            <w:tcBorders>
              <w:top w:val="single" w:sz="6" w:space="0" w:color="auto"/>
              <w:left w:val="single" w:sz="6" w:space="0" w:color="auto"/>
              <w:right w:val="single" w:sz="6" w:space="0" w:color="auto"/>
            </w:tcBorders>
            <w:shd w:val="clear" w:color="auto" w:fill="auto"/>
            <w:vAlign w:val="center"/>
          </w:tcPr>
          <w:p w14:paraId="7A6FEF95" w14:textId="26324313" w:rsidR="00EF4F31" w:rsidRPr="00956E6E" w:rsidRDefault="00EF4F31" w:rsidP="00EF4F31">
            <w:pPr>
              <w:pStyle w:val="TAC"/>
              <w:rPr>
                <w:rFonts w:eastAsiaTheme="minorEastAsia"/>
                <w:lang w:eastAsia="zh-CN"/>
              </w:rPr>
            </w:pPr>
            <w:r>
              <w:rPr>
                <w:rFonts w:eastAsiaTheme="minorEastAsia"/>
                <w:lang w:eastAsia="zh-CN"/>
              </w:rPr>
              <w:t>TBD</w:t>
            </w:r>
          </w:p>
        </w:tc>
        <w:tc>
          <w:tcPr>
            <w:tcW w:w="1049" w:type="dxa"/>
            <w:vMerge w:val="restart"/>
            <w:tcBorders>
              <w:top w:val="single" w:sz="6" w:space="0" w:color="auto"/>
              <w:left w:val="single" w:sz="4" w:space="0" w:color="auto"/>
              <w:bottom w:val="single" w:sz="4" w:space="0" w:color="auto"/>
              <w:right w:val="single" w:sz="6" w:space="0" w:color="auto"/>
            </w:tcBorders>
            <w:vAlign w:val="center"/>
          </w:tcPr>
          <w:p w14:paraId="33473113" w14:textId="56203EC5" w:rsidR="00EF4F31" w:rsidRPr="00956E6E" w:rsidRDefault="00EF4F31" w:rsidP="00EF4F31">
            <w:pPr>
              <w:pStyle w:val="TAC"/>
              <w:rPr>
                <w:rFonts w:eastAsiaTheme="minorEastAsia"/>
                <w:lang w:eastAsia="zh-CN"/>
              </w:rPr>
            </w:pPr>
            <w:r>
              <w:rPr>
                <w:rFonts w:eastAsiaTheme="minorEastAsia"/>
                <w:lang w:eastAsia="zh-CN"/>
              </w:rPr>
              <w:t>TBD</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4D3268D0" w14:textId="51C41FB7" w:rsidR="00EF4F31" w:rsidRPr="00956E6E" w:rsidRDefault="00EF4F31" w:rsidP="00EF4F31">
            <w:pPr>
              <w:pStyle w:val="TAC"/>
              <w:rPr>
                <w:rFonts w:eastAsiaTheme="minorEastAsia"/>
                <w:lang w:val="sv-SE" w:eastAsia="zh-CN"/>
              </w:rPr>
            </w:pPr>
            <w:r w:rsidRPr="00956E6E">
              <w:rPr>
                <w:rFonts w:eastAsiaTheme="minorEastAsia"/>
                <w:lang w:eastAsia="zh-CN"/>
              </w:rPr>
              <w:t>≥</w:t>
            </w:r>
            <w:r>
              <w:rPr>
                <w:rFonts w:eastAsiaTheme="minorEastAsia"/>
                <w:lang w:eastAsia="zh-CN"/>
              </w:rPr>
              <w:t>0</w:t>
            </w:r>
          </w:p>
        </w:tc>
        <w:tc>
          <w:tcPr>
            <w:tcW w:w="1568" w:type="dxa"/>
            <w:vMerge w:val="restart"/>
            <w:tcBorders>
              <w:top w:val="single" w:sz="6" w:space="0" w:color="auto"/>
              <w:left w:val="single" w:sz="6" w:space="0" w:color="auto"/>
              <w:right w:val="single" w:sz="6" w:space="0" w:color="auto"/>
            </w:tcBorders>
            <w:shd w:val="clear" w:color="auto" w:fill="auto"/>
            <w:vAlign w:val="center"/>
          </w:tcPr>
          <w:p w14:paraId="21EBD545" w14:textId="22D60071" w:rsidR="00EF4F31" w:rsidRPr="00956E6E" w:rsidRDefault="00EF4F31" w:rsidP="00EF4F31">
            <w:pPr>
              <w:pStyle w:val="TAC"/>
              <w:rPr>
                <w:rFonts w:eastAsiaTheme="minorEastAsia"/>
                <w:lang w:eastAsia="zh-CN"/>
              </w:rPr>
            </w:pPr>
            <w:r w:rsidRPr="001C6009">
              <w:t>≥</w:t>
            </w:r>
            <w:r>
              <w:rPr>
                <w:lang w:eastAsia="zh-CN"/>
              </w:rPr>
              <w:t>48</w:t>
            </w:r>
          </w:p>
        </w:tc>
        <w:tc>
          <w:tcPr>
            <w:tcW w:w="1487" w:type="dxa"/>
            <w:vMerge w:val="restart"/>
            <w:tcBorders>
              <w:top w:val="single" w:sz="6" w:space="0" w:color="auto"/>
              <w:left w:val="single" w:sz="6" w:space="0" w:color="auto"/>
              <w:right w:val="single" w:sz="6" w:space="0" w:color="auto"/>
            </w:tcBorders>
            <w:shd w:val="clear" w:color="auto" w:fill="auto"/>
            <w:vAlign w:val="center"/>
          </w:tcPr>
          <w:p w14:paraId="6F618C82" w14:textId="354FABB0" w:rsidR="00EF4F31" w:rsidRPr="00956E6E" w:rsidRDefault="00EF4F31" w:rsidP="00EF4F31">
            <w:pPr>
              <w:pStyle w:val="TAC"/>
              <w:rPr>
                <w:rFonts w:eastAsiaTheme="minorEastAsia"/>
                <w:lang w:eastAsia="zh-CN"/>
              </w:rPr>
            </w:pPr>
            <w:r w:rsidRPr="00956E6E">
              <w:rPr>
                <w:rFonts w:eastAsiaTheme="minorEastAsia"/>
                <w:lang w:eastAsia="zh-CN"/>
              </w:rPr>
              <w:t>A</w:t>
            </w:r>
            <w:r w:rsidRPr="00956E6E">
              <w:rPr>
                <w:rFonts w:eastAsiaTheme="minorEastAsia" w:hint="eastAsia"/>
                <w:lang w:eastAsia="zh-CN"/>
              </w:rPr>
              <w:t>ll</w:t>
            </w:r>
          </w:p>
        </w:tc>
        <w:tc>
          <w:tcPr>
            <w:tcW w:w="2520" w:type="dxa"/>
            <w:gridSpan w:val="2"/>
            <w:tcBorders>
              <w:top w:val="single" w:sz="6" w:space="0" w:color="auto"/>
              <w:left w:val="single" w:sz="6" w:space="0" w:color="auto"/>
              <w:right w:val="single" w:sz="6" w:space="0" w:color="auto"/>
            </w:tcBorders>
            <w:shd w:val="clear" w:color="auto" w:fill="auto"/>
          </w:tcPr>
          <w:p w14:paraId="0C584C45" w14:textId="582DC3B8" w:rsidR="00EF4F31" w:rsidRPr="00956E6E" w:rsidRDefault="00574F47" w:rsidP="00EF4F31">
            <w:pPr>
              <w:pStyle w:val="TAC"/>
              <w:rPr>
                <w:rFonts w:eastAsiaTheme="minorEastAsia"/>
                <w:noProof/>
              </w:rPr>
            </w:pPr>
            <w:r w:rsidRPr="0097752B">
              <w:rPr>
                <w:rFonts w:eastAsiaTheme="minorEastAsia"/>
                <w:noProof/>
              </w:rPr>
              <w:t xml:space="preserve">Same value as </w:t>
            </w:r>
            <w:r w:rsidRPr="0097752B">
              <w:rPr>
                <w:rFonts w:eastAsiaTheme="minorEastAsia"/>
                <w:noProof/>
                <w:lang w:eastAsia="zh-CN"/>
              </w:rPr>
              <w:t>P</w:t>
            </w:r>
            <w:r w:rsidRPr="0097752B">
              <w:rPr>
                <w:rFonts w:eastAsiaTheme="minorEastAsia"/>
                <w:noProof/>
              </w:rPr>
              <w:t>RP in Table B.2.</w:t>
            </w:r>
            <w:r>
              <w:rPr>
                <w:rFonts w:eastAsiaTheme="minorEastAsia"/>
                <w:noProof/>
                <w:lang w:eastAsia="zh-CN"/>
              </w:rPr>
              <w:t>14</w:t>
            </w:r>
            <w:r w:rsidRPr="0097752B">
              <w:rPr>
                <w:rFonts w:eastAsiaTheme="minorEastAsia"/>
                <w:noProof/>
              </w:rPr>
              <w:t>-2, according to UE Power class, operating band and angle of arrival</w:t>
            </w:r>
          </w:p>
        </w:tc>
        <w:tc>
          <w:tcPr>
            <w:tcW w:w="1278" w:type="dxa"/>
            <w:tcBorders>
              <w:top w:val="single" w:sz="6" w:space="0" w:color="auto"/>
              <w:left w:val="single" w:sz="6" w:space="0" w:color="auto"/>
              <w:right w:val="single" w:sz="4" w:space="0" w:color="auto"/>
            </w:tcBorders>
            <w:shd w:val="clear" w:color="auto" w:fill="auto"/>
            <w:vAlign w:val="center"/>
          </w:tcPr>
          <w:p w14:paraId="32729C0E" w14:textId="77777777" w:rsidR="00EF4F31" w:rsidRPr="00956E6E" w:rsidRDefault="00EF4F31" w:rsidP="00EF4F31">
            <w:pPr>
              <w:pStyle w:val="TAC"/>
              <w:rPr>
                <w:rFonts w:eastAsiaTheme="minorEastAsia"/>
                <w:lang w:eastAsia="zh-CN"/>
              </w:rPr>
            </w:pPr>
            <w:r w:rsidRPr="00956E6E">
              <w:rPr>
                <w:rFonts w:eastAsiaTheme="minorEastAsia"/>
              </w:rPr>
              <w:t>-50</w:t>
            </w:r>
          </w:p>
        </w:tc>
      </w:tr>
      <w:tr w:rsidR="00BB469D" w:rsidRPr="00956E6E" w14:paraId="03DCCAF3" w14:textId="77777777" w:rsidTr="007A5129">
        <w:trPr>
          <w:jc w:val="center"/>
        </w:trPr>
        <w:tc>
          <w:tcPr>
            <w:tcW w:w="1046" w:type="dxa"/>
            <w:vMerge/>
            <w:tcBorders>
              <w:left w:val="single" w:sz="6" w:space="0" w:color="auto"/>
              <w:right w:val="single" w:sz="6" w:space="0" w:color="auto"/>
            </w:tcBorders>
            <w:shd w:val="clear" w:color="auto" w:fill="auto"/>
            <w:vAlign w:val="center"/>
          </w:tcPr>
          <w:p w14:paraId="41010651" w14:textId="77777777" w:rsidR="00BB469D" w:rsidRPr="00956E6E" w:rsidRDefault="00BB469D" w:rsidP="00D5072C">
            <w:pPr>
              <w:pStyle w:val="TAC"/>
              <w:rPr>
                <w:rFonts w:eastAsiaTheme="minorEastAsia"/>
                <w:lang w:eastAsia="zh-CN"/>
              </w:rPr>
            </w:pPr>
          </w:p>
        </w:tc>
        <w:tc>
          <w:tcPr>
            <w:tcW w:w="1049" w:type="dxa"/>
            <w:vMerge/>
            <w:tcBorders>
              <w:top w:val="single" w:sz="6" w:space="0" w:color="auto"/>
              <w:left w:val="single" w:sz="4" w:space="0" w:color="auto"/>
              <w:bottom w:val="single" w:sz="4" w:space="0" w:color="auto"/>
              <w:right w:val="single" w:sz="6" w:space="0" w:color="auto"/>
            </w:tcBorders>
            <w:vAlign w:val="center"/>
          </w:tcPr>
          <w:p w14:paraId="5F5C3800" w14:textId="77777777" w:rsidR="00BB469D" w:rsidRPr="00956E6E" w:rsidRDefault="00BB469D" w:rsidP="00D5072C">
            <w:pPr>
              <w:pStyle w:val="TAC"/>
              <w:rPr>
                <w:rFonts w:eastAsiaTheme="minorEastAsia"/>
                <w:lang w:eastAsia="zh-CN"/>
              </w:rPr>
            </w:pPr>
          </w:p>
        </w:tc>
        <w:tc>
          <w:tcPr>
            <w:tcW w:w="907" w:type="dxa"/>
            <w:vMerge/>
            <w:tcBorders>
              <w:left w:val="single" w:sz="6" w:space="0" w:color="auto"/>
              <w:right w:val="single" w:sz="6" w:space="0" w:color="auto"/>
            </w:tcBorders>
            <w:shd w:val="clear" w:color="auto" w:fill="auto"/>
            <w:vAlign w:val="center"/>
          </w:tcPr>
          <w:p w14:paraId="6FDD4B63" w14:textId="77777777" w:rsidR="00BB469D" w:rsidRPr="00956E6E" w:rsidRDefault="00BB469D" w:rsidP="00D5072C">
            <w:pPr>
              <w:pStyle w:val="TAC"/>
              <w:rPr>
                <w:rFonts w:eastAsiaTheme="minorEastAsia"/>
                <w:lang w:val="sv-SE"/>
              </w:rPr>
            </w:pPr>
          </w:p>
        </w:tc>
        <w:tc>
          <w:tcPr>
            <w:tcW w:w="1568" w:type="dxa"/>
            <w:vMerge/>
            <w:tcBorders>
              <w:left w:val="single" w:sz="6" w:space="0" w:color="auto"/>
              <w:right w:val="single" w:sz="6" w:space="0" w:color="auto"/>
            </w:tcBorders>
            <w:shd w:val="clear" w:color="auto" w:fill="auto"/>
            <w:vAlign w:val="center"/>
          </w:tcPr>
          <w:p w14:paraId="17A20AAE" w14:textId="77777777" w:rsidR="00BB469D" w:rsidRPr="00956E6E" w:rsidRDefault="00BB469D" w:rsidP="00D5072C">
            <w:pPr>
              <w:pStyle w:val="TAC"/>
              <w:rPr>
                <w:rFonts w:eastAsiaTheme="minorEastAsia"/>
                <w:lang w:eastAsia="zh-CN"/>
              </w:rPr>
            </w:pPr>
          </w:p>
        </w:tc>
        <w:tc>
          <w:tcPr>
            <w:tcW w:w="1487" w:type="dxa"/>
            <w:vMerge/>
            <w:tcBorders>
              <w:left w:val="single" w:sz="6" w:space="0" w:color="auto"/>
              <w:right w:val="single" w:sz="6" w:space="0" w:color="auto"/>
            </w:tcBorders>
            <w:shd w:val="clear" w:color="auto" w:fill="auto"/>
            <w:vAlign w:val="center"/>
          </w:tcPr>
          <w:p w14:paraId="3E807679" w14:textId="77777777" w:rsidR="00BB469D" w:rsidRPr="00956E6E" w:rsidRDefault="00BB469D" w:rsidP="00D5072C">
            <w:pPr>
              <w:pStyle w:val="TAC"/>
              <w:rPr>
                <w:rFonts w:eastAsiaTheme="minorEastAsia"/>
              </w:rPr>
            </w:pP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614DE1D0" w14:textId="77777777" w:rsidR="00BB469D" w:rsidRPr="00956E6E" w:rsidRDefault="00BB469D" w:rsidP="00D5072C">
            <w:pPr>
              <w:pStyle w:val="TAC"/>
              <w:rPr>
                <w:rFonts w:eastAsiaTheme="minorEastAsia"/>
                <w:lang w:eastAsia="zh-CN"/>
              </w:rPr>
            </w:pPr>
            <w:r w:rsidRPr="00956E6E">
              <w:rPr>
                <w:rFonts w:eastAsiaTheme="minorEastAsia"/>
              </w:rPr>
              <w:t>Note 4</w:t>
            </w:r>
          </w:p>
        </w:tc>
      </w:tr>
      <w:tr w:rsidR="00BB469D" w:rsidRPr="00956E6E" w14:paraId="28F5E686" w14:textId="77777777" w:rsidTr="007A5129">
        <w:trPr>
          <w:jc w:val="center"/>
        </w:trPr>
        <w:tc>
          <w:tcPr>
            <w:tcW w:w="1046" w:type="dxa"/>
            <w:vMerge/>
            <w:tcBorders>
              <w:left w:val="single" w:sz="6" w:space="0" w:color="auto"/>
              <w:bottom w:val="single" w:sz="6" w:space="0" w:color="auto"/>
              <w:right w:val="single" w:sz="6" w:space="0" w:color="auto"/>
            </w:tcBorders>
            <w:shd w:val="clear" w:color="auto" w:fill="auto"/>
            <w:vAlign w:val="center"/>
          </w:tcPr>
          <w:p w14:paraId="48626C59" w14:textId="77777777" w:rsidR="00BB469D" w:rsidRPr="00956E6E" w:rsidRDefault="00BB469D" w:rsidP="00D5072C">
            <w:pPr>
              <w:pStyle w:val="TAC"/>
              <w:rPr>
                <w:rFonts w:eastAsiaTheme="minorEastAsia"/>
              </w:rPr>
            </w:pPr>
          </w:p>
        </w:tc>
        <w:tc>
          <w:tcPr>
            <w:tcW w:w="1049" w:type="dxa"/>
            <w:vMerge/>
            <w:tcBorders>
              <w:top w:val="single" w:sz="6" w:space="0" w:color="auto"/>
              <w:left w:val="single" w:sz="4" w:space="0" w:color="auto"/>
              <w:bottom w:val="single" w:sz="4" w:space="0" w:color="auto"/>
              <w:right w:val="single" w:sz="6" w:space="0" w:color="auto"/>
            </w:tcBorders>
            <w:vAlign w:val="center"/>
          </w:tcPr>
          <w:p w14:paraId="02E36249" w14:textId="77777777" w:rsidR="00BB469D" w:rsidRPr="00956E6E" w:rsidRDefault="00BB469D" w:rsidP="00D5072C">
            <w:pPr>
              <w:pStyle w:val="TAC"/>
              <w:rPr>
                <w:rFonts w:eastAsiaTheme="minorEastAsia"/>
                <w:lang w:eastAsia="zh-CN"/>
              </w:rPr>
            </w:pPr>
          </w:p>
        </w:tc>
        <w:tc>
          <w:tcPr>
            <w:tcW w:w="907" w:type="dxa"/>
            <w:vMerge/>
            <w:tcBorders>
              <w:left w:val="single" w:sz="6" w:space="0" w:color="auto"/>
              <w:bottom w:val="single" w:sz="6" w:space="0" w:color="auto"/>
              <w:right w:val="single" w:sz="6" w:space="0" w:color="auto"/>
            </w:tcBorders>
            <w:shd w:val="clear" w:color="auto" w:fill="auto"/>
            <w:vAlign w:val="center"/>
          </w:tcPr>
          <w:p w14:paraId="683E36BA" w14:textId="77777777" w:rsidR="00BB469D" w:rsidRPr="00956E6E" w:rsidRDefault="00BB469D" w:rsidP="00D5072C">
            <w:pPr>
              <w:pStyle w:val="TAC"/>
              <w:rPr>
                <w:rFonts w:eastAsiaTheme="minorEastAsia"/>
              </w:rPr>
            </w:pPr>
          </w:p>
        </w:tc>
        <w:tc>
          <w:tcPr>
            <w:tcW w:w="1568" w:type="dxa"/>
            <w:vMerge/>
            <w:tcBorders>
              <w:left w:val="single" w:sz="6" w:space="0" w:color="auto"/>
              <w:bottom w:val="single" w:sz="6" w:space="0" w:color="auto"/>
              <w:right w:val="single" w:sz="6" w:space="0" w:color="auto"/>
            </w:tcBorders>
            <w:shd w:val="clear" w:color="auto" w:fill="auto"/>
            <w:vAlign w:val="center"/>
          </w:tcPr>
          <w:p w14:paraId="35C65DDB" w14:textId="77777777" w:rsidR="00BB469D" w:rsidRPr="00956E6E" w:rsidRDefault="00BB469D" w:rsidP="00D5072C">
            <w:pPr>
              <w:pStyle w:val="TAC"/>
              <w:rPr>
                <w:rFonts w:eastAsiaTheme="minorEastAsia"/>
              </w:rPr>
            </w:pPr>
          </w:p>
        </w:tc>
        <w:tc>
          <w:tcPr>
            <w:tcW w:w="1487" w:type="dxa"/>
            <w:vMerge/>
            <w:tcBorders>
              <w:left w:val="single" w:sz="6" w:space="0" w:color="auto"/>
              <w:bottom w:val="single" w:sz="6" w:space="0" w:color="auto"/>
              <w:right w:val="single" w:sz="6" w:space="0" w:color="auto"/>
            </w:tcBorders>
            <w:shd w:val="clear" w:color="auto" w:fill="auto"/>
            <w:vAlign w:val="center"/>
          </w:tcPr>
          <w:p w14:paraId="160B74B3" w14:textId="77777777" w:rsidR="00BB469D" w:rsidRPr="00956E6E" w:rsidRDefault="00BB469D" w:rsidP="00D5072C">
            <w:pPr>
              <w:pStyle w:val="TAC"/>
              <w:rPr>
                <w:rFonts w:eastAsiaTheme="minorEastAsia"/>
              </w:rPr>
            </w:pP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5088BE35" w14:textId="77777777" w:rsidR="00BB469D" w:rsidRPr="00956E6E" w:rsidRDefault="00BB469D" w:rsidP="00D5072C">
            <w:pPr>
              <w:pStyle w:val="TAC"/>
              <w:rPr>
                <w:rFonts w:eastAsiaTheme="minorEastAsia"/>
              </w:rPr>
            </w:pPr>
            <w:r w:rsidRPr="00956E6E">
              <w:rPr>
                <w:rFonts w:eastAsiaTheme="minorEastAsia"/>
              </w:rPr>
              <w:t>Note 4</w:t>
            </w:r>
          </w:p>
        </w:tc>
      </w:tr>
      <w:tr w:rsidR="00EF4F31" w:rsidRPr="00956E6E" w14:paraId="57C4C3C0" w14:textId="77777777" w:rsidTr="007A5129">
        <w:trPr>
          <w:trHeight w:val="226"/>
          <w:jc w:val="center"/>
        </w:trPr>
        <w:tc>
          <w:tcPr>
            <w:tcW w:w="1046" w:type="dxa"/>
            <w:tcBorders>
              <w:top w:val="single" w:sz="6" w:space="0" w:color="auto"/>
              <w:left w:val="single" w:sz="6" w:space="0" w:color="auto"/>
              <w:right w:val="single" w:sz="6" w:space="0" w:color="auto"/>
            </w:tcBorders>
            <w:shd w:val="clear" w:color="auto" w:fill="auto"/>
            <w:vAlign w:val="center"/>
          </w:tcPr>
          <w:p w14:paraId="7C997266" w14:textId="77777777" w:rsidR="00EF4F31" w:rsidRPr="00956E6E" w:rsidRDefault="00EF4F31" w:rsidP="00EF4F31">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1049" w:type="dxa"/>
            <w:tcBorders>
              <w:top w:val="single" w:sz="4" w:space="0" w:color="auto"/>
              <w:left w:val="single" w:sz="4" w:space="0" w:color="auto"/>
              <w:bottom w:val="single" w:sz="4" w:space="0" w:color="auto"/>
              <w:right w:val="single" w:sz="4" w:space="0" w:color="auto"/>
            </w:tcBorders>
            <w:vAlign w:val="center"/>
          </w:tcPr>
          <w:p w14:paraId="25C6BD73" w14:textId="77777777" w:rsidR="00EF4F31" w:rsidRPr="00956E6E" w:rsidRDefault="00EF4F31" w:rsidP="00EF4F31">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07" w:type="dxa"/>
            <w:vMerge w:val="restart"/>
            <w:tcBorders>
              <w:top w:val="single" w:sz="6" w:space="0" w:color="auto"/>
              <w:left w:val="single" w:sz="6" w:space="0" w:color="auto"/>
              <w:right w:val="single" w:sz="6" w:space="0" w:color="auto"/>
            </w:tcBorders>
            <w:shd w:val="clear" w:color="auto" w:fill="auto"/>
            <w:vAlign w:val="center"/>
          </w:tcPr>
          <w:p w14:paraId="545EAB22" w14:textId="19E3AF3D" w:rsidR="00EF4F31" w:rsidRPr="00956E6E" w:rsidRDefault="00EF4F31" w:rsidP="00EF4F31">
            <w:pPr>
              <w:pStyle w:val="TAC"/>
              <w:rPr>
                <w:rFonts w:eastAsiaTheme="minorEastAsia"/>
                <w:noProof/>
                <w:lang w:eastAsia="zh-CN"/>
              </w:rPr>
            </w:pPr>
            <w:r w:rsidRPr="00956E6E">
              <w:rPr>
                <w:rFonts w:eastAsiaTheme="minorEastAsia"/>
                <w:noProof/>
              </w:rPr>
              <w:t>≥</w:t>
            </w:r>
            <w:r>
              <w:rPr>
                <w:rFonts w:eastAsiaTheme="minorEastAsia"/>
                <w:noProof/>
                <w:lang w:eastAsia="zh-CN"/>
              </w:rPr>
              <w:t>-6</w:t>
            </w:r>
          </w:p>
        </w:tc>
        <w:tc>
          <w:tcPr>
            <w:tcW w:w="1568" w:type="dxa"/>
            <w:tcBorders>
              <w:top w:val="single" w:sz="6" w:space="0" w:color="auto"/>
              <w:left w:val="single" w:sz="6" w:space="0" w:color="auto"/>
              <w:right w:val="single" w:sz="6" w:space="0" w:color="auto"/>
            </w:tcBorders>
            <w:shd w:val="clear" w:color="auto" w:fill="auto"/>
          </w:tcPr>
          <w:p w14:paraId="4ED826B2" w14:textId="74786A55" w:rsidR="00EF4F31" w:rsidRPr="00956E6E" w:rsidRDefault="00EF4F31" w:rsidP="00EF4F31">
            <w:pPr>
              <w:pStyle w:val="TAC"/>
              <w:rPr>
                <w:rFonts w:eastAsiaTheme="minorEastAsia"/>
                <w:lang w:eastAsia="zh-CN"/>
              </w:rPr>
            </w:pPr>
            <w:r>
              <w:rPr>
                <w:lang w:eastAsia="zh-CN"/>
              </w:rPr>
              <w:t>48</w:t>
            </w:r>
            <w:r w:rsidRPr="001C6009">
              <w:rPr>
                <w:lang w:eastAsia="zh-CN"/>
              </w:rPr>
              <w:t xml:space="preserve"> ≤ BW ≤ 64</w:t>
            </w:r>
          </w:p>
        </w:tc>
        <w:tc>
          <w:tcPr>
            <w:tcW w:w="1487" w:type="dxa"/>
            <w:tcBorders>
              <w:top w:val="single" w:sz="6" w:space="0" w:color="auto"/>
              <w:left w:val="single" w:sz="6" w:space="0" w:color="auto"/>
              <w:right w:val="single" w:sz="6" w:space="0" w:color="auto"/>
            </w:tcBorders>
            <w:shd w:val="clear" w:color="auto" w:fill="auto"/>
          </w:tcPr>
          <w:p w14:paraId="5551515B" w14:textId="77777777" w:rsidR="00EF4F31" w:rsidRPr="00956E6E" w:rsidRDefault="00EF4F31" w:rsidP="00EF4F31">
            <w:pPr>
              <w:pStyle w:val="TAC"/>
              <w:rPr>
                <w:rFonts w:eastAsiaTheme="minorEastAsia"/>
                <w:lang w:eastAsia="zh-CN"/>
              </w:rPr>
            </w:pPr>
            <w:r w:rsidRPr="00956E6E">
              <w:rPr>
                <w:rFonts w:eastAsiaTheme="minorEastAsia"/>
                <w:lang w:eastAsia="zh-CN"/>
              </w:rPr>
              <w:t>All</w:t>
            </w:r>
          </w:p>
        </w:tc>
        <w:tc>
          <w:tcPr>
            <w:tcW w:w="3798" w:type="dxa"/>
            <w:gridSpan w:val="3"/>
            <w:tcBorders>
              <w:top w:val="single" w:sz="6" w:space="0" w:color="auto"/>
              <w:left w:val="single" w:sz="6" w:space="0" w:color="auto"/>
              <w:right w:val="single" w:sz="4" w:space="0" w:color="auto"/>
            </w:tcBorders>
            <w:shd w:val="clear" w:color="auto" w:fill="auto"/>
            <w:vAlign w:val="center"/>
          </w:tcPr>
          <w:p w14:paraId="2BAAEFF8" w14:textId="77777777" w:rsidR="00EF4F31" w:rsidRPr="00956E6E" w:rsidRDefault="00EF4F31" w:rsidP="00EF4F31">
            <w:pPr>
              <w:pStyle w:val="TAC"/>
              <w:rPr>
                <w:rFonts w:eastAsiaTheme="minorEastAsia"/>
                <w:lang w:eastAsia="zh-CN"/>
              </w:rPr>
            </w:pPr>
            <w:r w:rsidRPr="00956E6E">
              <w:rPr>
                <w:rFonts w:eastAsiaTheme="minorEastAsia"/>
              </w:rPr>
              <w:t>Note 4</w:t>
            </w:r>
          </w:p>
        </w:tc>
      </w:tr>
      <w:tr w:rsidR="00EF4F31" w:rsidRPr="00956E6E" w14:paraId="7A3CA3B2" w14:textId="77777777" w:rsidTr="007A5129">
        <w:trPr>
          <w:jc w:val="center"/>
        </w:trPr>
        <w:tc>
          <w:tcPr>
            <w:tcW w:w="1046" w:type="dxa"/>
            <w:tcBorders>
              <w:top w:val="single" w:sz="6" w:space="0" w:color="auto"/>
              <w:left w:val="single" w:sz="6" w:space="0" w:color="auto"/>
              <w:bottom w:val="single" w:sz="6" w:space="0" w:color="auto"/>
              <w:right w:val="single" w:sz="6" w:space="0" w:color="auto"/>
            </w:tcBorders>
            <w:shd w:val="clear" w:color="auto" w:fill="auto"/>
            <w:vAlign w:val="center"/>
          </w:tcPr>
          <w:p w14:paraId="3296819B" w14:textId="77777777" w:rsidR="00EF4F31" w:rsidRPr="00956E6E" w:rsidRDefault="00EF4F31" w:rsidP="00EF4F31">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1049" w:type="dxa"/>
            <w:tcBorders>
              <w:top w:val="single" w:sz="4" w:space="0" w:color="auto"/>
              <w:left w:val="single" w:sz="4" w:space="0" w:color="auto"/>
              <w:bottom w:val="single" w:sz="4" w:space="0" w:color="auto"/>
              <w:right w:val="single" w:sz="4" w:space="0" w:color="auto"/>
            </w:tcBorders>
            <w:vAlign w:val="center"/>
          </w:tcPr>
          <w:p w14:paraId="52F6DD84" w14:textId="77777777" w:rsidR="00EF4F31" w:rsidRPr="00956E6E" w:rsidRDefault="00EF4F31" w:rsidP="00EF4F31">
            <w:pPr>
              <w:pStyle w:val="TAC"/>
              <w:rPr>
                <w:rFonts w:eastAsiaTheme="minorEastAsia"/>
                <w:lang w:eastAsia="zh-CN"/>
              </w:rPr>
            </w:pPr>
            <w:r w:rsidRPr="00956E6E">
              <w:rPr>
                <w:rFonts w:eastAsiaTheme="minorEastAsia" w:hint="eastAsia"/>
                <w:lang w:eastAsia="zh-CN"/>
              </w:rPr>
              <w:t>±</w:t>
            </w:r>
            <w:r w:rsidRPr="00956E6E">
              <w:rPr>
                <w:rFonts w:eastAsiaTheme="minorEastAsia" w:hint="eastAsia"/>
                <w:lang w:eastAsia="zh-CN"/>
              </w:rPr>
              <w:t>TBD</w:t>
            </w:r>
          </w:p>
        </w:tc>
        <w:tc>
          <w:tcPr>
            <w:tcW w:w="907" w:type="dxa"/>
            <w:vMerge/>
            <w:tcBorders>
              <w:left w:val="single" w:sz="6" w:space="0" w:color="auto"/>
              <w:bottom w:val="single" w:sz="6" w:space="0" w:color="auto"/>
              <w:right w:val="single" w:sz="6" w:space="0" w:color="auto"/>
            </w:tcBorders>
            <w:shd w:val="clear" w:color="auto" w:fill="auto"/>
            <w:vAlign w:val="center"/>
          </w:tcPr>
          <w:p w14:paraId="639CF25C" w14:textId="77777777" w:rsidR="00EF4F31" w:rsidRPr="00956E6E" w:rsidRDefault="00EF4F31" w:rsidP="00EF4F31">
            <w:pPr>
              <w:pStyle w:val="TAC"/>
              <w:rPr>
                <w:rFonts w:eastAsiaTheme="minorEastAsia"/>
              </w:rPr>
            </w:pPr>
          </w:p>
        </w:tc>
        <w:tc>
          <w:tcPr>
            <w:tcW w:w="1568" w:type="dxa"/>
            <w:tcBorders>
              <w:top w:val="single" w:sz="6" w:space="0" w:color="auto"/>
              <w:left w:val="single" w:sz="6" w:space="0" w:color="auto"/>
              <w:bottom w:val="single" w:sz="6" w:space="0" w:color="auto"/>
              <w:right w:val="single" w:sz="6" w:space="0" w:color="auto"/>
            </w:tcBorders>
            <w:shd w:val="clear" w:color="auto" w:fill="auto"/>
          </w:tcPr>
          <w:p w14:paraId="170A925C" w14:textId="4A9432CB" w:rsidR="00EF4F31" w:rsidRPr="00956E6E" w:rsidRDefault="00EF4F31" w:rsidP="00EF4F31">
            <w:pPr>
              <w:pStyle w:val="TAC"/>
              <w:rPr>
                <w:rFonts w:eastAsiaTheme="minorEastAsia"/>
              </w:rPr>
            </w:pPr>
            <w:r w:rsidRPr="001C6009">
              <w:rPr>
                <w:lang w:eastAsia="zh-CN"/>
              </w:rPr>
              <w:t>BW &gt;64</w:t>
            </w:r>
          </w:p>
        </w:tc>
        <w:tc>
          <w:tcPr>
            <w:tcW w:w="1487" w:type="dxa"/>
            <w:tcBorders>
              <w:top w:val="single" w:sz="6" w:space="0" w:color="auto"/>
              <w:left w:val="single" w:sz="6" w:space="0" w:color="auto"/>
              <w:bottom w:val="single" w:sz="6" w:space="0" w:color="auto"/>
              <w:right w:val="single" w:sz="6" w:space="0" w:color="auto"/>
            </w:tcBorders>
            <w:shd w:val="clear" w:color="auto" w:fill="auto"/>
          </w:tcPr>
          <w:p w14:paraId="0B9D8C39" w14:textId="77777777" w:rsidR="00EF4F31" w:rsidRPr="00956E6E" w:rsidRDefault="00EF4F31" w:rsidP="00EF4F31">
            <w:pPr>
              <w:pStyle w:val="TAC"/>
              <w:rPr>
                <w:rFonts w:eastAsiaTheme="minorEastAsia"/>
                <w:lang w:eastAsia="zh-CN"/>
              </w:rPr>
            </w:pPr>
            <w:r w:rsidRPr="00956E6E">
              <w:rPr>
                <w:rFonts w:eastAsiaTheme="minorEastAsia"/>
                <w:lang w:eastAsia="zh-CN"/>
              </w:rPr>
              <w:t>All</w:t>
            </w:r>
          </w:p>
        </w:tc>
        <w:tc>
          <w:tcPr>
            <w:tcW w:w="3798" w:type="dxa"/>
            <w:gridSpan w:val="3"/>
            <w:tcBorders>
              <w:top w:val="single" w:sz="6" w:space="0" w:color="auto"/>
              <w:left w:val="single" w:sz="6" w:space="0" w:color="auto"/>
              <w:bottom w:val="single" w:sz="6" w:space="0" w:color="auto"/>
              <w:right w:val="single" w:sz="4" w:space="0" w:color="auto"/>
            </w:tcBorders>
            <w:shd w:val="clear" w:color="auto" w:fill="auto"/>
            <w:vAlign w:val="center"/>
          </w:tcPr>
          <w:p w14:paraId="36190E0C" w14:textId="77777777" w:rsidR="00EF4F31" w:rsidRPr="00956E6E" w:rsidRDefault="00EF4F31" w:rsidP="00EF4F31">
            <w:pPr>
              <w:pStyle w:val="TAC"/>
              <w:rPr>
                <w:rFonts w:eastAsiaTheme="minorEastAsia"/>
              </w:rPr>
            </w:pPr>
            <w:r w:rsidRPr="00956E6E">
              <w:rPr>
                <w:rFonts w:eastAsiaTheme="minorEastAsia"/>
              </w:rPr>
              <w:t>Note 4</w:t>
            </w:r>
          </w:p>
        </w:tc>
      </w:tr>
      <w:tr w:rsidR="00EF4F31" w:rsidRPr="00956E6E" w14:paraId="08E3D66A" w14:textId="77777777" w:rsidTr="007A5129">
        <w:trPr>
          <w:jc w:val="center"/>
        </w:trPr>
        <w:tc>
          <w:tcPr>
            <w:tcW w:w="9855" w:type="dxa"/>
            <w:gridSpan w:val="8"/>
            <w:tcBorders>
              <w:top w:val="single" w:sz="6" w:space="0" w:color="auto"/>
              <w:left w:val="single" w:sz="4" w:space="0" w:color="auto"/>
              <w:bottom w:val="single" w:sz="4" w:space="0" w:color="auto"/>
              <w:right w:val="single" w:sz="4" w:space="0" w:color="auto"/>
            </w:tcBorders>
            <w:vAlign w:val="center"/>
          </w:tcPr>
          <w:p w14:paraId="0360CC7E" w14:textId="77777777" w:rsidR="00EF4F31" w:rsidRPr="00956E6E" w:rsidRDefault="00EF4F31" w:rsidP="00EF4F31">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1:</w:t>
            </w:r>
            <w:r w:rsidRPr="00956E6E">
              <w:rPr>
                <w:rFonts w:eastAsiaTheme="minorEastAsia"/>
              </w:rPr>
              <w:tab/>
              <w:t>This minimum Io condition is expressed as the average Io per RE over all REs in an OFDM symbol.</w:t>
            </w:r>
          </w:p>
          <w:p w14:paraId="3391B5BF" w14:textId="77777777" w:rsidR="00EF4F31" w:rsidRPr="00956E6E" w:rsidRDefault="00EF4F31" w:rsidP="00EF4F31">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2:</w:t>
            </w:r>
            <w:r w:rsidRPr="00956E6E">
              <w:rPr>
                <w:rFonts w:eastAsiaTheme="minorEastAsia"/>
              </w:rPr>
              <w:tab/>
            </w:r>
            <w:r w:rsidRPr="00956E6E">
              <w:rPr>
                <w:rFonts w:eastAsiaTheme="minorEastAsia" w:hint="eastAsia"/>
                <w:lang w:eastAsia="zh-CN"/>
              </w:rPr>
              <w:t>Void</w:t>
            </w:r>
            <w:r w:rsidRPr="00956E6E">
              <w:rPr>
                <w:rFonts w:eastAsiaTheme="minorEastAsia"/>
              </w:rPr>
              <w:t>.</w:t>
            </w:r>
          </w:p>
          <w:p w14:paraId="77F62E29" w14:textId="77777777" w:rsidR="00EF4F31" w:rsidRPr="00956E6E" w:rsidRDefault="00EF4F31" w:rsidP="00EF4F31">
            <w:pPr>
              <w:pStyle w:val="TAN"/>
              <w:rPr>
                <w:rFonts w:eastAsiaTheme="minorEastAsia" w:cs="v4.2.0"/>
              </w:rPr>
            </w:pPr>
            <w:r w:rsidRPr="00956E6E">
              <w:rPr>
                <w:rFonts w:eastAsiaTheme="minorEastAsia" w:cs="v4.2.0"/>
              </w:rPr>
              <w:t>N</w:t>
            </w:r>
            <w:r w:rsidRPr="00956E6E">
              <w:rPr>
                <w:rFonts w:eastAsiaTheme="minorEastAsia"/>
                <w:lang w:eastAsia="zh-CN"/>
              </w:rPr>
              <w:t>OTE</w:t>
            </w:r>
            <w:r w:rsidRPr="00956E6E">
              <w:rPr>
                <w:rFonts w:eastAsiaTheme="minorEastAsia" w:cs="v4.2.0"/>
              </w:rPr>
              <w:t xml:space="preserve"> 3:</w:t>
            </w:r>
            <w:r w:rsidRPr="00956E6E">
              <w:rPr>
                <w:rFonts w:eastAsiaTheme="minorEastAsia" w:cs="v4.2.0"/>
              </w:rPr>
              <w:tab/>
              <w:t xml:space="preserve">PRS bandwidth is as indicated in </w:t>
            </w:r>
            <w:r w:rsidRPr="00956E6E">
              <w:rPr>
                <w:rFonts w:eastAsiaTheme="minorEastAsia"/>
                <w:i/>
              </w:rPr>
              <w:t>prs-Bandwidth</w:t>
            </w:r>
            <w:r w:rsidRPr="00956E6E">
              <w:rPr>
                <w:rFonts w:eastAsiaTheme="minorEastAsia"/>
              </w:rPr>
              <w:t xml:space="preserve"> </w:t>
            </w:r>
            <w:r w:rsidRPr="00956E6E">
              <w:rPr>
                <w:rFonts w:eastAsiaTheme="minorEastAsia" w:cs="v4.2.0"/>
              </w:rPr>
              <w:t xml:space="preserve">in the OTDOA </w:t>
            </w:r>
            <w:r w:rsidRPr="00956E6E">
              <w:rPr>
                <w:rFonts w:eastAsiaTheme="minorEastAsia" w:cs="v4.2.0" w:hint="eastAsia"/>
                <w:lang w:eastAsia="zh-CN"/>
              </w:rPr>
              <w:t xml:space="preserve">or DL-AoD </w:t>
            </w:r>
            <w:r w:rsidRPr="00956E6E">
              <w:rPr>
                <w:rFonts w:eastAsiaTheme="minorEastAsia" w:cs="v4.2.0"/>
              </w:rPr>
              <w:t>assistance data defined in [</w:t>
            </w:r>
            <w:r w:rsidRPr="00956E6E">
              <w:rPr>
                <w:rFonts w:eastAsiaTheme="minorEastAsia" w:cs="v4.2.0" w:hint="eastAsia"/>
                <w:lang w:eastAsia="zh-CN"/>
              </w:rPr>
              <w:t>3</w:t>
            </w:r>
            <w:r w:rsidRPr="00956E6E">
              <w:rPr>
                <w:rFonts w:eastAsiaTheme="minorEastAsia" w:cs="v4.2.0"/>
              </w:rPr>
              <w:t>4].</w:t>
            </w:r>
          </w:p>
          <w:p w14:paraId="3A55C990" w14:textId="6EBA542A" w:rsidR="00EF4F31" w:rsidRPr="00956E6E" w:rsidRDefault="00574F47" w:rsidP="00EF4F31">
            <w:pPr>
              <w:pStyle w:val="TAN"/>
              <w:rPr>
                <w:rFonts w:eastAsiaTheme="minorEastAsia"/>
              </w:rPr>
            </w:pPr>
            <w:r w:rsidRPr="00956E6E">
              <w:rPr>
                <w:rFonts w:eastAsiaTheme="minorEastAsia"/>
              </w:rPr>
              <w:t>N</w:t>
            </w:r>
            <w:r w:rsidRPr="00956E6E">
              <w:rPr>
                <w:rFonts w:eastAsiaTheme="minorEastAsia"/>
                <w:lang w:eastAsia="zh-CN"/>
              </w:rPr>
              <w:t>OTE</w:t>
            </w:r>
            <w:r w:rsidRPr="00956E6E">
              <w:rPr>
                <w:rFonts w:eastAsiaTheme="minorEastAsia"/>
              </w:rPr>
              <w:t xml:space="preserve"> 4:</w:t>
            </w:r>
            <w:r w:rsidRPr="00956E6E">
              <w:rPr>
                <w:rFonts w:eastAsiaTheme="minorEastAsia"/>
              </w:rPr>
              <w:tab/>
              <w:t xml:space="preserve">The same bands and the same Io conditions for each band apply for this requirement as for the corresponding requirement with the PRS bandwidth ≥ </w:t>
            </w:r>
            <w:r>
              <w:rPr>
                <w:rFonts w:eastAsiaTheme="minorEastAsia"/>
                <w:lang w:eastAsia="zh-CN"/>
              </w:rPr>
              <w:t>48</w:t>
            </w:r>
            <w:r w:rsidRPr="00956E6E">
              <w:rPr>
                <w:rFonts w:eastAsiaTheme="minorEastAsia"/>
              </w:rPr>
              <w:t xml:space="preserve"> RB.</w:t>
            </w:r>
          </w:p>
          <w:p w14:paraId="08227E18" w14:textId="77777777" w:rsidR="00EF4F31" w:rsidRPr="00956E6E" w:rsidRDefault="00EF4F31" w:rsidP="00EF4F31">
            <w:pPr>
              <w:pStyle w:val="TAN"/>
              <w:rPr>
                <w:rFonts w:eastAsiaTheme="minorEastAsia"/>
              </w:rPr>
            </w:pPr>
            <w:r w:rsidRPr="00956E6E">
              <w:rPr>
                <w:rFonts w:eastAsiaTheme="minorEastAsia"/>
              </w:rPr>
              <w:t>NOTE 5:</w:t>
            </w:r>
            <w:r w:rsidRPr="00956E6E">
              <w:rPr>
                <w:rFonts w:eastAsiaTheme="minorEastAsia"/>
              </w:rPr>
              <w:tab/>
              <w:t>The serving cell, the reference cell, and the measured neighbour cell i are on the same carrier frequency.</w:t>
            </w:r>
          </w:p>
          <w:p w14:paraId="2E4C1DF6" w14:textId="77777777" w:rsidR="00EF4F31" w:rsidRPr="00956E6E" w:rsidRDefault="00EF4F31" w:rsidP="00EF4F31">
            <w:pPr>
              <w:pStyle w:val="TAN"/>
              <w:rPr>
                <w:rFonts w:eastAsiaTheme="minorEastAsia"/>
              </w:rPr>
            </w:pPr>
            <w:r w:rsidRPr="00956E6E">
              <w:rPr>
                <w:rFonts w:eastAsiaTheme="minorEastAsia"/>
              </w:rPr>
              <w:t>NOTE 6:</w:t>
            </w:r>
            <w:r w:rsidRPr="00956E6E">
              <w:rPr>
                <w:rFonts w:eastAsiaTheme="minorEastAsia"/>
              </w:rPr>
              <w:tab/>
              <w:t>The condition level is increased by ∆&gt;0, when applicable, as described in Sections B.</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2</w:t>
            </w:r>
            <w:r w:rsidRPr="00956E6E">
              <w:rPr>
                <w:rFonts w:eastAsiaTheme="minorEastAsia"/>
              </w:rPr>
              <w:t xml:space="preserve"> and B.</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3</w:t>
            </w:r>
            <w:r w:rsidRPr="00956E6E">
              <w:rPr>
                <w:rFonts w:eastAsiaTheme="minorEastAsia"/>
              </w:rPr>
              <w:t>.</w:t>
            </w:r>
          </w:p>
          <w:p w14:paraId="39262588" w14:textId="77777777" w:rsidR="00EF4F31" w:rsidRPr="00956E6E" w:rsidRDefault="00EF4F31" w:rsidP="00EF4F31">
            <w:pPr>
              <w:pStyle w:val="TAN"/>
              <w:rPr>
                <w:rFonts w:eastAsiaTheme="minorEastAsia"/>
              </w:rPr>
            </w:pPr>
            <w:r w:rsidRPr="00956E6E">
              <w:rPr>
                <w:rFonts w:eastAsiaTheme="minorEastAsia"/>
              </w:rPr>
              <w:t>NOTE 7:</w:t>
            </w:r>
            <w:r w:rsidRPr="00956E6E">
              <w:rPr>
                <w:rFonts w:eastAsiaTheme="minorEastAsia"/>
              </w:rPr>
              <w:tab/>
              <w:t>The Io is defined in PRS positioning subframes. The same Io range applies to PRS and non-PRS symbols. Io levels are different in PRS and non-PRS symbols within the same subframe.</w:t>
            </w:r>
          </w:p>
          <w:p w14:paraId="077AB0F8" w14:textId="77777777" w:rsidR="00EF4F31" w:rsidRPr="00956E6E" w:rsidRDefault="00EF4F31" w:rsidP="00EF4F31">
            <w:pPr>
              <w:pStyle w:val="TAN"/>
              <w:rPr>
                <w:rFonts w:eastAsiaTheme="minorEastAsia"/>
              </w:rPr>
            </w:pPr>
            <w:r w:rsidRPr="00956E6E">
              <w:rPr>
                <w:rFonts w:eastAsiaTheme="minorEastAsia"/>
              </w:rPr>
              <w:t>NOTE 8:</w:t>
            </w:r>
            <w:r w:rsidRPr="00956E6E">
              <w:rPr>
                <w:rFonts w:eastAsiaTheme="minorEastAsia"/>
              </w:rPr>
              <w:tab/>
            </w:r>
            <w:r w:rsidRPr="00956E6E">
              <w:rPr>
                <w:rFonts w:eastAsiaTheme="minorEastAsia" w:hint="eastAsia"/>
                <w:lang w:eastAsia="zh-CN"/>
              </w:rPr>
              <w:t>NR</w:t>
            </w:r>
            <w:r w:rsidRPr="00956E6E">
              <w:rPr>
                <w:rFonts w:eastAsiaTheme="minorEastAsia"/>
              </w:rPr>
              <w:t xml:space="preserve"> operating band groups are as defined in Section 3.5</w:t>
            </w:r>
            <w:r w:rsidRPr="00956E6E">
              <w:rPr>
                <w:rFonts w:eastAsiaTheme="minorEastAsia" w:hint="eastAsia"/>
                <w:lang w:eastAsia="zh-CN"/>
              </w:rPr>
              <w:t>.2</w:t>
            </w:r>
            <w:r w:rsidRPr="00956E6E">
              <w:rPr>
                <w:rFonts w:eastAsiaTheme="minorEastAsia"/>
              </w:rPr>
              <w:t>.</w:t>
            </w:r>
          </w:p>
        </w:tc>
      </w:tr>
    </w:tbl>
    <w:p w14:paraId="27A55C74" w14:textId="77777777" w:rsidR="00BB469D" w:rsidRPr="0097752B" w:rsidRDefault="00BB469D" w:rsidP="00BB469D">
      <w:pPr>
        <w:widowControl w:val="0"/>
        <w:spacing w:after="120"/>
        <w:rPr>
          <w:rFonts w:eastAsiaTheme="minorEastAsia"/>
          <w:sz w:val="24"/>
          <w:lang w:eastAsia="zh-CN"/>
        </w:rPr>
      </w:pPr>
    </w:p>
    <w:p w14:paraId="0DD88D9C" w14:textId="77777777" w:rsidR="00BB469D" w:rsidRPr="00956E6E" w:rsidRDefault="00BB469D" w:rsidP="00BB469D">
      <w:pPr>
        <w:pStyle w:val="Heading4"/>
        <w:rPr>
          <w:rFonts w:eastAsiaTheme="minorEastAsia"/>
        </w:rPr>
      </w:pPr>
      <w:r w:rsidRPr="00956E6E">
        <w:rPr>
          <w:rFonts w:eastAsiaTheme="minorEastAsia"/>
        </w:rPr>
        <w:t>10.1.</w:t>
      </w:r>
      <w:r>
        <w:rPr>
          <w:rFonts w:eastAsiaTheme="minorEastAsia"/>
        </w:rPr>
        <w:t>38</w:t>
      </w:r>
      <w:r w:rsidRPr="00956E6E">
        <w:rPr>
          <w:rFonts w:eastAsiaTheme="minorEastAsia"/>
        </w:rPr>
        <w:t>.3</w:t>
      </w:r>
      <w:r w:rsidRPr="00956E6E">
        <w:rPr>
          <w:rFonts w:eastAsiaTheme="minorEastAsia"/>
        </w:rPr>
        <w:tab/>
        <w:t>Report mapping</w:t>
      </w:r>
    </w:p>
    <w:p w14:paraId="47BD4761" w14:textId="77777777" w:rsidR="00BB469D" w:rsidRPr="00956E6E" w:rsidRDefault="00BB469D" w:rsidP="00BB469D">
      <w:pPr>
        <w:pStyle w:val="Heading5"/>
        <w:rPr>
          <w:rFonts w:eastAsiaTheme="minorEastAsia"/>
          <w:lang w:eastAsia="zh-CN"/>
        </w:rPr>
      </w:pPr>
      <w:r w:rsidRPr="00956E6E">
        <w:rPr>
          <w:rFonts w:eastAsiaTheme="minorEastAsia"/>
        </w:rPr>
        <w:t>10.1.</w:t>
      </w:r>
      <w:r>
        <w:rPr>
          <w:rFonts w:eastAsiaTheme="minorEastAsia"/>
        </w:rPr>
        <w:t>38</w:t>
      </w:r>
      <w:r w:rsidRPr="00956E6E">
        <w:rPr>
          <w:rFonts w:eastAsiaTheme="minorEastAsia"/>
        </w:rPr>
        <w:t>.</w:t>
      </w:r>
      <w:r w:rsidRPr="00956E6E">
        <w:rPr>
          <w:rFonts w:eastAsiaTheme="minorEastAsia" w:hint="eastAsia"/>
          <w:lang w:eastAsia="zh-CN"/>
        </w:rPr>
        <w:t>3.1</w:t>
      </w:r>
      <w:r w:rsidRPr="00956E6E">
        <w:rPr>
          <w:rFonts w:eastAsiaTheme="minorEastAsia"/>
        </w:rPr>
        <w:tab/>
      </w:r>
      <w:r w:rsidRPr="00956E6E">
        <w:rPr>
          <w:rFonts w:eastAsiaTheme="minorEastAsia" w:hint="eastAsia"/>
          <w:lang w:eastAsia="zh-CN"/>
        </w:rPr>
        <w:t>Absolute PRS-RSRPP Measurement R</w:t>
      </w:r>
      <w:r w:rsidRPr="00956E6E">
        <w:rPr>
          <w:rFonts w:eastAsiaTheme="minorEastAsia"/>
        </w:rPr>
        <w:t xml:space="preserve">eport </w:t>
      </w:r>
      <w:r w:rsidRPr="00956E6E">
        <w:rPr>
          <w:rFonts w:eastAsiaTheme="minorEastAsia" w:hint="eastAsia"/>
          <w:lang w:eastAsia="zh-CN"/>
        </w:rPr>
        <w:t>M</w:t>
      </w:r>
      <w:r w:rsidRPr="00956E6E">
        <w:rPr>
          <w:rFonts w:eastAsiaTheme="minorEastAsia"/>
        </w:rPr>
        <w:t>apping</w:t>
      </w:r>
    </w:p>
    <w:p w14:paraId="4368266F" w14:textId="77777777" w:rsidR="00BB469D" w:rsidRPr="00956E6E" w:rsidRDefault="00BB469D" w:rsidP="00BB469D">
      <w:pPr>
        <w:rPr>
          <w:rFonts w:eastAsiaTheme="minorEastAsia"/>
        </w:rPr>
      </w:pPr>
      <w:r w:rsidRPr="00956E6E">
        <w:rPr>
          <w:rFonts w:eastAsiaTheme="minorEastAsia"/>
        </w:rPr>
        <w:t>The</w:t>
      </w:r>
      <w:r w:rsidRPr="00956E6E">
        <w:rPr>
          <w:rFonts w:eastAsiaTheme="minorEastAsia" w:hint="eastAsia"/>
          <w:lang w:eastAsia="zh-CN"/>
        </w:rPr>
        <w:t xml:space="preserve"> </w:t>
      </w:r>
      <w:r w:rsidRPr="00956E6E">
        <w:rPr>
          <w:rFonts w:eastAsiaTheme="minorEastAsia"/>
        </w:rPr>
        <w:t xml:space="preserve">reporting range of </w:t>
      </w:r>
      <w:r w:rsidRPr="00956E6E">
        <w:rPr>
          <w:rFonts w:eastAsiaTheme="minorEastAsia" w:hint="eastAsia"/>
          <w:lang w:eastAsia="zh-CN"/>
        </w:rPr>
        <w:t xml:space="preserve">absolute </w:t>
      </w:r>
      <w:r w:rsidRPr="00956E6E">
        <w:rPr>
          <w:rFonts w:eastAsiaTheme="minorEastAsia"/>
        </w:rPr>
        <w:t xml:space="preserve">PRS-RSRPP </w:t>
      </w:r>
      <w:r w:rsidRPr="00956E6E">
        <w:rPr>
          <w:rFonts w:eastAsiaTheme="minorEastAsia" w:hint="eastAsia"/>
          <w:lang w:eastAsia="zh-CN"/>
        </w:rPr>
        <w:t xml:space="preserve">measurement </w:t>
      </w:r>
      <w:r w:rsidRPr="00956E6E">
        <w:rPr>
          <w:rFonts w:eastAsiaTheme="minorEastAsia"/>
        </w:rPr>
        <w:t>is defined from -1</w:t>
      </w:r>
      <w:r w:rsidRPr="00956E6E">
        <w:rPr>
          <w:rFonts w:eastAsiaTheme="minorEastAsia"/>
          <w:lang w:eastAsia="zh-CN"/>
        </w:rPr>
        <w:t>56</w:t>
      </w:r>
      <w:r w:rsidRPr="00956E6E">
        <w:rPr>
          <w:rFonts w:eastAsiaTheme="minorEastAsia"/>
        </w:rPr>
        <w:t xml:space="preserve"> dBm to -31 dBm with 1 dB resolution.</w:t>
      </w:r>
    </w:p>
    <w:p w14:paraId="0D975422" w14:textId="4CFC471E" w:rsidR="00BB469D" w:rsidRDefault="00BB469D" w:rsidP="00BB469D">
      <w:pPr>
        <w:rPr>
          <w:rFonts w:eastAsiaTheme="minorEastAsia"/>
        </w:rPr>
      </w:pPr>
      <w:r w:rsidRPr="00956E6E">
        <w:rPr>
          <w:rFonts w:eastAsiaTheme="minorEastAsia"/>
        </w:rPr>
        <w:t>The mapping of measured quantity is defined in Table 10.1.</w:t>
      </w:r>
      <w:r w:rsidR="00C81A61">
        <w:rPr>
          <w:rFonts w:eastAsiaTheme="minorEastAsia"/>
        </w:rPr>
        <w:t>38</w:t>
      </w:r>
      <w:r w:rsidRPr="00956E6E">
        <w:rPr>
          <w:rFonts w:eastAsiaTheme="minorEastAsia"/>
        </w:rPr>
        <w:t>.3.1-1. The range in the signalling may be larger than the guaranteed accuracy range.</w:t>
      </w:r>
    </w:p>
    <w:p w14:paraId="05412B62" w14:textId="302A0E24" w:rsidR="00EF4F31" w:rsidRPr="00956E6E" w:rsidRDefault="00EF4F31" w:rsidP="00BB469D">
      <w:pPr>
        <w:rPr>
          <w:rFonts w:eastAsiaTheme="minorEastAsia"/>
          <w:lang w:eastAsia="zh-CN"/>
        </w:rPr>
      </w:pPr>
      <w:r w:rsidRPr="0018642A">
        <w:rPr>
          <w:lang w:val="en-US" w:eastAsia="ja-JP"/>
        </w:rPr>
        <w:t xml:space="preserve">The UE capable of </w:t>
      </w:r>
      <w:r w:rsidRPr="0018642A">
        <w:rPr>
          <w:i/>
          <w:iCs/>
        </w:rPr>
        <w:t>additionalPathsExtSupport-r17</w:t>
      </w:r>
      <w:r w:rsidRPr="0018642A">
        <w:rPr>
          <w:lang w:val="en-US" w:eastAsia="ja-JP"/>
        </w:rPr>
        <w:t xml:space="preserve"> can report the </w:t>
      </w:r>
      <w:r>
        <w:rPr>
          <w:lang w:val="en-US" w:eastAsia="ja-JP"/>
        </w:rPr>
        <w:t>PRS-RSRPP</w:t>
      </w:r>
      <w:r w:rsidRPr="0018642A">
        <w:rPr>
          <w:lang w:val="en-US" w:eastAsia="ja-JP"/>
        </w:rPr>
        <w:t xml:space="preserve"> </w:t>
      </w:r>
      <w:r>
        <w:rPr>
          <w:lang w:val="en-US" w:eastAsia="ja-JP"/>
        </w:rPr>
        <w:t xml:space="preserve">measurement </w:t>
      </w:r>
      <w:r w:rsidRPr="0018642A">
        <w:rPr>
          <w:lang w:val="en-US" w:eastAsia="ja-JP"/>
        </w:rPr>
        <w:t>of up to its supported number of additional paths.</w:t>
      </w:r>
    </w:p>
    <w:p w14:paraId="01834DBC" w14:textId="7BFC6379" w:rsidR="00BB469D" w:rsidRPr="00956E6E" w:rsidRDefault="00BB469D" w:rsidP="00BB469D">
      <w:pPr>
        <w:pStyle w:val="TH"/>
        <w:rPr>
          <w:rFonts w:eastAsiaTheme="minorEastAsia"/>
          <w:lang w:eastAsia="zh-CN"/>
        </w:rPr>
      </w:pPr>
      <w:r w:rsidRPr="00956E6E">
        <w:rPr>
          <w:rFonts w:eastAsiaTheme="minorEastAsia"/>
        </w:rPr>
        <w:t>Table 10.1.</w:t>
      </w:r>
      <w:r>
        <w:rPr>
          <w:rFonts w:eastAsiaTheme="minorEastAsia"/>
        </w:rPr>
        <w:t>38</w:t>
      </w:r>
      <w:r w:rsidRPr="00956E6E">
        <w:rPr>
          <w:rFonts w:eastAsiaTheme="minorEastAsia"/>
        </w:rPr>
        <w:t>.</w:t>
      </w:r>
      <w:r w:rsidRPr="00956E6E">
        <w:rPr>
          <w:rFonts w:eastAsiaTheme="minorEastAsia" w:hint="eastAsia"/>
          <w:lang w:eastAsia="zh-CN"/>
        </w:rPr>
        <w:t>3</w:t>
      </w:r>
      <w:r w:rsidRPr="00956E6E">
        <w:rPr>
          <w:rFonts w:eastAsiaTheme="minorEastAsia"/>
        </w:rPr>
        <w:t>.1</w:t>
      </w:r>
      <w:r w:rsidRPr="00956E6E">
        <w:rPr>
          <w:rFonts w:eastAsiaTheme="minorEastAsia" w:cs="v4.2.0"/>
        </w:rPr>
        <w:t>-1</w:t>
      </w:r>
      <w:r w:rsidRPr="00956E6E">
        <w:rPr>
          <w:rFonts w:eastAsiaTheme="minorEastAsia"/>
        </w:rPr>
        <w:t>: Measurement report mapping for PRS-RSRPP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08"/>
        <w:gridCol w:w="863"/>
      </w:tblGrid>
      <w:tr w:rsidR="00BB469D" w:rsidRPr="00956E6E" w14:paraId="3E487498" w14:textId="77777777" w:rsidTr="007A5129">
        <w:trPr>
          <w:trHeight w:val="187"/>
          <w:jc w:val="center"/>
        </w:trPr>
        <w:tc>
          <w:tcPr>
            <w:tcW w:w="2225" w:type="dxa"/>
            <w:shd w:val="clear" w:color="auto" w:fill="auto"/>
            <w:noWrap/>
            <w:hideMark/>
          </w:tcPr>
          <w:p w14:paraId="2549CD4F" w14:textId="77777777" w:rsidR="00BB469D" w:rsidRPr="00956E6E" w:rsidRDefault="00BB469D" w:rsidP="007A5129">
            <w:pPr>
              <w:keepNext/>
              <w:keepLines/>
              <w:spacing w:after="0"/>
              <w:jc w:val="center"/>
              <w:rPr>
                <w:rFonts w:ascii="Arial" w:eastAsiaTheme="minorEastAsia" w:hAnsi="Arial"/>
                <w:b/>
                <w:sz w:val="18"/>
                <w:lang w:eastAsia="ko-KR"/>
              </w:rPr>
            </w:pPr>
            <w:r w:rsidRPr="00956E6E">
              <w:rPr>
                <w:rFonts w:ascii="Arial" w:eastAsiaTheme="minorEastAsia" w:hAnsi="Arial"/>
                <w:b/>
                <w:sz w:val="18"/>
                <w:lang w:eastAsia="ko-KR"/>
              </w:rPr>
              <w:t>Reported value</w:t>
            </w:r>
          </w:p>
        </w:tc>
        <w:tc>
          <w:tcPr>
            <w:tcW w:w="2608" w:type="dxa"/>
            <w:shd w:val="clear" w:color="auto" w:fill="auto"/>
            <w:noWrap/>
            <w:hideMark/>
          </w:tcPr>
          <w:p w14:paraId="1B562964" w14:textId="77777777" w:rsidR="00BB469D" w:rsidRPr="00956E6E" w:rsidRDefault="00BB469D" w:rsidP="007A5129">
            <w:pPr>
              <w:keepNext/>
              <w:keepLines/>
              <w:spacing w:after="0"/>
              <w:jc w:val="center"/>
              <w:rPr>
                <w:rFonts w:ascii="Arial" w:eastAsiaTheme="minorEastAsia" w:hAnsi="Arial"/>
                <w:b/>
                <w:sz w:val="18"/>
                <w:lang w:eastAsia="ko-KR"/>
              </w:rPr>
            </w:pPr>
            <w:r w:rsidRPr="00956E6E">
              <w:rPr>
                <w:rFonts w:ascii="Arial" w:eastAsiaTheme="minorEastAsia" w:hAnsi="Arial"/>
                <w:b/>
                <w:sz w:val="18"/>
                <w:lang w:eastAsia="ko-KR"/>
              </w:rPr>
              <w:t>Measured quantity value</w:t>
            </w:r>
          </w:p>
        </w:tc>
        <w:tc>
          <w:tcPr>
            <w:tcW w:w="863" w:type="dxa"/>
            <w:shd w:val="clear" w:color="auto" w:fill="auto"/>
            <w:noWrap/>
            <w:hideMark/>
          </w:tcPr>
          <w:p w14:paraId="537EB090" w14:textId="77777777" w:rsidR="00BB469D" w:rsidRPr="00956E6E" w:rsidRDefault="00BB469D" w:rsidP="007A5129">
            <w:pPr>
              <w:keepNext/>
              <w:keepLines/>
              <w:spacing w:after="0"/>
              <w:jc w:val="center"/>
              <w:rPr>
                <w:rFonts w:ascii="Arial" w:eastAsiaTheme="minorEastAsia" w:hAnsi="Arial"/>
                <w:b/>
                <w:sz w:val="18"/>
                <w:lang w:eastAsia="ko-KR"/>
              </w:rPr>
            </w:pPr>
            <w:r w:rsidRPr="00956E6E">
              <w:rPr>
                <w:rFonts w:ascii="Arial" w:eastAsiaTheme="minorEastAsia" w:hAnsi="Arial"/>
                <w:b/>
                <w:sz w:val="18"/>
                <w:lang w:eastAsia="ko-KR"/>
              </w:rPr>
              <w:t>Unit</w:t>
            </w:r>
          </w:p>
        </w:tc>
      </w:tr>
      <w:tr w:rsidR="00BB469D" w:rsidRPr="00956E6E" w14:paraId="1A7FDC87" w14:textId="77777777" w:rsidTr="007A5129">
        <w:trPr>
          <w:trHeight w:val="187"/>
          <w:jc w:val="center"/>
        </w:trPr>
        <w:tc>
          <w:tcPr>
            <w:tcW w:w="2225" w:type="dxa"/>
            <w:shd w:val="clear" w:color="auto" w:fill="auto"/>
            <w:noWrap/>
            <w:hideMark/>
          </w:tcPr>
          <w:p w14:paraId="7CADB924"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_0</w:t>
            </w:r>
          </w:p>
        </w:tc>
        <w:tc>
          <w:tcPr>
            <w:tcW w:w="2608" w:type="dxa"/>
            <w:shd w:val="clear" w:color="auto" w:fill="auto"/>
            <w:noWrap/>
            <w:hideMark/>
          </w:tcPr>
          <w:p w14:paraId="2FA496AF" w14:textId="77777777" w:rsidR="00BB469D" w:rsidRPr="00956E6E" w:rsidRDefault="00BB469D" w:rsidP="00BB469D">
            <w:pPr>
              <w:pStyle w:val="TAC"/>
              <w:rPr>
                <w:rFonts w:eastAsiaTheme="minorEastAsia"/>
                <w:lang w:eastAsia="ko-KR"/>
              </w:rPr>
            </w:pPr>
            <w:r w:rsidRPr="00956E6E">
              <w:rPr>
                <w:rFonts w:eastAsiaTheme="minorEastAsia"/>
                <w:lang w:eastAsia="zh-CN"/>
              </w:rPr>
              <w:t>PRS-RSRPP</w:t>
            </w:r>
            <w:r w:rsidRPr="00956E6E">
              <w:rPr>
                <w:rFonts w:eastAsiaTheme="minorEastAsia"/>
                <w:lang w:eastAsia="ko-KR"/>
              </w:rPr>
              <w:t>&lt;-156</w:t>
            </w:r>
          </w:p>
        </w:tc>
        <w:tc>
          <w:tcPr>
            <w:tcW w:w="863" w:type="dxa"/>
            <w:shd w:val="clear" w:color="auto" w:fill="auto"/>
            <w:noWrap/>
            <w:hideMark/>
          </w:tcPr>
          <w:p w14:paraId="5835941C"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4C2AD4C5" w14:textId="77777777" w:rsidTr="007A5129">
        <w:trPr>
          <w:trHeight w:val="187"/>
          <w:jc w:val="center"/>
        </w:trPr>
        <w:tc>
          <w:tcPr>
            <w:tcW w:w="2225" w:type="dxa"/>
            <w:shd w:val="clear" w:color="auto" w:fill="auto"/>
            <w:noWrap/>
            <w:hideMark/>
          </w:tcPr>
          <w:p w14:paraId="363BDF2A"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w:t>
            </w:r>
          </w:p>
        </w:tc>
        <w:tc>
          <w:tcPr>
            <w:tcW w:w="2608" w:type="dxa"/>
            <w:shd w:val="clear" w:color="auto" w:fill="auto"/>
            <w:noWrap/>
            <w:hideMark/>
          </w:tcPr>
          <w:p w14:paraId="31ED29F9" w14:textId="77777777" w:rsidR="00BB469D" w:rsidRPr="00956E6E" w:rsidRDefault="00BB469D" w:rsidP="00BB469D">
            <w:pPr>
              <w:pStyle w:val="TAC"/>
              <w:rPr>
                <w:rFonts w:eastAsiaTheme="minorEastAsia"/>
                <w:lang w:eastAsia="ko-KR"/>
              </w:rPr>
            </w:pPr>
            <w:r w:rsidRPr="00956E6E">
              <w:rPr>
                <w:rFonts w:eastAsiaTheme="minorEastAsia"/>
                <w:lang w:eastAsia="ko-KR"/>
              </w:rPr>
              <w:t>-156</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&lt;-155</w:t>
            </w:r>
          </w:p>
        </w:tc>
        <w:tc>
          <w:tcPr>
            <w:tcW w:w="863" w:type="dxa"/>
            <w:shd w:val="clear" w:color="auto" w:fill="auto"/>
            <w:noWrap/>
            <w:hideMark/>
          </w:tcPr>
          <w:p w14:paraId="726FF585"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092CA6F5" w14:textId="77777777" w:rsidTr="007A5129">
        <w:trPr>
          <w:trHeight w:val="187"/>
          <w:jc w:val="center"/>
        </w:trPr>
        <w:tc>
          <w:tcPr>
            <w:tcW w:w="2225" w:type="dxa"/>
            <w:shd w:val="clear" w:color="auto" w:fill="auto"/>
            <w:noWrap/>
            <w:hideMark/>
          </w:tcPr>
          <w:p w14:paraId="2231614F"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_2</w:t>
            </w:r>
          </w:p>
        </w:tc>
        <w:tc>
          <w:tcPr>
            <w:tcW w:w="2608" w:type="dxa"/>
            <w:shd w:val="clear" w:color="auto" w:fill="auto"/>
            <w:noWrap/>
            <w:hideMark/>
          </w:tcPr>
          <w:p w14:paraId="5B6EE213" w14:textId="77777777" w:rsidR="00BB469D" w:rsidRPr="00956E6E" w:rsidRDefault="00BB469D" w:rsidP="00BB469D">
            <w:pPr>
              <w:pStyle w:val="TAC"/>
              <w:rPr>
                <w:rFonts w:eastAsiaTheme="minorEastAsia"/>
                <w:lang w:eastAsia="ko-KR"/>
              </w:rPr>
            </w:pPr>
            <w:r w:rsidRPr="00956E6E">
              <w:rPr>
                <w:rFonts w:eastAsiaTheme="minorEastAsia"/>
                <w:lang w:eastAsia="ko-KR"/>
              </w:rPr>
              <w:t>-155</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&lt;-154</w:t>
            </w:r>
          </w:p>
        </w:tc>
        <w:tc>
          <w:tcPr>
            <w:tcW w:w="863" w:type="dxa"/>
            <w:shd w:val="clear" w:color="auto" w:fill="auto"/>
            <w:noWrap/>
            <w:hideMark/>
          </w:tcPr>
          <w:p w14:paraId="47E3CC97"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0BF38318" w14:textId="77777777" w:rsidTr="007A5129">
        <w:trPr>
          <w:trHeight w:val="187"/>
          <w:jc w:val="center"/>
        </w:trPr>
        <w:tc>
          <w:tcPr>
            <w:tcW w:w="2225" w:type="dxa"/>
            <w:shd w:val="clear" w:color="auto" w:fill="auto"/>
            <w:noWrap/>
            <w:hideMark/>
          </w:tcPr>
          <w:p w14:paraId="110DC046"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_3</w:t>
            </w:r>
          </w:p>
        </w:tc>
        <w:tc>
          <w:tcPr>
            <w:tcW w:w="2608" w:type="dxa"/>
            <w:shd w:val="clear" w:color="auto" w:fill="auto"/>
            <w:noWrap/>
            <w:hideMark/>
          </w:tcPr>
          <w:p w14:paraId="57960AE8" w14:textId="77777777" w:rsidR="00BB469D" w:rsidRPr="00956E6E" w:rsidRDefault="00BB469D" w:rsidP="00BB469D">
            <w:pPr>
              <w:pStyle w:val="TAC"/>
              <w:rPr>
                <w:rFonts w:eastAsiaTheme="minorEastAsia"/>
                <w:lang w:eastAsia="ko-KR"/>
              </w:rPr>
            </w:pPr>
            <w:r w:rsidRPr="00956E6E">
              <w:rPr>
                <w:rFonts w:eastAsiaTheme="minorEastAsia"/>
                <w:lang w:eastAsia="ko-KR"/>
              </w:rPr>
              <w:t>-154</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&lt;-153</w:t>
            </w:r>
          </w:p>
        </w:tc>
        <w:tc>
          <w:tcPr>
            <w:tcW w:w="863" w:type="dxa"/>
            <w:shd w:val="clear" w:color="auto" w:fill="auto"/>
            <w:noWrap/>
            <w:hideMark/>
          </w:tcPr>
          <w:p w14:paraId="322D3914"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6ADC847F" w14:textId="77777777" w:rsidTr="007A5129">
        <w:trPr>
          <w:trHeight w:val="187"/>
          <w:jc w:val="center"/>
        </w:trPr>
        <w:tc>
          <w:tcPr>
            <w:tcW w:w="2225" w:type="dxa"/>
            <w:shd w:val="clear" w:color="auto" w:fill="auto"/>
            <w:noWrap/>
            <w:hideMark/>
          </w:tcPr>
          <w:p w14:paraId="17F8E67E"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_4</w:t>
            </w:r>
          </w:p>
        </w:tc>
        <w:tc>
          <w:tcPr>
            <w:tcW w:w="2608" w:type="dxa"/>
            <w:shd w:val="clear" w:color="auto" w:fill="auto"/>
            <w:noWrap/>
            <w:hideMark/>
          </w:tcPr>
          <w:p w14:paraId="42AF4125" w14:textId="77777777" w:rsidR="00BB469D" w:rsidRPr="00956E6E" w:rsidRDefault="00BB469D" w:rsidP="00BB469D">
            <w:pPr>
              <w:pStyle w:val="TAC"/>
              <w:rPr>
                <w:rFonts w:eastAsiaTheme="minorEastAsia"/>
                <w:lang w:eastAsia="ko-KR"/>
              </w:rPr>
            </w:pPr>
            <w:r w:rsidRPr="00956E6E">
              <w:rPr>
                <w:rFonts w:eastAsiaTheme="minorEastAsia"/>
                <w:lang w:eastAsia="ko-KR"/>
              </w:rPr>
              <w:t>-153</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&lt;-152</w:t>
            </w:r>
          </w:p>
        </w:tc>
        <w:tc>
          <w:tcPr>
            <w:tcW w:w="863" w:type="dxa"/>
            <w:shd w:val="clear" w:color="auto" w:fill="auto"/>
            <w:noWrap/>
            <w:hideMark/>
          </w:tcPr>
          <w:p w14:paraId="58630C52"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0F6F6105" w14:textId="77777777" w:rsidTr="007A5129">
        <w:trPr>
          <w:trHeight w:val="187"/>
          <w:jc w:val="center"/>
        </w:trPr>
        <w:tc>
          <w:tcPr>
            <w:tcW w:w="2225" w:type="dxa"/>
            <w:shd w:val="clear" w:color="auto" w:fill="auto"/>
            <w:noWrap/>
            <w:hideMark/>
          </w:tcPr>
          <w:p w14:paraId="28D3ECC1"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_5</w:t>
            </w:r>
          </w:p>
        </w:tc>
        <w:tc>
          <w:tcPr>
            <w:tcW w:w="2608" w:type="dxa"/>
            <w:shd w:val="clear" w:color="auto" w:fill="auto"/>
            <w:noWrap/>
            <w:hideMark/>
          </w:tcPr>
          <w:p w14:paraId="652E8240" w14:textId="77777777" w:rsidR="00BB469D" w:rsidRPr="00956E6E" w:rsidRDefault="00BB469D" w:rsidP="00BB469D">
            <w:pPr>
              <w:pStyle w:val="TAC"/>
              <w:rPr>
                <w:rFonts w:eastAsiaTheme="minorEastAsia"/>
                <w:lang w:eastAsia="ko-KR"/>
              </w:rPr>
            </w:pPr>
            <w:r w:rsidRPr="00956E6E">
              <w:rPr>
                <w:rFonts w:eastAsiaTheme="minorEastAsia"/>
                <w:lang w:eastAsia="ko-KR"/>
              </w:rPr>
              <w:t>-152</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&lt;-151</w:t>
            </w:r>
          </w:p>
        </w:tc>
        <w:tc>
          <w:tcPr>
            <w:tcW w:w="863" w:type="dxa"/>
            <w:shd w:val="clear" w:color="auto" w:fill="auto"/>
            <w:noWrap/>
            <w:hideMark/>
          </w:tcPr>
          <w:p w14:paraId="4447BECC"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370AF9B1" w14:textId="77777777" w:rsidTr="007A5129">
        <w:trPr>
          <w:trHeight w:val="187"/>
          <w:jc w:val="center"/>
        </w:trPr>
        <w:tc>
          <w:tcPr>
            <w:tcW w:w="2225" w:type="dxa"/>
            <w:shd w:val="clear" w:color="auto" w:fill="auto"/>
            <w:noWrap/>
            <w:hideMark/>
          </w:tcPr>
          <w:p w14:paraId="3EE9A62D"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_6</w:t>
            </w:r>
          </w:p>
        </w:tc>
        <w:tc>
          <w:tcPr>
            <w:tcW w:w="2608" w:type="dxa"/>
            <w:shd w:val="clear" w:color="auto" w:fill="auto"/>
            <w:noWrap/>
            <w:hideMark/>
          </w:tcPr>
          <w:p w14:paraId="2498F061" w14:textId="77777777" w:rsidR="00BB469D" w:rsidRPr="00956E6E" w:rsidRDefault="00BB469D" w:rsidP="00BB469D">
            <w:pPr>
              <w:pStyle w:val="TAC"/>
              <w:rPr>
                <w:rFonts w:eastAsiaTheme="minorEastAsia"/>
                <w:lang w:eastAsia="ko-KR"/>
              </w:rPr>
            </w:pPr>
            <w:r w:rsidRPr="00956E6E">
              <w:rPr>
                <w:rFonts w:eastAsiaTheme="minorEastAsia"/>
                <w:lang w:eastAsia="ko-KR"/>
              </w:rPr>
              <w:t>-151</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&lt;-150</w:t>
            </w:r>
          </w:p>
        </w:tc>
        <w:tc>
          <w:tcPr>
            <w:tcW w:w="863" w:type="dxa"/>
            <w:shd w:val="clear" w:color="auto" w:fill="auto"/>
            <w:noWrap/>
            <w:hideMark/>
          </w:tcPr>
          <w:p w14:paraId="1A4A7F86"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33BE97F1" w14:textId="77777777" w:rsidTr="007A5129">
        <w:trPr>
          <w:trHeight w:val="187"/>
          <w:jc w:val="center"/>
        </w:trPr>
        <w:tc>
          <w:tcPr>
            <w:tcW w:w="2225" w:type="dxa"/>
            <w:shd w:val="clear" w:color="auto" w:fill="auto"/>
            <w:noWrap/>
            <w:hideMark/>
          </w:tcPr>
          <w:p w14:paraId="3B19D61D"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_7</w:t>
            </w:r>
          </w:p>
        </w:tc>
        <w:tc>
          <w:tcPr>
            <w:tcW w:w="2608" w:type="dxa"/>
            <w:shd w:val="clear" w:color="auto" w:fill="auto"/>
            <w:noWrap/>
            <w:hideMark/>
          </w:tcPr>
          <w:p w14:paraId="6937F611" w14:textId="77777777" w:rsidR="00BB469D" w:rsidRPr="00956E6E" w:rsidRDefault="00BB469D" w:rsidP="00BB469D">
            <w:pPr>
              <w:pStyle w:val="TAC"/>
              <w:rPr>
                <w:rFonts w:eastAsiaTheme="minorEastAsia"/>
                <w:lang w:eastAsia="ko-KR"/>
              </w:rPr>
            </w:pPr>
            <w:r w:rsidRPr="00956E6E">
              <w:rPr>
                <w:rFonts w:eastAsiaTheme="minorEastAsia"/>
                <w:lang w:eastAsia="ko-KR"/>
              </w:rPr>
              <w:t>-150</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&lt;-149</w:t>
            </w:r>
          </w:p>
        </w:tc>
        <w:tc>
          <w:tcPr>
            <w:tcW w:w="863" w:type="dxa"/>
            <w:shd w:val="clear" w:color="auto" w:fill="auto"/>
            <w:noWrap/>
            <w:hideMark/>
          </w:tcPr>
          <w:p w14:paraId="22E7DAB8"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51A08D5C" w14:textId="77777777" w:rsidTr="007A5129">
        <w:trPr>
          <w:trHeight w:val="187"/>
          <w:jc w:val="center"/>
        </w:trPr>
        <w:tc>
          <w:tcPr>
            <w:tcW w:w="2225" w:type="dxa"/>
            <w:shd w:val="clear" w:color="auto" w:fill="auto"/>
            <w:noWrap/>
            <w:hideMark/>
          </w:tcPr>
          <w:p w14:paraId="31D7BCE3"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_8</w:t>
            </w:r>
          </w:p>
        </w:tc>
        <w:tc>
          <w:tcPr>
            <w:tcW w:w="2608" w:type="dxa"/>
            <w:shd w:val="clear" w:color="auto" w:fill="auto"/>
            <w:noWrap/>
            <w:hideMark/>
          </w:tcPr>
          <w:p w14:paraId="3C761D1E" w14:textId="77777777" w:rsidR="00BB469D" w:rsidRPr="00956E6E" w:rsidRDefault="00BB469D" w:rsidP="00BB469D">
            <w:pPr>
              <w:pStyle w:val="TAC"/>
              <w:rPr>
                <w:rFonts w:eastAsiaTheme="minorEastAsia"/>
                <w:lang w:eastAsia="ko-KR"/>
              </w:rPr>
            </w:pPr>
            <w:r w:rsidRPr="00956E6E">
              <w:rPr>
                <w:rFonts w:eastAsiaTheme="minorEastAsia"/>
                <w:lang w:eastAsia="ko-KR"/>
              </w:rPr>
              <w:t>-149</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&lt;-148</w:t>
            </w:r>
          </w:p>
        </w:tc>
        <w:tc>
          <w:tcPr>
            <w:tcW w:w="863" w:type="dxa"/>
            <w:shd w:val="clear" w:color="auto" w:fill="auto"/>
            <w:noWrap/>
            <w:hideMark/>
          </w:tcPr>
          <w:p w14:paraId="1A47DAC6"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19FE6EAE" w14:textId="77777777" w:rsidTr="007A5129">
        <w:trPr>
          <w:trHeight w:val="187"/>
          <w:jc w:val="center"/>
        </w:trPr>
        <w:tc>
          <w:tcPr>
            <w:tcW w:w="2225" w:type="dxa"/>
            <w:shd w:val="clear" w:color="auto" w:fill="auto"/>
            <w:noWrap/>
            <w:hideMark/>
          </w:tcPr>
          <w:p w14:paraId="175BDB71"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_9</w:t>
            </w:r>
          </w:p>
        </w:tc>
        <w:tc>
          <w:tcPr>
            <w:tcW w:w="2608" w:type="dxa"/>
            <w:shd w:val="clear" w:color="auto" w:fill="auto"/>
            <w:noWrap/>
            <w:hideMark/>
          </w:tcPr>
          <w:p w14:paraId="39FE296F" w14:textId="77777777" w:rsidR="00BB469D" w:rsidRPr="00956E6E" w:rsidRDefault="00BB469D" w:rsidP="00BB469D">
            <w:pPr>
              <w:pStyle w:val="TAC"/>
              <w:rPr>
                <w:rFonts w:eastAsiaTheme="minorEastAsia"/>
                <w:lang w:eastAsia="ko-KR"/>
              </w:rPr>
            </w:pPr>
            <w:r w:rsidRPr="00956E6E">
              <w:rPr>
                <w:rFonts w:eastAsiaTheme="minorEastAsia"/>
                <w:lang w:eastAsia="ko-KR"/>
              </w:rPr>
              <w:t>-148</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&lt;-147</w:t>
            </w:r>
          </w:p>
        </w:tc>
        <w:tc>
          <w:tcPr>
            <w:tcW w:w="863" w:type="dxa"/>
            <w:shd w:val="clear" w:color="auto" w:fill="auto"/>
            <w:noWrap/>
            <w:hideMark/>
          </w:tcPr>
          <w:p w14:paraId="668867AE"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40457DC0" w14:textId="77777777" w:rsidTr="007A5129">
        <w:trPr>
          <w:trHeight w:val="187"/>
          <w:jc w:val="center"/>
        </w:trPr>
        <w:tc>
          <w:tcPr>
            <w:tcW w:w="2225" w:type="dxa"/>
            <w:shd w:val="clear" w:color="auto" w:fill="auto"/>
            <w:noWrap/>
            <w:hideMark/>
          </w:tcPr>
          <w:p w14:paraId="50E8D556"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_10</w:t>
            </w:r>
          </w:p>
        </w:tc>
        <w:tc>
          <w:tcPr>
            <w:tcW w:w="2608" w:type="dxa"/>
            <w:shd w:val="clear" w:color="auto" w:fill="auto"/>
            <w:noWrap/>
            <w:hideMark/>
          </w:tcPr>
          <w:p w14:paraId="0F4D3310" w14:textId="77777777" w:rsidR="00BB469D" w:rsidRPr="00956E6E" w:rsidRDefault="00BB469D" w:rsidP="00BB469D">
            <w:pPr>
              <w:pStyle w:val="TAC"/>
              <w:rPr>
                <w:rFonts w:eastAsiaTheme="minorEastAsia"/>
                <w:lang w:eastAsia="ko-KR"/>
              </w:rPr>
            </w:pPr>
            <w:r w:rsidRPr="00956E6E">
              <w:rPr>
                <w:rFonts w:eastAsiaTheme="minorEastAsia"/>
                <w:lang w:eastAsia="ko-KR"/>
              </w:rPr>
              <w:t>-147</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&lt;-146</w:t>
            </w:r>
          </w:p>
        </w:tc>
        <w:tc>
          <w:tcPr>
            <w:tcW w:w="863" w:type="dxa"/>
            <w:shd w:val="clear" w:color="auto" w:fill="auto"/>
            <w:noWrap/>
            <w:hideMark/>
          </w:tcPr>
          <w:p w14:paraId="1FACB918"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4E67338B" w14:textId="77777777" w:rsidTr="007A5129">
        <w:trPr>
          <w:trHeight w:val="187"/>
          <w:jc w:val="center"/>
        </w:trPr>
        <w:tc>
          <w:tcPr>
            <w:tcW w:w="2225" w:type="dxa"/>
            <w:shd w:val="clear" w:color="auto" w:fill="auto"/>
            <w:noWrap/>
            <w:hideMark/>
          </w:tcPr>
          <w:p w14:paraId="44F5F2C9"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_11</w:t>
            </w:r>
          </w:p>
        </w:tc>
        <w:tc>
          <w:tcPr>
            <w:tcW w:w="2608" w:type="dxa"/>
            <w:shd w:val="clear" w:color="auto" w:fill="auto"/>
            <w:noWrap/>
            <w:hideMark/>
          </w:tcPr>
          <w:p w14:paraId="2A6FE02A" w14:textId="77777777" w:rsidR="00BB469D" w:rsidRPr="00956E6E" w:rsidRDefault="00BB469D" w:rsidP="00BB469D">
            <w:pPr>
              <w:pStyle w:val="TAC"/>
              <w:rPr>
                <w:rFonts w:eastAsiaTheme="minorEastAsia"/>
                <w:lang w:eastAsia="ko-KR"/>
              </w:rPr>
            </w:pPr>
            <w:r w:rsidRPr="00956E6E">
              <w:rPr>
                <w:rFonts w:eastAsiaTheme="minorEastAsia"/>
                <w:lang w:eastAsia="ko-KR"/>
              </w:rPr>
              <w:t>-146</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&lt;-145</w:t>
            </w:r>
          </w:p>
        </w:tc>
        <w:tc>
          <w:tcPr>
            <w:tcW w:w="863" w:type="dxa"/>
            <w:shd w:val="clear" w:color="auto" w:fill="auto"/>
            <w:noWrap/>
            <w:hideMark/>
          </w:tcPr>
          <w:p w14:paraId="20F76840"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1673EA2C" w14:textId="77777777" w:rsidTr="007A5129">
        <w:trPr>
          <w:trHeight w:val="187"/>
          <w:jc w:val="center"/>
        </w:trPr>
        <w:tc>
          <w:tcPr>
            <w:tcW w:w="2225" w:type="dxa"/>
            <w:shd w:val="clear" w:color="auto" w:fill="auto"/>
            <w:noWrap/>
            <w:hideMark/>
          </w:tcPr>
          <w:p w14:paraId="68314298"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_12</w:t>
            </w:r>
          </w:p>
        </w:tc>
        <w:tc>
          <w:tcPr>
            <w:tcW w:w="2608" w:type="dxa"/>
            <w:shd w:val="clear" w:color="auto" w:fill="auto"/>
            <w:noWrap/>
            <w:hideMark/>
          </w:tcPr>
          <w:p w14:paraId="44D4BF06" w14:textId="77777777" w:rsidR="00BB469D" w:rsidRPr="00956E6E" w:rsidRDefault="00BB469D" w:rsidP="00BB469D">
            <w:pPr>
              <w:pStyle w:val="TAC"/>
              <w:rPr>
                <w:rFonts w:eastAsiaTheme="minorEastAsia"/>
                <w:lang w:eastAsia="ko-KR"/>
              </w:rPr>
            </w:pPr>
            <w:r w:rsidRPr="00956E6E">
              <w:rPr>
                <w:rFonts w:eastAsiaTheme="minorEastAsia"/>
                <w:lang w:eastAsia="ko-KR"/>
              </w:rPr>
              <w:t>-145</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&lt;-144</w:t>
            </w:r>
          </w:p>
        </w:tc>
        <w:tc>
          <w:tcPr>
            <w:tcW w:w="863" w:type="dxa"/>
            <w:shd w:val="clear" w:color="auto" w:fill="auto"/>
            <w:noWrap/>
            <w:hideMark/>
          </w:tcPr>
          <w:p w14:paraId="30B1220C"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6C4886B8" w14:textId="77777777" w:rsidTr="007A5129">
        <w:trPr>
          <w:trHeight w:val="187"/>
          <w:jc w:val="center"/>
        </w:trPr>
        <w:tc>
          <w:tcPr>
            <w:tcW w:w="2225" w:type="dxa"/>
            <w:shd w:val="clear" w:color="auto" w:fill="auto"/>
            <w:noWrap/>
            <w:hideMark/>
          </w:tcPr>
          <w:p w14:paraId="77EB5C38"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_13</w:t>
            </w:r>
          </w:p>
        </w:tc>
        <w:tc>
          <w:tcPr>
            <w:tcW w:w="2608" w:type="dxa"/>
            <w:shd w:val="clear" w:color="auto" w:fill="auto"/>
            <w:noWrap/>
            <w:hideMark/>
          </w:tcPr>
          <w:p w14:paraId="1B3DC010" w14:textId="77777777" w:rsidR="00BB469D" w:rsidRPr="00956E6E" w:rsidRDefault="00BB469D" w:rsidP="00BB469D">
            <w:pPr>
              <w:pStyle w:val="TAC"/>
              <w:rPr>
                <w:rFonts w:eastAsiaTheme="minorEastAsia"/>
                <w:lang w:eastAsia="ko-KR"/>
              </w:rPr>
            </w:pPr>
            <w:r w:rsidRPr="00956E6E">
              <w:rPr>
                <w:rFonts w:eastAsiaTheme="minorEastAsia"/>
                <w:lang w:eastAsia="ko-KR"/>
              </w:rPr>
              <w:t>-144</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&lt;-143</w:t>
            </w:r>
          </w:p>
        </w:tc>
        <w:tc>
          <w:tcPr>
            <w:tcW w:w="863" w:type="dxa"/>
            <w:shd w:val="clear" w:color="auto" w:fill="auto"/>
            <w:noWrap/>
            <w:hideMark/>
          </w:tcPr>
          <w:p w14:paraId="2AFDF90F"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67E1B0BB" w14:textId="77777777" w:rsidTr="007A5129">
        <w:trPr>
          <w:trHeight w:val="187"/>
          <w:jc w:val="center"/>
        </w:trPr>
        <w:tc>
          <w:tcPr>
            <w:tcW w:w="2225" w:type="dxa"/>
            <w:shd w:val="clear" w:color="auto" w:fill="auto"/>
            <w:noWrap/>
            <w:hideMark/>
          </w:tcPr>
          <w:p w14:paraId="35652B9E" w14:textId="77777777" w:rsidR="00BB469D" w:rsidRPr="00956E6E" w:rsidRDefault="00BB469D" w:rsidP="00BB469D">
            <w:pPr>
              <w:pStyle w:val="TAL"/>
              <w:rPr>
                <w:rFonts w:eastAsiaTheme="minorEastAsia"/>
                <w:lang w:eastAsia="ko-KR"/>
              </w:rPr>
            </w:pPr>
            <w:r w:rsidRPr="00956E6E">
              <w:rPr>
                <w:rFonts w:eastAsiaTheme="minorEastAsia"/>
                <w:lang w:eastAsia="zh-CN"/>
              </w:rPr>
              <w:t>PRS_RSRPP</w:t>
            </w:r>
            <w:r w:rsidRPr="00956E6E">
              <w:rPr>
                <w:rFonts w:eastAsiaTheme="minorEastAsia"/>
                <w:lang w:eastAsia="ko-KR"/>
              </w:rPr>
              <w:t>_14</w:t>
            </w:r>
          </w:p>
        </w:tc>
        <w:tc>
          <w:tcPr>
            <w:tcW w:w="2608" w:type="dxa"/>
            <w:shd w:val="clear" w:color="auto" w:fill="auto"/>
            <w:noWrap/>
            <w:hideMark/>
          </w:tcPr>
          <w:p w14:paraId="05472019" w14:textId="77777777" w:rsidR="00BB469D" w:rsidRPr="00956E6E" w:rsidRDefault="00BB469D" w:rsidP="00BB469D">
            <w:pPr>
              <w:pStyle w:val="TAC"/>
              <w:rPr>
                <w:rFonts w:eastAsiaTheme="minorEastAsia"/>
                <w:lang w:eastAsia="ko-KR"/>
              </w:rPr>
            </w:pPr>
            <w:r w:rsidRPr="00956E6E">
              <w:rPr>
                <w:rFonts w:eastAsiaTheme="minorEastAsia"/>
                <w:lang w:eastAsia="ko-KR"/>
              </w:rPr>
              <w:t>-143</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&lt;-142</w:t>
            </w:r>
          </w:p>
        </w:tc>
        <w:tc>
          <w:tcPr>
            <w:tcW w:w="863" w:type="dxa"/>
            <w:shd w:val="clear" w:color="auto" w:fill="auto"/>
            <w:noWrap/>
            <w:hideMark/>
          </w:tcPr>
          <w:p w14:paraId="14A70E71"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0BE2C78A" w14:textId="77777777" w:rsidTr="007A5129">
        <w:trPr>
          <w:trHeight w:val="187"/>
          <w:jc w:val="center"/>
        </w:trPr>
        <w:tc>
          <w:tcPr>
            <w:tcW w:w="2225" w:type="dxa"/>
            <w:shd w:val="clear" w:color="auto" w:fill="auto"/>
            <w:noWrap/>
            <w:hideMark/>
          </w:tcPr>
          <w:p w14:paraId="5845F22A"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_15</w:t>
            </w:r>
          </w:p>
        </w:tc>
        <w:tc>
          <w:tcPr>
            <w:tcW w:w="2608" w:type="dxa"/>
            <w:shd w:val="clear" w:color="auto" w:fill="auto"/>
            <w:noWrap/>
            <w:hideMark/>
          </w:tcPr>
          <w:p w14:paraId="0E68153F" w14:textId="77777777" w:rsidR="00BB469D" w:rsidRPr="00956E6E" w:rsidRDefault="00BB469D" w:rsidP="00BB469D">
            <w:pPr>
              <w:pStyle w:val="TAC"/>
              <w:rPr>
                <w:rFonts w:eastAsiaTheme="minorEastAsia"/>
                <w:lang w:eastAsia="ko-KR"/>
              </w:rPr>
            </w:pPr>
            <w:r w:rsidRPr="00956E6E">
              <w:rPr>
                <w:rFonts w:eastAsiaTheme="minorEastAsia"/>
                <w:lang w:eastAsia="ko-KR"/>
              </w:rPr>
              <w:t>-142</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&lt;-141</w:t>
            </w:r>
          </w:p>
        </w:tc>
        <w:tc>
          <w:tcPr>
            <w:tcW w:w="863" w:type="dxa"/>
            <w:shd w:val="clear" w:color="auto" w:fill="auto"/>
            <w:noWrap/>
            <w:hideMark/>
          </w:tcPr>
          <w:p w14:paraId="4A03B926"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50E35E5A" w14:textId="77777777" w:rsidTr="007A5129">
        <w:trPr>
          <w:trHeight w:val="187"/>
          <w:jc w:val="center"/>
        </w:trPr>
        <w:tc>
          <w:tcPr>
            <w:tcW w:w="2225" w:type="dxa"/>
            <w:shd w:val="clear" w:color="auto" w:fill="auto"/>
            <w:noWrap/>
            <w:hideMark/>
          </w:tcPr>
          <w:p w14:paraId="160DBFB8"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_16</w:t>
            </w:r>
          </w:p>
        </w:tc>
        <w:tc>
          <w:tcPr>
            <w:tcW w:w="2608" w:type="dxa"/>
            <w:shd w:val="clear" w:color="auto" w:fill="auto"/>
            <w:noWrap/>
            <w:hideMark/>
          </w:tcPr>
          <w:p w14:paraId="2880AD5E" w14:textId="77777777" w:rsidR="00BB469D" w:rsidRPr="00956E6E" w:rsidRDefault="00BB469D" w:rsidP="00BB469D">
            <w:pPr>
              <w:pStyle w:val="TAC"/>
              <w:rPr>
                <w:rFonts w:eastAsiaTheme="minorEastAsia"/>
                <w:lang w:eastAsia="ko-KR"/>
              </w:rPr>
            </w:pPr>
            <w:r w:rsidRPr="00956E6E">
              <w:rPr>
                <w:rFonts w:eastAsiaTheme="minorEastAsia"/>
                <w:lang w:eastAsia="ko-KR"/>
              </w:rPr>
              <w:t>-141</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&lt;-140</w:t>
            </w:r>
          </w:p>
        </w:tc>
        <w:tc>
          <w:tcPr>
            <w:tcW w:w="863" w:type="dxa"/>
            <w:shd w:val="clear" w:color="auto" w:fill="auto"/>
            <w:noWrap/>
            <w:hideMark/>
          </w:tcPr>
          <w:p w14:paraId="6B87B97A"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733D09CB" w14:textId="77777777" w:rsidTr="007A5129">
        <w:trPr>
          <w:trHeight w:val="187"/>
          <w:jc w:val="center"/>
        </w:trPr>
        <w:tc>
          <w:tcPr>
            <w:tcW w:w="2225" w:type="dxa"/>
            <w:shd w:val="clear" w:color="auto" w:fill="auto"/>
            <w:noWrap/>
          </w:tcPr>
          <w:p w14:paraId="3DA7853A"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_17</w:t>
            </w:r>
          </w:p>
        </w:tc>
        <w:tc>
          <w:tcPr>
            <w:tcW w:w="2608" w:type="dxa"/>
            <w:shd w:val="clear" w:color="auto" w:fill="auto"/>
            <w:noWrap/>
          </w:tcPr>
          <w:p w14:paraId="5EAED670" w14:textId="77777777" w:rsidR="00BB469D" w:rsidRPr="00956E6E" w:rsidRDefault="00BB469D" w:rsidP="00BB469D">
            <w:pPr>
              <w:pStyle w:val="TAC"/>
              <w:rPr>
                <w:rFonts w:eastAsiaTheme="minorEastAsia"/>
                <w:lang w:eastAsia="ko-KR"/>
              </w:rPr>
            </w:pPr>
            <w:r w:rsidRPr="00956E6E">
              <w:rPr>
                <w:rFonts w:eastAsiaTheme="minorEastAsia"/>
                <w:lang w:eastAsia="ko-KR"/>
              </w:rPr>
              <w:t>-140</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&lt;-139</w:t>
            </w:r>
          </w:p>
        </w:tc>
        <w:tc>
          <w:tcPr>
            <w:tcW w:w="863" w:type="dxa"/>
            <w:shd w:val="clear" w:color="auto" w:fill="auto"/>
            <w:noWrap/>
          </w:tcPr>
          <w:p w14:paraId="746574C1"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3EFC709D" w14:textId="77777777" w:rsidTr="007A5129">
        <w:trPr>
          <w:trHeight w:val="187"/>
          <w:jc w:val="center"/>
        </w:trPr>
        <w:tc>
          <w:tcPr>
            <w:tcW w:w="2225" w:type="dxa"/>
            <w:shd w:val="clear" w:color="auto" w:fill="auto"/>
            <w:noWrap/>
          </w:tcPr>
          <w:p w14:paraId="07ADB05A"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_18</w:t>
            </w:r>
          </w:p>
        </w:tc>
        <w:tc>
          <w:tcPr>
            <w:tcW w:w="2608" w:type="dxa"/>
            <w:shd w:val="clear" w:color="auto" w:fill="auto"/>
            <w:noWrap/>
          </w:tcPr>
          <w:p w14:paraId="2D532D0F" w14:textId="77777777" w:rsidR="00BB469D" w:rsidRPr="00956E6E" w:rsidRDefault="00BB469D" w:rsidP="00BB469D">
            <w:pPr>
              <w:pStyle w:val="TAC"/>
              <w:rPr>
                <w:rFonts w:eastAsiaTheme="minorEastAsia"/>
                <w:lang w:eastAsia="ko-KR"/>
              </w:rPr>
            </w:pPr>
            <w:r w:rsidRPr="00956E6E">
              <w:rPr>
                <w:rFonts w:eastAsiaTheme="minorEastAsia"/>
                <w:lang w:eastAsia="ko-KR"/>
              </w:rPr>
              <w:t>-139</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&lt;-138</w:t>
            </w:r>
          </w:p>
        </w:tc>
        <w:tc>
          <w:tcPr>
            <w:tcW w:w="863" w:type="dxa"/>
            <w:shd w:val="clear" w:color="auto" w:fill="auto"/>
            <w:noWrap/>
          </w:tcPr>
          <w:p w14:paraId="6AF47369"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1F2E5750" w14:textId="77777777" w:rsidTr="007A5129">
        <w:trPr>
          <w:trHeight w:val="187"/>
          <w:jc w:val="center"/>
        </w:trPr>
        <w:tc>
          <w:tcPr>
            <w:tcW w:w="2225" w:type="dxa"/>
            <w:shd w:val="clear" w:color="auto" w:fill="auto"/>
            <w:noWrap/>
          </w:tcPr>
          <w:p w14:paraId="75791F68" w14:textId="77777777" w:rsidR="00BB469D" w:rsidRPr="00956E6E" w:rsidRDefault="00BB469D" w:rsidP="00BB469D">
            <w:pPr>
              <w:pStyle w:val="TAL"/>
              <w:rPr>
                <w:rFonts w:eastAsiaTheme="minorEastAsia"/>
                <w:lang w:eastAsia="ko-KR"/>
              </w:rPr>
            </w:pPr>
            <w:r w:rsidRPr="00956E6E">
              <w:rPr>
                <w:rFonts w:eastAsiaTheme="minorEastAsia"/>
                <w:lang w:eastAsia="ko-KR"/>
              </w:rPr>
              <w:t>…</w:t>
            </w:r>
          </w:p>
        </w:tc>
        <w:tc>
          <w:tcPr>
            <w:tcW w:w="2608" w:type="dxa"/>
            <w:shd w:val="clear" w:color="auto" w:fill="auto"/>
            <w:noWrap/>
          </w:tcPr>
          <w:p w14:paraId="42B6D9F5" w14:textId="77777777" w:rsidR="00BB469D" w:rsidRPr="00956E6E" w:rsidRDefault="00BB469D" w:rsidP="00BB469D">
            <w:pPr>
              <w:pStyle w:val="TAC"/>
              <w:rPr>
                <w:rFonts w:eastAsiaTheme="minorEastAsia"/>
                <w:lang w:eastAsia="ko-KR"/>
              </w:rPr>
            </w:pPr>
            <w:r w:rsidRPr="00956E6E">
              <w:rPr>
                <w:rFonts w:eastAsiaTheme="minorEastAsia"/>
                <w:lang w:eastAsia="ko-KR"/>
              </w:rPr>
              <w:t>…</w:t>
            </w:r>
          </w:p>
        </w:tc>
        <w:tc>
          <w:tcPr>
            <w:tcW w:w="863" w:type="dxa"/>
            <w:shd w:val="clear" w:color="auto" w:fill="auto"/>
            <w:noWrap/>
          </w:tcPr>
          <w:p w14:paraId="7BD46B89" w14:textId="77777777" w:rsidR="00BB469D" w:rsidRPr="00956E6E" w:rsidRDefault="00BB469D" w:rsidP="00BB469D">
            <w:pPr>
              <w:pStyle w:val="TAC"/>
              <w:rPr>
                <w:rFonts w:eastAsiaTheme="minorEastAsia"/>
                <w:lang w:eastAsia="ko-KR"/>
              </w:rPr>
            </w:pPr>
            <w:r w:rsidRPr="00956E6E">
              <w:rPr>
                <w:rFonts w:eastAsiaTheme="minorEastAsia"/>
                <w:lang w:eastAsia="ko-KR"/>
              </w:rPr>
              <w:t>…</w:t>
            </w:r>
          </w:p>
        </w:tc>
      </w:tr>
      <w:tr w:rsidR="00BB469D" w:rsidRPr="00956E6E" w14:paraId="118D5B46" w14:textId="77777777" w:rsidTr="007A5129">
        <w:trPr>
          <w:trHeight w:val="187"/>
          <w:jc w:val="center"/>
        </w:trPr>
        <w:tc>
          <w:tcPr>
            <w:tcW w:w="2225" w:type="dxa"/>
            <w:shd w:val="clear" w:color="auto" w:fill="auto"/>
            <w:noWrap/>
          </w:tcPr>
          <w:p w14:paraId="4FD86B4F"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_111</w:t>
            </w:r>
          </w:p>
        </w:tc>
        <w:tc>
          <w:tcPr>
            <w:tcW w:w="2608" w:type="dxa"/>
            <w:shd w:val="clear" w:color="auto" w:fill="auto"/>
            <w:noWrap/>
          </w:tcPr>
          <w:p w14:paraId="3C9987F9" w14:textId="77777777" w:rsidR="00BB469D" w:rsidRPr="00956E6E" w:rsidRDefault="00BB469D" w:rsidP="00BB469D">
            <w:pPr>
              <w:pStyle w:val="TAC"/>
              <w:rPr>
                <w:rFonts w:eastAsiaTheme="minorEastAsia"/>
                <w:lang w:eastAsia="ko-KR"/>
              </w:rPr>
            </w:pPr>
            <w:r w:rsidRPr="00956E6E">
              <w:rPr>
                <w:rFonts w:eastAsiaTheme="minorEastAsia"/>
                <w:lang w:eastAsia="ko-KR"/>
              </w:rPr>
              <w:t>-46</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&lt;-45</w:t>
            </w:r>
          </w:p>
        </w:tc>
        <w:tc>
          <w:tcPr>
            <w:tcW w:w="863" w:type="dxa"/>
            <w:shd w:val="clear" w:color="auto" w:fill="auto"/>
            <w:noWrap/>
          </w:tcPr>
          <w:p w14:paraId="69021FDD"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56FA1CF0" w14:textId="77777777" w:rsidTr="007A5129">
        <w:trPr>
          <w:trHeight w:val="187"/>
          <w:jc w:val="center"/>
        </w:trPr>
        <w:tc>
          <w:tcPr>
            <w:tcW w:w="2225" w:type="dxa"/>
            <w:shd w:val="clear" w:color="auto" w:fill="auto"/>
            <w:noWrap/>
          </w:tcPr>
          <w:p w14:paraId="76F334D0"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_112</w:t>
            </w:r>
          </w:p>
        </w:tc>
        <w:tc>
          <w:tcPr>
            <w:tcW w:w="2608" w:type="dxa"/>
            <w:shd w:val="clear" w:color="auto" w:fill="auto"/>
            <w:noWrap/>
          </w:tcPr>
          <w:p w14:paraId="6B3E0C17" w14:textId="77777777" w:rsidR="00BB469D" w:rsidRPr="00956E6E" w:rsidRDefault="00BB469D" w:rsidP="00BB469D">
            <w:pPr>
              <w:pStyle w:val="TAC"/>
              <w:rPr>
                <w:rFonts w:eastAsiaTheme="minorEastAsia"/>
                <w:lang w:eastAsia="ko-KR"/>
              </w:rPr>
            </w:pPr>
            <w:r w:rsidRPr="00956E6E">
              <w:rPr>
                <w:rFonts w:eastAsiaTheme="minorEastAsia"/>
                <w:lang w:eastAsia="ko-KR"/>
              </w:rPr>
              <w:t>-45</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&lt;-44</w:t>
            </w:r>
          </w:p>
        </w:tc>
        <w:tc>
          <w:tcPr>
            <w:tcW w:w="863" w:type="dxa"/>
            <w:shd w:val="clear" w:color="auto" w:fill="auto"/>
            <w:noWrap/>
          </w:tcPr>
          <w:p w14:paraId="4662CA5D"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7AFA67FF" w14:textId="77777777" w:rsidTr="007A5129">
        <w:trPr>
          <w:trHeight w:val="187"/>
          <w:jc w:val="center"/>
        </w:trPr>
        <w:tc>
          <w:tcPr>
            <w:tcW w:w="2225" w:type="dxa"/>
            <w:shd w:val="clear" w:color="auto" w:fill="auto"/>
            <w:noWrap/>
          </w:tcPr>
          <w:p w14:paraId="54350425"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_113</w:t>
            </w:r>
          </w:p>
        </w:tc>
        <w:tc>
          <w:tcPr>
            <w:tcW w:w="2608" w:type="dxa"/>
            <w:shd w:val="clear" w:color="auto" w:fill="auto"/>
            <w:noWrap/>
          </w:tcPr>
          <w:p w14:paraId="10ECDAEF" w14:textId="77777777" w:rsidR="00BB469D" w:rsidRPr="00956E6E" w:rsidRDefault="00BB469D" w:rsidP="00BB469D">
            <w:pPr>
              <w:pStyle w:val="TAC"/>
              <w:rPr>
                <w:rFonts w:eastAsiaTheme="minorEastAsia"/>
                <w:lang w:eastAsia="ko-KR"/>
              </w:rPr>
            </w:pPr>
            <w:r w:rsidRPr="00956E6E">
              <w:rPr>
                <w:rFonts w:eastAsiaTheme="minorEastAsia"/>
                <w:lang w:eastAsia="ko-KR"/>
              </w:rPr>
              <w:t>-44</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&lt;-43</w:t>
            </w:r>
          </w:p>
        </w:tc>
        <w:tc>
          <w:tcPr>
            <w:tcW w:w="863" w:type="dxa"/>
            <w:shd w:val="clear" w:color="auto" w:fill="auto"/>
            <w:noWrap/>
          </w:tcPr>
          <w:p w14:paraId="6997ADFB"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763EF753" w14:textId="77777777" w:rsidTr="007A5129">
        <w:trPr>
          <w:trHeight w:val="187"/>
          <w:jc w:val="center"/>
        </w:trPr>
        <w:tc>
          <w:tcPr>
            <w:tcW w:w="2225" w:type="dxa"/>
            <w:shd w:val="clear" w:color="auto" w:fill="auto"/>
            <w:noWrap/>
          </w:tcPr>
          <w:p w14:paraId="73749E77"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_114</w:t>
            </w:r>
          </w:p>
        </w:tc>
        <w:tc>
          <w:tcPr>
            <w:tcW w:w="2608" w:type="dxa"/>
            <w:shd w:val="clear" w:color="auto" w:fill="auto"/>
            <w:noWrap/>
          </w:tcPr>
          <w:p w14:paraId="5BF02CBF" w14:textId="77777777" w:rsidR="00BB469D" w:rsidRPr="00956E6E" w:rsidRDefault="00BB469D" w:rsidP="00BB469D">
            <w:pPr>
              <w:pStyle w:val="TAC"/>
              <w:rPr>
                <w:rFonts w:eastAsiaTheme="minorEastAsia"/>
                <w:lang w:eastAsia="ko-KR"/>
              </w:rPr>
            </w:pPr>
            <w:r w:rsidRPr="00956E6E">
              <w:rPr>
                <w:rFonts w:eastAsiaTheme="minorEastAsia"/>
                <w:lang w:eastAsia="ko-KR"/>
              </w:rPr>
              <w:t>-43</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&lt;-42</w:t>
            </w:r>
          </w:p>
        </w:tc>
        <w:tc>
          <w:tcPr>
            <w:tcW w:w="863" w:type="dxa"/>
            <w:shd w:val="clear" w:color="auto" w:fill="auto"/>
            <w:noWrap/>
          </w:tcPr>
          <w:p w14:paraId="27F17C6C"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2607949C" w14:textId="77777777" w:rsidTr="007A5129">
        <w:trPr>
          <w:trHeight w:val="187"/>
          <w:jc w:val="center"/>
        </w:trPr>
        <w:tc>
          <w:tcPr>
            <w:tcW w:w="2225" w:type="dxa"/>
            <w:shd w:val="clear" w:color="auto" w:fill="auto"/>
            <w:noWrap/>
          </w:tcPr>
          <w:p w14:paraId="68A31EEA"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_115</w:t>
            </w:r>
          </w:p>
        </w:tc>
        <w:tc>
          <w:tcPr>
            <w:tcW w:w="2608" w:type="dxa"/>
            <w:shd w:val="clear" w:color="auto" w:fill="auto"/>
            <w:noWrap/>
          </w:tcPr>
          <w:p w14:paraId="54E5E946" w14:textId="77777777" w:rsidR="00BB469D" w:rsidRPr="00956E6E" w:rsidRDefault="00BB469D" w:rsidP="00BB469D">
            <w:pPr>
              <w:pStyle w:val="TAC"/>
              <w:rPr>
                <w:rFonts w:eastAsiaTheme="minorEastAsia"/>
                <w:lang w:eastAsia="ko-KR"/>
              </w:rPr>
            </w:pPr>
            <w:r w:rsidRPr="00956E6E">
              <w:rPr>
                <w:rFonts w:eastAsiaTheme="minorEastAsia"/>
                <w:lang w:eastAsia="ko-KR"/>
              </w:rPr>
              <w:t>-42</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&lt;-41</w:t>
            </w:r>
          </w:p>
        </w:tc>
        <w:tc>
          <w:tcPr>
            <w:tcW w:w="863" w:type="dxa"/>
            <w:shd w:val="clear" w:color="auto" w:fill="auto"/>
            <w:noWrap/>
          </w:tcPr>
          <w:p w14:paraId="1332FC59"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591E6FCA" w14:textId="77777777" w:rsidTr="007A5129">
        <w:trPr>
          <w:trHeight w:val="187"/>
          <w:jc w:val="center"/>
        </w:trPr>
        <w:tc>
          <w:tcPr>
            <w:tcW w:w="2225" w:type="dxa"/>
            <w:shd w:val="clear" w:color="auto" w:fill="auto"/>
            <w:noWrap/>
          </w:tcPr>
          <w:p w14:paraId="0BDCF9F2"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_116</w:t>
            </w:r>
          </w:p>
        </w:tc>
        <w:tc>
          <w:tcPr>
            <w:tcW w:w="2608" w:type="dxa"/>
            <w:shd w:val="clear" w:color="auto" w:fill="auto"/>
            <w:noWrap/>
          </w:tcPr>
          <w:p w14:paraId="376D6127" w14:textId="77777777" w:rsidR="00BB469D" w:rsidRPr="00956E6E" w:rsidRDefault="00BB469D" w:rsidP="00BB469D">
            <w:pPr>
              <w:pStyle w:val="TAC"/>
              <w:rPr>
                <w:rFonts w:eastAsiaTheme="minorEastAsia"/>
                <w:lang w:eastAsia="ko-KR"/>
              </w:rPr>
            </w:pPr>
            <w:r w:rsidRPr="00956E6E">
              <w:rPr>
                <w:rFonts w:eastAsiaTheme="minorEastAsia"/>
                <w:lang w:eastAsia="ko-KR"/>
              </w:rPr>
              <w:t>-41</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&lt;-40</w:t>
            </w:r>
          </w:p>
        </w:tc>
        <w:tc>
          <w:tcPr>
            <w:tcW w:w="863" w:type="dxa"/>
            <w:shd w:val="clear" w:color="auto" w:fill="auto"/>
            <w:noWrap/>
          </w:tcPr>
          <w:p w14:paraId="7A34DD65"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62B156C9" w14:textId="77777777" w:rsidTr="007A5129">
        <w:trPr>
          <w:trHeight w:val="187"/>
          <w:jc w:val="center"/>
        </w:trPr>
        <w:tc>
          <w:tcPr>
            <w:tcW w:w="2225" w:type="dxa"/>
            <w:shd w:val="clear" w:color="auto" w:fill="auto"/>
            <w:noWrap/>
          </w:tcPr>
          <w:p w14:paraId="7FB37B36"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_117</w:t>
            </w:r>
          </w:p>
        </w:tc>
        <w:tc>
          <w:tcPr>
            <w:tcW w:w="2608" w:type="dxa"/>
            <w:shd w:val="clear" w:color="auto" w:fill="auto"/>
            <w:noWrap/>
          </w:tcPr>
          <w:p w14:paraId="238AB6DD" w14:textId="77777777" w:rsidR="00BB469D" w:rsidRPr="00956E6E" w:rsidRDefault="00BB469D" w:rsidP="00BB469D">
            <w:pPr>
              <w:pStyle w:val="TAC"/>
              <w:rPr>
                <w:rFonts w:eastAsiaTheme="minorEastAsia"/>
                <w:lang w:eastAsia="ko-KR"/>
              </w:rPr>
            </w:pPr>
            <w:r w:rsidRPr="00956E6E">
              <w:rPr>
                <w:rFonts w:eastAsiaTheme="minorEastAsia"/>
                <w:lang w:eastAsia="ko-KR"/>
              </w:rPr>
              <w:t>-40</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&lt;-39</w:t>
            </w:r>
          </w:p>
        </w:tc>
        <w:tc>
          <w:tcPr>
            <w:tcW w:w="863" w:type="dxa"/>
            <w:shd w:val="clear" w:color="auto" w:fill="auto"/>
            <w:noWrap/>
          </w:tcPr>
          <w:p w14:paraId="1B95F3A9"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318DB7BE" w14:textId="77777777" w:rsidTr="007A5129">
        <w:trPr>
          <w:trHeight w:val="187"/>
          <w:jc w:val="center"/>
        </w:trPr>
        <w:tc>
          <w:tcPr>
            <w:tcW w:w="2225" w:type="dxa"/>
            <w:shd w:val="clear" w:color="auto" w:fill="auto"/>
            <w:noWrap/>
          </w:tcPr>
          <w:p w14:paraId="485B464B"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_118</w:t>
            </w:r>
          </w:p>
        </w:tc>
        <w:tc>
          <w:tcPr>
            <w:tcW w:w="2608" w:type="dxa"/>
            <w:shd w:val="clear" w:color="auto" w:fill="auto"/>
            <w:noWrap/>
          </w:tcPr>
          <w:p w14:paraId="70A48CF3" w14:textId="77777777" w:rsidR="00BB469D" w:rsidRPr="00956E6E" w:rsidRDefault="00BB469D" w:rsidP="00BB469D">
            <w:pPr>
              <w:pStyle w:val="TAC"/>
              <w:rPr>
                <w:rFonts w:eastAsiaTheme="minorEastAsia"/>
                <w:lang w:eastAsia="ko-KR"/>
              </w:rPr>
            </w:pPr>
            <w:r w:rsidRPr="00956E6E">
              <w:rPr>
                <w:rFonts w:eastAsiaTheme="minorEastAsia"/>
                <w:lang w:eastAsia="ko-KR"/>
              </w:rPr>
              <w:t>-39</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&lt;-38</w:t>
            </w:r>
          </w:p>
        </w:tc>
        <w:tc>
          <w:tcPr>
            <w:tcW w:w="863" w:type="dxa"/>
            <w:shd w:val="clear" w:color="auto" w:fill="auto"/>
            <w:noWrap/>
          </w:tcPr>
          <w:p w14:paraId="73C04115"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09E3DF30" w14:textId="77777777" w:rsidTr="007A5129">
        <w:trPr>
          <w:trHeight w:val="187"/>
          <w:jc w:val="center"/>
        </w:trPr>
        <w:tc>
          <w:tcPr>
            <w:tcW w:w="2225" w:type="dxa"/>
            <w:shd w:val="clear" w:color="auto" w:fill="auto"/>
            <w:noWrap/>
          </w:tcPr>
          <w:p w14:paraId="24CECA45"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_119</w:t>
            </w:r>
          </w:p>
        </w:tc>
        <w:tc>
          <w:tcPr>
            <w:tcW w:w="2608" w:type="dxa"/>
            <w:shd w:val="clear" w:color="auto" w:fill="auto"/>
            <w:noWrap/>
          </w:tcPr>
          <w:p w14:paraId="2C326F2B" w14:textId="77777777" w:rsidR="00BB469D" w:rsidRPr="00956E6E" w:rsidRDefault="00BB469D" w:rsidP="00BB469D">
            <w:pPr>
              <w:pStyle w:val="TAC"/>
              <w:rPr>
                <w:rFonts w:eastAsiaTheme="minorEastAsia"/>
                <w:lang w:eastAsia="ko-KR"/>
              </w:rPr>
            </w:pPr>
            <w:r w:rsidRPr="00956E6E">
              <w:rPr>
                <w:rFonts w:eastAsiaTheme="minorEastAsia"/>
                <w:lang w:eastAsia="ko-KR"/>
              </w:rPr>
              <w:t>-38</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&lt;-37</w:t>
            </w:r>
          </w:p>
        </w:tc>
        <w:tc>
          <w:tcPr>
            <w:tcW w:w="863" w:type="dxa"/>
            <w:shd w:val="clear" w:color="auto" w:fill="auto"/>
            <w:noWrap/>
          </w:tcPr>
          <w:p w14:paraId="25DF7DA5"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70FDD739" w14:textId="77777777" w:rsidTr="007A5129">
        <w:trPr>
          <w:trHeight w:val="187"/>
          <w:jc w:val="center"/>
        </w:trPr>
        <w:tc>
          <w:tcPr>
            <w:tcW w:w="2225" w:type="dxa"/>
            <w:shd w:val="clear" w:color="auto" w:fill="auto"/>
            <w:noWrap/>
          </w:tcPr>
          <w:p w14:paraId="05F5E96A"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_120</w:t>
            </w:r>
          </w:p>
        </w:tc>
        <w:tc>
          <w:tcPr>
            <w:tcW w:w="2608" w:type="dxa"/>
            <w:shd w:val="clear" w:color="auto" w:fill="auto"/>
            <w:noWrap/>
          </w:tcPr>
          <w:p w14:paraId="46084B18" w14:textId="77777777" w:rsidR="00BB469D" w:rsidRPr="00956E6E" w:rsidRDefault="00BB469D" w:rsidP="00BB469D">
            <w:pPr>
              <w:pStyle w:val="TAC"/>
              <w:rPr>
                <w:rFonts w:eastAsiaTheme="minorEastAsia"/>
                <w:lang w:eastAsia="ko-KR"/>
              </w:rPr>
            </w:pPr>
            <w:r w:rsidRPr="00956E6E">
              <w:rPr>
                <w:rFonts w:eastAsiaTheme="minorEastAsia"/>
                <w:lang w:eastAsia="ko-KR"/>
              </w:rPr>
              <w:t>-37</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&lt;-36</w:t>
            </w:r>
          </w:p>
        </w:tc>
        <w:tc>
          <w:tcPr>
            <w:tcW w:w="863" w:type="dxa"/>
            <w:shd w:val="clear" w:color="auto" w:fill="auto"/>
            <w:noWrap/>
          </w:tcPr>
          <w:p w14:paraId="4735AB6A"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742D55F3" w14:textId="77777777" w:rsidTr="007A5129">
        <w:trPr>
          <w:trHeight w:val="187"/>
          <w:jc w:val="center"/>
        </w:trPr>
        <w:tc>
          <w:tcPr>
            <w:tcW w:w="2225" w:type="dxa"/>
            <w:shd w:val="clear" w:color="auto" w:fill="auto"/>
            <w:noWrap/>
          </w:tcPr>
          <w:p w14:paraId="55369E1E"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_121</w:t>
            </w:r>
          </w:p>
        </w:tc>
        <w:tc>
          <w:tcPr>
            <w:tcW w:w="2608" w:type="dxa"/>
            <w:shd w:val="clear" w:color="auto" w:fill="auto"/>
            <w:noWrap/>
          </w:tcPr>
          <w:p w14:paraId="2B5CBAD8" w14:textId="77777777" w:rsidR="00BB469D" w:rsidRPr="00956E6E" w:rsidRDefault="00BB469D" w:rsidP="00BB469D">
            <w:pPr>
              <w:pStyle w:val="TAC"/>
              <w:rPr>
                <w:rFonts w:eastAsiaTheme="minorEastAsia"/>
                <w:lang w:eastAsia="ko-KR"/>
              </w:rPr>
            </w:pPr>
            <w:r w:rsidRPr="00956E6E">
              <w:rPr>
                <w:rFonts w:eastAsiaTheme="minorEastAsia"/>
                <w:lang w:eastAsia="ko-KR"/>
              </w:rPr>
              <w:t>-36</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&lt;-35</w:t>
            </w:r>
          </w:p>
        </w:tc>
        <w:tc>
          <w:tcPr>
            <w:tcW w:w="863" w:type="dxa"/>
            <w:shd w:val="clear" w:color="auto" w:fill="auto"/>
            <w:noWrap/>
          </w:tcPr>
          <w:p w14:paraId="1F78B10F"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76D530D1" w14:textId="77777777" w:rsidTr="007A5129">
        <w:trPr>
          <w:trHeight w:val="187"/>
          <w:jc w:val="center"/>
        </w:trPr>
        <w:tc>
          <w:tcPr>
            <w:tcW w:w="2225" w:type="dxa"/>
            <w:shd w:val="clear" w:color="auto" w:fill="auto"/>
            <w:noWrap/>
          </w:tcPr>
          <w:p w14:paraId="0A4752C0"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_122</w:t>
            </w:r>
          </w:p>
        </w:tc>
        <w:tc>
          <w:tcPr>
            <w:tcW w:w="2608" w:type="dxa"/>
            <w:shd w:val="clear" w:color="auto" w:fill="auto"/>
            <w:noWrap/>
          </w:tcPr>
          <w:p w14:paraId="6D3E52CF" w14:textId="77777777" w:rsidR="00BB469D" w:rsidRPr="00956E6E" w:rsidRDefault="00BB469D" w:rsidP="00BB469D">
            <w:pPr>
              <w:pStyle w:val="TAC"/>
              <w:rPr>
                <w:rFonts w:eastAsiaTheme="minorEastAsia"/>
                <w:lang w:eastAsia="ko-KR"/>
              </w:rPr>
            </w:pPr>
            <w:r w:rsidRPr="00956E6E">
              <w:rPr>
                <w:rFonts w:eastAsiaTheme="minorEastAsia"/>
                <w:lang w:eastAsia="ko-KR"/>
              </w:rPr>
              <w:t>-35</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&lt;-34</w:t>
            </w:r>
          </w:p>
        </w:tc>
        <w:tc>
          <w:tcPr>
            <w:tcW w:w="863" w:type="dxa"/>
            <w:shd w:val="clear" w:color="auto" w:fill="auto"/>
            <w:noWrap/>
          </w:tcPr>
          <w:p w14:paraId="0AFBBED9"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7D563B6C" w14:textId="77777777" w:rsidTr="007A5129">
        <w:trPr>
          <w:trHeight w:val="187"/>
          <w:jc w:val="center"/>
        </w:trPr>
        <w:tc>
          <w:tcPr>
            <w:tcW w:w="2225" w:type="dxa"/>
            <w:shd w:val="clear" w:color="auto" w:fill="auto"/>
            <w:noWrap/>
          </w:tcPr>
          <w:p w14:paraId="6BBEC5A6"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_123</w:t>
            </w:r>
          </w:p>
        </w:tc>
        <w:tc>
          <w:tcPr>
            <w:tcW w:w="2608" w:type="dxa"/>
            <w:shd w:val="clear" w:color="auto" w:fill="auto"/>
            <w:noWrap/>
          </w:tcPr>
          <w:p w14:paraId="10B157BC" w14:textId="77777777" w:rsidR="00BB469D" w:rsidRPr="00956E6E" w:rsidRDefault="00BB469D" w:rsidP="00BB469D">
            <w:pPr>
              <w:pStyle w:val="TAC"/>
              <w:rPr>
                <w:rFonts w:eastAsiaTheme="minorEastAsia"/>
                <w:lang w:eastAsia="ko-KR"/>
              </w:rPr>
            </w:pPr>
            <w:r w:rsidRPr="00956E6E">
              <w:rPr>
                <w:rFonts w:eastAsiaTheme="minorEastAsia"/>
                <w:lang w:eastAsia="ko-KR"/>
              </w:rPr>
              <w:t>-34</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&lt;-33</w:t>
            </w:r>
          </w:p>
        </w:tc>
        <w:tc>
          <w:tcPr>
            <w:tcW w:w="863" w:type="dxa"/>
            <w:shd w:val="clear" w:color="auto" w:fill="auto"/>
            <w:noWrap/>
          </w:tcPr>
          <w:p w14:paraId="7E7F8675"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6350B5E1" w14:textId="77777777" w:rsidTr="007A5129">
        <w:trPr>
          <w:trHeight w:val="187"/>
          <w:jc w:val="center"/>
        </w:trPr>
        <w:tc>
          <w:tcPr>
            <w:tcW w:w="2225" w:type="dxa"/>
            <w:shd w:val="clear" w:color="auto" w:fill="auto"/>
            <w:noWrap/>
          </w:tcPr>
          <w:p w14:paraId="7032A76D"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_124</w:t>
            </w:r>
          </w:p>
        </w:tc>
        <w:tc>
          <w:tcPr>
            <w:tcW w:w="2608" w:type="dxa"/>
            <w:shd w:val="clear" w:color="auto" w:fill="auto"/>
            <w:noWrap/>
          </w:tcPr>
          <w:p w14:paraId="624DF0EA" w14:textId="77777777" w:rsidR="00BB469D" w:rsidRPr="00956E6E" w:rsidRDefault="00BB469D" w:rsidP="00BB469D">
            <w:pPr>
              <w:pStyle w:val="TAC"/>
              <w:rPr>
                <w:rFonts w:eastAsiaTheme="minorEastAsia"/>
                <w:lang w:eastAsia="ko-KR"/>
              </w:rPr>
            </w:pPr>
            <w:r w:rsidRPr="00956E6E">
              <w:rPr>
                <w:rFonts w:eastAsiaTheme="minorEastAsia"/>
                <w:lang w:eastAsia="ko-KR"/>
              </w:rPr>
              <w:t>-33</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&lt;-32</w:t>
            </w:r>
          </w:p>
        </w:tc>
        <w:tc>
          <w:tcPr>
            <w:tcW w:w="863" w:type="dxa"/>
            <w:shd w:val="clear" w:color="auto" w:fill="auto"/>
            <w:noWrap/>
          </w:tcPr>
          <w:p w14:paraId="632025A2"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47CFCE6E" w14:textId="77777777" w:rsidTr="007A5129">
        <w:trPr>
          <w:trHeight w:val="187"/>
          <w:jc w:val="center"/>
        </w:trPr>
        <w:tc>
          <w:tcPr>
            <w:tcW w:w="2225" w:type="dxa"/>
            <w:shd w:val="clear" w:color="auto" w:fill="auto"/>
            <w:noWrap/>
            <w:hideMark/>
          </w:tcPr>
          <w:p w14:paraId="2A5E6683"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_125</w:t>
            </w:r>
          </w:p>
        </w:tc>
        <w:tc>
          <w:tcPr>
            <w:tcW w:w="2608" w:type="dxa"/>
            <w:shd w:val="clear" w:color="auto" w:fill="auto"/>
            <w:noWrap/>
            <w:hideMark/>
          </w:tcPr>
          <w:p w14:paraId="028F670A" w14:textId="77777777" w:rsidR="00BB469D" w:rsidRPr="00956E6E" w:rsidRDefault="00BB469D" w:rsidP="00BB469D">
            <w:pPr>
              <w:pStyle w:val="TAC"/>
              <w:rPr>
                <w:rFonts w:eastAsiaTheme="minorEastAsia"/>
                <w:lang w:eastAsia="ko-KR"/>
              </w:rPr>
            </w:pPr>
            <w:r w:rsidRPr="00956E6E">
              <w:rPr>
                <w:rFonts w:eastAsiaTheme="minorEastAsia"/>
                <w:lang w:eastAsia="ko-KR"/>
              </w:rPr>
              <w:t>-32</w:t>
            </w:r>
            <w:r w:rsidRPr="00956E6E">
              <w:rPr>
                <w:rFonts w:eastAsiaTheme="minorEastAsia" w:hint="eastAsia"/>
                <w:lang w:eastAsia="ko-KR"/>
              </w:rPr>
              <w:t>≤</w:t>
            </w:r>
            <w:r w:rsidRPr="00956E6E">
              <w:rPr>
                <w:rFonts w:eastAsiaTheme="minorEastAsia"/>
                <w:lang w:eastAsia="zh-CN"/>
              </w:rPr>
              <w:t>PRS-RSRPP</w:t>
            </w:r>
            <w:r w:rsidRPr="00956E6E">
              <w:rPr>
                <w:rFonts w:eastAsiaTheme="minorEastAsia"/>
                <w:lang w:eastAsia="ko-KR"/>
              </w:rPr>
              <w:t>&lt;-31</w:t>
            </w:r>
          </w:p>
        </w:tc>
        <w:tc>
          <w:tcPr>
            <w:tcW w:w="863" w:type="dxa"/>
            <w:shd w:val="clear" w:color="auto" w:fill="auto"/>
            <w:noWrap/>
            <w:hideMark/>
          </w:tcPr>
          <w:p w14:paraId="5270ADFE"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r w:rsidR="00BB469D" w:rsidRPr="00956E6E" w14:paraId="5FF67B57" w14:textId="77777777" w:rsidTr="007A5129">
        <w:trPr>
          <w:trHeight w:val="187"/>
          <w:jc w:val="center"/>
        </w:trPr>
        <w:tc>
          <w:tcPr>
            <w:tcW w:w="2225" w:type="dxa"/>
            <w:shd w:val="clear" w:color="auto" w:fill="auto"/>
            <w:noWrap/>
            <w:hideMark/>
          </w:tcPr>
          <w:p w14:paraId="0A2F24AF" w14:textId="77777777" w:rsidR="00BB469D" w:rsidRPr="00956E6E" w:rsidRDefault="00BB469D" w:rsidP="00BB469D">
            <w:pPr>
              <w:pStyle w:val="TAL"/>
              <w:rPr>
                <w:rFonts w:eastAsiaTheme="minorEastAsia"/>
                <w:lang w:eastAsia="ko-KR"/>
              </w:rPr>
            </w:pPr>
            <w:r w:rsidRPr="00956E6E">
              <w:rPr>
                <w:rFonts w:eastAsiaTheme="minorEastAsia" w:hint="eastAsia"/>
                <w:lang w:eastAsia="zh-CN"/>
              </w:rPr>
              <w:t>PRS_RSRPP</w:t>
            </w:r>
            <w:r w:rsidRPr="00956E6E">
              <w:rPr>
                <w:rFonts w:eastAsiaTheme="minorEastAsia"/>
                <w:lang w:eastAsia="ko-KR"/>
              </w:rPr>
              <w:t>_126</w:t>
            </w:r>
          </w:p>
        </w:tc>
        <w:tc>
          <w:tcPr>
            <w:tcW w:w="2608" w:type="dxa"/>
            <w:shd w:val="clear" w:color="auto" w:fill="auto"/>
            <w:noWrap/>
            <w:hideMark/>
          </w:tcPr>
          <w:p w14:paraId="4D9F156E" w14:textId="77777777" w:rsidR="00BB469D" w:rsidRPr="00956E6E" w:rsidRDefault="00BB469D" w:rsidP="00BB469D">
            <w:pPr>
              <w:pStyle w:val="TAC"/>
              <w:rPr>
                <w:rFonts w:eastAsiaTheme="minorEastAsia"/>
                <w:lang w:eastAsia="ko-KR"/>
              </w:rPr>
            </w:pPr>
            <w:r w:rsidRPr="00956E6E">
              <w:rPr>
                <w:rFonts w:eastAsiaTheme="minorEastAsia"/>
                <w:lang w:eastAsia="ko-KR"/>
              </w:rPr>
              <w:t>-31</w:t>
            </w:r>
            <w:r w:rsidRPr="00956E6E">
              <w:rPr>
                <w:rFonts w:eastAsiaTheme="minorEastAsia" w:hint="eastAsia"/>
                <w:lang w:eastAsia="ko-KR"/>
              </w:rPr>
              <w:t>≤</w:t>
            </w:r>
            <w:r w:rsidRPr="00956E6E">
              <w:rPr>
                <w:rFonts w:eastAsiaTheme="minorEastAsia"/>
                <w:lang w:eastAsia="zh-CN"/>
              </w:rPr>
              <w:t>PRS-RSRPP</w:t>
            </w:r>
          </w:p>
        </w:tc>
        <w:tc>
          <w:tcPr>
            <w:tcW w:w="863" w:type="dxa"/>
            <w:shd w:val="clear" w:color="auto" w:fill="auto"/>
            <w:noWrap/>
            <w:hideMark/>
          </w:tcPr>
          <w:p w14:paraId="6B05FE37" w14:textId="77777777" w:rsidR="00BB469D" w:rsidRPr="00956E6E" w:rsidRDefault="00BB469D" w:rsidP="00BB469D">
            <w:pPr>
              <w:pStyle w:val="TAC"/>
              <w:rPr>
                <w:rFonts w:eastAsiaTheme="minorEastAsia"/>
                <w:lang w:eastAsia="ko-KR"/>
              </w:rPr>
            </w:pPr>
            <w:r w:rsidRPr="00956E6E">
              <w:rPr>
                <w:rFonts w:eastAsiaTheme="minorEastAsia"/>
                <w:lang w:eastAsia="ko-KR"/>
              </w:rPr>
              <w:t>dBm</w:t>
            </w:r>
          </w:p>
        </w:tc>
      </w:tr>
    </w:tbl>
    <w:p w14:paraId="0DE6A016" w14:textId="77777777" w:rsidR="00BB469D" w:rsidRPr="00956E6E" w:rsidRDefault="00BB469D" w:rsidP="00BB469D">
      <w:pPr>
        <w:jc w:val="center"/>
        <w:rPr>
          <w:rFonts w:eastAsiaTheme="minorEastAsia" w:cs="Arial"/>
          <w:lang w:eastAsia="zh-CN"/>
        </w:rPr>
      </w:pPr>
    </w:p>
    <w:p w14:paraId="6398198C" w14:textId="77777777" w:rsidR="00BB469D" w:rsidRPr="00956E6E" w:rsidRDefault="00BB469D" w:rsidP="00BB469D">
      <w:pPr>
        <w:pStyle w:val="Heading5"/>
        <w:rPr>
          <w:rFonts w:eastAsiaTheme="minorEastAsia"/>
          <w:lang w:eastAsia="zh-CN"/>
        </w:rPr>
      </w:pPr>
      <w:r w:rsidRPr="00956E6E">
        <w:rPr>
          <w:rFonts w:eastAsiaTheme="minorEastAsia"/>
        </w:rPr>
        <w:t>10.1.</w:t>
      </w:r>
      <w:r>
        <w:rPr>
          <w:rFonts w:eastAsiaTheme="minorEastAsia"/>
        </w:rPr>
        <w:t>38</w:t>
      </w:r>
      <w:r w:rsidRPr="00956E6E">
        <w:rPr>
          <w:rFonts w:eastAsiaTheme="minorEastAsia"/>
        </w:rPr>
        <w:t>.</w:t>
      </w:r>
      <w:r w:rsidRPr="00956E6E">
        <w:rPr>
          <w:rFonts w:eastAsiaTheme="minorEastAsia" w:hint="eastAsia"/>
          <w:lang w:eastAsia="zh-CN"/>
        </w:rPr>
        <w:t>3.2</w:t>
      </w:r>
      <w:r w:rsidRPr="00956E6E">
        <w:rPr>
          <w:rFonts w:eastAsiaTheme="minorEastAsia"/>
        </w:rPr>
        <w:tab/>
        <w:t>Differential Repor</w:t>
      </w:r>
      <w:r w:rsidRPr="00956E6E">
        <w:rPr>
          <w:rFonts w:eastAsiaTheme="minorEastAsia" w:hint="eastAsia"/>
          <w:lang w:eastAsia="zh-CN"/>
        </w:rPr>
        <w:t xml:space="preserve">t Mapping </w:t>
      </w:r>
      <w:r w:rsidRPr="00956E6E">
        <w:rPr>
          <w:rFonts w:eastAsiaTheme="minorEastAsia"/>
        </w:rPr>
        <w:t>for PRS-RSRPP Measurement</w:t>
      </w:r>
    </w:p>
    <w:p w14:paraId="5D18FA7B" w14:textId="77777777" w:rsidR="00BB469D" w:rsidRPr="00956E6E" w:rsidRDefault="00BB469D" w:rsidP="00BB469D">
      <w:pPr>
        <w:rPr>
          <w:rFonts w:eastAsiaTheme="minorEastAsia" w:cs="v4.2.0"/>
          <w:lang w:eastAsia="zh-CN"/>
        </w:rPr>
      </w:pPr>
      <w:r w:rsidRPr="00956E6E">
        <w:rPr>
          <w:rFonts w:eastAsiaTheme="minorEastAsia" w:cs="v4.2.0"/>
        </w:rPr>
        <w:t xml:space="preserve">The reporting range of differential PRS-RSRPP is defined from </w:t>
      </w:r>
      <w:r w:rsidRPr="00956E6E">
        <w:rPr>
          <w:rFonts w:eastAsiaTheme="minorEastAsia" w:cs="v4.2.0" w:hint="eastAsia"/>
          <w:lang w:eastAsia="zh-CN"/>
        </w:rPr>
        <w:t>-3</w:t>
      </w:r>
      <w:r w:rsidRPr="00956E6E">
        <w:rPr>
          <w:rFonts w:eastAsiaTheme="minorEastAsia" w:cs="v4.2.0"/>
        </w:rPr>
        <w:t>0 dB to 0 dB with 1 dB resolution</w:t>
      </w:r>
      <w:r w:rsidRPr="00956E6E">
        <w:rPr>
          <w:rFonts w:eastAsiaTheme="minorEastAsia" w:cs="v4.2.0" w:hint="eastAsia"/>
          <w:lang w:eastAsia="zh-CN"/>
        </w:rPr>
        <w:t xml:space="preserve"> </w:t>
      </w:r>
      <w:r w:rsidRPr="00956E6E">
        <w:rPr>
          <w:rFonts w:eastAsiaTheme="minorEastAsia" w:cs="v4.2.0"/>
          <w:lang w:eastAsia="zh-CN"/>
        </w:rPr>
        <w:t xml:space="preserve">when </w:t>
      </w:r>
      <w:r w:rsidRPr="00956E6E">
        <w:rPr>
          <w:rFonts w:eastAsiaTheme="minorEastAsia"/>
          <w:i/>
          <w:iCs/>
          <w:snapToGrid w:val="0"/>
        </w:rPr>
        <w:t>nr-DL-AoD-RequestLocationInformation</w:t>
      </w:r>
      <w:r w:rsidRPr="00956E6E">
        <w:rPr>
          <w:rFonts w:eastAsiaTheme="minorEastAsia"/>
        </w:rPr>
        <w:t xml:space="preserve"> message </w:t>
      </w:r>
      <w:r w:rsidRPr="00956E6E">
        <w:rPr>
          <w:rFonts w:eastAsiaTheme="minorEastAsia" w:hint="eastAsia"/>
          <w:lang w:eastAsia="zh-CN"/>
        </w:rPr>
        <w:t>is received</w:t>
      </w:r>
      <w:r w:rsidRPr="00956E6E">
        <w:rPr>
          <w:rFonts w:eastAsiaTheme="minorEastAsia" w:cs="v4.2.0"/>
        </w:rPr>
        <w:t>.</w:t>
      </w:r>
      <w:r w:rsidRPr="00956E6E">
        <w:rPr>
          <w:rFonts w:eastAsiaTheme="minorEastAsia" w:cs="v4.2.0" w:hint="eastAsia"/>
          <w:lang w:eastAsia="zh-CN"/>
        </w:rPr>
        <w:t xml:space="preserve"> </w:t>
      </w:r>
    </w:p>
    <w:p w14:paraId="224E2CBB" w14:textId="241BFCBA" w:rsidR="00BB469D" w:rsidRPr="00956E6E" w:rsidRDefault="00BB469D" w:rsidP="00BB469D">
      <w:pPr>
        <w:rPr>
          <w:rFonts w:eastAsiaTheme="minorEastAsia" w:cs="v4.2.0"/>
          <w:lang w:eastAsia="zh-CN"/>
        </w:rPr>
      </w:pPr>
      <w:r w:rsidRPr="00956E6E">
        <w:rPr>
          <w:rFonts w:eastAsiaTheme="minorEastAsia" w:cs="v4.2.0"/>
        </w:rPr>
        <w:t xml:space="preserve">The mapping of measured quantity is defined in Table </w:t>
      </w:r>
      <w:r w:rsidRPr="00956E6E">
        <w:rPr>
          <w:rFonts w:eastAsiaTheme="minorEastAsia"/>
        </w:rPr>
        <w:t>10.1.</w:t>
      </w:r>
      <w:r w:rsidR="00C81A61">
        <w:rPr>
          <w:rFonts w:eastAsiaTheme="minorEastAsia"/>
        </w:rPr>
        <w:t>38</w:t>
      </w:r>
      <w:r w:rsidRPr="00956E6E">
        <w:rPr>
          <w:rFonts w:eastAsiaTheme="minorEastAsia"/>
        </w:rPr>
        <w:t>.3.</w:t>
      </w:r>
      <w:r w:rsidRPr="00956E6E">
        <w:rPr>
          <w:rFonts w:eastAsiaTheme="minorEastAsia" w:hint="eastAsia"/>
          <w:lang w:eastAsia="zh-CN"/>
        </w:rPr>
        <w:t>2</w:t>
      </w:r>
      <w:r w:rsidRPr="00956E6E">
        <w:rPr>
          <w:rFonts w:eastAsiaTheme="minorEastAsia" w:cs="v4.2.0"/>
        </w:rPr>
        <w:t>-1. The range in the signalling may be larger than the guaranteed accuracy range.</w:t>
      </w:r>
      <w:r w:rsidRPr="00956E6E">
        <w:rPr>
          <w:rFonts w:eastAsiaTheme="minorEastAsia" w:cs="v4.2.0" w:hint="eastAsia"/>
          <w:lang w:eastAsia="zh-CN"/>
        </w:rPr>
        <w:t xml:space="preserve"> </w:t>
      </w:r>
    </w:p>
    <w:p w14:paraId="2C16D8ED" w14:textId="77777777" w:rsidR="00BB469D" w:rsidRPr="00956E6E" w:rsidRDefault="00BB469D" w:rsidP="00BB469D">
      <w:pPr>
        <w:rPr>
          <w:rFonts w:eastAsiaTheme="minorEastAsia" w:cs="v4.2.0"/>
          <w:lang w:eastAsia="zh-CN"/>
        </w:rPr>
      </w:pPr>
      <w:r w:rsidRPr="00956E6E">
        <w:rPr>
          <w:rFonts w:eastAsiaTheme="minorEastAsia" w:cs="v4.2.0"/>
          <w:lang w:eastAsia="zh-CN"/>
        </w:rPr>
        <w:t xml:space="preserve">For differential reporting, PRS-RSRPP is reported as the difference in dB with respect to the first </w:t>
      </w:r>
      <w:r w:rsidRPr="00F25D91">
        <w:rPr>
          <w:rFonts w:eastAsiaTheme="minorEastAsia" w:cs="v4.2.0"/>
          <w:lang w:eastAsia="zh-CN"/>
        </w:rPr>
        <w:t xml:space="preserve">reported </w:t>
      </w:r>
      <w:r w:rsidRPr="00956E6E">
        <w:rPr>
          <w:rFonts w:eastAsiaTheme="minorEastAsia" w:cs="v4.2.0"/>
          <w:lang w:eastAsia="zh-CN"/>
        </w:rPr>
        <w:t>PRS-RSRPP.</w:t>
      </w:r>
    </w:p>
    <w:p w14:paraId="038CD185" w14:textId="4644CF1E" w:rsidR="00BB469D" w:rsidRPr="00956E6E" w:rsidRDefault="00BB469D" w:rsidP="00D5072C">
      <w:pPr>
        <w:pStyle w:val="TH"/>
        <w:rPr>
          <w:rFonts w:eastAsiaTheme="minorEastAsia"/>
          <w:lang w:eastAsia="zh-CN"/>
        </w:rPr>
      </w:pPr>
      <w:r w:rsidRPr="00956E6E">
        <w:rPr>
          <w:rFonts w:eastAsiaTheme="minorEastAsia"/>
        </w:rPr>
        <w:t>Table 10.1.</w:t>
      </w:r>
      <w:r w:rsidR="00D5072C">
        <w:rPr>
          <w:rFonts w:eastAsiaTheme="minorEastAsia"/>
        </w:rPr>
        <w:t>38</w:t>
      </w:r>
      <w:r w:rsidRPr="00956E6E">
        <w:rPr>
          <w:rFonts w:eastAsiaTheme="minorEastAsia"/>
        </w:rPr>
        <w:t>.</w:t>
      </w:r>
      <w:r w:rsidRPr="00956E6E">
        <w:rPr>
          <w:rFonts w:eastAsiaTheme="minorEastAsia" w:hint="eastAsia"/>
          <w:lang w:eastAsia="zh-CN"/>
        </w:rPr>
        <w:t>3</w:t>
      </w:r>
      <w:r w:rsidRPr="00956E6E">
        <w:rPr>
          <w:rFonts w:eastAsiaTheme="minorEastAsia"/>
        </w:rPr>
        <w:t>.</w:t>
      </w:r>
      <w:r w:rsidRPr="00956E6E">
        <w:rPr>
          <w:rFonts w:eastAsiaTheme="minorEastAsia" w:hint="eastAsia"/>
          <w:lang w:eastAsia="zh-CN"/>
        </w:rPr>
        <w:t>2</w:t>
      </w:r>
      <w:r w:rsidRPr="00956E6E">
        <w:rPr>
          <w:rFonts w:eastAsiaTheme="minorEastAsia" w:cs="v4.2.0"/>
        </w:rPr>
        <w:t>-</w:t>
      </w:r>
      <w:r w:rsidRPr="00956E6E">
        <w:rPr>
          <w:rFonts w:eastAsiaTheme="minorEastAsia" w:cs="v4.2.0" w:hint="eastAsia"/>
          <w:lang w:eastAsia="zh-CN"/>
        </w:rPr>
        <w:t>1</w:t>
      </w:r>
      <w:r w:rsidRPr="00956E6E">
        <w:rPr>
          <w:rFonts w:eastAsiaTheme="minorEastAsia"/>
        </w:rPr>
        <w:t>: Measurement report mapping for differential PRS-RSRPP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3204"/>
        <w:gridCol w:w="713"/>
      </w:tblGrid>
      <w:tr w:rsidR="00BB469D" w:rsidRPr="00956E6E" w14:paraId="5F50E4F0" w14:textId="77777777" w:rsidTr="007A5129">
        <w:trPr>
          <w:trHeight w:val="187"/>
          <w:jc w:val="center"/>
        </w:trPr>
        <w:tc>
          <w:tcPr>
            <w:tcW w:w="2068" w:type="dxa"/>
            <w:shd w:val="clear" w:color="auto" w:fill="auto"/>
            <w:noWrap/>
            <w:hideMark/>
          </w:tcPr>
          <w:p w14:paraId="4C4E917D" w14:textId="77777777" w:rsidR="00BB469D" w:rsidRPr="00956E6E" w:rsidRDefault="00BB469D" w:rsidP="00BB469D">
            <w:pPr>
              <w:pStyle w:val="TAH"/>
              <w:rPr>
                <w:rFonts w:eastAsiaTheme="minorEastAsia"/>
                <w:lang w:eastAsia="zh-CN"/>
              </w:rPr>
            </w:pPr>
            <w:r w:rsidRPr="00956E6E">
              <w:rPr>
                <w:rFonts w:eastAsiaTheme="minorEastAsia"/>
                <w:lang w:eastAsia="zh-CN"/>
              </w:rPr>
              <w:t>Reported value</w:t>
            </w:r>
          </w:p>
        </w:tc>
        <w:tc>
          <w:tcPr>
            <w:tcW w:w="3204" w:type="dxa"/>
          </w:tcPr>
          <w:p w14:paraId="7D304EC2" w14:textId="77777777" w:rsidR="00BB469D" w:rsidRPr="00956E6E" w:rsidRDefault="00BB469D" w:rsidP="00BB469D">
            <w:pPr>
              <w:pStyle w:val="TAH"/>
              <w:rPr>
                <w:rFonts w:eastAsiaTheme="minorEastAsia"/>
                <w:lang w:eastAsia="zh-CN"/>
              </w:rPr>
            </w:pPr>
            <w:r w:rsidRPr="00956E6E">
              <w:rPr>
                <w:rFonts w:eastAsiaTheme="minorEastAsia"/>
                <w:lang w:eastAsia="zh-CN"/>
              </w:rPr>
              <w:t>Measured quantity value</w:t>
            </w:r>
          </w:p>
        </w:tc>
        <w:tc>
          <w:tcPr>
            <w:tcW w:w="713" w:type="dxa"/>
            <w:shd w:val="clear" w:color="auto" w:fill="auto"/>
            <w:noWrap/>
            <w:hideMark/>
          </w:tcPr>
          <w:p w14:paraId="414A6D53" w14:textId="77777777" w:rsidR="00BB469D" w:rsidRPr="00956E6E" w:rsidRDefault="00BB469D" w:rsidP="00BB469D">
            <w:pPr>
              <w:pStyle w:val="TAH"/>
              <w:rPr>
                <w:rFonts w:eastAsiaTheme="minorEastAsia"/>
                <w:lang w:eastAsia="zh-CN"/>
              </w:rPr>
            </w:pPr>
            <w:r w:rsidRPr="00956E6E">
              <w:rPr>
                <w:rFonts w:eastAsiaTheme="minorEastAsia"/>
                <w:lang w:eastAsia="zh-CN"/>
              </w:rPr>
              <w:t>Unit</w:t>
            </w:r>
          </w:p>
        </w:tc>
      </w:tr>
      <w:tr w:rsidR="00BB469D" w:rsidRPr="00956E6E" w14:paraId="57C7B1A8" w14:textId="77777777" w:rsidTr="007A5129">
        <w:trPr>
          <w:trHeight w:val="187"/>
          <w:jc w:val="center"/>
        </w:trPr>
        <w:tc>
          <w:tcPr>
            <w:tcW w:w="2068" w:type="dxa"/>
            <w:shd w:val="clear" w:color="auto" w:fill="auto"/>
            <w:noWrap/>
            <w:hideMark/>
          </w:tcPr>
          <w:p w14:paraId="3D6BB895" w14:textId="77777777" w:rsidR="00BB469D" w:rsidRPr="00956E6E" w:rsidRDefault="00BB469D" w:rsidP="00BB469D">
            <w:pPr>
              <w:pStyle w:val="TAL"/>
              <w:rPr>
                <w:rFonts w:eastAsiaTheme="minorEastAsia"/>
                <w:lang w:eastAsia="zh-CN"/>
              </w:rPr>
            </w:pPr>
            <w:r w:rsidRPr="00956E6E">
              <w:rPr>
                <w:rFonts w:eastAsiaTheme="minorEastAsia"/>
                <w:lang w:eastAsia="zh-CN"/>
              </w:rPr>
              <w:t>DIFFRSRPP_0</w:t>
            </w:r>
          </w:p>
        </w:tc>
        <w:tc>
          <w:tcPr>
            <w:tcW w:w="3204" w:type="dxa"/>
          </w:tcPr>
          <w:p w14:paraId="68950D75" w14:textId="77777777" w:rsidR="00BB469D" w:rsidRPr="00956E6E" w:rsidRDefault="00BB469D" w:rsidP="00BB469D">
            <w:pPr>
              <w:pStyle w:val="TAC"/>
              <w:rPr>
                <w:rFonts w:eastAsiaTheme="minorEastAsia"/>
                <w:lang w:eastAsia="zh-CN"/>
              </w:rPr>
            </w:pPr>
            <w:r w:rsidRPr="00956E6E">
              <w:rPr>
                <w:rFonts w:eastAsiaTheme="minorEastAsia" w:hint="eastAsia"/>
                <w:lang w:eastAsia="zh-CN"/>
              </w:rPr>
              <w:t>-</w:t>
            </w:r>
            <w:r w:rsidRPr="00956E6E">
              <w:rPr>
                <w:rFonts w:eastAsiaTheme="minorEastAsia"/>
                <w:lang w:eastAsia="zh-CN"/>
              </w:rPr>
              <w:t>30</w:t>
            </w:r>
            <w:r w:rsidRPr="00956E6E">
              <w:rPr>
                <w:rFonts w:eastAsiaTheme="minorEastAsia" w:hint="eastAsia"/>
                <w:lang w:eastAsia="zh-CN"/>
              </w:rPr>
              <w:t>≥Δ</w:t>
            </w:r>
            <w:r w:rsidRPr="00956E6E">
              <w:rPr>
                <w:rFonts w:eastAsiaTheme="minorEastAsia" w:hint="eastAsia"/>
                <w:lang w:eastAsia="zh-CN"/>
              </w:rPr>
              <w:t>RSRPP</w:t>
            </w:r>
          </w:p>
        </w:tc>
        <w:tc>
          <w:tcPr>
            <w:tcW w:w="713" w:type="dxa"/>
            <w:shd w:val="clear" w:color="auto" w:fill="auto"/>
            <w:noWrap/>
            <w:hideMark/>
          </w:tcPr>
          <w:p w14:paraId="39323FD5"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452D2CE9" w14:textId="77777777" w:rsidTr="007A5129">
        <w:trPr>
          <w:trHeight w:val="187"/>
          <w:jc w:val="center"/>
        </w:trPr>
        <w:tc>
          <w:tcPr>
            <w:tcW w:w="2068" w:type="dxa"/>
            <w:shd w:val="clear" w:color="auto" w:fill="auto"/>
            <w:noWrap/>
          </w:tcPr>
          <w:p w14:paraId="22F76DB9" w14:textId="77777777" w:rsidR="00BB469D" w:rsidRPr="00956E6E" w:rsidRDefault="00BB469D" w:rsidP="00BB469D">
            <w:pPr>
              <w:pStyle w:val="TAL"/>
              <w:rPr>
                <w:rFonts w:eastAsiaTheme="minorEastAsia"/>
                <w:lang w:eastAsia="zh-CN"/>
              </w:rPr>
            </w:pPr>
            <w:r w:rsidRPr="00956E6E">
              <w:rPr>
                <w:rFonts w:eastAsiaTheme="minorEastAsia"/>
                <w:lang w:eastAsia="zh-CN"/>
              </w:rPr>
              <w:t>DIFFRSRPP_1</w:t>
            </w:r>
          </w:p>
        </w:tc>
        <w:tc>
          <w:tcPr>
            <w:tcW w:w="3204" w:type="dxa"/>
          </w:tcPr>
          <w:p w14:paraId="09391712" w14:textId="77777777" w:rsidR="00BB469D" w:rsidRPr="00956E6E" w:rsidRDefault="00BB469D" w:rsidP="00BB469D">
            <w:pPr>
              <w:pStyle w:val="TAC"/>
              <w:rPr>
                <w:rFonts w:eastAsiaTheme="minorEastAsia"/>
                <w:lang w:eastAsia="zh-CN"/>
              </w:rPr>
            </w:pPr>
            <w:r w:rsidRPr="00956E6E">
              <w:rPr>
                <w:rFonts w:eastAsiaTheme="minorEastAsia"/>
                <w:lang w:eastAsia="zh-CN"/>
              </w:rPr>
              <w:t>-29</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&gt;-30</w:t>
            </w:r>
          </w:p>
        </w:tc>
        <w:tc>
          <w:tcPr>
            <w:tcW w:w="713" w:type="dxa"/>
            <w:shd w:val="clear" w:color="auto" w:fill="auto"/>
            <w:noWrap/>
          </w:tcPr>
          <w:p w14:paraId="6E36BE3D"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5D083A5F" w14:textId="77777777" w:rsidTr="007A5129">
        <w:trPr>
          <w:trHeight w:val="187"/>
          <w:jc w:val="center"/>
        </w:trPr>
        <w:tc>
          <w:tcPr>
            <w:tcW w:w="2068" w:type="dxa"/>
            <w:shd w:val="clear" w:color="auto" w:fill="auto"/>
            <w:noWrap/>
          </w:tcPr>
          <w:p w14:paraId="7120BF22" w14:textId="77777777" w:rsidR="00BB469D" w:rsidRPr="00956E6E" w:rsidRDefault="00BB469D" w:rsidP="00BB469D">
            <w:pPr>
              <w:pStyle w:val="TAL"/>
              <w:rPr>
                <w:rFonts w:eastAsiaTheme="minorEastAsia"/>
                <w:lang w:eastAsia="zh-CN"/>
              </w:rPr>
            </w:pPr>
            <w:r w:rsidRPr="00956E6E">
              <w:rPr>
                <w:rFonts w:eastAsiaTheme="minorEastAsia"/>
                <w:lang w:eastAsia="zh-CN"/>
              </w:rPr>
              <w:t>DIFFRSRPP_2</w:t>
            </w:r>
          </w:p>
        </w:tc>
        <w:tc>
          <w:tcPr>
            <w:tcW w:w="3204" w:type="dxa"/>
          </w:tcPr>
          <w:p w14:paraId="1051690D" w14:textId="77777777" w:rsidR="00BB469D" w:rsidRPr="00956E6E" w:rsidRDefault="00BB469D" w:rsidP="00BB469D">
            <w:pPr>
              <w:pStyle w:val="TAC"/>
              <w:rPr>
                <w:rFonts w:eastAsiaTheme="minorEastAsia"/>
                <w:lang w:eastAsia="zh-CN"/>
              </w:rPr>
            </w:pPr>
            <w:r w:rsidRPr="00956E6E">
              <w:rPr>
                <w:rFonts w:eastAsiaTheme="minorEastAsia"/>
                <w:lang w:eastAsia="zh-CN"/>
              </w:rPr>
              <w:t>-28</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&gt;-29</w:t>
            </w:r>
          </w:p>
        </w:tc>
        <w:tc>
          <w:tcPr>
            <w:tcW w:w="713" w:type="dxa"/>
            <w:shd w:val="clear" w:color="auto" w:fill="auto"/>
            <w:noWrap/>
          </w:tcPr>
          <w:p w14:paraId="1E37C834"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0FEC12F7" w14:textId="77777777" w:rsidTr="007A5129">
        <w:trPr>
          <w:trHeight w:val="187"/>
          <w:jc w:val="center"/>
        </w:trPr>
        <w:tc>
          <w:tcPr>
            <w:tcW w:w="2068" w:type="dxa"/>
            <w:shd w:val="clear" w:color="auto" w:fill="auto"/>
            <w:noWrap/>
          </w:tcPr>
          <w:p w14:paraId="1FB4334B" w14:textId="77777777" w:rsidR="00BB469D" w:rsidRPr="00956E6E" w:rsidRDefault="00BB469D" w:rsidP="00BB469D">
            <w:pPr>
              <w:pStyle w:val="TAL"/>
              <w:rPr>
                <w:rFonts w:eastAsiaTheme="minorEastAsia"/>
                <w:lang w:eastAsia="zh-CN"/>
              </w:rPr>
            </w:pPr>
            <w:r w:rsidRPr="00956E6E">
              <w:rPr>
                <w:rFonts w:eastAsiaTheme="minorEastAsia"/>
                <w:lang w:eastAsia="zh-CN"/>
              </w:rPr>
              <w:t>DIFFRSRPP_3</w:t>
            </w:r>
          </w:p>
        </w:tc>
        <w:tc>
          <w:tcPr>
            <w:tcW w:w="3204" w:type="dxa"/>
          </w:tcPr>
          <w:p w14:paraId="5F20837C" w14:textId="77777777" w:rsidR="00BB469D" w:rsidRPr="00956E6E" w:rsidRDefault="00BB469D" w:rsidP="00BB469D">
            <w:pPr>
              <w:pStyle w:val="TAC"/>
              <w:rPr>
                <w:rFonts w:eastAsiaTheme="minorEastAsia"/>
                <w:lang w:eastAsia="zh-CN"/>
              </w:rPr>
            </w:pPr>
            <w:r w:rsidRPr="00956E6E">
              <w:rPr>
                <w:rFonts w:eastAsiaTheme="minorEastAsia"/>
                <w:lang w:eastAsia="zh-CN"/>
              </w:rPr>
              <w:t>-27</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&gt;-28</w:t>
            </w:r>
          </w:p>
        </w:tc>
        <w:tc>
          <w:tcPr>
            <w:tcW w:w="713" w:type="dxa"/>
            <w:shd w:val="clear" w:color="auto" w:fill="auto"/>
            <w:noWrap/>
          </w:tcPr>
          <w:p w14:paraId="7D611192"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78BA41B5" w14:textId="77777777" w:rsidTr="007A5129">
        <w:trPr>
          <w:trHeight w:val="187"/>
          <w:jc w:val="center"/>
        </w:trPr>
        <w:tc>
          <w:tcPr>
            <w:tcW w:w="2068" w:type="dxa"/>
            <w:shd w:val="clear" w:color="auto" w:fill="auto"/>
            <w:noWrap/>
          </w:tcPr>
          <w:p w14:paraId="6EA04A32" w14:textId="77777777" w:rsidR="00BB469D" w:rsidRPr="00956E6E" w:rsidRDefault="00BB469D" w:rsidP="00BB469D">
            <w:pPr>
              <w:pStyle w:val="TAL"/>
              <w:rPr>
                <w:rFonts w:eastAsiaTheme="minorEastAsia"/>
                <w:lang w:eastAsia="zh-CN"/>
              </w:rPr>
            </w:pPr>
            <w:r w:rsidRPr="00956E6E">
              <w:rPr>
                <w:rFonts w:eastAsiaTheme="minorEastAsia"/>
                <w:lang w:eastAsia="zh-CN"/>
              </w:rPr>
              <w:t>DIFFRSRPP_4</w:t>
            </w:r>
          </w:p>
        </w:tc>
        <w:tc>
          <w:tcPr>
            <w:tcW w:w="3204" w:type="dxa"/>
          </w:tcPr>
          <w:p w14:paraId="164B5069" w14:textId="77777777" w:rsidR="00BB469D" w:rsidRPr="00956E6E" w:rsidRDefault="00BB469D" w:rsidP="00BB469D">
            <w:pPr>
              <w:pStyle w:val="TAC"/>
              <w:rPr>
                <w:rFonts w:eastAsiaTheme="minorEastAsia"/>
                <w:lang w:eastAsia="zh-CN"/>
              </w:rPr>
            </w:pPr>
            <w:r w:rsidRPr="00956E6E">
              <w:rPr>
                <w:rFonts w:eastAsiaTheme="minorEastAsia"/>
                <w:lang w:eastAsia="zh-CN"/>
              </w:rPr>
              <w:t>-26</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&gt;-27</w:t>
            </w:r>
          </w:p>
        </w:tc>
        <w:tc>
          <w:tcPr>
            <w:tcW w:w="713" w:type="dxa"/>
            <w:shd w:val="clear" w:color="auto" w:fill="auto"/>
            <w:noWrap/>
          </w:tcPr>
          <w:p w14:paraId="62588384"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2720E03B" w14:textId="77777777" w:rsidTr="007A5129">
        <w:trPr>
          <w:trHeight w:val="187"/>
          <w:jc w:val="center"/>
        </w:trPr>
        <w:tc>
          <w:tcPr>
            <w:tcW w:w="2068" w:type="dxa"/>
            <w:shd w:val="clear" w:color="auto" w:fill="auto"/>
            <w:noWrap/>
          </w:tcPr>
          <w:p w14:paraId="1C77A608" w14:textId="77777777" w:rsidR="00BB469D" w:rsidRPr="00956E6E" w:rsidRDefault="00BB469D" w:rsidP="00BB469D">
            <w:pPr>
              <w:pStyle w:val="TAL"/>
              <w:rPr>
                <w:rFonts w:eastAsiaTheme="minorEastAsia"/>
                <w:lang w:eastAsia="zh-CN"/>
              </w:rPr>
            </w:pPr>
            <w:r w:rsidRPr="00956E6E">
              <w:rPr>
                <w:rFonts w:eastAsiaTheme="minorEastAsia"/>
                <w:lang w:eastAsia="zh-CN"/>
              </w:rPr>
              <w:t>DIFFRSRPP_5</w:t>
            </w:r>
          </w:p>
        </w:tc>
        <w:tc>
          <w:tcPr>
            <w:tcW w:w="3204" w:type="dxa"/>
          </w:tcPr>
          <w:p w14:paraId="35293C53" w14:textId="77777777" w:rsidR="00BB469D" w:rsidRPr="00956E6E" w:rsidRDefault="00BB469D" w:rsidP="00BB469D">
            <w:pPr>
              <w:pStyle w:val="TAC"/>
              <w:rPr>
                <w:rFonts w:eastAsiaTheme="minorEastAsia"/>
                <w:lang w:eastAsia="zh-CN"/>
              </w:rPr>
            </w:pPr>
            <w:r w:rsidRPr="00956E6E">
              <w:rPr>
                <w:rFonts w:eastAsiaTheme="minorEastAsia"/>
                <w:lang w:eastAsia="zh-CN"/>
              </w:rPr>
              <w:t>-25</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&gt;-26</w:t>
            </w:r>
          </w:p>
        </w:tc>
        <w:tc>
          <w:tcPr>
            <w:tcW w:w="713" w:type="dxa"/>
            <w:shd w:val="clear" w:color="auto" w:fill="auto"/>
            <w:noWrap/>
          </w:tcPr>
          <w:p w14:paraId="09FC1792"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1CEA5631" w14:textId="77777777" w:rsidTr="007A5129">
        <w:trPr>
          <w:trHeight w:val="187"/>
          <w:jc w:val="center"/>
        </w:trPr>
        <w:tc>
          <w:tcPr>
            <w:tcW w:w="2068" w:type="dxa"/>
            <w:shd w:val="clear" w:color="auto" w:fill="auto"/>
            <w:noWrap/>
          </w:tcPr>
          <w:p w14:paraId="33470702" w14:textId="77777777" w:rsidR="00BB469D" w:rsidRPr="00956E6E" w:rsidRDefault="00BB469D" w:rsidP="00BB469D">
            <w:pPr>
              <w:pStyle w:val="TAL"/>
              <w:rPr>
                <w:rFonts w:eastAsiaTheme="minorEastAsia"/>
                <w:lang w:eastAsia="zh-CN"/>
              </w:rPr>
            </w:pPr>
            <w:r w:rsidRPr="00956E6E">
              <w:rPr>
                <w:rFonts w:eastAsiaTheme="minorEastAsia"/>
                <w:lang w:eastAsia="zh-CN"/>
              </w:rPr>
              <w:t>DIFFRSRPP_6</w:t>
            </w:r>
          </w:p>
        </w:tc>
        <w:tc>
          <w:tcPr>
            <w:tcW w:w="3204" w:type="dxa"/>
          </w:tcPr>
          <w:p w14:paraId="46E4ADD2" w14:textId="77777777" w:rsidR="00BB469D" w:rsidRPr="00956E6E" w:rsidRDefault="00BB469D" w:rsidP="00BB469D">
            <w:pPr>
              <w:pStyle w:val="TAC"/>
              <w:rPr>
                <w:rFonts w:eastAsiaTheme="minorEastAsia"/>
                <w:lang w:eastAsia="zh-CN"/>
              </w:rPr>
            </w:pPr>
            <w:r w:rsidRPr="00956E6E">
              <w:rPr>
                <w:rFonts w:eastAsiaTheme="minorEastAsia"/>
                <w:lang w:eastAsia="zh-CN"/>
              </w:rPr>
              <w:t>-24</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&gt;-25</w:t>
            </w:r>
          </w:p>
        </w:tc>
        <w:tc>
          <w:tcPr>
            <w:tcW w:w="713" w:type="dxa"/>
            <w:shd w:val="clear" w:color="auto" w:fill="auto"/>
            <w:noWrap/>
          </w:tcPr>
          <w:p w14:paraId="4DED1FD0"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2AB5A7AF" w14:textId="77777777" w:rsidTr="007A5129">
        <w:trPr>
          <w:trHeight w:val="187"/>
          <w:jc w:val="center"/>
        </w:trPr>
        <w:tc>
          <w:tcPr>
            <w:tcW w:w="2068" w:type="dxa"/>
            <w:shd w:val="clear" w:color="auto" w:fill="auto"/>
            <w:noWrap/>
          </w:tcPr>
          <w:p w14:paraId="64F9514B" w14:textId="77777777" w:rsidR="00BB469D" w:rsidRPr="00956E6E" w:rsidRDefault="00BB469D" w:rsidP="00BB469D">
            <w:pPr>
              <w:pStyle w:val="TAL"/>
              <w:rPr>
                <w:rFonts w:eastAsiaTheme="minorEastAsia"/>
                <w:lang w:eastAsia="zh-CN"/>
              </w:rPr>
            </w:pPr>
            <w:r w:rsidRPr="00956E6E">
              <w:rPr>
                <w:rFonts w:eastAsiaTheme="minorEastAsia"/>
                <w:lang w:eastAsia="zh-CN"/>
              </w:rPr>
              <w:t>DIFFRSRPP_7</w:t>
            </w:r>
          </w:p>
        </w:tc>
        <w:tc>
          <w:tcPr>
            <w:tcW w:w="3204" w:type="dxa"/>
          </w:tcPr>
          <w:p w14:paraId="4BB08CA0" w14:textId="77777777" w:rsidR="00BB469D" w:rsidRPr="00956E6E" w:rsidRDefault="00BB469D" w:rsidP="00BB469D">
            <w:pPr>
              <w:pStyle w:val="TAC"/>
              <w:rPr>
                <w:rFonts w:eastAsiaTheme="minorEastAsia"/>
                <w:lang w:eastAsia="zh-CN"/>
              </w:rPr>
            </w:pPr>
            <w:r w:rsidRPr="00956E6E">
              <w:rPr>
                <w:rFonts w:eastAsiaTheme="minorEastAsia"/>
                <w:lang w:eastAsia="zh-CN"/>
              </w:rPr>
              <w:t>-23</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&gt;-24</w:t>
            </w:r>
          </w:p>
        </w:tc>
        <w:tc>
          <w:tcPr>
            <w:tcW w:w="713" w:type="dxa"/>
            <w:shd w:val="clear" w:color="auto" w:fill="auto"/>
            <w:noWrap/>
          </w:tcPr>
          <w:p w14:paraId="4F0FC2EC"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720D6000" w14:textId="77777777" w:rsidTr="007A5129">
        <w:trPr>
          <w:trHeight w:val="187"/>
          <w:jc w:val="center"/>
        </w:trPr>
        <w:tc>
          <w:tcPr>
            <w:tcW w:w="2068" w:type="dxa"/>
            <w:shd w:val="clear" w:color="auto" w:fill="auto"/>
            <w:noWrap/>
          </w:tcPr>
          <w:p w14:paraId="15EEB726" w14:textId="77777777" w:rsidR="00BB469D" w:rsidRPr="00956E6E" w:rsidRDefault="00BB469D" w:rsidP="00BB469D">
            <w:pPr>
              <w:pStyle w:val="TAL"/>
              <w:rPr>
                <w:rFonts w:eastAsiaTheme="minorEastAsia"/>
                <w:lang w:eastAsia="zh-CN"/>
              </w:rPr>
            </w:pPr>
            <w:r w:rsidRPr="00956E6E">
              <w:rPr>
                <w:rFonts w:eastAsiaTheme="minorEastAsia"/>
                <w:lang w:eastAsia="zh-CN"/>
              </w:rPr>
              <w:t>DIFFRSRPP_8</w:t>
            </w:r>
          </w:p>
        </w:tc>
        <w:tc>
          <w:tcPr>
            <w:tcW w:w="3204" w:type="dxa"/>
          </w:tcPr>
          <w:p w14:paraId="01F4E6BA" w14:textId="77777777" w:rsidR="00BB469D" w:rsidRPr="00956E6E" w:rsidRDefault="00BB469D" w:rsidP="00BB469D">
            <w:pPr>
              <w:pStyle w:val="TAC"/>
              <w:rPr>
                <w:rFonts w:eastAsiaTheme="minorEastAsia"/>
                <w:lang w:eastAsia="zh-CN"/>
              </w:rPr>
            </w:pPr>
            <w:r w:rsidRPr="00956E6E">
              <w:rPr>
                <w:rFonts w:eastAsiaTheme="minorEastAsia"/>
                <w:lang w:eastAsia="zh-CN"/>
              </w:rPr>
              <w:t>-22</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&gt;-23</w:t>
            </w:r>
          </w:p>
        </w:tc>
        <w:tc>
          <w:tcPr>
            <w:tcW w:w="713" w:type="dxa"/>
            <w:shd w:val="clear" w:color="auto" w:fill="auto"/>
            <w:noWrap/>
          </w:tcPr>
          <w:p w14:paraId="2B4430B5"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742294B2" w14:textId="77777777" w:rsidTr="007A5129">
        <w:trPr>
          <w:trHeight w:val="187"/>
          <w:jc w:val="center"/>
        </w:trPr>
        <w:tc>
          <w:tcPr>
            <w:tcW w:w="2068" w:type="dxa"/>
            <w:shd w:val="clear" w:color="auto" w:fill="auto"/>
            <w:noWrap/>
          </w:tcPr>
          <w:p w14:paraId="0628E573" w14:textId="77777777" w:rsidR="00BB469D" w:rsidRPr="00956E6E" w:rsidRDefault="00BB469D" w:rsidP="00BB469D">
            <w:pPr>
              <w:pStyle w:val="TAL"/>
              <w:rPr>
                <w:rFonts w:eastAsiaTheme="minorEastAsia"/>
                <w:lang w:eastAsia="zh-CN"/>
              </w:rPr>
            </w:pPr>
            <w:r w:rsidRPr="00956E6E">
              <w:rPr>
                <w:rFonts w:eastAsiaTheme="minorEastAsia"/>
                <w:lang w:eastAsia="zh-CN"/>
              </w:rPr>
              <w:t>DIFFRSRPP_9</w:t>
            </w:r>
          </w:p>
        </w:tc>
        <w:tc>
          <w:tcPr>
            <w:tcW w:w="3204" w:type="dxa"/>
          </w:tcPr>
          <w:p w14:paraId="69F73395" w14:textId="77777777" w:rsidR="00BB469D" w:rsidRPr="00956E6E" w:rsidRDefault="00BB469D" w:rsidP="00BB469D">
            <w:pPr>
              <w:pStyle w:val="TAC"/>
              <w:rPr>
                <w:rFonts w:eastAsiaTheme="minorEastAsia"/>
                <w:lang w:eastAsia="zh-CN"/>
              </w:rPr>
            </w:pPr>
            <w:r w:rsidRPr="00956E6E">
              <w:rPr>
                <w:rFonts w:eastAsiaTheme="minorEastAsia"/>
                <w:lang w:eastAsia="zh-CN"/>
              </w:rPr>
              <w:t>-21</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&gt;-22</w:t>
            </w:r>
          </w:p>
        </w:tc>
        <w:tc>
          <w:tcPr>
            <w:tcW w:w="713" w:type="dxa"/>
            <w:shd w:val="clear" w:color="auto" w:fill="auto"/>
            <w:noWrap/>
          </w:tcPr>
          <w:p w14:paraId="4B82CDEB"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44685A2C" w14:textId="77777777" w:rsidTr="007A5129">
        <w:trPr>
          <w:trHeight w:val="187"/>
          <w:jc w:val="center"/>
        </w:trPr>
        <w:tc>
          <w:tcPr>
            <w:tcW w:w="2068" w:type="dxa"/>
            <w:shd w:val="clear" w:color="auto" w:fill="auto"/>
            <w:noWrap/>
          </w:tcPr>
          <w:p w14:paraId="6DAF792E" w14:textId="77777777" w:rsidR="00BB469D" w:rsidRPr="00956E6E" w:rsidRDefault="00BB469D" w:rsidP="00BB469D">
            <w:pPr>
              <w:pStyle w:val="TAL"/>
              <w:rPr>
                <w:rFonts w:eastAsiaTheme="minorEastAsia"/>
                <w:lang w:eastAsia="zh-CN"/>
              </w:rPr>
            </w:pPr>
            <w:r w:rsidRPr="00956E6E">
              <w:rPr>
                <w:rFonts w:eastAsiaTheme="minorEastAsia"/>
                <w:lang w:eastAsia="zh-CN"/>
              </w:rPr>
              <w:t>DIFFRSRPP_10</w:t>
            </w:r>
          </w:p>
        </w:tc>
        <w:tc>
          <w:tcPr>
            <w:tcW w:w="3204" w:type="dxa"/>
          </w:tcPr>
          <w:p w14:paraId="7FC8D81D" w14:textId="77777777" w:rsidR="00BB469D" w:rsidRPr="00956E6E" w:rsidRDefault="00BB469D" w:rsidP="00BB469D">
            <w:pPr>
              <w:pStyle w:val="TAC"/>
              <w:rPr>
                <w:rFonts w:eastAsiaTheme="minorEastAsia"/>
                <w:lang w:eastAsia="zh-CN"/>
              </w:rPr>
            </w:pPr>
            <w:r w:rsidRPr="00956E6E">
              <w:rPr>
                <w:rFonts w:eastAsiaTheme="minorEastAsia"/>
                <w:lang w:eastAsia="zh-CN"/>
              </w:rPr>
              <w:t>-20</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&gt;-21</w:t>
            </w:r>
          </w:p>
        </w:tc>
        <w:tc>
          <w:tcPr>
            <w:tcW w:w="713" w:type="dxa"/>
            <w:shd w:val="clear" w:color="auto" w:fill="auto"/>
            <w:noWrap/>
          </w:tcPr>
          <w:p w14:paraId="5717BADB"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4B286689" w14:textId="77777777" w:rsidTr="007A5129">
        <w:trPr>
          <w:trHeight w:val="187"/>
          <w:jc w:val="center"/>
        </w:trPr>
        <w:tc>
          <w:tcPr>
            <w:tcW w:w="2068" w:type="dxa"/>
            <w:shd w:val="clear" w:color="auto" w:fill="auto"/>
            <w:noWrap/>
          </w:tcPr>
          <w:p w14:paraId="72581210" w14:textId="77777777" w:rsidR="00BB469D" w:rsidRPr="00956E6E" w:rsidRDefault="00BB469D" w:rsidP="00BB469D">
            <w:pPr>
              <w:pStyle w:val="TAL"/>
              <w:rPr>
                <w:rFonts w:eastAsiaTheme="minorEastAsia"/>
                <w:lang w:eastAsia="zh-CN"/>
              </w:rPr>
            </w:pPr>
            <w:r w:rsidRPr="00956E6E">
              <w:rPr>
                <w:rFonts w:eastAsiaTheme="minorEastAsia"/>
                <w:lang w:eastAsia="zh-CN"/>
              </w:rPr>
              <w:t>DIFFRSRPP_11</w:t>
            </w:r>
          </w:p>
        </w:tc>
        <w:tc>
          <w:tcPr>
            <w:tcW w:w="3204" w:type="dxa"/>
          </w:tcPr>
          <w:p w14:paraId="37B9E5FA" w14:textId="77777777" w:rsidR="00BB469D" w:rsidRPr="00956E6E" w:rsidRDefault="00BB469D" w:rsidP="00BB469D">
            <w:pPr>
              <w:pStyle w:val="TAC"/>
              <w:rPr>
                <w:rFonts w:eastAsiaTheme="minorEastAsia"/>
                <w:lang w:eastAsia="zh-CN"/>
              </w:rPr>
            </w:pPr>
            <w:r w:rsidRPr="00956E6E">
              <w:rPr>
                <w:rFonts w:eastAsiaTheme="minorEastAsia"/>
                <w:lang w:eastAsia="zh-CN"/>
              </w:rPr>
              <w:t>-19</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&gt;-20</w:t>
            </w:r>
          </w:p>
        </w:tc>
        <w:tc>
          <w:tcPr>
            <w:tcW w:w="713" w:type="dxa"/>
            <w:shd w:val="clear" w:color="auto" w:fill="auto"/>
            <w:noWrap/>
          </w:tcPr>
          <w:p w14:paraId="71B86C87"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6D9C66D8" w14:textId="77777777" w:rsidTr="007A5129">
        <w:trPr>
          <w:trHeight w:val="187"/>
          <w:jc w:val="center"/>
        </w:trPr>
        <w:tc>
          <w:tcPr>
            <w:tcW w:w="2068" w:type="dxa"/>
            <w:shd w:val="clear" w:color="auto" w:fill="auto"/>
            <w:noWrap/>
          </w:tcPr>
          <w:p w14:paraId="67F27A65" w14:textId="77777777" w:rsidR="00BB469D" w:rsidRPr="00956E6E" w:rsidRDefault="00BB469D" w:rsidP="00BB469D">
            <w:pPr>
              <w:pStyle w:val="TAL"/>
              <w:rPr>
                <w:rFonts w:eastAsiaTheme="minorEastAsia"/>
                <w:lang w:eastAsia="zh-CN"/>
              </w:rPr>
            </w:pPr>
            <w:r w:rsidRPr="00956E6E">
              <w:rPr>
                <w:rFonts w:eastAsiaTheme="minorEastAsia"/>
                <w:lang w:eastAsia="zh-CN"/>
              </w:rPr>
              <w:t>DIFFRSRPP_12</w:t>
            </w:r>
          </w:p>
        </w:tc>
        <w:tc>
          <w:tcPr>
            <w:tcW w:w="3204" w:type="dxa"/>
          </w:tcPr>
          <w:p w14:paraId="5C4E72B8" w14:textId="77777777" w:rsidR="00BB469D" w:rsidRPr="00956E6E" w:rsidRDefault="00BB469D" w:rsidP="00BB469D">
            <w:pPr>
              <w:pStyle w:val="TAC"/>
              <w:rPr>
                <w:rFonts w:eastAsiaTheme="minorEastAsia"/>
                <w:lang w:eastAsia="zh-CN"/>
              </w:rPr>
            </w:pPr>
            <w:r w:rsidRPr="00956E6E">
              <w:rPr>
                <w:rFonts w:eastAsiaTheme="minorEastAsia"/>
                <w:lang w:eastAsia="zh-CN"/>
              </w:rPr>
              <w:t>-18</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&gt;-19</w:t>
            </w:r>
          </w:p>
        </w:tc>
        <w:tc>
          <w:tcPr>
            <w:tcW w:w="713" w:type="dxa"/>
            <w:shd w:val="clear" w:color="auto" w:fill="auto"/>
            <w:noWrap/>
          </w:tcPr>
          <w:p w14:paraId="4893EA9D"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225C2806" w14:textId="77777777" w:rsidTr="007A5129">
        <w:trPr>
          <w:trHeight w:val="187"/>
          <w:jc w:val="center"/>
        </w:trPr>
        <w:tc>
          <w:tcPr>
            <w:tcW w:w="2068" w:type="dxa"/>
            <w:shd w:val="clear" w:color="auto" w:fill="auto"/>
            <w:noWrap/>
          </w:tcPr>
          <w:p w14:paraId="24225632" w14:textId="77777777" w:rsidR="00BB469D" w:rsidRPr="00956E6E" w:rsidRDefault="00BB469D" w:rsidP="00BB469D">
            <w:pPr>
              <w:pStyle w:val="TAL"/>
              <w:rPr>
                <w:rFonts w:eastAsiaTheme="minorEastAsia"/>
                <w:lang w:eastAsia="zh-CN"/>
              </w:rPr>
            </w:pPr>
            <w:r w:rsidRPr="00956E6E">
              <w:rPr>
                <w:rFonts w:eastAsiaTheme="minorEastAsia"/>
                <w:lang w:eastAsia="zh-CN"/>
              </w:rPr>
              <w:t>DIFFRSRPP_13</w:t>
            </w:r>
          </w:p>
        </w:tc>
        <w:tc>
          <w:tcPr>
            <w:tcW w:w="3204" w:type="dxa"/>
          </w:tcPr>
          <w:p w14:paraId="54517B07" w14:textId="77777777" w:rsidR="00BB469D" w:rsidRPr="00956E6E" w:rsidRDefault="00BB469D" w:rsidP="00BB469D">
            <w:pPr>
              <w:pStyle w:val="TAC"/>
              <w:rPr>
                <w:rFonts w:eastAsiaTheme="minorEastAsia"/>
                <w:lang w:eastAsia="zh-CN"/>
              </w:rPr>
            </w:pPr>
            <w:r w:rsidRPr="00956E6E">
              <w:rPr>
                <w:rFonts w:eastAsiaTheme="minorEastAsia"/>
                <w:lang w:eastAsia="zh-CN"/>
              </w:rPr>
              <w:t>-17</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&gt;-18</w:t>
            </w:r>
          </w:p>
        </w:tc>
        <w:tc>
          <w:tcPr>
            <w:tcW w:w="713" w:type="dxa"/>
            <w:shd w:val="clear" w:color="auto" w:fill="auto"/>
            <w:noWrap/>
          </w:tcPr>
          <w:p w14:paraId="54E9A497"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570246BD" w14:textId="77777777" w:rsidTr="007A5129">
        <w:trPr>
          <w:trHeight w:val="187"/>
          <w:jc w:val="center"/>
        </w:trPr>
        <w:tc>
          <w:tcPr>
            <w:tcW w:w="2068" w:type="dxa"/>
            <w:shd w:val="clear" w:color="auto" w:fill="auto"/>
            <w:noWrap/>
          </w:tcPr>
          <w:p w14:paraId="447828A0" w14:textId="77777777" w:rsidR="00BB469D" w:rsidRPr="00956E6E" w:rsidRDefault="00BB469D" w:rsidP="00BB469D">
            <w:pPr>
              <w:pStyle w:val="TAL"/>
              <w:rPr>
                <w:rFonts w:eastAsiaTheme="minorEastAsia"/>
                <w:lang w:eastAsia="zh-CN"/>
              </w:rPr>
            </w:pPr>
            <w:r w:rsidRPr="00956E6E">
              <w:rPr>
                <w:rFonts w:eastAsiaTheme="minorEastAsia"/>
                <w:lang w:eastAsia="zh-CN"/>
              </w:rPr>
              <w:t>DIFFRSRPP_14</w:t>
            </w:r>
          </w:p>
        </w:tc>
        <w:tc>
          <w:tcPr>
            <w:tcW w:w="3204" w:type="dxa"/>
          </w:tcPr>
          <w:p w14:paraId="50BB4FAD" w14:textId="77777777" w:rsidR="00BB469D" w:rsidRPr="00956E6E" w:rsidRDefault="00BB469D" w:rsidP="00BB469D">
            <w:pPr>
              <w:pStyle w:val="TAC"/>
              <w:rPr>
                <w:rFonts w:eastAsiaTheme="minorEastAsia"/>
                <w:lang w:eastAsia="zh-CN"/>
              </w:rPr>
            </w:pPr>
            <w:r w:rsidRPr="00956E6E">
              <w:rPr>
                <w:rFonts w:eastAsiaTheme="minorEastAsia"/>
                <w:lang w:eastAsia="zh-CN"/>
              </w:rPr>
              <w:t>-16</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&gt;-17</w:t>
            </w:r>
          </w:p>
        </w:tc>
        <w:tc>
          <w:tcPr>
            <w:tcW w:w="713" w:type="dxa"/>
            <w:shd w:val="clear" w:color="auto" w:fill="auto"/>
            <w:noWrap/>
          </w:tcPr>
          <w:p w14:paraId="3CEC799D"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0ADF9A0A" w14:textId="77777777" w:rsidTr="007A5129">
        <w:trPr>
          <w:trHeight w:val="187"/>
          <w:jc w:val="center"/>
        </w:trPr>
        <w:tc>
          <w:tcPr>
            <w:tcW w:w="2068" w:type="dxa"/>
            <w:shd w:val="clear" w:color="auto" w:fill="auto"/>
            <w:noWrap/>
          </w:tcPr>
          <w:p w14:paraId="0D609E2D" w14:textId="77777777" w:rsidR="00BB469D" w:rsidRPr="00956E6E" w:rsidRDefault="00BB469D" w:rsidP="00BB469D">
            <w:pPr>
              <w:pStyle w:val="TAL"/>
              <w:rPr>
                <w:rFonts w:eastAsiaTheme="minorEastAsia"/>
                <w:lang w:eastAsia="zh-CN"/>
              </w:rPr>
            </w:pPr>
            <w:r w:rsidRPr="00956E6E">
              <w:rPr>
                <w:rFonts w:eastAsiaTheme="minorEastAsia"/>
                <w:lang w:eastAsia="zh-CN"/>
              </w:rPr>
              <w:t>DIFFRSRPP_15</w:t>
            </w:r>
          </w:p>
        </w:tc>
        <w:tc>
          <w:tcPr>
            <w:tcW w:w="3204" w:type="dxa"/>
          </w:tcPr>
          <w:p w14:paraId="4EA0CBD6" w14:textId="77777777" w:rsidR="00BB469D" w:rsidRPr="00956E6E" w:rsidRDefault="00BB469D" w:rsidP="00BB469D">
            <w:pPr>
              <w:pStyle w:val="TAC"/>
              <w:rPr>
                <w:rFonts w:eastAsiaTheme="minorEastAsia"/>
                <w:lang w:eastAsia="zh-CN"/>
              </w:rPr>
            </w:pPr>
            <w:r w:rsidRPr="00956E6E">
              <w:rPr>
                <w:rFonts w:eastAsiaTheme="minorEastAsia"/>
                <w:lang w:eastAsia="zh-CN"/>
              </w:rPr>
              <w:t>-15</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&gt;-16</w:t>
            </w:r>
          </w:p>
        </w:tc>
        <w:tc>
          <w:tcPr>
            <w:tcW w:w="713" w:type="dxa"/>
            <w:shd w:val="clear" w:color="auto" w:fill="auto"/>
            <w:noWrap/>
          </w:tcPr>
          <w:p w14:paraId="09B8A005"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608A7323" w14:textId="77777777" w:rsidTr="007A5129">
        <w:trPr>
          <w:trHeight w:val="187"/>
          <w:jc w:val="center"/>
        </w:trPr>
        <w:tc>
          <w:tcPr>
            <w:tcW w:w="2068" w:type="dxa"/>
            <w:shd w:val="clear" w:color="auto" w:fill="auto"/>
            <w:noWrap/>
          </w:tcPr>
          <w:p w14:paraId="3F252A47" w14:textId="77777777" w:rsidR="00BB469D" w:rsidRPr="00956E6E" w:rsidRDefault="00BB469D" w:rsidP="00BB469D">
            <w:pPr>
              <w:pStyle w:val="TAL"/>
              <w:rPr>
                <w:rFonts w:eastAsiaTheme="minorEastAsia"/>
                <w:lang w:eastAsia="zh-CN"/>
              </w:rPr>
            </w:pPr>
            <w:r w:rsidRPr="00956E6E">
              <w:rPr>
                <w:rFonts w:eastAsiaTheme="minorEastAsia"/>
                <w:lang w:eastAsia="zh-CN"/>
              </w:rPr>
              <w:t>DIFFRSRPP_16</w:t>
            </w:r>
          </w:p>
        </w:tc>
        <w:tc>
          <w:tcPr>
            <w:tcW w:w="3204" w:type="dxa"/>
          </w:tcPr>
          <w:p w14:paraId="0FD3CBEC" w14:textId="77777777" w:rsidR="00BB469D" w:rsidRPr="00956E6E" w:rsidRDefault="00BB469D" w:rsidP="00BB469D">
            <w:pPr>
              <w:pStyle w:val="TAC"/>
              <w:rPr>
                <w:rFonts w:eastAsiaTheme="minorEastAsia"/>
                <w:lang w:eastAsia="zh-CN"/>
              </w:rPr>
            </w:pPr>
            <w:r w:rsidRPr="00956E6E">
              <w:rPr>
                <w:rFonts w:eastAsiaTheme="minorEastAsia"/>
                <w:lang w:eastAsia="zh-CN"/>
              </w:rPr>
              <w:t>-14</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&gt;-15</w:t>
            </w:r>
          </w:p>
        </w:tc>
        <w:tc>
          <w:tcPr>
            <w:tcW w:w="713" w:type="dxa"/>
            <w:shd w:val="clear" w:color="auto" w:fill="auto"/>
            <w:noWrap/>
          </w:tcPr>
          <w:p w14:paraId="4B42E650"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43A9788C" w14:textId="77777777" w:rsidTr="007A5129">
        <w:trPr>
          <w:trHeight w:val="187"/>
          <w:jc w:val="center"/>
        </w:trPr>
        <w:tc>
          <w:tcPr>
            <w:tcW w:w="2068" w:type="dxa"/>
            <w:shd w:val="clear" w:color="auto" w:fill="auto"/>
            <w:noWrap/>
          </w:tcPr>
          <w:p w14:paraId="3A6FEB05" w14:textId="77777777" w:rsidR="00BB469D" w:rsidRPr="00956E6E" w:rsidRDefault="00BB469D" w:rsidP="00BB469D">
            <w:pPr>
              <w:pStyle w:val="TAL"/>
              <w:rPr>
                <w:rFonts w:eastAsiaTheme="minorEastAsia"/>
                <w:lang w:eastAsia="zh-CN"/>
              </w:rPr>
            </w:pPr>
            <w:r w:rsidRPr="00956E6E">
              <w:rPr>
                <w:rFonts w:eastAsiaTheme="minorEastAsia"/>
                <w:lang w:eastAsia="zh-CN"/>
              </w:rPr>
              <w:t>DIFFRSRPP_17</w:t>
            </w:r>
          </w:p>
        </w:tc>
        <w:tc>
          <w:tcPr>
            <w:tcW w:w="3204" w:type="dxa"/>
          </w:tcPr>
          <w:p w14:paraId="7297E878" w14:textId="77777777" w:rsidR="00BB469D" w:rsidRPr="00956E6E" w:rsidRDefault="00BB469D" w:rsidP="00BB469D">
            <w:pPr>
              <w:pStyle w:val="TAC"/>
              <w:rPr>
                <w:rFonts w:eastAsiaTheme="minorEastAsia"/>
                <w:lang w:eastAsia="zh-CN"/>
              </w:rPr>
            </w:pPr>
            <w:r w:rsidRPr="00956E6E">
              <w:rPr>
                <w:rFonts w:eastAsiaTheme="minorEastAsia"/>
                <w:lang w:eastAsia="zh-CN"/>
              </w:rPr>
              <w:t>-13</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&gt;-14</w:t>
            </w:r>
          </w:p>
        </w:tc>
        <w:tc>
          <w:tcPr>
            <w:tcW w:w="713" w:type="dxa"/>
            <w:shd w:val="clear" w:color="auto" w:fill="auto"/>
            <w:noWrap/>
          </w:tcPr>
          <w:p w14:paraId="48BE32A3"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19BA5E08" w14:textId="77777777" w:rsidTr="007A5129">
        <w:trPr>
          <w:trHeight w:val="187"/>
          <w:jc w:val="center"/>
        </w:trPr>
        <w:tc>
          <w:tcPr>
            <w:tcW w:w="2068" w:type="dxa"/>
            <w:shd w:val="clear" w:color="auto" w:fill="auto"/>
            <w:noWrap/>
          </w:tcPr>
          <w:p w14:paraId="57826AD3" w14:textId="77777777" w:rsidR="00BB469D" w:rsidRPr="00956E6E" w:rsidRDefault="00BB469D" w:rsidP="00BB469D">
            <w:pPr>
              <w:pStyle w:val="TAL"/>
              <w:rPr>
                <w:rFonts w:eastAsiaTheme="minorEastAsia"/>
                <w:lang w:eastAsia="zh-CN"/>
              </w:rPr>
            </w:pPr>
            <w:r w:rsidRPr="00956E6E">
              <w:rPr>
                <w:rFonts w:eastAsiaTheme="minorEastAsia"/>
                <w:lang w:eastAsia="zh-CN"/>
              </w:rPr>
              <w:t>DIFFRSRPP_18</w:t>
            </w:r>
          </w:p>
        </w:tc>
        <w:tc>
          <w:tcPr>
            <w:tcW w:w="3204" w:type="dxa"/>
          </w:tcPr>
          <w:p w14:paraId="414903EF" w14:textId="77777777" w:rsidR="00BB469D" w:rsidRPr="00956E6E" w:rsidRDefault="00BB469D" w:rsidP="00BB469D">
            <w:pPr>
              <w:pStyle w:val="TAC"/>
              <w:rPr>
                <w:rFonts w:eastAsiaTheme="minorEastAsia"/>
                <w:lang w:eastAsia="zh-CN"/>
              </w:rPr>
            </w:pPr>
            <w:r w:rsidRPr="00956E6E">
              <w:rPr>
                <w:rFonts w:eastAsiaTheme="minorEastAsia"/>
                <w:lang w:eastAsia="zh-CN"/>
              </w:rPr>
              <w:t>-12</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&gt;-13</w:t>
            </w:r>
          </w:p>
        </w:tc>
        <w:tc>
          <w:tcPr>
            <w:tcW w:w="713" w:type="dxa"/>
            <w:shd w:val="clear" w:color="auto" w:fill="auto"/>
            <w:noWrap/>
          </w:tcPr>
          <w:p w14:paraId="2928B527"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77267202" w14:textId="77777777" w:rsidTr="007A5129">
        <w:trPr>
          <w:trHeight w:val="187"/>
          <w:jc w:val="center"/>
        </w:trPr>
        <w:tc>
          <w:tcPr>
            <w:tcW w:w="2068" w:type="dxa"/>
            <w:shd w:val="clear" w:color="auto" w:fill="auto"/>
            <w:noWrap/>
          </w:tcPr>
          <w:p w14:paraId="1DB6099D" w14:textId="77777777" w:rsidR="00BB469D" w:rsidRPr="00956E6E" w:rsidRDefault="00BB469D" w:rsidP="00BB469D">
            <w:pPr>
              <w:pStyle w:val="TAL"/>
              <w:rPr>
                <w:rFonts w:eastAsiaTheme="minorEastAsia"/>
                <w:lang w:eastAsia="zh-CN"/>
              </w:rPr>
            </w:pPr>
            <w:r w:rsidRPr="00956E6E">
              <w:rPr>
                <w:rFonts w:eastAsiaTheme="minorEastAsia"/>
                <w:lang w:eastAsia="zh-CN"/>
              </w:rPr>
              <w:t>DIFFRSRPP_19</w:t>
            </w:r>
          </w:p>
        </w:tc>
        <w:tc>
          <w:tcPr>
            <w:tcW w:w="3204" w:type="dxa"/>
          </w:tcPr>
          <w:p w14:paraId="6B9B820E" w14:textId="77777777" w:rsidR="00BB469D" w:rsidRPr="00956E6E" w:rsidRDefault="00BB469D" w:rsidP="00BB469D">
            <w:pPr>
              <w:pStyle w:val="TAC"/>
              <w:rPr>
                <w:rFonts w:eastAsiaTheme="minorEastAsia"/>
                <w:lang w:eastAsia="zh-CN"/>
              </w:rPr>
            </w:pPr>
            <w:r w:rsidRPr="00956E6E">
              <w:rPr>
                <w:rFonts w:eastAsiaTheme="minorEastAsia"/>
                <w:lang w:eastAsia="zh-CN"/>
              </w:rPr>
              <w:t>-11</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&gt;-12</w:t>
            </w:r>
          </w:p>
        </w:tc>
        <w:tc>
          <w:tcPr>
            <w:tcW w:w="713" w:type="dxa"/>
            <w:shd w:val="clear" w:color="auto" w:fill="auto"/>
            <w:noWrap/>
          </w:tcPr>
          <w:p w14:paraId="47D951DD"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5DFA4512" w14:textId="77777777" w:rsidTr="007A5129">
        <w:trPr>
          <w:trHeight w:val="187"/>
          <w:jc w:val="center"/>
        </w:trPr>
        <w:tc>
          <w:tcPr>
            <w:tcW w:w="2068" w:type="dxa"/>
            <w:shd w:val="clear" w:color="auto" w:fill="auto"/>
            <w:noWrap/>
          </w:tcPr>
          <w:p w14:paraId="18F0B80E" w14:textId="77777777" w:rsidR="00BB469D" w:rsidRPr="00956E6E" w:rsidRDefault="00BB469D" w:rsidP="00BB469D">
            <w:pPr>
              <w:pStyle w:val="TAL"/>
              <w:rPr>
                <w:rFonts w:eastAsiaTheme="minorEastAsia"/>
                <w:lang w:eastAsia="zh-CN"/>
              </w:rPr>
            </w:pPr>
            <w:r w:rsidRPr="00956E6E">
              <w:rPr>
                <w:rFonts w:eastAsiaTheme="minorEastAsia"/>
                <w:lang w:eastAsia="zh-CN"/>
              </w:rPr>
              <w:t>DIFFRSRPP_20</w:t>
            </w:r>
          </w:p>
        </w:tc>
        <w:tc>
          <w:tcPr>
            <w:tcW w:w="3204" w:type="dxa"/>
          </w:tcPr>
          <w:p w14:paraId="65D1B857" w14:textId="77777777" w:rsidR="00BB469D" w:rsidRPr="00956E6E" w:rsidRDefault="00BB469D" w:rsidP="00BB469D">
            <w:pPr>
              <w:pStyle w:val="TAC"/>
              <w:rPr>
                <w:rFonts w:eastAsiaTheme="minorEastAsia"/>
                <w:lang w:eastAsia="zh-CN"/>
              </w:rPr>
            </w:pPr>
            <w:r w:rsidRPr="00956E6E">
              <w:rPr>
                <w:rFonts w:eastAsiaTheme="minorEastAsia"/>
                <w:lang w:eastAsia="zh-CN"/>
              </w:rPr>
              <w:t>-10</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&gt;-11</w:t>
            </w:r>
          </w:p>
        </w:tc>
        <w:tc>
          <w:tcPr>
            <w:tcW w:w="713" w:type="dxa"/>
            <w:shd w:val="clear" w:color="auto" w:fill="auto"/>
            <w:noWrap/>
          </w:tcPr>
          <w:p w14:paraId="3999D7D8"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1F374316" w14:textId="77777777" w:rsidTr="007A5129">
        <w:trPr>
          <w:trHeight w:val="187"/>
          <w:jc w:val="center"/>
        </w:trPr>
        <w:tc>
          <w:tcPr>
            <w:tcW w:w="2068" w:type="dxa"/>
            <w:shd w:val="clear" w:color="auto" w:fill="auto"/>
            <w:noWrap/>
          </w:tcPr>
          <w:p w14:paraId="6538A7F1" w14:textId="77777777" w:rsidR="00BB469D" w:rsidRPr="00956E6E" w:rsidRDefault="00BB469D" w:rsidP="00BB469D">
            <w:pPr>
              <w:pStyle w:val="TAL"/>
              <w:rPr>
                <w:rFonts w:eastAsiaTheme="minorEastAsia"/>
                <w:lang w:eastAsia="zh-CN"/>
              </w:rPr>
            </w:pPr>
            <w:r w:rsidRPr="00956E6E">
              <w:rPr>
                <w:rFonts w:eastAsiaTheme="minorEastAsia"/>
                <w:lang w:eastAsia="zh-CN"/>
              </w:rPr>
              <w:t>DIFFRSRPP_21</w:t>
            </w:r>
          </w:p>
        </w:tc>
        <w:tc>
          <w:tcPr>
            <w:tcW w:w="3204" w:type="dxa"/>
          </w:tcPr>
          <w:p w14:paraId="498FB1AD" w14:textId="77777777" w:rsidR="00BB469D" w:rsidRPr="00956E6E" w:rsidRDefault="00BB469D" w:rsidP="00BB469D">
            <w:pPr>
              <w:pStyle w:val="TAC"/>
              <w:rPr>
                <w:rFonts w:eastAsiaTheme="minorEastAsia"/>
                <w:lang w:eastAsia="zh-CN"/>
              </w:rPr>
            </w:pPr>
            <w:r w:rsidRPr="00956E6E">
              <w:rPr>
                <w:rFonts w:eastAsiaTheme="minorEastAsia"/>
                <w:lang w:eastAsia="zh-CN"/>
              </w:rPr>
              <w:t>-9</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&gt;-10</w:t>
            </w:r>
          </w:p>
        </w:tc>
        <w:tc>
          <w:tcPr>
            <w:tcW w:w="713" w:type="dxa"/>
            <w:shd w:val="clear" w:color="auto" w:fill="auto"/>
            <w:noWrap/>
          </w:tcPr>
          <w:p w14:paraId="28A00D9F"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31484386" w14:textId="77777777" w:rsidTr="007A5129">
        <w:trPr>
          <w:trHeight w:val="187"/>
          <w:jc w:val="center"/>
        </w:trPr>
        <w:tc>
          <w:tcPr>
            <w:tcW w:w="2068" w:type="dxa"/>
            <w:shd w:val="clear" w:color="auto" w:fill="auto"/>
            <w:noWrap/>
          </w:tcPr>
          <w:p w14:paraId="261570EB" w14:textId="77777777" w:rsidR="00BB469D" w:rsidRPr="00956E6E" w:rsidRDefault="00BB469D" w:rsidP="00BB469D">
            <w:pPr>
              <w:pStyle w:val="TAL"/>
              <w:rPr>
                <w:rFonts w:eastAsiaTheme="minorEastAsia"/>
                <w:lang w:eastAsia="zh-CN"/>
              </w:rPr>
            </w:pPr>
            <w:r w:rsidRPr="00956E6E">
              <w:rPr>
                <w:rFonts w:eastAsiaTheme="minorEastAsia"/>
                <w:lang w:eastAsia="zh-CN"/>
              </w:rPr>
              <w:t>DIFFRSRPP_22</w:t>
            </w:r>
          </w:p>
        </w:tc>
        <w:tc>
          <w:tcPr>
            <w:tcW w:w="3204" w:type="dxa"/>
          </w:tcPr>
          <w:p w14:paraId="1F99BD9E" w14:textId="77777777" w:rsidR="00BB469D" w:rsidRPr="00956E6E" w:rsidRDefault="00BB469D" w:rsidP="00BB469D">
            <w:pPr>
              <w:pStyle w:val="TAC"/>
              <w:rPr>
                <w:rFonts w:eastAsiaTheme="minorEastAsia"/>
                <w:lang w:eastAsia="zh-CN"/>
              </w:rPr>
            </w:pPr>
            <w:r w:rsidRPr="00956E6E">
              <w:rPr>
                <w:rFonts w:eastAsiaTheme="minorEastAsia"/>
                <w:lang w:eastAsia="zh-CN"/>
              </w:rPr>
              <w:t>-8</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&gt;-9</w:t>
            </w:r>
          </w:p>
        </w:tc>
        <w:tc>
          <w:tcPr>
            <w:tcW w:w="713" w:type="dxa"/>
            <w:shd w:val="clear" w:color="auto" w:fill="auto"/>
            <w:noWrap/>
          </w:tcPr>
          <w:p w14:paraId="680C0C7F"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03FCBF1C" w14:textId="77777777" w:rsidTr="007A5129">
        <w:trPr>
          <w:trHeight w:val="187"/>
          <w:jc w:val="center"/>
        </w:trPr>
        <w:tc>
          <w:tcPr>
            <w:tcW w:w="2068" w:type="dxa"/>
            <w:shd w:val="clear" w:color="auto" w:fill="auto"/>
            <w:noWrap/>
          </w:tcPr>
          <w:p w14:paraId="3C5327EC" w14:textId="77777777" w:rsidR="00BB469D" w:rsidRPr="00956E6E" w:rsidRDefault="00BB469D" w:rsidP="00BB469D">
            <w:pPr>
              <w:pStyle w:val="TAL"/>
              <w:rPr>
                <w:rFonts w:eastAsiaTheme="minorEastAsia"/>
                <w:lang w:eastAsia="zh-CN"/>
              </w:rPr>
            </w:pPr>
            <w:r w:rsidRPr="00956E6E">
              <w:rPr>
                <w:rFonts w:eastAsiaTheme="minorEastAsia"/>
                <w:lang w:eastAsia="zh-CN"/>
              </w:rPr>
              <w:t>DIFFRSRPP_23</w:t>
            </w:r>
          </w:p>
        </w:tc>
        <w:tc>
          <w:tcPr>
            <w:tcW w:w="3204" w:type="dxa"/>
          </w:tcPr>
          <w:p w14:paraId="5D2F6412" w14:textId="77777777" w:rsidR="00BB469D" w:rsidRPr="00956E6E" w:rsidRDefault="00BB469D" w:rsidP="00BB469D">
            <w:pPr>
              <w:pStyle w:val="TAC"/>
              <w:rPr>
                <w:rFonts w:eastAsiaTheme="minorEastAsia"/>
                <w:lang w:eastAsia="zh-CN"/>
              </w:rPr>
            </w:pPr>
            <w:r w:rsidRPr="00956E6E">
              <w:rPr>
                <w:rFonts w:eastAsiaTheme="minorEastAsia"/>
                <w:lang w:eastAsia="zh-CN"/>
              </w:rPr>
              <w:t>-7</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&gt;-8</w:t>
            </w:r>
          </w:p>
        </w:tc>
        <w:tc>
          <w:tcPr>
            <w:tcW w:w="713" w:type="dxa"/>
            <w:shd w:val="clear" w:color="auto" w:fill="auto"/>
            <w:noWrap/>
          </w:tcPr>
          <w:p w14:paraId="7E1EF07C"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40D56BE5" w14:textId="77777777" w:rsidTr="007A5129">
        <w:trPr>
          <w:trHeight w:val="187"/>
          <w:jc w:val="center"/>
        </w:trPr>
        <w:tc>
          <w:tcPr>
            <w:tcW w:w="2068" w:type="dxa"/>
            <w:shd w:val="clear" w:color="auto" w:fill="auto"/>
            <w:noWrap/>
          </w:tcPr>
          <w:p w14:paraId="123C449B" w14:textId="77777777" w:rsidR="00BB469D" w:rsidRPr="00956E6E" w:rsidRDefault="00BB469D" w:rsidP="00BB469D">
            <w:pPr>
              <w:pStyle w:val="TAL"/>
              <w:rPr>
                <w:rFonts w:eastAsiaTheme="minorEastAsia"/>
                <w:lang w:eastAsia="zh-CN"/>
              </w:rPr>
            </w:pPr>
            <w:r w:rsidRPr="00956E6E">
              <w:rPr>
                <w:rFonts w:eastAsiaTheme="minorEastAsia"/>
                <w:lang w:eastAsia="zh-CN"/>
              </w:rPr>
              <w:t>DIFFRSRPP_24</w:t>
            </w:r>
          </w:p>
        </w:tc>
        <w:tc>
          <w:tcPr>
            <w:tcW w:w="3204" w:type="dxa"/>
          </w:tcPr>
          <w:p w14:paraId="2D20A0F6" w14:textId="77777777" w:rsidR="00BB469D" w:rsidRPr="00956E6E" w:rsidRDefault="00BB469D" w:rsidP="00BB469D">
            <w:pPr>
              <w:pStyle w:val="TAC"/>
              <w:rPr>
                <w:rFonts w:eastAsiaTheme="minorEastAsia"/>
                <w:lang w:eastAsia="zh-CN"/>
              </w:rPr>
            </w:pPr>
            <w:r w:rsidRPr="00956E6E">
              <w:rPr>
                <w:rFonts w:eastAsiaTheme="minorEastAsia"/>
                <w:lang w:eastAsia="zh-CN"/>
              </w:rPr>
              <w:t>-6</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&gt;-7</w:t>
            </w:r>
          </w:p>
        </w:tc>
        <w:tc>
          <w:tcPr>
            <w:tcW w:w="713" w:type="dxa"/>
            <w:shd w:val="clear" w:color="auto" w:fill="auto"/>
            <w:noWrap/>
          </w:tcPr>
          <w:p w14:paraId="57CBCF1D"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06FEE32E" w14:textId="77777777" w:rsidTr="007A5129">
        <w:trPr>
          <w:trHeight w:val="187"/>
          <w:jc w:val="center"/>
        </w:trPr>
        <w:tc>
          <w:tcPr>
            <w:tcW w:w="2068" w:type="dxa"/>
            <w:shd w:val="clear" w:color="auto" w:fill="auto"/>
            <w:noWrap/>
          </w:tcPr>
          <w:p w14:paraId="5698FA4B" w14:textId="77777777" w:rsidR="00BB469D" w:rsidRPr="00956E6E" w:rsidRDefault="00BB469D" w:rsidP="00BB469D">
            <w:pPr>
              <w:pStyle w:val="TAL"/>
              <w:rPr>
                <w:rFonts w:eastAsiaTheme="minorEastAsia"/>
                <w:lang w:eastAsia="zh-CN"/>
              </w:rPr>
            </w:pPr>
            <w:r w:rsidRPr="00956E6E">
              <w:rPr>
                <w:rFonts w:eastAsiaTheme="minorEastAsia"/>
                <w:lang w:eastAsia="zh-CN"/>
              </w:rPr>
              <w:t>DIFFRSRPP_25</w:t>
            </w:r>
          </w:p>
        </w:tc>
        <w:tc>
          <w:tcPr>
            <w:tcW w:w="3204" w:type="dxa"/>
          </w:tcPr>
          <w:p w14:paraId="45C701BD" w14:textId="77777777" w:rsidR="00BB469D" w:rsidRPr="00956E6E" w:rsidRDefault="00BB469D" w:rsidP="00BB469D">
            <w:pPr>
              <w:pStyle w:val="TAC"/>
              <w:rPr>
                <w:rFonts w:eastAsiaTheme="minorEastAsia"/>
                <w:lang w:eastAsia="zh-CN"/>
              </w:rPr>
            </w:pPr>
            <w:r w:rsidRPr="00956E6E">
              <w:rPr>
                <w:rFonts w:eastAsiaTheme="minorEastAsia"/>
                <w:lang w:eastAsia="zh-CN"/>
              </w:rPr>
              <w:t>-5</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&gt;-6</w:t>
            </w:r>
          </w:p>
        </w:tc>
        <w:tc>
          <w:tcPr>
            <w:tcW w:w="713" w:type="dxa"/>
            <w:shd w:val="clear" w:color="auto" w:fill="auto"/>
            <w:noWrap/>
          </w:tcPr>
          <w:p w14:paraId="7E9A781D"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6E58FE5B" w14:textId="77777777" w:rsidTr="007A5129">
        <w:trPr>
          <w:trHeight w:val="187"/>
          <w:jc w:val="center"/>
        </w:trPr>
        <w:tc>
          <w:tcPr>
            <w:tcW w:w="2068" w:type="dxa"/>
            <w:shd w:val="clear" w:color="auto" w:fill="auto"/>
            <w:noWrap/>
          </w:tcPr>
          <w:p w14:paraId="7B5E0BE3" w14:textId="77777777" w:rsidR="00BB469D" w:rsidRPr="00956E6E" w:rsidRDefault="00BB469D" w:rsidP="00BB469D">
            <w:pPr>
              <w:pStyle w:val="TAL"/>
              <w:rPr>
                <w:rFonts w:eastAsiaTheme="minorEastAsia"/>
                <w:lang w:eastAsia="zh-CN"/>
              </w:rPr>
            </w:pPr>
            <w:r w:rsidRPr="00956E6E">
              <w:rPr>
                <w:rFonts w:eastAsiaTheme="minorEastAsia"/>
                <w:lang w:eastAsia="zh-CN"/>
              </w:rPr>
              <w:t>DIFFRSRPP_26</w:t>
            </w:r>
          </w:p>
        </w:tc>
        <w:tc>
          <w:tcPr>
            <w:tcW w:w="3204" w:type="dxa"/>
          </w:tcPr>
          <w:p w14:paraId="61FAFBCC" w14:textId="77777777" w:rsidR="00BB469D" w:rsidRPr="00956E6E" w:rsidRDefault="00BB469D" w:rsidP="00BB469D">
            <w:pPr>
              <w:pStyle w:val="TAC"/>
              <w:rPr>
                <w:rFonts w:eastAsiaTheme="minorEastAsia"/>
                <w:lang w:eastAsia="zh-CN"/>
              </w:rPr>
            </w:pPr>
            <w:r w:rsidRPr="00956E6E">
              <w:rPr>
                <w:rFonts w:eastAsiaTheme="minorEastAsia"/>
                <w:lang w:eastAsia="zh-CN"/>
              </w:rPr>
              <w:t>-4</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&gt;-5</w:t>
            </w:r>
          </w:p>
        </w:tc>
        <w:tc>
          <w:tcPr>
            <w:tcW w:w="713" w:type="dxa"/>
            <w:shd w:val="clear" w:color="auto" w:fill="auto"/>
            <w:noWrap/>
          </w:tcPr>
          <w:p w14:paraId="749AB685"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665113D5" w14:textId="77777777" w:rsidTr="007A5129">
        <w:trPr>
          <w:trHeight w:val="187"/>
          <w:jc w:val="center"/>
        </w:trPr>
        <w:tc>
          <w:tcPr>
            <w:tcW w:w="2068" w:type="dxa"/>
            <w:shd w:val="clear" w:color="auto" w:fill="auto"/>
            <w:noWrap/>
          </w:tcPr>
          <w:p w14:paraId="6722D494" w14:textId="77777777" w:rsidR="00BB469D" w:rsidRPr="00956E6E" w:rsidRDefault="00BB469D" w:rsidP="00BB469D">
            <w:pPr>
              <w:pStyle w:val="TAL"/>
              <w:rPr>
                <w:rFonts w:eastAsiaTheme="minorEastAsia"/>
                <w:lang w:eastAsia="zh-CN"/>
              </w:rPr>
            </w:pPr>
            <w:r w:rsidRPr="00956E6E">
              <w:rPr>
                <w:rFonts w:eastAsiaTheme="minorEastAsia"/>
                <w:lang w:eastAsia="zh-CN"/>
              </w:rPr>
              <w:t>DIFFRSRPP_27</w:t>
            </w:r>
          </w:p>
        </w:tc>
        <w:tc>
          <w:tcPr>
            <w:tcW w:w="3204" w:type="dxa"/>
          </w:tcPr>
          <w:p w14:paraId="3E4224C8" w14:textId="77777777" w:rsidR="00BB469D" w:rsidRPr="00956E6E" w:rsidRDefault="00BB469D" w:rsidP="00BB469D">
            <w:pPr>
              <w:pStyle w:val="TAC"/>
              <w:rPr>
                <w:rFonts w:eastAsiaTheme="minorEastAsia"/>
                <w:lang w:eastAsia="zh-CN"/>
              </w:rPr>
            </w:pPr>
            <w:r w:rsidRPr="00956E6E">
              <w:rPr>
                <w:rFonts w:eastAsiaTheme="minorEastAsia"/>
                <w:lang w:eastAsia="zh-CN"/>
              </w:rPr>
              <w:t>-3</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&gt;-4</w:t>
            </w:r>
          </w:p>
        </w:tc>
        <w:tc>
          <w:tcPr>
            <w:tcW w:w="713" w:type="dxa"/>
            <w:shd w:val="clear" w:color="auto" w:fill="auto"/>
            <w:noWrap/>
          </w:tcPr>
          <w:p w14:paraId="0A89DF88"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00774E49" w14:textId="77777777" w:rsidTr="007A5129">
        <w:trPr>
          <w:trHeight w:val="187"/>
          <w:jc w:val="center"/>
        </w:trPr>
        <w:tc>
          <w:tcPr>
            <w:tcW w:w="2068" w:type="dxa"/>
            <w:shd w:val="clear" w:color="auto" w:fill="auto"/>
            <w:noWrap/>
          </w:tcPr>
          <w:p w14:paraId="4F72D1C2" w14:textId="77777777" w:rsidR="00BB469D" w:rsidRPr="00956E6E" w:rsidRDefault="00BB469D" w:rsidP="00BB469D">
            <w:pPr>
              <w:pStyle w:val="TAL"/>
              <w:rPr>
                <w:rFonts w:eastAsiaTheme="minorEastAsia"/>
                <w:lang w:eastAsia="zh-CN"/>
              </w:rPr>
            </w:pPr>
            <w:r w:rsidRPr="00956E6E">
              <w:rPr>
                <w:rFonts w:eastAsiaTheme="minorEastAsia"/>
                <w:lang w:eastAsia="zh-CN"/>
              </w:rPr>
              <w:t>DIFFRSRPP_28</w:t>
            </w:r>
          </w:p>
        </w:tc>
        <w:tc>
          <w:tcPr>
            <w:tcW w:w="3204" w:type="dxa"/>
          </w:tcPr>
          <w:p w14:paraId="02E5D13A" w14:textId="77777777" w:rsidR="00BB469D" w:rsidRPr="00956E6E" w:rsidRDefault="00BB469D" w:rsidP="00BB469D">
            <w:pPr>
              <w:pStyle w:val="TAC"/>
              <w:rPr>
                <w:rFonts w:eastAsiaTheme="minorEastAsia"/>
                <w:lang w:eastAsia="zh-CN"/>
              </w:rPr>
            </w:pPr>
            <w:r w:rsidRPr="00956E6E">
              <w:rPr>
                <w:rFonts w:eastAsiaTheme="minorEastAsia"/>
                <w:lang w:eastAsia="zh-CN"/>
              </w:rPr>
              <w:t>-2</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&gt;-3</w:t>
            </w:r>
          </w:p>
        </w:tc>
        <w:tc>
          <w:tcPr>
            <w:tcW w:w="713" w:type="dxa"/>
            <w:shd w:val="clear" w:color="auto" w:fill="auto"/>
            <w:noWrap/>
          </w:tcPr>
          <w:p w14:paraId="45985811"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3169DACF" w14:textId="77777777" w:rsidTr="007A5129">
        <w:trPr>
          <w:trHeight w:val="187"/>
          <w:jc w:val="center"/>
        </w:trPr>
        <w:tc>
          <w:tcPr>
            <w:tcW w:w="2068" w:type="dxa"/>
            <w:shd w:val="clear" w:color="auto" w:fill="auto"/>
            <w:noWrap/>
          </w:tcPr>
          <w:p w14:paraId="7C030348" w14:textId="77777777" w:rsidR="00BB469D" w:rsidRPr="00956E6E" w:rsidRDefault="00BB469D" w:rsidP="00BB469D">
            <w:pPr>
              <w:pStyle w:val="TAL"/>
              <w:rPr>
                <w:rFonts w:eastAsiaTheme="minorEastAsia"/>
                <w:lang w:eastAsia="zh-CN"/>
              </w:rPr>
            </w:pPr>
            <w:r w:rsidRPr="00956E6E">
              <w:rPr>
                <w:rFonts w:eastAsiaTheme="minorEastAsia"/>
                <w:lang w:eastAsia="zh-CN"/>
              </w:rPr>
              <w:t>DIFFRSRPP_29</w:t>
            </w:r>
          </w:p>
        </w:tc>
        <w:tc>
          <w:tcPr>
            <w:tcW w:w="3204" w:type="dxa"/>
          </w:tcPr>
          <w:p w14:paraId="1AA1ED47" w14:textId="77777777" w:rsidR="00BB469D" w:rsidRPr="00956E6E" w:rsidRDefault="00BB469D" w:rsidP="00BB469D">
            <w:pPr>
              <w:pStyle w:val="TAC"/>
              <w:rPr>
                <w:rFonts w:eastAsiaTheme="minorEastAsia"/>
                <w:lang w:eastAsia="zh-CN"/>
              </w:rPr>
            </w:pPr>
            <w:r w:rsidRPr="00956E6E">
              <w:rPr>
                <w:rFonts w:eastAsiaTheme="minorEastAsia"/>
                <w:lang w:eastAsia="zh-CN"/>
              </w:rPr>
              <w:t>-1</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&gt;-2</w:t>
            </w:r>
          </w:p>
        </w:tc>
        <w:tc>
          <w:tcPr>
            <w:tcW w:w="713" w:type="dxa"/>
            <w:shd w:val="clear" w:color="auto" w:fill="auto"/>
            <w:noWrap/>
          </w:tcPr>
          <w:p w14:paraId="51186F12"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r w:rsidR="00BB469D" w:rsidRPr="00956E6E" w14:paraId="30F06262" w14:textId="77777777" w:rsidTr="007A5129">
        <w:trPr>
          <w:trHeight w:val="187"/>
          <w:jc w:val="center"/>
        </w:trPr>
        <w:tc>
          <w:tcPr>
            <w:tcW w:w="2068" w:type="dxa"/>
            <w:shd w:val="clear" w:color="auto" w:fill="auto"/>
            <w:noWrap/>
          </w:tcPr>
          <w:p w14:paraId="44FC05CD" w14:textId="77777777" w:rsidR="00BB469D" w:rsidRPr="00956E6E" w:rsidRDefault="00BB469D" w:rsidP="00BB469D">
            <w:pPr>
              <w:pStyle w:val="TAL"/>
              <w:rPr>
                <w:rFonts w:eastAsiaTheme="minorEastAsia"/>
                <w:lang w:eastAsia="zh-CN"/>
              </w:rPr>
            </w:pPr>
            <w:r w:rsidRPr="00956E6E">
              <w:rPr>
                <w:rFonts w:eastAsiaTheme="minorEastAsia"/>
                <w:lang w:eastAsia="zh-CN"/>
              </w:rPr>
              <w:t>DIFFRSRPP_30</w:t>
            </w:r>
          </w:p>
        </w:tc>
        <w:tc>
          <w:tcPr>
            <w:tcW w:w="3204" w:type="dxa"/>
          </w:tcPr>
          <w:p w14:paraId="137751B5" w14:textId="77777777" w:rsidR="00BB469D" w:rsidRPr="00956E6E" w:rsidRDefault="00BB469D" w:rsidP="00BB469D">
            <w:pPr>
              <w:pStyle w:val="TAC"/>
              <w:rPr>
                <w:rFonts w:eastAsiaTheme="minorEastAsia"/>
                <w:lang w:eastAsia="zh-CN"/>
              </w:rPr>
            </w:pPr>
            <w:r w:rsidRPr="00956E6E">
              <w:rPr>
                <w:rFonts w:eastAsiaTheme="minorEastAsia"/>
                <w:lang w:eastAsia="zh-CN"/>
              </w:rPr>
              <w:t>0</w:t>
            </w:r>
            <w:r w:rsidRPr="00956E6E">
              <w:rPr>
                <w:rFonts w:eastAsiaTheme="minorEastAsia" w:hint="eastAsia"/>
                <w:lang w:eastAsia="zh-CN"/>
              </w:rPr>
              <w:t>≥Δ</w:t>
            </w:r>
            <w:r w:rsidRPr="00956E6E">
              <w:rPr>
                <w:rFonts w:eastAsiaTheme="minorEastAsia" w:hint="eastAsia"/>
                <w:lang w:eastAsia="zh-CN"/>
              </w:rPr>
              <w:t>RSRPP</w:t>
            </w:r>
            <w:r w:rsidRPr="00956E6E">
              <w:rPr>
                <w:rFonts w:eastAsiaTheme="minorEastAsia"/>
                <w:lang w:eastAsia="zh-CN"/>
              </w:rPr>
              <w:t>&gt;-1</w:t>
            </w:r>
          </w:p>
        </w:tc>
        <w:tc>
          <w:tcPr>
            <w:tcW w:w="713" w:type="dxa"/>
            <w:shd w:val="clear" w:color="auto" w:fill="auto"/>
            <w:noWrap/>
          </w:tcPr>
          <w:p w14:paraId="63864420" w14:textId="77777777" w:rsidR="00BB469D" w:rsidRPr="00956E6E" w:rsidRDefault="00BB469D" w:rsidP="00BB469D">
            <w:pPr>
              <w:pStyle w:val="TAC"/>
              <w:rPr>
                <w:rFonts w:eastAsiaTheme="minorEastAsia"/>
                <w:lang w:eastAsia="zh-CN"/>
              </w:rPr>
            </w:pPr>
            <w:r w:rsidRPr="00956E6E">
              <w:rPr>
                <w:rFonts w:eastAsiaTheme="minorEastAsia"/>
                <w:lang w:eastAsia="zh-CN"/>
              </w:rPr>
              <w:t>dB</w:t>
            </w:r>
          </w:p>
        </w:tc>
      </w:tr>
    </w:tbl>
    <w:p w14:paraId="3D9C1AE9" w14:textId="14074346" w:rsidR="00BB469D" w:rsidRDefault="00BB469D" w:rsidP="007D2333"/>
    <w:p w14:paraId="64D64807" w14:textId="7932C38E" w:rsidR="00D03161" w:rsidRPr="007B605E" w:rsidRDefault="00D03161" w:rsidP="002B716D">
      <w:pPr>
        <w:pStyle w:val="Heading3"/>
        <w:rPr>
          <w:rStyle w:val="Heading4Char1"/>
          <w:rFonts w:ascii="Arial" w:eastAsiaTheme="minorEastAsia" w:hAnsi="Arial"/>
          <w:i w:val="0"/>
          <w:iCs w:val="0"/>
          <w:color w:val="auto"/>
        </w:rPr>
      </w:pPr>
      <w:r w:rsidRPr="007B605E">
        <w:rPr>
          <w:rStyle w:val="Heading4Char1"/>
          <w:rFonts w:ascii="Arial" w:eastAsiaTheme="minorEastAsia" w:hAnsi="Arial"/>
          <w:color w:val="auto"/>
        </w:rPr>
        <w:t>10.1.</w:t>
      </w:r>
      <w:r>
        <w:rPr>
          <w:rStyle w:val="Heading4Char1"/>
          <w:rFonts w:ascii="Arial" w:eastAsiaTheme="minorEastAsia" w:hAnsi="Arial"/>
          <w:color w:val="auto"/>
        </w:rPr>
        <w:t>39</w:t>
      </w:r>
      <w:r w:rsidRPr="007B605E">
        <w:rPr>
          <w:rStyle w:val="Heading4Char1"/>
          <w:rFonts w:ascii="Arial" w:eastAsiaTheme="minorEastAsia" w:hAnsi="Arial"/>
          <w:color w:val="auto"/>
        </w:rPr>
        <w:tab/>
      </w:r>
      <w:r w:rsidRPr="00763E58">
        <w:rPr>
          <w:lang w:val="en-US"/>
        </w:rPr>
        <w:t>UE Rx-Tx time difference measurements for RTT-based PDC</w:t>
      </w:r>
    </w:p>
    <w:p w14:paraId="0B9618E0" w14:textId="77777777" w:rsidR="00D03161" w:rsidRDefault="00D03161" w:rsidP="002B716D">
      <w:pPr>
        <w:pStyle w:val="Heading4"/>
        <w:rPr>
          <w:rStyle w:val="Heading4Char1"/>
          <w:rFonts w:ascii="Arial" w:eastAsiaTheme="minorEastAsia" w:hAnsi="Arial"/>
          <w:i w:val="0"/>
          <w:iCs w:val="0"/>
          <w:color w:val="auto"/>
        </w:rPr>
      </w:pPr>
      <w:r w:rsidRPr="00E611AB">
        <w:t>10.1</w:t>
      </w:r>
      <w:r>
        <w:t>.39</w:t>
      </w:r>
      <w:r w:rsidRPr="00E611AB">
        <w:t>.1</w:t>
      </w:r>
      <w:r w:rsidRPr="00E611AB">
        <w:tab/>
      </w:r>
      <w:r w:rsidRPr="00E611AB">
        <w:tab/>
      </w:r>
      <w:r>
        <w:rPr>
          <w:rStyle w:val="Heading4Char1"/>
          <w:rFonts w:ascii="Arial" w:eastAsiaTheme="minorEastAsia" w:hAnsi="Arial"/>
          <w:color w:val="auto"/>
        </w:rPr>
        <w:t>Introduction</w:t>
      </w:r>
    </w:p>
    <w:p w14:paraId="1845052C" w14:textId="77777777" w:rsidR="00D03161" w:rsidRPr="007F5AC2" w:rsidRDefault="00D03161" w:rsidP="002B716D">
      <w:pPr>
        <w:pStyle w:val="NO"/>
      </w:pPr>
      <w:r w:rsidRPr="007F5AC2">
        <w:t>Editors note: This is to capture the applicability of the requirements in this section</w:t>
      </w:r>
    </w:p>
    <w:p w14:paraId="2AE41A83" w14:textId="77777777" w:rsidR="00D03161" w:rsidRDefault="00D03161" w:rsidP="002B716D">
      <w:pPr>
        <w:pStyle w:val="Heading4"/>
        <w:rPr>
          <w:rStyle w:val="Heading4Char1"/>
          <w:rFonts w:ascii="Arial" w:eastAsiaTheme="minorEastAsia" w:hAnsi="Arial"/>
          <w:i w:val="0"/>
          <w:iCs w:val="0"/>
          <w:color w:val="auto"/>
        </w:rPr>
      </w:pPr>
      <w:r w:rsidRPr="00E611AB">
        <w:t>10.1</w:t>
      </w:r>
      <w:r>
        <w:t>.39</w:t>
      </w:r>
      <w:r w:rsidRPr="00E611AB">
        <w:t>.</w:t>
      </w:r>
      <w:r>
        <w:t>2</w:t>
      </w:r>
      <w:r w:rsidRPr="00E611AB">
        <w:tab/>
      </w:r>
      <w:r w:rsidRPr="00E611AB">
        <w:tab/>
      </w:r>
      <w:r w:rsidRPr="00B0167A">
        <w:rPr>
          <w:rStyle w:val="Heading4Char1"/>
          <w:rFonts w:ascii="Arial" w:eastAsiaTheme="minorEastAsia" w:hAnsi="Arial"/>
          <w:color w:val="auto"/>
        </w:rPr>
        <w:t>Measurement Accuracy Requirements</w:t>
      </w:r>
      <w:r>
        <w:rPr>
          <w:rStyle w:val="Heading4Char1"/>
          <w:rFonts w:ascii="Arial" w:eastAsiaTheme="minorEastAsia" w:hAnsi="Arial"/>
          <w:color w:val="auto"/>
        </w:rPr>
        <w:t xml:space="preserve"> for PRS</w:t>
      </w:r>
    </w:p>
    <w:p w14:paraId="0BD9EFE8" w14:textId="77777777" w:rsidR="00D03161" w:rsidRPr="00237EDC" w:rsidRDefault="00D03161" w:rsidP="002B716D">
      <w:r w:rsidRPr="00237EDC">
        <w:t>The error in the reported value of UE Rx-Tx time difference measurement, including both the measurement error and the reporting quantization error, should be within the accuracy requirements specified in this clause.</w:t>
      </w:r>
    </w:p>
    <w:p w14:paraId="42D5425D" w14:textId="77777777" w:rsidR="00D03161" w:rsidRPr="00237EDC" w:rsidRDefault="00D03161" w:rsidP="00D03161">
      <w:r w:rsidRPr="00237EDC">
        <w:t>The UE Rx-Tx time difference measurement accuracy requirements in this clause shall not apply, if:</w:t>
      </w:r>
    </w:p>
    <w:p w14:paraId="0A5FD4A3" w14:textId="77777777" w:rsidR="00D03161" w:rsidRPr="00237EDC" w:rsidRDefault="00D03161" w:rsidP="002B716D">
      <w:pPr>
        <w:pStyle w:val="B10"/>
        <w:rPr>
          <w:rFonts w:eastAsia="MS Mincho"/>
          <w:lang w:eastAsia="zh-CN"/>
        </w:rPr>
      </w:pPr>
      <w:r w:rsidRPr="00237EDC">
        <w:rPr>
          <w:rFonts w:eastAsia="MS Mincho"/>
          <w:lang w:eastAsia="zh-CN"/>
        </w:rPr>
        <w:t>-</w:t>
      </w:r>
      <w:r w:rsidRPr="00237EDC">
        <w:rPr>
          <w:rFonts w:eastAsia="MS Mincho"/>
          <w:lang w:eastAsia="zh-CN"/>
        </w:rPr>
        <w:tab/>
        <w:t>N</w:t>
      </w:r>
      <w:r w:rsidRPr="00237EDC">
        <w:rPr>
          <w:rFonts w:eastAsia="MS Mincho"/>
          <w:vertAlign w:val="subscript"/>
          <w:lang w:eastAsia="zh-CN"/>
        </w:rPr>
        <w:t>TA_offset</w:t>
      </w:r>
      <w:r w:rsidRPr="00237EDC">
        <w:rPr>
          <w:rFonts w:eastAsia="MS Mincho"/>
          <w:lang w:eastAsia="zh-CN"/>
        </w:rPr>
        <w:t xml:space="preserve"> defined in Table 7.1.2-2 changes during the UE Rx-Tx measurement period or</w:t>
      </w:r>
    </w:p>
    <w:p w14:paraId="196D2571" w14:textId="77777777" w:rsidR="00D03161" w:rsidRPr="00237EDC" w:rsidRDefault="00D03161" w:rsidP="002B716D">
      <w:pPr>
        <w:pStyle w:val="B10"/>
        <w:rPr>
          <w:rFonts w:eastAsia="MS Mincho"/>
          <w:lang w:eastAsia="zh-CN"/>
        </w:rPr>
      </w:pPr>
      <w:r w:rsidRPr="00237EDC">
        <w:rPr>
          <w:rFonts w:eastAsia="MS Mincho"/>
          <w:lang w:eastAsia="zh-CN"/>
        </w:rPr>
        <w:t>-</w:t>
      </w:r>
      <w:r w:rsidRPr="00237EDC">
        <w:rPr>
          <w:rFonts w:eastAsia="MS Mincho"/>
          <w:lang w:eastAsia="zh-CN"/>
        </w:rPr>
        <w:tab/>
        <w:t>if the uplink transmission timing changes during the UE Rx-Tx measurement period due to the network-configured Timing Advance.</w:t>
      </w:r>
    </w:p>
    <w:p w14:paraId="0B422AAF" w14:textId="77777777" w:rsidR="00D03161" w:rsidRPr="00237EDC" w:rsidRDefault="00D03161" w:rsidP="002B716D">
      <w:r w:rsidRPr="00237EDC">
        <w:t>The UE Rx-Tx time difference measurement accuracy requirements in this clause shall apply provided that:</w:t>
      </w:r>
    </w:p>
    <w:p w14:paraId="046C2BC2" w14:textId="77777777" w:rsidR="00D03161" w:rsidRPr="00237EDC" w:rsidRDefault="00D03161" w:rsidP="002B716D">
      <w:pPr>
        <w:pStyle w:val="B10"/>
        <w:rPr>
          <w:rFonts w:eastAsia="MS Mincho"/>
          <w:bCs/>
          <w:lang w:eastAsia="zh-CN"/>
        </w:rPr>
      </w:pPr>
      <w:r w:rsidRPr="00237EDC">
        <w:rPr>
          <w:rFonts w:eastAsia="MS Mincho"/>
          <w:bCs/>
          <w:lang w:eastAsia="zh-CN"/>
        </w:rPr>
        <w:t>-</w:t>
      </w:r>
      <w:r w:rsidRPr="00237EDC">
        <w:rPr>
          <w:rFonts w:eastAsia="MS Mincho"/>
          <w:bCs/>
          <w:lang w:eastAsia="zh-CN"/>
        </w:rPr>
        <w:tab/>
        <w:t xml:space="preserve">The </w:t>
      </w:r>
      <w:r w:rsidRPr="00237EDC">
        <w:rPr>
          <w:lang w:val="en-US" w:eastAsia="zh-CN"/>
        </w:rPr>
        <w:t xml:space="preserve">UE transmits SRS within [-160, 160] msec of at least one </w:t>
      </w:r>
      <w:r>
        <w:rPr>
          <w:lang w:val="en-US" w:eastAsia="zh-CN"/>
        </w:rPr>
        <w:t xml:space="preserve">PDC </w:t>
      </w:r>
      <w:r w:rsidRPr="00237EDC">
        <w:rPr>
          <w:lang w:val="en-US" w:eastAsia="zh-CN"/>
        </w:rPr>
        <w:t xml:space="preserve">DL PRS resource </w:t>
      </w:r>
      <w:r>
        <w:rPr>
          <w:lang w:val="en-US" w:eastAsia="zh-CN"/>
        </w:rPr>
        <w:t>from the serving cell (PCell)</w:t>
      </w:r>
      <w:r w:rsidRPr="00237EDC">
        <w:rPr>
          <w:lang w:val="en-US" w:eastAsia="zh-CN"/>
        </w:rPr>
        <w:t>.</w:t>
      </w:r>
    </w:p>
    <w:p w14:paraId="44D75D16" w14:textId="77777777" w:rsidR="00D03161" w:rsidRPr="00237EDC" w:rsidRDefault="00D03161" w:rsidP="00D03161">
      <w:r w:rsidRPr="00237EDC">
        <w:t>When a serving cell change occurs during the UE Rx-Tx measurement period, the UE Rx-Tx time difference measurement accuracy requirements in this clause shall apply provided that the serving cell change does not impact SRS configuration for the UE Rx-Tx measurement.</w:t>
      </w:r>
    </w:p>
    <w:p w14:paraId="151AE3E5" w14:textId="77777777" w:rsidR="00D03161" w:rsidRDefault="00D03161" w:rsidP="00D03161">
      <w:r w:rsidRPr="00237EDC">
        <w:t>The accuracy requirements in Table 10.1.</w:t>
      </w:r>
      <w:r>
        <w:t>39</w:t>
      </w:r>
      <w:r w:rsidRPr="00237EDC">
        <w:t>.</w:t>
      </w:r>
      <w:r>
        <w:t>2</w:t>
      </w:r>
      <w:r w:rsidRPr="00237EDC">
        <w:t>-1 for FR1 are valid und</w:t>
      </w:r>
      <w:r>
        <w:t>er the following conditions:</w:t>
      </w:r>
    </w:p>
    <w:p w14:paraId="43A585EF" w14:textId="77777777" w:rsidR="00D03161" w:rsidRPr="00237EDC" w:rsidRDefault="00D03161" w:rsidP="002B716D">
      <w:pPr>
        <w:pStyle w:val="B10"/>
      </w:pPr>
      <w:r>
        <w:t>Conditions defined in clause 7.3 of TS 38.101-1 [18] for reference sensitivity are fulfilled.</w:t>
      </w:r>
    </w:p>
    <w:p w14:paraId="400FEF13" w14:textId="77777777" w:rsidR="00D03161" w:rsidRDefault="00D03161" w:rsidP="002B716D">
      <w:pPr>
        <w:pStyle w:val="B10"/>
      </w:pPr>
      <w:r>
        <w:t>PRP|</w:t>
      </w:r>
      <w:r>
        <w:rPr>
          <w:vertAlign w:val="subscript"/>
        </w:rPr>
        <w:t>dBm</w:t>
      </w:r>
      <w:r>
        <w:t xml:space="preserve"> according to Annex [TBD] for a corresponding Band.</w:t>
      </w:r>
    </w:p>
    <w:p w14:paraId="3E539028" w14:textId="77777777" w:rsidR="00D03161" w:rsidRDefault="00D03161" w:rsidP="002B716D">
      <w:pPr>
        <w:pStyle w:val="B10"/>
      </w:pPr>
      <w:r>
        <w:t>AWGN propagation condition.</w:t>
      </w:r>
    </w:p>
    <w:p w14:paraId="26CE29B9" w14:textId="77777777" w:rsidR="00D03161" w:rsidRDefault="00D03161" w:rsidP="002B716D">
      <w:pPr>
        <w:pStyle w:val="TH"/>
      </w:pPr>
      <w:r>
        <w:t>Table 10.1.39.2-1: UE Rx-Tx time difference measurement accuracy in FR1 in AWGN</w:t>
      </w:r>
    </w:p>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2"/>
        <w:gridCol w:w="715"/>
        <w:gridCol w:w="1133"/>
        <w:gridCol w:w="709"/>
        <w:gridCol w:w="1832"/>
        <w:gridCol w:w="2267"/>
        <w:gridCol w:w="1289"/>
        <w:gridCol w:w="1123"/>
      </w:tblGrid>
      <w:tr w:rsidR="00D03161" w14:paraId="1D68E11C" w14:textId="77777777" w:rsidTr="005F054A">
        <w:trPr>
          <w:jc w:val="center"/>
        </w:trPr>
        <w:tc>
          <w:tcPr>
            <w:tcW w:w="1132" w:type="dxa"/>
            <w:vMerge w:val="restart"/>
            <w:tcBorders>
              <w:top w:val="single" w:sz="4" w:space="0" w:color="auto"/>
              <w:left w:val="single" w:sz="4" w:space="0" w:color="auto"/>
              <w:bottom w:val="single" w:sz="4" w:space="0" w:color="auto"/>
              <w:right w:val="single" w:sz="4" w:space="0" w:color="auto"/>
            </w:tcBorders>
            <w:vAlign w:val="center"/>
            <w:hideMark/>
          </w:tcPr>
          <w:p w14:paraId="4E2353DB" w14:textId="77777777" w:rsidR="00D03161" w:rsidRDefault="00D03161" w:rsidP="002B716D">
            <w:pPr>
              <w:pStyle w:val="TAH"/>
            </w:pPr>
            <w:r>
              <w:t>Accuracy</w:t>
            </w:r>
          </w:p>
        </w:tc>
        <w:tc>
          <w:tcPr>
            <w:tcW w:w="9068" w:type="dxa"/>
            <w:gridSpan w:val="7"/>
            <w:tcBorders>
              <w:top w:val="single" w:sz="4" w:space="0" w:color="auto"/>
              <w:left w:val="single" w:sz="4" w:space="0" w:color="auto"/>
              <w:bottom w:val="single" w:sz="4" w:space="0" w:color="auto"/>
              <w:right w:val="single" w:sz="4" w:space="0" w:color="auto"/>
            </w:tcBorders>
            <w:hideMark/>
          </w:tcPr>
          <w:p w14:paraId="3C54D47F" w14:textId="77777777" w:rsidR="00D03161" w:rsidRDefault="00D03161" w:rsidP="002B716D">
            <w:pPr>
              <w:pStyle w:val="TAH"/>
            </w:pPr>
            <w:r>
              <w:t>Conditions</w:t>
            </w:r>
          </w:p>
        </w:tc>
      </w:tr>
      <w:tr w:rsidR="00D03161" w14:paraId="3F5224D8" w14:textId="77777777" w:rsidTr="005F054A">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5B90A1E6" w14:textId="77777777" w:rsidR="00D03161" w:rsidRDefault="00D03161" w:rsidP="002B716D">
            <w:pPr>
              <w:pStyle w:val="TAH"/>
            </w:pPr>
          </w:p>
        </w:tc>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569FCD45" w14:textId="77777777" w:rsidR="00D03161" w:rsidRDefault="00D03161" w:rsidP="002B716D">
            <w:pPr>
              <w:pStyle w:val="TAH"/>
            </w:pPr>
            <w:r>
              <w:t>PRS Ês/Iot</w:t>
            </w:r>
          </w:p>
        </w:tc>
        <w:tc>
          <w:tcPr>
            <w:tcW w:w="1133" w:type="dxa"/>
            <w:vMerge w:val="restart"/>
            <w:tcBorders>
              <w:top w:val="single" w:sz="4" w:space="0" w:color="auto"/>
              <w:left w:val="single" w:sz="4" w:space="0" w:color="auto"/>
              <w:bottom w:val="single" w:sz="4" w:space="0" w:color="auto"/>
              <w:right w:val="single" w:sz="4" w:space="0" w:color="auto"/>
            </w:tcBorders>
            <w:vAlign w:val="center"/>
            <w:hideMark/>
          </w:tcPr>
          <w:p w14:paraId="4B92AC4E" w14:textId="77777777" w:rsidR="00D03161" w:rsidRDefault="00D03161" w:rsidP="002B716D">
            <w:pPr>
              <w:pStyle w:val="TAH"/>
            </w:pPr>
            <w:r>
              <w:t>Minimum PRS bandwidth</w:t>
            </w:r>
          </w:p>
        </w:tc>
        <w:tc>
          <w:tcPr>
            <w:tcW w:w="709" w:type="dxa"/>
            <w:vMerge w:val="restart"/>
            <w:tcBorders>
              <w:top w:val="single" w:sz="4" w:space="0" w:color="auto"/>
              <w:left w:val="single" w:sz="4" w:space="0" w:color="auto"/>
              <w:bottom w:val="single" w:sz="4" w:space="0" w:color="auto"/>
              <w:right w:val="single" w:sz="4" w:space="0" w:color="auto"/>
            </w:tcBorders>
          </w:tcPr>
          <w:p w14:paraId="54E8F6D0" w14:textId="77777777" w:rsidR="00D03161" w:rsidRDefault="00D03161" w:rsidP="002B716D">
            <w:pPr>
              <w:pStyle w:val="TAH"/>
            </w:pPr>
          </w:p>
          <w:p w14:paraId="08517889" w14:textId="77777777" w:rsidR="00D03161" w:rsidRDefault="00D03161" w:rsidP="002B716D">
            <w:pPr>
              <w:pStyle w:val="TAH"/>
            </w:pPr>
            <w:r>
              <w:t>PRS SCS</w:t>
            </w:r>
          </w:p>
        </w:tc>
        <w:tc>
          <w:tcPr>
            <w:tcW w:w="1832" w:type="dxa"/>
            <w:vMerge w:val="restart"/>
            <w:tcBorders>
              <w:top w:val="single" w:sz="4" w:space="0" w:color="auto"/>
              <w:left w:val="single" w:sz="4" w:space="0" w:color="auto"/>
              <w:bottom w:val="single" w:sz="4" w:space="0" w:color="auto"/>
              <w:right w:val="single" w:sz="4" w:space="0" w:color="auto"/>
            </w:tcBorders>
            <w:vAlign w:val="center"/>
            <w:hideMark/>
          </w:tcPr>
          <w:p w14:paraId="3889D39F" w14:textId="77777777" w:rsidR="00D03161" w:rsidRDefault="00D03161" w:rsidP="002B716D">
            <w:pPr>
              <w:pStyle w:val="TAH"/>
              <w:rPr>
                <w:lang w:eastAsia="zh-CN"/>
              </w:rPr>
            </w:pPr>
            <w:r>
              <w:rPr>
                <w:lang w:eastAsia="zh-CN"/>
              </w:rPr>
              <w:t xml:space="preserve">PRS resource repetition </w:t>
            </w:r>
            <m:oMath>
              <m:sSubSup>
                <m:sSubSupPr>
                  <m:ctrlPr>
                    <w:rPr>
                      <w:rFonts w:ascii="Cambria Math" w:hAnsi="Cambria Math"/>
                      <w:i/>
                      <w:szCs w:val="18"/>
                    </w:rPr>
                  </m:ctrlPr>
                </m:sSubSupPr>
                <m:e>
                  <m:r>
                    <m:rPr>
                      <m:sty m:val="bi"/>
                    </m:rPr>
                    <w:rPr>
                      <w:rFonts w:ascii="Cambria Math" w:hAnsi="Cambria Math"/>
                    </w:rPr>
                    <m:t>(T</m:t>
                  </m:r>
                </m:e>
                <m:sub>
                  <m:r>
                    <m:rPr>
                      <m:sty m:val="b"/>
                    </m:rPr>
                    <w:rPr>
                      <w:rFonts w:ascii="Cambria Math" w:hAnsi="Cambria Math"/>
                    </w:rPr>
                    <m:t>rep</m:t>
                  </m:r>
                </m:sub>
                <m:sup>
                  <m:r>
                    <m:rPr>
                      <m:sty m:val="b"/>
                    </m:rPr>
                    <w:rPr>
                      <w:rFonts w:ascii="Cambria Math" w:hAnsi="Cambria Math"/>
                    </w:rPr>
                    <m:t>PRS</m:t>
                  </m:r>
                </m:sup>
              </m:sSubSup>
              <m:r>
                <m:rPr>
                  <m:sty m:val="bi"/>
                </m:rPr>
                <w:rPr>
                  <w:rFonts w:ascii="Cambria Math" w:hAnsi="Cambria Math"/>
                </w:rPr>
                <m:t>*</m:t>
              </m:r>
              <m:sSub>
                <m:sSubPr>
                  <m:ctrlPr>
                    <w:rPr>
                      <w:rFonts w:ascii="Cambria Math" w:hAnsi="Cambria Math"/>
                      <w:szCs w:val="18"/>
                    </w:rPr>
                  </m:ctrlPr>
                </m:sSubPr>
                <m:e>
                  <m:r>
                    <m:rPr>
                      <m:sty m:val="bi"/>
                    </m:rPr>
                    <w:rPr>
                      <w:rFonts w:ascii="Cambria Math" w:hAnsi="Cambria Math"/>
                    </w:rPr>
                    <m:t>L</m:t>
                  </m:r>
                </m:e>
                <m:sub>
                  <m:r>
                    <m:rPr>
                      <m:sty m:val="b"/>
                    </m:rPr>
                    <w:rPr>
                      <w:rFonts w:ascii="Cambria Math" w:hAnsi="Cambria Math"/>
                    </w:rPr>
                    <m:t>PRS</m:t>
                  </m:r>
                </m:sub>
              </m:sSub>
              <m:r>
                <m:rPr>
                  <m:sty m:val="bi"/>
                </m:rPr>
                <w:rPr>
                  <w:rFonts w:ascii="Cambria Math" w:hAnsi="Cambria Math"/>
                </w:rPr>
                <m:t>/</m:t>
              </m:r>
              <m:sSubSup>
                <m:sSubSupPr>
                  <m:ctrlPr>
                    <w:rPr>
                      <w:rFonts w:ascii="Cambria Math" w:hAnsi="Cambria Math"/>
                      <w:i/>
                      <w:szCs w:val="18"/>
                    </w:rPr>
                  </m:ctrlPr>
                </m:sSubSupPr>
                <m:e>
                  <m:r>
                    <m:rPr>
                      <m:sty m:val="bi"/>
                    </m:rPr>
                    <w:rPr>
                      <w:rFonts w:ascii="Cambria Math" w:hAnsi="Cambria Math"/>
                    </w:rPr>
                    <m:t>K</m:t>
                  </m:r>
                </m:e>
                <m:sub>
                  <m:r>
                    <m:rPr>
                      <m:sty m:val="b"/>
                    </m:rPr>
                    <w:rPr>
                      <w:rFonts w:ascii="Cambria Math" w:hAnsi="Cambria Math"/>
                    </w:rPr>
                    <m:t>comb</m:t>
                  </m:r>
                </m:sub>
                <m:sup>
                  <m:r>
                    <m:rPr>
                      <m:sty m:val="b"/>
                    </m:rPr>
                    <w:rPr>
                      <w:rFonts w:ascii="Cambria Math" w:hAnsi="Cambria Math"/>
                    </w:rPr>
                    <m:t>PRS</m:t>
                  </m:r>
                </m:sup>
              </m:sSubSup>
            </m:oMath>
            <w:r>
              <w:rPr>
                <w:vertAlign w:val="superscript"/>
              </w:rPr>
              <w:t>Note 3</w:t>
            </w:r>
          </w:p>
        </w:tc>
        <w:tc>
          <w:tcPr>
            <w:tcW w:w="2267" w:type="dxa"/>
            <w:vMerge w:val="restart"/>
            <w:tcBorders>
              <w:top w:val="single" w:sz="4" w:space="0" w:color="auto"/>
              <w:left w:val="single" w:sz="4" w:space="0" w:color="auto"/>
              <w:bottom w:val="single" w:sz="4" w:space="0" w:color="auto"/>
              <w:right w:val="single" w:sz="4" w:space="0" w:color="auto"/>
            </w:tcBorders>
            <w:hideMark/>
          </w:tcPr>
          <w:p w14:paraId="1A8848EA" w14:textId="77777777" w:rsidR="00D03161" w:rsidRDefault="00D03161" w:rsidP="002B716D">
            <w:pPr>
              <w:pStyle w:val="TAH"/>
            </w:pPr>
            <w:r>
              <w:t>NR operating band groups</w:t>
            </w:r>
            <w:r>
              <w:rPr>
                <w:vertAlign w:val="superscript"/>
              </w:rPr>
              <w:t>Note 2</w:t>
            </w:r>
          </w:p>
        </w:tc>
        <w:tc>
          <w:tcPr>
            <w:tcW w:w="2412" w:type="dxa"/>
            <w:gridSpan w:val="2"/>
            <w:tcBorders>
              <w:top w:val="single" w:sz="4" w:space="0" w:color="auto"/>
              <w:left w:val="single" w:sz="4" w:space="0" w:color="auto"/>
              <w:bottom w:val="single" w:sz="4" w:space="0" w:color="auto"/>
              <w:right w:val="single" w:sz="4" w:space="0" w:color="auto"/>
            </w:tcBorders>
            <w:vAlign w:val="center"/>
            <w:hideMark/>
          </w:tcPr>
          <w:p w14:paraId="7961FDCA" w14:textId="77777777" w:rsidR="00D03161" w:rsidRDefault="00D03161" w:rsidP="002B716D">
            <w:pPr>
              <w:pStyle w:val="TAH"/>
            </w:pPr>
            <w:r>
              <w:t>Io</w:t>
            </w:r>
            <w:r>
              <w:rPr>
                <w:vertAlign w:val="superscript"/>
                <w:lang w:eastAsia="zh-CN"/>
              </w:rPr>
              <w:t>Note 4</w:t>
            </w:r>
            <w:r>
              <w:t xml:space="preserve"> range</w:t>
            </w:r>
          </w:p>
        </w:tc>
      </w:tr>
      <w:tr w:rsidR="00D03161" w14:paraId="2BDAE2A7" w14:textId="77777777" w:rsidTr="005F054A">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4D5C530D" w14:textId="77777777" w:rsidR="00D03161" w:rsidRDefault="00D03161" w:rsidP="002B716D">
            <w:pPr>
              <w:pStyle w:val="TAH"/>
            </w:pPr>
          </w:p>
        </w:tc>
        <w:tc>
          <w:tcPr>
            <w:tcW w:w="715" w:type="dxa"/>
            <w:vMerge/>
            <w:tcBorders>
              <w:top w:val="single" w:sz="4" w:space="0" w:color="auto"/>
              <w:left w:val="single" w:sz="4" w:space="0" w:color="auto"/>
              <w:bottom w:val="single" w:sz="4" w:space="0" w:color="auto"/>
              <w:right w:val="single" w:sz="4" w:space="0" w:color="auto"/>
            </w:tcBorders>
            <w:vAlign w:val="center"/>
            <w:hideMark/>
          </w:tcPr>
          <w:p w14:paraId="69EAF8BB" w14:textId="77777777" w:rsidR="00D03161" w:rsidRDefault="00D03161" w:rsidP="002B716D">
            <w:pPr>
              <w:pStyle w:val="TAH"/>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7655040F" w14:textId="77777777" w:rsidR="00D03161" w:rsidRDefault="00D03161" w:rsidP="002B716D">
            <w:pPr>
              <w:pStyle w:val="TAH"/>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689A365" w14:textId="77777777" w:rsidR="00D03161" w:rsidRDefault="00D03161" w:rsidP="002B716D">
            <w:pPr>
              <w:pStyle w:val="TAH"/>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594E1B8D" w14:textId="77777777" w:rsidR="00D03161" w:rsidRDefault="00D03161" w:rsidP="002B716D">
            <w:pPr>
              <w:pStyle w:val="TAH"/>
              <w:rPr>
                <w:lang w:eastAsia="zh-CN"/>
              </w:rPr>
            </w:pPr>
          </w:p>
        </w:tc>
        <w:tc>
          <w:tcPr>
            <w:tcW w:w="2267" w:type="dxa"/>
            <w:vMerge/>
            <w:tcBorders>
              <w:top w:val="single" w:sz="4" w:space="0" w:color="auto"/>
              <w:left w:val="single" w:sz="4" w:space="0" w:color="auto"/>
              <w:bottom w:val="single" w:sz="4" w:space="0" w:color="auto"/>
              <w:right w:val="single" w:sz="4" w:space="0" w:color="auto"/>
            </w:tcBorders>
            <w:vAlign w:val="center"/>
            <w:hideMark/>
          </w:tcPr>
          <w:p w14:paraId="2483E377" w14:textId="77777777" w:rsidR="00D03161" w:rsidRDefault="00D03161" w:rsidP="002B716D">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72BA0DA4" w14:textId="77777777" w:rsidR="00D03161" w:rsidRDefault="00D03161" w:rsidP="002B716D">
            <w:pPr>
              <w:pStyle w:val="TAH"/>
            </w:pPr>
            <w:r>
              <w:t>Minimum</w:t>
            </w:r>
            <w:r>
              <w:br/>
              <w:t>Io</w:t>
            </w:r>
            <w:r>
              <w:rPr>
                <w:vertAlign w:val="superscript"/>
              </w:rPr>
              <w:t>Note 1</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6AA3C5E" w14:textId="77777777" w:rsidR="00D03161" w:rsidRDefault="00D03161" w:rsidP="002B716D">
            <w:pPr>
              <w:pStyle w:val="TAH"/>
            </w:pPr>
            <w:r>
              <w:t>Maximum</w:t>
            </w:r>
            <w:r>
              <w:br/>
              <w:t>Io</w:t>
            </w:r>
          </w:p>
        </w:tc>
      </w:tr>
      <w:tr w:rsidR="00D03161" w14:paraId="1A9DF3FC" w14:textId="77777777" w:rsidTr="005F054A">
        <w:trPr>
          <w:trHeight w:val="429"/>
          <w:jc w:val="center"/>
        </w:trPr>
        <w:tc>
          <w:tcPr>
            <w:tcW w:w="1132" w:type="dxa"/>
            <w:tcBorders>
              <w:top w:val="single" w:sz="4" w:space="0" w:color="auto"/>
              <w:left w:val="single" w:sz="4" w:space="0" w:color="auto"/>
              <w:bottom w:val="single" w:sz="4" w:space="0" w:color="auto"/>
              <w:right w:val="single" w:sz="4" w:space="0" w:color="auto"/>
            </w:tcBorders>
            <w:vAlign w:val="center"/>
            <w:hideMark/>
          </w:tcPr>
          <w:p w14:paraId="0735E7DB" w14:textId="77777777" w:rsidR="00D03161" w:rsidRDefault="00D03161" w:rsidP="002B716D">
            <w:pPr>
              <w:pStyle w:val="TAH"/>
            </w:pPr>
            <w:r>
              <w:t>Tc</w:t>
            </w:r>
            <w:r>
              <w:rPr>
                <w:vertAlign w:val="superscript"/>
                <w:lang w:eastAsia="zh-CN"/>
              </w:rPr>
              <w:t>Note 5</w:t>
            </w:r>
          </w:p>
        </w:tc>
        <w:tc>
          <w:tcPr>
            <w:tcW w:w="715" w:type="dxa"/>
            <w:tcBorders>
              <w:top w:val="single" w:sz="4" w:space="0" w:color="auto"/>
              <w:left w:val="single" w:sz="4" w:space="0" w:color="auto"/>
              <w:bottom w:val="single" w:sz="4" w:space="0" w:color="auto"/>
              <w:right w:val="single" w:sz="4" w:space="0" w:color="auto"/>
            </w:tcBorders>
            <w:vAlign w:val="center"/>
            <w:hideMark/>
          </w:tcPr>
          <w:p w14:paraId="3A0C5F1A" w14:textId="77777777" w:rsidR="00D03161" w:rsidRDefault="00D03161" w:rsidP="002B716D">
            <w:pPr>
              <w:pStyle w:val="TAH"/>
            </w:pPr>
            <w:r>
              <w:t>dB</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7A9382C" w14:textId="77777777" w:rsidR="00D03161" w:rsidRDefault="00D03161" w:rsidP="002B716D">
            <w:pPr>
              <w:pStyle w:val="TAH"/>
            </w:pPr>
            <w:r>
              <w:t>RB</w:t>
            </w:r>
          </w:p>
        </w:tc>
        <w:tc>
          <w:tcPr>
            <w:tcW w:w="709" w:type="dxa"/>
            <w:tcBorders>
              <w:top w:val="single" w:sz="4" w:space="0" w:color="auto"/>
              <w:left w:val="single" w:sz="4" w:space="0" w:color="auto"/>
              <w:bottom w:val="single" w:sz="4" w:space="0" w:color="auto"/>
              <w:right w:val="single" w:sz="4" w:space="0" w:color="auto"/>
            </w:tcBorders>
          </w:tcPr>
          <w:p w14:paraId="01DCADA8" w14:textId="77777777" w:rsidR="00D03161" w:rsidRDefault="00D03161" w:rsidP="002B716D">
            <w:pPr>
              <w:pStyle w:val="TAH"/>
            </w:pPr>
          </w:p>
          <w:p w14:paraId="09FEA5F4" w14:textId="77777777" w:rsidR="00D03161" w:rsidRDefault="00D03161" w:rsidP="002B716D">
            <w:pPr>
              <w:pStyle w:val="TAH"/>
            </w:pPr>
            <w:r>
              <w:t>kHz</w:t>
            </w:r>
          </w:p>
        </w:tc>
        <w:tc>
          <w:tcPr>
            <w:tcW w:w="1832" w:type="dxa"/>
            <w:tcBorders>
              <w:top w:val="single" w:sz="4" w:space="0" w:color="auto"/>
              <w:left w:val="single" w:sz="4" w:space="0" w:color="auto"/>
              <w:bottom w:val="single" w:sz="4" w:space="0" w:color="auto"/>
              <w:right w:val="single" w:sz="4" w:space="0" w:color="auto"/>
            </w:tcBorders>
            <w:vAlign w:val="center"/>
          </w:tcPr>
          <w:p w14:paraId="093143A9" w14:textId="77777777" w:rsidR="00D03161" w:rsidRDefault="00D03161" w:rsidP="002B716D">
            <w:pPr>
              <w:pStyle w:val="TAH"/>
            </w:pPr>
          </w:p>
        </w:tc>
        <w:tc>
          <w:tcPr>
            <w:tcW w:w="2267" w:type="dxa"/>
            <w:tcBorders>
              <w:top w:val="single" w:sz="4" w:space="0" w:color="auto"/>
              <w:left w:val="single" w:sz="4" w:space="0" w:color="auto"/>
              <w:bottom w:val="single" w:sz="4" w:space="0" w:color="auto"/>
              <w:right w:val="single" w:sz="4" w:space="0" w:color="auto"/>
            </w:tcBorders>
            <w:vAlign w:val="center"/>
          </w:tcPr>
          <w:p w14:paraId="41FD4F7A" w14:textId="77777777" w:rsidR="00D03161" w:rsidRDefault="00D03161" w:rsidP="002B716D">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2DDEC288" w14:textId="77777777" w:rsidR="00D03161" w:rsidRDefault="00D03161" w:rsidP="002B716D">
            <w:pPr>
              <w:pStyle w:val="TAH"/>
            </w:pPr>
            <w:r>
              <w:t>dBm / SCS</w:t>
            </w:r>
            <w:r>
              <w:rPr>
                <w:vertAlign w:val="subscript"/>
              </w:rPr>
              <w:t>PRS</w:t>
            </w:r>
          </w:p>
        </w:tc>
        <w:tc>
          <w:tcPr>
            <w:tcW w:w="1123" w:type="dxa"/>
            <w:tcBorders>
              <w:top w:val="single" w:sz="4" w:space="0" w:color="auto"/>
              <w:left w:val="single" w:sz="4" w:space="0" w:color="auto"/>
              <w:bottom w:val="single" w:sz="4" w:space="0" w:color="auto"/>
              <w:right w:val="single" w:sz="4" w:space="0" w:color="auto"/>
            </w:tcBorders>
            <w:vAlign w:val="center"/>
            <w:hideMark/>
          </w:tcPr>
          <w:p w14:paraId="55D9ABBA" w14:textId="77777777" w:rsidR="00D03161" w:rsidRDefault="00D03161" w:rsidP="002B716D">
            <w:pPr>
              <w:pStyle w:val="TAH"/>
            </w:pPr>
            <w:r>
              <w:t>dBm/BW</w:t>
            </w:r>
          </w:p>
        </w:tc>
      </w:tr>
      <w:tr w:rsidR="00D03161" w14:paraId="103659E8" w14:textId="77777777" w:rsidTr="005F054A">
        <w:trPr>
          <w:trHeight w:val="21"/>
          <w:jc w:val="center"/>
        </w:trPr>
        <w:tc>
          <w:tcPr>
            <w:tcW w:w="1132" w:type="dxa"/>
            <w:tcBorders>
              <w:top w:val="single" w:sz="6" w:space="0" w:color="auto"/>
              <w:left w:val="single" w:sz="4" w:space="0" w:color="auto"/>
              <w:bottom w:val="nil"/>
              <w:right w:val="single" w:sz="6" w:space="0" w:color="auto"/>
            </w:tcBorders>
            <w:hideMark/>
          </w:tcPr>
          <w:p w14:paraId="38A5D63A" w14:textId="77777777" w:rsidR="00D03161" w:rsidRDefault="00D03161" w:rsidP="002B716D">
            <w:pPr>
              <w:pStyle w:val="TAC"/>
            </w:pPr>
            <w:r>
              <w:t>± [78+</w:t>
            </w:r>
            <w:r>
              <w:sym w:font="Symbol" w:char="F064"/>
            </w:r>
            <w:r>
              <w:t>+</w:t>
            </w:r>
            <w:r>
              <w:rPr>
                <w:rFonts w:ascii="Cambria Math" w:hAnsi="Cambria Math"/>
                <w:color w:val="0070C0"/>
              </w:rPr>
              <w:t>ℇ</w:t>
            </w:r>
            <w:r>
              <w:t>]</w:t>
            </w:r>
          </w:p>
        </w:tc>
        <w:tc>
          <w:tcPr>
            <w:tcW w:w="715" w:type="dxa"/>
            <w:tcBorders>
              <w:top w:val="single" w:sz="4" w:space="0" w:color="auto"/>
              <w:left w:val="single" w:sz="4" w:space="0" w:color="auto"/>
              <w:bottom w:val="nil"/>
              <w:right w:val="single" w:sz="4" w:space="0" w:color="auto"/>
            </w:tcBorders>
            <w:hideMark/>
          </w:tcPr>
          <w:p w14:paraId="4D183414" w14:textId="77777777" w:rsidR="00D03161" w:rsidRDefault="00D03161" w:rsidP="002B716D">
            <w:pPr>
              <w:pStyle w:val="TAC"/>
              <w:rPr>
                <w:lang w:val="sv-SE"/>
              </w:rPr>
            </w:pPr>
            <w:r>
              <w:rPr>
                <w:lang w:val="sv-SE"/>
              </w:rPr>
              <w:t>-3</w:t>
            </w:r>
          </w:p>
        </w:tc>
        <w:tc>
          <w:tcPr>
            <w:tcW w:w="1133" w:type="dxa"/>
            <w:tcBorders>
              <w:top w:val="single" w:sz="4" w:space="0" w:color="auto"/>
              <w:left w:val="single" w:sz="4" w:space="0" w:color="auto"/>
              <w:bottom w:val="nil"/>
              <w:right w:val="single" w:sz="4" w:space="0" w:color="auto"/>
            </w:tcBorders>
            <w:hideMark/>
          </w:tcPr>
          <w:p w14:paraId="3492C845" w14:textId="77777777" w:rsidR="00D03161" w:rsidRDefault="00D03161" w:rsidP="002B716D">
            <w:pPr>
              <w:pStyle w:val="TAC"/>
            </w:pPr>
            <w:r>
              <w:rPr>
                <w:rFonts w:cs="Calibri"/>
              </w:rPr>
              <w:t>≥[</w:t>
            </w:r>
            <w:r>
              <w:t>24]</w:t>
            </w:r>
          </w:p>
        </w:tc>
        <w:tc>
          <w:tcPr>
            <w:tcW w:w="709" w:type="dxa"/>
            <w:tcBorders>
              <w:top w:val="single" w:sz="4" w:space="0" w:color="auto"/>
              <w:left w:val="single" w:sz="4" w:space="0" w:color="auto"/>
              <w:bottom w:val="nil"/>
              <w:right w:val="single" w:sz="4" w:space="0" w:color="auto"/>
            </w:tcBorders>
          </w:tcPr>
          <w:p w14:paraId="7E19D335" w14:textId="77777777" w:rsidR="00D03161" w:rsidRDefault="00D03161" w:rsidP="002B716D">
            <w:pPr>
              <w:pStyle w:val="TAC"/>
            </w:pPr>
            <w:r>
              <w:t>15</w:t>
            </w:r>
          </w:p>
        </w:tc>
        <w:tc>
          <w:tcPr>
            <w:tcW w:w="1832" w:type="dxa"/>
            <w:tcBorders>
              <w:top w:val="single" w:sz="4" w:space="0" w:color="auto"/>
              <w:left w:val="single" w:sz="4" w:space="0" w:color="auto"/>
              <w:bottom w:val="nil"/>
              <w:right w:val="single" w:sz="4" w:space="0" w:color="auto"/>
            </w:tcBorders>
            <w:hideMark/>
          </w:tcPr>
          <w:p w14:paraId="3FC897C8" w14:textId="77777777" w:rsidR="00D03161" w:rsidRDefault="00D03161" w:rsidP="002B716D">
            <w:pPr>
              <w:pStyle w:val="TAC"/>
            </w:pPr>
            <w:r>
              <w:t>≥[4]</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D73B37E" w14:textId="77777777" w:rsidR="00D03161" w:rsidRDefault="00D03161" w:rsidP="002B716D">
            <w:pPr>
              <w:pStyle w:val="TAC"/>
            </w:pPr>
            <w:r>
              <w:t>NR_FDD_FR1_A, NR_TDD_FR1_A,</w:t>
            </w:r>
          </w:p>
          <w:p w14:paraId="2AB9A877" w14:textId="77777777" w:rsidR="00D03161" w:rsidRDefault="00D03161" w:rsidP="002B716D">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2F809FD8" w14:textId="77777777" w:rsidR="00D03161" w:rsidRDefault="00D03161" w:rsidP="002B716D">
            <w:pPr>
              <w:pStyle w:val="TAC"/>
            </w:pPr>
            <w:r>
              <w:t>-121</w:t>
            </w:r>
          </w:p>
        </w:tc>
        <w:tc>
          <w:tcPr>
            <w:tcW w:w="1123" w:type="dxa"/>
            <w:tcBorders>
              <w:top w:val="single" w:sz="4" w:space="0" w:color="auto"/>
              <w:left w:val="single" w:sz="4" w:space="0" w:color="auto"/>
              <w:bottom w:val="nil"/>
              <w:right w:val="single" w:sz="4" w:space="0" w:color="auto"/>
            </w:tcBorders>
            <w:hideMark/>
          </w:tcPr>
          <w:p w14:paraId="7480E74D" w14:textId="77777777" w:rsidR="00D03161" w:rsidRDefault="00D03161" w:rsidP="002B716D">
            <w:pPr>
              <w:pStyle w:val="TAC"/>
            </w:pPr>
            <w:r>
              <w:t>-50</w:t>
            </w:r>
          </w:p>
        </w:tc>
      </w:tr>
      <w:tr w:rsidR="00D03161" w14:paraId="79CD6C65"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1023C02C"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469015E0"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20A40D91"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50A92953"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04A33118"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039F1454" w14:textId="77777777" w:rsidR="00D03161" w:rsidRDefault="00D03161" w:rsidP="002B716D">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08DB8D3F" w14:textId="77777777" w:rsidR="00D03161" w:rsidRDefault="00D03161" w:rsidP="002B716D">
            <w:pPr>
              <w:pStyle w:val="TAC"/>
            </w:pPr>
            <w:r>
              <w:t>-120.5</w:t>
            </w:r>
          </w:p>
        </w:tc>
        <w:tc>
          <w:tcPr>
            <w:tcW w:w="1123" w:type="dxa"/>
            <w:tcBorders>
              <w:top w:val="nil"/>
              <w:left w:val="single" w:sz="4" w:space="0" w:color="auto"/>
              <w:bottom w:val="nil"/>
              <w:right w:val="single" w:sz="4" w:space="0" w:color="auto"/>
            </w:tcBorders>
            <w:vAlign w:val="center"/>
            <w:hideMark/>
          </w:tcPr>
          <w:p w14:paraId="69C65C3C" w14:textId="77777777" w:rsidR="00D03161" w:rsidRDefault="00D03161" w:rsidP="002B716D">
            <w:pPr>
              <w:pStyle w:val="TAC"/>
            </w:pPr>
          </w:p>
        </w:tc>
      </w:tr>
      <w:tr w:rsidR="00D03161" w14:paraId="55615CEB"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8C44F88"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7E2C0385"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799013D4"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27559870"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19C5D43C"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56BC994" w14:textId="77777777" w:rsidR="00D03161" w:rsidRDefault="00D03161" w:rsidP="002B716D">
            <w:pPr>
              <w:pStyle w:val="TAC"/>
            </w:pPr>
            <w:r>
              <w:t>NR_TDD_FR1_C</w:t>
            </w:r>
          </w:p>
        </w:tc>
        <w:tc>
          <w:tcPr>
            <w:tcW w:w="1289" w:type="dxa"/>
            <w:tcBorders>
              <w:top w:val="single" w:sz="4" w:space="0" w:color="auto"/>
              <w:left w:val="single" w:sz="4" w:space="0" w:color="auto"/>
              <w:bottom w:val="single" w:sz="4" w:space="0" w:color="auto"/>
              <w:right w:val="single" w:sz="4" w:space="0" w:color="auto"/>
            </w:tcBorders>
            <w:vAlign w:val="center"/>
            <w:hideMark/>
          </w:tcPr>
          <w:p w14:paraId="23210D0E" w14:textId="77777777" w:rsidR="00D03161" w:rsidRDefault="00D03161" w:rsidP="002B716D">
            <w:pPr>
              <w:pStyle w:val="TAC"/>
            </w:pPr>
            <w:r>
              <w:t>-120</w:t>
            </w:r>
          </w:p>
        </w:tc>
        <w:tc>
          <w:tcPr>
            <w:tcW w:w="1123" w:type="dxa"/>
            <w:tcBorders>
              <w:top w:val="nil"/>
              <w:left w:val="single" w:sz="4" w:space="0" w:color="auto"/>
              <w:bottom w:val="nil"/>
              <w:right w:val="single" w:sz="4" w:space="0" w:color="auto"/>
            </w:tcBorders>
            <w:vAlign w:val="center"/>
            <w:hideMark/>
          </w:tcPr>
          <w:p w14:paraId="45FEA734" w14:textId="77777777" w:rsidR="00D03161" w:rsidRDefault="00D03161" w:rsidP="002B716D">
            <w:pPr>
              <w:pStyle w:val="TAC"/>
            </w:pPr>
          </w:p>
        </w:tc>
      </w:tr>
      <w:tr w:rsidR="00D03161" w14:paraId="295EDEA9"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133673D9"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2B070275"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46F605F0"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674EB44F"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516818A9"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186DCB2" w14:textId="77777777" w:rsidR="00D03161" w:rsidRDefault="00D03161" w:rsidP="002B716D">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DCD4F36" w14:textId="77777777" w:rsidR="00D03161" w:rsidRDefault="00D03161" w:rsidP="002B716D">
            <w:pPr>
              <w:pStyle w:val="TAC"/>
            </w:pPr>
            <w:r>
              <w:t>-119.5</w:t>
            </w:r>
          </w:p>
        </w:tc>
        <w:tc>
          <w:tcPr>
            <w:tcW w:w="1123" w:type="dxa"/>
            <w:tcBorders>
              <w:top w:val="nil"/>
              <w:left w:val="single" w:sz="4" w:space="0" w:color="auto"/>
              <w:bottom w:val="nil"/>
              <w:right w:val="single" w:sz="4" w:space="0" w:color="auto"/>
            </w:tcBorders>
            <w:vAlign w:val="center"/>
            <w:hideMark/>
          </w:tcPr>
          <w:p w14:paraId="5864AD72" w14:textId="77777777" w:rsidR="00D03161" w:rsidRDefault="00D03161" w:rsidP="002B716D">
            <w:pPr>
              <w:pStyle w:val="TAC"/>
            </w:pPr>
          </w:p>
        </w:tc>
      </w:tr>
      <w:tr w:rsidR="00D03161" w14:paraId="4E8F8690"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790B09E"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44D47238"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252E9980"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07C37E19"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71C93A34"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FCAD4C6" w14:textId="77777777" w:rsidR="00D03161" w:rsidRDefault="00D03161" w:rsidP="002B716D">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vAlign w:val="center"/>
            <w:hideMark/>
          </w:tcPr>
          <w:p w14:paraId="3351A1BF" w14:textId="77777777" w:rsidR="00D03161" w:rsidRDefault="00D03161" w:rsidP="002B716D">
            <w:pPr>
              <w:pStyle w:val="TAC"/>
            </w:pPr>
            <w:r>
              <w:t>-119</w:t>
            </w:r>
          </w:p>
        </w:tc>
        <w:tc>
          <w:tcPr>
            <w:tcW w:w="1123" w:type="dxa"/>
            <w:tcBorders>
              <w:top w:val="nil"/>
              <w:left w:val="single" w:sz="4" w:space="0" w:color="auto"/>
              <w:bottom w:val="nil"/>
              <w:right w:val="single" w:sz="4" w:space="0" w:color="auto"/>
            </w:tcBorders>
            <w:vAlign w:val="center"/>
            <w:hideMark/>
          </w:tcPr>
          <w:p w14:paraId="5DB6F2DA" w14:textId="77777777" w:rsidR="00D03161" w:rsidRDefault="00D03161" w:rsidP="002B716D">
            <w:pPr>
              <w:pStyle w:val="TAC"/>
            </w:pPr>
          </w:p>
        </w:tc>
      </w:tr>
      <w:tr w:rsidR="00D03161" w14:paraId="37E57181"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732A1555"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3081419C"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69BECE84"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58059DC8"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6A82D6D9"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87930D4" w14:textId="77777777" w:rsidR="00D03161" w:rsidRDefault="00D03161" w:rsidP="002B716D">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vAlign w:val="center"/>
            <w:hideMark/>
          </w:tcPr>
          <w:p w14:paraId="1C53015F" w14:textId="77777777" w:rsidR="00D03161" w:rsidRDefault="00D03161" w:rsidP="002B716D">
            <w:pPr>
              <w:pStyle w:val="TAC"/>
            </w:pPr>
            <w:r>
              <w:t>-118.5</w:t>
            </w:r>
          </w:p>
        </w:tc>
        <w:tc>
          <w:tcPr>
            <w:tcW w:w="1123" w:type="dxa"/>
            <w:tcBorders>
              <w:top w:val="nil"/>
              <w:left w:val="single" w:sz="4" w:space="0" w:color="auto"/>
              <w:bottom w:val="nil"/>
              <w:right w:val="single" w:sz="4" w:space="0" w:color="auto"/>
            </w:tcBorders>
            <w:vAlign w:val="center"/>
            <w:hideMark/>
          </w:tcPr>
          <w:p w14:paraId="37685083" w14:textId="77777777" w:rsidR="00D03161" w:rsidRDefault="00D03161" w:rsidP="002B716D">
            <w:pPr>
              <w:pStyle w:val="TAC"/>
            </w:pPr>
          </w:p>
        </w:tc>
      </w:tr>
      <w:tr w:rsidR="00D03161" w14:paraId="56391D0C"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78403960"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52E61E12"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611C7EAA"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1D342FB4"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7616CE1A"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3EDA0BF" w14:textId="77777777" w:rsidR="00D03161" w:rsidRDefault="00D03161" w:rsidP="002B716D">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vAlign w:val="center"/>
            <w:hideMark/>
          </w:tcPr>
          <w:p w14:paraId="2E3CAF68" w14:textId="77777777" w:rsidR="00D03161" w:rsidRDefault="00D03161" w:rsidP="002B716D">
            <w:pPr>
              <w:pStyle w:val="TAC"/>
            </w:pPr>
            <w:r>
              <w:t>-118</w:t>
            </w:r>
          </w:p>
        </w:tc>
        <w:tc>
          <w:tcPr>
            <w:tcW w:w="1123" w:type="dxa"/>
            <w:tcBorders>
              <w:top w:val="nil"/>
              <w:left w:val="single" w:sz="4" w:space="0" w:color="auto"/>
              <w:bottom w:val="nil"/>
              <w:right w:val="single" w:sz="4" w:space="0" w:color="auto"/>
            </w:tcBorders>
            <w:vAlign w:val="center"/>
            <w:hideMark/>
          </w:tcPr>
          <w:p w14:paraId="6921F176" w14:textId="77777777" w:rsidR="00D03161" w:rsidRDefault="00D03161" w:rsidP="002B716D">
            <w:pPr>
              <w:pStyle w:val="TAC"/>
            </w:pPr>
          </w:p>
        </w:tc>
      </w:tr>
      <w:tr w:rsidR="00D03161" w14:paraId="6A8CACA5"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81C45C0"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1FACC246" w14:textId="77777777" w:rsidR="00D03161" w:rsidRDefault="00D03161" w:rsidP="002B716D">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41A5C402"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0F5D4CA2" w14:textId="77777777" w:rsidR="00D03161" w:rsidRDefault="00D03161" w:rsidP="002B716D">
            <w:pPr>
              <w:pStyle w:val="TAC"/>
            </w:pPr>
          </w:p>
        </w:tc>
        <w:tc>
          <w:tcPr>
            <w:tcW w:w="1832" w:type="dxa"/>
            <w:tcBorders>
              <w:top w:val="nil"/>
              <w:left w:val="single" w:sz="4" w:space="0" w:color="auto"/>
              <w:bottom w:val="single" w:sz="4" w:space="0" w:color="auto"/>
              <w:right w:val="single" w:sz="4" w:space="0" w:color="auto"/>
            </w:tcBorders>
            <w:vAlign w:val="center"/>
            <w:hideMark/>
          </w:tcPr>
          <w:p w14:paraId="09519668"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1A03C610" w14:textId="77777777" w:rsidR="00D03161" w:rsidRDefault="00D03161" w:rsidP="002B716D">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1DD202B8" w14:textId="77777777" w:rsidR="00D03161" w:rsidRDefault="00D03161" w:rsidP="002B716D">
            <w:pPr>
              <w:pStyle w:val="TAC"/>
            </w:pPr>
            <w:r>
              <w:t>-117.5</w:t>
            </w:r>
          </w:p>
        </w:tc>
        <w:tc>
          <w:tcPr>
            <w:tcW w:w="1123" w:type="dxa"/>
            <w:tcBorders>
              <w:top w:val="nil"/>
              <w:left w:val="single" w:sz="4" w:space="0" w:color="auto"/>
              <w:bottom w:val="single" w:sz="4" w:space="0" w:color="auto"/>
              <w:right w:val="single" w:sz="4" w:space="0" w:color="auto"/>
            </w:tcBorders>
            <w:vAlign w:val="center"/>
            <w:hideMark/>
          </w:tcPr>
          <w:p w14:paraId="1CBF1B72" w14:textId="77777777" w:rsidR="00D03161" w:rsidRDefault="00D03161" w:rsidP="002B716D">
            <w:pPr>
              <w:pStyle w:val="TAC"/>
            </w:pPr>
          </w:p>
        </w:tc>
      </w:tr>
      <w:tr w:rsidR="00D03161" w14:paraId="31941EB2" w14:textId="77777777" w:rsidTr="005F054A">
        <w:trPr>
          <w:jc w:val="center"/>
        </w:trPr>
        <w:tc>
          <w:tcPr>
            <w:tcW w:w="1132" w:type="dxa"/>
            <w:tcBorders>
              <w:top w:val="single" w:sz="6" w:space="0" w:color="auto"/>
              <w:left w:val="single" w:sz="4" w:space="0" w:color="auto"/>
              <w:bottom w:val="nil"/>
              <w:right w:val="single" w:sz="6" w:space="0" w:color="auto"/>
            </w:tcBorders>
            <w:vAlign w:val="center"/>
            <w:hideMark/>
          </w:tcPr>
          <w:p w14:paraId="31C813AE" w14:textId="77777777" w:rsidR="00D03161" w:rsidRDefault="00D03161" w:rsidP="002B716D">
            <w:pPr>
              <w:pStyle w:val="TAC"/>
            </w:pPr>
            <w:r>
              <w:t>± [59+</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hideMark/>
          </w:tcPr>
          <w:p w14:paraId="63A7B69A" w14:textId="77777777" w:rsidR="00D03161" w:rsidRDefault="00D03161" w:rsidP="002B716D">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34151B38" w14:textId="77777777" w:rsidR="00D03161" w:rsidRDefault="00D03161" w:rsidP="002B716D">
            <w:pPr>
              <w:pStyle w:val="TAC"/>
            </w:pPr>
            <w:r>
              <w:rPr>
                <w:rFonts w:cs="Calibri"/>
              </w:rPr>
              <w:t>≥[</w:t>
            </w:r>
            <w:r>
              <w:t>52]</w:t>
            </w:r>
          </w:p>
        </w:tc>
        <w:tc>
          <w:tcPr>
            <w:tcW w:w="709" w:type="dxa"/>
            <w:tcBorders>
              <w:top w:val="nil"/>
              <w:left w:val="single" w:sz="4" w:space="0" w:color="auto"/>
              <w:bottom w:val="nil"/>
              <w:right w:val="single" w:sz="4" w:space="0" w:color="auto"/>
            </w:tcBorders>
            <w:vAlign w:val="center"/>
            <w:hideMark/>
          </w:tcPr>
          <w:p w14:paraId="28C2150D" w14:textId="77777777" w:rsidR="00D03161" w:rsidRDefault="00D03161" w:rsidP="002B716D">
            <w:pPr>
              <w:pStyle w:val="TAC"/>
            </w:pPr>
          </w:p>
        </w:tc>
        <w:tc>
          <w:tcPr>
            <w:tcW w:w="1832" w:type="dxa"/>
            <w:tcBorders>
              <w:top w:val="single" w:sz="4" w:space="0" w:color="auto"/>
              <w:left w:val="single" w:sz="4" w:space="0" w:color="auto"/>
              <w:bottom w:val="single" w:sz="4" w:space="0" w:color="auto"/>
              <w:right w:val="single" w:sz="4" w:space="0" w:color="auto"/>
            </w:tcBorders>
            <w:vAlign w:val="center"/>
            <w:hideMark/>
          </w:tcPr>
          <w:p w14:paraId="38AE682B" w14:textId="77777777" w:rsidR="00D03161" w:rsidRDefault="00D03161" w:rsidP="002B716D">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15DF084C" w14:textId="77777777" w:rsidR="00D03161" w:rsidRDefault="00D03161" w:rsidP="002B716D">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284E1ACF" w14:textId="77777777" w:rsidR="00D03161" w:rsidRDefault="00D03161" w:rsidP="002B716D">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576750D0" w14:textId="77777777" w:rsidR="00D03161" w:rsidRDefault="00D03161" w:rsidP="002B716D">
            <w:pPr>
              <w:pStyle w:val="TAC"/>
            </w:pPr>
            <w:r>
              <w:t>NOTE 6</w:t>
            </w:r>
          </w:p>
        </w:tc>
      </w:tr>
      <w:tr w:rsidR="00D03161" w14:paraId="1CDE9B54" w14:textId="77777777" w:rsidTr="005F054A">
        <w:trPr>
          <w:jc w:val="center"/>
        </w:trPr>
        <w:tc>
          <w:tcPr>
            <w:tcW w:w="1132" w:type="dxa"/>
            <w:tcBorders>
              <w:top w:val="single" w:sz="6" w:space="0" w:color="auto"/>
              <w:left w:val="single" w:sz="4" w:space="0" w:color="auto"/>
              <w:bottom w:val="nil"/>
              <w:right w:val="single" w:sz="6" w:space="0" w:color="auto"/>
            </w:tcBorders>
            <w:vAlign w:val="center"/>
            <w:hideMark/>
          </w:tcPr>
          <w:p w14:paraId="1A6A520E" w14:textId="77777777" w:rsidR="00D03161" w:rsidRDefault="00D03161" w:rsidP="002B716D">
            <w:pPr>
              <w:pStyle w:val="TAC"/>
            </w:pPr>
            <w:r>
              <w:t>± [30+</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hideMark/>
          </w:tcPr>
          <w:p w14:paraId="7BDAB02F" w14:textId="77777777" w:rsidR="00D03161" w:rsidRDefault="00D03161" w:rsidP="002B716D">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FA5F7C2" w14:textId="77777777" w:rsidR="00D03161" w:rsidRDefault="00D03161" w:rsidP="002B716D">
            <w:pPr>
              <w:pStyle w:val="TAC"/>
            </w:pPr>
            <w:r>
              <w:rPr>
                <w:lang w:eastAsia="zh-CN"/>
              </w:rPr>
              <w:t>&gt;[104]</w:t>
            </w:r>
          </w:p>
        </w:tc>
        <w:tc>
          <w:tcPr>
            <w:tcW w:w="709" w:type="dxa"/>
            <w:tcBorders>
              <w:top w:val="nil"/>
              <w:left w:val="single" w:sz="4" w:space="0" w:color="auto"/>
              <w:bottom w:val="single" w:sz="4" w:space="0" w:color="auto"/>
              <w:right w:val="single" w:sz="4" w:space="0" w:color="auto"/>
            </w:tcBorders>
            <w:vAlign w:val="center"/>
            <w:hideMark/>
          </w:tcPr>
          <w:p w14:paraId="6D1E8A8A" w14:textId="77777777" w:rsidR="00D03161" w:rsidRDefault="00D03161" w:rsidP="002B716D">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47B5D1C2" w14:textId="77777777" w:rsidR="00D03161" w:rsidRDefault="00D03161" w:rsidP="002B716D">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253CE29C" w14:textId="77777777" w:rsidR="00D03161" w:rsidRDefault="00D03161" w:rsidP="002B716D">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2BCE3A10" w14:textId="77777777" w:rsidR="00D03161" w:rsidRDefault="00D03161" w:rsidP="002B716D">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219644EA" w14:textId="77777777" w:rsidR="00D03161" w:rsidRDefault="00D03161" w:rsidP="002B716D">
            <w:pPr>
              <w:pStyle w:val="TAC"/>
            </w:pPr>
            <w:r>
              <w:t>NOTE 6</w:t>
            </w:r>
          </w:p>
        </w:tc>
      </w:tr>
      <w:tr w:rsidR="00D03161" w14:paraId="422515A0" w14:textId="77777777" w:rsidTr="005F054A">
        <w:trPr>
          <w:trHeight w:val="24"/>
          <w:jc w:val="center"/>
        </w:trPr>
        <w:tc>
          <w:tcPr>
            <w:tcW w:w="1132" w:type="dxa"/>
            <w:tcBorders>
              <w:top w:val="single" w:sz="6" w:space="0" w:color="auto"/>
              <w:left w:val="single" w:sz="4" w:space="0" w:color="auto"/>
              <w:bottom w:val="nil"/>
              <w:right w:val="single" w:sz="6" w:space="0" w:color="auto"/>
            </w:tcBorders>
            <w:vAlign w:val="center"/>
            <w:hideMark/>
          </w:tcPr>
          <w:p w14:paraId="22F9A296" w14:textId="77777777" w:rsidR="00D03161" w:rsidRDefault="00D03161" w:rsidP="002B716D">
            <w:pPr>
              <w:pStyle w:val="TAC"/>
            </w:pPr>
            <w:r>
              <w:t>± [57+</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5DDF0964" w14:textId="77777777" w:rsidR="00D03161" w:rsidRDefault="00D03161" w:rsidP="002B716D">
            <w:pPr>
              <w:pStyle w:val="TAC"/>
              <w:rPr>
                <w:lang w:val="sv-SE"/>
              </w:rPr>
            </w:pPr>
          </w:p>
        </w:tc>
        <w:tc>
          <w:tcPr>
            <w:tcW w:w="1133" w:type="dxa"/>
            <w:tcBorders>
              <w:top w:val="single" w:sz="4" w:space="0" w:color="auto"/>
              <w:left w:val="single" w:sz="4" w:space="0" w:color="auto"/>
              <w:bottom w:val="nil"/>
              <w:right w:val="single" w:sz="4" w:space="0" w:color="auto"/>
            </w:tcBorders>
            <w:hideMark/>
          </w:tcPr>
          <w:p w14:paraId="5078244F" w14:textId="77777777" w:rsidR="00D03161" w:rsidRDefault="00D03161" w:rsidP="002B716D">
            <w:pPr>
              <w:pStyle w:val="TAC"/>
            </w:pPr>
            <w:r>
              <w:rPr>
                <w:rFonts w:cs="Calibri"/>
              </w:rPr>
              <w:t>≥[</w:t>
            </w:r>
            <w:r>
              <w:t>24]</w:t>
            </w:r>
          </w:p>
        </w:tc>
        <w:tc>
          <w:tcPr>
            <w:tcW w:w="709" w:type="dxa"/>
            <w:tcBorders>
              <w:top w:val="single" w:sz="4" w:space="0" w:color="auto"/>
              <w:left w:val="single" w:sz="4" w:space="0" w:color="auto"/>
              <w:bottom w:val="nil"/>
              <w:right w:val="single" w:sz="4" w:space="0" w:color="auto"/>
            </w:tcBorders>
            <w:hideMark/>
          </w:tcPr>
          <w:p w14:paraId="2C15C284" w14:textId="77777777" w:rsidR="00D03161" w:rsidRDefault="00D03161" w:rsidP="002B716D">
            <w:pPr>
              <w:pStyle w:val="TAC"/>
            </w:pPr>
            <w:r>
              <w:t>30</w:t>
            </w:r>
          </w:p>
        </w:tc>
        <w:tc>
          <w:tcPr>
            <w:tcW w:w="1832" w:type="dxa"/>
            <w:tcBorders>
              <w:top w:val="single" w:sz="4" w:space="0" w:color="auto"/>
              <w:left w:val="single" w:sz="4" w:space="0" w:color="auto"/>
              <w:bottom w:val="nil"/>
              <w:right w:val="single" w:sz="4" w:space="0" w:color="auto"/>
            </w:tcBorders>
            <w:hideMark/>
          </w:tcPr>
          <w:p w14:paraId="59D4174C" w14:textId="77777777" w:rsidR="00D03161" w:rsidRDefault="00D03161" w:rsidP="002B716D">
            <w:pPr>
              <w:pStyle w:val="TAC"/>
            </w:pPr>
            <w:r>
              <w:t>≥[4]</w:t>
            </w:r>
          </w:p>
        </w:tc>
        <w:tc>
          <w:tcPr>
            <w:tcW w:w="2267" w:type="dxa"/>
            <w:tcBorders>
              <w:top w:val="single" w:sz="4" w:space="0" w:color="auto"/>
              <w:left w:val="single" w:sz="4" w:space="0" w:color="auto"/>
              <w:bottom w:val="single" w:sz="4" w:space="0" w:color="auto"/>
              <w:right w:val="single" w:sz="4" w:space="0" w:color="auto"/>
            </w:tcBorders>
            <w:vAlign w:val="center"/>
            <w:hideMark/>
          </w:tcPr>
          <w:p w14:paraId="388E942E" w14:textId="77777777" w:rsidR="00D03161" w:rsidRDefault="00D03161" w:rsidP="002B716D">
            <w:pPr>
              <w:pStyle w:val="TAC"/>
            </w:pPr>
            <w:r>
              <w:t>NR_FDD_FR1_A, NR_TDD_FR1_A,</w:t>
            </w:r>
          </w:p>
          <w:p w14:paraId="50D76CD2" w14:textId="77777777" w:rsidR="00D03161" w:rsidRDefault="00D03161" w:rsidP="002B716D">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73769265" w14:textId="77777777" w:rsidR="00D03161" w:rsidRDefault="00D03161" w:rsidP="002B716D">
            <w:pPr>
              <w:pStyle w:val="TAC"/>
            </w:pPr>
            <w:r>
              <w:t>-118</w:t>
            </w:r>
          </w:p>
        </w:tc>
        <w:tc>
          <w:tcPr>
            <w:tcW w:w="1123" w:type="dxa"/>
            <w:tcBorders>
              <w:top w:val="single" w:sz="4" w:space="0" w:color="auto"/>
              <w:left w:val="single" w:sz="4" w:space="0" w:color="auto"/>
              <w:bottom w:val="nil"/>
              <w:right w:val="single" w:sz="4" w:space="0" w:color="auto"/>
            </w:tcBorders>
            <w:hideMark/>
          </w:tcPr>
          <w:p w14:paraId="26DB324A" w14:textId="77777777" w:rsidR="00D03161" w:rsidRDefault="00D03161" w:rsidP="002B716D">
            <w:pPr>
              <w:pStyle w:val="TAC"/>
            </w:pPr>
            <w:r>
              <w:t>-50</w:t>
            </w:r>
          </w:p>
        </w:tc>
      </w:tr>
      <w:tr w:rsidR="00D03161" w14:paraId="640BC00C"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23BB85AD"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6C03FC8F"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6FFCFB6C"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574659A4"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40E9C8B6"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3C5C9AD" w14:textId="77777777" w:rsidR="00D03161" w:rsidRDefault="00D03161" w:rsidP="002B716D">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35D6F0B4" w14:textId="77777777" w:rsidR="00D03161" w:rsidRDefault="00D03161" w:rsidP="002B716D">
            <w:pPr>
              <w:pStyle w:val="TAC"/>
            </w:pPr>
            <w:r>
              <w:t>-117.5</w:t>
            </w:r>
          </w:p>
        </w:tc>
        <w:tc>
          <w:tcPr>
            <w:tcW w:w="1123" w:type="dxa"/>
            <w:tcBorders>
              <w:top w:val="nil"/>
              <w:left w:val="single" w:sz="4" w:space="0" w:color="auto"/>
              <w:bottom w:val="nil"/>
              <w:right w:val="single" w:sz="4" w:space="0" w:color="auto"/>
            </w:tcBorders>
            <w:vAlign w:val="center"/>
            <w:hideMark/>
          </w:tcPr>
          <w:p w14:paraId="11DCF0BA" w14:textId="77777777" w:rsidR="00D03161" w:rsidRDefault="00D03161" w:rsidP="002B716D">
            <w:pPr>
              <w:pStyle w:val="TAC"/>
            </w:pPr>
          </w:p>
        </w:tc>
      </w:tr>
      <w:tr w:rsidR="00D03161" w14:paraId="2E1E2869"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31D37A35"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190401AC"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49C0E2B9"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07C6B8BD"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6DA9E2DB"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970CE3E" w14:textId="77777777" w:rsidR="00D03161" w:rsidRDefault="00D03161" w:rsidP="002B716D">
            <w:pPr>
              <w:pStyle w:val="TAC"/>
            </w:pPr>
            <w:r>
              <w:t>NR_TDD_FR1_C</w:t>
            </w:r>
          </w:p>
        </w:tc>
        <w:tc>
          <w:tcPr>
            <w:tcW w:w="1289" w:type="dxa"/>
            <w:tcBorders>
              <w:top w:val="single" w:sz="4" w:space="0" w:color="auto"/>
              <w:left w:val="single" w:sz="4" w:space="0" w:color="auto"/>
              <w:bottom w:val="single" w:sz="4" w:space="0" w:color="auto"/>
              <w:right w:val="single" w:sz="4" w:space="0" w:color="auto"/>
            </w:tcBorders>
            <w:hideMark/>
          </w:tcPr>
          <w:p w14:paraId="67A4DC8A" w14:textId="77777777" w:rsidR="00D03161" w:rsidRDefault="00D03161" w:rsidP="002B716D">
            <w:pPr>
              <w:pStyle w:val="TAC"/>
            </w:pPr>
            <w:r>
              <w:t>-117</w:t>
            </w:r>
          </w:p>
        </w:tc>
        <w:tc>
          <w:tcPr>
            <w:tcW w:w="1123" w:type="dxa"/>
            <w:tcBorders>
              <w:top w:val="nil"/>
              <w:left w:val="single" w:sz="4" w:space="0" w:color="auto"/>
              <w:bottom w:val="nil"/>
              <w:right w:val="single" w:sz="4" w:space="0" w:color="auto"/>
            </w:tcBorders>
            <w:vAlign w:val="center"/>
            <w:hideMark/>
          </w:tcPr>
          <w:p w14:paraId="3AAD86EE" w14:textId="77777777" w:rsidR="00D03161" w:rsidRDefault="00D03161" w:rsidP="002B716D">
            <w:pPr>
              <w:pStyle w:val="TAC"/>
            </w:pPr>
          </w:p>
        </w:tc>
      </w:tr>
      <w:tr w:rsidR="00D03161" w14:paraId="1E5673F4"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560116B7"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02D14AC4"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322E0457"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2A694DDC"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24DCA9A5"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064E5AD" w14:textId="77777777" w:rsidR="00D03161" w:rsidRDefault="00D03161" w:rsidP="002B716D">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hideMark/>
          </w:tcPr>
          <w:p w14:paraId="79CBE34E" w14:textId="77777777" w:rsidR="00D03161" w:rsidRDefault="00D03161" w:rsidP="002B716D">
            <w:pPr>
              <w:pStyle w:val="TAC"/>
              <w:rPr>
                <w:lang w:val="sv-SE"/>
              </w:rPr>
            </w:pPr>
            <w:r>
              <w:t>-116.5</w:t>
            </w:r>
          </w:p>
        </w:tc>
        <w:tc>
          <w:tcPr>
            <w:tcW w:w="1123" w:type="dxa"/>
            <w:tcBorders>
              <w:top w:val="nil"/>
              <w:left w:val="single" w:sz="4" w:space="0" w:color="auto"/>
              <w:bottom w:val="nil"/>
              <w:right w:val="single" w:sz="4" w:space="0" w:color="auto"/>
            </w:tcBorders>
            <w:vAlign w:val="center"/>
            <w:hideMark/>
          </w:tcPr>
          <w:p w14:paraId="1DDC0FCA" w14:textId="77777777" w:rsidR="00D03161" w:rsidRDefault="00D03161" w:rsidP="002B716D">
            <w:pPr>
              <w:pStyle w:val="TAC"/>
            </w:pPr>
          </w:p>
        </w:tc>
      </w:tr>
      <w:tr w:rsidR="00D03161" w14:paraId="70EAF2CC"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75AB1AA0"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402954CD"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0CA70CE0"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7FA59D07"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0F860377"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33FB1B1" w14:textId="77777777" w:rsidR="00D03161" w:rsidRDefault="00D03161" w:rsidP="002B716D">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hideMark/>
          </w:tcPr>
          <w:p w14:paraId="5D909563" w14:textId="77777777" w:rsidR="00D03161" w:rsidRDefault="00D03161" w:rsidP="002B716D">
            <w:pPr>
              <w:pStyle w:val="TAC"/>
              <w:rPr>
                <w:lang w:val="sv-SE"/>
              </w:rPr>
            </w:pPr>
            <w:r>
              <w:t>-116</w:t>
            </w:r>
          </w:p>
        </w:tc>
        <w:tc>
          <w:tcPr>
            <w:tcW w:w="1123" w:type="dxa"/>
            <w:tcBorders>
              <w:top w:val="nil"/>
              <w:left w:val="single" w:sz="4" w:space="0" w:color="auto"/>
              <w:bottom w:val="nil"/>
              <w:right w:val="single" w:sz="4" w:space="0" w:color="auto"/>
            </w:tcBorders>
            <w:vAlign w:val="center"/>
            <w:hideMark/>
          </w:tcPr>
          <w:p w14:paraId="0EBFD8C0" w14:textId="77777777" w:rsidR="00D03161" w:rsidRDefault="00D03161" w:rsidP="002B716D">
            <w:pPr>
              <w:pStyle w:val="TAC"/>
            </w:pPr>
          </w:p>
        </w:tc>
      </w:tr>
      <w:tr w:rsidR="00D03161" w14:paraId="2BC78ABA"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00716D08"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1A707532"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674CB5DC"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04E9B532"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14D8E920"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0743FAC" w14:textId="77777777" w:rsidR="00D03161" w:rsidRDefault="00D03161" w:rsidP="002B716D">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hideMark/>
          </w:tcPr>
          <w:p w14:paraId="66BB9B86" w14:textId="77777777" w:rsidR="00D03161" w:rsidRDefault="00D03161" w:rsidP="002B716D">
            <w:pPr>
              <w:pStyle w:val="TAC"/>
            </w:pPr>
            <w:r>
              <w:t>-115.5</w:t>
            </w:r>
          </w:p>
        </w:tc>
        <w:tc>
          <w:tcPr>
            <w:tcW w:w="1123" w:type="dxa"/>
            <w:tcBorders>
              <w:top w:val="nil"/>
              <w:left w:val="single" w:sz="4" w:space="0" w:color="auto"/>
              <w:bottom w:val="nil"/>
              <w:right w:val="single" w:sz="4" w:space="0" w:color="auto"/>
            </w:tcBorders>
            <w:vAlign w:val="center"/>
            <w:hideMark/>
          </w:tcPr>
          <w:p w14:paraId="464A4F0D" w14:textId="77777777" w:rsidR="00D03161" w:rsidRDefault="00D03161" w:rsidP="002B716D">
            <w:pPr>
              <w:pStyle w:val="TAC"/>
            </w:pPr>
          </w:p>
        </w:tc>
      </w:tr>
      <w:tr w:rsidR="00D03161" w14:paraId="186320D4"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2121D5B8"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2A10A6A6"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5BD5E7A0"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3823BD3E"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4E1FBE60"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2D75453" w14:textId="77777777" w:rsidR="00D03161" w:rsidRDefault="00D03161" w:rsidP="002B716D">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hideMark/>
          </w:tcPr>
          <w:p w14:paraId="09CAB9C4" w14:textId="77777777" w:rsidR="00D03161" w:rsidRDefault="00D03161" w:rsidP="002B716D">
            <w:pPr>
              <w:pStyle w:val="TAC"/>
            </w:pPr>
            <w:r>
              <w:t>-115</w:t>
            </w:r>
          </w:p>
        </w:tc>
        <w:tc>
          <w:tcPr>
            <w:tcW w:w="1123" w:type="dxa"/>
            <w:tcBorders>
              <w:top w:val="nil"/>
              <w:left w:val="single" w:sz="4" w:space="0" w:color="auto"/>
              <w:bottom w:val="nil"/>
              <w:right w:val="single" w:sz="4" w:space="0" w:color="auto"/>
            </w:tcBorders>
            <w:vAlign w:val="center"/>
            <w:hideMark/>
          </w:tcPr>
          <w:p w14:paraId="41453DDD" w14:textId="77777777" w:rsidR="00D03161" w:rsidRDefault="00D03161" w:rsidP="002B716D">
            <w:pPr>
              <w:pStyle w:val="TAC"/>
            </w:pPr>
          </w:p>
        </w:tc>
      </w:tr>
      <w:tr w:rsidR="00D03161" w14:paraId="41E18C10" w14:textId="77777777" w:rsidTr="005F054A">
        <w:trPr>
          <w:jc w:val="center"/>
        </w:trPr>
        <w:tc>
          <w:tcPr>
            <w:tcW w:w="1132" w:type="dxa"/>
            <w:tcBorders>
              <w:top w:val="nil"/>
              <w:left w:val="single" w:sz="4" w:space="0" w:color="auto"/>
              <w:bottom w:val="single" w:sz="6" w:space="0" w:color="auto"/>
              <w:right w:val="single" w:sz="6" w:space="0" w:color="auto"/>
            </w:tcBorders>
            <w:vAlign w:val="center"/>
            <w:hideMark/>
          </w:tcPr>
          <w:p w14:paraId="2DEF1AD1"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tcPr>
          <w:p w14:paraId="48E48770" w14:textId="77777777" w:rsidR="00D03161" w:rsidRDefault="00D03161" w:rsidP="002B716D">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022CA06B"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0512DC5A" w14:textId="77777777" w:rsidR="00D03161" w:rsidRDefault="00D03161" w:rsidP="002B716D">
            <w:pPr>
              <w:pStyle w:val="TAC"/>
            </w:pPr>
          </w:p>
        </w:tc>
        <w:tc>
          <w:tcPr>
            <w:tcW w:w="1832" w:type="dxa"/>
            <w:tcBorders>
              <w:top w:val="nil"/>
              <w:left w:val="single" w:sz="4" w:space="0" w:color="auto"/>
              <w:bottom w:val="single" w:sz="4" w:space="0" w:color="auto"/>
              <w:right w:val="single" w:sz="4" w:space="0" w:color="auto"/>
            </w:tcBorders>
            <w:vAlign w:val="center"/>
            <w:hideMark/>
          </w:tcPr>
          <w:p w14:paraId="3F9C1402"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1B85ABF" w14:textId="77777777" w:rsidR="00D03161" w:rsidRDefault="00D03161" w:rsidP="002B716D">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hideMark/>
          </w:tcPr>
          <w:p w14:paraId="787E2D9F" w14:textId="77777777" w:rsidR="00D03161" w:rsidRDefault="00D03161" w:rsidP="002B716D">
            <w:pPr>
              <w:pStyle w:val="TAC"/>
            </w:pPr>
            <w:r>
              <w:t>-114.5</w:t>
            </w:r>
          </w:p>
        </w:tc>
        <w:tc>
          <w:tcPr>
            <w:tcW w:w="1123" w:type="dxa"/>
            <w:tcBorders>
              <w:top w:val="nil"/>
              <w:left w:val="single" w:sz="4" w:space="0" w:color="auto"/>
              <w:bottom w:val="single" w:sz="4" w:space="0" w:color="auto"/>
              <w:right w:val="single" w:sz="4" w:space="0" w:color="auto"/>
            </w:tcBorders>
            <w:vAlign w:val="center"/>
            <w:hideMark/>
          </w:tcPr>
          <w:p w14:paraId="1BA91D9B" w14:textId="77777777" w:rsidR="00D03161" w:rsidRDefault="00D03161" w:rsidP="002B716D">
            <w:pPr>
              <w:pStyle w:val="TAC"/>
            </w:pPr>
          </w:p>
        </w:tc>
      </w:tr>
      <w:tr w:rsidR="00D03161" w14:paraId="71F683D6"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04C729F7" w14:textId="77777777" w:rsidR="00D03161" w:rsidRDefault="00D03161" w:rsidP="002B716D">
            <w:pPr>
              <w:pStyle w:val="TAC"/>
            </w:pPr>
            <w:r>
              <w:t>± [30+</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67A1AEA3" w14:textId="77777777" w:rsidR="00D03161" w:rsidRDefault="00D03161" w:rsidP="002B716D">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40B58F1D" w14:textId="77777777" w:rsidR="00D03161" w:rsidRDefault="00D03161" w:rsidP="002B716D">
            <w:pPr>
              <w:pStyle w:val="TAC"/>
            </w:pPr>
            <w:r>
              <w:rPr>
                <w:rFonts w:cs="Calibri"/>
              </w:rPr>
              <w:t>≥[</w:t>
            </w:r>
            <w:r>
              <w:rPr>
                <w:lang w:eastAsia="zh-CN"/>
              </w:rPr>
              <w:t>48]</w:t>
            </w:r>
          </w:p>
        </w:tc>
        <w:tc>
          <w:tcPr>
            <w:tcW w:w="709" w:type="dxa"/>
            <w:tcBorders>
              <w:top w:val="nil"/>
              <w:left w:val="single" w:sz="4" w:space="0" w:color="auto"/>
              <w:bottom w:val="nil"/>
              <w:right w:val="single" w:sz="4" w:space="0" w:color="auto"/>
            </w:tcBorders>
            <w:vAlign w:val="center"/>
            <w:hideMark/>
          </w:tcPr>
          <w:p w14:paraId="10401498" w14:textId="77777777" w:rsidR="00D03161" w:rsidRDefault="00D03161" w:rsidP="002B716D">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0562C285" w14:textId="77777777" w:rsidR="00D03161" w:rsidRDefault="00D03161" w:rsidP="002B716D">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38CD1DBE" w14:textId="77777777" w:rsidR="00D03161" w:rsidRDefault="00D03161" w:rsidP="002B716D">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2FFAC90F" w14:textId="77777777" w:rsidR="00D03161" w:rsidRDefault="00D03161" w:rsidP="002B716D">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42FFFF6B" w14:textId="77777777" w:rsidR="00D03161" w:rsidRDefault="00D03161" w:rsidP="002B716D">
            <w:pPr>
              <w:pStyle w:val="TAC"/>
            </w:pPr>
            <w:r>
              <w:t>NOTE 6</w:t>
            </w:r>
          </w:p>
        </w:tc>
      </w:tr>
      <w:tr w:rsidR="00D03161" w14:paraId="7912CD78"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192C8C06" w14:textId="77777777" w:rsidR="00D03161" w:rsidRDefault="00D03161" w:rsidP="002B716D">
            <w:pPr>
              <w:pStyle w:val="TAC"/>
            </w:pPr>
            <w:r>
              <w:t>± [15+</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5D048F94" w14:textId="77777777" w:rsidR="00D03161" w:rsidRDefault="00D03161" w:rsidP="002B716D">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130512F6" w14:textId="77777777" w:rsidR="00D03161" w:rsidRDefault="00D03161" w:rsidP="002B716D">
            <w:pPr>
              <w:pStyle w:val="TAC"/>
            </w:pPr>
            <w:r>
              <w:rPr>
                <w:rFonts w:cs="Calibri"/>
              </w:rPr>
              <w:t>≥[</w:t>
            </w:r>
            <w:r>
              <w:rPr>
                <w:lang w:eastAsia="zh-CN"/>
              </w:rPr>
              <w:t>132]</w:t>
            </w:r>
          </w:p>
        </w:tc>
        <w:tc>
          <w:tcPr>
            <w:tcW w:w="709" w:type="dxa"/>
            <w:tcBorders>
              <w:top w:val="nil"/>
              <w:left w:val="single" w:sz="4" w:space="0" w:color="auto"/>
              <w:bottom w:val="single" w:sz="4" w:space="0" w:color="auto"/>
              <w:right w:val="single" w:sz="4" w:space="0" w:color="auto"/>
            </w:tcBorders>
            <w:vAlign w:val="center"/>
            <w:hideMark/>
          </w:tcPr>
          <w:p w14:paraId="44B513F3" w14:textId="77777777" w:rsidR="00D03161" w:rsidRDefault="00D03161" w:rsidP="002B716D">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71CB2E09" w14:textId="77777777" w:rsidR="00D03161" w:rsidRDefault="00D03161" w:rsidP="002B716D">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1AB20A87" w14:textId="77777777" w:rsidR="00D03161" w:rsidRDefault="00D03161" w:rsidP="002B716D">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3B4AAF3D" w14:textId="77777777" w:rsidR="00D03161" w:rsidRDefault="00D03161" w:rsidP="002B716D">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3B319AF7" w14:textId="77777777" w:rsidR="00D03161" w:rsidRDefault="00D03161" w:rsidP="002B716D">
            <w:pPr>
              <w:pStyle w:val="TAC"/>
            </w:pPr>
            <w:r>
              <w:t>NOTE 6</w:t>
            </w:r>
          </w:p>
        </w:tc>
      </w:tr>
      <w:tr w:rsidR="00D03161" w14:paraId="22BDD65C" w14:textId="77777777" w:rsidTr="005F054A">
        <w:trPr>
          <w:trHeight w:val="21"/>
          <w:jc w:val="center"/>
        </w:trPr>
        <w:tc>
          <w:tcPr>
            <w:tcW w:w="1132" w:type="dxa"/>
            <w:tcBorders>
              <w:top w:val="single" w:sz="6" w:space="0" w:color="auto"/>
              <w:left w:val="single" w:sz="4" w:space="0" w:color="auto"/>
              <w:bottom w:val="nil"/>
              <w:right w:val="single" w:sz="6" w:space="0" w:color="auto"/>
            </w:tcBorders>
            <w:hideMark/>
          </w:tcPr>
          <w:p w14:paraId="61616955" w14:textId="77777777" w:rsidR="00D03161" w:rsidRDefault="00D03161" w:rsidP="002B716D">
            <w:pPr>
              <w:pStyle w:val="TAC"/>
            </w:pPr>
            <w:r>
              <w:t>± [29+</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hideMark/>
          </w:tcPr>
          <w:p w14:paraId="7112BBB7" w14:textId="77777777" w:rsidR="00D03161" w:rsidRDefault="00D03161" w:rsidP="002B716D">
            <w:pPr>
              <w:pStyle w:val="TAC"/>
              <w:rPr>
                <w:lang w:val="sv-SE"/>
              </w:rPr>
            </w:pPr>
          </w:p>
        </w:tc>
        <w:tc>
          <w:tcPr>
            <w:tcW w:w="1133" w:type="dxa"/>
            <w:tcBorders>
              <w:top w:val="single" w:sz="4" w:space="0" w:color="auto"/>
              <w:left w:val="single" w:sz="4" w:space="0" w:color="auto"/>
              <w:bottom w:val="nil"/>
              <w:right w:val="single" w:sz="4" w:space="0" w:color="auto"/>
            </w:tcBorders>
            <w:hideMark/>
          </w:tcPr>
          <w:p w14:paraId="76B85383" w14:textId="77777777" w:rsidR="00D03161" w:rsidRDefault="00D03161" w:rsidP="002B716D">
            <w:pPr>
              <w:pStyle w:val="TAC"/>
            </w:pPr>
            <w:r>
              <w:rPr>
                <w:rFonts w:cs="Calibri"/>
              </w:rPr>
              <w:t>≥[</w:t>
            </w:r>
            <w:r>
              <w:t>24]</w:t>
            </w:r>
          </w:p>
        </w:tc>
        <w:tc>
          <w:tcPr>
            <w:tcW w:w="709" w:type="dxa"/>
            <w:tcBorders>
              <w:top w:val="single" w:sz="4" w:space="0" w:color="auto"/>
              <w:left w:val="single" w:sz="4" w:space="0" w:color="auto"/>
              <w:bottom w:val="nil"/>
              <w:right w:val="single" w:sz="4" w:space="0" w:color="auto"/>
            </w:tcBorders>
            <w:hideMark/>
          </w:tcPr>
          <w:p w14:paraId="1868C87F" w14:textId="77777777" w:rsidR="00D03161" w:rsidRDefault="00D03161" w:rsidP="002B716D">
            <w:pPr>
              <w:pStyle w:val="TAC"/>
            </w:pPr>
            <w:r>
              <w:t>60</w:t>
            </w:r>
          </w:p>
        </w:tc>
        <w:tc>
          <w:tcPr>
            <w:tcW w:w="1832" w:type="dxa"/>
            <w:tcBorders>
              <w:top w:val="single" w:sz="4" w:space="0" w:color="auto"/>
              <w:left w:val="single" w:sz="4" w:space="0" w:color="auto"/>
              <w:bottom w:val="nil"/>
              <w:right w:val="single" w:sz="4" w:space="0" w:color="auto"/>
            </w:tcBorders>
            <w:hideMark/>
          </w:tcPr>
          <w:p w14:paraId="06E06604" w14:textId="77777777" w:rsidR="00D03161" w:rsidRDefault="00D03161" w:rsidP="002B716D">
            <w:pPr>
              <w:pStyle w:val="TAC"/>
            </w:pPr>
            <w:r>
              <w:t>≥[4]</w:t>
            </w:r>
          </w:p>
        </w:tc>
        <w:tc>
          <w:tcPr>
            <w:tcW w:w="2267" w:type="dxa"/>
            <w:tcBorders>
              <w:top w:val="single" w:sz="4" w:space="0" w:color="auto"/>
              <w:left w:val="single" w:sz="4" w:space="0" w:color="auto"/>
              <w:bottom w:val="single" w:sz="4" w:space="0" w:color="auto"/>
              <w:right w:val="single" w:sz="4" w:space="0" w:color="auto"/>
            </w:tcBorders>
            <w:vAlign w:val="center"/>
            <w:hideMark/>
          </w:tcPr>
          <w:p w14:paraId="69B64B91" w14:textId="77777777" w:rsidR="00D03161" w:rsidRDefault="00D03161" w:rsidP="002B716D">
            <w:pPr>
              <w:pStyle w:val="TAC"/>
            </w:pPr>
            <w:r>
              <w:t>NR_FDD_FR1_A, NR_TDD_FR1_A,</w:t>
            </w:r>
          </w:p>
          <w:p w14:paraId="117DE8A6" w14:textId="77777777" w:rsidR="00D03161" w:rsidRDefault="00D03161" w:rsidP="002B716D">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2652DC28" w14:textId="77777777" w:rsidR="00D03161" w:rsidRDefault="00D03161" w:rsidP="002B716D">
            <w:pPr>
              <w:pStyle w:val="TAC"/>
            </w:pPr>
            <w:r>
              <w:t>-115</w:t>
            </w:r>
          </w:p>
        </w:tc>
        <w:tc>
          <w:tcPr>
            <w:tcW w:w="1123" w:type="dxa"/>
            <w:tcBorders>
              <w:top w:val="single" w:sz="4" w:space="0" w:color="auto"/>
              <w:left w:val="single" w:sz="4" w:space="0" w:color="auto"/>
              <w:bottom w:val="nil"/>
              <w:right w:val="single" w:sz="4" w:space="0" w:color="auto"/>
            </w:tcBorders>
            <w:hideMark/>
          </w:tcPr>
          <w:p w14:paraId="53D4B8AE" w14:textId="77777777" w:rsidR="00D03161" w:rsidRDefault="00D03161" w:rsidP="002B716D">
            <w:pPr>
              <w:pStyle w:val="TAC"/>
            </w:pPr>
            <w:r>
              <w:t>-50</w:t>
            </w:r>
          </w:p>
        </w:tc>
      </w:tr>
      <w:tr w:rsidR="00D03161" w14:paraId="0A1B5284"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7D55785"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7E8B69D2"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45679BB1"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32CCBFA0"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73E02D4C"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A36A415" w14:textId="77777777" w:rsidR="00D03161" w:rsidRDefault="00D03161" w:rsidP="002B716D">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1D41B3FD" w14:textId="77777777" w:rsidR="00D03161" w:rsidRDefault="00D03161" w:rsidP="002B716D">
            <w:pPr>
              <w:pStyle w:val="TAC"/>
            </w:pPr>
            <w:r>
              <w:t>-114.5</w:t>
            </w:r>
          </w:p>
        </w:tc>
        <w:tc>
          <w:tcPr>
            <w:tcW w:w="1123" w:type="dxa"/>
            <w:tcBorders>
              <w:top w:val="nil"/>
              <w:left w:val="single" w:sz="4" w:space="0" w:color="auto"/>
              <w:bottom w:val="nil"/>
              <w:right w:val="single" w:sz="4" w:space="0" w:color="auto"/>
            </w:tcBorders>
            <w:hideMark/>
          </w:tcPr>
          <w:p w14:paraId="7CA2BC36" w14:textId="77777777" w:rsidR="00D03161" w:rsidRDefault="00D03161" w:rsidP="002B716D">
            <w:pPr>
              <w:pStyle w:val="TAC"/>
            </w:pPr>
          </w:p>
        </w:tc>
      </w:tr>
      <w:tr w:rsidR="00D03161" w14:paraId="723F90AC"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5393ED6"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102C6A04"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12EBDFDE"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7DF7F4E7"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2C7B3708"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0DFB0427" w14:textId="77777777" w:rsidR="00D03161" w:rsidRDefault="00D03161" w:rsidP="002B716D">
            <w:pPr>
              <w:pStyle w:val="TAC"/>
            </w:pPr>
            <w:r>
              <w:t>NR_TDD_FR1_C</w:t>
            </w:r>
          </w:p>
        </w:tc>
        <w:tc>
          <w:tcPr>
            <w:tcW w:w="1289" w:type="dxa"/>
            <w:tcBorders>
              <w:top w:val="single" w:sz="4" w:space="0" w:color="auto"/>
              <w:left w:val="single" w:sz="4" w:space="0" w:color="auto"/>
              <w:bottom w:val="single" w:sz="4" w:space="0" w:color="auto"/>
              <w:right w:val="single" w:sz="4" w:space="0" w:color="auto"/>
            </w:tcBorders>
            <w:hideMark/>
          </w:tcPr>
          <w:p w14:paraId="71DB0243" w14:textId="77777777" w:rsidR="00D03161" w:rsidRDefault="00D03161" w:rsidP="002B716D">
            <w:pPr>
              <w:pStyle w:val="TAC"/>
            </w:pPr>
            <w:r>
              <w:t>-114</w:t>
            </w:r>
          </w:p>
        </w:tc>
        <w:tc>
          <w:tcPr>
            <w:tcW w:w="1123" w:type="dxa"/>
            <w:tcBorders>
              <w:top w:val="nil"/>
              <w:left w:val="single" w:sz="4" w:space="0" w:color="auto"/>
              <w:bottom w:val="nil"/>
              <w:right w:val="single" w:sz="4" w:space="0" w:color="auto"/>
            </w:tcBorders>
            <w:hideMark/>
          </w:tcPr>
          <w:p w14:paraId="79F2CA15" w14:textId="77777777" w:rsidR="00D03161" w:rsidRDefault="00D03161" w:rsidP="002B716D">
            <w:pPr>
              <w:pStyle w:val="TAC"/>
            </w:pPr>
          </w:p>
        </w:tc>
      </w:tr>
      <w:tr w:rsidR="00D03161" w14:paraId="3D6DF280"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0B9DF8DE"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46612328"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178E8C73"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52AEE63A"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1AC31FBB"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AA5088C" w14:textId="77777777" w:rsidR="00D03161" w:rsidRDefault="00D03161" w:rsidP="002B716D">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hideMark/>
          </w:tcPr>
          <w:p w14:paraId="3845C4DE" w14:textId="77777777" w:rsidR="00D03161" w:rsidRDefault="00D03161" w:rsidP="002B716D">
            <w:pPr>
              <w:pStyle w:val="TAC"/>
              <w:rPr>
                <w:lang w:val="sv-SE"/>
              </w:rPr>
            </w:pPr>
            <w:r>
              <w:t>-113.5</w:t>
            </w:r>
          </w:p>
        </w:tc>
        <w:tc>
          <w:tcPr>
            <w:tcW w:w="1123" w:type="dxa"/>
            <w:tcBorders>
              <w:top w:val="nil"/>
              <w:left w:val="single" w:sz="4" w:space="0" w:color="auto"/>
              <w:bottom w:val="nil"/>
              <w:right w:val="single" w:sz="4" w:space="0" w:color="auto"/>
            </w:tcBorders>
            <w:hideMark/>
          </w:tcPr>
          <w:p w14:paraId="679E429A" w14:textId="77777777" w:rsidR="00D03161" w:rsidRDefault="00D03161" w:rsidP="002B716D">
            <w:pPr>
              <w:pStyle w:val="TAC"/>
            </w:pPr>
          </w:p>
        </w:tc>
      </w:tr>
      <w:tr w:rsidR="00D03161" w14:paraId="039211CF"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DFCE933"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2A8B150F"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34B39786"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68C8B68F"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771085B4"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FE650F6" w14:textId="77777777" w:rsidR="00D03161" w:rsidRDefault="00D03161" w:rsidP="002B716D">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hideMark/>
          </w:tcPr>
          <w:p w14:paraId="51BCCFE6" w14:textId="77777777" w:rsidR="00D03161" w:rsidRDefault="00D03161" w:rsidP="002B716D">
            <w:pPr>
              <w:pStyle w:val="TAC"/>
              <w:rPr>
                <w:lang w:val="sv-SE"/>
              </w:rPr>
            </w:pPr>
            <w:r>
              <w:t>-113</w:t>
            </w:r>
          </w:p>
        </w:tc>
        <w:tc>
          <w:tcPr>
            <w:tcW w:w="1123" w:type="dxa"/>
            <w:tcBorders>
              <w:top w:val="nil"/>
              <w:left w:val="single" w:sz="4" w:space="0" w:color="auto"/>
              <w:bottom w:val="nil"/>
              <w:right w:val="single" w:sz="4" w:space="0" w:color="auto"/>
            </w:tcBorders>
            <w:hideMark/>
          </w:tcPr>
          <w:p w14:paraId="53807EEC" w14:textId="77777777" w:rsidR="00D03161" w:rsidRDefault="00D03161" w:rsidP="002B716D">
            <w:pPr>
              <w:pStyle w:val="TAC"/>
            </w:pPr>
          </w:p>
        </w:tc>
      </w:tr>
      <w:tr w:rsidR="00D03161" w14:paraId="3B5915D1"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15C1DF29"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499ADAC5"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54C79E38"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090D9E58"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6A803AD5"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45DE54E" w14:textId="77777777" w:rsidR="00D03161" w:rsidRDefault="00D03161" w:rsidP="002B716D">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hideMark/>
          </w:tcPr>
          <w:p w14:paraId="3132B8B4" w14:textId="77777777" w:rsidR="00D03161" w:rsidRDefault="00D03161" w:rsidP="002B716D">
            <w:pPr>
              <w:pStyle w:val="TAC"/>
            </w:pPr>
            <w:r>
              <w:t>-113.5</w:t>
            </w:r>
          </w:p>
        </w:tc>
        <w:tc>
          <w:tcPr>
            <w:tcW w:w="1123" w:type="dxa"/>
            <w:tcBorders>
              <w:top w:val="nil"/>
              <w:left w:val="single" w:sz="4" w:space="0" w:color="auto"/>
              <w:bottom w:val="nil"/>
              <w:right w:val="single" w:sz="4" w:space="0" w:color="auto"/>
            </w:tcBorders>
            <w:hideMark/>
          </w:tcPr>
          <w:p w14:paraId="01E4A34B" w14:textId="77777777" w:rsidR="00D03161" w:rsidRDefault="00D03161" w:rsidP="002B716D">
            <w:pPr>
              <w:pStyle w:val="TAC"/>
            </w:pPr>
          </w:p>
        </w:tc>
      </w:tr>
      <w:tr w:rsidR="00D03161" w14:paraId="5928EE9C"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3A6B4CA"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0D728D44" w14:textId="77777777" w:rsidR="00D03161" w:rsidRDefault="00D03161" w:rsidP="002B716D">
            <w:pPr>
              <w:pStyle w:val="TAC"/>
              <w:rPr>
                <w:lang w:val="sv-SE"/>
              </w:rPr>
            </w:pPr>
          </w:p>
        </w:tc>
        <w:tc>
          <w:tcPr>
            <w:tcW w:w="1133" w:type="dxa"/>
            <w:tcBorders>
              <w:top w:val="nil"/>
              <w:left w:val="single" w:sz="4" w:space="0" w:color="auto"/>
              <w:bottom w:val="nil"/>
              <w:right w:val="single" w:sz="4" w:space="0" w:color="auto"/>
            </w:tcBorders>
            <w:vAlign w:val="center"/>
            <w:hideMark/>
          </w:tcPr>
          <w:p w14:paraId="7EA2220C"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2D0116FA" w14:textId="77777777" w:rsidR="00D03161" w:rsidRDefault="00D03161" w:rsidP="002B716D">
            <w:pPr>
              <w:pStyle w:val="TAC"/>
            </w:pPr>
          </w:p>
        </w:tc>
        <w:tc>
          <w:tcPr>
            <w:tcW w:w="1832" w:type="dxa"/>
            <w:tcBorders>
              <w:top w:val="nil"/>
              <w:left w:val="single" w:sz="4" w:space="0" w:color="auto"/>
              <w:bottom w:val="nil"/>
              <w:right w:val="single" w:sz="4" w:space="0" w:color="auto"/>
            </w:tcBorders>
            <w:vAlign w:val="center"/>
            <w:hideMark/>
          </w:tcPr>
          <w:p w14:paraId="1DDB4EF6"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0170FA8E" w14:textId="77777777" w:rsidR="00D03161" w:rsidRDefault="00D03161" w:rsidP="002B716D">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hideMark/>
          </w:tcPr>
          <w:p w14:paraId="6648BC20" w14:textId="77777777" w:rsidR="00D03161" w:rsidRDefault="00D03161" w:rsidP="002B716D">
            <w:pPr>
              <w:pStyle w:val="TAC"/>
            </w:pPr>
            <w:r>
              <w:t>-113</w:t>
            </w:r>
          </w:p>
        </w:tc>
        <w:tc>
          <w:tcPr>
            <w:tcW w:w="1123" w:type="dxa"/>
            <w:tcBorders>
              <w:top w:val="nil"/>
              <w:left w:val="single" w:sz="4" w:space="0" w:color="auto"/>
              <w:bottom w:val="nil"/>
              <w:right w:val="single" w:sz="4" w:space="0" w:color="auto"/>
            </w:tcBorders>
            <w:hideMark/>
          </w:tcPr>
          <w:p w14:paraId="0F660DB7" w14:textId="77777777" w:rsidR="00D03161" w:rsidRDefault="00D03161" w:rsidP="002B716D">
            <w:pPr>
              <w:pStyle w:val="TAC"/>
            </w:pPr>
          </w:p>
        </w:tc>
      </w:tr>
      <w:tr w:rsidR="00D03161" w14:paraId="0A4D7193" w14:textId="77777777" w:rsidTr="005F054A">
        <w:trPr>
          <w:trHeight w:val="20"/>
          <w:jc w:val="center"/>
        </w:trPr>
        <w:tc>
          <w:tcPr>
            <w:tcW w:w="1132" w:type="dxa"/>
            <w:tcBorders>
              <w:top w:val="nil"/>
              <w:left w:val="single" w:sz="4" w:space="0" w:color="auto"/>
              <w:bottom w:val="single" w:sz="6" w:space="0" w:color="auto"/>
              <w:right w:val="single" w:sz="6" w:space="0" w:color="auto"/>
            </w:tcBorders>
            <w:vAlign w:val="center"/>
            <w:hideMark/>
          </w:tcPr>
          <w:p w14:paraId="1256BB4E" w14:textId="77777777" w:rsidR="00D03161" w:rsidRDefault="00D03161" w:rsidP="002B716D">
            <w:pPr>
              <w:pStyle w:val="TAC"/>
            </w:pPr>
          </w:p>
        </w:tc>
        <w:tc>
          <w:tcPr>
            <w:tcW w:w="715" w:type="dxa"/>
            <w:tcBorders>
              <w:top w:val="nil"/>
              <w:left w:val="single" w:sz="4" w:space="0" w:color="auto"/>
              <w:bottom w:val="nil"/>
              <w:right w:val="single" w:sz="4" w:space="0" w:color="auto"/>
            </w:tcBorders>
            <w:vAlign w:val="center"/>
            <w:hideMark/>
          </w:tcPr>
          <w:p w14:paraId="245C50A4" w14:textId="77777777" w:rsidR="00D03161" w:rsidRDefault="00D03161" w:rsidP="002B716D">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048E6AFD" w14:textId="77777777" w:rsidR="00D03161" w:rsidRDefault="00D03161" w:rsidP="002B716D">
            <w:pPr>
              <w:pStyle w:val="TAC"/>
            </w:pPr>
          </w:p>
        </w:tc>
        <w:tc>
          <w:tcPr>
            <w:tcW w:w="709" w:type="dxa"/>
            <w:tcBorders>
              <w:top w:val="nil"/>
              <w:left w:val="single" w:sz="4" w:space="0" w:color="auto"/>
              <w:bottom w:val="nil"/>
              <w:right w:val="single" w:sz="4" w:space="0" w:color="auto"/>
            </w:tcBorders>
            <w:vAlign w:val="center"/>
            <w:hideMark/>
          </w:tcPr>
          <w:p w14:paraId="66AB235B" w14:textId="77777777" w:rsidR="00D03161" w:rsidRDefault="00D03161" w:rsidP="002B716D">
            <w:pPr>
              <w:pStyle w:val="TAC"/>
            </w:pPr>
          </w:p>
        </w:tc>
        <w:tc>
          <w:tcPr>
            <w:tcW w:w="1832" w:type="dxa"/>
            <w:tcBorders>
              <w:top w:val="nil"/>
              <w:left w:val="single" w:sz="4" w:space="0" w:color="auto"/>
              <w:bottom w:val="single" w:sz="4" w:space="0" w:color="auto"/>
              <w:right w:val="single" w:sz="4" w:space="0" w:color="auto"/>
            </w:tcBorders>
            <w:vAlign w:val="center"/>
            <w:hideMark/>
          </w:tcPr>
          <w:p w14:paraId="4E7843C8" w14:textId="77777777" w:rsidR="00D03161" w:rsidRDefault="00D03161" w:rsidP="002B716D">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6CD34CE" w14:textId="77777777" w:rsidR="00D03161" w:rsidRDefault="00D03161" w:rsidP="002B716D">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hideMark/>
          </w:tcPr>
          <w:p w14:paraId="396FCB48" w14:textId="77777777" w:rsidR="00D03161" w:rsidRDefault="00D03161" w:rsidP="002B716D">
            <w:pPr>
              <w:pStyle w:val="TAC"/>
            </w:pPr>
            <w:r>
              <w:t>-111.5</w:t>
            </w:r>
          </w:p>
        </w:tc>
        <w:tc>
          <w:tcPr>
            <w:tcW w:w="1123" w:type="dxa"/>
            <w:tcBorders>
              <w:top w:val="nil"/>
              <w:left w:val="single" w:sz="4" w:space="0" w:color="auto"/>
              <w:bottom w:val="single" w:sz="4" w:space="0" w:color="auto"/>
              <w:right w:val="single" w:sz="4" w:space="0" w:color="auto"/>
            </w:tcBorders>
            <w:hideMark/>
          </w:tcPr>
          <w:p w14:paraId="10D65A28" w14:textId="77777777" w:rsidR="00D03161" w:rsidRDefault="00D03161" w:rsidP="002B716D">
            <w:pPr>
              <w:pStyle w:val="TAC"/>
            </w:pPr>
          </w:p>
        </w:tc>
      </w:tr>
      <w:tr w:rsidR="00D03161" w14:paraId="4346EBB4"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580ABAFD" w14:textId="77777777" w:rsidR="00D03161" w:rsidRDefault="00D03161" w:rsidP="002B716D">
            <w:pPr>
              <w:pStyle w:val="TAC"/>
            </w:pPr>
            <w:r>
              <w:t>± [15+</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2EB46AA8" w14:textId="77777777" w:rsidR="00D03161" w:rsidRDefault="00D03161" w:rsidP="002B716D">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5A6C7457" w14:textId="77777777" w:rsidR="00D03161" w:rsidRDefault="00D03161" w:rsidP="002B716D">
            <w:pPr>
              <w:pStyle w:val="TAC"/>
            </w:pPr>
            <w:r>
              <w:rPr>
                <w:rFonts w:cs="Calibri"/>
              </w:rPr>
              <w:t>≥</w:t>
            </w:r>
            <w:r>
              <w:rPr>
                <w:lang w:eastAsia="zh-CN"/>
              </w:rPr>
              <w:t>[64]</w:t>
            </w:r>
          </w:p>
        </w:tc>
        <w:tc>
          <w:tcPr>
            <w:tcW w:w="709" w:type="dxa"/>
            <w:tcBorders>
              <w:top w:val="nil"/>
              <w:left w:val="single" w:sz="4" w:space="0" w:color="auto"/>
              <w:bottom w:val="nil"/>
              <w:right w:val="single" w:sz="4" w:space="0" w:color="auto"/>
            </w:tcBorders>
          </w:tcPr>
          <w:p w14:paraId="0DB8081F" w14:textId="77777777" w:rsidR="00D03161" w:rsidRDefault="00D03161" w:rsidP="002B716D">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681C50EB" w14:textId="77777777" w:rsidR="00D03161" w:rsidRDefault="00D03161" w:rsidP="002B716D">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21594866" w14:textId="77777777" w:rsidR="00D03161" w:rsidRDefault="00D03161" w:rsidP="002B716D">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793B42A6" w14:textId="77777777" w:rsidR="00D03161" w:rsidRDefault="00D03161" w:rsidP="002B716D">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7178D316" w14:textId="77777777" w:rsidR="00D03161" w:rsidRDefault="00D03161" w:rsidP="002B716D">
            <w:pPr>
              <w:pStyle w:val="TAC"/>
            </w:pPr>
            <w:r>
              <w:t>NOTE 6</w:t>
            </w:r>
          </w:p>
        </w:tc>
      </w:tr>
      <w:tr w:rsidR="00D03161" w14:paraId="1C1A627D"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12CD23D9" w14:textId="77777777" w:rsidR="00D03161" w:rsidRDefault="00D03161" w:rsidP="002B716D">
            <w:pPr>
              <w:pStyle w:val="TAC"/>
            </w:pPr>
            <w:r>
              <w:t>± [7+</w:t>
            </w:r>
            <w:r>
              <w:sym w:font="Symbol" w:char="F064"/>
            </w:r>
            <w:r>
              <w:t>+</w:t>
            </w:r>
            <w:r>
              <w:rPr>
                <w:rFonts w:ascii="Cambria Math" w:hAnsi="Cambria Math"/>
                <w:color w:val="0070C0"/>
              </w:rPr>
              <w:t>ℇ</w:t>
            </w:r>
            <w:r>
              <w:t>]</w:t>
            </w:r>
          </w:p>
        </w:tc>
        <w:tc>
          <w:tcPr>
            <w:tcW w:w="715" w:type="dxa"/>
            <w:tcBorders>
              <w:top w:val="nil"/>
              <w:left w:val="single" w:sz="4" w:space="0" w:color="auto"/>
              <w:bottom w:val="single" w:sz="4" w:space="0" w:color="auto"/>
              <w:right w:val="single" w:sz="4" w:space="0" w:color="auto"/>
            </w:tcBorders>
            <w:vAlign w:val="center"/>
          </w:tcPr>
          <w:p w14:paraId="62E4EBEF" w14:textId="77777777" w:rsidR="00D03161" w:rsidRDefault="00D03161" w:rsidP="002B716D">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33C2132" w14:textId="77777777" w:rsidR="00D03161" w:rsidRDefault="00D03161" w:rsidP="002B716D">
            <w:pPr>
              <w:pStyle w:val="TAC"/>
            </w:pPr>
            <w:r>
              <w:rPr>
                <w:rFonts w:cs="Calibri"/>
              </w:rPr>
              <w:t>≥</w:t>
            </w:r>
            <w:r>
              <w:rPr>
                <w:lang w:eastAsia="zh-CN"/>
              </w:rPr>
              <w:t>[132]</w:t>
            </w:r>
          </w:p>
        </w:tc>
        <w:tc>
          <w:tcPr>
            <w:tcW w:w="709" w:type="dxa"/>
            <w:tcBorders>
              <w:top w:val="nil"/>
              <w:left w:val="single" w:sz="4" w:space="0" w:color="auto"/>
              <w:bottom w:val="single" w:sz="4" w:space="0" w:color="auto"/>
              <w:right w:val="single" w:sz="4" w:space="0" w:color="auto"/>
            </w:tcBorders>
          </w:tcPr>
          <w:p w14:paraId="34D227D3" w14:textId="77777777" w:rsidR="00D03161" w:rsidRDefault="00D03161" w:rsidP="002B716D">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7D4E8704" w14:textId="77777777" w:rsidR="00D03161" w:rsidRDefault="00D03161" w:rsidP="002B716D">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489EB298" w14:textId="77777777" w:rsidR="00D03161" w:rsidRDefault="00D03161" w:rsidP="002B716D">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0B363ABA" w14:textId="77777777" w:rsidR="00D03161" w:rsidRDefault="00D03161" w:rsidP="002B716D">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3A77AC51" w14:textId="77777777" w:rsidR="00D03161" w:rsidRDefault="00D03161" w:rsidP="002B716D">
            <w:pPr>
              <w:pStyle w:val="TAC"/>
            </w:pPr>
            <w:r>
              <w:t>NOTE 6</w:t>
            </w:r>
          </w:p>
        </w:tc>
      </w:tr>
      <w:tr w:rsidR="00D03161" w14:paraId="56F51A5A" w14:textId="77777777" w:rsidTr="005F054A">
        <w:trPr>
          <w:jc w:val="center"/>
        </w:trPr>
        <w:tc>
          <w:tcPr>
            <w:tcW w:w="10200" w:type="dxa"/>
            <w:gridSpan w:val="8"/>
            <w:tcBorders>
              <w:top w:val="single" w:sz="4" w:space="0" w:color="auto"/>
              <w:left w:val="single" w:sz="4" w:space="0" w:color="auto"/>
              <w:bottom w:val="single" w:sz="4" w:space="0" w:color="auto"/>
              <w:right w:val="single" w:sz="4" w:space="0" w:color="auto"/>
            </w:tcBorders>
            <w:hideMark/>
          </w:tcPr>
          <w:p w14:paraId="3B411EB1" w14:textId="77777777" w:rsidR="00D03161" w:rsidRDefault="00D03161" w:rsidP="002B716D">
            <w:pPr>
              <w:pStyle w:val="TAN"/>
            </w:pPr>
            <w:r>
              <w:t>N</w:t>
            </w:r>
            <w:r>
              <w:rPr>
                <w:lang w:eastAsia="zh-CN"/>
              </w:rPr>
              <w:t>OTE</w:t>
            </w:r>
            <w:r>
              <w:t xml:space="preserve"> 1:</w:t>
            </w:r>
            <w:r>
              <w:tab/>
              <w:t>This minimum Io condition is expressed as the average Io per RE over all REs in an OFDM symbol.</w:t>
            </w:r>
          </w:p>
          <w:p w14:paraId="4C433881" w14:textId="77777777" w:rsidR="00D03161" w:rsidRDefault="00D03161" w:rsidP="002B716D">
            <w:pPr>
              <w:pStyle w:val="TAN"/>
            </w:pPr>
            <w:r>
              <w:t>NOTE 2:</w:t>
            </w:r>
            <w:r>
              <w:tab/>
              <w:t>NR operating band groups are as defined in Section 3.5.</w:t>
            </w:r>
          </w:p>
          <w:p w14:paraId="49DB7C49" w14:textId="77777777" w:rsidR="00D03161" w:rsidRDefault="00D03161" w:rsidP="002B716D">
            <w:pPr>
              <w:pStyle w:val="TAN"/>
            </w:pPr>
            <w:r>
              <w:t>N</w:t>
            </w:r>
            <w:r>
              <w:rPr>
                <w:lang w:eastAsia="zh-CN"/>
              </w:rPr>
              <w:t>OTE</w:t>
            </w:r>
            <w:r>
              <w:t xml:space="preserve"> 3:</w:t>
            </w:r>
            <w:r>
              <w:tab/>
            </w:r>
            <m:oMath>
              <m:sSubSup>
                <m:sSubSupPr>
                  <m:ctrlPr>
                    <w:rPr>
                      <w:rFonts w:ascii="Cambria Math" w:hAnsi="Cambria Math"/>
                      <w:i/>
                      <w:szCs w:val="18"/>
                    </w:rPr>
                  </m:ctrlPr>
                </m:sSubSupPr>
                <m:e>
                  <m:r>
                    <w:rPr>
                      <w:rFonts w:ascii="Cambria Math" w:hAnsi="Cambria Math"/>
                    </w:rPr>
                    <m:t>T</m:t>
                  </m:r>
                </m:e>
                <m:sub>
                  <m:r>
                    <m:rPr>
                      <m:sty m:val="p"/>
                    </m:rPr>
                    <w:rPr>
                      <w:rFonts w:ascii="Cambria Math" w:hAnsi="Cambria Math"/>
                    </w:rPr>
                    <m:t>rep</m:t>
                  </m:r>
                </m:sub>
                <m:sup>
                  <m:r>
                    <m:rPr>
                      <m:sty m:val="p"/>
                    </m:rPr>
                    <w:rPr>
                      <w:rFonts w:ascii="Cambria Math" w:hAnsi="Cambria Math"/>
                    </w:rPr>
                    <m:t>PRS</m:t>
                  </m:r>
                </m:sup>
              </m:sSubSup>
              <m:r>
                <w:rPr>
                  <w:rFonts w:ascii="Cambria Math" w:hAnsi="Cambria Math"/>
                </w:rPr>
                <m:t xml:space="preserve">, </m:t>
              </m:r>
              <m:sSub>
                <m:sSubPr>
                  <m:ctrlPr>
                    <w:rPr>
                      <w:rFonts w:ascii="Cambria Math" w:hAnsi="Cambria Math"/>
                      <w:szCs w:val="18"/>
                    </w:rPr>
                  </m:ctrlPr>
                </m:sSubPr>
                <m:e>
                  <m:r>
                    <w:rPr>
                      <w:rFonts w:ascii="Cambria Math" w:hAnsi="Cambria Math"/>
                    </w:rPr>
                    <m:t>L</m:t>
                  </m:r>
                </m:e>
                <m:sub>
                  <m:r>
                    <m:rPr>
                      <m:sty m:val="p"/>
                    </m:rPr>
                    <w:rPr>
                      <w:rFonts w:ascii="Cambria Math" w:hAnsi="Cambria Math"/>
                    </w:rPr>
                    <m:t>PRS</m:t>
                  </m:r>
                </m:sub>
              </m:sSub>
              <m:r>
                <w:rPr>
                  <w:rFonts w:ascii="Cambria Math" w:hAnsi="Cambria Math"/>
                </w:rPr>
                <m:t xml:space="preserve"> ,</m:t>
              </m:r>
              <m:sSubSup>
                <m:sSubSupPr>
                  <m:ctrlPr>
                    <w:rPr>
                      <w:rFonts w:ascii="Cambria Math" w:hAnsi="Cambria Math"/>
                      <w:i/>
                      <w:szCs w:val="18"/>
                    </w:rPr>
                  </m:ctrlPr>
                </m:sSubSupPr>
                <m:e>
                  <m:r>
                    <w:rPr>
                      <w:rFonts w:ascii="Cambria Math" w:hAnsi="Cambria Math"/>
                    </w:rPr>
                    <m:t>K</m:t>
                  </m:r>
                </m:e>
                <m:sub>
                  <m:r>
                    <m:rPr>
                      <m:sty m:val="p"/>
                    </m:rPr>
                    <w:rPr>
                      <w:rFonts w:ascii="Cambria Math" w:hAnsi="Cambria Math"/>
                    </w:rPr>
                    <m:t>comb</m:t>
                  </m:r>
                </m:sub>
                <m:sup>
                  <m:r>
                    <m:rPr>
                      <m:sty m:val="p"/>
                    </m:rPr>
                    <w:rPr>
                      <w:rFonts w:ascii="Cambria Math" w:hAnsi="Cambria Math"/>
                    </w:rPr>
                    <m:t>PRS</m:t>
                  </m:r>
                </m:sup>
              </m:sSubSup>
            </m:oMath>
            <w:r>
              <w:rPr>
                <w:b/>
                <w:bCs/>
                <w:lang w:eastAsia="zh-CN"/>
              </w:rPr>
              <w:t xml:space="preserve"> </w:t>
            </w:r>
            <w:r>
              <w:t xml:space="preserve">are configured by higher layer parameter </w:t>
            </w:r>
            <w:r>
              <w:rPr>
                <w:i/>
              </w:rPr>
              <w:t>dl-PRS-ResourceRepetitionFactor, dl-PRS-NumSymbols and  dl-PRS-CombSizeN</w:t>
            </w:r>
            <w:r>
              <w:rPr>
                <w:iCs/>
              </w:rPr>
              <w:t>defined in TS 37.355 [34]</w:t>
            </w:r>
            <w:r>
              <w:rPr>
                <w:iCs/>
                <w:lang w:val="en-US" w:eastAsia="zh-CN"/>
              </w:rPr>
              <w:t>.</w:t>
            </w:r>
          </w:p>
          <w:p w14:paraId="043BEB0B" w14:textId="77777777" w:rsidR="00D03161" w:rsidRDefault="00D03161" w:rsidP="002B716D">
            <w:pPr>
              <w:pStyle w:val="TAN"/>
            </w:pPr>
            <w:r>
              <w:t>NOTE 4:</w:t>
            </w:r>
            <w:r>
              <w:tab/>
              <w:t>The Io is defined in PRS slots. The same Io range applies to PRS and non-PRS symbols. Io levels are different in PRS and non-PRS symbols within the same slot.</w:t>
            </w:r>
          </w:p>
          <w:p w14:paraId="09B4B567" w14:textId="77777777" w:rsidR="00D03161" w:rsidRDefault="00D03161" w:rsidP="002B716D">
            <w:pPr>
              <w:pStyle w:val="TAN"/>
            </w:pPr>
            <w:r>
              <w:t>N</w:t>
            </w:r>
            <w:r>
              <w:rPr>
                <w:lang w:eastAsia="zh-CN"/>
              </w:rPr>
              <w:t>OTE</w:t>
            </w:r>
            <w:r>
              <w:t xml:space="preserve"> 5:</w:t>
            </w:r>
            <w:r>
              <w:tab/>
              <w:t>Tc is the basic timing unit defined in TS 38.211 [6].</w:t>
            </w:r>
          </w:p>
          <w:p w14:paraId="749FF0EE" w14:textId="77777777" w:rsidR="00D03161" w:rsidRDefault="00D03161" w:rsidP="002B716D">
            <w:pPr>
              <w:pStyle w:val="TAN"/>
            </w:pPr>
            <w:r>
              <w:t>NOTE 6:</w:t>
            </w:r>
            <w:r>
              <w:tab/>
              <w:t>The same bands and the same Io conditions for each band apply for this requirement as for the corresponding requirement with the PRS bandwidth of the smallest RB number for the corresponding SCS.</w:t>
            </w:r>
          </w:p>
          <w:p w14:paraId="36EAC35D" w14:textId="028D1AE2" w:rsidR="00D03161" w:rsidRDefault="00D03161" w:rsidP="002B716D">
            <w:pPr>
              <w:pStyle w:val="TAN"/>
              <w:rPr>
                <w:rFonts w:eastAsia="SimSun" w:cs="Arial"/>
                <w:szCs w:val="18"/>
                <w:lang w:eastAsia="ko-KR"/>
              </w:rPr>
            </w:pPr>
            <w:r>
              <w:rPr>
                <w:rFonts w:eastAsia="SimSun"/>
                <w:lang w:eastAsia="ko-KR"/>
              </w:rPr>
              <w:t xml:space="preserve">NOTE 7: </w:t>
            </w:r>
            <w:r>
              <w:rPr>
                <w:rFonts w:eastAsia="SimSun"/>
                <w:lang w:eastAsia="ko-KR"/>
              </w:rPr>
              <w:tab/>
            </w:r>
            <w:r>
              <w:rPr>
                <w:rFonts w:eastAsia="SimSun" w:cs="Arial"/>
                <w:szCs w:val="18"/>
                <w:lang w:eastAsia="ko-KR"/>
              </w:rPr>
              <w:sym w:font="Symbol" w:char="F064"/>
            </w:r>
            <w:r>
              <w:rPr>
                <w:rFonts w:eastAsia="SimSun" w:cs="Arial"/>
                <w:szCs w:val="18"/>
                <w:lang w:eastAsia="ko-KR"/>
              </w:rPr>
              <w:t xml:space="preserve"> is the margin determined from Table 10.1.39.2-3.</w:t>
            </w:r>
          </w:p>
          <w:p w14:paraId="675585A6" w14:textId="7A4D0E83" w:rsidR="00D03161" w:rsidRPr="00E7602D" w:rsidRDefault="00D03161" w:rsidP="002B716D">
            <w:pPr>
              <w:pStyle w:val="TAN"/>
            </w:pPr>
            <w:r>
              <w:rPr>
                <w:rFonts w:eastAsia="SimSun"/>
                <w:lang w:eastAsia="ko-KR"/>
              </w:rPr>
              <w:t xml:space="preserve">NOTE 8: </w:t>
            </w:r>
            <w:r>
              <w:rPr>
                <w:rFonts w:eastAsia="SimSun"/>
                <w:lang w:eastAsia="ko-KR"/>
              </w:rPr>
              <w:tab/>
            </w:r>
            <w:r w:rsidRPr="00E7602D">
              <w:rPr>
                <w:rFonts w:ascii="Cambria Math" w:hAnsi="Cambria Math"/>
              </w:rPr>
              <w:t>ℇ</w:t>
            </w:r>
            <w:r w:rsidRPr="00E7602D">
              <w:rPr>
                <w:rFonts w:eastAsia="SimSun" w:cs="Arial"/>
                <w:szCs w:val="18"/>
                <w:lang w:eastAsia="ko-KR"/>
              </w:rPr>
              <w:t xml:space="preserve"> is the margin for reporting quantitization error and </w:t>
            </w:r>
            <w:r w:rsidRPr="00E7602D">
              <w:rPr>
                <w:rFonts w:ascii="Cambria Math" w:hAnsi="Cambria Math"/>
              </w:rPr>
              <w:t>ℇ=16 Tc</w:t>
            </w:r>
            <w:r w:rsidRPr="00E7602D">
              <w:rPr>
                <w:rFonts w:eastAsia="SimSun" w:cs="Arial"/>
                <w:szCs w:val="18"/>
                <w:lang w:eastAsia="ko-KR"/>
              </w:rPr>
              <w:t>.</w:t>
            </w:r>
          </w:p>
        </w:tc>
      </w:tr>
    </w:tbl>
    <w:p w14:paraId="1400E1DD" w14:textId="77777777" w:rsidR="00D03161" w:rsidRDefault="00D03161" w:rsidP="00D03161"/>
    <w:p w14:paraId="00E595BC" w14:textId="77777777" w:rsidR="00D03161" w:rsidRDefault="00D03161" w:rsidP="00D03161">
      <w:r>
        <w:t>The accuracy requirements in Table 10.1.39.2-2 for FR2 are valid under the following conditions:</w:t>
      </w:r>
    </w:p>
    <w:p w14:paraId="02ADF47D" w14:textId="77777777" w:rsidR="00D03161" w:rsidRDefault="00D03161" w:rsidP="002B716D">
      <w:pPr>
        <w:pStyle w:val="B10"/>
      </w:pPr>
      <w:r>
        <w:t>Conditions defined in clause 7.3 of TS 38.101-2 [19] for reference sensitivity are fulfilled.</w:t>
      </w:r>
    </w:p>
    <w:p w14:paraId="668912CF" w14:textId="77777777" w:rsidR="00D03161" w:rsidRDefault="00D03161" w:rsidP="002B716D">
      <w:pPr>
        <w:pStyle w:val="B10"/>
      </w:pPr>
      <w:r>
        <w:t>PRP|</w:t>
      </w:r>
      <w:r>
        <w:rPr>
          <w:vertAlign w:val="subscript"/>
        </w:rPr>
        <w:t>dBm</w:t>
      </w:r>
      <w:r>
        <w:t xml:space="preserve"> according to Annex [TBD] for a corresponding Band.</w:t>
      </w:r>
    </w:p>
    <w:p w14:paraId="33A38BC4" w14:textId="77777777" w:rsidR="00D03161" w:rsidRDefault="00D03161" w:rsidP="002B716D">
      <w:pPr>
        <w:pStyle w:val="B10"/>
      </w:pPr>
      <w:r>
        <w:t>AWGN propagation condition.</w:t>
      </w:r>
    </w:p>
    <w:p w14:paraId="2435B366" w14:textId="77777777" w:rsidR="00D03161" w:rsidRDefault="00D03161" w:rsidP="002B716D">
      <w:pPr>
        <w:pStyle w:val="TH"/>
      </w:pPr>
      <w:r>
        <w:t>Table 10.1.39.2-2: UE Rx-Tx time difference measurement accuracy in FR2 in AWGN</w:t>
      </w:r>
    </w:p>
    <w:tbl>
      <w:tblPr>
        <w:tblW w:w="10200" w:type="dxa"/>
        <w:jc w:val="center"/>
        <w:tblLayout w:type="fixed"/>
        <w:tblLook w:val="01E0" w:firstRow="1" w:lastRow="1" w:firstColumn="1" w:lastColumn="1" w:noHBand="0" w:noVBand="0"/>
      </w:tblPr>
      <w:tblGrid>
        <w:gridCol w:w="1133"/>
        <w:gridCol w:w="851"/>
        <w:gridCol w:w="1133"/>
        <w:gridCol w:w="845"/>
        <w:gridCol w:w="1422"/>
        <w:gridCol w:w="3258"/>
        <w:gridCol w:w="1558"/>
      </w:tblGrid>
      <w:tr w:rsidR="00D03161" w14:paraId="6B97FF3E" w14:textId="77777777" w:rsidTr="005F054A">
        <w:trPr>
          <w:jc w:val="center"/>
        </w:trPr>
        <w:tc>
          <w:tcPr>
            <w:tcW w:w="1133" w:type="dxa"/>
            <w:vMerge w:val="restart"/>
            <w:tcBorders>
              <w:top w:val="single" w:sz="4" w:space="0" w:color="auto"/>
              <w:left w:val="single" w:sz="4" w:space="0" w:color="auto"/>
              <w:bottom w:val="single" w:sz="6" w:space="0" w:color="auto"/>
              <w:right w:val="single" w:sz="6" w:space="0" w:color="auto"/>
            </w:tcBorders>
            <w:vAlign w:val="center"/>
            <w:hideMark/>
          </w:tcPr>
          <w:p w14:paraId="3B3017B0" w14:textId="77777777" w:rsidR="00D03161" w:rsidRDefault="00D03161" w:rsidP="002B716D">
            <w:pPr>
              <w:pStyle w:val="TAH"/>
            </w:pPr>
            <w:r>
              <w:t>Accuracy</w:t>
            </w:r>
          </w:p>
        </w:tc>
        <w:tc>
          <w:tcPr>
            <w:tcW w:w="9067" w:type="dxa"/>
            <w:gridSpan w:val="6"/>
            <w:tcBorders>
              <w:top w:val="single" w:sz="4" w:space="0" w:color="auto"/>
              <w:left w:val="single" w:sz="6" w:space="0" w:color="auto"/>
              <w:bottom w:val="single" w:sz="6" w:space="0" w:color="auto"/>
              <w:right w:val="single" w:sz="4" w:space="0" w:color="auto"/>
            </w:tcBorders>
            <w:hideMark/>
          </w:tcPr>
          <w:p w14:paraId="3F09874A" w14:textId="77777777" w:rsidR="00D03161" w:rsidRDefault="00D03161" w:rsidP="002B716D">
            <w:pPr>
              <w:pStyle w:val="TAH"/>
            </w:pPr>
            <w:r>
              <w:t>Conditions</w:t>
            </w:r>
          </w:p>
        </w:tc>
      </w:tr>
      <w:tr w:rsidR="00D03161" w14:paraId="250DB677" w14:textId="77777777" w:rsidTr="005F054A">
        <w:trPr>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4127D3CD" w14:textId="77777777" w:rsidR="00D03161" w:rsidRDefault="00D03161" w:rsidP="002B716D">
            <w:pPr>
              <w:pStyle w:val="TAH"/>
            </w:pPr>
          </w:p>
        </w:tc>
        <w:tc>
          <w:tcPr>
            <w:tcW w:w="851" w:type="dxa"/>
            <w:vMerge w:val="restart"/>
            <w:tcBorders>
              <w:top w:val="single" w:sz="6" w:space="0" w:color="auto"/>
              <w:left w:val="single" w:sz="6" w:space="0" w:color="auto"/>
              <w:bottom w:val="single" w:sz="6" w:space="0" w:color="auto"/>
              <w:right w:val="single" w:sz="6" w:space="0" w:color="auto"/>
            </w:tcBorders>
            <w:vAlign w:val="center"/>
            <w:hideMark/>
          </w:tcPr>
          <w:p w14:paraId="2FF53711" w14:textId="77777777" w:rsidR="00D03161" w:rsidRDefault="00D03161" w:rsidP="002B716D">
            <w:pPr>
              <w:pStyle w:val="TAH"/>
            </w:pPr>
            <w:r>
              <w:t>PRS Ês/Iot</w:t>
            </w:r>
          </w:p>
        </w:tc>
        <w:tc>
          <w:tcPr>
            <w:tcW w:w="1133" w:type="dxa"/>
            <w:vMerge w:val="restart"/>
            <w:tcBorders>
              <w:top w:val="single" w:sz="6" w:space="0" w:color="auto"/>
              <w:left w:val="single" w:sz="6" w:space="0" w:color="auto"/>
              <w:bottom w:val="single" w:sz="6" w:space="0" w:color="auto"/>
              <w:right w:val="single" w:sz="6" w:space="0" w:color="auto"/>
            </w:tcBorders>
            <w:vAlign w:val="center"/>
            <w:hideMark/>
          </w:tcPr>
          <w:p w14:paraId="6D4E479D" w14:textId="77777777" w:rsidR="00D03161" w:rsidRDefault="00D03161" w:rsidP="002B716D">
            <w:pPr>
              <w:pStyle w:val="TAH"/>
            </w:pPr>
            <w:r>
              <w:t>Minimum PRS bandwidth</w:t>
            </w:r>
          </w:p>
        </w:tc>
        <w:tc>
          <w:tcPr>
            <w:tcW w:w="845" w:type="dxa"/>
            <w:vMerge w:val="restart"/>
            <w:tcBorders>
              <w:top w:val="single" w:sz="6" w:space="0" w:color="auto"/>
              <w:left w:val="single" w:sz="6" w:space="0" w:color="auto"/>
              <w:bottom w:val="single" w:sz="6" w:space="0" w:color="auto"/>
              <w:right w:val="single" w:sz="6" w:space="0" w:color="auto"/>
            </w:tcBorders>
          </w:tcPr>
          <w:p w14:paraId="6F1E33F7" w14:textId="77777777" w:rsidR="00D03161" w:rsidRDefault="00D03161" w:rsidP="002B716D">
            <w:pPr>
              <w:pStyle w:val="TAH"/>
            </w:pPr>
          </w:p>
          <w:p w14:paraId="74BC7427" w14:textId="77777777" w:rsidR="00D03161" w:rsidRDefault="00D03161" w:rsidP="002B716D">
            <w:pPr>
              <w:pStyle w:val="TAH"/>
            </w:pPr>
            <w:r>
              <w:t>PRS SCS</w:t>
            </w:r>
          </w:p>
        </w:tc>
        <w:tc>
          <w:tcPr>
            <w:tcW w:w="1422" w:type="dxa"/>
            <w:vMerge w:val="restart"/>
            <w:tcBorders>
              <w:top w:val="single" w:sz="6" w:space="0" w:color="auto"/>
              <w:left w:val="single" w:sz="6" w:space="0" w:color="auto"/>
              <w:bottom w:val="single" w:sz="6" w:space="0" w:color="auto"/>
              <w:right w:val="single" w:sz="6" w:space="0" w:color="auto"/>
            </w:tcBorders>
            <w:vAlign w:val="center"/>
            <w:hideMark/>
          </w:tcPr>
          <w:p w14:paraId="7CC0EBE2" w14:textId="77777777" w:rsidR="00D03161" w:rsidRDefault="00D03161" w:rsidP="002B716D">
            <w:pPr>
              <w:pStyle w:val="TAH"/>
              <w:rPr>
                <w:lang w:eastAsia="zh-CN"/>
              </w:rPr>
            </w:pPr>
            <w:r>
              <w:rPr>
                <w:lang w:eastAsia="zh-CN"/>
              </w:rPr>
              <w:t>PRS resource repetition</w:t>
            </w:r>
            <m:oMath>
              <m:sSubSup>
                <m:sSubSupPr>
                  <m:ctrlPr>
                    <w:rPr>
                      <w:rFonts w:ascii="Cambria Math" w:hAnsi="Cambria Math"/>
                      <w:i/>
                      <w:szCs w:val="18"/>
                    </w:rPr>
                  </m:ctrlPr>
                </m:sSubSupPr>
                <m:e>
                  <m:r>
                    <m:rPr>
                      <m:sty m:val="bi"/>
                    </m:rPr>
                    <w:rPr>
                      <w:rFonts w:ascii="Cambria Math" w:hAnsi="Cambria Math"/>
                    </w:rPr>
                    <m:t>(T</m:t>
                  </m:r>
                </m:e>
                <m:sub>
                  <m:r>
                    <m:rPr>
                      <m:sty m:val="b"/>
                    </m:rPr>
                    <w:rPr>
                      <w:rFonts w:ascii="Cambria Math" w:hAnsi="Cambria Math"/>
                    </w:rPr>
                    <m:t>rep</m:t>
                  </m:r>
                </m:sub>
                <m:sup>
                  <m:r>
                    <m:rPr>
                      <m:sty m:val="b"/>
                    </m:rPr>
                    <w:rPr>
                      <w:rFonts w:ascii="Cambria Math" w:hAnsi="Cambria Math"/>
                    </w:rPr>
                    <m:t>PRS</m:t>
                  </m:r>
                </m:sup>
              </m:sSubSup>
              <m:r>
                <m:rPr>
                  <m:sty m:val="bi"/>
                </m:rPr>
                <w:rPr>
                  <w:rFonts w:ascii="Cambria Math" w:hAnsi="Cambria Math"/>
                </w:rPr>
                <m:t>*</m:t>
              </m:r>
              <m:sSub>
                <m:sSubPr>
                  <m:ctrlPr>
                    <w:rPr>
                      <w:rFonts w:ascii="Cambria Math" w:hAnsi="Cambria Math"/>
                      <w:szCs w:val="18"/>
                    </w:rPr>
                  </m:ctrlPr>
                </m:sSubPr>
                <m:e>
                  <m:r>
                    <m:rPr>
                      <m:sty m:val="bi"/>
                    </m:rPr>
                    <w:rPr>
                      <w:rFonts w:ascii="Cambria Math" w:hAnsi="Cambria Math"/>
                    </w:rPr>
                    <m:t>L</m:t>
                  </m:r>
                </m:e>
                <m:sub>
                  <m:r>
                    <m:rPr>
                      <m:sty m:val="b"/>
                    </m:rPr>
                    <w:rPr>
                      <w:rFonts w:ascii="Cambria Math" w:hAnsi="Cambria Math"/>
                    </w:rPr>
                    <m:t>PRS</m:t>
                  </m:r>
                </m:sub>
              </m:sSub>
              <m:r>
                <m:rPr>
                  <m:sty m:val="bi"/>
                </m:rPr>
                <w:rPr>
                  <w:rFonts w:ascii="Cambria Math" w:hAnsi="Cambria Math"/>
                </w:rPr>
                <m:t>/</m:t>
              </m:r>
              <m:sSubSup>
                <m:sSubSupPr>
                  <m:ctrlPr>
                    <w:rPr>
                      <w:rFonts w:ascii="Cambria Math" w:hAnsi="Cambria Math"/>
                      <w:i/>
                      <w:szCs w:val="18"/>
                    </w:rPr>
                  </m:ctrlPr>
                </m:sSubSupPr>
                <m:e>
                  <m:r>
                    <m:rPr>
                      <m:sty m:val="bi"/>
                    </m:rPr>
                    <w:rPr>
                      <w:rFonts w:ascii="Cambria Math" w:hAnsi="Cambria Math"/>
                    </w:rPr>
                    <m:t>K</m:t>
                  </m:r>
                </m:e>
                <m:sub>
                  <m:r>
                    <m:rPr>
                      <m:sty m:val="b"/>
                    </m:rPr>
                    <w:rPr>
                      <w:rFonts w:ascii="Cambria Math" w:hAnsi="Cambria Math"/>
                    </w:rPr>
                    <m:t>comb</m:t>
                  </m:r>
                </m:sub>
                <m:sup>
                  <m:r>
                    <m:rPr>
                      <m:sty m:val="b"/>
                    </m:rPr>
                    <w:rPr>
                      <w:rFonts w:ascii="Cambria Math" w:hAnsi="Cambria Math"/>
                    </w:rPr>
                    <m:t>PRS</m:t>
                  </m:r>
                </m:sup>
              </m:sSubSup>
            </m:oMath>
            <w:r>
              <w:rPr>
                <w:vertAlign w:val="superscript"/>
              </w:rPr>
              <w:t>Note 3</w:t>
            </w:r>
          </w:p>
        </w:tc>
        <w:tc>
          <w:tcPr>
            <w:tcW w:w="4816" w:type="dxa"/>
            <w:gridSpan w:val="2"/>
            <w:tcBorders>
              <w:top w:val="single" w:sz="6" w:space="0" w:color="auto"/>
              <w:left w:val="single" w:sz="6" w:space="0" w:color="auto"/>
              <w:bottom w:val="single" w:sz="6" w:space="0" w:color="auto"/>
              <w:right w:val="single" w:sz="4" w:space="0" w:color="auto"/>
            </w:tcBorders>
            <w:vAlign w:val="center"/>
            <w:hideMark/>
          </w:tcPr>
          <w:p w14:paraId="102636B7" w14:textId="77777777" w:rsidR="00D03161" w:rsidRDefault="00D03161" w:rsidP="002B716D">
            <w:pPr>
              <w:pStyle w:val="TAH"/>
            </w:pPr>
            <w:r>
              <w:t>Io</w:t>
            </w:r>
            <w:r>
              <w:rPr>
                <w:vertAlign w:val="superscript"/>
                <w:lang w:eastAsia="zh-CN"/>
              </w:rPr>
              <w:t>Note 4</w:t>
            </w:r>
            <w:r>
              <w:t xml:space="preserve"> range</w:t>
            </w:r>
          </w:p>
        </w:tc>
      </w:tr>
      <w:tr w:rsidR="00D03161" w14:paraId="7CCFD644" w14:textId="77777777" w:rsidTr="005F054A">
        <w:trPr>
          <w:trHeight w:val="822"/>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1A1DBE9C" w14:textId="77777777" w:rsidR="00D03161" w:rsidRDefault="00D03161" w:rsidP="002B716D">
            <w:pPr>
              <w:pStyle w:val="TAH"/>
            </w:pPr>
          </w:p>
        </w:tc>
        <w:tc>
          <w:tcPr>
            <w:tcW w:w="851" w:type="dxa"/>
            <w:vMerge/>
            <w:tcBorders>
              <w:top w:val="single" w:sz="6" w:space="0" w:color="auto"/>
              <w:left w:val="single" w:sz="6" w:space="0" w:color="auto"/>
              <w:bottom w:val="single" w:sz="6" w:space="0" w:color="auto"/>
              <w:right w:val="single" w:sz="6" w:space="0" w:color="auto"/>
            </w:tcBorders>
            <w:vAlign w:val="center"/>
            <w:hideMark/>
          </w:tcPr>
          <w:p w14:paraId="0226362D" w14:textId="77777777" w:rsidR="00D03161" w:rsidRDefault="00D03161" w:rsidP="002B716D">
            <w:pPr>
              <w:pStyle w:val="TAH"/>
            </w:pPr>
          </w:p>
        </w:tc>
        <w:tc>
          <w:tcPr>
            <w:tcW w:w="1133" w:type="dxa"/>
            <w:vMerge/>
            <w:tcBorders>
              <w:top w:val="single" w:sz="6" w:space="0" w:color="auto"/>
              <w:left w:val="single" w:sz="6" w:space="0" w:color="auto"/>
              <w:bottom w:val="single" w:sz="6" w:space="0" w:color="auto"/>
              <w:right w:val="single" w:sz="6" w:space="0" w:color="auto"/>
            </w:tcBorders>
            <w:vAlign w:val="center"/>
            <w:hideMark/>
          </w:tcPr>
          <w:p w14:paraId="0EF9051D" w14:textId="77777777" w:rsidR="00D03161" w:rsidRDefault="00D03161" w:rsidP="002B716D">
            <w:pPr>
              <w:pStyle w:val="TAH"/>
            </w:pPr>
          </w:p>
        </w:tc>
        <w:tc>
          <w:tcPr>
            <w:tcW w:w="845" w:type="dxa"/>
            <w:vMerge/>
            <w:tcBorders>
              <w:top w:val="single" w:sz="6" w:space="0" w:color="auto"/>
              <w:left w:val="single" w:sz="6" w:space="0" w:color="auto"/>
              <w:bottom w:val="single" w:sz="6" w:space="0" w:color="auto"/>
              <w:right w:val="single" w:sz="6" w:space="0" w:color="auto"/>
            </w:tcBorders>
            <w:vAlign w:val="center"/>
            <w:hideMark/>
          </w:tcPr>
          <w:p w14:paraId="0245D5D3" w14:textId="77777777" w:rsidR="00D03161" w:rsidRDefault="00D03161" w:rsidP="002B716D">
            <w:pPr>
              <w:pStyle w:val="TAH"/>
            </w:pPr>
          </w:p>
        </w:tc>
        <w:tc>
          <w:tcPr>
            <w:tcW w:w="1422" w:type="dxa"/>
            <w:vMerge/>
            <w:tcBorders>
              <w:top w:val="single" w:sz="6" w:space="0" w:color="auto"/>
              <w:left w:val="single" w:sz="6" w:space="0" w:color="auto"/>
              <w:bottom w:val="single" w:sz="6" w:space="0" w:color="auto"/>
              <w:right w:val="single" w:sz="6" w:space="0" w:color="auto"/>
            </w:tcBorders>
            <w:vAlign w:val="center"/>
            <w:hideMark/>
          </w:tcPr>
          <w:p w14:paraId="4C28B12E" w14:textId="77777777" w:rsidR="00D03161" w:rsidRDefault="00D03161" w:rsidP="002B716D">
            <w:pPr>
              <w:pStyle w:val="TAH"/>
              <w:rPr>
                <w:lang w:eastAsia="zh-CN"/>
              </w:rPr>
            </w:pPr>
          </w:p>
        </w:tc>
        <w:tc>
          <w:tcPr>
            <w:tcW w:w="3258" w:type="dxa"/>
            <w:tcBorders>
              <w:top w:val="single" w:sz="6" w:space="0" w:color="auto"/>
              <w:left w:val="single" w:sz="6" w:space="0" w:color="auto"/>
              <w:bottom w:val="single" w:sz="6" w:space="0" w:color="auto"/>
              <w:right w:val="single" w:sz="6" w:space="0" w:color="auto"/>
            </w:tcBorders>
            <w:vAlign w:val="center"/>
            <w:hideMark/>
          </w:tcPr>
          <w:p w14:paraId="50220E06" w14:textId="77777777" w:rsidR="00D03161" w:rsidRDefault="00D03161" w:rsidP="002B716D">
            <w:pPr>
              <w:pStyle w:val="TAH"/>
            </w:pPr>
            <w:r>
              <w:t>Minimum</w:t>
            </w:r>
            <w:r>
              <w:br/>
              <w:t>Io</w:t>
            </w:r>
            <w:r>
              <w:rPr>
                <w:vertAlign w:val="superscript"/>
              </w:rPr>
              <w:t>Note 1</w:t>
            </w:r>
          </w:p>
        </w:tc>
        <w:tc>
          <w:tcPr>
            <w:tcW w:w="1558" w:type="dxa"/>
            <w:tcBorders>
              <w:top w:val="single" w:sz="6" w:space="0" w:color="auto"/>
              <w:left w:val="single" w:sz="6" w:space="0" w:color="auto"/>
              <w:bottom w:val="single" w:sz="6" w:space="0" w:color="auto"/>
              <w:right w:val="single" w:sz="4" w:space="0" w:color="auto"/>
            </w:tcBorders>
            <w:vAlign w:val="center"/>
            <w:hideMark/>
          </w:tcPr>
          <w:p w14:paraId="4580E4A1" w14:textId="77777777" w:rsidR="00D03161" w:rsidRDefault="00D03161" w:rsidP="002B716D">
            <w:pPr>
              <w:pStyle w:val="TAH"/>
            </w:pPr>
            <w:r>
              <w:t>Maximum</w:t>
            </w:r>
            <w:r>
              <w:br/>
              <w:t>Io</w:t>
            </w:r>
          </w:p>
        </w:tc>
      </w:tr>
      <w:tr w:rsidR="00D03161" w14:paraId="510B8CC3" w14:textId="77777777" w:rsidTr="005F054A">
        <w:trPr>
          <w:trHeight w:val="279"/>
          <w:jc w:val="center"/>
        </w:trPr>
        <w:tc>
          <w:tcPr>
            <w:tcW w:w="1133" w:type="dxa"/>
            <w:tcBorders>
              <w:top w:val="single" w:sz="6" w:space="0" w:color="auto"/>
              <w:left w:val="single" w:sz="4" w:space="0" w:color="auto"/>
              <w:bottom w:val="nil"/>
              <w:right w:val="single" w:sz="6" w:space="0" w:color="auto"/>
            </w:tcBorders>
            <w:vAlign w:val="center"/>
            <w:hideMark/>
          </w:tcPr>
          <w:p w14:paraId="4C5BF07A" w14:textId="77777777" w:rsidR="00D03161" w:rsidRDefault="00D03161" w:rsidP="002B716D">
            <w:pPr>
              <w:pStyle w:val="TAH"/>
            </w:pPr>
            <w:r>
              <w:t>Tc</w:t>
            </w:r>
            <w:r>
              <w:rPr>
                <w:vertAlign w:val="superscript"/>
                <w:lang w:eastAsia="zh-CN"/>
              </w:rPr>
              <w:t>Note 5</w:t>
            </w:r>
          </w:p>
        </w:tc>
        <w:tc>
          <w:tcPr>
            <w:tcW w:w="851" w:type="dxa"/>
            <w:tcBorders>
              <w:top w:val="single" w:sz="6" w:space="0" w:color="auto"/>
              <w:left w:val="single" w:sz="6" w:space="0" w:color="auto"/>
              <w:bottom w:val="nil"/>
              <w:right w:val="single" w:sz="6" w:space="0" w:color="auto"/>
            </w:tcBorders>
            <w:vAlign w:val="center"/>
            <w:hideMark/>
          </w:tcPr>
          <w:p w14:paraId="7E25693C" w14:textId="77777777" w:rsidR="00D03161" w:rsidRDefault="00D03161" w:rsidP="002B716D">
            <w:pPr>
              <w:pStyle w:val="TAH"/>
            </w:pPr>
            <w:r>
              <w:t>dB</w:t>
            </w:r>
          </w:p>
        </w:tc>
        <w:tc>
          <w:tcPr>
            <w:tcW w:w="1133" w:type="dxa"/>
            <w:tcBorders>
              <w:top w:val="single" w:sz="6" w:space="0" w:color="auto"/>
              <w:left w:val="single" w:sz="6" w:space="0" w:color="auto"/>
              <w:bottom w:val="nil"/>
              <w:right w:val="single" w:sz="6" w:space="0" w:color="auto"/>
            </w:tcBorders>
            <w:vAlign w:val="center"/>
            <w:hideMark/>
          </w:tcPr>
          <w:p w14:paraId="7C4318BB" w14:textId="77777777" w:rsidR="00D03161" w:rsidRDefault="00D03161" w:rsidP="002B716D">
            <w:pPr>
              <w:pStyle w:val="TAH"/>
            </w:pPr>
            <w:r>
              <w:t>RB</w:t>
            </w:r>
          </w:p>
        </w:tc>
        <w:tc>
          <w:tcPr>
            <w:tcW w:w="845" w:type="dxa"/>
            <w:tcBorders>
              <w:top w:val="single" w:sz="6" w:space="0" w:color="auto"/>
              <w:left w:val="single" w:sz="6" w:space="0" w:color="auto"/>
              <w:bottom w:val="nil"/>
              <w:right w:val="single" w:sz="6" w:space="0" w:color="auto"/>
            </w:tcBorders>
            <w:hideMark/>
          </w:tcPr>
          <w:p w14:paraId="3518BA8A" w14:textId="77777777" w:rsidR="00D03161" w:rsidRDefault="00D03161" w:rsidP="002B716D">
            <w:pPr>
              <w:pStyle w:val="TAH"/>
            </w:pPr>
            <w:r>
              <w:t>kHz</w:t>
            </w:r>
          </w:p>
        </w:tc>
        <w:tc>
          <w:tcPr>
            <w:tcW w:w="1422" w:type="dxa"/>
            <w:tcBorders>
              <w:top w:val="single" w:sz="6" w:space="0" w:color="auto"/>
              <w:left w:val="single" w:sz="6" w:space="0" w:color="auto"/>
              <w:bottom w:val="nil"/>
              <w:right w:val="single" w:sz="6" w:space="0" w:color="auto"/>
            </w:tcBorders>
            <w:vAlign w:val="center"/>
          </w:tcPr>
          <w:p w14:paraId="10B91CAC" w14:textId="77777777" w:rsidR="00D03161" w:rsidRDefault="00D03161" w:rsidP="002B716D">
            <w:pPr>
              <w:pStyle w:val="TAH"/>
            </w:pPr>
          </w:p>
        </w:tc>
        <w:tc>
          <w:tcPr>
            <w:tcW w:w="3258" w:type="dxa"/>
            <w:tcBorders>
              <w:top w:val="single" w:sz="6" w:space="0" w:color="auto"/>
              <w:left w:val="single" w:sz="6" w:space="0" w:color="auto"/>
              <w:bottom w:val="single" w:sz="4" w:space="0" w:color="auto"/>
              <w:right w:val="single" w:sz="6" w:space="0" w:color="auto"/>
            </w:tcBorders>
            <w:vAlign w:val="center"/>
            <w:hideMark/>
          </w:tcPr>
          <w:p w14:paraId="288DB27A" w14:textId="77777777" w:rsidR="00D03161" w:rsidRDefault="00D03161" w:rsidP="002B716D">
            <w:pPr>
              <w:pStyle w:val="TAH"/>
            </w:pPr>
            <w:r>
              <w:t>dBm / SCS</w:t>
            </w:r>
            <w:r>
              <w:rPr>
                <w:vertAlign w:val="subscript"/>
              </w:rPr>
              <w:t>PRS</w:t>
            </w:r>
          </w:p>
        </w:tc>
        <w:tc>
          <w:tcPr>
            <w:tcW w:w="1558" w:type="dxa"/>
            <w:tcBorders>
              <w:top w:val="single" w:sz="6" w:space="0" w:color="auto"/>
              <w:left w:val="single" w:sz="6" w:space="0" w:color="auto"/>
              <w:bottom w:val="nil"/>
              <w:right w:val="single" w:sz="4" w:space="0" w:color="auto"/>
            </w:tcBorders>
            <w:vAlign w:val="center"/>
            <w:hideMark/>
          </w:tcPr>
          <w:p w14:paraId="5F04AA71" w14:textId="77777777" w:rsidR="00D03161" w:rsidRDefault="00D03161" w:rsidP="002B716D">
            <w:pPr>
              <w:pStyle w:val="TAH"/>
            </w:pPr>
            <w:r>
              <w:t>dBm/BW</w:t>
            </w:r>
            <w:r>
              <w:rPr>
                <w:vertAlign w:val="subscript"/>
              </w:rPr>
              <w:t>Channel</w:t>
            </w:r>
          </w:p>
        </w:tc>
      </w:tr>
      <w:tr w:rsidR="00D03161" w14:paraId="69D3EEC2"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4323FB44" w14:textId="77777777" w:rsidR="00D03161" w:rsidRDefault="00D03161" w:rsidP="002B716D">
            <w:pPr>
              <w:pStyle w:val="TAC"/>
            </w:pPr>
            <w:r>
              <w:t>± [22+</w:t>
            </w:r>
            <w:r>
              <w:sym w:font="Symbol" w:char="F064"/>
            </w:r>
            <w:r>
              <w:t>+</w:t>
            </w:r>
            <w:r>
              <w:rPr>
                <w:rFonts w:ascii="Cambria Math" w:hAnsi="Cambria Math"/>
                <w:color w:val="0070C0"/>
              </w:rPr>
              <w:t>ℇ</w:t>
            </w:r>
            <w:r>
              <w:t>]</w:t>
            </w:r>
          </w:p>
        </w:tc>
        <w:tc>
          <w:tcPr>
            <w:tcW w:w="851" w:type="dxa"/>
            <w:tcBorders>
              <w:top w:val="single" w:sz="6" w:space="0" w:color="auto"/>
              <w:left w:val="single" w:sz="6" w:space="0" w:color="auto"/>
              <w:bottom w:val="nil"/>
              <w:right w:val="single" w:sz="6" w:space="0" w:color="auto"/>
            </w:tcBorders>
            <w:hideMark/>
          </w:tcPr>
          <w:p w14:paraId="566B4528" w14:textId="77777777" w:rsidR="00D03161" w:rsidRDefault="00D03161" w:rsidP="002B716D">
            <w:pPr>
              <w:pStyle w:val="TAC"/>
              <w:rPr>
                <w:lang w:val="sv-SE"/>
              </w:rPr>
            </w:pPr>
            <w:r>
              <w:rPr>
                <w:lang w:val="sv-SE"/>
              </w:rPr>
              <w:t>-3</w:t>
            </w:r>
          </w:p>
        </w:tc>
        <w:tc>
          <w:tcPr>
            <w:tcW w:w="1133" w:type="dxa"/>
            <w:tcBorders>
              <w:top w:val="single" w:sz="6" w:space="0" w:color="auto"/>
              <w:left w:val="single" w:sz="6" w:space="0" w:color="auto"/>
              <w:bottom w:val="nil"/>
              <w:right w:val="single" w:sz="6" w:space="0" w:color="auto"/>
            </w:tcBorders>
            <w:hideMark/>
          </w:tcPr>
          <w:p w14:paraId="6C48E71F" w14:textId="77777777" w:rsidR="00D03161" w:rsidRDefault="00D03161" w:rsidP="002B716D">
            <w:pPr>
              <w:pStyle w:val="TAC"/>
            </w:pPr>
            <w:r>
              <w:rPr>
                <w:rFonts w:cs="Calibri"/>
              </w:rPr>
              <w:t>≥[</w:t>
            </w:r>
            <w:r>
              <w:t>24]</w:t>
            </w:r>
          </w:p>
        </w:tc>
        <w:tc>
          <w:tcPr>
            <w:tcW w:w="845" w:type="dxa"/>
            <w:tcBorders>
              <w:top w:val="single" w:sz="6" w:space="0" w:color="auto"/>
              <w:left w:val="single" w:sz="6" w:space="0" w:color="auto"/>
              <w:bottom w:val="nil"/>
              <w:right w:val="single" w:sz="6" w:space="0" w:color="auto"/>
            </w:tcBorders>
            <w:hideMark/>
          </w:tcPr>
          <w:p w14:paraId="43D77710" w14:textId="77777777" w:rsidR="00D03161" w:rsidRDefault="00D03161" w:rsidP="002B716D">
            <w:pPr>
              <w:pStyle w:val="TAC"/>
            </w:pPr>
            <w:r>
              <w:t>60</w:t>
            </w:r>
          </w:p>
        </w:tc>
        <w:tc>
          <w:tcPr>
            <w:tcW w:w="1422" w:type="dxa"/>
            <w:tcBorders>
              <w:top w:val="single" w:sz="6" w:space="0" w:color="auto"/>
              <w:left w:val="single" w:sz="6" w:space="0" w:color="auto"/>
              <w:bottom w:val="nil"/>
              <w:right w:val="single" w:sz="4" w:space="0" w:color="auto"/>
            </w:tcBorders>
            <w:hideMark/>
          </w:tcPr>
          <w:p w14:paraId="3BFF82BF" w14:textId="77777777" w:rsidR="00D03161" w:rsidRDefault="00D03161" w:rsidP="002B716D">
            <w:pPr>
              <w:pStyle w:val="TAC"/>
            </w:pPr>
            <w:r>
              <w:t>≥[1]</w:t>
            </w:r>
          </w:p>
        </w:tc>
        <w:tc>
          <w:tcPr>
            <w:tcW w:w="3258" w:type="dxa"/>
            <w:tcBorders>
              <w:top w:val="single" w:sz="4" w:space="0" w:color="auto"/>
              <w:left w:val="single" w:sz="4" w:space="0" w:color="auto"/>
              <w:bottom w:val="single" w:sz="4" w:space="0" w:color="auto"/>
              <w:right w:val="single" w:sz="4" w:space="0" w:color="auto"/>
            </w:tcBorders>
            <w:vAlign w:val="center"/>
            <w:hideMark/>
          </w:tcPr>
          <w:p w14:paraId="54479C5F" w14:textId="77777777" w:rsidR="00D03161" w:rsidRDefault="00D03161" w:rsidP="002B716D">
            <w:pPr>
              <w:pStyle w:val="TAC"/>
            </w:pPr>
            <w: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hideMark/>
          </w:tcPr>
          <w:p w14:paraId="5A46D12F" w14:textId="77777777" w:rsidR="00D03161" w:rsidRDefault="00D03161" w:rsidP="002B716D">
            <w:pPr>
              <w:pStyle w:val="TAC"/>
            </w:pPr>
            <w:r>
              <w:t>-50</w:t>
            </w:r>
          </w:p>
        </w:tc>
      </w:tr>
      <w:tr w:rsidR="00D03161" w14:paraId="1C511709"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027B7DE5" w14:textId="77777777" w:rsidR="00D03161" w:rsidRDefault="00D03161" w:rsidP="002B716D">
            <w:pPr>
              <w:pStyle w:val="TAC"/>
            </w:pPr>
            <w:r>
              <w:t>± [15+</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56995F81" w14:textId="77777777" w:rsidR="00D03161" w:rsidRDefault="00D03161" w:rsidP="002B716D">
            <w:pPr>
              <w:pStyle w:val="TAC"/>
              <w:rPr>
                <w:lang w:val="sv-SE"/>
              </w:rPr>
            </w:pPr>
          </w:p>
        </w:tc>
        <w:tc>
          <w:tcPr>
            <w:tcW w:w="1133" w:type="dxa"/>
            <w:tcBorders>
              <w:top w:val="single" w:sz="6" w:space="0" w:color="auto"/>
              <w:left w:val="single" w:sz="6" w:space="0" w:color="auto"/>
              <w:bottom w:val="nil"/>
              <w:right w:val="single" w:sz="6" w:space="0" w:color="auto"/>
            </w:tcBorders>
            <w:hideMark/>
          </w:tcPr>
          <w:p w14:paraId="54F1C33D" w14:textId="77777777" w:rsidR="00D03161" w:rsidRDefault="00D03161" w:rsidP="002B716D">
            <w:pPr>
              <w:pStyle w:val="TAC"/>
            </w:pPr>
            <w:r>
              <w:rPr>
                <w:rFonts w:cs="Calibri"/>
              </w:rPr>
              <w:t>≥[</w:t>
            </w:r>
            <w:r>
              <w:t>64]</w:t>
            </w:r>
          </w:p>
        </w:tc>
        <w:tc>
          <w:tcPr>
            <w:tcW w:w="845" w:type="dxa"/>
            <w:tcBorders>
              <w:top w:val="nil"/>
              <w:left w:val="single" w:sz="6" w:space="0" w:color="auto"/>
              <w:bottom w:val="nil"/>
              <w:right w:val="single" w:sz="6" w:space="0" w:color="auto"/>
            </w:tcBorders>
          </w:tcPr>
          <w:p w14:paraId="59DBD0CD" w14:textId="77777777" w:rsidR="00D03161" w:rsidRDefault="00D03161" w:rsidP="002B716D">
            <w:pPr>
              <w:pStyle w:val="TAC"/>
            </w:pPr>
          </w:p>
        </w:tc>
        <w:tc>
          <w:tcPr>
            <w:tcW w:w="1422" w:type="dxa"/>
            <w:tcBorders>
              <w:top w:val="single" w:sz="6" w:space="0" w:color="auto"/>
              <w:left w:val="single" w:sz="6" w:space="0" w:color="auto"/>
              <w:bottom w:val="nil"/>
              <w:right w:val="single" w:sz="4" w:space="0" w:color="auto"/>
            </w:tcBorders>
            <w:hideMark/>
          </w:tcPr>
          <w:p w14:paraId="60E639EA" w14:textId="77777777" w:rsidR="00D03161" w:rsidRDefault="00D03161" w:rsidP="002B716D">
            <w:pPr>
              <w:pStyle w:val="TAC"/>
            </w:pPr>
            <w:r>
              <w:t>≥[1]</w:t>
            </w:r>
          </w:p>
        </w:tc>
        <w:tc>
          <w:tcPr>
            <w:tcW w:w="3258" w:type="dxa"/>
            <w:tcBorders>
              <w:top w:val="single" w:sz="4" w:space="0" w:color="auto"/>
              <w:left w:val="single" w:sz="4" w:space="0" w:color="auto"/>
              <w:bottom w:val="single" w:sz="4" w:space="0" w:color="auto"/>
              <w:right w:val="single" w:sz="4" w:space="0" w:color="auto"/>
            </w:tcBorders>
            <w:hideMark/>
          </w:tcPr>
          <w:p w14:paraId="7B489FFE" w14:textId="77777777" w:rsidR="00D03161" w:rsidRDefault="00D03161" w:rsidP="002B716D">
            <w:pPr>
              <w:pStyle w:val="TAC"/>
            </w:pPr>
            <w:r>
              <w:t>NOTE 6</w:t>
            </w:r>
          </w:p>
        </w:tc>
        <w:tc>
          <w:tcPr>
            <w:tcW w:w="1558" w:type="dxa"/>
            <w:tcBorders>
              <w:top w:val="single" w:sz="6" w:space="0" w:color="auto"/>
              <w:left w:val="single" w:sz="4" w:space="0" w:color="auto"/>
              <w:bottom w:val="single" w:sz="6" w:space="0" w:color="auto"/>
              <w:right w:val="single" w:sz="4" w:space="0" w:color="auto"/>
            </w:tcBorders>
            <w:hideMark/>
          </w:tcPr>
          <w:p w14:paraId="2C2ED93F" w14:textId="77777777" w:rsidR="00D03161" w:rsidRDefault="00D03161" w:rsidP="002B716D">
            <w:pPr>
              <w:pStyle w:val="TAC"/>
            </w:pPr>
            <w:r>
              <w:t>NOTE 6</w:t>
            </w:r>
          </w:p>
        </w:tc>
      </w:tr>
      <w:tr w:rsidR="00D03161" w14:paraId="7BCCCAC1"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6DED833E" w14:textId="77777777" w:rsidR="00D03161" w:rsidRDefault="00D03161" w:rsidP="002B716D">
            <w:pPr>
              <w:pStyle w:val="TAC"/>
            </w:pPr>
            <w:r>
              <w:t>± [7+</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4BD0CC98" w14:textId="77777777" w:rsidR="00D03161" w:rsidRDefault="00D03161" w:rsidP="002B716D">
            <w:pPr>
              <w:pStyle w:val="TAC"/>
              <w:rPr>
                <w:lang w:val="sv-SE"/>
              </w:rPr>
            </w:pPr>
          </w:p>
        </w:tc>
        <w:tc>
          <w:tcPr>
            <w:tcW w:w="1133" w:type="dxa"/>
            <w:tcBorders>
              <w:top w:val="single" w:sz="6" w:space="0" w:color="auto"/>
              <w:left w:val="single" w:sz="6" w:space="0" w:color="auto"/>
              <w:bottom w:val="nil"/>
              <w:right w:val="single" w:sz="6" w:space="0" w:color="auto"/>
            </w:tcBorders>
            <w:hideMark/>
          </w:tcPr>
          <w:p w14:paraId="2445D2CA" w14:textId="77777777" w:rsidR="00D03161" w:rsidRDefault="00D03161" w:rsidP="002B716D">
            <w:pPr>
              <w:pStyle w:val="TAC"/>
            </w:pPr>
            <w:r>
              <w:rPr>
                <w:rFonts w:cs="Calibri"/>
              </w:rPr>
              <w:t>≥[</w:t>
            </w:r>
            <w:r>
              <w:t>132]</w:t>
            </w:r>
          </w:p>
        </w:tc>
        <w:tc>
          <w:tcPr>
            <w:tcW w:w="845" w:type="dxa"/>
            <w:tcBorders>
              <w:top w:val="nil"/>
              <w:left w:val="single" w:sz="6" w:space="0" w:color="auto"/>
              <w:bottom w:val="nil"/>
              <w:right w:val="single" w:sz="6" w:space="0" w:color="auto"/>
            </w:tcBorders>
          </w:tcPr>
          <w:p w14:paraId="25B4549E" w14:textId="77777777" w:rsidR="00D03161" w:rsidRDefault="00D03161" w:rsidP="002B716D">
            <w:pPr>
              <w:pStyle w:val="TAC"/>
            </w:pPr>
          </w:p>
        </w:tc>
        <w:tc>
          <w:tcPr>
            <w:tcW w:w="1422" w:type="dxa"/>
            <w:tcBorders>
              <w:top w:val="single" w:sz="6" w:space="0" w:color="auto"/>
              <w:left w:val="single" w:sz="6" w:space="0" w:color="auto"/>
              <w:bottom w:val="nil"/>
              <w:right w:val="single" w:sz="4" w:space="0" w:color="auto"/>
            </w:tcBorders>
            <w:hideMark/>
          </w:tcPr>
          <w:p w14:paraId="121F04F2" w14:textId="77777777" w:rsidR="00D03161" w:rsidRDefault="00D03161" w:rsidP="002B716D">
            <w:pPr>
              <w:pStyle w:val="TAC"/>
            </w:pPr>
            <w:r>
              <w:t>≥[1]</w:t>
            </w:r>
          </w:p>
        </w:tc>
        <w:tc>
          <w:tcPr>
            <w:tcW w:w="3258" w:type="dxa"/>
            <w:tcBorders>
              <w:top w:val="single" w:sz="4" w:space="0" w:color="auto"/>
              <w:left w:val="single" w:sz="4" w:space="0" w:color="auto"/>
              <w:bottom w:val="single" w:sz="4" w:space="0" w:color="auto"/>
              <w:right w:val="single" w:sz="4" w:space="0" w:color="auto"/>
            </w:tcBorders>
            <w:hideMark/>
          </w:tcPr>
          <w:p w14:paraId="4B0D7FB2" w14:textId="77777777" w:rsidR="00D03161" w:rsidRDefault="00D03161" w:rsidP="002B716D">
            <w:pPr>
              <w:pStyle w:val="TAC"/>
            </w:pPr>
            <w:r>
              <w:t>NOTE 6</w:t>
            </w:r>
          </w:p>
        </w:tc>
        <w:tc>
          <w:tcPr>
            <w:tcW w:w="1558" w:type="dxa"/>
            <w:tcBorders>
              <w:top w:val="single" w:sz="6" w:space="0" w:color="auto"/>
              <w:left w:val="single" w:sz="4" w:space="0" w:color="auto"/>
              <w:bottom w:val="single" w:sz="6" w:space="0" w:color="auto"/>
              <w:right w:val="single" w:sz="4" w:space="0" w:color="auto"/>
            </w:tcBorders>
            <w:hideMark/>
          </w:tcPr>
          <w:p w14:paraId="5FE8A9F3" w14:textId="77777777" w:rsidR="00D03161" w:rsidRDefault="00D03161" w:rsidP="002B716D">
            <w:pPr>
              <w:pStyle w:val="TAC"/>
            </w:pPr>
            <w:r>
              <w:t>NOTE 6</w:t>
            </w:r>
          </w:p>
        </w:tc>
      </w:tr>
      <w:tr w:rsidR="00D03161" w14:paraId="644A7E93"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7A8B5B80" w14:textId="77777777" w:rsidR="00D03161" w:rsidRDefault="00D03161" w:rsidP="002B716D">
            <w:pPr>
              <w:pStyle w:val="TAC"/>
            </w:pPr>
            <w:r>
              <w:t>± [12+</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hideMark/>
          </w:tcPr>
          <w:p w14:paraId="4F423469" w14:textId="77777777" w:rsidR="00D03161" w:rsidRDefault="00D03161" w:rsidP="002B716D">
            <w:pPr>
              <w:pStyle w:val="TAC"/>
              <w:rPr>
                <w:lang w:val="sv-SE"/>
              </w:rPr>
            </w:pPr>
          </w:p>
        </w:tc>
        <w:tc>
          <w:tcPr>
            <w:tcW w:w="1133" w:type="dxa"/>
            <w:tcBorders>
              <w:top w:val="single" w:sz="6" w:space="0" w:color="auto"/>
              <w:left w:val="single" w:sz="6" w:space="0" w:color="auto"/>
              <w:bottom w:val="nil"/>
              <w:right w:val="single" w:sz="6" w:space="0" w:color="auto"/>
            </w:tcBorders>
            <w:hideMark/>
          </w:tcPr>
          <w:p w14:paraId="39E1842D" w14:textId="77777777" w:rsidR="00D03161" w:rsidRDefault="00D03161" w:rsidP="002B716D">
            <w:pPr>
              <w:pStyle w:val="TAC"/>
            </w:pPr>
            <w:r>
              <w:rPr>
                <w:rFonts w:cs="Calibri"/>
              </w:rPr>
              <w:t>≥[</w:t>
            </w:r>
            <w:r>
              <w:t>32]</w:t>
            </w:r>
          </w:p>
        </w:tc>
        <w:tc>
          <w:tcPr>
            <w:tcW w:w="845" w:type="dxa"/>
            <w:tcBorders>
              <w:top w:val="single" w:sz="6" w:space="0" w:color="auto"/>
              <w:left w:val="single" w:sz="6" w:space="0" w:color="auto"/>
              <w:bottom w:val="nil"/>
              <w:right w:val="single" w:sz="6" w:space="0" w:color="auto"/>
            </w:tcBorders>
            <w:hideMark/>
          </w:tcPr>
          <w:p w14:paraId="1B9878A2" w14:textId="77777777" w:rsidR="00D03161" w:rsidRDefault="00D03161" w:rsidP="002B716D">
            <w:pPr>
              <w:pStyle w:val="TAC"/>
            </w:pPr>
            <w:r>
              <w:t>120</w:t>
            </w:r>
          </w:p>
        </w:tc>
        <w:tc>
          <w:tcPr>
            <w:tcW w:w="1422" w:type="dxa"/>
            <w:tcBorders>
              <w:top w:val="single" w:sz="6" w:space="0" w:color="auto"/>
              <w:left w:val="single" w:sz="6" w:space="0" w:color="auto"/>
              <w:bottom w:val="nil"/>
              <w:right w:val="single" w:sz="4" w:space="0" w:color="auto"/>
            </w:tcBorders>
            <w:hideMark/>
          </w:tcPr>
          <w:p w14:paraId="4358A0DD" w14:textId="77777777" w:rsidR="00D03161" w:rsidRDefault="00D03161" w:rsidP="002B716D">
            <w:pPr>
              <w:pStyle w:val="TAC"/>
            </w:pPr>
            <w:r>
              <w:t>≥[1]</w:t>
            </w:r>
          </w:p>
        </w:tc>
        <w:tc>
          <w:tcPr>
            <w:tcW w:w="3258" w:type="dxa"/>
            <w:tcBorders>
              <w:top w:val="single" w:sz="4" w:space="0" w:color="auto"/>
              <w:left w:val="single" w:sz="4" w:space="0" w:color="auto"/>
              <w:bottom w:val="single" w:sz="4" w:space="0" w:color="auto"/>
              <w:right w:val="single" w:sz="4" w:space="0" w:color="auto"/>
            </w:tcBorders>
            <w:vAlign w:val="center"/>
            <w:hideMark/>
          </w:tcPr>
          <w:p w14:paraId="3A201919" w14:textId="77777777" w:rsidR="00D03161" w:rsidRDefault="00D03161" w:rsidP="002B716D">
            <w:pPr>
              <w:pStyle w:val="TAC"/>
            </w:pPr>
            <w: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hideMark/>
          </w:tcPr>
          <w:p w14:paraId="7C6FB39D" w14:textId="77777777" w:rsidR="00D03161" w:rsidRDefault="00D03161" w:rsidP="002B716D">
            <w:pPr>
              <w:pStyle w:val="TAC"/>
            </w:pPr>
            <w:r>
              <w:t>-50</w:t>
            </w:r>
          </w:p>
        </w:tc>
      </w:tr>
      <w:tr w:rsidR="00D03161" w14:paraId="716E6EE3"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18E6C703" w14:textId="77777777" w:rsidR="00D03161" w:rsidRDefault="00D03161" w:rsidP="002B716D">
            <w:pPr>
              <w:pStyle w:val="TAC"/>
            </w:pPr>
            <w:r>
              <w:t>± [7+</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686D905C" w14:textId="77777777" w:rsidR="00D03161" w:rsidRDefault="00D03161" w:rsidP="002B716D">
            <w:pPr>
              <w:pStyle w:val="TAC"/>
              <w:rPr>
                <w:lang w:val="sv-SE"/>
              </w:rPr>
            </w:pPr>
          </w:p>
        </w:tc>
        <w:tc>
          <w:tcPr>
            <w:tcW w:w="1133" w:type="dxa"/>
            <w:tcBorders>
              <w:top w:val="single" w:sz="6" w:space="0" w:color="auto"/>
              <w:left w:val="single" w:sz="6" w:space="0" w:color="auto"/>
              <w:bottom w:val="nil"/>
              <w:right w:val="single" w:sz="6" w:space="0" w:color="auto"/>
            </w:tcBorders>
            <w:hideMark/>
          </w:tcPr>
          <w:p w14:paraId="4E480432" w14:textId="77777777" w:rsidR="00D03161" w:rsidRDefault="00D03161" w:rsidP="002B716D">
            <w:pPr>
              <w:pStyle w:val="TAC"/>
            </w:pPr>
            <w:r>
              <w:rPr>
                <w:rFonts w:cs="Calibri"/>
              </w:rPr>
              <w:t>≥[</w:t>
            </w:r>
            <w:r>
              <w:t>64]</w:t>
            </w:r>
          </w:p>
        </w:tc>
        <w:tc>
          <w:tcPr>
            <w:tcW w:w="845" w:type="dxa"/>
            <w:tcBorders>
              <w:top w:val="nil"/>
              <w:left w:val="single" w:sz="6" w:space="0" w:color="auto"/>
              <w:bottom w:val="nil"/>
              <w:right w:val="single" w:sz="6" w:space="0" w:color="auto"/>
            </w:tcBorders>
          </w:tcPr>
          <w:p w14:paraId="3BD5C5C9" w14:textId="77777777" w:rsidR="00D03161" w:rsidRDefault="00D03161" w:rsidP="002B716D">
            <w:pPr>
              <w:pStyle w:val="TAC"/>
            </w:pPr>
          </w:p>
        </w:tc>
        <w:tc>
          <w:tcPr>
            <w:tcW w:w="1422" w:type="dxa"/>
            <w:tcBorders>
              <w:top w:val="single" w:sz="6" w:space="0" w:color="auto"/>
              <w:left w:val="single" w:sz="6" w:space="0" w:color="auto"/>
              <w:bottom w:val="nil"/>
              <w:right w:val="single" w:sz="4" w:space="0" w:color="auto"/>
            </w:tcBorders>
            <w:hideMark/>
          </w:tcPr>
          <w:p w14:paraId="13117EC6" w14:textId="77777777" w:rsidR="00D03161" w:rsidRDefault="00D03161" w:rsidP="002B716D">
            <w:pPr>
              <w:pStyle w:val="TAC"/>
            </w:pPr>
            <w:r>
              <w:t>≥[1]</w:t>
            </w:r>
          </w:p>
        </w:tc>
        <w:tc>
          <w:tcPr>
            <w:tcW w:w="3258" w:type="dxa"/>
            <w:tcBorders>
              <w:top w:val="single" w:sz="4" w:space="0" w:color="auto"/>
              <w:left w:val="single" w:sz="4" w:space="0" w:color="auto"/>
              <w:bottom w:val="single" w:sz="4" w:space="0" w:color="auto"/>
              <w:right w:val="single" w:sz="4" w:space="0" w:color="auto"/>
            </w:tcBorders>
            <w:hideMark/>
          </w:tcPr>
          <w:p w14:paraId="213921BC" w14:textId="77777777" w:rsidR="00D03161" w:rsidRDefault="00D03161" w:rsidP="002B716D">
            <w:pPr>
              <w:pStyle w:val="TAC"/>
            </w:pPr>
            <w:r>
              <w:t>NOTE 6</w:t>
            </w:r>
          </w:p>
        </w:tc>
        <w:tc>
          <w:tcPr>
            <w:tcW w:w="1558" w:type="dxa"/>
            <w:tcBorders>
              <w:top w:val="single" w:sz="6" w:space="0" w:color="auto"/>
              <w:left w:val="single" w:sz="4" w:space="0" w:color="auto"/>
              <w:bottom w:val="single" w:sz="6" w:space="0" w:color="auto"/>
              <w:right w:val="single" w:sz="4" w:space="0" w:color="auto"/>
            </w:tcBorders>
            <w:hideMark/>
          </w:tcPr>
          <w:p w14:paraId="27CFFECB" w14:textId="77777777" w:rsidR="00D03161" w:rsidRDefault="00D03161" w:rsidP="002B716D">
            <w:pPr>
              <w:pStyle w:val="TAC"/>
            </w:pPr>
            <w:r>
              <w:t>NOTE 6</w:t>
            </w:r>
          </w:p>
        </w:tc>
      </w:tr>
      <w:tr w:rsidR="00D03161" w14:paraId="43961159"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34A0DCB2" w14:textId="77777777" w:rsidR="00D03161" w:rsidRDefault="00D03161" w:rsidP="002B716D">
            <w:pPr>
              <w:pStyle w:val="TAC"/>
            </w:pPr>
            <w:r>
              <w:t>± [4+</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1A3F779A" w14:textId="77777777" w:rsidR="00D03161" w:rsidRDefault="00D03161" w:rsidP="002B716D">
            <w:pPr>
              <w:pStyle w:val="TAC"/>
              <w:rPr>
                <w:lang w:val="sv-SE"/>
              </w:rPr>
            </w:pPr>
          </w:p>
        </w:tc>
        <w:tc>
          <w:tcPr>
            <w:tcW w:w="1133" w:type="dxa"/>
            <w:tcBorders>
              <w:top w:val="single" w:sz="6" w:space="0" w:color="auto"/>
              <w:left w:val="single" w:sz="6" w:space="0" w:color="auto"/>
              <w:bottom w:val="nil"/>
              <w:right w:val="single" w:sz="6" w:space="0" w:color="auto"/>
            </w:tcBorders>
            <w:hideMark/>
          </w:tcPr>
          <w:p w14:paraId="0FDC07BF" w14:textId="77777777" w:rsidR="00D03161" w:rsidRDefault="00D03161" w:rsidP="002B716D">
            <w:pPr>
              <w:pStyle w:val="TAC"/>
            </w:pPr>
            <w:r>
              <w:rPr>
                <w:rFonts w:cs="Calibri"/>
              </w:rPr>
              <w:t>≥[</w:t>
            </w:r>
            <w:r>
              <w:t>128]</w:t>
            </w:r>
          </w:p>
        </w:tc>
        <w:tc>
          <w:tcPr>
            <w:tcW w:w="845" w:type="dxa"/>
            <w:tcBorders>
              <w:top w:val="nil"/>
              <w:left w:val="single" w:sz="6" w:space="0" w:color="auto"/>
              <w:bottom w:val="nil"/>
              <w:right w:val="single" w:sz="6" w:space="0" w:color="auto"/>
            </w:tcBorders>
          </w:tcPr>
          <w:p w14:paraId="0721D1BA" w14:textId="77777777" w:rsidR="00D03161" w:rsidRDefault="00D03161" w:rsidP="002B716D">
            <w:pPr>
              <w:pStyle w:val="TAC"/>
            </w:pPr>
          </w:p>
        </w:tc>
        <w:tc>
          <w:tcPr>
            <w:tcW w:w="1422" w:type="dxa"/>
            <w:tcBorders>
              <w:top w:val="single" w:sz="6" w:space="0" w:color="auto"/>
              <w:left w:val="single" w:sz="6" w:space="0" w:color="auto"/>
              <w:bottom w:val="nil"/>
              <w:right w:val="single" w:sz="4" w:space="0" w:color="auto"/>
            </w:tcBorders>
            <w:hideMark/>
          </w:tcPr>
          <w:p w14:paraId="37778DE9" w14:textId="77777777" w:rsidR="00D03161" w:rsidRDefault="00D03161" w:rsidP="002B716D">
            <w:pPr>
              <w:pStyle w:val="TAC"/>
            </w:pPr>
            <w:r>
              <w:t>≥[1]</w:t>
            </w:r>
          </w:p>
        </w:tc>
        <w:tc>
          <w:tcPr>
            <w:tcW w:w="3258" w:type="dxa"/>
            <w:tcBorders>
              <w:top w:val="single" w:sz="4" w:space="0" w:color="auto"/>
              <w:left w:val="single" w:sz="4" w:space="0" w:color="auto"/>
              <w:bottom w:val="single" w:sz="4" w:space="0" w:color="auto"/>
              <w:right w:val="single" w:sz="4" w:space="0" w:color="auto"/>
            </w:tcBorders>
            <w:hideMark/>
          </w:tcPr>
          <w:p w14:paraId="008BE61C" w14:textId="77777777" w:rsidR="00D03161" w:rsidRDefault="00D03161" w:rsidP="002B716D">
            <w:pPr>
              <w:pStyle w:val="TAC"/>
            </w:pPr>
            <w:r>
              <w:t>NOTE 6</w:t>
            </w:r>
          </w:p>
        </w:tc>
        <w:tc>
          <w:tcPr>
            <w:tcW w:w="1558" w:type="dxa"/>
            <w:tcBorders>
              <w:top w:val="single" w:sz="6" w:space="0" w:color="auto"/>
              <w:left w:val="single" w:sz="4" w:space="0" w:color="auto"/>
              <w:bottom w:val="single" w:sz="6" w:space="0" w:color="auto"/>
              <w:right w:val="single" w:sz="4" w:space="0" w:color="auto"/>
            </w:tcBorders>
            <w:hideMark/>
          </w:tcPr>
          <w:p w14:paraId="12077812" w14:textId="77777777" w:rsidR="00D03161" w:rsidRDefault="00D03161" w:rsidP="002B716D">
            <w:pPr>
              <w:pStyle w:val="TAC"/>
            </w:pPr>
            <w:r>
              <w:t>NOTE 6</w:t>
            </w:r>
          </w:p>
        </w:tc>
      </w:tr>
      <w:tr w:rsidR="00D03161" w14:paraId="617F934D" w14:textId="77777777" w:rsidTr="005F054A">
        <w:trPr>
          <w:jc w:val="center"/>
        </w:trPr>
        <w:tc>
          <w:tcPr>
            <w:tcW w:w="10200" w:type="dxa"/>
            <w:gridSpan w:val="7"/>
            <w:tcBorders>
              <w:top w:val="single" w:sz="6" w:space="0" w:color="auto"/>
              <w:left w:val="single" w:sz="4" w:space="0" w:color="auto"/>
              <w:bottom w:val="single" w:sz="4" w:space="0" w:color="auto"/>
              <w:right w:val="single" w:sz="4" w:space="0" w:color="auto"/>
            </w:tcBorders>
            <w:hideMark/>
          </w:tcPr>
          <w:p w14:paraId="6F245B42" w14:textId="77777777" w:rsidR="00D03161" w:rsidRDefault="00D03161" w:rsidP="002B716D">
            <w:pPr>
              <w:pStyle w:val="TAN"/>
            </w:pPr>
            <w:r>
              <w:t>NOTE 1:</w:t>
            </w:r>
            <w:r>
              <w:tab/>
              <w:t>This minimum Io condition is expressed as the average Io per RE over all REs in an OFDM symbol.</w:t>
            </w:r>
          </w:p>
          <w:p w14:paraId="60CDE5EA" w14:textId="77777777" w:rsidR="00D03161" w:rsidRDefault="00D03161" w:rsidP="002B716D">
            <w:pPr>
              <w:pStyle w:val="TAN"/>
            </w:pPr>
            <w:r>
              <w:t>NOTE 2:</w:t>
            </w:r>
            <w:r>
              <w:tab/>
              <w:t>NR operating band groups are as defined in Section 3.5.</w:t>
            </w:r>
          </w:p>
          <w:p w14:paraId="55FA346C" w14:textId="77777777" w:rsidR="00D03161" w:rsidRDefault="00D03161" w:rsidP="002B716D">
            <w:pPr>
              <w:pStyle w:val="TAN"/>
            </w:pPr>
            <w:r>
              <w:t>NOTE 3:</w:t>
            </w:r>
            <w:r>
              <w:tab/>
            </w:r>
            <m:oMath>
              <m:sSubSup>
                <m:sSubSupPr>
                  <m:ctrlPr>
                    <w:rPr>
                      <w:rFonts w:ascii="Cambria Math" w:hAnsi="Cambria Math"/>
                    </w:rPr>
                  </m:ctrlPr>
                </m:sSubSupPr>
                <m:e>
                  <m:r>
                    <w:rPr>
                      <w:rFonts w:ascii="Cambria Math" w:hAnsi="Cambria Math"/>
                    </w:rPr>
                    <m:t>T</m:t>
                  </m:r>
                </m:e>
                <m:sub>
                  <m:r>
                    <m:rPr>
                      <m:sty m:val="p"/>
                    </m:rPr>
                    <w:rPr>
                      <w:rFonts w:ascii="Cambria Math" w:hAnsi="Cambria Math"/>
                    </w:rPr>
                    <m:t>rep</m:t>
                  </m:r>
                </m:sub>
                <m:sup>
                  <m:r>
                    <m:rPr>
                      <m:sty m:val="p"/>
                    </m:rPr>
                    <w:rPr>
                      <w:rFonts w:ascii="Cambria Math" w:hAnsi="Cambria Math"/>
                    </w:rPr>
                    <m:t>PRS</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PRS</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m:rPr>
                      <m:sty m:val="p"/>
                    </m:rPr>
                    <w:rPr>
                      <w:rFonts w:ascii="Cambria Math" w:hAnsi="Cambria Math"/>
                    </w:rPr>
                    <m:t>comb</m:t>
                  </m:r>
                </m:sub>
                <m:sup>
                  <m:r>
                    <m:rPr>
                      <m:sty m:val="p"/>
                    </m:rPr>
                    <w:rPr>
                      <w:rFonts w:ascii="Cambria Math" w:hAnsi="Cambria Math"/>
                    </w:rPr>
                    <m:t>PRS</m:t>
                  </m:r>
                </m:sup>
              </m:sSubSup>
            </m:oMath>
            <w:r w:rsidRPr="00301B77">
              <w:t xml:space="preserve"> </w:t>
            </w:r>
            <w:r>
              <w:t xml:space="preserve">are configured by higher layer parameter </w:t>
            </w:r>
            <w:r w:rsidRPr="00301B77">
              <w:t>dl-PRS-ResourceRepetitionFactor, dl-PRS-NumSymbols and  dl-PRS-CombSizeN</w:t>
            </w:r>
            <w:r w:rsidRPr="00160B79">
              <w:t>defined in TS 37.355 [34]</w:t>
            </w:r>
            <w:r w:rsidRPr="00301B77">
              <w:t>.</w:t>
            </w:r>
          </w:p>
          <w:p w14:paraId="7AB9FB15" w14:textId="77777777" w:rsidR="00D03161" w:rsidRDefault="00D03161" w:rsidP="002B716D">
            <w:pPr>
              <w:pStyle w:val="TAN"/>
            </w:pPr>
            <w:r>
              <w:t>NOTE 4:</w:t>
            </w:r>
            <w:r>
              <w:tab/>
              <w:t>The Io is defined in PRS slots. The same Io range applies to PRS and non-PRS symbols. Io levels are different in PRS and non-PRS symbols within the same slot.</w:t>
            </w:r>
          </w:p>
          <w:p w14:paraId="4BE24B64" w14:textId="77777777" w:rsidR="00D03161" w:rsidRDefault="00D03161" w:rsidP="002B716D">
            <w:pPr>
              <w:pStyle w:val="TAN"/>
            </w:pPr>
            <w:r>
              <w:t>NOTE 5:</w:t>
            </w:r>
            <w:r>
              <w:tab/>
              <w:t>Tc is the basic timing unit defined in TS 38.211 [6].</w:t>
            </w:r>
          </w:p>
          <w:p w14:paraId="4373116C" w14:textId="77777777" w:rsidR="00D03161" w:rsidRDefault="00D03161" w:rsidP="002B716D">
            <w:pPr>
              <w:pStyle w:val="TAN"/>
              <w:rPr>
                <w:rFonts w:eastAsia="SimSun"/>
              </w:rPr>
            </w:pPr>
            <w:r w:rsidRPr="00160B79">
              <w:rPr>
                <w:rFonts w:eastAsia="SimSun"/>
              </w:rPr>
              <w:t>NOTE 6:</w:t>
            </w:r>
            <w:r w:rsidRPr="00160B79">
              <w:rPr>
                <w:rFonts w:eastAsia="SimSun"/>
              </w:rPr>
              <w:tab/>
              <w:t>The same bands and the same Io conditions for each band apply for this requirement as for the corresponding requirement with the PRS bandwidth of the smallest RB number for the corresponding SCS.</w:t>
            </w:r>
          </w:p>
          <w:p w14:paraId="30702AC3" w14:textId="264B5E7E" w:rsidR="00D03161" w:rsidRDefault="00D03161" w:rsidP="002B716D">
            <w:pPr>
              <w:pStyle w:val="TAN"/>
              <w:rPr>
                <w:rFonts w:eastAsia="SimSun"/>
              </w:rPr>
            </w:pPr>
            <w:r>
              <w:rPr>
                <w:rFonts w:eastAsia="SimSun"/>
              </w:rPr>
              <w:t xml:space="preserve">NOTE </w:t>
            </w:r>
            <w:r w:rsidRPr="00171240">
              <w:rPr>
                <w:rFonts w:eastAsia="SimSun"/>
              </w:rPr>
              <w:t>7</w:t>
            </w:r>
            <w:r>
              <w:rPr>
                <w:rFonts w:eastAsia="SimSun"/>
              </w:rPr>
              <w:t xml:space="preserve">: </w:t>
            </w:r>
            <w:r>
              <w:rPr>
                <w:rFonts w:eastAsia="SimSun"/>
              </w:rPr>
              <w:tab/>
            </w:r>
            <w:r w:rsidRPr="00171240">
              <w:rPr>
                <w:rFonts w:eastAsia="SimSun"/>
              </w:rPr>
              <w:sym w:font="Symbol" w:char="F064"/>
            </w:r>
            <w:r w:rsidRPr="00171240">
              <w:rPr>
                <w:rFonts w:eastAsia="SimSun"/>
              </w:rPr>
              <w:t xml:space="preserve"> is the margin determined from Table 10.1.</w:t>
            </w:r>
            <w:r>
              <w:rPr>
                <w:rFonts w:eastAsia="SimSun"/>
              </w:rPr>
              <w:t>39</w:t>
            </w:r>
            <w:r w:rsidRPr="00171240">
              <w:rPr>
                <w:rFonts w:eastAsia="SimSun"/>
              </w:rPr>
              <w:t>.</w:t>
            </w:r>
            <w:r>
              <w:rPr>
                <w:rFonts w:eastAsia="SimSun"/>
              </w:rPr>
              <w:t>2</w:t>
            </w:r>
            <w:r w:rsidRPr="00171240">
              <w:rPr>
                <w:rFonts w:eastAsia="SimSun"/>
              </w:rPr>
              <w:t>-</w:t>
            </w:r>
            <w:r>
              <w:rPr>
                <w:rFonts w:eastAsia="SimSun"/>
              </w:rPr>
              <w:t>4</w:t>
            </w:r>
            <w:r w:rsidRPr="00171240">
              <w:rPr>
                <w:rFonts w:eastAsia="SimSun"/>
              </w:rPr>
              <w:t>.</w:t>
            </w:r>
          </w:p>
          <w:p w14:paraId="5A253C1A" w14:textId="3474DE9E" w:rsidR="00D03161" w:rsidRPr="00301B77" w:rsidRDefault="00D03161" w:rsidP="002B716D">
            <w:pPr>
              <w:pStyle w:val="TAN"/>
            </w:pPr>
            <w:r w:rsidRPr="00E7602D">
              <w:rPr>
                <w:rFonts w:eastAsia="SimSun"/>
              </w:rPr>
              <w:t xml:space="preserve">NOTE 8: </w:t>
            </w:r>
            <w:r w:rsidRPr="00E7602D">
              <w:rPr>
                <w:rFonts w:eastAsia="SimSun"/>
              </w:rPr>
              <w:tab/>
            </w:r>
            <w:r w:rsidRPr="00E7602D">
              <w:rPr>
                <w:rFonts w:ascii="MS Gothic" w:eastAsia="SimSun" w:hAnsi="MS Gothic" w:cs="MS Gothic"/>
              </w:rPr>
              <w:t>ℇ</w:t>
            </w:r>
            <w:r w:rsidRPr="00E7602D">
              <w:rPr>
                <w:rFonts w:eastAsia="SimSun"/>
              </w:rPr>
              <w:t xml:space="preserve"> is the margin for reporting quantitization error and </w:t>
            </w:r>
            <w:r w:rsidRPr="00E7602D">
              <w:rPr>
                <w:rFonts w:ascii="MS Gothic" w:eastAsia="SimSun" w:hAnsi="MS Gothic" w:cs="MS Gothic"/>
              </w:rPr>
              <w:t>ℇ</w:t>
            </w:r>
            <w:r w:rsidRPr="00E7602D">
              <w:rPr>
                <w:rFonts w:eastAsia="SimSun"/>
              </w:rPr>
              <w:t>=16 Tc.</w:t>
            </w:r>
          </w:p>
        </w:tc>
      </w:tr>
    </w:tbl>
    <w:p w14:paraId="7642D35A" w14:textId="77777777" w:rsidR="00D03161" w:rsidRDefault="00D03161" w:rsidP="00D03161"/>
    <w:p w14:paraId="7CB3107D" w14:textId="77777777" w:rsidR="00D03161" w:rsidRDefault="00D03161" w:rsidP="002B716D">
      <w:pPr>
        <w:pStyle w:val="TH"/>
        <w:rPr>
          <w:rFonts w:eastAsia="SimSun"/>
          <w:lang w:eastAsia="sv-SE"/>
        </w:rPr>
      </w:pPr>
      <w:r>
        <w:rPr>
          <w:lang w:val="en-US"/>
        </w:rPr>
        <w:t>Table 10.1.39.2-3: Margin for UE Rx-Tx time difference measurement accuracy in FR1</w:t>
      </w:r>
    </w:p>
    <w:tbl>
      <w:tblPr>
        <w:tblStyle w:val="TableGrid61"/>
        <w:tblW w:w="0" w:type="auto"/>
        <w:jc w:val="center"/>
        <w:tblInd w:w="0" w:type="dxa"/>
        <w:tblLook w:val="04A0" w:firstRow="1" w:lastRow="0" w:firstColumn="1" w:lastColumn="0" w:noHBand="0" w:noVBand="1"/>
      </w:tblPr>
      <w:tblGrid>
        <w:gridCol w:w="1470"/>
        <w:gridCol w:w="1470"/>
        <w:gridCol w:w="1470"/>
        <w:gridCol w:w="1800"/>
      </w:tblGrid>
      <w:tr w:rsidR="00D03161" w14:paraId="42185A86" w14:textId="77777777" w:rsidTr="005F054A">
        <w:trPr>
          <w:trHeight w:val="263"/>
          <w:jc w:val="center"/>
        </w:trPr>
        <w:tc>
          <w:tcPr>
            <w:tcW w:w="4410" w:type="dxa"/>
            <w:gridSpan w:val="3"/>
            <w:tcBorders>
              <w:top w:val="single" w:sz="4" w:space="0" w:color="auto"/>
              <w:left w:val="single" w:sz="4" w:space="0" w:color="auto"/>
              <w:bottom w:val="single" w:sz="4" w:space="0" w:color="auto"/>
              <w:right w:val="single" w:sz="4" w:space="0" w:color="auto"/>
            </w:tcBorders>
            <w:vAlign w:val="center"/>
            <w:hideMark/>
          </w:tcPr>
          <w:p w14:paraId="7C8C81B8" w14:textId="77777777" w:rsidR="00D03161" w:rsidRPr="00334483" w:rsidRDefault="00D03161" w:rsidP="002B716D">
            <w:pPr>
              <w:pStyle w:val="TAH"/>
              <w:rPr>
                <w:rFonts w:eastAsiaTheme="minorEastAsia"/>
                <w:lang w:val="da-DK" w:eastAsia="zh-CN"/>
              </w:rPr>
            </w:pPr>
            <w:r w:rsidRPr="00334483">
              <w:rPr>
                <w:lang w:val="da-DK"/>
              </w:rPr>
              <w:t>Min(PRS BW, SRS BW) (RB)</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355968DB" w14:textId="77777777" w:rsidR="00D03161" w:rsidRDefault="00D03161" w:rsidP="002B716D">
            <w:pPr>
              <w:pStyle w:val="TAH"/>
              <w:rPr>
                <w:rFonts w:eastAsia="Yu Mincho"/>
                <w:bCs/>
              </w:rPr>
            </w:pPr>
            <w:r>
              <w:rPr>
                <w:rFonts w:eastAsia="Yu Mincho"/>
                <w:bCs/>
                <w:kern w:val="24"/>
              </w:rPr>
              <w:t>Margin (Tc</w:t>
            </w:r>
            <w:r>
              <w:rPr>
                <w:rFonts w:eastAsia="SimSun"/>
                <w:vertAlign w:val="superscript"/>
                <w:lang w:eastAsia="zh-CN"/>
              </w:rPr>
              <w:t xml:space="preserve"> Note 1</w:t>
            </w:r>
            <w:r>
              <w:rPr>
                <w:rFonts w:eastAsia="Yu Mincho"/>
                <w:bCs/>
                <w:kern w:val="24"/>
              </w:rPr>
              <w:t>)</w:t>
            </w:r>
          </w:p>
        </w:tc>
      </w:tr>
      <w:tr w:rsidR="00D03161" w14:paraId="7372ED7E" w14:textId="77777777" w:rsidTr="005F054A">
        <w:trPr>
          <w:trHeight w:val="262"/>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3B558CAA" w14:textId="77777777" w:rsidR="00D03161" w:rsidRDefault="00D03161" w:rsidP="002B716D">
            <w:pPr>
              <w:pStyle w:val="TAH"/>
            </w:pPr>
            <w:r>
              <w:t>SCS = 15 kHz</w:t>
            </w:r>
          </w:p>
        </w:tc>
        <w:tc>
          <w:tcPr>
            <w:tcW w:w="1470" w:type="dxa"/>
            <w:tcBorders>
              <w:top w:val="single" w:sz="4" w:space="0" w:color="auto"/>
              <w:left w:val="single" w:sz="4" w:space="0" w:color="auto"/>
              <w:bottom w:val="single" w:sz="4" w:space="0" w:color="auto"/>
              <w:right w:val="single" w:sz="4" w:space="0" w:color="auto"/>
            </w:tcBorders>
            <w:vAlign w:val="center"/>
            <w:hideMark/>
          </w:tcPr>
          <w:p w14:paraId="5C022242" w14:textId="77777777" w:rsidR="00D03161" w:rsidRDefault="00D03161" w:rsidP="002B716D">
            <w:pPr>
              <w:pStyle w:val="TAH"/>
            </w:pPr>
            <w:r>
              <w:t>SCS = 30 kHz</w:t>
            </w:r>
          </w:p>
        </w:tc>
        <w:tc>
          <w:tcPr>
            <w:tcW w:w="1470" w:type="dxa"/>
            <w:tcBorders>
              <w:top w:val="single" w:sz="4" w:space="0" w:color="auto"/>
              <w:left w:val="single" w:sz="4" w:space="0" w:color="auto"/>
              <w:bottom w:val="single" w:sz="4" w:space="0" w:color="auto"/>
              <w:right w:val="single" w:sz="4" w:space="0" w:color="auto"/>
            </w:tcBorders>
            <w:vAlign w:val="center"/>
            <w:hideMark/>
          </w:tcPr>
          <w:p w14:paraId="58E92946" w14:textId="77777777" w:rsidR="00D03161" w:rsidRDefault="00D03161" w:rsidP="002B716D">
            <w:pPr>
              <w:pStyle w:val="TAH"/>
            </w:pPr>
            <w:r>
              <w:t>SCS = 60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14078" w14:textId="77777777" w:rsidR="00D03161" w:rsidRDefault="00D03161" w:rsidP="005F054A">
            <w:pPr>
              <w:spacing w:after="0"/>
              <w:rPr>
                <w:rFonts w:eastAsia="Yu Mincho"/>
                <w:b/>
                <w:bCs/>
              </w:rPr>
            </w:pPr>
          </w:p>
        </w:tc>
      </w:tr>
      <w:tr w:rsidR="00D03161" w14:paraId="49796AD5"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1B0DF9EE" w14:textId="77777777" w:rsidR="00D03161" w:rsidRDefault="00D03161" w:rsidP="002B716D">
            <w:pPr>
              <w:pStyle w:val="TAC"/>
              <w:rPr>
                <w:rFonts w:eastAsia="Yu Mincho"/>
                <w:b/>
                <w:bCs/>
              </w:rPr>
            </w:pPr>
            <w:r>
              <w:rPr>
                <w:rFonts w:eastAsia="Microsoft Sans Serif"/>
              </w:rPr>
              <w:t>≥ 24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239DC62" w14:textId="77777777" w:rsidR="00D03161" w:rsidRDefault="00D03161" w:rsidP="002B716D">
            <w:pPr>
              <w:pStyle w:val="TAC"/>
              <w:rPr>
                <w:rFonts w:eastAsia="Yu Mincho"/>
              </w:rPr>
            </w:pPr>
            <w:r>
              <w:rPr>
                <w:rFonts w:eastAsia="Yu Mincho"/>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0C84292" w14:textId="77777777" w:rsidR="00D03161" w:rsidRDefault="00D03161" w:rsidP="002B716D">
            <w:pPr>
              <w:pStyle w:val="TAC"/>
              <w:rPr>
                <w:rFonts w:eastAsia="Yu Mincho"/>
              </w:rPr>
            </w:pPr>
            <w:r>
              <w:rPr>
                <w:rFonts w:eastAsia="Yu Mincho"/>
              </w:rPr>
              <w:t>N/A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DAE798A" w14:textId="77777777" w:rsidR="00D03161" w:rsidRDefault="00D03161" w:rsidP="002B716D">
            <w:pPr>
              <w:pStyle w:val="TAC"/>
              <w:rPr>
                <w:rFonts w:eastAsia="Yu Mincho"/>
                <w:b/>
                <w:bCs/>
              </w:rPr>
            </w:pPr>
            <w:r>
              <w:rPr>
                <w:rFonts w:eastAsia="Yu Mincho"/>
              </w:rPr>
              <w:t>[160]</w:t>
            </w:r>
          </w:p>
        </w:tc>
      </w:tr>
      <w:tr w:rsidR="00D03161" w14:paraId="369EBC90"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520453EB" w14:textId="77777777" w:rsidR="00D03161" w:rsidRDefault="00D03161" w:rsidP="002B716D">
            <w:pPr>
              <w:pStyle w:val="TAC"/>
              <w:rPr>
                <w:rFonts w:eastAsia="Yu Mincho"/>
                <w:b/>
                <w:bCs/>
              </w:rPr>
            </w:pPr>
            <w:r>
              <w:rPr>
                <w:rFonts w:eastAsia="Microsoft Sans Serif"/>
              </w:rPr>
              <w:t xml:space="preserve">≥ </w:t>
            </w:r>
            <w:r>
              <w:rPr>
                <w:rFonts w:eastAsia="Yu Mincho"/>
              </w:rPr>
              <w:t>52</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B143B23" w14:textId="77777777" w:rsidR="00D03161" w:rsidRDefault="00D03161" w:rsidP="002B716D">
            <w:pPr>
              <w:pStyle w:val="TAC"/>
              <w:rPr>
                <w:rFonts w:eastAsia="Yu Mincho"/>
                <w:b/>
                <w:bCs/>
              </w:rPr>
            </w:pPr>
            <w:r>
              <w:rPr>
                <w:rFonts w:eastAsia="Microsoft Sans Serif"/>
              </w:rPr>
              <w:t>≥ 24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222D5C3F" w14:textId="77777777" w:rsidR="00D03161" w:rsidRDefault="00D03161" w:rsidP="002B716D">
            <w:pPr>
              <w:pStyle w:val="TAC"/>
              <w:rPr>
                <w:rFonts w:eastAsia="Yu Mincho"/>
              </w:rPr>
            </w:pPr>
            <w:r>
              <w:rPr>
                <w:rFonts w:eastAsia="Yu Mincho"/>
              </w:rPr>
              <w:t>N/A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138AF02" w14:textId="77777777" w:rsidR="00D03161" w:rsidRDefault="00D03161" w:rsidP="002B716D">
            <w:pPr>
              <w:pStyle w:val="TAC"/>
              <w:rPr>
                <w:rFonts w:eastAsia="Yu Mincho"/>
                <w:b/>
                <w:bCs/>
              </w:rPr>
            </w:pPr>
            <w:r>
              <w:rPr>
                <w:rFonts w:eastAsia="Yu Mincho"/>
              </w:rPr>
              <w:t>[80]</w:t>
            </w:r>
          </w:p>
        </w:tc>
      </w:tr>
      <w:tr w:rsidR="00D03161" w14:paraId="438F28CC"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02B4BC2E" w14:textId="77777777" w:rsidR="00D03161" w:rsidRDefault="00D03161" w:rsidP="002B716D">
            <w:pPr>
              <w:pStyle w:val="TAC"/>
              <w:rPr>
                <w:rFonts w:eastAsia="Yu Mincho"/>
                <w:b/>
                <w:bCs/>
              </w:rPr>
            </w:pPr>
            <w:r>
              <w:rPr>
                <w:rFonts w:eastAsia="Microsoft Sans Serif"/>
              </w:rPr>
              <w:t xml:space="preserve">≥ </w:t>
            </w:r>
            <w:r>
              <w:rPr>
                <w:rFonts w:eastAsia="Yu Mincho"/>
              </w:rPr>
              <w:t>104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6AA3D859" w14:textId="77777777" w:rsidR="00D03161" w:rsidRDefault="00D03161" w:rsidP="002B716D">
            <w:pPr>
              <w:pStyle w:val="TAC"/>
              <w:rPr>
                <w:rFonts w:eastAsia="Yu Mincho"/>
                <w:b/>
                <w:bCs/>
              </w:rPr>
            </w:pPr>
            <w:r>
              <w:rPr>
                <w:rFonts w:eastAsia="Microsoft Sans Serif"/>
              </w:rPr>
              <w:t xml:space="preserve">≥ </w:t>
            </w:r>
            <w:r>
              <w:rPr>
                <w:rFonts w:eastAsia="Yu Mincho"/>
              </w:rPr>
              <w:t>48</w:t>
            </w:r>
          </w:p>
        </w:tc>
        <w:tc>
          <w:tcPr>
            <w:tcW w:w="1470" w:type="dxa"/>
            <w:tcBorders>
              <w:top w:val="single" w:sz="4" w:space="0" w:color="auto"/>
              <w:left w:val="single" w:sz="4" w:space="0" w:color="auto"/>
              <w:bottom w:val="single" w:sz="4" w:space="0" w:color="auto"/>
              <w:right w:val="single" w:sz="4" w:space="0" w:color="auto"/>
            </w:tcBorders>
            <w:vAlign w:val="center"/>
            <w:hideMark/>
          </w:tcPr>
          <w:p w14:paraId="2AAFAB8C" w14:textId="77777777" w:rsidR="00D03161" w:rsidRDefault="00D03161" w:rsidP="002B716D">
            <w:pPr>
              <w:pStyle w:val="TAC"/>
              <w:rPr>
                <w:rFonts w:eastAsia="Yu Mincho"/>
                <w:b/>
                <w:bCs/>
              </w:rPr>
            </w:pPr>
            <w:r>
              <w:rPr>
                <w:rFonts w:eastAsia="Microsoft Sans Serif"/>
              </w:rPr>
              <w:t>≥ 24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054E2D7" w14:textId="77777777" w:rsidR="00D03161" w:rsidRDefault="00D03161" w:rsidP="002B716D">
            <w:pPr>
              <w:pStyle w:val="TAC"/>
              <w:rPr>
                <w:rFonts w:eastAsia="Yu Mincho"/>
                <w:b/>
                <w:bCs/>
              </w:rPr>
            </w:pPr>
            <w:r>
              <w:rPr>
                <w:rFonts w:eastAsia="Yu Mincho"/>
              </w:rPr>
              <w:t>[56]</w:t>
            </w:r>
          </w:p>
        </w:tc>
      </w:tr>
      <w:tr w:rsidR="00D03161" w14:paraId="7CE26D79"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661CFA04" w14:textId="77777777" w:rsidR="00D03161" w:rsidRDefault="00D03161" w:rsidP="002B716D">
            <w:pPr>
              <w:pStyle w:val="TAC"/>
              <w:rPr>
                <w:rFonts w:eastAsia="Yu Mincho"/>
                <w:b/>
                <w:bCs/>
              </w:rPr>
            </w:pPr>
            <w:r>
              <w:rPr>
                <w:rFonts w:eastAsia="Microsoft Sans Serif"/>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0B0587A" w14:textId="77777777" w:rsidR="00D03161" w:rsidRDefault="00D03161" w:rsidP="002B716D">
            <w:pPr>
              <w:pStyle w:val="TAC"/>
              <w:rPr>
                <w:rFonts w:eastAsia="Yu Mincho"/>
                <w:b/>
                <w:bCs/>
              </w:rPr>
            </w:pPr>
            <w:r>
              <w:rPr>
                <w:rFonts w:eastAsia="Microsoft Sans Serif"/>
              </w:rPr>
              <w:t xml:space="preserve">≥ </w:t>
            </w:r>
            <w:r>
              <w:rPr>
                <w:rFonts w:eastAsia="Yu Mincho"/>
              </w:rPr>
              <w:t>132</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83EFED0" w14:textId="77777777" w:rsidR="00D03161" w:rsidRDefault="00D03161" w:rsidP="002B716D">
            <w:pPr>
              <w:pStyle w:val="TAC"/>
              <w:rPr>
                <w:rFonts w:eastAsia="Yu Mincho"/>
                <w:b/>
                <w:bCs/>
              </w:rPr>
            </w:pPr>
            <w:r>
              <w:rPr>
                <w:rFonts w:eastAsia="Microsoft Sans Serif"/>
              </w:rPr>
              <w:t>≥ 6</w:t>
            </w:r>
            <w:r>
              <w:rPr>
                <w:rFonts w:eastAsia="Yu Mincho"/>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3C237C5" w14:textId="77777777" w:rsidR="00D03161" w:rsidRDefault="00D03161" w:rsidP="002B716D">
            <w:pPr>
              <w:pStyle w:val="TAC"/>
              <w:rPr>
                <w:rFonts w:eastAsia="Yu Mincho"/>
                <w:b/>
                <w:bCs/>
              </w:rPr>
            </w:pPr>
            <w:r>
              <w:rPr>
                <w:rFonts w:eastAsia="Yu Mincho"/>
              </w:rPr>
              <w:t>[24]</w:t>
            </w:r>
          </w:p>
        </w:tc>
      </w:tr>
      <w:tr w:rsidR="00D03161" w14:paraId="104446DE"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158EA894" w14:textId="77777777" w:rsidR="00D03161" w:rsidRDefault="00D03161" w:rsidP="002B716D">
            <w:pPr>
              <w:pStyle w:val="TAC"/>
              <w:rPr>
                <w:rFonts w:eastAsia="Microsoft Sans Serif"/>
              </w:rPr>
            </w:pPr>
            <w:r>
              <w:rPr>
                <w:rFonts w:eastAsia="Microsoft Sans Serif"/>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1CE605B7" w14:textId="77777777" w:rsidR="00D03161" w:rsidRDefault="00D03161" w:rsidP="002B716D">
            <w:pPr>
              <w:pStyle w:val="TAC"/>
              <w:rPr>
                <w:rFonts w:eastAsia="Microsoft Sans Serif"/>
              </w:rPr>
            </w:pPr>
            <w:r>
              <w:rPr>
                <w:rFonts w:eastAsia="Microsoft Sans Serif"/>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3F76100D" w14:textId="77777777" w:rsidR="00D03161" w:rsidRDefault="00D03161" w:rsidP="002B716D">
            <w:pPr>
              <w:pStyle w:val="TAC"/>
              <w:rPr>
                <w:rFonts w:eastAsia="Microsoft Sans Serif"/>
              </w:rPr>
            </w:pPr>
            <w:r>
              <w:rPr>
                <w:rFonts w:eastAsia="Microsoft Sans Serif"/>
              </w:rPr>
              <w:t xml:space="preserve">≥ </w:t>
            </w:r>
            <w:r>
              <w:rPr>
                <w:rFonts w:eastAsia="Yu Mincho"/>
              </w:rPr>
              <w:t>132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F52A302" w14:textId="77777777" w:rsidR="00D03161" w:rsidRDefault="00D03161" w:rsidP="002B716D">
            <w:pPr>
              <w:pStyle w:val="TAC"/>
              <w:rPr>
                <w:rFonts w:eastAsia="Yu Mincho"/>
              </w:rPr>
            </w:pPr>
            <w:r>
              <w:rPr>
                <w:rFonts w:eastAsia="Yu Mincho"/>
              </w:rPr>
              <w:t>[24]</w:t>
            </w:r>
          </w:p>
        </w:tc>
      </w:tr>
      <w:tr w:rsidR="00D03161" w14:paraId="13CC69FF" w14:textId="77777777" w:rsidTr="005F054A">
        <w:trPr>
          <w:trHeight w:val="46"/>
          <w:jc w:val="center"/>
        </w:trPr>
        <w:tc>
          <w:tcPr>
            <w:tcW w:w="6210" w:type="dxa"/>
            <w:gridSpan w:val="4"/>
            <w:tcBorders>
              <w:top w:val="single" w:sz="4" w:space="0" w:color="auto"/>
              <w:left w:val="single" w:sz="4" w:space="0" w:color="auto"/>
              <w:bottom w:val="single" w:sz="4" w:space="0" w:color="auto"/>
              <w:right w:val="single" w:sz="4" w:space="0" w:color="auto"/>
            </w:tcBorders>
            <w:hideMark/>
          </w:tcPr>
          <w:p w14:paraId="265F5C89" w14:textId="77777777" w:rsidR="00D03161" w:rsidRDefault="00D03161" w:rsidP="002B716D">
            <w:pPr>
              <w:pStyle w:val="TAN"/>
              <w:rPr>
                <w:rFonts w:eastAsia="SimSun"/>
                <w:lang w:eastAsia="ko-KR"/>
              </w:rPr>
            </w:pPr>
            <w:r>
              <w:rPr>
                <w:rFonts w:eastAsia="SimSun"/>
                <w:lang w:eastAsia="ko-KR"/>
              </w:rPr>
              <w:t>N</w:t>
            </w:r>
            <w:r>
              <w:rPr>
                <w:rFonts w:eastAsia="SimSun"/>
                <w:lang w:eastAsia="zh-CN"/>
              </w:rPr>
              <w:t>OTE</w:t>
            </w:r>
            <w:r>
              <w:rPr>
                <w:rFonts w:eastAsia="SimSun"/>
                <w:lang w:eastAsia="ko-KR"/>
              </w:rPr>
              <w:t xml:space="preserve"> 1:</w:t>
            </w:r>
            <w:r>
              <w:rPr>
                <w:rFonts w:eastAsia="SimSun"/>
                <w:lang w:eastAsia="ko-KR"/>
              </w:rPr>
              <w:tab/>
              <w:t>Tc is the basic timing unit defined in TS 38.211 [6].</w:t>
            </w:r>
          </w:p>
          <w:p w14:paraId="336DBBDA" w14:textId="77777777" w:rsidR="00D03161" w:rsidRDefault="00D03161" w:rsidP="002B716D">
            <w:pPr>
              <w:pStyle w:val="TAN"/>
              <w:rPr>
                <w:rFonts w:eastAsia="Yu Mincho"/>
                <w:kern w:val="24"/>
              </w:rPr>
            </w:pPr>
            <w:r>
              <w:rPr>
                <w:rFonts w:eastAsia="SimSun"/>
              </w:rPr>
              <w:t>NOTE 2: If SRS and PRS have different SCS, the margin corresponding to the smallest RS BW in MHz applies.</w:t>
            </w:r>
          </w:p>
        </w:tc>
      </w:tr>
    </w:tbl>
    <w:p w14:paraId="240B2046" w14:textId="77777777" w:rsidR="00D03161" w:rsidRDefault="00D03161" w:rsidP="002B716D">
      <w:pPr>
        <w:rPr>
          <w:rFonts w:eastAsia="MS Mincho"/>
          <w:lang w:val="en-US"/>
        </w:rPr>
      </w:pPr>
    </w:p>
    <w:p w14:paraId="59E1DF97" w14:textId="77777777" w:rsidR="00D03161" w:rsidRDefault="00D03161" w:rsidP="002B716D">
      <w:pPr>
        <w:pStyle w:val="TH"/>
        <w:rPr>
          <w:rFonts w:eastAsia="SimSun"/>
          <w:lang w:eastAsia="sv-SE"/>
        </w:rPr>
      </w:pPr>
      <w:r>
        <w:rPr>
          <w:lang w:val="en-US"/>
        </w:rPr>
        <w:t>Table 10.1.39.2-4: Margin for UE Rx-Tx time difference measurement accuracy in FR2</w:t>
      </w:r>
    </w:p>
    <w:tbl>
      <w:tblPr>
        <w:tblStyle w:val="TableGrid71"/>
        <w:tblW w:w="0" w:type="auto"/>
        <w:jc w:val="center"/>
        <w:tblInd w:w="0" w:type="dxa"/>
        <w:tblLook w:val="04A0" w:firstRow="1" w:lastRow="0" w:firstColumn="1" w:lastColumn="0" w:noHBand="0" w:noVBand="1"/>
      </w:tblPr>
      <w:tblGrid>
        <w:gridCol w:w="1861"/>
        <w:gridCol w:w="1862"/>
        <w:gridCol w:w="1848"/>
      </w:tblGrid>
      <w:tr w:rsidR="00D03161" w14:paraId="1870F7E0" w14:textId="77777777" w:rsidTr="005F054A">
        <w:trPr>
          <w:trHeight w:val="323"/>
          <w:jc w:val="center"/>
        </w:trPr>
        <w:tc>
          <w:tcPr>
            <w:tcW w:w="3723" w:type="dxa"/>
            <w:gridSpan w:val="2"/>
            <w:tcBorders>
              <w:top w:val="single" w:sz="4" w:space="0" w:color="auto"/>
              <w:left w:val="single" w:sz="4" w:space="0" w:color="auto"/>
              <w:bottom w:val="single" w:sz="4" w:space="0" w:color="auto"/>
              <w:right w:val="single" w:sz="4" w:space="0" w:color="auto"/>
            </w:tcBorders>
            <w:vAlign w:val="center"/>
            <w:hideMark/>
          </w:tcPr>
          <w:p w14:paraId="494B8C9B" w14:textId="77777777" w:rsidR="00D03161" w:rsidRPr="00334483" w:rsidRDefault="00D03161" w:rsidP="002B716D">
            <w:pPr>
              <w:pStyle w:val="TAH"/>
              <w:rPr>
                <w:rFonts w:eastAsiaTheme="minorEastAsia"/>
                <w:lang w:val="da-DK" w:eastAsia="zh-CN"/>
              </w:rPr>
            </w:pPr>
            <w:r w:rsidRPr="00334483">
              <w:rPr>
                <w:lang w:val="da-DK"/>
              </w:rPr>
              <w:t>Min(PRS BW, SRS BW) (MHz)</w:t>
            </w:r>
          </w:p>
        </w:tc>
        <w:tc>
          <w:tcPr>
            <w:tcW w:w="1848" w:type="dxa"/>
            <w:vMerge w:val="restart"/>
            <w:tcBorders>
              <w:top w:val="single" w:sz="4" w:space="0" w:color="auto"/>
              <w:left w:val="single" w:sz="4" w:space="0" w:color="auto"/>
              <w:bottom w:val="single" w:sz="4" w:space="0" w:color="auto"/>
              <w:right w:val="single" w:sz="4" w:space="0" w:color="auto"/>
            </w:tcBorders>
            <w:vAlign w:val="center"/>
            <w:hideMark/>
          </w:tcPr>
          <w:p w14:paraId="725DED99" w14:textId="77777777" w:rsidR="00D03161" w:rsidRDefault="00D03161" w:rsidP="002B716D">
            <w:pPr>
              <w:pStyle w:val="TAH"/>
              <w:rPr>
                <w:rFonts w:eastAsia="Yu Mincho"/>
                <w:bCs/>
              </w:rPr>
            </w:pPr>
            <w:r>
              <w:rPr>
                <w:rFonts w:eastAsia="Yu Mincho"/>
                <w:bCs/>
                <w:kern w:val="24"/>
              </w:rPr>
              <w:t>Margin (Tc</w:t>
            </w:r>
            <w:r>
              <w:rPr>
                <w:rFonts w:eastAsia="SimSun"/>
                <w:vertAlign w:val="superscript"/>
                <w:lang w:eastAsia="zh-CN"/>
              </w:rPr>
              <w:t xml:space="preserve"> Note 1</w:t>
            </w:r>
            <w:r>
              <w:rPr>
                <w:rFonts w:eastAsia="Yu Mincho"/>
                <w:bCs/>
                <w:kern w:val="24"/>
              </w:rPr>
              <w:t>)</w:t>
            </w:r>
          </w:p>
        </w:tc>
      </w:tr>
      <w:tr w:rsidR="00D03161" w14:paraId="7CEE4D5D" w14:textId="77777777" w:rsidTr="005F054A">
        <w:trPr>
          <w:trHeight w:val="322"/>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40E2186D" w14:textId="77777777" w:rsidR="00D03161" w:rsidRDefault="00D03161" w:rsidP="002B716D">
            <w:pPr>
              <w:pStyle w:val="TAH"/>
            </w:pPr>
            <w:r>
              <w:t>SCS = 60 kHz</w:t>
            </w:r>
          </w:p>
        </w:tc>
        <w:tc>
          <w:tcPr>
            <w:tcW w:w="1862" w:type="dxa"/>
            <w:tcBorders>
              <w:top w:val="single" w:sz="4" w:space="0" w:color="auto"/>
              <w:left w:val="single" w:sz="4" w:space="0" w:color="auto"/>
              <w:bottom w:val="single" w:sz="4" w:space="0" w:color="auto"/>
              <w:right w:val="single" w:sz="4" w:space="0" w:color="auto"/>
            </w:tcBorders>
            <w:vAlign w:val="center"/>
            <w:hideMark/>
          </w:tcPr>
          <w:p w14:paraId="3CCFF573" w14:textId="77777777" w:rsidR="00D03161" w:rsidRDefault="00D03161" w:rsidP="002B716D">
            <w:pPr>
              <w:pStyle w:val="TAH"/>
            </w:pPr>
            <w:r>
              <w:t>SCS = 120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080D2E" w14:textId="77777777" w:rsidR="00D03161" w:rsidRDefault="00D03161" w:rsidP="005F054A">
            <w:pPr>
              <w:spacing w:after="0"/>
              <w:rPr>
                <w:rFonts w:eastAsia="Yu Mincho"/>
                <w:b/>
                <w:bCs/>
              </w:rPr>
            </w:pPr>
          </w:p>
        </w:tc>
      </w:tr>
      <w:tr w:rsidR="00D03161" w14:paraId="5BCA68F5"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5D1AD6B4" w14:textId="77777777" w:rsidR="00D03161" w:rsidRDefault="00D03161" w:rsidP="002B716D">
            <w:pPr>
              <w:pStyle w:val="TAC"/>
              <w:rPr>
                <w:rFonts w:eastAsia="Yu Mincho"/>
                <w:b/>
                <w:bCs/>
              </w:rPr>
            </w:pPr>
            <w:r>
              <w:rPr>
                <w:rFonts w:eastAsia="Microsoft Sans Serif"/>
              </w:rPr>
              <w:t>≥ 24</w:t>
            </w:r>
          </w:p>
        </w:tc>
        <w:tc>
          <w:tcPr>
            <w:tcW w:w="1862" w:type="dxa"/>
            <w:tcBorders>
              <w:top w:val="single" w:sz="4" w:space="0" w:color="auto"/>
              <w:left w:val="single" w:sz="4" w:space="0" w:color="auto"/>
              <w:bottom w:val="single" w:sz="4" w:space="0" w:color="auto"/>
              <w:right w:val="single" w:sz="4" w:space="0" w:color="auto"/>
            </w:tcBorders>
            <w:vAlign w:val="center"/>
            <w:hideMark/>
          </w:tcPr>
          <w:p w14:paraId="69ABA336" w14:textId="77777777" w:rsidR="00D03161" w:rsidRDefault="00D03161" w:rsidP="002B716D">
            <w:pPr>
              <w:pStyle w:val="TAC"/>
              <w:rPr>
                <w:rFonts w:eastAsia="Yu Mincho"/>
              </w:rPr>
            </w:pPr>
            <w:r>
              <w:rPr>
                <w:rFonts w:eastAsia="Yu Mincho"/>
              </w:rPr>
              <w:t>N/A</w:t>
            </w:r>
          </w:p>
        </w:tc>
        <w:tc>
          <w:tcPr>
            <w:tcW w:w="1848" w:type="dxa"/>
            <w:tcBorders>
              <w:top w:val="single" w:sz="4" w:space="0" w:color="auto"/>
              <w:left w:val="single" w:sz="4" w:space="0" w:color="auto"/>
              <w:bottom w:val="single" w:sz="4" w:space="0" w:color="auto"/>
              <w:right w:val="single" w:sz="4" w:space="0" w:color="auto"/>
            </w:tcBorders>
            <w:vAlign w:val="center"/>
            <w:hideMark/>
          </w:tcPr>
          <w:p w14:paraId="78A13710" w14:textId="77777777" w:rsidR="00D03161" w:rsidRDefault="00D03161" w:rsidP="002B716D">
            <w:pPr>
              <w:pStyle w:val="TAC"/>
              <w:rPr>
                <w:rFonts w:eastAsia="Yu Mincho"/>
                <w:b/>
                <w:bCs/>
              </w:rPr>
            </w:pPr>
            <w:r>
              <w:rPr>
                <w:rFonts w:eastAsia="Yu Mincho"/>
              </w:rPr>
              <w:t>[76]</w:t>
            </w:r>
          </w:p>
        </w:tc>
      </w:tr>
      <w:tr w:rsidR="00D03161" w14:paraId="41FB9C5B"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7F295A7D" w14:textId="77777777" w:rsidR="00D03161" w:rsidRDefault="00D03161" w:rsidP="002B716D">
            <w:pPr>
              <w:pStyle w:val="TAC"/>
              <w:rPr>
                <w:rFonts w:eastAsia="Yu Mincho"/>
                <w:b/>
                <w:bCs/>
              </w:rPr>
            </w:pPr>
            <w:r>
              <w:rPr>
                <w:rFonts w:eastAsia="Microsoft Sans Serif"/>
              </w:rPr>
              <w:t>≥ 6</w:t>
            </w:r>
            <w:r>
              <w:rPr>
                <w:rFonts w:eastAsia="Yu Mincho"/>
              </w:rPr>
              <w:t>4</w:t>
            </w:r>
          </w:p>
        </w:tc>
        <w:tc>
          <w:tcPr>
            <w:tcW w:w="1862" w:type="dxa"/>
            <w:tcBorders>
              <w:top w:val="single" w:sz="4" w:space="0" w:color="auto"/>
              <w:left w:val="single" w:sz="4" w:space="0" w:color="auto"/>
              <w:bottom w:val="single" w:sz="4" w:space="0" w:color="auto"/>
              <w:right w:val="single" w:sz="4" w:space="0" w:color="auto"/>
            </w:tcBorders>
            <w:vAlign w:val="center"/>
            <w:hideMark/>
          </w:tcPr>
          <w:p w14:paraId="7081654B" w14:textId="77777777" w:rsidR="00D03161" w:rsidRDefault="00D03161" w:rsidP="002B716D">
            <w:pPr>
              <w:pStyle w:val="TAC"/>
              <w:rPr>
                <w:rFonts w:eastAsia="Yu Mincho"/>
                <w:b/>
                <w:bCs/>
              </w:rPr>
            </w:pPr>
            <w:r>
              <w:rPr>
                <w:rFonts w:eastAsia="Microsoft Sans Serif"/>
              </w:rPr>
              <w:t>≥ 32</w:t>
            </w:r>
          </w:p>
        </w:tc>
        <w:tc>
          <w:tcPr>
            <w:tcW w:w="1848" w:type="dxa"/>
            <w:tcBorders>
              <w:top w:val="single" w:sz="4" w:space="0" w:color="auto"/>
              <w:left w:val="single" w:sz="4" w:space="0" w:color="auto"/>
              <w:bottom w:val="single" w:sz="4" w:space="0" w:color="auto"/>
              <w:right w:val="single" w:sz="4" w:space="0" w:color="auto"/>
            </w:tcBorders>
            <w:vAlign w:val="center"/>
            <w:hideMark/>
          </w:tcPr>
          <w:p w14:paraId="2F17E010" w14:textId="77777777" w:rsidR="00D03161" w:rsidRDefault="00D03161" w:rsidP="002B716D">
            <w:pPr>
              <w:pStyle w:val="TAC"/>
              <w:rPr>
                <w:rFonts w:eastAsia="Yu Mincho"/>
                <w:b/>
                <w:bCs/>
              </w:rPr>
            </w:pPr>
            <w:r>
              <w:rPr>
                <w:rFonts w:eastAsia="Yu Mincho"/>
              </w:rPr>
              <w:t>[32]</w:t>
            </w:r>
          </w:p>
        </w:tc>
      </w:tr>
      <w:tr w:rsidR="00D03161" w14:paraId="08BBB2AD"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6CAA2107" w14:textId="77777777" w:rsidR="00D03161" w:rsidRDefault="00D03161" w:rsidP="002B716D">
            <w:pPr>
              <w:pStyle w:val="TAC"/>
              <w:rPr>
                <w:rFonts w:eastAsia="Yu Mincho"/>
                <w:b/>
                <w:bCs/>
              </w:rPr>
            </w:pPr>
            <w:r>
              <w:rPr>
                <w:rFonts w:eastAsia="Microsoft Sans Serif"/>
              </w:rPr>
              <w:t xml:space="preserve">≥ </w:t>
            </w:r>
            <w:r>
              <w:rPr>
                <w:rFonts w:eastAsia="Yu Mincho"/>
              </w:rPr>
              <w:t>132</w:t>
            </w:r>
          </w:p>
        </w:tc>
        <w:tc>
          <w:tcPr>
            <w:tcW w:w="1862" w:type="dxa"/>
            <w:tcBorders>
              <w:top w:val="single" w:sz="4" w:space="0" w:color="auto"/>
              <w:left w:val="single" w:sz="4" w:space="0" w:color="auto"/>
              <w:bottom w:val="single" w:sz="4" w:space="0" w:color="auto"/>
              <w:right w:val="single" w:sz="4" w:space="0" w:color="auto"/>
            </w:tcBorders>
            <w:vAlign w:val="center"/>
            <w:hideMark/>
          </w:tcPr>
          <w:p w14:paraId="55C1FECE" w14:textId="77777777" w:rsidR="00D03161" w:rsidRDefault="00D03161" w:rsidP="002B716D">
            <w:pPr>
              <w:pStyle w:val="TAC"/>
              <w:rPr>
                <w:rFonts w:eastAsia="Yu Mincho"/>
                <w:b/>
                <w:bCs/>
              </w:rPr>
            </w:pPr>
            <w:r>
              <w:rPr>
                <w:rFonts w:eastAsia="Microsoft Sans Serif"/>
              </w:rPr>
              <w:t>≥ 6</w:t>
            </w:r>
            <w:r>
              <w:rPr>
                <w:rFonts w:eastAsia="Yu Mincho"/>
              </w:rPr>
              <w:t>4</w:t>
            </w:r>
          </w:p>
        </w:tc>
        <w:tc>
          <w:tcPr>
            <w:tcW w:w="1848" w:type="dxa"/>
            <w:tcBorders>
              <w:top w:val="single" w:sz="4" w:space="0" w:color="auto"/>
              <w:left w:val="single" w:sz="4" w:space="0" w:color="auto"/>
              <w:bottom w:val="single" w:sz="4" w:space="0" w:color="auto"/>
              <w:right w:val="single" w:sz="4" w:space="0" w:color="auto"/>
            </w:tcBorders>
            <w:vAlign w:val="center"/>
            <w:hideMark/>
          </w:tcPr>
          <w:p w14:paraId="0E590905" w14:textId="77777777" w:rsidR="00D03161" w:rsidRDefault="00D03161" w:rsidP="002B716D">
            <w:pPr>
              <w:pStyle w:val="TAC"/>
              <w:rPr>
                <w:rFonts w:eastAsia="Yu Mincho"/>
                <w:b/>
                <w:bCs/>
              </w:rPr>
            </w:pPr>
            <w:r>
              <w:rPr>
                <w:rFonts w:eastAsia="Yu Mincho"/>
              </w:rPr>
              <w:t>[24]</w:t>
            </w:r>
          </w:p>
        </w:tc>
      </w:tr>
      <w:tr w:rsidR="00D03161" w14:paraId="0E7CD855"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23C2509F" w14:textId="77777777" w:rsidR="00D03161" w:rsidRDefault="00D03161" w:rsidP="002B716D">
            <w:pPr>
              <w:pStyle w:val="TAC"/>
              <w:rPr>
                <w:rFonts w:eastAsia="Microsoft Sans Serif"/>
              </w:rPr>
            </w:pPr>
            <w:r>
              <w:rPr>
                <w:rFonts w:eastAsia="Microsoft Sans Serif"/>
              </w:rPr>
              <w:t>N/A</w:t>
            </w:r>
          </w:p>
        </w:tc>
        <w:tc>
          <w:tcPr>
            <w:tcW w:w="1862" w:type="dxa"/>
            <w:tcBorders>
              <w:top w:val="single" w:sz="4" w:space="0" w:color="auto"/>
              <w:left w:val="single" w:sz="4" w:space="0" w:color="auto"/>
              <w:bottom w:val="single" w:sz="4" w:space="0" w:color="auto"/>
              <w:right w:val="single" w:sz="4" w:space="0" w:color="auto"/>
            </w:tcBorders>
            <w:vAlign w:val="center"/>
            <w:hideMark/>
          </w:tcPr>
          <w:p w14:paraId="709B98F5" w14:textId="77777777" w:rsidR="00D03161" w:rsidRDefault="00D03161" w:rsidP="002B716D">
            <w:pPr>
              <w:pStyle w:val="TAC"/>
              <w:rPr>
                <w:rFonts w:eastAsia="Microsoft Sans Serif"/>
              </w:rPr>
            </w:pPr>
            <w:r>
              <w:rPr>
                <w:rFonts w:eastAsia="Microsoft Sans Serif"/>
              </w:rPr>
              <w:t xml:space="preserve">≥ </w:t>
            </w:r>
            <w:r>
              <w:rPr>
                <w:rFonts w:eastAsia="Yu Mincho"/>
              </w:rPr>
              <w:t>128</w:t>
            </w:r>
          </w:p>
        </w:tc>
        <w:tc>
          <w:tcPr>
            <w:tcW w:w="1848" w:type="dxa"/>
            <w:tcBorders>
              <w:top w:val="single" w:sz="4" w:space="0" w:color="auto"/>
              <w:left w:val="single" w:sz="4" w:space="0" w:color="auto"/>
              <w:bottom w:val="single" w:sz="4" w:space="0" w:color="auto"/>
              <w:right w:val="single" w:sz="4" w:space="0" w:color="auto"/>
            </w:tcBorders>
            <w:vAlign w:val="center"/>
            <w:hideMark/>
          </w:tcPr>
          <w:p w14:paraId="1C47EDDC" w14:textId="77777777" w:rsidR="00D03161" w:rsidRDefault="00D03161" w:rsidP="002B716D">
            <w:pPr>
              <w:pStyle w:val="TAC"/>
              <w:rPr>
                <w:rFonts w:eastAsia="Yu Mincho"/>
              </w:rPr>
            </w:pPr>
            <w:r>
              <w:rPr>
                <w:rFonts w:eastAsia="Yu Mincho"/>
              </w:rPr>
              <w:t>[20]</w:t>
            </w:r>
          </w:p>
        </w:tc>
      </w:tr>
      <w:tr w:rsidR="00D03161" w14:paraId="2D6A1788" w14:textId="77777777" w:rsidTr="005F054A">
        <w:trPr>
          <w:trHeight w:val="46"/>
          <w:jc w:val="center"/>
        </w:trPr>
        <w:tc>
          <w:tcPr>
            <w:tcW w:w="5571" w:type="dxa"/>
            <w:gridSpan w:val="3"/>
            <w:tcBorders>
              <w:top w:val="single" w:sz="4" w:space="0" w:color="auto"/>
              <w:left w:val="single" w:sz="4" w:space="0" w:color="auto"/>
              <w:bottom w:val="single" w:sz="4" w:space="0" w:color="auto"/>
              <w:right w:val="single" w:sz="4" w:space="0" w:color="auto"/>
            </w:tcBorders>
            <w:hideMark/>
          </w:tcPr>
          <w:p w14:paraId="6683EC53" w14:textId="77777777" w:rsidR="00D03161" w:rsidRDefault="00D03161" w:rsidP="002B716D">
            <w:pPr>
              <w:pStyle w:val="TAN"/>
              <w:rPr>
                <w:rFonts w:eastAsia="SimSun"/>
                <w:lang w:eastAsia="ko-KR"/>
              </w:rPr>
            </w:pPr>
            <w:r>
              <w:rPr>
                <w:rFonts w:eastAsia="SimSun"/>
                <w:lang w:eastAsia="ko-KR"/>
              </w:rPr>
              <w:t>N</w:t>
            </w:r>
            <w:r>
              <w:rPr>
                <w:rFonts w:eastAsia="SimSun"/>
                <w:lang w:eastAsia="zh-CN"/>
              </w:rPr>
              <w:t>OTE</w:t>
            </w:r>
            <w:r>
              <w:rPr>
                <w:rFonts w:eastAsia="SimSun"/>
                <w:lang w:eastAsia="ko-KR"/>
              </w:rPr>
              <w:t xml:space="preserve"> 1:</w:t>
            </w:r>
            <w:r>
              <w:rPr>
                <w:rFonts w:eastAsia="SimSun"/>
                <w:lang w:eastAsia="ko-KR"/>
              </w:rPr>
              <w:tab/>
              <w:t>Tc is the basic timing unit defined in TS 38.211 [6].</w:t>
            </w:r>
          </w:p>
          <w:p w14:paraId="6E0E15E0" w14:textId="77777777" w:rsidR="00D03161" w:rsidRDefault="00D03161" w:rsidP="002B716D">
            <w:pPr>
              <w:pStyle w:val="TAN"/>
              <w:rPr>
                <w:rFonts w:eastAsia="Yu Mincho"/>
                <w:kern w:val="24"/>
              </w:rPr>
            </w:pPr>
            <w:r>
              <w:rPr>
                <w:rFonts w:eastAsia="SimSun"/>
              </w:rPr>
              <w:t>NOTE 2: If SRS and PRS have different SCS, the margin corresponding to the smallest RS BW in MHz applies.</w:t>
            </w:r>
          </w:p>
        </w:tc>
      </w:tr>
    </w:tbl>
    <w:p w14:paraId="6F7E77B1" w14:textId="77777777" w:rsidR="00D03161" w:rsidRDefault="00D03161" w:rsidP="00D03161"/>
    <w:p w14:paraId="5A157846" w14:textId="77A77D4A" w:rsidR="00D03161" w:rsidRPr="00A5132C" w:rsidRDefault="00D03161" w:rsidP="00D03161">
      <w:pPr>
        <w:pStyle w:val="Heading4"/>
      </w:pPr>
      <w:r w:rsidRPr="00A5132C">
        <w:t>10.1.</w:t>
      </w:r>
      <w:r>
        <w:t>39</w:t>
      </w:r>
      <w:r w:rsidRPr="00A5132C">
        <w:t>.</w:t>
      </w:r>
      <w:r>
        <w:t>3</w:t>
      </w:r>
      <w:r w:rsidRPr="00A5132C">
        <w:tab/>
      </w:r>
      <w:r w:rsidRPr="00A5132C">
        <w:tab/>
        <w:t>Measurement Accuracy Requirements for TRS</w:t>
      </w:r>
    </w:p>
    <w:p w14:paraId="04B3F44B" w14:textId="77777777" w:rsidR="00D03161" w:rsidRDefault="00D03161" w:rsidP="00D03161">
      <w:r w:rsidRPr="00E7602D">
        <w:t>The error in the reported value of UE Rx-Tx time difference measurement, including both the measurement error and the reporting quantization error, should be within the accuracy requirements specified in this clause</w:t>
      </w:r>
      <w:r>
        <w:t>.</w:t>
      </w:r>
    </w:p>
    <w:p w14:paraId="06AF9314" w14:textId="77777777" w:rsidR="00D03161" w:rsidRPr="00237EDC" w:rsidRDefault="00D03161" w:rsidP="00D03161">
      <w:r w:rsidRPr="00237EDC">
        <w:t>The UE Rx-Tx time difference measurement accuracy requirements in this clause shall not apply, if:</w:t>
      </w:r>
    </w:p>
    <w:p w14:paraId="18AA11BA" w14:textId="77777777" w:rsidR="00D03161" w:rsidRPr="00237EDC" w:rsidRDefault="00D03161" w:rsidP="00D03161">
      <w:pPr>
        <w:pStyle w:val="B10"/>
        <w:rPr>
          <w:rFonts w:eastAsia="MS Mincho"/>
          <w:lang w:eastAsia="zh-CN"/>
        </w:rPr>
      </w:pPr>
      <w:r w:rsidRPr="00237EDC">
        <w:rPr>
          <w:rFonts w:eastAsia="MS Mincho"/>
          <w:lang w:eastAsia="zh-CN"/>
        </w:rPr>
        <w:t>-</w:t>
      </w:r>
      <w:r w:rsidRPr="00237EDC">
        <w:rPr>
          <w:rFonts w:eastAsia="MS Mincho"/>
          <w:lang w:eastAsia="zh-CN"/>
        </w:rPr>
        <w:tab/>
        <w:t>N</w:t>
      </w:r>
      <w:r w:rsidRPr="00237EDC">
        <w:rPr>
          <w:rFonts w:eastAsia="MS Mincho"/>
          <w:vertAlign w:val="subscript"/>
          <w:lang w:eastAsia="zh-CN"/>
        </w:rPr>
        <w:t>TA_offset</w:t>
      </w:r>
      <w:r w:rsidRPr="00237EDC">
        <w:rPr>
          <w:rFonts w:eastAsia="MS Mincho"/>
          <w:lang w:eastAsia="zh-CN"/>
        </w:rPr>
        <w:t xml:space="preserve"> defined in Table 7.1.2-2 changes during the UE Rx-Tx measurement period or</w:t>
      </w:r>
    </w:p>
    <w:p w14:paraId="4F76CD88" w14:textId="77777777" w:rsidR="00D03161" w:rsidRPr="00237EDC" w:rsidRDefault="00D03161" w:rsidP="00D03161">
      <w:pPr>
        <w:pStyle w:val="B10"/>
        <w:rPr>
          <w:rFonts w:eastAsia="MS Mincho"/>
          <w:lang w:eastAsia="zh-CN"/>
        </w:rPr>
      </w:pPr>
      <w:r w:rsidRPr="00237EDC">
        <w:rPr>
          <w:rFonts w:eastAsia="MS Mincho"/>
          <w:lang w:eastAsia="zh-CN"/>
        </w:rPr>
        <w:t>-</w:t>
      </w:r>
      <w:r w:rsidRPr="00237EDC">
        <w:rPr>
          <w:rFonts w:eastAsia="MS Mincho"/>
          <w:lang w:eastAsia="zh-CN"/>
        </w:rPr>
        <w:tab/>
        <w:t>if the uplink transmission timing changes during the UE Rx-Tx measurement period due to the network-configured Timing Advance.</w:t>
      </w:r>
    </w:p>
    <w:p w14:paraId="1BB7C6C1" w14:textId="77777777" w:rsidR="00D03161" w:rsidRPr="00237EDC" w:rsidRDefault="00D03161" w:rsidP="00D03161">
      <w:r w:rsidRPr="00237EDC">
        <w:t>The UE Rx-Tx time difference measurement accuracy requirements in this clause shall apply provided that:</w:t>
      </w:r>
    </w:p>
    <w:p w14:paraId="7450A69D" w14:textId="77777777" w:rsidR="00D03161" w:rsidRPr="00237EDC" w:rsidRDefault="00D03161" w:rsidP="00D03161">
      <w:pPr>
        <w:pStyle w:val="B10"/>
        <w:rPr>
          <w:rFonts w:eastAsia="MS Mincho"/>
          <w:bCs/>
          <w:lang w:eastAsia="zh-CN"/>
        </w:rPr>
      </w:pPr>
      <w:r w:rsidRPr="00237EDC">
        <w:rPr>
          <w:rFonts w:eastAsia="MS Mincho"/>
          <w:bCs/>
          <w:lang w:eastAsia="zh-CN"/>
        </w:rPr>
        <w:t>-</w:t>
      </w:r>
      <w:r w:rsidRPr="00237EDC">
        <w:rPr>
          <w:rFonts w:eastAsia="MS Mincho"/>
          <w:bCs/>
          <w:lang w:eastAsia="zh-CN"/>
        </w:rPr>
        <w:tab/>
        <w:t xml:space="preserve">The </w:t>
      </w:r>
      <w:r w:rsidRPr="00237EDC">
        <w:rPr>
          <w:lang w:val="en-US" w:eastAsia="zh-CN"/>
        </w:rPr>
        <w:t xml:space="preserve">UE transmits SRS within [-160, 160] msec of at least one </w:t>
      </w:r>
      <w:r>
        <w:rPr>
          <w:lang w:val="en-US" w:eastAsia="zh-CN"/>
        </w:rPr>
        <w:t>PDC</w:t>
      </w:r>
      <w:r w:rsidRPr="00237EDC">
        <w:rPr>
          <w:lang w:val="en-US" w:eastAsia="zh-CN"/>
        </w:rPr>
        <w:t xml:space="preserve"> </w:t>
      </w:r>
      <w:r>
        <w:rPr>
          <w:lang w:val="en-US" w:eastAsia="zh-CN"/>
        </w:rPr>
        <w:t>T</w:t>
      </w:r>
      <w:r w:rsidRPr="00237EDC">
        <w:rPr>
          <w:lang w:val="en-US" w:eastAsia="zh-CN"/>
        </w:rPr>
        <w:t xml:space="preserve">RS resource </w:t>
      </w:r>
      <w:r>
        <w:rPr>
          <w:lang w:val="en-US" w:eastAsia="zh-CN"/>
        </w:rPr>
        <w:t>from the serving cell (PCell)</w:t>
      </w:r>
      <w:r w:rsidRPr="00237EDC">
        <w:rPr>
          <w:lang w:val="en-US" w:eastAsia="zh-CN"/>
        </w:rPr>
        <w:t>.</w:t>
      </w:r>
    </w:p>
    <w:p w14:paraId="5514C055" w14:textId="77777777" w:rsidR="00D03161" w:rsidRPr="00237EDC" w:rsidRDefault="00D03161" w:rsidP="00D03161">
      <w:r w:rsidRPr="00237EDC">
        <w:t>When a serving cell change occurs during the UE Rx-Tx measurement period, the UE Rx-Tx time difference measurement accuracy requirements in this clause shall apply provided that the serving cell change does not impact SRS configuration for the UE Rx-Tx measurement.</w:t>
      </w:r>
    </w:p>
    <w:p w14:paraId="18235AEB" w14:textId="77777777" w:rsidR="00D03161" w:rsidRPr="00237EDC" w:rsidRDefault="00D03161" w:rsidP="00D03161">
      <w:r w:rsidRPr="00237EDC">
        <w:t>The accuracy requirements in Table 10.1.</w:t>
      </w:r>
      <w:r>
        <w:t>39</w:t>
      </w:r>
      <w:r w:rsidRPr="00237EDC">
        <w:t>.</w:t>
      </w:r>
      <w:r>
        <w:t>3</w:t>
      </w:r>
      <w:r w:rsidRPr="00237EDC">
        <w:t>-1 for FR1 are valid under the following conditions:</w:t>
      </w:r>
    </w:p>
    <w:p w14:paraId="1F639B47" w14:textId="77777777" w:rsidR="00D03161" w:rsidRPr="00237EDC" w:rsidRDefault="00D03161" w:rsidP="00D03161">
      <w:pPr>
        <w:pStyle w:val="B10"/>
      </w:pPr>
      <w:r w:rsidRPr="00237EDC">
        <w:t>Conditions defined in clause 7.3 of TS 38.101-1 [18] for reference sensitivity are fulfilled.</w:t>
      </w:r>
    </w:p>
    <w:p w14:paraId="4B48A538" w14:textId="77777777" w:rsidR="00D03161" w:rsidRPr="00237EDC" w:rsidRDefault="00D03161" w:rsidP="00D03161">
      <w:pPr>
        <w:pStyle w:val="B10"/>
      </w:pPr>
      <w:r w:rsidRPr="00237EDC">
        <w:t>PRP|</w:t>
      </w:r>
      <w:r w:rsidRPr="00237EDC">
        <w:rPr>
          <w:vertAlign w:val="subscript"/>
        </w:rPr>
        <w:t>dBm</w:t>
      </w:r>
      <w:r w:rsidRPr="00237EDC">
        <w:t xml:space="preserve"> according to Annex [TBD] for a corresponding Band.</w:t>
      </w:r>
    </w:p>
    <w:p w14:paraId="3CF7388D" w14:textId="77777777" w:rsidR="00D03161" w:rsidRPr="00237EDC" w:rsidRDefault="00D03161" w:rsidP="00D03161">
      <w:pPr>
        <w:pStyle w:val="B10"/>
      </w:pPr>
      <w:r w:rsidRPr="00237EDC">
        <w:t>AWGN propagation condition.</w:t>
      </w:r>
    </w:p>
    <w:p w14:paraId="73413F94" w14:textId="77777777" w:rsidR="00D03161" w:rsidRPr="00237EDC" w:rsidRDefault="00D03161" w:rsidP="00D03161">
      <w:pPr>
        <w:pStyle w:val="TH"/>
      </w:pPr>
      <w:r w:rsidRPr="00237EDC">
        <w:t>Table 10.1.</w:t>
      </w:r>
      <w:r>
        <w:t>39</w:t>
      </w:r>
      <w:r w:rsidRPr="00237EDC">
        <w:t>.</w:t>
      </w:r>
      <w:r>
        <w:t>3</w:t>
      </w:r>
      <w:r w:rsidRPr="00237EDC">
        <w:t>-1: UE Rx-Tx time difference measurement accuracy in FR1 in AWGN</w:t>
      </w: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2"/>
        <w:gridCol w:w="715"/>
        <w:gridCol w:w="1133"/>
        <w:gridCol w:w="709"/>
        <w:gridCol w:w="2267"/>
        <w:gridCol w:w="1289"/>
        <w:gridCol w:w="1120"/>
      </w:tblGrid>
      <w:tr w:rsidR="00D03161" w:rsidRPr="00237EDC" w14:paraId="7C0CA5EE" w14:textId="77777777" w:rsidTr="005F054A">
        <w:trPr>
          <w:jc w:val="center"/>
        </w:trPr>
        <w:tc>
          <w:tcPr>
            <w:tcW w:w="1132" w:type="dxa"/>
            <w:vMerge w:val="restart"/>
            <w:tcBorders>
              <w:top w:val="single" w:sz="4" w:space="0" w:color="auto"/>
              <w:left w:val="single" w:sz="4" w:space="0" w:color="auto"/>
              <w:bottom w:val="single" w:sz="4" w:space="0" w:color="auto"/>
              <w:right w:val="single" w:sz="4" w:space="0" w:color="auto"/>
            </w:tcBorders>
            <w:vAlign w:val="center"/>
            <w:hideMark/>
          </w:tcPr>
          <w:p w14:paraId="2931001C" w14:textId="77777777" w:rsidR="00D03161" w:rsidRPr="00237EDC" w:rsidRDefault="00D03161" w:rsidP="00D03161">
            <w:pPr>
              <w:pStyle w:val="TAH"/>
            </w:pPr>
            <w:r w:rsidRPr="00237EDC">
              <w:t>Accuracy</w:t>
            </w:r>
          </w:p>
        </w:tc>
        <w:tc>
          <w:tcPr>
            <w:tcW w:w="7233" w:type="dxa"/>
            <w:gridSpan w:val="6"/>
            <w:tcBorders>
              <w:top w:val="single" w:sz="4" w:space="0" w:color="auto"/>
              <w:left w:val="single" w:sz="4" w:space="0" w:color="auto"/>
              <w:bottom w:val="single" w:sz="4" w:space="0" w:color="auto"/>
              <w:right w:val="single" w:sz="4" w:space="0" w:color="auto"/>
            </w:tcBorders>
            <w:hideMark/>
          </w:tcPr>
          <w:p w14:paraId="57DE0903" w14:textId="77777777" w:rsidR="00D03161" w:rsidRPr="00237EDC" w:rsidRDefault="00D03161" w:rsidP="00D03161">
            <w:pPr>
              <w:pStyle w:val="TAH"/>
            </w:pPr>
            <w:r w:rsidRPr="00237EDC">
              <w:t>Conditions</w:t>
            </w:r>
          </w:p>
        </w:tc>
      </w:tr>
      <w:tr w:rsidR="00D03161" w:rsidRPr="00237EDC" w14:paraId="0216177C" w14:textId="77777777" w:rsidTr="005F054A">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0C46A69B" w14:textId="77777777" w:rsidR="00D03161" w:rsidRPr="00237EDC" w:rsidRDefault="00D03161" w:rsidP="00D03161">
            <w:pPr>
              <w:pStyle w:val="TAH"/>
            </w:pPr>
          </w:p>
        </w:tc>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0D7247A0" w14:textId="77777777" w:rsidR="00D03161" w:rsidRPr="00237EDC" w:rsidRDefault="00D03161" w:rsidP="00D03161">
            <w:pPr>
              <w:pStyle w:val="TAH"/>
            </w:pPr>
            <w:r w:rsidRPr="00237EDC">
              <w:t>TRS Ês/Iot</w:t>
            </w:r>
          </w:p>
        </w:tc>
        <w:tc>
          <w:tcPr>
            <w:tcW w:w="1133" w:type="dxa"/>
            <w:vMerge w:val="restart"/>
            <w:tcBorders>
              <w:top w:val="single" w:sz="4" w:space="0" w:color="auto"/>
              <w:left w:val="single" w:sz="4" w:space="0" w:color="auto"/>
              <w:bottom w:val="single" w:sz="4" w:space="0" w:color="auto"/>
              <w:right w:val="single" w:sz="4" w:space="0" w:color="auto"/>
            </w:tcBorders>
            <w:vAlign w:val="center"/>
            <w:hideMark/>
          </w:tcPr>
          <w:p w14:paraId="74328B41" w14:textId="77777777" w:rsidR="00D03161" w:rsidRPr="00237EDC" w:rsidRDefault="00D03161" w:rsidP="00D03161">
            <w:pPr>
              <w:pStyle w:val="TAH"/>
            </w:pPr>
            <w:r w:rsidRPr="00237EDC">
              <w:t>Minimum TRS bandwidth</w:t>
            </w:r>
          </w:p>
        </w:tc>
        <w:tc>
          <w:tcPr>
            <w:tcW w:w="709" w:type="dxa"/>
            <w:vMerge w:val="restart"/>
            <w:tcBorders>
              <w:top w:val="single" w:sz="4" w:space="0" w:color="auto"/>
              <w:left w:val="single" w:sz="4" w:space="0" w:color="auto"/>
              <w:bottom w:val="single" w:sz="4" w:space="0" w:color="auto"/>
              <w:right w:val="single" w:sz="4" w:space="0" w:color="auto"/>
            </w:tcBorders>
          </w:tcPr>
          <w:p w14:paraId="52153D6A" w14:textId="77777777" w:rsidR="00D03161" w:rsidRPr="00237EDC" w:rsidRDefault="00D03161" w:rsidP="00D03161">
            <w:pPr>
              <w:pStyle w:val="TAH"/>
            </w:pPr>
          </w:p>
          <w:p w14:paraId="13E1EEA4" w14:textId="77777777" w:rsidR="00D03161" w:rsidRPr="00237EDC" w:rsidRDefault="00D03161" w:rsidP="00D03161">
            <w:pPr>
              <w:pStyle w:val="TAH"/>
            </w:pPr>
            <w:r w:rsidRPr="00237EDC">
              <w:t>TRS SCS</w:t>
            </w:r>
          </w:p>
        </w:tc>
        <w:tc>
          <w:tcPr>
            <w:tcW w:w="2267" w:type="dxa"/>
            <w:vMerge w:val="restart"/>
            <w:tcBorders>
              <w:top w:val="single" w:sz="4" w:space="0" w:color="auto"/>
              <w:left w:val="single" w:sz="4" w:space="0" w:color="auto"/>
              <w:bottom w:val="single" w:sz="4" w:space="0" w:color="auto"/>
              <w:right w:val="single" w:sz="4" w:space="0" w:color="auto"/>
            </w:tcBorders>
            <w:hideMark/>
          </w:tcPr>
          <w:p w14:paraId="5D8CC8F7" w14:textId="77777777" w:rsidR="00D03161" w:rsidRPr="00237EDC" w:rsidRDefault="00D03161" w:rsidP="00D03161">
            <w:pPr>
              <w:pStyle w:val="TAH"/>
            </w:pPr>
            <w:r w:rsidRPr="00237EDC">
              <w:t>NR operating band groups</w:t>
            </w:r>
            <w:r w:rsidRPr="00237EDC">
              <w:rPr>
                <w:vertAlign w:val="superscript"/>
              </w:rPr>
              <w:t>Note 2</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7D069F31" w14:textId="77777777" w:rsidR="00D03161" w:rsidRPr="00237EDC" w:rsidRDefault="00D03161" w:rsidP="00D03161">
            <w:pPr>
              <w:pStyle w:val="TAH"/>
            </w:pPr>
            <w:r w:rsidRPr="00237EDC">
              <w:t>Io</w:t>
            </w:r>
            <w:r w:rsidRPr="00237EDC">
              <w:rPr>
                <w:vertAlign w:val="superscript"/>
                <w:lang w:eastAsia="zh-CN"/>
              </w:rPr>
              <w:t>Note 3</w:t>
            </w:r>
            <w:r w:rsidRPr="00237EDC">
              <w:t xml:space="preserve"> range</w:t>
            </w:r>
          </w:p>
        </w:tc>
      </w:tr>
      <w:tr w:rsidR="00D03161" w:rsidRPr="00237EDC" w14:paraId="1D34779E" w14:textId="77777777" w:rsidTr="005F054A">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248FAD1E" w14:textId="77777777" w:rsidR="00D03161" w:rsidRPr="00237EDC" w:rsidRDefault="00D03161" w:rsidP="00D03161">
            <w:pPr>
              <w:pStyle w:val="TAH"/>
            </w:pPr>
          </w:p>
        </w:tc>
        <w:tc>
          <w:tcPr>
            <w:tcW w:w="715" w:type="dxa"/>
            <w:vMerge/>
            <w:tcBorders>
              <w:top w:val="single" w:sz="4" w:space="0" w:color="auto"/>
              <w:left w:val="single" w:sz="4" w:space="0" w:color="auto"/>
              <w:bottom w:val="single" w:sz="4" w:space="0" w:color="auto"/>
              <w:right w:val="single" w:sz="4" w:space="0" w:color="auto"/>
            </w:tcBorders>
            <w:vAlign w:val="center"/>
            <w:hideMark/>
          </w:tcPr>
          <w:p w14:paraId="36F10CCD" w14:textId="77777777" w:rsidR="00D03161" w:rsidRPr="00237EDC" w:rsidRDefault="00D03161" w:rsidP="00D03161">
            <w:pPr>
              <w:pStyle w:val="TAH"/>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5884E817" w14:textId="77777777" w:rsidR="00D03161" w:rsidRPr="00237EDC" w:rsidRDefault="00D03161" w:rsidP="00D03161">
            <w:pPr>
              <w:pStyle w:val="TAH"/>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DC8AF77" w14:textId="77777777" w:rsidR="00D03161" w:rsidRPr="00237EDC" w:rsidRDefault="00D03161" w:rsidP="00D03161">
            <w:pPr>
              <w:pStyle w:val="TAH"/>
            </w:pPr>
          </w:p>
        </w:tc>
        <w:tc>
          <w:tcPr>
            <w:tcW w:w="2267" w:type="dxa"/>
            <w:vMerge/>
            <w:tcBorders>
              <w:top w:val="single" w:sz="4" w:space="0" w:color="auto"/>
              <w:left w:val="single" w:sz="4" w:space="0" w:color="auto"/>
              <w:bottom w:val="single" w:sz="4" w:space="0" w:color="auto"/>
              <w:right w:val="single" w:sz="4" w:space="0" w:color="auto"/>
            </w:tcBorders>
            <w:vAlign w:val="center"/>
            <w:hideMark/>
          </w:tcPr>
          <w:p w14:paraId="170064C4" w14:textId="77777777" w:rsidR="00D03161" w:rsidRPr="00237EDC" w:rsidRDefault="00D03161" w:rsidP="00D03161">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0526627D" w14:textId="77777777" w:rsidR="00D03161" w:rsidRPr="00237EDC" w:rsidRDefault="00D03161" w:rsidP="00D03161">
            <w:pPr>
              <w:pStyle w:val="TAH"/>
            </w:pPr>
            <w:r w:rsidRPr="00237EDC">
              <w:t>Minimum</w:t>
            </w:r>
            <w:r w:rsidRPr="00237EDC">
              <w:br/>
              <w:t>Io</w:t>
            </w:r>
            <w:r w:rsidRPr="00237EDC">
              <w:rPr>
                <w:vertAlign w:val="superscript"/>
              </w:rPr>
              <w:t>Note 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2C9CFA20" w14:textId="77777777" w:rsidR="00D03161" w:rsidRPr="00237EDC" w:rsidRDefault="00D03161" w:rsidP="00D03161">
            <w:pPr>
              <w:pStyle w:val="TAH"/>
            </w:pPr>
            <w:r w:rsidRPr="00237EDC">
              <w:t>Maximum</w:t>
            </w:r>
            <w:r w:rsidRPr="00237EDC">
              <w:br/>
              <w:t>Io</w:t>
            </w:r>
          </w:p>
        </w:tc>
      </w:tr>
      <w:tr w:rsidR="00D03161" w:rsidRPr="00237EDC" w14:paraId="5DB2503F" w14:textId="77777777" w:rsidTr="005F054A">
        <w:trPr>
          <w:trHeight w:val="429"/>
          <w:jc w:val="center"/>
        </w:trPr>
        <w:tc>
          <w:tcPr>
            <w:tcW w:w="1132" w:type="dxa"/>
            <w:tcBorders>
              <w:top w:val="single" w:sz="4" w:space="0" w:color="auto"/>
              <w:left w:val="single" w:sz="4" w:space="0" w:color="auto"/>
              <w:bottom w:val="single" w:sz="4" w:space="0" w:color="auto"/>
              <w:right w:val="single" w:sz="4" w:space="0" w:color="auto"/>
            </w:tcBorders>
            <w:vAlign w:val="center"/>
            <w:hideMark/>
          </w:tcPr>
          <w:p w14:paraId="00DDA1A6" w14:textId="77777777" w:rsidR="00D03161" w:rsidRPr="00237EDC" w:rsidRDefault="00D03161" w:rsidP="00D03161">
            <w:pPr>
              <w:pStyle w:val="TAH"/>
            </w:pPr>
            <w:r w:rsidRPr="00237EDC">
              <w:t>Tc</w:t>
            </w:r>
            <w:r w:rsidRPr="00237EDC">
              <w:rPr>
                <w:vertAlign w:val="superscript"/>
                <w:lang w:eastAsia="zh-CN"/>
              </w:rPr>
              <w:t>Note 4</w:t>
            </w:r>
          </w:p>
        </w:tc>
        <w:tc>
          <w:tcPr>
            <w:tcW w:w="715" w:type="dxa"/>
            <w:tcBorders>
              <w:top w:val="single" w:sz="4" w:space="0" w:color="auto"/>
              <w:left w:val="single" w:sz="4" w:space="0" w:color="auto"/>
              <w:bottom w:val="single" w:sz="4" w:space="0" w:color="auto"/>
              <w:right w:val="single" w:sz="4" w:space="0" w:color="auto"/>
            </w:tcBorders>
            <w:vAlign w:val="center"/>
            <w:hideMark/>
          </w:tcPr>
          <w:p w14:paraId="518F0817" w14:textId="77777777" w:rsidR="00D03161" w:rsidRPr="00237EDC" w:rsidRDefault="00D03161" w:rsidP="00D03161">
            <w:pPr>
              <w:pStyle w:val="TAH"/>
            </w:pPr>
            <w:r w:rsidRPr="00237EDC">
              <w:t>dB</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7362954" w14:textId="77777777" w:rsidR="00D03161" w:rsidRPr="00237EDC" w:rsidRDefault="00D03161" w:rsidP="00D03161">
            <w:pPr>
              <w:pStyle w:val="TAH"/>
            </w:pPr>
            <w:r w:rsidRPr="00237EDC">
              <w:t>RB</w:t>
            </w:r>
          </w:p>
        </w:tc>
        <w:tc>
          <w:tcPr>
            <w:tcW w:w="709" w:type="dxa"/>
            <w:tcBorders>
              <w:top w:val="single" w:sz="4" w:space="0" w:color="auto"/>
              <w:left w:val="single" w:sz="4" w:space="0" w:color="auto"/>
              <w:bottom w:val="single" w:sz="4" w:space="0" w:color="auto"/>
              <w:right w:val="single" w:sz="4" w:space="0" w:color="auto"/>
            </w:tcBorders>
          </w:tcPr>
          <w:p w14:paraId="73DC720D" w14:textId="77777777" w:rsidR="00D03161" w:rsidRPr="00237EDC" w:rsidRDefault="00D03161" w:rsidP="00D03161">
            <w:pPr>
              <w:pStyle w:val="TAH"/>
            </w:pPr>
          </w:p>
          <w:p w14:paraId="6B104459" w14:textId="77777777" w:rsidR="00D03161" w:rsidRPr="00237EDC" w:rsidRDefault="00D03161" w:rsidP="00D03161">
            <w:pPr>
              <w:pStyle w:val="TAH"/>
            </w:pPr>
            <w:r w:rsidRPr="00237EDC">
              <w:t>kHz</w:t>
            </w:r>
          </w:p>
        </w:tc>
        <w:tc>
          <w:tcPr>
            <w:tcW w:w="2267" w:type="dxa"/>
            <w:tcBorders>
              <w:top w:val="single" w:sz="4" w:space="0" w:color="auto"/>
              <w:left w:val="single" w:sz="4" w:space="0" w:color="auto"/>
              <w:bottom w:val="single" w:sz="4" w:space="0" w:color="auto"/>
              <w:right w:val="single" w:sz="4" w:space="0" w:color="auto"/>
            </w:tcBorders>
            <w:vAlign w:val="center"/>
          </w:tcPr>
          <w:p w14:paraId="6A1AEC43" w14:textId="77777777" w:rsidR="00D03161" w:rsidRPr="00237EDC" w:rsidRDefault="00D03161" w:rsidP="00D03161">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25E6AFC4" w14:textId="77777777" w:rsidR="00D03161" w:rsidRPr="00237EDC" w:rsidRDefault="00D03161" w:rsidP="00D03161">
            <w:pPr>
              <w:pStyle w:val="TAH"/>
            </w:pPr>
            <w:r w:rsidRPr="00237EDC">
              <w:t>dBm / SCS</w:t>
            </w:r>
            <w:r w:rsidRPr="00237EDC">
              <w:rPr>
                <w:vertAlign w:val="subscript"/>
              </w:rPr>
              <w:t>TRS</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DF1BB7C" w14:textId="77777777" w:rsidR="00D03161" w:rsidRPr="00237EDC" w:rsidRDefault="00D03161" w:rsidP="00D03161">
            <w:pPr>
              <w:pStyle w:val="TAH"/>
            </w:pPr>
            <w:r w:rsidRPr="00237EDC">
              <w:t>dBm/BW</w:t>
            </w:r>
          </w:p>
        </w:tc>
      </w:tr>
      <w:tr w:rsidR="00D03161" w:rsidRPr="00237EDC" w14:paraId="55B295FD" w14:textId="77777777" w:rsidTr="005F054A">
        <w:trPr>
          <w:trHeight w:val="21"/>
          <w:jc w:val="center"/>
        </w:trPr>
        <w:tc>
          <w:tcPr>
            <w:tcW w:w="1132" w:type="dxa"/>
            <w:tcBorders>
              <w:top w:val="single" w:sz="6" w:space="0" w:color="auto"/>
              <w:left w:val="single" w:sz="4" w:space="0" w:color="auto"/>
              <w:bottom w:val="nil"/>
              <w:right w:val="single" w:sz="6" w:space="0" w:color="auto"/>
            </w:tcBorders>
            <w:hideMark/>
          </w:tcPr>
          <w:p w14:paraId="1CBD76AD" w14:textId="77777777" w:rsidR="00D03161" w:rsidRPr="00237EDC" w:rsidRDefault="00D03161" w:rsidP="00D03161">
            <w:pPr>
              <w:pStyle w:val="TAC"/>
            </w:pPr>
            <w:r w:rsidRPr="00237EDC">
              <w:t>[</w:t>
            </w:r>
            <w:r>
              <w:t>116</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single" w:sz="4" w:space="0" w:color="auto"/>
              <w:left w:val="single" w:sz="4" w:space="0" w:color="auto"/>
              <w:bottom w:val="nil"/>
              <w:right w:val="single" w:sz="4" w:space="0" w:color="auto"/>
            </w:tcBorders>
            <w:hideMark/>
          </w:tcPr>
          <w:p w14:paraId="2B7E9301" w14:textId="77777777" w:rsidR="00D03161" w:rsidRPr="00237EDC" w:rsidRDefault="00D03161" w:rsidP="00D03161">
            <w:pPr>
              <w:pStyle w:val="TAC"/>
              <w:rPr>
                <w:lang w:val="sv-SE"/>
              </w:rPr>
            </w:pPr>
            <w:r w:rsidRPr="00237EDC">
              <w:rPr>
                <w:lang w:val="sv-SE"/>
              </w:rPr>
              <w:t>-3</w:t>
            </w:r>
          </w:p>
        </w:tc>
        <w:tc>
          <w:tcPr>
            <w:tcW w:w="1133" w:type="dxa"/>
            <w:tcBorders>
              <w:top w:val="single" w:sz="4" w:space="0" w:color="auto"/>
              <w:left w:val="single" w:sz="4" w:space="0" w:color="auto"/>
              <w:bottom w:val="nil"/>
              <w:right w:val="single" w:sz="4" w:space="0" w:color="auto"/>
            </w:tcBorders>
            <w:hideMark/>
          </w:tcPr>
          <w:p w14:paraId="31DA6422" w14:textId="77777777" w:rsidR="00D03161" w:rsidRPr="00237EDC" w:rsidRDefault="00D03161" w:rsidP="00D03161">
            <w:pPr>
              <w:pStyle w:val="TAC"/>
            </w:pPr>
            <w:r w:rsidRPr="00237EDC">
              <w:rPr>
                <w:rFonts w:cs="Calibri"/>
              </w:rPr>
              <w:t>≥[</w:t>
            </w:r>
            <w:r w:rsidRPr="00237EDC">
              <w:t>24]</w:t>
            </w:r>
          </w:p>
        </w:tc>
        <w:tc>
          <w:tcPr>
            <w:tcW w:w="709" w:type="dxa"/>
            <w:tcBorders>
              <w:top w:val="single" w:sz="4" w:space="0" w:color="auto"/>
              <w:left w:val="single" w:sz="4" w:space="0" w:color="auto"/>
              <w:bottom w:val="nil"/>
              <w:right w:val="single" w:sz="4" w:space="0" w:color="auto"/>
            </w:tcBorders>
          </w:tcPr>
          <w:p w14:paraId="22402CDE" w14:textId="77777777" w:rsidR="00D03161" w:rsidRPr="00237EDC" w:rsidRDefault="00D03161" w:rsidP="00D03161">
            <w:pPr>
              <w:pStyle w:val="TAC"/>
            </w:pPr>
            <w:r w:rsidRPr="00237EDC">
              <w:t>15</w:t>
            </w:r>
          </w:p>
        </w:tc>
        <w:tc>
          <w:tcPr>
            <w:tcW w:w="2267" w:type="dxa"/>
            <w:tcBorders>
              <w:top w:val="single" w:sz="4" w:space="0" w:color="auto"/>
              <w:left w:val="single" w:sz="4" w:space="0" w:color="auto"/>
              <w:bottom w:val="single" w:sz="4" w:space="0" w:color="auto"/>
              <w:right w:val="single" w:sz="4" w:space="0" w:color="auto"/>
            </w:tcBorders>
            <w:vAlign w:val="center"/>
            <w:hideMark/>
          </w:tcPr>
          <w:p w14:paraId="13060330" w14:textId="77777777" w:rsidR="00D03161" w:rsidRPr="00237EDC" w:rsidRDefault="00D03161" w:rsidP="00D03161">
            <w:pPr>
              <w:pStyle w:val="TAC"/>
            </w:pPr>
            <w:r w:rsidRPr="00237EDC">
              <w:t>NR_FDD_FR1_A, NR_TDD_FR1_A,</w:t>
            </w:r>
          </w:p>
          <w:p w14:paraId="68B5074D" w14:textId="77777777" w:rsidR="00D03161" w:rsidRPr="00237EDC" w:rsidRDefault="00D03161" w:rsidP="00D03161">
            <w:pPr>
              <w:pStyle w:val="TAC"/>
            </w:pPr>
            <w:r w:rsidRPr="00237EDC">
              <w:t>NR_SDL_FR1_A</w:t>
            </w:r>
          </w:p>
        </w:tc>
        <w:tc>
          <w:tcPr>
            <w:tcW w:w="1289" w:type="dxa"/>
            <w:tcBorders>
              <w:top w:val="single" w:sz="4" w:space="0" w:color="auto"/>
              <w:left w:val="single" w:sz="4" w:space="0" w:color="auto"/>
              <w:bottom w:val="single" w:sz="4" w:space="0" w:color="auto"/>
              <w:right w:val="single" w:sz="4" w:space="0" w:color="auto"/>
            </w:tcBorders>
            <w:hideMark/>
          </w:tcPr>
          <w:p w14:paraId="03E5FE07" w14:textId="77777777" w:rsidR="00D03161" w:rsidRPr="00237EDC" w:rsidRDefault="00D03161" w:rsidP="00D03161">
            <w:pPr>
              <w:pStyle w:val="TAC"/>
            </w:pPr>
            <w:r w:rsidRPr="00237EDC">
              <w:t>-121</w:t>
            </w:r>
          </w:p>
        </w:tc>
        <w:tc>
          <w:tcPr>
            <w:tcW w:w="1120" w:type="dxa"/>
            <w:tcBorders>
              <w:top w:val="single" w:sz="4" w:space="0" w:color="auto"/>
              <w:left w:val="single" w:sz="4" w:space="0" w:color="auto"/>
              <w:bottom w:val="nil"/>
              <w:right w:val="single" w:sz="4" w:space="0" w:color="auto"/>
            </w:tcBorders>
            <w:hideMark/>
          </w:tcPr>
          <w:p w14:paraId="294EF8FC" w14:textId="77777777" w:rsidR="00D03161" w:rsidRPr="00237EDC" w:rsidRDefault="00D03161" w:rsidP="00D03161">
            <w:pPr>
              <w:pStyle w:val="TAC"/>
            </w:pPr>
            <w:r w:rsidRPr="00237EDC">
              <w:t>-50</w:t>
            </w:r>
          </w:p>
        </w:tc>
      </w:tr>
      <w:tr w:rsidR="00D03161" w:rsidRPr="00237EDC" w14:paraId="48D94278"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F30FED3"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55ACBE6A"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5F11D993"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4AD4B9EA"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DED13DB" w14:textId="77777777" w:rsidR="00D03161" w:rsidRPr="00237EDC" w:rsidRDefault="00D03161" w:rsidP="00D03161">
            <w:pPr>
              <w:pStyle w:val="TAC"/>
            </w:pPr>
            <w:r w:rsidRPr="00237EDC">
              <w:t>NR_FDD_FR1_B</w:t>
            </w:r>
          </w:p>
        </w:tc>
        <w:tc>
          <w:tcPr>
            <w:tcW w:w="1289" w:type="dxa"/>
            <w:tcBorders>
              <w:top w:val="single" w:sz="4" w:space="0" w:color="auto"/>
              <w:left w:val="single" w:sz="4" w:space="0" w:color="auto"/>
              <w:bottom w:val="single" w:sz="4" w:space="0" w:color="auto"/>
              <w:right w:val="single" w:sz="4" w:space="0" w:color="auto"/>
            </w:tcBorders>
            <w:hideMark/>
          </w:tcPr>
          <w:p w14:paraId="6B1FAE32" w14:textId="77777777" w:rsidR="00D03161" w:rsidRPr="00237EDC" w:rsidRDefault="00D03161" w:rsidP="00D03161">
            <w:pPr>
              <w:pStyle w:val="TAC"/>
            </w:pPr>
            <w:r w:rsidRPr="00237EDC">
              <w:t>-120.5</w:t>
            </w:r>
          </w:p>
        </w:tc>
        <w:tc>
          <w:tcPr>
            <w:tcW w:w="1120" w:type="dxa"/>
            <w:tcBorders>
              <w:top w:val="nil"/>
              <w:left w:val="single" w:sz="4" w:space="0" w:color="auto"/>
              <w:bottom w:val="nil"/>
              <w:right w:val="single" w:sz="4" w:space="0" w:color="auto"/>
            </w:tcBorders>
            <w:vAlign w:val="center"/>
            <w:hideMark/>
          </w:tcPr>
          <w:p w14:paraId="396A94BF" w14:textId="77777777" w:rsidR="00D03161" w:rsidRPr="00237EDC" w:rsidRDefault="00D03161" w:rsidP="00D03161">
            <w:pPr>
              <w:pStyle w:val="TAC"/>
            </w:pPr>
          </w:p>
        </w:tc>
      </w:tr>
      <w:tr w:rsidR="00D03161" w:rsidRPr="00237EDC" w14:paraId="02E6EBB3"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1D7E2B0"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622065C2"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0FECABEE"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058C84E2"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AD28726" w14:textId="77777777" w:rsidR="00D03161" w:rsidRPr="00237EDC" w:rsidRDefault="00D03161" w:rsidP="00D03161">
            <w:pPr>
              <w:pStyle w:val="TAC"/>
            </w:pPr>
            <w:r w:rsidRPr="00237EDC">
              <w:t>NR_TDD_FR1_C</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997ADB8" w14:textId="77777777" w:rsidR="00D03161" w:rsidRPr="00237EDC" w:rsidRDefault="00D03161" w:rsidP="00D03161">
            <w:pPr>
              <w:pStyle w:val="TAC"/>
            </w:pPr>
            <w:r w:rsidRPr="00237EDC">
              <w:t>-120</w:t>
            </w:r>
          </w:p>
        </w:tc>
        <w:tc>
          <w:tcPr>
            <w:tcW w:w="1120" w:type="dxa"/>
            <w:tcBorders>
              <w:top w:val="nil"/>
              <w:left w:val="single" w:sz="4" w:space="0" w:color="auto"/>
              <w:bottom w:val="nil"/>
              <w:right w:val="single" w:sz="4" w:space="0" w:color="auto"/>
            </w:tcBorders>
            <w:vAlign w:val="center"/>
            <w:hideMark/>
          </w:tcPr>
          <w:p w14:paraId="4AF061DB" w14:textId="77777777" w:rsidR="00D03161" w:rsidRPr="00237EDC" w:rsidRDefault="00D03161" w:rsidP="00D03161">
            <w:pPr>
              <w:pStyle w:val="TAC"/>
            </w:pPr>
          </w:p>
        </w:tc>
      </w:tr>
      <w:tr w:rsidR="00D03161" w:rsidRPr="00237EDC" w14:paraId="44098F53"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FECDD09"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6CE88626"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2F6F5585"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5D309094"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B275FA0" w14:textId="77777777" w:rsidR="00D03161" w:rsidRPr="00237EDC" w:rsidRDefault="00D03161" w:rsidP="00D03161">
            <w:pPr>
              <w:pStyle w:val="TAC"/>
              <w:rPr>
                <w:lang w:val="sv-SE"/>
              </w:rPr>
            </w:pPr>
            <w:r w:rsidRPr="00237EDC">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vAlign w:val="center"/>
            <w:hideMark/>
          </w:tcPr>
          <w:p w14:paraId="208C3925" w14:textId="77777777" w:rsidR="00D03161" w:rsidRPr="00237EDC" w:rsidRDefault="00D03161" w:rsidP="00D03161">
            <w:pPr>
              <w:pStyle w:val="TAC"/>
            </w:pPr>
            <w:r w:rsidRPr="00237EDC">
              <w:t>-119.5</w:t>
            </w:r>
          </w:p>
        </w:tc>
        <w:tc>
          <w:tcPr>
            <w:tcW w:w="1120" w:type="dxa"/>
            <w:tcBorders>
              <w:top w:val="nil"/>
              <w:left w:val="single" w:sz="4" w:space="0" w:color="auto"/>
              <w:bottom w:val="nil"/>
              <w:right w:val="single" w:sz="4" w:space="0" w:color="auto"/>
            </w:tcBorders>
            <w:vAlign w:val="center"/>
            <w:hideMark/>
          </w:tcPr>
          <w:p w14:paraId="3E7906E0" w14:textId="77777777" w:rsidR="00D03161" w:rsidRPr="00237EDC" w:rsidRDefault="00D03161" w:rsidP="00D03161">
            <w:pPr>
              <w:pStyle w:val="TAC"/>
            </w:pPr>
          </w:p>
        </w:tc>
      </w:tr>
      <w:tr w:rsidR="00D03161" w:rsidRPr="00237EDC" w14:paraId="2E930AB4"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DCC35B9"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5E35DA7D"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530BD6E9"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084078E5"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C6AB146" w14:textId="77777777" w:rsidR="00D03161" w:rsidRPr="00237EDC" w:rsidRDefault="00D03161" w:rsidP="00D03161">
            <w:pPr>
              <w:pStyle w:val="TAC"/>
              <w:rPr>
                <w:lang w:val="sv-SE"/>
              </w:rPr>
            </w:pPr>
            <w:r w:rsidRPr="00237EDC">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vAlign w:val="center"/>
            <w:hideMark/>
          </w:tcPr>
          <w:p w14:paraId="141F9A3B" w14:textId="77777777" w:rsidR="00D03161" w:rsidRPr="00237EDC" w:rsidRDefault="00D03161" w:rsidP="00D03161">
            <w:pPr>
              <w:pStyle w:val="TAC"/>
            </w:pPr>
            <w:r w:rsidRPr="00237EDC">
              <w:t>-119</w:t>
            </w:r>
          </w:p>
        </w:tc>
        <w:tc>
          <w:tcPr>
            <w:tcW w:w="1120" w:type="dxa"/>
            <w:tcBorders>
              <w:top w:val="nil"/>
              <w:left w:val="single" w:sz="4" w:space="0" w:color="auto"/>
              <w:bottom w:val="nil"/>
              <w:right w:val="single" w:sz="4" w:space="0" w:color="auto"/>
            </w:tcBorders>
            <w:vAlign w:val="center"/>
            <w:hideMark/>
          </w:tcPr>
          <w:p w14:paraId="1B6C8E12" w14:textId="77777777" w:rsidR="00D03161" w:rsidRPr="00237EDC" w:rsidRDefault="00D03161" w:rsidP="00D03161">
            <w:pPr>
              <w:pStyle w:val="TAC"/>
            </w:pPr>
          </w:p>
        </w:tc>
      </w:tr>
      <w:tr w:rsidR="00D03161" w:rsidRPr="00237EDC" w14:paraId="65B7DCA9"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A0E5DC7"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74307295"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01A8AF6D"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3F5E8E49"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9856E5F" w14:textId="77777777" w:rsidR="00D03161" w:rsidRPr="00237EDC" w:rsidRDefault="00D03161" w:rsidP="00D03161">
            <w:pPr>
              <w:pStyle w:val="TAC"/>
            </w:pPr>
            <w:r w:rsidRPr="00237EDC">
              <w:rPr>
                <w:lang w:eastAsia="zh-CN"/>
              </w:rPr>
              <w:t>NR_FDD_FR1_F</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EE80E5F" w14:textId="77777777" w:rsidR="00D03161" w:rsidRPr="00237EDC" w:rsidRDefault="00D03161" w:rsidP="00D03161">
            <w:pPr>
              <w:pStyle w:val="TAC"/>
            </w:pPr>
            <w:r w:rsidRPr="00237EDC">
              <w:t>-118.5</w:t>
            </w:r>
          </w:p>
        </w:tc>
        <w:tc>
          <w:tcPr>
            <w:tcW w:w="1120" w:type="dxa"/>
            <w:tcBorders>
              <w:top w:val="nil"/>
              <w:left w:val="single" w:sz="4" w:space="0" w:color="auto"/>
              <w:bottom w:val="nil"/>
              <w:right w:val="single" w:sz="4" w:space="0" w:color="auto"/>
            </w:tcBorders>
            <w:vAlign w:val="center"/>
            <w:hideMark/>
          </w:tcPr>
          <w:p w14:paraId="277C46E1" w14:textId="77777777" w:rsidR="00D03161" w:rsidRPr="00237EDC" w:rsidRDefault="00D03161" w:rsidP="00D03161">
            <w:pPr>
              <w:pStyle w:val="TAC"/>
            </w:pPr>
          </w:p>
        </w:tc>
      </w:tr>
      <w:tr w:rsidR="00D03161" w:rsidRPr="00237EDC" w14:paraId="13C112B8"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9991EB4"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623BBB07"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2882DB01"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3F187893"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8D6769F" w14:textId="77777777" w:rsidR="00D03161" w:rsidRPr="00237EDC" w:rsidRDefault="00D03161" w:rsidP="00D03161">
            <w:pPr>
              <w:pStyle w:val="TAC"/>
            </w:pPr>
            <w:r w:rsidRPr="00237EDC">
              <w:rPr>
                <w:lang w:eastAsia="zh-CN"/>
              </w:rPr>
              <w:t>NR</w:t>
            </w:r>
            <w:r w:rsidRPr="00237EDC">
              <w:t>_</w:t>
            </w:r>
            <w:r w:rsidRPr="00237EDC">
              <w:rPr>
                <w:lang w:eastAsia="zh-CN"/>
              </w:rPr>
              <w:t>FDD_FR1_G</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69175B9" w14:textId="77777777" w:rsidR="00D03161" w:rsidRPr="00237EDC" w:rsidRDefault="00D03161" w:rsidP="00D03161">
            <w:pPr>
              <w:pStyle w:val="TAC"/>
            </w:pPr>
            <w:r w:rsidRPr="00237EDC">
              <w:t>-118</w:t>
            </w:r>
          </w:p>
        </w:tc>
        <w:tc>
          <w:tcPr>
            <w:tcW w:w="1120" w:type="dxa"/>
            <w:tcBorders>
              <w:top w:val="nil"/>
              <w:left w:val="single" w:sz="4" w:space="0" w:color="auto"/>
              <w:bottom w:val="nil"/>
              <w:right w:val="single" w:sz="4" w:space="0" w:color="auto"/>
            </w:tcBorders>
            <w:vAlign w:val="center"/>
            <w:hideMark/>
          </w:tcPr>
          <w:p w14:paraId="555E0A61" w14:textId="77777777" w:rsidR="00D03161" w:rsidRPr="00237EDC" w:rsidRDefault="00D03161" w:rsidP="00D03161">
            <w:pPr>
              <w:pStyle w:val="TAC"/>
            </w:pPr>
          </w:p>
        </w:tc>
      </w:tr>
      <w:tr w:rsidR="00D03161" w:rsidRPr="00237EDC" w14:paraId="0B0A9FC4"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70F7CA66"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6D1C95AD" w14:textId="77777777" w:rsidR="00D03161" w:rsidRPr="00237EDC" w:rsidRDefault="00D03161" w:rsidP="00D03161">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7CA6F9F7"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2CD07D21"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55D3354" w14:textId="77777777" w:rsidR="00D03161" w:rsidRPr="00237EDC" w:rsidRDefault="00D03161" w:rsidP="00D03161">
            <w:pPr>
              <w:pStyle w:val="TAC"/>
            </w:pPr>
            <w:r w:rsidRPr="00237EDC">
              <w:rPr>
                <w:lang w:eastAsia="zh-CN"/>
              </w:rPr>
              <w:t>NR</w:t>
            </w:r>
            <w:r w:rsidRPr="00237EDC">
              <w:t>_</w:t>
            </w:r>
            <w:r w:rsidRPr="00237EDC">
              <w:rPr>
                <w:lang w:eastAsia="zh-CN"/>
              </w:rPr>
              <w:t>FDD_FR1_H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386FD45" w14:textId="77777777" w:rsidR="00D03161" w:rsidRPr="00237EDC" w:rsidRDefault="00D03161" w:rsidP="00D03161">
            <w:pPr>
              <w:pStyle w:val="TAC"/>
            </w:pPr>
            <w:r w:rsidRPr="00237EDC">
              <w:t>-117.5</w:t>
            </w:r>
          </w:p>
        </w:tc>
        <w:tc>
          <w:tcPr>
            <w:tcW w:w="1120" w:type="dxa"/>
            <w:tcBorders>
              <w:top w:val="nil"/>
              <w:left w:val="single" w:sz="4" w:space="0" w:color="auto"/>
              <w:bottom w:val="single" w:sz="4" w:space="0" w:color="auto"/>
              <w:right w:val="single" w:sz="4" w:space="0" w:color="auto"/>
            </w:tcBorders>
            <w:vAlign w:val="center"/>
            <w:hideMark/>
          </w:tcPr>
          <w:p w14:paraId="1CAF4584" w14:textId="77777777" w:rsidR="00D03161" w:rsidRPr="00237EDC" w:rsidRDefault="00D03161" w:rsidP="00D03161">
            <w:pPr>
              <w:pStyle w:val="TAC"/>
            </w:pPr>
          </w:p>
        </w:tc>
      </w:tr>
      <w:tr w:rsidR="00D03161" w:rsidRPr="00237EDC" w14:paraId="78077D97" w14:textId="77777777" w:rsidTr="005F054A">
        <w:trPr>
          <w:jc w:val="center"/>
        </w:trPr>
        <w:tc>
          <w:tcPr>
            <w:tcW w:w="1132" w:type="dxa"/>
            <w:tcBorders>
              <w:top w:val="single" w:sz="6" w:space="0" w:color="auto"/>
              <w:left w:val="single" w:sz="4" w:space="0" w:color="auto"/>
              <w:bottom w:val="nil"/>
              <w:right w:val="single" w:sz="6" w:space="0" w:color="auto"/>
            </w:tcBorders>
            <w:vAlign w:val="center"/>
            <w:hideMark/>
          </w:tcPr>
          <w:p w14:paraId="319FC845" w14:textId="77777777" w:rsidR="00D03161" w:rsidRPr="00237EDC" w:rsidRDefault="00D03161" w:rsidP="00D03161">
            <w:pPr>
              <w:pStyle w:val="TAC"/>
            </w:pPr>
            <w:r w:rsidRPr="00237EDC">
              <w:t>[</w:t>
            </w:r>
            <w:r>
              <w:t>60</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nil"/>
              <w:left w:val="single" w:sz="4" w:space="0" w:color="auto"/>
              <w:bottom w:val="nil"/>
              <w:right w:val="single" w:sz="4" w:space="0" w:color="auto"/>
            </w:tcBorders>
            <w:vAlign w:val="center"/>
            <w:hideMark/>
          </w:tcPr>
          <w:p w14:paraId="59D2BD08" w14:textId="77777777" w:rsidR="00D03161" w:rsidRPr="00237EDC" w:rsidRDefault="00D03161" w:rsidP="00D03161">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4AABE11" w14:textId="77777777" w:rsidR="00D03161" w:rsidRPr="00237EDC" w:rsidRDefault="00D03161" w:rsidP="00D03161">
            <w:pPr>
              <w:pStyle w:val="TAC"/>
            </w:pPr>
            <w:r w:rsidRPr="00237EDC">
              <w:rPr>
                <w:rFonts w:cs="Calibri"/>
              </w:rPr>
              <w:t>≥[</w:t>
            </w:r>
            <w:r w:rsidRPr="00237EDC">
              <w:t>52]</w:t>
            </w:r>
          </w:p>
        </w:tc>
        <w:tc>
          <w:tcPr>
            <w:tcW w:w="709" w:type="dxa"/>
            <w:tcBorders>
              <w:top w:val="nil"/>
              <w:left w:val="single" w:sz="4" w:space="0" w:color="auto"/>
              <w:bottom w:val="nil"/>
              <w:right w:val="single" w:sz="4" w:space="0" w:color="auto"/>
            </w:tcBorders>
            <w:vAlign w:val="center"/>
            <w:hideMark/>
          </w:tcPr>
          <w:p w14:paraId="254A43B5"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2D142CB4" w14:textId="77777777" w:rsidR="00D03161" w:rsidRPr="00237EDC" w:rsidRDefault="00D03161" w:rsidP="00D03161">
            <w:pPr>
              <w:pStyle w:val="TAC"/>
            </w:pPr>
            <w:r w:rsidRPr="00237EDC">
              <w:t>Note 5</w:t>
            </w:r>
          </w:p>
        </w:tc>
        <w:tc>
          <w:tcPr>
            <w:tcW w:w="1289" w:type="dxa"/>
            <w:tcBorders>
              <w:top w:val="single" w:sz="4" w:space="0" w:color="auto"/>
              <w:left w:val="single" w:sz="4" w:space="0" w:color="auto"/>
              <w:bottom w:val="single" w:sz="4" w:space="0" w:color="auto"/>
              <w:right w:val="single" w:sz="4" w:space="0" w:color="auto"/>
            </w:tcBorders>
            <w:hideMark/>
          </w:tcPr>
          <w:p w14:paraId="7A03C6D6" w14:textId="77777777" w:rsidR="00D03161" w:rsidRPr="00237EDC" w:rsidRDefault="00D03161" w:rsidP="00D03161">
            <w:pPr>
              <w:pStyle w:val="TAC"/>
            </w:pPr>
            <w:r w:rsidRPr="00237EDC">
              <w:t>NOTE 5</w:t>
            </w:r>
          </w:p>
        </w:tc>
        <w:tc>
          <w:tcPr>
            <w:tcW w:w="1120" w:type="dxa"/>
            <w:tcBorders>
              <w:top w:val="single" w:sz="4" w:space="0" w:color="auto"/>
              <w:left w:val="single" w:sz="4" w:space="0" w:color="auto"/>
              <w:bottom w:val="single" w:sz="4" w:space="0" w:color="auto"/>
              <w:right w:val="single" w:sz="4" w:space="0" w:color="auto"/>
            </w:tcBorders>
            <w:hideMark/>
          </w:tcPr>
          <w:p w14:paraId="7DEFEA96" w14:textId="77777777" w:rsidR="00D03161" w:rsidRPr="00237EDC" w:rsidRDefault="00D03161" w:rsidP="00D03161">
            <w:pPr>
              <w:pStyle w:val="TAC"/>
            </w:pPr>
            <w:r w:rsidRPr="00237EDC">
              <w:t>NOTE 5</w:t>
            </w:r>
          </w:p>
        </w:tc>
      </w:tr>
      <w:tr w:rsidR="00D03161" w:rsidRPr="00237EDC" w14:paraId="11CA0B52" w14:textId="77777777" w:rsidTr="005F054A">
        <w:trPr>
          <w:jc w:val="center"/>
        </w:trPr>
        <w:tc>
          <w:tcPr>
            <w:tcW w:w="1132" w:type="dxa"/>
            <w:tcBorders>
              <w:top w:val="single" w:sz="6" w:space="0" w:color="auto"/>
              <w:left w:val="single" w:sz="4" w:space="0" w:color="auto"/>
              <w:bottom w:val="nil"/>
              <w:right w:val="single" w:sz="6" w:space="0" w:color="auto"/>
            </w:tcBorders>
            <w:vAlign w:val="center"/>
            <w:hideMark/>
          </w:tcPr>
          <w:p w14:paraId="526A08DC" w14:textId="77777777" w:rsidR="00D03161" w:rsidRPr="00237EDC" w:rsidRDefault="00D03161" w:rsidP="00D03161">
            <w:pPr>
              <w:pStyle w:val="TAC"/>
            </w:pPr>
            <w:r w:rsidRPr="00237EDC">
              <w:t>[2</w:t>
            </w:r>
            <w:r>
              <w:t>9</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nil"/>
              <w:left w:val="single" w:sz="4" w:space="0" w:color="auto"/>
              <w:bottom w:val="nil"/>
              <w:right w:val="single" w:sz="4" w:space="0" w:color="auto"/>
            </w:tcBorders>
            <w:vAlign w:val="center"/>
            <w:hideMark/>
          </w:tcPr>
          <w:p w14:paraId="48E2B544" w14:textId="77777777" w:rsidR="00D03161" w:rsidRPr="00237EDC" w:rsidRDefault="00D03161" w:rsidP="00D03161">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3C50C746" w14:textId="77777777" w:rsidR="00D03161" w:rsidRPr="00237EDC" w:rsidRDefault="00D03161" w:rsidP="00D03161">
            <w:pPr>
              <w:pStyle w:val="TAC"/>
            </w:pPr>
            <w:r w:rsidRPr="00237EDC">
              <w:rPr>
                <w:lang w:eastAsia="zh-CN"/>
              </w:rPr>
              <w:t>&gt;[104]</w:t>
            </w:r>
          </w:p>
        </w:tc>
        <w:tc>
          <w:tcPr>
            <w:tcW w:w="709" w:type="dxa"/>
            <w:tcBorders>
              <w:top w:val="nil"/>
              <w:left w:val="single" w:sz="4" w:space="0" w:color="auto"/>
              <w:bottom w:val="single" w:sz="4" w:space="0" w:color="auto"/>
              <w:right w:val="single" w:sz="4" w:space="0" w:color="auto"/>
            </w:tcBorders>
            <w:vAlign w:val="center"/>
            <w:hideMark/>
          </w:tcPr>
          <w:p w14:paraId="01F98C8B"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5D91683E" w14:textId="77777777" w:rsidR="00D03161" w:rsidRPr="00237EDC" w:rsidRDefault="00D03161" w:rsidP="00D03161">
            <w:pPr>
              <w:pStyle w:val="TAC"/>
            </w:pPr>
            <w:r w:rsidRPr="00237EDC">
              <w:t>Note 5</w:t>
            </w:r>
          </w:p>
        </w:tc>
        <w:tc>
          <w:tcPr>
            <w:tcW w:w="1289" w:type="dxa"/>
            <w:tcBorders>
              <w:top w:val="single" w:sz="4" w:space="0" w:color="auto"/>
              <w:left w:val="single" w:sz="4" w:space="0" w:color="auto"/>
              <w:bottom w:val="single" w:sz="4" w:space="0" w:color="auto"/>
              <w:right w:val="single" w:sz="4" w:space="0" w:color="auto"/>
            </w:tcBorders>
            <w:hideMark/>
          </w:tcPr>
          <w:p w14:paraId="2E58F1C3" w14:textId="77777777" w:rsidR="00D03161" w:rsidRPr="00237EDC" w:rsidRDefault="00D03161" w:rsidP="00D03161">
            <w:pPr>
              <w:pStyle w:val="TAC"/>
            </w:pPr>
            <w:r w:rsidRPr="00237EDC">
              <w:t>NOTE 5</w:t>
            </w:r>
          </w:p>
        </w:tc>
        <w:tc>
          <w:tcPr>
            <w:tcW w:w="1120" w:type="dxa"/>
            <w:tcBorders>
              <w:top w:val="single" w:sz="4" w:space="0" w:color="auto"/>
              <w:left w:val="single" w:sz="4" w:space="0" w:color="auto"/>
              <w:bottom w:val="single" w:sz="4" w:space="0" w:color="auto"/>
              <w:right w:val="single" w:sz="4" w:space="0" w:color="auto"/>
            </w:tcBorders>
            <w:hideMark/>
          </w:tcPr>
          <w:p w14:paraId="253F8B27" w14:textId="77777777" w:rsidR="00D03161" w:rsidRPr="00237EDC" w:rsidRDefault="00D03161" w:rsidP="00D03161">
            <w:pPr>
              <w:pStyle w:val="TAC"/>
            </w:pPr>
            <w:r w:rsidRPr="00237EDC">
              <w:t>NOTE 5</w:t>
            </w:r>
          </w:p>
        </w:tc>
      </w:tr>
      <w:tr w:rsidR="00D03161" w:rsidRPr="00237EDC" w14:paraId="378AF5CE" w14:textId="77777777" w:rsidTr="005F054A">
        <w:trPr>
          <w:trHeight w:val="24"/>
          <w:jc w:val="center"/>
        </w:trPr>
        <w:tc>
          <w:tcPr>
            <w:tcW w:w="1132" w:type="dxa"/>
            <w:tcBorders>
              <w:top w:val="single" w:sz="6" w:space="0" w:color="auto"/>
              <w:left w:val="single" w:sz="4" w:space="0" w:color="auto"/>
              <w:bottom w:val="nil"/>
              <w:right w:val="single" w:sz="6" w:space="0" w:color="auto"/>
            </w:tcBorders>
            <w:vAlign w:val="center"/>
            <w:hideMark/>
          </w:tcPr>
          <w:p w14:paraId="0F210C74" w14:textId="77777777" w:rsidR="00D03161" w:rsidRPr="00237EDC" w:rsidRDefault="00D03161" w:rsidP="00D03161">
            <w:pPr>
              <w:pStyle w:val="TAC"/>
            </w:pPr>
            <w:r w:rsidRPr="00237EDC">
              <w:t>[</w:t>
            </w:r>
            <w:r>
              <w:t>56</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nil"/>
              <w:left w:val="single" w:sz="4" w:space="0" w:color="auto"/>
              <w:bottom w:val="nil"/>
              <w:right w:val="single" w:sz="4" w:space="0" w:color="auto"/>
            </w:tcBorders>
            <w:vAlign w:val="center"/>
          </w:tcPr>
          <w:p w14:paraId="01E77272" w14:textId="77777777" w:rsidR="00D03161" w:rsidRPr="00237EDC" w:rsidRDefault="00D03161" w:rsidP="00D03161">
            <w:pPr>
              <w:pStyle w:val="TAC"/>
              <w:rPr>
                <w:lang w:val="sv-SE"/>
              </w:rPr>
            </w:pPr>
          </w:p>
        </w:tc>
        <w:tc>
          <w:tcPr>
            <w:tcW w:w="1133" w:type="dxa"/>
            <w:tcBorders>
              <w:top w:val="single" w:sz="4" w:space="0" w:color="auto"/>
              <w:left w:val="single" w:sz="4" w:space="0" w:color="auto"/>
              <w:bottom w:val="nil"/>
              <w:right w:val="single" w:sz="4" w:space="0" w:color="auto"/>
            </w:tcBorders>
            <w:hideMark/>
          </w:tcPr>
          <w:p w14:paraId="271E2AA6" w14:textId="77777777" w:rsidR="00D03161" w:rsidRPr="00237EDC" w:rsidRDefault="00D03161" w:rsidP="00D03161">
            <w:pPr>
              <w:pStyle w:val="TAC"/>
            </w:pPr>
            <w:r w:rsidRPr="00237EDC">
              <w:rPr>
                <w:rFonts w:cs="Calibri"/>
              </w:rPr>
              <w:t>≥[</w:t>
            </w:r>
            <w:r w:rsidRPr="00237EDC">
              <w:t>24]</w:t>
            </w:r>
          </w:p>
        </w:tc>
        <w:tc>
          <w:tcPr>
            <w:tcW w:w="709" w:type="dxa"/>
            <w:tcBorders>
              <w:top w:val="single" w:sz="4" w:space="0" w:color="auto"/>
              <w:left w:val="single" w:sz="4" w:space="0" w:color="auto"/>
              <w:bottom w:val="nil"/>
              <w:right w:val="single" w:sz="4" w:space="0" w:color="auto"/>
            </w:tcBorders>
            <w:hideMark/>
          </w:tcPr>
          <w:p w14:paraId="4B56F4BA" w14:textId="77777777" w:rsidR="00D03161" w:rsidRPr="00237EDC" w:rsidRDefault="00D03161" w:rsidP="00D03161">
            <w:pPr>
              <w:pStyle w:val="TAC"/>
            </w:pPr>
            <w:r w:rsidRPr="00237EDC">
              <w:t>30</w:t>
            </w:r>
          </w:p>
        </w:tc>
        <w:tc>
          <w:tcPr>
            <w:tcW w:w="2267" w:type="dxa"/>
            <w:tcBorders>
              <w:top w:val="single" w:sz="4" w:space="0" w:color="auto"/>
              <w:left w:val="single" w:sz="4" w:space="0" w:color="auto"/>
              <w:bottom w:val="single" w:sz="4" w:space="0" w:color="auto"/>
              <w:right w:val="single" w:sz="4" w:space="0" w:color="auto"/>
            </w:tcBorders>
            <w:vAlign w:val="center"/>
            <w:hideMark/>
          </w:tcPr>
          <w:p w14:paraId="61F76CEB" w14:textId="77777777" w:rsidR="00D03161" w:rsidRPr="00237EDC" w:rsidRDefault="00D03161" w:rsidP="00D03161">
            <w:pPr>
              <w:pStyle w:val="TAC"/>
            </w:pPr>
            <w:r w:rsidRPr="00237EDC">
              <w:t>NR_FDD_FR1_A, NR_TDD_FR1_A,</w:t>
            </w:r>
          </w:p>
          <w:p w14:paraId="6C1A5C0B" w14:textId="77777777" w:rsidR="00D03161" w:rsidRPr="00237EDC" w:rsidRDefault="00D03161" w:rsidP="00D03161">
            <w:pPr>
              <w:pStyle w:val="TAC"/>
            </w:pPr>
            <w:r w:rsidRPr="00237EDC">
              <w:t>NR_SDL_FR1_A</w:t>
            </w:r>
          </w:p>
        </w:tc>
        <w:tc>
          <w:tcPr>
            <w:tcW w:w="1289" w:type="dxa"/>
            <w:tcBorders>
              <w:top w:val="single" w:sz="4" w:space="0" w:color="auto"/>
              <w:left w:val="single" w:sz="4" w:space="0" w:color="auto"/>
              <w:bottom w:val="single" w:sz="4" w:space="0" w:color="auto"/>
              <w:right w:val="single" w:sz="4" w:space="0" w:color="auto"/>
            </w:tcBorders>
            <w:hideMark/>
          </w:tcPr>
          <w:p w14:paraId="4A4A08AF" w14:textId="77777777" w:rsidR="00D03161" w:rsidRPr="00237EDC" w:rsidRDefault="00D03161" w:rsidP="00D03161">
            <w:pPr>
              <w:pStyle w:val="TAC"/>
            </w:pPr>
            <w:r w:rsidRPr="00237EDC">
              <w:t>-118</w:t>
            </w:r>
          </w:p>
        </w:tc>
        <w:tc>
          <w:tcPr>
            <w:tcW w:w="1120" w:type="dxa"/>
            <w:tcBorders>
              <w:top w:val="single" w:sz="4" w:space="0" w:color="auto"/>
              <w:left w:val="single" w:sz="4" w:space="0" w:color="auto"/>
              <w:bottom w:val="nil"/>
              <w:right w:val="single" w:sz="4" w:space="0" w:color="auto"/>
            </w:tcBorders>
            <w:hideMark/>
          </w:tcPr>
          <w:p w14:paraId="153BF0A0" w14:textId="77777777" w:rsidR="00D03161" w:rsidRPr="00237EDC" w:rsidRDefault="00D03161" w:rsidP="00D03161">
            <w:pPr>
              <w:pStyle w:val="TAC"/>
            </w:pPr>
            <w:r w:rsidRPr="00237EDC">
              <w:t>-50</w:t>
            </w:r>
          </w:p>
        </w:tc>
      </w:tr>
      <w:tr w:rsidR="00D03161" w:rsidRPr="00237EDC" w14:paraId="7F072A9E"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6904A4D8"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7234D778"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703B1119"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250BEBB0"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55D7F4D" w14:textId="77777777" w:rsidR="00D03161" w:rsidRPr="00237EDC" w:rsidRDefault="00D03161" w:rsidP="00D03161">
            <w:pPr>
              <w:pStyle w:val="TAC"/>
            </w:pPr>
            <w:r w:rsidRPr="00237EDC">
              <w:t>NR_FDD_FR1_B</w:t>
            </w:r>
          </w:p>
        </w:tc>
        <w:tc>
          <w:tcPr>
            <w:tcW w:w="1289" w:type="dxa"/>
            <w:tcBorders>
              <w:top w:val="single" w:sz="4" w:space="0" w:color="auto"/>
              <w:left w:val="single" w:sz="4" w:space="0" w:color="auto"/>
              <w:bottom w:val="single" w:sz="4" w:space="0" w:color="auto"/>
              <w:right w:val="single" w:sz="4" w:space="0" w:color="auto"/>
            </w:tcBorders>
            <w:hideMark/>
          </w:tcPr>
          <w:p w14:paraId="7EE987EF" w14:textId="77777777" w:rsidR="00D03161" w:rsidRPr="00237EDC" w:rsidRDefault="00D03161" w:rsidP="00D03161">
            <w:pPr>
              <w:pStyle w:val="TAC"/>
            </w:pPr>
            <w:r w:rsidRPr="00237EDC">
              <w:t>-117.5</w:t>
            </w:r>
          </w:p>
        </w:tc>
        <w:tc>
          <w:tcPr>
            <w:tcW w:w="1120" w:type="dxa"/>
            <w:tcBorders>
              <w:top w:val="nil"/>
              <w:left w:val="single" w:sz="4" w:space="0" w:color="auto"/>
              <w:bottom w:val="nil"/>
              <w:right w:val="single" w:sz="4" w:space="0" w:color="auto"/>
            </w:tcBorders>
            <w:vAlign w:val="center"/>
            <w:hideMark/>
          </w:tcPr>
          <w:p w14:paraId="6010C94B" w14:textId="77777777" w:rsidR="00D03161" w:rsidRPr="00237EDC" w:rsidRDefault="00D03161" w:rsidP="00D03161">
            <w:pPr>
              <w:pStyle w:val="TAC"/>
            </w:pPr>
          </w:p>
        </w:tc>
      </w:tr>
      <w:tr w:rsidR="00D03161" w:rsidRPr="00237EDC" w14:paraId="3542230A"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50FAF093"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45EC16F0"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0D38BF5F"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55124C3E"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A03D139" w14:textId="77777777" w:rsidR="00D03161" w:rsidRPr="00237EDC" w:rsidRDefault="00D03161" w:rsidP="00D03161">
            <w:pPr>
              <w:pStyle w:val="TAC"/>
            </w:pPr>
            <w:r w:rsidRPr="00237EDC">
              <w:t>NR_TDD_FR1_C</w:t>
            </w:r>
          </w:p>
        </w:tc>
        <w:tc>
          <w:tcPr>
            <w:tcW w:w="1289" w:type="dxa"/>
            <w:tcBorders>
              <w:top w:val="single" w:sz="4" w:space="0" w:color="auto"/>
              <w:left w:val="single" w:sz="4" w:space="0" w:color="auto"/>
              <w:bottom w:val="single" w:sz="4" w:space="0" w:color="auto"/>
              <w:right w:val="single" w:sz="4" w:space="0" w:color="auto"/>
            </w:tcBorders>
            <w:hideMark/>
          </w:tcPr>
          <w:p w14:paraId="3F7E445C" w14:textId="77777777" w:rsidR="00D03161" w:rsidRPr="00237EDC" w:rsidRDefault="00D03161" w:rsidP="00D03161">
            <w:pPr>
              <w:pStyle w:val="TAC"/>
            </w:pPr>
            <w:r w:rsidRPr="00237EDC">
              <w:t>-117</w:t>
            </w:r>
          </w:p>
        </w:tc>
        <w:tc>
          <w:tcPr>
            <w:tcW w:w="1120" w:type="dxa"/>
            <w:tcBorders>
              <w:top w:val="nil"/>
              <w:left w:val="single" w:sz="4" w:space="0" w:color="auto"/>
              <w:bottom w:val="nil"/>
              <w:right w:val="single" w:sz="4" w:space="0" w:color="auto"/>
            </w:tcBorders>
            <w:vAlign w:val="center"/>
            <w:hideMark/>
          </w:tcPr>
          <w:p w14:paraId="6A11504A" w14:textId="77777777" w:rsidR="00D03161" w:rsidRPr="00237EDC" w:rsidRDefault="00D03161" w:rsidP="00D03161">
            <w:pPr>
              <w:pStyle w:val="TAC"/>
            </w:pPr>
          </w:p>
        </w:tc>
      </w:tr>
      <w:tr w:rsidR="00D03161" w:rsidRPr="00237EDC" w14:paraId="5AAD7053"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45470FA6"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5230250D"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1C0A4415"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50E2A3BB"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1B02F6D" w14:textId="77777777" w:rsidR="00D03161" w:rsidRPr="00237EDC" w:rsidRDefault="00D03161" w:rsidP="00D03161">
            <w:pPr>
              <w:pStyle w:val="TAC"/>
              <w:rPr>
                <w:lang w:val="sv-SE"/>
              </w:rPr>
            </w:pPr>
            <w:r w:rsidRPr="00237EDC">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hideMark/>
          </w:tcPr>
          <w:p w14:paraId="7F18310D" w14:textId="77777777" w:rsidR="00D03161" w:rsidRPr="00237EDC" w:rsidRDefault="00D03161" w:rsidP="00D03161">
            <w:pPr>
              <w:pStyle w:val="TAC"/>
              <w:rPr>
                <w:lang w:val="sv-SE"/>
              </w:rPr>
            </w:pPr>
            <w:r w:rsidRPr="00237EDC">
              <w:t>-116.5</w:t>
            </w:r>
          </w:p>
        </w:tc>
        <w:tc>
          <w:tcPr>
            <w:tcW w:w="1120" w:type="dxa"/>
            <w:tcBorders>
              <w:top w:val="nil"/>
              <w:left w:val="single" w:sz="4" w:space="0" w:color="auto"/>
              <w:bottom w:val="nil"/>
              <w:right w:val="single" w:sz="4" w:space="0" w:color="auto"/>
            </w:tcBorders>
            <w:vAlign w:val="center"/>
            <w:hideMark/>
          </w:tcPr>
          <w:p w14:paraId="5E1EB25D" w14:textId="77777777" w:rsidR="00D03161" w:rsidRPr="00237EDC" w:rsidRDefault="00D03161" w:rsidP="00D03161">
            <w:pPr>
              <w:pStyle w:val="TAC"/>
            </w:pPr>
          </w:p>
        </w:tc>
      </w:tr>
      <w:tr w:rsidR="00D03161" w:rsidRPr="00237EDC" w14:paraId="315ADCD1"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4ABB187D"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06A74250"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59A7B4CD"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11D01017"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606003E" w14:textId="77777777" w:rsidR="00D03161" w:rsidRPr="00237EDC" w:rsidRDefault="00D03161" w:rsidP="00D03161">
            <w:pPr>
              <w:pStyle w:val="TAC"/>
              <w:rPr>
                <w:lang w:val="sv-SE"/>
              </w:rPr>
            </w:pPr>
            <w:r w:rsidRPr="00237EDC">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hideMark/>
          </w:tcPr>
          <w:p w14:paraId="5F444C13" w14:textId="77777777" w:rsidR="00D03161" w:rsidRPr="00237EDC" w:rsidRDefault="00D03161" w:rsidP="00D03161">
            <w:pPr>
              <w:pStyle w:val="TAC"/>
              <w:rPr>
                <w:lang w:val="sv-SE"/>
              </w:rPr>
            </w:pPr>
            <w:r w:rsidRPr="00237EDC">
              <w:t>-116</w:t>
            </w:r>
          </w:p>
        </w:tc>
        <w:tc>
          <w:tcPr>
            <w:tcW w:w="1120" w:type="dxa"/>
            <w:tcBorders>
              <w:top w:val="nil"/>
              <w:left w:val="single" w:sz="4" w:space="0" w:color="auto"/>
              <w:bottom w:val="nil"/>
              <w:right w:val="single" w:sz="4" w:space="0" w:color="auto"/>
            </w:tcBorders>
            <w:vAlign w:val="center"/>
            <w:hideMark/>
          </w:tcPr>
          <w:p w14:paraId="5A2750FD" w14:textId="77777777" w:rsidR="00D03161" w:rsidRPr="00237EDC" w:rsidRDefault="00D03161" w:rsidP="00D03161">
            <w:pPr>
              <w:pStyle w:val="TAC"/>
            </w:pPr>
          </w:p>
        </w:tc>
      </w:tr>
      <w:tr w:rsidR="00D03161" w:rsidRPr="00237EDC" w14:paraId="5EA2835F"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05D60EC7"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00019B66"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58B346E2"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70B33A18"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6C8AB4C" w14:textId="77777777" w:rsidR="00D03161" w:rsidRPr="00237EDC" w:rsidRDefault="00D03161" w:rsidP="00D03161">
            <w:pPr>
              <w:pStyle w:val="TAC"/>
            </w:pPr>
            <w:r w:rsidRPr="00237EDC">
              <w:rPr>
                <w:lang w:eastAsia="zh-CN"/>
              </w:rPr>
              <w:t>NR_FDD_FR1_F</w:t>
            </w:r>
          </w:p>
        </w:tc>
        <w:tc>
          <w:tcPr>
            <w:tcW w:w="1289" w:type="dxa"/>
            <w:tcBorders>
              <w:top w:val="single" w:sz="4" w:space="0" w:color="auto"/>
              <w:left w:val="single" w:sz="4" w:space="0" w:color="auto"/>
              <w:bottom w:val="single" w:sz="4" w:space="0" w:color="auto"/>
              <w:right w:val="single" w:sz="4" w:space="0" w:color="auto"/>
            </w:tcBorders>
            <w:hideMark/>
          </w:tcPr>
          <w:p w14:paraId="7B6050C2" w14:textId="77777777" w:rsidR="00D03161" w:rsidRPr="00237EDC" w:rsidRDefault="00D03161" w:rsidP="00D03161">
            <w:pPr>
              <w:pStyle w:val="TAC"/>
            </w:pPr>
            <w:r w:rsidRPr="00237EDC">
              <w:t>-115.5</w:t>
            </w:r>
          </w:p>
        </w:tc>
        <w:tc>
          <w:tcPr>
            <w:tcW w:w="1120" w:type="dxa"/>
            <w:tcBorders>
              <w:top w:val="nil"/>
              <w:left w:val="single" w:sz="4" w:space="0" w:color="auto"/>
              <w:bottom w:val="nil"/>
              <w:right w:val="single" w:sz="4" w:space="0" w:color="auto"/>
            </w:tcBorders>
            <w:vAlign w:val="center"/>
            <w:hideMark/>
          </w:tcPr>
          <w:p w14:paraId="39070DA0" w14:textId="77777777" w:rsidR="00D03161" w:rsidRPr="00237EDC" w:rsidRDefault="00D03161" w:rsidP="00D03161">
            <w:pPr>
              <w:pStyle w:val="TAC"/>
            </w:pPr>
          </w:p>
        </w:tc>
      </w:tr>
      <w:tr w:rsidR="00D03161" w:rsidRPr="00237EDC" w14:paraId="4E3DDCAA"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1B96C1F5"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019BA3CF"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4AE7DA78"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3BB5161F"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D1E711D" w14:textId="77777777" w:rsidR="00D03161" w:rsidRPr="00237EDC" w:rsidRDefault="00D03161" w:rsidP="00D03161">
            <w:pPr>
              <w:pStyle w:val="TAC"/>
            </w:pPr>
            <w:r w:rsidRPr="00237EDC">
              <w:rPr>
                <w:lang w:eastAsia="zh-CN"/>
              </w:rPr>
              <w:t>NR</w:t>
            </w:r>
            <w:r w:rsidRPr="00237EDC">
              <w:t>_</w:t>
            </w:r>
            <w:r w:rsidRPr="00237EDC">
              <w:rPr>
                <w:lang w:eastAsia="zh-CN"/>
              </w:rPr>
              <w:t>FDD_FR1_G</w:t>
            </w:r>
          </w:p>
        </w:tc>
        <w:tc>
          <w:tcPr>
            <w:tcW w:w="1289" w:type="dxa"/>
            <w:tcBorders>
              <w:top w:val="single" w:sz="4" w:space="0" w:color="auto"/>
              <w:left w:val="single" w:sz="4" w:space="0" w:color="auto"/>
              <w:bottom w:val="single" w:sz="4" w:space="0" w:color="auto"/>
              <w:right w:val="single" w:sz="4" w:space="0" w:color="auto"/>
            </w:tcBorders>
            <w:hideMark/>
          </w:tcPr>
          <w:p w14:paraId="03E634D0" w14:textId="77777777" w:rsidR="00D03161" w:rsidRPr="00237EDC" w:rsidRDefault="00D03161" w:rsidP="00D03161">
            <w:pPr>
              <w:pStyle w:val="TAC"/>
            </w:pPr>
            <w:r w:rsidRPr="00237EDC">
              <w:t>-115</w:t>
            </w:r>
          </w:p>
        </w:tc>
        <w:tc>
          <w:tcPr>
            <w:tcW w:w="1120" w:type="dxa"/>
            <w:tcBorders>
              <w:top w:val="nil"/>
              <w:left w:val="single" w:sz="4" w:space="0" w:color="auto"/>
              <w:bottom w:val="nil"/>
              <w:right w:val="single" w:sz="4" w:space="0" w:color="auto"/>
            </w:tcBorders>
            <w:vAlign w:val="center"/>
            <w:hideMark/>
          </w:tcPr>
          <w:p w14:paraId="3184C9C8" w14:textId="77777777" w:rsidR="00D03161" w:rsidRPr="00237EDC" w:rsidRDefault="00D03161" w:rsidP="00D03161">
            <w:pPr>
              <w:pStyle w:val="TAC"/>
            </w:pPr>
          </w:p>
        </w:tc>
      </w:tr>
      <w:tr w:rsidR="00D03161" w:rsidRPr="00237EDC" w14:paraId="2DF92317" w14:textId="77777777" w:rsidTr="005F054A">
        <w:trPr>
          <w:jc w:val="center"/>
        </w:trPr>
        <w:tc>
          <w:tcPr>
            <w:tcW w:w="1132" w:type="dxa"/>
            <w:tcBorders>
              <w:top w:val="nil"/>
              <w:left w:val="single" w:sz="4" w:space="0" w:color="auto"/>
              <w:bottom w:val="single" w:sz="6" w:space="0" w:color="auto"/>
              <w:right w:val="single" w:sz="6" w:space="0" w:color="auto"/>
            </w:tcBorders>
            <w:vAlign w:val="center"/>
            <w:hideMark/>
          </w:tcPr>
          <w:p w14:paraId="36474BE3"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tcPr>
          <w:p w14:paraId="68370D0B" w14:textId="77777777" w:rsidR="00D03161" w:rsidRPr="00237EDC" w:rsidRDefault="00D03161" w:rsidP="00D03161">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22FC4713"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433F62D8"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1BFC21F" w14:textId="77777777" w:rsidR="00D03161" w:rsidRPr="00237EDC" w:rsidRDefault="00D03161" w:rsidP="00D03161">
            <w:pPr>
              <w:pStyle w:val="TAC"/>
            </w:pPr>
            <w:r w:rsidRPr="00237EDC">
              <w:rPr>
                <w:lang w:eastAsia="zh-CN"/>
              </w:rPr>
              <w:t>NR</w:t>
            </w:r>
            <w:r w:rsidRPr="00237EDC">
              <w:t>_</w:t>
            </w:r>
            <w:r w:rsidRPr="00237EDC">
              <w:rPr>
                <w:lang w:eastAsia="zh-CN"/>
              </w:rPr>
              <w:t>FDD_FR1_H</w:t>
            </w:r>
          </w:p>
        </w:tc>
        <w:tc>
          <w:tcPr>
            <w:tcW w:w="1289" w:type="dxa"/>
            <w:tcBorders>
              <w:top w:val="single" w:sz="4" w:space="0" w:color="auto"/>
              <w:left w:val="single" w:sz="4" w:space="0" w:color="auto"/>
              <w:bottom w:val="single" w:sz="4" w:space="0" w:color="auto"/>
              <w:right w:val="single" w:sz="4" w:space="0" w:color="auto"/>
            </w:tcBorders>
            <w:hideMark/>
          </w:tcPr>
          <w:p w14:paraId="64870E4E" w14:textId="77777777" w:rsidR="00D03161" w:rsidRPr="00237EDC" w:rsidRDefault="00D03161" w:rsidP="00D03161">
            <w:pPr>
              <w:pStyle w:val="TAC"/>
            </w:pPr>
            <w:r w:rsidRPr="00237EDC">
              <w:t>-114.5</w:t>
            </w:r>
          </w:p>
        </w:tc>
        <w:tc>
          <w:tcPr>
            <w:tcW w:w="1120" w:type="dxa"/>
            <w:tcBorders>
              <w:top w:val="nil"/>
              <w:left w:val="single" w:sz="4" w:space="0" w:color="auto"/>
              <w:bottom w:val="single" w:sz="4" w:space="0" w:color="auto"/>
              <w:right w:val="single" w:sz="4" w:space="0" w:color="auto"/>
            </w:tcBorders>
            <w:vAlign w:val="center"/>
            <w:hideMark/>
          </w:tcPr>
          <w:p w14:paraId="2C3CA7AB" w14:textId="77777777" w:rsidR="00D03161" w:rsidRPr="00237EDC" w:rsidRDefault="00D03161" w:rsidP="00D03161">
            <w:pPr>
              <w:pStyle w:val="TAC"/>
            </w:pPr>
          </w:p>
        </w:tc>
      </w:tr>
      <w:tr w:rsidR="00D03161" w:rsidRPr="00237EDC" w14:paraId="57FEF98F"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49C3E646" w14:textId="77777777" w:rsidR="00D03161" w:rsidRPr="00237EDC" w:rsidRDefault="00D03161" w:rsidP="00D03161">
            <w:pPr>
              <w:pStyle w:val="TAC"/>
            </w:pPr>
            <w:r w:rsidRPr="00237EDC">
              <w:t>[</w:t>
            </w:r>
            <w:r>
              <w:t>29</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nil"/>
              <w:left w:val="single" w:sz="4" w:space="0" w:color="auto"/>
              <w:bottom w:val="nil"/>
              <w:right w:val="single" w:sz="4" w:space="0" w:color="auto"/>
            </w:tcBorders>
            <w:vAlign w:val="center"/>
          </w:tcPr>
          <w:p w14:paraId="7B65D8C1" w14:textId="77777777" w:rsidR="00D03161" w:rsidRPr="00237EDC" w:rsidRDefault="00D03161" w:rsidP="00D03161">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D394F57" w14:textId="77777777" w:rsidR="00D03161" w:rsidRPr="00237EDC" w:rsidRDefault="00D03161" w:rsidP="00D03161">
            <w:pPr>
              <w:pStyle w:val="TAC"/>
            </w:pPr>
            <w:r w:rsidRPr="00237EDC">
              <w:rPr>
                <w:rFonts w:cs="Calibri"/>
              </w:rPr>
              <w:t>≥[</w:t>
            </w:r>
            <w:r w:rsidRPr="00237EDC">
              <w:rPr>
                <w:lang w:eastAsia="zh-CN"/>
              </w:rPr>
              <w:t>48]</w:t>
            </w:r>
          </w:p>
        </w:tc>
        <w:tc>
          <w:tcPr>
            <w:tcW w:w="709" w:type="dxa"/>
            <w:tcBorders>
              <w:top w:val="nil"/>
              <w:left w:val="single" w:sz="4" w:space="0" w:color="auto"/>
              <w:bottom w:val="nil"/>
              <w:right w:val="single" w:sz="4" w:space="0" w:color="auto"/>
            </w:tcBorders>
            <w:vAlign w:val="center"/>
            <w:hideMark/>
          </w:tcPr>
          <w:p w14:paraId="6AA56D62"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67622BF4" w14:textId="77777777" w:rsidR="00D03161" w:rsidRPr="00237EDC" w:rsidRDefault="00D03161" w:rsidP="00D03161">
            <w:pPr>
              <w:pStyle w:val="TAC"/>
            </w:pPr>
            <w:r w:rsidRPr="00237EDC">
              <w:t>NOTE 5</w:t>
            </w:r>
          </w:p>
        </w:tc>
        <w:tc>
          <w:tcPr>
            <w:tcW w:w="1289" w:type="dxa"/>
            <w:tcBorders>
              <w:top w:val="single" w:sz="4" w:space="0" w:color="auto"/>
              <w:left w:val="single" w:sz="4" w:space="0" w:color="auto"/>
              <w:bottom w:val="single" w:sz="4" w:space="0" w:color="auto"/>
              <w:right w:val="single" w:sz="4" w:space="0" w:color="auto"/>
            </w:tcBorders>
            <w:hideMark/>
          </w:tcPr>
          <w:p w14:paraId="3C3D2A4C" w14:textId="77777777" w:rsidR="00D03161" w:rsidRPr="00237EDC" w:rsidRDefault="00D03161" w:rsidP="00D03161">
            <w:pPr>
              <w:pStyle w:val="TAC"/>
            </w:pPr>
            <w:r w:rsidRPr="00237EDC">
              <w:t>NOTE 5</w:t>
            </w:r>
          </w:p>
        </w:tc>
        <w:tc>
          <w:tcPr>
            <w:tcW w:w="1120" w:type="dxa"/>
            <w:tcBorders>
              <w:top w:val="single" w:sz="4" w:space="0" w:color="auto"/>
              <w:left w:val="single" w:sz="4" w:space="0" w:color="auto"/>
              <w:bottom w:val="single" w:sz="4" w:space="0" w:color="auto"/>
              <w:right w:val="single" w:sz="4" w:space="0" w:color="auto"/>
            </w:tcBorders>
            <w:hideMark/>
          </w:tcPr>
          <w:p w14:paraId="118C8CB7" w14:textId="77777777" w:rsidR="00D03161" w:rsidRPr="00237EDC" w:rsidRDefault="00D03161" w:rsidP="00D03161">
            <w:pPr>
              <w:pStyle w:val="TAC"/>
            </w:pPr>
            <w:r w:rsidRPr="00237EDC">
              <w:t>NOTE 5</w:t>
            </w:r>
          </w:p>
        </w:tc>
      </w:tr>
      <w:tr w:rsidR="00D03161" w:rsidRPr="00237EDC" w14:paraId="1EC9A5A2"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6BB8BBD0" w14:textId="77777777" w:rsidR="00D03161" w:rsidRPr="00237EDC" w:rsidRDefault="00D03161" w:rsidP="00D03161">
            <w:pPr>
              <w:pStyle w:val="TAC"/>
            </w:pPr>
            <w:r w:rsidRPr="00237EDC">
              <w:t>[</w:t>
            </w:r>
            <w:r>
              <w:t>15</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nil"/>
              <w:left w:val="single" w:sz="4" w:space="0" w:color="auto"/>
              <w:bottom w:val="nil"/>
              <w:right w:val="single" w:sz="4" w:space="0" w:color="auto"/>
            </w:tcBorders>
            <w:vAlign w:val="center"/>
          </w:tcPr>
          <w:p w14:paraId="290A04BD" w14:textId="77777777" w:rsidR="00D03161" w:rsidRPr="00237EDC" w:rsidRDefault="00D03161" w:rsidP="00D03161">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06488FA" w14:textId="77777777" w:rsidR="00D03161" w:rsidRPr="00237EDC" w:rsidRDefault="00D03161" w:rsidP="00D03161">
            <w:pPr>
              <w:pStyle w:val="TAC"/>
            </w:pPr>
            <w:r w:rsidRPr="00237EDC">
              <w:rPr>
                <w:rFonts w:cs="Calibri"/>
              </w:rPr>
              <w:t>≥[</w:t>
            </w:r>
            <w:r w:rsidRPr="00237EDC">
              <w:rPr>
                <w:lang w:eastAsia="zh-CN"/>
              </w:rPr>
              <w:t>132]</w:t>
            </w:r>
          </w:p>
        </w:tc>
        <w:tc>
          <w:tcPr>
            <w:tcW w:w="709" w:type="dxa"/>
            <w:tcBorders>
              <w:top w:val="nil"/>
              <w:left w:val="single" w:sz="4" w:space="0" w:color="auto"/>
              <w:bottom w:val="single" w:sz="4" w:space="0" w:color="auto"/>
              <w:right w:val="single" w:sz="4" w:space="0" w:color="auto"/>
            </w:tcBorders>
            <w:vAlign w:val="center"/>
            <w:hideMark/>
          </w:tcPr>
          <w:p w14:paraId="2BE788C8"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6C772FB4" w14:textId="77777777" w:rsidR="00D03161" w:rsidRPr="00237EDC" w:rsidRDefault="00D03161" w:rsidP="00D03161">
            <w:pPr>
              <w:pStyle w:val="TAC"/>
            </w:pPr>
            <w:r w:rsidRPr="00237EDC">
              <w:t>NOTE 5</w:t>
            </w:r>
          </w:p>
        </w:tc>
        <w:tc>
          <w:tcPr>
            <w:tcW w:w="1289" w:type="dxa"/>
            <w:tcBorders>
              <w:top w:val="single" w:sz="4" w:space="0" w:color="auto"/>
              <w:left w:val="single" w:sz="4" w:space="0" w:color="auto"/>
              <w:bottom w:val="single" w:sz="4" w:space="0" w:color="auto"/>
              <w:right w:val="single" w:sz="4" w:space="0" w:color="auto"/>
            </w:tcBorders>
            <w:hideMark/>
          </w:tcPr>
          <w:p w14:paraId="336E0CD2" w14:textId="77777777" w:rsidR="00D03161" w:rsidRPr="00237EDC" w:rsidRDefault="00D03161" w:rsidP="00D03161">
            <w:pPr>
              <w:pStyle w:val="TAC"/>
            </w:pPr>
            <w:r w:rsidRPr="00237EDC">
              <w:t>NOTE 5</w:t>
            </w:r>
          </w:p>
        </w:tc>
        <w:tc>
          <w:tcPr>
            <w:tcW w:w="1120" w:type="dxa"/>
            <w:tcBorders>
              <w:top w:val="single" w:sz="4" w:space="0" w:color="auto"/>
              <w:left w:val="single" w:sz="4" w:space="0" w:color="auto"/>
              <w:bottom w:val="single" w:sz="4" w:space="0" w:color="auto"/>
              <w:right w:val="single" w:sz="4" w:space="0" w:color="auto"/>
            </w:tcBorders>
            <w:hideMark/>
          </w:tcPr>
          <w:p w14:paraId="1FEE94A8" w14:textId="77777777" w:rsidR="00D03161" w:rsidRPr="00237EDC" w:rsidRDefault="00D03161" w:rsidP="00D03161">
            <w:pPr>
              <w:pStyle w:val="TAC"/>
            </w:pPr>
            <w:r w:rsidRPr="00237EDC">
              <w:t>NOTE 5</w:t>
            </w:r>
          </w:p>
        </w:tc>
      </w:tr>
      <w:tr w:rsidR="00D03161" w:rsidRPr="00237EDC" w14:paraId="72AA4B94" w14:textId="77777777" w:rsidTr="005F054A">
        <w:trPr>
          <w:trHeight w:val="21"/>
          <w:jc w:val="center"/>
        </w:trPr>
        <w:tc>
          <w:tcPr>
            <w:tcW w:w="1132" w:type="dxa"/>
            <w:tcBorders>
              <w:top w:val="single" w:sz="6" w:space="0" w:color="auto"/>
              <w:left w:val="single" w:sz="4" w:space="0" w:color="auto"/>
              <w:bottom w:val="nil"/>
              <w:right w:val="single" w:sz="6" w:space="0" w:color="auto"/>
            </w:tcBorders>
            <w:hideMark/>
          </w:tcPr>
          <w:p w14:paraId="38E3FEF6" w14:textId="77777777" w:rsidR="00D03161" w:rsidRPr="00237EDC" w:rsidRDefault="00D03161" w:rsidP="00D03161">
            <w:pPr>
              <w:pStyle w:val="TAC"/>
            </w:pPr>
            <w:r w:rsidRPr="00237EDC">
              <w:t>[</w:t>
            </w:r>
            <w:r>
              <w:t>29</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nil"/>
              <w:left w:val="single" w:sz="4" w:space="0" w:color="auto"/>
              <w:bottom w:val="nil"/>
              <w:right w:val="single" w:sz="4" w:space="0" w:color="auto"/>
            </w:tcBorders>
            <w:hideMark/>
          </w:tcPr>
          <w:p w14:paraId="1DB8E54E" w14:textId="77777777" w:rsidR="00D03161" w:rsidRPr="00237EDC" w:rsidRDefault="00D03161" w:rsidP="00D03161">
            <w:pPr>
              <w:pStyle w:val="TAC"/>
              <w:rPr>
                <w:lang w:val="sv-SE"/>
              </w:rPr>
            </w:pPr>
          </w:p>
        </w:tc>
        <w:tc>
          <w:tcPr>
            <w:tcW w:w="1133" w:type="dxa"/>
            <w:tcBorders>
              <w:top w:val="single" w:sz="4" w:space="0" w:color="auto"/>
              <w:left w:val="single" w:sz="4" w:space="0" w:color="auto"/>
              <w:bottom w:val="nil"/>
              <w:right w:val="single" w:sz="4" w:space="0" w:color="auto"/>
            </w:tcBorders>
            <w:hideMark/>
          </w:tcPr>
          <w:p w14:paraId="5941B52E" w14:textId="77777777" w:rsidR="00D03161" w:rsidRPr="00237EDC" w:rsidRDefault="00D03161" w:rsidP="00D03161">
            <w:pPr>
              <w:pStyle w:val="TAC"/>
            </w:pPr>
            <w:r w:rsidRPr="00237EDC">
              <w:rPr>
                <w:rFonts w:cs="Calibri"/>
              </w:rPr>
              <w:t>≥[</w:t>
            </w:r>
            <w:r w:rsidRPr="00237EDC">
              <w:t>24]</w:t>
            </w:r>
          </w:p>
        </w:tc>
        <w:tc>
          <w:tcPr>
            <w:tcW w:w="709" w:type="dxa"/>
            <w:tcBorders>
              <w:top w:val="single" w:sz="4" w:space="0" w:color="auto"/>
              <w:left w:val="single" w:sz="4" w:space="0" w:color="auto"/>
              <w:bottom w:val="nil"/>
              <w:right w:val="single" w:sz="4" w:space="0" w:color="auto"/>
            </w:tcBorders>
            <w:hideMark/>
          </w:tcPr>
          <w:p w14:paraId="48D0895E" w14:textId="77777777" w:rsidR="00D03161" w:rsidRPr="00237EDC" w:rsidRDefault="00D03161" w:rsidP="00D03161">
            <w:pPr>
              <w:pStyle w:val="TAC"/>
            </w:pPr>
            <w:r w:rsidRPr="00237EDC">
              <w:t>60</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332A4F5" w14:textId="77777777" w:rsidR="00D03161" w:rsidRPr="00237EDC" w:rsidRDefault="00D03161" w:rsidP="00D03161">
            <w:pPr>
              <w:pStyle w:val="TAC"/>
            </w:pPr>
            <w:r w:rsidRPr="00237EDC">
              <w:t>NR_FDD_FR1_A, NR_TDD_FR1_A,</w:t>
            </w:r>
          </w:p>
          <w:p w14:paraId="48EEFB42" w14:textId="77777777" w:rsidR="00D03161" w:rsidRPr="00237EDC" w:rsidRDefault="00D03161" w:rsidP="00D03161">
            <w:pPr>
              <w:pStyle w:val="TAC"/>
            </w:pPr>
            <w:r w:rsidRPr="00237EDC">
              <w:t>NR_SDL_FR1_A</w:t>
            </w:r>
          </w:p>
        </w:tc>
        <w:tc>
          <w:tcPr>
            <w:tcW w:w="1289" w:type="dxa"/>
            <w:tcBorders>
              <w:top w:val="single" w:sz="4" w:space="0" w:color="auto"/>
              <w:left w:val="single" w:sz="4" w:space="0" w:color="auto"/>
              <w:bottom w:val="single" w:sz="4" w:space="0" w:color="auto"/>
              <w:right w:val="single" w:sz="4" w:space="0" w:color="auto"/>
            </w:tcBorders>
            <w:hideMark/>
          </w:tcPr>
          <w:p w14:paraId="1329EBEC" w14:textId="77777777" w:rsidR="00D03161" w:rsidRPr="00237EDC" w:rsidRDefault="00D03161" w:rsidP="00D03161">
            <w:pPr>
              <w:pStyle w:val="TAC"/>
            </w:pPr>
            <w:r w:rsidRPr="00237EDC">
              <w:t>-115</w:t>
            </w:r>
          </w:p>
        </w:tc>
        <w:tc>
          <w:tcPr>
            <w:tcW w:w="1120" w:type="dxa"/>
            <w:tcBorders>
              <w:top w:val="single" w:sz="4" w:space="0" w:color="auto"/>
              <w:left w:val="single" w:sz="4" w:space="0" w:color="auto"/>
              <w:bottom w:val="nil"/>
              <w:right w:val="single" w:sz="4" w:space="0" w:color="auto"/>
            </w:tcBorders>
            <w:hideMark/>
          </w:tcPr>
          <w:p w14:paraId="4A4C7827" w14:textId="77777777" w:rsidR="00D03161" w:rsidRPr="00237EDC" w:rsidRDefault="00D03161" w:rsidP="00D03161">
            <w:pPr>
              <w:pStyle w:val="TAC"/>
            </w:pPr>
            <w:r w:rsidRPr="00237EDC">
              <w:t>-50</w:t>
            </w:r>
          </w:p>
        </w:tc>
      </w:tr>
      <w:tr w:rsidR="00D03161" w:rsidRPr="00237EDC" w14:paraId="3046E9CC"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0A225DB0"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6370D239"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7A3DB1C4"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2BD99CF9"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667BE2B" w14:textId="77777777" w:rsidR="00D03161" w:rsidRPr="00237EDC" w:rsidRDefault="00D03161" w:rsidP="00D03161">
            <w:pPr>
              <w:pStyle w:val="TAC"/>
            </w:pPr>
            <w:r w:rsidRPr="00237EDC">
              <w:t>NR_FDD_FR1_B</w:t>
            </w:r>
          </w:p>
        </w:tc>
        <w:tc>
          <w:tcPr>
            <w:tcW w:w="1289" w:type="dxa"/>
            <w:tcBorders>
              <w:top w:val="single" w:sz="4" w:space="0" w:color="auto"/>
              <w:left w:val="single" w:sz="4" w:space="0" w:color="auto"/>
              <w:bottom w:val="single" w:sz="4" w:space="0" w:color="auto"/>
              <w:right w:val="single" w:sz="4" w:space="0" w:color="auto"/>
            </w:tcBorders>
            <w:hideMark/>
          </w:tcPr>
          <w:p w14:paraId="64F75CEC" w14:textId="77777777" w:rsidR="00D03161" w:rsidRPr="00237EDC" w:rsidRDefault="00D03161" w:rsidP="00D03161">
            <w:pPr>
              <w:pStyle w:val="TAC"/>
            </w:pPr>
            <w:r w:rsidRPr="00237EDC">
              <w:t>-114.5</w:t>
            </w:r>
          </w:p>
        </w:tc>
        <w:tc>
          <w:tcPr>
            <w:tcW w:w="1120" w:type="dxa"/>
            <w:tcBorders>
              <w:top w:val="nil"/>
              <w:left w:val="single" w:sz="4" w:space="0" w:color="auto"/>
              <w:bottom w:val="nil"/>
              <w:right w:val="single" w:sz="4" w:space="0" w:color="auto"/>
            </w:tcBorders>
            <w:hideMark/>
          </w:tcPr>
          <w:p w14:paraId="00B4B9C2" w14:textId="77777777" w:rsidR="00D03161" w:rsidRPr="00237EDC" w:rsidRDefault="00D03161" w:rsidP="00D03161">
            <w:pPr>
              <w:pStyle w:val="TAC"/>
            </w:pPr>
          </w:p>
        </w:tc>
      </w:tr>
      <w:tr w:rsidR="00D03161" w:rsidRPr="00237EDC" w14:paraId="087BDB3D"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2B83F1EE"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7FE50CFD"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11304015"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031732BC"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C020641" w14:textId="77777777" w:rsidR="00D03161" w:rsidRPr="00237EDC" w:rsidRDefault="00D03161" w:rsidP="00D03161">
            <w:pPr>
              <w:pStyle w:val="TAC"/>
            </w:pPr>
            <w:r w:rsidRPr="00237EDC">
              <w:t>NR_TDD_FR1_C</w:t>
            </w:r>
          </w:p>
        </w:tc>
        <w:tc>
          <w:tcPr>
            <w:tcW w:w="1289" w:type="dxa"/>
            <w:tcBorders>
              <w:top w:val="single" w:sz="4" w:space="0" w:color="auto"/>
              <w:left w:val="single" w:sz="4" w:space="0" w:color="auto"/>
              <w:bottom w:val="single" w:sz="4" w:space="0" w:color="auto"/>
              <w:right w:val="single" w:sz="4" w:space="0" w:color="auto"/>
            </w:tcBorders>
            <w:hideMark/>
          </w:tcPr>
          <w:p w14:paraId="64B6A8AE" w14:textId="77777777" w:rsidR="00D03161" w:rsidRPr="00237EDC" w:rsidRDefault="00D03161" w:rsidP="00D03161">
            <w:pPr>
              <w:pStyle w:val="TAC"/>
            </w:pPr>
            <w:r w:rsidRPr="00237EDC">
              <w:t>-114</w:t>
            </w:r>
          </w:p>
        </w:tc>
        <w:tc>
          <w:tcPr>
            <w:tcW w:w="1120" w:type="dxa"/>
            <w:tcBorders>
              <w:top w:val="nil"/>
              <w:left w:val="single" w:sz="4" w:space="0" w:color="auto"/>
              <w:bottom w:val="nil"/>
              <w:right w:val="single" w:sz="4" w:space="0" w:color="auto"/>
            </w:tcBorders>
            <w:hideMark/>
          </w:tcPr>
          <w:p w14:paraId="4E720D7A" w14:textId="77777777" w:rsidR="00D03161" w:rsidRPr="00237EDC" w:rsidRDefault="00D03161" w:rsidP="00D03161">
            <w:pPr>
              <w:pStyle w:val="TAC"/>
            </w:pPr>
          </w:p>
        </w:tc>
      </w:tr>
      <w:tr w:rsidR="00D03161" w:rsidRPr="00237EDC" w14:paraId="05781703"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12966571"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2EBE4EF5"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55E7DB9A"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3AE0918A"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43C38DE" w14:textId="77777777" w:rsidR="00D03161" w:rsidRPr="00237EDC" w:rsidRDefault="00D03161" w:rsidP="00D03161">
            <w:pPr>
              <w:pStyle w:val="TAC"/>
              <w:rPr>
                <w:lang w:val="sv-SE"/>
              </w:rPr>
            </w:pPr>
            <w:r w:rsidRPr="00237EDC">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hideMark/>
          </w:tcPr>
          <w:p w14:paraId="255E7F68" w14:textId="77777777" w:rsidR="00D03161" w:rsidRPr="00237EDC" w:rsidRDefault="00D03161" w:rsidP="00D03161">
            <w:pPr>
              <w:pStyle w:val="TAC"/>
              <w:rPr>
                <w:lang w:val="sv-SE"/>
              </w:rPr>
            </w:pPr>
            <w:r w:rsidRPr="00237EDC">
              <w:t>-113.5</w:t>
            </w:r>
          </w:p>
        </w:tc>
        <w:tc>
          <w:tcPr>
            <w:tcW w:w="1120" w:type="dxa"/>
            <w:tcBorders>
              <w:top w:val="nil"/>
              <w:left w:val="single" w:sz="4" w:space="0" w:color="auto"/>
              <w:bottom w:val="nil"/>
              <w:right w:val="single" w:sz="4" w:space="0" w:color="auto"/>
            </w:tcBorders>
            <w:hideMark/>
          </w:tcPr>
          <w:p w14:paraId="354A7BB1" w14:textId="77777777" w:rsidR="00D03161" w:rsidRPr="00237EDC" w:rsidRDefault="00D03161" w:rsidP="00D03161">
            <w:pPr>
              <w:pStyle w:val="TAC"/>
            </w:pPr>
          </w:p>
        </w:tc>
      </w:tr>
      <w:tr w:rsidR="00D03161" w:rsidRPr="00237EDC" w14:paraId="3CEB1BCD"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B177C2B"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7F0372A8"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42528CBE"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73EE3CA5"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15998E2A" w14:textId="77777777" w:rsidR="00D03161" w:rsidRPr="00237EDC" w:rsidRDefault="00D03161" w:rsidP="00D03161">
            <w:pPr>
              <w:pStyle w:val="TAC"/>
              <w:rPr>
                <w:lang w:val="sv-SE"/>
              </w:rPr>
            </w:pPr>
            <w:r w:rsidRPr="00237EDC">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hideMark/>
          </w:tcPr>
          <w:p w14:paraId="3EEF9D6D" w14:textId="77777777" w:rsidR="00D03161" w:rsidRPr="00237EDC" w:rsidRDefault="00D03161" w:rsidP="00D03161">
            <w:pPr>
              <w:pStyle w:val="TAC"/>
              <w:rPr>
                <w:lang w:val="sv-SE"/>
              </w:rPr>
            </w:pPr>
            <w:r w:rsidRPr="00237EDC">
              <w:t>-113</w:t>
            </w:r>
          </w:p>
        </w:tc>
        <w:tc>
          <w:tcPr>
            <w:tcW w:w="1120" w:type="dxa"/>
            <w:tcBorders>
              <w:top w:val="nil"/>
              <w:left w:val="single" w:sz="4" w:space="0" w:color="auto"/>
              <w:bottom w:val="nil"/>
              <w:right w:val="single" w:sz="4" w:space="0" w:color="auto"/>
            </w:tcBorders>
            <w:hideMark/>
          </w:tcPr>
          <w:p w14:paraId="097732F8" w14:textId="77777777" w:rsidR="00D03161" w:rsidRPr="00237EDC" w:rsidRDefault="00D03161" w:rsidP="00D03161">
            <w:pPr>
              <w:pStyle w:val="TAC"/>
            </w:pPr>
          </w:p>
        </w:tc>
      </w:tr>
      <w:tr w:rsidR="00D03161" w:rsidRPr="00237EDC" w14:paraId="1B3EA345"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22965ACC"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7D25F6FB"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34810833"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552460AC"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F9D7FA5" w14:textId="77777777" w:rsidR="00D03161" w:rsidRPr="00237EDC" w:rsidRDefault="00D03161" w:rsidP="00D03161">
            <w:pPr>
              <w:pStyle w:val="TAC"/>
            </w:pPr>
            <w:r w:rsidRPr="00237EDC">
              <w:rPr>
                <w:lang w:eastAsia="zh-CN"/>
              </w:rPr>
              <w:t>NR_FDD_FR1_F</w:t>
            </w:r>
          </w:p>
        </w:tc>
        <w:tc>
          <w:tcPr>
            <w:tcW w:w="1289" w:type="dxa"/>
            <w:tcBorders>
              <w:top w:val="single" w:sz="4" w:space="0" w:color="auto"/>
              <w:left w:val="single" w:sz="4" w:space="0" w:color="auto"/>
              <w:bottom w:val="single" w:sz="4" w:space="0" w:color="auto"/>
              <w:right w:val="single" w:sz="4" w:space="0" w:color="auto"/>
            </w:tcBorders>
            <w:hideMark/>
          </w:tcPr>
          <w:p w14:paraId="0836E2FE" w14:textId="77777777" w:rsidR="00D03161" w:rsidRPr="00237EDC" w:rsidRDefault="00D03161" w:rsidP="00D03161">
            <w:pPr>
              <w:pStyle w:val="TAC"/>
            </w:pPr>
            <w:r w:rsidRPr="00237EDC">
              <w:t>-113.5</w:t>
            </w:r>
          </w:p>
        </w:tc>
        <w:tc>
          <w:tcPr>
            <w:tcW w:w="1120" w:type="dxa"/>
            <w:tcBorders>
              <w:top w:val="nil"/>
              <w:left w:val="single" w:sz="4" w:space="0" w:color="auto"/>
              <w:bottom w:val="nil"/>
              <w:right w:val="single" w:sz="4" w:space="0" w:color="auto"/>
            </w:tcBorders>
            <w:hideMark/>
          </w:tcPr>
          <w:p w14:paraId="3CAEDC1A" w14:textId="77777777" w:rsidR="00D03161" w:rsidRPr="00237EDC" w:rsidRDefault="00D03161" w:rsidP="00D03161">
            <w:pPr>
              <w:pStyle w:val="TAC"/>
            </w:pPr>
          </w:p>
        </w:tc>
      </w:tr>
      <w:tr w:rsidR="00D03161" w:rsidRPr="00237EDC" w14:paraId="2587090B"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4D0A4F07"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1F86ABE4" w14:textId="77777777" w:rsidR="00D03161" w:rsidRPr="00237EDC" w:rsidRDefault="00D03161" w:rsidP="00D03161">
            <w:pPr>
              <w:pStyle w:val="TAC"/>
              <w:rPr>
                <w:lang w:val="sv-SE"/>
              </w:rPr>
            </w:pPr>
          </w:p>
        </w:tc>
        <w:tc>
          <w:tcPr>
            <w:tcW w:w="1133" w:type="dxa"/>
            <w:tcBorders>
              <w:top w:val="nil"/>
              <w:left w:val="single" w:sz="4" w:space="0" w:color="auto"/>
              <w:bottom w:val="nil"/>
              <w:right w:val="single" w:sz="4" w:space="0" w:color="auto"/>
            </w:tcBorders>
            <w:vAlign w:val="center"/>
            <w:hideMark/>
          </w:tcPr>
          <w:p w14:paraId="0C7D1655"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35CE7FD0"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E0A2C99" w14:textId="77777777" w:rsidR="00D03161" w:rsidRPr="00237EDC" w:rsidRDefault="00D03161" w:rsidP="00D03161">
            <w:pPr>
              <w:pStyle w:val="TAC"/>
            </w:pPr>
            <w:r w:rsidRPr="00237EDC">
              <w:rPr>
                <w:lang w:eastAsia="zh-CN"/>
              </w:rPr>
              <w:t>NR</w:t>
            </w:r>
            <w:r w:rsidRPr="00237EDC">
              <w:t>_</w:t>
            </w:r>
            <w:r w:rsidRPr="00237EDC">
              <w:rPr>
                <w:lang w:eastAsia="zh-CN"/>
              </w:rPr>
              <w:t>FDD_FR1_G</w:t>
            </w:r>
          </w:p>
        </w:tc>
        <w:tc>
          <w:tcPr>
            <w:tcW w:w="1289" w:type="dxa"/>
            <w:tcBorders>
              <w:top w:val="single" w:sz="4" w:space="0" w:color="auto"/>
              <w:left w:val="single" w:sz="4" w:space="0" w:color="auto"/>
              <w:bottom w:val="single" w:sz="4" w:space="0" w:color="auto"/>
              <w:right w:val="single" w:sz="4" w:space="0" w:color="auto"/>
            </w:tcBorders>
            <w:hideMark/>
          </w:tcPr>
          <w:p w14:paraId="775DC1D8" w14:textId="77777777" w:rsidR="00D03161" w:rsidRPr="00237EDC" w:rsidRDefault="00D03161" w:rsidP="00D03161">
            <w:pPr>
              <w:pStyle w:val="TAC"/>
            </w:pPr>
            <w:r w:rsidRPr="00237EDC">
              <w:t>-113</w:t>
            </w:r>
          </w:p>
        </w:tc>
        <w:tc>
          <w:tcPr>
            <w:tcW w:w="1120" w:type="dxa"/>
            <w:tcBorders>
              <w:top w:val="nil"/>
              <w:left w:val="single" w:sz="4" w:space="0" w:color="auto"/>
              <w:bottom w:val="nil"/>
              <w:right w:val="single" w:sz="4" w:space="0" w:color="auto"/>
            </w:tcBorders>
            <w:hideMark/>
          </w:tcPr>
          <w:p w14:paraId="62E27A9F" w14:textId="77777777" w:rsidR="00D03161" w:rsidRPr="00237EDC" w:rsidRDefault="00D03161" w:rsidP="00D03161">
            <w:pPr>
              <w:pStyle w:val="TAC"/>
            </w:pPr>
          </w:p>
        </w:tc>
      </w:tr>
      <w:tr w:rsidR="00D03161" w:rsidRPr="00237EDC" w14:paraId="7D203D89" w14:textId="77777777" w:rsidTr="005F054A">
        <w:trPr>
          <w:trHeight w:val="20"/>
          <w:jc w:val="center"/>
        </w:trPr>
        <w:tc>
          <w:tcPr>
            <w:tcW w:w="1132" w:type="dxa"/>
            <w:tcBorders>
              <w:top w:val="nil"/>
              <w:left w:val="single" w:sz="4" w:space="0" w:color="auto"/>
              <w:bottom w:val="single" w:sz="6" w:space="0" w:color="auto"/>
              <w:right w:val="single" w:sz="6" w:space="0" w:color="auto"/>
            </w:tcBorders>
            <w:vAlign w:val="center"/>
            <w:hideMark/>
          </w:tcPr>
          <w:p w14:paraId="4872B852" w14:textId="77777777" w:rsidR="00D03161" w:rsidRPr="00237EDC" w:rsidRDefault="00D03161" w:rsidP="00D03161">
            <w:pPr>
              <w:pStyle w:val="TAC"/>
            </w:pPr>
          </w:p>
        </w:tc>
        <w:tc>
          <w:tcPr>
            <w:tcW w:w="715" w:type="dxa"/>
            <w:tcBorders>
              <w:top w:val="nil"/>
              <w:left w:val="single" w:sz="4" w:space="0" w:color="auto"/>
              <w:bottom w:val="nil"/>
              <w:right w:val="single" w:sz="4" w:space="0" w:color="auto"/>
            </w:tcBorders>
            <w:vAlign w:val="center"/>
            <w:hideMark/>
          </w:tcPr>
          <w:p w14:paraId="74160D02" w14:textId="77777777" w:rsidR="00D03161" w:rsidRPr="00237EDC" w:rsidRDefault="00D03161" w:rsidP="00D03161">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0CFE0329" w14:textId="77777777" w:rsidR="00D03161" w:rsidRPr="00237EDC" w:rsidRDefault="00D03161" w:rsidP="00D03161">
            <w:pPr>
              <w:pStyle w:val="TAC"/>
            </w:pPr>
          </w:p>
        </w:tc>
        <w:tc>
          <w:tcPr>
            <w:tcW w:w="709" w:type="dxa"/>
            <w:tcBorders>
              <w:top w:val="nil"/>
              <w:left w:val="single" w:sz="4" w:space="0" w:color="auto"/>
              <w:bottom w:val="nil"/>
              <w:right w:val="single" w:sz="4" w:space="0" w:color="auto"/>
            </w:tcBorders>
            <w:vAlign w:val="center"/>
            <w:hideMark/>
          </w:tcPr>
          <w:p w14:paraId="07CBF212"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6125C87" w14:textId="77777777" w:rsidR="00D03161" w:rsidRPr="00237EDC" w:rsidRDefault="00D03161" w:rsidP="00D03161">
            <w:pPr>
              <w:pStyle w:val="TAC"/>
            </w:pPr>
            <w:r w:rsidRPr="00237EDC">
              <w:rPr>
                <w:lang w:eastAsia="zh-CN"/>
              </w:rPr>
              <w:t>NR</w:t>
            </w:r>
            <w:r w:rsidRPr="00237EDC">
              <w:t>_</w:t>
            </w:r>
            <w:r w:rsidRPr="00237EDC">
              <w:rPr>
                <w:lang w:eastAsia="zh-CN"/>
              </w:rPr>
              <w:t>FDD_FR1_H</w:t>
            </w:r>
          </w:p>
        </w:tc>
        <w:tc>
          <w:tcPr>
            <w:tcW w:w="1289" w:type="dxa"/>
            <w:tcBorders>
              <w:top w:val="single" w:sz="4" w:space="0" w:color="auto"/>
              <w:left w:val="single" w:sz="4" w:space="0" w:color="auto"/>
              <w:bottom w:val="single" w:sz="4" w:space="0" w:color="auto"/>
              <w:right w:val="single" w:sz="4" w:space="0" w:color="auto"/>
            </w:tcBorders>
            <w:hideMark/>
          </w:tcPr>
          <w:p w14:paraId="79748586" w14:textId="77777777" w:rsidR="00D03161" w:rsidRPr="00237EDC" w:rsidRDefault="00D03161" w:rsidP="00D03161">
            <w:pPr>
              <w:pStyle w:val="TAC"/>
            </w:pPr>
            <w:r w:rsidRPr="00237EDC">
              <w:t>-111.5</w:t>
            </w:r>
          </w:p>
        </w:tc>
        <w:tc>
          <w:tcPr>
            <w:tcW w:w="1120" w:type="dxa"/>
            <w:tcBorders>
              <w:top w:val="nil"/>
              <w:left w:val="single" w:sz="4" w:space="0" w:color="auto"/>
              <w:bottom w:val="single" w:sz="4" w:space="0" w:color="auto"/>
              <w:right w:val="single" w:sz="4" w:space="0" w:color="auto"/>
            </w:tcBorders>
            <w:hideMark/>
          </w:tcPr>
          <w:p w14:paraId="063367C2" w14:textId="77777777" w:rsidR="00D03161" w:rsidRPr="00237EDC" w:rsidRDefault="00D03161" w:rsidP="00D03161">
            <w:pPr>
              <w:pStyle w:val="TAC"/>
            </w:pPr>
          </w:p>
        </w:tc>
      </w:tr>
      <w:tr w:rsidR="00D03161" w:rsidRPr="00237EDC" w14:paraId="4527AB3F"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58E5BC96" w14:textId="77777777" w:rsidR="00D03161" w:rsidRPr="00237EDC" w:rsidRDefault="00D03161" w:rsidP="00D03161">
            <w:pPr>
              <w:pStyle w:val="TAC"/>
            </w:pPr>
            <w:r w:rsidRPr="00237EDC">
              <w:t>[</w:t>
            </w:r>
            <w:r>
              <w:t>14</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nil"/>
              <w:left w:val="single" w:sz="4" w:space="0" w:color="auto"/>
              <w:bottom w:val="nil"/>
              <w:right w:val="single" w:sz="4" w:space="0" w:color="auto"/>
            </w:tcBorders>
            <w:vAlign w:val="center"/>
          </w:tcPr>
          <w:p w14:paraId="00809E3D" w14:textId="77777777" w:rsidR="00D03161" w:rsidRPr="00237EDC" w:rsidRDefault="00D03161" w:rsidP="00D03161">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6143322C" w14:textId="77777777" w:rsidR="00D03161" w:rsidRPr="00237EDC" w:rsidRDefault="00D03161" w:rsidP="00D03161">
            <w:pPr>
              <w:pStyle w:val="TAC"/>
            </w:pPr>
            <w:r w:rsidRPr="00237EDC">
              <w:rPr>
                <w:rFonts w:cs="Calibri"/>
              </w:rPr>
              <w:t>≥</w:t>
            </w:r>
            <w:r w:rsidRPr="00237EDC">
              <w:rPr>
                <w:lang w:eastAsia="zh-CN"/>
              </w:rPr>
              <w:t>[64]</w:t>
            </w:r>
          </w:p>
        </w:tc>
        <w:tc>
          <w:tcPr>
            <w:tcW w:w="709" w:type="dxa"/>
            <w:tcBorders>
              <w:top w:val="nil"/>
              <w:left w:val="single" w:sz="4" w:space="0" w:color="auto"/>
              <w:bottom w:val="nil"/>
              <w:right w:val="single" w:sz="4" w:space="0" w:color="auto"/>
            </w:tcBorders>
          </w:tcPr>
          <w:p w14:paraId="69E89BAC"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1BA90B0D" w14:textId="77777777" w:rsidR="00D03161" w:rsidRPr="00237EDC" w:rsidRDefault="00D03161" w:rsidP="00D03161">
            <w:pPr>
              <w:pStyle w:val="TAC"/>
            </w:pPr>
            <w:r w:rsidRPr="00237EDC">
              <w:t>NOTE 5</w:t>
            </w:r>
          </w:p>
        </w:tc>
        <w:tc>
          <w:tcPr>
            <w:tcW w:w="1289" w:type="dxa"/>
            <w:tcBorders>
              <w:top w:val="single" w:sz="4" w:space="0" w:color="auto"/>
              <w:left w:val="single" w:sz="4" w:space="0" w:color="auto"/>
              <w:bottom w:val="single" w:sz="4" w:space="0" w:color="auto"/>
              <w:right w:val="single" w:sz="4" w:space="0" w:color="auto"/>
            </w:tcBorders>
            <w:hideMark/>
          </w:tcPr>
          <w:p w14:paraId="3F19A4F9" w14:textId="77777777" w:rsidR="00D03161" w:rsidRPr="00237EDC" w:rsidRDefault="00D03161" w:rsidP="00D03161">
            <w:pPr>
              <w:pStyle w:val="TAC"/>
            </w:pPr>
            <w:r w:rsidRPr="00237EDC">
              <w:t>NOTE 5</w:t>
            </w:r>
          </w:p>
        </w:tc>
        <w:tc>
          <w:tcPr>
            <w:tcW w:w="1120" w:type="dxa"/>
            <w:tcBorders>
              <w:top w:val="single" w:sz="4" w:space="0" w:color="auto"/>
              <w:left w:val="single" w:sz="4" w:space="0" w:color="auto"/>
              <w:bottom w:val="single" w:sz="4" w:space="0" w:color="auto"/>
              <w:right w:val="single" w:sz="4" w:space="0" w:color="auto"/>
            </w:tcBorders>
            <w:hideMark/>
          </w:tcPr>
          <w:p w14:paraId="55DAC796" w14:textId="77777777" w:rsidR="00D03161" w:rsidRPr="00237EDC" w:rsidRDefault="00D03161" w:rsidP="00D03161">
            <w:pPr>
              <w:pStyle w:val="TAC"/>
            </w:pPr>
            <w:r w:rsidRPr="00237EDC">
              <w:t>NOTE 5</w:t>
            </w:r>
          </w:p>
        </w:tc>
      </w:tr>
      <w:tr w:rsidR="00D03161" w:rsidRPr="00237EDC" w14:paraId="323E0B25"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1DE15CFE" w14:textId="77777777" w:rsidR="00D03161" w:rsidRPr="00237EDC" w:rsidRDefault="00D03161" w:rsidP="00D03161">
            <w:pPr>
              <w:pStyle w:val="TAC"/>
            </w:pPr>
            <w:r w:rsidRPr="00237EDC">
              <w:t>[</w:t>
            </w:r>
            <w:r>
              <w:t>7</w:t>
            </w:r>
            <w:r w:rsidRPr="00237EDC">
              <w:t>+</w:t>
            </w:r>
            <w:r w:rsidRPr="00237EDC">
              <w:sym w:font="Symbol" w:char="F064"/>
            </w:r>
            <w:r w:rsidRPr="00237EDC">
              <w:t>+</w:t>
            </w:r>
            <w:r w:rsidRPr="00237EDC">
              <w:rPr>
                <w:rFonts w:ascii="Cambria Math" w:hAnsi="Cambria Math"/>
                <w:color w:val="0070C0"/>
              </w:rPr>
              <w:t>ℇ</w:t>
            </w:r>
            <w:r w:rsidRPr="00237EDC">
              <w:t>]</w:t>
            </w:r>
          </w:p>
        </w:tc>
        <w:tc>
          <w:tcPr>
            <w:tcW w:w="715" w:type="dxa"/>
            <w:tcBorders>
              <w:top w:val="nil"/>
              <w:left w:val="single" w:sz="4" w:space="0" w:color="auto"/>
              <w:bottom w:val="single" w:sz="4" w:space="0" w:color="auto"/>
              <w:right w:val="single" w:sz="4" w:space="0" w:color="auto"/>
            </w:tcBorders>
            <w:vAlign w:val="center"/>
          </w:tcPr>
          <w:p w14:paraId="69B92C3A" w14:textId="77777777" w:rsidR="00D03161" w:rsidRPr="00237EDC" w:rsidRDefault="00D03161" w:rsidP="00D03161">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7FE2907F" w14:textId="77777777" w:rsidR="00D03161" w:rsidRPr="00237EDC" w:rsidRDefault="00D03161" w:rsidP="00D03161">
            <w:pPr>
              <w:pStyle w:val="TAC"/>
            </w:pPr>
            <w:r w:rsidRPr="00237EDC">
              <w:rPr>
                <w:rFonts w:cs="Calibri"/>
              </w:rPr>
              <w:t>≥</w:t>
            </w:r>
            <w:r w:rsidRPr="00237EDC">
              <w:rPr>
                <w:lang w:eastAsia="zh-CN"/>
              </w:rPr>
              <w:t>[132]</w:t>
            </w:r>
          </w:p>
        </w:tc>
        <w:tc>
          <w:tcPr>
            <w:tcW w:w="709" w:type="dxa"/>
            <w:tcBorders>
              <w:top w:val="nil"/>
              <w:left w:val="single" w:sz="4" w:space="0" w:color="auto"/>
              <w:bottom w:val="single" w:sz="4" w:space="0" w:color="auto"/>
              <w:right w:val="single" w:sz="4" w:space="0" w:color="auto"/>
            </w:tcBorders>
          </w:tcPr>
          <w:p w14:paraId="31CE59C4" w14:textId="77777777" w:rsidR="00D03161" w:rsidRPr="00237EDC" w:rsidRDefault="00D03161" w:rsidP="00D03161">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545670F8" w14:textId="77777777" w:rsidR="00D03161" w:rsidRPr="00237EDC" w:rsidRDefault="00D03161" w:rsidP="00D03161">
            <w:pPr>
              <w:pStyle w:val="TAC"/>
            </w:pPr>
            <w:r w:rsidRPr="00237EDC">
              <w:t>NOTE 5</w:t>
            </w:r>
          </w:p>
        </w:tc>
        <w:tc>
          <w:tcPr>
            <w:tcW w:w="1289" w:type="dxa"/>
            <w:tcBorders>
              <w:top w:val="single" w:sz="4" w:space="0" w:color="auto"/>
              <w:left w:val="single" w:sz="4" w:space="0" w:color="auto"/>
              <w:bottom w:val="single" w:sz="4" w:space="0" w:color="auto"/>
              <w:right w:val="single" w:sz="4" w:space="0" w:color="auto"/>
            </w:tcBorders>
            <w:hideMark/>
          </w:tcPr>
          <w:p w14:paraId="1338BFD9" w14:textId="77777777" w:rsidR="00D03161" w:rsidRPr="00237EDC" w:rsidRDefault="00D03161" w:rsidP="00D03161">
            <w:pPr>
              <w:pStyle w:val="TAC"/>
            </w:pPr>
            <w:r w:rsidRPr="00237EDC">
              <w:t>NOTE 5</w:t>
            </w:r>
          </w:p>
        </w:tc>
        <w:tc>
          <w:tcPr>
            <w:tcW w:w="1120" w:type="dxa"/>
            <w:tcBorders>
              <w:top w:val="single" w:sz="4" w:space="0" w:color="auto"/>
              <w:left w:val="single" w:sz="4" w:space="0" w:color="auto"/>
              <w:bottom w:val="single" w:sz="4" w:space="0" w:color="auto"/>
              <w:right w:val="single" w:sz="4" w:space="0" w:color="auto"/>
            </w:tcBorders>
            <w:hideMark/>
          </w:tcPr>
          <w:p w14:paraId="0324B4F0" w14:textId="77777777" w:rsidR="00D03161" w:rsidRPr="00237EDC" w:rsidRDefault="00D03161" w:rsidP="00D03161">
            <w:pPr>
              <w:pStyle w:val="TAC"/>
            </w:pPr>
            <w:r w:rsidRPr="00237EDC">
              <w:t>NOTE 5</w:t>
            </w:r>
          </w:p>
        </w:tc>
      </w:tr>
      <w:tr w:rsidR="00D03161" w:rsidRPr="00237EDC" w14:paraId="335FAC43" w14:textId="77777777" w:rsidTr="005F054A">
        <w:trPr>
          <w:jc w:val="center"/>
        </w:trPr>
        <w:tc>
          <w:tcPr>
            <w:tcW w:w="8365" w:type="dxa"/>
            <w:gridSpan w:val="7"/>
            <w:tcBorders>
              <w:top w:val="single" w:sz="4" w:space="0" w:color="auto"/>
              <w:left w:val="single" w:sz="4" w:space="0" w:color="auto"/>
              <w:bottom w:val="single" w:sz="4" w:space="0" w:color="auto"/>
              <w:right w:val="single" w:sz="4" w:space="0" w:color="auto"/>
            </w:tcBorders>
            <w:hideMark/>
          </w:tcPr>
          <w:p w14:paraId="113E4783" w14:textId="77777777" w:rsidR="00D03161" w:rsidRPr="00237EDC" w:rsidRDefault="00D03161" w:rsidP="00D03161">
            <w:pPr>
              <w:pStyle w:val="TAN"/>
            </w:pPr>
            <w:r w:rsidRPr="00237EDC">
              <w:t>N</w:t>
            </w:r>
            <w:r w:rsidRPr="00237EDC">
              <w:rPr>
                <w:lang w:eastAsia="zh-CN"/>
              </w:rPr>
              <w:t>OTE</w:t>
            </w:r>
            <w:r w:rsidRPr="00237EDC">
              <w:t xml:space="preserve"> 1:</w:t>
            </w:r>
            <w:r w:rsidRPr="00237EDC">
              <w:tab/>
              <w:t>This minimum Io condition is expressed as the average Io per RE over all REs in an OFDM symbol.</w:t>
            </w:r>
          </w:p>
          <w:p w14:paraId="1D4A387F" w14:textId="77777777" w:rsidR="00D03161" w:rsidRPr="00237EDC" w:rsidRDefault="00D03161" w:rsidP="00D03161">
            <w:pPr>
              <w:pStyle w:val="TAN"/>
            </w:pPr>
            <w:r w:rsidRPr="00237EDC">
              <w:t>NOTE 2:</w:t>
            </w:r>
            <w:r w:rsidRPr="00237EDC">
              <w:tab/>
              <w:t>NR operating band groups are as defined in Section 3.5.</w:t>
            </w:r>
          </w:p>
          <w:p w14:paraId="436613B0" w14:textId="77777777" w:rsidR="00D03161" w:rsidRPr="00237EDC" w:rsidRDefault="00D03161" w:rsidP="00D03161">
            <w:pPr>
              <w:pStyle w:val="TAN"/>
            </w:pPr>
            <w:r w:rsidRPr="00237EDC">
              <w:t>NOTE 3:</w:t>
            </w:r>
            <w:r w:rsidRPr="00237EDC">
              <w:tab/>
              <w:t>The Io is defined in TRS slots. The same Io range applies to TRS and non-TRS symbols. Io levels are different in TRS and non-TRS symbols within the same slot.</w:t>
            </w:r>
          </w:p>
          <w:p w14:paraId="3E0E1F94" w14:textId="77777777" w:rsidR="00D03161" w:rsidRPr="00237EDC" w:rsidRDefault="00D03161" w:rsidP="00D03161">
            <w:pPr>
              <w:pStyle w:val="TAN"/>
            </w:pPr>
            <w:r w:rsidRPr="00237EDC">
              <w:t>N</w:t>
            </w:r>
            <w:r w:rsidRPr="00237EDC">
              <w:rPr>
                <w:lang w:eastAsia="zh-CN"/>
              </w:rPr>
              <w:t>OTE</w:t>
            </w:r>
            <w:r w:rsidRPr="00237EDC">
              <w:t xml:space="preserve"> 4:</w:t>
            </w:r>
            <w:r w:rsidRPr="00237EDC">
              <w:tab/>
              <w:t>Tc is the basic timing unit defined in TS 38.211 [6].</w:t>
            </w:r>
          </w:p>
          <w:p w14:paraId="3EDE4609" w14:textId="77777777" w:rsidR="00D03161" w:rsidRPr="00237EDC" w:rsidRDefault="00D03161" w:rsidP="00D03161">
            <w:pPr>
              <w:pStyle w:val="TAN"/>
            </w:pPr>
            <w:r w:rsidRPr="00237EDC">
              <w:t>NOTE 5:</w:t>
            </w:r>
            <w:r w:rsidRPr="00237EDC">
              <w:tab/>
              <w:t>The same bands and the same Io conditions for each band apply for this requirement as for the corresponding requirement with the TRS bandwidth of the smallest RB number for the corresponding SCS.</w:t>
            </w:r>
          </w:p>
          <w:p w14:paraId="703195DE" w14:textId="7A8FBF36" w:rsidR="00D03161" w:rsidRPr="00237EDC" w:rsidRDefault="00D03161" w:rsidP="00D03161">
            <w:pPr>
              <w:pStyle w:val="TAN"/>
              <w:rPr>
                <w:rFonts w:eastAsia="SimSun" w:cs="Arial"/>
                <w:szCs w:val="18"/>
                <w:lang w:eastAsia="ko-KR"/>
              </w:rPr>
            </w:pPr>
            <w:r w:rsidRPr="00237EDC">
              <w:rPr>
                <w:rFonts w:eastAsia="SimSun"/>
                <w:lang w:eastAsia="ko-KR"/>
              </w:rPr>
              <w:t xml:space="preserve">NOTE 6: </w:t>
            </w:r>
            <w:r w:rsidRPr="00237EDC">
              <w:rPr>
                <w:rFonts w:eastAsia="SimSun"/>
                <w:lang w:eastAsia="ko-KR"/>
              </w:rPr>
              <w:tab/>
            </w:r>
            <w:r w:rsidRPr="00237EDC">
              <w:rPr>
                <w:rFonts w:eastAsia="SimSun" w:cs="Arial"/>
                <w:szCs w:val="18"/>
                <w:lang w:eastAsia="ko-KR"/>
              </w:rPr>
              <w:sym w:font="Symbol" w:char="F064"/>
            </w:r>
            <w:r w:rsidRPr="00237EDC">
              <w:rPr>
                <w:rFonts w:eastAsia="SimSun" w:cs="Arial"/>
                <w:szCs w:val="18"/>
                <w:lang w:eastAsia="ko-KR"/>
              </w:rPr>
              <w:t xml:space="preserve"> is the margin determined from Table 10.1.</w:t>
            </w:r>
            <w:r>
              <w:rPr>
                <w:rFonts w:eastAsia="SimSun" w:cs="Arial"/>
                <w:szCs w:val="18"/>
                <w:lang w:eastAsia="ko-KR"/>
              </w:rPr>
              <w:t>39</w:t>
            </w:r>
            <w:r w:rsidRPr="00237EDC">
              <w:rPr>
                <w:rFonts w:eastAsia="SimSun" w:cs="Arial"/>
                <w:szCs w:val="18"/>
                <w:lang w:eastAsia="ko-KR"/>
              </w:rPr>
              <w:t>.</w:t>
            </w:r>
            <w:r>
              <w:rPr>
                <w:rFonts w:eastAsia="SimSun" w:cs="Arial"/>
                <w:szCs w:val="18"/>
                <w:lang w:eastAsia="ko-KR"/>
              </w:rPr>
              <w:t>3</w:t>
            </w:r>
            <w:r w:rsidRPr="00237EDC">
              <w:rPr>
                <w:rFonts w:eastAsia="SimSun" w:cs="Arial"/>
                <w:szCs w:val="18"/>
                <w:lang w:eastAsia="ko-KR"/>
              </w:rPr>
              <w:t>-3.</w:t>
            </w:r>
          </w:p>
          <w:p w14:paraId="394F543E" w14:textId="22ED096F" w:rsidR="00D03161" w:rsidRPr="00237EDC" w:rsidRDefault="00D03161" w:rsidP="00D03161">
            <w:pPr>
              <w:pStyle w:val="TAN"/>
            </w:pPr>
            <w:r w:rsidRPr="00237EDC">
              <w:rPr>
                <w:rFonts w:eastAsia="SimSun"/>
                <w:lang w:eastAsia="ko-KR"/>
              </w:rPr>
              <w:t xml:space="preserve">NOTE 7: </w:t>
            </w:r>
            <w:r w:rsidRPr="00237EDC">
              <w:rPr>
                <w:rFonts w:eastAsia="SimSun"/>
                <w:lang w:eastAsia="ko-KR"/>
              </w:rPr>
              <w:tab/>
            </w:r>
            <w:r w:rsidRPr="00237EDC">
              <w:rPr>
                <w:rFonts w:ascii="Cambria Math" w:hAnsi="Cambria Math"/>
              </w:rPr>
              <w:t>ℇ</w:t>
            </w:r>
            <w:r w:rsidRPr="00237EDC">
              <w:rPr>
                <w:rFonts w:eastAsia="SimSun" w:cs="Arial"/>
                <w:szCs w:val="18"/>
                <w:lang w:eastAsia="ko-KR"/>
              </w:rPr>
              <w:t xml:space="preserve"> is the margin for reporting quantitization error and </w:t>
            </w:r>
            <w:r w:rsidRPr="00237EDC">
              <w:rPr>
                <w:rFonts w:ascii="Cambria Math" w:hAnsi="Cambria Math"/>
              </w:rPr>
              <w:t>ℇ=16 Tc</w:t>
            </w:r>
            <w:r w:rsidRPr="00237EDC">
              <w:rPr>
                <w:rFonts w:eastAsia="SimSun" w:cs="Arial"/>
                <w:szCs w:val="18"/>
                <w:lang w:eastAsia="ko-KR"/>
              </w:rPr>
              <w:t>.</w:t>
            </w:r>
          </w:p>
        </w:tc>
      </w:tr>
    </w:tbl>
    <w:p w14:paraId="786042BB" w14:textId="77777777" w:rsidR="00D03161" w:rsidRPr="00237EDC" w:rsidRDefault="00D03161" w:rsidP="00D03161"/>
    <w:p w14:paraId="1FECE936" w14:textId="77777777" w:rsidR="00D03161" w:rsidRPr="00237EDC" w:rsidRDefault="00D03161" w:rsidP="00D03161">
      <w:r w:rsidRPr="00237EDC">
        <w:t>The accuracy requirements in Table 10.1.</w:t>
      </w:r>
      <w:r>
        <w:t>39</w:t>
      </w:r>
      <w:r w:rsidRPr="00237EDC">
        <w:t>.</w:t>
      </w:r>
      <w:r>
        <w:t>3</w:t>
      </w:r>
      <w:r w:rsidRPr="00237EDC">
        <w:t>-2 for FR2 are valid under the following conditions:</w:t>
      </w:r>
    </w:p>
    <w:p w14:paraId="5EBB7809" w14:textId="77777777" w:rsidR="00D03161" w:rsidRPr="00237EDC" w:rsidRDefault="00D03161" w:rsidP="00D03161">
      <w:pPr>
        <w:pStyle w:val="B10"/>
      </w:pPr>
      <w:r w:rsidRPr="00237EDC">
        <w:t>Conditions defined in clause 7.3 of TS 38.101-2 [19] for reference sensitivity are fulfilled.</w:t>
      </w:r>
    </w:p>
    <w:p w14:paraId="58F8CCAE" w14:textId="77777777" w:rsidR="00D03161" w:rsidRPr="00237EDC" w:rsidRDefault="00D03161" w:rsidP="00D03161">
      <w:pPr>
        <w:pStyle w:val="B10"/>
      </w:pPr>
      <w:r w:rsidRPr="00237EDC">
        <w:t>PRP|</w:t>
      </w:r>
      <w:r w:rsidRPr="00237EDC">
        <w:rPr>
          <w:vertAlign w:val="subscript"/>
        </w:rPr>
        <w:t>dBm</w:t>
      </w:r>
      <w:r w:rsidRPr="00237EDC">
        <w:t xml:space="preserve"> according to Annex [TBD] for a corresponding Band.</w:t>
      </w:r>
    </w:p>
    <w:p w14:paraId="5BD12020" w14:textId="77777777" w:rsidR="00D03161" w:rsidRPr="00237EDC" w:rsidRDefault="00D03161" w:rsidP="00D03161">
      <w:pPr>
        <w:pStyle w:val="B10"/>
      </w:pPr>
      <w:r w:rsidRPr="00237EDC">
        <w:t>AWGN propagation condition.</w:t>
      </w:r>
    </w:p>
    <w:p w14:paraId="00CA6191" w14:textId="77777777" w:rsidR="00D03161" w:rsidRPr="00237EDC" w:rsidRDefault="00D03161" w:rsidP="00D03161">
      <w:pPr>
        <w:pStyle w:val="TH"/>
      </w:pPr>
      <w:r w:rsidRPr="00237EDC">
        <w:t>Table 10.1.</w:t>
      </w:r>
      <w:r>
        <w:t>39</w:t>
      </w:r>
      <w:r w:rsidRPr="00237EDC">
        <w:t>.</w:t>
      </w:r>
      <w:r>
        <w:t>3</w:t>
      </w:r>
      <w:r w:rsidRPr="00237EDC">
        <w:t>-2: UE Rx-Tx time difference measurement accuracy in FR2 in AWGN</w:t>
      </w:r>
    </w:p>
    <w:tbl>
      <w:tblPr>
        <w:tblW w:w="8725" w:type="dxa"/>
        <w:jc w:val="center"/>
        <w:tblLayout w:type="fixed"/>
        <w:tblLook w:val="01E0" w:firstRow="1" w:lastRow="1" w:firstColumn="1" w:lastColumn="1" w:noHBand="0" w:noVBand="0"/>
      </w:tblPr>
      <w:tblGrid>
        <w:gridCol w:w="1133"/>
        <w:gridCol w:w="851"/>
        <w:gridCol w:w="1133"/>
        <w:gridCol w:w="845"/>
        <w:gridCol w:w="3258"/>
        <w:gridCol w:w="1505"/>
      </w:tblGrid>
      <w:tr w:rsidR="00D03161" w:rsidRPr="00237EDC" w14:paraId="0A441681" w14:textId="77777777" w:rsidTr="005F054A">
        <w:trPr>
          <w:jc w:val="center"/>
        </w:trPr>
        <w:tc>
          <w:tcPr>
            <w:tcW w:w="1133" w:type="dxa"/>
            <w:vMerge w:val="restart"/>
            <w:tcBorders>
              <w:top w:val="single" w:sz="4" w:space="0" w:color="auto"/>
              <w:left w:val="single" w:sz="4" w:space="0" w:color="auto"/>
              <w:bottom w:val="single" w:sz="6" w:space="0" w:color="auto"/>
              <w:right w:val="single" w:sz="6" w:space="0" w:color="auto"/>
            </w:tcBorders>
            <w:vAlign w:val="center"/>
            <w:hideMark/>
          </w:tcPr>
          <w:p w14:paraId="6F0DA767" w14:textId="77777777" w:rsidR="00D03161" w:rsidRPr="00237EDC" w:rsidRDefault="00D03161" w:rsidP="00D03161">
            <w:pPr>
              <w:pStyle w:val="TAH"/>
            </w:pPr>
            <w:r w:rsidRPr="00237EDC">
              <w:t>Accuracy</w:t>
            </w:r>
          </w:p>
        </w:tc>
        <w:tc>
          <w:tcPr>
            <w:tcW w:w="7592" w:type="dxa"/>
            <w:gridSpan w:val="5"/>
            <w:tcBorders>
              <w:top w:val="single" w:sz="4" w:space="0" w:color="auto"/>
              <w:left w:val="single" w:sz="6" w:space="0" w:color="auto"/>
              <w:bottom w:val="single" w:sz="6" w:space="0" w:color="auto"/>
              <w:right w:val="single" w:sz="4" w:space="0" w:color="auto"/>
            </w:tcBorders>
            <w:hideMark/>
          </w:tcPr>
          <w:p w14:paraId="79DC0F4E" w14:textId="77777777" w:rsidR="00D03161" w:rsidRPr="00237EDC" w:rsidRDefault="00D03161" w:rsidP="00D03161">
            <w:pPr>
              <w:pStyle w:val="TAH"/>
            </w:pPr>
            <w:r w:rsidRPr="00237EDC">
              <w:t>Conditions</w:t>
            </w:r>
          </w:p>
        </w:tc>
      </w:tr>
      <w:tr w:rsidR="00D03161" w:rsidRPr="00237EDC" w14:paraId="1138358B" w14:textId="77777777" w:rsidTr="005F054A">
        <w:trPr>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71200D61" w14:textId="77777777" w:rsidR="00D03161" w:rsidRPr="00237EDC" w:rsidRDefault="00D03161" w:rsidP="00D03161">
            <w:pPr>
              <w:pStyle w:val="TAH"/>
            </w:pPr>
          </w:p>
        </w:tc>
        <w:tc>
          <w:tcPr>
            <w:tcW w:w="851" w:type="dxa"/>
            <w:vMerge w:val="restart"/>
            <w:tcBorders>
              <w:top w:val="single" w:sz="6" w:space="0" w:color="auto"/>
              <w:left w:val="single" w:sz="6" w:space="0" w:color="auto"/>
              <w:bottom w:val="single" w:sz="6" w:space="0" w:color="auto"/>
              <w:right w:val="single" w:sz="6" w:space="0" w:color="auto"/>
            </w:tcBorders>
            <w:vAlign w:val="center"/>
            <w:hideMark/>
          </w:tcPr>
          <w:p w14:paraId="75AE3D1E" w14:textId="77777777" w:rsidR="00D03161" w:rsidRPr="00237EDC" w:rsidRDefault="00D03161" w:rsidP="00D03161">
            <w:pPr>
              <w:pStyle w:val="TAH"/>
            </w:pPr>
            <w:r w:rsidRPr="00237EDC">
              <w:t>TRS Ês/Iot</w:t>
            </w:r>
          </w:p>
        </w:tc>
        <w:tc>
          <w:tcPr>
            <w:tcW w:w="1133" w:type="dxa"/>
            <w:vMerge w:val="restart"/>
            <w:tcBorders>
              <w:top w:val="single" w:sz="6" w:space="0" w:color="auto"/>
              <w:left w:val="single" w:sz="6" w:space="0" w:color="auto"/>
              <w:bottom w:val="single" w:sz="6" w:space="0" w:color="auto"/>
              <w:right w:val="single" w:sz="6" w:space="0" w:color="auto"/>
            </w:tcBorders>
            <w:vAlign w:val="center"/>
            <w:hideMark/>
          </w:tcPr>
          <w:p w14:paraId="386BA3E8" w14:textId="77777777" w:rsidR="00D03161" w:rsidRPr="00237EDC" w:rsidRDefault="00D03161" w:rsidP="00D03161">
            <w:pPr>
              <w:pStyle w:val="TAH"/>
            </w:pPr>
            <w:r w:rsidRPr="00237EDC">
              <w:t>Minimum TRS bandwidth</w:t>
            </w:r>
          </w:p>
        </w:tc>
        <w:tc>
          <w:tcPr>
            <w:tcW w:w="845" w:type="dxa"/>
            <w:vMerge w:val="restart"/>
            <w:tcBorders>
              <w:top w:val="single" w:sz="6" w:space="0" w:color="auto"/>
              <w:left w:val="single" w:sz="6" w:space="0" w:color="auto"/>
              <w:bottom w:val="single" w:sz="6" w:space="0" w:color="auto"/>
              <w:right w:val="single" w:sz="6" w:space="0" w:color="auto"/>
            </w:tcBorders>
          </w:tcPr>
          <w:p w14:paraId="147BC670" w14:textId="77777777" w:rsidR="00D03161" w:rsidRPr="00237EDC" w:rsidRDefault="00D03161" w:rsidP="00D03161">
            <w:pPr>
              <w:pStyle w:val="TAH"/>
            </w:pPr>
          </w:p>
          <w:p w14:paraId="6B787147" w14:textId="77777777" w:rsidR="00D03161" w:rsidRPr="00237EDC" w:rsidRDefault="00D03161" w:rsidP="00D03161">
            <w:pPr>
              <w:pStyle w:val="TAH"/>
            </w:pPr>
            <w:r w:rsidRPr="00237EDC">
              <w:t>TRS SCS</w:t>
            </w:r>
          </w:p>
        </w:tc>
        <w:tc>
          <w:tcPr>
            <w:tcW w:w="4763" w:type="dxa"/>
            <w:gridSpan w:val="2"/>
            <w:tcBorders>
              <w:top w:val="single" w:sz="6" w:space="0" w:color="auto"/>
              <w:left w:val="single" w:sz="6" w:space="0" w:color="auto"/>
              <w:bottom w:val="single" w:sz="6" w:space="0" w:color="auto"/>
              <w:right w:val="single" w:sz="4" w:space="0" w:color="auto"/>
            </w:tcBorders>
            <w:vAlign w:val="center"/>
            <w:hideMark/>
          </w:tcPr>
          <w:p w14:paraId="069EB2A6" w14:textId="77777777" w:rsidR="00D03161" w:rsidRPr="00237EDC" w:rsidRDefault="00D03161" w:rsidP="00D03161">
            <w:pPr>
              <w:pStyle w:val="TAH"/>
            </w:pPr>
            <w:r w:rsidRPr="00237EDC">
              <w:t>Io</w:t>
            </w:r>
            <w:r w:rsidRPr="00237EDC">
              <w:rPr>
                <w:vertAlign w:val="superscript"/>
                <w:lang w:eastAsia="zh-CN"/>
              </w:rPr>
              <w:t>Note 3</w:t>
            </w:r>
            <w:r w:rsidRPr="00237EDC">
              <w:t xml:space="preserve"> range</w:t>
            </w:r>
          </w:p>
        </w:tc>
      </w:tr>
      <w:tr w:rsidR="00D03161" w:rsidRPr="00237EDC" w14:paraId="3EC0B391" w14:textId="77777777" w:rsidTr="005F054A">
        <w:trPr>
          <w:trHeight w:val="822"/>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346AC18E" w14:textId="77777777" w:rsidR="00D03161" w:rsidRPr="00237EDC" w:rsidRDefault="00D03161" w:rsidP="00D03161">
            <w:pPr>
              <w:pStyle w:val="TAH"/>
            </w:pPr>
          </w:p>
        </w:tc>
        <w:tc>
          <w:tcPr>
            <w:tcW w:w="851" w:type="dxa"/>
            <w:vMerge/>
            <w:tcBorders>
              <w:top w:val="single" w:sz="6" w:space="0" w:color="auto"/>
              <w:left w:val="single" w:sz="6" w:space="0" w:color="auto"/>
              <w:bottom w:val="single" w:sz="6" w:space="0" w:color="auto"/>
              <w:right w:val="single" w:sz="6" w:space="0" w:color="auto"/>
            </w:tcBorders>
            <w:vAlign w:val="center"/>
            <w:hideMark/>
          </w:tcPr>
          <w:p w14:paraId="7E9036EE" w14:textId="77777777" w:rsidR="00D03161" w:rsidRPr="00237EDC" w:rsidRDefault="00D03161" w:rsidP="00D03161">
            <w:pPr>
              <w:pStyle w:val="TAH"/>
            </w:pPr>
          </w:p>
        </w:tc>
        <w:tc>
          <w:tcPr>
            <w:tcW w:w="1133" w:type="dxa"/>
            <w:vMerge/>
            <w:tcBorders>
              <w:top w:val="single" w:sz="6" w:space="0" w:color="auto"/>
              <w:left w:val="single" w:sz="6" w:space="0" w:color="auto"/>
              <w:bottom w:val="single" w:sz="6" w:space="0" w:color="auto"/>
              <w:right w:val="single" w:sz="6" w:space="0" w:color="auto"/>
            </w:tcBorders>
            <w:vAlign w:val="center"/>
            <w:hideMark/>
          </w:tcPr>
          <w:p w14:paraId="7D983A33" w14:textId="77777777" w:rsidR="00D03161" w:rsidRPr="00237EDC" w:rsidRDefault="00D03161" w:rsidP="00D03161">
            <w:pPr>
              <w:pStyle w:val="TAH"/>
            </w:pPr>
          </w:p>
        </w:tc>
        <w:tc>
          <w:tcPr>
            <w:tcW w:w="845" w:type="dxa"/>
            <w:vMerge/>
            <w:tcBorders>
              <w:top w:val="single" w:sz="6" w:space="0" w:color="auto"/>
              <w:left w:val="single" w:sz="6" w:space="0" w:color="auto"/>
              <w:bottom w:val="single" w:sz="6" w:space="0" w:color="auto"/>
              <w:right w:val="single" w:sz="6" w:space="0" w:color="auto"/>
            </w:tcBorders>
            <w:vAlign w:val="center"/>
            <w:hideMark/>
          </w:tcPr>
          <w:p w14:paraId="53FDAC8A" w14:textId="77777777" w:rsidR="00D03161" w:rsidRPr="00237EDC" w:rsidRDefault="00D03161" w:rsidP="00D03161">
            <w:pPr>
              <w:pStyle w:val="TAH"/>
            </w:pPr>
          </w:p>
        </w:tc>
        <w:tc>
          <w:tcPr>
            <w:tcW w:w="3258" w:type="dxa"/>
            <w:tcBorders>
              <w:top w:val="single" w:sz="6" w:space="0" w:color="auto"/>
              <w:left w:val="single" w:sz="6" w:space="0" w:color="auto"/>
              <w:bottom w:val="single" w:sz="6" w:space="0" w:color="auto"/>
              <w:right w:val="single" w:sz="6" w:space="0" w:color="auto"/>
            </w:tcBorders>
            <w:vAlign w:val="center"/>
            <w:hideMark/>
          </w:tcPr>
          <w:p w14:paraId="45D10745" w14:textId="77777777" w:rsidR="00D03161" w:rsidRPr="00237EDC" w:rsidRDefault="00D03161" w:rsidP="00D03161">
            <w:pPr>
              <w:pStyle w:val="TAH"/>
            </w:pPr>
            <w:r w:rsidRPr="00237EDC">
              <w:t>Minimum</w:t>
            </w:r>
            <w:r w:rsidRPr="00237EDC">
              <w:br/>
              <w:t>Io</w:t>
            </w:r>
            <w:r w:rsidRPr="00237EDC">
              <w:rPr>
                <w:vertAlign w:val="superscript"/>
              </w:rPr>
              <w:t>Note 1</w:t>
            </w:r>
          </w:p>
        </w:tc>
        <w:tc>
          <w:tcPr>
            <w:tcW w:w="1505" w:type="dxa"/>
            <w:tcBorders>
              <w:top w:val="single" w:sz="6" w:space="0" w:color="auto"/>
              <w:left w:val="single" w:sz="6" w:space="0" w:color="auto"/>
              <w:bottom w:val="single" w:sz="6" w:space="0" w:color="auto"/>
              <w:right w:val="single" w:sz="4" w:space="0" w:color="auto"/>
            </w:tcBorders>
            <w:vAlign w:val="center"/>
            <w:hideMark/>
          </w:tcPr>
          <w:p w14:paraId="7F10B36F" w14:textId="77777777" w:rsidR="00D03161" w:rsidRPr="00237EDC" w:rsidRDefault="00D03161" w:rsidP="00D03161">
            <w:pPr>
              <w:pStyle w:val="TAH"/>
            </w:pPr>
            <w:r w:rsidRPr="00237EDC">
              <w:t>Maximum</w:t>
            </w:r>
            <w:r w:rsidRPr="00237EDC">
              <w:br/>
              <w:t>Io</w:t>
            </w:r>
          </w:p>
        </w:tc>
      </w:tr>
      <w:tr w:rsidR="00D03161" w:rsidRPr="00237EDC" w14:paraId="105C3095" w14:textId="77777777" w:rsidTr="005F054A">
        <w:trPr>
          <w:trHeight w:val="279"/>
          <w:jc w:val="center"/>
        </w:trPr>
        <w:tc>
          <w:tcPr>
            <w:tcW w:w="1133" w:type="dxa"/>
            <w:tcBorders>
              <w:top w:val="single" w:sz="6" w:space="0" w:color="auto"/>
              <w:left w:val="single" w:sz="4" w:space="0" w:color="auto"/>
              <w:bottom w:val="nil"/>
              <w:right w:val="single" w:sz="6" w:space="0" w:color="auto"/>
            </w:tcBorders>
            <w:vAlign w:val="center"/>
            <w:hideMark/>
          </w:tcPr>
          <w:p w14:paraId="01B5A077" w14:textId="77777777" w:rsidR="00D03161" w:rsidRPr="00237EDC" w:rsidRDefault="00D03161" w:rsidP="005F054A">
            <w:pPr>
              <w:pStyle w:val="TAH"/>
            </w:pPr>
            <w:r w:rsidRPr="00237EDC">
              <w:t>Tc</w:t>
            </w:r>
            <w:r w:rsidRPr="00237EDC">
              <w:rPr>
                <w:vertAlign w:val="superscript"/>
                <w:lang w:eastAsia="zh-CN"/>
              </w:rPr>
              <w:t>Note 4</w:t>
            </w:r>
          </w:p>
        </w:tc>
        <w:tc>
          <w:tcPr>
            <w:tcW w:w="851" w:type="dxa"/>
            <w:tcBorders>
              <w:top w:val="single" w:sz="6" w:space="0" w:color="auto"/>
              <w:left w:val="single" w:sz="6" w:space="0" w:color="auto"/>
              <w:bottom w:val="nil"/>
              <w:right w:val="single" w:sz="6" w:space="0" w:color="auto"/>
            </w:tcBorders>
            <w:vAlign w:val="center"/>
            <w:hideMark/>
          </w:tcPr>
          <w:p w14:paraId="2FD9A017" w14:textId="77777777" w:rsidR="00D03161" w:rsidRPr="00237EDC" w:rsidRDefault="00D03161" w:rsidP="005F054A">
            <w:pPr>
              <w:pStyle w:val="TAH"/>
            </w:pPr>
            <w:r w:rsidRPr="00237EDC">
              <w:t>dB</w:t>
            </w:r>
          </w:p>
        </w:tc>
        <w:tc>
          <w:tcPr>
            <w:tcW w:w="1133" w:type="dxa"/>
            <w:tcBorders>
              <w:top w:val="single" w:sz="6" w:space="0" w:color="auto"/>
              <w:left w:val="single" w:sz="6" w:space="0" w:color="auto"/>
              <w:bottom w:val="nil"/>
              <w:right w:val="single" w:sz="6" w:space="0" w:color="auto"/>
            </w:tcBorders>
            <w:vAlign w:val="center"/>
            <w:hideMark/>
          </w:tcPr>
          <w:p w14:paraId="4ADF684D" w14:textId="77777777" w:rsidR="00D03161" w:rsidRPr="00237EDC" w:rsidRDefault="00D03161" w:rsidP="005F054A">
            <w:pPr>
              <w:pStyle w:val="TAH"/>
            </w:pPr>
            <w:r w:rsidRPr="00237EDC">
              <w:t>RB</w:t>
            </w:r>
          </w:p>
        </w:tc>
        <w:tc>
          <w:tcPr>
            <w:tcW w:w="845" w:type="dxa"/>
            <w:tcBorders>
              <w:top w:val="single" w:sz="6" w:space="0" w:color="auto"/>
              <w:left w:val="single" w:sz="6" w:space="0" w:color="auto"/>
              <w:bottom w:val="nil"/>
              <w:right w:val="single" w:sz="6" w:space="0" w:color="auto"/>
            </w:tcBorders>
            <w:hideMark/>
          </w:tcPr>
          <w:p w14:paraId="77B12990" w14:textId="77777777" w:rsidR="00D03161" w:rsidRPr="00237EDC" w:rsidRDefault="00D03161" w:rsidP="005F054A">
            <w:pPr>
              <w:pStyle w:val="TAH"/>
            </w:pPr>
            <w:r w:rsidRPr="00237EDC">
              <w:t>kHz</w:t>
            </w:r>
          </w:p>
        </w:tc>
        <w:tc>
          <w:tcPr>
            <w:tcW w:w="3258" w:type="dxa"/>
            <w:tcBorders>
              <w:top w:val="single" w:sz="6" w:space="0" w:color="auto"/>
              <w:left w:val="single" w:sz="6" w:space="0" w:color="auto"/>
              <w:bottom w:val="single" w:sz="4" w:space="0" w:color="auto"/>
              <w:right w:val="single" w:sz="6" w:space="0" w:color="auto"/>
            </w:tcBorders>
            <w:vAlign w:val="center"/>
            <w:hideMark/>
          </w:tcPr>
          <w:p w14:paraId="6294601D" w14:textId="77777777" w:rsidR="00D03161" w:rsidRPr="00237EDC" w:rsidRDefault="00D03161" w:rsidP="005F054A">
            <w:pPr>
              <w:pStyle w:val="TAH"/>
            </w:pPr>
            <w:r w:rsidRPr="00237EDC">
              <w:t>dBm / SCS</w:t>
            </w:r>
            <w:r w:rsidRPr="00237EDC">
              <w:rPr>
                <w:vertAlign w:val="subscript"/>
              </w:rPr>
              <w:t>TRS</w:t>
            </w:r>
          </w:p>
        </w:tc>
        <w:tc>
          <w:tcPr>
            <w:tcW w:w="1505" w:type="dxa"/>
            <w:tcBorders>
              <w:top w:val="single" w:sz="6" w:space="0" w:color="auto"/>
              <w:left w:val="single" w:sz="6" w:space="0" w:color="auto"/>
              <w:bottom w:val="nil"/>
              <w:right w:val="single" w:sz="4" w:space="0" w:color="auto"/>
            </w:tcBorders>
            <w:vAlign w:val="center"/>
            <w:hideMark/>
          </w:tcPr>
          <w:p w14:paraId="71381A77" w14:textId="77777777" w:rsidR="00D03161" w:rsidRPr="00237EDC" w:rsidRDefault="00D03161" w:rsidP="005F054A">
            <w:pPr>
              <w:pStyle w:val="TAH"/>
            </w:pPr>
            <w:r w:rsidRPr="00237EDC">
              <w:t>dBm/BW</w:t>
            </w:r>
            <w:r w:rsidRPr="00237EDC">
              <w:rPr>
                <w:vertAlign w:val="subscript"/>
              </w:rPr>
              <w:t>Channel</w:t>
            </w:r>
          </w:p>
        </w:tc>
      </w:tr>
      <w:tr w:rsidR="00D03161" w:rsidRPr="00237EDC" w14:paraId="3289C546"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3BC08697" w14:textId="77777777" w:rsidR="00D03161" w:rsidRPr="00237EDC" w:rsidRDefault="00D03161" w:rsidP="00D03161">
            <w:pPr>
              <w:pStyle w:val="TAC"/>
            </w:pPr>
            <w:r w:rsidRPr="00237EDC">
              <w:t>[2</w:t>
            </w:r>
            <w:r>
              <w:t>9</w:t>
            </w:r>
            <w:r w:rsidRPr="00237EDC">
              <w:t>+</w:t>
            </w:r>
            <w:r w:rsidRPr="00237EDC">
              <w:sym w:font="Symbol" w:char="F064"/>
            </w:r>
            <w:r w:rsidRPr="00237EDC">
              <w:t>+</w:t>
            </w:r>
            <w:r w:rsidRPr="00237EDC">
              <w:rPr>
                <w:rFonts w:ascii="Cambria Math" w:hAnsi="Cambria Math"/>
                <w:color w:val="0070C0"/>
              </w:rPr>
              <w:t>ℇ</w:t>
            </w:r>
            <w:r w:rsidRPr="00237EDC">
              <w:t>]</w:t>
            </w:r>
          </w:p>
        </w:tc>
        <w:tc>
          <w:tcPr>
            <w:tcW w:w="851" w:type="dxa"/>
            <w:tcBorders>
              <w:top w:val="single" w:sz="6" w:space="0" w:color="auto"/>
              <w:left w:val="single" w:sz="6" w:space="0" w:color="auto"/>
              <w:bottom w:val="nil"/>
              <w:right w:val="single" w:sz="6" w:space="0" w:color="auto"/>
            </w:tcBorders>
            <w:hideMark/>
          </w:tcPr>
          <w:p w14:paraId="63F82D1D" w14:textId="77777777" w:rsidR="00D03161" w:rsidRPr="00237EDC" w:rsidRDefault="00D03161" w:rsidP="00D03161">
            <w:pPr>
              <w:pStyle w:val="TAC"/>
              <w:rPr>
                <w:lang w:val="sv-SE"/>
              </w:rPr>
            </w:pPr>
            <w:r w:rsidRPr="00237EDC">
              <w:rPr>
                <w:lang w:val="sv-SE"/>
              </w:rPr>
              <w:t>-3</w:t>
            </w:r>
          </w:p>
        </w:tc>
        <w:tc>
          <w:tcPr>
            <w:tcW w:w="1133" w:type="dxa"/>
            <w:tcBorders>
              <w:top w:val="single" w:sz="6" w:space="0" w:color="auto"/>
              <w:left w:val="single" w:sz="6" w:space="0" w:color="auto"/>
              <w:bottom w:val="nil"/>
              <w:right w:val="single" w:sz="6" w:space="0" w:color="auto"/>
            </w:tcBorders>
            <w:hideMark/>
          </w:tcPr>
          <w:p w14:paraId="42E79EB5" w14:textId="77777777" w:rsidR="00D03161" w:rsidRPr="00237EDC" w:rsidRDefault="00D03161" w:rsidP="00D03161">
            <w:pPr>
              <w:pStyle w:val="TAC"/>
            </w:pPr>
            <w:r w:rsidRPr="00237EDC">
              <w:rPr>
                <w:rFonts w:cs="Calibri"/>
              </w:rPr>
              <w:t>≥[</w:t>
            </w:r>
            <w:r w:rsidRPr="00237EDC">
              <w:t>24]</w:t>
            </w:r>
          </w:p>
        </w:tc>
        <w:tc>
          <w:tcPr>
            <w:tcW w:w="845" w:type="dxa"/>
            <w:tcBorders>
              <w:top w:val="single" w:sz="6" w:space="0" w:color="auto"/>
              <w:left w:val="single" w:sz="6" w:space="0" w:color="auto"/>
              <w:bottom w:val="nil"/>
              <w:right w:val="single" w:sz="6" w:space="0" w:color="auto"/>
            </w:tcBorders>
            <w:hideMark/>
          </w:tcPr>
          <w:p w14:paraId="4AC0522E" w14:textId="77777777" w:rsidR="00D03161" w:rsidRPr="00237EDC" w:rsidRDefault="00D03161" w:rsidP="00D03161">
            <w:pPr>
              <w:pStyle w:val="TAC"/>
            </w:pPr>
            <w:r w:rsidRPr="00237EDC">
              <w:t>60</w:t>
            </w:r>
          </w:p>
        </w:tc>
        <w:tc>
          <w:tcPr>
            <w:tcW w:w="3258" w:type="dxa"/>
            <w:tcBorders>
              <w:top w:val="single" w:sz="4" w:space="0" w:color="auto"/>
              <w:left w:val="single" w:sz="4" w:space="0" w:color="auto"/>
              <w:bottom w:val="single" w:sz="4" w:space="0" w:color="auto"/>
              <w:right w:val="single" w:sz="4" w:space="0" w:color="auto"/>
            </w:tcBorders>
            <w:vAlign w:val="center"/>
            <w:hideMark/>
          </w:tcPr>
          <w:p w14:paraId="4F1D930A" w14:textId="77777777" w:rsidR="00D03161" w:rsidRPr="00237EDC" w:rsidRDefault="00D03161" w:rsidP="00D03161">
            <w:pPr>
              <w:pStyle w:val="TAC"/>
            </w:pPr>
            <w:r w:rsidRPr="00237EDC">
              <w:t>Same value as PRP in Table B.2.14-2, according to UE Power class, operating band and angle of arrival</w:t>
            </w:r>
          </w:p>
        </w:tc>
        <w:tc>
          <w:tcPr>
            <w:tcW w:w="1505" w:type="dxa"/>
            <w:tcBorders>
              <w:top w:val="single" w:sz="6" w:space="0" w:color="auto"/>
              <w:left w:val="single" w:sz="4" w:space="0" w:color="auto"/>
              <w:bottom w:val="single" w:sz="6" w:space="0" w:color="auto"/>
              <w:right w:val="single" w:sz="4" w:space="0" w:color="auto"/>
            </w:tcBorders>
            <w:hideMark/>
          </w:tcPr>
          <w:p w14:paraId="3C9EC8CA" w14:textId="77777777" w:rsidR="00D03161" w:rsidRPr="00237EDC" w:rsidRDefault="00D03161" w:rsidP="00D03161">
            <w:pPr>
              <w:pStyle w:val="TAC"/>
            </w:pPr>
            <w:r w:rsidRPr="00237EDC">
              <w:t>-50</w:t>
            </w:r>
          </w:p>
        </w:tc>
      </w:tr>
      <w:tr w:rsidR="00D03161" w:rsidRPr="00237EDC" w14:paraId="2359B144"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6A61EABD" w14:textId="77777777" w:rsidR="00D03161" w:rsidRPr="00237EDC" w:rsidRDefault="00D03161" w:rsidP="00D03161">
            <w:pPr>
              <w:pStyle w:val="TAC"/>
            </w:pPr>
            <w:r w:rsidRPr="00237EDC">
              <w:t>[1</w:t>
            </w:r>
            <w:r>
              <w:t>4</w:t>
            </w:r>
            <w:r w:rsidRPr="00237EDC">
              <w:t>+</w:t>
            </w:r>
            <w:r w:rsidRPr="00237EDC">
              <w:sym w:font="Symbol" w:char="F064"/>
            </w:r>
            <w:r w:rsidRPr="00237EDC">
              <w:t>+</w:t>
            </w:r>
            <w:r w:rsidRPr="00237EDC">
              <w:rPr>
                <w:rFonts w:ascii="Cambria Math" w:hAnsi="Cambria Math"/>
                <w:color w:val="0070C0"/>
              </w:rPr>
              <w:t>ℇ</w:t>
            </w:r>
            <w:r w:rsidRPr="00237EDC">
              <w:t>]</w:t>
            </w:r>
          </w:p>
        </w:tc>
        <w:tc>
          <w:tcPr>
            <w:tcW w:w="851" w:type="dxa"/>
            <w:tcBorders>
              <w:top w:val="nil"/>
              <w:left w:val="single" w:sz="6" w:space="0" w:color="auto"/>
              <w:bottom w:val="nil"/>
              <w:right w:val="single" w:sz="6" w:space="0" w:color="auto"/>
            </w:tcBorders>
            <w:vAlign w:val="center"/>
          </w:tcPr>
          <w:p w14:paraId="49774C78" w14:textId="77777777" w:rsidR="00D03161" w:rsidRPr="00237EDC" w:rsidRDefault="00D03161" w:rsidP="00D03161">
            <w:pPr>
              <w:pStyle w:val="TAC"/>
              <w:rPr>
                <w:lang w:val="sv-SE"/>
              </w:rPr>
            </w:pPr>
          </w:p>
        </w:tc>
        <w:tc>
          <w:tcPr>
            <w:tcW w:w="1133" w:type="dxa"/>
            <w:tcBorders>
              <w:top w:val="single" w:sz="6" w:space="0" w:color="auto"/>
              <w:left w:val="single" w:sz="6" w:space="0" w:color="auto"/>
              <w:bottom w:val="nil"/>
              <w:right w:val="single" w:sz="6" w:space="0" w:color="auto"/>
            </w:tcBorders>
            <w:hideMark/>
          </w:tcPr>
          <w:p w14:paraId="00BD8272" w14:textId="77777777" w:rsidR="00D03161" w:rsidRPr="00237EDC" w:rsidRDefault="00D03161" w:rsidP="00D03161">
            <w:pPr>
              <w:pStyle w:val="TAC"/>
            </w:pPr>
            <w:r w:rsidRPr="00237EDC">
              <w:rPr>
                <w:rFonts w:cs="Calibri"/>
              </w:rPr>
              <w:t>≥[</w:t>
            </w:r>
            <w:r w:rsidRPr="00237EDC">
              <w:t>64]</w:t>
            </w:r>
          </w:p>
        </w:tc>
        <w:tc>
          <w:tcPr>
            <w:tcW w:w="845" w:type="dxa"/>
            <w:tcBorders>
              <w:top w:val="nil"/>
              <w:left w:val="single" w:sz="6" w:space="0" w:color="auto"/>
              <w:bottom w:val="nil"/>
              <w:right w:val="single" w:sz="6" w:space="0" w:color="auto"/>
            </w:tcBorders>
          </w:tcPr>
          <w:p w14:paraId="014203A5" w14:textId="77777777" w:rsidR="00D03161" w:rsidRPr="00237EDC" w:rsidRDefault="00D03161" w:rsidP="00D03161">
            <w:pPr>
              <w:pStyle w:val="TAC"/>
            </w:pPr>
          </w:p>
        </w:tc>
        <w:tc>
          <w:tcPr>
            <w:tcW w:w="3258" w:type="dxa"/>
            <w:tcBorders>
              <w:top w:val="single" w:sz="4" w:space="0" w:color="auto"/>
              <w:left w:val="single" w:sz="4" w:space="0" w:color="auto"/>
              <w:bottom w:val="single" w:sz="4" w:space="0" w:color="auto"/>
              <w:right w:val="single" w:sz="4" w:space="0" w:color="auto"/>
            </w:tcBorders>
            <w:hideMark/>
          </w:tcPr>
          <w:p w14:paraId="5C927535" w14:textId="77777777" w:rsidR="00D03161" w:rsidRPr="00237EDC" w:rsidRDefault="00D03161" w:rsidP="00D03161">
            <w:pPr>
              <w:pStyle w:val="TAC"/>
            </w:pPr>
            <w:r w:rsidRPr="00237EDC">
              <w:t>NOTE 5</w:t>
            </w:r>
          </w:p>
        </w:tc>
        <w:tc>
          <w:tcPr>
            <w:tcW w:w="1505" w:type="dxa"/>
            <w:tcBorders>
              <w:top w:val="single" w:sz="6" w:space="0" w:color="auto"/>
              <w:left w:val="single" w:sz="4" w:space="0" w:color="auto"/>
              <w:bottom w:val="single" w:sz="6" w:space="0" w:color="auto"/>
              <w:right w:val="single" w:sz="4" w:space="0" w:color="auto"/>
            </w:tcBorders>
            <w:hideMark/>
          </w:tcPr>
          <w:p w14:paraId="79A7544B" w14:textId="77777777" w:rsidR="00D03161" w:rsidRPr="00237EDC" w:rsidRDefault="00D03161" w:rsidP="00D03161">
            <w:pPr>
              <w:pStyle w:val="TAC"/>
            </w:pPr>
            <w:r w:rsidRPr="00237EDC">
              <w:t>NOTE 5</w:t>
            </w:r>
          </w:p>
        </w:tc>
      </w:tr>
      <w:tr w:rsidR="00D03161" w:rsidRPr="00237EDC" w14:paraId="3D5A619B"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42F24675" w14:textId="77777777" w:rsidR="00D03161" w:rsidRPr="00237EDC" w:rsidRDefault="00D03161" w:rsidP="00D03161">
            <w:pPr>
              <w:pStyle w:val="TAC"/>
            </w:pPr>
            <w:r w:rsidRPr="00237EDC">
              <w:t>[7+</w:t>
            </w:r>
            <w:r w:rsidRPr="00237EDC">
              <w:sym w:font="Symbol" w:char="F064"/>
            </w:r>
            <w:r w:rsidRPr="00237EDC">
              <w:t>+</w:t>
            </w:r>
            <w:r w:rsidRPr="00237EDC">
              <w:rPr>
                <w:rFonts w:ascii="Cambria Math" w:hAnsi="Cambria Math"/>
                <w:color w:val="0070C0"/>
              </w:rPr>
              <w:t>ℇ</w:t>
            </w:r>
            <w:r w:rsidRPr="00237EDC">
              <w:t>]</w:t>
            </w:r>
          </w:p>
        </w:tc>
        <w:tc>
          <w:tcPr>
            <w:tcW w:w="851" w:type="dxa"/>
            <w:tcBorders>
              <w:top w:val="nil"/>
              <w:left w:val="single" w:sz="6" w:space="0" w:color="auto"/>
              <w:bottom w:val="nil"/>
              <w:right w:val="single" w:sz="6" w:space="0" w:color="auto"/>
            </w:tcBorders>
            <w:vAlign w:val="center"/>
          </w:tcPr>
          <w:p w14:paraId="6385DEA7" w14:textId="77777777" w:rsidR="00D03161" w:rsidRPr="00237EDC" w:rsidRDefault="00D03161" w:rsidP="00D03161">
            <w:pPr>
              <w:pStyle w:val="TAC"/>
              <w:rPr>
                <w:lang w:val="sv-SE"/>
              </w:rPr>
            </w:pPr>
          </w:p>
        </w:tc>
        <w:tc>
          <w:tcPr>
            <w:tcW w:w="1133" w:type="dxa"/>
            <w:tcBorders>
              <w:top w:val="single" w:sz="6" w:space="0" w:color="auto"/>
              <w:left w:val="single" w:sz="6" w:space="0" w:color="auto"/>
              <w:bottom w:val="nil"/>
              <w:right w:val="single" w:sz="6" w:space="0" w:color="auto"/>
            </w:tcBorders>
            <w:hideMark/>
          </w:tcPr>
          <w:p w14:paraId="21BB98F1" w14:textId="77777777" w:rsidR="00D03161" w:rsidRPr="00237EDC" w:rsidRDefault="00D03161" w:rsidP="00D03161">
            <w:pPr>
              <w:pStyle w:val="TAC"/>
            </w:pPr>
            <w:r w:rsidRPr="00237EDC">
              <w:rPr>
                <w:rFonts w:cs="Calibri"/>
              </w:rPr>
              <w:t>≥[</w:t>
            </w:r>
            <w:r w:rsidRPr="00237EDC">
              <w:t>132]</w:t>
            </w:r>
          </w:p>
        </w:tc>
        <w:tc>
          <w:tcPr>
            <w:tcW w:w="845" w:type="dxa"/>
            <w:tcBorders>
              <w:top w:val="nil"/>
              <w:left w:val="single" w:sz="6" w:space="0" w:color="auto"/>
              <w:bottom w:val="nil"/>
              <w:right w:val="single" w:sz="6" w:space="0" w:color="auto"/>
            </w:tcBorders>
          </w:tcPr>
          <w:p w14:paraId="34E71B16" w14:textId="77777777" w:rsidR="00D03161" w:rsidRPr="00237EDC" w:rsidRDefault="00D03161" w:rsidP="00D03161">
            <w:pPr>
              <w:pStyle w:val="TAC"/>
            </w:pPr>
          </w:p>
        </w:tc>
        <w:tc>
          <w:tcPr>
            <w:tcW w:w="3258" w:type="dxa"/>
            <w:tcBorders>
              <w:top w:val="single" w:sz="4" w:space="0" w:color="auto"/>
              <w:left w:val="single" w:sz="4" w:space="0" w:color="auto"/>
              <w:bottom w:val="single" w:sz="4" w:space="0" w:color="auto"/>
              <w:right w:val="single" w:sz="4" w:space="0" w:color="auto"/>
            </w:tcBorders>
            <w:hideMark/>
          </w:tcPr>
          <w:p w14:paraId="2106E40D" w14:textId="77777777" w:rsidR="00D03161" w:rsidRPr="00237EDC" w:rsidRDefault="00D03161" w:rsidP="00D03161">
            <w:pPr>
              <w:pStyle w:val="TAC"/>
            </w:pPr>
            <w:r w:rsidRPr="00237EDC">
              <w:t>NOTE 5</w:t>
            </w:r>
          </w:p>
        </w:tc>
        <w:tc>
          <w:tcPr>
            <w:tcW w:w="1505" w:type="dxa"/>
            <w:tcBorders>
              <w:top w:val="single" w:sz="6" w:space="0" w:color="auto"/>
              <w:left w:val="single" w:sz="4" w:space="0" w:color="auto"/>
              <w:bottom w:val="single" w:sz="6" w:space="0" w:color="auto"/>
              <w:right w:val="single" w:sz="4" w:space="0" w:color="auto"/>
            </w:tcBorders>
            <w:hideMark/>
          </w:tcPr>
          <w:p w14:paraId="20677E06" w14:textId="77777777" w:rsidR="00D03161" w:rsidRPr="00237EDC" w:rsidRDefault="00D03161" w:rsidP="00D03161">
            <w:pPr>
              <w:pStyle w:val="TAC"/>
            </w:pPr>
            <w:r w:rsidRPr="00237EDC">
              <w:t>NOTE 5</w:t>
            </w:r>
          </w:p>
        </w:tc>
      </w:tr>
      <w:tr w:rsidR="00D03161" w:rsidRPr="00237EDC" w14:paraId="21766E31"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4F5F3E57" w14:textId="77777777" w:rsidR="00D03161" w:rsidRPr="00237EDC" w:rsidRDefault="00D03161" w:rsidP="00D03161">
            <w:pPr>
              <w:pStyle w:val="TAC"/>
            </w:pPr>
            <w:r w:rsidRPr="00237EDC">
              <w:t>[1</w:t>
            </w:r>
            <w:r>
              <w:t>5</w:t>
            </w:r>
            <w:r w:rsidRPr="00237EDC">
              <w:t>+</w:t>
            </w:r>
            <w:r w:rsidRPr="00237EDC">
              <w:sym w:font="Symbol" w:char="F064"/>
            </w:r>
            <w:r w:rsidRPr="00237EDC">
              <w:t>+</w:t>
            </w:r>
            <w:r w:rsidRPr="00237EDC">
              <w:rPr>
                <w:rFonts w:ascii="Cambria Math" w:hAnsi="Cambria Math"/>
                <w:color w:val="0070C0"/>
              </w:rPr>
              <w:t>ℇ</w:t>
            </w:r>
            <w:r w:rsidRPr="00237EDC">
              <w:t>]</w:t>
            </w:r>
          </w:p>
        </w:tc>
        <w:tc>
          <w:tcPr>
            <w:tcW w:w="851" w:type="dxa"/>
            <w:tcBorders>
              <w:top w:val="nil"/>
              <w:left w:val="single" w:sz="6" w:space="0" w:color="auto"/>
              <w:bottom w:val="nil"/>
              <w:right w:val="single" w:sz="6" w:space="0" w:color="auto"/>
            </w:tcBorders>
            <w:vAlign w:val="center"/>
            <w:hideMark/>
          </w:tcPr>
          <w:p w14:paraId="13E770F1" w14:textId="77777777" w:rsidR="00D03161" w:rsidRPr="00237EDC" w:rsidRDefault="00D03161" w:rsidP="00D03161">
            <w:pPr>
              <w:pStyle w:val="TAC"/>
              <w:rPr>
                <w:lang w:val="sv-SE"/>
              </w:rPr>
            </w:pPr>
          </w:p>
        </w:tc>
        <w:tc>
          <w:tcPr>
            <w:tcW w:w="1133" w:type="dxa"/>
            <w:tcBorders>
              <w:top w:val="single" w:sz="6" w:space="0" w:color="auto"/>
              <w:left w:val="single" w:sz="6" w:space="0" w:color="auto"/>
              <w:bottom w:val="nil"/>
              <w:right w:val="single" w:sz="6" w:space="0" w:color="auto"/>
            </w:tcBorders>
            <w:hideMark/>
          </w:tcPr>
          <w:p w14:paraId="30E47F28" w14:textId="77777777" w:rsidR="00D03161" w:rsidRPr="00237EDC" w:rsidRDefault="00D03161" w:rsidP="00D03161">
            <w:pPr>
              <w:pStyle w:val="TAC"/>
            </w:pPr>
            <w:r w:rsidRPr="00237EDC">
              <w:rPr>
                <w:rFonts w:cs="Calibri"/>
              </w:rPr>
              <w:t>≥[</w:t>
            </w:r>
            <w:r w:rsidRPr="00237EDC">
              <w:t>32]</w:t>
            </w:r>
          </w:p>
        </w:tc>
        <w:tc>
          <w:tcPr>
            <w:tcW w:w="845" w:type="dxa"/>
            <w:tcBorders>
              <w:top w:val="single" w:sz="6" w:space="0" w:color="auto"/>
              <w:left w:val="single" w:sz="6" w:space="0" w:color="auto"/>
              <w:bottom w:val="nil"/>
              <w:right w:val="single" w:sz="6" w:space="0" w:color="auto"/>
            </w:tcBorders>
            <w:hideMark/>
          </w:tcPr>
          <w:p w14:paraId="48EEDE73" w14:textId="77777777" w:rsidR="00D03161" w:rsidRPr="00237EDC" w:rsidRDefault="00D03161" w:rsidP="00D03161">
            <w:pPr>
              <w:pStyle w:val="TAC"/>
            </w:pPr>
            <w:r w:rsidRPr="00237EDC">
              <w:t>120</w:t>
            </w:r>
          </w:p>
        </w:tc>
        <w:tc>
          <w:tcPr>
            <w:tcW w:w="3258" w:type="dxa"/>
            <w:tcBorders>
              <w:top w:val="single" w:sz="4" w:space="0" w:color="auto"/>
              <w:left w:val="single" w:sz="4" w:space="0" w:color="auto"/>
              <w:bottom w:val="single" w:sz="4" w:space="0" w:color="auto"/>
              <w:right w:val="single" w:sz="4" w:space="0" w:color="auto"/>
            </w:tcBorders>
            <w:vAlign w:val="center"/>
            <w:hideMark/>
          </w:tcPr>
          <w:p w14:paraId="0ED8AF1B" w14:textId="77777777" w:rsidR="00D03161" w:rsidRPr="00237EDC" w:rsidRDefault="00D03161" w:rsidP="00D03161">
            <w:pPr>
              <w:pStyle w:val="TAC"/>
            </w:pPr>
            <w:r w:rsidRPr="00237EDC">
              <w:t>Same value as PRP in Table B.2.14-2, according to UE Power class, operating band and angle of arrival</w:t>
            </w:r>
          </w:p>
        </w:tc>
        <w:tc>
          <w:tcPr>
            <w:tcW w:w="1505" w:type="dxa"/>
            <w:tcBorders>
              <w:top w:val="single" w:sz="6" w:space="0" w:color="auto"/>
              <w:left w:val="single" w:sz="4" w:space="0" w:color="auto"/>
              <w:bottom w:val="single" w:sz="6" w:space="0" w:color="auto"/>
              <w:right w:val="single" w:sz="4" w:space="0" w:color="auto"/>
            </w:tcBorders>
            <w:hideMark/>
          </w:tcPr>
          <w:p w14:paraId="29C263AB" w14:textId="77777777" w:rsidR="00D03161" w:rsidRPr="00237EDC" w:rsidRDefault="00D03161" w:rsidP="00D03161">
            <w:pPr>
              <w:pStyle w:val="TAC"/>
            </w:pPr>
            <w:r w:rsidRPr="00237EDC">
              <w:t>-50</w:t>
            </w:r>
          </w:p>
        </w:tc>
      </w:tr>
      <w:tr w:rsidR="00D03161" w:rsidRPr="00237EDC" w14:paraId="2D3F5D6F"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576E03D3" w14:textId="77777777" w:rsidR="00D03161" w:rsidRPr="00237EDC" w:rsidRDefault="00D03161" w:rsidP="00D03161">
            <w:pPr>
              <w:pStyle w:val="TAC"/>
            </w:pPr>
            <w:r w:rsidRPr="00237EDC">
              <w:t>[</w:t>
            </w:r>
            <w:r>
              <w:t>7</w:t>
            </w:r>
            <w:r w:rsidRPr="00237EDC">
              <w:t>+</w:t>
            </w:r>
            <w:r w:rsidRPr="00237EDC">
              <w:sym w:font="Symbol" w:char="F064"/>
            </w:r>
            <w:r w:rsidRPr="00237EDC">
              <w:t>+</w:t>
            </w:r>
            <w:r w:rsidRPr="00237EDC">
              <w:rPr>
                <w:rFonts w:ascii="Cambria Math" w:hAnsi="Cambria Math"/>
                <w:color w:val="0070C0"/>
              </w:rPr>
              <w:t>ℇ</w:t>
            </w:r>
            <w:r w:rsidRPr="00237EDC">
              <w:t>]</w:t>
            </w:r>
          </w:p>
        </w:tc>
        <w:tc>
          <w:tcPr>
            <w:tcW w:w="851" w:type="dxa"/>
            <w:tcBorders>
              <w:top w:val="nil"/>
              <w:left w:val="single" w:sz="6" w:space="0" w:color="auto"/>
              <w:bottom w:val="nil"/>
              <w:right w:val="single" w:sz="6" w:space="0" w:color="auto"/>
            </w:tcBorders>
            <w:vAlign w:val="center"/>
          </w:tcPr>
          <w:p w14:paraId="32958E12" w14:textId="77777777" w:rsidR="00D03161" w:rsidRPr="00237EDC" w:rsidRDefault="00D03161" w:rsidP="00D03161">
            <w:pPr>
              <w:pStyle w:val="TAC"/>
              <w:rPr>
                <w:lang w:val="sv-SE"/>
              </w:rPr>
            </w:pPr>
          </w:p>
        </w:tc>
        <w:tc>
          <w:tcPr>
            <w:tcW w:w="1133" w:type="dxa"/>
            <w:tcBorders>
              <w:top w:val="single" w:sz="6" w:space="0" w:color="auto"/>
              <w:left w:val="single" w:sz="6" w:space="0" w:color="auto"/>
              <w:bottom w:val="nil"/>
              <w:right w:val="single" w:sz="6" w:space="0" w:color="auto"/>
            </w:tcBorders>
            <w:hideMark/>
          </w:tcPr>
          <w:p w14:paraId="2E7808E7" w14:textId="77777777" w:rsidR="00D03161" w:rsidRPr="00237EDC" w:rsidRDefault="00D03161" w:rsidP="00D03161">
            <w:pPr>
              <w:pStyle w:val="TAC"/>
            </w:pPr>
            <w:r w:rsidRPr="00237EDC">
              <w:rPr>
                <w:rFonts w:cs="Calibri"/>
              </w:rPr>
              <w:t>≥[</w:t>
            </w:r>
            <w:r w:rsidRPr="00237EDC">
              <w:t>64]</w:t>
            </w:r>
          </w:p>
        </w:tc>
        <w:tc>
          <w:tcPr>
            <w:tcW w:w="845" w:type="dxa"/>
            <w:tcBorders>
              <w:top w:val="nil"/>
              <w:left w:val="single" w:sz="6" w:space="0" w:color="auto"/>
              <w:bottom w:val="nil"/>
              <w:right w:val="single" w:sz="6" w:space="0" w:color="auto"/>
            </w:tcBorders>
          </w:tcPr>
          <w:p w14:paraId="4DFA60E1" w14:textId="77777777" w:rsidR="00D03161" w:rsidRPr="00237EDC" w:rsidRDefault="00D03161" w:rsidP="00D03161">
            <w:pPr>
              <w:pStyle w:val="TAC"/>
            </w:pPr>
          </w:p>
        </w:tc>
        <w:tc>
          <w:tcPr>
            <w:tcW w:w="3258" w:type="dxa"/>
            <w:tcBorders>
              <w:top w:val="single" w:sz="4" w:space="0" w:color="auto"/>
              <w:left w:val="single" w:sz="4" w:space="0" w:color="auto"/>
              <w:bottom w:val="single" w:sz="4" w:space="0" w:color="auto"/>
              <w:right w:val="single" w:sz="4" w:space="0" w:color="auto"/>
            </w:tcBorders>
            <w:hideMark/>
          </w:tcPr>
          <w:p w14:paraId="19638536" w14:textId="77777777" w:rsidR="00D03161" w:rsidRPr="00237EDC" w:rsidRDefault="00D03161" w:rsidP="00D03161">
            <w:pPr>
              <w:pStyle w:val="TAC"/>
            </w:pPr>
            <w:r w:rsidRPr="00237EDC">
              <w:t>NOTE 5</w:t>
            </w:r>
          </w:p>
        </w:tc>
        <w:tc>
          <w:tcPr>
            <w:tcW w:w="1505" w:type="dxa"/>
            <w:tcBorders>
              <w:top w:val="single" w:sz="6" w:space="0" w:color="auto"/>
              <w:left w:val="single" w:sz="4" w:space="0" w:color="auto"/>
              <w:bottom w:val="single" w:sz="6" w:space="0" w:color="auto"/>
              <w:right w:val="single" w:sz="4" w:space="0" w:color="auto"/>
            </w:tcBorders>
            <w:hideMark/>
          </w:tcPr>
          <w:p w14:paraId="19FA2A8F" w14:textId="77777777" w:rsidR="00D03161" w:rsidRPr="00237EDC" w:rsidRDefault="00D03161" w:rsidP="00D03161">
            <w:pPr>
              <w:pStyle w:val="TAC"/>
            </w:pPr>
            <w:r w:rsidRPr="00237EDC">
              <w:t>NOTE 5</w:t>
            </w:r>
          </w:p>
        </w:tc>
      </w:tr>
      <w:tr w:rsidR="00D03161" w:rsidRPr="00237EDC" w14:paraId="1B7DC24E"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72F0289D" w14:textId="77777777" w:rsidR="00D03161" w:rsidRPr="00237EDC" w:rsidRDefault="00D03161" w:rsidP="00D03161">
            <w:pPr>
              <w:pStyle w:val="TAC"/>
            </w:pPr>
            <w:r w:rsidRPr="00237EDC">
              <w:t>[</w:t>
            </w:r>
            <w:r>
              <w:t>4</w:t>
            </w:r>
            <w:r w:rsidRPr="00237EDC">
              <w:t>+</w:t>
            </w:r>
            <w:r w:rsidRPr="00237EDC">
              <w:sym w:font="Symbol" w:char="F064"/>
            </w:r>
            <w:r w:rsidRPr="00237EDC">
              <w:t>+</w:t>
            </w:r>
            <w:r w:rsidRPr="00237EDC">
              <w:rPr>
                <w:rFonts w:ascii="Cambria Math" w:hAnsi="Cambria Math"/>
                <w:color w:val="0070C0"/>
              </w:rPr>
              <w:t>ℇ</w:t>
            </w:r>
            <w:r w:rsidRPr="00237EDC">
              <w:t>]</w:t>
            </w:r>
          </w:p>
        </w:tc>
        <w:tc>
          <w:tcPr>
            <w:tcW w:w="851" w:type="dxa"/>
            <w:tcBorders>
              <w:top w:val="nil"/>
              <w:left w:val="single" w:sz="6" w:space="0" w:color="auto"/>
              <w:bottom w:val="nil"/>
              <w:right w:val="single" w:sz="6" w:space="0" w:color="auto"/>
            </w:tcBorders>
            <w:vAlign w:val="center"/>
          </w:tcPr>
          <w:p w14:paraId="0252FF35" w14:textId="77777777" w:rsidR="00D03161" w:rsidRPr="00237EDC" w:rsidRDefault="00D03161" w:rsidP="00D03161">
            <w:pPr>
              <w:pStyle w:val="TAC"/>
              <w:rPr>
                <w:lang w:val="sv-SE"/>
              </w:rPr>
            </w:pPr>
          </w:p>
        </w:tc>
        <w:tc>
          <w:tcPr>
            <w:tcW w:w="1133" w:type="dxa"/>
            <w:tcBorders>
              <w:top w:val="single" w:sz="6" w:space="0" w:color="auto"/>
              <w:left w:val="single" w:sz="6" w:space="0" w:color="auto"/>
              <w:bottom w:val="nil"/>
              <w:right w:val="single" w:sz="6" w:space="0" w:color="auto"/>
            </w:tcBorders>
            <w:hideMark/>
          </w:tcPr>
          <w:p w14:paraId="45154495" w14:textId="77777777" w:rsidR="00D03161" w:rsidRPr="00237EDC" w:rsidRDefault="00D03161" w:rsidP="00D03161">
            <w:pPr>
              <w:pStyle w:val="TAC"/>
            </w:pPr>
            <w:r w:rsidRPr="00237EDC">
              <w:rPr>
                <w:rFonts w:cs="Calibri"/>
              </w:rPr>
              <w:t>≥[</w:t>
            </w:r>
            <w:r w:rsidRPr="00237EDC">
              <w:t>128]</w:t>
            </w:r>
          </w:p>
        </w:tc>
        <w:tc>
          <w:tcPr>
            <w:tcW w:w="845" w:type="dxa"/>
            <w:tcBorders>
              <w:top w:val="nil"/>
              <w:left w:val="single" w:sz="6" w:space="0" w:color="auto"/>
              <w:bottom w:val="nil"/>
              <w:right w:val="single" w:sz="6" w:space="0" w:color="auto"/>
            </w:tcBorders>
          </w:tcPr>
          <w:p w14:paraId="5BF4E80A" w14:textId="77777777" w:rsidR="00D03161" w:rsidRPr="00237EDC" w:rsidRDefault="00D03161" w:rsidP="00D03161">
            <w:pPr>
              <w:pStyle w:val="TAC"/>
            </w:pPr>
          </w:p>
        </w:tc>
        <w:tc>
          <w:tcPr>
            <w:tcW w:w="3258" w:type="dxa"/>
            <w:tcBorders>
              <w:top w:val="single" w:sz="4" w:space="0" w:color="auto"/>
              <w:left w:val="single" w:sz="4" w:space="0" w:color="auto"/>
              <w:bottom w:val="single" w:sz="4" w:space="0" w:color="auto"/>
              <w:right w:val="single" w:sz="4" w:space="0" w:color="auto"/>
            </w:tcBorders>
            <w:hideMark/>
          </w:tcPr>
          <w:p w14:paraId="5D76A54B" w14:textId="77777777" w:rsidR="00D03161" w:rsidRPr="00237EDC" w:rsidRDefault="00D03161" w:rsidP="00D03161">
            <w:pPr>
              <w:pStyle w:val="TAC"/>
            </w:pPr>
            <w:r w:rsidRPr="00237EDC">
              <w:t>NOTE 5</w:t>
            </w:r>
          </w:p>
        </w:tc>
        <w:tc>
          <w:tcPr>
            <w:tcW w:w="1505" w:type="dxa"/>
            <w:tcBorders>
              <w:top w:val="single" w:sz="6" w:space="0" w:color="auto"/>
              <w:left w:val="single" w:sz="4" w:space="0" w:color="auto"/>
              <w:bottom w:val="single" w:sz="6" w:space="0" w:color="auto"/>
              <w:right w:val="single" w:sz="4" w:space="0" w:color="auto"/>
            </w:tcBorders>
            <w:hideMark/>
          </w:tcPr>
          <w:p w14:paraId="2BB00A09" w14:textId="77777777" w:rsidR="00D03161" w:rsidRPr="00237EDC" w:rsidRDefault="00D03161" w:rsidP="00D03161">
            <w:pPr>
              <w:pStyle w:val="TAC"/>
            </w:pPr>
            <w:r w:rsidRPr="00237EDC">
              <w:t>NOTE 5</w:t>
            </w:r>
          </w:p>
        </w:tc>
      </w:tr>
      <w:tr w:rsidR="00D03161" w:rsidRPr="00237EDC" w14:paraId="7BA41BDA" w14:textId="77777777" w:rsidTr="005F054A">
        <w:trPr>
          <w:jc w:val="center"/>
        </w:trPr>
        <w:tc>
          <w:tcPr>
            <w:tcW w:w="8725" w:type="dxa"/>
            <w:gridSpan w:val="6"/>
            <w:tcBorders>
              <w:top w:val="single" w:sz="6" w:space="0" w:color="auto"/>
              <w:left w:val="single" w:sz="4" w:space="0" w:color="auto"/>
              <w:bottom w:val="single" w:sz="4" w:space="0" w:color="auto"/>
              <w:right w:val="single" w:sz="4" w:space="0" w:color="auto"/>
            </w:tcBorders>
            <w:hideMark/>
          </w:tcPr>
          <w:p w14:paraId="4293E54E" w14:textId="77777777" w:rsidR="00D03161" w:rsidRPr="00237EDC" w:rsidRDefault="00D03161" w:rsidP="00D03161">
            <w:pPr>
              <w:pStyle w:val="TAN"/>
            </w:pPr>
            <w:r w:rsidRPr="00237EDC">
              <w:t>NOTE 1:</w:t>
            </w:r>
            <w:r w:rsidRPr="00237EDC">
              <w:tab/>
              <w:t>This minimum Io condition is expressed as the average Io per RE over all REs in an OFDM symbol.</w:t>
            </w:r>
          </w:p>
          <w:p w14:paraId="3ED0B94D" w14:textId="77777777" w:rsidR="00D03161" w:rsidRPr="00237EDC" w:rsidRDefault="00D03161" w:rsidP="00D03161">
            <w:pPr>
              <w:pStyle w:val="TAN"/>
            </w:pPr>
            <w:r w:rsidRPr="00237EDC">
              <w:t>NOTE 2:</w:t>
            </w:r>
            <w:r w:rsidRPr="00237EDC">
              <w:tab/>
              <w:t>NR operating band groups are as defined in Section 3.5.</w:t>
            </w:r>
          </w:p>
          <w:p w14:paraId="6861A240" w14:textId="77777777" w:rsidR="00D03161" w:rsidRPr="00237EDC" w:rsidRDefault="00D03161" w:rsidP="00D03161">
            <w:pPr>
              <w:pStyle w:val="TAN"/>
            </w:pPr>
            <w:r w:rsidRPr="00237EDC">
              <w:t>NOTE 3:</w:t>
            </w:r>
            <w:r w:rsidRPr="00237EDC">
              <w:tab/>
              <w:t>The Io is defined in TRS slots. The same Io range applies to TRS and non-TRS symbols. Io levels are different in TRS and non-TRS symbols within the same slot.</w:t>
            </w:r>
          </w:p>
          <w:p w14:paraId="049A64F1" w14:textId="77777777" w:rsidR="00D03161" w:rsidRPr="00237EDC" w:rsidRDefault="00D03161" w:rsidP="00D03161">
            <w:pPr>
              <w:pStyle w:val="TAN"/>
            </w:pPr>
            <w:r w:rsidRPr="00237EDC">
              <w:t>NOTE 4:</w:t>
            </w:r>
            <w:r w:rsidRPr="00237EDC">
              <w:tab/>
              <w:t>Tc is the basic timing unit defined in TS 38.211 [6].</w:t>
            </w:r>
          </w:p>
          <w:p w14:paraId="321F3669" w14:textId="77777777" w:rsidR="00D03161" w:rsidRPr="00237EDC" w:rsidRDefault="00D03161" w:rsidP="00D03161">
            <w:pPr>
              <w:pStyle w:val="TAN"/>
              <w:rPr>
                <w:rFonts w:eastAsia="SimSun"/>
              </w:rPr>
            </w:pPr>
            <w:r w:rsidRPr="00237EDC">
              <w:rPr>
                <w:rFonts w:eastAsia="SimSun"/>
              </w:rPr>
              <w:t>NOTE 5:</w:t>
            </w:r>
            <w:r w:rsidRPr="00237EDC">
              <w:rPr>
                <w:rFonts w:eastAsia="SimSun"/>
              </w:rPr>
              <w:tab/>
              <w:t>The same bands and the same Io conditions for each band apply for this requirement as for the corresponding requirement with the TRS bandwidth of the smallest RB number for the corresponding SCS.</w:t>
            </w:r>
          </w:p>
          <w:p w14:paraId="72773135" w14:textId="72AAF104" w:rsidR="00D03161" w:rsidRPr="00237EDC" w:rsidRDefault="00D03161" w:rsidP="00D03161">
            <w:pPr>
              <w:pStyle w:val="TAN"/>
              <w:rPr>
                <w:rFonts w:eastAsia="SimSun" w:cs="Arial"/>
                <w:szCs w:val="18"/>
                <w:lang w:eastAsia="ko-KR"/>
              </w:rPr>
            </w:pPr>
            <w:r w:rsidRPr="00237EDC">
              <w:rPr>
                <w:rFonts w:eastAsia="SimSun"/>
                <w:lang w:eastAsia="ko-KR"/>
              </w:rPr>
              <w:t xml:space="preserve">NOTE 6: </w:t>
            </w:r>
            <w:r w:rsidRPr="00237EDC">
              <w:rPr>
                <w:rFonts w:eastAsia="SimSun"/>
                <w:lang w:eastAsia="ko-KR"/>
              </w:rPr>
              <w:tab/>
            </w:r>
            <w:r w:rsidRPr="00237EDC">
              <w:rPr>
                <w:rFonts w:eastAsia="SimSun" w:cs="Arial"/>
                <w:szCs w:val="18"/>
                <w:lang w:eastAsia="ko-KR"/>
              </w:rPr>
              <w:sym w:font="Symbol" w:char="F064"/>
            </w:r>
            <w:r w:rsidRPr="00237EDC">
              <w:rPr>
                <w:rFonts w:eastAsia="SimSun" w:cs="Arial"/>
                <w:szCs w:val="18"/>
                <w:lang w:eastAsia="ko-KR"/>
              </w:rPr>
              <w:t xml:space="preserve"> is the margin determined from Table 10.1.</w:t>
            </w:r>
            <w:r>
              <w:rPr>
                <w:rFonts w:eastAsia="SimSun" w:cs="Arial"/>
                <w:szCs w:val="18"/>
                <w:lang w:eastAsia="ko-KR"/>
              </w:rPr>
              <w:t>39</w:t>
            </w:r>
            <w:r w:rsidRPr="00237EDC">
              <w:rPr>
                <w:rFonts w:eastAsia="SimSun" w:cs="Arial"/>
                <w:szCs w:val="18"/>
                <w:lang w:eastAsia="ko-KR"/>
              </w:rPr>
              <w:t>.</w:t>
            </w:r>
            <w:r>
              <w:rPr>
                <w:rFonts w:eastAsia="SimSun" w:cs="Arial"/>
                <w:szCs w:val="18"/>
                <w:lang w:eastAsia="ko-KR"/>
              </w:rPr>
              <w:t>3</w:t>
            </w:r>
            <w:r w:rsidRPr="00237EDC">
              <w:rPr>
                <w:rFonts w:eastAsia="SimSun" w:cs="Arial"/>
                <w:szCs w:val="18"/>
                <w:lang w:eastAsia="ko-KR"/>
              </w:rPr>
              <w:t>-4.</w:t>
            </w:r>
          </w:p>
          <w:p w14:paraId="61A7C101" w14:textId="04B36EB6" w:rsidR="00D03161" w:rsidRPr="00237EDC" w:rsidRDefault="00D03161" w:rsidP="00D03161">
            <w:pPr>
              <w:pStyle w:val="TAN"/>
            </w:pPr>
            <w:r w:rsidRPr="00237EDC">
              <w:rPr>
                <w:rFonts w:eastAsia="SimSun" w:cs="Arial"/>
                <w:szCs w:val="18"/>
                <w:lang w:eastAsia="ko-KR"/>
              </w:rPr>
              <w:t xml:space="preserve">NOTE 7: </w:t>
            </w:r>
            <w:r w:rsidRPr="00237EDC">
              <w:rPr>
                <w:rFonts w:eastAsia="SimSun" w:cs="Arial"/>
                <w:szCs w:val="18"/>
                <w:lang w:eastAsia="ko-KR"/>
              </w:rPr>
              <w:tab/>
            </w:r>
            <w:r w:rsidRPr="00237EDC">
              <w:rPr>
                <w:rFonts w:ascii="Cambria Math" w:eastAsia="SimSun" w:hAnsi="Cambria Math" w:cs="Cambria Math"/>
                <w:szCs w:val="18"/>
                <w:lang w:eastAsia="ko-KR"/>
              </w:rPr>
              <w:t>ℇ</w:t>
            </w:r>
            <w:r w:rsidRPr="00237EDC">
              <w:rPr>
                <w:rFonts w:eastAsia="SimSun" w:cs="Arial"/>
                <w:szCs w:val="18"/>
                <w:lang w:eastAsia="ko-KR"/>
              </w:rPr>
              <w:t xml:space="preserve"> is the margin for reporting quantitization error and </w:t>
            </w:r>
            <w:r w:rsidRPr="00237EDC">
              <w:rPr>
                <w:rFonts w:ascii="Cambria Math" w:eastAsia="SimSun" w:hAnsi="Cambria Math" w:cs="Cambria Math"/>
                <w:szCs w:val="18"/>
                <w:lang w:eastAsia="ko-KR"/>
              </w:rPr>
              <w:t>ℇ</w:t>
            </w:r>
            <w:r w:rsidRPr="00237EDC">
              <w:rPr>
                <w:rFonts w:eastAsia="SimSun" w:cs="Arial"/>
                <w:szCs w:val="18"/>
                <w:lang w:eastAsia="ko-KR"/>
              </w:rPr>
              <w:t>=16 Tc.</w:t>
            </w:r>
          </w:p>
        </w:tc>
      </w:tr>
    </w:tbl>
    <w:p w14:paraId="61CD67E3" w14:textId="77777777" w:rsidR="00D03161" w:rsidRPr="00237EDC" w:rsidRDefault="00D03161" w:rsidP="00D03161"/>
    <w:p w14:paraId="20176CAC" w14:textId="77777777" w:rsidR="00D03161" w:rsidRPr="00237EDC" w:rsidRDefault="00D03161" w:rsidP="00D03161">
      <w:pPr>
        <w:pStyle w:val="TH"/>
        <w:rPr>
          <w:rFonts w:eastAsia="SimSun"/>
          <w:lang w:eastAsia="sv-SE"/>
        </w:rPr>
      </w:pPr>
      <w:r w:rsidRPr="00237EDC">
        <w:rPr>
          <w:lang w:val="en-US"/>
        </w:rPr>
        <w:t>Table 10.1.</w:t>
      </w:r>
      <w:r>
        <w:rPr>
          <w:lang w:val="en-US"/>
        </w:rPr>
        <w:t>39</w:t>
      </w:r>
      <w:r w:rsidRPr="00237EDC">
        <w:rPr>
          <w:lang w:val="en-US"/>
        </w:rPr>
        <w:t>.</w:t>
      </w:r>
      <w:r>
        <w:rPr>
          <w:lang w:val="en-US"/>
        </w:rPr>
        <w:t>3</w:t>
      </w:r>
      <w:r w:rsidRPr="00237EDC">
        <w:rPr>
          <w:lang w:val="en-US"/>
        </w:rPr>
        <w:t>-3: Margin for UE Rx-Tx time difference measurement accuracy in FR1</w:t>
      </w:r>
    </w:p>
    <w:tbl>
      <w:tblPr>
        <w:tblStyle w:val="TableGrid61"/>
        <w:tblW w:w="0" w:type="auto"/>
        <w:jc w:val="center"/>
        <w:tblInd w:w="0" w:type="dxa"/>
        <w:tblLook w:val="04A0" w:firstRow="1" w:lastRow="0" w:firstColumn="1" w:lastColumn="0" w:noHBand="0" w:noVBand="1"/>
      </w:tblPr>
      <w:tblGrid>
        <w:gridCol w:w="1470"/>
        <w:gridCol w:w="1470"/>
        <w:gridCol w:w="1470"/>
        <w:gridCol w:w="1800"/>
      </w:tblGrid>
      <w:tr w:rsidR="00D03161" w:rsidRPr="00237EDC" w14:paraId="4FE479D4" w14:textId="77777777" w:rsidTr="005F054A">
        <w:trPr>
          <w:trHeight w:val="263"/>
          <w:jc w:val="center"/>
        </w:trPr>
        <w:tc>
          <w:tcPr>
            <w:tcW w:w="4410" w:type="dxa"/>
            <w:gridSpan w:val="3"/>
            <w:tcBorders>
              <w:top w:val="single" w:sz="4" w:space="0" w:color="auto"/>
              <w:left w:val="single" w:sz="4" w:space="0" w:color="auto"/>
              <w:bottom w:val="single" w:sz="4" w:space="0" w:color="auto"/>
              <w:right w:val="single" w:sz="4" w:space="0" w:color="auto"/>
            </w:tcBorders>
            <w:vAlign w:val="center"/>
            <w:hideMark/>
          </w:tcPr>
          <w:p w14:paraId="3DB0C9F7" w14:textId="77777777" w:rsidR="00D03161" w:rsidRPr="00237EDC" w:rsidRDefault="00D03161" w:rsidP="00D03161">
            <w:pPr>
              <w:pStyle w:val="TAH"/>
              <w:rPr>
                <w:rFonts w:eastAsiaTheme="minorEastAsia"/>
                <w:lang w:val="da-DK" w:eastAsia="zh-CN"/>
              </w:rPr>
            </w:pPr>
            <w:r w:rsidRPr="00237EDC">
              <w:rPr>
                <w:lang w:val="da-DK"/>
              </w:rPr>
              <w:t>Min(</w:t>
            </w:r>
            <w:r>
              <w:rPr>
                <w:lang w:val="da-DK"/>
              </w:rPr>
              <w:t>T</w:t>
            </w:r>
            <w:r w:rsidRPr="00237EDC">
              <w:rPr>
                <w:lang w:val="da-DK"/>
              </w:rPr>
              <w:t>RS BW, SRS BW) (RB)</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4240ED82" w14:textId="77777777" w:rsidR="00D03161" w:rsidRPr="00237EDC" w:rsidRDefault="00D03161" w:rsidP="00D03161">
            <w:pPr>
              <w:pStyle w:val="TAH"/>
              <w:rPr>
                <w:rFonts w:eastAsia="Yu Mincho"/>
                <w:bCs/>
              </w:rPr>
            </w:pPr>
            <w:r w:rsidRPr="00237EDC">
              <w:rPr>
                <w:rFonts w:eastAsia="Yu Mincho"/>
                <w:bCs/>
                <w:kern w:val="24"/>
              </w:rPr>
              <w:t>Margin (Tc</w:t>
            </w:r>
            <w:r w:rsidRPr="00237EDC">
              <w:rPr>
                <w:rFonts w:eastAsia="SimSun"/>
                <w:vertAlign w:val="superscript"/>
                <w:lang w:eastAsia="zh-CN"/>
              </w:rPr>
              <w:t xml:space="preserve"> Note 1</w:t>
            </w:r>
            <w:r w:rsidRPr="00237EDC">
              <w:rPr>
                <w:rFonts w:eastAsia="Yu Mincho"/>
                <w:bCs/>
                <w:kern w:val="24"/>
              </w:rPr>
              <w:t>)</w:t>
            </w:r>
          </w:p>
        </w:tc>
      </w:tr>
      <w:tr w:rsidR="00D03161" w:rsidRPr="00237EDC" w14:paraId="1BEF5F0E" w14:textId="77777777" w:rsidTr="005F054A">
        <w:trPr>
          <w:trHeight w:val="262"/>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0B229F8C" w14:textId="77777777" w:rsidR="00D03161" w:rsidRPr="00237EDC" w:rsidRDefault="00D03161" w:rsidP="00D03161">
            <w:pPr>
              <w:pStyle w:val="TAH"/>
            </w:pPr>
            <w:r w:rsidRPr="00237EDC">
              <w:t>SCS = 15 kHz</w:t>
            </w:r>
          </w:p>
        </w:tc>
        <w:tc>
          <w:tcPr>
            <w:tcW w:w="1470" w:type="dxa"/>
            <w:tcBorders>
              <w:top w:val="single" w:sz="4" w:space="0" w:color="auto"/>
              <w:left w:val="single" w:sz="4" w:space="0" w:color="auto"/>
              <w:bottom w:val="single" w:sz="4" w:space="0" w:color="auto"/>
              <w:right w:val="single" w:sz="4" w:space="0" w:color="auto"/>
            </w:tcBorders>
            <w:vAlign w:val="center"/>
            <w:hideMark/>
          </w:tcPr>
          <w:p w14:paraId="4A4F760E" w14:textId="77777777" w:rsidR="00D03161" w:rsidRPr="00237EDC" w:rsidRDefault="00D03161" w:rsidP="00D03161">
            <w:pPr>
              <w:pStyle w:val="TAH"/>
            </w:pPr>
            <w:r w:rsidRPr="00237EDC">
              <w:t>SCS = 30 kHz</w:t>
            </w:r>
          </w:p>
        </w:tc>
        <w:tc>
          <w:tcPr>
            <w:tcW w:w="1470" w:type="dxa"/>
            <w:tcBorders>
              <w:top w:val="single" w:sz="4" w:space="0" w:color="auto"/>
              <w:left w:val="single" w:sz="4" w:space="0" w:color="auto"/>
              <w:bottom w:val="single" w:sz="4" w:space="0" w:color="auto"/>
              <w:right w:val="single" w:sz="4" w:space="0" w:color="auto"/>
            </w:tcBorders>
            <w:vAlign w:val="center"/>
            <w:hideMark/>
          </w:tcPr>
          <w:p w14:paraId="6570D9C4" w14:textId="77777777" w:rsidR="00D03161" w:rsidRPr="00237EDC" w:rsidRDefault="00D03161" w:rsidP="00D03161">
            <w:pPr>
              <w:pStyle w:val="TAH"/>
            </w:pPr>
            <w:r w:rsidRPr="00237EDC">
              <w:t>SCS = 60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5F1683" w14:textId="77777777" w:rsidR="00D03161" w:rsidRPr="00237EDC" w:rsidRDefault="00D03161" w:rsidP="005F054A">
            <w:pPr>
              <w:spacing w:after="0"/>
              <w:rPr>
                <w:rFonts w:eastAsia="Yu Mincho"/>
                <w:b/>
                <w:bCs/>
              </w:rPr>
            </w:pPr>
          </w:p>
        </w:tc>
      </w:tr>
      <w:tr w:rsidR="00D03161" w:rsidRPr="00237EDC" w14:paraId="016428C7"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491E7028" w14:textId="77777777" w:rsidR="00D03161" w:rsidRPr="00237EDC" w:rsidRDefault="00D03161" w:rsidP="00D03161">
            <w:pPr>
              <w:pStyle w:val="TAC"/>
              <w:rPr>
                <w:rFonts w:eastAsia="Yu Mincho"/>
                <w:b/>
                <w:bCs/>
              </w:rPr>
            </w:pPr>
            <w:r w:rsidRPr="00237EDC">
              <w:rPr>
                <w:rFonts w:eastAsia="Microsoft Sans Serif"/>
              </w:rPr>
              <w:t>≥ 24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2FC180BB" w14:textId="77777777" w:rsidR="00D03161" w:rsidRPr="00237EDC" w:rsidRDefault="00D03161" w:rsidP="00D03161">
            <w:pPr>
              <w:pStyle w:val="TAC"/>
              <w:rPr>
                <w:rFonts w:eastAsia="Yu Mincho"/>
              </w:rPr>
            </w:pPr>
            <w:r w:rsidRPr="00237EDC">
              <w:rPr>
                <w:rFonts w:eastAsia="Yu Mincho"/>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2D744360" w14:textId="77777777" w:rsidR="00D03161" w:rsidRPr="00237EDC" w:rsidRDefault="00D03161" w:rsidP="00D03161">
            <w:pPr>
              <w:pStyle w:val="TAC"/>
              <w:rPr>
                <w:rFonts w:eastAsia="Yu Mincho"/>
              </w:rPr>
            </w:pPr>
            <w:r w:rsidRPr="00237EDC">
              <w:rPr>
                <w:rFonts w:eastAsia="Yu Mincho"/>
              </w:rPr>
              <w:t>N/A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049919D" w14:textId="77777777" w:rsidR="00D03161" w:rsidRPr="00237EDC" w:rsidRDefault="00D03161" w:rsidP="00D03161">
            <w:pPr>
              <w:pStyle w:val="TAC"/>
              <w:rPr>
                <w:rFonts w:eastAsia="Yu Mincho"/>
                <w:b/>
                <w:bCs/>
              </w:rPr>
            </w:pPr>
            <w:r w:rsidRPr="00237EDC">
              <w:rPr>
                <w:rFonts w:eastAsia="Yu Mincho"/>
              </w:rPr>
              <w:t>[160]</w:t>
            </w:r>
          </w:p>
        </w:tc>
      </w:tr>
      <w:tr w:rsidR="00D03161" w:rsidRPr="00237EDC" w14:paraId="4D30D3F4"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7A7D0D9E" w14:textId="77777777" w:rsidR="00D03161" w:rsidRPr="00237EDC" w:rsidRDefault="00D03161" w:rsidP="00D03161">
            <w:pPr>
              <w:pStyle w:val="TAC"/>
              <w:rPr>
                <w:rFonts w:eastAsia="Yu Mincho"/>
                <w:b/>
                <w:bCs/>
              </w:rPr>
            </w:pPr>
            <w:r w:rsidRPr="00237EDC">
              <w:rPr>
                <w:rFonts w:eastAsia="Microsoft Sans Serif"/>
              </w:rPr>
              <w:t xml:space="preserve">≥ </w:t>
            </w:r>
            <w:r w:rsidRPr="00237EDC">
              <w:rPr>
                <w:rFonts w:eastAsia="Yu Mincho"/>
              </w:rPr>
              <w:t>52</w:t>
            </w:r>
          </w:p>
        </w:tc>
        <w:tc>
          <w:tcPr>
            <w:tcW w:w="1470" w:type="dxa"/>
            <w:tcBorders>
              <w:top w:val="single" w:sz="4" w:space="0" w:color="auto"/>
              <w:left w:val="single" w:sz="4" w:space="0" w:color="auto"/>
              <w:bottom w:val="single" w:sz="4" w:space="0" w:color="auto"/>
              <w:right w:val="single" w:sz="4" w:space="0" w:color="auto"/>
            </w:tcBorders>
            <w:vAlign w:val="center"/>
            <w:hideMark/>
          </w:tcPr>
          <w:p w14:paraId="2A805080" w14:textId="77777777" w:rsidR="00D03161" w:rsidRPr="00237EDC" w:rsidRDefault="00D03161" w:rsidP="00D03161">
            <w:pPr>
              <w:pStyle w:val="TAC"/>
              <w:rPr>
                <w:rFonts w:eastAsia="Yu Mincho"/>
                <w:b/>
                <w:bCs/>
              </w:rPr>
            </w:pPr>
            <w:r w:rsidRPr="00237EDC">
              <w:rPr>
                <w:rFonts w:eastAsia="Microsoft Sans Serif"/>
              </w:rPr>
              <w:t>≥ 24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179D054F" w14:textId="77777777" w:rsidR="00D03161" w:rsidRPr="00237EDC" w:rsidRDefault="00D03161" w:rsidP="00D03161">
            <w:pPr>
              <w:pStyle w:val="TAC"/>
              <w:rPr>
                <w:rFonts w:eastAsia="Yu Mincho"/>
              </w:rPr>
            </w:pPr>
            <w:r w:rsidRPr="00237EDC">
              <w:rPr>
                <w:rFonts w:eastAsia="Yu Mincho"/>
              </w:rPr>
              <w:t>N/A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DE1741F" w14:textId="77777777" w:rsidR="00D03161" w:rsidRPr="00237EDC" w:rsidRDefault="00D03161" w:rsidP="00D03161">
            <w:pPr>
              <w:pStyle w:val="TAC"/>
              <w:rPr>
                <w:rFonts w:eastAsia="Yu Mincho"/>
                <w:b/>
                <w:bCs/>
              </w:rPr>
            </w:pPr>
            <w:r w:rsidRPr="00237EDC">
              <w:rPr>
                <w:rFonts w:eastAsia="Yu Mincho"/>
              </w:rPr>
              <w:t>[80]</w:t>
            </w:r>
          </w:p>
        </w:tc>
      </w:tr>
      <w:tr w:rsidR="00D03161" w:rsidRPr="00237EDC" w14:paraId="6BE94A71"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654019DF" w14:textId="77777777" w:rsidR="00D03161" w:rsidRPr="00237EDC" w:rsidRDefault="00D03161" w:rsidP="00D03161">
            <w:pPr>
              <w:pStyle w:val="TAC"/>
              <w:rPr>
                <w:rFonts w:eastAsia="Yu Mincho"/>
                <w:b/>
                <w:bCs/>
              </w:rPr>
            </w:pPr>
            <w:r w:rsidRPr="00237EDC">
              <w:rPr>
                <w:rFonts w:eastAsia="Microsoft Sans Serif"/>
              </w:rPr>
              <w:t xml:space="preserve">≥ </w:t>
            </w:r>
            <w:r w:rsidRPr="00237EDC">
              <w:rPr>
                <w:rFonts w:eastAsia="Yu Mincho"/>
              </w:rPr>
              <w:t>104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672D5EDE" w14:textId="77777777" w:rsidR="00D03161" w:rsidRPr="00237EDC" w:rsidRDefault="00D03161" w:rsidP="00D03161">
            <w:pPr>
              <w:pStyle w:val="TAC"/>
              <w:rPr>
                <w:rFonts w:eastAsia="Yu Mincho"/>
                <w:b/>
                <w:bCs/>
              </w:rPr>
            </w:pPr>
            <w:r w:rsidRPr="00237EDC">
              <w:rPr>
                <w:rFonts w:eastAsia="Microsoft Sans Serif"/>
              </w:rPr>
              <w:t xml:space="preserve">≥ </w:t>
            </w:r>
            <w:r w:rsidRPr="00237EDC">
              <w:rPr>
                <w:rFonts w:eastAsia="Yu Mincho"/>
              </w:rPr>
              <w:t>48</w:t>
            </w:r>
          </w:p>
        </w:tc>
        <w:tc>
          <w:tcPr>
            <w:tcW w:w="1470" w:type="dxa"/>
            <w:tcBorders>
              <w:top w:val="single" w:sz="4" w:space="0" w:color="auto"/>
              <w:left w:val="single" w:sz="4" w:space="0" w:color="auto"/>
              <w:bottom w:val="single" w:sz="4" w:space="0" w:color="auto"/>
              <w:right w:val="single" w:sz="4" w:space="0" w:color="auto"/>
            </w:tcBorders>
            <w:vAlign w:val="center"/>
            <w:hideMark/>
          </w:tcPr>
          <w:p w14:paraId="529D6934" w14:textId="77777777" w:rsidR="00D03161" w:rsidRPr="00237EDC" w:rsidRDefault="00D03161" w:rsidP="00D03161">
            <w:pPr>
              <w:pStyle w:val="TAC"/>
              <w:rPr>
                <w:rFonts w:eastAsia="Yu Mincho"/>
                <w:b/>
                <w:bCs/>
              </w:rPr>
            </w:pPr>
            <w:r w:rsidRPr="00237EDC">
              <w:rPr>
                <w:rFonts w:eastAsia="Microsoft Sans Serif"/>
              </w:rPr>
              <w:t>≥ 24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BD9C1B6" w14:textId="77777777" w:rsidR="00D03161" w:rsidRPr="00237EDC" w:rsidRDefault="00D03161" w:rsidP="00D03161">
            <w:pPr>
              <w:pStyle w:val="TAC"/>
              <w:rPr>
                <w:rFonts w:eastAsia="Yu Mincho"/>
                <w:b/>
                <w:bCs/>
              </w:rPr>
            </w:pPr>
            <w:r w:rsidRPr="00237EDC">
              <w:rPr>
                <w:rFonts w:eastAsia="Yu Mincho"/>
              </w:rPr>
              <w:t>[56]</w:t>
            </w:r>
          </w:p>
        </w:tc>
      </w:tr>
      <w:tr w:rsidR="00D03161" w:rsidRPr="00237EDC" w14:paraId="10ADEC72"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6FD9BD78" w14:textId="77777777" w:rsidR="00D03161" w:rsidRPr="00237EDC" w:rsidRDefault="00D03161" w:rsidP="00D03161">
            <w:pPr>
              <w:pStyle w:val="TAC"/>
              <w:rPr>
                <w:rFonts w:eastAsia="Yu Mincho"/>
                <w:b/>
                <w:bCs/>
              </w:rPr>
            </w:pPr>
            <w:r w:rsidRPr="00237EDC">
              <w:rPr>
                <w:rFonts w:eastAsia="Microsoft Sans Serif"/>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F469E81" w14:textId="77777777" w:rsidR="00D03161" w:rsidRPr="00237EDC" w:rsidRDefault="00D03161" w:rsidP="00D03161">
            <w:pPr>
              <w:pStyle w:val="TAC"/>
              <w:rPr>
                <w:rFonts w:eastAsia="Yu Mincho"/>
                <w:b/>
                <w:bCs/>
              </w:rPr>
            </w:pPr>
            <w:r w:rsidRPr="00237EDC">
              <w:rPr>
                <w:rFonts w:eastAsia="Microsoft Sans Serif"/>
              </w:rPr>
              <w:t xml:space="preserve">≥ </w:t>
            </w:r>
            <w:r w:rsidRPr="00237EDC">
              <w:rPr>
                <w:rFonts w:eastAsia="Yu Mincho"/>
              </w:rPr>
              <w:t>132</w:t>
            </w:r>
          </w:p>
        </w:tc>
        <w:tc>
          <w:tcPr>
            <w:tcW w:w="1470" w:type="dxa"/>
            <w:tcBorders>
              <w:top w:val="single" w:sz="4" w:space="0" w:color="auto"/>
              <w:left w:val="single" w:sz="4" w:space="0" w:color="auto"/>
              <w:bottom w:val="single" w:sz="4" w:space="0" w:color="auto"/>
              <w:right w:val="single" w:sz="4" w:space="0" w:color="auto"/>
            </w:tcBorders>
            <w:vAlign w:val="center"/>
            <w:hideMark/>
          </w:tcPr>
          <w:p w14:paraId="233B82B9" w14:textId="77777777" w:rsidR="00D03161" w:rsidRPr="00237EDC" w:rsidRDefault="00D03161" w:rsidP="00D03161">
            <w:pPr>
              <w:pStyle w:val="TAC"/>
              <w:rPr>
                <w:rFonts w:eastAsia="Yu Mincho"/>
                <w:b/>
                <w:bCs/>
              </w:rPr>
            </w:pPr>
            <w:r w:rsidRPr="00237EDC">
              <w:rPr>
                <w:rFonts w:eastAsia="Microsoft Sans Serif"/>
              </w:rPr>
              <w:t>≥ 6</w:t>
            </w:r>
            <w:r w:rsidRPr="00237EDC">
              <w:rPr>
                <w:rFonts w:eastAsia="Yu Mincho"/>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D12AE1A" w14:textId="77777777" w:rsidR="00D03161" w:rsidRPr="00237EDC" w:rsidRDefault="00D03161" w:rsidP="00D03161">
            <w:pPr>
              <w:pStyle w:val="TAC"/>
              <w:rPr>
                <w:rFonts w:eastAsia="Yu Mincho"/>
                <w:b/>
                <w:bCs/>
              </w:rPr>
            </w:pPr>
            <w:r w:rsidRPr="00237EDC">
              <w:rPr>
                <w:rFonts w:eastAsia="Yu Mincho"/>
              </w:rPr>
              <w:t>[24]</w:t>
            </w:r>
          </w:p>
        </w:tc>
      </w:tr>
      <w:tr w:rsidR="00D03161" w:rsidRPr="00237EDC" w14:paraId="5E4E1863"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7B549273" w14:textId="77777777" w:rsidR="00D03161" w:rsidRPr="00237EDC" w:rsidRDefault="00D03161" w:rsidP="00D03161">
            <w:pPr>
              <w:pStyle w:val="TAC"/>
              <w:rPr>
                <w:rFonts w:eastAsia="Microsoft Sans Serif"/>
              </w:rPr>
            </w:pPr>
            <w:r w:rsidRPr="00237EDC">
              <w:rPr>
                <w:rFonts w:eastAsia="Microsoft Sans Serif"/>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76833917" w14:textId="77777777" w:rsidR="00D03161" w:rsidRPr="00237EDC" w:rsidRDefault="00D03161" w:rsidP="00D03161">
            <w:pPr>
              <w:pStyle w:val="TAC"/>
              <w:rPr>
                <w:rFonts w:eastAsia="Microsoft Sans Serif"/>
              </w:rPr>
            </w:pPr>
            <w:r w:rsidRPr="00237EDC">
              <w:rPr>
                <w:rFonts w:eastAsia="Microsoft Sans Serif"/>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2332162D" w14:textId="77777777" w:rsidR="00D03161" w:rsidRPr="00237EDC" w:rsidRDefault="00D03161" w:rsidP="00D03161">
            <w:pPr>
              <w:pStyle w:val="TAC"/>
              <w:rPr>
                <w:rFonts w:eastAsia="Microsoft Sans Serif"/>
              </w:rPr>
            </w:pPr>
            <w:r w:rsidRPr="00237EDC">
              <w:rPr>
                <w:rFonts w:eastAsia="Microsoft Sans Serif"/>
              </w:rPr>
              <w:t xml:space="preserve">≥ </w:t>
            </w:r>
            <w:r w:rsidRPr="00237EDC">
              <w:rPr>
                <w:rFonts w:eastAsia="Yu Mincho"/>
              </w:rPr>
              <w:t>132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38988B3" w14:textId="77777777" w:rsidR="00D03161" w:rsidRPr="00237EDC" w:rsidRDefault="00D03161" w:rsidP="00D03161">
            <w:pPr>
              <w:pStyle w:val="TAC"/>
              <w:rPr>
                <w:rFonts w:eastAsia="Yu Mincho"/>
              </w:rPr>
            </w:pPr>
            <w:r w:rsidRPr="00237EDC">
              <w:rPr>
                <w:rFonts w:eastAsia="Yu Mincho"/>
              </w:rPr>
              <w:t>[24]</w:t>
            </w:r>
          </w:p>
        </w:tc>
      </w:tr>
      <w:tr w:rsidR="00D03161" w:rsidRPr="00237EDC" w14:paraId="63FDCD77" w14:textId="77777777" w:rsidTr="005F054A">
        <w:trPr>
          <w:trHeight w:val="46"/>
          <w:jc w:val="center"/>
        </w:trPr>
        <w:tc>
          <w:tcPr>
            <w:tcW w:w="6210" w:type="dxa"/>
            <w:gridSpan w:val="4"/>
            <w:tcBorders>
              <w:top w:val="single" w:sz="4" w:space="0" w:color="auto"/>
              <w:left w:val="single" w:sz="4" w:space="0" w:color="auto"/>
              <w:bottom w:val="single" w:sz="4" w:space="0" w:color="auto"/>
              <w:right w:val="single" w:sz="4" w:space="0" w:color="auto"/>
            </w:tcBorders>
            <w:hideMark/>
          </w:tcPr>
          <w:p w14:paraId="750A743D" w14:textId="77777777" w:rsidR="00D03161" w:rsidRPr="00237EDC" w:rsidRDefault="00D03161" w:rsidP="00D03161">
            <w:pPr>
              <w:pStyle w:val="TAN"/>
              <w:rPr>
                <w:rFonts w:eastAsia="SimSun"/>
                <w:lang w:eastAsia="ko-KR"/>
              </w:rPr>
            </w:pPr>
            <w:r w:rsidRPr="00237EDC">
              <w:rPr>
                <w:rFonts w:eastAsia="SimSun"/>
                <w:lang w:eastAsia="ko-KR"/>
              </w:rPr>
              <w:t>N</w:t>
            </w:r>
            <w:r w:rsidRPr="00237EDC">
              <w:rPr>
                <w:rFonts w:eastAsia="SimSun"/>
                <w:lang w:eastAsia="zh-CN"/>
              </w:rPr>
              <w:t>OTE</w:t>
            </w:r>
            <w:r w:rsidRPr="00237EDC">
              <w:rPr>
                <w:rFonts w:eastAsia="SimSun"/>
                <w:lang w:eastAsia="ko-KR"/>
              </w:rPr>
              <w:t xml:space="preserve"> 1:</w:t>
            </w:r>
            <w:r w:rsidRPr="00237EDC">
              <w:rPr>
                <w:rFonts w:eastAsia="SimSun"/>
                <w:lang w:eastAsia="ko-KR"/>
              </w:rPr>
              <w:tab/>
              <w:t>Tc is the basic timing unit defined in TS 38.211 [6].</w:t>
            </w:r>
          </w:p>
          <w:p w14:paraId="2D1A460B" w14:textId="77777777" w:rsidR="00D03161" w:rsidRPr="00237EDC" w:rsidRDefault="00D03161" w:rsidP="00D03161">
            <w:pPr>
              <w:pStyle w:val="TAN"/>
              <w:rPr>
                <w:rFonts w:eastAsia="Yu Mincho"/>
                <w:kern w:val="24"/>
              </w:rPr>
            </w:pPr>
            <w:r w:rsidRPr="00237EDC">
              <w:rPr>
                <w:rFonts w:eastAsia="SimSun"/>
              </w:rPr>
              <w:t xml:space="preserve">NOTE 2: If SRS and </w:t>
            </w:r>
            <w:r>
              <w:rPr>
                <w:rFonts w:eastAsia="SimSun"/>
              </w:rPr>
              <w:t>T</w:t>
            </w:r>
            <w:r w:rsidRPr="00237EDC">
              <w:rPr>
                <w:rFonts w:eastAsia="SimSun"/>
              </w:rPr>
              <w:t>RS have different SCS, the margin corresponding to the smallest RS BW in MHz applies.</w:t>
            </w:r>
          </w:p>
        </w:tc>
      </w:tr>
    </w:tbl>
    <w:p w14:paraId="1AC03449" w14:textId="77777777" w:rsidR="00D03161" w:rsidRPr="00237EDC" w:rsidRDefault="00D03161" w:rsidP="00D03161">
      <w:pPr>
        <w:rPr>
          <w:rFonts w:eastAsia="MS Mincho"/>
          <w:lang w:val="en-US"/>
        </w:rPr>
      </w:pPr>
    </w:p>
    <w:p w14:paraId="5AA29721" w14:textId="77777777" w:rsidR="00D03161" w:rsidRPr="00237EDC" w:rsidRDefault="00D03161" w:rsidP="00D03161">
      <w:pPr>
        <w:pStyle w:val="TH"/>
        <w:rPr>
          <w:rFonts w:eastAsia="SimSun"/>
          <w:lang w:eastAsia="sv-SE"/>
        </w:rPr>
      </w:pPr>
      <w:r w:rsidRPr="00237EDC">
        <w:rPr>
          <w:lang w:val="en-US"/>
        </w:rPr>
        <w:t>Table 10.1.</w:t>
      </w:r>
      <w:r>
        <w:rPr>
          <w:lang w:val="en-US"/>
        </w:rPr>
        <w:t>39</w:t>
      </w:r>
      <w:r w:rsidRPr="00237EDC">
        <w:rPr>
          <w:lang w:val="en-US"/>
        </w:rPr>
        <w:t>.</w:t>
      </w:r>
      <w:r>
        <w:rPr>
          <w:lang w:val="en-US"/>
        </w:rPr>
        <w:t>3</w:t>
      </w:r>
      <w:r w:rsidRPr="00237EDC">
        <w:rPr>
          <w:lang w:val="en-US"/>
        </w:rPr>
        <w:t>-4: Margin for UE Rx-Tx time difference measurement accuracy in FR2</w:t>
      </w:r>
    </w:p>
    <w:tbl>
      <w:tblPr>
        <w:tblStyle w:val="TableGrid71"/>
        <w:tblW w:w="0" w:type="auto"/>
        <w:jc w:val="center"/>
        <w:tblInd w:w="0" w:type="dxa"/>
        <w:tblLook w:val="04A0" w:firstRow="1" w:lastRow="0" w:firstColumn="1" w:lastColumn="0" w:noHBand="0" w:noVBand="1"/>
      </w:tblPr>
      <w:tblGrid>
        <w:gridCol w:w="1861"/>
        <w:gridCol w:w="1862"/>
        <w:gridCol w:w="1848"/>
      </w:tblGrid>
      <w:tr w:rsidR="00D03161" w:rsidRPr="00237EDC" w14:paraId="3AFD648A" w14:textId="77777777" w:rsidTr="005F054A">
        <w:trPr>
          <w:trHeight w:val="323"/>
          <w:jc w:val="center"/>
        </w:trPr>
        <w:tc>
          <w:tcPr>
            <w:tcW w:w="3723" w:type="dxa"/>
            <w:gridSpan w:val="2"/>
            <w:tcBorders>
              <w:top w:val="single" w:sz="4" w:space="0" w:color="auto"/>
              <w:left w:val="single" w:sz="4" w:space="0" w:color="auto"/>
              <w:bottom w:val="single" w:sz="4" w:space="0" w:color="auto"/>
              <w:right w:val="single" w:sz="4" w:space="0" w:color="auto"/>
            </w:tcBorders>
            <w:vAlign w:val="center"/>
            <w:hideMark/>
          </w:tcPr>
          <w:p w14:paraId="2A8CB930" w14:textId="77777777" w:rsidR="00D03161" w:rsidRPr="00237EDC" w:rsidRDefault="00D03161" w:rsidP="00D03161">
            <w:pPr>
              <w:pStyle w:val="TAH"/>
              <w:rPr>
                <w:rFonts w:eastAsiaTheme="minorEastAsia"/>
                <w:lang w:val="da-DK" w:eastAsia="zh-CN"/>
              </w:rPr>
            </w:pPr>
            <w:r w:rsidRPr="00237EDC">
              <w:rPr>
                <w:lang w:val="da-DK"/>
              </w:rPr>
              <w:t>Min(</w:t>
            </w:r>
            <w:r>
              <w:rPr>
                <w:lang w:val="da-DK"/>
              </w:rPr>
              <w:t>T</w:t>
            </w:r>
            <w:r w:rsidRPr="00237EDC">
              <w:rPr>
                <w:lang w:val="da-DK"/>
              </w:rPr>
              <w:t>RS BW, SRS BW) (MHz)</w:t>
            </w:r>
          </w:p>
        </w:tc>
        <w:tc>
          <w:tcPr>
            <w:tcW w:w="1848" w:type="dxa"/>
            <w:vMerge w:val="restart"/>
            <w:tcBorders>
              <w:top w:val="single" w:sz="4" w:space="0" w:color="auto"/>
              <w:left w:val="single" w:sz="4" w:space="0" w:color="auto"/>
              <w:bottom w:val="single" w:sz="4" w:space="0" w:color="auto"/>
              <w:right w:val="single" w:sz="4" w:space="0" w:color="auto"/>
            </w:tcBorders>
            <w:vAlign w:val="center"/>
            <w:hideMark/>
          </w:tcPr>
          <w:p w14:paraId="73A92500" w14:textId="77777777" w:rsidR="00D03161" w:rsidRPr="00237EDC" w:rsidRDefault="00D03161" w:rsidP="00D03161">
            <w:pPr>
              <w:pStyle w:val="TAH"/>
              <w:rPr>
                <w:rFonts w:eastAsia="Yu Mincho"/>
                <w:bCs/>
              </w:rPr>
            </w:pPr>
            <w:r w:rsidRPr="00237EDC">
              <w:rPr>
                <w:rFonts w:eastAsia="Yu Mincho"/>
                <w:bCs/>
                <w:kern w:val="24"/>
              </w:rPr>
              <w:t>Margin (Tc</w:t>
            </w:r>
            <w:r w:rsidRPr="00237EDC">
              <w:rPr>
                <w:rFonts w:eastAsia="SimSun"/>
                <w:vertAlign w:val="superscript"/>
                <w:lang w:eastAsia="zh-CN"/>
              </w:rPr>
              <w:t xml:space="preserve"> Note 1</w:t>
            </w:r>
            <w:r w:rsidRPr="00237EDC">
              <w:rPr>
                <w:rFonts w:eastAsia="Yu Mincho"/>
                <w:bCs/>
                <w:kern w:val="24"/>
              </w:rPr>
              <w:t>)</w:t>
            </w:r>
          </w:p>
        </w:tc>
      </w:tr>
      <w:tr w:rsidR="00D03161" w:rsidRPr="00237EDC" w14:paraId="08B41946" w14:textId="77777777" w:rsidTr="005F054A">
        <w:trPr>
          <w:trHeight w:val="322"/>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2606DF92" w14:textId="77777777" w:rsidR="00D03161" w:rsidRPr="00237EDC" w:rsidRDefault="00D03161" w:rsidP="00D03161">
            <w:pPr>
              <w:pStyle w:val="TAH"/>
            </w:pPr>
            <w:r w:rsidRPr="00237EDC">
              <w:t>SCS = 60 kHz</w:t>
            </w:r>
          </w:p>
        </w:tc>
        <w:tc>
          <w:tcPr>
            <w:tcW w:w="1862" w:type="dxa"/>
            <w:tcBorders>
              <w:top w:val="single" w:sz="4" w:space="0" w:color="auto"/>
              <w:left w:val="single" w:sz="4" w:space="0" w:color="auto"/>
              <w:bottom w:val="single" w:sz="4" w:space="0" w:color="auto"/>
              <w:right w:val="single" w:sz="4" w:space="0" w:color="auto"/>
            </w:tcBorders>
            <w:vAlign w:val="center"/>
            <w:hideMark/>
          </w:tcPr>
          <w:p w14:paraId="70BBAAEB" w14:textId="77777777" w:rsidR="00D03161" w:rsidRPr="00237EDC" w:rsidRDefault="00D03161" w:rsidP="00D03161">
            <w:pPr>
              <w:pStyle w:val="TAH"/>
            </w:pPr>
            <w:r w:rsidRPr="00237EDC">
              <w:t>SCS = 120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8F321" w14:textId="77777777" w:rsidR="00D03161" w:rsidRPr="00237EDC" w:rsidRDefault="00D03161" w:rsidP="005F054A">
            <w:pPr>
              <w:spacing w:after="0"/>
              <w:rPr>
                <w:rFonts w:eastAsia="Yu Mincho"/>
                <w:b/>
                <w:bCs/>
              </w:rPr>
            </w:pPr>
          </w:p>
        </w:tc>
      </w:tr>
      <w:tr w:rsidR="00D03161" w:rsidRPr="00237EDC" w14:paraId="0D7361E6"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003A5592" w14:textId="77777777" w:rsidR="00D03161" w:rsidRPr="00237EDC" w:rsidRDefault="00D03161" w:rsidP="00D03161">
            <w:pPr>
              <w:pStyle w:val="TAC"/>
              <w:rPr>
                <w:rFonts w:eastAsia="Yu Mincho"/>
                <w:b/>
                <w:bCs/>
              </w:rPr>
            </w:pPr>
            <w:r w:rsidRPr="00237EDC">
              <w:rPr>
                <w:rFonts w:eastAsia="Microsoft Sans Serif"/>
              </w:rPr>
              <w:t>≥ 24</w:t>
            </w:r>
          </w:p>
        </w:tc>
        <w:tc>
          <w:tcPr>
            <w:tcW w:w="1862" w:type="dxa"/>
            <w:tcBorders>
              <w:top w:val="single" w:sz="4" w:space="0" w:color="auto"/>
              <w:left w:val="single" w:sz="4" w:space="0" w:color="auto"/>
              <w:bottom w:val="single" w:sz="4" w:space="0" w:color="auto"/>
              <w:right w:val="single" w:sz="4" w:space="0" w:color="auto"/>
            </w:tcBorders>
            <w:vAlign w:val="center"/>
            <w:hideMark/>
          </w:tcPr>
          <w:p w14:paraId="58F16BEC" w14:textId="77777777" w:rsidR="00D03161" w:rsidRPr="00237EDC" w:rsidRDefault="00D03161" w:rsidP="00D03161">
            <w:pPr>
              <w:pStyle w:val="TAC"/>
              <w:rPr>
                <w:rFonts w:eastAsia="Yu Mincho"/>
              </w:rPr>
            </w:pPr>
            <w:r w:rsidRPr="00237EDC">
              <w:rPr>
                <w:rFonts w:eastAsia="Yu Mincho"/>
              </w:rPr>
              <w:t>N/A</w:t>
            </w:r>
          </w:p>
        </w:tc>
        <w:tc>
          <w:tcPr>
            <w:tcW w:w="1848" w:type="dxa"/>
            <w:tcBorders>
              <w:top w:val="single" w:sz="4" w:space="0" w:color="auto"/>
              <w:left w:val="single" w:sz="4" w:space="0" w:color="auto"/>
              <w:bottom w:val="single" w:sz="4" w:space="0" w:color="auto"/>
              <w:right w:val="single" w:sz="4" w:space="0" w:color="auto"/>
            </w:tcBorders>
            <w:vAlign w:val="center"/>
            <w:hideMark/>
          </w:tcPr>
          <w:p w14:paraId="40C62B2E" w14:textId="77777777" w:rsidR="00D03161" w:rsidRPr="00237EDC" w:rsidRDefault="00D03161" w:rsidP="00D03161">
            <w:pPr>
              <w:pStyle w:val="TAC"/>
              <w:rPr>
                <w:rFonts w:eastAsia="Yu Mincho"/>
                <w:b/>
                <w:bCs/>
              </w:rPr>
            </w:pPr>
            <w:r w:rsidRPr="00237EDC">
              <w:rPr>
                <w:rFonts w:eastAsia="Yu Mincho"/>
              </w:rPr>
              <w:t>[76]</w:t>
            </w:r>
          </w:p>
        </w:tc>
      </w:tr>
      <w:tr w:rsidR="00D03161" w:rsidRPr="00237EDC" w14:paraId="36B83537"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1E7F7465" w14:textId="77777777" w:rsidR="00D03161" w:rsidRPr="00237EDC" w:rsidRDefault="00D03161" w:rsidP="00D03161">
            <w:pPr>
              <w:pStyle w:val="TAC"/>
              <w:rPr>
                <w:rFonts w:eastAsia="Yu Mincho"/>
                <w:b/>
                <w:bCs/>
              </w:rPr>
            </w:pPr>
            <w:r w:rsidRPr="00237EDC">
              <w:rPr>
                <w:rFonts w:eastAsia="Microsoft Sans Serif"/>
              </w:rPr>
              <w:t>≥ 6</w:t>
            </w:r>
            <w:r w:rsidRPr="00237EDC">
              <w:rPr>
                <w:rFonts w:eastAsia="Yu Mincho"/>
              </w:rPr>
              <w:t>4</w:t>
            </w:r>
          </w:p>
        </w:tc>
        <w:tc>
          <w:tcPr>
            <w:tcW w:w="1862" w:type="dxa"/>
            <w:tcBorders>
              <w:top w:val="single" w:sz="4" w:space="0" w:color="auto"/>
              <w:left w:val="single" w:sz="4" w:space="0" w:color="auto"/>
              <w:bottom w:val="single" w:sz="4" w:space="0" w:color="auto"/>
              <w:right w:val="single" w:sz="4" w:space="0" w:color="auto"/>
            </w:tcBorders>
            <w:vAlign w:val="center"/>
            <w:hideMark/>
          </w:tcPr>
          <w:p w14:paraId="1AA1173E" w14:textId="77777777" w:rsidR="00D03161" w:rsidRPr="00237EDC" w:rsidRDefault="00D03161" w:rsidP="00D03161">
            <w:pPr>
              <w:pStyle w:val="TAC"/>
              <w:rPr>
                <w:rFonts w:eastAsia="Yu Mincho"/>
                <w:b/>
                <w:bCs/>
              </w:rPr>
            </w:pPr>
            <w:r w:rsidRPr="00237EDC">
              <w:rPr>
                <w:rFonts w:eastAsia="Microsoft Sans Serif"/>
              </w:rPr>
              <w:t>≥ 32</w:t>
            </w:r>
          </w:p>
        </w:tc>
        <w:tc>
          <w:tcPr>
            <w:tcW w:w="1848" w:type="dxa"/>
            <w:tcBorders>
              <w:top w:val="single" w:sz="4" w:space="0" w:color="auto"/>
              <w:left w:val="single" w:sz="4" w:space="0" w:color="auto"/>
              <w:bottom w:val="single" w:sz="4" w:space="0" w:color="auto"/>
              <w:right w:val="single" w:sz="4" w:space="0" w:color="auto"/>
            </w:tcBorders>
            <w:vAlign w:val="center"/>
            <w:hideMark/>
          </w:tcPr>
          <w:p w14:paraId="3105631E" w14:textId="77777777" w:rsidR="00D03161" w:rsidRPr="00237EDC" w:rsidRDefault="00D03161" w:rsidP="00D03161">
            <w:pPr>
              <w:pStyle w:val="TAC"/>
              <w:rPr>
                <w:rFonts w:eastAsia="Yu Mincho"/>
                <w:b/>
                <w:bCs/>
              </w:rPr>
            </w:pPr>
            <w:r w:rsidRPr="00237EDC">
              <w:rPr>
                <w:rFonts w:eastAsia="Yu Mincho"/>
              </w:rPr>
              <w:t>[32]</w:t>
            </w:r>
          </w:p>
        </w:tc>
      </w:tr>
      <w:tr w:rsidR="00D03161" w:rsidRPr="00237EDC" w14:paraId="5898A25F"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53DE451D" w14:textId="77777777" w:rsidR="00D03161" w:rsidRPr="00237EDC" w:rsidRDefault="00D03161" w:rsidP="00D03161">
            <w:pPr>
              <w:pStyle w:val="TAC"/>
              <w:rPr>
                <w:rFonts w:eastAsia="Yu Mincho"/>
                <w:b/>
                <w:bCs/>
              </w:rPr>
            </w:pPr>
            <w:r w:rsidRPr="00237EDC">
              <w:rPr>
                <w:rFonts w:eastAsia="Microsoft Sans Serif"/>
              </w:rPr>
              <w:t xml:space="preserve">≥ </w:t>
            </w:r>
            <w:r w:rsidRPr="00237EDC">
              <w:rPr>
                <w:rFonts w:eastAsia="Yu Mincho"/>
              </w:rPr>
              <w:t>132</w:t>
            </w:r>
          </w:p>
        </w:tc>
        <w:tc>
          <w:tcPr>
            <w:tcW w:w="1862" w:type="dxa"/>
            <w:tcBorders>
              <w:top w:val="single" w:sz="4" w:space="0" w:color="auto"/>
              <w:left w:val="single" w:sz="4" w:space="0" w:color="auto"/>
              <w:bottom w:val="single" w:sz="4" w:space="0" w:color="auto"/>
              <w:right w:val="single" w:sz="4" w:space="0" w:color="auto"/>
            </w:tcBorders>
            <w:vAlign w:val="center"/>
            <w:hideMark/>
          </w:tcPr>
          <w:p w14:paraId="110E43FA" w14:textId="77777777" w:rsidR="00D03161" w:rsidRPr="00237EDC" w:rsidRDefault="00D03161" w:rsidP="00D03161">
            <w:pPr>
              <w:pStyle w:val="TAC"/>
              <w:rPr>
                <w:rFonts w:eastAsia="Yu Mincho"/>
                <w:b/>
                <w:bCs/>
              </w:rPr>
            </w:pPr>
            <w:r w:rsidRPr="00237EDC">
              <w:rPr>
                <w:rFonts w:eastAsia="Microsoft Sans Serif"/>
              </w:rPr>
              <w:t>≥ 6</w:t>
            </w:r>
            <w:r w:rsidRPr="00237EDC">
              <w:rPr>
                <w:rFonts w:eastAsia="Yu Mincho"/>
              </w:rPr>
              <w:t>4</w:t>
            </w:r>
          </w:p>
        </w:tc>
        <w:tc>
          <w:tcPr>
            <w:tcW w:w="1848" w:type="dxa"/>
            <w:tcBorders>
              <w:top w:val="single" w:sz="4" w:space="0" w:color="auto"/>
              <w:left w:val="single" w:sz="4" w:space="0" w:color="auto"/>
              <w:bottom w:val="single" w:sz="4" w:space="0" w:color="auto"/>
              <w:right w:val="single" w:sz="4" w:space="0" w:color="auto"/>
            </w:tcBorders>
            <w:vAlign w:val="center"/>
            <w:hideMark/>
          </w:tcPr>
          <w:p w14:paraId="6B528A83" w14:textId="77777777" w:rsidR="00D03161" w:rsidRPr="00237EDC" w:rsidRDefault="00D03161" w:rsidP="00D03161">
            <w:pPr>
              <w:pStyle w:val="TAC"/>
              <w:rPr>
                <w:rFonts w:eastAsia="Yu Mincho"/>
                <w:b/>
                <w:bCs/>
              </w:rPr>
            </w:pPr>
            <w:r w:rsidRPr="00237EDC">
              <w:rPr>
                <w:rFonts w:eastAsia="Yu Mincho"/>
              </w:rPr>
              <w:t>[24]</w:t>
            </w:r>
          </w:p>
        </w:tc>
      </w:tr>
      <w:tr w:rsidR="00D03161" w:rsidRPr="00237EDC" w14:paraId="49C7EE0F"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729A0E2B" w14:textId="77777777" w:rsidR="00D03161" w:rsidRPr="00237EDC" w:rsidRDefault="00D03161" w:rsidP="00D03161">
            <w:pPr>
              <w:pStyle w:val="TAC"/>
              <w:rPr>
                <w:rFonts w:eastAsia="Microsoft Sans Serif"/>
              </w:rPr>
            </w:pPr>
            <w:r w:rsidRPr="00237EDC">
              <w:rPr>
                <w:rFonts w:eastAsia="Microsoft Sans Serif"/>
              </w:rPr>
              <w:t>N/A</w:t>
            </w:r>
          </w:p>
        </w:tc>
        <w:tc>
          <w:tcPr>
            <w:tcW w:w="1862" w:type="dxa"/>
            <w:tcBorders>
              <w:top w:val="single" w:sz="4" w:space="0" w:color="auto"/>
              <w:left w:val="single" w:sz="4" w:space="0" w:color="auto"/>
              <w:bottom w:val="single" w:sz="4" w:space="0" w:color="auto"/>
              <w:right w:val="single" w:sz="4" w:space="0" w:color="auto"/>
            </w:tcBorders>
            <w:vAlign w:val="center"/>
            <w:hideMark/>
          </w:tcPr>
          <w:p w14:paraId="1B1E8AE6" w14:textId="77777777" w:rsidR="00D03161" w:rsidRPr="00237EDC" w:rsidRDefault="00D03161" w:rsidP="00D03161">
            <w:pPr>
              <w:pStyle w:val="TAC"/>
              <w:rPr>
                <w:rFonts w:eastAsia="Microsoft Sans Serif"/>
              </w:rPr>
            </w:pPr>
            <w:r w:rsidRPr="00237EDC">
              <w:rPr>
                <w:rFonts w:eastAsia="Microsoft Sans Serif"/>
              </w:rPr>
              <w:t xml:space="preserve">≥ </w:t>
            </w:r>
            <w:r w:rsidRPr="00237EDC">
              <w:rPr>
                <w:rFonts w:eastAsia="Yu Mincho"/>
              </w:rPr>
              <w:t>128</w:t>
            </w:r>
          </w:p>
        </w:tc>
        <w:tc>
          <w:tcPr>
            <w:tcW w:w="1848" w:type="dxa"/>
            <w:tcBorders>
              <w:top w:val="single" w:sz="4" w:space="0" w:color="auto"/>
              <w:left w:val="single" w:sz="4" w:space="0" w:color="auto"/>
              <w:bottom w:val="single" w:sz="4" w:space="0" w:color="auto"/>
              <w:right w:val="single" w:sz="4" w:space="0" w:color="auto"/>
            </w:tcBorders>
            <w:vAlign w:val="center"/>
            <w:hideMark/>
          </w:tcPr>
          <w:p w14:paraId="7DC35605" w14:textId="77777777" w:rsidR="00D03161" w:rsidRPr="00237EDC" w:rsidRDefault="00D03161" w:rsidP="00D03161">
            <w:pPr>
              <w:pStyle w:val="TAC"/>
              <w:rPr>
                <w:rFonts w:eastAsia="Yu Mincho"/>
              </w:rPr>
            </w:pPr>
            <w:r w:rsidRPr="00237EDC">
              <w:rPr>
                <w:rFonts w:eastAsia="Yu Mincho"/>
              </w:rPr>
              <w:t>[20]</w:t>
            </w:r>
          </w:p>
        </w:tc>
      </w:tr>
      <w:tr w:rsidR="00D03161" w:rsidRPr="00237EDC" w14:paraId="3DB6324A" w14:textId="77777777" w:rsidTr="005F054A">
        <w:trPr>
          <w:trHeight w:val="46"/>
          <w:jc w:val="center"/>
        </w:trPr>
        <w:tc>
          <w:tcPr>
            <w:tcW w:w="5571" w:type="dxa"/>
            <w:gridSpan w:val="3"/>
            <w:tcBorders>
              <w:top w:val="single" w:sz="4" w:space="0" w:color="auto"/>
              <w:left w:val="single" w:sz="4" w:space="0" w:color="auto"/>
              <w:bottom w:val="single" w:sz="4" w:space="0" w:color="auto"/>
              <w:right w:val="single" w:sz="4" w:space="0" w:color="auto"/>
            </w:tcBorders>
            <w:hideMark/>
          </w:tcPr>
          <w:p w14:paraId="16049330" w14:textId="77777777" w:rsidR="00D03161" w:rsidRPr="00237EDC" w:rsidRDefault="00D03161" w:rsidP="00D03161">
            <w:pPr>
              <w:pStyle w:val="TAN"/>
              <w:rPr>
                <w:rFonts w:eastAsia="SimSun"/>
                <w:lang w:eastAsia="ko-KR"/>
              </w:rPr>
            </w:pPr>
            <w:r w:rsidRPr="00237EDC">
              <w:rPr>
                <w:rFonts w:eastAsia="SimSun"/>
                <w:lang w:eastAsia="ko-KR"/>
              </w:rPr>
              <w:t>N</w:t>
            </w:r>
            <w:r w:rsidRPr="00237EDC">
              <w:rPr>
                <w:rFonts w:eastAsia="SimSun"/>
                <w:lang w:eastAsia="zh-CN"/>
              </w:rPr>
              <w:t>OTE</w:t>
            </w:r>
            <w:r w:rsidRPr="00237EDC">
              <w:rPr>
                <w:rFonts w:eastAsia="SimSun"/>
                <w:lang w:eastAsia="ko-KR"/>
              </w:rPr>
              <w:t xml:space="preserve"> 1:</w:t>
            </w:r>
            <w:r w:rsidRPr="00237EDC">
              <w:rPr>
                <w:rFonts w:eastAsia="SimSun"/>
                <w:lang w:eastAsia="ko-KR"/>
              </w:rPr>
              <w:tab/>
              <w:t>Tc is the basic timing unit defined in TS 38.211 [6].</w:t>
            </w:r>
          </w:p>
          <w:p w14:paraId="488F54D4" w14:textId="77777777" w:rsidR="00D03161" w:rsidRPr="00237EDC" w:rsidRDefault="00D03161" w:rsidP="00D03161">
            <w:pPr>
              <w:pStyle w:val="TAN"/>
              <w:rPr>
                <w:rFonts w:eastAsia="Yu Mincho"/>
                <w:kern w:val="24"/>
              </w:rPr>
            </w:pPr>
            <w:r w:rsidRPr="00237EDC">
              <w:rPr>
                <w:rFonts w:eastAsia="SimSun"/>
              </w:rPr>
              <w:t xml:space="preserve">NOTE 2: If SRS and </w:t>
            </w:r>
            <w:r>
              <w:rPr>
                <w:rFonts w:eastAsia="SimSun"/>
              </w:rPr>
              <w:t>T</w:t>
            </w:r>
            <w:r w:rsidRPr="00237EDC">
              <w:rPr>
                <w:rFonts w:eastAsia="SimSun"/>
              </w:rPr>
              <w:t>RS have different SCS, the margin corresponding to the smallest RS BW in MHz applies.</w:t>
            </w:r>
          </w:p>
        </w:tc>
      </w:tr>
    </w:tbl>
    <w:p w14:paraId="11B42298" w14:textId="77777777" w:rsidR="00D03161" w:rsidRPr="00237EDC" w:rsidRDefault="00D03161" w:rsidP="00D03161">
      <w:pPr>
        <w:rPr>
          <w:rFonts w:eastAsia="SimSun"/>
          <w:noProof/>
          <w:lang w:val="en-US" w:eastAsia="zh-CN"/>
        </w:rPr>
      </w:pPr>
    </w:p>
    <w:p w14:paraId="5FB24828" w14:textId="77777777" w:rsidR="00CC5419" w:rsidRPr="00CC5419" w:rsidRDefault="00CC5419" w:rsidP="00CC5419">
      <w:pPr>
        <w:pStyle w:val="Heading3"/>
        <w:rPr>
          <w:rStyle w:val="Heading4Char1"/>
          <w:rFonts w:ascii="Arial" w:eastAsiaTheme="minorEastAsia" w:hAnsi="Arial"/>
          <w:i w:val="0"/>
          <w:iCs w:val="0"/>
          <w:color w:val="auto"/>
        </w:rPr>
      </w:pPr>
      <w:r w:rsidRPr="00CC5419">
        <w:rPr>
          <w:rStyle w:val="Heading4Char1"/>
          <w:rFonts w:ascii="Arial" w:eastAsiaTheme="minorEastAsia" w:hAnsi="Arial"/>
          <w:i w:val="0"/>
          <w:iCs w:val="0"/>
          <w:color w:val="auto"/>
        </w:rPr>
        <w:t>10.1.40</w:t>
      </w:r>
      <w:r w:rsidRPr="00CC5419">
        <w:rPr>
          <w:rStyle w:val="Heading4Char1"/>
          <w:rFonts w:ascii="Arial" w:eastAsiaTheme="minorEastAsia" w:hAnsi="Arial"/>
          <w:i w:val="0"/>
          <w:iCs w:val="0"/>
          <w:color w:val="auto"/>
        </w:rPr>
        <w:tab/>
        <w:t>Measurement Accuracy Requirements for Propagation Delay Compensation</w:t>
      </w:r>
    </w:p>
    <w:p w14:paraId="55870D42" w14:textId="7E0045C8" w:rsidR="00CC5419" w:rsidRPr="00CC5419" w:rsidRDefault="00CC5419" w:rsidP="00CC5419">
      <w:pPr>
        <w:pStyle w:val="Heading4"/>
        <w:rPr>
          <w:rStyle w:val="Heading4Char1"/>
          <w:rFonts w:ascii="Arial" w:eastAsiaTheme="minorEastAsia" w:hAnsi="Arial"/>
          <w:i w:val="0"/>
          <w:iCs w:val="0"/>
          <w:color w:val="auto"/>
        </w:rPr>
      </w:pPr>
      <w:r w:rsidRPr="00CC5419">
        <w:rPr>
          <w:i/>
          <w:iCs/>
        </w:rPr>
        <w:t>10.1.40.1</w:t>
      </w:r>
      <w:r w:rsidRPr="00CC5419">
        <w:rPr>
          <w:i/>
          <w:iCs/>
        </w:rPr>
        <w:tab/>
      </w:r>
      <w:r w:rsidRPr="00CC5419">
        <w:rPr>
          <w:rStyle w:val="Heading4Char1"/>
          <w:rFonts w:ascii="Arial" w:eastAsiaTheme="minorEastAsia" w:hAnsi="Arial"/>
          <w:i w:val="0"/>
          <w:iCs w:val="0"/>
          <w:color w:val="auto"/>
        </w:rPr>
        <w:t>Measurement Accuracy Requirements for PRS</w:t>
      </w:r>
    </w:p>
    <w:p w14:paraId="614A1FA8" w14:textId="77777777" w:rsidR="00CC5419" w:rsidRDefault="00CC5419" w:rsidP="00CC5419">
      <w:r w:rsidRPr="00E7602D">
        <w:t>The error in the reported value of UE Rx-Tx time difference measurement, including both the measurement error and the reporting quantization error, should be within the accuracy requirements specified in this clause</w:t>
      </w:r>
      <w:r>
        <w:t>.</w:t>
      </w:r>
    </w:p>
    <w:p w14:paraId="73AD5854" w14:textId="77777777" w:rsidR="00CC5419" w:rsidRDefault="00CC5419" w:rsidP="00CC5419">
      <w:r>
        <w:t>The accuracy requirements in Table 10.1.40.1-1 for FR1 are valid under the following conditions:</w:t>
      </w:r>
    </w:p>
    <w:p w14:paraId="5C2288B9" w14:textId="77777777" w:rsidR="00CC5419" w:rsidRDefault="00CC5419" w:rsidP="00082331">
      <w:pPr>
        <w:pStyle w:val="B10"/>
      </w:pPr>
      <w:r>
        <w:t>Conditions defined in clause 7.3 of TS 38.101-1 [18] for reference sensitivity are fulfilled.</w:t>
      </w:r>
    </w:p>
    <w:p w14:paraId="33E404F0" w14:textId="77777777" w:rsidR="00CC5419" w:rsidRDefault="00CC5419" w:rsidP="00CC5419">
      <w:pPr>
        <w:pStyle w:val="B10"/>
      </w:pPr>
      <w:r>
        <w:t>PRP|</w:t>
      </w:r>
      <w:r>
        <w:rPr>
          <w:vertAlign w:val="subscript"/>
        </w:rPr>
        <w:t>dBm</w:t>
      </w:r>
      <w:r>
        <w:t xml:space="preserve"> according to Annex [TBD] for a corresponding Band.</w:t>
      </w:r>
    </w:p>
    <w:p w14:paraId="4D9E3BF6" w14:textId="77777777" w:rsidR="00CC5419" w:rsidRDefault="00CC5419" w:rsidP="00082331">
      <w:pPr>
        <w:pStyle w:val="B10"/>
      </w:pPr>
      <w:r>
        <w:t>AWGN propagation condition.</w:t>
      </w:r>
    </w:p>
    <w:p w14:paraId="4A6F1EDD" w14:textId="77777777" w:rsidR="00CC5419" w:rsidRDefault="00CC5419" w:rsidP="00CC5419">
      <w:pPr>
        <w:pStyle w:val="TH"/>
      </w:pPr>
      <w:r>
        <w:t>Table 10.1.40.1-1: UE Rx-Tx time difference measurement accuracy in FR1 in AWGN</w:t>
      </w:r>
    </w:p>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2"/>
        <w:gridCol w:w="715"/>
        <w:gridCol w:w="1133"/>
        <w:gridCol w:w="709"/>
        <w:gridCol w:w="1832"/>
        <w:gridCol w:w="2267"/>
        <w:gridCol w:w="1289"/>
        <w:gridCol w:w="1123"/>
      </w:tblGrid>
      <w:tr w:rsidR="00CC5419" w14:paraId="56AAAEC3" w14:textId="77777777" w:rsidTr="005F054A">
        <w:trPr>
          <w:jc w:val="center"/>
        </w:trPr>
        <w:tc>
          <w:tcPr>
            <w:tcW w:w="1132" w:type="dxa"/>
            <w:vMerge w:val="restart"/>
            <w:tcBorders>
              <w:top w:val="single" w:sz="4" w:space="0" w:color="auto"/>
              <w:left w:val="single" w:sz="4" w:space="0" w:color="auto"/>
              <w:bottom w:val="single" w:sz="4" w:space="0" w:color="auto"/>
              <w:right w:val="single" w:sz="4" w:space="0" w:color="auto"/>
            </w:tcBorders>
            <w:vAlign w:val="center"/>
            <w:hideMark/>
          </w:tcPr>
          <w:p w14:paraId="23FFDD9A" w14:textId="77777777" w:rsidR="00CC5419" w:rsidRDefault="00CC5419" w:rsidP="005F054A">
            <w:pPr>
              <w:pStyle w:val="TAH"/>
            </w:pPr>
            <w:r>
              <w:t>Accuracy</w:t>
            </w:r>
          </w:p>
        </w:tc>
        <w:tc>
          <w:tcPr>
            <w:tcW w:w="9068" w:type="dxa"/>
            <w:gridSpan w:val="7"/>
            <w:tcBorders>
              <w:top w:val="single" w:sz="4" w:space="0" w:color="auto"/>
              <w:left w:val="single" w:sz="4" w:space="0" w:color="auto"/>
              <w:bottom w:val="single" w:sz="4" w:space="0" w:color="auto"/>
              <w:right w:val="single" w:sz="4" w:space="0" w:color="auto"/>
            </w:tcBorders>
            <w:hideMark/>
          </w:tcPr>
          <w:p w14:paraId="29E52434" w14:textId="77777777" w:rsidR="00CC5419" w:rsidRDefault="00CC5419" w:rsidP="005F054A">
            <w:pPr>
              <w:pStyle w:val="TAH"/>
            </w:pPr>
            <w:r>
              <w:t>Conditions</w:t>
            </w:r>
          </w:p>
        </w:tc>
      </w:tr>
      <w:tr w:rsidR="00CC5419" w14:paraId="5B4154E7" w14:textId="77777777" w:rsidTr="005F054A">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6CFF60CE" w14:textId="77777777" w:rsidR="00CC5419" w:rsidRDefault="00CC5419" w:rsidP="005F054A">
            <w:pPr>
              <w:pStyle w:val="TAH"/>
            </w:pPr>
          </w:p>
        </w:tc>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1C31A33E" w14:textId="77777777" w:rsidR="00CC5419" w:rsidRDefault="00CC5419" w:rsidP="005F054A">
            <w:pPr>
              <w:pStyle w:val="TAH"/>
            </w:pPr>
            <w:r>
              <w:t>PRS Ês/Iot</w:t>
            </w:r>
          </w:p>
        </w:tc>
        <w:tc>
          <w:tcPr>
            <w:tcW w:w="1133" w:type="dxa"/>
            <w:vMerge w:val="restart"/>
            <w:tcBorders>
              <w:top w:val="single" w:sz="4" w:space="0" w:color="auto"/>
              <w:left w:val="single" w:sz="4" w:space="0" w:color="auto"/>
              <w:bottom w:val="single" w:sz="4" w:space="0" w:color="auto"/>
              <w:right w:val="single" w:sz="4" w:space="0" w:color="auto"/>
            </w:tcBorders>
            <w:vAlign w:val="center"/>
            <w:hideMark/>
          </w:tcPr>
          <w:p w14:paraId="37504449" w14:textId="77777777" w:rsidR="00CC5419" w:rsidRDefault="00CC5419" w:rsidP="005F054A">
            <w:pPr>
              <w:pStyle w:val="TAH"/>
            </w:pPr>
            <w:r>
              <w:t>Minimum PRS bandwidth</w:t>
            </w:r>
          </w:p>
        </w:tc>
        <w:tc>
          <w:tcPr>
            <w:tcW w:w="709" w:type="dxa"/>
            <w:vMerge w:val="restart"/>
            <w:tcBorders>
              <w:top w:val="single" w:sz="4" w:space="0" w:color="auto"/>
              <w:left w:val="single" w:sz="4" w:space="0" w:color="auto"/>
              <w:bottom w:val="single" w:sz="4" w:space="0" w:color="auto"/>
              <w:right w:val="single" w:sz="4" w:space="0" w:color="auto"/>
            </w:tcBorders>
          </w:tcPr>
          <w:p w14:paraId="1D58784B" w14:textId="77777777" w:rsidR="00CC5419" w:rsidRDefault="00CC5419" w:rsidP="005F054A">
            <w:pPr>
              <w:pStyle w:val="TAH"/>
            </w:pPr>
          </w:p>
          <w:p w14:paraId="660B8B91" w14:textId="77777777" w:rsidR="00CC5419" w:rsidRDefault="00CC5419" w:rsidP="005F054A">
            <w:pPr>
              <w:pStyle w:val="TAH"/>
            </w:pPr>
            <w:r>
              <w:t>PRS SCS</w:t>
            </w:r>
          </w:p>
        </w:tc>
        <w:tc>
          <w:tcPr>
            <w:tcW w:w="1832" w:type="dxa"/>
            <w:vMerge w:val="restart"/>
            <w:tcBorders>
              <w:top w:val="single" w:sz="4" w:space="0" w:color="auto"/>
              <w:left w:val="single" w:sz="4" w:space="0" w:color="auto"/>
              <w:bottom w:val="single" w:sz="4" w:space="0" w:color="auto"/>
              <w:right w:val="single" w:sz="4" w:space="0" w:color="auto"/>
            </w:tcBorders>
            <w:vAlign w:val="center"/>
            <w:hideMark/>
          </w:tcPr>
          <w:p w14:paraId="63F62DF6" w14:textId="77777777" w:rsidR="00CC5419" w:rsidRDefault="00CC5419" w:rsidP="005F054A">
            <w:pPr>
              <w:pStyle w:val="TAH"/>
              <w:rPr>
                <w:lang w:eastAsia="zh-CN"/>
              </w:rPr>
            </w:pPr>
            <w:r>
              <w:rPr>
                <w:lang w:eastAsia="zh-CN"/>
              </w:rPr>
              <w:t xml:space="preserve">PRS resource repetition </w:t>
            </w:r>
            <m:oMath>
              <m:sSubSup>
                <m:sSubSupPr>
                  <m:ctrlPr>
                    <w:rPr>
                      <w:rFonts w:ascii="Cambria Math" w:hAnsi="Cambria Math"/>
                      <w:i/>
                      <w:szCs w:val="18"/>
                    </w:rPr>
                  </m:ctrlPr>
                </m:sSubSupPr>
                <m:e>
                  <m:r>
                    <m:rPr>
                      <m:sty m:val="bi"/>
                    </m:rPr>
                    <w:rPr>
                      <w:rFonts w:ascii="Cambria Math" w:hAnsi="Cambria Math"/>
                    </w:rPr>
                    <m:t>(T</m:t>
                  </m:r>
                </m:e>
                <m:sub>
                  <m:r>
                    <m:rPr>
                      <m:sty m:val="b"/>
                    </m:rPr>
                    <w:rPr>
                      <w:rFonts w:ascii="Cambria Math" w:hAnsi="Cambria Math"/>
                    </w:rPr>
                    <m:t>rep</m:t>
                  </m:r>
                </m:sub>
                <m:sup>
                  <m:r>
                    <m:rPr>
                      <m:sty m:val="b"/>
                    </m:rPr>
                    <w:rPr>
                      <w:rFonts w:ascii="Cambria Math" w:hAnsi="Cambria Math"/>
                    </w:rPr>
                    <m:t>PRS</m:t>
                  </m:r>
                </m:sup>
              </m:sSubSup>
              <m:r>
                <m:rPr>
                  <m:sty m:val="bi"/>
                </m:rPr>
                <w:rPr>
                  <w:rFonts w:ascii="Cambria Math" w:hAnsi="Cambria Math"/>
                </w:rPr>
                <m:t>*</m:t>
              </m:r>
              <m:sSub>
                <m:sSubPr>
                  <m:ctrlPr>
                    <w:rPr>
                      <w:rFonts w:ascii="Cambria Math" w:hAnsi="Cambria Math"/>
                      <w:szCs w:val="18"/>
                    </w:rPr>
                  </m:ctrlPr>
                </m:sSubPr>
                <m:e>
                  <m:r>
                    <m:rPr>
                      <m:sty m:val="bi"/>
                    </m:rPr>
                    <w:rPr>
                      <w:rFonts w:ascii="Cambria Math" w:hAnsi="Cambria Math"/>
                    </w:rPr>
                    <m:t>L</m:t>
                  </m:r>
                </m:e>
                <m:sub>
                  <m:r>
                    <m:rPr>
                      <m:sty m:val="b"/>
                    </m:rPr>
                    <w:rPr>
                      <w:rFonts w:ascii="Cambria Math" w:hAnsi="Cambria Math"/>
                    </w:rPr>
                    <m:t>PRS</m:t>
                  </m:r>
                </m:sub>
              </m:sSub>
              <m:r>
                <m:rPr>
                  <m:sty m:val="bi"/>
                </m:rPr>
                <w:rPr>
                  <w:rFonts w:ascii="Cambria Math" w:hAnsi="Cambria Math"/>
                </w:rPr>
                <m:t>/</m:t>
              </m:r>
              <m:sSubSup>
                <m:sSubSupPr>
                  <m:ctrlPr>
                    <w:rPr>
                      <w:rFonts w:ascii="Cambria Math" w:hAnsi="Cambria Math"/>
                      <w:i/>
                      <w:szCs w:val="18"/>
                    </w:rPr>
                  </m:ctrlPr>
                </m:sSubSupPr>
                <m:e>
                  <m:r>
                    <m:rPr>
                      <m:sty m:val="bi"/>
                    </m:rPr>
                    <w:rPr>
                      <w:rFonts w:ascii="Cambria Math" w:hAnsi="Cambria Math"/>
                    </w:rPr>
                    <m:t>K</m:t>
                  </m:r>
                </m:e>
                <m:sub>
                  <m:r>
                    <m:rPr>
                      <m:sty m:val="b"/>
                    </m:rPr>
                    <w:rPr>
                      <w:rFonts w:ascii="Cambria Math" w:hAnsi="Cambria Math"/>
                    </w:rPr>
                    <m:t>comb</m:t>
                  </m:r>
                </m:sub>
                <m:sup>
                  <m:r>
                    <m:rPr>
                      <m:sty m:val="b"/>
                    </m:rPr>
                    <w:rPr>
                      <w:rFonts w:ascii="Cambria Math" w:hAnsi="Cambria Math"/>
                    </w:rPr>
                    <m:t>PRS</m:t>
                  </m:r>
                </m:sup>
              </m:sSubSup>
            </m:oMath>
            <w:r>
              <w:rPr>
                <w:vertAlign w:val="superscript"/>
              </w:rPr>
              <w:t>Note 3</w:t>
            </w:r>
          </w:p>
        </w:tc>
        <w:tc>
          <w:tcPr>
            <w:tcW w:w="2267" w:type="dxa"/>
            <w:vMerge w:val="restart"/>
            <w:tcBorders>
              <w:top w:val="single" w:sz="4" w:space="0" w:color="auto"/>
              <w:left w:val="single" w:sz="4" w:space="0" w:color="auto"/>
              <w:bottom w:val="single" w:sz="4" w:space="0" w:color="auto"/>
              <w:right w:val="single" w:sz="4" w:space="0" w:color="auto"/>
            </w:tcBorders>
            <w:hideMark/>
          </w:tcPr>
          <w:p w14:paraId="764E32F8" w14:textId="77777777" w:rsidR="00CC5419" w:rsidRDefault="00CC5419" w:rsidP="005F054A">
            <w:pPr>
              <w:pStyle w:val="TAH"/>
            </w:pPr>
            <w:r>
              <w:t>NR operating band groups</w:t>
            </w:r>
            <w:r>
              <w:rPr>
                <w:vertAlign w:val="superscript"/>
              </w:rPr>
              <w:t>Note 2</w:t>
            </w:r>
          </w:p>
        </w:tc>
        <w:tc>
          <w:tcPr>
            <w:tcW w:w="2412" w:type="dxa"/>
            <w:gridSpan w:val="2"/>
            <w:tcBorders>
              <w:top w:val="single" w:sz="4" w:space="0" w:color="auto"/>
              <w:left w:val="single" w:sz="4" w:space="0" w:color="auto"/>
              <w:bottom w:val="single" w:sz="4" w:space="0" w:color="auto"/>
              <w:right w:val="single" w:sz="4" w:space="0" w:color="auto"/>
            </w:tcBorders>
            <w:vAlign w:val="center"/>
            <w:hideMark/>
          </w:tcPr>
          <w:p w14:paraId="310656EB" w14:textId="77777777" w:rsidR="00CC5419" w:rsidRDefault="00CC5419" w:rsidP="005F054A">
            <w:pPr>
              <w:pStyle w:val="TAH"/>
            </w:pPr>
            <w:r>
              <w:t>Io</w:t>
            </w:r>
            <w:r>
              <w:rPr>
                <w:vertAlign w:val="superscript"/>
                <w:lang w:eastAsia="zh-CN"/>
              </w:rPr>
              <w:t>Note 4</w:t>
            </w:r>
            <w:r>
              <w:t xml:space="preserve"> range</w:t>
            </w:r>
          </w:p>
        </w:tc>
      </w:tr>
      <w:tr w:rsidR="00CC5419" w14:paraId="7D7DD687" w14:textId="77777777" w:rsidTr="005F054A">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74631275" w14:textId="77777777" w:rsidR="00CC5419" w:rsidRDefault="00CC5419" w:rsidP="005F054A">
            <w:pPr>
              <w:pStyle w:val="TAH"/>
            </w:pPr>
          </w:p>
        </w:tc>
        <w:tc>
          <w:tcPr>
            <w:tcW w:w="715" w:type="dxa"/>
            <w:vMerge/>
            <w:tcBorders>
              <w:top w:val="single" w:sz="4" w:space="0" w:color="auto"/>
              <w:left w:val="single" w:sz="4" w:space="0" w:color="auto"/>
              <w:bottom w:val="single" w:sz="4" w:space="0" w:color="auto"/>
              <w:right w:val="single" w:sz="4" w:space="0" w:color="auto"/>
            </w:tcBorders>
            <w:vAlign w:val="center"/>
            <w:hideMark/>
          </w:tcPr>
          <w:p w14:paraId="17C80BF7" w14:textId="77777777" w:rsidR="00CC5419" w:rsidRDefault="00CC5419" w:rsidP="005F054A">
            <w:pPr>
              <w:pStyle w:val="TAH"/>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707FC723" w14:textId="77777777" w:rsidR="00CC5419" w:rsidRDefault="00CC5419" w:rsidP="005F054A">
            <w:pPr>
              <w:pStyle w:val="TAH"/>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10783B2" w14:textId="77777777" w:rsidR="00CC5419" w:rsidRDefault="00CC5419" w:rsidP="005F054A">
            <w:pPr>
              <w:pStyle w:val="TAH"/>
            </w:pPr>
          </w:p>
        </w:tc>
        <w:tc>
          <w:tcPr>
            <w:tcW w:w="1832" w:type="dxa"/>
            <w:vMerge/>
            <w:tcBorders>
              <w:top w:val="single" w:sz="4" w:space="0" w:color="auto"/>
              <w:left w:val="single" w:sz="4" w:space="0" w:color="auto"/>
              <w:bottom w:val="single" w:sz="4" w:space="0" w:color="auto"/>
              <w:right w:val="single" w:sz="4" w:space="0" w:color="auto"/>
            </w:tcBorders>
            <w:vAlign w:val="center"/>
            <w:hideMark/>
          </w:tcPr>
          <w:p w14:paraId="485438C7" w14:textId="77777777" w:rsidR="00CC5419" w:rsidRDefault="00CC5419" w:rsidP="005F054A">
            <w:pPr>
              <w:pStyle w:val="TAH"/>
              <w:rPr>
                <w:lang w:eastAsia="zh-CN"/>
              </w:rPr>
            </w:pPr>
          </w:p>
        </w:tc>
        <w:tc>
          <w:tcPr>
            <w:tcW w:w="2267" w:type="dxa"/>
            <w:vMerge/>
            <w:tcBorders>
              <w:top w:val="single" w:sz="4" w:space="0" w:color="auto"/>
              <w:left w:val="single" w:sz="4" w:space="0" w:color="auto"/>
              <w:bottom w:val="single" w:sz="4" w:space="0" w:color="auto"/>
              <w:right w:val="single" w:sz="4" w:space="0" w:color="auto"/>
            </w:tcBorders>
            <w:vAlign w:val="center"/>
            <w:hideMark/>
          </w:tcPr>
          <w:p w14:paraId="62130089" w14:textId="77777777" w:rsidR="00CC5419" w:rsidRDefault="00CC5419" w:rsidP="005F054A">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0E08643C" w14:textId="77777777" w:rsidR="00CC5419" w:rsidRDefault="00CC5419" w:rsidP="005F054A">
            <w:pPr>
              <w:pStyle w:val="TAH"/>
            </w:pPr>
            <w:r>
              <w:t>Minimum</w:t>
            </w:r>
            <w:r>
              <w:br/>
              <w:t>Io</w:t>
            </w:r>
            <w:r>
              <w:rPr>
                <w:vertAlign w:val="superscript"/>
              </w:rPr>
              <w:t>Note 1</w:t>
            </w:r>
          </w:p>
        </w:tc>
        <w:tc>
          <w:tcPr>
            <w:tcW w:w="1123" w:type="dxa"/>
            <w:tcBorders>
              <w:top w:val="single" w:sz="4" w:space="0" w:color="auto"/>
              <w:left w:val="single" w:sz="4" w:space="0" w:color="auto"/>
              <w:bottom w:val="single" w:sz="4" w:space="0" w:color="auto"/>
              <w:right w:val="single" w:sz="4" w:space="0" w:color="auto"/>
            </w:tcBorders>
            <w:vAlign w:val="center"/>
            <w:hideMark/>
          </w:tcPr>
          <w:p w14:paraId="72FA0AD1" w14:textId="77777777" w:rsidR="00CC5419" w:rsidRDefault="00CC5419" w:rsidP="005F054A">
            <w:pPr>
              <w:pStyle w:val="TAH"/>
            </w:pPr>
            <w:r>
              <w:t>Maximum</w:t>
            </w:r>
            <w:r>
              <w:br/>
              <w:t>Io</w:t>
            </w:r>
          </w:p>
        </w:tc>
      </w:tr>
      <w:tr w:rsidR="00CC5419" w14:paraId="00EBD035" w14:textId="77777777" w:rsidTr="005F054A">
        <w:trPr>
          <w:trHeight w:val="429"/>
          <w:jc w:val="center"/>
        </w:trPr>
        <w:tc>
          <w:tcPr>
            <w:tcW w:w="1132" w:type="dxa"/>
            <w:tcBorders>
              <w:top w:val="single" w:sz="4" w:space="0" w:color="auto"/>
              <w:left w:val="single" w:sz="4" w:space="0" w:color="auto"/>
              <w:bottom w:val="single" w:sz="4" w:space="0" w:color="auto"/>
              <w:right w:val="single" w:sz="4" w:space="0" w:color="auto"/>
            </w:tcBorders>
            <w:vAlign w:val="center"/>
            <w:hideMark/>
          </w:tcPr>
          <w:p w14:paraId="5F9BFABE" w14:textId="77777777" w:rsidR="00CC5419" w:rsidRDefault="00CC5419" w:rsidP="005F054A">
            <w:pPr>
              <w:pStyle w:val="TAH"/>
            </w:pPr>
            <w:r>
              <w:t>Tc</w:t>
            </w:r>
            <w:r>
              <w:rPr>
                <w:vertAlign w:val="superscript"/>
                <w:lang w:eastAsia="zh-CN"/>
              </w:rPr>
              <w:t>Note 5</w:t>
            </w:r>
          </w:p>
        </w:tc>
        <w:tc>
          <w:tcPr>
            <w:tcW w:w="715" w:type="dxa"/>
            <w:tcBorders>
              <w:top w:val="single" w:sz="4" w:space="0" w:color="auto"/>
              <w:left w:val="single" w:sz="4" w:space="0" w:color="auto"/>
              <w:bottom w:val="single" w:sz="4" w:space="0" w:color="auto"/>
              <w:right w:val="single" w:sz="4" w:space="0" w:color="auto"/>
            </w:tcBorders>
            <w:vAlign w:val="center"/>
            <w:hideMark/>
          </w:tcPr>
          <w:p w14:paraId="7DEF350B" w14:textId="77777777" w:rsidR="00CC5419" w:rsidRDefault="00CC5419" w:rsidP="005F054A">
            <w:pPr>
              <w:pStyle w:val="TAH"/>
            </w:pPr>
            <w:r>
              <w:t>dB</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CD2E805" w14:textId="77777777" w:rsidR="00CC5419" w:rsidRDefault="00CC5419" w:rsidP="005F054A">
            <w:pPr>
              <w:pStyle w:val="TAH"/>
            </w:pPr>
            <w:r>
              <w:t>RB</w:t>
            </w:r>
          </w:p>
        </w:tc>
        <w:tc>
          <w:tcPr>
            <w:tcW w:w="709" w:type="dxa"/>
            <w:tcBorders>
              <w:top w:val="single" w:sz="4" w:space="0" w:color="auto"/>
              <w:left w:val="single" w:sz="4" w:space="0" w:color="auto"/>
              <w:bottom w:val="single" w:sz="4" w:space="0" w:color="auto"/>
              <w:right w:val="single" w:sz="4" w:space="0" w:color="auto"/>
            </w:tcBorders>
          </w:tcPr>
          <w:p w14:paraId="221BFFEE" w14:textId="77777777" w:rsidR="00CC5419" w:rsidRDefault="00CC5419" w:rsidP="005F054A">
            <w:pPr>
              <w:pStyle w:val="TAH"/>
            </w:pPr>
          </w:p>
          <w:p w14:paraId="27360775" w14:textId="77777777" w:rsidR="00CC5419" w:rsidRDefault="00CC5419" w:rsidP="005F054A">
            <w:pPr>
              <w:pStyle w:val="TAH"/>
            </w:pPr>
            <w:r>
              <w:t>kHz</w:t>
            </w:r>
          </w:p>
        </w:tc>
        <w:tc>
          <w:tcPr>
            <w:tcW w:w="1832" w:type="dxa"/>
            <w:tcBorders>
              <w:top w:val="single" w:sz="4" w:space="0" w:color="auto"/>
              <w:left w:val="single" w:sz="4" w:space="0" w:color="auto"/>
              <w:bottom w:val="single" w:sz="4" w:space="0" w:color="auto"/>
              <w:right w:val="single" w:sz="4" w:space="0" w:color="auto"/>
            </w:tcBorders>
            <w:vAlign w:val="center"/>
          </w:tcPr>
          <w:p w14:paraId="5EC8DD9B" w14:textId="77777777" w:rsidR="00CC5419" w:rsidRDefault="00CC5419" w:rsidP="005F054A">
            <w:pPr>
              <w:pStyle w:val="TAH"/>
            </w:pPr>
          </w:p>
        </w:tc>
        <w:tc>
          <w:tcPr>
            <w:tcW w:w="2267" w:type="dxa"/>
            <w:tcBorders>
              <w:top w:val="single" w:sz="4" w:space="0" w:color="auto"/>
              <w:left w:val="single" w:sz="4" w:space="0" w:color="auto"/>
              <w:bottom w:val="single" w:sz="4" w:space="0" w:color="auto"/>
              <w:right w:val="single" w:sz="4" w:space="0" w:color="auto"/>
            </w:tcBorders>
            <w:vAlign w:val="center"/>
          </w:tcPr>
          <w:p w14:paraId="5AEA75CC" w14:textId="77777777" w:rsidR="00CC5419" w:rsidRDefault="00CC5419" w:rsidP="005F054A">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6FB601ED" w14:textId="77777777" w:rsidR="00CC5419" w:rsidRDefault="00CC5419" w:rsidP="005F054A">
            <w:pPr>
              <w:pStyle w:val="TAH"/>
            </w:pPr>
            <w:r>
              <w:t>dBm / SCS</w:t>
            </w:r>
            <w:r>
              <w:rPr>
                <w:vertAlign w:val="subscript"/>
              </w:rPr>
              <w:t>PRS</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474D3BD" w14:textId="77777777" w:rsidR="00CC5419" w:rsidRDefault="00CC5419" w:rsidP="005F054A">
            <w:pPr>
              <w:pStyle w:val="TAH"/>
            </w:pPr>
            <w:r>
              <w:t>dBm/BW</w:t>
            </w:r>
          </w:p>
        </w:tc>
      </w:tr>
      <w:tr w:rsidR="00CC5419" w14:paraId="36B87DA1" w14:textId="77777777" w:rsidTr="005F054A">
        <w:trPr>
          <w:trHeight w:val="21"/>
          <w:jc w:val="center"/>
        </w:trPr>
        <w:tc>
          <w:tcPr>
            <w:tcW w:w="1132" w:type="dxa"/>
            <w:tcBorders>
              <w:top w:val="single" w:sz="6" w:space="0" w:color="auto"/>
              <w:left w:val="single" w:sz="4" w:space="0" w:color="auto"/>
              <w:bottom w:val="nil"/>
              <w:right w:val="single" w:sz="6" w:space="0" w:color="auto"/>
            </w:tcBorders>
            <w:hideMark/>
          </w:tcPr>
          <w:p w14:paraId="719F2CDC" w14:textId="77777777" w:rsidR="00CC5419" w:rsidRDefault="00CC5419" w:rsidP="005F054A">
            <w:pPr>
              <w:pStyle w:val="TAC"/>
            </w:pPr>
            <w:r>
              <w:t>± [78+</w:t>
            </w:r>
            <w:r>
              <w:sym w:font="Symbol" w:char="F064"/>
            </w:r>
            <w:r>
              <w:t>+</w:t>
            </w:r>
            <w:r>
              <w:rPr>
                <w:rFonts w:ascii="Cambria Math" w:hAnsi="Cambria Math"/>
                <w:color w:val="0070C0"/>
              </w:rPr>
              <w:t>ℇ</w:t>
            </w:r>
            <w:r>
              <w:t>]</w:t>
            </w:r>
          </w:p>
        </w:tc>
        <w:tc>
          <w:tcPr>
            <w:tcW w:w="715" w:type="dxa"/>
            <w:tcBorders>
              <w:top w:val="single" w:sz="4" w:space="0" w:color="auto"/>
              <w:left w:val="single" w:sz="4" w:space="0" w:color="auto"/>
              <w:bottom w:val="nil"/>
              <w:right w:val="single" w:sz="4" w:space="0" w:color="auto"/>
            </w:tcBorders>
            <w:hideMark/>
          </w:tcPr>
          <w:p w14:paraId="0288E931" w14:textId="77777777" w:rsidR="00CC5419" w:rsidRDefault="00CC5419" w:rsidP="005F054A">
            <w:pPr>
              <w:pStyle w:val="TAC"/>
              <w:rPr>
                <w:lang w:val="sv-SE"/>
              </w:rPr>
            </w:pPr>
            <w:r>
              <w:rPr>
                <w:lang w:val="sv-SE"/>
              </w:rPr>
              <w:t>-3</w:t>
            </w:r>
          </w:p>
        </w:tc>
        <w:tc>
          <w:tcPr>
            <w:tcW w:w="1133" w:type="dxa"/>
            <w:tcBorders>
              <w:top w:val="single" w:sz="4" w:space="0" w:color="auto"/>
              <w:left w:val="single" w:sz="4" w:space="0" w:color="auto"/>
              <w:bottom w:val="nil"/>
              <w:right w:val="single" w:sz="4" w:space="0" w:color="auto"/>
            </w:tcBorders>
            <w:hideMark/>
          </w:tcPr>
          <w:p w14:paraId="59669FCB" w14:textId="77777777" w:rsidR="00CC5419" w:rsidRDefault="00CC5419" w:rsidP="005F054A">
            <w:pPr>
              <w:pStyle w:val="TAC"/>
            </w:pPr>
            <w:r>
              <w:rPr>
                <w:rFonts w:cs="Calibri"/>
              </w:rPr>
              <w:t>≥[</w:t>
            </w:r>
            <w:r>
              <w:t>24]</w:t>
            </w:r>
          </w:p>
        </w:tc>
        <w:tc>
          <w:tcPr>
            <w:tcW w:w="709" w:type="dxa"/>
            <w:tcBorders>
              <w:top w:val="single" w:sz="4" w:space="0" w:color="auto"/>
              <w:left w:val="single" w:sz="4" w:space="0" w:color="auto"/>
              <w:bottom w:val="nil"/>
              <w:right w:val="single" w:sz="4" w:space="0" w:color="auto"/>
            </w:tcBorders>
          </w:tcPr>
          <w:p w14:paraId="510D01EB" w14:textId="77777777" w:rsidR="00CC5419" w:rsidRDefault="00CC5419" w:rsidP="005F054A">
            <w:pPr>
              <w:pStyle w:val="TAC"/>
            </w:pPr>
            <w:r>
              <w:t>15</w:t>
            </w:r>
          </w:p>
        </w:tc>
        <w:tc>
          <w:tcPr>
            <w:tcW w:w="1832" w:type="dxa"/>
            <w:tcBorders>
              <w:top w:val="single" w:sz="4" w:space="0" w:color="auto"/>
              <w:left w:val="single" w:sz="4" w:space="0" w:color="auto"/>
              <w:bottom w:val="nil"/>
              <w:right w:val="single" w:sz="4" w:space="0" w:color="auto"/>
            </w:tcBorders>
            <w:hideMark/>
          </w:tcPr>
          <w:p w14:paraId="7B0F76AC" w14:textId="77777777" w:rsidR="00CC5419" w:rsidRDefault="00CC5419" w:rsidP="005F054A">
            <w:pPr>
              <w:pStyle w:val="TAC"/>
            </w:pPr>
            <w:r>
              <w:t>≥[4]</w:t>
            </w:r>
          </w:p>
        </w:tc>
        <w:tc>
          <w:tcPr>
            <w:tcW w:w="2267" w:type="dxa"/>
            <w:tcBorders>
              <w:top w:val="single" w:sz="4" w:space="0" w:color="auto"/>
              <w:left w:val="single" w:sz="4" w:space="0" w:color="auto"/>
              <w:bottom w:val="single" w:sz="4" w:space="0" w:color="auto"/>
              <w:right w:val="single" w:sz="4" w:space="0" w:color="auto"/>
            </w:tcBorders>
            <w:vAlign w:val="center"/>
            <w:hideMark/>
          </w:tcPr>
          <w:p w14:paraId="1B48B0AE" w14:textId="77777777" w:rsidR="00CC5419" w:rsidRDefault="00CC5419" w:rsidP="005F054A">
            <w:pPr>
              <w:pStyle w:val="TAC"/>
            </w:pPr>
            <w:r>
              <w:t>NR_FDD_FR1_A, NR_TDD_FR1_A,</w:t>
            </w:r>
          </w:p>
          <w:p w14:paraId="4EAEB0FE" w14:textId="77777777" w:rsidR="00CC5419" w:rsidRDefault="00CC5419" w:rsidP="005F054A">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1EC8D971" w14:textId="77777777" w:rsidR="00CC5419" w:rsidRDefault="00CC5419" w:rsidP="005F054A">
            <w:pPr>
              <w:pStyle w:val="TAC"/>
            </w:pPr>
            <w:r>
              <w:t>-121</w:t>
            </w:r>
          </w:p>
        </w:tc>
        <w:tc>
          <w:tcPr>
            <w:tcW w:w="1123" w:type="dxa"/>
            <w:tcBorders>
              <w:top w:val="single" w:sz="4" w:space="0" w:color="auto"/>
              <w:left w:val="single" w:sz="4" w:space="0" w:color="auto"/>
              <w:bottom w:val="nil"/>
              <w:right w:val="single" w:sz="4" w:space="0" w:color="auto"/>
            </w:tcBorders>
            <w:hideMark/>
          </w:tcPr>
          <w:p w14:paraId="1A4A7D60" w14:textId="77777777" w:rsidR="00CC5419" w:rsidRDefault="00CC5419" w:rsidP="005F054A">
            <w:pPr>
              <w:pStyle w:val="TAC"/>
            </w:pPr>
            <w:r>
              <w:t>-50</w:t>
            </w:r>
          </w:p>
        </w:tc>
      </w:tr>
      <w:tr w:rsidR="00CC5419" w14:paraId="31034EC8"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EB85457"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6088790D"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6E98D3B1"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77FE23AF"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6BABF079"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E35548F" w14:textId="77777777" w:rsidR="00CC5419" w:rsidRDefault="00CC5419" w:rsidP="005F054A">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1EF9BC81" w14:textId="77777777" w:rsidR="00CC5419" w:rsidRDefault="00CC5419" w:rsidP="005F054A">
            <w:pPr>
              <w:pStyle w:val="TAC"/>
            </w:pPr>
            <w:r>
              <w:t>-120.5</w:t>
            </w:r>
          </w:p>
        </w:tc>
        <w:tc>
          <w:tcPr>
            <w:tcW w:w="1123" w:type="dxa"/>
            <w:tcBorders>
              <w:top w:val="nil"/>
              <w:left w:val="single" w:sz="4" w:space="0" w:color="auto"/>
              <w:bottom w:val="nil"/>
              <w:right w:val="single" w:sz="4" w:space="0" w:color="auto"/>
            </w:tcBorders>
            <w:vAlign w:val="center"/>
            <w:hideMark/>
          </w:tcPr>
          <w:p w14:paraId="6DC1706F" w14:textId="77777777" w:rsidR="00CC5419" w:rsidRDefault="00CC5419" w:rsidP="005F054A">
            <w:pPr>
              <w:pStyle w:val="TAC"/>
            </w:pPr>
          </w:p>
        </w:tc>
      </w:tr>
      <w:tr w:rsidR="00CC5419" w14:paraId="6A7F0BD2"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6F21D41"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71593534"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65B0FFE"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6E813FBD"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6F7725E6"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8F5ECA7" w14:textId="77777777" w:rsidR="00CC5419" w:rsidRDefault="00CC5419" w:rsidP="005F054A">
            <w:pPr>
              <w:pStyle w:val="TAC"/>
            </w:pPr>
            <w:r>
              <w:t>NR_TDD_FR1_C</w:t>
            </w:r>
          </w:p>
        </w:tc>
        <w:tc>
          <w:tcPr>
            <w:tcW w:w="1289" w:type="dxa"/>
            <w:tcBorders>
              <w:top w:val="single" w:sz="4" w:space="0" w:color="auto"/>
              <w:left w:val="single" w:sz="4" w:space="0" w:color="auto"/>
              <w:bottom w:val="single" w:sz="4" w:space="0" w:color="auto"/>
              <w:right w:val="single" w:sz="4" w:space="0" w:color="auto"/>
            </w:tcBorders>
            <w:vAlign w:val="center"/>
            <w:hideMark/>
          </w:tcPr>
          <w:p w14:paraId="1D84A580" w14:textId="77777777" w:rsidR="00CC5419" w:rsidRDefault="00CC5419" w:rsidP="005F054A">
            <w:pPr>
              <w:pStyle w:val="TAC"/>
            </w:pPr>
            <w:r>
              <w:t>-120</w:t>
            </w:r>
          </w:p>
        </w:tc>
        <w:tc>
          <w:tcPr>
            <w:tcW w:w="1123" w:type="dxa"/>
            <w:tcBorders>
              <w:top w:val="nil"/>
              <w:left w:val="single" w:sz="4" w:space="0" w:color="auto"/>
              <w:bottom w:val="nil"/>
              <w:right w:val="single" w:sz="4" w:space="0" w:color="auto"/>
            </w:tcBorders>
            <w:vAlign w:val="center"/>
            <w:hideMark/>
          </w:tcPr>
          <w:p w14:paraId="04CDE962" w14:textId="77777777" w:rsidR="00CC5419" w:rsidRDefault="00CC5419" w:rsidP="005F054A">
            <w:pPr>
              <w:pStyle w:val="TAC"/>
            </w:pPr>
          </w:p>
        </w:tc>
      </w:tr>
      <w:tr w:rsidR="00CC5419" w14:paraId="66045FF9"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26F57279"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3135571D"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665BAE21"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66340379"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747630D7"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53C99EB" w14:textId="77777777" w:rsidR="00CC5419" w:rsidRDefault="00CC5419" w:rsidP="005F054A">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vAlign w:val="center"/>
            <w:hideMark/>
          </w:tcPr>
          <w:p w14:paraId="30E9C947" w14:textId="77777777" w:rsidR="00CC5419" w:rsidRDefault="00CC5419" w:rsidP="005F054A">
            <w:pPr>
              <w:pStyle w:val="TAC"/>
            </w:pPr>
            <w:r>
              <w:t>-119.5</w:t>
            </w:r>
          </w:p>
        </w:tc>
        <w:tc>
          <w:tcPr>
            <w:tcW w:w="1123" w:type="dxa"/>
            <w:tcBorders>
              <w:top w:val="nil"/>
              <w:left w:val="single" w:sz="4" w:space="0" w:color="auto"/>
              <w:bottom w:val="nil"/>
              <w:right w:val="single" w:sz="4" w:space="0" w:color="auto"/>
            </w:tcBorders>
            <w:vAlign w:val="center"/>
            <w:hideMark/>
          </w:tcPr>
          <w:p w14:paraId="13DB7AD8" w14:textId="77777777" w:rsidR="00CC5419" w:rsidRDefault="00CC5419" w:rsidP="005F054A">
            <w:pPr>
              <w:pStyle w:val="TAC"/>
            </w:pPr>
          </w:p>
        </w:tc>
      </w:tr>
      <w:tr w:rsidR="00CC5419" w14:paraId="4195169C"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0E2B371"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240AC3AE"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4C01A494"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7613AEB5"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6C225A00"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CE3A2C4" w14:textId="77777777" w:rsidR="00CC5419" w:rsidRDefault="00CC5419" w:rsidP="005F054A">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3E82147" w14:textId="77777777" w:rsidR="00CC5419" w:rsidRDefault="00CC5419" w:rsidP="005F054A">
            <w:pPr>
              <w:pStyle w:val="TAC"/>
            </w:pPr>
            <w:r>
              <w:t>-119</w:t>
            </w:r>
          </w:p>
        </w:tc>
        <w:tc>
          <w:tcPr>
            <w:tcW w:w="1123" w:type="dxa"/>
            <w:tcBorders>
              <w:top w:val="nil"/>
              <w:left w:val="single" w:sz="4" w:space="0" w:color="auto"/>
              <w:bottom w:val="nil"/>
              <w:right w:val="single" w:sz="4" w:space="0" w:color="auto"/>
            </w:tcBorders>
            <w:vAlign w:val="center"/>
            <w:hideMark/>
          </w:tcPr>
          <w:p w14:paraId="3B51862C" w14:textId="77777777" w:rsidR="00CC5419" w:rsidRDefault="00CC5419" w:rsidP="005F054A">
            <w:pPr>
              <w:pStyle w:val="TAC"/>
            </w:pPr>
          </w:p>
        </w:tc>
      </w:tr>
      <w:tr w:rsidR="00CC5419" w14:paraId="3EFC6086"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0F91233C"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4E016FFD"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283229C8"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2779B493"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031139DB"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6E540DA" w14:textId="77777777" w:rsidR="00CC5419" w:rsidRDefault="00CC5419" w:rsidP="005F054A">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3F5D12C" w14:textId="77777777" w:rsidR="00CC5419" w:rsidRDefault="00CC5419" w:rsidP="005F054A">
            <w:pPr>
              <w:pStyle w:val="TAC"/>
            </w:pPr>
            <w:r>
              <w:t>-118.5</w:t>
            </w:r>
          </w:p>
        </w:tc>
        <w:tc>
          <w:tcPr>
            <w:tcW w:w="1123" w:type="dxa"/>
            <w:tcBorders>
              <w:top w:val="nil"/>
              <w:left w:val="single" w:sz="4" w:space="0" w:color="auto"/>
              <w:bottom w:val="nil"/>
              <w:right w:val="single" w:sz="4" w:space="0" w:color="auto"/>
            </w:tcBorders>
            <w:vAlign w:val="center"/>
            <w:hideMark/>
          </w:tcPr>
          <w:p w14:paraId="68667DFE" w14:textId="77777777" w:rsidR="00CC5419" w:rsidRDefault="00CC5419" w:rsidP="005F054A">
            <w:pPr>
              <w:pStyle w:val="TAC"/>
            </w:pPr>
          </w:p>
        </w:tc>
      </w:tr>
      <w:tr w:rsidR="00CC5419" w14:paraId="305B1AF0"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730FDA0E"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422D4212"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5D4C9776"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5E5B6B6C"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7434FB1A"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F9211BA" w14:textId="77777777" w:rsidR="00CC5419" w:rsidRDefault="00CC5419" w:rsidP="005F054A">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vAlign w:val="center"/>
            <w:hideMark/>
          </w:tcPr>
          <w:p w14:paraId="11BEDB06" w14:textId="77777777" w:rsidR="00CC5419" w:rsidRDefault="00CC5419" w:rsidP="005F054A">
            <w:pPr>
              <w:pStyle w:val="TAC"/>
            </w:pPr>
            <w:r>
              <w:t>-118</w:t>
            </w:r>
          </w:p>
        </w:tc>
        <w:tc>
          <w:tcPr>
            <w:tcW w:w="1123" w:type="dxa"/>
            <w:tcBorders>
              <w:top w:val="nil"/>
              <w:left w:val="single" w:sz="4" w:space="0" w:color="auto"/>
              <w:bottom w:val="nil"/>
              <w:right w:val="single" w:sz="4" w:space="0" w:color="auto"/>
            </w:tcBorders>
            <w:vAlign w:val="center"/>
            <w:hideMark/>
          </w:tcPr>
          <w:p w14:paraId="61E52F79" w14:textId="77777777" w:rsidR="00CC5419" w:rsidRDefault="00CC5419" w:rsidP="005F054A">
            <w:pPr>
              <w:pStyle w:val="TAC"/>
            </w:pPr>
          </w:p>
        </w:tc>
      </w:tr>
      <w:tr w:rsidR="00CC5419" w14:paraId="34391361"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22524D5"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5602C955" w14:textId="77777777" w:rsidR="00CC5419" w:rsidRDefault="00CC5419" w:rsidP="005F054A">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43F2A66F"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4EE7C105" w14:textId="77777777" w:rsidR="00CC5419" w:rsidRDefault="00CC5419" w:rsidP="005F054A">
            <w:pPr>
              <w:pStyle w:val="TAC"/>
            </w:pPr>
          </w:p>
        </w:tc>
        <w:tc>
          <w:tcPr>
            <w:tcW w:w="1832" w:type="dxa"/>
            <w:tcBorders>
              <w:top w:val="nil"/>
              <w:left w:val="single" w:sz="4" w:space="0" w:color="auto"/>
              <w:bottom w:val="single" w:sz="4" w:space="0" w:color="auto"/>
              <w:right w:val="single" w:sz="4" w:space="0" w:color="auto"/>
            </w:tcBorders>
            <w:vAlign w:val="center"/>
            <w:hideMark/>
          </w:tcPr>
          <w:p w14:paraId="2BE4CEB5"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03DAD332" w14:textId="77777777" w:rsidR="00CC5419" w:rsidRDefault="00CC5419" w:rsidP="005F054A">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CE4C5AE" w14:textId="77777777" w:rsidR="00CC5419" w:rsidRDefault="00CC5419" w:rsidP="005F054A">
            <w:pPr>
              <w:pStyle w:val="TAC"/>
            </w:pPr>
            <w:r>
              <w:t>-117.5</w:t>
            </w:r>
          </w:p>
        </w:tc>
        <w:tc>
          <w:tcPr>
            <w:tcW w:w="1123" w:type="dxa"/>
            <w:tcBorders>
              <w:top w:val="nil"/>
              <w:left w:val="single" w:sz="4" w:space="0" w:color="auto"/>
              <w:bottom w:val="single" w:sz="4" w:space="0" w:color="auto"/>
              <w:right w:val="single" w:sz="4" w:space="0" w:color="auto"/>
            </w:tcBorders>
            <w:vAlign w:val="center"/>
            <w:hideMark/>
          </w:tcPr>
          <w:p w14:paraId="6F809DF8" w14:textId="77777777" w:rsidR="00CC5419" w:rsidRDefault="00CC5419" w:rsidP="005F054A">
            <w:pPr>
              <w:pStyle w:val="TAC"/>
            </w:pPr>
          </w:p>
        </w:tc>
      </w:tr>
      <w:tr w:rsidR="00CC5419" w14:paraId="1BF5BE06" w14:textId="77777777" w:rsidTr="005F054A">
        <w:trPr>
          <w:jc w:val="center"/>
        </w:trPr>
        <w:tc>
          <w:tcPr>
            <w:tcW w:w="1132" w:type="dxa"/>
            <w:tcBorders>
              <w:top w:val="single" w:sz="6" w:space="0" w:color="auto"/>
              <w:left w:val="single" w:sz="4" w:space="0" w:color="auto"/>
              <w:bottom w:val="nil"/>
              <w:right w:val="single" w:sz="6" w:space="0" w:color="auto"/>
            </w:tcBorders>
            <w:vAlign w:val="center"/>
            <w:hideMark/>
          </w:tcPr>
          <w:p w14:paraId="0CA93374" w14:textId="77777777" w:rsidR="00CC5419" w:rsidRDefault="00CC5419" w:rsidP="005F054A">
            <w:pPr>
              <w:pStyle w:val="TAC"/>
            </w:pPr>
            <w:r>
              <w:t>± [59+</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hideMark/>
          </w:tcPr>
          <w:p w14:paraId="522799FE"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544B8F99" w14:textId="77777777" w:rsidR="00CC5419" w:rsidRDefault="00CC5419" w:rsidP="005F054A">
            <w:pPr>
              <w:pStyle w:val="TAC"/>
            </w:pPr>
            <w:r>
              <w:rPr>
                <w:rFonts w:cs="Calibri"/>
              </w:rPr>
              <w:t>≥[</w:t>
            </w:r>
            <w:r>
              <w:t>52]</w:t>
            </w:r>
          </w:p>
        </w:tc>
        <w:tc>
          <w:tcPr>
            <w:tcW w:w="709" w:type="dxa"/>
            <w:tcBorders>
              <w:top w:val="nil"/>
              <w:left w:val="single" w:sz="4" w:space="0" w:color="auto"/>
              <w:bottom w:val="nil"/>
              <w:right w:val="single" w:sz="4" w:space="0" w:color="auto"/>
            </w:tcBorders>
            <w:vAlign w:val="center"/>
            <w:hideMark/>
          </w:tcPr>
          <w:p w14:paraId="71D0B0C1" w14:textId="77777777" w:rsidR="00CC5419" w:rsidRDefault="00CC5419" w:rsidP="005F054A">
            <w:pPr>
              <w:pStyle w:val="TAC"/>
            </w:pPr>
          </w:p>
        </w:tc>
        <w:tc>
          <w:tcPr>
            <w:tcW w:w="1832" w:type="dxa"/>
            <w:tcBorders>
              <w:top w:val="single" w:sz="4" w:space="0" w:color="auto"/>
              <w:left w:val="single" w:sz="4" w:space="0" w:color="auto"/>
              <w:bottom w:val="single" w:sz="4" w:space="0" w:color="auto"/>
              <w:right w:val="single" w:sz="4" w:space="0" w:color="auto"/>
            </w:tcBorders>
            <w:vAlign w:val="center"/>
            <w:hideMark/>
          </w:tcPr>
          <w:p w14:paraId="6E19C396" w14:textId="77777777" w:rsidR="00CC5419" w:rsidRDefault="00CC5419" w:rsidP="005F054A">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6D714BD9" w14:textId="77777777" w:rsidR="00CC5419" w:rsidRDefault="00CC5419" w:rsidP="005F054A">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2E77B580" w14:textId="77777777" w:rsidR="00CC5419" w:rsidRDefault="00CC5419" w:rsidP="005F054A">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417AB81B" w14:textId="77777777" w:rsidR="00CC5419" w:rsidRDefault="00CC5419" w:rsidP="005F054A">
            <w:pPr>
              <w:pStyle w:val="TAC"/>
            </w:pPr>
            <w:r>
              <w:t>NOTE 6</w:t>
            </w:r>
          </w:p>
        </w:tc>
      </w:tr>
      <w:tr w:rsidR="00CC5419" w14:paraId="49A37D1B" w14:textId="77777777" w:rsidTr="005F054A">
        <w:trPr>
          <w:jc w:val="center"/>
        </w:trPr>
        <w:tc>
          <w:tcPr>
            <w:tcW w:w="1132" w:type="dxa"/>
            <w:tcBorders>
              <w:top w:val="single" w:sz="6" w:space="0" w:color="auto"/>
              <w:left w:val="single" w:sz="4" w:space="0" w:color="auto"/>
              <w:bottom w:val="nil"/>
              <w:right w:val="single" w:sz="6" w:space="0" w:color="auto"/>
            </w:tcBorders>
            <w:vAlign w:val="center"/>
            <w:hideMark/>
          </w:tcPr>
          <w:p w14:paraId="3D87BA55" w14:textId="77777777" w:rsidR="00CC5419" w:rsidRDefault="00CC5419" w:rsidP="005F054A">
            <w:pPr>
              <w:pStyle w:val="TAC"/>
            </w:pPr>
            <w:r>
              <w:t>± [30+</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hideMark/>
          </w:tcPr>
          <w:p w14:paraId="1B0413AA"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67330DC" w14:textId="77777777" w:rsidR="00CC5419" w:rsidRDefault="00CC5419" w:rsidP="005F054A">
            <w:pPr>
              <w:pStyle w:val="TAC"/>
            </w:pPr>
            <w:r>
              <w:rPr>
                <w:lang w:eastAsia="zh-CN"/>
              </w:rPr>
              <w:t>&gt;[104]</w:t>
            </w:r>
          </w:p>
        </w:tc>
        <w:tc>
          <w:tcPr>
            <w:tcW w:w="709" w:type="dxa"/>
            <w:tcBorders>
              <w:top w:val="nil"/>
              <w:left w:val="single" w:sz="4" w:space="0" w:color="auto"/>
              <w:bottom w:val="single" w:sz="4" w:space="0" w:color="auto"/>
              <w:right w:val="single" w:sz="4" w:space="0" w:color="auto"/>
            </w:tcBorders>
            <w:vAlign w:val="center"/>
            <w:hideMark/>
          </w:tcPr>
          <w:p w14:paraId="0C262212" w14:textId="77777777" w:rsidR="00CC5419" w:rsidRDefault="00CC5419" w:rsidP="005F054A">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2DF5BE38" w14:textId="77777777" w:rsidR="00CC5419" w:rsidRDefault="00CC5419" w:rsidP="005F054A">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478F2E3B" w14:textId="77777777" w:rsidR="00CC5419" w:rsidRDefault="00CC5419" w:rsidP="005F054A">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5AED56A3" w14:textId="77777777" w:rsidR="00CC5419" w:rsidRDefault="00CC5419" w:rsidP="005F054A">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5E2196CF" w14:textId="77777777" w:rsidR="00CC5419" w:rsidRDefault="00CC5419" w:rsidP="005F054A">
            <w:pPr>
              <w:pStyle w:val="TAC"/>
            </w:pPr>
            <w:r>
              <w:t>NOTE 6</w:t>
            </w:r>
          </w:p>
        </w:tc>
      </w:tr>
      <w:tr w:rsidR="00CC5419" w14:paraId="0FC0A071" w14:textId="77777777" w:rsidTr="005F054A">
        <w:trPr>
          <w:trHeight w:val="24"/>
          <w:jc w:val="center"/>
        </w:trPr>
        <w:tc>
          <w:tcPr>
            <w:tcW w:w="1132" w:type="dxa"/>
            <w:tcBorders>
              <w:top w:val="single" w:sz="6" w:space="0" w:color="auto"/>
              <w:left w:val="single" w:sz="4" w:space="0" w:color="auto"/>
              <w:bottom w:val="nil"/>
              <w:right w:val="single" w:sz="6" w:space="0" w:color="auto"/>
            </w:tcBorders>
            <w:vAlign w:val="center"/>
            <w:hideMark/>
          </w:tcPr>
          <w:p w14:paraId="200362F5" w14:textId="77777777" w:rsidR="00CC5419" w:rsidRDefault="00CC5419" w:rsidP="005F054A">
            <w:pPr>
              <w:pStyle w:val="TAC"/>
            </w:pPr>
            <w:r>
              <w:t>± [57+</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3CF804EE" w14:textId="77777777" w:rsidR="00CC5419" w:rsidRDefault="00CC5419" w:rsidP="005F054A">
            <w:pPr>
              <w:pStyle w:val="TAC"/>
              <w:rPr>
                <w:lang w:val="sv-SE"/>
              </w:rPr>
            </w:pPr>
          </w:p>
        </w:tc>
        <w:tc>
          <w:tcPr>
            <w:tcW w:w="1133" w:type="dxa"/>
            <w:tcBorders>
              <w:top w:val="single" w:sz="4" w:space="0" w:color="auto"/>
              <w:left w:val="single" w:sz="4" w:space="0" w:color="auto"/>
              <w:bottom w:val="nil"/>
              <w:right w:val="single" w:sz="4" w:space="0" w:color="auto"/>
            </w:tcBorders>
            <w:hideMark/>
          </w:tcPr>
          <w:p w14:paraId="11E1F395" w14:textId="77777777" w:rsidR="00CC5419" w:rsidRDefault="00CC5419" w:rsidP="005F054A">
            <w:pPr>
              <w:pStyle w:val="TAC"/>
            </w:pPr>
            <w:r>
              <w:rPr>
                <w:rFonts w:cs="Calibri"/>
              </w:rPr>
              <w:t>≥[</w:t>
            </w:r>
            <w:r>
              <w:t>24]</w:t>
            </w:r>
          </w:p>
        </w:tc>
        <w:tc>
          <w:tcPr>
            <w:tcW w:w="709" w:type="dxa"/>
            <w:tcBorders>
              <w:top w:val="single" w:sz="4" w:space="0" w:color="auto"/>
              <w:left w:val="single" w:sz="4" w:space="0" w:color="auto"/>
              <w:bottom w:val="nil"/>
              <w:right w:val="single" w:sz="4" w:space="0" w:color="auto"/>
            </w:tcBorders>
            <w:hideMark/>
          </w:tcPr>
          <w:p w14:paraId="244A5BCB" w14:textId="77777777" w:rsidR="00CC5419" w:rsidRDefault="00CC5419" w:rsidP="005F054A">
            <w:pPr>
              <w:pStyle w:val="TAC"/>
            </w:pPr>
            <w:r>
              <w:t>30</w:t>
            </w:r>
          </w:p>
        </w:tc>
        <w:tc>
          <w:tcPr>
            <w:tcW w:w="1832" w:type="dxa"/>
            <w:tcBorders>
              <w:top w:val="single" w:sz="4" w:space="0" w:color="auto"/>
              <w:left w:val="single" w:sz="4" w:space="0" w:color="auto"/>
              <w:bottom w:val="nil"/>
              <w:right w:val="single" w:sz="4" w:space="0" w:color="auto"/>
            </w:tcBorders>
            <w:hideMark/>
          </w:tcPr>
          <w:p w14:paraId="53B04B38" w14:textId="77777777" w:rsidR="00CC5419" w:rsidRDefault="00CC5419" w:rsidP="005F054A">
            <w:pPr>
              <w:pStyle w:val="TAC"/>
            </w:pPr>
            <w:r>
              <w:t>≥[4]</w:t>
            </w:r>
          </w:p>
        </w:tc>
        <w:tc>
          <w:tcPr>
            <w:tcW w:w="2267" w:type="dxa"/>
            <w:tcBorders>
              <w:top w:val="single" w:sz="4" w:space="0" w:color="auto"/>
              <w:left w:val="single" w:sz="4" w:space="0" w:color="auto"/>
              <w:bottom w:val="single" w:sz="4" w:space="0" w:color="auto"/>
              <w:right w:val="single" w:sz="4" w:space="0" w:color="auto"/>
            </w:tcBorders>
            <w:vAlign w:val="center"/>
            <w:hideMark/>
          </w:tcPr>
          <w:p w14:paraId="2D428055" w14:textId="77777777" w:rsidR="00CC5419" w:rsidRDefault="00CC5419" w:rsidP="005F054A">
            <w:pPr>
              <w:pStyle w:val="TAC"/>
            </w:pPr>
            <w:r>
              <w:t>NR_FDD_FR1_A, NR_TDD_FR1_A,</w:t>
            </w:r>
          </w:p>
          <w:p w14:paraId="6B420050" w14:textId="77777777" w:rsidR="00CC5419" w:rsidRDefault="00CC5419" w:rsidP="005F054A">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5E12E92F" w14:textId="77777777" w:rsidR="00CC5419" w:rsidRDefault="00CC5419" w:rsidP="005F054A">
            <w:pPr>
              <w:pStyle w:val="TAC"/>
            </w:pPr>
            <w:r>
              <w:t>-118</w:t>
            </w:r>
          </w:p>
        </w:tc>
        <w:tc>
          <w:tcPr>
            <w:tcW w:w="1123" w:type="dxa"/>
            <w:tcBorders>
              <w:top w:val="single" w:sz="4" w:space="0" w:color="auto"/>
              <w:left w:val="single" w:sz="4" w:space="0" w:color="auto"/>
              <w:bottom w:val="nil"/>
              <w:right w:val="single" w:sz="4" w:space="0" w:color="auto"/>
            </w:tcBorders>
            <w:hideMark/>
          </w:tcPr>
          <w:p w14:paraId="16888E1D" w14:textId="77777777" w:rsidR="00CC5419" w:rsidRDefault="00CC5419" w:rsidP="005F054A">
            <w:pPr>
              <w:pStyle w:val="TAC"/>
            </w:pPr>
            <w:r>
              <w:t>-50</w:t>
            </w:r>
          </w:p>
        </w:tc>
      </w:tr>
      <w:tr w:rsidR="00CC5419" w14:paraId="7504C26F"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6BD7C17A"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4F264886"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AB92967"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7C761D65"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5A52A8BF"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020875F" w14:textId="77777777" w:rsidR="00CC5419" w:rsidRDefault="00CC5419" w:rsidP="005F054A">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6AF61523" w14:textId="77777777" w:rsidR="00CC5419" w:rsidRDefault="00CC5419" w:rsidP="005F054A">
            <w:pPr>
              <w:pStyle w:val="TAC"/>
            </w:pPr>
            <w:r>
              <w:t>-117.5</w:t>
            </w:r>
          </w:p>
        </w:tc>
        <w:tc>
          <w:tcPr>
            <w:tcW w:w="1123" w:type="dxa"/>
            <w:tcBorders>
              <w:top w:val="nil"/>
              <w:left w:val="single" w:sz="4" w:space="0" w:color="auto"/>
              <w:bottom w:val="nil"/>
              <w:right w:val="single" w:sz="4" w:space="0" w:color="auto"/>
            </w:tcBorders>
            <w:vAlign w:val="center"/>
            <w:hideMark/>
          </w:tcPr>
          <w:p w14:paraId="7D95C072" w14:textId="77777777" w:rsidR="00CC5419" w:rsidRDefault="00CC5419" w:rsidP="005F054A">
            <w:pPr>
              <w:pStyle w:val="TAC"/>
            </w:pPr>
          </w:p>
        </w:tc>
      </w:tr>
      <w:tr w:rsidR="00CC5419" w14:paraId="53A30C24"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52A40140"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78D0E7DC"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15BED8B"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3EB4A279"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32C9BF8B"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00C616A9" w14:textId="77777777" w:rsidR="00CC5419" w:rsidRDefault="00CC5419" w:rsidP="005F054A">
            <w:pPr>
              <w:pStyle w:val="TAC"/>
            </w:pPr>
            <w:r>
              <w:t>NR_TDD_FR1_C</w:t>
            </w:r>
          </w:p>
        </w:tc>
        <w:tc>
          <w:tcPr>
            <w:tcW w:w="1289" w:type="dxa"/>
            <w:tcBorders>
              <w:top w:val="single" w:sz="4" w:space="0" w:color="auto"/>
              <w:left w:val="single" w:sz="4" w:space="0" w:color="auto"/>
              <w:bottom w:val="single" w:sz="4" w:space="0" w:color="auto"/>
              <w:right w:val="single" w:sz="4" w:space="0" w:color="auto"/>
            </w:tcBorders>
            <w:hideMark/>
          </w:tcPr>
          <w:p w14:paraId="4A5FF8BB" w14:textId="77777777" w:rsidR="00CC5419" w:rsidRDefault="00CC5419" w:rsidP="005F054A">
            <w:pPr>
              <w:pStyle w:val="TAC"/>
            </w:pPr>
            <w:r>
              <w:t>-117</w:t>
            </w:r>
          </w:p>
        </w:tc>
        <w:tc>
          <w:tcPr>
            <w:tcW w:w="1123" w:type="dxa"/>
            <w:tcBorders>
              <w:top w:val="nil"/>
              <w:left w:val="single" w:sz="4" w:space="0" w:color="auto"/>
              <w:bottom w:val="nil"/>
              <w:right w:val="single" w:sz="4" w:space="0" w:color="auto"/>
            </w:tcBorders>
            <w:vAlign w:val="center"/>
            <w:hideMark/>
          </w:tcPr>
          <w:p w14:paraId="5ED605A2" w14:textId="77777777" w:rsidR="00CC5419" w:rsidRDefault="00CC5419" w:rsidP="005F054A">
            <w:pPr>
              <w:pStyle w:val="TAC"/>
            </w:pPr>
          </w:p>
        </w:tc>
      </w:tr>
      <w:tr w:rsidR="00CC5419" w14:paraId="4858A012"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31159752"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245B0141"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524BD3A2"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4202D075"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0103F3D8"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0FAE690F" w14:textId="77777777" w:rsidR="00CC5419" w:rsidRDefault="00CC5419" w:rsidP="005F054A">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hideMark/>
          </w:tcPr>
          <w:p w14:paraId="310111C9" w14:textId="77777777" w:rsidR="00CC5419" w:rsidRDefault="00CC5419" w:rsidP="005F054A">
            <w:pPr>
              <w:pStyle w:val="TAC"/>
              <w:rPr>
                <w:lang w:val="sv-SE"/>
              </w:rPr>
            </w:pPr>
            <w:r>
              <w:t>-116.5</w:t>
            </w:r>
          </w:p>
        </w:tc>
        <w:tc>
          <w:tcPr>
            <w:tcW w:w="1123" w:type="dxa"/>
            <w:tcBorders>
              <w:top w:val="nil"/>
              <w:left w:val="single" w:sz="4" w:space="0" w:color="auto"/>
              <w:bottom w:val="nil"/>
              <w:right w:val="single" w:sz="4" w:space="0" w:color="auto"/>
            </w:tcBorders>
            <w:vAlign w:val="center"/>
            <w:hideMark/>
          </w:tcPr>
          <w:p w14:paraId="111406E1" w14:textId="77777777" w:rsidR="00CC5419" w:rsidRDefault="00CC5419" w:rsidP="005F054A">
            <w:pPr>
              <w:pStyle w:val="TAC"/>
            </w:pPr>
          </w:p>
        </w:tc>
      </w:tr>
      <w:tr w:rsidR="00CC5419" w14:paraId="057E8BB9"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0B01A8D3"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59B64D04"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41B56C4B"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68084AEA"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212EF2C3"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123F111" w14:textId="77777777" w:rsidR="00CC5419" w:rsidRDefault="00CC5419" w:rsidP="005F054A">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hideMark/>
          </w:tcPr>
          <w:p w14:paraId="7AE3E4ED" w14:textId="77777777" w:rsidR="00CC5419" w:rsidRDefault="00CC5419" w:rsidP="005F054A">
            <w:pPr>
              <w:pStyle w:val="TAC"/>
              <w:rPr>
                <w:lang w:val="sv-SE"/>
              </w:rPr>
            </w:pPr>
            <w:r>
              <w:t>-116</w:t>
            </w:r>
          </w:p>
        </w:tc>
        <w:tc>
          <w:tcPr>
            <w:tcW w:w="1123" w:type="dxa"/>
            <w:tcBorders>
              <w:top w:val="nil"/>
              <w:left w:val="single" w:sz="4" w:space="0" w:color="auto"/>
              <w:bottom w:val="nil"/>
              <w:right w:val="single" w:sz="4" w:space="0" w:color="auto"/>
            </w:tcBorders>
            <w:vAlign w:val="center"/>
            <w:hideMark/>
          </w:tcPr>
          <w:p w14:paraId="13D24A71" w14:textId="77777777" w:rsidR="00CC5419" w:rsidRDefault="00CC5419" w:rsidP="005F054A">
            <w:pPr>
              <w:pStyle w:val="TAC"/>
            </w:pPr>
          </w:p>
        </w:tc>
      </w:tr>
      <w:tr w:rsidR="00CC5419" w14:paraId="1AA780A4"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62C2F44C"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6C22FB5F"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15125DB5"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7CA19555"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5DEAE100"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16C6B869" w14:textId="77777777" w:rsidR="00CC5419" w:rsidRDefault="00CC5419" w:rsidP="005F054A">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hideMark/>
          </w:tcPr>
          <w:p w14:paraId="609D4DD6" w14:textId="77777777" w:rsidR="00CC5419" w:rsidRDefault="00CC5419" w:rsidP="005F054A">
            <w:pPr>
              <w:pStyle w:val="TAC"/>
            </w:pPr>
            <w:r>
              <w:t>-115.5</w:t>
            </w:r>
          </w:p>
        </w:tc>
        <w:tc>
          <w:tcPr>
            <w:tcW w:w="1123" w:type="dxa"/>
            <w:tcBorders>
              <w:top w:val="nil"/>
              <w:left w:val="single" w:sz="4" w:space="0" w:color="auto"/>
              <w:bottom w:val="nil"/>
              <w:right w:val="single" w:sz="4" w:space="0" w:color="auto"/>
            </w:tcBorders>
            <w:vAlign w:val="center"/>
            <w:hideMark/>
          </w:tcPr>
          <w:p w14:paraId="0DC005B4" w14:textId="77777777" w:rsidR="00CC5419" w:rsidRDefault="00CC5419" w:rsidP="005F054A">
            <w:pPr>
              <w:pStyle w:val="TAC"/>
            </w:pPr>
          </w:p>
        </w:tc>
      </w:tr>
      <w:tr w:rsidR="00CC5419" w14:paraId="6D00DB50"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26FEDA89"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1A129423"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55C9B870"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36B58398"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6C862F10"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2C878A3" w14:textId="77777777" w:rsidR="00CC5419" w:rsidRDefault="00CC5419" w:rsidP="005F054A">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hideMark/>
          </w:tcPr>
          <w:p w14:paraId="0FC900ED" w14:textId="77777777" w:rsidR="00CC5419" w:rsidRDefault="00CC5419" w:rsidP="005F054A">
            <w:pPr>
              <w:pStyle w:val="TAC"/>
            </w:pPr>
            <w:r>
              <w:t>-115</w:t>
            </w:r>
          </w:p>
        </w:tc>
        <w:tc>
          <w:tcPr>
            <w:tcW w:w="1123" w:type="dxa"/>
            <w:tcBorders>
              <w:top w:val="nil"/>
              <w:left w:val="single" w:sz="4" w:space="0" w:color="auto"/>
              <w:bottom w:val="nil"/>
              <w:right w:val="single" w:sz="4" w:space="0" w:color="auto"/>
            </w:tcBorders>
            <w:vAlign w:val="center"/>
            <w:hideMark/>
          </w:tcPr>
          <w:p w14:paraId="2D353361" w14:textId="77777777" w:rsidR="00CC5419" w:rsidRDefault="00CC5419" w:rsidP="005F054A">
            <w:pPr>
              <w:pStyle w:val="TAC"/>
            </w:pPr>
          </w:p>
        </w:tc>
      </w:tr>
      <w:tr w:rsidR="00CC5419" w14:paraId="1D6D9BED" w14:textId="77777777" w:rsidTr="005F054A">
        <w:trPr>
          <w:jc w:val="center"/>
        </w:trPr>
        <w:tc>
          <w:tcPr>
            <w:tcW w:w="1132" w:type="dxa"/>
            <w:tcBorders>
              <w:top w:val="nil"/>
              <w:left w:val="single" w:sz="4" w:space="0" w:color="auto"/>
              <w:bottom w:val="single" w:sz="6" w:space="0" w:color="auto"/>
              <w:right w:val="single" w:sz="6" w:space="0" w:color="auto"/>
            </w:tcBorders>
            <w:vAlign w:val="center"/>
            <w:hideMark/>
          </w:tcPr>
          <w:p w14:paraId="54EA8C6A"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tcPr>
          <w:p w14:paraId="45199E31" w14:textId="77777777" w:rsidR="00CC5419" w:rsidRDefault="00CC5419" w:rsidP="005F054A">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02D695EC"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7D422339" w14:textId="77777777" w:rsidR="00CC5419" w:rsidRDefault="00CC5419" w:rsidP="005F054A">
            <w:pPr>
              <w:pStyle w:val="TAC"/>
            </w:pPr>
          </w:p>
        </w:tc>
        <w:tc>
          <w:tcPr>
            <w:tcW w:w="1832" w:type="dxa"/>
            <w:tcBorders>
              <w:top w:val="nil"/>
              <w:left w:val="single" w:sz="4" w:space="0" w:color="auto"/>
              <w:bottom w:val="single" w:sz="4" w:space="0" w:color="auto"/>
              <w:right w:val="single" w:sz="4" w:space="0" w:color="auto"/>
            </w:tcBorders>
            <w:vAlign w:val="center"/>
            <w:hideMark/>
          </w:tcPr>
          <w:p w14:paraId="6D4E2D27"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B273437" w14:textId="77777777" w:rsidR="00CC5419" w:rsidRDefault="00CC5419" w:rsidP="005F054A">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hideMark/>
          </w:tcPr>
          <w:p w14:paraId="5A0B1658" w14:textId="77777777" w:rsidR="00CC5419" w:rsidRDefault="00CC5419" w:rsidP="005F054A">
            <w:pPr>
              <w:pStyle w:val="TAC"/>
            </w:pPr>
            <w:r>
              <w:t>-114.5</w:t>
            </w:r>
          </w:p>
        </w:tc>
        <w:tc>
          <w:tcPr>
            <w:tcW w:w="1123" w:type="dxa"/>
            <w:tcBorders>
              <w:top w:val="nil"/>
              <w:left w:val="single" w:sz="4" w:space="0" w:color="auto"/>
              <w:bottom w:val="single" w:sz="4" w:space="0" w:color="auto"/>
              <w:right w:val="single" w:sz="4" w:space="0" w:color="auto"/>
            </w:tcBorders>
            <w:vAlign w:val="center"/>
            <w:hideMark/>
          </w:tcPr>
          <w:p w14:paraId="76650B40" w14:textId="77777777" w:rsidR="00CC5419" w:rsidRDefault="00CC5419" w:rsidP="005F054A">
            <w:pPr>
              <w:pStyle w:val="TAC"/>
            </w:pPr>
          </w:p>
        </w:tc>
      </w:tr>
      <w:tr w:rsidR="00CC5419" w14:paraId="562BCDCD"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11038860" w14:textId="77777777" w:rsidR="00CC5419" w:rsidRDefault="00CC5419" w:rsidP="005F054A">
            <w:pPr>
              <w:pStyle w:val="TAC"/>
            </w:pPr>
            <w:r>
              <w:t>± [30+</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4F9383F8"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693AAAAA" w14:textId="77777777" w:rsidR="00CC5419" w:rsidRDefault="00CC5419" w:rsidP="005F054A">
            <w:pPr>
              <w:pStyle w:val="TAC"/>
            </w:pPr>
            <w:r>
              <w:rPr>
                <w:rFonts w:cs="Calibri"/>
              </w:rPr>
              <w:t>≥[</w:t>
            </w:r>
            <w:r>
              <w:rPr>
                <w:lang w:eastAsia="zh-CN"/>
              </w:rPr>
              <w:t>48]</w:t>
            </w:r>
          </w:p>
        </w:tc>
        <w:tc>
          <w:tcPr>
            <w:tcW w:w="709" w:type="dxa"/>
            <w:tcBorders>
              <w:top w:val="nil"/>
              <w:left w:val="single" w:sz="4" w:space="0" w:color="auto"/>
              <w:bottom w:val="nil"/>
              <w:right w:val="single" w:sz="4" w:space="0" w:color="auto"/>
            </w:tcBorders>
            <w:vAlign w:val="center"/>
            <w:hideMark/>
          </w:tcPr>
          <w:p w14:paraId="0AB23957" w14:textId="77777777" w:rsidR="00CC5419" w:rsidRDefault="00CC5419" w:rsidP="005F054A">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724E8290" w14:textId="77777777" w:rsidR="00CC5419" w:rsidRDefault="00CC5419" w:rsidP="005F054A">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48F3C4D9" w14:textId="77777777" w:rsidR="00CC5419" w:rsidRDefault="00CC5419" w:rsidP="005F054A">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4AD3A075" w14:textId="77777777" w:rsidR="00CC5419" w:rsidRDefault="00CC5419" w:rsidP="005F054A">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33BF8A5D" w14:textId="77777777" w:rsidR="00CC5419" w:rsidRDefault="00CC5419" w:rsidP="005F054A">
            <w:pPr>
              <w:pStyle w:val="TAC"/>
            </w:pPr>
            <w:r>
              <w:t>NOTE 6</w:t>
            </w:r>
          </w:p>
        </w:tc>
      </w:tr>
      <w:tr w:rsidR="00CC5419" w14:paraId="0D9F7C97"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69831E44" w14:textId="77777777" w:rsidR="00CC5419" w:rsidRDefault="00CC5419" w:rsidP="005F054A">
            <w:pPr>
              <w:pStyle w:val="TAC"/>
            </w:pPr>
            <w:r>
              <w:t>± [15+</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662D0D03"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69592506" w14:textId="77777777" w:rsidR="00CC5419" w:rsidRDefault="00CC5419" w:rsidP="005F054A">
            <w:pPr>
              <w:pStyle w:val="TAC"/>
            </w:pPr>
            <w:r>
              <w:rPr>
                <w:rFonts w:cs="Calibri"/>
              </w:rPr>
              <w:t>≥[</w:t>
            </w:r>
            <w:r>
              <w:rPr>
                <w:lang w:eastAsia="zh-CN"/>
              </w:rPr>
              <w:t>132]</w:t>
            </w:r>
          </w:p>
        </w:tc>
        <w:tc>
          <w:tcPr>
            <w:tcW w:w="709" w:type="dxa"/>
            <w:tcBorders>
              <w:top w:val="nil"/>
              <w:left w:val="single" w:sz="4" w:space="0" w:color="auto"/>
              <w:bottom w:val="single" w:sz="4" w:space="0" w:color="auto"/>
              <w:right w:val="single" w:sz="4" w:space="0" w:color="auto"/>
            </w:tcBorders>
            <w:vAlign w:val="center"/>
            <w:hideMark/>
          </w:tcPr>
          <w:p w14:paraId="1BEE3777" w14:textId="77777777" w:rsidR="00CC5419" w:rsidRDefault="00CC5419" w:rsidP="005F054A">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1CD2935E" w14:textId="77777777" w:rsidR="00CC5419" w:rsidRDefault="00CC5419" w:rsidP="005F054A">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556C4D65" w14:textId="77777777" w:rsidR="00CC5419" w:rsidRDefault="00CC5419" w:rsidP="005F054A">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36E20A23" w14:textId="77777777" w:rsidR="00CC5419" w:rsidRDefault="00CC5419" w:rsidP="005F054A">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18ABB084" w14:textId="77777777" w:rsidR="00CC5419" w:rsidRDefault="00CC5419" w:rsidP="005F054A">
            <w:pPr>
              <w:pStyle w:val="TAC"/>
            </w:pPr>
            <w:r>
              <w:t>NOTE 6</w:t>
            </w:r>
          </w:p>
        </w:tc>
      </w:tr>
      <w:tr w:rsidR="00CC5419" w14:paraId="423E636F" w14:textId="77777777" w:rsidTr="005F054A">
        <w:trPr>
          <w:trHeight w:val="21"/>
          <w:jc w:val="center"/>
        </w:trPr>
        <w:tc>
          <w:tcPr>
            <w:tcW w:w="1132" w:type="dxa"/>
            <w:tcBorders>
              <w:top w:val="single" w:sz="6" w:space="0" w:color="auto"/>
              <w:left w:val="single" w:sz="4" w:space="0" w:color="auto"/>
              <w:bottom w:val="nil"/>
              <w:right w:val="single" w:sz="6" w:space="0" w:color="auto"/>
            </w:tcBorders>
            <w:hideMark/>
          </w:tcPr>
          <w:p w14:paraId="3A7B6F05" w14:textId="77777777" w:rsidR="00CC5419" w:rsidRDefault="00CC5419" w:rsidP="005F054A">
            <w:pPr>
              <w:pStyle w:val="TAC"/>
            </w:pPr>
            <w:r>
              <w:t>± [29+</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hideMark/>
          </w:tcPr>
          <w:p w14:paraId="2C5ED534" w14:textId="77777777" w:rsidR="00CC5419" w:rsidRDefault="00CC5419" w:rsidP="005F054A">
            <w:pPr>
              <w:pStyle w:val="TAC"/>
              <w:rPr>
                <w:lang w:val="sv-SE"/>
              </w:rPr>
            </w:pPr>
          </w:p>
        </w:tc>
        <w:tc>
          <w:tcPr>
            <w:tcW w:w="1133" w:type="dxa"/>
            <w:tcBorders>
              <w:top w:val="single" w:sz="4" w:space="0" w:color="auto"/>
              <w:left w:val="single" w:sz="4" w:space="0" w:color="auto"/>
              <w:bottom w:val="nil"/>
              <w:right w:val="single" w:sz="4" w:space="0" w:color="auto"/>
            </w:tcBorders>
            <w:hideMark/>
          </w:tcPr>
          <w:p w14:paraId="4D26032E" w14:textId="77777777" w:rsidR="00CC5419" w:rsidRDefault="00CC5419" w:rsidP="005F054A">
            <w:pPr>
              <w:pStyle w:val="TAC"/>
            </w:pPr>
            <w:r>
              <w:rPr>
                <w:rFonts w:cs="Calibri"/>
              </w:rPr>
              <w:t>≥[</w:t>
            </w:r>
            <w:r>
              <w:t>24]</w:t>
            </w:r>
          </w:p>
        </w:tc>
        <w:tc>
          <w:tcPr>
            <w:tcW w:w="709" w:type="dxa"/>
            <w:tcBorders>
              <w:top w:val="single" w:sz="4" w:space="0" w:color="auto"/>
              <w:left w:val="single" w:sz="4" w:space="0" w:color="auto"/>
              <w:bottom w:val="nil"/>
              <w:right w:val="single" w:sz="4" w:space="0" w:color="auto"/>
            </w:tcBorders>
            <w:hideMark/>
          </w:tcPr>
          <w:p w14:paraId="4654ED01" w14:textId="77777777" w:rsidR="00CC5419" w:rsidRDefault="00CC5419" w:rsidP="005F054A">
            <w:pPr>
              <w:pStyle w:val="TAC"/>
            </w:pPr>
            <w:r>
              <w:t>60</w:t>
            </w:r>
          </w:p>
        </w:tc>
        <w:tc>
          <w:tcPr>
            <w:tcW w:w="1832" w:type="dxa"/>
            <w:tcBorders>
              <w:top w:val="single" w:sz="4" w:space="0" w:color="auto"/>
              <w:left w:val="single" w:sz="4" w:space="0" w:color="auto"/>
              <w:bottom w:val="nil"/>
              <w:right w:val="single" w:sz="4" w:space="0" w:color="auto"/>
            </w:tcBorders>
            <w:hideMark/>
          </w:tcPr>
          <w:p w14:paraId="43150B6A" w14:textId="77777777" w:rsidR="00CC5419" w:rsidRDefault="00CC5419" w:rsidP="005F054A">
            <w:pPr>
              <w:pStyle w:val="TAC"/>
            </w:pPr>
            <w:r>
              <w:t>≥[4]</w:t>
            </w:r>
          </w:p>
        </w:tc>
        <w:tc>
          <w:tcPr>
            <w:tcW w:w="2267" w:type="dxa"/>
            <w:tcBorders>
              <w:top w:val="single" w:sz="4" w:space="0" w:color="auto"/>
              <w:left w:val="single" w:sz="4" w:space="0" w:color="auto"/>
              <w:bottom w:val="single" w:sz="4" w:space="0" w:color="auto"/>
              <w:right w:val="single" w:sz="4" w:space="0" w:color="auto"/>
            </w:tcBorders>
            <w:vAlign w:val="center"/>
            <w:hideMark/>
          </w:tcPr>
          <w:p w14:paraId="1963C95C" w14:textId="77777777" w:rsidR="00CC5419" w:rsidRDefault="00CC5419" w:rsidP="005F054A">
            <w:pPr>
              <w:pStyle w:val="TAC"/>
            </w:pPr>
            <w:r>
              <w:t>NR_FDD_FR1_A, NR_TDD_FR1_A,</w:t>
            </w:r>
          </w:p>
          <w:p w14:paraId="24309ED2" w14:textId="77777777" w:rsidR="00CC5419" w:rsidRDefault="00CC5419" w:rsidP="005F054A">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7849B44E" w14:textId="77777777" w:rsidR="00CC5419" w:rsidRDefault="00CC5419" w:rsidP="005F054A">
            <w:pPr>
              <w:pStyle w:val="TAC"/>
            </w:pPr>
            <w:r>
              <w:t>-115</w:t>
            </w:r>
          </w:p>
        </w:tc>
        <w:tc>
          <w:tcPr>
            <w:tcW w:w="1123" w:type="dxa"/>
            <w:tcBorders>
              <w:top w:val="single" w:sz="4" w:space="0" w:color="auto"/>
              <w:left w:val="single" w:sz="4" w:space="0" w:color="auto"/>
              <w:bottom w:val="nil"/>
              <w:right w:val="single" w:sz="4" w:space="0" w:color="auto"/>
            </w:tcBorders>
            <w:hideMark/>
          </w:tcPr>
          <w:p w14:paraId="3E970242" w14:textId="77777777" w:rsidR="00CC5419" w:rsidRDefault="00CC5419" w:rsidP="005F054A">
            <w:pPr>
              <w:pStyle w:val="TAC"/>
            </w:pPr>
            <w:r>
              <w:t>-50</w:t>
            </w:r>
          </w:p>
        </w:tc>
      </w:tr>
      <w:tr w:rsidR="00CC5419" w14:paraId="0B0C4C72"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E7981C6"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46746AB6"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7B2EA39A"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474742D5"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13DBB0D6"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E1BB1D8" w14:textId="77777777" w:rsidR="00CC5419" w:rsidRDefault="00CC5419" w:rsidP="005F054A">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37829CD6" w14:textId="77777777" w:rsidR="00CC5419" w:rsidRDefault="00CC5419" w:rsidP="005F054A">
            <w:pPr>
              <w:pStyle w:val="TAC"/>
            </w:pPr>
            <w:r>
              <w:t>-114.5</w:t>
            </w:r>
          </w:p>
        </w:tc>
        <w:tc>
          <w:tcPr>
            <w:tcW w:w="1123" w:type="dxa"/>
            <w:tcBorders>
              <w:top w:val="nil"/>
              <w:left w:val="single" w:sz="4" w:space="0" w:color="auto"/>
              <w:bottom w:val="nil"/>
              <w:right w:val="single" w:sz="4" w:space="0" w:color="auto"/>
            </w:tcBorders>
            <w:hideMark/>
          </w:tcPr>
          <w:p w14:paraId="28C790D7" w14:textId="77777777" w:rsidR="00CC5419" w:rsidRDefault="00CC5419" w:rsidP="005F054A">
            <w:pPr>
              <w:pStyle w:val="TAC"/>
            </w:pPr>
          </w:p>
        </w:tc>
      </w:tr>
      <w:tr w:rsidR="00CC5419" w14:paraId="3CF71BB5"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71DD57B3"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537A6743"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19D84B49"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19CCF01C"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66242BAD"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14AC6CF5" w14:textId="77777777" w:rsidR="00CC5419" w:rsidRDefault="00CC5419" w:rsidP="005F054A">
            <w:pPr>
              <w:pStyle w:val="TAC"/>
            </w:pPr>
            <w:r>
              <w:t>NR_TDD_FR1_C</w:t>
            </w:r>
          </w:p>
        </w:tc>
        <w:tc>
          <w:tcPr>
            <w:tcW w:w="1289" w:type="dxa"/>
            <w:tcBorders>
              <w:top w:val="single" w:sz="4" w:space="0" w:color="auto"/>
              <w:left w:val="single" w:sz="4" w:space="0" w:color="auto"/>
              <w:bottom w:val="single" w:sz="4" w:space="0" w:color="auto"/>
              <w:right w:val="single" w:sz="4" w:space="0" w:color="auto"/>
            </w:tcBorders>
            <w:hideMark/>
          </w:tcPr>
          <w:p w14:paraId="35DCB611" w14:textId="77777777" w:rsidR="00CC5419" w:rsidRDefault="00CC5419" w:rsidP="005F054A">
            <w:pPr>
              <w:pStyle w:val="TAC"/>
            </w:pPr>
            <w:r>
              <w:t>-114</w:t>
            </w:r>
          </w:p>
        </w:tc>
        <w:tc>
          <w:tcPr>
            <w:tcW w:w="1123" w:type="dxa"/>
            <w:tcBorders>
              <w:top w:val="nil"/>
              <w:left w:val="single" w:sz="4" w:space="0" w:color="auto"/>
              <w:bottom w:val="nil"/>
              <w:right w:val="single" w:sz="4" w:space="0" w:color="auto"/>
            </w:tcBorders>
            <w:hideMark/>
          </w:tcPr>
          <w:p w14:paraId="6F417374" w14:textId="77777777" w:rsidR="00CC5419" w:rsidRDefault="00CC5419" w:rsidP="005F054A">
            <w:pPr>
              <w:pStyle w:val="TAC"/>
            </w:pPr>
          </w:p>
        </w:tc>
      </w:tr>
      <w:tr w:rsidR="00CC5419" w14:paraId="2E3B4BEC"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EEEBE40"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580592BD"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68DB2F4E"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3BB2AA96"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504721DF"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3EB38A2" w14:textId="77777777" w:rsidR="00CC5419" w:rsidRDefault="00CC5419" w:rsidP="005F054A">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hideMark/>
          </w:tcPr>
          <w:p w14:paraId="01E889C7" w14:textId="77777777" w:rsidR="00CC5419" w:rsidRDefault="00CC5419" w:rsidP="005F054A">
            <w:pPr>
              <w:pStyle w:val="TAC"/>
              <w:rPr>
                <w:lang w:val="sv-SE"/>
              </w:rPr>
            </w:pPr>
            <w:r>
              <w:t>-113.5</w:t>
            </w:r>
          </w:p>
        </w:tc>
        <w:tc>
          <w:tcPr>
            <w:tcW w:w="1123" w:type="dxa"/>
            <w:tcBorders>
              <w:top w:val="nil"/>
              <w:left w:val="single" w:sz="4" w:space="0" w:color="auto"/>
              <w:bottom w:val="nil"/>
              <w:right w:val="single" w:sz="4" w:space="0" w:color="auto"/>
            </w:tcBorders>
            <w:hideMark/>
          </w:tcPr>
          <w:p w14:paraId="50FA527C" w14:textId="77777777" w:rsidR="00CC5419" w:rsidRDefault="00CC5419" w:rsidP="005F054A">
            <w:pPr>
              <w:pStyle w:val="TAC"/>
            </w:pPr>
          </w:p>
        </w:tc>
      </w:tr>
      <w:tr w:rsidR="00CC5419" w14:paraId="5D4D5834"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3DC644B"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290056A2"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D083FF9"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108AF300"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3D98FBAD"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0FBE9ED" w14:textId="77777777" w:rsidR="00CC5419" w:rsidRDefault="00CC5419" w:rsidP="005F054A">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hideMark/>
          </w:tcPr>
          <w:p w14:paraId="4B49E6EA" w14:textId="77777777" w:rsidR="00CC5419" w:rsidRDefault="00CC5419" w:rsidP="005F054A">
            <w:pPr>
              <w:pStyle w:val="TAC"/>
              <w:rPr>
                <w:lang w:val="sv-SE"/>
              </w:rPr>
            </w:pPr>
            <w:r>
              <w:t>-113</w:t>
            </w:r>
          </w:p>
        </w:tc>
        <w:tc>
          <w:tcPr>
            <w:tcW w:w="1123" w:type="dxa"/>
            <w:tcBorders>
              <w:top w:val="nil"/>
              <w:left w:val="single" w:sz="4" w:space="0" w:color="auto"/>
              <w:bottom w:val="nil"/>
              <w:right w:val="single" w:sz="4" w:space="0" w:color="auto"/>
            </w:tcBorders>
            <w:hideMark/>
          </w:tcPr>
          <w:p w14:paraId="6D2C733A" w14:textId="77777777" w:rsidR="00CC5419" w:rsidRDefault="00CC5419" w:rsidP="005F054A">
            <w:pPr>
              <w:pStyle w:val="TAC"/>
            </w:pPr>
          </w:p>
        </w:tc>
      </w:tr>
      <w:tr w:rsidR="00CC5419" w14:paraId="4395E2E5"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7B3D9E86"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05F78081"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309983A"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2221A7DD"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00318502"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06C85F4B" w14:textId="77777777" w:rsidR="00CC5419" w:rsidRDefault="00CC5419" w:rsidP="005F054A">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hideMark/>
          </w:tcPr>
          <w:p w14:paraId="4FFC7140" w14:textId="77777777" w:rsidR="00CC5419" w:rsidRDefault="00CC5419" w:rsidP="005F054A">
            <w:pPr>
              <w:pStyle w:val="TAC"/>
            </w:pPr>
            <w:r>
              <w:t>-113.5</w:t>
            </w:r>
          </w:p>
        </w:tc>
        <w:tc>
          <w:tcPr>
            <w:tcW w:w="1123" w:type="dxa"/>
            <w:tcBorders>
              <w:top w:val="nil"/>
              <w:left w:val="single" w:sz="4" w:space="0" w:color="auto"/>
              <w:bottom w:val="nil"/>
              <w:right w:val="single" w:sz="4" w:space="0" w:color="auto"/>
            </w:tcBorders>
            <w:hideMark/>
          </w:tcPr>
          <w:p w14:paraId="22918487" w14:textId="77777777" w:rsidR="00CC5419" w:rsidRDefault="00CC5419" w:rsidP="005F054A">
            <w:pPr>
              <w:pStyle w:val="TAC"/>
            </w:pPr>
          </w:p>
        </w:tc>
      </w:tr>
      <w:tr w:rsidR="00CC5419" w14:paraId="1C8EE5FF"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82E3957"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505AA9C1"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412F2136"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4819F520" w14:textId="77777777" w:rsidR="00CC5419" w:rsidRDefault="00CC5419" w:rsidP="005F054A">
            <w:pPr>
              <w:pStyle w:val="TAC"/>
            </w:pPr>
          </w:p>
        </w:tc>
        <w:tc>
          <w:tcPr>
            <w:tcW w:w="1832" w:type="dxa"/>
            <w:tcBorders>
              <w:top w:val="nil"/>
              <w:left w:val="single" w:sz="4" w:space="0" w:color="auto"/>
              <w:bottom w:val="nil"/>
              <w:right w:val="single" w:sz="4" w:space="0" w:color="auto"/>
            </w:tcBorders>
            <w:vAlign w:val="center"/>
            <w:hideMark/>
          </w:tcPr>
          <w:p w14:paraId="26DDA4AB"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002F802" w14:textId="77777777" w:rsidR="00CC5419" w:rsidRDefault="00CC5419" w:rsidP="005F054A">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hideMark/>
          </w:tcPr>
          <w:p w14:paraId="2CF12DEF" w14:textId="77777777" w:rsidR="00CC5419" w:rsidRDefault="00CC5419" w:rsidP="005F054A">
            <w:pPr>
              <w:pStyle w:val="TAC"/>
            </w:pPr>
            <w:r>
              <w:t>-113</w:t>
            </w:r>
          </w:p>
        </w:tc>
        <w:tc>
          <w:tcPr>
            <w:tcW w:w="1123" w:type="dxa"/>
            <w:tcBorders>
              <w:top w:val="nil"/>
              <w:left w:val="single" w:sz="4" w:space="0" w:color="auto"/>
              <w:bottom w:val="nil"/>
              <w:right w:val="single" w:sz="4" w:space="0" w:color="auto"/>
            </w:tcBorders>
            <w:hideMark/>
          </w:tcPr>
          <w:p w14:paraId="3B7BEF0F" w14:textId="77777777" w:rsidR="00CC5419" w:rsidRDefault="00CC5419" w:rsidP="005F054A">
            <w:pPr>
              <w:pStyle w:val="TAC"/>
            </w:pPr>
          </w:p>
        </w:tc>
      </w:tr>
      <w:tr w:rsidR="00CC5419" w14:paraId="10C28CE1" w14:textId="77777777" w:rsidTr="005F054A">
        <w:trPr>
          <w:trHeight w:val="20"/>
          <w:jc w:val="center"/>
        </w:trPr>
        <w:tc>
          <w:tcPr>
            <w:tcW w:w="1132" w:type="dxa"/>
            <w:tcBorders>
              <w:top w:val="nil"/>
              <w:left w:val="single" w:sz="4" w:space="0" w:color="auto"/>
              <w:bottom w:val="single" w:sz="6" w:space="0" w:color="auto"/>
              <w:right w:val="single" w:sz="6" w:space="0" w:color="auto"/>
            </w:tcBorders>
            <w:vAlign w:val="center"/>
            <w:hideMark/>
          </w:tcPr>
          <w:p w14:paraId="311A2F6B"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5499F629" w14:textId="77777777" w:rsidR="00CC5419" w:rsidRDefault="00CC5419" w:rsidP="005F054A">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31855804"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638E521D" w14:textId="77777777" w:rsidR="00CC5419" w:rsidRDefault="00CC5419" w:rsidP="005F054A">
            <w:pPr>
              <w:pStyle w:val="TAC"/>
            </w:pPr>
          </w:p>
        </w:tc>
        <w:tc>
          <w:tcPr>
            <w:tcW w:w="1832" w:type="dxa"/>
            <w:tcBorders>
              <w:top w:val="nil"/>
              <w:left w:val="single" w:sz="4" w:space="0" w:color="auto"/>
              <w:bottom w:val="single" w:sz="4" w:space="0" w:color="auto"/>
              <w:right w:val="single" w:sz="4" w:space="0" w:color="auto"/>
            </w:tcBorders>
            <w:vAlign w:val="center"/>
            <w:hideMark/>
          </w:tcPr>
          <w:p w14:paraId="65F1195F"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D672E7F" w14:textId="77777777" w:rsidR="00CC5419" w:rsidRDefault="00CC5419" w:rsidP="005F054A">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hideMark/>
          </w:tcPr>
          <w:p w14:paraId="2A6FA7F0" w14:textId="77777777" w:rsidR="00CC5419" w:rsidRDefault="00CC5419" w:rsidP="005F054A">
            <w:pPr>
              <w:pStyle w:val="TAC"/>
            </w:pPr>
            <w:r>
              <w:t>-111.5</w:t>
            </w:r>
          </w:p>
        </w:tc>
        <w:tc>
          <w:tcPr>
            <w:tcW w:w="1123" w:type="dxa"/>
            <w:tcBorders>
              <w:top w:val="nil"/>
              <w:left w:val="single" w:sz="4" w:space="0" w:color="auto"/>
              <w:bottom w:val="single" w:sz="4" w:space="0" w:color="auto"/>
              <w:right w:val="single" w:sz="4" w:space="0" w:color="auto"/>
            </w:tcBorders>
            <w:hideMark/>
          </w:tcPr>
          <w:p w14:paraId="188A67F3" w14:textId="77777777" w:rsidR="00CC5419" w:rsidRDefault="00CC5419" w:rsidP="005F054A">
            <w:pPr>
              <w:pStyle w:val="TAC"/>
            </w:pPr>
          </w:p>
        </w:tc>
      </w:tr>
      <w:tr w:rsidR="00CC5419" w14:paraId="7C91A10F"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12A33EAD" w14:textId="77777777" w:rsidR="00CC5419" w:rsidRDefault="00CC5419" w:rsidP="005F054A">
            <w:pPr>
              <w:pStyle w:val="TAC"/>
            </w:pPr>
            <w:r>
              <w:t>± [15+</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1BA82966"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1D48EA86" w14:textId="77777777" w:rsidR="00CC5419" w:rsidRDefault="00CC5419" w:rsidP="005F054A">
            <w:pPr>
              <w:pStyle w:val="TAC"/>
            </w:pPr>
            <w:r>
              <w:rPr>
                <w:rFonts w:cs="Calibri"/>
              </w:rPr>
              <w:t>≥</w:t>
            </w:r>
            <w:r>
              <w:rPr>
                <w:lang w:eastAsia="zh-CN"/>
              </w:rPr>
              <w:t>[64]</w:t>
            </w:r>
          </w:p>
        </w:tc>
        <w:tc>
          <w:tcPr>
            <w:tcW w:w="709" w:type="dxa"/>
            <w:tcBorders>
              <w:top w:val="nil"/>
              <w:left w:val="single" w:sz="4" w:space="0" w:color="auto"/>
              <w:bottom w:val="nil"/>
              <w:right w:val="single" w:sz="4" w:space="0" w:color="auto"/>
            </w:tcBorders>
          </w:tcPr>
          <w:p w14:paraId="1159E090" w14:textId="77777777" w:rsidR="00CC5419" w:rsidRDefault="00CC5419" w:rsidP="005F054A">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4008AB89" w14:textId="77777777" w:rsidR="00CC5419" w:rsidRDefault="00CC5419" w:rsidP="005F054A">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27A97B97" w14:textId="77777777" w:rsidR="00CC5419" w:rsidRDefault="00CC5419" w:rsidP="005F054A">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2BF71B03" w14:textId="77777777" w:rsidR="00CC5419" w:rsidRDefault="00CC5419" w:rsidP="005F054A">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41D3FCAF" w14:textId="77777777" w:rsidR="00CC5419" w:rsidRDefault="00CC5419" w:rsidP="005F054A">
            <w:pPr>
              <w:pStyle w:val="TAC"/>
            </w:pPr>
            <w:r>
              <w:t>NOTE 6</w:t>
            </w:r>
          </w:p>
        </w:tc>
      </w:tr>
      <w:tr w:rsidR="00CC5419" w14:paraId="0AE66E0D"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79DCB455" w14:textId="77777777" w:rsidR="00CC5419" w:rsidRDefault="00CC5419" w:rsidP="005F054A">
            <w:pPr>
              <w:pStyle w:val="TAC"/>
            </w:pPr>
            <w:r>
              <w:t>± [7+</w:t>
            </w:r>
            <w:r>
              <w:sym w:font="Symbol" w:char="F064"/>
            </w:r>
            <w:r>
              <w:t>+</w:t>
            </w:r>
            <w:r>
              <w:rPr>
                <w:rFonts w:ascii="Cambria Math" w:hAnsi="Cambria Math"/>
                <w:color w:val="0070C0"/>
              </w:rPr>
              <w:t>ℇ</w:t>
            </w:r>
            <w:r>
              <w:t>]</w:t>
            </w:r>
          </w:p>
        </w:tc>
        <w:tc>
          <w:tcPr>
            <w:tcW w:w="715" w:type="dxa"/>
            <w:tcBorders>
              <w:top w:val="nil"/>
              <w:left w:val="single" w:sz="4" w:space="0" w:color="auto"/>
              <w:bottom w:val="single" w:sz="4" w:space="0" w:color="auto"/>
              <w:right w:val="single" w:sz="4" w:space="0" w:color="auto"/>
            </w:tcBorders>
            <w:vAlign w:val="center"/>
          </w:tcPr>
          <w:p w14:paraId="22FF12B2"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2E7D0D35" w14:textId="77777777" w:rsidR="00CC5419" w:rsidRDefault="00CC5419" w:rsidP="005F054A">
            <w:pPr>
              <w:pStyle w:val="TAC"/>
            </w:pPr>
            <w:r>
              <w:rPr>
                <w:rFonts w:cs="Calibri"/>
              </w:rPr>
              <w:t>≥</w:t>
            </w:r>
            <w:r>
              <w:rPr>
                <w:lang w:eastAsia="zh-CN"/>
              </w:rPr>
              <w:t>[132]</w:t>
            </w:r>
          </w:p>
        </w:tc>
        <w:tc>
          <w:tcPr>
            <w:tcW w:w="709" w:type="dxa"/>
            <w:tcBorders>
              <w:top w:val="nil"/>
              <w:left w:val="single" w:sz="4" w:space="0" w:color="auto"/>
              <w:bottom w:val="single" w:sz="4" w:space="0" w:color="auto"/>
              <w:right w:val="single" w:sz="4" w:space="0" w:color="auto"/>
            </w:tcBorders>
          </w:tcPr>
          <w:p w14:paraId="0E707C3B" w14:textId="77777777" w:rsidR="00CC5419" w:rsidRDefault="00CC5419" w:rsidP="005F054A">
            <w:pPr>
              <w:pStyle w:val="TAC"/>
            </w:pPr>
          </w:p>
        </w:tc>
        <w:tc>
          <w:tcPr>
            <w:tcW w:w="1832" w:type="dxa"/>
            <w:tcBorders>
              <w:top w:val="single" w:sz="4" w:space="0" w:color="auto"/>
              <w:left w:val="single" w:sz="4" w:space="0" w:color="auto"/>
              <w:bottom w:val="single" w:sz="4" w:space="0" w:color="auto"/>
              <w:right w:val="single" w:sz="4" w:space="0" w:color="auto"/>
            </w:tcBorders>
            <w:hideMark/>
          </w:tcPr>
          <w:p w14:paraId="0C5A8BF9" w14:textId="77777777" w:rsidR="00CC5419" w:rsidRDefault="00CC5419" w:rsidP="005F054A">
            <w:pPr>
              <w:pStyle w:val="TAC"/>
            </w:pPr>
            <w:r>
              <w:t>≥[1]</w:t>
            </w:r>
          </w:p>
        </w:tc>
        <w:tc>
          <w:tcPr>
            <w:tcW w:w="2267" w:type="dxa"/>
            <w:tcBorders>
              <w:top w:val="single" w:sz="4" w:space="0" w:color="auto"/>
              <w:left w:val="single" w:sz="4" w:space="0" w:color="auto"/>
              <w:bottom w:val="single" w:sz="4" w:space="0" w:color="auto"/>
              <w:right w:val="single" w:sz="4" w:space="0" w:color="auto"/>
            </w:tcBorders>
            <w:hideMark/>
          </w:tcPr>
          <w:p w14:paraId="08B88D34" w14:textId="77777777" w:rsidR="00CC5419" w:rsidRDefault="00CC5419" w:rsidP="005F054A">
            <w:pPr>
              <w:pStyle w:val="TAC"/>
            </w:pPr>
            <w:r>
              <w:t>NOTE 6</w:t>
            </w:r>
          </w:p>
        </w:tc>
        <w:tc>
          <w:tcPr>
            <w:tcW w:w="1289" w:type="dxa"/>
            <w:tcBorders>
              <w:top w:val="single" w:sz="4" w:space="0" w:color="auto"/>
              <w:left w:val="single" w:sz="4" w:space="0" w:color="auto"/>
              <w:bottom w:val="single" w:sz="4" w:space="0" w:color="auto"/>
              <w:right w:val="single" w:sz="4" w:space="0" w:color="auto"/>
            </w:tcBorders>
            <w:hideMark/>
          </w:tcPr>
          <w:p w14:paraId="2B0DAAC8" w14:textId="77777777" w:rsidR="00CC5419" w:rsidRDefault="00CC5419" w:rsidP="005F054A">
            <w:pPr>
              <w:pStyle w:val="TAC"/>
            </w:pPr>
            <w:r>
              <w:t>NOTE 6</w:t>
            </w:r>
          </w:p>
        </w:tc>
        <w:tc>
          <w:tcPr>
            <w:tcW w:w="1123" w:type="dxa"/>
            <w:tcBorders>
              <w:top w:val="single" w:sz="4" w:space="0" w:color="auto"/>
              <w:left w:val="single" w:sz="4" w:space="0" w:color="auto"/>
              <w:bottom w:val="single" w:sz="4" w:space="0" w:color="auto"/>
              <w:right w:val="single" w:sz="4" w:space="0" w:color="auto"/>
            </w:tcBorders>
            <w:hideMark/>
          </w:tcPr>
          <w:p w14:paraId="465D788C" w14:textId="77777777" w:rsidR="00CC5419" w:rsidRDefault="00CC5419" w:rsidP="005F054A">
            <w:pPr>
              <w:pStyle w:val="TAC"/>
            </w:pPr>
            <w:r>
              <w:t>NOTE 6</w:t>
            </w:r>
          </w:p>
        </w:tc>
      </w:tr>
      <w:tr w:rsidR="00CC5419" w14:paraId="639110A2" w14:textId="77777777" w:rsidTr="005F054A">
        <w:trPr>
          <w:jc w:val="center"/>
        </w:trPr>
        <w:tc>
          <w:tcPr>
            <w:tcW w:w="10200" w:type="dxa"/>
            <w:gridSpan w:val="8"/>
            <w:tcBorders>
              <w:top w:val="single" w:sz="4" w:space="0" w:color="auto"/>
              <w:left w:val="single" w:sz="4" w:space="0" w:color="auto"/>
              <w:bottom w:val="single" w:sz="4" w:space="0" w:color="auto"/>
              <w:right w:val="single" w:sz="4" w:space="0" w:color="auto"/>
            </w:tcBorders>
            <w:hideMark/>
          </w:tcPr>
          <w:p w14:paraId="45189E5F" w14:textId="77777777" w:rsidR="00CC5419" w:rsidRDefault="00CC5419" w:rsidP="005F054A">
            <w:pPr>
              <w:pStyle w:val="TAN"/>
            </w:pPr>
            <w:r>
              <w:t>N</w:t>
            </w:r>
            <w:r>
              <w:rPr>
                <w:lang w:eastAsia="zh-CN"/>
              </w:rPr>
              <w:t>OTE</w:t>
            </w:r>
            <w:r>
              <w:t xml:space="preserve"> 1:</w:t>
            </w:r>
            <w:r>
              <w:tab/>
              <w:t>This minimum Io condition is expressed as the average Io per RE over all REs in an OFDM symbol.</w:t>
            </w:r>
          </w:p>
          <w:p w14:paraId="5C807E73" w14:textId="77777777" w:rsidR="00CC5419" w:rsidRDefault="00CC5419" w:rsidP="005F054A">
            <w:pPr>
              <w:pStyle w:val="TAN"/>
            </w:pPr>
            <w:r>
              <w:t>NOTE 2:</w:t>
            </w:r>
            <w:r>
              <w:tab/>
              <w:t>NR operating band groups are as defined in Section 3.5.</w:t>
            </w:r>
          </w:p>
          <w:p w14:paraId="487FD6BF" w14:textId="77777777" w:rsidR="00CC5419" w:rsidRDefault="00CC5419" w:rsidP="005F054A">
            <w:pPr>
              <w:pStyle w:val="TAN"/>
            </w:pPr>
            <w:r>
              <w:t>N</w:t>
            </w:r>
            <w:r>
              <w:rPr>
                <w:lang w:eastAsia="zh-CN"/>
              </w:rPr>
              <w:t>OTE</w:t>
            </w:r>
            <w:r>
              <w:t xml:space="preserve"> 3:</w:t>
            </w:r>
            <w:r>
              <w:tab/>
            </w:r>
            <m:oMath>
              <m:sSubSup>
                <m:sSubSupPr>
                  <m:ctrlPr>
                    <w:rPr>
                      <w:rFonts w:ascii="Cambria Math" w:hAnsi="Cambria Math"/>
                      <w:i/>
                      <w:szCs w:val="18"/>
                    </w:rPr>
                  </m:ctrlPr>
                </m:sSubSupPr>
                <m:e>
                  <m:r>
                    <w:rPr>
                      <w:rFonts w:ascii="Cambria Math" w:hAnsi="Cambria Math"/>
                    </w:rPr>
                    <m:t>T</m:t>
                  </m:r>
                </m:e>
                <m:sub>
                  <m:r>
                    <m:rPr>
                      <m:sty m:val="p"/>
                    </m:rPr>
                    <w:rPr>
                      <w:rFonts w:ascii="Cambria Math" w:hAnsi="Cambria Math"/>
                    </w:rPr>
                    <m:t>rep</m:t>
                  </m:r>
                </m:sub>
                <m:sup>
                  <m:r>
                    <m:rPr>
                      <m:sty m:val="p"/>
                    </m:rPr>
                    <w:rPr>
                      <w:rFonts w:ascii="Cambria Math" w:hAnsi="Cambria Math"/>
                    </w:rPr>
                    <m:t>PRS</m:t>
                  </m:r>
                </m:sup>
              </m:sSubSup>
              <m:r>
                <w:rPr>
                  <w:rFonts w:ascii="Cambria Math" w:hAnsi="Cambria Math"/>
                </w:rPr>
                <m:t xml:space="preserve">, </m:t>
              </m:r>
              <m:sSub>
                <m:sSubPr>
                  <m:ctrlPr>
                    <w:rPr>
                      <w:rFonts w:ascii="Cambria Math" w:hAnsi="Cambria Math"/>
                      <w:szCs w:val="18"/>
                    </w:rPr>
                  </m:ctrlPr>
                </m:sSubPr>
                <m:e>
                  <m:r>
                    <w:rPr>
                      <w:rFonts w:ascii="Cambria Math" w:hAnsi="Cambria Math"/>
                    </w:rPr>
                    <m:t>L</m:t>
                  </m:r>
                </m:e>
                <m:sub>
                  <m:r>
                    <m:rPr>
                      <m:sty m:val="p"/>
                    </m:rPr>
                    <w:rPr>
                      <w:rFonts w:ascii="Cambria Math" w:hAnsi="Cambria Math"/>
                    </w:rPr>
                    <m:t>PRS</m:t>
                  </m:r>
                </m:sub>
              </m:sSub>
              <m:r>
                <w:rPr>
                  <w:rFonts w:ascii="Cambria Math" w:hAnsi="Cambria Math"/>
                </w:rPr>
                <m:t xml:space="preserve"> ,</m:t>
              </m:r>
              <m:sSubSup>
                <m:sSubSupPr>
                  <m:ctrlPr>
                    <w:rPr>
                      <w:rFonts w:ascii="Cambria Math" w:hAnsi="Cambria Math"/>
                      <w:i/>
                      <w:szCs w:val="18"/>
                    </w:rPr>
                  </m:ctrlPr>
                </m:sSubSupPr>
                <m:e>
                  <m:r>
                    <w:rPr>
                      <w:rFonts w:ascii="Cambria Math" w:hAnsi="Cambria Math"/>
                    </w:rPr>
                    <m:t>K</m:t>
                  </m:r>
                </m:e>
                <m:sub>
                  <m:r>
                    <m:rPr>
                      <m:sty m:val="p"/>
                    </m:rPr>
                    <w:rPr>
                      <w:rFonts w:ascii="Cambria Math" w:hAnsi="Cambria Math"/>
                    </w:rPr>
                    <m:t>comb</m:t>
                  </m:r>
                </m:sub>
                <m:sup>
                  <m:r>
                    <m:rPr>
                      <m:sty m:val="p"/>
                    </m:rPr>
                    <w:rPr>
                      <w:rFonts w:ascii="Cambria Math" w:hAnsi="Cambria Math"/>
                    </w:rPr>
                    <m:t>PRS</m:t>
                  </m:r>
                </m:sup>
              </m:sSubSup>
            </m:oMath>
            <w:r>
              <w:rPr>
                <w:b/>
                <w:bCs/>
                <w:lang w:eastAsia="zh-CN"/>
              </w:rPr>
              <w:t xml:space="preserve"> </w:t>
            </w:r>
            <w:r>
              <w:t xml:space="preserve">are configured by higher layer parameter </w:t>
            </w:r>
            <w:r>
              <w:rPr>
                <w:i/>
              </w:rPr>
              <w:t>dl-PRS-ResourceRepetitionFactor, dl-PRS-NumSymbols and  dl-PRS-CombSizeN</w:t>
            </w:r>
            <w:r>
              <w:rPr>
                <w:iCs/>
              </w:rPr>
              <w:t>defined in TS 37.355 [34]</w:t>
            </w:r>
            <w:r>
              <w:rPr>
                <w:iCs/>
                <w:lang w:val="en-US" w:eastAsia="zh-CN"/>
              </w:rPr>
              <w:t>.</w:t>
            </w:r>
          </w:p>
          <w:p w14:paraId="6B5E3679" w14:textId="77777777" w:rsidR="00CC5419" w:rsidRDefault="00CC5419" w:rsidP="005F054A">
            <w:pPr>
              <w:pStyle w:val="TAN"/>
            </w:pPr>
            <w:r>
              <w:t>NOTE 4:</w:t>
            </w:r>
            <w:r>
              <w:tab/>
              <w:t>The Io is defined in PRS slots. The same Io range applies to PRS and non-PRS symbols. Io levels are different in PRS and non-PRS symbols within the same slot.</w:t>
            </w:r>
          </w:p>
          <w:p w14:paraId="185CBF0A" w14:textId="77777777" w:rsidR="00CC5419" w:rsidRDefault="00CC5419" w:rsidP="005F054A">
            <w:pPr>
              <w:pStyle w:val="TAN"/>
            </w:pPr>
            <w:r>
              <w:t>N</w:t>
            </w:r>
            <w:r>
              <w:rPr>
                <w:lang w:eastAsia="zh-CN"/>
              </w:rPr>
              <w:t>OTE</w:t>
            </w:r>
            <w:r>
              <w:t xml:space="preserve"> 5:</w:t>
            </w:r>
            <w:r>
              <w:tab/>
              <w:t>Tc is the basic timing unit defined in TS 38.211 [6].</w:t>
            </w:r>
          </w:p>
          <w:p w14:paraId="39199882" w14:textId="77777777" w:rsidR="00CC5419" w:rsidRDefault="00CC5419" w:rsidP="005F054A">
            <w:pPr>
              <w:pStyle w:val="TAN"/>
            </w:pPr>
            <w:r>
              <w:t>NOTE 6:</w:t>
            </w:r>
            <w:r>
              <w:tab/>
              <w:t>The same bands and the same Io conditions for each band apply for this requirement as for the corresponding requirement with the PRS bandwidth of the smallest RB number for the corresponding SCS.</w:t>
            </w:r>
          </w:p>
          <w:p w14:paraId="25FC7DB5" w14:textId="0DF21C8D" w:rsidR="00CC5419" w:rsidRDefault="00CC5419" w:rsidP="005F054A">
            <w:pPr>
              <w:pStyle w:val="TAN"/>
              <w:rPr>
                <w:rFonts w:eastAsia="SimSun" w:cs="Arial"/>
                <w:szCs w:val="18"/>
                <w:lang w:eastAsia="ko-KR"/>
              </w:rPr>
            </w:pPr>
            <w:r>
              <w:rPr>
                <w:rFonts w:eastAsia="SimSun"/>
                <w:lang w:eastAsia="ko-KR"/>
              </w:rPr>
              <w:t xml:space="preserve">NOTE 7: </w:t>
            </w:r>
            <w:r>
              <w:rPr>
                <w:rFonts w:eastAsia="SimSun"/>
                <w:lang w:eastAsia="ko-KR"/>
              </w:rPr>
              <w:tab/>
            </w:r>
            <w:r>
              <w:rPr>
                <w:rFonts w:eastAsia="SimSun" w:cs="Arial"/>
                <w:szCs w:val="18"/>
                <w:lang w:eastAsia="ko-KR"/>
              </w:rPr>
              <w:sym w:font="Symbol" w:char="F064"/>
            </w:r>
            <w:r>
              <w:rPr>
                <w:rFonts w:eastAsia="SimSun" w:cs="Arial"/>
                <w:szCs w:val="18"/>
                <w:lang w:eastAsia="ko-KR"/>
              </w:rPr>
              <w:t xml:space="preserve"> is the margin determined from Table 10.1.40.1-3.</w:t>
            </w:r>
          </w:p>
          <w:p w14:paraId="626F515C" w14:textId="3EDB847B" w:rsidR="00CC5419" w:rsidRPr="00E7602D" w:rsidRDefault="00CC5419" w:rsidP="005F054A">
            <w:pPr>
              <w:pStyle w:val="TAN"/>
            </w:pPr>
            <w:r>
              <w:rPr>
                <w:rFonts w:eastAsia="SimSun"/>
                <w:lang w:eastAsia="ko-KR"/>
              </w:rPr>
              <w:t xml:space="preserve">NOTE 8: </w:t>
            </w:r>
            <w:r>
              <w:rPr>
                <w:rFonts w:eastAsia="SimSun"/>
                <w:lang w:eastAsia="ko-KR"/>
              </w:rPr>
              <w:tab/>
            </w:r>
            <w:r w:rsidRPr="00E7602D">
              <w:rPr>
                <w:rFonts w:ascii="Cambria Math" w:hAnsi="Cambria Math"/>
              </w:rPr>
              <w:t>ℇ</w:t>
            </w:r>
            <w:r w:rsidRPr="00E7602D">
              <w:rPr>
                <w:rFonts w:eastAsia="SimSun" w:cs="Arial"/>
                <w:szCs w:val="18"/>
                <w:lang w:eastAsia="ko-KR"/>
              </w:rPr>
              <w:t xml:space="preserve"> is the margin for reporting quantitization error and </w:t>
            </w:r>
            <w:r w:rsidRPr="00E7602D">
              <w:rPr>
                <w:rFonts w:ascii="Cambria Math" w:hAnsi="Cambria Math"/>
              </w:rPr>
              <w:t>ℇ=16 Tc</w:t>
            </w:r>
            <w:r w:rsidRPr="00E7602D">
              <w:rPr>
                <w:rFonts w:eastAsia="SimSun" w:cs="Arial"/>
                <w:szCs w:val="18"/>
                <w:lang w:eastAsia="ko-KR"/>
              </w:rPr>
              <w:t>.</w:t>
            </w:r>
          </w:p>
        </w:tc>
      </w:tr>
    </w:tbl>
    <w:p w14:paraId="4F380B5D" w14:textId="77777777" w:rsidR="00CC5419" w:rsidRDefault="00CC5419" w:rsidP="00CC5419"/>
    <w:p w14:paraId="3418D9EF" w14:textId="77777777" w:rsidR="00CC5419" w:rsidRDefault="00CC5419" w:rsidP="00CC5419">
      <w:r>
        <w:t>The accuracy requirements in Table 10.1.40.1-2 for FR2 are valid under the following conditions:</w:t>
      </w:r>
    </w:p>
    <w:p w14:paraId="386D75EC" w14:textId="77777777" w:rsidR="00CC5419" w:rsidRDefault="00CC5419" w:rsidP="00082331">
      <w:pPr>
        <w:pStyle w:val="B10"/>
      </w:pPr>
      <w:r>
        <w:t>Conditions defined in clause 7.3 of TS 38.101-2 [19] for reference sensitivity are fulfilled.</w:t>
      </w:r>
    </w:p>
    <w:p w14:paraId="5A51BF3E" w14:textId="77777777" w:rsidR="00CC5419" w:rsidRDefault="00CC5419" w:rsidP="00CC5419">
      <w:pPr>
        <w:pStyle w:val="B10"/>
      </w:pPr>
      <w:r>
        <w:t>PRP|</w:t>
      </w:r>
      <w:r>
        <w:rPr>
          <w:vertAlign w:val="subscript"/>
        </w:rPr>
        <w:t>dBm</w:t>
      </w:r>
      <w:r>
        <w:t xml:space="preserve"> according to Annex [TBD] for a corresponding Band.</w:t>
      </w:r>
    </w:p>
    <w:p w14:paraId="0D228591" w14:textId="77777777" w:rsidR="00CC5419" w:rsidRDefault="00CC5419" w:rsidP="00082331">
      <w:pPr>
        <w:pStyle w:val="B10"/>
      </w:pPr>
      <w:r>
        <w:t>AWGN propagation condition.</w:t>
      </w:r>
    </w:p>
    <w:p w14:paraId="006ACF91" w14:textId="77777777" w:rsidR="00CC5419" w:rsidRDefault="00CC5419" w:rsidP="00CC5419">
      <w:pPr>
        <w:pStyle w:val="TH"/>
      </w:pPr>
      <w:r>
        <w:t>Table 10.1.40.1-2: UE Rx-Tx time difference measurement accuracy in FR2 in AWGN</w:t>
      </w:r>
    </w:p>
    <w:tbl>
      <w:tblPr>
        <w:tblW w:w="10200" w:type="dxa"/>
        <w:jc w:val="center"/>
        <w:tblLayout w:type="fixed"/>
        <w:tblLook w:val="01E0" w:firstRow="1" w:lastRow="1" w:firstColumn="1" w:lastColumn="1" w:noHBand="0" w:noVBand="0"/>
      </w:tblPr>
      <w:tblGrid>
        <w:gridCol w:w="1133"/>
        <w:gridCol w:w="851"/>
        <w:gridCol w:w="1133"/>
        <w:gridCol w:w="845"/>
        <w:gridCol w:w="1422"/>
        <w:gridCol w:w="3258"/>
        <w:gridCol w:w="1558"/>
      </w:tblGrid>
      <w:tr w:rsidR="00CC5419" w14:paraId="71071744" w14:textId="77777777" w:rsidTr="005F054A">
        <w:trPr>
          <w:jc w:val="center"/>
        </w:trPr>
        <w:tc>
          <w:tcPr>
            <w:tcW w:w="1133" w:type="dxa"/>
            <w:vMerge w:val="restart"/>
            <w:tcBorders>
              <w:top w:val="single" w:sz="4" w:space="0" w:color="auto"/>
              <w:left w:val="single" w:sz="4" w:space="0" w:color="auto"/>
              <w:bottom w:val="single" w:sz="6" w:space="0" w:color="auto"/>
              <w:right w:val="single" w:sz="6" w:space="0" w:color="auto"/>
            </w:tcBorders>
            <w:vAlign w:val="center"/>
            <w:hideMark/>
          </w:tcPr>
          <w:p w14:paraId="1CA99085" w14:textId="77777777" w:rsidR="00CC5419" w:rsidRDefault="00CC5419" w:rsidP="005F054A">
            <w:pPr>
              <w:pStyle w:val="TAH"/>
            </w:pPr>
            <w:r>
              <w:t>Accuracy</w:t>
            </w:r>
          </w:p>
        </w:tc>
        <w:tc>
          <w:tcPr>
            <w:tcW w:w="9067" w:type="dxa"/>
            <w:gridSpan w:val="6"/>
            <w:tcBorders>
              <w:top w:val="single" w:sz="4" w:space="0" w:color="auto"/>
              <w:left w:val="single" w:sz="6" w:space="0" w:color="auto"/>
              <w:bottom w:val="single" w:sz="6" w:space="0" w:color="auto"/>
              <w:right w:val="single" w:sz="4" w:space="0" w:color="auto"/>
            </w:tcBorders>
            <w:hideMark/>
          </w:tcPr>
          <w:p w14:paraId="301A038D" w14:textId="77777777" w:rsidR="00CC5419" w:rsidRDefault="00CC5419" w:rsidP="005F054A">
            <w:pPr>
              <w:pStyle w:val="TAH"/>
            </w:pPr>
            <w:r>
              <w:t>Conditions</w:t>
            </w:r>
          </w:p>
        </w:tc>
      </w:tr>
      <w:tr w:rsidR="00CC5419" w14:paraId="0D104363" w14:textId="77777777" w:rsidTr="005F054A">
        <w:trPr>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3814887F" w14:textId="77777777" w:rsidR="00CC5419" w:rsidRDefault="00CC5419" w:rsidP="005F054A">
            <w:pPr>
              <w:pStyle w:val="TAH"/>
            </w:pPr>
          </w:p>
        </w:tc>
        <w:tc>
          <w:tcPr>
            <w:tcW w:w="851" w:type="dxa"/>
            <w:vMerge w:val="restart"/>
            <w:tcBorders>
              <w:top w:val="single" w:sz="6" w:space="0" w:color="auto"/>
              <w:left w:val="single" w:sz="6" w:space="0" w:color="auto"/>
              <w:bottom w:val="single" w:sz="6" w:space="0" w:color="auto"/>
              <w:right w:val="single" w:sz="6" w:space="0" w:color="auto"/>
            </w:tcBorders>
            <w:vAlign w:val="center"/>
            <w:hideMark/>
          </w:tcPr>
          <w:p w14:paraId="06C54AE1" w14:textId="77777777" w:rsidR="00CC5419" w:rsidRDefault="00CC5419" w:rsidP="005F054A">
            <w:pPr>
              <w:pStyle w:val="TAH"/>
            </w:pPr>
            <w:r>
              <w:t>PRS Ês/Iot</w:t>
            </w:r>
          </w:p>
        </w:tc>
        <w:tc>
          <w:tcPr>
            <w:tcW w:w="1133" w:type="dxa"/>
            <w:vMerge w:val="restart"/>
            <w:tcBorders>
              <w:top w:val="single" w:sz="6" w:space="0" w:color="auto"/>
              <w:left w:val="single" w:sz="6" w:space="0" w:color="auto"/>
              <w:bottom w:val="single" w:sz="6" w:space="0" w:color="auto"/>
              <w:right w:val="single" w:sz="6" w:space="0" w:color="auto"/>
            </w:tcBorders>
            <w:vAlign w:val="center"/>
            <w:hideMark/>
          </w:tcPr>
          <w:p w14:paraId="59D64BF0" w14:textId="77777777" w:rsidR="00CC5419" w:rsidRDefault="00CC5419" w:rsidP="005F054A">
            <w:pPr>
              <w:pStyle w:val="TAH"/>
            </w:pPr>
            <w:r>
              <w:t>Minimum PRS bandwidth</w:t>
            </w:r>
          </w:p>
        </w:tc>
        <w:tc>
          <w:tcPr>
            <w:tcW w:w="845" w:type="dxa"/>
            <w:vMerge w:val="restart"/>
            <w:tcBorders>
              <w:top w:val="single" w:sz="6" w:space="0" w:color="auto"/>
              <w:left w:val="single" w:sz="6" w:space="0" w:color="auto"/>
              <w:bottom w:val="single" w:sz="6" w:space="0" w:color="auto"/>
              <w:right w:val="single" w:sz="6" w:space="0" w:color="auto"/>
            </w:tcBorders>
          </w:tcPr>
          <w:p w14:paraId="0D2C2ADB" w14:textId="77777777" w:rsidR="00CC5419" w:rsidRDefault="00CC5419" w:rsidP="005F054A">
            <w:pPr>
              <w:pStyle w:val="TAH"/>
            </w:pPr>
          </w:p>
          <w:p w14:paraId="7274BFEA" w14:textId="77777777" w:rsidR="00CC5419" w:rsidRDefault="00CC5419" w:rsidP="005F054A">
            <w:pPr>
              <w:pStyle w:val="TAH"/>
            </w:pPr>
            <w:r>
              <w:t>PRS SCS</w:t>
            </w:r>
          </w:p>
        </w:tc>
        <w:tc>
          <w:tcPr>
            <w:tcW w:w="1422" w:type="dxa"/>
            <w:vMerge w:val="restart"/>
            <w:tcBorders>
              <w:top w:val="single" w:sz="6" w:space="0" w:color="auto"/>
              <w:left w:val="single" w:sz="6" w:space="0" w:color="auto"/>
              <w:bottom w:val="single" w:sz="6" w:space="0" w:color="auto"/>
              <w:right w:val="single" w:sz="6" w:space="0" w:color="auto"/>
            </w:tcBorders>
            <w:vAlign w:val="center"/>
            <w:hideMark/>
          </w:tcPr>
          <w:p w14:paraId="03F3623B" w14:textId="77777777" w:rsidR="00CC5419" w:rsidRDefault="00CC5419" w:rsidP="005F054A">
            <w:pPr>
              <w:pStyle w:val="TAH"/>
              <w:rPr>
                <w:lang w:eastAsia="zh-CN"/>
              </w:rPr>
            </w:pPr>
            <w:r>
              <w:rPr>
                <w:lang w:eastAsia="zh-CN"/>
              </w:rPr>
              <w:t>PRS resource repetition</w:t>
            </w:r>
            <m:oMath>
              <m:sSubSup>
                <m:sSubSupPr>
                  <m:ctrlPr>
                    <w:rPr>
                      <w:rFonts w:ascii="Cambria Math" w:hAnsi="Cambria Math"/>
                      <w:i/>
                      <w:szCs w:val="18"/>
                    </w:rPr>
                  </m:ctrlPr>
                </m:sSubSupPr>
                <m:e>
                  <m:r>
                    <m:rPr>
                      <m:sty m:val="bi"/>
                    </m:rPr>
                    <w:rPr>
                      <w:rFonts w:ascii="Cambria Math" w:hAnsi="Cambria Math"/>
                    </w:rPr>
                    <m:t>(T</m:t>
                  </m:r>
                </m:e>
                <m:sub>
                  <m:r>
                    <m:rPr>
                      <m:sty m:val="b"/>
                    </m:rPr>
                    <w:rPr>
                      <w:rFonts w:ascii="Cambria Math" w:hAnsi="Cambria Math"/>
                    </w:rPr>
                    <m:t>rep</m:t>
                  </m:r>
                </m:sub>
                <m:sup>
                  <m:r>
                    <m:rPr>
                      <m:sty m:val="b"/>
                    </m:rPr>
                    <w:rPr>
                      <w:rFonts w:ascii="Cambria Math" w:hAnsi="Cambria Math"/>
                    </w:rPr>
                    <m:t>PRS</m:t>
                  </m:r>
                </m:sup>
              </m:sSubSup>
              <m:r>
                <m:rPr>
                  <m:sty m:val="bi"/>
                </m:rPr>
                <w:rPr>
                  <w:rFonts w:ascii="Cambria Math" w:hAnsi="Cambria Math"/>
                </w:rPr>
                <m:t>*</m:t>
              </m:r>
              <m:sSub>
                <m:sSubPr>
                  <m:ctrlPr>
                    <w:rPr>
                      <w:rFonts w:ascii="Cambria Math" w:hAnsi="Cambria Math"/>
                      <w:szCs w:val="18"/>
                    </w:rPr>
                  </m:ctrlPr>
                </m:sSubPr>
                <m:e>
                  <m:r>
                    <m:rPr>
                      <m:sty m:val="bi"/>
                    </m:rPr>
                    <w:rPr>
                      <w:rFonts w:ascii="Cambria Math" w:hAnsi="Cambria Math"/>
                    </w:rPr>
                    <m:t>L</m:t>
                  </m:r>
                </m:e>
                <m:sub>
                  <m:r>
                    <m:rPr>
                      <m:sty m:val="b"/>
                    </m:rPr>
                    <w:rPr>
                      <w:rFonts w:ascii="Cambria Math" w:hAnsi="Cambria Math"/>
                    </w:rPr>
                    <m:t>PRS</m:t>
                  </m:r>
                </m:sub>
              </m:sSub>
              <m:r>
                <m:rPr>
                  <m:sty m:val="bi"/>
                </m:rPr>
                <w:rPr>
                  <w:rFonts w:ascii="Cambria Math" w:hAnsi="Cambria Math"/>
                </w:rPr>
                <m:t>/</m:t>
              </m:r>
              <m:sSubSup>
                <m:sSubSupPr>
                  <m:ctrlPr>
                    <w:rPr>
                      <w:rFonts w:ascii="Cambria Math" w:hAnsi="Cambria Math"/>
                      <w:i/>
                      <w:szCs w:val="18"/>
                    </w:rPr>
                  </m:ctrlPr>
                </m:sSubSupPr>
                <m:e>
                  <m:r>
                    <m:rPr>
                      <m:sty m:val="bi"/>
                    </m:rPr>
                    <w:rPr>
                      <w:rFonts w:ascii="Cambria Math" w:hAnsi="Cambria Math"/>
                    </w:rPr>
                    <m:t>K</m:t>
                  </m:r>
                </m:e>
                <m:sub>
                  <m:r>
                    <m:rPr>
                      <m:sty m:val="b"/>
                    </m:rPr>
                    <w:rPr>
                      <w:rFonts w:ascii="Cambria Math" w:hAnsi="Cambria Math"/>
                    </w:rPr>
                    <m:t>comb</m:t>
                  </m:r>
                </m:sub>
                <m:sup>
                  <m:r>
                    <m:rPr>
                      <m:sty m:val="b"/>
                    </m:rPr>
                    <w:rPr>
                      <w:rFonts w:ascii="Cambria Math" w:hAnsi="Cambria Math"/>
                    </w:rPr>
                    <m:t>PRS</m:t>
                  </m:r>
                </m:sup>
              </m:sSubSup>
            </m:oMath>
            <w:r>
              <w:rPr>
                <w:vertAlign w:val="superscript"/>
              </w:rPr>
              <w:t>Note 3</w:t>
            </w:r>
          </w:p>
        </w:tc>
        <w:tc>
          <w:tcPr>
            <w:tcW w:w="4816" w:type="dxa"/>
            <w:gridSpan w:val="2"/>
            <w:tcBorders>
              <w:top w:val="single" w:sz="6" w:space="0" w:color="auto"/>
              <w:left w:val="single" w:sz="6" w:space="0" w:color="auto"/>
              <w:bottom w:val="single" w:sz="6" w:space="0" w:color="auto"/>
              <w:right w:val="single" w:sz="4" w:space="0" w:color="auto"/>
            </w:tcBorders>
            <w:vAlign w:val="center"/>
            <w:hideMark/>
          </w:tcPr>
          <w:p w14:paraId="2B0C2C67" w14:textId="77777777" w:rsidR="00CC5419" w:rsidRDefault="00CC5419" w:rsidP="005F054A">
            <w:pPr>
              <w:pStyle w:val="TAH"/>
            </w:pPr>
            <w:r>
              <w:t>Io</w:t>
            </w:r>
            <w:r>
              <w:rPr>
                <w:vertAlign w:val="superscript"/>
                <w:lang w:eastAsia="zh-CN"/>
              </w:rPr>
              <w:t>Note 4</w:t>
            </w:r>
            <w:r>
              <w:t xml:space="preserve"> range</w:t>
            </w:r>
          </w:p>
        </w:tc>
      </w:tr>
      <w:tr w:rsidR="00CC5419" w14:paraId="109591FD" w14:textId="77777777" w:rsidTr="005F054A">
        <w:trPr>
          <w:trHeight w:val="822"/>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43F5E9E2" w14:textId="77777777" w:rsidR="00CC5419" w:rsidRDefault="00CC5419" w:rsidP="005F054A">
            <w:pPr>
              <w:pStyle w:val="TAH"/>
            </w:pPr>
          </w:p>
        </w:tc>
        <w:tc>
          <w:tcPr>
            <w:tcW w:w="851" w:type="dxa"/>
            <w:vMerge/>
            <w:tcBorders>
              <w:top w:val="single" w:sz="6" w:space="0" w:color="auto"/>
              <w:left w:val="single" w:sz="6" w:space="0" w:color="auto"/>
              <w:bottom w:val="single" w:sz="6" w:space="0" w:color="auto"/>
              <w:right w:val="single" w:sz="6" w:space="0" w:color="auto"/>
            </w:tcBorders>
            <w:vAlign w:val="center"/>
            <w:hideMark/>
          </w:tcPr>
          <w:p w14:paraId="4C1A506D" w14:textId="77777777" w:rsidR="00CC5419" w:rsidRDefault="00CC5419" w:rsidP="005F054A">
            <w:pPr>
              <w:pStyle w:val="TAH"/>
            </w:pPr>
          </w:p>
        </w:tc>
        <w:tc>
          <w:tcPr>
            <w:tcW w:w="1133" w:type="dxa"/>
            <w:vMerge/>
            <w:tcBorders>
              <w:top w:val="single" w:sz="6" w:space="0" w:color="auto"/>
              <w:left w:val="single" w:sz="6" w:space="0" w:color="auto"/>
              <w:bottom w:val="single" w:sz="6" w:space="0" w:color="auto"/>
              <w:right w:val="single" w:sz="6" w:space="0" w:color="auto"/>
            </w:tcBorders>
            <w:vAlign w:val="center"/>
            <w:hideMark/>
          </w:tcPr>
          <w:p w14:paraId="288C50D2" w14:textId="77777777" w:rsidR="00CC5419" w:rsidRDefault="00CC5419" w:rsidP="005F054A">
            <w:pPr>
              <w:pStyle w:val="TAH"/>
            </w:pPr>
          </w:p>
        </w:tc>
        <w:tc>
          <w:tcPr>
            <w:tcW w:w="845" w:type="dxa"/>
            <w:vMerge/>
            <w:tcBorders>
              <w:top w:val="single" w:sz="6" w:space="0" w:color="auto"/>
              <w:left w:val="single" w:sz="6" w:space="0" w:color="auto"/>
              <w:bottom w:val="single" w:sz="6" w:space="0" w:color="auto"/>
              <w:right w:val="single" w:sz="6" w:space="0" w:color="auto"/>
            </w:tcBorders>
            <w:vAlign w:val="center"/>
            <w:hideMark/>
          </w:tcPr>
          <w:p w14:paraId="2A055F5B" w14:textId="77777777" w:rsidR="00CC5419" w:rsidRDefault="00CC5419" w:rsidP="005F054A">
            <w:pPr>
              <w:pStyle w:val="TAH"/>
            </w:pPr>
          </w:p>
        </w:tc>
        <w:tc>
          <w:tcPr>
            <w:tcW w:w="1422" w:type="dxa"/>
            <w:vMerge/>
            <w:tcBorders>
              <w:top w:val="single" w:sz="6" w:space="0" w:color="auto"/>
              <w:left w:val="single" w:sz="6" w:space="0" w:color="auto"/>
              <w:bottom w:val="single" w:sz="6" w:space="0" w:color="auto"/>
              <w:right w:val="single" w:sz="6" w:space="0" w:color="auto"/>
            </w:tcBorders>
            <w:vAlign w:val="center"/>
            <w:hideMark/>
          </w:tcPr>
          <w:p w14:paraId="2B280272" w14:textId="77777777" w:rsidR="00CC5419" w:rsidRDefault="00CC5419" w:rsidP="005F054A">
            <w:pPr>
              <w:pStyle w:val="TAH"/>
              <w:rPr>
                <w:lang w:eastAsia="zh-CN"/>
              </w:rPr>
            </w:pPr>
          </w:p>
        </w:tc>
        <w:tc>
          <w:tcPr>
            <w:tcW w:w="3258" w:type="dxa"/>
            <w:tcBorders>
              <w:top w:val="single" w:sz="6" w:space="0" w:color="auto"/>
              <w:left w:val="single" w:sz="6" w:space="0" w:color="auto"/>
              <w:bottom w:val="single" w:sz="6" w:space="0" w:color="auto"/>
              <w:right w:val="single" w:sz="6" w:space="0" w:color="auto"/>
            </w:tcBorders>
            <w:vAlign w:val="center"/>
            <w:hideMark/>
          </w:tcPr>
          <w:p w14:paraId="38F2A7D5" w14:textId="77777777" w:rsidR="00CC5419" w:rsidRDefault="00CC5419" w:rsidP="005F054A">
            <w:pPr>
              <w:pStyle w:val="TAH"/>
            </w:pPr>
            <w:r>
              <w:t>Minimum</w:t>
            </w:r>
            <w:r>
              <w:br/>
              <w:t>Io</w:t>
            </w:r>
            <w:r>
              <w:rPr>
                <w:vertAlign w:val="superscript"/>
              </w:rPr>
              <w:t>Note 1</w:t>
            </w:r>
          </w:p>
        </w:tc>
        <w:tc>
          <w:tcPr>
            <w:tcW w:w="1558" w:type="dxa"/>
            <w:tcBorders>
              <w:top w:val="single" w:sz="6" w:space="0" w:color="auto"/>
              <w:left w:val="single" w:sz="6" w:space="0" w:color="auto"/>
              <w:bottom w:val="single" w:sz="6" w:space="0" w:color="auto"/>
              <w:right w:val="single" w:sz="4" w:space="0" w:color="auto"/>
            </w:tcBorders>
            <w:vAlign w:val="center"/>
            <w:hideMark/>
          </w:tcPr>
          <w:p w14:paraId="501D56BE" w14:textId="77777777" w:rsidR="00CC5419" w:rsidRDefault="00CC5419" w:rsidP="005F054A">
            <w:pPr>
              <w:pStyle w:val="TAH"/>
            </w:pPr>
            <w:r>
              <w:t>Maximum</w:t>
            </w:r>
            <w:r>
              <w:br/>
              <w:t>Io</w:t>
            </w:r>
          </w:p>
        </w:tc>
      </w:tr>
      <w:tr w:rsidR="00CC5419" w14:paraId="107AD8AE" w14:textId="77777777" w:rsidTr="005F054A">
        <w:trPr>
          <w:trHeight w:val="279"/>
          <w:jc w:val="center"/>
        </w:trPr>
        <w:tc>
          <w:tcPr>
            <w:tcW w:w="1133" w:type="dxa"/>
            <w:tcBorders>
              <w:top w:val="single" w:sz="6" w:space="0" w:color="auto"/>
              <w:left w:val="single" w:sz="4" w:space="0" w:color="auto"/>
              <w:bottom w:val="nil"/>
              <w:right w:val="single" w:sz="6" w:space="0" w:color="auto"/>
            </w:tcBorders>
            <w:vAlign w:val="center"/>
            <w:hideMark/>
          </w:tcPr>
          <w:p w14:paraId="550E5E04" w14:textId="77777777" w:rsidR="00CC5419" w:rsidRDefault="00CC5419" w:rsidP="005F054A">
            <w:pPr>
              <w:pStyle w:val="TAH"/>
            </w:pPr>
            <w:r>
              <w:t>Tc</w:t>
            </w:r>
            <w:r>
              <w:rPr>
                <w:vertAlign w:val="superscript"/>
                <w:lang w:eastAsia="zh-CN"/>
              </w:rPr>
              <w:t>Note 5</w:t>
            </w:r>
          </w:p>
        </w:tc>
        <w:tc>
          <w:tcPr>
            <w:tcW w:w="851" w:type="dxa"/>
            <w:tcBorders>
              <w:top w:val="single" w:sz="6" w:space="0" w:color="auto"/>
              <w:left w:val="single" w:sz="6" w:space="0" w:color="auto"/>
              <w:bottom w:val="nil"/>
              <w:right w:val="single" w:sz="6" w:space="0" w:color="auto"/>
            </w:tcBorders>
            <w:vAlign w:val="center"/>
            <w:hideMark/>
          </w:tcPr>
          <w:p w14:paraId="2339A7C1" w14:textId="77777777" w:rsidR="00CC5419" w:rsidRDefault="00CC5419" w:rsidP="005F054A">
            <w:pPr>
              <w:pStyle w:val="TAH"/>
            </w:pPr>
            <w:r>
              <w:t>dB</w:t>
            </w:r>
          </w:p>
        </w:tc>
        <w:tc>
          <w:tcPr>
            <w:tcW w:w="1133" w:type="dxa"/>
            <w:tcBorders>
              <w:top w:val="single" w:sz="6" w:space="0" w:color="auto"/>
              <w:left w:val="single" w:sz="6" w:space="0" w:color="auto"/>
              <w:bottom w:val="nil"/>
              <w:right w:val="single" w:sz="6" w:space="0" w:color="auto"/>
            </w:tcBorders>
            <w:vAlign w:val="center"/>
            <w:hideMark/>
          </w:tcPr>
          <w:p w14:paraId="75E56AF4" w14:textId="77777777" w:rsidR="00CC5419" w:rsidRDefault="00CC5419" w:rsidP="005F054A">
            <w:pPr>
              <w:pStyle w:val="TAH"/>
            </w:pPr>
            <w:r>
              <w:t>RB</w:t>
            </w:r>
          </w:p>
        </w:tc>
        <w:tc>
          <w:tcPr>
            <w:tcW w:w="845" w:type="dxa"/>
            <w:tcBorders>
              <w:top w:val="single" w:sz="6" w:space="0" w:color="auto"/>
              <w:left w:val="single" w:sz="6" w:space="0" w:color="auto"/>
              <w:bottom w:val="nil"/>
              <w:right w:val="single" w:sz="6" w:space="0" w:color="auto"/>
            </w:tcBorders>
            <w:hideMark/>
          </w:tcPr>
          <w:p w14:paraId="7D451CA8" w14:textId="77777777" w:rsidR="00CC5419" w:rsidRDefault="00CC5419" w:rsidP="005F054A">
            <w:pPr>
              <w:pStyle w:val="TAH"/>
            </w:pPr>
            <w:r>
              <w:t>kHz</w:t>
            </w:r>
          </w:p>
        </w:tc>
        <w:tc>
          <w:tcPr>
            <w:tcW w:w="1422" w:type="dxa"/>
            <w:tcBorders>
              <w:top w:val="single" w:sz="6" w:space="0" w:color="auto"/>
              <w:left w:val="single" w:sz="6" w:space="0" w:color="auto"/>
              <w:bottom w:val="nil"/>
              <w:right w:val="single" w:sz="6" w:space="0" w:color="auto"/>
            </w:tcBorders>
            <w:vAlign w:val="center"/>
          </w:tcPr>
          <w:p w14:paraId="5F694959" w14:textId="77777777" w:rsidR="00CC5419" w:rsidRDefault="00CC5419" w:rsidP="005F054A">
            <w:pPr>
              <w:pStyle w:val="TAH"/>
            </w:pPr>
          </w:p>
        </w:tc>
        <w:tc>
          <w:tcPr>
            <w:tcW w:w="3258" w:type="dxa"/>
            <w:tcBorders>
              <w:top w:val="single" w:sz="6" w:space="0" w:color="auto"/>
              <w:left w:val="single" w:sz="6" w:space="0" w:color="auto"/>
              <w:bottom w:val="single" w:sz="4" w:space="0" w:color="auto"/>
              <w:right w:val="single" w:sz="6" w:space="0" w:color="auto"/>
            </w:tcBorders>
            <w:vAlign w:val="center"/>
            <w:hideMark/>
          </w:tcPr>
          <w:p w14:paraId="652FBFF5" w14:textId="77777777" w:rsidR="00CC5419" w:rsidRDefault="00CC5419" w:rsidP="005F054A">
            <w:pPr>
              <w:pStyle w:val="TAH"/>
            </w:pPr>
            <w:r>
              <w:t>dBm / SCS</w:t>
            </w:r>
            <w:r>
              <w:rPr>
                <w:vertAlign w:val="subscript"/>
              </w:rPr>
              <w:t>PRS</w:t>
            </w:r>
          </w:p>
        </w:tc>
        <w:tc>
          <w:tcPr>
            <w:tcW w:w="1558" w:type="dxa"/>
            <w:tcBorders>
              <w:top w:val="single" w:sz="6" w:space="0" w:color="auto"/>
              <w:left w:val="single" w:sz="6" w:space="0" w:color="auto"/>
              <w:bottom w:val="nil"/>
              <w:right w:val="single" w:sz="4" w:space="0" w:color="auto"/>
            </w:tcBorders>
            <w:vAlign w:val="center"/>
            <w:hideMark/>
          </w:tcPr>
          <w:p w14:paraId="73E41808" w14:textId="77777777" w:rsidR="00CC5419" w:rsidRDefault="00CC5419" w:rsidP="005F054A">
            <w:pPr>
              <w:pStyle w:val="TAH"/>
            </w:pPr>
            <w:r>
              <w:t>dBm/BW</w:t>
            </w:r>
            <w:r>
              <w:rPr>
                <w:vertAlign w:val="subscript"/>
              </w:rPr>
              <w:t>Channel</w:t>
            </w:r>
          </w:p>
        </w:tc>
      </w:tr>
      <w:tr w:rsidR="00CC5419" w14:paraId="043F1BB2"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53D742BB" w14:textId="77777777" w:rsidR="00CC5419" w:rsidRDefault="00CC5419" w:rsidP="005F054A">
            <w:pPr>
              <w:pStyle w:val="TAC"/>
            </w:pPr>
            <w:r>
              <w:t>± [22+</w:t>
            </w:r>
            <w:r>
              <w:sym w:font="Symbol" w:char="F064"/>
            </w:r>
            <w:r>
              <w:t>+</w:t>
            </w:r>
            <w:r>
              <w:rPr>
                <w:rFonts w:ascii="Cambria Math" w:hAnsi="Cambria Math"/>
                <w:color w:val="0070C0"/>
              </w:rPr>
              <w:t>ℇ</w:t>
            </w:r>
            <w:r>
              <w:t>]</w:t>
            </w:r>
          </w:p>
        </w:tc>
        <w:tc>
          <w:tcPr>
            <w:tcW w:w="851" w:type="dxa"/>
            <w:tcBorders>
              <w:top w:val="single" w:sz="6" w:space="0" w:color="auto"/>
              <w:left w:val="single" w:sz="6" w:space="0" w:color="auto"/>
              <w:bottom w:val="nil"/>
              <w:right w:val="single" w:sz="6" w:space="0" w:color="auto"/>
            </w:tcBorders>
            <w:hideMark/>
          </w:tcPr>
          <w:p w14:paraId="0427F0A1" w14:textId="77777777" w:rsidR="00CC5419" w:rsidRDefault="00CC5419" w:rsidP="005F054A">
            <w:pPr>
              <w:pStyle w:val="TAC"/>
              <w:rPr>
                <w:lang w:val="sv-SE"/>
              </w:rPr>
            </w:pPr>
            <w:r>
              <w:rPr>
                <w:lang w:val="sv-SE"/>
              </w:rPr>
              <w:t>-3</w:t>
            </w:r>
          </w:p>
        </w:tc>
        <w:tc>
          <w:tcPr>
            <w:tcW w:w="1133" w:type="dxa"/>
            <w:tcBorders>
              <w:top w:val="single" w:sz="6" w:space="0" w:color="auto"/>
              <w:left w:val="single" w:sz="6" w:space="0" w:color="auto"/>
              <w:bottom w:val="nil"/>
              <w:right w:val="single" w:sz="6" w:space="0" w:color="auto"/>
            </w:tcBorders>
            <w:hideMark/>
          </w:tcPr>
          <w:p w14:paraId="0B470B29" w14:textId="77777777" w:rsidR="00CC5419" w:rsidRDefault="00CC5419" w:rsidP="005F054A">
            <w:pPr>
              <w:pStyle w:val="TAC"/>
            </w:pPr>
            <w:r>
              <w:rPr>
                <w:rFonts w:cs="Calibri"/>
              </w:rPr>
              <w:t>≥[</w:t>
            </w:r>
            <w:r>
              <w:t>24]</w:t>
            </w:r>
          </w:p>
        </w:tc>
        <w:tc>
          <w:tcPr>
            <w:tcW w:w="845" w:type="dxa"/>
            <w:tcBorders>
              <w:top w:val="single" w:sz="6" w:space="0" w:color="auto"/>
              <w:left w:val="single" w:sz="6" w:space="0" w:color="auto"/>
              <w:bottom w:val="nil"/>
              <w:right w:val="single" w:sz="6" w:space="0" w:color="auto"/>
            </w:tcBorders>
            <w:hideMark/>
          </w:tcPr>
          <w:p w14:paraId="3F83DFFD" w14:textId="77777777" w:rsidR="00CC5419" w:rsidRDefault="00CC5419" w:rsidP="005F054A">
            <w:pPr>
              <w:pStyle w:val="TAC"/>
            </w:pPr>
            <w:r>
              <w:t>60</w:t>
            </w:r>
          </w:p>
        </w:tc>
        <w:tc>
          <w:tcPr>
            <w:tcW w:w="1422" w:type="dxa"/>
            <w:tcBorders>
              <w:top w:val="single" w:sz="6" w:space="0" w:color="auto"/>
              <w:left w:val="single" w:sz="6" w:space="0" w:color="auto"/>
              <w:bottom w:val="nil"/>
              <w:right w:val="single" w:sz="4" w:space="0" w:color="auto"/>
            </w:tcBorders>
            <w:hideMark/>
          </w:tcPr>
          <w:p w14:paraId="4134BA50" w14:textId="77777777" w:rsidR="00CC5419" w:rsidRDefault="00CC5419" w:rsidP="005F054A">
            <w:pPr>
              <w:pStyle w:val="TAC"/>
            </w:pPr>
            <w:r>
              <w:t>≥[1]</w:t>
            </w:r>
          </w:p>
        </w:tc>
        <w:tc>
          <w:tcPr>
            <w:tcW w:w="3258" w:type="dxa"/>
            <w:tcBorders>
              <w:top w:val="single" w:sz="4" w:space="0" w:color="auto"/>
              <w:left w:val="single" w:sz="4" w:space="0" w:color="auto"/>
              <w:bottom w:val="single" w:sz="4" w:space="0" w:color="auto"/>
              <w:right w:val="single" w:sz="4" w:space="0" w:color="auto"/>
            </w:tcBorders>
            <w:vAlign w:val="center"/>
            <w:hideMark/>
          </w:tcPr>
          <w:p w14:paraId="1EDC5AE4" w14:textId="77777777" w:rsidR="00CC5419" w:rsidRDefault="00CC5419" w:rsidP="005F054A">
            <w:pPr>
              <w:pStyle w:val="TAC"/>
            </w:pPr>
            <w: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hideMark/>
          </w:tcPr>
          <w:p w14:paraId="0697AFC7" w14:textId="77777777" w:rsidR="00CC5419" w:rsidRDefault="00CC5419" w:rsidP="005F054A">
            <w:pPr>
              <w:pStyle w:val="TAC"/>
            </w:pPr>
            <w:r>
              <w:t>-50</w:t>
            </w:r>
          </w:p>
        </w:tc>
      </w:tr>
      <w:tr w:rsidR="00CC5419" w14:paraId="7289FC52"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04162A33" w14:textId="77777777" w:rsidR="00CC5419" w:rsidRDefault="00CC5419" w:rsidP="005F054A">
            <w:pPr>
              <w:pStyle w:val="TAC"/>
            </w:pPr>
            <w:r>
              <w:t>± [15+</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615D9249"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5DC1D75B" w14:textId="77777777" w:rsidR="00CC5419" w:rsidRDefault="00CC5419" w:rsidP="005F054A">
            <w:pPr>
              <w:pStyle w:val="TAC"/>
            </w:pPr>
            <w:r>
              <w:rPr>
                <w:rFonts w:cs="Calibri"/>
              </w:rPr>
              <w:t>≥[</w:t>
            </w:r>
            <w:r>
              <w:t>64]</w:t>
            </w:r>
          </w:p>
        </w:tc>
        <w:tc>
          <w:tcPr>
            <w:tcW w:w="845" w:type="dxa"/>
            <w:tcBorders>
              <w:top w:val="nil"/>
              <w:left w:val="single" w:sz="6" w:space="0" w:color="auto"/>
              <w:bottom w:val="nil"/>
              <w:right w:val="single" w:sz="6" w:space="0" w:color="auto"/>
            </w:tcBorders>
          </w:tcPr>
          <w:p w14:paraId="706F99EB" w14:textId="77777777" w:rsidR="00CC5419" w:rsidRDefault="00CC5419" w:rsidP="005F054A">
            <w:pPr>
              <w:pStyle w:val="TAC"/>
            </w:pPr>
          </w:p>
        </w:tc>
        <w:tc>
          <w:tcPr>
            <w:tcW w:w="1422" w:type="dxa"/>
            <w:tcBorders>
              <w:top w:val="single" w:sz="6" w:space="0" w:color="auto"/>
              <w:left w:val="single" w:sz="6" w:space="0" w:color="auto"/>
              <w:bottom w:val="nil"/>
              <w:right w:val="single" w:sz="4" w:space="0" w:color="auto"/>
            </w:tcBorders>
            <w:hideMark/>
          </w:tcPr>
          <w:p w14:paraId="0470C0BD" w14:textId="77777777" w:rsidR="00CC5419" w:rsidRDefault="00CC5419" w:rsidP="005F054A">
            <w:pPr>
              <w:pStyle w:val="TAC"/>
            </w:pPr>
            <w:r>
              <w:t>≥[1]</w:t>
            </w:r>
          </w:p>
        </w:tc>
        <w:tc>
          <w:tcPr>
            <w:tcW w:w="3258" w:type="dxa"/>
            <w:tcBorders>
              <w:top w:val="single" w:sz="4" w:space="0" w:color="auto"/>
              <w:left w:val="single" w:sz="4" w:space="0" w:color="auto"/>
              <w:bottom w:val="single" w:sz="4" w:space="0" w:color="auto"/>
              <w:right w:val="single" w:sz="4" w:space="0" w:color="auto"/>
            </w:tcBorders>
            <w:hideMark/>
          </w:tcPr>
          <w:p w14:paraId="749EC994" w14:textId="77777777" w:rsidR="00CC5419" w:rsidRDefault="00CC5419" w:rsidP="005F054A">
            <w:pPr>
              <w:pStyle w:val="TAC"/>
            </w:pPr>
            <w:r>
              <w:t>NOTE 6</w:t>
            </w:r>
          </w:p>
        </w:tc>
        <w:tc>
          <w:tcPr>
            <w:tcW w:w="1558" w:type="dxa"/>
            <w:tcBorders>
              <w:top w:val="single" w:sz="6" w:space="0" w:color="auto"/>
              <w:left w:val="single" w:sz="4" w:space="0" w:color="auto"/>
              <w:bottom w:val="single" w:sz="6" w:space="0" w:color="auto"/>
              <w:right w:val="single" w:sz="4" w:space="0" w:color="auto"/>
            </w:tcBorders>
            <w:hideMark/>
          </w:tcPr>
          <w:p w14:paraId="0AA83871" w14:textId="77777777" w:rsidR="00CC5419" w:rsidRDefault="00CC5419" w:rsidP="005F054A">
            <w:pPr>
              <w:pStyle w:val="TAC"/>
            </w:pPr>
            <w:r>
              <w:t>NOTE 6</w:t>
            </w:r>
          </w:p>
        </w:tc>
      </w:tr>
      <w:tr w:rsidR="00CC5419" w14:paraId="164D96FD"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32A1DB9D" w14:textId="77777777" w:rsidR="00CC5419" w:rsidRDefault="00CC5419" w:rsidP="005F054A">
            <w:pPr>
              <w:pStyle w:val="TAC"/>
            </w:pPr>
            <w:r>
              <w:t>± [7+</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0672D966"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7F0ADCD7" w14:textId="77777777" w:rsidR="00CC5419" w:rsidRDefault="00CC5419" w:rsidP="005F054A">
            <w:pPr>
              <w:pStyle w:val="TAC"/>
            </w:pPr>
            <w:r>
              <w:rPr>
                <w:rFonts w:cs="Calibri"/>
              </w:rPr>
              <w:t>≥[</w:t>
            </w:r>
            <w:r>
              <w:t>132]</w:t>
            </w:r>
          </w:p>
        </w:tc>
        <w:tc>
          <w:tcPr>
            <w:tcW w:w="845" w:type="dxa"/>
            <w:tcBorders>
              <w:top w:val="nil"/>
              <w:left w:val="single" w:sz="6" w:space="0" w:color="auto"/>
              <w:bottom w:val="nil"/>
              <w:right w:val="single" w:sz="6" w:space="0" w:color="auto"/>
            </w:tcBorders>
          </w:tcPr>
          <w:p w14:paraId="5EC72C8C" w14:textId="77777777" w:rsidR="00CC5419" w:rsidRDefault="00CC5419" w:rsidP="005F054A">
            <w:pPr>
              <w:pStyle w:val="TAC"/>
            </w:pPr>
          </w:p>
        </w:tc>
        <w:tc>
          <w:tcPr>
            <w:tcW w:w="1422" w:type="dxa"/>
            <w:tcBorders>
              <w:top w:val="single" w:sz="6" w:space="0" w:color="auto"/>
              <w:left w:val="single" w:sz="6" w:space="0" w:color="auto"/>
              <w:bottom w:val="nil"/>
              <w:right w:val="single" w:sz="4" w:space="0" w:color="auto"/>
            </w:tcBorders>
            <w:hideMark/>
          </w:tcPr>
          <w:p w14:paraId="1A04EE39" w14:textId="77777777" w:rsidR="00CC5419" w:rsidRDefault="00CC5419" w:rsidP="005F054A">
            <w:pPr>
              <w:pStyle w:val="TAC"/>
            </w:pPr>
            <w:r>
              <w:t>≥[1]</w:t>
            </w:r>
          </w:p>
        </w:tc>
        <w:tc>
          <w:tcPr>
            <w:tcW w:w="3258" w:type="dxa"/>
            <w:tcBorders>
              <w:top w:val="single" w:sz="4" w:space="0" w:color="auto"/>
              <w:left w:val="single" w:sz="4" w:space="0" w:color="auto"/>
              <w:bottom w:val="single" w:sz="4" w:space="0" w:color="auto"/>
              <w:right w:val="single" w:sz="4" w:space="0" w:color="auto"/>
            </w:tcBorders>
            <w:hideMark/>
          </w:tcPr>
          <w:p w14:paraId="4A33C1BF" w14:textId="77777777" w:rsidR="00CC5419" w:rsidRDefault="00CC5419" w:rsidP="005F054A">
            <w:pPr>
              <w:pStyle w:val="TAC"/>
            </w:pPr>
            <w:r>
              <w:t>NOTE 6</w:t>
            </w:r>
          </w:p>
        </w:tc>
        <w:tc>
          <w:tcPr>
            <w:tcW w:w="1558" w:type="dxa"/>
            <w:tcBorders>
              <w:top w:val="single" w:sz="6" w:space="0" w:color="auto"/>
              <w:left w:val="single" w:sz="4" w:space="0" w:color="auto"/>
              <w:bottom w:val="single" w:sz="6" w:space="0" w:color="auto"/>
              <w:right w:val="single" w:sz="4" w:space="0" w:color="auto"/>
            </w:tcBorders>
            <w:hideMark/>
          </w:tcPr>
          <w:p w14:paraId="3E9C8957" w14:textId="77777777" w:rsidR="00CC5419" w:rsidRDefault="00CC5419" w:rsidP="005F054A">
            <w:pPr>
              <w:pStyle w:val="TAC"/>
            </w:pPr>
            <w:r>
              <w:t>NOTE 6</w:t>
            </w:r>
          </w:p>
        </w:tc>
      </w:tr>
      <w:tr w:rsidR="00CC5419" w14:paraId="2C16BD3A"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39A62D38" w14:textId="77777777" w:rsidR="00CC5419" w:rsidRDefault="00CC5419" w:rsidP="005F054A">
            <w:pPr>
              <w:pStyle w:val="TAC"/>
            </w:pPr>
            <w:r>
              <w:t>± [12+</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hideMark/>
          </w:tcPr>
          <w:p w14:paraId="372197DC"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1ECB9696" w14:textId="77777777" w:rsidR="00CC5419" w:rsidRDefault="00CC5419" w:rsidP="005F054A">
            <w:pPr>
              <w:pStyle w:val="TAC"/>
            </w:pPr>
            <w:r>
              <w:rPr>
                <w:rFonts w:cs="Calibri"/>
              </w:rPr>
              <w:t>≥[</w:t>
            </w:r>
            <w:r>
              <w:t>32]</w:t>
            </w:r>
          </w:p>
        </w:tc>
        <w:tc>
          <w:tcPr>
            <w:tcW w:w="845" w:type="dxa"/>
            <w:tcBorders>
              <w:top w:val="single" w:sz="6" w:space="0" w:color="auto"/>
              <w:left w:val="single" w:sz="6" w:space="0" w:color="auto"/>
              <w:bottom w:val="nil"/>
              <w:right w:val="single" w:sz="6" w:space="0" w:color="auto"/>
            </w:tcBorders>
            <w:hideMark/>
          </w:tcPr>
          <w:p w14:paraId="035CACCC" w14:textId="77777777" w:rsidR="00CC5419" w:rsidRDefault="00CC5419" w:rsidP="005F054A">
            <w:pPr>
              <w:pStyle w:val="TAC"/>
            </w:pPr>
            <w:r>
              <w:t>120</w:t>
            </w:r>
          </w:p>
        </w:tc>
        <w:tc>
          <w:tcPr>
            <w:tcW w:w="1422" w:type="dxa"/>
            <w:tcBorders>
              <w:top w:val="single" w:sz="6" w:space="0" w:color="auto"/>
              <w:left w:val="single" w:sz="6" w:space="0" w:color="auto"/>
              <w:bottom w:val="nil"/>
              <w:right w:val="single" w:sz="4" w:space="0" w:color="auto"/>
            </w:tcBorders>
            <w:hideMark/>
          </w:tcPr>
          <w:p w14:paraId="155DB959" w14:textId="77777777" w:rsidR="00CC5419" w:rsidRDefault="00CC5419" w:rsidP="005F054A">
            <w:pPr>
              <w:pStyle w:val="TAC"/>
            </w:pPr>
            <w:r>
              <w:t>≥[1]</w:t>
            </w:r>
          </w:p>
        </w:tc>
        <w:tc>
          <w:tcPr>
            <w:tcW w:w="3258" w:type="dxa"/>
            <w:tcBorders>
              <w:top w:val="single" w:sz="4" w:space="0" w:color="auto"/>
              <w:left w:val="single" w:sz="4" w:space="0" w:color="auto"/>
              <w:bottom w:val="single" w:sz="4" w:space="0" w:color="auto"/>
              <w:right w:val="single" w:sz="4" w:space="0" w:color="auto"/>
            </w:tcBorders>
            <w:vAlign w:val="center"/>
            <w:hideMark/>
          </w:tcPr>
          <w:p w14:paraId="479C3764" w14:textId="77777777" w:rsidR="00CC5419" w:rsidRDefault="00CC5419" w:rsidP="005F054A">
            <w:pPr>
              <w:pStyle w:val="TAC"/>
            </w:pPr>
            <w:r>
              <w:t>Same value as PRP in Table B.2.14-2, according to UE Power class, operating band and angle of arrival</w:t>
            </w:r>
          </w:p>
        </w:tc>
        <w:tc>
          <w:tcPr>
            <w:tcW w:w="1558" w:type="dxa"/>
            <w:tcBorders>
              <w:top w:val="single" w:sz="6" w:space="0" w:color="auto"/>
              <w:left w:val="single" w:sz="4" w:space="0" w:color="auto"/>
              <w:bottom w:val="single" w:sz="6" w:space="0" w:color="auto"/>
              <w:right w:val="single" w:sz="4" w:space="0" w:color="auto"/>
            </w:tcBorders>
            <w:hideMark/>
          </w:tcPr>
          <w:p w14:paraId="4F05C9AC" w14:textId="77777777" w:rsidR="00CC5419" w:rsidRDefault="00CC5419" w:rsidP="005F054A">
            <w:pPr>
              <w:pStyle w:val="TAC"/>
            </w:pPr>
            <w:r>
              <w:t>-50</w:t>
            </w:r>
          </w:p>
        </w:tc>
      </w:tr>
      <w:tr w:rsidR="00CC5419" w14:paraId="26641F22"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7F662991" w14:textId="77777777" w:rsidR="00CC5419" w:rsidRDefault="00CC5419" w:rsidP="005F054A">
            <w:pPr>
              <w:pStyle w:val="TAC"/>
            </w:pPr>
            <w:r>
              <w:t>± [7+</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0D55952B"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27483EE8" w14:textId="77777777" w:rsidR="00CC5419" w:rsidRDefault="00CC5419" w:rsidP="005F054A">
            <w:pPr>
              <w:pStyle w:val="TAC"/>
            </w:pPr>
            <w:r>
              <w:rPr>
                <w:rFonts w:cs="Calibri"/>
              </w:rPr>
              <w:t>≥[</w:t>
            </w:r>
            <w:r>
              <w:t>64]</w:t>
            </w:r>
          </w:p>
        </w:tc>
        <w:tc>
          <w:tcPr>
            <w:tcW w:w="845" w:type="dxa"/>
            <w:tcBorders>
              <w:top w:val="nil"/>
              <w:left w:val="single" w:sz="6" w:space="0" w:color="auto"/>
              <w:bottom w:val="nil"/>
              <w:right w:val="single" w:sz="6" w:space="0" w:color="auto"/>
            </w:tcBorders>
          </w:tcPr>
          <w:p w14:paraId="19A20B2C" w14:textId="77777777" w:rsidR="00CC5419" w:rsidRDefault="00CC5419" w:rsidP="005F054A">
            <w:pPr>
              <w:pStyle w:val="TAC"/>
            </w:pPr>
          </w:p>
        </w:tc>
        <w:tc>
          <w:tcPr>
            <w:tcW w:w="1422" w:type="dxa"/>
            <w:tcBorders>
              <w:top w:val="single" w:sz="6" w:space="0" w:color="auto"/>
              <w:left w:val="single" w:sz="6" w:space="0" w:color="auto"/>
              <w:bottom w:val="nil"/>
              <w:right w:val="single" w:sz="4" w:space="0" w:color="auto"/>
            </w:tcBorders>
            <w:hideMark/>
          </w:tcPr>
          <w:p w14:paraId="789355FF" w14:textId="77777777" w:rsidR="00CC5419" w:rsidRDefault="00CC5419" w:rsidP="005F054A">
            <w:pPr>
              <w:pStyle w:val="TAC"/>
            </w:pPr>
            <w:r>
              <w:t>≥[1]</w:t>
            </w:r>
          </w:p>
        </w:tc>
        <w:tc>
          <w:tcPr>
            <w:tcW w:w="3258" w:type="dxa"/>
            <w:tcBorders>
              <w:top w:val="single" w:sz="4" w:space="0" w:color="auto"/>
              <w:left w:val="single" w:sz="4" w:space="0" w:color="auto"/>
              <w:bottom w:val="single" w:sz="4" w:space="0" w:color="auto"/>
              <w:right w:val="single" w:sz="4" w:space="0" w:color="auto"/>
            </w:tcBorders>
            <w:hideMark/>
          </w:tcPr>
          <w:p w14:paraId="47570E9F" w14:textId="77777777" w:rsidR="00CC5419" w:rsidRDefault="00CC5419" w:rsidP="005F054A">
            <w:pPr>
              <w:pStyle w:val="TAC"/>
            </w:pPr>
            <w:r>
              <w:t>NOTE 6</w:t>
            </w:r>
          </w:p>
        </w:tc>
        <w:tc>
          <w:tcPr>
            <w:tcW w:w="1558" w:type="dxa"/>
            <w:tcBorders>
              <w:top w:val="single" w:sz="6" w:space="0" w:color="auto"/>
              <w:left w:val="single" w:sz="4" w:space="0" w:color="auto"/>
              <w:bottom w:val="single" w:sz="6" w:space="0" w:color="auto"/>
              <w:right w:val="single" w:sz="4" w:space="0" w:color="auto"/>
            </w:tcBorders>
            <w:hideMark/>
          </w:tcPr>
          <w:p w14:paraId="71D8D4AF" w14:textId="77777777" w:rsidR="00CC5419" w:rsidRDefault="00CC5419" w:rsidP="005F054A">
            <w:pPr>
              <w:pStyle w:val="TAC"/>
            </w:pPr>
            <w:r>
              <w:t>NOTE 6</w:t>
            </w:r>
          </w:p>
        </w:tc>
      </w:tr>
      <w:tr w:rsidR="00CC5419" w14:paraId="65D36945"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6A0B2202" w14:textId="77777777" w:rsidR="00CC5419" w:rsidRDefault="00CC5419" w:rsidP="005F054A">
            <w:pPr>
              <w:pStyle w:val="TAC"/>
            </w:pPr>
            <w:r>
              <w:t>± [4+</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48248B94"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3D0B9956" w14:textId="77777777" w:rsidR="00CC5419" w:rsidRDefault="00CC5419" w:rsidP="005F054A">
            <w:pPr>
              <w:pStyle w:val="TAC"/>
            </w:pPr>
            <w:r>
              <w:rPr>
                <w:rFonts w:cs="Calibri"/>
              </w:rPr>
              <w:t>≥[</w:t>
            </w:r>
            <w:r>
              <w:t>128]</w:t>
            </w:r>
          </w:p>
        </w:tc>
        <w:tc>
          <w:tcPr>
            <w:tcW w:w="845" w:type="dxa"/>
            <w:tcBorders>
              <w:top w:val="nil"/>
              <w:left w:val="single" w:sz="6" w:space="0" w:color="auto"/>
              <w:bottom w:val="nil"/>
              <w:right w:val="single" w:sz="6" w:space="0" w:color="auto"/>
            </w:tcBorders>
          </w:tcPr>
          <w:p w14:paraId="010659A7" w14:textId="77777777" w:rsidR="00CC5419" w:rsidRDefault="00CC5419" w:rsidP="005F054A">
            <w:pPr>
              <w:pStyle w:val="TAC"/>
            </w:pPr>
          </w:p>
        </w:tc>
        <w:tc>
          <w:tcPr>
            <w:tcW w:w="1422" w:type="dxa"/>
            <w:tcBorders>
              <w:top w:val="single" w:sz="6" w:space="0" w:color="auto"/>
              <w:left w:val="single" w:sz="6" w:space="0" w:color="auto"/>
              <w:bottom w:val="nil"/>
              <w:right w:val="single" w:sz="4" w:space="0" w:color="auto"/>
            </w:tcBorders>
            <w:hideMark/>
          </w:tcPr>
          <w:p w14:paraId="6BAA143D" w14:textId="77777777" w:rsidR="00CC5419" w:rsidRDefault="00CC5419" w:rsidP="005F054A">
            <w:pPr>
              <w:pStyle w:val="TAC"/>
            </w:pPr>
            <w:r>
              <w:t>≥[1]</w:t>
            </w:r>
          </w:p>
        </w:tc>
        <w:tc>
          <w:tcPr>
            <w:tcW w:w="3258" w:type="dxa"/>
            <w:tcBorders>
              <w:top w:val="single" w:sz="4" w:space="0" w:color="auto"/>
              <w:left w:val="single" w:sz="4" w:space="0" w:color="auto"/>
              <w:bottom w:val="single" w:sz="4" w:space="0" w:color="auto"/>
              <w:right w:val="single" w:sz="4" w:space="0" w:color="auto"/>
            </w:tcBorders>
            <w:hideMark/>
          </w:tcPr>
          <w:p w14:paraId="76D74751" w14:textId="77777777" w:rsidR="00CC5419" w:rsidRDefault="00CC5419" w:rsidP="005F054A">
            <w:pPr>
              <w:pStyle w:val="TAC"/>
            </w:pPr>
            <w:r>
              <w:t>NOTE 6</w:t>
            </w:r>
          </w:p>
        </w:tc>
        <w:tc>
          <w:tcPr>
            <w:tcW w:w="1558" w:type="dxa"/>
            <w:tcBorders>
              <w:top w:val="single" w:sz="6" w:space="0" w:color="auto"/>
              <w:left w:val="single" w:sz="4" w:space="0" w:color="auto"/>
              <w:bottom w:val="single" w:sz="6" w:space="0" w:color="auto"/>
              <w:right w:val="single" w:sz="4" w:space="0" w:color="auto"/>
            </w:tcBorders>
            <w:hideMark/>
          </w:tcPr>
          <w:p w14:paraId="3BD7EE07" w14:textId="77777777" w:rsidR="00CC5419" w:rsidRDefault="00CC5419" w:rsidP="005F054A">
            <w:pPr>
              <w:pStyle w:val="TAC"/>
            </w:pPr>
            <w:r>
              <w:t>NOTE 6</w:t>
            </w:r>
          </w:p>
        </w:tc>
      </w:tr>
      <w:tr w:rsidR="00CC5419" w14:paraId="0BA4C275" w14:textId="77777777" w:rsidTr="005F054A">
        <w:trPr>
          <w:jc w:val="center"/>
        </w:trPr>
        <w:tc>
          <w:tcPr>
            <w:tcW w:w="10200" w:type="dxa"/>
            <w:gridSpan w:val="7"/>
            <w:tcBorders>
              <w:top w:val="single" w:sz="6" w:space="0" w:color="auto"/>
              <w:left w:val="single" w:sz="4" w:space="0" w:color="auto"/>
              <w:bottom w:val="single" w:sz="4" w:space="0" w:color="auto"/>
              <w:right w:val="single" w:sz="4" w:space="0" w:color="auto"/>
            </w:tcBorders>
            <w:hideMark/>
          </w:tcPr>
          <w:p w14:paraId="7A7A5707" w14:textId="77777777" w:rsidR="00CC5419" w:rsidRDefault="00CC5419" w:rsidP="005F054A">
            <w:pPr>
              <w:pStyle w:val="TAN"/>
            </w:pPr>
            <w:r>
              <w:t>NOTE 1:</w:t>
            </w:r>
            <w:r>
              <w:tab/>
              <w:t>This minimum Io condition is expressed as the average Io per RE over all REs in an OFDM symbol.</w:t>
            </w:r>
          </w:p>
          <w:p w14:paraId="42699503" w14:textId="77777777" w:rsidR="00CC5419" w:rsidRDefault="00CC5419" w:rsidP="005F054A">
            <w:pPr>
              <w:pStyle w:val="TAN"/>
            </w:pPr>
            <w:r>
              <w:t>NOTE 2:</w:t>
            </w:r>
            <w:r>
              <w:tab/>
              <w:t>NR operating band groups are as defined in Section 3.5.</w:t>
            </w:r>
          </w:p>
          <w:p w14:paraId="67867C76" w14:textId="77777777" w:rsidR="00CC5419" w:rsidRDefault="00CC5419" w:rsidP="005F054A">
            <w:pPr>
              <w:pStyle w:val="TAN"/>
            </w:pPr>
            <w:r>
              <w:t>NOTE 3:</w:t>
            </w:r>
            <w:r>
              <w:tab/>
            </w:r>
            <m:oMath>
              <m:sSubSup>
                <m:sSubSupPr>
                  <m:ctrlPr>
                    <w:rPr>
                      <w:rFonts w:ascii="Cambria Math" w:hAnsi="Cambria Math"/>
                    </w:rPr>
                  </m:ctrlPr>
                </m:sSubSupPr>
                <m:e>
                  <m:r>
                    <w:rPr>
                      <w:rFonts w:ascii="Cambria Math" w:hAnsi="Cambria Math"/>
                    </w:rPr>
                    <m:t>T</m:t>
                  </m:r>
                </m:e>
                <m:sub>
                  <m:r>
                    <m:rPr>
                      <m:sty m:val="p"/>
                    </m:rPr>
                    <w:rPr>
                      <w:rFonts w:ascii="Cambria Math" w:hAnsi="Cambria Math"/>
                    </w:rPr>
                    <m:t>rep</m:t>
                  </m:r>
                </m:sub>
                <m:sup>
                  <m:r>
                    <m:rPr>
                      <m:sty m:val="p"/>
                    </m:rPr>
                    <w:rPr>
                      <w:rFonts w:ascii="Cambria Math" w:hAnsi="Cambria Math"/>
                    </w:rPr>
                    <m:t>PRS</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PRS</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m:rPr>
                      <m:sty m:val="p"/>
                    </m:rPr>
                    <w:rPr>
                      <w:rFonts w:ascii="Cambria Math" w:hAnsi="Cambria Math"/>
                    </w:rPr>
                    <m:t>comb</m:t>
                  </m:r>
                </m:sub>
                <m:sup>
                  <m:r>
                    <m:rPr>
                      <m:sty m:val="p"/>
                    </m:rPr>
                    <w:rPr>
                      <w:rFonts w:ascii="Cambria Math" w:hAnsi="Cambria Math"/>
                    </w:rPr>
                    <m:t>PRS</m:t>
                  </m:r>
                </m:sup>
              </m:sSubSup>
            </m:oMath>
            <w:r w:rsidRPr="00301B77">
              <w:t xml:space="preserve"> </w:t>
            </w:r>
            <w:r>
              <w:t xml:space="preserve">are configured by higher layer parameter </w:t>
            </w:r>
            <w:r w:rsidRPr="00301B77">
              <w:t>dl-PRS-ResourceRepetitionFactor, dl-PRS-NumSymbols and  dl-PRS-CombSizeN</w:t>
            </w:r>
            <w:r w:rsidRPr="00160B79">
              <w:t>defined in TS 37.355 [34]</w:t>
            </w:r>
            <w:r w:rsidRPr="00301B77">
              <w:t>.</w:t>
            </w:r>
          </w:p>
          <w:p w14:paraId="2D61BC0C" w14:textId="77777777" w:rsidR="00CC5419" w:rsidRDefault="00CC5419" w:rsidP="005F054A">
            <w:pPr>
              <w:pStyle w:val="TAN"/>
            </w:pPr>
            <w:r>
              <w:t>NOTE 4:</w:t>
            </w:r>
            <w:r>
              <w:tab/>
              <w:t>The Io is defined in PRS slots. The same Io range applies to PRS and non-PRS symbols. Io levels are different in PRS and non-PRS symbols within the same slot.</w:t>
            </w:r>
          </w:p>
          <w:p w14:paraId="1977D188" w14:textId="77777777" w:rsidR="00CC5419" w:rsidRDefault="00CC5419" w:rsidP="005F054A">
            <w:pPr>
              <w:pStyle w:val="TAN"/>
            </w:pPr>
            <w:r>
              <w:t>NOTE 5:</w:t>
            </w:r>
            <w:r>
              <w:tab/>
              <w:t>Tc is the basic timing unit defined in TS 38.211 [6].</w:t>
            </w:r>
          </w:p>
          <w:p w14:paraId="24AE1896" w14:textId="77777777" w:rsidR="00CC5419" w:rsidRDefault="00CC5419" w:rsidP="005F054A">
            <w:pPr>
              <w:pStyle w:val="TAN"/>
              <w:rPr>
                <w:rFonts w:eastAsia="SimSun"/>
              </w:rPr>
            </w:pPr>
            <w:r w:rsidRPr="00160B79">
              <w:rPr>
                <w:rFonts w:eastAsia="SimSun"/>
              </w:rPr>
              <w:t>NOTE 6:</w:t>
            </w:r>
            <w:r w:rsidRPr="00160B79">
              <w:rPr>
                <w:rFonts w:eastAsia="SimSun"/>
              </w:rPr>
              <w:tab/>
              <w:t>The same bands and the same Io conditions for each band apply for this requirement as for the corresponding requirement with the PRS bandwidth of the smallest RB number for the corresponding SCS.</w:t>
            </w:r>
          </w:p>
          <w:p w14:paraId="45F20596" w14:textId="08428D0D" w:rsidR="00CC5419" w:rsidRDefault="00CC5419" w:rsidP="005F054A">
            <w:pPr>
              <w:pStyle w:val="TAN"/>
              <w:rPr>
                <w:rFonts w:eastAsia="SimSun"/>
              </w:rPr>
            </w:pPr>
            <w:r>
              <w:rPr>
                <w:rFonts w:eastAsia="SimSun"/>
              </w:rPr>
              <w:t xml:space="preserve">NOTE </w:t>
            </w:r>
            <w:r w:rsidRPr="00171240">
              <w:rPr>
                <w:rFonts w:eastAsia="SimSun"/>
              </w:rPr>
              <w:t>7</w:t>
            </w:r>
            <w:r>
              <w:rPr>
                <w:rFonts w:eastAsia="SimSun"/>
              </w:rPr>
              <w:t xml:space="preserve">: </w:t>
            </w:r>
            <w:r>
              <w:rPr>
                <w:rFonts w:eastAsia="SimSun"/>
              </w:rPr>
              <w:tab/>
            </w:r>
            <w:r w:rsidRPr="00171240">
              <w:rPr>
                <w:rFonts w:eastAsia="SimSun"/>
              </w:rPr>
              <w:sym w:font="Symbol" w:char="F064"/>
            </w:r>
            <w:r w:rsidRPr="00171240">
              <w:rPr>
                <w:rFonts w:eastAsia="SimSun"/>
              </w:rPr>
              <w:t xml:space="preserve"> is the margin determined from Table 10.1.</w:t>
            </w:r>
            <w:r>
              <w:rPr>
                <w:rFonts w:eastAsia="SimSun"/>
              </w:rPr>
              <w:t>40</w:t>
            </w:r>
            <w:r w:rsidRPr="00171240">
              <w:rPr>
                <w:rFonts w:eastAsia="SimSun"/>
              </w:rPr>
              <w:t>.1-</w:t>
            </w:r>
            <w:r>
              <w:rPr>
                <w:rFonts w:eastAsia="SimSun"/>
              </w:rPr>
              <w:t>4</w:t>
            </w:r>
            <w:r w:rsidRPr="00171240">
              <w:rPr>
                <w:rFonts w:eastAsia="SimSun"/>
              </w:rPr>
              <w:t>.</w:t>
            </w:r>
          </w:p>
          <w:p w14:paraId="70CD3630" w14:textId="68816AE7" w:rsidR="00CC5419" w:rsidRPr="00301B77" w:rsidRDefault="00CC5419" w:rsidP="005F054A">
            <w:pPr>
              <w:pStyle w:val="TAN"/>
            </w:pPr>
            <w:r w:rsidRPr="00E7602D">
              <w:rPr>
                <w:rFonts w:eastAsia="SimSun"/>
              </w:rPr>
              <w:t xml:space="preserve">NOTE 8: </w:t>
            </w:r>
            <w:r w:rsidRPr="00E7602D">
              <w:rPr>
                <w:rFonts w:eastAsia="SimSun"/>
              </w:rPr>
              <w:tab/>
            </w:r>
            <w:r w:rsidRPr="00E7602D">
              <w:rPr>
                <w:rFonts w:ascii="MS Gothic" w:eastAsia="SimSun" w:hAnsi="MS Gothic" w:cs="MS Gothic"/>
              </w:rPr>
              <w:t>ℇ</w:t>
            </w:r>
            <w:r w:rsidRPr="00E7602D">
              <w:rPr>
                <w:rFonts w:eastAsia="SimSun"/>
              </w:rPr>
              <w:t xml:space="preserve"> is the margin for reporting quantitization error and </w:t>
            </w:r>
            <w:r w:rsidRPr="00E7602D">
              <w:rPr>
                <w:rFonts w:ascii="MS Gothic" w:eastAsia="SimSun" w:hAnsi="MS Gothic" w:cs="MS Gothic"/>
              </w:rPr>
              <w:t>ℇ</w:t>
            </w:r>
            <w:r w:rsidRPr="00E7602D">
              <w:rPr>
                <w:rFonts w:eastAsia="SimSun"/>
              </w:rPr>
              <w:t>=16 Tc.</w:t>
            </w:r>
          </w:p>
        </w:tc>
      </w:tr>
    </w:tbl>
    <w:p w14:paraId="4AC4AF16" w14:textId="77777777" w:rsidR="00CC5419" w:rsidRDefault="00CC5419" w:rsidP="00CC5419"/>
    <w:p w14:paraId="767DBBC0" w14:textId="77777777" w:rsidR="00CC5419" w:rsidRDefault="00CC5419" w:rsidP="00CC5419">
      <w:pPr>
        <w:pStyle w:val="TH"/>
        <w:rPr>
          <w:rFonts w:eastAsia="SimSun"/>
          <w:lang w:eastAsia="sv-SE"/>
        </w:rPr>
      </w:pPr>
      <w:r>
        <w:rPr>
          <w:lang w:val="en-US"/>
        </w:rPr>
        <w:t>Table 10.1.40.1-3: Margin for UE Rx-Tx time difference measurement accuracy in FR1</w:t>
      </w:r>
    </w:p>
    <w:tbl>
      <w:tblPr>
        <w:tblStyle w:val="TableGrid61"/>
        <w:tblW w:w="0" w:type="auto"/>
        <w:jc w:val="center"/>
        <w:tblInd w:w="0" w:type="dxa"/>
        <w:tblLook w:val="04A0" w:firstRow="1" w:lastRow="0" w:firstColumn="1" w:lastColumn="0" w:noHBand="0" w:noVBand="1"/>
      </w:tblPr>
      <w:tblGrid>
        <w:gridCol w:w="1470"/>
        <w:gridCol w:w="1470"/>
        <w:gridCol w:w="1470"/>
        <w:gridCol w:w="1800"/>
      </w:tblGrid>
      <w:tr w:rsidR="00CC5419" w14:paraId="333A578A" w14:textId="77777777" w:rsidTr="005F054A">
        <w:trPr>
          <w:trHeight w:val="263"/>
          <w:jc w:val="center"/>
        </w:trPr>
        <w:tc>
          <w:tcPr>
            <w:tcW w:w="4410" w:type="dxa"/>
            <w:gridSpan w:val="3"/>
            <w:tcBorders>
              <w:top w:val="single" w:sz="4" w:space="0" w:color="auto"/>
              <w:left w:val="single" w:sz="4" w:space="0" w:color="auto"/>
              <w:bottom w:val="single" w:sz="4" w:space="0" w:color="auto"/>
              <w:right w:val="single" w:sz="4" w:space="0" w:color="auto"/>
            </w:tcBorders>
            <w:vAlign w:val="center"/>
            <w:hideMark/>
          </w:tcPr>
          <w:p w14:paraId="5098B002" w14:textId="77777777" w:rsidR="00CC5419" w:rsidRPr="00334483" w:rsidRDefault="00CC5419" w:rsidP="005F054A">
            <w:pPr>
              <w:pStyle w:val="TAH"/>
              <w:rPr>
                <w:rFonts w:eastAsiaTheme="minorEastAsia"/>
                <w:lang w:val="da-DK" w:eastAsia="zh-CN"/>
              </w:rPr>
            </w:pPr>
            <w:r w:rsidRPr="00334483">
              <w:rPr>
                <w:lang w:val="da-DK"/>
              </w:rPr>
              <w:t>Min(PRS BW, SRS BW) (RB)</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0CA50EED" w14:textId="77777777" w:rsidR="00CC5419" w:rsidRDefault="00CC5419" w:rsidP="005F054A">
            <w:pPr>
              <w:pStyle w:val="TAH"/>
              <w:rPr>
                <w:rFonts w:eastAsia="Yu Mincho"/>
                <w:bCs/>
              </w:rPr>
            </w:pPr>
            <w:r>
              <w:rPr>
                <w:rFonts w:eastAsia="Yu Mincho"/>
                <w:bCs/>
                <w:kern w:val="24"/>
              </w:rPr>
              <w:t>Margin (Tc</w:t>
            </w:r>
            <w:r>
              <w:rPr>
                <w:rFonts w:eastAsia="SimSun"/>
                <w:vertAlign w:val="superscript"/>
                <w:lang w:eastAsia="zh-CN"/>
              </w:rPr>
              <w:t xml:space="preserve"> Note 1</w:t>
            </w:r>
            <w:r>
              <w:rPr>
                <w:rFonts w:eastAsia="Yu Mincho"/>
                <w:bCs/>
                <w:kern w:val="24"/>
              </w:rPr>
              <w:t>)</w:t>
            </w:r>
          </w:p>
        </w:tc>
      </w:tr>
      <w:tr w:rsidR="00CC5419" w14:paraId="45587CA7" w14:textId="77777777" w:rsidTr="005F054A">
        <w:trPr>
          <w:trHeight w:val="262"/>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603D20DF" w14:textId="77777777" w:rsidR="00CC5419" w:rsidRDefault="00CC5419" w:rsidP="005F054A">
            <w:pPr>
              <w:pStyle w:val="TAH"/>
            </w:pPr>
            <w:r>
              <w:t>SCS = 15 kHz</w:t>
            </w:r>
          </w:p>
        </w:tc>
        <w:tc>
          <w:tcPr>
            <w:tcW w:w="1470" w:type="dxa"/>
            <w:tcBorders>
              <w:top w:val="single" w:sz="4" w:space="0" w:color="auto"/>
              <w:left w:val="single" w:sz="4" w:space="0" w:color="auto"/>
              <w:bottom w:val="single" w:sz="4" w:space="0" w:color="auto"/>
              <w:right w:val="single" w:sz="4" w:space="0" w:color="auto"/>
            </w:tcBorders>
            <w:vAlign w:val="center"/>
            <w:hideMark/>
          </w:tcPr>
          <w:p w14:paraId="2422FFC1" w14:textId="77777777" w:rsidR="00CC5419" w:rsidRDefault="00CC5419" w:rsidP="005F054A">
            <w:pPr>
              <w:pStyle w:val="TAH"/>
            </w:pPr>
            <w:r>
              <w:t>SCS = 30 kHz</w:t>
            </w:r>
          </w:p>
        </w:tc>
        <w:tc>
          <w:tcPr>
            <w:tcW w:w="1470" w:type="dxa"/>
            <w:tcBorders>
              <w:top w:val="single" w:sz="4" w:space="0" w:color="auto"/>
              <w:left w:val="single" w:sz="4" w:space="0" w:color="auto"/>
              <w:bottom w:val="single" w:sz="4" w:space="0" w:color="auto"/>
              <w:right w:val="single" w:sz="4" w:space="0" w:color="auto"/>
            </w:tcBorders>
            <w:vAlign w:val="center"/>
            <w:hideMark/>
          </w:tcPr>
          <w:p w14:paraId="6DBA4270" w14:textId="77777777" w:rsidR="00CC5419" w:rsidRDefault="00CC5419" w:rsidP="005F054A">
            <w:pPr>
              <w:pStyle w:val="TAH"/>
            </w:pPr>
            <w:r>
              <w:t>SCS = 60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93ACCA" w14:textId="77777777" w:rsidR="00CC5419" w:rsidRDefault="00CC5419" w:rsidP="005F054A">
            <w:pPr>
              <w:spacing w:after="0"/>
              <w:rPr>
                <w:rFonts w:eastAsia="Yu Mincho"/>
                <w:b/>
                <w:bCs/>
              </w:rPr>
            </w:pPr>
          </w:p>
        </w:tc>
      </w:tr>
      <w:tr w:rsidR="00CC5419" w14:paraId="276B4CD7"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6EB2E024" w14:textId="77777777" w:rsidR="00CC5419" w:rsidRDefault="00CC5419" w:rsidP="005F054A">
            <w:pPr>
              <w:pStyle w:val="TAC"/>
              <w:rPr>
                <w:rFonts w:eastAsia="Yu Mincho"/>
                <w:b/>
                <w:bCs/>
              </w:rPr>
            </w:pPr>
            <w:r>
              <w:t>≥ 24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5F4DBE3C" w14:textId="77777777" w:rsidR="00CC5419" w:rsidRDefault="00CC5419" w:rsidP="005F054A">
            <w:pPr>
              <w:pStyle w:val="TAC"/>
              <w:rPr>
                <w:rFonts w:eastAsia="Yu Mincho"/>
              </w:rPr>
            </w:pPr>
            <w:r>
              <w:rPr>
                <w:rFonts w:eastAsia="Yu Mincho"/>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4487F90F" w14:textId="77777777" w:rsidR="00CC5419" w:rsidRDefault="00CC5419" w:rsidP="005F054A">
            <w:pPr>
              <w:pStyle w:val="TAC"/>
              <w:rPr>
                <w:rFonts w:eastAsia="Yu Mincho"/>
              </w:rPr>
            </w:pPr>
            <w:r>
              <w:rPr>
                <w:rFonts w:eastAsia="Yu Mincho"/>
              </w:rPr>
              <w:t>N/A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F6A988E" w14:textId="77777777" w:rsidR="00CC5419" w:rsidRDefault="00CC5419" w:rsidP="005F054A">
            <w:pPr>
              <w:pStyle w:val="TAC"/>
              <w:rPr>
                <w:rFonts w:eastAsia="Yu Mincho"/>
                <w:b/>
                <w:bCs/>
              </w:rPr>
            </w:pPr>
            <w:r>
              <w:rPr>
                <w:rFonts w:eastAsia="Yu Mincho"/>
              </w:rPr>
              <w:t>[160]</w:t>
            </w:r>
          </w:p>
        </w:tc>
      </w:tr>
      <w:tr w:rsidR="00CC5419" w14:paraId="2363E2A3"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5A6F91FF" w14:textId="77777777" w:rsidR="00CC5419" w:rsidRDefault="00CC5419" w:rsidP="005F054A">
            <w:pPr>
              <w:pStyle w:val="TAC"/>
              <w:rPr>
                <w:rFonts w:eastAsia="Yu Mincho"/>
                <w:b/>
                <w:bCs/>
              </w:rPr>
            </w:pPr>
            <w:r>
              <w:t xml:space="preserve">≥ </w:t>
            </w:r>
            <w:r>
              <w:rPr>
                <w:rFonts w:eastAsia="Yu Mincho"/>
              </w:rPr>
              <w:t>52</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540BED4" w14:textId="77777777" w:rsidR="00CC5419" w:rsidRDefault="00CC5419" w:rsidP="005F054A">
            <w:pPr>
              <w:pStyle w:val="TAC"/>
              <w:rPr>
                <w:rFonts w:eastAsia="Yu Mincho"/>
                <w:b/>
                <w:bCs/>
              </w:rPr>
            </w:pPr>
            <w:r>
              <w:t>≥ 24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1FE580AB" w14:textId="77777777" w:rsidR="00CC5419" w:rsidRDefault="00CC5419" w:rsidP="005F054A">
            <w:pPr>
              <w:pStyle w:val="TAC"/>
              <w:rPr>
                <w:rFonts w:eastAsia="Yu Mincho"/>
              </w:rPr>
            </w:pPr>
            <w:r>
              <w:rPr>
                <w:rFonts w:eastAsia="Yu Mincho"/>
              </w:rPr>
              <w:t>N/A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285D5B2" w14:textId="77777777" w:rsidR="00CC5419" w:rsidRDefault="00CC5419" w:rsidP="005F054A">
            <w:pPr>
              <w:pStyle w:val="TAC"/>
              <w:rPr>
                <w:rFonts w:eastAsia="Yu Mincho"/>
                <w:b/>
                <w:bCs/>
              </w:rPr>
            </w:pPr>
            <w:r>
              <w:rPr>
                <w:rFonts w:eastAsia="Yu Mincho"/>
              </w:rPr>
              <w:t>[80]</w:t>
            </w:r>
          </w:p>
        </w:tc>
      </w:tr>
      <w:tr w:rsidR="00CC5419" w14:paraId="37930683"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49FA39F1" w14:textId="77777777" w:rsidR="00CC5419" w:rsidRDefault="00CC5419" w:rsidP="005F054A">
            <w:pPr>
              <w:pStyle w:val="TAC"/>
              <w:rPr>
                <w:rFonts w:eastAsia="Yu Mincho"/>
                <w:b/>
                <w:bCs/>
              </w:rPr>
            </w:pPr>
            <w:r>
              <w:t xml:space="preserve">≥ </w:t>
            </w:r>
            <w:r>
              <w:rPr>
                <w:rFonts w:eastAsia="Yu Mincho"/>
              </w:rPr>
              <w:t>104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1F8DAB45" w14:textId="77777777" w:rsidR="00CC5419" w:rsidRDefault="00CC5419" w:rsidP="005F054A">
            <w:pPr>
              <w:pStyle w:val="TAC"/>
              <w:rPr>
                <w:rFonts w:eastAsia="Yu Mincho"/>
                <w:b/>
                <w:bCs/>
              </w:rPr>
            </w:pPr>
            <w:r>
              <w:t xml:space="preserve">≥ </w:t>
            </w:r>
            <w:r>
              <w:rPr>
                <w:rFonts w:eastAsia="Yu Mincho"/>
              </w:rPr>
              <w:t>48</w:t>
            </w:r>
          </w:p>
        </w:tc>
        <w:tc>
          <w:tcPr>
            <w:tcW w:w="1470" w:type="dxa"/>
            <w:tcBorders>
              <w:top w:val="single" w:sz="4" w:space="0" w:color="auto"/>
              <w:left w:val="single" w:sz="4" w:space="0" w:color="auto"/>
              <w:bottom w:val="single" w:sz="4" w:space="0" w:color="auto"/>
              <w:right w:val="single" w:sz="4" w:space="0" w:color="auto"/>
            </w:tcBorders>
            <w:vAlign w:val="center"/>
            <w:hideMark/>
          </w:tcPr>
          <w:p w14:paraId="18F02BF1" w14:textId="77777777" w:rsidR="00CC5419" w:rsidRDefault="00CC5419" w:rsidP="005F054A">
            <w:pPr>
              <w:pStyle w:val="TAC"/>
              <w:rPr>
                <w:rFonts w:eastAsia="Yu Mincho"/>
                <w:b/>
                <w:bCs/>
              </w:rPr>
            </w:pPr>
            <w:r>
              <w:t>≥ 24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0D28707" w14:textId="77777777" w:rsidR="00CC5419" w:rsidRDefault="00CC5419" w:rsidP="005F054A">
            <w:pPr>
              <w:pStyle w:val="TAC"/>
              <w:rPr>
                <w:rFonts w:eastAsia="Yu Mincho"/>
                <w:b/>
                <w:bCs/>
              </w:rPr>
            </w:pPr>
            <w:r>
              <w:rPr>
                <w:rFonts w:eastAsia="Yu Mincho"/>
              </w:rPr>
              <w:t>[56]</w:t>
            </w:r>
          </w:p>
        </w:tc>
      </w:tr>
      <w:tr w:rsidR="00CC5419" w14:paraId="6CF0D816"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1E6DA9CE" w14:textId="77777777" w:rsidR="00CC5419" w:rsidRDefault="00CC5419" w:rsidP="005F054A">
            <w:pPr>
              <w:pStyle w:val="TAC"/>
              <w:rPr>
                <w:rFonts w:eastAsia="Yu Mincho"/>
                <w:b/>
                <w:bCs/>
              </w:rPr>
            </w:pPr>
            <w: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701811FC" w14:textId="77777777" w:rsidR="00CC5419" w:rsidRDefault="00CC5419" w:rsidP="005F054A">
            <w:pPr>
              <w:pStyle w:val="TAC"/>
              <w:rPr>
                <w:rFonts w:eastAsia="Yu Mincho"/>
                <w:b/>
                <w:bCs/>
              </w:rPr>
            </w:pPr>
            <w:r>
              <w:t xml:space="preserve">≥ </w:t>
            </w:r>
            <w:r>
              <w:rPr>
                <w:rFonts w:eastAsia="Yu Mincho"/>
              </w:rPr>
              <w:t>132</w:t>
            </w:r>
          </w:p>
        </w:tc>
        <w:tc>
          <w:tcPr>
            <w:tcW w:w="1470" w:type="dxa"/>
            <w:tcBorders>
              <w:top w:val="single" w:sz="4" w:space="0" w:color="auto"/>
              <w:left w:val="single" w:sz="4" w:space="0" w:color="auto"/>
              <w:bottom w:val="single" w:sz="4" w:space="0" w:color="auto"/>
              <w:right w:val="single" w:sz="4" w:space="0" w:color="auto"/>
            </w:tcBorders>
            <w:vAlign w:val="center"/>
            <w:hideMark/>
          </w:tcPr>
          <w:p w14:paraId="6676DBB1" w14:textId="77777777" w:rsidR="00CC5419" w:rsidRDefault="00CC5419" w:rsidP="005F054A">
            <w:pPr>
              <w:pStyle w:val="TAC"/>
              <w:rPr>
                <w:rFonts w:eastAsia="Yu Mincho"/>
                <w:b/>
                <w:bCs/>
              </w:rPr>
            </w:pPr>
            <w:r>
              <w:t>≥ 6</w:t>
            </w:r>
            <w:r>
              <w:rPr>
                <w:rFonts w:eastAsia="Yu Mincho"/>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8D70BE9" w14:textId="77777777" w:rsidR="00CC5419" w:rsidRDefault="00CC5419" w:rsidP="005F054A">
            <w:pPr>
              <w:pStyle w:val="TAC"/>
              <w:rPr>
                <w:rFonts w:eastAsia="Yu Mincho"/>
                <w:b/>
                <w:bCs/>
              </w:rPr>
            </w:pPr>
            <w:r>
              <w:rPr>
                <w:rFonts w:eastAsia="Yu Mincho"/>
              </w:rPr>
              <w:t>[24]</w:t>
            </w:r>
          </w:p>
        </w:tc>
      </w:tr>
      <w:tr w:rsidR="00CC5419" w14:paraId="26C646E8"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6E9EBA4D" w14:textId="77777777" w:rsidR="00CC5419" w:rsidRDefault="00CC5419" w:rsidP="005F054A">
            <w:pPr>
              <w:pStyle w:val="TAC"/>
            </w:pPr>
            <w: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5A5E14FB" w14:textId="77777777" w:rsidR="00CC5419" w:rsidRDefault="00CC5419" w:rsidP="005F054A">
            <w:pPr>
              <w:pStyle w:val="TAC"/>
            </w:pPr>
            <w: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6657C882" w14:textId="77777777" w:rsidR="00CC5419" w:rsidRDefault="00CC5419" w:rsidP="005F054A">
            <w:pPr>
              <w:pStyle w:val="TAC"/>
            </w:pPr>
            <w:r>
              <w:t xml:space="preserve">≥ </w:t>
            </w:r>
            <w:r>
              <w:rPr>
                <w:rFonts w:eastAsia="Yu Mincho"/>
              </w:rPr>
              <w:t>132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0B40F92" w14:textId="77777777" w:rsidR="00CC5419" w:rsidRDefault="00CC5419" w:rsidP="005F054A">
            <w:pPr>
              <w:pStyle w:val="TAC"/>
              <w:rPr>
                <w:rFonts w:eastAsia="Yu Mincho"/>
              </w:rPr>
            </w:pPr>
            <w:r>
              <w:rPr>
                <w:rFonts w:eastAsia="Yu Mincho"/>
              </w:rPr>
              <w:t>[24]</w:t>
            </w:r>
          </w:p>
        </w:tc>
      </w:tr>
      <w:tr w:rsidR="00CC5419" w14:paraId="15E78CB9" w14:textId="77777777" w:rsidTr="005F054A">
        <w:trPr>
          <w:trHeight w:val="46"/>
          <w:jc w:val="center"/>
        </w:trPr>
        <w:tc>
          <w:tcPr>
            <w:tcW w:w="6210" w:type="dxa"/>
            <w:gridSpan w:val="4"/>
            <w:tcBorders>
              <w:top w:val="single" w:sz="4" w:space="0" w:color="auto"/>
              <w:left w:val="single" w:sz="4" w:space="0" w:color="auto"/>
              <w:bottom w:val="single" w:sz="4" w:space="0" w:color="auto"/>
              <w:right w:val="single" w:sz="4" w:space="0" w:color="auto"/>
            </w:tcBorders>
            <w:hideMark/>
          </w:tcPr>
          <w:p w14:paraId="1F9AF738" w14:textId="77777777" w:rsidR="00CC5419" w:rsidRDefault="00CC5419" w:rsidP="005F054A">
            <w:pPr>
              <w:pStyle w:val="TAN"/>
              <w:rPr>
                <w:lang w:eastAsia="ko-KR"/>
              </w:rPr>
            </w:pPr>
            <w:r>
              <w:rPr>
                <w:lang w:eastAsia="ko-KR"/>
              </w:rPr>
              <w:t>N</w:t>
            </w:r>
            <w:r>
              <w:rPr>
                <w:lang w:eastAsia="zh-CN"/>
              </w:rPr>
              <w:t>OTE</w:t>
            </w:r>
            <w:r>
              <w:rPr>
                <w:lang w:eastAsia="ko-KR"/>
              </w:rPr>
              <w:t xml:space="preserve"> 1:</w:t>
            </w:r>
            <w:r>
              <w:rPr>
                <w:lang w:eastAsia="ko-KR"/>
              </w:rPr>
              <w:tab/>
              <w:t>Tc is the basic timing unit defined in TS 38.211 [6].</w:t>
            </w:r>
          </w:p>
          <w:p w14:paraId="170AD705" w14:textId="77777777" w:rsidR="00CC5419" w:rsidRDefault="00CC5419" w:rsidP="005F054A">
            <w:pPr>
              <w:pStyle w:val="TAN"/>
              <w:rPr>
                <w:rFonts w:eastAsia="Yu Mincho"/>
                <w:kern w:val="24"/>
              </w:rPr>
            </w:pPr>
            <w:r>
              <w:t>NOTE 2:</w:t>
            </w:r>
            <w:r>
              <w:rPr>
                <w:lang w:eastAsia="ko-KR"/>
              </w:rPr>
              <w:tab/>
            </w:r>
            <w:r>
              <w:t>If SRS and PRS have different SCS, the margin corresponding to the smallest RS BW in MHz applies.</w:t>
            </w:r>
          </w:p>
        </w:tc>
      </w:tr>
    </w:tbl>
    <w:p w14:paraId="6F0E47A2" w14:textId="77777777" w:rsidR="00CC5419" w:rsidRDefault="00CC5419" w:rsidP="00CC5419">
      <w:pPr>
        <w:rPr>
          <w:rFonts w:eastAsia="MS Mincho"/>
          <w:lang w:val="en-US"/>
        </w:rPr>
      </w:pPr>
    </w:p>
    <w:p w14:paraId="11DEF50F" w14:textId="77777777" w:rsidR="00CC5419" w:rsidRDefault="00CC5419" w:rsidP="00CC5419">
      <w:pPr>
        <w:pStyle w:val="TH"/>
        <w:rPr>
          <w:rFonts w:eastAsia="SimSun"/>
          <w:lang w:eastAsia="sv-SE"/>
        </w:rPr>
      </w:pPr>
      <w:r>
        <w:rPr>
          <w:lang w:val="en-US"/>
        </w:rPr>
        <w:t>Table 10.1.40.1-4: Margin for UE Rx-Tx time difference measurement accuracy in FR2</w:t>
      </w:r>
    </w:p>
    <w:tbl>
      <w:tblPr>
        <w:tblStyle w:val="TableGrid71"/>
        <w:tblW w:w="0" w:type="auto"/>
        <w:jc w:val="center"/>
        <w:tblInd w:w="0" w:type="dxa"/>
        <w:tblLook w:val="04A0" w:firstRow="1" w:lastRow="0" w:firstColumn="1" w:lastColumn="0" w:noHBand="0" w:noVBand="1"/>
      </w:tblPr>
      <w:tblGrid>
        <w:gridCol w:w="1861"/>
        <w:gridCol w:w="1862"/>
        <w:gridCol w:w="1848"/>
      </w:tblGrid>
      <w:tr w:rsidR="00CC5419" w14:paraId="02D04768" w14:textId="77777777" w:rsidTr="005F054A">
        <w:trPr>
          <w:trHeight w:val="323"/>
          <w:jc w:val="center"/>
        </w:trPr>
        <w:tc>
          <w:tcPr>
            <w:tcW w:w="3723" w:type="dxa"/>
            <w:gridSpan w:val="2"/>
            <w:tcBorders>
              <w:top w:val="single" w:sz="4" w:space="0" w:color="auto"/>
              <w:left w:val="single" w:sz="4" w:space="0" w:color="auto"/>
              <w:bottom w:val="single" w:sz="4" w:space="0" w:color="auto"/>
              <w:right w:val="single" w:sz="4" w:space="0" w:color="auto"/>
            </w:tcBorders>
            <w:vAlign w:val="center"/>
            <w:hideMark/>
          </w:tcPr>
          <w:p w14:paraId="316C06CF" w14:textId="77777777" w:rsidR="00CC5419" w:rsidRPr="00334483" w:rsidRDefault="00CC5419" w:rsidP="005F054A">
            <w:pPr>
              <w:pStyle w:val="TAH"/>
              <w:rPr>
                <w:rFonts w:eastAsiaTheme="minorEastAsia"/>
                <w:lang w:val="da-DK" w:eastAsia="zh-CN"/>
              </w:rPr>
            </w:pPr>
            <w:r w:rsidRPr="00334483">
              <w:rPr>
                <w:lang w:val="da-DK"/>
              </w:rPr>
              <w:t>Min(PRS BW, SRS BW) (MHz)</w:t>
            </w:r>
          </w:p>
        </w:tc>
        <w:tc>
          <w:tcPr>
            <w:tcW w:w="1848" w:type="dxa"/>
            <w:vMerge w:val="restart"/>
            <w:tcBorders>
              <w:top w:val="single" w:sz="4" w:space="0" w:color="auto"/>
              <w:left w:val="single" w:sz="4" w:space="0" w:color="auto"/>
              <w:bottom w:val="single" w:sz="4" w:space="0" w:color="auto"/>
              <w:right w:val="single" w:sz="4" w:space="0" w:color="auto"/>
            </w:tcBorders>
            <w:vAlign w:val="center"/>
            <w:hideMark/>
          </w:tcPr>
          <w:p w14:paraId="184DFC2F" w14:textId="77777777" w:rsidR="00CC5419" w:rsidRDefault="00CC5419" w:rsidP="005F054A">
            <w:pPr>
              <w:pStyle w:val="TAH"/>
              <w:rPr>
                <w:rFonts w:eastAsia="Yu Mincho"/>
              </w:rPr>
            </w:pPr>
            <w:r>
              <w:rPr>
                <w:rFonts w:eastAsia="Yu Mincho"/>
                <w:kern w:val="24"/>
              </w:rPr>
              <w:t>Margin (Tc</w:t>
            </w:r>
            <w:r>
              <w:rPr>
                <w:rFonts w:eastAsia="SimSun"/>
                <w:vertAlign w:val="superscript"/>
                <w:lang w:eastAsia="zh-CN"/>
              </w:rPr>
              <w:t xml:space="preserve"> Note 1</w:t>
            </w:r>
            <w:r>
              <w:rPr>
                <w:rFonts w:eastAsia="Yu Mincho"/>
                <w:kern w:val="24"/>
              </w:rPr>
              <w:t>)</w:t>
            </w:r>
          </w:p>
        </w:tc>
      </w:tr>
      <w:tr w:rsidR="00CC5419" w14:paraId="778EADA2" w14:textId="77777777" w:rsidTr="005F054A">
        <w:trPr>
          <w:trHeight w:val="322"/>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0B501A54" w14:textId="77777777" w:rsidR="00CC5419" w:rsidRDefault="00CC5419" w:rsidP="005F054A">
            <w:pPr>
              <w:pStyle w:val="TAH"/>
            </w:pPr>
            <w:r>
              <w:t>SCS = 60 kHz</w:t>
            </w:r>
          </w:p>
        </w:tc>
        <w:tc>
          <w:tcPr>
            <w:tcW w:w="1862" w:type="dxa"/>
            <w:tcBorders>
              <w:top w:val="single" w:sz="4" w:space="0" w:color="auto"/>
              <w:left w:val="single" w:sz="4" w:space="0" w:color="auto"/>
              <w:bottom w:val="single" w:sz="4" w:space="0" w:color="auto"/>
              <w:right w:val="single" w:sz="4" w:space="0" w:color="auto"/>
            </w:tcBorders>
            <w:vAlign w:val="center"/>
            <w:hideMark/>
          </w:tcPr>
          <w:p w14:paraId="1B0ECF2E" w14:textId="77777777" w:rsidR="00CC5419" w:rsidRDefault="00CC5419" w:rsidP="005F054A">
            <w:pPr>
              <w:pStyle w:val="TAH"/>
            </w:pPr>
            <w:r>
              <w:t>SCS = 120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EC6D5" w14:textId="77777777" w:rsidR="00CC5419" w:rsidRDefault="00CC5419" w:rsidP="005F054A">
            <w:pPr>
              <w:pStyle w:val="TAH"/>
              <w:rPr>
                <w:rFonts w:eastAsia="Yu Mincho"/>
              </w:rPr>
            </w:pPr>
          </w:p>
        </w:tc>
      </w:tr>
      <w:tr w:rsidR="00CC5419" w14:paraId="3244AF5F"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37A816A7" w14:textId="77777777" w:rsidR="00CC5419" w:rsidRDefault="00CC5419" w:rsidP="005F054A">
            <w:pPr>
              <w:pStyle w:val="TAC"/>
              <w:rPr>
                <w:rFonts w:eastAsia="Yu Mincho"/>
                <w:b/>
                <w:bCs/>
              </w:rPr>
            </w:pPr>
            <w:r>
              <w:t>≥ 24</w:t>
            </w:r>
          </w:p>
        </w:tc>
        <w:tc>
          <w:tcPr>
            <w:tcW w:w="1862" w:type="dxa"/>
            <w:tcBorders>
              <w:top w:val="single" w:sz="4" w:space="0" w:color="auto"/>
              <w:left w:val="single" w:sz="4" w:space="0" w:color="auto"/>
              <w:bottom w:val="single" w:sz="4" w:space="0" w:color="auto"/>
              <w:right w:val="single" w:sz="4" w:space="0" w:color="auto"/>
            </w:tcBorders>
            <w:vAlign w:val="center"/>
            <w:hideMark/>
          </w:tcPr>
          <w:p w14:paraId="4679CB07" w14:textId="77777777" w:rsidR="00CC5419" w:rsidRDefault="00CC5419" w:rsidP="005F054A">
            <w:pPr>
              <w:pStyle w:val="TAC"/>
              <w:rPr>
                <w:rFonts w:eastAsia="Yu Mincho"/>
              </w:rPr>
            </w:pPr>
            <w:r>
              <w:rPr>
                <w:rFonts w:eastAsia="Yu Mincho"/>
              </w:rPr>
              <w:t>N/A</w:t>
            </w:r>
          </w:p>
        </w:tc>
        <w:tc>
          <w:tcPr>
            <w:tcW w:w="1848" w:type="dxa"/>
            <w:tcBorders>
              <w:top w:val="single" w:sz="4" w:space="0" w:color="auto"/>
              <w:left w:val="single" w:sz="4" w:space="0" w:color="auto"/>
              <w:bottom w:val="single" w:sz="4" w:space="0" w:color="auto"/>
              <w:right w:val="single" w:sz="4" w:space="0" w:color="auto"/>
            </w:tcBorders>
            <w:vAlign w:val="center"/>
            <w:hideMark/>
          </w:tcPr>
          <w:p w14:paraId="496E9486" w14:textId="77777777" w:rsidR="00CC5419" w:rsidRDefault="00CC5419" w:rsidP="005F054A">
            <w:pPr>
              <w:pStyle w:val="TAC"/>
              <w:rPr>
                <w:rFonts w:eastAsia="Yu Mincho"/>
                <w:b/>
                <w:bCs/>
              </w:rPr>
            </w:pPr>
            <w:r>
              <w:rPr>
                <w:rFonts w:eastAsia="Yu Mincho"/>
              </w:rPr>
              <w:t>[76]</w:t>
            </w:r>
          </w:p>
        </w:tc>
      </w:tr>
      <w:tr w:rsidR="00CC5419" w14:paraId="42FA3AC8"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1008AF6C" w14:textId="77777777" w:rsidR="00CC5419" w:rsidRDefault="00CC5419" w:rsidP="005F054A">
            <w:pPr>
              <w:pStyle w:val="TAC"/>
              <w:rPr>
                <w:rFonts w:eastAsia="Yu Mincho"/>
                <w:b/>
                <w:bCs/>
              </w:rPr>
            </w:pPr>
            <w:r>
              <w:t>≥ 6</w:t>
            </w:r>
            <w:r>
              <w:rPr>
                <w:rFonts w:eastAsia="Yu Mincho"/>
              </w:rPr>
              <w:t>4</w:t>
            </w:r>
          </w:p>
        </w:tc>
        <w:tc>
          <w:tcPr>
            <w:tcW w:w="1862" w:type="dxa"/>
            <w:tcBorders>
              <w:top w:val="single" w:sz="4" w:space="0" w:color="auto"/>
              <w:left w:val="single" w:sz="4" w:space="0" w:color="auto"/>
              <w:bottom w:val="single" w:sz="4" w:space="0" w:color="auto"/>
              <w:right w:val="single" w:sz="4" w:space="0" w:color="auto"/>
            </w:tcBorders>
            <w:vAlign w:val="center"/>
            <w:hideMark/>
          </w:tcPr>
          <w:p w14:paraId="383E88E4" w14:textId="77777777" w:rsidR="00CC5419" w:rsidRDefault="00CC5419" w:rsidP="005F054A">
            <w:pPr>
              <w:pStyle w:val="TAC"/>
              <w:rPr>
                <w:rFonts w:eastAsia="Yu Mincho"/>
                <w:b/>
                <w:bCs/>
              </w:rPr>
            </w:pPr>
            <w:r>
              <w:t>≥ 32</w:t>
            </w:r>
          </w:p>
        </w:tc>
        <w:tc>
          <w:tcPr>
            <w:tcW w:w="1848" w:type="dxa"/>
            <w:tcBorders>
              <w:top w:val="single" w:sz="4" w:space="0" w:color="auto"/>
              <w:left w:val="single" w:sz="4" w:space="0" w:color="auto"/>
              <w:bottom w:val="single" w:sz="4" w:space="0" w:color="auto"/>
              <w:right w:val="single" w:sz="4" w:space="0" w:color="auto"/>
            </w:tcBorders>
            <w:vAlign w:val="center"/>
            <w:hideMark/>
          </w:tcPr>
          <w:p w14:paraId="521677AE" w14:textId="77777777" w:rsidR="00CC5419" w:rsidRDefault="00CC5419" w:rsidP="005F054A">
            <w:pPr>
              <w:pStyle w:val="TAC"/>
              <w:rPr>
                <w:rFonts w:eastAsia="Yu Mincho"/>
                <w:b/>
                <w:bCs/>
              </w:rPr>
            </w:pPr>
            <w:r>
              <w:rPr>
                <w:rFonts w:eastAsia="Yu Mincho"/>
              </w:rPr>
              <w:t>[32]</w:t>
            </w:r>
          </w:p>
        </w:tc>
      </w:tr>
      <w:tr w:rsidR="00CC5419" w14:paraId="2DDE8EB6"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14ADEC11" w14:textId="77777777" w:rsidR="00CC5419" w:rsidRDefault="00CC5419" w:rsidP="005F054A">
            <w:pPr>
              <w:pStyle w:val="TAC"/>
              <w:rPr>
                <w:rFonts w:eastAsia="Yu Mincho"/>
                <w:b/>
                <w:bCs/>
              </w:rPr>
            </w:pPr>
            <w:r>
              <w:t xml:space="preserve">≥ </w:t>
            </w:r>
            <w:r>
              <w:rPr>
                <w:rFonts w:eastAsia="Yu Mincho"/>
              </w:rPr>
              <w:t>132</w:t>
            </w:r>
          </w:p>
        </w:tc>
        <w:tc>
          <w:tcPr>
            <w:tcW w:w="1862" w:type="dxa"/>
            <w:tcBorders>
              <w:top w:val="single" w:sz="4" w:space="0" w:color="auto"/>
              <w:left w:val="single" w:sz="4" w:space="0" w:color="auto"/>
              <w:bottom w:val="single" w:sz="4" w:space="0" w:color="auto"/>
              <w:right w:val="single" w:sz="4" w:space="0" w:color="auto"/>
            </w:tcBorders>
            <w:vAlign w:val="center"/>
            <w:hideMark/>
          </w:tcPr>
          <w:p w14:paraId="6F4600BE" w14:textId="77777777" w:rsidR="00CC5419" w:rsidRDefault="00CC5419" w:rsidP="005F054A">
            <w:pPr>
              <w:pStyle w:val="TAC"/>
              <w:rPr>
                <w:rFonts w:eastAsia="Yu Mincho"/>
                <w:b/>
                <w:bCs/>
              </w:rPr>
            </w:pPr>
            <w:r>
              <w:t>≥ 6</w:t>
            </w:r>
            <w:r>
              <w:rPr>
                <w:rFonts w:eastAsia="Yu Mincho"/>
              </w:rPr>
              <w:t>4</w:t>
            </w:r>
          </w:p>
        </w:tc>
        <w:tc>
          <w:tcPr>
            <w:tcW w:w="1848" w:type="dxa"/>
            <w:tcBorders>
              <w:top w:val="single" w:sz="4" w:space="0" w:color="auto"/>
              <w:left w:val="single" w:sz="4" w:space="0" w:color="auto"/>
              <w:bottom w:val="single" w:sz="4" w:space="0" w:color="auto"/>
              <w:right w:val="single" w:sz="4" w:space="0" w:color="auto"/>
            </w:tcBorders>
            <w:vAlign w:val="center"/>
            <w:hideMark/>
          </w:tcPr>
          <w:p w14:paraId="6B977E8B" w14:textId="77777777" w:rsidR="00CC5419" w:rsidRDefault="00CC5419" w:rsidP="005F054A">
            <w:pPr>
              <w:pStyle w:val="TAC"/>
              <w:rPr>
                <w:rFonts w:eastAsia="Yu Mincho"/>
                <w:b/>
                <w:bCs/>
              </w:rPr>
            </w:pPr>
            <w:r>
              <w:rPr>
                <w:rFonts w:eastAsia="Yu Mincho"/>
              </w:rPr>
              <w:t>[24]</w:t>
            </w:r>
          </w:p>
        </w:tc>
      </w:tr>
      <w:tr w:rsidR="00CC5419" w14:paraId="79F454FF"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4E15AB77" w14:textId="77777777" w:rsidR="00CC5419" w:rsidRDefault="00CC5419" w:rsidP="005F054A">
            <w:pPr>
              <w:pStyle w:val="TAC"/>
            </w:pPr>
            <w:r>
              <w:t>N/A</w:t>
            </w:r>
          </w:p>
        </w:tc>
        <w:tc>
          <w:tcPr>
            <w:tcW w:w="1862" w:type="dxa"/>
            <w:tcBorders>
              <w:top w:val="single" w:sz="4" w:space="0" w:color="auto"/>
              <w:left w:val="single" w:sz="4" w:space="0" w:color="auto"/>
              <w:bottom w:val="single" w:sz="4" w:space="0" w:color="auto"/>
              <w:right w:val="single" w:sz="4" w:space="0" w:color="auto"/>
            </w:tcBorders>
            <w:vAlign w:val="center"/>
            <w:hideMark/>
          </w:tcPr>
          <w:p w14:paraId="305FDBC8" w14:textId="77777777" w:rsidR="00CC5419" w:rsidRDefault="00CC5419" w:rsidP="005F054A">
            <w:pPr>
              <w:pStyle w:val="TAC"/>
            </w:pPr>
            <w:r>
              <w:t xml:space="preserve">≥ </w:t>
            </w:r>
            <w:r>
              <w:rPr>
                <w:rFonts w:eastAsia="Yu Mincho"/>
              </w:rPr>
              <w:t>128</w:t>
            </w:r>
          </w:p>
        </w:tc>
        <w:tc>
          <w:tcPr>
            <w:tcW w:w="1848" w:type="dxa"/>
            <w:tcBorders>
              <w:top w:val="single" w:sz="4" w:space="0" w:color="auto"/>
              <w:left w:val="single" w:sz="4" w:space="0" w:color="auto"/>
              <w:bottom w:val="single" w:sz="4" w:space="0" w:color="auto"/>
              <w:right w:val="single" w:sz="4" w:space="0" w:color="auto"/>
            </w:tcBorders>
            <w:vAlign w:val="center"/>
            <w:hideMark/>
          </w:tcPr>
          <w:p w14:paraId="687F628B" w14:textId="77777777" w:rsidR="00CC5419" w:rsidRDefault="00CC5419" w:rsidP="005F054A">
            <w:pPr>
              <w:pStyle w:val="TAC"/>
              <w:rPr>
                <w:rFonts w:eastAsia="Yu Mincho"/>
              </w:rPr>
            </w:pPr>
            <w:r>
              <w:rPr>
                <w:rFonts w:eastAsia="Yu Mincho"/>
              </w:rPr>
              <w:t>[20]</w:t>
            </w:r>
          </w:p>
        </w:tc>
      </w:tr>
      <w:tr w:rsidR="00CC5419" w14:paraId="64BBA76B" w14:textId="77777777" w:rsidTr="005F054A">
        <w:trPr>
          <w:trHeight w:val="46"/>
          <w:jc w:val="center"/>
        </w:trPr>
        <w:tc>
          <w:tcPr>
            <w:tcW w:w="5571" w:type="dxa"/>
            <w:gridSpan w:val="3"/>
            <w:tcBorders>
              <w:top w:val="single" w:sz="4" w:space="0" w:color="auto"/>
              <w:left w:val="single" w:sz="4" w:space="0" w:color="auto"/>
              <w:bottom w:val="single" w:sz="4" w:space="0" w:color="auto"/>
              <w:right w:val="single" w:sz="4" w:space="0" w:color="auto"/>
            </w:tcBorders>
            <w:hideMark/>
          </w:tcPr>
          <w:p w14:paraId="2D6DA70F" w14:textId="77777777" w:rsidR="00CC5419" w:rsidRDefault="00CC5419" w:rsidP="005F054A">
            <w:pPr>
              <w:pStyle w:val="TAN"/>
              <w:rPr>
                <w:lang w:eastAsia="ko-KR"/>
              </w:rPr>
            </w:pPr>
            <w:r>
              <w:rPr>
                <w:lang w:eastAsia="ko-KR"/>
              </w:rPr>
              <w:t>N</w:t>
            </w:r>
            <w:r>
              <w:rPr>
                <w:lang w:eastAsia="zh-CN"/>
              </w:rPr>
              <w:t>OTE</w:t>
            </w:r>
            <w:r>
              <w:rPr>
                <w:lang w:eastAsia="ko-KR"/>
              </w:rPr>
              <w:t xml:space="preserve"> 1:</w:t>
            </w:r>
            <w:r>
              <w:rPr>
                <w:lang w:eastAsia="ko-KR"/>
              </w:rPr>
              <w:tab/>
              <w:t>Tc is the basic timing unit defined in TS 38.211 [6].</w:t>
            </w:r>
          </w:p>
          <w:p w14:paraId="62AEBDFE" w14:textId="77777777" w:rsidR="00CC5419" w:rsidRDefault="00CC5419" w:rsidP="005F054A">
            <w:pPr>
              <w:pStyle w:val="TAN"/>
              <w:rPr>
                <w:rFonts w:eastAsia="Yu Mincho"/>
              </w:rPr>
            </w:pPr>
            <w:r>
              <w:t>NOTE 2:</w:t>
            </w:r>
            <w:r>
              <w:rPr>
                <w:lang w:eastAsia="ko-KR"/>
              </w:rPr>
              <w:tab/>
            </w:r>
            <w:r>
              <w:t>If SRS and PRS have different SCS, the margin corresponding to the smallest RS BW in MHz applies.</w:t>
            </w:r>
          </w:p>
        </w:tc>
      </w:tr>
    </w:tbl>
    <w:p w14:paraId="0E128E2A" w14:textId="77777777" w:rsidR="00CC5419" w:rsidRDefault="00CC5419" w:rsidP="00CC5419">
      <w:pPr>
        <w:rPr>
          <w:lang w:eastAsia="zh-CN"/>
        </w:rPr>
      </w:pPr>
    </w:p>
    <w:p w14:paraId="78E49003" w14:textId="4B2A96CD" w:rsidR="00CC5419" w:rsidRDefault="00CC5419" w:rsidP="00CC5419">
      <w:pPr>
        <w:rPr>
          <w:i/>
          <w:sz w:val="21"/>
          <w:szCs w:val="21"/>
        </w:rPr>
      </w:pPr>
      <w:r w:rsidRPr="00CC5419">
        <w:rPr>
          <w:rFonts w:hint="eastAsia"/>
        </w:rPr>
        <w:t>E</w:t>
      </w:r>
      <w:r w:rsidRPr="00CC5419">
        <w:t>ditor’s Note:</w:t>
      </w:r>
      <w:r w:rsidRPr="00CC5419">
        <w:rPr>
          <w:sz w:val="21"/>
          <w:szCs w:val="21"/>
        </w:rPr>
        <w:t xml:space="preserve"> FFS whether and which applicability conditions from clause 10.1.25.2 should be ad</w:t>
      </w:r>
      <w:r w:rsidRPr="003D2609">
        <w:rPr>
          <w:i/>
          <w:sz w:val="21"/>
          <w:szCs w:val="21"/>
        </w:rPr>
        <w:t>ded</w:t>
      </w:r>
      <w:r>
        <w:rPr>
          <w:i/>
          <w:sz w:val="21"/>
          <w:szCs w:val="21"/>
        </w:rPr>
        <w:t>.</w:t>
      </w:r>
    </w:p>
    <w:p w14:paraId="3BE8067F" w14:textId="77777777" w:rsidR="00CC5419" w:rsidRPr="003D2609" w:rsidRDefault="00CC5419" w:rsidP="00CC5419">
      <w:pPr>
        <w:rPr>
          <w:lang w:eastAsia="zh-CN"/>
        </w:rPr>
      </w:pPr>
    </w:p>
    <w:p w14:paraId="7375AA1D" w14:textId="4D38701A" w:rsidR="00CC5419" w:rsidRPr="00082331" w:rsidRDefault="00CC5419" w:rsidP="00CC5419">
      <w:pPr>
        <w:pStyle w:val="Heading4"/>
        <w:rPr>
          <w:lang w:eastAsia="en-US"/>
        </w:rPr>
      </w:pPr>
      <w:r w:rsidRPr="00082331">
        <w:rPr>
          <w:lang w:eastAsia="en-US"/>
        </w:rPr>
        <w:t>10.1.</w:t>
      </w:r>
      <w:r>
        <w:t>40</w:t>
      </w:r>
      <w:r w:rsidRPr="00082331">
        <w:rPr>
          <w:lang w:eastAsia="en-US"/>
        </w:rPr>
        <w:t>.2</w:t>
      </w:r>
      <w:r w:rsidRPr="00082331">
        <w:rPr>
          <w:lang w:eastAsia="en-US"/>
        </w:rPr>
        <w:tab/>
        <w:t>Measurement Accuracy Requirements for TRS</w:t>
      </w:r>
    </w:p>
    <w:p w14:paraId="040C1173" w14:textId="77777777" w:rsidR="00CC5419" w:rsidRDefault="00CC5419" w:rsidP="00CC5419">
      <w:r w:rsidRPr="00E7602D">
        <w:t>The error in the reported value of UE Rx-Tx time difference measurement, including both the measurement error and the reporting quantization error, should be within the accuracy requirements specified in this clause</w:t>
      </w:r>
      <w:r>
        <w:t>.</w:t>
      </w:r>
    </w:p>
    <w:p w14:paraId="5E062671" w14:textId="77777777" w:rsidR="00CC5419" w:rsidRDefault="00CC5419" w:rsidP="00CC5419">
      <w:r>
        <w:t>The accuracy requirements in Table 10.1.40.2-1 for FR1 are valid under the following conditions:</w:t>
      </w:r>
    </w:p>
    <w:p w14:paraId="2CFDA9B3" w14:textId="77777777" w:rsidR="00CC5419" w:rsidRDefault="00CC5419" w:rsidP="00082331">
      <w:pPr>
        <w:pStyle w:val="B10"/>
      </w:pPr>
      <w:r>
        <w:t>Conditions defined in clause 7.3 of TS 38.101-1 [18] for reference sensitivity are fulfilled.</w:t>
      </w:r>
    </w:p>
    <w:p w14:paraId="1A63FA0B" w14:textId="77777777" w:rsidR="00CC5419" w:rsidRDefault="00CC5419" w:rsidP="00CC5419">
      <w:pPr>
        <w:pStyle w:val="B10"/>
      </w:pPr>
      <w:r>
        <w:t>PRP|</w:t>
      </w:r>
      <w:r>
        <w:rPr>
          <w:vertAlign w:val="subscript"/>
        </w:rPr>
        <w:t>dBm</w:t>
      </w:r>
      <w:r>
        <w:t xml:space="preserve"> according to Annex [TBD] for a corresponding Band.</w:t>
      </w:r>
    </w:p>
    <w:p w14:paraId="087C2C73" w14:textId="77777777" w:rsidR="00CC5419" w:rsidRDefault="00CC5419" w:rsidP="00082331">
      <w:pPr>
        <w:pStyle w:val="B10"/>
      </w:pPr>
      <w:r>
        <w:t>AWGN propagation condition.</w:t>
      </w:r>
    </w:p>
    <w:p w14:paraId="1EC1F0F3" w14:textId="77777777" w:rsidR="00CC5419" w:rsidRDefault="00CC5419" w:rsidP="00CC5419">
      <w:pPr>
        <w:pStyle w:val="TH"/>
      </w:pPr>
      <w:r>
        <w:t>Table 10.1.40.2-1: UE Rx-Tx time difference measurement accuracy in FR1 in AWGN</w:t>
      </w: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2"/>
        <w:gridCol w:w="715"/>
        <w:gridCol w:w="1133"/>
        <w:gridCol w:w="709"/>
        <w:gridCol w:w="2267"/>
        <w:gridCol w:w="1289"/>
        <w:gridCol w:w="1120"/>
      </w:tblGrid>
      <w:tr w:rsidR="00CC5419" w14:paraId="5CFC6B47" w14:textId="77777777" w:rsidTr="005F054A">
        <w:trPr>
          <w:jc w:val="center"/>
        </w:trPr>
        <w:tc>
          <w:tcPr>
            <w:tcW w:w="1132" w:type="dxa"/>
            <w:vMerge w:val="restart"/>
            <w:tcBorders>
              <w:top w:val="single" w:sz="4" w:space="0" w:color="auto"/>
              <w:left w:val="single" w:sz="4" w:space="0" w:color="auto"/>
              <w:bottom w:val="single" w:sz="4" w:space="0" w:color="auto"/>
              <w:right w:val="single" w:sz="4" w:space="0" w:color="auto"/>
            </w:tcBorders>
            <w:vAlign w:val="center"/>
            <w:hideMark/>
          </w:tcPr>
          <w:p w14:paraId="11456476" w14:textId="77777777" w:rsidR="00CC5419" w:rsidRDefault="00CC5419" w:rsidP="005F054A">
            <w:pPr>
              <w:pStyle w:val="TAH"/>
            </w:pPr>
            <w:r>
              <w:t>Accuracy</w:t>
            </w:r>
          </w:p>
        </w:tc>
        <w:tc>
          <w:tcPr>
            <w:tcW w:w="7233" w:type="dxa"/>
            <w:gridSpan w:val="6"/>
            <w:tcBorders>
              <w:top w:val="single" w:sz="4" w:space="0" w:color="auto"/>
              <w:left w:val="single" w:sz="4" w:space="0" w:color="auto"/>
              <w:bottom w:val="single" w:sz="4" w:space="0" w:color="auto"/>
              <w:right w:val="single" w:sz="4" w:space="0" w:color="auto"/>
            </w:tcBorders>
            <w:hideMark/>
          </w:tcPr>
          <w:p w14:paraId="2E2BAF9A" w14:textId="77777777" w:rsidR="00CC5419" w:rsidRDefault="00CC5419" w:rsidP="005F054A">
            <w:pPr>
              <w:pStyle w:val="TAH"/>
            </w:pPr>
            <w:r>
              <w:t>Conditions</w:t>
            </w:r>
          </w:p>
        </w:tc>
      </w:tr>
      <w:tr w:rsidR="00CC5419" w14:paraId="423CBADC" w14:textId="77777777" w:rsidTr="005F054A">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5AAC75CE" w14:textId="77777777" w:rsidR="00CC5419" w:rsidRDefault="00CC5419" w:rsidP="005F054A">
            <w:pPr>
              <w:pStyle w:val="TAH"/>
            </w:pPr>
          </w:p>
        </w:tc>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25305912" w14:textId="77777777" w:rsidR="00CC5419" w:rsidRDefault="00CC5419" w:rsidP="005F054A">
            <w:pPr>
              <w:pStyle w:val="TAH"/>
            </w:pPr>
            <w:r>
              <w:t>TRS Ês/Iot</w:t>
            </w:r>
          </w:p>
        </w:tc>
        <w:tc>
          <w:tcPr>
            <w:tcW w:w="1133" w:type="dxa"/>
            <w:vMerge w:val="restart"/>
            <w:tcBorders>
              <w:top w:val="single" w:sz="4" w:space="0" w:color="auto"/>
              <w:left w:val="single" w:sz="4" w:space="0" w:color="auto"/>
              <w:bottom w:val="single" w:sz="4" w:space="0" w:color="auto"/>
              <w:right w:val="single" w:sz="4" w:space="0" w:color="auto"/>
            </w:tcBorders>
            <w:vAlign w:val="center"/>
            <w:hideMark/>
          </w:tcPr>
          <w:p w14:paraId="4AD5DD55" w14:textId="77777777" w:rsidR="00CC5419" w:rsidRDefault="00CC5419" w:rsidP="005F054A">
            <w:pPr>
              <w:pStyle w:val="TAH"/>
            </w:pPr>
            <w:r>
              <w:t>Minimum TRS bandwidth</w:t>
            </w:r>
          </w:p>
        </w:tc>
        <w:tc>
          <w:tcPr>
            <w:tcW w:w="709" w:type="dxa"/>
            <w:vMerge w:val="restart"/>
            <w:tcBorders>
              <w:top w:val="single" w:sz="4" w:space="0" w:color="auto"/>
              <w:left w:val="single" w:sz="4" w:space="0" w:color="auto"/>
              <w:bottom w:val="single" w:sz="4" w:space="0" w:color="auto"/>
              <w:right w:val="single" w:sz="4" w:space="0" w:color="auto"/>
            </w:tcBorders>
          </w:tcPr>
          <w:p w14:paraId="0998DEE6" w14:textId="77777777" w:rsidR="00CC5419" w:rsidRDefault="00CC5419" w:rsidP="005F054A">
            <w:pPr>
              <w:pStyle w:val="TAH"/>
            </w:pPr>
          </w:p>
          <w:p w14:paraId="48ABC8F0" w14:textId="77777777" w:rsidR="00CC5419" w:rsidRDefault="00CC5419" w:rsidP="005F054A">
            <w:pPr>
              <w:pStyle w:val="TAH"/>
            </w:pPr>
            <w:r>
              <w:t>TRS SCS</w:t>
            </w:r>
          </w:p>
        </w:tc>
        <w:tc>
          <w:tcPr>
            <w:tcW w:w="2267" w:type="dxa"/>
            <w:vMerge w:val="restart"/>
            <w:tcBorders>
              <w:top w:val="single" w:sz="4" w:space="0" w:color="auto"/>
              <w:left w:val="single" w:sz="4" w:space="0" w:color="auto"/>
              <w:bottom w:val="single" w:sz="4" w:space="0" w:color="auto"/>
              <w:right w:val="single" w:sz="4" w:space="0" w:color="auto"/>
            </w:tcBorders>
            <w:hideMark/>
          </w:tcPr>
          <w:p w14:paraId="01487F8D" w14:textId="77777777" w:rsidR="00CC5419" w:rsidRDefault="00CC5419" w:rsidP="005F054A">
            <w:pPr>
              <w:pStyle w:val="TAH"/>
            </w:pPr>
            <w:r>
              <w:t>NR operating band groups</w:t>
            </w:r>
            <w:r>
              <w:rPr>
                <w:vertAlign w:val="superscript"/>
              </w:rPr>
              <w:t>Note 2</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14:paraId="5551E7F6" w14:textId="77777777" w:rsidR="00CC5419" w:rsidRDefault="00CC5419" w:rsidP="005F054A">
            <w:pPr>
              <w:pStyle w:val="TAH"/>
            </w:pPr>
            <w:r>
              <w:t>Io</w:t>
            </w:r>
            <w:r>
              <w:rPr>
                <w:vertAlign w:val="superscript"/>
                <w:lang w:eastAsia="zh-CN"/>
              </w:rPr>
              <w:t>Note 3</w:t>
            </w:r>
            <w:r>
              <w:t xml:space="preserve"> range</w:t>
            </w:r>
          </w:p>
        </w:tc>
      </w:tr>
      <w:tr w:rsidR="00CC5419" w14:paraId="3A3B0C59" w14:textId="77777777" w:rsidTr="005F054A">
        <w:trPr>
          <w:jc w:val="center"/>
        </w:trPr>
        <w:tc>
          <w:tcPr>
            <w:tcW w:w="1132" w:type="dxa"/>
            <w:vMerge/>
            <w:tcBorders>
              <w:top w:val="single" w:sz="4" w:space="0" w:color="auto"/>
              <w:left w:val="single" w:sz="4" w:space="0" w:color="auto"/>
              <w:bottom w:val="single" w:sz="4" w:space="0" w:color="auto"/>
              <w:right w:val="single" w:sz="4" w:space="0" w:color="auto"/>
            </w:tcBorders>
            <w:vAlign w:val="center"/>
            <w:hideMark/>
          </w:tcPr>
          <w:p w14:paraId="2ED95DD8" w14:textId="77777777" w:rsidR="00CC5419" w:rsidRDefault="00CC5419" w:rsidP="005F054A">
            <w:pPr>
              <w:pStyle w:val="TAH"/>
            </w:pPr>
          </w:p>
        </w:tc>
        <w:tc>
          <w:tcPr>
            <w:tcW w:w="715" w:type="dxa"/>
            <w:vMerge/>
            <w:tcBorders>
              <w:top w:val="single" w:sz="4" w:space="0" w:color="auto"/>
              <w:left w:val="single" w:sz="4" w:space="0" w:color="auto"/>
              <w:bottom w:val="single" w:sz="4" w:space="0" w:color="auto"/>
              <w:right w:val="single" w:sz="4" w:space="0" w:color="auto"/>
            </w:tcBorders>
            <w:vAlign w:val="center"/>
            <w:hideMark/>
          </w:tcPr>
          <w:p w14:paraId="63F1EBBA" w14:textId="77777777" w:rsidR="00CC5419" w:rsidRDefault="00CC5419" w:rsidP="005F054A">
            <w:pPr>
              <w:pStyle w:val="TAH"/>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52ED2A9E" w14:textId="77777777" w:rsidR="00CC5419" w:rsidRDefault="00CC5419" w:rsidP="005F054A">
            <w:pPr>
              <w:pStyle w:val="TAH"/>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F88C663" w14:textId="77777777" w:rsidR="00CC5419" w:rsidRDefault="00CC5419" w:rsidP="005F054A">
            <w:pPr>
              <w:pStyle w:val="TAH"/>
            </w:pPr>
          </w:p>
        </w:tc>
        <w:tc>
          <w:tcPr>
            <w:tcW w:w="2267" w:type="dxa"/>
            <w:vMerge/>
            <w:tcBorders>
              <w:top w:val="single" w:sz="4" w:space="0" w:color="auto"/>
              <w:left w:val="single" w:sz="4" w:space="0" w:color="auto"/>
              <w:bottom w:val="single" w:sz="4" w:space="0" w:color="auto"/>
              <w:right w:val="single" w:sz="4" w:space="0" w:color="auto"/>
            </w:tcBorders>
            <w:vAlign w:val="center"/>
            <w:hideMark/>
          </w:tcPr>
          <w:p w14:paraId="6D2FBFBE" w14:textId="77777777" w:rsidR="00CC5419" w:rsidRDefault="00CC5419" w:rsidP="005F054A">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5BDBDEEC" w14:textId="77777777" w:rsidR="00CC5419" w:rsidRDefault="00CC5419" w:rsidP="005F054A">
            <w:pPr>
              <w:pStyle w:val="TAH"/>
            </w:pPr>
            <w:r>
              <w:t>Minimum</w:t>
            </w:r>
            <w:r>
              <w:br/>
              <w:t>Io</w:t>
            </w:r>
            <w:r>
              <w:rPr>
                <w:vertAlign w:val="superscript"/>
              </w:rPr>
              <w:t>Note 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D03EA2A" w14:textId="77777777" w:rsidR="00CC5419" w:rsidRDefault="00CC5419" w:rsidP="005F054A">
            <w:pPr>
              <w:pStyle w:val="TAH"/>
            </w:pPr>
            <w:r>
              <w:t>Maximum</w:t>
            </w:r>
            <w:r>
              <w:br/>
              <w:t>Io</w:t>
            </w:r>
          </w:p>
        </w:tc>
      </w:tr>
      <w:tr w:rsidR="00CC5419" w14:paraId="79004B1D" w14:textId="77777777" w:rsidTr="005F054A">
        <w:trPr>
          <w:trHeight w:val="429"/>
          <w:jc w:val="center"/>
        </w:trPr>
        <w:tc>
          <w:tcPr>
            <w:tcW w:w="1132" w:type="dxa"/>
            <w:tcBorders>
              <w:top w:val="single" w:sz="4" w:space="0" w:color="auto"/>
              <w:left w:val="single" w:sz="4" w:space="0" w:color="auto"/>
              <w:bottom w:val="single" w:sz="4" w:space="0" w:color="auto"/>
              <w:right w:val="single" w:sz="4" w:space="0" w:color="auto"/>
            </w:tcBorders>
            <w:vAlign w:val="center"/>
            <w:hideMark/>
          </w:tcPr>
          <w:p w14:paraId="065589ED" w14:textId="77777777" w:rsidR="00CC5419" w:rsidRDefault="00CC5419" w:rsidP="005F054A">
            <w:pPr>
              <w:pStyle w:val="TAH"/>
            </w:pPr>
            <w:r>
              <w:t>Tc</w:t>
            </w:r>
            <w:r>
              <w:rPr>
                <w:vertAlign w:val="superscript"/>
                <w:lang w:eastAsia="zh-CN"/>
              </w:rPr>
              <w:t>Note 4</w:t>
            </w:r>
          </w:p>
        </w:tc>
        <w:tc>
          <w:tcPr>
            <w:tcW w:w="715" w:type="dxa"/>
            <w:tcBorders>
              <w:top w:val="single" w:sz="4" w:space="0" w:color="auto"/>
              <w:left w:val="single" w:sz="4" w:space="0" w:color="auto"/>
              <w:bottom w:val="single" w:sz="4" w:space="0" w:color="auto"/>
              <w:right w:val="single" w:sz="4" w:space="0" w:color="auto"/>
            </w:tcBorders>
            <w:vAlign w:val="center"/>
            <w:hideMark/>
          </w:tcPr>
          <w:p w14:paraId="1A99098A" w14:textId="77777777" w:rsidR="00CC5419" w:rsidRDefault="00CC5419" w:rsidP="005F054A">
            <w:pPr>
              <w:pStyle w:val="TAH"/>
            </w:pPr>
            <w:r>
              <w:t>dB</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C0FAEB3" w14:textId="77777777" w:rsidR="00CC5419" w:rsidRDefault="00CC5419" w:rsidP="005F054A">
            <w:pPr>
              <w:pStyle w:val="TAH"/>
            </w:pPr>
            <w:r>
              <w:t>RB</w:t>
            </w:r>
          </w:p>
        </w:tc>
        <w:tc>
          <w:tcPr>
            <w:tcW w:w="709" w:type="dxa"/>
            <w:tcBorders>
              <w:top w:val="single" w:sz="4" w:space="0" w:color="auto"/>
              <w:left w:val="single" w:sz="4" w:space="0" w:color="auto"/>
              <w:bottom w:val="single" w:sz="4" w:space="0" w:color="auto"/>
              <w:right w:val="single" w:sz="4" w:space="0" w:color="auto"/>
            </w:tcBorders>
          </w:tcPr>
          <w:p w14:paraId="00ADF261" w14:textId="77777777" w:rsidR="00CC5419" w:rsidRDefault="00CC5419" w:rsidP="005F054A">
            <w:pPr>
              <w:pStyle w:val="TAH"/>
            </w:pPr>
          </w:p>
          <w:p w14:paraId="2C3835B4" w14:textId="77777777" w:rsidR="00CC5419" w:rsidRDefault="00CC5419" w:rsidP="005F054A">
            <w:pPr>
              <w:pStyle w:val="TAH"/>
            </w:pPr>
            <w:r>
              <w:t>kHz</w:t>
            </w:r>
          </w:p>
        </w:tc>
        <w:tc>
          <w:tcPr>
            <w:tcW w:w="2267" w:type="dxa"/>
            <w:tcBorders>
              <w:top w:val="single" w:sz="4" w:space="0" w:color="auto"/>
              <w:left w:val="single" w:sz="4" w:space="0" w:color="auto"/>
              <w:bottom w:val="single" w:sz="4" w:space="0" w:color="auto"/>
              <w:right w:val="single" w:sz="4" w:space="0" w:color="auto"/>
            </w:tcBorders>
            <w:vAlign w:val="center"/>
          </w:tcPr>
          <w:p w14:paraId="0370F24B" w14:textId="77777777" w:rsidR="00CC5419" w:rsidRDefault="00CC5419" w:rsidP="005F054A">
            <w:pPr>
              <w:pStyle w:val="TAH"/>
            </w:pPr>
          </w:p>
        </w:tc>
        <w:tc>
          <w:tcPr>
            <w:tcW w:w="1289" w:type="dxa"/>
            <w:tcBorders>
              <w:top w:val="single" w:sz="4" w:space="0" w:color="auto"/>
              <w:left w:val="single" w:sz="4" w:space="0" w:color="auto"/>
              <w:bottom w:val="single" w:sz="4" w:space="0" w:color="auto"/>
              <w:right w:val="single" w:sz="4" w:space="0" w:color="auto"/>
            </w:tcBorders>
            <w:hideMark/>
          </w:tcPr>
          <w:p w14:paraId="1F0BD332" w14:textId="77777777" w:rsidR="00CC5419" w:rsidRDefault="00CC5419" w:rsidP="005F054A">
            <w:pPr>
              <w:pStyle w:val="TAH"/>
            </w:pPr>
            <w:r>
              <w:t>dBm / SCS</w:t>
            </w:r>
            <w:r>
              <w:rPr>
                <w:vertAlign w:val="subscript"/>
              </w:rPr>
              <w:t>TRS</w:t>
            </w:r>
          </w:p>
        </w:tc>
        <w:tc>
          <w:tcPr>
            <w:tcW w:w="1120" w:type="dxa"/>
            <w:tcBorders>
              <w:top w:val="single" w:sz="4" w:space="0" w:color="auto"/>
              <w:left w:val="single" w:sz="4" w:space="0" w:color="auto"/>
              <w:bottom w:val="single" w:sz="4" w:space="0" w:color="auto"/>
              <w:right w:val="single" w:sz="4" w:space="0" w:color="auto"/>
            </w:tcBorders>
            <w:vAlign w:val="center"/>
            <w:hideMark/>
          </w:tcPr>
          <w:p w14:paraId="23B1D9E1" w14:textId="77777777" w:rsidR="00CC5419" w:rsidRDefault="00CC5419" w:rsidP="005F054A">
            <w:pPr>
              <w:pStyle w:val="TAH"/>
            </w:pPr>
            <w:r>
              <w:t>dBm/BW</w:t>
            </w:r>
          </w:p>
        </w:tc>
      </w:tr>
      <w:tr w:rsidR="00CC5419" w14:paraId="1AEFE52B" w14:textId="77777777" w:rsidTr="005F054A">
        <w:trPr>
          <w:trHeight w:val="21"/>
          <w:jc w:val="center"/>
        </w:trPr>
        <w:tc>
          <w:tcPr>
            <w:tcW w:w="1132" w:type="dxa"/>
            <w:tcBorders>
              <w:top w:val="single" w:sz="6" w:space="0" w:color="auto"/>
              <w:left w:val="single" w:sz="4" w:space="0" w:color="auto"/>
              <w:bottom w:val="nil"/>
              <w:right w:val="single" w:sz="6" w:space="0" w:color="auto"/>
            </w:tcBorders>
            <w:hideMark/>
          </w:tcPr>
          <w:p w14:paraId="1B4E8CD7"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single" w:sz="4" w:space="0" w:color="auto"/>
              <w:left w:val="single" w:sz="4" w:space="0" w:color="auto"/>
              <w:bottom w:val="nil"/>
              <w:right w:val="single" w:sz="4" w:space="0" w:color="auto"/>
            </w:tcBorders>
            <w:hideMark/>
          </w:tcPr>
          <w:p w14:paraId="2F7DC230" w14:textId="77777777" w:rsidR="00CC5419" w:rsidRDefault="00CC5419" w:rsidP="005F054A">
            <w:pPr>
              <w:pStyle w:val="TAC"/>
              <w:rPr>
                <w:lang w:val="sv-SE"/>
              </w:rPr>
            </w:pPr>
            <w:r>
              <w:rPr>
                <w:lang w:val="sv-SE"/>
              </w:rPr>
              <w:t>-3</w:t>
            </w:r>
          </w:p>
        </w:tc>
        <w:tc>
          <w:tcPr>
            <w:tcW w:w="1133" w:type="dxa"/>
            <w:tcBorders>
              <w:top w:val="single" w:sz="4" w:space="0" w:color="auto"/>
              <w:left w:val="single" w:sz="4" w:space="0" w:color="auto"/>
              <w:bottom w:val="nil"/>
              <w:right w:val="single" w:sz="4" w:space="0" w:color="auto"/>
            </w:tcBorders>
            <w:hideMark/>
          </w:tcPr>
          <w:p w14:paraId="068F7A1E" w14:textId="77777777" w:rsidR="00CC5419" w:rsidRDefault="00CC5419" w:rsidP="005F054A">
            <w:pPr>
              <w:pStyle w:val="TAC"/>
            </w:pPr>
            <w:r>
              <w:rPr>
                <w:rFonts w:cs="Calibri"/>
              </w:rPr>
              <w:t>≥[</w:t>
            </w:r>
            <w:r>
              <w:t>24]</w:t>
            </w:r>
          </w:p>
        </w:tc>
        <w:tc>
          <w:tcPr>
            <w:tcW w:w="709" w:type="dxa"/>
            <w:tcBorders>
              <w:top w:val="single" w:sz="4" w:space="0" w:color="auto"/>
              <w:left w:val="single" w:sz="4" w:space="0" w:color="auto"/>
              <w:bottom w:val="nil"/>
              <w:right w:val="single" w:sz="4" w:space="0" w:color="auto"/>
            </w:tcBorders>
          </w:tcPr>
          <w:p w14:paraId="494C79BC" w14:textId="77777777" w:rsidR="00CC5419" w:rsidRDefault="00CC5419" w:rsidP="005F054A">
            <w:pPr>
              <w:pStyle w:val="TAC"/>
            </w:pPr>
            <w:r>
              <w:t>15</w:t>
            </w:r>
          </w:p>
        </w:tc>
        <w:tc>
          <w:tcPr>
            <w:tcW w:w="2267" w:type="dxa"/>
            <w:tcBorders>
              <w:top w:val="single" w:sz="4" w:space="0" w:color="auto"/>
              <w:left w:val="single" w:sz="4" w:space="0" w:color="auto"/>
              <w:bottom w:val="single" w:sz="4" w:space="0" w:color="auto"/>
              <w:right w:val="single" w:sz="4" w:space="0" w:color="auto"/>
            </w:tcBorders>
            <w:vAlign w:val="center"/>
            <w:hideMark/>
          </w:tcPr>
          <w:p w14:paraId="15E6FAEA" w14:textId="77777777" w:rsidR="00CC5419" w:rsidRDefault="00CC5419" w:rsidP="005F054A">
            <w:pPr>
              <w:pStyle w:val="TAC"/>
            </w:pPr>
            <w:r>
              <w:t>NR_FDD_FR1_A, NR_TDD_FR1_A,</w:t>
            </w:r>
          </w:p>
          <w:p w14:paraId="59349FC6" w14:textId="77777777" w:rsidR="00CC5419" w:rsidRDefault="00CC5419" w:rsidP="005F054A">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52E254AE" w14:textId="77777777" w:rsidR="00CC5419" w:rsidRDefault="00CC5419" w:rsidP="005F054A">
            <w:pPr>
              <w:pStyle w:val="TAC"/>
            </w:pPr>
            <w:r>
              <w:t>-121</w:t>
            </w:r>
          </w:p>
        </w:tc>
        <w:tc>
          <w:tcPr>
            <w:tcW w:w="1120" w:type="dxa"/>
            <w:tcBorders>
              <w:top w:val="single" w:sz="4" w:space="0" w:color="auto"/>
              <w:left w:val="single" w:sz="4" w:space="0" w:color="auto"/>
              <w:bottom w:val="nil"/>
              <w:right w:val="single" w:sz="4" w:space="0" w:color="auto"/>
            </w:tcBorders>
            <w:hideMark/>
          </w:tcPr>
          <w:p w14:paraId="4FD78AAD" w14:textId="77777777" w:rsidR="00CC5419" w:rsidRDefault="00CC5419" w:rsidP="005F054A">
            <w:pPr>
              <w:pStyle w:val="TAC"/>
            </w:pPr>
            <w:r>
              <w:t>-50</w:t>
            </w:r>
          </w:p>
        </w:tc>
      </w:tr>
      <w:tr w:rsidR="00CC5419" w14:paraId="0003F18A"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00375FB1"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675EBE33"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38B38D83"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5B489A6D"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0B593E83" w14:textId="77777777" w:rsidR="00CC5419" w:rsidRDefault="00CC5419" w:rsidP="005F054A">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79BFE52D" w14:textId="77777777" w:rsidR="00CC5419" w:rsidRDefault="00CC5419" w:rsidP="005F054A">
            <w:pPr>
              <w:pStyle w:val="TAC"/>
            </w:pPr>
            <w:r>
              <w:t>-120.5</w:t>
            </w:r>
          </w:p>
        </w:tc>
        <w:tc>
          <w:tcPr>
            <w:tcW w:w="1120" w:type="dxa"/>
            <w:tcBorders>
              <w:top w:val="nil"/>
              <w:left w:val="single" w:sz="4" w:space="0" w:color="auto"/>
              <w:bottom w:val="nil"/>
              <w:right w:val="single" w:sz="4" w:space="0" w:color="auto"/>
            </w:tcBorders>
            <w:vAlign w:val="center"/>
            <w:hideMark/>
          </w:tcPr>
          <w:p w14:paraId="51C7FB63" w14:textId="77777777" w:rsidR="00CC5419" w:rsidRDefault="00CC5419" w:rsidP="005F054A">
            <w:pPr>
              <w:pStyle w:val="TAC"/>
            </w:pPr>
          </w:p>
        </w:tc>
      </w:tr>
      <w:tr w:rsidR="00CC5419" w14:paraId="52DB2D92"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255F62D"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26D1FB49"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60A1E623"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3E06C144"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431291E" w14:textId="77777777" w:rsidR="00CC5419" w:rsidRDefault="00CC5419" w:rsidP="005F054A">
            <w:pPr>
              <w:pStyle w:val="TAC"/>
            </w:pPr>
            <w:r>
              <w:t>NR_TDD_FR1_C</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D032E75" w14:textId="77777777" w:rsidR="00CC5419" w:rsidRDefault="00CC5419" w:rsidP="005F054A">
            <w:pPr>
              <w:pStyle w:val="TAC"/>
            </w:pPr>
            <w:r>
              <w:t>-120</w:t>
            </w:r>
          </w:p>
        </w:tc>
        <w:tc>
          <w:tcPr>
            <w:tcW w:w="1120" w:type="dxa"/>
            <w:tcBorders>
              <w:top w:val="nil"/>
              <w:left w:val="single" w:sz="4" w:space="0" w:color="auto"/>
              <w:bottom w:val="nil"/>
              <w:right w:val="single" w:sz="4" w:space="0" w:color="auto"/>
            </w:tcBorders>
            <w:vAlign w:val="center"/>
            <w:hideMark/>
          </w:tcPr>
          <w:p w14:paraId="4E19E7B7" w14:textId="77777777" w:rsidR="00CC5419" w:rsidRDefault="00CC5419" w:rsidP="005F054A">
            <w:pPr>
              <w:pStyle w:val="TAC"/>
            </w:pPr>
          </w:p>
        </w:tc>
      </w:tr>
      <w:tr w:rsidR="00CC5419" w14:paraId="4CDF171A"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D702EED"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13C521BA"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CAB9811"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2DF58032"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E43C499" w14:textId="77777777" w:rsidR="00CC5419" w:rsidRDefault="00CC5419" w:rsidP="005F054A">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8D9F188" w14:textId="77777777" w:rsidR="00CC5419" w:rsidRDefault="00CC5419" w:rsidP="005F054A">
            <w:pPr>
              <w:pStyle w:val="TAC"/>
            </w:pPr>
            <w:r>
              <w:t>-119.5</w:t>
            </w:r>
          </w:p>
        </w:tc>
        <w:tc>
          <w:tcPr>
            <w:tcW w:w="1120" w:type="dxa"/>
            <w:tcBorders>
              <w:top w:val="nil"/>
              <w:left w:val="single" w:sz="4" w:space="0" w:color="auto"/>
              <w:bottom w:val="nil"/>
              <w:right w:val="single" w:sz="4" w:space="0" w:color="auto"/>
            </w:tcBorders>
            <w:vAlign w:val="center"/>
            <w:hideMark/>
          </w:tcPr>
          <w:p w14:paraId="6C13C0FA" w14:textId="77777777" w:rsidR="00CC5419" w:rsidRDefault="00CC5419" w:rsidP="005F054A">
            <w:pPr>
              <w:pStyle w:val="TAC"/>
            </w:pPr>
          </w:p>
        </w:tc>
      </w:tr>
      <w:tr w:rsidR="00CC5419" w14:paraId="3868B63F"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25862A05"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2706D909"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4CC0F23B"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2119919C"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CF3CEC8" w14:textId="77777777" w:rsidR="00CC5419" w:rsidRDefault="00CC5419" w:rsidP="005F054A">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50C8F0" w14:textId="77777777" w:rsidR="00CC5419" w:rsidRDefault="00CC5419" w:rsidP="005F054A">
            <w:pPr>
              <w:pStyle w:val="TAC"/>
            </w:pPr>
            <w:r>
              <w:t>-119</w:t>
            </w:r>
          </w:p>
        </w:tc>
        <w:tc>
          <w:tcPr>
            <w:tcW w:w="1120" w:type="dxa"/>
            <w:tcBorders>
              <w:top w:val="nil"/>
              <w:left w:val="single" w:sz="4" w:space="0" w:color="auto"/>
              <w:bottom w:val="nil"/>
              <w:right w:val="single" w:sz="4" w:space="0" w:color="auto"/>
            </w:tcBorders>
            <w:vAlign w:val="center"/>
            <w:hideMark/>
          </w:tcPr>
          <w:p w14:paraId="163989D0" w14:textId="77777777" w:rsidR="00CC5419" w:rsidRDefault="00CC5419" w:rsidP="005F054A">
            <w:pPr>
              <w:pStyle w:val="TAC"/>
            </w:pPr>
          </w:p>
        </w:tc>
      </w:tr>
      <w:tr w:rsidR="00CC5419" w14:paraId="16831FFE"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242465E1"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23653E29"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7E0E6110"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08AEAF88"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090ACAE" w14:textId="77777777" w:rsidR="00CC5419" w:rsidRDefault="00CC5419" w:rsidP="005F054A">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vAlign w:val="center"/>
            <w:hideMark/>
          </w:tcPr>
          <w:p w14:paraId="393D527F" w14:textId="77777777" w:rsidR="00CC5419" w:rsidRDefault="00CC5419" w:rsidP="005F054A">
            <w:pPr>
              <w:pStyle w:val="TAC"/>
            </w:pPr>
            <w:r>
              <w:t>-118.5</w:t>
            </w:r>
          </w:p>
        </w:tc>
        <w:tc>
          <w:tcPr>
            <w:tcW w:w="1120" w:type="dxa"/>
            <w:tcBorders>
              <w:top w:val="nil"/>
              <w:left w:val="single" w:sz="4" w:space="0" w:color="auto"/>
              <w:bottom w:val="nil"/>
              <w:right w:val="single" w:sz="4" w:space="0" w:color="auto"/>
            </w:tcBorders>
            <w:vAlign w:val="center"/>
            <w:hideMark/>
          </w:tcPr>
          <w:p w14:paraId="0092B053" w14:textId="77777777" w:rsidR="00CC5419" w:rsidRDefault="00CC5419" w:rsidP="005F054A">
            <w:pPr>
              <w:pStyle w:val="TAC"/>
            </w:pPr>
          </w:p>
        </w:tc>
      </w:tr>
      <w:tr w:rsidR="00CC5419" w14:paraId="3A2DFB5C"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F6F23D3"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25BE1EBF"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9AE5351"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7FBEFA4D"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C955ECC" w14:textId="77777777" w:rsidR="00CC5419" w:rsidRDefault="00CC5419" w:rsidP="005F054A">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96297A4" w14:textId="77777777" w:rsidR="00CC5419" w:rsidRDefault="00CC5419" w:rsidP="005F054A">
            <w:pPr>
              <w:pStyle w:val="TAC"/>
            </w:pPr>
            <w:r>
              <w:t>-118</w:t>
            </w:r>
          </w:p>
        </w:tc>
        <w:tc>
          <w:tcPr>
            <w:tcW w:w="1120" w:type="dxa"/>
            <w:tcBorders>
              <w:top w:val="nil"/>
              <w:left w:val="single" w:sz="4" w:space="0" w:color="auto"/>
              <w:bottom w:val="nil"/>
              <w:right w:val="single" w:sz="4" w:space="0" w:color="auto"/>
            </w:tcBorders>
            <w:vAlign w:val="center"/>
            <w:hideMark/>
          </w:tcPr>
          <w:p w14:paraId="06605F20" w14:textId="77777777" w:rsidR="00CC5419" w:rsidRDefault="00CC5419" w:rsidP="005F054A">
            <w:pPr>
              <w:pStyle w:val="TAC"/>
            </w:pPr>
          </w:p>
        </w:tc>
      </w:tr>
      <w:tr w:rsidR="00CC5419" w14:paraId="27213CF9"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1110BCC2"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4A262B21" w14:textId="77777777" w:rsidR="00CC5419" w:rsidRDefault="00CC5419" w:rsidP="005F054A">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355163DC"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0E70C4B8"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17377980" w14:textId="77777777" w:rsidR="00CC5419" w:rsidRDefault="00CC5419" w:rsidP="005F054A">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463CCEE2" w14:textId="77777777" w:rsidR="00CC5419" w:rsidRDefault="00CC5419" w:rsidP="005F054A">
            <w:pPr>
              <w:pStyle w:val="TAC"/>
            </w:pPr>
            <w:r>
              <w:t>-117.5</w:t>
            </w:r>
          </w:p>
        </w:tc>
        <w:tc>
          <w:tcPr>
            <w:tcW w:w="1120" w:type="dxa"/>
            <w:tcBorders>
              <w:top w:val="nil"/>
              <w:left w:val="single" w:sz="4" w:space="0" w:color="auto"/>
              <w:bottom w:val="single" w:sz="4" w:space="0" w:color="auto"/>
              <w:right w:val="single" w:sz="4" w:space="0" w:color="auto"/>
            </w:tcBorders>
            <w:vAlign w:val="center"/>
            <w:hideMark/>
          </w:tcPr>
          <w:p w14:paraId="25D99476" w14:textId="77777777" w:rsidR="00CC5419" w:rsidRDefault="00CC5419" w:rsidP="005F054A">
            <w:pPr>
              <w:pStyle w:val="TAC"/>
            </w:pPr>
          </w:p>
        </w:tc>
      </w:tr>
      <w:tr w:rsidR="00CC5419" w14:paraId="263BBB3C" w14:textId="77777777" w:rsidTr="005F054A">
        <w:trPr>
          <w:jc w:val="center"/>
        </w:trPr>
        <w:tc>
          <w:tcPr>
            <w:tcW w:w="1132" w:type="dxa"/>
            <w:tcBorders>
              <w:top w:val="single" w:sz="6" w:space="0" w:color="auto"/>
              <w:left w:val="single" w:sz="4" w:space="0" w:color="auto"/>
              <w:bottom w:val="nil"/>
              <w:right w:val="single" w:sz="6" w:space="0" w:color="auto"/>
            </w:tcBorders>
            <w:vAlign w:val="center"/>
            <w:hideMark/>
          </w:tcPr>
          <w:p w14:paraId="412CE896"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hideMark/>
          </w:tcPr>
          <w:p w14:paraId="72E38AF2"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1E56588F" w14:textId="77777777" w:rsidR="00CC5419" w:rsidRDefault="00CC5419" w:rsidP="005F054A">
            <w:pPr>
              <w:pStyle w:val="TAC"/>
            </w:pPr>
            <w:r>
              <w:rPr>
                <w:rFonts w:cs="Calibri"/>
              </w:rPr>
              <w:t>≥[</w:t>
            </w:r>
            <w:r>
              <w:t>52]</w:t>
            </w:r>
          </w:p>
        </w:tc>
        <w:tc>
          <w:tcPr>
            <w:tcW w:w="709" w:type="dxa"/>
            <w:tcBorders>
              <w:top w:val="nil"/>
              <w:left w:val="single" w:sz="4" w:space="0" w:color="auto"/>
              <w:bottom w:val="nil"/>
              <w:right w:val="single" w:sz="4" w:space="0" w:color="auto"/>
            </w:tcBorders>
            <w:vAlign w:val="center"/>
            <w:hideMark/>
          </w:tcPr>
          <w:p w14:paraId="71901620"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3FADC1F6" w14:textId="77777777" w:rsidR="00CC5419" w:rsidRDefault="00CC5419" w:rsidP="005F054A">
            <w:pPr>
              <w:pStyle w:val="TAC"/>
            </w:pPr>
            <w:r>
              <w:t>Note 5</w:t>
            </w:r>
          </w:p>
        </w:tc>
        <w:tc>
          <w:tcPr>
            <w:tcW w:w="1289" w:type="dxa"/>
            <w:tcBorders>
              <w:top w:val="single" w:sz="4" w:space="0" w:color="auto"/>
              <w:left w:val="single" w:sz="4" w:space="0" w:color="auto"/>
              <w:bottom w:val="single" w:sz="4" w:space="0" w:color="auto"/>
              <w:right w:val="single" w:sz="4" w:space="0" w:color="auto"/>
            </w:tcBorders>
            <w:hideMark/>
          </w:tcPr>
          <w:p w14:paraId="07F6C96C" w14:textId="77777777" w:rsidR="00CC5419" w:rsidRDefault="00CC5419" w:rsidP="005F054A">
            <w:pPr>
              <w:pStyle w:val="TAC"/>
            </w:pPr>
            <w:r>
              <w:t>NOTE 5</w:t>
            </w:r>
          </w:p>
        </w:tc>
        <w:tc>
          <w:tcPr>
            <w:tcW w:w="1120" w:type="dxa"/>
            <w:tcBorders>
              <w:top w:val="single" w:sz="4" w:space="0" w:color="auto"/>
              <w:left w:val="single" w:sz="4" w:space="0" w:color="auto"/>
              <w:bottom w:val="single" w:sz="4" w:space="0" w:color="auto"/>
              <w:right w:val="single" w:sz="4" w:space="0" w:color="auto"/>
            </w:tcBorders>
            <w:hideMark/>
          </w:tcPr>
          <w:p w14:paraId="2199D98D" w14:textId="77777777" w:rsidR="00CC5419" w:rsidRDefault="00CC5419" w:rsidP="005F054A">
            <w:pPr>
              <w:pStyle w:val="TAC"/>
            </w:pPr>
            <w:r>
              <w:t>NOTE 5</w:t>
            </w:r>
          </w:p>
        </w:tc>
      </w:tr>
      <w:tr w:rsidR="00CC5419" w14:paraId="4530E2E5" w14:textId="77777777" w:rsidTr="005F054A">
        <w:trPr>
          <w:jc w:val="center"/>
        </w:trPr>
        <w:tc>
          <w:tcPr>
            <w:tcW w:w="1132" w:type="dxa"/>
            <w:tcBorders>
              <w:top w:val="single" w:sz="6" w:space="0" w:color="auto"/>
              <w:left w:val="single" w:sz="4" w:space="0" w:color="auto"/>
              <w:bottom w:val="nil"/>
              <w:right w:val="single" w:sz="6" w:space="0" w:color="auto"/>
            </w:tcBorders>
            <w:vAlign w:val="center"/>
            <w:hideMark/>
          </w:tcPr>
          <w:p w14:paraId="5C8AAB6F"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hideMark/>
          </w:tcPr>
          <w:p w14:paraId="4EDFBBD5"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7835B38A" w14:textId="77777777" w:rsidR="00CC5419" w:rsidRDefault="00CC5419" w:rsidP="005F054A">
            <w:pPr>
              <w:pStyle w:val="TAC"/>
            </w:pPr>
            <w:r>
              <w:rPr>
                <w:lang w:eastAsia="zh-CN"/>
              </w:rPr>
              <w:t>&gt;[104]</w:t>
            </w:r>
          </w:p>
        </w:tc>
        <w:tc>
          <w:tcPr>
            <w:tcW w:w="709" w:type="dxa"/>
            <w:tcBorders>
              <w:top w:val="nil"/>
              <w:left w:val="single" w:sz="4" w:space="0" w:color="auto"/>
              <w:bottom w:val="single" w:sz="4" w:space="0" w:color="auto"/>
              <w:right w:val="single" w:sz="4" w:space="0" w:color="auto"/>
            </w:tcBorders>
            <w:vAlign w:val="center"/>
            <w:hideMark/>
          </w:tcPr>
          <w:p w14:paraId="3F35BB2E"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0B5AABE8" w14:textId="77777777" w:rsidR="00CC5419" w:rsidRDefault="00CC5419" w:rsidP="005F054A">
            <w:pPr>
              <w:pStyle w:val="TAC"/>
            </w:pPr>
            <w:r>
              <w:t>Note 5</w:t>
            </w:r>
          </w:p>
        </w:tc>
        <w:tc>
          <w:tcPr>
            <w:tcW w:w="1289" w:type="dxa"/>
            <w:tcBorders>
              <w:top w:val="single" w:sz="4" w:space="0" w:color="auto"/>
              <w:left w:val="single" w:sz="4" w:space="0" w:color="auto"/>
              <w:bottom w:val="single" w:sz="4" w:space="0" w:color="auto"/>
              <w:right w:val="single" w:sz="4" w:space="0" w:color="auto"/>
            </w:tcBorders>
            <w:hideMark/>
          </w:tcPr>
          <w:p w14:paraId="30818EBE" w14:textId="77777777" w:rsidR="00CC5419" w:rsidRDefault="00CC5419" w:rsidP="005F054A">
            <w:pPr>
              <w:pStyle w:val="TAC"/>
            </w:pPr>
            <w:r>
              <w:t>NOTE 5</w:t>
            </w:r>
          </w:p>
        </w:tc>
        <w:tc>
          <w:tcPr>
            <w:tcW w:w="1120" w:type="dxa"/>
            <w:tcBorders>
              <w:top w:val="single" w:sz="4" w:space="0" w:color="auto"/>
              <w:left w:val="single" w:sz="4" w:space="0" w:color="auto"/>
              <w:bottom w:val="single" w:sz="4" w:space="0" w:color="auto"/>
              <w:right w:val="single" w:sz="4" w:space="0" w:color="auto"/>
            </w:tcBorders>
            <w:hideMark/>
          </w:tcPr>
          <w:p w14:paraId="754DCFFC" w14:textId="77777777" w:rsidR="00CC5419" w:rsidRDefault="00CC5419" w:rsidP="005F054A">
            <w:pPr>
              <w:pStyle w:val="TAC"/>
            </w:pPr>
            <w:r>
              <w:t>NOTE 5</w:t>
            </w:r>
          </w:p>
        </w:tc>
      </w:tr>
      <w:tr w:rsidR="00CC5419" w14:paraId="6F07B8A0" w14:textId="77777777" w:rsidTr="005F054A">
        <w:trPr>
          <w:trHeight w:val="24"/>
          <w:jc w:val="center"/>
        </w:trPr>
        <w:tc>
          <w:tcPr>
            <w:tcW w:w="1132" w:type="dxa"/>
            <w:tcBorders>
              <w:top w:val="single" w:sz="6" w:space="0" w:color="auto"/>
              <w:left w:val="single" w:sz="4" w:space="0" w:color="auto"/>
              <w:bottom w:val="nil"/>
              <w:right w:val="single" w:sz="6" w:space="0" w:color="auto"/>
            </w:tcBorders>
            <w:vAlign w:val="center"/>
            <w:hideMark/>
          </w:tcPr>
          <w:p w14:paraId="7F7D37D7"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01D42C58" w14:textId="77777777" w:rsidR="00CC5419" w:rsidRDefault="00CC5419" w:rsidP="005F054A">
            <w:pPr>
              <w:pStyle w:val="TAC"/>
              <w:rPr>
                <w:lang w:val="sv-SE"/>
              </w:rPr>
            </w:pPr>
          </w:p>
        </w:tc>
        <w:tc>
          <w:tcPr>
            <w:tcW w:w="1133" w:type="dxa"/>
            <w:tcBorders>
              <w:top w:val="single" w:sz="4" w:space="0" w:color="auto"/>
              <w:left w:val="single" w:sz="4" w:space="0" w:color="auto"/>
              <w:bottom w:val="nil"/>
              <w:right w:val="single" w:sz="4" w:space="0" w:color="auto"/>
            </w:tcBorders>
            <w:hideMark/>
          </w:tcPr>
          <w:p w14:paraId="43B5DB8C" w14:textId="77777777" w:rsidR="00CC5419" w:rsidRDefault="00CC5419" w:rsidP="005F054A">
            <w:pPr>
              <w:pStyle w:val="TAC"/>
            </w:pPr>
            <w:r>
              <w:rPr>
                <w:rFonts w:cs="Calibri"/>
              </w:rPr>
              <w:t>≥[</w:t>
            </w:r>
            <w:r>
              <w:t>24]</w:t>
            </w:r>
          </w:p>
        </w:tc>
        <w:tc>
          <w:tcPr>
            <w:tcW w:w="709" w:type="dxa"/>
            <w:tcBorders>
              <w:top w:val="single" w:sz="4" w:space="0" w:color="auto"/>
              <w:left w:val="single" w:sz="4" w:space="0" w:color="auto"/>
              <w:bottom w:val="nil"/>
              <w:right w:val="single" w:sz="4" w:space="0" w:color="auto"/>
            </w:tcBorders>
            <w:hideMark/>
          </w:tcPr>
          <w:p w14:paraId="32B470D0" w14:textId="77777777" w:rsidR="00CC5419" w:rsidRDefault="00CC5419" w:rsidP="005F054A">
            <w:pPr>
              <w:pStyle w:val="TAC"/>
            </w:pPr>
            <w:r>
              <w:t>30</w:t>
            </w:r>
          </w:p>
        </w:tc>
        <w:tc>
          <w:tcPr>
            <w:tcW w:w="2267" w:type="dxa"/>
            <w:tcBorders>
              <w:top w:val="single" w:sz="4" w:space="0" w:color="auto"/>
              <w:left w:val="single" w:sz="4" w:space="0" w:color="auto"/>
              <w:bottom w:val="single" w:sz="4" w:space="0" w:color="auto"/>
              <w:right w:val="single" w:sz="4" w:space="0" w:color="auto"/>
            </w:tcBorders>
            <w:vAlign w:val="center"/>
            <w:hideMark/>
          </w:tcPr>
          <w:p w14:paraId="4F58BC12" w14:textId="77777777" w:rsidR="00CC5419" w:rsidRDefault="00CC5419" w:rsidP="005F054A">
            <w:pPr>
              <w:pStyle w:val="TAC"/>
            </w:pPr>
            <w:r>
              <w:t>NR_FDD_FR1_A, NR_TDD_FR1_A,</w:t>
            </w:r>
          </w:p>
          <w:p w14:paraId="1A33D695" w14:textId="77777777" w:rsidR="00CC5419" w:rsidRDefault="00CC5419" w:rsidP="005F054A">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51BBD603" w14:textId="77777777" w:rsidR="00CC5419" w:rsidRDefault="00CC5419" w:rsidP="005F054A">
            <w:pPr>
              <w:pStyle w:val="TAC"/>
            </w:pPr>
            <w:r>
              <w:t>-118</w:t>
            </w:r>
          </w:p>
        </w:tc>
        <w:tc>
          <w:tcPr>
            <w:tcW w:w="1120" w:type="dxa"/>
            <w:tcBorders>
              <w:top w:val="single" w:sz="4" w:space="0" w:color="auto"/>
              <w:left w:val="single" w:sz="4" w:space="0" w:color="auto"/>
              <w:bottom w:val="nil"/>
              <w:right w:val="single" w:sz="4" w:space="0" w:color="auto"/>
            </w:tcBorders>
            <w:hideMark/>
          </w:tcPr>
          <w:p w14:paraId="2E0E20A9" w14:textId="77777777" w:rsidR="00CC5419" w:rsidRDefault="00CC5419" w:rsidP="005F054A">
            <w:pPr>
              <w:pStyle w:val="TAC"/>
            </w:pPr>
            <w:r>
              <w:t>-50</w:t>
            </w:r>
          </w:p>
        </w:tc>
      </w:tr>
      <w:tr w:rsidR="00CC5419" w14:paraId="44435CE9"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1642CC09"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1B9A3D21"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727D5E3"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1E45101A"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5A87767B" w14:textId="77777777" w:rsidR="00CC5419" w:rsidRDefault="00CC5419" w:rsidP="005F054A">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19D94000" w14:textId="77777777" w:rsidR="00CC5419" w:rsidRDefault="00CC5419" w:rsidP="005F054A">
            <w:pPr>
              <w:pStyle w:val="TAC"/>
            </w:pPr>
            <w:r>
              <w:t>-117.5</w:t>
            </w:r>
          </w:p>
        </w:tc>
        <w:tc>
          <w:tcPr>
            <w:tcW w:w="1120" w:type="dxa"/>
            <w:tcBorders>
              <w:top w:val="nil"/>
              <w:left w:val="single" w:sz="4" w:space="0" w:color="auto"/>
              <w:bottom w:val="nil"/>
              <w:right w:val="single" w:sz="4" w:space="0" w:color="auto"/>
            </w:tcBorders>
            <w:vAlign w:val="center"/>
            <w:hideMark/>
          </w:tcPr>
          <w:p w14:paraId="3E790862" w14:textId="77777777" w:rsidR="00CC5419" w:rsidRDefault="00CC5419" w:rsidP="005F054A">
            <w:pPr>
              <w:pStyle w:val="TAC"/>
            </w:pPr>
          </w:p>
        </w:tc>
      </w:tr>
      <w:tr w:rsidR="00CC5419" w14:paraId="50077FE3"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67503128"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0A7AB58F"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2093E340"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6481DFD8"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5755A40" w14:textId="77777777" w:rsidR="00CC5419" w:rsidRDefault="00CC5419" w:rsidP="005F054A">
            <w:pPr>
              <w:pStyle w:val="TAC"/>
            </w:pPr>
            <w:r>
              <w:t>NR_TDD_FR1_C</w:t>
            </w:r>
          </w:p>
        </w:tc>
        <w:tc>
          <w:tcPr>
            <w:tcW w:w="1289" w:type="dxa"/>
            <w:tcBorders>
              <w:top w:val="single" w:sz="4" w:space="0" w:color="auto"/>
              <w:left w:val="single" w:sz="4" w:space="0" w:color="auto"/>
              <w:bottom w:val="single" w:sz="4" w:space="0" w:color="auto"/>
              <w:right w:val="single" w:sz="4" w:space="0" w:color="auto"/>
            </w:tcBorders>
            <w:hideMark/>
          </w:tcPr>
          <w:p w14:paraId="621441F5" w14:textId="77777777" w:rsidR="00CC5419" w:rsidRDefault="00CC5419" w:rsidP="005F054A">
            <w:pPr>
              <w:pStyle w:val="TAC"/>
            </w:pPr>
            <w:r>
              <w:t>-117</w:t>
            </w:r>
          </w:p>
        </w:tc>
        <w:tc>
          <w:tcPr>
            <w:tcW w:w="1120" w:type="dxa"/>
            <w:tcBorders>
              <w:top w:val="nil"/>
              <w:left w:val="single" w:sz="4" w:space="0" w:color="auto"/>
              <w:bottom w:val="nil"/>
              <w:right w:val="single" w:sz="4" w:space="0" w:color="auto"/>
            </w:tcBorders>
            <w:vAlign w:val="center"/>
            <w:hideMark/>
          </w:tcPr>
          <w:p w14:paraId="3E3345BF" w14:textId="77777777" w:rsidR="00CC5419" w:rsidRDefault="00CC5419" w:rsidP="005F054A">
            <w:pPr>
              <w:pStyle w:val="TAC"/>
            </w:pPr>
          </w:p>
        </w:tc>
      </w:tr>
      <w:tr w:rsidR="00CC5419" w14:paraId="117FC2CE"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4AC1F697"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0E1DD181"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28FB02C1"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40A56521"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425739D" w14:textId="77777777" w:rsidR="00CC5419" w:rsidRDefault="00CC5419" w:rsidP="005F054A">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hideMark/>
          </w:tcPr>
          <w:p w14:paraId="4BD11298" w14:textId="77777777" w:rsidR="00CC5419" w:rsidRDefault="00CC5419" w:rsidP="005F054A">
            <w:pPr>
              <w:pStyle w:val="TAC"/>
              <w:rPr>
                <w:lang w:val="sv-SE"/>
              </w:rPr>
            </w:pPr>
            <w:r>
              <w:t>-116.5</w:t>
            </w:r>
          </w:p>
        </w:tc>
        <w:tc>
          <w:tcPr>
            <w:tcW w:w="1120" w:type="dxa"/>
            <w:tcBorders>
              <w:top w:val="nil"/>
              <w:left w:val="single" w:sz="4" w:space="0" w:color="auto"/>
              <w:bottom w:val="nil"/>
              <w:right w:val="single" w:sz="4" w:space="0" w:color="auto"/>
            </w:tcBorders>
            <w:vAlign w:val="center"/>
            <w:hideMark/>
          </w:tcPr>
          <w:p w14:paraId="2EC332C7" w14:textId="77777777" w:rsidR="00CC5419" w:rsidRDefault="00CC5419" w:rsidP="005F054A">
            <w:pPr>
              <w:pStyle w:val="TAC"/>
            </w:pPr>
          </w:p>
        </w:tc>
      </w:tr>
      <w:tr w:rsidR="00CC5419" w14:paraId="16B5CAE0"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6D610963"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3EB20FC7"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50142606"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3003A120"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16492683" w14:textId="77777777" w:rsidR="00CC5419" w:rsidRDefault="00CC5419" w:rsidP="005F054A">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hideMark/>
          </w:tcPr>
          <w:p w14:paraId="0F5739EC" w14:textId="77777777" w:rsidR="00CC5419" w:rsidRDefault="00CC5419" w:rsidP="005F054A">
            <w:pPr>
              <w:pStyle w:val="TAC"/>
              <w:rPr>
                <w:lang w:val="sv-SE"/>
              </w:rPr>
            </w:pPr>
            <w:r>
              <w:t>-116</w:t>
            </w:r>
          </w:p>
        </w:tc>
        <w:tc>
          <w:tcPr>
            <w:tcW w:w="1120" w:type="dxa"/>
            <w:tcBorders>
              <w:top w:val="nil"/>
              <w:left w:val="single" w:sz="4" w:space="0" w:color="auto"/>
              <w:bottom w:val="nil"/>
              <w:right w:val="single" w:sz="4" w:space="0" w:color="auto"/>
            </w:tcBorders>
            <w:vAlign w:val="center"/>
            <w:hideMark/>
          </w:tcPr>
          <w:p w14:paraId="2055CD68" w14:textId="77777777" w:rsidR="00CC5419" w:rsidRDefault="00CC5419" w:rsidP="005F054A">
            <w:pPr>
              <w:pStyle w:val="TAC"/>
            </w:pPr>
          </w:p>
        </w:tc>
      </w:tr>
      <w:tr w:rsidR="00CC5419" w14:paraId="11877B17"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5734C0C6"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1DD45E1F"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772B9E34"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5F613403"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2F155280" w14:textId="77777777" w:rsidR="00CC5419" w:rsidRDefault="00CC5419" w:rsidP="005F054A">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hideMark/>
          </w:tcPr>
          <w:p w14:paraId="600AB231" w14:textId="77777777" w:rsidR="00CC5419" w:rsidRDefault="00CC5419" w:rsidP="005F054A">
            <w:pPr>
              <w:pStyle w:val="TAC"/>
            </w:pPr>
            <w:r>
              <w:t>-115.5</w:t>
            </w:r>
          </w:p>
        </w:tc>
        <w:tc>
          <w:tcPr>
            <w:tcW w:w="1120" w:type="dxa"/>
            <w:tcBorders>
              <w:top w:val="nil"/>
              <w:left w:val="single" w:sz="4" w:space="0" w:color="auto"/>
              <w:bottom w:val="nil"/>
              <w:right w:val="single" w:sz="4" w:space="0" w:color="auto"/>
            </w:tcBorders>
            <w:vAlign w:val="center"/>
            <w:hideMark/>
          </w:tcPr>
          <w:p w14:paraId="1562FCC3" w14:textId="77777777" w:rsidR="00CC5419" w:rsidRDefault="00CC5419" w:rsidP="005F054A">
            <w:pPr>
              <w:pStyle w:val="TAC"/>
            </w:pPr>
          </w:p>
        </w:tc>
      </w:tr>
      <w:tr w:rsidR="00CC5419" w14:paraId="6A57FDE2" w14:textId="77777777" w:rsidTr="005F054A">
        <w:trPr>
          <w:trHeight w:val="21"/>
          <w:jc w:val="center"/>
        </w:trPr>
        <w:tc>
          <w:tcPr>
            <w:tcW w:w="1132" w:type="dxa"/>
            <w:tcBorders>
              <w:top w:val="nil"/>
              <w:left w:val="single" w:sz="4" w:space="0" w:color="auto"/>
              <w:bottom w:val="nil"/>
              <w:right w:val="single" w:sz="6" w:space="0" w:color="auto"/>
            </w:tcBorders>
            <w:vAlign w:val="center"/>
            <w:hideMark/>
          </w:tcPr>
          <w:p w14:paraId="1589E851"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66A21F6D"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749C74AF"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3135407B"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2F77F88" w14:textId="77777777" w:rsidR="00CC5419" w:rsidRDefault="00CC5419" w:rsidP="005F054A">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hideMark/>
          </w:tcPr>
          <w:p w14:paraId="4BE45DDF" w14:textId="77777777" w:rsidR="00CC5419" w:rsidRDefault="00CC5419" w:rsidP="005F054A">
            <w:pPr>
              <w:pStyle w:val="TAC"/>
            </w:pPr>
            <w:r>
              <w:t>-115</w:t>
            </w:r>
          </w:p>
        </w:tc>
        <w:tc>
          <w:tcPr>
            <w:tcW w:w="1120" w:type="dxa"/>
            <w:tcBorders>
              <w:top w:val="nil"/>
              <w:left w:val="single" w:sz="4" w:space="0" w:color="auto"/>
              <w:bottom w:val="nil"/>
              <w:right w:val="single" w:sz="4" w:space="0" w:color="auto"/>
            </w:tcBorders>
            <w:vAlign w:val="center"/>
            <w:hideMark/>
          </w:tcPr>
          <w:p w14:paraId="12F20935" w14:textId="77777777" w:rsidR="00CC5419" w:rsidRDefault="00CC5419" w:rsidP="005F054A">
            <w:pPr>
              <w:pStyle w:val="TAC"/>
            </w:pPr>
          </w:p>
        </w:tc>
      </w:tr>
      <w:tr w:rsidR="00CC5419" w14:paraId="7D2B02A4" w14:textId="77777777" w:rsidTr="005F054A">
        <w:trPr>
          <w:jc w:val="center"/>
        </w:trPr>
        <w:tc>
          <w:tcPr>
            <w:tcW w:w="1132" w:type="dxa"/>
            <w:tcBorders>
              <w:top w:val="nil"/>
              <w:left w:val="single" w:sz="4" w:space="0" w:color="auto"/>
              <w:bottom w:val="single" w:sz="6" w:space="0" w:color="auto"/>
              <w:right w:val="single" w:sz="6" w:space="0" w:color="auto"/>
            </w:tcBorders>
            <w:vAlign w:val="center"/>
            <w:hideMark/>
          </w:tcPr>
          <w:p w14:paraId="4CB3B9D1"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tcPr>
          <w:p w14:paraId="25EC644A" w14:textId="77777777" w:rsidR="00CC5419" w:rsidRDefault="00CC5419" w:rsidP="005F054A">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78D02ACB"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6506ABA0"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BF2F8F5" w14:textId="77777777" w:rsidR="00CC5419" w:rsidRDefault="00CC5419" w:rsidP="005F054A">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hideMark/>
          </w:tcPr>
          <w:p w14:paraId="4345B50E" w14:textId="77777777" w:rsidR="00CC5419" w:rsidRDefault="00CC5419" w:rsidP="005F054A">
            <w:pPr>
              <w:pStyle w:val="TAC"/>
            </w:pPr>
            <w:r>
              <w:t>-114.5</w:t>
            </w:r>
          </w:p>
        </w:tc>
        <w:tc>
          <w:tcPr>
            <w:tcW w:w="1120" w:type="dxa"/>
            <w:tcBorders>
              <w:top w:val="nil"/>
              <w:left w:val="single" w:sz="4" w:space="0" w:color="auto"/>
              <w:bottom w:val="single" w:sz="4" w:space="0" w:color="auto"/>
              <w:right w:val="single" w:sz="4" w:space="0" w:color="auto"/>
            </w:tcBorders>
            <w:vAlign w:val="center"/>
            <w:hideMark/>
          </w:tcPr>
          <w:p w14:paraId="643FC30F" w14:textId="77777777" w:rsidR="00CC5419" w:rsidRDefault="00CC5419" w:rsidP="005F054A">
            <w:pPr>
              <w:pStyle w:val="TAC"/>
            </w:pPr>
          </w:p>
        </w:tc>
      </w:tr>
      <w:tr w:rsidR="00CC5419" w14:paraId="39895FB2"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761158DE"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128B3044"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0C75EAC" w14:textId="77777777" w:rsidR="00CC5419" w:rsidRDefault="00CC5419" w:rsidP="005F054A">
            <w:pPr>
              <w:pStyle w:val="TAC"/>
            </w:pPr>
            <w:r>
              <w:rPr>
                <w:rFonts w:cs="Calibri"/>
              </w:rPr>
              <w:t>≥[</w:t>
            </w:r>
            <w:r>
              <w:rPr>
                <w:lang w:eastAsia="zh-CN"/>
              </w:rPr>
              <w:t>48]</w:t>
            </w:r>
          </w:p>
        </w:tc>
        <w:tc>
          <w:tcPr>
            <w:tcW w:w="709" w:type="dxa"/>
            <w:tcBorders>
              <w:top w:val="nil"/>
              <w:left w:val="single" w:sz="4" w:space="0" w:color="auto"/>
              <w:bottom w:val="nil"/>
              <w:right w:val="single" w:sz="4" w:space="0" w:color="auto"/>
            </w:tcBorders>
            <w:vAlign w:val="center"/>
            <w:hideMark/>
          </w:tcPr>
          <w:p w14:paraId="7B87A846"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1E4F83B0" w14:textId="77777777" w:rsidR="00CC5419" w:rsidRDefault="00CC5419" w:rsidP="005F054A">
            <w:pPr>
              <w:pStyle w:val="TAC"/>
            </w:pPr>
            <w:r>
              <w:t>NOTE 5</w:t>
            </w:r>
          </w:p>
        </w:tc>
        <w:tc>
          <w:tcPr>
            <w:tcW w:w="1289" w:type="dxa"/>
            <w:tcBorders>
              <w:top w:val="single" w:sz="4" w:space="0" w:color="auto"/>
              <w:left w:val="single" w:sz="4" w:space="0" w:color="auto"/>
              <w:bottom w:val="single" w:sz="4" w:space="0" w:color="auto"/>
              <w:right w:val="single" w:sz="4" w:space="0" w:color="auto"/>
            </w:tcBorders>
            <w:hideMark/>
          </w:tcPr>
          <w:p w14:paraId="6B7BB87F" w14:textId="77777777" w:rsidR="00CC5419" w:rsidRDefault="00CC5419" w:rsidP="005F054A">
            <w:pPr>
              <w:pStyle w:val="TAC"/>
            </w:pPr>
            <w:r>
              <w:t>NOTE 5</w:t>
            </w:r>
          </w:p>
        </w:tc>
        <w:tc>
          <w:tcPr>
            <w:tcW w:w="1120" w:type="dxa"/>
            <w:tcBorders>
              <w:top w:val="single" w:sz="4" w:space="0" w:color="auto"/>
              <w:left w:val="single" w:sz="4" w:space="0" w:color="auto"/>
              <w:bottom w:val="single" w:sz="4" w:space="0" w:color="auto"/>
              <w:right w:val="single" w:sz="4" w:space="0" w:color="auto"/>
            </w:tcBorders>
            <w:hideMark/>
          </w:tcPr>
          <w:p w14:paraId="0461DDDF" w14:textId="77777777" w:rsidR="00CC5419" w:rsidRDefault="00CC5419" w:rsidP="005F054A">
            <w:pPr>
              <w:pStyle w:val="TAC"/>
            </w:pPr>
            <w:r>
              <w:t>NOTE 5</w:t>
            </w:r>
          </w:p>
        </w:tc>
      </w:tr>
      <w:tr w:rsidR="00CC5419" w14:paraId="447DF710"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66290588"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4EC61264"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1FBC53F5" w14:textId="77777777" w:rsidR="00CC5419" w:rsidRDefault="00CC5419" w:rsidP="005F054A">
            <w:pPr>
              <w:pStyle w:val="TAC"/>
            </w:pPr>
            <w:r>
              <w:rPr>
                <w:rFonts w:cs="Calibri"/>
              </w:rPr>
              <w:t>≥[</w:t>
            </w:r>
            <w:r>
              <w:rPr>
                <w:lang w:eastAsia="zh-CN"/>
              </w:rPr>
              <w:t>132]</w:t>
            </w:r>
          </w:p>
        </w:tc>
        <w:tc>
          <w:tcPr>
            <w:tcW w:w="709" w:type="dxa"/>
            <w:tcBorders>
              <w:top w:val="nil"/>
              <w:left w:val="single" w:sz="4" w:space="0" w:color="auto"/>
              <w:bottom w:val="single" w:sz="4" w:space="0" w:color="auto"/>
              <w:right w:val="single" w:sz="4" w:space="0" w:color="auto"/>
            </w:tcBorders>
            <w:vAlign w:val="center"/>
            <w:hideMark/>
          </w:tcPr>
          <w:p w14:paraId="16ED9860"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33FB6175" w14:textId="77777777" w:rsidR="00CC5419" w:rsidRDefault="00CC5419" w:rsidP="005F054A">
            <w:pPr>
              <w:pStyle w:val="TAC"/>
            </w:pPr>
            <w:r>
              <w:t>NOTE 5</w:t>
            </w:r>
          </w:p>
        </w:tc>
        <w:tc>
          <w:tcPr>
            <w:tcW w:w="1289" w:type="dxa"/>
            <w:tcBorders>
              <w:top w:val="single" w:sz="4" w:space="0" w:color="auto"/>
              <w:left w:val="single" w:sz="4" w:space="0" w:color="auto"/>
              <w:bottom w:val="single" w:sz="4" w:space="0" w:color="auto"/>
              <w:right w:val="single" w:sz="4" w:space="0" w:color="auto"/>
            </w:tcBorders>
            <w:hideMark/>
          </w:tcPr>
          <w:p w14:paraId="4DD6A363" w14:textId="77777777" w:rsidR="00CC5419" w:rsidRDefault="00CC5419" w:rsidP="005F054A">
            <w:pPr>
              <w:pStyle w:val="TAC"/>
            </w:pPr>
            <w:r>
              <w:t>NOTE 5</w:t>
            </w:r>
          </w:p>
        </w:tc>
        <w:tc>
          <w:tcPr>
            <w:tcW w:w="1120" w:type="dxa"/>
            <w:tcBorders>
              <w:top w:val="single" w:sz="4" w:space="0" w:color="auto"/>
              <w:left w:val="single" w:sz="4" w:space="0" w:color="auto"/>
              <w:bottom w:val="single" w:sz="4" w:space="0" w:color="auto"/>
              <w:right w:val="single" w:sz="4" w:space="0" w:color="auto"/>
            </w:tcBorders>
            <w:hideMark/>
          </w:tcPr>
          <w:p w14:paraId="3E46FDA8" w14:textId="77777777" w:rsidR="00CC5419" w:rsidRDefault="00CC5419" w:rsidP="005F054A">
            <w:pPr>
              <w:pStyle w:val="TAC"/>
            </w:pPr>
            <w:r>
              <w:t>NOTE 5</w:t>
            </w:r>
          </w:p>
        </w:tc>
      </w:tr>
      <w:tr w:rsidR="00CC5419" w14:paraId="3BEB6192" w14:textId="77777777" w:rsidTr="005F054A">
        <w:trPr>
          <w:trHeight w:val="21"/>
          <w:jc w:val="center"/>
        </w:trPr>
        <w:tc>
          <w:tcPr>
            <w:tcW w:w="1132" w:type="dxa"/>
            <w:tcBorders>
              <w:top w:val="single" w:sz="6" w:space="0" w:color="auto"/>
              <w:left w:val="single" w:sz="4" w:space="0" w:color="auto"/>
              <w:bottom w:val="nil"/>
              <w:right w:val="single" w:sz="6" w:space="0" w:color="auto"/>
            </w:tcBorders>
            <w:hideMark/>
          </w:tcPr>
          <w:p w14:paraId="2F7C0345"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hideMark/>
          </w:tcPr>
          <w:p w14:paraId="43963B78" w14:textId="77777777" w:rsidR="00CC5419" w:rsidRDefault="00CC5419" w:rsidP="005F054A">
            <w:pPr>
              <w:pStyle w:val="TAC"/>
              <w:rPr>
                <w:lang w:val="sv-SE"/>
              </w:rPr>
            </w:pPr>
          </w:p>
        </w:tc>
        <w:tc>
          <w:tcPr>
            <w:tcW w:w="1133" w:type="dxa"/>
            <w:tcBorders>
              <w:top w:val="single" w:sz="4" w:space="0" w:color="auto"/>
              <w:left w:val="single" w:sz="4" w:space="0" w:color="auto"/>
              <w:bottom w:val="nil"/>
              <w:right w:val="single" w:sz="4" w:space="0" w:color="auto"/>
            </w:tcBorders>
            <w:hideMark/>
          </w:tcPr>
          <w:p w14:paraId="7574366B" w14:textId="77777777" w:rsidR="00CC5419" w:rsidRDefault="00CC5419" w:rsidP="005F054A">
            <w:pPr>
              <w:pStyle w:val="TAC"/>
            </w:pPr>
            <w:r>
              <w:rPr>
                <w:rFonts w:cs="Calibri"/>
              </w:rPr>
              <w:t>≥[</w:t>
            </w:r>
            <w:r>
              <w:t>24]</w:t>
            </w:r>
          </w:p>
        </w:tc>
        <w:tc>
          <w:tcPr>
            <w:tcW w:w="709" w:type="dxa"/>
            <w:tcBorders>
              <w:top w:val="single" w:sz="4" w:space="0" w:color="auto"/>
              <w:left w:val="single" w:sz="4" w:space="0" w:color="auto"/>
              <w:bottom w:val="nil"/>
              <w:right w:val="single" w:sz="4" w:space="0" w:color="auto"/>
            </w:tcBorders>
            <w:hideMark/>
          </w:tcPr>
          <w:p w14:paraId="0658A02F" w14:textId="77777777" w:rsidR="00CC5419" w:rsidRDefault="00CC5419" w:rsidP="005F054A">
            <w:pPr>
              <w:pStyle w:val="TAC"/>
            </w:pPr>
            <w:r>
              <w:t>60</w:t>
            </w:r>
          </w:p>
        </w:tc>
        <w:tc>
          <w:tcPr>
            <w:tcW w:w="2267" w:type="dxa"/>
            <w:tcBorders>
              <w:top w:val="single" w:sz="4" w:space="0" w:color="auto"/>
              <w:left w:val="single" w:sz="4" w:space="0" w:color="auto"/>
              <w:bottom w:val="single" w:sz="4" w:space="0" w:color="auto"/>
              <w:right w:val="single" w:sz="4" w:space="0" w:color="auto"/>
            </w:tcBorders>
            <w:vAlign w:val="center"/>
            <w:hideMark/>
          </w:tcPr>
          <w:p w14:paraId="1105E18D" w14:textId="77777777" w:rsidR="00CC5419" w:rsidRDefault="00CC5419" w:rsidP="005F054A">
            <w:pPr>
              <w:pStyle w:val="TAC"/>
            </w:pPr>
            <w:r>
              <w:t>NR_FDD_FR1_A, NR_TDD_FR1_A,</w:t>
            </w:r>
          </w:p>
          <w:p w14:paraId="29AA93B9" w14:textId="77777777" w:rsidR="00CC5419" w:rsidRDefault="00CC5419" w:rsidP="005F054A">
            <w:pPr>
              <w:pStyle w:val="TAC"/>
            </w:pPr>
            <w:r>
              <w:t>NR_SDL_FR1_A</w:t>
            </w:r>
          </w:p>
        </w:tc>
        <w:tc>
          <w:tcPr>
            <w:tcW w:w="1289" w:type="dxa"/>
            <w:tcBorders>
              <w:top w:val="single" w:sz="4" w:space="0" w:color="auto"/>
              <w:left w:val="single" w:sz="4" w:space="0" w:color="auto"/>
              <w:bottom w:val="single" w:sz="4" w:space="0" w:color="auto"/>
              <w:right w:val="single" w:sz="4" w:space="0" w:color="auto"/>
            </w:tcBorders>
            <w:hideMark/>
          </w:tcPr>
          <w:p w14:paraId="0FF1EE36" w14:textId="77777777" w:rsidR="00CC5419" w:rsidRDefault="00CC5419" w:rsidP="005F054A">
            <w:pPr>
              <w:pStyle w:val="TAC"/>
            </w:pPr>
            <w:r>
              <w:t>-115</w:t>
            </w:r>
          </w:p>
        </w:tc>
        <w:tc>
          <w:tcPr>
            <w:tcW w:w="1120" w:type="dxa"/>
            <w:tcBorders>
              <w:top w:val="single" w:sz="4" w:space="0" w:color="auto"/>
              <w:left w:val="single" w:sz="4" w:space="0" w:color="auto"/>
              <w:bottom w:val="nil"/>
              <w:right w:val="single" w:sz="4" w:space="0" w:color="auto"/>
            </w:tcBorders>
            <w:hideMark/>
          </w:tcPr>
          <w:p w14:paraId="4F4C4477" w14:textId="77777777" w:rsidR="00CC5419" w:rsidRDefault="00CC5419" w:rsidP="005F054A">
            <w:pPr>
              <w:pStyle w:val="TAC"/>
            </w:pPr>
            <w:r>
              <w:t>-50</w:t>
            </w:r>
          </w:p>
        </w:tc>
      </w:tr>
      <w:tr w:rsidR="00CC5419" w14:paraId="70AE2EBB"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00AFDCC"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50B75A31"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250BF6E6"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570B9B03"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346AA89" w14:textId="77777777" w:rsidR="00CC5419" w:rsidRDefault="00CC5419" w:rsidP="005F054A">
            <w:pPr>
              <w:pStyle w:val="TAC"/>
            </w:pPr>
            <w:r>
              <w:t>NR_FDD_FR1_B</w:t>
            </w:r>
          </w:p>
        </w:tc>
        <w:tc>
          <w:tcPr>
            <w:tcW w:w="1289" w:type="dxa"/>
            <w:tcBorders>
              <w:top w:val="single" w:sz="4" w:space="0" w:color="auto"/>
              <w:left w:val="single" w:sz="4" w:space="0" w:color="auto"/>
              <w:bottom w:val="single" w:sz="4" w:space="0" w:color="auto"/>
              <w:right w:val="single" w:sz="4" w:space="0" w:color="auto"/>
            </w:tcBorders>
            <w:hideMark/>
          </w:tcPr>
          <w:p w14:paraId="790951E9" w14:textId="77777777" w:rsidR="00CC5419" w:rsidRDefault="00CC5419" w:rsidP="005F054A">
            <w:pPr>
              <w:pStyle w:val="TAC"/>
            </w:pPr>
            <w:r>
              <w:t>-114.5</w:t>
            </w:r>
          </w:p>
        </w:tc>
        <w:tc>
          <w:tcPr>
            <w:tcW w:w="1120" w:type="dxa"/>
            <w:tcBorders>
              <w:top w:val="nil"/>
              <w:left w:val="single" w:sz="4" w:space="0" w:color="auto"/>
              <w:bottom w:val="nil"/>
              <w:right w:val="single" w:sz="4" w:space="0" w:color="auto"/>
            </w:tcBorders>
            <w:hideMark/>
          </w:tcPr>
          <w:p w14:paraId="7598597E" w14:textId="77777777" w:rsidR="00CC5419" w:rsidRDefault="00CC5419" w:rsidP="005F054A">
            <w:pPr>
              <w:pStyle w:val="TAC"/>
            </w:pPr>
          </w:p>
        </w:tc>
      </w:tr>
      <w:tr w:rsidR="00CC5419" w14:paraId="7B21F6F7"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543B4CA"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717BA922"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301471F1"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1B63F64E"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4ECDA50" w14:textId="77777777" w:rsidR="00CC5419" w:rsidRDefault="00CC5419" w:rsidP="005F054A">
            <w:pPr>
              <w:pStyle w:val="TAC"/>
            </w:pPr>
            <w:r>
              <w:t>NR_TDD_FR1_C</w:t>
            </w:r>
          </w:p>
        </w:tc>
        <w:tc>
          <w:tcPr>
            <w:tcW w:w="1289" w:type="dxa"/>
            <w:tcBorders>
              <w:top w:val="single" w:sz="4" w:space="0" w:color="auto"/>
              <w:left w:val="single" w:sz="4" w:space="0" w:color="auto"/>
              <w:bottom w:val="single" w:sz="4" w:space="0" w:color="auto"/>
              <w:right w:val="single" w:sz="4" w:space="0" w:color="auto"/>
            </w:tcBorders>
            <w:hideMark/>
          </w:tcPr>
          <w:p w14:paraId="6D800FF1" w14:textId="77777777" w:rsidR="00CC5419" w:rsidRDefault="00CC5419" w:rsidP="005F054A">
            <w:pPr>
              <w:pStyle w:val="TAC"/>
            </w:pPr>
            <w:r>
              <w:t>-114</w:t>
            </w:r>
          </w:p>
        </w:tc>
        <w:tc>
          <w:tcPr>
            <w:tcW w:w="1120" w:type="dxa"/>
            <w:tcBorders>
              <w:top w:val="nil"/>
              <w:left w:val="single" w:sz="4" w:space="0" w:color="auto"/>
              <w:bottom w:val="nil"/>
              <w:right w:val="single" w:sz="4" w:space="0" w:color="auto"/>
            </w:tcBorders>
            <w:hideMark/>
          </w:tcPr>
          <w:p w14:paraId="64F08B6E" w14:textId="77777777" w:rsidR="00CC5419" w:rsidRDefault="00CC5419" w:rsidP="005F054A">
            <w:pPr>
              <w:pStyle w:val="TAC"/>
            </w:pPr>
          </w:p>
        </w:tc>
      </w:tr>
      <w:tr w:rsidR="00CC5419" w14:paraId="13C66579"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610C532C"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30DF9920"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D0227CF"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26BDF91B"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10A5088" w14:textId="77777777" w:rsidR="00CC5419" w:rsidRDefault="00CC5419" w:rsidP="005F054A">
            <w:pPr>
              <w:pStyle w:val="TAC"/>
              <w:rPr>
                <w:lang w:val="sv-SE"/>
              </w:rPr>
            </w:pPr>
            <w:r>
              <w:rPr>
                <w:lang w:val="sv-SE"/>
              </w:rPr>
              <w:t>NR_FDD_FR1_D, NR_TDD_FR1_D</w:t>
            </w:r>
          </w:p>
        </w:tc>
        <w:tc>
          <w:tcPr>
            <w:tcW w:w="1289" w:type="dxa"/>
            <w:tcBorders>
              <w:top w:val="single" w:sz="4" w:space="0" w:color="auto"/>
              <w:left w:val="single" w:sz="4" w:space="0" w:color="auto"/>
              <w:bottom w:val="single" w:sz="4" w:space="0" w:color="auto"/>
              <w:right w:val="single" w:sz="4" w:space="0" w:color="auto"/>
            </w:tcBorders>
            <w:hideMark/>
          </w:tcPr>
          <w:p w14:paraId="63C0556F" w14:textId="77777777" w:rsidR="00CC5419" w:rsidRDefault="00CC5419" w:rsidP="005F054A">
            <w:pPr>
              <w:pStyle w:val="TAC"/>
              <w:rPr>
                <w:lang w:val="sv-SE"/>
              </w:rPr>
            </w:pPr>
            <w:r>
              <w:t>-113.5</w:t>
            </w:r>
          </w:p>
        </w:tc>
        <w:tc>
          <w:tcPr>
            <w:tcW w:w="1120" w:type="dxa"/>
            <w:tcBorders>
              <w:top w:val="nil"/>
              <w:left w:val="single" w:sz="4" w:space="0" w:color="auto"/>
              <w:bottom w:val="nil"/>
              <w:right w:val="single" w:sz="4" w:space="0" w:color="auto"/>
            </w:tcBorders>
            <w:hideMark/>
          </w:tcPr>
          <w:p w14:paraId="649A6FF8" w14:textId="77777777" w:rsidR="00CC5419" w:rsidRDefault="00CC5419" w:rsidP="005F054A">
            <w:pPr>
              <w:pStyle w:val="TAC"/>
            </w:pPr>
          </w:p>
        </w:tc>
      </w:tr>
      <w:tr w:rsidR="00CC5419" w14:paraId="57A11D62"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3D2F8768"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636A8050"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07C96D9C"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557EA667"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76C2A81D" w14:textId="77777777" w:rsidR="00CC5419" w:rsidRDefault="00CC5419" w:rsidP="005F054A">
            <w:pPr>
              <w:pStyle w:val="TAC"/>
              <w:rPr>
                <w:lang w:val="sv-SE"/>
              </w:rPr>
            </w:pPr>
            <w:r>
              <w:rPr>
                <w:lang w:val="sv-SE"/>
              </w:rPr>
              <w:t>NR_FDD_FR1_E, NR_TDD_FR1_E</w:t>
            </w:r>
          </w:p>
        </w:tc>
        <w:tc>
          <w:tcPr>
            <w:tcW w:w="1289" w:type="dxa"/>
            <w:tcBorders>
              <w:top w:val="single" w:sz="4" w:space="0" w:color="auto"/>
              <w:left w:val="single" w:sz="4" w:space="0" w:color="auto"/>
              <w:bottom w:val="single" w:sz="4" w:space="0" w:color="auto"/>
              <w:right w:val="single" w:sz="4" w:space="0" w:color="auto"/>
            </w:tcBorders>
            <w:hideMark/>
          </w:tcPr>
          <w:p w14:paraId="24B8538D" w14:textId="77777777" w:rsidR="00CC5419" w:rsidRDefault="00CC5419" w:rsidP="005F054A">
            <w:pPr>
              <w:pStyle w:val="TAC"/>
              <w:rPr>
                <w:lang w:val="sv-SE"/>
              </w:rPr>
            </w:pPr>
            <w:r>
              <w:t>-113</w:t>
            </w:r>
          </w:p>
        </w:tc>
        <w:tc>
          <w:tcPr>
            <w:tcW w:w="1120" w:type="dxa"/>
            <w:tcBorders>
              <w:top w:val="nil"/>
              <w:left w:val="single" w:sz="4" w:space="0" w:color="auto"/>
              <w:bottom w:val="nil"/>
              <w:right w:val="single" w:sz="4" w:space="0" w:color="auto"/>
            </w:tcBorders>
            <w:hideMark/>
          </w:tcPr>
          <w:p w14:paraId="4E6A1B2B" w14:textId="77777777" w:rsidR="00CC5419" w:rsidRDefault="00CC5419" w:rsidP="005F054A">
            <w:pPr>
              <w:pStyle w:val="TAC"/>
            </w:pPr>
          </w:p>
        </w:tc>
      </w:tr>
      <w:tr w:rsidR="00CC5419" w14:paraId="327DD21F"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5AF10D7E"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6C9F9341"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40E127D0"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18C13281"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46BB2D78" w14:textId="77777777" w:rsidR="00CC5419" w:rsidRDefault="00CC5419" w:rsidP="005F054A">
            <w:pPr>
              <w:pStyle w:val="TAC"/>
            </w:pPr>
            <w:r>
              <w:rPr>
                <w:lang w:eastAsia="zh-CN"/>
              </w:rPr>
              <w:t>NR_FDD_FR1_F</w:t>
            </w:r>
          </w:p>
        </w:tc>
        <w:tc>
          <w:tcPr>
            <w:tcW w:w="1289" w:type="dxa"/>
            <w:tcBorders>
              <w:top w:val="single" w:sz="4" w:space="0" w:color="auto"/>
              <w:left w:val="single" w:sz="4" w:space="0" w:color="auto"/>
              <w:bottom w:val="single" w:sz="4" w:space="0" w:color="auto"/>
              <w:right w:val="single" w:sz="4" w:space="0" w:color="auto"/>
            </w:tcBorders>
            <w:hideMark/>
          </w:tcPr>
          <w:p w14:paraId="15CC2DB0" w14:textId="77777777" w:rsidR="00CC5419" w:rsidRDefault="00CC5419" w:rsidP="005F054A">
            <w:pPr>
              <w:pStyle w:val="TAC"/>
            </w:pPr>
            <w:r>
              <w:t>-113.5</w:t>
            </w:r>
          </w:p>
        </w:tc>
        <w:tc>
          <w:tcPr>
            <w:tcW w:w="1120" w:type="dxa"/>
            <w:tcBorders>
              <w:top w:val="nil"/>
              <w:left w:val="single" w:sz="4" w:space="0" w:color="auto"/>
              <w:bottom w:val="nil"/>
              <w:right w:val="single" w:sz="4" w:space="0" w:color="auto"/>
            </w:tcBorders>
            <w:hideMark/>
          </w:tcPr>
          <w:p w14:paraId="55016B4A" w14:textId="77777777" w:rsidR="00CC5419" w:rsidRDefault="00CC5419" w:rsidP="005F054A">
            <w:pPr>
              <w:pStyle w:val="TAC"/>
            </w:pPr>
          </w:p>
        </w:tc>
      </w:tr>
      <w:tr w:rsidR="00CC5419" w14:paraId="5CE90D15" w14:textId="77777777" w:rsidTr="005F054A">
        <w:trPr>
          <w:trHeight w:val="20"/>
          <w:jc w:val="center"/>
        </w:trPr>
        <w:tc>
          <w:tcPr>
            <w:tcW w:w="1132" w:type="dxa"/>
            <w:tcBorders>
              <w:top w:val="nil"/>
              <w:left w:val="single" w:sz="4" w:space="0" w:color="auto"/>
              <w:bottom w:val="nil"/>
              <w:right w:val="single" w:sz="6" w:space="0" w:color="auto"/>
            </w:tcBorders>
            <w:vAlign w:val="center"/>
            <w:hideMark/>
          </w:tcPr>
          <w:p w14:paraId="1FF2B9BE"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3DCC76A1" w14:textId="77777777" w:rsidR="00CC5419" w:rsidRDefault="00CC5419" w:rsidP="005F054A">
            <w:pPr>
              <w:pStyle w:val="TAC"/>
              <w:rPr>
                <w:lang w:val="sv-SE"/>
              </w:rPr>
            </w:pPr>
          </w:p>
        </w:tc>
        <w:tc>
          <w:tcPr>
            <w:tcW w:w="1133" w:type="dxa"/>
            <w:tcBorders>
              <w:top w:val="nil"/>
              <w:left w:val="single" w:sz="4" w:space="0" w:color="auto"/>
              <w:bottom w:val="nil"/>
              <w:right w:val="single" w:sz="4" w:space="0" w:color="auto"/>
            </w:tcBorders>
            <w:vAlign w:val="center"/>
            <w:hideMark/>
          </w:tcPr>
          <w:p w14:paraId="67EFD8B3"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77593F8A"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35E77C48" w14:textId="77777777" w:rsidR="00CC5419" w:rsidRDefault="00CC5419" w:rsidP="005F054A">
            <w:pPr>
              <w:pStyle w:val="TAC"/>
            </w:pPr>
            <w:r>
              <w:rPr>
                <w:lang w:eastAsia="zh-CN"/>
              </w:rPr>
              <w:t>NR</w:t>
            </w:r>
            <w:r>
              <w:t>_</w:t>
            </w:r>
            <w:r>
              <w:rPr>
                <w:lang w:eastAsia="zh-CN"/>
              </w:rPr>
              <w:t>FDD_FR1_G</w:t>
            </w:r>
          </w:p>
        </w:tc>
        <w:tc>
          <w:tcPr>
            <w:tcW w:w="1289" w:type="dxa"/>
            <w:tcBorders>
              <w:top w:val="single" w:sz="4" w:space="0" w:color="auto"/>
              <w:left w:val="single" w:sz="4" w:space="0" w:color="auto"/>
              <w:bottom w:val="single" w:sz="4" w:space="0" w:color="auto"/>
              <w:right w:val="single" w:sz="4" w:space="0" w:color="auto"/>
            </w:tcBorders>
            <w:hideMark/>
          </w:tcPr>
          <w:p w14:paraId="0C97A668" w14:textId="77777777" w:rsidR="00CC5419" w:rsidRDefault="00CC5419" w:rsidP="005F054A">
            <w:pPr>
              <w:pStyle w:val="TAC"/>
            </w:pPr>
            <w:r>
              <w:t>-113</w:t>
            </w:r>
          </w:p>
        </w:tc>
        <w:tc>
          <w:tcPr>
            <w:tcW w:w="1120" w:type="dxa"/>
            <w:tcBorders>
              <w:top w:val="nil"/>
              <w:left w:val="single" w:sz="4" w:space="0" w:color="auto"/>
              <w:bottom w:val="nil"/>
              <w:right w:val="single" w:sz="4" w:space="0" w:color="auto"/>
            </w:tcBorders>
            <w:hideMark/>
          </w:tcPr>
          <w:p w14:paraId="30D7ABDD" w14:textId="77777777" w:rsidR="00CC5419" w:rsidRDefault="00CC5419" w:rsidP="005F054A">
            <w:pPr>
              <w:pStyle w:val="TAC"/>
            </w:pPr>
          </w:p>
        </w:tc>
      </w:tr>
      <w:tr w:rsidR="00CC5419" w14:paraId="7A0B498B" w14:textId="77777777" w:rsidTr="005F054A">
        <w:trPr>
          <w:trHeight w:val="20"/>
          <w:jc w:val="center"/>
        </w:trPr>
        <w:tc>
          <w:tcPr>
            <w:tcW w:w="1132" w:type="dxa"/>
            <w:tcBorders>
              <w:top w:val="nil"/>
              <w:left w:val="single" w:sz="4" w:space="0" w:color="auto"/>
              <w:bottom w:val="single" w:sz="6" w:space="0" w:color="auto"/>
              <w:right w:val="single" w:sz="6" w:space="0" w:color="auto"/>
            </w:tcBorders>
            <w:vAlign w:val="center"/>
            <w:hideMark/>
          </w:tcPr>
          <w:p w14:paraId="73A7C9A0" w14:textId="77777777" w:rsidR="00CC5419" w:rsidRDefault="00CC5419" w:rsidP="005F054A">
            <w:pPr>
              <w:pStyle w:val="TAC"/>
            </w:pPr>
          </w:p>
        </w:tc>
        <w:tc>
          <w:tcPr>
            <w:tcW w:w="715" w:type="dxa"/>
            <w:tcBorders>
              <w:top w:val="nil"/>
              <w:left w:val="single" w:sz="4" w:space="0" w:color="auto"/>
              <w:bottom w:val="nil"/>
              <w:right w:val="single" w:sz="4" w:space="0" w:color="auto"/>
            </w:tcBorders>
            <w:vAlign w:val="center"/>
            <w:hideMark/>
          </w:tcPr>
          <w:p w14:paraId="06EEE7A7" w14:textId="77777777" w:rsidR="00CC5419" w:rsidRDefault="00CC5419" w:rsidP="005F054A">
            <w:pPr>
              <w:pStyle w:val="TAC"/>
              <w:rPr>
                <w:lang w:val="sv-SE"/>
              </w:rPr>
            </w:pPr>
          </w:p>
        </w:tc>
        <w:tc>
          <w:tcPr>
            <w:tcW w:w="1133" w:type="dxa"/>
            <w:tcBorders>
              <w:top w:val="nil"/>
              <w:left w:val="single" w:sz="4" w:space="0" w:color="auto"/>
              <w:bottom w:val="single" w:sz="4" w:space="0" w:color="auto"/>
              <w:right w:val="single" w:sz="4" w:space="0" w:color="auto"/>
            </w:tcBorders>
            <w:vAlign w:val="center"/>
            <w:hideMark/>
          </w:tcPr>
          <w:p w14:paraId="1639B422" w14:textId="77777777" w:rsidR="00CC5419" w:rsidRDefault="00CC5419" w:rsidP="005F054A">
            <w:pPr>
              <w:pStyle w:val="TAC"/>
            </w:pPr>
          </w:p>
        </w:tc>
        <w:tc>
          <w:tcPr>
            <w:tcW w:w="709" w:type="dxa"/>
            <w:tcBorders>
              <w:top w:val="nil"/>
              <w:left w:val="single" w:sz="4" w:space="0" w:color="auto"/>
              <w:bottom w:val="nil"/>
              <w:right w:val="single" w:sz="4" w:space="0" w:color="auto"/>
            </w:tcBorders>
            <w:vAlign w:val="center"/>
            <w:hideMark/>
          </w:tcPr>
          <w:p w14:paraId="3EC03440"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vAlign w:val="center"/>
            <w:hideMark/>
          </w:tcPr>
          <w:p w14:paraId="6EA1420E" w14:textId="77777777" w:rsidR="00CC5419" w:rsidRDefault="00CC5419" w:rsidP="005F054A">
            <w:pPr>
              <w:pStyle w:val="TAC"/>
            </w:pPr>
            <w:r>
              <w:rPr>
                <w:lang w:eastAsia="zh-CN"/>
              </w:rPr>
              <w:t>NR</w:t>
            </w:r>
            <w:r>
              <w:t>_</w:t>
            </w:r>
            <w:r>
              <w:rPr>
                <w:lang w:eastAsia="zh-CN"/>
              </w:rPr>
              <w:t>FDD_FR1_H</w:t>
            </w:r>
          </w:p>
        </w:tc>
        <w:tc>
          <w:tcPr>
            <w:tcW w:w="1289" w:type="dxa"/>
            <w:tcBorders>
              <w:top w:val="single" w:sz="4" w:space="0" w:color="auto"/>
              <w:left w:val="single" w:sz="4" w:space="0" w:color="auto"/>
              <w:bottom w:val="single" w:sz="4" w:space="0" w:color="auto"/>
              <w:right w:val="single" w:sz="4" w:space="0" w:color="auto"/>
            </w:tcBorders>
            <w:hideMark/>
          </w:tcPr>
          <w:p w14:paraId="3B7005E0" w14:textId="77777777" w:rsidR="00CC5419" w:rsidRDefault="00CC5419" w:rsidP="005F054A">
            <w:pPr>
              <w:pStyle w:val="TAC"/>
            </w:pPr>
            <w:r>
              <w:t>-111.5</w:t>
            </w:r>
          </w:p>
        </w:tc>
        <w:tc>
          <w:tcPr>
            <w:tcW w:w="1120" w:type="dxa"/>
            <w:tcBorders>
              <w:top w:val="nil"/>
              <w:left w:val="single" w:sz="4" w:space="0" w:color="auto"/>
              <w:bottom w:val="single" w:sz="4" w:space="0" w:color="auto"/>
              <w:right w:val="single" w:sz="4" w:space="0" w:color="auto"/>
            </w:tcBorders>
            <w:hideMark/>
          </w:tcPr>
          <w:p w14:paraId="539E46B4" w14:textId="77777777" w:rsidR="00CC5419" w:rsidRDefault="00CC5419" w:rsidP="005F054A">
            <w:pPr>
              <w:pStyle w:val="TAC"/>
            </w:pPr>
          </w:p>
        </w:tc>
      </w:tr>
      <w:tr w:rsidR="00CC5419" w14:paraId="0F544673"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1E1157C1"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nil"/>
              <w:left w:val="single" w:sz="4" w:space="0" w:color="auto"/>
              <w:bottom w:val="nil"/>
              <w:right w:val="single" w:sz="4" w:space="0" w:color="auto"/>
            </w:tcBorders>
            <w:vAlign w:val="center"/>
          </w:tcPr>
          <w:p w14:paraId="1A603D24"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79164021" w14:textId="77777777" w:rsidR="00CC5419" w:rsidRDefault="00CC5419" w:rsidP="005F054A">
            <w:pPr>
              <w:pStyle w:val="TAC"/>
            </w:pPr>
            <w:r>
              <w:rPr>
                <w:rFonts w:cs="Calibri"/>
              </w:rPr>
              <w:t>≥</w:t>
            </w:r>
            <w:r>
              <w:rPr>
                <w:lang w:eastAsia="zh-CN"/>
              </w:rPr>
              <w:t>[64]</w:t>
            </w:r>
          </w:p>
        </w:tc>
        <w:tc>
          <w:tcPr>
            <w:tcW w:w="709" w:type="dxa"/>
            <w:tcBorders>
              <w:top w:val="nil"/>
              <w:left w:val="single" w:sz="4" w:space="0" w:color="auto"/>
              <w:bottom w:val="nil"/>
              <w:right w:val="single" w:sz="4" w:space="0" w:color="auto"/>
            </w:tcBorders>
          </w:tcPr>
          <w:p w14:paraId="65A718B7"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566BFF84" w14:textId="77777777" w:rsidR="00CC5419" w:rsidRDefault="00CC5419" w:rsidP="005F054A">
            <w:pPr>
              <w:pStyle w:val="TAC"/>
            </w:pPr>
            <w:r>
              <w:t>NOTE 5</w:t>
            </w:r>
          </w:p>
        </w:tc>
        <w:tc>
          <w:tcPr>
            <w:tcW w:w="1289" w:type="dxa"/>
            <w:tcBorders>
              <w:top w:val="single" w:sz="4" w:space="0" w:color="auto"/>
              <w:left w:val="single" w:sz="4" w:space="0" w:color="auto"/>
              <w:bottom w:val="single" w:sz="4" w:space="0" w:color="auto"/>
              <w:right w:val="single" w:sz="4" w:space="0" w:color="auto"/>
            </w:tcBorders>
            <w:hideMark/>
          </w:tcPr>
          <w:p w14:paraId="08365F65" w14:textId="77777777" w:rsidR="00CC5419" w:rsidRDefault="00CC5419" w:rsidP="005F054A">
            <w:pPr>
              <w:pStyle w:val="TAC"/>
            </w:pPr>
            <w:r>
              <w:t>NOTE 5</w:t>
            </w:r>
          </w:p>
        </w:tc>
        <w:tc>
          <w:tcPr>
            <w:tcW w:w="1120" w:type="dxa"/>
            <w:tcBorders>
              <w:top w:val="single" w:sz="4" w:space="0" w:color="auto"/>
              <w:left w:val="single" w:sz="4" w:space="0" w:color="auto"/>
              <w:bottom w:val="single" w:sz="4" w:space="0" w:color="auto"/>
              <w:right w:val="single" w:sz="4" w:space="0" w:color="auto"/>
            </w:tcBorders>
            <w:hideMark/>
          </w:tcPr>
          <w:p w14:paraId="28F66382" w14:textId="77777777" w:rsidR="00CC5419" w:rsidRDefault="00CC5419" w:rsidP="005F054A">
            <w:pPr>
              <w:pStyle w:val="TAC"/>
            </w:pPr>
            <w:r>
              <w:t>NOTE 5</w:t>
            </w:r>
          </w:p>
        </w:tc>
      </w:tr>
      <w:tr w:rsidR="00CC5419" w14:paraId="0FEEA048" w14:textId="77777777" w:rsidTr="005F054A">
        <w:trPr>
          <w:jc w:val="center"/>
        </w:trPr>
        <w:tc>
          <w:tcPr>
            <w:tcW w:w="1132" w:type="dxa"/>
            <w:tcBorders>
              <w:top w:val="single" w:sz="6" w:space="0" w:color="auto"/>
              <w:left w:val="single" w:sz="4" w:space="0" w:color="auto"/>
              <w:bottom w:val="nil"/>
              <w:right w:val="single" w:sz="6" w:space="0" w:color="auto"/>
            </w:tcBorders>
            <w:hideMark/>
          </w:tcPr>
          <w:p w14:paraId="2F1F638C" w14:textId="77777777" w:rsidR="00CC5419" w:rsidRDefault="00CC5419" w:rsidP="005F054A">
            <w:pPr>
              <w:pStyle w:val="TAC"/>
            </w:pPr>
            <w:r>
              <w:t>[TBD+</w:t>
            </w:r>
            <w:r>
              <w:sym w:font="Symbol" w:char="F064"/>
            </w:r>
            <w:r>
              <w:t>+</w:t>
            </w:r>
            <w:r>
              <w:rPr>
                <w:rFonts w:ascii="Cambria Math" w:hAnsi="Cambria Math"/>
                <w:color w:val="0070C0"/>
              </w:rPr>
              <w:t>ℇ</w:t>
            </w:r>
            <w:r>
              <w:t>]</w:t>
            </w:r>
          </w:p>
        </w:tc>
        <w:tc>
          <w:tcPr>
            <w:tcW w:w="715" w:type="dxa"/>
            <w:tcBorders>
              <w:top w:val="nil"/>
              <w:left w:val="single" w:sz="4" w:space="0" w:color="auto"/>
              <w:bottom w:val="single" w:sz="4" w:space="0" w:color="auto"/>
              <w:right w:val="single" w:sz="4" w:space="0" w:color="auto"/>
            </w:tcBorders>
            <w:vAlign w:val="center"/>
          </w:tcPr>
          <w:p w14:paraId="623ACD6C" w14:textId="77777777" w:rsidR="00CC5419" w:rsidRDefault="00CC5419" w:rsidP="005F054A">
            <w:pPr>
              <w:pStyle w:val="TAC"/>
              <w:rPr>
                <w:lang w:val="sv-SE"/>
              </w:rPr>
            </w:pPr>
          </w:p>
        </w:tc>
        <w:tc>
          <w:tcPr>
            <w:tcW w:w="1133" w:type="dxa"/>
            <w:tcBorders>
              <w:top w:val="single" w:sz="4" w:space="0" w:color="auto"/>
              <w:left w:val="single" w:sz="4" w:space="0" w:color="auto"/>
              <w:bottom w:val="single" w:sz="4" w:space="0" w:color="auto"/>
              <w:right w:val="single" w:sz="4" w:space="0" w:color="auto"/>
            </w:tcBorders>
            <w:hideMark/>
          </w:tcPr>
          <w:p w14:paraId="04E780BB" w14:textId="77777777" w:rsidR="00CC5419" w:rsidRDefault="00CC5419" w:rsidP="005F054A">
            <w:pPr>
              <w:pStyle w:val="TAC"/>
            </w:pPr>
            <w:r>
              <w:rPr>
                <w:rFonts w:cs="Calibri"/>
              </w:rPr>
              <w:t>≥</w:t>
            </w:r>
            <w:r>
              <w:rPr>
                <w:lang w:eastAsia="zh-CN"/>
              </w:rPr>
              <w:t>[132]</w:t>
            </w:r>
          </w:p>
        </w:tc>
        <w:tc>
          <w:tcPr>
            <w:tcW w:w="709" w:type="dxa"/>
            <w:tcBorders>
              <w:top w:val="nil"/>
              <w:left w:val="single" w:sz="4" w:space="0" w:color="auto"/>
              <w:bottom w:val="single" w:sz="4" w:space="0" w:color="auto"/>
              <w:right w:val="single" w:sz="4" w:space="0" w:color="auto"/>
            </w:tcBorders>
          </w:tcPr>
          <w:p w14:paraId="404226E7" w14:textId="77777777" w:rsidR="00CC5419" w:rsidRDefault="00CC5419" w:rsidP="005F054A">
            <w:pPr>
              <w:pStyle w:val="TAC"/>
            </w:pPr>
          </w:p>
        </w:tc>
        <w:tc>
          <w:tcPr>
            <w:tcW w:w="2267" w:type="dxa"/>
            <w:tcBorders>
              <w:top w:val="single" w:sz="4" w:space="0" w:color="auto"/>
              <w:left w:val="single" w:sz="4" w:space="0" w:color="auto"/>
              <w:bottom w:val="single" w:sz="4" w:space="0" w:color="auto"/>
              <w:right w:val="single" w:sz="4" w:space="0" w:color="auto"/>
            </w:tcBorders>
            <w:hideMark/>
          </w:tcPr>
          <w:p w14:paraId="44DB42C3" w14:textId="77777777" w:rsidR="00CC5419" w:rsidRDefault="00CC5419" w:rsidP="005F054A">
            <w:pPr>
              <w:pStyle w:val="TAC"/>
            </w:pPr>
            <w:r>
              <w:t>NOTE 5</w:t>
            </w:r>
          </w:p>
        </w:tc>
        <w:tc>
          <w:tcPr>
            <w:tcW w:w="1289" w:type="dxa"/>
            <w:tcBorders>
              <w:top w:val="single" w:sz="4" w:space="0" w:color="auto"/>
              <w:left w:val="single" w:sz="4" w:space="0" w:color="auto"/>
              <w:bottom w:val="single" w:sz="4" w:space="0" w:color="auto"/>
              <w:right w:val="single" w:sz="4" w:space="0" w:color="auto"/>
            </w:tcBorders>
            <w:hideMark/>
          </w:tcPr>
          <w:p w14:paraId="2A9CFA53" w14:textId="77777777" w:rsidR="00CC5419" w:rsidRDefault="00CC5419" w:rsidP="005F054A">
            <w:pPr>
              <w:pStyle w:val="TAC"/>
            </w:pPr>
            <w:r>
              <w:t>NOTE 5</w:t>
            </w:r>
          </w:p>
        </w:tc>
        <w:tc>
          <w:tcPr>
            <w:tcW w:w="1120" w:type="dxa"/>
            <w:tcBorders>
              <w:top w:val="single" w:sz="4" w:space="0" w:color="auto"/>
              <w:left w:val="single" w:sz="4" w:space="0" w:color="auto"/>
              <w:bottom w:val="single" w:sz="4" w:space="0" w:color="auto"/>
              <w:right w:val="single" w:sz="4" w:space="0" w:color="auto"/>
            </w:tcBorders>
            <w:hideMark/>
          </w:tcPr>
          <w:p w14:paraId="633C0091" w14:textId="77777777" w:rsidR="00CC5419" w:rsidRDefault="00CC5419" w:rsidP="005F054A">
            <w:pPr>
              <w:pStyle w:val="TAC"/>
            </w:pPr>
            <w:r>
              <w:t>NOTE 5</w:t>
            </w:r>
          </w:p>
        </w:tc>
      </w:tr>
      <w:tr w:rsidR="00CC5419" w14:paraId="55E35111" w14:textId="77777777" w:rsidTr="005F054A">
        <w:trPr>
          <w:jc w:val="center"/>
        </w:trPr>
        <w:tc>
          <w:tcPr>
            <w:tcW w:w="8365" w:type="dxa"/>
            <w:gridSpan w:val="7"/>
            <w:tcBorders>
              <w:top w:val="single" w:sz="4" w:space="0" w:color="auto"/>
              <w:left w:val="single" w:sz="4" w:space="0" w:color="auto"/>
              <w:bottom w:val="single" w:sz="4" w:space="0" w:color="auto"/>
              <w:right w:val="single" w:sz="4" w:space="0" w:color="auto"/>
            </w:tcBorders>
            <w:hideMark/>
          </w:tcPr>
          <w:p w14:paraId="5087A952" w14:textId="77777777" w:rsidR="00CC5419" w:rsidRDefault="00CC5419" w:rsidP="005F054A">
            <w:pPr>
              <w:pStyle w:val="TAN"/>
            </w:pPr>
            <w:r>
              <w:t>N</w:t>
            </w:r>
            <w:r>
              <w:rPr>
                <w:lang w:eastAsia="zh-CN"/>
              </w:rPr>
              <w:t>OTE</w:t>
            </w:r>
            <w:r>
              <w:t xml:space="preserve"> 1:</w:t>
            </w:r>
            <w:r>
              <w:tab/>
              <w:t>This minimum Io condition is expressed as the average Io per RE over all REs in an OFDM symbol.</w:t>
            </w:r>
          </w:p>
          <w:p w14:paraId="7F778D58" w14:textId="77777777" w:rsidR="00CC5419" w:rsidRDefault="00CC5419" w:rsidP="005F054A">
            <w:pPr>
              <w:pStyle w:val="TAN"/>
            </w:pPr>
            <w:r>
              <w:t>NOTE 2:</w:t>
            </w:r>
            <w:r>
              <w:tab/>
              <w:t>NR operating band groups are as defined in Section 3.5.</w:t>
            </w:r>
          </w:p>
          <w:p w14:paraId="28767204" w14:textId="77777777" w:rsidR="00CC5419" w:rsidRDefault="00CC5419" w:rsidP="005F054A">
            <w:pPr>
              <w:pStyle w:val="TAN"/>
            </w:pPr>
            <w:r>
              <w:t>NOTE 3:</w:t>
            </w:r>
            <w:r>
              <w:tab/>
              <w:t>The Io is defined in TRS slots. The same Io range applies to TRS and non-TRS symbols. Io levels are different in TRS and non-TRS symbols within the same slot.</w:t>
            </w:r>
          </w:p>
          <w:p w14:paraId="6300BF78" w14:textId="77777777" w:rsidR="00CC5419" w:rsidRDefault="00CC5419" w:rsidP="005F054A">
            <w:pPr>
              <w:pStyle w:val="TAN"/>
            </w:pPr>
            <w:r>
              <w:t>N</w:t>
            </w:r>
            <w:r>
              <w:rPr>
                <w:lang w:eastAsia="zh-CN"/>
              </w:rPr>
              <w:t>OTE</w:t>
            </w:r>
            <w:r>
              <w:t xml:space="preserve"> 4:</w:t>
            </w:r>
            <w:r>
              <w:tab/>
              <w:t>Tc is the basic timing unit defined in TS 38.211 [6].</w:t>
            </w:r>
          </w:p>
          <w:p w14:paraId="2EBE4B64" w14:textId="77777777" w:rsidR="00CC5419" w:rsidRDefault="00CC5419" w:rsidP="005F054A">
            <w:pPr>
              <w:pStyle w:val="TAN"/>
            </w:pPr>
            <w:r>
              <w:t>NOTE 5:</w:t>
            </w:r>
            <w:r>
              <w:tab/>
              <w:t>The same bands and the same Io conditions for each band apply for this requirement as for the corresponding requirement with the TRS bandwidth of the smallest RB number for the corresponding SCS.</w:t>
            </w:r>
          </w:p>
          <w:p w14:paraId="555F0B47" w14:textId="553D608A" w:rsidR="00CC5419" w:rsidRDefault="00CC5419" w:rsidP="005F054A">
            <w:pPr>
              <w:pStyle w:val="TAN"/>
              <w:rPr>
                <w:rFonts w:eastAsia="SimSun" w:cs="Arial"/>
                <w:szCs w:val="18"/>
                <w:lang w:eastAsia="ko-KR"/>
              </w:rPr>
            </w:pPr>
            <w:r>
              <w:rPr>
                <w:rFonts w:eastAsia="SimSun"/>
                <w:lang w:eastAsia="ko-KR"/>
              </w:rPr>
              <w:t xml:space="preserve">NOTE 6: </w:t>
            </w:r>
            <w:r>
              <w:rPr>
                <w:rFonts w:eastAsia="SimSun"/>
                <w:lang w:eastAsia="ko-KR"/>
              </w:rPr>
              <w:tab/>
            </w:r>
            <w:r>
              <w:rPr>
                <w:rFonts w:eastAsia="SimSun" w:cs="Arial"/>
                <w:szCs w:val="18"/>
                <w:lang w:eastAsia="ko-KR"/>
              </w:rPr>
              <w:sym w:font="Symbol" w:char="F064"/>
            </w:r>
            <w:r>
              <w:rPr>
                <w:rFonts w:eastAsia="SimSun" w:cs="Arial"/>
                <w:szCs w:val="18"/>
                <w:lang w:eastAsia="ko-KR"/>
              </w:rPr>
              <w:t xml:space="preserve"> is the margin determined from Table 10.1.40.2-3.</w:t>
            </w:r>
          </w:p>
          <w:p w14:paraId="3A40755D" w14:textId="2EAD6640" w:rsidR="00CC5419" w:rsidRDefault="00CC5419" w:rsidP="005F054A">
            <w:pPr>
              <w:pStyle w:val="TAN"/>
            </w:pPr>
            <w:r>
              <w:rPr>
                <w:rFonts w:eastAsia="SimSun"/>
                <w:lang w:eastAsia="ko-KR"/>
              </w:rPr>
              <w:t xml:space="preserve">NOTE 7: </w:t>
            </w:r>
            <w:r>
              <w:rPr>
                <w:rFonts w:eastAsia="SimSun"/>
                <w:lang w:eastAsia="ko-KR"/>
              </w:rPr>
              <w:tab/>
            </w:r>
            <w:r w:rsidRPr="00E7602D">
              <w:rPr>
                <w:rFonts w:ascii="Cambria Math" w:hAnsi="Cambria Math"/>
              </w:rPr>
              <w:t>ℇ</w:t>
            </w:r>
            <w:r w:rsidRPr="00E7602D">
              <w:rPr>
                <w:rFonts w:eastAsia="SimSun" w:cs="Arial"/>
                <w:szCs w:val="18"/>
                <w:lang w:eastAsia="ko-KR"/>
              </w:rPr>
              <w:t xml:space="preserve"> is the margin for reporting quantitization error and </w:t>
            </w:r>
            <w:r w:rsidRPr="00E7602D">
              <w:rPr>
                <w:rFonts w:ascii="Cambria Math" w:hAnsi="Cambria Math"/>
              </w:rPr>
              <w:t>ℇ=16 Tc</w:t>
            </w:r>
            <w:r w:rsidRPr="00E7602D">
              <w:rPr>
                <w:rFonts w:eastAsia="SimSun" w:cs="Arial"/>
                <w:szCs w:val="18"/>
                <w:lang w:eastAsia="ko-KR"/>
              </w:rPr>
              <w:t>.</w:t>
            </w:r>
          </w:p>
        </w:tc>
      </w:tr>
    </w:tbl>
    <w:p w14:paraId="0CA9E2AE" w14:textId="77777777" w:rsidR="00CC5419" w:rsidRDefault="00CC5419" w:rsidP="00CC5419"/>
    <w:p w14:paraId="6C69D718" w14:textId="77777777" w:rsidR="00CC5419" w:rsidRDefault="00CC5419" w:rsidP="00CC5419">
      <w:r>
        <w:t>The accuracy requirements in Table 10.1.40.2-2 for FR2 are valid under the following conditions:</w:t>
      </w:r>
    </w:p>
    <w:p w14:paraId="336DA22A" w14:textId="77777777" w:rsidR="00CC5419" w:rsidRDefault="00CC5419" w:rsidP="00082331">
      <w:pPr>
        <w:pStyle w:val="B10"/>
      </w:pPr>
      <w:r>
        <w:t>Conditions defined in clause 7.3 of TS 38.101-2 [19] for reference sensitivity are fulfilled.</w:t>
      </w:r>
    </w:p>
    <w:p w14:paraId="0FF2F536" w14:textId="77777777" w:rsidR="00CC5419" w:rsidRDefault="00CC5419" w:rsidP="00CC5419">
      <w:pPr>
        <w:pStyle w:val="B10"/>
      </w:pPr>
      <w:r>
        <w:t>PRP|</w:t>
      </w:r>
      <w:r>
        <w:rPr>
          <w:vertAlign w:val="subscript"/>
        </w:rPr>
        <w:t>dBm</w:t>
      </w:r>
      <w:r>
        <w:t xml:space="preserve"> according to Annex [TBD] for a corresponding Band.</w:t>
      </w:r>
    </w:p>
    <w:p w14:paraId="76B5C4D2" w14:textId="77777777" w:rsidR="00CC5419" w:rsidRDefault="00CC5419" w:rsidP="00082331">
      <w:pPr>
        <w:pStyle w:val="B10"/>
      </w:pPr>
      <w:r>
        <w:t>AWGN propagation condition.</w:t>
      </w:r>
    </w:p>
    <w:p w14:paraId="364CB2F0" w14:textId="77777777" w:rsidR="00CC5419" w:rsidRDefault="00CC5419" w:rsidP="00CC5419">
      <w:pPr>
        <w:pStyle w:val="TH"/>
      </w:pPr>
      <w:r>
        <w:t>Table 10.1.40.2-2: UE Rx-Tx time difference measurement accuracy in FR2 in AWGN</w:t>
      </w:r>
    </w:p>
    <w:tbl>
      <w:tblPr>
        <w:tblW w:w="8725" w:type="dxa"/>
        <w:jc w:val="center"/>
        <w:tblLayout w:type="fixed"/>
        <w:tblLook w:val="01E0" w:firstRow="1" w:lastRow="1" w:firstColumn="1" w:lastColumn="1" w:noHBand="0" w:noVBand="0"/>
      </w:tblPr>
      <w:tblGrid>
        <w:gridCol w:w="1133"/>
        <w:gridCol w:w="851"/>
        <w:gridCol w:w="1133"/>
        <w:gridCol w:w="845"/>
        <w:gridCol w:w="3258"/>
        <w:gridCol w:w="1505"/>
      </w:tblGrid>
      <w:tr w:rsidR="00CC5419" w14:paraId="6A326563" w14:textId="77777777" w:rsidTr="005F054A">
        <w:trPr>
          <w:jc w:val="center"/>
        </w:trPr>
        <w:tc>
          <w:tcPr>
            <w:tcW w:w="1133" w:type="dxa"/>
            <w:vMerge w:val="restart"/>
            <w:tcBorders>
              <w:top w:val="single" w:sz="4" w:space="0" w:color="auto"/>
              <w:left w:val="single" w:sz="4" w:space="0" w:color="auto"/>
              <w:bottom w:val="single" w:sz="6" w:space="0" w:color="auto"/>
              <w:right w:val="single" w:sz="6" w:space="0" w:color="auto"/>
            </w:tcBorders>
            <w:vAlign w:val="center"/>
            <w:hideMark/>
          </w:tcPr>
          <w:p w14:paraId="37796466" w14:textId="77777777" w:rsidR="00CC5419" w:rsidRDefault="00CC5419" w:rsidP="005F054A">
            <w:pPr>
              <w:pStyle w:val="TAH"/>
            </w:pPr>
            <w:r>
              <w:t>Accuracy</w:t>
            </w:r>
          </w:p>
        </w:tc>
        <w:tc>
          <w:tcPr>
            <w:tcW w:w="7592" w:type="dxa"/>
            <w:gridSpan w:val="5"/>
            <w:tcBorders>
              <w:top w:val="single" w:sz="4" w:space="0" w:color="auto"/>
              <w:left w:val="single" w:sz="6" w:space="0" w:color="auto"/>
              <w:bottom w:val="single" w:sz="6" w:space="0" w:color="auto"/>
              <w:right w:val="single" w:sz="4" w:space="0" w:color="auto"/>
            </w:tcBorders>
            <w:hideMark/>
          </w:tcPr>
          <w:p w14:paraId="470D7445" w14:textId="77777777" w:rsidR="00CC5419" w:rsidRDefault="00CC5419" w:rsidP="005F054A">
            <w:pPr>
              <w:pStyle w:val="TAH"/>
            </w:pPr>
            <w:r>
              <w:t>Conditions</w:t>
            </w:r>
          </w:p>
        </w:tc>
      </w:tr>
      <w:tr w:rsidR="00CC5419" w14:paraId="2403C190" w14:textId="77777777" w:rsidTr="005F054A">
        <w:trPr>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2A687D81" w14:textId="77777777" w:rsidR="00CC5419" w:rsidRDefault="00CC5419" w:rsidP="005F054A">
            <w:pPr>
              <w:pStyle w:val="TAH"/>
            </w:pPr>
          </w:p>
        </w:tc>
        <w:tc>
          <w:tcPr>
            <w:tcW w:w="851" w:type="dxa"/>
            <w:vMerge w:val="restart"/>
            <w:tcBorders>
              <w:top w:val="single" w:sz="6" w:space="0" w:color="auto"/>
              <w:left w:val="single" w:sz="6" w:space="0" w:color="auto"/>
              <w:bottom w:val="single" w:sz="6" w:space="0" w:color="auto"/>
              <w:right w:val="single" w:sz="6" w:space="0" w:color="auto"/>
            </w:tcBorders>
            <w:vAlign w:val="center"/>
            <w:hideMark/>
          </w:tcPr>
          <w:p w14:paraId="05A37EFB" w14:textId="77777777" w:rsidR="00CC5419" w:rsidRDefault="00CC5419" w:rsidP="005F054A">
            <w:pPr>
              <w:pStyle w:val="TAH"/>
            </w:pPr>
            <w:r>
              <w:t>TRS Ês/Iot</w:t>
            </w:r>
          </w:p>
        </w:tc>
        <w:tc>
          <w:tcPr>
            <w:tcW w:w="1133" w:type="dxa"/>
            <w:vMerge w:val="restart"/>
            <w:tcBorders>
              <w:top w:val="single" w:sz="6" w:space="0" w:color="auto"/>
              <w:left w:val="single" w:sz="6" w:space="0" w:color="auto"/>
              <w:bottom w:val="single" w:sz="6" w:space="0" w:color="auto"/>
              <w:right w:val="single" w:sz="6" w:space="0" w:color="auto"/>
            </w:tcBorders>
            <w:vAlign w:val="center"/>
            <w:hideMark/>
          </w:tcPr>
          <w:p w14:paraId="6C4B10BD" w14:textId="77777777" w:rsidR="00CC5419" w:rsidRDefault="00CC5419" w:rsidP="005F054A">
            <w:pPr>
              <w:pStyle w:val="TAH"/>
            </w:pPr>
            <w:r>
              <w:t>Minimum TRS bandwidth</w:t>
            </w:r>
          </w:p>
        </w:tc>
        <w:tc>
          <w:tcPr>
            <w:tcW w:w="845" w:type="dxa"/>
            <w:vMerge w:val="restart"/>
            <w:tcBorders>
              <w:top w:val="single" w:sz="6" w:space="0" w:color="auto"/>
              <w:left w:val="single" w:sz="6" w:space="0" w:color="auto"/>
              <w:bottom w:val="single" w:sz="6" w:space="0" w:color="auto"/>
              <w:right w:val="single" w:sz="6" w:space="0" w:color="auto"/>
            </w:tcBorders>
          </w:tcPr>
          <w:p w14:paraId="16CE0D49" w14:textId="77777777" w:rsidR="00CC5419" w:rsidRDefault="00CC5419" w:rsidP="005F054A">
            <w:pPr>
              <w:pStyle w:val="TAH"/>
            </w:pPr>
          </w:p>
          <w:p w14:paraId="79E06F46" w14:textId="77777777" w:rsidR="00CC5419" w:rsidRDefault="00CC5419" w:rsidP="005F054A">
            <w:pPr>
              <w:pStyle w:val="TAH"/>
            </w:pPr>
            <w:r>
              <w:t>TRS SCS</w:t>
            </w:r>
          </w:p>
        </w:tc>
        <w:tc>
          <w:tcPr>
            <w:tcW w:w="4763" w:type="dxa"/>
            <w:gridSpan w:val="2"/>
            <w:tcBorders>
              <w:top w:val="single" w:sz="6" w:space="0" w:color="auto"/>
              <w:left w:val="single" w:sz="6" w:space="0" w:color="auto"/>
              <w:bottom w:val="single" w:sz="6" w:space="0" w:color="auto"/>
              <w:right w:val="single" w:sz="4" w:space="0" w:color="auto"/>
            </w:tcBorders>
            <w:vAlign w:val="center"/>
            <w:hideMark/>
          </w:tcPr>
          <w:p w14:paraId="3219D4C1" w14:textId="77777777" w:rsidR="00CC5419" w:rsidRDefault="00CC5419" w:rsidP="005F054A">
            <w:pPr>
              <w:pStyle w:val="TAH"/>
            </w:pPr>
            <w:r>
              <w:t>Io</w:t>
            </w:r>
            <w:r>
              <w:rPr>
                <w:vertAlign w:val="superscript"/>
                <w:lang w:eastAsia="zh-CN"/>
              </w:rPr>
              <w:t>Note 3</w:t>
            </w:r>
            <w:r>
              <w:t xml:space="preserve"> range</w:t>
            </w:r>
          </w:p>
        </w:tc>
      </w:tr>
      <w:tr w:rsidR="00CC5419" w14:paraId="1EFCCCED" w14:textId="77777777" w:rsidTr="005F054A">
        <w:trPr>
          <w:trHeight w:val="822"/>
          <w:jc w:val="center"/>
        </w:trPr>
        <w:tc>
          <w:tcPr>
            <w:tcW w:w="1133" w:type="dxa"/>
            <w:vMerge/>
            <w:tcBorders>
              <w:top w:val="single" w:sz="4" w:space="0" w:color="auto"/>
              <w:left w:val="single" w:sz="4" w:space="0" w:color="auto"/>
              <w:bottom w:val="single" w:sz="6" w:space="0" w:color="auto"/>
              <w:right w:val="single" w:sz="6" w:space="0" w:color="auto"/>
            </w:tcBorders>
            <w:vAlign w:val="center"/>
            <w:hideMark/>
          </w:tcPr>
          <w:p w14:paraId="3F2575CC" w14:textId="77777777" w:rsidR="00CC5419" w:rsidRDefault="00CC5419" w:rsidP="005F054A">
            <w:pPr>
              <w:pStyle w:val="TAH"/>
            </w:pPr>
          </w:p>
        </w:tc>
        <w:tc>
          <w:tcPr>
            <w:tcW w:w="851" w:type="dxa"/>
            <w:vMerge/>
            <w:tcBorders>
              <w:top w:val="single" w:sz="6" w:space="0" w:color="auto"/>
              <w:left w:val="single" w:sz="6" w:space="0" w:color="auto"/>
              <w:bottom w:val="single" w:sz="6" w:space="0" w:color="auto"/>
              <w:right w:val="single" w:sz="6" w:space="0" w:color="auto"/>
            </w:tcBorders>
            <w:vAlign w:val="center"/>
            <w:hideMark/>
          </w:tcPr>
          <w:p w14:paraId="1B24EDB3" w14:textId="77777777" w:rsidR="00CC5419" w:rsidRDefault="00CC5419" w:rsidP="005F054A">
            <w:pPr>
              <w:pStyle w:val="TAH"/>
            </w:pPr>
          </w:p>
        </w:tc>
        <w:tc>
          <w:tcPr>
            <w:tcW w:w="1133" w:type="dxa"/>
            <w:vMerge/>
            <w:tcBorders>
              <w:top w:val="single" w:sz="6" w:space="0" w:color="auto"/>
              <w:left w:val="single" w:sz="6" w:space="0" w:color="auto"/>
              <w:bottom w:val="single" w:sz="6" w:space="0" w:color="auto"/>
              <w:right w:val="single" w:sz="6" w:space="0" w:color="auto"/>
            </w:tcBorders>
            <w:vAlign w:val="center"/>
            <w:hideMark/>
          </w:tcPr>
          <w:p w14:paraId="72BFB6A7" w14:textId="77777777" w:rsidR="00CC5419" w:rsidRDefault="00CC5419" w:rsidP="005F054A">
            <w:pPr>
              <w:pStyle w:val="TAH"/>
            </w:pPr>
          </w:p>
        </w:tc>
        <w:tc>
          <w:tcPr>
            <w:tcW w:w="845" w:type="dxa"/>
            <w:vMerge/>
            <w:tcBorders>
              <w:top w:val="single" w:sz="6" w:space="0" w:color="auto"/>
              <w:left w:val="single" w:sz="6" w:space="0" w:color="auto"/>
              <w:bottom w:val="single" w:sz="6" w:space="0" w:color="auto"/>
              <w:right w:val="single" w:sz="6" w:space="0" w:color="auto"/>
            </w:tcBorders>
            <w:vAlign w:val="center"/>
            <w:hideMark/>
          </w:tcPr>
          <w:p w14:paraId="3FCF2193" w14:textId="77777777" w:rsidR="00CC5419" w:rsidRDefault="00CC5419" w:rsidP="005F054A">
            <w:pPr>
              <w:pStyle w:val="TAH"/>
            </w:pPr>
          </w:p>
        </w:tc>
        <w:tc>
          <w:tcPr>
            <w:tcW w:w="3258" w:type="dxa"/>
            <w:tcBorders>
              <w:top w:val="single" w:sz="6" w:space="0" w:color="auto"/>
              <w:left w:val="single" w:sz="6" w:space="0" w:color="auto"/>
              <w:bottom w:val="single" w:sz="6" w:space="0" w:color="auto"/>
              <w:right w:val="single" w:sz="6" w:space="0" w:color="auto"/>
            </w:tcBorders>
            <w:vAlign w:val="center"/>
            <w:hideMark/>
          </w:tcPr>
          <w:p w14:paraId="0847D674" w14:textId="77777777" w:rsidR="00CC5419" w:rsidRDefault="00CC5419" w:rsidP="005F054A">
            <w:pPr>
              <w:pStyle w:val="TAH"/>
            </w:pPr>
            <w:r>
              <w:t>Minimum</w:t>
            </w:r>
            <w:r>
              <w:br/>
              <w:t>Io</w:t>
            </w:r>
            <w:r>
              <w:rPr>
                <w:vertAlign w:val="superscript"/>
              </w:rPr>
              <w:t>Note 1</w:t>
            </w:r>
          </w:p>
        </w:tc>
        <w:tc>
          <w:tcPr>
            <w:tcW w:w="1505" w:type="dxa"/>
            <w:tcBorders>
              <w:top w:val="single" w:sz="6" w:space="0" w:color="auto"/>
              <w:left w:val="single" w:sz="6" w:space="0" w:color="auto"/>
              <w:bottom w:val="single" w:sz="6" w:space="0" w:color="auto"/>
              <w:right w:val="single" w:sz="4" w:space="0" w:color="auto"/>
            </w:tcBorders>
            <w:vAlign w:val="center"/>
            <w:hideMark/>
          </w:tcPr>
          <w:p w14:paraId="46FACFA5" w14:textId="77777777" w:rsidR="00CC5419" w:rsidRDefault="00CC5419" w:rsidP="005F054A">
            <w:pPr>
              <w:pStyle w:val="TAH"/>
            </w:pPr>
            <w:r>
              <w:t>Maximum</w:t>
            </w:r>
            <w:r>
              <w:br/>
              <w:t>Io</w:t>
            </w:r>
          </w:p>
        </w:tc>
      </w:tr>
      <w:tr w:rsidR="00CC5419" w14:paraId="5D099781" w14:textId="77777777" w:rsidTr="005F054A">
        <w:trPr>
          <w:trHeight w:val="279"/>
          <w:jc w:val="center"/>
        </w:trPr>
        <w:tc>
          <w:tcPr>
            <w:tcW w:w="1133" w:type="dxa"/>
            <w:tcBorders>
              <w:top w:val="single" w:sz="6" w:space="0" w:color="auto"/>
              <w:left w:val="single" w:sz="4" w:space="0" w:color="auto"/>
              <w:bottom w:val="nil"/>
              <w:right w:val="single" w:sz="6" w:space="0" w:color="auto"/>
            </w:tcBorders>
            <w:vAlign w:val="center"/>
            <w:hideMark/>
          </w:tcPr>
          <w:p w14:paraId="634E6DB9" w14:textId="77777777" w:rsidR="00CC5419" w:rsidRDefault="00CC5419" w:rsidP="005F054A">
            <w:pPr>
              <w:pStyle w:val="TAH"/>
            </w:pPr>
            <w:r>
              <w:t>Tc</w:t>
            </w:r>
            <w:r>
              <w:rPr>
                <w:vertAlign w:val="superscript"/>
                <w:lang w:eastAsia="zh-CN"/>
              </w:rPr>
              <w:t>Note 4</w:t>
            </w:r>
          </w:p>
        </w:tc>
        <w:tc>
          <w:tcPr>
            <w:tcW w:w="851" w:type="dxa"/>
            <w:tcBorders>
              <w:top w:val="single" w:sz="6" w:space="0" w:color="auto"/>
              <w:left w:val="single" w:sz="6" w:space="0" w:color="auto"/>
              <w:bottom w:val="nil"/>
              <w:right w:val="single" w:sz="6" w:space="0" w:color="auto"/>
            </w:tcBorders>
            <w:vAlign w:val="center"/>
            <w:hideMark/>
          </w:tcPr>
          <w:p w14:paraId="52D432F0" w14:textId="77777777" w:rsidR="00CC5419" w:rsidRDefault="00CC5419" w:rsidP="005F054A">
            <w:pPr>
              <w:pStyle w:val="TAH"/>
            </w:pPr>
            <w:r>
              <w:t>dB</w:t>
            </w:r>
          </w:p>
        </w:tc>
        <w:tc>
          <w:tcPr>
            <w:tcW w:w="1133" w:type="dxa"/>
            <w:tcBorders>
              <w:top w:val="single" w:sz="6" w:space="0" w:color="auto"/>
              <w:left w:val="single" w:sz="6" w:space="0" w:color="auto"/>
              <w:bottom w:val="nil"/>
              <w:right w:val="single" w:sz="6" w:space="0" w:color="auto"/>
            </w:tcBorders>
            <w:vAlign w:val="center"/>
            <w:hideMark/>
          </w:tcPr>
          <w:p w14:paraId="31B30E22" w14:textId="77777777" w:rsidR="00CC5419" w:rsidRDefault="00CC5419" w:rsidP="005F054A">
            <w:pPr>
              <w:pStyle w:val="TAH"/>
            </w:pPr>
            <w:r>
              <w:t>RB</w:t>
            </w:r>
          </w:p>
        </w:tc>
        <w:tc>
          <w:tcPr>
            <w:tcW w:w="845" w:type="dxa"/>
            <w:tcBorders>
              <w:top w:val="single" w:sz="6" w:space="0" w:color="auto"/>
              <w:left w:val="single" w:sz="6" w:space="0" w:color="auto"/>
              <w:bottom w:val="nil"/>
              <w:right w:val="single" w:sz="6" w:space="0" w:color="auto"/>
            </w:tcBorders>
            <w:hideMark/>
          </w:tcPr>
          <w:p w14:paraId="3D320C3D" w14:textId="77777777" w:rsidR="00CC5419" w:rsidRDefault="00CC5419" w:rsidP="005F054A">
            <w:pPr>
              <w:pStyle w:val="TAH"/>
            </w:pPr>
            <w:r>
              <w:t>kHz</w:t>
            </w:r>
          </w:p>
        </w:tc>
        <w:tc>
          <w:tcPr>
            <w:tcW w:w="3258" w:type="dxa"/>
            <w:tcBorders>
              <w:top w:val="single" w:sz="6" w:space="0" w:color="auto"/>
              <w:left w:val="single" w:sz="6" w:space="0" w:color="auto"/>
              <w:bottom w:val="single" w:sz="4" w:space="0" w:color="auto"/>
              <w:right w:val="single" w:sz="6" w:space="0" w:color="auto"/>
            </w:tcBorders>
            <w:vAlign w:val="center"/>
            <w:hideMark/>
          </w:tcPr>
          <w:p w14:paraId="440C4A7D" w14:textId="77777777" w:rsidR="00CC5419" w:rsidRDefault="00CC5419" w:rsidP="005F054A">
            <w:pPr>
              <w:pStyle w:val="TAH"/>
            </w:pPr>
            <w:r>
              <w:t>dBm / SCS</w:t>
            </w:r>
            <w:r>
              <w:rPr>
                <w:vertAlign w:val="subscript"/>
              </w:rPr>
              <w:t>TRS</w:t>
            </w:r>
          </w:p>
        </w:tc>
        <w:tc>
          <w:tcPr>
            <w:tcW w:w="1505" w:type="dxa"/>
            <w:tcBorders>
              <w:top w:val="single" w:sz="6" w:space="0" w:color="auto"/>
              <w:left w:val="single" w:sz="6" w:space="0" w:color="auto"/>
              <w:bottom w:val="nil"/>
              <w:right w:val="single" w:sz="4" w:space="0" w:color="auto"/>
            </w:tcBorders>
            <w:vAlign w:val="center"/>
            <w:hideMark/>
          </w:tcPr>
          <w:p w14:paraId="26927E72" w14:textId="77777777" w:rsidR="00CC5419" w:rsidRDefault="00CC5419" w:rsidP="005F054A">
            <w:pPr>
              <w:pStyle w:val="TAH"/>
            </w:pPr>
            <w:r>
              <w:t>dBm/BW</w:t>
            </w:r>
            <w:r>
              <w:rPr>
                <w:vertAlign w:val="subscript"/>
              </w:rPr>
              <w:t>Channel</w:t>
            </w:r>
          </w:p>
        </w:tc>
      </w:tr>
      <w:tr w:rsidR="00CC5419" w14:paraId="1CDBF045"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540623A0" w14:textId="77777777" w:rsidR="00CC5419" w:rsidRDefault="00CC5419" w:rsidP="005F054A">
            <w:pPr>
              <w:pStyle w:val="TAC"/>
            </w:pPr>
            <w:r>
              <w:t>[TBD+</w:t>
            </w:r>
            <w:r>
              <w:sym w:font="Symbol" w:char="F064"/>
            </w:r>
            <w:r>
              <w:t>+</w:t>
            </w:r>
            <w:r>
              <w:rPr>
                <w:rFonts w:ascii="Cambria Math" w:hAnsi="Cambria Math"/>
                <w:color w:val="0070C0"/>
              </w:rPr>
              <w:t>ℇ</w:t>
            </w:r>
            <w:r>
              <w:t>]</w:t>
            </w:r>
          </w:p>
        </w:tc>
        <w:tc>
          <w:tcPr>
            <w:tcW w:w="851" w:type="dxa"/>
            <w:tcBorders>
              <w:top w:val="single" w:sz="6" w:space="0" w:color="auto"/>
              <w:left w:val="single" w:sz="6" w:space="0" w:color="auto"/>
              <w:bottom w:val="nil"/>
              <w:right w:val="single" w:sz="6" w:space="0" w:color="auto"/>
            </w:tcBorders>
            <w:hideMark/>
          </w:tcPr>
          <w:p w14:paraId="0A91A352" w14:textId="77777777" w:rsidR="00CC5419" w:rsidRDefault="00CC5419" w:rsidP="005F054A">
            <w:pPr>
              <w:pStyle w:val="TAC"/>
              <w:rPr>
                <w:lang w:val="sv-SE"/>
              </w:rPr>
            </w:pPr>
            <w:r>
              <w:rPr>
                <w:lang w:val="sv-SE"/>
              </w:rPr>
              <w:t>-3</w:t>
            </w:r>
          </w:p>
        </w:tc>
        <w:tc>
          <w:tcPr>
            <w:tcW w:w="1133" w:type="dxa"/>
            <w:tcBorders>
              <w:top w:val="single" w:sz="6" w:space="0" w:color="auto"/>
              <w:left w:val="single" w:sz="6" w:space="0" w:color="auto"/>
              <w:bottom w:val="nil"/>
              <w:right w:val="single" w:sz="6" w:space="0" w:color="auto"/>
            </w:tcBorders>
            <w:hideMark/>
          </w:tcPr>
          <w:p w14:paraId="10332D60" w14:textId="77777777" w:rsidR="00CC5419" w:rsidRDefault="00CC5419" w:rsidP="005F054A">
            <w:pPr>
              <w:pStyle w:val="TAC"/>
            </w:pPr>
            <w:r>
              <w:rPr>
                <w:rFonts w:cs="Calibri"/>
              </w:rPr>
              <w:t>≥[</w:t>
            </w:r>
            <w:r>
              <w:t>24]</w:t>
            </w:r>
          </w:p>
        </w:tc>
        <w:tc>
          <w:tcPr>
            <w:tcW w:w="845" w:type="dxa"/>
            <w:tcBorders>
              <w:top w:val="single" w:sz="6" w:space="0" w:color="auto"/>
              <w:left w:val="single" w:sz="6" w:space="0" w:color="auto"/>
              <w:bottom w:val="nil"/>
              <w:right w:val="single" w:sz="6" w:space="0" w:color="auto"/>
            </w:tcBorders>
            <w:hideMark/>
          </w:tcPr>
          <w:p w14:paraId="16607247" w14:textId="77777777" w:rsidR="00CC5419" w:rsidRDefault="00CC5419" w:rsidP="005F054A">
            <w:pPr>
              <w:pStyle w:val="TAC"/>
            </w:pPr>
            <w:r>
              <w:t>60</w:t>
            </w:r>
          </w:p>
        </w:tc>
        <w:tc>
          <w:tcPr>
            <w:tcW w:w="3258" w:type="dxa"/>
            <w:tcBorders>
              <w:top w:val="single" w:sz="4" w:space="0" w:color="auto"/>
              <w:left w:val="single" w:sz="4" w:space="0" w:color="auto"/>
              <w:bottom w:val="single" w:sz="4" w:space="0" w:color="auto"/>
              <w:right w:val="single" w:sz="4" w:space="0" w:color="auto"/>
            </w:tcBorders>
            <w:vAlign w:val="center"/>
            <w:hideMark/>
          </w:tcPr>
          <w:p w14:paraId="0D0CBC54" w14:textId="77777777" w:rsidR="00CC5419" w:rsidRDefault="00CC5419" w:rsidP="005F054A">
            <w:pPr>
              <w:pStyle w:val="TAC"/>
            </w:pPr>
            <w:r>
              <w:t>Same value as PRP in Table B.2.14-2, according to UE Power class, operating band and angle of arrival</w:t>
            </w:r>
          </w:p>
        </w:tc>
        <w:tc>
          <w:tcPr>
            <w:tcW w:w="1505" w:type="dxa"/>
            <w:tcBorders>
              <w:top w:val="single" w:sz="6" w:space="0" w:color="auto"/>
              <w:left w:val="single" w:sz="4" w:space="0" w:color="auto"/>
              <w:bottom w:val="single" w:sz="6" w:space="0" w:color="auto"/>
              <w:right w:val="single" w:sz="4" w:space="0" w:color="auto"/>
            </w:tcBorders>
            <w:hideMark/>
          </w:tcPr>
          <w:p w14:paraId="3CA18E46" w14:textId="77777777" w:rsidR="00CC5419" w:rsidRDefault="00CC5419" w:rsidP="005F054A">
            <w:pPr>
              <w:pStyle w:val="TAC"/>
            </w:pPr>
            <w:r>
              <w:t>-50</w:t>
            </w:r>
          </w:p>
        </w:tc>
      </w:tr>
      <w:tr w:rsidR="00CC5419" w14:paraId="002BB3BC"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3C9D3C91" w14:textId="77777777" w:rsidR="00CC5419" w:rsidRDefault="00CC5419" w:rsidP="005F054A">
            <w:pPr>
              <w:pStyle w:val="TAC"/>
            </w:pPr>
            <w:r>
              <w:t>[TBD+</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772954AC"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07A24E10" w14:textId="77777777" w:rsidR="00CC5419" w:rsidRDefault="00CC5419" w:rsidP="005F054A">
            <w:pPr>
              <w:pStyle w:val="TAC"/>
            </w:pPr>
            <w:r>
              <w:rPr>
                <w:rFonts w:cs="Calibri"/>
              </w:rPr>
              <w:t>≥[</w:t>
            </w:r>
            <w:r>
              <w:t>64]</w:t>
            </w:r>
          </w:p>
        </w:tc>
        <w:tc>
          <w:tcPr>
            <w:tcW w:w="845" w:type="dxa"/>
            <w:tcBorders>
              <w:top w:val="nil"/>
              <w:left w:val="single" w:sz="6" w:space="0" w:color="auto"/>
              <w:bottom w:val="nil"/>
              <w:right w:val="single" w:sz="6" w:space="0" w:color="auto"/>
            </w:tcBorders>
          </w:tcPr>
          <w:p w14:paraId="78996DC9" w14:textId="77777777" w:rsidR="00CC5419" w:rsidRDefault="00CC5419" w:rsidP="005F054A">
            <w:pPr>
              <w:pStyle w:val="TAC"/>
            </w:pPr>
          </w:p>
        </w:tc>
        <w:tc>
          <w:tcPr>
            <w:tcW w:w="3258" w:type="dxa"/>
            <w:tcBorders>
              <w:top w:val="single" w:sz="4" w:space="0" w:color="auto"/>
              <w:left w:val="single" w:sz="4" w:space="0" w:color="auto"/>
              <w:bottom w:val="single" w:sz="4" w:space="0" w:color="auto"/>
              <w:right w:val="single" w:sz="4" w:space="0" w:color="auto"/>
            </w:tcBorders>
            <w:hideMark/>
          </w:tcPr>
          <w:p w14:paraId="3115BE24" w14:textId="77777777" w:rsidR="00CC5419" w:rsidRDefault="00CC5419" w:rsidP="005F054A">
            <w:pPr>
              <w:pStyle w:val="TAC"/>
            </w:pPr>
            <w:r>
              <w:t>NOTE 5</w:t>
            </w:r>
          </w:p>
        </w:tc>
        <w:tc>
          <w:tcPr>
            <w:tcW w:w="1505" w:type="dxa"/>
            <w:tcBorders>
              <w:top w:val="single" w:sz="6" w:space="0" w:color="auto"/>
              <w:left w:val="single" w:sz="4" w:space="0" w:color="auto"/>
              <w:bottom w:val="single" w:sz="6" w:space="0" w:color="auto"/>
              <w:right w:val="single" w:sz="4" w:space="0" w:color="auto"/>
            </w:tcBorders>
            <w:hideMark/>
          </w:tcPr>
          <w:p w14:paraId="2A2C4A50" w14:textId="77777777" w:rsidR="00CC5419" w:rsidRDefault="00CC5419" w:rsidP="005F054A">
            <w:pPr>
              <w:pStyle w:val="TAC"/>
            </w:pPr>
            <w:r>
              <w:t>NOTE 5</w:t>
            </w:r>
          </w:p>
        </w:tc>
      </w:tr>
      <w:tr w:rsidR="00CC5419" w14:paraId="0EC9DCB7"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279AF084" w14:textId="77777777" w:rsidR="00CC5419" w:rsidRDefault="00CC5419" w:rsidP="005F054A">
            <w:pPr>
              <w:pStyle w:val="TAC"/>
            </w:pPr>
            <w:r>
              <w:t>[TBD+</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7E09BACA"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564FC082" w14:textId="77777777" w:rsidR="00CC5419" w:rsidRDefault="00CC5419" w:rsidP="005F054A">
            <w:pPr>
              <w:pStyle w:val="TAC"/>
            </w:pPr>
            <w:r>
              <w:rPr>
                <w:rFonts w:cs="Calibri"/>
              </w:rPr>
              <w:t>≥[</w:t>
            </w:r>
            <w:r>
              <w:t>132]</w:t>
            </w:r>
          </w:p>
        </w:tc>
        <w:tc>
          <w:tcPr>
            <w:tcW w:w="845" w:type="dxa"/>
            <w:tcBorders>
              <w:top w:val="nil"/>
              <w:left w:val="single" w:sz="6" w:space="0" w:color="auto"/>
              <w:bottom w:val="nil"/>
              <w:right w:val="single" w:sz="6" w:space="0" w:color="auto"/>
            </w:tcBorders>
          </w:tcPr>
          <w:p w14:paraId="4C990F12" w14:textId="77777777" w:rsidR="00CC5419" w:rsidRDefault="00CC5419" w:rsidP="005F054A">
            <w:pPr>
              <w:pStyle w:val="TAC"/>
            </w:pPr>
          </w:p>
        </w:tc>
        <w:tc>
          <w:tcPr>
            <w:tcW w:w="3258" w:type="dxa"/>
            <w:tcBorders>
              <w:top w:val="single" w:sz="4" w:space="0" w:color="auto"/>
              <w:left w:val="single" w:sz="4" w:space="0" w:color="auto"/>
              <w:bottom w:val="single" w:sz="4" w:space="0" w:color="auto"/>
              <w:right w:val="single" w:sz="4" w:space="0" w:color="auto"/>
            </w:tcBorders>
            <w:hideMark/>
          </w:tcPr>
          <w:p w14:paraId="26E40932" w14:textId="77777777" w:rsidR="00CC5419" w:rsidRDefault="00CC5419" w:rsidP="005F054A">
            <w:pPr>
              <w:pStyle w:val="TAC"/>
            </w:pPr>
            <w:r>
              <w:t>NOTE 5</w:t>
            </w:r>
          </w:p>
        </w:tc>
        <w:tc>
          <w:tcPr>
            <w:tcW w:w="1505" w:type="dxa"/>
            <w:tcBorders>
              <w:top w:val="single" w:sz="6" w:space="0" w:color="auto"/>
              <w:left w:val="single" w:sz="4" w:space="0" w:color="auto"/>
              <w:bottom w:val="single" w:sz="6" w:space="0" w:color="auto"/>
              <w:right w:val="single" w:sz="4" w:space="0" w:color="auto"/>
            </w:tcBorders>
            <w:hideMark/>
          </w:tcPr>
          <w:p w14:paraId="15418CF9" w14:textId="77777777" w:rsidR="00CC5419" w:rsidRDefault="00CC5419" w:rsidP="005F054A">
            <w:pPr>
              <w:pStyle w:val="TAC"/>
            </w:pPr>
            <w:r>
              <w:t>NOTE 5</w:t>
            </w:r>
          </w:p>
        </w:tc>
      </w:tr>
      <w:tr w:rsidR="00CC5419" w14:paraId="0CB9F00F"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71250B0E" w14:textId="77777777" w:rsidR="00CC5419" w:rsidRDefault="00CC5419" w:rsidP="005F054A">
            <w:pPr>
              <w:pStyle w:val="TAC"/>
            </w:pPr>
            <w:r>
              <w:t>[TBD+</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hideMark/>
          </w:tcPr>
          <w:p w14:paraId="3526093B"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0F3CDAB4" w14:textId="77777777" w:rsidR="00CC5419" w:rsidRDefault="00CC5419" w:rsidP="005F054A">
            <w:pPr>
              <w:pStyle w:val="TAC"/>
            </w:pPr>
            <w:r>
              <w:rPr>
                <w:rFonts w:cs="Calibri"/>
              </w:rPr>
              <w:t>≥[</w:t>
            </w:r>
            <w:r>
              <w:t>32]</w:t>
            </w:r>
          </w:p>
        </w:tc>
        <w:tc>
          <w:tcPr>
            <w:tcW w:w="845" w:type="dxa"/>
            <w:tcBorders>
              <w:top w:val="single" w:sz="6" w:space="0" w:color="auto"/>
              <w:left w:val="single" w:sz="6" w:space="0" w:color="auto"/>
              <w:bottom w:val="nil"/>
              <w:right w:val="single" w:sz="6" w:space="0" w:color="auto"/>
            </w:tcBorders>
            <w:hideMark/>
          </w:tcPr>
          <w:p w14:paraId="2C9EDCB2" w14:textId="77777777" w:rsidR="00CC5419" w:rsidRDefault="00CC5419" w:rsidP="005F054A">
            <w:pPr>
              <w:pStyle w:val="TAC"/>
            </w:pPr>
            <w:r>
              <w:t>120</w:t>
            </w:r>
          </w:p>
        </w:tc>
        <w:tc>
          <w:tcPr>
            <w:tcW w:w="3258" w:type="dxa"/>
            <w:tcBorders>
              <w:top w:val="single" w:sz="4" w:space="0" w:color="auto"/>
              <w:left w:val="single" w:sz="4" w:space="0" w:color="auto"/>
              <w:bottom w:val="single" w:sz="4" w:space="0" w:color="auto"/>
              <w:right w:val="single" w:sz="4" w:space="0" w:color="auto"/>
            </w:tcBorders>
            <w:vAlign w:val="center"/>
            <w:hideMark/>
          </w:tcPr>
          <w:p w14:paraId="65856012" w14:textId="77777777" w:rsidR="00CC5419" w:rsidRDefault="00CC5419" w:rsidP="005F054A">
            <w:pPr>
              <w:pStyle w:val="TAC"/>
            </w:pPr>
            <w:r>
              <w:t>Same value as PRP in Table B.2.14-2, according to UE Power class, operating band and angle of arrival</w:t>
            </w:r>
          </w:p>
        </w:tc>
        <w:tc>
          <w:tcPr>
            <w:tcW w:w="1505" w:type="dxa"/>
            <w:tcBorders>
              <w:top w:val="single" w:sz="6" w:space="0" w:color="auto"/>
              <w:left w:val="single" w:sz="4" w:space="0" w:color="auto"/>
              <w:bottom w:val="single" w:sz="6" w:space="0" w:color="auto"/>
              <w:right w:val="single" w:sz="4" w:space="0" w:color="auto"/>
            </w:tcBorders>
            <w:hideMark/>
          </w:tcPr>
          <w:p w14:paraId="48C37059" w14:textId="77777777" w:rsidR="00CC5419" w:rsidRDefault="00CC5419" w:rsidP="005F054A">
            <w:pPr>
              <w:pStyle w:val="TAC"/>
            </w:pPr>
            <w:r>
              <w:t>-50</w:t>
            </w:r>
          </w:p>
        </w:tc>
      </w:tr>
      <w:tr w:rsidR="00CC5419" w14:paraId="0C5858B7"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543B2E3D" w14:textId="77777777" w:rsidR="00CC5419" w:rsidRDefault="00CC5419" w:rsidP="005F054A">
            <w:pPr>
              <w:pStyle w:val="TAC"/>
            </w:pPr>
            <w:r>
              <w:t>[TBD+</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7D69BC3D"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5C676772" w14:textId="77777777" w:rsidR="00CC5419" w:rsidRDefault="00CC5419" w:rsidP="005F054A">
            <w:pPr>
              <w:pStyle w:val="TAC"/>
            </w:pPr>
            <w:r>
              <w:rPr>
                <w:rFonts w:cs="Calibri"/>
              </w:rPr>
              <w:t>≥[</w:t>
            </w:r>
            <w:r>
              <w:t>64]</w:t>
            </w:r>
          </w:p>
        </w:tc>
        <w:tc>
          <w:tcPr>
            <w:tcW w:w="845" w:type="dxa"/>
            <w:tcBorders>
              <w:top w:val="nil"/>
              <w:left w:val="single" w:sz="6" w:space="0" w:color="auto"/>
              <w:bottom w:val="nil"/>
              <w:right w:val="single" w:sz="6" w:space="0" w:color="auto"/>
            </w:tcBorders>
          </w:tcPr>
          <w:p w14:paraId="05F860DA" w14:textId="77777777" w:rsidR="00CC5419" w:rsidRDefault="00CC5419" w:rsidP="005F054A">
            <w:pPr>
              <w:pStyle w:val="TAC"/>
            </w:pPr>
          </w:p>
        </w:tc>
        <w:tc>
          <w:tcPr>
            <w:tcW w:w="3258" w:type="dxa"/>
            <w:tcBorders>
              <w:top w:val="single" w:sz="4" w:space="0" w:color="auto"/>
              <w:left w:val="single" w:sz="4" w:space="0" w:color="auto"/>
              <w:bottom w:val="single" w:sz="4" w:space="0" w:color="auto"/>
              <w:right w:val="single" w:sz="4" w:space="0" w:color="auto"/>
            </w:tcBorders>
            <w:hideMark/>
          </w:tcPr>
          <w:p w14:paraId="24A835E8" w14:textId="77777777" w:rsidR="00CC5419" w:rsidRDefault="00CC5419" w:rsidP="005F054A">
            <w:pPr>
              <w:pStyle w:val="TAC"/>
            </w:pPr>
            <w:r>
              <w:t>NOTE 5</w:t>
            </w:r>
          </w:p>
        </w:tc>
        <w:tc>
          <w:tcPr>
            <w:tcW w:w="1505" w:type="dxa"/>
            <w:tcBorders>
              <w:top w:val="single" w:sz="6" w:space="0" w:color="auto"/>
              <w:left w:val="single" w:sz="4" w:space="0" w:color="auto"/>
              <w:bottom w:val="single" w:sz="6" w:space="0" w:color="auto"/>
              <w:right w:val="single" w:sz="4" w:space="0" w:color="auto"/>
            </w:tcBorders>
            <w:hideMark/>
          </w:tcPr>
          <w:p w14:paraId="6428CD49" w14:textId="77777777" w:rsidR="00CC5419" w:rsidRDefault="00CC5419" w:rsidP="005F054A">
            <w:pPr>
              <w:pStyle w:val="TAC"/>
            </w:pPr>
            <w:r>
              <w:t>NOTE 5</w:t>
            </w:r>
          </w:p>
        </w:tc>
      </w:tr>
      <w:tr w:rsidR="00CC5419" w14:paraId="4511B648" w14:textId="77777777" w:rsidTr="005F054A">
        <w:trPr>
          <w:jc w:val="center"/>
        </w:trPr>
        <w:tc>
          <w:tcPr>
            <w:tcW w:w="1133" w:type="dxa"/>
            <w:tcBorders>
              <w:top w:val="single" w:sz="6" w:space="0" w:color="auto"/>
              <w:left w:val="single" w:sz="4" w:space="0" w:color="auto"/>
              <w:bottom w:val="nil"/>
              <w:right w:val="single" w:sz="6" w:space="0" w:color="auto"/>
            </w:tcBorders>
            <w:hideMark/>
          </w:tcPr>
          <w:p w14:paraId="34502D3D" w14:textId="77777777" w:rsidR="00CC5419" w:rsidRDefault="00CC5419" w:rsidP="005F054A">
            <w:pPr>
              <w:pStyle w:val="TAC"/>
            </w:pPr>
            <w:r>
              <w:t>[TBD+</w:t>
            </w:r>
            <w:r>
              <w:sym w:font="Symbol" w:char="F064"/>
            </w:r>
            <w:r>
              <w:t>+</w:t>
            </w:r>
            <w:r>
              <w:rPr>
                <w:rFonts w:ascii="Cambria Math" w:hAnsi="Cambria Math"/>
                <w:color w:val="0070C0"/>
              </w:rPr>
              <w:t>ℇ</w:t>
            </w:r>
            <w:r>
              <w:t>]</w:t>
            </w:r>
          </w:p>
        </w:tc>
        <w:tc>
          <w:tcPr>
            <w:tcW w:w="851" w:type="dxa"/>
            <w:tcBorders>
              <w:top w:val="nil"/>
              <w:left w:val="single" w:sz="6" w:space="0" w:color="auto"/>
              <w:bottom w:val="nil"/>
              <w:right w:val="single" w:sz="6" w:space="0" w:color="auto"/>
            </w:tcBorders>
            <w:vAlign w:val="center"/>
          </w:tcPr>
          <w:p w14:paraId="02E43EF4" w14:textId="77777777" w:rsidR="00CC5419" w:rsidRDefault="00CC5419" w:rsidP="005F054A">
            <w:pPr>
              <w:pStyle w:val="TAC"/>
              <w:rPr>
                <w:lang w:val="sv-SE"/>
              </w:rPr>
            </w:pPr>
          </w:p>
        </w:tc>
        <w:tc>
          <w:tcPr>
            <w:tcW w:w="1133" w:type="dxa"/>
            <w:tcBorders>
              <w:top w:val="single" w:sz="6" w:space="0" w:color="auto"/>
              <w:left w:val="single" w:sz="6" w:space="0" w:color="auto"/>
              <w:bottom w:val="nil"/>
              <w:right w:val="single" w:sz="6" w:space="0" w:color="auto"/>
            </w:tcBorders>
            <w:hideMark/>
          </w:tcPr>
          <w:p w14:paraId="094FB630" w14:textId="77777777" w:rsidR="00CC5419" w:rsidRDefault="00CC5419" w:rsidP="005F054A">
            <w:pPr>
              <w:pStyle w:val="TAC"/>
            </w:pPr>
            <w:r>
              <w:rPr>
                <w:rFonts w:cs="Calibri"/>
              </w:rPr>
              <w:t>≥[</w:t>
            </w:r>
            <w:r>
              <w:t>128]</w:t>
            </w:r>
          </w:p>
        </w:tc>
        <w:tc>
          <w:tcPr>
            <w:tcW w:w="845" w:type="dxa"/>
            <w:tcBorders>
              <w:top w:val="nil"/>
              <w:left w:val="single" w:sz="6" w:space="0" w:color="auto"/>
              <w:bottom w:val="nil"/>
              <w:right w:val="single" w:sz="6" w:space="0" w:color="auto"/>
            </w:tcBorders>
          </w:tcPr>
          <w:p w14:paraId="520D14F9" w14:textId="77777777" w:rsidR="00CC5419" w:rsidRDefault="00CC5419" w:rsidP="005F054A">
            <w:pPr>
              <w:pStyle w:val="TAC"/>
            </w:pPr>
          </w:p>
        </w:tc>
        <w:tc>
          <w:tcPr>
            <w:tcW w:w="3258" w:type="dxa"/>
            <w:tcBorders>
              <w:top w:val="single" w:sz="4" w:space="0" w:color="auto"/>
              <w:left w:val="single" w:sz="4" w:space="0" w:color="auto"/>
              <w:bottom w:val="single" w:sz="4" w:space="0" w:color="auto"/>
              <w:right w:val="single" w:sz="4" w:space="0" w:color="auto"/>
            </w:tcBorders>
            <w:hideMark/>
          </w:tcPr>
          <w:p w14:paraId="5AEA7481" w14:textId="77777777" w:rsidR="00CC5419" w:rsidRDefault="00CC5419" w:rsidP="005F054A">
            <w:pPr>
              <w:pStyle w:val="TAC"/>
            </w:pPr>
            <w:r>
              <w:t>NOTE 5</w:t>
            </w:r>
          </w:p>
        </w:tc>
        <w:tc>
          <w:tcPr>
            <w:tcW w:w="1505" w:type="dxa"/>
            <w:tcBorders>
              <w:top w:val="single" w:sz="6" w:space="0" w:color="auto"/>
              <w:left w:val="single" w:sz="4" w:space="0" w:color="auto"/>
              <w:bottom w:val="single" w:sz="6" w:space="0" w:color="auto"/>
              <w:right w:val="single" w:sz="4" w:space="0" w:color="auto"/>
            </w:tcBorders>
            <w:hideMark/>
          </w:tcPr>
          <w:p w14:paraId="6F846488" w14:textId="77777777" w:rsidR="00CC5419" w:rsidRDefault="00CC5419" w:rsidP="005F054A">
            <w:pPr>
              <w:pStyle w:val="TAC"/>
            </w:pPr>
            <w:r>
              <w:t>NOTE 5</w:t>
            </w:r>
          </w:p>
        </w:tc>
      </w:tr>
      <w:tr w:rsidR="00CC5419" w14:paraId="33A17BEE" w14:textId="77777777" w:rsidTr="005F054A">
        <w:trPr>
          <w:jc w:val="center"/>
        </w:trPr>
        <w:tc>
          <w:tcPr>
            <w:tcW w:w="8725" w:type="dxa"/>
            <w:gridSpan w:val="6"/>
            <w:tcBorders>
              <w:top w:val="single" w:sz="6" w:space="0" w:color="auto"/>
              <w:left w:val="single" w:sz="4" w:space="0" w:color="auto"/>
              <w:bottom w:val="single" w:sz="4" w:space="0" w:color="auto"/>
              <w:right w:val="single" w:sz="4" w:space="0" w:color="auto"/>
            </w:tcBorders>
            <w:hideMark/>
          </w:tcPr>
          <w:p w14:paraId="538AD22E" w14:textId="77777777" w:rsidR="00CC5419" w:rsidRDefault="00CC5419" w:rsidP="005F054A">
            <w:pPr>
              <w:pStyle w:val="TAN"/>
            </w:pPr>
            <w:r>
              <w:t>NOTE 1:</w:t>
            </w:r>
            <w:r>
              <w:tab/>
              <w:t>This minimum Io condition is expressed as the average Io per RE over all REs in an OFDM symbol.</w:t>
            </w:r>
          </w:p>
          <w:p w14:paraId="0FAE0961" w14:textId="77777777" w:rsidR="00CC5419" w:rsidRDefault="00CC5419" w:rsidP="005F054A">
            <w:pPr>
              <w:pStyle w:val="TAN"/>
            </w:pPr>
            <w:r>
              <w:t>NOTE 2:</w:t>
            </w:r>
            <w:r>
              <w:tab/>
              <w:t>NR operating band groups are as defined in Section 3.5.</w:t>
            </w:r>
          </w:p>
          <w:p w14:paraId="22AA7979" w14:textId="77777777" w:rsidR="00CC5419" w:rsidRDefault="00CC5419" w:rsidP="005F054A">
            <w:pPr>
              <w:pStyle w:val="TAN"/>
            </w:pPr>
            <w:r>
              <w:t>NOTE 3:</w:t>
            </w:r>
            <w:r>
              <w:tab/>
              <w:t>The Io is defined in TRS slots. The same Io range applies to TRS and non-TRS symbols. Io levels are different in TRS and non-TRS symbols within the same slot.</w:t>
            </w:r>
          </w:p>
          <w:p w14:paraId="0102E962" w14:textId="77777777" w:rsidR="00CC5419" w:rsidRDefault="00CC5419" w:rsidP="005F054A">
            <w:pPr>
              <w:pStyle w:val="TAN"/>
            </w:pPr>
            <w:r>
              <w:t>NOTE 4:</w:t>
            </w:r>
            <w:r>
              <w:tab/>
              <w:t>Tc is the basic timing unit defined in TS 38.211 [6].</w:t>
            </w:r>
          </w:p>
          <w:p w14:paraId="67C00095" w14:textId="77777777" w:rsidR="00CC5419" w:rsidRDefault="00CC5419" w:rsidP="005F054A">
            <w:pPr>
              <w:pStyle w:val="TAN"/>
              <w:rPr>
                <w:rFonts w:eastAsia="SimSun"/>
              </w:rPr>
            </w:pPr>
            <w:r>
              <w:rPr>
                <w:rFonts w:eastAsia="SimSun"/>
              </w:rPr>
              <w:t>NOTE 5</w:t>
            </w:r>
            <w:r w:rsidRPr="00160B79">
              <w:rPr>
                <w:rFonts w:eastAsia="SimSun"/>
              </w:rPr>
              <w:t>:</w:t>
            </w:r>
            <w:r w:rsidRPr="00160B79">
              <w:rPr>
                <w:rFonts w:eastAsia="SimSun"/>
              </w:rPr>
              <w:tab/>
              <w:t xml:space="preserve">The same bands and the same Io conditions for each band apply for this requirement as for the corresponding requirement with the </w:t>
            </w:r>
            <w:r>
              <w:rPr>
                <w:rFonts w:eastAsia="SimSun"/>
              </w:rPr>
              <w:t>TRS</w:t>
            </w:r>
            <w:r w:rsidRPr="00160B79">
              <w:rPr>
                <w:rFonts w:eastAsia="SimSun"/>
              </w:rPr>
              <w:t xml:space="preserve"> bandwidth of the smallest RB number for the corresponding SCS.</w:t>
            </w:r>
          </w:p>
          <w:p w14:paraId="4BE345DF" w14:textId="4D1261C3" w:rsidR="00CC5419" w:rsidRDefault="00CC5419" w:rsidP="005F054A">
            <w:pPr>
              <w:pStyle w:val="TAN"/>
              <w:rPr>
                <w:rFonts w:eastAsia="SimSun" w:cs="Arial"/>
                <w:szCs w:val="18"/>
                <w:lang w:eastAsia="ko-KR"/>
              </w:rPr>
            </w:pPr>
            <w:r>
              <w:rPr>
                <w:rFonts w:eastAsia="SimSun"/>
                <w:lang w:eastAsia="ko-KR"/>
              </w:rPr>
              <w:t>NOTE 6:</w:t>
            </w:r>
            <w:r>
              <w:rPr>
                <w:rFonts w:eastAsia="SimSun"/>
                <w:lang w:eastAsia="ko-KR"/>
              </w:rPr>
              <w:tab/>
            </w:r>
            <w:r>
              <w:rPr>
                <w:rFonts w:eastAsia="SimSun" w:cs="Arial"/>
                <w:szCs w:val="18"/>
                <w:lang w:eastAsia="ko-KR"/>
              </w:rPr>
              <w:sym w:font="Symbol" w:char="F064"/>
            </w:r>
            <w:r>
              <w:rPr>
                <w:rFonts w:eastAsia="SimSun" w:cs="Arial"/>
                <w:szCs w:val="18"/>
                <w:lang w:eastAsia="ko-KR"/>
              </w:rPr>
              <w:t xml:space="preserve"> is the margin determined from Table 10.1.40.2-4.</w:t>
            </w:r>
          </w:p>
          <w:p w14:paraId="68FC56F9" w14:textId="00C628A8" w:rsidR="00CC5419" w:rsidRPr="00301B77" w:rsidRDefault="00CC5419" w:rsidP="005F054A">
            <w:pPr>
              <w:pStyle w:val="TAN"/>
            </w:pPr>
            <w:r>
              <w:rPr>
                <w:rFonts w:eastAsia="SimSun" w:cs="Arial"/>
                <w:szCs w:val="18"/>
                <w:lang w:eastAsia="ko-KR"/>
              </w:rPr>
              <w:t>NOTE 7</w:t>
            </w:r>
            <w:r w:rsidRPr="00E7602D">
              <w:rPr>
                <w:rFonts w:eastAsia="SimSun" w:cs="Arial"/>
                <w:szCs w:val="18"/>
                <w:lang w:eastAsia="ko-KR"/>
              </w:rPr>
              <w:t>:</w:t>
            </w:r>
            <w:r w:rsidRPr="00E7602D">
              <w:rPr>
                <w:rFonts w:eastAsia="SimSun" w:cs="Arial"/>
                <w:szCs w:val="18"/>
                <w:lang w:eastAsia="ko-KR"/>
              </w:rPr>
              <w:tab/>
            </w:r>
            <w:r w:rsidRPr="00E7602D">
              <w:rPr>
                <w:rFonts w:ascii="Cambria Math" w:eastAsia="SimSun" w:hAnsi="Cambria Math" w:cs="Cambria Math"/>
                <w:szCs w:val="18"/>
                <w:lang w:eastAsia="ko-KR"/>
              </w:rPr>
              <w:t>ℇ</w:t>
            </w:r>
            <w:r w:rsidRPr="00E7602D">
              <w:rPr>
                <w:rFonts w:eastAsia="SimSun" w:cs="Arial"/>
                <w:szCs w:val="18"/>
                <w:lang w:eastAsia="ko-KR"/>
              </w:rPr>
              <w:t xml:space="preserve"> is the margin for reporting quantitization error and </w:t>
            </w:r>
            <w:r w:rsidRPr="00E7602D">
              <w:rPr>
                <w:rFonts w:ascii="Cambria Math" w:eastAsia="SimSun" w:hAnsi="Cambria Math" w:cs="Cambria Math"/>
                <w:szCs w:val="18"/>
                <w:lang w:eastAsia="ko-KR"/>
              </w:rPr>
              <w:t>ℇ</w:t>
            </w:r>
            <w:r w:rsidRPr="00E7602D">
              <w:rPr>
                <w:rFonts w:eastAsia="SimSun" w:cs="Arial"/>
                <w:szCs w:val="18"/>
                <w:lang w:eastAsia="ko-KR"/>
              </w:rPr>
              <w:t>=16 Tc.</w:t>
            </w:r>
          </w:p>
        </w:tc>
      </w:tr>
    </w:tbl>
    <w:p w14:paraId="551C1B66" w14:textId="77777777" w:rsidR="00CC5419" w:rsidRPr="007B605E" w:rsidRDefault="00CC5419" w:rsidP="00CC5419"/>
    <w:p w14:paraId="3253EBE7" w14:textId="77777777" w:rsidR="00CC5419" w:rsidRDefault="00CC5419" w:rsidP="00CC5419">
      <w:pPr>
        <w:spacing w:after="120"/>
        <w:jc w:val="center"/>
        <w:rPr>
          <w:rFonts w:eastAsia="SimSun"/>
          <w:lang w:eastAsia="sv-SE"/>
        </w:rPr>
      </w:pPr>
      <w:r>
        <w:rPr>
          <w:rFonts w:ascii="Arial" w:hAnsi="Arial" w:cs="Arial"/>
          <w:b/>
          <w:lang w:val="en-US"/>
        </w:rPr>
        <w:t>Table 10.1.40.2-3: Margin for UE Rx-Tx time difference measurement accuracy in FR1</w:t>
      </w:r>
    </w:p>
    <w:tbl>
      <w:tblPr>
        <w:tblStyle w:val="TableGrid61"/>
        <w:tblW w:w="0" w:type="auto"/>
        <w:jc w:val="center"/>
        <w:tblInd w:w="0" w:type="dxa"/>
        <w:tblLook w:val="04A0" w:firstRow="1" w:lastRow="0" w:firstColumn="1" w:lastColumn="0" w:noHBand="0" w:noVBand="1"/>
      </w:tblPr>
      <w:tblGrid>
        <w:gridCol w:w="1470"/>
        <w:gridCol w:w="1470"/>
        <w:gridCol w:w="1470"/>
        <w:gridCol w:w="1800"/>
      </w:tblGrid>
      <w:tr w:rsidR="00CC5419" w14:paraId="7AB1CCD9" w14:textId="77777777" w:rsidTr="005F054A">
        <w:trPr>
          <w:trHeight w:val="263"/>
          <w:jc w:val="center"/>
        </w:trPr>
        <w:tc>
          <w:tcPr>
            <w:tcW w:w="4410" w:type="dxa"/>
            <w:gridSpan w:val="3"/>
            <w:tcBorders>
              <w:top w:val="single" w:sz="4" w:space="0" w:color="auto"/>
              <w:left w:val="single" w:sz="4" w:space="0" w:color="auto"/>
              <w:bottom w:val="single" w:sz="4" w:space="0" w:color="auto"/>
              <w:right w:val="single" w:sz="4" w:space="0" w:color="auto"/>
            </w:tcBorders>
            <w:vAlign w:val="center"/>
            <w:hideMark/>
          </w:tcPr>
          <w:p w14:paraId="588DBA35" w14:textId="77777777" w:rsidR="00CC5419" w:rsidRPr="00334483" w:rsidRDefault="00CC5419" w:rsidP="005F054A">
            <w:pPr>
              <w:pStyle w:val="TAH"/>
              <w:rPr>
                <w:rFonts w:eastAsiaTheme="minorEastAsia"/>
                <w:lang w:val="da-DK" w:eastAsia="zh-CN"/>
              </w:rPr>
            </w:pPr>
            <w:r w:rsidRPr="00334483">
              <w:rPr>
                <w:lang w:val="da-DK"/>
              </w:rPr>
              <w:t>Min(PRS BW, SRS BW) (RB)</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502D736C" w14:textId="77777777" w:rsidR="00CC5419" w:rsidRDefault="00CC5419" w:rsidP="005F054A">
            <w:pPr>
              <w:pStyle w:val="TAH"/>
              <w:rPr>
                <w:rFonts w:eastAsia="Yu Mincho"/>
              </w:rPr>
            </w:pPr>
            <w:r>
              <w:rPr>
                <w:rFonts w:eastAsia="Yu Mincho"/>
                <w:kern w:val="24"/>
              </w:rPr>
              <w:t>Margin (Tc</w:t>
            </w:r>
            <w:r>
              <w:rPr>
                <w:rFonts w:eastAsia="SimSun"/>
                <w:vertAlign w:val="superscript"/>
                <w:lang w:eastAsia="zh-CN"/>
              </w:rPr>
              <w:t xml:space="preserve"> Note 1</w:t>
            </w:r>
            <w:r>
              <w:rPr>
                <w:rFonts w:eastAsia="Yu Mincho"/>
                <w:kern w:val="24"/>
              </w:rPr>
              <w:t>)</w:t>
            </w:r>
          </w:p>
        </w:tc>
      </w:tr>
      <w:tr w:rsidR="00CC5419" w14:paraId="22D09DE6" w14:textId="77777777" w:rsidTr="005F054A">
        <w:trPr>
          <w:trHeight w:val="262"/>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120CA023" w14:textId="77777777" w:rsidR="00CC5419" w:rsidRDefault="00CC5419" w:rsidP="005F054A">
            <w:pPr>
              <w:pStyle w:val="TAH"/>
            </w:pPr>
            <w:r>
              <w:t>SCS = 15 kHz</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9682992" w14:textId="77777777" w:rsidR="00CC5419" w:rsidRDefault="00CC5419" w:rsidP="005F054A">
            <w:pPr>
              <w:pStyle w:val="TAH"/>
            </w:pPr>
            <w:r>
              <w:t>SCS = 30 kHz</w:t>
            </w:r>
          </w:p>
        </w:tc>
        <w:tc>
          <w:tcPr>
            <w:tcW w:w="1470" w:type="dxa"/>
            <w:tcBorders>
              <w:top w:val="single" w:sz="4" w:space="0" w:color="auto"/>
              <w:left w:val="single" w:sz="4" w:space="0" w:color="auto"/>
              <w:bottom w:val="single" w:sz="4" w:space="0" w:color="auto"/>
              <w:right w:val="single" w:sz="4" w:space="0" w:color="auto"/>
            </w:tcBorders>
            <w:vAlign w:val="center"/>
            <w:hideMark/>
          </w:tcPr>
          <w:p w14:paraId="7C0F8B1F" w14:textId="77777777" w:rsidR="00CC5419" w:rsidRDefault="00CC5419" w:rsidP="005F054A">
            <w:pPr>
              <w:pStyle w:val="TAH"/>
            </w:pPr>
            <w:r>
              <w:t>SCS = 60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59103B" w14:textId="77777777" w:rsidR="00CC5419" w:rsidRDefault="00CC5419" w:rsidP="005F054A">
            <w:pPr>
              <w:spacing w:after="0"/>
              <w:rPr>
                <w:rFonts w:eastAsia="Yu Mincho"/>
                <w:b/>
                <w:bCs/>
              </w:rPr>
            </w:pPr>
          </w:p>
        </w:tc>
      </w:tr>
      <w:tr w:rsidR="00CC5419" w14:paraId="6A22984F"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38463AC6" w14:textId="77777777" w:rsidR="00CC5419" w:rsidRDefault="00CC5419" w:rsidP="005F054A">
            <w:pPr>
              <w:pStyle w:val="TAC"/>
              <w:rPr>
                <w:rFonts w:eastAsia="Yu Mincho"/>
                <w:b/>
                <w:bCs/>
              </w:rPr>
            </w:pPr>
            <w:r>
              <w:t>≥ 24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79499CF0" w14:textId="77777777" w:rsidR="00CC5419" w:rsidRDefault="00CC5419" w:rsidP="005F054A">
            <w:pPr>
              <w:pStyle w:val="TAC"/>
              <w:rPr>
                <w:rFonts w:eastAsia="Yu Mincho"/>
              </w:rPr>
            </w:pPr>
            <w:r>
              <w:rPr>
                <w:rFonts w:eastAsia="Yu Mincho"/>
              </w:rP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18168951" w14:textId="77777777" w:rsidR="00CC5419" w:rsidRDefault="00CC5419" w:rsidP="005F054A">
            <w:pPr>
              <w:pStyle w:val="TAC"/>
              <w:rPr>
                <w:rFonts w:eastAsia="Yu Mincho"/>
              </w:rPr>
            </w:pPr>
            <w:r>
              <w:rPr>
                <w:rFonts w:eastAsia="Yu Mincho"/>
              </w:rPr>
              <w:t>N/A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39EB215" w14:textId="77777777" w:rsidR="00CC5419" w:rsidRDefault="00CC5419" w:rsidP="005F054A">
            <w:pPr>
              <w:pStyle w:val="TAC"/>
              <w:rPr>
                <w:rFonts w:eastAsia="Yu Mincho"/>
                <w:b/>
                <w:bCs/>
              </w:rPr>
            </w:pPr>
            <w:r>
              <w:rPr>
                <w:rFonts w:eastAsia="Yu Mincho"/>
              </w:rPr>
              <w:t>[160]</w:t>
            </w:r>
          </w:p>
        </w:tc>
      </w:tr>
      <w:tr w:rsidR="00CC5419" w14:paraId="77FD1F85"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4C39EFE1" w14:textId="77777777" w:rsidR="00CC5419" w:rsidRDefault="00CC5419" w:rsidP="005F054A">
            <w:pPr>
              <w:pStyle w:val="TAC"/>
              <w:rPr>
                <w:rFonts w:eastAsia="Yu Mincho"/>
                <w:b/>
                <w:bCs/>
              </w:rPr>
            </w:pPr>
            <w:r>
              <w:t xml:space="preserve">≥ </w:t>
            </w:r>
            <w:r>
              <w:rPr>
                <w:rFonts w:eastAsia="Yu Mincho"/>
              </w:rPr>
              <w:t>52</w:t>
            </w:r>
          </w:p>
        </w:tc>
        <w:tc>
          <w:tcPr>
            <w:tcW w:w="1470" w:type="dxa"/>
            <w:tcBorders>
              <w:top w:val="single" w:sz="4" w:space="0" w:color="auto"/>
              <w:left w:val="single" w:sz="4" w:space="0" w:color="auto"/>
              <w:bottom w:val="single" w:sz="4" w:space="0" w:color="auto"/>
              <w:right w:val="single" w:sz="4" w:space="0" w:color="auto"/>
            </w:tcBorders>
            <w:vAlign w:val="center"/>
            <w:hideMark/>
          </w:tcPr>
          <w:p w14:paraId="65B47B21" w14:textId="77777777" w:rsidR="00CC5419" w:rsidRDefault="00CC5419" w:rsidP="005F054A">
            <w:pPr>
              <w:pStyle w:val="TAC"/>
              <w:rPr>
                <w:rFonts w:eastAsia="Yu Mincho"/>
                <w:b/>
                <w:bCs/>
              </w:rPr>
            </w:pPr>
            <w:r>
              <w:t>≥ 24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57E48C82" w14:textId="77777777" w:rsidR="00CC5419" w:rsidRDefault="00CC5419" w:rsidP="005F054A">
            <w:pPr>
              <w:pStyle w:val="TAC"/>
              <w:rPr>
                <w:rFonts w:eastAsia="Yu Mincho"/>
              </w:rPr>
            </w:pPr>
            <w:r>
              <w:rPr>
                <w:rFonts w:eastAsia="Yu Mincho"/>
              </w:rPr>
              <w:t>N/A</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5EF4A2A" w14:textId="77777777" w:rsidR="00CC5419" w:rsidRDefault="00CC5419" w:rsidP="005F054A">
            <w:pPr>
              <w:pStyle w:val="TAC"/>
              <w:rPr>
                <w:rFonts w:eastAsia="Yu Mincho"/>
                <w:b/>
                <w:bCs/>
              </w:rPr>
            </w:pPr>
            <w:r>
              <w:rPr>
                <w:rFonts w:eastAsia="Yu Mincho"/>
              </w:rPr>
              <w:t>[80]</w:t>
            </w:r>
          </w:p>
        </w:tc>
      </w:tr>
      <w:tr w:rsidR="00CC5419" w14:paraId="2BF63E39"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44AF31AB" w14:textId="77777777" w:rsidR="00CC5419" w:rsidRDefault="00CC5419" w:rsidP="005F054A">
            <w:pPr>
              <w:pStyle w:val="TAC"/>
              <w:rPr>
                <w:rFonts w:eastAsia="Yu Mincho"/>
                <w:b/>
                <w:bCs/>
              </w:rPr>
            </w:pPr>
            <w:r>
              <w:t xml:space="preserve">≥ </w:t>
            </w:r>
            <w:r>
              <w:rPr>
                <w:rFonts w:eastAsia="Yu Mincho"/>
              </w:rPr>
              <w:t>104</w:t>
            </w:r>
          </w:p>
        </w:tc>
        <w:tc>
          <w:tcPr>
            <w:tcW w:w="1470" w:type="dxa"/>
            <w:tcBorders>
              <w:top w:val="single" w:sz="4" w:space="0" w:color="auto"/>
              <w:left w:val="single" w:sz="4" w:space="0" w:color="auto"/>
              <w:bottom w:val="single" w:sz="4" w:space="0" w:color="auto"/>
              <w:right w:val="single" w:sz="4" w:space="0" w:color="auto"/>
            </w:tcBorders>
            <w:vAlign w:val="center"/>
            <w:hideMark/>
          </w:tcPr>
          <w:p w14:paraId="10114CCF" w14:textId="77777777" w:rsidR="00CC5419" w:rsidRDefault="00CC5419" w:rsidP="005F054A">
            <w:pPr>
              <w:pStyle w:val="TAC"/>
              <w:rPr>
                <w:rFonts w:eastAsia="Yu Mincho"/>
                <w:b/>
                <w:bCs/>
              </w:rPr>
            </w:pPr>
            <w:r>
              <w:t xml:space="preserve">≥ </w:t>
            </w:r>
            <w:r>
              <w:rPr>
                <w:rFonts w:eastAsia="Yu Mincho"/>
              </w:rPr>
              <w:t>48</w:t>
            </w:r>
          </w:p>
        </w:tc>
        <w:tc>
          <w:tcPr>
            <w:tcW w:w="1470" w:type="dxa"/>
            <w:tcBorders>
              <w:top w:val="single" w:sz="4" w:space="0" w:color="auto"/>
              <w:left w:val="single" w:sz="4" w:space="0" w:color="auto"/>
              <w:bottom w:val="single" w:sz="4" w:space="0" w:color="auto"/>
              <w:right w:val="single" w:sz="4" w:space="0" w:color="auto"/>
            </w:tcBorders>
            <w:vAlign w:val="center"/>
            <w:hideMark/>
          </w:tcPr>
          <w:p w14:paraId="02BC52F5" w14:textId="77777777" w:rsidR="00CC5419" w:rsidRDefault="00CC5419" w:rsidP="005F054A">
            <w:pPr>
              <w:pStyle w:val="TAC"/>
              <w:rPr>
                <w:rFonts w:eastAsia="Yu Mincho"/>
                <w:b/>
                <w:bCs/>
              </w:rPr>
            </w:pPr>
            <w:r>
              <w:t>≥ 24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DC7257F" w14:textId="77777777" w:rsidR="00CC5419" w:rsidRDefault="00CC5419" w:rsidP="005F054A">
            <w:pPr>
              <w:pStyle w:val="TAC"/>
              <w:rPr>
                <w:rFonts w:eastAsia="Yu Mincho"/>
                <w:b/>
                <w:bCs/>
              </w:rPr>
            </w:pPr>
            <w:r>
              <w:rPr>
                <w:rFonts w:eastAsia="Yu Mincho"/>
              </w:rPr>
              <w:t>[56]</w:t>
            </w:r>
          </w:p>
        </w:tc>
      </w:tr>
      <w:tr w:rsidR="00CC5419" w14:paraId="717E3FB8"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20BDED52" w14:textId="77777777" w:rsidR="00CC5419" w:rsidRDefault="00CC5419" w:rsidP="005F054A">
            <w:pPr>
              <w:pStyle w:val="TAC"/>
              <w:rPr>
                <w:rFonts w:eastAsia="Yu Mincho"/>
                <w:b/>
                <w:bCs/>
              </w:rPr>
            </w:pPr>
            <w: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314629BF" w14:textId="77777777" w:rsidR="00CC5419" w:rsidRDefault="00CC5419" w:rsidP="005F054A">
            <w:pPr>
              <w:pStyle w:val="TAC"/>
              <w:rPr>
                <w:rFonts w:eastAsia="Yu Mincho"/>
                <w:b/>
                <w:bCs/>
              </w:rPr>
            </w:pPr>
            <w:r>
              <w:t xml:space="preserve">≥ </w:t>
            </w:r>
            <w:r>
              <w:rPr>
                <w:rFonts w:eastAsia="Yu Mincho"/>
              </w:rPr>
              <w:t>132</w:t>
            </w:r>
          </w:p>
        </w:tc>
        <w:tc>
          <w:tcPr>
            <w:tcW w:w="1470" w:type="dxa"/>
            <w:tcBorders>
              <w:top w:val="single" w:sz="4" w:space="0" w:color="auto"/>
              <w:left w:val="single" w:sz="4" w:space="0" w:color="auto"/>
              <w:bottom w:val="single" w:sz="4" w:space="0" w:color="auto"/>
              <w:right w:val="single" w:sz="4" w:space="0" w:color="auto"/>
            </w:tcBorders>
            <w:vAlign w:val="center"/>
            <w:hideMark/>
          </w:tcPr>
          <w:p w14:paraId="6BBC5EBF" w14:textId="77777777" w:rsidR="00CC5419" w:rsidRDefault="00CC5419" w:rsidP="005F054A">
            <w:pPr>
              <w:pStyle w:val="TAC"/>
              <w:rPr>
                <w:rFonts w:eastAsia="Yu Mincho"/>
                <w:b/>
                <w:bCs/>
              </w:rPr>
            </w:pPr>
            <w:r>
              <w:t>≥ 6</w:t>
            </w:r>
            <w:r>
              <w:rPr>
                <w:rFonts w:eastAsia="Yu Mincho"/>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48BC7D7" w14:textId="77777777" w:rsidR="00CC5419" w:rsidRDefault="00CC5419" w:rsidP="005F054A">
            <w:pPr>
              <w:pStyle w:val="TAC"/>
              <w:rPr>
                <w:rFonts w:eastAsia="Yu Mincho"/>
                <w:b/>
                <w:bCs/>
              </w:rPr>
            </w:pPr>
            <w:r>
              <w:rPr>
                <w:rFonts w:eastAsia="Yu Mincho"/>
              </w:rPr>
              <w:t>[24]</w:t>
            </w:r>
          </w:p>
        </w:tc>
      </w:tr>
      <w:tr w:rsidR="00CC5419" w14:paraId="0E4BCB89" w14:textId="77777777" w:rsidTr="005F054A">
        <w:trPr>
          <w:trHeight w:val="46"/>
          <w:jc w:val="center"/>
        </w:trPr>
        <w:tc>
          <w:tcPr>
            <w:tcW w:w="1470" w:type="dxa"/>
            <w:tcBorders>
              <w:top w:val="single" w:sz="4" w:space="0" w:color="auto"/>
              <w:left w:val="single" w:sz="4" w:space="0" w:color="auto"/>
              <w:bottom w:val="single" w:sz="4" w:space="0" w:color="auto"/>
              <w:right w:val="single" w:sz="4" w:space="0" w:color="auto"/>
            </w:tcBorders>
            <w:vAlign w:val="center"/>
            <w:hideMark/>
          </w:tcPr>
          <w:p w14:paraId="135F7407" w14:textId="77777777" w:rsidR="00CC5419" w:rsidRDefault="00CC5419" w:rsidP="005F054A">
            <w:pPr>
              <w:pStyle w:val="TAC"/>
            </w:pPr>
            <w: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4FF2DF86" w14:textId="77777777" w:rsidR="00CC5419" w:rsidRDefault="00CC5419" w:rsidP="005F054A">
            <w:pPr>
              <w:pStyle w:val="TAC"/>
            </w:pPr>
            <w:r>
              <w:t>N/A</w:t>
            </w:r>
          </w:p>
        </w:tc>
        <w:tc>
          <w:tcPr>
            <w:tcW w:w="1470" w:type="dxa"/>
            <w:tcBorders>
              <w:top w:val="single" w:sz="4" w:space="0" w:color="auto"/>
              <w:left w:val="single" w:sz="4" w:space="0" w:color="auto"/>
              <w:bottom w:val="single" w:sz="4" w:space="0" w:color="auto"/>
              <w:right w:val="single" w:sz="4" w:space="0" w:color="auto"/>
            </w:tcBorders>
            <w:vAlign w:val="center"/>
            <w:hideMark/>
          </w:tcPr>
          <w:p w14:paraId="3375ED40" w14:textId="77777777" w:rsidR="00CC5419" w:rsidRDefault="00CC5419" w:rsidP="005F054A">
            <w:pPr>
              <w:pStyle w:val="TAC"/>
            </w:pPr>
            <w:r>
              <w:t xml:space="preserve">≥ </w:t>
            </w:r>
            <w:r>
              <w:rPr>
                <w:rFonts w:eastAsia="Yu Mincho"/>
              </w:rPr>
              <w:t>132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E1B745C" w14:textId="77777777" w:rsidR="00CC5419" w:rsidRDefault="00CC5419" w:rsidP="005F054A">
            <w:pPr>
              <w:pStyle w:val="TAC"/>
              <w:rPr>
                <w:rFonts w:eastAsia="Yu Mincho"/>
              </w:rPr>
            </w:pPr>
            <w:r>
              <w:rPr>
                <w:rFonts w:eastAsia="Yu Mincho"/>
              </w:rPr>
              <w:t>[24]</w:t>
            </w:r>
          </w:p>
        </w:tc>
      </w:tr>
      <w:tr w:rsidR="00CC5419" w14:paraId="6D8B5377" w14:textId="77777777" w:rsidTr="005F054A">
        <w:trPr>
          <w:trHeight w:val="46"/>
          <w:jc w:val="center"/>
        </w:trPr>
        <w:tc>
          <w:tcPr>
            <w:tcW w:w="6210" w:type="dxa"/>
            <w:gridSpan w:val="4"/>
            <w:tcBorders>
              <w:top w:val="single" w:sz="4" w:space="0" w:color="auto"/>
              <w:left w:val="single" w:sz="4" w:space="0" w:color="auto"/>
              <w:bottom w:val="single" w:sz="4" w:space="0" w:color="auto"/>
              <w:right w:val="single" w:sz="4" w:space="0" w:color="auto"/>
            </w:tcBorders>
            <w:hideMark/>
          </w:tcPr>
          <w:p w14:paraId="0CCBFFA5" w14:textId="77777777" w:rsidR="00CC5419" w:rsidRDefault="00CC5419" w:rsidP="005F054A">
            <w:pPr>
              <w:pStyle w:val="TAN"/>
              <w:rPr>
                <w:lang w:eastAsia="ko-KR"/>
              </w:rPr>
            </w:pPr>
            <w:r>
              <w:rPr>
                <w:lang w:eastAsia="ko-KR"/>
              </w:rPr>
              <w:t>N</w:t>
            </w:r>
            <w:r>
              <w:rPr>
                <w:lang w:eastAsia="zh-CN"/>
              </w:rPr>
              <w:t>OTE</w:t>
            </w:r>
            <w:r>
              <w:rPr>
                <w:lang w:eastAsia="ko-KR"/>
              </w:rPr>
              <w:t xml:space="preserve"> 1:</w:t>
            </w:r>
            <w:r>
              <w:rPr>
                <w:lang w:eastAsia="ko-KR"/>
              </w:rPr>
              <w:tab/>
              <w:t>Tc is the basic timing unit defined in TS 38.211 [6].</w:t>
            </w:r>
          </w:p>
          <w:p w14:paraId="091B0B40" w14:textId="77777777" w:rsidR="00CC5419" w:rsidRDefault="00CC5419" w:rsidP="005F054A">
            <w:pPr>
              <w:pStyle w:val="TAN"/>
              <w:rPr>
                <w:rFonts w:eastAsia="Yu Mincho"/>
                <w:kern w:val="24"/>
              </w:rPr>
            </w:pPr>
            <w:r>
              <w:t>NOTE 2:</w:t>
            </w:r>
            <w:r>
              <w:rPr>
                <w:lang w:eastAsia="ko-KR"/>
              </w:rPr>
              <w:tab/>
            </w:r>
            <w:r>
              <w:t>If SRS and PRS have different SCS, the margin corresponding to the smallest RS BW in MHz applies.</w:t>
            </w:r>
          </w:p>
        </w:tc>
      </w:tr>
    </w:tbl>
    <w:p w14:paraId="150DE56F" w14:textId="77777777" w:rsidR="00CC5419" w:rsidRDefault="00CC5419" w:rsidP="00CC5419">
      <w:pPr>
        <w:rPr>
          <w:rFonts w:eastAsia="MS Mincho"/>
          <w:lang w:val="en-US"/>
        </w:rPr>
      </w:pPr>
    </w:p>
    <w:p w14:paraId="512787B3" w14:textId="77777777" w:rsidR="00CC5419" w:rsidRDefault="00CC5419" w:rsidP="00CC5419">
      <w:pPr>
        <w:pStyle w:val="TH"/>
        <w:rPr>
          <w:rFonts w:eastAsia="SimSun"/>
          <w:lang w:eastAsia="sv-SE"/>
        </w:rPr>
      </w:pPr>
      <w:r>
        <w:rPr>
          <w:lang w:val="en-US"/>
        </w:rPr>
        <w:t>Table 10.1.40.2-4: Margin for UE Rx-Tx time difference measurement accuracy in FR2</w:t>
      </w:r>
    </w:p>
    <w:tbl>
      <w:tblPr>
        <w:tblStyle w:val="TableGrid71"/>
        <w:tblW w:w="0" w:type="auto"/>
        <w:jc w:val="center"/>
        <w:tblInd w:w="0" w:type="dxa"/>
        <w:tblLook w:val="04A0" w:firstRow="1" w:lastRow="0" w:firstColumn="1" w:lastColumn="0" w:noHBand="0" w:noVBand="1"/>
      </w:tblPr>
      <w:tblGrid>
        <w:gridCol w:w="1861"/>
        <w:gridCol w:w="1862"/>
        <w:gridCol w:w="1848"/>
      </w:tblGrid>
      <w:tr w:rsidR="00CC5419" w14:paraId="2BCDC81D" w14:textId="77777777" w:rsidTr="005F054A">
        <w:trPr>
          <w:trHeight w:val="323"/>
          <w:jc w:val="center"/>
        </w:trPr>
        <w:tc>
          <w:tcPr>
            <w:tcW w:w="3723" w:type="dxa"/>
            <w:gridSpan w:val="2"/>
            <w:tcBorders>
              <w:top w:val="single" w:sz="4" w:space="0" w:color="auto"/>
              <w:left w:val="single" w:sz="4" w:space="0" w:color="auto"/>
              <w:bottom w:val="single" w:sz="4" w:space="0" w:color="auto"/>
              <w:right w:val="single" w:sz="4" w:space="0" w:color="auto"/>
            </w:tcBorders>
            <w:vAlign w:val="center"/>
            <w:hideMark/>
          </w:tcPr>
          <w:p w14:paraId="748DB697" w14:textId="77777777" w:rsidR="00CC5419" w:rsidRPr="00334483" w:rsidRDefault="00CC5419" w:rsidP="005F054A">
            <w:pPr>
              <w:pStyle w:val="TAH"/>
              <w:rPr>
                <w:rFonts w:eastAsiaTheme="minorEastAsia"/>
                <w:lang w:val="da-DK" w:eastAsia="zh-CN"/>
              </w:rPr>
            </w:pPr>
            <w:r w:rsidRPr="00334483">
              <w:rPr>
                <w:lang w:val="da-DK"/>
              </w:rPr>
              <w:t>Min(PRS BW, SRS BW) (MHz)</w:t>
            </w:r>
          </w:p>
        </w:tc>
        <w:tc>
          <w:tcPr>
            <w:tcW w:w="1848" w:type="dxa"/>
            <w:vMerge w:val="restart"/>
            <w:tcBorders>
              <w:top w:val="single" w:sz="4" w:space="0" w:color="auto"/>
              <w:left w:val="single" w:sz="4" w:space="0" w:color="auto"/>
              <w:bottom w:val="single" w:sz="4" w:space="0" w:color="auto"/>
              <w:right w:val="single" w:sz="4" w:space="0" w:color="auto"/>
            </w:tcBorders>
            <w:vAlign w:val="center"/>
            <w:hideMark/>
          </w:tcPr>
          <w:p w14:paraId="7BA2B384" w14:textId="77777777" w:rsidR="00CC5419" w:rsidRDefault="00CC5419" w:rsidP="005F054A">
            <w:pPr>
              <w:pStyle w:val="TAH"/>
              <w:rPr>
                <w:rFonts w:eastAsia="Yu Mincho"/>
              </w:rPr>
            </w:pPr>
            <w:r>
              <w:rPr>
                <w:rFonts w:eastAsia="Yu Mincho"/>
                <w:kern w:val="24"/>
              </w:rPr>
              <w:t>Margin (Tc</w:t>
            </w:r>
            <w:r>
              <w:rPr>
                <w:rFonts w:eastAsia="SimSun"/>
                <w:vertAlign w:val="superscript"/>
                <w:lang w:eastAsia="zh-CN"/>
              </w:rPr>
              <w:t xml:space="preserve"> Note 1</w:t>
            </w:r>
            <w:r>
              <w:rPr>
                <w:rFonts w:eastAsia="Yu Mincho"/>
                <w:kern w:val="24"/>
              </w:rPr>
              <w:t>)</w:t>
            </w:r>
          </w:p>
        </w:tc>
      </w:tr>
      <w:tr w:rsidR="00CC5419" w14:paraId="7EF0C1DE" w14:textId="77777777" w:rsidTr="005F054A">
        <w:trPr>
          <w:trHeight w:val="322"/>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1082CF70" w14:textId="77777777" w:rsidR="00CC5419" w:rsidRDefault="00CC5419" w:rsidP="005F054A">
            <w:pPr>
              <w:pStyle w:val="TAH"/>
            </w:pPr>
            <w:r>
              <w:t>SCS = 60 kHz</w:t>
            </w:r>
          </w:p>
        </w:tc>
        <w:tc>
          <w:tcPr>
            <w:tcW w:w="1862" w:type="dxa"/>
            <w:tcBorders>
              <w:top w:val="single" w:sz="4" w:space="0" w:color="auto"/>
              <w:left w:val="single" w:sz="4" w:space="0" w:color="auto"/>
              <w:bottom w:val="single" w:sz="4" w:space="0" w:color="auto"/>
              <w:right w:val="single" w:sz="4" w:space="0" w:color="auto"/>
            </w:tcBorders>
            <w:vAlign w:val="center"/>
            <w:hideMark/>
          </w:tcPr>
          <w:p w14:paraId="055CB96F" w14:textId="77777777" w:rsidR="00CC5419" w:rsidRDefault="00CC5419" w:rsidP="005F054A">
            <w:pPr>
              <w:pStyle w:val="TAH"/>
            </w:pPr>
            <w:r>
              <w:t>SCS = 120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427E36" w14:textId="77777777" w:rsidR="00CC5419" w:rsidRDefault="00CC5419" w:rsidP="005F054A">
            <w:pPr>
              <w:pStyle w:val="TAH"/>
              <w:rPr>
                <w:rFonts w:eastAsia="Yu Mincho"/>
              </w:rPr>
            </w:pPr>
          </w:p>
        </w:tc>
      </w:tr>
      <w:tr w:rsidR="00CC5419" w14:paraId="45686245"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754A6332" w14:textId="77777777" w:rsidR="00CC5419" w:rsidRDefault="00CC5419" w:rsidP="005F054A">
            <w:pPr>
              <w:pStyle w:val="TAC"/>
              <w:rPr>
                <w:rFonts w:eastAsia="Yu Mincho"/>
                <w:b/>
                <w:bCs/>
              </w:rPr>
            </w:pPr>
            <w:r>
              <w:t>≥ 24</w:t>
            </w:r>
          </w:p>
        </w:tc>
        <w:tc>
          <w:tcPr>
            <w:tcW w:w="1862" w:type="dxa"/>
            <w:tcBorders>
              <w:top w:val="single" w:sz="4" w:space="0" w:color="auto"/>
              <w:left w:val="single" w:sz="4" w:space="0" w:color="auto"/>
              <w:bottom w:val="single" w:sz="4" w:space="0" w:color="auto"/>
              <w:right w:val="single" w:sz="4" w:space="0" w:color="auto"/>
            </w:tcBorders>
            <w:vAlign w:val="center"/>
            <w:hideMark/>
          </w:tcPr>
          <w:p w14:paraId="41CC779D" w14:textId="77777777" w:rsidR="00CC5419" w:rsidRDefault="00CC5419" w:rsidP="005F054A">
            <w:pPr>
              <w:pStyle w:val="TAC"/>
              <w:rPr>
                <w:rFonts w:eastAsia="Yu Mincho"/>
              </w:rPr>
            </w:pPr>
            <w:r>
              <w:rPr>
                <w:rFonts w:eastAsia="Yu Mincho"/>
              </w:rPr>
              <w:t>N/A</w:t>
            </w:r>
          </w:p>
        </w:tc>
        <w:tc>
          <w:tcPr>
            <w:tcW w:w="1848" w:type="dxa"/>
            <w:tcBorders>
              <w:top w:val="single" w:sz="4" w:space="0" w:color="auto"/>
              <w:left w:val="single" w:sz="4" w:space="0" w:color="auto"/>
              <w:bottom w:val="single" w:sz="4" w:space="0" w:color="auto"/>
              <w:right w:val="single" w:sz="4" w:space="0" w:color="auto"/>
            </w:tcBorders>
            <w:vAlign w:val="center"/>
            <w:hideMark/>
          </w:tcPr>
          <w:p w14:paraId="5C15A504" w14:textId="77777777" w:rsidR="00CC5419" w:rsidRDefault="00CC5419" w:rsidP="005F054A">
            <w:pPr>
              <w:pStyle w:val="TAC"/>
              <w:rPr>
                <w:rFonts w:eastAsia="Yu Mincho"/>
                <w:b/>
                <w:bCs/>
              </w:rPr>
            </w:pPr>
            <w:r>
              <w:rPr>
                <w:rFonts w:eastAsia="Yu Mincho"/>
              </w:rPr>
              <w:t>[76]</w:t>
            </w:r>
          </w:p>
        </w:tc>
      </w:tr>
      <w:tr w:rsidR="00CC5419" w14:paraId="4ED1A5F7"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508EC669" w14:textId="77777777" w:rsidR="00CC5419" w:rsidRDefault="00CC5419" w:rsidP="005F054A">
            <w:pPr>
              <w:pStyle w:val="TAC"/>
              <w:rPr>
                <w:rFonts w:eastAsia="Yu Mincho"/>
                <w:b/>
                <w:bCs/>
              </w:rPr>
            </w:pPr>
            <w:r>
              <w:t>≥ 6</w:t>
            </w:r>
            <w:r>
              <w:rPr>
                <w:rFonts w:eastAsia="Yu Mincho"/>
              </w:rPr>
              <w:t>4</w:t>
            </w:r>
          </w:p>
        </w:tc>
        <w:tc>
          <w:tcPr>
            <w:tcW w:w="1862" w:type="dxa"/>
            <w:tcBorders>
              <w:top w:val="single" w:sz="4" w:space="0" w:color="auto"/>
              <w:left w:val="single" w:sz="4" w:space="0" w:color="auto"/>
              <w:bottom w:val="single" w:sz="4" w:space="0" w:color="auto"/>
              <w:right w:val="single" w:sz="4" w:space="0" w:color="auto"/>
            </w:tcBorders>
            <w:vAlign w:val="center"/>
            <w:hideMark/>
          </w:tcPr>
          <w:p w14:paraId="105E7FB7" w14:textId="77777777" w:rsidR="00CC5419" w:rsidRDefault="00CC5419" w:rsidP="005F054A">
            <w:pPr>
              <w:pStyle w:val="TAC"/>
              <w:rPr>
                <w:rFonts w:eastAsia="Yu Mincho"/>
                <w:b/>
                <w:bCs/>
              </w:rPr>
            </w:pPr>
            <w:r>
              <w:t>≥ 32</w:t>
            </w:r>
          </w:p>
        </w:tc>
        <w:tc>
          <w:tcPr>
            <w:tcW w:w="1848" w:type="dxa"/>
            <w:tcBorders>
              <w:top w:val="single" w:sz="4" w:space="0" w:color="auto"/>
              <w:left w:val="single" w:sz="4" w:space="0" w:color="auto"/>
              <w:bottom w:val="single" w:sz="4" w:space="0" w:color="auto"/>
              <w:right w:val="single" w:sz="4" w:space="0" w:color="auto"/>
            </w:tcBorders>
            <w:vAlign w:val="center"/>
            <w:hideMark/>
          </w:tcPr>
          <w:p w14:paraId="14565398" w14:textId="77777777" w:rsidR="00CC5419" w:rsidRDefault="00CC5419" w:rsidP="005F054A">
            <w:pPr>
              <w:pStyle w:val="TAC"/>
              <w:rPr>
                <w:rFonts w:eastAsia="Yu Mincho"/>
                <w:b/>
                <w:bCs/>
              </w:rPr>
            </w:pPr>
            <w:r>
              <w:rPr>
                <w:rFonts w:eastAsia="Yu Mincho"/>
              </w:rPr>
              <w:t>[32]</w:t>
            </w:r>
          </w:p>
        </w:tc>
      </w:tr>
      <w:tr w:rsidR="00CC5419" w14:paraId="0A97E30E"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5BD8D3F7" w14:textId="77777777" w:rsidR="00CC5419" w:rsidRDefault="00CC5419" w:rsidP="005F054A">
            <w:pPr>
              <w:pStyle w:val="TAC"/>
              <w:rPr>
                <w:rFonts w:eastAsia="Yu Mincho"/>
                <w:b/>
                <w:bCs/>
              </w:rPr>
            </w:pPr>
            <w:r>
              <w:t xml:space="preserve">≥ </w:t>
            </w:r>
            <w:r>
              <w:rPr>
                <w:rFonts w:eastAsia="Yu Mincho"/>
              </w:rPr>
              <w:t>132</w:t>
            </w:r>
          </w:p>
        </w:tc>
        <w:tc>
          <w:tcPr>
            <w:tcW w:w="1862" w:type="dxa"/>
            <w:tcBorders>
              <w:top w:val="single" w:sz="4" w:space="0" w:color="auto"/>
              <w:left w:val="single" w:sz="4" w:space="0" w:color="auto"/>
              <w:bottom w:val="single" w:sz="4" w:space="0" w:color="auto"/>
              <w:right w:val="single" w:sz="4" w:space="0" w:color="auto"/>
            </w:tcBorders>
            <w:vAlign w:val="center"/>
            <w:hideMark/>
          </w:tcPr>
          <w:p w14:paraId="28487F67" w14:textId="77777777" w:rsidR="00CC5419" w:rsidRDefault="00CC5419" w:rsidP="005F054A">
            <w:pPr>
              <w:pStyle w:val="TAC"/>
              <w:rPr>
                <w:rFonts w:eastAsia="Yu Mincho"/>
                <w:b/>
                <w:bCs/>
              </w:rPr>
            </w:pPr>
            <w:r>
              <w:t>≥ 6</w:t>
            </w:r>
            <w:r>
              <w:rPr>
                <w:rFonts w:eastAsia="Yu Mincho"/>
              </w:rPr>
              <w:t>4</w:t>
            </w:r>
          </w:p>
        </w:tc>
        <w:tc>
          <w:tcPr>
            <w:tcW w:w="1848" w:type="dxa"/>
            <w:tcBorders>
              <w:top w:val="single" w:sz="4" w:space="0" w:color="auto"/>
              <w:left w:val="single" w:sz="4" w:space="0" w:color="auto"/>
              <w:bottom w:val="single" w:sz="4" w:space="0" w:color="auto"/>
              <w:right w:val="single" w:sz="4" w:space="0" w:color="auto"/>
            </w:tcBorders>
            <w:vAlign w:val="center"/>
            <w:hideMark/>
          </w:tcPr>
          <w:p w14:paraId="004C4FA3" w14:textId="77777777" w:rsidR="00CC5419" w:rsidRDefault="00CC5419" w:rsidP="005F054A">
            <w:pPr>
              <w:pStyle w:val="TAC"/>
              <w:rPr>
                <w:rFonts w:eastAsia="Yu Mincho"/>
                <w:b/>
                <w:bCs/>
              </w:rPr>
            </w:pPr>
            <w:r>
              <w:rPr>
                <w:rFonts w:eastAsia="Yu Mincho"/>
              </w:rPr>
              <w:t>[24]</w:t>
            </w:r>
          </w:p>
        </w:tc>
      </w:tr>
      <w:tr w:rsidR="00CC5419" w14:paraId="38EC197B" w14:textId="77777777" w:rsidTr="005F054A">
        <w:trPr>
          <w:trHeight w:val="46"/>
          <w:jc w:val="center"/>
        </w:trPr>
        <w:tc>
          <w:tcPr>
            <w:tcW w:w="1861" w:type="dxa"/>
            <w:tcBorders>
              <w:top w:val="single" w:sz="4" w:space="0" w:color="auto"/>
              <w:left w:val="single" w:sz="4" w:space="0" w:color="auto"/>
              <w:bottom w:val="single" w:sz="4" w:space="0" w:color="auto"/>
              <w:right w:val="single" w:sz="4" w:space="0" w:color="auto"/>
            </w:tcBorders>
            <w:vAlign w:val="center"/>
            <w:hideMark/>
          </w:tcPr>
          <w:p w14:paraId="7FEE4475" w14:textId="77777777" w:rsidR="00CC5419" w:rsidRDefault="00CC5419" w:rsidP="005F054A">
            <w:pPr>
              <w:pStyle w:val="TAC"/>
            </w:pPr>
            <w:r>
              <w:t>N/A</w:t>
            </w:r>
          </w:p>
        </w:tc>
        <w:tc>
          <w:tcPr>
            <w:tcW w:w="1862" w:type="dxa"/>
            <w:tcBorders>
              <w:top w:val="single" w:sz="4" w:space="0" w:color="auto"/>
              <w:left w:val="single" w:sz="4" w:space="0" w:color="auto"/>
              <w:bottom w:val="single" w:sz="4" w:space="0" w:color="auto"/>
              <w:right w:val="single" w:sz="4" w:space="0" w:color="auto"/>
            </w:tcBorders>
            <w:vAlign w:val="center"/>
            <w:hideMark/>
          </w:tcPr>
          <w:p w14:paraId="72C549CE" w14:textId="77777777" w:rsidR="00CC5419" w:rsidRDefault="00CC5419" w:rsidP="005F054A">
            <w:pPr>
              <w:pStyle w:val="TAC"/>
            </w:pPr>
            <w:r>
              <w:t xml:space="preserve">≥ </w:t>
            </w:r>
            <w:r>
              <w:rPr>
                <w:rFonts w:eastAsia="Yu Mincho"/>
              </w:rPr>
              <w:t>128</w:t>
            </w:r>
          </w:p>
        </w:tc>
        <w:tc>
          <w:tcPr>
            <w:tcW w:w="1848" w:type="dxa"/>
            <w:tcBorders>
              <w:top w:val="single" w:sz="4" w:space="0" w:color="auto"/>
              <w:left w:val="single" w:sz="4" w:space="0" w:color="auto"/>
              <w:bottom w:val="single" w:sz="4" w:space="0" w:color="auto"/>
              <w:right w:val="single" w:sz="4" w:space="0" w:color="auto"/>
            </w:tcBorders>
            <w:vAlign w:val="center"/>
            <w:hideMark/>
          </w:tcPr>
          <w:p w14:paraId="15AD6AEF" w14:textId="77777777" w:rsidR="00CC5419" w:rsidRDefault="00CC5419" w:rsidP="005F054A">
            <w:pPr>
              <w:pStyle w:val="TAC"/>
              <w:rPr>
                <w:rFonts w:eastAsia="Yu Mincho"/>
              </w:rPr>
            </w:pPr>
            <w:r>
              <w:rPr>
                <w:rFonts w:eastAsia="Yu Mincho"/>
              </w:rPr>
              <w:t>[20]</w:t>
            </w:r>
          </w:p>
        </w:tc>
      </w:tr>
      <w:tr w:rsidR="00CC5419" w14:paraId="717CB702" w14:textId="77777777" w:rsidTr="005F054A">
        <w:trPr>
          <w:trHeight w:val="46"/>
          <w:jc w:val="center"/>
        </w:trPr>
        <w:tc>
          <w:tcPr>
            <w:tcW w:w="5571" w:type="dxa"/>
            <w:gridSpan w:val="3"/>
            <w:tcBorders>
              <w:top w:val="single" w:sz="4" w:space="0" w:color="auto"/>
              <w:left w:val="single" w:sz="4" w:space="0" w:color="auto"/>
              <w:bottom w:val="single" w:sz="4" w:space="0" w:color="auto"/>
              <w:right w:val="single" w:sz="4" w:space="0" w:color="auto"/>
            </w:tcBorders>
            <w:hideMark/>
          </w:tcPr>
          <w:p w14:paraId="549A6889" w14:textId="77777777" w:rsidR="00CC5419" w:rsidRDefault="00CC5419" w:rsidP="005F054A">
            <w:pPr>
              <w:pStyle w:val="TAN"/>
              <w:rPr>
                <w:lang w:eastAsia="ko-KR"/>
              </w:rPr>
            </w:pPr>
            <w:r>
              <w:rPr>
                <w:lang w:eastAsia="ko-KR"/>
              </w:rPr>
              <w:t>N</w:t>
            </w:r>
            <w:r>
              <w:rPr>
                <w:lang w:eastAsia="zh-CN"/>
              </w:rPr>
              <w:t>OTE</w:t>
            </w:r>
            <w:r>
              <w:rPr>
                <w:lang w:eastAsia="ko-KR"/>
              </w:rPr>
              <w:t xml:space="preserve"> 1:</w:t>
            </w:r>
            <w:r>
              <w:rPr>
                <w:lang w:eastAsia="ko-KR"/>
              </w:rPr>
              <w:tab/>
              <w:t>Tc is the basic timing unit defined in TS 38.211 [6].</w:t>
            </w:r>
          </w:p>
          <w:p w14:paraId="42A93C57" w14:textId="77777777" w:rsidR="00CC5419" w:rsidRDefault="00CC5419" w:rsidP="005F054A">
            <w:pPr>
              <w:pStyle w:val="TAN"/>
              <w:rPr>
                <w:rFonts w:eastAsia="Yu Mincho"/>
                <w:kern w:val="24"/>
              </w:rPr>
            </w:pPr>
            <w:r>
              <w:t>NOTE 2:</w:t>
            </w:r>
            <w:r>
              <w:rPr>
                <w:lang w:eastAsia="ko-KR"/>
              </w:rPr>
              <w:tab/>
            </w:r>
            <w:r>
              <w:t>If SRS and PRS have different SCS, the margin corresponding to the smallest RS BW in MHz applies.</w:t>
            </w:r>
          </w:p>
        </w:tc>
      </w:tr>
    </w:tbl>
    <w:p w14:paraId="5885CD06" w14:textId="77777777" w:rsidR="00CC5419" w:rsidRDefault="00CC5419" w:rsidP="00CC5419">
      <w:pPr>
        <w:rPr>
          <w:rFonts w:eastAsia="SimSun"/>
          <w:noProof/>
          <w:highlight w:val="yellow"/>
          <w:lang w:val="en-US" w:eastAsia="zh-CN"/>
        </w:rPr>
      </w:pPr>
    </w:p>
    <w:p w14:paraId="20173E6A" w14:textId="77777777" w:rsidR="00CC5419" w:rsidRPr="003D2609" w:rsidRDefault="00CC5419" w:rsidP="00CC5419">
      <w:pPr>
        <w:pStyle w:val="NO"/>
        <w:rPr>
          <w:lang w:eastAsia="zh-CN"/>
        </w:rPr>
      </w:pPr>
      <w:r w:rsidRPr="003D2609">
        <w:rPr>
          <w:rFonts w:hint="eastAsia"/>
          <w:lang w:eastAsia="zh-CN"/>
        </w:rPr>
        <w:t>E</w:t>
      </w:r>
      <w:r w:rsidRPr="003D2609">
        <w:rPr>
          <w:lang w:eastAsia="zh-CN"/>
        </w:rPr>
        <w:t>ditor’s Note:</w:t>
      </w:r>
      <w:r w:rsidRPr="003D2609">
        <w:t xml:space="preserve"> FFS whether and which applicability conditions from clause 10.1.25.2 should be added</w:t>
      </w:r>
    </w:p>
    <w:p w14:paraId="75AC8EB9" w14:textId="77777777" w:rsidR="00D03161" w:rsidRDefault="00D03161" w:rsidP="007D2333"/>
    <w:p w14:paraId="5AA2DBA0" w14:textId="77777777" w:rsidR="00524B77" w:rsidRPr="00DB707E" w:rsidRDefault="00524B77" w:rsidP="00524B77">
      <w:pPr>
        <w:pStyle w:val="Heading2"/>
      </w:pPr>
      <w:r w:rsidRPr="00DB707E">
        <w:t>10.1A</w:t>
      </w:r>
      <w:r w:rsidRPr="00DB707E">
        <w:tab/>
        <w:t>NR measurements for RedCap</w:t>
      </w:r>
    </w:p>
    <w:p w14:paraId="34D06058" w14:textId="77777777" w:rsidR="00524B77" w:rsidRPr="00DB707E" w:rsidRDefault="00524B77" w:rsidP="00524B77">
      <w:pPr>
        <w:pStyle w:val="Heading3"/>
        <w:rPr>
          <w:lang w:val="en-US"/>
        </w:rPr>
      </w:pPr>
      <w:r w:rsidRPr="00DB707E">
        <w:rPr>
          <w:lang w:val="en-US"/>
        </w:rPr>
        <w:t>10.1A.1</w:t>
      </w:r>
      <w:r w:rsidRPr="00DB707E">
        <w:rPr>
          <w:lang w:val="en-US"/>
        </w:rPr>
        <w:tab/>
        <w:t>Introduction</w:t>
      </w:r>
    </w:p>
    <w:p w14:paraId="390CD3EE" w14:textId="77777777" w:rsidR="00524B77" w:rsidRPr="00DB707E" w:rsidRDefault="00524B77" w:rsidP="00524B77">
      <w:r w:rsidRPr="00DB707E">
        <w:t>The requirements in this section are applicable for RedCap UE as follows:</w:t>
      </w:r>
    </w:p>
    <w:p w14:paraId="3C2B21A3" w14:textId="77777777" w:rsidR="00524B77" w:rsidRPr="00DB707E" w:rsidRDefault="00524B77" w:rsidP="00524B77">
      <w:pPr>
        <w:pStyle w:val="B10"/>
        <w:rPr>
          <w:lang w:eastAsia="ko-KR"/>
        </w:rPr>
      </w:pPr>
      <w:r w:rsidRPr="00DB707E">
        <w:rPr>
          <w:lang w:eastAsia="ko-KR"/>
        </w:rPr>
        <w:t>-</w:t>
      </w:r>
      <w:r w:rsidRPr="00DB707E">
        <w:rPr>
          <w:lang w:eastAsia="ko-KR"/>
        </w:rPr>
        <w:tab/>
        <w:t xml:space="preserve">intra-frequency requirements apply for PCell measurements in SA, </w:t>
      </w:r>
    </w:p>
    <w:p w14:paraId="5DB62B53" w14:textId="77777777" w:rsidR="00524B77" w:rsidRPr="00DB707E" w:rsidRDefault="00524B77" w:rsidP="00524B77">
      <w:pPr>
        <w:pStyle w:val="B10"/>
        <w:rPr>
          <w:lang w:eastAsia="ko-KR"/>
        </w:rPr>
      </w:pPr>
      <w:r w:rsidRPr="00DB707E">
        <w:rPr>
          <w:lang w:eastAsia="ko-KR"/>
        </w:rPr>
        <w:t>-</w:t>
      </w:r>
      <w:r w:rsidRPr="00DB707E">
        <w:rPr>
          <w:lang w:eastAsia="ko-KR"/>
        </w:rPr>
        <w:tab/>
        <w:t>inter-frequency requirements apply for non-serving cell measurements on NR carrier frequencies.</w:t>
      </w:r>
    </w:p>
    <w:p w14:paraId="30A90970" w14:textId="77777777" w:rsidR="00524B77" w:rsidRPr="00DB707E" w:rsidRDefault="00524B77" w:rsidP="00524B77">
      <w:pPr>
        <w:pStyle w:val="B10"/>
        <w:rPr>
          <w:lang w:eastAsia="ko-KR"/>
        </w:rPr>
      </w:pPr>
      <w:r w:rsidRPr="00DB707E">
        <w:rPr>
          <w:lang w:eastAsia="ko-KR"/>
        </w:rPr>
        <w:t>-</w:t>
      </w:r>
      <w:r w:rsidRPr="00DB707E">
        <w:rPr>
          <w:lang w:eastAsia="ko-KR"/>
        </w:rPr>
        <w:tab/>
        <w:t>inter-frequency requirements apply for measurements from one cell on a frequency compared to the measurement from another cell on a different frequency.</w:t>
      </w:r>
    </w:p>
    <w:p w14:paraId="5FDBD1F2" w14:textId="77777777" w:rsidR="00524B77" w:rsidRPr="00DB707E" w:rsidRDefault="00524B77" w:rsidP="00524B77">
      <w:r w:rsidRPr="00DB707E">
        <w:t>The accuracy requirements in this clause are applicable for AWGN radio propagation conditions. The accuracy requirements of RSRP, RSRQ amd SINR are applicable provided that reference SSB is not changed during measurement period.</w:t>
      </w:r>
    </w:p>
    <w:p w14:paraId="0F121CF7" w14:textId="77777777" w:rsidR="00524B77" w:rsidRPr="00DB707E" w:rsidRDefault="00524B77" w:rsidP="00524B77">
      <w:pPr>
        <w:pStyle w:val="Heading3"/>
        <w:rPr>
          <w:lang w:val="en-US"/>
        </w:rPr>
      </w:pPr>
      <w:r w:rsidRPr="00DB707E">
        <w:rPr>
          <w:lang w:val="en-US"/>
        </w:rPr>
        <w:t>10.1A.2</w:t>
      </w:r>
      <w:r w:rsidRPr="00DB707E">
        <w:rPr>
          <w:lang w:val="en-US"/>
        </w:rPr>
        <w:tab/>
        <w:t>Intra-frequency RSRP accuracy requirements for FR1</w:t>
      </w:r>
    </w:p>
    <w:p w14:paraId="44EDE05C" w14:textId="77777777" w:rsidR="00524B77" w:rsidRPr="00DB707E" w:rsidRDefault="00524B77" w:rsidP="00524B77">
      <w:pPr>
        <w:pStyle w:val="Heading4"/>
        <w:rPr>
          <w:lang w:val="en-US"/>
        </w:rPr>
      </w:pPr>
      <w:r w:rsidRPr="00DB707E">
        <w:rPr>
          <w:lang w:val="en-US"/>
        </w:rPr>
        <w:t>10.1A.2.1</w:t>
      </w:r>
      <w:r w:rsidRPr="00DB707E">
        <w:rPr>
          <w:lang w:val="en-US"/>
        </w:rPr>
        <w:tab/>
        <w:t>Intra-frequency SS-RSRP accuracy requirements</w:t>
      </w:r>
    </w:p>
    <w:p w14:paraId="74C4FED6" w14:textId="77777777" w:rsidR="00524B77" w:rsidRPr="00DB707E" w:rsidRDefault="00524B77" w:rsidP="00524B77">
      <w:pPr>
        <w:pStyle w:val="Heading5"/>
      </w:pPr>
      <w:r w:rsidRPr="00DB707E">
        <w:t>10.1A.2.1.1</w:t>
      </w:r>
      <w:r w:rsidRPr="00DB707E">
        <w:tab/>
        <w:t xml:space="preserve">Absolute </w:t>
      </w:r>
      <w:r w:rsidRPr="00DB707E">
        <w:rPr>
          <w:lang w:val="en-US"/>
        </w:rPr>
        <w:t xml:space="preserve">SS-RSRP </w:t>
      </w:r>
      <w:r w:rsidRPr="00DB707E">
        <w:t>Accuracy</w:t>
      </w:r>
    </w:p>
    <w:p w14:paraId="44715AA4" w14:textId="77777777" w:rsidR="00524B77" w:rsidRPr="00DB707E" w:rsidRDefault="00524B77" w:rsidP="00524B77">
      <w:pPr>
        <w:rPr>
          <w:rFonts w:cs="v4.2.0"/>
        </w:rPr>
      </w:pPr>
      <w:r w:rsidRPr="00DB707E">
        <w:rPr>
          <w:rFonts w:cs="v4.2.0"/>
        </w:rPr>
        <w:t xml:space="preserve">The accuracy requirements in clause </w:t>
      </w:r>
      <w:r w:rsidRPr="00DB707E">
        <w:t>10.1.2.1.1</w:t>
      </w:r>
      <w:r w:rsidRPr="00DB707E">
        <w:rPr>
          <w:rFonts w:cs="v4.2.0"/>
        </w:rPr>
        <w:t xml:space="preserve"> shall apply when RedCap UE is capable of 2Rx. When UE is only required to support 1RX, the absolute accuracy requirements in Table </w:t>
      </w:r>
      <w:r w:rsidRPr="00DB707E">
        <w:rPr>
          <w:rFonts w:cs="v4.2.0"/>
          <w:lang w:eastAsia="zh-CN"/>
        </w:rPr>
        <w:t>10.1A.2.1.1</w:t>
      </w:r>
      <w:r w:rsidRPr="00DB707E">
        <w:rPr>
          <w:rFonts w:cs="v4.2.0"/>
        </w:rPr>
        <w:t>-1 are valid under the following conditions:</w:t>
      </w:r>
    </w:p>
    <w:p w14:paraId="4BAF2C01" w14:textId="77777777" w:rsidR="00524B77" w:rsidRPr="00DB707E" w:rsidRDefault="00524B77" w:rsidP="00524B77">
      <w:pPr>
        <w:pStyle w:val="B10"/>
        <w:rPr>
          <w:rFonts w:cs="v4.2.0"/>
        </w:rPr>
      </w:pPr>
      <w:r w:rsidRPr="00DB707E">
        <w:t>-</w:t>
      </w:r>
      <w:r w:rsidRPr="00DB707E">
        <w:tab/>
        <w:t>Conditions defined in clause 7.3 of TS 38.101-1 [18] for reference sensitivity are fulfilled.</w:t>
      </w:r>
    </w:p>
    <w:p w14:paraId="1A3807D2" w14:textId="77777777" w:rsidR="00524B77" w:rsidRPr="00DB707E" w:rsidRDefault="00524B77" w:rsidP="00524B77">
      <w:pPr>
        <w:pStyle w:val="B10"/>
        <w:rPr>
          <w:lang w:eastAsia="zh-CN"/>
        </w:rPr>
      </w:pPr>
      <w:r w:rsidRPr="00DB707E">
        <w:t>-</w:t>
      </w:r>
      <w:r w:rsidRPr="00DB707E">
        <w:tab/>
        <w:t xml:space="preserve">Conditions for intra-frequency measurements are fulfilled according to Annex B.2.2 for a corresponding Band </w:t>
      </w:r>
      <w:r w:rsidRPr="00DB707E">
        <w:rPr>
          <w:rFonts w:cs="v4.2.0"/>
          <w:lang w:eastAsia="ko-KR"/>
        </w:rPr>
        <w:t>for each relevant SSB</w:t>
      </w:r>
      <w:r w:rsidRPr="00DB707E">
        <w:t>.</w:t>
      </w:r>
    </w:p>
    <w:p w14:paraId="7290B484" w14:textId="77777777" w:rsidR="00524B77" w:rsidRPr="00DB707E" w:rsidRDefault="00524B77" w:rsidP="00524B77">
      <w:pPr>
        <w:pStyle w:val="TAH"/>
      </w:pPr>
      <w:r w:rsidRPr="00DB707E">
        <w:t>Table 10.1A.2.1.1-1: SS-RSRP Intra frequency absolute accuracy for 1Rx RedCap UE in FR1</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524B77" w:rsidRPr="00DB707E" w14:paraId="12648759" w14:textId="77777777" w:rsidTr="00430B21">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tcPr>
          <w:p w14:paraId="346A12C1" w14:textId="77777777" w:rsidR="00524B77" w:rsidRPr="00DB707E" w:rsidRDefault="00524B77" w:rsidP="00430B21">
            <w:pPr>
              <w:pStyle w:val="TAH"/>
            </w:pPr>
            <w:r w:rsidRPr="00DB707E">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tcPr>
          <w:p w14:paraId="645E580B" w14:textId="77777777" w:rsidR="00524B77" w:rsidRPr="00DB707E" w:rsidRDefault="00524B77" w:rsidP="00430B21">
            <w:pPr>
              <w:pStyle w:val="TAH"/>
            </w:pPr>
            <w:r w:rsidRPr="00DB707E">
              <w:t>Conditions</w:t>
            </w:r>
          </w:p>
        </w:tc>
      </w:tr>
      <w:tr w:rsidR="00524B77" w:rsidRPr="00DB707E" w14:paraId="008427C2" w14:textId="77777777" w:rsidTr="00430B21">
        <w:trPr>
          <w:jc w:val="center"/>
        </w:trPr>
        <w:tc>
          <w:tcPr>
            <w:tcW w:w="1036" w:type="dxa"/>
            <w:tcBorders>
              <w:top w:val="single" w:sz="6" w:space="0" w:color="auto"/>
              <w:left w:val="single" w:sz="4" w:space="0" w:color="auto"/>
              <w:right w:val="single" w:sz="6" w:space="0" w:color="auto"/>
            </w:tcBorders>
            <w:shd w:val="clear" w:color="auto" w:fill="auto"/>
          </w:tcPr>
          <w:p w14:paraId="35A923A5" w14:textId="77777777" w:rsidR="00524B77" w:rsidRPr="00DB707E" w:rsidRDefault="00524B77" w:rsidP="00430B21">
            <w:pPr>
              <w:pStyle w:val="TAH"/>
            </w:pPr>
            <w:r w:rsidRPr="00DB707E">
              <w:t>Normal condition</w:t>
            </w:r>
          </w:p>
        </w:tc>
        <w:tc>
          <w:tcPr>
            <w:tcW w:w="1055" w:type="dxa"/>
            <w:tcBorders>
              <w:top w:val="single" w:sz="6" w:space="0" w:color="auto"/>
              <w:left w:val="single" w:sz="6" w:space="0" w:color="auto"/>
              <w:right w:val="single" w:sz="6" w:space="0" w:color="auto"/>
            </w:tcBorders>
            <w:shd w:val="clear" w:color="auto" w:fill="auto"/>
          </w:tcPr>
          <w:p w14:paraId="34C94144" w14:textId="77777777" w:rsidR="00524B77" w:rsidRPr="00DB707E" w:rsidRDefault="00524B77" w:rsidP="00430B21">
            <w:pPr>
              <w:pStyle w:val="TAH"/>
            </w:pPr>
            <w:r w:rsidRPr="00DB707E">
              <w:t>Extreme condition</w:t>
            </w:r>
          </w:p>
        </w:tc>
        <w:tc>
          <w:tcPr>
            <w:tcW w:w="833" w:type="dxa"/>
            <w:tcBorders>
              <w:top w:val="single" w:sz="6" w:space="0" w:color="auto"/>
              <w:left w:val="single" w:sz="6" w:space="0" w:color="auto"/>
              <w:right w:val="single" w:sz="6" w:space="0" w:color="auto"/>
            </w:tcBorders>
            <w:shd w:val="clear" w:color="auto" w:fill="auto"/>
          </w:tcPr>
          <w:p w14:paraId="27D99CC1" w14:textId="77777777" w:rsidR="00524B77" w:rsidRPr="00DB707E" w:rsidRDefault="00524B77" w:rsidP="00430B21">
            <w:pPr>
              <w:pStyle w:val="TAH"/>
            </w:pPr>
            <w:r w:rsidRPr="00DB707E">
              <w:t>SSB Ês/Iot</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tcPr>
          <w:p w14:paraId="625F63CA" w14:textId="77777777" w:rsidR="00524B77" w:rsidRPr="00DB707E" w:rsidRDefault="00524B77" w:rsidP="00430B21">
            <w:pPr>
              <w:pStyle w:val="TAH"/>
            </w:pPr>
            <w:r w:rsidRPr="00DB707E">
              <w:t>Io</w:t>
            </w:r>
            <w:r w:rsidRPr="00DB707E">
              <w:rPr>
                <w:vertAlign w:val="superscript"/>
              </w:rPr>
              <w:t xml:space="preserve"> Note 1</w:t>
            </w:r>
            <w:r w:rsidRPr="00DB707E">
              <w:t xml:space="preserve"> range</w:t>
            </w:r>
          </w:p>
        </w:tc>
      </w:tr>
      <w:tr w:rsidR="00524B77" w:rsidRPr="00DB707E" w14:paraId="77993E6A" w14:textId="77777777" w:rsidTr="00430B21">
        <w:trPr>
          <w:jc w:val="center"/>
        </w:trPr>
        <w:tc>
          <w:tcPr>
            <w:tcW w:w="1036" w:type="dxa"/>
            <w:tcBorders>
              <w:left w:val="single" w:sz="4" w:space="0" w:color="auto"/>
              <w:bottom w:val="single" w:sz="4" w:space="0" w:color="auto"/>
              <w:right w:val="single" w:sz="6" w:space="0" w:color="auto"/>
            </w:tcBorders>
            <w:shd w:val="clear" w:color="auto" w:fill="auto"/>
          </w:tcPr>
          <w:p w14:paraId="68F5FC1D" w14:textId="77777777" w:rsidR="00524B77" w:rsidRPr="00DB707E" w:rsidRDefault="00524B77" w:rsidP="00430B21">
            <w:pPr>
              <w:pStyle w:val="TAH"/>
            </w:pPr>
          </w:p>
        </w:tc>
        <w:tc>
          <w:tcPr>
            <w:tcW w:w="1055" w:type="dxa"/>
            <w:tcBorders>
              <w:left w:val="single" w:sz="6" w:space="0" w:color="auto"/>
              <w:bottom w:val="single" w:sz="6" w:space="0" w:color="auto"/>
              <w:right w:val="single" w:sz="6" w:space="0" w:color="auto"/>
            </w:tcBorders>
            <w:shd w:val="clear" w:color="auto" w:fill="auto"/>
          </w:tcPr>
          <w:p w14:paraId="3FD5DF0B" w14:textId="77777777" w:rsidR="00524B77" w:rsidRPr="00DB707E" w:rsidRDefault="00524B77" w:rsidP="00430B21">
            <w:pPr>
              <w:pStyle w:val="TAH"/>
            </w:pPr>
          </w:p>
        </w:tc>
        <w:tc>
          <w:tcPr>
            <w:tcW w:w="833" w:type="dxa"/>
            <w:tcBorders>
              <w:left w:val="single" w:sz="6" w:space="0" w:color="auto"/>
              <w:bottom w:val="single" w:sz="6" w:space="0" w:color="auto"/>
              <w:right w:val="single" w:sz="6" w:space="0" w:color="auto"/>
            </w:tcBorders>
            <w:shd w:val="clear" w:color="auto" w:fill="auto"/>
          </w:tcPr>
          <w:p w14:paraId="0ADA8DA1" w14:textId="77777777" w:rsidR="00524B77" w:rsidRPr="00DB707E" w:rsidRDefault="00524B77" w:rsidP="00430B21">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7D780ACA" w14:textId="77777777" w:rsidR="00524B77" w:rsidRPr="00DB707E" w:rsidRDefault="00524B77" w:rsidP="00430B21">
            <w:pPr>
              <w:pStyle w:val="TAH"/>
            </w:pPr>
            <w:r w:rsidRPr="00DB707E">
              <w:t>NR operating band groups</w:t>
            </w:r>
            <w:r w:rsidRPr="00DB707E">
              <w:rPr>
                <w:vertAlign w:val="superscript"/>
              </w:rPr>
              <w:t xml:space="preserve"> Note 2</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tcPr>
          <w:p w14:paraId="0142D528"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7BF8170D" w14:textId="77777777" w:rsidR="00524B77" w:rsidRPr="00DB707E" w:rsidRDefault="00524B77" w:rsidP="00430B21">
            <w:pPr>
              <w:pStyle w:val="TAH"/>
            </w:pPr>
            <w:r w:rsidRPr="00DB707E">
              <w:t>Maximum Io</w:t>
            </w:r>
          </w:p>
        </w:tc>
      </w:tr>
      <w:tr w:rsidR="00524B77" w:rsidRPr="00DB707E" w14:paraId="2A916EBB" w14:textId="77777777" w:rsidTr="00430B21">
        <w:trPr>
          <w:trHeight w:val="308"/>
          <w:jc w:val="center"/>
        </w:trPr>
        <w:tc>
          <w:tcPr>
            <w:tcW w:w="1036" w:type="dxa"/>
            <w:tcBorders>
              <w:top w:val="single" w:sz="4" w:space="0" w:color="auto"/>
              <w:left w:val="single" w:sz="4" w:space="0" w:color="auto"/>
              <w:right w:val="single" w:sz="6" w:space="0" w:color="auto"/>
            </w:tcBorders>
            <w:shd w:val="clear" w:color="auto" w:fill="auto"/>
          </w:tcPr>
          <w:p w14:paraId="4CFC5514" w14:textId="77777777" w:rsidR="00524B77" w:rsidRPr="00DB707E" w:rsidRDefault="00524B77" w:rsidP="00430B21">
            <w:pPr>
              <w:pStyle w:val="TAH"/>
            </w:pPr>
            <w:r w:rsidRPr="00DB707E">
              <w:t>dB</w:t>
            </w:r>
          </w:p>
        </w:tc>
        <w:tc>
          <w:tcPr>
            <w:tcW w:w="1055" w:type="dxa"/>
            <w:tcBorders>
              <w:top w:val="single" w:sz="6" w:space="0" w:color="auto"/>
              <w:left w:val="single" w:sz="6" w:space="0" w:color="auto"/>
              <w:right w:val="single" w:sz="6" w:space="0" w:color="auto"/>
            </w:tcBorders>
            <w:shd w:val="clear" w:color="auto" w:fill="auto"/>
          </w:tcPr>
          <w:p w14:paraId="0758C1C0" w14:textId="77777777" w:rsidR="00524B77" w:rsidRPr="00DB707E" w:rsidRDefault="00524B77" w:rsidP="00430B21">
            <w:pPr>
              <w:pStyle w:val="TAH"/>
            </w:pPr>
            <w:r w:rsidRPr="00DB707E">
              <w:t>dB</w:t>
            </w:r>
          </w:p>
        </w:tc>
        <w:tc>
          <w:tcPr>
            <w:tcW w:w="833" w:type="dxa"/>
            <w:tcBorders>
              <w:top w:val="single" w:sz="6" w:space="0" w:color="auto"/>
              <w:left w:val="single" w:sz="6" w:space="0" w:color="auto"/>
              <w:right w:val="single" w:sz="6" w:space="0" w:color="auto"/>
            </w:tcBorders>
            <w:shd w:val="clear" w:color="auto" w:fill="auto"/>
          </w:tcPr>
          <w:p w14:paraId="730DA249" w14:textId="77777777" w:rsidR="00524B77" w:rsidRPr="00DB707E" w:rsidRDefault="00524B77" w:rsidP="00430B21">
            <w:pPr>
              <w:pStyle w:val="TAH"/>
            </w:pPr>
            <w:r w:rsidRPr="00DB707E">
              <w:t>dB</w:t>
            </w:r>
          </w:p>
        </w:tc>
        <w:tc>
          <w:tcPr>
            <w:tcW w:w="2530" w:type="dxa"/>
            <w:tcBorders>
              <w:top w:val="single" w:sz="6" w:space="0" w:color="auto"/>
              <w:left w:val="single" w:sz="6" w:space="0" w:color="auto"/>
              <w:right w:val="single" w:sz="4" w:space="0" w:color="auto"/>
            </w:tcBorders>
            <w:shd w:val="clear" w:color="auto" w:fill="auto"/>
          </w:tcPr>
          <w:p w14:paraId="6D17CBEB" w14:textId="77777777" w:rsidR="00524B77" w:rsidRPr="00DB707E" w:rsidRDefault="00524B77" w:rsidP="00430B21">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tcPr>
          <w:p w14:paraId="44F6EAE2"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4F9DCB53"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738E0637" w14:textId="77777777" w:rsidR="00524B77" w:rsidRPr="00DB707E" w:rsidRDefault="00524B77" w:rsidP="00430B21">
            <w:pPr>
              <w:pStyle w:val="TAH"/>
            </w:pPr>
            <w:r w:rsidRPr="00DB707E">
              <w:t>dBm/BW</w:t>
            </w:r>
            <w:r w:rsidRPr="00DB707E">
              <w:rPr>
                <w:vertAlign w:val="subscript"/>
              </w:rPr>
              <w:t>Channel</w:t>
            </w:r>
          </w:p>
        </w:tc>
      </w:tr>
      <w:tr w:rsidR="00524B77" w:rsidRPr="00DB707E" w14:paraId="6B2F1D96" w14:textId="77777777" w:rsidTr="00430B21">
        <w:trPr>
          <w:trHeight w:val="307"/>
          <w:jc w:val="center"/>
        </w:trPr>
        <w:tc>
          <w:tcPr>
            <w:tcW w:w="1036" w:type="dxa"/>
            <w:tcBorders>
              <w:left w:val="single" w:sz="4" w:space="0" w:color="auto"/>
              <w:bottom w:val="single" w:sz="6" w:space="0" w:color="auto"/>
              <w:right w:val="single" w:sz="6" w:space="0" w:color="auto"/>
            </w:tcBorders>
            <w:shd w:val="clear" w:color="auto" w:fill="auto"/>
          </w:tcPr>
          <w:p w14:paraId="2851D46D" w14:textId="77777777" w:rsidR="00524B77" w:rsidRPr="00DB707E" w:rsidRDefault="00524B77" w:rsidP="00430B21">
            <w:pPr>
              <w:pStyle w:val="TAH"/>
            </w:pPr>
          </w:p>
        </w:tc>
        <w:tc>
          <w:tcPr>
            <w:tcW w:w="1055" w:type="dxa"/>
            <w:tcBorders>
              <w:left w:val="single" w:sz="6" w:space="0" w:color="auto"/>
              <w:bottom w:val="single" w:sz="6" w:space="0" w:color="auto"/>
              <w:right w:val="single" w:sz="6" w:space="0" w:color="auto"/>
            </w:tcBorders>
            <w:shd w:val="clear" w:color="auto" w:fill="auto"/>
          </w:tcPr>
          <w:p w14:paraId="664F20ED" w14:textId="77777777" w:rsidR="00524B77" w:rsidRPr="00DB707E" w:rsidRDefault="00524B77" w:rsidP="00430B21">
            <w:pPr>
              <w:pStyle w:val="TAH"/>
            </w:pPr>
          </w:p>
        </w:tc>
        <w:tc>
          <w:tcPr>
            <w:tcW w:w="833" w:type="dxa"/>
            <w:tcBorders>
              <w:left w:val="single" w:sz="6" w:space="0" w:color="auto"/>
              <w:bottom w:val="single" w:sz="6" w:space="0" w:color="auto"/>
              <w:right w:val="single" w:sz="6" w:space="0" w:color="auto"/>
            </w:tcBorders>
            <w:shd w:val="clear" w:color="auto" w:fill="auto"/>
          </w:tcPr>
          <w:p w14:paraId="04AF214F" w14:textId="77777777" w:rsidR="00524B77" w:rsidRPr="00DB707E" w:rsidRDefault="00524B77" w:rsidP="00430B21">
            <w:pPr>
              <w:pStyle w:val="TAH"/>
            </w:pPr>
          </w:p>
        </w:tc>
        <w:tc>
          <w:tcPr>
            <w:tcW w:w="2530" w:type="dxa"/>
            <w:tcBorders>
              <w:left w:val="single" w:sz="6" w:space="0" w:color="auto"/>
              <w:bottom w:val="single" w:sz="6" w:space="0" w:color="auto"/>
              <w:right w:val="single" w:sz="4" w:space="0" w:color="auto"/>
            </w:tcBorders>
            <w:shd w:val="clear" w:color="auto" w:fill="auto"/>
          </w:tcPr>
          <w:p w14:paraId="4D9D74D1" w14:textId="77777777" w:rsidR="00524B77" w:rsidRPr="00DB707E" w:rsidRDefault="00524B77" w:rsidP="00430B21">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2C975AB5"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457F90FE"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49EA45CD"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3B84A808" w14:textId="77777777" w:rsidR="00524B77" w:rsidRPr="00DB707E" w:rsidRDefault="00524B77" w:rsidP="00430B21">
            <w:pPr>
              <w:pStyle w:val="TAH"/>
            </w:pPr>
          </w:p>
        </w:tc>
      </w:tr>
      <w:tr w:rsidR="00524B77" w:rsidRPr="00DB707E" w14:paraId="29FAA7F6" w14:textId="77777777" w:rsidTr="00430B21">
        <w:trPr>
          <w:jc w:val="center"/>
        </w:trPr>
        <w:tc>
          <w:tcPr>
            <w:tcW w:w="1036" w:type="dxa"/>
            <w:tcBorders>
              <w:top w:val="single" w:sz="6" w:space="0" w:color="auto"/>
              <w:left w:val="single" w:sz="4" w:space="0" w:color="auto"/>
              <w:right w:val="single" w:sz="6" w:space="0" w:color="auto"/>
            </w:tcBorders>
            <w:shd w:val="clear" w:color="auto" w:fill="auto"/>
          </w:tcPr>
          <w:p w14:paraId="098EE5CD" w14:textId="77777777" w:rsidR="00524B77" w:rsidRPr="00DB707E" w:rsidRDefault="00524B77" w:rsidP="00430B21">
            <w:pPr>
              <w:pStyle w:val="TAC"/>
            </w:pPr>
          </w:p>
        </w:tc>
        <w:tc>
          <w:tcPr>
            <w:tcW w:w="1055" w:type="dxa"/>
            <w:tcBorders>
              <w:top w:val="single" w:sz="6" w:space="0" w:color="auto"/>
              <w:left w:val="single" w:sz="6" w:space="0" w:color="auto"/>
              <w:right w:val="single" w:sz="6" w:space="0" w:color="auto"/>
            </w:tcBorders>
            <w:shd w:val="clear" w:color="auto" w:fill="auto"/>
          </w:tcPr>
          <w:p w14:paraId="4A12A8F0" w14:textId="77777777" w:rsidR="00524B77" w:rsidRPr="00DB707E" w:rsidRDefault="00524B77" w:rsidP="00430B21">
            <w:pPr>
              <w:pStyle w:val="TAC"/>
            </w:pPr>
          </w:p>
        </w:tc>
        <w:tc>
          <w:tcPr>
            <w:tcW w:w="833" w:type="dxa"/>
            <w:tcBorders>
              <w:top w:val="single" w:sz="6" w:space="0" w:color="auto"/>
              <w:left w:val="single" w:sz="6" w:space="0" w:color="auto"/>
              <w:right w:val="single" w:sz="6" w:space="0" w:color="auto"/>
            </w:tcBorders>
            <w:shd w:val="clear" w:color="auto" w:fill="auto"/>
          </w:tcPr>
          <w:p w14:paraId="48E7D342"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00A05D2D" w14:textId="77777777" w:rsidR="00524B77" w:rsidRPr="00DB707E" w:rsidRDefault="00524B77" w:rsidP="00430B21">
            <w:pPr>
              <w:pStyle w:val="TAC"/>
              <w:rPr>
                <w:rFonts w:cs="Arial"/>
                <w:szCs w:val="18"/>
              </w:rPr>
            </w:pPr>
            <w:r w:rsidRPr="00DB707E">
              <w:rPr>
                <w:rFonts w:cs="Arial"/>
                <w:szCs w:val="18"/>
              </w:rPr>
              <w:t>NR_FDD_FR1_A, NR_TDD_FR1_A,</w:t>
            </w:r>
          </w:p>
          <w:p w14:paraId="232344CA" w14:textId="77777777" w:rsidR="00524B77" w:rsidRPr="00DB707E" w:rsidRDefault="00524B77" w:rsidP="00430B21">
            <w:pPr>
              <w:pStyle w:val="TAC"/>
              <w:rPr>
                <w:rFonts w:cs="Arial"/>
                <w:szCs w:val="18"/>
              </w:rPr>
            </w:pPr>
            <w:r w:rsidRPr="00DB707E">
              <w:rPr>
                <w:rFonts w:cs="Arial"/>
                <w:szCs w:val="18"/>
              </w:rPr>
              <w:t>NR_SDL_FR1_A</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1B12D121" w14:textId="77777777" w:rsidR="00524B77" w:rsidRPr="00DB707E" w:rsidRDefault="00524B77" w:rsidP="00430B21">
            <w:pPr>
              <w:pStyle w:val="TAC"/>
            </w:pPr>
            <w:r w:rsidRPr="00DB707E">
              <w:t>-121</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3BED9281" w14:textId="77777777" w:rsidR="00524B77" w:rsidRPr="00DB707E" w:rsidRDefault="00524B77" w:rsidP="00430B21">
            <w:pPr>
              <w:pStyle w:val="TAC"/>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41A20D7"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96A9C4B" w14:textId="77777777" w:rsidR="00524B77" w:rsidRPr="00DB707E" w:rsidRDefault="00524B77" w:rsidP="00430B21">
            <w:pPr>
              <w:pStyle w:val="TAC"/>
            </w:pPr>
            <w:r w:rsidRPr="00DB707E">
              <w:t>-70</w:t>
            </w:r>
          </w:p>
        </w:tc>
      </w:tr>
      <w:tr w:rsidR="00524B77" w:rsidRPr="00DB707E" w14:paraId="05D40823" w14:textId="77777777" w:rsidTr="00430B21">
        <w:trPr>
          <w:jc w:val="center"/>
        </w:trPr>
        <w:tc>
          <w:tcPr>
            <w:tcW w:w="1036" w:type="dxa"/>
            <w:tcBorders>
              <w:left w:val="single" w:sz="4" w:space="0" w:color="auto"/>
              <w:right w:val="single" w:sz="6" w:space="0" w:color="auto"/>
            </w:tcBorders>
            <w:shd w:val="clear" w:color="auto" w:fill="auto"/>
          </w:tcPr>
          <w:p w14:paraId="100A637C"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tcPr>
          <w:p w14:paraId="79973AB9"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tcPr>
          <w:p w14:paraId="39B4D1A1"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68DAE23B" w14:textId="77777777" w:rsidR="00524B77" w:rsidRPr="00DB707E" w:rsidRDefault="00524B77" w:rsidP="00430B21">
            <w:pPr>
              <w:pStyle w:val="TAC"/>
            </w:pPr>
            <w:r w:rsidRPr="00DB707E">
              <w:t>NR_FDD_FR1_B</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3025DBFC" w14:textId="77777777" w:rsidR="00524B77" w:rsidRPr="00DB707E" w:rsidRDefault="00524B77" w:rsidP="00430B21">
            <w:pPr>
              <w:pStyle w:val="TAC"/>
            </w:pPr>
            <w:r w:rsidRPr="00DB707E">
              <w:t>-120.5</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37751143" w14:textId="77777777" w:rsidR="00524B77" w:rsidRPr="00DB707E" w:rsidRDefault="00524B77" w:rsidP="00430B21">
            <w:pPr>
              <w:pStyle w:val="TAC"/>
              <w:rPr>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1241274"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FE4C12E" w14:textId="77777777" w:rsidR="00524B77" w:rsidRPr="00DB707E" w:rsidRDefault="00524B77" w:rsidP="00430B21">
            <w:pPr>
              <w:pStyle w:val="TAC"/>
            </w:pPr>
            <w:r w:rsidRPr="00DB707E">
              <w:t>-70</w:t>
            </w:r>
          </w:p>
        </w:tc>
      </w:tr>
      <w:tr w:rsidR="00524B77" w:rsidRPr="00DB707E" w14:paraId="5AA35B02" w14:textId="77777777" w:rsidTr="00430B21">
        <w:trPr>
          <w:jc w:val="center"/>
        </w:trPr>
        <w:tc>
          <w:tcPr>
            <w:tcW w:w="1036" w:type="dxa"/>
            <w:tcBorders>
              <w:left w:val="single" w:sz="4" w:space="0" w:color="auto"/>
              <w:right w:val="single" w:sz="6" w:space="0" w:color="auto"/>
            </w:tcBorders>
            <w:shd w:val="clear" w:color="auto" w:fill="auto"/>
          </w:tcPr>
          <w:p w14:paraId="3248D519"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tcPr>
          <w:p w14:paraId="2F23E445"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tcPr>
          <w:p w14:paraId="0EF8E9C9"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7E2D78C4" w14:textId="77777777" w:rsidR="00524B77" w:rsidRPr="00DB707E" w:rsidRDefault="00524B77" w:rsidP="00430B21">
            <w:pPr>
              <w:pStyle w:val="TAC"/>
            </w:pPr>
            <w:r w:rsidRPr="00DB707E">
              <w:t>NR_TDD_FR1_C</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317EF29C" w14:textId="77777777" w:rsidR="00524B77" w:rsidRPr="00DB707E" w:rsidRDefault="00524B77" w:rsidP="00430B21">
            <w:pPr>
              <w:pStyle w:val="TAC"/>
            </w:pPr>
            <w:r w:rsidRPr="00DB707E">
              <w:t>-120</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6E2E2ACD" w14:textId="77777777" w:rsidR="00524B77" w:rsidRPr="00DB707E" w:rsidRDefault="00524B77" w:rsidP="00430B21">
            <w:pPr>
              <w:pStyle w:val="TAC"/>
              <w:rPr>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C2CFC65"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4DBADB1" w14:textId="77777777" w:rsidR="00524B77" w:rsidRPr="00DB707E" w:rsidRDefault="00524B77" w:rsidP="00430B21">
            <w:pPr>
              <w:pStyle w:val="TAC"/>
            </w:pPr>
            <w:r w:rsidRPr="00DB707E">
              <w:t>-70</w:t>
            </w:r>
          </w:p>
        </w:tc>
      </w:tr>
      <w:tr w:rsidR="00524B77" w:rsidRPr="00DB707E" w14:paraId="6BA60C07" w14:textId="77777777" w:rsidTr="00430B21">
        <w:trPr>
          <w:jc w:val="center"/>
        </w:trPr>
        <w:tc>
          <w:tcPr>
            <w:tcW w:w="1036" w:type="dxa"/>
            <w:tcBorders>
              <w:left w:val="single" w:sz="4" w:space="0" w:color="auto"/>
              <w:right w:val="single" w:sz="6" w:space="0" w:color="auto"/>
            </w:tcBorders>
            <w:shd w:val="clear" w:color="auto" w:fill="auto"/>
          </w:tcPr>
          <w:p w14:paraId="47E7314B" w14:textId="77777777" w:rsidR="00524B77" w:rsidRPr="00DB707E" w:rsidRDefault="00524B77" w:rsidP="00430B21">
            <w:pPr>
              <w:pStyle w:val="TAC"/>
            </w:pPr>
            <w:r w:rsidRPr="00DB707E">
              <w:sym w:font="Symbol" w:char="F0B1"/>
            </w:r>
            <w:r w:rsidRPr="00DB707E">
              <w:t>5.5</w:t>
            </w:r>
          </w:p>
        </w:tc>
        <w:tc>
          <w:tcPr>
            <w:tcW w:w="1055" w:type="dxa"/>
            <w:tcBorders>
              <w:left w:val="single" w:sz="6" w:space="0" w:color="auto"/>
              <w:right w:val="single" w:sz="6" w:space="0" w:color="auto"/>
            </w:tcBorders>
            <w:shd w:val="clear" w:color="auto" w:fill="auto"/>
          </w:tcPr>
          <w:p w14:paraId="0B5AF4B9" w14:textId="77777777" w:rsidR="00524B77" w:rsidRPr="00DB707E" w:rsidRDefault="00524B77" w:rsidP="00430B21">
            <w:pPr>
              <w:pStyle w:val="TAC"/>
            </w:pPr>
            <w:r w:rsidRPr="00DB707E">
              <w:sym w:font="Symbol" w:char="F0B1"/>
            </w:r>
            <w:r w:rsidRPr="00DB707E">
              <w:t>10</w:t>
            </w:r>
          </w:p>
        </w:tc>
        <w:tc>
          <w:tcPr>
            <w:tcW w:w="833" w:type="dxa"/>
            <w:tcBorders>
              <w:left w:val="single" w:sz="6" w:space="0" w:color="auto"/>
              <w:right w:val="single" w:sz="6" w:space="0" w:color="auto"/>
            </w:tcBorders>
            <w:shd w:val="clear" w:color="auto" w:fill="auto"/>
          </w:tcPr>
          <w:p w14:paraId="3B6B14F4" w14:textId="77777777" w:rsidR="00524B77" w:rsidRPr="00DB707E" w:rsidRDefault="00524B77" w:rsidP="00430B21">
            <w:pPr>
              <w:pStyle w:val="TAC"/>
            </w:pPr>
            <w:r w:rsidRPr="00DB707E">
              <w:sym w:font="Symbol" w:char="F0B3"/>
            </w:r>
            <w:r w:rsidRPr="00DB707E">
              <w:t>-6</w:t>
            </w: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160FB3E1" w14:textId="77777777" w:rsidR="00524B77" w:rsidRPr="00DB707E" w:rsidRDefault="00524B77" w:rsidP="00430B21">
            <w:pPr>
              <w:pStyle w:val="TAC"/>
              <w:rPr>
                <w:lang w:val="sv-SE"/>
              </w:rPr>
            </w:pPr>
            <w:r w:rsidRPr="00DB707E">
              <w:rPr>
                <w:lang w:val="sv-SE"/>
              </w:rPr>
              <w:t>NR_FDD_FR1_D, NR_TDD_FR1_D</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73746D0B" w14:textId="77777777" w:rsidR="00524B77" w:rsidRPr="00DB707E" w:rsidDel="00FA4A82" w:rsidRDefault="00524B77" w:rsidP="00430B21">
            <w:pPr>
              <w:pStyle w:val="TAC"/>
            </w:pPr>
            <w:r w:rsidRPr="00DB707E">
              <w:t>-119.5</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54882293" w14:textId="77777777" w:rsidR="00524B77" w:rsidRPr="00DB707E" w:rsidDel="00FA4A82" w:rsidRDefault="00524B77" w:rsidP="00430B21">
            <w:pPr>
              <w:pStyle w:val="TAC"/>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5A34AAE"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474B08D" w14:textId="77777777" w:rsidR="00524B77" w:rsidRPr="00DB707E" w:rsidRDefault="00524B77" w:rsidP="00430B21">
            <w:pPr>
              <w:pStyle w:val="TAC"/>
            </w:pPr>
            <w:r w:rsidRPr="00DB707E">
              <w:t>-70</w:t>
            </w:r>
          </w:p>
        </w:tc>
      </w:tr>
      <w:tr w:rsidR="00524B77" w:rsidRPr="00DB707E" w14:paraId="6F502641" w14:textId="77777777" w:rsidTr="00430B21">
        <w:trPr>
          <w:jc w:val="center"/>
        </w:trPr>
        <w:tc>
          <w:tcPr>
            <w:tcW w:w="1036" w:type="dxa"/>
            <w:tcBorders>
              <w:left w:val="single" w:sz="4" w:space="0" w:color="auto"/>
              <w:right w:val="single" w:sz="6" w:space="0" w:color="auto"/>
            </w:tcBorders>
            <w:shd w:val="clear" w:color="auto" w:fill="auto"/>
          </w:tcPr>
          <w:p w14:paraId="5C285D94"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tcPr>
          <w:p w14:paraId="139AEC7B"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tcPr>
          <w:p w14:paraId="396EEBDF"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6F5BA4E6" w14:textId="77777777" w:rsidR="00524B77" w:rsidRPr="00DB707E" w:rsidDel="00836998" w:rsidRDefault="00524B77" w:rsidP="00430B21">
            <w:pPr>
              <w:pStyle w:val="TAC"/>
              <w:rPr>
                <w:lang w:val="sv-SE"/>
              </w:rPr>
            </w:pPr>
            <w:r w:rsidRPr="00DB707E">
              <w:rPr>
                <w:lang w:val="sv-SE"/>
              </w:rPr>
              <w:t>NR_FDD_FR1_E, NR_TDD_FR1_E</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29D1F20F" w14:textId="77777777" w:rsidR="00524B77" w:rsidRPr="00DB707E" w:rsidRDefault="00524B77" w:rsidP="00430B21">
            <w:pPr>
              <w:pStyle w:val="TAC"/>
            </w:pPr>
            <w:r w:rsidRPr="00DB707E">
              <w:t>-119</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763FEF81" w14:textId="77777777" w:rsidR="00524B77" w:rsidRPr="00DB707E" w:rsidRDefault="00524B77" w:rsidP="00430B21">
            <w:pPr>
              <w:pStyle w:val="TAC"/>
              <w:rPr>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DD421B3"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E1D90FE" w14:textId="77777777" w:rsidR="00524B77" w:rsidRPr="00DB707E" w:rsidRDefault="00524B77" w:rsidP="00430B21">
            <w:pPr>
              <w:pStyle w:val="TAC"/>
            </w:pPr>
            <w:r w:rsidRPr="00DB707E">
              <w:t>-70</w:t>
            </w:r>
          </w:p>
        </w:tc>
      </w:tr>
      <w:tr w:rsidR="00524B77" w:rsidRPr="00DB707E" w14:paraId="5C68AFEE" w14:textId="77777777" w:rsidTr="00430B21">
        <w:trPr>
          <w:jc w:val="center"/>
        </w:trPr>
        <w:tc>
          <w:tcPr>
            <w:tcW w:w="1036" w:type="dxa"/>
            <w:tcBorders>
              <w:left w:val="single" w:sz="4" w:space="0" w:color="auto"/>
              <w:right w:val="single" w:sz="6" w:space="0" w:color="auto"/>
            </w:tcBorders>
            <w:shd w:val="clear" w:color="auto" w:fill="auto"/>
          </w:tcPr>
          <w:p w14:paraId="70D87E7A"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tcPr>
          <w:p w14:paraId="3C78F9B1"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tcPr>
          <w:p w14:paraId="080FE062"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641FC459" w14:textId="77777777" w:rsidR="00524B77" w:rsidRPr="00DB707E" w:rsidRDefault="00524B77" w:rsidP="00430B21">
            <w:pPr>
              <w:pStyle w:val="TAC"/>
              <w:rPr>
                <w:lang w:val="sv-SE"/>
              </w:rPr>
            </w:pPr>
            <w:r w:rsidRPr="00DB707E">
              <w:rPr>
                <w:lang w:eastAsia="zh-CN"/>
              </w:rPr>
              <w:t>NR_FDD_FR1_F</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31BC85BD" w14:textId="77777777" w:rsidR="00524B77" w:rsidRPr="00DB707E" w:rsidRDefault="00524B77" w:rsidP="00430B21">
            <w:pPr>
              <w:pStyle w:val="TAC"/>
            </w:pPr>
            <w:r w:rsidRPr="00DB707E">
              <w:t>-118.5</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286383B8"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CC0FE71"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2EDEB4C" w14:textId="77777777" w:rsidR="00524B77" w:rsidRPr="00DB707E" w:rsidRDefault="00524B77" w:rsidP="00430B21">
            <w:pPr>
              <w:pStyle w:val="TAC"/>
            </w:pPr>
            <w:r w:rsidRPr="00DB707E">
              <w:t>-70</w:t>
            </w:r>
          </w:p>
        </w:tc>
      </w:tr>
      <w:tr w:rsidR="00524B77" w:rsidRPr="00DB707E" w14:paraId="061C4CD8" w14:textId="77777777" w:rsidTr="00430B21">
        <w:trPr>
          <w:jc w:val="center"/>
        </w:trPr>
        <w:tc>
          <w:tcPr>
            <w:tcW w:w="1036" w:type="dxa"/>
            <w:tcBorders>
              <w:left w:val="single" w:sz="4" w:space="0" w:color="auto"/>
              <w:right w:val="single" w:sz="6" w:space="0" w:color="auto"/>
            </w:tcBorders>
            <w:shd w:val="clear" w:color="auto" w:fill="auto"/>
          </w:tcPr>
          <w:p w14:paraId="373217D3"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tcPr>
          <w:p w14:paraId="17C8D5BE"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tcPr>
          <w:p w14:paraId="0EBC9692"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73E90985"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4E1F3325" w14:textId="77777777" w:rsidR="00524B77" w:rsidRPr="00DB707E" w:rsidRDefault="00524B77" w:rsidP="00430B21">
            <w:pPr>
              <w:pStyle w:val="TAC"/>
            </w:pPr>
            <w:r w:rsidRPr="00DB707E">
              <w:t>-118</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1DF9E7CA"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73DDF97"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BB767F7" w14:textId="77777777" w:rsidR="00524B77" w:rsidRPr="00DB707E" w:rsidRDefault="00524B77" w:rsidP="00430B21">
            <w:pPr>
              <w:pStyle w:val="TAC"/>
            </w:pPr>
            <w:r w:rsidRPr="00DB707E">
              <w:t>-70</w:t>
            </w:r>
          </w:p>
        </w:tc>
      </w:tr>
      <w:tr w:rsidR="00524B77" w:rsidRPr="00DB707E" w14:paraId="7EBAFB0F" w14:textId="77777777" w:rsidTr="00430B21">
        <w:trPr>
          <w:jc w:val="center"/>
        </w:trPr>
        <w:tc>
          <w:tcPr>
            <w:tcW w:w="1036" w:type="dxa"/>
            <w:tcBorders>
              <w:left w:val="single" w:sz="4" w:space="0" w:color="auto"/>
              <w:right w:val="single" w:sz="6" w:space="0" w:color="auto"/>
            </w:tcBorders>
            <w:shd w:val="clear" w:color="auto" w:fill="auto"/>
          </w:tcPr>
          <w:p w14:paraId="06BCB358"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tcPr>
          <w:p w14:paraId="1038E547"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tcPr>
          <w:p w14:paraId="71C09202"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03AE3FEE"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4ED741D6" w14:textId="77777777" w:rsidR="00524B77" w:rsidRPr="00DB707E" w:rsidRDefault="00524B77" w:rsidP="00430B21">
            <w:pPr>
              <w:pStyle w:val="TAC"/>
            </w:pPr>
            <w:r w:rsidRPr="00DB707E">
              <w:t>-117.5</w:t>
            </w:r>
          </w:p>
        </w:tc>
        <w:tc>
          <w:tcPr>
            <w:tcW w:w="833" w:type="dxa"/>
            <w:tcBorders>
              <w:top w:val="single" w:sz="6" w:space="0" w:color="auto"/>
              <w:left w:val="single" w:sz="4" w:space="0" w:color="auto"/>
              <w:bottom w:val="single" w:sz="6" w:space="0" w:color="auto"/>
              <w:right w:val="single" w:sz="6" w:space="0" w:color="auto"/>
            </w:tcBorders>
            <w:shd w:val="clear" w:color="auto" w:fill="auto"/>
          </w:tcPr>
          <w:p w14:paraId="3305874F"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624AFFF"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880C2B8" w14:textId="77777777" w:rsidR="00524B77" w:rsidRPr="00DB707E" w:rsidRDefault="00524B77" w:rsidP="00430B21">
            <w:pPr>
              <w:pStyle w:val="TAC"/>
            </w:pPr>
            <w:r w:rsidRPr="00DB707E">
              <w:t>-70</w:t>
            </w:r>
          </w:p>
        </w:tc>
      </w:tr>
      <w:tr w:rsidR="00524B77" w:rsidRPr="00DB707E" w14:paraId="69AAE338" w14:textId="77777777" w:rsidTr="00430B21">
        <w:trPr>
          <w:jc w:val="center"/>
        </w:trPr>
        <w:tc>
          <w:tcPr>
            <w:tcW w:w="1036" w:type="dxa"/>
            <w:tcBorders>
              <w:top w:val="single" w:sz="6" w:space="0" w:color="auto"/>
              <w:left w:val="single" w:sz="4" w:space="0" w:color="auto"/>
              <w:bottom w:val="single" w:sz="6" w:space="0" w:color="auto"/>
              <w:right w:val="single" w:sz="6" w:space="0" w:color="auto"/>
            </w:tcBorders>
            <w:shd w:val="clear" w:color="auto" w:fill="auto"/>
          </w:tcPr>
          <w:p w14:paraId="663E7624" w14:textId="77777777" w:rsidR="00524B77" w:rsidRPr="00DB707E" w:rsidRDefault="00524B77" w:rsidP="00430B21">
            <w:pPr>
              <w:pStyle w:val="TAC"/>
            </w:pPr>
            <w:r w:rsidRPr="00DB707E">
              <w:sym w:font="Symbol" w:char="F0B1"/>
            </w:r>
            <w:r w:rsidRPr="00DB707E">
              <w:t>9</w:t>
            </w:r>
          </w:p>
        </w:tc>
        <w:tc>
          <w:tcPr>
            <w:tcW w:w="1055" w:type="dxa"/>
            <w:tcBorders>
              <w:top w:val="single" w:sz="6" w:space="0" w:color="auto"/>
              <w:left w:val="single" w:sz="6" w:space="0" w:color="auto"/>
              <w:bottom w:val="single" w:sz="6" w:space="0" w:color="auto"/>
              <w:right w:val="single" w:sz="6" w:space="0" w:color="auto"/>
            </w:tcBorders>
            <w:shd w:val="clear" w:color="auto" w:fill="auto"/>
          </w:tcPr>
          <w:p w14:paraId="0547417C" w14:textId="77777777" w:rsidR="00524B77" w:rsidRPr="00DB707E" w:rsidRDefault="00524B77" w:rsidP="00430B21">
            <w:pPr>
              <w:pStyle w:val="TAC"/>
            </w:pPr>
            <w:r w:rsidRPr="00DB707E">
              <w:sym w:font="Symbol" w:char="F0B1"/>
            </w:r>
            <w:r w:rsidRPr="00DB707E">
              <w:t>12</w:t>
            </w:r>
          </w:p>
        </w:tc>
        <w:tc>
          <w:tcPr>
            <w:tcW w:w="833" w:type="dxa"/>
            <w:tcBorders>
              <w:top w:val="single" w:sz="6" w:space="0" w:color="auto"/>
              <w:left w:val="single" w:sz="6" w:space="0" w:color="auto"/>
              <w:bottom w:val="single" w:sz="6" w:space="0" w:color="auto"/>
              <w:right w:val="single" w:sz="6" w:space="0" w:color="auto"/>
            </w:tcBorders>
            <w:shd w:val="clear" w:color="auto" w:fill="auto"/>
          </w:tcPr>
          <w:p w14:paraId="19A7F5EF" w14:textId="77777777" w:rsidR="00524B77" w:rsidRPr="00DB707E" w:rsidRDefault="00524B77" w:rsidP="00430B21">
            <w:pPr>
              <w:pStyle w:val="TAC"/>
            </w:pPr>
            <w:r w:rsidRPr="00DB707E">
              <w:sym w:font="Symbol" w:char="F0B3"/>
            </w:r>
            <w:r w:rsidRPr="00DB707E">
              <w:t>-6</w:t>
            </w: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5B929B07" w14:textId="77777777" w:rsidR="00524B77" w:rsidRPr="00DB707E" w:rsidRDefault="00524B77" w:rsidP="00430B21">
            <w:pPr>
              <w:pStyle w:val="TAC"/>
            </w:pPr>
            <w:r w:rsidRPr="00DB707E">
              <w:t>NR_FDD_FR1_A, NR_TDD_FR1_A,</w:t>
            </w:r>
          </w:p>
          <w:p w14:paraId="22524724" w14:textId="77777777" w:rsidR="00524B77" w:rsidRPr="00DB707E" w:rsidRDefault="00524B77" w:rsidP="00430B21">
            <w:pPr>
              <w:pStyle w:val="TAC"/>
            </w:pPr>
            <w:r w:rsidRPr="00DB707E">
              <w:rPr>
                <w:rFonts w:cs="Arial"/>
              </w:rPr>
              <w:t>NR_SDL_FR1_A</w:t>
            </w:r>
            <w:r w:rsidRPr="00DB707E">
              <w:t>,</w:t>
            </w:r>
          </w:p>
          <w:p w14:paraId="4980039F" w14:textId="77777777" w:rsidR="00524B77" w:rsidRPr="00DB707E" w:rsidRDefault="00524B77" w:rsidP="00430B21">
            <w:pPr>
              <w:pStyle w:val="TAC"/>
            </w:pPr>
            <w:r w:rsidRPr="00DB707E">
              <w:t>NR_FDD_FR1_B, NR_TDD_FR1_C, NR_FDD_FR1_D, NR_TDD_FR1_D, NR_FDD_FR1_E, NR_TDD_FR1_E, NR_FDD_FR1_F,</w:t>
            </w:r>
          </w:p>
          <w:p w14:paraId="4F17D8E8" w14:textId="77777777" w:rsidR="00524B77" w:rsidRPr="00DB707E" w:rsidRDefault="00524B77" w:rsidP="00430B21">
            <w:pPr>
              <w:pStyle w:val="TAC"/>
              <w:rPr>
                <w:lang w:val="sv-FI"/>
              </w:rPr>
            </w:pPr>
            <w:r w:rsidRPr="00DB707E">
              <w:rPr>
                <w:lang w:val="sv-FI"/>
              </w:rPr>
              <w:t>NR_FDD_FR1_G, NR_FDD_FR1_H</w:t>
            </w:r>
          </w:p>
        </w:tc>
        <w:tc>
          <w:tcPr>
            <w:tcW w:w="1005" w:type="dxa"/>
            <w:tcBorders>
              <w:top w:val="single" w:sz="6" w:space="0" w:color="auto"/>
              <w:left w:val="single" w:sz="4" w:space="0" w:color="auto"/>
              <w:bottom w:val="single" w:sz="4" w:space="0" w:color="auto"/>
              <w:right w:val="single" w:sz="6" w:space="0" w:color="auto"/>
            </w:tcBorders>
            <w:shd w:val="clear" w:color="auto" w:fill="auto"/>
          </w:tcPr>
          <w:p w14:paraId="60E91691" w14:textId="77777777" w:rsidR="00524B77" w:rsidRPr="00DB707E" w:rsidRDefault="00524B77" w:rsidP="00430B21">
            <w:pPr>
              <w:pStyle w:val="TAC"/>
            </w:pPr>
            <w:r w:rsidRPr="00DB707E">
              <w:t>N/A</w:t>
            </w:r>
          </w:p>
        </w:tc>
        <w:tc>
          <w:tcPr>
            <w:tcW w:w="833" w:type="dxa"/>
            <w:tcBorders>
              <w:top w:val="single" w:sz="6" w:space="0" w:color="auto"/>
              <w:left w:val="single" w:sz="4" w:space="0" w:color="auto"/>
              <w:bottom w:val="single" w:sz="4" w:space="0" w:color="auto"/>
              <w:right w:val="single" w:sz="6" w:space="0" w:color="auto"/>
            </w:tcBorders>
            <w:shd w:val="clear" w:color="auto" w:fill="auto"/>
          </w:tcPr>
          <w:p w14:paraId="6913B428" w14:textId="77777777" w:rsidR="00524B77" w:rsidRPr="00DB707E" w:rsidRDefault="00524B77" w:rsidP="00430B21">
            <w:pPr>
              <w:pStyle w:val="TAC"/>
              <w:rPr>
                <w:lang w:eastAsia="zh-CN"/>
              </w:rPr>
            </w:pPr>
            <w:r w:rsidRPr="00DB707E">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33F3498F" w14:textId="77777777" w:rsidR="00524B77" w:rsidRPr="00DB707E" w:rsidRDefault="00524B77" w:rsidP="00430B21">
            <w:pPr>
              <w:pStyle w:val="TAC"/>
            </w:pPr>
            <w:r w:rsidRPr="00DB707E">
              <w:t>-70</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1759C36D" w14:textId="77777777" w:rsidR="00524B77" w:rsidRPr="00DB707E" w:rsidRDefault="00524B77" w:rsidP="00430B21">
            <w:pPr>
              <w:pStyle w:val="TAC"/>
            </w:pPr>
            <w:r w:rsidRPr="00DB707E">
              <w:t>-50</w:t>
            </w:r>
          </w:p>
        </w:tc>
      </w:tr>
      <w:tr w:rsidR="00524B77" w:rsidRPr="00DB707E" w14:paraId="03C09C7E"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BDBC524" w14:textId="77777777" w:rsidR="00524B77" w:rsidRPr="00DB707E" w:rsidRDefault="00524B77" w:rsidP="00430B21">
            <w:pPr>
              <w:keepNext/>
              <w:keepLines/>
              <w:spacing w:after="0"/>
              <w:ind w:left="851" w:hanging="851"/>
              <w:rPr>
                <w:rFonts w:ascii="Arial" w:hAnsi="Arial"/>
                <w:sz w:val="18"/>
              </w:rPr>
            </w:pPr>
            <w:r w:rsidRPr="00DB707E">
              <w:rPr>
                <w:rFonts w:ascii="Arial" w:hAnsi="Arial"/>
                <w:sz w:val="18"/>
              </w:rPr>
              <w:t>NOTE 1:</w:t>
            </w:r>
            <w:r w:rsidRPr="00DB707E">
              <w:rPr>
                <w:rFonts w:ascii="Arial" w:hAnsi="Arial"/>
                <w:sz w:val="18"/>
              </w:rPr>
              <w:tab/>
              <w:t>Io is assumed to have constant EPRE across the bandwidth.</w:t>
            </w:r>
          </w:p>
          <w:p w14:paraId="1926E234" w14:textId="77777777" w:rsidR="00524B77" w:rsidRPr="00DB707E" w:rsidRDefault="00524B77" w:rsidP="00430B21">
            <w:pPr>
              <w:keepNext/>
              <w:keepLines/>
              <w:spacing w:after="0"/>
              <w:ind w:left="851" w:hanging="851"/>
            </w:pPr>
            <w:r w:rsidRPr="00DB707E">
              <w:rPr>
                <w:rFonts w:ascii="Arial" w:hAnsi="Arial"/>
                <w:sz w:val="18"/>
              </w:rPr>
              <w:t>NOTE 2:</w:t>
            </w:r>
            <w:r w:rsidRPr="00DB707E">
              <w:rPr>
                <w:rFonts w:ascii="Arial" w:hAnsi="Arial"/>
                <w:sz w:val="18"/>
              </w:rPr>
              <w:tab/>
              <w:t>NR operating band groups in FR1 are as defined in clause 3.5.2.</w:t>
            </w:r>
          </w:p>
        </w:tc>
      </w:tr>
    </w:tbl>
    <w:p w14:paraId="0F4038B6" w14:textId="77777777" w:rsidR="00524B77" w:rsidRPr="00DB707E" w:rsidRDefault="00524B77" w:rsidP="00524B77">
      <w:pPr>
        <w:rPr>
          <w:lang w:eastAsia="zh-CN"/>
        </w:rPr>
      </w:pPr>
    </w:p>
    <w:p w14:paraId="2DCC54AB" w14:textId="77777777" w:rsidR="00524B77" w:rsidRPr="00DB707E" w:rsidRDefault="00524B77" w:rsidP="00524B77">
      <w:pPr>
        <w:pStyle w:val="Heading5"/>
      </w:pPr>
      <w:r w:rsidRPr="00DB707E">
        <w:t>10.1A.2.1.2</w:t>
      </w:r>
      <w:r w:rsidRPr="00DB707E">
        <w:tab/>
        <w:t xml:space="preserve">Relative </w:t>
      </w:r>
      <w:r w:rsidRPr="00DB707E">
        <w:rPr>
          <w:lang w:val="en-US"/>
        </w:rPr>
        <w:t xml:space="preserve">SS-RSRP </w:t>
      </w:r>
      <w:r w:rsidRPr="00DB707E">
        <w:t>Accuracy</w:t>
      </w:r>
    </w:p>
    <w:p w14:paraId="12D8E097" w14:textId="77777777" w:rsidR="00524B77" w:rsidRPr="00DB707E" w:rsidRDefault="00524B77" w:rsidP="00524B77">
      <w:pPr>
        <w:rPr>
          <w:rFonts w:cs="v4.2.0"/>
        </w:rPr>
      </w:pPr>
      <w:r w:rsidRPr="00DB707E">
        <w:rPr>
          <w:rFonts w:cs="v4.2.0"/>
        </w:rPr>
        <w:t xml:space="preserve">The accuracy requirements in clause </w:t>
      </w:r>
      <w:r w:rsidRPr="00DB707E">
        <w:t>10.1.2.1.2</w:t>
      </w:r>
      <w:r w:rsidRPr="00DB707E">
        <w:rPr>
          <w:rFonts w:cs="v4.2.0"/>
        </w:rPr>
        <w:t xml:space="preserve"> shall apply when RedCap UE is capable of 2Rx. When UE is only required to support 1RX, the absolute accuracy requirements in Table </w:t>
      </w:r>
      <w:r w:rsidRPr="00DB707E">
        <w:rPr>
          <w:rFonts w:cs="v4.2.0"/>
          <w:lang w:eastAsia="zh-CN"/>
        </w:rPr>
        <w:t>10.1A.2.1.2</w:t>
      </w:r>
      <w:r w:rsidRPr="00DB707E">
        <w:rPr>
          <w:rFonts w:cs="v4.2.0"/>
        </w:rPr>
        <w:t>-1 are valid under the following conditions:</w:t>
      </w:r>
    </w:p>
    <w:p w14:paraId="252CCABD" w14:textId="77777777" w:rsidR="00524B77" w:rsidRPr="00DB707E" w:rsidRDefault="00524B77" w:rsidP="00524B77">
      <w:pPr>
        <w:pStyle w:val="B10"/>
        <w:rPr>
          <w:lang w:eastAsia="zh-CN"/>
        </w:rPr>
      </w:pPr>
      <w:r w:rsidRPr="00DB707E">
        <w:t>-</w:t>
      </w:r>
      <w:r w:rsidRPr="00DB707E">
        <w:tab/>
        <w:t>Conditions defined in clause 7.3 of TS 38.101-1 [18] for reference sensitivity are fulfilled.</w:t>
      </w:r>
    </w:p>
    <w:p w14:paraId="426A6BE2" w14:textId="77777777" w:rsidR="00524B77" w:rsidRPr="00DB707E" w:rsidRDefault="00524B77" w:rsidP="00524B77">
      <w:pPr>
        <w:pStyle w:val="B10"/>
      </w:pPr>
      <w:r w:rsidRPr="00DB707E">
        <w:t>-</w:t>
      </w:r>
      <w:r w:rsidRPr="00DB707E">
        <w:tab/>
        <w:t>Conditions for intra-frequency measurements are fulfilled according to Annex B.2.2 for a corresponding Band for each relevant SSB.</w:t>
      </w:r>
    </w:p>
    <w:p w14:paraId="07B991ED" w14:textId="77777777" w:rsidR="00524B77" w:rsidRPr="00DB707E" w:rsidRDefault="00524B77" w:rsidP="00524B77">
      <w:pPr>
        <w:pStyle w:val="TH"/>
      </w:pPr>
      <w:r w:rsidRPr="00DB707E">
        <w:t>Table 10.1A.2.1.2-1: SS-RSRP Intra frequency relative accuracy for 1Rx RedCap UE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524B77" w:rsidRPr="00DB707E" w14:paraId="526378DF" w14:textId="77777777" w:rsidTr="00430B2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751FD5E2" w14:textId="77777777" w:rsidR="00524B77" w:rsidRPr="00DB707E" w:rsidRDefault="00524B77" w:rsidP="00430B21">
            <w:pPr>
              <w:pStyle w:val="TAH"/>
            </w:pPr>
            <w:r w:rsidRPr="00DB707E">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615D466C" w14:textId="77777777" w:rsidR="00524B77" w:rsidRPr="00DB707E" w:rsidRDefault="00524B77" w:rsidP="00430B21">
            <w:pPr>
              <w:pStyle w:val="TAH"/>
            </w:pPr>
            <w:r w:rsidRPr="00DB707E">
              <w:t>Conditions</w:t>
            </w:r>
          </w:p>
        </w:tc>
      </w:tr>
      <w:tr w:rsidR="00524B77" w:rsidRPr="00DB707E" w14:paraId="3A6376F7" w14:textId="77777777" w:rsidTr="00430B21">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4D20E278" w14:textId="77777777" w:rsidR="00524B77" w:rsidRPr="00DB707E" w:rsidRDefault="00524B77" w:rsidP="00430B21">
            <w:pPr>
              <w:pStyle w:val="TAH"/>
            </w:pPr>
            <w:r w:rsidRPr="00DB707E">
              <w:t>Normal condition</w:t>
            </w:r>
          </w:p>
        </w:tc>
        <w:tc>
          <w:tcPr>
            <w:tcW w:w="1049" w:type="dxa"/>
            <w:tcBorders>
              <w:top w:val="single" w:sz="6" w:space="0" w:color="auto"/>
              <w:left w:val="single" w:sz="6" w:space="0" w:color="auto"/>
              <w:bottom w:val="single" w:sz="4" w:space="0" w:color="auto"/>
              <w:right w:val="single" w:sz="6" w:space="0" w:color="auto"/>
            </w:tcBorders>
            <w:shd w:val="clear" w:color="auto" w:fill="auto"/>
          </w:tcPr>
          <w:p w14:paraId="019CFF2C" w14:textId="77777777" w:rsidR="00524B77" w:rsidRPr="00DB707E" w:rsidRDefault="00524B77" w:rsidP="00430B21">
            <w:pPr>
              <w:pStyle w:val="TAH"/>
            </w:pPr>
            <w:r w:rsidRPr="00DB707E">
              <w:t>Extreme condition</w:t>
            </w:r>
          </w:p>
        </w:tc>
        <w:tc>
          <w:tcPr>
            <w:tcW w:w="807" w:type="dxa"/>
            <w:tcBorders>
              <w:top w:val="single" w:sz="4" w:space="0" w:color="auto"/>
              <w:left w:val="single" w:sz="6" w:space="0" w:color="auto"/>
              <w:bottom w:val="single" w:sz="4" w:space="0" w:color="auto"/>
              <w:right w:val="single" w:sz="6" w:space="0" w:color="auto"/>
            </w:tcBorders>
            <w:shd w:val="clear" w:color="auto" w:fill="auto"/>
          </w:tcPr>
          <w:p w14:paraId="7EF5EBD6" w14:textId="77777777" w:rsidR="00524B77" w:rsidRPr="00DB707E" w:rsidRDefault="00524B77" w:rsidP="00430B21">
            <w:pPr>
              <w:pStyle w:val="TAH"/>
            </w:pPr>
            <w:r w:rsidRPr="00DB707E">
              <w:t>SSB Ês/Iot</w:t>
            </w:r>
            <w:r w:rsidRPr="00DB707E">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tcPr>
          <w:p w14:paraId="3B655B11" w14:textId="77777777" w:rsidR="00524B77" w:rsidRPr="00DB707E" w:rsidRDefault="00524B77" w:rsidP="00430B21">
            <w:pPr>
              <w:pStyle w:val="TAH"/>
            </w:pPr>
            <w:r w:rsidRPr="00DB707E">
              <w:t>Io</w:t>
            </w:r>
            <w:r w:rsidRPr="00DB707E">
              <w:rPr>
                <w:vertAlign w:val="superscript"/>
              </w:rPr>
              <w:t xml:space="preserve"> Note 1</w:t>
            </w:r>
            <w:r w:rsidRPr="00DB707E">
              <w:t xml:space="preserve"> range</w:t>
            </w:r>
          </w:p>
        </w:tc>
      </w:tr>
      <w:tr w:rsidR="00524B77" w:rsidRPr="00DB707E" w14:paraId="1ACC92BD" w14:textId="77777777" w:rsidTr="00430B21">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14D7A8C4" w14:textId="77777777" w:rsidR="00524B77" w:rsidRPr="00DB707E" w:rsidRDefault="00524B77" w:rsidP="00430B21">
            <w:pPr>
              <w:pStyle w:val="TAH"/>
            </w:pPr>
          </w:p>
        </w:tc>
        <w:tc>
          <w:tcPr>
            <w:tcW w:w="1049" w:type="dxa"/>
            <w:tcBorders>
              <w:top w:val="single" w:sz="4" w:space="0" w:color="auto"/>
              <w:left w:val="single" w:sz="6" w:space="0" w:color="auto"/>
              <w:bottom w:val="single" w:sz="6" w:space="0" w:color="auto"/>
              <w:right w:val="single" w:sz="6" w:space="0" w:color="auto"/>
            </w:tcBorders>
            <w:shd w:val="clear" w:color="auto" w:fill="auto"/>
          </w:tcPr>
          <w:p w14:paraId="3072222C" w14:textId="77777777" w:rsidR="00524B77" w:rsidRPr="00DB707E" w:rsidRDefault="00524B77" w:rsidP="00430B21">
            <w:pPr>
              <w:pStyle w:val="TAH"/>
            </w:pPr>
          </w:p>
        </w:tc>
        <w:tc>
          <w:tcPr>
            <w:tcW w:w="807" w:type="dxa"/>
            <w:tcBorders>
              <w:top w:val="single" w:sz="4" w:space="0" w:color="auto"/>
              <w:left w:val="single" w:sz="6" w:space="0" w:color="auto"/>
              <w:bottom w:val="single" w:sz="6" w:space="0" w:color="auto"/>
              <w:right w:val="single" w:sz="6" w:space="0" w:color="auto"/>
            </w:tcBorders>
            <w:shd w:val="clear" w:color="auto" w:fill="auto"/>
          </w:tcPr>
          <w:p w14:paraId="2595C9F4" w14:textId="77777777" w:rsidR="00524B77" w:rsidRPr="00DB707E" w:rsidRDefault="00524B77" w:rsidP="00430B21">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7E71528E" w14:textId="77777777" w:rsidR="00524B77" w:rsidRPr="00DB707E" w:rsidRDefault="00524B77" w:rsidP="00430B21">
            <w:pPr>
              <w:pStyle w:val="TAH"/>
            </w:pPr>
            <w:r w:rsidRPr="00DB707E">
              <w:t>NR operating band groups</w:t>
            </w:r>
            <w:r w:rsidRPr="00DB707E">
              <w:rPr>
                <w:vertAlign w:val="superscript"/>
              </w:rPr>
              <w:t xml:space="preserve"> Note 4</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tcPr>
          <w:p w14:paraId="5C790546"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29CC39A7" w14:textId="77777777" w:rsidR="00524B77" w:rsidRPr="00DB707E" w:rsidRDefault="00524B77" w:rsidP="00430B21">
            <w:pPr>
              <w:pStyle w:val="TAH"/>
            </w:pPr>
            <w:r w:rsidRPr="00DB707E">
              <w:t>Maximum Io</w:t>
            </w:r>
          </w:p>
        </w:tc>
      </w:tr>
      <w:tr w:rsidR="00524B77" w:rsidRPr="00DB707E" w14:paraId="07E5AE8F" w14:textId="77777777" w:rsidTr="00430B21">
        <w:trPr>
          <w:trHeight w:val="308"/>
          <w:jc w:val="center"/>
        </w:trPr>
        <w:tc>
          <w:tcPr>
            <w:tcW w:w="1033" w:type="dxa"/>
            <w:tcBorders>
              <w:top w:val="single" w:sz="6" w:space="0" w:color="auto"/>
              <w:left w:val="single" w:sz="4" w:space="0" w:color="auto"/>
              <w:right w:val="single" w:sz="6" w:space="0" w:color="auto"/>
            </w:tcBorders>
            <w:shd w:val="clear" w:color="auto" w:fill="auto"/>
          </w:tcPr>
          <w:p w14:paraId="352612AF" w14:textId="77777777" w:rsidR="00524B77" w:rsidRPr="00DB707E" w:rsidRDefault="00524B77" w:rsidP="00430B21">
            <w:pPr>
              <w:pStyle w:val="TAH"/>
            </w:pPr>
            <w:r w:rsidRPr="00DB707E">
              <w:t>dB</w:t>
            </w:r>
          </w:p>
        </w:tc>
        <w:tc>
          <w:tcPr>
            <w:tcW w:w="1049" w:type="dxa"/>
            <w:tcBorders>
              <w:top w:val="single" w:sz="6" w:space="0" w:color="auto"/>
              <w:left w:val="single" w:sz="6" w:space="0" w:color="auto"/>
              <w:right w:val="single" w:sz="6" w:space="0" w:color="auto"/>
            </w:tcBorders>
            <w:shd w:val="clear" w:color="auto" w:fill="auto"/>
          </w:tcPr>
          <w:p w14:paraId="10A79BFE" w14:textId="77777777" w:rsidR="00524B77" w:rsidRPr="00DB707E" w:rsidRDefault="00524B77" w:rsidP="00430B21">
            <w:pPr>
              <w:pStyle w:val="TAH"/>
            </w:pPr>
            <w:r w:rsidRPr="00DB707E">
              <w:t>dB</w:t>
            </w:r>
          </w:p>
        </w:tc>
        <w:tc>
          <w:tcPr>
            <w:tcW w:w="807" w:type="dxa"/>
            <w:tcBorders>
              <w:top w:val="single" w:sz="6" w:space="0" w:color="auto"/>
              <w:left w:val="single" w:sz="6" w:space="0" w:color="auto"/>
              <w:right w:val="single" w:sz="6" w:space="0" w:color="auto"/>
            </w:tcBorders>
            <w:shd w:val="clear" w:color="auto" w:fill="auto"/>
          </w:tcPr>
          <w:p w14:paraId="09181FA4" w14:textId="77777777" w:rsidR="00524B77" w:rsidRPr="00DB707E" w:rsidRDefault="00524B77" w:rsidP="00430B21">
            <w:pPr>
              <w:pStyle w:val="TAH"/>
            </w:pPr>
            <w:r w:rsidRPr="00DB707E">
              <w:t>dB</w:t>
            </w:r>
          </w:p>
        </w:tc>
        <w:tc>
          <w:tcPr>
            <w:tcW w:w="2349" w:type="dxa"/>
            <w:tcBorders>
              <w:top w:val="single" w:sz="6" w:space="0" w:color="auto"/>
              <w:left w:val="single" w:sz="6" w:space="0" w:color="auto"/>
              <w:right w:val="single" w:sz="4" w:space="0" w:color="auto"/>
            </w:tcBorders>
            <w:shd w:val="clear" w:color="auto" w:fill="auto"/>
          </w:tcPr>
          <w:p w14:paraId="7D828B2D" w14:textId="77777777" w:rsidR="00524B77" w:rsidRPr="00DB707E" w:rsidRDefault="00524B77" w:rsidP="00430B21">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tcPr>
          <w:p w14:paraId="14222AD2"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7DD17C4C"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689A70C9" w14:textId="77777777" w:rsidR="00524B77" w:rsidRPr="00DB707E" w:rsidRDefault="00524B77" w:rsidP="00430B21">
            <w:pPr>
              <w:pStyle w:val="TAH"/>
            </w:pPr>
            <w:r w:rsidRPr="00DB707E">
              <w:t>dBm/BW</w:t>
            </w:r>
            <w:r w:rsidRPr="00DB707E">
              <w:rPr>
                <w:vertAlign w:val="subscript"/>
              </w:rPr>
              <w:t>Channel</w:t>
            </w:r>
          </w:p>
        </w:tc>
      </w:tr>
      <w:tr w:rsidR="00524B77" w:rsidRPr="00DB707E" w14:paraId="5B7F861E" w14:textId="77777777" w:rsidTr="00430B21">
        <w:trPr>
          <w:trHeight w:val="307"/>
          <w:jc w:val="center"/>
        </w:trPr>
        <w:tc>
          <w:tcPr>
            <w:tcW w:w="1033" w:type="dxa"/>
            <w:tcBorders>
              <w:left w:val="single" w:sz="4" w:space="0" w:color="auto"/>
              <w:bottom w:val="single" w:sz="6" w:space="0" w:color="auto"/>
              <w:right w:val="single" w:sz="6" w:space="0" w:color="auto"/>
            </w:tcBorders>
            <w:shd w:val="clear" w:color="auto" w:fill="auto"/>
          </w:tcPr>
          <w:p w14:paraId="116647C5" w14:textId="77777777" w:rsidR="00524B77" w:rsidRPr="00DB707E" w:rsidRDefault="00524B77" w:rsidP="00430B21">
            <w:pPr>
              <w:pStyle w:val="TAH"/>
            </w:pPr>
          </w:p>
        </w:tc>
        <w:tc>
          <w:tcPr>
            <w:tcW w:w="1049" w:type="dxa"/>
            <w:tcBorders>
              <w:left w:val="single" w:sz="6" w:space="0" w:color="auto"/>
              <w:bottom w:val="single" w:sz="6" w:space="0" w:color="auto"/>
              <w:right w:val="single" w:sz="6" w:space="0" w:color="auto"/>
            </w:tcBorders>
            <w:shd w:val="clear" w:color="auto" w:fill="auto"/>
          </w:tcPr>
          <w:p w14:paraId="1BDBFD4D" w14:textId="77777777" w:rsidR="00524B77" w:rsidRPr="00DB707E" w:rsidRDefault="00524B77" w:rsidP="00430B21">
            <w:pPr>
              <w:pStyle w:val="TAH"/>
            </w:pPr>
          </w:p>
        </w:tc>
        <w:tc>
          <w:tcPr>
            <w:tcW w:w="807" w:type="dxa"/>
            <w:tcBorders>
              <w:left w:val="single" w:sz="6" w:space="0" w:color="auto"/>
              <w:bottom w:val="single" w:sz="6" w:space="0" w:color="auto"/>
              <w:right w:val="single" w:sz="6" w:space="0" w:color="auto"/>
            </w:tcBorders>
            <w:shd w:val="clear" w:color="auto" w:fill="auto"/>
          </w:tcPr>
          <w:p w14:paraId="6191374E" w14:textId="77777777" w:rsidR="00524B77" w:rsidRPr="00DB707E" w:rsidRDefault="00524B77" w:rsidP="00430B21">
            <w:pPr>
              <w:pStyle w:val="TAH"/>
            </w:pPr>
          </w:p>
        </w:tc>
        <w:tc>
          <w:tcPr>
            <w:tcW w:w="2349" w:type="dxa"/>
            <w:tcBorders>
              <w:left w:val="single" w:sz="6" w:space="0" w:color="auto"/>
              <w:bottom w:val="single" w:sz="6" w:space="0" w:color="auto"/>
              <w:right w:val="single" w:sz="4" w:space="0" w:color="auto"/>
            </w:tcBorders>
            <w:shd w:val="clear" w:color="auto" w:fill="auto"/>
          </w:tcPr>
          <w:p w14:paraId="1B039E5A" w14:textId="77777777" w:rsidR="00524B77" w:rsidRPr="00DB707E" w:rsidRDefault="00524B77" w:rsidP="00430B2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4DEB590"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EE85179"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518A41AF"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4006AF4A" w14:textId="77777777" w:rsidR="00524B77" w:rsidRPr="00DB707E" w:rsidRDefault="00524B77" w:rsidP="00430B21">
            <w:pPr>
              <w:pStyle w:val="TAH"/>
            </w:pPr>
          </w:p>
        </w:tc>
      </w:tr>
      <w:tr w:rsidR="00524B77" w:rsidRPr="00DB707E" w14:paraId="493C0CE9" w14:textId="77777777" w:rsidTr="00430B21">
        <w:trPr>
          <w:jc w:val="center"/>
        </w:trPr>
        <w:tc>
          <w:tcPr>
            <w:tcW w:w="1033" w:type="dxa"/>
            <w:tcBorders>
              <w:top w:val="single" w:sz="6" w:space="0" w:color="auto"/>
              <w:left w:val="single" w:sz="4" w:space="0" w:color="auto"/>
              <w:right w:val="single" w:sz="6" w:space="0" w:color="auto"/>
            </w:tcBorders>
            <w:shd w:val="clear" w:color="auto" w:fill="auto"/>
          </w:tcPr>
          <w:p w14:paraId="46491DBE" w14:textId="77777777" w:rsidR="00524B77" w:rsidRPr="00DB707E" w:rsidRDefault="00524B77" w:rsidP="00430B21">
            <w:pPr>
              <w:pStyle w:val="TAC"/>
            </w:pPr>
          </w:p>
        </w:tc>
        <w:tc>
          <w:tcPr>
            <w:tcW w:w="1049" w:type="dxa"/>
            <w:tcBorders>
              <w:top w:val="single" w:sz="6" w:space="0" w:color="auto"/>
              <w:left w:val="single" w:sz="6" w:space="0" w:color="auto"/>
              <w:right w:val="single" w:sz="6" w:space="0" w:color="auto"/>
            </w:tcBorders>
            <w:shd w:val="clear" w:color="auto" w:fill="auto"/>
          </w:tcPr>
          <w:p w14:paraId="7E06CAA0" w14:textId="77777777" w:rsidR="00524B77" w:rsidRPr="00DB707E" w:rsidRDefault="00524B77" w:rsidP="00430B21">
            <w:pPr>
              <w:pStyle w:val="TAC"/>
            </w:pPr>
          </w:p>
        </w:tc>
        <w:tc>
          <w:tcPr>
            <w:tcW w:w="807" w:type="dxa"/>
            <w:tcBorders>
              <w:top w:val="single" w:sz="6" w:space="0" w:color="auto"/>
              <w:left w:val="single" w:sz="6" w:space="0" w:color="auto"/>
              <w:right w:val="single" w:sz="6" w:space="0" w:color="auto"/>
            </w:tcBorders>
            <w:shd w:val="clear" w:color="auto" w:fill="auto"/>
          </w:tcPr>
          <w:p w14:paraId="65985CB3"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2129338B" w14:textId="77777777" w:rsidR="00524B77" w:rsidRPr="00DB707E" w:rsidRDefault="00524B77" w:rsidP="00430B21">
            <w:pPr>
              <w:pStyle w:val="TAC"/>
              <w:rPr>
                <w:rFonts w:cs="Arial"/>
                <w:szCs w:val="18"/>
              </w:rPr>
            </w:pPr>
            <w:r w:rsidRPr="00DB707E">
              <w:rPr>
                <w:rFonts w:cs="Arial"/>
                <w:szCs w:val="18"/>
              </w:rPr>
              <w:t>NR_FDD_FR1_A, NR_TDD_FR1_A,</w:t>
            </w:r>
          </w:p>
          <w:p w14:paraId="44AB2048" w14:textId="77777777" w:rsidR="00524B77" w:rsidRPr="00DB707E" w:rsidRDefault="00524B77" w:rsidP="00430B21">
            <w:pPr>
              <w:pStyle w:val="TAC"/>
              <w:rPr>
                <w:rFonts w:cs="Arial"/>
                <w:szCs w:val="18"/>
              </w:rPr>
            </w:pPr>
            <w:r w:rsidRPr="00DB707E">
              <w:rPr>
                <w:rFonts w:cs="Arial"/>
                <w:szCs w:val="18"/>
              </w:rPr>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4023A40" w14:textId="77777777" w:rsidR="00524B77" w:rsidRPr="00DB707E" w:rsidRDefault="00524B77" w:rsidP="00430B21">
            <w:pPr>
              <w:pStyle w:val="TAC"/>
            </w:pPr>
            <w:r w:rsidRPr="00DB707E">
              <w:t>-121</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481B020" w14:textId="77777777" w:rsidR="00524B77" w:rsidRPr="00DB707E" w:rsidRDefault="00524B77" w:rsidP="00430B21">
            <w:pPr>
              <w:pStyle w:val="TAC"/>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E4E6D4D"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1C40D39" w14:textId="77777777" w:rsidR="00524B77" w:rsidRPr="00DB707E" w:rsidRDefault="00524B77" w:rsidP="00430B21">
            <w:pPr>
              <w:pStyle w:val="TAC"/>
            </w:pPr>
            <w:r w:rsidRPr="00DB707E">
              <w:t>-50</w:t>
            </w:r>
          </w:p>
        </w:tc>
      </w:tr>
      <w:tr w:rsidR="00524B77" w:rsidRPr="00DB707E" w14:paraId="236C907F" w14:textId="77777777" w:rsidTr="00430B21">
        <w:trPr>
          <w:jc w:val="center"/>
        </w:trPr>
        <w:tc>
          <w:tcPr>
            <w:tcW w:w="1033" w:type="dxa"/>
            <w:tcBorders>
              <w:left w:val="single" w:sz="4" w:space="0" w:color="auto"/>
              <w:right w:val="single" w:sz="6" w:space="0" w:color="auto"/>
            </w:tcBorders>
            <w:shd w:val="clear" w:color="auto" w:fill="auto"/>
          </w:tcPr>
          <w:p w14:paraId="1FC8323E"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5E3C4811"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49A5A252"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7250FE13" w14:textId="77777777" w:rsidR="00524B77" w:rsidRPr="00DB707E" w:rsidRDefault="00524B77" w:rsidP="00430B21">
            <w:pPr>
              <w:pStyle w:val="TAC"/>
            </w:pPr>
            <w:r w:rsidRPr="00DB707E">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8301A63" w14:textId="77777777" w:rsidR="00524B77" w:rsidRPr="00DB707E" w:rsidRDefault="00524B77" w:rsidP="00430B21">
            <w:pPr>
              <w:pStyle w:val="TAC"/>
            </w:pPr>
            <w:r w:rsidRPr="00DB707E">
              <w:t>-120.5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87108A0" w14:textId="77777777" w:rsidR="00524B77" w:rsidRPr="00DB707E" w:rsidRDefault="00524B77" w:rsidP="00430B21">
            <w:pPr>
              <w:pStyle w:val="TAC"/>
              <w:rPr>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364D8F7"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EE4325A" w14:textId="77777777" w:rsidR="00524B77" w:rsidRPr="00DB707E" w:rsidRDefault="00524B77" w:rsidP="00430B21">
            <w:pPr>
              <w:pStyle w:val="TAC"/>
            </w:pPr>
            <w:r w:rsidRPr="00DB707E">
              <w:t>-50</w:t>
            </w:r>
          </w:p>
        </w:tc>
      </w:tr>
      <w:tr w:rsidR="00524B77" w:rsidRPr="00DB707E" w14:paraId="29EE90D6" w14:textId="77777777" w:rsidTr="00430B21">
        <w:trPr>
          <w:jc w:val="center"/>
        </w:trPr>
        <w:tc>
          <w:tcPr>
            <w:tcW w:w="1033" w:type="dxa"/>
            <w:tcBorders>
              <w:left w:val="single" w:sz="4" w:space="0" w:color="auto"/>
              <w:right w:val="single" w:sz="6" w:space="0" w:color="auto"/>
            </w:tcBorders>
            <w:shd w:val="clear" w:color="auto" w:fill="auto"/>
          </w:tcPr>
          <w:p w14:paraId="16F01DE6"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14B7B828"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67208177"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65138F24" w14:textId="77777777" w:rsidR="00524B77" w:rsidRPr="00DB707E" w:rsidRDefault="00524B77" w:rsidP="00430B21">
            <w:pPr>
              <w:pStyle w:val="TAC"/>
            </w:pPr>
            <w:r w:rsidRPr="00DB707E">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A673AE9" w14:textId="77777777" w:rsidR="00524B77" w:rsidRPr="00DB707E" w:rsidRDefault="00524B77" w:rsidP="00430B21">
            <w:pPr>
              <w:pStyle w:val="TAC"/>
            </w:pPr>
            <w:r w:rsidRPr="00DB707E">
              <w:t>-120</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54BC687" w14:textId="77777777" w:rsidR="00524B77" w:rsidRPr="00DB707E" w:rsidRDefault="00524B77" w:rsidP="00430B21">
            <w:pPr>
              <w:pStyle w:val="TAC"/>
              <w:rPr>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70BE043"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DA76585" w14:textId="77777777" w:rsidR="00524B77" w:rsidRPr="00DB707E" w:rsidRDefault="00524B77" w:rsidP="00430B21">
            <w:pPr>
              <w:pStyle w:val="TAC"/>
            </w:pPr>
            <w:r w:rsidRPr="00DB707E">
              <w:t>-50</w:t>
            </w:r>
          </w:p>
        </w:tc>
      </w:tr>
      <w:tr w:rsidR="00524B77" w:rsidRPr="00DB707E" w14:paraId="042043D9" w14:textId="77777777" w:rsidTr="00430B21">
        <w:trPr>
          <w:jc w:val="center"/>
        </w:trPr>
        <w:tc>
          <w:tcPr>
            <w:tcW w:w="1033" w:type="dxa"/>
            <w:tcBorders>
              <w:left w:val="single" w:sz="4" w:space="0" w:color="auto"/>
              <w:right w:val="single" w:sz="6" w:space="0" w:color="auto"/>
            </w:tcBorders>
            <w:shd w:val="clear" w:color="auto" w:fill="auto"/>
          </w:tcPr>
          <w:p w14:paraId="40371C56" w14:textId="77777777" w:rsidR="00524B77" w:rsidRPr="00DB707E" w:rsidRDefault="00524B77" w:rsidP="00430B21">
            <w:pPr>
              <w:pStyle w:val="TAC"/>
            </w:pPr>
            <w:r w:rsidRPr="00DB707E">
              <w:sym w:font="Symbol" w:char="F0B1"/>
            </w:r>
            <w:r w:rsidRPr="00DB707E">
              <w:t>3</w:t>
            </w:r>
          </w:p>
        </w:tc>
        <w:tc>
          <w:tcPr>
            <w:tcW w:w="1049" w:type="dxa"/>
            <w:tcBorders>
              <w:left w:val="single" w:sz="6" w:space="0" w:color="auto"/>
              <w:right w:val="single" w:sz="6" w:space="0" w:color="auto"/>
            </w:tcBorders>
            <w:shd w:val="clear" w:color="auto" w:fill="auto"/>
          </w:tcPr>
          <w:p w14:paraId="1D46EABB" w14:textId="77777777" w:rsidR="00524B77" w:rsidRPr="00DB707E" w:rsidRDefault="00524B77" w:rsidP="00430B21">
            <w:pPr>
              <w:pStyle w:val="TAC"/>
            </w:pPr>
            <w:r w:rsidRPr="00DB707E">
              <w:sym w:font="Symbol" w:char="F0B1"/>
            </w:r>
            <w:r w:rsidRPr="00DB707E">
              <w:t>4</w:t>
            </w:r>
          </w:p>
        </w:tc>
        <w:tc>
          <w:tcPr>
            <w:tcW w:w="807" w:type="dxa"/>
            <w:tcBorders>
              <w:left w:val="single" w:sz="6" w:space="0" w:color="auto"/>
              <w:right w:val="single" w:sz="6" w:space="0" w:color="auto"/>
            </w:tcBorders>
            <w:shd w:val="clear" w:color="auto" w:fill="auto"/>
          </w:tcPr>
          <w:p w14:paraId="44A7D975" w14:textId="77777777" w:rsidR="00524B77" w:rsidRPr="00DB707E" w:rsidRDefault="00524B77" w:rsidP="00430B21">
            <w:pPr>
              <w:pStyle w:val="TAC"/>
            </w:pPr>
            <w:r w:rsidRPr="00DB707E">
              <w:sym w:font="Symbol" w:char="F0B3"/>
            </w:r>
            <w:r w:rsidRPr="00DB707E">
              <w:t>-3</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764E28F4" w14:textId="77777777" w:rsidR="00524B77" w:rsidRPr="00DB707E" w:rsidRDefault="00524B77" w:rsidP="00430B21">
            <w:pPr>
              <w:pStyle w:val="TAC"/>
              <w:rPr>
                <w:lang w:val="sv-SE"/>
              </w:rPr>
            </w:pPr>
            <w:r w:rsidRPr="00DB707E">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F861579" w14:textId="77777777" w:rsidR="00524B77" w:rsidRPr="00DB707E" w:rsidRDefault="00524B77" w:rsidP="00430B21">
            <w:pPr>
              <w:pStyle w:val="TAC"/>
            </w:pPr>
            <w:r w:rsidRPr="00DB707E">
              <w:t>-119.5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5F28E1C" w14:textId="77777777" w:rsidR="00524B77" w:rsidRPr="00DB707E" w:rsidRDefault="00524B77" w:rsidP="00430B21">
            <w:pPr>
              <w:pStyle w:val="TAC"/>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542A92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95F3279" w14:textId="77777777" w:rsidR="00524B77" w:rsidRPr="00DB707E" w:rsidRDefault="00524B77" w:rsidP="00430B21">
            <w:pPr>
              <w:pStyle w:val="TAC"/>
            </w:pPr>
            <w:r w:rsidRPr="00DB707E">
              <w:t>-50</w:t>
            </w:r>
          </w:p>
        </w:tc>
      </w:tr>
      <w:tr w:rsidR="00524B77" w:rsidRPr="00DB707E" w14:paraId="585133EC" w14:textId="77777777" w:rsidTr="00430B21">
        <w:trPr>
          <w:jc w:val="center"/>
        </w:trPr>
        <w:tc>
          <w:tcPr>
            <w:tcW w:w="1033" w:type="dxa"/>
            <w:tcBorders>
              <w:left w:val="single" w:sz="4" w:space="0" w:color="auto"/>
              <w:right w:val="single" w:sz="6" w:space="0" w:color="auto"/>
            </w:tcBorders>
            <w:shd w:val="clear" w:color="auto" w:fill="auto"/>
          </w:tcPr>
          <w:p w14:paraId="64D780EB"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3A79B434"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6A02F9E4"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0F399937" w14:textId="77777777" w:rsidR="00524B77" w:rsidRPr="00DB707E" w:rsidDel="00836998" w:rsidRDefault="00524B77" w:rsidP="00430B21">
            <w:pPr>
              <w:pStyle w:val="TAC"/>
              <w:rPr>
                <w:lang w:val="sv-SE"/>
              </w:rPr>
            </w:pPr>
            <w:r w:rsidRPr="00DB707E">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FB79059" w14:textId="77777777" w:rsidR="00524B77" w:rsidRPr="00DB707E" w:rsidRDefault="00524B77" w:rsidP="00430B21">
            <w:pPr>
              <w:pStyle w:val="TAC"/>
            </w:pPr>
            <w:r w:rsidRPr="00DB707E">
              <w:t>-119</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029771B" w14:textId="77777777" w:rsidR="00524B77" w:rsidRPr="00DB707E" w:rsidRDefault="00524B77" w:rsidP="00430B21">
            <w:pPr>
              <w:pStyle w:val="TAC"/>
              <w:rPr>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1CB194E"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7969EA7" w14:textId="77777777" w:rsidR="00524B77" w:rsidRPr="00DB707E" w:rsidRDefault="00524B77" w:rsidP="00430B21">
            <w:pPr>
              <w:pStyle w:val="TAC"/>
            </w:pPr>
            <w:r w:rsidRPr="00DB707E">
              <w:t>-50</w:t>
            </w:r>
          </w:p>
        </w:tc>
      </w:tr>
      <w:tr w:rsidR="00524B77" w:rsidRPr="00DB707E" w14:paraId="2DD2DC41" w14:textId="77777777" w:rsidTr="00430B21">
        <w:trPr>
          <w:jc w:val="center"/>
        </w:trPr>
        <w:tc>
          <w:tcPr>
            <w:tcW w:w="1033" w:type="dxa"/>
            <w:tcBorders>
              <w:left w:val="single" w:sz="4" w:space="0" w:color="auto"/>
              <w:right w:val="single" w:sz="6" w:space="0" w:color="auto"/>
            </w:tcBorders>
            <w:shd w:val="clear" w:color="auto" w:fill="auto"/>
          </w:tcPr>
          <w:p w14:paraId="3E41DAF9"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7F7A4E0E"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121179DB"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437C8952" w14:textId="77777777" w:rsidR="00524B77" w:rsidRPr="00DB707E" w:rsidRDefault="00524B77" w:rsidP="00430B21">
            <w:pPr>
              <w:pStyle w:val="TAC"/>
              <w:rPr>
                <w:lang w:val="sv-SE"/>
              </w:rPr>
            </w:pPr>
            <w:r w:rsidRPr="00DB707E">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BACE290" w14:textId="77777777" w:rsidR="00524B77" w:rsidRPr="00DB707E" w:rsidRDefault="00524B77" w:rsidP="00430B21">
            <w:pPr>
              <w:pStyle w:val="TAC"/>
            </w:pPr>
            <w:r w:rsidRPr="00DB707E">
              <w:t>-118.5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27C64A2"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92D8F25"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3D92E52" w14:textId="77777777" w:rsidR="00524B77" w:rsidRPr="00DB707E" w:rsidRDefault="00524B77" w:rsidP="00430B21">
            <w:pPr>
              <w:pStyle w:val="TAC"/>
            </w:pPr>
            <w:r w:rsidRPr="00DB707E">
              <w:t>-50</w:t>
            </w:r>
          </w:p>
        </w:tc>
      </w:tr>
      <w:tr w:rsidR="00524B77" w:rsidRPr="00DB707E" w14:paraId="120224EE" w14:textId="77777777" w:rsidTr="00430B21">
        <w:trPr>
          <w:jc w:val="center"/>
        </w:trPr>
        <w:tc>
          <w:tcPr>
            <w:tcW w:w="1033" w:type="dxa"/>
            <w:tcBorders>
              <w:left w:val="single" w:sz="4" w:space="0" w:color="auto"/>
              <w:right w:val="single" w:sz="6" w:space="0" w:color="auto"/>
            </w:tcBorders>
            <w:shd w:val="clear" w:color="auto" w:fill="auto"/>
          </w:tcPr>
          <w:p w14:paraId="0D5862A3"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12CCC376"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54733AD7"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63A5340D"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3CAD0C8" w14:textId="77777777" w:rsidR="00524B77" w:rsidRPr="00DB707E" w:rsidRDefault="00524B77" w:rsidP="00430B21">
            <w:pPr>
              <w:pStyle w:val="TAC"/>
            </w:pPr>
            <w:r w:rsidRPr="00DB707E">
              <w:t>-118</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6B85E60"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A095AED"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3F1E59B" w14:textId="77777777" w:rsidR="00524B77" w:rsidRPr="00DB707E" w:rsidRDefault="00524B77" w:rsidP="00430B21">
            <w:pPr>
              <w:pStyle w:val="TAC"/>
            </w:pPr>
            <w:r w:rsidRPr="00DB707E">
              <w:t>-50</w:t>
            </w:r>
          </w:p>
        </w:tc>
      </w:tr>
      <w:tr w:rsidR="00524B77" w:rsidRPr="00DB707E" w14:paraId="5D4DF3F5" w14:textId="77777777" w:rsidTr="00430B21">
        <w:trPr>
          <w:jc w:val="center"/>
        </w:trPr>
        <w:tc>
          <w:tcPr>
            <w:tcW w:w="1033" w:type="dxa"/>
            <w:tcBorders>
              <w:left w:val="single" w:sz="4" w:space="0" w:color="auto"/>
              <w:right w:val="single" w:sz="6" w:space="0" w:color="auto"/>
            </w:tcBorders>
            <w:shd w:val="clear" w:color="auto" w:fill="auto"/>
          </w:tcPr>
          <w:p w14:paraId="774F8C15"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41BE08BA"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32618E3B"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639A2BEC"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C93E94F" w14:textId="77777777" w:rsidR="00524B77" w:rsidRPr="00DB707E" w:rsidRDefault="00524B77" w:rsidP="00430B21">
            <w:pPr>
              <w:pStyle w:val="TAC"/>
            </w:pPr>
            <w:r w:rsidRPr="00DB707E">
              <w:t>-117.5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16A36BE"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2C2F5F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C62972A" w14:textId="77777777" w:rsidR="00524B77" w:rsidRPr="00DB707E" w:rsidRDefault="00524B77" w:rsidP="00430B21">
            <w:pPr>
              <w:pStyle w:val="TAC"/>
            </w:pPr>
            <w:r w:rsidRPr="00DB707E">
              <w:t>-50</w:t>
            </w:r>
          </w:p>
        </w:tc>
      </w:tr>
      <w:tr w:rsidR="00524B77" w:rsidRPr="00DB707E" w14:paraId="11CB59AF" w14:textId="77777777" w:rsidTr="00430B21">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1294E5B5" w14:textId="77777777" w:rsidR="00524B77" w:rsidRPr="00DB707E" w:rsidRDefault="00524B77" w:rsidP="00430B21">
            <w:pPr>
              <w:pStyle w:val="TAC"/>
            </w:pPr>
            <w:r w:rsidRPr="00DB707E">
              <w:sym w:font="Symbol" w:char="F0B1"/>
            </w:r>
            <w:r w:rsidRPr="00DB707E">
              <w:t>4</w:t>
            </w:r>
          </w:p>
        </w:tc>
        <w:tc>
          <w:tcPr>
            <w:tcW w:w="1049" w:type="dxa"/>
            <w:tcBorders>
              <w:top w:val="single" w:sz="6" w:space="0" w:color="auto"/>
              <w:left w:val="single" w:sz="6" w:space="0" w:color="auto"/>
              <w:bottom w:val="single" w:sz="6" w:space="0" w:color="auto"/>
              <w:right w:val="single" w:sz="6" w:space="0" w:color="auto"/>
            </w:tcBorders>
            <w:shd w:val="clear" w:color="auto" w:fill="auto"/>
          </w:tcPr>
          <w:p w14:paraId="753D1336" w14:textId="77777777" w:rsidR="00524B77" w:rsidRPr="00DB707E" w:rsidRDefault="00524B77" w:rsidP="00430B21">
            <w:pPr>
              <w:pStyle w:val="TAC"/>
            </w:pPr>
            <w:r w:rsidRPr="00DB707E">
              <w:sym w:font="Symbol" w:char="F0B1"/>
            </w:r>
            <w:r w:rsidRPr="00DB707E">
              <w:t>4</w:t>
            </w:r>
          </w:p>
        </w:tc>
        <w:tc>
          <w:tcPr>
            <w:tcW w:w="807" w:type="dxa"/>
            <w:tcBorders>
              <w:top w:val="single" w:sz="6" w:space="0" w:color="auto"/>
              <w:left w:val="single" w:sz="6" w:space="0" w:color="auto"/>
              <w:bottom w:val="single" w:sz="6" w:space="0" w:color="auto"/>
              <w:right w:val="single" w:sz="6" w:space="0" w:color="auto"/>
            </w:tcBorders>
            <w:shd w:val="clear" w:color="auto" w:fill="auto"/>
          </w:tcPr>
          <w:p w14:paraId="4317033E" w14:textId="77777777" w:rsidR="00524B77" w:rsidRPr="00DB707E" w:rsidRDefault="00524B77" w:rsidP="00430B21">
            <w:pPr>
              <w:pStyle w:val="TAC"/>
            </w:pPr>
            <w:r w:rsidRPr="00DB707E">
              <w:sym w:font="Symbol" w:char="F0B3"/>
            </w:r>
            <w:r w:rsidRPr="00DB707E">
              <w:t>-6</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64E4287B" w14:textId="77777777" w:rsidR="00524B77" w:rsidRPr="00DB707E" w:rsidRDefault="00524B77" w:rsidP="00430B21">
            <w:pPr>
              <w:pStyle w:val="TAC"/>
            </w:pPr>
            <w:r w:rsidRPr="00DB707E">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1FF1D10D" w14:textId="77777777" w:rsidR="00524B77" w:rsidRPr="00DB707E" w:rsidRDefault="00524B77" w:rsidP="00430B21">
            <w:pPr>
              <w:pStyle w:val="TAC"/>
            </w:pPr>
            <w:r w:rsidRPr="00DB707E">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1AED9573" w14:textId="77777777" w:rsidR="00524B77" w:rsidRPr="00DB707E" w:rsidRDefault="00524B77" w:rsidP="00430B21">
            <w:pPr>
              <w:pStyle w:val="TAC"/>
            </w:pPr>
            <w:r w:rsidRPr="00DB707E">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278B195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1E572FA4" w14:textId="77777777" w:rsidR="00524B77" w:rsidRPr="00DB707E" w:rsidRDefault="00524B77" w:rsidP="00430B21">
            <w:pPr>
              <w:pStyle w:val="TAC"/>
            </w:pPr>
            <w:r w:rsidRPr="00DB707E">
              <w:t>Note 3</w:t>
            </w:r>
          </w:p>
        </w:tc>
      </w:tr>
      <w:tr w:rsidR="00524B77" w:rsidRPr="00DB707E" w14:paraId="06454D70"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413C3D68" w14:textId="77777777" w:rsidR="00524B77" w:rsidRPr="00DB707E" w:rsidRDefault="00524B77" w:rsidP="00430B21">
            <w:pPr>
              <w:pStyle w:val="TAN"/>
            </w:pPr>
            <w:r w:rsidRPr="00DB707E">
              <w:t>NOTE 1:</w:t>
            </w:r>
            <w:r w:rsidRPr="00DB707E">
              <w:tab/>
              <w:t>Io is assumed to have constant EPRE across the bandwidth.</w:t>
            </w:r>
          </w:p>
          <w:p w14:paraId="3F0C866A" w14:textId="77777777" w:rsidR="00524B77" w:rsidRPr="00DB707E" w:rsidRDefault="00524B77" w:rsidP="00430B21">
            <w:pPr>
              <w:pStyle w:val="TAN"/>
            </w:pPr>
            <w:r w:rsidRPr="00DB707E">
              <w:t>NOTE 2:</w:t>
            </w:r>
            <w:r w:rsidRPr="00DB707E">
              <w:tab/>
              <w:t>The parameter SSB Ês/Iot is the minimum SSB Ês/Iot of the pair of cells to which the requirement applies.</w:t>
            </w:r>
          </w:p>
          <w:p w14:paraId="5E8D5CDC" w14:textId="77777777" w:rsidR="00524B77" w:rsidRPr="00DB707E" w:rsidRDefault="00524B77" w:rsidP="00430B21">
            <w:pPr>
              <w:pStyle w:val="TAN"/>
            </w:pPr>
            <w:r w:rsidRPr="00DB707E">
              <w:t>NOTE 3:</w:t>
            </w:r>
            <w:r w:rsidRPr="00DB707E">
              <w:tab/>
              <w:t>The same bands and the same Io conditions for each band apply for this requirement as for the corresponding highest accuracy requirement.</w:t>
            </w:r>
          </w:p>
          <w:p w14:paraId="70304148" w14:textId="77777777" w:rsidR="00524B77" w:rsidRPr="00DB707E" w:rsidRDefault="00524B77" w:rsidP="00430B21">
            <w:pPr>
              <w:pStyle w:val="TAN"/>
            </w:pPr>
            <w:r w:rsidRPr="00DB707E">
              <w:t>NOTE 4:</w:t>
            </w:r>
            <w:r w:rsidRPr="00DB707E">
              <w:tab/>
              <w:t>NR operating band groups in FR1 are as defined in clause 3.5.2.</w:t>
            </w:r>
          </w:p>
        </w:tc>
      </w:tr>
    </w:tbl>
    <w:p w14:paraId="2BB872EB" w14:textId="77777777" w:rsidR="00524B77" w:rsidRPr="00DB707E" w:rsidRDefault="00524B77" w:rsidP="00524B77">
      <w:pPr>
        <w:pStyle w:val="B10"/>
      </w:pPr>
    </w:p>
    <w:p w14:paraId="5E1D61CF" w14:textId="77777777" w:rsidR="00524B77" w:rsidRPr="00DB707E" w:rsidRDefault="00524B77" w:rsidP="00524B77">
      <w:pPr>
        <w:pStyle w:val="Heading3"/>
        <w:rPr>
          <w:lang w:val="en-US"/>
        </w:rPr>
      </w:pPr>
      <w:r w:rsidRPr="00DB707E">
        <w:rPr>
          <w:lang w:val="en-US"/>
        </w:rPr>
        <w:t>10.1A.3</w:t>
      </w:r>
      <w:r w:rsidRPr="00DB707E">
        <w:rPr>
          <w:lang w:val="en-US"/>
        </w:rPr>
        <w:tab/>
        <w:t>Intra-frequency RSRP accuracy requirements for FR2</w:t>
      </w:r>
    </w:p>
    <w:p w14:paraId="283E2422" w14:textId="77777777" w:rsidR="00524B77" w:rsidRPr="00DB707E" w:rsidRDefault="00524B77" w:rsidP="00524B77">
      <w:pPr>
        <w:pStyle w:val="Heading4"/>
        <w:rPr>
          <w:lang w:val="en-US"/>
        </w:rPr>
      </w:pPr>
      <w:r w:rsidRPr="00DB707E">
        <w:rPr>
          <w:lang w:val="en-US"/>
        </w:rPr>
        <w:t>10.1A.3.1</w:t>
      </w:r>
      <w:r w:rsidRPr="00DB707E">
        <w:rPr>
          <w:lang w:val="en-US"/>
        </w:rPr>
        <w:tab/>
        <w:t>Intra-frequency SS-RSRP accuracy requirements</w:t>
      </w:r>
    </w:p>
    <w:p w14:paraId="72FCEF56" w14:textId="77777777" w:rsidR="00524B77" w:rsidRPr="00DB707E" w:rsidRDefault="00524B77" w:rsidP="00524B77">
      <w:pPr>
        <w:pStyle w:val="Heading5"/>
      </w:pPr>
      <w:r w:rsidRPr="00DB707E">
        <w:t>10.1A.3.1.1</w:t>
      </w:r>
      <w:r w:rsidRPr="00DB707E">
        <w:tab/>
        <w:t xml:space="preserve">Absolute </w:t>
      </w:r>
      <w:r w:rsidRPr="00DB707E">
        <w:rPr>
          <w:lang w:val="en-US"/>
        </w:rPr>
        <w:t xml:space="preserve">SS-RSRP </w:t>
      </w:r>
      <w:r w:rsidRPr="00DB707E">
        <w:t>Accuracy</w:t>
      </w:r>
    </w:p>
    <w:p w14:paraId="6C769EEA" w14:textId="77777777" w:rsidR="00524B77" w:rsidRPr="00DB707E" w:rsidRDefault="00524B77" w:rsidP="00524B77">
      <w:pPr>
        <w:rPr>
          <w:lang w:eastAsia="zh-CN"/>
        </w:rPr>
      </w:pPr>
      <w:r w:rsidRPr="00DB707E">
        <w:rPr>
          <w:rFonts w:cs="v4.2.0"/>
        </w:rPr>
        <w:t xml:space="preserve">The accuracy requirements in clause </w:t>
      </w:r>
      <w:r w:rsidRPr="00DB707E">
        <w:t>10.1.3.1.1</w:t>
      </w:r>
      <w:r w:rsidRPr="00DB707E">
        <w:rPr>
          <w:rFonts w:cs="v4.2.0"/>
        </w:rPr>
        <w:t xml:space="preserve"> shall apply.</w:t>
      </w:r>
    </w:p>
    <w:p w14:paraId="1DBB6DC6" w14:textId="77777777" w:rsidR="00524B77" w:rsidRPr="00DB707E" w:rsidRDefault="00524B77" w:rsidP="00524B77">
      <w:pPr>
        <w:pStyle w:val="Heading5"/>
      </w:pPr>
      <w:r w:rsidRPr="00DB707E">
        <w:t>10.1A.3.1.2</w:t>
      </w:r>
      <w:r w:rsidRPr="00DB707E">
        <w:tab/>
        <w:t>Relative SS-RSRP Accuracy</w:t>
      </w:r>
    </w:p>
    <w:p w14:paraId="3A6EF4A9" w14:textId="77777777" w:rsidR="00524B77" w:rsidRPr="00DB707E" w:rsidRDefault="00524B77" w:rsidP="00524B77">
      <w:pPr>
        <w:rPr>
          <w:lang w:eastAsia="zh-CN"/>
        </w:rPr>
      </w:pPr>
      <w:r w:rsidRPr="00DB707E">
        <w:rPr>
          <w:rFonts w:cs="v4.2.0"/>
        </w:rPr>
        <w:t xml:space="preserve">The accuracy requirements in clause </w:t>
      </w:r>
      <w:r w:rsidRPr="00DB707E">
        <w:t>10.1.3.1.2</w:t>
      </w:r>
      <w:r w:rsidRPr="00DB707E">
        <w:rPr>
          <w:rFonts w:cs="v4.2.0"/>
        </w:rPr>
        <w:t xml:space="preserve"> shall apply.</w:t>
      </w:r>
    </w:p>
    <w:p w14:paraId="4DACC5EB" w14:textId="77777777" w:rsidR="00524B77" w:rsidRPr="00DB707E" w:rsidRDefault="00524B77" w:rsidP="00524B77">
      <w:pPr>
        <w:pStyle w:val="Heading3"/>
        <w:rPr>
          <w:lang w:val="en-US" w:eastAsia="ko-KR"/>
        </w:rPr>
      </w:pPr>
      <w:r w:rsidRPr="00DB707E">
        <w:rPr>
          <w:lang w:val="en-US" w:eastAsia="ko-KR"/>
        </w:rPr>
        <w:t>10.1A.4</w:t>
      </w:r>
      <w:r w:rsidRPr="00DB707E">
        <w:rPr>
          <w:lang w:val="en-US" w:eastAsia="ko-KR"/>
        </w:rPr>
        <w:tab/>
        <w:t xml:space="preserve">Inter-frequency RSRP accuracy requirements </w:t>
      </w:r>
      <w:r w:rsidRPr="00DB707E">
        <w:rPr>
          <w:lang w:val="en-US" w:eastAsia="zh-CN"/>
        </w:rPr>
        <w:t>for</w:t>
      </w:r>
      <w:r w:rsidRPr="00DB707E">
        <w:rPr>
          <w:lang w:val="en-US" w:eastAsia="ko-KR"/>
        </w:rPr>
        <w:t xml:space="preserve"> FR1</w:t>
      </w:r>
    </w:p>
    <w:p w14:paraId="7831AFFE" w14:textId="77777777" w:rsidR="00524B77" w:rsidRPr="00DB707E" w:rsidRDefault="00524B77" w:rsidP="00524B77">
      <w:pPr>
        <w:pStyle w:val="Heading4"/>
        <w:rPr>
          <w:lang w:val="en-US" w:eastAsia="zh-CN"/>
        </w:rPr>
      </w:pPr>
      <w:r w:rsidRPr="00DB707E">
        <w:rPr>
          <w:lang w:val="en-US" w:eastAsia="zh-CN"/>
        </w:rPr>
        <w:t>10.1A.4.1</w:t>
      </w:r>
      <w:r w:rsidRPr="00DB707E">
        <w:rPr>
          <w:lang w:val="en-US" w:eastAsia="zh-CN"/>
        </w:rPr>
        <w:tab/>
      </w:r>
      <w:r w:rsidRPr="00DB707E">
        <w:rPr>
          <w:lang w:val="en-US" w:eastAsia="ko-KR"/>
        </w:rPr>
        <w:t>Inter-frequency SS-RSRP accuracy requirements</w:t>
      </w:r>
    </w:p>
    <w:p w14:paraId="2539AB7F" w14:textId="77777777" w:rsidR="00524B77" w:rsidRPr="00DB707E" w:rsidRDefault="00524B77" w:rsidP="00524B77">
      <w:pPr>
        <w:pStyle w:val="Heading5"/>
        <w:rPr>
          <w:lang w:val="en-US" w:eastAsia="zh-CN"/>
        </w:rPr>
      </w:pPr>
      <w:r w:rsidRPr="00DB707E">
        <w:rPr>
          <w:lang w:val="en-US" w:eastAsia="zh-CN"/>
        </w:rPr>
        <w:t>10.1A.4.1.1</w:t>
      </w:r>
      <w:r w:rsidRPr="00DB707E">
        <w:rPr>
          <w:lang w:val="en-US" w:eastAsia="zh-CN"/>
        </w:rPr>
        <w:tab/>
      </w:r>
      <w:r w:rsidRPr="00DB707E">
        <w:rPr>
          <w:lang w:eastAsia="zh-CN"/>
        </w:rPr>
        <w:t>Absolute</w:t>
      </w:r>
      <w:r w:rsidRPr="00DB707E">
        <w:t xml:space="preserve"> Accuracy of </w:t>
      </w:r>
      <w:r w:rsidRPr="00DB707E">
        <w:rPr>
          <w:lang w:eastAsia="zh-CN"/>
        </w:rPr>
        <w:t>SS-RSRP</w:t>
      </w:r>
      <w:r w:rsidRPr="00DB707E">
        <w:rPr>
          <w:lang w:val="en-US" w:eastAsia="zh-CN"/>
        </w:rPr>
        <w:t xml:space="preserve"> in FR1</w:t>
      </w:r>
    </w:p>
    <w:p w14:paraId="3074E34E" w14:textId="77777777" w:rsidR="00524B77" w:rsidRPr="00DB707E" w:rsidRDefault="00524B77" w:rsidP="00524B77">
      <w:pPr>
        <w:rPr>
          <w:rFonts w:cs="v4.2.0"/>
        </w:rPr>
      </w:pPr>
      <w:r w:rsidRPr="00DB707E">
        <w:rPr>
          <w:rFonts w:cs="v4.2.0"/>
        </w:rPr>
        <w:t xml:space="preserve">The accuracy requirements in clause </w:t>
      </w:r>
      <w:r w:rsidRPr="00DB707E">
        <w:t>10.1.4.1.1</w:t>
      </w:r>
      <w:r w:rsidRPr="00DB707E">
        <w:rPr>
          <w:rFonts w:cs="v4.2.0"/>
        </w:rPr>
        <w:t xml:space="preserve"> shall apply when RedCap UE is capable of 2Rx. When UE is only required to support 1RX, the absolute accuracy requirements in Table </w:t>
      </w:r>
      <w:r w:rsidRPr="00DB707E">
        <w:rPr>
          <w:lang w:eastAsia="zh-CN"/>
        </w:rPr>
        <w:t>10.1A.4.1.1-1</w:t>
      </w:r>
      <w:r w:rsidRPr="00DB707E">
        <w:rPr>
          <w:rFonts w:cs="v4.2.0"/>
        </w:rPr>
        <w:t xml:space="preserve"> are valid under the following conditions:</w:t>
      </w:r>
    </w:p>
    <w:p w14:paraId="0F40FBB5" w14:textId="77777777" w:rsidR="00524B77" w:rsidRPr="00DB707E" w:rsidRDefault="00524B77" w:rsidP="00524B77">
      <w:pPr>
        <w:pStyle w:val="B10"/>
        <w:rPr>
          <w:lang w:eastAsia="zh-CN"/>
        </w:rPr>
      </w:pPr>
      <w:r w:rsidRPr="00DB707E">
        <w:t>-</w:t>
      </w:r>
      <w:r w:rsidRPr="00DB707E">
        <w:tab/>
        <w:t>Conditions defined in clause 7.3 of TS 38.101-1 [18] for reference sensitivity are fulfilled.</w:t>
      </w:r>
    </w:p>
    <w:p w14:paraId="4B051676" w14:textId="77777777" w:rsidR="00524B77" w:rsidRPr="00DB707E" w:rsidRDefault="00524B77" w:rsidP="00524B77">
      <w:pPr>
        <w:pStyle w:val="B10"/>
        <w:rPr>
          <w:lang w:eastAsia="zh-CN"/>
        </w:rPr>
      </w:pPr>
      <w:r w:rsidRPr="00DB707E">
        <w:t>-</w:t>
      </w:r>
      <w:r w:rsidRPr="00DB707E">
        <w:tab/>
        <w:t xml:space="preserve">Conditions for inter-frequency measurements are fulfilled according to Annex B.2.3 for a corresponding Band </w:t>
      </w:r>
      <w:r w:rsidRPr="00DB707E">
        <w:rPr>
          <w:rFonts w:cs="v4.2.0"/>
          <w:lang w:eastAsia="ko-KR"/>
        </w:rPr>
        <w:t>for each relevant SSB</w:t>
      </w:r>
      <w:r w:rsidRPr="00DB707E">
        <w:t>.</w:t>
      </w:r>
    </w:p>
    <w:p w14:paraId="1D3B8031" w14:textId="77777777" w:rsidR="00524B77" w:rsidRPr="00DB707E" w:rsidRDefault="00524B77" w:rsidP="00524B77">
      <w:pPr>
        <w:pStyle w:val="TH"/>
      </w:pPr>
      <w:r w:rsidRPr="00DB707E">
        <w:t xml:space="preserve">Table </w:t>
      </w:r>
      <w:r w:rsidRPr="00DB707E">
        <w:rPr>
          <w:lang w:eastAsia="zh-CN"/>
        </w:rPr>
        <w:t>10.1A.4.1.1-1</w:t>
      </w:r>
      <w:r w:rsidRPr="00DB707E">
        <w:t xml:space="preserve">: </w:t>
      </w:r>
      <w:r w:rsidRPr="00DB707E">
        <w:rPr>
          <w:lang w:eastAsia="zh-CN"/>
        </w:rPr>
        <w:t>SS-</w:t>
      </w:r>
      <w:r w:rsidRPr="00DB707E">
        <w:t>RSRP Inter frequency Absolute accuracy for 1Rx RedCap UE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524B77" w:rsidRPr="00DB707E" w14:paraId="4DD4037E" w14:textId="77777777" w:rsidTr="00430B2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0EB18AAE" w14:textId="77777777" w:rsidR="00524B77" w:rsidRPr="00DB707E" w:rsidRDefault="00524B77" w:rsidP="00430B21">
            <w:pPr>
              <w:pStyle w:val="TAH"/>
            </w:pPr>
            <w:r w:rsidRPr="00DB707E">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4C21F580" w14:textId="77777777" w:rsidR="00524B77" w:rsidRPr="00DB707E" w:rsidRDefault="00524B77" w:rsidP="00430B21">
            <w:pPr>
              <w:pStyle w:val="TAH"/>
            </w:pPr>
            <w:r w:rsidRPr="00DB707E">
              <w:t>Conditions</w:t>
            </w:r>
          </w:p>
        </w:tc>
      </w:tr>
      <w:tr w:rsidR="00524B77" w:rsidRPr="00DB707E" w14:paraId="027E1BD9" w14:textId="77777777" w:rsidTr="00430B21">
        <w:trPr>
          <w:jc w:val="center"/>
        </w:trPr>
        <w:tc>
          <w:tcPr>
            <w:tcW w:w="1033" w:type="dxa"/>
            <w:tcBorders>
              <w:top w:val="single" w:sz="6" w:space="0" w:color="auto"/>
              <w:left w:val="single" w:sz="4" w:space="0" w:color="auto"/>
              <w:right w:val="single" w:sz="6" w:space="0" w:color="auto"/>
            </w:tcBorders>
            <w:shd w:val="clear" w:color="auto" w:fill="auto"/>
            <w:vAlign w:val="center"/>
          </w:tcPr>
          <w:p w14:paraId="5996EA5D" w14:textId="77777777" w:rsidR="00524B77" w:rsidRPr="00DB707E" w:rsidRDefault="00524B77" w:rsidP="00430B21">
            <w:pPr>
              <w:pStyle w:val="TAH"/>
            </w:pPr>
            <w:r w:rsidRPr="00DB707E">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0DA9D9B7" w14:textId="77777777" w:rsidR="00524B77" w:rsidRPr="00DB707E" w:rsidRDefault="00524B77" w:rsidP="00430B21">
            <w:pPr>
              <w:pStyle w:val="TAH"/>
            </w:pPr>
            <w:r w:rsidRPr="00DB707E">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4811F27C" w14:textId="77777777" w:rsidR="00524B77" w:rsidRPr="00DB707E" w:rsidRDefault="00524B77" w:rsidP="00430B21">
            <w:pPr>
              <w:pStyle w:val="TAH"/>
            </w:pPr>
            <w:r w:rsidRPr="00DB707E">
              <w:t>SSB Ês/Iot</w:t>
            </w:r>
            <w:r w:rsidRPr="00DB707E">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39050F1" w14:textId="77777777" w:rsidR="00524B77" w:rsidRPr="00DB707E" w:rsidRDefault="00524B77" w:rsidP="00430B21">
            <w:pPr>
              <w:pStyle w:val="TAH"/>
            </w:pPr>
            <w:r w:rsidRPr="00DB707E">
              <w:t>Io</w:t>
            </w:r>
            <w:r w:rsidRPr="00DB707E">
              <w:rPr>
                <w:vertAlign w:val="superscript"/>
              </w:rPr>
              <w:t xml:space="preserve"> Note 1</w:t>
            </w:r>
            <w:r w:rsidRPr="00DB707E">
              <w:t xml:space="preserve"> range</w:t>
            </w:r>
          </w:p>
        </w:tc>
      </w:tr>
      <w:tr w:rsidR="00524B77" w:rsidRPr="00DB707E" w14:paraId="272E12A4" w14:textId="77777777" w:rsidTr="00430B21">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3AFF15B2" w14:textId="77777777" w:rsidR="00524B77" w:rsidRPr="00DB707E" w:rsidRDefault="00524B77" w:rsidP="00430B2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66F01A8A" w14:textId="77777777" w:rsidR="00524B77" w:rsidRPr="00DB707E" w:rsidRDefault="00524B77" w:rsidP="00430B21">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24371EEA" w14:textId="77777777" w:rsidR="00524B77" w:rsidRPr="00DB707E" w:rsidRDefault="00524B77" w:rsidP="00430B21">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71A9B75E" w14:textId="77777777" w:rsidR="00524B77" w:rsidRPr="00DB707E" w:rsidRDefault="00524B77" w:rsidP="00430B21">
            <w:pPr>
              <w:pStyle w:val="TAH"/>
            </w:pPr>
            <w:r w:rsidRPr="00DB707E">
              <w:t>NR operating band groups</w:t>
            </w:r>
            <w:r w:rsidRPr="00DB707E">
              <w:rPr>
                <w:vertAlign w:val="superscript"/>
              </w:rPr>
              <w:t xml:space="preserve"> Note 3</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16EC927A"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CBC1995" w14:textId="77777777" w:rsidR="00524B77" w:rsidRPr="00DB707E" w:rsidRDefault="00524B77" w:rsidP="00430B21">
            <w:pPr>
              <w:pStyle w:val="TAH"/>
            </w:pPr>
            <w:r w:rsidRPr="00DB707E">
              <w:t>Maximum Io</w:t>
            </w:r>
          </w:p>
        </w:tc>
      </w:tr>
      <w:tr w:rsidR="00524B77" w:rsidRPr="00DB707E" w14:paraId="08CD26CC" w14:textId="77777777" w:rsidTr="00430B21">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2D8DE92F" w14:textId="77777777" w:rsidR="00524B77" w:rsidRPr="00DB707E" w:rsidRDefault="00524B77" w:rsidP="00430B21">
            <w:pPr>
              <w:pStyle w:val="TAH"/>
            </w:pPr>
            <w:r w:rsidRPr="00DB707E">
              <w:t>dB</w:t>
            </w:r>
          </w:p>
        </w:tc>
        <w:tc>
          <w:tcPr>
            <w:tcW w:w="1049" w:type="dxa"/>
            <w:tcBorders>
              <w:top w:val="single" w:sz="6" w:space="0" w:color="auto"/>
              <w:left w:val="single" w:sz="6" w:space="0" w:color="auto"/>
              <w:right w:val="single" w:sz="6" w:space="0" w:color="auto"/>
            </w:tcBorders>
            <w:shd w:val="clear" w:color="auto" w:fill="auto"/>
            <w:vAlign w:val="center"/>
          </w:tcPr>
          <w:p w14:paraId="38376E1E" w14:textId="77777777" w:rsidR="00524B77" w:rsidRPr="00DB707E" w:rsidRDefault="00524B77" w:rsidP="00430B21">
            <w:pPr>
              <w:pStyle w:val="TAH"/>
            </w:pPr>
            <w:r w:rsidRPr="00DB707E">
              <w:t>dB</w:t>
            </w:r>
          </w:p>
        </w:tc>
        <w:tc>
          <w:tcPr>
            <w:tcW w:w="807" w:type="dxa"/>
            <w:tcBorders>
              <w:top w:val="single" w:sz="6" w:space="0" w:color="auto"/>
              <w:left w:val="single" w:sz="6" w:space="0" w:color="auto"/>
              <w:right w:val="single" w:sz="6" w:space="0" w:color="auto"/>
            </w:tcBorders>
            <w:shd w:val="clear" w:color="auto" w:fill="auto"/>
            <w:vAlign w:val="center"/>
          </w:tcPr>
          <w:p w14:paraId="418837A9" w14:textId="77777777" w:rsidR="00524B77" w:rsidRPr="00DB707E" w:rsidRDefault="00524B77" w:rsidP="00430B21">
            <w:pPr>
              <w:pStyle w:val="TAH"/>
            </w:pPr>
            <w:r w:rsidRPr="00DB707E">
              <w:t>dB</w:t>
            </w:r>
          </w:p>
        </w:tc>
        <w:tc>
          <w:tcPr>
            <w:tcW w:w="2349" w:type="dxa"/>
            <w:tcBorders>
              <w:top w:val="single" w:sz="6" w:space="0" w:color="auto"/>
              <w:left w:val="single" w:sz="6" w:space="0" w:color="auto"/>
              <w:right w:val="single" w:sz="4" w:space="0" w:color="auto"/>
            </w:tcBorders>
            <w:shd w:val="clear" w:color="auto" w:fill="auto"/>
            <w:vAlign w:val="center"/>
          </w:tcPr>
          <w:p w14:paraId="21CC222B" w14:textId="77777777" w:rsidR="00524B77" w:rsidRPr="00DB707E" w:rsidRDefault="00524B77" w:rsidP="00430B21">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2F4781F2"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6550EED6"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6CE78458" w14:textId="77777777" w:rsidR="00524B77" w:rsidRPr="00DB707E" w:rsidRDefault="00524B77" w:rsidP="00430B21">
            <w:pPr>
              <w:pStyle w:val="TAH"/>
            </w:pPr>
            <w:r w:rsidRPr="00DB707E">
              <w:t>dBm/BW</w:t>
            </w:r>
            <w:r w:rsidRPr="00DB707E">
              <w:rPr>
                <w:vertAlign w:val="subscript"/>
              </w:rPr>
              <w:t>Channel</w:t>
            </w:r>
          </w:p>
        </w:tc>
      </w:tr>
      <w:tr w:rsidR="00524B77" w:rsidRPr="00DB707E" w14:paraId="5A70BE44" w14:textId="77777777" w:rsidTr="00430B21">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41561948" w14:textId="77777777" w:rsidR="00524B77" w:rsidRPr="00DB707E" w:rsidRDefault="00524B77" w:rsidP="00430B2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1F14A956" w14:textId="77777777" w:rsidR="00524B77" w:rsidRPr="00DB707E" w:rsidRDefault="00524B77" w:rsidP="00430B21">
            <w:pPr>
              <w:pStyle w:val="TAH"/>
            </w:pPr>
          </w:p>
        </w:tc>
        <w:tc>
          <w:tcPr>
            <w:tcW w:w="807" w:type="dxa"/>
            <w:tcBorders>
              <w:left w:val="single" w:sz="6" w:space="0" w:color="auto"/>
              <w:bottom w:val="single" w:sz="6" w:space="0" w:color="auto"/>
              <w:right w:val="single" w:sz="6" w:space="0" w:color="auto"/>
            </w:tcBorders>
            <w:shd w:val="clear" w:color="auto" w:fill="auto"/>
          </w:tcPr>
          <w:p w14:paraId="76B11B56" w14:textId="77777777" w:rsidR="00524B77" w:rsidRPr="00DB707E" w:rsidRDefault="00524B77" w:rsidP="00430B21">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03729CF2" w14:textId="77777777" w:rsidR="00524B77" w:rsidRPr="00DB707E" w:rsidRDefault="00524B77" w:rsidP="00430B2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EFB9633"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4BE1BC2"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3C3BDDA2"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5FB268F1" w14:textId="77777777" w:rsidR="00524B77" w:rsidRPr="00DB707E" w:rsidRDefault="00524B77" w:rsidP="00430B21">
            <w:pPr>
              <w:pStyle w:val="TAH"/>
            </w:pPr>
          </w:p>
        </w:tc>
      </w:tr>
      <w:tr w:rsidR="00524B77" w:rsidRPr="00DB707E" w14:paraId="548C5721" w14:textId="77777777" w:rsidTr="00430B21">
        <w:trPr>
          <w:jc w:val="center"/>
        </w:trPr>
        <w:tc>
          <w:tcPr>
            <w:tcW w:w="1033" w:type="dxa"/>
            <w:tcBorders>
              <w:top w:val="single" w:sz="6" w:space="0" w:color="auto"/>
              <w:left w:val="single" w:sz="4" w:space="0" w:color="auto"/>
              <w:right w:val="single" w:sz="6" w:space="0" w:color="auto"/>
            </w:tcBorders>
            <w:shd w:val="clear" w:color="auto" w:fill="auto"/>
            <w:vAlign w:val="center"/>
          </w:tcPr>
          <w:p w14:paraId="324012F1" w14:textId="77777777" w:rsidR="00524B77" w:rsidRPr="00DB707E" w:rsidRDefault="00524B77" w:rsidP="00430B21">
            <w:pPr>
              <w:pStyle w:val="TAC"/>
            </w:pPr>
          </w:p>
        </w:tc>
        <w:tc>
          <w:tcPr>
            <w:tcW w:w="1049" w:type="dxa"/>
            <w:tcBorders>
              <w:top w:val="single" w:sz="6" w:space="0" w:color="auto"/>
              <w:left w:val="single" w:sz="6" w:space="0" w:color="auto"/>
              <w:right w:val="single" w:sz="6" w:space="0" w:color="auto"/>
            </w:tcBorders>
            <w:shd w:val="clear" w:color="auto" w:fill="auto"/>
            <w:vAlign w:val="center"/>
          </w:tcPr>
          <w:p w14:paraId="5F237207" w14:textId="77777777" w:rsidR="00524B77" w:rsidRPr="00DB707E" w:rsidRDefault="00524B77" w:rsidP="00430B21">
            <w:pPr>
              <w:pStyle w:val="TAC"/>
            </w:pPr>
          </w:p>
        </w:tc>
        <w:tc>
          <w:tcPr>
            <w:tcW w:w="807" w:type="dxa"/>
            <w:tcBorders>
              <w:top w:val="single" w:sz="6" w:space="0" w:color="auto"/>
              <w:left w:val="single" w:sz="6" w:space="0" w:color="auto"/>
              <w:right w:val="single" w:sz="6" w:space="0" w:color="auto"/>
            </w:tcBorders>
            <w:shd w:val="clear" w:color="auto" w:fill="auto"/>
            <w:vAlign w:val="center"/>
          </w:tcPr>
          <w:p w14:paraId="6DDA6582"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6E752CCD" w14:textId="77777777" w:rsidR="00524B77" w:rsidRPr="00DB707E" w:rsidRDefault="00524B77" w:rsidP="00430B21">
            <w:pPr>
              <w:pStyle w:val="TAC"/>
            </w:pPr>
            <w:r w:rsidRPr="00DB707E">
              <w:t>NR_FDD_FR1_A, NR_TDD_FR1_A,</w:t>
            </w:r>
          </w:p>
          <w:p w14:paraId="2044A8FD" w14:textId="77777777" w:rsidR="00524B77" w:rsidRPr="00DB707E" w:rsidRDefault="00524B77" w:rsidP="00430B21">
            <w:pPr>
              <w:pStyle w:val="TAC"/>
            </w:pPr>
            <w:r w:rsidRPr="00DB707E">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0513B6C6" w14:textId="77777777" w:rsidR="00524B77" w:rsidRPr="00DB707E" w:rsidRDefault="00524B77" w:rsidP="00430B21">
            <w:pPr>
              <w:pStyle w:val="TAC"/>
            </w:pPr>
            <w:r w:rsidRPr="00DB707E">
              <w:t>-121</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0577AA2" w14:textId="77777777" w:rsidR="00524B77" w:rsidRPr="00DB707E" w:rsidRDefault="00524B77" w:rsidP="00430B21">
            <w:pPr>
              <w:pStyle w:val="TAC"/>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708753E"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A867D94" w14:textId="77777777" w:rsidR="00524B77" w:rsidRPr="00DB707E" w:rsidRDefault="00524B77" w:rsidP="00430B21">
            <w:pPr>
              <w:pStyle w:val="TAC"/>
            </w:pPr>
            <w:r w:rsidRPr="00DB707E">
              <w:t>-70</w:t>
            </w:r>
          </w:p>
        </w:tc>
      </w:tr>
      <w:tr w:rsidR="00524B77" w:rsidRPr="00DB707E" w14:paraId="0AFD3F05" w14:textId="77777777" w:rsidTr="00430B21">
        <w:trPr>
          <w:jc w:val="center"/>
        </w:trPr>
        <w:tc>
          <w:tcPr>
            <w:tcW w:w="1033" w:type="dxa"/>
            <w:tcBorders>
              <w:left w:val="single" w:sz="4" w:space="0" w:color="auto"/>
              <w:right w:val="single" w:sz="6" w:space="0" w:color="auto"/>
            </w:tcBorders>
            <w:shd w:val="clear" w:color="auto" w:fill="auto"/>
            <w:vAlign w:val="center"/>
          </w:tcPr>
          <w:p w14:paraId="26F767F4"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vAlign w:val="center"/>
          </w:tcPr>
          <w:p w14:paraId="7C5BC2BF"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vAlign w:val="center"/>
          </w:tcPr>
          <w:p w14:paraId="674B01AF"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438C90C8" w14:textId="77777777" w:rsidR="00524B77" w:rsidRPr="00DB707E" w:rsidRDefault="00524B77" w:rsidP="00430B21">
            <w:pPr>
              <w:pStyle w:val="TAC"/>
            </w:pPr>
            <w:r w:rsidRPr="00DB707E">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29B2C51" w14:textId="77777777" w:rsidR="00524B77" w:rsidRPr="00DB707E" w:rsidRDefault="00524B77" w:rsidP="00430B21">
            <w:pPr>
              <w:pStyle w:val="TAC"/>
            </w:pPr>
            <w:r w:rsidRPr="00DB707E">
              <w:t>-120.5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5FFC2DF" w14:textId="77777777" w:rsidR="00524B77" w:rsidRPr="00DB707E" w:rsidRDefault="00524B77" w:rsidP="00430B21">
            <w:pPr>
              <w:pStyle w:val="TAC"/>
              <w:rPr>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FE39545"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8E241A6" w14:textId="77777777" w:rsidR="00524B77" w:rsidRPr="00DB707E" w:rsidRDefault="00524B77" w:rsidP="00430B21">
            <w:pPr>
              <w:pStyle w:val="TAC"/>
            </w:pPr>
            <w:r w:rsidRPr="00DB707E">
              <w:t>-70</w:t>
            </w:r>
          </w:p>
        </w:tc>
      </w:tr>
      <w:tr w:rsidR="00524B77" w:rsidRPr="00DB707E" w14:paraId="346FA8A9" w14:textId="77777777" w:rsidTr="00430B21">
        <w:trPr>
          <w:jc w:val="center"/>
        </w:trPr>
        <w:tc>
          <w:tcPr>
            <w:tcW w:w="1033" w:type="dxa"/>
            <w:tcBorders>
              <w:left w:val="single" w:sz="4" w:space="0" w:color="auto"/>
              <w:right w:val="single" w:sz="6" w:space="0" w:color="auto"/>
            </w:tcBorders>
            <w:shd w:val="clear" w:color="auto" w:fill="auto"/>
            <w:vAlign w:val="center"/>
          </w:tcPr>
          <w:p w14:paraId="306761C2"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vAlign w:val="center"/>
          </w:tcPr>
          <w:p w14:paraId="091E1922"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vAlign w:val="center"/>
          </w:tcPr>
          <w:p w14:paraId="62B6F608"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20097217" w14:textId="77777777" w:rsidR="00524B77" w:rsidRPr="00DB707E" w:rsidRDefault="00524B77" w:rsidP="00430B21">
            <w:pPr>
              <w:pStyle w:val="TAC"/>
            </w:pPr>
            <w:r w:rsidRPr="00DB707E">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56AA663" w14:textId="77777777" w:rsidR="00524B77" w:rsidRPr="00DB707E" w:rsidRDefault="00524B77" w:rsidP="00430B21">
            <w:pPr>
              <w:pStyle w:val="TAC"/>
            </w:pPr>
            <w:r w:rsidRPr="00DB707E">
              <w:t>-120</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077DE921" w14:textId="77777777" w:rsidR="00524B77" w:rsidRPr="00DB707E" w:rsidRDefault="00524B77" w:rsidP="00430B21">
            <w:pPr>
              <w:pStyle w:val="TAC"/>
              <w:rPr>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04653D35"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AE9BFCB" w14:textId="77777777" w:rsidR="00524B77" w:rsidRPr="00DB707E" w:rsidRDefault="00524B77" w:rsidP="00430B21">
            <w:pPr>
              <w:pStyle w:val="TAC"/>
            </w:pPr>
            <w:r w:rsidRPr="00DB707E">
              <w:t>-70</w:t>
            </w:r>
          </w:p>
        </w:tc>
      </w:tr>
      <w:tr w:rsidR="00524B77" w:rsidRPr="00DB707E" w14:paraId="4D8A8265" w14:textId="77777777" w:rsidTr="00430B21">
        <w:trPr>
          <w:jc w:val="center"/>
        </w:trPr>
        <w:tc>
          <w:tcPr>
            <w:tcW w:w="1033" w:type="dxa"/>
            <w:tcBorders>
              <w:left w:val="single" w:sz="4" w:space="0" w:color="auto"/>
              <w:right w:val="single" w:sz="6" w:space="0" w:color="auto"/>
            </w:tcBorders>
            <w:shd w:val="clear" w:color="auto" w:fill="auto"/>
            <w:vAlign w:val="center"/>
          </w:tcPr>
          <w:p w14:paraId="3AA63409" w14:textId="77777777" w:rsidR="00524B77" w:rsidRPr="00DB707E" w:rsidRDefault="00524B77" w:rsidP="00430B21">
            <w:pPr>
              <w:pStyle w:val="TAC"/>
            </w:pPr>
            <w:r w:rsidRPr="00DB707E">
              <w:sym w:font="Symbol" w:char="F0B1"/>
            </w:r>
            <w:r w:rsidRPr="00DB707E">
              <w:t>5.5</w:t>
            </w:r>
          </w:p>
        </w:tc>
        <w:tc>
          <w:tcPr>
            <w:tcW w:w="1049" w:type="dxa"/>
            <w:tcBorders>
              <w:left w:val="single" w:sz="6" w:space="0" w:color="auto"/>
              <w:right w:val="single" w:sz="6" w:space="0" w:color="auto"/>
            </w:tcBorders>
            <w:shd w:val="clear" w:color="auto" w:fill="auto"/>
            <w:vAlign w:val="center"/>
          </w:tcPr>
          <w:p w14:paraId="1527128A" w14:textId="77777777" w:rsidR="00524B77" w:rsidRPr="00DB707E" w:rsidRDefault="00524B77" w:rsidP="00430B21">
            <w:pPr>
              <w:pStyle w:val="TAC"/>
            </w:pPr>
            <w:r w:rsidRPr="00DB707E">
              <w:sym w:font="Symbol" w:char="F0B1"/>
            </w:r>
            <w:r w:rsidRPr="00DB707E">
              <w:t>10</w:t>
            </w:r>
          </w:p>
        </w:tc>
        <w:tc>
          <w:tcPr>
            <w:tcW w:w="807" w:type="dxa"/>
            <w:tcBorders>
              <w:left w:val="single" w:sz="6" w:space="0" w:color="auto"/>
              <w:right w:val="single" w:sz="6" w:space="0" w:color="auto"/>
            </w:tcBorders>
            <w:shd w:val="clear" w:color="auto" w:fill="auto"/>
            <w:vAlign w:val="center"/>
          </w:tcPr>
          <w:p w14:paraId="16FF06BC" w14:textId="77777777" w:rsidR="00524B77" w:rsidRPr="00DB707E" w:rsidRDefault="00524B77" w:rsidP="00430B21">
            <w:pPr>
              <w:pStyle w:val="TAC"/>
            </w:pPr>
            <w:r w:rsidRPr="00DB707E">
              <w:sym w:font="Symbol" w:char="F0B3"/>
            </w:r>
            <w:r w:rsidRPr="00DB707E">
              <w:t>-</w:t>
            </w:r>
            <w:r w:rsidRPr="00DB707E">
              <w:rPr>
                <w:lang w:eastAsia="zh-CN"/>
              </w:rPr>
              <w:t>6</w:t>
            </w: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50B22287" w14:textId="77777777" w:rsidR="00524B77" w:rsidRPr="00DB707E" w:rsidRDefault="00524B77" w:rsidP="00430B21">
            <w:pPr>
              <w:pStyle w:val="TAC"/>
              <w:rPr>
                <w:lang w:val="sv-SE"/>
              </w:rPr>
            </w:pPr>
            <w:r w:rsidRPr="00DB707E">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5CE372C7" w14:textId="77777777" w:rsidR="00524B77" w:rsidRPr="00DB707E" w:rsidRDefault="00524B77" w:rsidP="00430B21">
            <w:pPr>
              <w:pStyle w:val="TAC"/>
            </w:pPr>
            <w:r w:rsidRPr="00DB707E">
              <w:t>-119.5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CB71F0D" w14:textId="77777777" w:rsidR="00524B77" w:rsidRPr="00DB707E" w:rsidRDefault="00524B77" w:rsidP="00430B21">
            <w:pPr>
              <w:pStyle w:val="TAC"/>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382EF8A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D05408E" w14:textId="77777777" w:rsidR="00524B77" w:rsidRPr="00DB707E" w:rsidRDefault="00524B77" w:rsidP="00430B21">
            <w:pPr>
              <w:pStyle w:val="TAC"/>
            </w:pPr>
            <w:r w:rsidRPr="00DB707E">
              <w:t>-70</w:t>
            </w:r>
          </w:p>
        </w:tc>
      </w:tr>
      <w:tr w:rsidR="00524B77" w:rsidRPr="00DB707E" w14:paraId="751ED5BF" w14:textId="77777777" w:rsidTr="00430B21">
        <w:trPr>
          <w:jc w:val="center"/>
        </w:trPr>
        <w:tc>
          <w:tcPr>
            <w:tcW w:w="1033" w:type="dxa"/>
            <w:tcBorders>
              <w:left w:val="single" w:sz="4" w:space="0" w:color="auto"/>
              <w:right w:val="single" w:sz="6" w:space="0" w:color="auto"/>
            </w:tcBorders>
            <w:shd w:val="clear" w:color="auto" w:fill="auto"/>
            <w:vAlign w:val="center"/>
          </w:tcPr>
          <w:p w14:paraId="55B92B71"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vAlign w:val="center"/>
          </w:tcPr>
          <w:p w14:paraId="3BC46438"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vAlign w:val="center"/>
          </w:tcPr>
          <w:p w14:paraId="78458DD5"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F5F2E40" w14:textId="77777777" w:rsidR="00524B77" w:rsidRPr="00DB707E" w:rsidDel="00836998" w:rsidRDefault="00524B77" w:rsidP="00430B21">
            <w:pPr>
              <w:pStyle w:val="TAC"/>
              <w:rPr>
                <w:lang w:val="sv-SE"/>
              </w:rPr>
            </w:pPr>
            <w:r w:rsidRPr="00DB707E">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17E091F" w14:textId="77777777" w:rsidR="00524B77" w:rsidRPr="00DB707E" w:rsidRDefault="00524B77" w:rsidP="00430B21">
            <w:pPr>
              <w:pStyle w:val="TAC"/>
            </w:pPr>
            <w:r w:rsidRPr="00DB707E">
              <w:t>-119</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7B30A2C1" w14:textId="77777777" w:rsidR="00524B77" w:rsidRPr="00DB707E" w:rsidRDefault="00524B77" w:rsidP="00430B21">
            <w:pPr>
              <w:pStyle w:val="TAC"/>
              <w:rPr>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3E0C4A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0E5A605" w14:textId="77777777" w:rsidR="00524B77" w:rsidRPr="00DB707E" w:rsidRDefault="00524B77" w:rsidP="00430B21">
            <w:pPr>
              <w:pStyle w:val="TAC"/>
            </w:pPr>
            <w:r w:rsidRPr="00DB707E">
              <w:t>-70</w:t>
            </w:r>
          </w:p>
        </w:tc>
      </w:tr>
      <w:tr w:rsidR="00524B77" w:rsidRPr="00DB707E" w14:paraId="2CC22095" w14:textId="77777777" w:rsidTr="00430B21">
        <w:trPr>
          <w:jc w:val="center"/>
        </w:trPr>
        <w:tc>
          <w:tcPr>
            <w:tcW w:w="1033" w:type="dxa"/>
            <w:tcBorders>
              <w:left w:val="single" w:sz="4" w:space="0" w:color="auto"/>
              <w:right w:val="single" w:sz="6" w:space="0" w:color="auto"/>
            </w:tcBorders>
            <w:shd w:val="clear" w:color="auto" w:fill="auto"/>
            <w:vAlign w:val="center"/>
          </w:tcPr>
          <w:p w14:paraId="3AFAE89D"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vAlign w:val="center"/>
          </w:tcPr>
          <w:p w14:paraId="46BA9BFD"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vAlign w:val="center"/>
          </w:tcPr>
          <w:p w14:paraId="7FFF014A"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74E15F8D" w14:textId="77777777" w:rsidR="00524B77" w:rsidRPr="00DB707E" w:rsidRDefault="00524B77" w:rsidP="00430B21">
            <w:pPr>
              <w:pStyle w:val="TAC"/>
              <w:rPr>
                <w:lang w:val="sv-SE"/>
              </w:rPr>
            </w:pPr>
            <w:r w:rsidRPr="00DB707E">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051BA52E" w14:textId="77777777" w:rsidR="00524B77" w:rsidRPr="00DB707E" w:rsidRDefault="00524B77" w:rsidP="00430B21">
            <w:pPr>
              <w:pStyle w:val="TAC"/>
            </w:pPr>
            <w:r w:rsidRPr="00DB707E">
              <w:t>-118.5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109C7A0E"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5E03223B"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94525A6" w14:textId="77777777" w:rsidR="00524B77" w:rsidRPr="00DB707E" w:rsidRDefault="00524B77" w:rsidP="00430B21">
            <w:pPr>
              <w:pStyle w:val="TAC"/>
            </w:pPr>
            <w:r w:rsidRPr="00DB707E">
              <w:t>-70</w:t>
            </w:r>
          </w:p>
        </w:tc>
      </w:tr>
      <w:tr w:rsidR="00524B77" w:rsidRPr="00DB707E" w14:paraId="7BF3762A" w14:textId="77777777" w:rsidTr="00430B21">
        <w:trPr>
          <w:jc w:val="center"/>
        </w:trPr>
        <w:tc>
          <w:tcPr>
            <w:tcW w:w="1033" w:type="dxa"/>
            <w:tcBorders>
              <w:left w:val="single" w:sz="4" w:space="0" w:color="auto"/>
              <w:right w:val="single" w:sz="6" w:space="0" w:color="auto"/>
            </w:tcBorders>
            <w:shd w:val="clear" w:color="auto" w:fill="auto"/>
            <w:vAlign w:val="center"/>
          </w:tcPr>
          <w:p w14:paraId="2E68AE59"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vAlign w:val="center"/>
          </w:tcPr>
          <w:p w14:paraId="00F56B58"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vAlign w:val="center"/>
          </w:tcPr>
          <w:p w14:paraId="6223CEBB"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2BECBE1"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CA043EA" w14:textId="77777777" w:rsidR="00524B77" w:rsidRPr="00DB707E" w:rsidRDefault="00524B77" w:rsidP="00430B21">
            <w:pPr>
              <w:pStyle w:val="TAC"/>
            </w:pPr>
            <w:r w:rsidRPr="00DB707E">
              <w:t>-118</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B5A454B"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01212D8F"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0DD7C38" w14:textId="77777777" w:rsidR="00524B77" w:rsidRPr="00DB707E" w:rsidRDefault="00524B77" w:rsidP="00430B21">
            <w:pPr>
              <w:pStyle w:val="TAC"/>
            </w:pPr>
            <w:r w:rsidRPr="00DB707E">
              <w:t>-70</w:t>
            </w:r>
          </w:p>
        </w:tc>
      </w:tr>
      <w:tr w:rsidR="00524B77" w:rsidRPr="00DB707E" w14:paraId="1E2A3A7B" w14:textId="77777777" w:rsidTr="00430B21">
        <w:trPr>
          <w:jc w:val="center"/>
        </w:trPr>
        <w:tc>
          <w:tcPr>
            <w:tcW w:w="1033" w:type="dxa"/>
            <w:tcBorders>
              <w:left w:val="single" w:sz="4" w:space="0" w:color="auto"/>
              <w:bottom w:val="single" w:sz="4" w:space="0" w:color="auto"/>
              <w:right w:val="single" w:sz="6" w:space="0" w:color="auto"/>
            </w:tcBorders>
            <w:shd w:val="clear" w:color="auto" w:fill="auto"/>
            <w:vAlign w:val="center"/>
          </w:tcPr>
          <w:p w14:paraId="46091E5F" w14:textId="77777777" w:rsidR="00524B77" w:rsidRPr="00DB707E" w:rsidRDefault="00524B77" w:rsidP="00430B21">
            <w:pPr>
              <w:pStyle w:val="TAC"/>
            </w:pPr>
          </w:p>
        </w:tc>
        <w:tc>
          <w:tcPr>
            <w:tcW w:w="1049" w:type="dxa"/>
            <w:tcBorders>
              <w:left w:val="single" w:sz="6" w:space="0" w:color="auto"/>
              <w:bottom w:val="single" w:sz="4" w:space="0" w:color="auto"/>
              <w:right w:val="single" w:sz="6" w:space="0" w:color="auto"/>
            </w:tcBorders>
            <w:shd w:val="clear" w:color="auto" w:fill="auto"/>
            <w:vAlign w:val="center"/>
          </w:tcPr>
          <w:p w14:paraId="66DEF8C1" w14:textId="77777777" w:rsidR="00524B77" w:rsidRPr="00DB707E" w:rsidRDefault="00524B77" w:rsidP="00430B21">
            <w:pPr>
              <w:pStyle w:val="TAC"/>
            </w:pPr>
          </w:p>
        </w:tc>
        <w:tc>
          <w:tcPr>
            <w:tcW w:w="807" w:type="dxa"/>
            <w:tcBorders>
              <w:left w:val="single" w:sz="6" w:space="0" w:color="auto"/>
              <w:bottom w:val="single" w:sz="4" w:space="0" w:color="auto"/>
              <w:right w:val="single" w:sz="6" w:space="0" w:color="auto"/>
            </w:tcBorders>
            <w:shd w:val="clear" w:color="auto" w:fill="auto"/>
            <w:vAlign w:val="center"/>
          </w:tcPr>
          <w:p w14:paraId="12F9E094"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172946CA"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258D6FA1" w14:textId="77777777" w:rsidR="00524B77" w:rsidRPr="00DB707E" w:rsidRDefault="00524B77" w:rsidP="00430B21">
            <w:pPr>
              <w:pStyle w:val="TAC"/>
            </w:pPr>
            <w:r w:rsidRPr="00DB707E">
              <w:t>-117.5</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E002877"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271D20D1"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380C59F" w14:textId="77777777" w:rsidR="00524B77" w:rsidRPr="00DB707E" w:rsidRDefault="00524B77" w:rsidP="00430B21">
            <w:pPr>
              <w:pStyle w:val="TAC"/>
            </w:pPr>
            <w:r w:rsidRPr="00DB707E">
              <w:t>-70</w:t>
            </w:r>
          </w:p>
        </w:tc>
      </w:tr>
      <w:tr w:rsidR="00524B77" w:rsidRPr="00DB707E" w14:paraId="49CB7529" w14:textId="77777777" w:rsidTr="00430B21">
        <w:trPr>
          <w:jc w:val="center"/>
        </w:trPr>
        <w:tc>
          <w:tcPr>
            <w:tcW w:w="1033" w:type="dxa"/>
            <w:tcBorders>
              <w:top w:val="single" w:sz="4" w:space="0" w:color="auto"/>
              <w:left w:val="single" w:sz="4" w:space="0" w:color="auto"/>
              <w:bottom w:val="single" w:sz="4" w:space="0" w:color="auto"/>
              <w:right w:val="single" w:sz="6" w:space="0" w:color="auto"/>
            </w:tcBorders>
            <w:shd w:val="clear" w:color="auto" w:fill="auto"/>
            <w:vAlign w:val="center"/>
          </w:tcPr>
          <w:p w14:paraId="551252BB" w14:textId="77777777" w:rsidR="00524B77" w:rsidRPr="00DB707E" w:rsidRDefault="00524B77" w:rsidP="00430B21">
            <w:pPr>
              <w:pStyle w:val="TAC"/>
            </w:pPr>
            <w:r w:rsidRPr="00DB707E">
              <w:sym w:font="Symbol" w:char="F0B1"/>
            </w:r>
            <w:r w:rsidRPr="00DB707E">
              <w:t>9</w:t>
            </w:r>
          </w:p>
        </w:tc>
        <w:tc>
          <w:tcPr>
            <w:tcW w:w="1049" w:type="dxa"/>
            <w:tcBorders>
              <w:top w:val="single" w:sz="4" w:space="0" w:color="auto"/>
              <w:left w:val="single" w:sz="6" w:space="0" w:color="auto"/>
              <w:bottom w:val="single" w:sz="4" w:space="0" w:color="auto"/>
              <w:right w:val="single" w:sz="6" w:space="0" w:color="auto"/>
            </w:tcBorders>
            <w:shd w:val="clear" w:color="auto" w:fill="auto"/>
            <w:vAlign w:val="center"/>
          </w:tcPr>
          <w:p w14:paraId="3AFCA5CD" w14:textId="77777777" w:rsidR="00524B77" w:rsidRPr="00DB707E" w:rsidRDefault="00524B77" w:rsidP="00430B21">
            <w:pPr>
              <w:pStyle w:val="TAC"/>
            </w:pPr>
            <w:r w:rsidRPr="00DB707E">
              <w:sym w:font="Symbol" w:char="F0B1"/>
            </w:r>
            <w:r w:rsidRPr="00DB707E">
              <w:t>12</w:t>
            </w:r>
          </w:p>
        </w:tc>
        <w:tc>
          <w:tcPr>
            <w:tcW w:w="807" w:type="dxa"/>
            <w:tcBorders>
              <w:top w:val="single" w:sz="4" w:space="0" w:color="auto"/>
              <w:left w:val="single" w:sz="6" w:space="0" w:color="auto"/>
              <w:bottom w:val="single" w:sz="4" w:space="0" w:color="auto"/>
              <w:right w:val="single" w:sz="4" w:space="0" w:color="auto"/>
            </w:tcBorders>
            <w:shd w:val="clear" w:color="auto" w:fill="auto"/>
            <w:vAlign w:val="center"/>
          </w:tcPr>
          <w:p w14:paraId="09718976" w14:textId="77777777" w:rsidR="00524B77" w:rsidRPr="00DB707E" w:rsidRDefault="00524B77" w:rsidP="00430B21">
            <w:pPr>
              <w:pStyle w:val="TAC"/>
            </w:pPr>
            <w:r w:rsidRPr="00DB707E">
              <w:sym w:font="Symbol" w:char="F0B3"/>
            </w:r>
            <w:r w:rsidRPr="00DB707E">
              <w:t>-</w:t>
            </w:r>
            <w:r w:rsidRPr="00DB707E">
              <w:rPr>
                <w:lang w:eastAsia="zh-CN"/>
              </w:rPr>
              <w:t>6</w:t>
            </w:r>
          </w:p>
        </w:tc>
        <w:tc>
          <w:tcPr>
            <w:tcW w:w="2349" w:type="dxa"/>
            <w:tcBorders>
              <w:top w:val="single" w:sz="6" w:space="0" w:color="auto"/>
              <w:left w:val="single" w:sz="4" w:space="0" w:color="auto"/>
              <w:bottom w:val="single" w:sz="6" w:space="0" w:color="auto"/>
              <w:right w:val="single" w:sz="4" w:space="0" w:color="auto"/>
            </w:tcBorders>
            <w:shd w:val="clear" w:color="auto" w:fill="auto"/>
            <w:vAlign w:val="center"/>
          </w:tcPr>
          <w:p w14:paraId="63B31B21" w14:textId="77777777" w:rsidR="00524B77" w:rsidRPr="00DB707E" w:rsidRDefault="00524B77" w:rsidP="00430B21">
            <w:pPr>
              <w:pStyle w:val="TAC"/>
            </w:pPr>
            <w:r w:rsidRPr="00DB707E">
              <w:t xml:space="preserve">NR_FDD_FR1_A, NR_TDD_FR1_A, </w:t>
            </w:r>
          </w:p>
          <w:p w14:paraId="6924A1B8" w14:textId="77777777" w:rsidR="00524B77" w:rsidRPr="00DB707E" w:rsidRDefault="00524B77" w:rsidP="00430B21">
            <w:pPr>
              <w:pStyle w:val="TAC"/>
            </w:pPr>
            <w:r w:rsidRPr="00DB707E">
              <w:t>NR_SDL_FR1_A, NR_FDD_FR1_B, NR_TDD_FR1_C, NR_FDD_FR1_D, NR_TDD_FR1_D, NR_FDD_FR1_E, NR_TDD_FR1_E, NR_FDD_FR1_F,</w:t>
            </w:r>
          </w:p>
          <w:p w14:paraId="3D5CFCCA" w14:textId="77777777" w:rsidR="00524B77" w:rsidRPr="00DB707E" w:rsidRDefault="00524B77" w:rsidP="00430B21">
            <w:pPr>
              <w:pStyle w:val="TAC"/>
              <w:rPr>
                <w:lang w:val="sv-FI" w:eastAsia="zh-CN"/>
              </w:rPr>
            </w:pPr>
            <w:r w:rsidRPr="00DB707E">
              <w:rPr>
                <w:lang w:val="sv-FI"/>
              </w:rPr>
              <w:t>NR_FDD_FR1_G, NR_FDD_FR1_H</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35AAF45" w14:textId="77777777" w:rsidR="00524B77" w:rsidRPr="00DB707E" w:rsidRDefault="00524B77" w:rsidP="00430B21">
            <w:pPr>
              <w:pStyle w:val="TAC"/>
            </w:pPr>
            <w:r w:rsidRPr="00DB707E">
              <w:t>N/A</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902B465" w14:textId="77777777" w:rsidR="00524B77" w:rsidRPr="00DB707E" w:rsidRDefault="00524B77" w:rsidP="00430B21">
            <w:pPr>
              <w:pStyle w:val="TAC"/>
              <w:rPr>
                <w:rFonts w:cs="Arial"/>
              </w:rPr>
            </w:pPr>
            <w:r w:rsidRPr="00DB707E">
              <w:rPr>
                <w:lang w:eastAsia="zh-CN"/>
              </w:rPr>
              <w:t>N/A</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37CF67B9" w14:textId="77777777" w:rsidR="00524B77" w:rsidRPr="00DB707E" w:rsidRDefault="00524B77" w:rsidP="00430B21">
            <w:pPr>
              <w:pStyle w:val="TAC"/>
            </w:pPr>
            <w:r w:rsidRPr="00DB707E">
              <w:t>-70</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ACB06AA" w14:textId="77777777" w:rsidR="00524B77" w:rsidRPr="00DB707E" w:rsidRDefault="00524B77" w:rsidP="00430B21">
            <w:pPr>
              <w:pStyle w:val="TAC"/>
            </w:pPr>
            <w:r w:rsidRPr="00DB707E">
              <w:t>-50</w:t>
            </w:r>
          </w:p>
        </w:tc>
      </w:tr>
      <w:tr w:rsidR="00524B77" w:rsidRPr="00DB707E" w14:paraId="4BF2045B"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D5A71B9" w14:textId="77777777" w:rsidR="00524B77" w:rsidRPr="00DB707E" w:rsidRDefault="00524B77" w:rsidP="00430B21">
            <w:pPr>
              <w:pStyle w:val="TAN"/>
            </w:pPr>
            <w:r w:rsidRPr="00DB707E">
              <w:t>NOTE 1:</w:t>
            </w:r>
            <w:r w:rsidRPr="00DB707E">
              <w:tab/>
              <w:t>Io is assumed to have constant EPRE across the bandwidth.</w:t>
            </w:r>
          </w:p>
          <w:p w14:paraId="31C99927" w14:textId="77777777" w:rsidR="00524B77" w:rsidRPr="00DB707E" w:rsidRDefault="00524B77" w:rsidP="00430B21">
            <w:pPr>
              <w:pStyle w:val="TAN"/>
            </w:pPr>
            <w:r w:rsidRPr="00DB707E">
              <w:t>NOTE 2:</w:t>
            </w:r>
            <w:r w:rsidRPr="00DB707E">
              <w:tab/>
              <w:t>Void</w:t>
            </w:r>
          </w:p>
          <w:p w14:paraId="1E0549EE" w14:textId="77777777" w:rsidR="00524B77" w:rsidRPr="00DB707E" w:rsidRDefault="00524B77" w:rsidP="00430B21">
            <w:pPr>
              <w:pStyle w:val="TAN"/>
            </w:pPr>
            <w:r w:rsidRPr="00DB707E">
              <w:t>NOTE 3:</w:t>
            </w:r>
            <w:r w:rsidRPr="00DB707E">
              <w:tab/>
              <w:t>NR operating band groups in FR1 are as defined in clause 3.5.2.</w:t>
            </w:r>
          </w:p>
        </w:tc>
      </w:tr>
    </w:tbl>
    <w:p w14:paraId="1E9DE92F" w14:textId="77777777" w:rsidR="00524B77" w:rsidRPr="00DB707E" w:rsidRDefault="00524B77" w:rsidP="00524B77">
      <w:pPr>
        <w:rPr>
          <w:lang w:eastAsia="zh-CN"/>
        </w:rPr>
      </w:pPr>
    </w:p>
    <w:p w14:paraId="2B07668C" w14:textId="77777777" w:rsidR="00524B77" w:rsidRPr="00DB707E" w:rsidRDefault="00524B77" w:rsidP="00524B77">
      <w:pPr>
        <w:pStyle w:val="Heading5"/>
      </w:pPr>
      <w:r w:rsidRPr="00DB707E">
        <w:t>10.1A.4.1.2</w:t>
      </w:r>
      <w:r w:rsidRPr="00DB707E">
        <w:tab/>
        <w:t>Relative Accuracy of SS-RSRP in FR1</w:t>
      </w:r>
    </w:p>
    <w:p w14:paraId="55F5E4B8" w14:textId="77777777" w:rsidR="00524B77" w:rsidRPr="00DB707E" w:rsidRDefault="00524B77" w:rsidP="00524B77">
      <w:pPr>
        <w:rPr>
          <w:rFonts w:cs="v4.2.0"/>
        </w:rPr>
      </w:pPr>
      <w:r w:rsidRPr="00DB707E">
        <w:rPr>
          <w:rFonts w:cs="v4.2.0"/>
        </w:rPr>
        <w:t xml:space="preserve">The accuracy requirements in clause </w:t>
      </w:r>
      <w:r w:rsidRPr="00DB707E">
        <w:t>10.1.4.1.2</w:t>
      </w:r>
      <w:r w:rsidRPr="00DB707E">
        <w:rPr>
          <w:rFonts w:cs="v4.2.0"/>
        </w:rPr>
        <w:t xml:space="preserve"> shall apply when RedCap UE is capable of 2Rx. When UE is only required to support 1RX, the absolute accuracy requirements in Table </w:t>
      </w:r>
      <w:r w:rsidRPr="00DB707E">
        <w:t>10.1A.4.1.2-1</w:t>
      </w:r>
      <w:r w:rsidRPr="00DB707E">
        <w:rPr>
          <w:rFonts w:cs="v4.2.0"/>
        </w:rPr>
        <w:t xml:space="preserve"> are valid under the following conditions:</w:t>
      </w:r>
    </w:p>
    <w:p w14:paraId="55545B35" w14:textId="77777777" w:rsidR="00524B77" w:rsidRPr="00DB707E" w:rsidRDefault="00524B77" w:rsidP="00524B77">
      <w:pPr>
        <w:pStyle w:val="B10"/>
        <w:rPr>
          <w:lang w:eastAsia="zh-CN"/>
        </w:rPr>
      </w:pPr>
      <w:r w:rsidRPr="00DB707E">
        <w:t>-</w:t>
      </w:r>
      <w:r w:rsidRPr="00DB707E">
        <w:tab/>
        <w:t>Conditions defined in clause 7.3 of TS 38.101-1 [18] Clause 7.3 for reference sensitivity are fulfilled.</w:t>
      </w:r>
    </w:p>
    <w:p w14:paraId="203BDD78" w14:textId="77777777" w:rsidR="00524B77" w:rsidRPr="00DB707E" w:rsidRDefault="00524B77" w:rsidP="00524B77">
      <w:pPr>
        <w:pStyle w:val="B10"/>
        <w:rPr>
          <w:lang w:eastAsia="zh-CN"/>
        </w:rPr>
      </w:pPr>
      <w:r w:rsidRPr="00DB707E">
        <w:t>-</w:t>
      </w:r>
      <w:r w:rsidRPr="00DB707E">
        <w:tab/>
        <w:t xml:space="preserve">Conditions for inter-frequency measurements are fulfilled according to Annex B.2.3 for a corresponding Band </w:t>
      </w:r>
      <w:r w:rsidRPr="00DB707E">
        <w:rPr>
          <w:rFonts w:cs="v4.2.0"/>
          <w:lang w:eastAsia="ko-KR"/>
        </w:rPr>
        <w:t>for each relevant SSB</w:t>
      </w:r>
      <w:r w:rsidRPr="00DB707E">
        <w:t>.</w:t>
      </w:r>
    </w:p>
    <w:p w14:paraId="33ABF692" w14:textId="77777777" w:rsidR="00524B77" w:rsidRPr="00DB707E" w:rsidRDefault="00524B77" w:rsidP="00524B77">
      <w:pPr>
        <w:pStyle w:val="B10"/>
      </w:pPr>
      <w:r w:rsidRPr="00DB707E">
        <w:t>-</w:t>
      </w:r>
      <w:r w:rsidRPr="00DB707E">
        <w:tab/>
        <w:t>|SSB_RP1</w:t>
      </w:r>
      <w:r w:rsidRPr="00DB707E">
        <w:rPr>
          <w:vertAlign w:val="subscript"/>
        </w:rPr>
        <w:t>dBm</w:t>
      </w:r>
      <w:r w:rsidRPr="00DB707E">
        <w:t xml:space="preserve"> - SSB_RP2</w:t>
      </w:r>
      <w:r w:rsidRPr="00DB707E">
        <w:rPr>
          <w:vertAlign w:val="subscript"/>
        </w:rPr>
        <w:t>dBm</w:t>
      </w:r>
      <w:r w:rsidRPr="00DB707E">
        <w:t xml:space="preserve">| </w:t>
      </w:r>
      <w:r w:rsidRPr="00DB707E">
        <w:rPr>
          <w:rFonts w:hint="eastAsia"/>
        </w:rPr>
        <w:t>≤</w:t>
      </w:r>
      <w:r w:rsidRPr="00DB707E">
        <w:t xml:space="preserve"> 27 dB</w:t>
      </w:r>
      <w:r w:rsidRPr="00DB707E">
        <w:rPr>
          <w:noProof/>
          <w:lang w:val="en-US" w:eastAsia="zh-CN"/>
        </w:rPr>
        <w:t xml:space="preserve"> </w:t>
      </w:r>
    </w:p>
    <w:p w14:paraId="671F1ECC" w14:textId="77777777" w:rsidR="00524B77" w:rsidRPr="00DB707E" w:rsidRDefault="00524B77" w:rsidP="00524B77">
      <w:pPr>
        <w:pStyle w:val="B10"/>
        <w:rPr>
          <w:lang w:eastAsia="zh-CN"/>
        </w:rPr>
      </w:pPr>
      <w:r w:rsidRPr="00DB707E">
        <w:t>-</w:t>
      </w:r>
      <w:r w:rsidRPr="00DB707E">
        <w:tab/>
        <w:t xml:space="preserve">|Channel 1_Io </w:t>
      </w:r>
      <w:r w:rsidRPr="00DB707E">
        <w:noBreakHyphen/>
        <w:t xml:space="preserve">Channel 2_Io | </w:t>
      </w:r>
      <w:r w:rsidRPr="00DB707E">
        <w:sym w:font="Symbol" w:char="F0A3"/>
      </w:r>
      <w:r w:rsidRPr="00DB707E">
        <w:t xml:space="preserve"> 20 dB</w:t>
      </w:r>
    </w:p>
    <w:p w14:paraId="2FED5732" w14:textId="77777777" w:rsidR="00524B77" w:rsidRPr="00DB707E" w:rsidRDefault="00524B77" w:rsidP="00524B77">
      <w:pPr>
        <w:pStyle w:val="TH"/>
      </w:pPr>
      <w:r w:rsidRPr="00DB707E">
        <w:t>Table 10.1A.4.1.2-1: SS-RSRP Inter frequency relative accuracy for 1Rx RedCap UE in FR1</w:t>
      </w:r>
    </w:p>
    <w:tbl>
      <w:tblPr>
        <w:tblW w:w="10172" w:type="dxa"/>
        <w:jc w:val="center"/>
        <w:tblLook w:val="01E0" w:firstRow="1" w:lastRow="1" w:firstColumn="1" w:lastColumn="1" w:noHBand="0" w:noVBand="0"/>
      </w:tblPr>
      <w:tblGrid>
        <w:gridCol w:w="1036"/>
        <w:gridCol w:w="1055"/>
        <w:gridCol w:w="833"/>
        <w:gridCol w:w="2530"/>
        <w:gridCol w:w="1005"/>
        <w:gridCol w:w="833"/>
        <w:gridCol w:w="1440"/>
        <w:gridCol w:w="1440"/>
      </w:tblGrid>
      <w:tr w:rsidR="00524B77" w:rsidRPr="00DB707E" w14:paraId="03FC9B8B" w14:textId="77777777" w:rsidTr="00430B21">
        <w:trPr>
          <w:jc w:val="center"/>
        </w:trPr>
        <w:tc>
          <w:tcPr>
            <w:tcW w:w="2091"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3F36DFE6" w14:textId="77777777" w:rsidR="00524B77" w:rsidRPr="00DB707E" w:rsidRDefault="00524B77" w:rsidP="00430B21">
            <w:pPr>
              <w:pStyle w:val="TAH"/>
            </w:pPr>
            <w:r w:rsidRPr="00DB707E">
              <w:t>Accuracy</w:t>
            </w:r>
          </w:p>
        </w:tc>
        <w:tc>
          <w:tcPr>
            <w:tcW w:w="8081"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37384004" w14:textId="77777777" w:rsidR="00524B77" w:rsidRPr="00DB707E" w:rsidRDefault="00524B77" w:rsidP="00430B21">
            <w:pPr>
              <w:pStyle w:val="TAH"/>
            </w:pPr>
            <w:r w:rsidRPr="00DB707E">
              <w:t>Conditions</w:t>
            </w:r>
          </w:p>
        </w:tc>
      </w:tr>
      <w:tr w:rsidR="00524B77" w:rsidRPr="00DB707E" w14:paraId="63522C18" w14:textId="77777777" w:rsidTr="00430B21">
        <w:trPr>
          <w:jc w:val="center"/>
        </w:trPr>
        <w:tc>
          <w:tcPr>
            <w:tcW w:w="1036" w:type="dxa"/>
            <w:tcBorders>
              <w:top w:val="single" w:sz="6" w:space="0" w:color="auto"/>
              <w:left w:val="single" w:sz="4" w:space="0" w:color="auto"/>
              <w:right w:val="single" w:sz="6" w:space="0" w:color="auto"/>
            </w:tcBorders>
            <w:shd w:val="clear" w:color="auto" w:fill="auto"/>
            <w:vAlign w:val="center"/>
          </w:tcPr>
          <w:p w14:paraId="0CE7DEEB" w14:textId="77777777" w:rsidR="00524B77" w:rsidRPr="00DB707E" w:rsidRDefault="00524B77" w:rsidP="00430B21">
            <w:pPr>
              <w:pStyle w:val="TAH"/>
            </w:pPr>
            <w:r w:rsidRPr="00DB707E">
              <w:t>Normal condition</w:t>
            </w:r>
          </w:p>
        </w:tc>
        <w:tc>
          <w:tcPr>
            <w:tcW w:w="1055" w:type="dxa"/>
            <w:tcBorders>
              <w:top w:val="single" w:sz="6" w:space="0" w:color="auto"/>
              <w:left w:val="single" w:sz="6" w:space="0" w:color="auto"/>
              <w:right w:val="single" w:sz="6" w:space="0" w:color="auto"/>
            </w:tcBorders>
            <w:shd w:val="clear" w:color="auto" w:fill="auto"/>
            <w:vAlign w:val="center"/>
          </w:tcPr>
          <w:p w14:paraId="365F926C" w14:textId="77777777" w:rsidR="00524B77" w:rsidRPr="00DB707E" w:rsidRDefault="00524B77" w:rsidP="00430B21">
            <w:pPr>
              <w:pStyle w:val="TAH"/>
            </w:pPr>
            <w:r w:rsidRPr="00DB707E">
              <w:t>Extreme condition</w:t>
            </w:r>
          </w:p>
        </w:tc>
        <w:tc>
          <w:tcPr>
            <w:tcW w:w="833" w:type="dxa"/>
            <w:tcBorders>
              <w:top w:val="single" w:sz="6" w:space="0" w:color="auto"/>
              <w:left w:val="single" w:sz="6" w:space="0" w:color="auto"/>
              <w:right w:val="single" w:sz="6" w:space="0" w:color="auto"/>
            </w:tcBorders>
            <w:shd w:val="clear" w:color="auto" w:fill="auto"/>
            <w:vAlign w:val="center"/>
          </w:tcPr>
          <w:p w14:paraId="0B8103CB" w14:textId="77777777" w:rsidR="00524B77" w:rsidRPr="00DB707E" w:rsidRDefault="00524B77" w:rsidP="00430B21">
            <w:pPr>
              <w:pStyle w:val="TAH"/>
            </w:pPr>
            <w:r w:rsidRPr="00DB707E">
              <w:t>SSB Ês/Iot</w:t>
            </w:r>
            <w:r w:rsidRPr="00DB707E">
              <w:rPr>
                <w:vertAlign w:val="superscript"/>
              </w:rPr>
              <w:t xml:space="preserve"> Note 2</w:t>
            </w:r>
          </w:p>
        </w:tc>
        <w:tc>
          <w:tcPr>
            <w:tcW w:w="724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6F7B2BF4" w14:textId="77777777" w:rsidR="00524B77" w:rsidRPr="00DB707E" w:rsidRDefault="00524B77" w:rsidP="00430B21">
            <w:pPr>
              <w:pStyle w:val="TAH"/>
            </w:pPr>
            <w:r w:rsidRPr="00DB707E">
              <w:t>Io</w:t>
            </w:r>
            <w:r w:rsidRPr="00DB707E">
              <w:rPr>
                <w:vertAlign w:val="superscript"/>
              </w:rPr>
              <w:t xml:space="preserve"> Note 1</w:t>
            </w:r>
            <w:r w:rsidRPr="00DB707E">
              <w:t xml:space="preserve"> range</w:t>
            </w:r>
          </w:p>
        </w:tc>
      </w:tr>
      <w:tr w:rsidR="00524B77" w:rsidRPr="00DB707E" w14:paraId="3276BC20" w14:textId="77777777" w:rsidTr="00430B21">
        <w:trPr>
          <w:jc w:val="center"/>
        </w:trPr>
        <w:tc>
          <w:tcPr>
            <w:tcW w:w="1036" w:type="dxa"/>
            <w:tcBorders>
              <w:left w:val="single" w:sz="4" w:space="0" w:color="auto"/>
              <w:bottom w:val="single" w:sz="6" w:space="0" w:color="auto"/>
              <w:right w:val="single" w:sz="6" w:space="0" w:color="auto"/>
            </w:tcBorders>
            <w:shd w:val="clear" w:color="auto" w:fill="auto"/>
            <w:vAlign w:val="center"/>
          </w:tcPr>
          <w:p w14:paraId="627289AE" w14:textId="77777777" w:rsidR="00524B77" w:rsidRPr="00DB707E" w:rsidRDefault="00524B77" w:rsidP="00430B21">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5F18C6CE" w14:textId="77777777" w:rsidR="00524B77" w:rsidRPr="00DB707E" w:rsidRDefault="00524B77" w:rsidP="00430B21">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548FAA92" w14:textId="77777777" w:rsidR="00524B77" w:rsidRPr="00DB707E" w:rsidRDefault="00524B77" w:rsidP="00430B21">
            <w:pPr>
              <w:pStyle w:val="TAH"/>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268F85CC" w14:textId="77777777" w:rsidR="00524B77" w:rsidRPr="00DB707E" w:rsidRDefault="00524B77" w:rsidP="00430B21">
            <w:pPr>
              <w:pStyle w:val="TAH"/>
            </w:pPr>
            <w:r w:rsidRPr="00DB707E">
              <w:t>NR operating band groups</w:t>
            </w:r>
            <w:r w:rsidRPr="00DB707E">
              <w:rPr>
                <w:vertAlign w:val="superscript"/>
              </w:rPr>
              <w:t xml:space="preserve"> Note 3</w:t>
            </w:r>
          </w:p>
        </w:tc>
        <w:tc>
          <w:tcPr>
            <w:tcW w:w="32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6B0CA605"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5F49EF85" w14:textId="77777777" w:rsidR="00524B77" w:rsidRPr="00DB707E" w:rsidRDefault="00524B77" w:rsidP="00430B21">
            <w:pPr>
              <w:pStyle w:val="TAH"/>
            </w:pPr>
            <w:r w:rsidRPr="00DB707E">
              <w:t>Maximum Io</w:t>
            </w:r>
          </w:p>
        </w:tc>
      </w:tr>
      <w:tr w:rsidR="00524B77" w:rsidRPr="00DB707E" w14:paraId="661F0FA0" w14:textId="77777777" w:rsidTr="00430B21">
        <w:trPr>
          <w:trHeight w:val="308"/>
          <w:jc w:val="center"/>
        </w:trPr>
        <w:tc>
          <w:tcPr>
            <w:tcW w:w="1036" w:type="dxa"/>
            <w:tcBorders>
              <w:top w:val="single" w:sz="6" w:space="0" w:color="auto"/>
              <w:left w:val="single" w:sz="4" w:space="0" w:color="auto"/>
              <w:right w:val="single" w:sz="6" w:space="0" w:color="auto"/>
            </w:tcBorders>
            <w:shd w:val="clear" w:color="auto" w:fill="auto"/>
            <w:vAlign w:val="center"/>
          </w:tcPr>
          <w:p w14:paraId="101BE64E" w14:textId="77777777" w:rsidR="00524B77" w:rsidRPr="00DB707E" w:rsidRDefault="00524B77" w:rsidP="00430B21">
            <w:pPr>
              <w:pStyle w:val="TAH"/>
            </w:pPr>
            <w:r w:rsidRPr="00DB707E">
              <w:t>dB</w:t>
            </w:r>
          </w:p>
        </w:tc>
        <w:tc>
          <w:tcPr>
            <w:tcW w:w="1055" w:type="dxa"/>
            <w:tcBorders>
              <w:top w:val="single" w:sz="6" w:space="0" w:color="auto"/>
              <w:left w:val="single" w:sz="6" w:space="0" w:color="auto"/>
              <w:right w:val="single" w:sz="6" w:space="0" w:color="auto"/>
            </w:tcBorders>
            <w:shd w:val="clear" w:color="auto" w:fill="auto"/>
            <w:vAlign w:val="center"/>
          </w:tcPr>
          <w:p w14:paraId="195EE72D" w14:textId="77777777" w:rsidR="00524B77" w:rsidRPr="00DB707E" w:rsidRDefault="00524B77" w:rsidP="00430B21">
            <w:pPr>
              <w:pStyle w:val="TAH"/>
            </w:pPr>
            <w:r w:rsidRPr="00DB707E">
              <w:t>dB</w:t>
            </w:r>
          </w:p>
        </w:tc>
        <w:tc>
          <w:tcPr>
            <w:tcW w:w="833" w:type="dxa"/>
            <w:tcBorders>
              <w:top w:val="single" w:sz="6" w:space="0" w:color="auto"/>
              <w:left w:val="single" w:sz="6" w:space="0" w:color="auto"/>
              <w:right w:val="single" w:sz="6" w:space="0" w:color="auto"/>
            </w:tcBorders>
            <w:shd w:val="clear" w:color="auto" w:fill="auto"/>
            <w:vAlign w:val="center"/>
          </w:tcPr>
          <w:p w14:paraId="68D75C99" w14:textId="77777777" w:rsidR="00524B77" w:rsidRPr="00DB707E" w:rsidRDefault="00524B77" w:rsidP="00430B21">
            <w:pPr>
              <w:pStyle w:val="TAH"/>
            </w:pPr>
            <w:r w:rsidRPr="00DB707E">
              <w:t>dB</w:t>
            </w:r>
          </w:p>
        </w:tc>
        <w:tc>
          <w:tcPr>
            <w:tcW w:w="2530" w:type="dxa"/>
            <w:tcBorders>
              <w:top w:val="single" w:sz="6" w:space="0" w:color="auto"/>
              <w:left w:val="single" w:sz="6" w:space="0" w:color="auto"/>
              <w:right w:val="single" w:sz="4" w:space="0" w:color="auto"/>
            </w:tcBorders>
            <w:shd w:val="clear" w:color="auto" w:fill="auto"/>
            <w:vAlign w:val="center"/>
          </w:tcPr>
          <w:p w14:paraId="29083CB7" w14:textId="77777777" w:rsidR="00524B77" w:rsidRPr="00DB707E" w:rsidRDefault="00524B77" w:rsidP="00430B21">
            <w:pPr>
              <w:pStyle w:val="TAH"/>
            </w:pPr>
          </w:p>
        </w:tc>
        <w:tc>
          <w:tcPr>
            <w:tcW w:w="18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3C0DF7DF"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7EEAF31C"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167D75DB" w14:textId="77777777" w:rsidR="00524B77" w:rsidRPr="00DB707E" w:rsidRDefault="00524B77" w:rsidP="00430B21">
            <w:pPr>
              <w:pStyle w:val="TAH"/>
            </w:pPr>
            <w:r w:rsidRPr="00DB707E">
              <w:t>dBm/BW</w:t>
            </w:r>
            <w:r w:rsidRPr="00DB707E">
              <w:rPr>
                <w:vertAlign w:val="subscript"/>
              </w:rPr>
              <w:t>Channel</w:t>
            </w:r>
          </w:p>
        </w:tc>
      </w:tr>
      <w:tr w:rsidR="00524B77" w:rsidRPr="00DB707E" w14:paraId="2EE2DBED" w14:textId="77777777" w:rsidTr="00430B21">
        <w:trPr>
          <w:trHeight w:val="307"/>
          <w:jc w:val="center"/>
        </w:trPr>
        <w:tc>
          <w:tcPr>
            <w:tcW w:w="1036" w:type="dxa"/>
            <w:tcBorders>
              <w:left w:val="single" w:sz="4" w:space="0" w:color="auto"/>
              <w:bottom w:val="single" w:sz="6" w:space="0" w:color="auto"/>
              <w:right w:val="single" w:sz="6" w:space="0" w:color="auto"/>
            </w:tcBorders>
            <w:shd w:val="clear" w:color="auto" w:fill="auto"/>
            <w:vAlign w:val="center"/>
          </w:tcPr>
          <w:p w14:paraId="50A74863" w14:textId="77777777" w:rsidR="00524B77" w:rsidRPr="00DB707E" w:rsidRDefault="00524B77" w:rsidP="00430B21">
            <w:pPr>
              <w:pStyle w:val="TAH"/>
            </w:pPr>
          </w:p>
        </w:tc>
        <w:tc>
          <w:tcPr>
            <w:tcW w:w="1055" w:type="dxa"/>
            <w:tcBorders>
              <w:left w:val="single" w:sz="6" w:space="0" w:color="auto"/>
              <w:bottom w:val="single" w:sz="6" w:space="0" w:color="auto"/>
              <w:right w:val="single" w:sz="6" w:space="0" w:color="auto"/>
            </w:tcBorders>
            <w:shd w:val="clear" w:color="auto" w:fill="auto"/>
            <w:vAlign w:val="center"/>
          </w:tcPr>
          <w:p w14:paraId="3C90E0F2" w14:textId="77777777" w:rsidR="00524B77" w:rsidRPr="00DB707E" w:rsidRDefault="00524B77" w:rsidP="00430B21">
            <w:pPr>
              <w:pStyle w:val="TAH"/>
            </w:pPr>
          </w:p>
        </w:tc>
        <w:tc>
          <w:tcPr>
            <w:tcW w:w="833" w:type="dxa"/>
            <w:tcBorders>
              <w:left w:val="single" w:sz="6" w:space="0" w:color="auto"/>
              <w:bottom w:val="single" w:sz="6" w:space="0" w:color="auto"/>
              <w:right w:val="single" w:sz="6" w:space="0" w:color="auto"/>
            </w:tcBorders>
            <w:shd w:val="clear" w:color="auto" w:fill="auto"/>
            <w:vAlign w:val="center"/>
          </w:tcPr>
          <w:p w14:paraId="1D127BBC" w14:textId="77777777" w:rsidR="00524B77" w:rsidRPr="00DB707E" w:rsidRDefault="00524B77" w:rsidP="00430B21">
            <w:pPr>
              <w:pStyle w:val="TAH"/>
            </w:pPr>
          </w:p>
        </w:tc>
        <w:tc>
          <w:tcPr>
            <w:tcW w:w="2530" w:type="dxa"/>
            <w:tcBorders>
              <w:left w:val="single" w:sz="6" w:space="0" w:color="auto"/>
              <w:bottom w:val="single" w:sz="6" w:space="0" w:color="auto"/>
              <w:right w:val="single" w:sz="4" w:space="0" w:color="auto"/>
            </w:tcBorders>
            <w:shd w:val="clear" w:color="auto" w:fill="auto"/>
            <w:vAlign w:val="center"/>
          </w:tcPr>
          <w:p w14:paraId="69218A46" w14:textId="77777777" w:rsidR="00524B77" w:rsidRPr="00DB707E" w:rsidRDefault="00524B77" w:rsidP="00430B21">
            <w:pPr>
              <w:pStyle w:val="TAH"/>
            </w:pP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46C29B5C"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32CF02E5"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4AAEE94D"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33390E35" w14:textId="77777777" w:rsidR="00524B77" w:rsidRPr="00DB707E" w:rsidRDefault="00524B77" w:rsidP="00430B21">
            <w:pPr>
              <w:pStyle w:val="TAH"/>
            </w:pPr>
          </w:p>
        </w:tc>
      </w:tr>
      <w:tr w:rsidR="00524B77" w:rsidRPr="00DB707E" w14:paraId="1F0AD24D" w14:textId="77777777" w:rsidTr="00430B21">
        <w:trPr>
          <w:jc w:val="center"/>
        </w:trPr>
        <w:tc>
          <w:tcPr>
            <w:tcW w:w="1036" w:type="dxa"/>
            <w:tcBorders>
              <w:top w:val="single" w:sz="6" w:space="0" w:color="auto"/>
              <w:left w:val="single" w:sz="4" w:space="0" w:color="auto"/>
              <w:right w:val="single" w:sz="6" w:space="0" w:color="auto"/>
            </w:tcBorders>
            <w:shd w:val="clear" w:color="auto" w:fill="auto"/>
            <w:vAlign w:val="center"/>
          </w:tcPr>
          <w:p w14:paraId="501BD050" w14:textId="77777777" w:rsidR="00524B77" w:rsidRPr="00DB707E" w:rsidRDefault="00524B77" w:rsidP="00430B21">
            <w:pPr>
              <w:pStyle w:val="TAC"/>
            </w:pPr>
          </w:p>
        </w:tc>
        <w:tc>
          <w:tcPr>
            <w:tcW w:w="1055" w:type="dxa"/>
            <w:tcBorders>
              <w:top w:val="single" w:sz="6" w:space="0" w:color="auto"/>
              <w:left w:val="single" w:sz="6" w:space="0" w:color="auto"/>
              <w:right w:val="single" w:sz="6" w:space="0" w:color="auto"/>
            </w:tcBorders>
            <w:shd w:val="clear" w:color="auto" w:fill="auto"/>
            <w:vAlign w:val="center"/>
          </w:tcPr>
          <w:p w14:paraId="56137643" w14:textId="77777777" w:rsidR="00524B77" w:rsidRPr="00DB707E" w:rsidRDefault="00524B77" w:rsidP="00430B21">
            <w:pPr>
              <w:pStyle w:val="TAC"/>
            </w:pPr>
          </w:p>
        </w:tc>
        <w:tc>
          <w:tcPr>
            <w:tcW w:w="833" w:type="dxa"/>
            <w:tcBorders>
              <w:top w:val="single" w:sz="6" w:space="0" w:color="auto"/>
              <w:left w:val="single" w:sz="6" w:space="0" w:color="auto"/>
              <w:right w:val="single" w:sz="6" w:space="0" w:color="auto"/>
            </w:tcBorders>
            <w:shd w:val="clear" w:color="auto" w:fill="auto"/>
            <w:vAlign w:val="center"/>
          </w:tcPr>
          <w:p w14:paraId="43ACC314"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55C4AED4" w14:textId="77777777" w:rsidR="00524B77" w:rsidRPr="00DB707E" w:rsidRDefault="00524B77" w:rsidP="00430B21">
            <w:pPr>
              <w:pStyle w:val="TAC"/>
            </w:pPr>
            <w:r w:rsidRPr="00DB707E">
              <w:t>NR_FDD_FR1_A, NR_TDD_FR1_A,</w:t>
            </w:r>
          </w:p>
          <w:p w14:paraId="7573EFAD" w14:textId="77777777" w:rsidR="00524B77" w:rsidRPr="00DB707E" w:rsidRDefault="00524B77" w:rsidP="00430B21">
            <w:pPr>
              <w:pStyle w:val="TAC"/>
            </w:pPr>
            <w:r w:rsidRPr="00DB707E">
              <w:t>NR_SDL_FR1_A</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7BBEB8EE" w14:textId="77777777" w:rsidR="00524B77" w:rsidRPr="00DB707E" w:rsidRDefault="00524B77" w:rsidP="00430B21">
            <w:pPr>
              <w:pStyle w:val="TAC"/>
            </w:pPr>
            <w:r w:rsidRPr="00DB707E">
              <w:t>-121</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5EC970AE" w14:textId="77777777" w:rsidR="00524B77" w:rsidRPr="00DB707E" w:rsidRDefault="00524B77" w:rsidP="00430B21">
            <w:pPr>
              <w:pStyle w:val="TAC"/>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70F4A48A"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4594076" w14:textId="77777777" w:rsidR="00524B77" w:rsidRPr="00DB707E" w:rsidRDefault="00524B77" w:rsidP="00430B21">
            <w:pPr>
              <w:pStyle w:val="TAC"/>
            </w:pPr>
            <w:r w:rsidRPr="00DB707E">
              <w:t>-50</w:t>
            </w:r>
          </w:p>
        </w:tc>
      </w:tr>
      <w:tr w:rsidR="00524B77" w:rsidRPr="00DB707E" w14:paraId="2E817004" w14:textId="77777777" w:rsidTr="00430B21">
        <w:trPr>
          <w:jc w:val="center"/>
        </w:trPr>
        <w:tc>
          <w:tcPr>
            <w:tcW w:w="1036" w:type="dxa"/>
            <w:tcBorders>
              <w:left w:val="single" w:sz="4" w:space="0" w:color="auto"/>
              <w:right w:val="single" w:sz="6" w:space="0" w:color="auto"/>
            </w:tcBorders>
            <w:shd w:val="clear" w:color="auto" w:fill="auto"/>
            <w:vAlign w:val="center"/>
          </w:tcPr>
          <w:p w14:paraId="7D3288F2"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vAlign w:val="center"/>
          </w:tcPr>
          <w:p w14:paraId="16BC95DE"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vAlign w:val="center"/>
          </w:tcPr>
          <w:p w14:paraId="5BCE1321"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tcPr>
          <w:p w14:paraId="0BC0BCA5" w14:textId="77777777" w:rsidR="00524B77" w:rsidRPr="00DB707E" w:rsidRDefault="00524B77" w:rsidP="00430B21">
            <w:pPr>
              <w:pStyle w:val="TAC"/>
            </w:pPr>
            <w:r w:rsidRPr="00DB707E">
              <w:t>NR_FDD_FR1_B</w:t>
            </w:r>
          </w:p>
        </w:tc>
        <w:tc>
          <w:tcPr>
            <w:tcW w:w="1005" w:type="dxa"/>
            <w:tcBorders>
              <w:top w:val="single" w:sz="6" w:space="0" w:color="auto"/>
              <w:left w:val="single" w:sz="4" w:space="0" w:color="auto"/>
              <w:bottom w:val="single" w:sz="6" w:space="0" w:color="auto"/>
              <w:right w:val="single" w:sz="6" w:space="0" w:color="auto"/>
            </w:tcBorders>
            <w:shd w:val="clear" w:color="auto" w:fill="auto"/>
          </w:tcPr>
          <w:p w14:paraId="7C11CFBE" w14:textId="77777777" w:rsidR="00524B77" w:rsidRPr="00DB707E" w:rsidRDefault="00524B77" w:rsidP="00430B21">
            <w:pPr>
              <w:pStyle w:val="TAC"/>
            </w:pPr>
            <w:r w:rsidRPr="00DB707E">
              <w:t>-120.5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525BA901" w14:textId="77777777" w:rsidR="00524B77" w:rsidRPr="00DB707E" w:rsidRDefault="00524B77" w:rsidP="00430B21">
            <w:pPr>
              <w:pStyle w:val="TAC"/>
              <w:rPr>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16F644E"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967CF1D" w14:textId="77777777" w:rsidR="00524B77" w:rsidRPr="00DB707E" w:rsidRDefault="00524B77" w:rsidP="00430B21">
            <w:pPr>
              <w:pStyle w:val="TAC"/>
            </w:pPr>
            <w:r w:rsidRPr="00DB707E">
              <w:t>-50</w:t>
            </w:r>
          </w:p>
        </w:tc>
      </w:tr>
      <w:tr w:rsidR="00524B77" w:rsidRPr="00DB707E" w14:paraId="5E89400F" w14:textId="77777777" w:rsidTr="00430B21">
        <w:trPr>
          <w:jc w:val="center"/>
        </w:trPr>
        <w:tc>
          <w:tcPr>
            <w:tcW w:w="1036" w:type="dxa"/>
            <w:tcBorders>
              <w:left w:val="single" w:sz="4" w:space="0" w:color="auto"/>
              <w:right w:val="single" w:sz="6" w:space="0" w:color="auto"/>
            </w:tcBorders>
            <w:shd w:val="clear" w:color="auto" w:fill="auto"/>
            <w:vAlign w:val="center"/>
          </w:tcPr>
          <w:p w14:paraId="36B3132F"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vAlign w:val="center"/>
          </w:tcPr>
          <w:p w14:paraId="0EF3C1BA"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vAlign w:val="center"/>
          </w:tcPr>
          <w:p w14:paraId="385BB345"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30F92879" w14:textId="77777777" w:rsidR="00524B77" w:rsidRPr="00DB707E" w:rsidRDefault="00524B77" w:rsidP="00430B21">
            <w:pPr>
              <w:pStyle w:val="TAC"/>
            </w:pPr>
            <w:r w:rsidRPr="00DB707E">
              <w:t>NR_TDD_FR1_C</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61926B98" w14:textId="77777777" w:rsidR="00524B77" w:rsidRPr="00DB707E" w:rsidRDefault="00524B77" w:rsidP="00430B21">
            <w:pPr>
              <w:pStyle w:val="TAC"/>
            </w:pPr>
            <w:r w:rsidRPr="00DB707E">
              <w:t>-120</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4936848E" w14:textId="77777777" w:rsidR="00524B77" w:rsidRPr="00DB707E" w:rsidRDefault="00524B77" w:rsidP="00430B21">
            <w:pPr>
              <w:pStyle w:val="TAC"/>
              <w:rPr>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4B88095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CDBFD17" w14:textId="77777777" w:rsidR="00524B77" w:rsidRPr="00DB707E" w:rsidRDefault="00524B77" w:rsidP="00430B21">
            <w:pPr>
              <w:pStyle w:val="TAC"/>
            </w:pPr>
            <w:r w:rsidRPr="00DB707E">
              <w:t>-50</w:t>
            </w:r>
          </w:p>
        </w:tc>
      </w:tr>
      <w:tr w:rsidR="00524B77" w:rsidRPr="00DB707E" w14:paraId="3F980E74" w14:textId="77777777" w:rsidTr="00430B21">
        <w:trPr>
          <w:jc w:val="center"/>
        </w:trPr>
        <w:tc>
          <w:tcPr>
            <w:tcW w:w="1036" w:type="dxa"/>
            <w:tcBorders>
              <w:left w:val="single" w:sz="4" w:space="0" w:color="auto"/>
              <w:right w:val="single" w:sz="6" w:space="0" w:color="auto"/>
            </w:tcBorders>
            <w:shd w:val="clear" w:color="auto" w:fill="auto"/>
            <w:vAlign w:val="center"/>
          </w:tcPr>
          <w:p w14:paraId="526B5E15" w14:textId="77777777" w:rsidR="00524B77" w:rsidRPr="00DB707E" w:rsidRDefault="00524B77" w:rsidP="00430B21">
            <w:pPr>
              <w:pStyle w:val="TAC"/>
            </w:pPr>
            <w:r w:rsidRPr="00DB707E">
              <w:sym w:font="Symbol" w:char="F0B1"/>
            </w:r>
            <w:r w:rsidRPr="00DB707E">
              <w:t>5.5</w:t>
            </w:r>
          </w:p>
        </w:tc>
        <w:tc>
          <w:tcPr>
            <w:tcW w:w="1055" w:type="dxa"/>
            <w:tcBorders>
              <w:left w:val="single" w:sz="6" w:space="0" w:color="auto"/>
              <w:right w:val="single" w:sz="6" w:space="0" w:color="auto"/>
            </w:tcBorders>
            <w:shd w:val="clear" w:color="auto" w:fill="auto"/>
            <w:vAlign w:val="center"/>
          </w:tcPr>
          <w:p w14:paraId="7C053546" w14:textId="77777777" w:rsidR="00524B77" w:rsidRPr="00DB707E" w:rsidRDefault="00524B77" w:rsidP="00430B21">
            <w:pPr>
              <w:pStyle w:val="TAC"/>
            </w:pPr>
            <w:r w:rsidRPr="00DB707E">
              <w:sym w:font="Symbol" w:char="F0B1"/>
            </w:r>
            <w:r w:rsidRPr="00DB707E">
              <w:t>7</w:t>
            </w:r>
          </w:p>
        </w:tc>
        <w:tc>
          <w:tcPr>
            <w:tcW w:w="833" w:type="dxa"/>
            <w:tcBorders>
              <w:left w:val="single" w:sz="6" w:space="0" w:color="auto"/>
              <w:right w:val="single" w:sz="6" w:space="0" w:color="auto"/>
            </w:tcBorders>
            <w:shd w:val="clear" w:color="auto" w:fill="auto"/>
            <w:vAlign w:val="center"/>
          </w:tcPr>
          <w:p w14:paraId="6ED9C2FA" w14:textId="77777777" w:rsidR="00524B77" w:rsidRPr="00DB707E" w:rsidRDefault="00524B77" w:rsidP="00430B21">
            <w:pPr>
              <w:pStyle w:val="TAC"/>
            </w:pPr>
            <w:r w:rsidRPr="00DB707E">
              <w:sym w:font="Symbol" w:char="F0B3"/>
            </w:r>
            <w:r w:rsidRPr="00DB707E">
              <w:t>-</w:t>
            </w:r>
            <w:r w:rsidRPr="00DB707E">
              <w:rPr>
                <w:lang w:eastAsia="zh-CN"/>
              </w:rPr>
              <w:t>6</w:t>
            </w: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3319D719" w14:textId="77777777" w:rsidR="00524B77" w:rsidRPr="00DB707E" w:rsidRDefault="00524B77" w:rsidP="00430B21">
            <w:pPr>
              <w:pStyle w:val="TAC"/>
              <w:rPr>
                <w:lang w:val="sv-SE"/>
              </w:rPr>
            </w:pPr>
            <w:r w:rsidRPr="00DB707E">
              <w:rPr>
                <w:lang w:val="sv-SE"/>
              </w:rPr>
              <w:t>NR_FDD_FR1_D, NR_TDD_FR1_D</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015DB1AD" w14:textId="77777777" w:rsidR="00524B77" w:rsidRPr="00DB707E" w:rsidRDefault="00524B77" w:rsidP="00430B21">
            <w:pPr>
              <w:pStyle w:val="TAC"/>
            </w:pPr>
            <w:r w:rsidRPr="00DB707E">
              <w:t>-119.5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0275FA4A" w14:textId="77777777" w:rsidR="00524B77" w:rsidRPr="00DB707E" w:rsidRDefault="00524B77" w:rsidP="00430B21">
            <w:pPr>
              <w:pStyle w:val="TAC"/>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030FA475"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0A24C4A1" w14:textId="77777777" w:rsidR="00524B77" w:rsidRPr="00DB707E" w:rsidRDefault="00524B77" w:rsidP="00430B21">
            <w:pPr>
              <w:pStyle w:val="TAC"/>
            </w:pPr>
            <w:r w:rsidRPr="00DB707E">
              <w:t>-50</w:t>
            </w:r>
          </w:p>
        </w:tc>
      </w:tr>
      <w:tr w:rsidR="00524B77" w:rsidRPr="00DB707E" w14:paraId="0E57D1D0" w14:textId="77777777" w:rsidTr="00430B21">
        <w:trPr>
          <w:jc w:val="center"/>
        </w:trPr>
        <w:tc>
          <w:tcPr>
            <w:tcW w:w="1036" w:type="dxa"/>
            <w:tcBorders>
              <w:left w:val="single" w:sz="4" w:space="0" w:color="auto"/>
              <w:right w:val="single" w:sz="6" w:space="0" w:color="auto"/>
            </w:tcBorders>
            <w:shd w:val="clear" w:color="auto" w:fill="auto"/>
            <w:vAlign w:val="center"/>
          </w:tcPr>
          <w:p w14:paraId="476F6133"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vAlign w:val="center"/>
          </w:tcPr>
          <w:p w14:paraId="16F0BD9E"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vAlign w:val="center"/>
          </w:tcPr>
          <w:p w14:paraId="2CA712F1"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208E7867" w14:textId="77777777" w:rsidR="00524B77" w:rsidRPr="00DB707E" w:rsidRDefault="00524B77" w:rsidP="00430B21">
            <w:pPr>
              <w:pStyle w:val="TAC"/>
              <w:rPr>
                <w:lang w:val="sv-SE"/>
              </w:rPr>
            </w:pPr>
            <w:r w:rsidRPr="00DB707E">
              <w:rPr>
                <w:lang w:val="sv-SE"/>
              </w:rPr>
              <w:t>NR_FDD_FR1_E, NR_TDD_FR1_E</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14ADBA86" w14:textId="77777777" w:rsidR="00524B77" w:rsidRPr="00DB707E" w:rsidRDefault="00524B77" w:rsidP="00430B21">
            <w:pPr>
              <w:pStyle w:val="TAC"/>
            </w:pPr>
            <w:r w:rsidRPr="00DB707E">
              <w:t>-119</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67D95582" w14:textId="77777777" w:rsidR="00524B77" w:rsidRPr="00DB707E" w:rsidRDefault="00524B77" w:rsidP="00430B21">
            <w:pPr>
              <w:pStyle w:val="TAC"/>
              <w:rPr>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7B24A39"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2DD6390F" w14:textId="77777777" w:rsidR="00524B77" w:rsidRPr="00DB707E" w:rsidRDefault="00524B77" w:rsidP="00430B21">
            <w:pPr>
              <w:pStyle w:val="TAC"/>
            </w:pPr>
            <w:r w:rsidRPr="00DB707E">
              <w:t>-50</w:t>
            </w:r>
          </w:p>
        </w:tc>
      </w:tr>
      <w:tr w:rsidR="00524B77" w:rsidRPr="00DB707E" w14:paraId="75828926" w14:textId="77777777" w:rsidTr="00430B21">
        <w:trPr>
          <w:jc w:val="center"/>
        </w:trPr>
        <w:tc>
          <w:tcPr>
            <w:tcW w:w="1036" w:type="dxa"/>
            <w:tcBorders>
              <w:left w:val="single" w:sz="4" w:space="0" w:color="auto"/>
              <w:right w:val="single" w:sz="6" w:space="0" w:color="auto"/>
            </w:tcBorders>
            <w:shd w:val="clear" w:color="auto" w:fill="auto"/>
            <w:vAlign w:val="center"/>
          </w:tcPr>
          <w:p w14:paraId="5A18D87A"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vAlign w:val="center"/>
          </w:tcPr>
          <w:p w14:paraId="063597D7"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vAlign w:val="center"/>
          </w:tcPr>
          <w:p w14:paraId="510ECC93"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3FCB0974" w14:textId="77777777" w:rsidR="00524B77" w:rsidRPr="00DB707E" w:rsidRDefault="00524B77" w:rsidP="00430B21">
            <w:pPr>
              <w:pStyle w:val="TAC"/>
              <w:rPr>
                <w:lang w:val="sv-SE"/>
              </w:rPr>
            </w:pPr>
            <w:r w:rsidRPr="00DB707E">
              <w:rPr>
                <w:lang w:eastAsia="zh-CN"/>
              </w:rPr>
              <w:t>NR_FDD_FR1_F</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6B36901D" w14:textId="77777777" w:rsidR="00524B77" w:rsidRPr="00DB707E" w:rsidRDefault="00524B77" w:rsidP="00430B21">
            <w:pPr>
              <w:pStyle w:val="TAC"/>
            </w:pPr>
            <w:r w:rsidRPr="00DB707E">
              <w:t>-118.5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274394BC"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66ADAED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01A2176" w14:textId="77777777" w:rsidR="00524B77" w:rsidRPr="00DB707E" w:rsidRDefault="00524B77" w:rsidP="00430B21">
            <w:pPr>
              <w:pStyle w:val="TAC"/>
            </w:pPr>
            <w:r w:rsidRPr="00DB707E">
              <w:t>-50</w:t>
            </w:r>
          </w:p>
        </w:tc>
      </w:tr>
      <w:tr w:rsidR="00524B77" w:rsidRPr="00DB707E" w14:paraId="5342EAED" w14:textId="77777777" w:rsidTr="00430B21">
        <w:trPr>
          <w:jc w:val="center"/>
        </w:trPr>
        <w:tc>
          <w:tcPr>
            <w:tcW w:w="1036" w:type="dxa"/>
            <w:tcBorders>
              <w:left w:val="single" w:sz="4" w:space="0" w:color="auto"/>
              <w:right w:val="single" w:sz="6" w:space="0" w:color="auto"/>
            </w:tcBorders>
            <w:shd w:val="clear" w:color="auto" w:fill="auto"/>
            <w:vAlign w:val="center"/>
          </w:tcPr>
          <w:p w14:paraId="2BD47C7A"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vAlign w:val="center"/>
          </w:tcPr>
          <w:p w14:paraId="11B82FF6"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vAlign w:val="center"/>
          </w:tcPr>
          <w:p w14:paraId="6214A976"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4DB5FD71"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FDD_FR1_G</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59C8AF44" w14:textId="77777777" w:rsidR="00524B77" w:rsidRPr="00DB707E" w:rsidRDefault="00524B77" w:rsidP="00430B21">
            <w:pPr>
              <w:pStyle w:val="TAC"/>
            </w:pPr>
            <w:r w:rsidRPr="00DB707E">
              <w:t>-118</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02F8AE08"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93912B8"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3D8FDDF6" w14:textId="77777777" w:rsidR="00524B77" w:rsidRPr="00DB707E" w:rsidRDefault="00524B77" w:rsidP="00430B21">
            <w:pPr>
              <w:pStyle w:val="TAC"/>
            </w:pPr>
            <w:r w:rsidRPr="00DB707E">
              <w:t>-50</w:t>
            </w:r>
          </w:p>
        </w:tc>
      </w:tr>
      <w:tr w:rsidR="00524B77" w:rsidRPr="00DB707E" w14:paraId="3B6B796E" w14:textId="77777777" w:rsidTr="00430B21">
        <w:trPr>
          <w:jc w:val="center"/>
        </w:trPr>
        <w:tc>
          <w:tcPr>
            <w:tcW w:w="1036" w:type="dxa"/>
            <w:tcBorders>
              <w:left w:val="single" w:sz="4" w:space="0" w:color="auto"/>
              <w:right w:val="single" w:sz="6" w:space="0" w:color="auto"/>
            </w:tcBorders>
            <w:shd w:val="clear" w:color="auto" w:fill="auto"/>
            <w:vAlign w:val="center"/>
          </w:tcPr>
          <w:p w14:paraId="493B67A7" w14:textId="77777777" w:rsidR="00524B77" w:rsidRPr="00DB707E" w:rsidRDefault="00524B77" w:rsidP="00430B21">
            <w:pPr>
              <w:pStyle w:val="TAC"/>
            </w:pPr>
          </w:p>
        </w:tc>
        <w:tc>
          <w:tcPr>
            <w:tcW w:w="1055" w:type="dxa"/>
            <w:tcBorders>
              <w:left w:val="single" w:sz="6" w:space="0" w:color="auto"/>
              <w:right w:val="single" w:sz="6" w:space="0" w:color="auto"/>
            </w:tcBorders>
            <w:shd w:val="clear" w:color="auto" w:fill="auto"/>
            <w:vAlign w:val="center"/>
          </w:tcPr>
          <w:p w14:paraId="07045E8B" w14:textId="77777777" w:rsidR="00524B77" w:rsidRPr="00DB707E" w:rsidRDefault="00524B77" w:rsidP="00430B21">
            <w:pPr>
              <w:pStyle w:val="TAC"/>
            </w:pPr>
          </w:p>
        </w:tc>
        <w:tc>
          <w:tcPr>
            <w:tcW w:w="833" w:type="dxa"/>
            <w:tcBorders>
              <w:left w:val="single" w:sz="6" w:space="0" w:color="auto"/>
              <w:right w:val="single" w:sz="6" w:space="0" w:color="auto"/>
            </w:tcBorders>
            <w:shd w:val="clear" w:color="auto" w:fill="auto"/>
            <w:vAlign w:val="center"/>
          </w:tcPr>
          <w:p w14:paraId="4DABAB0D" w14:textId="77777777" w:rsidR="00524B77" w:rsidRPr="00DB707E" w:rsidRDefault="00524B77" w:rsidP="00430B21">
            <w:pPr>
              <w:pStyle w:val="TAC"/>
            </w:pPr>
          </w:p>
        </w:tc>
        <w:tc>
          <w:tcPr>
            <w:tcW w:w="2530" w:type="dxa"/>
            <w:tcBorders>
              <w:top w:val="single" w:sz="6" w:space="0" w:color="auto"/>
              <w:left w:val="single" w:sz="6" w:space="0" w:color="auto"/>
              <w:bottom w:val="single" w:sz="6" w:space="0" w:color="auto"/>
              <w:right w:val="single" w:sz="4" w:space="0" w:color="auto"/>
            </w:tcBorders>
            <w:shd w:val="clear" w:color="auto" w:fill="auto"/>
            <w:vAlign w:val="center"/>
          </w:tcPr>
          <w:p w14:paraId="4DCDE02C"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05" w:type="dxa"/>
            <w:tcBorders>
              <w:top w:val="single" w:sz="6" w:space="0" w:color="auto"/>
              <w:left w:val="single" w:sz="4" w:space="0" w:color="auto"/>
              <w:bottom w:val="single" w:sz="6" w:space="0" w:color="auto"/>
              <w:right w:val="single" w:sz="6" w:space="0" w:color="auto"/>
            </w:tcBorders>
            <w:shd w:val="clear" w:color="auto" w:fill="auto"/>
            <w:vAlign w:val="center"/>
          </w:tcPr>
          <w:p w14:paraId="6E1DD8A4" w14:textId="77777777" w:rsidR="00524B77" w:rsidRPr="00DB707E" w:rsidRDefault="00524B77" w:rsidP="00430B21">
            <w:pPr>
              <w:pStyle w:val="TAC"/>
            </w:pPr>
            <w:r w:rsidRPr="00DB707E">
              <w:t>-117.5</w:t>
            </w:r>
          </w:p>
        </w:tc>
        <w:tc>
          <w:tcPr>
            <w:tcW w:w="833" w:type="dxa"/>
            <w:tcBorders>
              <w:top w:val="single" w:sz="6" w:space="0" w:color="auto"/>
              <w:left w:val="single" w:sz="4" w:space="0" w:color="auto"/>
              <w:bottom w:val="single" w:sz="6" w:space="0" w:color="auto"/>
              <w:right w:val="single" w:sz="6" w:space="0" w:color="auto"/>
            </w:tcBorders>
            <w:shd w:val="clear" w:color="auto" w:fill="auto"/>
            <w:vAlign w:val="center"/>
          </w:tcPr>
          <w:p w14:paraId="0A0CF18F"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2D9BB6AB"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49BB8F0B" w14:textId="77777777" w:rsidR="00524B77" w:rsidRPr="00DB707E" w:rsidRDefault="00524B77" w:rsidP="00430B21">
            <w:pPr>
              <w:pStyle w:val="TAC"/>
            </w:pPr>
            <w:r w:rsidRPr="00DB707E">
              <w:t>-50</w:t>
            </w:r>
          </w:p>
        </w:tc>
      </w:tr>
      <w:tr w:rsidR="00524B77" w:rsidRPr="00DB707E" w14:paraId="7B4B31E1"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251E4209" w14:textId="77777777" w:rsidR="00524B77" w:rsidRPr="00DB707E" w:rsidRDefault="00524B77" w:rsidP="00430B21">
            <w:pPr>
              <w:pStyle w:val="TAN"/>
            </w:pPr>
            <w:r w:rsidRPr="00DB707E">
              <w:t>NOTE 1:</w:t>
            </w:r>
            <w:r w:rsidRPr="00DB707E">
              <w:tab/>
              <w:t>Io is assumed to have constant EPRE across the bandwidth.</w:t>
            </w:r>
          </w:p>
          <w:p w14:paraId="14D81B47" w14:textId="77777777" w:rsidR="00524B77" w:rsidRPr="00DB707E" w:rsidRDefault="00524B77" w:rsidP="00430B21">
            <w:pPr>
              <w:pStyle w:val="TAN"/>
              <w:rPr>
                <w:lang w:eastAsia="zh-CN"/>
              </w:rPr>
            </w:pPr>
            <w:r w:rsidRPr="00DB707E">
              <w:t>NOTE 2:</w:t>
            </w:r>
            <w:r w:rsidRPr="00DB707E">
              <w:tab/>
            </w:r>
            <w:r w:rsidRPr="00DB707E">
              <w:rPr>
                <w:lang w:eastAsia="zh-CN"/>
              </w:rPr>
              <w:t xml:space="preserve">The parameter </w:t>
            </w:r>
            <w:r w:rsidRPr="00DB707E">
              <w:t>SSB Ês/Iot</w:t>
            </w:r>
            <w:r w:rsidRPr="00DB707E">
              <w:rPr>
                <w:lang w:eastAsia="zh-CN"/>
              </w:rPr>
              <w:t xml:space="preserve"> is the minimum SSB </w:t>
            </w:r>
            <w:r w:rsidRPr="00DB707E">
              <w:t>Ês/Iot</w:t>
            </w:r>
            <w:r w:rsidRPr="00DB707E">
              <w:rPr>
                <w:lang w:eastAsia="zh-CN"/>
              </w:rPr>
              <w:t xml:space="preserve"> of the pair of cells to which the requirement applies.</w:t>
            </w:r>
          </w:p>
          <w:p w14:paraId="419B3BA0" w14:textId="77777777" w:rsidR="00524B77" w:rsidRPr="00DB707E" w:rsidRDefault="00524B77" w:rsidP="00430B21">
            <w:pPr>
              <w:pStyle w:val="TAN"/>
            </w:pPr>
            <w:r w:rsidRPr="00DB707E">
              <w:t>NOTE 3:</w:t>
            </w:r>
            <w:r w:rsidRPr="00DB707E">
              <w:tab/>
              <w:t>NR operating band groups in FR1 are as defined in clause 3.5.2.</w:t>
            </w:r>
          </w:p>
        </w:tc>
      </w:tr>
    </w:tbl>
    <w:p w14:paraId="0EC56CE4" w14:textId="77777777" w:rsidR="00524B77" w:rsidRPr="00DB707E" w:rsidRDefault="00524B77" w:rsidP="00524B77">
      <w:pPr>
        <w:rPr>
          <w:lang w:eastAsia="zh-CN"/>
        </w:rPr>
      </w:pPr>
    </w:p>
    <w:p w14:paraId="46EF2CE3" w14:textId="77777777" w:rsidR="00524B77" w:rsidRPr="00DB707E" w:rsidRDefault="00524B77" w:rsidP="00524B77">
      <w:pPr>
        <w:pStyle w:val="Heading3"/>
        <w:rPr>
          <w:lang w:val="en-US"/>
        </w:rPr>
      </w:pPr>
      <w:r w:rsidRPr="00DB707E">
        <w:rPr>
          <w:lang w:val="en-US"/>
        </w:rPr>
        <w:t>10.1A.5</w:t>
      </w:r>
      <w:r w:rsidRPr="00DB707E">
        <w:rPr>
          <w:lang w:val="en-US"/>
        </w:rPr>
        <w:tab/>
        <w:t>Inter-frequency RSRP accuracy requirements for FR2</w:t>
      </w:r>
    </w:p>
    <w:p w14:paraId="6099D3EF" w14:textId="77777777" w:rsidR="00524B77" w:rsidRPr="00DB707E" w:rsidRDefault="00524B77" w:rsidP="00524B77">
      <w:pPr>
        <w:pStyle w:val="Heading4"/>
        <w:rPr>
          <w:lang w:val="en-US"/>
        </w:rPr>
      </w:pPr>
      <w:r w:rsidRPr="00DB707E">
        <w:rPr>
          <w:lang w:val="en-US"/>
        </w:rPr>
        <w:t>10.1A.5.1</w:t>
      </w:r>
      <w:r w:rsidRPr="00DB707E">
        <w:rPr>
          <w:lang w:val="en-US"/>
        </w:rPr>
        <w:tab/>
        <w:t>Inter-frequency SS-RSRP accuracy requirements</w:t>
      </w:r>
    </w:p>
    <w:p w14:paraId="08645F01" w14:textId="77777777" w:rsidR="00524B77" w:rsidRPr="00DB707E" w:rsidRDefault="00524B77" w:rsidP="00524B77">
      <w:pPr>
        <w:pStyle w:val="Heading5"/>
        <w:rPr>
          <w:lang w:val="en-US" w:eastAsia="zh-CN"/>
        </w:rPr>
      </w:pPr>
      <w:r w:rsidRPr="00DB707E">
        <w:rPr>
          <w:lang w:val="en-US" w:eastAsia="zh-CN"/>
        </w:rPr>
        <w:t>10.1A.5.1.1</w:t>
      </w:r>
      <w:r w:rsidRPr="00DB707E">
        <w:rPr>
          <w:lang w:val="en-US" w:eastAsia="zh-CN"/>
        </w:rPr>
        <w:tab/>
        <w:t>Absolute SS-RSRP Accuracy</w:t>
      </w:r>
    </w:p>
    <w:p w14:paraId="0D9D616A" w14:textId="77777777" w:rsidR="00524B77" w:rsidRPr="00DB707E" w:rsidRDefault="00524B77" w:rsidP="00524B77">
      <w:pPr>
        <w:rPr>
          <w:lang w:eastAsia="zh-CN"/>
        </w:rPr>
      </w:pPr>
      <w:r w:rsidRPr="00DB707E">
        <w:rPr>
          <w:rFonts w:cs="v4.2.0"/>
        </w:rPr>
        <w:t xml:space="preserve">The accuracy requirements in clause </w:t>
      </w:r>
      <w:r w:rsidRPr="00DB707E">
        <w:t>10.1.5.1.1</w:t>
      </w:r>
      <w:r w:rsidRPr="00DB707E">
        <w:rPr>
          <w:rFonts w:cs="v4.2.0"/>
        </w:rPr>
        <w:t xml:space="preserve"> shall apply.</w:t>
      </w:r>
    </w:p>
    <w:p w14:paraId="69AECDE3" w14:textId="77777777" w:rsidR="00524B77" w:rsidRPr="00DB707E" w:rsidRDefault="00524B77" w:rsidP="00524B77">
      <w:pPr>
        <w:pStyle w:val="Heading5"/>
        <w:rPr>
          <w:lang w:val="en-US" w:eastAsia="zh-CN"/>
        </w:rPr>
      </w:pPr>
      <w:r w:rsidRPr="00DB707E">
        <w:rPr>
          <w:lang w:val="en-US" w:eastAsia="zh-CN"/>
        </w:rPr>
        <w:t>10.1A.5.1.2</w:t>
      </w:r>
      <w:r w:rsidRPr="00DB707E">
        <w:rPr>
          <w:lang w:val="en-US" w:eastAsia="zh-CN"/>
        </w:rPr>
        <w:tab/>
        <w:t>Relative SS-RSRP Accuracy</w:t>
      </w:r>
    </w:p>
    <w:p w14:paraId="721D6803" w14:textId="77777777" w:rsidR="00524B77" w:rsidRPr="00DB707E" w:rsidRDefault="00524B77" w:rsidP="00524B77">
      <w:pPr>
        <w:rPr>
          <w:lang w:eastAsia="zh-CN"/>
        </w:rPr>
      </w:pPr>
      <w:r w:rsidRPr="00DB707E">
        <w:rPr>
          <w:rFonts w:cs="v4.2.0"/>
        </w:rPr>
        <w:t xml:space="preserve">The accuracy requirements in clause </w:t>
      </w:r>
      <w:r w:rsidRPr="00DB707E">
        <w:rPr>
          <w:lang w:val="en-US" w:eastAsia="zh-CN"/>
        </w:rPr>
        <w:t>10.1.5.1.2</w:t>
      </w:r>
      <w:r w:rsidRPr="00DB707E">
        <w:rPr>
          <w:rFonts w:cs="v4.2.0"/>
        </w:rPr>
        <w:t xml:space="preserve"> shall apply.</w:t>
      </w:r>
    </w:p>
    <w:p w14:paraId="6D2C202A" w14:textId="77777777" w:rsidR="00524B77" w:rsidRPr="00DB707E" w:rsidRDefault="00524B77" w:rsidP="00524B77"/>
    <w:p w14:paraId="50DAECCF" w14:textId="77777777" w:rsidR="00524B77" w:rsidRPr="00DB707E" w:rsidRDefault="00524B77" w:rsidP="00524B77">
      <w:pPr>
        <w:pStyle w:val="Heading3"/>
        <w:rPr>
          <w:lang w:val="en-US"/>
        </w:rPr>
      </w:pPr>
      <w:r w:rsidRPr="00DB707E">
        <w:rPr>
          <w:lang w:val="en-US" w:eastAsia="ko-KR"/>
        </w:rPr>
        <w:t>10.1A.6</w:t>
      </w:r>
      <w:r w:rsidRPr="00DB707E">
        <w:rPr>
          <w:lang w:val="en-US"/>
        </w:rPr>
        <w:tab/>
        <w:t>Intra-frequency RSRQ accuracy requirements for FR1</w:t>
      </w:r>
    </w:p>
    <w:p w14:paraId="79BB9D48" w14:textId="77777777" w:rsidR="00524B77" w:rsidRPr="00DB707E" w:rsidRDefault="00524B77" w:rsidP="00524B77">
      <w:pPr>
        <w:pStyle w:val="Heading4"/>
        <w:rPr>
          <w:lang w:val="en-US" w:eastAsia="zh-CN"/>
        </w:rPr>
      </w:pPr>
      <w:r w:rsidRPr="00DB707E">
        <w:rPr>
          <w:lang w:val="en-US" w:eastAsia="zh-CN"/>
        </w:rPr>
        <w:t>10.1A.6.1</w:t>
      </w:r>
      <w:r w:rsidRPr="00DB707E">
        <w:rPr>
          <w:lang w:val="en-US" w:eastAsia="zh-CN"/>
        </w:rPr>
        <w:tab/>
      </w:r>
      <w:r w:rsidRPr="00DB707E">
        <w:rPr>
          <w:lang w:val="en-US" w:eastAsia="ko-KR"/>
        </w:rPr>
        <w:t>Intra-frequency SS-RSRQ accuracy requirements</w:t>
      </w:r>
      <w:r w:rsidRPr="00DB707E">
        <w:rPr>
          <w:lang w:val="en-US" w:eastAsia="zh-CN"/>
        </w:rPr>
        <w:t xml:space="preserve"> in FR1</w:t>
      </w:r>
    </w:p>
    <w:p w14:paraId="2D8DDC6D" w14:textId="77777777" w:rsidR="00524B77" w:rsidRPr="00DB707E" w:rsidRDefault="00524B77" w:rsidP="00524B77">
      <w:pPr>
        <w:pStyle w:val="Heading5"/>
      </w:pPr>
      <w:r w:rsidRPr="00DB707E">
        <w:rPr>
          <w:lang w:eastAsia="zh-CN"/>
        </w:rPr>
        <w:t>10.</w:t>
      </w:r>
      <w:r w:rsidRPr="00DB707E">
        <w:t>1A</w:t>
      </w:r>
      <w:r w:rsidRPr="00DB707E">
        <w:rPr>
          <w:lang w:eastAsia="zh-CN"/>
        </w:rPr>
        <w:t>.</w:t>
      </w:r>
      <w:r w:rsidRPr="00DB707E">
        <w:t>6</w:t>
      </w:r>
      <w:r w:rsidRPr="00DB707E">
        <w:rPr>
          <w:lang w:eastAsia="zh-CN"/>
        </w:rPr>
        <w:t>.</w:t>
      </w:r>
      <w:r w:rsidRPr="00DB707E">
        <w:t>1</w:t>
      </w:r>
      <w:r w:rsidRPr="00DB707E">
        <w:rPr>
          <w:lang w:eastAsia="zh-CN"/>
        </w:rPr>
        <w:t>.1</w:t>
      </w:r>
      <w:r w:rsidRPr="00DB707E">
        <w:tab/>
        <w:t xml:space="preserve">Absolute </w:t>
      </w:r>
      <w:r w:rsidRPr="00DB707E">
        <w:rPr>
          <w:lang w:val="en-US" w:eastAsia="ko-KR"/>
        </w:rPr>
        <w:t xml:space="preserve">SS-RSRQ </w:t>
      </w:r>
      <w:r w:rsidRPr="00DB707E">
        <w:t>Accuracy in FR1</w:t>
      </w:r>
    </w:p>
    <w:p w14:paraId="364E1272" w14:textId="77777777" w:rsidR="00524B77" w:rsidRPr="00DB707E" w:rsidRDefault="00524B77" w:rsidP="00524B77">
      <w:pPr>
        <w:rPr>
          <w:rFonts w:cs="v4.2.0"/>
        </w:rPr>
      </w:pPr>
      <w:r w:rsidRPr="00DB707E">
        <w:rPr>
          <w:rFonts w:cs="v4.2.0"/>
        </w:rPr>
        <w:t xml:space="preserve">The accuracy requirements in clause </w:t>
      </w:r>
      <w:r w:rsidRPr="00DB707E">
        <w:rPr>
          <w:lang w:eastAsia="zh-CN"/>
        </w:rPr>
        <w:t>10.</w:t>
      </w:r>
      <w:r w:rsidRPr="00DB707E">
        <w:t>1</w:t>
      </w:r>
      <w:r w:rsidRPr="00DB707E">
        <w:rPr>
          <w:lang w:eastAsia="zh-CN"/>
        </w:rPr>
        <w:t>.</w:t>
      </w:r>
      <w:r w:rsidRPr="00DB707E">
        <w:t>7</w:t>
      </w:r>
      <w:r w:rsidRPr="00DB707E">
        <w:rPr>
          <w:lang w:eastAsia="zh-CN"/>
        </w:rPr>
        <w:t>.</w:t>
      </w:r>
      <w:r w:rsidRPr="00DB707E">
        <w:t>1</w:t>
      </w:r>
      <w:r w:rsidRPr="00DB707E">
        <w:rPr>
          <w:lang w:eastAsia="zh-CN"/>
        </w:rPr>
        <w:t>.1</w:t>
      </w:r>
      <w:r w:rsidRPr="00DB707E">
        <w:rPr>
          <w:rFonts w:cs="v4.2.0"/>
        </w:rPr>
        <w:t xml:space="preserve"> shall apply when RedCap UE is capable of 2Rx. When UE is only required to support 1RX, the absolute accuracy requirements in Table </w:t>
      </w:r>
      <w:r w:rsidRPr="00DB707E">
        <w:rPr>
          <w:lang w:eastAsia="zh-CN"/>
        </w:rPr>
        <w:t>10.1A.6.1.1-1</w:t>
      </w:r>
      <w:r w:rsidRPr="00DB707E">
        <w:rPr>
          <w:rFonts w:cs="v4.2.0"/>
        </w:rPr>
        <w:t xml:space="preserve"> are valid under the following conditions:</w:t>
      </w:r>
    </w:p>
    <w:p w14:paraId="6C2678E0" w14:textId="77777777" w:rsidR="00524B77" w:rsidRPr="00DB707E" w:rsidRDefault="00524B77" w:rsidP="00524B77">
      <w:pPr>
        <w:pStyle w:val="B10"/>
        <w:rPr>
          <w:lang w:eastAsia="zh-CN"/>
        </w:rPr>
      </w:pPr>
      <w:r w:rsidRPr="00DB707E">
        <w:t>-</w:t>
      </w:r>
      <w:r w:rsidRPr="00DB707E">
        <w:tab/>
        <w:t>Conditions defined in clause 7.3 of TS 38.101-1 [18] for reference sensitivity are fulfilled.</w:t>
      </w:r>
    </w:p>
    <w:p w14:paraId="1AF824EF" w14:textId="77777777" w:rsidR="00524B77" w:rsidRPr="00DB707E" w:rsidRDefault="00524B77" w:rsidP="00524B77">
      <w:pPr>
        <w:pStyle w:val="B10"/>
        <w:rPr>
          <w:lang w:eastAsia="zh-CN"/>
        </w:rPr>
      </w:pPr>
      <w:r w:rsidRPr="00DB707E">
        <w:t>-</w:t>
      </w:r>
      <w:r w:rsidRPr="00DB707E">
        <w:rPr>
          <w:rFonts w:ascii="Arial" w:hAnsi="Arial"/>
          <w:sz w:val="28"/>
          <w:lang w:val="en-US"/>
        </w:rPr>
        <w:tab/>
      </w:r>
      <w:r w:rsidRPr="00DB707E">
        <w:t xml:space="preserve">Conditions for intra-frequency measurements are fulfilled according to Annex B.2.2 for a corresponding Band </w:t>
      </w:r>
      <w:r w:rsidRPr="00DB707E">
        <w:rPr>
          <w:rFonts w:cs="v4.2.0"/>
          <w:lang w:eastAsia="ko-KR"/>
        </w:rPr>
        <w:t>for each relevant SSB</w:t>
      </w:r>
      <w:r w:rsidRPr="00DB707E">
        <w:t>.</w:t>
      </w:r>
    </w:p>
    <w:p w14:paraId="3CADAC88" w14:textId="77777777" w:rsidR="00524B77" w:rsidRPr="00DB707E" w:rsidRDefault="00524B77" w:rsidP="00524B77">
      <w:pPr>
        <w:pStyle w:val="TH"/>
        <w:rPr>
          <w:lang w:eastAsia="zh-CN"/>
        </w:rPr>
      </w:pPr>
      <w:r w:rsidRPr="00DB707E">
        <w:t xml:space="preserve">Table </w:t>
      </w:r>
      <w:r w:rsidRPr="00DB707E">
        <w:rPr>
          <w:lang w:eastAsia="zh-CN"/>
        </w:rPr>
        <w:t>10.1A.6.1.1-1</w:t>
      </w:r>
      <w:r w:rsidRPr="00DB707E">
        <w:t xml:space="preserve">: </w:t>
      </w:r>
      <w:r w:rsidRPr="00DB707E">
        <w:rPr>
          <w:lang w:eastAsia="zh-CN"/>
        </w:rPr>
        <w:t>SS-RSRQ</w:t>
      </w:r>
      <w:r w:rsidRPr="00DB707E">
        <w:t xml:space="preserve"> Intra frequency absolute accuracy</w:t>
      </w:r>
      <w:r w:rsidRPr="00DB707E">
        <w:rPr>
          <w:lang w:eastAsia="zh-CN"/>
        </w:rPr>
        <w:t xml:space="preserve"> </w:t>
      </w:r>
      <w:r w:rsidRPr="00DB707E">
        <w:t>for 1Rx RedCap UE</w:t>
      </w:r>
      <w:r w:rsidRPr="00DB707E">
        <w:rPr>
          <w:lang w:eastAsia="zh-CN"/>
        </w:rPr>
        <w:t xml:space="preserve"> in FR1</w:t>
      </w:r>
    </w:p>
    <w:tbl>
      <w:tblPr>
        <w:tblW w:w="10172" w:type="dxa"/>
        <w:jc w:val="center"/>
        <w:tblLook w:val="01E0" w:firstRow="1" w:lastRow="1" w:firstColumn="1" w:lastColumn="1" w:noHBand="0" w:noVBand="0"/>
      </w:tblPr>
      <w:tblGrid>
        <w:gridCol w:w="1034"/>
        <w:gridCol w:w="1048"/>
        <w:gridCol w:w="805"/>
        <w:gridCol w:w="2317"/>
        <w:gridCol w:w="1003"/>
        <w:gridCol w:w="1085"/>
        <w:gridCol w:w="1440"/>
        <w:gridCol w:w="1440"/>
      </w:tblGrid>
      <w:tr w:rsidR="00524B77" w:rsidRPr="00DB707E" w14:paraId="4280F3ED" w14:textId="77777777" w:rsidTr="00430B2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6DC0B0B9" w14:textId="77777777" w:rsidR="00524B77" w:rsidRPr="00DB707E" w:rsidRDefault="00524B77" w:rsidP="00430B21">
            <w:pPr>
              <w:pStyle w:val="TAH"/>
            </w:pPr>
            <w:r w:rsidRPr="00DB707E">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1448A8D0" w14:textId="77777777" w:rsidR="00524B77" w:rsidRPr="00DB707E" w:rsidRDefault="00524B77" w:rsidP="00430B21">
            <w:pPr>
              <w:pStyle w:val="TAH"/>
            </w:pPr>
            <w:r w:rsidRPr="00DB707E">
              <w:t>Conditions</w:t>
            </w:r>
          </w:p>
        </w:tc>
      </w:tr>
      <w:tr w:rsidR="00524B77" w:rsidRPr="00DB707E" w14:paraId="4FDE253F" w14:textId="77777777" w:rsidTr="00430B21">
        <w:trPr>
          <w:jc w:val="center"/>
        </w:trPr>
        <w:tc>
          <w:tcPr>
            <w:tcW w:w="1034" w:type="dxa"/>
            <w:tcBorders>
              <w:top w:val="single" w:sz="6" w:space="0" w:color="auto"/>
              <w:left w:val="single" w:sz="4" w:space="0" w:color="auto"/>
              <w:right w:val="single" w:sz="6" w:space="0" w:color="auto"/>
            </w:tcBorders>
            <w:shd w:val="clear" w:color="auto" w:fill="auto"/>
          </w:tcPr>
          <w:p w14:paraId="681AA60F" w14:textId="77777777" w:rsidR="00524B77" w:rsidRPr="00DB707E" w:rsidRDefault="00524B77" w:rsidP="00430B21">
            <w:pPr>
              <w:pStyle w:val="TAH"/>
            </w:pPr>
            <w:r w:rsidRPr="00DB707E">
              <w:t>Normal condition</w:t>
            </w:r>
          </w:p>
        </w:tc>
        <w:tc>
          <w:tcPr>
            <w:tcW w:w="1048" w:type="dxa"/>
            <w:tcBorders>
              <w:top w:val="single" w:sz="6" w:space="0" w:color="auto"/>
              <w:left w:val="single" w:sz="6" w:space="0" w:color="auto"/>
              <w:right w:val="single" w:sz="6" w:space="0" w:color="auto"/>
            </w:tcBorders>
            <w:shd w:val="clear" w:color="auto" w:fill="auto"/>
          </w:tcPr>
          <w:p w14:paraId="61617AEB" w14:textId="77777777" w:rsidR="00524B77" w:rsidRPr="00DB707E" w:rsidRDefault="00524B77" w:rsidP="00430B21">
            <w:pPr>
              <w:pStyle w:val="TAH"/>
            </w:pPr>
            <w:r w:rsidRPr="00DB707E">
              <w:t>Extreme condition</w:t>
            </w:r>
          </w:p>
        </w:tc>
        <w:tc>
          <w:tcPr>
            <w:tcW w:w="805" w:type="dxa"/>
            <w:tcBorders>
              <w:top w:val="single" w:sz="6" w:space="0" w:color="auto"/>
              <w:left w:val="single" w:sz="6" w:space="0" w:color="auto"/>
              <w:right w:val="single" w:sz="6" w:space="0" w:color="auto"/>
            </w:tcBorders>
            <w:shd w:val="clear" w:color="auto" w:fill="auto"/>
          </w:tcPr>
          <w:p w14:paraId="73B571AB" w14:textId="77777777" w:rsidR="00524B77" w:rsidRPr="00DB707E" w:rsidRDefault="00524B77" w:rsidP="00430B21">
            <w:pPr>
              <w:pStyle w:val="TAH"/>
            </w:pPr>
            <w:r w:rsidRPr="00DB707E">
              <w:t>SSB Ês/Iot</w:t>
            </w:r>
          </w:p>
        </w:tc>
        <w:tc>
          <w:tcPr>
            <w:tcW w:w="7285" w:type="dxa"/>
            <w:gridSpan w:val="5"/>
            <w:tcBorders>
              <w:top w:val="single" w:sz="6" w:space="0" w:color="auto"/>
              <w:left w:val="single" w:sz="6" w:space="0" w:color="auto"/>
              <w:bottom w:val="single" w:sz="6" w:space="0" w:color="auto"/>
              <w:right w:val="single" w:sz="4" w:space="0" w:color="auto"/>
            </w:tcBorders>
            <w:shd w:val="clear" w:color="auto" w:fill="auto"/>
          </w:tcPr>
          <w:p w14:paraId="12D6A755" w14:textId="77777777" w:rsidR="00524B77" w:rsidRPr="00DB707E" w:rsidRDefault="00524B77" w:rsidP="00430B21">
            <w:pPr>
              <w:pStyle w:val="TAH"/>
            </w:pPr>
            <w:r w:rsidRPr="00DB707E">
              <w:t>Io</w:t>
            </w:r>
            <w:r w:rsidRPr="00DB707E">
              <w:rPr>
                <w:vertAlign w:val="superscript"/>
                <w:lang w:eastAsia="zh-CN"/>
              </w:rPr>
              <w:t xml:space="preserve"> Note 1</w:t>
            </w:r>
            <w:r w:rsidRPr="00DB707E">
              <w:t xml:space="preserve"> range</w:t>
            </w:r>
          </w:p>
        </w:tc>
      </w:tr>
      <w:tr w:rsidR="00524B77" w:rsidRPr="00DB707E" w14:paraId="547514C3" w14:textId="77777777" w:rsidTr="00430B21">
        <w:trPr>
          <w:jc w:val="center"/>
        </w:trPr>
        <w:tc>
          <w:tcPr>
            <w:tcW w:w="1034" w:type="dxa"/>
            <w:tcBorders>
              <w:left w:val="single" w:sz="4" w:space="0" w:color="auto"/>
              <w:bottom w:val="single" w:sz="6" w:space="0" w:color="auto"/>
              <w:right w:val="single" w:sz="6" w:space="0" w:color="auto"/>
            </w:tcBorders>
            <w:shd w:val="clear" w:color="auto" w:fill="auto"/>
          </w:tcPr>
          <w:p w14:paraId="1847B2AA" w14:textId="77777777" w:rsidR="00524B77" w:rsidRPr="00DB707E" w:rsidRDefault="00524B77" w:rsidP="00430B21">
            <w:pPr>
              <w:pStyle w:val="TAH"/>
            </w:pPr>
          </w:p>
        </w:tc>
        <w:tc>
          <w:tcPr>
            <w:tcW w:w="1048" w:type="dxa"/>
            <w:tcBorders>
              <w:left w:val="single" w:sz="6" w:space="0" w:color="auto"/>
              <w:bottom w:val="single" w:sz="6" w:space="0" w:color="auto"/>
              <w:right w:val="single" w:sz="6" w:space="0" w:color="auto"/>
            </w:tcBorders>
            <w:shd w:val="clear" w:color="auto" w:fill="auto"/>
          </w:tcPr>
          <w:p w14:paraId="119DCFE5" w14:textId="77777777" w:rsidR="00524B77" w:rsidRPr="00DB707E" w:rsidRDefault="00524B77" w:rsidP="00430B21">
            <w:pPr>
              <w:pStyle w:val="TAH"/>
            </w:pPr>
          </w:p>
        </w:tc>
        <w:tc>
          <w:tcPr>
            <w:tcW w:w="805" w:type="dxa"/>
            <w:tcBorders>
              <w:left w:val="single" w:sz="6" w:space="0" w:color="auto"/>
              <w:bottom w:val="single" w:sz="6" w:space="0" w:color="auto"/>
              <w:right w:val="single" w:sz="6" w:space="0" w:color="auto"/>
            </w:tcBorders>
            <w:shd w:val="clear" w:color="auto" w:fill="auto"/>
          </w:tcPr>
          <w:p w14:paraId="6E3D3724" w14:textId="77777777" w:rsidR="00524B77" w:rsidRPr="00DB707E" w:rsidRDefault="00524B77" w:rsidP="00430B21">
            <w:pPr>
              <w:pStyle w:val="TAH"/>
            </w:pPr>
          </w:p>
        </w:tc>
        <w:tc>
          <w:tcPr>
            <w:tcW w:w="2317" w:type="dxa"/>
            <w:tcBorders>
              <w:top w:val="single" w:sz="6" w:space="0" w:color="auto"/>
              <w:left w:val="single" w:sz="6" w:space="0" w:color="auto"/>
              <w:bottom w:val="single" w:sz="4" w:space="0" w:color="auto"/>
              <w:right w:val="single" w:sz="4" w:space="0" w:color="auto"/>
            </w:tcBorders>
            <w:shd w:val="clear" w:color="auto" w:fill="auto"/>
          </w:tcPr>
          <w:p w14:paraId="3D794DB3" w14:textId="77777777" w:rsidR="00524B77" w:rsidRPr="00DB707E" w:rsidRDefault="00524B77" w:rsidP="00430B21">
            <w:pPr>
              <w:pStyle w:val="TAH"/>
            </w:pPr>
            <w:r w:rsidRPr="00DB707E">
              <w:t>NR operating band groups</w:t>
            </w:r>
            <w:r w:rsidRPr="00DB707E">
              <w:rPr>
                <w:vertAlign w:val="superscript"/>
              </w:rPr>
              <w:t xml:space="preserve"> </w:t>
            </w:r>
            <w:r w:rsidRPr="00DB707E">
              <w:rPr>
                <w:vertAlign w:val="superscript"/>
                <w:lang w:eastAsia="zh-CN"/>
              </w:rPr>
              <w:t>Note 3</w:t>
            </w:r>
          </w:p>
        </w:tc>
        <w:tc>
          <w:tcPr>
            <w:tcW w:w="3528" w:type="dxa"/>
            <w:gridSpan w:val="3"/>
            <w:tcBorders>
              <w:top w:val="single" w:sz="4" w:space="0" w:color="auto"/>
              <w:left w:val="single" w:sz="4" w:space="0" w:color="auto"/>
              <w:bottom w:val="single" w:sz="6" w:space="0" w:color="auto"/>
              <w:right w:val="single" w:sz="6" w:space="0" w:color="auto"/>
            </w:tcBorders>
            <w:shd w:val="clear" w:color="auto" w:fill="auto"/>
          </w:tcPr>
          <w:p w14:paraId="71A69BF9"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1FBA9865" w14:textId="77777777" w:rsidR="00524B77" w:rsidRPr="00DB707E" w:rsidRDefault="00524B77" w:rsidP="00430B21">
            <w:pPr>
              <w:pStyle w:val="TAH"/>
            </w:pPr>
            <w:r w:rsidRPr="00DB707E">
              <w:t>Maximum Io</w:t>
            </w:r>
          </w:p>
        </w:tc>
      </w:tr>
      <w:tr w:rsidR="00524B77" w:rsidRPr="00DB707E" w14:paraId="5181D39F" w14:textId="77777777" w:rsidTr="00430B21">
        <w:trPr>
          <w:trHeight w:val="308"/>
          <w:jc w:val="center"/>
        </w:trPr>
        <w:tc>
          <w:tcPr>
            <w:tcW w:w="1034" w:type="dxa"/>
            <w:tcBorders>
              <w:top w:val="single" w:sz="6" w:space="0" w:color="auto"/>
              <w:left w:val="single" w:sz="4" w:space="0" w:color="auto"/>
              <w:right w:val="single" w:sz="6" w:space="0" w:color="auto"/>
            </w:tcBorders>
            <w:shd w:val="clear" w:color="auto" w:fill="auto"/>
          </w:tcPr>
          <w:p w14:paraId="2AAA4DEA" w14:textId="77777777" w:rsidR="00524B77" w:rsidRPr="00DB707E" w:rsidRDefault="00524B77" w:rsidP="00430B21">
            <w:pPr>
              <w:pStyle w:val="TAH"/>
            </w:pPr>
            <w:r w:rsidRPr="00DB707E">
              <w:t>dB</w:t>
            </w:r>
          </w:p>
        </w:tc>
        <w:tc>
          <w:tcPr>
            <w:tcW w:w="1048" w:type="dxa"/>
            <w:tcBorders>
              <w:top w:val="single" w:sz="6" w:space="0" w:color="auto"/>
              <w:left w:val="single" w:sz="6" w:space="0" w:color="auto"/>
              <w:right w:val="single" w:sz="6" w:space="0" w:color="auto"/>
            </w:tcBorders>
            <w:shd w:val="clear" w:color="auto" w:fill="auto"/>
          </w:tcPr>
          <w:p w14:paraId="627BD203" w14:textId="77777777" w:rsidR="00524B77" w:rsidRPr="00DB707E" w:rsidRDefault="00524B77" w:rsidP="00430B21">
            <w:pPr>
              <w:pStyle w:val="TAH"/>
            </w:pPr>
            <w:r w:rsidRPr="00DB707E">
              <w:t>dB</w:t>
            </w:r>
          </w:p>
        </w:tc>
        <w:tc>
          <w:tcPr>
            <w:tcW w:w="805" w:type="dxa"/>
            <w:tcBorders>
              <w:top w:val="single" w:sz="6" w:space="0" w:color="auto"/>
              <w:left w:val="single" w:sz="6" w:space="0" w:color="auto"/>
              <w:right w:val="single" w:sz="4" w:space="0" w:color="auto"/>
            </w:tcBorders>
            <w:shd w:val="clear" w:color="auto" w:fill="auto"/>
          </w:tcPr>
          <w:p w14:paraId="4334AC49" w14:textId="77777777" w:rsidR="00524B77" w:rsidRPr="00DB707E" w:rsidRDefault="00524B77" w:rsidP="00430B21">
            <w:pPr>
              <w:pStyle w:val="TAH"/>
            </w:pPr>
            <w:r w:rsidRPr="00DB707E">
              <w:t>dB</w:t>
            </w:r>
          </w:p>
        </w:tc>
        <w:tc>
          <w:tcPr>
            <w:tcW w:w="2317" w:type="dxa"/>
            <w:tcBorders>
              <w:top w:val="single" w:sz="4" w:space="0" w:color="auto"/>
              <w:left w:val="single" w:sz="4" w:space="0" w:color="auto"/>
              <w:right w:val="single" w:sz="4" w:space="0" w:color="auto"/>
            </w:tcBorders>
            <w:shd w:val="clear" w:color="auto" w:fill="auto"/>
          </w:tcPr>
          <w:p w14:paraId="56C23546" w14:textId="77777777" w:rsidR="00524B77" w:rsidRPr="00DB707E" w:rsidRDefault="00524B77" w:rsidP="00430B21">
            <w:pPr>
              <w:pStyle w:val="TAH"/>
            </w:pPr>
          </w:p>
        </w:tc>
        <w:tc>
          <w:tcPr>
            <w:tcW w:w="2088" w:type="dxa"/>
            <w:gridSpan w:val="2"/>
            <w:tcBorders>
              <w:top w:val="single" w:sz="6" w:space="0" w:color="auto"/>
              <w:left w:val="single" w:sz="4" w:space="0" w:color="auto"/>
              <w:bottom w:val="single" w:sz="6" w:space="0" w:color="auto"/>
              <w:right w:val="single" w:sz="6" w:space="0" w:color="auto"/>
            </w:tcBorders>
            <w:shd w:val="clear" w:color="auto" w:fill="auto"/>
          </w:tcPr>
          <w:p w14:paraId="7382A694"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763D6809"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2CCD0D3E" w14:textId="77777777" w:rsidR="00524B77" w:rsidRPr="00DB707E" w:rsidRDefault="00524B77" w:rsidP="00430B21">
            <w:pPr>
              <w:pStyle w:val="TAH"/>
            </w:pPr>
            <w:r w:rsidRPr="00DB707E">
              <w:t>dBm/BW</w:t>
            </w:r>
            <w:r w:rsidRPr="00DB707E">
              <w:rPr>
                <w:vertAlign w:val="subscript"/>
              </w:rPr>
              <w:t>Channel</w:t>
            </w:r>
          </w:p>
        </w:tc>
      </w:tr>
      <w:tr w:rsidR="00524B77" w:rsidRPr="00DB707E" w14:paraId="192C8D71" w14:textId="77777777" w:rsidTr="00430B21">
        <w:trPr>
          <w:trHeight w:val="307"/>
          <w:jc w:val="center"/>
        </w:trPr>
        <w:tc>
          <w:tcPr>
            <w:tcW w:w="1034" w:type="dxa"/>
            <w:tcBorders>
              <w:left w:val="single" w:sz="4" w:space="0" w:color="auto"/>
              <w:bottom w:val="single" w:sz="6" w:space="0" w:color="auto"/>
              <w:right w:val="single" w:sz="6" w:space="0" w:color="auto"/>
            </w:tcBorders>
            <w:shd w:val="clear" w:color="auto" w:fill="auto"/>
          </w:tcPr>
          <w:p w14:paraId="7CA05B44" w14:textId="77777777" w:rsidR="00524B77" w:rsidRPr="00DB707E" w:rsidRDefault="00524B77" w:rsidP="00430B21">
            <w:pPr>
              <w:pStyle w:val="TAH"/>
            </w:pPr>
          </w:p>
        </w:tc>
        <w:tc>
          <w:tcPr>
            <w:tcW w:w="1048" w:type="dxa"/>
            <w:tcBorders>
              <w:left w:val="single" w:sz="6" w:space="0" w:color="auto"/>
              <w:bottom w:val="single" w:sz="6" w:space="0" w:color="auto"/>
              <w:right w:val="single" w:sz="6" w:space="0" w:color="auto"/>
            </w:tcBorders>
            <w:shd w:val="clear" w:color="auto" w:fill="auto"/>
          </w:tcPr>
          <w:p w14:paraId="2EDA3E1C" w14:textId="77777777" w:rsidR="00524B77" w:rsidRPr="00DB707E" w:rsidRDefault="00524B77" w:rsidP="00430B21">
            <w:pPr>
              <w:pStyle w:val="TAH"/>
            </w:pPr>
          </w:p>
        </w:tc>
        <w:tc>
          <w:tcPr>
            <w:tcW w:w="805" w:type="dxa"/>
            <w:tcBorders>
              <w:left w:val="single" w:sz="6" w:space="0" w:color="auto"/>
              <w:bottom w:val="single" w:sz="6" w:space="0" w:color="auto"/>
              <w:right w:val="single" w:sz="4" w:space="0" w:color="auto"/>
            </w:tcBorders>
            <w:shd w:val="clear" w:color="auto" w:fill="auto"/>
          </w:tcPr>
          <w:p w14:paraId="058D7C23" w14:textId="77777777" w:rsidR="00524B77" w:rsidRPr="00DB707E" w:rsidRDefault="00524B77" w:rsidP="00430B21">
            <w:pPr>
              <w:pStyle w:val="TAH"/>
            </w:pPr>
          </w:p>
        </w:tc>
        <w:tc>
          <w:tcPr>
            <w:tcW w:w="2317" w:type="dxa"/>
            <w:tcBorders>
              <w:left w:val="single" w:sz="4" w:space="0" w:color="auto"/>
              <w:bottom w:val="single" w:sz="4" w:space="0" w:color="auto"/>
              <w:right w:val="single" w:sz="4" w:space="0" w:color="auto"/>
            </w:tcBorders>
            <w:shd w:val="clear" w:color="auto" w:fill="auto"/>
          </w:tcPr>
          <w:p w14:paraId="1FDFF487" w14:textId="77777777" w:rsidR="00524B77" w:rsidRPr="00DB707E" w:rsidRDefault="00524B77" w:rsidP="00430B21">
            <w:pPr>
              <w:pStyle w:val="TAH"/>
            </w:pP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6DB4A027"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4570F273"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19121067"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650C0519" w14:textId="77777777" w:rsidR="00524B77" w:rsidRPr="00DB707E" w:rsidRDefault="00524B77" w:rsidP="00430B21">
            <w:pPr>
              <w:pStyle w:val="TAH"/>
            </w:pPr>
          </w:p>
        </w:tc>
      </w:tr>
      <w:tr w:rsidR="00524B77" w:rsidRPr="00DB707E" w14:paraId="4DFED073" w14:textId="77777777" w:rsidTr="00430B21">
        <w:trPr>
          <w:jc w:val="center"/>
        </w:trPr>
        <w:tc>
          <w:tcPr>
            <w:tcW w:w="1034" w:type="dxa"/>
            <w:tcBorders>
              <w:top w:val="single" w:sz="6" w:space="0" w:color="auto"/>
              <w:left w:val="single" w:sz="4" w:space="0" w:color="auto"/>
              <w:right w:val="single" w:sz="6" w:space="0" w:color="auto"/>
            </w:tcBorders>
            <w:shd w:val="clear" w:color="auto" w:fill="auto"/>
          </w:tcPr>
          <w:p w14:paraId="5D3AD71B" w14:textId="77777777" w:rsidR="00524B77" w:rsidRPr="00DB707E" w:rsidRDefault="00524B77" w:rsidP="00430B21">
            <w:pPr>
              <w:pStyle w:val="TAC"/>
            </w:pPr>
          </w:p>
        </w:tc>
        <w:tc>
          <w:tcPr>
            <w:tcW w:w="1048" w:type="dxa"/>
            <w:tcBorders>
              <w:top w:val="single" w:sz="6" w:space="0" w:color="auto"/>
              <w:left w:val="single" w:sz="6" w:space="0" w:color="auto"/>
              <w:right w:val="single" w:sz="6" w:space="0" w:color="auto"/>
            </w:tcBorders>
            <w:shd w:val="clear" w:color="auto" w:fill="auto"/>
          </w:tcPr>
          <w:p w14:paraId="355B0359" w14:textId="77777777" w:rsidR="00524B77" w:rsidRPr="00DB707E" w:rsidRDefault="00524B77" w:rsidP="00430B21">
            <w:pPr>
              <w:pStyle w:val="TAC"/>
            </w:pPr>
          </w:p>
        </w:tc>
        <w:tc>
          <w:tcPr>
            <w:tcW w:w="805" w:type="dxa"/>
            <w:tcBorders>
              <w:top w:val="single" w:sz="6" w:space="0" w:color="auto"/>
              <w:left w:val="single" w:sz="6" w:space="0" w:color="auto"/>
              <w:right w:val="single" w:sz="6" w:space="0" w:color="auto"/>
            </w:tcBorders>
            <w:shd w:val="clear" w:color="auto" w:fill="auto"/>
          </w:tcPr>
          <w:p w14:paraId="7F9C2D51" w14:textId="77777777" w:rsidR="00524B77" w:rsidRPr="00DB707E" w:rsidRDefault="00524B77" w:rsidP="00430B21">
            <w:pPr>
              <w:pStyle w:val="TAC"/>
            </w:pPr>
          </w:p>
        </w:tc>
        <w:tc>
          <w:tcPr>
            <w:tcW w:w="2317" w:type="dxa"/>
            <w:tcBorders>
              <w:top w:val="single" w:sz="4" w:space="0" w:color="auto"/>
              <w:left w:val="single" w:sz="6" w:space="0" w:color="auto"/>
              <w:bottom w:val="single" w:sz="6" w:space="0" w:color="auto"/>
              <w:right w:val="single" w:sz="4" w:space="0" w:color="auto"/>
            </w:tcBorders>
            <w:shd w:val="clear" w:color="auto" w:fill="auto"/>
          </w:tcPr>
          <w:p w14:paraId="25838147" w14:textId="77777777" w:rsidR="00524B77" w:rsidRPr="00DB707E" w:rsidRDefault="00524B77" w:rsidP="00430B21">
            <w:pPr>
              <w:pStyle w:val="TAC"/>
            </w:pPr>
            <w:r w:rsidRPr="00DB707E">
              <w:t>NR_FDD_FR1_A, NR_TDD_FR1_A,</w:t>
            </w:r>
          </w:p>
          <w:p w14:paraId="41033638" w14:textId="77777777" w:rsidR="00524B77" w:rsidRPr="00DB707E" w:rsidRDefault="00524B77" w:rsidP="00430B21">
            <w:pPr>
              <w:pStyle w:val="TAC"/>
            </w:pPr>
            <w:r w:rsidRPr="00DB707E">
              <w:t>NR_SDL_FR1_A</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3343C960" w14:textId="77777777" w:rsidR="00524B77" w:rsidRPr="00DB707E" w:rsidRDefault="00524B77" w:rsidP="00430B21">
            <w:pPr>
              <w:pStyle w:val="TAC"/>
            </w:pPr>
            <w:r w:rsidRPr="00DB707E">
              <w:t>-121</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4A914935" w14:textId="77777777" w:rsidR="00524B77" w:rsidRPr="00DB707E" w:rsidRDefault="00524B77" w:rsidP="00430B21">
            <w:pPr>
              <w:pStyle w:val="TAC"/>
              <w:rPr>
                <w:rFonts w:cs="Arial"/>
              </w:rPr>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2B24E38"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D6F9DA0" w14:textId="77777777" w:rsidR="00524B77" w:rsidRPr="00DB707E" w:rsidRDefault="00524B77" w:rsidP="00430B21">
            <w:pPr>
              <w:pStyle w:val="TAC"/>
            </w:pPr>
            <w:r w:rsidRPr="00DB707E">
              <w:t>-50</w:t>
            </w:r>
          </w:p>
        </w:tc>
      </w:tr>
      <w:tr w:rsidR="00524B77" w:rsidRPr="00DB707E" w14:paraId="31A3C0DF" w14:textId="77777777" w:rsidTr="00430B21">
        <w:trPr>
          <w:jc w:val="center"/>
        </w:trPr>
        <w:tc>
          <w:tcPr>
            <w:tcW w:w="1034" w:type="dxa"/>
            <w:tcBorders>
              <w:left w:val="single" w:sz="4" w:space="0" w:color="auto"/>
              <w:right w:val="single" w:sz="6" w:space="0" w:color="auto"/>
            </w:tcBorders>
            <w:shd w:val="clear" w:color="auto" w:fill="auto"/>
          </w:tcPr>
          <w:p w14:paraId="438FB700" w14:textId="77777777" w:rsidR="00524B77" w:rsidRPr="00DB707E" w:rsidRDefault="00524B77" w:rsidP="00430B21">
            <w:pPr>
              <w:pStyle w:val="TAC"/>
            </w:pPr>
          </w:p>
        </w:tc>
        <w:tc>
          <w:tcPr>
            <w:tcW w:w="1048" w:type="dxa"/>
            <w:tcBorders>
              <w:left w:val="single" w:sz="6" w:space="0" w:color="auto"/>
              <w:right w:val="single" w:sz="6" w:space="0" w:color="auto"/>
            </w:tcBorders>
            <w:shd w:val="clear" w:color="auto" w:fill="auto"/>
          </w:tcPr>
          <w:p w14:paraId="7B6C5210" w14:textId="77777777" w:rsidR="00524B77" w:rsidRPr="00DB707E" w:rsidRDefault="00524B77" w:rsidP="00430B21">
            <w:pPr>
              <w:pStyle w:val="TAC"/>
            </w:pPr>
          </w:p>
        </w:tc>
        <w:tc>
          <w:tcPr>
            <w:tcW w:w="805" w:type="dxa"/>
            <w:tcBorders>
              <w:left w:val="single" w:sz="6" w:space="0" w:color="auto"/>
              <w:right w:val="single" w:sz="6" w:space="0" w:color="auto"/>
            </w:tcBorders>
            <w:shd w:val="clear" w:color="auto" w:fill="auto"/>
          </w:tcPr>
          <w:p w14:paraId="05953291" w14:textId="77777777" w:rsidR="00524B77" w:rsidRPr="00DB707E" w:rsidRDefault="00524B77" w:rsidP="00430B21">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47C196CD" w14:textId="77777777" w:rsidR="00524B77" w:rsidRPr="00DB707E" w:rsidRDefault="00524B77" w:rsidP="00430B21">
            <w:pPr>
              <w:pStyle w:val="TAC"/>
            </w:pPr>
            <w:r w:rsidRPr="00DB707E">
              <w:t>NR_FDD_FR1_B</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68C3242A" w14:textId="77777777" w:rsidR="00524B77" w:rsidRPr="00DB707E" w:rsidRDefault="00524B77" w:rsidP="00430B21">
            <w:pPr>
              <w:pStyle w:val="TAC"/>
            </w:pPr>
            <w:r w:rsidRPr="00DB707E">
              <w:t>-120.5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214F5C77" w14:textId="77777777" w:rsidR="00524B77" w:rsidRPr="00DB707E" w:rsidRDefault="00524B77" w:rsidP="00430B21">
            <w:pPr>
              <w:pStyle w:val="TAC"/>
              <w:rPr>
                <w:rFonts w:cs="Arial"/>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C9B08B5"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2AA12E5" w14:textId="77777777" w:rsidR="00524B77" w:rsidRPr="00DB707E" w:rsidRDefault="00524B77" w:rsidP="00430B21">
            <w:pPr>
              <w:pStyle w:val="TAC"/>
            </w:pPr>
            <w:r w:rsidRPr="00DB707E">
              <w:t>-50</w:t>
            </w:r>
          </w:p>
        </w:tc>
      </w:tr>
      <w:tr w:rsidR="00524B77" w:rsidRPr="00DB707E" w14:paraId="411AF908" w14:textId="77777777" w:rsidTr="00430B21">
        <w:trPr>
          <w:jc w:val="center"/>
        </w:trPr>
        <w:tc>
          <w:tcPr>
            <w:tcW w:w="1034" w:type="dxa"/>
            <w:tcBorders>
              <w:left w:val="single" w:sz="4" w:space="0" w:color="auto"/>
              <w:right w:val="single" w:sz="6" w:space="0" w:color="auto"/>
            </w:tcBorders>
            <w:shd w:val="clear" w:color="auto" w:fill="auto"/>
          </w:tcPr>
          <w:p w14:paraId="722AF124" w14:textId="77777777" w:rsidR="00524B77" w:rsidRPr="00DB707E" w:rsidRDefault="00524B77" w:rsidP="00430B21">
            <w:pPr>
              <w:pStyle w:val="TAC"/>
            </w:pPr>
          </w:p>
        </w:tc>
        <w:tc>
          <w:tcPr>
            <w:tcW w:w="1048" w:type="dxa"/>
            <w:tcBorders>
              <w:left w:val="single" w:sz="6" w:space="0" w:color="auto"/>
              <w:right w:val="single" w:sz="6" w:space="0" w:color="auto"/>
            </w:tcBorders>
            <w:shd w:val="clear" w:color="auto" w:fill="auto"/>
          </w:tcPr>
          <w:p w14:paraId="7471F2E1" w14:textId="77777777" w:rsidR="00524B77" w:rsidRPr="00DB707E" w:rsidRDefault="00524B77" w:rsidP="00430B21">
            <w:pPr>
              <w:pStyle w:val="TAC"/>
            </w:pPr>
          </w:p>
        </w:tc>
        <w:tc>
          <w:tcPr>
            <w:tcW w:w="805" w:type="dxa"/>
            <w:tcBorders>
              <w:left w:val="single" w:sz="6" w:space="0" w:color="auto"/>
              <w:right w:val="single" w:sz="6" w:space="0" w:color="auto"/>
            </w:tcBorders>
            <w:shd w:val="clear" w:color="auto" w:fill="auto"/>
          </w:tcPr>
          <w:p w14:paraId="527F84DE" w14:textId="77777777" w:rsidR="00524B77" w:rsidRPr="00DB707E" w:rsidRDefault="00524B77" w:rsidP="00430B21">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01191E7B" w14:textId="77777777" w:rsidR="00524B77" w:rsidRPr="00DB707E" w:rsidRDefault="00524B77" w:rsidP="00430B21">
            <w:pPr>
              <w:pStyle w:val="TAC"/>
            </w:pPr>
            <w:r w:rsidRPr="00DB707E">
              <w:t>NR_TDD_FR1_C</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3BB30264" w14:textId="77777777" w:rsidR="00524B77" w:rsidRPr="00DB707E" w:rsidRDefault="00524B77" w:rsidP="00430B21">
            <w:pPr>
              <w:pStyle w:val="TAC"/>
            </w:pPr>
            <w:r w:rsidRPr="00DB707E">
              <w:t>-120</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5D6F8886" w14:textId="77777777" w:rsidR="00524B77" w:rsidRPr="00DB707E" w:rsidRDefault="00524B77" w:rsidP="00430B21">
            <w:pPr>
              <w:pStyle w:val="TAC"/>
              <w:rPr>
                <w:rFonts w:cs="Arial"/>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AD56BF3"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89B1901" w14:textId="77777777" w:rsidR="00524B77" w:rsidRPr="00DB707E" w:rsidRDefault="00524B77" w:rsidP="00430B21">
            <w:pPr>
              <w:pStyle w:val="TAC"/>
            </w:pPr>
            <w:r w:rsidRPr="00DB707E">
              <w:t>-50</w:t>
            </w:r>
          </w:p>
        </w:tc>
      </w:tr>
      <w:tr w:rsidR="00524B77" w:rsidRPr="00DB707E" w14:paraId="46563C50" w14:textId="77777777" w:rsidTr="00430B21">
        <w:trPr>
          <w:jc w:val="center"/>
        </w:trPr>
        <w:tc>
          <w:tcPr>
            <w:tcW w:w="1034" w:type="dxa"/>
            <w:tcBorders>
              <w:left w:val="single" w:sz="4" w:space="0" w:color="auto"/>
              <w:right w:val="single" w:sz="6" w:space="0" w:color="auto"/>
            </w:tcBorders>
            <w:shd w:val="clear" w:color="auto" w:fill="auto"/>
          </w:tcPr>
          <w:p w14:paraId="42D06E30" w14:textId="77777777" w:rsidR="00524B77" w:rsidRPr="00DB707E" w:rsidRDefault="00524B77" w:rsidP="00430B21">
            <w:pPr>
              <w:pStyle w:val="TAC"/>
            </w:pPr>
            <w:r w:rsidRPr="00DB707E">
              <w:sym w:font="Symbol" w:char="F0B1"/>
            </w:r>
            <w:r w:rsidRPr="00DB707E">
              <w:t>3.5</w:t>
            </w:r>
          </w:p>
        </w:tc>
        <w:tc>
          <w:tcPr>
            <w:tcW w:w="1048" w:type="dxa"/>
            <w:tcBorders>
              <w:left w:val="single" w:sz="6" w:space="0" w:color="auto"/>
              <w:right w:val="single" w:sz="6" w:space="0" w:color="auto"/>
            </w:tcBorders>
            <w:shd w:val="clear" w:color="auto" w:fill="auto"/>
          </w:tcPr>
          <w:p w14:paraId="51200FD0" w14:textId="77777777" w:rsidR="00524B77" w:rsidRPr="00DB707E" w:rsidRDefault="00524B77" w:rsidP="00430B21">
            <w:pPr>
              <w:pStyle w:val="TAC"/>
            </w:pPr>
            <w:r w:rsidRPr="00DB707E">
              <w:sym w:font="Symbol" w:char="F0B1"/>
            </w:r>
            <w:r w:rsidRPr="00DB707E">
              <w:t>5</w:t>
            </w:r>
          </w:p>
        </w:tc>
        <w:tc>
          <w:tcPr>
            <w:tcW w:w="805" w:type="dxa"/>
            <w:tcBorders>
              <w:left w:val="single" w:sz="6" w:space="0" w:color="auto"/>
              <w:right w:val="single" w:sz="6" w:space="0" w:color="auto"/>
            </w:tcBorders>
            <w:shd w:val="clear" w:color="auto" w:fill="auto"/>
          </w:tcPr>
          <w:p w14:paraId="560B7960" w14:textId="77777777" w:rsidR="00524B77" w:rsidRPr="00DB707E" w:rsidRDefault="00524B77" w:rsidP="00430B21">
            <w:pPr>
              <w:pStyle w:val="TAC"/>
            </w:pPr>
            <w:r w:rsidRPr="00DB707E">
              <w:sym w:font="Symbol" w:char="F0B3"/>
            </w:r>
            <w:r w:rsidRPr="00DB707E">
              <w:t>-3</w:t>
            </w: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113C3769" w14:textId="77777777" w:rsidR="00524B77" w:rsidRPr="00DB707E" w:rsidRDefault="00524B77" w:rsidP="00430B21">
            <w:pPr>
              <w:pStyle w:val="TAC"/>
              <w:rPr>
                <w:lang w:val="sv-SE"/>
              </w:rPr>
            </w:pPr>
            <w:r w:rsidRPr="00DB707E">
              <w:rPr>
                <w:lang w:val="sv-SE"/>
              </w:rPr>
              <w:t>NR_FDD_FR1_D, NR_TDD_FR1_D</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4E268153" w14:textId="77777777" w:rsidR="00524B77" w:rsidRPr="00DB707E" w:rsidRDefault="00524B77" w:rsidP="00430B21">
            <w:pPr>
              <w:pStyle w:val="TAC"/>
            </w:pPr>
            <w:r w:rsidRPr="00DB707E">
              <w:t>-119.5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363C2040" w14:textId="77777777" w:rsidR="00524B77" w:rsidRPr="00DB707E" w:rsidRDefault="00524B77" w:rsidP="00430B21">
            <w:pPr>
              <w:pStyle w:val="TAC"/>
              <w:rPr>
                <w:rFonts w:cs="Arial"/>
              </w:rPr>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BADFB9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C997625" w14:textId="77777777" w:rsidR="00524B77" w:rsidRPr="00DB707E" w:rsidRDefault="00524B77" w:rsidP="00430B21">
            <w:pPr>
              <w:pStyle w:val="TAC"/>
            </w:pPr>
            <w:r w:rsidRPr="00DB707E">
              <w:t>-50</w:t>
            </w:r>
          </w:p>
        </w:tc>
      </w:tr>
      <w:tr w:rsidR="00524B77" w:rsidRPr="00DB707E" w14:paraId="196EA69F" w14:textId="77777777" w:rsidTr="00430B21">
        <w:trPr>
          <w:jc w:val="center"/>
        </w:trPr>
        <w:tc>
          <w:tcPr>
            <w:tcW w:w="1034" w:type="dxa"/>
            <w:tcBorders>
              <w:left w:val="single" w:sz="4" w:space="0" w:color="auto"/>
              <w:right w:val="single" w:sz="6" w:space="0" w:color="auto"/>
            </w:tcBorders>
            <w:shd w:val="clear" w:color="auto" w:fill="auto"/>
          </w:tcPr>
          <w:p w14:paraId="75549EDA" w14:textId="77777777" w:rsidR="00524B77" w:rsidRPr="00DB707E" w:rsidRDefault="00524B77" w:rsidP="00430B21">
            <w:pPr>
              <w:pStyle w:val="TAC"/>
            </w:pPr>
          </w:p>
        </w:tc>
        <w:tc>
          <w:tcPr>
            <w:tcW w:w="1048" w:type="dxa"/>
            <w:tcBorders>
              <w:left w:val="single" w:sz="6" w:space="0" w:color="auto"/>
              <w:right w:val="single" w:sz="6" w:space="0" w:color="auto"/>
            </w:tcBorders>
            <w:shd w:val="clear" w:color="auto" w:fill="auto"/>
          </w:tcPr>
          <w:p w14:paraId="4A5F1093" w14:textId="77777777" w:rsidR="00524B77" w:rsidRPr="00DB707E" w:rsidRDefault="00524B77" w:rsidP="00430B21">
            <w:pPr>
              <w:pStyle w:val="TAC"/>
            </w:pPr>
          </w:p>
        </w:tc>
        <w:tc>
          <w:tcPr>
            <w:tcW w:w="805" w:type="dxa"/>
            <w:tcBorders>
              <w:left w:val="single" w:sz="6" w:space="0" w:color="auto"/>
              <w:right w:val="single" w:sz="6" w:space="0" w:color="auto"/>
            </w:tcBorders>
            <w:shd w:val="clear" w:color="auto" w:fill="auto"/>
          </w:tcPr>
          <w:p w14:paraId="3C0BA926" w14:textId="77777777" w:rsidR="00524B77" w:rsidRPr="00DB707E" w:rsidRDefault="00524B77" w:rsidP="00430B21">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2664F72A" w14:textId="77777777" w:rsidR="00524B77" w:rsidRPr="00DB707E" w:rsidDel="00836998" w:rsidRDefault="00524B77" w:rsidP="00430B21">
            <w:pPr>
              <w:pStyle w:val="TAC"/>
              <w:rPr>
                <w:lang w:val="sv-SE"/>
              </w:rPr>
            </w:pPr>
            <w:r w:rsidRPr="00DB707E">
              <w:rPr>
                <w:lang w:val="sv-SE"/>
              </w:rPr>
              <w:t>NR_FDD_FR1_E, NR_TDD_FR1_E</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0A6AD05E" w14:textId="77777777" w:rsidR="00524B77" w:rsidRPr="00DB707E" w:rsidRDefault="00524B77" w:rsidP="00430B21">
            <w:pPr>
              <w:pStyle w:val="TAC"/>
            </w:pPr>
            <w:r w:rsidRPr="00DB707E">
              <w:t>-119</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3EC84BEA" w14:textId="77777777" w:rsidR="00524B77" w:rsidRPr="00DB707E" w:rsidRDefault="00524B77" w:rsidP="00430B21">
            <w:pPr>
              <w:pStyle w:val="TAC"/>
              <w:rPr>
                <w:rFonts w:cs="Arial"/>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5151877"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5585982" w14:textId="77777777" w:rsidR="00524B77" w:rsidRPr="00DB707E" w:rsidRDefault="00524B77" w:rsidP="00430B21">
            <w:pPr>
              <w:pStyle w:val="TAC"/>
            </w:pPr>
            <w:r w:rsidRPr="00DB707E">
              <w:t>-50</w:t>
            </w:r>
          </w:p>
        </w:tc>
      </w:tr>
      <w:tr w:rsidR="00524B77" w:rsidRPr="00DB707E" w14:paraId="011DB91D" w14:textId="77777777" w:rsidTr="00430B21">
        <w:trPr>
          <w:jc w:val="center"/>
        </w:trPr>
        <w:tc>
          <w:tcPr>
            <w:tcW w:w="1034" w:type="dxa"/>
            <w:tcBorders>
              <w:left w:val="single" w:sz="4" w:space="0" w:color="auto"/>
              <w:right w:val="single" w:sz="6" w:space="0" w:color="auto"/>
            </w:tcBorders>
            <w:shd w:val="clear" w:color="auto" w:fill="auto"/>
          </w:tcPr>
          <w:p w14:paraId="44FAE5CC" w14:textId="77777777" w:rsidR="00524B77" w:rsidRPr="00DB707E" w:rsidRDefault="00524B77" w:rsidP="00430B21">
            <w:pPr>
              <w:pStyle w:val="TAC"/>
            </w:pPr>
          </w:p>
        </w:tc>
        <w:tc>
          <w:tcPr>
            <w:tcW w:w="1048" w:type="dxa"/>
            <w:tcBorders>
              <w:left w:val="single" w:sz="6" w:space="0" w:color="auto"/>
              <w:right w:val="single" w:sz="6" w:space="0" w:color="auto"/>
            </w:tcBorders>
            <w:shd w:val="clear" w:color="auto" w:fill="auto"/>
          </w:tcPr>
          <w:p w14:paraId="684E9A40" w14:textId="77777777" w:rsidR="00524B77" w:rsidRPr="00DB707E" w:rsidRDefault="00524B77" w:rsidP="00430B21">
            <w:pPr>
              <w:pStyle w:val="TAC"/>
            </w:pPr>
          </w:p>
        </w:tc>
        <w:tc>
          <w:tcPr>
            <w:tcW w:w="805" w:type="dxa"/>
            <w:tcBorders>
              <w:left w:val="single" w:sz="6" w:space="0" w:color="auto"/>
              <w:right w:val="single" w:sz="6" w:space="0" w:color="auto"/>
            </w:tcBorders>
            <w:shd w:val="clear" w:color="auto" w:fill="auto"/>
          </w:tcPr>
          <w:p w14:paraId="2A806C9B" w14:textId="77777777" w:rsidR="00524B77" w:rsidRPr="00DB707E" w:rsidRDefault="00524B77" w:rsidP="00430B21">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1BD34A9B" w14:textId="77777777" w:rsidR="00524B77" w:rsidRPr="00DB707E" w:rsidRDefault="00524B77" w:rsidP="00430B21">
            <w:pPr>
              <w:pStyle w:val="TAC"/>
              <w:rPr>
                <w:lang w:val="sv-SE"/>
              </w:rPr>
            </w:pPr>
            <w:r w:rsidRPr="00DB707E">
              <w:rPr>
                <w:lang w:eastAsia="zh-CN"/>
              </w:rPr>
              <w:t>NR_FDD_FR1_F</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13E1DD0D" w14:textId="77777777" w:rsidR="00524B77" w:rsidRPr="00DB707E" w:rsidRDefault="00524B77" w:rsidP="00430B21">
            <w:pPr>
              <w:pStyle w:val="TAC"/>
            </w:pPr>
            <w:r w:rsidRPr="00DB707E">
              <w:t>-118.5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5AE9ECCD"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B2E4D5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A59C66B" w14:textId="77777777" w:rsidR="00524B77" w:rsidRPr="00DB707E" w:rsidRDefault="00524B77" w:rsidP="00430B21">
            <w:pPr>
              <w:pStyle w:val="TAC"/>
            </w:pPr>
            <w:r w:rsidRPr="00DB707E">
              <w:t>-50</w:t>
            </w:r>
          </w:p>
        </w:tc>
      </w:tr>
      <w:tr w:rsidR="00524B77" w:rsidRPr="00DB707E" w14:paraId="5EF2570A" w14:textId="77777777" w:rsidTr="00430B21">
        <w:trPr>
          <w:jc w:val="center"/>
        </w:trPr>
        <w:tc>
          <w:tcPr>
            <w:tcW w:w="1034" w:type="dxa"/>
            <w:tcBorders>
              <w:left w:val="single" w:sz="4" w:space="0" w:color="auto"/>
              <w:right w:val="single" w:sz="6" w:space="0" w:color="auto"/>
            </w:tcBorders>
            <w:shd w:val="clear" w:color="auto" w:fill="auto"/>
          </w:tcPr>
          <w:p w14:paraId="6C533086" w14:textId="77777777" w:rsidR="00524B77" w:rsidRPr="00DB707E" w:rsidRDefault="00524B77" w:rsidP="00430B21">
            <w:pPr>
              <w:pStyle w:val="TAC"/>
            </w:pPr>
          </w:p>
        </w:tc>
        <w:tc>
          <w:tcPr>
            <w:tcW w:w="1048" w:type="dxa"/>
            <w:tcBorders>
              <w:left w:val="single" w:sz="6" w:space="0" w:color="auto"/>
              <w:right w:val="single" w:sz="6" w:space="0" w:color="auto"/>
            </w:tcBorders>
            <w:shd w:val="clear" w:color="auto" w:fill="auto"/>
          </w:tcPr>
          <w:p w14:paraId="4E797E37" w14:textId="77777777" w:rsidR="00524B77" w:rsidRPr="00DB707E" w:rsidRDefault="00524B77" w:rsidP="00430B21">
            <w:pPr>
              <w:pStyle w:val="TAC"/>
            </w:pPr>
          </w:p>
        </w:tc>
        <w:tc>
          <w:tcPr>
            <w:tcW w:w="805" w:type="dxa"/>
            <w:tcBorders>
              <w:left w:val="single" w:sz="6" w:space="0" w:color="auto"/>
              <w:right w:val="single" w:sz="6" w:space="0" w:color="auto"/>
            </w:tcBorders>
            <w:shd w:val="clear" w:color="auto" w:fill="auto"/>
          </w:tcPr>
          <w:p w14:paraId="25EBDAD3" w14:textId="77777777" w:rsidR="00524B77" w:rsidRPr="00DB707E" w:rsidRDefault="00524B77" w:rsidP="00430B21">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64369822"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1D773522" w14:textId="77777777" w:rsidR="00524B77" w:rsidRPr="00DB707E" w:rsidRDefault="00524B77" w:rsidP="00430B21">
            <w:pPr>
              <w:pStyle w:val="TAC"/>
            </w:pPr>
            <w:r w:rsidRPr="00DB707E">
              <w:t>-118</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013E1898"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6423E6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6601429" w14:textId="77777777" w:rsidR="00524B77" w:rsidRPr="00DB707E" w:rsidRDefault="00524B77" w:rsidP="00430B21">
            <w:pPr>
              <w:pStyle w:val="TAC"/>
            </w:pPr>
            <w:r w:rsidRPr="00DB707E">
              <w:t>-50</w:t>
            </w:r>
          </w:p>
        </w:tc>
      </w:tr>
      <w:tr w:rsidR="00524B77" w:rsidRPr="00DB707E" w14:paraId="063077B5" w14:textId="77777777" w:rsidTr="00430B21">
        <w:trPr>
          <w:jc w:val="center"/>
        </w:trPr>
        <w:tc>
          <w:tcPr>
            <w:tcW w:w="1034" w:type="dxa"/>
            <w:tcBorders>
              <w:left w:val="single" w:sz="4" w:space="0" w:color="auto"/>
              <w:right w:val="single" w:sz="6" w:space="0" w:color="auto"/>
            </w:tcBorders>
            <w:shd w:val="clear" w:color="auto" w:fill="auto"/>
          </w:tcPr>
          <w:p w14:paraId="1201F513" w14:textId="77777777" w:rsidR="00524B77" w:rsidRPr="00DB707E" w:rsidRDefault="00524B77" w:rsidP="00430B21">
            <w:pPr>
              <w:pStyle w:val="TAC"/>
            </w:pPr>
          </w:p>
        </w:tc>
        <w:tc>
          <w:tcPr>
            <w:tcW w:w="1048" w:type="dxa"/>
            <w:tcBorders>
              <w:left w:val="single" w:sz="6" w:space="0" w:color="auto"/>
              <w:right w:val="single" w:sz="6" w:space="0" w:color="auto"/>
            </w:tcBorders>
            <w:shd w:val="clear" w:color="auto" w:fill="auto"/>
          </w:tcPr>
          <w:p w14:paraId="70239697" w14:textId="77777777" w:rsidR="00524B77" w:rsidRPr="00DB707E" w:rsidRDefault="00524B77" w:rsidP="00430B21">
            <w:pPr>
              <w:pStyle w:val="TAC"/>
            </w:pPr>
          </w:p>
        </w:tc>
        <w:tc>
          <w:tcPr>
            <w:tcW w:w="805" w:type="dxa"/>
            <w:tcBorders>
              <w:left w:val="single" w:sz="6" w:space="0" w:color="auto"/>
              <w:right w:val="single" w:sz="6" w:space="0" w:color="auto"/>
            </w:tcBorders>
            <w:shd w:val="clear" w:color="auto" w:fill="auto"/>
          </w:tcPr>
          <w:p w14:paraId="20552401" w14:textId="77777777" w:rsidR="00524B77" w:rsidRPr="00DB707E" w:rsidRDefault="00524B77" w:rsidP="00430B21">
            <w:pPr>
              <w:pStyle w:val="TAC"/>
            </w:pP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7D530BA8"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03" w:type="dxa"/>
            <w:tcBorders>
              <w:top w:val="single" w:sz="6" w:space="0" w:color="auto"/>
              <w:left w:val="single" w:sz="4" w:space="0" w:color="auto"/>
              <w:bottom w:val="single" w:sz="6" w:space="0" w:color="auto"/>
              <w:right w:val="single" w:sz="6" w:space="0" w:color="auto"/>
            </w:tcBorders>
            <w:shd w:val="clear" w:color="auto" w:fill="auto"/>
          </w:tcPr>
          <w:p w14:paraId="75F32F4D" w14:textId="77777777" w:rsidR="00524B77" w:rsidRPr="00DB707E" w:rsidRDefault="00524B77" w:rsidP="00430B21">
            <w:pPr>
              <w:pStyle w:val="TAC"/>
            </w:pPr>
            <w:r w:rsidRPr="00DB707E">
              <w:t>-117.5</w:t>
            </w:r>
          </w:p>
        </w:tc>
        <w:tc>
          <w:tcPr>
            <w:tcW w:w="1085" w:type="dxa"/>
            <w:tcBorders>
              <w:top w:val="single" w:sz="6" w:space="0" w:color="auto"/>
              <w:left w:val="single" w:sz="4" w:space="0" w:color="auto"/>
              <w:bottom w:val="single" w:sz="6" w:space="0" w:color="auto"/>
              <w:right w:val="single" w:sz="6" w:space="0" w:color="auto"/>
            </w:tcBorders>
            <w:shd w:val="clear" w:color="auto" w:fill="auto"/>
          </w:tcPr>
          <w:p w14:paraId="0D6AA62B"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F758993"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B2BB0F4" w14:textId="77777777" w:rsidR="00524B77" w:rsidRPr="00DB707E" w:rsidRDefault="00524B77" w:rsidP="00430B21">
            <w:pPr>
              <w:pStyle w:val="TAC"/>
            </w:pPr>
            <w:r w:rsidRPr="00DB707E">
              <w:t>-50</w:t>
            </w:r>
          </w:p>
        </w:tc>
      </w:tr>
      <w:tr w:rsidR="00524B77" w:rsidRPr="00DB707E" w14:paraId="4532F1F1" w14:textId="77777777" w:rsidTr="00430B21">
        <w:trPr>
          <w:jc w:val="center"/>
        </w:trPr>
        <w:tc>
          <w:tcPr>
            <w:tcW w:w="1034" w:type="dxa"/>
            <w:tcBorders>
              <w:top w:val="single" w:sz="6" w:space="0" w:color="auto"/>
              <w:left w:val="single" w:sz="4" w:space="0" w:color="auto"/>
              <w:bottom w:val="single" w:sz="6" w:space="0" w:color="auto"/>
              <w:right w:val="single" w:sz="6" w:space="0" w:color="auto"/>
            </w:tcBorders>
            <w:shd w:val="clear" w:color="auto" w:fill="auto"/>
          </w:tcPr>
          <w:p w14:paraId="0C6CFFFF" w14:textId="77777777" w:rsidR="00524B77" w:rsidRPr="00DB707E" w:rsidRDefault="00524B77" w:rsidP="00430B21">
            <w:pPr>
              <w:pStyle w:val="TAC"/>
            </w:pPr>
            <w:r w:rsidRPr="00DB707E">
              <w:sym w:font="Symbol" w:char="F0B1"/>
            </w:r>
            <w:r w:rsidRPr="00DB707E">
              <w:t>4.5</w:t>
            </w:r>
          </w:p>
        </w:tc>
        <w:tc>
          <w:tcPr>
            <w:tcW w:w="1048" w:type="dxa"/>
            <w:tcBorders>
              <w:top w:val="single" w:sz="6" w:space="0" w:color="auto"/>
              <w:left w:val="single" w:sz="6" w:space="0" w:color="auto"/>
              <w:bottom w:val="single" w:sz="6" w:space="0" w:color="auto"/>
              <w:right w:val="single" w:sz="6" w:space="0" w:color="auto"/>
            </w:tcBorders>
            <w:shd w:val="clear" w:color="auto" w:fill="auto"/>
          </w:tcPr>
          <w:p w14:paraId="4CA597AD" w14:textId="77777777" w:rsidR="00524B77" w:rsidRPr="00DB707E" w:rsidRDefault="00524B77" w:rsidP="00430B21">
            <w:pPr>
              <w:pStyle w:val="TAC"/>
            </w:pPr>
            <w:r w:rsidRPr="00DB707E">
              <w:sym w:font="Symbol" w:char="F0B1"/>
            </w:r>
            <w:r w:rsidRPr="00DB707E">
              <w:t>5</w:t>
            </w:r>
          </w:p>
        </w:tc>
        <w:tc>
          <w:tcPr>
            <w:tcW w:w="805" w:type="dxa"/>
            <w:tcBorders>
              <w:top w:val="single" w:sz="6" w:space="0" w:color="auto"/>
              <w:left w:val="single" w:sz="6" w:space="0" w:color="auto"/>
              <w:bottom w:val="single" w:sz="6" w:space="0" w:color="auto"/>
              <w:right w:val="single" w:sz="6" w:space="0" w:color="auto"/>
            </w:tcBorders>
            <w:shd w:val="clear" w:color="auto" w:fill="auto"/>
          </w:tcPr>
          <w:p w14:paraId="07B8B0FA" w14:textId="77777777" w:rsidR="00524B77" w:rsidRPr="00DB707E" w:rsidRDefault="00524B77" w:rsidP="00430B21">
            <w:pPr>
              <w:pStyle w:val="TAC"/>
            </w:pPr>
            <w:r w:rsidRPr="00DB707E">
              <w:sym w:font="Symbol" w:char="F0B3"/>
            </w:r>
            <w:r w:rsidRPr="00DB707E">
              <w:t>-6</w:t>
            </w:r>
          </w:p>
        </w:tc>
        <w:tc>
          <w:tcPr>
            <w:tcW w:w="2317" w:type="dxa"/>
            <w:tcBorders>
              <w:top w:val="single" w:sz="6" w:space="0" w:color="auto"/>
              <w:left w:val="single" w:sz="6" w:space="0" w:color="auto"/>
              <w:bottom w:val="single" w:sz="6" w:space="0" w:color="auto"/>
              <w:right w:val="single" w:sz="4" w:space="0" w:color="auto"/>
            </w:tcBorders>
            <w:shd w:val="clear" w:color="auto" w:fill="auto"/>
          </w:tcPr>
          <w:p w14:paraId="536A143A" w14:textId="77777777" w:rsidR="00524B77" w:rsidRPr="00DB707E" w:rsidRDefault="00524B77" w:rsidP="00430B21">
            <w:pPr>
              <w:pStyle w:val="TAC"/>
            </w:pPr>
            <w:r w:rsidRPr="00DB707E">
              <w:t>Note 2</w:t>
            </w:r>
          </w:p>
        </w:tc>
        <w:tc>
          <w:tcPr>
            <w:tcW w:w="1003" w:type="dxa"/>
            <w:tcBorders>
              <w:top w:val="single" w:sz="6" w:space="0" w:color="auto"/>
              <w:left w:val="single" w:sz="4" w:space="0" w:color="auto"/>
              <w:bottom w:val="single" w:sz="4" w:space="0" w:color="auto"/>
              <w:right w:val="single" w:sz="6" w:space="0" w:color="auto"/>
            </w:tcBorders>
            <w:shd w:val="clear" w:color="auto" w:fill="auto"/>
          </w:tcPr>
          <w:p w14:paraId="2796D1C2" w14:textId="77777777" w:rsidR="00524B77" w:rsidRPr="00DB707E" w:rsidRDefault="00524B77" w:rsidP="00430B21">
            <w:pPr>
              <w:pStyle w:val="TAC"/>
            </w:pPr>
            <w:r w:rsidRPr="00DB707E">
              <w:t>Note 2</w:t>
            </w:r>
          </w:p>
        </w:tc>
        <w:tc>
          <w:tcPr>
            <w:tcW w:w="1085" w:type="dxa"/>
            <w:tcBorders>
              <w:top w:val="single" w:sz="6" w:space="0" w:color="auto"/>
              <w:left w:val="single" w:sz="4" w:space="0" w:color="auto"/>
              <w:bottom w:val="single" w:sz="4" w:space="0" w:color="auto"/>
              <w:right w:val="single" w:sz="6" w:space="0" w:color="auto"/>
            </w:tcBorders>
            <w:shd w:val="clear" w:color="auto" w:fill="auto"/>
          </w:tcPr>
          <w:p w14:paraId="5FF9CD66" w14:textId="77777777" w:rsidR="00524B77" w:rsidRPr="00DB707E" w:rsidRDefault="00524B77" w:rsidP="00430B21">
            <w:pPr>
              <w:pStyle w:val="TAC"/>
              <w:rPr>
                <w:lang w:eastAsia="zh-CN"/>
              </w:rPr>
            </w:pPr>
            <w:r w:rsidRPr="00DB707E">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0D49BEAA" w14:textId="77777777" w:rsidR="00524B77" w:rsidRPr="00DB707E" w:rsidRDefault="00524B77" w:rsidP="00430B21">
            <w:pPr>
              <w:pStyle w:val="TAC"/>
            </w:pPr>
            <w:r w:rsidRPr="00DB707E">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612435DB" w14:textId="77777777" w:rsidR="00524B77" w:rsidRPr="00DB707E" w:rsidRDefault="00524B77" w:rsidP="00430B21">
            <w:pPr>
              <w:pStyle w:val="TAC"/>
            </w:pPr>
            <w:r w:rsidRPr="00DB707E">
              <w:t>Note 2</w:t>
            </w:r>
          </w:p>
        </w:tc>
      </w:tr>
      <w:tr w:rsidR="00524B77" w:rsidRPr="00DB707E" w14:paraId="56429947"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4E788D28" w14:textId="77777777" w:rsidR="00524B77" w:rsidRPr="00DB707E" w:rsidRDefault="00524B77" w:rsidP="00430B21">
            <w:pPr>
              <w:pStyle w:val="TAN"/>
            </w:pPr>
            <w:r w:rsidRPr="00DB707E">
              <w:t>NOTE 1:</w:t>
            </w:r>
            <w:r w:rsidRPr="00DB707E">
              <w:tab/>
              <w:t>Io is assumed to have constant EPRE across the bandwidth.</w:t>
            </w:r>
          </w:p>
          <w:p w14:paraId="01CC12DF" w14:textId="77777777" w:rsidR="00524B77" w:rsidRPr="00DB707E" w:rsidRDefault="00524B77" w:rsidP="00430B21">
            <w:pPr>
              <w:pStyle w:val="TAN"/>
              <w:rPr>
                <w:rFonts w:cs="Arial"/>
              </w:rPr>
            </w:pPr>
            <w:r w:rsidRPr="00DB707E">
              <w:rPr>
                <w:rFonts w:cs="Arial"/>
              </w:rPr>
              <w:t>N</w:t>
            </w:r>
            <w:r w:rsidRPr="00DB707E">
              <w:rPr>
                <w:rFonts w:cs="Arial"/>
                <w:lang w:eastAsia="zh-CN"/>
              </w:rPr>
              <w:t>OTE</w:t>
            </w:r>
            <w:r w:rsidRPr="00DB707E">
              <w:rPr>
                <w:rFonts w:cs="Arial"/>
              </w:rPr>
              <w:t xml:space="preserve"> 2:</w:t>
            </w:r>
            <w:r w:rsidRPr="00DB707E">
              <w:rPr>
                <w:rFonts w:cs="Arial"/>
              </w:rPr>
              <w:tab/>
              <w:t>The same bands and the same Io conditions for each band apply for this requirement as for the corresponding highest accuracy requirement.</w:t>
            </w:r>
          </w:p>
          <w:p w14:paraId="0CFCB89A" w14:textId="77777777" w:rsidR="00524B77" w:rsidRPr="00DB707E" w:rsidRDefault="00524B77" w:rsidP="00430B21">
            <w:pPr>
              <w:pStyle w:val="TAN"/>
            </w:pPr>
            <w:r w:rsidRPr="00DB707E">
              <w:t>NOTE 3:</w:t>
            </w:r>
            <w:r w:rsidRPr="00DB707E">
              <w:tab/>
              <w:t>NR operating band groups in FR1 are as defined in clause 3.5.2.</w:t>
            </w:r>
          </w:p>
        </w:tc>
      </w:tr>
    </w:tbl>
    <w:p w14:paraId="53FF2581" w14:textId="77777777" w:rsidR="00524B77" w:rsidRPr="00DB707E" w:rsidRDefault="00524B77" w:rsidP="00524B77"/>
    <w:p w14:paraId="7E4EA5EB" w14:textId="77777777" w:rsidR="00524B77" w:rsidRPr="00DB707E" w:rsidRDefault="00524B77" w:rsidP="00524B77">
      <w:pPr>
        <w:pStyle w:val="Heading3"/>
        <w:rPr>
          <w:lang w:val="en-US"/>
        </w:rPr>
      </w:pPr>
      <w:r w:rsidRPr="00DB707E">
        <w:rPr>
          <w:lang w:val="en-US" w:eastAsia="ko-KR"/>
        </w:rPr>
        <w:t>10.1A.7</w:t>
      </w:r>
      <w:r w:rsidRPr="00DB707E">
        <w:rPr>
          <w:lang w:val="en-US"/>
        </w:rPr>
        <w:tab/>
        <w:t>Intra-frequency RSRQ accuracy requirements for FR2</w:t>
      </w:r>
    </w:p>
    <w:p w14:paraId="2A402354" w14:textId="77777777" w:rsidR="00524B77" w:rsidRPr="00DB707E" w:rsidRDefault="00524B77" w:rsidP="00524B77">
      <w:pPr>
        <w:pStyle w:val="Heading4"/>
        <w:rPr>
          <w:lang w:val="en-US" w:eastAsia="zh-CN"/>
        </w:rPr>
      </w:pPr>
      <w:r w:rsidRPr="00DB707E">
        <w:rPr>
          <w:lang w:val="en-US"/>
        </w:rPr>
        <w:t>10.1A.7.</w:t>
      </w:r>
      <w:r w:rsidRPr="00DB707E">
        <w:rPr>
          <w:lang w:val="en-US" w:eastAsia="zh-CN"/>
        </w:rPr>
        <w:t>1</w:t>
      </w:r>
      <w:r w:rsidRPr="00DB707E">
        <w:rPr>
          <w:lang w:val="en-US" w:eastAsia="zh-CN"/>
        </w:rPr>
        <w:tab/>
      </w:r>
      <w:r w:rsidRPr="00DB707E">
        <w:rPr>
          <w:lang w:val="en-US" w:eastAsia="ko-KR"/>
        </w:rPr>
        <w:t>Intra</w:t>
      </w:r>
      <w:r w:rsidRPr="00DB707E">
        <w:rPr>
          <w:lang w:val="en-US"/>
        </w:rPr>
        <w:t xml:space="preserve">-frequency </w:t>
      </w:r>
      <w:r w:rsidRPr="00DB707E">
        <w:rPr>
          <w:lang w:val="en-US" w:eastAsia="ko-KR"/>
        </w:rPr>
        <w:t>SS-RSRQ</w:t>
      </w:r>
      <w:r w:rsidRPr="00DB707E">
        <w:rPr>
          <w:lang w:val="en-US"/>
        </w:rPr>
        <w:t xml:space="preserve"> accuracy requirements </w:t>
      </w:r>
      <w:r w:rsidRPr="00DB707E">
        <w:rPr>
          <w:lang w:val="en-US" w:eastAsia="zh-CN"/>
        </w:rPr>
        <w:t>in FR2</w:t>
      </w:r>
    </w:p>
    <w:p w14:paraId="79982A33" w14:textId="77777777" w:rsidR="00524B77" w:rsidRPr="00DB707E" w:rsidRDefault="00524B77" w:rsidP="00524B77">
      <w:pPr>
        <w:pStyle w:val="Heading5"/>
      </w:pPr>
      <w:r w:rsidRPr="00DB707E">
        <w:rPr>
          <w:lang w:eastAsia="zh-CN"/>
        </w:rPr>
        <w:t>10.</w:t>
      </w:r>
      <w:r w:rsidRPr="00DB707E">
        <w:t>1A</w:t>
      </w:r>
      <w:r w:rsidRPr="00DB707E">
        <w:rPr>
          <w:lang w:eastAsia="zh-CN"/>
        </w:rPr>
        <w:t>.</w:t>
      </w:r>
      <w:r w:rsidRPr="00DB707E">
        <w:t>7</w:t>
      </w:r>
      <w:r w:rsidRPr="00DB707E">
        <w:rPr>
          <w:lang w:eastAsia="zh-CN"/>
        </w:rPr>
        <w:t>.</w:t>
      </w:r>
      <w:r w:rsidRPr="00DB707E">
        <w:t>1</w:t>
      </w:r>
      <w:r w:rsidRPr="00DB707E">
        <w:rPr>
          <w:lang w:eastAsia="zh-CN"/>
        </w:rPr>
        <w:t>.1</w:t>
      </w:r>
      <w:r w:rsidRPr="00DB707E">
        <w:tab/>
        <w:t xml:space="preserve">Absolute </w:t>
      </w:r>
      <w:r w:rsidRPr="00DB707E">
        <w:rPr>
          <w:lang w:val="en-US" w:eastAsia="ko-KR"/>
        </w:rPr>
        <w:t xml:space="preserve">SS-RSRQ </w:t>
      </w:r>
      <w:r w:rsidRPr="00DB707E">
        <w:t>Accuracy in FR2</w:t>
      </w:r>
    </w:p>
    <w:p w14:paraId="5D97DAD1" w14:textId="77777777" w:rsidR="00524B77" w:rsidRPr="00DB707E" w:rsidRDefault="00524B77" w:rsidP="00524B77">
      <w:r w:rsidRPr="00DB707E">
        <w:rPr>
          <w:rFonts w:cs="v4.2.0"/>
        </w:rPr>
        <w:t xml:space="preserve">The accuracy requirements in clause </w:t>
      </w:r>
      <w:r w:rsidRPr="00DB707E">
        <w:rPr>
          <w:lang w:eastAsia="zh-CN"/>
        </w:rPr>
        <w:t>10.</w:t>
      </w:r>
      <w:r w:rsidRPr="00DB707E">
        <w:t>1</w:t>
      </w:r>
      <w:r w:rsidRPr="00DB707E">
        <w:rPr>
          <w:lang w:eastAsia="zh-CN"/>
        </w:rPr>
        <w:t>.</w:t>
      </w:r>
      <w:r w:rsidRPr="00DB707E">
        <w:t>8</w:t>
      </w:r>
      <w:r w:rsidRPr="00DB707E">
        <w:rPr>
          <w:lang w:eastAsia="zh-CN"/>
        </w:rPr>
        <w:t>.</w:t>
      </w:r>
      <w:r w:rsidRPr="00DB707E">
        <w:t>1</w:t>
      </w:r>
      <w:r w:rsidRPr="00DB707E">
        <w:rPr>
          <w:lang w:eastAsia="zh-CN"/>
        </w:rPr>
        <w:t>.1</w:t>
      </w:r>
      <w:r w:rsidRPr="00DB707E">
        <w:rPr>
          <w:rFonts w:cs="v4.2.0"/>
        </w:rPr>
        <w:t xml:space="preserve"> shall apply.</w:t>
      </w:r>
    </w:p>
    <w:p w14:paraId="25B25A2C" w14:textId="77777777" w:rsidR="00524B77" w:rsidRPr="00DB707E" w:rsidRDefault="00524B77" w:rsidP="00524B77">
      <w:pPr>
        <w:pStyle w:val="Heading3"/>
        <w:rPr>
          <w:lang w:val="en-US"/>
        </w:rPr>
      </w:pPr>
      <w:r w:rsidRPr="00DB707E">
        <w:rPr>
          <w:lang w:val="en-US"/>
        </w:rPr>
        <w:t>10.1A.8</w:t>
      </w:r>
      <w:r w:rsidRPr="00DB707E">
        <w:rPr>
          <w:lang w:val="en-US"/>
        </w:rPr>
        <w:tab/>
        <w:t xml:space="preserve">Inter-frequency RSRQ accuracy requirements for </w:t>
      </w:r>
      <w:r w:rsidRPr="00DB707E">
        <w:rPr>
          <w:lang w:val="en-US" w:eastAsia="ko-KR"/>
        </w:rPr>
        <w:t>FR1</w:t>
      </w:r>
    </w:p>
    <w:p w14:paraId="463A0015" w14:textId="77777777" w:rsidR="00524B77" w:rsidRPr="00DB707E" w:rsidRDefault="00524B77" w:rsidP="00524B77">
      <w:pPr>
        <w:pStyle w:val="Heading4"/>
        <w:rPr>
          <w:lang w:val="en-US" w:eastAsia="zh-CN"/>
        </w:rPr>
      </w:pPr>
      <w:r w:rsidRPr="00DB707E">
        <w:rPr>
          <w:lang w:val="en-US" w:eastAsia="zh-CN"/>
        </w:rPr>
        <w:t>10.1A.8.1</w:t>
      </w:r>
      <w:r w:rsidRPr="00DB707E">
        <w:rPr>
          <w:lang w:val="en-US" w:eastAsia="zh-CN"/>
        </w:rPr>
        <w:tab/>
      </w:r>
      <w:r w:rsidRPr="00DB707E">
        <w:rPr>
          <w:lang w:val="en-US" w:eastAsia="ko-KR"/>
        </w:rPr>
        <w:t>Inter-frequency SS-RSRQ accuracy requirements</w:t>
      </w:r>
      <w:r w:rsidRPr="00DB707E">
        <w:rPr>
          <w:lang w:val="en-US" w:eastAsia="zh-CN"/>
        </w:rPr>
        <w:t xml:space="preserve"> in FR1</w:t>
      </w:r>
    </w:p>
    <w:p w14:paraId="3A220503" w14:textId="77777777" w:rsidR="00524B77" w:rsidRPr="00DB707E" w:rsidRDefault="00524B77" w:rsidP="00524B77">
      <w:pPr>
        <w:pStyle w:val="Heading5"/>
        <w:rPr>
          <w:lang w:val="en-US" w:eastAsia="zh-CN"/>
        </w:rPr>
      </w:pPr>
      <w:r w:rsidRPr="00DB707E">
        <w:rPr>
          <w:lang w:val="en-US" w:eastAsia="zh-CN"/>
        </w:rPr>
        <w:t>10.1A.8.1.1</w:t>
      </w:r>
      <w:r w:rsidRPr="00DB707E">
        <w:rPr>
          <w:lang w:val="en-US" w:eastAsia="zh-CN"/>
        </w:rPr>
        <w:tab/>
      </w:r>
      <w:r w:rsidRPr="00DB707E">
        <w:rPr>
          <w:noProof/>
        </w:rPr>
        <w:t>Absolute</w:t>
      </w:r>
      <w:r w:rsidRPr="00DB707E">
        <w:t xml:space="preserve"> Accuracy of </w:t>
      </w:r>
      <w:r w:rsidRPr="00DB707E">
        <w:rPr>
          <w:lang w:eastAsia="zh-CN"/>
        </w:rPr>
        <w:t>SS-RSRQ</w:t>
      </w:r>
      <w:r w:rsidRPr="00DB707E">
        <w:rPr>
          <w:lang w:val="en-US" w:eastAsia="zh-CN"/>
        </w:rPr>
        <w:t xml:space="preserve"> in FR1</w:t>
      </w:r>
    </w:p>
    <w:p w14:paraId="462726B2" w14:textId="77777777" w:rsidR="00524B77" w:rsidRPr="00DB707E" w:rsidRDefault="00524B77" w:rsidP="00524B77">
      <w:pPr>
        <w:rPr>
          <w:rFonts w:cs="v4.2.0"/>
        </w:rPr>
      </w:pPr>
      <w:r w:rsidRPr="00DB707E">
        <w:rPr>
          <w:rFonts w:cs="v4.2.0"/>
        </w:rPr>
        <w:t xml:space="preserve">The accuracy requirements in clause </w:t>
      </w:r>
      <w:r w:rsidRPr="00DB707E">
        <w:rPr>
          <w:lang w:val="en-US" w:eastAsia="zh-CN"/>
        </w:rPr>
        <w:t>10.1.9.1.1</w:t>
      </w:r>
      <w:r w:rsidRPr="00DB707E">
        <w:rPr>
          <w:rFonts w:cs="v4.2.0"/>
        </w:rPr>
        <w:t xml:space="preserve"> shall apply when RedCap UE is capable of 2Rx. When UE is only required to support 1RX, the absolute accuracy requirements in Table </w:t>
      </w:r>
      <w:r w:rsidRPr="00DB707E">
        <w:rPr>
          <w:lang w:eastAsia="zh-CN"/>
        </w:rPr>
        <w:t>10.1A.8.1.1</w:t>
      </w:r>
      <w:r w:rsidRPr="00DB707E">
        <w:t>-1</w:t>
      </w:r>
      <w:r w:rsidRPr="00DB707E">
        <w:rPr>
          <w:rFonts w:cs="v4.2.0"/>
        </w:rPr>
        <w:t xml:space="preserve"> are valid under the following conditions:</w:t>
      </w:r>
    </w:p>
    <w:p w14:paraId="67045600" w14:textId="77777777" w:rsidR="00524B77" w:rsidRPr="00DB707E" w:rsidRDefault="00524B77" w:rsidP="00524B77">
      <w:pPr>
        <w:ind w:left="568" w:hanging="284"/>
        <w:rPr>
          <w:lang w:eastAsia="zh-CN"/>
        </w:rPr>
      </w:pPr>
      <w:r w:rsidRPr="00DB707E">
        <w:t>-</w:t>
      </w:r>
      <w:r w:rsidRPr="00DB707E">
        <w:rPr>
          <w:rFonts w:ascii="Arial" w:hAnsi="Arial"/>
          <w:sz w:val="28"/>
          <w:lang w:val="en-US"/>
        </w:rPr>
        <w:tab/>
      </w:r>
      <w:r w:rsidRPr="00DB707E">
        <w:t>Conditions defined in clause 7.3 of TS 38.101-1 [18] for reference sensitivity are fulfilled.</w:t>
      </w:r>
    </w:p>
    <w:p w14:paraId="2C6427F3" w14:textId="77777777" w:rsidR="00524B77" w:rsidRPr="00DB707E" w:rsidRDefault="00524B77" w:rsidP="00524B77">
      <w:pPr>
        <w:ind w:left="568" w:hanging="284"/>
        <w:rPr>
          <w:lang w:eastAsia="zh-CN"/>
        </w:rPr>
      </w:pPr>
      <w:r w:rsidRPr="00DB707E">
        <w:t>-</w:t>
      </w:r>
      <w:r w:rsidRPr="00DB707E">
        <w:rPr>
          <w:rFonts w:ascii="Arial" w:hAnsi="Arial"/>
          <w:sz w:val="28"/>
          <w:lang w:val="en-US"/>
        </w:rPr>
        <w:tab/>
      </w:r>
      <w:r w:rsidRPr="00DB707E">
        <w:t xml:space="preserve">Conditions for inter-frequency measurements are fulfilled according to Annex B.2.3 for a corresponding Band </w:t>
      </w:r>
      <w:r w:rsidRPr="00DB707E">
        <w:rPr>
          <w:rFonts w:cs="v4.2.0"/>
          <w:lang w:eastAsia="ko-KR"/>
        </w:rPr>
        <w:t>for each relevant SSB</w:t>
      </w:r>
      <w:r w:rsidRPr="00DB707E">
        <w:t>.</w:t>
      </w:r>
    </w:p>
    <w:p w14:paraId="195D68FA" w14:textId="77777777" w:rsidR="00524B77" w:rsidRPr="00DB707E" w:rsidRDefault="00524B77" w:rsidP="00524B77">
      <w:pPr>
        <w:pStyle w:val="TAH"/>
        <w:rPr>
          <w:lang w:eastAsia="zh-CN"/>
        </w:rPr>
      </w:pPr>
      <w:r w:rsidRPr="00DB707E">
        <w:t xml:space="preserve">Table </w:t>
      </w:r>
      <w:r w:rsidRPr="00DB707E">
        <w:rPr>
          <w:lang w:eastAsia="zh-CN"/>
        </w:rPr>
        <w:t>10.1A.8.1.1</w:t>
      </w:r>
      <w:r w:rsidRPr="00DB707E">
        <w:t xml:space="preserve">-1: </w:t>
      </w:r>
      <w:r w:rsidRPr="00DB707E">
        <w:rPr>
          <w:lang w:eastAsia="zh-CN"/>
        </w:rPr>
        <w:t>SS-RSRQ</w:t>
      </w:r>
      <w:r w:rsidRPr="00DB707E">
        <w:t xml:space="preserve"> Inter frequency absolute accuracy</w:t>
      </w:r>
      <w:r w:rsidRPr="00DB707E">
        <w:rPr>
          <w:lang w:eastAsia="zh-CN"/>
        </w:rPr>
        <w:t xml:space="preserve"> </w:t>
      </w:r>
      <w:r w:rsidRPr="00DB707E">
        <w:t>for 1Rx RedCap UE</w:t>
      </w:r>
      <w:r w:rsidRPr="00DB707E">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524B77" w:rsidRPr="00DB707E" w14:paraId="4318268F" w14:textId="77777777" w:rsidTr="00430B2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2F90EE2D" w14:textId="77777777" w:rsidR="00524B77" w:rsidRPr="00DB707E" w:rsidRDefault="00524B77" w:rsidP="00430B21">
            <w:pPr>
              <w:pStyle w:val="TAH"/>
            </w:pPr>
            <w:r w:rsidRPr="00DB707E">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660E0664" w14:textId="77777777" w:rsidR="00524B77" w:rsidRPr="00DB707E" w:rsidRDefault="00524B77" w:rsidP="00430B21">
            <w:pPr>
              <w:pStyle w:val="TAH"/>
            </w:pPr>
            <w:r w:rsidRPr="00DB707E">
              <w:t>Conditions</w:t>
            </w:r>
          </w:p>
        </w:tc>
      </w:tr>
      <w:tr w:rsidR="00524B77" w:rsidRPr="00DB707E" w14:paraId="2D3B5ADF" w14:textId="77777777" w:rsidTr="00430B21">
        <w:trPr>
          <w:jc w:val="center"/>
        </w:trPr>
        <w:tc>
          <w:tcPr>
            <w:tcW w:w="1035" w:type="dxa"/>
            <w:tcBorders>
              <w:top w:val="single" w:sz="6" w:space="0" w:color="auto"/>
              <w:left w:val="single" w:sz="4" w:space="0" w:color="auto"/>
              <w:right w:val="single" w:sz="6" w:space="0" w:color="auto"/>
            </w:tcBorders>
            <w:shd w:val="clear" w:color="auto" w:fill="auto"/>
            <w:vAlign w:val="center"/>
          </w:tcPr>
          <w:p w14:paraId="108C1BF0" w14:textId="77777777" w:rsidR="00524B77" w:rsidRPr="00DB707E" w:rsidRDefault="00524B77" w:rsidP="00430B21">
            <w:pPr>
              <w:pStyle w:val="TAH"/>
            </w:pPr>
            <w:r w:rsidRPr="00DB707E">
              <w:t>Normal condition</w:t>
            </w:r>
          </w:p>
        </w:tc>
        <w:tc>
          <w:tcPr>
            <w:tcW w:w="1047" w:type="dxa"/>
            <w:tcBorders>
              <w:top w:val="single" w:sz="6" w:space="0" w:color="auto"/>
              <w:left w:val="single" w:sz="6" w:space="0" w:color="auto"/>
              <w:right w:val="single" w:sz="6" w:space="0" w:color="auto"/>
            </w:tcBorders>
            <w:shd w:val="clear" w:color="auto" w:fill="auto"/>
            <w:vAlign w:val="center"/>
          </w:tcPr>
          <w:p w14:paraId="6A186D73" w14:textId="77777777" w:rsidR="00524B77" w:rsidRPr="00DB707E" w:rsidRDefault="00524B77" w:rsidP="00430B21">
            <w:pPr>
              <w:pStyle w:val="TAH"/>
            </w:pPr>
            <w:r w:rsidRPr="00DB707E">
              <w:t>Extreme condition</w:t>
            </w:r>
          </w:p>
        </w:tc>
        <w:tc>
          <w:tcPr>
            <w:tcW w:w="802" w:type="dxa"/>
            <w:tcBorders>
              <w:top w:val="single" w:sz="6" w:space="0" w:color="auto"/>
              <w:left w:val="single" w:sz="6" w:space="0" w:color="auto"/>
              <w:right w:val="single" w:sz="6" w:space="0" w:color="auto"/>
            </w:tcBorders>
            <w:shd w:val="clear" w:color="auto" w:fill="auto"/>
            <w:vAlign w:val="center"/>
          </w:tcPr>
          <w:p w14:paraId="462BB582" w14:textId="77777777" w:rsidR="00524B77" w:rsidRPr="00DB707E" w:rsidRDefault="00524B77" w:rsidP="00430B21">
            <w:pPr>
              <w:pStyle w:val="TAH"/>
            </w:pPr>
            <w:r w:rsidRPr="00DB707E">
              <w:t>SSB Ês/Iot</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15DF292D" w14:textId="77777777" w:rsidR="00524B77" w:rsidRPr="00DB707E" w:rsidRDefault="00524B77" w:rsidP="00430B21">
            <w:pPr>
              <w:pStyle w:val="TAH"/>
            </w:pPr>
            <w:r w:rsidRPr="00DB707E">
              <w:t>Io</w:t>
            </w:r>
            <w:r w:rsidRPr="00DB707E">
              <w:rPr>
                <w:vertAlign w:val="superscript"/>
                <w:lang w:eastAsia="zh-CN"/>
              </w:rPr>
              <w:t xml:space="preserve"> Note 1</w:t>
            </w:r>
            <w:r w:rsidRPr="00DB707E">
              <w:t xml:space="preserve"> range</w:t>
            </w:r>
          </w:p>
        </w:tc>
      </w:tr>
      <w:tr w:rsidR="00524B77" w:rsidRPr="00DB707E" w14:paraId="6967E38F" w14:textId="77777777" w:rsidTr="00430B21">
        <w:trPr>
          <w:jc w:val="center"/>
        </w:trPr>
        <w:tc>
          <w:tcPr>
            <w:tcW w:w="1035" w:type="dxa"/>
            <w:tcBorders>
              <w:left w:val="single" w:sz="4" w:space="0" w:color="auto"/>
              <w:bottom w:val="single" w:sz="6" w:space="0" w:color="auto"/>
              <w:right w:val="single" w:sz="6" w:space="0" w:color="auto"/>
            </w:tcBorders>
            <w:shd w:val="clear" w:color="auto" w:fill="auto"/>
            <w:vAlign w:val="center"/>
          </w:tcPr>
          <w:p w14:paraId="5919E757" w14:textId="77777777" w:rsidR="00524B77" w:rsidRPr="00DB707E" w:rsidRDefault="00524B77" w:rsidP="00430B21">
            <w:pPr>
              <w:pStyle w:val="TAH"/>
            </w:pPr>
          </w:p>
        </w:tc>
        <w:tc>
          <w:tcPr>
            <w:tcW w:w="1047" w:type="dxa"/>
            <w:tcBorders>
              <w:left w:val="single" w:sz="6" w:space="0" w:color="auto"/>
              <w:bottom w:val="single" w:sz="6" w:space="0" w:color="auto"/>
              <w:right w:val="single" w:sz="6" w:space="0" w:color="auto"/>
            </w:tcBorders>
            <w:shd w:val="clear" w:color="auto" w:fill="auto"/>
            <w:vAlign w:val="center"/>
          </w:tcPr>
          <w:p w14:paraId="51CCD5A3" w14:textId="77777777" w:rsidR="00524B77" w:rsidRPr="00DB707E" w:rsidRDefault="00524B77" w:rsidP="00430B21">
            <w:pPr>
              <w:pStyle w:val="TAH"/>
            </w:pPr>
          </w:p>
        </w:tc>
        <w:tc>
          <w:tcPr>
            <w:tcW w:w="802" w:type="dxa"/>
            <w:tcBorders>
              <w:left w:val="single" w:sz="6" w:space="0" w:color="auto"/>
              <w:bottom w:val="single" w:sz="6" w:space="0" w:color="auto"/>
              <w:right w:val="single" w:sz="6" w:space="0" w:color="auto"/>
            </w:tcBorders>
            <w:shd w:val="clear" w:color="auto" w:fill="auto"/>
            <w:vAlign w:val="center"/>
          </w:tcPr>
          <w:p w14:paraId="3A2CB0AC" w14:textId="77777777" w:rsidR="00524B77" w:rsidRPr="00DB707E" w:rsidRDefault="00524B77" w:rsidP="00430B21">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vAlign w:val="center"/>
          </w:tcPr>
          <w:p w14:paraId="5F8283E2" w14:textId="77777777" w:rsidR="00524B77" w:rsidRPr="00DB707E" w:rsidRDefault="00524B77" w:rsidP="00430B21">
            <w:pPr>
              <w:pStyle w:val="TAH"/>
            </w:pPr>
            <w:r w:rsidRPr="00DB707E">
              <w:t>NR operating band groups</w:t>
            </w:r>
            <w:r w:rsidRPr="00DB707E">
              <w:rPr>
                <w:vertAlign w:val="superscript"/>
              </w:rPr>
              <w:t xml:space="preserve"> </w:t>
            </w:r>
            <w:r w:rsidRPr="00DB707E">
              <w:rPr>
                <w:vertAlign w:val="superscript"/>
                <w:lang w:eastAsia="zh-CN"/>
              </w:rPr>
              <w:t>Note 3</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2D0A674B"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3297B32" w14:textId="77777777" w:rsidR="00524B77" w:rsidRPr="00DB707E" w:rsidRDefault="00524B77" w:rsidP="00430B21">
            <w:pPr>
              <w:pStyle w:val="TAH"/>
            </w:pPr>
            <w:r w:rsidRPr="00DB707E">
              <w:t>Maximum Io</w:t>
            </w:r>
          </w:p>
        </w:tc>
      </w:tr>
      <w:tr w:rsidR="00524B77" w:rsidRPr="00DB707E" w14:paraId="24B01949" w14:textId="77777777" w:rsidTr="00430B21">
        <w:trPr>
          <w:trHeight w:val="308"/>
          <w:jc w:val="center"/>
        </w:trPr>
        <w:tc>
          <w:tcPr>
            <w:tcW w:w="1035" w:type="dxa"/>
            <w:tcBorders>
              <w:top w:val="single" w:sz="6" w:space="0" w:color="auto"/>
              <w:left w:val="single" w:sz="4" w:space="0" w:color="auto"/>
              <w:right w:val="single" w:sz="6" w:space="0" w:color="auto"/>
            </w:tcBorders>
            <w:shd w:val="clear" w:color="auto" w:fill="auto"/>
          </w:tcPr>
          <w:p w14:paraId="5191E035" w14:textId="77777777" w:rsidR="00524B77" w:rsidRPr="00DB707E" w:rsidRDefault="00524B77" w:rsidP="00430B21">
            <w:pPr>
              <w:pStyle w:val="TAH"/>
            </w:pPr>
            <w:r w:rsidRPr="00DB707E">
              <w:t>dB</w:t>
            </w:r>
          </w:p>
        </w:tc>
        <w:tc>
          <w:tcPr>
            <w:tcW w:w="1047" w:type="dxa"/>
            <w:tcBorders>
              <w:top w:val="single" w:sz="6" w:space="0" w:color="auto"/>
              <w:left w:val="single" w:sz="6" w:space="0" w:color="auto"/>
              <w:right w:val="single" w:sz="6" w:space="0" w:color="auto"/>
            </w:tcBorders>
            <w:shd w:val="clear" w:color="auto" w:fill="auto"/>
          </w:tcPr>
          <w:p w14:paraId="64533A60" w14:textId="77777777" w:rsidR="00524B77" w:rsidRPr="00DB707E" w:rsidRDefault="00524B77" w:rsidP="00430B21">
            <w:pPr>
              <w:pStyle w:val="TAH"/>
            </w:pPr>
            <w:r w:rsidRPr="00DB707E">
              <w:t>dB</w:t>
            </w:r>
          </w:p>
        </w:tc>
        <w:tc>
          <w:tcPr>
            <w:tcW w:w="802" w:type="dxa"/>
            <w:tcBorders>
              <w:top w:val="single" w:sz="6" w:space="0" w:color="auto"/>
              <w:left w:val="single" w:sz="6" w:space="0" w:color="auto"/>
              <w:right w:val="single" w:sz="6" w:space="0" w:color="auto"/>
            </w:tcBorders>
            <w:shd w:val="clear" w:color="auto" w:fill="auto"/>
          </w:tcPr>
          <w:p w14:paraId="67F36F02" w14:textId="77777777" w:rsidR="00524B77" w:rsidRPr="00DB707E" w:rsidRDefault="00524B77" w:rsidP="00430B21">
            <w:pPr>
              <w:pStyle w:val="TAH"/>
            </w:pPr>
            <w:r w:rsidRPr="00DB707E">
              <w:t>dB</w:t>
            </w:r>
          </w:p>
        </w:tc>
        <w:tc>
          <w:tcPr>
            <w:tcW w:w="2298" w:type="dxa"/>
            <w:tcBorders>
              <w:top w:val="single" w:sz="6" w:space="0" w:color="auto"/>
              <w:left w:val="single" w:sz="6" w:space="0" w:color="auto"/>
              <w:right w:val="single" w:sz="4" w:space="0" w:color="auto"/>
            </w:tcBorders>
            <w:shd w:val="clear" w:color="auto" w:fill="auto"/>
          </w:tcPr>
          <w:p w14:paraId="00F67C6B" w14:textId="77777777" w:rsidR="00524B77" w:rsidRPr="00DB707E" w:rsidRDefault="00524B77" w:rsidP="00430B21">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0B0FBC70"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75BCC491"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65CDD6A3" w14:textId="77777777" w:rsidR="00524B77" w:rsidRPr="00DB707E" w:rsidRDefault="00524B77" w:rsidP="00430B21">
            <w:pPr>
              <w:pStyle w:val="TAH"/>
            </w:pPr>
            <w:r w:rsidRPr="00DB707E">
              <w:t>dBm/BW</w:t>
            </w:r>
            <w:r w:rsidRPr="00DB707E">
              <w:rPr>
                <w:vertAlign w:val="subscript"/>
              </w:rPr>
              <w:t>Channel</w:t>
            </w:r>
          </w:p>
        </w:tc>
      </w:tr>
      <w:tr w:rsidR="00524B77" w:rsidRPr="00DB707E" w14:paraId="0C0FB494" w14:textId="77777777" w:rsidTr="00430B21">
        <w:trPr>
          <w:trHeight w:val="307"/>
          <w:jc w:val="center"/>
        </w:trPr>
        <w:tc>
          <w:tcPr>
            <w:tcW w:w="1035" w:type="dxa"/>
            <w:tcBorders>
              <w:left w:val="single" w:sz="4" w:space="0" w:color="auto"/>
              <w:bottom w:val="single" w:sz="6" w:space="0" w:color="auto"/>
              <w:right w:val="single" w:sz="6" w:space="0" w:color="auto"/>
            </w:tcBorders>
            <w:shd w:val="clear" w:color="auto" w:fill="auto"/>
          </w:tcPr>
          <w:p w14:paraId="12C6D8D8" w14:textId="77777777" w:rsidR="00524B77" w:rsidRPr="00DB707E" w:rsidRDefault="00524B77" w:rsidP="00430B21">
            <w:pPr>
              <w:pStyle w:val="TAH"/>
            </w:pPr>
          </w:p>
        </w:tc>
        <w:tc>
          <w:tcPr>
            <w:tcW w:w="1047" w:type="dxa"/>
            <w:tcBorders>
              <w:left w:val="single" w:sz="6" w:space="0" w:color="auto"/>
              <w:bottom w:val="single" w:sz="6" w:space="0" w:color="auto"/>
              <w:right w:val="single" w:sz="6" w:space="0" w:color="auto"/>
            </w:tcBorders>
            <w:shd w:val="clear" w:color="auto" w:fill="auto"/>
          </w:tcPr>
          <w:p w14:paraId="71798958" w14:textId="77777777" w:rsidR="00524B77" w:rsidRPr="00DB707E" w:rsidRDefault="00524B77" w:rsidP="00430B21">
            <w:pPr>
              <w:pStyle w:val="TAH"/>
            </w:pPr>
          </w:p>
        </w:tc>
        <w:tc>
          <w:tcPr>
            <w:tcW w:w="802" w:type="dxa"/>
            <w:tcBorders>
              <w:left w:val="single" w:sz="6" w:space="0" w:color="auto"/>
              <w:bottom w:val="single" w:sz="6" w:space="0" w:color="auto"/>
              <w:right w:val="single" w:sz="6" w:space="0" w:color="auto"/>
            </w:tcBorders>
            <w:shd w:val="clear" w:color="auto" w:fill="auto"/>
          </w:tcPr>
          <w:p w14:paraId="5E96DB9E" w14:textId="77777777" w:rsidR="00524B77" w:rsidRPr="00DB707E" w:rsidRDefault="00524B77" w:rsidP="00430B21">
            <w:pPr>
              <w:pStyle w:val="TAH"/>
            </w:pPr>
          </w:p>
        </w:tc>
        <w:tc>
          <w:tcPr>
            <w:tcW w:w="2298" w:type="dxa"/>
            <w:tcBorders>
              <w:left w:val="single" w:sz="6" w:space="0" w:color="auto"/>
              <w:bottom w:val="single" w:sz="6" w:space="0" w:color="auto"/>
              <w:right w:val="single" w:sz="4" w:space="0" w:color="auto"/>
            </w:tcBorders>
            <w:shd w:val="clear" w:color="auto" w:fill="auto"/>
          </w:tcPr>
          <w:p w14:paraId="5C7436E8" w14:textId="77777777" w:rsidR="00524B77" w:rsidRPr="00DB707E" w:rsidRDefault="00524B77" w:rsidP="00430B2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16B3B71"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9D46419"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2410EB46"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381EAE41" w14:textId="77777777" w:rsidR="00524B77" w:rsidRPr="00DB707E" w:rsidRDefault="00524B77" w:rsidP="00430B21">
            <w:pPr>
              <w:pStyle w:val="TAH"/>
            </w:pPr>
          </w:p>
        </w:tc>
      </w:tr>
      <w:tr w:rsidR="00524B77" w:rsidRPr="00DB707E" w14:paraId="34143965" w14:textId="77777777" w:rsidTr="00430B21">
        <w:trPr>
          <w:jc w:val="center"/>
        </w:trPr>
        <w:tc>
          <w:tcPr>
            <w:tcW w:w="1035" w:type="dxa"/>
            <w:tcBorders>
              <w:top w:val="single" w:sz="6" w:space="0" w:color="auto"/>
              <w:left w:val="single" w:sz="4" w:space="0" w:color="auto"/>
              <w:right w:val="single" w:sz="6" w:space="0" w:color="auto"/>
            </w:tcBorders>
            <w:shd w:val="clear" w:color="auto" w:fill="auto"/>
          </w:tcPr>
          <w:p w14:paraId="518F57BF" w14:textId="77777777" w:rsidR="00524B77" w:rsidRPr="00DB707E" w:rsidRDefault="00524B77" w:rsidP="00430B21">
            <w:pPr>
              <w:pStyle w:val="TAC"/>
            </w:pPr>
          </w:p>
        </w:tc>
        <w:tc>
          <w:tcPr>
            <w:tcW w:w="1047" w:type="dxa"/>
            <w:tcBorders>
              <w:top w:val="single" w:sz="6" w:space="0" w:color="auto"/>
              <w:left w:val="single" w:sz="6" w:space="0" w:color="auto"/>
              <w:right w:val="single" w:sz="6" w:space="0" w:color="auto"/>
            </w:tcBorders>
            <w:shd w:val="clear" w:color="auto" w:fill="auto"/>
          </w:tcPr>
          <w:p w14:paraId="03262D41" w14:textId="77777777" w:rsidR="00524B77" w:rsidRPr="00DB707E" w:rsidRDefault="00524B77" w:rsidP="00430B21">
            <w:pPr>
              <w:pStyle w:val="TAC"/>
            </w:pPr>
          </w:p>
        </w:tc>
        <w:tc>
          <w:tcPr>
            <w:tcW w:w="802" w:type="dxa"/>
            <w:tcBorders>
              <w:top w:val="single" w:sz="6" w:space="0" w:color="auto"/>
              <w:left w:val="single" w:sz="6" w:space="0" w:color="auto"/>
              <w:right w:val="single" w:sz="6" w:space="0" w:color="auto"/>
            </w:tcBorders>
            <w:shd w:val="clear" w:color="auto" w:fill="auto"/>
          </w:tcPr>
          <w:p w14:paraId="6AA2DB8C"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4CD67E7" w14:textId="77777777" w:rsidR="00524B77" w:rsidRPr="00DB707E" w:rsidRDefault="00524B77" w:rsidP="00430B21">
            <w:pPr>
              <w:pStyle w:val="TAC"/>
            </w:pPr>
            <w:r w:rsidRPr="00DB707E">
              <w:t>NR_FDD_FR1_A, NR_TDD_FR1_A,</w:t>
            </w:r>
          </w:p>
          <w:p w14:paraId="5717AB75" w14:textId="77777777" w:rsidR="00524B77" w:rsidRPr="00DB707E" w:rsidRDefault="00524B77" w:rsidP="00430B21">
            <w:pPr>
              <w:pStyle w:val="TAC"/>
            </w:pPr>
            <w:r w:rsidRPr="00DB707E">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2199D97" w14:textId="77777777" w:rsidR="00524B77" w:rsidRPr="00DB707E" w:rsidRDefault="00524B77" w:rsidP="00430B21">
            <w:pPr>
              <w:pStyle w:val="TAC"/>
            </w:pPr>
            <w:r w:rsidRPr="00DB707E">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BBF8DE2" w14:textId="77777777" w:rsidR="00524B77" w:rsidRPr="00DB707E" w:rsidRDefault="00524B77" w:rsidP="00430B21">
            <w:pPr>
              <w:pStyle w:val="TAC"/>
              <w:rPr>
                <w:rFonts w:cs="Arial"/>
              </w:rPr>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EB303C0"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4A39EEA" w14:textId="77777777" w:rsidR="00524B77" w:rsidRPr="00DB707E" w:rsidRDefault="00524B77" w:rsidP="00430B21">
            <w:pPr>
              <w:pStyle w:val="TAC"/>
            </w:pPr>
            <w:r w:rsidRPr="00DB707E">
              <w:t>-50</w:t>
            </w:r>
          </w:p>
        </w:tc>
      </w:tr>
      <w:tr w:rsidR="00524B77" w:rsidRPr="00DB707E" w14:paraId="6230B395" w14:textId="77777777" w:rsidTr="00430B21">
        <w:trPr>
          <w:jc w:val="center"/>
        </w:trPr>
        <w:tc>
          <w:tcPr>
            <w:tcW w:w="1035" w:type="dxa"/>
            <w:tcBorders>
              <w:left w:val="single" w:sz="4" w:space="0" w:color="auto"/>
              <w:right w:val="single" w:sz="6" w:space="0" w:color="auto"/>
            </w:tcBorders>
            <w:shd w:val="clear" w:color="auto" w:fill="auto"/>
          </w:tcPr>
          <w:p w14:paraId="06EAAEFD"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7447C479"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00494860"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66A4C71" w14:textId="77777777" w:rsidR="00524B77" w:rsidRPr="00DB707E" w:rsidRDefault="00524B77" w:rsidP="00430B21">
            <w:pPr>
              <w:pStyle w:val="TAC"/>
            </w:pPr>
            <w:r w:rsidRPr="00DB707E">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7033C0F" w14:textId="77777777" w:rsidR="00524B77" w:rsidRPr="00DB707E" w:rsidRDefault="00524B77" w:rsidP="00430B21">
            <w:pPr>
              <w:pStyle w:val="TAC"/>
            </w:pPr>
            <w:r w:rsidRPr="00DB707E">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223C55A" w14:textId="77777777" w:rsidR="00524B77" w:rsidRPr="00DB707E" w:rsidRDefault="00524B77" w:rsidP="00430B21">
            <w:pPr>
              <w:pStyle w:val="TAC"/>
              <w:rPr>
                <w:rFonts w:cs="Arial"/>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156D8AE"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BC3661A" w14:textId="77777777" w:rsidR="00524B77" w:rsidRPr="00DB707E" w:rsidRDefault="00524B77" w:rsidP="00430B21">
            <w:pPr>
              <w:pStyle w:val="TAC"/>
            </w:pPr>
            <w:r w:rsidRPr="00DB707E">
              <w:t>-50</w:t>
            </w:r>
          </w:p>
        </w:tc>
      </w:tr>
      <w:tr w:rsidR="00524B77" w:rsidRPr="00DB707E" w14:paraId="5D57EEF0" w14:textId="77777777" w:rsidTr="00430B21">
        <w:trPr>
          <w:jc w:val="center"/>
        </w:trPr>
        <w:tc>
          <w:tcPr>
            <w:tcW w:w="1035" w:type="dxa"/>
            <w:tcBorders>
              <w:left w:val="single" w:sz="4" w:space="0" w:color="auto"/>
              <w:right w:val="single" w:sz="6" w:space="0" w:color="auto"/>
            </w:tcBorders>
            <w:shd w:val="clear" w:color="auto" w:fill="auto"/>
          </w:tcPr>
          <w:p w14:paraId="0166478E"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4BD3BFB1"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156DD07B"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0E3C232" w14:textId="77777777" w:rsidR="00524B77" w:rsidRPr="00DB707E" w:rsidRDefault="00524B77" w:rsidP="00430B21">
            <w:pPr>
              <w:pStyle w:val="TAC"/>
            </w:pPr>
            <w:r w:rsidRPr="00DB707E">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C9DC4E4" w14:textId="77777777" w:rsidR="00524B77" w:rsidRPr="00DB707E" w:rsidRDefault="00524B77" w:rsidP="00430B21">
            <w:pPr>
              <w:pStyle w:val="TAC"/>
            </w:pPr>
            <w:r w:rsidRPr="00DB707E">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B9738AB" w14:textId="77777777" w:rsidR="00524B77" w:rsidRPr="00DB707E" w:rsidRDefault="00524B77" w:rsidP="00430B21">
            <w:pPr>
              <w:pStyle w:val="TAC"/>
              <w:rPr>
                <w:rFonts w:cs="Arial"/>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365C9CB"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2FB4A22" w14:textId="77777777" w:rsidR="00524B77" w:rsidRPr="00DB707E" w:rsidRDefault="00524B77" w:rsidP="00430B21">
            <w:pPr>
              <w:pStyle w:val="TAC"/>
            </w:pPr>
            <w:r w:rsidRPr="00DB707E">
              <w:t>-50</w:t>
            </w:r>
          </w:p>
        </w:tc>
      </w:tr>
      <w:tr w:rsidR="00524B77" w:rsidRPr="00DB707E" w14:paraId="155D2E53" w14:textId="77777777" w:rsidTr="00430B21">
        <w:trPr>
          <w:jc w:val="center"/>
        </w:trPr>
        <w:tc>
          <w:tcPr>
            <w:tcW w:w="1035" w:type="dxa"/>
            <w:tcBorders>
              <w:left w:val="single" w:sz="4" w:space="0" w:color="auto"/>
              <w:right w:val="single" w:sz="6" w:space="0" w:color="auto"/>
            </w:tcBorders>
            <w:shd w:val="clear" w:color="auto" w:fill="auto"/>
          </w:tcPr>
          <w:p w14:paraId="11765F4E" w14:textId="77777777" w:rsidR="00524B77" w:rsidRPr="00DB707E" w:rsidRDefault="00524B77" w:rsidP="00430B21">
            <w:pPr>
              <w:pStyle w:val="TAC"/>
            </w:pPr>
            <w:r w:rsidRPr="00DB707E">
              <w:sym w:font="Symbol" w:char="F0B1"/>
            </w:r>
            <w:r w:rsidRPr="00DB707E">
              <w:t>3.5</w:t>
            </w:r>
          </w:p>
        </w:tc>
        <w:tc>
          <w:tcPr>
            <w:tcW w:w="1047" w:type="dxa"/>
            <w:tcBorders>
              <w:left w:val="single" w:sz="6" w:space="0" w:color="auto"/>
              <w:right w:val="single" w:sz="6" w:space="0" w:color="auto"/>
            </w:tcBorders>
            <w:shd w:val="clear" w:color="auto" w:fill="auto"/>
          </w:tcPr>
          <w:p w14:paraId="0532FF51" w14:textId="77777777" w:rsidR="00524B77" w:rsidRPr="00DB707E" w:rsidRDefault="00524B77" w:rsidP="00430B21">
            <w:pPr>
              <w:pStyle w:val="TAC"/>
            </w:pPr>
            <w:r w:rsidRPr="00DB707E">
              <w:sym w:font="Symbol" w:char="F0B1"/>
            </w:r>
            <w:r w:rsidRPr="00DB707E">
              <w:t>5</w:t>
            </w:r>
          </w:p>
        </w:tc>
        <w:tc>
          <w:tcPr>
            <w:tcW w:w="802" w:type="dxa"/>
            <w:tcBorders>
              <w:left w:val="single" w:sz="6" w:space="0" w:color="auto"/>
              <w:right w:val="single" w:sz="6" w:space="0" w:color="auto"/>
            </w:tcBorders>
            <w:shd w:val="clear" w:color="auto" w:fill="auto"/>
          </w:tcPr>
          <w:p w14:paraId="107980F3" w14:textId="77777777" w:rsidR="00524B77" w:rsidRPr="00DB707E" w:rsidRDefault="00524B77" w:rsidP="00430B21">
            <w:pPr>
              <w:pStyle w:val="TAC"/>
            </w:pPr>
            <w:r w:rsidRPr="00DB707E">
              <w:sym w:font="Symbol" w:char="F0B3"/>
            </w:r>
            <w:r w:rsidRPr="00DB707E">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054986F" w14:textId="77777777" w:rsidR="00524B77" w:rsidRPr="00DB707E" w:rsidRDefault="00524B77" w:rsidP="00430B21">
            <w:pPr>
              <w:pStyle w:val="TAC"/>
              <w:rPr>
                <w:lang w:val="sv-SE"/>
              </w:rPr>
            </w:pPr>
            <w:r w:rsidRPr="00DB707E">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868AFF7" w14:textId="77777777" w:rsidR="00524B77" w:rsidRPr="00DB707E" w:rsidRDefault="00524B77" w:rsidP="00430B21">
            <w:pPr>
              <w:pStyle w:val="TAC"/>
            </w:pPr>
            <w:r w:rsidRPr="00DB707E">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333882D" w14:textId="77777777" w:rsidR="00524B77" w:rsidRPr="00DB707E" w:rsidRDefault="00524B77" w:rsidP="00430B21">
            <w:pPr>
              <w:pStyle w:val="TAC"/>
              <w:rPr>
                <w:rFonts w:cs="Arial"/>
              </w:rPr>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AFBD9F9"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AE60510" w14:textId="77777777" w:rsidR="00524B77" w:rsidRPr="00DB707E" w:rsidRDefault="00524B77" w:rsidP="00430B21">
            <w:pPr>
              <w:pStyle w:val="TAC"/>
            </w:pPr>
            <w:r w:rsidRPr="00DB707E">
              <w:t>-50</w:t>
            </w:r>
          </w:p>
        </w:tc>
      </w:tr>
      <w:tr w:rsidR="00524B77" w:rsidRPr="00DB707E" w14:paraId="523CD047" w14:textId="77777777" w:rsidTr="00430B21">
        <w:trPr>
          <w:jc w:val="center"/>
        </w:trPr>
        <w:tc>
          <w:tcPr>
            <w:tcW w:w="1035" w:type="dxa"/>
            <w:tcBorders>
              <w:left w:val="single" w:sz="4" w:space="0" w:color="auto"/>
              <w:right w:val="single" w:sz="6" w:space="0" w:color="auto"/>
            </w:tcBorders>
            <w:shd w:val="clear" w:color="auto" w:fill="auto"/>
          </w:tcPr>
          <w:p w14:paraId="32C6F534"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15B99792"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0BF8810D"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77B8E5D" w14:textId="77777777" w:rsidR="00524B77" w:rsidRPr="00DB707E" w:rsidDel="00836998" w:rsidRDefault="00524B77" w:rsidP="00430B21">
            <w:pPr>
              <w:pStyle w:val="TAC"/>
              <w:rPr>
                <w:lang w:val="sv-SE"/>
              </w:rPr>
            </w:pPr>
            <w:r w:rsidRPr="00DB707E">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A1159EE" w14:textId="77777777" w:rsidR="00524B77" w:rsidRPr="00DB707E" w:rsidRDefault="00524B77" w:rsidP="00430B21">
            <w:pPr>
              <w:pStyle w:val="TAC"/>
            </w:pPr>
            <w:r w:rsidRPr="00DB707E">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6B3D8A0" w14:textId="77777777" w:rsidR="00524B77" w:rsidRPr="00DB707E" w:rsidRDefault="00524B77" w:rsidP="00430B21">
            <w:pPr>
              <w:pStyle w:val="TAC"/>
              <w:rPr>
                <w:rFonts w:cs="Arial"/>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C8A51CE"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1714A50" w14:textId="77777777" w:rsidR="00524B77" w:rsidRPr="00DB707E" w:rsidRDefault="00524B77" w:rsidP="00430B21">
            <w:pPr>
              <w:pStyle w:val="TAC"/>
            </w:pPr>
            <w:r w:rsidRPr="00DB707E">
              <w:t>-50</w:t>
            </w:r>
          </w:p>
        </w:tc>
      </w:tr>
      <w:tr w:rsidR="00524B77" w:rsidRPr="00DB707E" w14:paraId="7B8A8646" w14:textId="77777777" w:rsidTr="00430B21">
        <w:trPr>
          <w:jc w:val="center"/>
        </w:trPr>
        <w:tc>
          <w:tcPr>
            <w:tcW w:w="1035" w:type="dxa"/>
            <w:tcBorders>
              <w:left w:val="single" w:sz="4" w:space="0" w:color="auto"/>
              <w:right w:val="single" w:sz="6" w:space="0" w:color="auto"/>
            </w:tcBorders>
            <w:shd w:val="clear" w:color="auto" w:fill="auto"/>
          </w:tcPr>
          <w:p w14:paraId="020F1F3F"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192E5322"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21380F61"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EB2C66A" w14:textId="77777777" w:rsidR="00524B77" w:rsidRPr="00DB707E" w:rsidRDefault="00524B77" w:rsidP="00430B21">
            <w:pPr>
              <w:pStyle w:val="TAC"/>
              <w:rPr>
                <w:lang w:val="sv-SE"/>
              </w:rPr>
            </w:pPr>
            <w:r w:rsidRPr="00DB707E">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B72C9F8" w14:textId="77777777" w:rsidR="00524B77" w:rsidRPr="00DB707E" w:rsidRDefault="00524B77" w:rsidP="00430B21">
            <w:pPr>
              <w:pStyle w:val="TAC"/>
            </w:pPr>
            <w:r w:rsidRPr="00DB707E">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DBAF380"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81C6F7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5EDB6CC" w14:textId="77777777" w:rsidR="00524B77" w:rsidRPr="00DB707E" w:rsidRDefault="00524B77" w:rsidP="00430B21">
            <w:pPr>
              <w:pStyle w:val="TAC"/>
            </w:pPr>
            <w:r w:rsidRPr="00DB707E">
              <w:t>-50</w:t>
            </w:r>
          </w:p>
        </w:tc>
      </w:tr>
      <w:tr w:rsidR="00524B77" w:rsidRPr="00DB707E" w14:paraId="35FB5953" w14:textId="77777777" w:rsidTr="00430B21">
        <w:trPr>
          <w:jc w:val="center"/>
        </w:trPr>
        <w:tc>
          <w:tcPr>
            <w:tcW w:w="1035" w:type="dxa"/>
            <w:tcBorders>
              <w:left w:val="single" w:sz="4" w:space="0" w:color="auto"/>
              <w:right w:val="single" w:sz="6" w:space="0" w:color="auto"/>
            </w:tcBorders>
            <w:shd w:val="clear" w:color="auto" w:fill="auto"/>
          </w:tcPr>
          <w:p w14:paraId="0C4E274A"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2D45FF1A"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71584B47"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634CE3E5"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7CFA0D6" w14:textId="77777777" w:rsidR="00524B77" w:rsidRPr="00DB707E" w:rsidRDefault="00524B77" w:rsidP="00430B21">
            <w:pPr>
              <w:pStyle w:val="TAC"/>
            </w:pPr>
            <w:r w:rsidRPr="00DB707E">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359E0A6"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A0C0EE7"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BA4A283" w14:textId="77777777" w:rsidR="00524B77" w:rsidRPr="00DB707E" w:rsidRDefault="00524B77" w:rsidP="00430B21">
            <w:pPr>
              <w:pStyle w:val="TAC"/>
            </w:pPr>
            <w:r w:rsidRPr="00DB707E">
              <w:t>-50</w:t>
            </w:r>
          </w:p>
        </w:tc>
      </w:tr>
      <w:tr w:rsidR="00524B77" w:rsidRPr="00DB707E" w14:paraId="5010BB7A" w14:textId="77777777" w:rsidTr="00430B21">
        <w:trPr>
          <w:jc w:val="center"/>
        </w:trPr>
        <w:tc>
          <w:tcPr>
            <w:tcW w:w="1035" w:type="dxa"/>
            <w:tcBorders>
              <w:left w:val="single" w:sz="4" w:space="0" w:color="auto"/>
              <w:right w:val="single" w:sz="6" w:space="0" w:color="auto"/>
            </w:tcBorders>
            <w:shd w:val="clear" w:color="auto" w:fill="auto"/>
          </w:tcPr>
          <w:p w14:paraId="069EA7E9"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0F9C588F"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7BFE214A"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F500EB0"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D506B0E" w14:textId="77777777" w:rsidR="00524B77" w:rsidRPr="00DB707E" w:rsidRDefault="00524B77" w:rsidP="00430B21">
            <w:pPr>
              <w:pStyle w:val="TAC"/>
            </w:pPr>
            <w:r w:rsidRPr="00DB707E">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127A7E4"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960AB5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C994C4B" w14:textId="77777777" w:rsidR="00524B77" w:rsidRPr="00DB707E" w:rsidRDefault="00524B77" w:rsidP="00430B21">
            <w:pPr>
              <w:pStyle w:val="TAC"/>
            </w:pPr>
            <w:r w:rsidRPr="00DB707E">
              <w:t>-50</w:t>
            </w:r>
          </w:p>
        </w:tc>
      </w:tr>
      <w:tr w:rsidR="00524B77" w:rsidRPr="00DB707E" w14:paraId="61933176" w14:textId="77777777" w:rsidTr="00430B21">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2CF51642" w14:textId="77777777" w:rsidR="00524B77" w:rsidRPr="00DB707E" w:rsidRDefault="00524B77" w:rsidP="00430B21">
            <w:pPr>
              <w:pStyle w:val="TAC"/>
            </w:pPr>
            <w:r w:rsidRPr="00DB707E">
              <w:sym w:font="Symbol" w:char="F0B1"/>
            </w:r>
            <w:r w:rsidRPr="00DB707E">
              <w:t>4.5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51639AC5" w14:textId="77777777" w:rsidR="00524B77" w:rsidRPr="00DB707E" w:rsidRDefault="00524B77" w:rsidP="00430B21">
            <w:pPr>
              <w:pStyle w:val="TAC"/>
            </w:pPr>
            <w:r w:rsidRPr="00DB707E">
              <w:sym w:font="Symbol" w:char="F0B1"/>
            </w:r>
            <w:r w:rsidRPr="00DB707E">
              <w:t>5</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75356BA1" w14:textId="77777777" w:rsidR="00524B77" w:rsidRPr="00DB707E" w:rsidRDefault="00524B77" w:rsidP="00430B21">
            <w:pPr>
              <w:pStyle w:val="TAC"/>
            </w:pPr>
            <w:r w:rsidRPr="00DB707E">
              <w:sym w:font="Symbol" w:char="F0B3"/>
            </w:r>
            <w:r w:rsidRPr="00DB707E">
              <w:t>-</w:t>
            </w:r>
            <w:r w:rsidRPr="00DB707E">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D6EE731" w14:textId="77777777" w:rsidR="00524B77" w:rsidRPr="00DB707E" w:rsidRDefault="00524B77" w:rsidP="00430B21">
            <w:pPr>
              <w:pStyle w:val="TAC"/>
            </w:pPr>
            <w:r w:rsidRPr="00DB707E">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42A80543" w14:textId="77777777" w:rsidR="00524B77" w:rsidRPr="00DB707E" w:rsidRDefault="00524B77" w:rsidP="00430B21">
            <w:pPr>
              <w:pStyle w:val="TAC"/>
            </w:pPr>
            <w:r w:rsidRPr="00DB707E">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42DEB99A" w14:textId="77777777" w:rsidR="00524B77" w:rsidRPr="00DB707E" w:rsidRDefault="00524B77" w:rsidP="00430B21">
            <w:pPr>
              <w:pStyle w:val="TAC"/>
              <w:rPr>
                <w:lang w:eastAsia="zh-CN"/>
              </w:rPr>
            </w:pPr>
            <w:r w:rsidRPr="00DB707E">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75830FC0" w14:textId="77777777" w:rsidR="00524B77" w:rsidRPr="00DB707E" w:rsidRDefault="00524B77" w:rsidP="00430B21">
            <w:pPr>
              <w:pStyle w:val="TAC"/>
            </w:pPr>
            <w:r w:rsidRPr="00DB707E">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40002B8A" w14:textId="77777777" w:rsidR="00524B77" w:rsidRPr="00DB707E" w:rsidRDefault="00524B77" w:rsidP="00430B21">
            <w:pPr>
              <w:pStyle w:val="TAC"/>
            </w:pPr>
            <w:r w:rsidRPr="00DB707E">
              <w:t>Note 2</w:t>
            </w:r>
          </w:p>
        </w:tc>
      </w:tr>
      <w:tr w:rsidR="00524B77" w:rsidRPr="00DB707E" w14:paraId="51BB16A4"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66DD5E05" w14:textId="77777777" w:rsidR="00524B77" w:rsidRPr="00DB707E" w:rsidRDefault="00524B77" w:rsidP="00430B21">
            <w:pPr>
              <w:pStyle w:val="TAN"/>
            </w:pPr>
            <w:r w:rsidRPr="00DB707E">
              <w:t>NOTE 1:</w:t>
            </w:r>
            <w:r w:rsidRPr="00DB707E">
              <w:tab/>
              <w:t>Io is assumed to have constant EPRE across the bandwidth.</w:t>
            </w:r>
          </w:p>
          <w:p w14:paraId="556CE412" w14:textId="77777777" w:rsidR="00524B77" w:rsidRPr="00DB707E" w:rsidRDefault="00524B77" w:rsidP="00430B21">
            <w:pPr>
              <w:pStyle w:val="TAN"/>
              <w:rPr>
                <w:rFonts w:cs="Arial"/>
              </w:rPr>
            </w:pPr>
            <w:r w:rsidRPr="00DB707E">
              <w:rPr>
                <w:rFonts w:cs="Arial"/>
              </w:rPr>
              <w:t>N</w:t>
            </w:r>
            <w:r w:rsidRPr="00DB707E">
              <w:rPr>
                <w:rFonts w:cs="Arial"/>
                <w:lang w:eastAsia="zh-CN"/>
              </w:rPr>
              <w:t>OTE</w:t>
            </w:r>
            <w:r w:rsidRPr="00DB707E">
              <w:rPr>
                <w:rFonts w:cs="Arial"/>
              </w:rPr>
              <w:t xml:space="preserve"> 2:</w:t>
            </w:r>
            <w:r w:rsidRPr="00DB707E">
              <w:rPr>
                <w:rFonts w:cs="Arial"/>
              </w:rPr>
              <w:tab/>
              <w:t>The same bands and the same Io conditions for each band apply for this requirement as for the corresponding highest accuracy requirement.</w:t>
            </w:r>
          </w:p>
          <w:p w14:paraId="4D7662DA" w14:textId="77777777" w:rsidR="00524B77" w:rsidRPr="00DB707E" w:rsidRDefault="00524B77" w:rsidP="00430B21">
            <w:pPr>
              <w:pStyle w:val="TAN"/>
            </w:pPr>
            <w:r w:rsidRPr="00DB707E">
              <w:t>NOTE 3:</w:t>
            </w:r>
            <w:r w:rsidRPr="00DB707E">
              <w:tab/>
              <w:t>NR operating band groups in FR1 are as defined in clause 3.5.2.</w:t>
            </w:r>
          </w:p>
        </w:tc>
      </w:tr>
    </w:tbl>
    <w:p w14:paraId="11607C6E" w14:textId="77777777" w:rsidR="00524B77" w:rsidRPr="00DB707E" w:rsidRDefault="00524B77" w:rsidP="00524B77">
      <w:pPr>
        <w:rPr>
          <w:lang w:eastAsia="zh-CN"/>
        </w:rPr>
      </w:pPr>
    </w:p>
    <w:p w14:paraId="3D923C30" w14:textId="77777777" w:rsidR="00524B77" w:rsidRPr="00DB707E" w:rsidRDefault="00524B77" w:rsidP="00524B77">
      <w:pPr>
        <w:pStyle w:val="Heading5"/>
      </w:pPr>
      <w:r w:rsidRPr="00DB707E">
        <w:rPr>
          <w:lang w:eastAsia="zh-CN"/>
        </w:rPr>
        <w:t>10.</w:t>
      </w:r>
      <w:r w:rsidRPr="00DB707E">
        <w:t>1A</w:t>
      </w:r>
      <w:r w:rsidRPr="00DB707E">
        <w:rPr>
          <w:lang w:eastAsia="zh-CN"/>
        </w:rPr>
        <w:t>.8.1.2</w:t>
      </w:r>
      <w:r w:rsidRPr="00DB707E">
        <w:tab/>
        <w:t xml:space="preserve">Relative Accuracy of </w:t>
      </w:r>
      <w:r w:rsidRPr="00DB707E">
        <w:rPr>
          <w:lang w:eastAsia="zh-CN"/>
        </w:rPr>
        <w:t>SS-RSRQ</w:t>
      </w:r>
      <w:r w:rsidRPr="00DB707E">
        <w:t xml:space="preserve"> in FR1</w:t>
      </w:r>
    </w:p>
    <w:p w14:paraId="2E1BC811" w14:textId="77777777" w:rsidR="00524B77" w:rsidRPr="00DB707E" w:rsidRDefault="00524B77" w:rsidP="00524B77">
      <w:pPr>
        <w:rPr>
          <w:rFonts w:cs="v4.2.0"/>
        </w:rPr>
      </w:pPr>
      <w:r w:rsidRPr="00DB707E">
        <w:rPr>
          <w:rFonts w:cs="v4.2.0"/>
        </w:rPr>
        <w:t xml:space="preserve">The accuracy requirements in clause </w:t>
      </w:r>
      <w:r w:rsidRPr="00DB707E">
        <w:rPr>
          <w:lang w:eastAsia="zh-CN"/>
        </w:rPr>
        <w:t>10.</w:t>
      </w:r>
      <w:r w:rsidRPr="00DB707E">
        <w:t>1</w:t>
      </w:r>
      <w:r w:rsidRPr="00DB707E">
        <w:rPr>
          <w:lang w:eastAsia="zh-CN"/>
        </w:rPr>
        <w:t>.9.1.2</w:t>
      </w:r>
      <w:r w:rsidRPr="00DB707E">
        <w:rPr>
          <w:rFonts w:cs="v4.2.0"/>
        </w:rPr>
        <w:t xml:space="preserve"> shall apply when RedCap UE is capable of 2Rx. When UE is only required to support 1RX, the absolute accuracy requirements in Table </w:t>
      </w:r>
      <w:r w:rsidRPr="00DB707E">
        <w:rPr>
          <w:lang w:eastAsia="zh-CN"/>
        </w:rPr>
        <w:t>10.1A.8.1.2</w:t>
      </w:r>
      <w:r w:rsidRPr="00DB707E">
        <w:t>-1</w:t>
      </w:r>
      <w:r w:rsidRPr="00DB707E">
        <w:rPr>
          <w:rFonts w:cs="v4.2.0"/>
        </w:rPr>
        <w:t xml:space="preserve"> are valid under the following conditions:</w:t>
      </w:r>
    </w:p>
    <w:p w14:paraId="7AD70AB7" w14:textId="77777777" w:rsidR="00524B77" w:rsidRPr="00DB707E" w:rsidRDefault="00524B77" w:rsidP="00524B77">
      <w:pPr>
        <w:ind w:left="568" w:hanging="284"/>
        <w:rPr>
          <w:rFonts w:cs="v4.2.0"/>
        </w:rPr>
      </w:pPr>
      <w:r w:rsidRPr="00DB707E">
        <w:t>-</w:t>
      </w:r>
      <w:r w:rsidRPr="00DB707E">
        <w:rPr>
          <w:rFonts w:ascii="Arial" w:hAnsi="Arial"/>
          <w:sz w:val="28"/>
          <w:lang w:val="en-US"/>
        </w:rPr>
        <w:tab/>
      </w:r>
      <w:r w:rsidRPr="00DB707E">
        <w:t>Conditions defined in clause 7.3 of TS 38.101-1 [18] for reference sensitivity are fulfilled.</w:t>
      </w:r>
    </w:p>
    <w:p w14:paraId="26C306D1" w14:textId="77777777" w:rsidR="00524B77" w:rsidRPr="00DB707E" w:rsidRDefault="00524B77" w:rsidP="00524B77">
      <w:pPr>
        <w:ind w:left="568" w:hanging="284"/>
        <w:rPr>
          <w:lang w:eastAsia="zh-CN"/>
        </w:rPr>
      </w:pPr>
      <w:r w:rsidRPr="00DB707E">
        <w:t>-</w:t>
      </w:r>
      <w:r w:rsidRPr="00DB707E">
        <w:rPr>
          <w:rFonts w:ascii="Arial" w:hAnsi="Arial"/>
          <w:sz w:val="28"/>
          <w:lang w:val="en-US"/>
        </w:rPr>
        <w:tab/>
      </w:r>
      <w:r w:rsidRPr="00DB707E">
        <w:t xml:space="preserve">Conditions for inter-frequency measurements are fulfilled according to Annex B.2.3 for a corresponding Band </w:t>
      </w:r>
      <w:r w:rsidRPr="00DB707E">
        <w:rPr>
          <w:rFonts w:cs="v4.2.0"/>
          <w:lang w:eastAsia="ko-KR"/>
        </w:rPr>
        <w:t>for each relevant SSB</w:t>
      </w:r>
      <w:r w:rsidRPr="00DB707E">
        <w:t>.</w:t>
      </w:r>
    </w:p>
    <w:p w14:paraId="22E94EFA" w14:textId="77777777" w:rsidR="00524B77" w:rsidRPr="00DB707E" w:rsidRDefault="00524B77" w:rsidP="00524B77">
      <w:pPr>
        <w:ind w:left="568" w:hanging="284"/>
        <w:rPr>
          <w:rFonts w:cs="v4.2.0"/>
          <w:sz w:val="18"/>
        </w:rPr>
      </w:pPr>
      <w:r w:rsidRPr="00DB707E">
        <w:t>-</w:t>
      </w:r>
      <w:r w:rsidRPr="00DB707E">
        <w:rPr>
          <w:rFonts w:ascii="Arial" w:hAnsi="Arial"/>
          <w:sz w:val="28"/>
          <w:lang w:val="en-US"/>
        </w:rPr>
        <w:tab/>
      </w:r>
      <w:r w:rsidRPr="00DB707E">
        <w:t>|SSB_RP1</w:t>
      </w:r>
      <w:r w:rsidRPr="00DB707E">
        <w:rPr>
          <w:vertAlign w:val="subscript"/>
        </w:rPr>
        <w:t>dBm</w:t>
      </w:r>
      <w:r w:rsidRPr="00DB707E">
        <w:t xml:space="preserve"> - SSB_RP2</w:t>
      </w:r>
      <w:r w:rsidRPr="00DB707E">
        <w:rPr>
          <w:vertAlign w:val="subscript"/>
        </w:rPr>
        <w:t>dBm</w:t>
      </w:r>
      <w:r w:rsidRPr="00DB707E">
        <w:t xml:space="preserve">| </w:t>
      </w:r>
      <w:r w:rsidRPr="00DB707E">
        <w:rPr>
          <w:rFonts w:hint="eastAsia"/>
        </w:rPr>
        <w:t>≤</w:t>
      </w:r>
      <w:r w:rsidRPr="00DB707E">
        <w:t xml:space="preserve"> 27 dB</w:t>
      </w:r>
    </w:p>
    <w:p w14:paraId="6B87987F" w14:textId="77777777" w:rsidR="00524B77" w:rsidRPr="00DB707E" w:rsidRDefault="00524B77" w:rsidP="00524B77">
      <w:pPr>
        <w:ind w:left="568" w:hanging="284"/>
        <w:rPr>
          <w:lang w:eastAsia="zh-CN"/>
        </w:rPr>
      </w:pPr>
      <w:r w:rsidRPr="00DB707E">
        <w:t>-</w:t>
      </w:r>
      <w:r w:rsidRPr="00DB707E">
        <w:rPr>
          <w:rFonts w:ascii="Arial" w:hAnsi="Arial"/>
          <w:sz w:val="28"/>
          <w:lang w:val="en-US"/>
        </w:rPr>
        <w:tab/>
      </w:r>
      <w:r w:rsidRPr="00DB707E">
        <w:t xml:space="preserve">|Channel 1_Io </w:t>
      </w:r>
      <w:r w:rsidRPr="00DB707E">
        <w:noBreakHyphen/>
        <w:t xml:space="preserve">Channel 2_Io | </w:t>
      </w:r>
      <w:r w:rsidRPr="00DB707E">
        <w:sym w:font="Symbol" w:char="F0A3"/>
      </w:r>
      <w:r w:rsidRPr="00DB707E">
        <w:t xml:space="preserve"> 20 dB</w:t>
      </w:r>
    </w:p>
    <w:p w14:paraId="4BF22B82" w14:textId="77777777" w:rsidR="00524B77" w:rsidRPr="00DB707E" w:rsidRDefault="00524B77" w:rsidP="00524B77">
      <w:pPr>
        <w:pStyle w:val="TH"/>
        <w:rPr>
          <w:sz w:val="22"/>
          <w:szCs w:val="22"/>
          <w:lang w:eastAsia="zh-CN"/>
        </w:rPr>
      </w:pPr>
      <w:r w:rsidRPr="00DB707E">
        <w:t xml:space="preserve">Table </w:t>
      </w:r>
      <w:r w:rsidRPr="00DB707E">
        <w:rPr>
          <w:lang w:eastAsia="zh-CN"/>
        </w:rPr>
        <w:t>10.1A.8.1.2</w:t>
      </w:r>
      <w:r w:rsidRPr="00DB707E">
        <w:t xml:space="preserve">-1: </w:t>
      </w:r>
      <w:r w:rsidRPr="00DB707E">
        <w:rPr>
          <w:lang w:eastAsia="zh-CN"/>
        </w:rPr>
        <w:t>SS-RSRQ</w:t>
      </w:r>
      <w:r w:rsidRPr="00DB707E">
        <w:t xml:space="preserve"> Inter frequency relative accuracy for 1Rx RedCap UE</w:t>
      </w:r>
      <w:r w:rsidRPr="00DB707E">
        <w:rPr>
          <w:sz w:val="22"/>
          <w:szCs w:val="22"/>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524B77" w:rsidRPr="00DB707E" w14:paraId="0948C6D3" w14:textId="77777777" w:rsidTr="00430B2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247BFF4F" w14:textId="77777777" w:rsidR="00524B77" w:rsidRPr="00DB707E" w:rsidRDefault="00524B77" w:rsidP="00430B21">
            <w:pPr>
              <w:pStyle w:val="TAH"/>
            </w:pPr>
            <w:r w:rsidRPr="00DB707E">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43FE2E73" w14:textId="77777777" w:rsidR="00524B77" w:rsidRPr="00DB707E" w:rsidRDefault="00524B77" w:rsidP="00430B21">
            <w:pPr>
              <w:pStyle w:val="TAH"/>
            </w:pPr>
            <w:r w:rsidRPr="00DB707E">
              <w:t>Conditions</w:t>
            </w:r>
          </w:p>
        </w:tc>
      </w:tr>
      <w:tr w:rsidR="00524B77" w:rsidRPr="00DB707E" w14:paraId="551BC444" w14:textId="77777777" w:rsidTr="00430B21">
        <w:trPr>
          <w:jc w:val="center"/>
        </w:trPr>
        <w:tc>
          <w:tcPr>
            <w:tcW w:w="1035" w:type="dxa"/>
            <w:tcBorders>
              <w:top w:val="single" w:sz="4" w:space="0" w:color="auto"/>
              <w:left w:val="single" w:sz="4" w:space="0" w:color="auto"/>
              <w:right w:val="single" w:sz="4" w:space="0" w:color="auto"/>
            </w:tcBorders>
            <w:shd w:val="clear" w:color="auto" w:fill="auto"/>
            <w:vAlign w:val="center"/>
          </w:tcPr>
          <w:p w14:paraId="48004659" w14:textId="77777777" w:rsidR="00524B77" w:rsidRPr="00DB707E" w:rsidRDefault="00524B77" w:rsidP="00430B21">
            <w:pPr>
              <w:pStyle w:val="TAH"/>
            </w:pPr>
            <w:r w:rsidRPr="00DB707E">
              <w:t>Normal condition</w:t>
            </w:r>
          </w:p>
        </w:tc>
        <w:tc>
          <w:tcPr>
            <w:tcW w:w="1047" w:type="dxa"/>
            <w:tcBorders>
              <w:top w:val="single" w:sz="4" w:space="0" w:color="auto"/>
              <w:left w:val="single" w:sz="4" w:space="0" w:color="auto"/>
              <w:right w:val="single" w:sz="4" w:space="0" w:color="auto"/>
            </w:tcBorders>
            <w:shd w:val="clear" w:color="auto" w:fill="auto"/>
            <w:vAlign w:val="center"/>
          </w:tcPr>
          <w:p w14:paraId="4D9798ED" w14:textId="77777777" w:rsidR="00524B77" w:rsidRPr="00DB707E" w:rsidRDefault="00524B77" w:rsidP="00430B21">
            <w:pPr>
              <w:pStyle w:val="TAH"/>
            </w:pPr>
            <w:r w:rsidRPr="00DB707E">
              <w:t>Extreme condition</w:t>
            </w:r>
          </w:p>
        </w:tc>
        <w:tc>
          <w:tcPr>
            <w:tcW w:w="802" w:type="dxa"/>
            <w:tcBorders>
              <w:top w:val="single" w:sz="4" w:space="0" w:color="auto"/>
              <w:left w:val="single" w:sz="4" w:space="0" w:color="auto"/>
              <w:right w:val="single" w:sz="4" w:space="0" w:color="auto"/>
            </w:tcBorders>
            <w:shd w:val="clear" w:color="auto" w:fill="auto"/>
            <w:vAlign w:val="center"/>
          </w:tcPr>
          <w:p w14:paraId="4BD298B5" w14:textId="77777777" w:rsidR="00524B77" w:rsidRPr="00DB707E" w:rsidRDefault="00524B77" w:rsidP="00430B21">
            <w:pPr>
              <w:pStyle w:val="TAH"/>
            </w:pPr>
            <w:r w:rsidRPr="00DB707E">
              <w:t>SSB Ês/Iot</w:t>
            </w:r>
            <w:r w:rsidRPr="00DB707E">
              <w:rPr>
                <w:vertAlign w:val="superscript"/>
                <w:lang w:eastAsia="zh-CN"/>
              </w:rPr>
              <w:t xml:space="preserve"> </w:t>
            </w:r>
          </w:p>
        </w:tc>
        <w:tc>
          <w:tcPr>
            <w:tcW w:w="7288"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69394512" w14:textId="77777777" w:rsidR="00524B77" w:rsidRPr="00DB707E" w:rsidRDefault="00524B77" w:rsidP="00430B21">
            <w:pPr>
              <w:pStyle w:val="TAH"/>
            </w:pPr>
            <w:r w:rsidRPr="00DB707E">
              <w:t>Io</w:t>
            </w:r>
            <w:r w:rsidRPr="00DB707E">
              <w:rPr>
                <w:vertAlign w:val="superscript"/>
                <w:lang w:eastAsia="zh-CN"/>
              </w:rPr>
              <w:t xml:space="preserve"> Note 1</w:t>
            </w:r>
            <w:r w:rsidRPr="00DB707E">
              <w:t xml:space="preserve"> range</w:t>
            </w:r>
          </w:p>
        </w:tc>
      </w:tr>
      <w:tr w:rsidR="00524B77" w:rsidRPr="00DB707E" w14:paraId="4458E8A8" w14:textId="77777777" w:rsidTr="00430B21">
        <w:trPr>
          <w:jc w:val="center"/>
        </w:trPr>
        <w:tc>
          <w:tcPr>
            <w:tcW w:w="1035" w:type="dxa"/>
            <w:tcBorders>
              <w:left w:val="single" w:sz="4" w:space="0" w:color="auto"/>
              <w:bottom w:val="single" w:sz="4" w:space="0" w:color="auto"/>
              <w:right w:val="single" w:sz="4" w:space="0" w:color="auto"/>
            </w:tcBorders>
            <w:shd w:val="clear" w:color="auto" w:fill="auto"/>
            <w:vAlign w:val="center"/>
          </w:tcPr>
          <w:p w14:paraId="254540CB" w14:textId="77777777" w:rsidR="00524B77" w:rsidRPr="00DB707E" w:rsidRDefault="00524B77" w:rsidP="00430B21">
            <w:pPr>
              <w:pStyle w:val="TAH"/>
            </w:pPr>
          </w:p>
        </w:tc>
        <w:tc>
          <w:tcPr>
            <w:tcW w:w="1047" w:type="dxa"/>
            <w:tcBorders>
              <w:left w:val="single" w:sz="4" w:space="0" w:color="auto"/>
              <w:bottom w:val="single" w:sz="4" w:space="0" w:color="auto"/>
              <w:right w:val="single" w:sz="4" w:space="0" w:color="auto"/>
            </w:tcBorders>
            <w:shd w:val="clear" w:color="auto" w:fill="auto"/>
            <w:vAlign w:val="center"/>
          </w:tcPr>
          <w:p w14:paraId="6CD36849" w14:textId="77777777" w:rsidR="00524B77" w:rsidRPr="00DB707E" w:rsidRDefault="00524B77" w:rsidP="00430B21">
            <w:pPr>
              <w:pStyle w:val="TAH"/>
            </w:pPr>
          </w:p>
        </w:tc>
        <w:tc>
          <w:tcPr>
            <w:tcW w:w="802" w:type="dxa"/>
            <w:tcBorders>
              <w:left w:val="single" w:sz="4" w:space="0" w:color="auto"/>
              <w:bottom w:val="single" w:sz="4" w:space="0" w:color="auto"/>
              <w:right w:val="single" w:sz="4" w:space="0" w:color="auto"/>
            </w:tcBorders>
            <w:shd w:val="clear" w:color="auto" w:fill="auto"/>
          </w:tcPr>
          <w:p w14:paraId="0554AFBC" w14:textId="77777777" w:rsidR="00524B77" w:rsidRPr="00DB707E" w:rsidRDefault="00524B77" w:rsidP="00430B21">
            <w:pPr>
              <w:pStyle w:val="TAH"/>
            </w:pPr>
            <w:r w:rsidRPr="00DB707E">
              <w:rPr>
                <w:vertAlign w:val="superscript"/>
                <w:lang w:eastAsia="zh-CN"/>
              </w:rPr>
              <w:t>Note 2</w:t>
            </w:r>
          </w:p>
        </w:tc>
        <w:tc>
          <w:tcPr>
            <w:tcW w:w="2298" w:type="dxa"/>
            <w:tcBorders>
              <w:top w:val="single" w:sz="6" w:space="0" w:color="auto"/>
              <w:left w:val="single" w:sz="4" w:space="0" w:color="auto"/>
              <w:bottom w:val="single" w:sz="6" w:space="0" w:color="auto"/>
              <w:right w:val="single" w:sz="4" w:space="0" w:color="auto"/>
            </w:tcBorders>
            <w:shd w:val="clear" w:color="auto" w:fill="auto"/>
            <w:vAlign w:val="center"/>
          </w:tcPr>
          <w:p w14:paraId="1CE6727A" w14:textId="77777777" w:rsidR="00524B77" w:rsidRPr="00DB707E" w:rsidRDefault="00524B77" w:rsidP="00430B21">
            <w:pPr>
              <w:pStyle w:val="TAH"/>
            </w:pPr>
            <w:r w:rsidRPr="00DB707E">
              <w:t>NR operating band groups</w:t>
            </w:r>
            <w:r w:rsidRPr="00DB707E">
              <w:rPr>
                <w:vertAlign w:val="superscript"/>
              </w:rPr>
              <w:t xml:space="preserve"> </w:t>
            </w:r>
            <w:r w:rsidRPr="00DB707E">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4FC2681E"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702130C5" w14:textId="77777777" w:rsidR="00524B77" w:rsidRPr="00DB707E" w:rsidRDefault="00524B77" w:rsidP="00430B21">
            <w:pPr>
              <w:pStyle w:val="TAH"/>
            </w:pPr>
            <w:r w:rsidRPr="00DB707E">
              <w:t>Maximum Io</w:t>
            </w:r>
          </w:p>
        </w:tc>
      </w:tr>
      <w:tr w:rsidR="00524B77" w:rsidRPr="00DB707E" w14:paraId="12DBA4F4" w14:textId="77777777" w:rsidTr="00430B21">
        <w:trPr>
          <w:trHeight w:val="308"/>
          <w:jc w:val="center"/>
        </w:trPr>
        <w:tc>
          <w:tcPr>
            <w:tcW w:w="1035" w:type="dxa"/>
            <w:tcBorders>
              <w:top w:val="single" w:sz="4" w:space="0" w:color="auto"/>
              <w:left w:val="single" w:sz="4" w:space="0" w:color="auto"/>
              <w:right w:val="single" w:sz="6" w:space="0" w:color="auto"/>
            </w:tcBorders>
            <w:shd w:val="clear" w:color="auto" w:fill="auto"/>
          </w:tcPr>
          <w:p w14:paraId="21E24EDF" w14:textId="77777777" w:rsidR="00524B77" w:rsidRPr="00DB707E" w:rsidRDefault="00524B77" w:rsidP="00430B21">
            <w:pPr>
              <w:pStyle w:val="TAC"/>
            </w:pPr>
            <w:r w:rsidRPr="00DB707E">
              <w:t>dB</w:t>
            </w:r>
          </w:p>
        </w:tc>
        <w:tc>
          <w:tcPr>
            <w:tcW w:w="1047" w:type="dxa"/>
            <w:tcBorders>
              <w:top w:val="single" w:sz="4" w:space="0" w:color="auto"/>
              <w:left w:val="single" w:sz="6" w:space="0" w:color="auto"/>
              <w:right w:val="single" w:sz="6" w:space="0" w:color="auto"/>
            </w:tcBorders>
            <w:shd w:val="clear" w:color="auto" w:fill="auto"/>
          </w:tcPr>
          <w:p w14:paraId="01F892B0" w14:textId="77777777" w:rsidR="00524B77" w:rsidRPr="00DB707E" w:rsidRDefault="00524B77" w:rsidP="00430B21">
            <w:pPr>
              <w:pStyle w:val="TAC"/>
            </w:pPr>
            <w:r w:rsidRPr="00DB707E">
              <w:t>dB</w:t>
            </w:r>
          </w:p>
        </w:tc>
        <w:tc>
          <w:tcPr>
            <w:tcW w:w="802" w:type="dxa"/>
            <w:tcBorders>
              <w:top w:val="single" w:sz="4" w:space="0" w:color="auto"/>
              <w:left w:val="single" w:sz="6" w:space="0" w:color="auto"/>
              <w:right w:val="single" w:sz="6" w:space="0" w:color="auto"/>
            </w:tcBorders>
            <w:shd w:val="clear" w:color="auto" w:fill="auto"/>
          </w:tcPr>
          <w:p w14:paraId="38201CF7" w14:textId="77777777" w:rsidR="00524B77" w:rsidRPr="00DB707E" w:rsidRDefault="00524B77" w:rsidP="00430B21">
            <w:pPr>
              <w:pStyle w:val="TAC"/>
            </w:pPr>
            <w:r w:rsidRPr="00DB707E">
              <w:t>dB</w:t>
            </w:r>
          </w:p>
        </w:tc>
        <w:tc>
          <w:tcPr>
            <w:tcW w:w="2298" w:type="dxa"/>
            <w:tcBorders>
              <w:top w:val="single" w:sz="6" w:space="0" w:color="auto"/>
              <w:left w:val="single" w:sz="6" w:space="0" w:color="auto"/>
              <w:right w:val="single" w:sz="4" w:space="0" w:color="auto"/>
            </w:tcBorders>
            <w:shd w:val="clear" w:color="auto" w:fill="auto"/>
          </w:tcPr>
          <w:p w14:paraId="4303FDF5" w14:textId="77777777" w:rsidR="00524B77" w:rsidRPr="00DB707E" w:rsidRDefault="00524B77" w:rsidP="00430B21">
            <w:pPr>
              <w:pStyle w:val="TAC"/>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0B3282C3" w14:textId="77777777" w:rsidR="00524B77" w:rsidRPr="00DB707E" w:rsidRDefault="00524B77" w:rsidP="00430B21">
            <w:pPr>
              <w:pStyle w:val="TAC"/>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2BCF35C1" w14:textId="77777777" w:rsidR="00524B77" w:rsidRPr="00DB707E" w:rsidRDefault="00524B77" w:rsidP="00430B21">
            <w:pPr>
              <w:pStyle w:val="TAC"/>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474DE875" w14:textId="77777777" w:rsidR="00524B77" w:rsidRPr="00DB707E" w:rsidRDefault="00524B77" w:rsidP="00430B21">
            <w:pPr>
              <w:pStyle w:val="TAC"/>
            </w:pPr>
            <w:r w:rsidRPr="00DB707E">
              <w:t>dBm/BW</w:t>
            </w:r>
            <w:r w:rsidRPr="00DB707E">
              <w:rPr>
                <w:vertAlign w:val="subscript"/>
              </w:rPr>
              <w:t>Channel</w:t>
            </w:r>
          </w:p>
        </w:tc>
      </w:tr>
      <w:tr w:rsidR="00524B77" w:rsidRPr="00DB707E" w14:paraId="667B3F6A" w14:textId="77777777" w:rsidTr="00430B21">
        <w:trPr>
          <w:trHeight w:val="307"/>
          <w:jc w:val="center"/>
        </w:trPr>
        <w:tc>
          <w:tcPr>
            <w:tcW w:w="1035" w:type="dxa"/>
            <w:tcBorders>
              <w:left w:val="single" w:sz="4" w:space="0" w:color="auto"/>
              <w:bottom w:val="single" w:sz="6" w:space="0" w:color="auto"/>
              <w:right w:val="single" w:sz="6" w:space="0" w:color="auto"/>
            </w:tcBorders>
            <w:shd w:val="clear" w:color="auto" w:fill="auto"/>
          </w:tcPr>
          <w:p w14:paraId="0F53CCF5" w14:textId="77777777" w:rsidR="00524B77" w:rsidRPr="00DB707E" w:rsidRDefault="00524B77" w:rsidP="00430B21">
            <w:pPr>
              <w:pStyle w:val="TAC"/>
            </w:pPr>
          </w:p>
        </w:tc>
        <w:tc>
          <w:tcPr>
            <w:tcW w:w="1047" w:type="dxa"/>
            <w:tcBorders>
              <w:left w:val="single" w:sz="6" w:space="0" w:color="auto"/>
              <w:bottom w:val="single" w:sz="6" w:space="0" w:color="auto"/>
              <w:right w:val="single" w:sz="6" w:space="0" w:color="auto"/>
            </w:tcBorders>
            <w:shd w:val="clear" w:color="auto" w:fill="auto"/>
          </w:tcPr>
          <w:p w14:paraId="1CEA7BD8" w14:textId="77777777" w:rsidR="00524B77" w:rsidRPr="00DB707E" w:rsidRDefault="00524B77" w:rsidP="00430B21">
            <w:pPr>
              <w:pStyle w:val="TAC"/>
            </w:pPr>
          </w:p>
        </w:tc>
        <w:tc>
          <w:tcPr>
            <w:tcW w:w="802" w:type="dxa"/>
            <w:tcBorders>
              <w:left w:val="single" w:sz="6" w:space="0" w:color="auto"/>
              <w:bottom w:val="single" w:sz="6" w:space="0" w:color="auto"/>
              <w:right w:val="single" w:sz="6" w:space="0" w:color="auto"/>
            </w:tcBorders>
            <w:shd w:val="clear" w:color="auto" w:fill="auto"/>
          </w:tcPr>
          <w:p w14:paraId="6A9DC0B8" w14:textId="77777777" w:rsidR="00524B77" w:rsidRPr="00DB707E" w:rsidRDefault="00524B77" w:rsidP="00430B21">
            <w:pPr>
              <w:pStyle w:val="TAC"/>
            </w:pPr>
          </w:p>
        </w:tc>
        <w:tc>
          <w:tcPr>
            <w:tcW w:w="2298" w:type="dxa"/>
            <w:tcBorders>
              <w:left w:val="single" w:sz="6" w:space="0" w:color="auto"/>
              <w:bottom w:val="single" w:sz="6" w:space="0" w:color="auto"/>
              <w:right w:val="single" w:sz="4" w:space="0" w:color="auto"/>
            </w:tcBorders>
            <w:shd w:val="clear" w:color="auto" w:fill="auto"/>
          </w:tcPr>
          <w:p w14:paraId="40F735F9" w14:textId="77777777" w:rsidR="00524B77" w:rsidRPr="00DB707E" w:rsidRDefault="00524B77" w:rsidP="00430B21">
            <w:pPr>
              <w:pStyle w:val="TAC"/>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6DE7735" w14:textId="77777777" w:rsidR="00524B77" w:rsidRPr="00DB707E" w:rsidRDefault="00524B77" w:rsidP="00430B21">
            <w:pPr>
              <w:pStyle w:val="TAC"/>
              <w:rPr>
                <w:rFonts w:cs="Arial"/>
              </w:rPr>
            </w:pPr>
            <w:r w:rsidRPr="00DB707E">
              <w:t>SCS</w:t>
            </w:r>
            <w:r w:rsidRPr="00DB707E">
              <w:rPr>
                <w:vertAlign w:val="subscript"/>
              </w:rPr>
              <w:t>SSB</w:t>
            </w:r>
            <w:r w:rsidRPr="00DB707E">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F901FB7" w14:textId="77777777" w:rsidR="00524B77" w:rsidRPr="00DB707E" w:rsidRDefault="00524B77" w:rsidP="00430B21">
            <w:pPr>
              <w:pStyle w:val="TAC"/>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571DAC29" w14:textId="77777777" w:rsidR="00524B77" w:rsidRPr="00DB707E" w:rsidRDefault="00524B77" w:rsidP="00430B21">
            <w:pPr>
              <w:pStyle w:val="TAC"/>
            </w:pPr>
          </w:p>
        </w:tc>
        <w:tc>
          <w:tcPr>
            <w:tcW w:w="1440" w:type="dxa"/>
            <w:tcBorders>
              <w:left w:val="single" w:sz="6" w:space="0" w:color="auto"/>
              <w:bottom w:val="single" w:sz="6" w:space="0" w:color="auto"/>
              <w:right w:val="single" w:sz="4" w:space="0" w:color="auto"/>
            </w:tcBorders>
            <w:shd w:val="clear" w:color="auto" w:fill="auto"/>
          </w:tcPr>
          <w:p w14:paraId="28628453" w14:textId="77777777" w:rsidR="00524B77" w:rsidRPr="00DB707E" w:rsidRDefault="00524B77" w:rsidP="00430B21">
            <w:pPr>
              <w:pStyle w:val="TAC"/>
            </w:pPr>
          </w:p>
        </w:tc>
      </w:tr>
      <w:tr w:rsidR="00524B77" w:rsidRPr="00DB707E" w14:paraId="31484481" w14:textId="77777777" w:rsidTr="00430B21">
        <w:trPr>
          <w:jc w:val="center"/>
        </w:trPr>
        <w:tc>
          <w:tcPr>
            <w:tcW w:w="1035" w:type="dxa"/>
            <w:tcBorders>
              <w:top w:val="single" w:sz="6" w:space="0" w:color="auto"/>
              <w:left w:val="single" w:sz="4" w:space="0" w:color="auto"/>
              <w:right w:val="single" w:sz="6" w:space="0" w:color="auto"/>
            </w:tcBorders>
            <w:shd w:val="clear" w:color="auto" w:fill="auto"/>
          </w:tcPr>
          <w:p w14:paraId="213CA87E" w14:textId="77777777" w:rsidR="00524B77" w:rsidRPr="00DB707E" w:rsidRDefault="00524B77" w:rsidP="00430B21">
            <w:pPr>
              <w:pStyle w:val="TAC"/>
            </w:pPr>
          </w:p>
        </w:tc>
        <w:tc>
          <w:tcPr>
            <w:tcW w:w="1047" w:type="dxa"/>
            <w:tcBorders>
              <w:top w:val="single" w:sz="6" w:space="0" w:color="auto"/>
              <w:left w:val="single" w:sz="6" w:space="0" w:color="auto"/>
              <w:right w:val="single" w:sz="6" w:space="0" w:color="auto"/>
            </w:tcBorders>
            <w:shd w:val="clear" w:color="auto" w:fill="auto"/>
          </w:tcPr>
          <w:p w14:paraId="2F189B3A" w14:textId="77777777" w:rsidR="00524B77" w:rsidRPr="00DB707E" w:rsidRDefault="00524B77" w:rsidP="00430B21">
            <w:pPr>
              <w:pStyle w:val="TAC"/>
            </w:pPr>
          </w:p>
        </w:tc>
        <w:tc>
          <w:tcPr>
            <w:tcW w:w="802" w:type="dxa"/>
            <w:tcBorders>
              <w:top w:val="single" w:sz="6" w:space="0" w:color="auto"/>
              <w:left w:val="single" w:sz="6" w:space="0" w:color="auto"/>
              <w:right w:val="single" w:sz="6" w:space="0" w:color="auto"/>
            </w:tcBorders>
            <w:shd w:val="clear" w:color="auto" w:fill="auto"/>
          </w:tcPr>
          <w:p w14:paraId="5E07D56A"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6D931913" w14:textId="77777777" w:rsidR="00524B77" w:rsidRPr="00DB707E" w:rsidRDefault="00524B77" w:rsidP="00430B21">
            <w:pPr>
              <w:pStyle w:val="TAC"/>
            </w:pPr>
            <w:r w:rsidRPr="00DB707E">
              <w:t>NR_FDD_FR1_A, NR_TDD_FR1_A,</w:t>
            </w:r>
          </w:p>
          <w:p w14:paraId="3F35D860" w14:textId="77777777" w:rsidR="00524B77" w:rsidRPr="00DB707E" w:rsidRDefault="00524B77" w:rsidP="00430B21">
            <w:pPr>
              <w:pStyle w:val="TAC"/>
            </w:pPr>
            <w:r w:rsidRPr="00DB707E">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FBAB910" w14:textId="77777777" w:rsidR="00524B77" w:rsidRPr="00DB707E" w:rsidRDefault="00524B77" w:rsidP="00430B21">
            <w:pPr>
              <w:pStyle w:val="TAC"/>
            </w:pPr>
            <w:r w:rsidRPr="00DB707E">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095A5AA8" w14:textId="77777777" w:rsidR="00524B77" w:rsidRPr="00DB707E" w:rsidRDefault="00524B77" w:rsidP="00430B21">
            <w:pPr>
              <w:pStyle w:val="TAC"/>
              <w:rPr>
                <w:rFonts w:cs="Arial"/>
              </w:rPr>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A548937"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820E6EF" w14:textId="77777777" w:rsidR="00524B77" w:rsidRPr="00DB707E" w:rsidRDefault="00524B77" w:rsidP="00430B21">
            <w:pPr>
              <w:pStyle w:val="TAC"/>
            </w:pPr>
            <w:r w:rsidRPr="00DB707E">
              <w:t>-50</w:t>
            </w:r>
          </w:p>
        </w:tc>
      </w:tr>
      <w:tr w:rsidR="00524B77" w:rsidRPr="00DB707E" w14:paraId="0DDF88FF" w14:textId="77777777" w:rsidTr="00430B21">
        <w:trPr>
          <w:jc w:val="center"/>
        </w:trPr>
        <w:tc>
          <w:tcPr>
            <w:tcW w:w="1035" w:type="dxa"/>
            <w:tcBorders>
              <w:left w:val="single" w:sz="4" w:space="0" w:color="auto"/>
              <w:right w:val="single" w:sz="6" w:space="0" w:color="auto"/>
            </w:tcBorders>
            <w:shd w:val="clear" w:color="auto" w:fill="auto"/>
          </w:tcPr>
          <w:p w14:paraId="3C78CEFF"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01A9E714"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6E12A6F4"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C9BE3CA" w14:textId="77777777" w:rsidR="00524B77" w:rsidRPr="00DB707E" w:rsidRDefault="00524B77" w:rsidP="00430B21">
            <w:pPr>
              <w:pStyle w:val="TAC"/>
            </w:pPr>
            <w:r w:rsidRPr="00DB707E">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37E9938" w14:textId="77777777" w:rsidR="00524B77" w:rsidRPr="00DB707E" w:rsidRDefault="00524B77" w:rsidP="00430B21">
            <w:pPr>
              <w:pStyle w:val="TAC"/>
            </w:pPr>
            <w:r w:rsidRPr="00DB707E">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0AC8D536" w14:textId="77777777" w:rsidR="00524B77" w:rsidRPr="00DB707E" w:rsidRDefault="00524B77" w:rsidP="00430B21">
            <w:pPr>
              <w:pStyle w:val="TAC"/>
              <w:rPr>
                <w:rFonts w:cs="Arial"/>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5A82041"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DEA3AD3" w14:textId="77777777" w:rsidR="00524B77" w:rsidRPr="00DB707E" w:rsidRDefault="00524B77" w:rsidP="00430B21">
            <w:pPr>
              <w:pStyle w:val="TAC"/>
            </w:pPr>
            <w:r w:rsidRPr="00DB707E">
              <w:t>-50</w:t>
            </w:r>
          </w:p>
        </w:tc>
      </w:tr>
      <w:tr w:rsidR="00524B77" w:rsidRPr="00DB707E" w14:paraId="413DCAB1" w14:textId="77777777" w:rsidTr="00430B21">
        <w:trPr>
          <w:jc w:val="center"/>
        </w:trPr>
        <w:tc>
          <w:tcPr>
            <w:tcW w:w="1035" w:type="dxa"/>
            <w:tcBorders>
              <w:left w:val="single" w:sz="4" w:space="0" w:color="auto"/>
              <w:right w:val="single" w:sz="6" w:space="0" w:color="auto"/>
            </w:tcBorders>
            <w:shd w:val="clear" w:color="auto" w:fill="auto"/>
          </w:tcPr>
          <w:p w14:paraId="53975808"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701909FD"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0BA11C02"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3EBC3E2F" w14:textId="77777777" w:rsidR="00524B77" w:rsidRPr="00DB707E" w:rsidRDefault="00524B77" w:rsidP="00430B21">
            <w:pPr>
              <w:pStyle w:val="TAC"/>
            </w:pPr>
            <w:r w:rsidRPr="00DB707E">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6AA7986" w14:textId="77777777" w:rsidR="00524B77" w:rsidRPr="00DB707E" w:rsidRDefault="00524B77" w:rsidP="00430B21">
            <w:pPr>
              <w:pStyle w:val="TAC"/>
            </w:pPr>
            <w:r w:rsidRPr="00DB707E">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504EB76" w14:textId="77777777" w:rsidR="00524B77" w:rsidRPr="00DB707E" w:rsidRDefault="00524B77" w:rsidP="00430B21">
            <w:pPr>
              <w:pStyle w:val="TAC"/>
              <w:rPr>
                <w:rFonts w:cs="Arial"/>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8C9E949"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50739B6" w14:textId="77777777" w:rsidR="00524B77" w:rsidRPr="00DB707E" w:rsidRDefault="00524B77" w:rsidP="00430B21">
            <w:pPr>
              <w:pStyle w:val="TAC"/>
            </w:pPr>
            <w:r w:rsidRPr="00DB707E">
              <w:t>-50</w:t>
            </w:r>
          </w:p>
        </w:tc>
      </w:tr>
      <w:tr w:rsidR="00524B77" w:rsidRPr="00DB707E" w14:paraId="7A675B2C" w14:textId="77777777" w:rsidTr="00430B21">
        <w:trPr>
          <w:jc w:val="center"/>
        </w:trPr>
        <w:tc>
          <w:tcPr>
            <w:tcW w:w="1035" w:type="dxa"/>
            <w:tcBorders>
              <w:left w:val="single" w:sz="4" w:space="0" w:color="auto"/>
              <w:right w:val="single" w:sz="6" w:space="0" w:color="auto"/>
            </w:tcBorders>
            <w:shd w:val="clear" w:color="auto" w:fill="auto"/>
          </w:tcPr>
          <w:p w14:paraId="7A95BE64" w14:textId="77777777" w:rsidR="00524B77" w:rsidRPr="00DB707E" w:rsidRDefault="00524B77" w:rsidP="00430B21">
            <w:pPr>
              <w:pStyle w:val="TAC"/>
            </w:pPr>
            <w:r w:rsidRPr="00DB707E">
              <w:sym w:font="Symbol" w:char="F0B1"/>
            </w:r>
            <w:r w:rsidRPr="00DB707E">
              <w:t>4</w:t>
            </w:r>
          </w:p>
        </w:tc>
        <w:tc>
          <w:tcPr>
            <w:tcW w:w="1047" w:type="dxa"/>
            <w:tcBorders>
              <w:left w:val="single" w:sz="6" w:space="0" w:color="auto"/>
              <w:right w:val="single" w:sz="6" w:space="0" w:color="auto"/>
            </w:tcBorders>
            <w:shd w:val="clear" w:color="auto" w:fill="auto"/>
          </w:tcPr>
          <w:p w14:paraId="5DB5F737" w14:textId="77777777" w:rsidR="00524B77" w:rsidRPr="00DB707E" w:rsidRDefault="00524B77" w:rsidP="00430B21">
            <w:pPr>
              <w:pStyle w:val="TAC"/>
            </w:pPr>
            <w:r w:rsidRPr="00DB707E">
              <w:sym w:font="Symbol" w:char="F0B1"/>
            </w:r>
            <w:r w:rsidRPr="00DB707E">
              <w:t>5</w:t>
            </w:r>
          </w:p>
        </w:tc>
        <w:tc>
          <w:tcPr>
            <w:tcW w:w="802" w:type="dxa"/>
            <w:tcBorders>
              <w:left w:val="single" w:sz="6" w:space="0" w:color="auto"/>
              <w:right w:val="single" w:sz="6" w:space="0" w:color="auto"/>
            </w:tcBorders>
            <w:shd w:val="clear" w:color="auto" w:fill="auto"/>
          </w:tcPr>
          <w:p w14:paraId="28D9E09C" w14:textId="77777777" w:rsidR="00524B77" w:rsidRPr="00DB707E" w:rsidRDefault="00524B77" w:rsidP="00430B21">
            <w:pPr>
              <w:pStyle w:val="TAC"/>
            </w:pPr>
            <w:r w:rsidRPr="00DB707E">
              <w:sym w:font="Symbol" w:char="F0B3"/>
            </w:r>
            <w:r w:rsidRPr="00DB707E">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98A7C2A" w14:textId="77777777" w:rsidR="00524B77" w:rsidRPr="00DB707E" w:rsidRDefault="00524B77" w:rsidP="00430B21">
            <w:pPr>
              <w:pStyle w:val="TAC"/>
              <w:rPr>
                <w:lang w:val="sv-FI"/>
              </w:rPr>
            </w:pPr>
            <w:r w:rsidRPr="00DB707E">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0CA39A3" w14:textId="77777777" w:rsidR="00524B77" w:rsidRPr="00DB707E" w:rsidRDefault="00524B77" w:rsidP="00430B21">
            <w:pPr>
              <w:pStyle w:val="TAC"/>
            </w:pPr>
            <w:r w:rsidRPr="00DB707E">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9120F03" w14:textId="77777777" w:rsidR="00524B77" w:rsidRPr="00DB707E" w:rsidRDefault="00524B77" w:rsidP="00430B21">
            <w:pPr>
              <w:pStyle w:val="TAC"/>
              <w:rPr>
                <w:rFonts w:cs="Arial"/>
              </w:rPr>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4D6B60A"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C127034" w14:textId="77777777" w:rsidR="00524B77" w:rsidRPr="00DB707E" w:rsidRDefault="00524B77" w:rsidP="00430B21">
            <w:pPr>
              <w:pStyle w:val="TAC"/>
            </w:pPr>
            <w:r w:rsidRPr="00DB707E">
              <w:t>-50</w:t>
            </w:r>
          </w:p>
        </w:tc>
      </w:tr>
      <w:tr w:rsidR="00524B77" w:rsidRPr="00DB707E" w14:paraId="1A4AB6A2" w14:textId="77777777" w:rsidTr="00430B21">
        <w:trPr>
          <w:jc w:val="center"/>
        </w:trPr>
        <w:tc>
          <w:tcPr>
            <w:tcW w:w="1035" w:type="dxa"/>
            <w:tcBorders>
              <w:left w:val="single" w:sz="4" w:space="0" w:color="auto"/>
              <w:right w:val="single" w:sz="6" w:space="0" w:color="auto"/>
            </w:tcBorders>
            <w:shd w:val="clear" w:color="auto" w:fill="auto"/>
          </w:tcPr>
          <w:p w14:paraId="6A21907B"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24B0B54C"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2A27ECB1"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8B01219" w14:textId="77777777" w:rsidR="00524B77" w:rsidRPr="00DB707E" w:rsidDel="00836998" w:rsidRDefault="00524B77" w:rsidP="00430B21">
            <w:pPr>
              <w:pStyle w:val="TAC"/>
              <w:rPr>
                <w:lang w:val="sv-SE"/>
              </w:rPr>
            </w:pPr>
            <w:r w:rsidRPr="00DB707E">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5B33414" w14:textId="77777777" w:rsidR="00524B77" w:rsidRPr="00DB707E" w:rsidRDefault="00524B77" w:rsidP="00430B21">
            <w:pPr>
              <w:pStyle w:val="TAC"/>
            </w:pPr>
            <w:r w:rsidRPr="00DB707E">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6E1CBCA" w14:textId="77777777" w:rsidR="00524B77" w:rsidRPr="00DB707E" w:rsidRDefault="00524B77" w:rsidP="00430B21">
            <w:pPr>
              <w:pStyle w:val="TAC"/>
              <w:rPr>
                <w:rFonts w:cs="Arial"/>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F53ED35"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1BFE896" w14:textId="77777777" w:rsidR="00524B77" w:rsidRPr="00DB707E" w:rsidRDefault="00524B77" w:rsidP="00430B21">
            <w:pPr>
              <w:pStyle w:val="TAC"/>
            </w:pPr>
            <w:r w:rsidRPr="00DB707E">
              <w:t>-50</w:t>
            </w:r>
          </w:p>
        </w:tc>
      </w:tr>
      <w:tr w:rsidR="00524B77" w:rsidRPr="00DB707E" w14:paraId="6D652BC9" w14:textId="77777777" w:rsidTr="00430B21">
        <w:trPr>
          <w:jc w:val="center"/>
        </w:trPr>
        <w:tc>
          <w:tcPr>
            <w:tcW w:w="1035" w:type="dxa"/>
            <w:tcBorders>
              <w:left w:val="single" w:sz="4" w:space="0" w:color="auto"/>
              <w:right w:val="single" w:sz="6" w:space="0" w:color="auto"/>
            </w:tcBorders>
            <w:shd w:val="clear" w:color="auto" w:fill="auto"/>
          </w:tcPr>
          <w:p w14:paraId="3F4D2D28"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0ECA3C3D"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7F75A86E"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FCB6D9C" w14:textId="77777777" w:rsidR="00524B77" w:rsidRPr="00DB707E" w:rsidRDefault="00524B77" w:rsidP="00430B21">
            <w:pPr>
              <w:pStyle w:val="TAC"/>
              <w:rPr>
                <w:lang w:val="sv-SE"/>
              </w:rPr>
            </w:pPr>
            <w:r w:rsidRPr="00DB707E">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A38D802" w14:textId="77777777" w:rsidR="00524B77" w:rsidRPr="00DB707E" w:rsidRDefault="00524B77" w:rsidP="00430B21">
            <w:pPr>
              <w:pStyle w:val="TAC"/>
            </w:pPr>
            <w:r w:rsidRPr="00DB707E">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1C39281"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6D8272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D638152" w14:textId="77777777" w:rsidR="00524B77" w:rsidRPr="00DB707E" w:rsidRDefault="00524B77" w:rsidP="00430B21">
            <w:pPr>
              <w:pStyle w:val="TAC"/>
            </w:pPr>
            <w:r w:rsidRPr="00DB707E">
              <w:t>-50</w:t>
            </w:r>
          </w:p>
        </w:tc>
      </w:tr>
      <w:tr w:rsidR="00524B77" w:rsidRPr="00DB707E" w14:paraId="7B72DFD8" w14:textId="77777777" w:rsidTr="00430B21">
        <w:trPr>
          <w:jc w:val="center"/>
        </w:trPr>
        <w:tc>
          <w:tcPr>
            <w:tcW w:w="1035" w:type="dxa"/>
            <w:tcBorders>
              <w:left w:val="single" w:sz="4" w:space="0" w:color="auto"/>
              <w:right w:val="single" w:sz="6" w:space="0" w:color="auto"/>
            </w:tcBorders>
            <w:shd w:val="clear" w:color="auto" w:fill="auto"/>
          </w:tcPr>
          <w:p w14:paraId="5D4DA7BE"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07290941"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4C54C54D"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6B21E7C6" w14:textId="77777777" w:rsidR="00524B77" w:rsidRPr="00DB707E" w:rsidDel="00836998" w:rsidRDefault="00524B77" w:rsidP="00430B21">
            <w:pPr>
              <w:pStyle w:val="TAC"/>
              <w:rPr>
                <w:lang w:eastAsia="zh-CN"/>
              </w:rPr>
            </w:pPr>
            <w:r w:rsidRPr="00DB707E">
              <w:rPr>
                <w:lang w:eastAsia="zh-CN"/>
              </w:rPr>
              <w:t>NR_FDD_FR1_G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EC577BE" w14:textId="77777777" w:rsidR="00524B77" w:rsidRPr="00DB707E" w:rsidRDefault="00524B77" w:rsidP="00430B21">
            <w:pPr>
              <w:pStyle w:val="TAC"/>
            </w:pPr>
            <w:r w:rsidRPr="00DB707E">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88F5B36"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EAB006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13A7A4E" w14:textId="77777777" w:rsidR="00524B77" w:rsidRPr="00DB707E" w:rsidRDefault="00524B77" w:rsidP="00430B21">
            <w:pPr>
              <w:pStyle w:val="TAC"/>
            </w:pPr>
            <w:r w:rsidRPr="00DB707E">
              <w:t>-50</w:t>
            </w:r>
          </w:p>
        </w:tc>
      </w:tr>
      <w:tr w:rsidR="00524B77" w:rsidRPr="00DB707E" w14:paraId="31DD5B8E" w14:textId="77777777" w:rsidTr="00430B21">
        <w:trPr>
          <w:trHeight w:val="65"/>
          <w:jc w:val="center"/>
        </w:trPr>
        <w:tc>
          <w:tcPr>
            <w:tcW w:w="1035" w:type="dxa"/>
            <w:tcBorders>
              <w:left w:val="single" w:sz="4" w:space="0" w:color="auto"/>
              <w:right w:val="single" w:sz="6" w:space="0" w:color="auto"/>
            </w:tcBorders>
            <w:shd w:val="clear" w:color="auto" w:fill="auto"/>
          </w:tcPr>
          <w:p w14:paraId="010255B0"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519DE9EC"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3223EA4A"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6DFD8E0" w14:textId="77777777" w:rsidR="00524B77" w:rsidRPr="00DB707E" w:rsidRDefault="00524B77" w:rsidP="00430B21">
            <w:pPr>
              <w:pStyle w:val="TAC"/>
              <w:rPr>
                <w:lang w:eastAsia="zh-CN"/>
              </w:rPr>
            </w:pPr>
            <w:r w:rsidRPr="00DB707E">
              <w:rPr>
                <w:lang w:eastAsia="zh-CN"/>
              </w:rPr>
              <w:t>NR_FDD_FR1_H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48FC17E" w14:textId="77777777" w:rsidR="00524B77" w:rsidRPr="00DB707E" w:rsidRDefault="00524B77" w:rsidP="00430B21">
            <w:pPr>
              <w:pStyle w:val="TAC"/>
            </w:pPr>
            <w:r w:rsidRPr="00DB707E">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9FF00D9"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6D06B4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4AFA86F" w14:textId="77777777" w:rsidR="00524B77" w:rsidRPr="00DB707E" w:rsidRDefault="00524B77" w:rsidP="00430B21">
            <w:pPr>
              <w:pStyle w:val="TAC"/>
            </w:pPr>
            <w:r w:rsidRPr="00DB707E">
              <w:t>-50</w:t>
            </w:r>
          </w:p>
        </w:tc>
      </w:tr>
      <w:tr w:rsidR="00524B77" w:rsidRPr="00DB707E" w14:paraId="611EC978" w14:textId="77777777" w:rsidTr="00430B21">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140E1707" w14:textId="77777777" w:rsidR="00524B77" w:rsidRPr="00DB707E" w:rsidRDefault="00524B77" w:rsidP="00430B21">
            <w:pPr>
              <w:pStyle w:val="TAC"/>
            </w:pPr>
            <w:r w:rsidRPr="00DB707E">
              <w:sym w:font="Symbol" w:char="F0B1"/>
            </w:r>
            <w:r w:rsidRPr="00DB707E">
              <w:t>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7B96231C" w14:textId="77777777" w:rsidR="00524B77" w:rsidRPr="00DB707E" w:rsidRDefault="00524B77" w:rsidP="00430B21">
            <w:pPr>
              <w:pStyle w:val="TAC"/>
            </w:pPr>
            <w:r w:rsidRPr="00DB707E">
              <w:sym w:font="Symbol" w:char="F0B1"/>
            </w:r>
            <w:r w:rsidRPr="00DB707E">
              <w:t>5</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49CDD285" w14:textId="77777777" w:rsidR="00524B77" w:rsidRPr="00DB707E" w:rsidRDefault="00524B77" w:rsidP="00430B21">
            <w:pPr>
              <w:pStyle w:val="TAC"/>
            </w:pPr>
            <w:r w:rsidRPr="00DB707E">
              <w:sym w:font="Symbol" w:char="F0B3"/>
            </w:r>
            <w:r w:rsidRPr="00DB707E">
              <w:t>-</w:t>
            </w:r>
            <w:r w:rsidRPr="00DB707E">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8122123" w14:textId="77777777" w:rsidR="00524B77" w:rsidRPr="00DB707E" w:rsidRDefault="00524B77" w:rsidP="00430B21">
            <w:pPr>
              <w:pStyle w:val="TAC"/>
            </w:pPr>
            <w:r w:rsidRPr="00DB707E">
              <w:t>Note 3</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6A8E4056" w14:textId="77777777" w:rsidR="00524B77" w:rsidRPr="00DB707E" w:rsidRDefault="00524B77" w:rsidP="00430B21">
            <w:pPr>
              <w:pStyle w:val="TAC"/>
            </w:pPr>
            <w:r w:rsidRPr="00DB707E">
              <w:t>Note 3</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6E47108F" w14:textId="77777777" w:rsidR="00524B77" w:rsidRPr="00DB707E" w:rsidRDefault="00524B77" w:rsidP="00430B21">
            <w:pPr>
              <w:pStyle w:val="TAC"/>
              <w:rPr>
                <w:lang w:eastAsia="zh-CN"/>
              </w:rPr>
            </w:pPr>
            <w:r w:rsidRPr="00DB707E">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37533EAD" w14:textId="77777777" w:rsidR="00524B77" w:rsidRPr="00DB707E" w:rsidRDefault="00524B77" w:rsidP="00430B21">
            <w:pPr>
              <w:pStyle w:val="TAC"/>
            </w:pPr>
            <w:r w:rsidRPr="00DB707E">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0F984F16" w14:textId="77777777" w:rsidR="00524B77" w:rsidRPr="00DB707E" w:rsidRDefault="00524B77" w:rsidP="00430B21">
            <w:pPr>
              <w:pStyle w:val="TAC"/>
            </w:pPr>
            <w:r w:rsidRPr="00DB707E">
              <w:t>Note 3</w:t>
            </w:r>
          </w:p>
        </w:tc>
      </w:tr>
      <w:tr w:rsidR="00524B77" w:rsidRPr="00DB707E" w14:paraId="6A0C6A3E"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7523EF8F" w14:textId="77777777" w:rsidR="00524B77" w:rsidRPr="00DB707E" w:rsidRDefault="00524B77" w:rsidP="00430B21">
            <w:pPr>
              <w:pStyle w:val="TAN"/>
            </w:pPr>
            <w:r w:rsidRPr="00DB707E">
              <w:t>N</w:t>
            </w:r>
            <w:r w:rsidRPr="00DB707E">
              <w:rPr>
                <w:lang w:eastAsia="zh-CN"/>
              </w:rPr>
              <w:t>OTE</w:t>
            </w:r>
            <w:r w:rsidRPr="00DB707E">
              <w:t xml:space="preserve"> 1:</w:t>
            </w:r>
            <w:r w:rsidRPr="00DB707E">
              <w:tab/>
              <w:t>Io is assumed to have constant EPRE across the bandwidth.</w:t>
            </w:r>
          </w:p>
          <w:p w14:paraId="7EAA4186" w14:textId="77777777" w:rsidR="00524B77" w:rsidRPr="00DB707E" w:rsidRDefault="00524B77" w:rsidP="00430B21">
            <w:pPr>
              <w:pStyle w:val="TAN"/>
            </w:pPr>
            <w:r w:rsidRPr="00DB707E">
              <w:t>N</w:t>
            </w:r>
            <w:r w:rsidRPr="00DB707E">
              <w:rPr>
                <w:lang w:eastAsia="zh-CN"/>
              </w:rPr>
              <w:t>OTE</w:t>
            </w:r>
            <w:r w:rsidRPr="00DB707E">
              <w:t xml:space="preserve"> 2:</w:t>
            </w:r>
            <w:r w:rsidRPr="00DB707E">
              <w:tab/>
            </w:r>
            <w:r w:rsidRPr="00DB707E">
              <w:rPr>
                <w:lang w:eastAsia="zh-CN"/>
              </w:rPr>
              <w:t xml:space="preserve">The parameter SSB </w:t>
            </w:r>
            <w:r w:rsidRPr="00DB707E">
              <w:t>Ês/Iot</w:t>
            </w:r>
            <w:r w:rsidRPr="00DB707E">
              <w:rPr>
                <w:lang w:eastAsia="zh-CN"/>
              </w:rPr>
              <w:t xml:space="preserve"> is the minimum SSB </w:t>
            </w:r>
            <w:r w:rsidRPr="00DB707E">
              <w:t>Ês/Iot</w:t>
            </w:r>
            <w:r w:rsidRPr="00DB707E">
              <w:rPr>
                <w:lang w:eastAsia="zh-CN"/>
              </w:rPr>
              <w:t xml:space="preserve"> of the pair of cells to which the requirement applies.</w:t>
            </w:r>
          </w:p>
          <w:p w14:paraId="64A0A631" w14:textId="77777777" w:rsidR="00524B77" w:rsidRPr="00DB707E" w:rsidRDefault="00524B77" w:rsidP="00430B21">
            <w:pPr>
              <w:pStyle w:val="TAN"/>
              <w:rPr>
                <w:rFonts w:cs="Arial"/>
              </w:rPr>
            </w:pPr>
            <w:r w:rsidRPr="00DB707E">
              <w:t>N</w:t>
            </w:r>
            <w:r w:rsidRPr="00DB707E">
              <w:rPr>
                <w:lang w:eastAsia="zh-CN"/>
              </w:rPr>
              <w:t>OTE</w:t>
            </w:r>
            <w:r w:rsidRPr="00DB707E">
              <w:t xml:space="preserve"> 3:</w:t>
            </w:r>
            <w:r w:rsidRPr="00DB707E">
              <w:tab/>
            </w:r>
            <w:r w:rsidRPr="00DB707E">
              <w:rPr>
                <w:rFonts w:cs="Arial"/>
              </w:rPr>
              <w:t>The same bands and the same Io conditions for each band apply for this requirement as for the corresponding highest accuracy requirement.</w:t>
            </w:r>
          </w:p>
          <w:p w14:paraId="02149107" w14:textId="77777777" w:rsidR="00524B77" w:rsidRPr="00DB707E" w:rsidRDefault="00524B77" w:rsidP="00430B21">
            <w:pPr>
              <w:pStyle w:val="TAN"/>
            </w:pPr>
            <w:r w:rsidRPr="00DB707E">
              <w:t>NOTE 4:</w:t>
            </w:r>
            <w:r w:rsidRPr="00DB707E">
              <w:tab/>
              <w:t>NR operating band groups in FR1 are as defined in clause 3.5.2.</w:t>
            </w:r>
          </w:p>
        </w:tc>
      </w:tr>
    </w:tbl>
    <w:p w14:paraId="7954CF46" w14:textId="77777777" w:rsidR="00524B77" w:rsidRPr="00DB707E" w:rsidRDefault="00524B77" w:rsidP="00524B77">
      <w:pPr>
        <w:rPr>
          <w:lang w:eastAsia="ko-KR"/>
        </w:rPr>
      </w:pPr>
    </w:p>
    <w:p w14:paraId="45A09FD9" w14:textId="77777777" w:rsidR="00524B77" w:rsidRPr="00DB707E" w:rsidRDefault="00524B77" w:rsidP="00524B77">
      <w:pPr>
        <w:pStyle w:val="Heading3"/>
        <w:rPr>
          <w:lang w:val="en-US" w:eastAsia="ko-KR"/>
        </w:rPr>
      </w:pPr>
      <w:r w:rsidRPr="00DB707E">
        <w:rPr>
          <w:lang w:val="en-US" w:eastAsia="ko-KR"/>
        </w:rPr>
        <w:t>10.1A.9</w:t>
      </w:r>
      <w:r w:rsidRPr="00DB707E">
        <w:rPr>
          <w:lang w:val="en-US" w:eastAsia="ko-KR"/>
        </w:rPr>
        <w:tab/>
        <w:t xml:space="preserve">Inter-frequency RSRQ accuracy requirements </w:t>
      </w:r>
      <w:r w:rsidRPr="00DB707E">
        <w:rPr>
          <w:lang w:val="en-US" w:eastAsia="zh-CN"/>
        </w:rPr>
        <w:t>for</w:t>
      </w:r>
      <w:r w:rsidRPr="00DB707E">
        <w:rPr>
          <w:lang w:val="en-US" w:eastAsia="ko-KR"/>
        </w:rPr>
        <w:t xml:space="preserve"> FR2</w:t>
      </w:r>
    </w:p>
    <w:p w14:paraId="3E212591" w14:textId="77777777" w:rsidR="00524B77" w:rsidRPr="00DB707E" w:rsidRDefault="00524B77" w:rsidP="00524B77">
      <w:pPr>
        <w:pStyle w:val="Heading4"/>
        <w:rPr>
          <w:lang w:val="en-US" w:eastAsia="zh-CN"/>
        </w:rPr>
      </w:pPr>
      <w:r w:rsidRPr="00DB707E">
        <w:rPr>
          <w:lang w:val="en-US" w:eastAsia="zh-CN"/>
        </w:rPr>
        <w:t>1</w:t>
      </w:r>
      <w:r w:rsidRPr="00DB707E">
        <w:t>0.1A.9.1</w:t>
      </w:r>
      <w:r w:rsidRPr="00DB707E">
        <w:tab/>
        <w:t>Inter-frequency SS-RSRQ accuracy requirements in FR2</w:t>
      </w:r>
    </w:p>
    <w:p w14:paraId="18AB0E6F" w14:textId="77777777" w:rsidR="00524B77" w:rsidRPr="00DB707E" w:rsidRDefault="00524B77" w:rsidP="00524B77">
      <w:pPr>
        <w:pStyle w:val="Heading5"/>
        <w:rPr>
          <w:lang w:val="en-US" w:eastAsia="zh-CN"/>
        </w:rPr>
      </w:pPr>
      <w:r w:rsidRPr="00DB707E">
        <w:rPr>
          <w:lang w:val="en-US" w:eastAsia="zh-CN"/>
        </w:rPr>
        <w:t>10.1A.9.1.1</w:t>
      </w:r>
      <w:r w:rsidRPr="00DB707E">
        <w:rPr>
          <w:lang w:val="en-US" w:eastAsia="zh-CN"/>
        </w:rPr>
        <w:tab/>
      </w:r>
      <w:r w:rsidRPr="00DB707E">
        <w:rPr>
          <w:lang w:eastAsia="zh-CN"/>
        </w:rPr>
        <w:t>Absolute</w:t>
      </w:r>
      <w:r w:rsidRPr="00DB707E">
        <w:t xml:space="preserve"> Accuracy of </w:t>
      </w:r>
      <w:r w:rsidRPr="00DB707E">
        <w:rPr>
          <w:lang w:eastAsia="zh-CN"/>
        </w:rPr>
        <w:t>SS-RSRQ</w:t>
      </w:r>
      <w:r w:rsidRPr="00DB707E">
        <w:rPr>
          <w:lang w:val="en-US" w:eastAsia="zh-CN"/>
        </w:rPr>
        <w:t xml:space="preserve"> in FR2</w:t>
      </w:r>
    </w:p>
    <w:p w14:paraId="75557B3B" w14:textId="77777777" w:rsidR="00524B77" w:rsidRPr="00DB707E" w:rsidRDefault="00524B77" w:rsidP="00524B77">
      <w:r w:rsidRPr="00DB707E">
        <w:rPr>
          <w:rFonts w:cs="v4.2.0"/>
        </w:rPr>
        <w:t xml:space="preserve">The accuracy requirements in clause </w:t>
      </w:r>
      <w:r w:rsidRPr="00DB707E">
        <w:rPr>
          <w:lang w:val="en-US" w:eastAsia="zh-CN"/>
        </w:rPr>
        <w:t>10.1.10.1.1</w:t>
      </w:r>
      <w:r w:rsidRPr="00DB707E">
        <w:rPr>
          <w:rFonts w:cs="v4.2.0"/>
        </w:rPr>
        <w:t xml:space="preserve"> shall apply.</w:t>
      </w:r>
    </w:p>
    <w:p w14:paraId="6B658E80" w14:textId="77777777" w:rsidR="00524B77" w:rsidRPr="00DB707E" w:rsidRDefault="00524B77" w:rsidP="00524B77">
      <w:pPr>
        <w:pStyle w:val="Heading5"/>
      </w:pPr>
      <w:r w:rsidRPr="00DB707E">
        <w:rPr>
          <w:lang w:eastAsia="zh-CN"/>
        </w:rPr>
        <w:t>10</w:t>
      </w:r>
      <w:r w:rsidRPr="00DB707E">
        <w:t>.1A.</w:t>
      </w:r>
      <w:r w:rsidRPr="00DB707E">
        <w:rPr>
          <w:lang w:eastAsia="zh-CN"/>
        </w:rPr>
        <w:t>9</w:t>
      </w:r>
      <w:r w:rsidRPr="00DB707E">
        <w:t>.</w:t>
      </w:r>
      <w:r w:rsidRPr="00DB707E">
        <w:rPr>
          <w:lang w:eastAsia="zh-CN"/>
        </w:rPr>
        <w:t>1.2</w:t>
      </w:r>
      <w:r w:rsidRPr="00DB707E">
        <w:tab/>
        <w:t xml:space="preserve">Relative Accuracy of </w:t>
      </w:r>
      <w:r w:rsidRPr="00DB707E">
        <w:rPr>
          <w:lang w:eastAsia="zh-CN"/>
        </w:rPr>
        <w:t>SS-RSRQ</w:t>
      </w:r>
      <w:r w:rsidRPr="00DB707E">
        <w:t xml:space="preserve"> in FR2</w:t>
      </w:r>
    </w:p>
    <w:p w14:paraId="3218BF4F" w14:textId="77777777" w:rsidR="00524B77" w:rsidRPr="00DB707E" w:rsidRDefault="00524B77" w:rsidP="00524B77">
      <w:r w:rsidRPr="00DB707E">
        <w:rPr>
          <w:rFonts w:cs="v4.2.0"/>
        </w:rPr>
        <w:t xml:space="preserve">The accuracy requirements in clause </w:t>
      </w:r>
      <w:r w:rsidRPr="00DB707E">
        <w:rPr>
          <w:lang w:eastAsia="zh-CN"/>
        </w:rPr>
        <w:t>10</w:t>
      </w:r>
      <w:r w:rsidRPr="00DB707E">
        <w:t>.1.</w:t>
      </w:r>
      <w:r w:rsidRPr="00DB707E">
        <w:rPr>
          <w:lang w:eastAsia="zh-CN"/>
        </w:rPr>
        <w:t>10</w:t>
      </w:r>
      <w:r w:rsidRPr="00DB707E">
        <w:t>.</w:t>
      </w:r>
      <w:r w:rsidRPr="00DB707E">
        <w:rPr>
          <w:lang w:eastAsia="zh-CN"/>
        </w:rPr>
        <w:t>1.2</w:t>
      </w:r>
      <w:r w:rsidRPr="00DB707E">
        <w:rPr>
          <w:rFonts w:cs="v4.2.0"/>
        </w:rPr>
        <w:t xml:space="preserve"> shall apply.</w:t>
      </w:r>
    </w:p>
    <w:p w14:paraId="7A700872" w14:textId="77777777" w:rsidR="00524B77" w:rsidRPr="00DB707E" w:rsidRDefault="00524B77" w:rsidP="00524B77">
      <w:pPr>
        <w:pStyle w:val="Heading3"/>
        <w:rPr>
          <w:lang w:val="en-US" w:eastAsia="ko-KR"/>
        </w:rPr>
      </w:pPr>
      <w:r w:rsidRPr="00DB707E">
        <w:rPr>
          <w:lang w:val="en-US" w:eastAsia="ko-KR"/>
        </w:rPr>
        <w:t>10.1A.10</w:t>
      </w:r>
      <w:r w:rsidRPr="00DB707E">
        <w:rPr>
          <w:lang w:val="en-US" w:eastAsia="ko-KR"/>
        </w:rPr>
        <w:tab/>
        <w:t xml:space="preserve"> Intra-frequency SINR accuracy requirements </w:t>
      </w:r>
      <w:r w:rsidRPr="00DB707E">
        <w:rPr>
          <w:lang w:val="en-US" w:eastAsia="zh-CN"/>
        </w:rPr>
        <w:t>for</w:t>
      </w:r>
      <w:r w:rsidRPr="00DB707E">
        <w:rPr>
          <w:lang w:val="en-US" w:eastAsia="ko-KR"/>
        </w:rPr>
        <w:t xml:space="preserve"> FR1</w:t>
      </w:r>
    </w:p>
    <w:p w14:paraId="3700F9F2" w14:textId="77777777" w:rsidR="00524B77" w:rsidRPr="00DB707E" w:rsidRDefault="00524B77" w:rsidP="00524B77">
      <w:pPr>
        <w:pStyle w:val="Heading4"/>
        <w:rPr>
          <w:lang w:val="en-US" w:eastAsia="zh-CN"/>
        </w:rPr>
      </w:pPr>
      <w:r w:rsidRPr="00DB707E">
        <w:rPr>
          <w:lang w:val="en-US" w:eastAsia="zh-CN"/>
        </w:rPr>
        <w:t>10.1A.10.1</w:t>
      </w:r>
      <w:r w:rsidRPr="00DB707E">
        <w:rPr>
          <w:lang w:val="en-US" w:eastAsia="zh-CN"/>
        </w:rPr>
        <w:tab/>
      </w:r>
      <w:r w:rsidRPr="00DB707E">
        <w:rPr>
          <w:lang w:val="en-US" w:eastAsia="ko-KR"/>
        </w:rPr>
        <w:t>Intra-frequency SS-SINR accuracy requirements</w:t>
      </w:r>
      <w:r w:rsidRPr="00DB707E">
        <w:rPr>
          <w:lang w:val="en-US" w:eastAsia="zh-CN"/>
        </w:rPr>
        <w:t xml:space="preserve"> in FR1</w:t>
      </w:r>
    </w:p>
    <w:p w14:paraId="3B818E8F" w14:textId="77777777" w:rsidR="00524B77" w:rsidRPr="00DB707E" w:rsidRDefault="00524B77" w:rsidP="00524B77">
      <w:pPr>
        <w:pStyle w:val="Heading5"/>
      </w:pPr>
      <w:r w:rsidRPr="00DB707E">
        <w:rPr>
          <w:lang w:eastAsia="zh-CN"/>
        </w:rPr>
        <w:t>10.1A.10</w:t>
      </w:r>
      <w:r w:rsidRPr="00DB707E">
        <w:t>.1</w:t>
      </w:r>
      <w:r w:rsidRPr="00DB707E">
        <w:rPr>
          <w:lang w:eastAsia="zh-CN"/>
        </w:rPr>
        <w:t>.1</w:t>
      </w:r>
      <w:r w:rsidRPr="00DB707E">
        <w:tab/>
        <w:t xml:space="preserve">Absolute </w:t>
      </w:r>
      <w:r w:rsidRPr="00DB707E">
        <w:rPr>
          <w:lang w:val="en-US" w:eastAsia="ko-KR"/>
        </w:rPr>
        <w:t xml:space="preserve">SS-SINR </w:t>
      </w:r>
      <w:r w:rsidRPr="00DB707E">
        <w:t>Accuracy in FR1</w:t>
      </w:r>
    </w:p>
    <w:p w14:paraId="7446CF06" w14:textId="77777777" w:rsidR="00524B77" w:rsidRPr="00DB707E" w:rsidRDefault="00524B77" w:rsidP="00524B77">
      <w:pPr>
        <w:rPr>
          <w:rFonts w:cs="v4.2.0"/>
        </w:rPr>
      </w:pPr>
      <w:r w:rsidRPr="00DB707E">
        <w:rPr>
          <w:rFonts w:cs="v4.2.0"/>
        </w:rPr>
        <w:t xml:space="preserve">The accuracy requirements in clause </w:t>
      </w:r>
      <w:r w:rsidRPr="00DB707E">
        <w:rPr>
          <w:lang w:eastAsia="zh-CN"/>
        </w:rPr>
        <w:t>10.1.12</w:t>
      </w:r>
      <w:r w:rsidRPr="00DB707E">
        <w:t>.1</w:t>
      </w:r>
      <w:r w:rsidRPr="00DB707E">
        <w:rPr>
          <w:lang w:eastAsia="zh-CN"/>
        </w:rPr>
        <w:t>.1</w:t>
      </w:r>
      <w:r w:rsidRPr="00DB707E">
        <w:rPr>
          <w:rFonts w:cs="v4.2.0"/>
        </w:rPr>
        <w:t xml:space="preserve"> shall apply when RedCap UE is capable of 2Rx. When UE is only required to support 1RX, the absolute accuracy requirements in Table </w:t>
      </w:r>
      <w:r w:rsidRPr="00DB707E">
        <w:rPr>
          <w:lang w:eastAsia="zh-CN"/>
        </w:rPr>
        <w:t>10.1A.10</w:t>
      </w:r>
      <w:r w:rsidRPr="00DB707E">
        <w:t>.1</w:t>
      </w:r>
      <w:r w:rsidRPr="00DB707E">
        <w:rPr>
          <w:lang w:eastAsia="zh-CN"/>
        </w:rPr>
        <w:t>.1-1</w:t>
      </w:r>
      <w:r w:rsidRPr="00DB707E">
        <w:rPr>
          <w:rFonts w:cs="v4.2.0"/>
        </w:rPr>
        <w:t xml:space="preserve"> are valid under the following conditions:</w:t>
      </w:r>
    </w:p>
    <w:p w14:paraId="5B811988" w14:textId="77777777" w:rsidR="00524B77" w:rsidRPr="00DB707E" w:rsidRDefault="00524B77" w:rsidP="00524B77">
      <w:pPr>
        <w:pStyle w:val="B10"/>
        <w:rPr>
          <w:rFonts w:cs="v4.2.0"/>
        </w:rPr>
      </w:pPr>
      <w:r w:rsidRPr="00DB707E">
        <w:t>-</w:t>
      </w:r>
      <w:r w:rsidRPr="00DB707E">
        <w:rPr>
          <w:rFonts w:ascii="Arial" w:hAnsi="Arial"/>
          <w:sz w:val="28"/>
          <w:lang w:val="en-US"/>
        </w:rPr>
        <w:tab/>
      </w:r>
      <w:r w:rsidRPr="00DB707E">
        <w:t>Conditions defined in clause 7.3 of TS 38.101-1 [18] for reference sensitivity are fulfilled.</w:t>
      </w:r>
    </w:p>
    <w:p w14:paraId="02BD5618" w14:textId="77777777" w:rsidR="00524B77" w:rsidRPr="00DB707E" w:rsidRDefault="00524B77" w:rsidP="00524B77">
      <w:pPr>
        <w:pStyle w:val="B10"/>
      </w:pPr>
      <w:r w:rsidRPr="00DB707E">
        <w:t>-</w:t>
      </w:r>
      <w:r w:rsidRPr="00DB707E">
        <w:rPr>
          <w:rFonts w:ascii="Arial" w:hAnsi="Arial"/>
          <w:sz w:val="28"/>
          <w:lang w:val="en-US"/>
        </w:rPr>
        <w:tab/>
      </w:r>
      <w:r w:rsidRPr="00DB707E">
        <w:t>Conditions for intra-frequency measurements are fulfilled according to Annex B.2.2 for a corresponding Band.</w:t>
      </w:r>
    </w:p>
    <w:p w14:paraId="349C8879" w14:textId="77777777" w:rsidR="00524B77" w:rsidRPr="00DB707E" w:rsidRDefault="00524B77" w:rsidP="00524B77">
      <w:pPr>
        <w:pStyle w:val="TH"/>
        <w:rPr>
          <w:lang w:eastAsia="zh-CN"/>
        </w:rPr>
      </w:pPr>
      <w:r w:rsidRPr="00DB707E">
        <w:t xml:space="preserve">Table </w:t>
      </w:r>
      <w:r w:rsidRPr="00DB707E">
        <w:rPr>
          <w:lang w:eastAsia="zh-CN"/>
        </w:rPr>
        <w:t>10.1A.10</w:t>
      </w:r>
      <w:r w:rsidRPr="00DB707E">
        <w:t>.1</w:t>
      </w:r>
      <w:r w:rsidRPr="00DB707E">
        <w:rPr>
          <w:lang w:eastAsia="zh-CN"/>
        </w:rPr>
        <w:t>.1-1</w:t>
      </w:r>
      <w:r w:rsidRPr="00DB707E">
        <w:t xml:space="preserve">: </w:t>
      </w:r>
      <w:r w:rsidRPr="00DB707E">
        <w:rPr>
          <w:lang w:eastAsia="zh-CN"/>
        </w:rPr>
        <w:t>SS-SINR</w:t>
      </w:r>
      <w:r w:rsidRPr="00DB707E">
        <w:t xml:space="preserve"> Intra frequency absolute accuracy</w:t>
      </w:r>
      <w:r w:rsidRPr="00DB707E">
        <w:rPr>
          <w:lang w:eastAsia="zh-CN"/>
        </w:rPr>
        <w:t xml:space="preserve"> </w:t>
      </w:r>
      <w:r w:rsidRPr="00DB707E">
        <w:t>for 1Rx RedCap UE</w:t>
      </w:r>
      <w:r w:rsidRPr="00DB707E">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524B77" w:rsidRPr="00DB707E" w14:paraId="2000424A" w14:textId="77777777" w:rsidTr="00430B2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742C54CF" w14:textId="77777777" w:rsidR="00524B77" w:rsidRPr="00DB707E" w:rsidRDefault="00524B77" w:rsidP="00430B21">
            <w:pPr>
              <w:pStyle w:val="TAH"/>
            </w:pPr>
            <w:r w:rsidRPr="00DB707E">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63BE8BA6" w14:textId="77777777" w:rsidR="00524B77" w:rsidRPr="00DB707E" w:rsidRDefault="00524B77" w:rsidP="00430B21">
            <w:pPr>
              <w:pStyle w:val="TAH"/>
            </w:pPr>
            <w:r w:rsidRPr="00DB707E">
              <w:t>Conditions</w:t>
            </w:r>
          </w:p>
        </w:tc>
      </w:tr>
      <w:tr w:rsidR="00524B77" w:rsidRPr="00DB707E" w14:paraId="6469EAD8" w14:textId="77777777" w:rsidTr="00430B21">
        <w:trPr>
          <w:jc w:val="center"/>
        </w:trPr>
        <w:tc>
          <w:tcPr>
            <w:tcW w:w="1035" w:type="dxa"/>
            <w:tcBorders>
              <w:top w:val="single" w:sz="4" w:space="0" w:color="auto"/>
              <w:left w:val="single" w:sz="4" w:space="0" w:color="auto"/>
              <w:right w:val="single" w:sz="4" w:space="0" w:color="auto"/>
            </w:tcBorders>
            <w:shd w:val="clear" w:color="auto" w:fill="auto"/>
          </w:tcPr>
          <w:p w14:paraId="44FBC256" w14:textId="77777777" w:rsidR="00524B77" w:rsidRPr="00DB707E" w:rsidRDefault="00524B77" w:rsidP="00430B21">
            <w:pPr>
              <w:pStyle w:val="TAH"/>
            </w:pPr>
            <w:r w:rsidRPr="00DB707E">
              <w:t>Normal condition</w:t>
            </w:r>
          </w:p>
        </w:tc>
        <w:tc>
          <w:tcPr>
            <w:tcW w:w="1047" w:type="dxa"/>
            <w:tcBorders>
              <w:top w:val="single" w:sz="4" w:space="0" w:color="auto"/>
              <w:left w:val="single" w:sz="4" w:space="0" w:color="auto"/>
              <w:right w:val="single" w:sz="4" w:space="0" w:color="auto"/>
            </w:tcBorders>
            <w:shd w:val="clear" w:color="auto" w:fill="auto"/>
          </w:tcPr>
          <w:p w14:paraId="095B3297" w14:textId="77777777" w:rsidR="00524B77" w:rsidRPr="00DB707E" w:rsidRDefault="00524B77" w:rsidP="00430B21">
            <w:pPr>
              <w:pStyle w:val="TAH"/>
            </w:pPr>
            <w:r w:rsidRPr="00DB707E">
              <w:t>Extreme condition</w:t>
            </w:r>
          </w:p>
        </w:tc>
        <w:tc>
          <w:tcPr>
            <w:tcW w:w="802" w:type="dxa"/>
            <w:tcBorders>
              <w:top w:val="single" w:sz="4" w:space="0" w:color="auto"/>
              <w:left w:val="single" w:sz="4" w:space="0" w:color="auto"/>
              <w:right w:val="single" w:sz="4" w:space="0" w:color="auto"/>
            </w:tcBorders>
            <w:shd w:val="clear" w:color="auto" w:fill="auto"/>
          </w:tcPr>
          <w:p w14:paraId="0AB07A10" w14:textId="77777777" w:rsidR="00524B77" w:rsidRPr="00DB707E" w:rsidRDefault="00524B77" w:rsidP="00430B21">
            <w:pPr>
              <w:pStyle w:val="TAH"/>
            </w:pPr>
            <w:r w:rsidRPr="00DB707E">
              <w:t>SSB Ês/Iot</w:t>
            </w:r>
          </w:p>
        </w:tc>
        <w:tc>
          <w:tcPr>
            <w:tcW w:w="7288" w:type="dxa"/>
            <w:gridSpan w:val="5"/>
            <w:tcBorders>
              <w:top w:val="single" w:sz="6" w:space="0" w:color="auto"/>
              <w:left w:val="single" w:sz="4" w:space="0" w:color="auto"/>
              <w:bottom w:val="single" w:sz="6" w:space="0" w:color="auto"/>
              <w:right w:val="single" w:sz="4" w:space="0" w:color="auto"/>
            </w:tcBorders>
            <w:shd w:val="clear" w:color="auto" w:fill="auto"/>
          </w:tcPr>
          <w:p w14:paraId="2F477BEC" w14:textId="77777777" w:rsidR="00524B77" w:rsidRPr="00DB707E" w:rsidRDefault="00524B77" w:rsidP="00430B21">
            <w:pPr>
              <w:pStyle w:val="TAH"/>
            </w:pPr>
            <w:r w:rsidRPr="00DB707E">
              <w:t>Io</w:t>
            </w:r>
            <w:r w:rsidRPr="00DB707E">
              <w:rPr>
                <w:vertAlign w:val="superscript"/>
                <w:lang w:eastAsia="zh-CN"/>
              </w:rPr>
              <w:t xml:space="preserve"> Note 1</w:t>
            </w:r>
            <w:r w:rsidRPr="00DB707E">
              <w:t xml:space="preserve"> range</w:t>
            </w:r>
          </w:p>
        </w:tc>
      </w:tr>
      <w:tr w:rsidR="00524B77" w:rsidRPr="00DB707E" w14:paraId="4FC4F515" w14:textId="77777777" w:rsidTr="00430B21">
        <w:trPr>
          <w:jc w:val="center"/>
        </w:trPr>
        <w:tc>
          <w:tcPr>
            <w:tcW w:w="1035" w:type="dxa"/>
            <w:tcBorders>
              <w:left w:val="single" w:sz="4" w:space="0" w:color="auto"/>
              <w:bottom w:val="single" w:sz="4" w:space="0" w:color="auto"/>
              <w:right w:val="single" w:sz="4" w:space="0" w:color="auto"/>
            </w:tcBorders>
            <w:shd w:val="clear" w:color="auto" w:fill="auto"/>
          </w:tcPr>
          <w:p w14:paraId="4E633FB4" w14:textId="77777777" w:rsidR="00524B77" w:rsidRPr="00DB707E" w:rsidRDefault="00524B77" w:rsidP="00430B21">
            <w:pPr>
              <w:pStyle w:val="TAH"/>
            </w:pPr>
          </w:p>
        </w:tc>
        <w:tc>
          <w:tcPr>
            <w:tcW w:w="1047" w:type="dxa"/>
            <w:tcBorders>
              <w:left w:val="single" w:sz="4" w:space="0" w:color="auto"/>
              <w:bottom w:val="single" w:sz="4" w:space="0" w:color="auto"/>
              <w:right w:val="single" w:sz="4" w:space="0" w:color="auto"/>
            </w:tcBorders>
            <w:shd w:val="clear" w:color="auto" w:fill="auto"/>
          </w:tcPr>
          <w:p w14:paraId="508FB10F" w14:textId="77777777" w:rsidR="00524B77" w:rsidRPr="00DB707E" w:rsidRDefault="00524B77" w:rsidP="00430B21">
            <w:pPr>
              <w:pStyle w:val="TAH"/>
            </w:pPr>
          </w:p>
        </w:tc>
        <w:tc>
          <w:tcPr>
            <w:tcW w:w="802" w:type="dxa"/>
            <w:tcBorders>
              <w:left w:val="single" w:sz="4" w:space="0" w:color="auto"/>
              <w:bottom w:val="single" w:sz="4" w:space="0" w:color="auto"/>
              <w:right w:val="single" w:sz="4" w:space="0" w:color="auto"/>
            </w:tcBorders>
            <w:shd w:val="clear" w:color="auto" w:fill="auto"/>
          </w:tcPr>
          <w:p w14:paraId="33887008" w14:textId="77777777" w:rsidR="00524B77" w:rsidRPr="00DB707E" w:rsidRDefault="00524B77" w:rsidP="00430B21">
            <w:pPr>
              <w:pStyle w:val="TAH"/>
            </w:pPr>
            <w:r w:rsidRPr="00DB707E">
              <w:rPr>
                <w:vertAlign w:val="superscript"/>
                <w:lang w:eastAsia="zh-CN"/>
              </w:rPr>
              <w:t>Note 3</w:t>
            </w:r>
          </w:p>
        </w:tc>
        <w:tc>
          <w:tcPr>
            <w:tcW w:w="2298" w:type="dxa"/>
            <w:tcBorders>
              <w:top w:val="single" w:sz="6" w:space="0" w:color="auto"/>
              <w:left w:val="single" w:sz="4" w:space="0" w:color="auto"/>
              <w:bottom w:val="single" w:sz="6" w:space="0" w:color="auto"/>
              <w:right w:val="single" w:sz="4" w:space="0" w:color="auto"/>
            </w:tcBorders>
            <w:shd w:val="clear" w:color="auto" w:fill="auto"/>
          </w:tcPr>
          <w:p w14:paraId="143EA5BF" w14:textId="77777777" w:rsidR="00524B77" w:rsidRPr="00DB707E" w:rsidRDefault="00524B77" w:rsidP="00430B21">
            <w:pPr>
              <w:pStyle w:val="TAH"/>
            </w:pPr>
            <w:r w:rsidRPr="00DB707E">
              <w:t>NR operating band groups</w:t>
            </w:r>
            <w:r w:rsidRPr="00DB707E">
              <w:rPr>
                <w:vertAlign w:val="superscript"/>
              </w:rPr>
              <w:t xml:space="preserve"> </w:t>
            </w:r>
            <w:r w:rsidRPr="00DB707E">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tcPr>
          <w:p w14:paraId="426944C3"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5B7FC567" w14:textId="77777777" w:rsidR="00524B77" w:rsidRPr="00DB707E" w:rsidRDefault="00524B77" w:rsidP="00430B21">
            <w:pPr>
              <w:pStyle w:val="TAH"/>
            </w:pPr>
            <w:r w:rsidRPr="00DB707E">
              <w:t>Maximum Io</w:t>
            </w:r>
          </w:p>
        </w:tc>
      </w:tr>
      <w:tr w:rsidR="00524B77" w:rsidRPr="00DB707E" w14:paraId="21DB138F" w14:textId="77777777" w:rsidTr="00430B21">
        <w:trPr>
          <w:trHeight w:val="308"/>
          <w:jc w:val="center"/>
        </w:trPr>
        <w:tc>
          <w:tcPr>
            <w:tcW w:w="1035" w:type="dxa"/>
            <w:tcBorders>
              <w:top w:val="single" w:sz="4" w:space="0" w:color="auto"/>
              <w:left w:val="single" w:sz="4" w:space="0" w:color="auto"/>
              <w:right w:val="single" w:sz="6" w:space="0" w:color="auto"/>
            </w:tcBorders>
            <w:shd w:val="clear" w:color="auto" w:fill="auto"/>
          </w:tcPr>
          <w:p w14:paraId="51FAF959" w14:textId="77777777" w:rsidR="00524B77" w:rsidRPr="00DB707E" w:rsidRDefault="00524B77" w:rsidP="00430B21">
            <w:pPr>
              <w:pStyle w:val="TAH"/>
            </w:pPr>
            <w:r w:rsidRPr="00DB707E">
              <w:t>dB</w:t>
            </w:r>
          </w:p>
        </w:tc>
        <w:tc>
          <w:tcPr>
            <w:tcW w:w="1047" w:type="dxa"/>
            <w:tcBorders>
              <w:top w:val="single" w:sz="4" w:space="0" w:color="auto"/>
              <w:left w:val="single" w:sz="6" w:space="0" w:color="auto"/>
              <w:right w:val="single" w:sz="6" w:space="0" w:color="auto"/>
            </w:tcBorders>
            <w:shd w:val="clear" w:color="auto" w:fill="auto"/>
          </w:tcPr>
          <w:p w14:paraId="243CB98E" w14:textId="77777777" w:rsidR="00524B77" w:rsidRPr="00DB707E" w:rsidRDefault="00524B77" w:rsidP="00430B21">
            <w:pPr>
              <w:pStyle w:val="TAH"/>
            </w:pPr>
            <w:r w:rsidRPr="00DB707E">
              <w:t>dB</w:t>
            </w:r>
          </w:p>
        </w:tc>
        <w:tc>
          <w:tcPr>
            <w:tcW w:w="802" w:type="dxa"/>
            <w:tcBorders>
              <w:top w:val="single" w:sz="4" w:space="0" w:color="auto"/>
              <w:left w:val="single" w:sz="6" w:space="0" w:color="auto"/>
              <w:right w:val="single" w:sz="6" w:space="0" w:color="auto"/>
            </w:tcBorders>
            <w:shd w:val="clear" w:color="auto" w:fill="auto"/>
          </w:tcPr>
          <w:p w14:paraId="48A7377B" w14:textId="77777777" w:rsidR="00524B77" w:rsidRPr="00DB707E" w:rsidRDefault="00524B77" w:rsidP="00430B21">
            <w:pPr>
              <w:pStyle w:val="TAH"/>
            </w:pPr>
            <w:r w:rsidRPr="00DB707E">
              <w:t>dB</w:t>
            </w:r>
          </w:p>
        </w:tc>
        <w:tc>
          <w:tcPr>
            <w:tcW w:w="2298" w:type="dxa"/>
            <w:tcBorders>
              <w:top w:val="single" w:sz="6" w:space="0" w:color="auto"/>
              <w:left w:val="single" w:sz="6" w:space="0" w:color="auto"/>
              <w:right w:val="single" w:sz="4" w:space="0" w:color="auto"/>
            </w:tcBorders>
            <w:shd w:val="clear" w:color="auto" w:fill="auto"/>
          </w:tcPr>
          <w:p w14:paraId="52083AAE" w14:textId="77777777" w:rsidR="00524B77" w:rsidRPr="00DB707E" w:rsidRDefault="00524B77" w:rsidP="00430B21">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20C00C9D"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02B0AFFE"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4F5C454A" w14:textId="77777777" w:rsidR="00524B77" w:rsidRPr="00DB707E" w:rsidRDefault="00524B77" w:rsidP="00430B21">
            <w:pPr>
              <w:pStyle w:val="TAH"/>
            </w:pPr>
            <w:r w:rsidRPr="00DB707E">
              <w:t>dBm/BW</w:t>
            </w:r>
            <w:r w:rsidRPr="00DB707E">
              <w:rPr>
                <w:vertAlign w:val="subscript"/>
              </w:rPr>
              <w:t>Channel</w:t>
            </w:r>
          </w:p>
        </w:tc>
      </w:tr>
      <w:tr w:rsidR="00524B77" w:rsidRPr="00DB707E" w14:paraId="623E4756" w14:textId="77777777" w:rsidTr="00430B21">
        <w:trPr>
          <w:trHeight w:val="307"/>
          <w:jc w:val="center"/>
        </w:trPr>
        <w:tc>
          <w:tcPr>
            <w:tcW w:w="1035" w:type="dxa"/>
            <w:tcBorders>
              <w:left w:val="single" w:sz="4" w:space="0" w:color="auto"/>
              <w:bottom w:val="single" w:sz="6" w:space="0" w:color="auto"/>
              <w:right w:val="single" w:sz="6" w:space="0" w:color="auto"/>
            </w:tcBorders>
            <w:shd w:val="clear" w:color="auto" w:fill="auto"/>
          </w:tcPr>
          <w:p w14:paraId="6C8A201A" w14:textId="77777777" w:rsidR="00524B77" w:rsidRPr="00DB707E" w:rsidRDefault="00524B77" w:rsidP="00430B21">
            <w:pPr>
              <w:pStyle w:val="TAH"/>
            </w:pPr>
          </w:p>
        </w:tc>
        <w:tc>
          <w:tcPr>
            <w:tcW w:w="1047" w:type="dxa"/>
            <w:tcBorders>
              <w:left w:val="single" w:sz="6" w:space="0" w:color="auto"/>
              <w:bottom w:val="single" w:sz="6" w:space="0" w:color="auto"/>
              <w:right w:val="single" w:sz="6" w:space="0" w:color="auto"/>
            </w:tcBorders>
            <w:shd w:val="clear" w:color="auto" w:fill="auto"/>
          </w:tcPr>
          <w:p w14:paraId="09FE6668" w14:textId="77777777" w:rsidR="00524B77" w:rsidRPr="00DB707E" w:rsidRDefault="00524B77" w:rsidP="00430B21">
            <w:pPr>
              <w:pStyle w:val="TAH"/>
            </w:pPr>
          </w:p>
        </w:tc>
        <w:tc>
          <w:tcPr>
            <w:tcW w:w="802" w:type="dxa"/>
            <w:tcBorders>
              <w:left w:val="single" w:sz="6" w:space="0" w:color="auto"/>
              <w:bottom w:val="single" w:sz="6" w:space="0" w:color="auto"/>
              <w:right w:val="single" w:sz="6" w:space="0" w:color="auto"/>
            </w:tcBorders>
            <w:shd w:val="clear" w:color="auto" w:fill="auto"/>
          </w:tcPr>
          <w:p w14:paraId="7FAB590D" w14:textId="77777777" w:rsidR="00524B77" w:rsidRPr="00DB707E" w:rsidRDefault="00524B77" w:rsidP="00430B21">
            <w:pPr>
              <w:pStyle w:val="TAH"/>
            </w:pPr>
          </w:p>
        </w:tc>
        <w:tc>
          <w:tcPr>
            <w:tcW w:w="2298" w:type="dxa"/>
            <w:tcBorders>
              <w:left w:val="single" w:sz="6" w:space="0" w:color="auto"/>
              <w:bottom w:val="single" w:sz="6" w:space="0" w:color="auto"/>
              <w:right w:val="single" w:sz="4" w:space="0" w:color="auto"/>
            </w:tcBorders>
            <w:shd w:val="clear" w:color="auto" w:fill="auto"/>
          </w:tcPr>
          <w:p w14:paraId="6B844D8B" w14:textId="77777777" w:rsidR="00524B77" w:rsidRPr="00DB707E" w:rsidRDefault="00524B77" w:rsidP="00430B2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D9FB738"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0344C493"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0035FE18"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32618529" w14:textId="77777777" w:rsidR="00524B77" w:rsidRPr="00DB707E" w:rsidRDefault="00524B77" w:rsidP="00430B21">
            <w:pPr>
              <w:pStyle w:val="TAH"/>
            </w:pPr>
          </w:p>
        </w:tc>
      </w:tr>
      <w:tr w:rsidR="00524B77" w:rsidRPr="00DB707E" w14:paraId="5D8661E7" w14:textId="77777777" w:rsidTr="00430B21">
        <w:trPr>
          <w:jc w:val="center"/>
        </w:trPr>
        <w:tc>
          <w:tcPr>
            <w:tcW w:w="1035" w:type="dxa"/>
            <w:tcBorders>
              <w:top w:val="single" w:sz="6" w:space="0" w:color="auto"/>
              <w:left w:val="single" w:sz="4" w:space="0" w:color="auto"/>
              <w:right w:val="single" w:sz="6" w:space="0" w:color="auto"/>
            </w:tcBorders>
            <w:shd w:val="clear" w:color="auto" w:fill="auto"/>
          </w:tcPr>
          <w:p w14:paraId="0A4388D6" w14:textId="77777777" w:rsidR="00524B77" w:rsidRPr="00DB707E" w:rsidRDefault="00524B77" w:rsidP="00430B21">
            <w:pPr>
              <w:pStyle w:val="TAC"/>
            </w:pPr>
          </w:p>
        </w:tc>
        <w:tc>
          <w:tcPr>
            <w:tcW w:w="1047" w:type="dxa"/>
            <w:tcBorders>
              <w:top w:val="single" w:sz="6" w:space="0" w:color="auto"/>
              <w:left w:val="single" w:sz="6" w:space="0" w:color="auto"/>
              <w:right w:val="single" w:sz="6" w:space="0" w:color="auto"/>
            </w:tcBorders>
            <w:shd w:val="clear" w:color="auto" w:fill="auto"/>
          </w:tcPr>
          <w:p w14:paraId="5BE51E02" w14:textId="77777777" w:rsidR="00524B77" w:rsidRPr="00DB707E" w:rsidRDefault="00524B77" w:rsidP="00430B21">
            <w:pPr>
              <w:pStyle w:val="TAC"/>
            </w:pPr>
          </w:p>
        </w:tc>
        <w:tc>
          <w:tcPr>
            <w:tcW w:w="802" w:type="dxa"/>
            <w:tcBorders>
              <w:top w:val="single" w:sz="6" w:space="0" w:color="auto"/>
              <w:left w:val="single" w:sz="6" w:space="0" w:color="auto"/>
              <w:right w:val="single" w:sz="6" w:space="0" w:color="auto"/>
            </w:tcBorders>
            <w:shd w:val="clear" w:color="auto" w:fill="auto"/>
          </w:tcPr>
          <w:p w14:paraId="7FBD0944"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2196E0B" w14:textId="77777777" w:rsidR="00524B77" w:rsidRPr="00DB707E" w:rsidRDefault="00524B77" w:rsidP="00430B21">
            <w:pPr>
              <w:pStyle w:val="TAC"/>
            </w:pPr>
            <w:r w:rsidRPr="00DB707E">
              <w:t>NR_FDD_FR1_A, NR_TDD_FR1_A,</w:t>
            </w:r>
          </w:p>
          <w:p w14:paraId="749F44AE" w14:textId="77777777" w:rsidR="00524B77" w:rsidRPr="00DB707E" w:rsidRDefault="00524B77" w:rsidP="00430B21">
            <w:pPr>
              <w:pStyle w:val="TAC"/>
            </w:pPr>
            <w:r w:rsidRPr="00DB707E">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D1AB941" w14:textId="77777777" w:rsidR="00524B77" w:rsidRPr="00DB707E" w:rsidRDefault="00524B77" w:rsidP="00430B21">
            <w:pPr>
              <w:pStyle w:val="TAC"/>
            </w:pPr>
            <w:r w:rsidRPr="00DB707E">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541B7C6" w14:textId="77777777" w:rsidR="00524B77" w:rsidRPr="00DB707E" w:rsidRDefault="00524B77" w:rsidP="00430B21">
            <w:pPr>
              <w:pStyle w:val="TAC"/>
              <w:rPr>
                <w:rFonts w:cs="Arial"/>
              </w:rPr>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533F381"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5118E22" w14:textId="77777777" w:rsidR="00524B77" w:rsidRPr="00DB707E" w:rsidRDefault="00524B77" w:rsidP="00430B21">
            <w:pPr>
              <w:pStyle w:val="TAC"/>
            </w:pPr>
            <w:r w:rsidRPr="00DB707E">
              <w:t>-50</w:t>
            </w:r>
          </w:p>
        </w:tc>
      </w:tr>
      <w:tr w:rsidR="00524B77" w:rsidRPr="00DB707E" w14:paraId="0DC9C5AC" w14:textId="77777777" w:rsidTr="00430B21">
        <w:trPr>
          <w:jc w:val="center"/>
        </w:trPr>
        <w:tc>
          <w:tcPr>
            <w:tcW w:w="1035" w:type="dxa"/>
            <w:tcBorders>
              <w:left w:val="single" w:sz="4" w:space="0" w:color="auto"/>
              <w:right w:val="single" w:sz="6" w:space="0" w:color="auto"/>
            </w:tcBorders>
            <w:shd w:val="clear" w:color="auto" w:fill="auto"/>
          </w:tcPr>
          <w:p w14:paraId="0766B390"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0A034A39"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3B4314F2"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7875026" w14:textId="77777777" w:rsidR="00524B77" w:rsidRPr="00DB707E" w:rsidRDefault="00524B77" w:rsidP="00430B21">
            <w:pPr>
              <w:pStyle w:val="TAC"/>
            </w:pPr>
            <w:r w:rsidRPr="00DB707E">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D1A792D" w14:textId="77777777" w:rsidR="00524B77" w:rsidRPr="00DB707E" w:rsidRDefault="00524B77" w:rsidP="00430B21">
            <w:pPr>
              <w:pStyle w:val="TAC"/>
            </w:pPr>
            <w:r w:rsidRPr="00DB707E">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BA7961B" w14:textId="77777777" w:rsidR="00524B77" w:rsidRPr="00DB707E" w:rsidRDefault="00524B77" w:rsidP="00430B21">
            <w:pPr>
              <w:pStyle w:val="TAC"/>
              <w:rPr>
                <w:rFonts w:cs="Arial"/>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7364CB9"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92A108C" w14:textId="77777777" w:rsidR="00524B77" w:rsidRPr="00DB707E" w:rsidRDefault="00524B77" w:rsidP="00430B21">
            <w:pPr>
              <w:pStyle w:val="TAC"/>
            </w:pPr>
            <w:r w:rsidRPr="00DB707E">
              <w:t>-50</w:t>
            </w:r>
          </w:p>
        </w:tc>
      </w:tr>
      <w:tr w:rsidR="00524B77" w:rsidRPr="00DB707E" w14:paraId="40B750A1" w14:textId="77777777" w:rsidTr="00430B21">
        <w:trPr>
          <w:jc w:val="center"/>
        </w:trPr>
        <w:tc>
          <w:tcPr>
            <w:tcW w:w="1035" w:type="dxa"/>
            <w:tcBorders>
              <w:left w:val="single" w:sz="4" w:space="0" w:color="auto"/>
              <w:right w:val="single" w:sz="6" w:space="0" w:color="auto"/>
            </w:tcBorders>
            <w:shd w:val="clear" w:color="auto" w:fill="auto"/>
          </w:tcPr>
          <w:p w14:paraId="10B0FFCD"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7152044E"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727C2450"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F89F432" w14:textId="77777777" w:rsidR="00524B77" w:rsidRPr="00DB707E" w:rsidRDefault="00524B77" w:rsidP="00430B21">
            <w:pPr>
              <w:pStyle w:val="TAC"/>
            </w:pPr>
            <w:r w:rsidRPr="00DB707E">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A69E1A2" w14:textId="77777777" w:rsidR="00524B77" w:rsidRPr="00DB707E" w:rsidRDefault="00524B77" w:rsidP="00430B21">
            <w:pPr>
              <w:pStyle w:val="TAC"/>
            </w:pPr>
            <w:r w:rsidRPr="00DB707E">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1B01B18F" w14:textId="77777777" w:rsidR="00524B77" w:rsidRPr="00DB707E" w:rsidRDefault="00524B77" w:rsidP="00430B21">
            <w:pPr>
              <w:pStyle w:val="TAC"/>
              <w:rPr>
                <w:rFonts w:cs="Arial"/>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B058D2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F04A840" w14:textId="77777777" w:rsidR="00524B77" w:rsidRPr="00DB707E" w:rsidRDefault="00524B77" w:rsidP="00430B21">
            <w:pPr>
              <w:pStyle w:val="TAC"/>
            </w:pPr>
            <w:r w:rsidRPr="00DB707E">
              <w:t>-50</w:t>
            </w:r>
          </w:p>
        </w:tc>
      </w:tr>
      <w:tr w:rsidR="00524B77" w:rsidRPr="00DB707E" w14:paraId="267A3614" w14:textId="77777777" w:rsidTr="00430B21">
        <w:trPr>
          <w:jc w:val="center"/>
        </w:trPr>
        <w:tc>
          <w:tcPr>
            <w:tcW w:w="1035" w:type="dxa"/>
            <w:tcBorders>
              <w:left w:val="single" w:sz="4" w:space="0" w:color="auto"/>
              <w:right w:val="single" w:sz="6" w:space="0" w:color="auto"/>
            </w:tcBorders>
            <w:shd w:val="clear" w:color="auto" w:fill="auto"/>
          </w:tcPr>
          <w:p w14:paraId="539CFEDD" w14:textId="77777777" w:rsidR="00524B77" w:rsidRPr="00DB707E" w:rsidRDefault="00524B77" w:rsidP="00430B21">
            <w:pPr>
              <w:pStyle w:val="TAC"/>
            </w:pPr>
            <w:r w:rsidRPr="00DB707E">
              <w:sym w:font="Symbol" w:char="F0B1"/>
            </w:r>
            <w:r w:rsidRPr="00DB707E">
              <w:t>3.0</w:t>
            </w:r>
          </w:p>
        </w:tc>
        <w:tc>
          <w:tcPr>
            <w:tcW w:w="1047" w:type="dxa"/>
            <w:tcBorders>
              <w:left w:val="single" w:sz="6" w:space="0" w:color="auto"/>
              <w:right w:val="single" w:sz="6" w:space="0" w:color="auto"/>
            </w:tcBorders>
            <w:shd w:val="clear" w:color="auto" w:fill="auto"/>
          </w:tcPr>
          <w:p w14:paraId="48EA3DF9" w14:textId="77777777" w:rsidR="00524B77" w:rsidRPr="00DB707E" w:rsidRDefault="00524B77" w:rsidP="00430B21">
            <w:pPr>
              <w:pStyle w:val="TAC"/>
            </w:pPr>
            <w:r w:rsidRPr="00DB707E">
              <w:sym w:font="Symbol" w:char="F0B1"/>
            </w:r>
            <w:r w:rsidRPr="00DB707E">
              <w:t>4</w:t>
            </w:r>
          </w:p>
        </w:tc>
        <w:tc>
          <w:tcPr>
            <w:tcW w:w="802" w:type="dxa"/>
            <w:tcBorders>
              <w:left w:val="single" w:sz="6" w:space="0" w:color="auto"/>
              <w:right w:val="single" w:sz="6" w:space="0" w:color="auto"/>
            </w:tcBorders>
            <w:shd w:val="clear" w:color="auto" w:fill="auto"/>
          </w:tcPr>
          <w:p w14:paraId="5D58638E" w14:textId="77777777" w:rsidR="00524B77" w:rsidRPr="00DB707E" w:rsidRDefault="00524B77" w:rsidP="00430B21">
            <w:pPr>
              <w:pStyle w:val="TAC"/>
            </w:pPr>
            <w:r w:rsidRPr="00DB707E">
              <w:sym w:font="Symbol" w:char="F0B3"/>
            </w:r>
            <w:r w:rsidRPr="00DB707E">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2F02038" w14:textId="77777777" w:rsidR="00524B77" w:rsidRPr="00DB707E" w:rsidRDefault="00524B77" w:rsidP="00430B21">
            <w:pPr>
              <w:pStyle w:val="TAC"/>
              <w:rPr>
                <w:lang w:val="sv-SE"/>
              </w:rPr>
            </w:pPr>
            <w:r w:rsidRPr="00DB707E">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110D1D1" w14:textId="77777777" w:rsidR="00524B77" w:rsidRPr="00DB707E" w:rsidRDefault="00524B77" w:rsidP="00430B21">
            <w:pPr>
              <w:pStyle w:val="TAC"/>
            </w:pPr>
            <w:r w:rsidRPr="00DB707E">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D4E3816" w14:textId="77777777" w:rsidR="00524B77" w:rsidRPr="00DB707E" w:rsidRDefault="00524B77" w:rsidP="00430B21">
            <w:pPr>
              <w:pStyle w:val="TAC"/>
              <w:rPr>
                <w:rFonts w:cs="Arial"/>
              </w:rPr>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CCA72E5"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DA678EE" w14:textId="77777777" w:rsidR="00524B77" w:rsidRPr="00DB707E" w:rsidRDefault="00524B77" w:rsidP="00430B21">
            <w:pPr>
              <w:pStyle w:val="TAC"/>
            </w:pPr>
            <w:r w:rsidRPr="00DB707E">
              <w:t>-50</w:t>
            </w:r>
          </w:p>
        </w:tc>
      </w:tr>
      <w:tr w:rsidR="00524B77" w:rsidRPr="00DB707E" w14:paraId="1EB8CA85" w14:textId="77777777" w:rsidTr="00430B21">
        <w:trPr>
          <w:jc w:val="center"/>
        </w:trPr>
        <w:tc>
          <w:tcPr>
            <w:tcW w:w="1035" w:type="dxa"/>
            <w:tcBorders>
              <w:left w:val="single" w:sz="4" w:space="0" w:color="auto"/>
              <w:right w:val="single" w:sz="6" w:space="0" w:color="auto"/>
            </w:tcBorders>
            <w:shd w:val="clear" w:color="auto" w:fill="auto"/>
          </w:tcPr>
          <w:p w14:paraId="39795B3B"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7FADC896"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48F520BF"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EF61BC5" w14:textId="77777777" w:rsidR="00524B77" w:rsidRPr="00DB707E" w:rsidDel="00836998" w:rsidRDefault="00524B77" w:rsidP="00430B21">
            <w:pPr>
              <w:pStyle w:val="TAC"/>
              <w:rPr>
                <w:lang w:val="sv-SE"/>
              </w:rPr>
            </w:pPr>
            <w:r w:rsidRPr="00DB707E">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2945358" w14:textId="77777777" w:rsidR="00524B77" w:rsidRPr="00DB707E" w:rsidRDefault="00524B77" w:rsidP="00430B21">
            <w:pPr>
              <w:pStyle w:val="TAC"/>
            </w:pPr>
            <w:r w:rsidRPr="00DB707E">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F4E3DB2" w14:textId="77777777" w:rsidR="00524B77" w:rsidRPr="00DB707E" w:rsidRDefault="00524B77" w:rsidP="00430B21">
            <w:pPr>
              <w:pStyle w:val="TAC"/>
              <w:rPr>
                <w:rFonts w:cs="Arial"/>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7A1B0A1"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101D798" w14:textId="77777777" w:rsidR="00524B77" w:rsidRPr="00DB707E" w:rsidRDefault="00524B77" w:rsidP="00430B21">
            <w:pPr>
              <w:pStyle w:val="TAC"/>
            </w:pPr>
            <w:r w:rsidRPr="00DB707E">
              <w:t>-50</w:t>
            </w:r>
          </w:p>
        </w:tc>
      </w:tr>
      <w:tr w:rsidR="00524B77" w:rsidRPr="00DB707E" w14:paraId="60E187F5" w14:textId="77777777" w:rsidTr="00430B21">
        <w:trPr>
          <w:jc w:val="center"/>
        </w:trPr>
        <w:tc>
          <w:tcPr>
            <w:tcW w:w="1035" w:type="dxa"/>
            <w:tcBorders>
              <w:left w:val="single" w:sz="4" w:space="0" w:color="auto"/>
              <w:right w:val="single" w:sz="6" w:space="0" w:color="auto"/>
            </w:tcBorders>
            <w:shd w:val="clear" w:color="auto" w:fill="auto"/>
          </w:tcPr>
          <w:p w14:paraId="323E242A"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14FE1C8D"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739A1706"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9723E28" w14:textId="77777777" w:rsidR="00524B77" w:rsidRPr="00DB707E" w:rsidRDefault="00524B77" w:rsidP="00430B21">
            <w:pPr>
              <w:pStyle w:val="TAC"/>
              <w:rPr>
                <w:lang w:val="sv-SE"/>
              </w:rPr>
            </w:pPr>
            <w:r w:rsidRPr="00DB707E">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EC783D6" w14:textId="77777777" w:rsidR="00524B77" w:rsidRPr="00DB707E" w:rsidRDefault="00524B77" w:rsidP="00430B21">
            <w:pPr>
              <w:pStyle w:val="TAC"/>
            </w:pPr>
            <w:r w:rsidRPr="00DB707E">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7197399"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67479AA"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D6C5ABB" w14:textId="77777777" w:rsidR="00524B77" w:rsidRPr="00DB707E" w:rsidRDefault="00524B77" w:rsidP="00430B21">
            <w:pPr>
              <w:pStyle w:val="TAC"/>
            </w:pPr>
            <w:r w:rsidRPr="00DB707E">
              <w:t>-50</w:t>
            </w:r>
          </w:p>
        </w:tc>
      </w:tr>
      <w:tr w:rsidR="00524B77" w:rsidRPr="00DB707E" w14:paraId="3F5B4FF3" w14:textId="77777777" w:rsidTr="00430B21">
        <w:trPr>
          <w:jc w:val="center"/>
        </w:trPr>
        <w:tc>
          <w:tcPr>
            <w:tcW w:w="1035" w:type="dxa"/>
            <w:tcBorders>
              <w:left w:val="single" w:sz="4" w:space="0" w:color="auto"/>
              <w:right w:val="single" w:sz="6" w:space="0" w:color="auto"/>
            </w:tcBorders>
            <w:shd w:val="clear" w:color="auto" w:fill="auto"/>
          </w:tcPr>
          <w:p w14:paraId="47299B8B"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2240FFA9"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329CB9E8"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194C602"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37D1492" w14:textId="77777777" w:rsidR="00524B77" w:rsidRPr="00DB707E" w:rsidRDefault="00524B77" w:rsidP="00430B21">
            <w:pPr>
              <w:pStyle w:val="TAC"/>
            </w:pPr>
            <w:r w:rsidRPr="00DB707E">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08AD058"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867BFB9"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F32EA81" w14:textId="77777777" w:rsidR="00524B77" w:rsidRPr="00DB707E" w:rsidRDefault="00524B77" w:rsidP="00430B21">
            <w:pPr>
              <w:pStyle w:val="TAC"/>
            </w:pPr>
            <w:r w:rsidRPr="00DB707E">
              <w:t>-50</w:t>
            </w:r>
          </w:p>
        </w:tc>
      </w:tr>
      <w:tr w:rsidR="00524B77" w:rsidRPr="00DB707E" w14:paraId="5E540ED0" w14:textId="77777777" w:rsidTr="00430B21">
        <w:trPr>
          <w:trHeight w:val="65"/>
          <w:jc w:val="center"/>
        </w:trPr>
        <w:tc>
          <w:tcPr>
            <w:tcW w:w="1035" w:type="dxa"/>
            <w:tcBorders>
              <w:left w:val="single" w:sz="4" w:space="0" w:color="auto"/>
              <w:right w:val="single" w:sz="6" w:space="0" w:color="auto"/>
            </w:tcBorders>
            <w:shd w:val="clear" w:color="auto" w:fill="auto"/>
          </w:tcPr>
          <w:p w14:paraId="2D16E523"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62612A9B"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44AC73AB"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6DE4E86"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97737A2" w14:textId="77777777" w:rsidR="00524B77" w:rsidRPr="00DB707E" w:rsidRDefault="00524B77" w:rsidP="00430B21">
            <w:pPr>
              <w:pStyle w:val="TAC"/>
            </w:pPr>
            <w:r w:rsidRPr="00DB707E">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D9E0A3C"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2FB651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1629753" w14:textId="77777777" w:rsidR="00524B77" w:rsidRPr="00DB707E" w:rsidRDefault="00524B77" w:rsidP="00430B21">
            <w:pPr>
              <w:pStyle w:val="TAC"/>
            </w:pPr>
            <w:r w:rsidRPr="00DB707E">
              <w:t>-50</w:t>
            </w:r>
          </w:p>
        </w:tc>
      </w:tr>
      <w:tr w:rsidR="00524B77" w:rsidRPr="00DB707E" w14:paraId="27119F59" w14:textId="77777777" w:rsidTr="00430B21">
        <w:trPr>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59C91C39" w14:textId="77777777" w:rsidR="00524B77" w:rsidRPr="00DB707E" w:rsidRDefault="00524B77" w:rsidP="00430B21">
            <w:pPr>
              <w:pStyle w:val="TAC"/>
            </w:pPr>
            <w:r w:rsidRPr="00DB707E">
              <w:sym w:font="Symbol" w:char="F0B1"/>
            </w:r>
            <w:r w:rsidRPr="00DB707E">
              <w:t>3.5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134CAEAC" w14:textId="77777777" w:rsidR="00524B77" w:rsidRPr="00DB707E" w:rsidRDefault="00524B77" w:rsidP="00430B21">
            <w:pPr>
              <w:pStyle w:val="TAC"/>
            </w:pPr>
            <w:r w:rsidRPr="00DB707E">
              <w:sym w:font="Symbol" w:char="F0B1"/>
            </w:r>
            <w:r w:rsidRPr="00DB707E">
              <w:t>4</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7FD5A88A" w14:textId="77777777" w:rsidR="00524B77" w:rsidRPr="00DB707E" w:rsidRDefault="00524B77" w:rsidP="00430B21">
            <w:pPr>
              <w:pStyle w:val="TAC"/>
            </w:pPr>
            <w:r w:rsidRPr="00DB707E">
              <w:sym w:font="Symbol" w:char="F0B3"/>
            </w:r>
            <w:r w:rsidRPr="00DB707E">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2AFAED8" w14:textId="77777777" w:rsidR="00524B77" w:rsidRPr="00DB707E" w:rsidRDefault="00524B77" w:rsidP="00430B21">
            <w:pPr>
              <w:pStyle w:val="TAC"/>
            </w:pPr>
            <w:r w:rsidRPr="00DB707E">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68D35FEB" w14:textId="77777777" w:rsidR="00524B77" w:rsidRPr="00DB707E" w:rsidRDefault="00524B77" w:rsidP="00430B21">
            <w:pPr>
              <w:pStyle w:val="TAC"/>
            </w:pPr>
            <w:r w:rsidRPr="00DB707E">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1013B734" w14:textId="77777777" w:rsidR="00524B77" w:rsidRPr="00DB707E" w:rsidRDefault="00524B77" w:rsidP="00430B21">
            <w:pPr>
              <w:pStyle w:val="TAC"/>
              <w:rPr>
                <w:lang w:eastAsia="zh-CN"/>
              </w:rPr>
            </w:pPr>
            <w:r w:rsidRPr="00DB707E">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5F6810E4" w14:textId="77777777" w:rsidR="00524B77" w:rsidRPr="00DB707E" w:rsidRDefault="00524B77" w:rsidP="00430B21">
            <w:pPr>
              <w:pStyle w:val="TAC"/>
            </w:pPr>
            <w:r w:rsidRPr="00DB707E">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365CF436" w14:textId="77777777" w:rsidR="00524B77" w:rsidRPr="00DB707E" w:rsidRDefault="00524B77" w:rsidP="00430B21">
            <w:pPr>
              <w:pStyle w:val="TAC"/>
            </w:pPr>
            <w:r w:rsidRPr="00DB707E">
              <w:t>Note 2</w:t>
            </w:r>
          </w:p>
        </w:tc>
      </w:tr>
      <w:tr w:rsidR="00524B77" w:rsidRPr="00DB707E" w14:paraId="1E75C510"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6A1AEA1A" w14:textId="77777777" w:rsidR="00524B77" w:rsidRPr="00DB707E" w:rsidRDefault="00524B77" w:rsidP="00430B21">
            <w:pPr>
              <w:pStyle w:val="TAN"/>
            </w:pPr>
            <w:r w:rsidRPr="00DB707E">
              <w:t>NOTE 1:</w:t>
            </w:r>
            <w:r w:rsidRPr="00DB707E">
              <w:tab/>
              <w:t>Io is assumed to have constant EPRE across the bandwidth.</w:t>
            </w:r>
          </w:p>
          <w:p w14:paraId="2593E04E" w14:textId="77777777" w:rsidR="00524B77" w:rsidRPr="00DB707E" w:rsidRDefault="00524B77" w:rsidP="00430B21">
            <w:pPr>
              <w:pStyle w:val="TAN"/>
              <w:rPr>
                <w:rFonts w:cs="Arial"/>
              </w:rPr>
            </w:pPr>
            <w:r w:rsidRPr="00DB707E">
              <w:rPr>
                <w:rFonts w:cs="Arial"/>
              </w:rPr>
              <w:t>N</w:t>
            </w:r>
            <w:r w:rsidRPr="00DB707E">
              <w:rPr>
                <w:rFonts w:cs="Arial"/>
                <w:lang w:eastAsia="zh-CN"/>
              </w:rPr>
              <w:t>OTE</w:t>
            </w:r>
            <w:r w:rsidRPr="00DB707E">
              <w:rPr>
                <w:rFonts w:cs="Arial"/>
              </w:rPr>
              <w:t xml:space="preserve"> 2:</w:t>
            </w:r>
            <w:r w:rsidRPr="00DB707E">
              <w:rPr>
                <w:rFonts w:cs="Arial"/>
              </w:rPr>
              <w:tab/>
              <w:t>The same bands and the same Io conditions for each band apply for this requirement as for the corresponding highest accuracy requirement.</w:t>
            </w:r>
          </w:p>
          <w:p w14:paraId="3510E9A7" w14:textId="77777777" w:rsidR="00524B77" w:rsidRPr="00DB707E" w:rsidRDefault="00524B77" w:rsidP="00430B21">
            <w:pPr>
              <w:pStyle w:val="TAN"/>
              <w:rPr>
                <w:rFonts w:cs="Arial"/>
              </w:rPr>
            </w:pPr>
            <w:r w:rsidRPr="00DB707E">
              <w:rPr>
                <w:rFonts w:cs="Arial"/>
              </w:rPr>
              <w:t>NOTE 3:</w:t>
            </w:r>
            <w:r w:rsidRPr="00DB707E">
              <w:rPr>
                <w:rFonts w:cs="Arial"/>
              </w:rPr>
              <w:tab/>
              <w:t xml:space="preserve">The requirements apply for SSB Ês/Iot </w:t>
            </w:r>
            <w:r w:rsidRPr="00DB707E">
              <w:rPr>
                <w:rFonts w:cs="Arial" w:hint="eastAsia"/>
                <w:lang w:val="en-US"/>
              </w:rPr>
              <w:t>≤</w:t>
            </w:r>
            <w:r w:rsidRPr="00DB707E">
              <w:rPr>
                <w:rFonts w:cs="Arial"/>
              </w:rPr>
              <w:t xml:space="preserve"> 25 dB under non-HST scenarios.</w:t>
            </w:r>
          </w:p>
          <w:p w14:paraId="64E072EC" w14:textId="77777777" w:rsidR="00524B77" w:rsidRPr="00DB707E" w:rsidRDefault="00524B77" w:rsidP="00430B21">
            <w:pPr>
              <w:pStyle w:val="TAN"/>
            </w:pPr>
            <w:r w:rsidRPr="00DB707E">
              <w:rPr>
                <w:rFonts w:cs="Arial"/>
              </w:rPr>
              <w:t>NOTE 4:</w:t>
            </w:r>
            <w:r w:rsidRPr="00DB707E">
              <w:rPr>
                <w:rFonts w:cs="Arial"/>
              </w:rPr>
              <w:tab/>
            </w:r>
            <w:r w:rsidRPr="00DB707E">
              <w:t>NR operating band groups in FR1 are as defined in clause 3.5.2.</w:t>
            </w:r>
          </w:p>
          <w:p w14:paraId="11A5BDF9" w14:textId="77777777" w:rsidR="00524B77" w:rsidRPr="00DB707E" w:rsidRDefault="00524B77" w:rsidP="00430B21">
            <w:pPr>
              <w:pStyle w:val="TAN"/>
            </w:pPr>
            <w:r w:rsidRPr="00DB707E">
              <w:rPr>
                <w:rFonts w:cs="Arial"/>
              </w:rPr>
              <w:t>NOTE 5:</w:t>
            </w:r>
            <w:r w:rsidRPr="00DB707E">
              <w:rPr>
                <w:rFonts w:cs="Arial"/>
              </w:rPr>
              <w:tab/>
              <w:t xml:space="preserve">The requirements apply for SSB Ês/Iot </w:t>
            </w:r>
            <w:r w:rsidRPr="00DB707E">
              <w:rPr>
                <w:rFonts w:cs="Arial" w:hint="eastAsia"/>
              </w:rPr>
              <w:t>≤</w:t>
            </w:r>
            <w:r w:rsidRPr="00DB707E">
              <w:rPr>
                <w:rFonts w:cs="Arial"/>
              </w:rPr>
              <w:t>5 dB with SCS 15kHz or 30kHz under NR high speed scenarios.</w:t>
            </w:r>
          </w:p>
        </w:tc>
      </w:tr>
    </w:tbl>
    <w:p w14:paraId="2715B4DB" w14:textId="77777777" w:rsidR="00524B77" w:rsidRPr="00DB707E" w:rsidRDefault="00524B77" w:rsidP="00524B77">
      <w:pPr>
        <w:pStyle w:val="Heading3"/>
        <w:rPr>
          <w:lang w:val="en-US" w:eastAsia="ko-KR"/>
        </w:rPr>
      </w:pPr>
      <w:r w:rsidRPr="00DB707E">
        <w:rPr>
          <w:lang w:val="en-US" w:eastAsia="ko-KR"/>
        </w:rPr>
        <w:t>10.1A.11</w:t>
      </w:r>
      <w:r w:rsidRPr="00DB707E">
        <w:rPr>
          <w:lang w:val="en-US" w:eastAsia="ko-KR"/>
        </w:rPr>
        <w:tab/>
        <w:t xml:space="preserve">Intra-frequency SINR accuracy requirements </w:t>
      </w:r>
      <w:r w:rsidRPr="00DB707E">
        <w:rPr>
          <w:lang w:val="en-US" w:eastAsia="zh-CN"/>
        </w:rPr>
        <w:t>for</w:t>
      </w:r>
      <w:r w:rsidRPr="00DB707E">
        <w:rPr>
          <w:lang w:val="en-US" w:eastAsia="ko-KR"/>
        </w:rPr>
        <w:t xml:space="preserve"> FR2</w:t>
      </w:r>
    </w:p>
    <w:p w14:paraId="06C7F853" w14:textId="77777777" w:rsidR="00524B77" w:rsidRPr="00DB707E" w:rsidRDefault="00524B77" w:rsidP="00524B77">
      <w:pPr>
        <w:pStyle w:val="Heading4"/>
        <w:rPr>
          <w:lang w:val="en-US" w:eastAsia="zh-CN"/>
        </w:rPr>
      </w:pPr>
      <w:r w:rsidRPr="00DB707E">
        <w:rPr>
          <w:lang w:val="en-US" w:eastAsia="zh-CN"/>
        </w:rPr>
        <w:t>10.1A.11.1</w:t>
      </w:r>
      <w:r w:rsidRPr="00DB707E">
        <w:rPr>
          <w:lang w:val="en-US" w:eastAsia="zh-CN"/>
        </w:rPr>
        <w:tab/>
      </w:r>
      <w:r w:rsidRPr="00DB707E">
        <w:rPr>
          <w:lang w:val="en-US" w:eastAsia="ko-KR"/>
        </w:rPr>
        <w:t>Intra-frequency SS-SINR accuracy requirements</w:t>
      </w:r>
      <w:r w:rsidRPr="00DB707E">
        <w:rPr>
          <w:lang w:val="en-US" w:eastAsia="zh-CN"/>
        </w:rPr>
        <w:t xml:space="preserve"> in FR2</w:t>
      </w:r>
    </w:p>
    <w:p w14:paraId="408E358F" w14:textId="77777777" w:rsidR="00524B77" w:rsidRPr="00DB707E" w:rsidRDefault="00524B77" w:rsidP="00524B77">
      <w:pPr>
        <w:pStyle w:val="Heading5"/>
      </w:pPr>
      <w:r w:rsidRPr="00DB707E">
        <w:rPr>
          <w:lang w:eastAsia="zh-CN"/>
        </w:rPr>
        <w:t>10.1A.11</w:t>
      </w:r>
      <w:r w:rsidRPr="00DB707E">
        <w:t>.1</w:t>
      </w:r>
      <w:r w:rsidRPr="00DB707E">
        <w:rPr>
          <w:lang w:eastAsia="zh-CN"/>
        </w:rPr>
        <w:t>.1</w:t>
      </w:r>
      <w:r w:rsidRPr="00DB707E">
        <w:tab/>
        <w:t xml:space="preserve">Absolute </w:t>
      </w:r>
      <w:r w:rsidRPr="00DB707E">
        <w:rPr>
          <w:lang w:val="en-US" w:eastAsia="ko-KR"/>
        </w:rPr>
        <w:t xml:space="preserve">SS-SINR </w:t>
      </w:r>
      <w:r w:rsidRPr="00DB707E">
        <w:t>Accuracy in FR2</w:t>
      </w:r>
    </w:p>
    <w:p w14:paraId="2AA98BA3" w14:textId="77777777" w:rsidR="00524B77" w:rsidRPr="00DB707E" w:rsidRDefault="00524B77" w:rsidP="00524B77">
      <w:r w:rsidRPr="00DB707E">
        <w:rPr>
          <w:rFonts w:cs="v4.2.0"/>
        </w:rPr>
        <w:t xml:space="preserve">The accuracy requirements in clause </w:t>
      </w:r>
      <w:r w:rsidRPr="00DB707E">
        <w:rPr>
          <w:lang w:eastAsia="zh-CN"/>
        </w:rPr>
        <w:t>10.1.13</w:t>
      </w:r>
      <w:r w:rsidRPr="00DB707E">
        <w:t>.1</w:t>
      </w:r>
      <w:r w:rsidRPr="00DB707E">
        <w:rPr>
          <w:lang w:eastAsia="zh-CN"/>
        </w:rPr>
        <w:t>.1</w:t>
      </w:r>
      <w:r w:rsidRPr="00DB707E">
        <w:rPr>
          <w:rFonts w:cs="v4.2.0"/>
        </w:rPr>
        <w:t xml:space="preserve"> shall apply.</w:t>
      </w:r>
    </w:p>
    <w:p w14:paraId="455EBA24" w14:textId="77777777" w:rsidR="00524B77" w:rsidRPr="00DB707E" w:rsidRDefault="00524B77" w:rsidP="00524B77"/>
    <w:p w14:paraId="5E17CD52" w14:textId="77777777" w:rsidR="00524B77" w:rsidRPr="00DB707E" w:rsidRDefault="00524B77" w:rsidP="00524B77">
      <w:pPr>
        <w:pStyle w:val="Heading3"/>
        <w:rPr>
          <w:lang w:val="en-US" w:eastAsia="ko-KR"/>
        </w:rPr>
      </w:pPr>
      <w:r w:rsidRPr="00DB707E">
        <w:rPr>
          <w:lang w:val="en-US" w:eastAsia="ko-KR"/>
        </w:rPr>
        <w:t xml:space="preserve">10.1A.12 </w:t>
      </w:r>
      <w:r w:rsidRPr="00DB707E">
        <w:rPr>
          <w:lang w:val="en-US" w:eastAsia="ko-KR"/>
        </w:rPr>
        <w:tab/>
        <w:t xml:space="preserve">Inter-frequency SINR accuracy requirements </w:t>
      </w:r>
      <w:r w:rsidRPr="00DB707E">
        <w:rPr>
          <w:lang w:val="en-US" w:eastAsia="zh-CN"/>
        </w:rPr>
        <w:t>for</w:t>
      </w:r>
      <w:r w:rsidRPr="00DB707E">
        <w:rPr>
          <w:lang w:val="en-US" w:eastAsia="ko-KR"/>
        </w:rPr>
        <w:t xml:space="preserve"> FR1</w:t>
      </w:r>
    </w:p>
    <w:p w14:paraId="522C9F40" w14:textId="77777777" w:rsidR="00524B77" w:rsidRPr="00DB707E" w:rsidRDefault="00524B77" w:rsidP="00524B77">
      <w:pPr>
        <w:pStyle w:val="Heading4"/>
        <w:rPr>
          <w:lang w:val="en-US" w:eastAsia="zh-CN"/>
        </w:rPr>
      </w:pPr>
      <w:r w:rsidRPr="00DB707E">
        <w:rPr>
          <w:lang w:val="en-US" w:eastAsia="zh-CN"/>
        </w:rPr>
        <w:t>10.1A.12.1</w:t>
      </w:r>
      <w:r w:rsidRPr="00DB707E">
        <w:rPr>
          <w:lang w:val="en-US" w:eastAsia="zh-CN"/>
        </w:rPr>
        <w:tab/>
      </w:r>
      <w:r w:rsidRPr="00DB707E">
        <w:rPr>
          <w:lang w:val="en-US" w:eastAsia="ko-KR"/>
        </w:rPr>
        <w:t>Inter-frequency SS-SINR accuracy requirements</w:t>
      </w:r>
      <w:r w:rsidRPr="00DB707E">
        <w:rPr>
          <w:lang w:val="en-US" w:eastAsia="zh-CN"/>
        </w:rPr>
        <w:t xml:space="preserve"> in FR1</w:t>
      </w:r>
    </w:p>
    <w:p w14:paraId="14E639A3" w14:textId="77777777" w:rsidR="00524B77" w:rsidRPr="00DB707E" w:rsidRDefault="00524B77" w:rsidP="00524B77">
      <w:pPr>
        <w:pStyle w:val="Heading5"/>
        <w:rPr>
          <w:lang w:val="en-US" w:eastAsia="zh-CN"/>
        </w:rPr>
      </w:pPr>
      <w:r w:rsidRPr="00DB707E">
        <w:rPr>
          <w:lang w:val="en-US" w:eastAsia="zh-CN"/>
        </w:rPr>
        <w:t>10.1A.12.1.1</w:t>
      </w:r>
      <w:r w:rsidRPr="00DB707E">
        <w:rPr>
          <w:lang w:val="en-US" w:eastAsia="zh-CN"/>
        </w:rPr>
        <w:tab/>
      </w:r>
      <w:r w:rsidRPr="00DB707E">
        <w:rPr>
          <w:lang w:eastAsia="zh-CN"/>
        </w:rPr>
        <w:t>Aboslute</w:t>
      </w:r>
      <w:r w:rsidRPr="00DB707E">
        <w:t xml:space="preserve"> Accuracy of </w:t>
      </w:r>
      <w:r w:rsidRPr="00DB707E">
        <w:rPr>
          <w:lang w:eastAsia="zh-CN"/>
        </w:rPr>
        <w:t>SS-SINR</w:t>
      </w:r>
      <w:r w:rsidRPr="00DB707E">
        <w:rPr>
          <w:lang w:val="en-US" w:eastAsia="zh-CN"/>
        </w:rPr>
        <w:t xml:space="preserve"> in FR1</w:t>
      </w:r>
    </w:p>
    <w:p w14:paraId="5F3DDE75" w14:textId="77777777" w:rsidR="00524B77" w:rsidRPr="00DB707E" w:rsidRDefault="00524B77" w:rsidP="00524B77">
      <w:pPr>
        <w:rPr>
          <w:rFonts w:cs="v4.2.0"/>
        </w:rPr>
      </w:pPr>
      <w:r w:rsidRPr="00DB707E">
        <w:rPr>
          <w:rFonts w:cs="v4.2.0"/>
        </w:rPr>
        <w:t xml:space="preserve">The accuracy requirements in clause </w:t>
      </w:r>
      <w:r w:rsidRPr="00DB707E">
        <w:rPr>
          <w:lang w:val="en-US" w:eastAsia="zh-CN"/>
        </w:rPr>
        <w:t>10.1.14.1.1</w:t>
      </w:r>
      <w:r w:rsidRPr="00DB707E">
        <w:rPr>
          <w:rFonts w:cs="v4.2.0"/>
        </w:rPr>
        <w:t xml:space="preserve"> shall apply when RedCap UE is capable of 2Rx. When UE is only required to support 1RX, the absolute accuracy requirements in Table </w:t>
      </w:r>
      <w:r w:rsidRPr="00DB707E">
        <w:rPr>
          <w:lang w:val="en-US" w:eastAsia="zh-CN"/>
        </w:rPr>
        <w:t>10.1A.12.1.1</w:t>
      </w:r>
      <w:r w:rsidRPr="00DB707E">
        <w:t>-1</w:t>
      </w:r>
      <w:r w:rsidRPr="00DB707E">
        <w:rPr>
          <w:rFonts w:cs="v4.2.0"/>
        </w:rPr>
        <w:t xml:space="preserve"> are valid under the following conditions:</w:t>
      </w:r>
    </w:p>
    <w:p w14:paraId="638C09D7" w14:textId="77777777" w:rsidR="00524B77" w:rsidRPr="00DB707E" w:rsidRDefault="00524B77" w:rsidP="00524B77">
      <w:pPr>
        <w:pStyle w:val="B10"/>
        <w:rPr>
          <w:rFonts w:cs="v4.2.0"/>
        </w:rPr>
      </w:pPr>
      <w:r w:rsidRPr="00DB707E">
        <w:t>-</w:t>
      </w:r>
      <w:r w:rsidRPr="00DB707E">
        <w:rPr>
          <w:rFonts w:ascii="Arial" w:hAnsi="Arial"/>
          <w:sz w:val="28"/>
          <w:lang w:val="en-US"/>
        </w:rPr>
        <w:tab/>
      </w:r>
      <w:r w:rsidRPr="00DB707E">
        <w:t>Conditions defined in clause 7.3 of TS 38.101-1 [18] for reference sensitivity are fulfilled.</w:t>
      </w:r>
    </w:p>
    <w:p w14:paraId="0E62670F" w14:textId="77777777" w:rsidR="00524B77" w:rsidRPr="00DB707E" w:rsidRDefault="00524B77" w:rsidP="00524B77">
      <w:pPr>
        <w:pStyle w:val="B10"/>
      </w:pPr>
      <w:r w:rsidRPr="00DB707E">
        <w:t>-</w:t>
      </w:r>
      <w:r w:rsidRPr="00DB707E">
        <w:rPr>
          <w:rFonts w:ascii="Arial" w:hAnsi="Arial"/>
          <w:sz w:val="28"/>
          <w:lang w:val="en-US"/>
        </w:rPr>
        <w:tab/>
      </w:r>
      <w:r w:rsidRPr="00DB707E">
        <w:t>Conditions for inter-frequency measurements are fulfilled according to Annex B.2.3 for a corresponding Band.</w:t>
      </w:r>
    </w:p>
    <w:p w14:paraId="701857C7" w14:textId="77777777" w:rsidR="00524B77" w:rsidRPr="00DB707E" w:rsidRDefault="00524B77" w:rsidP="00524B77">
      <w:pPr>
        <w:pStyle w:val="TH"/>
        <w:rPr>
          <w:lang w:eastAsia="zh-CN"/>
        </w:rPr>
      </w:pPr>
      <w:r w:rsidRPr="00DB707E">
        <w:t xml:space="preserve">Table </w:t>
      </w:r>
      <w:r w:rsidRPr="00DB707E">
        <w:rPr>
          <w:lang w:val="en-US" w:eastAsia="zh-CN"/>
        </w:rPr>
        <w:t>10.1A.12.1.1</w:t>
      </w:r>
      <w:r w:rsidRPr="00DB707E">
        <w:t xml:space="preserve">-1: </w:t>
      </w:r>
      <w:r w:rsidRPr="00DB707E">
        <w:rPr>
          <w:lang w:eastAsia="zh-CN"/>
        </w:rPr>
        <w:t>SS-SINR</w:t>
      </w:r>
      <w:r w:rsidRPr="00DB707E">
        <w:t xml:space="preserve"> Inter frequency absolute accuracy</w:t>
      </w:r>
      <w:r w:rsidRPr="00DB707E">
        <w:rPr>
          <w:lang w:eastAsia="zh-CN"/>
        </w:rPr>
        <w:t xml:space="preserve"> </w:t>
      </w:r>
      <w:r w:rsidRPr="00DB707E">
        <w:t>for 1Rx RedCap UE</w:t>
      </w:r>
      <w:r w:rsidRPr="00DB707E">
        <w:rPr>
          <w:lang w:eastAsia="zh-CN"/>
        </w:rPr>
        <w:t xml:space="preserve"> in FR1</w:t>
      </w:r>
    </w:p>
    <w:tbl>
      <w:tblPr>
        <w:tblW w:w="10172" w:type="dxa"/>
        <w:jc w:val="center"/>
        <w:tblLook w:val="01E0" w:firstRow="1" w:lastRow="1" w:firstColumn="1" w:lastColumn="1" w:noHBand="0" w:noVBand="0"/>
      </w:tblPr>
      <w:tblGrid>
        <w:gridCol w:w="1035"/>
        <w:gridCol w:w="1047"/>
        <w:gridCol w:w="802"/>
        <w:gridCol w:w="2298"/>
        <w:gridCol w:w="1027"/>
        <w:gridCol w:w="1083"/>
        <w:gridCol w:w="1440"/>
        <w:gridCol w:w="1440"/>
      </w:tblGrid>
      <w:tr w:rsidR="00524B77" w:rsidRPr="00DB707E" w14:paraId="07ED88AE" w14:textId="77777777" w:rsidTr="00430B21">
        <w:trPr>
          <w:trHeight w:val="187"/>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tcPr>
          <w:p w14:paraId="70EC695F" w14:textId="77777777" w:rsidR="00524B77" w:rsidRPr="00DB707E" w:rsidRDefault="00524B77" w:rsidP="00430B21">
            <w:pPr>
              <w:pStyle w:val="TAH"/>
            </w:pPr>
            <w:r w:rsidRPr="00DB707E">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tcPr>
          <w:p w14:paraId="389359EC" w14:textId="77777777" w:rsidR="00524B77" w:rsidRPr="00DB707E" w:rsidRDefault="00524B77" w:rsidP="00430B21">
            <w:pPr>
              <w:pStyle w:val="TAH"/>
            </w:pPr>
            <w:r w:rsidRPr="00DB707E">
              <w:t>Conditions</w:t>
            </w:r>
          </w:p>
        </w:tc>
      </w:tr>
      <w:tr w:rsidR="00524B77" w:rsidRPr="00DB707E" w14:paraId="51A775F5" w14:textId="77777777" w:rsidTr="00430B21">
        <w:trPr>
          <w:trHeight w:val="187"/>
          <w:jc w:val="center"/>
        </w:trPr>
        <w:tc>
          <w:tcPr>
            <w:tcW w:w="1035" w:type="dxa"/>
            <w:tcBorders>
              <w:top w:val="single" w:sz="4" w:space="0" w:color="auto"/>
              <w:left w:val="single" w:sz="4" w:space="0" w:color="auto"/>
              <w:right w:val="single" w:sz="4" w:space="0" w:color="auto"/>
            </w:tcBorders>
            <w:shd w:val="clear" w:color="auto" w:fill="auto"/>
          </w:tcPr>
          <w:p w14:paraId="3EA13BCD" w14:textId="77777777" w:rsidR="00524B77" w:rsidRPr="00DB707E" w:rsidRDefault="00524B77" w:rsidP="00430B21">
            <w:pPr>
              <w:pStyle w:val="TAH"/>
            </w:pPr>
            <w:r w:rsidRPr="00DB707E">
              <w:t>Normal condition</w:t>
            </w:r>
          </w:p>
        </w:tc>
        <w:tc>
          <w:tcPr>
            <w:tcW w:w="1047" w:type="dxa"/>
            <w:tcBorders>
              <w:top w:val="single" w:sz="4" w:space="0" w:color="auto"/>
              <w:left w:val="single" w:sz="4" w:space="0" w:color="auto"/>
              <w:right w:val="single" w:sz="4" w:space="0" w:color="auto"/>
            </w:tcBorders>
            <w:shd w:val="clear" w:color="auto" w:fill="auto"/>
          </w:tcPr>
          <w:p w14:paraId="4A7FF0FA" w14:textId="77777777" w:rsidR="00524B77" w:rsidRPr="00DB707E" w:rsidRDefault="00524B77" w:rsidP="00430B21">
            <w:pPr>
              <w:pStyle w:val="TAH"/>
            </w:pPr>
            <w:r w:rsidRPr="00DB707E">
              <w:t>Extreme condition</w:t>
            </w:r>
          </w:p>
        </w:tc>
        <w:tc>
          <w:tcPr>
            <w:tcW w:w="802" w:type="dxa"/>
            <w:vMerge w:val="restart"/>
            <w:tcBorders>
              <w:top w:val="single" w:sz="6" w:space="0" w:color="auto"/>
              <w:left w:val="single" w:sz="4" w:space="0" w:color="auto"/>
              <w:bottom w:val="single" w:sz="6" w:space="0" w:color="auto"/>
              <w:right w:val="single" w:sz="6" w:space="0" w:color="auto"/>
            </w:tcBorders>
            <w:shd w:val="clear" w:color="auto" w:fill="auto"/>
          </w:tcPr>
          <w:p w14:paraId="294C87EE" w14:textId="77777777" w:rsidR="00524B77" w:rsidRPr="00DB707E" w:rsidRDefault="00524B77" w:rsidP="00430B21">
            <w:pPr>
              <w:pStyle w:val="TAH"/>
            </w:pPr>
            <w:r w:rsidRPr="00DB707E">
              <w:t>SSB Ês/Iot</w:t>
            </w:r>
            <w:r w:rsidRPr="00DB707E">
              <w:rPr>
                <w:vertAlign w:val="superscript"/>
                <w:lang w:eastAsia="zh-CN"/>
              </w:rPr>
              <w:t xml:space="preserve"> Note 3</w:t>
            </w:r>
          </w:p>
        </w:tc>
        <w:tc>
          <w:tcPr>
            <w:tcW w:w="7288" w:type="dxa"/>
            <w:gridSpan w:val="5"/>
            <w:tcBorders>
              <w:top w:val="single" w:sz="6" w:space="0" w:color="auto"/>
              <w:left w:val="single" w:sz="6" w:space="0" w:color="auto"/>
              <w:bottom w:val="single" w:sz="6" w:space="0" w:color="auto"/>
              <w:right w:val="single" w:sz="4" w:space="0" w:color="auto"/>
            </w:tcBorders>
            <w:shd w:val="clear" w:color="auto" w:fill="auto"/>
          </w:tcPr>
          <w:p w14:paraId="78077885" w14:textId="77777777" w:rsidR="00524B77" w:rsidRPr="00DB707E" w:rsidRDefault="00524B77" w:rsidP="00430B21">
            <w:pPr>
              <w:pStyle w:val="TAH"/>
            </w:pPr>
            <w:r w:rsidRPr="00DB707E">
              <w:t>Io</w:t>
            </w:r>
            <w:r w:rsidRPr="00DB707E">
              <w:rPr>
                <w:vertAlign w:val="superscript"/>
                <w:lang w:eastAsia="zh-CN"/>
              </w:rPr>
              <w:t xml:space="preserve"> Note 1</w:t>
            </w:r>
            <w:r w:rsidRPr="00DB707E">
              <w:t xml:space="preserve"> range</w:t>
            </w:r>
          </w:p>
        </w:tc>
      </w:tr>
      <w:tr w:rsidR="00524B77" w:rsidRPr="00DB707E" w14:paraId="7852799E" w14:textId="77777777" w:rsidTr="00430B21">
        <w:trPr>
          <w:trHeight w:val="187"/>
          <w:jc w:val="center"/>
        </w:trPr>
        <w:tc>
          <w:tcPr>
            <w:tcW w:w="1035" w:type="dxa"/>
            <w:tcBorders>
              <w:left w:val="single" w:sz="4" w:space="0" w:color="auto"/>
              <w:bottom w:val="single" w:sz="4" w:space="0" w:color="auto"/>
              <w:right w:val="single" w:sz="4" w:space="0" w:color="auto"/>
            </w:tcBorders>
            <w:shd w:val="clear" w:color="auto" w:fill="auto"/>
          </w:tcPr>
          <w:p w14:paraId="20652AB9" w14:textId="77777777" w:rsidR="00524B77" w:rsidRPr="00DB707E" w:rsidRDefault="00524B77" w:rsidP="00430B21">
            <w:pPr>
              <w:pStyle w:val="TAH"/>
            </w:pPr>
          </w:p>
        </w:tc>
        <w:tc>
          <w:tcPr>
            <w:tcW w:w="1047" w:type="dxa"/>
            <w:tcBorders>
              <w:left w:val="single" w:sz="4" w:space="0" w:color="auto"/>
              <w:bottom w:val="single" w:sz="4" w:space="0" w:color="auto"/>
              <w:right w:val="single" w:sz="4" w:space="0" w:color="auto"/>
            </w:tcBorders>
            <w:shd w:val="clear" w:color="auto" w:fill="auto"/>
          </w:tcPr>
          <w:p w14:paraId="6424B234" w14:textId="77777777" w:rsidR="00524B77" w:rsidRPr="00DB707E" w:rsidRDefault="00524B77" w:rsidP="00430B21">
            <w:pPr>
              <w:pStyle w:val="TAH"/>
            </w:pPr>
          </w:p>
        </w:tc>
        <w:tc>
          <w:tcPr>
            <w:tcW w:w="802" w:type="dxa"/>
            <w:vMerge/>
            <w:tcBorders>
              <w:top w:val="single" w:sz="6" w:space="0" w:color="auto"/>
              <w:left w:val="single" w:sz="4" w:space="0" w:color="auto"/>
              <w:bottom w:val="single" w:sz="6" w:space="0" w:color="auto"/>
              <w:right w:val="single" w:sz="6" w:space="0" w:color="auto"/>
            </w:tcBorders>
            <w:shd w:val="clear" w:color="auto" w:fill="auto"/>
          </w:tcPr>
          <w:p w14:paraId="6ED55B2A" w14:textId="77777777" w:rsidR="00524B77" w:rsidRPr="00DB707E" w:rsidRDefault="00524B77" w:rsidP="00430B21">
            <w:pPr>
              <w:pStyle w:val="TAH"/>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A175824" w14:textId="77777777" w:rsidR="00524B77" w:rsidRPr="00DB707E" w:rsidRDefault="00524B77" w:rsidP="00430B21">
            <w:pPr>
              <w:pStyle w:val="TAH"/>
            </w:pPr>
            <w:r w:rsidRPr="00DB707E">
              <w:t>NR operating band groups</w:t>
            </w:r>
            <w:r w:rsidRPr="00DB707E">
              <w:rPr>
                <w:vertAlign w:val="superscript"/>
              </w:rPr>
              <w:t xml:space="preserve"> </w:t>
            </w:r>
            <w:r w:rsidRPr="00DB707E">
              <w:rPr>
                <w:vertAlign w:val="superscript"/>
                <w:lang w:eastAsia="zh-CN"/>
              </w:rPr>
              <w:t>Note 4</w:t>
            </w:r>
          </w:p>
        </w:tc>
        <w:tc>
          <w:tcPr>
            <w:tcW w:w="3550" w:type="dxa"/>
            <w:gridSpan w:val="3"/>
            <w:tcBorders>
              <w:top w:val="single" w:sz="4" w:space="0" w:color="auto"/>
              <w:left w:val="single" w:sz="4" w:space="0" w:color="auto"/>
              <w:bottom w:val="single" w:sz="6" w:space="0" w:color="auto"/>
              <w:right w:val="single" w:sz="6" w:space="0" w:color="auto"/>
            </w:tcBorders>
            <w:shd w:val="clear" w:color="auto" w:fill="auto"/>
          </w:tcPr>
          <w:p w14:paraId="3C9D168C"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7176DEE9" w14:textId="77777777" w:rsidR="00524B77" w:rsidRPr="00DB707E" w:rsidRDefault="00524B77" w:rsidP="00430B21">
            <w:pPr>
              <w:pStyle w:val="TAH"/>
            </w:pPr>
            <w:r w:rsidRPr="00DB707E">
              <w:t>Maximum Io</w:t>
            </w:r>
          </w:p>
        </w:tc>
      </w:tr>
      <w:tr w:rsidR="00524B77" w:rsidRPr="00DB707E" w14:paraId="2C461CA6" w14:textId="77777777" w:rsidTr="00430B21">
        <w:trPr>
          <w:trHeight w:val="187"/>
          <w:jc w:val="center"/>
        </w:trPr>
        <w:tc>
          <w:tcPr>
            <w:tcW w:w="1035" w:type="dxa"/>
            <w:tcBorders>
              <w:top w:val="single" w:sz="4" w:space="0" w:color="auto"/>
              <w:left w:val="single" w:sz="4" w:space="0" w:color="auto"/>
              <w:right w:val="single" w:sz="6" w:space="0" w:color="auto"/>
            </w:tcBorders>
            <w:shd w:val="clear" w:color="auto" w:fill="auto"/>
          </w:tcPr>
          <w:p w14:paraId="0F108EAC" w14:textId="77777777" w:rsidR="00524B77" w:rsidRPr="00DB707E" w:rsidRDefault="00524B77" w:rsidP="00430B21">
            <w:pPr>
              <w:pStyle w:val="TAH"/>
            </w:pPr>
            <w:r w:rsidRPr="00DB707E">
              <w:t>dB</w:t>
            </w:r>
          </w:p>
        </w:tc>
        <w:tc>
          <w:tcPr>
            <w:tcW w:w="1047" w:type="dxa"/>
            <w:tcBorders>
              <w:top w:val="single" w:sz="4" w:space="0" w:color="auto"/>
              <w:left w:val="single" w:sz="6" w:space="0" w:color="auto"/>
              <w:right w:val="single" w:sz="6" w:space="0" w:color="auto"/>
            </w:tcBorders>
            <w:shd w:val="clear" w:color="auto" w:fill="auto"/>
          </w:tcPr>
          <w:p w14:paraId="093E2219" w14:textId="77777777" w:rsidR="00524B77" w:rsidRPr="00DB707E" w:rsidRDefault="00524B77" w:rsidP="00430B21">
            <w:pPr>
              <w:pStyle w:val="TAH"/>
            </w:pPr>
            <w:r w:rsidRPr="00DB707E">
              <w:t>dB</w:t>
            </w:r>
          </w:p>
        </w:tc>
        <w:tc>
          <w:tcPr>
            <w:tcW w:w="802" w:type="dxa"/>
            <w:tcBorders>
              <w:top w:val="single" w:sz="6" w:space="0" w:color="auto"/>
              <w:left w:val="single" w:sz="6" w:space="0" w:color="auto"/>
              <w:right w:val="single" w:sz="6" w:space="0" w:color="auto"/>
            </w:tcBorders>
            <w:shd w:val="clear" w:color="auto" w:fill="auto"/>
          </w:tcPr>
          <w:p w14:paraId="2FAEC2BE" w14:textId="77777777" w:rsidR="00524B77" w:rsidRPr="00DB707E" w:rsidRDefault="00524B77" w:rsidP="00430B21">
            <w:pPr>
              <w:pStyle w:val="TAH"/>
            </w:pPr>
            <w:r w:rsidRPr="00DB707E">
              <w:t>dB</w:t>
            </w:r>
          </w:p>
        </w:tc>
        <w:tc>
          <w:tcPr>
            <w:tcW w:w="2298" w:type="dxa"/>
            <w:tcBorders>
              <w:top w:val="single" w:sz="6" w:space="0" w:color="auto"/>
              <w:left w:val="single" w:sz="6" w:space="0" w:color="auto"/>
              <w:right w:val="single" w:sz="4" w:space="0" w:color="auto"/>
            </w:tcBorders>
            <w:shd w:val="clear" w:color="auto" w:fill="auto"/>
          </w:tcPr>
          <w:p w14:paraId="5E71CC90" w14:textId="77777777" w:rsidR="00524B77" w:rsidRPr="00DB707E" w:rsidRDefault="00524B77" w:rsidP="00430B21">
            <w:pPr>
              <w:pStyle w:val="TAH"/>
            </w:pPr>
          </w:p>
        </w:tc>
        <w:tc>
          <w:tcPr>
            <w:tcW w:w="2110" w:type="dxa"/>
            <w:gridSpan w:val="2"/>
            <w:tcBorders>
              <w:top w:val="single" w:sz="6" w:space="0" w:color="auto"/>
              <w:left w:val="single" w:sz="4" w:space="0" w:color="auto"/>
              <w:bottom w:val="single" w:sz="6" w:space="0" w:color="auto"/>
              <w:right w:val="single" w:sz="6" w:space="0" w:color="auto"/>
            </w:tcBorders>
            <w:shd w:val="clear" w:color="auto" w:fill="auto"/>
          </w:tcPr>
          <w:p w14:paraId="4EC18C79"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7236E7D4"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3F68A31B" w14:textId="77777777" w:rsidR="00524B77" w:rsidRPr="00DB707E" w:rsidRDefault="00524B77" w:rsidP="00430B21">
            <w:pPr>
              <w:pStyle w:val="TAH"/>
            </w:pPr>
            <w:r w:rsidRPr="00DB707E">
              <w:t>dBm/BW</w:t>
            </w:r>
            <w:r w:rsidRPr="00DB707E">
              <w:rPr>
                <w:vertAlign w:val="subscript"/>
              </w:rPr>
              <w:t>Channel</w:t>
            </w:r>
          </w:p>
        </w:tc>
      </w:tr>
      <w:tr w:rsidR="00524B77" w:rsidRPr="00DB707E" w14:paraId="0FDDEC08" w14:textId="77777777" w:rsidTr="00430B21">
        <w:trPr>
          <w:trHeight w:val="187"/>
          <w:jc w:val="center"/>
        </w:trPr>
        <w:tc>
          <w:tcPr>
            <w:tcW w:w="1035" w:type="dxa"/>
            <w:tcBorders>
              <w:left w:val="single" w:sz="4" w:space="0" w:color="auto"/>
              <w:bottom w:val="single" w:sz="6" w:space="0" w:color="auto"/>
              <w:right w:val="single" w:sz="6" w:space="0" w:color="auto"/>
            </w:tcBorders>
            <w:shd w:val="clear" w:color="auto" w:fill="auto"/>
          </w:tcPr>
          <w:p w14:paraId="18C5DDFB" w14:textId="77777777" w:rsidR="00524B77" w:rsidRPr="00DB707E" w:rsidRDefault="00524B77" w:rsidP="00430B21">
            <w:pPr>
              <w:pStyle w:val="TAH"/>
            </w:pPr>
          </w:p>
        </w:tc>
        <w:tc>
          <w:tcPr>
            <w:tcW w:w="1047" w:type="dxa"/>
            <w:tcBorders>
              <w:left w:val="single" w:sz="6" w:space="0" w:color="auto"/>
              <w:bottom w:val="single" w:sz="6" w:space="0" w:color="auto"/>
              <w:right w:val="single" w:sz="6" w:space="0" w:color="auto"/>
            </w:tcBorders>
            <w:shd w:val="clear" w:color="auto" w:fill="auto"/>
          </w:tcPr>
          <w:p w14:paraId="79E19935" w14:textId="77777777" w:rsidR="00524B77" w:rsidRPr="00DB707E" w:rsidRDefault="00524B77" w:rsidP="00430B21">
            <w:pPr>
              <w:pStyle w:val="TAH"/>
            </w:pPr>
          </w:p>
        </w:tc>
        <w:tc>
          <w:tcPr>
            <w:tcW w:w="802" w:type="dxa"/>
            <w:tcBorders>
              <w:left w:val="single" w:sz="6" w:space="0" w:color="auto"/>
              <w:bottom w:val="single" w:sz="6" w:space="0" w:color="auto"/>
              <w:right w:val="single" w:sz="6" w:space="0" w:color="auto"/>
            </w:tcBorders>
            <w:shd w:val="clear" w:color="auto" w:fill="auto"/>
          </w:tcPr>
          <w:p w14:paraId="5EBF7AD7" w14:textId="77777777" w:rsidR="00524B77" w:rsidRPr="00DB707E" w:rsidRDefault="00524B77" w:rsidP="00430B21">
            <w:pPr>
              <w:pStyle w:val="TAH"/>
            </w:pPr>
          </w:p>
        </w:tc>
        <w:tc>
          <w:tcPr>
            <w:tcW w:w="2298" w:type="dxa"/>
            <w:tcBorders>
              <w:left w:val="single" w:sz="6" w:space="0" w:color="auto"/>
              <w:bottom w:val="single" w:sz="6" w:space="0" w:color="auto"/>
              <w:right w:val="single" w:sz="4" w:space="0" w:color="auto"/>
            </w:tcBorders>
            <w:shd w:val="clear" w:color="auto" w:fill="auto"/>
          </w:tcPr>
          <w:p w14:paraId="72D87C38" w14:textId="77777777" w:rsidR="00524B77" w:rsidRPr="00DB707E" w:rsidRDefault="00524B77" w:rsidP="00430B2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62262AE"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030B49C"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078D80D8"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5A948C79" w14:textId="77777777" w:rsidR="00524B77" w:rsidRPr="00DB707E" w:rsidRDefault="00524B77" w:rsidP="00430B21">
            <w:pPr>
              <w:pStyle w:val="TAH"/>
            </w:pPr>
          </w:p>
        </w:tc>
      </w:tr>
      <w:tr w:rsidR="00524B77" w:rsidRPr="00DB707E" w14:paraId="1C4C24F4" w14:textId="77777777" w:rsidTr="00430B21">
        <w:trPr>
          <w:trHeight w:val="187"/>
          <w:jc w:val="center"/>
        </w:trPr>
        <w:tc>
          <w:tcPr>
            <w:tcW w:w="1035" w:type="dxa"/>
            <w:tcBorders>
              <w:top w:val="single" w:sz="6" w:space="0" w:color="auto"/>
              <w:left w:val="single" w:sz="4" w:space="0" w:color="auto"/>
              <w:right w:val="single" w:sz="6" w:space="0" w:color="auto"/>
            </w:tcBorders>
            <w:shd w:val="clear" w:color="auto" w:fill="auto"/>
          </w:tcPr>
          <w:p w14:paraId="4FB49BDD" w14:textId="77777777" w:rsidR="00524B77" w:rsidRPr="00DB707E" w:rsidRDefault="00524B77" w:rsidP="00430B21">
            <w:pPr>
              <w:pStyle w:val="TAC"/>
            </w:pPr>
          </w:p>
        </w:tc>
        <w:tc>
          <w:tcPr>
            <w:tcW w:w="1047" w:type="dxa"/>
            <w:tcBorders>
              <w:top w:val="single" w:sz="6" w:space="0" w:color="auto"/>
              <w:left w:val="single" w:sz="6" w:space="0" w:color="auto"/>
              <w:right w:val="single" w:sz="6" w:space="0" w:color="auto"/>
            </w:tcBorders>
            <w:shd w:val="clear" w:color="auto" w:fill="auto"/>
          </w:tcPr>
          <w:p w14:paraId="5ECC4686" w14:textId="77777777" w:rsidR="00524B77" w:rsidRPr="00DB707E" w:rsidRDefault="00524B77" w:rsidP="00430B21">
            <w:pPr>
              <w:pStyle w:val="TAC"/>
            </w:pPr>
          </w:p>
        </w:tc>
        <w:tc>
          <w:tcPr>
            <w:tcW w:w="802" w:type="dxa"/>
            <w:tcBorders>
              <w:top w:val="single" w:sz="6" w:space="0" w:color="auto"/>
              <w:left w:val="single" w:sz="6" w:space="0" w:color="auto"/>
              <w:right w:val="single" w:sz="6" w:space="0" w:color="auto"/>
            </w:tcBorders>
            <w:shd w:val="clear" w:color="auto" w:fill="auto"/>
          </w:tcPr>
          <w:p w14:paraId="5DBA6954"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367B5DF" w14:textId="77777777" w:rsidR="00524B77" w:rsidRPr="00DB707E" w:rsidRDefault="00524B77" w:rsidP="00430B21">
            <w:pPr>
              <w:pStyle w:val="TAC"/>
            </w:pPr>
            <w:r w:rsidRPr="00DB707E">
              <w:t>NR_FDD_FR1_A, NR_TDD_FR1_A,</w:t>
            </w:r>
          </w:p>
          <w:p w14:paraId="4CB91D9A" w14:textId="77777777" w:rsidR="00524B77" w:rsidRPr="00DB707E" w:rsidRDefault="00524B77" w:rsidP="00430B21">
            <w:pPr>
              <w:pStyle w:val="TAC"/>
            </w:pPr>
            <w:r w:rsidRPr="00DB707E">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4B184DE" w14:textId="77777777" w:rsidR="00524B77" w:rsidRPr="00DB707E" w:rsidRDefault="00524B77" w:rsidP="00430B21">
            <w:pPr>
              <w:pStyle w:val="TAC"/>
            </w:pPr>
            <w:r w:rsidRPr="00DB707E">
              <w:t>-121</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59433660" w14:textId="77777777" w:rsidR="00524B77" w:rsidRPr="00DB707E" w:rsidRDefault="00524B77" w:rsidP="00430B21">
            <w:pPr>
              <w:pStyle w:val="TAC"/>
              <w:rPr>
                <w:rFonts w:cs="Arial"/>
              </w:rPr>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289F94A"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22D3B64" w14:textId="77777777" w:rsidR="00524B77" w:rsidRPr="00DB707E" w:rsidRDefault="00524B77" w:rsidP="00430B21">
            <w:pPr>
              <w:pStyle w:val="TAC"/>
            </w:pPr>
            <w:r w:rsidRPr="00DB707E">
              <w:t>-50</w:t>
            </w:r>
          </w:p>
        </w:tc>
      </w:tr>
      <w:tr w:rsidR="00524B77" w:rsidRPr="00DB707E" w14:paraId="55DB69B7" w14:textId="77777777" w:rsidTr="00430B21">
        <w:trPr>
          <w:trHeight w:val="187"/>
          <w:jc w:val="center"/>
        </w:trPr>
        <w:tc>
          <w:tcPr>
            <w:tcW w:w="1035" w:type="dxa"/>
            <w:tcBorders>
              <w:left w:val="single" w:sz="4" w:space="0" w:color="auto"/>
              <w:right w:val="single" w:sz="6" w:space="0" w:color="auto"/>
            </w:tcBorders>
            <w:shd w:val="clear" w:color="auto" w:fill="auto"/>
          </w:tcPr>
          <w:p w14:paraId="303262E7"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180907F2"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2D828217"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02C58885" w14:textId="77777777" w:rsidR="00524B77" w:rsidRPr="00DB707E" w:rsidRDefault="00524B77" w:rsidP="00430B21">
            <w:pPr>
              <w:pStyle w:val="TAC"/>
            </w:pPr>
            <w:r w:rsidRPr="00DB707E">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F1319D3" w14:textId="77777777" w:rsidR="00524B77" w:rsidRPr="00DB707E" w:rsidRDefault="00524B77" w:rsidP="00430B21">
            <w:pPr>
              <w:pStyle w:val="TAC"/>
            </w:pPr>
            <w:r w:rsidRPr="00DB707E">
              <w:t>-120.5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4AD2A6BF" w14:textId="77777777" w:rsidR="00524B77" w:rsidRPr="00DB707E" w:rsidRDefault="00524B77" w:rsidP="00430B21">
            <w:pPr>
              <w:pStyle w:val="TAC"/>
              <w:rPr>
                <w:rFonts w:cs="Arial"/>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E53B7F2"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CC46820" w14:textId="77777777" w:rsidR="00524B77" w:rsidRPr="00DB707E" w:rsidRDefault="00524B77" w:rsidP="00430B21">
            <w:pPr>
              <w:pStyle w:val="TAC"/>
            </w:pPr>
            <w:r w:rsidRPr="00DB707E">
              <w:t>-50</w:t>
            </w:r>
          </w:p>
        </w:tc>
      </w:tr>
      <w:tr w:rsidR="00524B77" w:rsidRPr="00DB707E" w14:paraId="1CF9C9C6" w14:textId="77777777" w:rsidTr="00430B21">
        <w:trPr>
          <w:trHeight w:val="187"/>
          <w:jc w:val="center"/>
        </w:trPr>
        <w:tc>
          <w:tcPr>
            <w:tcW w:w="1035" w:type="dxa"/>
            <w:tcBorders>
              <w:left w:val="single" w:sz="4" w:space="0" w:color="auto"/>
              <w:right w:val="single" w:sz="6" w:space="0" w:color="auto"/>
            </w:tcBorders>
            <w:shd w:val="clear" w:color="auto" w:fill="auto"/>
          </w:tcPr>
          <w:p w14:paraId="5D73865E"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33F6ABC6"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1928ACCA"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8797D66" w14:textId="77777777" w:rsidR="00524B77" w:rsidRPr="00DB707E" w:rsidRDefault="00524B77" w:rsidP="00430B21">
            <w:pPr>
              <w:pStyle w:val="TAC"/>
            </w:pPr>
            <w:r w:rsidRPr="00DB707E">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7CC9ED9" w14:textId="77777777" w:rsidR="00524B77" w:rsidRPr="00DB707E" w:rsidRDefault="00524B77" w:rsidP="00430B21">
            <w:pPr>
              <w:pStyle w:val="TAC"/>
            </w:pPr>
            <w:r w:rsidRPr="00DB707E">
              <w:t>-120</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7FF6E124" w14:textId="77777777" w:rsidR="00524B77" w:rsidRPr="00DB707E" w:rsidRDefault="00524B77" w:rsidP="00430B21">
            <w:pPr>
              <w:pStyle w:val="TAC"/>
              <w:rPr>
                <w:rFonts w:cs="Arial"/>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D281B1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6A40251" w14:textId="77777777" w:rsidR="00524B77" w:rsidRPr="00DB707E" w:rsidRDefault="00524B77" w:rsidP="00430B21">
            <w:pPr>
              <w:pStyle w:val="TAC"/>
            </w:pPr>
            <w:r w:rsidRPr="00DB707E">
              <w:t>-50</w:t>
            </w:r>
          </w:p>
        </w:tc>
      </w:tr>
      <w:tr w:rsidR="00524B77" w:rsidRPr="00DB707E" w14:paraId="28DB7A4F" w14:textId="77777777" w:rsidTr="00430B21">
        <w:trPr>
          <w:trHeight w:val="187"/>
          <w:jc w:val="center"/>
        </w:trPr>
        <w:tc>
          <w:tcPr>
            <w:tcW w:w="1035" w:type="dxa"/>
            <w:tcBorders>
              <w:left w:val="single" w:sz="4" w:space="0" w:color="auto"/>
              <w:right w:val="single" w:sz="6" w:space="0" w:color="auto"/>
            </w:tcBorders>
            <w:shd w:val="clear" w:color="auto" w:fill="auto"/>
          </w:tcPr>
          <w:p w14:paraId="35BE7D6F" w14:textId="77777777" w:rsidR="00524B77" w:rsidRPr="00DB707E" w:rsidRDefault="00524B77" w:rsidP="00430B21">
            <w:pPr>
              <w:pStyle w:val="TAC"/>
            </w:pPr>
            <w:r w:rsidRPr="00DB707E">
              <w:sym w:font="Symbol" w:char="F0B1"/>
            </w:r>
            <w:r w:rsidRPr="00DB707E">
              <w:t>4.0</w:t>
            </w:r>
          </w:p>
        </w:tc>
        <w:tc>
          <w:tcPr>
            <w:tcW w:w="1047" w:type="dxa"/>
            <w:tcBorders>
              <w:left w:val="single" w:sz="6" w:space="0" w:color="auto"/>
              <w:right w:val="single" w:sz="6" w:space="0" w:color="auto"/>
            </w:tcBorders>
            <w:shd w:val="clear" w:color="auto" w:fill="auto"/>
          </w:tcPr>
          <w:p w14:paraId="67DED042" w14:textId="77777777" w:rsidR="00524B77" w:rsidRPr="00DB707E" w:rsidRDefault="00524B77" w:rsidP="00430B21">
            <w:pPr>
              <w:pStyle w:val="TAC"/>
            </w:pPr>
            <w:r w:rsidRPr="00DB707E">
              <w:sym w:font="Symbol" w:char="F0B1"/>
            </w:r>
            <w:r w:rsidRPr="00DB707E">
              <w:t>5</w:t>
            </w:r>
          </w:p>
        </w:tc>
        <w:tc>
          <w:tcPr>
            <w:tcW w:w="802" w:type="dxa"/>
            <w:tcBorders>
              <w:left w:val="single" w:sz="6" w:space="0" w:color="auto"/>
              <w:right w:val="single" w:sz="6" w:space="0" w:color="auto"/>
            </w:tcBorders>
            <w:shd w:val="clear" w:color="auto" w:fill="auto"/>
          </w:tcPr>
          <w:p w14:paraId="69E85202" w14:textId="77777777" w:rsidR="00524B77" w:rsidRPr="00DB707E" w:rsidRDefault="00524B77" w:rsidP="00430B21">
            <w:pPr>
              <w:pStyle w:val="TAC"/>
            </w:pPr>
            <w:r w:rsidRPr="00DB707E">
              <w:sym w:font="Symbol" w:char="F0B3"/>
            </w:r>
            <w:r w:rsidRPr="00DB707E">
              <w:t>-3</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109F155C" w14:textId="77777777" w:rsidR="00524B77" w:rsidRPr="00DB707E" w:rsidRDefault="00524B77" w:rsidP="00430B21">
            <w:pPr>
              <w:pStyle w:val="TAC"/>
              <w:rPr>
                <w:lang w:val="sv-SE"/>
              </w:rPr>
            </w:pPr>
            <w:r w:rsidRPr="00DB707E">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2031CD9" w14:textId="77777777" w:rsidR="00524B77" w:rsidRPr="00DB707E" w:rsidRDefault="00524B77" w:rsidP="00430B21">
            <w:pPr>
              <w:pStyle w:val="TAC"/>
            </w:pPr>
            <w:r w:rsidRPr="00DB707E">
              <w:t>-119.5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0C76940A" w14:textId="77777777" w:rsidR="00524B77" w:rsidRPr="00DB707E" w:rsidRDefault="00524B77" w:rsidP="00430B21">
            <w:pPr>
              <w:pStyle w:val="TAC"/>
              <w:rPr>
                <w:rFonts w:cs="Arial"/>
              </w:rPr>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C1A09FE"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DFE1E41" w14:textId="77777777" w:rsidR="00524B77" w:rsidRPr="00DB707E" w:rsidRDefault="00524B77" w:rsidP="00430B21">
            <w:pPr>
              <w:pStyle w:val="TAC"/>
            </w:pPr>
            <w:r w:rsidRPr="00DB707E">
              <w:t>-50</w:t>
            </w:r>
          </w:p>
        </w:tc>
      </w:tr>
      <w:tr w:rsidR="00524B77" w:rsidRPr="00DB707E" w14:paraId="60B9AA2A" w14:textId="77777777" w:rsidTr="00430B21">
        <w:trPr>
          <w:trHeight w:val="187"/>
          <w:jc w:val="center"/>
        </w:trPr>
        <w:tc>
          <w:tcPr>
            <w:tcW w:w="1035" w:type="dxa"/>
            <w:tcBorders>
              <w:left w:val="single" w:sz="4" w:space="0" w:color="auto"/>
              <w:right w:val="single" w:sz="6" w:space="0" w:color="auto"/>
            </w:tcBorders>
            <w:shd w:val="clear" w:color="auto" w:fill="auto"/>
          </w:tcPr>
          <w:p w14:paraId="06EFE23F"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3BC7518B"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68902659"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7D1C10E6" w14:textId="77777777" w:rsidR="00524B77" w:rsidRPr="00DB707E" w:rsidDel="00836998" w:rsidRDefault="00524B77" w:rsidP="00430B21">
            <w:pPr>
              <w:pStyle w:val="TAC"/>
              <w:rPr>
                <w:lang w:val="sv-SE"/>
              </w:rPr>
            </w:pPr>
            <w:r w:rsidRPr="00DB707E">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8C14F53" w14:textId="77777777" w:rsidR="00524B77" w:rsidRPr="00DB707E" w:rsidRDefault="00524B77" w:rsidP="00430B21">
            <w:pPr>
              <w:pStyle w:val="TAC"/>
            </w:pPr>
            <w:r w:rsidRPr="00DB707E">
              <w:t>-119</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B0D0216" w14:textId="77777777" w:rsidR="00524B77" w:rsidRPr="00DB707E" w:rsidRDefault="00524B77" w:rsidP="00430B21">
            <w:pPr>
              <w:pStyle w:val="TAC"/>
              <w:rPr>
                <w:rFonts w:cs="Arial"/>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D15E52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C04D704" w14:textId="77777777" w:rsidR="00524B77" w:rsidRPr="00DB707E" w:rsidRDefault="00524B77" w:rsidP="00430B21">
            <w:pPr>
              <w:pStyle w:val="TAC"/>
            </w:pPr>
            <w:r w:rsidRPr="00DB707E">
              <w:t>-50</w:t>
            </w:r>
          </w:p>
        </w:tc>
      </w:tr>
      <w:tr w:rsidR="00524B77" w:rsidRPr="00DB707E" w14:paraId="51705DF2" w14:textId="77777777" w:rsidTr="00430B21">
        <w:trPr>
          <w:trHeight w:val="187"/>
          <w:jc w:val="center"/>
        </w:trPr>
        <w:tc>
          <w:tcPr>
            <w:tcW w:w="1035" w:type="dxa"/>
            <w:tcBorders>
              <w:left w:val="single" w:sz="4" w:space="0" w:color="auto"/>
              <w:right w:val="single" w:sz="6" w:space="0" w:color="auto"/>
            </w:tcBorders>
            <w:shd w:val="clear" w:color="auto" w:fill="auto"/>
          </w:tcPr>
          <w:p w14:paraId="4DC1F4E2"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24DC63F6"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35F39063"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BF6EC65" w14:textId="77777777" w:rsidR="00524B77" w:rsidRPr="00DB707E" w:rsidRDefault="00524B77" w:rsidP="00430B21">
            <w:pPr>
              <w:pStyle w:val="TAC"/>
              <w:rPr>
                <w:lang w:val="sv-SE"/>
              </w:rPr>
            </w:pPr>
            <w:r w:rsidRPr="00DB707E">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AD7D501" w14:textId="77777777" w:rsidR="00524B77" w:rsidRPr="00DB707E" w:rsidRDefault="00524B77" w:rsidP="00430B21">
            <w:pPr>
              <w:pStyle w:val="TAC"/>
            </w:pPr>
            <w:r w:rsidRPr="00DB707E">
              <w:t>-118.5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351359EF"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26E061B"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1ED2350" w14:textId="77777777" w:rsidR="00524B77" w:rsidRPr="00DB707E" w:rsidRDefault="00524B77" w:rsidP="00430B21">
            <w:pPr>
              <w:pStyle w:val="TAC"/>
            </w:pPr>
            <w:r w:rsidRPr="00DB707E">
              <w:t>-50</w:t>
            </w:r>
          </w:p>
        </w:tc>
      </w:tr>
      <w:tr w:rsidR="00524B77" w:rsidRPr="00DB707E" w14:paraId="16029635" w14:textId="77777777" w:rsidTr="00430B21">
        <w:trPr>
          <w:trHeight w:val="187"/>
          <w:jc w:val="center"/>
        </w:trPr>
        <w:tc>
          <w:tcPr>
            <w:tcW w:w="1035" w:type="dxa"/>
            <w:tcBorders>
              <w:left w:val="single" w:sz="4" w:space="0" w:color="auto"/>
              <w:right w:val="single" w:sz="6" w:space="0" w:color="auto"/>
            </w:tcBorders>
            <w:shd w:val="clear" w:color="auto" w:fill="auto"/>
          </w:tcPr>
          <w:p w14:paraId="5ED0FB5B"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1247C839"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66D8F757"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2C95AD22"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51FB3BE" w14:textId="77777777" w:rsidR="00524B77" w:rsidRPr="00DB707E" w:rsidRDefault="00524B77" w:rsidP="00430B21">
            <w:pPr>
              <w:pStyle w:val="TAC"/>
            </w:pPr>
            <w:r w:rsidRPr="00DB707E">
              <w:t>-118</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2C3F30F4"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F45CB9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39F6C18" w14:textId="77777777" w:rsidR="00524B77" w:rsidRPr="00DB707E" w:rsidRDefault="00524B77" w:rsidP="00430B21">
            <w:pPr>
              <w:pStyle w:val="TAC"/>
            </w:pPr>
            <w:r w:rsidRPr="00DB707E">
              <w:t>-50</w:t>
            </w:r>
          </w:p>
        </w:tc>
      </w:tr>
      <w:tr w:rsidR="00524B77" w:rsidRPr="00DB707E" w14:paraId="416CE1FE" w14:textId="77777777" w:rsidTr="00430B21">
        <w:trPr>
          <w:trHeight w:val="187"/>
          <w:jc w:val="center"/>
        </w:trPr>
        <w:tc>
          <w:tcPr>
            <w:tcW w:w="1035" w:type="dxa"/>
            <w:tcBorders>
              <w:left w:val="single" w:sz="4" w:space="0" w:color="auto"/>
              <w:right w:val="single" w:sz="6" w:space="0" w:color="auto"/>
            </w:tcBorders>
            <w:shd w:val="clear" w:color="auto" w:fill="auto"/>
          </w:tcPr>
          <w:p w14:paraId="7C493FA6"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211BBFB0" w14:textId="77777777" w:rsidR="00524B77" w:rsidRPr="00DB707E" w:rsidRDefault="00524B77" w:rsidP="00430B21">
            <w:pPr>
              <w:pStyle w:val="TAC"/>
            </w:pPr>
          </w:p>
        </w:tc>
        <w:tc>
          <w:tcPr>
            <w:tcW w:w="802" w:type="dxa"/>
            <w:tcBorders>
              <w:left w:val="single" w:sz="6" w:space="0" w:color="auto"/>
              <w:right w:val="single" w:sz="6" w:space="0" w:color="auto"/>
            </w:tcBorders>
            <w:shd w:val="clear" w:color="auto" w:fill="auto"/>
          </w:tcPr>
          <w:p w14:paraId="40958A7F" w14:textId="77777777" w:rsidR="00524B77" w:rsidRPr="00DB707E" w:rsidRDefault="00524B77" w:rsidP="00430B21">
            <w:pPr>
              <w:pStyle w:val="TAC"/>
            </w:pP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43EEEF85"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4067A2CC" w14:textId="77777777" w:rsidR="00524B77" w:rsidRPr="00DB707E" w:rsidRDefault="00524B77" w:rsidP="00430B21">
            <w:pPr>
              <w:pStyle w:val="TAC"/>
            </w:pPr>
            <w:r w:rsidRPr="00DB707E">
              <w:t>-117.5</w:t>
            </w:r>
          </w:p>
        </w:tc>
        <w:tc>
          <w:tcPr>
            <w:tcW w:w="1083" w:type="dxa"/>
            <w:tcBorders>
              <w:top w:val="single" w:sz="6" w:space="0" w:color="auto"/>
              <w:left w:val="single" w:sz="4" w:space="0" w:color="auto"/>
              <w:bottom w:val="single" w:sz="6" w:space="0" w:color="auto"/>
              <w:right w:val="single" w:sz="6" w:space="0" w:color="auto"/>
            </w:tcBorders>
            <w:shd w:val="clear" w:color="auto" w:fill="auto"/>
          </w:tcPr>
          <w:p w14:paraId="62DD5203"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FA01820"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BCA7811" w14:textId="77777777" w:rsidR="00524B77" w:rsidRPr="00DB707E" w:rsidRDefault="00524B77" w:rsidP="00430B21">
            <w:pPr>
              <w:pStyle w:val="TAC"/>
            </w:pPr>
            <w:r w:rsidRPr="00DB707E">
              <w:t>-50</w:t>
            </w:r>
          </w:p>
        </w:tc>
      </w:tr>
      <w:tr w:rsidR="00524B77" w:rsidRPr="00DB707E" w14:paraId="4BDBBA11" w14:textId="77777777" w:rsidTr="00430B21">
        <w:trPr>
          <w:trHeight w:val="187"/>
          <w:jc w:val="center"/>
        </w:trPr>
        <w:tc>
          <w:tcPr>
            <w:tcW w:w="1035" w:type="dxa"/>
            <w:tcBorders>
              <w:top w:val="single" w:sz="6" w:space="0" w:color="auto"/>
              <w:left w:val="single" w:sz="4" w:space="0" w:color="auto"/>
              <w:bottom w:val="single" w:sz="6" w:space="0" w:color="auto"/>
              <w:right w:val="single" w:sz="6" w:space="0" w:color="auto"/>
            </w:tcBorders>
            <w:shd w:val="clear" w:color="auto" w:fill="auto"/>
          </w:tcPr>
          <w:p w14:paraId="0926A17F" w14:textId="77777777" w:rsidR="00524B77" w:rsidRPr="00DB707E" w:rsidRDefault="00524B77" w:rsidP="00430B21">
            <w:pPr>
              <w:pStyle w:val="TAC"/>
            </w:pPr>
            <w:r w:rsidRPr="00DB707E">
              <w:sym w:font="Symbol" w:char="F0B1"/>
            </w:r>
            <w:r w:rsidRPr="00DB707E">
              <w:t>4.5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2A0E3EE8" w14:textId="77777777" w:rsidR="00524B77" w:rsidRPr="00DB707E" w:rsidRDefault="00524B77" w:rsidP="00430B21">
            <w:pPr>
              <w:pStyle w:val="TAC"/>
            </w:pPr>
            <w:r w:rsidRPr="00DB707E">
              <w:sym w:font="Symbol" w:char="F0B1"/>
            </w:r>
            <w:r w:rsidRPr="00DB707E">
              <w:t>5</w:t>
            </w:r>
          </w:p>
        </w:tc>
        <w:tc>
          <w:tcPr>
            <w:tcW w:w="802" w:type="dxa"/>
            <w:tcBorders>
              <w:top w:val="single" w:sz="6" w:space="0" w:color="auto"/>
              <w:left w:val="single" w:sz="6" w:space="0" w:color="auto"/>
              <w:bottom w:val="single" w:sz="6" w:space="0" w:color="auto"/>
              <w:right w:val="single" w:sz="6" w:space="0" w:color="auto"/>
            </w:tcBorders>
            <w:shd w:val="clear" w:color="auto" w:fill="auto"/>
          </w:tcPr>
          <w:p w14:paraId="7F9025D7" w14:textId="77777777" w:rsidR="00524B77" w:rsidRPr="00DB707E" w:rsidRDefault="00524B77" w:rsidP="00430B21">
            <w:pPr>
              <w:pStyle w:val="TAC"/>
            </w:pPr>
            <w:r w:rsidRPr="00DB707E">
              <w:sym w:font="Symbol" w:char="F0B3"/>
            </w:r>
            <w:r w:rsidRPr="00DB707E">
              <w:t>-</w:t>
            </w:r>
            <w:r w:rsidRPr="00DB707E">
              <w:rPr>
                <w:lang w:eastAsia="zh-CN"/>
              </w:rPr>
              <w:t>6</w:t>
            </w:r>
          </w:p>
        </w:tc>
        <w:tc>
          <w:tcPr>
            <w:tcW w:w="2298" w:type="dxa"/>
            <w:tcBorders>
              <w:top w:val="single" w:sz="6" w:space="0" w:color="auto"/>
              <w:left w:val="single" w:sz="6" w:space="0" w:color="auto"/>
              <w:bottom w:val="single" w:sz="6" w:space="0" w:color="auto"/>
              <w:right w:val="single" w:sz="4" w:space="0" w:color="auto"/>
            </w:tcBorders>
            <w:shd w:val="clear" w:color="auto" w:fill="auto"/>
          </w:tcPr>
          <w:p w14:paraId="5808A7F5" w14:textId="77777777" w:rsidR="00524B77" w:rsidRPr="00DB707E" w:rsidRDefault="00524B77" w:rsidP="00430B21">
            <w:pPr>
              <w:pStyle w:val="TAC"/>
            </w:pPr>
            <w:r w:rsidRPr="00DB707E">
              <w:t>Note 2</w:t>
            </w:r>
          </w:p>
        </w:tc>
        <w:tc>
          <w:tcPr>
            <w:tcW w:w="1027" w:type="dxa"/>
            <w:tcBorders>
              <w:top w:val="single" w:sz="6" w:space="0" w:color="auto"/>
              <w:left w:val="single" w:sz="4" w:space="0" w:color="auto"/>
              <w:bottom w:val="single" w:sz="4" w:space="0" w:color="auto"/>
              <w:right w:val="single" w:sz="6" w:space="0" w:color="auto"/>
            </w:tcBorders>
            <w:shd w:val="clear" w:color="auto" w:fill="auto"/>
          </w:tcPr>
          <w:p w14:paraId="5F204FC6" w14:textId="77777777" w:rsidR="00524B77" w:rsidRPr="00DB707E" w:rsidRDefault="00524B77" w:rsidP="00430B21">
            <w:pPr>
              <w:pStyle w:val="TAC"/>
            </w:pPr>
            <w:r w:rsidRPr="00DB707E">
              <w:t>Note 2</w:t>
            </w:r>
          </w:p>
        </w:tc>
        <w:tc>
          <w:tcPr>
            <w:tcW w:w="1083" w:type="dxa"/>
            <w:tcBorders>
              <w:top w:val="single" w:sz="6" w:space="0" w:color="auto"/>
              <w:left w:val="single" w:sz="4" w:space="0" w:color="auto"/>
              <w:bottom w:val="single" w:sz="4" w:space="0" w:color="auto"/>
              <w:right w:val="single" w:sz="6" w:space="0" w:color="auto"/>
            </w:tcBorders>
            <w:shd w:val="clear" w:color="auto" w:fill="auto"/>
          </w:tcPr>
          <w:p w14:paraId="75A13CBD" w14:textId="77777777" w:rsidR="00524B77" w:rsidRPr="00DB707E" w:rsidRDefault="00524B77" w:rsidP="00430B21">
            <w:pPr>
              <w:pStyle w:val="TAC"/>
              <w:rPr>
                <w:lang w:eastAsia="zh-CN"/>
              </w:rPr>
            </w:pPr>
            <w:r w:rsidRPr="00DB707E">
              <w:t>Note 2</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45A40862" w14:textId="77777777" w:rsidR="00524B77" w:rsidRPr="00DB707E" w:rsidRDefault="00524B77" w:rsidP="00430B21">
            <w:pPr>
              <w:pStyle w:val="TAC"/>
            </w:pPr>
            <w:r w:rsidRPr="00DB707E">
              <w:t>Note 2</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40E27CD4" w14:textId="77777777" w:rsidR="00524B77" w:rsidRPr="00DB707E" w:rsidRDefault="00524B77" w:rsidP="00430B21">
            <w:pPr>
              <w:pStyle w:val="TAC"/>
            </w:pPr>
            <w:r w:rsidRPr="00DB707E">
              <w:t>Note 2</w:t>
            </w:r>
          </w:p>
        </w:tc>
      </w:tr>
      <w:tr w:rsidR="00524B77" w:rsidRPr="00DB707E" w14:paraId="0E2303C3"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477DEAFA" w14:textId="77777777" w:rsidR="00524B77" w:rsidRPr="00DB707E" w:rsidRDefault="00524B77" w:rsidP="00430B21">
            <w:pPr>
              <w:pStyle w:val="TAN"/>
            </w:pPr>
            <w:r w:rsidRPr="00DB707E">
              <w:t>NOTE 1:</w:t>
            </w:r>
            <w:r w:rsidRPr="00DB707E">
              <w:tab/>
              <w:t>Io is assumed to have constant EPRE across the bandwidth.</w:t>
            </w:r>
          </w:p>
          <w:p w14:paraId="44AC59A1" w14:textId="77777777" w:rsidR="00524B77" w:rsidRPr="00DB707E" w:rsidRDefault="00524B77" w:rsidP="00430B21">
            <w:pPr>
              <w:pStyle w:val="TAN"/>
              <w:rPr>
                <w:rFonts w:cs="Arial"/>
              </w:rPr>
            </w:pPr>
            <w:r w:rsidRPr="00DB707E">
              <w:rPr>
                <w:rFonts w:cs="Arial"/>
              </w:rPr>
              <w:t>N</w:t>
            </w:r>
            <w:r w:rsidRPr="00DB707E">
              <w:rPr>
                <w:rFonts w:cs="Arial"/>
                <w:lang w:eastAsia="zh-CN"/>
              </w:rPr>
              <w:t>OTE</w:t>
            </w:r>
            <w:r w:rsidRPr="00DB707E">
              <w:rPr>
                <w:rFonts w:cs="Arial"/>
              </w:rPr>
              <w:t xml:space="preserve"> 2:</w:t>
            </w:r>
            <w:r w:rsidRPr="00DB707E">
              <w:rPr>
                <w:rFonts w:cs="Arial"/>
              </w:rPr>
              <w:tab/>
              <w:t>The same bands and the same Io conditions for each band apply for this requirement as for the corresponding highest accuracy requirement.</w:t>
            </w:r>
          </w:p>
          <w:p w14:paraId="22F7430B" w14:textId="77777777" w:rsidR="00524B77" w:rsidRPr="00DB707E" w:rsidRDefault="00524B77" w:rsidP="00430B21">
            <w:pPr>
              <w:pStyle w:val="TAN"/>
              <w:rPr>
                <w:rFonts w:cs="Arial"/>
              </w:rPr>
            </w:pPr>
            <w:r w:rsidRPr="00DB707E">
              <w:rPr>
                <w:rFonts w:cs="Arial"/>
              </w:rPr>
              <w:t>NOTE 3:</w:t>
            </w:r>
            <w:r w:rsidRPr="00DB707E">
              <w:rPr>
                <w:rFonts w:cs="Arial"/>
              </w:rPr>
              <w:tab/>
              <w:t xml:space="preserve">The requirements apply for SSB Ês/Iot </w:t>
            </w:r>
            <w:r w:rsidRPr="00DB707E">
              <w:rPr>
                <w:rFonts w:cs="Arial" w:hint="eastAsia"/>
              </w:rPr>
              <w:t>≤</w:t>
            </w:r>
            <w:r w:rsidRPr="00DB707E">
              <w:rPr>
                <w:rFonts w:cs="Arial"/>
              </w:rPr>
              <w:t xml:space="preserve"> 25 dB.</w:t>
            </w:r>
          </w:p>
          <w:p w14:paraId="02D3B067" w14:textId="77777777" w:rsidR="00524B77" w:rsidRPr="00DB707E" w:rsidRDefault="00524B77" w:rsidP="00430B21">
            <w:pPr>
              <w:pStyle w:val="TAN"/>
            </w:pPr>
            <w:r w:rsidRPr="00DB707E">
              <w:rPr>
                <w:rFonts w:cs="Arial"/>
              </w:rPr>
              <w:t>NOTE 4:</w:t>
            </w:r>
            <w:r w:rsidRPr="00DB707E">
              <w:rPr>
                <w:rFonts w:cs="Arial"/>
              </w:rPr>
              <w:tab/>
            </w:r>
            <w:r w:rsidRPr="00DB707E">
              <w:t>NR operating band groups in FR1 are as defined in clause 3.5.2.</w:t>
            </w:r>
          </w:p>
        </w:tc>
      </w:tr>
    </w:tbl>
    <w:p w14:paraId="705406FD" w14:textId="77777777" w:rsidR="00524B77" w:rsidRPr="00DB707E" w:rsidRDefault="00524B77" w:rsidP="00524B77">
      <w:pPr>
        <w:rPr>
          <w:lang w:eastAsia="ko-KR"/>
        </w:rPr>
      </w:pPr>
    </w:p>
    <w:p w14:paraId="629CFCC3" w14:textId="77777777" w:rsidR="00524B77" w:rsidRPr="00DB707E" w:rsidRDefault="00524B77" w:rsidP="00524B77">
      <w:pPr>
        <w:pStyle w:val="Heading5"/>
      </w:pPr>
      <w:r w:rsidRPr="00DB707E">
        <w:rPr>
          <w:lang w:eastAsia="zh-CN"/>
        </w:rPr>
        <w:t>1</w:t>
      </w:r>
      <w:r w:rsidRPr="00DB707E">
        <w:t>0.1A.12.1.2</w:t>
      </w:r>
      <w:r w:rsidRPr="00DB707E">
        <w:tab/>
        <w:t>Relative Accuracy of SS-SINR in FR1</w:t>
      </w:r>
    </w:p>
    <w:p w14:paraId="3B99B190" w14:textId="77777777" w:rsidR="00524B77" w:rsidRPr="00DB707E" w:rsidRDefault="00524B77" w:rsidP="00524B77">
      <w:pPr>
        <w:rPr>
          <w:rFonts w:cs="v4.2.0"/>
        </w:rPr>
      </w:pPr>
      <w:r w:rsidRPr="00DB707E">
        <w:rPr>
          <w:rFonts w:cs="v4.2.0"/>
        </w:rPr>
        <w:t xml:space="preserve">The accuracy requirements in clause </w:t>
      </w:r>
      <w:r w:rsidRPr="00DB707E">
        <w:rPr>
          <w:lang w:val="en-US" w:eastAsia="zh-CN"/>
        </w:rPr>
        <w:t>10.1.14.1.2</w:t>
      </w:r>
      <w:r w:rsidRPr="00DB707E">
        <w:rPr>
          <w:rFonts w:cs="v4.2.0"/>
        </w:rPr>
        <w:t xml:space="preserve"> shall apply when RedCap UE is capable of 2Rx. When UE is only required to support 1RX, the absolute accuracy requirements in Table </w:t>
      </w:r>
      <w:r w:rsidRPr="00DB707E">
        <w:rPr>
          <w:lang w:eastAsia="zh-CN"/>
        </w:rPr>
        <w:t>1</w:t>
      </w:r>
      <w:r w:rsidRPr="00DB707E">
        <w:t>0.1A.12.1.2-1</w:t>
      </w:r>
      <w:r w:rsidRPr="00DB707E">
        <w:rPr>
          <w:rFonts w:cs="v4.2.0"/>
        </w:rPr>
        <w:t xml:space="preserve"> are valid under the following conditions:</w:t>
      </w:r>
    </w:p>
    <w:p w14:paraId="123DAA4C" w14:textId="77777777" w:rsidR="00524B77" w:rsidRPr="00DB707E" w:rsidRDefault="00524B77" w:rsidP="00524B77">
      <w:pPr>
        <w:pStyle w:val="B10"/>
        <w:rPr>
          <w:rFonts w:cs="v4.2.0"/>
        </w:rPr>
      </w:pPr>
      <w:r w:rsidRPr="00DB707E">
        <w:t>-</w:t>
      </w:r>
      <w:r w:rsidRPr="00DB707E">
        <w:rPr>
          <w:rFonts w:ascii="Arial" w:hAnsi="Arial"/>
          <w:sz w:val="28"/>
          <w:lang w:val="en-US"/>
        </w:rPr>
        <w:tab/>
      </w:r>
      <w:r w:rsidRPr="00DB707E">
        <w:t>Conditions defined in clause 7.3 of TS 38.101-1 [18] for reference sensitivity are fulfilled.</w:t>
      </w:r>
    </w:p>
    <w:p w14:paraId="62BAD5F0" w14:textId="77777777" w:rsidR="00524B77" w:rsidRPr="00DB707E" w:rsidRDefault="00524B77" w:rsidP="00524B77">
      <w:pPr>
        <w:pStyle w:val="B10"/>
      </w:pPr>
      <w:r w:rsidRPr="00DB707E">
        <w:t>-</w:t>
      </w:r>
      <w:r w:rsidRPr="00DB707E">
        <w:rPr>
          <w:rFonts w:ascii="Arial" w:hAnsi="Arial"/>
          <w:sz w:val="28"/>
          <w:lang w:val="en-US"/>
        </w:rPr>
        <w:tab/>
      </w:r>
      <w:r w:rsidRPr="00DB707E">
        <w:t>Conditions for inter-frequency measurements are fulfilled according to Annex B.2.3 for a corresponding Band.</w:t>
      </w:r>
    </w:p>
    <w:p w14:paraId="34AE3819" w14:textId="77777777" w:rsidR="00524B77" w:rsidRPr="00DB707E" w:rsidRDefault="00524B77" w:rsidP="00524B77">
      <w:pPr>
        <w:pStyle w:val="B10"/>
        <w:rPr>
          <w:rFonts w:cs="v4.2.0"/>
          <w:sz w:val="18"/>
        </w:rPr>
      </w:pPr>
      <w:r w:rsidRPr="00DB707E">
        <w:t>-</w:t>
      </w:r>
      <w:r w:rsidRPr="00DB707E">
        <w:rPr>
          <w:rFonts w:ascii="Arial" w:hAnsi="Arial"/>
          <w:sz w:val="28"/>
          <w:lang w:val="en-US"/>
        </w:rPr>
        <w:tab/>
      </w:r>
      <w:r w:rsidRPr="00DB707E">
        <w:t>|SSB_RP1</w:t>
      </w:r>
      <w:r w:rsidRPr="00DB707E">
        <w:rPr>
          <w:vertAlign w:val="subscript"/>
        </w:rPr>
        <w:t>dBm</w:t>
      </w:r>
      <w:r w:rsidRPr="00DB707E">
        <w:t xml:space="preserve"> - SSB_RP2</w:t>
      </w:r>
      <w:r w:rsidRPr="00DB707E">
        <w:rPr>
          <w:vertAlign w:val="subscript"/>
        </w:rPr>
        <w:t>dBm</w:t>
      </w:r>
      <w:r w:rsidRPr="00DB707E">
        <w:t xml:space="preserve">| </w:t>
      </w:r>
      <w:r w:rsidRPr="00DB707E">
        <w:rPr>
          <w:rFonts w:hint="eastAsia"/>
        </w:rPr>
        <w:t>≤</w:t>
      </w:r>
      <w:r w:rsidRPr="00DB707E">
        <w:t xml:space="preserve"> 27 dB</w:t>
      </w:r>
    </w:p>
    <w:p w14:paraId="1AAADDBE" w14:textId="77777777" w:rsidR="00524B77" w:rsidRPr="00DB707E" w:rsidRDefault="00524B77" w:rsidP="00524B77">
      <w:pPr>
        <w:pStyle w:val="B10"/>
      </w:pPr>
      <w:r w:rsidRPr="00DB707E">
        <w:t>-</w:t>
      </w:r>
      <w:r w:rsidRPr="00DB707E">
        <w:rPr>
          <w:rFonts w:ascii="Arial" w:hAnsi="Arial"/>
          <w:sz w:val="28"/>
          <w:lang w:val="en-US"/>
        </w:rPr>
        <w:tab/>
      </w:r>
      <w:r w:rsidRPr="00DB707E">
        <w:t xml:space="preserve">| Channel 1_Io </w:t>
      </w:r>
      <w:r w:rsidRPr="00DB707E">
        <w:noBreakHyphen/>
        <w:t xml:space="preserve">Channel 2_Io | </w:t>
      </w:r>
      <w:r w:rsidRPr="00DB707E">
        <w:sym w:font="Symbol" w:char="F0A3"/>
      </w:r>
      <w:r w:rsidRPr="00DB707E">
        <w:t xml:space="preserve"> 20 dB</w:t>
      </w:r>
    </w:p>
    <w:p w14:paraId="28098084" w14:textId="77777777" w:rsidR="00524B77" w:rsidRPr="00DB707E" w:rsidRDefault="00524B77" w:rsidP="00524B77">
      <w:pPr>
        <w:pStyle w:val="TH"/>
        <w:rPr>
          <w:sz w:val="22"/>
          <w:szCs w:val="22"/>
          <w:lang w:eastAsia="zh-CN"/>
        </w:rPr>
      </w:pPr>
      <w:r w:rsidRPr="00DB707E">
        <w:t xml:space="preserve">Table </w:t>
      </w:r>
      <w:r w:rsidRPr="00DB707E">
        <w:rPr>
          <w:lang w:eastAsia="zh-CN"/>
        </w:rPr>
        <w:t>1</w:t>
      </w:r>
      <w:r w:rsidRPr="00DB707E">
        <w:t xml:space="preserve">0.1A.12.1.2-1: </w:t>
      </w:r>
      <w:r w:rsidRPr="00DB707E">
        <w:rPr>
          <w:lang w:eastAsia="zh-CN"/>
        </w:rPr>
        <w:t>SS-SINR</w:t>
      </w:r>
      <w:r w:rsidRPr="00DB707E">
        <w:t xml:space="preserve"> Inter frequency relative accuracy</w:t>
      </w:r>
      <w:r w:rsidRPr="00DB707E">
        <w:rPr>
          <w:sz w:val="22"/>
          <w:szCs w:val="22"/>
          <w:lang w:eastAsia="zh-CN"/>
        </w:rPr>
        <w:t xml:space="preserve"> </w:t>
      </w:r>
      <w:r w:rsidRPr="00DB707E">
        <w:t>for 1Rx RedCap UE</w:t>
      </w:r>
      <w:r w:rsidRPr="00DB707E">
        <w:rPr>
          <w:sz w:val="22"/>
          <w:szCs w:val="22"/>
          <w:lang w:eastAsia="zh-CN"/>
        </w:rPr>
        <w:t xml:space="preserve"> in FR1</w:t>
      </w:r>
    </w:p>
    <w:tbl>
      <w:tblPr>
        <w:tblW w:w="10172" w:type="dxa"/>
        <w:jc w:val="center"/>
        <w:tblLook w:val="01E0" w:firstRow="1" w:lastRow="1" w:firstColumn="1" w:lastColumn="1" w:noHBand="0" w:noVBand="0"/>
      </w:tblPr>
      <w:tblGrid>
        <w:gridCol w:w="1033"/>
        <w:gridCol w:w="1047"/>
        <w:gridCol w:w="951"/>
        <w:gridCol w:w="2122"/>
        <w:gridCol w:w="1107"/>
        <w:gridCol w:w="1032"/>
        <w:gridCol w:w="1440"/>
        <w:gridCol w:w="1440"/>
      </w:tblGrid>
      <w:tr w:rsidR="00524B77" w:rsidRPr="00DB707E" w14:paraId="3F7A94E8" w14:textId="77777777" w:rsidTr="00430B21">
        <w:trPr>
          <w:jc w:val="center"/>
        </w:trPr>
        <w:tc>
          <w:tcPr>
            <w:tcW w:w="2080"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0F940E2A" w14:textId="77777777" w:rsidR="00524B77" w:rsidRPr="00DB707E" w:rsidRDefault="00524B77" w:rsidP="00430B21">
            <w:pPr>
              <w:pStyle w:val="TAH"/>
            </w:pPr>
            <w:r w:rsidRPr="00DB707E">
              <w:t>Accuracy</w:t>
            </w:r>
          </w:p>
        </w:tc>
        <w:tc>
          <w:tcPr>
            <w:tcW w:w="8092"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3DF01C4D" w14:textId="77777777" w:rsidR="00524B77" w:rsidRPr="00DB707E" w:rsidRDefault="00524B77" w:rsidP="00430B21">
            <w:pPr>
              <w:pStyle w:val="TAH"/>
            </w:pPr>
            <w:r w:rsidRPr="00DB707E">
              <w:t>Conditions</w:t>
            </w:r>
          </w:p>
        </w:tc>
      </w:tr>
      <w:tr w:rsidR="00524B77" w:rsidRPr="00DB707E" w14:paraId="6DF99E47" w14:textId="77777777" w:rsidTr="00430B21">
        <w:trPr>
          <w:jc w:val="center"/>
        </w:trPr>
        <w:tc>
          <w:tcPr>
            <w:tcW w:w="1033" w:type="dxa"/>
            <w:tcBorders>
              <w:top w:val="single" w:sz="4" w:space="0" w:color="auto"/>
              <w:left w:val="single" w:sz="4" w:space="0" w:color="auto"/>
              <w:right w:val="single" w:sz="4" w:space="0" w:color="auto"/>
            </w:tcBorders>
            <w:shd w:val="clear" w:color="auto" w:fill="auto"/>
          </w:tcPr>
          <w:p w14:paraId="5CAF6770" w14:textId="77777777" w:rsidR="00524B77" w:rsidRPr="00DB707E" w:rsidRDefault="00524B77" w:rsidP="00430B21">
            <w:pPr>
              <w:pStyle w:val="TAH"/>
            </w:pPr>
            <w:r w:rsidRPr="00DB707E">
              <w:t>Normal condition</w:t>
            </w:r>
          </w:p>
        </w:tc>
        <w:tc>
          <w:tcPr>
            <w:tcW w:w="1047" w:type="dxa"/>
            <w:tcBorders>
              <w:top w:val="single" w:sz="4" w:space="0" w:color="auto"/>
              <w:left w:val="single" w:sz="4" w:space="0" w:color="auto"/>
              <w:right w:val="single" w:sz="4" w:space="0" w:color="auto"/>
            </w:tcBorders>
            <w:shd w:val="clear" w:color="auto" w:fill="auto"/>
          </w:tcPr>
          <w:p w14:paraId="502027C0" w14:textId="77777777" w:rsidR="00524B77" w:rsidRPr="00DB707E" w:rsidRDefault="00524B77" w:rsidP="00430B21">
            <w:pPr>
              <w:pStyle w:val="TAH"/>
            </w:pPr>
            <w:r w:rsidRPr="00DB707E">
              <w:t>Extreme condition</w:t>
            </w:r>
          </w:p>
        </w:tc>
        <w:tc>
          <w:tcPr>
            <w:tcW w:w="951" w:type="dxa"/>
            <w:tcBorders>
              <w:top w:val="single" w:sz="4" w:space="0" w:color="auto"/>
              <w:left w:val="single" w:sz="4" w:space="0" w:color="auto"/>
              <w:right w:val="single" w:sz="4" w:space="0" w:color="auto"/>
            </w:tcBorders>
            <w:shd w:val="clear" w:color="auto" w:fill="auto"/>
          </w:tcPr>
          <w:p w14:paraId="7CA1D873" w14:textId="77777777" w:rsidR="00524B77" w:rsidRPr="00DB707E" w:rsidRDefault="00524B77" w:rsidP="00430B21">
            <w:pPr>
              <w:pStyle w:val="TAH"/>
            </w:pPr>
            <w:r w:rsidRPr="00DB707E">
              <w:t>SSB Ês/Iot</w:t>
            </w:r>
            <w:r w:rsidRPr="00DB707E">
              <w:rPr>
                <w:vertAlign w:val="superscript"/>
                <w:lang w:eastAsia="zh-CN"/>
              </w:rPr>
              <w:t xml:space="preserve"> </w:t>
            </w:r>
          </w:p>
        </w:tc>
        <w:tc>
          <w:tcPr>
            <w:tcW w:w="7141" w:type="dxa"/>
            <w:gridSpan w:val="5"/>
            <w:tcBorders>
              <w:top w:val="single" w:sz="6" w:space="0" w:color="auto"/>
              <w:left w:val="single" w:sz="4" w:space="0" w:color="auto"/>
              <w:bottom w:val="single" w:sz="6" w:space="0" w:color="auto"/>
              <w:right w:val="single" w:sz="4" w:space="0" w:color="auto"/>
            </w:tcBorders>
            <w:shd w:val="clear" w:color="auto" w:fill="auto"/>
          </w:tcPr>
          <w:p w14:paraId="67F99C9A" w14:textId="77777777" w:rsidR="00524B77" w:rsidRPr="00DB707E" w:rsidRDefault="00524B77" w:rsidP="00430B21">
            <w:pPr>
              <w:pStyle w:val="TAH"/>
            </w:pPr>
            <w:r w:rsidRPr="00DB707E">
              <w:t>Io</w:t>
            </w:r>
            <w:r w:rsidRPr="00DB707E">
              <w:rPr>
                <w:vertAlign w:val="superscript"/>
                <w:lang w:eastAsia="zh-CN"/>
              </w:rPr>
              <w:t xml:space="preserve"> Note 1</w:t>
            </w:r>
            <w:r w:rsidRPr="00DB707E">
              <w:t xml:space="preserve"> range</w:t>
            </w:r>
          </w:p>
        </w:tc>
      </w:tr>
      <w:tr w:rsidR="00524B77" w:rsidRPr="00DB707E" w14:paraId="18B6E964" w14:textId="77777777" w:rsidTr="00430B21">
        <w:trPr>
          <w:jc w:val="center"/>
        </w:trPr>
        <w:tc>
          <w:tcPr>
            <w:tcW w:w="1033" w:type="dxa"/>
            <w:tcBorders>
              <w:left w:val="single" w:sz="4" w:space="0" w:color="auto"/>
              <w:bottom w:val="single" w:sz="4" w:space="0" w:color="auto"/>
              <w:right w:val="single" w:sz="4" w:space="0" w:color="auto"/>
            </w:tcBorders>
            <w:shd w:val="clear" w:color="auto" w:fill="auto"/>
          </w:tcPr>
          <w:p w14:paraId="1C39FDEF" w14:textId="77777777" w:rsidR="00524B77" w:rsidRPr="00DB707E" w:rsidRDefault="00524B77" w:rsidP="00430B21">
            <w:pPr>
              <w:pStyle w:val="TAH"/>
            </w:pPr>
          </w:p>
        </w:tc>
        <w:tc>
          <w:tcPr>
            <w:tcW w:w="1047" w:type="dxa"/>
            <w:tcBorders>
              <w:left w:val="single" w:sz="4" w:space="0" w:color="auto"/>
              <w:bottom w:val="single" w:sz="4" w:space="0" w:color="auto"/>
              <w:right w:val="single" w:sz="4" w:space="0" w:color="auto"/>
            </w:tcBorders>
            <w:shd w:val="clear" w:color="auto" w:fill="auto"/>
          </w:tcPr>
          <w:p w14:paraId="77CF8247" w14:textId="77777777" w:rsidR="00524B77" w:rsidRPr="00DB707E" w:rsidRDefault="00524B77" w:rsidP="00430B21">
            <w:pPr>
              <w:pStyle w:val="TAH"/>
            </w:pPr>
          </w:p>
        </w:tc>
        <w:tc>
          <w:tcPr>
            <w:tcW w:w="951" w:type="dxa"/>
            <w:tcBorders>
              <w:left w:val="single" w:sz="4" w:space="0" w:color="auto"/>
              <w:bottom w:val="single" w:sz="4" w:space="0" w:color="auto"/>
              <w:right w:val="single" w:sz="4" w:space="0" w:color="auto"/>
            </w:tcBorders>
            <w:shd w:val="clear" w:color="auto" w:fill="auto"/>
          </w:tcPr>
          <w:p w14:paraId="6EC5D06E" w14:textId="77777777" w:rsidR="00524B77" w:rsidRPr="00DB707E" w:rsidRDefault="00524B77" w:rsidP="00430B21">
            <w:pPr>
              <w:pStyle w:val="TAH"/>
            </w:pPr>
            <w:r w:rsidRPr="00DB707E">
              <w:rPr>
                <w:vertAlign w:val="superscript"/>
                <w:lang w:eastAsia="zh-CN"/>
              </w:rPr>
              <w:t>Note 2,4</w:t>
            </w:r>
          </w:p>
        </w:tc>
        <w:tc>
          <w:tcPr>
            <w:tcW w:w="2122" w:type="dxa"/>
            <w:tcBorders>
              <w:top w:val="single" w:sz="6" w:space="0" w:color="auto"/>
              <w:left w:val="single" w:sz="4" w:space="0" w:color="auto"/>
              <w:bottom w:val="single" w:sz="6" w:space="0" w:color="auto"/>
              <w:right w:val="single" w:sz="4" w:space="0" w:color="auto"/>
            </w:tcBorders>
            <w:shd w:val="clear" w:color="auto" w:fill="auto"/>
          </w:tcPr>
          <w:p w14:paraId="35DA08DE" w14:textId="77777777" w:rsidR="00524B77" w:rsidRPr="00DB707E" w:rsidRDefault="00524B77" w:rsidP="00430B21">
            <w:pPr>
              <w:pStyle w:val="TAH"/>
            </w:pPr>
            <w:r w:rsidRPr="00DB707E">
              <w:t>NR operating band groups</w:t>
            </w:r>
            <w:r w:rsidRPr="00DB707E">
              <w:rPr>
                <w:vertAlign w:val="superscript"/>
              </w:rPr>
              <w:t xml:space="preserve"> Note 5</w:t>
            </w:r>
          </w:p>
        </w:tc>
        <w:tc>
          <w:tcPr>
            <w:tcW w:w="3579" w:type="dxa"/>
            <w:gridSpan w:val="3"/>
            <w:tcBorders>
              <w:top w:val="single" w:sz="4" w:space="0" w:color="auto"/>
              <w:left w:val="single" w:sz="4" w:space="0" w:color="auto"/>
              <w:bottom w:val="single" w:sz="6" w:space="0" w:color="auto"/>
              <w:right w:val="single" w:sz="6" w:space="0" w:color="auto"/>
            </w:tcBorders>
            <w:shd w:val="clear" w:color="auto" w:fill="auto"/>
          </w:tcPr>
          <w:p w14:paraId="0892FEB3"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0A41C889" w14:textId="77777777" w:rsidR="00524B77" w:rsidRPr="00DB707E" w:rsidRDefault="00524B77" w:rsidP="00430B21">
            <w:pPr>
              <w:pStyle w:val="TAH"/>
            </w:pPr>
            <w:r w:rsidRPr="00DB707E">
              <w:t>Maximum Io</w:t>
            </w:r>
          </w:p>
        </w:tc>
      </w:tr>
      <w:tr w:rsidR="00524B77" w:rsidRPr="00DB707E" w14:paraId="652CD8CA" w14:textId="77777777" w:rsidTr="00430B21">
        <w:trPr>
          <w:trHeight w:val="308"/>
          <w:jc w:val="center"/>
        </w:trPr>
        <w:tc>
          <w:tcPr>
            <w:tcW w:w="1033" w:type="dxa"/>
            <w:tcBorders>
              <w:top w:val="single" w:sz="4" w:space="0" w:color="auto"/>
              <w:left w:val="single" w:sz="4" w:space="0" w:color="auto"/>
              <w:right w:val="single" w:sz="6" w:space="0" w:color="auto"/>
            </w:tcBorders>
            <w:shd w:val="clear" w:color="auto" w:fill="auto"/>
          </w:tcPr>
          <w:p w14:paraId="3C246EF4" w14:textId="77777777" w:rsidR="00524B77" w:rsidRPr="00DB707E" w:rsidRDefault="00524B77" w:rsidP="00430B21">
            <w:pPr>
              <w:pStyle w:val="TAH"/>
            </w:pPr>
            <w:r w:rsidRPr="00DB707E">
              <w:t>dB</w:t>
            </w:r>
          </w:p>
        </w:tc>
        <w:tc>
          <w:tcPr>
            <w:tcW w:w="1047" w:type="dxa"/>
            <w:tcBorders>
              <w:top w:val="single" w:sz="4" w:space="0" w:color="auto"/>
              <w:left w:val="single" w:sz="6" w:space="0" w:color="auto"/>
              <w:right w:val="single" w:sz="6" w:space="0" w:color="auto"/>
            </w:tcBorders>
            <w:shd w:val="clear" w:color="auto" w:fill="auto"/>
          </w:tcPr>
          <w:p w14:paraId="5CC1675F" w14:textId="77777777" w:rsidR="00524B77" w:rsidRPr="00DB707E" w:rsidRDefault="00524B77" w:rsidP="00430B21">
            <w:pPr>
              <w:pStyle w:val="TAH"/>
            </w:pPr>
            <w:r w:rsidRPr="00DB707E">
              <w:t>dB</w:t>
            </w:r>
          </w:p>
        </w:tc>
        <w:tc>
          <w:tcPr>
            <w:tcW w:w="951" w:type="dxa"/>
            <w:tcBorders>
              <w:top w:val="single" w:sz="4" w:space="0" w:color="auto"/>
              <w:left w:val="single" w:sz="6" w:space="0" w:color="auto"/>
              <w:right w:val="single" w:sz="6" w:space="0" w:color="auto"/>
            </w:tcBorders>
            <w:shd w:val="clear" w:color="auto" w:fill="auto"/>
          </w:tcPr>
          <w:p w14:paraId="02A79476" w14:textId="77777777" w:rsidR="00524B77" w:rsidRPr="00DB707E" w:rsidRDefault="00524B77" w:rsidP="00430B21">
            <w:pPr>
              <w:pStyle w:val="TAH"/>
            </w:pPr>
            <w:r w:rsidRPr="00DB707E">
              <w:t>dB</w:t>
            </w:r>
          </w:p>
        </w:tc>
        <w:tc>
          <w:tcPr>
            <w:tcW w:w="2122" w:type="dxa"/>
            <w:tcBorders>
              <w:top w:val="single" w:sz="6" w:space="0" w:color="auto"/>
              <w:left w:val="single" w:sz="6" w:space="0" w:color="auto"/>
              <w:right w:val="single" w:sz="4" w:space="0" w:color="auto"/>
            </w:tcBorders>
            <w:shd w:val="clear" w:color="auto" w:fill="auto"/>
          </w:tcPr>
          <w:p w14:paraId="71F72A63" w14:textId="77777777" w:rsidR="00524B77" w:rsidRPr="00DB707E" w:rsidRDefault="00524B77" w:rsidP="00430B21">
            <w:pPr>
              <w:pStyle w:val="TAH"/>
            </w:pPr>
          </w:p>
        </w:tc>
        <w:tc>
          <w:tcPr>
            <w:tcW w:w="2139" w:type="dxa"/>
            <w:gridSpan w:val="2"/>
            <w:tcBorders>
              <w:top w:val="single" w:sz="6" w:space="0" w:color="auto"/>
              <w:left w:val="single" w:sz="4" w:space="0" w:color="auto"/>
              <w:bottom w:val="single" w:sz="6" w:space="0" w:color="auto"/>
              <w:right w:val="single" w:sz="6" w:space="0" w:color="auto"/>
            </w:tcBorders>
            <w:shd w:val="clear" w:color="auto" w:fill="auto"/>
          </w:tcPr>
          <w:p w14:paraId="322208A9"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tcPr>
          <w:p w14:paraId="5EB30D24"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tcPr>
          <w:p w14:paraId="160BFE70" w14:textId="77777777" w:rsidR="00524B77" w:rsidRPr="00DB707E" w:rsidRDefault="00524B77" w:rsidP="00430B21">
            <w:pPr>
              <w:pStyle w:val="TAH"/>
            </w:pPr>
            <w:r w:rsidRPr="00DB707E">
              <w:t>dBm/BW</w:t>
            </w:r>
            <w:r w:rsidRPr="00DB707E">
              <w:rPr>
                <w:vertAlign w:val="subscript"/>
              </w:rPr>
              <w:t>Channel</w:t>
            </w:r>
          </w:p>
        </w:tc>
      </w:tr>
      <w:tr w:rsidR="00524B77" w:rsidRPr="00DB707E" w14:paraId="35249485" w14:textId="77777777" w:rsidTr="00430B21">
        <w:trPr>
          <w:trHeight w:val="307"/>
          <w:jc w:val="center"/>
        </w:trPr>
        <w:tc>
          <w:tcPr>
            <w:tcW w:w="1033" w:type="dxa"/>
            <w:tcBorders>
              <w:left w:val="single" w:sz="4" w:space="0" w:color="auto"/>
              <w:bottom w:val="single" w:sz="6" w:space="0" w:color="auto"/>
              <w:right w:val="single" w:sz="6" w:space="0" w:color="auto"/>
            </w:tcBorders>
            <w:shd w:val="clear" w:color="auto" w:fill="auto"/>
          </w:tcPr>
          <w:p w14:paraId="0485AFE1" w14:textId="77777777" w:rsidR="00524B77" w:rsidRPr="00DB707E" w:rsidRDefault="00524B77" w:rsidP="00430B21">
            <w:pPr>
              <w:pStyle w:val="TAH"/>
            </w:pPr>
          </w:p>
        </w:tc>
        <w:tc>
          <w:tcPr>
            <w:tcW w:w="1047" w:type="dxa"/>
            <w:tcBorders>
              <w:left w:val="single" w:sz="6" w:space="0" w:color="auto"/>
              <w:bottom w:val="single" w:sz="6" w:space="0" w:color="auto"/>
              <w:right w:val="single" w:sz="6" w:space="0" w:color="auto"/>
            </w:tcBorders>
            <w:shd w:val="clear" w:color="auto" w:fill="auto"/>
          </w:tcPr>
          <w:p w14:paraId="17B8ECD5" w14:textId="77777777" w:rsidR="00524B77" w:rsidRPr="00DB707E" w:rsidRDefault="00524B77" w:rsidP="00430B21">
            <w:pPr>
              <w:pStyle w:val="TAH"/>
            </w:pPr>
          </w:p>
        </w:tc>
        <w:tc>
          <w:tcPr>
            <w:tcW w:w="951" w:type="dxa"/>
            <w:tcBorders>
              <w:left w:val="single" w:sz="6" w:space="0" w:color="auto"/>
              <w:bottom w:val="single" w:sz="6" w:space="0" w:color="auto"/>
              <w:right w:val="single" w:sz="6" w:space="0" w:color="auto"/>
            </w:tcBorders>
            <w:shd w:val="clear" w:color="auto" w:fill="auto"/>
          </w:tcPr>
          <w:p w14:paraId="2C6273A8" w14:textId="77777777" w:rsidR="00524B77" w:rsidRPr="00DB707E" w:rsidRDefault="00524B77" w:rsidP="00430B21">
            <w:pPr>
              <w:pStyle w:val="TAH"/>
            </w:pPr>
          </w:p>
        </w:tc>
        <w:tc>
          <w:tcPr>
            <w:tcW w:w="2122" w:type="dxa"/>
            <w:tcBorders>
              <w:left w:val="single" w:sz="6" w:space="0" w:color="auto"/>
              <w:bottom w:val="single" w:sz="6" w:space="0" w:color="auto"/>
              <w:right w:val="single" w:sz="4" w:space="0" w:color="auto"/>
            </w:tcBorders>
            <w:shd w:val="clear" w:color="auto" w:fill="auto"/>
          </w:tcPr>
          <w:p w14:paraId="57FBCA6C" w14:textId="77777777" w:rsidR="00524B77" w:rsidRPr="00DB707E" w:rsidRDefault="00524B77" w:rsidP="00430B21">
            <w:pPr>
              <w:pStyle w:val="TAH"/>
            </w:pP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71917BA1"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120 kHz</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7540CCFE"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240 kHz</w:t>
            </w:r>
          </w:p>
        </w:tc>
        <w:tc>
          <w:tcPr>
            <w:tcW w:w="1440" w:type="dxa"/>
            <w:tcBorders>
              <w:left w:val="single" w:sz="6" w:space="0" w:color="auto"/>
              <w:bottom w:val="single" w:sz="6" w:space="0" w:color="auto"/>
              <w:right w:val="single" w:sz="6" w:space="0" w:color="auto"/>
            </w:tcBorders>
            <w:shd w:val="clear" w:color="auto" w:fill="auto"/>
          </w:tcPr>
          <w:p w14:paraId="52050FB4"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273847BB" w14:textId="77777777" w:rsidR="00524B77" w:rsidRPr="00DB707E" w:rsidRDefault="00524B77" w:rsidP="00430B21">
            <w:pPr>
              <w:pStyle w:val="TAH"/>
            </w:pPr>
          </w:p>
        </w:tc>
      </w:tr>
      <w:tr w:rsidR="00524B77" w:rsidRPr="00DB707E" w14:paraId="15D35111" w14:textId="77777777" w:rsidTr="00430B21">
        <w:trPr>
          <w:jc w:val="center"/>
        </w:trPr>
        <w:tc>
          <w:tcPr>
            <w:tcW w:w="1033" w:type="dxa"/>
            <w:tcBorders>
              <w:top w:val="single" w:sz="6" w:space="0" w:color="auto"/>
              <w:left w:val="single" w:sz="4" w:space="0" w:color="auto"/>
              <w:right w:val="single" w:sz="6" w:space="0" w:color="auto"/>
            </w:tcBorders>
            <w:shd w:val="clear" w:color="auto" w:fill="auto"/>
          </w:tcPr>
          <w:p w14:paraId="57628603" w14:textId="77777777" w:rsidR="00524B77" w:rsidRPr="00DB707E" w:rsidRDefault="00524B77" w:rsidP="00430B21">
            <w:pPr>
              <w:pStyle w:val="TAC"/>
              <w:rPr>
                <w:lang w:eastAsia="zh-CN"/>
              </w:rPr>
            </w:pPr>
          </w:p>
        </w:tc>
        <w:tc>
          <w:tcPr>
            <w:tcW w:w="1047" w:type="dxa"/>
            <w:tcBorders>
              <w:top w:val="single" w:sz="6" w:space="0" w:color="auto"/>
              <w:left w:val="single" w:sz="6" w:space="0" w:color="auto"/>
              <w:right w:val="single" w:sz="6" w:space="0" w:color="auto"/>
            </w:tcBorders>
            <w:shd w:val="clear" w:color="auto" w:fill="auto"/>
          </w:tcPr>
          <w:p w14:paraId="79BBF6CE" w14:textId="77777777" w:rsidR="00524B77" w:rsidRPr="00DB707E" w:rsidRDefault="00524B77" w:rsidP="00430B21">
            <w:pPr>
              <w:pStyle w:val="TAC"/>
              <w:rPr>
                <w:lang w:eastAsia="zh-CN"/>
              </w:rPr>
            </w:pPr>
          </w:p>
        </w:tc>
        <w:tc>
          <w:tcPr>
            <w:tcW w:w="951" w:type="dxa"/>
            <w:tcBorders>
              <w:top w:val="single" w:sz="6" w:space="0" w:color="auto"/>
              <w:left w:val="single" w:sz="6" w:space="0" w:color="auto"/>
              <w:right w:val="single" w:sz="6" w:space="0" w:color="auto"/>
            </w:tcBorders>
            <w:shd w:val="clear" w:color="auto" w:fill="auto"/>
          </w:tcPr>
          <w:p w14:paraId="3AF8353F" w14:textId="77777777" w:rsidR="00524B77" w:rsidRPr="00DB707E" w:rsidRDefault="00524B77" w:rsidP="00430B21">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5F1F87D4" w14:textId="77777777" w:rsidR="00524B77" w:rsidRPr="00DB707E" w:rsidRDefault="00524B77" w:rsidP="00430B21">
            <w:pPr>
              <w:pStyle w:val="TAC"/>
            </w:pPr>
            <w:r w:rsidRPr="00DB707E">
              <w:t>NR_FDD_FR1_A, NR_TDD_FR1_A, NR_SDL_FR1_A</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57AAB6F7" w14:textId="77777777" w:rsidR="00524B77" w:rsidRPr="00DB707E" w:rsidRDefault="00524B77" w:rsidP="00430B21">
            <w:pPr>
              <w:pStyle w:val="TAC"/>
            </w:pPr>
            <w:r w:rsidRPr="00DB707E">
              <w:t>-121</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4B3A1199" w14:textId="77777777" w:rsidR="00524B77" w:rsidRPr="00DB707E" w:rsidRDefault="00524B77" w:rsidP="00430B21">
            <w:pPr>
              <w:pStyle w:val="TAC"/>
              <w:rPr>
                <w:rFonts w:cs="Arial"/>
              </w:rPr>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DC1FBB1"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5E1785C" w14:textId="77777777" w:rsidR="00524B77" w:rsidRPr="00DB707E" w:rsidRDefault="00524B77" w:rsidP="00430B21">
            <w:pPr>
              <w:pStyle w:val="TAC"/>
            </w:pPr>
            <w:r w:rsidRPr="00DB707E">
              <w:t>-50</w:t>
            </w:r>
          </w:p>
        </w:tc>
      </w:tr>
      <w:tr w:rsidR="00524B77" w:rsidRPr="00DB707E" w14:paraId="6D6C7ABC" w14:textId="77777777" w:rsidTr="00430B21">
        <w:trPr>
          <w:jc w:val="center"/>
        </w:trPr>
        <w:tc>
          <w:tcPr>
            <w:tcW w:w="1033" w:type="dxa"/>
            <w:tcBorders>
              <w:left w:val="single" w:sz="4" w:space="0" w:color="auto"/>
              <w:right w:val="single" w:sz="6" w:space="0" w:color="auto"/>
            </w:tcBorders>
            <w:shd w:val="clear" w:color="auto" w:fill="auto"/>
          </w:tcPr>
          <w:p w14:paraId="66D9C560"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4B75E9A9" w14:textId="77777777" w:rsidR="00524B77" w:rsidRPr="00DB707E" w:rsidRDefault="00524B77" w:rsidP="00430B21">
            <w:pPr>
              <w:pStyle w:val="TAC"/>
            </w:pPr>
          </w:p>
        </w:tc>
        <w:tc>
          <w:tcPr>
            <w:tcW w:w="951" w:type="dxa"/>
            <w:tcBorders>
              <w:left w:val="single" w:sz="6" w:space="0" w:color="auto"/>
              <w:right w:val="single" w:sz="6" w:space="0" w:color="auto"/>
            </w:tcBorders>
            <w:shd w:val="clear" w:color="auto" w:fill="auto"/>
          </w:tcPr>
          <w:p w14:paraId="0591E6EB" w14:textId="77777777" w:rsidR="00524B77" w:rsidRPr="00DB707E" w:rsidRDefault="00524B77" w:rsidP="00430B21">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495475C6" w14:textId="77777777" w:rsidR="00524B77" w:rsidRPr="00DB707E" w:rsidRDefault="00524B77" w:rsidP="00430B21">
            <w:pPr>
              <w:pStyle w:val="TAC"/>
            </w:pPr>
            <w:r w:rsidRPr="00DB707E">
              <w:t>NR_FDD_FR1_B</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483713CE" w14:textId="77777777" w:rsidR="00524B77" w:rsidRPr="00DB707E" w:rsidRDefault="00524B77" w:rsidP="00430B21">
            <w:pPr>
              <w:pStyle w:val="TAC"/>
            </w:pPr>
            <w:r w:rsidRPr="00DB707E">
              <w:t>-120.5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03FFAEBD" w14:textId="77777777" w:rsidR="00524B77" w:rsidRPr="00DB707E" w:rsidRDefault="00524B77" w:rsidP="00430B21">
            <w:pPr>
              <w:pStyle w:val="TAC"/>
              <w:rPr>
                <w:rFonts w:cs="Arial"/>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2DF4787"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AC7C8BB" w14:textId="77777777" w:rsidR="00524B77" w:rsidRPr="00DB707E" w:rsidRDefault="00524B77" w:rsidP="00430B21">
            <w:pPr>
              <w:pStyle w:val="TAC"/>
            </w:pPr>
            <w:r w:rsidRPr="00DB707E">
              <w:t>-50</w:t>
            </w:r>
          </w:p>
        </w:tc>
      </w:tr>
      <w:tr w:rsidR="00524B77" w:rsidRPr="00DB707E" w14:paraId="7B713595" w14:textId="77777777" w:rsidTr="00430B21">
        <w:trPr>
          <w:jc w:val="center"/>
        </w:trPr>
        <w:tc>
          <w:tcPr>
            <w:tcW w:w="1033" w:type="dxa"/>
            <w:tcBorders>
              <w:left w:val="single" w:sz="4" w:space="0" w:color="auto"/>
              <w:right w:val="single" w:sz="6" w:space="0" w:color="auto"/>
            </w:tcBorders>
            <w:shd w:val="clear" w:color="auto" w:fill="auto"/>
          </w:tcPr>
          <w:p w14:paraId="75AD761B"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1A98D4BC" w14:textId="77777777" w:rsidR="00524B77" w:rsidRPr="00DB707E" w:rsidRDefault="00524B77" w:rsidP="00430B21">
            <w:pPr>
              <w:pStyle w:val="TAC"/>
            </w:pPr>
          </w:p>
        </w:tc>
        <w:tc>
          <w:tcPr>
            <w:tcW w:w="951" w:type="dxa"/>
            <w:tcBorders>
              <w:left w:val="single" w:sz="6" w:space="0" w:color="auto"/>
              <w:right w:val="single" w:sz="6" w:space="0" w:color="auto"/>
            </w:tcBorders>
            <w:shd w:val="clear" w:color="auto" w:fill="auto"/>
          </w:tcPr>
          <w:p w14:paraId="7425EB90" w14:textId="77777777" w:rsidR="00524B77" w:rsidRPr="00DB707E" w:rsidRDefault="00524B77" w:rsidP="00430B21">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6DCAE726" w14:textId="77777777" w:rsidR="00524B77" w:rsidRPr="00DB707E" w:rsidRDefault="00524B77" w:rsidP="00430B21">
            <w:pPr>
              <w:pStyle w:val="TAC"/>
            </w:pPr>
            <w:r w:rsidRPr="00DB707E">
              <w:t>NR_TDD_FR1_C</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1C12961E" w14:textId="77777777" w:rsidR="00524B77" w:rsidRPr="00DB707E" w:rsidRDefault="00524B77" w:rsidP="00430B21">
            <w:pPr>
              <w:pStyle w:val="TAC"/>
            </w:pPr>
            <w:r w:rsidRPr="00DB707E">
              <w:t>-120</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1015B360" w14:textId="77777777" w:rsidR="00524B77" w:rsidRPr="00DB707E" w:rsidRDefault="00524B77" w:rsidP="00430B21">
            <w:pPr>
              <w:pStyle w:val="TAC"/>
              <w:rPr>
                <w:rFonts w:cs="Arial"/>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B8F1F60"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2CB373E0" w14:textId="77777777" w:rsidR="00524B77" w:rsidRPr="00DB707E" w:rsidRDefault="00524B77" w:rsidP="00430B21">
            <w:pPr>
              <w:pStyle w:val="TAC"/>
            </w:pPr>
            <w:r w:rsidRPr="00DB707E">
              <w:t>-50</w:t>
            </w:r>
          </w:p>
        </w:tc>
      </w:tr>
      <w:tr w:rsidR="00524B77" w:rsidRPr="00DB707E" w14:paraId="53841FD9" w14:textId="77777777" w:rsidTr="00430B21">
        <w:trPr>
          <w:jc w:val="center"/>
        </w:trPr>
        <w:tc>
          <w:tcPr>
            <w:tcW w:w="1033" w:type="dxa"/>
            <w:tcBorders>
              <w:left w:val="single" w:sz="4" w:space="0" w:color="auto"/>
              <w:right w:val="single" w:sz="6" w:space="0" w:color="auto"/>
            </w:tcBorders>
            <w:shd w:val="clear" w:color="auto" w:fill="auto"/>
          </w:tcPr>
          <w:p w14:paraId="412193D5" w14:textId="77777777" w:rsidR="00524B77" w:rsidRPr="00DB707E" w:rsidRDefault="00524B77" w:rsidP="00430B21">
            <w:pPr>
              <w:pStyle w:val="TAC"/>
            </w:pPr>
            <w:r w:rsidRPr="00DB707E">
              <w:sym w:font="Symbol" w:char="F0B1"/>
            </w:r>
            <w:r w:rsidRPr="00DB707E">
              <w:t>4.5</w:t>
            </w:r>
          </w:p>
        </w:tc>
        <w:tc>
          <w:tcPr>
            <w:tcW w:w="1047" w:type="dxa"/>
            <w:tcBorders>
              <w:left w:val="single" w:sz="6" w:space="0" w:color="auto"/>
              <w:right w:val="single" w:sz="6" w:space="0" w:color="auto"/>
            </w:tcBorders>
            <w:shd w:val="clear" w:color="auto" w:fill="auto"/>
          </w:tcPr>
          <w:p w14:paraId="40313236" w14:textId="77777777" w:rsidR="00524B77" w:rsidRPr="00DB707E" w:rsidRDefault="00524B77" w:rsidP="00430B21">
            <w:pPr>
              <w:pStyle w:val="TAC"/>
            </w:pPr>
            <w:r w:rsidRPr="00DB707E">
              <w:sym w:font="Symbol" w:char="F0B1"/>
            </w:r>
            <w:r w:rsidRPr="00DB707E">
              <w:t>5</w:t>
            </w:r>
          </w:p>
        </w:tc>
        <w:tc>
          <w:tcPr>
            <w:tcW w:w="951" w:type="dxa"/>
            <w:tcBorders>
              <w:left w:val="single" w:sz="6" w:space="0" w:color="auto"/>
              <w:right w:val="single" w:sz="6" w:space="0" w:color="auto"/>
            </w:tcBorders>
            <w:shd w:val="clear" w:color="auto" w:fill="auto"/>
          </w:tcPr>
          <w:p w14:paraId="3A6027AC" w14:textId="77777777" w:rsidR="00524B77" w:rsidRPr="00DB707E" w:rsidRDefault="00524B77" w:rsidP="00430B21">
            <w:pPr>
              <w:pStyle w:val="TAC"/>
            </w:pPr>
            <w:r w:rsidRPr="00DB707E">
              <w:sym w:font="Symbol" w:char="F0B3"/>
            </w:r>
            <w:r w:rsidRPr="00DB707E">
              <w:rPr>
                <w:lang w:eastAsia="zh-CN"/>
              </w:rPr>
              <w:t>-3</w:t>
            </w: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15DEB419" w14:textId="77777777" w:rsidR="00524B77" w:rsidRPr="00DB707E" w:rsidRDefault="00524B77" w:rsidP="00430B21">
            <w:pPr>
              <w:pStyle w:val="TAC"/>
              <w:rPr>
                <w:lang w:val="sv-SE"/>
              </w:rPr>
            </w:pPr>
            <w:r w:rsidRPr="00DB707E">
              <w:rPr>
                <w:lang w:val="sv-SE"/>
              </w:rPr>
              <w:t>NR_FDD_FR1_D, NR_TDD_FR1_D</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1BAFE8EB" w14:textId="77777777" w:rsidR="00524B77" w:rsidRPr="00DB707E" w:rsidRDefault="00524B77" w:rsidP="00430B21">
            <w:pPr>
              <w:pStyle w:val="TAC"/>
            </w:pPr>
            <w:r w:rsidRPr="00DB707E">
              <w:t>-119.5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46873DF0" w14:textId="77777777" w:rsidR="00524B77" w:rsidRPr="00DB707E" w:rsidRDefault="00524B77" w:rsidP="00430B21">
            <w:pPr>
              <w:pStyle w:val="TAC"/>
              <w:rPr>
                <w:rFonts w:cs="Arial"/>
              </w:rPr>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D5FED5D"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421E611" w14:textId="77777777" w:rsidR="00524B77" w:rsidRPr="00DB707E" w:rsidRDefault="00524B77" w:rsidP="00430B21">
            <w:pPr>
              <w:pStyle w:val="TAC"/>
            </w:pPr>
            <w:r w:rsidRPr="00DB707E">
              <w:t>-50</w:t>
            </w:r>
          </w:p>
        </w:tc>
      </w:tr>
      <w:tr w:rsidR="00524B77" w:rsidRPr="00DB707E" w14:paraId="6B475FA6" w14:textId="77777777" w:rsidTr="00430B21">
        <w:trPr>
          <w:jc w:val="center"/>
        </w:trPr>
        <w:tc>
          <w:tcPr>
            <w:tcW w:w="1033" w:type="dxa"/>
            <w:tcBorders>
              <w:left w:val="single" w:sz="4" w:space="0" w:color="auto"/>
              <w:right w:val="single" w:sz="6" w:space="0" w:color="auto"/>
            </w:tcBorders>
            <w:shd w:val="clear" w:color="auto" w:fill="auto"/>
          </w:tcPr>
          <w:p w14:paraId="0EC6A379"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757A120D" w14:textId="77777777" w:rsidR="00524B77" w:rsidRPr="00DB707E" w:rsidRDefault="00524B77" w:rsidP="00430B21">
            <w:pPr>
              <w:pStyle w:val="TAC"/>
            </w:pPr>
          </w:p>
        </w:tc>
        <w:tc>
          <w:tcPr>
            <w:tcW w:w="951" w:type="dxa"/>
            <w:tcBorders>
              <w:left w:val="single" w:sz="6" w:space="0" w:color="auto"/>
              <w:right w:val="single" w:sz="6" w:space="0" w:color="auto"/>
            </w:tcBorders>
            <w:shd w:val="clear" w:color="auto" w:fill="auto"/>
          </w:tcPr>
          <w:p w14:paraId="6713664B" w14:textId="77777777" w:rsidR="00524B77" w:rsidRPr="00DB707E" w:rsidRDefault="00524B77" w:rsidP="00430B21">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6E4848E6" w14:textId="77777777" w:rsidR="00524B77" w:rsidRPr="00DB707E" w:rsidDel="00836998" w:rsidRDefault="00524B77" w:rsidP="00430B21">
            <w:pPr>
              <w:pStyle w:val="TAC"/>
              <w:rPr>
                <w:lang w:val="sv-SE"/>
              </w:rPr>
            </w:pPr>
            <w:r w:rsidRPr="00DB707E">
              <w:rPr>
                <w:lang w:val="sv-SE"/>
              </w:rPr>
              <w:t>NR_FDD_FR1_E, NR_TDD_FR1_E</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662190D8" w14:textId="77777777" w:rsidR="00524B77" w:rsidRPr="00DB707E" w:rsidRDefault="00524B77" w:rsidP="00430B21">
            <w:pPr>
              <w:pStyle w:val="TAC"/>
            </w:pPr>
            <w:r w:rsidRPr="00DB707E">
              <w:t>-119</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30BEA0E3" w14:textId="77777777" w:rsidR="00524B77" w:rsidRPr="00DB707E" w:rsidRDefault="00524B77" w:rsidP="00430B21">
            <w:pPr>
              <w:pStyle w:val="TAC"/>
              <w:rPr>
                <w:rFonts w:cs="Arial"/>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1C2EE5F4"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E38920A" w14:textId="77777777" w:rsidR="00524B77" w:rsidRPr="00DB707E" w:rsidRDefault="00524B77" w:rsidP="00430B21">
            <w:pPr>
              <w:pStyle w:val="TAC"/>
            </w:pPr>
            <w:r w:rsidRPr="00DB707E">
              <w:t>-50</w:t>
            </w:r>
          </w:p>
        </w:tc>
      </w:tr>
      <w:tr w:rsidR="00524B77" w:rsidRPr="00DB707E" w14:paraId="6B42AF6F" w14:textId="77777777" w:rsidTr="00430B21">
        <w:trPr>
          <w:jc w:val="center"/>
        </w:trPr>
        <w:tc>
          <w:tcPr>
            <w:tcW w:w="1033" w:type="dxa"/>
            <w:tcBorders>
              <w:left w:val="single" w:sz="4" w:space="0" w:color="auto"/>
              <w:right w:val="single" w:sz="6" w:space="0" w:color="auto"/>
            </w:tcBorders>
            <w:shd w:val="clear" w:color="auto" w:fill="auto"/>
          </w:tcPr>
          <w:p w14:paraId="2C2D513A"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6191E387" w14:textId="77777777" w:rsidR="00524B77" w:rsidRPr="00DB707E" w:rsidRDefault="00524B77" w:rsidP="00430B21">
            <w:pPr>
              <w:pStyle w:val="TAC"/>
            </w:pPr>
          </w:p>
        </w:tc>
        <w:tc>
          <w:tcPr>
            <w:tcW w:w="951" w:type="dxa"/>
            <w:tcBorders>
              <w:left w:val="single" w:sz="6" w:space="0" w:color="auto"/>
              <w:right w:val="single" w:sz="6" w:space="0" w:color="auto"/>
            </w:tcBorders>
            <w:shd w:val="clear" w:color="auto" w:fill="auto"/>
          </w:tcPr>
          <w:p w14:paraId="34D29A7E" w14:textId="77777777" w:rsidR="00524B77" w:rsidRPr="00DB707E" w:rsidRDefault="00524B77" w:rsidP="00430B21">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0E7DB58F" w14:textId="77777777" w:rsidR="00524B77" w:rsidRPr="00DB707E" w:rsidRDefault="00524B77" w:rsidP="00430B21">
            <w:pPr>
              <w:pStyle w:val="TAC"/>
              <w:rPr>
                <w:lang w:val="sv-SE"/>
              </w:rPr>
            </w:pPr>
            <w:r w:rsidRPr="00DB707E">
              <w:rPr>
                <w:lang w:eastAsia="zh-CN"/>
              </w:rPr>
              <w:t>NR_FDD_FR1_F</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07AAE401" w14:textId="77777777" w:rsidR="00524B77" w:rsidRPr="00DB707E" w:rsidRDefault="00524B77" w:rsidP="00430B21">
            <w:pPr>
              <w:pStyle w:val="TAC"/>
            </w:pPr>
            <w:r w:rsidRPr="00DB707E">
              <w:t>-118.5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41F99E8E"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0447D29"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E8263FC" w14:textId="77777777" w:rsidR="00524B77" w:rsidRPr="00DB707E" w:rsidRDefault="00524B77" w:rsidP="00430B21">
            <w:pPr>
              <w:pStyle w:val="TAC"/>
            </w:pPr>
            <w:r w:rsidRPr="00DB707E">
              <w:t>-50</w:t>
            </w:r>
          </w:p>
        </w:tc>
      </w:tr>
      <w:tr w:rsidR="00524B77" w:rsidRPr="00DB707E" w14:paraId="225455B8" w14:textId="77777777" w:rsidTr="00430B21">
        <w:trPr>
          <w:jc w:val="center"/>
        </w:trPr>
        <w:tc>
          <w:tcPr>
            <w:tcW w:w="1033" w:type="dxa"/>
            <w:tcBorders>
              <w:left w:val="single" w:sz="4" w:space="0" w:color="auto"/>
              <w:right w:val="single" w:sz="6" w:space="0" w:color="auto"/>
            </w:tcBorders>
            <w:shd w:val="clear" w:color="auto" w:fill="auto"/>
          </w:tcPr>
          <w:p w14:paraId="78511CF2"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5AD07835" w14:textId="77777777" w:rsidR="00524B77" w:rsidRPr="00DB707E" w:rsidRDefault="00524B77" w:rsidP="00430B21">
            <w:pPr>
              <w:pStyle w:val="TAC"/>
            </w:pPr>
          </w:p>
        </w:tc>
        <w:tc>
          <w:tcPr>
            <w:tcW w:w="951" w:type="dxa"/>
            <w:tcBorders>
              <w:left w:val="single" w:sz="6" w:space="0" w:color="auto"/>
              <w:right w:val="single" w:sz="6" w:space="0" w:color="auto"/>
            </w:tcBorders>
            <w:shd w:val="clear" w:color="auto" w:fill="auto"/>
          </w:tcPr>
          <w:p w14:paraId="0AA072AE" w14:textId="77777777" w:rsidR="00524B77" w:rsidRPr="00DB707E" w:rsidRDefault="00524B77" w:rsidP="00430B21">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485C467E" w14:textId="77777777" w:rsidR="00524B77" w:rsidRPr="00DB707E" w:rsidDel="00836998" w:rsidRDefault="00524B77" w:rsidP="00430B21">
            <w:pPr>
              <w:pStyle w:val="TAC"/>
              <w:rPr>
                <w:lang w:eastAsia="zh-CN"/>
              </w:rPr>
            </w:pPr>
            <w:r w:rsidRPr="00DB707E">
              <w:rPr>
                <w:lang w:eastAsia="zh-CN"/>
              </w:rPr>
              <w:t>NR_FDD_FR1_G</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17091BFA" w14:textId="77777777" w:rsidR="00524B77" w:rsidRPr="00DB707E" w:rsidRDefault="00524B77" w:rsidP="00430B21">
            <w:pPr>
              <w:pStyle w:val="TAC"/>
            </w:pPr>
            <w:r w:rsidRPr="00DB707E">
              <w:t>-118</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5383153E"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6D2DA0A"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203AEC3" w14:textId="77777777" w:rsidR="00524B77" w:rsidRPr="00DB707E" w:rsidRDefault="00524B77" w:rsidP="00430B21">
            <w:pPr>
              <w:pStyle w:val="TAC"/>
            </w:pPr>
            <w:r w:rsidRPr="00DB707E">
              <w:t>-50</w:t>
            </w:r>
          </w:p>
        </w:tc>
      </w:tr>
      <w:tr w:rsidR="00524B77" w:rsidRPr="00DB707E" w14:paraId="3BCC1C5C" w14:textId="77777777" w:rsidTr="00430B21">
        <w:trPr>
          <w:jc w:val="center"/>
        </w:trPr>
        <w:tc>
          <w:tcPr>
            <w:tcW w:w="1033" w:type="dxa"/>
            <w:tcBorders>
              <w:left w:val="single" w:sz="4" w:space="0" w:color="auto"/>
              <w:right w:val="single" w:sz="6" w:space="0" w:color="auto"/>
            </w:tcBorders>
            <w:shd w:val="clear" w:color="auto" w:fill="auto"/>
          </w:tcPr>
          <w:p w14:paraId="18693662" w14:textId="77777777" w:rsidR="00524B77" w:rsidRPr="00DB707E" w:rsidRDefault="00524B77" w:rsidP="00430B21">
            <w:pPr>
              <w:pStyle w:val="TAC"/>
            </w:pPr>
          </w:p>
        </w:tc>
        <w:tc>
          <w:tcPr>
            <w:tcW w:w="1047" w:type="dxa"/>
            <w:tcBorders>
              <w:left w:val="single" w:sz="6" w:space="0" w:color="auto"/>
              <w:right w:val="single" w:sz="6" w:space="0" w:color="auto"/>
            </w:tcBorders>
            <w:shd w:val="clear" w:color="auto" w:fill="auto"/>
          </w:tcPr>
          <w:p w14:paraId="17580C78" w14:textId="77777777" w:rsidR="00524B77" w:rsidRPr="00DB707E" w:rsidRDefault="00524B77" w:rsidP="00430B21">
            <w:pPr>
              <w:pStyle w:val="TAC"/>
            </w:pPr>
          </w:p>
        </w:tc>
        <w:tc>
          <w:tcPr>
            <w:tcW w:w="951" w:type="dxa"/>
            <w:tcBorders>
              <w:left w:val="single" w:sz="6" w:space="0" w:color="auto"/>
              <w:right w:val="single" w:sz="6" w:space="0" w:color="auto"/>
            </w:tcBorders>
            <w:shd w:val="clear" w:color="auto" w:fill="auto"/>
          </w:tcPr>
          <w:p w14:paraId="27E31A48" w14:textId="77777777" w:rsidR="00524B77" w:rsidRPr="00DB707E" w:rsidRDefault="00524B77" w:rsidP="00430B21">
            <w:pPr>
              <w:pStyle w:val="TAC"/>
            </w:pP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4E7408F5" w14:textId="77777777" w:rsidR="00524B77" w:rsidRPr="00DB707E" w:rsidRDefault="00524B77" w:rsidP="00430B21">
            <w:pPr>
              <w:pStyle w:val="TAC"/>
              <w:rPr>
                <w:lang w:eastAsia="zh-CN"/>
              </w:rPr>
            </w:pPr>
            <w:r w:rsidRPr="00DB707E">
              <w:rPr>
                <w:lang w:eastAsia="zh-CN"/>
              </w:rPr>
              <w:t>NR_FDD_FR1_H</w:t>
            </w:r>
          </w:p>
        </w:tc>
        <w:tc>
          <w:tcPr>
            <w:tcW w:w="1107" w:type="dxa"/>
            <w:tcBorders>
              <w:top w:val="single" w:sz="6" w:space="0" w:color="auto"/>
              <w:left w:val="single" w:sz="4" w:space="0" w:color="auto"/>
              <w:bottom w:val="single" w:sz="6" w:space="0" w:color="auto"/>
              <w:right w:val="single" w:sz="6" w:space="0" w:color="auto"/>
            </w:tcBorders>
            <w:shd w:val="clear" w:color="auto" w:fill="auto"/>
          </w:tcPr>
          <w:p w14:paraId="54887FCF" w14:textId="77777777" w:rsidR="00524B77" w:rsidRPr="00DB707E" w:rsidRDefault="00524B77" w:rsidP="00430B21">
            <w:pPr>
              <w:pStyle w:val="TAC"/>
            </w:pPr>
            <w:r w:rsidRPr="00DB707E">
              <w:t>-117.5</w:t>
            </w:r>
          </w:p>
        </w:tc>
        <w:tc>
          <w:tcPr>
            <w:tcW w:w="1032" w:type="dxa"/>
            <w:tcBorders>
              <w:top w:val="single" w:sz="6" w:space="0" w:color="auto"/>
              <w:left w:val="single" w:sz="4" w:space="0" w:color="auto"/>
              <w:bottom w:val="single" w:sz="6" w:space="0" w:color="auto"/>
              <w:right w:val="single" w:sz="6" w:space="0" w:color="auto"/>
            </w:tcBorders>
            <w:shd w:val="clear" w:color="auto" w:fill="auto"/>
          </w:tcPr>
          <w:p w14:paraId="139C1C1E"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6EF5E4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8017AAE" w14:textId="77777777" w:rsidR="00524B77" w:rsidRPr="00DB707E" w:rsidRDefault="00524B77" w:rsidP="00430B21">
            <w:pPr>
              <w:pStyle w:val="TAC"/>
            </w:pPr>
            <w:r w:rsidRPr="00DB707E">
              <w:t>-50</w:t>
            </w:r>
          </w:p>
        </w:tc>
      </w:tr>
      <w:tr w:rsidR="00524B77" w:rsidRPr="00DB707E" w14:paraId="66BDB2B4" w14:textId="77777777" w:rsidTr="00430B21">
        <w:trPr>
          <w:jc w:val="center"/>
        </w:trPr>
        <w:tc>
          <w:tcPr>
            <w:tcW w:w="1033" w:type="dxa"/>
            <w:tcBorders>
              <w:top w:val="single" w:sz="6" w:space="0" w:color="auto"/>
              <w:left w:val="single" w:sz="4" w:space="0" w:color="auto"/>
              <w:bottom w:val="single" w:sz="6" w:space="0" w:color="auto"/>
              <w:right w:val="single" w:sz="6" w:space="0" w:color="auto"/>
            </w:tcBorders>
            <w:shd w:val="clear" w:color="auto" w:fill="auto"/>
          </w:tcPr>
          <w:p w14:paraId="2068C346" w14:textId="77777777" w:rsidR="00524B77" w:rsidRPr="00DB707E" w:rsidRDefault="00524B77" w:rsidP="00430B21">
            <w:pPr>
              <w:pStyle w:val="TAC"/>
              <w:rPr>
                <w:lang w:eastAsia="zh-CN"/>
              </w:rPr>
            </w:pPr>
            <w:r w:rsidRPr="00DB707E">
              <w:sym w:font="Symbol" w:char="F0B1"/>
            </w:r>
            <w:r w:rsidRPr="00DB707E">
              <w:t>5</w:t>
            </w:r>
          </w:p>
        </w:tc>
        <w:tc>
          <w:tcPr>
            <w:tcW w:w="1047" w:type="dxa"/>
            <w:tcBorders>
              <w:top w:val="single" w:sz="6" w:space="0" w:color="auto"/>
              <w:left w:val="single" w:sz="6" w:space="0" w:color="auto"/>
              <w:bottom w:val="single" w:sz="6" w:space="0" w:color="auto"/>
              <w:right w:val="single" w:sz="6" w:space="0" w:color="auto"/>
            </w:tcBorders>
            <w:shd w:val="clear" w:color="auto" w:fill="auto"/>
          </w:tcPr>
          <w:p w14:paraId="6E1823B4" w14:textId="77777777" w:rsidR="00524B77" w:rsidRPr="00DB707E" w:rsidRDefault="00524B77" w:rsidP="00430B21">
            <w:pPr>
              <w:pStyle w:val="TAC"/>
              <w:rPr>
                <w:lang w:eastAsia="zh-CN"/>
              </w:rPr>
            </w:pPr>
            <w:r w:rsidRPr="00DB707E">
              <w:sym w:font="Symbol" w:char="F0B1"/>
            </w:r>
            <w:r w:rsidRPr="00DB707E">
              <w:t>5</w:t>
            </w:r>
          </w:p>
        </w:tc>
        <w:tc>
          <w:tcPr>
            <w:tcW w:w="951" w:type="dxa"/>
            <w:tcBorders>
              <w:top w:val="single" w:sz="6" w:space="0" w:color="auto"/>
              <w:left w:val="single" w:sz="6" w:space="0" w:color="auto"/>
              <w:bottom w:val="single" w:sz="6" w:space="0" w:color="auto"/>
              <w:right w:val="single" w:sz="6" w:space="0" w:color="auto"/>
            </w:tcBorders>
            <w:shd w:val="clear" w:color="auto" w:fill="auto"/>
          </w:tcPr>
          <w:p w14:paraId="2F1E90F9" w14:textId="77777777" w:rsidR="00524B77" w:rsidRPr="00DB707E" w:rsidRDefault="00524B77" w:rsidP="00430B21">
            <w:pPr>
              <w:pStyle w:val="TAC"/>
            </w:pPr>
            <w:r w:rsidRPr="00DB707E">
              <w:sym w:font="Symbol" w:char="F0B3"/>
            </w:r>
            <w:r w:rsidRPr="00DB707E">
              <w:rPr>
                <w:lang w:eastAsia="zh-CN"/>
              </w:rPr>
              <w:t>-6</w:t>
            </w:r>
          </w:p>
        </w:tc>
        <w:tc>
          <w:tcPr>
            <w:tcW w:w="2122" w:type="dxa"/>
            <w:tcBorders>
              <w:top w:val="single" w:sz="6" w:space="0" w:color="auto"/>
              <w:left w:val="single" w:sz="6" w:space="0" w:color="auto"/>
              <w:bottom w:val="single" w:sz="6" w:space="0" w:color="auto"/>
              <w:right w:val="single" w:sz="4" w:space="0" w:color="auto"/>
            </w:tcBorders>
            <w:shd w:val="clear" w:color="auto" w:fill="auto"/>
          </w:tcPr>
          <w:p w14:paraId="42AC7F8B" w14:textId="77777777" w:rsidR="00524B77" w:rsidRPr="00DB707E" w:rsidRDefault="00524B77" w:rsidP="00430B21">
            <w:pPr>
              <w:pStyle w:val="TAC"/>
            </w:pPr>
            <w:r w:rsidRPr="00DB707E">
              <w:t>Note 3</w:t>
            </w:r>
          </w:p>
        </w:tc>
        <w:tc>
          <w:tcPr>
            <w:tcW w:w="1107" w:type="dxa"/>
            <w:tcBorders>
              <w:top w:val="single" w:sz="6" w:space="0" w:color="auto"/>
              <w:left w:val="single" w:sz="4" w:space="0" w:color="auto"/>
              <w:bottom w:val="single" w:sz="4" w:space="0" w:color="auto"/>
              <w:right w:val="single" w:sz="6" w:space="0" w:color="auto"/>
            </w:tcBorders>
            <w:shd w:val="clear" w:color="auto" w:fill="auto"/>
          </w:tcPr>
          <w:p w14:paraId="6EA5BE3A" w14:textId="77777777" w:rsidR="00524B77" w:rsidRPr="00DB707E" w:rsidRDefault="00524B77" w:rsidP="00430B21">
            <w:pPr>
              <w:pStyle w:val="TAC"/>
            </w:pPr>
            <w:r w:rsidRPr="00DB707E">
              <w:t>Note 3</w:t>
            </w:r>
          </w:p>
        </w:tc>
        <w:tc>
          <w:tcPr>
            <w:tcW w:w="1032" w:type="dxa"/>
            <w:tcBorders>
              <w:top w:val="single" w:sz="6" w:space="0" w:color="auto"/>
              <w:left w:val="single" w:sz="4" w:space="0" w:color="auto"/>
              <w:bottom w:val="single" w:sz="4" w:space="0" w:color="auto"/>
              <w:right w:val="single" w:sz="6" w:space="0" w:color="auto"/>
            </w:tcBorders>
            <w:shd w:val="clear" w:color="auto" w:fill="auto"/>
          </w:tcPr>
          <w:p w14:paraId="677FA2E4" w14:textId="77777777" w:rsidR="00524B77" w:rsidRPr="00DB707E" w:rsidRDefault="00524B77" w:rsidP="00430B21">
            <w:pPr>
              <w:pStyle w:val="TAC"/>
              <w:rPr>
                <w:lang w:eastAsia="zh-CN"/>
              </w:rPr>
            </w:pPr>
            <w:r w:rsidRPr="00DB707E">
              <w:t>Note 3</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2698ED5B" w14:textId="77777777" w:rsidR="00524B77" w:rsidRPr="00DB707E" w:rsidRDefault="00524B77" w:rsidP="00430B21">
            <w:pPr>
              <w:pStyle w:val="TAC"/>
            </w:pPr>
            <w:r w:rsidRPr="00DB707E">
              <w:t>Note 3</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53D67E72" w14:textId="77777777" w:rsidR="00524B77" w:rsidRPr="00DB707E" w:rsidRDefault="00524B77" w:rsidP="00430B21">
            <w:pPr>
              <w:pStyle w:val="TAC"/>
            </w:pPr>
            <w:r w:rsidRPr="00DB707E">
              <w:t>Note 3</w:t>
            </w:r>
          </w:p>
        </w:tc>
      </w:tr>
      <w:tr w:rsidR="00524B77" w:rsidRPr="00DB707E" w14:paraId="75A20657"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167D94AF" w14:textId="77777777" w:rsidR="00524B77" w:rsidRPr="00DB707E" w:rsidRDefault="00524B77" w:rsidP="00430B21">
            <w:pPr>
              <w:pStyle w:val="TAN"/>
            </w:pPr>
            <w:r w:rsidRPr="00DB707E">
              <w:t>N</w:t>
            </w:r>
            <w:r w:rsidRPr="00DB707E">
              <w:rPr>
                <w:lang w:eastAsia="zh-CN"/>
              </w:rPr>
              <w:t>OTE</w:t>
            </w:r>
            <w:r w:rsidRPr="00DB707E">
              <w:t xml:space="preserve"> 1:</w:t>
            </w:r>
            <w:r w:rsidRPr="00DB707E">
              <w:tab/>
              <w:t>Io is assumed to have constant EPRE across the bandwidth.</w:t>
            </w:r>
          </w:p>
          <w:p w14:paraId="6ABDC9A0" w14:textId="77777777" w:rsidR="00524B77" w:rsidRPr="00DB707E" w:rsidRDefault="00524B77" w:rsidP="00430B21">
            <w:pPr>
              <w:pStyle w:val="TAN"/>
            </w:pPr>
            <w:r w:rsidRPr="00DB707E">
              <w:t>N</w:t>
            </w:r>
            <w:r w:rsidRPr="00DB707E">
              <w:rPr>
                <w:lang w:eastAsia="zh-CN"/>
              </w:rPr>
              <w:t>OTE</w:t>
            </w:r>
            <w:r w:rsidRPr="00DB707E">
              <w:t xml:space="preserve"> 2:</w:t>
            </w:r>
            <w:r w:rsidRPr="00DB707E">
              <w:tab/>
            </w:r>
            <w:r w:rsidRPr="00DB707E">
              <w:rPr>
                <w:lang w:eastAsia="zh-CN"/>
              </w:rPr>
              <w:t xml:space="preserve">The parameter </w:t>
            </w:r>
            <w:r w:rsidRPr="00DB707E">
              <w:t>SSB Ês/Iot</w:t>
            </w:r>
            <w:r w:rsidRPr="00DB707E">
              <w:rPr>
                <w:lang w:eastAsia="zh-CN"/>
              </w:rPr>
              <w:t xml:space="preserve"> is the minimum </w:t>
            </w:r>
            <w:r w:rsidRPr="00DB707E">
              <w:t>SSB Ês/Iot</w:t>
            </w:r>
            <w:r w:rsidRPr="00DB707E">
              <w:rPr>
                <w:lang w:eastAsia="zh-CN"/>
              </w:rPr>
              <w:t xml:space="preserve"> of the pair of cells to which the requirement applies.</w:t>
            </w:r>
          </w:p>
          <w:p w14:paraId="0DECE6FB" w14:textId="77777777" w:rsidR="00524B77" w:rsidRPr="00DB707E" w:rsidRDefault="00524B77" w:rsidP="00430B21">
            <w:pPr>
              <w:pStyle w:val="TAN"/>
              <w:rPr>
                <w:rFonts w:cs="Arial"/>
              </w:rPr>
            </w:pPr>
            <w:r w:rsidRPr="00DB707E">
              <w:t>N</w:t>
            </w:r>
            <w:r w:rsidRPr="00DB707E">
              <w:rPr>
                <w:lang w:eastAsia="zh-CN"/>
              </w:rPr>
              <w:t>OTE</w:t>
            </w:r>
            <w:r w:rsidRPr="00DB707E">
              <w:t xml:space="preserve"> 3:</w:t>
            </w:r>
            <w:r w:rsidRPr="00DB707E">
              <w:tab/>
            </w:r>
            <w:r w:rsidRPr="00DB707E">
              <w:rPr>
                <w:rFonts w:cs="Arial"/>
              </w:rPr>
              <w:t>The same bands and the same Io conditions for each band apply for this requirement as for the corresponding highest accuracy requirement.</w:t>
            </w:r>
          </w:p>
          <w:p w14:paraId="5465D538" w14:textId="77777777" w:rsidR="00524B77" w:rsidRPr="00DB707E" w:rsidRDefault="00524B77" w:rsidP="00430B21">
            <w:pPr>
              <w:pStyle w:val="TAN"/>
              <w:rPr>
                <w:rFonts w:cs="Arial"/>
              </w:rPr>
            </w:pPr>
            <w:r w:rsidRPr="00DB707E">
              <w:rPr>
                <w:rFonts w:cs="Arial"/>
              </w:rPr>
              <w:t>NOTE 4:</w:t>
            </w:r>
            <w:r w:rsidRPr="00DB707E">
              <w:rPr>
                <w:rFonts w:cs="Arial"/>
              </w:rPr>
              <w:tab/>
              <w:t xml:space="preserve">The requirements apply for SSB Ês/Iot </w:t>
            </w:r>
            <w:r w:rsidRPr="00DB707E">
              <w:rPr>
                <w:rFonts w:cs="Arial" w:hint="eastAsia"/>
              </w:rPr>
              <w:t>≤</w:t>
            </w:r>
            <w:r w:rsidRPr="00DB707E">
              <w:rPr>
                <w:rFonts w:cs="Arial"/>
              </w:rPr>
              <w:t xml:space="preserve"> [25] dB.</w:t>
            </w:r>
          </w:p>
          <w:p w14:paraId="61B19B5C" w14:textId="77777777" w:rsidR="00524B77" w:rsidRPr="00DB707E" w:rsidRDefault="00524B77" w:rsidP="00430B21">
            <w:pPr>
              <w:pStyle w:val="TAN"/>
            </w:pPr>
            <w:r w:rsidRPr="00DB707E">
              <w:rPr>
                <w:rFonts w:cs="Arial"/>
              </w:rPr>
              <w:t>NOTE 5:</w:t>
            </w:r>
            <w:r w:rsidRPr="00DB707E">
              <w:rPr>
                <w:rFonts w:cs="Arial"/>
              </w:rPr>
              <w:tab/>
            </w:r>
            <w:r w:rsidRPr="00DB707E">
              <w:t>NR operating band groups in FR1 are as defined in clause 3.5.2.</w:t>
            </w:r>
          </w:p>
        </w:tc>
      </w:tr>
    </w:tbl>
    <w:p w14:paraId="63DA235A" w14:textId="77777777" w:rsidR="00524B77" w:rsidRPr="00DB707E" w:rsidRDefault="00524B77" w:rsidP="00524B77">
      <w:pPr>
        <w:rPr>
          <w:lang w:eastAsia="ko-KR"/>
        </w:rPr>
      </w:pPr>
    </w:p>
    <w:p w14:paraId="428B1554" w14:textId="77777777" w:rsidR="00524B77" w:rsidRPr="00DB707E" w:rsidRDefault="00524B77" w:rsidP="00524B77">
      <w:pPr>
        <w:pStyle w:val="Heading3"/>
        <w:rPr>
          <w:lang w:val="en-US" w:eastAsia="ko-KR"/>
        </w:rPr>
      </w:pPr>
      <w:r w:rsidRPr="00DB707E">
        <w:rPr>
          <w:lang w:val="en-US" w:eastAsia="ko-KR"/>
        </w:rPr>
        <w:t>10.1A.13</w:t>
      </w:r>
      <w:r w:rsidRPr="00DB707E">
        <w:rPr>
          <w:lang w:val="en-US" w:eastAsia="ko-KR"/>
        </w:rPr>
        <w:tab/>
        <w:t xml:space="preserve"> Inter-frequency SINR accuracy requirements </w:t>
      </w:r>
      <w:r w:rsidRPr="00DB707E">
        <w:rPr>
          <w:lang w:val="en-US" w:eastAsia="zh-CN"/>
        </w:rPr>
        <w:t>for</w:t>
      </w:r>
      <w:r w:rsidRPr="00DB707E">
        <w:rPr>
          <w:lang w:val="en-US" w:eastAsia="ko-KR"/>
        </w:rPr>
        <w:t xml:space="preserve"> FR2</w:t>
      </w:r>
    </w:p>
    <w:p w14:paraId="6CBE04FD" w14:textId="77777777" w:rsidR="00524B77" w:rsidRPr="00DB707E" w:rsidRDefault="00524B77" w:rsidP="00524B77">
      <w:pPr>
        <w:pStyle w:val="Heading4"/>
        <w:rPr>
          <w:lang w:val="en-US" w:eastAsia="zh-CN"/>
        </w:rPr>
      </w:pPr>
      <w:r w:rsidRPr="00DB707E">
        <w:rPr>
          <w:lang w:val="en-US" w:eastAsia="zh-CN"/>
        </w:rPr>
        <w:t>10.1A.13.1</w:t>
      </w:r>
      <w:r w:rsidRPr="00DB707E">
        <w:rPr>
          <w:lang w:val="en-US" w:eastAsia="zh-CN"/>
        </w:rPr>
        <w:tab/>
      </w:r>
      <w:r w:rsidRPr="00DB707E">
        <w:rPr>
          <w:lang w:val="en-US" w:eastAsia="ko-KR"/>
        </w:rPr>
        <w:t>Inter-frequency SS-SINR accuracy requirements</w:t>
      </w:r>
      <w:r w:rsidRPr="00DB707E">
        <w:rPr>
          <w:lang w:val="en-US" w:eastAsia="zh-CN"/>
        </w:rPr>
        <w:t xml:space="preserve"> in FR2</w:t>
      </w:r>
    </w:p>
    <w:p w14:paraId="50D25712" w14:textId="77777777" w:rsidR="00524B77" w:rsidRPr="00DB707E" w:rsidRDefault="00524B77" w:rsidP="00524B77">
      <w:pPr>
        <w:pStyle w:val="Heading5"/>
        <w:rPr>
          <w:lang w:val="en-US" w:eastAsia="zh-CN"/>
        </w:rPr>
      </w:pPr>
      <w:r w:rsidRPr="00DB707E">
        <w:rPr>
          <w:lang w:val="en-US" w:eastAsia="zh-CN"/>
        </w:rPr>
        <w:t>10.1A.13.1.1</w:t>
      </w:r>
      <w:r w:rsidRPr="00DB707E">
        <w:rPr>
          <w:lang w:val="en-US" w:eastAsia="zh-CN"/>
        </w:rPr>
        <w:tab/>
      </w:r>
      <w:r w:rsidRPr="00DB707E">
        <w:rPr>
          <w:lang w:eastAsia="zh-CN"/>
        </w:rPr>
        <w:t>Aboslute</w:t>
      </w:r>
      <w:r w:rsidRPr="00DB707E">
        <w:t xml:space="preserve"> Accuracy of </w:t>
      </w:r>
      <w:r w:rsidRPr="00DB707E">
        <w:rPr>
          <w:lang w:eastAsia="zh-CN"/>
        </w:rPr>
        <w:t>SS-SINR</w:t>
      </w:r>
      <w:r w:rsidRPr="00DB707E">
        <w:rPr>
          <w:lang w:val="en-US" w:eastAsia="zh-CN"/>
        </w:rPr>
        <w:t xml:space="preserve"> in FR2</w:t>
      </w:r>
    </w:p>
    <w:p w14:paraId="30631C71" w14:textId="77777777" w:rsidR="00524B77" w:rsidRPr="00DB707E" w:rsidRDefault="00524B77" w:rsidP="00524B77">
      <w:r w:rsidRPr="00DB707E">
        <w:rPr>
          <w:rFonts w:cs="v4.2.0"/>
        </w:rPr>
        <w:t xml:space="preserve">The accuracy requirements in clause </w:t>
      </w:r>
      <w:r w:rsidRPr="00DB707E">
        <w:rPr>
          <w:lang w:val="en-US" w:eastAsia="zh-CN"/>
        </w:rPr>
        <w:t>10.1.15.1.1</w:t>
      </w:r>
      <w:r w:rsidRPr="00DB707E">
        <w:rPr>
          <w:rFonts w:cs="v4.2.0"/>
        </w:rPr>
        <w:t xml:space="preserve"> shall apply.</w:t>
      </w:r>
    </w:p>
    <w:p w14:paraId="6546D8CA" w14:textId="77777777" w:rsidR="00524B77" w:rsidRPr="00DB707E" w:rsidRDefault="00524B77" w:rsidP="00524B77">
      <w:pPr>
        <w:pStyle w:val="Heading5"/>
      </w:pPr>
      <w:r w:rsidRPr="00DB707E">
        <w:rPr>
          <w:lang w:eastAsia="zh-CN"/>
        </w:rPr>
        <w:t>10.1A.13</w:t>
      </w:r>
      <w:r w:rsidRPr="00DB707E">
        <w:t>.</w:t>
      </w:r>
      <w:r w:rsidRPr="00DB707E">
        <w:rPr>
          <w:lang w:eastAsia="zh-CN"/>
        </w:rPr>
        <w:t>1.2</w:t>
      </w:r>
      <w:r w:rsidRPr="00DB707E">
        <w:tab/>
        <w:t xml:space="preserve">Relative Accuracy of </w:t>
      </w:r>
      <w:r w:rsidRPr="00DB707E">
        <w:rPr>
          <w:lang w:eastAsia="zh-CN"/>
        </w:rPr>
        <w:t>SS-SINR</w:t>
      </w:r>
      <w:r w:rsidRPr="00DB707E">
        <w:t xml:space="preserve"> in FR2</w:t>
      </w:r>
    </w:p>
    <w:p w14:paraId="69F7B0FF" w14:textId="77777777" w:rsidR="00524B77" w:rsidRPr="00DB707E" w:rsidRDefault="00524B77" w:rsidP="00524B77">
      <w:r w:rsidRPr="00DB707E">
        <w:rPr>
          <w:rFonts w:cs="v4.2.0"/>
        </w:rPr>
        <w:t xml:space="preserve">The accuracy requirements in clause </w:t>
      </w:r>
      <w:r w:rsidRPr="00DB707E">
        <w:rPr>
          <w:lang w:val="en-US" w:eastAsia="zh-CN"/>
        </w:rPr>
        <w:t>10.1.15.1.1</w:t>
      </w:r>
      <w:r w:rsidRPr="00DB707E">
        <w:rPr>
          <w:rFonts w:cs="v4.2.0"/>
        </w:rPr>
        <w:t xml:space="preserve"> shall apply.</w:t>
      </w:r>
    </w:p>
    <w:p w14:paraId="5E4E0AE4" w14:textId="77777777" w:rsidR="00524B77" w:rsidRPr="00DB707E" w:rsidRDefault="00524B77" w:rsidP="00524B77"/>
    <w:p w14:paraId="7304A803" w14:textId="77777777" w:rsidR="00524B77" w:rsidRPr="00DB707E" w:rsidRDefault="00524B77" w:rsidP="00524B77">
      <w:pPr>
        <w:pStyle w:val="Heading3"/>
        <w:rPr>
          <w:lang w:val="en-US"/>
        </w:rPr>
      </w:pPr>
      <w:r w:rsidRPr="00DB707E">
        <w:rPr>
          <w:lang w:val="en-US"/>
        </w:rPr>
        <w:t>10.1A.14</w:t>
      </w:r>
      <w:r w:rsidRPr="00DB707E">
        <w:rPr>
          <w:lang w:val="en-US"/>
        </w:rPr>
        <w:tab/>
        <w:t xml:space="preserve"> L1-RSRP accuracy requirements for FR1</w:t>
      </w:r>
    </w:p>
    <w:p w14:paraId="14AE7D78" w14:textId="77777777" w:rsidR="00524B77" w:rsidRPr="00DB707E" w:rsidRDefault="00524B77" w:rsidP="00524B77">
      <w:pPr>
        <w:pStyle w:val="Heading4"/>
        <w:rPr>
          <w:lang w:val="en-US"/>
        </w:rPr>
      </w:pPr>
      <w:r w:rsidRPr="00DB707E">
        <w:rPr>
          <w:lang w:val="en-US"/>
        </w:rPr>
        <w:t>10.1A.14.1</w:t>
      </w:r>
      <w:r w:rsidRPr="00DB707E">
        <w:rPr>
          <w:lang w:val="en-US"/>
        </w:rPr>
        <w:tab/>
        <w:t>SSB based L1-RSRP accuracy requirements</w:t>
      </w:r>
    </w:p>
    <w:p w14:paraId="05101A2C" w14:textId="77777777" w:rsidR="00524B77" w:rsidRPr="00DB707E" w:rsidRDefault="00524B77" w:rsidP="00524B77">
      <w:pPr>
        <w:pStyle w:val="Heading5"/>
      </w:pPr>
      <w:r w:rsidRPr="00DB707E">
        <w:t>10.1A.14.1.1</w:t>
      </w:r>
      <w:r w:rsidRPr="00DB707E">
        <w:tab/>
        <w:t>Absolute Accuracy</w:t>
      </w:r>
    </w:p>
    <w:p w14:paraId="55C8B897" w14:textId="77777777" w:rsidR="00524B77" w:rsidRPr="00DB707E" w:rsidRDefault="00524B77" w:rsidP="00524B77">
      <w:pPr>
        <w:rPr>
          <w:rFonts w:cs="v4.2.0"/>
        </w:rPr>
      </w:pPr>
      <w:r w:rsidRPr="00DB707E">
        <w:rPr>
          <w:rFonts w:cs="v4.2.0"/>
        </w:rPr>
        <w:t xml:space="preserve">The accuracy requirements in clause </w:t>
      </w:r>
      <w:r w:rsidRPr="00DB707E">
        <w:t>10.1.19.1.1</w:t>
      </w:r>
      <w:r w:rsidRPr="00DB707E">
        <w:rPr>
          <w:rFonts w:cs="v4.2.0"/>
        </w:rPr>
        <w:t xml:space="preserve"> shall apply when RedCap UE is capable of 2Rx. When UE is only required to support 1RX, the absolute accuracy requirements in Table </w:t>
      </w:r>
      <w:r w:rsidRPr="00DB707E">
        <w:t>10.1A.14.1.1-1</w:t>
      </w:r>
      <w:r w:rsidRPr="00DB707E">
        <w:rPr>
          <w:rFonts w:cs="v4.2.0"/>
        </w:rPr>
        <w:t xml:space="preserve"> are valid under the following conditions:</w:t>
      </w:r>
    </w:p>
    <w:p w14:paraId="105E51F3" w14:textId="77777777" w:rsidR="00524B77" w:rsidRPr="00DB707E" w:rsidRDefault="00524B77" w:rsidP="00524B77">
      <w:pPr>
        <w:pStyle w:val="B10"/>
        <w:rPr>
          <w:rFonts w:eastAsia="PMingLiU"/>
        </w:rPr>
      </w:pPr>
      <w:r w:rsidRPr="00DB707E">
        <w:t>-</w:t>
      </w:r>
      <w:r w:rsidRPr="00DB707E">
        <w:tab/>
        <w:t>Conditions defined in clause 7.3 of TS 38.101-1 [18] for reference sensitivity are fulfilled.</w:t>
      </w:r>
    </w:p>
    <w:p w14:paraId="0D7A89A2" w14:textId="77777777" w:rsidR="00524B77" w:rsidRPr="00DB707E" w:rsidRDefault="00524B77" w:rsidP="00524B77">
      <w:pPr>
        <w:pStyle w:val="B10"/>
      </w:pPr>
      <w:r w:rsidRPr="00DB707E">
        <w:rPr>
          <w:rFonts w:eastAsia="PMingLiU"/>
        </w:rPr>
        <w:t>-</w:t>
      </w:r>
      <w:r w:rsidRPr="00DB707E">
        <w:rPr>
          <w:rFonts w:eastAsia="PMingLiU"/>
        </w:rPr>
        <w:tab/>
      </w:r>
      <w:r w:rsidRPr="00DB707E">
        <w:t xml:space="preserve">Conditions for L1-RSRP measurements are fulfilled according to Annex B.2.4.1 for a corresponding Band </w:t>
      </w:r>
      <w:r w:rsidRPr="00DB707E">
        <w:rPr>
          <w:rFonts w:eastAsia="PMingLiU"/>
        </w:rPr>
        <w:t>for each relevant SSB</w:t>
      </w:r>
      <w:r w:rsidRPr="00DB707E">
        <w:t>.</w:t>
      </w:r>
    </w:p>
    <w:p w14:paraId="30FEC1BA" w14:textId="77777777" w:rsidR="00524B77" w:rsidRPr="00DB707E" w:rsidRDefault="00524B77" w:rsidP="00524B77">
      <w:pPr>
        <w:pStyle w:val="TH"/>
      </w:pPr>
      <w:r w:rsidRPr="00DB707E">
        <w:t>Table 10.1A.14.1.1-1: SSB based L1-RSRP absolute accuracy for 1Rx RedCap UE in FR1</w:t>
      </w:r>
    </w:p>
    <w:tbl>
      <w:tblPr>
        <w:tblW w:w="10172" w:type="dxa"/>
        <w:jc w:val="center"/>
        <w:tblLook w:val="01E0" w:firstRow="1" w:lastRow="1" w:firstColumn="1" w:lastColumn="1" w:noHBand="0" w:noVBand="0"/>
      </w:tblPr>
      <w:tblGrid>
        <w:gridCol w:w="1036"/>
        <w:gridCol w:w="1126"/>
        <w:gridCol w:w="825"/>
        <w:gridCol w:w="2267"/>
        <w:gridCol w:w="982"/>
        <w:gridCol w:w="1056"/>
        <w:gridCol w:w="1440"/>
        <w:gridCol w:w="1440"/>
      </w:tblGrid>
      <w:tr w:rsidR="00524B77" w:rsidRPr="00DB707E" w14:paraId="5C669EBA" w14:textId="77777777" w:rsidTr="00430B21">
        <w:trPr>
          <w:jc w:val="center"/>
        </w:trPr>
        <w:tc>
          <w:tcPr>
            <w:tcW w:w="216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385AC70D" w14:textId="77777777" w:rsidR="00524B77" w:rsidRPr="00DB707E" w:rsidRDefault="00524B77" w:rsidP="00430B21">
            <w:pPr>
              <w:pStyle w:val="TAH"/>
            </w:pPr>
            <w:r w:rsidRPr="00DB707E">
              <w:t>Accuracy</w:t>
            </w:r>
          </w:p>
        </w:tc>
        <w:tc>
          <w:tcPr>
            <w:tcW w:w="801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0D930655" w14:textId="77777777" w:rsidR="00524B77" w:rsidRPr="00DB707E" w:rsidRDefault="00524B77" w:rsidP="00430B21">
            <w:pPr>
              <w:pStyle w:val="TAH"/>
            </w:pPr>
            <w:r w:rsidRPr="00DB707E">
              <w:t>Conditions</w:t>
            </w:r>
          </w:p>
        </w:tc>
      </w:tr>
      <w:tr w:rsidR="00524B77" w:rsidRPr="00DB707E" w14:paraId="6B80B1C8" w14:textId="77777777" w:rsidTr="00430B21">
        <w:trPr>
          <w:jc w:val="center"/>
        </w:trPr>
        <w:tc>
          <w:tcPr>
            <w:tcW w:w="1036" w:type="dxa"/>
            <w:tcBorders>
              <w:top w:val="single" w:sz="6" w:space="0" w:color="auto"/>
              <w:left w:val="single" w:sz="4" w:space="0" w:color="auto"/>
              <w:right w:val="single" w:sz="6" w:space="0" w:color="auto"/>
            </w:tcBorders>
            <w:shd w:val="clear" w:color="auto" w:fill="auto"/>
            <w:vAlign w:val="center"/>
          </w:tcPr>
          <w:p w14:paraId="67E43A15" w14:textId="77777777" w:rsidR="00524B77" w:rsidRPr="00DB707E" w:rsidRDefault="00524B77" w:rsidP="00430B21">
            <w:pPr>
              <w:pStyle w:val="TAH"/>
            </w:pPr>
            <w:r w:rsidRPr="00DB707E">
              <w:t>Normal condition</w:t>
            </w:r>
          </w:p>
        </w:tc>
        <w:tc>
          <w:tcPr>
            <w:tcW w:w="1126" w:type="dxa"/>
            <w:tcBorders>
              <w:top w:val="single" w:sz="6" w:space="0" w:color="auto"/>
              <w:left w:val="single" w:sz="6" w:space="0" w:color="auto"/>
              <w:right w:val="single" w:sz="6" w:space="0" w:color="auto"/>
            </w:tcBorders>
            <w:shd w:val="clear" w:color="auto" w:fill="auto"/>
            <w:vAlign w:val="center"/>
          </w:tcPr>
          <w:p w14:paraId="399522C7" w14:textId="77777777" w:rsidR="00524B77" w:rsidRPr="00DB707E" w:rsidRDefault="00524B77" w:rsidP="00430B21">
            <w:pPr>
              <w:pStyle w:val="TAH"/>
            </w:pPr>
            <w:r w:rsidRPr="00DB707E">
              <w:t>Extreme condition</w:t>
            </w:r>
          </w:p>
        </w:tc>
        <w:tc>
          <w:tcPr>
            <w:tcW w:w="825" w:type="dxa"/>
            <w:tcBorders>
              <w:top w:val="single" w:sz="6" w:space="0" w:color="auto"/>
              <w:left w:val="single" w:sz="6" w:space="0" w:color="auto"/>
              <w:right w:val="single" w:sz="6" w:space="0" w:color="auto"/>
            </w:tcBorders>
            <w:shd w:val="clear" w:color="auto" w:fill="auto"/>
            <w:vAlign w:val="center"/>
          </w:tcPr>
          <w:p w14:paraId="2963FC65" w14:textId="77777777" w:rsidR="00524B77" w:rsidRPr="00DB707E" w:rsidRDefault="00524B77" w:rsidP="00430B21">
            <w:pPr>
              <w:pStyle w:val="TAH"/>
            </w:pPr>
            <w:r w:rsidRPr="00DB707E">
              <w:t>SSB Ês/Iot</w:t>
            </w:r>
          </w:p>
        </w:tc>
        <w:tc>
          <w:tcPr>
            <w:tcW w:w="7185"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BD668D5" w14:textId="77777777" w:rsidR="00524B77" w:rsidRPr="00DB707E" w:rsidRDefault="00524B77" w:rsidP="00430B21">
            <w:pPr>
              <w:pStyle w:val="TAH"/>
            </w:pPr>
            <w:r w:rsidRPr="00DB707E">
              <w:t>Io</w:t>
            </w:r>
            <w:r w:rsidRPr="00DB707E">
              <w:rPr>
                <w:vertAlign w:val="superscript"/>
              </w:rPr>
              <w:t xml:space="preserve"> Note 1</w:t>
            </w:r>
            <w:r w:rsidRPr="00DB707E">
              <w:t xml:space="preserve"> range</w:t>
            </w:r>
          </w:p>
        </w:tc>
      </w:tr>
      <w:tr w:rsidR="00524B77" w:rsidRPr="00DB707E" w14:paraId="446CB089" w14:textId="77777777" w:rsidTr="00430B21">
        <w:trPr>
          <w:jc w:val="center"/>
        </w:trPr>
        <w:tc>
          <w:tcPr>
            <w:tcW w:w="1036" w:type="dxa"/>
            <w:tcBorders>
              <w:left w:val="single" w:sz="4" w:space="0" w:color="auto"/>
              <w:bottom w:val="single" w:sz="6" w:space="0" w:color="auto"/>
              <w:right w:val="single" w:sz="6" w:space="0" w:color="auto"/>
            </w:tcBorders>
            <w:shd w:val="clear" w:color="auto" w:fill="auto"/>
            <w:vAlign w:val="center"/>
          </w:tcPr>
          <w:p w14:paraId="43312FFB" w14:textId="77777777" w:rsidR="00524B77" w:rsidRPr="00DB707E" w:rsidRDefault="00524B77" w:rsidP="00430B21">
            <w:pPr>
              <w:pStyle w:val="TAH"/>
            </w:pPr>
          </w:p>
        </w:tc>
        <w:tc>
          <w:tcPr>
            <w:tcW w:w="1126" w:type="dxa"/>
            <w:tcBorders>
              <w:left w:val="single" w:sz="6" w:space="0" w:color="auto"/>
              <w:bottom w:val="single" w:sz="6" w:space="0" w:color="auto"/>
              <w:right w:val="single" w:sz="6" w:space="0" w:color="auto"/>
            </w:tcBorders>
            <w:shd w:val="clear" w:color="auto" w:fill="auto"/>
            <w:vAlign w:val="center"/>
          </w:tcPr>
          <w:p w14:paraId="510A806E" w14:textId="77777777" w:rsidR="00524B77" w:rsidRPr="00DB707E" w:rsidRDefault="00524B77" w:rsidP="00430B21">
            <w:pPr>
              <w:pStyle w:val="TAH"/>
            </w:pPr>
          </w:p>
        </w:tc>
        <w:tc>
          <w:tcPr>
            <w:tcW w:w="825" w:type="dxa"/>
            <w:tcBorders>
              <w:left w:val="single" w:sz="6" w:space="0" w:color="auto"/>
              <w:bottom w:val="single" w:sz="6" w:space="0" w:color="auto"/>
              <w:right w:val="single" w:sz="6" w:space="0" w:color="auto"/>
            </w:tcBorders>
            <w:shd w:val="clear" w:color="auto" w:fill="auto"/>
            <w:vAlign w:val="center"/>
          </w:tcPr>
          <w:p w14:paraId="1AEDEA68" w14:textId="77777777" w:rsidR="00524B77" w:rsidRPr="00DB707E" w:rsidRDefault="00524B77" w:rsidP="00430B21">
            <w:pPr>
              <w:pStyle w:val="TAH"/>
            </w:pPr>
          </w:p>
        </w:tc>
        <w:tc>
          <w:tcPr>
            <w:tcW w:w="2267" w:type="dxa"/>
            <w:tcBorders>
              <w:top w:val="single" w:sz="6" w:space="0" w:color="auto"/>
              <w:left w:val="single" w:sz="6" w:space="0" w:color="auto"/>
              <w:bottom w:val="single" w:sz="6" w:space="0" w:color="auto"/>
              <w:right w:val="single" w:sz="4" w:space="0" w:color="auto"/>
            </w:tcBorders>
            <w:shd w:val="clear" w:color="auto" w:fill="auto"/>
            <w:vAlign w:val="center"/>
          </w:tcPr>
          <w:p w14:paraId="34466795" w14:textId="77777777" w:rsidR="00524B77" w:rsidRPr="00DB707E" w:rsidRDefault="00524B77" w:rsidP="00430B21">
            <w:pPr>
              <w:pStyle w:val="TAH"/>
            </w:pPr>
            <w:r w:rsidRPr="00DB707E">
              <w:t>NR operating band groups</w:t>
            </w:r>
            <w:r w:rsidRPr="00DB707E">
              <w:rPr>
                <w:vertAlign w:val="superscript"/>
              </w:rPr>
              <w:t xml:space="preserve"> Note 2</w:t>
            </w:r>
          </w:p>
        </w:tc>
        <w:tc>
          <w:tcPr>
            <w:tcW w:w="3478"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0C0083C4"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ACBB85E" w14:textId="77777777" w:rsidR="00524B77" w:rsidRPr="00DB707E" w:rsidRDefault="00524B77" w:rsidP="00430B21">
            <w:pPr>
              <w:pStyle w:val="TAH"/>
            </w:pPr>
            <w:r w:rsidRPr="00DB707E">
              <w:t>Maximum Io</w:t>
            </w:r>
          </w:p>
        </w:tc>
      </w:tr>
      <w:tr w:rsidR="00524B77" w:rsidRPr="00DB707E" w14:paraId="1F920BD2" w14:textId="77777777" w:rsidTr="00430B21">
        <w:trPr>
          <w:trHeight w:val="308"/>
          <w:jc w:val="center"/>
        </w:trPr>
        <w:tc>
          <w:tcPr>
            <w:tcW w:w="1036" w:type="dxa"/>
            <w:tcBorders>
              <w:top w:val="single" w:sz="6" w:space="0" w:color="auto"/>
              <w:left w:val="single" w:sz="4" w:space="0" w:color="auto"/>
              <w:right w:val="single" w:sz="6" w:space="0" w:color="auto"/>
            </w:tcBorders>
            <w:shd w:val="clear" w:color="auto" w:fill="auto"/>
            <w:vAlign w:val="center"/>
          </w:tcPr>
          <w:p w14:paraId="18BD4F10" w14:textId="77777777" w:rsidR="00524B77" w:rsidRPr="00DB707E" w:rsidRDefault="00524B77" w:rsidP="00430B21">
            <w:pPr>
              <w:pStyle w:val="TAH"/>
            </w:pPr>
            <w:r w:rsidRPr="00DB707E">
              <w:t>dB</w:t>
            </w:r>
          </w:p>
        </w:tc>
        <w:tc>
          <w:tcPr>
            <w:tcW w:w="1126" w:type="dxa"/>
            <w:tcBorders>
              <w:top w:val="single" w:sz="6" w:space="0" w:color="auto"/>
              <w:left w:val="single" w:sz="6" w:space="0" w:color="auto"/>
              <w:right w:val="single" w:sz="6" w:space="0" w:color="auto"/>
            </w:tcBorders>
            <w:shd w:val="clear" w:color="auto" w:fill="auto"/>
            <w:vAlign w:val="center"/>
          </w:tcPr>
          <w:p w14:paraId="318EE3BE" w14:textId="77777777" w:rsidR="00524B77" w:rsidRPr="00DB707E" w:rsidRDefault="00524B77" w:rsidP="00430B21">
            <w:pPr>
              <w:pStyle w:val="TAH"/>
            </w:pPr>
            <w:r w:rsidRPr="00DB707E">
              <w:t>dB</w:t>
            </w:r>
          </w:p>
        </w:tc>
        <w:tc>
          <w:tcPr>
            <w:tcW w:w="825" w:type="dxa"/>
            <w:tcBorders>
              <w:top w:val="single" w:sz="6" w:space="0" w:color="auto"/>
              <w:left w:val="single" w:sz="6" w:space="0" w:color="auto"/>
              <w:right w:val="single" w:sz="6" w:space="0" w:color="auto"/>
            </w:tcBorders>
            <w:shd w:val="clear" w:color="auto" w:fill="auto"/>
            <w:vAlign w:val="center"/>
          </w:tcPr>
          <w:p w14:paraId="51C3BC13" w14:textId="77777777" w:rsidR="00524B77" w:rsidRPr="00DB707E" w:rsidRDefault="00524B77" w:rsidP="00430B21">
            <w:pPr>
              <w:pStyle w:val="TAH"/>
            </w:pPr>
            <w:r w:rsidRPr="00DB707E">
              <w:t>dB</w:t>
            </w:r>
          </w:p>
        </w:tc>
        <w:tc>
          <w:tcPr>
            <w:tcW w:w="2267" w:type="dxa"/>
            <w:tcBorders>
              <w:top w:val="single" w:sz="6" w:space="0" w:color="auto"/>
              <w:left w:val="single" w:sz="6" w:space="0" w:color="auto"/>
              <w:right w:val="single" w:sz="4" w:space="0" w:color="auto"/>
            </w:tcBorders>
            <w:shd w:val="clear" w:color="auto" w:fill="auto"/>
            <w:vAlign w:val="center"/>
          </w:tcPr>
          <w:p w14:paraId="5D130CC0" w14:textId="77777777" w:rsidR="00524B77" w:rsidRPr="00DB707E" w:rsidRDefault="00524B77" w:rsidP="00430B21">
            <w:pPr>
              <w:pStyle w:val="TAH"/>
            </w:pPr>
          </w:p>
        </w:tc>
        <w:tc>
          <w:tcPr>
            <w:tcW w:w="2038"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3EDD1883"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43022F9C"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45E93B3A" w14:textId="77777777" w:rsidR="00524B77" w:rsidRPr="00DB707E" w:rsidRDefault="00524B77" w:rsidP="00430B21">
            <w:pPr>
              <w:pStyle w:val="TAH"/>
            </w:pPr>
            <w:r w:rsidRPr="00DB707E">
              <w:t>dBm/BW</w:t>
            </w:r>
            <w:r w:rsidRPr="00DB707E">
              <w:rPr>
                <w:vertAlign w:val="subscript"/>
              </w:rPr>
              <w:t>Channel</w:t>
            </w:r>
          </w:p>
        </w:tc>
      </w:tr>
      <w:tr w:rsidR="00524B77" w:rsidRPr="00DB707E" w14:paraId="590047CE" w14:textId="77777777" w:rsidTr="00430B21">
        <w:trPr>
          <w:trHeight w:val="307"/>
          <w:jc w:val="center"/>
        </w:trPr>
        <w:tc>
          <w:tcPr>
            <w:tcW w:w="1036" w:type="dxa"/>
            <w:tcBorders>
              <w:left w:val="single" w:sz="4" w:space="0" w:color="auto"/>
              <w:bottom w:val="single" w:sz="6" w:space="0" w:color="auto"/>
              <w:right w:val="single" w:sz="6" w:space="0" w:color="auto"/>
            </w:tcBorders>
            <w:shd w:val="clear" w:color="auto" w:fill="auto"/>
          </w:tcPr>
          <w:p w14:paraId="40DC3268" w14:textId="77777777" w:rsidR="00524B77" w:rsidRPr="00DB707E" w:rsidRDefault="00524B77" w:rsidP="00430B21">
            <w:pPr>
              <w:pStyle w:val="TAH"/>
            </w:pPr>
          </w:p>
        </w:tc>
        <w:tc>
          <w:tcPr>
            <w:tcW w:w="1126" w:type="dxa"/>
            <w:tcBorders>
              <w:left w:val="single" w:sz="6" w:space="0" w:color="auto"/>
              <w:bottom w:val="single" w:sz="6" w:space="0" w:color="auto"/>
              <w:right w:val="single" w:sz="6" w:space="0" w:color="auto"/>
            </w:tcBorders>
            <w:shd w:val="clear" w:color="auto" w:fill="auto"/>
          </w:tcPr>
          <w:p w14:paraId="5A86A5AF" w14:textId="77777777" w:rsidR="00524B77" w:rsidRPr="00DB707E" w:rsidRDefault="00524B77" w:rsidP="00430B21">
            <w:pPr>
              <w:pStyle w:val="TAH"/>
            </w:pPr>
          </w:p>
        </w:tc>
        <w:tc>
          <w:tcPr>
            <w:tcW w:w="825" w:type="dxa"/>
            <w:tcBorders>
              <w:left w:val="single" w:sz="6" w:space="0" w:color="auto"/>
              <w:bottom w:val="single" w:sz="6" w:space="0" w:color="auto"/>
              <w:right w:val="single" w:sz="6" w:space="0" w:color="auto"/>
            </w:tcBorders>
            <w:shd w:val="clear" w:color="auto" w:fill="auto"/>
          </w:tcPr>
          <w:p w14:paraId="7A8F059C" w14:textId="77777777" w:rsidR="00524B77" w:rsidRPr="00DB707E" w:rsidRDefault="00524B77" w:rsidP="00430B21">
            <w:pPr>
              <w:pStyle w:val="TAH"/>
            </w:pPr>
          </w:p>
        </w:tc>
        <w:tc>
          <w:tcPr>
            <w:tcW w:w="2267" w:type="dxa"/>
            <w:tcBorders>
              <w:left w:val="single" w:sz="6" w:space="0" w:color="auto"/>
              <w:bottom w:val="single" w:sz="6" w:space="0" w:color="auto"/>
              <w:right w:val="single" w:sz="4" w:space="0" w:color="auto"/>
            </w:tcBorders>
            <w:shd w:val="clear" w:color="auto" w:fill="auto"/>
          </w:tcPr>
          <w:p w14:paraId="5BD7261C" w14:textId="77777777" w:rsidR="00524B77" w:rsidRPr="00DB707E" w:rsidRDefault="00524B77" w:rsidP="00430B21">
            <w:pPr>
              <w:pStyle w:val="TAH"/>
            </w:pP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67DDE480"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4693E4A8"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tcPr>
          <w:p w14:paraId="32B7D8EC"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5209B20C" w14:textId="77777777" w:rsidR="00524B77" w:rsidRPr="00DB707E" w:rsidRDefault="00524B77" w:rsidP="00430B21">
            <w:pPr>
              <w:pStyle w:val="TAH"/>
            </w:pPr>
          </w:p>
        </w:tc>
      </w:tr>
      <w:tr w:rsidR="00524B77" w:rsidRPr="00DB707E" w14:paraId="148C60B1" w14:textId="77777777" w:rsidTr="00430B21">
        <w:trPr>
          <w:jc w:val="center"/>
        </w:trPr>
        <w:tc>
          <w:tcPr>
            <w:tcW w:w="1036" w:type="dxa"/>
            <w:tcBorders>
              <w:top w:val="single" w:sz="6" w:space="0" w:color="auto"/>
              <w:left w:val="single" w:sz="4" w:space="0" w:color="auto"/>
              <w:right w:val="single" w:sz="6" w:space="0" w:color="auto"/>
            </w:tcBorders>
            <w:shd w:val="clear" w:color="auto" w:fill="auto"/>
          </w:tcPr>
          <w:p w14:paraId="7ACF94AE" w14:textId="77777777" w:rsidR="00524B77" w:rsidRPr="00DB707E" w:rsidRDefault="00524B77" w:rsidP="00430B21">
            <w:pPr>
              <w:pStyle w:val="TAC"/>
            </w:pPr>
          </w:p>
        </w:tc>
        <w:tc>
          <w:tcPr>
            <w:tcW w:w="1126" w:type="dxa"/>
            <w:tcBorders>
              <w:top w:val="single" w:sz="6" w:space="0" w:color="auto"/>
              <w:left w:val="single" w:sz="6" w:space="0" w:color="auto"/>
              <w:right w:val="single" w:sz="6" w:space="0" w:color="auto"/>
            </w:tcBorders>
            <w:shd w:val="clear" w:color="auto" w:fill="auto"/>
          </w:tcPr>
          <w:p w14:paraId="0887D82B" w14:textId="77777777" w:rsidR="00524B77" w:rsidRPr="00DB707E" w:rsidRDefault="00524B77" w:rsidP="00430B21">
            <w:pPr>
              <w:pStyle w:val="TAC"/>
            </w:pPr>
          </w:p>
        </w:tc>
        <w:tc>
          <w:tcPr>
            <w:tcW w:w="825" w:type="dxa"/>
            <w:tcBorders>
              <w:top w:val="single" w:sz="6" w:space="0" w:color="auto"/>
              <w:left w:val="single" w:sz="6" w:space="0" w:color="auto"/>
              <w:right w:val="single" w:sz="6" w:space="0" w:color="auto"/>
            </w:tcBorders>
            <w:shd w:val="clear" w:color="auto" w:fill="auto"/>
          </w:tcPr>
          <w:p w14:paraId="5E7C8DF6" w14:textId="77777777" w:rsidR="00524B77" w:rsidRPr="00DB707E" w:rsidRDefault="00524B77" w:rsidP="00430B21">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6B5EF3E0" w14:textId="77777777" w:rsidR="00524B77" w:rsidRPr="00DB707E" w:rsidRDefault="00524B77" w:rsidP="00430B21">
            <w:pPr>
              <w:pStyle w:val="TAC"/>
            </w:pPr>
            <w:r w:rsidRPr="00DB707E">
              <w:t>NR_FDD_FR1_A, NR_TDD_FR1_A, NR_SDL_FR1_A</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34BECC97" w14:textId="77777777" w:rsidR="00524B77" w:rsidRPr="00DB707E" w:rsidRDefault="00524B77" w:rsidP="00430B21">
            <w:pPr>
              <w:pStyle w:val="TAC"/>
            </w:pPr>
            <w:r w:rsidRPr="00DB707E">
              <w:t>-121</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16BB8C35" w14:textId="77777777" w:rsidR="00524B77" w:rsidRPr="00DB707E" w:rsidRDefault="00524B77" w:rsidP="00430B21">
            <w:pPr>
              <w:pStyle w:val="TAC"/>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3FE8E71"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7AB5FF0" w14:textId="77777777" w:rsidR="00524B77" w:rsidRPr="00DB707E" w:rsidRDefault="00524B77" w:rsidP="00430B21">
            <w:pPr>
              <w:pStyle w:val="TAC"/>
            </w:pPr>
            <w:r w:rsidRPr="00DB707E">
              <w:t>-70</w:t>
            </w:r>
          </w:p>
        </w:tc>
      </w:tr>
      <w:tr w:rsidR="00524B77" w:rsidRPr="00DB707E" w14:paraId="652E8070" w14:textId="77777777" w:rsidTr="00430B21">
        <w:trPr>
          <w:jc w:val="center"/>
        </w:trPr>
        <w:tc>
          <w:tcPr>
            <w:tcW w:w="1036" w:type="dxa"/>
            <w:tcBorders>
              <w:left w:val="single" w:sz="4" w:space="0" w:color="auto"/>
              <w:right w:val="single" w:sz="6" w:space="0" w:color="auto"/>
            </w:tcBorders>
            <w:shd w:val="clear" w:color="auto" w:fill="auto"/>
          </w:tcPr>
          <w:p w14:paraId="68662C5B" w14:textId="77777777" w:rsidR="00524B77" w:rsidRPr="00DB707E" w:rsidRDefault="00524B77" w:rsidP="00430B21">
            <w:pPr>
              <w:pStyle w:val="TAC"/>
            </w:pPr>
          </w:p>
        </w:tc>
        <w:tc>
          <w:tcPr>
            <w:tcW w:w="1126" w:type="dxa"/>
            <w:tcBorders>
              <w:left w:val="single" w:sz="6" w:space="0" w:color="auto"/>
              <w:right w:val="single" w:sz="6" w:space="0" w:color="auto"/>
            </w:tcBorders>
            <w:shd w:val="clear" w:color="auto" w:fill="auto"/>
          </w:tcPr>
          <w:p w14:paraId="32C098E5" w14:textId="77777777" w:rsidR="00524B77" w:rsidRPr="00DB707E" w:rsidRDefault="00524B77" w:rsidP="00430B21">
            <w:pPr>
              <w:pStyle w:val="TAC"/>
            </w:pPr>
          </w:p>
        </w:tc>
        <w:tc>
          <w:tcPr>
            <w:tcW w:w="825" w:type="dxa"/>
            <w:tcBorders>
              <w:left w:val="single" w:sz="6" w:space="0" w:color="auto"/>
              <w:right w:val="single" w:sz="6" w:space="0" w:color="auto"/>
            </w:tcBorders>
            <w:shd w:val="clear" w:color="auto" w:fill="auto"/>
          </w:tcPr>
          <w:p w14:paraId="21B64A02" w14:textId="77777777" w:rsidR="00524B77" w:rsidRPr="00DB707E" w:rsidRDefault="00524B77" w:rsidP="00430B21">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6941E6C5" w14:textId="77777777" w:rsidR="00524B77" w:rsidRPr="00DB707E" w:rsidRDefault="00524B77" w:rsidP="00430B21">
            <w:pPr>
              <w:pStyle w:val="TAC"/>
            </w:pPr>
            <w:r w:rsidRPr="00DB707E">
              <w:t>NR_FDD_FR1_B</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203F0EAD" w14:textId="77777777" w:rsidR="00524B77" w:rsidRPr="00DB707E" w:rsidRDefault="00524B77" w:rsidP="00430B21">
            <w:pPr>
              <w:pStyle w:val="TAC"/>
            </w:pPr>
            <w:r w:rsidRPr="00DB707E">
              <w:t>-120.5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2E22C709" w14:textId="77777777" w:rsidR="00524B77" w:rsidRPr="00DB707E" w:rsidRDefault="00524B77" w:rsidP="00430B21">
            <w:pPr>
              <w:pStyle w:val="TAC"/>
              <w:rPr>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73A62FD"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5F438A8" w14:textId="77777777" w:rsidR="00524B77" w:rsidRPr="00DB707E" w:rsidRDefault="00524B77" w:rsidP="00430B21">
            <w:pPr>
              <w:pStyle w:val="TAC"/>
            </w:pPr>
            <w:r w:rsidRPr="00DB707E">
              <w:t>-70</w:t>
            </w:r>
          </w:p>
        </w:tc>
      </w:tr>
      <w:tr w:rsidR="00524B77" w:rsidRPr="00DB707E" w14:paraId="4732BBEA" w14:textId="77777777" w:rsidTr="00430B21">
        <w:trPr>
          <w:jc w:val="center"/>
        </w:trPr>
        <w:tc>
          <w:tcPr>
            <w:tcW w:w="1036" w:type="dxa"/>
            <w:tcBorders>
              <w:left w:val="single" w:sz="4" w:space="0" w:color="auto"/>
              <w:right w:val="single" w:sz="6" w:space="0" w:color="auto"/>
            </w:tcBorders>
            <w:shd w:val="clear" w:color="auto" w:fill="auto"/>
          </w:tcPr>
          <w:p w14:paraId="440228BF" w14:textId="77777777" w:rsidR="00524B77" w:rsidRPr="00DB707E" w:rsidRDefault="00524B77" w:rsidP="00430B21">
            <w:pPr>
              <w:pStyle w:val="TAC"/>
            </w:pPr>
          </w:p>
        </w:tc>
        <w:tc>
          <w:tcPr>
            <w:tcW w:w="1126" w:type="dxa"/>
            <w:tcBorders>
              <w:left w:val="single" w:sz="6" w:space="0" w:color="auto"/>
              <w:right w:val="single" w:sz="6" w:space="0" w:color="auto"/>
            </w:tcBorders>
            <w:shd w:val="clear" w:color="auto" w:fill="auto"/>
          </w:tcPr>
          <w:p w14:paraId="21E1FBFC" w14:textId="77777777" w:rsidR="00524B77" w:rsidRPr="00DB707E" w:rsidRDefault="00524B77" w:rsidP="00430B21">
            <w:pPr>
              <w:pStyle w:val="TAC"/>
            </w:pPr>
          </w:p>
        </w:tc>
        <w:tc>
          <w:tcPr>
            <w:tcW w:w="825" w:type="dxa"/>
            <w:tcBorders>
              <w:left w:val="single" w:sz="6" w:space="0" w:color="auto"/>
              <w:right w:val="single" w:sz="6" w:space="0" w:color="auto"/>
            </w:tcBorders>
            <w:shd w:val="clear" w:color="auto" w:fill="auto"/>
          </w:tcPr>
          <w:p w14:paraId="758CA8CB" w14:textId="77777777" w:rsidR="00524B77" w:rsidRPr="00DB707E" w:rsidRDefault="00524B77" w:rsidP="00430B21">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30346111" w14:textId="77777777" w:rsidR="00524B77" w:rsidRPr="00DB707E" w:rsidRDefault="00524B77" w:rsidP="00430B21">
            <w:pPr>
              <w:pStyle w:val="TAC"/>
            </w:pPr>
            <w:r w:rsidRPr="00DB707E">
              <w:t>NR_TDD_FR1_C</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647CA39D" w14:textId="77777777" w:rsidR="00524B77" w:rsidRPr="00DB707E" w:rsidRDefault="00524B77" w:rsidP="00430B21">
            <w:pPr>
              <w:pStyle w:val="TAC"/>
            </w:pPr>
            <w:r w:rsidRPr="00DB707E">
              <w:t>-120</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1C9DA118" w14:textId="77777777" w:rsidR="00524B77" w:rsidRPr="00DB707E" w:rsidRDefault="00524B77" w:rsidP="00430B21">
            <w:pPr>
              <w:pStyle w:val="TAC"/>
              <w:rPr>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639CE23"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2A60C4D" w14:textId="77777777" w:rsidR="00524B77" w:rsidRPr="00DB707E" w:rsidRDefault="00524B77" w:rsidP="00430B21">
            <w:pPr>
              <w:pStyle w:val="TAC"/>
            </w:pPr>
            <w:r w:rsidRPr="00DB707E">
              <w:t>-70</w:t>
            </w:r>
          </w:p>
        </w:tc>
      </w:tr>
      <w:tr w:rsidR="00524B77" w:rsidRPr="00DB707E" w14:paraId="01C6228F" w14:textId="77777777" w:rsidTr="00430B21">
        <w:trPr>
          <w:jc w:val="center"/>
        </w:trPr>
        <w:tc>
          <w:tcPr>
            <w:tcW w:w="1036" w:type="dxa"/>
            <w:tcBorders>
              <w:left w:val="single" w:sz="4" w:space="0" w:color="auto"/>
              <w:right w:val="single" w:sz="6" w:space="0" w:color="auto"/>
            </w:tcBorders>
            <w:shd w:val="clear" w:color="auto" w:fill="auto"/>
          </w:tcPr>
          <w:p w14:paraId="005FE6F7" w14:textId="77777777" w:rsidR="00524B77" w:rsidRPr="00DB707E" w:rsidRDefault="00524B77" w:rsidP="00430B21">
            <w:pPr>
              <w:pStyle w:val="TAC"/>
            </w:pPr>
            <w:r w:rsidRPr="00DB707E">
              <w:t>±8.0</w:t>
            </w:r>
          </w:p>
        </w:tc>
        <w:tc>
          <w:tcPr>
            <w:tcW w:w="1126" w:type="dxa"/>
            <w:tcBorders>
              <w:left w:val="single" w:sz="6" w:space="0" w:color="auto"/>
              <w:right w:val="single" w:sz="6" w:space="0" w:color="auto"/>
            </w:tcBorders>
            <w:shd w:val="clear" w:color="auto" w:fill="auto"/>
          </w:tcPr>
          <w:p w14:paraId="7A2C34DE" w14:textId="77777777" w:rsidR="00524B77" w:rsidRPr="00DB707E" w:rsidRDefault="00524B77" w:rsidP="00430B21">
            <w:pPr>
              <w:pStyle w:val="TAC"/>
            </w:pPr>
            <w:r w:rsidRPr="00DB707E">
              <w:t>±12.5</w:t>
            </w:r>
          </w:p>
        </w:tc>
        <w:tc>
          <w:tcPr>
            <w:tcW w:w="825" w:type="dxa"/>
            <w:tcBorders>
              <w:left w:val="single" w:sz="6" w:space="0" w:color="auto"/>
              <w:right w:val="single" w:sz="6" w:space="0" w:color="auto"/>
            </w:tcBorders>
            <w:shd w:val="clear" w:color="auto" w:fill="auto"/>
          </w:tcPr>
          <w:p w14:paraId="0CF53020" w14:textId="77777777" w:rsidR="00524B77" w:rsidRPr="00DB707E" w:rsidRDefault="00524B77" w:rsidP="00430B21">
            <w:pPr>
              <w:pStyle w:val="TAC"/>
            </w:pPr>
            <w:r w:rsidRPr="00DB707E">
              <w:sym w:font="Symbol" w:char="F0B3"/>
            </w:r>
            <w:r w:rsidRPr="00DB707E">
              <w:t>-3</w:t>
            </w: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3543E6B6" w14:textId="77777777" w:rsidR="00524B77" w:rsidRPr="00DB707E" w:rsidRDefault="00524B77" w:rsidP="00430B21">
            <w:pPr>
              <w:pStyle w:val="TAC"/>
              <w:rPr>
                <w:lang w:val="sv-SE"/>
              </w:rPr>
            </w:pPr>
            <w:r w:rsidRPr="00DB707E">
              <w:rPr>
                <w:lang w:val="sv-SE"/>
              </w:rPr>
              <w:t>NR_FDD_FR1_D, NR_TDD_FR1_D</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08F6989B" w14:textId="77777777" w:rsidR="00524B77" w:rsidRPr="00DB707E" w:rsidDel="00FA4A82" w:rsidRDefault="00524B77" w:rsidP="00430B21">
            <w:pPr>
              <w:pStyle w:val="TAC"/>
            </w:pPr>
            <w:r w:rsidRPr="00DB707E">
              <w:t>-119.5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77492688" w14:textId="77777777" w:rsidR="00524B77" w:rsidRPr="00DB707E" w:rsidDel="00FA4A82" w:rsidRDefault="00524B77" w:rsidP="00430B21">
            <w:pPr>
              <w:pStyle w:val="TAC"/>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C58206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BDFBF98" w14:textId="77777777" w:rsidR="00524B77" w:rsidRPr="00DB707E" w:rsidRDefault="00524B77" w:rsidP="00430B21">
            <w:pPr>
              <w:pStyle w:val="TAC"/>
            </w:pPr>
            <w:r w:rsidRPr="00DB707E">
              <w:t>-70</w:t>
            </w:r>
          </w:p>
        </w:tc>
      </w:tr>
      <w:tr w:rsidR="00524B77" w:rsidRPr="00DB707E" w14:paraId="7A2A8881" w14:textId="77777777" w:rsidTr="00430B21">
        <w:trPr>
          <w:jc w:val="center"/>
        </w:trPr>
        <w:tc>
          <w:tcPr>
            <w:tcW w:w="1036" w:type="dxa"/>
            <w:tcBorders>
              <w:left w:val="single" w:sz="4" w:space="0" w:color="auto"/>
              <w:right w:val="single" w:sz="6" w:space="0" w:color="auto"/>
            </w:tcBorders>
            <w:shd w:val="clear" w:color="auto" w:fill="auto"/>
          </w:tcPr>
          <w:p w14:paraId="292870A3" w14:textId="77777777" w:rsidR="00524B77" w:rsidRPr="00DB707E" w:rsidRDefault="00524B77" w:rsidP="00430B21">
            <w:pPr>
              <w:pStyle w:val="TAC"/>
            </w:pPr>
          </w:p>
        </w:tc>
        <w:tc>
          <w:tcPr>
            <w:tcW w:w="1126" w:type="dxa"/>
            <w:tcBorders>
              <w:left w:val="single" w:sz="6" w:space="0" w:color="auto"/>
              <w:right w:val="single" w:sz="6" w:space="0" w:color="auto"/>
            </w:tcBorders>
            <w:shd w:val="clear" w:color="auto" w:fill="auto"/>
          </w:tcPr>
          <w:p w14:paraId="0F75E8E6" w14:textId="77777777" w:rsidR="00524B77" w:rsidRPr="00DB707E" w:rsidRDefault="00524B77" w:rsidP="00430B21">
            <w:pPr>
              <w:pStyle w:val="TAC"/>
            </w:pPr>
          </w:p>
        </w:tc>
        <w:tc>
          <w:tcPr>
            <w:tcW w:w="825" w:type="dxa"/>
            <w:tcBorders>
              <w:left w:val="single" w:sz="6" w:space="0" w:color="auto"/>
              <w:right w:val="single" w:sz="6" w:space="0" w:color="auto"/>
            </w:tcBorders>
            <w:shd w:val="clear" w:color="auto" w:fill="auto"/>
          </w:tcPr>
          <w:p w14:paraId="39747534" w14:textId="77777777" w:rsidR="00524B77" w:rsidRPr="00DB707E" w:rsidRDefault="00524B77" w:rsidP="00430B21">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43C127D4" w14:textId="77777777" w:rsidR="00524B77" w:rsidRPr="00DB707E" w:rsidDel="00836998" w:rsidRDefault="00524B77" w:rsidP="00430B21">
            <w:pPr>
              <w:pStyle w:val="TAC"/>
              <w:rPr>
                <w:lang w:val="sv-SE"/>
              </w:rPr>
            </w:pPr>
            <w:r w:rsidRPr="00DB707E">
              <w:rPr>
                <w:lang w:val="sv-SE"/>
              </w:rPr>
              <w:t>NR_FDD_FR1_E, NR_TDD_FR1_E</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6421C4FC" w14:textId="77777777" w:rsidR="00524B77" w:rsidRPr="00DB707E" w:rsidRDefault="00524B77" w:rsidP="00430B21">
            <w:pPr>
              <w:pStyle w:val="TAC"/>
            </w:pPr>
            <w:r w:rsidRPr="00DB707E">
              <w:t>-119</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7E8ED0A2" w14:textId="77777777" w:rsidR="00524B77" w:rsidRPr="00DB707E" w:rsidRDefault="00524B77" w:rsidP="00430B21">
            <w:pPr>
              <w:pStyle w:val="TAC"/>
              <w:rPr>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7E6D5EE"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DA9E7B2" w14:textId="77777777" w:rsidR="00524B77" w:rsidRPr="00DB707E" w:rsidRDefault="00524B77" w:rsidP="00430B21">
            <w:pPr>
              <w:pStyle w:val="TAC"/>
            </w:pPr>
            <w:r w:rsidRPr="00DB707E">
              <w:t>-70</w:t>
            </w:r>
          </w:p>
        </w:tc>
      </w:tr>
      <w:tr w:rsidR="00524B77" w:rsidRPr="00DB707E" w14:paraId="2D2D7107" w14:textId="77777777" w:rsidTr="00430B21">
        <w:trPr>
          <w:jc w:val="center"/>
        </w:trPr>
        <w:tc>
          <w:tcPr>
            <w:tcW w:w="1036" w:type="dxa"/>
            <w:tcBorders>
              <w:left w:val="single" w:sz="4" w:space="0" w:color="auto"/>
              <w:right w:val="single" w:sz="6" w:space="0" w:color="auto"/>
            </w:tcBorders>
            <w:shd w:val="clear" w:color="auto" w:fill="auto"/>
          </w:tcPr>
          <w:p w14:paraId="4CC3ABFB" w14:textId="77777777" w:rsidR="00524B77" w:rsidRPr="00DB707E" w:rsidRDefault="00524B77" w:rsidP="00430B21">
            <w:pPr>
              <w:pStyle w:val="TAC"/>
            </w:pPr>
          </w:p>
        </w:tc>
        <w:tc>
          <w:tcPr>
            <w:tcW w:w="1126" w:type="dxa"/>
            <w:tcBorders>
              <w:left w:val="single" w:sz="6" w:space="0" w:color="auto"/>
              <w:right w:val="single" w:sz="6" w:space="0" w:color="auto"/>
            </w:tcBorders>
            <w:shd w:val="clear" w:color="auto" w:fill="auto"/>
          </w:tcPr>
          <w:p w14:paraId="09A9A46A" w14:textId="77777777" w:rsidR="00524B77" w:rsidRPr="00DB707E" w:rsidRDefault="00524B77" w:rsidP="00430B21">
            <w:pPr>
              <w:pStyle w:val="TAC"/>
            </w:pPr>
          </w:p>
        </w:tc>
        <w:tc>
          <w:tcPr>
            <w:tcW w:w="825" w:type="dxa"/>
            <w:tcBorders>
              <w:left w:val="single" w:sz="6" w:space="0" w:color="auto"/>
              <w:right w:val="single" w:sz="6" w:space="0" w:color="auto"/>
            </w:tcBorders>
            <w:shd w:val="clear" w:color="auto" w:fill="auto"/>
          </w:tcPr>
          <w:p w14:paraId="4C151D05" w14:textId="77777777" w:rsidR="00524B77" w:rsidRPr="00DB707E" w:rsidRDefault="00524B77" w:rsidP="00430B21">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61073097" w14:textId="77777777" w:rsidR="00524B77" w:rsidRPr="00DB707E" w:rsidRDefault="00524B77" w:rsidP="00430B21">
            <w:pPr>
              <w:pStyle w:val="TAC"/>
              <w:rPr>
                <w:lang w:val="sv-SE"/>
              </w:rPr>
            </w:pPr>
            <w:r w:rsidRPr="00DB707E">
              <w:rPr>
                <w:lang w:eastAsia="zh-CN"/>
              </w:rPr>
              <w:t>NR_FDD_FR1_F</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6BE000A5" w14:textId="77777777" w:rsidR="00524B77" w:rsidRPr="00DB707E" w:rsidRDefault="00524B77" w:rsidP="00430B21">
            <w:pPr>
              <w:pStyle w:val="TAC"/>
            </w:pPr>
            <w:r w:rsidRPr="00DB707E">
              <w:t>-118.5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0B85BA72" w14:textId="77777777" w:rsidR="00524B77" w:rsidRPr="00DB707E" w:rsidRDefault="00524B77" w:rsidP="00430B21">
            <w:pPr>
              <w:pStyle w:val="TAC"/>
            </w:pPr>
            <w:r w:rsidRPr="00DB707E">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44E6EA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FF88C5B" w14:textId="77777777" w:rsidR="00524B77" w:rsidRPr="00DB707E" w:rsidRDefault="00524B77" w:rsidP="00430B21">
            <w:pPr>
              <w:pStyle w:val="TAC"/>
            </w:pPr>
            <w:r w:rsidRPr="00DB707E">
              <w:t>-70</w:t>
            </w:r>
          </w:p>
        </w:tc>
      </w:tr>
      <w:tr w:rsidR="00524B77" w:rsidRPr="00DB707E" w14:paraId="114443BC" w14:textId="77777777" w:rsidTr="00430B21">
        <w:trPr>
          <w:jc w:val="center"/>
        </w:trPr>
        <w:tc>
          <w:tcPr>
            <w:tcW w:w="1036" w:type="dxa"/>
            <w:tcBorders>
              <w:left w:val="single" w:sz="4" w:space="0" w:color="auto"/>
              <w:right w:val="single" w:sz="6" w:space="0" w:color="auto"/>
            </w:tcBorders>
            <w:shd w:val="clear" w:color="auto" w:fill="auto"/>
          </w:tcPr>
          <w:p w14:paraId="4355D7A9" w14:textId="77777777" w:rsidR="00524B77" w:rsidRPr="00DB707E" w:rsidRDefault="00524B77" w:rsidP="00430B21">
            <w:pPr>
              <w:pStyle w:val="TAC"/>
            </w:pPr>
          </w:p>
        </w:tc>
        <w:tc>
          <w:tcPr>
            <w:tcW w:w="1126" w:type="dxa"/>
            <w:tcBorders>
              <w:left w:val="single" w:sz="6" w:space="0" w:color="auto"/>
              <w:right w:val="single" w:sz="6" w:space="0" w:color="auto"/>
            </w:tcBorders>
            <w:shd w:val="clear" w:color="auto" w:fill="auto"/>
          </w:tcPr>
          <w:p w14:paraId="4F3F3820" w14:textId="77777777" w:rsidR="00524B77" w:rsidRPr="00DB707E" w:rsidRDefault="00524B77" w:rsidP="00430B21">
            <w:pPr>
              <w:pStyle w:val="TAC"/>
            </w:pPr>
          </w:p>
        </w:tc>
        <w:tc>
          <w:tcPr>
            <w:tcW w:w="825" w:type="dxa"/>
            <w:tcBorders>
              <w:left w:val="single" w:sz="6" w:space="0" w:color="auto"/>
              <w:right w:val="single" w:sz="6" w:space="0" w:color="auto"/>
            </w:tcBorders>
            <w:shd w:val="clear" w:color="auto" w:fill="auto"/>
          </w:tcPr>
          <w:p w14:paraId="4758F346" w14:textId="77777777" w:rsidR="00524B77" w:rsidRPr="00DB707E" w:rsidRDefault="00524B77" w:rsidP="00430B21">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3A79A17E"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6735292D" w14:textId="77777777" w:rsidR="00524B77" w:rsidRPr="00DB707E" w:rsidRDefault="00524B77" w:rsidP="00430B21">
            <w:pPr>
              <w:pStyle w:val="TAC"/>
            </w:pPr>
            <w:r w:rsidRPr="00DB707E">
              <w:t>-118</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7D798B58" w14:textId="77777777" w:rsidR="00524B77" w:rsidRPr="00DB707E" w:rsidRDefault="00524B77" w:rsidP="00430B21">
            <w:pPr>
              <w:pStyle w:val="TAC"/>
              <w:rPr>
                <w:lang w:val="sv-SE"/>
              </w:rPr>
            </w:pPr>
            <w:r w:rsidRPr="00DB707E">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AE3B3AB"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C7074F9" w14:textId="77777777" w:rsidR="00524B77" w:rsidRPr="00DB707E" w:rsidRDefault="00524B77" w:rsidP="00430B21">
            <w:pPr>
              <w:pStyle w:val="TAC"/>
            </w:pPr>
            <w:r w:rsidRPr="00DB707E">
              <w:t>-70</w:t>
            </w:r>
          </w:p>
        </w:tc>
      </w:tr>
      <w:tr w:rsidR="00524B77" w:rsidRPr="00DB707E" w14:paraId="3FCC4D08" w14:textId="77777777" w:rsidTr="00430B21">
        <w:trPr>
          <w:jc w:val="center"/>
        </w:trPr>
        <w:tc>
          <w:tcPr>
            <w:tcW w:w="1036" w:type="dxa"/>
            <w:tcBorders>
              <w:left w:val="single" w:sz="4" w:space="0" w:color="auto"/>
              <w:right w:val="single" w:sz="6" w:space="0" w:color="auto"/>
            </w:tcBorders>
            <w:shd w:val="clear" w:color="auto" w:fill="auto"/>
          </w:tcPr>
          <w:p w14:paraId="02E73D85" w14:textId="77777777" w:rsidR="00524B77" w:rsidRPr="00DB707E" w:rsidRDefault="00524B77" w:rsidP="00430B21">
            <w:pPr>
              <w:pStyle w:val="TAC"/>
            </w:pPr>
          </w:p>
        </w:tc>
        <w:tc>
          <w:tcPr>
            <w:tcW w:w="1126" w:type="dxa"/>
            <w:tcBorders>
              <w:left w:val="single" w:sz="6" w:space="0" w:color="auto"/>
              <w:right w:val="single" w:sz="6" w:space="0" w:color="auto"/>
            </w:tcBorders>
            <w:shd w:val="clear" w:color="auto" w:fill="auto"/>
          </w:tcPr>
          <w:p w14:paraId="7C2FCFF5" w14:textId="77777777" w:rsidR="00524B77" w:rsidRPr="00DB707E" w:rsidRDefault="00524B77" w:rsidP="00430B21">
            <w:pPr>
              <w:pStyle w:val="TAC"/>
            </w:pPr>
          </w:p>
        </w:tc>
        <w:tc>
          <w:tcPr>
            <w:tcW w:w="825" w:type="dxa"/>
            <w:tcBorders>
              <w:left w:val="single" w:sz="6" w:space="0" w:color="auto"/>
              <w:right w:val="single" w:sz="6" w:space="0" w:color="auto"/>
            </w:tcBorders>
            <w:shd w:val="clear" w:color="auto" w:fill="auto"/>
          </w:tcPr>
          <w:p w14:paraId="5149F67F" w14:textId="77777777" w:rsidR="00524B77" w:rsidRPr="00DB707E" w:rsidRDefault="00524B77" w:rsidP="00430B21">
            <w:pPr>
              <w:pStyle w:val="TAC"/>
            </w:pP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1D8246B9"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982" w:type="dxa"/>
            <w:tcBorders>
              <w:top w:val="single" w:sz="6" w:space="0" w:color="auto"/>
              <w:left w:val="single" w:sz="4" w:space="0" w:color="auto"/>
              <w:bottom w:val="single" w:sz="6" w:space="0" w:color="auto"/>
              <w:right w:val="single" w:sz="6" w:space="0" w:color="auto"/>
            </w:tcBorders>
            <w:shd w:val="clear" w:color="auto" w:fill="auto"/>
          </w:tcPr>
          <w:p w14:paraId="29DFDFDB" w14:textId="77777777" w:rsidR="00524B77" w:rsidRPr="00DB707E" w:rsidRDefault="00524B77" w:rsidP="00430B21">
            <w:pPr>
              <w:pStyle w:val="TAC"/>
            </w:pPr>
            <w:r w:rsidRPr="00DB707E">
              <w:t>-117.5</w:t>
            </w:r>
          </w:p>
        </w:tc>
        <w:tc>
          <w:tcPr>
            <w:tcW w:w="1056" w:type="dxa"/>
            <w:tcBorders>
              <w:top w:val="single" w:sz="6" w:space="0" w:color="auto"/>
              <w:left w:val="single" w:sz="4" w:space="0" w:color="auto"/>
              <w:bottom w:val="single" w:sz="6" w:space="0" w:color="auto"/>
              <w:right w:val="single" w:sz="6" w:space="0" w:color="auto"/>
            </w:tcBorders>
            <w:shd w:val="clear" w:color="auto" w:fill="auto"/>
          </w:tcPr>
          <w:p w14:paraId="0C9B9453" w14:textId="77777777" w:rsidR="00524B77" w:rsidRPr="00DB707E" w:rsidRDefault="00524B77" w:rsidP="00430B21">
            <w:pPr>
              <w:pStyle w:val="TAC"/>
              <w:rPr>
                <w:lang w:val="sv-SE"/>
              </w:rPr>
            </w:pPr>
            <w:r w:rsidRPr="00DB707E">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795FDBB"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033D702" w14:textId="77777777" w:rsidR="00524B77" w:rsidRPr="00DB707E" w:rsidRDefault="00524B77" w:rsidP="00430B21">
            <w:pPr>
              <w:pStyle w:val="TAC"/>
            </w:pPr>
            <w:r w:rsidRPr="00DB707E">
              <w:t>-70</w:t>
            </w:r>
          </w:p>
        </w:tc>
      </w:tr>
      <w:tr w:rsidR="00524B77" w:rsidRPr="00DB707E" w14:paraId="546CF57E" w14:textId="77777777" w:rsidTr="00430B21">
        <w:trPr>
          <w:jc w:val="center"/>
        </w:trPr>
        <w:tc>
          <w:tcPr>
            <w:tcW w:w="1036" w:type="dxa"/>
            <w:tcBorders>
              <w:top w:val="single" w:sz="6" w:space="0" w:color="auto"/>
              <w:left w:val="single" w:sz="4" w:space="0" w:color="auto"/>
              <w:bottom w:val="single" w:sz="6" w:space="0" w:color="auto"/>
              <w:right w:val="single" w:sz="6" w:space="0" w:color="auto"/>
            </w:tcBorders>
            <w:shd w:val="clear" w:color="auto" w:fill="auto"/>
          </w:tcPr>
          <w:p w14:paraId="1BB3F590" w14:textId="77777777" w:rsidR="00524B77" w:rsidRPr="00DB707E" w:rsidRDefault="00524B77" w:rsidP="00430B21">
            <w:pPr>
              <w:pStyle w:val="TAC"/>
            </w:pPr>
            <w:r w:rsidRPr="00DB707E">
              <w:t>±11.5</w:t>
            </w:r>
          </w:p>
        </w:tc>
        <w:tc>
          <w:tcPr>
            <w:tcW w:w="1126" w:type="dxa"/>
            <w:tcBorders>
              <w:top w:val="single" w:sz="6" w:space="0" w:color="auto"/>
              <w:left w:val="single" w:sz="6" w:space="0" w:color="auto"/>
              <w:bottom w:val="single" w:sz="6" w:space="0" w:color="auto"/>
              <w:right w:val="single" w:sz="6" w:space="0" w:color="auto"/>
            </w:tcBorders>
            <w:shd w:val="clear" w:color="auto" w:fill="auto"/>
          </w:tcPr>
          <w:p w14:paraId="61E05DFE" w14:textId="77777777" w:rsidR="00524B77" w:rsidRPr="00DB707E" w:rsidRDefault="00524B77" w:rsidP="00430B21">
            <w:pPr>
              <w:pStyle w:val="TAC"/>
            </w:pPr>
            <w:r w:rsidRPr="00DB707E">
              <w:t>±14.5</w:t>
            </w:r>
          </w:p>
        </w:tc>
        <w:tc>
          <w:tcPr>
            <w:tcW w:w="825" w:type="dxa"/>
            <w:tcBorders>
              <w:top w:val="single" w:sz="6" w:space="0" w:color="auto"/>
              <w:left w:val="single" w:sz="6" w:space="0" w:color="auto"/>
              <w:bottom w:val="single" w:sz="6" w:space="0" w:color="auto"/>
              <w:right w:val="single" w:sz="6" w:space="0" w:color="auto"/>
            </w:tcBorders>
            <w:shd w:val="clear" w:color="auto" w:fill="auto"/>
          </w:tcPr>
          <w:p w14:paraId="7782BA74" w14:textId="77777777" w:rsidR="00524B77" w:rsidRPr="00DB707E" w:rsidRDefault="00524B77" w:rsidP="00430B21">
            <w:pPr>
              <w:pStyle w:val="TAC"/>
            </w:pPr>
            <w:r w:rsidRPr="00DB707E">
              <w:sym w:font="Symbol" w:char="F0B3"/>
            </w:r>
            <w:r w:rsidRPr="00DB707E">
              <w:t>-3</w:t>
            </w:r>
          </w:p>
        </w:tc>
        <w:tc>
          <w:tcPr>
            <w:tcW w:w="2267" w:type="dxa"/>
            <w:tcBorders>
              <w:top w:val="single" w:sz="6" w:space="0" w:color="auto"/>
              <w:left w:val="single" w:sz="6" w:space="0" w:color="auto"/>
              <w:bottom w:val="single" w:sz="6" w:space="0" w:color="auto"/>
              <w:right w:val="single" w:sz="4" w:space="0" w:color="auto"/>
            </w:tcBorders>
            <w:shd w:val="clear" w:color="auto" w:fill="auto"/>
          </w:tcPr>
          <w:p w14:paraId="6D37E488" w14:textId="77777777" w:rsidR="00524B77" w:rsidRPr="00DB707E" w:rsidRDefault="00524B77" w:rsidP="00430B21">
            <w:pPr>
              <w:pStyle w:val="TAC"/>
            </w:pPr>
            <w:r w:rsidRPr="00DB707E">
              <w:t>NR_FDD_FR1_A, NR_TDD_FR1_A, NR_SDL_FR1_A, NR_FDD_FR1_B, NR_TDD_FR1_C, NR_FDD_FR1_D, NR_TDD_FR1_D, NR_FDD_FR1_E, NR_TDD_FR1_E, NR_FDD_FR1_F, NR_FDD_FR1_G, NR_FDD_FR1_H,</w:t>
            </w:r>
          </w:p>
        </w:tc>
        <w:tc>
          <w:tcPr>
            <w:tcW w:w="982" w:type="dxa"/>
            <w:tcBorders>
              <w:top w:val="single" w:sz="6" w:space="0" w:color="auto"/>
              <w:left w:val="single" w:sz="4" w:space="0" w:color="auto"/>
              <w:bottom w:val="single" w:sz="4" w:space="0" w:color="auto"/>
              <w:right w:val="single" w:sz="6" w:space="0" w:color="auto"/>
            </w:tcBorders>
            <w:shd w:val="clear" w:color="auto" w:fill="auto"/>
          </w:tcPr>
          <w:p w14:paraId="144720EE" w14:textId="77777777" w:rsidR="00524B77" w:rsidRPr="00DB707E" w:rsidRDefault="00524B77" w:rsidP="00430B21">
            <w:pPr>
              <w:pStyle w:val="TAC"/>
            </w:pPr>
            <w:r w:rsidRPr="00DB707E">
              <w:t>N/A</w:t>
            </w:r>
          </w:p>
        </w:tc>
        <w:tc>
          <w:tcPr>
            <w:tcW w:w="1056" w:type="dxa"/>
            <w:tcBorders>
              <w:top w:val="single" w:sz="6" w:space="0" w:color="auto"/>
              <w:left w:val="single" w:sz="4" w:space="0" w:color="auto"/>
              <w:bottom w:val="single" w:sz="4" w:space="0" w:color="auto"/>
              <w:right w:val="single" w:sz="6" w:space="0" w:color="auto"/>
            </w:tcBorders>
            <w:shd w:val="clear" w:color="auto" w:fill="auto"/>
          </w:tcPr>
          <w:p w14:paraId="07C7171E" w14:textId="77777777" w:rsidR="00524B77" w:rsidRPr="00DB707E" w:rsidRDefault="00524B77" w:rsidP="00430B21">
            <w:pPr>
              <w:pStyle w:val="TAC"/>
              <w:rPr>
                <w:lang w:eastAsia="zh-CN"/>
              </w:rPr>
            </w:pPr>
            <w:r w:rsidRPr="00DB707E">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7BCE8667" w14:textId="77777777" w:rsidR="00524B77" w:rsidRPr="00DB707E" w:rsidRDefault="00524B77" w:rsidP="00430B21">
            <w:pPr>
              <w:pStyle w:val="TAC"/>
            </w:pPr>
            <w:r w:rsidRPr="00DB707E">
              <w:t>-70</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3D071993" w14:textId="77777777" w:rsidR="00524B77" w:rsidRPr="00DB707E" w:rsidRDefault="00524B77" w:rsidP="00430B21">
            <w:pPr>
              <w:pStyle w:val="TAC"/>
            </w:pPr>
            <w:r w:rsidRPr="00DB707E">
              <w:t>-50</w:t>
            </w:r>
          </w:p>
        </w:tc>
      </w:tr>
      <w:tr w:rsidR="00524B77" w:rsidRPr="00DB707E" w14:paraId="58CD58DB"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7312BB7C" w14:textId="77777777" w:rsidR="00524B77" w:rsidRPr="00DB707E" w:rsidRDefault="00524B77" w:rsidP="00430B21">
            <w:pPr>
              <w:pStyle w:val="TAN"/>
            </w:pPr>
            <w:r w:rsidRPr="00DB707E">
              <w:t>NOTE 1:</w:t>
            </w:r>
            <w:r w:rsidRPr="00DB707E">
              <w:tab/>
              <w:t>Io is assumed to have constant EPRE across the bandwidth.</w:t>
            </w:r>
          </w:p>
          <w:p w14:paraId="30AF86A6" w14:textId="77777777" w:rsidR="00524B77" w:rsidRPr="00DB707E" w:rsidRDefault="00524B77" w:rsidP="00430B21">
            <w:pPr>
              <w:pStyle w:val="TAN"/>
            </w:pPr>
            <w:r w:rsidRPr="00DB707E">
              <w:t>NOTE 2:</w:t>
            </w:r>
            <w:r w:rsidRPr="00DB707E">
              <w:tab/>
              <w:t>NR operating band groups in FR1 are as defined in clause 3.5.2.</w:t>
            </w:r>
          </w:p>
        </w:tc>
      </w:tr>
    </w:tbl>
    <w:p w14:paraId="58D6BF7F" w14:textId="77777777" w:rsidR="00524B77" w:rsidRPr="00DB707E" w:rsidRDefault="00524B77" w:rsidP="00524B77">
      <w:pPr>
        <w:rPr>
          <w:lang w:eastAsia="zh-CN"/>
        </w:rPr>
      </w:pPr>
    </w:p>
    <w:p w14:paraId="417D413B" w14:textId="77777777" w:rsidR="00524B77" w:rsidRPr="00DB707E" w:rsidRDefault="00524B77" w:rsidP="00524B77">
      <w:pPr>
        <w:pStyle w:val="Heading5"/>
      </w:pPr>
      <w:r w:rsidRPr="00DB707E">
        <w:t>10.1A.14.1.2</w:t>
      </w:r>
      <w:r w:rsidRPr="00DB707E">
        <w:tab/>
        <w:t>Relative Accuracy</w:t>
      </w:r>
    </w:p>
    <w:p w14:paraId="7D3C42F4" w14:textId="77777777" w:rsidR="00524B77" w:rsidRPr="00DB707E" w:rsidRDefault="00524B77" w:rsidP="00524B77">
      <w:pPr>
        <w:rPr>
          <w:rFonts w:cs="v4.2.0"/>
        </w:rPr>
      </w:pPr>
      <w:r w:rsidRPr="00DB707E">
        <w:rPr>
          <w:rFonts w:cs="v4.2.0"/>
        </w:rPr>
        <w:t xml:space="preserve">The accuracy requirements in clause </w:t>
      </w:r>
      <w:r w:rsidRPr="00DB707E">
        <w:t>10.1.19.1.2</w:t>
      </w:r>
      <w:r w:rsidRPr="00DB707E">
        <w:rPr>
          <w:rFonts w:cs="v4.2.0"/>
        </w:rPr>
        <w:t xml:space="preserve"> shall apply when RedCap UE is capable of 2Rx. When UE is only required to support 1RX, the absolute accuracy requirements in Table </w:t>
      </w:r>
      <w:r w:rsidRPr="00DB707E">
        <w:t>10.1A.14.1.2-1</w:t>
      </w:r>
      <w:r w:rsidRPr="00DB707E">
        <w:rPr>
          <w:rFonts w:cs="v4.2.0"/>
        </w:rPr>
        <w:t xml:space="preserve"> are valid under the following conditions:</w:t>
      </w:r>
    </w:p>
    <w:p w14:paraId="0BE198A2" w14:textId="77777777" w:rsidR="00524B77" w:rsidRPr="00DB707E" w:rsidRDefault="00524B77" w:rsidP="00524B77">
      <w:pPr>
        <w:pStyle w:val="B10"/>
        <w:rPr>
          <w:rFonts w:eastAsia="PMingLiU"/>
        </w:rPr>
      </w:pPr>
      <w:r w:rsidRPr="00DB707E">
        <w:t>-</w:t>
      </w:r>
      <w:r w:rsidRPr="00DB707E">
        <w:tab/>
        <w:t>Conditions defined in clause 7.3 of TS 38.101-1 [18] for reference sensitivity are fulfilled.</w:t>
      </w:r>
    </w:p>
    <w:p w14:paraId="68A93A6B" w14:textId="77777777" w:rsidR="00524B77" w:rsidRPr="00DB707E" w:rsidRDefault="00524B77" w:rsidP="00524B77">
      <w:pPr>
        <w:pStyle w:val="B10"/>
      </w:pPr>
      <w:r w:rsidRPr="00DB707E">
        <w:rPr>
          <w:rFonts w:eastAsia="PMingLiU"/>
        </w:rPr>
        <w:t>-</w:t>
      </w:r>
      <w:r w:rsidRPr="00DB707E">
        <w:rPr>
          <w:rFonts w:eastAsia="PMingLiU"/>
        </w:rPr>
        <w:tab/>
      </w:r>
      <w:r w:rsidRPr="00DB707E">
        <w:t xml:space="preserve">Conditions for L1-RSRP measurements are fulfilled according to Annex B.2.4.1 for a corresponding Band </w:t>
      </w:r>
      <w:r w:rsidRPr="00DB707E">
        <w:rPr>
          <w:rFonts w:eastAsia="PMingLiU"/>
        </w:rPr>
        <w:t>for each relevant SSB</w:t>
      </w:r>
      <w:r w:rsidRPr="00DB707E">
        <w:t>.</w:t>
      </w:r>
    </w:p>
    <w:p w14:paraId="3F330438" w14:textId="77777777" w:rsidR="00524B77" w:rsidRPr="00DB707E" w:rsidRDefault="00524B77" w:rsidP="00524B77">
      <w:pPr>
        <w:pStyle w:val="TH"/>
      </w:pPr>
      <w:r w:rsidRPr="00DB707E">
        <w:t>Table 10.1A.14.1.2-1: SSB based L1-RSRP relative accuracy for 1Rx RedCap UE in FR1</w:t>
      </w:r>
    </w:p>
    <w:tbl>
      <w:tblPr>
        <w:tblW w:w="10172" w:type="dxa"/>
        <w:jc w:val="center"/>
        <w:tblLook w:val="01E0" w:firstRow="1" w:lastRow="1" w:firstColumn="1" w:lastColumn="1" w:noHBand="0" w:noVBand="0"/>
      </w:tblPr>
      <w:tblGrid>
        <w:gridCol w:w="1033"/>
        <w:gridCol w:w="1049"/>
        <w:gridCol w:w="807"/>
        <w:gridCol w:w="2349"/>
        <w:gridCol w:w="1027"/>
        <w:gridCol w:w="1027"/>
        <w:gridCol w:w="1440"/>
        <w:gridCol w:w="1440"/>
      </w:tblGrid>
      <w:tr w:rsidR="00524B77" w:rsidRPr="00DB707E" w14:paraId="46110D21" w14:textId="77777777" w:rsidTr="00430B21">
        <w:trPr>
          <w:jc w:val="center"/>
        </w:trPr>
        <w:tc>
          <w:tcPr>
            <w:tcW w:w="2082"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2335C105" w14:textId="77777777" w:rsidR="00524B77" w:rsidRPr="00DB707E" w:rsidRDefault="00524B77" w:rsidP="00430B21">
            <w:pPr>
              <w:pStyle w:val="TAH"/>
            </w:pPr>
            <w:r w:rsidRPr="00DB707E">
              <w:t>Accuracy</w:t>
            </w:r>
          </w:p>
        </w:tc>
        <w:tc>
          <w:tcPr>
            <w:tcW w:w="8090" w:type="dxa"/>
            <w:gridSpan w:val="6"/>
            <w:tcBorders>
              <w:top w:val="single" w:sz="4" w:space="0" w:color="auto"/>
              <w:left w:val="single" w:sz="6" w:space="0" w:color="auto"/>
              <w:bottom w:val="single" w:sz="6" w:space="0" w:color="auto"/>
              <w:right w:val="single" w:sz="4" w:space="0" w:color="auto"/>
            </w:tcBorders>
            <w:shd w:val="clear" w:color="auto" w:fill="auto"/>
            <w:vAlign w:val="center"/>
          </w:tcPr>
          <w:p w14:paraId="603AAD23" w14:textId="77777777" w:rsidR="00524B77" w:rsidRPr="00DB707E" w:rsidRDefault="00524B77" w:rsidP="00430B21">
            <w:pPr>
              <w:pStyle w:val="TAH"/>
            </w:pPr>
            <w:r w:rsidRPr="00DB707E">
              <w:t>Conditions</w:t>
            </w:r>
          </w:p>
        </w:tc>
      </w:tr>
      <w:tr w:rsidR="00524B77" w:rsidRPr="00DB707E" w14:paraId="7BF40B1B" w14:textId="77777777" w:rsidTr="00430B21">
        <w:trPr>
          <w:jc w:val="center"/>
        </w:trPr>
        <w:tc>
          <w:tcPr>
            <w:tcW w:w="1033" w:type="dxa"/>
            <w:tcBorders>
              <w:top w:val="single" w:sz="6" w:space="0" w:color="auto"/>
              <w:left w:val="single" w:sz="4" w:space="0" w:color="auto"/>
              <w:right w:val="single" w:sz="6" w:space="0" w:color="auto"/>
            </w:tcBorders>
            <w:shd w:val="clear" w:color="auto" w:fill="auto"/>
            <w:vAlign w:val="center"/>
          </w:tcPr>
          <w:p w14:paraId="173176AB" w14:textId="77777777" w:rsidR="00524B77" w:rsidRPr="00DB707E" w:rsidRDefault="00524B77" w:rsidP="00430B21">
            <w:pPr>
              <w:pStyle w:val="TAH"/>
            </w:pPr>
            <w:r w:rsidRPr="00DB707E">
              <w:t>Normal condition</w:t>
            </w:r>
          </w:p>
        </w:tc>
        <w:tc>
          <w:tcPr>
            <w:tcW w:w="1049" w:type="dxa"/>
            <w:tcBorders>
              <w:top w:val="single" w:sz="6" w:space="0" w:color="auto"/>
              <w:left w:val="single" w:sz="6" w:space="0" w:color="auto"/>
              <w:right w:val="single" w:sz="6" w:space="0" w:color="auto"/>
            </w:tcBorders>
            <w:shd w:val="clear" w:color="auto" w:fill="auto"/>
            <w:vAlign w:val="center"/>
          </w:tcPr>
          <w:p w14:paraId="5FA24321" w14:textId="77777777" w:rsidR="00524B77" w:rsidRPr="00DB707E" w:rsidRDefault="00524B77" w:rsidP="00430B21">
            <w:pPr>
              <w:pStyle w:val="TAH"/>
            </w:pPr>
            <w:r w:rsidRPr="00DB707E">
              <w:t>Extreme condition</w:t>
            </w:r>
          </w:p>
        </w:tc>
        <w:tc>
          <w:tcPr>
            <w:tcW w:w="807" w:type="dxa"/>
            <w:tcBorders>
              <w:top w:val="single" w:sz="6" w:space="0" w:color="auto"/>
              <w:left w:val="single" w:sz="6" w:space="0" w:color="auto"/>
              <w:right w:val="single" w:sz="6" w:space="0" w:color="auto"/>
            </w:tcBorders>
            <w:shd w:val="clear" w:color="auto" w:fill="auto"/>
            <w:vAlign w:val="center"/>
          </w:tcPr>
          <w:p w14:paraId="6EF62DFD" w14:textId="77777777" w:rsidR="00524B77" w:rsidRPr="00DB707E" w:rsidRDefault="00524B77" w:rsidP="00430B21">
            <w:pPr>
              <w:pStyle w:val="TAH"/>
            </w:pPr>
            <w:r w:rsidRPr="00DB707E">
              <w:t>SSB Ês/Iot</w:t>
            </w:r>
            <w:r w:rsidRPr="00DB707E">
              <w:rPr>
                <w:vertAlign w:val="superscript"/>
              </w:rPr>
              <w:t xml:space="preserve"> Note 2</w:t>
            </w:r>
          </w:p>
        </w:tc>
        <w:tc>
          <w:tcPr>
            <w:tcW w:w="7283" w:type="dxa"/>
            <w:gridSpan w:val="5"/>
            <w:tcBorders>
              <w:top w:val="single" w:sz="6" w:space="0" w:color="auto"/>
              <w:left w:val="single" w:sz="6" w:space="0" w:color="auto"/>
              <w:bottom w:val="single" w:sz="6" w:space="0" w:color="auto"/>
              <w:right w:val="single" w:sz="4" w:space="0" w:color="auto"/>
            </w:tcBorders>
            <w:shd w:val="clear" w:color="auto" w:fill="auto"/>
            <w:vAlign w:val="center"/>
          </w:tcPr>
          <w:p w14:paraId="754F3D6A" w14:textId="77777777" w:rsidR="00524B77" w:rsidRPr="00DB707E" w:rsidRDefault="00524B77" w:rsidP="00430B21">
            <w:pPr>
              <w:pStyle w:val="TAH"/>
            </w:pPr>
            <w:r w:rsidRPr="00DB707E">
              <w:t>Io</w:t>
            </w:r>
            <w:r w:rsidRPr="00DB707E">
              <w:rPr>
                <w:vertAlign w:val="superscript"/>
              </w:rPr>
              <w:t xml:space="preserve"> Note 1</w:t>
            </w:r>
            <w:r w:rsidRPr="00DB707E">
              <w:t xml:space="preserve"> range</w:t>
            </w:r>
          </w:p>
        </w:tc>
      </w:tr>
      <w:tr w:rsidR="00524B77" w:rsidRPr="00DB707E" w14:paraId="2ED652E7" w14:textId="77777777" w:rsidTr="00430B21">
        <w:trPr>
          <w:jc w:val="center"/>
        </w:trPr>
        <w:tc>
          <w:tcPr>
            <w:tcW w:w="1033" w:type="dxa"/>
            <w:tcBorders>
              <w:left w:val="single" w:sz="4" w:space="0" w:color="auto"/>
              <w:bottom w:val="single" w:sz="6" w:space="0" w:color="auto"/>
              <w:right w:val="single" w:sz="6" w:space="0" w:color="auto"/>
            </w:tcBorders>
            <w:shd w:val="clear" w:color="auto" w:fill="auto"/>
            <w:vAlign w:val="center"/>
          </w:tcPr>
          <w:p w14:paraId="5C5B17E6" w14:textId="77777777" w:rsidR="00524B77" w:rsidRPr="00DB707E" w:rsidRDefault="00524B77" w:rsidP="00430B2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2DB0AD98" w14:textId="77777777" w:rsidR="00524B77" w:rsidRPr="00DB707E" w:rsidRDefault="00524B77" w:rsidP="00430B21">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6E006E4B" w14:textId="77777777" w:rsidR="00524B77" w:rsidRPr="00DB707E" w:rsidRDefault="00524B77" w:rsidP="00430B21">
            <w:pPr>
              <w:pStyle w:val="TAH"/>
            </w:pPr>
          </w:p>
        </w:tc>
        <w:tc>
          <w:tcPr>
            <w:tcW w:w="2349" w:type="dxa"/>
            <w:tcBorders>
              <w:top w:val="single" w:sz="6" w:space="0" w:color="auto"/>
              <w:left w:val="single" w:sz="6" w:space="0" w:color="auto"/>
              <w:bottom w:val="single" w:sz="6" w:space="0" w:color="auto"/>
              <w:right w:val="single" w:sz="4" w:space="0" w:color="auto"/>
            </w:tcBorders>
            <w:shd w:val="clear" w:color="auto" w:fill="auto"/>
            <w:vAlign w:val="center"/>
          </w:tcPr>
          <w:p w14:paraId="2194176D" w14:textId="77777777" w:rsidR="00524B77" w:rsidRPr="00DB707E" w:rsidRDefault="00524B77" w:rsidP="00430B21">
            <w:pPr>
              <w:pStyle w:val="TAH"/>
            </w:pPr>
            <w:r w:rsidRPr="00DB707E">
              <w:t>NR operating band groups</w:t>
            </w:r>
            <w:r w:rsidRPr="00DB707E">
              <w:rPr>
                <w:vertAlign w:val="superscript"/>
              </w:rPr>
              <w:t xml:space="preserve"> Note 4</w:t>
            </w:r>
          </w:p>
        </w:tc>
        <w:tc>
          <w:tcPr>
            <w:tcW w:w="3494" w:type="dxa"/>
            <w:gridSpan w:val="3"/>
            <w:tcBorders>
              <w:top w:val="single" w:sz="4" w:space="0" w:color="auto"/>
              <w:left w:val="single" w:sz="4" w:space="0" w:color="auto"/>
              <w:bottom w:val="single" w:sz="6" w:space="0" w:color="auto"/>
              <w:right w:val="single" w:sz="6" w:space="0" w:color="auto"/>
            </w:tcBorders>
            <w:shd w:val="clear" w:color="auto" w:fill="auto"/>
            <w:vAlign w:val="center"/>
          </w:tcPr>
          <w:p w14:paraId="495384E4"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241E05EE" w14:textId="77777777" w:rsidR="00524B77" w:rsidRPr="00DB707E" w:rsidRDefault="00524B77" w:rsidP="00430B21">
            <w:pPr>
              <w:pStyle w:val="TAH"/>
            </w:pPr>
            <w:r w:rsidRPr="00DB707E">
              <w:t>Maximum Io</w:t>
            </w:r>
          </w:p>
        </w:tc>
      </w:tr>
      <w:tr w:rsidR="00524B77" w:rsidRPr="00DB707E" w14:paraId="725DEB39" w14:textId="77777777" w:rsidTr="00430B21">
        <w:trPr>
          <w:trHeight w:val="308"/>
          <w:jc w:val="center"/>
        </w:trPr>
        <w:tc>
          <w:tcPr>
            <w:tcW w:w="1033" w:type="dxa"/>
            <w:tcBorders>
              <w:top w:val="single" w:sz="6" w:space="0" w:color="auto"/>
              <w:left w:val="single" w:sz="4" w:space="0" w:color="auto"/>
              <w:right w:val="single" w:sz="6" w:space="0" w:color="auto"/>
            </w:tcBorders>
            <w:shd w:val="clear" w:color="auto" w:fill="auto"/>
            <w:vAlign w:val="center"/>
          </w:tcPr>
          <w:p w14:paraId="6F3740C8" w14:textId="77777777" w:rsidR="00524B77" w:rsidRPr="00DB707E" w:rsidRDefault="00524B77" w:rsidP="00430B21">
            <w:pPr>
              <w:pStyle w:val="TAH"/>
            </w:pPr>
            <w:r w:rsidRPr="00DB707E">
              <w:t>dB</w:t>
            </w:r>
          </w:p>
        </w:tc>
        <w:tc>
          <w:tcPr>
            <w:tcW w:w="1049" w:type="dxa"/>
            <w:tcBorders>
              <w:top w:val="single" w:sz="6" w:space="0" w:color="auto"/>
              <w:left w:val="single" w:sz="6" w:space="0" w:color="auto"/>
              <w:right w:val="single" w:sz="6" w:space="0" w:color="auto"/>
            </w:tcBorders>
            <w:shd w:val="clear" w:color="auto" w:fill="auto"/>
            <w:vAlign w:val="center"/>
          </w:tcPr>
          <w:p w14:paraId="35BD22D5" w14:textId="77777777" w:rsidR="00524B77" w:rsidRPr="00DB707E" w:rsidRDefault="00524B77" w:rsidP="00430B21">
            <w:pPr>
              <w:pStyle w:val="TAH"/>
            </w:pPr>
            <w:r w:rsidRPr="00DB707E">
              <w:t>dB</w:t>
            </w:r>
          </w:p>
        </w:tc>
        <w:tc>
          <w:tcPr>
            <w:tcW w:w="807" w:type="dxa"/>
            <w:tcBorders>
              <w:top w:val="single" w:sz="6" w:space="0" w:color="auto"/>
              <w:left w:val="single" w:sz="6" w:space="0" w:color="auto"/>
              <w:right w:val="single" w:sz="6" w:space="0" w:color="auto"/>
            </w:tcBorders>
            <w:shd w:val="clear" w:color="auto" w:fill="auto"/>
            <w:vAlign w:val="center"/>
          </w:tcPr>
          <w:p w14:paraId="33EE07B1" w14:textId="77777777" w:rsidR="00524B77" w:rsidRPr="00DB707E" w:rsidRDefault="00524B77" w:rsidP="00430B21">
            <w:pPr>
              <w:pStyle w:val="TAH"/>
            </w:pPr>
            <w:r w:rsidRPr="00DB707E">
              <w:t>dB</w:t>
            </w:r>
          </w:p>
        </w:tc>
        <w:tc>
          <w:tcPr>
            <w:tcW w:w="2349" w:type="dxa"/>
            <w:tcBorders>
              <w:top w:val="single" w:sz="6" w:space="0" w:color="auto"/>
              <w:left w:val="single" w:sz="6" w:space="0" w:color="auto"/>
              <w:right w:val="single" w:sz="4" w:space="0" w:color="auto"/>
            </w:tcBorders>
            <w:shd w:val="clear" w:color="auto" w:fill="auto"/>
            <w:vAlign w:val="center"/>
          </w:tcPr>
          <w:p w14:paraId="4DA9E1A0" w14:textId="77777777" w:rsidR="00524B77" w:rsidRPr="00DB707E" w:rsidRDefault="00524B77" w:rsidP="00430B21">
            <w:pPr>
              <w:pStyle w:val="TAH"/>
            </w:pPr>
          </w:p>
        </w:tc>
        <w:tc>
          <w:tcPr>
            <w:tcW w:w="2054" w:type="dxa"/>
            <w:gridSpan w:val="2"/>
            <w:tcBorders>
              <w:top w:val="single" w:sz="6" w:space="0" w:color="auto"/>
              <w:left w:val="single" w:sz="4" w:space="0" w:color="auto"/>
              <w:bottom w:val="single" w:sz="6" w:space="0" w:color="auto"/>
              <w:right w:val="single" w:sz="6" w:space="0" w:color="auto"/>
            </w:tcBorders>
            <w:shd w:val="clear" w:color="auto" w:fill="auto"/>
            <w:vAlign w:val="center"/>
          </w:tcPr>
          <w:p w14:paraId="0941862E" w14:textId="77777777" w:rsidR="00524B77" w:rsidRPr="00DB707E" w:rsidRDefault="00524B77" w:rsidP="00430B21">
            <w:pPr>
              <w:pStyle w:val="TAH"/>
            </w:pPr>
            <w:r w:rsidRPr="00DB707E">
              <w:rPr>
                <w:rFonts w:cs="Arial"/>
              </w:rPr>
              <w:t xml:space="preserve">dBm / </w:t>
            </w:r>
            <w:r w:rsidRPr="00DB707E">
              <w:t>SCS</w:t>
            </w:r>
            <w:r w:rsidRPr="00DB707E">
              <w:rPr>
                <w:vertAlign w:val="subscript"/>
              </w:rPr>
              <w:t>SSB</w:t>
            </w:r>
          </w:p>
        </w:tc>
        <w:tc>
          <w:tcPr>
            <w:tcW w:w="1440" w:type="dxa"/>
            <w:tcBorders>
              <w:top w:val="single" w:sz="6" w:space="0" w:color="auto"/>
              <w:left w:val="single" w:sz="6" w:space="0" w:color="auto"/>
              <w:right w:val="single" w:sz="6" w:space="0" w:color="auto"/>
            </w:tcBorders>
            <w:shd w:val="clear" w:color="auto" w:fill="auto"/>
            <w:vAlign w:val="center"/>
          </w:tcPr>
          <w:p w14:paraId="31C53807"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7603298D" w14:textId="77777777" w:rsidR="00524B77" w:rsidRPr="00DB707E" w:rsidRDefault="00524B77" w:rsidP="00430B21">
            <w:pPr>
              <w:pStyle w:val="TAH"/>
            </w:pPr>
            <w:r w:rsidRPr="00DB707E">
              <w:t>dBm/BW</w:t>
            </w:r>
            <w:r w:rsidRPr="00DB707E">
              <w:rPr>
                <w:vertAlign w:val="subscript"/>
              </w:rPr>
              <w:t>Channel</w:t>
            </w:r>
          </w:p>
        </w:tc>
      </w:tr>
      <w:tr w:rsidR="00524B77" w:rsidRPr="00DB707E" w14:paraId="29B1ABFE" w14:textId="77777777" w:rsidTr="00430B21">
        <w:trPr>
          <w:trHeight w:val="307"/>
          <w:jc w:val="center"/>
        </w:trPr>
        <w:tc>
          <w:tcPr>
            <w:tcW w:w="1033" w:type="dxa"/>
            <w:tcBorders>
              <w:left w:val="single" w:sz="4" w:space="0" w:color="auto"/>
              <w:bottom w:val="single" w:sz="6" w:space="0" w:color="auto"/>
              <w:right w:val="single" w:sz="6" w:space="0" w:color="auto"/>
            </w:tcBorders>
            <w:shd w:val="clear" w:color="auto" w:fill="auto"/>
            <w:vAlign w:val="center"/>
          </w:tcPr>
          <w:p w14:paraId="1815E438" w14:textId="77777777" w:rsidR="00524B77" w:rsidRPr="00DB707E" w:rsidRDefault="00524B77" w:rsidP="00430B21">
            <w:pPr>
              <w:pStyle w:val="TAH"/>
            </w:pPr>
          </w:p>
        </w:tc>
        <w:tc>
          <w:tcPr>
            <w:tcW w:w="1049" w:type="dxa"/>
            <w:tcBorders>
              <w:left w:val="single" w:sz="6" w:space="0" w:color="auto"/>
              <w:bottom w:val="single" w:sz="6" w:space="0" w:color="auto"/>
              <w:right w:val="single" w:sz="6" w:space="0" w:color="auto"/>
            </w:tcBorders>
            <w:shd w:val="clear" w:color="auto" w:fill="auto"/>
            <w:vAlign w:val="center"/>
          </w:tcPr>
          <w:p w14:paraId="1AE0EB39" w14:textId="77777777" w:rsidR="00524B77" w:rsidRPr="00DB707E" w:rsidRDefault="00524B77" w:rsidP="00430B21">
            <w:pPr>
              <w:pStyle w:val="TAH"/>
            </w:pPr>
          </w:p>
        </w:tc>
        <w:tc>
          <w:tcPr>
            <w:tcW w:w="807" w:type="dxa"/>
            <w:tcBorders>
              <w:left w:val="single" w:sz="6" w:space="0" w:color="auto"/>
              <w:bottom w:val="single" w:sz="6" w:space="0" w:color="auto"/>
              <w:right w:val="single" w:sz="6" w:space="0" w:color="auto"/>
            </w:tcBorders>
            <w:shd w:val="clear" w:color="auto" w:fill="auto"/>
            <w:vAlign w:val="center"/>
          </w:tcPr>
          <w:p w14:paraId="41ACA9FF" w14:textId="77777777" w:rsidR="00524B77" w:rsidRPr="00DB707E" w:rsidRDefault="00524B77" w:rsidP="00430B21">
            <w:pPr>
              <w:pStyle w:val="TAH"/>
            </w:pPr>
          </w:p>
        </w:tc>
        <w:tc>
          <w:tcPr>
            <w:tcW w:w="2349" w:type="dxa"/>
            <w:tcBorders>
              <w:left w:val="single" w:sz="6" w:space="0" w:color="auto"/>
              <w:bottom w:val="single" w:sz="6" w:space="0" w:color="auto"/>
              <w:right w:val="single" w:sz="4" w:space="0" w:color="auto"/>
            </w:tcBorders>
            <w:shd w:val="clear" w:color="auto" w:fill="auto"/>
            <w:vAlign w:val="center"/>
          </w:tcPr>
          <w:p w14:paraId="18026FA2" w14:textId="77777777" w:rsidR="00524B77" w:rsidRPr="00DB707E" w:rsidRDefault="00524B77" w:rsidP="00430B21">
            <w:pPr>
              <w:pStyle w:val="TAH"/>
            </w:pP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30816515"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15 kHz</w:t>
            </w:r>
          </w:p>
        </w:tc>
        <w:tc>
          <w:tcPr>
            <w:tcW w:w="1027" w:type="dxa"/>
            <w:tcBorders>
              <w:top w:val="single" w:sz="6" w:space="0" w:color="auto"/>
              <w:left w:val="single" w:sz="4" w:space="0" w:color="auto"/>
              <w:bottom w:val="single" w:sz="6" w:space="0" w:color="auto"/>
              <w:right w:val="single" w:sz="6" w:space="0" w:color="auto"/>
            </w:tcBorders>
            <w:shd w:val="clear" w:color="auto" w:fill="auto"/>
            <w:vAlign w:val="center"/>
          </w:tcPr>
          <w:p w14:paraId="6F0F9830" w14:textId="77777777" w:rsidR="00524B77" w:rsidRPr="00DB707E" w:rsidRDefault="00524B77" w:rsidP="00430B21">
            <w:pPr>
              <w:pStyle w:val="TAH"/>
              <w:rPr>
                <w:rFonts w:cs="Arial"/>
              </w:rPr>
            </w:pPr>
            <w:r w:rsidRPr="00DB707E">
              <w:t>SCS</w:t>
            </w:r>
            <w:r w:rsidRPr="00DB707E">
              <w:rPr>
                <w:vertAlign w:val="subscript"/>
              </w:rPr>
              <w:t>SSB</w:t>
            </w:r>
            <w:r w:rsidRPr="00DB707E">
              <w:rPr>
                <w:rFonts w:cs="Arial"/>
              </w:rPr>
              <w:t xml:space="preserve"> = 30 kHz</w:t>
            </w:r>
          </w:p>
        </w:tc>
        <w:tc>
          <w:tcPr>
            <w:tcW w:w="1440" w:type="dxa"/>
            <w:tcBorders>
              <w:left w:val="single" w:sz="6" w:space="0" w:color="auto"/>
              <w:bottom w:val="single" w:sz="6" w:space="0" w:color="auto"/>
              <w:right w:val="single" w:sz="6" w:space="0" w:color="auto"/>
            </w:tcBorders>
            <w:shd w:val="clear" w:color="auto" w:fill="auto"/>
            <w:vAlign w:val="center"/>
          </w:tcPr>
          <w:p w14:paraId="444E672B"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0ED8AEAC" w14:textId="77777777" w:rsidR="00524B77" w:rsidRPr="00DB707E" w:rsidRDefault="00524B77" w:rsidP="00430B21">
            <w:pPr>
              <w:pStyle w:val="TAH"/>
            </w:pPr>
          </w:p>
        </w:tc>
      </w:tr>
      <w:tr w:rsidR="00524B77" w:rsidRPr="00DB707E" w14:paraId="299BC7B0" w14:textId="77777777" w:rsidTr="00430B21">
        <w:trPr>
          <w:jc w:val="center"/>
        </w:trPr>
        <w:tc>
          <w:tcPr>
            <w:tcW w:w="1033" w:type="dxa"/>
            <w:tcBorders>
              <w:top w:val="single" w:sz="6" w:space="0" w:color="auto"/>
              <w:left w:val="single" w:sz="4" w:space="0" w:color="auto"/>
              <w:right w:val="single" w:sz="6" w:space="0" w:color="auto"/>
            </w:tcBorders>
            <w:shd w:val="clear" w:color="auto" w:fill="auto"/>
          </w:tcPr>
          <w:p w14:paraId="201FE8E5" w14:textId="77777777" w:rsidR="00524B77" w:rsidRPr="00DB707E" w:rsidRDefault="00524B77" w:rsidP="00430B21">
            <w:pPr>
              <w:pStyle w:val="TAC"/>
            </w:pPr>
          </w:p>
        </w:tc>
        <w:tc>
          <w:tcPr>
            <w:tcW w:w="1049" w:type="dxa"/>
            <w:tcBorders>
              <w:top w:val="single" w:sz="6" w:space="0" w:color="auto"/>
              <w:left w:val="single" w:sz="6" w:space="0" w:color="auto"/>
              <w:right w:val="single" w:sz="6" w:space="0" w:color="auto"/>
            </w:tcBorders>
            <w:shd w:val="clear" w:color="auto" w:fill="auto"/>
          </w:tcPr>
          <w:p w14:paraId="033666D2" w14:textId="77777777" w:rsidR="00524B77" w:rsidRPr="00DB707E" w:rsidRDefault="00524B77" w:rsidP="00430B21">
            <w:pPr>
              <w:pStyle w:val="TAC"/>
            </w:pPr>
          </w:p>
        </w:tc>
        <w:tc>
          <w:tcPr>
            <w:tcW w:w="807" w:type="dxa"/>
            <w:tcBorders>
              <w:top w:val="single" w:sz="6" w:space="0" w:color="auto"/>
              <w:left w:val="single" w:sz="6" w:space="0" w:color="auto"/>
              <w:right w:val="single" w:sz="6" w:space="0" w:color="auto"/>
            </w:tcBorders>
            <w:shd w:val="clear" w:color="auto" w:fill="auto"/>
          </w:tcPr>
          <w:p w14:paraId="591340A8"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52A459FA" w14:textId="77777777" w:rsidR="00524B77" w:rsidRPr="00DB707E" w:rsidRDefault="00524B77" w:rsidP="00430B21">
            <w:pPr>
              <w:pStyle w:val="TAC"/>
            </w:pPr>
            <w:r w:rsidRPr="00DB707E">
              <w:t>NR_FDD_FR1_A, NR_TDD_FR1_A,</w:t>
            </w:r>
          </w:p>
          <w:p w14:paraId="061CC0B6" w14:textId="77777777" w:rsidR="00524B77" w:rsidRPr="00DB707E" w:rsidRDefault="00524B77" w:rsidP="00430B21">
            <w:pPr>
              <w:pStyle w:val="TAC"/>
            </w:pPr>
            <w:r w:rsidRPr="00DB707E">
              <w:t>NR_SDL_FR1_A</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819C762" w14:textId="77777777" w:rsidR="00524B77" w:rsidRPr="00DB707E" w:rsidRDefault="00524B77" w:rsidP="00430B21">
            <w:pPr>
              <w:pStyle w:val="TAC"/>
            </w:pPr>
            <w:r w:rsidRPr="00DB707E">
              <w:t>-121</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002B619" w14:textId="77777777" w:rsidR="00524B77" w:rsidRPr="00DB707E" w:rsidRDefault="00524B77" w:rsidP="00430B21">
            <w:pPr>
              <w:pStyle w:val="TAC"/>
            </w:pPr>
            <w:r w:rsidRPr="00DB707E">
              <w:t>-118</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3109919"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ECE40E0" w14:textId="77777777" w:rsidR="00524B77" w:rsidRPr="00DB707E" w:rsidRDefault="00524B77" w:rsidP="00430B21">
            <w:pPr>
              <w:pStyle w:val="TAC"/>
            </w:pPr>
            <w:r w:rsidRPr="00DB707E">
              <w:t>-50</w:t>
            </w:r>
          </w:p>
        </w:tc>
      </w:tr>
      <w:tr w:rsidR="00524B77" w:rsidRPr="00DB707E" w14:paraId="2E1C937C" w14:textId="77777777" w:rsidTr="00430B21">
        <w:trPr>
          <w:jc w:val="center"/>
        </w:trPr>
        <w:tc>
          <w:tcPr>
            <w:tcW w:w="1033" w:type="dxa"/>
            <w:tcBorders>
              <w:left w:val="single" w:sz="4" w:space="0" w:color="auto"/>
              <w:right w:val="single" w:sz="6" w:space="0" w:color="auto"/>
            </w:tcBorders>
            <w:shd w:val="clear" w:color="auto" w:fill="auto"/>
          </w:tcPr>
          <w:p w14:paraId="58487D82"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7003C482"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5B9698B9"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3B6DE7D2" w14:textId="77777777" w:rsidR="00524B77" w:rsidRPr="00DB707E" w:rsidRDefault="00524B77" w:rsidP="00430B21">
            <w:pPr>
              <w:pStyle w:val="TAC"/>
            </w:pPr>
            <w:r w:rsidRPr="00DB707E">
              <w:t>NR_FDD_FR1_B</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2632B60" w14:textId="77777777" w:rsidR="00524B77" w:rsidRPr="00DB707E" w:rsidRDefault="00524B77" w:rsidP="00430B21">
            <w:pPr>
              <w:pStyle w:val="TAC"/>
            </w:pPr>
            <w:r w:rsidRPr="00DB707E">
              <w:t>-120.5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183AB50" w14:textId="77777777" w:rsidR="00524B77" w:rsidRPr="00DB707E" w:rsidRDefault="00524B77" w:rsidP="00430B21">
            <w:pPr>
              <w:pStyle w:val="TAC"/>
              <w:rPr>
                <w:lang w:val="sv-SE"/>
              </w:rPr>
            </w:pPr>
            <w:r w:rsidRPr="00DB707E">
              <w:t>-117.5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34FE0B4"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A6C0C31" w14:textId="77777777" w:rsidR="00524B77" w:rsidRPr="00DB707E" w:rsidRDefault="00524B77" w:rsidP="00430B21">
            <w:pPr>
              <w:pStyle w:val="TAC"/>
            </w:pPr>
            <w:r w:rsidRPr="00DB707E">
              <w:t>-50</w:t>
            </w:r>
          </w:p>
        </w:tc>
      </w:tr>
      <w:tr w:rsidR="00524B77" w:rsidRPr="00DB707E" w14:paraId="6ECE0234" w14:textId="77777777" w:rsidTr="00430B21">
        <w:trPr>
          <w:jc w:val="center"/>
        </w:trPr>
        <w:tc>
          <w:tcPr>
            <w:tcW w:w="1033" w:type="dxa"/>
            <w:tcBorders>
              <w:left w:val="single" w:sz="4" w:space="0" w:color="auto"/>
              <w:right w:val="single" w:sz="6" w:space="0" w:color="auto"/>
            </w:tcBorders>
            <w:shd w:val="clear" w:color="auto" w:fill="auto"/>
          </w:tcPr>
          <w:p w14:paraId="1952D42A"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19A21A1D"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7AD08F9E"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2E228C5F" w14:textId="77777777" w:rsidR="00524B77" w:rsidRPr="00DB707E" w:rsidRDefault="00524B77" w:rsidP="00430B21">
            <w:pPr>
              <w:pStyle w:val="TAC"/>
            </w:pPr>
            <w:r w:rsidRPr="00DB707E">
              <w:t>NR_TDD_FR1_C</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E6FE89B" w14:textId="77777777" w:rsidR="00524B77" w:rsidRPr="00DB707E" w:rsidRDefault="00524B77" w:rsidP="00430B21">
            <w:pPr>
              <w:pStyle w:val="TAC"/>
            </w:pPr>
            <w:r w:rsidRPr="00DB707E">
              <w:t>-120</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63B892E" w14:textId="77777777" w:rsidR="00524B77" w:rsidRPr="00DB707E" w:rsidRDefault="00524B77" w:rsidP="00430B21">
            <w:pPr>
              <w:pStyle w:val="TAC"/>
              <w:rPr>
                <w:lang w:val="sv-SE"/>
              </w:rPr>
            </w:pPr>
            <w:r w:rsidRPr="00DB707E">
              <w:t>-117</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50A81C0"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0F208D00" w14:textId="77777777" w:rsidR="00524B77" w:rsidRPr="00DB707E" w:rsidRDefault="00524B77" w:rsidP="00430B21">
            <w:pPr>
              <w:pStyle w:val="TAC"/>
            </w:pPr>
            <w:r w:rsidRPr="00DB707E">
              <w:t>-50</w:t>
            </w:r>
          </w:p>
        </w:tc>
      </w:tr>
      <w:tr w:rsidR="00524B77" w:rsidRPr="00DB707E" w14:paraId="55E39E45" w14:textId="77777777" w:rsidTr="00430B21">
        <w:trPr>
          <w:jc w:val="center"/>
        </w:trPr>
        <w:tc>
          <w:tcPr>
            <w:tcW w:w="1033" w:type="dxa"/>
            <w:tcBorders>
              <w:left w:val="single" w:sz="4" w:space="0" w:color="auto"/>
              <w:right w:val="single" w:sz="6" w:space="0" w:color="auto"/>
            </w:tcBorders>
            <w:shd w:val="clear" w:color="auto" w:fill="auto"/>
          </w:tcPr>
          <w:p w14:paraId="7037707C" w14:textId="77777777" w:rsidR="00524B77" w:rsidRPr="00DB707E" w:rsidRDefault="00524B77" w:rsidP="00430B21">
            <w:pPr>
              <w:pStyle w:val="TAC"/>
            </w:pPr>
            <w:r w:rsidRPr="00DB707E">
              <w:rPr>
                <w:rFonts w:cs="Arial"/>
              </w:rPr>
              <w:t>±</w:t>
            </w:r>
            <w:r w:rsidRPr="00DB707E">
              <w:t>6</w:t>
            </w:r>
          </w:p>
        </w:tc>
        <w:tc>
          <w:tcPr>
            <w:tcW w:w="1049" w:type="dxa"/>
            <w:tcBorders>
              <w:left w:val="single" w:sz="6" w:space="0" w:color="auto"/>
              <w:right w:val="single" w:sz="6" w:space="0" w:color="auto"/>
            </w:tcBorders>
            <w:shd w:val="clear" w:color="auto" w:fill="auto"/>
          </w:tcPr>
          <w:p w14:paraId="19E33EF5" w14:textId="77777777" w:rsidR="00524B77" w:rsidRPr="00DB707E" w:rsidRDefault="00524B77" w:rsidP="00430B21">
            <w:pPr>
              <w:pStyle w:val="TAC"/>
            </w:pPr>
            <w:r w:rsidRPr="00DB707E">
              <w:rPr>
                <w:rFonts w:cs="Arial"/>
              </w:rPr>
              <w:t>±</w:t>
            </w:r>
            <w:r w:rsidRPr="00DB707E">
              <w:t>7</w:t>
            </w:r>
          </w:p>
        </w:tc>
        <w:tc>
          <w:tcPr>
            <w:tcW w:w="807" w:type="dxa"/>
            <w:tcBorders>
              <w:left w:val="single" w:sz="6" w:space="0" w:color="auto"/>
              <w:right w:val="single" w:sz="6" w:space="0" w:color="auto"/>
            </w:tcBorders>
            <w:shd w:val="clear" w:color="auto" w:fill="auto"/>
          </w:tcPr>
          <w:p w14:paraId="3DF304DC" w14:textId="77777777" w:rsidR="00524B77" w:rsidRPr="00DB707E" w:rsidRDefault="00524B77" w:rsidP="00430B21">
            <w:pPr>
              <w:pStyle w:val="TAC"/>
            </w:pPr>
            <w:r w:rsidRPr="00DB707E">
              <w:sym w:font="Symbol" w:char="F0B3"/>
            </w:r>
            <w:r w:rsidRPr="00DB707E">
              <w:t>-3</w:t>
            </w: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2F0E4D2E" w14:textId="77777777" w:rsidR="00524B77" w:rsidRPr="00DB707E" w:rsidRDefault="00524B77" w:rsidP="00430B21">
            <w:pPr>
              <w:pStyle w:val="TAC"/>
              <w:rPr>
                <w:lang w:val="sv-SE"/>
              </w:rPr>
            </w:pPr>
            <w:r w:rsidRPr="00DB707E">
              <w:rPr>
                <w:lang w:val="sv-SE"/>
              </w:rPr>
              <w:t>NR_FDD_FR1_D, NR_TDD_FR1_D</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2B3AEB5" w14:textId="77777777" w:rsidR="00524B77" w:rsidRPr="00DB707E" w:rsidRDefault="00524B77" w:rsidP="00430B21">
            <w:pPr>
              <w:pStyle w:val="TAC"/>
            </w:pPr>
            <w:r w:rsidRPr="00DB707E">
              <w:t>-119.5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2423D27" w14:textId="77777777" w:rsidR="00524B77" w:rsidRPr="00DB707E" w:rsidRDefault="00524B77" w:rsidP="00430B21">
            <w:pPr>
              <w:pStyle w:val="TAC"/>
            </w:pPr>
            <w:r w:rsidRPr="00DB707E">
              <w:t>-116.5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230F47B"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B20016E" w14:textId="77777777" w:rsidR="00524B77" w:rsidRPr="00DB707E" w:rsidRDefault="00524B77" w:rsidP="00430B21">
            <w:pPr>
              <w:pStyle w:val="TAC"/>
            </w:pPr>
            <w:r w:rsidRPr="00DB707E">
              <w:t>-50</w:t>
            </w:r>
          </w:p>
        </w:tc>
      </w:tr>
      <w:tr w:rsidR="00524B77" w:rsidRPr="00DB707E" w14:paraId="5CC48082" w14:textId="77777777" w:rsidTr="00430B21">
        <w:trPr>
          <w:jc w:val="center"/>
        </w:trPr>
        <w:tc>
          <w:tcPr>
            <w:tcW w:w="1033" w:type="dxa"/>
            <w:tcBorders>
              <w:left w:val="single" w:sz="4" w:space="0" w:color="auto"/>
              <w:right w:val="single" w:sz="6" w:space="0" w:color="auto"/>
            </w:tcBorders>
            <w:shd w:val="clear" w:color="auto" w:fill="auto"/>
          </w:tcPr>
          <w:p w14:paraId="183B9795"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4132F2CA"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5A990A0B"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3C233FF5" w14:textId="77777777" w:rsidR="00524B77" w:rsidRPr="00DB707E" w:rsidDel="00836998" w:rsidRDefault="00524B77" w:rsidP="00430B21">
            <w:pPr>
              <w:pStyle w:val="TAC"/>
              <w:rPr>
                <w:lang w:val="sv-SE"/>
              </w:rPr>
            </w:pPr>
            <w:r w:rsidRPr="00DB707E">
              <w:rPr>
                <w:lang w:val="sv-SE"/>
              </w:rPr>
              <w:t>NR_FDD_FR1_E, NR_TDD_FR1_E</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F596C6D" w14:textId="77777777" w:rsidR="00524B77" w:rsidRPr="00DB707E" w:rsidRDefault="00524B77" w:rsidP="00430B21">
            <w:pPr>
              <w:pStyle w:val="TAC"/>
            </w:pPr>
            <w:r w:rsidRPr="00DB707E">
              <w:t>-119</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14A163F2" w14:textId="77777777" w:rsidR="00524B77" w:rsidRPr="00DB707E" w:rsidRDefault="00524B77" w:rsidP="00430B21">
            <w:pPr>
              <w:pStyle w:val="TAC"/>
              <w:rPr>
                <w:lang w:val="sv-SE"/>
              </w:rPr>
            </w:pPr>
            <w:r w:rsidRPr="00DB707E">
              <w:t>-116</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0E84064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9F23ABE" w14:textId="77777777" w:rsidR="00524B77" w:rsidRPr="00DB707E" w:rsidRDefault="00524B77" w:rsidP="00430B21">
            <w:pPr>
              <w:pStyle w:val="TAC"/>
            </w:pPr>
            <w:r w:rsidRPr="00DB707E">
              <w:t>-50</w:t>
            </w:r>
          </w:p>
        </w:tc>
      </w:tr>
      <w:tr w:rsidR="00524B77" w:rsidRPr="00DB707E" w14:paraId="6C210852" w14:textId="77777777" w:rsidTr="00430B21">
        <w:trPr>
          <w:jc w:val="center"/>
        </w:trPr>
        <w:tc>
          <w:tcPr>
            <w:tcW w:w="1033" w:type="dxa"/>
            <w:tcBorders>
              <w:left w:val="single" w:sz="4" w:space="0" w:color="auto"/>
              <w:right w:val="single" w:sz="6" w:space="0" w:color="auto"/>
            </w:tcBorders>
            <w:shd w:val="clear" w:color="auto" w:fill="auto"/>
          </w:tcPr>
          <w:p w14:paraId="7982F43C"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2FE0890D"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53F676E3"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313BC107" w14:textId="77777777" w:rsidR="00524B77" w:rsidRPr="00DB707E" w:rsidRDefault="00524B77" w:rsidP="00430B21">
            <w:pPr>
              <w:pStyle w:val="TAC"/>
              <w:rPr>
                <w:lang w:val="sv-SE"/>
              </w:rPr>
            </w:pPr>
            <w:r w:rsidRPr="00DB707E">
              <w:rPr>
                <w:lang w:eastAsia="zh-CN"/>
              </w:rPr>
              <w:t>NR_FDD_FR1_F</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5C68E5DC" w14:textId="77777777" w:rsidR="00524B77" w:rsidRPr="00DB707E" w:rsidRDefault="00524B77" w:rsidP="00430B21">
            <w:pPr>
              <w:pStyle w:val="TAC"/>
            </w:pPr>
            <w:r w:rsidRPr="00DB707E">
              <w:t>-118.5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3F470B3A" w14:textId="77777777" w:rsidR="00524B77" w:rsidRPr="00DB707E" w:rsidRDefault="00524B77" w:rsidP="00430B21">
            <w:pPr>
              <w:pStyle w:val="TAC"/>
            </w:pPr>
            <w:r w:rsidRPr="00DB707E">
              <w:rPr>
                <w:rFonts w:cs="Arial"/>
              </w:rPr>
              <w:t>-115.5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38695E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D316C9F" w14:textId="77777777" w:rsidR="00524B77" w:rsidRPr="00DB707E" w:rsidRDefault="00524B77" w:rsidP="00430B21">
            <w:pPr>
              <w:pStyle w:val="TAC"/>
            </w:pPr>
            <w:r w:rsidRPr="00DB707E">
              <w:t>-50</w:t>
            </w:r>
          </w:p>
        </w:tc>
      </w:tr>
      <w:tr w:rsidR="00524B77" w:rsidRPr="00DB707E" w14:paraId="60E93AAD" w14:textId="77777777" w:rsidTr="00430B21">
        <w:trPr>
          <w:jc w:val="center"/>
        </w:trPr>
        <w:tc>
          <w:tcPr>
            <w:tcW w:w="1033" w:type="dxa"/>
            <w:tcBorders>
              <w:left w:val="single" w:sz="4" w:space="0" w:color="auto"/>
              <w:right w:val="single" w:sz="6" w:space="0" w:color="auto"/>
            </w:tcBorders>
            <w:shd w:val="clear" w:color="auto" w:fill="auto"/>
          </w:tcPr>
          <w:p w14:paraId="4A4915AB"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70D11FE7"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21C1D881"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249BA2CF"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01C19FCB" w14:textId="77777777" w:rsidR="00524B77" w:rsidRPr="00DB707E" w:rsidRDefault="00524B77" w:rsidP="00430B21">
            <w:pPr>
              <w:pStyle w:val="TAC"/>
            </w:pPr>
            <w:r w:rsidRPr="00DB707E">
              <w:t>-118</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7C1BD1E2" w14:textId="77777777" w:rsidR="00524B77" w:rsidRPr="00DB707E" w:rsidRDefault="00524B77" w:rsidP="00430B21">
            <w:pPr>
              <w:pStyle w:val="TAC"/>
              <w:rPr>
                <w:rFonts w:cs="Arial"/>
                <w:lang w:val="sv-SE"/>
              </w:rPr>
            </w:pPr>
            <w:r w:rsidRPr="00DB707E">
              <w:rPr>
                <w:rFonts w:cs="Arial"/>
              </w:rPr>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24FD293"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B4E2B8A" w14:textId="77777777" w:rsidR="00524B77" w:rsidRPr="00DB707E" w:rsidRDefault="00524B77" w:rsidP="00430B21">
            <w:pPr>
              <w:pStyle w:val="TAC"/>
            </w:pPr>
            <w:r w:rsidRPr="00DB707E">
              <w:t>-50</w:t>
            </w:r>
          </w:p>
        </w:tc>
      </w:tr>
      <w:tr w:rsidR="00524B77" w:rsidRPr="00DB707E" w14:paraId="1E5C454B" w14:textId="77777777" w:rsidTr="00430B21">
        <w:trPr>
          <w:jc w:val="center"/>
        </w:trPr>
        <w:tc>
          <w:tcPr>
            <w:tcW w:w="1033" w:type="dxa"/>
            <w:tcBorders>
              <w:left w:val="single" w:sz="4" w:space="0" w:color="auto"/>
              <w:right w:val="single" w:sz="6" w:space="0" w:color="auto"/>
            </w:tcBorders>
            <w:shd w:val="clear" w:color="auto" w:fill="auto"/>
          </w:tcPr>
          <w:p w14:paraId="6E7CEE1D" w14:textId="77777777" w:rsidR="00524B77" w:rsidRPr="00DB707E" w:rsidRDefault="00524B77" w:rsidP="00430B21">
            <w:pPr>
              <w:pStyle w:val="TAC"/>
            </w:pPr>
          </w:p>
        </w:tc>
        <w:tc>
          <w:tcPr>
            <w:tcW w:w="1049" w:type="dxa"/>
            <w:tcBorders>
              <w:left w:val="single" w:sz="6" w:space="0" w:color="auto"/>
              <w:right w:val="single" w:sz="6" w:space="0" w:color="auto"/>
            </w:tcBorders>
            <w:shd w:val="clear" w:color="auto" w:fill="auto"/>
          </w:tcPr>
          <w:p w14:paraId="49C7C49F" w14:textId="77777777" w:rsidR="00524B77" w:rsidRPr="00DB707E" w:rsidRDefault="00524B77" w:rsidP="00430B21">
            <w:pPr>
              <w:pStyle w:val="TAC"/>
            </w:pPr>
          </w:p>
        </w:tc>
        <w:tc>
          <w:tcPr>
            <w:tcW w:w="807" w:type="dxa"/>
            <w:tcBorders>
              <w:left w:val="single" w:sz="6" w:space="0" w:color="auto"/>
              <w:right w:val="single" w:sz="6" w:space="0" w:color="auto"/>
            </w:tcBorders>
            <w:shd w:val="clear" w:color="auto" w:fill="auto"/>
          </w:tcPr>
          <w:p w14:paraId="0FCEEBCB" w14:textId="77777777" w:rsidR="00524B77" w:rsidRPr="00DB707E" w:rsidRDefault="00524B77" w:rsidP="00430B21">
            <w:pPr>
              <w:pStyle w:val="TAC"/>
            </w:pPr>
          </w:p>
        </w:tc>
        <w:tc>
          <w:tcPr>
            <w:tcW w:w="2349" w:type="dxa"/>
            <w:tcBorders>
              <w:top w:val="single" w:sz="6" w:space="0" w:color="auto"/>
              <w:left w:val="single" w:sz="6" w:space="0" w:color="auto"/>
              <w:bottom w:val="single" w:sz="6" w:space="0" w:color="auto"/>
              <w:right w:val="single" w:sz="4" w:space="0" w:color="auto"/>
            </w:tcBorders>
            <w:shd w:val="clear" w:color="auto" w:fill="auto"/>
          </w:tcPr>
          <w:p w14:paraId="10389108"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6520A1EB" w14:textId="77777777" w:rsidR="00524B77" w:rsidRPr="00DB707E" w:rsidRDefault="00524B77" w:rsidP="00430B21">
            <w:pPr>
              <w:pStyle w:val="TAC"/>
            </w:pPr>
            <w:r w:rsidRPr="00DB707E">
              <w:t>-117.5</w:t>
            </w:r>
          </w:p>
        </w:tc>
        <w:tc>
          <w:tcPr>
            <w:tcW w:w="1027" w:type="dxa"/>
            <w:tcBorders>
              <w:top w:val="single" w:sz="6" w:space="0" w:color="auto"/>
              <w:left w:val="single" w:sz="4" w:space="0" w:color="auto"/>
              <w:bottom w:val="single" w:sz="6" w:space="0" w:color="auto"/>
              <w:right w:val="single" w:sz="6" w:space="0" w:color="auto"/>
            </w:tcBorders>
            <w:shd w:val="clear" w:color="auto" w:fill="auto"/>
          </w:tcPr>
          <w:p w14:paraId="2FF08F2F" w14:textId="77777777" w:rsidR="00524B77" w:rsidRPr="00DB707E" w:rsidRDefault="00524B77" w:rsidP="00430B21">
            <w:pPr>
              <w:pStyle w:val="TAC"/>
              <w:rPr>
                <w:rFonts w:cs="Arial"/>
                <w:lang w:val="sv-SE"/>
              </w:rPr>
            </w:pPr>
            <w:r w:rsidRPr="00DB707E">
              <w:rPr>
                <w:rFonts w:cs="Arial"/>
              </w:rPr>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AB1DD9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48F73DA" w14:textId="77777777" w:rsidR="00524B77" w:rsidRPr="00DB707E" w:rsidRDefault="00524B77" w:rsidP="00430B21">
            <w:pPr>
              <w:pStyle w:val="TAC"/>
            </w:pPr>
            <w:r w:rsidRPr="00DB707E">
              <w:t>-50</w:t>
            </w:r>
          </w:p>
        </w:tc>
      </w:tr>
      <w:tr w:rsidR="00524B77" w:rsidRPr="00DB707E" w14:paraId="43D52F93" w14:textId="77777777" w:rsidTr="00430B21">
        <w:trPr>
          <w:jc w:val="center"/>
        </w:trPr>
        <w:tc>
          <w:tcPr>
            <w:tcW w:w="10172" w:type="dxa"/>
            <w:gridSpan w:val="8"/>
            <w:tcBorders>
              <w:top w:val="single" w:sz="6" w:space="0" w:color="auto"/>
              <w:left w:val="single" w:sz="4" w:space="0" w:color="auto"/>
              <w:bottom w:val="single" w:sz="4" w:space="0" w:color="auto"/>
              <w:right w:val="single" w:sz="4" w:space="0" w:color="auto"/>
            </w:tcBorders>
            <w:shd w:val="clear" w:color="auto" w:fill="auto"/>
            <w:vAlign w:val="center"/>
          </w:tcPr>
          <w:p w14:paraId="54DB1294" w14:textId="77777777" w:rsidR="00524B77" w:rsidRPr="00DB707E" w:rsidRDefault="00524B77" w:rsidP="00430B21">
            <w:pPr>
              <w:pStyle w:val="TAN"/>
            </w:pPr>
            <w:r w:rsidRPr="00DB707E">
              <w:t>NOTE 1:</w:t>
            </w:r>
            <w:r w:rsidRPr="00DB707E">
              <w:tab/>
              <w:t>Io is assumed to have constant EPRE across the bandwidth.</w:t>
            </w:r>
          </w:p>
          <w:p w14:paraId="7364AAC7" w14:textId="77777777" w:rsidR="00524B77" w:rsidRPr="00DB707E" w:rsidRDefault="00524B77" w:rsidP="00430B21">
            <w:pPr>
              <w:pStyle w:val="TAN"/>
            </w:pPr>
            <w:r w:rsidRPr="00DB707E">
              <w:t>NOTE 2:</w:t>
            </w:r>
            <w:r w:rsidRPr="00DB707E">
              <w:tab/>
              <w:t>The parameter SSB Ês/Iot is the minimum SSB Ês/Iot of the pair of SSBs to which the requirement applies.</w:t>
            </w:r>
          </w:p>
          <w:p w14:paraId="77F88D86" w14:textId="77777777" w:rsidR="00524B77" w:rsidRPr="00DB707E" w:rsidRDefault="00524B77" w:rsidP="00430B21">
            <w:pPr>
              <w:pStyle w:val="TAN"/>
            </w:pPr>
            <w:r w:rsidRPr="00DB707E">
              <w:t>NOTE 3:</w:t>
            </w:r>
            <w:r w:rsidRPr="00DB707E">
              <w:tab/>
              <w:t>Void</w:t>
            </w:r>
          </w:p>
          <w:p w14:paraId="155A49FD" w14:textId="77777777" w:rsidR="00524B77" w:rsidRPr="00DB707E" w:rsidRDefault="00524B77" w:rsidP="00430B21">
            <w:pPr>
              <w:pStyle w:val="TAN"/>
            </w:pPr>
            <w:r w:rsidRPr="00DB707E">
              <w:t>NOTE 4:</w:t>
            </w:r>
            <w:r w:rsidRPr="00DB707E">
              <w:tab/>
              <w:t>NR operating band groups in FR1 are as defined in clause 3.5.2.</w:t>
            </w:r>
          </w:p>
        </w:tc>
      </w:tr>
    </w:tbl>
    <w:p w14:paraId="648EEAE0" w14:textId="77777777" w:rsidR="00524B77" w:rsidRPr="00DB707E" w:rsidRDefault="00524B77" w:rsidP="00524B77">
      <w:pPr>
        <w:rPr>
          <w:lang w:eastAsia="ko-KR"/>
        </w:rPr>
      </w:pPr>
    </w:p>
    <w:p w14:paraId="59D5705C" w14:textId="77777777" w:rsidR="00524B77" w:rsidRPr="00DB707E" w:rsidRDefault="00524B77" w:rsidP="00524B77">
      <w:pPr>
        <w:pStyle w:val="Heading4"/>
        <w:rPr>
          <w:lang w:val="en-US"/>
        </w:rPr>
      </w:pPr>
      <w:r w:rsidRPr="00DB707E">
        <w:rPr>
          <w:lang w:val="en-US"/>
        </w:rPr>
        <w:t>10.1A.14.2</w:t>
      </w:r>
      <w:r w:rsidRPr="00DB707E">
        <w:rPr>
          <w:lang w:val="en-US"/>
        </w:rPr>
        <w:tab/>
        <w:t>CSI-RS based L1-RSRP accuracy requirements</w:t>
      </w:r>
    </w:p>
    <w:p w14:paraId="6C446338" w14:textId="77777777" w:rsidR="00524B77" w:rsidRPr="00DB707E" w:rsidRDefault="00524B77" w:rsidP="00524B77">
      <w:pPr>
        <w:pStyle w:val="Heading5"/>
      </w:pPr>
      <w:r w:rsidRPr="00DB707E">
        <w:t>10.1A.14.2.1</w:t>
      </w:r>
      <w:r w:rsidRPr="00DB707E">
        <w:tab/>
        <w:t>Absolute Accuracy</w:t>
      </w:r>
    </w:p>
    <w:p w14:paraId="169F4778" w14:textId="77777777" w:rsidR="00524B77" w:rsidRPr="00DB707E" w:rsidRDefault="00524B77" w:rsidP="00524B77">
      <w:pPr>
        <w:rPr>
          <w:rFonts w:cs="v4.2.0"/>
        </w:rPr>
      </w:pPr>
      <w:r w:rsidRPr="00DB707E">
        <w:rPr>
          <w:rFonts w:cs="v4.2.0"/>
        </w:rPr>
        <w:t xml:space="preserve">The accuracy requirements in clause </w:t>
      </w:r>
      <w:r w:rsidRPr="00DB707E">
        <w:t>10.1.19.2.2</w:t>
      </w:r>
      <w:r w:rsidRPr="00DB707E">
        <w:rPr>
          <w:rFonts w:cs="v4.2.0"/>
        </w:rPr>
        <w:t xml:space="preserve"> shall apply when RedCap UE is capable of 2Rx. When UE is only required to support 1RX, the absolute accuracy requirements in Table </w:t>
      </w:r>
      <w:r w:rsidRPr="00DB707E">
        <w:t>10.1A.14.2.1-1</w:t>
      </w:r>
      <w:r w:rsidRPr="00DB707E">
        <w:rPr>
          <w:rFonts w:cs="v4.2.0"/>
        </w:rPr>
        <w:t xml:space="preserve"> are valid under the following conditions:</w:t>
      </w:r>
    </w:p>
    <w:p w14:paraId="77857E43" w14:textId="77777777" w:rsidR="00524B77" w:rsidRPr="00DB707E" w:rsidRDefault="00524B77" w:rsidP="00524B77">
      <w:pPr>
        <w:pStyle w:val="B10"/>
        <w:rPr>
          <w:rFonts w:ascii="Arial" w:hAnsi="Arial"/>
          <w:sz w:val="28"/>
        </w:rPr>
      </w:pPr>
      <w:r w:rsidRPr="00DB707E">
        <w:t>-</w:t>
      </w:r>
      <w:r w:rsidRPr="00DB707E">
        <w:tab/>
        <w:t>Conditions defined in clause 7.3 of TS 38.101-1 [18] for reference sensitivity are fulfilled.</w:t>
      </w:r>
    </w:p>
    <w:p w14:paraId="5749CEF8" w14:textId="77777777" w:rsidR="00524B77" w:rsidRPr="00DB707E" w:rsidRDefault="00524B77" w:rsidP="00524B77">
      <w:pPr>
        <w:pStyle w:val="B10"/>
        <w:rPr>
          <w:lang w:eastAsia="zh-CN"/>
        </w:rPr>
      </w:pPr>
      <w:r w:rsidRPr="00DB707E">
        <w:t>-</w:t>
      </w:r>
      <w:r w:rsidRPr="00DB707E">
        <w:rPr>
          <w:rFonts w:ascii="Arial" w:hAnsi="Arial"/>
          <w:sz w:val="28"/>
          <w:lang w:val="en-US"/>
        </w:rPr>
        <w:tab/>
      </w:r>
      <w:r w:rsidRPr="00DB707E">
        <w:t xml:space="preserve">Conditions for L1-RSRP measurements are fulfilled according to Annex B.2.4.2 for a corresponding Band </w:t>
      </w:r>
      <w:r w:rsidRPr="00DB707E">
        <w:rPr>
          <w:rFonts w:cs="v4.2.0"/>
          <w:lang w:eastAsia="ko-KR"/>
        </w:rPr>
        <w:t>for each relevant CSI-RS</w:t>
      </w:r>
      <w:r w:rsidRPr="00DB707E">
        <w:rPr>
          <w:lang w:eastAsia="zh-CN"/>
        </w:rPr>
        <w:t>.</w:t>
      </w:r>
    </w:p>
    <w:p w14:paraId="4595D909" w14:textId="77777777" w:rsidR="00524B77" w:rsidRPr="00DB707E" w:rsidRDefault="00524B77" w:rsidP="00524B77">
      <w:pPr>
        <w:pStyle w:val="B10"/>
        <w:rPr>
          <w:lang w:eastAsia="zh-CN"/>
        </w:rPr>
      </w:pPr>
      <w:r w:rsidRPr="00DB707E">
        <w:rPr>
          <w:lang w:eastAsia="zh-CN"/>
        </w:rPr>
        <w:t>-</w:t>
      </w:r>
      <w:r w:rsidRPr="00DB707E">
        <w:rPr>
          <w:lang w:eastAsia="zh-CN"/>
        </w:rPr>
        <w:tab/>
        <w:t>The bandwidth of CSI-RS is 48 PRBs and the density is 3.</w:t>
      </w:r>
    </w:p>
    <w:p w14:paraId="20B3F90D" w14:textId="77777777" w:rsidR="00524B77" w:rsidRPr="00DB707E" w:rsidRDefault="00524B77" w:rsidP="00524B77">
      <w:pPr>
        <w:tabs>
          <w:tab w:val="left" w:pos="851"/>
        </w:tabs>
        <w:rPr>
          <w:rFonts w:eastAsia="PMingLiU"/>
          <w:lang w:eastAsia="zh-CN"/>
        </w:rPr>
      </w:pPr>
      <w:r w:rsidRPr="00DB707E">
        <w:rPr>
          <w:rFonts w:eastAsia="PMingLiU"/>
          <w:lang w:eastAsia="zh-CN"/>
        </w:rPr>
        <w:t>The performance with larger bandwidth of CSI-RS is equal to or better than the accuracy requirements in Table 10.1A.19.2.1-1.</w:t>
      </w:r>
    </w:p>
    <w:p w14:paraId="336625D7" w14:textId="77777777" w:rsidR="00524B77" w:rsidRPr="00DB707E" w:rsidRDefault="00524B77" w:rsidP="00524B77">
      <w:pPr>
        <w:rPr>
          <w:lang w:eastAsia="zh-CN"/>
        </w:rPr>
      </w:pPr>
    </w:p>
    <w:p w14:paraId="70C672D5" w14:textId="77777777" w:rsidR="00524B77" w:rsidRPr="00DB707E" w:rsidRDefault="00524B77" w:rsidP="00524B77">
      <w:pPr>
        <w:pStyle w:val="TH"/>
      </w:pPr>
      <w:r w:rsidRPr="00DB707E">
        <w:t>Table 10.1A.14.2.1-1: CSI-RS based L1-RSRP absolute accuracy for 1Rx RedCap UE in FR1</w:t>
      </w:r>
    </w:p>
    <w:tbl>
      <w:tblPr>
        <w:tblW w:w="10172" w:type="dxa"/>
        <w:jc w:val="center"/>
        <w:tblLook w:val="01E0" w:firstRow="1" w:lastRow="1" w:firstColumn="1" w:lastColumn="1" w:noHBand="0" w:noVBand="0"/>
      </w:tblPr>
      <w:tblGrid>
        <w:gridCol w:w="1031"/>
        <w:gridCol w:w="1043"/>
        <w:gridCol w:w="780"/>
        <w:gridCol w:w="1957"/>
        <w:gridCol w:w="827"/>
        <w:gridCol w:w="827"/>
        <w:gridCol w:w="827"/>
        <w:gridCol w:w="1440"/>
        <w:gridCol w:w="1440"/>
      </w:tblGrid>
      <w:tr w:rsidR="00524B77" w:rsidRPr="00DB707E" w14:paraId="20BC5E9B" w14:textId="77777777" w:rsidTr="00430B21">
        <w:trPr>
          <w:jc w:val="center"/>
        </w:trPr>
        <w:tc>
          <w:tcPr>
            <w:tcW w:w="2074"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08304B65" w14:textId="77777777" w:rsidR="00524B77" w:rsidRPr="00DB707E" w:rsidRDefault="00524B77" w:rsidP="00430B21">
            <w:pPr>
              <w:pStyle w:val="TAH"/>
            </w:pPr>
            <w:r w:rsidRPr="00DB707E">
              <w:t>Accuracy</w:t>
            </w:r>
          </w:p>
        </w:tc>
        <w:tc>
          <w:tcPr>
            <w:tcW w:w="8098"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3FC91877" w14:textId="77777777" w:rsidR="00524B77" w:rsidRPr="00DB707E" w:rsidRDefault="00524B77" w:rsidP="00430B21">
            <w:pPr>
              <w:pStyle w:val="TAH"/>
            </w:pPr>
            <w:r w:rsidRPr="00DB707E">
              <w:t>Conditions</w:t>
            </w:r>
          </w:p>
        </w:tc>
      </w:tr>
      <w:tr w:rsidR="00524B77" w:rsidRPr="00DB707E" w14:paraId="3291103E" w14:textId="77777777" w:rsidTr="00430B21">
        <w:trPr>
          <w:jc w:val="center"/>
        </w:trPr>
        <w:tc>
          <w:tcPr>
            <w:tcW w:w="1031" w:type="dxa"/>
            <w:tcBorders>
              <w:top w:val="single" w:sz="6" w:space="0" w:color="auto"/>
              <w:left w:val="single" w:sz="4" w:space="0" w:color="auto"/>
              <w:right w:val="single" w:sz="6" w:space="0" w:color="auto"/>
            </w:tcBorders>
            <w:shd w:val="clear" w:color="auto" w:fill="auto"/>
            <w:vAlign w:val="center"/>
          </w:tcPr>
          <w:p w14:paraId="75861DD2" w14:textId="77777777" w:rsidR="00524B77" w:rsidRPr="00DB707E" w:rsidRDefault="00524B77" w:rsidP="00430B21">
            <w:pPr>
              <w:pStyle w:val="TAH"/>
            </w:pPr>
            <w:r w:rsidRPr="00DB707E">
              <w:t>Normal condition</w:t>
            </w:r>
          </w:p>
        </w:tc>
        <w:tc>
          <w:tcPr>
            <w:tcW w:w="1043" w:type="dxa"/>
            <w:tcBorders>
              <w:top w:val="single" w:sz="6" w:space="0" w:color="auto"/>
              <w:left w:val="single" w:sz="6" w:space="0" w:color="auto"/>
              <w:right w:val="single" w:sz="6" w:space="0" w:color="auto"/>
            </w:tcBorders>
            <w:shd w:val="clear" w:color="auto" w:fill="auto"/>
            <w:vAlign w:val="center"/>
          </w:tcPr>
          <w:p w14:paraId="3533065D" w14:textId="77777777" w:rsidR="00524B77" w:rsidRPr="00DB707E" w:rsidRDefault="00524B77" w:rsidP="00430B21">
            <w:pPr>
              <w:pStyle w:val="TAH"/>
            </w:pPr>
            <w:r w:rsidRPr="00DB707E">
              <w:t>Extreme condition</w:t>
            </w:r>
          </w:p>
        </w:tc>
        <w:tc>
          <w:tcPr>
            <w:tcW w:w="780" w:type="dxa"/>
            <w:tcBorders>
              <w:top w:val="single" w:sz="6" w:space="0" w:color="auto"/>
              <w:left w:val="single" w:sz="6" w:space="0" w:color="auto"/>
              <w:right w:val="single" w:sz="6" w:space="0" w:color="auto"/>
            </w:tcBorders>
            <w:shd w:val="clear" w:color="auto" w:fill="auto"/>
            <w:vAlign w:val="center"/>
          </w:tcPr>
          <w:p w14:paraId="0187E80B" w14:textId="77777777" w:rsidR="00524B77" w:rsidRPr="00DB707E" w:rsidRDefault="00524B77" w:rsidP="00430B21">
            <w:pPr>
              <w:pStyle w:val="TAH"/>
            </w:pPr>
            <w:r w:rsidRPr="00DB707E">
              <w:t>CSI-RS Ês/Iot</w:t>
            </w:r>
          </w:p>
        </w:tc>
        <w:tc>
          <w:tcPr>
            <w:tcW w:w="7318"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55DDA1B2" w14:textId="77777777" w:rsidR="00524B77" w:rsidRPr="00DB707E" w:rsidRDefault="00524B77" w:rsidP="00430B21">
            <w:pPr>
              <w:pStyle w:val="TAH"/>
            </w:pPr>
            <w:r w:rsidRPr="00DB707E">
              <w:t>Io</w:t>
            </w:r>
            <w:r w:rsidRPr="00DB707E">
              <w:rPr>
                <w:vertAlign w:val="superscript"/>
              </w:rPr>
              <w:t xml:space="preserve"> Note 1</w:t>
            </w:r>
            <w:r w:rsidRPr="00DB707E">
              <w:t xml:space="preserve"> range</w:t>
            </w:r>
          </w:p>
        </w:tc>
      </w:tr>
      <w:tr w:rsidR="00524B77" w:rsidRPr="00DB707E" w14:paraId="05BE20CD" w14:textId="77777777" w:rsidTr="00430B21">
        <w:trPr>
          <w:jc w:val="center"/>
        </w:trPr>
        <w:tc>
          <w:tcPr>
            <w:tcW w:w="1031" w:type="dxa"/>
            <w:tcBorders>
              <w:left w:val="single" w:sz="4" w:space="0" w:color="auto"/>
              <w:bottom w:val="single" w:sz="6" w:space="0" w:color="auto"/>
              <w:right w:val="single" w:sz="6" w:space="0" w:color="auto"/>
            </w:tcBorders>
            <w:shd w:val="clear" w:color="auto" w:fill="auto"/>
            <w:vAlign w:val="center"/>
          </w:tcPr>
          <w:p w14:paraId="0228F305" w14:textId="77777777" w:rsidR="00524B77" w:rsidRPr="00DB707E" w:rsidRDefault="00524B77" w:rsidP="00430B21">
            <w:pPr>
              <w:pStyle w:val="TAH"/>
            </w:pPr>
          </w:p>
        </w:tc>
        <w:tc>
          <w:tcPr>
            <w:tcW w:w="1043" w:type="dxa"/>
            <w:tcBorders>
              <w:left w:val="single" w:sz="6" w:space="0" w:color="auto"/>
              <w:bottom w:val="single" w:sz="6" w:space="0" w:color="auto"/>
              <w:right w:val="single" w:sz="6" w:space="0" w:color="auto"/>
            </w:tcBorders>
            <w:shd w:val="clear" w:color="auto" w:fill="auto"/>
            <w:vAlign w:val="center"/>
          </w:tcPr>
          <w:p w14:paraId="77FFA7C8" w14:textId="77777777" w:rsidR="00524B77" w:rsidRPr="00DB707E" w:rsidRDefault="00524B77" w:rsidP="00430B21">
            <w:pPr>
              <w:pStyle w:val="TAH"/>
            </w:pPr>
          </w:p>
        </w:tc>
        <w:tc>
          <w:tcPr>
            <w:tcW w:w="780" w:type="dxa"/>
            <w:tcBorders>
              <w:left w:val="single" w:sz="6" w:space="0" w:color="auto"/>
              <w:bottom w:val="single" w:sz="6" w:space="0" w:color="auto"/>
              <w:right w:val="single" w:sz="6" w:space="0" w:color="auto"/>
            </w:tcBorders>
            <w:shd w:val="clear" w:color="auto" w:fill="auto"/>
            <w:vAlign w:val="center"/>
          </w:tcPr>
          <w:p w14:paraId="25D4A0DE" w14:textId="77777777" w:rsidR="00524B77" w:rsidRPr="00DB707E" w:rsidRDefault="00524B77" w:rsidP="00430B21">
            <w:pPr>
              <w:pStyle w:val="TAH"/>
            </w:pP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692C1CC4" w14:textId="77777777" w:rsidR="00524B77" w:rsidRPr="00DB707E" w:rsidRDefault="00524B77" w:rsidP="00430B21">
            <w:pPr>
              <w:pStyle w:val="TAH"/>
            </w:pPr>
            <w:r w:rsidRPr="00DB707E">
              <w:t>NR operating band groups</w:t>
            </w:r>
            <w:r w:rsidRPr="00DB707E">
              <w:rPr>
                <w:vertAlign w:val="superscript"/>
              </w:rPr>
              <w:t xml:space="preserve"> Note 2</w:t>
            </w:r>
          </w:p>
        </w:tc>
        <w:tc>
          <w:tcPr>
            <w:tcW w:w="3921"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5C588D47"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4C30C338" w14:textId="77777777" w:rsidR="00524B77" w:rsidRPr="00DB707E" w:rsidRDefault="00524B77" w:rsidP="00430B21">
            <w:pPr>
              <w:pStyle w:val="TAH"/>
            </w:pPr>
            <w:r w:rsidRPr="00DB707E">
              <w:t>Maximum Io</w:t>
            </w:r>
          </w:p>
        </w:tc>
      </w:tr>
      <w:tr w:rsidR="00524B77" w:rsidRPr="00DB707E" w14:paraId="29552B69" w14:textId="77777777" w:rsidTr="00430B21">
        <w:trPr>
          <w:trHeight w:val="308"/>
          <w:jc w:val="center"/>
        </w:trPr>
        <w:tc>
          <w:tcPr>
            <w:tcW w:w="1031" w:type="dxa"/>
            <w:tcBorders>
              <w:top w:val="single" w:sz="6" w:space="0" w:color="auto"/>
              <w:left w:val="single" w:sz="4" w:space="0" w:color="auto"/>
              <w:right w:val="single" w:sz="6" w:space="0" w:color="auto"/>
            </w:tcBorders>
            <w:shd w:val="clear" w:color="auto" w:fill="auto"/>
            <w:vAlign w:val="center"/>
          </w:tcPr>
          <w:p w14:paraId="69FD09B3" w14:textId="77777777" w:rsidR="00524B77" w:rsidRPr="00DB707E" w:rsidRDefault="00524B77" w:rsidP="00430B21">
            <w:pPr>
              <w:pStyle w:val="TAH"/>
            </w:pPr>
            <w:r w:rsidRPr="00DB707E">
              <w:t>dB</w:t>
            </w:r>
          </w:p>
        </w:tc>
        <w:tc>
          <w:tcPr>
            <w:tcW w:w="1043" w:type="dxa"/>
            <w:tcBorders>
              <w:top w:val="single" w:sz="6" w:space="0" w:color="auto"/>
              <w:left w:val="single" w:sz="6" w:space="0" w:color="auto"/>
              <w:right w:val="single" w:sz="6" w:space="0" w:color="auto"/>
            </w:tcBorders>
            <w:shd w:val="clear" w:color="auto" w:fill="auto"/>
            <w:vAlign w:val="center"/>
          </w:tcPr>
          <w:p w14:paraId="2B69FED5" w14:textId="77777777" w:rsidR="00524B77" w:rsidRPr="00DB707E" w:rsidRDefault="00524B77" w:rsidP="00430B21">
            <w:pPr>
              <w:pStyle w:val="TAH"/>
            </w:pPr>
            <w:r w:rsidRPr="00DB707E">
              <w:t>dB</w:t>
            </w:r>
          </w:p>
        </w:tc>
        <w:tc>
          <w:tcPr>
            <w:tcW w:w="780" w:type="dxa"/>
            <w:tcBorders>
              <w:top w:val="single" w:sz="6" w:space="0" w:color="auto"/>
              <w:left w:val="single" w:sz="6" w:space="0" w:color="auto"/>
              <w:right w:val="single" w:sz="6" w:space="0" w:color="auto"/>
            </w:tcBorders>
            <w:shd w:val="clear" w:color="auto" w:fill="auto"/>
            <w:vAlign w:val="center"/>
          </w:tcPr>
          <w:p w14:paraId="1C61ECF3" w14:textId="77777777" w:rsidR="00524B77" w:rsidRPr="00DB707E" w:rsidRDefault="00524B77" w:rsidP="00430B21">
            <w:pPr>
              <w:pStyle w:val="TAH"/>
            </w:pPr>
            <w:r w:rsidRPr="00DB707E">
              <w:t>dB</w:t>
            </w:r>
          </w:p>
        </w:tc>
        <w:tc>
          <w:tcPr>
            <w:tcW w:w="1957" w:type="dxa"/>
            <w:tcBorders>
              <w:top w:val="single" w:sz="6" w:space="0" w:color="auto"/>
              <w:left w:val="single" w:sz="6" w:space="0" w:color="auto"/>
              <w:right w:val="single" w:sz="4" w:space="0" w:color="auto"/>
            </w:tcBorders>
            <w:shd w:val="clear" w:color="auto" w:fill="auto"/>
            <w:vAlign w:val="center"/>
          </w:tcPr>
          <w:p w14:paraId="73CBE943" w14:textId="77777777" w:rsidR="00524B77" w:rsidRPr="00DB707E" w:rsidRDefault="00524B77" w:rsidP="00430B21">
            <w:pPr>
              <w:pStyle w:val="TAH"/>
            </w:pPr>
          </w:p>
        </w:tc>
        <w:tc>
          <w:tcPr>
            <w:tcW w:w="2481"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70C09803" w14:textId="77777777" w:rsidR="00524B77" w:rsidRPr="00DB707E" w:rsidRDefault="00524B77" w:rsidP="00430B21">
            <w:pPr>
              <w:pStyle w:val="TAH"/>
            </w:pPr>
            <w:r w:rsidRPr="00DB707E">
              <w:rPr>
                <w:rFonts w:cs="Arial"/>
              </w:rPr>
              <w:t xml:space="preserve">dBm / </w:t>
            </w:r>
            <w:r w:rsidRPr="00DB707E">
              <w:t>SCS</w:t>
            </w:r>
            <w:r w:rsidRPr="00DB707E">
              <w:rPr>
                <w:vertAlign w:val="subscript"/>
              </w:rPr>
              <w:t>CSI-RS</w:t>
            </w:r>
          </w:p>
        </w:tc>
        <w:tc>
          <w:tcPr>
            <w:tcW w:w="1440" w:type="dxa"/>
            <w:tcBorders>
              <w:top w:val="single" w:sz="6" w:space="0" w:color="auto"/>
              <w:left w:val="single" w:sz="6" w:space="0" w:color="auto"/>
              <w:right w:val="single" w:sz="6" w:space="0" w:color="auto"/>
            </w:tcBorders>
            <w:shd w:val="clear" w:color="auto" w:fill="auto"/>
            <w:vAlign w:val="center"/>
          </w:tcPr>
          <w:p w14:paraId="2794A1DA"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0C11FE4B" w14:textId="77777777" w:rsidR="00524B77" w:rsidRPr="00DB707E" w:rsidRDefault="00524B77" w:rsidP="00430B21">
            <w:pPr>
              <w:pStyle w:val="TAH"/>
            </w:pPr>
            <w:r w:rsidRPr="00DB707E">
              <w:t>dBm/BW</w:t>
            </w:r>
            <w:r w:rsidRPr="00DB707E">
              <w:rPr>
                <w:vertAlign w:val="subscript"/>
              </w:rPr>
              <w:t>Channel</w:t>
            </w:r>
          </w:p>
        </w:tc>
      </w:tr>
      <w:tr w:rsidR="00524B77" w:rsidRPr="00DB707E" w14:paraId="5116D7CA" w14:textId="77777777" w:rsidTr="00430B21">
        <w:trPr>
          <w:trHeight w:val="307"/>
          <w:jc w:val="center"/>
        </w:trPr>
        <w:tc>
          <w:tcPr>
            <w:tcW w:w="1031" w:type="dxa"/>
            <w:tcBorders>
              <w:left w:val="single" w:sz="4" w:space="0" w:color="auto"/>
              <w:bottom w:val="single" w:sz="6" w:space="0" w:color="auto"/>
              <w:right w:val="single" w:sz="6" w:space="0" w:color="auto"/>
            </w:tcBorders>
            <w:shd w:val="clear" w:color="auto" w:fill="auto"/>
            <w:vAlign w:val="center"/>
          </w:tcPr>
          <w:p w14:paraId="436F1C68" w14:textId="77777777" w:rsidR="00524B77" w:rsidRPr="00DB707E" w:rsidRDefault="00524B77" w:rsidP="00430B21">
            <w:pPr>
              <w:pStyle w:val="TAH"/>
            </w:pPr>
          </w:p>
        </w:tc>
        <w:tc>
          <w:tcPr>
            <w:tcW w:w="1043" w:type="dxa"/>
            <w:tcBorders>
              <w:left w:val="single" w:sz="6" w:space="0" w:color="auto"/>
              <w:bottom w:val="single" w:sz="6" w:space="0" w:color="auto"/>
              <w:right w:val="single" w:sz="6" w:space="0" w:color="auto"/>
            </w:tcBorders>
            <w:shd w:val="clear" w:color="auto" w:fill="auto"/>
            <w:vAlign w:val="center"/>
          </w:tcPr>
          <w:p w14:paraId="18A1A3A4" w14:textId="77777777" w:rsidR="00524B77" w:rsidRPr="00DB707E" w:rsidRDefault="00524B77" w:rsidP="00430B21">
            <w:pPr>
              <w:pStyle w:val="TAH"/>
            </w:pPr>
          </w:p>
        </w:tc>
        <w:tc>
          <w:tcPr>
            <w:tcW w:w="780" w:type="dxa"/>
            <w:tcBorders>
              <w:left w:val="single" w:sz="6" w:space="0" w:color="auto"/>
              <w:bottom w:val="single" w:sz="6" w:space="0" w:color="auto"/>
              <w:right w:val="single" w:sz="6" w:space="0" w:color="auto"/>
            </w:tcBorders>
            <w:shd w:val="clear" w:color="auto" w:fill="auto"/>
            <w:vAlign w:val="center"/>
          </w:tcPr>
          <w:p w14:paraId="0C0F8699" w14:textId="77777777" w:rsidR="00524B77" w:rsidRPr="00DB707E" w:rsidRDefault="00524B77" w:rsidP="00430B21">
            <w:pPr>
              <w:pStyle w:val="TAH"/>
            </w:pPr>
          </w:p>
        </w:tc>
        <w:tc>
          <w:tcPr>
            <w:tcW w:w="1957" w:type="dxa"/>
            <w:tcBorders>
              <w:left w:val="single" w:sz="6" w:space="0" w:color="auto"/>
              <w:bottom w:val="single" w:sz="6" w:space="0" w:color="auto"/>
              <w:right w:val="single" w:sz="4" w:space="0" w:color="auto"/>
            </w:tcBorders>
            <w:shd w:val="clear" w:color="auto" w:fill="auto"/>
            <w:vAlign w:val="center"/>
          </w:tcPr>
          <w:p w14:paraId="4AAB6204" w14:textId="77777777" w:rsidR="00524B77" w:rsidRPr="00DB707E" w:rsidRDefault="00524B77" w:rsidP="00430B21">
            <w:pPr>
              <w:pStyle w:val="TAH"/>
            </w:pP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2BDC0367" w14:textId="77777777" w:rsidR="00524B77" w:rsidRPr="00DB707E" w:rsidRDefault="00524B77" w:rsidP="00430B21">
            <w:pPr>
              <w:pStyle w:val="TAH"/>
              <w:rPr>
                <w:rFonts w:cs="Arial"/>
              </w:rPr>
            </w:pPr>
            <w:r w:rsidRPr="00DB707E">
              <w:t>SCS</w:t>
            </w:r>
            <w:r w:rsidRPr="00DB707E">
              <w:rPr>
                <w:vertAlign w:val="subscript"/>
              </w:rPr>
              <w:t>CSI-RS</w:t>
            </w:r>
            <w:r w:rsidRPr="00DB707E">
              <w:rPr>
                <w:rFonts w:cs="Arial"/>
              </w:rPr>
              <w:t xml:space="preserve"> = 15 kHz</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327B58FD" w14:textId="77777777" w:rsidR="00524B77" w:rsidRPr="00DB707E" w:rsidRDefault="00524B77" w:rsidP="00430B21">
            <w:pPr>
              <w:pStyle w:val="TAH"/>
              <w:rPr>
                <w:rFonts w:cs="Arial"/>
              </w:rPr>
            </w:pPr>
            <w:r w:rsidRPr="00DB707E">
              <w:t>SCS</w:t>
            </w:r>
            <w:r w:rsidRPr="00DB707E">
              <w:rPr>
                <w:vertAlign w:val="subscript"/>
              </w:rPr>
              <w:t>CSI-RS</w:t>
            </w:r>
            <w:r w:rsidRPr="00DB707E">
              <w:rPr>
                <w:rFonts w:cs="Arial"/>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4111C231" w14:textId="77777777" w:rsidR="00524B77" w:rsidRPr="00DB707E" w:rsidRDefault="00524B77" w:rsidP="00430B21">
            <w:pPr>
              <w:pStyle w:val="TAH"/>
              <w:rPr>
                <w:rFonts w:cs="Arial"/>
              </w:rPr>
            </w:pPr>
            <w:r w:rsidRPr="00DB707E">
              <w:t>SCS</w:t>
            </w:r>
            <w:r w:rsidRPr="00DB707E">
              <w:rPr>
                <w:vertAlign w:val="subscript"/>
              </w:rPr>
              <w:t>CSI-RS</w:t>
            </w:r>
            <w:r w:rsidRPr="00DB707E">
              <w:rPr>
                <w:rFonts w:cs="Arial"/>
              </w:rPr>
              <w:t xml:space="preserve"> = 60 kHz</w:t>
            </w:r>
          </w:p>
        </w:tc>
        <w:tc>
          <w:tcPr>
            <w:tcW w:w="1440" w:type="dxa"/>
            <w:tcBorders>
              <w:left w:val="single" w:sz="6" w:space="0" w:color="auto"/>
              <w:bottom w:val="single" w:sz="6" w:space="0" w:color="auto"/>
              <w:right w:val="single" w:sz="6" w:space="0" w:color="auto"/>
            </w:tcBorders>
            <w:shd w:val="clear" w:color="auto" w:fill="auto"/>
            <w:vAlign w:val="center"/>
          </w:tcPr>
          <w:p w14:paraId="6153BB4C"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vAlign w:val="center"/>
          </w:tcPr>
          <w:p w14:paraId="64454938" w14:textId="77777777" w:rsidR="00524B77" w:rsidRPr="00DB707E" w:rsidRDefault="00524B77" w:rsidP="00430B21">
            <w:pPr>
              <w:pStyle w:val="TAH"/>
            </w:pPr>
          </w:p>
        </w:tc>
      </w:tr>
      <w:tr w:rsidR="00524B77" w:rsidRPr="00DB707E" w14:paraId="08054218" w14:textId="77777777" w:rsidTr="00430B21">
        <w:trPr>
          <w:jc w:val="center"/>
        </w:trPr>
        <w:tc>
          <w:tcPr>
            <w:tcW w:w="1031" w:type="dxa"/>
            <w:tcBorders>
              <w:top w:val="single" w:sz="6" w:space="0" w:color="auto"/>
              <w:left w:val="single" w:sz="4" w:space="0" w:color="auto"/>
              <w:right w:val="single" w:sz="6" w:space="0" w:color="auto"/>
            </w:tcBorders>
            <w:shd w:val="clear" w:color="auto" w:fill="auto"/>
          </w:tcPr>
          <w:p w14:paraId="7461302E" w14:textId="77777777" w:rsidR="00524B77" w:rsidRPr="00DB707E" w:rsidRDefault="00524B77" w:rsidP="00430B21">
            <w:pPr>
              <w:pStyle w:val="TAC"/>
            </w:pPr>
          </w:p>
        </w:tc>
        <w:tc>
          <w:tcPr>
            <w:tcW w:w="1043" w:type="dxa"/>
            <w:tcBorders>
              <w:top w:val="single" w:sz="6" w:space="0" w:color="auto"/>
              <w:left w:val="single" w:sz="6" w:space="0" w:color="auto"/>
              <w:right w:val="single" w:sz="6" w:space="0" w:color="auto"/>
            </w:tcBorders>
            <w:shd w:val="clear" w:color="auto" w:fill="auto"/>
          </w:tcPr>
          <w:p w14:paraId="4F823FB5" w14:textId="77777777" w:rsidR="00524B77" w:rsidRPr="00DB707E" w:rsidRDefault="00524B77" w:rsidP="00430B21">
            <w:pPr>
              <w:pStyle w:val="TAC"/>
            </w:pPr>
          </w:p>
        </w:tc>
        <w:tc>
          <w:tcPr>
            <w:tcW w:w="780" w:type="dxa"/>
            <w:tcBorders>
              <w:top w:val="single" w:sz="6" w:space="0" w:color="auto"/>
              <w:left w:val="single" w:sz="6" w:space="0" w:color="auto"/>
              <w:right w:val="single" w:sz="6" w:space="0" w:color="auto"/>
            </w:tcBorders>
            <w:shd w:val="clear" w:color="auto" w:fill="auto"/>
          </w:tcPr>
          <w:p w14:paraId="52D2EB47" w14:textId="77777777" w:rsidR="00524B77" w:rsidRPr="00DB707E" w:rsidRDefault="00524B77" w:rsidP="00430B21">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0098EB8C" w14:textId="77777777" w:rsidR="00524B77" w:rsidRPr="00DB707E" w:rsidRDefault="00524B77" w:rsidP="00430B21">
            <w:pPr>
              <w:pStyle w:val="TAC"/>
            </w:pPr>
            <w:r w:rsidRPr="00DB707E">
              <w:t>NR_FDD_FR1_A, NR_TDD_FR1_A,</w:t>
            </w:r>
          </w:p>
          <w:p w14:paraId="05910ACB" w14:textId="77777777" w:rsidR="00524B77" w:rsidRPr="00DB707E" w:rsidRDefault="00524B77" w:rsidP="00430B21">
            <w:pPr>
              <w:pStyle w:val="TAC"/>
            </w:pPr>
            <w:r w:rsidRPr="00DB707E">
              <w:t>NR_SDL_FR1_A</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857B250" w14:textId="77777777" w:rsidR="00524B77" w:rsidRPr="00DB707E" w:rsidRDefault="00524B77" w:rsidP="00430B21">
            <w:pPr>
              <w:pStyle w:val="TAC"/>
            </w:pPr>
            <w:r w:rsidRPr="00DB707E">
              <w:t>-121</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7607E9D" w14:textId="77777777" w:rsidR="00524B77" w:rsidRPr="00DB707E" w:rsidRDefault="00524B77" w:rsidP="00430B21">
            <w:pPr>
              <w:pStyle w:val="TAC"/>
            </w:pPr>
            <w:r w:rsidRPr="00DB707E">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BE61587" w14:textId="77777777" w:rsidR="00524B77" w:rsidRPr="00DB707E" w:rsidRDefault="00524B77" w:rsidP="00430B21">
            <w:pPr>
              <w:pStyle w:val="TAC"/>
            </w:pPr>
            <w:r w:rsidRPr="00DB707E">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4D4BEF3"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0AE4121" w14:textId="77777777" w:rsidR="00524B77" w:rsidRPr="00DB707E" w:rsidRDefault="00524B77" w:rsidP="00430B21">
            <w:pPr>
              <w:pStyle w:val="TAC"/>
            </w:pPr>
            <w:r w:rsidRPr="00DB707E">
              <w:t>-70</w:t>
            </w:r>
          </w:p>
        </w:tc>
      </w:tr>
      <w:tr w:rsidR="00524B77" w:rsidRPr="00DB707E" w14:paraId="688F856E" w14:textId="77777777" w:rsidTr="00430B21">
        <w:trPr>
          <w:jc w:val="center"/>
        </w:trPr>
        <w:tc>
          <w:tcPr>
            <w:tcW w:w="1031" w:type="dxa"/>
            <w:tcBorders>
              <w:left w:val="single" w:sz="4" w:space="0" w:color="auto"/>
              <w:right w:val="single" w:sz="6" w:space="0" w:color="auto"/>
            </w:tcBorders>
            <w:shd w:val="clear" w:color="auto" w:fill="auto"/>
          </w:tcPr>
          <w:p w14:paraId="4CC5418C" w14:textId="77777777" w:rsidR="00524B77" w:rsidRPr="00DB707E" w:rsidRDefault="00524B77" w:rsidP="00430B21">
            <w:pPr>
              <w:pStyle w:val="TAC"/>
            </w:pPr>
          </w:p>
        </w:tc>
        <w:tc>
          <w:tcPr>
            <w:tcW w:w="1043" w:type="dxa"/>
            <w:tcBorders>
              <w:left w:val="single" w:sz="6" w:space="0" w:color="auto"/>
              <w:right w:val="single" w:sz="6" w:space="0" w:color="auto"/>
            </w:tcBorders>
            <w:shd w:val="clear" w:color="auto" w:fill="auto"/>
          </w:tcPr>
          <w:p w14:paraId="467085DB" w14:textId="77777777" w:rsidR="00524B77" w:rsidRPr="00DB707E" w:rsidRDefault="00524B77" w:rsidP="00430B21">
            <w:pPr>
              <w:pStyle w:val="TAC"/>
            </w:pPr>
          </w:p>
        </w:tc>
        <w:tc>
          <w:tcPr>
            <w:tcW w:w="780" w:type="dxa"/>
            <w:tcBorders>
              <w:left w:val="single" w:sz="6" w:space="0" w:color="auto"/>
              <w:right w:val="single" w:sz="6" w:space="0" w:color="auto"/>
            </w:tcBorders>
            <w:shd w:val="clear" w:color="auto" w:fill="auto"/>
          </w:tcPr>
          <w:p w14:paraId="65CBEEE9" w14:textId="77777777" w:rsidR="00524B77" w:rsidRPr="00DB707E" w:rsidRDefault="00524B77" w:rsidP="00430B21">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5B993E01" w14:textId="77777777" w:rsidR="00524B77" w:rsidRPr="00DB707E" w:rsidRDefault="00524B77" w:rsidP="00430B21">
            <w:pPr>
              <w:pStyle w:val="TAC"/>
            </w:pPr>
            <w:r w:rsidRPr="00DB707E">
              <w:t>NR_FDD_FR1_B</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0EC92A5" w14:textId="77777777" w:rsidR="00524B77" w:rsidRPr="00DB707E" w:rsidRDefault="00524B77" w:rsidP="00430B21">
            <w:pPr>
              <w:pStyle w:val="TAC"/>
            </w:pPr>
            <w:r w:rsidRPr="00DB707E">
              <w:t>-120.5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EC27519" w14:textId="77777777" w:rsidR="00524B77" w:rsidRPr="00DB707E" w:rsidRDefault="00524B77" w:rsidP="00430B21">
            <w:pPr>
              <w:pStyle w:val="TAC"/>
              <w:rPr>
                <w:lang w:val="sv-SE"/>
              </w:rPr>
            </w:pPr>
            <w:r w:rsidRPr="00DB707E">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512F98D" w14:textId="77777777" w:rsidR="00524B77" w:rsidRPr="00DB707E" w:rsidRDefault="00524B77" w:rsidP="00430B21">
            <w:pPr>
              <w:pStyle w:val="TAC"/>
              <w:rPr>
                <w:lang w:val="sv-SE"/>
              </w:rPr>
            </w:pPr>
            <w:r w:rsidRPr="00DB707E">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3FC7C4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838728E" w14:textId="77777777" w:rsidR="00524B77" w:rsidRPr="00DB707E" w:rsidRDefault="00524B77" w:rsidP="00430B21">
            <w:pPr>
              <w:pStyle w:val="TAC"/>
            </w:pPr>
            <w:r w:rsidRPr="00DB707E">
              <w:t>-70</w:t>
            </w:r>
          </w:p>
        </w:tc>
      </w:tr>
      <w:tr w:rsidR="00524B77" w:rsidRPr="00DB707E" w14:paraId="748B00EC" w14:textId="77777777" w:rsidTr="00430B21">
        <w:trPr>
          <w:jc w:val="center"/>
        </w:trPr>
        <w:tc>
          <w:tcPr>
            <w:tcW w:w="1031" w:type="dxa"/>
            <w:tcBorders>
              <w:left w:val="single" w:sz="4" w:space="0" w:color="auto"/>
              <w:right w:val="single" w:sz="6" w:space="0" w:color="auto"/>
            </w:tcBorders>
            <w:shd w:val="clear" w:color="auto" w:fill="auto"/>
          </w:tcPr>
          <w:p w14:paraId="64FEB09D" w14:textId="77777777" w:rsidR="00524B77" w:rsidRPr="00DB707E" w:rsidRDefault="00524B77" w:rsidP="00430B21">
            <w:pPr>
              <w:pStyle w:val="TAC"/>
            </w:pPr>
          </w:p>
        </w:tc>
        <w:tc>
          <w:tcPr>
            <w:tcW w:w="1043" w:type="dxa"/>
            <w:tcBorders>
              <w:left w:val="single" w:sz="6" w:space="0" w:color="auto"/>
              <w:right w:val="single" w:sz="6" w:space="0" w:color="auto"/>
            </w:tcBorders>
            <w:shd w:val="clear" w:color="auto" w:fill="auto"/>
          </w:tcPr>
          <w:p w14:paraId="19CA6735" w14:textId="77777777" w:rsidR="00524B77" w:rsidRPr="00DB707E" w:rsidRDefault="00524B77" w:rsidP="00430B21">
            <w:pPr>
              <w:pStyle w:val="TAC"/>
            </w:pPr>
          </w:p>
        </w:tc>
        <w:tc>
          <w:tcPr>
            <w:tcW w:w="780" w:type="dxa"/>
            <w:tcBorders>
              <w:left w:val="single" w:sz="6" w:space="0" w:color="auto"/>
              <w:right w:val="single" w:sz="6" w:space="0" w:color="auto"/>
            </w:tcBorders>
            <w:shd w:val="clear" w:color="auto" w:fill="auto"/>
          </w:tcPr>
          <w:p w14:paraId="04E60C83" w14:textId="77777777" w:rsidR="00524B77" w:rsidRPr="00DB707E" w:rsidRDefault="00524B77" w:rsidP="00430B21">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087AB02C" w14:textId="77777777" w:rsidR="00524B77" w:rsidRPr="00DB707E" w:rsidRDefault="00524B77" w:rsidP="00430B21">
            <w:pPr>
              <w:pStyle w:val="TAC"/>
            </w:pPr>
            <w:r w:rsidRPr="00DB707E">
              <w:t>NR_TDD_FR1_C</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5C52C66" w14:textId="77777777" w:rsidR="00524B77" w:rsidRPr="00DB707E" w:rsidRDefault="00524B77" w:rsidP="00430B21">
            <w:pPr>
              <w:pStyle w:val="TAC"/>
            </w:pPr>
            <w:r w:rsidRPr="00DB707E">
              <w:t>-120</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8452988" w14:textId="77777777" w:rsidR="00524B77" w:rsidRPr="00DB707E" w:rsidRDefault="00524B77" w:rsidP="00430B21">
            <w:pPr>
              <w:pStyle w:val="TAC"/>
              <w:rPr>
                <w:lang w:val="sv-SE"/>
              </w:rPr>
            </w:pPr>
            <w:r w:rsidRPr="00DB707E">
              <w:t>-117</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057367F" w14:textId="77777777" w:rsidR="00524B77" w:rsidRPr="00DB707E" w:rsidRDefault="00524B77" w:rsidP="00430B21">
            <w:pPr>
              <w:pStyle w:val="TAC"/>
              <w:rPr>
                <w:lang w:val="sv-SE"/>
              </w:rPr>
            </w:pPr>
            <w:r w:rsidRPr="00DB707E">
              <w:t>-114</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CD29C2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6BD3AF2" w14:textId="77777777" w:rsidR="00524B77" w:rsidRPr="00DB707E" w:rsidRDefault="00524B77" w:rsidP="00430B21">
            <w:pPr>
              <w:pStyle w:val="TAC"/>
            </w:pPr>
            <w:r w:rsidRPr="00DB707E">
              <w:t>-70</w:t>
            </w:r>
          </w:p>
        </w:tc>
      </w:tr>
      <w:tr w:rsidR="00524B77" w:rsidRPr="00DB707E" w14:paraId="0AE85BB3" w14:textId="77777777" w:rsidTr="00430B21">
        <w:trPr>
          <w:jc w:val="center"/>
        </w:trPr>
        <w:tc>
          <w:tcPr>
            <w:tcW w:w="1031" w:type="dxa"/>
            <w:tcBorders>
              <w:left w:val="single" w:sz="4" w:space="0" w:color="auto"/>
              <w:right w:val="single" w:sz="6" w:space="0" w:color="auto"/>
            </w:tcBorders>
            <w:shd w:val="clear" w:color="auto" w:fill="auto"/>
          </w:tcPr>
          <w:p w14:paraId="13AF419E" w14:textId="77777777" w:rsidR="00524B77" w:rsidRPr="00DB707E" w:rsidRDefault="00524B77" w:rsidP="00430B21">
            <w:pPr>
              <w:pStyle w:val="TAC"/>
            </w:pPr>
            <w:r w:rsidRPr="00DB707E">
              <w:rPr>
                <w:rFonts w:cs="Arial"/>
              </w:rPr>
              <w:t>±</w:t>
            </w:r>
            <w:r w:rsidRPr="00DB707E">
              <w:t>5.0</w:t>
            </w:r>
          </w:p>
        </w:tc>
        <w:tc>
          <w:tcPr>
            <w:tcW w:w="1043" w:type="dxa"/>
            <w:tcBorders>
              <w:left w:val="single" w:sz="6" w:space="0" w:color="auto"/>
              <w:right w:val="single" w:sz="6" w:space="0" w:color="auto"/>
            </w:tcBorders>
            <w:shd w:val="clear" w:color="auto" w:fill="auto"/>
          </w:tcPr>
          <w:p w14:paraId="457502D2" w14:textId="77777777" w:rsidR="00524B77" w:rsidRPr="00DB707E" w:rsidRDefault="00524B77" w:rsidP="00430B21">
            <w:pPr>
              <w:pStyle w:val="TAC"/>
            </w:pPr>
            <w:r w:rsidRPr="00DB707E">
              <w:rPr>
                <w:rFonts w:cs="Arial"/>
              </w:rPr>
              <w:t>±</w:t>
            </w:r>
            <w:r w:rsidRPr="00DB707E">
              <w:t>9.5</w:t>
            </w:r>
          </w:p>
        </w:tc>
        <w:tc>
          <w:tcPr>
            <w:tcW w:w="780" w:type="dxa"/>
            <w:tcBorders>
              <w:left w:val="single" w:sz="6" w:space="0" w:color="auto"/>
              <w:right w:val="single" w:sz="6" w:space="0" w:color="auto"/>
            </w:tcBorders>
            <w:shd w:val="clear" w:color="auto" w:fill="auto"/>
          </w:tcPr>
          <w:p w14:paraId="34FA0383" w14:textId="77777777" w:rsidR="00524B77" w:rsidRPr="00DB707E" w:rsidRDefault="00524B77" w:rsidP="00430B21">
            <w:pPr>
              <w:pStyle w:val="TAC"/>
            </w:pPr>
            <w:r w:rsidRPr="00DB707E">
              <w:sym w:font="Symbol" w:char="F0B3"/>
            </w:r>
            <w:r w:rsidRPr="00DB707E">
              <w:t>-3</w:t>
            </w: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76658E88" w14:textId="77777777" w:rsidR="00524B77" w:rsidRPr="00DB707E" w:rsidRDefault="00524B77" w:rsidP="00430B21">
            <w:pPr>
              <w:pStyle w:val="TAC"/>
              <w:rPr>
                <w:lang w:val="sv-SE"/>
              </w:rPr>
            </w:pPr>
            <w:r w:rsidRPr="00DB707E">
              <w:rPr>
                <w:lang w:val="sv-SE"/>
              </w:rPr>
              <w:t>NR_FDD_FR1_D, NR_TDD_FR1_D</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119DE5C" w14:textId="77777777" w:rsidR="00524B77" w:rsidRPr="00DB707E" w:rsidDel="00FA4A82" w:rsidRDefault="00524B77" w:rsidP="00430B21">
            <w:pPr>
              <w:pStyle w:val="TAC"/>
            </w:pPr>
            <w:r w:rsidRPr="00DB707E">
              <w:t>-119.5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8743914" w14:textId="77777777" w:rsidR="00524B77" w:rsidRPr="00DB707E" w:rsidDel="00FA4A82" w:rsidRDefault="00524B77" w:rsidP="00430B21">
            <w:pPr>
              <w:pStyle w:val="TAC"/>
            </w:pPr>
            <w:r w:rsidRPr="00DB707E">
              <w:t>-116.5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DBE7CF3" w14:textId="77777777" w:rsidR="00524B77" w:rsidRPr="00DB707E" w:rsidDel="00FA4A82" w:rsidRDefault="00524B77" w:rsidP="00430B21">
            <w:pPr>
              <w:pStyle w:val="TAC"/>
            </w:pPr>
            <w:r w:rsidRPr="00DB707E">
              <w:t>-113.5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FCC3118"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784561C" w14:textId="77777777" w:rsidR="00524B77" w:rsidRPr="00DB707E" w:rsidRDefault="00524B77" w:rsidP="00430B21">
            <w:pPr>
              <w:pStyle w:val="TAC"/>
            </w:pPr>
            <w:r w:rsidRPr="00DB707E">
              <w:t>-70</w:t>
            </w:r>
          </w:p>
        </w:tc>
      </w:tr>
      <w:tr w:rsidR="00524B77" w:rsidRPr="00DB707E" w14:paraId="0E488C85" w14:textId="77777777" w:rsidTr="00430B21">
        <w:trPr>
          <w:jc w:val="center"/>
        </w:trPr>
        <w:tc>
          <w:tcPr>
            <w:tcW w:w="1031" w:type="dxa"/>
            <w:tcBorders>
              <w:left w:val="single" w:sz="4" w:space="0" w:color="auto"/>
              <w:right w:val="single" w:sz="6" w:space="0" w:color="auto"/>
            </w:tcBorders>
            <w:shd w:val="clear" w:color="auto" w:fill="auto"/>
          </w:tcPr>
          <w:p w14:paraId="0F12883E" w14:textId="77777777" w:rsidR="00524B77" w:rsidRPr="00DB707E" w:rsidRDefault="00524B77" w:rsidP="00430B21">
            <w:pPr>
              <w:pStyle w:val="TAC"/>
            </w:pPr>
          </w:p>
        </w:tc>
        <w:tc>
          <w:tcPr>
            <w:tcW w:w="1043" w:type="dxa"/>
            <w:tcBorders>
              <w:left w:val="single" w:sz="6" w:space="0" w:color="auto"/>
              <w:right w:val="single" w:sz="6" w:space="0" w:color="auto"/>
            </w:tcBorders>
            <w:shd w:val="clear" w:color="auto" w:fill="auto"/>
          </w:tcPr>
          <w:p w14:paraId="55017E6D" w14:textId="77777777" w:rsidR="00524B77" w:rsidRPr="00DB707E" w:rsidRDefault="00524B77" w:rsidP="00430B21">
            <w:pPr>
              <w:pStyle w:val="TAC"/>
            </w:pPr>
          </w:p>
        </w:tc>
        <w:tc>
          <w:tcPr>
            <w:tcW w:w="780" w:type="dxa"/>
            <w:tcBorders>
              <w:left w:val="single" w:sz="6" w:space="0" w:color="auto"/>
              <w:right w:val="single" w:sz="6" w:space="0" w:color="auto"/>
            </w:tcBorders>
            <w:shd w:val="clear" w:color="auto" w:fill="auto"/>
          </w:tcPr>
          <w:p w14:paraId="355BF583" w14:textId="77777777" w:rsidR="00524B77" w:rsidRPr="00DB707E" w:rsidRDefault="00524B77" w:rsidP="00430B21">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23E67B3B" w14:textId="77777777" w:rsidR="00524B77" w:rsidRPr="00DB707E" w:rsidDel="00836998" w:rsidRDefault="00524B77" w:rsidP="00430B21">
            <w:pPr>
              <w:pStyle w:val="TAC"/>
              <w:rPr>
                <w:lang w:val="sv-SE"/>
              </w:rPr>
            </w:pPr>
            <w:r w:rsidRPr="00DB707E">
              <w:rPr>
                <w:lang w:val="sv-SE"/>
              </w:rPr>
              <w:t>NR_FDD_FR1_E, NR_TDD_FR1_E</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C125BB3" w14:textId="77777777" w:rsidR="00524B77" w:rsidRPr="00DB707E" w:rsidRDefault="00524B77" w:rsidP="00430B21">
            <w:pPr>
              <w:pStyle w:val="TAC"/>
            </w:pPr>
            <w:r w:rsidRPr="00DB707E">
              <w:t>-119</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754D6FE" w14:textId="77777777" w:rsidR="00524B77" w:rsidRPr="00DB707E" w:rsidRDefault="00524B77" w:rsidP="00430B21">
            <w:pPr>
              <w:pStyle w:val="TAC"/>
              <w:rPr>
                <w:lang w:val="sv-SE"/>
              </w:rPr>
            </w:pPr>
            <w:r w:rsidRPr="00DB707E">
              <w:t>-116</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CC89682" w14:textId="77777777" w:rsidR="00524B77" w:rsidRPr="00DB707E" w:rsidRDefault="00524B77" w:rsidP="00430B21">
            <w:pPr>
              <w:pStyle w:val="TAC"/>
              <w:rPr>
                <w:lang w:val="sv-SE"/>
              </w:rPr>
            </w:pPr>
            <w:r w:rsidRPr="00DB707E">
              <w:t>-113</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642B099"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77DC056" w14:textId="77777777" w:rsidR="00524B77" w:rsidRPr="00DB707E" w:rsidRDefault="00524B77" w:rsidP="00430B21">
            <w:pPr>
              <w:pStyle w:val="TAC"/>
            </w:pPr>
            <w:r w:rsidRPr="00DB707E">
              <w:t>-70</w:t>
            </w:r>
          </w:p>
        </w:tc>
      </w:tr>
      <w:tr w:rsidR="00524B77" w:rsidRPr="00DB707E" w14:paraId="2C369132" w14:textId="77777777" w:rsidTr="00430B21">
        <w:trPr>
          <w:jc w:val="center"/>
        </w:trPr>
        <w:tc>
          <w:tcPr>
            <w:tcW w:w="1031" w:type="dxa"/>
            <w:tcBorders>
              <w:left w:val="single" w:sz="4" w:space="0" w:color="auto"/>
              <w:right w:val="single" w:sz="6" w:space="0" w:color="auto"/>
            </w:tcBorders>
            <w:shd w:val="clear" w:color="auto" w:fill="auto"/>
          </w:tcPr>
          <w:p w14:paraId="104385AA" w14:textId="77777777" w:rsidR="00524B77" w:rsidRPr="00DB707E" w:rsidRDefault="00524B77" w:rsidP="00430B21">
            <w:pPr>
              <w:pStyle w:val="TAC"/>
            </w:pPr>
          </w:p>
        </w:tc>
        <w:tc>
          <w:tcPr>
            <w:tcW w:w="1043" w:type="dxa"/>
            <w:tcBorders>
              <w:left w:val="single" w:sz="6" w:space="0" w:color="auto"/>
              <w:right w:val="single" w:sz="6" w:space="0" w:color="auto"/>
            </w:tcBorders>
            <w:shd w:val="clear" w:color="auto" w:fill="auto"/>
          </w:tcPr>
          <w:p w14:paraId="096B78D8" w14:textId="77777777" w:rsidR="00524B77" w:rsidRPr="00DB707E" w:rsidRDefault="00524B77" w:rsidP="00430B21">
            <w:pPr>
              <w:pStyle w:val="TAC"/>
            </w:pPr>
          </w:p>
        </w:tc>
        <w:tc>
          <w:tcPr>
            <w:tcW w:w="780" w:type="dxa"/>
            <w:tcBorders>
              <w:left w:val="single" w:sz="6" w:space="0" w:color="auto"/>
              <w:right w:val="single" w:sz="6" w:space="0" w:color="auto"/>
            </w:tcBorders>
            <w:shd w:val="clear" w:color="auto" w:fill="auto"/>
          </w:tcPr>
          <w:p w14:paraId="7B079EC7" w14:textId="77777777" w:rsidR="00524B77" w:rsidRPr="00DB707E" w:rsidRDefault="00524B77" w:rsidP="00430B21">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6E632DDA" w14:textId="77777777" w:rsidR="00524B77" w:rsidRPr="00DB707E" w:rsidRDefault="00524B77" w:rsidP="00430B21">
            <w:pPr>
              <w:pStyle w:val="TAC"/>
              <w:rPr>
                <w:lang w:val="sv-SE"/>
              </w:rPr>
            </w:pPr>
            <w:r w:rsidRPr="00DB707E">
              <w:rPr>
                <w:lang w:eastAsia="zh-CN"/>
              </w:rPr>
              <w:t>NR_FDD_FR1_F</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DE3043F" w14:textId="77777777" w:rsidR="00524B77" w:rsidRPr="00DB707E" w:rsidRDefault="00524B77" w:rsidP="00430B21">
            <w:pPr>
              <w:pStyle w:val="TAC"/>
            </w:pPr>
            <w:r w:rsidRPr="00DB707E">
              <w:t>-118.5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926CF10" w14:textId="77777777" w:rsidR="00524B77" w:rsidRPr="00DB707E" w:rsidRDefault="00524B77" w:rsidP="00430B21">
            <w:pPr>
              <w:pStyle w:val="TAC"/>
            </w:pPr>
            <w:r w:rsidRPr="00DB707E">
              <w:rPr>
                <w:rFonts w:cs="Arial"/>
              </w:rPr>
              <w:t>-115.5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0E25B20" w14:textId="77777777" w:rsidR="00524B77" w:rsidRPr="00DB707E" w:rsidRDefault="00524B77" w:rsidP="00430B21">
            <w:pPr>
              <w:pStyle w:val="TAC"/>
            </w:pPr>
            <w:r w:rsidRPr="00DB707E">
              <w:rPr>
                <w:rFonts w:cs="Arial"/>
              </w:rPr>
              <w:t>-112.5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6CEAAF3"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180FB53" w14:textId="77777777" w:rsidR="00524B77" w:rsidRPr="00DB707E" w:rsidRDefault="00524B77" w:rsidP="00430B21">
            <w:pPr>
              <w:pStyle w:val="TAC"/>
            </w:pPr>
            <w:r w:rsidRPr="00DB707E">
              <w:t>-70</w:t>
            </w:r>
          </w:p>
        </w:tc>
      </w:tr>
      <w:tr w:rsidR="00524B77" w:rsidRPr="00DB707E" w14:paraId="190E295F" w14:textId="77777777" w:rsidTr="00430B21">
        <w:trPr>
          <w:jc w:val="center"/>
        </w:trPr>
        <w:tc>
          <w:tcPr>
            <w:tcW w:w="1031" w:type="dxa"/>
            <w:tcBorders>
              <w:left w:val="single" w:sz="4" w:space="0" w:color="auto"/>
              <w:right w:val="single" w:sz="6" w:space="0" w:color="auto"/>
            </w:tcBorders>
            <w:shd w:val="clear" w:color="auto" w:fill="auto"/>
          </w:tcPr>
          <w:p w14:paraId="446CF02C" w14:textId="77777777" w:rsidR="00524B77" w:rsidRPr="00DB707E" w:rsidRDefault="00524B77" w:rsidP="00430B21">
            <w:pPr>
              <w:pStyle w:val="TAC"/>
            </w:pPr>
          </w:p>
        </w:tc>
        <w:tc>
          <w:tcPr>
            <w:tcW w:w="1043" w:type="dxa"/>
            <w:tcBorders>
              <w:left w:val="single" w:sz="6" w:space="0" w:color="auto"/>
              <w:right w:val="single" w:sz="6" w:space="0" w:color="auto"/>
            </w:tcBorders>
            <w:shd w:val="clear" w:color="auto" w:fill="auto"/>
          </w:tcPr>
          <w:p w14:paraId="2246ACFD" w14:textId="77777777" w:rsidR="00524B77" w:rsidRPr="00DB707E" w:rsidRDefault="00524B77" w:rsidP="00430B21">
            <w:pPr>
              <w:pStyle w:val="TAC"/>
            </w:pPr>
          </w:p>
        </w:tc>
        <w:tc>
          <w:tcPr>
            <w:tcW w:w="780" w:type="dxa"/>
            <w:tcBorders>
              <w:left w:val="single" w:sz="6" w:space="0" w:color="auto"/>
              <w:right w:val="single" w:sz="6" w:space="0" w:color="auto"/>
            </w:tcBorders>
            <w:shd w:val="clear" w:color="auto" w:fill="auto"/>
          </w:tcPr>
          <w:p w14:paraId="0C673A0F" w14:textId="77777777" w:rsidR="00524B77" w:rsidRPr="00DB707E" w:rsidRDefault="00524B77" w:rsidP="00430B21">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6F2B0440"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04EEAEF" w14:textId="77777777" w:rsidR="00524B77" w:rsidRPr="00DB707E" w:rsidRDefault="00524B77" w:rsidP="00430B21">
            <w:pPr>
              <w:pStyle w:val="TAC"/>
            </w:pPr>
            <w:r w:rsidRPr="00DB707E">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E97AB04" w14:textId="77777777" w:rsidR="00524B77" w:rsidRPr="00DB707E" w:rsidRDefault="00524B77" w:rsidP="00430B21">
            <w:pPr>
              <w:pStyle w:val="TAC"/>
              <w:rPr>
                <w:rFonts w:cs="Arial"/>
                <w:lang w:val="sv-SE"/>
              </w:rPr>
            </w:pPr>
            <w:r w:rsidRPr="00DB707E">
              <w:rPr>
                <w:rFonts w:cs="Arial"/>
              </w:rPr>
              <w:t>-115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B888A47" w14:textId="77777777" w:rsidR="00524B77" w:rsidRPr="00DB707E" w:rsidRDefault="00524B77" w:rsidP="00430B21">
            <w:pPr>
              <w:pStyle w:val="TAC"/>
              <w:rPr>
                <w:rFonts w:cs="Arial"/>
                <w:lang w:val="sv-SE"/>
              </w:rPr>
            </w:pPr>
            <w:r w:rsidRPr="00DB707E">
              <w:rPr>
                <w:rFonts w:cs="Arial"/>
              </w:rPr>
              <w:t>-112</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02D86C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D978675" w14:textId="77777777" w:rsidR="00524B77" w:rsidRPr="00DB707E" w:rsidRDefault="00524B77" w:rsidP="00430B21">
            <w:pPr>
              <w:pStyle w:val="TAC"/>
            </w:pPr>
            <w:r w:rsidRPr="00DB707E">
              <w:t>-70</w:t>
            </w:r>
          </w:p>
        </w:tc>
      </w:tr>
      <w:tr w:rsidR="00524B77" w:rsidRPr="00DB707E" w14:paraId="3E2C86DA" w14:textId="77777777" w:rsidTr="00430B21">
        <w:trPr>
          <w:jc w:val="center"/>
        </w:trPr>
        <w:tc>
          <w:tcPr>
            <w:tcW w:w="1031" w:type="dxa"/>
            <w:tcBorders>
              <w:left w:val="single" w:sz="4" w:space="0" w:color="auto"/>
              <w:right w:val="single" w:sz="6" w:space="0" w:color="auto"/>
            </w:tcBorders>
            <w:shd w:val="clear" w:color="auto" w:fill="auto"/>
          </w:tcPr>
          <w:p w14:paraId="4F55E672" w14:textId="77777777" w:rsidR="00524B77" w:rsidRPr="00DB707E" w:rsidRDefault="00524B77" w:rsidP="00430B21">
            <w:pPr>
              <w:pStyle w:val="TAC"/>
            </w:pPr>
          </w:p>
        </w:tc>
        <w:tc>
          <w:tcPr>
            <w:tcW w:w="1043" w:type="dxa"/>
            <w:tcBorders>
              <w:left w:val="single" w:sz="6" w:space="0" w:color="auto"/>
              <w:right w:val="single" w:sz="6" w:space="0" w:color="auto"/>
            </w:tcBorders>
            <w:shd w:val="clear" w:color="auto" w:fill="auto"/>
          </w:tcPr>
          <w:p w14:paraId="2D768173" w14:textId="77777777" w:rsidR="00524B77" w:rsidRPr="00DB707E" w:rsidRDefault="00524B77" w:rsidP="00430B21">
            <w:pPr>
              <w:pStyle w:val="TAC"/>
            </w:pPr>
          </w:p>
        </w:tc>
        <w:tc>
          <w:tcPr>
            <w:tcW w:w="780" w:type="dxa"/>
            <w:tcBorders>
              <w:left w:val="single" w:sz="6" w:space="0" w:color="auto"/>
              <w:right w:val="single" w:sz="6" w:space="0" w:color="auto"/>
            </w:tcBorders>
            <w:shd w:val="clear" w:color="auto" w:fill="auto"/>
          </w:tcPr>
          <w:p w14:paraId="3650F10B" w14:textId="77777777" w:rsidR="00524B77" w:rsidRPr="00DB707E" w:rsidRDefault="00524B77" w:rsidP="00430B21">
            <w:pPr>
              <w:pStyle w:val="TAC"/>
            </w:pP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5A3C0BC9"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C9D0139" w14:textId="77777777" w:rsidR="00524B77" w:rsidRPr="00DB707E" w:rsidRDefault="00524B77" w:rsidP="00430B21">
            <w:pPr>
              <w:pStyle w:val="TAC"/>
            </w:pPr>
            <w:r w:rsidRPr="00DB707E">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E44D46E" w14:textId="77777777" w:rsidR="00524B77" w:rsidRPr="00DB707E" w:rsidRDefault="00524B77" w:rsidP="00430B21">
            <w:pPr>
              <w:pStyle w:val="TAC"/>
              <w:rPr>
                <w:rFonts w:cs="Arial"/>
                <w:lang w:val="sv-SE"/>
              </w:rPr>
            </w:pPr>
            <w:r w:rsidRPr="00DB707E">
              <w:rPr>
                <w:rFonts w:cs="Arial"/>
              </w:rPr>
              <w:t>-114.5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19648F0" w14:textId="77777777" w:rsidR="00524B77" w:rsidRPr="00DB707E" w:rsidRDefault="00524B77" w:rsidP="00430B21">
            <w:pPr>
              <w:pStyle w:val="TAC"/>
              <w:rPr>
                <w:rFonts w:cs="Arial"/>
                <w:lang w:val="sv-SE"/>
              </w:rPr>
            </w:pPr>
            <w:r w:rsidRPr="00DB707E">
              <w:rPr>
                <w:rFonts w:cs="Arial"/>
              </w:rPr>
              <w:t>-111.5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D791C3F"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1A3D5682" w14:textId="77777777" w:rsidR="00524B77" w:rsidRPr="00DB707E" w:rsidRDefault="00524B77" w:rsidP="00430B21">
            <w:pPr>
              <w:pStyle w:val="TAC"/>
            </w:pPr>
            <w:r w:rsidRPr="00DB707E">
              <w:t>-70</w:t>
            </w:r>
          </w:p>
        </w:tc>
      </w:tr>
      <w:tr w:rsidR="00524B77" w:rsidRPr="00DB707E" w14:paraId="7AAF1FF0" w14:textId="77777777" w:rsidTr="00430B21">
        <w:trPr>
          <w:jc w:val="center"/>
        </w:trPr>
        <w:tc>
          <w:tcPr>
            <w:tcW w:w="1031" w:type="dxa"/>
            <w:tcBorders>
              <w:top w:val="single" w:sz="6" w:space="0" w:color="auto"/>
              <w:left w:val="single" w:sz="4" w:space="0" w:color="auto"/>
              <w:bottom w:val="single" w:sz="6" w:space="0" w:color="auto"/>
              <w:right w:val="single" w:sz="6" w:space="0" w:color="auto"/>
            </w:tcBorders>
            <w:shd w:val="clear" w:color="auto" w:fill="auto"/>
          </w:tcPr>
          <w:p w14:paraId="4D3E39ED" w14:textId="77777777" w:rsidR="00524B77" w:rsidRPr="00DB707E" w:rsidRDefault="00524B77" w:rsidP="00430B21">
            <w:pPr>
              <w:pStyle w:val="TAC"/>
            </w:pPr>
            <w:r w:rsidRPr="00DB707E">
              <w:rPr>
                <w:rFonts w:cs="Arial"/>
              </w:rPr>
              <w:t>±</w:t>
            </w:r>
            <w:r w:rsidRPr="00DB707E">
              <w:t>8.5</w:t>
            </w:r>
          </w:p>
        </w:tc>
        <w:tc>
          <w:tcPr>
            <w:tcW w:w="1043" w:type="dxa"/>
            <w:tcBorders>
              <w:top w:val="single" w:sz="6" w:space="0" w:color="auto"/>
              <w:left w:val="single" w:sz="6" w:space="0" w:color="auto"/>
              <w:bottom w:val="single" w:sz="6" w:space="0" w:color="auto"/>
              <w:right w:val="single" w:sz="6" w:space="0" w:color="auto"/>
            </w:tcBorders>
            <w:shd w:val="clear" w:color="auto" w:fill="auto"/>
          </w:tcPr>
          <w:p w14:paraId="6741260B" w14:textId="77777777" w:rsidR="00524B77" w:rsidRPr="00DB707E" w:rsidRDefault="00524B77" w:rsidP="00430B21">
            <w:pPr>
              <w:pStyle w:val="TAC"/>
            </w:pPr>
            <w:r w:rsidRPr="00DB707E">
              <w:rPr>
                <w:rFonts w:cs="Arial"/>
              </w:rPr>
              <w:t>±</w:t>
            </w:r>
            <w:r w:rsidRPr="00DB707E">
              <w:t>11.5</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495D51E2" w14:textId="77777777" w:rsidR="00524B77" w:rsidRPr="00DB707E" w:rsidRDefault="00524B77" w:rsidP="00430B21">
            <w:pPr>
              <w:pStyle w:val="TAC"/>
            </w:pPr>
            <w:r w:rsidRPr="00DB707E">
              <w:sym w:font="Symbol" w:char="F0B3"/>
            </w:r>
            <w:r w:rsidRPr="00DB707E">
              <w:t>-3</w:t>
            </w:r>
          </w:p>
        </w:tc>
        <w:tc>
          <w:tcPr>
            <w:tcW w:w="1957" w:type="dxa"/>
            <w:tcBorders>
              <w:top w:val="single" w:sz="6" w:space="0" w:color="auto"/>
              <w:left w:val="single" w:sz="6" w:space="0" w:color="auto"/>
              <w:bottom w:val="single" w:sz="6" w:space="0" w:color="auto"/>
              <w:right w:val="single" w:sz="4" w:space="0" w:color="auto"/>
            </w:tcBorders>
            <w:shd w:val="clear" w:color="auto" w:fill="auto"/>
          </w:tcPr>
          <w:p w14:paraId="1C1B156F" w14:textId="77777777" w:rsidR="00524B77" w:rsidRPr="00DB707E" w:rsidRDefault="00524B77" w:rsidP="00430B21">
            <w:pPr>
              <w:pStyle w:val="TAC"/>
            </w:pPr>
            <w:r w:rsidRPr="00DB707E">
              <w:t>NR_FDD_FR1_A, NR_TDD_FR1_A,</w:t>
            </w:r>
          </w:p>
          <w:p w14:paraId="5611FDFE" w14:textId="77777777" w:rsidR="00524B77" w:rsidRPr="00DB707E" w:rsidRDefault="00524B77" w:rsidP="00430B21">
            <w:pPr>
              <w:pStyle w:val="TAC"/>
            </w:pPr>
            <w:r w:rsidRPr="00DB707E">
              <w:t>NR_SDL_FR1_A,</w:t>
            </w:r>
          </w:p>
          <w:p w14:paraId="0B49DBBC" w14:textId="77777777" w:rsidR="00524B77" w:rsidRPr="00DB707E" w:rsidRDefault="00524B77" w:rsidP="00430B21">
            <w:pPr>
              <w:pStyle w:val="TAC"/>
            </w:pPr>
            <w:r w:rsidRPr="00DB707E">
              <w:t>NR_FDD_FR1_B, NR_TDD_FR1_C, NR_FDD_FR1_D, NR_TDD_FR1_D, NR_FDD_FR1_E, NR_TDD_FR1_E, NR_FDD_FR1_F,</w:t>
            </w:r>
          </w:p>
          <w:p w14:paraId="2B7F6256" w14:textId="77777777" w:rsidR="00524B77" w:rsidRPr="00DB707E" w:rsidRDefault="00524B77" w:rsidP="00430B21">
            <w:pPr>
              <w:pStyle w:val="TAC"/>
              <w:rPr>
                <w:lang w:val="sv-FI"/>
              </w:rPr>
            </w:pPr>
            <w:r w:rsidRPr="00DB707E">
              <w:rPr>
                <w:lang w:val="sv-FI"/>
              </w:rPr>
              <w:t>NR_FDD_FR1_G, NR_FDD_FR1_H</w:t>
            </w:r>
          </w:p>
        </w:tc>
        <w:tc>
          <w:tcPr>
            <w:tcW w:w="827" w:type="dxa"/>
            <w:tcBorders>
              <w:top w:val="single" w:sz="6" w:space="0" w:color="auto"/>
              <w:left w:val="single" w:sz="4" w:space="0" w:color="auto"/>
              <w:bottom w:val="single" w:sz="4" w:space="0" w:color="auto"/>
              <w:right w:val="single" w:sz="6" w:space="0" w:color="auto"/>
            </w:tcBorders>
            <w:shd w:val="clear" w:color="auto" w:fill="auto"/>
          </w:tcPr>
          <w:p w14:paraId="50EC4912" w14:textId="77777777" w:rsidR="00524B77" w:rsidRPr="00DB707E" w:rsidRDefault="00524B77" w:rsidP="00430B21">
            <w:pPr>
              <w:pStyle w:val="TAC"/>
            </w:pPr>
            <w:r w:rsidRPr="00DB707E">
              <w:t>N/A</w:t>
            </w:r>
          </w:p>
        </w:tc>
        <w:tc>
          <w:tcPr>
            <w:tcW w:w="827" w:type="dxa"/>
            <w:tcBorders>
              <w:top w:val="single" w:sz="6" w:space="0" w:color="auto"/>
              <w:left w:val="single" w:sz="4" w:space="0" w:color="auto"/>
              <w:bottom w:val="single" w:sz="4" w:space="0" w:color="auto"/>
              <w:right w:val="single" w:sz="6" w:space="0" w:color="auto"/>
            </w:tcBorders>
            <w:shd w:val="clear" w:color="auto" w:fill="auto"/>
          </w:tcPr>
          <w:p w14:paraId="13BC0A7D" w14:textId="77777777" w:rsidR="00524B77" w:rsidRPr="00DB707E" w:rsidRDefault="00524B77" w:rsidP="00430B21">
            <w:pPr>
              <w:pStyle w:val="TAC"/>
              <w:rPr>
                <w:lang w:eastAsia="zh-CN"/>
              </w:rPr>
            </w:pPr>
            <w:r w:rsidRPr="00DB707E">
              <w:rPr>
                <w:lang w:eastAsia="zh-CN"/>
              </w:rPr>
              <w:t>N/A</w:t>
            </w:r>
          </w:p>
        </w:tc>
        <w:tc>
          <w:tcPr>
            <w:tcW w:w="827" w:type="dxa"/>
            <w:tcBorders>
              <w:top w:val="single" w:sz="6" w:space="0" w:color="auto"/>
              <w:left w:val="single" w:sz="4" w:space="0" w:color="auto"/>
              <w:bottom w:val="single" w:sz="4" w:space="0" w:color="auto"/>
              <w:right w:val="single" w:sz="6" w:space="0" w:color="auto"/>
            </w:tcBorders>
            <w:shd w:val="clear" w:color="auto" w:fill="auto"/>
          </w:tcPr>
          <w:p w14:paraId="2FEB13CF" w14:textId="77777777" w:rsidR="00524B77" w:rsidRPr="00DB707E" w:rsidRDefault="00524B77" w:rsidP="00430B21">
            <w:pPr>
              <w:pStyle w:val="TAC"/>
              <w:rPr>
                <w:lang w:eastAsia="zh-CN"/>
              </w:rPr>
            </w:pPr>
            <w:r w:rsidRPr="00DB707E">
              <w:rPr>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tcPr>
          <w:p w14:paraId="6863C117" w14:textId="77777777" w:rsidR="00524B77" w:rsidRPr="00DB707E" w:rsidRDefault="00524B77" w:rsidP="00430B21">
            <w:pPr>
              <w:pStyle w:val="TAC"/>
            </w:pPr>
            <w:r w:rsidRPr="00DB707E">
              <w:t>-70</w:t>
            </w:r>
          </w:p>
        </w:tc>
        <w:tc>
          <w:tcPr>
            <w:tcW w:w="1440" w:type="dxa"/>
            <w:tcBorders>
              <w:top w:val="single" w:sz="6" w:space="0" w:color="auto"/>
              <w:left w:val="single" w:sz="6" w:space="0" w:color="auto"/>
              <w:bottom w:val="single" w:sz="4" w:space="0" w:color="auto"/>
              <w:right w:val="single" w:sz="4" w:space="0" w:color="auto"/>
            </w:tcBorders>
            <w:shd w:val="clear" w:color="auto" w:fill="auto"/>
          </w:tcPr>
          <w:p w14:paraId="55F387D7" w14:textId="77777777" w:rsidR="00524B77" w:rsidRPr="00DB707E" w:rsidRDefault="00524B77" w:rsidP="00430B21">
            <w:pPr>
              <w:pStyle w:val="TAC"/>
            </w:pPr>
            <w:r w:rsidRPr="00DB707E">
              <w:t>-50</w:t>
            </w:r>
          </w:p>
        </w:tc>
      </w:tr>
      <w:tr w:rsidR="00524B77" w:rsidRPr="00DB707E" w14:paraId="419E242E" w14:textId="77777777" w:rsidTr="00430B21">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2B693C6A" w14:textId="77777777" w:rsidR="00524B77" w:rsidRPr="00DB707E" w:rsidRDefault="00524B77" w:rsidP="00430B21">
            <w:pPr>
              <w:pStyle w:val="TAN"/>
            </w:pPr>
            <w:r w:rsidRPr="00DB707E">
              <w:t>NOTE 1:</w:t>
            </w:r>
            <w:r w:rsidRPr="00DB707E">
              <w:tab/>
              <w:t>Io is assumed to have constant EPRE across the bandwidth.</w:t>
            </w:r>
          </w:p>
          <w:p w14:paraId="7F3F7CA8" w14:textId="77777777" w:rsidR="00524B77" w:rsidRPr="00DB707E" w:rsidRDefault="00524B77" w:rsidP="00430B21">
            <w:pPr>
              <w:pStyle w:val="TAN"/>
            </w:pPr>
            <w:r w:rsidRPr="00DB707E">
              <w:t>NOTE 2:</w:t>
            </w:r>
            <w:r w:rsidRPr="00DB707E">
              <w:tab/>
              <w:t>NR operating band groups in FR1 are as defined in clause 3.5.2.</w:t>
            </w:r>
          </w:p>
        </w:tc>
      </w:tr>
    </w:tbl>
    <w:p w14:paraId="6ADEC8F5" w14:textId="77777777" w:rsidR="00524B77" w:rsidRPr="00DB707E" w:rsidRDefault="00524B77" w:rsidP="00524B77">
      <w:pPr>
        <w:rPr>
          <w:lang w:eastAsia="zh-CN"/>
        </w:rPr>
      </w:pPr>
    </w:p>
    <w:p w14:paraId="7FD04D72" w14:textId="77777777" w:rsidR="00524B77" w:rsidRPr="00DB707E" w:rsidRDefault="00524B77" w:rsidP="00524B77">
      <w:pPr>
        <w:pStyle w:val="Heading5"/>
      </w:pPr>
      <w:r w:rsidRPr="00DB707E">
        <w:t>10.1A.14.2.2</w:t>
      </w:r>
      <w:r w:rsidRPr="00DB707E">
        <w:tab/>
        <w:t>Relative Accuracy</w:t>
      </w:r>
    </w:p>
    <w:p w14:paraId="753804B9" w14:textId="77777777" w:rsidR="00524B77" w:rsidRPr="00DB707E" w:rsidRDefault="00524B77" w:rsidP="00524B77">
      <w:pPr>
        <w:rPr>
          <w:rFonts w:cs="v4.2.0"/>
        </w:rPr>
      </w:pPr>
      <w:r w:rsidRPr="00DB707E">
        <w:rPr>
          <w:rFonts w:cs="v4.2.0"/>
        </w:rPr>
        <w:t xml:space="preserve">The accuracy requirements in clause </w:t>
      </w:r>
      <w:r w:rsidRPr="00DB707E">
        <w:t>10.1.19.2.2</w:t>
      </w:r>
      <w:r w:rsidRPr="00DB707E">
        <w:rPr>
          <w:rFonts w:cs="v4.2.0"/>
        </w:rPr>
        <w:t xml:space="preserve"> shall apply when RedCap UE is capable of 2Rx. When UE is only required to support 1RX, the absolute accuracy requirements in Table </w:t>
      </w:r>
      <w:r w:rsidRPr="00DB707E">
        <w:t>10.1A.14.2.2-1</w:t>
      </w:r>
      <w:r w:rsidRPr="00DB707E">
        <w:rPr>
          <w:rFonts w:cs="v4.2.0"/>
        </w:rPr>
        <w:t xml:space="preserve"> are valid under the following conditions:</w:t>
      </w:r>
    </w:p>
    <w:p w14:paraId="011A2638" w14:textId="77777777" w:rsidR="00524B77" w:rsidRPr="00DB707E" w:rsidRDefault="00524B77" w:rsidP="00524B77">
      <w:pPr>
        <w:pStyle w:val="B10"/>
        <w:rPr>
          <w:rFonts w:ascii="Arial" w:hAnsi="Arial"/>
          <w:sz w:val="28"/>
        </w:rPr>
      </w:pPr>
      <w:r w:rsidRPr="00DB707E">
        <w:t>-</w:t>
      </w:r>
      <w:r w:rsidRPr="00DB707E">
        <w:tab/>
        <w:t>Conditions defined in clause 7.3 of TS 38.101-1 [18] for reference sensitivity are fulfilled.</w:t>
      </w:r>
    </w:p>
    <w:p w14:paraId="6338F34E" w14:textId="77777777" w:rsidR="00524B77" w:rsidRPr="00DB707E" w:rsidRDefault="00524B77" w:rsidP="00524B77">
      <w:pPr>
        <w:pStyle w:val="B10"/>
        <w:rPr>
          <w:lang w:eastAsia="zh-CN"/>
        </w:rPr>
      </w:pPr>
      <w:r w:rsidRPr="00DB707E">
        <w:t>-</w:t>
      </w:r>
      <w:r w:rsidRPr="00DB707E">
        <w:rPr>
          <w:rFonts w:ascii="Arial" w:hAnsi="Arial"/>
          <w:sz w:val="28"/>
          <w:lang w:val="en-US"/>
        </w:rPr>
        <w:tab/>
      </w:r>
      <w:r w:rsidRPr="00DB707E">
        <w:t xml:space="preserve">Conditions for L1-RSRP measurements are fulfilled according to Annex B.2.4.2 for a corresponding Band </w:t>
      </w:r>
      <w:r w:rsidRPr="00DB707E">
        <w:rPr>
          <w:rFonts w:cs="v4.2.0"/>
          <w:lang w:eastAsia="ko-KR"/>
        </w:rPr>
        <w:t>for each relevant CSI-RS</w:t>
      </w:r>
      <w:r w:rsidRPr="00DB707E">
        <w:rPr>
          <w:lang w:eastAsia="zh-CN"/>
        </w:rPr>
        <w:t>.</w:t>
      </w:r>
    </w:p>
    <w:p w14:paraId="1ADAE3B0" w14:textId="77777777" w:rsidR="00524B77" w:rsidRPr="00DB707E" w:rsidRDefault="00524B77" w:rsidP="00524B77">
      <w:pPr>
        <w:pStyle w:val="B10"/>
        <w:rPr>
          <w:lang w:eastAsia="zh-CN"/>
        </w:rPr>
      </w:pPr>
      <w:r w:rsidRPr="00DB707E">
        <w:rPr>
          <w:lang w:eastAsia="zh-CN"/>
        </w:rPr>
        <w:t>-</w:t>
      </w:r>
      <w:r w:rsidRPr="00DB707E">
        <w:rPr>
          <w:lang w:eastAsia="zh-CN"/>
        </w:rPr>
        <w:tab/>
        <w:t>The bandwidth of CSI-RS is 48 PRBs and the density is 3.</w:t>
      </w:r>
    </w:p>
    <w:p w14:paraId="5A5D888A" w14:textId="77777777" w:rsidR="00524B77" w:rsidRPr="00DB707E" w:rsidRDefault="00524B77" w:rsidP="00524B77">
      <w:pPr>
        <w:tabs>
          <w:tab w:val="left" w:pos="851"/>
        </w:tabs>
        <w:rPr>
          <w:rFonts w:eastAsia="PMingLiU"/>
          <w:lang w:eastAsia="zh-CN"/>
        </w:rPr>
      </w:pPr>
      <w:r w:rsidRPr="00DB707E">
        <w:rPr>
          <w:rFonts w:eastAsia="PMingLiU"/>
          <w:lang w:eastAsia="zh-CN"/>
        </w:rPr>
        <w:t>The performance with larger bandwidth of CSI-RS is equal to or better than the accuracy requirements in Table</w:t>
      </w:r>
      <w:r w:rsidRPr="00DB707E">
        <w:rPr>
          <w:rFonts w:eastAsia="PMingLiU"/>
          <w:lang w:val="en-US" w:eastAsia="zh-CN"/>
        </w:rPr>
        <w:t> </w:t>
      </w:r>
      <w:r w:rsidRPr="00DB707E">
        <w:t>10.1A.14.2.2-1</w:t>
      </w:r>
      <w:r w:rsidRPr="00DB707E">
        <w:rPr>
          <w:rFonts w:eastAsia="PMingLiU"/>
          <w:lang w:eastAsia="zh-CN"/>
        </w:rPr>
        <w:t xml:space="preserve">. </w:t>
      </w:r>
    </w:p>
    <w:p w14:paraId="514BF969" w14:textId="77777777" w:rsidR="00524B77" w:rsidRPr="00DB707E" w:rsidRDefault="00524B77" w:rsidP="00524B77">
      <w:pPr>
        <w:pStyle w:val="TH"/>
      </w:pPr>
      <w:r w:rsidRPr="00DB707E">
        <w:t>Table 10.1A.14.2.2-1: CSI-RS based L1-RSRP relative accuracy for 1Rx RedCap UE in FR1</w:t>
      </w:r>
    </w:p>
    <w:tbl>
      <w:tblPr>
        <w:tblW w:w="10172" w:type="dxa"/>
        <w:jc w:val="center"/>
        <w:tblLook w:val="01E0" w:firstRow="1" w:lastRow="1" w:firstColumn="1" w:lastColumn="1" w:noHBand="0" w:noVBand="0"/>
      </w:tblPr>
      <w:tblGrid>
        <w:gridCol w:w="1029"/>
        <w:gridCol w:w="1026"/>
        <w:gridCol w:w="798"/>
        <w:gridCol w:w="1958"/>
        <w:gridCol w:w="827"/>
        <w:gridCol w:w="827"/>
        <w:gridCol w:w="827"/>
        <w:gridCol w:w="1440"/>
        <w:gridCol w:w="1440"/>
      </w:tblGrid>
      <w:tr w:rsidR="00524B77" w:rsidRPr="00DB707E" w14:paraId="55EDED03" w14:textId="77777777" w:rsidTr="00430B21">
        <w:trPr>
          <w:jc w:val="center"/>
        </w:trPr>
        <w:tc>
          <w:tcPr>
            <w:tcW w:w="2055"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6AAC24D5" w14:textId="77777777" w:rsidR="00524B77" w:rsidRPr="00DB707E" w:rsidRDefault="00524B77" w:rsidP="00430B21">
            <w:pPr>
              <w:pStyle w:val="TAH"/>
            </w:pPr>
            <w:r w:rsidRPr="00DB707E">
              <w:t>Accuracy</w:t>
            </w:r>
          </w:p>
        </w:tc>
        <w:tc>
          <w:tcPr>
            <w:tcW w:w="8117"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690DEA99" w14:textId="77777777" w:rsidR="00524B77" w:rsidRPr="00DB707E" w:rsidRDefault="00524B77" w:rsidP="00430B21">
            <w:pPr>
              <w:pStyle w:val="TAH"/>
            </w:pPr>
            <w:r w:rsidRPr="00DB707E">
              <w:t>Conditions</w:t>
            </w:r>
          </w:p>
        </w:tc>
      </w:tr>
      <w:tr w:rsidR="00524B77" w:rsidRPr="00DB707E" w14:paraId="3390E2B3" w14:textId="77777777" w:rsidTr="00430B21">
        <w:trPr>
          <w:jc w:val="center"/>
        </w:trPr>
        <w:tc>
          <w:tcPr>
            <w:tcW w:w="1029" w:type="dxa"/>
            <w:tcBorders>
              <w:top w:val="single" w:sz="6" w:space="0" w:color="auto"/>
              <w:left w:val="single" w:sz="4" w:space="0" w:color="auto"/>
              <w:right w:val="single" w:sz="6" w:space="0" w:color="auto"/>
            </w:tcBorders>
            <w:shd w:val="clear" w:color="auto" w:fill="auto"/>
            <w:vAlign w:val="center"/>
          </w:tcPr>
          <w:p w14:paraId="23AA687A" w14:textId="77777777" w:rsidR="00524B77" w:rsidRPr="00DB707E" w:rsidRDefault="00524B77" w:rsidP="00430B21">
            <w:pPr>
              <w:pStyle w:val="TAH"/>
            </w:pPr>
            <w:r w:rsidRPr="00DB707E">
              <w:t>Normal condition</w:t>
            </w:r>
          </w:p>
        </w:tc>
        <w:tc>
          <w:tcPr>
            <w:tcW w:w="1026" w:type="dxa"/>
            <w:tcBorders>
              <w:top w:val="single" w:sz="6" w:space="0" w:color="auto"/>
              <w:left w:val="single" w:sz="6" w:space="0" w:color="auto"/>
              <w:right w:val="single" w:sz="6" w:space="0" w:color="auto"/>
            </w:tcBorders>
            <w:shd w:val="clear" w:color="auto" w:fill="auto"/>
            <w:vAlign w:val="center"/>
          </w:tcPr>
          <w:p w14:paraId="5B76E8BC" w14:textId="77777777" w:rsidR="00524B77" w:rsidRPr="00DB707E" w:rsidRDefault="00524B77" w:rsidP="00430B21">
            <w:pPr>
              <w:pStyle w:val="TAH"/>
            </w:pPr>
            <w:r w:rsidRPr="00DB707E">
              <w:t>Extreme condition</w:t>
            </w:r>
          </w:p>
        </w:tc>
        <w:tc>
          <w:tcPr>
            <w:tcW w:w="798" w:type="dxa"/>
            <w:tcBorders>
              <w:top w:val="single" w:sz="6" w:space="0" w:color="auto"/>
              <w:left w:val="single" w:sz="6" w:space="0" w:color="auto"/>
              <w:right w:val="single" w:sz="6" w:space="0" w:color="auto"/>
            </w:tcBorders>
            <w:shd w:val="clear" w:color="auto" w:fill="auto"/>
            <w:vAlign w:val="center"/>
          </w:tcPr>
          <w:p w14:paraId="7BCB5B05" w14:textId="77777777" w:rsidR="00524B77" w:rsidRPr="00DB707E" w:rsidRDefault="00524B77" w:rsidP="00430B21">
            <w:pPr>
              <w:pStyle w:val="TAH"/>
            </w:pPr>
            <w:r w:rsidRPr="00DB707E">
              <w:t>CSI-RS Ês/Iot</w:t>
            </w:r>
            <w:r w:rsidRPr="00DB707E">
              <w:rPr>
                <w:vertAlign w:val="superscript"/>
              </w:rPr>
              <w:t xml:space="preserve"> Note 2</w:t>
            </w:r>
          </w:p>
        </w:tc>
        <w:tc>
          <w:tcPr>
            <w:tcW w:w="7319"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436FD025" w14:textId="77777777" w:rsidR="00524B77" w:rsidRPr="00DB707E" w:rsidRDefault="00524B77" w:rsidP="00430B21">
            <w:pPr>
              <w:pStyle w:val="TAH"/>
            </w:pPr>
            <w:r w:rsidRPr="00DB707E">
              <w:t>Io</w:t>
            </w:r>
            <w:r w:rsidRPr="00DB707E">
              <w:rPr>
                <w:vertAlign w:val="superscript"/>
              </w:rPr>
              <w:t xml:space="preserve"> Note 1</w:t>
            </w:r>
            <w:r w:rsidRPr="00DB707E">
              <w:t xml:space="preserve"> range</w:t>
            </w:r>
          </w:p>
        </w:tc>
      </w:tr>
      <w:tr w:rsidR="00524B77" w:rsidRPr="00DB707E" w14:paraId="339C6946" w14:textId="77777777" w:rsidTr="00430B21">
        <w:trPr>
          <w:jc w:val="center"/>
        </w:trPr>
        <w:tc>
          <w:tcPr>
            <w:tcW w:w="1029" w:type="dxa"/>
            <w:tcBorders>
              <w:left w:val="single" w:sz="4" w:space="0" w:color="auto"/>
              <w:bottom w:val="single" w:sz="6" w:space="0" w:color="auto"/>
              <w:right w:val="single" w:sz="6" w:space="0" w:color="auto"/>
            </w:tcBorders>
            <w:shd w:val="clear" w:color="auto" w:fill="auto"/>
            <w:vAlign w:val="center"/>
          </w:tcPr>
          <w:p w14:paraId="5855BCE6" w14:textId="77777777" w:rsidR="00524B77" w:rsidRPr="00DB707E" w:rsidRDefault="00524B77" w:rsidP="00430B21">
            <w:pPr>
              <w:pStyle w:val="TAH"/>
            </w:pPr>
          </w:p>
        </w:tc>
        <w:tc>
          <w:tcPr>
            <w:tcW w:w="1026" w:type="dxa"/>
            <w:tcBorders>
              <w:left w:val="single" w:sz="6" w:space="0" w:color="auto"/>
              <w:bottom w:val="single" w:sz="6" w:space="0" w:color="auto"/>
              <w:right w:val="single" w:sz="6" w:space="0" w:color="auto"/>
            </w:tcBorders>
            <w:shd w:val="clear" w:color="auto" w:fill="auto"/>
            <w:vAlign w:val="center"/>
          </w:tcPr>
          <w:p w14:paraId="6C3CB585" w14:textId="77777777" w:rsidR="00524B77" w:rsidRPr="00DB707E" w:rsidRDefault="00524B77" w:rsidP="00430B21">
            <w:pPr>
              <w:pStyle w:val="TAH"/>
            </w:pPr>
          </w:p>
        </w:tc>
        <w:tc>
          <w:tcPr>
            <w:tcW w:w="798" w:type="dxa"/>
            <w:tcBorders>
              <w:left w:val="single" w:sz="6" w:space="0" w:color="auto"/>
              <w:bottom w:val="single" w:sz="6" w:space="0" w:color="auto"/>
              <w:right w:val="single" w:sz="6" w:space="0" w:color="auto"/>
            </w:tcBorders>
            <w:shd w:val="clear" w:color="auto" w:fill="auto"/>
            <w:vAlign w:val="center"/>
          </w:tcPr>
          <w:p w14:paraId="700C93B8" w14:textId="77777777" w:rsidR="00524B77" w:rsidRPr="00DB707E" w:rsidRDefault="00524B77" w:rsidP="00430B21">
            <w:pPr>
              <w:pStyle w:val="TAH"/>
            </w:pPr>
          </w:p>
        </w:tc>
        <w:tc>
          <w:tcPr>
            <w:tcW w:w="1958" w:type="dxa"/>
            <w:tcBorders>
              <w:top w:val="single" w:sz="6" w:space="0" w:color="auto"/>
              <w:left w:val="single" w:sz="6" w:space="0" w:color="auto"/>
              <w:bottom w:val="single" w:sz="6" w:space="0" w:color="auto"/>
              <w:right w:val="single" w:sz="4" w:space="0" w:color="auto"/>
            </w:tcBorders>
            <w:shd w:val="clear" w:color="auto" w:fill="auto"/>
            <w:vAlign w:val="center"/>
          </w:tcPr>
          <w:p w14:paraId="2D8BE2F8" w14:textId="77777777" w:rsidR="00524B77" w:rsidRPr="00DB707E" w:rsidRDefault="00524B77" w:rsidP="00430B21">
            <w:pPr>
              <w:pStyle w:val="TAH"/>
            </w:pPr>
            <w:r w:rsidRPr="00DB707E">
              <w:t>NR operating band groups</w:t>
            </w:r>
            <w:r w:rsidRPr="00DB707E">
              <w:rPr>
                <w:vertAlign w:val="superscript"/>
              </w:rPr>
              <w:t xml:space="preserve"> Note 4</w:t>
            </w:r>
          </w:p>
        </w:tc>
        <w:tc>
          <w:tcPr>
            <w:tcW w:w="3921"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6A8F17F0" w14:textId="77777777" w:rsidR="00524B77" w:rsidRPr="00DB707E" w:rsidRDefault="00524B77" w:rsidP="00430B21">
            <w:pPr>
              <w:pStyle w:val="TAH"/>
            </w:pPr>
            <w:r w:rsidRPr="00DB707E">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0E9635D8" w14:textId="77777777" w:rsidR="00524B77" w:rsidRPr="00DB707E" w:rsidRDefault="00524B77" w:rsidP="00430B21">
            <w:pPr>
              <w:pStyle w:val="TAH"/>
            </w:pPr>
            <w:r w:rsidRPr="00DB707E">
              <w:t>Maximum Io</w:t>
            </w:r>
          </w:p>
        </w:tc>
      </w:tr>
      <w:tr w:rsidR="00524B77" w:rsidRPr="00DB707E" w14:paraId="499C9E86" w14:textId="77777777" w:rsidTr="00430B21">
        <w:trPr>
          <w:trHeight w:val="308"/>
          <w:jc w:val="center"/>
        </w:trPr>
        <w:tc>
          <w:tcPr>
            <w:tcW w:w="1029" w:type="dxa"/>
            <w:tcBorders>
              <w:top w:val="single" w:sz="6" w:space="0" w:color="auto"/>
              <w:left w:val="single" w:sz="4" w:space="0" w:color="auto"/>
              <w:right w:val="single" w:sz="6" w:space="0" w:color="auto"/>
            </w:tcBorders>
            <w:shd w:val="clear" w:color="auto" w:fill="auto"/>
            <w:vAlign w:val="center"/>
          </w:tcPr>
          <w:p w14:paraId="127F790D" w14:textId="77777777" w:rsidR="00524B77" w:rsidRPr="00DB707E" w:rsidRDefault="00524B77" w:rsidP="00430B21">
            <w:pPr>
              <w:pStyle w:val="TAH"/>
            </w:pPr>
            <w:r w:rsidRPr="00DB707E">
              <w:t>dB</w:t>
            </w:r>
          </w:p>
        </w:tc>
        <w:tc>
          <w:tcPr>
            <w:tcW w:w="1026" w:type="dxa"/>
            <w:tcBorders>
              <w:top w:val="single" w:sz="6" w:space="0" w:color="auto"/>
              <w:left w:val="single" w:sz="6" w:space="0" w:color="auto"/>
              <w:right w:val="single" w:sz="6" w:space="0" w:color="auto"/>
            </w:tcBorders>
            <w:shd w:val="clear" w:color="auto" w:fill="auto"/>
            <w:vAlign w:val="center"/>
          </w:tcPr>
          <w:p w14:paraId="3F539A4D" w14:textId="77777777" w:rsidR="00524B77" w:rsidRPr="00DB707E" w:rsidRDefault="00524B77" w:rsidP="00430B21">
            <w:pPr>
              <w:pStyle w:val="TAH"/>
            </w:pPr>
            <w:r w:rsidRPr="00DB707E">
              <w:t>dB</w:t>
            </w:r>
          </w:p>
        </w:tc>
        <w:tc>
          <w:tcPr>
            <w:tcW w:w="798" w:type="dxa"/>
            <w:tcBorders>
              <w:top w:val="single" w:sz="6" w:space="0" w:color="auto"/>
              <w:left w:val="single" w:sz="6" w:space="0" w:color="auto"/>
              <w:right w:val="single" w:sz="6" w:space="0" w:color="auto"/>
            </w:tcBorders>
            <w:shd w:val="clear" w:color="auto" w:fill="auto"/>
            <w:vAlign w:val="center"/>
          </w:tcPr>
          <w:p w14:paraId="055346C1" w14:textId="77777777" w:rsidR="00524B77" w:rsidRPr="00DB707E" w:rsidRDefault="00524B77" w:rsidP="00430B21">
            <w:pPr>
              <w:pStyle w:val="TAH"/>
            </w:pPr>
            <w:r w:rsidRPr="00DB707E">
              <w:t>dB</w:t>
            </w:r>
          </w:p>
        </w:tc>
        <w:tc>
          <w:tcPr>
            <w:tcW w:w="1958" w:type="dxa"/>
            <w:tcBorders>
              <w:top w:val="single" w:sz="6" w:space="0" w:color="auto"/>
              <w:left w:val="single" w:sz="6" w:space="0" w:color="auto"/>
              <w:right w:val="single" w:sz="4" w:space="0" w:color="auto"/>
            </w:tcBorders>
            <w:shd w:val="clear" w:color="auto" w:fill="auto"/>
            <w:vAlign w:val="center"/>
          </w:tcPr>
          <w:p w14:paraId="66CE183A" w14:textId="77777777" w:rsidR="00524B77" w:rsidRPr="00DB707E" w:rsidRDefault="00524B77" w:rsidP="00430B21">
            <w:pPr>
              <w:pStyle w:val="TAH"/>
            </w:pPr>
          </w:p>
        </w:tc>
        <w:tc>
          <w:tcPr>
            <w:tcW w:w="2481"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0B84592B" w14:textId="77777777" w:rsidR="00524B77" w:rsidRPr="00DB707E" w:rsidRDefault="00524B77" w:rsidP="00430B21">
            <w:pPr>
              <w:pStyle w:val="TAH"/>
            </w:pPr>
            <w:r w:rsidRPr="00DB707E">
              <w:rPr>
                <w:rFonts w:cs="Arial"/>
              </w:rPr>
              <w:t xml:space="preserve">dBm / </w:t>
            </w:r>
            <w:r w:rsidRPr="00DB707E">
              <w:t>SCS</w:t>
            </w:r>
            <w:r w:rsidRPr="00DB707E">
              <w:rPr>
                <w:vertAlign w:val="subscript"/>
              </w:rPr>
              <w:t>CSI-RS</w:t>
            </w:r>
          </w:p>
        </w:tc>
        <w:tc>
          <w:tcPr>
            <w:tcW w:w="1440" w:type="dxa"/>
            <w:tcBorders>
              <w:top w:val="single" w:sz="6" w:space="0" w:color="auto"/>
              <w:left w:val="single" w:sz="6" w:space="0" w:color="auto"/>
              <w:right w:val="single" w:sz="6" w:space="0" w:color="auto"/>
            </w:tcBorders>
            <w:shd w:val="clear" w:color="auto" w:fill="auto"/>
            <w:vAlign w:val="center"/>
          </w:tcPr>
          <w:p w14:paraId="6F5D6FE7" w14:textId="77777777" w:rsidR="00524B77" w:rsidRPr="00DB707E" w:rsidRDefault="00524B77" w:rsidP="00430B21">
            <w:pPr>
              <w:pStyle w:val="TAH"/>
            </w:pPr>
            <w:r w:rsidRPr="00DB707E">
              <w:t>dBm/BW</w:t>
            </w:r>
            <w:r w:rsidRPr="00DB707E">
              <w:rPr>
                <w:vertAlign w:val="subscript"/>
              </w:rPr>
              <w:t>Channel</w:t>
            </w:r>
          </w:p>
        </w:tc>
        <w:tc>
          <w:tcPr>
            <w:tcW w:w="1440" w:type="dxa"/>
            <w:tcBorders>
              <w:top w:val="single" w:sz="6" w:space="0" w:color="auto"/>
              <w:left w:val="single" w:sz="6" w:space="0" w:color="auto"/>
              <w:right w:val="single" w:sz="4" w:space="0" w:color="auto"/>
            </w:tcBorders>
            <w:shd w:val="clear" w:color="auto" w:fill="auto"/>
            <w:vAlign w:val="center"/>
          </w:tcPr>
          <w:p w14:paraId="6E9AF457" w14:textId="77777777" w:rsidR="00524B77" w:rsidRPr="00DB707E" w:rsidRDefault="00524B77" w:rsidP="00430B21">
            <w:pPr>
              <w:pStyle w:val="TAH"/>
            </w:pPr>
            <w:r w:rsidRPr="00DB707E">
              <w:t>dBm/BW</w:t>
            </w:r>
            <w:r w:rsidRPr="00DB707E">
              <w:rPr>
                <w:vertAlign w:val="subscript"/>
              </w:rPr>
              <w:t>Channel</w:t>
            </w:r>
          </w:p>
        </w:tc>
      </w:tr>
      <w:tr w:rsidR="00524B77" w:rsidRPr="00DB707E" w14:paraId="59BAF0F6" w14:textId="77777777" w:rsidTr="00430B21">
        <w:trPr>
          <w:trHeight w:val="307"/>
          <w:jc w:val="center"/>
        </w:trPr>
        <w:tc>
          <w:tcPr>
            <w:tcW w:w="1029" w:type="dxa"/>
            <w:tcBorders>
              <w:left w:val="single" w:sz="4" w:space="0" w:color="auto"/>
              <w:bottom w:val="single" w:sz="6" w:space="0" w:color="auto"/>
              <w:right w:val="single" w:sz="6" w:space="0" w:color="auto"/>
            </w:tcBorders>
            <w:shd w:val="clear" w:color="auto" w:fill="auto"/>
          </w:tcPr>
          <w:p w14:paraId="187A4A55" w14:textId="77777777" w:rsidR="00524B77" w:rsidRPr="00DB707E" w:rsidRDefault="00524B77" w:rsidP="00430B21">
            <w:pPr>
              <w:pStyle w:val="TAH"/>
            </w:pPr>
          </w:p>
        </w:tc>
        <w:tc>
          <w:tcPr>
            <w:tcW w:w="1026" w:type="dxa"/>
            <w:tcBorders>
              <w:left w:val="single" w:sz="6" w:space="0" w:color="auto"/>
              <w:bottom w:val="single" w:sz="6" w:space="0" w:color="auto"/>
              <w:right w:val="single" w:sz="6" w:space="0" w:color="auto"/>
            </w:tcBorders>
            <w:shd w:val="clear" w:color="auto" w:fill="auto"/>
          </w:tcPr>
          <w:p w14:paraId="26825594" w14:textId="77777777" w:rsidR="00524B77" w:rsidRPr="00DB707E" w:rsidRDefault="00524B77" w:rsidP="00430B21">
            <w:pPr>
              <w:pStyle w:val="TAH"/>
            </w:pPr>
          </w:p>
        </w:tc>
        <w:tc>
          <w:tcPr>
            <w:tcW w:w="798" w:type="dxa"/>
            <w:tcBorders>
              <w:left w:val="single" w:sz="6" w:space="0" w:color="auto"/>
              <w:bottom w:val="single" w:sz="6" w:space="0" w:color="auto"/>
              <w:right w:val="single" w:sz="6" w:space="0" w:color="auto"/>
            </w:tcBorders>
            <w:shd w:val="clear" w:color="auto" w:fill="auto"/>
          </w:tcPr>
          <w:p w14:paraId="7119D92B" w14:textId="77777777" w:rsidR="00524B77" w:rsidRPr="00DB707E" w:rsidRDefault="00524B77" w:rsidP="00430B21">
            <w:pPr>
              <w:pStyle w:val="TAH"/>
            </w:pPr>
          </w:p>
        </w:tc>
        <w:tc>
          <w:tcPr>
            <w:tcW w:w="1958" w:type="dxa"/>
            <w:tcBorders>
              <w:left w:val="single" w:sz="6" w:space="0" w:color="auto"/>
              <w:bottom w:val="single" w:sz="6" w:space="0" w:color="auto"/>
              <w:right w:val="single" w:sz="4" w:space="0" w:color="auto"/>
            </w:tcBorders>
            <w:shd w:val="clear" w:color="auto" w:fill="auto"/>
          </w:tcPr>
          <w:p w14:paraId="07AD2EA0" w14:textId="77777777" w:rsidR="00524B77" w:rsidRPr="00DB707E" w:rsidRDefault="00524B77" w:rsidP="00430B21">
            <w:pPr>
              <w:pStyle w:val="TAH"/>
            </w:pP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9E26819" w14:textId="77777777" w:rsidR="00524B77" w:rsidRPr="00DB707E" w:rsidRDefault="00524B77" w:rsidP="00430B21">
            <w:pPr>
              <w:pStyle w:val="TAH"/>
              <w:rPr>
                <w:rFonts w:cs="Arial"/>
              </w:rPr>
            </w:pPr>
            <w:r w:rsidRPr="00DB707E">
              <w:t>SCS</w:t>
            </w:r>
            <w:r w:rsidRPr="00DB707E">
              <w:rPr>
                <w:vertAlign w:val="subscript"/>
              </w:rPr>
              <w:t>CSI-RS</w:t>
            </w:r>
            <w:r w:rsidRPr="00DB707E">
              <w:rPr>
                <w:rFonts w:cs="Arial"/>
              </w:rPr>
              <w:t xml:space="preserve"> = 15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DC054DC" w14:textId="77777777" w:rsidR="00524B77" w:rsidRPr="00DB707E" w:rsidRDefault="00524B77" w:rsidP="00430B21">
            <w:pPr>
              <w:pStyle w:val="TAH"/>
              <w:rPr>
                <w:rFonts w:cs="Arial"/>
              </w:rPr>
            </w:pPr>
            <w:r w:rsidRPr="00DB707E">
              <w:t>SCS</w:t>
            </w:r>
            <w:r w:rsidRPr="00DB707E">
              <w:rPr>
                <w:vertAlign w:val="subscript"/>
              </w:rPr>
              <w:t>CSI-RS</w:t>
            </w:r>
            <w:r w:rsidRPr="00DB707E">
              <w:rPr>
                <w:rFonts w:cs="Arial"/>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684443A" w14:textId="77777777" w:rsidR="00524B77" w:rsidRPr="00DB707E" w:rsidRDefault="00524B77" w:rsidP="00430B21">
            <w:pPr>
              <w:pStyle w:val="TAH"/>
              <w:rPr>
                <w:rFonts w:cs="Arial"/>
              </w:rPr>
            </w:pPr>
            <w:r w:rsidRPr="00DB707E">
              <w:t>SCS</w:t>
            </w:r>
            <w:r w:rsidRPr="00DB707E">
              <w:rPr>
                <w:vertAlign w:val="subscript"/>
              </w:rPr>
              <w:t>CSI-RS</w:t>
            </w:r>
            <w:r w:rsidRPr="00DB707E">
              <w:rPr>
                <w:rFonts w:cs="Arial"/>
              </w:rPr>
              <w:t xml:space="preserve"> = 60 kHz</w:t>
            </w:r>
          </w:p>
        </w:tc>
        <w:tc>
          <w:tcPr>
            <w:tcW w:w="1440" w:type="dxa"/>
            <w:tcBorders>
              <w:left w:val="single" w:sz="6" w:space="0" w:color="auto"/>
              <w:bottom w:val="single" w:sz="6" w:space="0" w:color="auto"/>
              <w:right w:val="single" w:sz="6" w:space="0" w:color="auto"/>
            </w:tcBorders>
            <w:shd w:val="clear" w:color="auto" w:fill="auto"/>
          </w:tcPr>
          <w:p w14:paraId="4B3A49C6" w14:textId="77777777" w:rsidR="00524B77" w:rsidRPr="00DB707E" w:rsidRDefault="00524B77" w:rsidP="00430B21">
            <w:pPr>
              <w:pStyle w:val="TAH"/>
            </w:pPr>
          </w:p>
        </w:tc>
        <w:tc>
          <w:tcPr>
            <w:tcW w:w="1440" w:type="dxa"/>
            <w:tcBorders>
              <w:left w:val="single" w:sz="6" w:space="0" w:color="auto"/>
              <w:bottom w:val="single" w:sz="6" w:space="0" w:color="auto"/>
              <w:right w:val="single" w:sz="4" w:space="0" w:color="auto"/>
            </w:tcBorders>
            <w:shd w:val="clear" w:color="auto" w:fill="auto"/>
          </w:tcPr>
          <w:p w14:paraId="162D0F91" w14:textId="77777777" w:rsidR="00524B77" w:rsidRPr="00DB707E" w:rsidRDefault="00524B77" w:rsidP="00430B21">
            <w:pPr>
              <w:pStyle w:val="TAH"/>
            </w:pPr>
          </w:p>
        </w:tc>
      </w:tr>
      <w:tr w:rsidR="00524B77" w:rsidRPr="00DB707E" w14:paraId="49DD98EE" w14:textId="77777777" w:rsidTr="00430B21">
        <w:trPr>
          <w:jc w:val="center"/>
        </w:trPr>
        <w:tc>
          <w:tcPr>
            <w:tcW w:w="1029" w:type="dxa"/>
            <w:tcBorders>
              <w:top w:val="single" w:sz="6" w:space="0" w:color="auto"/>
              <w:left w:val="single" w:sz="4" w:space="0" w:color="auto"/>
              <w:right w:val="single" w:sz="6" w:space="0" w:color="auto"/>
            </w:tcBorders>
            <w:shd w:val="clear" w:color="auto" w:fill="auto"/>
          </w:tcPr>
          <w:p w14:paraId="73BAEB8D" w14:textId="77777777" w:rsidR="00524B77" w:rsidRPr="00DB707E" w:rsidRDefault="00524B77" w:rsidP="00430B21">
            <w:pPr>
              <w:pStyle w:val="TAC"/>
            </w:pPr>
          </w:p>
        </w:tc>
        <w:tc>
          <w:tcPr>
            <w:tcW w:w="1026" w:type="dxa"/>
            <w:tcBorders>
              <w:top w:val="single" w:sz="6" w:space="0" w:color="auto"/>
              <w:left w:val="single" w:sz="6" w:space="0" w:color="auto"/>
              <w:right w:val="single" w:sz="6" w:space="0" w:color="auto"/>
            </w:tcBorders>
            <w:shd w:val="clear" w:color="auto" w:fill="auto"/>
          </w:tcPr>
          <w:p w14:paraId="64EB666C" w14:textId="77777777" w:rsidR="00524B77" w:rsidRPr="00DB707E" w:rsidRDefault="00524B77" w:rsidP="00430B21">
            <w:pPr>
              <w:pStyle w:val="TAC"/>
            </w:pPr>
          </w:p>
        </w:tc>
        <w:tc>
          <w:tcPr>
            <w:tcW w:w="798" w:type="dxa"/>
            <w:tcBorders>
              <w:top w:val="single" w:sz="6" w:space="0" w:color="auto"/>
              <w:left w:val="single" w:sz="6" w:space="0" w:color="auto"/>
              <w:right w:val="single" w:sz="6" w:space="0" w:color="auto"/>
            </w:tcBorders>
            <w:shd w:val="clear" w:color="auto" w:fill="auto"/>
          </w:tcPr>
          <w:p w14:paraId="35C53426" w14:textId="77777777" w:rsidR="00524B77" w:rsidRPr="00DB707E" w:rsidRDefault="00524B77" w:rsidP="00430B21">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696E5365" w14:textId="77777777" w:rsidR="00524B77" w:rsidRPr="00DB707E" w:rsidRDefault="00524B77" w:rsidP="00430B21">
            <w:pPr>
              <w:pStyle w:val="TAC"/>
            </w:pPr>
            <w:r w:rsidRPr="00DB707E">
              <w:t>NR_FDD_FR1_A, NR_TDD_FR1_A,</w:t>
            </w:r>
          </w:p>
          <w:p w14:paraId="48822F5E" w14:textId="77777777" w:rsidR="00524B77" w:rsidRPr="00DB707E" w:rsidRDefault="00524B77" w:rsidP="00430B21">
            <w:pPr>
              <w:pStyle w:val="TAC"/>
            </w:pPr>
            <w:r w:rsidRPr="00DB707E">
              <w:t>NR_SDL_FR1_A</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456015A5" w14:textId="77777777" w:rsidR="00524B77" w:rsidRPr="00DB707E" w:rsidRDefault="00524B77" w:rsidP="00430B21">
            <w:pPr>
              <w:pStyle w:val="TAC"/>
            </w:pPr>
            <w:r w:rsidRPr="00DB707E">
              <w:t>-121</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22B3562" w14:textId="77777777" w:rsidR="00524B77" w:rsidRPr="00DB707E" w:rsidRDefault="00524B77" w:rsidP="00430B21">
            <w:pPr>
              <w:pStyle w:val="TAC"/>
            </w:pPr>
            <w:r w:rsidRPr="00DB707E">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EABAD4C" w14:textId="77777777" w:rsidR="00524B77" w:rsidRPr="00DB707E" w:rsidRDefault="00524B77" w:rsidP="00430B21">
            <w:pPr>
              <w:pStyle w:val="TAC"/>
            </w:pPr>
            <w:r w:rsidRPr="00DB707E">
              <w:t>-115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3B23F508"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D7C0520" w14:textId="77777777" w:rsidR="00524B77" w:rsidRPr="00DB707E" w:rsidRDefault="00524B77" w:rsidP="00430B21">
            <w:pPr>
              <w:pStyle w:val="TAC"/>
            </w:pPr>
            <w:r w:rsidRPr="00DB707E">
              <w:t>-50</w:t>
            </w:r>
          </w:p>
        </w:tc>
      </w:tr>
      <w:tr w:rsidR="00524B77" w:rsidRPr="00DB707E" w14:paraId="5BB391F2" w14:textId="77777777" w:rsidTr="00430B21">
        <w:trPr>
          <w:jc w:val="center"/>
        </w:trPr>
        <w:tc>
          <w:tcPr>
            <w:tcW w:w="1029" w:type="dxa"/>
            <w:tcBorders>
              <w:left w:val="single" w:sz="4" w:space="0" w:color="auto"/>
              <w:right w:val="single" w:sz="6" w:space="0" w:color="auto"/>
            </w:tcBorders>
            <w:shd w:val="clear" w:color="auto" w:fill="auto"/>
          </w:tcPr>
          <w:p w14:paraId="5540C97D" w14:textId="77777777" w:rsidR="00524B77" w:rsidRPr="00DB707E" w:rsidRDefault="00524B77" w:rsidP="00430B21">
            <w:pPr>
              <w:pStyle w:val="TAC"/>
            </w:pPr>
          </w:p>
        </w:tc>
        <w:tc>
          <w:tcPr>
            <w:tcW w:w="1026" w:type="dxa"/>
            <w:tcBorders>
              <w:left w:val="single" w:sz="6" w:space="0" w:color="auto"/>
              <w:right w:val="single" w:sz="6" w:space="0" w:color="auto"/>
            </w:tcBorders>
            <w:shd w:val="clear" w:color="auto" w:fill="auto"/>
          </w:tcPr>
          <w:p w14:paraId="317E90E2" w14:textId="77777777" w:rsidR="00524B77" w:rsidRPr="00DB707E" w:rsidRDefault="00524B77" w:rsidP="00430B21">
            <w:pPr>
              <w:pStyle w:val="TAC"/>
            </w:pPr>
          </w:p>
        </w:tc>
        <w:tc>
          <w:tcPr>
            <w:tcW w:w="798" w:type="dxa"/>
            <w:tcBorders>
              <w:left w:val="single" w:sz="6" w:space="0" w:color="auto"/>
              <w:right w:val="single" w:sz="6" w:space="0" w:color="auto"/>
            </w:tcBorders>
            <w:shd w:val="clear" w:color="auto" w:fill="auto"/>
          </w:tcPr>
          <w:p w14:paraId="5F890B16" w14:textId="77777777" w:rsidR="00524B77" w:rsidRPr="00DB707E" w:rsidRDefault="00524B77" w:rsidP="00430B21">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277B34CB" w14:textId="77777777" w:rsidR="00524B77" w:rsidRPr="00DB707E" w:rsidRDefault="00524B77" w:rsidP="00430B21">
            <w:pPr>
              <w:pStyle w:val="TAC"/>
            </w:pPr>
            <w:r w:rsidRPr="00DB707E">
              <w:t>NR_FDD_FR1_B</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CA51581" w14:textId="77777777" w:rsidR="00524B77" w:rsidRPr="00DB707E" w:rsidRDefault="00524B77" w:rsidP="00430B21">
            <w:pPr>
              <w:pStyle w:val="TAC"/>
            </w:pPr>
            <w:r w:rsidRPr="00DB707E">
              <w:t>-120.5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436D3D3" w14:textId="77777777" w:rsidR="00524B77" w:rsidRPr="00DB707E" w:rsidRDefault="00524B77" w:rsidP="00430B21">
            <w:pPr>
              <w:pStyle w:val="TAC"/>
              <w:rPr>
                <w:lang w:val="sv-SE"/>
              </w:rPr>
            </w:pPr>
            <w:r w:rsidRPr="00DB707E">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66916F3" w14:textId="77777777" w:rsidR="00524B77" w:rsidRPr="00DB707E" w:rsidRDefault="00524B77" w:rsidP="00430B21">
            <w:pPr>
              <w:pStyle w:val="TAC"/>
              <w:rPr>
                <w:lang w:val="sv-SE"/>
              </w:rPr>
            </w:pPr>
            <w:r w:rsidRPr="00DB707E">
              <w:t>-114.5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8A24530" w14:textId="77777777" w:rsidR="00524B77" w:rsidRPr="00DB707E" w:rsidRDefault="00524B77" w:rsidP="00430B21">
            <w:pPr>
              <w:pStyle w:val="TAC"/>
            </w:pPr>
            <w:r w:rsidRPr="00DB707E">
              <w:rPr>
                <w:lang w:eastAsia="ja-JP"/>
              </w:rPr>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4452545" w14:textId="77777777" w:rsidR="00524B77" w:rsidRPr="00DB707E" w:rsidRDefault="00524B77" w:rsidP="00430B21">
            <w:pPr>
              <w:pStyle w:val="TAC"/>
            </w:pPr>
            <w:r w:rsidRPr="00DB707E">
              <w:t>-50</w:t>
            </w:r>
          </w:p>
        </w:tc>
      </w:tr>
      <w:tr w:rsidR="00524B77" w:rsidRPr="00DB707E" w14:paraId="580C9C6D" w14:textId="77777777" w:rsidTr="00430B21">
        <w:trPr>
          <w:jc w:val="center"/>
        </w:trPr>
        <w:tc>
          <w:tcPr>
            <w:tcW w:w="1029" w:type="dxa"/>
            <w:tcBorders>
              <w:left w:val="single" w:sz="4" w:space="0" w:color="auto"/>
              <w:right w:val="single" w:sz="6" w:space="0" w:color="auto"/>
            </w:tcBorders>
            <w:shd w:val="clear" w:color="auto" w:fill="auto"/>
          </w:tcPr>
          <w:p w14:paraId="12F2CE81" w14:textId="77777777" w:rsidR="00524B77" w:rsidRPr="00DB707E" w:rsidRDefault="00524B77" w:rsidP="00430B21">
            <w:pPr>
              <w:pStyle w:val="TAC"/>
            </w:pPr>
          </w:p>
        </w:tc>
        <w:tc>
          <w:tcPr>
            <w:tcW w:w="1026" w:type="dxa"/>
            <w:tcBorders>
              <w:left w:val="single" w:sz="6" w:space="0" w:color="auto"/>
              <w:right w:val="single" w:sz="6" w:space="0" w:color="auto"/>
            </w:tcBorders>
            <w:shd w:val="clear" w:color="auto" w:fill="auto"/>
          </w:tcPr>
          <w:p w14:paraId="07E8D953" w14:textId="77777777" w:rsidR="00524B77" w:rsidRPr="00DB707E" w:rsidRDefault="00524B77" w:rsidP="00430B21">
            <w:pPr>
              <w:pStyle w:val="TAC"/>
            </w:pPr>
          </w:p>
        </w:tc>
        <w:tc>
          <w:tcPr>
            <w:tcW w:w="798" w:type="dxa"/>
            <w:tcBorders>
              <w:left w:val="single" w:sz="6" w:space="0" w:color="auto"/>
              <w:right w:val="single" w:sz="6" w:space="0" w:color="auto"/>
            </w:tcBorders>
            <w:shd w:val="clear" w:color="auto" w:fill="auto"/>
          </w:tcPr>
          <w:p w14:paraId="0AE5E9F2" w14:textId="77777777" w:rsidR="00524B77" w:rsidRPr="00DB707E" w:rsidRDefault="00524B77" w:rsidP="00430B21">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314CA382" w14:textId="77777777" w:rsidR="00524B77" w:rsidRPr="00DB707E" w:rsidRDefault="00524B77" w:rsidP="00430B21">
            <w:pPr>
              <w:pStyle w:val="TAC"/>
            </w:pPr>
            <w:r w:rsidRPr="00DB707E">
              <w:t>NR_TDD_FR1_C</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4298DB6" w14:textId="77777777" w:rsidR="00524B77" w:rsidRPr="00DB707E" w:rsidRDefault="00524B77" w:rsidP="00430B21">
            <w:pPr>
              <w:pStyle w:val="TAC"/>
            </w:pPr>
            <w:r w:rsidRPr="00DB707E">
              <w:t>-120</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292E7701" w14:textId="77777777" w:rsidR="00524B77" w:rsidRPr="00DB707E" w:rsidRDefault="00524B77" w:rsidP="00430B21">
            <w:pPr>
              <w:pStyle w:val="TAC"/>
              <w:rPr>
                <w:lang w:val="sv-SE"/>
              </w:rPr>
            </w:pPr>
            <w:r w:rsidRPr="00DB707E">
              <w:t>-117</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6982CD0" w14:textId="77777777" w:rsidR="00524B77" w:rsidRPr="00DB707E" w:rsidRDefault="00524B77" w:rsidP="00430B21">
            <w:pPr>
              <w:pStyle w:val="TAC"/>
              <w:rPr>
                <w:lang w:val="sv-SE"/>
              </w:rPr>
            </w:pPr>
            <w:r w:rsidRPr="00DB707E">
              <w:t>-114</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46FC2465"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520D01D8" w14:textId="77777777" w:rsidR="00524B77" w:rsidRPr="00DB707E" w:rsidRDefault="00524B77" w:rsidP="00430B21">
            <w:pPr>
              <w:pStyle w:val="TAC"/>
            </w:pPr>
            <w:r w:rsidRPr="00DB707E">
              <w:t>-50</w:t>
            </w:r>
          </w:p>
        </w:tc>
      </w:tr>
      <w:tr w:rsidR="00524B77" w:rsidRPr="00DB707E" w14:paraId="177C8CE6" w14:textId="77777777" w:rsidTr="00430B21">
        <w:trPr>
          <w:jc w:val="center"/>
        </w:trPr>
        <w:tc>
          <w:tcPr>
            <w:tcW w:w="1029" w:type="dxa"/>
            <w:tcBorders>
              <w:left w:val="single" w:sz="4" w:space="0" w:color="auto"/>
              <w:right w:val="single" w:sz="6" w:space="0" w:color="auto"/>
            </w:tcBorders>
            <w:shd w:val="clear" w:color="auto" w:fill="auto"/>
          </w:tcPr>
          <w:p w14:paraId="76D9DD15" w14:textId="77777777" w:rsidR="00524B77" w:rsidRPr="00DB707E" w:rsidRDefault="00524B77" w:rsidP="00430B21">
            <w:pPr>
              <w:pStyle w:val="TAC"/>
            </w:pPr>
            <w:r w:rsidRPr="00DB707E">
              <w:rPr>
                <w:rFonts w:cs="Arial"/>
              </w:rPr>
              <w:t>±</w:t>
            </w:r>
            <w:r w:rsidRPr="00DB707E">
              <w:t>3</w:t>
            </w:r>
          </w:p>
        </w:tc>
        <w:tc>
          <w:tcPr>
            <w:tcW w:w="1026" w:type="dxa"/>
            <w:tcBorders>
              <w:left w:val="single" w:sz="6" w:space="0" w:color="auto"/>
              <w:right w:val="single" w:sz="6" w:space="0" w:color="auto"/>
            </w:tcBorders>
            <w:shd w:val="clear" w:color="auto" w:fill="auto"/>
          </w:tcPr>
          <w:p w14:paraId="1F036684" w14:textId="77777777" w:rsidR="00524B77" w:rsidRPr="00DB707E" w:rsidRDefault="00524B77" w:rsidP="00430B21">
            <w:pPr>
              <w:pStyle w:val="TAC"/>
            </w:pPr>
            <w:r w:rsidRPr="00DB707E">
              <w:rPr>
                <w:rFonts w:cs="Arial"/>
              </w:rPr>
              <w:t>±</w:t>
            </w:r>
            <w:r w:rsidRPr="00DB707E">
              <w:t>4</w:t>
            </w:r>
          </w:p>
        </w:tc>
        <w:tc>
          <w:tcPr>
            <w:tcW w:w="798" w:type="dxa"/>
            <w:tcBorders>
              <w:left w:val="single" w:sz="6" w:space="0" w:color="auto"/>
              <w:right w:val="single" w:sz="6" w:space="0" w:color="auto"/>
            </w:tcBorders>
            <w:shd w:val="clear" w:color="auto" w:fill="auto"/>
          </w:tcPr>
          <w:p w14:paraId="6080A167" w14:textId="77777777" w:rsidR="00524B77" w:rsidRPr="00DB707E" w:rsidRDefault="00524B77" w:rsidP="00430B21">
            <w:pPr>
              <w:pStyle w:val="TAC"/>
            </w:pPr>
            <w:r w:rsidRPr="00DB707E">
              <w:sym w:font="Symbol" w:char="F0B3"/>
            </w:r>
            <w:r w:rsidRPr="00DB707E">
              <w:t>-3</w:t>
            </w: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41BCE940" w14:textId="77777777" w:rsidR="00524B77" w:rsidRPr="00DB707E" w:rsidRDefault="00524B77" w:rsidP="00430B21">
            <w:pPr>
              <w:pStyle w:val="TAC"/>
              <w:rPr>
                <w:lang w:val="sv-SE"/>
              </w:rPr>
            </w:pPr>
            <w:r w:rsidRPr="00DB707E">
              <w:rPr>
                <w:lang w:val="sv-SE"/>
              </w:rPr>
              <w:t>NR_FDD_FR1_D, NR_TDD_FR1_D</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074D0742" w14:textId="77777777" w:rsidR="00524B77" w:rsidRPr="00DB707E" w:rsidRDefault="00524B77" w:rsidP="00430B21">
            <w:pPr>
              <w:pStyle w:val="TAC"/>
            </w:pPr>
            <w:r w:rsidRPr="00DB707E">
              <w:t>-119.5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11C1BA3" w14:textId="77777777" w:rsidR="00524B77" w:rsidRPr="00DB707E" w:rsidRDefault="00524B77" w:rsidP="00430B21">
            <w:pPr>
              <w:pStyle w:val="TAC"/>
            </w:pPr>
            <w:r w:rsidRPr="00DB707E">
              <w:t>-116.5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E5CF995" w14:textId="77777777" w:rsidR="00524B77" w:rsidRPr="00DB707E" w:rsidRDefault="00524B77" w:rsidP="00430B21">
            <w:pPr>
              <w:pStyle w:val="TAC"/>
            </w:pPr>
            <w:r w:rsidRPr="00DB707E">
              <w:t>-113.5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6FDF99E6"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0200569" w14:textId="77777777" w:rsidR="00524B77" w:rsidRPr="00DB707E" w:rsidRDefault="00524B77" w:rsidP="00430B21">
            <w:pPr>
              <w:pStyle w:val="TAC"/>
            </w:pPr>
            <w:r w:rsidRPr="00DB707E">
              <w:t>-50</w:t>
            </w:r>
          </w:p>
        </w:tc>
      </w:tr>
      <w:tr w:rsidR="00524B77" w:rsidRPr="00DB707E" w14:paraId="04054D27" w14:textId="77777777" w:rsidTr="00430B21">
        <w:trPr>
          <w:jc w:val="center"/>
        </w:trPr>
        <w:tc>
          <w:tcPr>
            <w:tcW w:w="1029" w:type="dxa"/>
            <w:tcBorders>
              <w:left w:val="single" w:sz="4" w:space="0" w:color="auto"/>
              <w:right w:val="single" w:sz="6" w:space="0" w:color="auto"/>
            </w:tcBorders>
            <w:shd w:val="clear" w:color="auto" w:fill="auto"/>
          </w:tcPr>
          <w:p w14:paraId="203621DB" w14:textId="77777777" w:rsidR="00524B77" w:rsidRPr="00DB707E" w:rsidRDefault="00524B77" w:rsidP="00430B21">
            <w:pPr>
              <w:pStyle w:val="TAC"/>
            </w:pPr>
          </w:p>
        </w:tc>
        <w:tc>
          <w:tcPr>
            <w:tcW w:w="1026" w:type="dxa"/>
            <w:tcBorders>
              <w:left w:val="single" w:sz="6" w:space="0" w:color="auto"/>
              <w:right w:val="single" w:sz="6" w:space="0" w:color="auto"/>
            </w:tcBorders>
            <w:shd w:val="clear" w:color="auto" w:fill="auto"/>
          </w:tcPr>
          <w:p w14:paraId="57BDA147" w14:textId="77777777" w:rsidR="00524B77" w:rsidRPr="00DB707E" w:rsidRDefault="00524B77" w:rsidP="00430B21">
            <w:pPr>
              <w:pStyle w:val="TAC"/>
            </w:pPr>
          </w:p>
        </w:tc>
        <w:tc>
          <w:tcPr>
            <w:tcW w:w="798" w:type="dxa"/>
            <w:tcBorders>
              <w:left w:val="single" w:sz="6" w:space="0" w:color="auto"/>
              <w:right w:val="single" w:sz="6" w:space="0" w:color="auto"/>
            </w:tcBorders>
            <w:shd w:val="clear" w:color="auto" w:fill="auto"/>
          </w:tcPr>
          <w:p w14:paraId="20E10F04" w14:textId="77777777" w:rsidR="00524B77" w:rsidRPr="00DB707E" w:rsidRDefault="00524B77" w:rsidP="00430B21">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7509C758" w14:textId="77777777" w:rsidR="00524B77" w:rsidRPr="00DB707E" w:rsidDel="00836998" w:rsidRDefault="00524B77" w:rsidP="00430B21">
            <w:pPr>
              <w:pStyle w:val="TAC"/>
              <w:rPr>
                <w:lang w:val="sv-SE"/>
              </w:rPr>
            </w:pPr>
            <w:r w:rsidRPr="00DB707E">
              <w:rPr>
                <w:lang w:val="sv-SE"/>
              </w:rPr>
              <w:t>NR_FDD_FR1_E, NR_TDD_FR1_E</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13317255" w14:textId="77777777" w:rsidR="00524B77" w:rsidRPr="00DB707E" w:rsidRDefault="00524B77" w:rsidP="00430B21">
            <w:pPr>
              <w:pStyle w:val="TAC"/>
            </w:pPr>
            <w:r w:rsidRPr="00DB707E">
              <w:t>-119</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AFBE7FD" w14:textId="77777777" w:rsidR="00524B77" w:rsidRPr="00DB707E" w:rsidRDefault="00524B77" w:rsidP="00430B21">
            <w:pPr>
              <w:pStyle w:val="TAC"/>
              <w:rPr>
                <w:lang w:val="sv-SE"/>
              </w:rPr>
            </w:pPr>
            <w:r w:rsidRPr="00DB707E">
              <w:t>-116</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CFFCF31" w14:textId="77777777" w:rsidR="00524B77" w:rsidRPr="00DB707E" w:rsidRDefault="00524B77" w:rsidP="00430B21">
            <w:pPr>
              <w:pStyle w:val="TAC"/>
              <w:rPr>
                <w:lang w:val="sv-SE"/>
              </w:rPr>
            </w:pPr>
            <w:r w:rsidRPr="00DB707E">
              <w:t>-113</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5CBC756C"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4F19C48" w14:textId="77777777" w:rsidR="00524B77" w:rsidRPr="00DB707E" w:rsidRDefault="00524B77" w:rsidP="00430B21">
            <w:pPr>
              <w:pStyle w:val="TAC"/>
            </w:pPr>
            <w:r w:rsidRPr="00DB707E">
              <w:t>-50</w:t>
            </w:r>
          </w:p>
        </w:tc>
      </w:tr>
      <w:tr w:rsidR="00524B77" w:rsidRPr="00DB707E" w14:paraId="5392EB6A" w14:textId="77777777" w:rsidTr="00430B21">
        <w:trPr>
          <w:jc w:val="center"/>
        </w:trPr>
        <w:tc>
          <w:tcPr>
            <w:tcW w:w="1029" w:type="dxa"/>
            <w:tcBorders>
              <w:left w:val="single" w:sz="4" w:space="0" w:color="auto"/>
              <w:right w:val="single" w:sz="6" w:space="0" w:color="auto"/>
            </w:tcBorders>
            <w:shd w:val="clear" w:color="auto" w:fill="auto"/>
          </w:tcPr>
          <w:p w14:paraId="5A6D8039" w14:textId="77777777" w:rsidR="00524B77" w:rsidRPr="00DB707E" w:rsidRDefault="00524B77" w:rsidP="00430B21">
            <w:pPr>
              <w:pStyle w:val="TAC"/>
            </w:pPr>
          </w:p>
        </w:tc>
        <w:tc>
          <w:tcPr>
            <w:tcW w:w="1026" w:type="dxa"/>
            <w:tcBorders>
              <w:left w:val="single" w:sz="6" w:space="0" w:color="auto"/>
              <w:right w:val="single" w:sz="6" w:space="0" w:color="auto"/>
            </w:tcBorders>
            <w:shd w:val="clear" w:color="auto" w:fill="auto"/>
          </w:tcPr>
          <w:p w14:paraId="35DCE73F" w14:textId="77777777" w:rsidR="00524B77" w:rsidRPr="00DB707E" w:rsidRDefault="00524B77" w:rsidP="00430B21">
            <w:pPr>
              <w:pStyle w:val="TAC"/>
            </w:pPr>
          </w:p>
        </w:tc>
        <w:tc>
          <w:tcPr>
            <w:tcW w:w="798" w:type="dxa"/>
            <w:tcBorders>
              <w:left w:val="single" w:sz="6" w:space="0" w:color="auto"/>
              <w:right w:val="single" w:sz="6" w:space="0" w:color="auto"/>
            </w:tcBorders>
            <w:shd w:val="clear" w:color="auto" w:fill="auto"/>
          </w:tcPr>
          <w:p w14:paraId="76A01BDF" w14:textId="77777777" w:rsidR="00524B77" w:rsidRPr="00DB707E" w:rsidRDefault="00524B77" w:rsidP="00430B21">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775A3EDB" w14:textId="77777777" w:rsidR="00524B77" w:rsidRPr="00DB707E" w:rsidRDefault="00524B77" w:rsidP="00430B21">
            <w:pPr>
              <w:pStyle w:val="TAC"/>
              <w:rPr>
                <w:lang w:val="sv-SE"/>
              </w:rPr>
            </w:pPr>
            <w:r w:rsidRPr="00DB707E">
              <w:rPr>
                <w:lang w:eastAsia="zh-CN"/>
              </w:rPr>
              <w:t>NR_FDD_FR1_F</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C2A59B5" w14:textId="77777777" w:rsidR="00524B77" w:rsidRPr="00DB707E" w:rsidRDefault="00524B77" w:rsidP="00430B21">
            <w:pPr>
              <w:pStyle w:val="TAC"/>
            </w:pPr>
            <w:r w:rsidRPr="00DB707E">
              <w:t>-118.5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5FC06239" w14:textId="77777777" w:rsidR="00524B77" w:rsidRPr="00DB707E" w:rsidRDefault="00524B77" w:rsidP="00430B21">
            <w:pPr>
              <w:pStyle w:val="TAC"/>
            </w:pPr>
            <w:r w:rsidRPr="00DB707E">
              <w:rPr>
                <w:rFonts w:cs="Arial"/>
              </w:rPr>
              <w:t>-115.5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2850D01" w14:textId="77777777" w:rsidR="00524B77" w:rsidRPr="00DB707E" w:rsidRDefault="00524B77" w:rsidP="00430B21">
            <w:pPr>
              <w:pStyle w:val="TAC"/>
            </w:pPr>
            <w:r w:rsidRPr="00DB707E">
              <w:rPr>
                <w:rFonts w:cs="Arial"/>
              </w:rPr>
              <w:t>-112.5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7550D992"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39B799C5" w14:textId="77777777" w:rsidR="00524B77" w:rsidRPr="00DB707E" w:rsidRDefault="00524B77" w:rsidP="00430B21">
            <w:pPr>
              <w:pStyle w:val="TAC"/>
            </w:pPr>
            <w:r w:rsidRPr="00DB707E">
              <w:t>-50</w:t>
            </w:r>
          </w:p>
        </w:tc>
      </w:tr>
      <w:tr w:rsidR="00524B77" w:rsidRPr="00DB707E" w14:paraId="379688C2" w14:textId="77777777" w:rsidTr="00430B21">
        <w:trPr>
          <w:jc w:val="center"/>
        </w:trPr>
        <w:tc>
          <w:tcPr>
            <w:tcW w:w="1029" w:type="dxa"/>
            <w:tcBorders>
              <w:left w:val="single" w:sz="4" w:space="0" w:color="auto"/>
              <w:right w:val="single" w:sz="6" w:space="0" w:color="auto"/>
            </w:tcBorders>
            <w:shd w:val="clear" w:color="auto" w:fill="auto"/>
          </w:tcPr>
          <w:p w14:paraId="465E1AF9" w14:textId="77777777" w:rsidR="00524B77" w:rsidRPr="00DB707E" w:rsidRDefault="00524B77" w:rsidP="00430B21">
            <w:pPr>
              <w:pStyle w:val="TAC"/>
            </w:pPr>
          </w:p>
        </w:tc>
        <w:tc>
          <w:tcPr>
            <w:tcW w:w="1026" w:type="dxa"/>
            <w:tcBorders>
              <w:left w:val="single" w:sz="6" w:space="0" w:color="auto"/>
              <w:right w:val="single" w:sz="6" w:space="0" w:color="auto"/>
            </w:tcBorders>
            <w:shd w:val="clear" w:color="auto" w:fill="auto"/>
          </w:tcPr>
          <w:p w14:paraId="233D97A7" w14:textId="77777777" w:rsidR="00524B77" w:rsidRPr="00DB707E" w:rsidRDefault="00524B77" w:rsidP="00430B21">
            <w:pPr>
              <w:pStyle w:val="TAC"/>
            </w:pPr>
          </w:p>
        </w:tc>
        <w:tc>
          <w:tcPr>
            <w:tcW w:w="798" w:type="dxa"/>
            <w:tcBorders>
              <w:left w:val="single" w:sz="6" w:space="0" w:color="auto"/>
              <w:right w:val="single" w:sz="6" w:space="0" w:color="auto"/>
            </w:tcBorders>
            <w:shd w:val="clear" w:color="auto" w:fill="auto"/>
          </w:tcPr>
          <w:p w14:paraId="0CEFA94E" w14:textId="77777777" w:rsidR="00524B77" w:rsidRPr="00DB707E" w:rsidRDefault="00524B77" w:rsidP="00430B21">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613EBB53" w14:textId="77777777" w:rsidR="00524B77" w:rsidRPr="00DB707E" w:rsidDel="00836998" w:rsidRDefault="00524B77" w:rsidP="00430B21">
            <w:pPr>
              <w:pStyle w:val="TAC"/>
              <w:rPr>
                <w:lang w:eastAsia="zh-CN"/>
              </w:rPr>
            </w:pPr>
            <w:r w:rsidRPr="00DB707E">
              <w:rPr>
                <w:lang w:eastAsia="zh-CN"/>
              </w:rPr>
              <w:t>NR</w:t>
            </w:r>
            <w:r w:rsidRPr="00DB707E">
              <w:t>_</w:t>
            </w:r>
            <w:r w:rsidRPr="00DB707E">
              <w:rPr>
                <w:lang w:eastAsia="zh-CN"/>
              </w:rPr>
              <w:t>FDD_FR1_G</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EA53C83" w14:textId="77777777" w:rsidR="00524B77" w:rsidRPr="00DB707E" w:rsidRDefault="00524B77" w:rsidP="00430B21">
            <w:pPr>
              <w:pStyle w:val="TAC"/>
            </w:pPr>
            <w:r w:rsidRPr="00DB707E">
              <w:t>-118</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40F53DD" w14:textId="77777777" w:rsidR="00524B77" w:rsidRPr="00DB707E" w:rsidRDefault="00524B77" w:rsidP="00430B21">
            <w:pPr>
              <w:pStyle w:val="TAC"/>
              <w:rPr>
                <w:rFonts w:cs="Arial"/>
                <w:lang w:val="sv-SE"/>
              </w:rPr>
            </w:pPr>
            <w:r w:rsidRPr="00DB707E">
              <w:rPr>
                <w:rFonts w:cs="Arial"/>
              </w:rPr>
              <w:t>-115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B11432A" w14:textId="77777777" w:rsidR="00524B77" w:rsidRPr="00DB707E" w:rsidRDefault="00524B77" w:rsidP="00430B21">
            <w:pPr>
              <w:pStyle w:val="TAC"/>
              <w:rPr>
                <w:rFonts w:cs="Arial"/>
                <w:lang w:val="sv-SE"/>
              </w:rPr>
            </w:pPr>
            <w:r w:rsidRPr="00DB707E">
              <w:rPr>
                <w:rFonts w:cs="Arial"/>
              </w:rPr>
              <w:t>-112</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04A8218"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656D9268" w14:textId="77777777" w:rsidR="00524B77" w:rsidRPr="00DB707E" w:rsidRDefault="00524B77" w:rsidP="00430B21">
            <w:pPr>
              <w:pStyle w:val="TAC"/>
            </w:pPr>
            <w:r w:rsidRPr="00DB707E">
              <w:t>-50</w:t>
            </w:r>
          </w:p>
        </w:tc>
      </w:tr>
      <w:tr w:rsidR="00524B77" w:rsidRPr="00DB707E" w14:paraId="462F25CE" w14:textId="77777777" w:rsidTr="00430B21">
        <w:trPr>
          <w:jc w:val="center"/>
        </w:trPr>
        <w:tc>
          <w:tcPr>
            <w:tcW w:w="1029" w:type="dxa"/>
            <w:tcBorders>
              <w:left w:val="single" w:sz="4" w:space="0" w:color="auto"/>
              <w:right w:val="single" w:sz="6" w:space="0" w:color="auto"/>
            </w:tcBorders>
            <w:shd w:val="clear" w:color="auto" w:fill="auto"/>
          </w:tcPr>
          <w:p w14:paraId="25094050" w14:textId="77777777" w:rsidR="00524B77" w:rsidRPr="00DB707E" w:rsidRDefault="00524B77" w:rsidP="00430B21">
            <w:pPr>
              <w:pStyle w:val="TAC"/>
            </w:pPr>
          </w:p>
        </w:tc>
        <w:tc>
          <w:tcPr>
            <w:tcW w:w="1026" w:type="dxa"/>
            <w:tcBorders>
              <w:left w:val="single" w:sz="6" w:space="0" w:color="auto"/>
              <w:right w:val="single" w:sz="6" w:space="0" w:color="auto"/>
            </w:tcBorders>
            <w:shd w:val="clear" w:color="auto" w:fill="auto"/>
          </w:tcPr>
          <w:p w14:paraId="6EF4FBA0" w14:textId="77777777" w:rsidR="00524B77" w:rsidRPr="00DB707E" w:rsidRDefault="00524B77" w:rsidP="00430B21">
            <w:pPr>
              <w:pStyle w:val="TAC"/>
            </w:pPr>
          </w:p>
        </w:tc>
        <w:tc>
          <w:tcPr>
            <w:tcW w:w="798" w:type="dxa"/>
            <w:tcBorders>
              <w:left w:val="single" w:sz="6" w:space="0" w:color="auto"/>
              <w:right w:val="single" w:sz="6" w:space="0" w:color="auto"/>
            </w:tcBorders>
            <w:shd w:val="clear" w:color="auto" w:fill="auto"/>
          </w:tcPr>
          <w:p w14:paraId="47661CAA" w14:textId="77777777" w:rsidR="00524B77" w:rsidRPr="00DB707E" w:rsidRDefault="00524B77" w:rsidP="00430B21">
            <w:pPr>
              <w:pStyle w:val="TAC"/>
            </w:pPr>
          </w:p>
        </w:tc>
        <w:tc>
          <w:tcPr>
            <w:tcW w:w="1958" w:type="dxa"/>
            <w:tcBorders>
              <w:top w:val="single" w:sz="6" w:space="0" w:color="auto"/>
              <w:left w:val="single" w:sz="6" w:space="0" w:color="auto"/>
              <w:bottom w:val="single" w:sz="6" w:space="0" w:color="auto"/>
              <w:right w:val="single" w:sz="4" w:space="0" w:color="auto"/>
            </w:tcBorders>
            <w:shd w:val="clear" w:color="auto" w:fill="auto"/>
          </w:tcPr>
          <w:p w14:paraId="33668332" w14:textId="77777777" w:rsidR="00524B77" w:rsidRPr="00DB707E" w:rsidRDefault="00524B77" w:rsidP="00430B21">
            <w:pPr>
              <w:pStyle w:val="TAC"/>
              <w:rPr>
                <w:lang w:eastAsia="zh-CN"/>
              </w:rPr>
            </w:pPr>
            <w:r w:rsidRPr="00DB707E">
              <w:rPr>
                <w:lang w:eastAsia="zh-CN"/>
              </w:rPr>
              <w:t>NR</w:t>
            </w:r>
            <w:r w:rsidRPr="00DB707E">
              <w:t>_</w:t>
            </w:r>
            <w:r w:rsidRPr="00DB707E">
              <w:rPr>
                <w:lang w:eastAsia="zh-CN"/>
              </w:rPr>
              <w:t>FDD_FR1_H</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7EC3DC0B" w14:textId="77777777" w:rsidR="00524B77" w:rsidRPr="00DB707E" w:rsidRDefault="00524B77" w:rsidP="00430B21">
            <w:pPr>
              <w:pStyle w:val="TAC"/>
            </w:pPr>
            <w:r w:rsidRPr="00DB707E">
              <w:t>-117.5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3ADD8BC1" w14:textId="77777777" w:rsidR="00524B77" w:rsidRPr="00DB707E" w:rsidRDefault="00524B77" w:rsidP="00430B21">
            <w:pPr>
              <w:pStyle w:val="TAC"/>
              <w:rPr>
                <w:rFonts w:cs="Arial"/>
                <w:lang w:val="sv-SE"/>
              </w:rPr>
            </w:pPr>
            <w:r w:rsidRPr="00DB707E">
              <w:rPr>
                <w:rFonts w:cs="Arial"/>
              </w:rPr>
              <w:t>-114.5</w:t>
            </w:r>
          </w:p>
        </w:tc>
        <w:tc>
          <w:tcPr>
            <w:tcW w:w="827" w:type="dxa"/>
            <w:tcBorders>
              <w:top w:val="single" w:sz="6" w:space="0" w:color="auto"/>
              <w:left w:val="single" w:sz="4" w:space="0" w:color="auto"/>
              <w:bottom w:val="single" w:sz="6" w:space="0" w:color="auto"/>
              <w:right w:val="single" w:sz="6" w:space="0" w:color="auto"/>
            </w:tcBorders>
            <w:shd w:val="clear" w:color="auto" w:fill="auto"/>
          </w:tcPr>
          <w:p w14:paraId="60474B65" w14:textId="77777777" w:rsidR="00524B77" w:rsidRPr="00DB707E" w:rsidRDefault="00524B77" w:rsidP="00430B21">
            <w:pPr>
              <w:pStyle w:val="TAC"/>
              <w:rPr>
                <w:rFonts w:cs="Arial"/>
                <w:lang w:val="sv-SE"/>
              </w:rPr>
            </w:pPr>
            <w:r w:rsidRPr="00DB707E">
              <w:rPr>
                <w:rFonts w:cs="Arial"/>
              </w:rPr>
              <w:t>-111.5</w:t>
            </w:r>
          </w:p>
        </w:tc>
        <w:tc>
          <w:tcPr>
            <w:tcW w:w="1440" w:type="dxa"/>
            <w:tcBorders>
              <w:top w:val="single" w:sz="6" w:space="0" w:color="auto"/>
              <w:left w:val="single" w:sz="6" w:space="0" w:color="auto"/>
              <w:bottom w:val="single" w:sz="6" w:space="0" w:color="auto"/>
              <w:right w:val="single" w:sz="6" w:space="0" w:color="auto"/>
            </w:tcBorders>
            <w:shd w:val="clear" w:color="auto" w:fill="auto"/>
          </w:tcPr>
          <w:p w14:paraId="2A244B31" w14:textId="77777777" w:rsidR="00524B77" w:rsidRPr="00DB707E" w:rsidRDefault="00524B77" w:rsidP="00430B21">
            <w:pPr>
              <w:pStyle w:val="TAC"/>
            </w:pPr>
            <w:r w:rsidRPr="00DB707E">
              <w:t>N/A</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D65670C" w14:textId="77777777" w:rsidR="00524B77" w:rsidRPr="00DB707E" w:rsidRDefault="00524B77" w:rsidP="00430B21">
            <w:pPr>
              <w:pStyle w:val="TAC"/>
            </w:pPr>
            <w:r w:rsidRPr="00DB707E">
              <w:t>-50</w:t>
            </w:r>
          </w:p>
        </w:tc>
      </w:tr>
      <w:tr w:rsidR="00524B77" w:rsidRPr="00DB707E" w14:paraId="5117145C" w14:textId="77777777" w:rsidTr="00430B21">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19CA1FA3" w14:textId="77777777" w:rsidR="00524B77" w:rsidRPr="00DB707E" w:rsidRDefault="00524B77" w:rsidP="00430B21">
            <w:pPr>
              <w:pStyle w:val="TAN"/>
            </w:pPr>
            <w:r w:rsidRPr="00DB707E">
              <w:t>NOTE 1:</w:t>
            </w:r>
            <w:r w:rsidRPr="00DB707E">
              <w:tab/>
              <w:t>Io is assumed to have constant EPRE across the bandwidth.</w:t>
            </w:r>
          </w:p>
          <w:p w14:paraId="7A2C74D9" w14:textId="77777777" w:rsidR="00524B77" w:rsidRPr="00DB707E" w:rsidRDefault="00524B77" w:rsidP="00430B21">
            <w:pPr>
              <w:pStyle w:val="TAN"/>
            </w:pPr>
            <w:r w:rsidRPr="00DB707E">
              <w:t>NOTE 2:</w:t>
            </w:r>
            <w:r w:rsidRPr="00DB707E">
              <w:tab/>
              <w:t>The parameter CSI-RS Ês/Iot is the minimum CSI-RS Ês/Iot of the pair of CSI-RS resources to which the requirement applies.</w:t>
            </w:r>
          </w:p>
          <w:p w14:paraId="168B915C" w14:textId="77777777" w:rsidR="00524B77" w:rsidRPr="00DB707E" w:rsidRDefault="00524B77" w:rsidP="00430B21">
            <w:pPr>
              <w:pStyle w:val="TAN"/>
            </w:pPr>
            <w:r w:rsidRPr="00DB707E">
              <w:t>NOTE 3:</w:t>
            </w:r>
            <w:r w:rsidRPr="00DB707E">
              <w:tab/>
              <w:t>Void</w:t>
            </w:r>
          </w:p>
          <w:p w14:paraId="035438E3" w14:textId="77777777" w:rsidR="00524B77" w:rsidRPr="00DB707E" w:rsidRDefault="00524B77" w:rsidP="00430B21">
            <w:pPr>
              <w:pStyle w:val="TAN"/>
            </w:pPr>
            <w:r w:rsidRPr="00DB707E">
              <w:t>NOTE 4:</w:t>
            </w:r>
            <w:r w:rsidRPr="00DB707E">
              <w:tab/>
              <w:t>NR operating band groups in FR1 are as defined in clause 3.5.2.</w:t>
            </w:r>
          </w:p>
        </w:tc>
      </w:tr>
    </w:tbl>
    <w:p w14:paraId="7D74FA97" w14:textId="77777777" w:rsidR="00524B77" w:rsidRPr="00DB707E" w:rsidRDefault="00524B77" w:rsidP="00524B77"/>
    <w:p w14:paraId="0BBE7CA7" w14:textId="77777777" w:rsidR="00524B77" w:rsidRPr="00DB707E" w:rsidRDefault="00524B77" w:rsidP="00524B77">
      <w:pPr>
        <w:pStyle w:val="Heading3"/>
        <w:rPr>
          <w:lang w:val="en-US"/>
        </w:rPr>
      </w:pPr>
      <w:r w:rsidRPr="00DB707E">
        <w:rPr>
          <w:lang w:val="en-US"/>
        </w:rPr>
        <w:t>10.1A.15</w:t>
      </w:r>
      <w:r w:rsidRPr="00DB707E">
        <w:rPr>
          <w:lang w:val="en-US"/>
        </w:rPr>
        <w:tab/>
        <w:t xml:space="preserve"> L1-RSRP accuracy requirements for FR2</w:t>
      </w:r>
    </w:p>
    <w:p w14:paraId="25C0C7A5" w14:textId="77777777" w:rsidR="00524B77" w:rsidRPr="00DB707E" w:rsidRDefault="00524B77" w:rsidP="00524B77">
      <w:pPr>
        <w:pStyle w:val="Heading4"/>
        <w:rPr>
          <w:lang w:val="en-US"/>
        </w:rPr>
      </w:pPr>
      <w:r w:rsidRPr="00DB707E">
        <w:rPr>
          <w:lang w:val="en-US"/>
        </w:rPr>
        <w:t>10.1A.15.1</w:t>
      </w:r>
      <w:r w:rsidRPr="00DB707E">
        <w:rPr>
          <w:lang w:val="en-US"/>
        </w:rPr>
        <w:tab/>
        <w:t>SSB based L1-RSRP accuracy requirements</w:t>
      </w:r>
    </w:p>
    <w:p w14:paraId="6FB7C886" w14:textId="77777777" w:rsidR="00524B77" w:rsidRPr="00DB707E" w:rsidRDefault="00524B77" w:rsidP="00524B77">
      <w:pPr>
        <w:pStyle w:val="Heading5"/>
      </w:pPr>
      <w:r w:rsidRPr="00DB707E">
        <w:t>10.1A.15.1.1</w:t>
      </w:r>
      <w:r w:rsidRPr="00DB707E">
        <w:tab/>
        <w:t>Absolute Accuracy</w:t>
      </w:r>
    </w:p>
    <w:p w14:paraId="7894B6BC" w14:textId="77777777" w:rsidR="00524B77" w:rsidRPr="00DB707E" w:rsidRDefault="00524B77" w:rsidP="00524B77">
      <w:r w:rsidRPr="00DB707E">
        <w:rPr>
          <w:rFonts w:cs="v4.2.0"/>
        </w:rPr>
        <w:t xml:space="preserve">The accuracy requirements in clause </w:t>
      </w:r>
      <w:r w:rsidRPr="00DB707E">
        <w:t>10.1.20.1.1</w:t>
      </w:r>
      <w:r w:rsidRPr="00DB707E">
        <w:rPr>
          <w:rFonts w:cs="v4.2.0"/>
        </w:rPr>
        <w:t xml:space="preserve"> shall apply.</w:t>
      </w:r>
    </w:p>
    <w:p w14:paraId="7C334673" w14:textId="77777777" w:rsidR="00524B77" w:rsidRPr="00DB707E" w:rsidRDefault="00524B77" w:rsidP="00524B77">
      <w:pPr>
        <w:rPr>
          <w:lang w:eastAsia="zh-CN"/>
        </w:rPr>
      </w:pPr>
    </w:p>
    <w:p w14:paraId="5622A93B" w14:textId="77777777" w:rsidR="00524B77" w:rsidRPr="00DB707E" w:rsidRDefault="00524B77" w:rsidP="00524B77">
      <w:pPr>
        <w:pStyle w:val="Heading5"/>
      </w:pPr>
      <w:r w:rsidRPr="00DB707E">
        <w:t>10.1A.15.1.2</w:t>
      </w:r>
      <w:r w:rsidRPr="00DB707E">
        <w:tab/>
        <w:t>Relative Accuracy</w:t>
      </w:r>
    </w:p>
    <w:p w14:paraId="0AC3153A" w14:textId="77777777" w:rsidR="00524B77" w:rsidRPr="00DB707E" w:rsidRDefault="00524B77" w:rsidP="00524B77">
      <w:r w:rsidRPr="00DB707E">
        <w:rPr>
          <w:rFonts w:cs="v4.2.0"/>
        </w:rPr>
        <w:t xml:space="preserve">The accuracy requirements in clause </w:t>
      </w:r>
      <w:r w:rsidRPr="00DB707E">
        <w:t>10.1.20.1.1</w:t>
      </w:r>
      <w:r w:rsidRPr="00DB707E">
        <w:rPr>
          <w:rFonts w:cs="v4.2.0"/>
        </w:rPr>
        <w:t xml:space="preserve"> shall apply.</w:t>
      </w:r>
    </w:p>
    <w:p w14:paraId="79120EE9" w14:textId="77777777" w:rsidR="00524B77" w:rsidRPr="00DB707E" w:rsidRDefault="00524B77" w:rsidP="00524B77">
      <w:pPr>
        <w:pStyle w:val="Heading4"/>
        <w:rPr>
          <w:lang w:val="en-US"/>
        </w:rPr>
      </w:pPr>
      <w:r w:rsidRPr="00DB707E">
        <w:rPr>
          <w:lang w:val="en-US"/>
        </w:rPr>
        <w:t>10.1A.15.2</w:t>
      </w:r>
      <w:r w:rsidRPr="00DB707E">
        <w:rPr>
          <w:lang w:val="en-US"/>
        </w:rPr>
        <w:tab/>
        <w:t>CSI-RS based L1-RSRP accuracy requirements</w:t>
      </w:r>
    </w:p>
    <w:p w14:paraId="44D2ED5E" w14:textId="77777777" w:rsidR="00524B77" w:rsidRPr="00DB707E" w:rsidRDefault="00524B77" w:rsidP="00524B77">
      <w:pPr>
        <w:pStyle w:val="Heading5"/>
      </w:pPr>
      <w:r w:rsidRPr="00DB707E">
        <w:t>10.1A.15.2.1</w:t>
      </w:r>
      <w:r w:rsidRPr="00DB707E">
        <w:tab/>
        <w:t>Absolute Accuracy</w:t>
      </w:r>
    </w:p>
    <w:p w14:paraId="6AE8F834" w14:textId="77777777" w:rsidR="00524B77" w:rsidRPr="00DB707E" w:rsidRDefault="00524B77" w:rsidP="00524B77">
      <w:r w:rsidRPr="00DB707E">
        <w:rPr>
          <w:rFonts w:cs="v4.2.0"/>
        </w:rPr>
        <w:t xml:space="preserve">The accuracy requirements in clause </w:t>
      </w:r>
      <w:r w:rsidRPr="00DB707E">
        <w:t>10.1.20.1.1</w:t>
      </w:r>
      <w:r w:rsidRPr="00DB707E">
        <w:rPr>
          <w:rFonts w:cs="v4.2.0"/>
        </w:rPr>
        <w:t xml:space="preserve"> shall apply.</w:t>
      </w:r>
    </w:p>
    <w:p w14:paraId="0686C08E" w14:textId="77777777" w:rsidR="00524B77" w:rsidRPr="00DB707E" w:rsidRDefault="00524B77" w:rsidP="00524B77">
      <w:pPr>
        <w:pStyle w:val="Heading5"/>
      </w:pPr>
      <w:r w:rsidRPr="00DB707E">
        <w:t>10.1A.15.2.2</w:t>
      </w:r>
      <w:r w:rsidRPr="00DB707E">
        <w:tab/>
        <w:t>Relative Accuracy</w:t>
      </w:r>
    </w:p>
    <w:p w14:paraId="7A95BD28" w14:textId="77777777" w:rsidR="00524B77" w:rsidRPr="00DB707E" w:rsidRDefault="00524B77" w:rsidP="00524B77">
      <w:r w:rsidRPr="00DB707E">
        <w:rPr>
          <w:rFonts w:cs="v4.2.0"/>
        </w:rPr>
        <w:t xml:space="preserve">The accuracy requirements in clause </w:t>
      </w:r>
      <w:r w:rsidRPr="00DB707E">
        <w:t>10.1.20.1.1</w:t>
      </w:r>
      <w:r w:rsidRPr="00DB707E">
        <w:rPr>
          <w:rFonts w:cs="v4.2.0"/>
        </w:rPr>
        <w:t xml:space="preserve"> shall apply.</w:t>
      </w:r>
    </w:p>
    <w:p w14:paraId="3A8BDA52" w14:textId="77777777" w:rsidR="00524B77" w:rsidRPr="007275DF" w:rsidRDefault="00524B77" w:rsidP="007D2333"/>
    <w:p w14:paraId="6CDBA42B" w14:textId="1F52225B" w:rsidR="00A44EFE" w:rsidRPr="009C5807" w:rsidRDefault="00A44EFE" w:rsidP="00A44EFE">
      <w:pPr>
        <w:pStyle w:val="Heading2"/>
      </w:pPr>
      <w:r w:rsidRPr="009C5807">
        <w:t>10.2</w:t>
      </w:r>
      <w:r w:rsidRPr="009C5807">
        <w:tab/>
        <w:t>E-UTRAN measurements</w:t>
      </w:r>
      <w:bookmarkEnd w:id="0"/>
    </w:p>
    <w:p w14:paraId="4135EB73" w14:textId="77777777" w:rsidR="00A44EFE" w:rsidRPr="009C5807" w:rsidRDefault="00A44EFE" w:rsidP="00A44EFE">
      <w:pPr>
        <w:pStyle w:val="Heading3"/>
        <w:rPr>
          <w:lang w:val="en-US" w:eastAsia="ko-KR"/>
        </w:rPr>
      </w:pPr>
      <w:bookmarkStart w:id="22" w:name="_Toc5952727"/>
      <w:r w:rsidRPr="009C5807">
        <w:rPr>
          <w:lang w:val="en-US" w:eastAsia="ko-KR"/>
        </w:rPr>
        <w:t>10.2.1</w:t>
      </w:r>
      <w:r w:rsidRPr="009C5807">
        <w:rPr>
          <w:lang w:val="en-US" w:eastAsia="ko-KR"/>
        </w:rPr>
        <w:tab/>
        <w:t>Introduction</w:t>
      </w:r>
      <w:bookmarkEnd w:id="22"/>
    </w:p>
    <w:p w14:paraId="4C966EEC" w14:textId="0AEC168E" w:rsidR="00A44EFE" w:rsidRPr="009C5807" w:rsidRDefault="00A44EFE" w:rsidP="00A44EFE">
      <w:pPr>
        <w:rPr>
          <w:lang w:val="en-US" w:eastAsia="ko-KR"/>
        </w:rPr>
      </w:pPr>
      <w:r w:rsidRPr="009C5807">
        <w:rPr>
          <w:lang w:val="en-US" w:eastAsia="ko-KR"/>
        </w:rPr>
        <w:t xml:space="preserve">Accuracy requirements for measurements on E-UTRAN carrier frequencies are specified in </w:t>
      </w:r>
      <w:r w:rsidR="00301612" w:rsidRPr="009C5807">
        <w:rPr>
          <w:lang w:val="en-US" w:eastAsia="ko-KR"/>
        </w:rPr>
        <w:t>clause</w:t>
      </w:r>
      <w:r w:rsidRPr="009C5807">
        <w:rPr>
          <w:lang w:val="en-US" w:eastAsia="ko-KR"/>
        </w:rPr>
        <w:t xml:space="preserve"> 10.2 and apply for UE in SA or NR-DC</w:t>
      </w:r>
      <w:r w:rsidR="001B1083" w:rsidRPr="009C5807">
        <w:rPr>
          <w:lang w:val="en-US" w:eastAsia="ko-KR"/>
        </w:rPr>
        <w:t xml:space="preserve"> or NE-DC </w:t>
      </w:r>
      <w:r w:rsidRPr="009C5807">
        <w:rPr>
          <w:lang w:val="en-US" w:eastAsia="ko-KR"/>
        </w:rPr>
        <w:t>operation mode</w:t>
      </w:r>
      <w:r w:rsidR="00C87F52">
        <w:rPr>
          <w:lang w:val="en-US" w:eastAsia="ko-KR"/>
        </w:rPr>
        <w:t>, unless otherwise specified</w:t>
      </w:r>
      <w:r w:rsidRPr="009C5807">
        <w:rPr>
          <w:lang w:val="en-US" w:eastAsia="ko-KR"/>
        </w:rPr>
        <w:t>.</w:t>
      </w:r>
    </w:p>
    <w:p w14:paraId="422A2CE6" w14:textId="46AE2FD1" w:rsidR="00A44EFE" w:rsidRPr="009C5807" w:rsidRDefault="00C87F52" w:rsidP="00A44EFE">
      <w:pPr>
        <w:jc w:val="both"/>
        <w:rPr>
          <w:rFonts w:cs="v4.2.0"/>
        </w:rPr>
      </w:pPr>
      <w:r>
        <w:rPr>
          <w:lang w:val="en-US" w:eastAsia="ko-KR"/>
        </w:rPr>
        <w:t>Unless otherwise specified,</w:t>
      </w:r>
      <w:r w:rsidRPr="009C5807">
        <w:rPr>
          <w:rFonts w:cs="v4.2.0"/>
        </w:rPr>
        <w:t xml:space="preserve"> </w:t>
      </w:r>
      <w:r>
        <w:rPr>
          <w:rFonts w:cs="v4.2.0"/>
        </w:rPr>
        <w:t>t</w:t>
      </w:r>
      <w:r w:rsidR="00A44EFE" w:rsidRPr="009C5807">
        <w:rPr>
          <w:rFonts w:cs="v4.2.0"/>
        </w:rPr>
        <w:t xml:space="preserve">he requirements in </w:t>
      </w:r>
      <w:r w:rsidR="00301612" w:rsidRPr="009C5807">
        <w:rPr>
          <w:rFonts w:cs="v4.2.0"/>
        </w:rPr>
        <w:t>clause</w:t>
      </w:r>
      <w:r w:rsidR="00A44EFE" w:rsidRPr="009C5807">
        <w:rPr>
          <w:rFonts w:cs="v4.2.0"/>
        </w:rPr>
        <w:t xml:space="preserve"> 10.2 are applicable for a UE:</w:t>
      </w:r>
    </w:p>
    <w:p w14:paraId="6709533C" w14:textId="77777777" w:rsidR="00A44EFE" w:rsidRPr="009C5807" w:rsidRDefault="00A44EFE" w:rsidP="00A44EFE">
      <w:pPr>
        <w:pStyle w:val="B10"/>
      </w:pPr>
      <w:r w:rsidRPr="009C5807">
        <w:rPr>
          <w:rFonts w:cs="v4.2.0"/>
        </w:rPr>
        <w:t>-</w:t>
      </w:r>
      <w:r w:rsidRPr="009C5807">
        <w:rPr>
          <w:rFonts w:cs="v4.2.0"/>
        </w:rPr>
        <w:tab/>
        <w:t>in RRC_CONNECTED state</w:t>
      </w:r>
    </w:p>
    <w:p w14:paraId="6BCB2346" w14:textId="12E5CF1C" w:rsidR="00A44EFE" w:rsidRPr="009C5807" w:rsidRDefault="00A44EFE" w:rsidP="00A44EFE">
      <w:pPr>
        <w:pStyle w:val="B10"/>
      </w:pPr>
      <w:r w:rsidRPr="009C5807">
        <w:t>-</w:t>
      </w:r>
      <w:r w:rsidRPr="009C5807">
        <w:tab/>
        <w:t xml:space="preserve">performing measurements with appropriate measurement gaps according to </w:t>
      </w:r>
      <w:r w:rsidR="00301612" w:rsidRPr="009C5807">
        <w:rPr>
          <w:rFonts w:cs="v4.2.0"/>
        </w:rPr>
        <w:t>clause</w:t>
      </w:r>
      <w:r w:rsidRPr="009C5807">
        <w:rPr>
          <w:rFonts w:cs="v4.2.0"/>
        </w:rPr>
        <w:t xml:space="preserve"> </w:t>
      </w:r>
      <w:r w:rsidRPr="009C5807">
        <w:t>9.1.2.</w:t>
      </w:r>
    </w:p>
    <w:p w14:paraId="6B1525A5" w14:textId="77777777" w:rsidR="00A44EFE" w:rsidRPr="009C5807" w:rsidRDefault="00A44EFE" w:rsidP="00A44EFE">
      <w:pPr>
        <w:pStyle w:val="B10"/>
      </w:pPr>
      <w:r w:rsidRPr="009C5807">
        <w:t>-</w:t>
      </w:r>
      <w:r w:rsidRPr="009C5807">
        <w:tab/>
        <w:t>that is synchronised to the cell that is measured.</w:t>
      </w:r>
    </w:p>
    <w:p w14:paraId="25521677" w14:textId="77777777" w:rsidR="00A44EFE" w:rsidRPr="009C5807" w:rsidRDefault="00A44EFE" w:rsidP="00EF0613">
      <w:r w:rsidRPr="009C5807">
        <w:t>The reported measurement result after layer 1 filtering shall be an estimate of the average value of the measured quantity over the measurement period. The reference point for the measurement result after layer 1 filtering is referred to as point B in the measurement model described in TS 36.300 [24].</w:t>
      </w:r>
    </w:p>
    <w:p w14:paraId="59349FE2" w14:textId="77777777" w:rsidR="00A44EFE" w:rsidRPr="009C5807" w:rsidRDefault="00A44EFE" w:rsidP="00EF0613">
      <w:r w:rsidRPr="009C5807">
        <w:t>The accuracy requirements of E-UTRA measurements in this clause are valid for the reported measurement result after layer 1 filtering. The accuracy requirements are verified from the measurement report at point D in the measurement model having the layer 3 filtering disabled.</w:t>
      </w:r>
    </w:p>
    <w:p w14:paraId="52E673F9" w14:textId="15472EC1" w:rsidR="00A44EFE" w:rsidRPr="009C5807" w:rsidRDefault="00A44EFE" w:rsidP="00EF0613">
      <w:r w:rsidRPr="009C5807">
        <w:t xml:space="preserve">If the UE needs measurement gaps to perform the inter-RAT NR </w:t>
      </w:r>
      <w:r w:rsidRPr="009C5807">
        <w:rPr>
          <w:rFonts w:hint="eastAsia"/>
        </w:rPr>
        <w:t>─</w:t>
      </w:r>
      <w:r w:rsidRPr="009C5807">
        <w:t xml:space="preserve"> E-UTRAN FDD and NR </w:t>
      </w:r>
      <w:r w:rsidRPr="009C5807">
        <w:rPr>
          <w:rFonts w:hint="eastAsia"/>
        </w:rPr>
        <w:t>─</w:t>
      </w:r>
      <w:r w:rsidRPr="009C5807">
        <w:t xml:space="preserve"> E-UTRAN TDD measurements, the relevant measurement procedure and measurement gap patterns stated in </w:t>
      </w:r>
      <w:r w:rsidR="00301612" w:rsidRPr="009C5807">
        <w:t>clause</w:t>
      </w:r>
      <w:r w:rsidRPr="009C5807">
        <w:t> 9.1.2 shall apply.</w:t>
      </w:r>
    </w:p>
    <w:p w14:paraId="756622B9" w14:textId="77777777" w:rsidR="00315CFD" w:rsidRPr="009C5807" w:rsidRDefault="00315CFD" w:rsidP="008B6AFC">
      <w:pPr>
        <w:pStyle w:val="Heading3"/>
        <w:rPr>
          <w:lang w:val="en-US" w:eastAsia="ko-KR"/>
        </w:rPr>
      </w:pPr>
      <w:bookmarkStart w:id="23" w:name="_Toc5952728"/>
      <w:r w:rsidRPr="009C5807">
        <w:rPr>
          <w:lang w:val="en-US" w:eastAsia="ko-KR"/>
        </w:rPr>
        <w:t>10.2.2</w:t>
      </w:r>
      <w:r w:rsidR="008B6AFC" w:rsidRPr="009C5807">
        <w:rPr>
          <w:lang w:val="en-US" w:eastAsia="ko-KR"/>
        </w:rPr>
        <w:tab/>
      </w:r>
      <w:r w:rsidRPr="009C5807">
        <w:rPr>
          <w:lang w:val="en-US" w:eastAsia="ko-KR"/>
        </w:rPr>
        <w:t>E-UTRAN RSRP measurements</w:t>
      </w:r>
      <w:bookmarkEnd w:id="23"/>
    </w:p>
    <w:p w14:paraId="756622BA" w14:textId="77777777" w:rsidR="00315CFD" w:rsidRPr="009C5807" w:rsidRDefault="00315CFD" w:rsidP="00315CFD">
      <w:pPr>
        <w:pStyle w:val="NO"/>
        <w:rPr>
          <w:rFonts w:cs="v4.2.0"/>
        </w:rPr>
      </w:pPr>
      <w:r w:rsidRPr="009C5807">
        <w:rPr>
          <w:rFonts w:cs="v4.2.0"/>
        </w:rPr>
        <w:t>NOTE:</w:t>
      </w:r>
      <w:r w:rsidRPr="009C5807">
        <w:rPr>
          <w:rFonts w:cs="v4.2.0"/>
        </w:rPr>
        <w:tab/>
        <w:t>This measurement is for handover between NR and E-UTRAN.</w:t>
      </w:r>
    </w:p>
    <w:p w14:paraId="756622C1" w14:textId="66D963D3" w:rsidR="0052731F" w:rsidRPr="009C5807" w:rsidRDefault="0052731F" w:rsidP="0052731F">
      <w:pPr>
        <w:rPr>
          <w:rFonts w:cs="v4.2.0"/>
        </w:rPr>
      </w:pPr>
      <w:r w:rsidRPr="009C5807">
        <w:rPr>
          <w:rFonts w:cs="v4.2.0"/>
        </w:rPr>
        <w:t xml:space="preserve">The measurement period of E-UTRA RSRP in RRC_CONNECTED state is specified in </w:t>
      </w:r>
      <w:r w:rsidR="00301612" w:rsidRPr="009C5807">
        <w:rPr>
          <w:rFonts w:cs="v4.2.0"/>
        </w:rPr>
        <w:t>clause</w:t>
      </w:r>
      <w:r w:rsidRPr="009C5807">
        <w:rPr>
          <w:rFonts w:cs="v4.2.0"/>
        </w:rPr>
        <w:t xml:space="preserve"> 9.4.2 and 9.4.3.</w:t>
      </w:r>
    </w:p>
    <w:p w14:paraId="756622C2" w14:textId="35626613" w:rsidR="0052731F" w:rsidRPr="009C5807" w:rsidRDefault="0052731F" w:rsidP="0052731F">
      <w:pPr>
        <w:jc w:val="both"/>
        <w:rPr>
          <w:rFonts w:cs="v4.2.0"/>
        </w:rPr>
      </w:pPr>
      <w:r w:rsidRPr="009C5807">
        <w:rPr>
          <w:rFonts w:cs="v4.2.0"/>
        </w:rPr>
        <w:t xml:space="preserve">The accuracy requirements of E-UTRA RSRP measurements in RRC_CONNECTED state and the corresponding side conditions shall be the same as the </w:t>
      </w:r>
      <w:r w:rsidRPr="009C5807">
        <w:t xml:space="preserve">inter-frequency RSRP Accuracy Requirements in </w:t>
      </w:r>
      <w:r w:rsidR="00D3522B" w:rsidRPr="009C5807">
        <w:t xml:space="preserve">clause 9.1.3 of </w:t>
      </w:r>
      <w:r w:rsidRPr="009C5807">
        <w:t>TS 36.133</w:t>
      </w:r>
      <w:r w:rsidR="00D3522B" w:rsidRPr="009C5807">
        <w:t> </w:t>
      </w:r>
      <w:r w:rsidRPr="009C5807">
        <w:t>[15].</w:t>
      </w:r>
    </w:p>
    <w:p w14:paraId="756622C3" w14:textId="7170B156" w:rsidR="00315CFD" w:rsidRPr="009C5807" w:rsidRDefault="00315CFD" w:rsidP="00315CFD">
      <w:r w:rsidRPr="009C5807">
        <w:t xml:space="preserve">The reporting range and mapping specified for RSRP measurements in </w:t>
      </w:r>
      <w:r w:rsidR="00D3522B" w:rsidRPr="009C5807">
        <w:t xml:space="preserve">clause 9.1.4 of </w:t>
      </w:r>
      <w:r w:rsidRPr="009C5807">
        <w:t>TS</w:t>
      </w:r>
      <w:r w:rsidR="00D3522B" w:rsidRPr="009C5807">
        <w:t> </w:t>
      </w:r>
      <w:r w:rsidRPr="009C5807">
        <w:t>36.133</w:t>
      </w:r>
      <w:r w:rsidR="00D3522B" w:rsidRPr="009C5807">
        <w:t> </w:t>
      </w:r>
      <w:r w:rsidRPr="009C5807">
        <w:t>[15] shall apply.</w:t>
      </w:r>
    </w:p>
    <w:p w14:paraId="756622C4" w14:textId="77777777" w:rsidR="00315CFD" w:rsidRPr="009C5807" w:rsidRDefault="00315CFD" w:rsidP="00315CFD">
      <w:pPr>
        <w:pStyle w:val="Heading3"/>
        <w:rPr>
          <w:lang w:val="en-US" w:eastAsia="ko-KR"/>
        </w:rPr>
      </w:pPr>
      <w:bookmarkStart w:id="24" w:name="_Toc5952729"/>
      <w:r w:rsidRPr="009C5807">
        <w:rPr>
          <w:lang w:val="en-US" w:eastAsia="ko-KR"/>
        </w:rPr>
        <w:t>10.2.3</w:t>
      </w:r>
      <w:r w:rsidRPr="009C5807">
        <w:rPr>
          <w:lang w:val="en-US" w:eastAsia="ko-KR"/>
        </w:rPr>
        <w:tab/>
        <w:t>E-UTRAN RSRQ measurements</w:t>
      </w:r>
      <w:bookmarkEnd w:id="24"/>
    </w:p>
    <w:p w14:paraId="756622C5" w14:textId="77777777" w:rsidR="00315CFD" w:rsidRPr="009C5807" w:rsidRDefault="00315CFD" w:rsidP="00315CFD">
      <w:pPr>
        <w:pStyle w:val="NO"/>
        <w:rPr>
          <w:rFonts w:cs="v4.2.0"/>
        </w:rPr>
      </w:pPr>
      <w:r w:rsidRPr="009C5807">
        <w:rPr>
          <w:rFonts w:cs="v4.2.0"/>
        </w:rPr>
        <w:t>NOTE:</w:t>
      </w:r>
      <w:r w:rsidRPr="009C5807">
        <w:rPr>
          <w:rFonts w:cs="v4.2.0"/>
        </w:rPr>
        <w:tab/>
        <w:t>This measurement is for handover between NR and E-UTRAN.</w:t>
      </w:r>
    </w:p>
    <w:p w14:paraId="756622CC" w14:textId="0B502343" w:rsidR="0052731F" w:rsidRPr="009C5807" w:rsidRDefault="0052731F" w:rsidP="0052731F">
      <w:pPr>
        <w:rPr>
          <w:rFonts w:cs="v4.2.0"/>
        </w:rPr>
      </w:pPr>
      <w:r w:rsidRPr="009C5807">
        <w:rPr>
          <w:rFonts w:cs="v4.2.0"/>
        </w:rPr>
        <w:t xml:space="preserve">The measurement period of E-UTRA RSRQ in RRC_CONNECTED state is specified in </w:t>
      </w:r>
      <w:r w:rsidR="00301612" w:rsidRPr="009C5807">
        <w:rPr>
          <w:rFonts w:cs="v4.2.0"/>
        </w:rPr>
        <w:t>clause</w:t>
      </w:r>
      <w:r w:rsidRPr="009C5807">
        <w:rPr>
          <w:rFonts w:cs="v4.2.0"/>
        </w:rPr>
        <w:t xml:space="preserve"> 9.4.2 and 9.4.3.</w:t>
      </w:r>
    </w:p>
    <w:p w14:paraId="756622CD" w14:textId="0C41F91B" w:rsidR="0052731F" w:rsidRPr="009C5807" w:rsidRDefault="0052731F" w:rsidP="0052731F">
      <w:pPr>
        <w:jc w:val="both"/>
      </w:pPr>
      <w:r w:rsidRPr="009C5807">
        <w:rPr>
          <w:rFonts w:cs="v4.2.0"/>
        </w:rPr>
        <w:t xml:space="preserve">The accuracy requirements of E-UTRA RSRQ measurements in RRC_CONNECTED state and the corresponding side conditions shall be the same as the </w:t>
      </w:r>
      <w:r w:rsidRPr="009C5807">
        <w:t xml:space="preserve">inter-frequency RSRQ Accuracy Requirements in </w:t>
      </w:r>
      <w:r w:rsidR="00D3522B" w:rsidRPr="009C5807">
        <w:t xml:space="preserve">clause 9.1.6 of </w:t>
      </w:r>
      <w:r w:rsidRPr="009C5807">
        <w:t>TS</w:t>
      </w:r>
      <w:r w:rsidR="00D3522B" w:rsidRPr="009C5807">
        <w:t> </w:t>
      </w:r>
      <w:r w:rsidRPr="009C5807">
        <w:t>36.133</w:t>
      </w:r>
      <w:r w:rsidR="00D3522B" w:rsidRPr="009C5807">
        <w:t> </w:t>
      </w:r>
      <w:r w:rsidRPr="009C5807">
        <w:t>[15].</w:t>
      </w:r>
    </w:p>
    <w:p w14:paraId="756622CE" w14:textId="651182A6" w:rsidR="00315CFD" w:rsidRPr="009C5807" w:rsidRDefault="00315CFD" w:rsidP="00315CFD">
      <w:pPr>
        <w:jc w:val="both"/>
        <w:rPr>
          <w:rFonts w:cs="v4.2.0"/>
        </w:rPr>
      </w:pPr>
      <w:r w:rsidRPr="009C5807">
        <w:rPr>
          <w:rFonts w:cs="v4.2.0"/>
        </w:rPr>
        <w:t xml:space="preserve">The requirements for accuracy of E-UTRA RSRQ measurements in RRC_CONNECTED state and the corresponding side conditions shall be the same as the </w:t>
      </w:r>
      <w:r w:rsidRPr="009C5807">
        <w:t xml:space="preserve">inter-frequency RSRQ Accuracy Requirements in </w:t>
      </w:r>
      <w:r w:rsidR="00D3522B" w:rsidRPr="009C5807">
        <w:t xml:space="preserve">clause 9.1.6 of </w:t>
      </w:r>
      <w:r w:rsidRPr="009C5807">
        <w:t>TS</w:t>
      </w:r>
      <w:r w:rsidR="00D3522B" w:rsidRPr="009C5807">
        <w:t> </w:t>
      </w:r>
      <w:r w:rsidRPr="009C5807">
        <w:t>36.133</w:t>
      </w:r>
      <w:r w:rsidR="00D3522B" w:rsidRPr="009C5807">
        <w:t> </w:t>
      </w:r>
      <w:r w:rsidRPr="009C5807">
        <w:t>[15].</w:t>
      </w:r>
    </w:p>
    <w:p w14:paraId="756622CF" w14:textId="0BD6BB26" w:rsidR="008B6AFC" w:rsidRPr="009C5807" w:rsidRDefault="00315CFD" w:rsidP="008B6AFC">
      <w:r w:rsidRPr="009C5807">
        <w:t xml:space="preserve">The reporting range and mapping specified for RSRQ measurements </w:t>
      </w:r>
      <w:r w:rsidR="00897C36" w:rsidRPr="009C5807">
        <w:t xml:space="preserve">in </w:t>
      </w:r>
      <w:r w:rsidR="00D3522B" w:rsidRPr="009C5807">
        <w:t xml:space="preserve">clause 9.1.7 of </w:t>
      </w:r>
      <w:r w:rsidRPr="009C5807">
        <w:t>TS</w:t>
      </w:r>
      <w:r w:rsidR="00D3522B" w:rsidRPr="009C5807">
        <w:t> </w:t>
      </w:r>
      <w:r w:rsidRPr="009C5807">
        <w:t>36.133</w:t>
      </w:r>
      <w:r w:rsidR="00D3522B" w:rsidRPr="009C5807">
        <w:t> </w:t>
      </w:r>
      <w:r w:rsidRPr="009C5807">
        <w:t>[15] shall apply.</w:t>
      </w:r>
    </w:p>
    <w:p w14:paraId="756622D0" w14:textId="77777777" w:rsidR="00315CFD" w:rsidRPr="009C5807" w:rsidRDefault="00315CFD" w:rsidP="00315CFD">
      <w:pPr>
        <w:pStyle w:val="Heading3"/>
        <w:rPr>
          <w:lang w:val="en-US" w:eastAsia="ko-KR"/>
        </w:rPr>
      </w:pPr>
      <w:bookmarkStart w:id="25" w:name="_Toc5952730"/>
      <w:r w:rsidRPr="009C5807">
        <w:rPr>
          <w:lang w:val="en-US" w:eastAsia="ko-KR"/>
        </w:rPr>
        <w:t>10.2.4</w:t>
      </w:r>
      <w:r w:rsidRPr="009C5807">
        <w:rPr>
          <w:lang w:val="en-US" w:eastAsia="ko-KR"/>
        </w:rPr>
        <w:tab/>
        <w:t>E-UTRAN RSTD measurements</w:t>
      </w:r>
      <w:bookmarkEnd w:id="25"/>
    </w:p>
    <w:p w14:paraId="756622D1" w14:textId="51A26E2A" w:rsidR="00315CFD" w:rsidRPr="009C5807" w:rsidRDefault="00315CFD" w:rsidP="00315CFD">
      <w:pPr>
        <w:rPr>
          <w:rFonts w:cs="v4.2.0"/>
        </w:rPr>
      </w:pPr>
      <w:r w:rsidRPr="009C5807">
        <w:rPr>
          <w:rFonts w:cs="v4.2.0"/>
        </w:rPr>
        <w:t xml:space="preserve">The requirements in this </w:t>
      </w:r>
      <w:r w:rsidR="0059755E" w:rsidRPr="009C5807">
        <w:rPr>
          <w:rFonts w:cs="v4.2.0"/>
        </w:rPr>
        <w:t>clause</w:t>
      </w:r>
      <w:r w:rsidRPr="009C5807">
        <w:rPr>
          <w:rFonts w:cs="v4.2.0"/>
        </w:rPr>
        <w:t xml:space="preserve"> are valid for UE supporting this capability.</w:t>
      </w:r>
    </w:p>
    <w:p w14:paraId="756622D2" w14:textId="47D647EB" w:rsidR="00315CFD" w:rsidRPr="009C5807" w:rsidRDefault="00315CFD" w:rsidP="00315CFD">
      <w:pPr>
        <w:rPr>
          <w:rFonts w:cs="v4.2.0"/>
        </w:rPr>
      </w:pPr>
      <w:r w:rsidRPr="009C5807">
        <w:rPr>
          <w:rFonts w:cs="v4.2.0"/>
        </w:rPr>
        <w:t xml:space="preserve">The measurement period is specified in </w:t>
      </w:r>
      <w:r w:rsidR="00D3522B" w:rsidRPr="009C5807">
        <w:rPr>
          <w:rFonts w:cs="v4.2.0"/>
        </w:rPr>
        <w:t>clause</w:t>
      </w:r>
      <w:r w:rsidRPr="009C5807">
        <w:rPr>
          <w:rFonts w:cs="v4.2.0"/>
        </w:rPr>
        <w:t xml:space="preserve">s 9.4.4.1 and 9.4.4.2 for inter-RAT NR </w:t>
      </w:r>
      <w:r w:rsidRPr="009C5807">
        <w:rPr>
          <w:rFonts w:hint="eastAsia"/>
        </w:rPr>
        <w:t>─</w:t>
      </w:r>
      <w:r w:rsidRPr="009C5807">
        <w:rPr>
          <w:rFonts w:cs="v4.2.0"/>
        </w:rPr>
        <w:t xml:space="preserve"> E-UTRAN FDD and inter-RAT NR </w:t>
      </w:r>
      <w:r w:rsidRPr="009C5807">
        <w:rPr>
          <w:rFonts w:hint="eastAsia"/>
        </w:rPr>
        <w:t>─</w:t>
      </w:r>
      <w:r w:rsidRPr="009C5807">
        <w:rPr>
          <w:rFonts w:cs="v4.2.0"/>
        </w:rPr>
        <w:t xml:space="preserve"> E-UTRAN TDD RSTD measurements, respectively.</w:t>
      </w:r>
    </w:p>
    <w:p w14:paraId="756622D3" w14:textId="298D5C99" w:rsidR="00315CFD" w:rsidRPr="009C5807" w:rsidRDefault="00315CFD" w:rsidP="00315CFD">
      <w:pPr>
        <w:rPr>
          <w:rFonts w:cs="v4.2.0"/>
        </w:rPr>
      </w:pPr>
      <w:r w:rsidRPr="009C5807">
        <w:rPr>
          <w:rFonts w:cs="v4.2.0"/>
        </w:rPr>
        <w:t xml:space="preserve">The accuracy requirements and the corresponding side conditions shall be the same as the inter-frequency measurement accuracy requirements for RSTD measurements in RRC_CONNECTED in </w:t>
      </w:r>
      <w:r w:rsidR="00D3522B" w:rsidRPr="009C5807">
        <w:rPr>
          <w:rFonts w:cs="v4.2.0"/>
        </w:rPr>
        <w:t>clause 9.1.10.2 of TS </w:t>
      </w:r>
      <w:r w:rsidRPr="009C5807">
        <w:rPr>
          <w:rFonts w:cs="v4.2.0"/>
        </w:rPr>
        <w:t>36.</w:t>
      </w:r>
      <w:r w:rsidR="00D3522B" w:rsidRPr="009C5807">
        <w:rPr>
          <w:rFonts w:cs="v4.2.0"/>
        </w:rPr>
        <w:t>133 </w:t>
      </w:r>
      <w:r w:rsidRPr="009C5807">
        <w:rPr>
          <w:rFonts w:cs="v4.2.0"/>
        </w:rPr>
        <w:t>[15].</w:t>
      </w:r>
    </w:p>
    <w:p w14:paraId="756622D4" w14:textId="2F263465" w:rsidR="00315CFD" w:rsidRPr="009C5807" w:rsidRDefault="00315CFD" w:rsidP="00315CFD">
      <w:pPr>
        <w:rPr>
          <w:rFonts w:cs="v4.2.0"/>
        </w:rPr>
      </w:pPr>
      <w:r w:rsidRPr="009C5807">
        <w:rPr>
          <w:rFonts w:cs="v4.2.0"/>
        </w:rPr>
        <w:t xml:space="preserve">If the UE needs measurement gaps to perform the inter-RAT NR </w:t>
      </w:r>
      <w:r w:rsidRPr="009C5807">
        <w:rPr>
          <w:rFonts w:cs="v4.2.0" w:hint="eastAsia"/>
        </w:rPr>
        <w:t>─</w:t>
      </w:r>
      <w:r w:rsidRPr="009C5807">
        <w:rPr>
          <w:rFonts w:cs="v4.2.0"/>
        </w:rPr>
        <w:t xml:space="preserve"> E-UTRAN FDD and NR </w:t>
      </w:r>
      <w:r w:rsidRPr="009C5807">
        <w:rPr>
          <w:rFonts w:cs="v4.2.0" w:hint="eastAsia"/>
        </w:rPr>
        <w:t>─</w:t>
      </w:r>
      <w:r w:rsidRPr="009C5807">
        <w:rPr>
          <w:rFonts w:cs="v4.2.0"/>
        </w:rPr>
        <w:t xml:space="preserve"> E-UTRAN TDD RSTD measurements, the relevant measurement procedure and measurement gap patterns stated in </w:t>
      </w:r>
      <w:r w:rsidR="00D3522B" w:rsidRPr="009C5807">
        <w:rPr>
          <w:rFonts w:cs="v4.2.0"/>
        </w:rPr>
        <w:t>clause</w:t>
      </w:r>
      <w:r w:rsidRPr="009C5807">
        <w:rPr>
          <w:rFonts w:cs="v4.2.0"/>
        </w:rPr>
        <w:t> 9.1.2 shall apply.</w:t>
      </w:r>
    </w:p>
    <w:p w14:paraId="756622D5" w14:textId="67B4E639" w:rsidR="00315CFD" w:rsidRPr="009C5807" w:rsidRDefault="00315CFD" w:rsidP="00315CFD">
      <w:pPr>
        <w:rPr>
          <w:rFonts w:cs="v4.2.0"/>
        </w:rPr>
      </w:pPr>
      <w:r w:rsidRPr="009C5807">
        <w:rPr>
          <w:rFonts w:cs="v4.2.0"/>
        </w:rPr>
        <w:t xml:space="preserve">The reporting range and mapping for the inter-RAT NR </w:t>
      </w:r>
      <w:r w:rsidRPr="009C5807">
        <w:rPr>
          <w:rFonts w:cs="v4.2.0" w:hint="eastAsia"/>
        </w:rPr>
        <w:t>─</w:t>
      </w:r>
      <w:r w:rsidRPr="009C5807">
        <w:rPr>
          <w:rFonts w:cs="v4.2.0"/>
        </w:rPr>
        <w:t xml:space="preserve"> E-UTRAN FDD and NR </w:t>
      </w:r>
      <w:r w:rsidRPr="009C5807">
        <w:rPr>
          <w:rFonts w:cs="v4.2.0" w:hint="eastAsia"/>
        </w:rPr>
        <w:t>─</w:t>
      </w:r>
      <w:r w:rsidRPr="009C5807">
        <w:rPr>
          <w:rFonts w:cs="v4.2.0"/>
        </w:rPr>
        <w:t xml:space="preserve"> E-UTRAN TDD RSTD measurements is the same as specified for RSTD measurements in TS 36.133 [15, </w:t>
      </w:r>
      <w:r w:rsidR="00D3522B" w:rsidRPr="009C5807">
        <w:rPr>
          <w:rFonts w:cs="v4.2.0"/>
        </w:rPr>
        <w:t>clause</w:t>
      </w:r>
      <w:r w:rsidRPr="009C5807">
        <w:rPr>
          <w:rFonts w:cs="v4.2.0"/>
        </w:rPr>
        <w:t>s 9.1.10.3 and 9.1.10.4].</w:t>
      </w:r>
    </w:p>
    <w:p w14:paraId="756622D6" w14:textId="77777777" w:rsidR="00315CFD" w:rsidRPr="009C5807" w:rsidRDefault="00315CFD" w:rsidP="00315CFD">
      <w:pPr>
        <w:pStyle w:val="Heading3"/>
        <w:rPr>
          <w:lang w:val="en-US" w:eastAsia="ko-KR"/>
        </w:rPr>
      </w:pPr>
      <w:bookmarkStart w:id="26" w:name="_Toc5952731"/>
      <w:r w:rsidRPr="009C5807">
        <w:rPr>
          <w:lang w:val="en-US" w:eastAsia="ko-KR"/>
        </w:rPr>
        <w:t>10.2.5</w:t>
      </w:r>
      <w:r w:rsidRPr="009C5807">
        <w:rPr>
          <w:lang w:val="en-US" w:eastAsia="ko-KR"/>
        </w:rPr>
        <w:tab/>
        <w:t>E-UTRAN RS-SINR measurements</w:t>
      </w:r>
      <w:bookmarkEnd w:id="26"/>
    </w:p>
    <w:p w14:paraId="756622D7" w14:textId="77777777" w:rsidR="00315CFD" w:rsidRPr="009C5807" w:rsidRDefault="00315CFD" w:rsidP="00315CFD">
      <w:pPr>
        <w:pStyle w:val="NO"/>
        <w:rPr>
          <w:rFonts w:cs="v4.2.0"/>
        </w:rPr>
      </w:pPr>
      <w:r w:rsidRPr="009C5807">
        <w:rPr>
          <w:rFonts w:cs="v4.2.0"/>
        </w:rPr>
        <w:t>NOTE:</w:t>
      </w:r>
      <w:r w:rsidRPr="009C5807">
        <w:rPr>
          <w:rFonts w:cs="v4.2.0"/>
        </w:rPr>
        <w:tab/>
        <w:t>This measurement is for handover between NR and E-UTRAN.</w:t>
      </w:r>
    </w:p>
    <w:p w14:paraId="756622DE" w14:textId="21F10940" w:rsidR="0052714E" w:rsidRPr="009C5807" w:rsidRDefault="0052714E" w:rsidP="0052714E">
      <w:pPr>
        <w:rPr>
          <w:rFonts w:cs="v4.2.0"/>
        </w:rPr>
      </w:pPr>
      <w:r w:rsidRPr="009C5807">
        <w:rPr>
          <w:rFonts w:cs="v4.2.0"/>
        </w:rPr>
        <w:t xml:space="preserve">The measurement period of E-UTRA RS-SINR in RRC_CONNECTED state is specified in </w:t>
      </w:r>
      <w:r w:rsidR="00301612" w:rsidRPr="009C5807">
        <w:rPr>
          <w:rFonts w:cs="v4.2.0"/>
        </w:rPr>
        <w:t>clause</w:t>
      </w:r>
      <w:r w:rsidRPr="009C5807">
        <w:rPr>
          <w:rFonts w:cs="v4.2.0"/>
        </w:rPr>
        <w:t xml:space="preserve"> 9.4.2 and 9.4.3.</w:t>
      </w:r>
    </w:p>
    <w:p w14:paraId="756622DF" w14:textId="577F8FCD" w:rsidR="0052714E" w:rsidRPr="009C5807" w:rsidRDefault="0052714E" w:rsidP="0052714E">
      <w:pPr>
        <w:jc w:val="both"/>
        <w:rPr>
          <w:rFonts w:cs="v4.2.0"/>
        </w:rPr>
      </w:pPr>
      <w:r w:rsidRPr="009C5807">
        <w:rPr>
          <w:rFonts w:cs="v4.2.0"/>
        </w:rPr>
        <w:t xml:space="preserve">The accuracy requirements of E-UTRA RS-SINR measurements in RRC_CONNECTED state and the corresponding side conditions shall be the same as the </w:t>
      </w:r>
      <w:r w:rsidRPr="009C5807">
        <w:t xml:space="preserve">inter-frequency RS-SINR Accuracy Requirements in </w:t>
      </w:r>
      <w:r w:rsidR="00D3522B" w:rsidRPr="009C5807">
        <w:t>clause 9.1.17.3 of TS </w:t>
      </w:r>
      <w:r w:rsidRPr="009C5807">
        <w:t>36.</w:t>
      </w:r>
      <w:r w:rsidR="00D3522B" w:rsidRPr="009C5807">
        <w:t>133 </w:t>
      </w:r>
      <w:r w:rsidRPr="009C5807">
        <w:t>[15].</w:t>
      </w:r>
    </w:p>
    <w:p w14:paraId="756622E0" w14:textId="794CB3EB" w:rsidR="0052714E" w:rsidRPr="009C5807" w:rsidRDefault="0052714E" w:rsidP="0052714E">
      <w:pPr>
        <w:rPr>
          <w:rFonts w:cs="v4.2.0"/>
        </w:rPr>
      </w:pPr>
      <w:r w:rsidRPr="009C5807">
        <w:t xml:space="preserve">The reporting range and mapping for E-UTRA RS-SINR measurements shall be the same as specified for RS-SINR measurements in </w:t>
      </w:r>
      <w:r w:rsidR="00D3522B" w:rsidRPr="009C5807">
        <w:t xml:space="preserve">clause </w:t>
      </w:r>
      <w:r w:rsidR="00D3522B" w:rsidRPr="009C5807">
        <w:rPr>
          <w:rFonts w:cs="v4.2.0"/>
        </w:rPr>
        <w:t xml:space="preserve">9.1.17.1 of </w:t>
      </w:r>
      <w:r w:rsidRPr="009C5807">
        <w:t>TS 36.133 [15</w:t>
      </w:r>
      <w:r w:rsidRPr="009C5807">
        <w:rPr>
          <w:rFonts w:cs="v4.2.0"/>
        </w:rPr>
        <w:t>].</w:t>
      </w:r>
    </w:p>
    <w:p w14:paraId="31FC9597" w14:textId="321F552D" w:rsidR="00C87F52" w:rsidRPr="009C5807" w:rsidRDefault="00C87F52" w:rsidP="00C87F52">
      <w:pPr>
        <w:pStyle w:val="Heading3"/>
        <w:rPr>
          <w:lang w:val="en-US" w:eastAsia="ko-KR"/>
        </w:rPr>
      </w:pPr>
      <w:r w:rsidRPr="009C5807">
        <w:rPr>
          <w:lang w:val="en-US" w:eastAsia="ko-KR"/>
        </w:rPr>
        <w:t>10.2.</w:t>
      </w:r>
      <w:r>
        <w:rPr>
          <w:lang w:val="en-US" w:eastAsia="ko-KR"/>
        </w:rPr>
        <w:t>6</w:t>
      </w:r>
      <w:r w:rsidRPr="009C5807">
        <w:rPr>
          <w:lang w:val="en-US" w:eastAsia="ko-KR"/>
        </w:rPr>
        <w:tab/>
        <w:t>E-UTRAN RSRP measurements</w:t>
      </w:r>
      <w:r>
        <w:rPr>
          <w:lang w:val="en-US" w:eastAsia="ko-KR"/>
        </w:rPr>
        <w:t xml:space="preserve"> </w:t>
      </w:r>
      <w:r>
        <w:rPr>
          <w:lang w:val="en-US"/>
        </w:rPr>
        <w:t>for CA/DC Idle Mode Measurements</w:t>
      </w:r>
    </w:p>
    <w:p w14:paraId="42038FA2" w14:textId="77777777" w:rsidR="00C87F52" w:rsidRPr="009C5807" w:rsidRDefault="00C87F52" w:rsidP="00C87F52">
      <w:pPr>
        <w:pStyle w:val="NO"/>
        <w:rPr>
          <w:rFonts w:cs="v4.2.0"/>
        </w:rPr>
      </w:pPr>
      <w:r w:rsidRPr="009C5807">
        <w:rPr>
          <w:rFonts w:cs="v4.2.0"/>
        </w:rPr>
        <w:t>NOTE:</w:t>
      </w:r>
      <w:r w:rsidRPr="009C5807">
        <w:rPr>
          <w:rFonts w:cs="v4.2.0"/>
        </w:rPr>
        <w:tab/>
        <w:t xml:space="preserve">This measurement is for </w:t>
      </w:r>
      <w:r w:rsidRPr="008F57A2">
        <w:rPr>
          <w:rFonts w:cs="v4.2.0"/>
          <w:lang w:val="en-US"/>
        </w:rPr>
        <w:t xml:space="preserve">CA/DC Idle Mode </w:t>
      </w:r>
      <w:r>
        <w:rPr>
          <w:rFonts w:cs="v4.2.0"/>
          <w:lang w:val="en-US"/>
        </w:rPr>
        <w:t>m</w:t>
      </w:r>
      <w:r w:rsidRPr="008F57A2">
        <w:rPr>
          <w:rFonts w:cs="v4.2.0"/>
          <w:lang w:val="en-US"/>
        </w:rPr>
        <w:t>easurements</w:t>
      </w:r>
      <w:r w:rsidRPr="009C5807">
        <w:rPr>
          <w:rFonts w:cs="v4.2.0"/>
        </w:rPr>
        <w:t xml:space="preserve"> between NR and E-UTRAN.</w:t>
      </w:r>
    </w:p>
    <w:p w14:paraId="1DAA0229" w14:textId="77777777" w:rsidR="00C87F52" w:rsidRPr="00691C10" w:rsidRDefault="00C87F52" w:rsidP="00C87F52">
      <w:pPr>
        <w:jc w:val="both"/>
        <w:rPr>
          <w:rFonts w:cs="v4.2.0"/>
        </w:rPr>
      </w:pPr>
      <w:r w:rsidRPr="00691C10">
        <w:rPr>
          <w:rFonts w:cs="v4.2.0"/>
        </w:rPr>
        <w:t>The requirements in this clause are applicable for a UE:</w:t>
      </w:r>
    </w:p>
    <w:p w14:paraId="1E219D3D" w14:textId="77777777" w:rsidR="00C87F52" w:rsidRPr="00691C10" w:rsidRDefault="00C87F52" w:rsidP="00C87F52">
      <w:pPr>
        <w:pStyle w:val="B10"/>
        <w:rPr>
          <w:rFonts w:cs="v4.2.0"/>
        </w:rPr>
      </w:pPr>
      <w:r w:rsidRPr="00691C10">
        <w:rPr>
          <w:rFonts w:cs="v4.2.0"/>
        </w:rPr>
        <w:t>-</w:t>
      </w:r>
      <w:r w:rsidRPr="00691C10">
        <w:rPr>
          <w:rFonts w:cs="v4.2.0"/>
        </w:rPr>
        <w:tab/>
        <w:t>in state RRC_IDLE</w:t>
      </w:r>
      <w:r>
        <w:rPr>
          <w:rFonts w:cs="v4.2.0"/>
        </w:rPr>
        <w:t xml:space="preserve"> or RRC INACTIVE</w:t>
      </w:r>
    </w:p>
    <w:p w14:paraId="0A99E56F" w14:textId="77777777" w:rsidR="00C87F52" w:rsidRPr="00691C10" w:rsidRDefault="00C87F52" w:rsidP="00C87F52">
      <w:pPr>
        <w:pStyle w:val="B10"/>
      </w:pPr>
      <w:r w:rsidRPr="00691C10">
        <w:t>-</w:t>
      </w:r>
      <w:r w:rsidRPr="00691C10">
        <w:tab/>
        <w:t>that is synchronised to the cell that is measured.</w:t>
      </w:r>
    </w:p>
    <w:p w14:paraId="4D03969C" w14:textId="77777777" w:rsidR="00C87F52" w:rsidRPr="00F37389" w:rsidRDefault="00C87F52" w:rsidP="00F37389">
      <w:r w:rsidRPr="00691C10">
        <w:t xml:space="preserve">The requirements are for absolute accuracy of </w:t>
      </w:r>
      <w:r>
        <w:t xml:space="preserve">E-UTRA </w:t>
      </w:r>
      <w:r w:rsidRPr="00691C10">
        <w:t>RSR</w:t>
      </w:r>
      <w:r>
        <w:t>P</w:t>
      </w:r>
      <w:r w:rsidRPr="00691C10">
        <w:t>.</w:t>
      </w:r>
    </w:p>
    <w:p w14:paraId="1DB5BCDC" w14:textId="77777777" w:rsidR="00C87F52" w:rsidRPr="009C5807" w:rsidRDefault="00C87F52" w:rsidP="00C87F52">
      <w:pPr>
        <w:rPr>
          <w:rFonts w:cs="v4.2.0"/>
        </w:rPr>
      </w:pPr>
      <w:r w:rsidRPr="009C5807">
        <w:rPr>
          <w:rFonts w:cs="v4.2.0"/>
        </w:rPr>
        <w:t>The measurement period of E-UTRA RSRP in RRC_</w:t>
      </w:r>
      <w:r>
        <w:rPr>
          <w:rFonts w:cs="v4.2.0"/>
        </w:rPr>
        <w:t>IDLE and RRC INACTIVE</w:t>
      </w:r>
      <w:r w:rsidRPr="009C5807">
        <w:rPr>
          <w:rFonts w:cs="v4.2.0"/>
        </w:rPr>
        <w:t xml:space="preserve"> state</w:t>
      </w:r>
      <w:r>
        <w:rPr>
          <w:rFonts w:cs="v4.2.0"/>
        </w:rPr>
        <w:t>s</w:t>
      </w:r>
      <w:r w:rsidRPr="009C5807">
        <w:rPr>
          <w:rFonts w:cs="v4.2.0"/>
        </w:rPr>
        <w:t xml:space="preserve"> </w:t>
      </w:r>
      <w:r>
        <w:rPr>
          <w:rFonts w:cs="v4.2.0"/>
        </w:rPr>
        <w:t>are</w:t>
      </w:r>
      <w:r w:rsidRPr="009C5807">
        <w:rPr>
          <w:rFonts w:cs="v4.2.0"/>
        </w:rPr>
        <w:t xml:space="preserve"> specified in clause </w:t>
      </w:r>
      <w:r>
        <w:rPr>
          <w:rFonts w:cs="v4.2.0"/>
        </w:rPr>
        <w:t>4</w:t>
      </w:r>
      <w:r w:rsidRPr="009C5807">
        <w:rPr>
          <w:rFonts w:cs="v4.2.0"/>
        </w:rPr>
        <w:t>.4.2.</w:t>
      </w:r>
    </w:p>
    <w:p w14:paraId="601B03C2" w14:textId="77777777" w:rsidR="00C87F52" w:rsidRPr="009C5807" w:rsidRDefault="00C87F52" w:rsidP="00C87F52">
      <w:pPr>
        <w:jc w:val="both"/>
        <w:rPr>
          <w:rFonts w:cs="v4.2.0"/>
        </w:rPr>
      </w:pPr>
      <w:r w:rsidRPr="009C5807">
        <w:rPr>
          <w:rFonts w:cs="v4.2.0"/>
        </w:rPr>
        <w:t>The accuracy requirements of E-UTRA RSRP measurements in RRC_</w:t>
      </w:r>
      <w:r>
        <w:rPr>
          <w:rFonts w:cs="v4.2.0"/>
        </w:rPr>
        <w:t>IDLE and RRC INACTIVE</w:t>
      </w:r>
      <w:r w:rsidRPr="009C5807">
        <w:rPr>
          <w:rFonts w:cs="v4.2.0"/>
        </w:rPr>
        <w:t xml:space="preserve"> state</w:t>
      </w:r>
      <w:r>
        <w:rPr>
          <w:rFonts w:cs="v4.2.0"/>
        </w:rPr>
        <w:t>s</w:t>
      </w:r>
      <w:r w:rsidRPr="009C5807">
        <w:rPr>
          <w:rFonts w:cs="v4.2.0"/>
        </w:rPr>
        <w:t xml:space="preserve"> and the corresponding side conditions shall be as the </w:t>
      </w:r>
      <w:r w:rsidRPr="009C5807">
        <w:t>inter-frequency RSRP Accuracy Requirements in clause 9.1.3</w:t>
      </w:r>
      <w:r>
        <w:t>B.2</w:t>
      </w:r>
      <w:r w:rsidRPr="009C5807">
        <w:t xml:space="preserve"> of TS 36.133 [15].</w:t>
      </w:r>
    </w:p>
    <w:p w14:paraId="076C2064" w14:textId="77777777" w:rsidR="00C87F52" w:rsidRPr="009C5807" w:rsidRDefault="00C87F52" w:rsidP="00C87F52">
      <w:r w:rsidRPr="009C5807">
        <w:t>The reporting range and mapping specified for RSRP measurements in clause 9.1.4 of TS 36.133 [15] shall apply.</w:t>
      </w:r>
    </w:p>
    <w:p w14:paraId="5A2359EB" w14:textId="3F230EDF" w:rsidR="00C87F52" w:rsidRPr="009C5807" w:rsidRDefault="00C87F52" w:rsidP="00C87F52">
      <w:pPr>
        <w:pStyle w:val="Heading3"/>
        <w:rPr>
          <w:lang w:val="en-US" w:eastAsia="ko-KR"/>
        </w:rPr>
      </w:pPr>
      <w:r w:rsidRPr="009C5807">
        <w:rPr>
          <w:lang w:val="en-US" w:eastAsia="ko-KR"/>
        </w:rPr>
        <w:t>10.2.</w:t>
      </w:r>
      <w:r>
        <w:rPr>
          <w:lang w:val="en-US" w:eastAsia="ko-KR"/>
        </w:rPr>
        <w:t>7</w:t>
      </w:r>
      <w:r w:rsidRPr="009C5807">
        <w:rPr>
          <w:lang w:val="en-US" w:eastAsia="ko-KR"/>
        </w:rPr>
        <w:tab/>
        <w:t>E-UTRAN RSRQ measurements</w:t>
      </w:r>
      <w:r>
        <w:rPr>
          <w:lang w:val="en-US" w:eastAsia="ko-KR"/>
        </w:rPr>
        <w:t xml:space="preserve"> </w:t>
      </w:r>
      <w:r>
        <w:rPr>
          <w:lang w:val="en-US"/>
        </w:rPr>
        <w:t>for CA/DC Idle Mode Measurements</w:t>
      </w:r>
    </w:p>
    <w:p w14:paraId="193D720D" w14:textId="77777777" w:rsidR="00C87F52" w:rsidRPr="009C5807" w:rsidRDefault="00C87F52" w:rsidP="00C87F52">
      <w:pPr>
        <w:pStyle w:val="NO"/>
        <w:rPr>
          <w:rFonts w:cs="v4.2.0"/>
        </w:rPr>
      </w:pPr>
      <w:r w:rsidRPr="009C5807">
        <w:rPr>
          <w:rFonts w:cs="v4.2.0"/>
        </w:rPr>
        <w:t>NOTE:</w:t>
      </w:r>
      <w:r w:rsidRPr="009C5807">
        <w:rPr>
          <w:rFonts w:cs="v4.2.0"/>
        </w:rPr>
        <w:tab/>
        <w:t xml:space="preserve">This measurement is for </w:t>
      </w:r>
      <w:r w:rsidRPr="008F57A2">
        <w:rPr>
          <w:rFonts w:cs="v4.2.0"/>
          <w:lang w:val="en-US"/>
        </w:rPr>
        <w:t xml:space="preserve">CA/DC Idle Mode </w:t>
      </w:r>
      <w:r>
        <w:rPr>
          <w:rFonts w:cs="v4.2.0"/>
          <w:lang w:val="en-US"/>
        </w:rPr>
        <w:t>m</w:t>
      </w:r>
      <w:r w:rsidRPr="008F57A2">
        <w:rPr>
          <w:rFonts w:cs="v4.2.0"/>
          <w:lang w:val="en-US"/>
        </w:rPr>
        <w:t>easurements</w:t>
      </w:r>
      <w:r w:rsidRPr="009C5807">
        <w:rPr>
          <w:rFonts w:cs="v4.2.0"/>
        </w:rPr>
        <w:t xml:space="preserve"> between NR and E-UTRAN.</w:t>
      </w:r>
    </w:p>
    <w:p w14:paraId="654D22DB" w14:textId="77777777" w:rsidR="00C87F52" w:rsidRPr="00691C10" w:rsidRDefault="00C87F52" w:rsidP="00C87F52">
      <w:pPr>
        <w:jc w:val="both"/>
        <w:rPr>
          <w:rFonts w:cs="v4.2.0"/>
        </w:rPr>
      </w:pPr>
      <w:r w:rsidRPr="00691C10">
        <w:rPr>
          <w:rFonts w:cs="v4.2.0"/>
        </w:rPr>
        <w:t>The requirements in this clause are applicable for a UE:</w:t>
      </w:r>
    </w:p>
    <w:p w14:paraId="5B3F05FF" w14:textId="77777777" w:rsidR="00C87F52" w:rsidRPr="00691C10" w:rsidRDefault="00C87F52" w:rsidP="00C87F52">
      <w:pPr>
        <w:pStyle w:val="B10"/>
        <w:rPr>
          <w:rFonts w:cs="v4.2.0"/>
        </w:rPr>
      </w:pPr>
      <w:r w:rsidRPr="00691C10">
        <w:rPr>
          <w:rFonts w:cs="v4.2.0"/>
        </w:rPr>
        <w:t>-</w:t>
      </w:r>
      <w:r w:rsidRPr="00691C10">
        <w:rPr>
          <w:rFonts w:cs="v4.2.0"/>
        </w:rPr>
        <w:tab/>
        <w:t>in state RRC_IDLE</w:t>
      </w:r>
      <w:r>
        <w:rPr>
          <w:rFonts w:cs="v4.2.0"/>
        </w:rPr>
        <w:t xml:space="preserve"> or RRC INACTIVE</w:t>
      </w:r>
    </w:p>
    <w:p w14:paraId="1BD5EAB2" w14:textId="77777777" w:rsidR="00C87F52" w:rsidRPr="00691C10" w:rsidRDefault="00C87F52" w:rsidP="00C87F52">
      <w:pPr>
        <w:pStyle w:val="B10"/>
      </w:pPr>
      <w:r w:rsidRPr="00691C10">
        <w:t>-</w:t>
      </w:r>
      <w:r w:rsidRPr="00691C10">
        <w:tab/>
        <w:t>that is synchronised to the cell that is measured.</w:t>
      </w:r>
    </w:p>
    <w:p w14:paraId="78996715" w14:textId="77777777" w:rsidR="00C87F52" w:rsidRPr="00F37389" w:rsidRDefault="00C87F52" w:rsidP="00F37389">
      <w:r w:rsidRPr="00691C10">
        <w:t xml:space="preserve">The requirements are for absolute accuracy of </w:t>
      </w:r>
      <w:r>
        <w:t xml:space="preserve">E-UTRA </w:t>
      </w:r>
      <w:r w:rsidRPr="00691C10">
        <w:t>RSR</w:t>
      </w:r>
      <w:r>
        <w:t>Q</w:t>
      </w:r>
      <w:r w:rsidRPr="00691C10">
        <w:t>.</w:t>
      </w:r>
    </w:p>
    <w:p w14:paraId="30148837" w14:textId="77777777" w:rsidR="00C87F52" w:rsidRPr="009C5807" w:rsidRDefault="00C87F52" w:rsidP="00C87F52">
      <w:pPr>
        <w:rPr>
          <w:rFonts w:cs="v4.2.0"/>
        </w:rPr>
      </w:pPr>
      <w:r w:rsidRPr="009C5807">
        <w:rPr>
          <w:rFonts w:cs="v4.2.0"/>
        </w:rPr>
        <w:t>The measurement period of E-UTRA RSRQ in RRC_</w:t>
      </w:r>
      <w:r>
        <w:rPr>
          <w:rFonts w:cs="v4.2.0"/>
        </w:rPr>
        <w:t>IDLE and RRC INACTIVE</w:t>
      </w:r>
      <w:r w:rsidRPr="009C5807">
        <w:rPr>
          <w:rFonts w:cs="v4.2.0"/>
        </w:rPr>
        <w:t xml:space="preserve"> state</w:t>
      </w:r>
      <w:r>
        <w:rPr>
          <w:rFonts w:cs="v4.2.0"/>
        </w:rPr>
        <w:t>s</w:t>
      </w:r>
      <w:r w:rsidRPr="009C5807">
        <w:rPr>
          <w:rFonts w:cs="v4.2.0"/>
        </w:rPr>
        <w:t xml:space="preserve"> </w:t>
      </w:r>
      <w:r>
        <w:rPr>
          <w:rFonts w:cs="v4.2.0"/>
        </w:rPr>
        <w:t>are</w:t>
      </w:r>
      <w:r w:rsidRPr="009C5807">
        <w:rPr>
          <w:rFonts w:cs="v4.2.0"/>
        </w:rPr>
        <w:t xml:space="preserve"> specified in clause </w:t>
      </w:r>
      <w:r>
        <w:rPr>
          <w:rFonts w:cs="v4.2.0"/>
        </w:rPr>
        <w:t>4</w:t>
      </w:r>
      <w:r w:rsidRPr="009C5807">
        <w:rPr>
          <w:rFonts w:cs="v4.2.0"/>
        </w:rPr>
        <w:t>.4.2.</w:t>
      </w:r>
    </w:p>
    <w:p w14:paraId="1EBA7BED" w14:textId="77777777" w:rsidR="00C87F52" w:rsidRPr="009C5807" w:rsidRDefault="00C87F52" w:rsidP="00C87F52">
      <w:pPr>
        <w:jc w:val="both"/>
      </w:pPr>
      <w:r w:rsidRPr="009C5807">
        <w:rPr>
          <w:rFonts w:cs="v4.2.0"/>
        </w:rPr>
        <w:t>The accuracy requirements of E-UTRA RSRQ measurements in RRC_</w:t>
      </w:r>
      <w:r>
        <w:rPr>
          <w:rFonts w:cs="v4.2.0"/>
        </w:rPr>
        <w:t>IDLE and RRC INACTIVE</w:t>
      </w:r>
      <w:r w:rsidRPr="009C5807">
        <w:rPr>
          <w:rFonts w:cs="v4.2.0"/>
        </w:rPr>
        <w:t xml:space="preserve"> state</w:t>
      </w:r>
      <w:r>
        <w:rPr>
          <w:rFonts w:cs="v4.2.0"/>
        </w:rPr>
        <w:t>s</w:t>
      </w:r>
      <w:r w:rsidRPr="009C5807">
        <w:rPr>
          <w:rFonts w:cs="v4.2.0"/>
        </w:rPr>
        <w:t xml:space="preserve"> and the corresponding side conditions shall be as the </w:t>
      </w:r>
      <w:r w:rsidRPr="009C5807">
        <w:t>inter-frequency RSRQ Accuracy Requirements in clause 9.1.6</w:t>
      </w:r>
      <w:r>
        <w:t>B.2</w:t>
      </w:r>
      <w:r w:rsidRPr="009C5807">
        <w:t xml:space="preserve"> of TS 36.133 [15].</w:t>
      </w:r>
    </w:p>
    <w:p w14:paraId="7330F3AF" w14:textId="77777777" w:rsidR="00C87F52" w:rsidRPr="009C5807" w:rsidRDefault="00C87F52" w:rsidP="00C87F52">
      <w:r w:rsidRPr="009C5807">
        <w:t>The reporting range and mapping specified for RSRQ measurements in clause 9.1.7 of TS 36.133 [15] shall apply.</w:t>
      </w:r>
    </w:p>
    <w:p w14:paraId="0DBA8488" w14:textId="77777777" w:rsidR="005624F8" w:rsidRPr="009C5807" w:rsidRDefault="005624F8" w:rsidP="005624F8">
      <w:pPr>
        <w:pStyle w:val="Heading2"/>
      </w:pPr>
      <w:r w:rsidRPr="009C5807">
        <w:t>10.3</w:t>
      </w:r>
      <w:r w:rsidRPr="009C5807">
        <w:tab/>
        <w:t>UTRAN FDD Measurements</w:t>
      </w:r>
    </w:p>
    <w:p w14:paraId="477AFF84" w14:textId="77777777" w:rsidR="005624F8" w:rsidRPr="009C5807" w:rsidRDefault="005624F8" w:rsidP="005624F8">
      <w:pPr>
        <w:jc w:val="both"/>
        <w:rPr>
          <w:rFonts w:cs="v4.2.0"/>
        </w:rPr>
      </w:pPr>
      <w:r w:rsidRPr="009C5807">
        <w:rPr>
          <w:rFonts w:cs="v4.2.0"/>
        </w:rPr>
        <w:t>The requirements in this clause are applicable for a UE:</w:t>
      </w:r>
    </w:p>
    <w:p w14:paraId="54A947F0" w14:textId="77777777" w:rsidR="005624F8" w:rsidRPr="009C5807" w:rsidRDefault="005624F8" w:rsidP="005624F8">
      <w:pPr>
        <w:pStyle w:val="B10"/>
      </w:pPr>
      <w:r w:rsidRPr="009C5807">
        <w:rPr>
          <w:rFonts w:cs="v4.2.0"/>
        </w:rPr>
        <w:t>-</w:t>
      </w:r>
      <w:r w:rsidRPr="009C5807">
        <w:rPr>
          <w:rFonts w:cs="v4.2.0"/>
        </w:rPr>
        <w:tab/>
        <w:t>in state RRC_CONNECTED</w:t>
      </w:r>
    </w:p>
    <w:p w14:paraId="7D39ABFC" w14:textId="77777777" w:rsidR="005624F8" w:rsidRPr="009C5807" w:rsidRDefault="005624F8" w:rsidP="005624F8">
      <w:pPr>
        <w:pStyle w:val="B10"/>
      </w:pPr>
      <w:r w:rsidRPr="009C5807">
        <w:t>-</w:t>
      </w:r>
      <w:r w:rsidRPr="009C5807">
        <w:tab/>
        <w:t>performing measurements according to clause 9.4.6 with appropriate measurement gaps</w:t>
      </w:r>
    </w:p>
    <w:p w14:paraId="2887CEAC" w14:textId="77777777" w:rsidR="005624F8" w:rsidRPr="009C5807" w:rsidRDefault="005624F8" w:rsidP="005624F8">
      <w:pPr>
        <w:pStyle w:val="B10"/>
      </w:pPr>
      <w:r w:rsidRPr="009C5807">
        <w:t>-</w:t>
      </w:r>
      <w:r w:rsidRPr="009C5807">
        <w:tab/>
        <w:t>that is synchronised to the cell that is measured.</w:t>
      </w:r>
    </w:p>
    <w:p w14:paraId="7D105427" w14:textId="77777777" w:rsidR="005624F8" w:rsidRPr="009C5807" w:rsidRDefault="005624F8" w:rsidP="00EF0613">
      <w:r w:rsidRPr="009C5807">
        <w:t>The reported measurement result after layer 1 filtering shall be an estimate of the average value of the measured quantity over the measurement period. The reference point for the measurement result after layer 1 filtering is referred to as point B in the measurement model described in TS 25.302 [30].</w:t>
      </w:r>
    </w:p>
    <w:p w14:paraId="76795ACB" w14:textId="77777777" w:rsidR="005624F8" w:rsidRPr="009C5807" w:rsidRDefault="005624F8" w:rsidP="00EF0613">
      <w:r w:rsidRPr="009C5807">
        <w:t>The accuracy requirements in this clause are valid for the reported measurement result after layer 1 filtering. The accuracy requirements are verified from the measurement report at point D in the measurement model having the layer 3 filtering disabled.</w:t>
      </w:r>
    </w:p>
    <w:p w14:paraId="289D1D0D" w14:textId="77777777" w:rsidR="005624F8" w:rsidRPr="009C5807" w:rsidRDefault="005624F8" w:rsidP="005624F8">
      <w:pPr>
        <w:pStyle w:val="Heading3"/>
      </w:pPr>
      <w:bookmarkStart w:id="27" w:name="_Toc383690905"/>
      <w:r w:rsidRPr="009C5807">
        <w:t>10.3.1</w:t>
      </w:r>
      <w:r w:rsidRPr="009C5807">
        <w:rPr>
          <w:rFonts w:eastAsia="Batang"/>
          <w:szCs w:val="24"/>
        </w:rPr>
        <w:tab/>
      </w:r>
      <w:r w:rsidRPr="009C5807">
        <w:t>UTRAN FDD CPICH RSCP</w:t>
      </w:r>
      <w:bookmarkEnd w:id="27"/>
    </w:p>
    <w:p w14:paraId="2E704694" w14:textId="77777777" w:rsidR="005624F8" w:rsidRPr="009C5807" w:rsidRDefault="005624F8" w:rsidP="005624F8">
      <w:pPr>
        <w:pStyle w:val="NO"/>
      </w:pPr>
      <w:r w:rsidRPr="009C5807">
        <w:rPr>
          <w:rFonts w:cs="v4.2.0"/>
        </w:rPr>
        <w:t>NOTE:</w:t>
      </w:r>
      <w:r w:rsidRPr="009C5807">
        <w:rPr>
          <w:rFonts w:cs="v4.2.0"/>
        </w:rPr>
        <w:tab/>
        <w:t>This measurement is for handover between E-UTRAN and UTRAN FDD.</w:t>
      </w:r>
    </w:p>
    <w:p w14:paraId="245060DA" w14:textId="77777777" w:rsidR="005624F8" w:rsidRPr="009C5807" w:rsidRDefault="005624F8" w:rsidP="005624F8">
      <w:pPr>
        <w:rPr>
          <w:rFonts w:cs="v4.2.0"/>
        </w:rPr>
      </w:pPr>
      <w:r w:rsidRPr="009C5807">
        <w:rPr>
          <w:rFonts w:cs="v4.2.0"/>
        </w:rPr>
        <w:t>The requirements in this clause are valid for terminals supporting this capability.</w:t>
      </w:r>
    </w:p>
    <w:p w14:paraId="3AA050CE" w14:textId="77777777" w:rsidR="005624F8" w:rsidRPr="009C5807" w:rsidRDefault="005624F8" w:rsidP="005624F8">
      <w:pPr>
        <w:rPr>
          <w:rFonts w:cs="v4.2.0"/>
        </w:rPr>
      </w:pPr>
      <w:r w:rsidRPr="009C5807">
        <w:rPr>
          <w:rFonts w:cs="v4.2.0"/>
        </w:rPr>
        <w:t>The measurement period for RRC_CONNECTED state is specified in clause 9.4.6.</w:t>
      </w:r>
    </w:p>
    <w:p w14:paraId="3348BEDC" w14:textId="77777777" w:rsidR="005624F8" w:rsidRPr="009C5807" w:rsidRDefault="005624F8" w:rsidP="005624F8">
      <w:pPr>
        <w:rPr>
          <w:rFonts w:cs="v4.2.0"/>
        </w:rPr>
      </w:pPr>
      <w:r w:rsidRPr="009C5807">
        <w:rPr>
          <w:rFonts w:cs="v4.2.0"/>
        </w:rPr>
        <w:t>In RRC_CONNECTED state the accuracy requirements shall meet the absolute accuracy requirements in table 10.3.1-1, under the following conditions:</w:t>
      </w:r>
    </w:p>
    <w:p w14:paraId="08CED777" w14:textId="77777777" w:rsidR="005624F8" w:rsidRPr="009C5807" w:rsidRDefault="005624F8" w:rsidP="005624F8">
      <w:pPr>
        <w:pStyle w:val="B10"/>
      </w:pPr>
      <w:r w:rsidRPr="009C5807">
        <w:t>-</w:t>
      </w:r>
      <w:r w:rsidRPr="009C5807">
        <w:tab/>
        <w:t>CPICH Ec/Io condition for a detectable cell is as specified in clause 9.4.6;</w:t>
      </w:r>
    </w:p>
    <w:p w14:paraId="022CA608" w14:textId="77777777" w:rsidR="005624F8" w:rsidRPr="009C5807" w:rsidRDefault="005624F8" w:rsidP="005624F8">
      <w:pPr>
        <w:pStyle w:val="B10"/>
      </w:pPr>
      <w:r w:rsidRPr="009C5807">
        <w:t>-</w:t>
      </w:r>
      <w:r w:rsidRPr="009C5807">
        <w:tab/>
        <w:t>SCH_Ec/Io condition for a detectable cell is as specified in clause 9.4.6.</w:t>
      </w:r>
    </w:p>
    <w:p w14:paraId="05EA446C" w14:textId="77777777" w:rsidR="005624F8" w:rsidRPr="009C5807" w:rsidRDefault="005624F8" w:rsidP="005624F8">
      <w:pPr>
        <w:pStyle w:val="TH"/>
      </w:pPr>
      <w:r w:rsidRPr="009C5807">
        <w:t>Table 10.3.1-1: UTRAN FDD CPICH_RSCP absolute accuracy</w:t>
      </w:r>
    </w:p>
    <w:tbl>
      <w:tblPr>
        <w:tblW w:w="8558" w:type="dxa"/>
        <w:tblInd w:w="10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68"/>
        <w:gridCol w:w="1250"/>
        <w:gridCol w:w="2980"/>
        <w:gridCol w:w="1714"/>
        <w:gridCol w:w="1546"/>
      </w:tblGrid>
      <w:tr w:rsidR="005624F8" w:rsidRPr="009C5807" w14:paraId="76AFF937" w14:textId="77777777" w:rsidTr="00DA29A5">
        <w:tc>
          <w:tcPr>
            <w:tcW w:w="2318" w:type="dxa"/>
            <w:gridSpan w:val="2"/>
            <w:shd w:val="clear" w:color="auto" w:fill="auto"/>
            <w:vAlign w:val="center"/>
          </w:tcPr>
          <w:p w14:paraId="074F899B" w14:textId="77777777" w:rsidR="005624F8" w:rsidRPr="009C5807" w:rsidRDefault="005624F8" w:rsidP="00DA29A5">
            <w:pPr>
              <w:pStyle w:val="TAH"/>
            </w:pPr>
            <w:r w:rsidRPr="009C5807">
              <w:t>Accuracy</w:t>
            </w:r>
          </w:p>
        </w:tc>
        <w:tc>
          <w:tcPr>
            <w:tcW w:w="6240" w:type="dxa"/>
            <w:gridSpan w:val="3"/>
            <w:shd w:val="clear" w:color="auto" w:fill="auto"/>
            <w:vAlign w:val="center"/>
          </w:tcPr>
          <w:p w14:paraId="115EA36B" w14:textId="77777777" w:rsidR="005624F8" w:rsidRPr="009C5807" w:rsidRDefault="005624F8" w:rsidP="00DA29A5">
            <w:pPr>
              <w:pStyle w:val="TAH"/>
            </w:pPr>
            <w:r w:rsidRPr="009C5807">
              <w:t>Conditions</w:t>
            </w:r>
          </w:p>
        </w:tc>
      </w:tr>
      <w:tr w:rsidR="005624F8" w:rsidRPr="009C5807" w14:paraId="26B0ACF9" w14:textId="77777777" w:rsidTr="00DA29A5">
        <w:tc>
          <w:tcPr>
            <w:tcW w:w="1068" w:type="dxa"/>
            <w:tcBorders>
              <w:bottom w:val="nil"/>
            </w:tcBorders>
            <w:shd w:val="clear" w:color="auto" w:fill="auto"/>
            <w:vAlign w:val="center"/>
          </w:tcPr>
          <w:p w14:paraId="57F8B8E0" w14:textId="77777777" w:rsidR="005624F8" w:rsidRPr="009C5807" w:rsidRDefault="005624F8" w:rsidP="00DA29A5">
            <w:pPr>
              <w:pStyle w:val="TAH"/>
            </w:pPr>
            <w:r w:rsidRPr="009C5807">
              <w:t>Normal condition</w:t>
            </w:r>
          </w:p>
        </w:tc>
        <w:tc>
          <w:tcPr>
            <w:tcW w:w="1250" w:type="dxa"/>
            <w:tcBorders>
              <w:bottom w:val="nil"/>
            </w:tcBorders>
            <w:shd w:val="clear" w:color="auto" w:fill="auto"/>
            <w:vAlign w:val="center"/>
          </w:tcPr>
          <w:p w14:paraId="7BD959FD" w14:textId="77777777" w:rsidR="005624F8" w:rsidRPr="009C5807" w:rsidRDefault="005624F8" w:rsidP="00DA29A5">
            <w:pPr>
              <w:pStyle w:val="TAH"/>
            </w:pPr>
            <w:r w:rsidRPr="009C5807">
              <w:t>Extreme condition</w:t>
            </w:r>
          </w:p>
        </w:tc>
        <w:tc>
          <w:tcPr>
            <w:tcW w:w="6240" w:type="dxa"/>
            <w:gridSpan w:val="3"/>
            <w:shd w:val="clear" w:color="auto" w:fill="auto"/>
            <w:vAlign w:val="center"/>
          </w:tcPr>
          <w:p w14:paraId="5C5E3F56" w14:textId="77777777" w:rsidR="005624F8" w:rsidRPr="009C5807" w:rsidRDefault="005624F8" w:rsidP="00DA29A5">
            <w:pPr>
              <w:pStyle w:val="TAH"/>
            </w:pPr>
            <w:r w:rsidRPr="009C5807">
              <w:t>Io range</w:t>
            </w:r>
          </w:p>
        </w:tc>
      </w:tr>
      <w:tr w:rsidR="005624F8" w:rsidRPr="009C5807" w14:paraId="0DFDD4DE" w14:textId="77777777" w:rsidTr="00DA29A5">
        <w:tc>
          <w:tcPr>
            <w:tcW w:w="1068" w:type="dxa"/>
            <w:tcBorders>
              <w:top w:val="nil"/>
              <w:bottom w:val="single" w:sz="6" w:space="0" w:color="auto"/>
            </w:tcBorders>
            <w:shd w:val="clear" w:color="auto" w:fill="auto"/>
            <w:vAlign w:val="center"/>
          </w:tcPr>
          <w:p w14:paraId="62E8810E" w14:textId="77777777" w:rsidR="005624F8" w:rsidRPr="009C5807" w:rsidRDefault="005624F8" w:rsidP="00DA29A5">
            <w:pPr>
              <w:pStyle w:val="TAH"/>
            </w:pPr>
          </w:p>
        </w:tc>
        <w:tc>
          <w:tcPr>
            <w:tcW w:w="1250" w:type="dxa"/>
            <w:tcBorders>
              <w:top w:val="nil"/>
              <w:bottom w:val="single" w:sz="6" w:space="0" w:color="auto"/>
            </w:tcBorders>
            <w:shd w:val="clear" w:color="auto" w:fill="auto"/>
            <w:vAlign w:val="center"/>
          </w:tcPr>
          <w:p w14:paraId="0CABE38F" w14:textId="77777777" w:rsidR="005624F8" w:rsidRPr="009C5807" w:rsidRDefault="005624F8" w:rsidP="00DA29A5">
            <w:pPr>
              <w:pStyle w:val="TAH"/>
            </w:pPr>
          </w:p>
        </w:tc>
        <w:tc>
          <w:tcPr>
            <w:tcW w:w="2980" w:type="dxa"/>
            <w:shd w:val="clear" w:color="auto" w:fill="auto"/>
            <w:vAlign w:val="center"/>
          </w:tcPr>
          <w:p w14:paraId="3945A6E3" w14:textId="77777777" w:rsidR="005624F8" w:rsidRPr="009C5807" w:rsidRDefault="005624F8" w:rsidP="00DA29A5">
            <w:pPr>
              <w:pStyle w:val="TAH"/>
            </w:pPr>
            <w:r w:rsidRPr="009C5807">
              <w:t>UTRA operating bands</w:t>
            </w:r>
          </w:p>
        </w:tc>
        <w:tc>
          <w:tcPr>
            <w:tcW w:w="1714" w:type="dxa"/>
            <w:shd w:val="clear" w:color="auto" w:fill="auto"/>
            <w:vAlign w:val="center"/>
          </w:tcPr>
          <w:p w14:paraId="4020264F" w14:textId="77777777" w:rsidR="005624F8" w:rsidRPr="009C5807" w:rsidRDefault="005624F8" w:rsidP="00DA29A5">
            <w:pPr>
              <w:pStyle w:val="TAH"/>
            </w:pPr>
            <w:r w:rsidRPr="009C5807">
              <w:t>Minimum Io</w:t>
            </w:r>
          </w:p>
        </w:tc>
        <w:tc>
          <w:tcPr>
            <w:tcW w:w="1546" w:type="dxa"/>
            <w:shd w:val="clear" w:color="auto" w:fill="auto"/>
            <w:vAlign w:val="center"/>
          </w:tcPr>
          <w:p w14:paraId="2C6A885B" w14:textId="77777777" w:rsidR="005624F8" w:rsidRPr="009C5807" w:rsidRDefault="005624F8" w:rsidP="00DA29A5">
            <w:pPr>
              <w:pStyle w:val="TAH"/>
            </w:pPr>
            <w:r w:rsidRPr="009C5807">
              <w:t>Maximum Io</w:t>
            </w:r>
          </w:p>
        </w:tc>
      </w:tr>
      <w:tr w:rsidR="005624F8" w:rsidRPr="009C5807" w14:paraId="23BEA1A8" w14:textId="77777777" w:rsidTr="00DA29A5">
        <w:tc>
          <w:tcPr>
            <w:tcW w:w="1068" w:type="dxa"/>
            <w:tcBorders>
              <w:top w:val="single" w:sz="6" w:space="0" w:color="auto"/>
              <w:bottom w:val="single" w:sz="4" w:space="0" w:color="auto"/>
            </w:tcBorders>
            <w:shd w:val="clear" w:color="auto" w:fill="auto"/>
            <w:vAlign w:val="center"/>
          </w:tcPr>
          <w:p w14:paraId="5DDBF8E7" w14:textId="77777777" w:rsidR="005624F8" w:rsidRPr="009C5807" w:rsidRDefault="005624F8" w:rsidP="00DA29A5">
            <w:pPr>
              <w:pStyle w:val="TAH"/>
            </w:pPr>
            <w:r w:rsidRPr="009C5807">
              <w:t>dB</w:t>
            </w:r>
          </w:p>
        </w:tc>
        <w:tc>
          <w:tcPr>
            <w:tcW w:w="1250" w:type="dxa"/>
            <w:tcBorders>
              <w:top w:val="single" w:sz="6" w:space="0" w:color="auto"/>
            </w:tcBorders>
            <w:shd w:val="clear" w:color="auto" w:fill="auto"/>
            <w:vAlign w:val="center"/>
          </w:tcPr>
          <w:p w14:paraId="5AE88EDB" w14:textId="77777777" w:rsidR="005624F8" w:rsidRPr="009C5807" w:rsidRDefault="005624F8" w:rsidP="00DA29A5">
            <w:pPr>
              <w:pStyle w:val="TAH"/>
            </w:pPr>
            <w:r w:rsidRPr="009C5807">
              <w:t>dB</w:t>
            </w:r>
          </w:p>
        </w:tc>
        <w:tc>
          <w:tcPr>
            <w:tcW w:w="2980" w:type="dxa"/>
            <w:shd w:val="clear" w:color="auto" w:fill="auto"/>
            <w:vAlign w:val="center"/>
          </w:tcPr>
          <w:p w14:paraId="26BD58B4" w14:textId="77777777" w:rsidR="005624F8" w:rsidRPr="009C5807" w:rsidRDefault="005624F8" w:rsidP="00DA29A5">
            <w:pPr>
              <w:pStyle w:val="TAH"/>
            </w:pPr>
          </w:p>
        </w:tc>
        <w:tc>
          <w:tcPr>
            <w:tcW w:w="1714" w:type="dxa"/>
            <w:shd w:val="clear" w:color="auto" w:fill="auto"/>
            <w:vAlign w:val="center"/>
          </w:tcPr>
          <w:p w14:paraId="4900AF82" w14:textId="77777777" w:rsidR="005624F8" w:rsidRPr="009C5807" w:rsidRDefault="005624F8" w:rsidP="00DA29A5">
            <w:pPr>
              <w:pStyle w:val="TAH"/>
            </w:pPr>
            <w:r w:rsidRPr="009C5807">
              <w:t>dBm/3.84 MHz</w:t>
            </w:r>
          </w:p>
        </w:tc>
        <w:tc>
          <w:tcPr>
            <w:tcW w:w="1546" w:type="dxa"/>
            <w:shd w:val="clear" w:color="auto" w:fill="auto"/>
            <w:vAlign w:val="center"/>
          </w:tcPr>
          <w:p w14:paraId="3A59D7F5" w14:textId="77777777" w:rsidR="005624F8" w:rsidRPr="009C5807" w:rsidRDefault="005624F8" w:rsidP="00DA29A5">
            <w:pPr>
              <w:pStyle w:val="TAH"/>
            </w:pPr>
            <w:r w:rsidRPr="009C5807">
              <w:t>dBm/3.84 MHz</w:t>
            </w:r>
          </w:p>
        </w:tc>
      </w:tr>
      <w:tr w:rsidR="005624F8" w:rsidRPr="009C5807" w14:paraId="194346D6" w14:textId="77777777" w:rsidTr="00DA29A5">
        <w:tc>
          <w:tcPr>
            <w:tcW w:w="1068" w:type="dxa"/>
            <w:tcBorders>
              <w:top w:val="single" w:sz="4" w:space="0" w:color="auto"/>
              <w:bottom w:val="nil"/>
            </w:tcBorders>
            <w:shd w:val="clear" w:color="auto" w:fill="auto"/>
            <w:vAlign w:val="center"/>
          </w:tcPr>
          <w:p w14:paraId="634C60BA" w14:textId="068BBEB8" w:rsidR="005624F8" w:rsidRPr="009C5807" w:rsidRDefault="005624F8" w:rsidP="00DA29A5">
            <w:pPr>
              <w:pStyle w:val="TAC"/>
            </w:pPr>
          </w:p>
        </w:tc>
        <w:tc>
          <w:tcPr>
            <w:tcW w:w="1250" w:type="dxa"/>
            <w:tcBorders>
              <w:bottom w:val="nil"/>
            </w:tcBorders>
            <w:shd w:val="clear" w:color="auto" w:fill="auto"/>
            <w:vAlign w:val="center"/>
          </w:tcPr>
          <w:p w14:paraId="0427B057" w14:textId="6A0CC26D" w:rsidR="005624F8" w:rsidRPr="009C5807" w:rsidRDefault="005624F8" w:rsidP="00DA29A5">
            <w:pPr>
              <w:pStyle w:val="TAC"/>
            </w:pPr>
          </w:p>
        </w:tc>
        <w:tc>
          <w:tcPr>
            <w:tcW w:w="2980" w:type="dxa"/>
            <w:shd w:val="clear" w:color="auto" w:fill="auto"/>
            <w:vAlign w:val="center"/>
          </w:tcPr>
          <w:p w14:paraId="01A4BB3F" w14:textId="77777777" w:rsidR="005624F8" w:rsidRPr="009C5807" w:rsidRDefault="005624F8" w:rsidP="00DA29A5">
            <w:pPr>
              <w:pStyle w:val="TAC"/>
              <w:rPr>
                <w:lang w:val="sv-SE"/>
              </w:rPr>
            </w:pPr>
            <w:r w:rsidRPr="009C5807">
              <w:rPr>
                <w:rFonts w:cs="v5.0.0"/>
                <w:lang w:val="sv-SE"/>
              </w:rPr>
              <w:t>Band I, IV, VI, X XI, XIX and XXI</w:t>
            </w:r>
          </w:p>
        </w:tc>
        <w:tc>
          <w:tcPr>
            <w:tcW w:w="1714" w:type="dxa"/>
            <w:shd w:val="clear" w:color="auto" w:fill="auto"/>
            <w:vAlign w:val="center"/>
          </w:tcPr>
          <w:p w14:paraId="27B017DC" w14:textId="77777777" w:rsidR="005624F8" w:rsidRPr="009C5807" w:rsidRDefault="005624F8" w:rsidP="00DA29A5">
            <w:pPr>
              <w:pStyle w:val="TAC"/>
            </w:pPr>
            <w:r w:rsidRPr="009C5807">
              <w:t>-94</w:t>
            </w:r>
          </w:p>
        </w:tc>
        <w:tc>
          <w:tcPr>
            <w:tcW w:w="1546" w:type="dxa"/>
            <w:shd w:val="clear" w:color="auto" w:fill="auto"/>
            <w:vAlign w:val="center"/>
          </w:tcPr>
          <w:p w14:paraId="299020B3" w14:textId="77777777" w:rsidR="005624F8" w:rsidRPr="009C5807" w:rsidRDefault="005624F8" w:rsidP="00DA29A5">
            <w:pPr>
              <w:pStyle w:val="TAC"/>
            </w:pPr>
            <w:r w:rsidRPr="009C5807">
              <w:t>-70</w:t>
            </w:r>
          </w:p>
        </w:tc>
      </w:tr>
      <w:tr w:rsidR="005624F8" w:rsidRPr="009C5807" w14:paraId="36CFA598" w14:textId="77777777" w:rsidTr="00DA29A5">
        <w:tc>
          <w:tcPr>
            <w:tcW w:w="1068" w:type="dxa"/>
            <w:tcBorders>
              <w:top w:val="nil"/>
              <w:bottom w:val="nil"/>
            </w:tcBorders>
            <w:shd w:val="clear" w:color="auto" w:fill="auto"/>
            <w:vAlign w:val="center"/>
          </w:tcPr>
          <w:p w14:paraId="45014CBB" w14:textId="77777777" w:rsidR="005624F8" w:rsidRPr="009C5807" w:rsidRDefault="005624F8" w:rsidP="00DA29A5">
            <w:pPr>
              <w:pStyle w:val="TAC"/>
            </w:pPr>
          </w:p>
        </w:tc>
        <w:tc>
          <w:tcPr>
            <w:tcW w:w="1250" w:type="dxa"/>
            <w:tcBorders>
              <w:top w:val="nil"/>
              <w:bottom w:val="nil"/>
            </w:tcBorders>
            <w:shd w:val="clear" w:color="auto" w:fill="auto"/>
            <w:vAlign w:val="center"/>
          </w:tcPr>
          <w:p w14:paraId="5DE980FB" w14:textId="77777777" w:rsidR="005624F8" w:rsidRPr="009C5807" w:rsidRDefault="005624F8" w:rsidP="00DA29A5">
            <w:pPr>
              <w:pStyle w:val="TAC"/>
            </w:pPr>
          </w:p>
        </w:tc>
        <w:tc>
          <w:tcPr>
            <w:tcW w:w="2980" w:type="dxa"/>
            <w:shd w:val="clear" w:color="auto" w:fill="auto"/>
            <w:vAlign w:val="center"/>
          </w:tcPr>
          <w:p w14:paraId="6205F3A6" w14:textId="77777777" w:rsidR="005624F8" w:rsidRPr="009C5807" w:rsidRDefault="005624F8" w:rsidP="00DA29A5">
            <w:pPr>
              <w:pStyle w:val="TAC"/>
            </w:pPr>
            <w:r w:rsidRPr="009C5807">
              <w:t>Band IX</w:t>
            </w:r>
            <w:r w:rsidRPr="009C5807">
              <w:rPr>
                <w:rFonts w:cs="v5.0.0"/>
              </w:rPr>
              <w:t xml:space="preserve"> </w:t>
            </w:r>
          </w:p>
        </w:tc>
        <w:tc>
          <w:tcPr>
            <w:tcW w:w="1714" w:type="dxa"/>
            <w:shd w:val="clear" w:color="auto" w:fill="auto"/>
            <w:vAlign w:val="center"/>
          </w:tcPr>
          <w:p w14:paraId="196118AD" w14:textId="77777777" w:rsidR="005624F8" w:rsidRPr="009C5807" w:rsidRDefault="005624F8" w:rsidP="00DA29A5">
            <w:pPr>
              <w:pStyle w:val="TAC"/>
            </w:pPr>
            <w:r w:rsidRPr="009C5807">
              <w:t>-93</w:t>
            </w:r>
          </w:p>
        </w:tc>
        <w:tc>
          <w:tcPr>
            <w:tcW w:w="1546" w:type="dxa"/>
            <w:shd w:val="clear" w:color="auto" w:fill="auto"/>
            <w:vAlign w:val="center"/>
          </w:tcPr>
          <w:p w14:paraId="3CFC5181" w14:textId="77777777" w:rsidR="005624F8" w:rsidRPr="009C5807" w:rsidRDefault="005624F8" w:rsidP="00DA29A5">
            <w:pPr>
              <w:pStyle w:val="TAC"/>
            </w:pPr>
            <w:r w:rsidRPr="009C5807">
              <w:t>-70</w:t>
            </w:r>
          </w:p>
        </w:tc>
      </w:tr>
      <w:tr w:rsidR="00DA29A5" w:rsidRPr="009C5807" w14:paraId="7FD29136" w14:textId="77777777" w:rsidTr="00DA29A5">
        <w:tc>
          <w:tcPr>
            <w:tcW w:w="1068" w:type="dxa"/>
            <w:tcBorders>
              <w:top w:val="nil"/>
              <w:bottom w:val="nil"/>
            </w:tcBorders>
            <w:shd w:val="clear" w:color="auto" w:fill="auto"/>
            <w:vAlign w:val="center"/>
          </w:tcPr>
          <w:p w14:paraId="571088FE" w14:textId="68A84B1F" w:rsidR="00DA29A5" w:rsidRPr="00DA29A5" w:rsidRDefault="00DA29A5" w:rsidP="00DA29A5">
            <w:pPr>
              <w:pStyle w:val="TAC"/>
            </w:pPr>
            <w:r w:rsidRPr="009C5807">
              <w:sym w:font="Symbol" w:char="F0B1"/>
            </w:r>
            <w:r w:rsidRPr="009C5807">
              <w:t>6</w:t>
            </w:r>
          </w:p>
        </w:tc>
        <w:tc>
          <w:tcPr>
            <w:tcW w:w="1250" w:type="dxa"/>
            <w:tcBorders>
              <w:top w:val="nil"/>
              <w:bottom w:val="nil"/>
            </w:tcBorders>
            <w:shd w:val="clear" w:color="auto" w:fill="auto"/>
            <w:vAlign w:val="center"/>
          </w:tcPr>
          <w:p w14:paraId="30644AC5" w14:textId="1B56C00D" w:rsidR="00DA29A5" w:rsidRPr="00DA29A5" w:rsidRDefault="00DA29A5" w:rsidP="00DA29A5">
            <w:pPr>
              <w:pStyle w:val="TAC"/>
            </w:pPr>
            <w:r w:rsidRPr="009C5807">
              <w:sym w:font="Symbol" w:char="F0B1"/>
            </w:r>
            <w:r w:rsidRPr="009C5807">
              <w:t>9</w:t>
            </w:r>
          </w:p>
        </w:tc>
        <w:tc>
          <w:tcPr>
            <w:tcW w:w="2980" w:type="dxa"/>
            <w:shd w:val="clear" w:color="auto" w:fill="auto"/>
            <w:vAlign w:val="center"/>
          </w:tcPr>
          <w:p w14:paraId="129540E2" w14:textId="77777777" w:rsidR="00DA29A5" w:rsidRPr="009C5807" w:rsidRDefault="00DA29A5" w:rsidP="00DA29A5">
            <w:pPr>
              <w:pStyle w:val="TAC"/>
            </w:pPr>
            <w:r w:rsidRPr="009C5807">
              <w:rPr>
                <w:rFonts w:cs="v5.0.0"/>
              </w:rPr>
              <w:t>Band II, V and VII</w:t>
            </w:r>
          </w:p>
        </w:tc>
        <w:tc>
          <w:tcPr>
            <w:tcW w:w="1714" w:type="dxa"/>
            <w:shd w:val="clear" w:color="auto" w:fill="auto"/>
            <w:vAlign w:val="center"/>
          </w:tcPr>
          <w:p w14:paraId="02E6E55D" w14:textId="77777777" w:rsidR="00DA29A5" w:rsidRPr="009C5807" w:rsidRDefault="00DA29A5" w:rsidP="00DA29A5">
            <w:pPr>
              <w:pStyle w:val="TAC"/>
            </w:pPr>
            <w:r w:rsidRPr="009C5807">
              <w:t>-92</w:t>
            </w:r>
          </w:p>
        </w:tc>
        <w:tc>
          <w:tcPr>
            <w:tcW w:w="1546" w:type="dxa"/>
            <w:shd w:val="clear" w:color="auto" w:fill="auto"/>
            <w:vAlign w:val="center"/>
          </w:tcPr>
          <w:p w14:paraId="6EF9CA4B" w14:textId="77777777" w:rsidR="00DA29A5" w:rsidRPr="009C5807" w:rsidRDefault="00DA29A5" w:rsidP="00DA29A5">
            <w:pPr>
              <w:pStyle w:val="TAC"/>
            </w:pPr>
            <w:r w:rsidRPr="009C5807">
              <w:t>-70</w:t>
            </w:r>
          </w:p>
        </w:tc>
      </w:tr>
      <w:tr w:rsidR="005624F8" w:rsidRPr="009C5807" w14:paraId="439060A5" w14:textId="77777777" w:rsidTr="00DA29A5">
        <w:tc>
          <w:tcPr>
            <w:tcW w:w="1068" w:type="dxa"/>
            <w:tcBorders>
              <w:top w:val="nil"/>
              <w:bottom w:val="single" w:sz="4" w:space="0" w:color="auto"/>
            </w:tcBorders>
            <w:shd w:val="clear" w:color="auto" w:fill="auto"/>
            <w:vAlign w:val="center"/>
          </w:tcPr>
          <w:p w14:paraId="4C19C006" w14:textId="77777777" w:rsidR="005624F8" w:rsidRPr="009C5807" w:rsidRDefault="005624F8" w:rsidP="00DA29A5">
            <w:pPr>
              <w:pStyle w:val="TAC"/>
            </w:pPr>
          </w:p>
        </w:tc>
        <w:tc>
          <w:tcPr>
            <w:tcW w:w="1250" w:type="dxa"/>
            <w:tcBorders>
              <w:top w:val="nil"/>
              <w:bottom w:val="single" w:sz="4" w:space="0" w:color="auto"/>
            </w:tcBorders>
            <w:shd w:val="clear" w:color="auto" w:fill="auto"/>
            <w:vAlign w:val="center"/>
          </w:tcPr>
          <w:p w14:paraId="12E88651" w14:textId="77777777" w:rsidR="005624F8" w:rsidRPr="009C5807" w:rsidRDefault="005624F8" w:rsidP="00DA29A5">
            <w:pPr>
              <w:pStyle w:val="TAC"/>
            </w:pPr>
          </w:p>
        </w:tc>
        <w:tc>
          <w:tcPr>
            <w:tcW w:w="2980" w:type="dxa"/>
            <w:shd w:val="clear" w:color="auto" w:fill="auto"/>
            <w:vAlign w:val="center"/>
          </w:tcPr>
          <w:p w14:paraId="7D75869F" w14:textId="77777777" w:rsidR="005624F8" w:rsidRPr="009C5807" w:rsidRDefault="005624F8" w:rsidP="00DA29A5">
            <w:pPr>
              <w:pStyle w:val="TAC"/>
            </w:pPr>
            <w:r w:rsidRPr="009C5807">
              <w:rPr>
                <w:rFonts w:cs="v5.0.0"/>
              </w:rPr>
              <w:t>Band III, VIII, XII, XIII, XIV</w:t>
            </w:r>
            <w:r w:rsidRPr="009C5807">
              <w:rPr>
                <w:rFonts w:cs="v5.0.0"/>
                <w:lang w:val="en-US"/>
              </w:rPr>
              <w:t xml:space="preserve"> </w:t>
            </w:r>
            <w:r w:rsidRPr="009C5807">
              <w:rPr>
                <w:rFonts w:cs="v5.0.0"/>
              </w:rPr>
              <w:t>, XX</w:t>
            </w:r>
            <w:r w:rsidRPr="009C5807">
              <w:rPr>
                <w:rFonts w:cs="v5.0.0"/>
                <w:lang w:val="en-US"/>
              </w:rPr>
              <w:t xml:space="preserve"> and XXII</w:t>
            </w:r>
          </w:p>
        </w:tc>
        <w:tc>
          <w:tcPr>
            <w:tcW w:w="1714" w:type="dxa"/>
            <w:shd w:val="clear" w:color="auto" w:fill="auto"/>
            <w:vAlign w:val="center"/>
          </w:tcPr>
          <w:p w14:paraId="20BA809E" w14:textId="77777777" w:rsidR="005624F8" w:rsidRPr="009C5807" w:rsidRDefault="005624F8" w:rsidP="00DA29A5">
            <w:pPr>
              <w:pStyle w:val="TAC"/>
            </w:pPr>
            <w:r w:rsidRPr="009C5807">
              <w:t>-91</w:t>
            </w:r>
          </w:p>
        </w:tc>
        <w:tc>
          <w:tcPr>
            <w:tcW w:w="1546" w:type="dxa"/>
            <w:shd w:val="clear" w:color="auto" w:fill="auto"/>
            <w:vAlign w:val="center"/>
          </w:tcPr>
          <w:p w14:paraId="2DE4F4CE" w14:textId="77777777" w:rsidR="005624F8" w:rsidRPr="009C5807" w:rsidRDefault="005624F8" w:rsidP="00DA29A5">
            <w:pPr>
              <w:pStyle w:val="TAC"/>
            </w:pPr>
            <w:r w:rsidRPr="009C5807">
              <w:t>-70</w:t>
            </w:r>
          </w:p>
        </w:tc>
      </w:tr>
      <w:tr w:rsidR="005624F8" w:rsidRPr="009C5807" w14:paraId="0D656D54" w14:textId="77777777" w:rsidTr="00DA29A5">
        <w:tc>
          <w:tcPr>
            <w:tcW w:w="1068" w:type="dxa"/>
            <w:tcBorders>
              <w:top w:val="single" w:sz="4" w:space="0" w:color="auto"/>
              <w:bottom w:val="single" w:sz="6" w:space="0" w:color="auto"/>
            </w:tcBorders>
            <w:shd w:val="clear" w:color="auto" w:fill="auto"/>
            <w:vAlign w:val="center"/>
          </w:tcPr>
          <w:p w14:paraId="14D883AB" w14:textId="77777777" w:rsidR="005624F8" w:rsidRPr="009C5807" w:rsidRDefault="005624F8" w:rsidP="00DA29A5">
            <w:pPr>
              <w:pStyle w:val="TAC"/>
            </w:pPr>
          </w:p>
        </w:tc>
        <w:tc>
          <w:tcPr>
            <w:tcW w:w="1250" w:type="dxa"/>
            <w:tcBorders>
              <w:top w:val="single" w:sz="4" w:space="0" w:color="auto"/>
              <w:bottom w:val="single" w:sz="6" w:space="0" w:color="auto"/>
            </w:tcBorders>
            <w:shd w:val="clear" w:color="auto" w:fill="auto"/>
            <w:vAlign w:val="center"/>
          </w:tcPr>
          <w:p w14:paraId="513FF5E9" w14:textId="77777777" w:rsidR="005624F8" w:rsidRPr="009C5807" w:rsidRDefault="005624F8" w:rsidP="00DA29A5">
            <w:pPr>
              <w:pStyle w:val="TAC"/>
            </w:pPr>
          </w:p>
        </w:tc>
        <w:tc>
          <w:tcPr>
            <w:tcW w:w="2980" w:type="dxa"/>
            <w:shd w:val="clear" w:color="auto" w:fill="auto"/>
            <w:vAlign w:val="center"/>
          </w:tcPr>
          <w:p w14:paraId="1DC9CDBA" w14:textId="77777777" w:rsidR="005624F8" w:rsidRPr="009C5807" w:rsidRDefault="005624F8" w:rsidP="00DA29A5">
            <w:pPr>
              <w:pStyle w:val="TAC"/>
            </w:pPr>
            <w:r w:rsidRPr="009C5807">
              <w:t>Band XXV</w:t>
            </w:r>
            <w:r w:rsidRPr="009C5807">
              <w:rPr>
                <w:rFonts w:hint="eastAsia"/>
              </w:rPr>
              <w:t>, XXVI</w:t>
            </w:r>
            <w:r w:rsidRPr="009C5807">
              <w:rPr>
                <w:rFonts w:cs="v5.0.0" w:hint="eastAsia"/>
                <w:vertAlign w:val="superscript"/>
              </w:rPr>
              <w:t xml:space="preserve"> Note 1</w:t>
            </w:r>
          </w:p>
        </w:tc>
        <w:tc>
          <w:tcPr>
            <w:tcW w:w="1714" w:type="dxa"/>
            <w:shd w:val="clear" w:color="auto" w:fill="auto"/>
            <w:vAlign w:val="center"/>
          </w:tcPr>
          <w:p w14:paraId="61E6297E" w14:textId="77777777" w:rsidR="005624F8" w:rsidRPr="009C5807" w:rsidRDefault="005624F8" w:rsidP="00DA29A5">
            <w:pPr>
              <w:pStyle w:val="TAC"/>
            </w:pPr>
            <w:r w:rsidRPr="009C5807">
              <w:t>-90.5</w:t>
            </w:r>
          </w:p>
        </w:tc>
        <w:tc>
          <w:tcPr>
            <w:tcW w:w="1546" w:type="dxa"/>
            <w:shd w:val="clear" w:color="auto" w:fill="auto"/>
            <w:vAlign w:val="center"/>
          </w:tcPr>
          <w:p w14:paraId="55D2A735" w14:textId="77777777" w:rsidR="005624F8" w:rsidRPr="009C5807" w:rsidRDefault="005624F8" w:rsidP="00DA29A5">
            <w:pPr>
              <w:pStyle w:val="TAC"/>
            </w:pPr>
            <w:r w:rsidRPr="009C5807">
              <w:t>-70</w:t>
            </w:r>
          </w:p>
        </w:tc>
      </w:tr>
      <w:tr w:rsidR="005624F8" w:rsidRPr="009C5807" w14:paraId="12F1A869" w14:textId="77777777" w:rsidTr="00DA29A5">
        <w:tc>
          <w:tcPr>
            <w:tcW w:w="1068" w:type="dxa"/>
            <w:tcBorders>
              <w:top w:val="single" w:sz="6" w:space="0" w:color="auto"/>
            </w:tcBorders>
            <w:shd w:val="clear" w:color="auto" w:fill="auto"/>
            <w:vAlign w:val="center"/>
          </w:tcPr>
          <w:p w14:paraId="071FF787" w14:textId="77777777" w:rsidR="005624F8" w:rsidRPr="009C5807" w:rsidRDefault="005624F8" w:rsidP="00DA29A5">
            <w:pPr>
              <w:pStyle w:val="TAC"/>
            </w:pPr>
            <w:r w:rsidRPr="009C5807">
              <w:sym w:font="Symbol" w:char="F0B1"/>
            </w:r>
            <w:r w:rsidRPr="009C5807">
              <w:t>8</w:t>
            </w:r>
          </w:p>
        </w:tc>
        <w:tc>
          <w:tcPr>
            <w:tcW w:w="1250" w:type="dxa"/>
            <w:tcBorders>
              <w:top w:val="single" w:sz="6" w:space="0" w:color="auto"/>
            </w:tcBorders>
            <w:shd w:val="clear" w:color="auto" w:fill="auto"/>
            <w:vAlign w:val="center"/>
          </w:tcPr>
          <w:p w14:paraId="70679882" w14:textId="77777777" w:rsidR="005624F8" w:rsidRPr="009C5807" w:rsidRDefault="005624F8" w:rsidP="00DA29A5">
            <w:pPr>
              <w:pStyle w:val="TAC"/>
            </w:pPr>
            <w:r w:rsidRPr="009C5807">
              <w:sym w:font="Symbol" w:char="F0B1"/>
            </w:r>
            <w:r w:rsidRPr="009C5807">
              <w:t>11</w:t>
            </w:r>
          </w:p>
        </w:tc>
        <w:tc>
          <w:tcPr>
            <w:tcW w:w="2980" w:type="dxa"/>
            <w:shd w:val="clear" w:color="auto" w:fill="auto"/>
            <w:vAlign w:val="center"/>
          </w:tcPr>
          <w:p w14:paraId="5152A258" w14:textId="77777777" w:rsidR="005624F8" w:rsidRPr="009C5807" w:rsidRDefault="005624F8" w:rsidP="00DA29A5">
            <w:pPr>
              <w:pStyle w:val="TAC"/>
              <w:rPr>
                <w:lang w:val="sv-SE"/>
              </w:rPr>
            </w:pPr>
            <w:r w:rsidRPr="009C5807">
              <w:rPr>
                <w:lang w:val="sv-SE"/>
              </w:rPr>
              <w:t>Note 2</w:t>
            </w:r>
          </w:p>
        </w:tc>
        <w:tc>
          <w:tcPr>
            <w:tcW w:w="1714" w:type="dxa"/>
            <w:shd w:val="clear" w:color="auto" w:fill="auto"/>
            <w:vAlign w:val="center"/>
          </w:tcPr>
          <w:p w14:paraId="6A2AF231" w14:textId="77777777" w:rsidR="005624F8" w:rsidRPr="009C5807" w:rsidRDefault="005624F8" w:rsidP="00DA29A5">
            <w:pPr>
              <w:pStyle w:val="TAC"/>
            </w:pPr>
            <w:r w:rsidRPr="009C5807">
              <w:t>-70</w:t>
            </w:r>
          </w:p>
        </w:tc>
        <w:tc>
          <w:tcPr>
            <w:tcW w:w="1546" w:type="dxa"/>
            <w:shd w:val="clear" w:color="auto" w:fill="auto"/>
            <w:vAlign w:val="center"/>
          </w:tcPr>
          <w:p w14:paraId="0C9A350B" w14:textId="77777777" w:rsidR="005624F8" w:rsidRPr="009C5807" w:rsidRDefault="005624F8" w:rsidP="00DA29A5">
            <w:pPr>
              <w:pStyle w:val="TAC"/>
            </w:pPr>
            <w:r w:rsidRPr="009C5807">
              <w:t>-50</w:t>
            </w:r>
          </w:p>
        </w:tc>
      </w:tr>
      <w:tr w:rsidR="005624F8" w:rsidRPr="009C5807" w14:paraId="58C10DAD" w14:textId="77777777" w:rsidTr="00DA29A5">
        <w:tc>
          <w:tcPr>
            <w:tcW w:w="8558" w:type="dxa"/>
            <w:gridSpan w:val="5"/>
            <w:shd w:val="clear" w:color="auto" w:fill="auto"/>
            <w:vAlign w:val="center"/>
          </w:tcPr>
          <w:p w14:paraId="5BD68D93" w14:textId="77777777" w:rsidR="005624F8" w:rsidRPr="009C5807" w:rsidRDefault="005624F8" w:rsidP="00DA29A5">
            <w:pPr>
              <w:pStyle w:val="TAN"/>
            </w:pPr>
            <w:r w:rsidRPr="009C5807">
              <w:t>N</w:t>
            </w:r>
            <w:r w:rsidRPr="009C5807">
              <w:rPr>
                <w:lang w:eastAsia="zh-CN"/>
              </w:rPr>
              <w:t>OTE</w:t>
            </w:r>
            <w:r w:rsidRPr="009C5807">
              <w:t xml:space="preserve"> 1:</w:t>
            </w:r>
            <w:r w:rsidRPr="009C5807">
              <w:tab/>
              <w:t xml:space="preserve">For Band XXVI, the condition has the minimum Io of </w:t>
            </w:r>
            <w:r w:rsidRPr="009C5807">
              <w:rPr>
                <w:rFonts w:cs="v5.0.0"/>
              </w:rPr>
              <w:t xml:space="preserve">-92 </w:t>
            </w:r>
            <w:r w:rsidRPr="009C5807">
              <w:rPr>
                <w:rFonts w:cs="v4.2.0"/>
              </w:rPr>
              <w:t>dBm</w:t>
            </w:r>
            <w:r w:rsidRPr="009C5807">
              <w:t>/3.84 MHz when the carrier frequency of the assigned UTRA channel is within 869-894 MHz</w:t>
            </w:r>
            <w:r w:rsidRPr="009C5807">
              <w:rPr>
                <w:rFonts w:hint="eastAsia"/>
              </w:rPr>
              <w:t xml:space="preserve"> f</w:t>
            </w:r>
            <w:r w:rsidRPr="009C5807">
              <w:t xml:space="preserve">or the UE which supports both Band </w:t>
            </w:r>
            <w:r w:rsidRPr="009C5807">
              <w:rPr>
                <w:rFonts w:hint="eastAsia"/>
              </w:rPr>
              <w:t>V</w:t>
            </w:r>
            <w:r w:rsidRPr="009C5807">
              <w:t xml:space="preserve"> and Band </w:t>
            </w:r>
            <w:r w:rsidRPr="009C5807">
              <w:rPr>
                <w:rFonts w:hint="eastAsia"/>
              </w:rPr>
              <w:t>XXVI</w:t>
            </w:r>
            <w:r w:rsidRPr="009C5807">
              <w:t xml:space="preserve"> operating frequencies</w:t>
            </w:r>
            <w:r w:rsidRPr="009C5807">
              <w:rPr>
                <w:rFonts w:hint="eastAsia"/>
              </w:rPr>
              <w:t>.</w:t>
            </w:r>
          </w:p>
          <w:p w14:paraId="51021A8A" w14:textId="77777777" w:rsidR="005624F8" w:rsidRPr="009C5807" w:rsidRDefault="005624F8" w:rsidP="00DA29A5">
            <w:pPr>
              <w:pStyle w:val="TAN"/>
            </w:pPr>
            <w:r w:rsidRPr="009C5807">
              <w:t>N</w:t>
            </w:r>
            <w:r w:rsidRPr="009C5807">
              <w:rPr>
                <w:lang w:eastAsia="zh-CN"/>
              </w:rPr>
              <w:t>OTE</w:t>
            </w:r>
            <w:r w:rsidRPr="009C5807">
              <w:t xml:space="preserve"> 2:</w:t>
            </w:r>
            <w:r w:rsidRPr="009C5807">
              <w:tab/>
              <w:t>The same bands apply for this requirement as for the corresponding highest accuracy requirement.</w:t>
            </w:r>
          </w:p>
        </w:tc>
      </w:tr>
    </w:tbl>
    <w:p w14:paraId="0136951F" w14:textId="77777777" w:rsidR="005624F8" w:rsidRPr="009C5807" w:rsidRDefault="005624F8" w:rsidP="000770CD"/>
    <w:p w14:paraId="26036FA0" w14:textId="77777777" w:rsidR="005624F8" w:rsidRPr="009C5807" w:rsidRDefault="005624F8" w:rsidP="000770CD">
      <w:r w:rsidRPr="009C5807">
        <w:t>If the UE, in RRC_CONNECTED state, needs measurement gaps to perform UTRAN FDD measurements, the relevant UTRAN FDD measurement procedure and measurement gap pattern stated in clause 9.4.6 shall apply.</w:t>
      </w:r>
    </w:p>
    <w:p w14:paraId="6CDE0ACA" w14:textId="77777777" w:rsidR="005624F8" w:rsidRPr="009C5807" w:rsidRDefault="005624F8" w:rsidP="005624F8">
      <w:pPr>
        <w:rPr>
          <w:rFonts w:cs="v4.2.0"/>
        </w:rPr>
      </w:pPr>
      <w:r w:rsidRPr="009C5807">
        <w:rPr>
          <w:rFonts w:cs="v4.2.0"/>
        </w:rPr>
        <w:t>The reporting range and mapping specified for FDD CPICH RSCP in TS 25.133 [29] shall apply.</w:t>
      </w:r>
    </w:p>
    <w:p w14:paraId="1D50DF88" w14:textId="77777777" w:rsidR="005624F8" w:rsidRPr="009C5807" w:rsidRDefault="005624F8" w:rsidP="005624F8">
      <w:pPr>
        <w:pStyle w:val="Heading3"/>
      </w:pPr>
      <w:bookmarkStart w:id="28" w:name="_Toc383690907"/>
      <w:r w:rsidRPr="009C5807">
        <w:t>10.3.2</w:t>
      </w:r>
      <w:r w:rsidRPr="009C5807">
        <w:rPr>
          <w:rFonts w:eastAsia="Batang"/>
          <w:szCs w:val="24"/>
        </w:rPr>
        <w:tab/>
      </w:r>
      <w:r w:rsidRPr="009C5807">
        <w:t>UTRAN FDD CPICH Ec/No</w:t>
      </w:r>
      <w:bookmarkEnd w:id="28"/>
    </w:p>
    <w:p w14:paraId="429C351B" w14:textId="77777777" w:rsidR="005624F8" w:rsidRPr="009C5807" w:rsidRDefault="005624F8" w:rsidP="00D638F6">
      <w:pPr>
        <w:pStyle w:val="NO"/>
      </w:pPr>
      <w:r w:rsidRPr="009C5807">
        <w:t>NOTE:</w:t>
      </w:r>
      <w:r w:rsidRPr="009C5807">
        <w:tab/>
        <w:t>This measurement is for handover between E-UTRAN and UTRAN FDD.</w:t>
      </w:r>
    </w:p>
    <w:p w14:paraId="7DAE1855" w14:textId="77777777" w:rsidR="005624F8" w:rsidRPr="009C5807" w:rsidRDefault="005624F8" w:rsidP="005624F8">
      <w:pPr>
        <w:rPr>
          <w:rFonts w:cs="v4.2.0"/>
        </w:rPr>
      </w:pPr>
      <w:r w:rsidRPr="009C5807">
        <w:rPr>
          <w:rFonts w:cs="v4.2.0"/>
        </w:rPr>
        <w:t>The requirements in this clause are valid for terminals supporting this capability.</w:t>
      </w:r>
    </w:p>
    <w:p w14:paraId="1AE878AE" w14:textId="77777777" w:rsidR="005624F8" w:rsidRPr="009C5807" w:rsidRDefault="005624F8" w:rsidP="005624F8">
      <w:pPr>
        <w:rPr>
          <w:rFonts w:cs="v4.2.0"/>
        </w:rPr>
      </w:pPr>
      <w:r w:rsidRPr="009C5807">
        <w:rPr>
          <w:rFonts w:cs="v4.2.0"/>
        </w:rPr>
        <w:t>The measurement period for RRC_CONNECTED state is specified in clause 9.4.6.</w:t>
      </w:r>
    </w:p>
    <w:p w14:paraId="37D6B3AE" w14:textId="1250D631" w:rsidR="0094409B" w:rsidRPr="009C5807" w:rsidRDefault="0094409B" w:rsidP="0094409B">
      <w:pPr>
        <w:rPr>
          <w:rFonts w:cs="v4.2.0"/>
        </w:rPr>
      </w:pPr>
      <w:r w:rsidRPr="009C5807">
        <w:rPr>
          <w:rFonts w:cs="v4.2.0"/>
        </w:rPr>
        <w:t xml:space="preserve">In RRC_CONNECTED state the accuracy requirements shall be the same as the inter-frequency measurement accuracy requirements for FDD </w:t>
      </w:r>
      <w:r w:rsidRPr="009C5807">
        <w:t>CPICH Ec/No</w:t>
      </w:r>
      <w:r w:rsidRPr="009C5807">
        <w:rPr>
          <w:rFonts w:cs="v4.2.0"/>
        </w:rPr>
        <w:t xml:space="preserve"> in TS 25.133 [</w:t>
      </w:r>
      <w:r w:rsidRPr="009C5807">
        <w:rPr>
          <w:rFonts w:cs="v4.2.0" w:hint="eastAsia"/>
          <w:lang w:val="en-US" w:eastAsia="zh-CN"/>
        </w:rPr>
        <w:t>29</w:t>
      </w:r>
      <w:r w:rsidRPr="009C5807">
        <w:rPr>
          <w:rFonts w:cs="v4.2.0"/>
        </w:rPr>
        <w:t>].</w:t>
      </w:r>
    </w:p>
    <w:p w14:paraId="05AAB5FD" w14:textId="77777777" w:rsidR="005624F8" w:rsidRPr="009C5807" w:rsidRDefault="005624F8" w:rsidP="005624F8">
      <w:pPr>
        <w:rPr>
          <w:rFonts w:cs="v4.2.0"/>
        </w:rPr>
      </w:pPr>
      <w:r w:rsidRPr="009C5807">
        <w:rPr>
          <w:rFonts w:cs="v4.2.0"/>
        </w:rPr>
        <w:t>If the UE, in RRC_CONNECTED state, needs measurement gaps to perform UTRAN FDD measurements, the UTRAN FDD measurement procedure and measurement gap pattern stated in clause 9.4.6 shall apply.</w:t>
      </w:r>
    </w:p>
    <w:p w14:paraId="011460A3" w14:textId="77777777" w:rsidR="005624F8" w:rsidRPr="009C5807" w:rsidRDefault="005624F8" w:rsidP="005624F8">
      <w:r w:rsidRPr="009C5807">
        <w:t>The reporting range and mapping specified for FDD CPICH Ec/No in TS 25.133 [29] shall apply.</w:t>
      </w:r>
    </w:p>
    <w:p w14:paraId="4E43504D" w14:textId="77777777" w:rsidR="00876517" w:rsidRPr="00885F53" w:rsidRDefault="00876517" w:rsidP="00876517">
      <w:pPr>
        <w:pStyle w:val="Heading2"/>
      </w:pPr>
      <w:bookmarkStart w:id="29" w:name="_Toc5952732"/>
      <w:r w:rsidRPr="00885F53">
        <w:t>10.</w:t>
      </w:r>
      <w:r>
        <w:t>4</w:t>
      </w:r>
      <w:r w:rsidRPr="00885F53">
        <w:tab/>
      </w:r>
      <w:r>
        <w:t>V2X</w:t>
      </w:r>
      <w:r w:rsidRPr="00885F53">
        <w:t xml:space="preserve"> measurements</w:t>
      </w:r>
    </w:p>
    <w:p w14:paraId="076C8533" w14:textId="77777777" w:rsidR="00876517" w:rsidRPr="00885F53" w:rsidRDefault="00876517" w:rsidP="00876517">
      <w:pPr>
        <w:pStyle w:val="Heading3"/>
        <w:rPr>
          <w:lang w:val="en-US" w:eastAsia="ko-KR"/>
        </w:rPr>
      </w:pPr>
      <w:r w:rsidRPr="00885F53">
        <w:rPr>
          <w:lang w:val="en-US" w:eastAsia="ko-KR"/>
        </w:rPr>
        <w:t>10.</w:t>
      </w:r>
      <w:r>
        <w:rPr>
          <w:lang w:val="en-US" w:eastAsia="ko-KR"/>
        </w:rPr>
        <w:t>4</w:t>
      </w:r>
      <w:r w:rsidRPr="00885F53">
        <w:rPr>
          <w:lang w:val="en-US" w:eastAsia="ko-KR"/>
        </w:rPr>
        <w:t>.1</w:t>
      </w:r>
      <w:r w:rsidRPr="00885F53">
        <w:rPr>
          <w:lang w:val="en-US" w:eastAsia="ko-KR"/>
        </w:rPr>
        <w:tab/>
        <w:t>Introduction</w:t>
      </w:r>
    </w:p>
    <w:p w14:paraId="693EA63B" w14:textId="77777777" w:rsidR="00876517" w:rsidRPr="0089796C" w:rsidRDefault="00876517" w:rsidP="00876517">
      <w:r w:rsidRPr="0089796C">
        <w:t xml:space="preserve">The requirements in this section are applicable for a UE capable of </w:t>
      </w:r>
      <w:r w:rsidRPr="0089796C">
        <w:rPr>
          <w:rFonts w:hint="eastAsia"/>
        </w:rPr>
        <w:t>V2X sidelink</w:t>
      </w:r>
      <w:r w:rsidRPr="0089796C">
        <w:t xml:space="preserve"> </w:t>
      </w:r>
      <w:r w:rsidRPr="0089796C">
        <w:rPr>
          <w:rFonts w:hint="eastAsia"/>
        </w:rPr>
        <w:t>c</w:t>
      </w:r>
      <w:r w:rsidRPr="0089796C">
        <w:t>ommunication.</w:t>
      </w:r>
    </w:p>
    <w:p w14:paraId="237C01D2" w14:textId="77777777" w:rsidR="00876517" w:rsidRPr="0089796C" w:rsidRDefault="00876517" w:rsidP="00876517">
      <w:r w:rsidRPr="0089796C">
        <w:t>The accuracy requirements in this clause are:</w:t>
      </w:r>
    </w:p>
    <w:p w14:paraId="675EADB4" w14:textId="77777777" w:rsidR="00876517" w:rsidRDefault="00876517" w:rsidP="00876517">
      <w:pPr>
        <w:pStyle w:val="B10"/>
      </w:pPr>
      <w:r w:rsidRPr="00CD31AF">
        <w:t>-</w:t>
      </w:r>
      <w:r w:rsidRPr="00CD31AF">
        <w:tab/>
        <w:t>applicable for AWGN radio propagation conditions,</w:t>
      </w:r>
    </w:p>
    <w:p w14:paraId="363AB91E" w14:textId="77777777" w:rsidR="00876517" w:rsidRPr="0089796C" w:rsidRDefault="00876517" w:rsidP="00876517">
      <w:pPr>
        <w:pStyle w:val="B10"/>
      </w:pPr>
      <w:r w:rsidRPr="0089796C">
        <w:t>-</w:t>
      </w:r>
      <w:r w:rsidRPr="0089796C">
        <w:tab/>
        <w:t>assume independent interference (noise) at each receiver antenna port.</w:t>
      </w:r>
    </w:p>
    <w:p w14:paraId="05DC8EDE" w14:textId="77777777" w:rsidR="00876517" w:rsidRPr="00CD31AF" w:rsidRDefault="00876517" w:rsidP="00876517">
      <w:pPr>
        <w:pStyle w:val="Heading3"/>
        <w:rPr>
          <w:lang w:val="en-US"/>
        </w:rPr>
      </w:pPr>
      <w:r w:rsidRPr="00CD31AF">
        <w:rPr>
          <w:lang w:val="en-US"/>
        </w:rPr>
        <w:t>10.4.2</w:t>
      </w:r>
      <w:r w:rsidRPr="00CD31AF">
        <w:rPr>
          <w:lang w:val="en-US"/>
        </w:rPr>
        <w:tab/>
        <w:t>Intra-frequency PSBCH-RSRP accuracy requirements for FR1</w:t>
      </w:r>
    </w:p>
    <w:p w14:paraId="79617B64" w14:textId="77777777" w:rsidR="00876517" w:rsidRPr="00CD31AF" w:rsidRDefault="00876517" w:rsidP="00876517">
      <w:pPr>
        <w:pStyle w:val="Heading4"/>
        <w:rPr>
          <w:lang w:val="en-US"/>
        </w:rPr>
      </w:pPr>
      <w:r w:rsidRPr="00CD31AF">
        <w:rPr>
          <w:lang w:val="en-US"/>
        </w:rPr>
        <w:t>10.4.2.1</w:t>
      </w:r>
      <w:r w:rsidRPr="00CD31AF">
        <w:rPr>
          <w:lang w:val="en-US"/>
        </w:rPr>
        <w:tab/>
      </w:r>
      <w:r w:rsidRPr="00CD31AF">
        <w:t>P</w:t>
      </w:r>
      <w:r w:rsidRPr="00CD31AF">
        <w:rPr>
          <w:lang w:val="en-US"/>
        </w:rPr>
        <w:t>SBCH-RSRP</w:t>
      </w:r>
      <w:r w:rsidRPr="00CD31AF">
        <w:t xml:space="preserve"> Absolute Accuracy</w:t>
      </w:r>
    </w:p>
    <w:p w14:paraId="2BC793A1" w14:textId="77777777" w:rsidR="00876517" w:rsidRPr="0089796C" w:rsidRDefault="00876517" w:rsidP="00876517">
      <w:pPr>
        <w:rPr>
          <w:i/>
        </w:rPr>
      </w:pPr>
      <w:r w:rsidRPr="0089796C">
        <w:t xml:space="preserve">The requirements for absolute accuracy of </w:t>
      </w:r>
      <w:r>
        <w:t>P</w:t>
      </w:r>
      <w:r w:rsidRPr="0089796C">
        <w:t>S</w:t>
      </w:r>
      <w:r>
        <w:t>BCH</w:t>
      </w:r>
      <w:r w:rsidRPr="0089796C">
        <w:t xml:space="preserve">-RSRP in this clause apply to a </w:t>
      </w:r>
      <w:r w:rsidRPr="0089796C">
        <w:rPr>
          <w:rFonts w:hint="eastAsia"/>
        </w:rPr>
        <w:t>V2X</w:t>
      </w:r>
      <w:r w:rsidRPr="0089796C">
        <w:t xml:space="preserve"> synchronization source on the same frequency as that of the own </w:t>
      </w:r>
      <w:r w:rsidRPr="0089796C">
        <w:rPr>
          <w:rFonts w:hint="eastAsia"/>
        </w:rPr>
        <w:t>V2X</w:t>
      </w:r>
      <w:r w:rsidRPr="0089796C">
        <w:t xml:space="preserve"> UE performing the measurement</w:t>
      </w:r>
      <w:r>
        <w:t xml:space="preserve"> in FR1</w:t>
      </w:r>
      <w:r w:rsidRPr="0089796C">
        <w:t>.</w:t>
      </w:r>
    </w:p>
    <w:p w14:paraId="22775B56" w14:textId="77777777" w:rsidR="00876517" w:rsidRPr="0089796C" w:rsidRDefault="00876517" w:rsidP="00876517">
      <w:r w:rsidRPr="0089796C">
        <w:t xml:space="preserve">The accuracy requirements in Table </w:t>
      </w:r>
      <w:r>
        <w:t>10.4</w:t>
      </w:r>
      <w:r w:rsidRPr="0089796C">
        <w:t>.</w:t>
      </w:r>
      <w:r w:rsidRPr="0089796C">
        <w:rPr>
          <w:rFonts w:hint="eastAsia"/>
        </w:rPr>
        <w:t>2</w:t>
      </w:r>
      <w:r w:rsidRPr="0089796C">
        <w:t>.1-1 are valid under the following conditions:</w:t>
      </w:r>
    </w:p>
    <w:p w14:paraId="57F7AF88" w14:textId="77777777" w:rsidR="00876517" w:rsidRPr="0089796C" w:rsidRDefault="00876517" w:rsidP="00876517">
      <w:pPr>
        <w:pStyle w:val="B10"/>
      </w:pPr>
      <w:r w:rsidRPr="0089796C">
        <w:t>-</w:t>
      </w:r>
      <w:r w:rsidRPr="0089796C">
        <w:tab/>
        <w:t>Demodulation reference signals are transmitted from one port.</w:t>
      </w:r>
    </w:p>
    <w:p w14:paraId="5415E493" w14:textId="77777777" w:rsidR="00876517" w:rsidRPr="0089796C" w:rsidRDefault="00876517" w:rsidP="00876517">
      <w:pPr>
        <w:pStyle w:val="B10"/>
      </w:pPr>
      <w:r w:rsidRPr="0089796C">
        <w:t>-</w:t>
      </w:r>
      <w:r w:rsidRPr="0089796C">
        <w:tab/>
        <w:t>Conditions defined in Clause</w:t>
      </w:r>
      <w:r w:rsidRPr="0089796C">
        <w:rPr>
          <w:rFonts w:eastAsia="Malgun Gothic" w:hint="eastAsia"/>
        </w:rPr>
        <w:t xml:space="preserve"> </w:t>
      </w:r>
      <w:r>
        <w:t xml:space="preserve">7.3E of TS38.101-1 </w:t>
      </w:r>
      <w:r w:rsidRPr="003F0B9D">
        <w:t>[18]</w:t>
      </w:r>
      <w:r w:rsidRPr="0089796C">
        <w:t xml:space="preserve"> for reference sensitivity are fulfilled.</w:t>
      </w:r>
    </w:p>
    <w:p w14:paraId="66EEB204" w14:textId="77777777" w:rsidR="00876517" w:rsidRPr="0089796C" w:rsidRDefault="00876517" w:rsidP="00876517">
      <w:pPr>
        <w:pStyle w:val="B10"/>
        <w:rPr>
          <w:lang w:eastAsia="zh-CN"/>
        </w:rPr>
      </w:pPr>
      <w:r w:rsidRPr="0089796C">
        <w:t>-</w:t>
      </w:r>
      <w:r w:rsidRPr="0089796C">
        <w:tab/>
      </w:r>
      <w:r w:rsidRPr="00885F53">
        <w:t xml:space="preserve">Conditions for </w:t>
      </w:r>
      <w:r>
        <w:t>P</w:t>
      </w:r>
      <w:r w:rsidRPr="0089796C">
        <w:t>S</w:t>
      </w:r>
      <w:r>
        <w:t>BCH</w:t>
      </w:r>
      <w:r w:rsidRPr="0089796C">
        <w:t>-RSRP</w:t>
      </w:r>
      <w:r w:rsidRPr="00885F53">
        <w:t xml:space="preserve"> measurements are fulfilled according to Annex B.4.</w:t>
      </w:r>
      <w:r>
        <w:t>2</w:t>
      </w:r>
      <w:r w:rsidRPr="00885F53">
        <w:t xml:space="preserve"> for a corresponding Band </w:t>
      </w:r>
      <w:r w:rsidRPr="00885F53">
        <w:rPr>
          <w:rFonts w:eastAsia="PMingLiU"/>
        </w:rPr>
        <w:t xml:space="preserve">for each relevant </w:t>
      </w:r>
      <w:r>
        <w:rPr>
          <w:rFonts w:eastAsia="PMingLiU"/>
        </w:rPr>
        <w:t>PSBCH-DMRS</w:t>
      </w:r>
      <w:r w:rsidRPr="00885F53">
        <w:t>.</w:t>
      </w:r>
    </w:p>
    <w:p w14:paraId="6E3042C1" w14:textId="77777777" w:rsidR="00876517" w:rsidRPr="00885F53" w:rsidRDefault="00876517" w:rsidP="00876517">
      <w:pPr>
        <w:keepNext/>
        <w:keepLines/>
        <w:spacing w:before="60"/>
        <w:jc w:val="center"/>
        <w:rPr>
          <w:rFonts w:ascii="Arial" w:hAnsi="Arial"/>
          <w:b/>
        </w:rPr>
      </w:pPr>
      <w:r w:rsidRPr="00885F53">
        <w:rPr>
          <w:rFonts w:ascii="Arial" w:hAnsi="Arial"/>
          <w:b/>
        </w:rPr>
        <w:t>Table 10.</w:t>
      </w:r>
      <w:r>
        <w:rPr>
          <w:rFonts w:ascii="Arial" w:hAnsi="Arial"/>
          <w:b/>
        </w:rPr>
        <w:t>4</w:t>
      </w:r>
      <w:r w:rsidRPr="00885F53">
        <w:rPr>
          <w:rFonts w:ascii="Arial" w:hAnsi="Arial"/>
          <w:b/>
        </w:rPr>
        <w:t xml:space="preserve">.2.1-1: </w:t>
      </w:r>
      <w:r>
        <w:rPr>
          <w:rFonts w:ascii="Arial" w:hAnsi="Arial"/>
          <w:b/>
        </w:rPr>
        <w:t>Intra-frequency PSBCH</w:t>
      </w:r>
      <w:r w:rsidRPr="00885F53">
        <w:rPr>
          <w:rFonts w:ascii="Arial" w:hAnsi="Arial"/>
          <w:b/>
        </w:rPr>
        <w:t>-RSRP absolute accuracy in FR1</w:t>
      </w:r>
    </w:p>
    <w:tbl>
      <w:tblPr>
        <w:tblW w:w="10172" w:type="dxa"/>
        <w:jc w:val="center"/>
        <w:tblLook w:val="01E0" w:firstRow="1" w:lastRow="1" w:firstColumn="1" w:lastColumn="1" w:noHBand="0" w:noVBand="0"/>
      </w:tblPr>
      <w:tblGrid>
        <w:gridCol w:w="1031"/>
        <w:gridCol w:w="1043"/>
        <w:gridCol w:w="780"/>
        <w:gridCol w:w="1957"/>
        <w:gridCol w:w="827"/>
        <w:gridCol w:w="827"/>
        <w:gridCol w:w="827"/>
        <w:gridCol w:w="1440"/>
        <w:gridCol w:w="1440"/>
      </w:tblGrid>
      <w:tr w:rsidR="00876517" w:rsidRPr="00885F53" w14:paraId="2DE3CB31" w14:textId="77777777" w:rsidTr="00AD2F6B">
        <w:trPr>
          <w:jc w:val="center"/>
        </w:trPr>
        <w:tc>
          <w:tcPr>
            <w:tcW w:w="2074"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4C7DD741" w14:textId="77777777" w:rsidR="00876517" w:rsidRPr="00885F53" w:rsidRDefault="00876517" w:rsidP="00AD2F6B">
            <w:pPr>
              <w:keepNext/>
              <w:keepLines/>
              <w:spacing w:after="0"/>
              <w:jc w:val="center"/>
            </w:pPr>
            <w:r w:rsidRPr="00885F53">
              <w:rPr>
                <w:rFonts w:ascii="Arial" w:hAnsi="Arial"/>
                <w:b/>
                <w:sz w:val="18"/>
              </w:rPr>
              <w:t>Accuracy</w:t>
            </w:r>
          </w:p>
        </w:tc>
        <w:tc>
          <w:tcPr>
            <w:tcW w:w="8098"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12B7BD3F" w14:textId="77777777" w:rsidR="00876517" w:rsidRPr="00885F53" w:rsidRDefault="00876517" w:rsidP="00AD2F6B">
            <w:pPr>
              <w:keepNext/>
              <w:keepLines/>
              <w:spacing w:after="0"/>
              <w:jc w:val="center"/>
            </w:pPr>
            <w:r w:rsidRPr="00885F53">
              <w:rPr>
                <w:rFonts w:ascii="Arial" w:hAnsi="Arial"/>
                <w:b/>
                <w:sz w:val="18"/>
              </w:rPr>
              <w:t>Conditions</w:t>
            </w:r>
          </w:p>
        </w:tc>
      </w:tr>
      <w:tr w:rsidR="00876517" w:rsidRPr="00885F53" w14:paraId="22B1CBF8" w14:textId="77777777" w:rsidTr="00AD2F6B">
        <w:trPr>
          <w:jc w:val="center"/>
        </w:trPr>
        <w:tc>
          <w:tcPr>
            <w:tcW w:w="1031" w:type="dxa"/>
            <w:vMerge w:val="restart"/>
            <w:tcBorders>
              <w:top w:val="single" w:sz="6" w:space="0" w:color="auto"/>
              <w:left w:val="single" w:sz="4" w:space="0" w:color="auto"/>
              <w:bottom w:val="single" w:sz="6" w:space="0" w:color="auto"/>
              <w:right w:val="single" w:sz="6" w:space="0" w:color="auto"/>
            </w:tcBorders>
            <w:shd w:val="clear" w:color="auto" w:fill="auto"/>
            <w:vAlign w:val="center"/>
          </w:tcPr>
          <w:p w14:paraId="16F6DE36" w14:textId="77777777" w:rsidR="00876517" w:rsidRPr="00885F53" w:rsidRDefault="00876517" w:rsidP="00AD2F6B">
            <w:pPr>
              <w:keepNext/>
              <w:keepLines/>
              <w:spacing w:after="0"/>
              <w:jc w:val="center"/>
            </w:pPr>
            <w:r w:rsidRPr="00885F53">
              <w:rPr>
                <w:rFonts w:ascii="Arial" w:hAnsi="Arial"/>
                <w:b/>
                <w:sz w:val="18"/>
              </w:rPr>
              <w:t>Normal condition</w:t>
            </w:r>
          </w:p>
        </w:tc>
        <w:tc>
          <w:tcPr>
            <w:tcW w:w="1043"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7B77511" w14:textId="77777777" w:rsidR="00876517" w:rsidRPr="00885F53" w:rsidRDefault="00876517" w:rsidP="00AD2F6B">
            <w:pPr>
              <w:keepNext/>
              <w:keepLines/>
              <w:spacing w:after="0"/>
              <w:jc w:val="center"/>
            </w:pPr>
            <w:r w:rsidRPr="00885F53">
              <w:rPr>
                <w:rFonts w:ascii="Arial" w:hAnsi="Arial"/>
                <w:b/>
                <w:sz w:val="18"/>
              </w:rPr>
              <w:t>Extreme condition</w:t>
            </w:r>
          </w:p>
        </w:tc>
        <w:tc>
          <w:tcPr>
            <w:tcW w:w="78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7412D089" w14:textId="77777777" w:rsidR="00876517" w:rsidRPr="00885F53" w:rsidRDefault="00876517" w:rsidP="00AD2F6B">
            <w:pPr>
              <w:keepNext/>
              <w:keepLines/>
              <w:spacing w:after="0"/>
              <w:jc w:val="center"/>
            </w:pPr>
            <w:r w:rsidRPr="00885F53">
              <w:rPr>
                <w:rFonts w:ascii="Arial" w:hAnsi="Arial"/>
                <w:b/>
                <w:sz w:val="18"/>
              </w:rPr>
              <w:t>Ês/Iot</w:t>
            </w:r>
            <w:r w:rsidRPr="00885F53">
              <w:rPr>
                <w:rFonts w:ascii="Arial" w:hAnsi="Arial"/>
                <w:b/>
                <w:sz w:val="18"/>
                <w:vertAlign w:val="superscript"/>
              </w:rPr>
              <w:t xml:space="preserve"> Note </w:t>
            </w:r>
            <w:r>
              <w:rPr>
                <w:rFonts w:ascii="Arial" w:hAnsi="Arial"/>
                <w:b/>
                <w:sz w:val="18"/>
                <w:vertAlign w:val="superscript"/>
              </w:rPr>
              <w:t>3</w:t>
            </w:r>
          </w:p>
        </w:tc>
        <w:tc>
          <w:tcPr>
            <w:tcW w:w="7318"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10D6FCED" w14:textId="77777777" w:rsidR="00876517" w:rsidRPr="00885F53" w:rsidRDefault="00876517" w:rsidP="00AD2F6B">
            <w:pPr>
              <w:keepNext/>
              <w:keepLines/>
              <w:spacing w:after="0"/>
              <w:jc w:val="center"/>
            </w:pPr>
            <w:r w:rsidRPr="00885F53">
              <w:rPr>
                <w:rFonts w:ascii="Arial" w:hAnsi="Arial"/>
                <w:b/>
                <w:sz w:val="18"/>
              </w:rPr>
              <w:t>Io</w:t>
            </w:r>
            <w:r w:rsidRPr="00885F53">
              <w:rPr>
                <w:rFonts w:ascii="Arial" w:hAnsi="Arial"/>
                <w:b/>
                <w:sz w:val="18"/>
                <w:vertAlign w:val="superscript"/>
              </w:rPr>
              <w:t xml:space="preserve"> Note 1</w:t>
            </w:r>
            <w:r w:rsidRPr="00885F53">
              <w:rPr>
                <w:rFonts w:ascii="Arial" w:hAnsi="Arial"/>
                <w:b/>
                <w:sz w:val="18"/>
              </w:rPr>
              <w:t xml:space="preserve"> range</w:t>
            </w:r>
          </w:p>
        </w:tc>
      </w:tr>
      <w:tr w:rsidR="00876517" w:rsidRPr="00885F53" w14:paraId="2781A6E5" w14:textId="77777777" w:rsidTr="00AD2F6B">
        <w:trPr>
          <w:jc w:val="center"/>
        </w:trPr>
        <w:tc>
          <w:tcPr>
            <w:tcW w:w="1031" w:type="dxa"/>
            <w:vMerge/>
            <w:tcBorders>
              <w:top w:val="single" w:sz="6" w:space="0" w:color="auto"/>
              <w:left w:val="single" w:sz="4" w:space="0" w:color="auto"/>
              <w:bottom w:val="single" w:sz="6" w:space="0" w:color="auto"/>
              <w:right w:val="single" w:sz="6" w:space="0" w:color="auto"/>
            </w:tcBorders>
            <w:shd w:val="clear" w:color="auto" w:fill="auto"/>
            <w:vAlign w:val="center"/>
          </w:tcPr>
          <w:p w14:paraId="19EAA198" w14:textId="77777777" w:rsidR="00876517" w:rsidRPr="00885F53" w:rsidRDefault="00876517" w:rsidP="00AD2F6B">
            <w:pPr>
              <w:keepNext/>
              <w:keepLines/>
              <w:spacing w:after="0"/>
              <w:jc w:val="center"/>
            </w:pPr>
          </w:p>
        </w:tc>
        <w:tc>
          <w:tcPr>
            <w:tcW w:w="1043" w:type="dxa"/>
            <w:vMerge/>
            <w:tcBorders>
              <w:top w:val="single" w:sz="6" w:space="0" w:color="auto"/>
              <w:left w:val="single" w:sz="6" w:space="0" w:color="auto"/>
              <w:bottom w:val="single" w:sz="6" w:space="0" w:color="auto"/>
              <w:right w:val="single" w:sz="6" w:space="0" w:color="auto"/>
            </w:tcBorders>
            <w:shd w:val="clear" w:color="auto" w:fill="auto"/>
            <w:vAlign w:val="center"/>
          </w:tcPr>
          <w:p w14:paraId="5945F60B" w14:textId="77777777" w:rsidR="00876517" w:rsidRPr="00885F53" w:rsidRDefault="00876517" w:rsidP="00AD2F6B">
            <w:pPr>
              <w:keepNext/>
              <w:keepLines/>
              <w:spacing w:after="0"/>
              <w:jc w:val="center"/>
            </w:pPr>
          </w:p>
        </w:tc>
        <w:tc>
          <w:tcPr>
            <w:tcW w:w="780" w:type="dxa"/>
            <w:vMerge/>
            <w:tcBorders>
              <w:top w:val="single" w:sz="6" w:space="0" w:color="auto"/>
              <w:left w:val="single" w:sz="6" w:space="0" w:color="auto"/>
              <w:bottom w:val="single" w:sz="6" w:space="0" w:color="auto"/>
              <w:right w:val="single" w:sz="6" w:space="0" w:color="auto"/>
            </w:tcBorders>
            <w:shd w:val="clear" w:color="auto" w:fill="auto"/>
          </w:tcPr>
          <w:p w14:paraId="6BFCFC2E" w14:textId="77777777" w:rsidR="00876517" w:rsidRPr="00885F53" w:rsidRDefault="00876517" w:rsidP="00AD2F6B">
            <w:pPr>
              <w:keepNext/>
              <w:keepLines/>
              <w:spacing w:after="0"/>
              <w:jc w:val="center"/>
            </w:pP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63635809" w14:textId="77777777" w:rsidR="00876517" w:rsidRPr="00885F53" w:rsidRDefault="00876517" w:rsidP="00AD2F6B">
            <w:pPr>
              <w:keepNext/>
              <w:keepLines/>
              <w:spacing w:after="0"/>
              <w:jc w:val="center"/>
            </w:pPr>
            <w:r w:rsidRPr="00885F53">
              <w:rPr>
                <w:rFonts w:ascii="Arial" w:hAnsi="Arial"/>
                <w:b/>
                <w:sz w:val="18"/>
              </w:rPr>
              <w:t xml:space="preserve">NR </w:t>
            </w:r>
            <w:r>
              <w:rPr>
                <w:rFonts w:ascii="Arial" w:hAnsi="Arial"/>
                <w:b/>
                <w:sz w:val="18"/>
              </w:rPr>
              <w:t xml:space="preserve">V2X </w:t>
            </w:r>
            <w:r w:rsidRPr="00885F53">
              <w:rPr>
                <w:rFonts w:ascii="Arial" w:hAnsi="Arial"/>
                <w:b/>
                <w:sz w:val="18"/>
              </w:rPr>
              <w:t>operating band groups</w:t>
            </w:r>
            <w:r w:rsidRPr="00885F53">
              <w:rPr>
                <w:rFonts w:ascii="Arial" w:hAnsi="Arial"/>
                <w:b/>
                <w:sz w:val="18"/>
                <w:vertAlign w:val="superscript"/>
              </w:rPr>
              <w:t xml:space="preserve"> Note 2</w:t>
            </w:r>
          </w:p>
        </w:tc>
        <w:tc>
          <w:tcPr>
            <w:tcW w:w="3921"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75353DB0" w14:textId="77777777" w:rsidR="00876517" w:rsidRPr="00885F53" w:rsidRDefault="00876517" w:rsidP="00AD2F6B">
            <w:pPr>
              <w:keepNext/>
              <w:keepLines/>
              <w:spacing w:after="0"/>
              <w:jc w:val="center"/>
            </w:pPr>
            <w:r w:rsidRPr="00885F53">
              <w:rPr>
                <w:rFonts w:ascii="Arial" w:hAnsi="Arial"/>
                <w:b/>
                <w:sz w:val="18"/>
              </w:rPr>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168C82C6" w14:textId="77777777" w:rsidR="00876517" w:rsidRPr="00885F53" w:rsidRDefault="00876517" w:rsidP="00AD2F6B">
            <w:pPr>
              <w:keepNext/>
              <w:keepLines/>
              <w:spacing w:after="0"/>
              <w:jc w:val="center"/>
            </w:pPr>
            <w:r w:rsidRPr="00885F53">
              <w:rPr>
                <w:rFonts w:ascii="Arial" w:hAnsi="Arial"/>
                <w:b/>
                <w:sz w:val="18"/>
              </w:rPr>
              <w:t>Maximum Io</w:t>
            </w:r>
          </w:p>
        </w:tc>
      </w:tr>
      <w:tr w:rsidR="00876517" w:rsidRPr="00885F53" w14:paraId="31C1E2B8" w14:textId="77777777" w:rsidTr="00AD2F6B">
        <w:trPr>
          <w:trHeight w:val="308"/>
          <w:jc w:val="center"/>
        </w:trPr>
        <w:tc>
          <w:tcPr>
            <w:tcW w:w="1031" w:type="dxa"/>
            <w:vMerge w:val="restart"/>
            <w:tcBorders>
              <w:top w:val="single" w:sz="6" w:space="0" w:color="auto"/>
              <w:left w:val="single" w:sz="4" w:space="0" w:color="auto"/>
              <w:right w:val="single" w:sz="6" w:space="0" w:color="auto"/>
            </w:tcBorders>
            <w:shd w:val="clear" w:color="auto" w:fill="auto"/>
            <w:vAlign w:val="center"/>
          </w:tcPr>
          <w:p w14:paraId="33EC652D" w14:textId="77777777" w:rsidR="00876517" w:rsidRPr="00885F53" w:rsidRDefault="00876517" w:rsidP="00AD2F6B">
            <w:pPr>
              <w:keepNext/>
              <w:keepLines/>
              <w:spacing w:after="0"/>
              <w:jc w:val="center"/>
            </w:pPr>
            <w:r w:rsidRPr="00885F53">
              <w:rPr>
                <w:rFonts w:ascii="Arial" w:hAnsi="Arial"/>
                <w:b/>
                <w:sz w:val="18"/>
              </w:rPr>
              <w:t>dB</w:t>
            </w:r>
          </w:p>
        </w:tc>
        <w:tc>
          <w:tcPr>
            <w:tcW w:w="1043" w:type="dxa"/>
            <w:vMerge w:val="restart"/>
            <w:tcBorders>
              <w:top w:val="single" w:sz="6" w:space="0" w:color="auto"/>
              <w:left w:val="single" w:sz="6" w:space="0" w:color="auto"/>
              <w:right w:val="single" w:sz="6" w:space="0" w:color="auto"/>
            </w:tcBorders>
            <w:shd w:val="clear" w:color="auto" w:fill="auto"/>
            <w:vAlign w:val="center"/>
          </w:tcPr>
          <w:p w14:paraId="0EF23BDA" w14:textId="77777777" w:rsidR="00876517" w:rsidRPr="00885F53" w:rsidRDefault="00876517" w:rsidP="00AD2F6B">
            <w:pPr>
              <w:keepNext/>
              <w:keepLines/>
              <w:spacing w:after="0"/>
              <w:jc w:val="center"/>
            </w:pPr>
            <w:r w:rsidRPr="00885F53">
              <w:rPr>
                <w:rFonts w:ascii="Arial" w:hAnsi="Arial"/>
                <w:b/>
                <w:sz w:val="18"/>
              </w:rPr>
              <w:t>dB</w:t>
            </w:r>
          </w:p>
        </w:tc>
        <w:tc>
          <w:tcPr>
            <w:tcW w:w="780" w:type="dxa"/>
            <w:vMerge w:val="restart"/>
            <w:tcBorders>
              <w:top w:val="single" w:sz="6" w:space="0" w:color="auto"/>
              <w:left w:val="single" w:sz="6" w:space="0" w:color="auto"/>
              <w:right w:val="single" w:sz="6" w:space="0" w:color="auto"/>
            </w:tcBorders>
            <w:shd w:val="clear" w:color="auto" w:fill="auto"/>
            <w:vAlign w:val="center"/>
          </w:tcPr>
          <w:p w14:paraId="7DEEDF20" w14:textId="77777777" w:rsidR="00876517" w:rsidRPr="00885F53" w:rsidRDefault="00876517" w:rsidP="00AD2F6B">
            <w:pPr>
              <w:keepNext/>
              <w:keepLines/>
              <w:spacing w:after="0"/>
              <w:jc w:val="center"/>
            </w:pPr>
            <w:r w:rsidRPr="00885F53">
              <w:rPr>
                <w:rFonts w:ascii="Arial" w:hAnsi="Arial"/>
                <w:b/>
                <w:sz w:val="18"/>
              </w:rPr>
              <w:t>dB</w:t>
            </w:r>
          </w:p>
        </w:tc>
        <w:tc>
          <w:tcPr>
            <w:tcW w:w="1957" w:type="dxa"/>
            <w:vMerge w:val="restart"/>
            <w:tcBorders>
              <w:top w:val="single" w:sz="6" w:space="0" w:color="auto"/>
              <w:left w:val="single" w:sz="6" w:space="0" w:color="auto"/>
              <w:right w:val="single" w:sz="4" w:space="0" w:color="auto"/>
            </w:tcBorders>
            <w:shd w:val="clear" w:color="auto" w:fill="auto"/>
            <w:vAlign w:val="center"/>
          </w:tcPr>
          <w:p w14:paraId="4FF2D306" w14:textId="77777777" w:rsidR="00876517" w:rsidRPr="00885F53" w:rsidRDefault="00876517" w:rsidP="00AD2F6B">
            <w:pPr>
              <w:keepNext/>
              <w:keepLines/>
              <w:spacing w:after="0"/>
              <w:jc w:val="center"/>
            </w:pPr>
          </w:p>
        </w:tc>
        <w:tc>
          <w:tcPr>
            <w:tcW w:w="2481"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31966585" w14:textId="77777777" w:rsidR="00876517" w:rsidRPr="00885F53" w:rsidRDefault="00876517" w:rsidP="00AD2F6B">
            <w:pPr>
              <w:keepNext/>
              <w:keepLines/>
              <w:spacing w:after="0"/>
              <w:jc w:val="center"/>
            </w:pPr>
            <w:r w:rsidRPr="00885F53">
              <w:rPr>
                <w:rFonts w:ascii="Arial" w:hAnsi="Arial" w:cs="Arial"/>
                <w:b/>
                <w:sz w:val="18"/>
              </w:rPr>
              <w:t xml:space="preserve">dBm / </w:t>
            </w:r>
            <w:r w:rsidRPr="00885F53">
              <w:rPr>
                <w:rFonts w:ascii="Arial" w:hAnsi="Arial"/>
                <w:b/>
                <w:sz w:val="18"/>
              </w:rPr>
              <w:t>SCS</w:t>
            </w:r>
            <w:r>
              <w:rPr>
                <w:rFonts w:ascii="Arial" w:hAnsi="Arial"/>
                <w:b/>
                <w:sz w:val="18"/>
                <w:vertAlign w:val="subscript"/>
              </w:rPr>
              <w:t>SL</w:t>
            </w:r>
          </w:p>
        </w:tc>
        <w:tc>
          <w:tcPr>
            <w:tcW w:w="1440" w:type="dxa"/>
            <w:vMerge w:val="restart"/>
            <w:tcBorders>
              <w:top w:val="single" w:sz="6" w:space="0" w:color="auto"/>
              <w:left w:val="single" w:sz="6" w:space="0" w:color="auto"/>
              <w:right w:val="single" w:sz="6" w:space="0" w:color="auto"/>
            </w:tcBorders>
            <w:shd w:val="clear" w:color="auto" w:fill="auto"/>
            <w:vAlign w:val="center"/>
          </w:tcPr>
          <w:p w14:paraId="71C17F12" w14:textId="77777777" w:rsidR="00876517" w:rsidRPr="00885F53" w:rsidRDefault="00876517" w:rsidP="00AD2F6B">
            <w:pPr>
              <w:keepNext/>
              <w:keepLines/>
              <w:spacing w:after="0"/>
              <w:jc w:val="center"/>
            </w:pPr>
            <w:r w:rsidRPr="00885F53">
              <w:rPr>
                <w:rFonts w:ascii="Arial" w:hAnsi="Arial"/>
                <w:b/>
                <w:sz w:val="18"/>
              </w:rPr>
              <w:t>dBm/BW</w:t>
            </w:r>
            <w:r w:rsidRPr="00885F53">
              <w:rPr>
                <w:rFonts w:ascii="Arial" w:hAnsi="Arial"/>
                <w:b/>
                <w:sz w:val="18"/>
                <w:vertAlign w:val="subscript"/>
              </w:rPr>
              <w:t>Channel</w:t>
            </w:r>
          </w:p>
        </w:tc>
        <w:tc>
          <w:tcPr>
            <w:tcW w:w="1440" w:type="dxa"/>
            <w:vMerge w:val="restart"/>
            <w:tcBorders>
              <w:top w:val="single" w:sz="6" w:space="0" w:color="auto"/>
              <w:left w:val="single" w:sz="6" w:space="0" w:color="auto"/>
              <w:right w:val="single" w:sz="4" w:space="0" w:color="auto"/>
            </w:tcBorders>
            <w:shd w:val="clear" w:color="auto" w:fill="auto"/>
            <w:vAlign w:val="center"/>
          </w:tcPr>
          <w:p w14:paraId="2734DAFD" w14:textId="77777777" w:rsidR="00876517" w:rsidRPr="00885F53" w:rsidRDefault="00876517" w:rsidP="00AD2F6B">
            <w:pPr>
              <w:keepNext/>
              <w:keepLines/>
              <w:spacing w:after="0"/>
              <w:jc w:val="center"/>
            </w:pPr>
            <w:r w:rsidRPr="00885F53">
              <w:rPr>
                <w:rFonts w:ascii="Arial" w:hAnsi="Arial"/>
                <w:b/>
                <w:sz w:val="18"/>
              </w:rPr>
              <w:t>dBm/BW</w:t>
            </w:r>
            <w:r w:rsidRPr="00885F53">
              <w:rPr>
                <w:rFonts w:ascii="Arial" w:hAnsi="Arial"/>
                <w:b/>
                <w:sz w:val="18"/>
                <w:vertAlign w:val="subscript"/>
              </w:rPr>
              <w:t>Channel</w:t>
            </w:r>
          </w:p>
        </w:tc>
      </w:tr>
      <w:tr w:rsidR="00876517" w:rsidRPr="00885F53" w14:paraId="719973B0" w14:textId="77777777" w:rsidTr="00AD2F6B">
        <w:trPr>
          <w:trHeight w:val="307"/>
          <w:jc w:val="center"/>
        </w:trPr>
        <w:tc>
          <w:tcPr>
            <w:tcW w:w="1031" w:type="dxa"/>
            <w:vMerge/>
            <w:tcBorders>
              <w:left w:val="single" w:sz="4" w:space="0" w:color="auto"/>
              <w:bottom w:val="single" w:sz="6" w:space="0" w:color="auto"/>
              <w:right w:val="single" w:sz="6" w:space="0" w:color="auto"/>
            </w:tcBorders>
            <w:shd w:val="clear" w:color="auto" w:fill="auto"/>
            <w:vAlign w:val="center"/>
          </w:tcPr>
          <w:p w14:paraId="76237945" w14:textId="77777777" w:rsidR="00876517" w:rsidRPr="00885F53" w:rsidRDefault="00876517" w:rsidP="00AD2F6B">
            <w:pPr>
              <w:keepNext/>
              <w:keepLines/>
              <w:spacing w:after="0"/>
              <w:jc w:val="center"/>
              <w:rPr>
                <w:rFonts w:ascii="Arial" w:hAnsi="Arial"/>
                <w:b/>
                <w:sz w:val="18"/>
              </w:rPr>
            </w:pPr>
          </w:p>
        </w:tc>
        <w:tc>
          <w:tcPr>
            <w:tcW w:w="1043" w:type="dxa"/>
            <w:vMerge/>
            <w:tcBorders>
              <w:left w:val="single" w:sz="6" w:space="0" w:color="auto"/>
              <w:bottom w:val="single" w:sz="6" w:space="0" w:color="auto"/>
              <w:right w:val="single" w:sz="6" w:space="0" w:color="auto"/>
            </w:tcBorders>
            <w:shd w:val="clear" w:color="auto" w:fill="auto"/>
            <w:vAlign w:val="center"/>
          </w:tcPr>
          <w:p w14:paraId="49F03065" w14:textId="77777777" w:rsidR="00876517" w:rsidRPr="00885F53" w:rsidRDefault="00876517" w:rsidP="00AD2F6B">
            <w:pPr>
              <w:keepNext/>
              <w:keepLines/>
              <w:spacing w:after="0"/>
              <w:jc w:val="center"/>
              <w:rPr>
                <w:rFonts w:ascii="Arial" w:hAnsi="Arial"/>
                <w:b/>
                <w:sz w:val="18"/>
              </w:rPr>
            </w:pPr>
          </w:p>
        </w:tc>
        <w:tc>
          <w:tcPr>
            <w:tcW w:w="780" w:type="dxa"/>
            <w:vMerge/>
            <w:tcBorders>
              <w:left w:val="single" w:sz="6" w:space="0" w:color="auto"/>
              <w:bottom w:val="single" w:sz="6" w:space="0" w:color="auto"/>
              <w:right w:val="single" w:sz="6" w:space="0" w:color="auto"/>
            </w:tcBorders>
            <w:shd w:val="clear" w:color="auto" w:fill="auto"/>
          </w:tcPr>
          <w:p w14:paraId="1E7D74ED" w14:textId="77777777" w:rsidR="00876517" w:rsidRPr="00885F53" w:rsidRDefault="00876517" w:rsidP="00AD2F6B">
            <w:pPr>
              <w:keepNext/>
              <w:keepLines/>
              <w:spacing w:after="0"/>
              <w:jc w:val="center"/>
              <w:rPr>
                <w:rFonts w:ascii="Arial" w:hAnsi="Arial"/>
                <w:b/>
                <w:sz w:val="18"/>
              </w:rPr>
            </w:pPr>
          </w:p>
        </w:tc>
        <w:tc>
          <w:tcPr>
            <w:tcW w:w="1957" w:type="dxa"/>
            <w:vMerge/>
            <w:tcBorders>
              <w:left w:val="single" w:sz="6" w:space="0" w:color="auto"/>
              <w:bottom w:val="single" w:sz="6" w:space="0" w:color="auto"/>
              <w:right w:val="single" w:sz="4" w:space="0" w:color="auto"/>
            </w:tcBorders>
            <w:shd w:val="clear" w:color="auto" w:fill="auto"/>
            <w:vAlign w:val="center"/>
          </w:tcPr>
          <w:p w14:paraId="4DFB6098" w14:textId="77777777" w:rsidR="00876517" w:rsidRPr="00885F53" w:rsidRDefault="00876517" w:rsidP="00AD2F6B">
            <w:pPr>
              <w:keepNext/>
              <w:keepLines/>
              <w:spacing w:after="0"/>
              <w:jc w:val="center"/>
              <w:rPr>
                <w:rFonts w:ascii="Arial" w:hAnsi="Arial"/>
                <w:b/>
                <w:sz w:val="18"/>
              </w:rPr>
            </w:pP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3FB57F69" w14:textId="77777777" w:rsidR="00876517" w:rsidRPr="00885F53" w:rsidRDefault="00876517" w:rsidP="00AD2F6B">
            <w:pPr>
              <w:keepNext/>
              <w:keepLines/>
              <w:spacing w:after="0"/>
              <w:jc w:val="center"/>
              <w:rPr>
                <w:rFonts w:ascii="Arial" w:hAnsi="Arial" w:cs="Arial"/>
                <w:b/>
                <w:sz w:val="18"/>
              </w:rPr>
            </w:pPr>
            <w:r w:rsidRPr="00885F53">
              <w:rPr>
                <w:rFonts w:ascii="Arial" w:hAnsi="Arial"/>
                <w:b/>
                <w:sz w:val="18"/>
              </w:rPr>
              <w:t>SCS</w:t>
            </w:r>
            <w:r>
              <w:rPr>
                <w:rFonts w:ascii="Arial" w:hAnsi="Arial"/>
                <w:b/>
                <w:sz w:val="18"/>
                <w:vertAlign w:val="subscript"/>
              </w:rPr>
              <w:t>SL</w:t>
            </w:r>
            <w:r w:rsidRPr="00885F53">
              <w:rPr>
                <w:rFonts w:ascii="Arial" w:hAnsi="Arial" w:cs="Arial"/>
                <w:b/>
                <w:sz w:val="18"/>
              </w:rPr>
              <w:t xml:space="preserve"> = 15 kHz</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30E5B0F8" w14:textId="77777777" w:rsidR="00876517" w:rsidRPr="00885F53" w:rsidRDefault="00876517" w:rsidP="00AD2F6B">
            <w:pPr>
              <w:keepNext/>
              <w:keepLines/>
              <w:spacing w:after="0"/>
              <w:jc w:val="center"/>
              <w:rPr>
                <w:rFonts w:ascii="Arial" w:hAnsi="Arial" w:cs="Arial"/>
                <w:b/>
                <w:sz w:val="18"/>
              </w:rPr>
            </w:pPr>
            <w:r w:rsidRPr="00885F53">
              <w:rPr>
                <w:rFonts w:ascii="Arial" w:hAnsi="Arial"/>
                <w:b/>
                <w:sz w:val="18"/>
              </w:rPr>
              <w:t>SCS</w:t>
            </w:r>
            <w:r>
              <w:rPr>
                <w:rFonts w:ascii="Arial" w:hAnsi="Arial"/>
                <w:b/>
                <w:sz w:val="18"/>
                <w:vertAlign w:val="subscript"/>
              </w:rPr>
              <w:t>SL</w:t>
            </w:r>
            <w:r w:rsidRPr="00885F53">
              <w:rPr>
                <w:rFonts w:ascii="Arial" w:hAnsi="Arial" w:cs="Arial"/>
                <w:b/>
                <w:sz w:val="18"/>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76C2DB0E" w14:textId="77777777" w:rsidR="00876517" w:rsidRPr="00885F53" w:rsidRDefault="00876517" w:rsidP="00AD2F6B">
            <w:pPr>
              <w:keepNext/>
              <w:keepLines/>
              <w:spacing w:after="0"/>
              <w:jc w:val="center"/>
              <w:rPr>
                <w:rFonts w:ascii="Arial" w:hAnsi="Arial" w:cs="Arial"/>
                <w:b/>
                <w:sz w:val="18"/>
              </w:rPr>
            </w:pPr>
            <w:r w:rsidRPr="00885F53">
              <w:rPr>
                <w:rFonts w:ascii="Arial" w:hAnsi="Arial"/>
                <w:b/>
                <w:sz w:val="18"/>
              </w:rPr>
              <w:t>SCS</w:t>
            </w:r>
            <w:r>
              <w:rPr>
                <w:rFonts w:ascii="Arial" w:hAnsi="Arial"/>
                <w:b/>
                <w:sz w:val="18"/>
                <w:vertAlign w:val="subscript"/>
              </w:rPr>
              <w:t>SL</w:t>
            </w:r>
            <w:r w:rsidRPr="00885F53">
              <w:rPr>
                <w:rFonts w:ascii="Arial" w:hAnsi="Arial" w:cs="Arial"/>
                <w:b/>
                <w:sz w:val="18"/>
              </w:rPr>
              <w:t xml:space="preserve"> = 60 kHz</w:t>
            </w:r>
          </w:p>
        </w:tc>
        <w:tc>
          <w:tcPr>
            <w:tcW w:w="1440" w:type="dxa"/>
            <w:vMerge/>
            <w:tcBorders>
              <w:left w:val="single" w:sz="6" w:space="0" w:color="auto"/>
              <w:bottom w:val="single" w:sz="6" w:space="0" w:color="auto"/>
              <w:right w:val="single" w:sz="6" w:space="0" w:color="auto"/>
            </w:tcBorders>
            <w:shd w:val="clear" w:color="auto" w:fill="auto"/>
            <w:vAlign w:val="center"/>
          </w:tcPr>
          <w:p w14:paraId="2C5A946F" w14:textId="77777777" w:rsidR="00876517" w:rsidRPr="00885F53" w:rsidRDefault="00876517" w:rsidP="00AD2F6B">
            <w:pPr>
              <w:keepNext/>
              <w:keepLines/>
              <w:spacing w:after="0"/>
              <w:jc w:val="center"/>
              <w:rPr>
                <w:rFonts w:ascii="Arial" w:hAnsi="Arial"/>
                <w:b/>
                <w:sz w:val="18"/>
              </w:rPr>
            </w:pPr>
          </w:p>
        </w:tc>
        <w:tc>
          <w:tcPr>
            <w:tcW w:w="1440" w:type="dxa"/>
            <w:vMerge/>
            <w:tcBorders>
              <w:left w:val="single" w:sz="6" w:space="0" w:color="auto"/>
              <w:bottom w:val="single" w:sz="6" w:space="0" w:color="auto"/>
              <w:right w:val="single" w:sz="4" w:space="0" w:color="auto"/>
            </w:tcBorders>
            <w:shd w:val="clear" w:color="auto" w:fill="auto"/>
            <w:vAlign w:val="center"/>
          </w:tcPr>
          <w:p w14:paraId="29FD32FA" w14:textId="77777777" w:rsidR="00876517" w:rsidRPr="00885F53" w:rsidRDefault="00876517" w:rsidP="00AD2F6B">
            <w:pPr>
              <w:keepNext/>
              <w:keepLines/>
              <w:spacing w:after="0"/>
              <w:jc w:val="center"/>
              <w:rPr>
                <w:rFonts w:ascii="Arial" w:hAnsi="Arial"/>
                <w:b/>
                <w:sz w:val="18"/>
              </w:rPr>
            </w:pPr>
          </w:p>
        </w:tc>
      </w:tr>
      <w:tr w:rsidR="00876517" w:rsidRPr="00885F53" w14:paraId="22157541" w14:textId="77777777" w:rsidTr="00AD2F6B">
        <w:trPr>
          <w:jc w:val="center"/>
        </w:trPr>
        <w:tc>
          <w:tcPr>
            <w:tcW w:w="1031" w:type="dxa"/>
            <w:vMerge w:val="restart"/>
            <w:tcBorders>
              <w:top w:val="single" w:sz="6" w:space="0" w:color="auto"/>
              <w:left w:val="single" w:sz="4" w:space="0" w:color="auto"/>
              <w:right w:val="single" w:sz="6" w:space="0" w:color="auto"/>
            </w:tcBorders>
            <w:shd w:val="clear" w:color="auto" w:fill="auto"/>
            <w:vAlign w:val="center"/>
          </w:tcPr>
          <w:p w14:paraId="26F82318" w14:textId="77777777" w:rsidR="00876517" w:rsidRPr="00885F53" w:rsidRDefault="00876517" w:rsidP="00AD2F6B">
            <w:pPr>
              <w:keepNext/>
              <w:keepLines/>
              <w:spacing w:after="0"/>
              <w:jc w:val="center"/>
            </w:pPr>
            <w:r w:rsidRPr="00885F53">
              <w:rPr>
                <w:rFonts w:ascii="Arial" w:hAnsi="Arial"/>
                <w:sz w:val="18"/>
              </w:rPr>
              <w:sym w:font="Symbol" w:char="F0B1"/>
            </w:r>
            <w:r>
              <w:rPr>
                <w:rFonts w:ascii="Arial" w:hAnsi="Arial"/>
                <w:sz w:val="18"/>
              </w:rPr>
              <w:t>4.5</w:t>
            </w:r>
          </w:p>
        </w:tc>
        <w:tc>
          <w:tcPr>
            <w:tcW w:w="1043" w:type="dxa"/>
            <w:vMerge w:val="restart"/>
            <w:tcBorders>
              <w:top w:val="single" w:sz="6" w:space="0" w:color="auto"/>
              <w:left w:val="single" w:sz="6" w:space="0" w:color="auto"/>
              <w:right w:val="single" w:sz="6" w:space="0" w:color="auto"/>
            </w:tcBorders>
            <w:shd w:val="clear" w:color="auto" w:fill="auto"/>
            <w:vAlign w:val="center"/>
          </w:tcPr>
          <w:p w14:paraId="186728D0" w14:textId="77777777" w:rsidR="00876517" w:rsidRPr="00885F53" w:rsidRDefault="00876517" w:rsidP="00AD2F6B">
            <w:pPr>
              <w:keepNext/>
              <w:keepLines/>
              <w:spacing w:after="0"/>
              <w:jc w:val="center"/>
            </w:pPr>
            <w:r w:rsidRPr="00885F53">
              <w:rPr>
                <w:rFonts w:ascii="Arial" w:hAnsi="Arial"/>
                <w:sz w:val="18"/>
              </w:rPr>
              <w:sym w:font="Symbol" w:char="F0B1"/>
            </w:r>
            <w:r>
              <w:rPr>
                <w:rFonts w:ascii="Arial" w:hAnsi="Arial" w:cs="Arial"/>
                <w:sz w:val="18"/>
              </w:rPr>
              <w:t>9</w:t>
            </w:r>
          </w:p>
        </w:tc>
        <w:tc>
          <w:tcPr>
            <w:tcW w:w="780" w:type="dxa"/>
            <w:vMerge w:val="restart"/>
            <w:tcBorders>
              <w:top w:val="single" w:sz="6" w:space="0" w:color="auto"/>
              <w:left w:val="single" w:sz="6" w:space="0" w:color="auto"/>
              <w:right w:val="single" w:sz="6" w:space="0" w:color="auto"/>
            </w:tcBorders>
            <w:shd w:val="clear" w:color="auto" w:fill="auto"/>
            <w:vAlign w:val="center"/>
          </w:tcPr>
          <w:p w14:paraId="489565EA" w14:textId="77777777" w:rsidR="00876517" w:rsidRPr="00885F53" w:rsidRDefault="00876517" w:rsidP="00AD2F6B">
            <w:pPr>
              <w:keepNext/>
              <w:keepLines/>
              <w:spacing w:after="0"/>
              <w:jc w:val="center"/>
            </w:pPr>
            <w:r>
              <w:rPr>
                <w:rFonts w:ascii="Arial" w:hAnsi="Arial"/>
                <w:sz w:val="18"/>
              </w:rPr>
              <w:sym w:font="Symbol" w:char="F0B3"/>
            </w:r>
            <w:r>
              <w:rPr>
                <w:rFonts w:ascii="Arial" w:hAnsi="Arial"/>
                <w:sz w:val="18"/>
              </w:rPr>
              <w:t>-</w:t>
            </w:r>
            <w:r>
              <w:rPr>
                <w:rFonts w:ascii="Arial" w:hAnsi="Arial" w:cs="Arial"/>
                <w:sz w:val="18"/>
              </w:rPr>
              <w:t>6</w:t>
            </w: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26739E3F" w14:textId="77777777" w:rsidR="00876517" w:rsidRPr="00885F53" w:rsidRDefault="00876517" w:rsidP="00AD2F6B">
            <w:pPr>
              <w:keepNext/>
              <w:keepLines/>
              <w:spacing w:after="0"/>
              <w:jc w:val="center"/>
              <w:rPr>
                <w:rFonts w:ascii="Arial" w:hAnsi="Arial"/>
                <w:sz w:val="18"/>
              </w:rPr>
            </w:pPr>
            <w:r w:rsidRPr="00885F53">
              <w:rPr>
                <w:rFonts w:ascii="Arial" w:hAnsi="Arial"/>
                <w:sz w:val="18"/>
              </w:rPr>
              <w:t>NR_TDD_FR1_</w:t>
            </w:r>
            <w:r>
              <w:rPr>
                <w:rFonts w:ascii="Arial" w:hAnsi="Arial"/>
                <w:sz w:val="18"/>
              </w:rPr>
              <w:t>B</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3C8AA15E" w14:textId="77777777" w:rsidR="00876517" w:rsidRPr="00885F53" w:rsidRDefault="00876517" w:rsidP="00AD2F6B">
            <w:pPr>
              <w:keepNext/>
              <w:keepLines/>
              <w:spacing w:after="0"/>
              <w:jc w:val="center"/>
            </w:pPr>
            <w:r w:rsidRPr="00885F53">
              <w:rPr>
                <w:rFonts w:ascii="Arial" w:hAnsi="Arial"/>
                <w:sz w:val="18"/>
              </w:rPr>
              <w:t>-12</w:t>
            </w:r>
            <w:r>
              <w:rPr>
                <w:rFonts w:ascii="Arial" w:hAnsi="Arial"/>
                <w:sz w:val="18"/>
              </w:rPr>
              <w:t>0.5</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2D5D5BC1" w14:textId="77777777" w:rsidR="00876517" w:rsidRPr="00885F53" w:rsidRDefault="00876517" w:rsidP="00AD2F6B">
            <w:pPr>
              <w:keepNext/>
              <w:keepLines/>
              <w:spacing w:after="0"/>
              <w:jc w:val="center"/>
            </w:pPr>
            <w:r w:rsidRPr="00885F53">
              <w:rPr>
                <w:rFonts w:ascii="Arial" w:hAnsi="Arial"/>
                <w:sz w:val="18"/>
              </w:rPr>
              <w:t>-11</w:t>
            </w:r>
            <w:r>
              <w:rPr>
                <w:rFonts w:ascii="Arial" w:hAnsi="Arial"/>
                <w:sz w:val="18"/>
              </w:rPr>
              <w:t>7.5</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7195D553" w14:textId="77777777" w:rsidR="00876517" w:rsidRPr="00885F53" w:rsidRDefault="00876517" w:rsidP="00AD2F6B">
            <w:pPr>
              <w:keepNext/>
              <w:keepLines/>
              <w:spacing w:after="0"/>
              <w:jc w:val="center"/>
            </w:pPr>
            <w:r w:rsidRPr="00885F53">
              <w:rPr>
                <w:rFonts w:ascii="Arial" w:hAnsi="Arial"/>
                <w:sz w:val="18"/>
              </w:rPr>
              <w:t>-11</w:t>
            </w:r>
            <w:r>
              <w:rPr>
                <w:rFonts w:ascii="Arial" w:hAnsi="Arial"/>
                <w:sz w:val="18"/>
              </w:rPr>
              <w:t>4.5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1C25C5AB" w14:textId="77777777" w:rsidR="00876517" w:rsidRPr="00885F53" w:rsidRDefault="00876517" w:rsidP="00AD2F6B">
            <w:pPr>
              <w:keepNext/>
              <w:keepLines/>
              <w:spacing w:after="0"/>
              <w:jc w:val="center"/>
            </w:pPr>
            <w:r w:rsidRPr="00885F53">
              <w:rPr>
                <w:rFonts w:ascii="Arial" w:hAnsi="Arial"/>
                <w:sz w:val="18"/>
              </w:rPr>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01CF5FA" w14:textId="77777777" w:rsidR="00876517" w:rsidRPr="00885F53" w:rsidRDefault="00876517" w:rsidP="00AD2F6B">
            <w:pPr>
              <w:keepNext/>
              <w:keepLines/>
              <w:spacing w:after="0"/>
              <w:jc w:val="center"/>
            </w:pPr>
            <w:r w:rsidRPr="00885F53">
              <w:rPr>
                <w:rFonts w:ascii="Arial" w:hAnsi="Arial"/>
                <w:sz w:val="18"/>
              </w:rPr>
              <w:t>-70</w:t>
            </w:r>
          </w:p>
        </w:tc>
      </w:tr>
      <w:tr w:rsidR="00876517" w:rsidRPr="00885F53" w14:paraId="633AF318" w14:textId="77777777" w:rsidTr="00AD2F6B">
        <w:trPr>
          <w:jc w:val="center"/>
        </w:trPr>
        <w:tc>
          <w:tcPr>
            <w:tcW w:w="1031" w:type="dxa"/>
            <w:vMerge/>
            <w:tcBorders>
              <w:left w:val="single" w:sz="4" w:space="0" w:color="auto"/>
              <w:right w:val="single" w:sz="6" w:space="0" w:color="auto"/>
            </w:tcBorders>
            <w:shd w:val="clear" w:color="auto" w:fill="auto"/>
            <w:vAlign w:val="center"/>
          </w:tcPr>
          <w:p w14:paraId="2C3FF4CA" w14:textId="77777777" w:rsidR="00876517" w:rsidRPr="00885F53" w:rsidRDefault="00876517" w:rsidP="00AD2F6B">
            <w:pPr>
              <w:keepNext/>
              <w:keepLines/>
              <w:spacing w:after="0"/>
              <w:jc w:val="center"/>
              <w:rPr>
                <w:rFonts w:ascii="Arial" w:hAnsi="Arial"/>
                <w:sz w:val="18"/>
              </w:rPr>
            </w:pPr>
          </w:p>
        </w:tc>
        <w:tc>
          <w:tcPr>
            <w:tcW w:w="1043" w:type="dxa"/>
            <w:vMerge/>
            <w:tcBorders>
              <w:left w:val="single" w:sz="6" w:space="0" w:color="auto"/>
              <w:right w:val="single" w:sz="6" w:space="0" w:color="auto"/>
            </w:tcBorders>
            <w:shd w:val="clear" w:color="auto" w:fill="auto"/>
            <w:vAlign w:val="center"/>
          </w:tcPr>
          <w:p w14:paraId="2C9EA960" w14:textId="77777777" w:rsidR="00876517" w:rsidRPr="00885F53" w:rsidRDefault="00876517" w:rsidP="00AD2F6B">
            <w:pPr>
              <w:keepNext/>
              <w:keepLines/>
              <w:spacing w:after="0"/>
              <w:jc w:val="center"/>
              <w:rPr>
                <w:rFonts w:ascii="Arial" w:hAnsi="Arial"/>
                <w:sz w:val="18"/>
              </w:rPr>
            </w:pPr>
          </w:p>
        </w:tc>
        <w:tc>
          <w:tcPr>
            <w:tcW w:w="780" w:type="dxa"/>
            <w:vMerge/>
            <w:tcBorders>
              <w:left w:val="single" w:sz="6" w:space="0" w:color="auto"/>
              <w:right w:val="single" w:sz="6" w:space="0" w:color="auto"/>
            </w:tcBorders>
            <w:shd w:val="clear" w:color="auto" w:fill="auto"/>
            <w:vAlign w:val="center"/>
          </w:tcPr>
          <w:p w14:paraId="5DD47FFF" w14:textId="77777777" w:rsidR="00876517" w:rsidRPr="00885F53" w:rsidRDefault="00876517" w:rsidP="00AD2F6B">
            <w:pPr>
              <w:keepNext/>
              <w:keepLines/>
              <w:spacing w:after="0"/>
              <w:jc w:val="center"/>
              <w:rPr>
                <w:rFonts w:ascii="Arial" w:hAnsi="Arial"/>
                <w:sz w:val="18"/>
              </w:rPr>
            </w:pP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3C3F3559" w14:textId="77777777" w:rsidR="00876517" w:rsidRPr="007F57C1" w:rsidDel="00836998" w:rsidRDefault="00876517" w:rsidP="00AD2F6B">
            <w:pPr>
              <w:keepNext/>
              <w:keepLines/>
              <w:spacing w:after="0"/>
              <w:jc w:val="center"/>
              <w:rPr>
                <w:rFonts w:ascii="Arial" w:hAnsi="Arial"/>
                <w:sz w:val="18"/>
                <w:highlight w:val="yellow"/>
                <w:lang w:eastAsia="zh-CN"/>
              </w:rPr>
            </w:pPr>
            <w:r w:rsidRPr="00CD31AF">
              <w:rPr>
                <w:rFonts w:ascii="Arial" w:hAnsi="Arial"/>
                <w:sz w:val="18"/>
                <w:lang w:eastAsia="zh-CN"/>
              </w:rPr>
              <w:t>NR</w:t>
            </w:r>
            <w:r w:rsidRPr="00CD31AF">
              <w:rPr>
                <w:rFonts w:ascii="Arial" w:hAnsi="Arial"/>
                <w:sz w:val="18"/>
              </w:rPr>
              <w:t>_</w:t>
            </w:r>
            <w:r w:rsidRPr="00CD31AF">
              <w:rPr>
                <w:rFonts w:ascii="Arial" w:hAnsi="Arial"/>
                <w:sz w:val="18"/>
                <w:lang w:eastAsia="zh-CN"/>
              </w:rPr>
              <w:t>TDD_FR1_</w:t>
            </w:r>
            <w:r>
              <w:rPr>
                <w:rFonts w:ascii="Arial" w:hAnsi="Arial"/>
                <w:sz w:val="18"/>
                <w:lang w:eastAsia="zh-CN"/>
              </w:rPr>
              <w:t>J</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5FEE7DC2" w14:textId="77777777" w:rsidR="00876517" w:rsidRPr="007F57C1" w:rsidRDefault="00876517" w:rsidP="00AD2F6B">
            <w:pPr>
              <w:keepNext/>
              <w:keepLines/>
              <w:spacing w:after="0"/>
              <w:jc w:val="center"/>
              <w:rPr>
                <w:rFonts w:ascii="Arial" w:hAnsi="Arial"/>
                <w:sz w:val="18"/>
                <w:highlight w:val="yellow"/>
              </w:rPr>
            </w:pPr>
            <w:r>
              <w:rPr>
                <w:rFonts w:ascii="Arial" w:hAnsi="Arial"/>
                <w:sz w:val="18"/>
              </w:rPr>
              <w:t>-116.5</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5B5B60EE" w14:textId="77777777" w:rsidR="00876517" w:rsidRPr="007F57C1" w:rsidRDefault="00876517" w:rsidP="00AD2F6B">
            <w:pPr>
              <w:keepNext/>
              <w:keepLines/>
              <w:spacing w:after="0"/>
              <w:jc w:val="center"/>
              <w:rPr>
                <w:rFonts w:ascii="Arial" w:hAnsi="Arial" w:cs="Arial"/>
                <w:sz w:val="18"/>
                <w:highlight w:val="yellow"/>
                <w:lang w:val="sv-SE"/>
              </w:rPr>
            </w:pPr>
            <w:r>
              <w:rPr>
                <w:rFonts w:ascii="Arial" w:hAnsi="Arial" w:cs="Arial"/>
                <w:sz w:val="18"/>
              </w:rPr>
              <w:t>-113.5</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5BA2620D" w14:textId="77777777" w:rsidR="00876517" w:rsidRPr="007F57C1" w:rsidRDefault="00876517" w:rsidP="00AD2F6B">
            <w:pPr>
              <w:keepNext/>
              <w:keepLines/>
              <w:spacing w:after="0"/>
              <w:jc w:val="center"/>
              <w:rPr>
                <w:rFonts w:ascii="Arial" w:hAnsi="Arial" w:cs="Arial"/>
                <w:sz w:val="18"/>
                <w:highlight w:val="yellow"/>
                <w:lang w:val="sv-SE"/>
              </w:rPr>
            </w:pPr>
            <w:r>
              <w:rPr>
                <w:rFonts w:ascii="Arial" w:hAnsi="Arial" w:cs="Arial"/>
                <w:sz w:val="18"/>
              </w:rPr>
              <w:t>-110.5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7F987385" w14:textId="77777777" w:rsidR="00876517" w:rsidRPr="00885F53" w:rsidRDefault="00876517" w:rsidP="00AD2F6B">
            <w:pPr>
              <w:keepNext/>
              <w:keepLines/>
              <w:spacing w:after="0"/>
              <w:jc w:val="center"/>
              <w:rPr>
                <w:rFonts w:ascii="Arial" w:hAnsi="Arial"/>
                <w:sz w:val="18"/>
              </w:rPr>
            </w:pPr>
            <w:r w:rsidRPr="00885F53">
              <w:rPr>
                <w:rFonts w:ascii="Arial" w:hAnsi="Arial"/>
                <w:sz w:val="18"/>
              </w:rPr>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1694BD9D" w14:textId="77777777" w:rsidR="00876517" w:rsidRPr="00885F53" w:rsidRDefault="00876517" w:rsidP="00AD2F6B">
            <w:pPr>
              <w:keepNext/>
              <w:keepLines/>
              <w:spacing w:after="0"/>
              <w:jc w:val="center"/>
              <w:rPr>
                <w:rFonts w:ascii="Arial" w:hAnsi="Arial"/>
                <w:sz w:val="18"/>
              </w:rPr>
            </w:pPr>
            <w:r w:rsidRPr="00885F53">
              <w:rPr>
                <w:rFonts w:ascii="Arial" w:hAnsi="Arial"/>
                <w:sz w:val="18"/>
              </w:rPr>
              <w:t>-70</w:t>
            </w:r>
          </w:p>
        </w:tc>
      </w:tr>
      <w:tr w:rsidR="00876517" w:rsidRPr="00885F53" w14:paraId="5EC45046" w14:textId="77777777" w:rsidTr="00AD2F6B">
        <w:trPr>
          <w:jc w:val="center"/>
        </w:trPr>
        <w:tc>
          <w:tcPr>
            <w:tcW w:w="1031" w:type="dxa"/>
            <w:tcBorders>
              <w:top w:val="single" w:sz="6" w:space="0" w:color="auto"/>
              <w:left w:val="single" w:sz="4" w:space="0" w:color="auto"/>
              <w:bottom w:val="single" w:sz="6" w:space="0" w:color="auto"/>
              <w:right w:val="single" w:sz="6" w:space="0" w:color="auto"/>
            </w:tcBorders>
            <w:shd w:val="clear" w:color="auto" w:fill="auto"/>
            <w:vAlign w:val="center"/>
          </w:tcPr>
          <w:p w14:paraId="678CCF5C" w14:textId="77777777" w:rsidR="00876517" w:rsidRPr="00885F53" w:rsidRDefault="00876517" w:rsidP="00AD2F6B">
            <w:pPr>
              <w:keepNext/>
              <w:keepLines/>
              <w:spacing w:after="0"/>
              <w:jc w:val="center"/>
            </w:pPr>
            <w:r w:rsidRPr="00885F53">
              <w:rPr>
                <w:rFonts w:ascii="Arial" w:hAnsi="Arial"/>
                <w:sz w:val="18"/>
              </w:rPr>
              <w:sym w:font="Symbol" w:char="F0B1"/>
            </w:r>
            <w:r>
              <w:rPr>
                <w:rFonts w:ascii="Arial" w:hAnsi="Arial" w:cs="Arial"/>
                <w:sz w:val="18"/>
              </w:rPr>
              <w:t>8</w:t>
            </w:r>
          </w:p>
        </w:tc>
        <w:tc>
          <w:tcPr>
            <w:tcW w:w="1043" w:type="dxa"/>
            <w:tcBorders>
              <w:top w:val="single" w:sz="6" w:space="0" w:color="auto"/>
              <w:left w:val="single" w:sz="6" w:space="0" w:color="auto"/>
              <w:bottom w:val="single" w:sz="6" w:space="0" w:color="auto"/>
              <w:right w:val="single" w:sz="6" w:space="0" w:color="auto"/>
            </w:tcBorders>
            <w:shd w:val="clear" w:color="auto" w:fill="auto"/>
            <w:vAlign w:val="center"/>
          </w:tcPr>
          <w:p w14:paraId="1FFBEEFD" w14:textId="77777777" w:rsidR="00876517" w:rsidRPr="00885F53" w:rsidRDefault="00876517" w:rsidP="00AD2F6B">
            <w:pPr>
              <w:keepNext/>
              <w:keepLines/>
              <w:spacing w:after="0"/>
              <w:jc w:val="center"/>
            </w:pPr>
            <w:r w:rsidRPr="00885F53">
              <w:rPr>
                <w:rFonts w:ascii="Arial" w:hAnsi="Arial"/>
                <w:sz w:val="18"/>
              </w:rPr>
              <w:sym w:font="Symbol" w:char="F0B1"/>
            </w:r>
            <w:r>
              <w:rPr>
                <w:rFonts w:ascii="Arial" w:hAnsi="Arial" w:cs="Arial"/>
                <w:sz w:val="18"/>
              </w:rPr>
              <w:t>11</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tcPr>
          <w:p w14:paraId="1F0C2F56" w14:textId="77777777" w:rsidR="00876517" w:rsidRPr="00885F53" w:rsidRDefault="00876517" w:rsidP="00AD2F6B">
            <w:pPr>
              <w:keepNext/>
              <w:keepLines/>
              <w:spacing w:after="0"/>
              <w:jc w:val="center"/>
            </w:pPr>
            <w:r>
              <w:rPr>
                <w:rFonts w:ascii="Arial" w:hAnsi="Arial"/>
                <w:sz w:val="18"/>
              </w:rPr>
              <w:sym w:font="Symbol" w:char="F0B3"/>
            </w:r>
            <w:r>
              <w:rPr>
                <w:rFonts w:ascii="Arial" w:hAnsi="Arial"/>
                <w:sz w:val="18"/>
              </w:rPr>
              <w:t>-</w:t>
            </w:r>
            <w:r>
              <w:rPr>
                <w:rFonts w:ascii="Arial" w:hAnsi="Arial" w:cs="Arial"/>
                <w:sz w:val="18"/>
              </w:rPr>
              <w:t>6</w:t>
            </w: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3180BE66" w14:textId="77777777" w:rsidR="00876517" w:rsidRPr="00AC6B15" w:rsidRDefault="00876517" w:rsidP="00AD2F6B">
            <w:pPr>
              <w:keepNext/>
              <w:keepLines/>
              <w:spacing w:after="0"/>
              <w:jc w:val="center"/>
              <w:rPr>
                <w:rFonts w:ascii="Arial" w:hAnsi="Arial"/>
                <w:sz w:val="18"/>
              </w:rPr>
            </w:pPr>
            <w:r w:rsidRPr="00AC6B15">
              <w:rPr>
                <w:rFonts w:ascii="Arial" w:hAnsi="Arial"/>
                <w:sz w:val="18"/>
              </w:rPr>
              <w:t>NR_TDD_FR1_</w:t>
            </w:r>
            <w:r>
              <w:rPr>
                <w:rFonts w:ascii="Arial" w:hAnsi="Arial"/>
                <w:sz w:val="18"/>
              </w:rPr>
              <w:t>B</w:t>
            </w:r>
            <w:r w:rsidRPr="00AC6B15">
              <w:rPr>
                <w:rFonts w:ascii="Arial" w:hAnsi="Arial"/>
                <w:sz w:val="18"/>
              </w:rPr>
              <w:t xml:space="preserve">, </w:t>
            </w:r>
          </w:p>
          <w:p w14:paraId="331525D3" w14:textId="77777777" w:rsidR="00876517" w:rsidRPr="007F57C1" w:rsidRDefault="00876517" w:rsidP="00AD2F6B">
            <w:pPr>
              <w:keepNext/>
              <w:keepLines/>
              <w:spacing w:after="0"/>
              <w:jc w:val="center"/>
              <w:rPr>
                <w:highlight w:val="yellow"/>
                <w:lang w:val="sv-FI"/>
              </w:rPr>
            </w:pPr>
            <w:r w:rsidRPr="00AC6B15">
              <w:rPr>
                <w:rFonts w:ascii="Arial" w:hAnsi="Arial"/>
                <w:sz w:val="18"/>
                <w:lang w:val="sv-FI"/>
              </w:rPr>
              <w:t>NR_TDD_FR1_</w:t>
            </w:r>
            <w:r>
              <w:rPr>
                <w:rFonts w:ascii="Arial" w:hAnsi="Arial"/>
                <w:sz w:val="18"/>
                <w:lang w:val="sv-FI" w:eastAsia="zh-CN"/>
              </w:rPr>
              <w:t>J</w:t>
            </w:r>
          </w:p>
        </w:tc>
        <w:tc>
          <w:tcPr>
            <w:tcW w:w="827" w:type="dxa"/>
            <w:tcBorders>
              <w:top w:val="single" w:sz="6" w:space="0" w:color="auto"/>
              <w:left w:val="single" w:sz="4" w:space="0" w:color="auto"/>
              <w:bottom w:val="single" w:sz="4" w:space="0" w:color="auto"/>
              <w:right w:val="single" w:sz="6" w:space="0" w:color="auto"/>
            </w:tcBorders>
            <w:shd w:val="clear" w:color="auto" w:fill="auto"/>
            <w:vAlign w:val="center"/>
          </w:tcPr>
          <w:p w14:paraId="4D58D02A" w14:textId="77777777" w:rsidR="00876517" w:rsidRPr="00885F53" w:rsidRDefault="00876517" w:rsidP="00AD2F6B">
            <w:pPr>
              <w:keepNext/>
              <w:keepLines/>
              <w:spacing w:after="0"/>
              <w:jc w:val="center"/>
            </w:pPr>
            <w:r w:rsidRPr="00885F53">
              <w:rPr>
                <w:rFonts w:ascii="Arial" w:hAnsi="Arial"/>
                <w:sz w:val="18"/>
              </w:rPr>
              <w:t>N/A</w:t>
            </w:r>
          </w:p>
        </w:tc>
        <w:tc>
          <w:tcPr>
            <w:tcW w:w="827" w:type="dxa"/>
            <w:tcBorders>
              <w:top w:val="single" w:sz="6" w:space="0" w:color="auto"/>
              <w:left w:val="single" w:sz="4" w:space="0" w:color="auto"/>
              <w:bottom w:val="single" w:sz="4" w:space="0" w:color="auto"/>
              <w:right w:val="single" w:sz="6" w:space="0" w:color="auto"/>
            </w:tcBorders>
            <w:shd w:val="clear" w:color="auto" w:fill="auto"/>
            <w:vAlign w:val="center"/>
          </w:tcPr>
          <w:p w14:paraId="6336C428" w14:textId="77777777" w:rsidR="00876517" w:rsidRPr="00885F53" w:rsidRDefault="00876517" w:rsidP="00AD2F6B">
            <w:pPr>
              <w:keepNext/>
              <w:keepLines/>
              <w:spacing w:after="0"/>
              <w:jc w:val="center"/>
              <w:rPr>
                <w:rFonts w:ascii="Arial" w:hAnsi="Arial"/>
                <w:sz w:val="18"/>
                <w:lang w:eastAsia="zh-CN"/>
              </w:rPr>
            </w:pPr>
            <w:r w:rsidRPr="00885F53">
              <w:rPr>
                <w:rFonts w:ascii="Arial" w:hAnsi="Arial"/>
                <w:sz w:val="18"/>
                <w:lang w:eastAsia="zh-CN"/>
              </w:rPr>
              <w:t>N/A</w:t>
            </w:r>
          </w:p>
        </w:tc>
        <w:tc>
          <w:tcPr>
            <w:tcW w:w="827" w:type="dxa"/>
            <w:tcBorders>
              <w:top w:val="single" w:sz="6" w:space="0" w:color="auto"/>
              <w:left w:val="single" w:sz="4" w:space="0" w:color="auto"/>
              <w:bottom w:val="single" w:sz="4" w:space="0" w:color="auto"/>
              <w:right w:val="single" w:sz="6" w:space="0" w:color="auto"/>
            </w:tcBorders>
            <w:shd w:val="clear" w:color="auto" w:fill="auto"/>
            <w:vAlign w:val="center"/>
          </w:tcPr>
          <w:p w14:paraId="471017C2" w14:textId="77777777" w:rsidR="00876517" w:rsidRPr="00885F53" w:rsidRDefault="00876517" w:rsidP="00AD2F6B">
            <w:pPr>
              <w:keepNext/>
              <w:keepLines/>
              <w:spacing w:after="0"/>
              <w:jc w:val="center"/>
              <w:rPr>
                <w:rFonts w:ascii="Arial" w:hAnsi="Arial"/>
                <w:sz w:val="18"/>
                <w:lang w:eastAsia="zh-CN"/>
              </w:rPr>
            </w:pPr>
            <w:r w:rsidRPr="00885F53">
              <w:rPr>
                <w:rFonts w:ascii="Arial" w:hAnsi="Arial"/>
                <w:sz w:val="18"/>
                <w:lang w:eastAsia="zh-CN"/>
              </w:rPr>
              <w:t>N/A</w:t>
            </w:r>
          </w:p>
        </w:tc>
        <w:tc>
          <w:tcPr>
            <w:tcW w:w="1440" w:type="dxa"/>
            <w:tcBorders>
              <w:top w:val="single" w:sz="6" w:space="0" w:color="auto"/>
              <w:left w:val="single" w:sz="6" w:space="0" w:color="auto"/>
              <w:bottom w:val="single" w:sz="4" w:space="0" w:color="auto"/>
              <w:right w:val="single" w:sz="6" w:space="0" w:color="auto"/>
            </w:tcBorders>
            <w:shd w:val="clear" w:color="auto" w:fill="auto"/>
            <w:vAlign w:val="center"/>
          </w:tcPr>
          <w:p w14:paraId="4F6C5687" w14:textId="77777777" w:rsidR="00876517" w:rsidRPr="00885F53" w:rsidRDefault="00876517" w:rsidP="00AD2F6B">
            <w:pPr>
              <w:keepNext/>
              <w:keepLines/>
              <w:spacing w:after="0"/>
              <w:jc w:val="center"/>
            </w:pPr>
            <w:r w:rsidRPr="00885F53">
              <w:rPr>
                <w:rFonts w:ascii="Arial" w:hAnsi="Arial"/>
                <w:sz w:val="18"/>
              </w:rPr>
              <w:t>-70</w:t>
            </w:r>
          </w:p>
        </w:tc>
        <w:tc>
          <w:tcPr>
            <w:tcW w:w="1440" w:type="dxa"/>
            <w:tcBorders>
              <w:top w:val="single" w:sz="6" w:space="0" w:color="auto"/>
              <w:left w:val="single" w:sz="6" w:space="0" w:color="auto"/>
              <w:bottom w:val="single" w:sz="4" w:space="0" w:color="auto"/>
              <w:right w:val="single" w:sz="4" w:space="0" w:color="auto"/>
            </w:tcBorders>
            <w:shd w:val="clear" w:color="auto" w:fill="auto"/>
            <w:vAlign w:val="center"/>
          </w:tcPr>
          <w:p w14:paraId="0A4045D9" w14:textId="77777777" w:rsidR="00876517" w:rsidRPr="00885F53" w:rsidRDefault="00876517" w:rsidP="00AD2F6B">
            <w:pPr>
              <w:keepNext/>
              <w:keepLines/>
              <w:spacing w:after="0"/>
              <w:jc w:val="center"/>
            </w:pPr>
            <w:r w:rsidRPr="00885F53">
              <w:rPr>
                <w:rFonts w:ascii="Arial" w:hAnsi="Arial"/>
                <w:sz w:val="18"/>
              </w:rPr>
              <w:t>-50</w:t>
            </w:r>
          </w:p>
        </w:tc>
      </w:tr>
      <w:tr w:rsidR="00876517" w:rsidRPr="00885F53" w14:paraId="19E12E97" w14:textId="77777777" w:rsidTr="00AD2F6B">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2C488158" w14:textId="77777777" w:rsidR="00876517" w:rsidRPr="00885F53" w:rsidRDefault="00876517" w:rsidP="00AD2F6B">
            <w:pPr>
              <w:keepNext/>
              <w:keepLines/>
              <w:spacing w:after="0"/>
              <w:ind w:left="851" w:hanging="851"/>
              <w:rPr>
                <w:rFonts w:ascii="Arial" w:hAnsi="Arial"/>
                <w:sz w:val="18"/>
              </w:rPr>
            </w:pPr>
            <w:r w:rsidRPr="00885F53">
              <w:rPr>
                <w:rFonts w:ascii="Arial" w:hAnsi="Arial"/>
                <w:sz w:val="18"/>
              </w:rPr>
              <w:t>NOTE 1:</w:t>
            </w:r>
            <w:r w:rsidRPr="00885F53">
              <w:rPr>
                <w:rFonts w:ascii="Arial" w:hAnsi="Arial"/>
                <w:sz w:val="18"/>
              </w:rPr>
              <w:tab/>
              <w:t>Io is assumed to have constant EPRE across the bandwidth.</w:t>
            </w:r>
          </w:p>
          <w:p w14:paraId="7496E6BB" w14:textId="77777777" w:rsidR="00876517" w:rsidRDefault="00876517" w:rsidP="00AD2F6B">
            <w:pPr>
              <w:keepNext/>
              <w:keepLines/>
              <w:spacing w:after="0"/>
              <w:ind w:left="851" w:hanging="851"/>
              <w:rPr>
                <w:rFonts w:ascii="Arial" w:hAnsi="Arial"/>
                <w:sz w:val="18"/>
              </w:rPr>
            </w:pPr>
            <w:r w:rsidRPr="00885F53">
              <w:rPr>
                <w:rFonts w:ascii="Arial" w:hAnsi="Arial"/>
                <w:sz w:val="18"/>
              </w:rPr>
              <w:t>NOTE 2:</w:t>
            </w:r>
            <w:r w:rsidRPr="00885F53">
              <w:rPr>
                <w:rFonts w:ascii="Arial" w:hAnsi="Arial"/>
                <w:sz w:val="18"/>
              </w:rPr>
              <w:tab/>
              <w:t xml:space="preserve">NR </w:t>
            </w:r>
            <w:r>
              <w:rPr>
                <w:rFonts w:ascii="Arial" w:hAnsi="Arial"/>
                <w:sz w:val="18"/>
              </w:rPr>
              <w:t xml:space="preserve">V2X </w:t>
            </w:r>
            <w:r w:rsidRPr="00885F53">
              <w:rPr>
                <w:rFonts w:ascii="Arial" w:hAnsi="Arial"/>
                <w:sz w:val="18"/>
              </w:rPr>
              <w:t>operating band groups in FR1 are as defined in clause 3.5.2.</w:t>
            </w:r>
          </w:p>
          <w:p w14:paraId="5C1E8500" w14:textId="77777777" w:rsidR="00876517" w:rsidRPr="00885F53" w:rsidRDefault="00876517" w:rsidP="00AD2F6B">
            <w:pPr>
              <w:keepNext/>
              <w:keepLines/>
              <w:spacing w:after="0"/>
              <w:ind w:left="851" w:hanging="851"/>
            </w:pPr>
            <w:r w:rsidRPr="00885F53">
              <w:rPr>
                <w:rFonts w:ascii="Arial" w:hAnsi="Arial"/>
                <w:sz w:val="18"/>
              </w:rPr>
              <w:t xml:space="preserve">NOTE </w:t>
            </w:r>
            <w:r>
              <w:rPr>
                <w:rFonts w:ascii="Arial" w:hAnsi="Arial"/>
                <w:sz w:val="18"/>
              </w:rPr>
              <w:t>3</w:t>
            </w:r>
            <w:r w:rsidRPr="00885F53">
              <w:rPr>
                <w:rFonts w:ascii="Arial" w:hAnsi="Arial"/>
                <w:sz w:val="18"/>
              </w:rPr>
              <w:t>:</w:t>
            </w:r>
            <w:r w:rsidRPr="00885F53">
              <w:rPr>
                <w:rFonts w:ascii="Arial" w:hAnsi="Arial"/>
                <w:sz w:val="18"/>
              </w:rPr>
              <w:tab/>
            </w:r>
            <w:r w:rsidRPr="00C71EF4">
              <w:rPr>
                <w:rFonts w:ascii="Arial" w:hAnsi="Arial"/>
                <w:sz w:val="18"/>
              </w:rPr>
              <w:t xml:space="preserve">Ês/Iot for a SyncRef UE is the Ês/Iot of </w:t>
            </w:r>
            <w:r>
              <w:rPr>
                <w:rFonts w:ascii="Arial" w:hAnsi="Arial"/>
                <w:sz w:val="18"/>
              </w:rPr>
              <w:t>PSBCH-DMRS.</w:t>
            </w:r>
          </w:p>
        </w:tc>
      </w:tr>
    </w:tbl>
    <w:p w14:paraId="6EC5054F" w14:textId="77777777" w:rsidR="00876517" w:rsidRPr="00D2237F" w:rsidRDefault="00876517" w:rsidP="00876517"/>
    <w:p w14:paraId="17699938" w14:textId="77777777" w:rsidR="00876517" w:rsidRPr="00CD31AF" w:rsidRDefault="00876517" w:rsidP="00876517">
      <w:pPr>
        <w:pStyle w:val="Heading4"/>
        <w:rPr>
          <w:lang w:val="en-US"/>
        </w:rPr>
      </w:pPr>
      <w:r w:rsidRPr="00CD31AF">
        <w:rPr>
          <w:lang w:val="en-US"/>
        </w:rPr>
        <w:t>10.4.2.2</w:t>
      </w:r>
      <w:r w:rsidRPr="00CD31AF">
        <w:rPr>
          <w:lang w:val="en-US"/>
        </w:rPr>
        <w:tab/>
      </w:r>
      <w:r w:rsidRPr="00CD31AF">
        <w:t>P</w:t>
      </w:r>
      <w:r w:rsidRPr="00CD31AF">
        <w:rPr>
          <w:lang w:val="en-US"/>
        </w:rPr>
        <w:t>SBCH-RSRP</w:t>
      </w:r>
      <w:r w:rsidRPr="00CD31AF">
        <w:t xml:space="preserve"> Relative Accuracy</w:t>
      </w:r>
    </w:p>
    <w:p w14:paraId="4927B403" w14:textId="77777777" w:rsidR="00876517" w:rsidRPr="0089796C" w:rsidRDefault="00876517" w:rsidP="00876517">
      <w:pPr>
        <w:rPr>
          <w:i/>
        </w:rPr>
      </w:pPr>
      <w:r w:rsidRPr="0089796C">
        <w:t xml:space="preserve">The relative accuracy of </w:t>
      </w:r>
      <w:r>
        <w:t>P</w:t>
      </w:r>
      <w:r w:rsidRPr="0089796C">
        <w:t>S</w:t>
      </w:r>
      <w:r>
        <w:t>BCH</w:t>
      </w:r>
      <w:r w:rsidRPr="0089796C">
        <w:t xml:space="preserve">-RSRP is defined as the </w:t>
      </w:r>
      <w:r>
        <w:t>P</w:t>
      </w:r>
      <w:r w:rsidRPr="0089796C">
        <w:t>S</w:t>
      </w:r>
      <w:r>
        <w:t>BCH</w:t>
      </w:r>
      <w:r w:rsidRPr="0089796C">
        <w:t xml:space="preserve">-RSRP measured from one </w:t>
      </w:r>
      <w:r w:rsidRPr="0089796C">
        <w:rPr>
          <w:rFonts w:hint="eastAsia"/>
        </w:rPr>
        <w:t>V2X</w:t>
      </w:r>
      <w:r w:rsidRPr="0089796C">
        <w:t xml:space="preserve"> synchronization source compared to the </w:t>
      </w:r>
      <w:r>
        <w:t>P</w:t>
      </w:r>
      <w:r w:rsidRPr="0089796C">
        <w:t>S</w:t>
      </w:r>
      <w:r>
        <w:t>BCH</w:t>
      </w:r>
      <w:r w:rsidRPr="0089796C">
        <w:t xml:space="preserve">-RSRP measured from another </w:t>
      </w:r>
      <w:r w:rsidRPr="0089796C">
        <w:rPr>
          <w:rFonts w:hint="eastAsia"/>
        </w:rPr>
        <w:t>V2X</w:t>
      </w:r>
      <w:r w:rsidRPr="0089796C">
        <w:t xml:space="preserve"> synchronization source on the same frequency</w:t>
      </w:r>
      <w:r>
        <w:t xml:space="preserve"> in FR1</w:t>
      </w:r>
      <w:r w:rsidRPr="0089796C">
        <w:t>.</w:t>
      </w:r>
    </w:p>
    <w:p w14:paraId="1331B98C" w14:textId="77777777" w:rsidR="00876517" w:rsidRPr="0089796C" w:rsidRDefault="00876517" w:rsidP="00876517">
      <w:r w:rsidRPr="0089796C">
        <w:t xml:space="preserve">The accuracy requirements in Table </w:t>
      </w:r>
      <w:r>
        <w:t>10.4</w:t>
      </w:r>
      <w:r w:rsidRPr="0089796C">
        <w:t>.</w:t>
      </w:r>
      <w:r w:rsidRPr="0089796C">
        <w:rPr>
          <w:rFonts w:hint="eastAsia"/>
        </w:rPr>
        <w:t>2</w:t>
      </w:r>
      <w:r>
        <w:t>.2</w:t>
      </w:r>
      <w:r w:rsidRPr="0089796C">
        <w:t>-1 are valid under the following conditions:</w:t>
      </w:r>
    </w:p>
    <w:p w14:paraId="75A7FD42" w14:textId="77777777" w:rsidR="00876517" w:rsidRPr="0089796C" w:rsidRDefault="00876517" w:rsidP="00876517">
      <w:pPr>
        <w:pStyle w:val="B10"/>
      </w:pPr>
      <w:r w:rsidRPr="0089796C">
        <w:t>-</w:t>
      </w:r>
      <w:r w:rsidRPr="0089796C">
        <w:tab/>
        <w:t>Demodulation reference signals are transmitted from one port.</w:t>
      </w:r>
    </w:p>
    <w:p w14:paraId="48ABBF2B" w14:textId="77777777" w:rsidR="00876517" w:rsidRPr="0089796C" w:rsidRDefault="00876517" w:rsidP="00876517">
      <w:pPr>
        <w:pStyle w:val="B10"/>
      </w:pPr>
      <w:r w:rsidRPr="0089796C">
        <w:t>-</w:t>
      </w:r>
      <w:r w:rsidRPr="0089796C">
        <w:tab/>
        <w:t>Conditions defined in Clause</w:t>
      </w:r>
      <w:r w:rsidRPr="0089796C">
        <w:rPr>
          <w:rFonts w:eastAsia="Malgun Gothic" w:hint="eastAsia"/>
        </w:rPr>
        <w:t xml:space="preserve"> </w:t>
      </w:r>
      <w:r>
        <w:t xml:space="preserve">7.3E of TS38.101-1 </w:t>
      </w:r>
      <w:r w:rsidRPr="003F0B9D">
        <w:t>[18]</w:t>
      </w:r>
      <w:r w:rsidRPr="0089796C">
        <w:t xml:space="preserve"> for reference sensitivity are fulfilled.</w:t>
      </w:r>
    </w:p>
    <w:p w14:paraId="7FD1A790" w14:textId="77777777" w:rsidR="00876517" w:rsidRPr="0089796C" w:rsidRDefault="00876517" w:rsidP="00876517">
      <w:pPr>
        <w:pStyle w:val="B10"/>
        <w:rPr>
          <w:lang w:eastAsia="zh-CN"/>
        </w:rPr>
      </w:pPr>
      <w:r w:rsidRPr="0089796C">
        <w:t>-</w:t>
      </w:r>
      <w:r w:rsidRPr="0089796C">
        <w:tab/>
      </w:r>
      <w:r w:rsidRPr="00885F53">
        <w:t xml:space="preserve">Conditions for </w:t>
      </w:r>
      <w:r>
        <w:t>P</w:t>
      </w:r>
      <w:r w:rsidRPr="0089796C">
        <w:t>S</w:t>
      </w:r>
      <w:r>
        <w:t>BCH</w:t>
      </w:r>
      <w:r w:rsidRPr="0089796C">
        <w:t>-RSRP</w:t>
      </w:r>
      <w:r w:rsidRPr="00885F53">
        <w:t xml:space="preserve"> </w:t>
      </w:r>
      <w:r>
        <w:t xml:space="preserve">accuracy </w:t>
      </w:r>
      <w:r w:rsidRPr="00885F53">
        <w:t>measurements are fulfilled according to Annex B.4.</w:t>
      </w:r>
      <w:r>
        <w:t>2</w:t>
      </w:r>
      <w:r w:rsidRPr="00885F53">
        <w:t xml:space="preserve"> for a corresponding Band </w:t>
      </w:r>
      <w:r w:rsidRPr="00885F53">
        <w:rPr>
          <w:rFonts w:eastAsia="PMingLiU"/>
        </w:rPr>
        <w:t xml:space="preserve">for each relevant </w:t>
      </w:r>
      <w:r>
        <w:rPr>
          <w:rFonts w:eastAsia="PMingLiU"/>
        </w:rPr>
        <w:t>PSBCH-DMRS</w:t>
      </w:r>
      <w:r w:rsidRPr="00885F53">
        <w:t>.</w:t>
      </w:r>
    </w:p>
    <w:p w14:paraId="29164270" w14:textId="77777777" w:rsidR="00876517" w:rsidRPr="00885F53" w:rsidRDefault="00876517" w:rsidP="00876517">
      <w:pPr>
        <w:keepNext/>
        <w:keepLines/>
        <w:spacing w:before="60"/>
        <w:jc w:val="center"/>
        <w:rPr>
          <w:rFonts w:ascii="Arial" w:hAnsi="Arial"/>
          <w:b/>
        </w:rPr>
      </w:pPr>
      <w:r w:rsidRPr="00885F53">
        <w:rPr>
          <w:rFonts w:ascii="Arial" w:hAnsi="Arial"/>
          <w:b/>
        </w:rPr>
        <w:t>Table 10.</w:t>
      </w:r>
      <w:r>
        <w:rPr>
          <w:rFonts w:ascii="Arial" w:hAnsi="Arial"/>
          <w:b/>
        </w:rPr>
        <w:t>4</w:t>
      </w:r>
      <w:r w:rsidRPr="00885F53">
        <w:rPr>
          <w:rFonts w:ascii="Arial" w:hAnsi="Arial"/>
          <w:b/>
        </w:rPr>
        <w:t>.2.</w:t>
      </w:r>
      <w:r>
        <w:rPr>
          <w:rFonts w:ascii="Arial" w:hAnsi="Arial"/>
          <w:b/>
        </w:rPr>
        <w:t>2</w:t>
      </w:r>
      <w:r w:rsidRPr="00885F53">
        <w:rPr>
          <w:rFonts w:ascii="Arial" w:hAnsi="Arial"/>
          <w:b/>
        </w:rPr>
        <w:t xml:space="preserve">-1: </w:t>
      </w:r>
      <w:r>
        <w:rPr>
          <w:rFonts w:ascii="Arial" w:hAnsi="Arial"/>
          <w:b/>
        </w:rPr>
        <w:t>Intra-frequency PSBCH</w:t>
      </w:r>
      <w:r w:rsidRPr="00885F53">
        <w:rPr>
          <w:rFonts w:ascii="Arial" w:hAnsi="Arial"/>
          <w:b/>
        </w:rPr>
        <w:t xml:space="preserve">-RSRP </w:t>
      </w:r>
      <w:r>
        <w:rPr>
          <w:rFonts w:ascii="Arial" w:hAnsi="Arial"/>
          <w:b/>
        </w:rPr>
        <w:t>relative</w:t>
      </w:r>
      <w:r w:rsidRPr="00885F53">
        <w:rPr>
          <w:rFonts w:ascii="Arial" w:hAnsi="Arial"/>
          <w:b/>
        </w:rPr>
        <w:t xml:space="preserve"> accuracy in FR1</w:t>
      </w:r>
    </w:p>
    <w:tbl>
      <w:tblPr>
        <w:tblW w:w="10172" w:type="dxa"/>
        <w:jc w:val="center"/>
        <w:tblLook w:val="01E0" w:firstRow="1" w:lastRow="1" w:firstColumn="1" w:lastColumn="1" w:noHBand="0" w:noVBand="0"/>
      </w:tblPr>
      <w:tblGrid>
        <w:gridCol w:w="1031"/>
        <w:gridCol w:w="1043"/>
        <w:gridCol w:w="780"/>
        <w:gridCol w:w="1957"/>
        <w:gridCol w:w="827"/>
        <w:gridCol w:w="827"/>
        <w:gridCol w:w="827"/>
        <w:gridCol w:w="1440"/>
        <w:gridCol w:w="1440"/>
      </w:tblGrid>
      <w:tr w:rsidR="00876517" w:rsidRPr="00885F53" w14:paraId="6C34A4DD" w14:textId="77777777" w:rsidTr="00AD2F6B">
        <w:trPr>
          <w:jc w:val="center"/>
        </w:trPr>
        <w:tc>
          <w:tcPr>
            <w:tcW w:w="2074" w:type="dxa"/>
            <w:gridSpan w:val="2"/>
            <w:tcBorders>
              <w:top w:val="single" w:sz="4" w:space="0" w:color="auto"/>
              <w:left w:val="single" w:sz="4" w:space="0" w:color="auto"/>
              <w:bottom w:val="single" w:sz="6" w:space="0" w:color="auto"/>
              <w:right w:val="single" w:sz="6" w:space="0" w:color="auto"/>
            </w:tcBorders>
            <w:shd w:val="clear" w:color="auto" w:fill="auto"/>
            <w:vAlign w:val="center"/>
          </w:tcPr>
          <w:p w14:paraId="55FF97BB" w14:textId="77777777" w:rsidR="00876517" w:rsidRPr="00885F53" w:rsidRDefault="00876517" w:rsidP="00AD2F6B">
            <w:pPr>
              <w:keepNext/>
              <w:keepLines/>
              <w:spacing w:after="0"/>
              <w:jc w:val="center"/>
            </w:pPr>
            <w:r w:rsidRPr="00885F53">
              <w:rPr>
                <w:rFonts w:ascii="Arial" w:hAnsi="Arial"/>
                <w:b/>
                <w:sz w:val="18"/>
              </w:rPr>
              <w:t>Accuracy</w:t>
            </w:r>
          </w:p>
        </w:tc>
        <w:tc>
          <w:tcPr>
            <w:tcW w:w="8098" w:type="dxa"/>
            <w:gridSpan w:val="7"/>
            <w:tcBorders>
              <w:top w:val="single" w:sz="4" w:space="0" w:color="auto"/>
              <w:left w:val="single" w:sz="6" w:space="0" w:color="auto"/>
              <w:bottom w:val="single" w:sz="6" w:space="0" w:color="auto"/>
              <w:right w:val="single" w:sz="4" w:space="0" w:color="auto"/>
            </w:tcBorders>
            <w:shd w:val="clear" w:color="auto" w:fill="auto"/>
            <w:vAlign w:val="center"/>
          </w:tcPr>
          <w:p w14:paraId="496CC0FE" w14:textId="77777777" w:rsidR="00876517" w:rsidRPr="00885F53" w:rsidRDefault="00876517" w:rsidP="00AD2F6B">
            <w:pPr>
              <w:keepNext/>
              <w:keepLines/>
              <w:spacing w:after="0"/>
              <w:jc w:val="center"/>
            </w:pPr>
            <w:r w:rsidRPr="00885F53">
              <w:rPr>
                <w:rFonts w:ascii="Arial" w:hAnsi="Arial"/>
                <w:b/>
                <w:sz w:val="18"/>
              </w:rPr>
              <w:t>Conditions</w:t>
            </w:r>
          </w:p>
        </w:tc>
      </w:tr>
      <w:tr w:rsidR="00876517" w:rsidRPr="00885F53" w14:paraId="67CA8967" w14:textId="77777777" w:rsidTr="00AD2F6B">
        <w:trPr>
          <w:jc w:val="center"/>
        </w:trPr>
        <w:tc>
          <w:tcPr>
            <w:tcW w:w="1031" w:type="dxa"/>
            <w:vMerge w:val="restart"/>
            <w:tcBorders>
              <w:top w:val="single" w:sz="6" w:space="0" w:color="auto"/>
              <w:left w:val="single" w:sz="4" w:space="0" w:color="auto"/>
              <w:bottom w:val="single" w:sz="6" w:space="0" w:color="auto"/>
              <w:right w:val="single" w:sz="6" w:space="0" w:color="auto"/>
            </w:tcBorders>
            <w:shd w:val="clear" w:color="auto" w:fill="auto"/>
            <w:vAlign w:val="center"/>
          </w:tcPr>
          <w:p w14:paraId="3AA5B543" w14:textId="77777777" w:rsidR="00876517" w:rsidRPr="00885F53" w:rsidRDefault="00876517" w:rsidP="00AD2F6B">
            <w:pPr>
              <w:keepNext/>
              <w:keepLines/>
              <w:spacing w:after="0"/>
              <w:jc w:val="center"/>
            </w:pPr>
            <w:r w:rsidRPr="00885F53">
              <w:rPr>
                <w:rFonts w:ascii="Arial" w:hAnsi="Arial"/>
                <w:b/>
                <w:sz w:val="18"/>
              </w:rPr>
              <w:t>Normal condition</w:t>
            </w:r>
          </w:p>
        </w:tc>
        <w:tc>
          <w:tcPr>
            <w:tcW w:w="1043"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227924D" w14:textId="77777777" w:rsidR="00876517" w:rsidRPr="00885F53" w:rsidRDefault="00876517" w:rsidP="00AD2F6B">
            <w:pPr>
              <w:keepNext/>
              <w:keepLines/>
              <w:spacing w:after="0"/>
              <w:jc w:val="center"/>
            </w:pPr>
            <w:r w:rsidRPr="00885F53">
              <w:rPr>
                <w:rFonts w:ascii="Arial" w:hAnsi="Arial"/>
                <w:b/>
                <w:sz w:val="18"/>
              </w:rPr>
              <w:t>Extreme condition</w:t>
            </w:r>
          </w:p>
        </w:tc>
        <w:tc>
          <w:tcPr>
            <w:tcW w:w="78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32447F9" w14:textId="77777777" w:rsidR="00876517" w:rsidRPr="00885F53" w:rsidRDefault="00876517" w:rsidP="00AD2F6B">
            <w:pPr>
              <w:keepNext/>
              <w:keepLines/>
              <w:spacing w:after="0"/>
              <w:jc w:val="center"/>
            </w:pPr>
            <w:r w:rsidRPr="00885F53">
              <w:rPr>
                <w:rFonts w:ascii="Arial" w:hAnsi="Arial"/>
                <w:b/>
                <w:sz w:val="18"/>
              </w:rPr>
              <w:t>Ês/Iot</w:t>
            </w:r>
            <w:r w:rsidRPr="00885F53">
              <w:rPr>
                <w:rFonts w:ascii="Arial" w:hAnsi="Arial"/>
                <w:b/>
                <w:sz w:val="18"/>
                <w:vertAlign w:val="superscript"/>
              </w:rPr>
              <w:t xml:space="preserve"> Note </w:t>
            </w:r>
            <w:r>
              <w:rPr>
                <w:rFonts w:ascii="Arial" w:hAnsi="Arial"/>
                <w:b/>
                <w:sz w:val="18"/>
                <w:vertAlign w:val="superscript"/>
              </w:rPr>
              <w:t>3</w:t>
            </w:r>
          </w:p>
        </w:tc>
        <w:tc>
          <w:tcPr>
            <w:tcW w:w="7318" w:type="dxa"/>
            <w:gridSpan w:val="6"/>
            <w:tcBorders>
              <w:top w:val="single" w:sz="6" w:space="0" w:color="auto"/>
              <w:left w:val="single" w:sz="6" w:space="0" w:color="auto"/>
              <w:bottom w:val="single" w:sz="6" w:space="0" w:color="auto"/>
              <w:right w:val="single" w:sz="4" w:space="0" w:color="auto"/>
            </w:tcBorders>
            <w:shd w:val="clear" w:color="auto" w:fill="auto"/>
            <w:vAlign w:val="center"/>
          </w:tcPr>
          <w:p w14:paraId="61E9F78B" w14:textId="77777777" w:rsidR="00876517" w:rsidRPr="00885F53" w:rsidRDefault="00876517" w:rsidP="00AD2F6B">
            <w:pPr>
              <w:keepNext/>
              <w:keepLines/>
              <w:spacing w:after="0"/>
              <w:jc w:val="center"/>
            </w:pPr>
            <w:r w:rsidRPr="00885F53">
              <w:rPr>
                <w:rFonts w:ascii="Arial" w:hAnsi="Arial"/>
                <w:b/>
                <w:sz w:val="18"/>
              </w:rPr>
              <w:t>Io</w:t>
            </w:r>
            <w:r w:rsidRPr="00885F53">
              <w:rPr>
                <w:rFonts w:ascii="Arial" w:hAnsi="Arial"/>
                <w:b/>
                <w:sz w:val="18"/>
                <w:vertAlign w:val="superscript"/>
              </w:rPr>
              <w:t xml:space="preserve"> Note 1</w:t>
            </w:r>
            <w:r w:rsidRPr="00885F53">
              <w:rPr>
                <w:rFonts w:ascii="Arial" w:hAnsi="Arial"/>
                <w:b/>
                <w:sz w:val="18"/>
              </w:rPr>
              <w:t xml:space="preserve"> range</w:t>
            </w:r>
          </w:p>
        </w:tc>
      </w:tr>
      <w:tr w:rsidR="00876517" w:rsidRPr="00885F53" w14:paraId="4341768D" w14:textId="77777777" w:rsidTr="00AD2F6B">
        <w:trPr>
          <w:jc w:val="center"/>
        </w:trPr>
        <w:tc>
          <w:tcPr>
            <w:tcW w:w="1031" w:type="dxa"/>
            <w:vMerge/>
            <w:tcBorders>
              <w:top w:val="single" w:sz="6" w:space="0" w:color="auto"/>
              <w:left w:val="single" w:sz="4" w:space="0" w:color="auto"/>
              <w:bottom w:val="single" w:sz="6" w:space="0" w:color="auto"/>
              <w:right w:val="single" w:sz="6" w:space="0" w:color="auto"/>
            </w:tcBorders>
            <w:shd w:val="clear" w:color="auto" w:fill="auto"/>
            <w:vAlign w:val="center"/>
          </w:tcPr>
          <w:p w14:paraId="60062290" w14:textId="77777777" w:rsidR="00876517" w:rsidRPr="00885F53" w:rsidRDefault="00876517" w:rsidP="00AD2F6B">
            <w:pPr>
              <w:keepNext/>
              <w:keepLines/>
              <w:spacing w:after="0"/>
              <w:jc w:val="center"/>
            </w:pPr>
          </w:p>
        </w:tc>
        <w:tc>
          <w:tcPr>
            <w:tcW w:w="1043" w:type="dxa"/>
            <w:vMerge/>
            <w:tcBorders>
              <w:top w:val="single" w:sz="6" w:space="0" w:color="auto"/>
              <w:left w:val="single" w:sz="6" w:space="0" w:color="auto"/>
              <w:bottom w:val="single" w:sz="6" w:space="0" w:color="auto"/>
              <w:right w:val="single" w:sz="6" w:space="0" w:color="auto"/>
            </w:tcBorders>
            <w:shd w:val="clear" w:color="auto" w:fill="auto"/>
            <w:vAlign w:val="center"/>
          </w:tcPr>
          <w:p w14:paraId="6668C899" w14:textId="77777777" w:rsidR="00876517" w:rsidRPr="00885F53" w:rsidRDefault="00876517" w:rsidP="00AD2F6B">
            <w:pPr>
              <w:keepNext/>
              <w:keepLines/>
              <w:spacing w:after="0"/>
              <w:jc w:val="center"/>
            </w:pPr>
          </w:p>
        </w:tc>
        <w:tc>
          <w:tcPr>
            <w:tcW w:w="780" w:type="dxa"/>
            <w:vMerge/>
            <w:tcBorders>
              <w:top w:val="single" w:sz="6" w:space="0" w:color="auto"/>
              <w:left w:val="single" w:sz="6" w:space="0" w:color="auto"/>
              <w:bottom w:val="single" w:sz="6" w:space="0" w:color="auto"/>
              <w:right w:val="single" w:sz="6" w:space="0" w:color="auto"/>
            </w:tcBorders>
            <w:shd w:val="clear" w:color="auto" w:fill="auto"/>
          </w:tcPr>
          <w:p w14:paraId="5CE49110" w14:textId="77777777" w:rsidR="00876517" w:rsidRPr="00885F53" w:rsidRDefault="00876517" w:rsidP="00AD2F6B">
            <w:pPr>
              <w:keepNext/>
              <w:keepLines/>
              <w:spacing w:after="0"/>
              <w:jc w:val="center"/>
            </w:pP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479DF9D7" w14:textId="77777777" w:rsidR="00876517" w:rsidRPr="00885F53" w:rsidRDefault="00876517" w:rsidP="00AD2F6B">
            <w:pPr>
              <w:keepNext/>
              <w:keepLines/>
              <w:spacing w:after="0"/>
              <w:jc w:val="center"/>
            </w:pPr>
            <w:r w:rsidRPr="00885F53">
              <w:rPr>
                <w:rFonts w:ascii="Arial" w:hAnsi="Arial"/>
                <w:b/>
                <w:sz w:val="18"/>
              </w:rPr>
              <w:t xml:space="preserve">NR </w:t>
            </w:r>
            <w:r>
              <w:rPr>
                <w:rFonts w:ascii="Arial" w:hAnsi="Arial"/>
                <w:b/>
                <w:sz w:val="18"/>
              </w:rPr>
              <w:t xml:space="preserve">V2X </w:t>
            </w:r>
            <w:r w:rsidRPr="00885F53">
              <w:rPr>
                <w:rFonts w:ascii="Arial" w:hAnsi="Arial"/>
                <w:b/>
                <w:sz w:val="18"/>
              </w:rPr>
              <w:t>operating band groups</w:t>
            </w:r>
            <w:r w:rsidRPr="00885F53">
              <w:rPr>
                <w:rFonts w:ascii="Arial" w:hAnsi="Arial"/>
                <w:b/>
                <w:sz w:val="18"/>
                <w:vertAlign w:val="superscript"/>
              </w:rPr>
              <w:t xml:space="preserve"> Note 2</w:t>
            </w:r>
          </w:p>
        </w:tc>
        <w:tc>
          <w:tcPr>
            <w:tcW w:w="3921" w:type="dxa"/>
            <w:gridSpan w:val="4"/>
            <w:tcBorders>
              <w:top w:val="single" w:sz="4" w:space="0" w:color="auto"/>
              <w:left w:val="single" w:sz="4" w:space="0" w:color="auto"/>
              <w:bottom w:val="single" w:sz="6" w:space="0" w:color="auto"/>
              <w:right w:val="single" w:sz="6" w:space="0" w:color="auto"/>
            </w:tcBorders>
            <w:shd w:val="clear" w:color="auto" w:fill="auto"/>
            <w:vAlign w:val="center"/>
          </w:tcPr>
          <w:p w14:paraId="12867D95" w14:textId="77777777" w:rsidR="00876517" w:rsidRPr="00885F53" w:rsidRDefault="00876517" w:rsidP="00AD2F6B">
            <w:pPr>
              <w:keepNext/>
              <w:keepLines/>
              <w:spacing w:after="0"/>
              <w:jc w:val="center"/>
            </w:pPr>
            <w:r w:rsidRPr="00885F53">
              <w:rPr>
                <w:rFonts w:ascii="Arial" w:hAnsi="Arial"/>
                <w:b/>
                <w:sz w:val="18"/>
              </w:rPr>
              <w:t>Minimum Io</w:t>
            </w:r>
          </w:p>
        </w:tc>
        <w:tc>
          <w:tcPr>
            <w:tcW w:w="1440" w:type="dxa"/>
            <w:tcBorders>
              <w:top w:val="single" w:sz="4" w:space="0" w:color="auto"/>
              <w:left w:val="single" w:sz="6" w:space="0" w:color="auto"/>
              <w:bottom w:val="single" w:sz="6" w:space="0" w:color="auto"/>
              <w:right w:val="single" w:sz="4" w:space="0" w:color="auto"/>
            </w:tcBorders>
            <w:shd w:val="clear" w:color="auto" w:fill="auto"/>
            <w:vAlign w:val="center"/>
          </w:tcPr>
          <w:p w14:paraId="4C8C73C0" w14:textId="77777777" w:rsidR="00876517" w:rsidRPr="00885F53" w:rsidRDefault="00876517" w:rsidP="00AD2F6B">
            <w:pPr>
              <w:keepNext/>
              <w:keepLines/>
              <w:spacing w:after="0"/>
              <w:jc w:val="center"/>
            </w:pPr>
            <w:r w:rsidRPr="00885F53">
              <w:rPr>
                <w:rFonts w:ascii="Arial" w:hAnsi="Arial"/>
                <w:b/>
                <w:sz w:val="18"/>
              </w:rPr>
              <w:t>Maximum Io</w:t>
            </w:r>
          </w:p>
        </w:tc>
      </w:tr>
      <w:tr w:rsidR="00876517" w:rsidRPr="00885F53" w14:paraId="218BA412" w14:textId="77777777" w:rsidTr="00AD2F6B">
        <w:trPr>
          <w:trHeight w:val="308"/>
          <w:jc w:val="center"/>
        </w:trPr>
        <w:tc>
          <w:tcPr>
            <w:tcW w:w="1031" w:type="dxa"/>
            <w:vMerge w:val="restart"/>
            <w:tcBorders>
              <w:top w:val="single" w:sz="6" w:space="0" w:color="auto"/>
              <w:left w:val="single" w:sz="4" w:space="0" w:color="auto"/>
              <w:right w:val="single" w:sz="6" w:space="0" w:color="auto"/>
            </w:tcBorders>
            <w:shd w:val="clear" w:color="auto" w:fill="auto"/>
            <w:vAlign w:val="center"/>
          </w:tcPr>
          <w:p w14:paraId="416DC4FB" w14:textId="77777777" w:rsidR="00876517" w:rsidRPr="00885F53" w:rsidRDefault="00876517" w:rsidP="00AD2F6B">
            <w:pPr>
              <w:keepNext/>
              <w:keepLines/>
              <w:spacing w:after="0"/>
              <w:jc w:val="center"/>
            </w:pPr>
            <w:r w:rsidRPr="00885F53">
              <w:rPr>
                <w:rFonts w:ascii="Arial" w:hAnsi="Arial"/>
                <w:b/>
                <w:sz w:val="18"/>
              </w:rPr>
              <w:t>dB</w:t>
            </w:r>
          </w:p>
        </w:tc>
        <w:tc>
          <w:tcPr>
            <w:tcW w:w="1043" w:type="dxa"/>
            <w:vMerge w:val="restart"/>
            <w:tcBorders>
              <w:top w:val="single" w:sz="6" w:space="0" w:color="auto"/>
              <w:left w:val="single" w:sz="6" w:space="0" w:color="auto"/>
              <w:right w:val="single" w:sz="6" w:space="0" w:color="auto"/>
            </w:tcBorders>
            <w:shd w:val="clear" w:color="auto" w:fill="auto"/>
            <w:vAlign w:val="center"/>
          </w:tcPr>
          <w:p w14:paraId="2B2AAF25" w14:textId="77777777" w:rsidR="00876517" w:rsidRPr="00885F53" w:rsidRDefault="00876517" w:rsidP="00AD2F6B">
            <w:pPr>
              <w:keepNext/>
              <w:keepLines/>
              <w:spacing w:after="0"/>
              <w:jc w:val="center"/>
            </w:pPr>
            <w:r w:rsidRPr="00885F53">
              <w:rPr>
                <w:rFonts w:ascii="Arial" w:hAnsi="Arial"/>
                <w:b/>
                <w:sz w:val="18"/>
              </w:rPr>
              <w:t>dB</w:t>
            </w:r>
          </w:p>
        </w:tc>
        <w:tc>
          <w:tcPr>
            <w:tcW w:w="780" w:type="dxa"/>
            <w:vMerge w:val="restart"/>
            <w:tcBorders>
              <w:top w:val="single" w:sz="6" w:space="0" w:color="auto"/>
              <w:left w:val="single" w:sz="6" w:space="0" w:color="auto"/>
              <w:right w:val="single" w:sz="6" w:space="0" w:color="auto"/>
            </w:tcBorders>
            <w:shd w:val="clear" w:color="auto" w:fill="auto"/>
            <w:vAlign w:val="center"/>
          </w:tcPr>
          <w:p w14:paraId="1F8DEFBE" w14:textId="77777777" w:rsidR="00876517" w:rsidRPr="00885F53" w:rsidRDefault="00876517" w:rsidP="00AD2F6B">
            <w:pPr>
              <w:keepNext/>
              <w:keepLines/>
              <w:spacing w:after="0"/>
              <w:jc w:val="center"/>
            </w:pPr>
            <w:r w:rsidRPr="00885F53">
              <w:rPr>
                <w:rFonts w:ascii="Arial" w:hAnsi="Arial"/>
                <w:b/>
                <w:sz w:val="18"/>
              </w:rPr>
              <w:t>dB</w:t>
            </w:r>
          </w:p>
        </w:tc>
        <w:tc>
          <w:tcPr>
            <w:tcW w:w="1957" w:type="dxa"/>
            <w:vMerge w:val="restart"/>
            <w:tcBorders>
              <w:top w:val="single" w:sz="6" w:space="0" w:color="auto"/>
              <w:left w:val="single" w:sz="6" w:space="0" w:color="auto"/>
              <w:right w:val="single" w:sz="4" w:space="0" w:color="auto"/>
            </w:tcBorders>
            <w:shd w:val="clear" w:color="auto" w:fill="auto"/>
            <w:vAlign w:val="center"/>
          </w:tcPr>
          <w:p w14:paraId="23330293" w14:textId="77777777" w:rsidR="00876517" w:rsidRPr="00885F53" w:rsidRDefault="00876517" w:rsidP="00AD2F6B">
            <w:pPr>
              <w:keepNext/>
              <w:keepLines/>
              <w:spacing w:after="0"/>
              <w:jc w:val="center"/>
            </w:pPr>
          </w:p>
        </w:tc>
        <w:tc>
          <w:tcPr>
            <w:tcW w:w="2481" w:type="dxa"/>
            <w:gridSpan w:val="3"/>
            <w:tcBorders>
              <w:top w:val="single" w:sz="6" w:space="0" w:color="auto"/>
              <w:left w:val="single" w:sz="4" w:space="0" w:color="auto"/>
              <w:bottom w:val="single" w:sz="6" w:space="0" w:color="auto"/>
              <w:right w:val="single" w:sz="6" w:space="0" w:color="auto"/>
            </w:tcBorders>
            <w:shd w:val="clear" w:color="auto" w:fill="auto"/>
            <w:vAlign w:val="center"/>
          </w:tcPr>
          <w:p w14:paraId="76F67DDE" w14:textId="77777777" w:rsidR="00876517" w:rsidRPr="00885F53" w:rsidRDefault="00876517" w:rsidP="00AD2F6B">
            <w:pPr>
              <w:keepNext/>
              <w:keepLines/>
              <w:spacing w:after="0"/>
              <w:jc w:val="center"/>
            </w:pPr>
            <w:r w:rsidRPr="00885F53">
              <w:rPr>
                <w:rFonts w:ascii="Arial" w:hAnsi="Arial" w:cs="Arial"/>
                <w:b/>
                <w:sz w:val="18"/>
              </w:rPr>
              <w:t xml:space="preserve">dBm / </w:t>
            </w:r>
            <w:r w:rsidRPr="00885F53">
              <w:rPr>
                <w:rFonts w:ascii="Arial" w:hAnsi="Arial"/>
                <w:b/>
                <w:sz w:val="18"/>
              </w:rPr>
              <w:t>SCS</w:t>
            </w:r>
            <w:r>
              <w:rPr>
                <w:rFonts w:ascii="Arial" w:hAnsi="Arial"/>
                <w:b/>
                <w:sz w:val="18"/>
                <w:vertAlign w:val="subscript"/>
              </w:rPr>
              <w:t>SL</w:t>
            </w:r>
          </w:p>
        </w:tc>
        <w:tc>
          <w:tcPr>
            <w:tcW w:w="1440" w:type="dxa"/>
            <w:vMerge w:val="restart"/>
            <w:tcBorders>
              <w:top w:val="single" w:sz="6" w:space="0" w:color="auto"/>
              <w:left w:val="single" w:sz="6" w:space="0" w:color="auto"/>
              <w:right w:val="single" w:sz="6" w:space="0" w:color="auto"/>
            </w:tcBorders>
            <w:shd w:val="clear" w:color="auto" w:fill="auto"/>
            <w:vAlign w:val="center"/>
          </w:tcPr>
          <w:p w14:paraId="69479DE4" w14:textId="77777777" w:rsidR="00876517" w:rsidRPr="00885F53" w:rsidRDefault="00876517" w:rsidP="00AD2F6B">
            <w:pPr>
              <w:keepNext/>
              <w:keepLines/>
              <w:spacing w:after="0"/>
              <w:jc w:val="center"/>
            </w:pPr>
            <w:r w:rsidRPr="00885F53">
              <w:rPr>
                <w:rFonts w:ascii="Arial" w:hAnsi="Arial"/>
                <w:b/>
                <w:sz w:val="18"/>
              </w:rPr>
              <w:t>dBm/BW</w:t>
            </w:r>
            <w:r w:rsidRPr="00885F53">
              <w:rPr>
                <w:rFonts w:ascii="Arial" w:hAnsi="Arial"/>
                <w:b/>
                <w:sz w:val="18"/>
                <w:vertAlign w:val="subscript"/>
              </w:rPr>
              <w:t>Channel</w:t>
            </w:r>
          </w:p>
        </w:tc>
        <w:tc>
          <w:tcPr>
            <w:tcW w:w="1440" w:type="dxa"/>
            <w:vMerge w:val="restart"/>
            <w:tcBorders>
              <w:top w:val="single" w:sz="6" w:space="0" w:color="auto"/>
              <w:left w:val="single" w:sz="6" w:space="0" w:color="auto"/>
              <w:right w:val="single" w:sz="4" w:space="0" w:color="auto"/>
            </w:tcBorders>
            <w:shd w:val="clear" w:color="auto" w:fill="auto"/>
            <w:vAlign w:val="center"/>
          </w:tcPr>
          <w:p w14:paraId="7B81118F" w14:textId="77777777" w:rsidR="00876517" w:rsidRPr="00885F53" w:rsidRDefault="00876517" w:rsidP="00AD2F6B">
            <w:pPr>
              <w:keepNext/>
              <w:keepLines/>
              <w:spacing w:after="0"/>
              <w:jc w:val="center"/>
            </w:pPr>
            <w:r w:rsidRPr="00885F53">
              <w:rPr>
                <w:rFonts w:ascii="Arial" w:hAnsi="Arial"/>
                <w:b/>
                <w:sz w:val="18"/>
              </w:rPr>
              <w:t>dBm/BW</w:t>
            </w:r>
            <w:r w:rsidRPr="00885F53">
              <w:rPr>
                <w:rFonts w:ascii="Arial" w:hAnsi="Arial"/>
                <w:b/>
                <w:sz w:val="18"/>
                <w:vertAlign w:val="subscript"/>
              </w:rPr>
              <w:t>Channel</w:t>
            </w:r>
          </w:p>
        </w:tc>
      </w:tr>
      <w:tr w:rsidR="00876517" w:rsidRPr="00885F53" w14:paraId="625AE7F2" w14:textId="77777777" w:rsidTr="00AD2F6B">
        <w:trPr>
          <w:trHeight w:val="307"/>
          <w:jc w:val="center"/>
        </w:trPr>
        <w:tc>
          <w:tcPr>
            <w:tcW w:w="1031" w:type="dxa"/>
            <w:vMerge/>
            <w:tcBorders>
              <w:left w:val="single" w:sz="4" w:space="0" w:color="auto"/>
              <w:bottom w:val="single" w:sz="6" w:space="0" w:color="auto"/>
              <w:right w:val="single" w:sz="6" w:space="0" w:color="auto"/>
            </w:tcBorders>
            <w:shd w:val="clear" w:color="auto" w:fill="auto"/>
            <w:vAlign w:val="center"/>
          </w:tcPr>
          <w:p w14:paraId="0522099B" w14:textId="77777777" w:rsidR="00876517" w:rsidRPr="00885F53" w:rsidRDefault="00876517" w:rsidP="00AD2F6B">
            <w:pPr>
              <w:keepNext/>
              <w:keepLines/>
              <w:spacing w:after="0"/>
              <w:jc w:val="center"/>
              <w:rPr>
                <w:rFonts w:ascii="Arial" w:hAnsi="Arial"/>
                <w:b/>
                <w:sz w:val="18"/>
              </w:rPr>
            </w:pPr>
          </w:p>
        </w:tc>
        <w:tc>
          <w:tcPr>
            <w:tcW w:w="1043" w:type="dxa"/>
            <w:vMerge/>
            <w:tcBorders>
              <w:left w:val="single" w:sz="6" w:space="0" w:color="auto"/>
              <w:bottom w:val="single" w:sz="6" w:space="0" w:color="auto"/>
              <w:right w:val="single" w:sz="6" w:space="0" w:color="auto"/>
            </w:tcBorders>
            <w:shd w:val="clear" w:color="auto" w:fill="auto"/>
            <w:vAlign w:val="center"/>
          </w:tcPr>
          <w:p w14:paraId="05D7223B" w14:textId="77777777" w:rsidR="00876517" w:rsidRPr="00885F53" w:rsidRDefault="00876517" w:rsidP="00AD2F6B">
            <w:pPr>
              <w:keepNext/>
              <w:keepLines/>
              <w:spacing w:after="0"/>
              <w:jc w:val="center"/>
              <w:rPr>
                <w:rFonts w:ascii="Arial" w:hAnsi="Arial"/>
                <w:b/>
                <w:sz w:val="18"/>
              </w:rPr>
            </w:pPr>
          </w:p>
        </w:tc>
        <w:tc>
          <w:tcPr>
            <w:tcW w:w="780" w:type="dxa"/>
            <w:vMerge/>
            <w:tcBorders>
              <w:left w:val="single" w:sz="6" w:space="0" w:color="auto"/>
              <w:bottom w:val="single" w:sz="6" w:space="0" w:color="auto"/>
              <w:right w:val="single" w:sz="6" w:space="0" w:color="auto"/>
            </w:tcBorders>
            <w:shd w:val="clear" w:color="auto" w:fill="auto"/>
          </w:tcPr>
          <w:p w14:paraId="2948D746" w14:textId="77777777" w:rsidR="00876517" w:rsidRPr="00885F53" w:rsidRDefault="00876517" w:rsidP="00AD2F6B">
            <w:pPr>
              <w:keepNext/>
              <w:keepLines/>
              <w:spacing w:after="0"/>
              <w:jc w:val="center"/>
              <w:rPr>
                <w:rFonts w:ascii="Arial" w:hAnsi="Arial"/>
                <w:b/>
                <w:sz w:val="18"/>
              </w:rPr>
            </w:pPr>
          </w:p>
        </w:tc>
        <w:tc>
          <w:tcPr>
            <w:tcW w:w="1957" w:type="dxa"/>
            <w:vMerge/>
            <w:tcBorders>
              <w:left w:val="single" w:sz="6" w:space="0" w:color="auto"/>
              <w:bottom w:val="single" w:sz="6" w:space="0" w:color="auto"/>
              <w:right w:val="single" w:sz="4" w:space="0" w:color="auto"/>
            </w:tcBorders>
            <w:shd w:val="clear" w:color="auto" w:fill="auto"/>
            <w:vAlign w:val="center"/>
          </w:tcPr>
          <w:p w14:paraId="6A7767DA" w14:textId="77777777" w:rsidR="00876517" w:rsidRPr="00885F53" w:rsidRDefault="00876517" w:rsidP="00AD2F6B">
            <w:pPr>
              <w:keepNext/>
              <w:keepLines/>
              <w:spacing w:after="0"/>
              <w:jc w:val="center"/>
              <w:rPr>
                <w:rFonts w:ascii="Arial" w:hAnsi="Arial"/>
                <w:b/>
                <w:sz w:val="18"/>
              </w:rPr>
            </w:pP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01D804B8" w14:textId="77777777" w:rsidR="00876517" w:rsidRPr="00885F53" w:rsidRDefault="00876517" w:rsidP="00AD2F6B">
            <w:pPr>
              <w:keepNext/>
              <w:keepLines/>
              <w:spacing w:after="0"/>
              <w:jc w:val="center"/>
              <w:rPr>
                <w:rFonts w:ascii="Arial" w:hAnsi="Arial" w:cs="Arial"/>
                <w:b/>
                <w:sz w:val="18"/>
              </w:rPr>
            </w:pPr>
            <w:r w:rsidRPr="00885F53">
              <w:rPr>
                <w:rFonts w:ascii="Arial" w:hAnsi="Arial"/>
                <w:b/>
                <w:sz w:val="18"/>
              </w:rPr>
              <w:t>SCS</w:t>
            </w:r>
            <w:r>
              <w:rPr>
                <w:rFonts w:ascii="Arial" w:hAnsi="Arial"/>
                <w:b/>
                <w:sz w:val="18"/>
                <w:vertAlign w:val="subscript"/>
              </w:rPr>
              <w:t>SL</w:t>
            </w:r>
            <w:r w:rsidRPr="00885F53">
              <w:rPr>
                <w:rFonts w:ascii="Arial" w:hAnsi="Arial" w:cs="Arial"/>
                <w:b/>
                <w:sz w:val="18"/>
              </w:rPr>
              <w:t xml:space="preserve"> = 15 kHz</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5739B73F" w14:textId="77777777" w:rsidR="00876517" w:rsidRPr="00885F53" w:rsidRDefault="00876517" w:rsidP="00AD2F6B">
            <w:pPr>
              <w:keepNext/>
              <w:keepLines/>
              <w:spacing w:after="0"/>
              <w:jc w:val="center"/>
              <w:rPr>
                <w:rFonts w:ascii="Arial" w:hAnsi="Arial" w:cs="Arial"/>
                <w:b/>
                <w:sz w:val="18"/>
              </w:rPr>
            </w:pPr>
            <w:r w:rsidRPr="00885F53">
              <w:rPr>
                <w:rFonts w:ascii="Arial" w:hAnsi="Arial"/>
                <w:b/>
                <w:sz w:val="18"/>
              </w:rPr>
              <w:t>SCS</w:t>
            </w:r>
            <w:r>
              <w:rPr>
                <w:rFonts w:ascii="Arial" w:hAnsi="Arial"/>
                <w:b/>
                <w:sz w:val="18"/>
                <w:vertAlign w:val="subscript"/>
              </w:rPr>
              <w:t>SL</w:t>
            </w:r>
            <w:r w:rsidRPr="00885F53">
              <w:rPr>
                <w:rFonts w:ascii="Arial" w:hAnsi="Arial" w:cs="Arial"/>
                <w:b/>
                <w:sz w:val="18"/>
              </w:rPr>
              <w:t xml:space="preserve"> = 30 kHz</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5C37D2C4" w14:textId="77777777" w:rsidR="00876517" w:rsidRPr="00885F53" w:rsidRDefault="00876517" w:rsidP="00AD2F6B">
            <w:pPr>
              <w:keepNext/>
              <w:keepLines/>
              <w:spacing w:after="0"/>
              <w:jc w:val="center"/>
              <w:rPr>
                <w:rFonts w:ascii="Arial" w:hAnsi="Arial" w:cs="Arial"/>
                <w:b/>
                <w:sz w:val="18"/>
              </w:rPr>
            </w:pPr>
            <w:r w:rsidRPr="00885F53">
              <w:rPr>
                <w:rFonts w:ascii="Arial" w:hAnsi="Arial"/>
                <w:b/>
                <w:sz w:val="18"/>
              </w:rPr>
              <w:t>SCS</w:t>
            </w:r>
            <w:r>
              <w:rPr>
                <w:rFonts w:ascii="Arial" w:hAnsi="Arial"/>
                <w:b/>
                <w:sz w:val="18"/>
                <w:vertAlign w:val="subscript"/>
              </w:rPr>
              <w:t>SL</w:t>
            </w:r>
            <w:r w:rsidRPr="00885F53">
              <w:rPr>
                <w:rFonts w:ascii="Arial" w:hAnsi="Arial" w:cs="Arial"/>
                <w:b/>
                <w:sz w:val="18"/>
              </w:rPr>
              <w:t xml:space="preserve"> = 60 kHz</w:t>
            </w:r>
          </w:p>
        </w:tc>
        <w:tc>
          <w:tcPr>
            <w:tcW w:w="1440" w:type="dxa"/>
            <w:vMerge/>
            <w:tcBorders>
              <w:left w:val="single" w:sz="6" w:space="0" w:color="auto"/>
              <w:bottom w:val="single" w:sz="6" w:space="0" w:color="auto"/>
              <w:right w:val="single" w:sz="6" w:space="0" w:color="auto"/>
            </w:tcBorders>
            <w:shd w:val="clear" w:color="auto" w:fill="auto"/>
            <w:vAlign w:val="center"/>
          </w:tcPr>
          <w:p w14:paraId="649D82BE" w14:textId="77777777" w:rsidR="00876517" w:rsidRPr="00885F53" w:rsidRDefault="00876517" w:rsidP="00AD2F6B">
            <w:pPr>
              <w:keepNext/>
              <w:keepLines/>
              <w:spacing w:after="0"/>
              <w:jc w:val="center"/>
              <w:rPr>
                <w:rFonts w:ascii="Arial" w:hAnsi="Arial"/>
                <w:b/>
                <w:sz w:val="18"/>
              </w:rPr>
            </w:pPr>
          </w:p>
        </w:tc>
        <w:tc>
          <w:tcPr>
            <w:tcW w:w="1440" w:type="dxa"/>
            <w:vMerge/>
            <w:tcBorders>
              <w:left w:val="single" w:sz="6" w:space="0" w:color="auto"/>
              <w:bottom w:val="single" w:sz="6" w:space="0" w:color="auto"/>
              <w:right w:val="single" w:sz="4" w:space="0" w:color="auto"/>
            </w:tcBorders>
            <w:shd w:val="clear" w:color="auto" w:fill="auto"/>
            <w:vAlign w:val="center"/>
          </w:tcPr>
          <w:p w14:paraId="09AD8F30" w14:textId="77777777" w:rsidR="00876517" w:rsidRPr="00885F53" w:rsidRDefault="00876517" w:rsidP="00AD2F6B">
            <w:pPr>
              <w:keepNext/>
              <w:keepLines/>
              <w:spacing w:after="0"/>
              <w:jc w:val="center"/>
              <w:rPr>
                <w:rFonts w:ascii="Arial" w:hAnsi="Arial"/>
                <w:b/>
                <w:sz w:val="18"/>
              </w:rPr>
            </w:pPr>
          </w:p>
        </w:tc>
      </w:tr>
      <w:tr w:rsidR="00876517" w:rsidRPr="00885F53" w14:paraId="22DEDF70" w14:textId="77777777" w:rsidTr="00AD2F6B">
        <w:trPr>
          <w:jc w:val="center"/>
        </w:trPr>
        <w:tc>
          <w:tcPr>
            <w:tcW w:w="1031" w:type="dxa"/>
            <w:vMerge w:val="restart"/>
            <w:tcBorders>
              <w:top w:val="single" w:sz="6" w:space="0" w:color="auto"/>
              <w:left w:val="single" w:sz="4" w:space="0" w:color="auto"/>
              <w:right w:val="single" w:sz="6" w:space="0" w:color="auto"/>
            </w:tcBorders>
            <w:shd w:val="clear" w:color="auto" w:fill="auto"/>
            <w:vAlign w:val="center"/>
          </w:tcPr>
          <w:p w14:paraId="54812201" w14:textId="77777777" w:rsidR="00876517" w:rsidRPr="00885F53" w:rsidRDefault="00876517" w:rsidP="00AD2F6B">
            <w:pPr>
              <w:keepNext/>
              <w:keepLines/>
              <w:spacing w:after="0"/>
              <w:jc w:val="center"/>
            </w:pPr>
            <w:r w:rsidRPr="00885F53">
              <w:rPr>
                <w:rFonts w:ascii="Arial" w:hAnsi="Arial"/>
                <w:sz w:val="18"/>
              </w:rPr>
              <w:sym w:font="Symbol" w:char="F0B1"/>
            </w:r>
            <w:r>
              <w:rPr>
                <w:rFonts w:ascii="Arial" w:hAnsi="Arial"/>
                <w:sz w:val="18"/>
              </w:rPr>
              <w:t>2</w:t>
            </w:r>
          </w:p>
        </w:tc>
        <w:tc>
          <w:tcPr>
            <w:tcW w:w="1043" w:type="dxa"/>
            <w:vMerge w:val="restart"/>
            <w:tcBorders>
              <w:top w:val="single" w:sz="6" w:space="0" w:color="auto"/>
              <w:left w:val="single" w:sz="6" w:space="0" w:color="auto"/>
              <w:right w:val="single" w:sz="6" w:space="0" w:color="auto"/>
            </w:tcBorders>
            <w:shd w:val="clear" w:color="auto" w:fill="auto"/>
            <w:vAlign w:val="center"/>
          </w:tcPr>
          <w:p w14:paraId="79025A33" w14:textId="77777777" w:rsidR="00876517" w:rsidRPr="00885F53" w:rsidRDefault="00876517" w:rsidP="00AD2F6B">
            <w:pPr>
              <w:keepNext/>
              <w:keepLines/>
              <w:spacing w:after="0"/>
              <w:jc w:val="center"/>
            </w:pPr>
            <w:r w:rsidRPr="00885F53">
              <w:rPr>
                <w:rFonts w:ascii="Arial" w:hAnsi="Arial"/>
                <w:sz w:val="18"/>
              </w:rPr>
              <w:sym w:font="Symbol" w:char="F0B1"/>
            </w:r>
            <w:r w:rsidRPr="00885F53">
              <w:rPr>
                <w:rFonts w:ascii="Arial" w:hAnsi="Arial"/>
                <w:sz w:val="18"/>
              </w:rPr>
              <w:t>3</w:t>
            </w:r>
          </w:p>
        </w:tc>
        <w:tc>
          <w:tcPr>
            <w:tcW w:w="780" w:type="dxa"/>
            <w:vMerge w:val="restart"/>
            <w:tcBorders>
              <w:top w:val="single" w:sz="6" w:space="0" w:color="auto"/>
              <w:left w:val="single" w:sz="6" w:space="0" w:color="auto"/>
              <w:right w:val="single" w:sz="6" w:space="0" w:color="auto"/>
            </w:tcBorders>
            <w:shd w:val="clear" w:color="auto" w:fill="auto"/>
            <w:vAlign w:val="center"/>
          </w:tcPr>
          <w:p w14:paraId="6A4B4E8F" w14:textId="77777777" w:rsidR="00876517" w:rsidRPr="00885F53" w:rsidRDefault="00876517" w:rsidP="00AD2F6B">
            <w:pPr>
              <w:keepNext/>
              <w:keepLines/>
              <w:spacing w:after="0"/>
              <w:jc w:val="center"/>
            </w:pPr>
            <w:r>
              <w:rPr>
                <w:rFonts w:ascii="Arial" w:hAnsi="Arial"/>
                <w:sz w:val="18"/>
              </w:rPr>
              <w:sym w:font="Symbol" w:char="F0B3"/>
            </w:r>
            <w:r>
              <w:rPr>
                <w:rFonts w:ascii="Arial" w:hAnsi="Arial" w:cs="Arial"/>
                <w:sz w:val="18"/>
              </w:rPr>
              <w:t>-3</w:t>
            </w: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6611C3DA" w14:textId="77777777" w:rsidR="00876517" w:rsidRPr="00885F53" w:rsidRDefault="00876517" w:rsidP="00AD2F6B">
            <w:pPr>
              <w:keepNext/>
              <w:keepLines/>
              <w:spacing w:after="0"/>
              <w:jc w:val="center"/>
              <w:rPr>
                <w:rFonts w:ascii="Arial" w:hAnsi="Arial"/>
                <w:sz w:val="18"/>
              </w:rPr>
            </w:pPr>
            <w:r w:rsidRPr="00885F53">
              <w:rPr>
                <w:rFonts w:ascii="Arial" w:hAnsi="Arial"/>
                <w:sz w:val="18"/>
              </w:rPr>
              <w:t>NR_TDD_FR1_</w:t>
            </w:r>
            <w:r>
              <w:rPr>
                <w:rFonts w:ascii="Arial" w:hAnsi="Arial"/>
                <w:sz w:val="18"/>
              </w:rPr>
              <w:t>B</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52935E5B" w14:textId="77777777" w:rsidR="00876517" w:rsidRPr="00885F53" w:rsidRDefault="00876517" w:rsidP="00AD2F6B">
            <w:pPr>
              <w:keepNext/>
              <w:keepLines/>
              <w:spacing w:after="0"/>
              <w:jc w:val="center"/>
            </w:pPr>
            <w:r w:rsidRPr="00885F53">
              <w:rPr>
                <w:rFonts w:ascii="Arial" w:hAnsi="Arial"/>
                <w:sz w:val="18"/>
              </w:rPr>
              <w:t>-12</w:t>
            </w:r>
            <w:r>
              <w:rPr>
                <w:rFonts w:ascii="Arial" w:hAnsi="Arial"/>
                <w:sz w:val="18"/>
              </w:rPr>
              <w:t>0.5</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7A97B2EE" w14:textId="77777777" w:rsidR="00876517" w:rsidRPr="00885F53" w:rsidRDefault="00876517" w:rsidP="00AD2F6B">
            <w:pPr>
              <w:keepNext/>
              <w:keepLines/>
              <w:spacing w:after="0"/>
              <w:jc w:val="center"/>
            </w:pPr>
            <w:r w:rsidRPr="00885F53">
              <w:rPr>
                <w:rFonts w:ascii="Arial" w:hAnsi="Arial"/>
                <w:sz w:val="18"/>
              </w:rPr>
              <w:t>-11</w:t>
            </w:r>
            <w:r>
              <w:rPr>
                <w:rFonts w:ascii="Arial" w:hAnsi="Arial"/>
                <w:sz w:val="18"/>
              </w:rPr>
              <w:t>7.5</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28B8478D" w14:textId="77777777" w:rsidR="00876517" w:rsidRPr="00885F53" w:rsidRDefault="00876517" w:rsidP="00AD2F6B">
            <w:pPr>
              <w:keepNext/>
              <w:keepLines/>
              <w:spacing w:after="0"/>
              <w:jc w:val="center"/>
            </w:pPr>
            <w:r w:rsidRPr="00885F53">
              <w:rPr>
                <w:rFonts w:ascii="Arial" w:hAnsi="Arial"/>
                <w:sz w:val="18"/>
              </w:rPr>
              <w:t>-11</w:t>
            </w:r>
            <w:r>
              <w:rPr>
                <w:rFonts w:ascii="Arial" w:hAnsi="Arial"/>
                <w:sz w:val="18"/>
              </w:rPr>
              <w:t>4.5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409DC610" w14:textId="77777777" w:rsidR="00876517" w:rsidRPr="00885F53" w:rsidRDefault="00876517" w:rsidP="00AD2F6B">
            <w:pPr>
              <w:keepNext/>
              <w:keepLines/>
              <w:spacing w:after="0"/>
              <w:jc w:val="center"/>
            </w:pPr>
            <w:r w:rsidRPr="00885F53">
              <w:rPr>
                <w:rFonts w:ascii="Arial" w:hAnsi="Arial"/>
                <w:sz w:val="18"/>
              </w:rPr>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7FC4257B" w14:textId="77777777" w:rsidR="00876517" w:rsidRPr="00885F53" w:rsidRDefault="00876517" w:rsidP="00AD2F6B">
            <w:pPr>
              <w:keepNext/>
              <w:keepLines/>
              <w:spacing w:after="0"/>
              <w:jc w:val="center"/>
            </w:pPr>
            <w:r w:rsidRPr="00885F53">
              <w:rPr>
                <w:rFonts w:ascii="Arial" w:hAnsi="Arial"/>
                <w:sz w:val="18"/>
              </w:rPr>
              <w:t>-</w:t>
            </w:r>
            <w:r>
              <w:rPr>
                <w:rFonts w:ascii="Arial" w:hAnsi="Arial"/>
                <w:sz w:val="18"/>
              </w:rPr>
              <w:t>5</w:t>
            </w:r>
            <w:r w:rsidRPr="00885F53">
              <w:rPr>
                <w:rFonts w:ascii="Arial" w:hAnsi="Arial"/>
                <w:sz w:val="18"/>
              </w:rPr>
              <w:t>0</w:t>
            </w:r>
          </w:p>
        </w:tc>
      </w:tr>
      <w:tr w:rsidR="00876517" w:rsidRPr="00885F53" w14:paraId="25016563" w14:textId="77777777" w:rsidTr="00AD2F6B">
        <w:trPr>
          <w:jc w:val="center"/>
        </w:trPr>
        <w:tc>
          <w:tcPr>
            <w:tcW w:w="1031" w:type="dxa"/>
            <w:vMerge/>
            <w:tcBorders>
              <w:left w:val="single" w:sz="4" w:space="0" w:color="auto"/>
              <w:right w:val="single" w:sz="6" w:space="0" w:color="auto"/>
            </w:tcBorders>
            <w:shd w:val="clear" w:color="auto" w:fill="auto"/>
            <w:vAlign w:val="center"/>
          </w:tcPr>
          <w:p w14:paraId="5B2E99FC" w14:textId="77777777" w:rsidR="00876517" w:rsidRPr="00885F53" w:rsidRDefault="00876517" w:rsidP="00AD2F6B">
            <w:pPr>
              <w:keepNext/>
              <w:keepLines/>
              <w:spacing w:after="0"/>
              <w:jc w:val="center"/>
              <w:rPr>
                <w:rFonts w:ascii="Arial" w:hAnsi="Arial"/>
                <w:sz w:val="18"/>
              </w:rPr>
            </w:pPr>
          </w:p>
        </w:tc>
        <w:tc>
          <w:tcPr>
            <w:tcW w:w="1043" w:type="dxa"/>
            <w:vMerge/>
            <w:tcBorders>
              <w:left w:val="single" w:sz="6" w:space="0" w:color="auto"/>
              <w:right w:val="single" w:sz="6" w:space="0" w:color="auto"/>
            </w:tcBorders>
            <w:shd w:val="clear" w:color="auto" w:fill="auto"/>
            <w:vAlign w:val="center"/>
          </w:tcPr>
          <w:p w14:paraId="25D651A2" w14:textId="77777777" w:rsidR="00876517" w:rsidRPr="00885F53" w:rsidRDefault="00876517" w:rsidP="00AD2F6B">
            <w:pPr>
              <w:keepNext/>
              <w:keepLines/>
              <w:spacing w:after="0"/>
              <w:jc w:val="center"/>
              <w:rPr>
                <w:rFonts w:ascii="Arial" w:hAnsi="Arial"/>
                <w:sz w:val="18"/>
              </w:rPr>
            </w:pPr>
          </w:p>
        </w:tc>
        <w:tc>
          <w:tcPr>
            <w:tcW w:w="780" w:type="dxa"/>
            <w:vMerge/>
            <w:tcBorders>
              <w:left w:val="single" w:sz="6" w:space="0" w:color="auto"/>
              <w:right w:val="single" w:sz="6" w:space="0" w:color="auto"/>
            </w:tcBorders>
            <w:shd w:val="clear" w:color="auto" w:fill="auto"/>
            <w:vAlign w:val="center"/>
          </w:tcPr>
          <w:p w14:paraId="2A067BB6" w14:textId="77777777" w:rsidR="00876517" w:rsidRPr="00885F53" w:rsidRDefault="00876517" w:rsidP="00AD2F6B">
            <w:pPr>
              <w:keepNext/>
              <w:keepLines/>
              <w:spacing w:after="0"/>
              <w:jc w:val="center"/>
              <w:rPr>
                <w:rFonts w:ascii="Arial" w:hAnsi="Arial"/>
                <w:sz w:val="18"/>
              </w:rPr>
            </w:pP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55C4B003" w14:textId="77777777" w:rsidR="00876517" w:rsidRPr="00CD31AF" w:rsidDel="00836998" w:rsidRDefault="00876517" w:rsidP="00AD2F6B">
            <w:pPr>
              <w:keepNext/>
              <w:keepLines/>
              <w:spacing w:after="0"/>
              <w:jc w:val="center"/>
              <w:rPr>
                <w:rFonts w:ascii="Arial" w:hAnsi="Arial"/>
                <w:sz w:val="18"/>
                <w:lang w:eastAsia="zh-CN"/>
              </w:rPr>
            </w:pPr>
            <w:r w:rsidRPr="00CD31AF">
              <w:rPr>
                <w:rFonts w:ascii="Arial" w:hAnsi="Arial"/>
                <w:sz w:val="18"/>
                <w:lang w:eastAsia="zh-CN"/>
              </w:rPr>
              <w:t>NR</w:t>
            </w:r>
            <w:r w:rsidRPr="00CD31AF">
              <w:rPr>
                <w:rFonts w:ascii="Arial" w:hAnsi="Arial"/>
                <w:sz w:val="18"/>
              </w:rPr>
              <w:t>_</w:t>
            </w:r>
            <w:r w:rsidRPr="00CD31AF">
              <w:rPr>
                <w:rFonts w:ascii="Arial" w:hAnsi="Arial"/>
                <w:sz w:val="18"/>
                <w:lang w:eastAsia="zh-CN"/>
              </w:rPr>
              <w:t>TDD_FR1_</w:t>
            </w:r>
            <w:r>
              <w:rPr>
                <w:rFonts w:ascii="Arial" w:hAnsi="Arial"/>
                <w:sz w:val="18"/>
                <w:lang w:eastAsia="zh-CN"/>
              </w:rPr>
              <w:t>J</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75A13416" w14:textId="77777777" w:rsidR="00876517" w:rsidRPr="00CD31AF" w:rsidRDefault="00876517" w:rsidP="00AD2F6B">
            <w:pPr>
              <w:keepNext/>
              <w:keepLines/>
              <w:spacing w:after="0"/>
              <w:jc w:val="center"/>
              <w:rPr>
                <w:rFonts w:ascii="Arial" w:hAnsi="Arial"/>
                <w:sz w:val="18"/>
              </w:rPr>
            </w:pPr>
            <w:r>
              <w:rPr>
                <w:rFonts w:ascii="Arial" w:hAnsi="Arial"/>
                <w:sz w:val="18"/>
              </w:rPr>
              <w:t>-116.5</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44581765" w14:textId="77777777" w:rsidR="00876517" w:rsidRPr="00CD31AF" w:rsidRDefault="00876517" w:rsidP="00AD2F6B">
            <w:pPr>
              <w:keepNext/>
              <w:keepLines/>
              <w:spacing w:after="0"/>
              <w:jc w:val="center"/>
              <w:rPr>
                <w:rFonts w:ascii="Arial" w:hAnsi="Arial" w:cs="Arial"/>
                <w:sz w:val="18"/>
                <w:lang w:val="sv-SE"/>
              </w:rPr>
            </w:pPr>
            <w:r>
              <w:rPr>
                <w:rFonts w:ascii="Arial" w:hAnsi="Arial" w:cs="Arial"/>
                <w:sz w:val="18"/>
              </w:rPr>
              <w:t>-113.5</w:t>
            </w:r>
          </w:p>
        </w:tc>
        <w:tc>
          <w:tcPr>
            <w:tcW w:w="827" w:type="dxa"/>
            <w:tcBorders>
              <w:top w:val="single" w:sz="6" w:space="0" w:color="auto"/>
              <w:left w:val="single" w:sz="4" w:space="0" w:color="auto"/>
              <w:bottom w:val="single" w:sz="6" w:space="0" w:color="auto"/>
              <w:right w:val="single" w:sz="6" w:space="0" w:color="auto"/>
            </w:tcBorders>
            <w:shd w:val="clear" w:color="auto" w:fill="auto"/>
            <w:vAlign w:val="center"/>
          </w:tcPr>
          <w:p w14:paraId="02864AA6" w14:textId="77777777" w:rsidR="00876517" w:rsidRPr="00CD31AF" w:rsidRDefault="00876517" w:rsidP="00AD2F6B">
            <w:pPr>
              <w:keepNext/>
              <w:keepLines/>
              <w:spacing w:after="0"/>
              <w:jc w:val="center"/>
              <w:rPr>
                <w:rFonts w:ascii="Arial" w:hAnsi="Arial" w:cs="Arial"/>
                <w:sz w:val="18"/>
                <w:lang w:val="sv-SE"/>
              </w:rPr>
            </w:pPr>
            <w:r>
              <w:rPr>
                <w:rFonts w:ascii="Arial" w:hAnsi="Arial" w:cs="Arial"/>
                <w:sz w:val="18"/>
              </w:rPr>
              <w:t>-110.5</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14:paraId="74EA6452" w14:textId="77777777" w:rsidR="00876517" w:rsidRPr="00885F53" w:rsidRDefault="00876517" w:rsidP="00AD2F6B">
            <w:pPr>
              <w:keepNext/>
              <w:keepLines/>
              <w:spacing w:after="0"/>
              <w:jc w:val="center"/>
              <w:rPr>
                <w:rFonts w:ascii="Arial" w:hAnsi="Arial"/>
                <w:sz w:val="18"/>
              </w:rPr>
            </w:pPr>
            <w:r w:rsidRPr="00885F53">
              <w:rPr>
                <w:rFonts w:ascii="Arial" w:hAnsi="Arial"/>
                <w:sz w:val="18"/>
              </w:rPr>
              <w:t>N/A</w:t>
            </w:r>
          </w:p>
        </w:tc>
        <w:tc>
          <w:tcPr>
            <w:tcW w:w="1440" w:type="dxa"/>
            <w:tcBorders>
              <w:top w:val="single" w:sz="6" w:space="0" w:color="auto"/>
              <w:left w:val="single" w:sz="6" w:space="0" w:color="auto"/>
              <w:bottom w:val="single" w:sz="6" w:space="0" w:color="auto"/>
              <w:right w:val="single" w:sz="4" w:space="0" w:color="auto"/>
            </w:tcBorders>
            <w:shd w:val="clear" w:color="auto" w:fill="auto"/>
            <w:vAlign w:val="center"/>
          </w:tcPr>
          <w:p w14:paraId="5F178976" w14:textId="77777777" w:rsidR="00876517" w:rsidRPr="00885F53" w:rsidRDefault="00876517" w:rsidP="00AD2F6B">
            <w:pPr>
              <w:keepNext/>
              <w:keepLines/>
              <w:spacing w:after="0"/>
              <w:jc w:val="center"/>
              <w:rPr>
                <w:rFonts w:ascii="Arial" w:hAnsi="Arial"/>
                <w:sz w:val="18"/>
              </w:rPr>
            </w:pPr>
            <w:r w:rsidRPr="00885F53">
              <w:rPr>
                <w:rFonts w:ascii="Arial" w:hAnsi="Arial"/>
                <w:sz w:val="18"/>
              </w:rPr>
              <w:t>-</w:t>
            </w:r>
            <w:r>
              <w:rPr>
                <w:rFonts w:ascii="Arial" w:hAnsi="Arial"/>
                <w:sz w:val="18"/>
              </w:rPr>
              <w:t>5</w:t>
            </w:r>
            <w:r w:rsidRPr="00885F53">
              <w:rPr>
                <w:rFonts w:ascii="Arial" w:hAnsi="Arial"/>
                <w:sz w:val="18"/>
              </w:rPr>
              <w:t>0</w:t>
            </w:r>
          </w:p>
        </w:tc>
      </w:tr>
      <w:tr w:rsidR="00876517" w:rsidRPr="00885F53" w14:paraId="30C8D704" w14:textId="77777777" w:rsidTr="00AD2F6B">
        <w:trPr>
          <w:jc w:val="center"/>
        </w:trPr>
        <w:tc>
          <w:tcPr>
            <w:tcW w:w="1031" w:type="dxa"/>
            <w:tcBorders>
              <w:top w:val="single" w:sz="6" w:space="0" w:color="auto"/>
              <w:left w:val="single" w:sz="4" w:space="0" w:color="auto"/>
              <w:bottom w:val="single" w:sz="6" w:space="0" w:color="auto"/>
              <w:right w:val="single" w:sz="6" w:space="0" w:color="auto"/>
            </w:tcBorders>
            <w:shd w:val="clear" w:color="auto" w:fill="auto"/>
            <w:vAlign w:val="center"/>
          </w:tcPr>
          <w:p w14:paraId="419B418F" w14:textId="77777777" w:rsidR="00876517" w:rsidRPr="00885F53" w:rsidRDefault="00876517" w:rsidP="00AD2F6B">
            <w:pPr>
              <w:keepNext/>
              <w:keepLines/>
              <w:spacing w:after="0"/>
              <w:jc w:val="center"/>
            </w:pPr>
            <w:r w:rsidRPr="00885F53">
              <w:rPr>
                <w:rFonts w:ascii="Arial" w:hAnsi="Arial"/>
                <w:sz w:val="18"/>
              </w:rPr>
              <w:sym w:font="Symbol" w:char="F0B1"/>
            </w:r>
            <w:r w:rsidRPr="00885F53">
              <w:rPr>
                <w:rFonts w:ascii="Arial" w:hAnsi="Arial"/>
                <w:sz w:val="18"/>
              </w:rPr>
              <w:t>3</w:t>
            </w:r>
          </w:p>
        </w:tc>
        <w:tc>
          <w:tcPr>
            <w:tcW w:w="1043" w:type="dxa"/>
            <w:tcBorders>
              <w:top w:val="single" w:sz="6" w:space="0" w:color="auto"/>
              <w:left w:val="single" w:sz="6" w:space="0" w:color="auto"/>
              <w:bottom w:val="single" w:sz="6" w:space="0" w:color="auto"/>
              <w:right w:val="single" w:sz="6" w:space="0" w:color="auto"/>
            </w:tcBorders>
            <w:shd w:val="clear" w:color="auto" w:fill="auto"/>
            <w:vAlign w:val="center"/>
          </w:tcPr>
          <w:p w14:paraId="7C2EE66F" w14:textId="77777777" w:rsidR="00876517" w:rsidRPr="00885F53" w:rsidRDefault="00876517" w:rsidP="00AD2F6B">
            <w:pPr>
              <w:keepNext/>
              <w:keepLines/>
              <w:spacing w:after="0"/>
              <w:jc w:val="center"/>
            </w:pPr>
            <w:r w:rsidRPr="00885F53">
              <w:rPr>
                <w:rFonts w:ascii="Arial" w:hAnsi="Arial"/>
                <w:sz w:val="18"/>
              </w:rPr>
              <w:sym w:font="Symbol" w:char="F0B1"/>
            </w:r>
            <w:r w:rsidRPr="00885F53">
              <w:rPr>
                <w:rFonts w:ascii="Arial" w:hAnsi="Arial"/>
                <w:sz w:val="18"/>
              </w:rPr>
              <w:t>3</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tcPr>
          <w:p w14:paraId="2E4B2836" w14:textId="77777777" w:rsidR="00876517" w:rsidRPr="00885F53" w:rsidRDefault="00876517" w:rsidP="00AD2F6B">
            <w:pPr>
              <w:keepNext/>
              <w:keepLines/>
              <w:spacing w:after="0"/>
              <w:jc w:val="center"/>
            </w:pPr>
            <w:r>
              <w:rPr>
                <w:rFonts w:ascii="Arial" w:hAnsi="Arial"/>
                <w:sz w:val="18"/>
              </w:rPr>
              <w:sym w:font="Symbol" w:char="F0B3"/>
            </w:r>
            <w:r>
              <w:rPr>
                <w:rFonts w:ascii="Arial" w:hAnsi="Arial" w:cs="Arial"/>
                <w:sz w:val="18"/>
              </w:rPr>
              <w:t>-6</w:t>
            </w:r>
          </w:p>
        </w:tc>
        <w:tc>
          <w:tcPr>
            <w:tcW w:w="1957" w:type="dxa"/>
            <w:tcBorders>
              <w:top w:val="single" w:sz="6" w:space="0" w:color="auto"/>
              <w:left w:val="single" w:sz="6" w:space="0" w:color="auto"/>
              <w:bottom w:val="single" w:sz="6" w:space="0" w:color="auto"/>
              <w:right w:val="single" w:sz="4" w:space="0" w:color="auto"/>
            </w:tcBorders>
            <w:shd w:val="clear" w:color="auto" w:fill="auto"/>
            <w:vAlign w:val="center"/>
          </w:tcPr>
          <w:p w14:paraId="14526B13" w14:textId="77777777" w:rsidR="00876517" w:rsidRPr="000B4F9B" w:rsidRDefault="00876517" w:rsidP="00AD2F6B">
            <w:pPr>
              <w:keepNext/>
              <w:keepLines/>
              <w:spacing w:after="0"/>
              <w:jc w:val="center"/>
              <w:rPr>
                <w:lang w:val="sv-FI"/>
              </w:rPr>
            </w:pPr>
            <w:r>
              <w:rPr>
                <w:rFonts w:ascii="Arial" w:hAnsi="Arial"/>
                <w:sz w:val="18"/>
              </w:rPr>
              <w:t>Note 4</w:t>
            </w:r>
          </w:p>
        </w:tc>
        <w:tc>
          <w:tcPr>
            <w:tcW w:w="827" w:type="dxa"/>
            <w:tcBorders>
              <w:top w:val="single" w:sz="6" w:space="0" w:color="auto"/>
              <w:left w:val="single" w:sz="4" w:space="0" w:color="auto"/>
              <w:bottom w:val="single" w:sz="4" w:space="0" w:color="auto"/>
              <w:right w:val="single" w:sz="6" w:space="0" w:color="auto"/>
            </w:tcBorders>
            <w:shd w:val="clear" w:color="auto" w:fill="auto"/>
            <w:vAlign w:val="center"/>
          </w:tcPr>
          <w:p w14:paraId="38E26802" w14:textId="77777777" w:rsidR="00876517" w:rsidRPr="00885F53" w:rsidRDefault="00876517" w:rsidP="00AD2F6B">
            <w:pPr>
              <w:keepNext/>
              <w:keepLines/>
              <w:spacing w:after="0"/>
              <w:jc w:val="center"/>
            </w:pPr>
            <w:r>
              <w:rPr>
                <w:rFonts w:ascii="Arial" w:hAnsi="Arial"/>
                <w:sz w:val="18"/>
              </w:rPr>
              <w:t>Note 4</w:t>
            </w:r>
          </w:p>
        </w:tc>
        <w:tc>
          <w:tcPr>
            <w:tcW w:w="827" w:type="dxa"/>
            <w:tcBorders>
              <w:top w:val="single" w:sz="6" w:space="0" w:color="auto"/>
              <w:left w:val="single" w:sz="4" w:space="0" w:color="auto"/>
              <w:bottom w:val="single" w:sz="4" w:space="0" w:color="auto"/>
              <w:right w:val="single" w:sz="6" w:space="0" w:color="auto"/>
            </w:tcBorders>
            <w:shd w:val="clear" w:color="auto" w:fill="auto"/>
            <w:vAlign w:val="center"/>
          </w:tcPr>
          <w:p w14:paraId="60BCDFBA" w14:textId="77777777" w:rsidR="00876517" w:rsidRPr="00885F53" w:rsidRDefault="00876517" w:rsidP="00AD2F6B">
            <w:pPr>
              <w:keepNext/>
              <w:keepLines/>
              <w:spacing w:after="0"/>
              <w:jc w:val="center"/>
              <w:rPr>
                <w:rFonts w:ascii="Arial" w:hAnsi="Arial"/>
                <w:sz w:val="18"/>
                <w:lang w:eastAsia="zh-CN"/>
              </w:rPr>
            </w:pPr>
            <w:r>
              <w:rPr>
                <w:rFonts w:ascii="Arial" w:hAnsi="Arial"/>
                <w:sz w:val="18"/>
              </w:rPr>
              <w:t>Note 4</w:t>
            </w:r>
          </w:p>
        </w:tc>
        <w:tc>
          <w:tcPr>
            <w:tcW w:w="827" w:type="dxa"/>
            <w:tcBorders>
              <w:top w:val="single" w:sz="6" w:space="0" w:color="auto"/>
              <w:left w:val="single" w:sz="4" w:space="0" w:color="auto"/>
              <w:bottom w:val="single" w:sz="4" w:space="0" w:color="auto"/>
              <w:right w:val="single" w:sz="6" w:space="0" w:color="auto"/>
            </w:tcBorders>
            <w:shd w:val="clear" w:color="auto" w:fill="auto"/>
            <w:vAlign w:val="center"/>
          </w:tcPr>
          <w:p w14:paraId="48DFDBF4" w14:textId="77777777" w:rsidR="00876517" w:rsidRPr="00885F53" w:rsidRDefault="00876517" w:rsidP="00AD2F6B">
            <w:pPr>
              <w:keepNext/>
              <w:keepLines/>
              <w:spacing w:after="0"/>
              <w:jc w:val="center"/>
              <w:rPr>
                <w:rFonts w:ascii="Arial" w:hAnsi="Arial"/>
                <w:sz w:val="18"/>
                <w:lang w:eastAsia="zh-CN"/>
              </w:rPr>
            </w:pPr>
            <w:r>
              <w:rPr>
                <w:rFonts w:ascii="Arial" w:hAnsi="Arial"/>
                <w:sz w:val="18"/>
              </w:rPr>
              <w:t>Note 4</w:t>
            </w:r>
          </w:p>
        </w:tc>
        <w:tc>
          <w:tcPr>
            <w:tcW w:w="1440" w:type="dxa"/>
            <w:tcBorders>
              <w:top w:val="single" w:sz="6" w:space="0" w:color="auto"/>
              <w:left w:val="single" w:sz="6" w:space="0" w:color="auto"/>
              <w:bottom w:val="single" w:sz="4" w:space="0" w:color="auto"/>
              <w:right w:val="single" w:sz="6" w:space="0" w:color="auto"/>
            </w:tcBorders>
            <w:shd w:val="clear" w:color="auto" w:fill="auto"/>
            <w:vAlign w:val="center"/>
          </w:tcPr>
          <w:p w14:paraId="4F06035F" w14:textId="77777777" w:rsidR="00876517" w:rsidRPr="00885F53" w:rsidRDefault="00876517" w:rsidP="00AD2F6B">
            <w:pPr>
              <w:keepNext/>
              <w:keepLines/>
              <w:spacing w:after="0"/>
              <w:jc w:val="center"/>
            </w:pPr>
            <w:r w:rsidRPr="00885F53">
              <w:rPr>
                <w:rFonts w:ascii="Arial" w:hAnsi="Arial"/>
                <w:sz w:val="18"/>
              </w:rPr>
              <w:t>N/A</w:t>
            </w:r>
          </w:p>
        </w:tc>
        <w:tc>
          <w:tcPr>
            <w:tcW w:w="1440" w:type="dxa"/>
            <w:tcBorders>
              <w:top w:val="single" w:sz="6" w:space="0" w:color="auto"/>
              <w:left w:val="single" w:sz="6" w:space="0" w:color="auto"/>
              <w:bottom w:val="single" w:sz="4" w:space="0" w:color="auto"/>
              <w:right w:val="single" w:sz="4" w:space="0" w:color="auto"/>
            </w:tcBorders>
            <w:shd w:val="clear" w:color="auto" w:fill="auto"/>
            <w:vAlign w:val="center"/>
          </w:tcPr>
          <w:p w14:paraId="34BC2449" w14:textId="77777777" w:rsidR="00876517" w:rsidRPr="00885F53" w:rsidRDefault="00876517" w:rsidP="00AD2F6B">
            <w:pPr>
              <w:keepNext/>
              <w:keepLines/>
              <w:spacing w:after="0"/>
              <w:jc w:val="center"/>
            </w:pPr>
            <w:r>
              <w:rPr>
                <w:rFonts w:ascii="Arial" w:hAnsi="Arial"/>
                <w:sz w:val="18"/>
              </w:rPr>
              <w:t>Note 4</w:t>
            </w:r>
          </w:p>
        </w:tc>
      </w:tr>
      <w:tr w:rsidR="00876517" w:rsidRPr="00885F53" w14:paraId="52058316" w14:textId="77777777" w:rsidTr="00AD2F6B">
        <w:trPr>
          <w:jc w:val="center"/>
        </w:trPr>
        <w:tc>
          <w:tcPr>
            <w:tcW w:w="10172" w:type="dxa"/>
            <w:gridSpan w:val="9"/>
            <w:tcBorders>
              <w:top w:val="single" w:sz="6" w:space="0" w:color="auto"/>
              <w:left w:val="single" w:sz="4" w:space="0" w:color="auto"/>
              <w:bottom w:val="single" w:sz="4" w:space="0" w:color="auto"/>
              <w:right w:val="single" w:sz="4" w:space="0" w:color="auto"/>
            </w:tcBorders>
            <w:shd w:val="clear" w:color="auto" w:fill="auto"/>
            <w:vAlign w:val="center"/>
          </w:tcPr>
          <w:p w14:paraId="23ED8DC5" w14:textId="77777777" w:rsidR="00876517" w:rsidRPr="00885F53" w:rsidRDefault="00876517" w:rsidP="00AD2F6B">
            <w:pPr>
              <w:keepNext/>
              <w:keepLines/>
              <w:spacing w:after="0"/>
              <w:ind w:left="851" w:hanging="851"/>
              <w:rPr>
                <w:rFonts w:ascii="Arial" w:hAnsi="Arial"/>
                <w:sz w:val="18"/>
              </w:rPr>
            </w:pPr>
            <w:r w:rsidRPr="00885F53">
              <w:rPr>
                <w:rFonts w:ascii="Arial" w:hAnsi="Arial"/>
                <w:sz w:val="18"/>
              </w:rPr>
              <w:t>NOTE 1:</w:t>
            </w:r>
            <w:r w:rsidRPr="00885F53">
              <w:rPr>
                <w:rFonts w:ascii="Arial" w:hAnsi="Arial"/>
                <w:sz w:val="18"/>
              </w:rPr>
              <w:tab/>
              <w:t>Io is assumed to have constant EPRE across the bandwidth.</w:t>
            </w:r>
          </w:p>
          <w:p w14:paraId="6B6485D2" w14:textId="77777777" w:rsidR="00876517" w:rsidRDefault="00876517" w:rsidP="00AD2F6B">
            <w:pPr>
              <w:keepNext/>
              <w:keepLines/>
              <w:spacing w:after="0"/>
              <w:ind w:left="851" w:hanging="851"/>
              <w:rPr>
                <w:rFonts w:ascii="Arial" w:hAnsi="Arial"/>
                <w:sz w:val="18"/>
              </w:rPr>
            </w:pPr>
            <w:r w:rsidRPr="00885F53">
              <w:rPr>
                <w:rFonts w:ascii="Arial" w:hAnsi="Arial"/>
                <w:sz w:val="18"/>
              </w:rPr>
              <w:t>NOTE 2:</w:t>
            </w:r>
            <w:r w:rsidRPr="00885F53">
              <w:rPr>
                <w:rFonts w:ascii="Arial" w:hAnsi="Arial"/>
                <w:sz w:val="18"/>
              </w:rPr>
              <w:tab/>
              <w:t xml:space="preserve">NR </w:t>
            </w:r>
            <w:r>
              <w:rPr>
                <w:rFonts w:ascii="Arial" w:hAnsi="Arial"/>
                <w:sz w:val="18"/>
              </w:rPr>
              <w:t xml:space="preserve">V2X </w:t>
            </w:r>
            <w:r w:rsidRPr="00885F53">
              <w:rPr>
                <w:rFonts w:ascii="Arial" w:hAnsi="Arial"/>
                <w:sz w:val="18"/>
              </w:rPr>
              <w:t>operating band groups in FR1 are as defined in clause 3.5.2.</w:t>
            </w:r>
          </w:p>
          <w:p w14:paraId="0A6EBF88" w14:textId="77777777" w:rsidR="00876517" w:rsidRDefault="00876517" w:rsidP="00AD2F6B">
            <w:pPr>
              <w:keepNext/>
              <w:keepLines/>
              <w:spacing w:after="0"/>
              <w:ind w:left="851" w:hanging="851"/>
              <w:rPr>
                <w:rFonts w:ascii="Arial" w:hAnsi="Arial"/>
                <w:sz w:val="18"/>
              </w:rPr>
            </w:pPr>
            <w:r w:rsidRPr="00885F53">
              <w:rPr>
                <w:rFonts w:ascii="Arial" w:hAnsi="Arial"/>
                <w:sz w:val="18"/>
              </w:rPr>
              <w:t xml:space="preserve">NOTE </w:t>
            </w:r>
            <w:r>
              <w:rPr>
                <w:rFonts w:ascii="Arial" w:hAnsi="Arial"/>
                <w:sz w:val="18"/>
              </w:rPr>
              <w:t>3</w:t>
            </w:r>
            <w:r w:rsidRPr="00885F53">
              <w:rPr>
                <w:rFonts w:ascii="Arial" w:hAnsi="Arial"/>
                <w:sz w:val="18"/>
              </w:rPr>
              <w:t>:</w:t>
            </w:r>
            <w:r w:rsidRPr="00885F53">
              <w:rPr>
                <w:rFonts w:ascii="Arial" w:hAnsi="Arial"/>
                <w:sz w:val="18"/>
              </w:rPr>
              <w:tab/>
            </w:r>
            <w:r w:rsidRPr="00C71EF4">
              <w:rPr>
                <w:rFonts w:ascii="Arial" w:hAnsi="Arial"/>
                <w:sz w:val="18"/>
              </w:rPr>
              <w:t xml:space="preserve">Ês/Iot for a SyncRef UE is the Ês/Iot of </w:t>
            </w:r>
            <w:r>
              <w:rPr>
                <w:rFonts w:ascii="Arial" w:hAnsi="Arial"/>
                <w:sz w:val="18"/>
              </w:rPr>
              <w:t>PSBCH-DMRS.</w:t>
            </w:r>
          </w:p>
          <w:p w14:paraId="55B669CB" w14:textId="77777777" w:rsidR="00876517" w:rsidRPr="00885F53" w:rsidRDefault="00876517" w:rsidP="00AD2F6B">
            <w:pPr>
              <w:keepNext/>
              <w:keepLines/>
              <w:spacing w:after="0"/>
              <w:ind w:left="851" w:hanging="851"/>
            </w:pPr>
            <w:r w:rsidRPr="00885F53">
              <w:rPr>
                <w:rFonts w:ascii="Arial" w:hAnsi="Arial"/>
                <w:sz w:val="18"/>
              </w:rPr>
              <w:t xml:space="preserve">NOTE </w:t>
            </w:r>
            <w:r>
              <w:rPr>
                <w:rFonts w:ascii="Arial" w:hAnsi="Arial"/>
                <w:sz w:val="18"/>
              </w:rPr>
              <w:t>4</w:t>
            </w:r>
            <w:r w:rsidRPr="00885F53">
              <w:rPr>
                <w:rFonts w:ascii="Arial" w:hAnsi="Arial"/>
                <w:sz w:val="18"/>
              </w:rPr>
              <w:t>:</w:t>
            </w:r>
            <w:r w:rsidRPr="00885F53">
              <w:rPr>
                <w:rFonts w:ascii="Arial" w:hAnsi="Arial"/>
                <w:sz w:val="18"/>
              </w:rPr>
              <w:tab/>
            </w:r>
            <w:r w:rsidRPr="00466AD6">
              <w:rPr>
                <w:rFonts w:ascii="Arial" w:hAnsi="Arial"/>
                <w:sz w:val="18"/>
              </w:rPr>
              <w:t>The same bands and the same Io conditions for each band apply for this requirement as for the corresponding highest accuracy requirement.</w:t>
            </w:r>
          </w:p>
        </w:tc>
      </w:tr>
    </w:tbl>
    <w:p w14:paraId="2CE41668" w14:textId="77777777" w:rsidR="003527C6" w:rsidRDefault="003527C6" w:rsidP="003527C6">
      <w:pPr>
        <w:rPr>
          <w:noProof/>
        </w:rPr>
      </w:pPr>
    </w:p>
    <w:p w14:paraId="6E95AE7B" w14:textId="1E187F9B" w:rsidR="008E7ED3" w:rsidRPr="003F0B9D" w:rsidRDefault="008E7ED3" w:rsidP="008E7ED3">
      <w:pPr>
        <w:pStyle w:val="Heading3"/>
        <w:rPr>
          <w:noProof/>
        </w:rPr>
      </w:pPr>
      <w:r w:rsidRPr="003F0B9D">
        <w:rPr>
          <w:noProof/>
        </w:rPr>
        <w:t>10.4.3</w:t>
      </w:r>
      <w:r w:rsidRPr="003F0B9D">
        <w:rPr>
          <w:noProof/>
        </w:rPr>
        <w:tab/>
        <w:t>Intra-Frequency SL-RSSI Measurement</w:t>
      </w:r>
      <w:r w:rsidRPr="003F0B9D">
        <w:t xml:space="preserve"> </w:t>
      </w:r>
      <w:r w:rsidRPr="003F0B9D">
        <w:rPr>
          <w:noProof/>
        </w:rPr>
        <w:t>Accuracy Requirements for FR1</w:t>
      </w:r>
    </w:p>
    <w:p w14:paraId="7F53A2C9" w14:textId="77777777" w:rsidR="008E7ED3" w:rsidRPr="003F0B9D" w:rsidRDefault="008E7ED3" w:rsidP="008E7ED3">
      <w:pPr>
        <w:pStyle w:val="Heading4"/>
        <w:rPr>
          <w:lang w:val="en-US" w:eastAsia="zh-CN"/>
        </w:rPr>
      </w:pPr>
      <w:r w:rsidRPr="003F0B9D">
        <w:rPr>
          <w:lang w:eastAsia="zh-CN"/>
        </w:rPr>
        <w:t>10.4.3</w:t>
      </w:r>
      <w:r w:rsidRPr="003F0B9D">
        <w:rPr>
          <w:lang w:val="en-US" w:eastAsia="zh-CN"/>
        </w:rPr>
        <w:t>.1</w:t>
      </w:r>
      <w:r w:rsidRPr="003F0B9D">
        <w:rPr>
          <w:lang w:val="en-US" w:eastAsia="zh-CN"/>
        </w:rPr>
        <w:tab/>
        <w:t>Absolute SL-RSSI Accuracy</w:t>
      </w:r>
    </w:p>
    <w:p w14:paraId="4698EDD5" w14:textId="77777777" w:rsidR="008E7ED3" w:rsidRPr="003F0B9D" w:rsidRDefault="008E7ED3" w:rsidP="008E7ED3">
      <w:pPr>
        <w:rPr>
          <w:lang w:eastAsia="zh-CN"/>
        </w:rPr>
      </w:pPr>
      <w:r w:rsidRPr="003F0B9D">
        <w:rPr>
          <w:lang w:eastAsia="zh-CN"/>
        </w:rPr>
        <w:t>The intra-frequency SL-RSSI requirements are specified in Table 10.4.3.1-1. The requirements apply for measurement period of 1slot and for any configured measurement bandwidth larger than 10 RBs, provided that:</w:t>
      </w:r>
    </w:p>
    <w:p w14:paraId="73E8E51C" w14:textId="77777777" w:rsidR="008E7ED3" w:rsidRPr="003F0B9D" w:rsidRDefault="008E7ED3" w:rsidP="008E7ED3">
      <w:pPr>
        <w:pStyle w:val="B10"/>
        <w:rPr>
          <w:lang w:eastAsia="zh-CN"/>
        </w:rPr>
      </w:pPr>
      <w:r w:rsidRPr="003F0B9D">
        <w:rPr>
          <w:lang w:eastAsia="zh-CN"/>
        </w:rPr>
        <w:t>-</w:t>
      </w:r>
      <w:r w:rsidRPr="003F0B9D">
        <w:rPr>
          <w:lang w:eastAsia="zh-CN"/>
        </w:rPr>
        <w:tab/>
        <w:t>All symbols duing each RSSI measurement duration are available for RSSI sampling within the same measurement interval.</w:t>
      </w:r>
    </w:p>
    <w:p w14:paraId="48AA501E" w14:textId="77777777" w:rsidR="008E7ED3" w:rsidRPr="003F0B9D" w:rsidRDefault="008E7ED3" w:rsidP="008E7ED3">
      <w:pPr>
        <w:pStyle w:val="TH"/>
      </w:pPr>
      <w:r w:rsidRPr="003F0B9D">
        <w:t>Table 10.4.3.1-1: Intra-frequency SL-RSSI absolute accuracy</w:t>
      </w:r>
    </w:p>
    <w:tbl>
      <w:tblPr>
        <w:tblW w:w="10172" w:type="dxa"/>
        <w:jc w:val="center"/>
        <w:tblLook w:val="01E0" w:firstRow="1" w:lastRow="1" w:firstColumn="1" w:lastColumn="1" w:noHBand="0" w:noVBand="0"/>
      </w:tblPr>
      <w:tblGrid>
        <w:gridCol w:w="1026"/>
        <w:gridCol w:w="1085"/>
        <w:gridCol w:w="1853"/>
        <w:gridCol w:w="1418"/>
        <w:gridCol w:w="1276"/>
        <w:gridCol w:w="1417"/>
        <w:gridCol w:w="2097"/>
      </w:tblGrid>
      <w:tr w:rsidR="008E7ED3" w:rsidRPr="003F0B9D" w14:paraId="54347C25" w14:textId="77777777" w:rsidTr="00AD2F6B">
        <w:trPr>
          <w:jc w:val="center"/>
        </w:trPr>
        <w:tc>
          <w:tcPr>
            <w:tcW w:w="2111" w:type="dxa"/>
            <w:gridSpan w:val="2"/>
            <w:tcBorders>
              <w:top w:val="single" w:sz="4" w:space="0" w:color="auto"/>
              <w:left w:val="single" w:sz="4" w:space="0" w:color="auto"/>
              <w:bottom w:val="single" w:sz="6" w:space="0" w:color="auto"/>
              <w:right w:val="single" w:sz="4" w:space="0" w:color="auto"/>
            </w:tcBorders>
            <w:vAlign w:val="center"/>
            <w:hideMark/>
          </w:tcPr>
          <w:p w14:paraId="48D06CEF" w14:textId="77777777" w:rsidR="008E7ED3" w:rsidRPr="003F0B9D" w:rsidRDefault="008E7ED3" w:rsidP="00AD2F6B">
            <w:pPr>
              <w:pStyle w:val="TAH"/>
              <w:rPr>
                <w:rFonts w:cs="Arial"/>
              </w:rPr>
            </w:pPr>
            <w:r w:rsidRPr="003F0B9D">
              <w:rPr>
                <w:rFonts w:cs="Arial"/>
              </w:rPr>
              <w:t>Accuracy</w:t>
            </w:r>
          </w:p>
        </w:tc>
        <w:tc>
          <w:tcPr>
            <w:tcW w:w="8061" w:type="dxa"/>
            <w:gridSpan w:val="5"/>
            <w:tcBorders>
              <w:top w:val="single" w:sz="4" w:space="0" w:color="auto"/>
              <w:left w:val="single" w:sz="6" w:space="0" w:color="auto"/>
              <w:bottom w:val="single" w:sz="6" w:space="0" w:color="auto"/>
              <w:right w:val="single" w:sz="4" w:space="0" w:color="auto"/>
            </w:tcBorders>
            <w:vAlign w:val="center"/>
          </w:tcPr>
          <w:p w14:paraId="7EEFE516" w14:textId="77777777" w:rsidR="008E7ED3" w:rsidRPr="003F0B9D" w:rsidRDefault="008E7ED3" w:rsidP="00AD2F6B">
            <w:pPr>
              <w:pStyle w:val="TAH"/>
              <w:rPr>
                <w:rFonts w:cs="Arial"/>
              </w:rPr>
            </w:pPr>
            <w:r w:rsidRPr="003F0B9D">
              <w:rPr>
                <w:rFonts w:cs="Arial"/>
              </w:rPr>
              <w:t>Conditions</w:t>
            </w:r>
          </w:p>
        </w:tc>
      </w:tr>
      <w:tr w:rsidR="008E7ED3" w:rsidRPr="003F0B9D" w14:paraId="134E2B8F" w14:textId="77777777" w:rsidTr="00AD2F6B">
        <w:trPr>
          <w:jc w:val="center"/>
        </w:trPr>
        <w:tc>
          <w:tcPr>
            <w:tcW w:w="1026" w:type="dxa"/>
            <w:vMerge w:val="restart"/>
            <w:tcBorders>
              <w:top w:val="single" w:sz="6" w:space="0" w:color="auto"/>
              <w:left w:val="single" w:sz="4" w:space="0" w:color="auto"/>
              <w:bottom w:val="single" w:sz="6" w:space="0" w:color="auto"/>
              <w:right w:val="single" w:sz="6" w:space="0" w:color="auto"/>
            </w:tcBorders>
            <w:vAlign w:val="center"/>
            <w:hideMark/>
          </w:tcPr>
          <w:p w14:paraId="7C8B7AB8" w14:textId="77777777" w:rsidR="008E7ED3" w:rsidRPr="003F0B9D" w:rsidRDefault="008E7ED3" w:rsidP="00AD2F6B">
            <w:pPr>
              <w:pStyle w:val="TAH"/>
              <w:rPr>
                <w:rFonts w:cs="Arial"/>
              </w:rPr>
            </w:pPr>
            <w:r w:rsidRPr="003F0B9D">
              <w:rPr>
                <w:rFonts w:cs="Arial"/>
              </w:rPr>
              <w:t>Normal condition</w:t>
            </w:r>
          </w:p>
        </w:tc>
        <w:tc>
          <w:tcPr>
            <w:tcW w:w="1085" w:type="dxa"/>
            <w:vMerge w:val="restart"/>
            <w:tcBorders>
              <w:top w:val="single" w:sz="6" w:space="0" w:color="auto"/>
              <w:left w:val="single" w:sz="6" w:space="0" w:color="auto"/>
              <w:right w:val="single" w:sz="6" w:space="0" w:color="auto"/>
            </w:tcBorders>
            <w:vAlign w:val="center"/>
            <w:hideMark/>
          </w:tcPr>
          <w:p w14:paraId="0DEFD889" w14:textId="77777777" w:rsidR="008E7ED3" w:rsidRPr="003F0B9D" w:rsidRDefault="008E7ED3" w:rsidP="00AD2F6B">
            <w:pPr>
              <w:pStyle w:val="TAH"/>
              <w:rPr>
                <w:rFonts w:cs="Arial"/>
              </w:rPr>
            </w:pPr>
            <w:r w:rsidRPr="003F0B9D">
              <w:rPr>
                <w:rFonts w:cs="Arial"/>
              </w:rPr>
              <w:t>Extreme condition</w:t>
            </w:r>
          </w:p>
        </w:tc>
        <w:tc>
          <w:tcPr>
            <w:tcW w:w="8061" w:type="dxa"/>
            <w:gridSpan w:val="5"/>
            <w:tcBorders>
              <w:top w:val="single" w:sz="6" w:space="0" w:color="auto"/>
              <w:left w:val="single" w:sz="6" w:space="0" w:color="auto"/>
              <w:bottom w:val="single" w:sz="6" w:space="0" w:color="auto"/>
              <w:right w:val="single" w:sz="4" w:space="0" w:color="auto"/>
            </w:tcBorders>
            <w:vAlign w:val="center"/>
            <w:hideMark/>
          </w:tcPr>
          <w:p w14:paraId="4552C4A1" w14:textId="77777777" w:rsidR="008E7ED3" w:rsidRPr="003F0B9D" w:rsidRDefault="008E7ED3" w:rsidP="00AD2F6B">
            <w:pPr>
              <w:pStyle w:val="TAH"/>
              <w:rPr>
                <w:rFonts w:cs="Arial"/>
              </w:rPr>
            </w:pPr>
            <w:r w:rsidRPr="003F0B9D">
              <w:rPr>
                <w:rFonts w:cs="Arial"/>
              </w:rPr>
              <w:t>Io</w:t>
            </w:r>
            <w:r w:rsidRPr="003F0B9D">
              <w:rPr>
                <w:rFonts w:cs="Arial"/>
                <w:vertAlign w:val="superscript"/>
                <w:lang w:eastAsia="zh-CN"/>
              </w:rPr>
              <w:t xml:space="preserve"> Note 1</w:t>
            </w:r>
            <w:r w:rsidRPr="003F0B9D">
              <w:rPr>
                <w:rFonts w:cs="Arial"/>
              </w:rPr>
              <w:t xml:space="preserve"> range</w:t>
            </w:r>
          </w:p>
        </w:tc>
      </w:tr>
      <w:tr w:rsidR="008E7ED3" w:rsidRPr="003F0B9D" w14:paraId="3A07527F" w14:textId="77777777" w:rsidTr="00AD2F6B">
        <w:trPr>
          <w:jc w:val="center"/>
        </w:trPr>
        <w:tc>
          <w:tcPr>
            <w:tcW w:w="1026" w:type="dxa"/>
            <w:vMerge/>
            <w:tcBorders>
              <w:top w:val="single" w:sz="6" w:space="0" w:color="auto"/>
              <w:left w:val="single" w:sz="4" w:space="0" w:color="auto"/>
              <w:bottom w:val="single" w:sz="6" w:space="0" w:color="auto"/>
              <w:right w:val="single" w:sz="6" w:space="0" w:color="auto"/>
            </w:tcBorders>
            <w:vAlign w:val="center"/>
            <w:hideMark/>
          </w:tcPr>
          <w:p w14:paraId="38E9C2F9" w14:textId="77777777" w:rsidR="008E7ED3" w:rsidRPr="003F0B9D" w:rsidRDefault="008E7ED3" w:rsidP="00AD2F6B">
            <w:pPr>
              <w:spacing w:after="0"/>
              <w:rPr>
                <w:rFonts w:ascii="Arial" w:hAnsi="Arial" w:cs="Arial"/>
                <w:b/>
                <w:sz w:val="18"/>
              </w:rPr>
            </w:pPr>
          </w:p>
        </w:tc>
        <w:tc>
          <w:tcPr>
            <w:tcW w:w="1085" w:type="dxa"/>
            <w:vMerge/>
            <w:tcBorders>
              <w:left w:val="single" w:sz="6" w:space="0" w:color="auto"/>
              <w:bottom w:val="single" w:sz="6" w:space="0" w:color="auto"/>
              <w:right w:val="single" w:sz="6" w:space="0" w:color="auto"/>
            </w:tcBorders>
            <w:vAlign w:val="center"/>
            <w:hideMark/>
          </w:tcPr>
          <w:p w14:paraId="7AE9A2DF" w14:textId="77777777" w:rsidR="008E7ED3" w:rsidRPr="003F0B9D" w:rsidRDefault="008E7ED3" w:rsidP="00AD2F6B">
            <w:pPr>
              <w:spacing w:after="0"/>
              <w:rPr>
                <w:rFonts w:ascii="Arial" w:hAnsi="Arial" w:cs="Arial"/>
                <w:b/>
                <w:sz w:val="18"/>
              </w:rPr>
            </w:pPr>
          </w:p>
        </w:tc>
        <w:tc>
          <w:tcPr>
            <w:tcW w:w="1853" w:type="dxa"/>
            <w:tcBorders>
              <w:top w:val="single" w:sz="6" w:space="0" w:color="auto"/>
              <w:left w:val="single" w:sz="6" w:space="0" w:color="auto"/>
              <w:bottom w:val="single" w:sz="6" w:space="0" w:color="auto"/>
              <w:right w:val="single" w:sz="4" w:space="0" w:color="auto"/>
            </w:tcBorders>
            <w:vAlign w:val="center"/>
            <w:hideMark/>
          </w:tcPr>
          <w:p w14:paraId="701A2BBC" w14:textId="77777777" w:rsidR="008E7ED3" w:rsidRPr="003F0B9D" w:rsidRDefault="008E7ED3" w:rsidP="00AD2F6B">
            <w:pPr>
              <w:pStyle w:val="TAH"/>
              <w:rPr>
                <w:rFonts w:cs="Arial"/>
              </w:rPr>
            </w:pPr>
            <w:r w:rsidRPr="003F0B9D">
              <w:rPr>
                <w:rFonts w:cs="Arial"/>
              </w:rPr>
              <w:t>NR V2X operating band groups</w:t>
            </w:r>
            <w:r w:rsidRPr="003F0B9D">
              <w:rPr>
                <w:rFonts w:cs="Arial"/>
                <w:vertAlign w:val="superscript"/>
              </w:rPr>
              <w:t xml:space="preserve"> Note 2</w:t>
            </w:r>
          </w:p>
        </w:tc>
        <w:tc>
          <w:tcPr>
            <w:tcW w:w="4111" w:type="dxa"/>
            <w:gridSpan w:val="3"/>
            <w:tcBorders>
              <w:top w:val="single" w:sz="4" w:space="0" w:color="auto"/>
              <w:left w:val="single" w:sz="4" w:space="0" w:color="auto"/>
              <w:bottom w:val="single" w:sz="6" w:space="0" w:color="auto"/>
              <w:right w:val="single" w:sz="4" w:space="0" w:color="auto"/>
            </w:tcBorders>
            <w:vAlign w:val="center"/>
            <w:hideMark/>
          </w:tcPr>
          <w:p w14:paraId="370CCCB3" w14:textId="77777777" w:rsidR="008E7ED3" w:rsidRPr="003F0B9D" w:rsidRDefault="008E7ED3" w:rsidP="00AD2F6B">
            <w:pPr>
              <w:pStyle w:val="TAH"/>
              <w:rPr>
                <w:rFonts w:cs="Arial"/>
              </w:rPr>
            </w:pPr>
            <w:r w:rsidRPr="003F0B9D">
              <w:rPr>
                <w:rFonts w:cs="Arial"/>
                <w:lang w:eastAsia="ja-JP"/>
              </w:rPr>
              <w:t>Minimum Io</w:t>
            </w:r>
          </w:p>
        </w:tc>
        <w:tc>
          <w:tcPr>
            <w:tcW w:w="2097" w:type="dxa"/>
            <w:tcBorders>
              <w:top w:val="single" w:sz="4" w:space="0" w:color="auto"/>
              <w:left w:val="single" w:sz="6" w:space="0" w:color="auto"/>
              <w:bottom w:val="single" w:sz="6" w:space="0" w:color="auto"/>
              <w:right w:val="single" w:sz="4" w:space="0" w:color="auto"/>
            </w:tcBorders>
            <w:vAlign w:val="center"/>
          </w:tcPr>
          <w:p w14:paraId="0115BD2F" w14:textId="77777777" w:rsidR="008E7ED3" w:rsidRPr="003F0B9D" w:rsidRDefault="008E7ED3" w:rsidP="00AD2F6B">
            <w:pPr>
              <w:pStyle w:val="TAH"/>
              <w:rPr>
                <w:rFonts w:cs="Arial"/>
              </w:rPr>
            </w:pPr>
            <w:r w:rsidRPr="003F0B9D">
              <w:rPr>
                <w:rFonts w:cs="Arial"/>
                <w:lang w:eastAsia="ja-JP"/>
              </w:rPr>
              <w:t>Maximum Io</w:t>
            </w:r>
          </w:p>
        </w:tc>
      </w:tr>
      <w:tr w:rsidR="008E7ED3" w:rsidRPr="003F0B9D" w14:paraId="5F498111" w14:textId="77777777" w:rsidTr="00AD2F6B">
        <w:trPr>
          <w:jc w:val="center"/>
        </w:trPr>
        <w:tc>
          <w:tcPr>
            <w:tcW w:w="1026" w:type="dxa"/>
            <w:vMerge w:val="restart"/>
            <w:tcBorders>
              <w:top w:val="single" w:sz="6" w:space="0" w:color="auto"/>
              <w:left w:val="single" w:sz="4" w:space="0" w:color="auto"/>
              <w:right w:val="single" w:sz="6" w:space="0" w:color="auto"/>
            </w:tcBorders>
            <w:vAlign w:val="center"/>
            <w:hideMark/>
          </w:tcPr>
          <w:p w14:paraId="45F4A23C" w14:textId="77777777" w:rsidR="008E7ED3" w:rsidRPr="003F0B9D" w:rsidRDefault="008E7ED3" w:rsidP="00AD2F6B">
            <w:pPr>
              <w:pStyle w:val="TAH"/>
              <w:rPr>
                <w:rFonts w:cs="Arial"/>
              </w:rPr>
            </w:pPr>
            <w:r w:rsidRPr="003F0B9D">
              <w:rPr>
                <w:rFonts w:cs="Arial"/>
              </w:rPr>
              <w:t>dB</w:t>
            </w:r>
          </w:p>
        </w:tc>
        <w:tc>
          <w:tcPr>
            <w:tcW w:w="1085" w:type="dxa"/>
            <w:vMerge w:val="restart"/>
            <w:tcBorders>
              <w:top w:val="single" w:sz="6" w:space="0" w:color="auto"/>
              <w:left w:val="single" w:sz="6" w:space="0" w:color="auto"/>
              <w:right w:val="single" w:sz="6" w:space="0" w:color="auto"/>
            </w:tcBorders>
            <w:vAlign w:val="center"/>
            <w:hideMark/>
          </w:tcPr>
          <w:p w14:paraId="5500C3C5" w14:textId="77777777" w:rsidR="008E7ED3" w:rsidRPr="003F0B9D" w:rsidRDefault="008E7ED3" w:rsidP="00AD2F6B">
            <w:pPr>
              <w:pStyle w:val="TAH"/>
              <w:rPr>
                <w:rFonts w:cs="Arial"/>
              </w:rPr>
            </w:pPr>
            <w:r w:rsidRPr="003F0B9D">
              <w:rPr>
                <w:rFonts w:cs="Arial"/>
              </w:rPr>
              <w:t>dB</w:t>
            </w:r>
          </w:p>
        </w:tc>
        <w:tc>
          <w:tcPr>
            <w:tcW w:w="1853" w:type="dxa"/>
            <w:vMerge w:val="restart"/>
            <w:tcBorders>
              <w:top w:val="single" w:sz="6" w:space="0" w:color="auto"/>
              <w:left w:val="single" w:sz="6" w:space="0" w:color="auto"/>
              <w:right w:val="single" w:sz="4" w:space="0" w:color="auto"/>
            </w:tcBorders>
            <w:vAlign w:val="center"/>
          </w:tcPr>
          <w:p w14:paraId="19632C98" w14:textId="77777777" w:rsidR="008E7ED3" w:rsidRPr="003F0B9D" w:rsidRDefault="008E7ED3" w:rsidP="00AD2F6B">
            <w:pPr>
              <w:pStyle w:val="TAH"/>
              <w:rPr>
                <w:rFonts w:cs="Arial"/>
              </w:rPr>
            </w:pPr>
          </w:p>
        </w:tc>
        <w:tc>
          <w:tcPr>
            <w:tcW w:w="4111" w:type="dxa"/>
            <w:gridSpan w:val="3"/>
            <w:tcBorders>
              <w:top w:val="single" w:sz="6" w:space="0" w:color="auto"/>
              <w:left w:val="single" w:sz="4" w:space="0" w:color="auto"/>
              <w:bottom w:val="single" w:sz="6" w:space="0" w:color="auto"/>
              <w:right w:val="single" w:sz="6" w:space="0" w:color="auto"/>
            </w:tcBorders>
            <w:vAlign w:val="center"/>
          </w:tcPr>
          <w:p w14:paraId="0CB27666" w14:textId="77777777" w:rsidR="008E7ED3" w:rsidRPr="003F0B9D" w:rsidRDefault="008E7ED3" w:rsidP="00AD2F6B">
            <w:pPr>
              <w:pStyle w:val="TAH"/>
              <w:rPr>
                <w:rFonts w:cs="Arial"/>
                <w:lang w:eastAsia="ko-KR"/>
              </w:rPr>
            </w:pPr>
            <w:r w:rsidRPr="003F0B9D">
              <w:rPr>
                <w:rFonts w:cs="Arial"/>
                <w:lang w:eastAsia="ko-KR"/>
              </w:rPr>
              <w:t>dBm/SCS</w:t>
            </w:r>
            <w:r w:rsidRPr="003F0B9D">
              <w:rPr>
                <w:rFonts w:cs="Arial"/>
                <w:vertAlign w:val="subscript"/>
                <w:lang w:eastAsia="ko-KR"/>
              </w:rPr>
              <w:t>SL</w:t>
            </w:r>
          </w:p>
        </w:tc>
        <w:tc>
          <w:tcPr>
            <w:tcW w:w="2097" w:type="dxa"/>
            <w:vMerge w:val="restart"/>
            <w:tcBorders>
              <w:top w:val="single" w:sz="6" w:space="0" w:color="auto"/>
              <w:left w:val="single" w:sz="6" w:space="0" w:color="auto"/>
              <w:right w:val="single" w:sz="4" w:space="0" w:color="auto"/>
            </w:tcBorders>
            <w:vAlign w:val="center"/>
            <w:hideMark/>
          </w:tcPr>
          <w:p w14:paraId="3574DCDB" w14:textId="77777777" w:rsidR="008E7ED3" w:rsidRPr="003F0B9D" w:rsidRDefault="008E7ED3" w:rsidP="00AD2F6B">
            <w:pPr>
              <w:pStyle w:val="TAH"/>
              <w:rPr>
                <w:rFonts w:cs="Arial"/>
              </w:rPr>
            </w:pPr>
            <w:r w:rsidRPr="003F0B9D">
              <w:rPr>
                <w:rFonts w:cs="Arial"/>
              </w:rPr>
              <w:t>dBm/BW</w:t>
            </w:r>
            <w:r w:rsidRPr="003F0B9D">
              <w:rPr>
                <w:rFonts w:cs="Arial"/>
                <w:vertAlign w:val="subscript"/>
              </w:rPr>
              <w:t>Channel</w:t>
            </w:r>
          </w:p>
        </w:tc>
      </w:tr>
      <w:tr w:rsidR="008E7ED3" w:rsidRPr="003F0B9D" w14:paraId="04F645EB" w14:textId="77777777" w:rsidTr="00AD2F6B">
        <w:trPr>
          <w:jc w:val="center"/>
        </w:trPr>
        <w:tc>
          <w:tcPr>
            <w:tcW w:w="1026" w:type="dxa"/>
            <w:vMerge/>
            <w:tcBorders>
              <w:left w:val="single" w:sz="4" w:space="0" w:color="auto"/>
              <w:bottom w:val="single" w:sz="6" w:space="0" w:color="auto"/>
              <w:right w:val="single" w:sz="6" w:space="0" w:color="auto"/>
            </w:tcBorders>
            <w:vAlign w:val="center"/>
          </w:tcPr>
          <w:p w14:paraId="21E95C45" w14:textId="77777777" w:rsidR="008E7ED3" w:rsidRPr="003F0B9D" w:rsidRDefault="008E7ED3" w:rsidP="00AD2F6B">
            <w:pPr>
              <w:pStyle w:val="TAH"/>
              <w:rPr>
                <w:rFonts w:cs="Arial"/>
              </w:rPr>
            </w:pPr>
          </w:p>
        </w:tc>
        <w:tc>
          <w:tcPr>
            <w:tcW w:w="1085" w:type="dxa"/>
            <w:vMerge/>
            <w:tcBorders>
              <w:left w:val="single" w:sz="6" w:space="0" w:color="auto"/>
              <w:bottom w:val="single" w:sz="6" w:space="0" w:color="auto"/>
              <w:right w:val="single" w:sz="6" w:space="0" w:color="auto"/>
            </w:tcBorders>
            <w:vAlign w:val="center"/>
          </w:tcPr>
          <w:p w14:paraId="1085768C" w14:textId="77777777" w:rsidR="008E7ED3" w:rsidRPr="003F0B9D" w:rsidRDefault="008E7ED3" w:rsidP="00AD2F6B">
            <w:pPr>
              <w:pStyle w:val="TAH"/>
              <w:rPr>
                <w:rFonts w:cs="Arial"/>
              </w:rPr>
            </w:pPr>
          </w:p>
        </w:tc>
        <w:tc>
          <w:tcPr>
            <w:tcW w:w="1853" w:type="dxa"/>
            <w:vMerge/>
            <w:tcBorders>
              <w:left w:val="single" w:sz="6" w:space="0" w:color="auto"/>
              <w:bottom w:val="single" w:sz="6" w:space="0" w:color="auto"/>
              <w:right w:val="single" w:sz="4" w:space="0" w:color="auto"/>
            </w:tcBorders>
            <w:vAlign w:val="center"/>
          </w:tcPr>
          <w:p w14:paraId="6B21842A" w14:textId="77777777" w:rsidR="008E7ED3" w:rsidRPr="003F0B9D" w:rsidRDefault="008E7ED3" w:rsidP="00AD2F6B">
            <w:pPr>
              <w:pStyle w:val="TAH"/>
              <w:rPr>
                <w:rFonts w:cs="Arial"/>
              </w:rPr>
            </w:pPr>
          </w:p>
        </w:tc>
        <w:tc>
          <w:tcPr>
            <w:tcW w:w="1418" w:type="dxa"/>
            <w:tcBorders>
              <w:top w:val="single" w:sz="6" w:space="0" w:color="auto"/>
              <w:left w:val="single" w:sz="4" w:space="0" w:color="auto"/>
              <w:bottom w:val="single" w:sz="6" w:space="0" w:color="auto"/>
              <w:right w:val="single" w:sz="6" w:space="0" w:color="auto"/>
            </w:tcBorders>
            <w:vAlign w:val="center"/>
          </w:tcPr>
          <w:p w14:paraId="7FD83F02" w14:textId="77777777" w:rsidR="008E7ED3" w:rsidRPr="003F0B9D" w:rsidRDefault="008E7ED3" w:rsidP="00AD2F6B">
            <w:pPr>
              <w:pStyle w:val="TAH"/>
              <w:rPr>
                <w:rFonts w:cs="Arial"/>
                <w:lang w:eastAsia="ko-KR"/>
              </w:rPr>
            </w:pPr>
            <w:r w:rsidRPr="003F0B9D">
              <w:rPr>
                <w:rFonts w:cs="Arial"/>
                <w:lang w:eastAsia="ko-KR"/>
              </w:rPr>
              <w:t>SCS</w:t>
            </w:r>
            <w:r w:rsidRPr="003F0B9D">
              <w:rPr>
                <w:rFonts w:cs="Arial"/>
                <w:vertAlign w:val="subscript"/>
                <w:lang w:eastAsia="ko-KR"/>
              </w:rPr>
              <w:t>SL</w:t>
            </w:r>
            <w:r w:rsidRPr="003F0B9D">
              <w:rPr>
                <w:rFonts w:cs="Arial"/>
                <w:lang w:eastAsia="ko-KR"/>
              </w:rPr>
              <w:t xml:space="preserve"> = 15kHz</w:t>
            </w:r>
          </w:p>
        </w:tc>
        <w:tc>
          <w:tcPr>
            <w:tcW w:w="1276" w:type="dxa"/>
            <w:tcBorders>
              <w:top w:val="single" w:sz="6" w:space="0" w:color="auto"/>
              <w:left w:val="single" w:sz="4" w:space="0" w:color="auto"/>
              <w:bottom w:val="single" w:sz="6" w:space="0" w:color="auto"/>
              <w:right w:val="single" w:sz="6" w:space="0" w:color="auto"/>
            </w:tcBorders>
            <w:vAlign w:val="center"/>
          </w:tcPr>
          <w:p w14:paraId="25F62464" w14:textId="77777777" w:rsidR="008E7ED3" w:rsidRPr="003F0B9D" w:rsidRDefault="008E7ED3" w:rsidP="00AD2F6B">
            <w:pPr>
              <w:pStyle w:val="TAH"/>
              <w:rPr>
                <w:rFonts w:cs="Arial"/>
              </w:rPr>
            </w:pPr>
            <w:r w:rsidRPr="003F0B9D">
              <w:rPr>
                <w:rFonts w:cs="Arial"/>
                <w:lang w:eastAsia="ko-KR"/>
              </w:rPr>
              <w:t>SCS</w:t>
            </w:r>
            <w:r w:rsidRPr="003F0B9D">
              <w:rPr>
                <w:rFonts w:cs="Arial"/>
                <w:vertAlign w:val="subscript"/>
                <w:lang w:eastAsia="ko-KR"/>
              </w:rPr>
              <w:t>SL</w:t>
            </w:r>
            <w:r w:rsidRPr="003F0B9D">
              <w:rPr>
                <w:rFonts w:cs="Arial"/>
                <w:lang w:eastAsia="ko-KR"/>
              </w:rPr>
              <w:t xml:space="preserve"> = 30kHz</w:t>
            </w:r>
          </w:p>
        </w:tc>
        <w:tc>
          <w:tcPr>
            <w:tcW w:w="1417" w:type="dxa"/>
            <w:tcBorders>
              <w:top w:val="single" w:sz="6" w:space="0" w:color="auto"/>
              <w:left w:val="single" w:sz="4" w:space="0" w:color="auto"/>
              <w:bottom w:val="single" w:sz="6" w:space="0" w:color="auto"/>
              <w:right w:val="single" w:sz="6" w:space="0" w:color="auto"/>
            </w:tcBorders>
            <w:vAlign w:val="center"/>
          </w:tcPr>
          <w:p w14:paraId="6EDEE31F" w14:textId="77777777" w:rsidR="008E7ED3" w:rsidRPr="003F0B9D" w:rsidRDefault="008E7ED3" w:rsidP="00AD2F6B">
            <w:pPr>
              <w:pStyle w:val="TAH"/>
              <w:rPr>
                <w:rFonts w:cs="Arial"/>
              </w:rPr>
            </w:pPr>
            <w:r w:rsidRPr="003F0B9D">
              <w:rPr>
                <w:rFonts w:cs="Arial"/>
                <w:lang w:eastAsia="ko-KR"/>
              </w:rPr>
              <w:t>SCS</w:t>
            </w:r>
            <w:r w:rsidRPr="003F0B9D">
              <w:rPr>
                <w:rFonts w:cs="Arial"/>
                <w:vertAlign w:val="subscript"/>
                <w:lang w:eastAsia="ko-KR"/>
              </w:rPr>
              <w:t>SL</w:t>
            </w:r>
            <w:r w:rsidRPr="003F0B9D">
              <w:rPr>
                <w:rFonts w:cs="Arial"/>
                <w:lang w:eastAsia="ko-KR"/>
              </w:rPr>
              <w:t xml:space="preserve"> = 60kHz</w:t>
            </w:r>
          </w:p>
        </w:tc>
        <w:tc>
          <w:tcPr>
            <w:tcW w:w="2097" w:type="dxa"/>
            <w:vMerge/>
            <w:tcBorders>
              <w:left w:val="single" w:sz="6" w:space="0" w:color="auto"/>
              <w:bottom w:val="single" w:sz="6" w:space="0" w:color="auto"/>
              <w:right w:val="single" w:sz="4" w:space="0" w:color="auto"/>
            </w:tcBorders>
            <w:vAlign w:val="center"/>
          </w:tcPr>
          <w:p w14:paraId="77BC1172" w14:textId="77777777" w:rsidR="008E7ED3" w:rsidRPr="003F0B9D" w:rsidRDefault="008E7ED3" w:rsidP="00AD2F6B">
            <w:pPr>
              <w:pStyle w:val="TAH"/>
              <w:rPr>
                <w:rFonts w:cs="Arial"/>
              </w:rPr>
            </w:pPr>
          </w:p>
        </w:tc>
      </w:tr>
      <w:tr w:rsidR="008E7ED3" w:rsidRPr="003F0B9D" w14:paraId="2BE1ABA2" w14:textId="77777777" w:rsidTr="00AD2F6B">
        <w:trPr>
          <w:trHeight w:val="398"/>
          <w:jc w:val="center"/>
        </w:trPr>
        <w:tc>
          <w:tcPr>
            <w:tcW w:w="1026" w:type="dxa"/>
            <w:vMerge w:val="restart"/>
            <w:tcBorders>
              <w:top w:val="single" w:sz="6" w:space="0" w:color="auto"/>
              <w:left w:val="single" w:sz="4" w:space="0" w:color="auto"/>
              <w:right w:val="single" w:sz="6" w:space="0" w:color="auto"/>
            </w:tcBorders>
            <w:vAlign w:val="center"/>
            <w:hideMark/>
          </w:tcPr>
          <w:p w14:paraId="76E4F374" w14:textId="77777777" w:rsidR="008E7ED3" w:rsidRPr="003F0B9D" w:rsidRDefault="008E7ED3" w:rsidP="00AD2F6B">
            <w:pPr>
              <w:pStyle w:val="TAC"/>
              <w:rPr>
                <w:rFonts w:cs="Arial"/>
              </w:rPr>
            </w:pPr>
            <w:r w:rsidRPr="003F0B9D">
              <w:rPr>
                <w:rFonts w:cs="Arial"/>
              </w:rPr>
              <w:sym w:font="Symbol" w:char="F0B1"/>
            </w:r>
            <w:r w:rsidRPr="003F0B9D">
              <w:rPr>
                <w:rFonts w:cs="Arial"/>
              </w:rPr>
              <w:t>2.5</w:t>
            </w:r>
          </w:p>
        </w:tc>
        <w:tc>
          <w:tcPr>
            <w:tcW w:w="1085" w:type="dxa"/>
            <w:vMerge w:val="restart"/>
            <w:tcBorders>
              <w:top w:val="single" w:sz="6" w:space="0" w:color="auto"/>
              <w:left w:val="single" w:sz="6" w:space="0" w:color="auto"/>
              <w:right w:val="single" w:sz="6" w:space="0" w:color="auto"/>
            </w:tcBorders>
            <w:vAlign w:val="center"/>
            <w:hideMark/>
          </w:tcPr>
          <w:p w14:paraId="485C93FD" w14:textId="77777777" w:rsidR="008E7ED3" w:rsidRPr="003F0B9D" w:rsidRDefault="008E7ED3" w:rsidP="00AD2F6B">
            <w:pPr>
              <w:pStyle w:val="TAC"/>
              <w:rPr>
                <w:rFonts w:cs="Arial"/>
              </w:rPr>
            </w:pPr>
            <w:r w:rsidRPr="003F0B9D">
              <w:rPr>
                <w:rFonts w:cs="Arial"/>
              </w:rPr>
              <w:sym w:font="Symbol" w:char="F0B1"/>
            </w:r>
            <w:r w:rsidRPr="003F0B9D">
              <w:rPr>
                <w:rFonts w:cs="Arial"/>
              </w:rPr>
              <w:t>5.5</w:t>
            </w:r>
          </w:p>
        </w:tc>
        <w:tc>
          <w:tcPr>
            <w:tcW w:w="1853" w:type="dxa"/>
            <w:tcBorders>
              <w:top w:val="single" w:sz="6" w:space="0" w:color="auto"/>
              <w:left w:val="single" w:sz="6" w:space="0" w:color="auto"/>
              <w:bottom w:val="nil"/>
              <w:right w:val="single" w:sz="4" w:space="0" w:color="auto"/>
            </w:tcBorders>
            <w:vAlign w:val="center"/>
            <w:hideMark/>
          </w:tcPr>
          <w:p w14:paraId="22A62BA7" w14:textId="77777777" w:rsidR="008E7ED3" w:rsidRPr="003F0B9D" w:rsidRDefault="008E7ED3" w:rsidP="00AD2F6B">
            <w:pPr>
              <w:pStyle w:val="TAC"/>
              <w:rPr>
                <w:rFonts w:cs="Arial"/>
              </w:rPr>
            </w:pPr>
            <w:r>
              <w:rPr>
                <w:rFonts w:cs="Arial"/>
              </w:rPr>
              <w:t>NR_TDD_FR1_B</w:t>
            </w:r>
          </w:p>
        </w:tc>
        <w:tc>
          <w:tcPr>
            <w:tcW w:w="1418" w:type="dxa"/>
            <w:tcBorders>
              <w:top w:val="single" w:sz="6" w:space="0" w:color="auto"/>
              <w:left w:val="single" w:sz="4" w:space="0" w:color="auto"/>
              <w:bottom w:val="nil"/>
              <w:right w:val="single" w:sz="6" w:space="0" w:color="auto"/>
            </w:tcBorders>
            <w:vAlign w:val="center"/>
          </w:tcPr>
          <w:p w14:paraId="5BE557DE" w14:textId="77777777" w:rsidR="008E7ED3" w:rsidRPr="003F0B9D" w:rsidRDefault="008E7ED3" w:rsidP="00AD2F6B">
            <w:pPr>
              <w:pStyle w:val="TAC"/>
              <w:rPr>
                <w:rFonts w:cs="Arial"/>
                <w:lang w:eastAsia="ko-KR"/>
              </w:rPr>
            </w:pPr>
            <w:r w:rsidRPr="003F0B9D">
              <w:rPr>
                <w:rFonts w:cs="Arial"/>
                <w:lang w:eastAsia="ko-KR"/>
              </w:rPr>
              <w:t>-12</w:t>
            </w:r>
            <w:r>
              <w:rPr>
                <w:rFonts w:cs="Arial"/>
                <w:lang w:eastAsia="ko-KR"/>
              </w:rPr>
              <w:t>0.5</w:t>
            </w:r>
          </w:p>
        </w:tc>
        <w:tc>
          <w:tcPr>
            <w:tcW w:w="1276" w:type="dxa"/>
            <w:tcBorders>
              <w:top w:val="single" w:sz="6" w:space="0" w:color="auto"/>
              <w:left w:val="single" w:sz="4" w:space="0" w:color="auto"/>
              <w:bottom w:val="nil"/>
              <w:right w:val="single" w:sz="6" w:space="0" w:color="auto"/>
            </w:tcBorders>
            <w:vAlign w:val="center"/>
          </w:tcPr>
          <w:p w14:paraId="0868D451" w14:textId="77777777" w:rsidR="008E7ED3" w:rsidRPr="003F0B9D" w:rsidRDefault="008E7ED3" w:rsidP="00AD2F6B">
            <w:pPr>
              <w:pStyle w:val="TAC"/>
              <w:rPr>
                <w:rFonts w:cs="Arial"/>
                <w:lang w:eastAsia="ko-KR"/>
              </w:rPr>
            </w:pPr>
            <w:r w:rsidRPr="003F0B9D">
              <w:rPr>
                <w:rFonts w:cs="Arial"/>
                <w:lang w:eastAsia="ko-KR"/>
              </w:rPr>
              <w:t>-11</w:t>
            </w:r>
            <w:r>
              <w:rPr>
                <w:rFonts w:cs="Arial"/>
                <w:lang w:eastAsia="ko-KR"/>
              </w:rPr>
              <w:t>7.5</w:t>
            </w:r>
          </w:p>
        </w:tc>
        <w:tc>
          <w:tcPr>
            <w:tcW w:w="1417" w:type="dxa"/>
            <w:tcBorders>
              <w:top w:val="single" w:sz="6" w:space="0" w:color="auto"/>
              <w:left w:val="single" w:sz="4" w:space="0" w:color="auto"/>
              <w:bottom w:val="nil"/>
              <w:right w:val="single" w:sz="6" w:space="0" w:color="auto"/>
            </w:tcBorders>
            <w:vAlign w:val="center"/>
          </w:tcPr>
          <w:p w14:paraId="38A5D3C9" w14:textId="77777777" w:rsidR="008E7ED3" w:rsidRPr="003F0B9D" w:rsidRDefault="008E7ED3" w:rsidP="00AD2F6B">
            <w:pPr>
              <w:pStyle w:val="TAC"/>
              <w:rPr>
                <w:rFonts w:cs="Arial"/>
                <w:lang w:eastAsia="ko-KR"/>
              </w:rPr>
            </w:pPr>
            <w:r w:rsidRPr="003F0B9D">
              <w:rPr>
                <w:rFonts w:cs="Arial"/>
                <w:lang w:eastAsia="ko-KR"/>
              </w:rPr>
              <w:t>-11</w:t>
            </w:r>
            <w:r>
              <w:rPr>
                <w:rFonts w:cs="Arial"/>
                <w:lang w:eastAsia="ko-KR"/>
              </w:rPr>
              <w:t>4.5</w:t>
            </w:r>
          </w:p>
        </w:tc>
        <w:tc>
          <w:tcPr>
            <w:tcW w:w="2097" w:type="dxa"/>
            <w:tcBorders>
              <w:top w:val="single" w:sz="6" w:space="0" w:color="auto"/>
              <w:left w:val="single" w:sz="6" w:space="0" w:color="auto"/>
              <w:bottom w:val="nil"/>
              <w:right w:val="single" w:sz="4" w:space="0" w:color="auto"/>
            </w:tcBorders>
            <w:vAlign w:val="center"/>
          </w:tcPr>
          <w:p w14:paraId="4CBA8DE0" w14:textId="77777777" w:rsidR="008E7ED3" w:rsidRPr="003F0B9D" w:rsidRDefault="008E7ED3" w:rsidP="00AD2F6B">
            <w:pPr>
              <w:pStyle w:val="TAC"/>
              <w:rPr>
                <w:rFonts w:cs="Arial"/>
              </w:rPr>
            </w:pPr>
            <w:r w:rsidRPr="003F0B9D">
              <w:rPr>
                <w:rFonts w:cs="Arial"/>
              </w:rPr>
              <w:t>-50</w:t>
            </w:r>
          </w:p>
        </w:tc>
      </w:tr>
      <w:tr w:rsidR="008E7ED3" w:rsidRPr="003F0B9D" w14:paraId="158D5101" w14:textId="77777777" w:rsidTr="00AD2F6B">
        <w:trPr>
          <w:trHeight w:val="398"/>
          <w:jc w:val="center"/>
        </w:trPr>
        <w:tc>
          <w:tcPr>
            <w:tcW w:w="1026" w:type="dxa"/>
            <w:vMerge/>
            <w:tcBorders>
              <w:left w:val="single" w:sz="4" w:space="0" w:color="auto"/>
              <w:bottom w:val="nil"/>
              <w:right w:val="single" w:sz="6" w:space="0" w:color="auto"/>
            </w:tcBorders>
            <w:vAlign w:val="center"/>
          </w:tcPr>
          <w:p w14:paraId="0B8236DA" w14:textId="77777777" w:rsidR="008E7ED3" w:rsidRPr="003F0B9D" w:rsidRDefault="008E7ED3" w:rsidP="00AD2F6B">
            <w:pPr>
              <w:pStyle w:val="TAC"/>
              <w:rPr>
                <w:rFonts w:cs="Arial"/>
              </w:rPr>
            </w:pPr>
          </w:p>
        </w:tc>
        <w:tc>
          <w:tcPr>
            <w:tcW w:w="1085" w:type="dxa"/>
            <w:vMerge/>
            <w:tcBorders>
              <w:left w:val="single" w:sz="6" w:space="0" w:color="auto"/>
              <w:bottom w:val="nil"/>
              <w:right w:val="single" w:sz="6" w:space="0" w:color="auto"/>
            </w:tcBorders>
            <w:vAlign w:val="center"/>
          </w:tcPr>
          <w:p w14:paraId="1D7F0A3C" w14:textId="77777777" w:rsidR="008E7ED3" w:rsidRPr="003F0B9D" w:rsidRDefault="008E7ED3" w:rsidP="00AD2F6B">
            <w:pPr>
              <w:pStyle w:val="TAC"/>
              <w:rPr>
                <w:rFonts w:cs="Arial"/>
              </w:rPr>
            </w:pPr>
          </w:p>
        </w:tc>
        <w:tc>
          <w:tcPr>
            <w:tcW w:w="1853" w:type="dxa"/>
            <w:tcBorders>
              <w:top w:val="single" w:sz="6" w:space="0" w:color="auto"/>
              <w:left w:val="single" w:sz="6" w:space="0" w:color="auto"/>
              <w:bottom w:val="nil"/>
              <w:right w:val="single" w:sz="4" w:space="0" w:color="auto"/>
            </w:tcBorders>
            <w:vAlign w:val="center"/>
          </w:tcPr>
          <w:p w14:paraId="2DB86CC0" w14:textId="77777777" w:rsidR="008E7ED3" w:rsidRPr="003F0B9D" w:rsidRDefault="008E7ED3" w:rsidP="00AD2F6B">
            <w:pPr>
              <w:pStyle w:val="TAC"/>
              <w:rPr>
                <w:rFonts w:cs="Arial"/>
              </w:rPr>
            </w:pPr>
            <w:r>
              <w:rPr>
                <w:rFonts w:cs="Arial"/>
              </w:rPr>
              <w:t>NR_TDD_FR1_J</w:t>
            </w:r>
          </w:p>
        </w:tc>
        <w:tc>
          <w:tcPr>
            <w:tcW w:w="1418" w:type="dxa"/>
            <w:tcBorders>
              <w:top w:val="single" w:sz="6" w:space="0" w:color="auto"/>
              <w:left w:val="single" w:sz="4" w:space="0" w:color="auto"/>
              <w:bottom w:val="nil"/>
              <w:right w:val="single" w:sz="6" w:space="0" w:color="auto"/>
            </w:tcBorders>
            <w:vAlign w:val="center"/>
          </w:tcPr>
          <w:p w14:paraId="1730CA22" w14:textId="77777777" w:rsidR="008E7ED3" w:rsidRPr="003F0B9D" w:rsidRDefault="008E7ED3" w:rsidP="00AD2F6B">
            <w:pPr>
              <w:pStyle w:val="TAC"/>
              <w:rPr>
                <w:rFonts w:cs="Arial"/>
                <w:lang w:eastAsia="ko-KR"/>
              </w:rPr>
            </w:pPr>
            <w:r w:rsidRPr="003F0B9D">
              <w:rPr>
                <w:rFonts w:cs="Arial" w:hint="eastAsia"/>
                <w:lang w:eastAsia="ko-KR"/>
              </w:rPr>
              <w:t>-1</w:t>
            </w:r>
            <w:r w:rsidRPr="003F0B9D">
              <w:rPr>
                <w:rFonts w:cs="Arial"/>
                <w:lang w:eastAsia="ko-KR"/>
              </w:rPr>
              <w:t>1</w:t>
            </w:r>
            <w:r>
              <w:rPr>
                <w:rFonts w:cs="Arial"/>
                <w:lang w:eastAsia="ko-KR"/>
              </w:rPr>
              <w:t>6.5</w:t>
            </w:r>
          </w:p>
        </w:tc>
        <w:tc>
          <w:tcPr>
            <w:tcW w:w="1276" w:type="dxa"/>
            <w:tcBorders>
              <w:top w:val="single" w:sz="6" w:space="0" w:color="auto"/>
              <w:left w:val="single" w:sz="4" w:space="0" w:color="auto"/>
              <w:bottom w:val="nil"/>
              <w:right w:val="single" w:sz="6" w:space="0" w:color="auto"/>
            </w:tcBorders>
            <w:vAlign w:val="center"/>
          </w:tcPr>
          <w:p w14:paraId="45C73FA9" w14:textId="77777777" w:rsidR="008E7ED3" w:rsidRPr="003F0B9D" w:rsidRDefault="008E7ED3" w:rsidP="00AD2F6B">
            <w:pPr>
              <w:pStyle w:val="TAC"/>
              <w:rPr>
                <w:rFonts w:cs="Arial"/>
                <w:lang w:eastAsia="ko-KR"/>
              </w:rPr>
            </w:pPr>
            <w:r w:rsidRPr="003F0B9D">
              <w:rPr>
                <w:rFonts w:cs="Arial" w:hint="eastAsia"/>
                <w:lang w:eastAsia="ko-KR"/>
              </w:rPr>
              <w:t>-11</w:t>
            </w:r>
            <w:r>
              <w:rPr>
                <w:rFonts w:cs="Arial"/>
                <w:lang w:eastAsia="ko-KR"/>
              </w:rPr>
              <w:t>3.5</w:t>
            </w:r>
          </w:p>
        </w:tc>
        <w:tc>
          <w:tcPr>
            <w:tcW w:w="1417" w:type="dxa"/>
            <w:tcBorders>
              <w:top w:val="single" w:sz="6" w:space="0" w:color="auto"/>
              <w:left w:val="single" w:sz="4" w:space="0" w:color="auto"/>
              <w:bottom w:val="nil"/>
              <w:right w:val="single" w:sz="6" w:space="0" w:color="auto"/>
            </w:tcBorders>
            <w:vAlign w:val="center"/>
          </w:tcPr>
          <w:p w14:paraId="07E210E9" w14:textId="77777777" w:rsidR="008E7ED3" w:rsidRPr="003F0B9D" w:rsidRDefault="008E7ED3" w:rsidP="00AD2F6B">
            <w:pPr>
              <w:pStyle w:val="TAC"/>
              <w:rPr>
                <w:rFonts w:cs="Arial"/>
                <w:lang w:eastAsia="ko-KR"/>
              </w:rPr>
            </w:pPr>
            <w:r w:rsidRPr="003F0B9D">
              <w:rPr>
                <w:rFonts w:cs="Arial" w:hint="eastAsia"/>
                <w:lang w:eastAsia="ko-KR"/>
              </w:rPr>
              <w:t>-1</w:t>
            </w:r>
            <w:r w:rsidRPr="003F0B9D">
              <w:rPr>
                <w:rFonts w:cs="Arial"/>
                <w:lang w:eastAsia="ko-KR"/>
              </w:rPr>
              <w:t>1</w:t>
            </w:r>
            <w:r>
              <w:rPr>
                <w:rFonts w:cs="Arial"/>
                <w:lang w:eastAsia="ko-KR"/>
              </w:rPr>
              <w:t>0.5</w:t>
            </w:r>
          </w:p>
        </w:tc>
        <w:tc>
          <w:tcPr>
            <w:tcW w:w="2097" w:type="dxa"/>
            <w:tcBorders>
              <w:top w:val="single" w:sz="6" w:space="0" w:color="auto"/>
              <w:left w:val="single" w:sz="6" w:space="0" w:color="auto"/>
              <w:bottom w:val="nil"/>
              <w:right w:val="single" w:sz="4" w:space="0" w:color="auto"/>
            </w:tcBorders>
            <w:vAlign w:val="center"/>
          </w:tcPr>
          <w:p w14:paraId="06AF7E4F" w14:textId="77777777" w:rsidR="008E7ED3" w:rsidRPr="003F0B9D" w:rsidRDefault="008E7ED3" w:rsidP="00AD2F6B">
            <w:pPr>
              <w:pStyle w:val="TAC"/>
              <w:rPr>
                <w:rFonts w:cs="Arial"/>
              </w:rPr>
            </w:pPr>
            <w:r w:rsidRPr="003F0B9D">
              <w:rPr>
                <w:rFonts w:cs="Arial"/>
              </w:rPr>
              <w:t>-50</w:t>
            </w:r>
          </w:p>
        </w:tc>
      </w:tr>
      <w:tr w:rsidR="008E7ED3" w:rsidRPr="003F0B9D" w14:paraId="1CCBA8E9" w14:textId="77777777" w:rsidTr="00AD2F6B">
        <w:trPr>
          <w:trHeight w:val="821"/>
          <w:jc w:val="center"/>
        </w:trPr>
        <w:tc>
          <w:tcPr>
            <w:tcW w:w="1026" w:type="dxa"/>
            <w:tcBorders>
              <w:top w:val="single" w:sz="6" w:space="0" w:color="auto"/>
              <w:left w:val="single" w:sz="4" w:space="0" w:color="auto"/>
              <w:right w:val="single" w:sz="6" w:space="0" w:color="auto"/>
            </w:tcBorders>
            <w:vAlign w:val="center"/>
            <w:hideMark/>
          </w:tcPr>
          <w:p w14:paraId="69693E98" w14:textId="77777777" w:rsidR="008E7ED3" w:rsidRPr="003F0B9D" w:rsidRDefault="008E7ED3" w:rsidP="00AD2F6B">
            <w:pPr>
              <w:pStyle w:val="TAC"/>
              <w:rPr>
                <w:rFonts w:cs="Arial"/>
              </w:rPr>
            </w:pPr>
            <w:r w:rsidRPr="003F0B9D">
              <w:rPr>
                <w:rFonts w:cs="Arial"/>
              </w:rPr>
              <w:sym w:font="Symbol" w:char="F0B1"/>
            </w:r>
            <w:r w:rsidRPr="003F0B9D">
              <w:rPr>
                <w:rFonts w:cs="Arial"/>
              </w:rPr>
              <w:t>4.5</w:t>
            </w:r>
          </w:p>
        </w:tc>
        <w:tc>
          <w:tcPr>
            <w:tcW w:w="1085" w:type="dxa"/>
            <w:tcBorders>
              <w:top w:val="single" w:sz="6" w:space="0" w:color="auto"/>
              <w:left w:val="single" w:sz="6" w:space="0" w:color="auto"/>
              <w:right w:val="single" w:sz="6" w:space="0" w:color="auto"/>
            </w:tcBorders>
            <w:vAlign w:val="center"/>
            <w:hideMark/>
          </w:tcPr>
          <w:p w14:paraId="05934602" w14:textId="77777777" w:rsidR="008E7ED3" w:rsidRPr="003F0B9D" w:rsidRDefault="008E7ED3" w:rsidP="00AD2F6B">
            <w:pPr>
              <w:pStyle w:val="TAC"/>
              <w:rPr>
                <w:rFonts w:cs="Arial"/>
              </w:rPr>
            </w:pPr>
            <w:r w:rsidRPr="003F0B9D">
              <w:rPr>
                <w:rFonts w:cs="Arial"/>
              </w:rPr>
              <w:sym w:font="Symbol" w:char="F0B1"/>
            </w:r>
            <w:r w:rsidRPr="003F0B9D">
              <w:rPr>
                <w:rFonts w:cs="Arial"/>
              </w:rPr>
              <w:t>7.5</w:t>
            </w:r>
          </w:p>
        </w:tc>
        <w:tc>
          <w:tcPr>
            <w:tcW w:w="1853" w:type="dxa"/>
            <w:tcBorders>
              <w:top w:val="single" w:sz="6" w:space="0" w:color="auto"/>
              <w:left w:val="single" w:sz="6" w:space="0" w:color="auto"/>
              <w:right w:val="single" w:sz="4" w:space="0" w:color="auto"/>
            </w:tcBorders>
            <w:vAlign w:val="center"/>
            <w:hideMark/>
          </w:tcPr>
          <w:p w14:paraId="7DF166B5" w14:textId="77777777" w:rsidR="008E7ED3" w:rsidRPr="003F0B9D" w:rsidRDefault="008E7ED3" w:rsidP="00AD2F6B">
            <w:pPr>
              <w:pStyle w:val="TAC"/>
              <w:rPr>
                <w:rFonts w:cs="Arial"/>
                <w:lang w:eastAsia="zh-CN"/>
              </w:rPr>
            </w:pPr>
            <w:r w:rsidRPr="003F0B9D">
              <w:rPr>
                <w:rFonts w:cs="Arial"/>
              </w:rPr>
              <w:t>Note 3</w:t>
            </w:r>
          </w:p>
        </w:tc>
        <w:tc>
          <w:tcPr>
            <w:tcW w:w="1418" w:type="dxa"/>
            <w:tcBorders>
              <w:top w:val="single" w:sz="6" w:space="0" w:color="auto"/>
              <w:left w:val="single" w:sz="4" w:space="0" w:color="auto"/>
              <w:right w:val="single" w:sz="6" w:space="0" w:color="auto"/>
            </w:tcBorders>
            <w:vAlign w:val="center"/>
          </w:tcPr>
          <w:p w14:paraId="30FE1F7F" w14:textId="77777777" w:rsidR="008E7ED3" w:rsidRPr="003F0B9D" w:rsidRDefault="008E7ED3" w:rsidP="00AD2F6B">
            <w:pPr>
              <w:pStyle w:val="TAC"/>
              <w:rPr>
                <w:rFonts w:cs="Arial"/>
                <w:lang w:eastAsia="ko-KR"/>
              </w:rPr>
            </w:pPr>
            <w:r w:rsidRPr="003F0B9D">
              <w:rPr>
                <w:rFonts w:cs="Arial"/>
              </w:rPr>
              <w:t>Note 3</w:t>
            </w:r>
          </w:p>
        </w:tc>
        <w:tc>
          <w:tcPr>
            <w:tcW w:w="1276" w:type="dxa"/>
            <w:tcBorders>
              <w:top w:val="single" w:sz="6" w:space="0" w:color="auto"/>
              <w:left w:val="single" w:sz="4" w:space="0" w:color="auto"/>
              <w:right w:val="single" w:sz="6" w:space="0" w:color="auto"/>
            </w:tcBorders>
            <w:vAlign w:val="center"/>
          </w:tcPr>
          <w:p w14:paraId="200B1ACA" w14:textId="77777777" w:rsidR="008E7ED3" w:rsidRPr="003F0B9D" w:rsidRDefault="008E7ED3" w:rsidP="00AD2F6B">
            <w:pPr>
              <w:pStyle w:val="TAC"/>
              <w:rPr>
                <w:rFonts w:cs="Arial"/>
                <w:lang w:eastAsia="ko-KR"/>
              </w:rPr>
            </w:pPr>
            <w:r w:rsidRPr="003F0B9D">
              <w:rPr>
                <w:rFonts w:cs="Arial"/>
              </w:rPr>
              <w:t>Note 3</w:t>
            </w:r>
          </w:p>
        </w:tc>
        <w:tc>
          <w:tcPr>
            <w:tcW w:w="1417" w:type="dxa"/>
            <w:tcBorders>
              <w:top w:val="single" w:sz="6" w:space="0" w:color="auto"/>
              <w:left w:val="single" w:sz="4" w:space="0" w:color="auto"/>
              <w:right w:val="single" w:sz="6" w:space="0" w:color="auto"/>
            </w:tcBorders>
            <w:vAlign w:val="center"/>
          </w:tcPr>
          <w:p w14:paraId="650F6E14" w14:textId="77777777" w:rsidR="008E7ED3" w:rsidRPr="003F0B9D" w:rsidRDefault="008E7ED3" w:rsidP="00AD2F6B">
            <w:pPr>
              <w:pStyle w:val="TAC"/>
              <w:rPr>
                <w:rFonts w:cs="Arial"/>
                <w:lang w:eastAsia="ko-KR"/>
              </w:rPr>
            </w:pPr>
            <w:r w:rsidRPr="003F0B9D">
              <w:rPr>
                <w:rFonts w:cs="Arial"/>
              </w:rPr>
              <w:t>Note 3</w:t>
            </w:r>
          </w:p>
        </w:tc>
        <w:tc>
          <w:tcPr>
            <w:tcW w:w="2097" w:type="dxa"/>
            <w:tcBorders>
              <w:top w:val="single" w:sz="6" w:space="0" w:color="auto"/>
              <w:left w:val="single" w:sz="6" w:space="0" w:color="auto"/>
              <w:right w:val="single" w:sz="4" w:space="0" w:color="auto"/>
            </w:tcBorders>
            <w:vAlign w:val="center"/>
          </w:tcPr>
          <w:p w14:paraId="1BFEE609" w14:textId="77777777" w:rsidR="008E7ED3" w:rsidRPr="003F0B9D" w:rsidRDefault="008E7ED3" w:rsidP="00AD2F6B">
            <w:pPr>
              <w:pStyle w:val="TAC"/>
              <w:rPr>
                <w:rFonts w:cs="Arial"/>
                <w:lang w:eastAsia="zh-CN"/>
              </w:rPr>
            </w:pPr>
            <w:r w:rsidRPr="003F0B9D">
              <w:rPr>
                <w:rFonts w:cs="Arial"/>
              </w:rPr>
              <w:t>Note 3</w:t>
            </w:r>
          </w:p>
        </w:tc>
      </w:tr>
      <w:tr w:rsidR="008E7ED3" w:rsidRPr="003F0B9D" w14:paraId="11EF7E60" w14:textId="77777777" w:rsidTr="00AD2F6B">
        <w:trPr>
          <w:jc w:val="center"/>
        </w:trPr>
        <w:tc>
          <w:tcPr>
            <w:tcW w:w="10172" w:type="dxa"/>
            <w:gridSpan w:val="7"/>
            <w:tcBorders>
              <w:top w:val="single" w:sz="6" w:space="0" w:color="auto"/>
              <w:left w:val="single" w:sz="4" w:space="0" w:color="auto"/>
              <w:bottom w:val="single" w:sz="4" w:space="0" w:color="auto"/>
              <w:right w:val="single" w:sz="4" w:space="0" w:color="auto"/>
            </w:tcBorders>
            <w:vAlign w:val="center"/>
            <w:hideMark/>
          </w:tcPr>
          <w:p w14:paraId="4C1BAA9E" w14:textId="77777777" w:rsidR="008E7ED3" w:rsidRPr="003F0B9D" w:rsidRDefault="008E7ED3" w:rsidP="00AD2F6B">
            <w:pPr>
              <w:pStyle w:val="TAN"/>
              <w:rPr>
                <w:rFonts w:cs="Arial"/>
                <w:lang w:eastAsia="ko-KR"/>
              </w:rPr>
            </w:pPr>
            <w:r w:rsidRPr="003F0B9D">
              <w:rPr>
                <w:rFonts w:cs="Arial"/>
              </w:rPr>
              <w:t>NOTE 1:</w:t>
            </w:r>
            <w:r w:rsidRPr="003F0B9D">
              <w:rPr>
                <w:rFonts w:cs="Arial"/>
              </w:rPr>
              <w:tab/>
              <w:t>Io is assumed to have constant EPRE across the bandwidth.</w:t>
            </w:r>
          </w:p>
          <w:p w14:paraId="5C6D3D2C" w14:textId="77777777" w:rsidR="008E7ED3" w:rsidRPr="003F0B9D" w:rsidRDefault="008E7ED3" w:rsidP="00AD2F6B">
            <w:pPr>
              <w:pStyle w:val="TAN"/>
              <w:rPr>
                <w:rFonts w:cs="Arial"/>
              </w:rPr>
            </w:pPr>
            <w:r w:rsidRPr="003F0B9D">
              <w:rPr>
                <w:rFonts w:cs="Arial"/>
              </w:rPr>
              <w:t>NOTE 2:</w:t>
            </w:r>
            <w:r w:rsidRPr="003F0B9D">
              <w:rPr>
                <w:rFonts w:cs="Arial"/>
              </w:rPr>
              <w:tab/>
              <w:t>NR V2X operating band groups are as defined in Section 3.5 for the corresponding NR operating bands.</w:t>
            </w:r>
          </w:p>
          <w:p w14:paraId="65D0AFA7" w14:textId="77777777" w:rsidR="008E7ED3" w:rsidRPr="003F0B9D" w:rsidRDefault="008E7ED3" w:rsidP="00AD2F6B">
            <w:pPr>
              <w:pStyle w:val="TAN"/>
              <w:rPr>
                <w:rFonts w:cs="Arial"/>
              </w:rPr>
            </w:pPr>
            <w:r w:rsidRPr="003F0B9D">
              <w:rPr>
                <w:rFonts w:cs="Arial"/>
              </w:rPr>
              <w:t>NOTE 3:</w:t>
            </w:r>
            <w:r w:rsidRPr="003F0B9D">
              <w:rPr>
                <w:rFonts w:cs="Arial"/>
              </w:rPr>
              <w:tab/>
            </w:r>
            <w:r w:rsidRPr="003F0B9D">
              <w:rPr>
                <w:rFonts w:cs="Arial"/>
                <w:lang w:eastAsia="ja-JP"/>
              </w:rPr>
              <w:t>The same bands and the same Io conditions for each band apply for this requirement as for the corresponding highest accuracy requirement.</w:t>
            </w:r>
          </w:p>
        </w:tc>
      </w:tr>
    </w:tbl>
    <w:p w14:paraId="2BCFE126" w14:textId="77777777" w:rsidR="008E7ED3" w:rsidRPr="003F0B9D" w:rsidRDefault="008E7ED3" w:rsidP="004F10EE"/>
    <w:p w14:paraId="60FD3217" w14:textId="77777777" w:rsidR="008E7ED3" w:rsidRPr="003F0B9D" w:rsidRDefault="008E7ED3" w:rsidP="008E7ED3">
      <w:pPr>
        <w:pStyle w:val="Heading3"/>
        <w:rPr>
          <w:noProof/>
        </w:rPr>
      </w:pPr>
      <w:r w:rsidRPr="003F0B9D">
        <w:rPr>
          <w:noProof/>
        </w:rPr>
        <w:t>10.4.4</w:t>
      </w:r>
      <w:r w:rsidRPr="003F0B9D">
        <w:rPr>
          <w:noProof/>
        </w:rPr>
        <w:tab/>
        <w:t>Intra-Frequency L1 SL-RSRP Measurement Accuracy Requirements for FR1</w:t>
      </w:r>
    </w:p>
    <w:p w14:paraId="6C777A8A" w14:textId="77777777" w:rsidR="008E7ED3" w:rsidRPr="003F0B9D" w:rsidRDefault="008E7ED3" w:rsidP="008E7ED3">
      <w:pPr>
        <w:pStyle w:val="Heading4"/>
      </w:pPr>
      <w:r w:rsidRPr="003F0B9D">
        <w:t>10.4.4.1</w:t>
      </w:r>
      <w:r w:rsidRPr="003F0B9D">
        <w:tab/>
        <w:t>Absolute L1 SL-RSRP Accuracy</w:t>
      </w:r>
    </w:p>
    <w:p w14:paraId="3EA4E656" w14:textId="77777777" w:rsidR="008E7ED3" w:rsidRPr="003F0B9D" w:rsidRDefault="008E7ED3" w:rsidP="008E7ED3">
      <w:r w:rsidRPr="003F0B9D">
        <w:t>The requirements for absolute accuracy of L1 SL-RSRP in this clause apply to a UE performing PSCCH-RSRP</w:t>
      </w:r>
      <w:r>
        <w:t xml:space="preserve"> and/or </w:t>
      </w:r>
      <w:r w:rsidRPr="003F0B9D">
        <w:t>PSSCH-RSRP measurements on the same frequency as used by operating V2X sidelink communication.</w:t>
      </w:r>
    </w:p>
    <w:p w14:paraId="572541CA" w14:textId="77777777" w:rsidR="008E7ED3" w:rsidRPr="003F0B9D" w:rsidRDefault="008E7ED3" w:rsidP="008E7ED3">
      <w:pPr>
        <w:rPr>
          <w:rFonts w:eastAsia="Malgun Gothic"/>
        </w:rPr>
      </w:pPr>
      <w:r w:rsidRPr="003F0B9D">
        <w:t>The accuracy requirements in Table 10.4.4.1-1 are valid under the following conditions:</w:t>
      </w:r>
    </w:p>
    <w:p w14:paraId="4B59C656" w14:textId="77777777" w:rsidR="008E7ED3" w:rsidRPr="003F0B9D" w:rsidRDefault="008E7ED3" w:rsidP="008E7ED3">
      <w:pPr>
        <w:pStyle w:val="B10"/>
      </w:pPr>
      <w:r w:rsidRPr="003F0B9D">
        <w:t>-</w:t>
      </w:r>
      <w:r w:rsidRPr="003F0B9D">
        <w:tab/>
        <w:t>Demodulation reference signals for PSCCH</w:t>
      </w:r>
      <w:r>
        <w:t xml:space="preserve"> and/or </w:t>
      </w:r>
      <w:r w:rsidRPr="003F0B9D">
        <w:t>PSSCH are transmitted from one port.</w:t>
      </w:r>
    </w:p>
    <w:p w14:paraId="4E1AB6EB" w14:textId="77777777" w:rsidR="008E7ED3" w:rsidRPr="003F0B9D" w:rsidRDefault="008E7ED3" w:rsidP="008E7ED3">
      <w:pPr>
        <w:pStyle w:val="B10"/>
      </w:pPr>
      <w:r w:rsidRPr="003F0B9D">
        <w:t>-</w:t>
      </w:r>
      <w:r w:rsidRPr="003F0B9D">
        <w:tab/>
        <w:t>Conditions defined in clause 7.3E of TS38.101-1 [18] for reference sensitivity are fulfilled.</w:t>
      </w:r>
    </w:p>
    <w:p w14:paraId="71E841DD" w14:textId="77777777" w:rsidR="008E7ED3" w:rsidRPr="003F0B9D" w:rsidRDefault="008E7ED3" w:rsidP="008E7ED3">
      <w:pPr>
        <w:pStyle w:val="B10"/>
        <w:rPr>
          <w:lang w:eastAsia="zh-CN"/>
        </w:rPr>
      </w:pPr>
      <w:r w:rsidRPr="003F0B9D">
        <w:t>-</w:t>
      </w:r>
      <w:r w:rsidRPr="003F0B9D">
        <w:tab/>
        <w:t xml:space="preserve">PSCCH-RSRP|dBm </w:t>
      </w:r>
      <w:r>
        <w:t xml:space="preserve">and/or </w:t>
      </w:r>
      <w:r w:rsidRPr="003F0B9D">
        <w:t>PSSCH-RSRP|dBm according to Annex B.4.4 for a corresponding Band are fulfilled.</w:t>
      </w:r>
    </w:p>
    <w:p w14:paraId="7633BC15" w14:textId="77777777" w:rsidR="008E7ED3" w:rsidRPr="003F0B9D" w:rsidRDefault="008E7ED3" w:rsidP="008E7ED3">
      <w:pPr>
        <w:pStyle w:val="TH"/>
      </w:pPr>
      <w:r w:rsidRPr="003F0B9D">
        <w:t>Table 10.4.4.1-1: Intra-frequency L1 SL-RSRP absolute accuracy for UE capable of V2X sidelink communication</w:t>
      </w:r>
    </w:p>
    <w:tbl>
      <w:tblPr>
        <w:tblW w:w="10343" w:type="dxa"/>
        <w:jc w:val="center"/>
        <w:tblLayout w:type="fixed"/>
        <w:tblLook w:val="01E0" w:firstRow="1" w:lastRow="1" w:firstColumn="1" w:lastColumn="1" w:noHBand="0" w:noVBand="0"/>
      </w:tblPr>
      <w:tblGrid>
        <w:gridCol w:w="1026"/>
        <w:gridCol w:w="1026"/>
        <w:gridCol w:w="920"/>
        <w:gridCol w:w="1701"/>
        <w:gridCol w:w="851"/>
        <w:gridCol w:w="992"/>
        <w:gridCol w:w="921"/>
        <w:gridCol w:w="1440"/>
        <w:gridCol w:w="1466"/>
      </w:tblGrid>
      <w:tr w:rsidR="008E7ED3" w:rsidRPr="003F0B9D" w14:paraId="7C5C586C" w14:textId="77777777" w:rsidTr="00AD2F6B">
        <w:trPr>
          <w:jc w:val="center"/>
        </w:trPr>
        <w:tc>
          <w:tcPr>
            <w:tcW w:w="2052" w:type="dxa"/>
            <w:gridSpan w:val="2"/>
            <w:tcBorders>
              <w:top w:val="single" w:sz="4" w:space="0" w:color="auto"/>
              <w:left w:val="single" w:sz="4" w:space="0" w:color="auto"/>
              <w:bottom w:val="single" w:sz="6" w:space="0" w:color="auto"/>
              <w:right w:val="single" w:sz="6" w:space="0" w:color="auto"/>
            </w:tcBorders>
            <w:vAlign w:val="center"/>
            <w:hideMark/>
          </w:tcPr>
          <w:p w14:paraId="39C37B1F" w14:textId="77777777" w:rsidR="008E7ED3" w:rsidRPr="003F0B9D" w:rsidRDefault="008E7ED3" w:rsidP="00AD2F6B">
            <w:pPr>
              <w:pStyle w:val="TAH"/>
              <w:rPr>
                <w:rFonts w:cs="Arial"/>
              </w:rPr>
            </w:pPr>
            <w:r w:rsidRPr="003F0B9D">
              <w:rPr>
                <w:rFonts w:cs="Arial"/>
              </w:rPr>
              <w:t>Accuracy</w:t>
            </w:r>
          </w:p>
        </w:tc>
        <w:tc>
          <w:tcPr>
            <w:tcW w:w="8291" w:type="dxa"/>
            <w:gridSpan w:val="7"/>
            <w:tcBorders>
              <w:top w:val="single" w:sz="4" w:space="0" w:color="auto"/>
              <w:left w:val="single" w:sz="6" w:space="0" w:color="auto"/>
              <w:bottom w:val="single" w:sz="6" w:space="0" w:color="auto"/>
              <w:right w:val="single" w:sz="4" w:space="0" w:color="auto"/>
            </w:tcBorders>
            <w:vAlign w:val="center"/>
            <w:hideMark/>
          </w:tcPr>
          <w:p w14:paraId="1B573A18" w14:textId="77777777" w:rsidR="008E7ED3" w:rsidRPr="003F0B9D" w:rsidRDefault="008E7ED3" w:rsidP="00AD2F6B">
            <w:pPr>
              <w:pStyle w:val="TAH"/>
              <w:rPr>
                <w:rFonts w:cs="Arial"/>
              </w:rPr>
            </w:pPr>
            <w:r w:rsidRPr="003F0B9D">
              <w:rPr>
                <w:rFonts w:cs="Arial"/>
              </w:rPr>
              <w:t>Conditions</w:t>
            </w:r>
          </w:p>
        </w:tc>
      </w:tr>
      <w:tr w:rsidR="008E7ED3" w:rsidRPr="003F0B9D" w14:paraId="36D87B98" w14:textId="77777777" w:rsidTr="00AD2F6B">
        <w:trPr>
          <w:jc w:val="center"/>
        </w:trPr>
        <w:tc>
          <w:tcPr>
            <w:tcW w:w="1026" w:type="dxa"/>
            <w:vMerge w:val="restart"/>
            <w:tcBorders>
              <w:top w:val="single" w:sz="6" w:space="0" w:color="auto"/>
              <w:left w:val="single" w:sz="4" w:space="0" w:color="auto"/>
              <w:bottom w:val="single" w:sz="6" w:space="0" w:color="auto"/>
              <w:right w:val="single" w:sz="6" w:space="0" w:color="auto"/>
            </w:tcBorders>
            <w:vAlign w:val="center"/>
            <w:hideMark/>
          </w:tcPr>
          <w:p w14:paraId="7DB91FCA" w14:textId="77777777" w:rsidR="008E7ED3" w:rsidRPr="003F0B9D" w:rsidRDefault="008E7ED3" w:rsidP="00AD2F6B">
            <w:pPr>
              <w:pStyle w:val="TAH"/>
              <w:rPr>
                <w:rFonts w:cs="Arial"/>
              </w:rPr>
            </w:pPr>
            <w:r w:rsidRPr="003F0B9D">
              <w:rPr>
                <w:rFonts w:cs="Arial"/>
              </w:rPr>
              <w:t>Normal condition</w:t>
            </w:r>
          </w:p>
        </w:tc>
        <w:tc>
          <w:tcPr>
            <w:tcW w:w="1026" w:type="dxa"/>
            <w:vMerge w:val="restart"/>
            <w:tcBorders>
              <w:top w:val="single" w:sz="6" w:space="0" w:color="auto"/>
              <w:left w:val="single" w:sz="6" w:space="0" w:color="auto"/>
              <w:bottom w:val="single" w:sz="6" w:space="0" w:color="auto"/>
              <w:right w:val="single" w:sz="6" w:space="0" w:color="auto"/>
            </w:tcBorders>
            <w:vAlign w:val="center"/>
            <w:hideMark/>
          </w:tcPr>
          <w:p w14:paraId="420592A0" w14:textId="77777777" w:rsidR="008E7ED3" w:rsidRPr="003F0B9D" w:rsidRDefault="008E7ED3" w:rsidP="00AD2F6B">
            <w:pPr>
              <w:pStyle w:val="TAH"/>
              <w:rPr>
                <w:rFonts w:cs="Arial"/>
              </w:rPr>
            </w:pPr>
            <w:r w:rsidRPr="003F0B9D">
              <w:rPr>
                <w:rFonts w:cs="Arial"/>
              </w:rPr>
              <w:t>Extreme condition</w:t>
            </w:r>
          </w:p>
        </w:tc>
        <w:tc>
          <w:tcPr>
            <w:tcW w:w="920" w:type="dxa"/>
            <w:vMerge w:val="restart"/>
            <w:tcBorders>
              <w:top w:val="single" w:sz="6" w:space="0" w:color="auto"/>
              <w:left w:val="single" w:sz="6" w:space="0" w:color="auto"/>
              <w:bottom w:val="single" w:sz="6" w:space="0" w:color="auto"/>
              <w:right w:val="single" w:sz="6" w:space="0" w:color="auto"/>
            </w:tcBorders>
            <w:vAlign w:val="center"/>
            <w:hideMark/>
          </w:tcPr>
          <w:p w14:paraId="6AD6E2E8" w14:textId="77777777" w:rsidR="008E7ED3" w:rsidRPr="003F0B9D" w:rsidRDefault="008E7ED3" w:rsidP="00AD2F6B">
            <w:pPr>
              <w:pStyle w:val="TAH"/>
              <w:rPr>
                <w:rFonts w:cs="Arial"/>
              </w:rPr>
            </w:pPr>
            <w:r w:rsidRPr="003F0B9D">
              <w:rPr>
                <w:rFonts w:cs="Arial"/>
              </w:rPr>
              <w:t>Ês/Iot</w:t>
            </w:r>
            <w:r w:rsidRPr="003F0B9D">
              <w:rPr>
                <w:rFonts w:cs="Arial"/>
                <w:vertAlign w:val="superscript"/>
                <w:lang w:eastAsia="zh-CN"/>
              </w:rPr>
              <w:t xml:space="preserve"> </w:t>
            </w:r>
            <w:r w:rsidRPr="003F0B9D">
              <w:rPr>
                <w:rFonts w:cs="Arial"/>
                <w:vertAlign w:val="superscript"/>
              </w:rPr>
              <w:t>Note 3</w:t>
            </w:r>
          </w:p>
        </w:tc>
        <w:tc>
          <w:tcPr>
            <w:tcW w:w="7371" w:type="dxa"/>
            <w:gridSpan w:val="6"/>
            <w:tcBorders>
              <w:top w:val="single" w:sz="6" w:space="0" w:color="auto"/>
              <w:left w:val="single" w:sz="6" w:space="0" w:color="auto"/>
              <w:bottom w:val="single" w:sz="6" w:space="0" w:color="auto"/>
              <w:right w:val="single" w:sz="4" w:space="0" w:color="auto"/>
            </w:tcBorders>
            <w:vAlign w:val="center"/>
            <w:hideMark/>
          </w:tcPr>
          <w:p w14:paraId="50CBD5DE" w14:textId="77777777" w:rsidR="008E7ED3" w:rsidRPr="003F0B9D" w:rsidRDefault="008E7ED3" w:rsidP="00AD2F6B">
            <w:pPr>
              <w:pStyle w:val="TAH"/>
              <w:rPr>
                <w:rFonts w:cs="Arial"/>
              </w:rPr>
            </w:pPr>
            <w:r w:rsidRPr="003F0B9D">
              <w:rPr>
                <w:rFonts w:cs="Arial"/>
              </w:rPr>
              <w:t>Io</w:t>
            </w:r>
            <w:r w:rsidRPr="003F0B9D">
              <w:rPr>
                <w:rFonts w:cs="Arial"/>
                <w:vertAlign w:val="superscript"/>
                <w:lang w:eastAsia="zh-CN"/>
              </w:rPr>
              <w:t xml:space="preserve"> Note 1</w:t>
            </w:r>
            <w:r w:rsidRPr="003F0B9D">
              <w:rPr>
                <w:rFonts w:cs="Arial"/>
              </w:rPr>
              <w:t xml:space="preserve"> range</w:t>
            </w:r>
          </w:p>
        </w:tc>
      </w:tr>
      <w:tr w:rsidR="008E7ED3" w:rsidRPr="003F0B9D" w14:paraId="2D5B15A9" w14:textId="77777777" w:rsidTr="00AD2F6B">
        <w:trPr>
          <w:jc w:val="center"/>
        </w:trPr>
        <w:tc>
          <w:tcPr>
            <w:tcW w:w="1026" w:type="dxa"/>
            <w:vMerge/>
            <w:tcBorders>
              <w:top w:val="single" w:sz="6" w:space="0" w:color="auto"/>
              <w:left w:val="single" w:sz="4" w:space="0" w:color="auto"/>
              <w:bottom w:val="single" w:sz="6" w:space="0" w:color="auto"/>
              <w:right w:val="single" w:sz="6" w:space="0" w:color="auto"/>
            </w:tcBorders>
            <w:vAlign w:val="center"/>
            <w:hideMark/>
          </w:tcPr>
          <w:p w14:paraId="2A0A36CF" w14:textId="77777777" w:rsidR="008E7ED3" w:rsidRPr="003F0B9D" w:rsidRDefault="008E7ED3" w:rsidP="00AD2F6B">
            <w:pPr>
              <w:spacing w:after="0"/>
              <w:rPr>
                <w:rFonts w:ascii="Arial" w:hAnsi="Arial" w:cs="Arial"/>
                <w:b/>
                <w:sz w:val="18"/>
              </w:rPr>
            </w:pPr>
          </w:p>
        </w:tc>
        <w:tc>
          <w:tcPr>
            <w:tcW w:w="1026" w:type="dxa"/>
            <w:vMerge/>
            <w:tcBorders>
              <w:top w:val="single" w:sz="6" w:space="0" w:color="auto"/>
              <w:left w:val="single" w:sz="6" w:space="0" w:color="auto"/>
              <w:bottom w:val="single" w:sz="6" w:space="0" w:color="auto"/>
              <w:right w:val="single" w:sz="6" w:space="0" w:color="auto"/>
            </w:tcBorders>
            <w:vAlign w:val="center"/>
            <w:hideMark/>
          </w:tcPr>
          <w:p w14:paraId="64E56CB4" w14:textId="77777777" w:rsidR="008E7ED3" w:rsidRPr="003F0B9D" w:rsidRDefault="008E7ED3" w:rsidP="00AD2F6B">
            <w:pPr>
              <w:spacing w:after="0"/>
              <w:rPr>
                <w:rFonts w:ascii="Arial" w:hAnsi="Arial" w:cs="Arial"/>
                <w:b/>
                <w:sz w:val="18"/>
              </w:rPr>
            </w:pPr>
          </w:p>
        </w:tc>
        <w:tc>
          <w:tcPr>
            <w:tcW w:w="920" w:type="dxa"/>
            <w:vMerge/>
            <w:tcBorders>
              <w:top w:val="single" w:sz="6" w:space="0" w:color="auto"/>
              <w:left w:val="single" w:sz="6" w:space="0" w:color="auto"/>
              <w:bottom w:val="single" w:sz="6" w:space="0" w:color="auto"/>
              <w:right w:val="single" w:sz="6" w:space="0" w:color="auto"/>
            </w:tcBorders>
            <w:vAlign w:val="center"/>
            <w:hideMark/>
          </w:tcPr>
          <w:p w14:paraId="5088167F" w14:textId="77777777" w:rsidR="008E7ED3" w:rsidRPr="003F0B9D" w:rsidRDefault="008E7ED3" w:rsidP="00AD2F6B">
            <w:pPr>
              <w:spacing w:after="0"/>
              <w:rPr>
                <w:rFonts w:ascii="Arial" w:hAnsi="Arial" w:cs="Arial"/>
                <w:b/>
                <w:sz w:val="18"/>
              </w:rPr>
            </w:pPr>
          </w:p>
        </w:tc>
        <w:tc>
          <w:tcPr>
            <w:tcW w:w="1701" w:type="dxa"/>
            <w:tcBorders>
              <w:top w:val="single" w:sz="6" w:space="0" w:color="auto"/>
              <w:left w:val="single" w:sz="6" w:space="0" w:color="auto"/>
              <w:bottom w:val="single" w:sz="6" w:space="0" w:color="auto"/>
              <w:right w:val="single" w:sz="4" w:space="0" w:color="auto"/>
            </w:tcBorders>
            <w:vAlign w:val="center"/>
            <w:hideMark/>
          </w:tcPr>
          <w:p w14:paraId="0FD3EF90" w14:textId="77777777" w:rsidR="008E7ED3" w:rsidRPr="003F0B9D" w:rsidRDefault="008E7ED3" w:rsidP="00AD2F6B">
            <w:pPr>
              <w:pStyle w:val="TAH"/>
              <w:rPr>
                <w:rFonts w:cs="Arial"/>
              </w:rPr>
            </w:pPr>
            <w:r w:rsidRPr="003F0B9D">
              <w:rPr>
                <w:rFonts w:cs="Arial"/>
              </w:rPr>
              <w:t>NR V2X operating band groups</w:t>
            </w:r>
            <w:r w:rsidRPr="003F0B9D">
              <w:rPr>
                <w:rFonts w:cs="Arial"/>
                <w:vertAlign w:val="superscript"/>
              </w:rPr>
              <w:t xml:space="preserve"> Note 2</w:t>
            </w:r>
          </w:p>
        </w:tc>
        <w:tc>
          <w:tcPr>
            <w:tcW w:w="4204" w:type="dxa"/>
            <w:gridSpan w:val="4"/>
            <w:tcBorders>
              <w:top w:val="single" w:sz="4" w:space="0" w:color="auto"/>
              <w:left w:val="single" w:sz="4" w:space="0" w:color="auto"/>
              <w:bottom w:val="single" w:sz="6" w:space="0" w:color="auto"/>
              <w:right w:val="single" w:sz="6" w:space="0" w:color="auto"/>
            </w:tcBorders>
            <w:vAlign w:val="center"/>
            <w:hideMark/>
          </w:tcPr>
          <w:p w14:paraId="509A3097" w14:textId="77777777" w:rsidR="008E7ED3" w:rsidRPr="003F0B9D" w:rsidRDefault="008E7ED3" w:rsidP="00AD2F6B">
            <w:pPr>
              <w:pStyle w:val="TAH"/>
              <w:rPr>
                <w:rFonts w:cs="Arial"/>
              </w:rPr>
            </w:pPr>
            <w:r w:rsidRPr="003F0B9D">
              <w:rPr>
                <w:rFonts w:cs="Arial"/>
              </w:rPr>
              <w:t>Minimum Io</w:t>
            </w:r>
          </w:p>
        </w:tc>
        <w:tc>
          <w:tcPr>
            <w:tcW w:w="1466" w:type="dxa"/>
            <w:tcBorders>
              <w:top w:val="single" w:sz="4" w:space="0" w:color="auto"/>
              <w:left w:val="single" w:sz="6" w:space="0" w:color="auto"/>
              <w:bottom w:val="single" w:sz="6" w:space="0" w:color="auto"/>
              <w:right w:val="single" w:sz="4" w:space="0" w:color="auto"/>
            </w:tcBorders>
            <w:vAlign w:val="center"/>
            <w:hideMark/>
          </w:tcPr>
          <w:p w14:paraId="4647036C" w14:textId="77777777" w:rsidR="008E7ED3" w:rsidRPr="003F0B9D" w:rsidRDefault="008E7ED3" w:rsidP="00AD2F6B">
            <w:pPr>
              <w:pStyle w:val="TAH"/>
              <w:rPr>
                <w:rFonts w:cs="Arial"/>
              </w:rPr>
            </w:pPr>
            <w:r w:rsidRPr="003F0B9D">
              <w:rPr>
                <w:rFonts w:cs="Arial"/>
              </w:rPr>
              <w:t>Maximum Io</w:t>
            </w:r>
          </w:p>
        </w:tc>
      </w:tr>
      <w:tr w:rsidR="008E7ED3" w:rsidRPr="003F0B9D" w14:paraId="1094327B" w14:textId="77777777" w:rsidTr="00AD2F6B">
        <w:trPr>
          <w:jc w:val="center"/>
        </w:trPr>
        <w:tc>
          <w:tcPr>
            <w:tcW w:w="1026" w:type="dxa"/>
            <w:vMerge w:val="restart"/>
            <w:tcBorders>
              <w:top w:val="single" w:sz="6" w:space="0" w:color="auto"/>
              <w:left w:val="single" w:sz="4" w:space="0" w:color="auto"/>
              <w:right w:val="single" w:sz="6" w:space="0" w:color="auto"/>
            </w:tcBorders>
            <w:vAlign w:val="center"/>
            <w:hideMark/>
          </w:tcPr>
          <w:p w14:paraId="1A5ABC8E" w14:textId="77777777" w:rsidR="008E7ED3" w:rsidRPr="003F0B9D" w:rsidRDefault="008E7ED3" w:rsidP="00AD2F6B">
            <w:pPr>
              <w:pStyle w:val="TAH"/>
              <w:rPr>
                <w:rFonts w:cs="Arial"/>
              </w:rPr>
            </w:pPr>
            <w:r w:rsidRPr="003F0B9D">
              <w:rPr>
                <w:rFonts w:cs="Arial"/>
              </w:rPr>
              <w:t>dB</w:t>
            </w:r>
          </w:p>
        </w:tc>
        <w:tc>
          <w:tcPr>
            <w:tcW w:w="1026" w:type="dxa"/>
            <w:vMerge w:val="restart"/>
            <w:tcBorders>
              <w:top w:val="single" w:sz="6" w:space="0" w:color="auto"/>
              <w:left w:val="single" w:sz="6" w:space="0" w:color="auto"/>
              <w:right w:val="single" w:sz="6" w:space="0" w:color="auto"/>
            </w:tcBorders>
            <w:vAlign w:val="center"/>
            <w:hideMark/>
          </w:tcPr>
          <w:p w14:paraId="260043FE" w14:textId="77777777" w:rsidR="008E7ED3" w:rsidRPr="003F0B9D" w:rsidRDefault="008E7ED3" w:rsidP="00AD2F6B">
            <w:pPr>
              <w:pStyle w:val="TAH"/>
              <w:rPr>
                <w:rFonts w:cs="Arial"/>
              </w:rPr>
            </w:pPr>
            <w:r w:rsidRPr="003F0B9D">
              <w:rPr>
                <w:rFonts w:cs="Arial"/>
              </w:rPr>
              <w:t>dB</w:t>
            </w:r>
          </w:p>
        </w:tc>
        <w:tc>
          <w:tcPr>
            <w:tcW w:w="920" w:type="dxa"/>
            <w:vMerge w:val="restart"/>
            <w:tcBorders>
              <w:top w:val="single" w:sz="6" w:space="0" w:color="auto"/>
              <w:left w:val="single" w:sz="6" w:space="0" w:color="auto"/>
              <w:right w:val="single" w:sz="6" w:space="0" w:color="auto"/>
            </w:tcBorders>
            <w:vAlign w:val="center"/>
            <w:hideMark/>
          </w:tcPr>
          <w:p w14:paraId="733D27C9" w14:textId="77777777" w:rsidR="008E7ED3" w:rsidRPr="003F0B9D" w:rsidRDefault="008E7ED3" w:rsidP="00AD2F6B">
            <w:pPr>
              <w:pStyle w:val="TAH"/>
              <w:rPr>
                <w:rFonts w:cs="Arial"/>
              </w:rPr>
            </w:pPr>
            <w:r w:rsidRPr="003F0B9D">
              <w:rPr>
                <w:rFonts w:cs="Arial"/>
              </w:rPr>
              <w:t>dB</w:t>
            </w:r>
          </w:p>
        </w:tc>
        <w:tc>
          <w:tcPr>
            <w:tcW w:w="1701" w:type="dxa"/>
            <w:vMerge w:val="restart"/>
            <w:tcBorders>
              <w:top w:val="single" w:sz="6" w:space="0" w:color="auto"/>
              <w:left w:val="single" w:sz="6" w:space="0" w:color="auto"/>
              <w:right w:val="single" w:sz="4" w:space="0" w:color="auto"/>
            </w:tcBorders>
            <w:vAlign w:val="center"/>
          </w:tcPr>
          <w:p w14:paraId="0C2C32EC" w14:textId="77777777" w:rsidR="008E7ED3" w:rsidRPr="003F0B9D" w:rsidRDefault="008E7ED3" w:rsidP="00AD2F6B">
            <w:pPr>
              <w:pStyle w:val="TAH"/>
              <w:rPr>
                <w:rFonts w:cs="Arial"/>
              </w:rPr>
            </w:pPr>
          </w:p>
        </w:tc>
        <w:tc>
          <w:tcPr>
            <w:tcW w:w="2764" w:type="dxa"/>
            <w:gridSpan w:val="3"/>
            <w:tcBorders>
              <w:top w:val="single" w:sz="6" w:space="0" w:color="auto"/>
              <w:left w:val="single" w:sz="4" w:space="0" w:color="auto"/>
              <w:bottom w:val="single" w:sz="6" w:space="0" w:color="auto"/>
              <w:right w:val="single" w:sz="6" w:space="0" w:color="auto"/>
            </w:tcBorders>
            <w:vAlign w:val="center"/>
          </w:tcPr>
          <w:p w14:paraId="16AA469A" w14:textId="77777777" w:rsidR="008E7ED3" w:rsidRPr="003F0B9D" w:rsidRDefault="008E7ED3" w:rsidP="00AD2F6B">
            <w:pPr>
              <w:pStyle w:val="TAH"/>
              <w:rPr>
                <w:rFonts w:cs="Arial"/>
                <w:lang w:eastAsia="ko-KR"/>
              </w:rPr>
            </w:pPr>
            <w:r w:rsidRPr="003F0B9D">
              <w:rPr>
                <w:rFonts w:cs="Arial"/>
                <w:lang w:eastAsia="ko-KR"/>
              </w:rPr>
              <w:t>dBm/SCS</w:t>
            </w:r>
          </w:p>
        </w:tc>
        <w:tc>
          <w:tcPr>
            <w:tcW w:w="1440" w:type="dxa"/>
            <w:vMerge w:val="restart"/>
            <w:tcBorders>
              <w:top w:val="single" w:sz="6" w:space="0" w:color="auto"/>
              <w:left w:val="single" w:sz="6" w:space="0" w:color="auto"/>
              <w:right w:val="single" w:sz="6" w:space="0" w:color="auto"/>
            </w:tcBorders>
            <w:vAlign w:val="center"/>
            <w:hideMark/>
          </w:tcPr>
          <w:p w14:paraId="1D6344A2" w14:textId="77777777" w:rsidR="008E7ED3" w:rsidRPr="003F0B9D" w:rsidRDefault="008E7ED3" w:rsidP="00AD2F6B">
            <w:pPr>
              <w:pStyle w:val="TAH"/>
              <w:rPr>
                <w:rFonts w:cs="Arial"/>
              </w:rPr>
            </w:pPr>
            <w:r w:rsidRPr="003F0B9D">
              <w:rPr>
                <w:rFonts w:cs="Arial"/>
              </w:rPr>
              <w:t>dBm/BW</w:t>
            </w:r>
            <w:r w:rsidRPr="003F0B9D">
              <w:rPr>
                <w:rFonts w:cs="Arial"/>
                <w:vertAlign w:val="subscript"/>
              </w:rPr>
              <w:t>Channel</w:t>
            </w:r>
          </w:p>
        </w:tc>
        <w:tc>
          <w:tcPr>
            <w:tcW w:w="1466" w:type="dxa"/>
            <w:vMerge w:val="restart"/>
            <w:tcBorders>
              <w:top w:val="single" w:sz="6" w:space="0" w:color="auto"/>
              <w:left w:val="single" w:sz="6" w:space="0" w:color="auto"/>
              <w:right w:val="single" w:sz="4" w:space="0" w:color="auto"/>
            </w:tcBorders>
            <w:vAlign w:val="center"/>
            <w:hideMark/>
          </w:tcPr>
          <w:p w14:paraId="044CC7A8" w14:textId="77777777" w:rsidR="008E7ED3" w:rsidRPr="003F0B9D" w:rsidRDefault="008E7ED3" w:rsidP="00AD2F6B">
            <w:pPr>
              <w:pStyle w:val="TAH"/>
              <w:rPr>
                <w:rFonts w:cs="Arial"/>
              </w:rPr>
            </w:pPr>
            <w:r w:rsidRPr="003F0B9D">
              <w:rPr>
                <w:rFonts w:cs="Arial"/>
              </w:rPr>
              <w:t>dBm/BW</w:t>
            </w:r>
            <w:r w:rsidRPr="003F0B9D">
              <w:rPr>
                <w:rFonts w:cs="Arial"/>
                <w:vertAlign w:val="subscript"/>
              </w:rPr>
              <w:t>Channel</w:t>
            </w:r>
          </w:p>
        </w:tc>
      </w:tr>
      <w:tr w:rsidR="008E7ED3" w:rsidRPr="003F0B9D" w14:paraId="4F8CDEBA" w14:textId="77777777" w:rsidTr="00AD2F6B">
        <w:trPr>
          <w:jc w:val="center"/>
        </w:trPr>
        <w:tc>
          <w:tcPr>
            <w:tcW w:w="1026" w:type="dxa"/>
            <w:vMerge/>
            <w:tcBorders>
              <w:left w:val="single" w:sz="4" w:space="0" w:color="auto"/>
              <w:bottom w:val="single" w:sz="6" w:space="0" w:color="auto"/>
              <w:right w:val="single" w:sz="6" w:space="0" w:color="auto"/>
            </w:tcBorders>
            <w:vAlign w:val="center"/>
          </w:tcPr>
          <w:p w14:paraId="20613FE0" w14:textId="77777777" w:rsidR="008E7ED3" w:rsidRPr="003F0B9D" w:rsidRDefault="008E7ED3" w:rsidP="00AD2F6B">
            <w:pPr>
              <w:pStyle w:val="TAH"/>
              <w:rPr>
                <w:rFonts w:cs="Arial"/>
              </w:rPr>
            </w:pPr>
          </w:p>
        </w:tc>
        <w:tc>
          <w:tcPr>
            <w:tcW w:w="1026" w:type="dxa"/>
            <w:vMerge/>
            <w:tcBorders>
              <w:left w:val="single" w:sz="6" w:space="0" w:color="auto"/>
              <w:bottom w:val="single" w:sz="6" w:space="0" w:color="auto"/>
              <w:right w:val="single" w:sz="6" w:space="0" w:color="auto"/>
            </w:tcBorders>
            <w:vAlign w:val="center"/>
          </w:tcPr>
          <w:p w14:paraId="4DDC27C6" w14:textId="77777777" w:rsidR="008E7ED3" w:rsidRPr="003F0B9D" w:rsidRDefault="008E7ED3" w:rsidP="00AD2F6B">
            <w:pPr>
              <w:pStyle w:val="TAH"/>
              <w:rPr>
                <w:rFonts w:cs="Arial"/>
              </w:rPr>
            </w:pPr>
          </w:p>
        </w:tc>
        <w:tc>
          <w:tcPr>
            <w:tcW w:w="920" w:type="dxa"/>
            <w:vMerge/>
            <w:tcBorders>
              <w:left w:val="single" w:sz="6" w:space="0" w:color="auto"/>
              <w:bottom w:val="single" w:sz="6" w:space="0" w:color="auto"/>
              <w:right w:val="single" w:sz="6" w:space="0" w:color="auto"/>
            </w:tcBorders>
          </w:tcPr>
          <w:p w14:paraId="11EEC800" w14:textId="77777777" w:rsidR="008E7ED3" w:rsidRPr="003F0B9D" w:rsidRDefault="008E7ED3" w:rsidP="00AD2F6B">
            <w:pPr>
              <w:pStyle w:val="TAH"/>
              <w:rPr>
                <w:rFonts w:cs="Arial"/>
              </w:rPr>
            </w:pPr>
          </w:p>
        </w:tc>
        <w:tc>
          <w:tcPr>
            <w:tcW w:w="1701" w:type="dxa"/>
            <w:vMerge/>
            <w:tcBorders>
              <w:left w:val="single" w:sz="6" w:space="0" w:color="auto"/>
              <w:bottom w:val="single" w:sz="6" w:space="0" w:color="auto"/>
              <w:right w:val="single" w:sz="4" w:space="0" w:color="auto"/>
            </w:tcBorders>
            <w:vAlign w:val="center"/>
          </w:tcPr>
          <w:p w14:paraId="107B5F27" w14:textId="77777777" w:rsidR="008E7ED3" w:rsidRPr="003F0B9D" w:rsidRDefault="008E7ED3" w:rsidP="00AD2F6B">
            <w:pPr>
              <w:pStyle w:val="TAH"/>
              <w:rPr>
                <w:rFonts w:cs="Arial"/>
              </w:rPr>
            </w:pPr>
          </w:p>
        </w:tc>
        <w:tc>
          <w:tcPr>
            <w:tcW w:w="851" w:type="dxa"/>
            <w:tcBorders>
              <w:top w:val="single" w:sz="6" w:space="0" w:color="auto"/>
              <w:left w:val="single" w:sz="4" w:space="0" w:color="auto"/>
              <w:bottom w:val="single" w:sz="6" w:space="0" w:color="auto"/>
              <w:right w:val="single" w:sz="6" w:space="0" w:color="auto"/>
            </w:tcBorders>
            <w:vAlign w:val="center"/>
          </w:tcPr>
          <w:p w14:paraId="67FE02A7" w14:textId="77777777" w:rsidR="008E7ED3" w:rsidRPr="003F0B9D" w:rsidRDefault="008E7ED3" w:rsidP="00AD2F6B">
            <w:pPr>
              <w:pStyle w:val="TAH"/>
              <w:rPr>
                <w:rFonts w:cs="Arial"/>
                <w:lang w:eastAsia="ko-KR"/>
              </w:rPr>
            </w:pPr>
            <w:r w:rsidRPr="003F0B9D">
              <w:rPr>
                <w:rFonts w:cs="Arial"/>
                <w:lang w:eastAsia="ko-KR"/>
              </w:rPr>
              <w:t>SCS = 15kHz</w:t>
            </w:r>
          </w:p>
        </w:tc>
        <w:tc>
          <w:tcPr>
            <w:tcW w:w="992" w:type="dxa"/>
            <w:tcBorders>
              <w:top w:val="single" w:sz="6" w:space="0" w:color="auto"/>
              <w:left w:val="single" w:sz="4" w:space="0" w:color="auto"/>
              <w:bottom w:val="single" w:sz="6" w:space="0" w:color="auto"/>
              <w:right w:val="single" w:sz="6" w:space="0" w:color="auto"/>
            </w:tcBorders>
            <w:vAlign w:val="center"/>
          </w:tcPr>
          <w:p w14:paraId="16B8B64F" w14:textId="77777777" w:rsidR="008E7ED3" w:rsidRPr="003F0B9D" w:rsidRDefault="008E7ED3" w:rsidP="00AD2F6B">
            <w:pPr>
              <w:pStyle w:val="TAH"/>
              <w:rPr>
                <w:rFonts w:cs="Arial"/>
              </w:rPr>
            </w:pPr>
            <w:r w:rsidRPr="003F0B9D">
              <w:rPr>
                <w:rFonts w:cs="Arial"/>
                <w:lang w:eastAsia="ko-KR"/>
              </w:rPr>
              <w:t>SCS = 30kHz</w:t>
            </w:r>
          </w:p>
        </w:tc>
        <w:tc>
          <w:tcPr>
            <w:tcW w:w="921" w:type="dxa"/>
            <w:tcBorders>
              <w:top w:val="single" w:sz="6" w:space="0" w:color="auto"/>
              <w:left w:val="single" w:sz="4" w:space="0" w:color="auto"/>
              <w:bottom w:val="single" w:sz="6" w:space="0" w:color="auto"/>
              <w:right w:val="single" w:sz="6" w:space="0" w:color="auto"/>
            </w:tcBorders>
            <w:vAlign w:val="center"/>
          </w:tcPr>
          <w:p w14:paraId="4736AEEB" w14:textId="77777777" w:rsidR="008E7ED3" w:rsidRPr="003F0B9D" w:rsidRDefault="008E7ED3" w:rsidP="00AD2F6B">
            <w:pPr>
              <w:pStyle w:val="TAH"/>
              <w:rPr>
                <w:rFonts w:cs="Arial"/>
              </w:rPr>
            </w:pPr>
            <w:r w:rsidRPr="003F0B9D">
              <w:rPr>
                <w:rFonts w:cs="Arial"/>
                <w:lang w:eastAsia="ko-KR"/>
              </w:rPr>
              <w:t>SCS = 60kHz</w:t>
            </w:r>
          </w:p>
        </w:tc>
        <w:tc>
          <w:tcPr>
            <w:tcW w:w="1440" w:type="dxa"/>
            <w:vMerge/>
            <w:tcBorders>
              <w:left w:val="single" w:sz="6" w:space="0" w:color="auto"/>
              <w:bottom w:val="single" w:sz="6" w:space="0" w:color="auto"/>
              <w:right w:val="single" w:sz="6" w:space="0" w:color="auto"/>
            </w:tcBorders>
            <w:vAlign w:val="center"/>
          </w:tcPr>
          <w:p w14:paraId="17E14C62" w14:textId="77777777" w:rsidR="008E7ED3" w:rsidRPr="003F0B9D" w:rsidRDefault="008E7ED3" w:rsidP="00AD2F6B">
            <w:pPr>
              <w:pStyle w:val="TAH"/>
              <w:rPr>
                <w:rFonts w:cs="Arial"/>
              </w:rPr>
            </w:pPr>
          </w:p>
        </w:tc>
        <w:tc>
          <w:tcPr>
            <w:tcW w:w="1466" w:type="dxa"/>
            <w:vMerge/>
            <w:tcBorders>
              <w:left w:val="single" w:sz="6" w:space="0" w:color="auto"/>
              <w:bottom w:val="single" w:sz="6" w:space="0" w:color="auto"/>
              <w:right w:val="single" w:sz="4" w:space="0" w:color="auto"/>
            </w:tcBorders>
            <w:vAlign w:val="center"/>
          </w:tcPr>
          <w:p w14:paraId="393C0B5E" w14:textId="77777777" w:rsidR="008E7ED3" w:rsidRPr="003F0B9D" w:rsidRDefault="008E7ED3" w:rsidP="00AD2F6B">
            <w:pPr>
              <w:pStyle w:val="TAH"/>
              <w:rPr>
                <w:rFonts w:cs="Arial"/>
              </w:rPr>
            </w:pPr>
          </w:p>
        </w:tc>
      </w:tr>
      <w:tr w:rsidR="008E7ED3" w:rsidRPr="003F0B9D" w14:paraId="4AFD0559" w14:textId="77777777" w:rsidTr="00AD2F6B">
        <w:trPr>
          <w:trHeight w:val="398"/>
          <w:jc w:val="center"/>
        </w:trPr>
        <w:tc>
          <w:tcPr>
            <w:tcW w:w="1026" w:type="dxa"/>
            <w:vMerge w:val="restart"/>
            <w:tcBorders>
              <w:top w:val="single" w:sz="6" w:space="0" w:color="auto"/>
              <w:left w:val="single" w:sz="4" w:space="0" w:color="auto"/>
              <w:right w:val="single" w:sz="6" w:space="0" w:color="auto"/>
            </w:tcBorders>
            <w:vAlign w:val="center"/>
            <w:hideMark/>
          </w:tcPr>
          <w:p w14:paraId="6A496DA5" w14:textId="77777777" w:rsidR="008E7ED3" w:rsidRPr="000D1AEB" w:rsidRDefault="008E7ED3" w:rsidP="00AD2F6B">
            <w:pPr>
              <w:pStyle w:val="TAC"/>
              <w:rPr>
                <w:rFonts w:cs="Arial"/>
              </w:rPr>
            </w:pPr>
            <w:r w:rsidRPr="000D1AEB">
              <w:rPr>
                <w:rFonts w:cs="Arial"/>
              </w:rPr>
              <w:sym w:font="Symbol" w:char="F0B1"/>
            </w:r>
            <w:r>
              <w:rPr>
                <w:rFonts w:cs="Arial"/>
              </w:rPr>
              <w:t xml:space="preserve"> 4.5</w:t>
            </w:r>
          </w:p>
        </w:tc>
        <w:tc>
          <w:tcPr>
            <w:tcW w:w="1026" w:type="dxa"/>
            <w:vMerge w:val="restart"/>
            <w:tcBorders>
              <w:top w:val="single" w:sz="6" w:space="0" w:color="auto"/>
              <w:left w:val="single" w:sz="6" w:space="0" w:color="auto"/>
              <w:right w:val="single" w:sz="6" w:space="0" w:color="auto"/>
            </w:tcBorders>
            <w:vAlign w:val="center"/>
            <w:hideMark/>
          </w:tcPr>
          <w:p w14:paraId="1E00383F" w14:textId="77777777" w:rsidR="008E7ED3" w:rsidRPr="000D1AEB" w:rsidRDefault="008E7ED3" w:rsidP="00AD2F6B">
            <w:pPr>
              <w:pStyle w:val="TAC"/>
              <w:rPr>
                <w:rFonts w:cs="Arial"/>
              </w:rPr>
            </w:pPr>
            <w:r w:rsidRPr="000D1AEB">
              <w:rPr>
                <w:rFonts w:cs="Arial"/>
              </w:rPr>
              <w:sym w:font="Symbol" w:char="F0B1"/>
            </w:r>
            <w:r>
              <w:rPr>
                <w:rFonts w:cs="Arial"/>
              </w:rPr>
              <w:t xml:space="preserve"> 9</w:t>
            </w:r>
          </w:p>
        </w:tc>
        <w:tc>
          <w:tcPr>
            <w:tcW w:w="920" w:type="dxa"/>
            <w:vMerge w:val="restart"/>
            <w:tcBorders>
              <w:top w:val="single" w:sz="6" w:space="0" w:color="auto"/>
              <w:left w:val="single" w:sz="6" w:space="0" w:color="auto"/>
              <w:right w:val="single" w:sz="6" w:space="0" w:color="auto"/>
            </w:tcBorders>
            <w:vAlign w:val="center"/>
            <w:hideMark/>
          </w:tcPr>
          <w:p w14:paraId="097A928B" w14:textId="77777777" w:rsidR="008E7ED3" w:rsidRPr="003F0B9D" w:rsidRDefault="008E7ED3" w:rsidP="00AD2F6B">
            <w:pPr>
              <w:pStyle w:val="TAC"/>
              <w:rPr>
                <w:rFonts w:cs="Arial"/>
              </w:rPr>
            </w:pPr>
            <w:r w:rsidRPr="003F0B9D">
              <w:rPr>
                <w:rFonts w:cs="Arial"/>
              </w:rPr>
              <w:sym w:font="Symbol" w:char="F0B3"/>
            </w:r>
            <w:r w:rsidRPr="003F0B9D">
              <w:rPr>
                <w:rFonts w:cs="Arial"/>
              </w:rPr>
              <w:t>0 dB</w:t>
            </w:r>
          </w:p>
        </w:tc>
        <w:tc>
          <w:tcPr>
            <w:tcW w:w="1701" w:type="dxa"/>
            <w:tcBorders>
              <w:top w:val="single" w:sz="6" w:space="0" w:color="auto"/>
              <w:left w:val="single" w:sz="6" w:space="0" w:color="auto"/>
              <w:bottom w:val="nil"/>
              <w:right w:val="single" w:sz="4" w:space="0" w:color="auto"/>
            </w:tcBorders>
            <w:vAlign w:val="center"/>
            <w:hideMark/>
          </w:tcPr>
          <w:p w14:paraId="3E54A72D" w14:textId="77777777" w:rsidR="008E7ED3" w:rsidRPr="003F0B9D" w:rsidRDefault="008E7ED3" w:rsidP="00AD2F6B">
            <w:pPr>
              <w:pStyle w:val="TAC"/>
              <w:rPr>
                <w:rFonts w:cs="Arial"/>
              </w:rPr>
            </w:pPr>
            <w:r w:rsidRPr="003F0B9D">
              <w:rPr>
                <w:rFonts w:cs="Arial"/>
              </w:rPr>
              <w:t>NR_TDD_FR1_</w:t>
            </w:r>
            <w:r>
              <w:rPr>
                <w:rFonts w:cs="Arial"/>
              </w:rPr>
              <w:t>B</w:t>
            </w:r>
          </w:p>
        </w:tc>
        <w:tc>
          <w:tcPr>
            <w:tcW w:w="851" w:type="dxa"/>
            <w:tcBorders>
              <w:top w:val="single" w:sz="6" w:space="0" w:color="auto"/>
              <w:left w:val="single" w:sz="4" w:space="0" w:color="auto"/>
              <w:bottom w:val="nil"/>
              <w:right w:val="single" w:sz="6" w:space="0" w:color="auto"/>
            </w:tcBorders>
            <w:vAlign w:val="center"/>
          </w:tcPr>
          <w:p w14:paraId="509E4A87" w14:textId="77777777" w:rsidR="008E7ED3" w:rsidRPr="003F0B9D" w:rsidRDefault="008E7ED3" w:rsidP="00AD2F6B">
            <w:pPr>
              <w:pStyle w:val="TAC"/>
              <w:rPr>
                <w:rFonts w:cs="Arial"/>
                <w:lang w:eastAsia="ko-KR"/>
              </w:rPr>
            </w:pPr>
            <w:r w:rsidRPr="003F0B9D">
              <w:rPr>
                <w:rFonts w:cs="Arial"/>
                <w:lang w:eastAsia="ko-KR"/>
              </w:rPr>
              <w:t>-12</w:t>
            </w:r>
            <w:r>
              <w:rPr>
                <w:rFonts w:cs="Arial"/>
                <w:lang w:eastAsia="ko-KR"/>
              </w:rPr>
              <w:t>0.5</w:t>
            </w:r>
          </w:p>
        </w:tc>
        <w:tc>
          <w:tcPr>
            <w:tcW w:w="992" w:type="dxa"/>
            <w:tcBorders>
              <w:top w:val="single" w:sz="6" w:space="0" w:color="auto"/>
              <w:left w:val="single" w:sz="4" w:space="0" w:color="auto"/>
              <w:bottom w:val="nil"/>
              <w:right w:val="single" w:sz="6" w:space="0" w:color="auto"/>
            </w:tcBorders>
            <w:vAlign w:val="center"/>
          </w:tcPr>
          <w:p w14:paraId="639E0D6F" w14:textId="77777777" w:rsidR="008E7ED3" w:rsidRPr="003F0B9D" w:rsidRDefault="008E7ED3" w:rsidP="00AD2F6B">
            <w:pPr>
              <w:pStyle w:val="TAC"/>
              <w:rPr>
                <w:rFonts w:cs="Arial"/>
                <w:lang w:eastAsia="ko-KR"/>
              </w:rPr>
            </w:pPr>
            <w:r w:rsidRPr="003F0B9D">
              <w:rPr>
                <w:rFonts w:cs="Arial"/>
                <w:lang w:eastAsia="ko-KR"/>
              </w:rPr>
              <w:t>-11</w:t>
            </w:r>
            <w:r>
              <w:rPr>
                <w:rFonts w:cs="Arial"/>
                <w:lang w:eastAsia="ko-KR"/>
              </w:rPr>
              <w:t>7.5</w:t>
            </w:r>
          </w:p>
        </w:tc>
        <w:tc>
          <w:tcPr>
            <w:tcW w:w="921" w:type="dxa"/>
            <w:tcBorders>
              <w:top w:val="single" w:sz="6" w:space="0" w:color="auto"/>
              <w:left w:val="single" w:sz="4" w:space="0" w:color="auto"/>
              <w:bottom w:val="nil"/>
              <w:right w:val="single" w:sz="6" w:space="0" w:color="auto"/>
            </w:tcBorders>
            <w:vAlign w:val="center"/>
          </w:tcPr>
          <w:p w14:paraId="417646D9" w14:textId="77777777" w:rsidR="008E7ED3" w:rsidRPr="003F0B9D" w:rsidRDefault="008E7ED3" w:rsidP="00AD2F6B">
            <w:pPr>
              <w:pStyle w:val="TAC"/>
              <w:rPr>
                <w:rFonts w:cs="Arial"/>
                <w:lang w:eastAsia="ko-KR"/>
              </w:rPr>
            </w:pPr>
            <w:r w:rsidRPr="003F0B9D">
              <w:rPr>
                <w:rFonts w:cs="Arial"/>
                <w:lang w:eastAsia="ko-KR"/>
              </w:rPr>
              <w:t>-11</w:t>
            </w:r>
            <w:r>
              <w:rPr>
                <w:rFonts w:cs="Arial"/>
                <w:lang w:eastAsia="ko-KR"/>
              </w:rPr>
              <w:t>4.5</w:t>
            </w:r>
          </w:p>
        </w:tc>
        <w:tc>
          <w:tcPr>
            <w:tcW w:w="1440" w:type="dxa"/>
            <w:tcBorders>
              <w:top w:val="single" w:sz="6" w:space="0" w:color="auto"/>
              <w:left w:val="single" w:sz="6" w:space="0" w:color="auto"/>
              <w:bottom w:val="nil"/>
              <w:right w:val="single" w:sz="6" w:space="0" w:color="auto"/>
            </w:tcBorders>
            <w:vAlign w:val="center"/>
            <w:hideMark/>
          </w:tcPr>
          <w:p w14:paraId="7188BF68" w14:textId="77777777" w:rsidR="008E7ED3" w:rsidRPr="003F0B9D" w:rsidRDefault="008E7ED3" w:rsidP="00AD2F6B">
            <w:pPr>
              <w:pStyle w:val="TAC"/>
              <w:rPr>
                <w:rFonts w:cs="Arial"/>
              </w:rPr>
            </w:pPr>
            <w:r w:rsidRPr="003F0B9D">
              <w:rPr>
                <w:rFonts w:cs="Arial"/>
              </w:rPr>
              <w:t>N/A</w:t>
            </w:r>
          </w:p>
        </w:tc>
        <w:tc>
          <w:tcPr>
            <w:tcW w:w="1466" w:type="dxa"/>
            <w:tcBorders>
              <w:top w:val="single" w:sz="6" w:space="0" w:color="auto"/>
              <w:left w:val="single" w:sz="6" w:space="0" w:color="auto"/>
              <w:bottom w:val="nil"/>
              <w:right w:val="single" w:sz="4" w:space="0" w:color="auto"/>
            </w:tcBorders>
            <w:vAlign w:val="center"/>
            <w:hideMark/>
          </w:tcPr>
          <w:p w14:paraId="2623EB0C" w14:textId="77777777" w:rsidR="008E7ED3" w:rsidRPr="003F0B9D" w:rsidRDefault="008E7ED3" w:rsidP="00AD2F6B">
            <w:pPr>
              <w:pStyle w:val="TAC"/>
              <w:rPr>
                <w:rFonts w:cs="Arial"/>
              </w:rPr>
            </w:pPr>
            <w:r w:rsidRPr="003F0B9D">
              <w:rPr>
                <w:rFonts w:cs="Arial"/>
              </w:rPr>
              <w:t>-70</w:t>
            </w:r>
          </w:p>
        </w:tc>
      </w:tr>
      <w:tr w:rsidR="008E7ED3" w:rsidRPr="003F0B9D" w14:paraId="240B67A4" w14:textId="77777777" w:rsidTr="00AD2F6B">
        <w:trPr>
          <w:trHeight w:val="398"/>
          <w:jc w:val="center"/>
        </w:trPr>
        <w:tc>
          <w:tcPr>
            <w:tcW w:w="1026" w:type="dxa"/>
            <w:vMerge/>
            <w:tcBorders>
              <w:left w:val="single" w:sz="4" w:space="0" w:color="auto"/>
              <w:bottom w:val="nil"/>
              <w:right w:val="single" w:sz="6" w:space="0" w:color="auto"/>
            </w:tcBorders>
            <w:vAlign w:val="center"/>
          </w:tcPr>
          <w:p w14:paraId="67C306F0" w14:textId="77777777" w:rsidR="008E7ED3" w:rsidRPr="000D1AEB" w:rsidRDefault="008E7ED3" w:rsidP="00AD2F6B">
            <w:pPr>
              <w:pStyle w:val="TAC"/>
              <w:rPr>
                <w:rFonts w:cs="Arial"/>
              </w:rPr>
            </w:pPr>
          </w:p>
        </w:tc>
        <w:tc>
          <w:tcPr>
            <w:tcW w:w="1026" w:type="dxa"/>
            <w:vMerge/>
            <w:tcBorders>
              <w:left w:val="single" w:sz="6" w:space="0" w:color="auto"/>
              <w:bottom w:val="nil"/>
              <w:right w:val="single" w:sz="6" w:space="0" w:color="auto"/>
            </w:tcBorders>
            <w:vAlign w:val="center"/>
          </w:tcPr>
          <w:p w14:paraId="3FEE1CB3" w14:textId="77777777" w:rsidR="008E7ED3" w:rsidRPr="000D1AEB" w:rsidRDefault="008E7ED3" w:rsidP="00AD2F6B">
            <w:pPr>
              <w:pStyle w:val="TAC"/>
              <w:rPr>
                <w:rFonts w:cs="Arial"/>
              </w:rPr>
            </w:pPr>
          </w:p>
        </w:tc>
        <w:tc>
          <w:tcPr>
            <w:tcW w:w="920" w:type="dxa"/>
            <w:vMerge/>
            <w:tcBorders>
              <w:left w:val="single" w:sz="6" w:space="0" w:color="auto"/>
              <w:bottom w:val="nil"/>
              <w:right w:val="single" w:sz="6" w:space="0" w:color="auto"/>
            </w:tcBorders>
            <w:vAlign w:val="center"/>
          </w:tcPr>
          <w:p w14:paraId="2CCFCE01" w14:textId="77777777" w:rsidR="008E7ED3" w:rsidRPr="003F0B9D" w:rsidRDefault="008E7ED3" w:rsidP="00AD2F6B">
            <w:pPr>
              <w:pStyle w:val="TAC"/>
              <w:rPr>
                <w:rFonts w:cs="Arial"/>
              </w:rPr>
            </w:pPr>
          </w:p>
        </w:tc>
        <w:tc>
          <w:tcPr>
            <w:tcW w:w="1701" w:type="dxa"/>
            <w:tcBorders>
              <w:top w:val="single" w:sz="6" w:space="0" w:color="auto"/>
              <w:left w:val="single" w:sz="6" w:space="0" w:color="auto"/>
              <w:bottom w:val="nil"/>
              <w:right w:val="single" w:sz="4" w:space="0" w:color="auto"/>
            </w:tcBorders>
            <w:vAlign w:val="center"/>
          </w:tcPr>
          <w:p w14:paraId="3B1EC113" w14:textId="77777777" w:rsidR="008E7ED3" w:rsidRPr="003F0B9D" w:rsidRDefault="008E7ED3" w:rsidP="00AD2F6B">
            <w:pPr>
              <w:pStyle w:val="TAC"/>
              <w:rPr>
                <w:rFonts w:cs="Arial"/>
              </w:rPr>
            </w:pPr>
            <w:r w:rsidRPr="003F0B9D">
              <w:rPr>
                <w:rFonts w:cs="Arial"/>
              </w:rPr>
              <w:t>NR_TDD_FR1_</w:t>
            </w:r>
            <w:r>
              <w:rPr>
                <w:rFonts w:cs="Arial"/>
              </w:rPr>
              <w:t>J</w:t>
            </w:r>
          </w:p>
        </w:tc>
        <w:tc>
          <w:tcPr>
            <w:tcW w:w="851" w:type="dxa"/>
            <w:tcBorders>
              <w:top w:val="single" w:sz="6" w:space="0" w:color="auto"/>
              <w:left w:val="single" w:sz="4" w:space="0" w:color="auto"/>
              <w:bottom w:val="nil"/>
              <w:right w:val="single" w:sz="6" w:space="0" w:color="auto"/>
            </w:tcBorders>
            <w:vAlign w:val="center"/>
          </w:tcPr>
          <w:p w14:paraId="25E1BF09" w14:textId="77777777" w:rsidR="008E7ED3" w:rsidRPr="003F0B9D" w:rsidRDefault="008E7ED3" w:rsidP="00AD2F6B">
            <w:pPr>
              <w:pStyle w:val="TAC"/>
              <w:rPr>
                <w:rFonts w:cs="Arial"/>
                <w:lang w:eastAsia="ko-KR"/>
              </w:rPr>
            </w:pPr>
            <w:r w:rsidRPr="003F0B9D">
              <w:rPr>
                <w:rFonts w:cs="Arial" w:hint="eastAsia"/>
                <w:lang w:eastAsia="ko-KR"/>
              </w:rPr>
              <w:t>-1</w:t>
            </w:r>
            <w:r w:rsidRPr="003F0B9D">
              <w:rPr>
                <w:rFonts w:cs="Arial"/>
                <w:lang w:eastAsia="ko-KR"/>
              </w:rPr>
              <w:t>1</w:t>
            </w:r>
            <w:r>
              <w:rPr>
                <w:rFonts w:cs="Arial"/>
                <w:lang w:eastAsia="ko-KR"/>
              </w:rPr>
              <w:t>6.5</w:t>
            </w:r>
          </w:p>
        </w:tc>
        <w:tc>
          <w:tcPr>
            <w:tcW w:w="992" w:type="dxa"/>
            <w:tcBorders>
              <w:top w:val="single" w:sz="6" w:space="0" w:color="auto"/>
              <w:left w:val="single" w:sz="4" w:space="0" w:color="auto"/>
              <w:bottom w:val="nil"/>
              <w:right w:val="single" w:sz="6" w:space="0" w:color="auto"/>
            </w:tcBorders>
            <w:vAlign w:val="center"/>
          </w:tcPr>
          <w:p w14:paraId="606A7A89" w14:textId="77777777" w:rsidR="008E7ED3" w:rsidRPr="003F0B9D" w:rsidRDefault="008E7ED3" w:rsidP="00AD2F6B">
            <w:pPr>
              <w:pStyle w:val="TAC"/>
              <w:rPr>
                <w:rFonts w:cs="Arial"/>
                <w:lang w:eastAsia="ko-KR"/>
              </w:rPr>
            </w:pPr>
            <w:r w:rsidRPr="003F0B9D">
              <w:rPr>
                <w:rFonts w:cs="Arial" w:hint="eastAsia"/>
                <w:lang w:eastAsia="ko-KR"/>
              </w:rPr>
              <w:t>-11</w:t>
            </w:r>
            <w:r>
              <w:rPr>
                <w:rFonts w:cs="Arial"/>
                <w:lang w:eastAsia="ko-KR"/>
              </w:rPr>
              <w:t>3.5</w:t>
            </w:r>
          </w:p>
        </w:tc>
        <w:tc>
          <w:tcPr>
            <w:tcW w:w="921" w:type="dxa"/>
            <w:tcBorders>
              <w:top w:val="single" w:sz="6" w:space="0" w:color="auto"/>
              <w:left w:val="single" w:sz="4" w:space="0" w:color="auto"/>
              <w:bottom w:val="nil"/>
              <w:right w:val="single" w:sz="6" w:space="0" w:color="auto"/>
            </w:tcBorders>
            <w:vAlign w:val="center"/>
          </w:tcPr>
          <w:p w14:paraId="6FEBB16F" w14:textId="77777777" w:rsidR="008E7ED3" w:rsidRPr="003F0B9D" w:rsidRDefault="008E7ED3" w:rsidP="00AD2F6B">
            <w:pPr>
              <w:pStyle w:val="TAC"/>
              <w:rPr>
                <w:rFonts w:cs="Arial"/>
                <w:lang w:eastAsia="ko-KR"/>
              </w:rPr>
            </w:pPr>
            <w:r w:rsidRPr="003F0B9D">
              <w:rPr>
                <w:rFonts w:cs="Arial" w:hint="eastAsia"/>
                <w:lang w:eastAsia="ko-KR"/>
              </w:rPr>
              <w:t>-1</w:t>
            </w:r>
            <w:r w:rsidRPr="003F0B9D">
              <w:rPr>
                <w:rFonts w:cs="Arial"/>
                <w:lang w:eastAsia="ko-KR"/>
              </w:rPr>
              <w:t>1</w:t>
            </w:r>
            <w:r>
              <w:rPr>
                <w:rFonts w:cs="Arial"/>
                <w:lang w:eastAsia="ko-KR"/>
              </w:rPr>
              <w:t>0.5</w:t>
            </w:r>
          </w:p>
        </w:tc>
        <w:tc>
          <w:tcPr>
            <w:tcW w:w="1440" w:type="dxa"/>
            <w:tcBorders>
              <w:top w:val="single" w:sz="6" w:space="0" w:color="auto"/>
              <w:left w:val="single" w:sz="6" w:space="0" w:color="auto"/>
              <w:bottom w:val="nil"/>
              <w:right w:val="single" w:sz="6" w:space="0" w:color="auto"/>
            </w:tcBorders>
            <w:vAlign w:val="center"/>
          </w:tcPr>
          <w:p w14:paraId="4002DD18" w14:textId="77777777" w:rsidR="008E7ED3" w:rsidRPr="003F0B9D" w:rsidRDefault="008E7ED3" w:rsidP="00AD2F6B">
            <w:pPr>
              <w:pStyle w:val="TAC"/>
              <w:rPr>
                <w:rFonts w:cs="Arial"/>
              </w:rPr>
            </w:pPr>
            <w:r w:rsidRPr="003F0B9D">
              <w:rPr>
                <w:rFonts w:cs="Arial"/>
              </w:rPr>
              <w:t>N/A</w:t>
            </w:r>
          </w:p>
        </w:tc>
        <w:tc>
          <w:tcPr>
            <w:tcW w:w="1466" w:type="dxa"/>
            <w:tcBorders>
              <w:top w:val="single" w:sz="6" w:space="0" w:color="auto"/>
              <w:left w:val="single" w:sz="6" w:space="0" w:color="auto"/>
              <w:bottom w:val="nil"/>
              <w:right w:val="single" w:sz="4" w:space="0" w:color="auto"/>
            </w:tcBorders>
            <w:vAlign w:val="center"/>
          </w:tcPr>
          <w:p w14:paraId="48E8BF9B" w14:textId="77777777" w:rsidR="008E7ED3" w:rsidRPr="003F0B9D" w:rsidRDefault="008E7ED3" w:rsidP="00AD2F6B">
            <w:pPr>
              <w:pStyle w:val="TAC"/>
              <w:rPr>
                <w:rFonts w:cs="Arial"/>
              </w:rPr>
            </w:pPr>
            <w:r w:rsidRPr="003F0B9D">
              <w:rPr>
                <w:rFonts w:cs="Arial"/>
              </w:rPr>
              <w:t>-70</w:t>
            </w:r>
          </w:p>
        </w:tc>
      </w:tr>
      <w:tr w:rsidR="008E7ED3" w:rsidRPr="003F0B9D" w14:paraId="3D7B4327" w14:textId="77777777" w:rsidTr="00AD2F6B">
        <w:trPr>
          <w:trHeight w:val="821"/>
          <w:jc w:val="center"/>
        </w:trPr>
        <w:tc>
          <w:tcPr>
            <w:tcW w:w="1026" w:type="dxa"/>
            <w:tcBorders>
              <w:top w:val="single" w:sz="6" w:space="0" w:color="auto"/>
              <w:left w:val="single" w:sz="4" w:space="0" w:color="auto"/>
              <w:right w:val="single" w:sz="6" w:space="0" w:color="auto"/>
            </w:tcBorders>
            <w:vAlign w:val="center"/>
            <w:hideMark/>
          </w:tcPr>
          <w:p w14:paraId="6493B93F" w14:textId="77777777" w:rsidR="008E7ED3" w:rsidRPr="000D1AEB" w:rsidRDefault="008E7ED3" w:rsidP="00AD2F6B">
            <w:pPr>
              <w:pStyle w:val="TAC"/>
              <w:rPr>
                <w:rFonts w:cs="Arial"/>
              </w:rPr>
            </w:pPr>
            <w:r w:rsidRPr="000D1AEB">
              <w:rPr>
                <w:rFonts w:cs="Arial"/>
              </w:rPr>
              <w:sym w:font="Symbol" w:char="F0B1"/>
            </w:r>
            <w:r>
              <w:rPr>
                <w:rFonts w:cs="Arial"/>
              </w:rPr>
              <w:t xml:space="preserve"> 8</w:t>
            </w:r>
          </w:p>
        </w:tc>
        <w:tc>
          <w:tcPr>
            <w:tcW w:w="1026" w:type="dxa"/>
            <w:tcBorders>
              <w:top w:val="single" w:sz="6" w:space="0" w:color="auto"/>
              <w:left w:val="single" w:sz="6" w:space="0" w:color="auto"/>
              <w:right w:val="single" w:sz="6" w:space="0" w:color="auto"/>
            </w:tcBorders>
            <w:vAlign w:val="center"/>
            <w:hideMark/>
          </w:tcPr>
          <w:p w14:paraId="12368858" w14:textId="77777777" w:rsidR="008E7ED3" w:rsidRPr="000D1AEB" w:rsidRDefault="008E7ED3" w:rsidP="00AD2F6B">
            <w:pPr>
              <w:pStyle w:val="TAC"/>
              <w:rPr>
                <w:rFonts w:cs="Arial"/>
              </w:rPr>
            </w:pPr>
            <w:r w:rsidRPr="000D1AEB">
              <w:rPr>
                <w:rFonts w:cs="Arial"/>
              </w:rPr>
              <w:sym w:font="Symbol" w:char="F0B1"/>
            </w:r>
            <w:r>
              <w:rPr>
                <w:rFonts w:cs="Arial"/>
              </w:rPr>
              <w:t xml:space="preserve"> 11</w:t>
            </w:r>
          </w:p>
        </w:tc>
        <w:tc>
          <w:tcPr>
            <w:tcW w:w="920" w:type="dxa"/>
            <w:tcBorders>
              <w:top w:val="single" w:sz="6" w:space="0" w:color="auto"/>
              <w:left w:val="single" w:sz="6" w:space="0" w:color="auto"/>
              <w:right w:val="single" w:sz="6" w:space="0" w:color="auto"/>
            </w:tcBorders>
            <w:vAlign w:val="center"/>
            <w:hideMark/>
          </w:tcPr>
          <w:p w14:paraId="5119655E" w14:textId="77777777" w:rsidR="008E7ED3" w:rsidRPr="003F0B9D" w:rsidRDefault="008E7ED3" w:rsidP="00AD2F6B">
            <w:pPr>
              <w:pStyle w:val="TAC"/>
              <w:rPr>
                <w:rFonts w:cs="Arial"/>
              </w:rPr>
            </w:pPr>
            <w:r w:rsidRPr="003F0B9D">
              <w:rPr>
                <w:rFonts w:cs="Arial"/>
              </w:rPr>
              <w:sym w:font="Symbol" w:char="F0B3"/>
            </w:r>
            <w:r w:rsidRPr="003F0B9D">
              <w:rPr>
                <w:rFonts w:cs="Arial"/>
              </w:rPr>
              <w:t>0 dB</w:t>
            </w:r>
          </w:p>
        </w:tc>
        <w:tc>
          <w:tcPr>
            <w:tcW w:w="1701" w:type="dxa"/>
            <w:tcBorders>
              <w:top w:val="single" w:sz="6" w:space="0" w:color="auto"/>
              <w:left w:val="single" w:sz="6" w:space="0" w:color="auto"/>
              <w:right w:val="single" w:sz="4" w:space="0" w:color="auto"/>
            </w:tcBorders>
            <w:vAlign w:val="center"/>
            <w:hideMark/>
          </w:tcPr>
          <w:p w14:paraId="5652B957" w14:textId="77777777" w:rsidR="008E7ED3" w:rsidRPr="003F0B9D" w:rsidRDefault="008E7ED3" w:rsidP="00AD2F6B">
            <w:pPr>
              <w:pStyle w:val="TAC"/>
              <w:rPr>
                <w:rFonts w:cs="Arial"/>
                <w:lang w:eastAsia="zh-CN"/>
              </w:rPr>
            </w:pPr>
            <w:r>
              <w:rPr>
                <w:rFonts w:cs="Arial"/>
              </w:rPr>
              <w:t>NR_TDD_FR1_B</w:t>
            </w:r>
            <w:r w:rsidRPr="003F0B9D">
              <w:rPr>
                <w:rFonts w:cs="Arial"/>
              </w:rPr>
              <w:t xml:space="preserve"> NR_TDD_FR1_</w:t>
            </w:r>
            <w:r>
              <w:rPr>
                <w:rFonts w:cs="Arial"/>
              </w:rPr>
              <w:t>J</w:t>
            </w:r>
          </w:p>
        </w:tc>
        <w:tc>
          <w:tcPr>
            <w:tcW w:w="851" w:type="dxa"/>
            <w:tcBorders>
              <w:top w:val="single" w:sz="6" w:space="0" w:color="auto"/>
              <w:left w:val="single" w:sz="4" w:space="0" w:color="auto"/>
              <w:right w:val="single" w:sz="6" w:space="0" w:color="auto"/>
            </w:tcBorders>
            <w:vAlign w:val="center"/>
          </w:tcPr>
          <w:p w14:paraId="3E9D118D" w14:textId="77777777" w:rsidR="008E7ED3" w:rsidRPr="003F0B9D" w:rsidRDefault="008E7ED3" w:rsidP="00AD2F6B">
            <w:pPr>
              <w:pStyle w:val="TAC"/>
              <w:rPr>
                <w:rFonts w:cs="Arial"/>
                <w:lang w:eastAsia="ko-KR"/>
              </w:rPr>
            </w:pPr>
            <w:r w:rsidRPr="003F0B9D">
              <w:rPr>
                <w:rFonts w:cs="Arial"/>
                <w:lang w:eastAsia="ko-KR"/>
              </w:rPr>
              <w:t>N/A</w:t>
            </w:r>
          </w:p>
        </w:tc>
        <w:tc>
          <w:tcPr>
            <w:tcW w:w="992" w:type="dxa"/>
            <w:tcBorders>
              <w:top w:val="single" w:sz="6" w:space="0" w:color="auto"/>
              <w:left w:val="single" w:sz="4" w:space="0" w:color="auto"/>
              <w:right w:val="single" w:sz="6" w:space="0" w:color="auto"/>
            </w:tcBorders>
            <w:vAlign w:val="center"/>
          </w:tcPr>
          <w:p w14:paraId="2AB72AFC" w14:textId="77777777" w:rsidR="008E7ED3" w:rsidRPr="003F0B9D" w:rsidRDefault="008E7ED3" w:rsidP="00AD2F6B">
            <w:pPr>
              <w:pStyle w:val="TAC"/>
              <w:rPr>
                <w:rFonts w:cs="Arial"/>
                <w:lang w:eastAsia="ko-KR"/>
              </w:rPr>
            </w:pPr>
            <w:r w:rsidRPr="003F0B9D">
              <w:rPr>
                <w:rFonts w:cs="Arial"/>
                <w:lang w:eastAsia="ko-KR"/>
              </w:rPr>
              <w:t>N/A</w:t>
            </w:r>
          </w:p>
        </w:tc>
        <w:tc>
          <w:tcPr>
            <w:tcW w:w="921" w:type="dxa"/>
            <w:tcBorders>
              <w:top w:val="single" w:sz="6" w:space="0" w:color="auto"/>
              <w:left w:val="single" w:sz="4" w:space="0" w:color="auto"/>
              <w:right w:val="single" w:sz="6" w:space="0" w:color="auto"/>
            </w:tcBorders>
            <w:vAlign w:val="center"/>
          </w:tcPr>
          <w:p w14:paraId="4FF8DA71" w14:textId="77777777" w:rsidR="008E7ED3" w:rsidRPr="003F0B9D" w:rsidRDefault="008E7ED3" w:rsidP="00AD2F6B">
            <w:pPr>
              <w:pStyle w:val="TAC"/>
              <w:rPr>
                <w:rFonts w:cs="Arial"/>
                <w:lang w:eastAsia="ko-KR"/>
              </w:rPr>
            </w:pPr>
            <w:r w:rsidRPr="003F0B9D">
              <w:rPr>
                <w:rFonts w:cs="Arial"/>
                <w:lang w:eastAsia="ko-KR"/>
              </w:rPr>
              <w:t>N/A</w:t>
            </w:r>
          </w:p>
        </w:tc>
        <w:tc>
          <w:tcPr>
            <w:tcW w:w="1440" w:type="dxa"/>
            <w:tcBorders>
              <w:top w:val="single" w:sz="6" w:space="0" w:color="auto"/>
              <w:left w:val="single" w:sz="6" w:space="0" w:color="auto"/>
              <w:right w:val="single" w:sz="6" w:space="0" w:color="auto"/>
            </w:tcBorders>
            <w:vAlign w:val="center"/>
            <w:hideMark/>
          </w:tcPr>
          <w:p w14:paraId="18E0F32D" w14:textId="77777777" w:rsidR="008E7ED3" w:rsidRPr="003F0B9D" w:rsidRDefault="008E7ED3" w:rsidP="00AD2F6B">
            <w:pPr>
              <w:pStyle w:val="TAC"/>
              <w:rPr>
                <w:rFonts w:cs="Arial"/>
                <w:lang w:eastAsia="ko-KR"/>
              </w:rPr>
            </w:pPr>
            <w:r w:rsidRPr="003F0B9D">
              <w:rPr>
                <w:rFonts w:cs="Arial"/>
              </w:rPr>
              <w:t>-70</w:t>
            </w:r>
          </w:p>
        </w:tc>
        <w:tc>
          <w:tcPr>
            <w:tcW w:w="1466" w:type="dxa"/>
            <w:tcBorders>
              <w:top w:val="single" w:sz="6" w:space="0" w:color="auto"/>
              <w:left w:val="single" w:sz="6" w:space="0" w:color="auto"/>
              <w:right w:val="single" w:sz="4" w:space="0" w:color="auto"/>
            </w:tcBorders>
            <w:vAlign w:val="center"/>
            <w:hideMark/>
          </w:tcPr>
          <w:p w14:paraId="08DDBBD3" w14:textId="77777777" w:rsidR="008E7ED3" w:rsidRPr="003F0B9D" w:rsidRDefault="008E7ED3" w:rsidP="00AD2F6B">
            <w:pPr>
              <w:pStyle w:val="TAC"/>
              <w:rPr>
                <w:rFonts w:cs="Arial"/>
                <w:lang w:eastAsia="zh-CN"/>
              </w:rPr>
            </w:pPr>
            <w:r w:rsidRPr="003F0B9D">
              <w:rPr>
                <w:rFonts w:cs="Arial"/>
              </w:rPr>
              <w:t>-50</w:t>
            </w:r>
          </w:p>
        </w:tc>
      </w:tr>
      <w:tr w:rsidR="008E7ED3" w14:paraId="68BF78AD" w14:textId="77777777" w:rsidTr="00AD2F6B">
        <w:trPr>
          <w:jc w:val="center"/>
        </w:trPr>
        <w:tc>
          <w:tcPr>
            <w:tcW w:w="10343" w:type="dxa"/>
            <w:gridSpan w:val="9"/>
            <w:tcBorders>
              <w:top w:val="single" w:sz="6" w:space="0" w:color="auto"/>
              <w:left w:val="single" w:sz="4" w:space="0" w:color="auto"/>
              <w:bottom w:val="single" w:sz="4" w:space="0" w:color="auto"/>
              <w:right w:val="single" w:sz="4" w:space="0" w:color="auto"/>
            </w:tcBorders>
            <w:vAlign w:val="center"/>
            <w:hideMark/>
          </w:tcPr>
          <w:p w14:paraId="3CCBFD2B" w14:textId="77777777" w:rsidR="008E7ED3" w:rsidRPr="003F0B9D" w:rsidRDefault="008E7ED3" w:rsidP="00AD2F6B">
            <w:pPr>
              <w:pStyle w:val="TAN"/>
              <w:rPr>
                <w:rFonts w:cs="Arial"/>
                <w:lang w:eastAsia="ko-KR"/>
              </w:rPr>
            </w:pPr>
            <w:r w:rsidRPr="003F0B9D">
              <w:rPr>
                <w:rFonts w:cs="Arial"/>
              </w:rPr>
              <w:t>NOTE 1:</w:t>
            </w:r>
            <w:r w:rsidRPr="003F0B9D">
              <w:rPr>
                <w:rFonts w:cs="Arial"/>
              </w:rPr>
              <w:tab/>
              <w:t>Io is assumed to have constant EPRE across the bandwidth.</w:t>
            </w:r>
          </w:p>
          <w:p w14:paraId="78BC37D4" w14:textId="77777777" w:rsidR="008E7ED3" w:rsidRPr="003F0B9D" w:rsidRDefault="008E7ED3" w:rsidP="00AD2F6B">
            <w:pPr>
              <w:pStyle w:val="TAN"/>
              <w:rPr>
                <w:rFonts w:cs="Arial"/>
              </w:rPr>
            </w:pPr>
            <w:r w:rsidRPr="003F0B9D">
              <w:rPr>
                <w:rFonts w:cs="Arial"/>
              </w:rPr>
              <w:t>NOTE 2:</w:t>
            </w:r>
            <w:r w:rsidRPr="003F0B9D">
              <w:rPr>
                <w:rFonts w:cs="Arial"/>
              </w:rPr>
              <w:tab/>
              <w:t>NR V2X operating band groups are as defined in Section 3.5 for the corresponding NR operating bands.</w:t>
            </w:r>
          </w:p>
          <w:p w14:paraId="67B6BEB8" w14:textId="77777777" w:rsidR="008E7ED3" w:rsidRDefault="008E7ED3" w:rsidP="00AD2F6B">
            <w:pPr>
              <w:pStyle w:val="TAN"/>
              <w:rPr>
                <w:rFonts w:cs="Arial"/>
              </w:rPr>
            </w:pPr>
            <w:r w:rsidRPr="003F0B9D">
              <w:rPr>
                <w:rFonts w:cs="Arial"/>
              </w:rPr>
              <w:t>NOTE 3:</w:t>
            </w:r>
            <w:r w:rsidRPr="003F0B9D">
              <w:rPr>
                <w:rFonts w:cs="Arial"/>
              </w:rPr>
              <w:tab/>
            </w:r>
            <w:r w:rsidRPr="003F0B9D">
              <w:rPr>
                <w:rFonts w:cs="Arial"/>
                <w:lang w:eastAsia="zh-CN"/>
              </w:rPr>
              <w:t xml:space="preserve">The parameter </w:t>
            </w:r>
            <w:r w:rsidRPr="003F0B9D">
              <w:rPr>
                <w:rFonts w:cs="Arial"/>
              </w:rPr>
              <w:t>Ês/Iot is the Ês/Iot of PSCCH-DMRS</w:t>
            </w:r>
            <w:r>
              <w:rPr>
                <w:rFonts w:cs="Arial"/>
              </w:rPr>
              <w:t xml:space="preserve"> and/or </w:t>
            </w:r>
            <w:r w:rsidRPr="003F0B9D">
              <w:rPr>
                <w:rFonts w:cs="Arial"/>
              </w:rPr>
              <w:t>PSSCH-DMRS.</w:t>
            </w:r>
          </w:p>
        </w:tc>
      </w:tr>
    </w:tbl>
    <w:p w14:paraId="3E1C4929" w14:textId="5E2F6E9A" w:rsidR="00DD5704" w:rsidRDefault="00DD5704" w:rsidP="00DD5704"/>
    <w:p w14:paraId="59182251" w14:textId="77777777" w:rsidR="00DD5704" w:rsidRPr="00B443FD" w:rsidRDefault="00DD5704" w:rsidP="00DD5704">
      <w:pPr>
        <w:pStyle w:val="Heading3"/>
      </w:pPr>
      <w:bookmarkStart w:id="30" w:name="_Hlk97743669"/>
      <w:r w:rsidRPr="00B443FD">
        <w:t>10.</w:t>
      </w:r>
      <w:r>
        <w:rPr>
          <w:rFonts w:hint="eastAsia"/>
          <w:lang w:eastAsia="zh-CN"/>
        </w:rPr>
        <w:t>4</w:t>
      </w:r>
      <w:r w:rsidRPr="00B443FD">
        <w:t>.</w:t>
      </w:r>
      <w:r>
        <w:t>5</w:t>
      </w:r>
      <w:r w:rsidRPr="00B443FD">
        <w:tab/>
        <w:t>Intra-Frequency Discovery Signal Measurement Accuracy Requirements</w:t>
      </w:r>
    </w:p>
    <w:bookmarkEnd w:id="30"/>
    <w:p w14:paraId="0DE95518" w14:textId="77777777" w:rsidR="00DD5704" w:rsidRPr="00691C10" w:rsidRDefault="00DD5704" w:rsidP="00DD5704">
      <w:pPr>
        <w:jc w:val="both"/>
        <w:rPr>
          <w:rFonts w:cs="v4.2.0"/>
        </w:rPr>
      </w:pPr>
      <w:r w:rsidRPr="00691C10">
        <w:rPr>
          <w:rFonts w:cs="v4.2.0"/>
        </w:rPr>
        <w:t xml:space="preserve">The requirements in this clause are applicable for a remote </w:t>
      </w:r>
      <w:r>
        <w:rPr>
          <w:rFonts w:cs="v4.2.0"/>
        </w:rPr>
        <w:t>sidelink</w:t>
      </w:r>
      <w:r w:rsidRPr="00691C10">
        <w:rPr>
          <w:rFonts w:cs="v4.2.0"/>
        </w:rPr>
        <w:t xml:space="preserve"> UE:</w:t>
      </w:r>
    </w:p>
    <w:p w14:paraId="4B724120" w14:textId="77777777" w:rsidR="00DD5704" w:rsidRPr="00691C10" w:rsidRDefault="00DD5704" w:rsidP="00DD5704">
      <w:pPr>
        <w:pStyle w:val="B10"/>
      </w:pPr>
      <w:r w:rsidRPr="00691C10">
        <w:rPr>
          <w:rFonts w:cs="v4.2.0"/>
        </w:rPr>
        <w:t>-</w:t>
      </w:r>
      <w:r w:rsidRPr="00691C10">
        <w:rPr>
          <w:rFonts w:cs="v4.2.0"/>
        </w:rPr>
        <w:tab/>
      </w:r>
      <w:r w:rsidRPr="00691C10">
        <w:t xml:space="preserve">is out of coverage on the frequency used for </w:t>
      </w:r>
      <w:r>
        <w:t>sidelink</w:t>
      </w:r>
      <w:r w:rsidRPr="00691C10">
        <w:t>, and</w:t>
      </w:r>
    </w:p>
    <w:p w14:paraId="7939466F" w14:textId="77777777" w:rsidR="00DD5704" w:rsidRPr="00B443FD" w:rsidRDefault="00DD5704" w:rsidP="00DD5704">
      <w:pPr>
        <w:pStyle w:val="B10"/>
        <w:rPr>
          <w:rFonts w:ascii="Arial" w:hAnsi="Arial"/>
          <w:sz w:val="28"/>
        </w:rPr>
      </w:pPr>
      <w:r w:rsidRPr="00691C10">
        <w:rPr>
          <w:rFonts w:cs="v4.2.0"/>
        </w:rPr>
        <w:t>-</w:t>
      </w:r>
      <w:r w:rsidRPr="00691C10">
        <w:rPr>
          <w:rFonts w:cs="v4.2.0"/>
        </w:rPr>
        <w:tab/>
      </w:r>
      <w:r w:rsidRPr="00691C10">
        <w:t xml:space="preserve">that is synchronised to the </w:t>
      </w:r>
      <w:r>
        <w:t>sidelink</w:t>
      </w:r>
      <w:r w:rsidRPr="00691C10">
        <w:t xml:space="preserve"> relay UE that is measured.</w:t>
      </w:r>
    </w:p>
    <w:p w14:paraId="254FFA0D" w14:textId="77777777" w:rsidR="00DD5704" w:rsidRPr="00B443FD" w:rsidRDefault="00DD5704" w:rsidP="00DD5704">
      <w:pPr>
        <w:pStyle w:val="Heading4"/>
      </w:pPr>
      <w:r w:rsidRPr="00B443FD">
        <w:t>10.</w:t>
      </w:r>
      <w:r>
        <w:rPr>
          <w:rFonts w:hint="eastAsia"/>
          <w:lang w:eastAsia="zh-CN"/>
        </w:rPr>
        <w:t>4</w:t>
      </w:r>
      <w:r w:rsidRPr="00B443FD">
        <w:t>.</w:t>
      </w:r>
      <w:r>
        <w:rPr>
          <w:lang w:eastAsia="zh-CN"/>
        </w:rPr>
        <w:t>5</w:t>
      </w:r>
      <w:r w:rsidRPr="00B443FD">
        <w:t>.</w:t>
      </w:r>
      <w:r>
        <w:t>1</w:t>
      </w:r>
      <w:r w:rsidRPr="00B443FD">
        <w:tab/>
        <w:t>Absolute Discovery Signal Measurement Accuracy</w:t>
      </w:r>
    </w:p>
    <w:p w14:paraId="08388397" w14:textId="77777777" w:rsidR="00DD5704" w:rsidRPr="00691C10" w:rsidRDefault="00DD5704" w:rsidP="00DD5704">
      <w:pPr>
        <w:rPr>
          <w:i/>
        </w:rPr>
      </w:pPr>
      <w:r w:rsidRPr="00691C10">
        <w:t xml:space="preserve">The requirements for absolute accuracy of </w:t>
      </w:r>
      <w:r>
        <w:t>discovery signal measurement</w:t>
      </w:r>
      <w:r w:rsidRPr="00691C10">
        <w:t xml:space="preserve"> in this clause apply to a </w:t>
      </w:r>
      <w:r>
        <w:t>sidelink</w:t>
      </w:r>
      <w:r w:rsidRPr="00691C10">
        <w:t xml:space="preserve"> UE performing SD-RSRP measurements</w:t>
      </w:r>
      <w:r>
        <w:t xml:space="preserve"> for direct to indirect path swich or SL-RSRP measurements for indirect to direct path switch</w:t>
      </w:r>
      <w:r w:rsidRPr="00691C10">
        <w:t xml:space="preserve"> on the same frequency as used by the </w:t>
      </w:r>
      <w:r>
        <w:t>sidelink</w:t>
      </w:r>
      <w:r w:rsidRPr="00691C10">
        <w:t xml:space="preserve"> relay UE transmitting the relay Discovery message.</w:t>
      </w:r>
    </w:p>
    <w:p w14:paraId="7B1CFA8A" w14:textId="77777777" w:rsidR="00DD5704" w:rsidRPr="00691C10" w:rsidRDefault="00DD5704" w:rsidP="00DD5704">
      <w:r w:rsidRPr="00691C10">
        <w:t xml:space="preserve">The accuracy requirements in Table </w:t>
      </w:r>
      <w:r w:rsidRPr="00680532">
        <w:t>10.4.</w:t>
      </w:r>
      <w:r>
        <w:t>5</w:t>
      </w:r>
      <w:r w:rsidRPr="00680532">
        <w:t>.1</w:t>
      </w:r>
      <w:r w:rsidRPr="00691C10">
        <w:t>-1 are valid under the following conditions:</w:t>
      </w:r>
    </w:p>
    <w:p w14:paraId="21C4734D" w14:textId="77777777" w:rsidR="00DD5704" w:rsidRPr="003F0B9D" w:rsidRDefault="00DD5704" w:rsidP="00DD5704">
      <w:pPr>
        <w:pStyle w:val="B10"/>
      </w:pPr>
      <w:r w:rsidRPr="003F0B9D">
        <w:t>-</w:t>
      </w:r>
      <w:r w:rsidRPr="003F0B9D">
        <w:tab/>
        <w:t>Demodulation reference signals for PSCCH</w:t>
      </w:r>
      <w:r>
        <w:t xml:space="preserve"> and/or </w:t>
      </w:r>
      <w:r w:rsidRPr="003F0B9D">
        <w:t>PSSCH are transmitted from one port.</w:t>
      </w:r>
    </w:p>
    <w:p w14:paraId="08880B7F" w14:textId="77777777" w:rsidR="00DD5704" w:rsidRPr="003F0B9D" w:rsidRDefault="00DD5704" w:rsidP="00DD5704">
      <w:pPr>
        <w:pStyle w:val="B10"/>
      </w:pPr>
      <w:r w:rsidRPr="003F0B9D">
        <w:t>-</w:t>
      </w:r>
      <w:r w:rsidRPr="003F0B9D">
        <w:tab/>
        <w:t>Conditions defined in clause 7.3E of TS38.101-1 [18] for reference sensitivity are fulfilled.</w:t>
      </w:r>
    </w:p>
    <w:p w14:paraId="662DB54A" w14:textId="77777777" w:rsidR="00DD5704" w:rsidRPr="00691C10" w:rsidRDefault="00DD5704" w:rsidP="00DD5704">
      <w:pPr>
        <w:pStyle w:val="B10"/>
        <w:rPr>
          <w:lang w:eastAsia="zh-CN"/>
        </w:rPr>
      </w:pPr>
      <w:r w:rsidRPr="003F0B9D">
        <w:t>-</w:t>
      </w:r>
      <w:r w:rsidRPr="003F0B9D">
        <w:tab/>
        <w:t xml:space="preserve">PSCCH-RSRP|dBm </w:t>
      </w:r>
      <w:r>
        <w:t xml:space="preserve">and/or </w:t>
      </w:r>
      <w:r w:rsidRPr="003F0B9D">
        <w:t>PSSCH-RSRP|dBm according to Annex B.4.4 for a corresponding Band are fulfilled.</w:t>
      </w:r>
    </w:p>
    <w:p w14:paraId="0290D3E5" w14:textId="77777777" w:rsidR="00DD5704" w:rsidRPr="00691C10" w:rsidRDefault="00DD5704" w:rsidP="00DD5704">
      <w:pPr>
        <w:pStyle w:val="TH"/>
      </w:pPr>
      <w:r w:rsidRPr="00691C10">
        <w:t xml:space="preserve">Table </w:t>
      </w:r>
      <w:r w:rsidRPr="00680532">
        <w:t>10.4.</w:t>
      </w:r>
      <w:r>
        <w:t>5</w:t>
      </w:r>
      <w:r w:rsidRPr="00680532">
        <w:t>.1</w:t>
      </w:r>
      <w:r w:rsidRPr="00691C10">
        <w:t xml:space="preserve">-1: Intra-frequency </w:t>
      </w:r>
      <w:r>
        <w:t>discovery signal measurement</w:t>
      </w:r>
      <w:r w:rsidRPr="00691C10">
        <w:t xml:space="preserve"> absolute accuracy for</w:t>
      </w:r>
      <w:r>
        <w:t xml:space="preserve"> a remote</w:t>
      </w:r>
      <w:r w:rsidRPr="00691C10">
        <w:t xml:space="preserve"> </w:t>
      </w:r>
      <w:r>
        <w:t>sidelink</w:t>
      </w:r>
      <w:r w:rsidRPr="00691C10">
        <w:t xml:space="preserve"> UE [2] capable of </w:t>
      </w:r>
      <w:r>
        <w:t>sidelink</w:t>
      </w:r>
      <w:r w:rsidRPr="00691C10">
        <w:t xml:space="preserve"> Communication and </w:t>
      </w:r>
      <w:r>
        <w:t>sidelink</w:t>
      </w:r>
      <w:r w:rsidRPr="00691C10">
        <w:t xml:space="preserve"> Discovery and configured by upper layers for relay operation.</w:t>
      </w:r>
    </w:p>
    <w:tbl>
      <w:tblPr>
        <w:tblW w:w="0" w:type="auto"/>
        <w:jc w:val="center"/>
        <w:tblLook w:val="01E0" w:firstRow="1" w:lastRow="1" w:firstColumn="1" w:lastColumn="1" w:noHBand="0" w:noVBand="0"/>
      </w:tblPr>
      <w:tblGrid>
        <w:gridCol w:w="1048"/>
        <w:gridCol w:w="1051"/>
        <w:gridCol w:w="720"/>
        <w:gridCol w:w="1662"/>
        <w:gridCol w:w="756"/>
        <w:gridCol w:w="756"/>
        <w:gridCol w:w="756"/>
        <w:gridCol w:w="1440"/>
        <w:gridCol w:w="1440"/>
      </w:tblGrid>
      <w:tr w:rsidR="00DD5704" w:rsidRPr="003F0B9D" w14:paraId="75432FAA" w14:textId="77777777" w:rsidTr="003305AC">
        <w:trPr>
          <w:jc w:val="center"/>
        </w:trPr>
        <w:tc>
          <w:tcPr>
            <w:tcW w:w="0" w:type="auto"/>
            <w:gridSpan w:val="2"/>
            <w:tcBorders>
              <w:top w:val="single" w:sz="4" w:space="0" w:color="auto"/>
              <w:left w:val="single" w:sz="4" w:space="0" w:color="auto"/>
              <w:bottom w:val="single" w:sz="6" w:space="0" w:color="auto"/>
              <w:right w:val="single" w:sz="6" w:space="0" w:color="auto"/>
            </w:tcBorders>
            <w:vAlign w:val="center"/>
            <w:hideMark/>
          </w:tcPr>
          <w:p w14:paraId="091D9CE9" w14:textId="77777777" w:rsidR="00DD5704" w:rsidRPr="003F0B9D" w:rsidRDefault="00DD5704" w:rsidP="00DD5704">
            <w:pPr>
              <w:pStyle w:val="TAH"/>
            </w:pPr>
            <w:r w:rsidRPr="003F0B9D">
              <w:t>Accuracy</w:t>
            </w:r>
          </w:p>
        </w:tc>
        <w:tc>
          <w:tcPr>
            <w:tcW w:w="0" w:type="auto"/>
            <w:gridSpan w:val="7"/>
            <w:tcBorders>
              <w:top w:val="single" w:sz="4" w:space="0" w:color="auto"/>
              <w:left w:val="single" w:sz="6" w:space="0" w:color="auto"/>
              <w:bottom w:val="single" w:sz="6" w:space="0" w:color="auto"/>
              <w:right w:val="single" w:sz="4" w:space="0" w:color="auto"/>
            </w:tcBorders>
            <w:vAlign w:val="center"/>
            <w:hideMark/>
          </w:tcPr>
          <w:p w14:paraId="50194A46" w14:textId="77777777" w:rsidR="00DD5704" w:rsidRPr="003F0B9D" w:rsidRDefault="00DD5704" w:rsidP="00DD5704">
            <w:pPr>
              <w:pStyle w:val="TAH"/>
            </w:pPr>
            <w:r w:rsidRPr="003F0B9D">
              <w:t>Conditions</w:t>
            </w:r>
          </w:p>
        </w:tc>
      </w:tr>
      <w:tr w:rsidR="00DD5704" w:rsidRPr="003F0B9D" w14:paraId="448078F4" w14:textId="77777777" w:rsidTr="003305AC">
        <w:trPr>
          <w:jc w:val="center"/>
        </w:trPr>
        <w:tc>
          <w:tcPr>
            <w:tcW w:w="0" w:type="auto"/>
            <w:vMerge w:val="restart"/>
            <w:tcBorders>
              <w:top w:val="single" w:sz="6" w:space="0" w:color="auto"/>
              <w:left w:val="single" w:sz="4" w:space="0" w:color="auto"/>
              <w:bottom w:val="single" w:sz="6" w:space="0" w:color="auto"/>
              <w:right w:val="single" w:sz="6" w:space="0" w:color="auto"/>
            </w:tcBorders>
            <w:vAlign w:val="center"/>
            <w:hideMark/>
          </w:tcPr>
          <w:p w14:paraId="2D889248" w14:textId="77777777" w:rsidR="00DD5704" w:rsidRPr="003F0B9D" w:rsidRDefault="00DD5704" w:rsidP="00DD5704">
            <w:pPr>
              <w:pStyle w:val="TAH"/>
            </w:pPr>
            <w:r w:rsidRPr="003F0B9D">
              <w:t>Normal condition</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6B60A201" w14:textId="77777777" w:rsidR="00DD5704" w:rsidRPr="003F0B9D" w:rsidRDefault="00DD5704" w:rsidP="00DD5704">
            <w:pPr>
              <w:pStyle w:val="TAH"/>
            </w:pPr>
            <w:r w:rsidRPr="003F0B9D">
              <w:t>Extreme condition</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14:paraId="7533F5FF" w14:textId="77777777" w:rsidR="00DD5704" w:rsidRPr="003F0B9D" w:rsidRDefault="00DD5704" w:rsidP="00DD5704">
            <w:pPr>
              <w:pStyle w:val="TAH"/>
            </w:pPr>
            <w:r w:rsidRPr="003F0B9D">
              <w:t>Ês/Iot</w:t>
            </w:r>
            <w:r w:rsidRPr="003F0B9D">
              <w:rPr>
                <w:vertAlign w:val="superscript"/>
                <w:lang w:eastAsia="zh-CN"/>
              </w:rPr>
              <w:t xml:space="preserve"> </w:t>
            </w:r>
            <w:r w:rsidRPr="003F0B9D">
              <w:rPr>
                <w:vertAlign w:val="superscript"/>
              </w:rPr>
              <w:t>Note 3</w:t>
            </w:r>
          </w:p>
        </w:tc>
        <w:tc>
          <w:tcPr>
            <w:tcW w:w="0" w:type="auto"/>
            <w:gridSpan w:val="6"/>
            <w:tcBorders>
              <w:top w:val="single" w:sz="6" w:space="0" w:color="auto"/>
              <w:left w:val="single" w:sz="6" w:space="0" w:color="auto"/>
              <w:bottom w:val="single" w:sz="6" w:space="0" w:color="auto"/>
              <w:right w:val="single" w:sz="4" w:space="0" w:color="auto"/>
            </w:tcBorders>
            <w:vAlign w:val="center"/>
            <w:hideMark/>
          </w:tcPr>
          <w:p w14:paraId="65713EBB" w14:textId="77777777" w:rsidR="00DD5704" w:rsidRPr="003F0B9D" w:rsidRDefault="00DD5704" w:rsidP="00DD5704">
            <w:pPr>
              <w:pStyle w:val="TAH"/>
            </w:pPr>
            <w:r w:rsidRPr="003F0B9D">
              <w:t>Io</w:t>
            </w:r>
            <w:r w:rsidRPr="003F0B9D">
              <w:rPr>
                <w:vertAlign w:val="superscript"/>
                <w:lang w:eastAsia="zh-CN"/>
              </w:rPr>
              <w:t xml:space="preserve"> Note 1</w:t>
            </w:r>
            <w:r w:rsidRPr="003F0B9D">
              <w:t xml:space="preserve"> range</w:t>
            </w:r>
          </w:p>
        </w:tc>
      </w:tr>
      <w:tr w:rsidR="00DD5704" w:rsidRPr="003F0B9D" w14:paraId="2ED40DEF" w14:textId="77777777" w:rsidTr="003305AC">
        <w:trPr>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14:paraId="0FAD0D7F" w14:textId="77777777" w:rsidR="00DD5704" w:rsidRPr="003F0B9D" w:rsidRDefault="00DD5704" w:rsidP="00DD5704">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EB8757" w14:textId="77777777" w:rsidR="00DD5704" w:rsidRPr="003F0B9D" w:rsidRDefault="00DD5704" w:rsidP="00DD5704">
            <w:pPr>
              <w:pStyle w:val="TAH"/>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2B41C5F" w14:textId="77777777" w:rsidR="00DD5704" w:rsidRPr="003F0B9D" w:rsidRDefault="00DD5704" w:rsidP="00DD5704">
            <w:pPr>
              <w:pStyle w:val="TAH"/>
            </w:pPr>
          </w:p>
        </w:tc>
        <w:tc>
          <w:tcPr>
            <w:tcW w:w="0" w:type="auto"/>
            <w:tcBorders>
              <w:top w:val="single" w:sz="6" w:space="0" w:color="auto"/>
              <w:left w:val="single" w:sz="6" w:space="0" w:color="auto"/>
              <w:bottom w:val="single" w:sz="6" w:space="0" w:color="auto"/>
              <w:right w:val="single" w:sz="4" w:space="0" w:color="auto"/>
            </w:tcBorders>
            <w:vAlign w:val="center"/>
            <w:hideMark/>
          </w:tcPr>
          <w:p w14:paraId="02B16DD0" w14:textId="77777777" w:rsidR="00DD5704" w:rsidRPr="003F0B9D" w:rsidRDefault="00DD5704" w:rsidP="00DD5704">
            <w:pPr>
              <w:pStyle w:val="TAH"/>
            </w:pPr>
            <w:r w:rsidRPr="003F0B9D">
              <w:t>NR V2X operating band groups</w:t>
            </w:r>
            <w:r w:rsidRPr="003F0B9D">
              <w:rPr>
                <w:vertAlign w:val="superscript"/>
              </w:rPr>
              <w:t xml:space="preserve"> Note 2</w:t>
            </w:r>
          </w:p>
        </w:tc>
        <w:tc>
          <w:tcPr>
            <w:tcW w:w="0" w:type="auto"/>
            <w:gridSpan w:val="4"/>
            <w:tcBorders>
              <w:top w:val="single" w:sz="4" w:space="0" w:color="auto"/>
              <w:left w:val="single" w:sz="4" w:space="0" w:color="auto"/>
              <w:bottom w:val="single" w:sz="6" w:space="0" w:color="auto"/>
              <w:right w:val="single" w:sz="6" w:space="0" w:color="auto"/>
            </w:tcBorders>
            <w:vAlign w:val="center"/>
            <w:hideMark/>
          </w:tcPr>
          <w:p w14:paraId="6BCE7D6E" w14:textId="77777777" w:rsidR="00DD5704" w:rsidRPr="003F0B9D" w:rsidRDefault="00DD5704" w:rsidP="00DD5704">
            <w:pPr>
              <w:pStyle w:val="TAH"/>
            </w:pPr>
            <w:r w:rsidRPr="003F0B9D">
              <w:t>Minimum Io</w:t>
            </w:r>
          </w:p>
        </w:tc>
        <w:tc>
          <w:tcPr>
            <w:tcW w:w="0" w:type="auto"/>
            <w:tcBorders>
              <w:top w:val="single" w:sz="4" w:space="0" w:color="auto"/>
              <w:left w:val="single" w:sz="6" w:space="0" w:color="auto"/>
              <w:bottom w:val="single" w:sz="6" w:space="0" w:color="auto"/>
              <w:right w:val="single" w:sz="4" w:space="0" w:color="auto"/>
            </w:tcBorders>
            <w:vAlign w:val="center"/>
            <w:hideMark/>
          </w:tcPr>
          <w:p w14:paraId="6BAEDFFE" w14:textId="77777777" w:rsidR="00DD5704" w:rsidRPr="003F0B9D" w:rsidRDefault="00DD5704" w:rsidP="00DD5704">
            <w:pPr>
              <w:pStyle w:val="TAH"/>
            </w:pPr>
            <w:r w:rsidRPr="003F0B9D">
              <w:t>Maximum Io</w:t>
            </w:r>
          </w:p>
        </w:tc>
      </w:tr>
      <w:tr w:rsidR="00DD5704" w:rsidRPr="003F0B9D" w14:paraId="1D793409" w14:textId="77777777" w:rsidTr="003305AC">
        <w:trPr>
          <w:jc w:val="center"/>
        </w:trPr>
        <w:tc>
          <w:tcPr>
            <w:tcW w:w="0" w:type="auto"/>
            <w:vMerge w:val="restart"/>
            <w:tcBorders>
              <w:top w:val="single" w:sz="6" w:space="0" w:color="auto"/>
              <w:left w:val="single" w:sz="4" w:space="0" w:color="auto"/>
              <w:right w:val="single" w:sz="6" w:space="0" w:color="auto"/>
            </w:tcBorders>
            <w:vAlign w:val="center"/>
            <w:hideMark/>
          </w:tcPr>
          <w:p w14:paraId="18274AA4" w14:textId="77777777" w:rsidR="00DD5704" w:rsidRPr="003F0B9D" w:rsidRDefault="00DD5704" w:rsidP="00DD5704">
            <w:pPr>
              <w:pStyle w:val="TAH"/>
            </w:pPr>
            <w:r w:rsidRPr="003F0B9D">
              <w:t>dB</w:t>
            </w:r>
          </w:p>
        </w:tc>
        <w:tc>
          <w:tcPr>
            <w:tcW w:w="0" w:type="auto"/>
            <w:vMerge w:val="restart"/>
            <w:tcBorders>
              <w:top w:val="single" w:sz="6" w:space="0" w:color="auto"/>
              <w:left w:val="single" w:sz="6" w:space="0" w:color="auto"/>
              <w:right w:val="single" w:sz="6" w:space="0" w:color="auto"/>
            </w:tcBorders>
            <w:vAlign w:val="center"/>
            <w:hideMark/>
          </w:tcPr>
          <w:p w14:paraId="36672DA0" w14:textId="77777777" w:rsidR="00DD5704" w:rsidRPr="003F0B9D" w:rsidRDefault="00DD5704" w:rsidP="00DD5704">
            <w:pPr>
              <w:pStyle w:val="TAH"/>
            </w:pPr>
            <w:r w:rsidRPr="003F0B9D">
              <w:t>dB</w:t>
            </w:r>
          </w:p>
        </w:tc>
        <w:tc>
          <w:tcPr>
            <w:tcW w:w="0" w:type="auto"/>
            <w:vMerge w:val="restart"/>
            <w:tcBorders>
              <w:top w:val="single" w:sz="6" w:space="0" w:color="auto"/>
              <w:left w:val="single" w:sz="6" w:space="0" w:color="auto"/>
              <w:right w:val="single" w:sz="6" w:space="0" w:color="auto"/>
            </w:tcBorders>
            <w:vAlign w:val="center"/>
            <w:hideMark/>
          </w:tcPr>
          <w:p w14:paraId="2F4E27DF" w14:textId="77777777" w:rsidR="00DD5704" w:rsidRPr="003F0B9D" w:rsidRDefault="00DD5704" w:rsidP="00DD5704">
            <w:pPr>
              <w:pStyle w:val="TAH"/>
            </w:pPr>
            <w:r w:rsidRPr="003F0B9D">
              <w:t>dB</w:t>
            </w:r>
          </w:p>
        </w:tc>
        <w:tc>
          <w:tcPr>
            <w:tcW w:w="0" w:type="auto"/>
            <w:vMerge w:val="restart"/>
            <w:tcBorders>
              <w:top w:val="single" w:sz="6" w:space="0" w:color="auto"/>
              <w:left w:val="single" w:sz="6" w:space="0" w:color="auto"/>
              <w:right w:val="single" w:sz="4" w:space="0" w:color="auto"/>
            </w:tcBorders>
            <w:vAlign w:val="center"/>
          </w:tcPr>
          <w:p w14:paraId="645C5A32" w14:textId="77777777" w:rsidR="00DD5704" w:rsidRPr="003F0B9D" w:rsidRDefault="00DD5704" w:rsidP="00DD5704">
            <w:pPr>
              <w:pStyle w:val="TAH"/>
            </w:pPr>
          </w:p>
        </w:tc>
        <w:tc>
          <w:tcPr>
            <w:tcW w:w="0" w:type="auto"/>
            <w:gridSpan w:val="3"/>
            <w:tcBorders>
              <w:top w:val="single" w:sz="6" w:space="0" w:color="auto"/>
              <w:left w:val="single" w:sz="4" w:space="0" w:color="auto"/>
              <w:bottom w:val="single" w:sz="6" w:space="0" w:color="auto"/>
              <w:right w:val="single" w:sz="6" w:space="0" w:color="auto"/>
            </w:tcBorders>
            <w:vAlign w:val="center"/>
          </w:tcPr>
          <w:p w14:paraId="45FD153E" w14:textId="77777777" w:rsidR="00DD5704" w:rsidRPr="003F0B9D" w:rsidRDefault="00DD5704" w:rsidP="00DD5704">
            <w:pPr>
              <w:pStyle w:val="TAH"/>
              <w:rPr>
                <w:lang w:eastAsia="ko-KR"/>
              </w:rPr>
            </w:pPr>
            <w:r w:rsidRPr="003F0B9D">
              <w:rPr>
                <w:lang w:eastAsia="ko-KR"/>
              </w:rPr>
              <w:t>dBm/SCS</w:t>
            </w:r>
          </w:p>
        </w:tc>
        <w:tc>
          <w:tcPr>
            <w:tcW w:w="0" w:type="auto"/>
            <w:vMerge w:val="restart"/>
            <w:tcBorders>
              <w:top w:val="single" w:sz="6" w:space="0" w:color="auto"/>
              <w:left w:val="single" w:sz="6" w:space="0" w:color="auto"/>
              <w:right w:val="single" w:sz="6" w:space="0" w:color="auto"/>
            </w:tcBorders>
            <w:vAlign w:val="center"/>
            <w:hideMark/>
          </w:tcPr>
          <w:p w14:paraId="1924C6A4" w14:textId="77777777" w:rsidR="00DD5704" w:rsidRPr="003F0B9D" w:rsidRDefault="00DD5704" w:rsidP="00DD5704">
            <w:pPr>
              <w:pStyle w:val="TAH"/>
            </w:pPr>
            <w:r w:rsidRPr="003F0B9D">
              <w:t>dBm/BW</w:t>
            </w:r>
            <w:r w:rsidRPr="003F0B9D">
              <w:rPr>
                <w:vertAlign w:val="subscript"/>
              </w:rPr>
              <w:t>Channel</w:t>
            </w:r>
          </w:p>
        </w:tc>
        <w:tc>
          <w:tcPr>
            <w:tcW w:w="0" w:type="auto"/>
            <w:vMerge w:val="restart"/>
            <w:tcBorders>
              <w:top w:val="single" w:sz="6" w:space="0" w:color="auto"/>
              <w:left w:val="single" w:sz="6" w:space="0" w:color="auto"/>
              <w:right w:val="single" w:sz="4" w:space="0" w:color="auto"/>
            </w:tcBorders>
            <w:vAlign w:val="center"/>
            <w:hideMark/>
          </w:tcPr>
          <w:p w14:paraId="32E53042" w14:textId="77777777" w:rsidR="00DD5704" w:rsidRPr="003F0B9D" w:rsidRDefault="00DD5704" w:rsidP="00DD5704">
            <w:pPr>
              <w:pStyle w:val="TAH"/>
            </w:pPr>
            <w:r w:rsidRPr="003F0B9D">
              <w:t>dBm/BW</w:t>
            </w:r>
            <w:r w:rsidRPr="003F0B9D">
              <w:rPr>
                <w:vertAlign w:val="subscript"/>
              </w:rPr>
              <w:t>Channel</w:t>
            </w:r>
          </w:p>
        </w:tc>
      </w:tr>
      <w:tr w:rsidR="00DD5704" w:rsidRPr="003F0B9D" w14:paraId="45A71439" w14:textId="77777777" w:rsidTr="003305AC">
        <w:trPr>
          <w:jc w:val="center"/>
        </w:trPr>
        <w:tc>
          <w:tcPr>
            <w:tcW w:w="0" w:type="auto"/>
            <w:vMerge/>
            <w:tcBorders>
              <w:left w:val="single" w:sz="4" w:space="0" w:color="auto"/>
              <w:bottom w:val="single" w:sz="6" w:space="0" w:color="auto"/>
              <w:right w:val="single" w:sz="6" w:space="0" w:color="auto"/>
            </w:tcBorders>
            <w:vAlign w:val="center"/>
          </w:tcPr>
          <w:p w14:paraId="4DCE11DD" w14:textId="77777777" w:rsidR="00DD5704" w:rsidRPr="003F0B9D" w:rsidRDefault="00DD5704" w:rsidP="003305AC">
            <w:pPr>
              <w:pStyle w:val="TAH"/>
              <w:rPr>
                <w:rFonts w:cs="Arial"/>
              </w:rPr>
            </w:pPr>
          </w:p>
        </w:tc>
        <w:tc>
          <w:tcPr>
            <w:tcW w:w="0" w:type="auto"/>
            <w:vMerge/>
            <w:tcBorders>
              <w:left w:val="single" w:sz="6" w:space="0" w:color="auto"/>
              <w:bottom w:val="single" w:sz="6" w:space="0" w:color="auto"/>
              <w:right w:val="single" w:sz="6" w:space="0" w:color="auto"/>
            </w:tcBorders>
            <w:vAlign w:val="center"/>
          </w:tcPr>
          <w:p w14:paraId="759027E5" w14:textId="77777777" w:rsidR="00DD5704" w:rsidRPr="003F0B9D" w:rsidRDefault="00DD5704" w:rsidP="003305AC">
            <w:pPr>
              <w:pStyle w:val="TAH"/>
              <w:rPr>
                <w:rFonts w:cs="Arial"/>
              </w:rPr>
            </w:pPr>
          </w:p>
        </w:tc>
        <w:tc>
          <w:tcPr>
            <w:tcW w:w="0" w:type="auto"/>
            <w:vMerge/>
            <w:tcBorders>
              <w:left w:val="single" w:sz="6" w:space="0" w:color="auto"/>
              <w:bottom w:val="single" w:sz="6" w:space="0" w:color="auto"/>
              <w:right w:val="single" w:sz="6" w:space="0" w:color="auto"/>
            </w:tcBorders>
          </w:tcPr>
          <w:p w14:paraId="36576983" w14:textId="77777777" w:rsidR="00DD5704" w:rsidRPr="003F0B9D" w:rsidRDefault="00DD5704" w:rsidP="003305AC">
            <w:pPr>
              <w:pStyle w:val="TAH"/>
              <w:rPr>
                <w:rFonts w:cs="Arial"/>
              </w:rPr>
            </w:pPr>
          </w:p>
        </w:tc>
        <w:tc>
          <w:tcPr>
            <w:tcW w:w="0" w:type="auto"/>
            <w:vMerge/>
            <w:tcBorders>
              <w:left w:val="single" w:sz="6" w:space="0" w:color="auto"/>
              <w:bottom w:val="single" w:sz="6" w:space="0" w:color="auto"/>
              <w:right w:val="single" w:sz="4" w:space="0" w:color="auto"/>
            </w:tcBorders>
            <w:vAlign w:val="center"/>
          </w:tcPr>
          <w:p w14:paraId="5277A107" w14:textId="77777777" w:rsidR="00DD5704" w:rsidRPr="003F0B9D" w:rsidRDefault="00DD5704" w:rsidP="003305AC">
            <w:pPr>
              <w:pStyle w:val="TAH"/>
              <w:rPr>
                <w:rFonts w:cs="Arial"/>
              </w:rPr>
            </w:pPr>
          </w:p>
        </w:tc>
        <w:tc>
          <w:tcPr>
            <w:tcW w:w="0" w:type="auto"/>
            <w:tcBorders>
              <w:top w:val="single" w:sz="6" w:space="0" w:color="auto"/>
              <w:left w:val="single" w:sz="4" w:space="0" w:color="auto"/>
              <w:bottom w:val="single" w:sz="6" w:space="0" w:color="auto"/>
              <w:right w:val="single" w:sz="6" w:space="0" w:color="auto"/>
            </w:tcBorders>
            <w:vAlign w:val="center"/>
          </w:tcPr>
          <w:p w14:paraId="52696C99" w14:textId="77777777" w:rsidR="00DD5704" w:rsidRPr="003F0B9D" w:rsidRDefault="00DD5704" w:rsidP="003305AC">
            <w:pPr>
              <w:pStyle w:val="TAH"/>
              <w:rPr>
                <w:rFonts w:cs="Arial"/>
                <w:lang w:eastAsia="ko-KR"/>
              </w:rPr>
            </w:pPr>
            <w:r w:rsidRPr="003F0B9D">
              <w:rPr>
                <w:rFonts w:cs="Arial"/>
                <w:lang w:eastAsia="ko-KR"/>
              </w:rPr>
              <w:t>SCS = 15kHz</w:t>
            </w:r>
          </w:p>
        </w:tc>
        <w:tc>
          <w:tcPr>
            <w:tcW w:w="0" w:type="auto"/>
            <w:tcBorders>
              <w:top w:val="single" w:sz="6" w:space="0" w:color="auto"/>
              <w:left w:val="single" w:sz="4" w:space="0" w:color="auto"/>
              <w:bottom w:val="single" w:sz="6" w:space="0" w:color="auto"/>
              <w:right w:val="single" w:sz="6" w:space="0" w:color="auto"/>
            </w:tcBorders>
            <w:vAlign w:val="center"/>
          </w:tcPr>
          <w:p w14:paraId="3178085E" w14:textId="77777777" w:rsidR="00DD5704" w:rsidRPr="003F0B9D" w:rsidRDefault="00DD5704" w:rsidP="003305AC">
            <w:pPr>
              <w:pStyle w:val="TAH"/>
              <w:rPr>
                <w:rFonts w:cs="Arial"/>
              </w:rPr>
            </w:pPr>
            <w:r w:rsidRPr="003F0B9D">
              <w:rPr>
                <w:rFonts w:cs="Arial"/>
                <w:lang w:eastAsia="ko-KR"/>
              </w:rPr>
              <w:t>SCS = 30kHz</w:t>
            </w:r>
          </w:p>
        </w:tc>
        <w:tc>
          <w:tcPr>
            <w:tcW w:w="0" w:type="auto"/>
            <w:tcBorders>
              <w:top w:val="single" w:sz="6" w:space="0" w:color="auto"/>
              <w:left w:val="single" w:sz="4" w:space="0" w:color="auto"/>
              <w:bottom w:val="single" w:sz="6" w:space="0" w:color="auto"/>
              <w:right w:val="single" w:sz="6" w:space="0" w:color="auto"/>
            </w:tcBorders>
            <w:vAlign w:val="center"/>
          </w:tcPr>
          <w:p w14:paraId="64E5CF5E" w14:textId="77777777" w:rsidR="00DD5704" w:rsidRPr="003F0B9D" w:rsidRDefault="00DD5704" w:rsidP="003305AC">
            <w:pPr>
              <w:pStyle w:val="TAH"/>
              <w:rPr>
                <w:rFonts w:cs="Arial"/>
              </w:rPr>
            </w:pPr>
            <w:r w:rsidRPr="003F0B9D">
              <w:rPr>
                <w:rFonts w:cs="Arial"/>
                <w:lang w:eastAsia="ko-KR"/>
              </w:rPr>
              <w:t>SCS = 60kHz</w:t>
            </w:r>
          </w:p>
        </w:tc>
        <w:tc>
          <w:tcPr>
            <w:tcW w:w="0" w:type="auto"/>
            <w:vMerge/>
            <w:tcBorders>
              <w:left w:val="single" w:sz="6" w:space="0" w:color="auto"/>
              <w:bottom w:val="single" w:sz="6" w:space="0" w:color="auto"/>
              <w:right w:val="single" w:sz="6" w:space="0" w:color="auto"/>
            </w:tcBorders>
            <w:vAlign w:val="center"/>
          </w:tcPr>
          <w:p w14:paraId="5F514574" w14:textId="77777777" w:rsidR="00DD5704" w:rsidRPr="003F0B9D" w:rsidRDefault="00DD5704" w:rsidP="003305AC">
            <w:pPr>
              <w:pStyle w:val="TAH"/>
              <w:rPr>
                <w:rFonts w:cs="Arial"/>
              </w:rPr>
            </w:pPr>
          </w:p>
        </w:tc>
        <w:tc>
          <w:tcPr>
            <w:tcW w:w="0" w:type="auto"/>
            <w:vMerge/>
            <w:tcBorders>
              <w:left w:val="single" w:sz="6" w:space="0" w:color="auto"/>
              <w:bottom w:val="single" w:sz="6" w:space="0" w:color="auto"/>
              <w:right w:val="single" w:sz="4" w:space="0" w:color="auto"/>
            </w:tcBorders>
            <w:vAlign w:val="center"/>
          </w:tcPr>
          <w:p w14:paraId="4BE25A17" w14:textId="77777777" w:rsidR="00DD5704" w:rsidRPr="003F0B9D" w:rsidRDefault="00DD5704" w:rsidP="003305AC">
            <w:pPr>
              <w:pStyle w:val="TAH"/>
              <w:rPr>
                <w:rFonts w:cs="Arial"/>
              </w:rPr>
            </w:pPr>
          </w:p>
        </w:tc>
      </w:tr>
      <w:tr w:rsidR="00DD5704" w:rsidRPr="003F0B9D" w14:paraId="22133B27" w14:textId="77777777" w:rsidTr="003305AC">
        <w:trPr>
          <w:trHeight w:val="398"/>
          <w:jc w:val="center"/>
        </w:trPr>
        <w:tc>
          <w:tcPr>
            <w:tcW w:w="0" w:type="auto"/>
            <w:vMerge w:val="restart"/>
            <w:tcBorders>
              <w:top w:val="single" w:sz="6" w:space="0" w:color="auto"/>
              <w:left w:val="single" w:sz="4" w:space="0" w:color="auto"/>
              <w:right w:val="single" w:sz="6" w:space="0" w:color="auto"/>
            </w:tcBorders>
            <w:vAlign w:val="center"/>
            <w:hideMark/>
          </w:tcPr>
          <w:p w14:paraId="35BFAFD1" w14:textId="77777777" w:rsidR="00DD5704" w:rsidRPr="000D1AEB" w:rsidRDefault="00DD5704" w:rsidP="00DD5704">
            <w:pPr>
              <w:pStyle w:val="TAC"/>
            </w:pPr>
            <w:r w:rsidRPr="000D1AEB">
              <w:sym w:font="Symbol" w:char="F0B1"/>
            </w:r>
            <w:r>
              <w:t xml:space="preserve"> 4.5</w:t>
            </w:r>
          </w:p>
        </w:tc>
        <w:tc>
          <w:tcPr>
            <w:tcW w:w="0" w:type="auto"/>
            <w:vMerge w:val="restart"/>
            <w:tcBorders>
              <w:top w:val="single" w:sz="6" w:space="0" w:color="auto"/>
              <w:left w:val="single" w:sz="6" w:space="0" w:color="auto"/>
              <w:right w:val="single" w:sz="6" w:space="0" w:color="auto"/>
            </w:tcBorders>
            <w:vAlign w:val="center"/>
            <w:hideMark/>
          </w:tcPr>
          <w:p w14:paraId="15C8A7FD" w14:textId="77777777" w:rsidR="00DD5704" w:rsidRPr="000D1AEB" w:rsidRDefault="00DD5704" w:rsidP="00DD5704">
            <w:pPr>
              <w:pStyle w:val="TAC"/>
            </w:pPr>
            <w:r w:rsidRPr="000D1AEB">
              <w:sym w:font="Symbol" w:char="F0B1"/>
            </w:r>
            <w:r>
              <w:t xml:space="preserve"> 9</w:t>
            </w:r>
          </w:p>
        </w:tc>
        <w:tc>
          <w:tcPr>
            <w:tcW w:w="0" w:type="auto"/>
            <w:vMerge w:val="restart"/>
            <w:tcBorders>
              <w:top w:val="single" w:sz="6" w:space="0" w:color="auto"/>
              <w:left w:val="single" w:sz="6" w:space="0" w:color="auto"/>
              <w:right w:val="single" w:sz="6" w:space="0" w:color="auto"/>
            </w:tcBorders>
            <w:vAlign w:val="center"/>
            <w:hideMark/>
          </w:tcPr>
          <w:p w14:paraId="4DE15E31" w14:textId="77777777" w:rsidR="00DD5704" w:rsidRPr="003F0B9D" w:rsidRDefault="00DD5704" w:rsidP="00DD5704">
            <w:pPr>
              <w:pStyle w:val="TAC"/>
            </w:pPr>
            <w:r w:rsidRPr="003F0B9D">
              <w:sym w:font="Symbol" w:char="F0B3"/>
            </w:r>
            <w:r w:rsidRPr="003F0B9D">
              <w:t>0 dB</w:t>
            </w:r>
          </w:p>
        </w:tc>
        <w:tc>
          <w:tcPr>
            <w:tcW w:w="0" w:type="auto"/>
            <w:tcBorders>
              <w:top w:val="single" w:sz="6" w:space="0" w:color="auto"/>
              <w:left w:val="single" w:sz="6" w:space="0" w:color="auto"/>
              <w:bottom w:val="nil"/>
              <w:right w:val="single" w:sz="4" w:space="0" w:color="auto"/>
            </w:tcBorders>
            <w:vAlign w:val="center"/>
            <w:hideMark/>
          </w:tcPr>
          <w:p w14:paraId="59E74A00" w14:textId="77777777" w:rsidR="00DD5704" w:rsidRPr="003F0B9D" w:rsidRDefault="00DD5704" w:rsidP="00DD5704">
            <w:pPr>
              <w:pStyle w:val="TAC"/>
            </w:pPr>
            <w:r w:rsidRPr="003F0B9D">
              <w:t>NR_TDD_FR1_</w:t>
            </w:r>
            <w:r>
              <w:t>B</w:t>
            </w:r>
          </w:p>
        </w:tc>
        <w:tc>
          <w:tcPr>
            <w:tcW w:w="0" w:type="auto"/>
            <w:tcBorders>
              <w:top w:val="single" w:sz="6" w:space="0" w:color="auto"/>
              <w:left w:val="single" w:sz="4" w:space="0" w:color="auto"/>
              <w:bottom w:val="nil"/>
              <w:right w:val="single" w:sz="6" w:space="0" w:color="auto"/>
            </w:tcBorders>
            <w:vAlign w:val="center"/>
          </w:tcPr>
          <w:p w14:paraId="190ED7CA" w14:textId="77777777" w:rsidR="00DD5704" w:rsidRPr="003F0B9D" w:rsidRDefault="00DD5704" w:rsidP="00DD5704">
            <w:pPr>
              <w:pStyle w:val="TAC"/>
              <w:rPr>
                <w:lang w:eastAsia="ko-KR"/>
              </w:rPr>
            </w:pPr>
            <w:r w:rsidRPr="003F0B9D">
              <w:rPr>
                <w:lang w:eastAsia="ko-KR"/>
              </w:rPr>
              <w:t>-12</w:t>
            </w:r>
            <w:r>
              <w:rPr>
                <w:lang w:eastAsia="ko-KR"/>
              </w:rPr>
              <w:t>0.5</w:t>
            </w:r>
          </w:p>
        </w:tc>
        <w:tc>
          <w:tcPr>
            <w:tcW w:w="0" w:type="auto"/>
            <w:tcBorders>
              <w:top w:val="single" w:sz="6" w:space="0" w:color="auto"/>
              <w:left w:val="single" w:sz="4" w:space="0" w:color="auto"/>
              <w:bottom w:val="nil"/>
              <w:right w:val="single" w:sz="6" w:space="0" w:color="auto"/>
            </w:tcBorders>
            <w:vAlign w:val="center"/>
          </w:tcPr>
          <w:p w14:paraId="69792889" w14:textId="77777777" w:rsidR="00DD5704" w:rsidRPr="003F0B9D" w:rsidRDefault="00DD5704" w:rsidP="00DD5704">
            <w:pPr>
              <w:pStyle w:val="TAC"/>
              <w:rPr>
                <w:lang w:eastAsia="ko-KR"/>
              </w:rPr>
            </w:pPr>
            <w:r w:rsidRPr="003F0B9D">
              <w:rPr>
                <w:lang w:eastAsia="ko-KR"/>
              </w:rPr>
              <w:t>-11</w:t>
            </w:r>
            <w:r>
              <w:rPr>
                <w:lang w:eastAsia="ko-KR"/>
              </w:rPr>
              <w:t>7.5</w:t>
            </w:r>
          </w:p>
        </w:tc>
        <w:tc>
          <w:tcPr>
            <w:tcW w:w="0" w:type="auto"/>
            <w:tcBorders>
              <w:top w:val="single" w:sz="6" w:space="0" w:color="auto"/>
              <w:left w:val="single" w:sz="4" w:space="0" w:color="auto"/>
              <w:bottom w:val="nil"/>
              <w:right w:val="single" w:sz="6" w:space="0" w:color="auto"/>
            </w:tcBorders>
            <w:vAlign w:val="center"/>
          </w:tcPr>
          <w:p w14:paraId="68150CE6" w14:textId="77777777" w:rsidR="00DD5704" w:rsidRPr="003F0B9D" w:rsidRDefault="00DD5704" w:rsidP="00DD5704">
            <w:pPr>
              <w:pStyle w:val="TAC"/>
              <w:rPr>
                <w:lang w:eastAsia="ko-KR"/>
              </w:rPr>
            </w:pPr>
            <w:r w:rsidRPr="003F0B9D">
              <w:rPr>
                <w:lang w:eastAsia="ko-KR"/>
              </w:rPr>
              <w:t>-11</w:t>
            </w:r>
            <w:r>
              <w:rPr>
                <w:lang w:eastAsia="ko-KR"/>
              </w:rPr>
              <w:t>4.5</w:t>
            </w:r>
          </w:p>
        </w:tc>
        <w:tc>
          <w:tcPr>
            <w:tcW w:w="0" w:type="auto"/>
            <w:tcBorders>
              <w:top w:val="single" w:sz="6" w:space="0" w:color="auto"/>
              <w:left w:val="single" w:sz="6" w:space="0" w:color="auto"/>
              <w:bottom w:val="nil"/>
              <w:right w:val="single" w:sz="6" w:space="0" w:color="auto"/>
            </w:tcBorders>
            <w:vAlign w:val="center"/>
            <w:hideMark/>
          </w:tcPr>
          <w:p w14:paraId="0A9CBA6F" w14:textId="77777777" w:rsidR="00DD5704" w:rsidRPr="003F0B9D" w:rsidRDefault="00DD5704" w:rsidP="00DD5704">
            <w:pPr>
              <w:pStyle w:val="TAC"/>
            </w:pPr>
            <w:r w:rsidRPr="003F0B9D">
              <w:t>N/A</w:t>
            </w:r>
          </w:p>
        </w:tc>
        <w:tc>
          <w:tcPr>
            <w:tcW w:w="0" w:type="auto"/>
            <w:tcBorders>
              <w:top w:val="single" w:sz="6" w:space="0" w:color="auto"/>
              <w:left w:val="single" w:sz="6" w:space="0" w:color="auto"/>
              <w:bottom w:val="nil"/>
              <w:right w:val="single" w:sz="4" w:space="0" w:color="auto"/>
            </w:tcBorders>
            <w:vAlign w:val="center"/>
            <w:hideMark/>
          </w:tcPr>
          <w:p w14:paraId="39A8F6DC" w14:textId="77777777" w:rsidR="00DD5704" w:rsidRPr="003F0B9D" w:rsidRDefault="00DD5704" w:rsidP="00DD5704">
            <w:pPr>
              <w:pStyle w:val="TAC"/>
            </w:pPr>
            <w:r w:rsidRPr="003F0B9D">
              <w:t>-70</w:t>
            </w:r>
          </w:p>
        </w:tc>
      </w:tr>
      <w:tr w:rsidR="00DD5704" w:rsidRPr="003F0B9D" w14:paraId="631BB710" w14:textId="77777777" w:rsidTr="003305AC">
        <w:trPr>
          <w:trHeight w:val="398"/>
          <w:jc w:val="center"/>
        </w:trPr>
        <w:tc>
          <w:tcPr>
            <w:tcW w:w="0" w:type="auto"/>
            <w:vMerge/>
            <w:tcBorders>
              <w:left w:val="single" w:sz="4" w:space="0" w:color="auto"/>
              <w:bottom w:val="nil"/>
              <w:right w:val="single" w:sz="6" w:space="0" w:color="auto"/>
            </w:tcBorders>
            <w:vAlign w:val="center"/>
          </w:tcPr>
          <w:p w14:paraId="56D109DA" w14:textId="77777777" w:rsidR="00DD5704" w:rsidRPr="000D1AEB" w:rsidRDefault="00DD5704" w:rsidP="00DD5704">
            <w:pPr>
              <w:pStyle w:val="TAC"/>
            </w:pPr>
          </w:p>
        </w:tc>
        <w:tc>
          <w:tcPr>
            <w:tcW w:w="0" w:type="auto"/>
            <w:vMerge/>
            <w:tcBorders>
              <w:left w:val="single" w:sz="6" w:space="0" w:color="auto"/>
              <w:bottom w:val="nil"/>
              <w:right w:val="single" w:sz="6" w:space="0" w:color="auto"/>
            </w:tcBorders>
            <w:vAlign w:val="center"/>
          </w:tcPr>
          <w:p w14:paraId="2C73E35D" w14:textId="77777777" w:rsidR="00DD5704" w:rsidRPr="000D1AEB" w:rsidRDefault="00DD5704" w:rsidP="00DD5704">
            <w:pPr>
              <w:pStyle w:val="TAC"/>
            </w:pPr>
          </w:p>
        </w:tc>
        <w:tc>
          <w:tcPr>
            <w:tcW w:w="0" w:type="auto"/>
            <w:vMerge/>
            <w:tcBorders>
              <w:left w:val="single" w:sz="6" w:space="0" w:color="auto"/>
              <w:bottom w:val="nil"/>
              <w:right w:val="single" w:sz="6" w:space="0" w:color="auto"/>
            </w:tcBorders>
            <w:vAlign w:val="center"/>
          </w:tcPr>
          <w:p w14:paraId="74E6213A" w14:textId="77777777" w:rsidR="00DD5704" w:rsidRPr="003F0B9D" w:rsidRDefault="00DD5704" w:rsidP="00DD5704">
            <w:pPr>
              <w:pStyle w:val="TAC"/>
            </w:pPr>
          </w:p>
        </w:tc>
        <w:tc>
          <w:tcPr>
            <w:tcW w:w="0" w:type="auto"/>
            <w:tcBorders>
              <w:top w:val="single" w:sz="6" w:space="0" w:color="auto"/>
              <w:left w:val="single" w:sz="6" w:space="0" w:color="auto"/>
              <w:bottom w:val="nil"/>
              <w:right w:val="single" w:sz="4" w:space="0" w:color="auto"/>
            </w:tcBorders>
            <w:vAlign w:val="center"/>
          </w:tcPr>
          <w:p w14:paraId="3B95A1FC" w14:textId="77777777" w:rsidR="00DD5704" w:rsidRPr="003F0B9D" w:rsidRDefault="00DD5704" w:rsidP="00DD5704">
            <w:pPr>
              <w:pStyle w:val="TAC"/>
            </w:pPr>
            <w:r w:rsidRPr="003F0B9D">
              <w:t>NR_TDD_FR1_</w:t>
            </w:r>
            <w:r>
              <w:t>J</w:t>
            </w:r>
          </w:p>
        </w:tc>
        <w:tc>
          <w:tcPr>
            <w:tcW w:w="0" w:type="auto"/>
            <w:tcBorders>
              <w:top w:val="single" w:sz="6" w:space="0" w:color="auto"/>
              <w:left w:val="single" w:sz="4" w:space="0" w:color="auto"/>
              <w:bottom w:val="nil"/>
              <w:right w:val="single" w:sz="6" w:space="0" w:color="auto"/>
            </w:tcBorders>
            <w:vAlign w:val="center"/>
          </w:tcPr>
          <w:p w14:paraId="76741A62" w14:textId="77777777" w:rsidR="00DD5704" w:rsidRPr="003F0B9D" w:rsidRDefault="00DD5704" w:rsidP="00DD5704">
            <w:pPr>
              <w:pStyle w:val="TAC"/>
              <w:rPr>
                <w:lang w:eastAsia="ko-KR"/>
              </w:rPr>
            </w:pPr>
            <w:r w:rsidRPr="003F0B9D">
              <w:rPr>
                <w:rFonts w:hint="eastAsia"/>
                <w:lang w:eastAsia="ko-KR"/>
              </w:rPr>
              <w:t>-1</w:t>
            </w:r>
            <w:r w:rsidRPr="003F0B9D">
              <w:rPr>
                <w:lang w:eastAsia="ko-KR"/>
              </w:rPr>
              <w:t>1</w:t>
            </w:r>
            <w:r>
              <w:rPr>
                <w:lang w:eastAsia="ko-KR"/>
              </w:rPr>
              <w:t>6.5</w:t>
            </w:r>
          </w:p>
        </w:tc>
        <w:tc>
          <w:tcPr>
            <w:tcW w:w="0" w:type="auto"/>
            <w:tcBorders>
              <w:top w:val="single" w:sz="6" w:space="0" w:color="auto"/>
              <w:left w:val="single" w:sz="4" w:space="0" w:color="auto"/>
              <w:bottom w:val="nil"/>
              <w:right w:val="single" w:sz="6" w:space="0" w:color="auto"/>
            </w:tcBorders>
            <w:vAlign w:val="center"/>
          </w:tcPr>
          <w:p w14:paraId="5F2519A3" w14:textId="77777777" w:rsidR="00DD5704" w:rsidRPr="003F0B9D" w:rsidRDefault="00DD5704" w:rsidP="00DD5704">
            <w:pPr>
              <w:pStyle w:val="TAC"/>
              <w:rPr>
                <w:lang w:eastAsia="ko-KR"/>
              </w:rPr>
            </w:pPr>
            <w:r w:rsidRPr="003F0B9D">
              <w:rPr>
                <w:rFonts w:hint="eastAsia"/>
                <w:lang w:eastAsia="ko-KR"/>
              </w:rPr>
              <w:t>-11</w:t>
            </w:r>
            <w:r>
              <w:rPr>
                <w:lang w:eastAsia="ko-KR"/>
              </w:rPr>
              <w:t>3.5</w:t>
            </w:r>
          </w:p>
        </w:tc>
        <w:tc>
          <w:tcPr>
            <w:tcW w:w="0" w:type="auto"/>
            <w:tcBorders>
              <w:top w:val="single" w:sz="6" w:space="0" w:color="auto"/>
              <w:left w:val="single" w:sz="4" w:space="0" w:color="auto"/>
              <w:bottom w:val="nil"/>
              <w:right w:val="single" w:sz="6" w:space="0" w:color="auto"/>
            </w:tcBorders>
            <w:vAlign w:val="center"/>
          </w:tcPr>
          <w:p w14:paraId="2D555BC1" w14:textId="77777777" w:rsidR="00DD5704" w:rsidRPr="003F0B9D" w:rsidRDefault="00DD5704" w:rsidP="00DD5704">
            <w:pPr>
              <w:pStyle w:val="TAC"/>
              <w:rPr>
                <w:lang w:eastAsia="ko-KR"/>
              </w:rPr>
            </w:pPr>
            <w:r w:rsidRPr="003F0B9D">
              <w:rPr>
                <w:rFonts w:hint="eastAsia"/>
                <w:lang w:eastAsia="ko-KR"/>
              </w:rPr>
              <w:t>-1</w:t>
            </w:r>
            <w:r w:rsidRPr="003F0B9D">
              <w:rPr>
                <w:lang w:eastAsia="ko-KR"/>
              </w:rPr>
              <w:t>1</w:t>
            </w:r>
            <w:r>
              <w:rPr>
                <w:lang w:eastAsia="ko-KR"/>
              </w:rPr>
              <w:t>0.5</w:t>
            </w:r>
          </w:p>
        </w:tc>
        <w:tc>
          <w:tcPr>
            <w:tcW w:w="0" w:type="auto"/>
            <w:tcBorders>
              <w:top w:val="single" w:sz="6" w:space="0" w:color="auto"/>
              <w:left w:val="single" w:sz="6" w:space="0" w:color="auto"/>
              <w:bottom w:val="nil"/>
              <w:right w:val="single" w:sz="6" w:space="0" w:color="auto"/>
            </w:tcBorders>
            <w:vAlign w:val="center"/>
          </w:tcPr>
          <w:p w14:paraId="3EADD747" w14:textId="77777777" w:rsidR="00DD5704" w:rsidRPr="003F0B9D" w:rsidRDefault="00DD5704" w:rsidP="00DD5704">
            <w:pPr>
              <w:pStyle w:val="TAC"/>
            </w:pPr>
            <w:r w:rsidRPr="003F0B9D">
              <w:t>N/A</w:t>
            </w:r>
          </w:p>
        </w:tc>
        <w:tc>
          <w:tcPr>
            <w:tcW w:w="0" w:type="auto"/>
            <w:tcBorders>
              <w:top w:val="single" w:sz="6" w:space="0" w:color="auto"/>
              <w:left w:val="single" w:sz="6" w:space="0" w:color="auto"/>
              <w:bottom w:val="nil"/>
              <w:right w:val="single" w:sz="4" w:space="0" w:color="auto"/>
            </w:tcBorders>
            <w:vAlign w:val="center"/>
          </w:tcPr>
          <w:p w14:paraId="2E28824E" w14:textId="77777777" w:rsidR="00DD5704" w:rsidRPr="003F0B9D" w:rsidRDefault="00DD5704" w:rsidP="00DD5704">
            <w:pPr>
              <w:pStyle w:val="TAC"/>
            </w:pPr>
            <w:r w:rsidRPr="003F0B9D">
              <w:t>-70</w:t>
            </w:r>
          </w:p>
        </w:tc>
      </w:tr>
      <w:tr w:rsidR="00DD5704" w:rsidRPr="003F0B9D" w14:paraId="510A4379" w14:textId="77777777" w:rsidTr="003305AC">
        <w:trPr>
          <w:trHeight w:val="821"/>
          <w:jc w:val="center"/>
        </w:trPr>
        <w:tc>
          <w:tcPr>
            <w:tcW w:w="0" w:type="auto"/>
            <w:tcBorders>
              <w:top w:val="single" w:sz="6" w:space="0" w:color="auto"/>
              <w:left w:val="single" w:sz="4" w:space="0" w:color="auto"/>
              <w:right w:val="single" w:sz="6" w:space="0" w:color="auto"/>
            </w:tcBorders>
            <w:vAlign w:val="center"/>
            <w:hideMark/>
          </w:tcPr>
          <w:p w14:paraId="394ABAA7" w14:textId="77777777" w:rsidR="00DD5704" w:rsidRPr="000D1AEB" w:rsidRDefault="00DD5704" w:rsidP="00DD5704">
            <w:pPr>
              <w:pStyle w:val="TAC"/>
            </w:pPr>
            <w:r w:rsidRPr="000D1AEB">
              <w:sym w:font="Symbol" w:char="F0B1"/>
            </w:r>
            <w:r>
              <w:t xml:space="preserve"> 8</w:t>
            </w:r>
          </w:p>
        </w:tc>
        <w:tc>
          <w:tcPr>
            <w:tcW w:w="0" w:type="auto"/>
            <w:tcBorders>
              <w:top w:val="single" w:sz="6" w:space="0" w:color="auto"/>
              <w:left w:val="single" w:sz="6" w:space="0" w:color="auto"/>
              <w:right w:val="single" w:sz="6" w:space="0" w:color="auto"/>
            </w:tcBorders>
            <w:vAlign w:val="center"/>
            <w:hideMark/>
          </w:tcPr>
          <w:p w14:paraId="02E76A58" w14:textId="77777777" w:rsidR="00DD5704" w:rsidRPr="000D1AEB" w:rsidRDefault="00DD5704" w:rsidP="00DD5704">
            <w:pPr>
              <w:pStyle w:val="TAC"/>
            </w:pPr>
            <w:r w:rsidRPr="000D1AEB">
              <w:sym w:font="Symbol" w:char="F0B1"/>
            </w:r>
            <w:r>
              <w:t xml:space="preserve"> 11</w:t>
            </w:r>
          </w:p>
        </w:tc>
        <w:tc>
          <w:tcPr>
            <w:tcW w:w="0" w:type="auto"/>
            <w:tcBorders>
              <w:top w:val="single" w:sz="6" w:space="0" w:color="auto"/>
              <w:left w:val="single" w:sz="6" w:space="0" w:color="auto"/>
              <w:right w:val="single" w:sz="6" w:space="0" w:color="auto"/>
            </w:tcBorders>
            <w:vAlign w:val="center"/>
            <w:hideMark/>
          </w:tcPr>
          <w:p w14:paraId="02E76500" w14:textId="77777777" w:rsidR="00DD5704" w:rsidRPr="003F0B9D" w:rsidRDefault="00DD5704" w:rsidP="00DD5704">
            <w:pPr>
              <w:pStyle w:val="TAC"/>
            </w:pPr>
            <w:r w:rsidRPr="003F0B9D">
              <w:sym w:font="Symbol" w:char="F0B3"/>
            </w:r>
            <w:r w:rsidRPr="003F0B9D">
              <w:t>0 dB</w:t>
            </w:r>
          </w:p>
        </w:tc>
        <w:tc>
          <w:tcPr>
            <w:tcW w:w="0" w:type="auto"/>
            <w:tcBorders>
              <w:top w:val="single" w:sz="6" w:space="0" w:color="auto"/>
              <w:left w:val="single" w:sz="6" w:space="0" w:color="auto"/>
              <w:right w:val="single" w:sz="4" w:space="0" w:color="auto"/>
            </w:tcBorders>
            <w:vAlign w:val="center"/>
            <w:hideMark/>
          </w:tcPr>
          <w:p w14:paraId="021A58DE" w14:textId="77777777" w:rsidR="00DD5704" w:rsidRPr="003F0B9D" w:rsidRDefault="00DD5704" w:rsidP="00DD5704">
            <w:pPr>
              <w:pStyle w:val="TAC"/>
              <w:rPr>
                <w:lang w:eastAsia="zh-CN"/>
              </w:rPr>
            </w:pPr>
            <w:r>
              <w:t>NR_TDD_FR1_B</w:t>
            </w:r>
            <w:r w:rsidRPr="003F0B9D">
              <w:t xml:space="preserve"> NR_TDD_FR1_</w:t>
            </w:r>
            <w:r>
              <w:t>J</w:t>
            </w:r>
          </w:p>
        </w:tc>
        <w:tc>
          <w:tcPr>
            <w:tcW w:w="0" w:type="auto"/>
            <w:tcBorders>
              <w:top w:val="single" w:sz="6" w:space="0" w:color="auto"/>
              <w:left w:val="single" w:sz="4" w:space="0" w:color="auto"/>
              <w:right w:val="single" w:sz="6" w:space="0" w:color="auto"/>
            </w:tcBorders>
            <w:vAlign w:val="center"/>
          </w:tcPr>
          <w:p w14:paraId="47CFF909" w14:textId="77777777" w:rsidR="00DD5704" w:rsidRPr="003F0B9D" w:rsidRDefault="00DD5704" w:rsidP="00DD5704">
            <w:pPr>
              <w:pStyle w:val="TAC"/>
              <w:rPr>
                <w:lang w:eastAsia="ko-KR"/>
              </w:rPr>
            </w:pPr>
            <w:r w:rsidRPr="003F0B9D">
              <w:rPr>
                <w:lang w:eastAsia="ko-KR"/>
              </w:rPr>
              <w:t>N/A</w:t>
            </w:r>
          </w:p>
        </w:tc>
        <w:tc>
          <w:tcPr>
            <w:tcW w:w="0" w:type="auto"/>
            <w:tcBorders>
              <w:top w:val="single" w:sz="6" w:space="0" w:color="auto"/>
              <w:left w:val="single" w:sz="4" w:space="0" w:color="auto"/>
              <w:right w:val="single" w:sz="6" w:space="0" w:color="auto"/>
            </w:tcBorders>
            <w:vAlign w:val="center"/>
          </w:tcPr>
          <w:p w14:paraId="1091AFEC" w14:textId="77777777" w:rsidR="00DD5704" w:rsidRPr="003F0B9D" w:rsidRDefault="00DD5704" w:rsidP="00DD5704">
            <w:pPr>
              <w:pStyle w:val="TAC"/>
              <w:rPr>
                <w:lang w:eastAsia="ko-KR"/>
              </w:rPr>
            </w:pPr>
            <w:r w:rsidRPr="003F0B9D">
              <w:rPr>
                <w:lang w:eastAsia="ko-KR"/>
              </w:rPr>
              <w:t>N/A</w:t>
            </w:r>
          </w:p>
        </w:tc>
        <w:tc>
          <w:tcPr>
            <w:tcW w:w="0" w:type="auto"/>
            <w:tcBorders>
              <w:top w:val="single" w:sz="6" w:space="0" w:color="auto"/>
              <w:left w:val="single" w:sz="4" w:space="0" w:color="auto"/>
              <w:right w:val="single" w:sz="6" w:space="0" w:color="auto"/>
            </w:tcBorders>
            <w:vAlign w:val="center"/>
          </w:tcPr>
          <w:p w14:paraId="40169F57" w14:textId="77777777" w:rsidR="00DD5704" w:rsidRPr="003F0B9D" w:rsidRDefault="00DD5704" w:rsidP="00DD5704">
            <w:pPr>
              <w:pStyle w:val="TAC"/>
              <w:rPr>
                <w:lang w:eastAsia="ko-KR"/>
              </w:rPr>
            </w:pPr>
            <w:r w:rsidRPr="003F0B9D">
              <w:rPr>
                <w:lang w:eastAsia="ko-KR"/>
              </w:rPr>
              <w:t>N/A</w:t>
            </w:r>
          </w:p>
        </w:tc>
        <w:tc>
          <w:tcPr>
            <w:tcW w:w="0" w:type="auto"/>
            <w:tcBorders>
              <w:top w:val="single" w:sz="6" w:space="0" w:color="auto"/>
              <w:left w:val="single" w:sz="6" w:space="0" w:color="auto"/>
              <w:right w:val="single" w:sz="6" w:space="0" w:color="auto"/>
            </w:tcBorders>
            <w:vAlign w:val="center"/>
            <w:hideMark/>
          </w:tcPr>
          <w:p w14:paraId="3EEBA5B2" w14:textId="77777777" w:rsidR="00DD5704" w:rsidRPr="003F0B9D" w:rsidRDefault="00DD5704" w:rsidP="00DD5704">
            <w:pPr>
              <w:pStyle w:val="TAC"/>
              <w:rPr>
                <w:lang w:eastAsia="ko-KR"/>
              </w:rPr>
            </w:pPr>
            <w:r w:rsidRPr="003F0B9D">
              <w:t>-70</w:t>
            </w:r>
          </w:p>
        </w:tc>
        <w:tc>
          <w:tcPr>
            <w:tcW w:w="0" w:type="auto"/>
            <w:tcBorders>
              <w:top w:val="single" w:sz="6" w:space="0" w:color="auto"/>
              <w:left w:val="single" w:sz="6" w:space="0" w:color="auto"/>
              <w:right w:val="single" w:sz="4" w:space="0" w:color="auto"/>
            </w:tcBorders>
            <w:vAlign w:val="center"/>
            <w:hideMark/>
          </w:tcPr>
          <w:p w14:paraId="71407660" w14:textId="77777777" w:rsidR="00DD5704" w:rsidRPr="003F0B9D" w:rsidRDefault="00DD5704" w:rsidP="00DD5704">
            <w:pPr>
              <w:pStyle w:val="TAC"/>
              <w:rPr>
                <w:lang w:eastAsia="zh-CN"/>
              </w:rPr>
            </w:pPr>
            <w:r w:rsidRPr="003F0B9D">
              <w:t>-50</w:t>
            </w:r>
          </w:p>
        </w:tc>
      </w:tr>
      <w:tr w:rsidR="00DD5704" w14:paraId="4DC9B809" w14:textId="77777777" w:rsidTr="003305AC">
        <w:trPr>
          <w:jc w:val="center"/>
        </w:trPr>
        <w:tc>
          <w:tcPr>
            <w:tcW w:w="0" w:type="auto"/>
            <w:gridSpan w:val="9"/>
            <w:tcBorders>
              <w:top w:val="single" w:sz="6" w:space="0" w:color="auto"/>
              <w:left w:val="single" w:sz="4" w:space="0" w:color="auto"/>
              <w:bottom w:val="single" w:sz="4" w:space="0" w:color="auto"/>
              <w:right w:val="single" w:sz="4" w:space="0" w:color="auto"/>
            </w:tcBorders>
            <w:vAlign w:val="center"/>
            <w:hideMark/>
          </w:tcPr>
          <w:p w14:paraId="11CB69E1" w14:textId="77777777" w:rsidR="00DD5704" w:rsidRPr="003F0B9D" w:rsidRDefault="00DD5704" w:rsidP="003305AC">
            <w:pPr>
              <w:pStyle w:val="TAN"/>
              <w:rPr>
                <w:rFonts w:cs="Arial"/>
                <w:lang w:eastAsia="ko-KR"/>
              </w:rPr>
            </w:pPr>
            <w:r w:rsidRPr="003F0B9D">
              <w:rPr>
                <w:rFonts w:cs="Arial"/>
              </w:rPr>
              <w:t>NOTE 1:</w:t>
            </w:r>
            <w:r w:rsidRPr="003F0B9D">
              <w:rPr>
                <w:rFonts w:cs="Arial"/>
              </w:rPr>
              <w:tab/>
              <w:t>Io is assumed to have constant EPRE across the bandwidth.</w:t>
            </w:r>
          </w:p>
          <w:p w14:paraId="43A985F3" w14:textId="77777777" w:rsidR="00DD5704" w:rsidRPr="003F0B9D" w:rsidRDefault="00DD5704" w:rsidP="003305AC">
            <w:pPr>
              <w:pStyle w:val="TAN"/>
              <w:rPr>
                <w:rFonts w:cs="Arial"/>
              </w:rPr>
            </w:pPr>
            <w:r w:rsidRPr="003F0B9D">
              <w:rPr>
                <w:rFonts w:cs="Arial"/>
              </w:rPr>
              <w:t>NOTE 2:</w:t>
            </w:r>
            <w:r w:rsidRPr="003F0B9D">
              <w:rPr>
                <w:rFonts w:cs="Arial"/>
              </w:rPr>
              <w:tab/>
              <w:t xml:space="preserve">NR </w:t>
            </w:r>
            <w:r>
              <w:rPr>
                <w:rFonts w:cs="Arial"/>
              </w:rPr>
              <w:t>sidelink</w:t>
            </w:r>
            <w:r w:rsidRPr="003F0B9D">
              <w:rPr>
                <w:rFonts w:cs="Arial"/>
              </w:rPr>
              <w:t xml:space="preserve"> operating band groups are as defined in Section 3.5 for the corresponding NR operating bands.</w:t>
            </w:r>
          </w:p>
          <w:p w14:paraId="5984915E" w14:textId="77777777" w:rsidR="00DD5704" w:rsidRDefault="00DD5704" w:rsidP="003305AC">
            <w:pPr>
              <w:pStyle w:val="TAN"/>
              <w:rPr>
                <w:rFonts w:cs="Arial"/>
              </w:rPr>
            </w:pPr>
            <w:r w:rsidRPr="003F0B9D">
              <w:rPr>
                <w:rFonts w:cs="Arial"/>
              </w:rPr>
              <w:t>NOTE 3:</w:t>
            </w:r>
            <w:r w:rsidRPr="003F0B9D">
              <w:rPr>
                <w:rFonts w:cs="Arial"/>
              </w:rPr>
              <w:tab/>
            </w:r>
            <w:r w:rsidRPr="003F0B9D">
              <w:rPr>
                <w:rFonts w:cs="Arial"/>
                <w:lang w:eastAsia="zh-CN"/>
              </w:rPr>
              <w:t xml:space="preserve">The parameter </w:t>
            </w:r>
            <w:r w:rsidRPr="003F0B9D">
              <w:rPr>
                <w:rFonts w:cs="Arial"/>
              </w:rPr>
              <w:t>Ês/Iot is the Ês/Iot of PSCCH-DMRS</w:t>
            </w:r>
            <w:r>
              <w:rPr>
                <w:rFonts w:cs="Arial"/>
              </w:rPr>
              <w:t xml:space="preserve"> and/or </w:t>
            </w:r>
            <w:r w:rsidRPr="003F0B9D">
              <w:rPr>
                <w:rFonts w:cs="Arial"/>
              </w:rPr>
              <w:t>PSSCH-DMRS.</w:t>
            </w:r>
          </w:p>
        </w:tc>
      </w:tr>
    </w:tbl>
    <w:p w14:paraId="5CB2F970" w14:textId="77777777" w:rsidR="00DD5704" w:rsidRDefault="00DD5704" w:rsidP="00DD5704"/>
    <w:p w14:paraId="5E4BF180" w14:textId="0A9981FC" w:rsidR="00C350A1" w:rsidRPr="009C5807" w:rsidRDefault="00936A12" w:rsidP="00C350A1">
      <w:pPr>
        <w:pStyle w:val="Heading1"/>
      </w:pPr>
      <w:r w:rsidRPr="009C5807">
        <w:t>11</w:t>
      </w:r>
      <w:r w:rsidRPr="009C5807">
        <w:tab/>
      </w:r>
      <w:bookmarkEnd w:id="1"/>
      <w:bookmarkEnd w:id="29"/>
      <w:r w:rsidR="00C350A1" w:rsidRPr="009C5807">
        <w:t>Void</w:t>
      </w:r>
    </w:p>
    <w:sectPr w:rsidR="00C350A1" w:rsidRPr="009C5807" w:rsidSect="00342777">
      <w:headerReference w:type="default" r:id="rId17"/>
      <w:footerReference w:type="default" r:id="rId18"/>
      <w:footnotePr>
        <w:numRestart w:val="eachSect"/>
      </w:footnotePr>
      <w:pgSz w:w="11907" w:h="16840" w:code="9"/>
      <w:pgMar w:top="1418" w:right="1134" w:bottom="1134" w:left="1134" w:header="851" w:footer="340" w:gutter="0"/>
      <w:pgNumType w:start="783"/>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B6CE" w14:textId="77777777" w:rsidR="00B87F2A" w:rsidRDefault="00B87F2A">
      <w:r>
        <w:separator/>
      </w:r>
    </w:p>
  </w:endnote>
  <w:endnote w:type="continuationSeparator" w:id="0">
    <w:p w14:paraId="5F8F2791" w14:textId="77777777" w:rsidR="00B87F2A" w:rsidRDefault="00B87F2A">
      <w:r>
        <w:continuationSeparator/>
      </w:r>
    </w:p>
  </w:endnote>
  <w:endnote w:type="continuationNotice" w:id="1">
    <w:p w14:paraId="6C3755D3" w14:textId="77777777" w:rsidR="00B87F2A" w:rsidRDefault="00B87F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dern No. 20">
    <w:panose1 w:val="020707040705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Intel Clear">
    <w:altName w:val="Sylfaen"/>
    <w:charset w:val="CC"/>
    <w:family w:val="swiss"/>
    <w:pitch w:val="variable"/>
    <w:sig w:usb0="00000001" w:usb1="400060FB" w:usb2="00000028" w:usb3="00000000" w:csb0="0000019F" w:csb1="00000000"/>
  </w:font>
  <w:font w:name="Times-Roman">
    <w:altName w:val="Times New Roman"/>
    <w:panose1 w:val="00000000000000000000"/>
    <w:charset w:val="00"/>
    <w:family w:val="roman"/>
    <w:notTrueType/>
    <w:pitch w:val="default"/>
  </w:font>
  <w:font w:name="CG Times (WN)">
    <w:altName w:val="Arial"/>
    <w:panose1 w:val="00000000000000000000"/>
    <w:charset w:val="00"/>
    <w:family w:val="roman"/>
    <w:notTrueType/>
    <w:pitch w:val="variable"/>
    <w:sig w:usb0="00000003"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
    <w:altName w:val="Yu Gothic"/>
    <w:charset w:val="80"/>
    <w:family w:val="roman"/>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 ??">
    <w:altName w:val="MS Gothic"/>
    <w:charset w:val="80"/>
    <w:family w:val="roman"/>
    <w:pitch w:val="default"/>
    <w:sig w:usb0="00000000" w:usb1="00000000" w:usb2="00000010" w:usb3="00000000" w:csb0="00020000" w:csb1="00000000"/>
  </w:font>
  <w:font w:name="v5.0.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5E78" w14:textId="77777777" w:rsidR="00740A4E" w:rsidRDefault="00740A4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4C72" w14:textId="77777777" w:rsidR="00B87F2A" w:rsidRDefault="00B87F2A">
      <w:r>
        <w:separator/>
      </w:r>
    </w:p>
  </w:footnote>
  <w:footnote w:type="continuationSeparator" w:id="0">
    <w:p w14:paraId="21E21CC6" w14:textId="77777777" w:rsidR="00B87F2A" w:rsidRDefault="00B87F2A">
      <w:r>
        <w:continuationSeparator/>
      </w:r>
    </w:p>
  </w:footnote>
  <w:footnote w:type="continuationNotice" w:id="1">
    <w:p w14:paraId="30F164E7" w14:textId="77777777" w:rsidR="00B87F2A" w:rsidRDefault="00B87F2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8D1A" w14:textId="534C13AF" w:rsidR="00740A4E" w:rsidRPr="00512A44" w:rsidRDefault="00740A4E" w:rsidP="004257DC">
    <w:pPr>
      <w:framePr w:h="284" w:hRule="exact" w:wrap="around" w:vAnchor="text" w:hAnchor="margin" w:xAlign="right" w:y="1"/>
      <w:rPr>
        <w:rFonts w:ascii="Arial" w:hAnsi="Arial" w:cs="Arial"/>
        <w:b/>
        <w:sz w:val="18"/>
        <w:szCs w:val="18"/>
        <w:lang w:val="sv-FI"/>
      </w:rPr>
    </w:pPr>
    <w:r w:rsidRPr="00512A44">
      <w:rPr>
        <w:rFonts w:ascii="Arial" w:hAnsi="Arial" w:cs="Arial"/>
        <w:b/>
        <w:sz w:val="18"/>
        <w:szCs w:val="18"/>
        <w:lang w:val="sv-FI"/>
      </w:rPr>
      <w:t>3GPP TS 38.133 V1</w:t>
    </w:r>
    <w:r w:rsidR="008C6DE3">
      <w:rPr>
        <w:rFonts w:ascii="Arial" w:hAnsi="Arial" w:cs="Arial"/>
        <w:b/>
        <w:sz w:val="18"/>
        <w:szCs w:val="18"/>
        <w:lang w:val="sv-FI"/>
      </w:rPr>
      <w:t>8</w:t>
    </w:r>
    <w:r w:rsidRPr="00512A44">
      <w:rPr>
        <w:rFonts w:ascii="Arial" w:hAnsi="Arial" w:cs="Arial"/>
        <w:b/>
        <w:sz w:val="18"/>
        <w:szCs w:val="18"/>
        <w:lang w:val="sv-FI"/>
      </w:rPr>
      <w:t>.</w:t>
    </w:r>
    <w:r w:rsidR="00494792">
      <w:rPr>
        <w:rFonts w:ascii="Arial" w:hAnsi="Arial" w:cs="Arial"/>
        <w:b/>
        <w:sz w:val="18"/>
        <w:szCs w:val="18"/>
        <w:lang w:val="sv-FI"/>
      </w:rPr>
      <w:t>2</w:t>
    </w:r>
    <w:r w:rsidRPr="00512A44">
      <w:rPr>
        <w:rFonts w:ascii="Arial" w:hAnsi="Arial" w:cs="Arial"/>
        <w:b/>
        <w:sz w:val="18"/>
        <w:szCs w:val="18"/>
        <w:lang w:val="sv-FI"/>
      </w:rPr>
      <w:t>.0 (202</w:t>
    </w:r>
    <w:r w:rsidR="00797F43">
      <w:rPr>
        <w:rFonts w:ascii="Arial" w:hAnsi="Arial" w:cs="Arial"/>
        <w:b/>
        <w:sz w:val="18"/>
        <w:szCs w:val="18"/>
        <w:lang w:val="sv-FI"/>
      </w:rPr>
      <w:t>3</w:t>
    </w:r>
    <w:r w:rsidRPr="00512A44">
      <w:rPr>
        <w:rFonts w:ascii="Arial" w:hAnsi="Arial" w:cs="Arial"/>
        <w:b/>
        <w:sz w:val="18"/>
        <w:szCs w:val="18"/>
        <w:lang w:val="sv-FI"/>
      </w:rPr>
      <w:t>-</w:t>
    </w:r>
    <w:r w:rsidR="00797F43">
      <w:rPr>
        <w:rFonts w:ascii="Arial" w:hAnsi="Arial" w:cs="Arial"/>
        <w:b/>
        <w:sz w:val="18"/>
        <w:szCs w:val="18"/>
        <w:lang w:val="sv-FI"/>
      </w:rPr>
      <w:t>0</w:t>
    </w:r>
    <w:r w:rsidR="00494792">
      <w:rPr>
        <w:rFonts w:ascii="Arial" w:hAnsi="Arial" w:cs="Arial"/>
        <w:b/>
        <w:sz w:val="18"/>
        <w:szCs w:val="18"/>
        <w:lang w:val="sv-FI"/>
      </w:rPr>
      <w:t>6</w:t>
    </w:r>
    <w:r w:rsidRPr="00512A44">
      <w:rPr>
        <w:rFonts w:ascii="Arial" w:hAnsi="Arial" w:cs="Arial"/>
        <w:b/>
        <w:sz w:val="18"/>
        <w:szCs w:val="18"/>
        <w:lang w:val="sv-FI"/>
      </w:rPr>
      <w:t>)</w:t>
    </w:r>
  </w:p>
  <w:p w14:paraId="40C7120E" w14:textId="77777777" w:rsidR="005B6ADF" w:rsidRDefault="005B6ADF" w:rsidP="005B6ADF">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423</w:t>
    </w:r>
    <w:r>
      <w:rPr>
        <w:rFonts w:ascii="Arial" w:hAnsi="Arial" w:cs="Arial"/>
        <w:b/>
        <w:sz w:val="18"/>
        <w:szCs w:val="18"/>
      </w:rPr>
      <w:fldChar w:fldCharType="end"/>
    </w:r>
  </w:p>
  <w:p w14:paraId="75675E77" w14:textId="42DF1274" w:rsidR="00740A4E" w:rsidRDefault="00740A4E">
    <w:pPr>
      <w:pStyle w:val="Header"/>
    </w:pPr>
    <w:r>
      <w:t>Release 1</w:t>
    </w:r>
    <w:r w:rsidR="008C6DE3">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8DCD216"/>
    <w:lvl w:ilvl="0">
      <w:numFmt w:val="bullet"/>
      <w:lvlText w:val="*"/>
      <w:lvlJc w:val="left"/>
    </w:lvl>
  </w:abstractNum>
  <w:abstractNum w:abstractNumId="1" w15:restartNumberingAfterBreak="0">
    <w:nsid w:val="01971B8D"/>
    <w:multiLevelType w:val="hybridMultilevel"/>
    <w:tmpl w:val="4CDE64C4"/>
    <w:lvl w:ilvl="0" w:tplc="F8848860">
      <w:start w:val="129"/>
      <w:numFmt w:val="bullet"/>
      <w:lvlText w:val="-"/>
      <w:lvlJc w:val="left"/>
      <w:pPr>
        <w:ind w:left="990" w:hanging="360"/>
      </w:pPr>
      <w:rPr>
        <w:rFonts w:ascii="Calibri" w:eastAsia="Calibri" w:hAnsi="Calibri"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0B12588D"/>
    <w:multiLevelType w:val="hybridMultilevel"/>
    <w:tmpl w:val="C0B0C9AC"/>
    <w:lvl w:ilvl="0" w:tplc="2FF42842">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4" w15:restartNumberingAfterBreak="0">
    <w:nsid w:val="0C304D39"/>
    <w:multiLevelType w:val="hybridMultilevel"/>
    <w:tmpl w:val="6A92FF00"/>
    <w:lvl w:ilvl="0" w:tplc="1012DAAA">
      <w:start w:val="3"/>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5" w15:restartNumberingAfterBreak="0">
    <w:nsid w:val="106D4E2E"/>
    <w:multiLevelType w:val="hybridMultilevel"/>
    <w:tmpl w:val="05F4CFCC"/>
    <w:lvl w:ilvl="0" w:tplc="B7DE52E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70E77"/>
    <w:multiLevelType w:val="hybridMultilevel"/>
    <w:tmpl w:val="BA34D9AA"/>
    <w:lvl w:ilvl="0" w:tplc="83BC3206">
      <w:start w:val="1"/>
      <w:numFmt w:val="bullet"/>
      <w:lvlText w:val="-"/>
      <w:lvlJc w:val="left"/>
      <w:pPr>
        <w:ind w:left="987" w:hanging="420"/>
      </w:pPr>
      <w:rPr>
        <w:rFonts w:ascii="Times New Roman" w:eastAsia="Times New Roman" w:hAns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A514B37"/>
    <w:multiLevelType w:val="hybridMultilevel"/>
    <w:tmpl w:val="FDB80696"/>
    <w:lvl w:ilvl="0" w:tplc="3042D86A">
      <w:start w:val="2022"/>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0" w15:restartNumberingAfterBreak="0">
    <w:nsid w:val="1BE2572C"/>
    <w:multiLevelType w:val="hybridMultilevel"/>
    <w:tmpl w:val="E8EAFCF8"/>
    <w:lvl w:ilvl="0" w:tplc="1438FB18">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E666B7"/>
    <w:multiLevelType w:val="hybridMultilevel"/>
    <w:tmpl w:val="F236844E"/>
    <w:lvl w:ilvl="0" w:tplc="99027A86">
      <w:start w:val="5"/>
      <w:numFmt w:val="bullet"/>
      <w:lvlText w:val="-"/>
      <w:lvlJc w:val="left"/>
      <w:pPr>
        <w:ind w:left="720" w:hanging="360"/>
      </w:pPr>
      <w:rPr>
        <w:rFonts w:ascii="Times New Roman" w:eastAsia="SimSu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EAC7475"/>
    <w:multiLevelType w:val="hybridMultilevel"/>
    <w:tmpl w:val="589249C4"/>
    <w:lvl w:ilvl="0" w:tplc="83BC3206">
      <w:start w:val="1"/>
      <w:numFmt w:val="bullet"/>
      <w:lvlText w:val="-"/>
      <w:lvlJc w:val="left"/>
      <w:pPr>
        <w:ind w:left="1048" w:hanging="480"/>
      </w:pPr>
      <w:rPr>
        <w:rFonts w:ascii="Times New Roman" w:eastAsia="Times New Roman" w:hAnsi="Times New Roman" w:cs="Times New Roman" w:hint="default"/>
      </w:rPr>
    </w:lvl>
    <w:lvl w:ilvl="1" w:tplc="04090003">
      <w:start w:val="1"/>
      <w:numFmt w:val="bullet"/>
      <w:lvlText w:val=""/>
      <w:lvlJc w:val="left"/>
      <w:pPr>
        <w:ind w:left="1528" w:hanging="480"/>
      </w:pPr>
      <w:rPr>
        <w:rFonts w:ascii="Wingdings" w:hAnsi="Wingdings" w:hint="default"/>
      </w:rPr>
    </w:lvl>
    <w:lvl w:ilvl="2" w:tplc="04090005" w:tentative="1">
      <w:start w:val="1"/>
      <w:numFmt w:val="bullet"/>
      <w:lvlText w:val=""/>
      <w:lvlJc w:val="left"/>
      <w:pPr>
        <w:ind w:left="2008" w:hanging="480"/>
      </w:pPr>
      <w:rPr>
        <w:rFonts w:ascii="Wingdings" w:hAnsi="Wingdings" w:hint="default"/>
      </w:rPr>
    </w:lvl>
    <w:lvl w:ilvl="3" w:tplc="04090001" w:tentative="1">
      <w:start w:val="1"/>
      <w:numFmt w:val="bullet"/>
      <w:lvlText w:val=""/>
      <w:lvlJc w:val="left"/>
      <w:pPr>
        <w:ind w:left="2488" w:hanging="480"/>
      </w:pPr>
      <w:rPr>
        <w:rFonts w:ascii="Wingdings" w:hAnsi="Wingdings" w:hint="default"/>
      </w:rPr>
    </w:lvl>
    <w:lvl w:ilvl="4" w:tplc="04090003" w:tentative="1">
      <w:start w:val="1"/>
      <w:numFmt w:val="bullet"/>
      <w:lvlText w:val=""/>
      <w:lvlJc w:val="left"/>
      <w:pPr>
        <w:ind w:left="2968" w:hanging="480"/>
      </w:pPr>
      <w:rPr>
        <w:rFonts w:ascii="Wingdings" w:hAnsi="Wingdings" w:hint="default"/>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abstractNum w:abstractNumId="13" w15:restartNumberingAfterBreak="0">
    <w:nsid w:val="1F801AAD"/>
    <w:multiLevelType w:val="hybridMultilevel"/>
    <w:tmpl w:val="A9A48F0E"/>
    <w:lvl w:ilvl="0" w:tplc="B4D24D96">
      <w:start w:val="1"/>
      <w:numFmt w:val="bullet"/>
      <w:lvlText w:val="-"/>
      <w:lvlJc w:val="left"/>
      <w:pPr>
        <w:ind w:left="1386" w:hanging="420"/>
      </w:pPr>
      <w:rPr>
        <w:rFonts w:ascii="Times New Roman" w:eastAsia="Times New Roman" w:hAnsi="Times New Roman" w:cs="Times New Roman" w:hint="default"/>
      </w:rPr>
    </w:lvl>
    <w:lvl w:ilvl="1" w:tplc="04090003" w:tentative="1">
      <w:start w:val="1"/>
      <w:numFmt w:val="bullet"/>
      <w:lvlText w:val=""/>
      <w:lvlJc w:val="left"/>
      <w:pPr>
        <w:ind w:left="1806" w:hanging="420"/>
      </w:pPr>
      <w:rPr>
        <w:rFonts w:ascii="Wingdings" w:hAnsi="Wingdings" w:hint="default"/>
      </w:rPr>
    </w:lvl>
    <w:lvl w:ilvl="2" w:tplc="04090005"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3" w:tentative="1">
      <w:start w:val="1"/>
      <w:numFmt w:val="bullet"/>
      <w:lvlText w:val=""/>
      <w:lvlJc w:val="left"/>
      <w:pPr>
        <w:ind w:left="3066" w:hanging="420"/>
      </w:pPr>
      <w:rPr>
        <w:rFonts w:ascii="Wingdings" w:hAnsi="Wingdings" w:hint="default"/>
      </w:rPr>
    </w:lvl>
    <w:lvl w:ilvl="5" w:tplc="04090005"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3" w:tentative="1">
      <w:start w:val="1"/>
      <w:numFmt w:val="bullet"/>
      <w:lvlText w:val=""/>
      <w:lvlJc w:val="left"/>
      <w:pPr>
        <w:ind w:left="4326" w:hanging="420"/>
      </w:pPr>
      <w:rPr>
        <w:rFonts w:ascii="Wingdings" w:hAnsi="Wingdings" w:hint="default"/>
      </w:rPr>
    </w:lvl>
    <w:lvl w:ilvl="8" w:tplc="04090005" w:tentative="1">
      <w:start w:val="1"/>
      <w:numFmt w:val="bullet"/>
      <w:lvlText w:val=""/>
      <w:lvlJc w:val="left"/>
      <w:pPr>
        <w:ind w:left="4746" w:hanging="420"/>
      </w:pPr>
      <w:rPr>
        <w:rFonts w:ascii="Wingdings" w:hAnsi="Wingdings" w:hint="default"/>
      </w:rPr>
    </w:lvl>
  </w:abstractNum>
  <w:abstractNum w:abstractNumId="14" w15:restartNumberingAfterBreak="0">
    <w:nsid w:val="22106A1C"/>
    <w:multiLevelType w:val="multilevel"/>
    <w:tmpl w:val="016CDB62"/>
    <w:lvl w:ilvl="0">
      <w:start w:val="1"/>
      <w:numFmt w:val="bullet"/>
      <w:lvlText w:val="-"/>
      <w:lvlJc w:val="left"/>
      <w:pPr>
        <w:ind w:left="360" w:hanging="360"/>
      </w:pPr>
      <w:rPr>
        <w:rFonts w:ascii="Times New Roman" w:eastAsia="SimSun" w:hAnsi="Times New Roman" w:cs="Times New Roman" w:hint="default"/>
        <w:lang w:val="en-US"/>
      </w:rPr>
    </w:lvl>
    <w:lvl w:ilvl="1">
      <w:start w:val="1"/>
      <w:numFmt w:val="bullet"/>
      <w:lvlText w:val="­"/>
      <w:lvlJc w:val="left"/>
      <w:pPr>
        <w:ind w:left="1080" w:hanging="360"/>
      </w:pPr>
      <w:rPr>
        <w:rFonts w:ascii="Modern No. 20" w:hAnsi="Modern No. 20"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370450D"/>
    <w:multiLevelType w:val="hybridMultilevel"/>
    <w:tmpl w:val="99D61A38"/>
    <w:lvl w:ilvl="0" w:tplc="2D928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FD4BB7"/>
    <w:multiLevelType w:val="hybridMultilevel"/>
    <w:tmpl w:val="72B06ABA"/>
    <w:lvl w:ilvl="0" w:tplc="014060AE">
      <w:start w:val="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43F4C31"/>
    <w:multiLevelType w:val="hybridMultilevel"/>
    <w:tmpl w:val="7EA85A14"/>
    <w:lvl w:ilvl="0" w:tplc="16528972">
      <w:start w:val="1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24D13008"/>
    <w:multiLevelType w:val="hybridMultilevel"/>
    <w:tmpl w:val="98AEC264"/>
    <w:lvl w:ilvl="0" w:tplc="67302FD6">
      <w:start w:val="1"/>
      <w:numFmt w:val="bullet"/>
      <w:lvlText w:val="–"/>
      <w:lvlJc w:val="left"/>
      <w:pPr>
        <w:ind w:left="360" w:hanging="360"/>
      </w:pPr>
      <w:rPr>
        <w:rFonts w:ascii="Arial" w:hAnsi="Aria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27703D8E"/>
    <w:multiLevelType w:val="hybridMultilevel"/>
    <w:tmpl w:val="A8D816C2"/>
    <w:lvl w:ilvl="0" w:tplc="9B0A457A">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28921CF6"/>
    <w:multiLevelType w:val="hybridMultilevel"/>
    <w:tmpl w:val="BD46DEF6"/>
    <w:lvl w:ilvl="0" w:tplc="B2560178">
      <w:start w:val="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4007C1"/>
    <w:multiLevelType w:val="hybridMultilevel"/>
    <w:tmpl w:val="4BCC5EEA"/>
    <w:lvl w:ilvl="0" w:tplc="C1406FB2">
      <w:start w:val="1"/>
      <w:numFmt w:val="bullet"/>
      <w:lvlText w:val="­"/>
      <w:lvlJc w:val="left"/>
      <w:pPr>
        <w:ind w:left="644" w:hanging="360"/>
      </w:pPr>
      <w:rPr>
        <w:rFonts w:ascii="Modern No. 20" w:hAnsi="Modern No. 20"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23"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24" w15:restartNumberingAfterBreak="0">
    <w:nsid w:val="2DDD3A7D"/>
    <w:multiLevelType w:val="hybridMultilevel"/>
    <w:tmpl w:val="99D61A38"/>
    <w:lvl w:ilvl="0" w:tplc="2D9286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3682554F"/>
    <w:multiLevelType w:val="hybridMultilevel"/>
    <w:tmpl w:val="77626376"/>
    <w:lvl w:ilvl="0" w:tplc="C08C7518">
      <w:start w:val="38"/>
      <w:numFmt w:val="bullet"/>
      <w:lvlText w:val="-"/>
      <w:lvlJc w:val="left"/>
      <w:pPr>
        <w:ind w:left="644" w:hanging="360"/>
      </w:pPr>
      <w:rPr>
        <w:rFonts w:ascii="Times New Roman" w:eastAsia="SimSun" w:hAnsi="Times New Roman" w:cs="Times New Roman" w:hint="default"/>
      </w:rPr>
    </w:lvl>
    <w:lvl w:ilvl="1" w:tplc="C08C7518">
      <w:start w:val="38"/>
      <w:numFmt w:val="bullet"/>
      <w:lvlText w:val="-"/>
      <w:lvlJc w:val="left"/>
      <w:pPr>
        <w:ind w:left="1364" w:hanging="360"/>
      </w:pPr>
      <w:rPr>
        <w:rFonts w:ascii="Times New Roman" w:eastAsia="SimSu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417F6AFB"/>
    <w:multiLevelType w:val="multilevel"/>
    <w:tmpl w:val="3676A840"/>
    <w:lvl w:ilvl="0">
      <w:start w:val="1"/>
      <w:numFmt w:val="bullet"/>
      <w:pStyle w:val="3GPPAgreements"/>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24D53A3"/>
    <w:multiLevelType w:val="hybridMultilevel"/>
    <w:tmpl w:val="A7E8D7BA"/>
    <w:lvl w:ilvl="0" w:tplc="46A474B4">
      <w:start w:val="8"/>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45F769DE"/>
    <w:multiLevelType w:val="hybridMultilevel"/>
    <w:tmpl w:val="F684E272"/>
    <w:lvl w:ilvl="0" w:tplc="D69EE98A">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1" w15:restartNumberingAfterBreak="0">
    <w:nsid w:val="48F82726"/>
    <w:multiLevelType w:val="hybridMultilevel"/>
    <w:tmpl w:val="74E29E68"/>
    <w:lvl w:ilvl="0" w:tplc="7BE21358">
      <w:start w:val="13"/>
      <w:numFmt w:val="bullet"/>
      <w:lvlText w:val="-"/>
      <w:lvlJc w:val="left"/>
      <w:pPr>
        <w:ind w:left="644" w:hanging="360"/>
      </w:pPr>
      <w:rPr>
        <w:rFonts w:ascii="Arial" w:eastAsiaTheme="minorEastAsia"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2" w15:restartNumberingAfterBreak="0">
    <w:nsid w:val="4ED21DA1"/>
    <w:multiLevelType w:val="hybridMultilevel"/>
    <w:tmpl w:val="AA02B91E"/>
    <w:lvl w:ilvl="0" w:tplc="B5A8667A">
      <w:numFmt w:val="bullet"/>
      <w:lvlText w:val="-"/>
      <w:lvlJc w:val="left"/>
      <w:pPr>
        <w:ind w:left="630" w:hanging="360"/>
      </w:pPr>
      <w:rPr>
        <w:rFonts w:ascii="Times" w:eastAsia="Batang" w:hAnsi="Times" w:cs="Times" w:hint="default"/>
      </w:rPr>
    </w:lvl>
    <w:lvl w:ilvl="1" w:tplc="04190003">
      <w:start w:val="1"/>
      <w:numFmt w:val="bullet"/>
      <w:lvlText w:val="o"/>
      <w:lvlJc w:val="left"/>
      <w:pPr>
        <w:ind w:left="1580" w:hanging="360"/>
      </w:pPr>
      <w:rPr>
        <w:rFonts w:ascii="Courier New" w:hAnsi="Courier New" w:cs="Courier New" w:hint="default"/>
      </w:rPr>
    </w:lvl>
    <w:lvl w:ilvl="2" w:tplc="B5A8667A">
      <w:numFmt w:val="bullet"/>
      <w:lvlText w:val="-"/>
      <w:lvlJc w:val="left"/>
      <w:pPr>
        <w:ind w:left="810" w:hanging="360"/>
      </w:pPr>
      <w:rPr>
        <w:rFonts w:ascii="Times" w:eastAsia="Batang" w:hAnsi="Times" w:cs="Times" w:hint="default"/>
      </w:rPr>
    </w:lvl>
    <w:lvl w:ilvl="3" w:tplc="04190001">
      <w:start w:val="1"/>
      <w:numFmt w:val="bullet"/>
      <w:lvlText w:val=""/>
      <w:lvlJc w:val="left"/>
      <w:pPr>
        <w:ind w:left="3020" w:hanging="360"/>
      </w:pPr>
      <w:rPr>
        <w:rFonts w:ascii="Symbol" w:hAnsi="Symbol" w:hint="default"/>
      </w:rPr>
    </w:lvl>
    <w:lvl w:ilvl="4" w:tplc="04190003" w:tentative="1">
      <w:start w:val="1"/>
      <w:numFmt w:val="bullet"/>
      <w:lvlText w:val="o"/>
      <w:lvlJc w:val="left"/>
      <w:pPr>
        <w:ind w:left="3740" w:hanging="360"/>
      </w:pPr>
      <w:rPr>
        <w:rFonts w:ascii="Courier New" w:hAnsi="Courier New" w:cs="Courier New" w:hint="default"/>
      </w:rPr>
    </w:lvl>
    <w:lvl w:ilvl="5" w:tplc="04190005" w:tentative="1">
      <w:start w:val="1"/>
      <w:numFmt w:val="bullet"/>
      <w:lvlText w:val=""/>
      <w:lvlJc w:val="left"/>
      <w:pPr>
        <w:ind w:left="4460" w:hanging="360"/>
      </w:pPr>
      <w:rPr>
        <w:rFonts w:ascii="Wingdings" w:hAnsi="Wingdings" w:hint="default"/>
      </w:rPr>
    </w:lvl>
    <w:lvl w:ilvl="6" w:tplc="04190001" w:tentative="1">
      <w:start w:val="1"/>
      <w:numFmt w:val="bullet"/>
      <w:lvlText w:val=""/>
      <w:lvlJc w:val="left"/>
      <w:pPr>
        <w:ind w:left="5180" w:hanging="360"/>
      </w:pPr>
      <w:rPr>
        <w:rFonts w:ascii="Symbol" w:hAnsi="Symbol" w:hint="default"/>
      </w:rPr>
    </w:lvl>
    <w:lvl w:ilvl="7" w:tplc="04190003" w:tentative="1">
      <w:start w:val="1"/>
      <w:numFmt w:val="bullet"/>
      <w:lvlText w:val="o"/>
      <w:lvlJc w:val="left"/>
      <w:pPr>
        <w:ind w:left="5900" w:hanging="360"/>
      </w:pPr>
      <w:rPr>
        <w:rFonts w:ascii="Courier New" w:hAnsi="Courier New" w:cs="Courier New" w:hint="default"/>
      </w:rPr>
    </w:lvl>
    <w:lvl w:ilvl="8" w:tplc="04190005" w:tentative="1">
      <w:start w:val="1"/>
      <w:numFmt w:val="bullet"/>
      <w:lvlText w:val=""/>
      <w:lvlJc w:val="left"/>
      <w:pPr>
        <w:ind w:left="6620" w:hanging="360"/>
      </w:pPr>
      <w:rPr>
        <w:rFonts w:ascii="Wingdings" w:hAnsi="Wingdings" w:hint="default"/>
      </w:rPr>
    </w:lvl>
  </w:abstractNum>
  <w:abstractNum w:abstractNumId="33" w15:restartNumberingAfterBreak="0">
    <w:nsid w:val="50FD410A"/>
    <w:multiLevelType w:val="hybridMultilevel"/>
    <w:tmpl w:val="88C8E4EA"/>
    <w:lvl w:ilvl="0" w:tplc="E98C44C4">
      <w:start w:val="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35" w15:restartNumberingAfterBreak="0">
    <w:nsid w:val="5926538F"/>
    <w:multiLevelType w:val="hybridMultilevel"/>
    <w:tmpl w:val="AFAAA33C"/>
    <w:lvl w:ilvl="0" w:tplc="DD56BEB8">
      <w:start w:val="2"/>
      <w:numFmt w:val="bullet"/>
      <w:lvlText w:val="-"/>
      <w:lvlJc w:val="left"/>
      <w:pPr>
        <w:ind w:left="704" w:hanging="420"/>
      </w:pPr>
      <w:rPr>
        <w:rFonts w:ascii="Calibri" w:eastAsia="Calibri" w:hAnsi="Calibri"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6" w15:restartNumberingAfterBreak="0">
    <w:nsid w:val="616073CB"/>
    <w:multiLevelType w:val="hybridMultilevel"/>
    <w:tmpl w:val="3760D102"/>
    <w:lvl w:ilvl="0" w:tplc="AFC47EDC">
      <w:start w:val="4"/>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8" w15:restartNumberingAfterBreak="0">
    <w:nsid w:val="70146DC0"/>
    <w:multiLevelType w:val="hybridMultilevel"/>
    <w:tmpl w:val="9BC21240"/>
    <w:lvl w:ilvl="0" w:tplc="409A9E3A">
      <w:start w:val="1"/>
      <w:numFmt w:val="bullet"/>
      <w:pStyle w:val="Agreement"/>
      <w:lvlText w:val=""/>
      <w:lvlJc w:val="left"/>
      <w:pPr>
        <w:tabs>
          <w:tab w:val="num" w:pos="927"/>
        </w:tabs>
        <w:ind w:left="927" w:hanging="360"/>
      </w:pPr>
      <w:rPr>
        <w:rFonts w:ascii="Symbol" w:hAnsi="Symbol" w:hint="default"/>
        <w:b/>
        <w:i w:val="0"/>
        <w:color w:val="auto"/>
        <w:sz w:val="22"/>
      </w:rPr>
    </w:lvl>
    <w:lvl w:ilvl="1" w:tplc="04090003">
      <w:start w:val="1"/>
      <w:numFmt w:val="bullet"/>
      <w:lvlText w:val="o"/>
      <w:lvlJc w:val="left"/>
      <w:pPr>
        <w:tabs>
          <w:tab w:val="num" w:pos="748"/>
        </w:tabs>
        <w:ind w:left="748" w:hanging="360"/>
      </w:pPr>
      <w:rPr>
        <w:rFonts w:ascii="Courier New" w:hAnsi="Courier New" w:cs="Courier New" w:hint="default"/>
      </w:rPr>
    </w:lvl>
    <w:lvl w:ilvl="2" w:tplc="04090005" w:tentative="1">
      <w:start w:val="1"/>
      <w:numFmt w:val="bullet"/>
      <w:lvlText w:val=""/>
      <w:lvlJc w:val="left"/>
      <w:pPr>
        <w:tabs>
          <w:tab w:val="num" w:pos="1468"/>
        </w:tabs>
        <w:ind w:left="1468" w:hanging="360"/>
      </w:pPr>
      <w:rPr>
        <w:rFonts w:ascii="Wingdings" w:hAnsi="Wingdings" w:hint="default"/>
      </w:rPr>
    </w:lvl>
    <w:lvl w:ilvl="3" w:tplc="04090001" w:tentative="1">
      <w:start w:val="1"/>
      <w:numFmt w:val="bullet"/>
      <w:lvlText w:val=""/>
      <w:lvlJc w:val="left"/>
      <w:pPr>
        <w:tabs>
          <w:tab w:val="num" w:pos="2188"/>
        </w:tabs>
        <w:ind w:left="2188" w:hanging="360"/>
      </w:pPr>
      <w:rPr>
        <w:rFonts w:ascii="Symbol" w:hAnsi="Symbol" w:hint="default"/>
      </w:rPr>
    </w:lvl>
    <w:lvl w:ilvl="4" w:tplc="04090003" w:tentative="1">
      <w:start w:val="1"/>
      <w:numFmt w:val="bullet"/>
      <w:lvlText w:val="o"/>
      <w:lvlJc w:val="left"/>
      <w:pPr>
        <w:tabs>
          <w:tab w:val="num" w:pos="2908"/>
        </w:tabs>
        <w:ind w:left="2908" w:hanging="360"/>
      </w:pPr>
      <w:rPr>
        <w:rFonts w:ascii="Courier New" w:hAnsi="Courier New" w:cs="Courier New" w:hint="default"/>
      </w:rPr>
    </w:lvl>
    <w:lvl w:ilvl="5" w:tplc="04090005" w:tentative="1">
      <w:start w:val="1"/>
      <w:numFmt w:val="bullet"/>
      <w:lvlText w:val=""/>
      <w:lvlJc w:val="left"/>
      <w:pPr>
        <w:tabs>
          <w:tab w:val="num" w:pos="3628"/>
        </w:tabs>
        <w:ind w:left="3628" w:hanging="360"/>
      </w:pPr>
      <w:rPr>
        <w:rFonts w:ascii="Wingdings" w:hAnsi="Wingdings" w:hint="default"/>
      </w:rPr>
    </w:lvl>
    <w:lvl w:ilvl="6" w:tplc="04090001" w:tentative="1">
      <w:start w:val="1"/>
      <w:numFmt w:val="bullet"/>
      <w:lvlText w:val=""/>
      <w:lvlJc w:val="left"/>
      <w:pPr>
        <w:tabs>
          <w:tab w:val="num" w:pos="4348"/>
        </w:tabs>
        <w:ind w:left="4348" w:hanging="360"/>
      </w:pPr>
      <w:rPr>
        <w:rFonts w:ascii="Symbol" w:hAnsi="Symbol" w:hint="default"/>
      </w:rPr>
    </w:lvl>
    <w:lvl w:ilvl="7" w:tplc="04090003" w:tentative="1">
      <w:start w:val="1"/>
      <w:numFmt w:val="bullet"/>
      <w:lvlText w:val="o"/>
      <w:lvlJc w:val="left"/>
      <w:pPr>
        <w:tabs>
          <w:tab w:val="num" w:pos="5068"/>
        </w:tabs>
        <w:ind w:left="5068" w:hanging="360"/>
      </w:pPr>
      <w:rPr>
        <w:rFonts w:ascii="Courier New" w:hAnsi="Courier New" w:cs="Courier New" w:hint="default"/>
      </w:rPr>
    </w:lvl>
    <w:lvl w:ilvl="8" w:tplc="04090005" w:tentative="1">
      <w:start w:val="1"/>
      <w:numFmt w:val="bullet"/>
      <w:lvlText w:val=""/>
      <w:lvlJc w:val="left"/>
      <w:pPr>
        <w:tabs>
          <w:tab w:val="num" w:pos="5788"/>
        </w:tabs>
        <w:ind w:left="5788" w:hanging="360"/>
      </w:pPr>
      <w:rPr>
        <w:rFonts w:ascii="Wingdings" w:hAnsi="Wingdings" w:hint="default"/>
      </w:rPr>
    </w:lvl>
  </w:abstractNum>
  <w:abstractNum w:abstractNumId="3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42"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7B47D9"/>
    <w:multiLevelType w:val="hybridMultilevel"/>
    <w:tmpl w:val="23641564"/>
    <w:lvl w:ilvl="0" w:tplc="46A474B4">
      <w:start w:val="8"/>
      <w:numFmt w:val="bullet"/>
      <w:lvlText w:val="-"/>
      <w:lvlJc w:val="left"/>
      <w:pPr>
        <w:ind w:left="800" w:hanging="40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4" w15:restartNumberingAfterBreak="0">
    <w:nsid w:val="7CC96F1A"/>
    <w:multiLevelType w:val="hybridMultilevel"/>
    <w:tmpl w:val="113A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4566F"/>
    <w:multiLevelType w:val="hybridMultilevel"/>
    <w:tmpl w:val="541C0DCA"/>
    <w:lvl w:ilvl="0" w:tplc="C1406FB2">
      <w:start w:val="1"/>
      <w:numFmt w:val="bullet"/>
      <w:lvlText w:val="­"/>
      <w:lvlJc w:val="left"/>
      <w:pPr>
        <w:ind w:left="1269" w:hanging="420"/>
      </w:pPr>
      <w:rPr>
        <w:rFonts w:ascii="Modern No. 20" w:hAnsi="Modern No. 20" w:hint="default"/>
      </w:rPr>
    </w:lvl>
    <w:lvl w:ilvl="1" w:tplc="C1406FB2">
      <w:start w:val="1"/>
      <w:numFmt w:val="bullet"/>
      <w:lvlText w:val="­"/>
      <w:lvlJc w:val="left"/>
      <w:pPr>
        <w:ind w:left="1689" w:hanging="420"/>
      </w:pPr>
      <w:rPr>
        <w:rFonts w:ascii="Modern No. 20" w:hAnsi="Modern No. 20" w:hint="default"/>
      </w:rPr>
    </w:lvl>
    <w:lvl w:ilvl="2" w:tplc="04090005">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3" w:tentative="1">
      <w:start w:val="1"/>
      <w:numFmt w:val="bullet"/>
      <w:lvlText w:val=""/>
      <w:lvlJc w:val="left"/>
      <w:pPr>
        <w:ind w:left="2949" w:hanging="420"/>
      </w:pPr>
      <w:rPr>
        <w:rFonts w:ascii="Wingdings" w:hAnsi="Wingdings" w:hint="default"/>
      </w:rPr>
    </w:lvl>
    <w:lvl w:ilvl="5" w:tplc="04090005"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3" w:tentative="1">
      <w:start w:val="1"/>
      <w:numFmt w:val="bullet"/>
      <w:lvlText w:val=""/>
      <w:lvlJc w:val="left"/>
      <w:pPr>
        <w:ind w:left="4209" w:hanging="420"/>
      </w:pPr>
      <w:rPr>
        <w:rFonts w:ascii="Wingdings" w:hAnsi="Wingdings" w:hint="default"/>
      </w:rPr>
    </w:lvl>
    <w:lvl w:ilvl="8" w:tplc="04090005" w:tentative="1">
      <w:start w:val="1"/>
      <w:numFmt w:val="bullet"/>
      <w:lvlText w:val=""/>
      <w:lvlJc w:val="left"/>
      <w:pPr>
        <w:ind w:left="4629" w:hanging="420"/>
      </w:pPr>
      <w:rPr>
        <w:rFonts w:ascii="Wingdings" w:hAnsi="Wingdings" w:hint="default"/>
      </w:rPr>
    </w:lvl>
  </w:abstractNum>
  <w:abstractNum w:abstractNumId="46" w15:restartNumberingAfterBreak="0">
    <w:nsid w:val="7E5553AE"/>
    <w:multiLevelType w:val="hybridMultilevel"/>
    <w:tmpl w:val="0FE8BAFC"/>
    <w:lvl w:ilvl="0" w:tplc="C1406FB2">
      <w:start w:val="1"/>
      <w:numFmt w:val="bullet"/>
      <w:lvlText w:val="­"/>
      <w:lvlJc w:val="left"/>
      <w:pPr>
        <w:ind w:left="1004" w:hanging="360"/>
      </w:pPr>
      <w:rPr>
        <w:rFonts w:ascii="Modern No. 20" w:hAnsi="Modern No. 20"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16cid:durableId="607929190">
    <w:abstractNumId w:val="37"/>
  </w:num>
  <w:num w:numId="2" w16cid:durableId="1917935510">
    <w:abstractNumId w:val="42"/>
  </w:num>
  <w:num w:numId="3" w16cid:durableId="1503396058">
    <w:abstractNumId w:val="21"/>
  </w:num>
  <w:num w:numId="4" w16cid:durableId="210846930">
    <w:abstractNumId w:val="23"/>
  </w:num>
  <w:num w:numId="5" w16cid:durableId="646712585">
    <w:abstractNumId w:val="2"/>
  </w:num>
  <w:num w:numId="6" w16cid:durableId="1241255594">
    <w:abstractNumId w:val="25"/>
  </w:num>
  <w:num w:numId="7" w16cid:durableId="154761270">
    <w:abstractNumId w:val="8"/>
  </w:num>
  <w:num w:numId="8" w16cid:durableId="2092847897">
    <w:abstractNumId w:val="43"/>
  </w:num>
  <w:num w:numId="9" w16cid:durableId="7561760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8479175">
    <w:abstractNumId w:val="40"/>
  </w:num>
  <w:num w:numId="11" w16cid:durableId="1515916472">
    <w:abstractNumId w:val="6"/>
  </w:num>
  <w:num w:numId="12" w16cid:durableId="5449502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2453908">
    <w:abstractNumId w:val="39"/>
  </w:num>
  <w:num w:numId="14" w16cid:durableId="178352294">
    <w:abstractNumId w:val="41"/>
  </w:num>
  <w:num w:numId="15" w16cid:durableId="384262834">
    <w:abstractNumId w:val="29"/>
  </w:num>
  <w:num w:numId="16" w16cid:durableId="564069495">
    <w:abstractNumId w:val="19"/>
  </w:num>
  <w:num w:numId="17" w16cid:durableId="297690609">
    <w:abstractNumId w:val="3"/>
  </w:num>
  <w:num w:numId="18" w16cid:durableId="1608654113">
    <w:abstractNumId w:val="5"/>
  </w:num>
  <w:num w:numId="19" w16cid:durableId="2090417916">
    <w:abstractNumId w:val="18"/>
  </w:num>
  <w:num w:numId="20" w16cid:durableId="1856268884">
    <w:abstractNumId w:val="12"/>
  </w:num>
  <w:num w:numId="21" w16cid:durableId="1768622827">
    <w:abstractNumId w:val="32"/>
  </w:num>
  <w:num w:numId="22" w16cid:durableId="1381897403">
    <w:abstractNumId w:val="1"/>
  </w:num>
  <w:num w:numId="23" w16cid:durableId="192055770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4" w16cid:durableId="763234339">
    <w:abstractNumId w:val="4"/>
  </w:num>
  <w:num w:numId="25" w16cid:durableId="398990024">
    <w:abstractNumId w:val="36"/>
  </w:num>
  <w:num w:numId="26" w16cid:durableId="866871656">
    <w:abstractNumId w:val="9"/>
  </w:num>
  <w:num w:numId="27" w16cid:durableId="41442314">
    <w:abstractNumId w:val="7"/>
  </w:num>
  <w:num w:numId="28" w16cid:durableId="74860155">
    <w:abstractNumId w:val="45"/>
  </w:num>
  <w:num w:numId="29" w16cid:durableId="199366584">
    <w:abstractNumId w:val="13"/>
  </w:num>
  <w:num w:numId="30" w16cid:durableId="2091847836">
    <w:abstractNumId w:val="46"/>
  </w:num>
  <w:num w:numId="31" w16cid:durableId="1253590550">
    <w:abstractNumId w:val="22"/>
  </w:num>
  <w:num w:numId="32" w16cid:durableId="297296044">
    <w:abstractNumId w:val="30"/>
  </w:num>
  <w:num w:numId="33" w16cid:durableId="70735370">
    <w:abstractNumId w:val="20"/>
  </w:num>
  <w:num w:numId="34" w16cid:durableId="2127574216">
    <w:abstractNumId w:val="11"/>
  </w:num>
  <w:num w:numId="35" w16cid:durableId="1379931616">
    <w:abstractNumId w:val="17"/>
  </w:num>
  <w:num w:numId="36" w16cid:durableId="858661365">
    <w:abstractNumId w:val="10"/>
  </w:num>
  <w:num w:numId="37" w16cid:durableId="20468245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8" w16cid:durableId="1748920085">
    <w:abstractNumId w:val="38"/>
  </w:num>
  <w:num w:numId="39" w16cid:durableId="1591500207">
    <w:abstractNumId w:val="28"/>
  </w:num>
  <w:num w:numId="40" w16cid:durableId="1362896862">
    <w:abstractNumId w:val="14"/>
  </w:num>
  <w:num w:numId="41" w16cid:durableId="409350484">
    <w:abstractNumId w:val="33"/>
  </w:num>
  <w:num w:numId="42" w16cid:durableId="276759899">
    <w:abstractNumId w:val="35"/>
  </w:num>
  <w:num w:numId="43" w16cid:durableId="1926956164">
    <w:abstractNumId w:val="27"/>
  </w:num>
  <w:num w:numId="44" w16cid:durableId="596475721">
    <w:abstractNumId w:val="44"/>
  </w:num>
  <w:num w:numId="45" w16cid:durableId="1058700405">
    <w:abstractNumId w:val="15"/>
  </w:num>
  <w:num w:numId="46" w16cid:durableId="1492058435">
    <w:abstractNumId w:val="24"/>
  </w:num>
  <w:num w:numId="47" w16cid:durableId="86851697">
    <w:abstractNumId w:val="31"/>
  </w:num>
  <w:num w:numId="48" w16cid:durableId="2119324119">
    <w:abstractNumId w:val="16"/>
  </w:num>
  <w:num w:numId="49" w16cid:durableId="148439420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hideSpellingError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de-DE" w:vendorID="64" w:dllVersion="0" w:nlCheck="1" w:checkStyle="0"/>
  <w:activeWritingStyle w:appName="MSWord" w:lang="da-DK" w:vendorID="64" w:dllVersion="0" w:nlCheck="1" w:checkStyle="0"/>
  <w:activeWritingStyle w:appName="MSWord" w:lang="fr-FR" w:vendorID="64" w:dllVersion="6" w:nlCheck="1" w:checkStyle="1"/>
  <w:activeWritingStyle w:appName="MSWord" w:lang="fr-FR"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93C"/>
    <w:rsid w:val="000010AA"/>
    <w:rsid w:val="0000135D"/>
    <w:rsid w:val="00002018"/>
    <w:rsid w:val="000027E4"/>
    <w:rsid w:val="00002D30"/>
    <w:rsid w:val="00002D9E"/>
    <w:rsid w:val="00003AF5"/>
    <w:rsid w:val="00004428"/>
    <w:rsid w:val="0000509F"/>
    <w:rsid w:val="0000633A"/>
    <w:rsid w:val="00006AF2"/>
    <w:rsid w:val="00010135"/>
    <w:rsid w:val="00011508"/>
    <w:rsid w:val="000115D6"/>
    <w:rsid w:val="00011853"/>
    <w:rsid w:val="00011CC8"/>
    <w:rsid w:val="000121B4"/>
    <w:rsid w:val="00012A91"/>
    <w:rsid w:val="00012C4B"/>
    <w:rsid w:val="0001380F"/>
    <w:rsid w:val="00013A72"/>
    <w:rsid w:val="00013CD3"/>
    <w:rsid w:val="000145E9"/>
    <w:rsid w:val="00015067"/>
    <w:rsid w:val="0001522B"/>
    <w:rsid w:val="00016799"/>
    <w:rsid w:val="00016AA5"/>
    <w:rsid w:val="00017A07"/>
    <w:rsid w:val="0002050C"/>
    <w:rsid w:val="000206BB"/>
    <w:rsid w:val="00020908"/>
    <w:rsid w:val="00021AF6"/>
    <w:rsid w:val="00022564"/>
    <w:rsid w:val="00022711"/>
    <w:rsid w:val="00024194"/>
    <w:rsid w:val="00024842"/>
    <w:rsid w:val="00024FFE"/>
    <w:rsid w:val="00025530"/>
    <w:rsid w:val="00025991"/>
    <w:rsid w:val="000261CA"/>
    <w:rsid w:val="00026348"/>
    <w:rsid w:val="00026ABD"/>
    <w:rsid w:val="00027443"/>
    <w:rsid w:val="0002795D"/>
    <w:rsid w:val="00027A4C"/>
    <w:rsid w:val="00030BE6"/>
    <w:rsid w:val="00031513"/>
    <w:rsid w:val="00031660"/>
    <w:rsid w:val="00031D18"/>
    <w:rsid w:val="00032B39"/>
    <w:rsid w:val="00032F55"/>
    <w:rsid w:val="00033397"/>
    <w:rsid w:val="00033BFB"/>
    <w:rsid w:val="0003560D"/>
    <w:rsid w:val="0003622A"/>
    <w:rsid w:val="000363F9"/>
    <w:rsid w:val="00036923"/>
    <w:rsid w:val="0003696B"/>
    <w:rsid w:val="000369C2"/>
    <w:rsid w:val="00036B91"/>
    <w:rsid w:val="00036BF3"/>
    <w:rsid w:val="000373EC"/>
    <w:rsid w:val="00040095"/>
    <w:rsid w:val="00041AF1"/>
    <w:rsid w:val="00041BF5"/>
    <w:rsid w:val="00042829"/>
    <w:rsid w:val="000433CC"/>
    <w:rsid w:val="000437EC"/>
    <w:rsid w:val="00044119"/>
    <w:rsid w:val="000466C9"/>
    <w:rsid w:val="00046A8C"/>
    <w:rsid w:val="00046AB8"/>
    <w:rsid w:val="00047B17"/>
    <w:rsid w:val="00047B70"/>
    <w:rsid w:val="00047B8C"/>
    <w:rsid w:val="0005160B"/>
    <w:rsid w:val="00051834"/>
    <w:rsid w:val="00051ED3"/>
    <w:rsid w:val="0005273A"/>
    <w:rsid w:val="00052B54"/>
    <w:rsid w:val="00053AF5"/>
    <w:rsid w:val="00053B75"/>
    <w:rsid w:val="00054521"/>
    <w:rsid w:val="00054A22"/>
    <w:rsid w:val="00054C98"/>
    <w:rsid w:val="00055341"/>
    <w:rsid w:val="000558CD"/>
    <w:rsid w:val="000558F9"/>
    <w:rsid w:val="00056696"/>
    <w:rsid w:val="00056D34"/>
    <w:rsid w:val="00060480"/>
    <w:rsid w:val="00060515"/>
    <w:rsid w:val="00060B2A"/>
    <w:rsid w:val="00060E85"/>
    <w:rsid w:val="000612C4"/>
    <w:rsid w:val="000614C3"/>
    <w:rsid w:val="000627F1"/>
    <w:rsid w:val="00062FEA"/>
    <w:rsid w:val="0006310A"/>
    <w:rsid w:val="000632D9"/>
    <w:rsid w:val="000633B3"/>
    <w:rsid w:val="0006385A"/>
    <w:rsid w:val="00063CF2"/>
    <w:rsid w:val="000649EF"/>
    <w:rsid w:val="00064C2A"/>
    <w:rsid w:val="000655A6"/>
    <w:rsid w:val="000655EA"/>
    <w:rsid w:val="0006582E"/>
    <w:rsid w:val="0006732B"/>
    <w:rsid w:val="00067CF9"/>
    <w:rsid w:val="00070190"/>
    <w:rsid w:val="00070C60"/>
    <w:rsid w:val="00071242"/>
    <w:rsid w:val="00072423"/>
    <w:rsid w:val="00073201"/>
    <w:rsid w:val="00073A4C"/>
    <w:rsid w:val="00073F9E"/>
    <w:rsid w:val="00074891"/>
    <w:rsid w:val="0007508B"/>
    <w:rsid w:val="00075639"/>
    <w:rsid w:val="00075EB9"/>
    <w:rsid w:val="00076295"/>
    <w:rsid w:val="00076547"/>
    <w:rsid w:val="000770CD"/>
    <w:rsid w:val="00080512"/>
    <w:rsid w:val="00081252"/>
    <w:rsid w:val="00081801"/>
    <w:rsid w:val="00082331"/>
    <w:rsid w:val="00082580"/>
    <w:rsid w:val="000827C6"/>
    <w:rsid w:val="00082810"/>
    <w:rsid w:val="00082F09"/>
    <w:rsid w:val="000833A6"/>
    <w:rsid w:val="000834C3"/>
    <w:rsid w:val="00083B22"/>
    <w:rsid w:val="00083ED9"/>
    <w:rsid w:val="00085085"/>
    <w:rsid w:val="0008521C"/>
    <w:rsid w:val="000856E3"/>
    <w:rsid w:val="00085B16"/>
    <w:rsid w:val="000861AE"/>
    <w:rsid w:val="00086A6E"/>
    <w:rsid w:val="0008772A"/>
    <w:rsid w:val="00087879"/>
    <w:rsid w:val="00087B9C"/>
    <w:rsid w:val="00090629"/>
    <w:rsid w:val="000909F6"/>
    <w:rsid w:val="00090CDC"/>
    <w:rsid w:val="00091663"/>
    <w:rsid w:val="00091F85"/>
    <w:rsid w:val="00092042"/>
    <w:rsid w:val="00092902"/>
    <w:rsid w:val="00092D8F"/>
    <w:rsid w:val="0009382D"/>
    <w:rsid w:val="00093993"/>
    <w:rsid w:val="00093AEB"/>
    <w:rsid w:val="000947CD"/>
    <w:rsid w:val="00094C41"/>
    <w:rsid w:val="00094E6E"/>
    <w:rsid w:val="000953C5"/>
    <w:rsid w:val="00095606"/>
    <w:rsid w:val="00095CE7"/>
    <w:rsid w:val="00096C4D"/>
    <w:rsid w:val="000971E9"/>
    <w:rsid w:val="00097AED"/>
    <w:rsid w:val="00097C56"/>
    <w:rsid w:val="000A07C7"/>
    <w:rsid w:val="000A0D7C"/>
    <w:rsid w:val="000A1547"/>
    <w:rsid w:val="000A1C4A"/>
    <w:rsid w:val="000A1EA2"/>
    <w:rsid w:val="000A247A"/>
    <w:rsid w:val="000A3F44"/>
    <w:rsid w:val="000A4872"/>
    <w:rsid w:val="000A49EC"/>
    <w:rsid w:val="000A50CE"/>
    <w:rsid w:val="000A53FB"/>
    <w:rsid w:val="000A5D0B"/>
    <w:rsid w:val="000A5F96"/>
    <w:rsid w:val="000A648F"/>
    <w:rsid w:val="000A7234"/>
    <w:rsid w:val="000A7A23"/>
    <w:rsid w:val="000B0725"/>
    <w:rsid w:val="000B2518"/>
    <w:rsid w:val="000B44AB"/>
    <w:rsid w:val="000B450B"/>
    <w:rsid w:val="000B478A"/>
    <w:rsid w:val="000B4CAE"/>
    <w:rsid w:val="000B4F9B"/>
    <w:rsid w:val="000B5673"/>
    <w:rsid w:val="000B5838"/>
    <w:rsid w:val="000B5C9F"/>
    <w:rsid w:val="000B5E6E"/>
    <w:rsid w:val="000B652D"/>
    <w:rsid w:val="000B660E"/>
    <w:rsid w:val="000B6C7F"/>
    <w:rsid w:val="000B70AA"/>
    <w:rsid w:val="000B73C1"/>
    <w:rsid w:val="000B7D6A"/>
    <w:rsid w:val="000C0B0C"/>
    <w:rsid w:val="000C1550"/>
    <w:rsid w:val="000C2EF8"/>
    <w:rsid w:val="000C2F6A"/>
    <w:rsid w:val="000C37B8"/>
    <w:rsid w:val="000C4472"/>
    <w:rsid w:val="000C5501"/>
    <w:rsid w:val="000C703D"/>
    <w:rsid w:val="000C7197"/>
    <w:rsid w:val="000C731E"/>
    <w:rsid w:val="000C76F1"/>
    <w:rsid w:val="000C77DD"/>
    <w:rsid w:val="000D0179"/>
    <w:rsid w:val="000D116B"/>
    <w:rsid w:val="000D1E49"/>
    <w:rsid w:val="000D2B55"/>
    <w:rsid w:val="000D3022"/>
    <w:rsid w:val="000D33DD"/>
    <w:rsid w:val="000D3462"/>
    <w:rsid w:val="000D3B2F"/>
    <w:rsid w:val="000D4646"/>
    <w:rsid w:val="000D50A8"/>
    <w:rsid w:val="000D51B4"/>
    <w:rsid w:val="000D5894"/>
    <w:rsid w:val="000D58AB"/>
    <w:rsid w:val="000D5935"/>
    <w:rsid w:val="000D5D85"/>
    <w:rsid w:val="000D5EEF"/>
    <w:rsid w:val="000D61F2"/>
    <w:rsid w:val="000D6A24"/>
    <w:rsid w:val="000D7ECF"/>
    <w:rsid w:val="000E322F"/>
    <w:rsid w:val="000E32EE"/>
    <w:rsid w:val="000E41BC"/>
    <w:rsid w:val="000E47B0"/>
    <w:rsid w:val="000E4B9B"/>
    <w:rsid w:val="000E50E7"/>
    <w:rsid w:val="000E5444"/>
    <w:rsid w:val="000E586C"/>
    <w:rsid w:val="000E5BB5"/>
    <w:rsid w:val="000E61D6"/>
    <w:rsid w:val="000E73A5"/>
    <w:rsid w:val="000E74AE"/>
    <w:rsid w:val="000F0056"/>
    <w:rsid w:val="000F11E5"/>
    <w:rsid w:val="000F1313"/>
    <w:rsid w:val="000F143A"/>
    <w:rsid w:val="000F1D4E"/>
    <w:rsid w:val="000F208F"/>
    <w:rsid w:val="000F2B69"/>
    <w:rsid w:val="000F2FF8"/>
    <w:rsid w:val="000F34F8"/>
    <w:rsid w:val="000F3EE1"/>
    <w:rsid w:val="000F3F9A"/>
    <w:rsid w:val="000F45E3"/>
    <w:rsid w:val="000F4608"/>
    <w:rsid w:val="000F4721"/>
    <w:rsid w:val="000F4829"/>
    <w:rsid w:val="000F55EA"/>
    <w:rsid w:val="000F5637"/>
    <w:rsid w:val="000F5764"/>
    <w:rsid w:val="000F5D5F"/>
    <w:rsid w:val="000F5DB0"/>
    <w:rsid w:val="000F609D"/>
    <w:rsid w:val="000F686E"/>
    <w:rsid w:val="000F7136"/>
    <w:rsid w:val="000F73D4"/>
    <w:rsid w:val="000F7672"/>
    <w:rsid w:val="000F77C3"/>
    <w:rsid w:val="000F7DDA"/>
    <w:rsid w:val="0010030F"/>
    <w:rsid w:val="00100576"/>
    <w:rsid w:val="00100B51"/>
    <w:rsid w:val="00100ECC"/>
    <w:rsid w:val="00101C5C"/>
    <w:rsid w:val="00101E4C"/>
    <w:rsid w:val="00101F40"/>
    <w:rsid w:val="00102063"/>
    <w:rsid w:val="0010272D"/>
    <w:rsid w:val="001028DA"/>
    <w:rsid w:val="001029CA"/>
    <w:rsid w:val="00102BE6"/>
    <w:rsid w:val="00103221"/>
    <w:rsid w:val="001033E8"/>
    <w:rsid w:val="00103DC1"/>
    <w:rsid w:val="001042C4"/>
    <w:rsid w:val="00104786"/>
    <w:rsid w:val="0010548B"/>
    <w:rsid w:val="00105ACA"/>
    <w:rsid w:val="001061D2"/>
    <w:rsid w:val="001062BD"/>
    <w:rsid w:val="00106B37"/>
    <w:rsid w:val="00107DC8"/>
    <w:rsid w:val="00110527"/>
    <w:rsid w:val="00111330"/>
    <w:rsid w:val="0011188D"/>
    <w:rsid w:val="00111CE4"/>
    <w:rsid w:val="00112B5E"/>
    <w:rsid w:val="0011325D"/>
    <w:rsid w:val="00113C63"/>
    <w:rsid w:val="001150BC"/>
    <w:rsid w:val="001151B3"/>
    <w:rsid w:val="0011556D"/>
    <w:rsid w:val="00115895"/>
    <w:rsid w:val="00115F0F"/>
    <w:rsid w:val="00116835"/>
    <w:rsid w:val="00116F08"/>
    <w:rsid w:val="00117519"/>
    <w:rsid w:val="001178D1"/>
    <w:rsid w:val="00117AB0"/>
    <w:rsid w:val="0012025C"/>
    <w:rsid w:val="00120CD0"/>
    <w:rsid w:val="00121180"/>
    <w:rsid w:val="0012136E"/>
    <w:rsid w:val="00122023"/>
    <w:rsid w:val="001221FB"/>
    <w:rsid w:val="001235E2"/>
    <w:rsid w:val="00123D64"/>
    <w:rsid w:val="0012414D"/>
    <w:rsid w:val="00124FDB"/>
    <w:rsid w:val="0012580B"/>
    <w:rsid w:val="00125AB5"/>
    <w:rsid w:val="00125F11"/>
    <w:rsid w:val="001260E0"/>
    <w:rsid w:val="00127167"/>
    <w:rsid w:val="0012760C"/>
    <w:rsid w:val="001276D5"/>
    <w:rsid w:val="0012778A"/>
    <w:rsid w:val="00127B3D"/>
    <w:rsid w:val="00127EA5"/>
    <w:rsid w:val="00130E01"/>
    <w:rsid w:val="0013106C"/>
    <w:rsid w:val="00131175"/>
    <w:rsid w:val="001323F8"/>
    <w:rsid w:val="001329C9"/>
    <w:rsid w:val="00132B62"/>
    <w:rsid w:val="00132F80"/>
    <w:rsid w:val="001340AC"/>
    <w:rsid w:val="001349F0"/>
    <w:rsid w:val="001353FA"/>
    <w:rsid w:val="001356E3"/>
    <w:rsid w:val="00135A93"/>
    <w:rsid w:val="00136295"/>
    <w:rsid w:val="00136557"/>
    <w:rsid w:val="00137197"/>
    <w:rsid w:val="00140017"/>
    <w:rsid w:val="001402F9"/>
    <w:rsid w:val="00140D6E"/>
    <w:rsid w:val="00140F37"/>
    <w:rsid w:val="001413F8"/>
    <w:rsid w:val="00141B3A"/>
    <w:rsid w:val="00141F5C"/>
    <w:rsid w:val="00142157"/>
    <w:rsid w:val="001422CC"/>
    <w:rsid w:val="0014291C"/>
    <w:rsid w:val="00142D2D"/>
    <w:rsid w:val="001432B1"/>
    <w:rsid w:val="00143341"/>
    <w:rsid w:val="001434A7"/>
    <w:rsid w:val="00143D95"/>
    <w:rsid w:val="0014576B"/>
    <w:rsid w:val="00145954"/>
    <w:rsid w:val="00145BB5"/>
    <w:rsid w:val="00146477"/>
    <w:rsid w:val="00146703"/>
    <w:rsid w:val="00147266"/>
    <w:rsid w:val="001478AC"/>
    <w:rsid w:val="00147C54"/>
    <w:rsid w:val="0015042D"/>
    <w:rsid w:val="0015055C"/>
    <w:rsid w:val="0015099D"/>
    <w:rsid w:val="00153409"/>
    <w:rsid w:val="00155170"/>
    <w:rsid w:val="001553B8"/>
    <w:rsid w:val="00155640"/>
    <w:rsid w:val="00156B57"/>
    <w:rsid w:val="00156EFA"/>
    <w:rsid w:val="00157499"/>
    <w:rsid w:val="00157761"/>
    <w:rsid w:val="00157BD7"/>
    <w:rsid w:val="00160310"/>
    <w:rsid w:val="00160B79"/>
    <w:rsid w:val="00160D04"/>
    <w:rsid w:val="001610CA"/>
    <w:rsid w:val="00162654"/>
    <w:rsid w:val="00162A1C"/>
    <w:rsid w:val="00163B37"/>
    <w:rsid w:val="00164CA3"/>
    <w:rsid w:val="00166398"/>
    <w:rsid w:val="001663A3"/>
    <w:rsid w:val="00166F8C"/>
    <w:rsid w:val="00167109"/>
    <w:rsid w:val="00167430"/>
    <w:rsid w:val="00170A3F"/>
    <w:rsid w:val="00171141"/>
    <w:rsid w:val="0017134F"/>
    <w:rsid w:val="00171440"/>
    <w:rsid w:val="0017198B"/>
    <w:rsid w:val="00172568"/>
    <w:rsid w:val="00172B1C"/>
    <w:rsid w:val="0017399C"/>
    <w:rsid w:val="00173B3F"/>
    <w:rsid w:val="00174113"/>
    <w:rsid w:val="001741D7"/>
    <w:rsid w:val="0017420C"/>
    <w:rsid w:val="00174920"/>
    <w:rsid w:val="00174F9F"/>
    <w:rsid w:val="00175210"/>
    <w:rsid w:val="00175695"/>
    <w:rsid w:val="00175A1F"/>
    <w:rsid w:val="0017611D"/>
    <w:rsid w:val="0017638C"/>
    <w:rsid w:val="0017645D"/>
    <w:rsid w:val="00176535"/>
    <w:rsid w:val="001773D3"/>
    <w:rsid w:val="0017741C"/>
    <w:rsid w:val="0018012D"/>
    <w:rsid w:val="0018012F"/>
    <w:rsid w:val="001805EF"/>
    <w:rsid w:val="00181378"/>
    <w:rsid w:val="00181732"/>
    <w:rsid w:val="00183C79"/>
    <w:rsid w:val="00183E1B"/>
    <w:rsid w:val="00184830"/>
    <w:rsid w:val="00184847"/>
    <w:rsid w:val="00184ADB"/>
    <w:rsid w:val="00186C6D"/>
    <w:rsid w:val="00187A84"/>
    <w:rsid w:val="00187D1A"/>
    <w:rsid w:val="00187F41"/>
    <w:rsid w:val="00190339"/>
    <w:rsid w:val="001905B6"/>
    <w:rsid w:val="00190D57"/>
    <w:rsid w:val="00192BED"/>
    <w:rsid w:val="00192C4C"/>
    <w:rsid w:val="00193D3D"/>
    <w:rsid w:val="001940ED"/>
    <w:rsid w:val="00194359"/>
    <w:rsid w:val="00194A7F"/>
    <w:rsid w:val="00194A91"/>
    <w:rsid w:val="00194E2C"/>
    <w:rsid w:val="00195A5F"/>
    <w:rsid w:val="00195AA3"/>
    <w:rsid w:val="00195B6A"/>
    <w:rsid w:val="001960BB"/>
    <w:rsid w:val="001962CB"/>
    <w:rsid w:val="0019642B"/>
    <w:rsid w:val="001967E5"/>
    <w:rsid w:val="00196913"/>
    <w:rsid w:val="001A00D1"/>
    <w:rsid w:val="001A0179"/>
    <w:rsid w:val="001A05FD"/>
    <w:rsid w:val="001A093D"/>
    <w:rsid w:val="001A17D5"/>
    <w:rsid w:val="001A185F"/>
    <w:rsid w:val="001A1AC5"/>
    <w:rsid w:val="001A1AEC"/>
    <w:rsid w:val="001A1F76"/>
    <w:rsid w:val="001A21B1"/>
    <w:rsid w:val="001A3063"/>
    <w:rsid w:val="001A3C0B"/>
    <w:rsid w:val="001A3DE2"/>
    <w:rsid w:val="001A5097"/>
    <w:rsid w:val="001A5C50"/>
    <w:rsid w:val="001A5EBF"/>
    <w:rsid w:val="001A62BC"/>
    <w:rsid w:val="001A65CF"/>
    <w:rsid w:val="001A68D7"/>
    <w:rsid w:val="001A75A3"/>
    <w:rsid w:val="001A7A8E"/>
    <w:rsid w:val="001A7D5C"/>
    <w:rsid w:val="001B02D3"/>
    <w:rsid w:val="001B0FDA"/>
    <w:rsid w:val="001B1083"/>
    <w:rsid w:val="001B13DE"/>
    <w:rsid w:val="001B1410"/>
    <w:rsid w:val="001B1721"/>
    <w:rsid w:val="001B1789"/>
    <w:rsid w:val="001B2087"/>
    <w:rsid w:val="001B2196"/>
    <w:rsid w:val="001B24AB"/>
    <w:rsid w:val="001B29CB"/>
    <w:rsid w:val="001B2FDD"/>
    <w:rsid w:val="001B3074"/>
    <w:rsid w:val="001B50F0"/>
    <w:rsid w:val="001B68A7"/>
    <w:rsid w:val="001B6C80"/>
    <w:rsid w:val="001B6EE5"/>
    <w:rsid w:val="001B7238"/>
    <w:rsid w:val="001B774C"/>
    <w:rsid w:val="001B7B65"/>
    <w:rsid w:val="001C040B"/>
    <w:rsid w:val="001C12D2"/>
    <w:rsid w:val="001C1C21"/>
    <w:rsid w:val="001C2EA0"/>
    <w:rsid w:val="001C3259"/>
    <w:rsid w:val="001C335C"/>
    <w:rsid w:val="001C3DE5"/>
    <w:rsid w:val="001C4338"/>
    <w:rsid w:val="001C443C"/>
    <w:rsid w:val="001C4683"/>
    <w:rsid w:val="001C51C9"/>
    <w:rsid w:val="001C5443"/>
    <w:rsid w:val="001C575D"/>
    <w:rsid w:val="001C6214"/>
    <w:rsid w:val="001C63F4"/>
    <w:rsid w:val="001C64F7"/>
    <w:rsid w:val="001C667E"/>
    <w:rsid w:val="001C76B7"/>
    <w:rsid w:val="001C7C49"/>
    <w:rsid w:val="001C7D71"/>
    <w:rsid w:val="001D024F"/>
    <w:rsid w:val="001D02C2"/>
    <w:rsid w:val="001D15E6"/>
    <w:rsid w:val="001D2C2D"/>
    <w:rsid w:val="001D3BF6"/>
    <w:rsid w:val="001D3C32"/>
    <w:rsid w:val="001D4B3A"/>
    <w:rsid w:val="001D4E0B"/>
    <w:rsid w:val="001D4E56"/>
    <w:rsid w:val="001D4E88"/>
    <w:rsid w:val="001D550E"/>
    <w:rsid w:val="001D5DD8"/>
    <w:rsid w:val="001D6331"/>
    <w:rsid w:val="001D6EAA"/>
    <w:rsid w:val="001D71AB"/>
    <w:rsid w:val="001D7791"/>
    <w:rsid w:val="001E04D8"/>
    <w:rsid w:val="001E087A"/>
    <w:rsid w:val="001E1993"/>
    <w:rsid w:val="001E24DA"/>
    <w:rsid w:val="001E25F5"/>
    <w:rsid w:val="001E323B"/>
    <w:rsid w:val="001E36E8"/>
    <w:rsid w:val="001E4905"/>
    <w:rsid w:val="001E501E"/>
    <w:rsid w:val="001E5203"/>
    <w:rsid w:val="001E5AC7"/>
    <w:rsid w:val="001E5E3D"/>
    <w:rsid w:val="001E62DF"/>
    <w:rsid w:val="001E6AB9"/>
    <w:rsid w:val="001E7112"/>
    <w:rsid w:val="001E74EB"/>
    <w:rsid w:val="001F0749"/>
    <w:rsid w:val="001F0FA8"/>
    <w:rsid w:val="001F168B"/>
    <w:rsid w:val="001F21E0"/>
    <w:rsid w:val="001F3AF2"/>
    <w:rsid w:val="001F4A55"/>
    <w:rsid w:val="001F514E"/>
    <w:rsid w:val="001F52A2"/>
    <w:rsid w:val="001F5A79"/>
    <w:rsid w:val="001F6D25"/>
    <w:rsid w:val="001F7915"/>
    <w:rsid w:val="001F7CC1"/>
    <w:rsid w:val="00200B28"/>
    <w:rsid w:val="00200CBE"/>
    <w:rsid w:val="00201222"/>
    <w:rsid w:val="00203A38"/>
    <w:rsid w:val="00203D61"/>
    <w:rsid w:val="0020479F"/>
    <w:rsid w:val="00205002"/>
    <w:rsid w:val="002058D0"/>
    <w:rsid w:val="002060F0"/>
    <w:rsid w:val="00210226"/>
    <w:rsid w:val="00210D1F"/>
    <w:rsid w:val="002117CC"/>
    <w:rsid w:val="00211DB0"/>
    <w:rsid w:val="00211DCD"/>
    <w:rsid w:val="00212E19"/>
    <w:rsid w:val="002131B3"/>
    <w:rsid w:val="002132B8"/>
    <w:rsid w:val="00213C33"/>
    <w:rsid w:val="002145AC"/>
    <w:rsid w:val="00214731"/>
    <w:rsid w:val="0021489D"/>
    <w:rsid w:val="00215C58"/>
    <w:rsid w:val="00216375"/>
    <w:rsid w:val="00217082"/>
    <w:rsid w:val="0021789E"/>
    <w:rsid w:val="0022128C"/>
    <w:rsid w:val="00221C8F"/>
    <w:rsid w:val="00221F0C"/>
    <w:rsid w:val="002220D7"/>
    <w:rsid w:val="00222870"/>
    <w:rsid w:val="00223463"/>
    <w:rsid w:val="00223A75"/>
    <w:rsid w:val="00225153"/>
    <w:rsid w:val="00225602"/>
    <w:rsid w:val="00225AA6"/>
    <w:rsid w:val="002264FA"/>
    <w:rsid w:val="00226BBA"/>
    <w:rsid w:val="00226EB3"/>
    <w:rsid w:val="0022726A"/>
    <w:rsid w:val="0022739F"/>
    <w:rsid w:val="00227EDF"/>
    <w:rsid w:val="0023008C"/>
    <w:rsid w:val="00230E58"/>
    <w:rsid w:val="00231167"/>
    <w:rsid w:val="00231798"/>
    <w:rsid w:val="00231BA1"/>
    <w:rsid w:val="00231DF1"/>
    <w:rsid w:val="00231E94"/>
    <w:rsid w:val="00231FAB"/>
    <w:rsid w:val="00232D1D"/>
    <w:rsid w:val="00233327"/>
    <w:rsid w:val="00233AE2"/>
    <w:rsid w:val="00234608"/>
    <w:rsid w:val="002347A2"/>
    <w:rsid w:val="00234814"/>
    <w:rsid w:val="00234923"/>
    <w:rsid w:val="0023559E"/>
    <w:rsid w:val="00235617"/>
    <w:rsid w:val="002367B2"/>
    <w:rsid w:val="00236C5A"/>
    <w:rsid w:val="00236F2B"/>
    <w:rsid w:val="00237613"/>
    <w:rsid w:val="00237AEB"/>
    <w:rsid w:val="00240207"/>
    <w:rsid w:val="002414D1"/>
    <w:rsid w:val="00241B7A"/>
    <w:rsid w:val="002427AE"/>
    <w:rsid w:val="00242B32"/>
    <w:rsid w:val="00242F41"/>
    <w:rsid w:val="00243734"/>
    <w:rsid w:val="002440D0"/>
    <w:rsid w:val="002441F5"/>
    <w:rsid w:val="00244B88"/>
    <w:rsid w:val="00245297"/>
    <w:rsid w:val="002459B4"/>
    <w:rsid w:val="00246499"/>
    <w:rsid w:val="00247CB1"/>
    <w:rsid w:val="002517D0"/>
    <w:rsid w:val="0025203F"/>
    <w:rsid w:val="00252069"/>
    <w:rsid w:val="00252A22"/>
    <w:rsid w:val="00253D0B"/>
    <w:rsid w:val="00254477"/>
    <w:rsid w:val="00254572"/>
    <w:rsid w:val="002549EB"/>
    <w:rsid w:val="002551FD"/>
    <w:rsid w:val="002552E7"/>
    <w:rsid w:val="00255BAF"/>
    <w:rsid w:val="00256993"/>
    <w:rsid w:val="00256C53"/>
    <w:rsid w:val="00256D6F"/>
    <w:rsid w:val="00257412"/>
    <w:rsid w:val="00257B60"/>
    <w:rsid w:val="00257E2A"/>
    <w:rsid w:val="002608F0"/>
    <w:rsid w:val="00260BF4"/>
    <w:rsid w:val="002610B1"/>
    <w:rsid w:val="00261410"/>
    <w:rsid w:val="002626B4"/>
    <w:rsid w:val="00262AF7"/>
    <w:rsid w:val="00263157"/>
    <w:rsid w:val="002631BD"/>
    <w:rsid w:val="00264165"/>
    <w:rsid w:val="002641CE"/>
    <w:rsid w:val="0026497D"/>
    <w:rsid w:val="00264D91"/>
    <w:rsid w:val="00266057"/>
    <w:rsid w:val="00266154"/>
    <w:rsid w:val="00266E7C"/>
    <w:rsid w:val="002672E3"/>
    <w:rsid w:val="002678B4"/>
    <w:rsid w:val="00267AC9"/>
    <w:rsid w:val="00267E04"/>
    <w:rsid w:val="002704E0"/>
    <w:rsid w:val="00270DD3"/>
    <w:rsid w:val="0027104F"/>
    <w:rsid w:val="00271680"/>
    <w:rsid w:val="00271C8C"/>
    <w:rsid w:val="002727E6"/>
    <w:rsid w:val="00272ECC"/>
    <w:rsid w:val="002738BE"/>
    <w:rsid w:val="00274988"/>
    <w:rsid w:val="00274F28"/>
    <w:rsid w:val="0027553A"/>
    <w:rsid w:val="00275A40"/>
    <w:rsid w:val="00276A1C"/>
    <w:rsid w:val="00276B60"/>
    <w:rsid w:val="00276DA5"/>
    <w:rsid w:val="002771D6"/>
    <w:rsid w:val="0027780E"/>
    <w:rsid w:val="00277A53"/>
    <w:rsid w:val="00277B3D"/>
    <w:rsid w:val="0028078A"/>
    <w:rsid w:val="002809C7"/>
    <w:rsid w:val="00280D7D"/>
    <w:rsid w:val="00281397"/>
    <w:rsid w:val="00281723"/>
    <w:rsid w:val="00281AB2"/>
    <w:rsid w:val="00281B1F"/>
    <w:rsid w:val="00281C05"/>
    <w:rsid w:val="002827A2"/>
    <w:rsid w:val="00282B94"/>
    <w:rsid w:val="00282C8C"/>
    <w:rsid w:val="00282C93"/>
    <w:rsid w:val="00283190"/>
    <w:rsid w:val="00283207"/>
    <w:rsid w:val="002832FC"/>
    <w:rsid w:val="002836E2"/>
    <w:rsid w:val="002841BA"/>
    <w:rsid w:val="0028424B"/>
    <w:rsid w:val="0028430F"/>
    <w:rsid w:val="002844BE"/>
    <w:rsid w:val="002845C6"/>
    <w:rsid w:val="002845EE"/>
    <w:rsid w:val="00284963"/>
    <w:rsid w:val="00284C2B"/>
    <w:rsid w:val="00284E0A"/>
    <w:rsid w:val="00286203"/>
    <w:rsid w:val="00286CF4"/>
    <w:rsid w:val="002874FE"/>
    <w:rsid w:val="00287C25"/>
    <w:rsid w:val="002903A0"/>
    <w:rsid w:val="00290843"/>
    <w:rsid w:val="002911B5"/>
    <w:rsid w:val="002917F8"/>
    <w:rsid w:val="00291E94"/>
    <w:rsid w:val="0029231B"/>
    <w:rsid w:val="00292C5B"/>
    <w:rsid w:val="00292C77"/>
    <w:rsid w:val="0029346F"/>
    <w:rsid w:val="00293E8D"/>
    <w:rsid w:val="00294698"/>
    <w:rsid w:val="00294744"/>
    <w:rsid w:val="00294D3E"/>
    <w:rsid w:val="00294D50"/>
    <w:rsid w:val="00294D99"/>
    <w:rsid w:val="00295057"/>
    <w:rsid w:val="00296E6E"/>
    <w:rsid w:val="00296F05"/>
    <w:rsid w:val="0029787E"/>
    <w:rsid w:val="002979AC"/>
    <w:rsid w:val="00297BA2"/>
    <w:rsid w:val="002A0032"/>
    <w:rsid w:val="002A0185"/>
    <w:rsid w:val="002A01B8"/>
    <w:rsid w:val="002A14DA"/>
    <w:rsid w:val="002A1D49"/>
    <w:rsid w:val="002A1EF3"/>
    <w:rsid w:val="002A1FED"/>
    <w:rsid w:val="002A2067"/>
    <w:rsid w:val="002A20BE"/>
    <w:rsid w:val="002A230A"/>
    <w:rsid w:val="002A25EE"/>
    <w:rsid w:val="002A38F4"/>
    <w:rsid w:val="002A4741"/>
    <w:rsid w:val="002A4AD9"/>
    <w:rsid w:val="002A5AB8"/>
    <w:rsid w:val="002A6073"/>
    <w:rsid w:val="002A661C"/>
    <w:rsid w:val="002A6BA4"/>
    <w:rsid w:val="002A714D"/>
    <w:rsid w:val="002A798B"/>
    <w:rsid w:val="002B0296"/>
    <w:rsid w:val="002B0937"/>
    <w:rsid w:val="002B1005"/>
    <w:rsid w:val="002B161E"/>
    <w:rsid w:val="002B1936"/>
    <w:rsid w:val="002B26D6"/>
    <w:rsid w:val="002B2B13"/>
    <w:rsid w:val="002B2B78"/>
    <w:rsid w:val="002B34B4"/>
    <w:rsid w:val="002B3D79"/>
    <w:rsid w:val="002B4458"/>
    <w:rsid w:val="002B46D6"/>
    <w:rsid w:val="002B4FB9"/>
    <w:rsid w:val="002B507C"/>
    <w:rsid w:val="002B51F4"/>
    <w:rsid w:val="002B545F"/>
    <w:rsid w:val="002B5C10"/>
    <w:rsid w:val="002B6201"/>
    <w:rsid w:val="002B642C"/>
    <w:rsid w:val="002B6535"/>
    <w:rsid w:val="002B69A5"/>
    <w:rsid w:val="002B716D"/>
    <w:rsid w:val="002B750A"/>
    <w:rsid w:val="002C03A7"/>
    <w:rsid w:val="002C1449"/>
    <w:rsid w:val="002C276F"/>
    <w:rsid w:val="002C2D83"/>
    <w:rsid w:val="002C373B"/>
    <w:rsid w:val="002C380D"/>
    <w:rsid w:val="002C3C17"/>
    <w:rsid w:val="002C4C58"/>
    <w:rsid w:val="002C4E5B"/>
    <w:rsid w:val="002C4FB7"/>
    <w:rsid w:val="002C62A7"/>
    <w:rsid w:val="002C7225"/>
    <w:rsid w:val="002C7752"/>
    <w:rsid w:val="002C7C3F"/>
    <w:rsid w:val="002D0D64"/>
    <w:rsid w:val="002D1174"/>
    <w:rsid w:val="002D1D5E"/>
    <w:rsid w:val="002D1E2B"/>
    <w:rsid w:val="002D211A"/>
    <w:rsid w:val="002D2629"/>
    <w:rsid w:val="002D4861"/>
    <w:rsid w:val="002D6E43"/>
    <w:rsid w:val="002D6E95"/>
    <w:rsid w:val="002D7411"/>
    <w:rsid w:val="002D7537"/>
    <w:rsid w:val="002E0315"/>
    <w:rsid w:val="002E055D"/>
    <w:rsid w:val="002E09AD"/>
    <w:rsid w:val="002E0A96"/>
    <w:rsid w:val="002E0CFF"/>
    <w:rsid w:val="002E0D67"/>
    <w:rsid w:val="002E1871"/>
    <w:rsid w:val="002E1F71"/>
    <w:rsid w:val="002E22CF"/>
    <w:rsid w:val="002E294B"/>
    <w:rsid w:val="002E296B"/>
    <w:rsid w:val="002E3506"/>
    <w:rsid w:val="002E4D01"/>
    <w:rsid w:val="002E54F0"/>
    <w:rsid w:val="002E5611"/>
    <w:rsid w:val="002E65B9"/>
    <w:rsid w:val="002E6EE8"/>
    <w:rsid w:val="002E7461"/>
    <w:rsid w:val="002E7E54"/>
    <w:rsid w:val="002F04AE"/>
    <w:rsid w:val="002F0BD6"/>
    <w:rsid w:val="002F10EE"/>
    <w:rsid w:val="002F1748"/>
    <w:rsid w:val="002F1C24"/>
    <w:rsid w:val="002F20F0"/>
    <w:rsid w:val="002F27CB"/>
    <w:rsid w:val="002F2D16"/>
    <w:rsid w:val="002F3B74"/>
    <w:rsid w:val="002F484F"/>
    <w:rsid w:val="002F4E94"/>
    <w:rsid w:val="002F5188"/>
    <w:rsid w:val="002F5786"/>
    <w:rsid w:val="002F6106"/>
    <w:rsid w:val="002F61FE"/>
    <w:rsid w:val="002F7B16"/>
    <w:rsid w:val="002F7B7F"/>
    <w:rsid w:val="00300E72"/>
    <w:rsid w:val="00301612"/>
    <w:rsid w:val="003017C0"/>
    <w:rsid w:val="00301B28"/>
    <w:rsid w:val="00301B77"/>
    <w:rsid w:val="00301C9F"/>
    <w:rsid w:val="00302C3C"/>
    <w:rsid w:val="00302DA0"/>
    <w:rsid w:val="00302E8F"/>
    <w:rsid w:val="003030C5"/>
    <w:rsid w:val="00303117"/>
    <w:rsid w:val="003034EC"/>
    <w:rsid w:val="00304F73"/>
    <w:rsid w:val="0030528F"/>
    <w:rsid w:val="00305B73"/>
    <w:rsid w:val="00305E28"/>
    <w:rsid w:val="0030624B"/>
    <w:rsid w:val="003065BE"/>
    <w:rsid w:val="00306870"/>
    <w:rsid w:val="00306CBF"/>
    <w:rsid w:val="003070C6"/>
    <w:rsid w:val="00310138"/>
    <w:rsid w:val="00310192"/>
    <w:rsid w:val="0031119F"/>
    <w:rsid w:val="00311576"/>
    <w:rsid w:val="003118AE"/>
    <w:rsid w:val="0031261A"/>
    <w:rsid w:val="00312BF6"/>
    <w:rsid w:val="0031307E"/>
    <w:rsid w:val="0031329A"/>
    <w:rsid w:val="00313659"/>
    <w:rsid w:val="00313674"/>
    <w:rsid w:val="00313A48"/>
    <w:rsid w:val="003140C8"/>
    <w:rsid w:val="00315C68"/>
    <w:rsid w:val="00315CFD"/>
    <w:rsid w:val="00315F0C"/>
    <w:rsid w:val="00315F22"/>
    <w:rsid w:val="003169D4"/>
    <w:rsid w:val="00316CBB"/>
    <w:rsid w:val="0031702A"/>
    <w:rsid w:val="00317204"/>
    <w:rsid w:val="00317214"/>
    <w:rsid w:val="00317280"/>
    <w:rsid w:val="003172DC"/>
    <w:rsid w:val="00317398"/>
    <w:rsid w:val="0031739B"/>
    <w:rsid w:val="00317BC3"/>
    <w:rsid w:val="00320004"/>
    <w:rsid w:val="003205D5"/>
    <w:rsid w:val="003227B7"/>
    <w:rsid w:val="00322A6B"/>
    <w:rsid w:val="00322ED9"/>
    <w:rsid w:val="003239E4"/>
    <w:rsid w:val="00324FCE"/>
    <w:rsid w:val="003250ED"/>
    <w:rsid w:val="00325A33"/>
    <w:rsid w:val="003260E3"/>
    <w:rsid w:val="00326769"/>
    <w:rsid w:val="00326C04"/>
    <w:rsid w:val="00326CC8"/>
    <w:rsid w:val="003276E6"/>
    <w:rsid w:val="003278A4"/>
    <w:rsid w:val="00327F33"/>
    <w:rsid w:val="0033093E"/>
    <w:rsid w:val="00330D9C"/>
    <w:rsid w:val="003312C6"/>
    <w:rsid w:val="003314D6"/>
    <w:rsid w:val="00331821"/>
    <w:rsid w:val="00331D64"/>
    <w:rsid w:val="00331DE5"/>
    <w:rsid w:val="00332768"/>
    <w:rsid w:val="00332CCA"/>
    <w:rsid w:val="00333108"/>
    <w:rsid w:val="00334B4E"/>
    <w:rsid w:val="003357B2"/>
    <w:rsid w:val="00336256"/>
    <w:rsid w:val="0033637B"/>
    <w:rsid w:val="003367AA"/>
    <w:rsid w:val="0033681F"/>
    <w:rsid w:val="00336AB9"/>
    <w:rsid w:val="00336F33"/>
    <w:rsid w:val="003371EE"/>
    <w:rsid w:val="0033768D"/>
    <w:rsid w:val="00337945"/>
    <w:rsid w:val="003379E9"/>
    <w:rsid w:val="00340098"/>
    <w:rsid w:val="0034070F"/>
    <w:rsid w:val="00340A97"/>
    <w:rsid w:val="00340CB7"/>
    <w:rsid w:val="00340EC7"/>
    <w:rsid w:val="0034124B"/>
    <w:rsid w:val="00341285"/>
    <w:rsid w:val="00341DD9"/>
    <w:rsid w:val="00342777"/>
    <w:rsid w:val="00342C32"/>
    <w:rsid w:val="00343169"/>
    <w:rsid w:val="003431BA"/>
    <w:rsid w:val="00343434"/>
    <w:rsid w:val="00343C68"/>
    <w:rsid w:val="003445FB"/>
    <w:rsid w:val="00344BFF"/>
    <w:rsid w:val="00345E02"/>
    <w:rsid w:val="0034610F"/>
    <w:rsid w:val="003462D3"/>
    <w:rsid w:val="00346376"/>
    <w:rsid w:val="00346A9F"/>
    <w:rsid w:val="00347572"/>
    <w:rsid w:val="0035020D"/>
    <w:rsid w:val="00350507"/>
    <w:rsid w:val="0035077F"/>
    <w:rsid w:val="00350FE0"/>
    <w:rsid w:val="00351085"/>
    <w:rsid w:val="003510DA"/>
    <w:rsid w:val="0035173A"/>
    <w:rsid w:val="00352573"/>
    <w:rsid w:val="003526CC"/>
    <w:rsid w:val="003527C6"/>
    <w:rsid w:val="00352A03"/>
    <w:rsid w:val="0035311C"/>
    <w:rsid w:val="00353674"/>
    <w:rsid w:val="00353986"/>
    <w:rsid w:val="0035462D"/>
    <w:rsid w:val="00354746"/>
    <w:rsid w:val="00354BB8"/>
    <w:rsid w:val="00354C0E"/>
    <w:rsid w:val="00355329"/>
    <w:rsid w:val="0035622D"/>
    <w:rsid w:val="0035705D"/>
    <w:rsid w:val="003571AF"/>
    <w:rsid w:val="00357256"/>
    <w:rsid w:val="003574AB"/>
    <w:rsid w:val="00357693"/>
    <w:rsid w:val="00361221"/>
    <w:rsid w:val="0036122B"/>
    <w:rsid w:val="00361B46"/>
    <w:rsid w:val="00362254"/>
    <w:rsid w:val="003637C3"/>
    <w:rsid w:val="00364326"/>
    <w:rsid w:val="003646D8"/>
    <w:rsid w:val="003653EA"/>
    <w:rsid w:val="0036645E"/>
    <w:rsid w:val="00367263"/>
    <w:rsid w:val="00367559"/>
    <w:rsid w:val="00367AA4"/>
    <w:rsid w:val="00367C4A"/>
    <w:rsid w:val="00367E6A"/>
    <w:rsid w:val="00370325"/>
    <w:rsid w:val="00370441"/>
    <w:rsid w:val="00371627"/>
    <w:rsid w:val="003717DB"/>
    <w:rsid w:val="003718C4"/>
    <w:rsid w:val="00372C7F"/>
    <w:rsid w:val="00373537"/>
    <w:rsid w:val="00374754"/>
    <w:rsid w:val="00374D13"/>
    <w:rsid w:val="003751C0"/>
    <w:rsid w:val="003754A3"/>
    <w:rsid w:val="00375A56"/>
    <w:rsid w:val="00376263"/>
    <w:rsid w:val="00376707"/>
    <w:rsid w:val="003767EB"/>
    <w:rsid w:val="0037681A"/>
    <w:rsid w:val="00376A83"/>
    <w:rsid w:val="003777C9"/>
    <w:rsid w:val="00377EDC"/>
    <w:rsid w:val="00380899"/>
    <w:rsid w:val="003808CB"/>
    <w:rsid w:val="00380C2E"/>
    <w:rsid w:val="003813E8"/>
    <w:rsid w:val="00381894"/>
    <w:rsid w:val="00382600"/>
    <w:rsid w:val="00382781"/>
    <w:rsid w:val="00382AB2"/>
    <w:rsid w:val="00383F67"/>
    <w:rsid w:val="003840B4"/>
    <w:rsid w:val="003852A9"/>
    <w:rsid w:val="00385D39"/>
    <w:rsid w:val="0038627A"/>
    <w:rsid w:val="003863D6"/>
    <w:rsid w:val="00387B27"/>
    <w:rsid w:val="00387DCB"/>
    <w:rsid w:val="00390048"/>
    <w:rsid w:val="00390A0B"/>
    <w:rsid w:val="00390E5E"/>
    <w:rsid w:val="0039227E"/>
    <w:rsid w:val="003922D6"/>
    <w:rsid w:val="0039306F"/>
    <w:rsid w:val="003933BE"/>
    <w:rsid w:val="003939F6"/>
    <w:rsid w:val="00393DF4"/>
    <w:rsid w:val="00394691"/>
    <w:rsid w:val="00395648"/>
    <w:rsid w:val="003957F6"/>
    <w:rsid w:val="00395888"/>
    <w:rsid w:val="00397BC4"/>
    <w:rsid w:val="003A005A"/>
    <w:rsid w:val="003A0543"/>
    <w:rsid w:val="003A0D3E"/>
    <w:rsid w:val="003A0FF8"/>
    <w:rsid w:val="003A12BF"/>
    <w:rsid w:val="003A1E0C"/>
    <w:rsid w:val="003A24E1"/>
    <w:rsid w:val="003A33E3"/>
    <w:rsid w:val="003A3840"/>
    <w:rsid w:val="003A3C88"/>
    <w:rsid w:val="003A3CED"/>
    <w:rsid w:val="003A42E4"/>
    <w:rsid w:val="003A4444"/>
    <w:rsid w:val="003A45F0"/>
    <w:rsid w:val="003A4D0F"/>
    <w:rsid w:val="003A4F63"/>
    <w:rsid w:val="003A59FC"/>
    <w:rsid w:val="003B0552"/>
    <w:rsid w:val="003B0AF7"/>
    <w:rsid w:val="003B11D4"/>
    <w:rsid w:val="003B1498"/>
    <w:rsid w:val="003B17B3"/>
    <w:rsid w:val="003B2ECF"/>
    <w:rsid w:val="003B346B"/>
    <w:rsid w:val="003B3CF2"/>
    <w:rsid w:val="003B418B"/>
    <w:rsid w:val="003B479D"/>
    <w:rsid w:val="003B5025"/>
    <w:rsid w:val="003B5728"/>
    <w:rsid w:val="003B5FF7"/>
    <w:rsid w:val="003B626A"/>
    <w:rsid w:val="003B67AF"/>
    <w:rsid w:val="003B6940"/>
    <w:rsid w:val="003C004B"/>
    <w:rsid w:val="003C0EA8"/>
    <w:rsid w:val="003C15D8"/>
    <w:rsid w:val="003C1609"/>
    <w:rsid w:val="003C1F7A"/>
    <w:rsid w:val="003C2CEF"/>
    <w:rsid w:val="003C3314"/>
    <w:rsid w:val="003C3666"/>
    <w:rsid w:val="003C3971"/>
    <w:rsid w:val="003C4C63"/>
    <w:rsid w:val="003C5372"/>
    <w:rsid w:val="003C6D6F"/>
    <w:rsid w:val="003C6F3C"/>
    <w:rsid w:val="003C7B14"/>
    <w:rsid w:val="003C7B7C"/>
    <w:rsid w:val="003D00D9"/>
    <w:rsid w:val="003D025B"/>
    <w:rsid w:val="003D0AFC"/>
    <w:rsid w:val="003D1455"/>
    <w:rsid w:val="003D151D"/>
    <w:rsid w:val="003D2770"/>
    <w:rsid w:val="003D286A"/>
    <w:rsid w:val="003D2AC7"/>
    <w:rsid w:val="003D38C6"/>
    <w:rsid w:val="003D39C9"/>
    <w:rsid w:val="003D487A"/>
    <w:rsid w:val="003D4D31"/>
    <w:rsid w:val="003D4FA6"/>
    <w:rsid w:val="003D5058"/>
    <w:rsid w:val="003D548E"/>
    <w:rsid w:val="003D5855"/>
    <w:rsid w:val="003D6474"/>
    <w:rsid w:val="003D673B"/>
    <w:rsid w:val="003D6F6F"/>
    <w:rsid w:val="003E0D5F"/>
    <w:rsid w:val="003E1474"/>
    <w:rsid w:val="003E2106"/>
    <w:rsid w:val="003E25AD"/>
    <w:rsid w:val="003E29E4"/>
    <w:rsid w:val="003E2EEF"/>
    <w:rsid w:val="003E3849"/>
    <w:rsid w:val="003E40E1"/>
    <w:rsid w:val="003E418E"/>
    <w:rsid w:val="003E41ED"/>
    <w:rsid w:val="003E42E6"/>
    <w:rsid w:val="003E470F"/>
    <w:rsid w:val="003E6374"/>
    <w:rsid w:val="003E6B60"/>
    <w:rsid w:val="003E6C21"/>
    <w:rsid w:val="003E7298"/>
    <w:rsid w:val="003E7DB5"/>
    <w:rsid w:val="003F1AFB"/>
    <w:rsid w:val="003F2796"/>
    <w:rsid w:val="003F2BE8"/>
    <w:rsid w:val="003F336F"/>
    <w:rsid w:val="003F3528"/>
    <w:rsid w:val="003F447D"/>
    <w:rsid w:val="003F4DC8"/>
    <w:rsid w:val="003F4FE1"/>
    <w:rsid w:val="003F6005"/>
    <w:rsid w:val="003F69E7"/>
    <w:rsid w:val="003F6CBF"/>
    <w:rsid w:val="003F7998"/>
    <w:rsid w:val="003F7DF0"/>
    <w:rsid w:val="003F7F57"/>
    <w:rsid w:val="004000F0"/>
    <w:rsid w:val="00400F0E"/>
    <w:rsid w:val="00401468"/>
    <w:rsid w:val="00401DA4"/>
    <w:rsid w:val="00401FCE"/>
    <w:rsid w:val="00402693"/>
    <w:rsid w:val="0040325A"/>
    <w:rsid w:val="004035AF"/>
    <w:rsid w:val="00403DB9"/>
    <w:rsid w:val="00404586"/>
    <w:rsid w:val="004046FD"/>
    <w:rsid w:val="00404930"/>
    <w:rsid w:val="00404EF1"/>
    <w:rsid w:val="00405798"/>
    <w:rsid w:val="00406207"/>
    <w:rsid w:val="004063B2"/>
    <w:rsid w:val="00407093"/>
    <w:rsid w:val="004079E0"/>
    <w:rsid w:val="00407C2D"/>
    <w:rsid w:val="00407FA5"/>
    <w:rsid w:val="0041001E"/>
    <w:rsid w:val="004102A8"/>
    <w:rsid w:val="0041081A"/>
    <w:rsid w:val="00411AD6"/>
    <w:rsid w:val="00412C12"/>
    <w:rsid w:val="00412C48"/>
    <w:rsid w:val="00412E5C"/>
    <w:rsid w:val="0041322A"/>
    <w:rsid w:val="00413328"/>
    <w:rsid w:val="004141D8"/>
    <w:rsid w:val="00415440"/>
    <w:rsid w:val="00415956"/>
    <w:rsid w:val="00415D12"/>
    <w:rsid w:val="004169B3"/>
    <w:rsid w:val="00417479"/>
    <w:rsid w:val="0041786B"/>
    <w:rsid w:val="0042042B"/>
    <w:rsid w:val="00421157"/>
    <w:rsid w:val="00421D95"/>
    <w:rsid w:val="00421E89"/>
    <w:rsid w:val="0042282A"/>
    <w:rsid w:val="00422E54"/>
    <w:rsid w:val="00422FD2"/>
    <w:rsid w:val="00423640"/>
    <w:rsid w:val="004236B9"/>
    <w:rsid w:val="00423B5C"/>
    <w:rsid w:val="00423CFB"/>
    <w:rsid w:val="00424443"/>
    <w:rsid w:val="0042504D"/>
    <w:rsid w:val="004257DC"/>
    <w:rsid w:val="0042591D"/>
    <w:rsid w:val="00425B8B"/>
    <w:rsid w:val="004260FA"/>
    <w:rsid w:val="0042678F"/>
    <w:rsid w:val="00426BA6"/>
    <w:rsid w:val="004273A7"/>
    <w:rsid w:val="00427439"/>
    <w:rsid w:val="00427541"/>
    <w:rsid w:val="00427574"/>
    <w:rsid w:val="004276DF"/>
    <w:rsid w:val="00427BC6"/>
    <w:rsid w:val="00427D43"/>
    <w:rsid w:val="00427D5A"/>
    <w:rsid w:val="00430BAD"/>
    <w:rsid w:val="004310B9"/>
    <w:rsid w:val="00431373"/>
    <w:rsid w:val="0043180E"/>
    <w:rsid w:val="00431FB5"/>
    <w:rsid w:val="0043249C"/>
    <w:rsid w:val="00432545"/>
    <w:rsid w:val="00432E18"/>
    <w:rsid w:val="004339B6"/>
    <w:rsid w:val="00433D33"/>
    <w:rsid w:val="00433DE5"/>
    <w:rsid w:val="004347A4"/>
    <w:rsid w:val="00434850"/>
    <w:rsid w:val="00434F6F"/>
    <w:rsid w:val="00435685"/>
    <w:rsid w:val="00435D2E"/>
    <w:rsid w:val="004361B9"/>
    <w:rsid w:val="00436320"/>
    <w:rsid w:val="004368A9"/>
    <w:rsid w:val="00436B51"/>
    <w:rsid w:val="00437AFB"/>
    <w:rsid w:val="00441D94"/>
    <w:rsid w:val="00441E1E"/>
    <w:rsid w:val="00443030"/>
    <w:rsid w:val="004437B3"/>
    <w:rsid w:val="00444112"/>
    <w:rsid w:val="00444127"/>
    <w:rsid w:val="00444361"/>
    <w:rsid w:val="00444ED7"/>
    <w:rsid w:val="00445759"/>
    <w:rsid w:val="00446B8F"/>
    <w:rsid w:val="00446C08"/>
    <w:rsid w:val="00446C13"/>
    <w:rsid w:val="00447494"/>
    <w:rsid w:val="00447512"/>
    <w:rsid w:val="00447627"/>
    <w:rsid w:val="004477B6"/>
    <w:rsid w:val="00447C0B"/>
    <w:rsid w:val="00447DDB"/>
    <w:rsid w:val="00451EDC"/>
    <w:rsid w:val="00452E77"/>
    <w:rsid w:val="00452F8F"/>
    <w:rsid w:val="00453541"/>
    <w:rsid w:val="0045476D"/>
    <w:rsid w:val="0045525D"/>
    <w:rsid w:val="004555D5"/>
    <w:rsid w:val="00455919"/>
    <w:rsid w:val="00455D2F"/>
    <w:rsid w:val="0045660C"/>
    <w:rsid w:val="00456E6F"/>
    <w:rsid w:val="00456F52"/>
    <w:rsid w:val="00461371"/>
    <w:rsid w:val="004622F9"/>
    <w:rsid w:val="004624D1"/>
    <w:rsid w:val="00462A05"/>
    <w:rsid w:val="00462C3C"/>
    <w:rsid w:val="00462D4C"/>
    <w:rsid w:val="00463D46"/>
    <w:rsid w:val="00464932"/>
    <w:rsid w:val="00464D0E"/>
    <w:rsid w:val="00464DEF"/>
    <w:rsid w:val="004650E0"/>
    <w:rsid w:val="00465D65"/>
    <w:rsid w:val="0046746C"/>
    <w:rsid w:val="004679F1"/>
    <w:rsid w:val="00467BB7"/>
    <w:rsid w:val="00467E22"/>
    <w:rsid w:val="00471CAE"/>
    <w:rsid w:val="00471E7C"/>
    <w:rsid w:val="00471F4F"/>
    <w:rsid w:val="00472B48"/>
    <w:rsid w:val="00472B60"/>
    <w:rsid w:val="00472BCA"/>
    <w:rsid w:val="00472CC3"/>
    <w:rsid w:val="00472EBC"/>
    <w:rsid w:val="00474203"/>
    <w:rsid w:val="00474B0C"/>
    <w:rsid w:val="00475226"/>
    <w:rsid w:val="004756A4"/>
    <w:rsid w:val="00475F58"/>
    <w:rsid w:val="004766EC"/>
    <w:rsid w:val="00476E4A"/>
    <w:rsid w:val="0047761D"/>
    <w:rsid w:val="00477638"/>
    <w:rsid w:val="004778C8"/>
    <w:rsid w:val="00477F51"/>
    <w:rsid w:val="00480267"/>
    <w:rsid w:val="00480B64"/>
    <w:rsid w:val="00480B82"/>
    <w:rsid w:val="00480D28"/>
    <w:rsid w:val="00480FD4"/>
    <w:rsid w:val="004812CD"/>
    <w:rsid w:val="00481679"/>
    <w:rsid w:val="004818B2"/>
    <w:rsid w:val="004820EF"/>
    <w:rsid w:val="00482E27"/>
    <w:rsid w:val="004832B5"/>
    <w:rsid w:val="0048391D"/>
    <w:rsid w:val="00483934"/>
    <w:rsid w:val="00483A27"/>
    <w:rsid w:val="004841AA"/>
    <w:rsid w:val="00484592"/>
    <w:rsid w:val="004847AE"/>
    <w:rsid w:val="00484835"/>
    <w:rsid w:val="004849A1"/>
    <w:rsid w:val="00484D4F"/>
    <w:rsid w:val="0048525B"/>
    <w:rsid w:val="00485495"/>
    <w:rsid w:val="004857D2"/>
    <w:rsid w:val="00485F6E"/>
    <w:rsid w:val="0048630D"/>
    <w:rsid w:val="00486781"/>
    <w:rsid w:val="004868FC"/>
    <w:rsid w:val="00486AC2"/>
    <w:rsid w:val="00486BE1"/>
    <w:rsid w:val="00486FFB"/>
    <w:rsid w:val="0048746C"/>
    <w:rsid w:val="00487C13"/>
    <w:rsid w:val="00487F82"/>
    <w:rsid w:val="00491412"/>
    <w:rsid w:val="004919D3"/>
    <w:rsid w:val="00491BFD"/>
    <w:rsid w:val="00492DC8"/>
    <w:rsid w:val="0049341A"/>
    <w:rsid w:val="00494152"/>
    <w:rsid w:val="00494792"/>
    <w:rsid w:val="004950FB"/>
    <w:rsid w:val="00496B20"/>
    <w:rsid w:val="00496B7B"/>
    <w:rsid w:val="00497C94"/>
    <w:rsid w:val="004A0600"/>
    <w:rsid w:val="004A0A90"/>
    <w:rsid w:val="004A15BC"/>
    <w:rsid w:val="004A1BD3"/>
    <w:rsid w:val="004A2695"/>
    <w:rsid w:val="004A2F69"/>
    <w:rsid w:val="004A303C"/>
    <w:rsid w:val="004A31B7"/>
    <w:rsid w:val="004A386D"/>
    <w:rsid w:val="004A3F1F"/>
    <w:rsid w:val="004A49EE"/>
    <w:rsid w:val="004A4B22"/>
    <w:rsid w:val="004A4D2E"/>
    <w:rsid w:val="004A75CC"/>
    <w:rsid w:val="004B0424"/>
    <w:rsid w:val="004B0A51"/>
    <w:rsid w:val="004B0D5E"/>
    <w:rsid w:val="004B1356"/>
    <w:rsid w:val="004B16E7"/>
    <w:rsid w:val="004B1FA8"/>
    <w:rsid w:val="004B2B1C"/>
    <w:rsid w:val="004B37FA"/>
    <w:rsid w:val="004B3AEF"/>
    <w:rsid w:val="004B417A"/>
    <w:rsid w:val="004B41F9"/>
    <w:rsid w:val="004B4467"/>
    <w:rsid w:val="004B522E"/>
    <w:rsid w:val="004B53E4"/>
    <w:rsid w:val="004B56F2"/>
    <w:rsid w:val="004B57ED"/>
    <w:rsid w:val="004B6DAA"/>
    <w:rsid w:val="004B6DAF"/>
    <w:rsid w:val="004C10EC"/>
    <w:rsid w:val="004C1310"/>
    <w:rsid w:val="004C177E"/>
    <w:rsid w:val="004C21A0"/>
    <w:rsid w:val="004C2BA8"/>
    <w:rsid w:val="004C2D07"/>
    <w:rsid w:val="004C37FE"/>
    <w:rsid w:val="004C5391"/>
    <w:rsid w:val="004C5E71"/>
    <w:rsid w:val="004C753E"/>
    <w:rsid w:val="004C7A82"/>
    <w:rsid w:val="004D04EB"/>
    <w:rsid w:val="004D159B"/>
    <w:rsid w:val="004D16F7"/>
    <w:rsid w:val="004D2401"/>
    <w:rsid w:val="004D2960"/>
    <w:rsid w:val="004D29CD"/>
    <w:rsid w:val="004D3578"/>
    <w:rsid w:val="004D3DC6"/>
    <w:rsid w:val="004D4207"/>
    <w:rsid w:val="004D43BC"/>
    <w:rsid w:val="004D4903"/>
    <w:rsid w:val="004D4F65"/>
    <w:rsid w:val="004D4FFF"/>
    <w:rsid w:val="004D6CB1"/>
    <w:rsid w:val="004D7B2C"/>
    <w:rsid w:val="004D7CC6"/>
    <w:rsid w:val="004E0904"/>
    <w:rsid w:val="004E119C"/>
    <w:rsid w:val="004E14D8"/>
    <w:rsid w:val="004E1897"/>
    <w:rsid w:val="004E1DBC"/>
    <w:rsid w:val="004E2099"/>
    <w:rsid w:val="004E213A"/>
    <w:rsid w:val="004E2653"/>
    <w:rsid w:val="004E2A7E"/>
    <w:rsid w:val="004E2D9F"/>
    <w:rsid w:val="004E3754"/>
    <w:rsid w:val="004E383E"/>
    <w:rsid w:val="004E5566"/>
    <w:rsid w:val="004E6291"/>
    <w:rsid w:val="004E6959"/>
    <w:rsid w:val="004E78C2"/>
    <w:rsid w:val="004F0261"/>
    <w:rsid w:val="004F10EE"/>
    <w:rsid w:val="004F1760"/>
    <w:rsid w:val="004F179E"/>
    <w:rsid w:val="004F1F3A"/>
    <w:rsid w:val="004F210D"/>
    <w:rsid w:val="004F2ECB"/>
    <w:rsid w:val="004F3417"/>
    <w:rsid w:val="004F38C7"/>
    <w:rsid w:val="004F3C5A"/>
    <w:rsid w:val="004F538B"/>
    <w:rsid w:val="004F59D3"/>
    <w:rsid w:val="004F5F3C"/>
    <w:rsid w:val="004F69DD"/>
    <w:rsid w:val="004F722B"/>
    <w:rsid w:val="00500336"/>
    <w:rsid w:val="0050067E"/>
    <w:rsid w:val="00500793"/>
    <w:rsid w:val="00502111"/>
    <w:rsid w:val="00502815"/>
    <w:rsid w:val="0050328F"/>
    <w:rsid w:val="00503BF9"/>
    <w:rsid w:val="005049C8"/>
    <w:rsid w:val="00505276"/>
    <w:rsid w:val="0050578C"/>
    <w:rsid w:val="00505B8C"/>
    <w:rsid w:val="00506B4C"/>
    <w:rsid w:val="00506B7A"/>
    <w:rsid w:val="0050775C"/>
    <w:rsid w:val="00507DFF"/>
    <w:rsid w:val="00507EF3"/>
    <w:rsid w:val="0051044A"/>
    <w:rsid w:val="005123F8"/>
    <w:rsid w:val="00512A44"/>
    <w:rsid w:val="00512CAD"/>
    <w:rsid w:val="005139BF"/>
    <w:rsid w:val="00514451"/>
    <w:rsid w:val="00514F78"/>
    <w:rsid w:val="0051504C"/>
    <w:rsid w:val="005150A6"/>
    <w:rsid w:val="0051547F"/>
    <w:rsid w:val="00515C47"/>
    <w:rsid w:val="005166D5"/>
    <w:rsid w:val="00516FFF"/>
    <w:rsid w:val="005179C5"/>
    <w:rsid w:val="005203B3"/>
    <w:rsid w:val="00520867"/>
    <w:rsid w:val="00521F8B"/>
    <w:rsid w:val="00522560"/>
    <w:rsid w:val="00522D61"/>
    <w:rsid w:val="00523209"/>
    <w:rsid w:val="00523627"/>
    <w:rsid w:val="00524B77"/>
    <w:rsid w:val="00525222"/>
    <w:rsid w:val="0052533D"/>
    <w:rsid w:val="00525365"/>
    <w:rsid w:val="00525952"/>
    <w:rsid w:val="0052644B"/>
    <w:rsid w:val="005266CA"/>
    <w:rsid w:val="0052714E"/>
    <w:rsid w:val="00527258"/>
    <w:rsid w:val="0052731F"/>
    <w:rsid w:val="00527FED"/>
    <w:rsid w:val="00530BCC"/>
    <w:rsid w:val="005318D1"/>
    <w:rsid w:val="00533797"/>
    <w:rsid w:val="00533E29"/>
    <w:rsid w:val="0053422A"/>
    <w:rsid w:val="005348E6"/>
    <w:rsid w:val="005356AE"/>
    <w:rsid w:val="00535AF1"/>
    <w:rsid w:val="00536699"/>
    <w:rsid w:val="00536719"/>
    <w:rsid w:val="00537047"/>
    <w:rsid w:val="00540A64"/>
    <w:rsid w:val="00540AD0"/>
    <w:rsid w:val="00541B3C"/>
    <w:rsid w:val="00541BA5"/>
    <w:rsid w:val="00542654"/>
    <w:rsid w:val="0054277A"/>
    <w:rsid w:val="00542EC9"/>
    <w:rsid w:val="00543033"/>
    <w:rsid w:val="00543BD6"/>
    <w:rsid w:val="00543E6C"/>
    <w:rsid w:val="00544BF3"/>
    <w:rsid w:val="005460F4"/>
    <w:rsid w:val="00546D29"/>
    <w:rsid w:val="00546DAA"/>
    <w:rsid w:val="005476DD"/>
    <w:rsid w:val="005477AA"/>
    <w:rsid w:val="00547F0B"/>
    <w:rsid w:val="005506D7"/>
    <w:rsid w:val="00550E13"/>
    <w:rsid w:val="00551D32"/>
    <w:rsid w:val="00551FFD"/>
    <w:rsid w:val="00552073"/>
    <w:rsid w:val="0055240F"/>
    <w:rsid w:val="00552B71"/>
    <w:rsid w:val="0055325D"/>
    <w:rsid w:val="0055433A"/>
    <w:rsid w:val="005558AD"/>
    <w:rsid w:val="00555C10"/>
    <w:rsid w:val="00555C26"/>
    <w:rsid w:val="0055615A"/>
    <w:rsid w:val="0055689B"/>
    <w:rsid w:val="00556B6B"/>
    <w:rsid w:val="00556C57"/>
    <w:rsid w:val="0055749C"/>
    <w:rsid w:val="0056154D"/>
    <w:rsid w:val="00561567"/>
    <w:rsid w:val="00561D8B"/>
    <w:rsid w:val="005624F8"/>
    <w:rsid w:val="00563049"/>
    <w:rsid w:val="00563F0C"/>
    <w:rsid w:val="00564116"/>
    <w:rsid w:val="00564166"/>
    <w:rsid w:val="0056431A"/>
    <w:rsid w:val="0056456A"/>
    <w:rsid w:val="00564988"/>
    <w:rsid w:val="00564C6C"/>
    <w:rsid w:val="00565087"/>
    <w:rsid w:val="005659B2"/>
    <w:rsid w:val="00565C8A"/>
    <w:rsid w:val="00566CFE"/>
    <w:rsid w:val="00566DA4"/>
    <w:rsid w:val="005674E2"/>
    <w:rsid w:val="00567BD5"/>
    <w:rsid w:val="00567E6C"/>
    <w:rsid w:val="00567F6E"/>
    <w:rsid w:val="0057092C"/>
    <w:rsid w:val="00570FD7"/>
    <w:rsid w:val="0057157D"/>
    <w:rsid w:val="00571685"/>
    <w:rsid w:val="00571F13"/>
    <w:rsid w:val="00572F72"/>
    <w:rsid w:val="00573695"/>
    <w:rsid w:val="00573ED4"/>
    <w:rsid w:val="00574F47"/>
    <w:rsid w:val="00575479"/>
    <w:rsid w:val="00575781"/>
    <w:rsid w:val="00575F50"/>
    <w:rsid w:val="0057627A"/>
    <w:rsid w:val="005765E4"/>
    <w:rsid w:val="00577BA1"/>
    <w:rsid w:val="00580015"/>
    <w:rsid w:val="005808B8"/>
    <w:rsid w:val="00582D1F"/>
    <w:rsid w:val="00582FA6"/>
    <w:rsid w:val="0058457E"/>
    <w:rsid w:val="00584834"/>
    <w:rsid w:val="005854A2"/>
    <w:rsid w:val="0058566D"/>
    <w:rsid w:val="00585F03"/>
    <w:rsid w:val="00587A27"/>
    <w:rsid w:val="00587B03"/>
    <w:rsid w:val="00587B1B"/>
    <w:rsid w:val="00590989"/>
    <w:rsid w:val="00590E39"/>
    <w:rsid w:val="00591696"/>
    <w:rsid w:val="005926C7"/>
    <w:rsid w:val="00592F63"/>
    <w:rsid w:val="0059384C"/>
    <w:rsid w:val="00594398"/>
    <w:rsid w:val="00594539"/>
    <w:rsid w:val="00594F19"/>
    <w:rsid w:val="005954F9"/>
    <w:rsid w:val="005958CF"/>
    <w:rsid w:val="00595F13"/>
    <w:rsid w:val="00595F84"/>
    <w:rsid w:val="005965D4"/>
    <w:rsid w:val="00596646"/>
    <w:rsid w:val="00596726"/>
    <w:rsid w:val="00596B65"/>
    <w:rsid w:val="00596F3A"/>
    <w:rsid w:val="0059755E"/>
    <w:rsid w:val="00597B50"/>
    <w:rsid w:val="00597F7D"/>
    <w:rsid w:val="005A02E2"/>
    <w:rsid w:val="005A15BA"/>
    <w:rsid w:val="005A16BA"/>
    <w:rsid w:val="005A30F3"/>
    <w:rsid w:val="005A3815"/>
    <w:rsid w:val="005A3BCE"/>
    <w:rsid w:val="005A3CBA"/>
    <w:rsid w:val="005A3DF0"/>
    <w:rsid w:val="005A4DB1"/>
    <w:rsid w:val="005A6C45"/>
    <w:rsid w:val="005A72A5"/>
    <w:rsid w:val="005A7B32"/>
    <w:rsid w:val="005A7E3E"/>
    <w:rsid w:val="005B04FE"/>
    <w:rsid w:val="005B084F"/>
    <w:rsid w:val="005B08EC"/>
    <w:rsid w:val="005B0F40"/>
    <w:rsid w:val="005B1455"/>
    <w:rsid w:val="005B1941"/>
    <w:rsid w:val="005B1BFB"/>
    <w:rsid w:val="005B2BBA"/>
    <w:rsid w:val="005B40AA"/>
    <w:rsid w:val="005B4193"/>
    <w:rsid w:val="005B438D"/>
    <w:rsid w:val="005B442A"/>
    <w:rsid w:val="005B48D9"/>
    <w:rsid w:val="005B4AA5"/>
    <w:rsid w:val="005B4E88"/>
    <w:rsid w:val="005B53B2"/>
    <w:rsid w:val="005B5422"/>
    <w:rsid w:val="005B5683"/>
    <w:rsid w:val="005B5C8B"/>
    <w:rsid w:val="005B69D4"/>
    <w:rsid w:val="005B6ACD"/>
    <w:rsid w:val="005B6ADF"/>
    <w:rsid w:val="005B6B14"/>
    <w:rsid w:val="005B6DB8"/>
    <w:rsid w:val="005B6EBB"/>
    <w:rsid w:val="005B6ECE"/>
    <w:rsid w:val="005B70FD"/>
    <w:rsid w:val="005C0051"/>
    <w:rsid w:val="005C046D"/>
    <w:rsid w:val="005C11F4"/>
    <w:rsid w:val="005C1DCD"/>
    <w:rsid w:val="005C2AD9"/>
    <w:rsid w:val="005C2DD7"/>
    <w:rsid w:val="005C39A3"/>
    <w:rsid w:val="005C3C3F"/>
    <w:rsid w:val="005C556E"/>
    <w:rsid w:val="005C5E91"/>
    <w:rsid w:val="005C7035"/>
    <w:rsid w:val="005C793A"/>
    <w:rsid w:val="005C79C7"/>
    <w:rsid w:val="005C7BA7"/>
    <w:rsid w:val="005D016E"/>
    <w:rsid w:val="005D04C3"/>
    <w:rsid w:val="005D0671"/>
    <w:rsid w:val="005D086C"/>
    <w:rsid w:val="005D09BE"/>
    <w:rsid w:val="005D0B54"/>
    <w:rsid w:val="005D1126"/>
    <w:rsid w:val="005D1F0E"/>
    <w:rsid w:val="005D20A6"/>
    <w:rsid w:val="005D26E0"/>
    <w:rsid w:val="005D2BBE"/>
    <w:rsid w:val="005D2BFE"/>
    <w:rsid w:val="005D2E01"/>
    <w:rsid w:val="005D2E23"/>
    <w:rsid w:val="005D32D0"/>
    <w:rsid w:val="005D381C"/>
    <w:rsid w:val="005D4047"/>
    <w:rsid w:val="005D4911"/>
    <w:rsid w:val="005D49C1"/>
    <w:rsid w:val="005D51F9"/>
    <w:rsid w:val="005D6346"/>
    <w:rsid w:val="005D69D3"/>
    <w:rsid w:val="005D6A5E"/>
    <w:rsid w:val="005D6BA2"/>
    <w:rsid w:val="005D726E"/>
    <w:rsid w:val="005D7F13"/>
    <w:rsid w:val="005E0166"/>
    <w:rsid w:val="005E1391"/>
    <w:rsid w:val="005E2018"/>
    <w:rsid w:val="005E2195"/>
    <w:rsid w:val="005E241F"/>
    <w:rsid w:val="005E25B5"/>
    <w:rsid w:val="005E2B82"/>
    <w:rsid w:val="005E32A8"/>
    <w:rsid w:val="005E462D"/>
    <w:rsid w:val="005E492F"/>
    <w:rsid w:val="005E4ADD"/>
    <w:rsid w:val="005E4C90"/>
    <w:rsid w:val="005E4CBE"/>
    <w:rsid w:val="005E4CD7"/>
    <w:rsid w:val="005E4E7D"/>
    <w:rsid w:val="005E53C3"/>
    <w:rsid w:val="005E5B3A"/>
    <w:rsid w:val="005E5B8A"/>
    <w:rsid w:val="005E5C6F"/>
    <w:rsid w:val="005E5F6E"/>
    <w:rsid w:val="005E639C"/>
    <w:rsid w:val="005E6D49"/>
    <w:rsid w:val="005E7B19"/>
    <w:rsid w:val="005E7EC7"/>
    <w:rsid w:val="005F0865"/>
    <w:rsid w:val="005F08BC"/>
    <w:rsid w:val="005F0F3F"/>
    <w:rsid w:val="005F1543"/>
    <w:rsid w:val="005F196F"/>
    <w:rsid w:val="005F1C24"/>
    <w:rsid w:val="005F1F6D"/>
    <w:rsid w:val="005F2245"/>
    <w:rsid w:val="005F237C"/>
    <w:rsid w:val="005F2ABE"/>
    <w:rsid w:val="005F2CD0"/>
    <w:rsid w:val="005F2DC9"/>
    <w:rsid w:val="005F4628"/>
    <w:rsid w:val="005F46F8"/>
    <w:rsid w:val="005F4A1B"/>
    <w:rsid w:val="005F50C0"/>
    <w:rsid w:val="005F5583"/>
    <w:rsid w:val="005F573B"/>
    <w:rsid w:val="005F605D"/>
    <w:rsid w:val="005F67F3"/>
    <w:rsid w:val="005F746D"/>
    <w:rsid w:val="005F785A"/>
    <w:rsid w:val="005F7B84"/>
    <w:rsid w:val="005F7CC4"/>
    <w:rsid w:val="00600024"/>
    <w:rsid w:val="00600283"/>
    <w:rsid w:val="0060030F"/>
    <w:rsid w:val="00600355"/>
    <w:rsid w:val="00600832"/>
    <w:rsid w:val="006010E3"/>
    <w:rsid w:val="006018D9"/>
    <w:rsid w:val="00601C81"/>
    <w:rsid w:val="00601D41"/>
    <w:rsid w:val="00602371"/>
    <w:rsid w:val="006023F1"/>
    <w:rsid w:val="0060285E"/>
    <w:rsid w:val="00602B63"/>
    <w:rsid w:val="00603FD3"/>
    <w:rsid w:val="0060400D"/>
    <w:rsid w:val="006041FC"/>
    <w:rsid w:val="00604335"/>
    <w:rsid w:val="00604864"/>
    <w:rsid w:val="006049D6"/>
    <w:rsid w:val="006055B0"/>
    <w:rsid w:val="00605744"/>
    <w:rsid w:val="00605783"/>
    <w:rsid w:val="00605CE1"/>
    <w:rsid w:val="00605DDF"/>
    <w:rsid w:val="00605F6C"/>
    <w:rsid w:val="00606C01"/>
    <w:rsid w:val="00607368"/>
    <w:rsid w:val="0060745E"/>
    <w:rsid w:val="00607F2D"/>
    <w:rsid w:val="00610D6E"/>
    <w:rsid w:val="00610E81"/>
    <w:rsid w:val="00612AC3"/>
    <w:rsid w:val="0061363E"/>
    <w:rsid w:val="00613B45"/>
    <w:rsid w:val="00614510"/>
    <w:rsid w:val="00614556"/>
    <w:rsid w:val="00614B83"/>
    <w:rsid w:val="00614FDF"/>
    <w:rsid w:val="00614FEC"/>
    <w:rsid w:val="00615BF3"/>
    <w:rsid w:val="00615D13"/>
    <w:rsid w:val="00616F38"/>
    <w:rsid w:val="00617210"/>
    <w:rsid w:val="00617283"/>
    <w:rsid w:val="00617425"/>
    <w:rsid w:val="006174DF"/>
    <w:rsid w:val="0062076A"/>
    <w:rsid w:val="00620AEB"/>
    <w:rsid w:val="00620ED6"/>
    <w:rsid w:val="00620F6C"/>
    <w:rsid w:val="006210F9"/>
    <w:rsid w:val="00621BDF"/>
    <w:rsid w:val="00621C34"/>
    <w:rsid w:val="00621D39"/>
    <w:rsid w:val="00621F89"/>
    <w:rsid w:val="00622B25"/>
    <w:rsid w:val="006231A5"/>
    <w:rsid w:val="006239E4"/>
    <w:rsid w:val="006256B7"/>
    <w:rsid w:val="006256D9"/>
    <w:rsid w:val="00625948"/>
    <w:rsid w:val="00625D1A"/>
    <w:rsid w:val="006260B4"/>
    <w:rsid w:val="00626940"/>
    <w:rsid w:val="0062703B"/>
    <w:rsid w:val="006272D5"/>
    <w:rsid w:val="00627654"/>
    <w:rsid w:val="006301BD"/>
    <w:rsid w:val="006302D2"/>
    <w:rsid w:val="00630864"/>
    <w:rsid w:val="0063092D"/>
    <w:rsid w:val="00630F49"/>
    <w:rsid w:val="0063214C"/>
    <w:rsid w:val="00633580"/>
    <w:rsid w:val="0063372E"/>
    <w:rsid w:val="00633785"/>
    <w:rsid w:val="0063387E"/>
    <w:rsid w:val="00633BD4"/>
    <w:rsid w:val="006351CE"/>
    <w:rsid w:val="00635FE5"/>
    <w:rsid w:val="00635FFA"/>
    <w:rsid w:val="006368D5"/>
    <w:rsid w:val="00637334"/>
    <w:rsid w:val="00640037"/>
    <w:rsid w:val="0064190F"/>
    <w:rsid w:val="00641D23"/>
    <w:rsid w:val="006426C7"/>
    <w:rsid w:val="00642712"/>
    <w:rsid w:val="0064411C"/>
    <w:rsid w:val="006446FD"/>
    <w:rsid w:val="006455D7"/>
    <w:rsid w:val="00645898"/>
    <w:rsid w:val="00645CA8"/>
    <w:rsid w:val="00646A9E"/>
    <w:rsid w:val="00646B75"/>
    <w:rsid w:val="006476CB"/>
    <w:rsid w:val="006476DB"/>
    <w:rsid w:val="00647995"/>
    <w:rsid w:val="00647A2F"/>
    <w:rsid w:val="00650075"/>
    <w:rsid w:val="00650456"/>
    <w:rsid w:val="00650BBE"/>
    <w:rsid w:val="00650D46"/>
    <w:rsid w:val="0065179E"/>
    <w:rsid w:val="006518CF"/>
    <w:rsid w:val="00651C2C"/>
    <w:rsid w:val="006534F3"/>
    <w:rsid w:val="00653E48"/>
    <w:rsid w:val="0065418C"/>
    <w:rsid w:val="006544E5"/>
    <w:rsid w:val="00654873"/>
    <w:rsid w:val="00654AE1"/>
    <w:rsid w:val="00655058"/>
    <w:rsid w:val="0065533E"/>
    <w:rsid w:val="00655591"/>
    <w:rsid w:val="0065589E"/>
    <w:rsid w:val="006558D9"/>
    <w:rsid w:val="00656067"/>
    <w:rsid w:val="00656CD8"/>
    <w:rsid w:val="00656DE5"/>
    <w:rsid w:val="00657388"/>
    <w:rsid w:val="00657544"/>
    <w:rsid w:val="00660152"/>
    <w:rsid w:val="00660D35"/>
    <w:rsid w:val="00661145"/>
    <w:rsid w:val="0066321D"/>
    <w:rsid w:val="0066415E"/>
    <w:rsid w:val="006641E2"/>
    <w:rsid w:val="0066425D"/>
    <w:rsid w:val="00664298"/>
    <w:rsid w:val="00664665"/>
    <w:rsid w:val="00664786"/>
    <w:rsid w:val="00664BCE"/>
    <w:rsid w:val="00664D34"/>
    <w:rsid w:val="00664E2C"/>
    <w:rsid w:val="006656FC"/>
    <w:rsid w:val="00665E6C"/>
    <w:rsid w:val="006668EB"/>
    <w:rsid w:val="00667150"/>
    <w:rsid w:val="00667996"/>
    <w:rsid w:val="00667B9A"/>
    <w:rsid w:val="00667C3F"/>
    <w:rsid w:val="006709EF"/>
    <w:rsid w:val="00670A74"/>
    <w:rsid w:val="006719F0"/>
    <w:rsid w:val="00672DA9"/>
    <w:rsid w:val="006732EB"/>
    <w:rsid w:val="0067441A"/>
    <w:rsid w:val="00674B64"/>
    <w:rsid w:val="006751A9"/>
    <w:rsid w:val="00675787"/>
    <w:rsid w:val="006759AE"/>
    <w:rsid w:val="00675E01"/>
    <w:rsid w:val="006764CD"/>
    <w:rsid w:val="00677433"/>
    <w:rsid w:val="006776AE"/>
    <w:rsid w:val="006776FC"/>
    <w:rsid w:val="006778F8"/>
    <w:rsid w:val="00677D5F"/>
    <w:rsid w:val="00680D10"/>
    <w:rsid w:val="00680FFB"/>
    <w:rsid w:val="00681893"/>
    <w:rsid w:val="00682869"/>
    <w:rsid w:val="00682C0F"/>
    <w:rsid w:val="00684095"/>
    <w:rsid w:val="00684449"/>
    <w:rsid w:val="0068474C"/>
    <w:rsid w:val="006851AE"/>
    <w:rsid w:val="00686487"/>
    <w:rsid w:val="00686804"/>
    <w:rsid w:val="00686921"/>
    <w:rsid w:val="006878FF"/>
    <w:rsid w:val="006911AB"/>
    <w:rsid w:val="0069171F"/>
    <w:rsid w:val="00691898"/>
    <w:rsid w:val="00691B01"/>
    <w:rsid w:val="00691DD1"/>
    <w:rsid w:val="00691E57"/>
    <w:rsid w:val="006933FB"/>
    <w:rsid w:val="006934CA"/>
    <w:rsid w:val="00693863"/>
    <w:rsid w:val="00693BAE"/>
    <w:rsid w:val="0069438F"/>
    <w:rsid w:val="00694772"/>
    <w:rsid w:val="00694F71"/>
    <w:rsid w:val="00695835"/>
    <w:rsid w:val="00696CC0"/>
    <w:rsid w:val="00696FC5"/>
    <w:rsid w:val="006971F0"/>
    <w:rsid w:val="00697992"/>
    <w:rsid w:val="006A0234"/>
    <w:rsid w:val="006A0B7F"/>
    <w:rsid w:val="006A0E88"/>
    <w:rsid w:val="006A1380"/>
    <w:rsid w:val="006A1865"/>
    <w:rsid w:val="006A23F5"/>
    <w:rsid w:val="006A2405"/>
    <w:rsid w:val="006A24E0"/>
    <w:rsid w:val="006A2D8D"/>
    <w:rsid w:val="006A3653"/>
    <w:rsid w:val="006A3F60"/>
    <w:rsid w:val="006A46F7"/>
    <w:rsid w:val="006A4C58"/>
    <w:rsid w:val="006A56A5"/>
    <w:rsid w:val="006A59D1"/>
    <w:rsid w:val="006A624A"/>
    <w:rsid w:val="006A638F"/>
    <w:rsid w:val="006A65D1"/>
    <w:rsid w:val="006A6748"/>
    <w:rsid w:val="006A68D6"/>
    <w:rsid w:val="006A6FA4"/>
    <w:rsid w:val="006A7272"/>
    <w:rsid w:val="006A7CB9"/>
    <w:rsid w:val="006A7D35"/>
    <w:rsid w:val="006A7D4A"/>
    <w:rsid w:val="006A7FB8"/>
    <w:rsid w:val="006B0550"/>
    <w:rsid w:val="006B0B6F"/>
    <w:rsid w:val="006B1299"/>
    <w:rsid w:val="006B19F0"/>
    <w:rsid w:val="006B1CBD"/>
    <w:rsid w:val="006B2111"/>
    <w:rsid w:val="006B296B"/>
    <w:rsid w:val="006B3C79"/>
    <w:rsid w:val="006B3FC8"/>
    <w:rsid w:val="006B455B"/>
    <w:rsid w:val="006B4666"/>
    <w:rsid w:val="006B51BD"/>
    <w:rsid w:val="006B5E74"/>
    <w:rsid w:val="006B72EA"/>
    <w:rsid w:val="006B7D42"/>
    <w:rsid w:val="006C0540"/>
    <w:rsid w:val="006C0737"/>
    <w:rsid w:val="006C0EC8"/>
    <w:rsid w:val="006C1119"/>
    <w:rsid w:val="006C1632"/>
    <w:rsid w:val="006C200F"/>
    <w:rsid w:val="006C298F"/>
    <w:rsid w:val="006C2D35"/>
    <w:rsid w:val="006C2D42"/>
    <w:rsid w:val="006C2ECB"/>
    <w:rsid w:val="006C3C96"/>
    <w:rsid w:val="006C3D2B"/>
    <w:rsid w:val="006C3F9B"/>
    <w:rsid w:val="006C5116"/>
    <w:rsid w:val="006C5994"/>
    <w:rsid w:val="006C5EC9"/>
    <w:rsid w:val="006C6579"/>
    <w:rsid w:val="006C66EF"/>
    <w:rsid w:val="006C6C87"/>
    <w:rsid w:val="006C6DE4"/>
    <w:rsid w:val="006C6E12"/>
    <w:rsid w:val="006C72B5"/>
    <w:rsid w:val="006C74FF"/>
    <w:rsid w:val="006C7759"/>
    <w:rsid w:val="006C7D34"/>
    <w:rsid w:val="006C7F1D"/>
    <w:rsid w:val="006D0036"/>
    <w:rsid w:val="006D0417"/>
    <w:rsid w:val="006D0780"/>
    <w:rsid w:val="006D0ADF"/>
    <w:rsid w:val="006D0F0A"/>
    <w:rsid w:val="006D1207"/>
    <w:rsid w:val="006D1B1B"/>
    <w:rsid w:val="006D2C1E"/>
    <w:rsid w:val="006D3235"/>
    <w:rsid w:val="006D3332"/>
    <w:rsid w:val="006D361E"/>
    <w:rsid w:val="006D36CD"/>
    <w:rsid w:val="006D3F36"/>
    <w:rsid w:val="006D43E3"/>
    <w:rsid w:val="006D4542"/>
    <w:rsid w:val="006D47C4"/>
    <w:rsid w:val="006D557A"/>
    <w:rsid w:val="006D5652"/>
    <w:rsid w:val="006D5C93"/>
    <w:rsid w:val="006D7043"/>
    <w:rsid w:val="006D725C"/>
    <w:rsid w:val="006D7B81"/>
    <w:rsid w:val="006E0BC8"/>
    <w:rsid w:val="006E0F59"/>
    <w:rsid w:val="006E235C"/>
    <w:rsid w:val="006E28D3"/>
    <w:rsid w:val="006E2BB8"/>
    <w:rsid w:val="006E39D4"/>
    <w:rsid w:val="006E4251"/>
    <w:rsid w:val="006E47E1"/>
    <w:rsid w:val="006E5277"/>
    <w:rsid w:val="006E57FE"/>
    <w:rsid w:val="006E5C86"/>
    <w:rsid w:val="006E5EED"/>
    <w:rsid w:val="006E6740"/>
    <w:rsid w:val="006F0985"/>
    <w:rsid w:val="006F1262"/>
    <w:rsid w:val="006F14A2"/>
    <w:rsid w:val="006F1A0E"/>
    <w:rsid w:val="006F28F4"/>
    <w:rsid w:val="006F2994"/>
    <w:rsid w:val="006F2A46"/>
    <w:rsid w:val="006F2B17"/>
    <w:rsid w:val="006F3449"/>
    <w:rsid w:val="006F434F"/>
    <w:rsid w:val="006F488F"/>
    <w:rsid w:val="006F4CE3"/>
    <w:rsid w:val="006F4EB7"/>
    <w:rsid w:val="006F4ED6"/>
    <w:rsid w:val="006F5005"/>
    <w:rsid w:val="006F5580"/>
    <w:rsid w:val="006F5660"/>
    <w:rsid w:val="006F59DA"/>
    <w:rsid w:val="006F5B6E"/>
    <w:rsid w:val="006F6E12"/>
    <w:rsid w:val="006F794E"/>
    <w:rsid w:val="006F7A92"/>
    <w:rsid w:val="006F7FF1"/>
    <w:rsid w:val="00700232"/>
    <w:rsid w:val="00700469"/>
    <w:rsid w:val="007005A7"/>
    <w:rsid w:val="00700837"/>
    <w:rsid w:val="007008C2"/>
    <w:rsid w:val="00701C50"/>
    <w:rsid w:val="00702A42"/>
    <w:rsid w:val="00702C44"/>
    <w:rsid w:val="00703593"/>
    <w:rsid w:val="00703AA3"/>
    <w:rsid w:val="00703B09"/>
    <w:rsid w:val="00703C4F"/>
    <w:rsid w:val="00703D4A"/>
    <w:rsid w:val="007043E8"/>
    <w:rsid w:val="007051D4"/>
    <w:rsid w:val="007053B0"/>
    <w:rsid w:val="007053DC"/>
    <w:rsid w:val="00705984"/>
    <w:rsid w:val="00706299"/>
    <w:rsid w:val="00706E54"/>
    <w:rsid w:val="007077CA"/>
    <w:rsid w:val="00707EE5"/>
    <w:rsid w:val="007106E3"/>
    <w:rsid w:val="00711938"/>
    <w:rsid w:val="00711EB7"/>
    <w:rsid w:val="00712216"/>
    <w:rsid w:val="007142E2"/>
    <w:rsid w:val="00714358"/>
    <w:rsid w:val="00714C1E"/>
    <w:rsid w:val="00714E9A"/>
    <w:rsid w:val="00714FB9"/>
    <w:rsid w:val="007155CF"/>
    <w:rsid w:val="00715E50"/>
    <w:rsid w:val="00716660"/>
    <w:rsid w:val="007167F1"/>
    <w:rsid w:val="00716BC2"/>
    <w:rsid w:val="00716CD4"/>
    <w:rsid w:val="00716E0B"/>
    <w:rsid w:val="00717927"/>
    <w:rsid w:val="00717CBE"/>
    <w:rsid w:val="00720042"/>
    <w:rsid w:val="007217EA"/>
    <w:rsid w:val="00721D00"/>
    <w:rsid w:val="00721EA3"/>
    <w:rsid w:val="00721EBB"/>
    <w:rsid w:val="0072206B"/>
    <w:rsid w:val="00722815"/>
    <w:rsid w:val="00723CAE"/>
    <w:rsid w:val="00723F04"/>
    <w:rsid w:val="00724115"/>
    <w:rsid w:val="007248C7"/>
    <w:rsid w:val="0072518D"/>
    <w:rsid w:val="0072565C"/>
    <w:rsid w:val="00725848"/>
    <w:rsid w:val="007263C4"/>
    <w:rsid w:val="00730187"/>
    <w:rsid w:val="007301EF"/>
    <w:rsid w:val="00730B34"/>
    <w:rsid w:val="00731943"/>
    <w:rsid w:val="00731B5C"/>
    <w:rsid w:val="00731DF1"/>
    <w:rsid w:val="0073298E"/>
    <w:rsid w:val="00732DB2"/>
    <w:rsid w:val="00732ED2"/>
    <w:rsid w:val="00733216"/>
    <w:rsid w:val="00733644"/>
    <w:rsid w:val="007341DD"/>
    <w:rsid w:val="0073441B"/>
    <w:rsid w:val="00734785"/>
    <w:rsid w:val="00734A13"/>
    <w:rsid w:val="00734A5B"/>
    <w:rsid w:val="00734D93"/>
    <w:rsid w:val="0073539A"/>
    <w:rsid w:val="00735924"/>
    <w:rsid w:val="00735A06"/>
    <w:rsid w:val="00735E36"/>
    <w:rsid w:val="0073626A"/>
    <w:rsid w:val="00736640"/>
    <w:rsid w:val="00736A3B"/>
    <w:rsid w:val="00736F17"/>
    <w:rsid w:val="0073723B"/>
    <w:rsid w:val="00737CE7"/>
    <w:rsid w:val="007407FF"/>
    <w:rsid w:val="00740A4E"/>
    <w:rsid w:val="007417DA"/>
    <w:rsid w:val="0074246E"/>
    <w:rsid w:val="007424BC"/>
    <w:rsid w:val="007427CC"/>
    <w:rsid w:val="00742CAE"/>
    <w:rsid w:val="0074300F"/>
    <w:rsid w:val="00743059"/>
    <w:rsid w:val="00743732"/>
    <w:rsid w:val="00743B64"/>
    <w:rsid w:val="00744CF6"/>
    <w:rsid w:val="00744E76"/>
    <w:rsid w:val="0074557F"/>
    <w:rsid w:val="00745D0A"/>
    <w:rsid w:val="00746076"/>
    <w:rsid w:val="007462CE"/>
    <w:rsid w:val="007463F5"/>
    <w:rsid w:val="00746FDC"/>
    <w:rsid w:val="007471A8"/>
    <w:rsid w:val="0074789E"/>
    <w:rsid w:val="00747E28"/>
    <w:rsid w:val="00747EA6"/>
    <w:rsid w:val="00747F46"/>
    <w:rsid w:val="00750CC5"/>
    <w:rsid w:val="007513EE"/>
    <w:rsid w:val="00751A72"/>
    <w:rsid w:val="007520DB"/>
    <w:rsid w:val="00752151"/>
    <w:rsid w:val="0075304B"/>
    <w:rsid w:val="00753780"/>
    <w:rsid w:val="007538C4"/>
    <w:rsid w:val="00753E51"/>
    <w:rsid w:val="00753F73"/>
    <w:rsid w:val="00754C41"/>
    <w:rsid w:val="00754FC4"/>
    <w:rsid w:val="007554A0"/>
    <w:rsid w:val="007566E6"/>
    <w:rsid w:val="0075681D"/>
    <w:rsid w:val="00756D52"/>
    <w:rsid w:val="007573A5"/>
    <w:rsid w:val="00757E87"/>
    <w:rsid w:val="0076197D"/>
    <w:rsid w:val="00762254"/>
    <w:rsid w:val="007631A3"/>
    <w:rsid w:val="00763EC0"/>
    <w:rsid w:val="007641B4"/>
    <w:rsid w:val="00764A79"/>
    <w:rsid w:val="00764ECC"/>
    <w:rsid w:val="00765B24"/>
    <w:rsid w:val="007661C9"/>
    <w:rsid w:val="0076627C"/>
    <w:rsid w:val="007662B2"/>
    <w:rsid w:val="007664BF"/>
    <w:rsid w:val="00766E9B"/>
    <w:rsid w:val="007671C1"/>
    <w:rsid w:val="00767BAE"/>
    <w:rsid w:val="00767C05"/>
    <w:rsid w:val="00770402"/>
    <w:rsid w:val="00770807"/>
    <w:rsid w:val="00770F31"/>
    <w:rsid w:val="00771993"/>
    <w:rsid w:val="00771AFA"/>
    <w:rsid w:val="00771C62"/>
    <w:rsid w:val="00771E0C"/>
    <w:rsid w:val="00772F74"/>
    <w:rsid w:val="00774057"/>
    <w:rsid w:val="0077464A"/>
    <w:rsid w:val="007746A9"/>
    <w:rsid w:val="007750EF"/>
    <w:rsid w:val="00775717"/>
    <w:rsid w:val="00775848"/>
    <w:rsid w:val="007761BD"/>
    <w:rsid w:val="00776597"/>
    <w:rsid w:val="0077680B"/>
    <w:rsid w:val="00776A90"/>
    <w:rsid w:val="007775CE"/>
    <w:rsid w:val="00777893"/>
    <w:rsid w:val="00777EC6"/>
    <w:rsid w:val="0078093B"/>
    <w:rsid w:val="00781199"/>
    <w:rsid w:val="007811D7"/>
    <w:rsid w:val="00781F0F"/>
    <w:rsid w:val="007820C0"/>
    <w:rsid w:val="00782B27"/>
    <w:rsid w:val="00783266"/>
    <w:rsid w:val="007839BB"/>
    <w:rsid w:val="007853FC"/>
    <w:rsid w:val="007863A9"/>
    <w:rsid w:val="007867D4"/>
    <w:rsid w:val="00786C9C"/>
    <w:rsid w:val="00787702"/>
    <w:rsid w:val="00787B09"/>
    <w:rsid w:val="00791FB3"/>
    <w:rsid w:val="00793667"/>
    <w:rsid w:val="00793793"/>
    <w:rsid w:val="00793AE3"/>
    <w:rsid w:val="00793CF9"/>
    <w:rsid w:val="00794199"/>
    <w:rsid w:val="00794F3B"/>
    <w:rsid w:val="00795BCB"/>
    <w:rsid w:val="00795F1F"/>
    <w:rsid w:val="00795F73"/>
    <w:rsid w:val="00796A8C"/>
    <w:rsid w:val="00796F80"/>
    <w:rsid w:val="007974E0"/>
    <w:rsid w:val="00797F1D"/>
    <w:rsid w:val="00797F43"/>
    <w:rsid w:val="007A0C14"/>
    <w:rsid w:val="007A0E0A"/>
    <w:rsid w:val="007A2640"/>
    <w:rsid w:val="007A28EE"/>
    <w:rsid w:val="007A2C3C"/>
    <w:rsid w:val="007A33B1"/>
    <w:rsid w:val="007A376F"/>
    <w:rsid w:val="007A3F06"/>
    <w:rsid w:val="007A4280"/>
    <w:rsid w:val="007A4482"/>
    <w:rsid w:val="007A457E"/>
    <w:rsid w:val="007A4580"/>
    <w:rsid w:val="007A52C5"/>
    <w:rsid w:val="007A57A2"/>
    <w:rsid w:val="007A6A57"/>
    <w:rsid w:val="007A6D4C"/>
    <w:rsid w:val="007A6FC2"/>
    <w:rsid w:val="007A75D2"/>
    <w:rsid w:val="007A76F6"/>
    <w:rsid w:val="007A7FC5"/>
    <w:rsid w:val="007B0473"/>
    <w:rsid w:val="007B04D9"/>
    <w:rsid w:val="007B10C0"/>
    <w:rsid w:val="007B13A4"/>
    <w:rsid w:val="007B1561"/>
    <w:rsid w:val="007B166B"/>
    <w:rsid w:val="007B17DD"/>
    <w:rsid w:val="007B1B08"/>
    <w:rsid w:val="007B1F6A"/>
    <w:rsid w:val="007B24E3"/>
    <w:rsid w:val="007B2AE1"/>
    <w:rsid w:val="007B3455"/>
    <w:rsid w:val="007B467B"/>
    <w:rsid w:val="007B4945"/>
    <w:rsid w:val="007B4EFE"/>
    <w:rsid w:val="007B543E"/>
    <w:rsid w:val="007B599F"/>
    <w:rsid w:val="007B5E36"/>
    <w:rsid w:val="007B5FBF"/>
    <w:rsid w:val="007B5FC4"/>
    <w:rsid w:val="007B626D"/>
    <w:rsid w:val="007B67CC"/>
    <w:rsid w:val="007B77FB"/>
    <w:rsid w:val="007C03DB"/>
    <w:rsid w:val="007C1291"/>
    <w:rsid w:val="007C15E1"/>
    <w:rsid w:val="007C1FA8"/>
    <w:rsid w:val="007C2E86"/>
    <w:rsid w:val="007C37DF"/>
    <w:rsid w:val="007C381C"/>
    <w:rsid w:val="007C3A57"/>
    <w:rsid w:val="007C4534"/>
    <w:rsid w:val="007C46F5"/>
    <w:rsid w:val="007C4940"/>
    <w:rsid w:val="007C5527"/>
    <w:rsid w:val="007C55F6"/>
    <w:rsid w:val="007C5863"/>
    <w:rsid w:val="007C5881"/>
    <w:rsid w:val="007C5FF2"/>
    <w:rsid w:val="007C63BF"/>
    <w:rsid w:val="007C6A37"/>
    <w:rsid w:val="007C6E20"/>
    <w:rsid w:val="007C6E5D"/>
    <w:rsid w:val="007C6EE8"/>
    <w:rsid w:val="007C7560"/>
    <w:rsid w:val="007D0125"/>
    <w:rsid w:val="007D02E6"/>
    <w:rsid w:val="007D0CEC"/>
    <w:rsid w:val="007D0E33"/>
    <w:rsid w:val="007D1229"/>
    <w:rsid w:val="007D1430"/>
    <w:rsid w:val="007D225B"/>
    <w:rsid w:val="007D226B"/>
    <w:rsid w:val="007D2333"/>
    <w:rsid w:val="007D2B70"/>
    <w:rsid w:val="007D3137"/>
    <w:rsid w:val="007D345E"/>
    <w:rsid w:val="007D3FC6"/>
    <w:rsid w:val="007D6721"/>
    <w:rsid w:val="007D6849"/>
    <w:rsid w:val="007D6A92"/>
    <w:rsid w:val="007D7580"/>
    <w:rsid w:val="007D7DCC"/>
    <w:rsid w:val="007E0850"/>
    <w:rsid w:val="007E0D2E"/>
    <w:rsid w:val="007E1148"/>
    <w:rsid w:val="007E11B1"/>
    <w:rsid w:val="007E2DFC"/>
    <w:rsid w:val="007E3281"/>
    <w:rsid w:val="007E328E"/>
    <w:rsid w:val="007E3348"/>
    <w:rsid w:val="007E3BB0"/>
    <w:rsid w:val="007E4333"/>
    <w:rsid w:val="007E47D5"/>
    <w:rsid w:val="007E50E0"/>
    <w:rsid w:val="007E5194"/>
    <w:rsid w:val="007E5334"/>
    <w:rsid w:val="007E57CD"/>
    <w:rsid w:val="007E5D63"/>
    <w:rsid w:val="007E6322"/>
    <w:rsid w:val="007E655A"/>
    <w:rsid w:val="007F053A"/>
    <w:rsid w:val="007F0D50"/>
    <w:rsid w:val="007F131A"/>
    <w:rsid w:val="007F2B66"/>
    <w:rsid w:val="007F2E7C"/>
    <w:rsid w:val="007F3A4C"/>
    <w:rsid w:val="007F3F5F"/>
    <w:rsid w:val="007F3FC0"/>
    <w:rsid w:val="007F400D"/>
    <w:rsid w:val="007F4011"/>
    <w:rsid w:val="007F4417"/>
    <w:rsid w:val="007F4AB1"/>
    <w:rsid w:val="007F4C9A"/>
    <w:rsid w:val="007F5076"/>
    <w:rsid w:val="007F519D"/>
    <w:rsid w:val="007F6BD9"/>
    <w:rsid w:val="007F6D15"/>
    <w:rsid w:val="007F7239"/>
    <w:rsid w:val="00800040"/>
    <w:rsid w:val="0080174B"/>
    <w:rsid w:val="00801C93"/>
    <w:rsid w:val="00801E5D"/>
    <w:rsid w:val="00802860"/>
    <w:rsid w:val="008028A4"/>
    <w:rsid w:val="00802A28"/>
    <w:rsid w:val="00803342"/>
    <w:rsid w:val="00803F9D"/>
    <w:rsid w:val="008043E9"/>
    <w:rsid w:val="00804B5D"/>
    <w:rsid w:val="00804F6D"/>
    <w:rsid w:val="00805965"/>
    <w:rsid w:val="00805ECE"/>
    <w:rsid w:val="00806568"/>
    <w:rsid w:val="008079DE"/>
    <w:rsid w:val="00807EB7"/>
    <w:rsid w:val="008101D5"/>
    <w:rsid w:val="0081029F"/>
    <w:rsid w:val="008111FE"/>
    <w:rsid w:val="00811A50"/>
    <w:rsid w:val="00812304"/>
    <w:rsid w:val="008124BE"/>
    <w:rsid w:val="00812DCB"/>
    <w:rsid w:val="00813383"/>
    <w:rsid w:val="00813620"/>
    <w:rsid w:val="008146DE"/>
    <w:rsid w:val="00814CCF"/>
    <w:rsid w:val="00814F7C"/>
    <w:rsid w:val="00815008"/>
    <w:rsid w:val="00815486"/>
    <w:rsid w:val="00816CB6"/>
    <w:rsid w:val="008177B2"/>
    <w:rsid w:val="00820218"/>
    <w:rsid w:val="008202BB"/>
    <w:rsid w:val="008202C7"/>
    <w:rsid w:val="008209B0"/>
    <w:rsid w:val="00820C40"/>
    <w:rsid w:val="008210F1"/>
    <w:rsid w:val="00821C27"/>
    <w:rsid w:val="00821F5A"/>
    <w:rsid w:val="00822211"/>
    <w:rsid w:val="00822375"/>
    <w:rsid w:val="00822C68"/>
    <w:rsid w:val="00822D0C"/>
    <w:rsid w:val="0082456A"/>
    <w:rsid w:val="00824925"/>
    <w:rsid w:val="00824E2F"/>
    <w:rsid w:val="00825AAB"/>
    <w:rsid w:val="00826430"/>
    <w:rsid w:val="008265B4"/>
    <w:rsid w:val="00827E21"/>
    <w:rsid w:val="00830087"/>
    <w:rsid w:val="008301E0"/>
    <w:rsid w:val="008317CE"/>
    <w:rsid w:val="00831BB3"/>
    <w:rsid w:val="00831C7E"/>
    <w:rsid w:val="00831E3B"/>
    <w:rsid w:val="00831F20"/>
    <w:rsid w:val="008321F9"/>
    <w:rsid w:val="0083224C"/>
    <w:rsid w:val="00832B09"/>
    <w:rsid w:val="00833179"/>
    <w:rsid w:val="00833C31"/>
    <w:rsid w:val="00834256"/>
    <w:rsid w:val="008343EE"/>
    <w:rsid w:val="008343F6"/>
    <w:rsid w:val="0083456E"/>
    <w:rsid w:val="008356AB"/>
    <w:rsid w:val="00836543"/>
    <w:rsid w:val="00836549"/>
    <w:rsid w:val="008370BD"/>
    <w:rsid w:val="00837341"/>
    <w:rsid w:val="008376B9"/>
    <w:rsid w:val="008377B4"/>
    <w:rsid w:val="00840498"/>
    <w:rsid w:val="00840CCD"/>
    <w:rsid w:val="00841002"/>
    <w:rsid w:val="008410FB"/>
    <w:rsid w:val="00841124"/>
    <w:rsid w:val="00842CE5"/>
    <w:rsid w:val="00843165"/>
    <w:rsid w:val="0084366E"/>
    <w:rsid w:val="0084588B"/>
    <w:rsid w:val="008462AA"/>
    <w:rsid w:val="00846690"/>
    <w:rsid w:val="00846EFA"/>
    <w:rsid w:val="00847196"/>
    <w:rsid w:val="00850326"/>
    <w:rsid w:val="00850A10"/>
    <w:rsid w:val="00851566"/>
    <w:rsid w:val="00851B0E"/>
    <w:rsid w:val="00851C9E"/>
    <w:rsid w:val="00852AE5"/>
    <w:rsid w:val="00853804"/>
    <w:rsid w:val="00853AE1"/>
    <w:rsid w:val="00853D7A"/>
    <w:rsid w:val="00854371"/>
    <w:rsid w:val="0085445A"/>
    <w:rsid w:val="00854D51"/>
    <w:rsid w:val="00854F19"/>
    <w:rsid w:val="0085520A"/>
    <w:rsid w:val="0085690F"/>
    <w:rsid w:val="00857298"/>
    <w:rsid w:val="0085735B"/>
    <w:rsid w:val="0086045E"/>
    <w:rsid w:val="00860715"/>
    <w:rsid w:val="00860BD4"/>
    <w:rsid w:val="00861219"/>
    <w:rsid w:val="008619CA"/>
    <w:rsid w:val="00861BE3"/>
    <w:rsid w:val="00861D86"/>
    <w:rsid w:val="008628F4"/>
    <w:rsid w:val="00862A0C"/>
    <w:rsid w:val="00862D22"/>
    <w:rsid w:val="00863115"/>
    <w:rsid w:val="00863958"/>
    <w:rsid w:val="00864959"/>
    <w:rsid w:val="00865387"/>
    <w:rsid w:val="008657BC"/>
    <w:rsid w:val="00865980"/>
    <w:rsid w:val="00865B8C"/>
    <w:rsid w:val="00865BA8"/>
    <w:rsid w:val="00865F4F"/>
    <w:rsid w:val="00867D3A"/>
    <w:rsid w:val="00867E51"/>
    <w:rsid w:val="008700B3"/>
    <w:rsid w:val="00870B0E"/>
    <w:rsid w:val="00870DB4"/>
    <w:rsid w:val="00871017"/>
    <w:rsid w:val="00871DFC"/>
    <w:rsid w:val="0087239D"/>
    <w:rsid w:val="00872A10"/>
    <w:rsid w:val="00872C9B"/>
    <w:rsid w:val="00874AD1"/>
    <w:rsid w:val="0087554D"/>
    <w:rsid w:val="008758DD"/>
    <w:rsid w:val="00875EEC"/>
    <w:rsid w:val="00876510"/>
    <w:rsid w:val="00876517"/>
    <w:rsid w:val="008768CA"/>
    <w:rsid w:val="00876958"/>
    <w:rsid w:val="00876A4E"/>
    <w:rsid w:val="00877A71"/>
    <w:rsid w:val="00877F17"/>
    <w:rsid w:val="008808A9"/>
    <w:rsid w:val="00880D2B"/>
    <w:rsid w:val="00880D50"/>
    <w:rsid w:val="00881D7B"/>
    <w:rsid w:val="00881E75"/>
    <w:rsid w:val="00882B56"/>
    <w:rsid w:val="00883802"/>
    <w:rsid w:val="00883C92"/>
    <w:rsid w:val="00883EEB"/>
    <w:rsid w:val="00884079"/>
    <w:rsid w:val="008840E7"/>
    <w:rsid w:val="00884F56"/>
    <w:rsid w:val="008852B5"/>
    <w:rsid w:val="00885DAD"/>
    <w:rsid w:val="00885F53"/>
    <w:rsid w:val="00887560"/>
    <w:rsid w:val="008876F5"/>
    <w:rsid w:val="00887846"/>
    <w:rsid w:val="00887995"/>
    <w:rsid w:val="00887BA6"/>
    <w:rsid w:val="008903D9"/>
    <w:rsid w:val="00891DB0"/>
    <w:rsid w:val="008923DC"/>
    <w:rsid w:val="00892E3D"/>
    <w:rsid w:val="00893452"/>
    <w:rsid w:val="008935F7"/>
    <w:rsid w:val="00894167"/>
    <w:rsid w:val="008944BB"/>
    <w:rsid w:val="008951AC"/>
    <w:rsid w:val="0089538D"/>
    <w:rsid w:val="00895E6E"/>
    <w:rsid w:val="00895EE5"/>
    <w:rsid w:val="008963D4"/>
    <w:rsid w:val="00896D10"/>
    <w:rsid w:val="00896D62"/>
    <w:rsid w:val="00897C36"/>
    <w:rsid w:val="008A0222"/>
    <w:rsid w:val="008A0C0B"/>
    <w:rsid w:val="008A10AB"/>
    <w:rsid w:val="008A1154"/>
    <w:rsid w:val="008A1180"/>
    <w:rsid w:val="008A11F3"/>
    <w:rsid w:val="008A2C8C"/>
    <w:rsid w:val="008A3690"/>
    <w:rsid w:val="008A37D5"/>
    <w:rsid w:val="008A3B7A"/>
    <w:rsid w:val="008A43CC"/>
    <w:rsid w:val="008A457B"/>
    <w:rsid w:val="008A527E"/>
    <w:rsid w:val="008A5312"/>
    <w:rsid w:val="008A53DB"/>
    <w:rsid w:val="008A5719"/>
    <w:rsid w:val="008A6675"/>
    <w:rsid w:val="008A6EF7"/>
    <w:rsid w:val="008A7325"/>
    <w:rsid w:val="008A73FF"/>
    <w:rsid w:val="008A7537"/>
    <w:rsid w:val="008A7648"/>
    <w:rsid w:val="008A7C10"/>
    <w:rsid w:val="008B0625"/>
    <w:rsid w:val="008B328E"/>
    <w:rsid w:val="008B3A4A"/>
    <w:rsid w:val="008B3B16"/>
    <w:rsid w:val="008B3BDE"/>
    <w:rsid w:val="008B4CC8"/>
    <w:rsid w:val="008B4CFF"/>
    <w:rsid w:val="008B5183"/>
    <w:rsid w:val="008B5C3E"/>
    <w:rsid w:val="008B5D23"/>
    <w:rsid w:val="008B5E29"/>
    <w:rsid w:val="008B5E5F"/>
    <w:rsid w:val="008B692C"/>
    <w:rsid w:val="008B6AFC"/>
    <w:rsid w:val="008C090A"/>
    <w:rsid w:val="008C0DEE"/>
    <w:rsid w:val="008C12CF"/>
    <w:rsid w:val="008C198F"/>
    <w:rsid w:val="008C19BE"/>
    <w:rsid w:val="008C2012"/>
    <w:rsid w:val="008C2E70"/>
    <w:rsid w:val="008C3ADD"/>
    <w:rsid w:val="008C4377"/>
    <w:rsid w:val="008C446F"/>
    <w:rsid w:val="008C48C8"/>
    <w:rsid w:val="008C577A"/>
    <w:rsid w:val="008C5C10"/>
    <w:rsid w:val="008C5E9E"/>
    <w:rsid w:val="008C5F78"/>
    <w:rsid w:val="008C6DE3"/>
    <w:rsid w:val="008C72F3"/>
    <w:rsid w:val="008C7E70"/>
    <w:rsid w:val="008C7F12"/>
    <w:rsid w:val="008D123B"/>
    <w:rsid w:val="008D1301"/>
    <w:rsid w:val="008D190A"/>
    <w:rsid w:val="008D1C21"/>
    <w:rsid w:val="008D2630"/>
    <w:rsid w:val="008D28A6"/>
    <w:rsid w:val="008D2A13"/>
    <w:rsid w:val="008D2E37"/>
    <w:rsid w:val="008D35BD"/>
    <w:rsid w:val="008D361E"/>
    <w:rsid w:val="008D4FD8"/>
    <w:rsid w:val="008D4FE8"/>
    <w:rsid w:val="008D5468"/>
    <w:rsid w:val="008D69A0"/>
    <w:rsid w:val="008D7002"/>
    <w:rsid w:val="008D754E"/>
    <w:rsid w:val="008E0152"/>
    <w:rsid w:val="008E08E5"/>
    <w:rsid w:val="008E0B2F"/>
    <w:rsid w:val="008E0D3D"/>
    <w:rsid w:val="008E1BDD"/>
    <w:rsid w:val="008E1DF5"/>
    <w:rsid w:val="008E1F3F"/>
    <w:rsid w:val="008E25FA"/>
    <w:rsid w:val="008E26A7"/>
    <w:rsid w:val="008E2873"/>
    <w:rsid w:val="008E37EA"/>
    <w:rsid w:val="008E4489"/>
    <w:rsid w:val="008E464E"/>
    <w:rsid w:val="008E491D"/>
    <w:rsid w:val="008E4EA6"/>
    <w:rsid w:val="008E58C9"/>
    <w:rsid w:val="008E6F1A"/>
    <w:rsid w:val="008E74D6"/>
    <w:rsid w:val="008E781E"/>
    <w:rsid w:val="008E789C"/>
    <w:rsid w:val="008E78F2"/>
    <w:rsid w:val="008E7C7A"/>
    <w:rsid w:val="008E7ED3"/>
    <w:rsid w:val="008E7EEC"/>
    <w:rsid w:val="008F034C"/>
    <w:rsid w:val="008F0A21"/>
    <w:rsid w:val="008F0F82"/>
    <w:rsid w:val="008F1319"/>
    <w:rsid w:val="008F17A7"/>
    <w:rsid w:val="008F196A"/>
    <w:rsid w:val="008F2489"/>
    <w:rsid w:val="008F2B3A"/>
    <w:rsid w:val="008F2C60"/>
    <w:rsid w:val="008F2CC8"/>
    <w:rsid w:val="008F2F48"/>
    <w:rsid w:val="008F3686"/>
    <w:rsid w:val="008F381D"/>
    <w:rsid w:val="008F3FE4"/>
    <w:rsid w:val="008F427A"/>
    <w:rsid w:val="008F49BE"/>
    <w:rsid w:val="008F54E5"/>
    <w:rsid w:val="008F612E"/>
    <w:rsid w:val="008F6229"/>
    <w:rsid w:val="008F6734"/>
    <w:rsid w:val="008F6AAB"/>
    <w:rsid w:val="008F7265"/>
    <w:rsid w:val="008F79A1"/>
    <w:rsid w:val="00900392"/>
    <w:rsid w:val="00900BC6"/>
    <w:rsid w:val="0090176B"/>
    <w:rsid w:val="0090182A"/>
    <w:rsid w:val="0090188A"/>
    <w:rsid w:val="0090246C"/>
    <w:rsid w:val="0090271F"/>
    <w:rsid w:val="00902E23"/>
    <w:rsid w:val="00903273"/>
    <w:rsid w:val="00903645"/>
    <w:rsid w:val="00903A7C"/>
    <w:rsid w:val="00904157"/>
    <w:rsid w:val="009041DD"/>
    <w:rsid w:val="0090440E"/>
    <w:rsid w:val="00905233"/>
    <w:rsid w:val="00905F46"/>
    <w:rsid w:val="0090646B"/>
    <w:rsid w:val="00906EF1"/>
    <w:rsid w:val="009079C4"/>
    <w:rsid w:val="00910422"/>
    <w:rsid w:val="0091085D"/>
    <w:rsid w:val="009108F0"/>
    <w:rsid w:val="00910BBC"/>
    <w:rsid w:val="00910CB1"/>
    <w:rsid w:val="009129CC"/>
    <w:rsid w:val="0091348E"/>
    <w:rsid w:val="0091407C"/>
    <w:rsid w:val="00914937"/>
    <w:rsid w:val="00914AFA"/>
    <w:rsid w:val="0091609B"/>
    <w:rsid w:val="0091633E"/>
    <w:rsid w:val="0091644F"/>
    <w:rsid w:val="00916483"/>
    <w:rsid w:val="00916645"/>
    <w:rsid w:val="00916ADE"/>
    <w:rsid w:val="009177F3"/>
    <w:rsid w:val="00917BA8"/>
    <w:rsid w:val="00917CCB"/>
    <w:rsid w:val="00920E86"/>
    <w:rsid w:val="0092165C"/>
    <w:rsid w:val="009219D2"/>
    <w:rsid w:val="00921D28"/>
    <w:rsid w:val="009225F8"/>
    <w:rsid w:val="00922D0C"/>
    <w:rsid w:val="00922E1B"/>
    <w:rsid w:val="00923675"/>
    <w:rsid w:val="009249D5"/>
    <w:rsid w:val="00924E80"/>
    <w:rsid w:val="00925714"/>
    <w:rsid w:val="0092700A"/>
    <w:rsid w:val="009300D6"/>
    <w:rsid w:val="0093097E"/>
    <w:rsid w:val="00930E00"/>
    <w:rsid w:val="0093101A"/>
    <w:rsid w:val="0093235B"/>
    <w:rsid w:val="0093237A"/>
    <w:rsid w:val="009323E2"/>
    <w:rsid w:val="00932D39"/>
    <w:rsid w:val="009335EA"/>
    <w:rsid w:val="00933B63"/>
    <w:rsid w:val="0093403E"/>
    <w:rsid w:val="00934BE4"/>
    <w:rsid w:val="00935FD6"/>
    <w:rsid w:val="00936249"/>
    <w:rsid w:val="0093626E"/>
    <w:rsid w:val="00936A12"/>
    <w:rsid w:val="00936D2B"/>
    <w:rsid w:val="00936D51"/>
    <w:rsid w:val="00937087"/>
    <w:rsid w:val="0093710C"/>
    <w:rsid w:val="00937BCA"/>
    <w:rsid w:val="009400EE"/>
    <w:rsid w:val="0094017B"/>
    <w:rsid w:val="00940815"/>
    <w:rsid w:val="00941481"/>
    <w:rsid w:val="00941FB1"/>
    <w:rsid w:val="00942529"/>
    <w:rsid w:val="00942EC2"/>
    <w:rsid w:val="00942F8E"/>
    <w:rsid w:val="0094317A"/>
    <w:rsid w:val="00943911"/>
    <w:rsid w:val="00943C3C"/>
    <w:rsid w:val="00943F89"/>
    <w:rsid w:val="0094409B"/>
    <w:rsid w:val="00944AE5"/>
    <w:rsid w:val="00945400"/>
    <w:rsid w:val="00945834"/>
    <w:rsid w:val="00945BBE"/>
    <w:rsid w:val="00946ED7"/>
    <w:rsid w:val="00947189"/>
    <w:rsid w:val="009471EA"/>
    <w:rsid w:val="00947562"/>
    <w:rsid w:val="00947685"/>
    <w:rsid w:val="009476A2"/>
    <w:rsid w:val="00950E25"/>
    <w:rsid w:val="00950E66"/>
    <w:rsid w:val="00951A8A"/>
    <w:rsid w:val="00953E15"/>
    <w:rsid w:val="00953EAD"/>
    <w:rsid w:val="00955462"/>
    <w:rsid w:val="0095585D"/>
    <w:rsid w:val="009558FF"/>
    <w:rsid w:val="00956B29"/>
    <w:rsid w:val="00956FBB"/>
    <w:rsid w:val="00957E2B"/>
    <w:rsid w:val="00960AA3"/>
    <w:rsid w:val="00960B04"/>
    <w:rsid w:val="00960CB1"/>
    <w:rsid w:val="00960DBF"/>
    <w:rsid w:val="00961C05"/>
    <w:rsid w:val="00961D45"/>
    <w:rsid w:val="00961EA3"/>
    <w:rsid w:val="009622F4"/>
    <w:rsid w:val="00962FA3"/>
    <w:rsid w:val="0096346C"/>
    <w:rsid w:val="009634F7"/>
    <w:rsid w:val="009640C7"/>
    <w:rsid w:val="00964CCC"/>
    <w:rsid w:val="00964DFA"/>
    <w:rsid w:val="009653E9"/>
    <w:rsid w:val="00965533"/>
    <w:rsid w:val="00965CFB"/>
    <w:rsid w:val="00965E33"/>
    <w:rsid w:val="0096690D"/>
    <w:rsid w:val="009671FC"/>
    <w:rsid w:val="0096773B"/>
    <w:rsid w:val="00967CF8"/>
    <w:rsid w:val="00967FAF"/>
    <w:rsid w:val="009718F0"/>
    <w:rsid w:val="00971C0B"/>
    <w:rsid w:val="00971C5E"/>
    <w:rsid w:val="00971E51"/>
    <w:rsid w:val="0097269A"/>
    <w:rsid w:val="00972A89"/>
    <w:rsid w:val="00972DF9"/>
    <w:rsid w:val="00972E1F"/>
    <w:rsid w:val="00973797"/>
    <w:rsid w:val="00973F10"/>
    <w:rsid w:val="00973FAD"/>
    <w:rsid w:val="0097459C"/>
    <w:rsid w:val="00974738"/>
    <w:rsid w:val="00974A93"/>
    <w:rsid w:val="00974D2B"/>
    <w:rsid w:val="00974FE2"/>
    <w:rsid w:val="00975372"/>
    <w:rsid w:val="00975684"/>
    <w:rsid w:val="00976848"/>
    <w:rsid w:val="00976B71"/>
    <w:rsid w:val="00977387"/>
    <w:rsid w:val="00977C67"/>
    <w:rsid w:val="00977C68"/>
    <w:rsid w:val="00980511"/>
    <w:rsid w:val="00980573"/>
    <w:rsid w:val="00980BA6"/>
    <w:rsid w:val="00980E3D"/>
    <w:rsid w:val="00981CCE"/>
    <w:rsid w:val="00981D41"/>
    <w:rsid w:val="00981EE3"/>
    <w:rsid w:val="009838AA"/>
    <w:rsid w:val="00983F65"/>
    <w:rsid w:val="00984790"/>
    <w:rsid w:val="00984EB9"/>
    <w:rsid w:val="00985D9C"/>
    <w:rsid w:val="00985F49"/>
    <w:rsid w:val="009863C5"/>
    <w:rsid w:val="00986A82"/>
    <w:rsid w:val="009901D9"/>
    <w:rsid w:val="009905E6"/>
    <w:rsid w:val="009915F6"/>
    <w:rsid w:val="0099187A"/>
    <w:rsid w:val="00991B96"/>
    <w:rsid w:val="00991E68"/>
    <w:rsid w:val="00992743"/>
    <w:rsid w:val="00992E01"/>
    <w:rsid w:val="00993B28"/>
    <w:rsid w:val="00995480"/>
    <w:rsid w:val="00995866"/>
    <w:rsid w:val="00995B7A"/>
    <w:rsid w:val="00995BF2"/>
    <w:rsid w:val="00995F5F"/>
    <w:rsid w:val="00996C65"/>
    <w:rsid w:val="00997A9A"/>
    <w:rsid w:val="00997B09"/>
    <w:rsid w:val="009A10B1"/>
    <w:rsid w:val="009A113D"/>
    <w:rsid w:val="009A1342"/>
    <w:rsid w:val="009A156A"/>
    <w:rsid w:val="009A1D04"/>
    <w:rsid w:val="009A1E1A"/>
    <w:rsid w:val="009A1E7B"/>
    <w:rsid w:val="009A3C47"/>
    <w:rsid w:val="009A3F13"/>
    <w:rsid w:val="009A42AF"/>
    <w:rsid w:val="009A42EC"/>
    <w:rsid w:val="009A6496"/>
    <w:rsid w:val="009A6F2C"/>
    <w:rsid w:val="009A71C9"/>
    <w:rsid w:val="009A722D"/>
    <w:rsid w:val="009A7506"/>
    <w:rsid w:val="009B0041"/>
    <w:rsid w:val="009B022D"/>
    <w:rsid w:val="009B0B7B"/>
    <w:rsid w:val="009B0EFC"/>
    <w:rsid w:val="009B1182"/>
    <w:rsid w:val="009B207A"/>
    <w:rsid w:val="009B2939"/>
    <w:rsid w:val="009B2F4C"/>
    <w:rsid w:val="009B3D09"/>
    <w:rsid w:val="009B3F85"/>
    <w:rsid w:val="009B3FEF"/>
    <w:rsid w:val="009B4369"/>
    <w:rsid w:val="009B4CDB"/>
    <w:rsid w:val="009B56B4"/>
    <w:rsid w:val="009B5B2A"/>
    <w:rsid w:val="009B6204"/>
    <w:rsid w:val="009B6501"/>
    <w:rsid w:val="009B6DE3"/>
    <w:rsid w:val="009B6E74"/>
    <w:rsid w:val="009B77F8"/>
    <w:rsid w:val="009B7800"/>
    <w:rsid w:val="009B7FD9"/>
    <w:rsid w:val="009C02D7"/>
    <w:rsid w:val="009C05CF"/>
    <w:rsid w:val="009C18A0"/>
    <w:rsid w:val="009C2AF8"/>
    <w:rsid w:val="009C31D4"/>
    <w:rsid w:val="009C3FEE"/>
    <w:rsid w:val="009C428E"/>
    <w:rsid w:val="009C5807"/>
    <w:rsid w:val="009C5BCA"/>
    <w:rsid w:val="009C6ADC"/>
    <w:rsid w:val="009C6D70"/>
    <w:rsid w:val="009C6F72"/>
    <w:rsid w:val="009C77D6"/>
    <w:rsid w:val="009D0202"/>
    <w:rsid w:val="009D0B3D"/>
    <w:rsid w:val="009D0F9C"/>
    <w:rsid w:val="009D202B"/>
    <w:rsid w:val="009D2A0F"/>
    <w:rsid w:val="009D2EFE"/>
    <w:rsid w:val="009D343D"/>
    <w:rsid w:val="009D360C"/>
    <w:rsid w:val="009D3877"/>
    <w:rsid w:val="009D3C60"/>
    <w:rsid w:val="009D3D06"/>
    <w:rsid w:val="009D430D"/>
    <w:rsid w:val="009D49C0"/>
    <w:rsid w:val="009D55E0"/>
    <w:rsid w:val="009D6507"/>
    <w:rsid w:val="009D6AF1"/>
    <w:rsid w:val="009D745F"/>
    <w:rsid w:val="009D7885"/>
    <w:rsid w:val="009D7D7C"/>
    <w:rsid w:val="009E01B0"/>
    <w:rsid w:val="009E0488"/>
    <w:rsid w:val="009E1001"/>
    <w:rsid w:val="009E135F"/>
    <w:rsid w:val="009E140D"/>
    <w:rsid w:val="009E1D88"/>
    <w:rsid w:val="009E3292"/>
    <w:rsid w:val="009E48F4"/>
    <w:rsid w:val="009E4904"/>
    <w:rsid w:val="009E4AA1"/>
    <w:rsid w:val="009E5A78"/>
    <w:rsid w:val="009E60F7"/>
    <w:rsid w:val="009E62D2"/>
    <w:rsid w:val="009E6465"/>
    <w:rsid w:val="009E68FC"/>
    <w:rsid w:val="009E6A2E"/>
    <w:rsid w:val="009E7528"/>
    <w:rsid w:val="009E764A"/>
    <w:rsid w:val="009F0042"/>
    <w:rsid w:val="009F0179"/>
    <w:rsid w:val="009F081A"/>
    <w:rsid w:val="009F0ED9"/>
    <w:rsid w:val="009F1F0E"/>
    <w:rsid w:val="009F25EB"/>
    <w:rsid w:val="009F272B"/>
    <w:rsid w:val="009F297A"/>
    <w:rsid w:val="009F29B9"/>
    <w:rsid w:val="009F37B7"/>
    <w:rsid w:val="009F3F25"/>
    <w:rsid w:val="009F6F6D"/>
    <w:rsid w:val="009F701B"/>
    <w:rsid w:val="009F70D1"/>
    <w:rsid w:val="00A00C7D"/>
    <w:rsid w:val="00A01256"/>
    <w:rsid w:val="00A018AB"/>
    <w:rsid w:val="00A019F3"/>
    <w:rsid w:val="00A03418"/>
    <w:rsid w:val="00A042FA"/>
    <w:rsid w:val="00A05449"/>
    <w:rsid w:val="00A056A1"/>
    <w:rsid w:val="00A059EB"/>
    <w:rsid w:val="00A05FC1"/>
    <w:rsid w:val="00A07AC8"/>
    <w:rsid w:val="00A07BCA"/>
    <w:rsid w:val="00A07C10"/>
    <w:rsid w:val="00A07D6C"/>
    <w:rsid w:val="00A07DF6"/>
    <w:rsid w:val="00A10DDF"/>
    <w:rsid w:val="00A10E4C"/>
    <w:rsid w:val="00A10F02"/>
    <w:rsid w:val="00A110CF"/>
    <w:rsid w:val="00A11203"/>
    <w:rsid w:val="00A1174D"/>
    <w:rsid w:val="00A11D00"/>
    <w:rsid w:val="00A121AF"/>
    <w:rsid w:val="00A12937"/>
    <w:rsid w:val="00A13890"/>
    <w:rsid w:val="00A13EF6"/>
    <w:rsid w:val="00A13F4A"/>
    <w:rsid w:val="00A14381"/>
    <w:rsid w:val="00A14A06"/>
    <w:rsid w:val="00A1510C"/>
    <w:rsid w:val="00A151F8"/>
    <w:rsid w:val="00A15472"/>
    <w:rsid w:val="00A156E6"/>
    <w:rsid w:val="00A164B4"/>
    <w:rsid w:val="00A166E8"/>
    <w:rsid w:val="00A168D7"/>
    <w:rsid w:val="00A168EF"/>
    <w:rsid w:val="00A1697D"/>
    <w:rsid w:val="00A16ED2"/>
    <w:rsid w:val="00A17CF8"/>
    <w:rsid w:val="00A2047B"/>
    <w:rsid w:val="00A20BE0"/>
    <w:rsid w:val="00A21423"/>
    <w:rsid w:val="00A21E2B"/>
    <w:rsid w:val="00A225A1"/>
    <w:rsid w:val="00A225CF"/>
    <w:rsid w:val="00A225D1"/>
    <w:rsid w:val="00A22C44"/>
    <w:rsid w:val="00A22CDE"/>
    <w:rsid w:val="00A23023"/>
    <w:rsid w:val="00A2330E"/>
    <w:rsid w:val="00A233D6"/>
    <w:rsid w:val="00A233DD"/>
    <w:rsid w:val="00A236CA"/>
    <w:rsid w:val="00A2387B"/>
    <w:rsid w:val="00A23BF2"/>
    <w:rsid w:val="00A23D82"/>
    <w:rsid w:val="00A25327"/>
    <w:rsid w:val="00A25CA9"/>
    <w:rsid w:val="00A271FD"/>
    <w:rsid w:val="00A2763F"/>
    <w:rsid w:val="00A27896"/>
    <w:rsid w:val="00A27921"/>
    <w:rsid w:val="00A27A29"/>
    <w:rsid w:val="00A27D81"/>
    <w:rsid w:val="00A315DD"/>
    <w:rsid w:val="00A31E31"/>
    <w:rsid w:val="00A320CF"/>
    <w:rsid w:val="00A3266F"/>
    <w:rsid w:val="00A346E4"/>
    <w:rsid w:val="00A35180"/>
    <w:rsid w:val="00A35229"/>
    <w:rsid w:val="00A35642"/>
    <w:rsid w:val="00A359AA"/>
    <w:rsid w:val="00A35A3B"/>
    <w:rsid w:val="00A36756"/>
    <w:rsid w:val="00A37E27"/>
    <w:rsid w:val="00A406BF"/>
    <w:rsid w:val="00A40740"/>
    <w:rsid w:val="00A40D7A"/>
    <w:rsid w:val="00A40F4F"/>
    <w:rsid w:val="00A41090"/>
    <w:rsid w:val="00A4128F"/>
    <w:rsid w:val="00A424EE"/>
    <w:rsid w:val="00A42E5D"/>
    <w:rsid w:val="00A42F21"/>
    <w:rsid w:val="00A43254"/>
    <w:rsid w:val="00A43335"/>
    <w:rsid w:val="00A43B00"/>
    <w:rsid w:val="00A44433"/>
    <w:rsid w:val="00A447D8"/>
    <w:rsid w:val="00A44EFE"/>
    <w:rsid w:val="00A4529B"/>
    <w:rsid w:val="00A45E1B"/>
    <w:rsid w:val="00A46029"/>
    <w:rsid w:val="00A46579"/>
    <w:rsid w:val="00A470A1"/>
    <w:rsid w:val="00A514B0"/>
    <w:rsid w:val="00A521AE"/>
    <w:rsid w:val="00A52878"/>
    <w:rsid w:val="00A532C8"/>
    <w:rsid w:val="00A53724"/>
    <w:rsid w:val="00A53DB8"/>
    <w:rsid w:val="00A5475A"/>
    <w:rsid w:val="00A549F6"/>
    <w:rsid w:val="00A549F8"/>
    <w:rsid w:val="00A5668B"/>
    <w:rsid w:val="00A574DB"/>
    <w:rsid w:val="00A5757B"/>
    <w:rsid w:val="00A57E1D"/>
    <w:rsid w:val="00A60DFE"/>
    <w:rsid w:val="00A61306"/>
    <w:rsid w:val="00A6134B"/>
    <w:rsid w:val="00A62B70"/>
    <w:rsid w:val="00A63222"/>
    <w:rsid w:val="00A63359"/>
    <w:rsid w:val="00A63537"/>
    <w:rsid w:val="00A6378D"/>
    <w:rsid w:val="00A638CC"/>
    <w:rsid w:val="00A65DD4"/>
    <w:rsid w:val="00A6654A"/>
    <w:rsid w:val="00A6677A"/>
    <w:rsid w:val="00A66951"/>
    <w:rsid w:val="00A67446"/>
    <w:rsid w:val="00A674BE"/>
    <w:rsid w:val="00A67DC7"/>
    <w:rsid w:val="00A7003E"/>
    <w:rsid w:val="00A7079C"/>
    <w:rsid w:val="00A711D7"/>
    <w:rsid w:val="00A713FF"/>
    <w:rsid w:val="00A71ADF"/>
    <w:rsid w:val="00A71BCB"/>
    <w:rsid w:val="00A71EC6"/>
    <w:rsid w:val="00A71F8C"/>
    <w:rsid w:val="00A7285B"/>
    <w:rsid w:val="00A72E15"/>
    <w:rsid w:val="00A731DF"/>
    <w:rsid w:val="00A73957"/>
    <w:rsid w:val="00A747D5"/>
    <w:rsid w:val="00A750BE"/>
    <w:rsid w:val="00A751A9"/>
    <w:rsid w:val="00A755E1"/>
    <w:rsid w:val="00A75BD5"/>
    <w:rsid w:val="00A75C70"/>
    <w:rsid w:val="00A75C98"/>
    <w:rsid w:val="00A7637D"/>
    <w:rsid w:val="00A763AE"/>
    <w:rsid w:val="00A769F2"/>
    <w:rsid w:val="00A76CDE"/>
    <w:rsid w:val="00A76FFD"/>
    <w:rsid w:val="00A77C7B"/>
    <w:rsid w:val="00A77EC2"/>
    <w:rsid w:val="00A81137"/>
    <w:rsid w:val="00A822DA"/>
    <w:rsid w:val="00A82346"/>
    <w:rsid w:val="00A8275D"/>
    <w:rsid w:val="00A82C8B"/>
    <w:rsid w:val="00A83EB9"/>
    <w:rsid w:val="00A8453C"/>
    <w:rsid w:val="00A847D0"/>
    <w:rsid w:val="00A84BAD"/>
    <w:rsid w:val="00A86784"/>
    <w:rsid w:val="00A86B88"/>
    <w:rsid w:val="00A86C54"/>
    <w:rsid w:val="00A86D96"/>
    <w:rsid w:val="00A87883"/>
    <w:rsid w:val="00A87921"/>
    <w:rsid w:val="00A90962"/>
    <w:rsid w:val="00A90D06"/>
    <w:rsid w:val="00A90EA8"/>
    <w:rsid w:val="00A912D4"/>
    <w:rsid w:val="00A914F5"/>
    <w:rsid w:val="00A935E0"/>
    <w:rsid w:val="00A938FA"/>
    <w:rsid w:val="00A93CA5"/>
    <w:rsid w:val="00A93D21"/>
    <w:rsid w:val="00A93D87"/>
    <w:rsid w:val="00A940F4"/>
    <w:rsid w:val="00A943BA"/>
    <w:rsid w:val="00A95454"/>
    <w:rsid w:val="00A95E02"/>
    <w:rsid w:val="00A96A6C"/>
    <w:rsid w:val="00A97042"/>
    <w:rsid w:val="00AA06C4"/>
    <w:rsid w:val="00AA0E78"/>
    <w:rsid w:val="00AA14D4"/>
    <w:rsid w:val="00AA1634"/>
    <w:rsid w:val="00AA1F4C"/>
    <w:rsid w:val="00AA2187"/>
    <w:rsid w:val="00AA2A35"/>
    <w:rsid w:val="00AA2A84"/>
    <w:rsid w:val="00AA3286"/>
    <w:rsid w:val="00AA3332"/>
    <w:rsid w:val="00AA3D81"/>
    <w:rsid w:val="00AA460E"/>
    <w:rsid w:val="00AA4666"/>
    <w:rsid w:val="00AA4694"/>
    <w:rsid w:val="00AA52EB"/>
    <w:rsid w:val="00AA565F"/>
    <w:rsid w:val="00AA5B9F"/>
    <w:rsid w:val="00AA5FAE"/>
    <w:rsid w:val="00AA62D1"/>
    <w:rsid w:val="00AA6762"/>
    <w:rsid w:val="00AA68BB"/>
    <w:rsid w:val="00AA6F8D"/>
    <w:rsid w:val="00AA74D4"/>
    <w:rsid w:val="00AA7570"/>
    <w:rsid w:val="00AA771F"/>
    <w:rsid w:val="00AB00A5"/>
    <w:rsid w:val="00AB044F"/>
    <w:rsid w:val="00AB11D0"/>
    <w:rsid w:val="00AB1D5A"/>
    <w:rsid w:val="00AB258F"/>
    <w:rsid w:val="00AB297B"/>
    <w:rsid w:val="00AB2B96"/>
    <w:rsid w:val="00AB2C48"/>
    <w:rsid w:val="00AB31B3"/>
    <w:rsid w:val="00AB368A"/>
    <w:rsid w:val="00AB4907"/>
    <w:rsid w:val="00AB4C6C"/>
    <w:rsid w:val="00AB5131"/>
    <w:rsid w:val="00AB67AE"/>
    <w:rsid w:val="00AB6D44"/>
    <w:rsid w:val="00AC166A"/>
    <w:rsid w:val="00AC21BB"/>
    <w:rsid w:val="00AC2EF7"/>
    <w:rsid w:val="00AC3361"/>
    <w:rsid w:val="00AC363A"/>
    <w:rsid w:val="00AC3D4E"/>
    <w:rsid w:val="00AC3F0F"/>
    <w:rsid w:val="00AC4263"/>
    <w:rsid w:val="00AC4A29"/>
    <w:rsid w:val="00AC4DB6"/>
    <w:rsid w:val="00AC4F8A"/>
    <w:rsid w:val="00AC5225"/>
    <w:rsid w:val="00AC6C81"/>
    <w:rsid w:val="00AC7750"/>
    <w:rsid w:val="00AC7851"/>
    <w:rsid w:val="00AC7B22"/>
    <w:rsid w:val="00AD096E"/>
    <w:rsid w:val="00AD1C20"/>
    <w:rsid w:val="00AD2296"/>
    <w:rsid w:val="00AD2593"/>
    <w:rsid w:val="00AD2993"/>
    <w:rsid w:val="00AD2F6B"/>
    <w:rsid w:val="00AD4E0C"/>
    <w:rsid w:val="00AD5476"/>
    <w:rsid w:val="00AD57C0"/>
    <w:rsid w:val="00AD5979"/>
    <w:rsid w:val="00AD5F73"/>
    <w:rsid w:val="00AD6063"/>
    <w:rsid w:val="00AD6777"/>
    <w:rsid w:val="00AD6E7F"/>
    <w:rsid w:val="00AD748B"/>
    <w:rsid w:val="00AD79D5"/>
    <w:rsid w:val="00AD7B74"/>
    <w:rsid w:val="00AD7EB2"/>
    <w:rsid w:val="00AE0313"/>
    <w:rsid w:val="00AE0D94"/>
    <w:rsid w:val="00AE1EC5"/>
    <w:rsid w:val="00AE1EF9"/>
    <w:rsid w:val="00AE1F84"/>
    <w:rsid w:val="00AE27F1"/>
    <w:rsid w:val="00AE32FE"/>
    <w:rsid w:val="00AE3C0D"/>
    <w:rsid w:val="00AE3D2B"/>
    <w:rsid w:val="00AE3D92"/>
    <w:rsid w:val="00AE43C7"/>
    <w:rsid w:val="00AE536E"/>
    <w:rsid w:val="00AE56CB"/>
    <w:rsid w:val="00AE56DB"/>
    <w:rsid w:val="00AE581F"/>
    <w:rsid w:val="00AE5A0D"/>
    <w:rsid w:val="00AE5D79"/>
    <w:rsid w:val="00AE6D3A"/>
    <w:rsid w:val="00AE6E7D"/>
    <w:rsid w:val="00AE72FA"/>
    <w:rsid w:val="00AF0C8D"/>
    <w:rsid w:val="00AF12AF"/>
    <w:rsid w:val="00AF12FC"/>
    <w:rsid w:val="00AF1327"/>
    <w:rsid w:val="00AF1C65"/>
    <w:rsid w:val="00AF2928"/>
    <w:rsid w:val="00AF2C21"/>
    <w:rsid w:val="00AF307E"/>
    <w:rsid w:val="00AF363C"/>
    <w:rsid w:val="00AF37ED"/>
    <w:rsid w:val="00AF37F2"/>
    <w:rsid w:val="00AF3C72"/>
    <w:rsid w:val="00AF5628"/>
    <w:rsid w:val="00AF5B5F"/>
    <w:rsid w:val="00AF5E3B"/>
    <w:rsid w:val="00AF5F87"/>
    <w:rsid w:val="00AF6932"/>
    <w:rsid w:val="00AF711D"/>
    <w:rsid w:val="00AF792C"/>
    <w:rsid w:val="00AF7C66"/>
    <w:rsid w:val="00AF7F29"/>
    <w:rsid w:val="00B00611"/>
    <w:rsid w:val="00B009E8"/>
    <w:rsid w:val="00B018D8"/>
    <w:rsid w:val="00B026B8"/>
    <w:rsid w:val="00B02EC7"/>
    <w:rsid w:val="00B033F0"/>
    <w:rsid w:val="00B034E4"/>
    <w:rsid w:val="00B03A04"/>
    <w:rsid w:val="00B0469F"/>
    <w:rsid w:val="00B04A6A"/>
    <w:rsid w:val="00B05B1A"/>
    <w:rsid w:val="00B06022"/>
    <w:rsid w:val="00B06069"/>
    <w:rsid w:val="00B0628A"/>
    <w:rsid w:val="00B06D5E"/>
    <w:rsid w:val="00B07101"/>
    <w:rsid w:val="00B07402"/>
    <w:rsid w:val="00B074BE"/>
    <w:rsid w:val="00B07521"/>
    <w:rsid w:val="00B07AD8"/>
    <w:rsid w:val="00B07B76"/>
    <w:rsid w:val="00B07BC2"/>
    <w:rsid w:val="00B104CC"/>
    <w:rsid w:val="00B10AE7"/>
    <w:rsid w:val="00B10FA0"/>
    <w:rsid w:val="00B11444"/>
    <w:rsid w:val="00B11767"/>
    <w:rsid w:val="00B11C0A"/>
    <w:rsid w:val="00B1262D"/>
    <w:rsid w:val="00B12A7F"/>
    <w:rsid w:val="00B13DDE"/>
    <w:rsid w:val="00B13F1A"/>
    <w:rsid w:val="00B14BB6"/>
    <w:rsid w:val="00B14E26"/>
    <w:rsid w:val="00B15449"/>
    <w:rsid w:val="00B1551F"/>
    <w:rsid w:val="00B15AC1"/>
    <w:rsid w:val="00B15E34"/>
    <w:rsid w:val="00B16091"/>
    <w:rsid w:val="00B175F5"/>
    <w:rsid w:val="00B17A44"/>
    <w:rsid w:val="00B22209"/>
    <w:rsid w:val="00B223E8"/>
    <w:rsid w:val="00B22640"/>
    <w:rsid w:val="00B22753"/>
    <w:rsid w:val="00B22B9E"/>
    <w:rsid w:val="00B22DB0"/>
    <w:rsid w:val="00B237B2"/>
    <w:rsid w:val="00B241F0"/>
    <w:rsid w:val="00B2440C"/>
    <w:rsid w:val="00B24C97"/>
    <w:rsid w:val="00B25930"/>
    <w:rsid w:val="00B27445"/>
    <w:rsid w:val="00B277B7"/>
    <w:rsid w:val="00B27A9B"/>
    <w:rsid w:val="00B27CE3"/>
    <w:rsid w:val="00B30003"/>
    <w:rsid w:val="00B30A1E"/>
    <w:rsid w:val="00B31898"/>
    <w:rsid w:val="00B31C85"/>
    <w:rsid w:val="00B320BF"/>
    <w:rsid w:val="00B32664"/>
    <w:rsid w:val="00B32F4B"/>
    <w:rsid w:val="00B3366A"/>
    <w:rsid w:val="00B34378"/>
    <w:rsid w:val="00B344C1"/>
    <w:rsid w:val="00B34A16"/>
    <w:rsid w:val="00B35586"/>
    <w:rsid w:val="00B356FB"/>
    <w:rsid w:val="00B359FE"/>
    <w:rsid w:val="00B36247"/>
    <w:rsid w:val="00B368A7"/>
    <w:rsid w:val="00B37DF1"/>
    <w:rsid w:val="00B406AC"/>
    <w:rsid w:val="00B406BB"/>
    <w:rsid w:val="00B40A20"/>
    <w:rsid w:val="00B40CA6"/>
    <w:rsid w:val="00B40E6D"/>
    <w:rsid w:val="00B432AA"/>
    <w:rsid w:val="00B4408D"/>
    <w:rsid w:val="00B44355"/>
    <w:rsid w:val="00B44898"/>
    <w:rsid w:val="00B44C4C"/>
    <w:rsid w:val="00B44DFB"/>
    <w:rsid w:val="00B44E1D"/>
    <w:rsid w:val="00B455EA"/>
    <w:rsid w:val="00B459B7"/>
    <w:rsid w:val="00B45F76"/>
    <w:rsid w:val="00B46294"/>
    <w:rsid w:val="00B46B40"/>
    <w:rsid w:val="00B46EF8"/>
    <w:rsid w:val="00B47299"/>
    <w:rsid w:val="00B4741B"/>
    <w:rsid w:val="00B4769B"/>
    <w:rsid w:val="00B47FDA"/>
    <w:rsid w:val="00B501B3"/>
    <w:rsid w:val="00B50434"/>
    <w:rsid w:val="00B505F4"/>
    <w:rsid w:val="00B512AF"/>
    <w:rsid w:val="00B51CAA"/>
    <w:rsid w:val="00B51F6C"/>
    <w:rsid w:val="00B530B1"/>
    <w:rsid w:val="00B5336E"/>
    <w:rsid w:val="00B53C42"/>
    <w:rsid w:val="00B53DE4"/>
    <w:rsid w:val="00B53E37"/>
    <w:rsid w:val="00B53E51"/>
    <w:rsid w:val="00B54D27"/>
    <w:rsid w:val="00B55E0E"/>
    <w:rsid w:val="00B56936"/>
    <w:rsid w:val="00B605EF"/>
    <w:rsid w:val="00B60AA0"/>
    <w:rsid w:val="00B60B8D"/>
    <w:rsid w:val="00B61B24"/>
    <w:rsid w:val="00B6214D"/>
    <w:rsid w:val="00B64D38"/>
    <w:rsid w:val="00B65B5A"/>
    <w:rsid w:val="00B66703"/>
    <w:rsid w:val="00B66B27"/>
    <w:rsid w:val="00B679CE"/>
    <w:rsid w:val="00B7003E"/>
    <w:rsid w:val="00B70644"/>
    <w:rsid w:val="00B71074"/>
    <w:rsid w:val="00B71638"/>
    <w:rsid w:val="00B71AE2"/>
    <w:rsid w:val="00B71F8D"/>
    <w:rsid w:val="00B72083"/>
    <w:rsid w:val="00B72DB6"/>
    <w:rsid w:val="00B730A0"/>
    <w:rsid w:val="00B73686"/>
    <w:rsid w:val="00B74135"/>
    <w:rsid w:val="00B7449A"/>
    <w:rsid w:val="00B744B7"/>
    <w:rsid w:val="00B7494B"/>
    <w:rsid w:val="00B76DA4"/>
    <w:rsid w:val="00B8068E"/>
    <w:rsid w:val="00B8074B"/>
    <w:rsid w:val="00B81032"/>
    <w:rsid w:val="00B81883"/>
    <w:rsid w:val="00B82A89"/>
    <w:rsid w:val="00B83137"/>
    <w:rsid w:val="00B846E3"/>
    <w:rsid w:val="00B84794"/>
    <w:rsid w:val="00B84A92"/>
    <w:rsid w:val="00B84F48"/>
    <w:rsid w:val="00B852FF"/>
    <w:rsid w:val="00B8542D"/>
    <w:rsid w:val="00B85848"/>
    <w:rsid w:val="00B86467"/>
    <w:rsid w:val="00B86983"/>
    <w:rsid w:val="00B86EEA"/>
    <w:rsid w:val="00B87266"/>
    <w:rsid w:val="00B8735A"/>
    <w:rsid w:val="00B873FB"/>
    <w:rsid w:val="00B87AD9"/>
    <w:rsid w:val="00B87F2A"/>
    <w:rsid w:val="00B905D7"/>
    <w:rsid w:val="00B90690"/>
    <w:rsid w:val="00B90874"/>
    <w:rsid w:val="00B91AD7"/>
    <w:rsid w:val="00B92781"/>
    <w:rsid w:val="00B9279B"/>
    <w:rsid w:val="00B92CA4"/>
    <w:rsid w:val="00B93149"/>
    <w:rsid w:val="00B9332B"/>
    <w:rsid w:val="00B939CF"/>
    <w:rsid w:val="00B93D6F"/>
    <w:rsid w:val="00B9421F"/>
    <w:rsid w:val="00B94D3A"/>
    <w:rsid w:val="00B95106"/>
    <w:rsid w:val="00B95A1F"/>
    <w:rsid w:val="00B95AED"/>
    <w:rsid w:val="00B9628B"/>
    <w:rsid w:val="00B966C5"/>
    <w:rsid w:val="00B975DE"/>
    <w:rsid w:val="00B97CA9"/>
    <w:rsid w:val="00B97DB3"/>
    <w:rsid w:val="00BA05FB"/>
    <w:rsid w:val="00BA09FE"/>
    <w:rsid w:val="00BA0D9B"/>
    <w:rsid w:val="00BA1FA4"/>
    <w:rsid w:val="00BA262E"/>
    <w:rsid w:val="00BA4798"/>
    <w:rsid w:val="00BA4944"/>
    <w:rsid w:val="00BA4C28"/>
    <w:rsid w:val="00BA52F3"/>
    <w:rsid w:val="00BA65FF"/>
    <w:rsid w:val="00BA6900"/>
    <w:rsid w:val="00BA6F7B"/>
    <w:rsid w:val="00BA7470"/>
    <w:rsid w:val="00BA74CA"/>
    <w:rsid w:val="00BA7938"/>
    <w:rsid w:val="00BA7A79"/>
    <w:rsid w:val="00BA7E8B"/>
    <w:rsid w:val="00BB15AF"/>
    <w:rsid w:val="00BB277B"/>
    <w:rsid w:val="00BB30DA"/>
    <w:rsid w:val="00BB396E"/>
    <w:rsid w:val="00BB3E1D"/>
    <w:rsid w:val="00BB4334"/>
    <w:rsid w:val="00BB469D"/>
    <w:rsid w:val="00BB4D98"/>
    <w:rsid w:val="00BB539A"/>
    <w:rsid w:val="00BB5A98"/>
    <w:rsid w:val="00BB5C36"/>
    <w:rsid w:val="00BB65F8"/>
    <w:rsid w:val="00BB68C7"/>
    <w:rsid w:val="00BB7729"/>
    <w:rsid w:val="00BB79EA"/>
    <w:rsid w:val="00BC02C9"/>
    <w:rsid w:val="00BC0F7D"/>
    <w:rsid w:val="00BC1204"/>
    <w:rsid w:val="00BC177C"/>
    <w:rsid w:val="00BC17E0"/>
    <w:rsid w:val="00BC1EF2"/>
    <w:rsid w:val="00BC2922"/>
    <w:rsid w:val="00BC2C26"/>
    <w:rsid w:val="00BC2F61"/>
    <w:rsid w:val="00BC303F"/>
    <w:rsid w:val="00BC309C"/>
    <w:rsid w:val="00BC3675"/>
    <w:rsid w:val="00BC3BC7"/>
    <w:rsid w:val="00BC4319"/>
    <w:rsid w:val="00BC45BC"/>
    <w:rsid w:val="00BC4BA9"/>
    <w:rsid w:val="00BC52D5"/>
    <w:rsid w:val="00BC5D53"/>
    <w:rsid w:val="00BC5E41"/>
    <w:rsid w:val="00BC606E"/>
    <w:rsid w:val="00BC6A5D"/>
    <w:rsid w:val="00BC6DEF"/>
    <w:rsid w:val="00BC786E"/>
    <w:rsid w:val="00BC78E2"/>
    <w:rsid w:val="00BC7CF1"/>
    <w:rsid w:val="00BC7ECF"/>
    <w:rsid w:val="00BD010A"/>
    <w:rsid w:val="00BD0FBF"/>
    <w:rsid w:val="00BD199C"/>
    <w:rsid w:val="00BD19F1"/>
    <w:rsid w:val="00BD1A2D"/>
    <w:rsid w:val="00BD2D8B"/>
    <w:rsid w:val="00BD4100"/>
    <w:rsid w:val="00BD519E"/>
    <w:rsid w:val="00BD5A57"/>
    <w:rsid w:val="00BD5BF8"/>
    <w:rsid w:val="00BD7A20"/>
    <w:rsid w:val="00BD7D00"/>
    <w:rsid w:val="00BD7D84"/>
    <w:rsid w:val="00BE0199"/>
    <w:rsid w:val="00BE1476"/>
    <w:rsid w:val="00BE3157"/>
    <w:rsid w:val="00BE3299"/>
    <w:rsid w:val="00BE33E4"/>
    <w:rsid w:val="00BE3977"/>
    <w:rsid w:val="00BE4035"/>
    <w:rsid w:val="00BE404B"/>
    <w:rsid w:val="00BE4CBD"/>
    <w:rsid w:val="00BE50C4"/>
    <w:rsid w:val="00BE5EC2"/>
    <w:rsid w:val="00BE6C06"/>
    <w:rsid w:val="00BE70D2"/>
    <w:rsid w:val="00BE7282"/>
    <w:rsid w:val="00BE7585"/>
    <w:rsid w:val="00BE78B0"/>
    <w:rsid w:val="00BF07D3"/>
    <w:rsid w:val="00BF0F73"/>
    <w:rsid w:val="00BF1523"/>
    <w:rsid w:val="00BF156B"/>
    <w:rsid w:val="00BF15D6"/>
    <w:rsid w:val="00BF1BEA"/>
    <w:rsid w:val="00BF24DC"/>
    <w:rsid w:val="00BF2522"/>
    <w:rsid w:val="00BF2EB5"/>
    <w:rsid w:val="00BF3A32"/>
    <w:rsid w:val="00BF42D6"/>
    <w:rsid w:val="00BF46B4"/>
    <w:rsid w:val="00BF4C22"/>
    <w:rsid w:val="00BF72A0"/>
    <w:rsid w:val="00C00D0E"/>
    <w:rsid w:val="00C01053"/>
    <w:rsid w:val="00C0121C"/>
    <w:rsid w:val="00C01515"/>
    <w:rsid w:val="00C02387"/>
    <w:rsid w:val="00C025B4"/>
    <w:rsid w:val="00C02D8B"/>
    <w:rsid w:val="00C03644"/>
    <w:rsid w:val="00C040A1"/>
    <w:rsid w:val="00C040DE"/>
    <w:rsid w:val="00C04424"/>
    <w:rsid w:val="00C0494E"/>
    <w:rsid w:val="00C04D9E"/>
    <w:rsid w:val="00C04E9E"/>
    <w:rsid w:val="00C058B3"/>
    <w:rsid w:val="00C059C0"/>
    <w:rsid w:val="00C06143"/>
    <w:rsid w:val="00C06AFA"/>
    <w:rsid w:val="00C06C84"/>
    <w:rsid w:val="00C07376"/>
    <w:rsid w:val="00C10325"/>
    <w:rsid w:val="00C10BA8"/>
    <w:rsid w:val="00C10F8B"/>
    <w:rsid w:val="00C113E9"/>
    <w:rsid w:val="00C119F9"/>
    <w:rsid w:val="00C11C65"/>
    <w:rsid w:val="00C12919"/>
    <w:rsid w:val="00C12C09"/>
    <w:rsid w:val="00C12F90"/>
    <w:rsid w:val="00C13133"/>
    <w:rsid w:val="00C14182"/>
    <w:rsid w:val="00C14BD2"/>
    <w:rsid w:val="00C14F87"/>
    <w:rsid w:val="00C155C1"/>
    <w:rsid w:val="00C16232"/>
    <w:rsid w:val="00C203DF"/>
    <w:rsid w:val="00C20B83"/>
    <w:rsid w:val="00C21212"/>
    <w:rsid w:val="00C22107"/>
    <w:rsid w:val="00C2231D"/>
    <w:rsid w:val="00C22CFD"/>
    <w:rsid w:val="00C22E6F"/>
    <w:rsid w:val="00C22E96"/>
    <w:rsid w:val="00C238D6"/>
    <w:rsid w:val="00C23F82"/>
    <w:rsid w:val="00C24A9C"/>
    <w:rsid w:val="00C24B8D"/>
    <w:rsid w:val="00C24F9E"/>
    <w:rsid w:val="00C25F51"/>
    <w:rsid w:val="00C265CD"/>
    <w:rsid w:val="00C26E8B"/>
    <w:rsid w:val="00C2710D"/>
    <w:rsid w:val="00C2730D"/>
    <w:rsid w:val="00C2746E"/>
    <w:rsid w:val="00C27D72"/>
    <w:rsid w:val="00C27DD8"/>
    <w:rsid w:val="00C3014D"/>
    <w:rsid w:val="00C31077"/>
    <w:rsid w:val="00C3129C"/>
    <w:rsid w:val="00C31BC8"/>
    <w:rsid w:val="00C32165"/>
    <w:rsid w:val="00C32A51"/>
    <w:rsid w:val="00C32CDC"/>
    <w:rsid w:val="00C33079"/>
    <w:rsid w:val="00C332F6"/>
    <w:rsid w:val="00C333B9"/>
    <w:rsid w:val="00C33524"/>
    <w:rsid w:val="00C33A6D"/>
    <w:rsid w:val="00C33FC1"/>
    <w:rsid w:val="00C34E9E"/>
    <w:rsid w:val="00C34F78"/>
    <w:rsid w:val="00C350A1"/>
    <w:rsid w:val="00C35C18"/>
    <w:rsid w:val="00C360DC"/>
    <w:rsid w:val="00C371D4"/>
    <w:rsid w:val="00C402B3"/>
    <w:rsid w:val="00C4068E"/>
    <w:rsid w:val="00C40776"/>
    <w:rsid w:val="00C408EB"/>
    <w:rsid w:val="00C409F8"/>
    <w:rsid w:val="00C40BE8"/>
    <w:rsid w:val="00C40CF8"/>
    <w:rsid w:val="00C410AD"/>
    <w:rsid w:val="00C412D5"/>
    <w:rsid w:val="00C424E4"/>
    <w:rsid w:val="00C429E8"/>
    <w:rsid w:val="00C4424D"/>
    <w:rsid w:val="00C44374"/>
    <w:rsid w:val="00C445A8"/>
    <w:rsid w:val="00C451A8"/>
    <w:rsid w:val="00C45231"/>
    <w:rsid w:val="00C45EDF"/>
    <w:rsid w:val="00C47EB2"/>
    <w:rsid w:val="00C5013E"/>
    <w:rsid w:val="00C50511"/>
    <w:rsid w:val="00C51082"/>
    <w:rsid w:val="00C51687"/>
    <w:rsid w:val="00C528FD"/>
    <w:rsid w:val="00C52D23"/>
    <w:rsid w:val="00C53164"/>
    <w:rsid w:val="00C53B3A"/>
    <w:rsid w:val="00C54446"/>
    <w:rsid w:val="00C54B0C"/>
    <w:rsid w:val="00C55160"/>
    <w:rsid w:val="00C55A8B"/>
    <w:rsid w:val="00C575EA"/>
    <w:rsid w:val="00C60931"/>
    <w:rsid w:val="00C614DD"/>
    <w:rsid w:val="00C61573"/>
    <w:rsid w:val="00C61D72"/>
    <w:rsid w:val="00C63332"/>
    <w:rsid w:val="00C63E68"/>
    <w:rsid w:val="00C64B66"/>
    <w:rsid w:val="00C64C31"/>
    <w:rsid w:val="00C65260"/>
    <w:rsid w:val="00C656B5"/>
    <w:rsid w:val="00C6570B"/>
    <w:rsid w:val="00C65DCA"/>
    <w:rsid w:val="00C664B5"/>
    <w:rsid w:val="00C67522"/>
    <w:rsid w:val="00C67A19"/>
    <w:rsid w:val="00C67BE8"/>
    <w:rsid w:val="00C70E4E"/>
    <w:rsid w:val="00C722B4"/>
    <w:rsid w:val="00C72448"/>
    <w:rsid w:val="00C7248B"/>
    <w:rsid w:val="00C72630"/>
    <w:rsid w:val="00C72806"/>
    <w:rsid w:val="00C72833"/>
    <w:rsid w:val="00C72D87"/>
    <w:rsid w:val="00C7398E"/>
    <w:rsid w:val="00C74266"/>
    <w:rsid w:val="00C74733"/>
    <w:rsid w:val="00C74A92"/>
    <w:rsid w:val="00C7503D"/>
    <w:rsid w:val="00C764F1"/>
    <w:rsid w:val="00C76AC2"/>
    <w:rsid w:val="00C77014"/>
    <w:rsid w:val="00C77121"/>
    <w:rsid w:val="00C775DD"/>
    <w:rsid w:val="00C77898"/>
    <w:rsid w:val="00C8030C"/>
    <w:rsid w:val="00C80327"/>
    <w:rsid w:val="00C8039F"/>
    <w:rsid w:val="00C804B0"/>
    <w:rsid w:val="00C80A98"/>
    <w:rsid w:val="00C80F01"/>
    <w:rsid w:val="00C810E3"/>
    <w:rsid w:val="00C81100"/>
    <w:rsid w:val="00C814AE"/>
    <w:rsid w:val="00C8192D"/>
    <w:rsid w:val="00C81A61"/>
    <w:rsid w:val="00C8285F"/>
    <w:rsid w:val="00C82F14"/>
    <w:rsid w:val="00C83058"/>
    <w:rsid w:val="00C83C45"/>
    <w:rsid w:val="00C83E95"/>
    <w:rsid w:val="00C8413E"/>
    <w:rsid w:val="00C84782"/>
    <w:rsid w:val="00C84955"/>
    <w:rsid w:val="00C84F93"/>
    <w:rsid w:val="00C851D9"/>
    <w:rsid w:val="00C861D9"/>
    <w:rsid w:val="00C8622E"/>
    <w:rsid w:val="00C86A00"/>
    <w:rsid w:val="00C87323"/>
    <w:rsid w:val="00C87F52"/>
    <w:rsid w:val="00C91216"/>
    <w:rsid w:val="00C919C6"/>
    <w:rsid w:val="00C91C07"/>
    <w:rsid w:val="00C92097"/>
    <w:rsid w:val="00C93634"/>
    <w:rsid w:val="00C93738"/>
    <w:rsid w:val="00C93BDA"/>
    <w:rsid w:val="00C93EBE"/>
    <w:rsid w:val="00C93F40"/>
    <w:rsid w:val="00C94995"/>
    <w:rsid w:val="00C95122"/>
    <w:rsid w:val="00C95BB1"/>
    <w:rsid w:val="00C9641A"/>
    <w:rsid w:val="00C97B03"/>
    <w:rsid w:val="00C97B4D"/>
    <w:rsid w:val="00C97E24"/>
    <w:rsid w:val="00CA0012"/>
    <w:rsid w:val="00CA1919"/>
    <w:rsid w:val="00CA1A3C"/>
    <w:rsid w:val="00CA2035"/>
    <w:rsid w:val="00CA26C7"/>
    <w:rsid w:val="00CA278C"/>
    <w:rsid w:val="00CA31CE"/>
    <w:rsid w:val="00CA356F"/>
    <w:rsid w:val="00CA364D"/>
    <w:rsid w:val="00CA3C7A"/>
    <w:rsid w:val="00CA3D0C"/>
    <w:rsid w:val="00CA3D3F"/>
    <w:rsid w:val="00CA41EC"/>
    <w:rsid w:val="00CA4701"/>
    <w:rsid w:val="00CA491F"/>
    <w:rsid w:val="00CA499D"/>
    <w:rsid w:val="00CA54E8"/>
    <w:rsid w:val="00CA5EBA"/>
    <w:rsid w:val="00CA6320"/>
    <w:rsid w:val="00CA65CA"/>
    <w:rsid w:val="00CA741A"/>
    <w:rsid w:val="00CA7801"/>
    <w:rsid w:val="00CB0F3B"/>
    <w:rsid w:val="00CB127A"/>
    <w:rsid w:val="00CB14B8"/>
    <w:rsid w:val="00CB1AA7"/>
    <w:rsid w:val="00CB27F3"/>
    <w:rsid w:val="00CB340B"/>
    <w:rsid w:val="00CB3947"/>
    <w:rsid w:val="00CB4B4B"/>
    <w:rsid w:val="00CB5B7A"/>
    <w:rsid w:val="00CB5D12"/>
    <w:rsid w:val="00CB608D"/>
    <w:rsid w:val="00CB60CB"/>
    <w:rsid w:val="00CB7170"/>
    <w:rsid w:val="00CB720F"/>
    <w:rsid w:val="00CB7408"/>
    <w:rsid w:val="00CB7443"/>
    <w:rsid w:val="00CB7E59"/>
    <w:rsid w:val="00CC01D3"/>
    <w:rsid w:val="00CC1030"/>
    <w:rsid w:val="00CC1347"/>
    <w:rsid w:val="00CC1E13"/>
    <w:rsid w:val="00CC23A5"/>
    <w:rsid w:val="00CC28CB"/>
    <w:rsid w:val="00CC4575"/>
    <w:rsid w:val="00CC5419"/>
    <w:rsid w:val="00CC5C23"/>
    <w:rsid w:val="00CC61E0"/>
    <w:rsid w:val="00CC6574"/>
    <w:rsid w:val="00CC660B"/>
    <w:rsid w:val="00CC6FD9"/>
    <w:rsid w:val="00CC70C3"/>
    <w:rsid w:val="00CC7492"/>
    <w:rsid w:val="00CC7A32"/>
    <w:rsid w:val="00CD0493"/>
    <w:rsid w:val="00CD075F"/>
    <w:rsid w:val="00CD08B9"/>
    <w:rsid w:val="00CD157B"/>
    <w:rsid w:val="00CD1C07"/>
    <w:rsid w:val="00CD214E"/>
    <w:rsid w:val="00CD22EB"/>
    <w:rsid w:val="00CD2EF9"/>
    <w:rsid w:val="00CD3717"/>
    <w:rsid w:val="00CD3B3E"/>
    <w:rsid w:val="00CD3F72"/>
    <w:rsid w:val="00CD53C1"/>
    <w:rsid w:val="00CD597A"/>
    <w:rsid w:val="00CD5EB1"/>
    <w:rsid w:val="00CD6300"/>
    <w:rsid w:val="00CD7272"/>
    <w:rsid w:val="00CD75FF"/>
    <w:rsid w:val="00CD7933"/>
    <w:rsid w:val="00CE0FF4"/>
    <w:rsid w:val="00CE1D7C"/>
    <w:rsid w:val="00CE267F"/>
    <w:rsid w:val="00CE319D"/>
    <w:rsid w:val="00CE35EA"/>
    <w:rsid w:val="00CE3861"/>
    <w:rsid w:val="00CE3906"/>
    <w:rsid w:val="00CE427E"/>
    <w:rsid w:val="00CE45C5"/>
    <w:rsid w:val="00CE45F8"/>
    <w:rsid w:val="00CE4701"/>
    <w:rsid w:val="00CE5837"/>
    <w:rsid w:val="00CE633C"/>
    <w:rsid w:val="00CE65BC"/>
    <w:rsid w:val="00CE6797"/>
    <w:rsid w:val="00CE7C08"/>
    <w:rsid w:val="00CE7D56"/>
    <w:rsid w:val="00CF0288"/>
    <w:rsid w:val="00CF0870"/>
    <w:rsid w:val="00CF2333"/>
    <w:rsid w:val="00CF2E28"/>
    <w:rsid w:val="00CF36B4"/>
    <w:rsid w:val="00CF403A"/>
    <w:rsid w:val="00CF54F2"/>
    <w:rsid w:val="00CF553E"/>
    <w:rsid w:val="00CF56CF"/>
    <w:rsid w:val="00CF5D48"/>
    <w:rsid w:val="00CF5D8F"/>
    <w:rsid w:val="00CF70FB"/>
    <w:rsid w:val="00CF7820"/>
    <w:rsid w:val="00CF7BF3"/>
    <w:rsid w:val="00D001B2"/>
    <w:rsid w:val="00D007FC"/>
    <w:rsid w:val="00D00B1D"/>
    <w:rsid w:val="00D00C4B"/>
    <w:rsid w:val="00D014D0"/>
    <w:rsid w:val="00D021B8"/>
    <w:rsid w:val="00D02901"/>
    <w:rsid w:val="00D03161"/>
    <w:rsid w:val="00D036CF"/>
    <w:rsid w:val="00D039CF"/>
    <w:rsid w:val="00D04263"/>
    <w:rsid w:val="00D043C0"/>
    <w:rsid w:val="00D04840"/>
    <w:rsid w:val="00D04B89"/>
    <w:rsid w:val="00D05B3D"/>
    <w:rsid w:val="00D06393"/>
    <w:rsid w:val="00D06DA8"/>
    <w:rsid w:val="00D10036"/>
    <w:rsid w:val="00D1070D"/>
    <w:rsid w:val="00D11964"/>
    <w:rsid w:val="00D11B33"/>
    <w:rsid w:val="00D12C31"/>
    <w:rsid w:val="00D139B0"/>
    <w:rsid w:val="00D13F23"/>
    <w:rsid w:val="00D146E7"/>
    <w:rsid w:val="00D149D9"/>
    <w:rsid w:val="00D14CC4"/>
    <w:rsid w:val="00D14E5E"/>
    <w:rsid w:val="00D154BB"/>
    <w:rsid w:val="00D158A5"/>
    <w:rsid w:val="00D15F90"/>
    <w:rsid w:val="00D16992"/>
    <w:rsid w:val="00D16B02"/>
    <w:rsid w:val="00D16DCD"/>
    <w:rsid w:val="00D17AF6"/>
    <w:rsid w:val="00D17DFE"/>
    <w:rsid w:val="00D20B81"/>
    <w:rsid w:val="00D2123B"/>
    <w:rsid w:val="00D2193C"/>
    <w:rsid w:val="00D21F3B"/>
    <w:rsid w:val="00D220A5"/>
    <w:rsid w:val="00D22515"/>
    <w:rsid w:val="00D2285C"/>
    <w:rsid w:val="00D22A07"/>
    <w:rsid w:val="00D23F21"/>
    <w:rsid w:val="00D25310"/>
    <w:rsid w:val="00D255FC"/>
    <w:rsid w:val="00D256CA"/>
    <w:rsid w:val="00D26657"/>
    <w:rsid w:val="00D2705D"/>
    <w:rsid w:val="00D2708C"/>
    <w:rsid w:val="00D27397"/>
    <w:rsid w:val="00D273FE"/>
    <w:rsid w:val="00D2773E"/>
    <w:rsid w:val="00D278D8"/>
    <w:rsid w:val="00D27AAF"/>
    <w:rsid w:val="00D27C6C"/>
    <w:rsid w:val="00D30086"/>
    <w:rsid w:val="00D304E7"/>
    <w:rsid w:val="00D311D6"/>
    <w:rsid w:val="00D31C77"/>
    <w:rsid w:val="00D31E47"/>
    <w:rsid w:val="00D31FBC"/>
    <w:rsid w:val="00D32058"/>
    <w:rsid w:val="00D320E7"/>
    <w:rsid w:val="00D321B2"/>
    <w:rsid w:val="00D339BA"/>
    <w:rsid w:val="00D340C9"/>
    <w:rsid w:val="00D34115"/>
    <w:rsid w:val="00D34163"/>
    <w:rsid w:val="00D34543"/>
    <w:rsid w:val="00D3522B"/>
    <w:rsid w:val="00D371B5"/>
    <w:rsid w:val="00D373D8"/>
    <w:rsid w:val="00D37579"/>
    <w:rsid w:val="00D40400"/>
    <w:rsid w:val="00D40C0B"/>
    <w:rsid w:val="00D40C66"/>
    <w:rsid w:val="00D413B4"/>
    <w:rsid w:val="00D41661"/>
    <w:rsid w:val="00D41C15"/>
    <w:rsid w:val="00D4281A"/>
    <w:rsid w:val="00D4298E"/>
    <w:rsid w:val="00D42E57"/>
    <w:rsid w:val="00D42EA3"/>
    <w:rsid w:val="00D43354"/>
    <w:rsid w:val="00D43768"/>
    <w:rsid w:val="00D43B5B"/>
    <w:rsid w:val="00D43C8C"/>
    <w:rsid w:val="00D43CBE"/>
    <w:rsid w:val="00D43D4F"/>
    <w:rsid w:val="00D44157"/>
    <w:rsid w:val="00D452D9"/>
    <w:rsid w:val="00D455E4"/>
    <w:rsid w:val="00D466A4"/>
    <w:rsid w:val="00D472E9"/>
    <w:rsid w:val="00D47435"/>
    <w:rsid w:val="00D47A57"/>
    <w:rsid w:val="00D5072C"/>
    <w:rsid w:val="00D50777"/>
    <w:rsid w:val="00D50A66"/>
    <w:rsid w:val="00D513E9"/>
    <w:rsid w:val="00D51D2B"/>
    <w:rsid w:val="00D5209F"/>
    <w:rsid w:val="00D52569"/>
    <w:rsid w:val="00D528D8"/>
    <w:rsid w:val="00D54058"/>
    <w:rsid w:val="00D554C7"/>
    <w:rsid w:val="00D556C6"/>
    <w:rsid w:val="00D55970"/>
    <w:rsid w:val="00D5707D"/>
    <w:rsid w:val="00D57099"/>
    <w:rsid w:val="00D57BB2"/>
    <w:rsid w:val="00D6041D"/>
    <w:rsid w:val="00D6042B"/>
    <w:rsid w:val="00D60883"/>
    <w:rsid w:val="00D616F5"/>
    <w:rsid w:val="00D619BD"/>
    <w:rsid w:val="00D61B9E"/>
    <w:rsid w:val="00D61E69"/>
    <w:rsid w:val="00D62BCA"/>
    <w:rsid w:val="00D638F6"/>
    <w:rsid w:val="00D63DD2"/>
    <w:rsid w:val="00D640B7"/>
    <w:rsid w:val="00D642F5"/>
    <w:rsid w:val="00D64479"/>
    <w:rsid w:val="00D66024"/>
    <w:rsid w:val="00D66084"/>
    <w:rsid w:val="00D66598"/>
    <w:rsid w:val="00D66676"/>
    <w:rsid w:val="00D66FFB"/>
    <w:rsid w:val="00D67981"/>
    <w:rsid w:val="00D7075D"/>
    <w:rsid w:val="00D70A86"/>
    <w:rsid w:val="00D71C01"/>
    <w:rsid w:val="00D71C20"/>
    <w:rsid w:val="00D73038"/>
    <w:rsid w:val="00D738D6"/>
    <w:rsid w:val="00D7398B"/>
    <w:rsid w:val="00D73E0C"/>
    <w:rsid w:val="00D740C3"/>
    <w:rsid w:val="00D742E6"/>
    <w:rsid w:val="00D7466B"/>
    <w:rsid w:val="00D74C0D"/>
    <w:rsid w:val="00D755EB"/>
    <w:rsid w:val="00D76831"/>
    <w:rsid w:val="00D76B47"/>
    <w:rsid w:val="00D76BDB"/>
    <w:rsid w:val="00D76CD6"/>
    <w:rsid w:val="00D76EDB"/>
    <w:rsid w:val="00D76FC8"/>
    <w:rsid w:val="00D77870"/>
    <w:rsid w:val="00D77B49"/>
    <w:rsid w:val="00D77C68"/>
    <w:rsid w:val="00D802A6"/>
    <w:rsid w:val="00D808CB"/>
    <w:rsid w:val="00D80A03"/>
    <w:rsid w:val="00D81045"/>
    <w:rsid w:val="00D8104F"/>
    <w:rsid w:val="00D8105F"/>
    <w:rsid w:val="00D81081"/>
    <w:rsid w:val="00D81F07"/>
    <w:rsid w:val="00D82003"/>
    <w:rsid w:val="00D82698"/>
    <w:rsid w:val="00D8318E"/>
    <w:rsid w:val="00D834EE"/>
    <w:rsid w:val="00D83A2F"/>
    <w:rsid w:val="00D8467E"/>
    <w:rsid w:val="00D84F0C"/>
    <w:rsid w:val="00D85C16"/>
    <w:rsid w:val="00D85FF0"/>
    <w:rsid w:val="00D869A5"/>
    <w:rsid w:val="00D86B4A"/>
    <w:rsid w:val="00D87103"/>
    <w:rsid w:val="00D87114"/>
    <w:rsid w:val="00D87C7C"/>
    <w:rsid w:val="00D87E00"/>
    <w:rsid w:val="00D90CAF"/>
    <w:rsid w:val="00D9134D"/>
    <w:rsid w:val="00D91AAE"/>
    <w:rsid w:val="00D91B9A"/>
    <w:rsid w:val="00D91DDD"/>
    <w:rsid w:val="00D9208C"/>
    <w:rsid w:val="00D9235F"/>
    <w:rsid w:val="00D9411A"/>
    <w:rsid w:val="00D9416D"/>
    <w:rsid w:val="00D943AA"/>
    <w:rsid w:val="00D9488A"/>
    <w:rsid w:val="00D94CA6"/>
    <w:rsid w:val="00D94D76"/>
    <w:rsid w:val="00D94ED5"/>
    <w:rsid w:val="00D95CE9"/>
    <w:rsid w:val="00D95E1D"/>
    <w:rsid w:val="00D97120"/>
    <w:rsid w:val="00D979B9"/>
    <w:rsid w:val="00DA0F5C"/>
    <w:rsid w:val="00DA0FBA"/>
    <w:rsid w:val="00DA183C"/>
    <w:rsid w:val="00DA190C"/>
    <w:rsid w:val="00DA20E9"/>
    <w:rsid w:val="00DA252C"/>
    <w:rsid w:val="00DA29A5"/>
    <w:rsid w:val="00DA2FF7"/>
    <w:rsid w:val="00DA323B"/>
    <w:rsid w:val="00DA3F21"/>
    <w:rsid w:val="00DA40B2"/>
    <w:rsid w:val="00DA44A9"/>
    <w:rsid w:val="00DA5B8D"/>
    <w:rsid w:val="00DA5D87"/>
    <w:rsid w:val="00DA656F"/>
    <w:rsid w:val="00DA6941"/>
    <w:rsid w:val="00DA78EA"/>
    <w:rsid w:val="00DA7A03"/>
    <w:rsid w:val="00DA7DFA"/>
    <w:rsid w:val="00DB0AB6"/>
    <w:rsid w:val="00DB0D39"/>
    <w:rsid w:val="00DB0FE5"/>
    <w:rsid w:val="00DB10CF"/>
    <w:rsid w:val="00DB1818"/>
    <w:rsid w:val="00DB1D74"/>
    <w:rsid w:val="00DB1F4C"/>
    <w:rsid w:val="00DB2C3A"/>
    <w:rsid w:val="00DB35D4"/>
    <w:rsid w:val="00DB38D8"/>
    <w:rsid w:val="00DB396C"/>
    <w:rsid w:val="00DB39D3"/>
    <w:rsid w:val="00DB3DFE"/>
    <w:rsid w:val="00DB4153"/>
    <w:rsid w:val="00DB4260"/>
    <w:rsid w:val="00DB4C9E"/>
    <w:rsid w:val="00DB5373"/>
    <w:rsid w:val="00DB54F5"/>
    <w:rsid w:val="00DB5AE1"/>
    <w:rsid w:val="00DB6456"/>
    <w:rsid w:val="00DB6585"/>
    <w:rsid w:val="00DB7125"/>
    <w:rsid w:val="00DB7325"/>
    <w:rsid w:val="00DB7A31"/>
    <w:rsid w:val="00DB7C72"/>
    <w:rsid w:val="00DC05F8"/>
    <w:rsid w:val="00DC0836"/>
    <w:rsid w:val="00DC09F3"/>
    <w:rsid w:val="00DC12DC"/>
    <w:rsid w:val="00DC186C"/>
    <w:rsid w:val="00DC1A04"/>
    <w:rsid w:val="00DC1C64"/>
    <w:rsid w:val="00DC212C"/>
    <w:rsid w:val="00DC2253"/>
    <w:rsid w:val="00DC23B6"/>
    <w:rsid w:val="00DC28F6"/>
    <w:rsid w:val="00DC2F8C"/>
    <w:rsid w:val="00DC309B"/>
    <w:rsid w:val="00DC3A74"/>
    <w:rsid w:val="00DC3B9F"/>
    <w:rsid w:val="00DC3CFE"/>
    <w:rsid w:val="00DC3F7F"/>
    <w:rsid w:val="00DC4556"/>
    <w:rsid w:val="00DC4589"/>
    <w:rsid w:val="00DC4599"/>
    <w:rsid w:val="00DC4A7E"/>
    <w:rsid w:val="00DC4CFF"/>
    <w:rsid w:val="00DC4DA2"/>
    <w:rsid w:val="00DC5D21"/>
    <w:rsid w:val="00DC61B2"/>
    <w:rsid w:val="00DC7446"/>
    <w:rsid w:val="00DD071D"/>
    <w:rsid w:val="00DD119B"/>
    <w:rsid w:val="00DD17F6"/>
    <w:rsid w:val="00DD1CB1"/>
    <w:rsid w:val="00DD2133"/>
    <w:rsid w:val="00DD2BDA"/>
    <w:rsid w:val="00DD3F22"/>
    <w:rsid w:val="00DD40AE"/>
    <w:rsid w:val="00DD41E3"/>
    <w:rsid w:val="00DD519D"/>
    <w:rsid w:val="00DD54B7"/>
    <w:rsid w:val="00DD56D5"/>
    <w:rsid w:val="00DD5704"/>
    <w:rsid w:val="00DD5909"/>
    <w:rsid w:val="00DD5AD5"/>
    <w:rsid w:val="00DD6C83"/>
    <w:rsid w:val="00DD7D36"/>
    <w:rsid w:val="00DE0569"/>
    <w:rsid w:val="00DE13CA"/>
    <w:rsid w:val="00DE2050"/>
    <w:rsid w:val="00DE2472"/>
    <w:rsid w:val="00DE2916"/>
    <w:rsid w:val="00DE30CA"/>
    <w:rsid w:val="00DE36A5"/>
    <w:rsid w:val="00DE3869"/>
    <w:rsid w:val="00DE38B4"/>
    <w:rsid w:val="00DE38C9"/>
    <w:rsid w:val="00DE42FC"/>
    <w:rsid w:val="00DE45E4"/>
    <w:rsid w:val="00DE4DDF"/>
    <w:rsid w:val="00DE67D3"/>
    <w:rsid w:val="00DE69EA"/>
    <w:rsid w:val="00DE6D85"/>
    <w:rsid w:val="00DE706D"/>
    <w:rsid w:val="00DE75F8"/>
    <w:rsid w:val="00DE772E"/>
    <w:rsid w:val="00DF0332"/>
    <w:rsid w:val="00DF03A9"/>
    <w:rsid w:val="00DF193B"/>
    <w:rsid w:val="00DF1B88"/>
    <w:rsid w:val="00DF233D"/>
    <w:rsid w:val="00DF2B1F"/>
    <w:rsid w:val="00DF2F13"/>
    <w:rsid w:val="00DF3064"/>
    <w:rsid w:val="00DF3665"/>
    <w:rsid w:val="00DF4D83"/>
    <w:rsid w:val="00DF596B"/>
    <w:rsid w:val="00DF62CD"/>
    <w:rsid w:val="00DF6D54"/>
    <w:rsid w:val="00DF71AA"/>
    <w:rsid w:val="00DF769C"/>
    <w:rsid w:val="00E001AC"/>
    <w:rsid w:val="00E0036B"/>
    <w:rsid w:val="00E003EC"/>
    <w:rsid w:val="00E019D3"/>
    <w:rsid w:val="00E01C32"/>
    <w:rsid w:val="00E020E7"/>
    <w:rsid w:val="00E030EF"/>
    <w:rsid w:val="00E03F0A"/>
    <w:rsid w:val="00E044A4"/>
    <w:rsid w:val="00E04873"/>
    <w:rsid w:val="00E04BE6"/>
    <w:rsid w:val="00E04C54"/>
    <w:rsid w:val="00E064EC"/>
    <w:rsid w:val="00E06752"/>
    <w:rsid w:val="00E0742C"/>
    <w:rsid w:val="00E10299"/>
    <w:rsid w:val="00E12151"/>
    <w:rsid w:val="00E13444"/>
    <w:rsid w:val="00E136FB"/>
    <w:rsid w:val="00E13CFB"/>
    <w:rsid w:val="00E15AFA"/>
    <w:rsid w:val="00E16C35"/>
    <w:rsid w:val="00E17676"/>
    <w:rsid w:val="00E20AC7"/>
    <w:rsid w:val="00E20B6D"/>
    <w:rsid w:val="00E20EDD"/>
    <w:rsid w:val="00E224DA"/>
    <w:rsid w:val="00E22655"/>
    <w:rsid w:val="00E23786"/>
    <w:rsid w:val="00E24132"/>
    <w:rsid w:val="00E24ACD"/>
    <w:rsid w:val="00E24CBE"/>
    <w:rsid w:val="00E25155"/>
    <w:rsid w:val="00E25637"/>
    <w:rsid w:val="00E25D31"/>
    <w:rsid w:val="00E25EC7"/>
    <w:rsid w:val="00E261F7"/>
    <w:rsid w:val="00E27032"/>
    <w:rsid w:val="00E278B4"/>
    <w:rsid w:val="00E30596"/>
    <w:rsid w:val="00E308F0"/>
    <w:rsid w:val="00E30C80"/>
    <w:rsid w:val="00E30D12"/>
    <w:rsid w:val="00E3163E"/>
    <w:rsid w:val="00E321FA"/>
    <w:rsid w:val="00E32325"/>
    <w:rsid w:val="00E32EE4"/>
    <w:rsid w:val="00E32F31"/>
    <w:rsid w:val="00E331CF"/>
    <w:rsid w:val="00E33328"/>
    <w:rsid w:val="00E33CD3"/>
    <w:rsid w:val="00E34069"/>
    <w:rsid w:val="00E34300"/>
    <w:rsid w:val="00E34B85"/>
    <w:rsid w:val="00E3533C"/>
    <w:rsid w:val="00E35B07"/>
    <w:rsid w:val="00E366B1"/>
    <w:rsid w:val="00E37721"/>
    <w:rsid w:val="00E3772C"/>
    <w:rsid w:val="00E37785"/>
    <w:rsid w:val="00E37794"/>
    <w:rsid w:val="00E37BBB"/>
    <w:rsid w:val="00E40214"/>
    <w:rsid w:val="00E4085A"/>
    <w:rsid w:val="00E4140C"/>
    <w:rsid w:val="00E41A62"/>
    <w:rsid w:val="00E42539"/>
    <w:rsid w:val="00E42A7C"/>
    <w:rsid w:val="00E43D3E"/>
    <w:rsid w:val="00E43E9A"/>
    <w:rsid w:val="00E44096"/>
    <w:rsid w:val="00E446F1"/>
    <w:rsid w:val="00E44711"/>
    <w:rsid w:val="00E4523B"/>
    <w:rsid w:val="00E453B2"/>
    <w:rsid w:val="00E45F8C"/>
    <w:rsid w:val="00E4603D"/>
    <w:rsid w:val="00E464BC"/>
    <w:rsid w:val="00E472DE"/>
    <w:rsid w:val="00E47878"/>
    <w:rsid w:val="00E5008B"/>
    <w:rsid w:val="00E50613"/>
    <w:rsid w:val="00E507A8"/>
    <w:rsid w:val="00E5105F"/>
    <w:rsid w:val="00E5161E"/>
    <w:rsid w:val="00E51D31"/>
    <w:rsid w:val="00E51E47"/>
    <w:rsid w:val="00E51F6C"/>
    <w:rsid w:val="00E5200C"/>
    <w:rsid w:val="00E52FCE"/>
    <w:rsid w:val="00E5386B"/>
    <w:rsid w:val="00E54651"/>
    <w:rsid w:val="00E54894"/>
    <w:rsid w:val="00E54AF9"/>
    <w:rsid w:val="00E5509A"/>
    <w:rsid w:val="00E55FCB"/>
    <w:rsid w:val="00E56861"/>
    <w:rsid w:val="00E56D96"/>
    <w:rsid w:val="00E570B3"/>
    <w:rsid w:val="00E5739B"/>
    <w:rsid w:val="00E57A80"/>
    <w:rsid w:val="00E60907"/>
    <w:rsid w:val="00E613B1"/>
    <w:rsid w:val="00E61F98"/>
    <w:rsid w:val="00E62526"/>
    <w:rsid w:val="00E62DA2"/>
    <w:rsid w:val="00E63827"/>
    <w:rsid w:val="00E65D33"/>
    <w:rsid w:val="00E65D4F"/>
    <w:rsid w:val="00E668F6"/>
    <w:rsid w:val="00E6796A"/>
    <w:rsid w:val="00E67E28"/>
    <w:rsid w:val="00E70812"/>
    <w:rsid w:val="00E70A36"/>
    <w:rsid w:val="00E70DF5"/>
    <w:rsid w:val="00E716C1"/>
    <w:rsid w:val="00E7184F"/>
    <w:rsid w:val="00E71998"/>
    <w:rsid w:val="00E71E98"/>
    <w:rsid w:val="00E72515"/>
    <w:rsid w:val="00E72C7B"/>
    <w:rsid w:val="00E72CD4"/>
    <w:rsid w:val="00E73010"/>
    <w:rsid w:val="00E738E0"/>
    <w:rsid w:val="00E73DB0"/>
    <w:rsid w:val="00E73E69"/>
    <w:rsid w:val="00E741AE"/>
    <w:rsid w:val="00E75181"/>
    <w:rsid w:val="00E77645"/>
    <w:rsid w:val="00E7792F"/>
    <w:rsid w:val="00E80075"/>
    <w:rsid w:val="00E80B30"/>
    <w:rsid w:val="00E817DD"/>
    <w:rsid w:val="00E83848"/>
    <w:rsid w:val="00E8398E"/>
    <w:rsid w:val="00E84570"/>
    <w:rsid w:val="00E84961"/>
    <w:rsid w:val="00E84AAA"/>
    <w:rsid w:val="00E86B8E"/>
    <w:rsid w:val="00E873F0"/>
    <w:rsid w:val="00E87ADE"/>
    <w:rsid w:val="00E87E73"/>
    <w:rsid w:val="00E90372"/>
    <w:rsid w:val="00E905B3"/>
    <w:rsid w:val="00E90707"/>
    <w:rsid w:val="00E907A3"/>
    <w:rsid w:val="00E91BF4"/>
    <w:rsid w:val="00E92510"/>
    <w:rsid w:val="00E927CC"/>
    <w:rsid w:val="00E92CA9"/>
    <w:rsid w:val="00E93B07"/>
    <w:rsid w:val="00E93D6B"/>
    <w:rsid w:val="00E94B55"/>
    <w:rsid w:val="00E94E59"/>
    <w:rsid w:val="00E9549A"/>
    <w:rsid w:val="00E958D7"/>
    <w:rsid w:val="00E968F2"/>
    <w:rsid w:val="00E9723D"/>
    <w:rsid w:val="00E974FF"/>
    <w:rsid w:val="00E977B7"/>
    <w:rsid w:val="00E97E07"/>
    <w:rsid w:val="00EA02A8"/>
    <w:rsid w:val="00EA0849"/>
    <w:rsid w:val="00EA086C"/>
    <w:rsid w:val="00EA12A1"/>
    <w:rsid w:val="00EA2340"/>
    <w:rsid w:val="00EA313D"/>
    <w:rsid w:val="00EA324D"/>
    <w:rsid w:val="00EA34ED"/>
    <w:rsid w:val="00EA3561"/>
    <w:rsid w:val="00EA38E9"/>
    <w:rsid w:val="00EA4783"/>
    <w:rsid w:val="00EA4B4A"/>
    <w:rsid w:val="00EA5AFC"/>
    <w:rsid w:val="00EA7096"/>
    <w:rsid w:val="00EA72D6"/>
    <w:rsid w:val="00EA7E34"/>
    <w:rsid w:val="00EB00FC"/>
    <w:rsid w:val="00EB048C"/>
    <w:rsid w:val="00EB0CA1"/>
    <w:rsid w:val="00EB0EEE"/>
    <w:rsid w:val="00EB113C"/>
    <w:rsid w:val="00EB1C68"/>
    <w:rsid w:val="00EB1D8F"/>
    <w:rsid w:val="00EB2781"/>
    <w:rsid w:val="00EB29D9"/>
    <w:rsid w:val="00EB2BD6"/>
    <w:rsid w:val="00EB3ABD"/>
    <w:rsid w:val="00EB3F37"/>
    <w:rsid w:val="00EB40BD"/>
    <w:rsid w:val="00EB4835"/>
    <w:rsid w:val="00EB4AC6"/>
    <w:rsid w:val="00EB4DE3"/>
    <w:rsid w:val="00EB5542"/>
    <w:rsid w:val="00EB5D9B"/>
    <w:rsid w:val="00EB6192"/>
    <w:rsid w:val="00EB6250"/>
    <w:rsid w:val="00EB6BBC"/>
    <w:rsid w:val="00EB71C8"/>
    <w:rsid w:val="00EB7410"/>
    <w:rsid w:val="00EB775A"/>
    <w:rsid w:val="00EB7D51"/>
    <w:rsid w:val="00EC05BD"/>
    <w:rsid w:val="00EC0645"/>
    <w:rsid w:val="00EC06BE"/>
    <w:rsid w:val="00EC0ACD"/>
    <w:rsid w:val="00EC0E09"/>
    <w:rsid w:val="00EC0F58"/>
    <w:rsid w:val="00EC132E"/>
    <w:rsid w:val="00EC13FA"/>
    <w:rsid w:val="00EC22EE"/>
    <w:rsid w:val="00EC2FE9"/>
    <w:rsid w:val="00EC3B1F"/>
    <w:rsid w:val="00EC4A25"/>
    <w:rsid w:val="00EC505B"/>
    <w:rsid w:val="00EC53EC"/>
    <w:rsid w:val="00EC5DA9"/>
    <w:rsid w:val="00EC5E63"/>
    <w:rsid w:val="00EC6393"/>
    <w:rsid w:val="00EC6B23"/>
    <w:rsid w:val="00EC6BC0"/>
    <w:rsid w:val="00EC6F05"/>
    <w:rsid w:val="00ED04FE"/>
    <w:rsid w:val="00ED0986"/>
    <w:rsid w:val="00ED2012"/>
    <w:rsid w:val="00ED2404"/>
    <w:rsid w:val="00ED2AC5"/>
    <w:rsid w:val="00ED3522"/>
    <w:rsid w:val="00ED3BBA"/>
    <w:rsid w:val="00ED42B2"/>
    <w:rsid w:val="00ED4363"/>
    <w:rsid w:val="00ED52B3"/>
    <w:rsid w:val="00ED6251"/>
    <w:rsid w:val="00ED6950"/>
    <w:rsid w:val="00ED6DAB"/>
    <w:rsid w:val="00ED7107"/>
    <w:rsid w:val="00ED72F1"/>
    <w:rsid w:val="00ED737D"/>
    <w:rsid w:val="00EE0490"/>
    <w:rsid w:val="00EE0D71"/>
    <w:rsid w:val="00EE0FC1"/>
    <w:rsid w:val="00EE1CE1"/>
    <w:rsid w:val="00EE1E8B"/>
    <w:rsid w:val="00EE22F8"/>
    <w:rsid w:val="00EE23B0"/>
    <w:rsid w:val="00EE30D8"/>
    <w:rsid w:val="00EE3123"/>
    <w:rsid w:val="00EE31FF"/>
    <w:rsid w:val="00EE45E2"/>
    <w:rsid w:val="00EE476B"/>
    <w:rsid w:val="00EE4F6E"/>
    <w:rsid w:val="00EE596A"/>
    <w:rsid w:val="00EE5E23"/>
    <w:rsid w:val="00EE6679"/>
    <w:rsid w:val="00EE69F4"/>
    <w:rsid w:val="00EE6AD1"/>
    <w:rsid w:val="00EF01D8"/>
    <w:rsid w:val="00EF0394"/>
    <w:rsid w:val="00EF0613"/>
    <w:rsid w:val="00EF0D14"/>
    <w:rsid w:val="00EF12E0"/>
    <w:rsid w:val="00EF1B0D"/>
    <w:rsid w:val="00EF1B4E"/>
    <w:rsid w:val="00EF1BE1"/>
    <w:rsid w:val="00EF281B"/>
    <w:rsid w:val="00EF2B82"/>
    <w:rsid w:val="00EF2EE2"/>
    <w:rsid w:val="00EF3880"/>
    <w:rsid w:val="00EF3DED"/>
    <w:rsid w:val="00EF3F1F"/>
    <w:rsid w:val="00EF41A4"/>
    <w:rsid w:val="00EF4B4A"/>
    <w:rsid w:val="00EF4CD1"/>
    <w:rsid w:val="00EF4F31"/>
    <w:rsid w:val="00EF54DA"/>
    <w:rsid w:val="00EF54F9"/>
    <w:rsid w:val="00EF5AC7"/>
    <w:rsid w:val="00EF71C1"/>
    <w:rsid w:val="00EF7D13"/>
    <w:rsid w:val="00F006BF"/>
    <w:rsid w:val="00F010BD"/>
    <w:rsid w:val="00F013FF"/>
    <w:rsid w:val="00F01E52"/>
    <w:rsid w:val="00F020D7"/>
    <w:rsid w:val="00F025A2"/>
    <w:rsid w:val="00F02C56"/>
    <w:rsid w:val="00F04712"/>
    <w:rsid w:val="00F0522D"/>
    <w:rsid w:val="00F052E7"/>
    <w:rsid w:val="00F059B0"/>
    <w:rsid w:val="00F0602B"/>
    <w:rsid w:val="00F06794"/>
    <w:rsid w:val="00F077FE"/>
    <w:rsid w:val="00F104FA"/>
    <w:rsid w:val="00F116B6"/>
    <w:rsid w:val="00F118A5"/>
    <w:rsid w:val="00F11C0B"/>
    <w:rsid w:val="00F11C9E"/>
    <w:rsid w:val="00F124E7"/>
    <w:rsid w:val="00F133E7"/>
    <w:rsid w:val="00F141BB"/>
    <w:rsid w:val="00F14948"/>
    <w:rsid w:val="00F1512F"/>
    <w:rsid w:val="00F15152"/>
    <w:rsid w:val="00F15DDF"/>
    <w:rsid w:val="00F1607C"/>
    <w:rsid w:val="00F16FF8"/>
    <w:rsid w:val="00F1733C"/>
    <w:rsid w:val="00F2066F"/>
    <w:rsid w:val="00F20A06"/>
    <w:rsid w:val="00F20EAB"/>
    <w:rsid w:val="00F211EB"/>
    <w:rsid w:val="00F2124C"/>
    <w:rsid w:val="00F21449"/>
    <w:rsid w:val="00F21BA4"/>
    <w:rsid w:val="00F22EC7"/>
    <w:rsid w:val="00F22ED1"/>
    <w:rsid w:val="00F23234"/>
    <w:rsid w:val="00F23B09"/>
    <w:rsid w:val="00F246FA"/>
    <w:rsid w:val="00F24EC6"/>
    <w:rsid w:val="00F252C9"/>
    <w:rsid w:val="00F260C4"/>
    <w:rsid w:val="00F26562"/>
    <w:rsid w:val="00F26B50"/>
    <w:rsid w:val="00F2752E"/>
    <w:rsid w:val="00F3038E"/>
    <w:rsid w:val="00F312C8"/>
    <w:rsid w:val="00F32113"/>
    <w:rsid w:val="00F335DF"/>
    <w:rsid w:val="00F33DC0"/>
    <w:rsid w:val="00F35410"/>
    <w:rsid w:val="00F36ADA"/>
    <w:rsid w:val="00F37389"/>
    <w:rsid w:val="00F37CEC"/>
    <w:rsid w:val="00F40C51"/>
    <w:rsid w:val="00F413BB"/>
    <w:rsid w:val="00F414BB"/>
    <w:rsid w:val="00F41668"/>
    <w:rsid w:val="00F4171F"/>
    <w:rsid w:val="00F41977"/>
    <w:rsid w:val="00F425F0"/>
    <w:rsid w:val="00F4280A"/>
    <w:rsid w:val="00F42825"/>
    <w:rsid w:val="00F43432"/>
    <w:rsid w:val="00F44260"/>
    <w:rsid w:val="00F4495C"/>
    <w:rsid w:val="00F45553"/>
    <w:rsid w:val="00F458EC"/>
    <w:rsid w:val="00F45FF9"/>
    <w:rsid w:val="00F47417"/>
    <w:rsid w:val="00F477B1"/>
    <w:rsid w:val="00F47E60"/>
    <w:rsid w:val="00F505DC"/>
    <w:rsid w:val="00F51719"/>
    <w:rsid w:val="00F517B0"/>
    <w:rsid w:val="00F51E96"/>
    <w:rsid w:val="00F52656"/>
    <w:rsid w:val="00F526FC"/>
    <w:rsid w:val="00F53201"/>
    <w:rsid w:val="00F53DC3"/>
    <w:rsid w:val="00F53E83"/>
    <w:rsid w:val="00F55242"/>
    <w:rsid w:val="00F553B9"/>
    <w:rsid w:val="00F55AFE"/>
    <w:rsid w:val="00F55B59"/>
    <w:rsid w:val="00F55BCD"/>
    <w:rsid w:val="00F56126"/>
    <w:rsid w:val="00F566A5"/>
    <w:rsid w:val="00F5683C"/>
    <w:rsid w:val="00F56D0F"/>
    <w:rsid w:val="00F57418"/>
    <w:rsid w:val="00F57CEA"/>
    <w:rsid w:val="00F60141"/>
    <w:rsid w:val="00F605E7"/>
    <w:rsid w:val="00F60E49"/>
    <w:rsid w:val="00F60E91"/>
    <w:rsid w:val="00F61293"/>
    <w:rsid w:val="00F614F7"/>
    <w:rsid w:val="00F61BC5"/>
    <w:rsid w:val="00F63121"/>
    <w:rsid w:val="00F633FE"/>
    <w:rsid w:val="00F6356F"/>
    <w:rsid w:val="00F63D4C"/>
    <w:rsid w:val="00F643CE"/>
    <w:rsid w:val="00F64C00"/>
    <w:rsid w:val="00F6512A"/>
    <w:rsid w:val="00F653B8"/>
    <w:rsid w:val="00F653F5"/>
    <w:rsid w:val="00F65D93"/>
    <w:rsid w:val="00F664B1"/>
    <w:rsid w:val="00F66A82"/>
    <w:rsid w:val="00F66D93"/>
    <w:rsid w:val="00F66EF1"/>
    <w:rsid w:val="00F67361"/>
    <w:rsid w:val="00F67F85"/>
    <w:rsid w:val="00F70A70"/>
    <w:rsid w:val="00F70E8D"/>
    <w:rsid w:val="00F71341"/>
    <w:rsid w:val="00F71AC6"/>
    <w:rsid w:val="00F71C78"/>
    <w:rsid w:val="00F71CD8"/>
    <w:rsid w:val="00F71EDA"/>
    <w:rsid w:val="00F71F39"/>
    <w:rsid w:val="00F72620"/>
    <w:rsid w:val="00F7265A"/>
    <w:rsid w:val="00F72C13"/>
    <w:rsid w:val="00F72C7A"/>
    <w:rsid w:val="00F72E7B"/>
    <w:rsid w:val="00F735FA"/>
    <w:rsid w:val="00F73823"/>
    <w:rsid w:val="00F73DC5"/>
    <w:rsid w:val="00F74014"/>
    <w:rsid w:val="00F743FB"/>
    <w:rsid w:val="00F745A0"/>
    <w:rsid w:val="00F75F59"/>
    <w:rsid w:val="00F7742D"/>
    <w:rsid w:val="00F77B5E"/>
    <w:rsid w:val="00F77FD7"/>
    <w:rsid w:val="00F800D0"/>
    <w:rsid w:val="00F80455"/>
    <w:rsid w:val="00F8140E"/>
    <w:rsid w:val="00F81821"/>
    <w:rsid w:val="00F82E4F"/>
    <w:rsid w:val="00F831CC"/>
    <w:rsid w:val="00F8369C"/>
    <w:rsid w:val="00F8602E"/>
    <w:rsid w:val="00F864D2"/>
    <w:rsid w:val="00F86777"/>
    <w:rsid w:val="00F867E0"/>
    <w:rsid w:val="00F87202"/>
    <w:rsid w:val="00F872FC"/>
    <w:rsid w:val="00F8751A"/>
    <w:rsid w:val="00F8773C"/>
    <w:rsid w:val="00F87C1B"/>
    <w:rsid w:val="00F87C66"/>
    <w:rsid w:val="00F87F95"/>
    <w:rsid w:val="00F90002"/>
    <w:rsid w:val="00F90026"/>
    <w:rsid w:val="00F9037E"/>
    <w:rsid w:val="00F91A2E"/>
    <w:rsid w:val="00F91ED2"/>
    <w:rsid w:val="00F91FC3"/>
    <w:rsid w:val="00F92603"/>
    <w:rsid w:val="00F9365B"/>
    <w:rsid w:val="00F93760"/>
    <w:rsid w:val="00F9451E"/>
    <w:rsid w:val="00F969D0"/>
    <w:rsid w:val="00F96E11"/>
    <w:rsid w:val="00F97F32"/>
    <w:rsid w:val="00FA1266"/>
    <w:rsid w:val="00FA12C0"/>
    <w:rsid w:val="00FA1301"/>
    <w:rsid w:val="00FA1399"/>
    <w:rsid w:val="00FA1639"/>
    <w:rsid w:val="00FA1949"/>
    <w:rsid w:val="00FA2698"/>
    <w:rsid w:val="00FA29C7"/>
    <w:rsid w:val="00FA2DC7"/>
    <w:rsid w:val="00FA2F92"/>
    <w:rsid w:val="00FA3304"/>
    <w:rsid w:val="00FA3355"/>
    <w:rsid w:val="00FA3A49"/>
    <w:rsid w:val="00FA3B59"/>
    <w:rsid w:val="00FA3C9D"/>
    <w:rsid w:val="00FA41EA"/>
    <w:rsid w:val="00FA4335"/>
    <w:rsid w:val="00FA444E"/>
    <w:rsid w:val="00FA4D19"/>
    <w:rsid w:val="00FA5105"/>
    <w:rsid w:val="00FA6077"/>
    <w:rsid w:val="00FA6943"/>
    <w:rsid w:val="00FA72CE"/>
    <w:rsid w:val="00FA786C"/>
    <w:rsid w:val="00FB09C0"/>
    <w:rsid w:val="00FB0AB3"/>
    <w:rsid w:val="00FB1FC6"/>
    <w:rsid w:val="00FB3A3E"/>
    <w:rsid w:val="00FB43C6"/>
    <w:rsid w:val="00FB51F0"/>
    <w:rsid w:val="00FB5AFE"/>
    <w:rsid w:val="00FB620F"/>
    <w:rsid w:val="00FB725D"/>
    <w:rsid w:val="00FB7EA7"/>
    <w:rsid w:val="00FC046E"/>
    <w:rsid w:val="00FC0551"/>
    <w:rsid w:val="00FC0746"/>
    <w:rsid w:val="00FC1192"/>
    <w:rsid w:val="00FC1819"/>
    <w:rsid w:val="00FC269C"/>
    <w:rsid w:val="00FC2779"/>
    <w:rsid w:val="00FC2D84"/>
    <w:rsid w:val="00FC426D"/>
    <w:rsid w:val="00FC4448"/>
    <w:rsid w:val="00FC4636"/>
    <w:rsid w:val="00FC48D6"/>
    <w:rsid w:val="00FC4C2C"/>
    <w:rsid w:val="00FC51E7"/>
    <w:rsid w:val="00FC5FB2"/>
    <w:rsid w:val="00FC6CA6"/>
    <w:rsid w:val="00FC6CA8"/>
    <w:rsid w:val="00FC71C6"/>
    <w:rsid w:val="00FC7333"/>
    <w:rsid w:val="00FC747B"/>
    <w:rsid w:val="00FC7FA4"/>
    <w:rsid w:val="00FD0689"/>
    <w:rsid w:val="00FD13B8"/>
    <w:rsid w:val="00FD2CDF"/>
    <w:rsid w:val="00FD3454"/>
    <w:rsid w:val="00FD3A54"/>
    <w:rsid w:val="00FD45B9"/>
    <w:rsid w:val="00FD475A"/>
    <w:rsid w:val="00FD5328"/>
    <w:rsid w:val="00FD53EB"/>
    <w:rsid w:val="00FD571C"/>
    <w:rsid w:val="00FD5F51"/>
    <w:rsid w:val="00FD66B1"/>
    <w:rsid w:val="00FD6AAF"/>
    <w:rsid w:val="00FD6F8D"/>
    <w:rsid w:val="00FD7E5D"/>
    <w:rsid w:val="00FE0061"/>
    <w:rsid w:val="00FE097D"/>
    <w:rsid w:val="00FE0B68"/>
    <w:rsid w:val="00FE0C3D"/>
    <w:rsid w:val="00FE0CEE"/>
    <w:rsid w:val="00FE19B0"/>
    <w:rsid w:val="00FE22DE"/>
    <w:rsid w:val="00FE2B8D"/>
    <w:rsid w:val="00FE3544"/>
    <w:rsid w:val="00FE44E9"/>
    <w:rsid w:val="00FE4CE9"/>
    <w:rsid w:val="00FE4FA5"/>
    <w:rsid w:val="00FE5718"/>
    <w:rsid w:val="00FE5E53"/>
    <w:rsid w:val="00FE72CE"/>
    <w:rsid w:val="00FE73D6"/>
    <w:rsid w:val="00FE744D"/>
    <w:rsid w:val="00FF08AE"/>
    <w:rsid w:val="00FF0D54"/>
    <w:rsid w:val="00FF1283"/>
    <w:rsid w:val="00FF1EA9"/>
    <w:rsid w:val="00FF1F6C"/>
    <w:rsid w:val="00FF201C"/>
    <w:rsid w:val="00FF21EE"/>
    <w:rsid w:val="00FF2EDE"/>
    <w:rsid w:val="00FF3BB9"/>
    <w:rsid w:val="00FF3E7B"/>
    <w:rsid w:val="00FF5110"/>
    <w:rsid w:val="00FF604A"/>
    <w:rsid w:val="00FF6E5B"/>
    <w:rsid w:val="00FF7B6B"/>
    <w:rsid w:val="00FF7B9A"/>
    <w:rsid w:val="00FF7D35"/>
    <w:rsid w:val="00FF7D4E"/>
    <w:rsid w:val="00FF7D67"/>
    <w:rsid w:val="00FF7FF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5FBF8"/>
  <w15:docId w15:val="{9C4A7056-588A-40AF-9974-C141EA7F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qFormat="1"/>
    <w:lsdException w:name="List 3" w:semiHidden="1" w:unhideWhenUsed="1" w:qFormat="1"/>
    <w:lsdException w:name="List 4" w:qFormat="1"/>
    <w:lsdException w:name="List 5"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iPriority="99" w:unhideWhenUsed="1"/>
    <w:lsdException w:name="List Number 4" w:semiHidden="1" w:uiPriority="99" w:unhideWhenUsed="1" w:qFormat="1"/>
    <w:lsdException w:name="List Number 5" w:semiHidden="1" w:uiPriority="99" w:unhideWhenUsed="1" w:qFormat="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qFormat="1"/>
    <w:lsdException w:name="Body Text Indent 2" w:semiHidden="1" w:uiPriority="99"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0899"/>
    <w:pPr>
      <w:overflowPunct w:val="0"/>
      <w:autoSpaceDE w:val="0"/>
      <w:autoSpaceDN w:val="0"/>
      <w:adjustRightInd w:val="0"/>
      <w:spacing w:after="180"/>
      <w:textAlignment w:val="baseline"/>
    </w:pPr>
    <w:rPr>
      <w:rFonts w:eastAsia="Times New Roman"/>
      <w:lang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38089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380899"/>
    <w:pPr>
      <w:pBdr>
        <w:top w:val="none" w:sz="0" w:space="0" w:color="auto"/>
      </w:pBdr>
      <w:spacing w:before="180"/>
      <w:outlineLvl w:val="1"/>
    </w:pPr>
    <w:rPr>
      <w:sz w:val="32"/>
    </w:rPr>
  </w:style>
  <w:style w:type="paragraph" w:styleId="Heading3">
    <w:name w:val="heading 3"/>
    <w:aliases w:val="Heading 3 3GPP,Underrubrik2,H3,Memo Heading 3,h3,no break,Heading 3 Char,Heading 3 Char1 Char,Heading 3 Char Char Char,Heading 3 Char1 Char Char Char,Heading 3 Char Char Char Char Char,Heading 3 Char Char1 Char,Heading 3 Char2 Char,0H,l3,list "/>
    <w:basedOn w:val="Heading2"/>
    <w:next w:val="Normal"/>
    <w:link w:val="Heading3Char1"/>
    <w:qFormat/>
    <w:rsid w:val="00380899"/>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380899"/>
    <w:pPr>
      <w:ind w:left="1418" w:hanging="1418"/>
      <w:outlineLvl w:val="3"/>
    </w:pPr>
    <w:rPr>
      <w:sz w:val="24"/>
    </w:rPr>
  </w:style>
  <w:style w:type="paragraph" w:styleId="Heading5">
    <w:name w:val="heading 5"/>
    <w:aliases w:val="h5,Heading5,H5,Head5,M5,mh2,Module heading 2,heading 8,Numbered Sub-list,Heading 81,标题 81,Heading 811,Heading 8111,Heading 81111,Level_2,标题 811,标题 8111"/>
    <w:basedOn w:val="Heading4"/>
    <w:next w:val="Normal"/>
    <w:link w:val="Heading5Char"/>
    <w:qFormat/>
    <w:rsid w:val="00380899"/>
    <w:pPr>
      <w:ind w:left="1701" w:hanging="1701"/>
      <w:outlineLvl w:val="4"/>
    </w:pPr>
    <w:rPr>
      <w:sz w:val="22"/>
    </w:rPr>
  </w:style>
  <w:style w:type="paragraph" w:styleId="Heading6">
    <w:name w:val="heading 6"/>
    <w:aliases w:val="T1,Header 6"/>
    <w:basedOn w:val="H6"/>
    <w:next w:val="Normal"/>
    <w:link w:val="Heading6Char"/>
    <w:qFormat/>
    <w:rsid w:val="00380899"/>
    <w:pPr>
      <w:outlineLvl w:val="5"/>
    </w:pPr>
  </w:style>
  <w:style w:type="paragraph" w:styleId="Heading7">
    <w:name w:val="heading 7"/>
    <w:aliases w:val="L7,Header 7"/>
    <w:basedOn w:val="H6"/>
    <w:next w:val="Normal"/>
    <w:link w:val="Heading7Char"/>
    <w:qFormat/>
    <w:rsid w:val="00380899"/>
    <w:pPr>
      <w:outlineLvl w:val="6"/>
    </w:pPr>
  </w:style>
  <w:style w:type="paragraph" w:styleId="Heading8">
    <w:name w:val="heading 8"/>
    <w:basedOn w:val="Heading1"/>
    <w:next w:val="Normal"/>
    <w:link w:val="Heading8Char"/>
    <w:qFormat/>
    <w:rsid w:val="00380899"/>
    <w:pPr>
      <w:ind w:left="0" w:firstLine="0"/>
      <w:outlineLvl w:val="7"/>
    </w:pPr>
  </w:style>
  <w:style w:type="paragraph" w:styleId="Heading9">
    <w:name w:val="heading 9"/>
    <w:aliases w:val="Figure Heading,FH"/>
    <w:basedOn w:val="Heading8"/>
    <w:next w:val="Normal"/>
    <w:link w:val="Heading9Char"/>
    <w:qFormat/>
    <w:rsid w:val="00380899"/>
    <w:pPr>
      <w:outlineLvl w:val="8"/>
    </w:pPr>
  </w:style>
  <w:style w:type="character" w:default="1" w:styleId="DefaultParagraphFont">
    <w:name w:val="Default Paragraph Font"/>
    <w:semiHidden/>
    <w:rsid w:val="003808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899"/>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936A12"/>
    <w:rPr>
      <w:rFonts w:ascii="Arial" w:eastAsia="Times New Roman" w:hAnsi="Arial"/>
      <w:sz w:val="36"/>
      <w:lang w:eastAsia="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link w:val="Heading2"/>
    <w:qFormat/>
    <w:rsid w:val="00936A12"/>
    <w:rPr>
      <w:rFonts w:ascii="Arial" w:eastAsia="Times New Roman" w:hAnsi="Arial"/>
      <w:sz w:val="32"/>
      <w:lang w:eastAsia="en-GB"/>
    </w:rPr>
  </w:style>
  <w:style w:type="character" w:customStyle="1" w:styleId="Heading3Char1">
    <w:name w:val="Heading 3 Char1"/>
    <w:aliases w:val="Heading 3 3GPP Char,Underrubrik2 Char,H3 Char,Memo Heading 3 Char,h3 Char,no break Char,Heading 3 Char Char,Heading 3 Char1 Char Char,Heading 3 Char Char Char Char,Heading 3 Char1 Char Char Char Char,Heading 3 Char Char1 Char Char"/>
    <w:link w:val="Heading3"/>
    <w:qFormat/>
    <w:locked/>
    <w:rsid w:val="00936A12"/>
    <w:rPr>
      <w:rFonts w:ascii="Arial" w:eastAsia="Times New Roman" w:hAnsi="Arial"/>
      <w:sz w:val="28"/>
      <w:lang w:eastAsia="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936A12"/>
    <w:rPr>
      <w:rFonts w:ascii="Arial" w:eastAsia="Times New Roman" w:hAnsi="Arial"/>
      <w:sz w:val="24"/>
      <w:lang w:eastAsia="en-GB"/>
    </w:rPr>
  </w:style>
  <w:style w:type="character" w:customStyle="1" w:styleId="Heading5Char">
    <w:name w:val="Heading 5 Char"/>
    <w:aliases w:val="h5 Char,Heading5 Char,H5 Char,Head5 Char,M5 Char,mh2 Char,Module heading 2 Char,heading 8 Char,Numbered Sub-list Char,Heading 81 Char,标题 81 Char,Heading 811 Char,Heading 8111 Char,Heading 81111 Char,Level_2 Char,标题 811 Char,标题 8111 Char"/>
    <w:link w:val="Heading5"/>
    <w:qFormat/>
    <w:locked/>
    <w:rsid w:val="00936A12"/>
    <w:rPr>
      <w:rFonts w:ascii="Arial" w:eastAsia="Times New Roman" w:hAnsi="Arial"/>
      <w:sz w:val="22"/>
      <w:lang w:eastAsia="en-GB"/>
    </w:rPr>
  </w:style>
  <w:style w:type="paragraph" w:customStyle="1" w:styleId="H6">
    <w:name w:val="H6"/>
    <w:basedOn w:val="Heading5"/>
    <w:next w:val="Normal"/>
    <w:link w:val="H6Char"/>
    <w:rsid w:val="00380899"/>
    <w:pPr>
      <w:ind w:left="1985" w:hanging="1985"/>
      <w:outlineLvl w:val="9"/>
    </w:pPr>
    <w:rPr>
      <w:sz w:val="20"/>
    </w:rPr>
  </w:style>
  <w:style w:type="character" w:customStyle="1" w:styleId="H6Char">
    <w:name w:val="H6 Char"/>
    <w:link w:val="H6"/>
    <w:qFormat/>
    <w:rsid w:val="00936A12"/>
    <w:rPr>
      <w:rFonts w:ascii="Arial" w:eastAsia="Times New Roman" w:hAnsi="Arial"/>
      <w:lang w:eastAsia="en-GB"/>
    </w:rPr>
  </w:style>
  <w:style w:type="character" w:customStyle="1" w:styleId="Heading8Char">
    <w:name w:val="Heading 8 Char"/>
    <w:link w:val="Heading8"/>
    <w:qFormat/>
    <w:rsid w:val="00936A12"/>
    <w:rPr>
      <w:rFonts w:ascii="Arial" w:eastAsia="Times New Roman" w:hAnsi="Arial"/>
      <w:sz w:val="36"/>
      <w:lang w:eastAsia="en-GB"/>
    </w:rPr>
  </w:style>
  <w:style w:type="paragraph" w:styleId="TOC9">
    <w:name w:val="toc 9"/>
    <w:basedOn w:val="TOC8"/>
    <w:rsid w:val="00380899"/>
    <w:pPr>
      <w:ind w:left="1418" w:hanging="1418"/>
    </w:pPr>
  </w:style>
  <w:style w:type="paragraph" w:styleId="TOC8">
    <w:name w:val="toc 8"/>
    <w:basedOn w:val="TOC1"/>
    <w:rsid w:val="00380899"/>
    <w:pPr>
      <w:spacing w:before="180"/>
      <w:ind w:left="2693" w:hanging="2693"/>
    </w:pPr>
    <w:rPr>
      <w:b/>
    </w:rPr>
  </w:style>
  <w:style w:type="paragraph" w:styleId="TOC1">
    <w:name w:val="toc 1"/>
    <w:rsid w:val="00380899"/>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GB"/>
    </w:rPr>
  </w:style>
  <w:style w:type="paragraph" w:customStyle="1" w:styleId="EQ">
    <w:name w:val="EQ"/>
    <w:basedOn w:val="Normal"/>
    <w:next w:val="Normal"/>
    <w:link w:val="EQChar"/>
    <w:rsid w:val="00380899"/>
    <w:pPr>
      <w:keepLines/>
      <w:tabs>
        <w:tab w:val="center" w:pos="4536"/>
        <w:tab w:val="right" w:pos="9072"/>
      </w:tabs>
    </w:pPr>
    <w:rPr>
      <w:noProof/>
    </w:rPr>
  </w:style>
  <w:style w:type="character" w:customStyle="1" w:styleId="ZGSM">
    <w:name w:val="ZGSM"/>
    <w:rsid w:val="00380899"/>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380899"/>
    <w:pPr>
      <w:widowControl w:val="0"/>
      <w:overflowPunct w:val="0"/>
      <w:autoSpaceDE w:val="0"/>
      <w:autoSpaceDN w:val="0"/>
      <w:adjustRightInd w:val="0"/>
      <w:textAlignment w:val="baseline"/>
    </w:pPr>
    <w:rPr>
      <w:rFonts w:ascii="Arial" w:eastAsia="Times New Roman" w:hAnsi="Arial"/>
      <w:b/>
      <w:noProof/>
      <w:sz w:val="18"/>
      <w:lang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rsid w:val="00936A12"/>
    <w:rPr>
      <w:rFonts w:ascii="Arial" w:eastAsia="Times New Roman" w:hAnsi="Arial"/>
      <w:b/>
      <w:noProof/>
      <w:sz w:val="18"/>
      <w:lang w:eastAsia="en-GB"/>
    </w:rPr>
  </w:style>
  <w:style w:type="paragraph" w:customStyle="1" w:styleId="ZD">
    <w:name w:val="ZD"/>
    <w:rsid w:val="0038089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GB"/>
    </w:rPr>
  </w:style>
  <w:style w:type="paragraph" w:styleId="TOC5">
    <w:name w:val="toc 5"/>
    <w:basedOn w:val="TOC4"/>
    <w:rsid w:val="00380899"/>
    <w:pPr>
      <w:ind w:left="1701" w:hanging="1701"/>
    </w:pPr>
  </w:style>
  <w:style w:type="paragraph" w:styleId="TOC4">
    <w:name w:val="toc 4"/>
    <w:basedOn w:val="TOC3"/>
    <w:rsid w:val="00380899"/>
    <w:pPr>
      <w:ind w:left="1418" w:hanging="1418"/>
    </w:pPr>
  </w:style>
  <w:style w:type="paragraph" w:styleId="TOC3">
    <w:name w:val="toc 3"/>
    <w:basedOn w:val="TOC2"/>
    <w:rsid w:val="00380899"/>
    <w:pPr>
      <w:ind w:left="1134" w:hanging="1134"/>
    </w:pPr>
  </w:style>
  <w:style w:type="paragraph" w:styleId="TOC2">
    <w:name w:val="toc 2"/>
    <w:basedOn w:val="TOC1"/>
    <w:rsid w:val="00380899"/>
    <w:pPr>
      <w:keepNext w:val="0"/>
      <w:spacing w:before="0"/>
      <w:ind w:left="851" w:hanging="851"/>
    </w:pPr>
    <w:rPr>
      <w:sz w:val="20"/>
    </w:rPr>
  </w:style>
  <w:style w:type="paragraph" w:styleId="Footer">
    <w:name w:val="footer"/>
    <w:aliases w:val="footer odd,footer,fo,pie de página"/>
    <w:basedOn w:val="Header"/>
    <w:link w:val="FooterChar"/>
    <w:rsid w:val="00380899"/>
    <w:pPr>
      <w:jc w:val="center"/>
    </w:pPr>
    <w:rPr>
      <w:i/>
    </w:rPr>
  </w:style>
  <w:style w:type="character" w:customStyle="1" w:styleId="FooterChar">
    <w:name w:val="Footer Char"/>
    <w:aliases w:val="footer odd Char,footer Char,fo Char,pie de página Char"/>
    <w:link w:val="Footer"/>
    <w:rsid w:val="00936A12"/>
    <w:rPr>
      <w:rFonts w:ascii="Arial" w:eastAsia="Times New Roman" w:hAnsi="Arial"/>
      <w:b/>
      <w:i/>
      <w:noProof/>
      <w:sz w:val="18"/>
      <w:lang w:eastAsia="en-GB"/>
    </w:rPr>
  </w:style>
  <w:style w:type="paragraph" w:customStyle="1" w:styleId="TT">
    <w:name w:val="TT"/>
    <w:basedOn w:val="Heading1"/>
    <w:next w:val="Normal"/>
    <w:rsid w:val="00380899"/>
    <w:pPr>
      <w:outlineLvl w:val="9"/>
    </w:pPr>
  </w:style>
  <w:style w:type="paragraph" w:customStyle="1" w:styleId="NF">
    <w:name w:val="NF"/>
    <w:basedOn w:val="NO"/>
    <w:rsid w:val="00380899"/>
    <w:pPr>
      <w:keepNext/>
      <w:spacing w:after="0"/>
    </w:pPr>
    <w:rPr>
      <w:rFonts w:ascii="Arial" w:hAnsi="Arial"/>
      <w:sz w:val="18"/>
    </w:rPr>
  </w:style>
  <w:style w:type="paragraph" w:customStyle="1" w:styleId="NO">
    <w:name w:val="NO"/>
    <w:basedOn w:val="Normal"/>
    <w:link w:val="NOChar"/>
    <w:rsid w:val="00380899"/>
    <w:pPr>
      <w:keepLines/>
      <w:ind w:left="1135" w:hanging="851"/>
    </w:pPr>
  </w:style>
  <w:style w:type="character" w:customStyle="1" w:styleId="NOChar">
    <w:name w:val="NO Char"/>
    <w:link w:val="NO"/>
    <w:qFormat/>
    <w:rsid w:val="00936A12"/>
    <w:rPr>
      <w:rFonts w:eastAsia="Times New Roman"/>
      <w:lang w:eastAsia="en-GB"/>
    </w:rPr>
  </w:style>
  <w:style w:type="paragraph" w:customStyle="1" w:styleId="PL">
    <w:name w:val="PL"/>
    <w:link w:val="PLChar"/>
    <w:rsid w:val="0038089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GB"/>
    </w:rPr>
  </w:style>
  <w:style w:type="paragraph" w:customStyle="1" w:styleId="TAR">
    <w:name w:val="TAR"/>
    <w:basedOn w:val="TAL"/>
    <w:rsid w:val="00380899"/>
    <w:pPr>
      <w:jc w:val="right"/>
    </w:pPr>
  </w:style>
  <w:style w:type="paragraph" w:customStyle="1" w:styleId="TAL">
    <w:name w:val="TAL"/>
    <w:basedOn w:val="Normal"/>
    <w:link w:val="TALCar"/>
    <w:rsid w:val="00380899"/>
    <w:pPr>
      <w:keepNext/>
      <w:keepLines/>
      <w:spacing w:after="0"/>
    </w:pPr>
    <w:rPr>
      <w:rFonts w:ascii="Arial" w:hAnsi="Arial"/>
      <w:sz w:val="18"/>
    </w:rPr>
  </w:style>
  <w:style w:type="character" w:customStyle="1" w:styleId="TALCar">
    <w:name w:val="TAL Car"/>
    <w:link w:val="TAL"/>
    <w:qFormat/>
    <w:rsid w:val="00936A12"/>
    <w:rPr>
      <w:rFonts w:ascii="Arial" w:eastAsia="Times New Roman" w:hAnsi="Arial"/>
      <w:sz w:val="18"/>
      <w:lang w:eastAsia="en-GB"/>
    </w:rPr>
  </w:style>
  <w:style w:type="paragraph" w:customStyle="1" w:styleId="TAH">
    <w:name w:val="TAH"/>
    <w:basedOn w:val="TAC"/>
    <w:link w:val="TAHCar"/>
    <w:rsid w:val="00380899"/>
    <w:rPr>
      <w:b/>
    </w:rPr>
  </w:style>
  <w:style w:type="paragraph" w:customStyle="1" w:styleId="TAC">
    <w:name w:val="TAC"/>
    <w:basedOn w:val="TAL"/>
    <w:link w:val="TACChar"/>
    <w:rsid w:val="00380899"/>
    <w:pPr>
      <w:jc w:val="center"/>
    </w:pPr>
  </w:style>
  <w:style w:type="character" w:customStyle="1" w:styleId="TACChar">
    <w:name w:val="TAC Char"/>
    <w:link w:val="TAC"/>
    <w:qFormat/>
    <w:rsid w:val="00936A12"/>
    <w:rPr>
      <w:rFonts w:ascii="Arial" w:eastAsia="Times New Roman" w:hAnsi="Arial"/>
      <w:sz w:val="18"/>
      <w:lang w:eastAsia="en-GB"/>
    </w:rPr>
  </w:style>
  <w:style w:type="character" w:customStyle="1" w:styleId="TAHCar">
    <w:name w:val="TAH Car"/>
    <w:link w:val="TAH"/>
    <w:qFormat/>
    <w:rsid w:val="00936A12"/>
    <w:rPr>
      <w:rFonts w:ascii="Arial" w:eastAsia="Times New Roman" w:hAnsi="Arial"/>
      <w:b/>
      <w:sz w:val="18"/>
      <w:lang w:eastAsia="en-GB"/>
    </w:rPr>
  </w:style>
  <w:style w:type="paragraph" w:customStyle="1" w:styleId="LD">
    <w:name w:val="LD"/>
    <w:rsid w:val="00380899"/>
    <w:pPr>
      <w:keepNext/>
      <w:keepLines/>
      <w:overflowPunct w:val="0"/>
      <w:autoSpaceDE w:val="0"/>
      <w:autoSpaceDN w:val="0"/>
      <w:adjustRightInd w:val="0"/>
      <w:spacing w:line="180" w:lineRule="exact"/>
      <w:textAlignment w:val="baseline"/>
    </w:pPr>
    <w:rPr>
      <w:rFonts w:ascii="Courier New" w:eastAsia="Times New Roman" w:hAnsi="Courier New"/>
      <w:noProof/>
      <w:lang w:eastAsia="en-GB"/>
    </w:rPr>
  </w:style>
  <w:style w:type="paragraph" w:customStyle="1" w:styleId="EX">
    <w:name w:val="EX"/>
    <w:basedOn w:val="Normal"/>
    <w:link w:val="EXChar"/>
    <w:rsid w:val="00380899"/>
    <w:pPr>
      <w:keepLines/>
      <w:ind w:left="1702" w:hanging="1418"/>
    </w:pPr>
  </w:style>
  <w:style w:type="character" w:customStyle="1" w:styleId="EXChar">
    <w:name w:val="EX Char"/>
    <w:link w:val="EX"/>
    <w:qFormat/>
    <w:rsid w:val="00936A12"/>
    <w:rPr>
      <w:rFonts w:eastAsia="Times New Roman"/>
      <w:lang w:eastAsia="en-GB"/>
    </w:rPr>
  </w:style>
  <w:style w:type="paragraph" w:customStyle="1" w:styleId="FP">
    <w:name w:val="FP"/>
    <w:basedOn w:val="Normal"/>
    <w:rsid w:val="00380899"/>
    <w:pPr>
      <w:spacing w:after="0"/>
    </w:pPr>
  </w:style>
  <w:style w:type="paragraph" w:customStyle="1" w:styleId="NW">
    <w:name w:val="NW"/>
    <w:basedOn w:val="NO"/>
    <w:rsid w:val="00380899"/>
    <w:pPr>
      <w:spacing w:after="0"/>
    </w:pPr>
  </w:style>
  <w:style w:type="paragraph" w:customStyle="1" w:styleId="EW">
    <w:name w:val="EW"/>
    <w:basedOn w:val="EX"/>
    <w:rsid w:val="00380899"/>
    <w:pPr>
      <w:spacing w:after="0"/>
    </w:pPr>
  </w:style>
  <w:style w:type="paragraph" w:customStyle="1" w:styleId="B10">
    <w:name w:val="B1"/>
    <w:basedOn w:val="List"/>
    <w:link w:val="B1Char"/>
    <w:rsid w:val="00380899"/>
  </w:style>
  <w:style w:type="character" w:customStyle="1" w:styleId="B1Char">
    <w:name w:val="B1 Char"/>
    <w:link w:val="B10"/>
    <w:qFormat/>
    <w:rsid w:val="00936A12"/>
    <w:rPr>
      <w:rFonts w:eastAsia="Times New Roman"/>
      <w:lang w:eastAsia="en-GB"/>
    </w:rPr>
  </w:style>
  <w:style w:type="paragraph" w:styleId="TOC6">
    <w:name w:val="toc 6"/>
    <w:basedOn w:val="TOC5"/>
    <w:next w:val="Normal"/>
    <w:rsid w:val="00380899"/>
    <w:pPr>
      <w:ind w:left="1985" w:hanging="1985"/>
    </w:pPr>
  </w:style>
  <w:style w:type="paragraph" w:styleId="TOC7">
    <w:name w:val="toc 7"/>
    <w:basedOn w:val="TOC6"/>
    <w:next w:val="Normal"/>
    <w:rsid w:val="00380899"/>
    <w:pPr>
      <w:ind w:left="2268" w:hanging="2268"/>
    </w:pPr>
  </w:style>
  <w:style w:type="paragraph" w:customStyle="1" w:styleId="EditorsNote">
    <w:name w:val="Editor's Note"/>
    <w:aliases w:val="EN,Editor's Noteormal"/>
    <w:basedOn w:val="NO"/>
    <w:link w:val="EditorsNoteChar"/>
    <w:rsid w:val="00380899"/>
    <w:rPr>
      <w:color w:val="FF0000"/>
    </w:rPr>
  </w:style>
  <w:style w:type="paragraph" w:customStyle="1" w:styleId="TH">
    <w:name w:val="TH"/>
    <w:basedOn w:val="Normal"/>
    <w:link w:val="THChar"/>
    <w:rsid w:val="00380899"/>
    <w:pPr>
      <w:keepNext/>
      <w:keepLines/>
      <w:spacing w:before="60"/>
      <w:jc w:val="center"/>
    </w:pPr>
    <w:rPr>
      <w:rFonts w:ascii="Arial" w:hAnsi="Arial"/>
      <w:b/>
    </w:rPr>
  </w:style>
  <w:style w:type="character" w:customStyle="1" w:styleId="THChar">
    <w:name w:val="TH Char"/>
    <w:link w:val="TH"/>
    <w:qFormat/>
    <w:rsid w:val="00936A12"/>
    <w:rPr>
      <w:rFonts w:ascii="Arial" w:eastAsia="Times New Roman" w:hAnsi="Arial"/>
      <w:b/>
      <w:lang w:eastAsia="en-GB"/>
    </w:rPr>
  </w:style>
  <w:style w:type="paragraph" w:customStyle="1" w:styleId="ZA">
    <w:name w:val="ZA"/>
    <w:rsid w:val="0038089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GB"/>
    </w:rPr>
  </w:style>
  <w:style w:type="paragraph" w:customStyle="1" w:styleId="ZB">
    <w:name w:val="ZB"/>
    <w:rsid w:val="0038089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GB"/>
    </w:rPr>
  </w:style>
  <w:style w:type="paragraph" w:customStyle="1" w:styleId="ZT">
    <w:name w:val="ZT"/>
    <w:rsid w:val="0038089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GB"/>
    </w:rPr>
  </w:style>
  <w:style w:type="paragraph" w:customStyle="1" w:styleId="ZU">
    <w:name w:val="ZU"/>
    <w:rsid w:val="0038089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GB"/>
    </w:rPr>
  </w:style>
  <w:style w:type="paragraph" w:customStyle="1" w:styleId="TAN">
    <w:name w:val="TAN"/>
    <w:basedOn w:val="TAL"/>
    <w:link w:val="TANChar"/>
    <w:rsid w:val="00380899"/>
    <w:pPr>
      <w:ind w:left="851" w:hanging="851"/>
    </w:pPr>
  </w:style>
  <w:style w:type="character" w:customStyle="1" w:styleId="TANChar">
    <w:name w:val="TAN Char"/>
    <w:link w:val="TAN"/>
    <w:qFormat/>
    <w:rsid w:val="00936A12"/>
    <w:rPr>
      <w:rFonts w:ascii="Arial" w:eastAsia="Times New Roman" w:hAnsi="Arial"/>
      <w:sz w:val="18"/>
      <w:lang w:eastAsia="en-GB"/>
    </w:rPr>
  </w:style>
  <w:style w:type="paragraph" w:customStyle="1" w:styleId="ZH">
    <w:name w:val="ZH"/>
    <w:rsid w:val="0038089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GB"/>
    </w:rPr>
  </w:style>
  <w:style w:type="paragraph" w:customStyle="1" w:styleId="TF">
    <w:name w:val="TF"/>
    <w:aliases w:val="left"/>
    <w:basedOn w:val="TH"/>
    <w:link w:val="TFChar"/>
    <w:rsid w:val="00380899"/>
    <w:pPr>
      <w:keepNext w:val="0"/>
      <w:spacing w:before="0" w:after="240"/>
    </w:pPr>
  </w:style>
  <w:style w:type="character" w:customStyle="1" w:styleId="TFChar">
    <w:name w:val="TF Char"/>
    <w:link w:val="TF"/>
    <w:qFormat/>
    <w:rsid w:val="00936A12"/>
    <w:rPr>
      <w:rFonts w:ascii="Arial" w:eastAsia="Times New Roman" w:hAnsi="Arial"/>
      <w:b/>
      <w:lang w:eastAsia="en-GB"/>
    </w:rPr>
  </w:style>
  <w:style w:type="paragraph" w:customStyle="1" w:styleId="ZG">
    <w:name w:val="ZG"/>
    <w:rsid w:val="0038089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GB"/>
    </w:rPr>
  </w:style>
  <w:style w:type="paragraph" w:customStyle="1" w:styleId="B20">
    <w:name w:val="B2"/>
    <w:basedOn w:val="List2"/>
    <w:link w:val="B2Char"/>
    <w:rsid w:val="00380899"/>
  </w:style>
  <w:style w:type="character" w:customStyle="1" w:styleId="B2Char">
    <w:name w:val="B2 Char"/>
    <w:link w:val="B20"/>
    <w:qFormat/>
    <w:rsid w:val="00936A12"/>
    <w:rPr>
      <w:rFonts w:eastAsia="Times New Roman"/>
      <w:lang w:eastAsia="en-GB"/>
    </w:rPr>
  </w:style>
  <w:style w:type="paragraph" w:customStyle="1" w:styleId="B30">
    <w:name w:val="B3"/>
    <w:basedOn w:val="List3"/>
    <w:link w:val="B3Char"/>
    <w:rsid w:val="00380899"/>
  </w:style>
  <w:style w:type="paragraph" w:customStyle="1" w:styleId="B4">
    <w:name w:val="B4"/>
    <w:basedOn w:val="List4"/>
    <w:link w:val="B4Char"/>
    <w:rsid w:val="00380899"/>
  </w:style>
  <w:style w:type="character" w:customStyle="1" w:styleId="B4Char">
    <w:name w:val="B4 Char"/>
    <w:link w:val="B4"/>
    <w:qFormat/>
    <w:rsid w:val="00936A12"/>
    <w:rPr>
      <w:rFonts w:eastAsia="Times New Roman"/>
      <w:lang w:eastAsia="en-GB"/>
    </w:rPr>
  </w:style>
  <w:style w:type="paragraph" w:customStyle="1" w:styleId="B5">
    <w:name w:val="B5"/>
    <w:basedOn w:val="List5"/>
    <w:rsid w:val="00380899"/>
  </w:style>
  <w:style w:type="paragraph" w:customStyle="1" w:styleId="ZTD">
    <w:name w:val="ZTD"/>
    <w:basedOn w:val="ZB"/>
    <w:rsid w:val="00380899"/>
    <w:pPr>
      <w:framePr w:hRule="auto" w:wrap="notBeside" w:y="852"/>
    </w:pPr>
    <w:rPr>
      <w:i w:val="0"/>
      <w:sz w:val="40"/>
    </w:rPr>
  </w:style>
  <w:style w:type="paragraph" w:customStyle="1" w:styleId="ZV">
    <w:name w:val="ZV"/>
    <w:basedOn w:val="ZU"/>
    <w:rsid w:val="00380899"/>
    <w:pPr>
      <w:framePr w:wrap="notBeside" w:y="16161"/>
    </w:pPr>
  </w:style>
  <w:style w:type="paragraph" w:customStyle="1" w:styleId="TAJ">
    <w:name w:val="TAJ"/>
    <w:basedOn w:val="TH"/>
    <w:uiPriority w:val="99"/>
    <w:qFormat/>
    <w:rsid w:val="002C3C17"/>
  </w:style>
  <w:style w:type="paragraph" w:customStyle="1" w:styleId="Guidance">
    <w:name w:val="Guidance"/>
    <w:basedOn w:val="Normal"/>
    <w:uiPriority w:val="99"/>
    <w:qFormat/>
    <w:rsid w:val="006D1207"/>
    <w:rPr>
      <w:i/>
      <w:color w:val="0000FF"/>
    </w:rPr>
  </w:style>
  <w:style w:type="paragraph" w:styleId="DocumentMap">
    <w:name w:val="Document Map"/>
    <w:basedOn w:val="Normal"/>
    <w:link w:val="DocumentMapChar"/>
    <w:qFormat/>
    <w:rsid w:val="00721EA3"/>
    <w:rPr>
      <w:rFonts w:ascii="Tahoma" w:hAnsi="Tahoma"/>
      <w:sz w:val="16"/>
      <w:szCs w:val="16"/>
    </w:rPr>
  </w:style>
  <w:style w:type="character" w:customStyle="1" w:styleId="DocumentMapChar">
    <w:name w:val="Document Map Char"/>
    <w:link w:val="DocumentMap"/>
    <w:qFormat/>
    <w:rsid w:val="00721EA3"/>
    <w:rPr>
      <w:rFonts w:ascii="Tahoma" w:hAnsi="Tahoma" w:cs="Tahoma"/>
      <w:sz w:val="16"/>
      <w:szCs w:val="16"/>
      <w:lang w:val="en-GB" w:eastAsia="en-US"/>
    </w:rPr>
  </w:style>
  <w:style w:type="paragraph" w:styleId="Index1">
    <w:name w:val="index 1"/>
    <w:basedOn w:val="Normal"/>
    <w:rsid w:val="00380899"/>
    <w:pPr>
      <w:keepLines/>
      <w:spacing w:after="0"/>
    </w:pPr>
  </w:style>
  <w:style w:type="paragraph" w:styleId="Index2">
    <w:name w:val="index 2"/>
    <w:basedOn w:val="Index1"/>
    <w:rsid w:val="00380899"/>
    <w:pPr>
      <w:ind w:left="284"/>
    </w:pPr>
  </w:style>
  <w:style w:type="character" w:styleId="FootnoteReference">
    <w:name w:val="footnote reference"/>
    <w:aliases w:val="Appel note de bas de p,Nota,Footnote symbol,Footnote"/>
    <w:basedOn w:val="DefaultParagraphFont"/>
    <w:rsid w:val="00380899"/>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380899"/>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936A12"/>
    <w:rPr>
      <w:rFonts w:eastAsia="Times New Roman"/>
      <w:sz w:val="16"/>
      <w:lang w:eastAsia="en-GB"/>
    </w:rPr>
  </w:style>
  <w:style w:type="paragraph" w:styleId="ListNumber2">
    <w:name w:val="List Number 2"/>
    <w:basedOn w:val="ListNumber"/>
    <w:rsid w:val="00380899"/>
    <w:pPr>
      <w:ind w:left="851"/>
    </w:pPr>
  </w:style>
  <w:style w:type="paragraph" w:styleId="ListNumber">
    <w:name w:val="List Number"/>
    <w:basedOn w:val="List"/>
    <w:rsid w:val="00380899"/>
  </w:style>
  <w:style w:type="paragraph" w:styleId="List">
    <w:name w:val="List"/>
    <w:basedOn w:val="Normal"/>
    <w:link w:val="ListChar"/>
    <w:rsid w:val="00380899"/>
    <w:pPr>
      <w:ind w:left="568" w:hanging="284"/>
    </w:pPr>
  </w:style>
  <w:style w:type="character" w:customStyle="1" w:styleId="ListChar">
    <w:name w:val="List Char"/>
    <w:link w:val="List"/>
    <w:qFormat/>
    <w:rsid w:val="00936A12"/>
    <w:rPr>
      <w:rFonts w:eastAsia="Times New Roman"/>
      <w:lang w:eastAsia="en-GB"/>
    </w:rPr>
  </w:style>
  <w:style w:type="paragraph" w:styleId="ListBullet2">
    <w:name w:val="List Bullet 2"/>
    <w:aliases w:val="lb2"/>
    <w:basedOn w:val="ListBullet"/>
    <w:link w:val="ListBullet2Char"/>
    <w:rsid w:val="00380899"/>
    <w:pPr>
      <w:ind w:left="851"/>
    </w:pPr>
  </w:style>
  <w:style w:type="paragraph" w:styleId="ListBullet">
    <w:name w:val="List Bullet"/>
    <w:aliases w:val="UL"/>
    <w:basedOn w:val="List"/>
    <w:link w:val="ListBulletChar"/>
    <w:rsid w:val="00380899"/>
  </w:style>
  <w:style w:type="character" w:customStyle="1" w:styleId="ListBulletChar">
    <w:name w:val="List Bullet Char"/>
    <w:aliases w:val="UL Char"/>
    <w:link w:val="ListBullet"/>
    <w:rsid w:val="00936A12"/>
    <w:rPr>
      <w:rFonts w:eastAsia="Times New Roman"/>
      <w:lang w:eastAsia="en-GB"/>
    </w:rPr>
  </w:style>
  <w:style w:type="character" w:customStyle="1" w:styleId="ListBullet2Char">
    <w:name w:val="List Bullet 2 Char"/>
    <w:aliases w:val="lb2 Char"/>
    <w:link w:val="ListBullet2"/>
    <w:qFormat/>
    <w:rsid w:val="00936A12"/>
    <w:rPr>
      <w:rFonts w:eastAsia="Times New Roman"/>
      <w:lang w:eastAsia="en-GB"/>
    </w:rPr>
  </w:style>
  <w:style w:type="paragraph" w:styleId="ListBullet3">
    <w:name w:val="List Bullet 3"/>
    <w:basedOn w:val="ListBullet2"/>
    <w:link w:val="ListBullet3Char"/>
    <w:rsid w:val="00380899"/>
    <w:pPr>
      <w:ind w:left="1135"/>
    </w:pPr>
  </w:style>
  <w:style w:type="character" w:customStyle="1" w:styleId="ListBullet3Char">
    <w:name w:val="List Bullet 3 Char"/>
    <w:link w:val="ListBullet3"/>
    <w:qFormat/>
    <w:rsid w:val="00936A12"/>
    <w:rPr>
      <w:rFonts w:eastAsia="Times New Roman"/>
      <w:lang w:eastAsia="en-GB"/>
    </w:rPr>
  </w:style>
  <w:style w:type="paragraph" w:styleId="List2">
    <w:name w:val="List 2"/>
    <w:basedOn w:val="List"/>
    <w:link w:val="List2Char"/>
    <w:rsid w:val="00380899"/>
    <w:pPr>
      <w:ind w:left="851"/>
    </w:pPr>
  </w:style>
  <w:style w:type="character" w:customStyle="1" w:styleId="List2Char">
    <w:name w:val="List 2 Char"/>
    <w:link w:val="List2"/>
    <w:qFormat/>
    <w:rsid w:val="00936A12"/>
    <w:rPr>
      <w:rFonts w:eastAsia="Times New Roman"/>
      <w:lang w:eastAsia="en-GB"/>
    </w:rPr>
  </w:style>
  <w:style w:type="paragraph" w:styleId="List3">
    <w:name w:val="List 3"/>
    <w:basedOn w:val="List2"/>
    <w:rsid w:val="00380899"/>
    <w:pPr>
      <w:ind w:left="1135"/>
    </w:pPr>
  </w:style>
  <w:style w:type="paragraph" w:styleId="List4">
    <w:name w:val="List 4"/>
    <w:basedOn w:val="List3"/>
    <w:rsid w:val="00380899"/>
    <w:pPr>
      <w:ind w:left="1418"/>
    </w:pPr>
  </w:style>
  <w:style w:type="paragraph" w:styleId="List5">
    <w:name w:val="List 5"/>
    <w:basedOn w:val="List4"/>
    <w:rsid w:val="00380899"/>
    <w:pPr>
      <w:ind w:left="1702"/>
    </w:pPr>
  </w:style>
  <w:style w:type="paragraph" w:styleId="ListBullet4">
    <w:name w:val="List Bullet 4"/>
    <w:basedOn w:val="ListBullet3"/>
    <w:rsid w:val="00380899"/>
    <w:pPr>
      <w:ind w:left="1418"/>
    </w:pPr>
  </w:style>
  <w:style w:type="paragraph" w:styleId="ListBullet5">
    <w:name w:val="List Bullet 5"/>
    <w:basedOn w:val="ListBullet4"/>
    <w:rsid w:val="00380899"/>
    <w:pPr>
      <w:ind w:left="1702"/>
    </w:pPr>
  </w:style>
  <w:style w:type="paragraph" w:styleId="IndexHeading">
    <w:name w:val="index heading"/>
    <w:basedOn w:val="Normal"/>
    <w:next w:val="Normal"/>
    <w:uiPriority w:val="99"/>
    <w:qFormat/>
    <w:rsid w:val="00936A12"/>
    <w:pPr>
      <w:pBdr>
        <w:top w:val="single" w:sz="12" w:space="0" w:color="auto"/>
      </w:pBdr>
      <w:spacing w:before="360" w:after="240"/>
    </w:pPr>
    <w:rPr>
      <w:rFonts w:eastAsia="MS Mincho"/>
      <w:b/>
      <w:i/>
      <w:sz w:val="26"/>
    </w:rPr>
  </w:style>
  <w:style w:type="paragraph" w:customStyle="1" w:styleId="TabList">
    <w:name w:val="TabList"/>
    <w:basedOn w:val="Normal"/>
    <w:uiPriority w:val="99"/>
    <w:rsid w:val="00936A12"/>
    <w:pPr>
      <w:tabs>
        <w:tab w:val="left" w:pos="1134"/>
      </w:tabs>
      <w:spacing w:after="0"/>
    </w:pPr>
    <w:rPr>
      <w:rFonts w:eastAsia="MS Mincho"/>
    </w:rPr>
  </w:style>
  <w:style w:type="character" w:styleId="Hyperlink">
    <w:name w:val="Hyperlink"/>
    <w:qFormat/>
    <w:rsid w:val="00936A12"/>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
    <w:basedOn w:val="Normal"/>
    <w:next w:val="Normal"/>
    <w:link w:val="CaptionChar"/>
    <w:uiPriority w:val="35"/>
    <w:qFormat/>
    <w:rsid w:val="00936A12"/>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35"/>
    <w:qFormat/>
    <w:locked/>
    <w:rsid w:val="00936A12"/>
    <w:rPr>
      <w:rFonts w:eastAsia="MS Mincho"/>
      <w:b/>
      <w:lang w:val="en-GB" w:eastAsia="en-US"/>
    </w:rPr>
  </w:style>
  <w:style w:type="paragraph" w:customStyle="1" w:styleId="tabletext">
    <w:name w:val="table text"/>
    <w:basedOn w:val="Normal"/>
    <w:next w:val="table"/>
    <w:uiPriority w:val="99"/>
    <w:qFormat/>
    <w:rsid w:val="00936A12"/>
    <w:pPr>
      <w:spacing w:after="0"/>
    </w:pPr>
    <w:rPr>
      <w:rFonts w:eastAsia="MS Mincho"/>
      <w:i/>
    </w:rPr>
  </w:style>
  <w:style w:type="paragraph" w:customStyle="1" w:styleId="table">
    <w:name w:val="table"/>
    <w:basedOn w:val="Normal"/>
    <w:next w:val="Normal"/>
    <w:uiPriority w:val="99"/>
    <w:qFormat/>
    <w:rsid w:val="00936A12"/>
    <w:pPr>
      <w:spacing w:after="0"/>
      <w:jc w:val="center"/>
    </w:pPr>
    <w:rPr>
      <w:rFonts w:eastAsia="MS Mincho"/>
      <w:lang w:val="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936A12"/>
    <w:pPr>
      <w:widowControl w:val="0"/>
      <w:spacing w:after="120"/>
    </w:pPr>
    <w:rPr>
      <w:rFonts w:eastAsia="MS Mincho"/>
      <w:sz w:val="24"/>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link w:val="BodyText"/>
    <w:rsid w:val="00936A12"/>
    <w:rPr>
      <w:rFonts w:eastAsia="MS Mincho"/>
      <w:sz w:val="24"/>
      <w:lang w:eastAsia="en-US"/>
    </w:rPr>
  </w:style>
  <w:style w:type="paragraph" w:customStyle="1" w:styleId="HE">
    <w:name w:val="HE"/>
    <w:basedOn w:val="Normal"/>
    <w:uiPriority w:val="99"/>
    <w:rsid w:val="00936A12"/>
    <w:pPr>
      <w:spacing w:after="0"/>
    </w:pPr>
    <w:rPr>
      <w:rFonts w:eastAsia="MS Mincho"/>
      <w:b/>
    </w:rPr>
  </w:style>
  <w:style w:type="paragraph" w:styleId="PlainText">
    <w:name w:val="Plain Text"/>
    <w:basedOn w:val="Normal"/>
    <w:link w:val="PlainTextChar"/>
    <w:uiPriority w:val="99"/>
    <w:qFormat/>
    <w:rsid w:val="00936A12"/>
    <w:pPr>
      <w:spacing w:after="0"/>
    </w:pPr>
    <w:rPr>
      <w:rFonts w:ascii="Courier New" w:eastAsia="MS Mincho" w:hAnsi="Courier New"/>
    </w:rPr>
  </w:style>
  <w:style w:type="character" w:customStyle="1" w:styleId="PlainTextChar">
    <w:name w:val="Plain Text Char"/>
    <w:link w:val="PlainText"/>
    <w:uiPriority w:val="99"/>
    <w:qFormat/>
    <w:rsid w:val="00936A12"/>
    <w:rPr>
      <w:rFonts w:ascii="Courier New" w:eastAsia="MS Mincho" w:hAnsi="Courier New"/>
      <w:lang w:eastAsia="en-US"/>
    </w:rPr>
  </w:style>
  <w:style w:type="paragraph" w:customStyle="1" w:styleId="text">
    <w:name w:val="text"/>
    <w:basedOn w:val="Normal"/>
    <w:uiPriority w:val="99"/>
    <w:qFormat/>
    <w:rsid w:val="00936A12"/>
    <w:pPr>
      <w:widowControl w:val="0"/>
      <w:spacing w:after="240"/>
      <w:jc w:val="both"/>
    </w:pPr>
    <w:rPr>
      <w:rFonts w:eastAsia="MS Mincho"/>
      <w:sz w:val="24"/>
      <w:lang w:val="en-AU"/>
    </w:rPr>
  </w:style>
  <w:style w:type="paragraph" w:customStyle="1" w:styleId="Reference">
    <w:name w:val="Reference"/>
    <w:basedOn w:val="EX"/>
    <w:uiPriority w:val="99"/>
    <w:qFormat/>
    <w:rsid w:val="00936A12"/>
    <w:pPr>
      <w:tabs>
        <w:tab w:val="num" w:pos="567"/>
      </w:tabs>
      <w:ind w:left="567" w:hanging="567"/>
    </w:pPr>
    <w:rPr>
      <w:rFonts w:eastAsia="MS Mincho"/>
    </w:rPr>
  </w:style>
  <w:style w:type="paragraph" w:customStyle="1" w:styleId="berschrift1H1">
    <w:name w:val="Überschrift 1.H1"/>
    <w:basedOn w:val="Normal"/>
    <w:next w:val="Normal"/>
    <w:uiPriority w:val="99"/>
    <w:qFormat/>
    <w:rsid w:val="00936A12"/>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uiPriority w:val="99"/>
    <w:qFormat/>
    <w:rsid w:val="00936A12"/>
    <w:rPr>
      <w:rFonts w:ascii="Arial" w:eastAsia="MS Mincho" w:hAnsi="Arial"/>
      <w:lang w:eastAsia="en-US"/>
    </w:rPr>
  </w:style>
  <w:style w:type="paragraph" w:customStyle="1" w:styleId="textintend1">
    <w:name w:val="text intend 1"/>
    <w:basedOn w:val="text"/>
    <w:uiPriority w:val="99"/>
    <w:qFormat/>
    <w:rsid w:val="00936A12"/>
    <w:pPr>
      <w:widowControl/>
      <w:tabs>
        <w:tab w:val="num" w:pos="992"/>
      </w:tabs>
      <w:spacing w:after="120"/>
      <w:ind w:left="992" w:hanging="425"/>
    </w:pPr>
    <w:rPr>
      <w:lang w:val="en-US"/>
    </w:rPr>
  </w:style>
  <w:style w:type="paragraph" w:customStyle="1" w:styleId="textintend2">
    <w:name w:val="text intend 2"/>
    <w:basedOn w:val="text"/>
    <w:uiPriority w:val="99"/>
    <w:rsid w:val="00936A12"/>
    <w:pPr>
      <w:widowControl/>
      <w:tabs>
        <w:tab w:val="num" w:pos="1418"/>
      </w:tabs>
      <w:spacing w:after="120"/>
      <w:ind w:left="1418" w:hanging="426"/>
    </w:pPr>
    <w:rPr>
      <w:lang w:val="en-US"/>
    </w:rPr>
  </w:style>
  <w:style w:type="paragraph" w:customStyle="1" w:styleId="textintend3">
    <w:name w:val="text intend 3"/>
    <w:basedOn w:val="text"/>
    <w:uiPriority w:val="99"/>
    <w:qFormat/>
    <w:rsid w:val="00936A12"/>
    <w:pPr>
      <w:widowControl/>
      <w:tabs>
        <w:tab w:val="num" w:pos="1843"/>
      </w:tabs>
      <w:spacing w:after="120"/>
      <w:ind w:left="1843" w:hanging="425"/>
    </w:pPr>
    <w:rPr>
      <w:lang w:val="en-US"/>
    </w:rPr>
  </w:style>
  <w:style w:type="paragraph" w:customStyle="1" w:styleId="normalpuce">
    <w:name w:val="normal puce"/>
    <w:basedOn w:val="Normal"/>
    <w:uiPriority w:val="99"/>
    <w:qFormat/>
    <w:rsid w:val="00936A12"/>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uiPriority w:val="99"/>
    <w:qFormat/>
    <w:rsid w:val="00936A12"/>
    <w:pPr>
      <w:spacing w:before="240" w:after="0"/>
      <w:ind w:left="360"/>
      <w:jc w:val="both"/>
    </w:pPr>
    <w:rPr>
      <w:rFonts w:eastAsia="MS Mincho"/>
      <w:i/>
      <w:sz w:val="22"/>
    </w:rPr>
  </w:style>
  <w:style w:type="character" w:customStyle="1" w:styleId="BodyTextIndentChar">
    <w:name w:val="Body Text Indent Char"/>
    <w:link w:val="BodyTextIndent"/>
    <w:uiPriority w:val="99"/>
    <w:rsid w:val="00936A12"/>
    <w:rPr>
      <w:rFonts w:eastAsia="MS Mincho"/>
      <w:i/>
      <w:sz w:val="22"/>
      <w:lang w:val="en-GB" w:eastAsia="en-US"/>
    </w:rPr>
  </w:style>
  <w:style w:type="character" w:styleId="PageNumber">
    <w:name w:val="page number"/>
    <w:basedOn w:val="DefaultParagraphFont"/>
    <w:qFormat/>
    <w:rsid w:val="00936A12"/>
  </w:style>
  <w:style w:type="paragraph" w:styleId="CommentText">
    <w:name w:val="annotation text"/>
    <w:basedOn w:val="Normal"/>
    <w:link w:val="CommentTextChar"/>
    <w:uiPriority w:val="99"/>
    <w:qFormat/>
    <w:rsid w:val="00936A12"/>
    <w:pPr>
      <w:spacing w:before="120" w:after="0"/>
    </w:pPr>
    <w:rPr>
      <w:rFonts w:eastAsia="MS Mincho"/>
    </w:rPr>
  </w:style>
  <w:style w:type="character" w:customStyle="1" w:styleId="CommentTextChar">
    <w:name w:val="Comment Text Char"/>
    <w:link w:val="CommentText"/>
    <w:uiPriority w:val="99"/>
    <w:qFormat/>
    <w:rsid w:val="00936A12"/>
    <w:rPr>
      <w:rFonts w:eastAsia="MS Mincho"/>
      <w:lang w:eastAsia="en-US"/>
    </w:rPr>
  </w:style>
  <w:style w:type="paragraph" w:styleId="BodyText2">
    <w:name w:val="Body Text 2"/>
    <w:basedOn w:val="Normal"/>
    <w:link w:val="BodyText2Char"/>
    <w:uiPriority w:val="99"/>
    <w:rsid w:val="00936A12"/>
    <w:pPr>
      <w:spacing w:after="0"/>
      <w:jc w:val="both"/>
    </w:pPr>
    <w:rPr>
      <w:rFonts w:eastAsia="MS Mincho"/>
      <w:sz w:val="24"/>
    </w:rPr>
  </w:style>
  <w:style w:type="character" w:customStyle="1" w:styleId="BodyText2Char">
    <w:name w:val="Body Text 2 Char"/>
    <w:link w:val="BodyText2"/>
    <w:uiPriority w:val="99"/>
    <w:qFormat/>
    <w:rsid w:val="00936A12"/>
    <w:rPr>
      <w:rFonts w:eastAsia="MS Mincho"/>
      <w:sz w:val="24"/>
      <w:lang w:eastAsia="en-US"/>
    </w:rPr>
  </w:style>
  <w:style w:type="paragraph" w:customStyle="1" w:styleId="para">
    <w:name w:val="para"/>
    <w:basedOn w:val="Normal"/>
    <w:uiPriority w:val="99"/>
    <w:qFormat/>
    <w:rsid w:val="00936A12"/>
    <w:pPr>
      <w:spacing w:after="240"/>
      <w:jc w:val="both"/>
    </w:pPr>
    <w:rPr>
      <w:rFonts w:ascii="Helvetica" w:eastAsia="MS Mincho" w:hAnsi="Helvetica"/>
    </w:rPr>
  </w:style>
  <w:style w:type="character" w:customStyle="1" w:styleId="MTEquationSection">
    <w:name w:val="MTEquationSection"/>
    <w:qFormat/>
    <w:rsid w:val="00936A12"/>
    <w:rPr>
      <w:noProof w:val="0"/>
      <w:vanish w:val="0"/>
      <w:color w:val="FF0000"/>
      <w:lang w:eastAsia="en-US"/>
    </w:rPr>
  </w:style>
  <w:style w:type="paragraph" w:customStyle="1" w:styleId="MTDisplayEquation">
    <w:name w:val="MTDisplayEquation"/>
    <w:basedOn w:val="Normal"/>
    <w:uiPriority w:val="99"/>
    <w:qFormat/>
    <w:rsid w:val="00936A12"/>
    <w:pPr>
      <w:tabs>
        <w:tab w:val="center" w:pos="4820"/>
        <w:tab w:val="right" w:pos="9640"/>
      </w:tabs>
    </w:pPr>
    <w:rPr>
      <w:rFonts w:eastAsia="MS Mincho"/>
    </w:rPr>
  </w:style>
  <w:style w:type="character" w:styleId="FollowedHyperlink">
    <w:name w:val="FollowedHyperlink"/>
    <w:qFormat/>
    <w:rsid w:val="00936A12"/>
    <w:rPr>
      <w:color w:val="800080"/>
      <w:u w:val="single"/>
    </w:rPr>
  </w:style>
  <w:style w:type="paragraph" w:styleId="BodyTextIndent2">
    <w:name w:val="Body Text Indent 2"/>
    <w:basedOn w:val="Normal"/>
    <w:link w:val="BodyTextIndent2Char"/>
    <w:uiPriority w:val="99"/>
    <w:qFormat/>
    <w:rsid w:val="00936A12"/>
    <w:pPr>
      <w:ind w:left="568" w:hanging="568"/>
    </w:pPr>
    <w:rPr>
      <w:rFonts w:eastAsia="MS Mincho"/>
    </w:rPr>
  </w:style>
  <w:style w:type="character" w:customStyle="1" w:styleId="BodyTextIndent2Char">
    <w:name w:val="Body Text Indent 2 Char"/>
    <w:link w:val="BodyTextIndent2"/>
    <w:uiPriority w:val="99"/>
    <w:qFormat/>
    <w:rsid w:val="00936A12"/>
    <w:rPr>
      <w:rFonts w:eastAsia="MS Mincho"/>
      <w:lang w:val="en-GB" w:eastAsia="en-US"/>
    </w:rPr>
  </w:style>
  <w:style w:type="paragraph" w:customStyle="1" w:styleId="List1">
    <w:name w:val="List1"/>
    <w:basedOn w:val="Normal"/>
    <w:uiPriority w:val="99"/>
    <w:rsid w:val="00936A12"/>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uiPriority w:val="99"/>
    <w:qFormat/>
    <w:rsid w:val="00936A12"/>
    <w:rPr>
      <w:rFonts w:eastAsia="MS Mincho"/>
      <w:b/>
      <w:i/>
    </w:rPr>
  </w:style>
  <w:style w:type="character" w:customStyle="1" w:styleId="BodyText3Char">
    <w:name w:val="Body Text 3 Char"/>
    <w:link w:val="BodyText3"/>
    <w:uiPriority w:val="99"/>
    <w:qFormat/>
    <w:rsid w:val="00936A12"/>
    <w:rPr>
      <w:rFonts w:eastAsia="MS Mincho"/>
      <w:b/>
      <w:i/>
      <w:lang w:eastAsia="en-US"/>
    </w:rPr>
  </w:style>
  <w:style w:type="table" w:styleId="TableGrid">
    <w:name w:val="Table Grid"/>
    <w:aliases w:val="SGS Table Basic 1"/>
    <w:basedOn w:val="TableNormal"/>
    <w:qFormat/>
    <w:rsid w:val="00936A12"/>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qFormat/>
    <w:rsid w:val="00936A12"/>
    <w:pPr>
      <w:spacing w:after="120"/>
    </w:pPr>
    <w:rPr>
      <w:rFonts w:ascii="Arial" w:eastAsia="MS Mincho" w:hAnsi="Arial"/>
      <w:lang w:eastAsia="en-US"/>
    </w:rPr>
  </w:style>
  <w:style w:type="character" w:customStyle="1" w:styleId="CRCoverPageChar">
    <w:name w:val="CR Cover Page Char"/>
    <w:link w:val="CRCoverPage"/>
    <w:qFormat/>
    <w:rsid w:val="00936A12"/>
    <w:rPr>
      <w:rFonts w:ascii="Arial" w:eastAsia="MS Mincho" w:hAnsi="Arial"/>
      <w:lang w:val="en-GB" w:eastAsia="en-US" w:bidi="ar-SA"/>
    </w:rPr>
  </w:style>
  <w:style w:type="paragraph" w:customStyle="1" w:styleId="tdoc-header">
    <w:name w:val="tdoc-header"/>
    <w:qFormat/>
    <w:rsid w:val="00936A12"/>
    <w:rPr>
      <w:rFonts w:ascii="Arial" w:eastAsia="MS Mincho" w:hAnsi="Arial"/>
      <w:noProof/>
      <w:sz w:val="24"/>
      <w:lang w:eastAsia="en-US"/>
    </w:rPr>
  </w:style>
  <w:style w:type="character" w:styleId="CommentReference">
    <w:name w:val="annotation reference"/>
    <w:qFormat/>
    <w:rsid w:val="00936A12"/>
    <w:rPr>
      <w:sz w:val="16"/>
    </w:rPr>
  </w:style>
  <w:style w:type="paragraph" w:customStyle="1" w:styleId="TdocText">
    <w:name w:val="Tdoc_Text"/>
    <w:basedOn w:val="Normal"/>
    <w:uiPriority w:val="99"/>
    <w:qFormat/>
    <w:rsid w:val="00936A12"/>
    <w:pPr>
      <w:spacing w:before="120" w:after="0"/>
      <w:jc w:val="both"/>
    </w:pPr>
    <w:rPr>
      <w:rFonts w:eastAsia="MS Mincho"/>
      <w:lang w:val="en-US"/>
    </w:rPr>
  </w:style>
  <w:style w:type="paragraph" w:styleId="BalloonText">
    <w:name w:val="Balloon Text"/>
    <w:basedOn w:val="Normal"/>
    <w:link w:val="BalloonTextChar"/>
    <w:qFormat/>
    <w:rsid w:val="00936A12"/>
    <w:rPr>
      <w:rFonts w:ascii="Tahoma" w:eastAsia="MS Mincho" w:hAnsi="Tahoma"/>
      <w:sz w:val="16"/>
      <w:szCs w:val="16"/>
    </w:rPr>
  </w:style>
  <w:style w:type="character" w:customStyle="1" w:styleId="BalloonTextChar">
    <w:name w:val="Balloon Text Char"/>
    <w:link w:val="BalloonText"/>
    <w:qFormat/>
    <w:rsid w:val="00936A12"/>
    <w:rPr>
      <w:rFonts w:ascii="Tahoma" w:eastAsia="MS Mincho" w:hAnsi="Tahoma" w:cs="Tahoma"/>
      <w:sz w:val="16"/>
      <w:szCs w:val="16"/>
      <w:lang w:val="en-GB" w:eastAsia="en-US"/>
    </w:rPr>
  </w:style>
  <w:style w:type="paragraph" w:customStyle="1" w:styleId="centered">
    <w:name w:val="centered"/>
    <w:basedOn w:val="Normal"/>
    <w:uiPriority w:val="99"/>
    <w:qFormat/>
    <w:rsid w:val="00936A12"/>
    <w:pPr>
      <w:widowControl w:val="0"/>
      <w:spacing w:before="120" w:after="0" w:line="280" w:lineRule="atLeast"/>
      <w:jc w:val="center"/>
    </w:pPr>
    <w:rPr>
      <w:rFonts w:ascii="Bookman" w:eastAsia="MS Mincho" w:hAnsi="Bookman"/>
      <w:lang w:val="en-US"/>
    </w:rPr>
  </w:style>
  <w:style w:type="character" w:customStyle="1" w:styleId="superscript">
    <w:name w:val="superscript"/>
    <w:aliases w:val="+"/>
    <w:qFormat/>
    <w:rsid w:val="00936A12"/>
    <w:rPr>
      <w:rFonts w:ascii="Bookman" w:hAnsi="Bookman"/>
      <w:position w:val="6"/>
      <w:sz w:val="18"/>
    </w:rPr>
  </w:style>
  <w:style w:type="paragraph" w:customStyle="1" w:styleId="References">
    <w:name w:val="References"/>
    <w:basedOn w:val="Normal"/>
    <w:uiPriority w:val="99"/>
    <w:rsid w:val="006D1207"/>
    <w:pPr>
      <w:numPr>
        <w:numId w:val="1"/>
      </w:numPr>
      <w:tabs>
        <w:tab w:val="clear" w:pos="360"/>
      </w:tabs>
      <w:spacing w:after="80"/>
    </w:pPr>
    <w:rPr>
      <w:rFonts w:eastAsia="MS Mincho"/>
      <w:sz w:val="18"/>
      <w:lang w:val="en-US"/>
    </w:rPr>
  </w:style>
  <w:style w:type="paragraph" w:styleId="CommentSubject">
    <w:name w:val="annotation subject"/>
    <w:basedOn w:val="CommentText"/>
    <w:next w:val="CommentText"/>
    <w:link w:val="CommentSubjectChar"/>
    <w:qFormat/>
    <w:rsid w:val="00936A12"/>
    <w:pPr>
      <w:spacing w:before="0" w:after="180"/>
    </w:pPr>
    <w:rPr>
      <w:b/>
      <w:bCs/>
    </w:rPr>
  </w:style>
  <w:style w:type="character" w:customStyle="1" w:styleId="CommentSubjectChar">
    <w:name w:val="Comment Subject Char"/>
    <w:link w:val="CommentSubject"/>
    <w:qFormat/>
    <w:rsid w:val="00936A12"/>
    <w:rPr>
      <w:rFonts w:eastAsia="MS Mincho"/>
      <w:b/>
      <w:bCs/>
      <w:lang w:val="en-GB" w:eastAsia="en-US"/>
    </w:rPr>
  </w:style>
  <w:style w:type="paragraph" w:customStyle="1" w:styleId="ZchnZchn">
    <w:name w:val="Zchn Zchn"/>
    <w:uiPriority w:val="99"/>
    <w:semiHidden/>
    <w:qFormat/>
    <w:rsid w:val="006D1207"/>
    <w:pPr>
      <w:keepNext/>
      <w:numPr>
        <w:numId w:val="2"/>
      </w:numPr>
      <w:tabs>
        <w:tab w:val="clear" w:pos="851"/>
      </w:tabs>
      <w:autoSpaceDE w:val="0"/>
      <w:autoSpaceDN w:val="0"/>
      <w:adjustRightInd w:val="0"/>
      <w:spacing w:before="60" w:after="60"/>
      <w:ind w:left="360" w:hanging="360"/>
      <w:jc w:val="both"/>
    </w:pPr>
    <w:rPr>
      <w:rFonts w:ascii="Arial" w:hAnsi="Arial" w:cs="Arial"/>
      <w:color w:val="0000FF"/>
      <w:kern w:val="2"/>
      <w:lang w:val="en-US" w:eastAsia="zh-CN"/>
    </w:rPr>
  </w:style>
  <w:style w:type="character" w:customStyle="1" w:styleId="NOChar1">
    <w:name w:val="NO Char1"/>
    <w:qFormat/>
    <w:rsid w:val="00936A12"/>
    <w:rPr>
      <w:rFonts w:eastAsia="MS Mincho"/>
      <w:lang w:val="en-GB" w:eastAsia="en-US" w:bidi="ar-SA"/>
    </w:rPr>
  </w:style>
  <w:style w:type="character" w:customStyle="1" w:styleId="B1Char1">
    <w:name w:val="B1 Char1"/>
    <w:qFormat/>
    <w:rsid w:val="00936A12"/>
    <w:rPr>
      <w:rFonts w:eastAsia="MS Mincho"/>
      <w:lang w:val="en-GB" w:eastAsia="en-US" w:bidi="ar-SA"/>
    </w:rPr>
  </w:style>
  <w:style w:type="paragraph" w:customStyle="1" w:styleId="TableText0">
    <w:name w:val="TableText"/>
    <w:basedOn w:val="BodyTextIndent"/>
    <w:uiPriority w:val="99"/>
    <w:qFormat/>
    <w:rsid w:val="00936A12"/>
    <w:pPr>
      <w:keepNext/>
      <w:keepLines/>
      <w:spacing w:before="0" w:after="180"/>
      <w:ind w:left="0"/>
      <w:jc w:val="center"/>
    </w:pPr>
    <w:rPr>
      <w:i w:val="0"/>
      <w:snapToGrid w:val="0"/>
      <w:kern w:val="2"/>
      <w:sz w:val="20"/>
    </w:rPr>
  </w:style>
  <w:style w:type="character" w:customStyle="1" w:styleId="msoins0">
    <w:name w:val="msoins"/>
    <w:basedOn w:val="DefaultParagraphFont"/>
    <w:qFormat/>
    <w:rsid w:val="00936A12"/>
  </w:style>
  <w:style w:type="paragraph" w:customStyle="1" w:styleId="B1">
    <w:name w:val="B1+"/>
    <w:basedOn w:val="B10"/>
    <w:uiPriority w:val="99"/>
    <w:qFormat/>
    <w:rsid w:val="006D1207"/>
    <w:pPr>
      <w:numPr>
        <w:numId w:val="3"/>
      </w:numPr>
      <w:tabs>
        <w:tab w:val="clear" w:pos="737"/>
        <w:tab w:val="num" w:pos="720"/>
      </w:tabs>
      <w:ind w:left="720" w:hanging="360"/>
    </w:pPr>
    <w:rPr>
      <w:lang w:eastAsia="zh-CN"/>
    </w:rPr>
  </w:style>
  <w:style w:type="paragraph" w:styleId="ListParagraph">
    <w:name w:val="List Paragraph"/>
    <w:aliases w:val="- Bullets,목록 단락,?? ??,?????,????,リスト段落,清單段落1,Lista1,中等深浅网格 1 - 着色 21,列表段落,¥¡¡¡¡ì¬º¥¹¥È¶ÎÂä,ÁÐ³ö¶ÎÂä,¥ê¥¹¥È¶ÎÂä,列表段落1,—ño’i—Ž,1st level - Bullet List Paragraph,Lettre d'introduction,Paragrafo elenco,Normal bullet 2,Bullet list,列出段落1,列出段落"/>
    <w:basedOn w:val="Normal"/>
    <w:link w:val="ListParagraphChar"/>
    <w:uiPriority w:val="34"/>
    <w:qFormat/>
    <w:rsid w:val="00936A12"/>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中等深浅网格 1 - 着色 21 Char,列表段落 Char,¥¡¡¡¡ì¬º¥¹¥È¶ÎÂä Char,ÁÐ³ö¶ÎÂä Char,¥ê¥¹¥È¶ÎÂä Char,列表段落1 Char,—ño’i—Ž Char,Lettre d'introduction Char"/>
    <w:link w:val="ListParagraph"/>
    <w:uiPriority w:val="34"/>
    <w:qFormat/>
    <w:rsid w:val="00936A12"/>
    <w:rPr>
      <w:sz w:val="24"/>
      <w:szCs w:val="24"/>
      <w:lang w:eastAsia="en-US"/>
    </w:rPr>
  </w:style>
  <w:style w:type="paragraph" w:styleId="NormalWeb">
    <w:name w:val="Normal (Web)"/>
    <w:basedOn w:val="Normal"/>
    <w:uiPriority w:val="99"/>
    <w:unhideWhenUsed/>
    <w:qFormat/>
    <w:rsid w:val="00936A12"/>
    <w:pPr>
      <w:spacing w:before="100" w:beforeAutospacing="1" w:after="100" w:afterAutospacing="1"/>
    </w:pPr>
    <w:rPr>
      <w:sz w:val="24"/>
      <w:szCs w:val="24"/>
      <w:lang w:val="en-US"/>
    </w:rPr>
  </w:style>
  <w:style w:type="paragraph" w:customStyle="1" w:styleId="CharCharCharChar1">
    <w:name w:val="Char Char Char Char1"/>
    <w:uiPriority w:val="99"/>
    <w:semiHidden/>
    <w:qFormat/>
    <w:rsid w:val="00936A12"/>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docHeading1">
    <w:name w:val="Tdoc_Heading_1"/>
    <w:basedOn w:val="Heading1"/>
    <w:next w:val="BodyText"/>
    <w:autoRedefine/>
    <w:uiPriority w:val="99"/>
    <w:qFormat/>
    <w:rsid w:val="00936A12"/>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qFormat/>
    <w:rsid w:val="00936A12"/>
    <w:rPr>
      <w:rFonts w:eastAsia="SimSun"/>
      <w:i/>
      <w:color w:val="0000FF"/>
      <w:lang w:val="en-GB" w:eastAsia="en-US"/>
    </w:rPr>
  </w:style>
  <w:style w:type="paragraph" w:customStyle="1" w:styleId="Bulletedo1">
    <w:name w:val="Bulleted o 1"/>
    <w:basedOn w:val="Normal"/>
    <w:uiPriority w:val="99"/>
    <w:qFormat/>
    <w:rsid w:val="006D1207"/>
    <w:pPr>
      <w:numPr>
        <w:numId w:val="4"/>
      </w:numPr>
      <w:tabs>
        <w:tab w:val="clear" w:pos="360"/>
        <w:tab w:val="num" w:pos="720"/>
      </w:tabs>
      <w:spacing w:before="120" w:after="120"/>
      <w:ind w:left="720"/>
    </w:pPr>
  </w:style>
  <w:style w:type="paragraph" w:styleId="TOCHeading">
    <w:name w:val="TOC Heading"/>
    <w:basedOn w:val="Heading1"/>
    <w:next w:val="Normal"/>
    <w:uiPriority w:val="39"/>
    <w:unhideWhenUsed/>
    <w:qFormat/>
    <w:rsid w:val="00936A12"/>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qFormat/>
    <w:rsid w:val="00603FD3"/>
    <w:rPr>
      <w:rFonts w:ascii="Arial" w:hAnsi="Arial"/>
      <w:sz w:val="18"/>
      <w:lang w:val="en-GB"/>
    </w:rPr>
  </w:style>
  <w:style w:type="paragraph" w:styleId="Revision">
    <w:name w:val="Revision"/>
    <w:hidden/>
    <w:uiPriority w:val="99"/>
    <w:rsid w:val="00140F37"/>
    <w:rPr>
      <w:lang w:eastAsia="en-US"/>
    </w:rPr>
  </w:style>
  <w:style w:type="character" w:customStyle="1" w:styleId="EQChar">
    <w:name w:val="EQ Char"/>
    <w:link w:val="EQ"/>
    <w:qFormat/>
    <w:locked/>
    <w:rsid w:val="00682869"/>
    <w:rPr>
      <w:rFonts w:eastAsia="Times New Roman"/>
      <w:noProof/>
      <w:lang w:eastAsia="en-GB"/>
    </w:rPr>
  </w:style>
  <w:style w:type="character" w:styleId="Strong">
    <w:name w:val="Strong"/>
    <w:aliases w:val="Level 2"/>
    <w:qFormat/>
    <w:rsid w:val="007F7239"/>
    <w:rPr>
      <w:b/>
      <w:bCs/>
    </w:rPr>
  </w:style>
  <w:style w:type="character" w:customStyle="1" w:styleId="TAL0">
    <w:name w:val="TAL (文字)"/>
    <w:qFormat/>
    <w:rsid w:val="007F7239"/>
    <w:rPr>
      <w:rFonts w:ascii="Arial" w:hAnsi="Arial"/>
      <w:sz w:val="18"/>
      <w:lang w:val="en-GB" w:eastAsia="ko-KR" w:bidi="ar-SA"/>
    </w:rPr>
  </w:style>
  <w:style w:type="character" w:customStyle="1" w:styleId="CharChar3">
    <w:name w:val="Char Char3"/>
    <w:qFormat/>
    <w:rsid w:val="007F7239"/>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7F7239"/>
    <w:rPr>
      <w:lang w:val="en-GB" w:eastAsia="en-US" w:bidi="ar-SA"/>
    </w:rPr>
  </w:style>
  <w:style w:type="character" w:customStyle="1" w:styleId="msoins00">
    <w:name w:val="msoins0"/>
    <w:qFormat/>
    <w:rsid w:val="007F7239"/>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7F7239"/>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7F7239"/>
    <w:rPr>
      <w:rFonts w:ascii="Arial" w:hAnsi="Arial"/>
      <w:sz w:val="24"/>
      <w:lang w:val="en-GB" w:eastAsia="en-US" w:bidi="ar-SA"/>
    </w:rPr>
  </w:style>
  <w:style w:type="paragraph" w:customStyle="1" w:styleId="no0">
    <w:name w:val="no"/>
    <w:basedOn w:val="Normal"/>
    <w:uiPriority w:val="99"/>
    <w:rsid w:val="007F7239"/>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qFormat/>
    <w:locked/>
    <w:rsid w:val="007F7239"/>
    <w:rPr>
      <w:sz w:val="24"/>
      <w:lang w:val="en-US" w:eastAsia="en-US"/>
    </w:rPr>
  </w:style>
  <w:style w:type="character" w:customStyle="1" w:styleId="EditorsNoteChar">
    <w:name w:val="Editor's Note Char"/>
    <w:aliases w:val="EN Char"/>
    <w:link w:val="EditorsNote"/>
    <w:qFormat/>
    <w:rsid w:val="007F7239"/>
    <w:rPr>
      <w:rFonts w:eastAsia="Times New Roman"/>
      <w:color w:val="FF0000"/>
      <w:lang w:eastAsia="en-GB"/>
    </w:rPr>
  </w:style>
  <w:style w:type="paragraph" w:customStyle="1" w:styleId="IvDbodytext">
    <w:name w:val="IvD bodytext"/>
    <w:basedOn w:val="BodyText"/>
    <w:link w:val="IvDbodytextChar"/>
    <w:qFormat/>
    <w:rsid w:val="007F7239"/>
    <w:pPr>
      <w:keepLines/>
      <w:widowControl/>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sz w:val="20"/>
    </w:rPr>
  </w:style>
  <w:style w:type="character" w:customStyle="1" w:styleId="IvDbodytextChar">
    <w:name w:val="IvD bodytext Char"/>
    <w:link w:val="IvDbodytext"/>
    <w:qFormat/>
    <w:rsid w:val="007F7239"/>
    <w:rPr>
      <w:rFonts w:ascii="Arial" w:eastAsia="Malgun Gothic" w:hAnsi="Arial"/>
      <w:spacing w:val="2"/>
    </w:rPr>
  </w:style>
  <w:style w:type="paragraph" w:customStyle="1" w:styleId="BL">
    <w:name w:val="BL"/>
    <w:basedOn w:val="Normal"/>
    <w:uiPriority w:val="99"/>
    <w:qFormat/>
    <w:rsid w:val="006D1207"/>
    <w:pPr>
      <w:numPr>
        <w:numId w:val="5"/>
      </w:numPr>
      <w:tabs>
        <w:tab w:val="clear" w:pos="644"/>
        <w:tab w:val="num" w:pos="360"/>
        <w:tab w:val="left" w:pos="851"/>
      </w:tabs>
      <w:ind w:left="0" w:firstLine="0"/>
    </w:pPr>
    <w:rPr>
      <w:rFonts w:eastAsia="PMingLiU"/>
    </w:rPr>
  </w:style>
  <w:style w:type="character" w:styleId="PlaceholderText">
    <w:name w:val="Placeholder Text"/>
    <w:uiPriority w:val="99"/>
    <w:rsid w:val="003C7B7C"/>
    <w:rPr>
      <w:color w:val="808080"/>
    </w:rPr>
  </w:style>
  <w:style w:type="character" w:customStyle="1" w:styleId="Heading6Char">
    <w:name w:val="Heading 6 Char"/>
    <w:aliases w:val="T1 Char4,Header 6 Char"/>
    <w:link w:val="Heading6"/>
    <w:qFormat/>
    <w:rsid w:val="00256C53"/>
    <w:rPr>
      <w:rFonts w:ascii="Arial" w:eastAsia="Times New Roman" w:hAnsi="Arial"/>
      <w:lang w:eastAsia="en-GB"/>
    </w:rPr>
  </w:style>
  <w:style w:type="character" w:customStyle="1" w:styleId="Heading7Char">
    <w:name w:val="Heading 7 Char"/>
    <w:aliases w:val="L7 Char,Header 7 Char"/>
    <w:link w:val="Heading7"/>
    <w:qFormat/>
    <w:rsid w:val="00256C53"/>
    <w:rPr>
      <w:rFonts w:ascii="Arial" w:eastAsia="Times New Roman" w:hAnsi="Arial"/>
      <w:lang w:eastAsia="en-GB"/>
    </w:rPr>
  </w:style>
  <w:style w:type="character" w:customStyle="1" w:styleId="Heading9Char">
    <w:name w:val="Heading 9 Char"/>
    <w:aliases w:val="Figure Heading Char,FH Char"/>
    <w:link w:val="Heading9"/>
    <w:rsid w:val="00256C53"/>
    <w:rPr>
      <w:rFonts w:ascii="Arial" w:eastAsia="Times New Roman" w:hAnsi="Arial"/>
      <w:sz w:val="36"/>
      <w:lang w:eastAsia="en-GB"/>
    </w:rPr>
  </w:style>
  <w:style w:type="character" w:customStyle="1" w:styleId="PLChar">
    <w:name w:val="PL Char"/>
    <w:link w:val="PL"/>
    <w:qFormat/>
    <w:rsid w:val="00256C53"/>
    <w:rPr>
      <w:rFonts w:ascii="Courier New" w:eastAsia="Times New Roman" w:hAnsi="Courier New"/>
      <w:noProof/>
      <w:sz w:val="16"/>
      <w:lang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qFormat/>
    <w:rsid w:val="000363F9"/>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qFormat/>
    <w:rsid w:val="006D1207"/>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81111 Char1,5 Char"/>
    <w:qFormat/>
    <w:rsid w:val="006D1207"/>
    <w:rPr>
      <w:rFonts w:ascii="Calibri Light" w:eastAsia="Times New Roman" w:hAnsi="Calibri Light" w:cs="Times New Roman"/>
      <w:color w:val="2F5496"/>
      <w:lang w:eastAsia="en-US"/>
    </w:rPr>
  </w:style>
  <w:style w:type="paragraph" w:customStyle="1" w:styleId="msonormal0">
    <w:name w:val="msonormal"/>
    <w:basedOn w:val="Normal"/>
    <w:uiPriority w:val="99"/>
    <w:qFormat/>
    <w:rsid w:val="000363F9"/>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qFormat/>
    <w:rsid w:val="000363F9"/>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qFormat/>
    <w:rsid w:val="000363F9"/>
    <w:rPr>
      <w:rFonts w:ascii="Times New Roman" w:eastAsia="SimSun" w:hAnsi="Times New Roman"/>
      <w:lang w:eastAsia="en-US"/>
    </w:rPr>
  </w:style>
  <w:style w:type="character" w:customStyle="1" w:styleId="CharChar31">
    <w:name w:val="Char Char31"/>
    <w:qFormat/>
    <w:rsid w:val="000363F9"/>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31 Char3"/>
    <w:qFormat/>
    <w:rsid w:val="00EE5E23"/>
    <w:rPr>
      <w:rFonts w:ascii="Arial" w:hAnsi="Arial" w:cs="Times New Roman"/>
      <w:sz w:val="28"/>
      <w:szCs w:val="20"/>
      <w:lang w:val="en-GB" w:eastAsia="en-US"/>
    </w:rPr>
  </w:style>
  <w:style w:type="paragraph" w:customStyle="1" w:styleId="CharCharCharCharChar">
    <w:name w:val="Char Char 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
    <w:name w:val="Char Char"/>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
    <w:name w:val="Char"/>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qFormat/>
    <w:rsid w:val="00EE5E23"/>
    <w:rPr>
      <w:lang w:val="en-GB" w:eastAsia="ja-JP" w:bidi="ar-SA"/>
    </w:rPr>
  </w:style>
  <w:style w:type="paragraph" w:customStyle="1" w:styleId="1Char">
    <w:name w:val="(文字) (文字)1 Char (文字) (文字)"/>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uiPriority w:val="99"/>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
    <w:name w:val="(文字) (文字)1 Char (文字) (文字) Char"/>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uiPriority w:val="99"/>
    <w:qFormat/>
    <w:rsid w:val="00EE5E23"/>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qFormat/>
    <w:rsid w:val="00EE5E23"/>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EE5E23"/>
    <w:rPr>
      <w:rFonts w:ascii="Arial" w:hAnsi="Arial"/>
      <w:sz w:val="32"/>
      <w:lang w:val="en-GB" w:eastAsia="ja-JP" w:bidi="ar-SA"/>
    </w:rPr>
  </w:style>
  <w:style w:type="character" w:customStyle="1" w:styleId="CharChar4">
    <w:name w:val="Char Char4"/>
    <w:qFormat/>
    <w:rsid w:val="00EE5E23"/>
    <w:rPr>
      <w:rFonts w:ascii="Courier New" w:hAnsi="Courier New"/>
      <w:lang w:val="nb-NO" w:eastAsia="ja-JP" w:bidi="ar-SA"/>
    </w:rPr>
  </w:style>
  <w:style w:type="character" w:customStyle="1" w:styleId="AndreaLeonardi">
    <w:name w:val="Andrea Leonardi"/>
    <w:semiHidden/>
    <w:qFormat/>
    <w:rsid w:val="00EE5E23"/>
    <w:rPr>
      <w:rFonts w:ascii="Arial" w:hAnsi="Arial" w:cs="Arial"/>
      <w:color w:val="auto"/>
      <w:sz w:val="20"/>
      <w:szCs w:val="20"/>
    </w:rPr>
  </w:style>
  <w:style w:type="character" w:customStyle="1" w:styleId="NOCharChar">
    <w:name w:val="NO Char Char"/>
    <w:qFormat/>
    <w:rsid w:val="00EE5E23"/>
    <w:rPr>
      <w:lang w:val="en-GB" w:eastAsia="en-US" w:bidi="ar-SA"/>
    </w:rPr>
  </w:style>
  <w:style w:type="character" w:customStyle="1" w:styleId="NOZchn">
    <w:name w:val="NO Zchn"/>
    <w:qFormat/>
    <w:rsid w:val="00EE5E23"/>
    <w:rPr>
      <w:lang w:val="en-GB" w:eastAsia="en-US" w:bidi="ar-SA"/>
    </w:rPr>
  </w:style>
  <w:style w:type="character" w:customStyle="1" w:styleId="TACCar">
    <w:name w:val="TAC Car"/>
    <w:qFormat/>
    <w:rsid w:val="00EE5E23"/>
    <w:rPr>
      <w:rFonts w:ascii="Arial" w:hAnsi="Arial"/>
      <w:sz w:val="18"/>
      <w:lang w:val="en-GB" w:eastAsia="ja-JP" w:bidi="ar-SA"/>
    </w:rPr>
  </w:style>
  <w:style w:type="paragraph" w:customStyle="1" w:styleId="CharCharCharCharCharChar">
    <w:name w:val="Char Char Char Char Char Char"/>
    <w:uiPriority w:val="99"/>
    <w:semiHidden/>
    <w:qFormat/>
    <w:rsid w:val="00EE5E23"/>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
    <w:name w:val="(文字) (文字)"/>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rsid w:val="00EE5E23"/>
    <w:rPr>
      <w:rFonts w:ascii="Arial" w:hAnsi="Arial" w:cs="Times New Roman"/>
      <w:sz w:val="20"/>
      <w:szCs w:val="20"/>
      <w:lang w:val="en-GB" w:eastAsia="en-US"/>
    </w:rPr>
  </w:style>
  <w:style w:type="character" w:customStyle="1" w:styleId="T1Char1">
    <w:name w:val="T1 Char1"/>
    <w:aliases w:val="Header 6 Char Char1,Heading 6 Char1"/>
    <w:rsid w:val="00EE5E23"/>
    <w:rPr>
      <w:rFonts w:ascii="Arial" w:hAnsi="Arial" w:cs="Times New Roman"/>
      <w:sz w:val="20"/>
      <w:szCs w:val="20"/>
      <w:lang w:val="en-GB" w:eastAsia="en-US"/>
    </w:rPr>
  </w:style>
  <w:style w:type="paragraph" w:customStyle="1" w:styleId="CarCar">
    <w:name w:val="Car Car"/>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EE5E23"/>
    <w:rPr>
      <w:rFonts w:ascii="Arial" w:hAnsi="Arial"/>
      <w:sz w:val="32"/>
      <w:lang w:val="en-GB" w:eastAsia="en-US" w:bidi="ar-SA"/>
    </w:rPr>
  </w:style>
  <w:style w:type="paragraph" w:customStyle="1" w:styleId="ZchnZchn1">
    <w:name w:val="Zchn Zchn1"/>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EE5E23"/>
    <w:rPr>
      <w:rFonts w:ascii="Arial" w:hAnsi="Arial"/>
      <w:sz w:val="32"/>
      <w:lang w:val="en-GB" w:eastAsia="en-US" w:bidi="ar-SA"/>
    </w:rPr>
  </w:style>
  <w:style w:type="paragraph" w:customStyle="1" w:styleId="2">
    <w:name w:val="(文字) (文字)2"/>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EE5E23"/>
    <w:rPr>
      <w:rFonts w:ascii="Arial" w:hAnsi="Arial"/>
      <w:sz w:val="32"/>
      <w:lang w:val="en-GB" w:eastAsia="en-US" w:bidi="ar-SA"/>
    </w:rPr>
  </w:style>
  <w:style w:type="paragraph" w:customStyle="1" w:styleId="3">
    <w:name w:val="(文字) (文字)3"/>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文字) (文字)4"/>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qFormat/>
    <w:rsid w:val="00EE5E23"/>
    <w:rPr>
      <w:rFonts w:ascii="Arial" w:hAnsi="Arial" w:cs="Times New Roman"/>
      <w:sz w:val="20"/>
      <w:szCs w:val="20"/>
      <w:lang w:val="en-GB" w:eastAsia="en-US"/>
    </w:rPr>
  </w:style>
  <w:style w:type="paragraph" w:customStyle="1" w:styleId="1">
    <w:name w:val="(文字) (文字)1"/>
    <w:uiPriority w:val="99"/>
    <w:semiHidden/>
    <w:qFormat/>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uiPriority w:val="99"/>
    <w:qFormat/>
    <w:rsid w:val="00EE5E23"/>
    <w:pPr>
      <w:spacing w:after="0"/>
      <w:ind w:left="851"/>
    </w:pPr>
    <w:rPr>
      <w:rFonts w:eastAsia="MS Mincho"/>
      <w:lang w:val="it-IT"/>
    </w:rPr>
  </w:style>
  <w:style w:type="paragraph" w:styleId="ListNumber5">
    <w:name w:val="List Number 5"/>
    <w:basedOn w:val="Normal"/>
    <w:uiPriority w:val="99"/>
    <w:qFormat/>
    <w:rsid w:val="00EE5E23"/>
    <w:pPr>
      <w:tabs>
        <w:tab w:val="num" w:pos="851"/>
        <w:tab w:val="num" w:pos="1800"/>
      </w:tabs>
      <w:ind w:left="1800" w:hanging="851"/>
    </w:pPr>
    <w:rPr>
      <w:rFonts w:eastAsia="MS Mincho"/>
    </w:rPr>
  </w:style>
  <w:style w:type="paragraph" w:styleId="ListNumber3">
    <w:name w:val="List Number 3"/>
    <w:basedOn w:val="Normal"/>
    <w:uiPriority w:val="99"/>
    <w:rsid w:val="00EE5E23"/>
    <w:pPr>
      <w:numPr>
        <w:numId w:val="7"/>
      </w:numPr>
      <w:tabs>
        <w:tab w:val="clear" w:pos="720"/>
        <w:tab w:val="num" w:pos="360"/>
        <w:tab w:val="num" w:pos="926"/>
      </w:tabs>
      <w:ind w:left="926" w:firstLine="0"/>
    </w:pPr>
    <w:rPr>
      <w:rFonts w:eastAsia="MS Mincho"/>
    </w:rPr>
  </w:style>
  <w:style w:type="paragraph" w:styleId="ListNumber4">
    <w:name w:val="List Number 4"/>
    <w:basedOn w:val="Normal"/>
    <w:uiPriority w:val="99"/>
    <w:qFormat/>
    <w:rsid w:val="00EE5E23"/>
    <w:pPr>
      <w:numPr>
        <w:numId w:val="6"/>
      </w:numPr>
      <w:tabs>
        <w:tab w:val="clear" w:pos="720"/>
        <w:tab w:val="num" w:pos="360"/>
        <w:tab w:val="num" w:pos="1209"/>
      </w:tabs>
      <w:ind w:left="1209" w:firstLine="0"/>
    </w:pPr>
    <w:rPr>
      <w:rFonts w:eastAsia="MS Mincho"/>
    </w:rPr>
  </w:style>
  <w:style w:type="character" w:customStyle="1" w:styleId="CharChar7">
    <w:name w:val="Char Char7"/>
    <w:rsid w:val="00EE5E23"/>
    <w:rPr>
      <w:rFonts w:ascii="Tahoma" w:hAnsi="Tahoma" w:cs="Tahoma"/>
      <w:shd w:val="clear" w:color="auto" w:fill="000080"/>
      <w:lang w:val="en-GB" w:eastAsia="en-US"/>
    </w:rPr>
  </w:style>
  <w:style w:type="character" w:customStyle="1" w:styleId="ZchnZchn5">
    <w:name w:val="Zchn Zchn5"/>
    <w:qFormat/>
    <w:rsid w:val="00EE5E23"/>
    <w:rPr>
      <w:rFonts w:ascii="Courier New" w:eastAsia="Batang" w:hAnsi="Courier New"/>
      <w:lang w:val="nb-NO" w:eastAsia="en-US" w:bidi="ar-SA"/>
    </w:rPr>
  </w:style>
  <w:style w:type="character" w:customStyle="1" w:styleId="CharChar10">
    <w:name w:val="Char Char10"/>
    <w:rsid w:val="00EE5E23"/>
    <w:rPr>
      <w:rFonts w:ascii="Times New Roman" w:hAnsi="Times New Roman"/>
      <w:lang w:val="en-GB" w:eastAsia="en-US"/>
    </w:rPr>
  </w:style>
  <w:style w:type="character" w:customStyle="1" w:styleId="CharChar9">
    <w:name w:val="Char Char9"/>
    <w:qFormat/>
    <w:rsid w:val="00EE5E23"/>
    <w:rPr>
      <w:rFonts w:ascii="Tahoma" w:hAnsi="Tahoma" w:cs="Tahoma"/>
      <w:sz w:val="16"/>
      <w:szCs w:val="16"/>
      <w:lang w:val="en-GB" w:eastAsia="en-US"/>
    </w:rPr>
  </w:style>
  <w:style w:type="character" w:customStyle="1" w:styleId="CharChar8">
    <w:name w:val="Char Char8"/>
    <w:qFormat/>
    <w:rsid w:val="00EE5E23"/>
    <w:rPr>
      <w:rFonts w:ascii="Times New Roman" w:hAnsi="Times New Roman"/>
      <w:b/>
      <w:bCs/>
      <w:lang w:val="en-GB" w:eastAsia="en-US"/>
    </w:rPr>
  </w:style>
  <w:style w:type="paragraph" w:customStyle="1" w:styleId="10">
    <w:name w:val="修订1"/>
    <w:hidden/>
    <w:uiPriority w:val="99"/>
    <w:semiHidden/>
    <w:qFormat/>
    <w:rsid w:val="00EE5E23"/>
    <w:rPr>
      <w:rFonts w:eastAsia="Batang"/>
      <w:lang w:eastAsia="en-US"/>
    </w:rPr>
  </w:style>
  <w:style w:type="paragraph" w:styleId="EndnoteText">
    <w:name w:val="endnote text"/>
    <w:basedOn w:val="Normal"/>
    <w:link w:val="EndnoteTextChar"/>
    <w:uiPriority w:val="99"/>
    <w:qFormat/>
    <w:rsid w:val="00EE5E23"/>
    <w:pPr>
      <w:snapToGrid w:val="0"/>
    </w:pPr>
  </w:style>
  <w:style w:type="character" w:customStyle="1" w:styleId="EndnoteTextChar">
    <w:name w:val="Endnote Text Char"/>
    <w:link w:val="EndnoteText"/>
    <w:uiPriority w:val="99"/>
    <w:qFormat/>
    <w:rsid w:val="00EE5E23"/>
    <w:rPr>
      <w:lang w:val="en-GB"/>
    </w:rPr>
  </w:style>
  <w:style w:type="character" w:styleId="EndnoteReference">
    <w:name w:val="endnote reference"/>
    <w:qFormat/>
    <w:rsid w:val="00EE5E23"/>
    <w:rPr>
      <w:vertAlign w:val="superscript"/>
    </w:rPr>
  </w:style>
  <w:style w:type="character" w:customStyle="1" w:styleId="btChar3">
    <w:name w:val="bt Char3"/>
    <w:aliases w:val="bt Car Char Char3,Corps de texte Car Char3,Corps de texte Car1 Car Char3,Corps de texte Car Car Car Char3,Corps de texte Car1 Car Car Car Char3,Corps de texte Car Car Car Car Car Char3,Corps de texte Car1 Car Car Car Car Car Char3"/>
    <w:qFormat/>
    <w:rsid w:val="00EE5E23"/>
    <w:rPr>
      <w:lang w:val="en-GB" w:eastAsia="ja-JP" w:bidi="ar-SA"/>
    </w:rPr>
  </w:style>
  <w:style w:type="paragraph" w:styleId="Title">
    <w:name w:val="Title"/>
    <w:aliases w:val="Section Header"/>
    <w:basedOn w:val="Normal"/>
    <w:next w:val="Normal"/>
    <w:link w:val="TitleChar"/>
    <w:uiPriority w:val="99"/>
    <w:qFormat/>
    <w:rsid w:val="00EE5E23"/>
    <w:pPr>
      <w:spacing w:before="240" w:after="60"/>
      <w:outlineLvl w:val="0"/>
    </w:pPr>
    <w:rPr>
      <w:rFonts w:ascii="Courier New" w:eastAsia="Malgun Gothic" w:hAnsi="Courier New"/>
      <w:lang w:val="nb-NO"/>
    </w:rPr>
  </w:style>
  <w:style w:type="character" w:customStyle="1" w:styleId="TitleChar">
    <w:name w:val="Title Char"/>
    <w:aliases w:val="Section Header Char"/>
    <w:link w:val="Title"/>
    <w:uiPriority w:val="99"/>
    <w:qFormat/>
    <w:rsid w:val="00EE5E23"/>
    <w:rPr>
      <w:rFonts w:ascii="Courier New" w:eastAsia="Malgun Gothic" w:hAnsi="Courier New"/>
      <w:lang w:val="nb-NO"/>
    </w:rPr>
  </w:style>
  <w:style w:type="paragraph" w:customStyle="1" w:styleId="FL">
    <w:name w:val="FL"/>
    <w:basedOn w:val="Normal"/>
    <w:uiPriority w:val="99"/>
    <w:rsid w:val="00EE5E23"/>
    <w:pPr>
      <w:keepNext/>
      <w:keepLines/>
      <w:spacing w:before="60"/>
      <w:jc w:val="center"/>
    </w:pPr>
    <w:rPr>
      <w:rFonts w:ascii="Arial" w:hAnsi="Arial"/>
      <w:b/>
      <w:lang w:eastAsia="ko-KR"/>
    </w:rPr>
  </w:style>
  <w:style w:type="character" w:customStyle="1" w:styleId="h5Char2">
    <w:name w:val="h5 Char2"/>
    <w:aliases w:val="Heading5 Char2,Head5 Char2,H5 Char2,M5 Char2,mh2 Char2,Module heading 2 Char2,heading 8 Char2,Numbered Sub-list Char1,Heading 81 Char Char1,5 Char1,Heading 811 Cha,5 Char2,Numbered Sub-list Char Char2,5 Char Char1"/>
    <w:qFormat/>
    <w:rsid w:val="00EE5E23"/>
    <w:rPr>
      <w:rFonts w:ascii="Arial" w:hAnsi="Arial"/>
      <w:sz w:val="22"/>
      <w:lang w:val="en-GB" w:eastAsia="ja-JP" w:bidi="ar-SA"/>
    </w:rPr>
  </w:style>
  <w:style w:type="paragraph" w:styleId="Date">
    <w:name w:val="Date"/>
    <w:basedOn w:val="Normal"/>
    <w:next w:val="Normal"/>
    <w:link w:val="DateChar"/>
    <w:uiPriority w:val="99"/>
    <w:qFormat/>
    <w:rsid w:val="006D1207"/>
    <w:rPr>
      <w:rFonts w:eastAsia="Malgun Gothic"/>
    </w:rPr>
  </w:style>
  <w:style w:type="character" w:customStyle="1" w:styleId="DateChar">
    <w:name w:val="Date Char"/>
    <w:link w:val="Date"/>
    <w:uiPriority w:val="99"/>
    <w:rsid w:val="00EE5E23"/>
    <w:rPr>
      <w:rFonts w:eastAsia="Malgun Gothic"/>
    </w:rPr>
  </w:style>
  <w:style w:type="paragraph" w:customStyle="1" w:styleId="AutoCorrect">
    <w:name w:val="AutoCorrect"/>
    <w:uiPriority w:val="99"/>
    <w:qFormat/>
    <w:rsid w:val="00EE5E23"/>
    <w:rPr>
      <w:rFonts w:eastAsia="Malgun Gothic"/>
      <w:sz w:val="24"/>
      <w:szCs w:val="24"/>
    </w:rPr>
  </w:style>
  <w:style w:type="paragraph" w:customStyle="1" w:styleId="-PAGE-">
    <w:name w:val="- PAGE -"/>
    <w:uiPriority w:val="99"/>
    <w:qFormat/>
    <w:rsid w:val="00EE5E23"/>
    <w:rPr>
      <w:rFonts w:eastAsia="Malgun Gothic"/>
      <w:sz w:val="24"/>
      <w:szCs w:val="24"/>
    </w:rPr>
  </w:style>
  <w:style w:type="paragraph" w:customStyle="1" w:styleId="PageXofY">
    <w:name w:val="Page X of Y"/>
    <w:uiPriority w:val="99"/>
    <w:rsid w:val="00EE5E23"/>
    <w:rPr>
      <w:rFonts w:eastAsia="Malgun Gothic"/>
      <w:sz w:val="24"/>
      <w:szCs w:val="24"/>
    </w:rPr>
  </w:style>
  <w:style w:type="paragraph" w:customStyle="1" w:styleId="Createdby">
    <w:name w:val="Created by"/>
    <w:uiPriority w:val="99"/>
    <w:rsid w:val="00EE5E23"/>
    <w:rPr>
      <w:rFonts w:eastAsia="Malgun Gothic"/>
      <w:sz w:val="24"/>
      <w:szCs w:val="24"/>
    </w:rPr>
  </w:style>
  <w:style w:type="paragraph" w:customStyle="1" w:styleId="Createdon">
    <w:name w:val="Created on"/>
    <w:uiPriority w:val="99"/>
    <w:qFormat/>
    <w:rsid w:val="00EE5E23"/>
    <w:rPr>
      <w:rFonts w:eastAsia="Malgun Gothic"/>
      <w:sz w:val="24"/>
      <w:szCs w:val="24"/>
    </w:rPr>
  </w:style>
  <w:style w:type="paragraph" w:customStyle="1" w:styleId="Lastprinted">
    <w:name w:val="Last printed"/>
    <w:uiPriority w:val="99"/>
    <w:qFormat/>
    <w:rsid w:val="00EE5E23"/>
    <w:rPr>
      <w:rFonts w:eastAsia="Malgun Gothic"/>
      <w:sz w:val="24"/>
      <w:szCs w:val="24"/>
    </w:rPr>
  </w:style>
  <w:style w:type="paragraph" w:customStyle="1" w:styleId="Lastsavedby">
    <w:name w:val="Last saved by"/>
    <w:uiPriority w:val="99"/>
    <w:qFormat/>
    <w:rsid w:val="00EE5E23"/>
    <w:rPr>
      <w:rFonts w:eastAsia="Malgun Gothic"/>
      <w:sz w:val="24"/>
      <w:szCs w:val="24"/>
    </w:rPr>
  </w:style>
  <w:style w:type="paragraph" w:customStyle="1" w:styleId="Filename">
    <w:name w:val="Filename"/>
    <w:uiPriority w:val="99"/>
    <w:qFormat/>
    <w:rsid w:val="00EE5E23"/>
    <w:rPr>
      <w:rFonts w:eastAsia="Malgun Gothic"/>
      <w:sz w:val="24"/>
      <w:szCs w:val="24"/>
    </w:rPr>
  </w:style>
  <w:style w:type="paragraph" w:customStyle="1" w:styleId="Filenameandpath">
    <w:name w:val="Filename and path"/>
    <w:uiPriority w:val="99"/>
    <w:qFormat/>
    <w:rsid w:val="00EE5E23"/>
    <w:rPr>
      <w:rFonts w:eastAsia="Malgun Gothic"/>
      <w:sz w:val="24"/>
      <w:szCs w:val="24"/>
    </w:rPr>
  </w:style>
  <w:style w:type="paragraph" w:customStyle="1" w:styleId="AuthorPageDate">
    <w:name w:val="Author  Page #  Date"/>
    <w:uiPriority w:val="99"/>
    <w:qFormat/>
    <w:rsid w:val="00EE5E23"/>
    <w:rPr>
      <w:rFonts w:eastAsia="Malgun Gothic"/>
      <w:sz w:val="24"/>
      <w:szCs w:val="24"/>
    </w:rPr>
  </w:style>
  <w:style w:type="paragraph" w:customStyle="1" w:styleId="ConfidentialPageDate">
    <w:name w:val="Confidential  Page #  Date"/>
    <w:uiPriority w:val="99"/>
    <w:qFormat/>
    <w:rsid w:val="00EE5E23"/>
    <w:rPr>
      <w:rFonts w:eastAsia="Malgun Gothic"/>
      <w:sz w:val="24"/>
      <w:szCs w:val="24"/>
    </w:rPr>
  </w:style>
  <w:style w:type="paragraph" w:customStyle="1" w:styleId="INDENT1">
    <w:name w:val="INDENT1"/>
    <w:basedOn w:val="Normal"/>
    <w:uiPriority w:val="99"/>
    <w:qFormat/>
    <w:rsid w:val="00EE5E23"/>
    <w:pPr>
      <w:ind w:left="851"/>
    </w:pPr>
    <w:rPr>
      <w:lang w:eastAsia="ja-JP"/>
    </w:rPr>
  </w:style>
  <w:style w:type="paragraph" w:customStyle="1" w:styleId="INDENT2">
    <w:name w:val="INDENT2"/>
    <w:basedOn w:val="Normal"/>
    <w:uiPriority w:val="99"/>
    <w:qFormat/>
    <w:rsid w:val="00EE5E23"/>
    <w:pPr>
      <w:ind w:left="1135" w:hanging="284"/>
    </w:pPr>
    <w:rPr>
      <w:lang w:eastAsia="ja-JP"/>
    </w:rPr>
  </w:style>
  <w:style w:type="paragraph" w:customStyle="1" w:styleId="INDENT3">
    <w:name w:val="INDENT3"/>
    <w:basedOn w:val="Normal"/>
    <w:uiPriority w:val="99"/>
    <w:qFormat/>
    <w:rsid w:val="00EE5E23"/>
    <w:pPr>
      <w:ind w:left="1701" w:hanging="567"/>
    </w:pPr>
    <w:rPr>
      <w:lang w:eastAsia="ja-JP"/>
    </w:rPr>
  </w:style>
  <w:style w:type="paragraph" w:customStyle="1" w:styleId="FigureTitle">
    <w:name w:val="Figure_Title"/>
    <w:basedOn w:val="Normal"/>
    <w:next w:val="Normal"/>
    <w:uiPriority w:val="99"/>
    <w:qFormat/>
    <w:rsid w:val="00EE5E23"/>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uiPriority w:val="99"/>
    <w:qFormat/>
    <w:rsid w:val="00EE5E23"/>
    <w:pPr>
      <w:keepNext/>
      <w:keepLines/>
    </w:pPr>
    <w:rPr>
      <w:b/>
      <w:lang w:eastAsia="ja-JP"/>
    </w:rPr>
  </w:style>
  <w:style w:type="paragraph" w:customStyle="1" w:styleId="enumlev2">
    <w:name w:val="enumlev2"/>
    <w:basedOn w:val="Normal"/>
    <w:uiPriority w:val="99"/>
    <w:qFormat/>
    <w:rsid w:val="00EE5E23"/>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uiPriority w:val="99"/>
    <w:rsid w:val="00EE5E23"/>
    <w:pPr>
      <w:keepNext/>
      <w:keepLines/>
      <w:spacing w:before="240"/>
      <w:ind w:left="1418"/>
    </w:pPr>
    <w:rPr>
      <w:rFonts w:ascii="Arial" w:hAnsi="Arial"/>
      <w:b/>
      <w:sz w:val="36"/>
      <w:lang w:val="en-US" w:eastAsia="ja-JP"/>
    </w:rPr>
  </w:style>
  <w:style w:type="paragraph" w:customStyle="1" w:styleId="Figure">
    <w:name w:val="Figure"/>
    <w:basedOn w:val="Normal"/>
    <w:uiPriority w:val="99"/>
    <w:qFormat/>
    <w:rsid w:val="00EE5E23"/>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uiPriority w:val="39"/>
    <w:qFormat/>
    <w:rsid w:val="00EE5E2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qFormat/>
    <w:rsid w:val="00EE5E23"/>
    <w:pPr>
      <w:tabs>
        <w:tab w:val="left" w:pos="1418"/>
      </w:tabs>
      <w:spacing w:after="120"/>
    </w:pPr>
    <w:rPr>
      <w:rFonts w:ascii="Arial" w:eastAsia="MS Mincho" w:hAnsi="Arial"/>
      <w:sz w:val="24"/>
      <w:lang w:val="fr-FR" w:eastAsia="ko-KR"/>
    </w:rPr>
  </w:style>
  <w:style w:type="paragraph" w:customStyle="1" w:styleId="p20">
    <w:name w:val="p20"/>
    <w:basedOn w:val="Normal"/>
    <w:uiPriority w:val="99"/>
    <w:qFormat/>
    <w:rsid w:val="00EE5E23"/>
    <w:pPr>
      <w:snapToGrid w:val="0"/>
      <w:spacing w:after="0"/>
    </w:pPr>
    <w:rPr>
      <w:rFonts w:ascii="Arial" w:hAnsi="Arial" w:cs="Arial"/>
      <w:sz w:val="18"/>
      <w:szCs w:val="18"/>
      <w:lang w:val="en-US" w:eastAsia="zh-CN"/>
    </w:rPr>
  </w:style>
  <w:style w:type="paragraph" w:customStyle="1" w:styleId="ATC">
    <w:name w:val="ATC"/>
    <w:basedOn w:val="Normal"/>
    <w:uiPriority w:val="99"/>
    <w:qFormat/>
    <w:rsid w:val="00EE5E23"/>
    <w:rPr>
      <w:lang w:eastAsia="ja-JP"/>
    </w:rPr>
  </w:style>
  <w:style w:type="paragraph" w:customStyle="1" w:styleId="TaOC">
    <w:name w:val="TaOC"/>
    <w:basedOn w:val="TAC"/>
    <w:qFormat/>
    <w:rsid w:val="00EE5E23"/>
    <w:rPr>
      <w:lang w:eastAsia="ja-JP"/>
    </w:rPr>
  </w:style>
  <w:style w:type="paragraph" w:customStyle="1" w:styleId="1CharChar1Char">
    <w:name w:val="(文字) (文字)1 Char (文字) (文字) Char (文字) (文字)1 Char (文字) (文字)"/>
    <w:uiPriority w:val="99"/>
    <w:semiHidden/>
    <w:rsid w:val="00EE5E2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xl40">
    <w:name w:val="xl40"/>
    <w:basedOn w:val="Normal"/>
    <w:uiPriority w:val="99"/>
    <w:rsid w:val="00EE5E23"/>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uiPriority w:val="99"/>
    <w:qFormat/>
    <w:rsid w:val="00EE5E23"/>
    <w:pPr>
      <w:pBdr>
        <w:top w:val="none" w:sz="0" w:space="0" w:color="auto"/>
      </w:pBdr>
    </w:pPr>
    <w:rPr>
      <w:b/>
      <w:color w:val="0000FF"/>
      <w:lang w:eastAsia="ja-JP"/>
    </w:rPr>
  </w:style>
  <w:style w:type="character" w:customStyle="1" w:styleId="T1Char3">
    <w:name w:val="T1 Char3"/>
    <w:aliases w:val="Header 6 Char Char3"/>
    <w:qFormat/>
    <w:rsid w:val="00EE5E23"/>
    <w:rPr>
      <w:rFonts w:ascii="Arial" w:hAnsi="Arial"/>
      <w:lang w:val="en-GB" w:eastAsia="en-US" w:bidi="ar-SA"/>
    </w:rPr>
  </w:style>
  <w:style w:type="table" w:customStyle="1" w:styleId="Tabellengitternetz1">
    <w:name w:val="Tabellengitternetz1"/>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EE5E2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EE5E23"/>
    <w:pPr>
      <w:tabs>
        <w:tab w:val="num" w:pos="928"/>
      </w:tabs>
      <w:ind w:left="928" w:hanging="360"/>
    </w:pPr>
    <w:rPr>
      <w:rFonts w:eastAsia="Batang"/>
      <w:lang w:eastAsia="ko-KR"/>
    </w:rPr>
  </w:style>
  <w:style w:type="table" w:customStyle="1" w:styleId="TableGrid2">
    <w:name w:val="Table Grid2"/>
    <w:basedOn w:val="TableNormal"/>
    <w:next w:val="TableGrid"/>
    <w:qFormat/>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EE5E23"/>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qFormat/>
    <w:rsid w:val="00EE5E23"/>
    <w:pPr>
      <w:keepNext w:val="0"/>
      <w:keepLines w:val="0"/>
      <w:spacing w:before="240"/>
      <w:ind w:left="0" w:firstLine="0"/>
    </w:pPr>
    <w:rPr>
      <w:rFonts w:eastAsia="MS Mincho"/>
      <w:bCs/>
    </w:rPr>
  </w:style>
  <w:style w:type="table" w:customStyle="1" w:styleId="TableGrid3">
    <w:name w:val="Table Grid3"/>
    <w:basedOn w:val="TableNormal"/>
    <w:next w:val="TableGrid"/>
    <w:qFormat/>
    <w:rsid w:val="00EE5E2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uiPriority w:val="99"/>
    <w:semiHidden/>
    <w:qFormat/>
    <w:rsid w:val="00EE5E23"/>
    <w:rPr>
      <w:rFonts w:ascii="Tahoma" w:eastAsia="MS Mincho" w:hAnsi="Tahoma" w:cs="Tahoma"/>
      <w:sz w:val="16"/>
      <w:szCs w:val="16"/>
      <w:lang w:eastAsia="ko-KR"/>
    </w:rPr>
  </w:style>
  <w:style w:type="paragraph" w:customStyle="1" w:styleId="JK-text-simpledoc">
    <w:name w:val="JK - text - simple doc"/>
    <w:basedOn w:val="BodyText"/>
    <w:autoRedefine/>
    <w:uiPriority w:val="99"/>
    <w:qFormat/>
    <w:rsid w:val="00EE5E23"/>
    <w:pPr>
      <w:widowControl/>
      <w:tabs>
        <w:tab w:val="num" w:pos="928"/>
        <w:tab w:val="num" w:pos="1097"/>
      </w:tabs>
      <w:spacing w:line="288" w:lineRule="auto"/>
      <w:ind w:left="1097" w:hanging="360"/>
    </w:pPr>
    <w:rPr>
      <w:rFonts w:ascii="Arial" w:eastAsia="SimSun" w:hAnsi="Arial" w:cs="Arial"/>
      <w:sz w:val="20"/>
      <w:lang w:val="en-US"/>
    </w:rPr>
  </w:style>
  <w:style w:type="paragraph" w:customStyle="1" w:styleId="b11">
    <w:name w:val="b1"/>
    <w:basedOn w:val="Normal"/>
    <w:uiPriority w:val="99"/>
    <w:qFormat/>
    <w:rsid w:val="00EE5E23"/>
    <w:pPr>
      <w:spacing w:before="100" w:beforeAutospacing="1" w:after="100" w:afterAutospacing="1"/>
    </w:pPr>
    <w:rPr>
      <w:sz w:val="24"/>
      <w:szCs w:val="24"/>
      <w:lang w:val="en-US" w:eastAsia="ko-KR"/>
    </w:rPr>
  </w:style>
  <w:style w:type="paragraph" w:customStyle="1" w:styleId="11">
    <w:name w:val="吹き出し1"/>
    <w:basedOn w:val="Normal"/>
    <w:uiPriority w:val="99"/>
    <w:qFormat/>
    <w:rsid w:val="00EE5E23"/>
    <w:rPr>
      <w:rFonts w:ascii="Tahoma" w:eastAsia="MS Mincho" w:hAnsi="Tahoma" w:cs="Tahoma"/>
      <w:sz w:val="16"/>
      <w:szCs w:val="16"/>
      <w:lang w:eastAsia="ko-KR"/>
    </w:rPr>
  </w:style>
  <w:style w:type="paragraph" w:customStyle="1" w:styleId="20">
    <w:name w:val="吹き出し2"/>
    <w:basedOn w:val="Normal"/>
    <w:uiPriority w:val="99"/>
    <w:semiHidden/>
    <w:rsid w:val="00EE5E23"/>
    <w:rPr>
      <w:rFonts w:ascii="Tahoma" w:eastAsia="MS Mincho" w:hAnsi="Tahoma" w:cs="Tahoma"/>
      <w:sz w:val="16"/>
      <w:szCs w:val="16"/>
      <w:lang w:eastAsia="ko-KR"/>
    </w:rPr>
  </w:style>
  <w:style w:type="paragraph" w:customStyle="1" w:styleId="Note">
    <w:name w:val="Note"/>
    <w:basedOn w:val="B10"/>
    <w:uiPriority w:val="99"/>
    <w:qFormat/>
    <w:rsid w:val="00EE5E23"/>
    <w:rPr>
      <w:rFonts w:eastAsia="MS Mincho"/>
    </w:rPr>
  </w:style>
  <w:style w:type="paragraph" w:customStyle="1" w:styleId="91">
    <w:name w:val="目次 91"/>
    <w:basedOn w:val="TOC8"/>
    <w:uiPriority w:val="99"/>
    <w:qFormat/>
    <w:rsid w:val="00EE5E23"/>
    <w:pPr>
      <w:ind w:left="1418" w:hanging="1418"/>
    </w:pPr>
    <w:rPr>
      <w:rFonts w:eastAsia="MS Mincho"/>
      <w:lang w:val="en-US"/>
    </w:rPr>
  </w:style>
  <w:style w:type="paragraph" w:customStyle="1" w:styleId="12">
    <w:name w:val="図表番号1"/>
    <w:basedOn w:val="Normal"/>
    <w:next w:val="Normal"/>
    <w:uiPriority w:val="99"/>
    <w:qFormat/>
    <w:rsid w:val="00EE5E23"/>
    <w:pPr>
      <w:spacing w:before="120" w:after="120"/>
    </w:pPr>
    <w:rPr>
      <w:rFonts w:eastAsia="MS Mincho"/>
      <w:b/>
    </w:rPr>
  </w:style>
  <w:style w:type="paragraph" w:customStyle="1" w:styleId="HO">
    <w:name w:val="HO"/>
    <w:basedOn w:val="Normal"/>
    <w:uiPriority w:val="99"/>
    <w:rsid w:val="00EE5E23"/>
    <w:pPr>
      <w:spacing w:after="0"/>
      <w:jc w:val="right"/>
    </w:pPr>
    <w:rPr>
      <w:rFonts w:eastAsia="MS Mincho"/>
      <w:b/>
    </w:rPr>
  </w:style>
  <w:style w:type="paragraph" w:customStyle="1" w:styleId="WP">
    <w:name w:val="WP"/>
    <w:basedOn w:val="Normal"/>
    <w:uiPriority w:val="99"/>
    <w:rsid w:val="00EE5E23"/>
    <w:pPr>
      <w:spacing w:after="0"/>
      <w:jc w:val="both"/>
    </w:pPr>
    <w:rPr>
      <w:rFonts w:eastAsia="MS Mincho"/>
    </w:rPr>
  </w:style>
  <w:style w:type="paragraph" w:customStyle="1" w:styleId="ZK">
    <w:name w:val="ZK"/>
    <w:uiPriority w:val="99"/>
    <w:rsid w:val="00EE5E23"/>
    <w:pPr>
      <w:spacing w:after="240" w:line="240" w:lineRule="atLeast"/>
      <w:ind w:left="1191" w:right="113" w:hanging="1191"/>
    </w:pPr>
    <w:rPr>
      <w:rFonts w:eastAsia="MS Mincho"/>
      <w:lang w:eastAsia="en-US"/>
    </w:rPr>
  </w:style>
  <w:style w:type="paragraph" w:customStyle="1" w:styleId="ZC">
    <w:name w:val="ZC"/>
    <w:uiPriority w:val="99"/>
    <w:rsid w:val="00EE5E23"/>
    <w:pPr>
      <w:spacing w:line="360" w:lineRule="atLeast"/>
      <w:jc w:val="center"/>
    </w:pPr>
    <w:rPr>
      <w:rFonts w:eastAsia="MS Mincho"/>
      <w:lang w:eastAsia="en-US"/>
    </w:rPr>
  </w:style>
  <w:style w:type="paragraph" w:customStyle="1" w:styleId="FooterCentred">
    <w:name w:val="FooterCentred"/>
    <w:basedOn w:val="Footer"/>
    <w:uiPriority w:val="99"/>
    <w:qFormat/>
    <w:rsid w:val="00EE5E23"/>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EE5E23"/>
    <w:pPr>
      <w:tabs>
        <w:tab w:val="left" w:pos="360"/>
      </w:tabs>
      <w:ind w:left="360" w:hanging="360"/>
    </w:pPr>
  </w:style>
  <w:style w:type="paragraph" w:customStyle="1" w:styleId="Para1">
    <w:name w:val="Para1"/>
    <w:basedOn w:val="Normal"/>
    <w:uiPriority w:val="99"/>
    <w:rsid w:val="00EE5E23"/>
    <w:pPr>
      <w:spacing w:before="120" w:after="120"/>
    </w:pPr>
    <w:rPr>
      <w:rFonts w:eastAsia="MS Mincho"/>
      <w:lang w:val="en-US"/>
    </w:rPr>
  </w:style>
  <w:style w:type="paragraph" w:customStyle="1" w:styleId="Teststep">
    <w:name w:val="Test step"/>
    <w:basedOn w:val="Normal"/>
    <w:uiPriority w:val="99"/>
    <w:qFormat/>
    <w:rsid w:val="00EE5E23"/>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EE5E23"/>
    <w:pPr>
      <w:keepNext/>
      <w:keepLines/>
      <w:spacing w:after="60"/>
      <w:ind w:left="210"/>
      <w:jc w:val="center"/>
    </w:pPr>
    <w:rPr>
      <w:b/>
      <w:sz w:val="20"/>
    </w:rPr>
  </w:style>
  <w:style w:type="paragraph" w:customStyle="1" w:styleId="13">
    <w:name w:val="図表目次1"/>
    <w:basedOn w:val="Normal"/>
    <w:next w:val="Normal"/>
    <w:uiPriority w:val="99"/>
    <w:qFormat/>
    <w:rsid w:val="00EE5E23"/>
    <w:pPr>
      <w:ind w:left="400" w:hanging="400"/>
      <w:jc w:val="center"/>
    </w:pPr>
    <w:rPr>
      <w:rFonts w:eastAsia="MS Mincho"/>
      <w:b/>
    </w:rPr>
  </w:style>
  <w:style w:type="paragraph" w:customStyle="1" w:styleId="t2">
    <w:name w:val="t2"/>
    <w:basedOn w:val="Normal"/>
    <w:uiPriority w:val="99"/>
    <w:qFormat/>
    <w:rsid w:val="00EE5E23"/>
    <w:pPr>
      <w:spacing w:after="0"/>
    </w:pPr>
    <w:rPr>
      <w:rFonts w:eastAsia="MS Mincho"/>
    </w:rPr>
  </w:style>
  <w:style w:type="paragraph" w:customStyle="1" w:styleId="CommentNokia">
    <w:name w:val="Comment Nokia"/>
    <w:basedOn w:val="Normal"/>
    <w:uiPriority w:val="99"/>
    <w:qFormat/>
    <w:rsid w:val="00EE5E23"/>
    <w:pPr>
      <w:tabs>
        <w:tab w:val="left" w:pos="360"/>
      </w:tabs>
      <w:ind w:left="360" w:hanging="360"/>
    </w:pPr>
    <w:rPr>
      <w:rFonts w:eastAsia="MS Mincho"/>
      <w:sz w:val="22"/>
      <w:lang w:val="en-US"/>
    </w:rPr>
  </w:style>
  <w:style w:type="paragraph" w:customStyle="1" w:styleId="Copyright">
    <w:name w:val="Copyright"/>
    <w:basedOn w:val="Normal"/>
    <w:uiPriority w:val="99"/>
    <w:qFormat/>
    <w:rsid w:val="00EE5E23"/>
    <w:pPr>
      <w:spacing w:after="0"/>
      <w:jc w:val="center"/>
    </w:pPr>
    <w:rPr>
      <w:rFonts w:ascii="Arial" w:eastAsia="MS Mincho" w:hAnsi="Arial"/>
      <w:b/>
      <w:sz w:val="16"/>
      <w:lang w:eastAsia="ja-JP"/>
    </w:rPr>
  </w:style>
  <w:style w:type="paragraph" w:customStyle="1" w:styleId="Tdoctable">
    <w:name w:val="Tdoc_table"/>
    <w:uiPriority w:val="99"/>
    <w:qFormat/>
    <w:rsid w:val="00EE5E23"/>
    <w:pPr>
      <w:ind w:left="244" w:hanging="244"/>
    </w:pPr>
    <w:rPr>
      <w:rFonts w:ascii="Arial" w:hAnsi="Arial"/>
      <w:noProof/>
      <w:color w:val="000000"/>
      <w:lang w:eastAsia="en-US"/>
    </w:rPr>
  </w:style>
  <w:style w:type="paragraph" w:customStyle="1" w:styleId="Heading3Underrubrik2H3">
    <w:name w:val="Heading 3.Underrubrik2.H3"/>
    <w:basedOn w:val="Heading2Head2A2"/>
    <w:next w:val="Normal"/>
    <w:qFormat/>
    <w:rsid w:val="00EE5E23"/>
    <w:pPr>
      <w:spacing w:before="120"/>
      <w:outlineLvl w:val="2"/>
    </w:pPr>
    <w:rPr>
      <w:sz w:val="28"/>
    </w:rPr>
  </w:style>
  <w:style w:type="paragraph" w:customStyle="1" w:styleId="Heading2Head2A2">
    <w:name w:val="Heading 2.Head2A.2"/>
    <w:basedOn w:val="Heading1"/>
    <w:next w:val="Normal"/>
    <w:uiPriority w:val="99"/>
    <w:qFormat/>
    <w:rsid w:val="00EE5E23"/>
    <w:pPr>
      <w:pBdr>
        <w:top w:val="none" w:sz="0" w:space="0" w:color="auto"/>
      </w:pBdr>
      <w:spacing w:before="180"/>
      <w:outlineLvl w:val="1"/>
    </w:pPr>
    <w:rPr>
      <w:sz w:val="32"/>
      <w:lang w:eastAsia="es-ES"/>
    </w:rPr>
  </w:style>
  <w:style w:type="paragraph" w:customStyle="1" w:styleId="TitleText">
    <w:name w:val="Title Text"/>
    <w:basedOn w:val="Normal"/>
    <w:next w:val="Normal"/>
    <w:uiPriority w:val="99"/>
    <w:qFormat/>
    <w:rsid w:val="00EE5E23"/>
    <w:pPr>
      <w:spacing w:after="220"/>
    </w:pPr>
    <w:rPr>
      <w:rFonts w:eastAsia="MS Mincho"/>
      <w:b/>
      <w:lang w:val="en-US"/>
    </w:rPr>
  </w:style>
  <w:style w:type="paragraph" w:customStyle="1" w:styleId="berschrift2Head2A2">
    <w:name w:val="Überschrift 2.Head2A.2"/>
    <w:basedOn w:val="Heading1"/>
    <w:next w:val="Normal"/>
    <w:uiPriority w:val="99"/>
    <w:qFormat/>
    <w:rsid w:val="00EE5E23"/>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EE5E23"/>
    <w:pPr>
      <w:spacing w:before="120"/>
      <w:outlineLvl w:val="2"/>
    </w:pPr>
    <w:rPr>
      <w:rFonts w:eastAsia="MS Mincho"/>
      <w:sz w:val="28"/>
      <w:lang w:eastAsia="de-DE"/>
    </w:rPr>
  </w:style>
  <w:style w:type="paragraph" w:customStyle="1" w:styleId="Bullets">
    <w:name w:val="Bullets"/>
    <w:basedOn w:val="BodyText"/>
    <w:uiPriority w:val="99"/>
    <w:rsid w:val="00EE5E23"/>
    <w:pPr>
      <w:ind w:left="283" w:hanging="283"/>
    </w:pPr>
    <w:rPr>
      <w:sz w:val="20"/>
      <w:lang w:eastAsia="de-DE"/>
    </w:rPr>
  </w:style>
  <w:style w:type="paragraph" w:customStyle="1" w:styleId="11BodyText">
    <w:name w:val="11 BodyText"/>
    <w:basedOn w:val="Normal"/>
    <w:uiPriority w:val="99"/>
    <w:qFormat/>
    <w:rsid w:val="00EE5E23"/>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uiPriority w:val="99"/>
    <w:qFormat/>
    <w:rsid w:val="00EE5E23"/>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EE5E2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Normal + Times New Roman"/>
    <w:basedOn w:val="Normal"/>
    <w:uiPriority w:val="99"/>
    <w:rsid w:val="00EE5E23"/>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EE5E23"/>
    <w:rPr>
      <w:rFonts w:eastAsia="Malgun Gothic"/>
      <w:kern w:val="2"/>
    </w:rPr>
  </w:style>
  <w:style w:type="character" w:customStyle="1" w:styleId="StyleTACChar">
    <w:name w:val="Style TAC + Char"/>
    <w:link w:val="StyleTAC"/>
    <w:rsid w:val="00EE5E23"/>
    <w:rPr>
      <w:rFonts w:ascii="Arial" w:eastAsia="Malgun Gothic" w:hAnsi="Arial"/>
      <w:kern w:val="2"/>
      <w:sz w:val="18"/>
      <w:lang w:val="en-GB" w:eastAsia="en-US"/>
    </w:rPr>
  </w:style>
  <w:style w:type="character" w:customStyle="1" w:styleId="CharChar29">
    <w:name w:val="Char Char29"/>
    <w:qFormat/>
    <w:rsid w:val="00EE5E23"/>
    <w:rPr>
      <w:rFonts w:ascii="Arial" w:hAnsi="Arial"/>
      <w:sz w:val="36"/>
      <w:lang w:val="en-GB" w:eastAsia="en-US" w:bidi="ar-SA"/>
    </w:rPr>
  </w:style>
  <w:style w:type="character" w:customStyle="1" w:styleId="CharChar28">
    <w:name w:val="Char Char28"/>
    <w:qFormat/>
    <w:rsid w:val="00EE5E23"/>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EE5E2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rsid w:val="00EE5E23"/>
    <w:rPr>
      <w:rFonts w:ascii="Arial" w:hAnsi="Arial"/>
      <w:sz w:val="22"/>
      <w:lang w:val="en-GB" w:eastAsia="en-GB" w:bidi="ar-SA"/>
    </w:rPr>
  </w:style>
  <w:style w:type="paragraph" w:customStyle="1" w:styleId="Default">
    <w:name w:val="Default"/>
    <w:uiPriority w:val="99"/>
    <w:qFormat/>
    <w:rsid w:val="00EE5E23"/>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B1Zchn">
    <w:name w:val="B1 Zchn"/>
    <w:qFormat/>
    <w:rsid w:val="00EE5E23"/>
    <w:rPr>
      <w:rFonts w:ascii="Times New Roman" w:hAnsi="Times New Roman"/>
      <w:lang w:val="en-GB"/>
    </w:rPr>
  </w:style>
  <w:style w:type="character" w:styleId="HTMLAcronym">
    <w:name w:val="HTML Acronym"/>
    <w:uiPriority w:val="99"/>
    <w:unhideWhenUsed/>
    <w:qFormat/>
    <w:rsid w:val="007B17DD"/>
  </w:style>
  <w:style w:type="table" w:customStyle="1" w:styleId="TableGrid4">
    <w:name w:val="Table Grid4"/>
    <w:basedOn w:val="TableNormal"/>
    <w:next w:val="TableGrid"/>
    <w:qFormat/>
    <w:rsid w:val="00FE744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E24ACD"/>
    <w:pPr>
      <w:widowControl/>
      <w:ind w:hanging="22"/>
      <w:jc w:val="both"/>
    </w:pPr>
    <w:rPr>
      <w:rFonts w:ascii="Arial" w:hAnsi="Arial" w:cs="Arial"/>
      <w:szCs w:val="24"/>
      <w:lang w:val="en-US"/>
    </w:rPr>
  </w:style>
  <w:style w:type="character" w:customStyle="1" w:styleId="3GPPNormalTextChar">
    <w:name w:val="3GPP Normal Text Char"/>
    <w:link w:val="3GPPNormalText"/>
    <w:rsid w:val="00E24ACD"/>
    <w:rPr>
      <w:rFonts w:ascii="Arial" w:eastAsia="MS Mincho" w:hAnsi="Arial" w:cs="Arial"/>
      <w:sz w:val="24"/>
      <w:szCs w:val="24"/>
      <w:lang w:val="en-US" w:eastAsia="en-US"/>
    </w:rPr>
  </w:style>
  <w:style w:type="table" w:customStyle="1" w:styleId="14">
    <w:name w:val="表格格線1"/>
    <w:basedOn w:val="TableNormal"/>
    <w:next w:val="TableGrid"/>
    <w:qFormat/>
    <w:rsid w:val="00D9416D"/>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rsid w:val="00D43B5B"/>
  </w:style>
  <w:style w:type="paragraph" w:customStyle="1" w:styleId="H53GPP">
    <w:name w:val="H5 3GPP"/>
    <w:basedOn w:val="Normal"/>
    <w:link w:val="H53GPPChar"/>
    <w:qFormat/>
    <w:rsid w:val="001061D2"/>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qFormat/>
    <w:rsid w:val="001061D2"/>
    <w:rPr>
      <w:rFonts w:ascii="Arial" w:hAnsi="Arial"/>
      <w:snapToGrid w:val="0"/>
      <w:sz w:val="22"/>
      <w:szCs w:val="22"/>
      <w:lang w:eastAsia="en-US"/>
    </w:rPr>
  </w:style>
  <w:style w:type="paragraph" w:styleId="Subtitle">
    <w:name w:val="Subtitle"/>
    <w:basedOn w:val="Normal"/>
    <w:next w:val="Normal"/>
    <w:link w:val="SubtitleChar"/>
    <w:uiPriority w:val="11"/>
    <w:qFormat/>
    <w:rsid w:val="001061D2"/>
    <w:pPr>
      <w:spacing w:before="240" w:after="60" w:line="312" w:lineRule="auto"/>
      <w:jc w:val="center"/>
      <w:outlineLvl w:val="1"/>
    </w:pPr>
    <w:rPr>
      <w:rFonts w:asciiTheme="majorHAnsi" w:hAnsiTheme="majorHAnsi" w:cstheme="majorBidi"/>
      <w:b/>
      <w:bCs/>
      <w:kern w:val="28"/>
      <w:sz w:val="32"/>
      <w:szCs w:val="32"/>
      <w:lang w:eastAsia="ko-KR"/>
    </w:rPr>
  </w:style>
  <w:style w:type="character" w:customStyle="1" w:styleId="SubtitleChar">
    <w:name w:val="Subtitle Char"/>
    <w:basedOn w:val="DefaultParagraphFont"/>
    <w:link w:val="Subtitle"/>
    <w:uiPriority w:val="11"/>
    <w:qFormat/>
    <w:rsid w:val="001061D2"/>
    <w:rPr>
      <w:rFonts w:asciiTheme="majorHAnsi" w:hAnsiTheme="majorHAnsi" w:cstheme="majorBidi"/>
      <w:b/>
      <w:bCs/>
      <w:kern w:val="28"/>
      <w:sz w:val="32"/>
      <w:szCs w:val="32"/>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locked/>
    <w:rsid w:val="00E977B7"/>
    <w:rPr>
      <w:rFonts w:ascii="Arial" w:eastAsia="Batang" w:hAnsi="Arial" w:cs="Times New Roman"/>
      <w:b/>
      <w:bCs/>
      <w:i/>
      <w:iCs/>
      <w:sz w:val="28"/>
      <w:szCs w:val="28"/>
      <w:lang w:val="en-GB" w:eastAsia="en-US" w:bidi="ar-SA"/>
    </w:rPr>
  </w:style>
  <w:style w:type="paragraph" w:customStyle="1" w:styleId="a0">
    <w:name w:val="修订"/>
    <w:hidden/>
    <w:uiPriority w:val="99"/>
    <w:semiHidden/>
    <w:rsid w:val="00E977B7"/>
    <w:rPr>
      <w:rFonts w:eastAsia="Batang"/>
      <w:lang w:eastAsia="en-US"/>
    </w:rPr>
  </w:style>
  <w:style w:type="character" w:customStyle="1" w:styleId="CharChar34">
    <w:name w:val="Char Char34"/>
    <w:qFormat/>
    <w:rsid w:val="008E1F3F"/>
    <w:rPr>
      <w:rFonts w:ascii="Arial" w:hAnsi="Arial"/>
      <w:sz w:val="28"/>
      <w:lang w:val="en-GB" w:eastAsia="ko-KR" w:bidi="ar-SA"/>
    </w:rPr>
  </w:style>
  <w:style w:type="character" w:customStyle="1" w:styleId="Heading9Char1">
    <w:name w:val="Heading 9 Char1"/>
    <w:aliases w:val="Figure Heading Char1,FH Char1,标题 9 Char1"/>
    <w:basedOn w:val="DefaultParagraphFont"/>
    <w:rsid w:val="001C3259"/>
    <w:rPr>
      <w:rFonts w:asciiTheme="majorHAnsi" w:eastAsiaTheme="majorEastAsia" w:hAnsiTheme="majorHAnsi" w:cstheme="majorBidi"/>
      <w:i/>
      <w:iCs/>
      <w:color w:val="272727" w:themeColor="text1" w:themeTint="D8"/>
      <w:sz w:val="21"/>
      <w:szCs w:val="21"/>
      <w:lang w:val="en-GB"/>
    </w:rPr>
  </w:style>
  <w:style w:type="character" w:customStyle="1" w:styleId="CharChar33">
    <w:name w:val="Char Char33"/>
    <w:aliases w:val="Heading 1 Char4,NMP Heading 1 Char1,h1 Char1,app heading 1 Char1,l1 Char1,Memo Heading 1 Char1,h11 Char1,h12 Char1,h13 Char1,h14 Char1,h15 Char1,h16 Char1,h17 Char1,h111 Char1,h121 Char1,h131 Char1,h141 Char1,h151 Char1,h161 Char3"/>
    <w:qFormat/>
    <w:rsid w:val="00AA771F"/>
    <w:rPr>
      <w:rFonts w:ascii="Arial" w:hAnsi="Arial"/>
      <w:sz w:val="28"/>
      <w:lang w:val="en-GB" w:eastAsia="ko-KR" w:bidi="ar-SA"/>
    </w:rPr>
  </w:style>
  <w:style w:type="character" w:customStyle="1" w:styleId="CharChar32">
    <w:name w:val="Char Char32"/>
    <w:semiHidden/>
    <w:rsid w:val="004A2695"/>
    <w:rPr>
      <w:rFonts w:ascii="Arial" w:hAnsi="Arial"/>
      <w:sz w:val="28"/>
      <w:lang w:val="en-GB" w:eastAsia="ko-KR" w:bidi="ar-SA"/>
    </w:rPr>
  </w:style>
  <w:style w:type="paragraph" w:customStyle="1" w:styleId="Subtitle1">
    <w:name w:val="Subtitle1"/>
    <w:basedOn w:val="Normal"/>
    <w:next w:val="Normal"/>
    <w:uiPriority w:val="11"/>
    <w:qFormat/>
    <w:rsid w:val="00617425"/>
    <w:pPr>
      <w:spacing w:before="240" w:after="60" w:line="312" w:lineRule="auto"/>
      <w:jc w:val="center"/>
      <w:outlineLvl w:val="1"/>
    </w:pPr>
    <w:rPr>
      <w:rFonts w:ascii="Calibri Light" w:hAnsi="Calibri Light"/>
      <w:b/>
      <w:bCs/>
      <w:kern w:val="28"/>
      <w:sz w:val="32"/>
      <w:szCs w:val="32"/>
      <w:lang w:eastAsia="ko-KR"/>
    </w:rPr>
  </w:style>
  <w:style w:type="character" w:customStyle="1" w:styleId="SubtitleChar1">
    <w:name w:val="Subtitle Char1"/>
    <w:basedOn w:val="DefaultParagraphFont"/>
    <w:rsid w:val="00617425"/>
    <w:rPr>
      <w:rFonts w:asciiTheme="minorHAnsi" w:eastAsiaTheme="minorEastAsia" w:hAnsiTheme="minorHAnsi" w:cstheme="minorBidi"/>
      <w:color w:val="5A5A5A" w:themeColor="text1" w:themeTint="A5"/>
      <w:spacing w:val="15"/>
      <w:sz w:val="22"/>
      <w:szCs w:val="22"/>
      <w:lang w:val="en-GB" w:eastAsia="en-US"/>
    </w:rPr>
  </w:style>
  <w:style w:type="paragraph" w:customStyle="1" w:styleId="15">
    <w:name w:val="副标题1"/>
    <w:basedOn w:val="Normal"/>
    <w:next w:val="Normal"/>
    <w:uiPriority w:val="11"/>
    <w:qFormat/>
    <w:rsid w:val="006F794E"/>
    <w:pPr>
      <w:spacing w:before="240" w:after="60" w:line="312" w:lineRule="auto"/>
      <w:jc w:val="center"/>
      <w:outlineLvl w:val="1"/>
    </w:pPr>
    <w:rPr>
      <w:rFonts w:ascii="Calibri Light" w:hAnsi="Calibri Light"/>
      <w:b/>
      <w:bCs/>
      <w:kern w:val="28"/>
      <w:sz w:val="32"/>
      <w:szCs w:val="32"/>
      <w:lang w:eastAsia="ko-KR"/>
    </w:rPr>
  </w:style>
  <w:style w:type="paragraph" w:customStyle="1" w:styleId="21">
    <w:name w:val="修订2"/>
    <w:hidden/>
    <w:uiPriority w:val="99"/>
    <w:semiHidden/>
    <w:qFormat/>
    <w:rsid w:val="006F794E"/>
    <w:rPr>
      <w:rFonts w:eastAsia="Batang"/>
      <w:lang w:eastAsia="en-US"/>
    </w:rPr>
  </w:style>
  <w:style w:type="character" w:customStyle="1" w:styleId="Char1">
    <w:name w:val="副标题 Char1"/>
    <w:basedOn w:val="DefaultParagraphFont"/>
    <w:rsid w:val="006F794E"/>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qFormat/>
    <w:rsid w:val="006F794E"/>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qFormat/>
    <w:rsid w:val="006F794E"/>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6F794E"/>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6F794E"/>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qFormat/>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qFormat/>
    <w:rsid w:val="006F794E"/>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qFormat/>
    <w:rsid w:val="006F794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qFormat/>
    <w:rsid w:val="006F794E"/>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2">
    <w:name w:val="Subtitle Char2"/>
    <w:basedOn w:val="DefaultParagraphFont"/>
    <w:qFormat/>
    <w:rsid w:val="00620AEB"/>
    <w:rPr>
      <w:rFonts w:asciiTheme="minorHAnsi" w:eastAsiaTheme="minorEastAsia" w:hAnsiTheme="minorHAnsi" w:cstheme="minorBidi"/>
      <w:color w:val="5A5A5A" w:themeColor="text1" w:themeTint="A5"/>
      <w:spacing w:val="15"/>
      <w:sz w:val="22"/>
      <w:szCs w:val="22"/>
      <w:lang w:val="en-GB" w:eastAsia="en-US"/>
    </w:rPr>
  </w:style>
  <w:style w:type="paragraph" w:customStyle="1" w:styleId="Doc-text2">
    <w:name w:val="Doc-text2"/>
    <w:basedOn w:val="Normal"/>
    <w:link w:val="Doc-text2Char"/>
    <w:qFormat/>
    <w:rsid w:val="00977C68"/>
    <w:pPr>
      <w:tabs>
        <w:tab w:val="left" w:pos="1622"/>
      </w:tabs>
      <w:spacing w:after="0"/>
      <w:ind w:left="1622" w:hanging="363"/>
    </w:pPr>
    <w:rPr>
      <w:rFonts w:ascii="Arial" w:eastAsia="MS Mincho" w:hAnsi="Arial"/>
      <w:szCs w:val="24"/>
    </w:rPr>
  </w:style>
  <w:style w:type="character" w:customStyle="1" w:styleId="Doc-text2Char">
    <w:name w:val="Doc-text2 Char"/>
    <w:link w:val="Doc-text2"/>
    <w:qFormat/>
    <w:rsid w:val="00977C68"/>
    <w:rPr>
      <w:rFonts w:ascii="Arial" w:eastAsia="MS Mincho" w:hAnsi="Arial"/>
      <w:szCs w:val="24"/>
      <w:lang w:eastAsia="en-GB"/>
    </w:rPr>
  </w:style>
  <w:style w:type="character" w:customStyle="1" w:styleId="SubtitleChar3">
    <w:name w:val="Subtitle Char3"/>
    <w:basedOn w:val="DefaultParagraphFont"/>
    <w:rsid w:val="00DF3064"/>
    <w:rPr>
      <w:rFonts w:asciiTheme="minorHAnsi" w:eastAsiaTheme="minorEastAsia" w:hAnsiTheme="minorHAnsi" w:cstheme="minorBidi"/>
      <w:color w:val="5A5A5A" w:themeColor="text1" w:themeTint="A5"/>
      <w:spacing w:val="15"/>
      <w:sz w:val="22"/>
      <w:szCs w:val="22"/>
      <w:lang w:val="en-GB" w:eastAsia="en-US"/>
    </w:rPr>
  </w:style>
  <w:style w:type="character" w:customStyle="1" w:styleId="B3Char">
    <w:name w:val="B3 Char"/>
    <w:link w:val="B30"/>
    <w:qFormat/>
    <w:locked/>
    <w:rsid w:val="00DE67D3"/>
    <w:rPr>
      <w:rFonts w:eastAsia="Times New Roman"/>
      <w:lang w:eastAsia="en-GB"/>
    </w:rPr>
  </w:style>
  <w:style w:type="paragraph" w:customStyle="1" w:styleId="210">
    <w:name w:val="修订21"/>
    <w:hidden/>
    <w:uiPriority w:val="99"/>
    <w:semiHidden/>
    <w:rsid w:val="00C81100"/>
    <w:rPr>
      <w:rFonts w:eastAsia="Batang"/>
      <w:lang w:eastAsia="en-US"/>
    </w:rPr>
  </w:style>
  <w:style w:type="table" w:customStyle="1" w:styleId="22">
    <w:name w:val="网格型2"/>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副標題1"/>
    <w:basedOn w:val="Normal"/>
    <w:next w:val="Normal"/>
    <w:uiPriority w:val="11"/>
    <w:qFormat/>
    <w:rsid w:val="00C81100"/>
    <w:pPr>
      <w:spacing w:before="240" w:after="60" w:line="312" w:lineRule="auto"/>
      <w:jc w:val="center"/>
      <w:outlineLvl w:val="1"/>
    </w:pPr>
    <w:rPr>
      <w:rFonts w:ascii="Calibri Light" w:hAnsi="Calibri Light"/>
      <w:b/>
      <w:bCs/>
      <w:kern w:val="28"/>
      <w:sz w:val="32"/>
      <w:szCs w:val="32"/>
      <w:lang w:eastAsia="ko-KR"/>
    </w:rPr>
  </w:style>
  <w:style w:type="table" w:customStyle="1" w:styleId="TableGrid111">
    <w:name w:val="Table Grid111"/>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鮮明引文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qFormat/>
    <w:rsid w:val="00C81100"/>
    <w:rPr>
      <w:i/>
      <w:iCs/>
      <w:color w:val="5B9BD5"/>
      <w:lang w:eastAsia="en-US"/>
    </w:rPr>
  </w:style>
  <w:style w:type="paragraph" w:customStyle="1" w:styleId="33">
    <w:name w:val="修订3"/>
    <w:hidden/>
    <w:uiPriority w:val="99"/>
    <w:semiHidden/>
    <w:qFormat/>
    <w:rsid w:val="00C81100"/>
    <w:rPr>
      <w:rFonts w:eastAsia="Batang"/>
      <w:lang w:eastAsia="en-US"/>
    </w:rPr>
  </w:style>
  <w:style w:type="table" w:customStyle="1" w:styleId="TableGrid5">
    <w:name w:val="Table Grid5"/>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型11"/>
    <w:basedOn w:val="TableNormal"/>
    <w:next w:val="TableGrid"/>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明显引用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qFormat/>
    <w:rsid w:val="00C81100"/>
    <w:rPr>
      <w:rFonts w:ascii="Times New Roman" w:hAnsi="Times New Roman"/>
      <w:i/>
      <w:iCs/>
      <w:color w:val="5B9BD5"/>
      <w:lang w:val="en-GB" w:eastAsia="en-US"/>
    </w:rPr>
  </w:style>
  <w:style w:type="table" w:customStyle="1" w:styleId="TableGrid112">
    <w:name w:val="Table Grid11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C8110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1">
    <w:name w:val="Intense Quote Char1"/>
    <w:basedOn w:val="DefaultParagraphFont"/>
    <w:uiPriority w:val="30"/>
    <w:qFormat/>
    <w:rsid w:val="00C81100"/>
    <w:rPr>
      <w:rFonts w:ascii="Times New Roman" w:hAnsi="Times New Roman"/>
      <w:i/>
      <w:iCs/>
      <w:color w:val="5B9BD5"/>
      <w:lang w:val="en-GB" w:eastAsia="en-US"/>
    </w:rPr>
  </w:style>
  <w:style w:type="table" w:customStyle="1" w:styleId="TableGrid7">
    <w:name w:val="Table Grid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表格格線112"/>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qFormat/>
    <w:rsid w:val="00C81100"/>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qFormat/>
    <w:rsid w:val="00C81100"/>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qFormat/>
    <w:rsid w:val="00C81100"/>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qFormat/>
    <w:rsid w:val="00C81100"/>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qFormat/>
    <w:rsid w:val="00C81100"/>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qFormat/>
    <w:rsid w:val="00C81100"/>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qFormat/>
    <w:rsid w:val="00C81100"/>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qFormat/>
    <w:rsid w:val="00C81100"/>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edListChar">
    <w:name w:val="Numbered List Char"/>
    <w:basedOn w:val="DefaultParagraphFont"/>
    <w:link w:val="NumberedList"/>
    <w:qFormat/>
    <w:rsid w:val="00C81100"/>
    <w:rPr>
      <w:rFonts w:eastAsia="MS Mincho"/>
      <w:lang w:val="en-US" w:eastAsia="en-GB"/>
    </w:rPr>
  </w:style>
  <w:style w:type="character" w:customStyle="1" w:styleId="11Char">
    <w:name w:val="1.1 Char"/>
    <w:link w:val="114"/>
    <w:qFormat/>
    <w:rsid w:val="00C81100"/>
    <w:rPr>
      <w:rFonts w:ascii="Arial" w:eastAsia="MS Mincho" w:hAnsi="Arial"/>
      <w:b/>
      <w:bCs/>
      <w:sz w:val="24"/>
      <w:szCs w:val="26"/>
    </w:rPr>
  </w:style>
  <w:style w:type="character" w:customStyle="1" w:styleId="1a">
    <w:name w:val="明显强调1"/>
    <w:uiPriority w:val="21"/>
    <w:qFormat/>
    <w:rsid w:val="00C81100"/>
    <w:rPr>
      <w:b/>
      <w:bCs/>
      <w:i/>
      <w:iCs/>
      <w:color w:val="4F81BD"/>
    </w:rPr>
  </w:style>
  <w:style w:type="paragraph" w:customStyle="1" w:styleId="MediumGrid21">
    <w:name w:val="Medium Grid 21"/>
    <w:uiPriority w:val="1"/>
    <w:qFormat/>
    <w:rsid w:val="00C81100"/>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C81100"/>
    <w:pPr>
      <w:spacing w:before="120" w:after="120"/>
      <w:ind w:left="720"/>
      <w:jc w:val="both"/>
    </w:pPr>
    <w:rPr>
      <w:sz w:val="24"/>
      <w:lang w:val="fr-FR"/>
    </w:rPr>
  </w:style>
  <w:style w:type="paragraph" w:customStyle="1" w:styleId="Observation">
    <w:name w:val="Observation"/>
    <w:basedOn w:val="Normal"/>
    <w:uiPriority w:val="99"/>
    <w:qFormat/>
    <w:rsid w:val="00C81100"/>
    <w:pPr>
      <w:numPr>
        <w:numId w:val="9"/>
      </w:numPr>
      <w:tabs>
        <w:tab w:val="num" w:pos="360"/>
        <w:tab w:val="left" w:pos="1701"/>
      </w:tabs>
      <w:spacing w:before="120" w:after="120"/>
      <w:jc w:val="both"/>
    </w:pPr>
    <w:rPr>
      <w:rFonts w:ascii="Arial" w:hAnsi="Arial"/>
      <w:b/>
      <w:bCs/>
    </w:rPr>
  </w:style>
  <w:style w:type="character" w:styleId="Emphasis">
    <w:name w:val="Emphasis"/>
    <w:qFormat/>
    <w:rsid w:val="00C81100"/>
    <w:rPr>
      <w:rFonts w:ascii="Times New Roman" w:hAnsi="Times New Roman" w:cs="Times New Roman" w:hint="default"/>
      <w:i/>
      <w:iCs/>
    </w:rPr>
  </w:style>
  <w:style w:type="paragraph" w:styleId="NoSpacing">
    <w:name w:val="No Spacing"/>
    <w:basedOn w:val="Normal"/>
    <w:uiPriority w:val="1"/>
    <w:qFormat/>
    <w:rsid w:val="00C81100"/>
    <w:pPr>
      <w:spacing w:before="120" w:after="120"/>
      <w:jc w:val="both"/>
    </w:pPr>
    <w:rPr>
      <w:rFonts w:eastAsia="Calibri"/>
      <w:lang w:eastAsia="ja-JP"/>
    </w:rPr>
  </w:style>
  <w:style w:type="character" w:styleId="IntenseEmphasis">
    <w:name w:val="Intense Emphasis"/>
    <w:uiPriority w:val="21"/>
    <w:qFormat/>
    <w:rsid w:val="00C81100"/>
    <w:rPr>
      <w:b/>
      <w:bCs w:val="0"/>
      <w:i/>
      <w:iCs w:val="0"/>
      <w:color w:val="4F81BD"/>
    </w:rPr>
  </w:style>
  <w:style w:type="character" w:styleId="SubtleReference">
    <w:name w:val="Subtle Reference"/>
    <w:uiPriority w:val="31"/>
    <w:qFormat/>
    <w:rsid w:val="00C81100"/>
    <w:rPr>
      <w:smallCaps/>
      <w:color w:val="C0504D"/>
      <w:u w:val="single"/>
    </w:rPr>
  </w:style>
  <w:style w:type="character" w:styleId="IntenseReference">
    <w:name w:val="Intense Reference"/>
    <w:qFormat/>
    <w:rsid w:val="00C81100"/>
    <w:rPr>
      <w:b/>
      <w:bCs w:val="0"/>
      <w:smallCaps/>
      <w:color w:val="C0504D"/>
      <w:spacing w:val="5"/>
      <w:u w:val="single"/>
    </w:rPr>
  </w:style>
  <w:style w:type="paragraph" w:customStyle="1" w:styleId="Header-3gppTdoc">
    <w:name w:val="Header-3gpp Tdoc"/>
    <w:basedOn w:val="Header"/>
    <w:link w:val="Header-3gppTdocChar"/>
    <w:qFormat/>
    <w:rsid w:val="00C81100"/>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qFormat/>
    <w:rsid w:val="00C81100"/>
    <w:rPr>
      <w:rFonts w:ascii="Arial" w:eastAsia="MS Mincho" w:hAnsi="Arial" w:cs="Arial"/>
      <w:b/>
      <w:sz w:val="24"/>
      <w:szCs w:val="24"/>
      <w:lang w:val="en-US" w:eastAsia="en-GB"/>
    </w:rPr>
  </w:style>
  <w:style w:type="character" w:customStyle="1" w:styleId="Char2">
    <w:name w:val="明显引用 Char2"/>
    <w:basedOn w:val="DefaultParagraphFont"/>
    <w:uiPriority w:val="30"/>
    <w:qFormat/>
    <w:rsid w:val="00C81100"/>
    <w:rPr>
      <w:rFonts w:ascii="Times New Roman" w:hAnsi="Times New Roman"/>
      <w:i/>
      <w:iCs/>
      <w:color w:val="5B9BD5"/>
      <w:lang w:val="en-GB" w:eastAsia="en-US"/>
    </w:rPr>
  </w:style>
  <w:style w:type="character" w:customStyle="1" w:styleId="CharChar35">
    <w:name w:val="Char Char35"/>
    <w:semiHidden/>
    <w:rsid w:val="00C81100"/>
    <w:rPr>
      <w:rFonts w:ascii="Arial" w:hAnsi="Arial"/>
      <w:sz w:val="28"/>
      <w:lang w:val="en-GB" w:eastAsia="ko-KR" w:bidi="ar-SA"/>
    </w:rPr>
  </w:style>
  <w:style w:type="table" w:customStyle="1" w:styleId="TableGrid71">
    <w:name w:val="Table Grid71"/>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网格型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表格格線1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表格格線11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表格格線13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网格型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39"/>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格格線116"/>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格線126"/>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网格型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表格格線1115"/>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格格線1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表格格線121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格格線14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表格格線122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表格格線1111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表格格線1233"/>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3"/>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表格格線1112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表格格線1116"/>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表格格線13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表格格線121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表格格線1125"/>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4"/>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格線15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表格格線11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表格格線1234"/>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表格格線11123"/>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qFormat/>
    <w:rsid w:val="00C81100"/>
    <w:rPr>
      <w:rFonts w:ascii="Times New Roman" w:hAnsi="Times New Roman" w:cs="Times New Roman" w:hint="default"/>
      <w:i/>
      <w:iCs/>
      <w:color w:val="4F81BD"/>
      <w:lang w:val="en-GB" w:eastAsia="en-US"/>
    </w:rPr>
  </w:style>
  <w:style w:type="character" w:customStyle="1" w:styleId="Char20">
    <w:name w:val="副标题 Char2"/>
    <w:uiPriority w:val="11"/>
    <w:qFormat/>
    <w:rsid w:val="00C81100"/>
    <w:rPr>
      <w:rFonts w:ascii="Cambria" w:hAnsi="Cambria" w:cs="Times New Roman" w:hint="default"/>
      <w:b/>
      <w:bCs/>
      <w:kern w:val="28"/>
      <w:sz w:val="32"/>
      <w:szCs w:val="32"/>
      <w:lang w:val="en-GB" w:eastAsia="en-US"/>
    </w:rPr>
  </w:style>
  <w:style w:type="character" w:customStyle="1" w:styleId="1b">
    <w:name w:val="副標題 字元1"/>
    <w:qFormat/>
    <w:rsid w:val="00C81100"/>
    <w:rPr>
      <w:rFonts w:ascii="Calibri" w:eastAsia="SimSun" w:hAnsi="Calibri" w:cs="Times New Roman" w:hint="default"/>
      <w:color w:val="5A5A5A"/>
      <w:spacing w:val="15"/>
      <w:sz w:val="22"/>
      <w:szCs w:val="22"/>
      <w:lang w:val="en-GB" w:eastAsia="en-US"/>
    </w:rPr>
  </w:style>
  <w:style w:type="character" w:customStyle="1" w:styleId="1c">
    <w:name w:val="鮮明引文 字元1"/>
    <w:uiPriority w:val="30"/>
    <w:qFormat/>
    <w:rsid w:val="00C81100"/>
    <w:rPr>
      <w:rFonts w:ascii="Times New Roman" w:hAnsi="Times New Roman" w:cs="Times New Roman" w:hint="default"/>
      <w:i/>
      <w:iCs/>
      <w:color w:val="4F81BD"/>
      <w:lang w:val="en-GB" w:eastAsia="en-US"/>
    </w:rPr>
  </w:style>
  <w:style w:type="table" w:customStyle="1" w:styleId="TableGrid712">
    <w:name w:val="Table Grid7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表格格線1312"/>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表格格線121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qFormat/>
    <w:rsid w:val="00C81100"/>
    <w:rPr>
      <w:rFonts w:ascii="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表格格線11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qFormat/>
    <w:rsid w:val="00C81100"/>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qFormat/>
    <w:rsid w:val="00C81100"/>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qFormat/>
    <w:rsid w:val="00C81100"/>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qFormat/>
    <w:rsid w:val="00C81100"/>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qFormat/>
    <w:rsid w:val="00C81100"/>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表格格線12212"/>
    <w:basedOn w:val="TableNormal"/>
    <w:qFormat/>
    <w:rsid w:val="00C81100"/>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qFormat/>
    <w:rsid w:val="00C81100"/>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qFormat/>
    <w:rsid w:val="00C81100"/>
    <w:rPr>
      <w:rFonts w:ascii="Intel Clear" w:eastAsia="SimSun" w:hAnsi="Intel Clear" w:cs="Intel Clear"/>
      <w:sz w:val="28"/>
      <w:lang w:val="en-GB" w:eastAsia="en-GB"/>
    </w:rPr>
  </w:style>
  <w:style w:type="paragraph" w:customStyle="1" w:styleId="4a">
    <w:name w:val="修订4"/>
    <w:hidden/>
    <w:uiPriority w:val="99"/>
    <w:semiHidden/>
    <w:qFormat/>
    <w:rsid w:val="00C81100"/>
    <w:rPr>
      <w:rFonts w:eastAsia="Batang"/>
      <w:lang w:eastAsia="en-US"/>
    </w:rPr>
  </w:style>
  <w:style w:type="table" w:customStyle="1" w:styleId="6">
    <w:name w:val="网格型6"/>
    <w:basedOn w:val="TableNormal"/>
    <w:next w:val="TableGrid"/>
    <w:qFormat/>
    <w:rsid w:val="00C81100"/>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6">
    <w:name w:val="副標題 字元2"/>
    <w:basedOn w:val="DefaultParagraphFont"/>
    <w:rsid w:val="00C81100"/>
    <w:rPr>
      <w:rFonts w:asciiTheme="minorHAnsi" w:eastAsiaTheme="minorEastAsia" w:hAnsiTheme="minorHAnsi" w:cstheme="minorBidi"/>
      <w:color w:val="5A5A5A" w:themeColor="text1" w:themeTint="A5"/>
      <w:spacing w:val="15"/>
      <w:sz w:val="22"/>
      <w:szCs w:val="22"/>
      <w:lang w:val="en-GB" w:eastAsia="en-US"/>
    </w:rPr>
  </w:style>
  <w:style w:type="paragraph" w:styleId="IntenseQuote">
    <w:name w:val="Intense Quote"/>
    <w:basedOn w:val="Normal"/>
    <w:next w:val="Normal"/>
    <w:link w:val="IntenseQuoteChar"/>
    <w:uiPriority w:val="30"/>
    <w:qFormat/>
    <w:rsid w:val="00C81100"/>
    <w:pPr>
      <w:pBdr>
        <w:top w:val="single" w:sz="4" w:space="10" w:color="4472C4" w:themeColor="accent1"/>
        <w:bottom w:val="single" w:sz="4" w:space="10" w:color="4472C4" w:themeColor="accent1"/>
      </w:pBdr>
      <w:spacing w:before="360" w:after="360"/>
      <w:ind w:left="864" w:right="864"/>
      <w:jc w:val="center"/>
    </w:pPr>
    <w:rPr>
      <w:i/>
      <w:iCs/>
      <w:color w:val="5B9BD5"/>
    </w:rPr>
  </w:style>
  <w:style w:type="character" w:customStyle="1" w:styleId="IntenseQuoteChar2">
    <w:name w:val="Intense Quote Char2"/>
    <w:basedOn w:val="DefaultParagraphFont"/>
    <w:uiPriority w:val="30"/>
    <w:rsid w:val="00C81100"/>
    <w:rPr>
      <w:i/>
      <w:iCs/>
      <w:color w:val="4472C4" w:themeColor="accent1"/>
      <w:lang w:eastAsia="en-US"/>
    </w:rPr>
  </w:style>
  <w:style w:type="character" w:customStyle="1" w:styleId="Char4">
    <w:name w:val="明显引用 Char4"/>
    <w:basedOn w:val="DefaultParagraphFont"/>
    <w:uiPriority w:val="30"/>
    <w:rsid w:val="00C81100"/>
    <w:rPr>
      <w:rFonts w:ascii="Times New Roman" w:hAnsi="Times New Roman"/>
      <w:i/>
      <w:iCs/>
      <w:color w:val="4472C4" w:themeColor="accent1"/>
      <w:lang w:val="en-GB" w:eastAsia="en-US"/>
    </w:rPr>
  </w:style>
  <w:style w:type="character" w:customStyle="1" w:styleId="27">
    <w:name w:val="鮮明引文 字元2"/>
    <w:basedOn w:val="DefaultParagraphFont"/>
    <w:uiPriority w:val="30"/>
    <w:rsid w:val="00C81100"/>
    <w:rPr>
      <w:rFonts w:ascii="Times New Roman" w:hAnsi="Times New Roman"/>
      <w:i/>
      <w:iCs/>
      <w:color w:val="4472C4"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C81100"/>
    <w:rPr>
      <w:rFonts w:asciiTheme="majorHAnsi" w:eastAsiaTheme="majorEastAsia" w:hAnsiTheme="majorHAnsi" w:cstheme="majorBidi"/>
      <w:color w:val="2F5496" w:themeColor="accent1" w:themeShade="BF"/>
      <w:sz w:val="32"/>
      <w:szCs w:val="32"/>
      <w:lang w:val="en-GB" w:eastAsia="en-US"/>
    </w:rPr>
  </w:style>
  <w:style w:type="character" w:customStyle="1" w:styleId="215">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C81100"/>
    <w:rPr>
      <w:rFonts w:asciiTheme="majorHAnsi" w:eastAsiaTheme="majorEastAsia" w:hAnsiTheme="majorHAnsi" w:cstheme="majorBidi"/>
      <w:color w:val="2F5496"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C81100"/>
    <w:rPr>
      <w:rFonts w:asciiTheme="majorHAnsi" w:eastAsiaTheme="majorEastAsia" w:hAnsiTheme="majorHAnsi" w:cstheme="majorBidi"/>
      <w:color w:val="1F3763" w:themeColor="accent1" w:themeShade="7F"/>
      <w:sz w:val="24"/>
      <w:szCs w:val="24"/>
      <w:lang w:val="en-GB" w:eastAsia="en-US"/>
    </w:rPr>
  </w:style>
  <w:style w:type="character" w:customStyle="1" w:styleId="410">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C81100"/>
    <w:rPr>
      <w:rFonts w:asciiTheme="majorHAnsi" w:eastAsiaTheme="majorEastAsia" w:hAnsiTheme="majorHAnsi" w:cstheme="majorBidi"/>
      <w:i/>
      <w:iCs/>
      <w:color w:val="2F5496"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C81100"/>
    <w:rPr>
      <w:rFonts w:asciiTheme="majorHAnsi" w:eastAsiaTheme="majorEastAsia" w:hAnsiTheme="majorHAnsi" w:cstheme="majorBidi"/>
      <w:color w:val="2F5496" w:themeColor="accent1" w:themeShade="BF"/>
      <w:lang w:val="en-GB" w:eastAsia="en-US"/>
    </w:rPr>
  </w:style>
  <w:style w:type="character" w:customStyle="1" w:styleId="910">
    <w:name w:val="標題 9 字元1"/>
    <w:aliases w:val="Figure Heading 字元1,FH 字元1"/>
    <w:basedOn w:val="DefaultParagraphFont"/>
    <w:semiHidden/>
    <w:rsid w:val="00C81100"/>
    <w:rPr>
      <w:rFonts w:asciiTheme="majorHAnsi" w:eastAsiaTheme="majorEastAsia" w:hAnsiTheme="majorHAnsi" w:cstheme="majorBidi"/>
      <w:i/>
      <w:iCs/>
      <w:color w:val="272727" w:themeColor="text1" w:themeTint="D8"/>
      <w:sz w:val="21"/>
      <w:szCs w:val="21"/>
      <w:lang w:val="en-GB" w:eastAsia="en-US"/>
    </w:rPr>
  </w:style>
  <w:style w:type="character" w:customStyle="1" w:styleId="1d">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C81100"/>
    <w:rPr>
      <w:rFonts w:ascii="Times New Roman" w:eastAsia="SimSun" w:hAnsi="Times New Roman"/>
      <w:lang w:val="en-GB" w:eastAsia="en-US"/>
    </w:rPr>
  </w:style>
  <w:style w:type="character" w:customStyle="1" w:styleId="1e">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C81100"/>
    <w:rPr>
      <w:rFonts w:ascii="Times New Roman" w:eastAsia="SimSun" w:hAnsi="Times New Roman"/>
      <w:lang w:val="en-GB" w:eastAsia="en-US"/>
    </w:rPr>
  </w:style>
  <w:style w:type="character" w:customStyle="1" w:styleId="1f">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C81100"/>
    <w:rPr>
      <w:rFonts w:ascii="Times New Roman" w:eastAsia="SimSun" w:hAnsi="Times New Roman"/>
      <w:lang w:val="en-GB" w:eastAsia="en-US"/>
    </w:rPr>
  </w:style>
  <w:style w:type="paragraph" w:customStyle="1" w:styleId="a1">
    <w:name w:val="吹き出し"/>
    <w:basedOn w:val="Normal"/>
    <w:uiPriority w:val="99"/>
    <w:rsid w:val="00C81100"/>
    <w:rPr>
      <w:rFonts w:ascii="Tahoma" w:eastAsia="MS Mincho" w:hAnsi="Tahoma" w:cs="Tahoma"/>
      <w:sz w:val="16"/>
      <w:szCs w:val="16"/>
      <w:lang w:eastAsia="ko-KR"/>
    </w:rPr>
  </w:style>
  <w:style w:type="paragraph" w:customStyle="1" w:styleId="TOC91">
    <w:name w:val="TOC 91"/>
    <w:basedOn w:val="TOC8"/>
    <w:uiPriority w:val="99"/>
    <w:rsid w:val="00C81100"/>
    <w:pPr>
      <w:ind w:left="1418" w:hanging="1418"/>
    </w:pPr>
    <w:rPr>
      <w:rFonts w:eastAsia="MS Mincho"/>
    </w:rPr>
  </w:style>
  <w:style w:type="paragraph" w:customStyle="1" w:styleId="Caption1">
    <w:name w:val="Caption1"/>
    <w:basedOn w:val="Normal"/>
    <w:next w:val="Normal"/>
    <w:uiPriority w:val="99"/>
    <w:qFormat/>
    <w:rsid w:val="00C81100"/>
    <w:pPr>
      <w:spacing w:before="120" w:after="120"/>
    </w:pPr>
    <w:rPr>
      <w:rFonts w:eastAsia="MS Mincho"/>
      <w:b/>
    </w:rPr>
  </w:style>
  <w:style w:type="paragraph" w:customStyle="1" w:styleId="TableofFigures1">
    <w:name w:val="Table of Figures1"/>
    <w:basedOn w:val="Normal"/>
    <w:next w:val="Normal"/>
    <w:uiPriority w:val="99"/>
    <w:rsid w:val="00C81100"/>
    <w:pPr>
      <w:ind w:left="400" w:hanging="400"/>
      <w:jc w:val="center"/>
    </w:pPr>
    <w:rPr>
      <w:rFonts w:eastAsia="MS Mincho"/>
      <w:b/>
    </w:rPr>
  </w:style>
  <w:style w:type="paragraph" w:customStyle="1" w:styleId="B2">
    <w:name w:val="B2+"/>
    <w:basedOn w:val="B20"/>
    <w:uiPriority w:val="99"/>
    <w:qFormat/>
    <w:rsid w:val="00C81100"/>
    <w:pPr>
      <w:numPr>
        <w:numId w:val="10"/>
      </w:numPr>
      <w:tabs>
        <w:tab w:val="clear" w:pos="1191"/>
        <w:tab w:val="num" w:pos="851"/>
      </w:tabs>
      <w:ind w:left="851" w:hanging="851"/>
    </w:pPr>
    <w:rPr>
      <w:rFonts w:eastAsia="PMingLiU"/>
      <w:lang w:eastAsia="ko-KR"/>
    </w:rPr>
  </w:style>
  <w:style w:type="paragraph" w:customStyle="1" w:styleId="B3">
    <w:name w:val="B3+"/>
    <w:basedOn w:val="B30"/>
    <w:uiPriority w:val="99"/>
    <w:qFormat/>
    <w:rsid w:val="00C81100"/>
    <w:pPr>
      <w:numPr>
        <w:numId w:val="11"/>
      </w:numPr>
      <w:tabs>
        <w:tab w:val="clear" w:pos="1644"/>
        <w:tab w:val="num" w:pos="737"/>
        <w:tab w:val="left" w:pos="1134"/>
      </w:tabs>
      <w:ind w:left="737"/>
    </w:pPr>
    <w:rPr>
      <w:rFonts w:eastAsia="PMingLiU"/>
      <w:lang w:eastAsia="ko-KR"/>
    </w:rPr>
  </w:style>
  <w:style w:type="paragraph" w:customStyle="1" w:styleId="BN">
    <w:name w:val="BN"/>
    <w:basedOn w:val="Normal"/>
    <w:uiPriority w:val="99"/>
    <w:qFormat/>
    <w:rsid w:val="00C81100"/>
    <w:pPr>
      <w:numPr>
        <w:numId w:val="12"/>
      </w:numPr>
      <w:tabs>
        <w:tab w:val="clear" w:pos="737"/>
        <w:tab w:val="num" w:pos="360"/>
      </w:tabs>
      <w:ind w:left="360" w:hanging="360"/>
    </w:pPr>
    <w:rPr>
      <w:rFonts w:eastAsia="PMingLiU"/>
      <w:lang w:eastAsia="ko-KR"/>
    </w:rPr>
  </w:style>
  <w:style w:type="paragraph" w:customStyle="1" w:styleId="TB1">
    <w:name w:val="TB1"/>
    <w:basedOn w:val="Normal"/>
    <w:uiPriority w:val="99"/>
    <w:qFormat/>
    <w:rsid w:val="00C81100"/>
    <w:pPr>
      <w:keepNext/>
      <w:keepLines/>
      <w:numPr>
        <w:numId w:val="13"/>
      </w:numPr>
      <w:tabs>
        <w:tab w:val="num" w:pos="644"/>
        <w:tab w:val="left" w:pos="720"/>
      </w:tabs>
      <w:spacing w:after="0"/>
      <w:ind w:left="737" w:hanging="380"/>
    </w:pPr>
    <w:rPr>
      <w:rFonts w:ascii="Arial" w:eastAsia="PMingLiU" w:hAnsi="Arial"/>
      <w:sz w:val="18"/>
      <w:lang w:eastAsia="ko-KR"/>
    </w:rPr>
  </w:style>
  <w:style w:type="paragraph" w:customStyle="1" w:styleId="TB2">
    <w:name w:val="TB2"/>
    <w:basedOn w:val="Normal"/>
    <w:uiPriority w:val="99"/>
    <w:qFormat/>
    <w:rsid w:val="00C81100"/>
    <w:pPr>
      <w:keepNext/>
      <w:keepLines/>
      <w:numPr>
        <w:numId w:val="14"/>
      </w:numPr>
      <w:tabs>
        <w:tab w:val="num" w:pos="720"/>
        <w:tab w:val="left" w:pos="1109"/>
      </w:tabs>
      <w:spacing w:after="0"/>
      <w:ind w:left="1100" w:hanging="380"/>
    </w:pPr>
    <w:rPr>
      <w:rFonts w:ascii="Arial" w:eastAsia="PMingLiU" w:hAnsi="Arial"/>
      <w:sz w:val="18"/>
      <w:lang w:eastAsia="ko-KR"/>
    </w:rPr>
  </w:style>
  <w:style w:type="character" w:customStyle="1" w:styleId="UnresolvedMention1">
    <w:name w:val="Unresolved Mention1"/>
    <w:basedOn w:val="DefaultParagraphFont"/>
    <w:uiPriority w:val="99"/>
    <w:qFormat/>
    <w:rsid w:val="00C81100"/>
    <w:rPr>
      <w:color w:val="605E5C"/>
      <w:shd w:val="clear" w:color="auto" w:fill="E1DFDD"/>
    </w:rPr>
  </w:style>
  <w:style w:type="character" w:customStyle="1" w:styleId="fontstyle01">
    <w:name w:val="fontstyle01"/>
    <w:rsid w:val="00C81100"/>
    <w:rPr>
      <w:rFonts w:ascii="Times-Roman" w:hAnsi="Times-Roman" w:hint="default"/>
      <w:b w:val="0"/>
      <w:bCs w:val="0"/>
      <w:i w:val="0"/>
      <w:iCs w:val="0"/>
      <w:color w:val="000000"/>
      <w:sz w:val="20"/>
      <w:szCs w:val="20"/>
    </w:rPr>
  </w:style>
  <w:style w:type="paragraph" w:customStyle="1" w:styleId="114">
    <w:name w:val="1.1"/>
    <w:basedOn w:val="Heading3"/>
    <w:link w:val="11Char"/>
    <w:qFormat/>
    <w:rsid w:val="007D2333"/>
    <w:pPr>
      <w:keepLines w:val="0"/>
      <w:tabs>
        <w:tab w:val="left" w:pos="851"/>
      </w:tabs>
      <w:spacing w:before="240" w:after="60"/>
      <w:ind w:left="900" w:hanging="900"/>
    </w:pPr>
    <w:rPr>
      <w:rFonts w:eastAsia="MS Mincho"/>
      <w:b/>
      <w:bCs/>
      <w:sz w:val="24"/>
      <w:szCs w:val="26"/>
      <w:lang w:eastAsia="ko-KR"/>
    </w:rPr>
  </w:style>
  <w:style w:type="character" w:styleId="UnresolvedMention">
    <w:name w:val="Unresolved Mention"/>
    <w:basedOn w:val="DefaultParagraphFont"/>
    <w:uiPriority w:val="99"/>
    <w:unhideWhenUsed/>
    <w:rsid w:val="007D2333"/>
    <w:rPr>
      <w:color w:val="605E5C"/>
      <w:shd w:val="clear" w:color="auto" w:fill="E1DFDD"/>
    </w:rPr>
  </w:style>
  <w:style w:type="character" w:customStyle="1" w:styleId="eop">
    <w:name w:val="eop"/>
    <w:basedOn w:val="DefaultParagraphFont"/>
    <w:qFormat/>
    <w:rsid w:val="007D2333"/>
  </w:style>
  <w:style w:type="character" w:customStyle="1" w:styleId="normaltextrun">
    <w:name w:val="normaltextrun"/>
    <w:basedOn w:val="DefaultParagraphFont"/>
    <w:qFormat/>
    <w:rsid w:val="007D2333"/>
  </w:style>
  <w:style w:type="table" w:customStyle="1" w:styleId="TableGrid30">
    <w:name w:val="Table Grid30"/>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格格線110"/>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格線118"/>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网格型3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表格格線128"/>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网格型3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表格格線13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表格格線1117"/>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表格格線121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表格格線112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表格格線1226"/>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网格型3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5">
    <w:name w:val="Table Grid45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表格格線15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表格格線113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网格型3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5">
    <w:name w:val="Table Grid423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表格格線123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3">
    <w:name w:val="Table Grid1313"/>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网格型3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5"/>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网格型3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3">
    <w:name w:val="Table Grid421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网格型11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3">
    <w:name w:val="网格型3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
    <w:name w:val="表格格線14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网格型3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3">
    <w:name w:val="网格型41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
    <w:name w:val="Table Grid412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3">
    <w:name w:val="Tabellengitternetz1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3">
    <w:name w:val="Tabellengitternetz2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3">
    <w:name w:val="Tabellengitternetz3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3">
    <w:name w:val="Tabellengitternetz4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3">
    <w:name w:val="Tabellengitternetz5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3">
    <w:name w:val="Tabellengitternetz6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3">
    <w:name w:val="Tabellengitternetz7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3">
    <w:name w:val="Tabellengitternetz8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3">
    <w:name w:val="Tabellengitternetz92213"/>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3">
    <w:name w:val="Table Grid32213"/>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3">
    <w:name w:val="网格型3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3">
    <w:name w:val="网格型42213"/>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3">
    <w:name w:val="Table Grid42213"/>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3"/>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网格型123"/>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4"/>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0">
    <w:name w:val="表格格線114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1">
    <w:name w:val="Tabellengitternetz1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1">
    <w:name w:val="Tabellengitternetz2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1">
    <w:name w:val="Tabellengitternetz3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1">
    <w:name w:val="Tabellengitternetz4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1">
    <w:name w:val="Tabellengitternetz5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1">
    <w:name w:val="Tabellengitternetz6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1">
    <w:name w:val="Tabellengitternetz7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1">
    <w:name w:val="Tabellengitternetz8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1">
    <w:name w:val="Tabellengitternetz924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1">
    <w:name w:val="Table Grid324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网格型3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网格型424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
    <w:name w:val="Table Grid424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表格格線124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1">
    <w:name w:val="Tabellengitternetz1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1">
    <w:name w:val="Tabellengitternetz2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1">
    <w:name w:val="Tabellengitternetz3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1">
    <w:name w:val="Tabellengitternetz4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1">
    <w:name w:val="Tabellengitternetz5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1">
    <w:name w:val="Tabellengitternetz6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1">
    <w:name w:val="Tabellengitternetz7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1">
    <w:name w:val="Tabellengitternetz8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1">
    <w:name w:val="Tabellengitternetz9113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
    <w:name w:val="Table Grid2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
    <w:name w:val="Table Grid3113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网格型3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网格型4113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表格格線1113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1">
    <w:name w:val="Tabellengitternetz1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1">
    <w:name w:val="Tabellengitternetz2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1">
    <w:name w:val="Tabellengitternetz3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1">
    <w:name w:val="Tabellengitternetz4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1">
    <w:name w:val="Tabellengitternetz5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1">
    <w:name w:val="Tabellengitternetz6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1">
    <w:name w:val="Tabellengitternetz7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1">
    <w:name w:val="Tabellengitternetz8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1">
    <w:name w:val="Tabellengitternetz9111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
    <w:name w:val="Table Grid2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
    <w:name w:val="Table Grid3111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网格型3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网格型4111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
    <w:name w:val="Table Grid4111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表格格線1111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39"/>
    <w:rsid w:val="007D233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1">
    <w:name w:val="Tabellengitternetz1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1">
    <w:name w:val="Tabellengitternetz2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1">
    <w:name w:val="Tabellengitternetz3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1">
    <w:name w:val="Tabellengitternetz4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1">
    <w:name w:val="Tabellengitternetz5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1">
    <w:name w:val="Tabellengitternetz6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1">
    <w:name w:val="Tabellengitternetz7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1">
    <w:name w:val="Tabellengitternetz8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1">
    <w:name w:val="Tabellengitternetz95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
    <w:name w:val="Table Grid2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1">
    <w:name w:val="Table Grid45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表格格線15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39"/>
    <w:rsid w:val="007D2333"/>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rsid w:val="007D2333"/>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
    <w:name w:val="Tabellengitternetz1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
    <w:name w:val="Tabellengitternetz2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
    <w:name w:val="Tabellengitternetz3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
    <w:name w:val="Tabellengitternetz4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
    <w:name w:val="Tabellengitternetz5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
    <w:name w:val="Tabellengitternetz6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
    <w:name w:val="Tabellengitternetz7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
    <w:name w:val="Tabellengitternetz8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
    <w:name w:val="Tabellengitternetz91311"/>
    <w:basedOn w:val="TableNormal"/>
    <w:next w:val="TableGrid"/>
    <w:rsid w:val="007D233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1">
    <w:name w:val="Table Grid2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1">
    <w:name w:val="Table Grid31311"/>
    <w:basedOn w:val="TableNormal"/>
    <w:next w:val="TableGrid"/>
    <w:rsid w:val="007D233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网格型41311"/>
    <w:basedOn w:val="TableNormal"/>
    <w:next w:val="TableGrid"/>
    <w:rsid w:val="007D233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
    <w:name w:val="Table Grid41311"/>
    <w:basedOn w:val="TableNormal"/>
    <w:next w:val="TableGrid"/>
    <w:rsid w:val="007D2333"/>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表格格線11311"/>
    <w:basedOn w:val="TableNormal"/>
    <w:next w:val="TableGrid"/>
    <w:rsid w:val="007D233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2">
    <w:name w:val="Intense Quote2"/>
    <w:basedOn w:val="Normal"/>
    <w:next w:val="Normal"/>
    <w:uiPriority w:val="30"/>
    <w:qFormat/>
    <w:rsid w:val="00524B77"/>
    <w:pPr>
      <w:pBdr>
        <w:top w:val="single" w:sz="4" w:space="10" w:color="4472C4"/>
        <w:bottom w:val="single" w:sz="4" w:space="10" w:color="4472C4"/>
      </w:pBdr>
      <w:overflowPunct/>
      <w:autoSpaceDE/>
      <w:autoSpaceDN/>
      <w:adjustRightInd/>
      <w:spacing w:before="360" w:after="360"/>
      <w:ind w:left="864" w:right="864"/>
      <w:jc w:val="center"/>
      <w:textAlignment w:val="auto"/>
    </w:pPr>
    <w:rPr>
      <w:rFonts w:ascii="CG Times (WN)" w:hAnsi="CG Times (WN)"/>
      <w:i/>
      <w:iCs/>
      <w:color w:val="5B9BD5"/>
      <w:lang w:val="fr-FR" w:eastAsia="en-US"/>
    </w:rPr>
  </w:style>
  <w:style w:type="paragraph" w:customStyle="1" w:styleId="CharChar3CharCharCharCharCharChar">
    <w:name w:val="Char Char3 Char Char Char Char Char Char"/>
    <w:semiHidden/>
    <w:rsid w:val="00060B2A"/>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greement">
    <w:name w:val="Agreement"/>
    <w:basedOn w:val="Normal"/>
    <w:next w:val="Doc-text2"/>
    <w:rsid w:val="00060B2A"/>
    <w:pPr>
      <w:numPr>
        <w:numId w:val="38"/>
      </w:numPr>
      <w:overflowPunct/>
      <w:autoSpaceDE/>
      <w:autoSpaceDN/>
      <w:adjustRightInd/>
      <w:spacing w:before="60" w:after="0"/>
      <w:textAlignment w:val="auto"/>
    </w:pPr>
    <w:rPr>
      <w:rFonts w:ascii="Arial" w:eastAsia="MS Mincho" w:hAnsi="Arial"/>
      <w:b/>
      <w:szCs w:val="24"/>
    </w:rPr>
  </w:style>
  <w:style w:type="table" w:styleId="GridTable1Light">
    <w:name w:val="Grid Table 1 Light"/>
    <w:basedOn w:val="TableNormal"/>
    <w:uiPriority w:val="46"/>
    <w:rsid w:val="00060B2A"/>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GPPAgreements">
    <w:name w:val="3GPP Agreements"/>
    <w:basedOn w:val="Normal"/>
    <w:link w:val="3GPPAgreementsChar"/>
    <w:qFormat/>
    <w:rsid w:val="00060B2A"/>
    <w:pPr>
      <w:numPr>
        <w:numId w:val="39"/>
      </w:numPr>
      <w:spacing w:before="60" w:after="60"/>
      <w:jc w:val="both"/>
    </w:pPr>
    <w:rPr>
      <w:rFonts w:eastAsia="SimSun"/>
      <w:lang w:val="en-US" w:eastAsia="zh-CN"/>
    </w:rPr>
  </w:style>
  <w:style w:type="character" w:customStyle="1" w:styleId="3GPPAgreementsChar">
    <w:name w:val="3GPP Agreements Char"/>
    <w:link w:val="3GPPAgreements"/>
    <w:qFormat/>
    <w:rsid w:val="00060B2A"/>
    <w:rPr>
      <w:lang w:val="en-US" w:eastAsia="zh-CN"/>
    </w:rPr>
  </w:style>
  <w:style w:type="paragraph" w:customStyle="1" w:styleId="LGTdoc">
    <w:name w:val="LGTdoc_본문"/>
    <w:basedOn w:val="Normal"/>
    <w:link w:val="LGTdocChar"/>
    <w:qFormat/>
    <w:rsid w:val="00060B2A"/>
    <w:pPr>
      <w:widowControl w:val="0"/>
      <w:overflowPunct/>
      <w:snapToGrid w:val="0"/>
      <w:spacing w:afterLines="50" w:after="0" w:line="264" w:lineRule="auto"/>
      <w:jc w:val="both"/>
      <w:textAlignment w:val="auto"/>
    </w:pPr>
    <w:rPr>
      <w:rFonts w:eastAsia="Batang"/>
      <w:kern w:val="2"/>
      <w:sz w:val="22"/>
      <w:szCs w:val="24"/>
      <w:lang w:eastAsia="ko-KR"/>
    </w:rPr>
  </w:style>
  <w:style w:type="character" w:customStyle="1" w:styleId="LGTdocChar">
    <w:name w:val="LGTdoc_본문 Char"/>
    <w:link w:val="LGTdoc"/>
    <w:qFormat/>
    <w:rsid w:val="00060B2A"/>
    <w:rPr>
      <w:rFonts w:eastAsia="Batang"/>
      <w:kern w:val="2"/>
      <w:sz w:val="22"/>
      <w:szCs w:val="24"/>
    </w:rPr>
  </w:style>
  <w:style w:type="character" w:customStyle="1" w:styleId="B12">
    <w:name w:val="B1 (文字)"/>
    <w:uiPriority w:val="99"/>
    <w:qFormat/>
    <w:locked/>
    <w:rsid w:val="00060B2A"/>
    <w:rPr>
      <w:rFonts w:ascii="Times New Roman" w:eastAsia="Times New Roman" w:hAnsi="Times New Roman"/>
      <w:lang w:eastAsia="en-US"/>
    </w:rPr>
  </w:style>
  <w:style w:type="character" w:customStyle="1" w:styleId="EditorsNoteCarCar">
    <w:name w:val="Editor's Note Car Car"/>
    <w:rsid w:val="00060B2A"/>
    <w:rPr>
      <w:rFonts w:ascii="Times New Roman" w:hAnsi="Times New Roman"/>
      <w:color w:val="FF0000"/>
      <w:lang w:val="en-GB" w:eastAsia="en-US"/>
    </w:rPr>
  </w:style>
  <w:style w:type="character" w:customStyle="1" w:styleId="PRSChar">
    <w:name w:val="PRS Char"/>
    <w:aliases w:val="Heading 3 3GPP Char2,Underrubrik2 Char5,H3 Char5,Memo Heading 3 Char5,h3 Char5,no break Char5,Heading 3 Char1 Char Char2,Heading 3 Char Char Char Char2,Heading 3 Char1 Char Char Char Char2,Heading 3 Char Char Char Char Char Char2,0H Char5"/>
    <w:basedOn w:val="DefaultParagraphFont"/>
    <w:qFormat/>
    <w:rsid w:val="00060B2A"/>
    <w:rPr>
      <w:rFonts w:asciiTheme="majorHAnsi" w:eastAsiaTheme="majorEastAsia" w:hAnsiTheme="majorHAnsi" w:cstheme="majorBidi"/>
      <w:color w:val="1F3763" w:themeColor="accent1" w:themeShade="7F"/>
      <w:sz w:val="24"/>
      <w:szCs w:val="24"/>
      <w:lang w:val="en-GB" w:eastAsia="en-US"/>
    </w:rPr>
  </w:style>
  <w:style w:type="character" w:customStyle="1" w:styleId="1f0">
    <w:name w:val="未处理的提及1"/>
    <w:basedOn w:val="DefaultParagraphFont"/>
    <w:uiPriority w:val="52"/>
    <w:unhideWhenUsed/>
    <w:rsid w:val="00060B2A"/>
    <w:rPr>
      <w:color w:val="605E5C"/>
      <w:shd w:val="clear" w:color="auto" w:fill="E1DFDD"/>
    </w:rPr>
  </w:style>
  <w:style w:type="character" w:customStyle="1" w:styleId="UnresolvedMention2">
    <w:name w:val="Unresolved Mention2"/>
    <w:basedOn w:val="DefaultParagraphFont"/>
    <w:uiPriority w:val="99"/>
    <w:unhideWhenUsed/>
    <w:rsid w:val="00060B2A"/>
    <w:rPr>
      <w:color w:val="605E5C"/>
      <w:shd w:val="clear" w:color="auto" w:fill="E1DFDD"/>
    </w:rPr>
  </w:style>
  <w:style w:type="paragraph" w:customStyle="1" w:styleId="CH">
    <w:name w:val="CH"/>
    <w:basedOn w:val="Normal"/>
    <w:rsid w:val="00060B2A"/>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qFormat/>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uiPriority w:val="39"/>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网格型3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表格格線129"/>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TableNormal"/>
    <w:next w:val="TableGrid"/>
    <w:rsid w:val="00060B2A"/>
    <w:pPr>
      <w:spacing w:after="180"/>
    </w:pPr>
    <w:rPr>
      <w:rFonts w:ascii="Tms Rmn" w:eastAsia="MS Mincho"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8">
    <w:name w:val="Table Grid1128"/>
    <w:basedOn w:val="TableNormal"/>
    <w:next w:val="TableGrid"/>
    <w:uiPriority w:val="39"/>
    <w:rsid w:val="00060B2A"/>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060B2A"/>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060B2A"/>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060B2A"/>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060B2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表格格線1118"/>
    <w:basedOn w:val="TableNormal"/>
    <w:next w:val="TableGrid"/>
    <w:rsid w:val="00060B2A"/>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表格格線13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表格格線121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060B2A"/>
    <w:rPr>
      <w:rFonts w:ascii="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060B2A"/>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060B2A"/>
    <w:pPr>
      <w:overflowPunct w:val="0"/>
      <w:autoSpaceDE w:val="0"/>
      <w:autoSpaceDN w:val="0"/>
      <w:adjustRightInd w:val="0"/>
      <w:spacing w:after="180"/>
    </w:pPr>
    <w:rPr>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060B2A"/>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表格格線1127"/>
    <w:basedOn w:val="TableNormal"/>
    <w:rsid w:val="00060B2A"/>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060B2A"/>
    <w:pPr>
      <w:spacing w:after="180"/>
    </w:pPr>
    <w:rPr>
      <w:rFonts w:ascii="Tms Rmn" w:eastAsia="MS Mincho" w:hAnsi="Tms Rm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060B2A"/>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060B2A"/>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907">
      <w:bodyDiv w:val="1"/>
      <w:marLeft w:val="0"/>
      <w:marRight w:val="0"/>
      <w:marTop w:val="0"/>
      <w:marBottom w:val="0"/>
      <w:divBdr>
        <w:top w:val="none" w:sz="0" w:space="0" w:color="auto"/>
        <w:left w:val="none" w:sz="0" w:space="0" w:color="auto"/>
        <w:bottom w:val="none" w:sz="0" w:space="0" w:color="auto"/>
        <w:right w:val="none" w:sz="0" w:space="0" w:color="auto"/>
      </w:divBdr>
    </w:div>
    <w:div w:id="47920565">
      <w:bodyDiv w:val="1"/>
      <w:marLeft w:val="0"/>
      <w:marRight w:val="0"/>
      <w:marTop w:val="0"/>
      <w:marBottom w:val="0"/>
      <w:divBdr>
        <w:top w:val="none" w:sz="0" w:space="0" w:color="auto"/>
        <w:left w:val="none" w:sz="0" w:space="0" w:color="auto"/>
        <w:bottom w:val="none" w:sz="0" w:space="0" w:color="auto"/>
        <w:right w:val="none" w:sz="0" w:space="0" w:color="auto"/>
      </w:divBdr>
    </w:div>
    <w:div w:id="71395307">
      <w:bodyDiv w:val="1"/>
      <w:marLeft w:val="0"/>
      <w:marRight w:val="0"/>
      <w:marTop w:val="0"/>
      <w:marBottom w:val="0"/>
      <w:divBdr>
        <w:top w:val="none" w:sz="0" w:space="0" w:color="auto"/>
        <w:left w:val="none" w:sz="0" w:space="0" w:color="auto"/>
        <w:bottom w:val="none" w:sz="0" w:space="0" w:color="auto"/>
        <w:right w:val="none" w:sz="0" w:space="0" w:color="auto"/>
      </w:divBdr>
    </w:div>
    <w:div w:id="78449348">
      <w:bodyDiv w:val="1"/>
      <w:marLeft w:val="0"/>
      <w:marRight w:val="0"/>
      <w:marTop w:val="0"/>
      <w:marBottom w:val="0"/>
      <w:divBdr>
        <w:top w:val="none" w:sz="0" w:space="0" w:color="auto"/>
        <w:left w:val="none" w:sz="0" w:space="0" w:color="auto"/>
        <w:bottom w:val="none" w:sz="0" w:space="0" w:color="auto"/>
        <w:right w:val="none" w:sz="0" w:space="0" w:color="auto"/>
      </w:divBdr>
    </w:div>
    <w:div w:id="92634114">
      <w:bodyDiv w:val="1"/>
      <w:marLeft w:val="0"/>
      <w:marRight w:val="0"/>
      <w:marTop w:val="0"/>
      <w:marBottom w:val="0"/>
      <w:divBdr>
        <w:top w:val="none" w:sz="0" w:space="0" w:color="auto"/>
        <w:left w:val="none" w:sz="0" w:space="0" w:color="auto"/>
        <w:bottom w:val="none" w:sz="0" w:space="0" w:color="auto"/>
        <w:right w:val="none" w:sz="0" w:space="0" w:color="auto"/>
      </w:divBdr>
    </w:div>
    <w:div w:id="173961717">
      <w:bodyDiv w:val="1"/>
      <w:marLeft w:val="0"/>
      <w:marRight w:val="0"/>
      <w:marTop w:val="0"/>
      <w:marBottom w:val="0"/>
      <w:divBdr>
        <w:top w:val="none" w:sz="0" w:space="0" w:color="auto"/>
        <w:left w:val="none" w:sz="0" w:space="0" w:color="auto"/>
        <w:bottom w:val="none" w:sz="0" w:space="0" w:color="auto"/>
        <w:right w:val="none" w:sz="0" w:space="0" w:color="auto"/>
      </w:divBdr>
    </w:div>
    <w:div w:id="320500397">
      <w:bodyDiv w:val="1"/>
      <w:marLeft w:val="0"/>
      <w:marRight w:val="0"/>
      <w:marTop w:val="0"/>
      <w:marBottom w:val="0"/>
      <w:divBdr>
        <w:top w:val="none" w:sz="0" w:space="0" w:color="auto"/>
        <w:left w:val="none" w:sz="0" w:space="0" w:color="auto"/>
        <w:bottom w:val="none" w:sz="0" w:space="0" w:color="auto"/>
        <w:right w:val="none" w:sz="0" w:space="0" w:color="auto"/>
      </w:divBdr>
    </w:div>
    <w:div w:id="353456534">
      <w:bodyDiv w:val="1"/>
      <w:marLeft w:val="0"/>
      <w:marRight w:val="0"/>
      <w:marTop w:val="0"/>
      <w:marBottom w:val="0"/>
      <w:divBdr>
        <w:top w:val="none" w:sz="0" w:space="0" w:color="auto"/>
        <w:left w:val="none" w:sz="0" w:space="0" w:color="auto"/>
        <w:bottom w:val="none" w:sz="0" w:space="0" w:color="auto"/>
        <w:right w:val="none" w:sz="0" w:space="0" w:color="auto"/>
      </w:divBdr>
    </w:div>
    <w:div w:id="404454830">
      <w:bodyDiv w:val="1"/>
      <w:marLeft w:val="0"/>
      <w:marRight w:val="0"/>
      <w:marTop w:val="0"/>
      <w:marBottom w:val="0"/>
      <w:divBdr>
        <w:top w:val="none" w:sz="0" w:space="0" w:color="auto"/>
        <w:left w:val="none" w:sz="0" w:space="0" w:color="auto"/>
        <w:bottom w:val="none" w:sz="0" w:space="0" w:color="auto"/>
        <w:right w:val="none" w:sz="0" w:space="0" w:color="auto"/>
      </w:divBdr>
    </w:div>
    <w:div w:id="562253524">
      <w:bodyDiv w:val="1"/>
      <w:marLeft w:val="0"/>
      <w:marRight w:val="0"/>
      <w:marTop w:val="0"/>
      <w:marBottom w:val="0"/>
      <w:divBdr>
        <w:top w:val="none" w:sz="0" w:space="0" w:color="auto"/>
        <w:left w:val="none" w:sz="0" w:space="0" w:color="auto"/>
        <w:bottom w:val="none" w:sz="0" w:space="0" w:color="auto"/>
        <w:right w:val="none" w:sz="0" w:space="0" w:color="auto"/>
      </w:divBdr>
    </w:div>
    <w:div w:id="581139237">
      <w:bodyDiv w:val="1"/>
      <w:marLeft w:val="0"/>
      <w:marRight w:val="0"/>
      <w:marTop w:val="0"/>
      <w:marBottom w:val="0"/>
      <w:divBdr>
        <w:top w:val="none" w:sz="0" w:space="0" w:color="auto"/>
        <w:left w:val="none" w:sz="0" w:space="0" w:color="auto"/>
        <w:bottom w:val="none" w:sz="0" w:space="0" w:color="auto"/>
        <w:right w:val="none" w:sz="0" w:space="0" w:color="auto"/>
      </w:divBdr>
    </w:div>
    <w:div w:id="692075868">
      <w:bodyDiv w:val="1"/>
      <w:marLeft w:val="0"/>
      <w:marRight w:val="0"/>
      <w:marTop w:val="0"/>
      <w:marBottom w:val="0"/>
      <w:divBdr>
        <w:top w:val="none" w:sz="0" w:space="0" w:color="auto"/>
        <w:left w:val="none" w:sz="0" w:space="0" w:color="auto"/>
        <w:bottom w:val="none" w:sz="0" w:space="0" w:color="auto"/>
        <w:right w:val="none" w:sz="0" w:space="0" w:color="auto"/>
      </w:divBdr>
    </w:div>
    <w:div w:id="748231616">
      <w:bodyDiv w:val="1"/>
      <w:marLeft w:val="0"/>
      <w:marRight w:val="0"/>
      <w:marTop w:val="0"/>
      <w:marBottom w:val="0"/>
      <w:divBdr>
        <w:top w:val="none" w:sz="0" w:space="0" w:color="auto"/>
        <w:left w:val="none" w:sz="0" w:space="0" w:color="auto"/>
        <w:bottom w:val="none" w:sz="0" w:space="0" w:color="auto"/>
        <w:right w:val="none" w:sz="0" w:space="0" w:color="auto"/>
      </w:divBdr>
    </w:div>
    <w:div w:id="778375387">
      <w:bodyDiv w:val="1"/>
      <w:marLeft w:val="0"/>
      <w:marRight w:val="0"/>
      <w:marTop w:val="0"/>
      <w:marBottom w:val="0"/>
      <w:divBdr>
        <w:top w:val="none" w:sz="0" w:space="0" w:color="auto"/>
        <w:left w:val="none" w:sz="0" w:space="0" w:color="auto"/>
        <w:bottom w:val="none" w:sz="0" w:space="0" w:color="auto"/>
        <w:right w:val="none" w:sz="0" w:space="0" w:color="auto"/>
      </w:divBdr>
    </w:div>
    <w:div w:id="874192642">
      <w:bodyDiv w:val="1"/>
      <w:marLeft w:val="0"/>
      <w:marRight w:val="0"/>
      <w:marTop w:val="0"/>
      <w:marBottom w:val="0"/>
      <w:divBdr>
        <w:top w:val="none" w:sz="0" w:space="0" w:color="auto"/>
        <w:left w:val="none" w:sz="0" w:space="0" w:color="auto"/>
        <w:bottom w:val="none" w:sz="0" w:space="0" w:color="auto"/>
        <w:right w:val="none" w:sz="0" w:space="0" w:color="auto"/>
      </w:divBdr>
    </w:div>
    <w:div w:id="907610769">
      <w:bodyDiv w:val="1"/>
      <w:marLeft w:val="0"/>
      <w:marRight w:val="0"/>
      <w:marTop w:val="0"/>
      <w:marBottom w:val="0"/>
      <w:divBdr>
        <w:top w:val="none" w:sz="0" w:space="0" w:color="auto"/>
        <w:left w:val="none" w:sz="0" w:space="0" w:color="auto"/>
        <w:bottom w:val="none" w:sz="0" w:space="0" w:color="auto"/>
        <w:right w:val="none" w:sz="0" w:space="0" w:color="auto"/>
      </w:divBdr>
    </w:div>
    <w:div w:id="994258283">
      <w:bodyDiv w:val="1"/>
      <w:marLeft w:val="0"/>
      <w:marRight w:val="0"/>
      <w:marTop w:val="0"/>
      <w:marBottom w:val="0"/>
      <w:divBdr>
        <w:top w:val="none" w:sz="0" w:space="0" w:color="auto"/>
        <w:left w:val="none" w:sz="0" w:space="0" w:color="auto"/>
        <w:bottom w:val="none" w:sz="0" w:space="0" w:color="auto"/>
        <w:right w:val="none" w:sz="0" w:space="0" w:color="auto"/>
      </w:divBdr>
    </w:div>
    <w:div w:id="1010377428">
      <w:bodyDiv w:val="1"/>
      <w:marLeft w:val="0"/>
      <w:marRight w:val="0"/>
      <w:marTop w:val="0"/>
      <w:marBottom w:val="0"/>
      <w:divBdr>
        <w:top w:val="none" w:sz="0" w:space="0" w:color="auto"/>
        <w:left w:val="none" w:sz="0" w:space="0" w:color="auto"/>
        <w:bottom w:val="none" w:sz="0" w:space="0" w:color="auto"/>
        <w:right w:val="none" w:sz="0" w:space="0" w:color="auto"/>
      </w:divBdr>
    </w:div>
    <w:div w:id="1051029944">
      <w:bodyDiv w:val="1"/>
      <w:marLeft w:val="0"/>
      <w:marRight w:val="0"/>
      <w:marTop w:val="0"/>
      <w:marBottom w:val="0"/>
      <w:divBdr>
        <w:top w:val="none" w:sz="0" w:space="0" w:color="auto"/>
        <w:left w:val="none" w:sz="0" w:space="0" w:color="auto"/>
        <w:bottom w:val="none" w:sz="0" w:space="0" w:color="auto"/>
        <w:right w:val="none" w:sz="0" w:space="0" w:color="auto"/>
      </w:divBdr>
    </w:div>
    <w:div w:id="1053384415">
      <w:bodyDiv w:val="1"/>
      <w:marLeft w:val="0"/>
      <w:marRight w:val="0"/>
      <w:marTop w:val="0"/>
      <w:marBottom w:val="0"/>
      <w:divBdr>
        <w:top w:val="none" w:sz="0" w:space="0" w:color="auto"/>
        <w:left w:val="none" w:sz="0" w:space="0" w:color="auto"/>
        <w:bottom w:val="none" w:sz="0" w:space="0" w:color="auto"/>
        <w:right w:val="none" w:sz="0" w:space="0" w:color="auto"/>
      </w:divBdr>
    </w:div>
    <w:div w:id="1082528193">
      <w:bodyDiv w:val="1"/>
      <w:marLeft w:val="0"/>
      <w:marRight w:val="0"/>
      <w:marTop w:val="0"/>
      <w:marBottom w:val="0"/>
      <w:divBdr>
        <w:top w:val="none" w:sz="0" w:space="0" w:color="auto"/>
        <w:left w:val="none" w:sz="0" w:space="0" w:color="auto"/>
        <w:bottom w:val="none" w:sz="0" w:space="0" w:color="auto"/>
        <w:right w:val="none" w:sz="0" w:space="0" w:color="auto"/>
      </w:divBdr>
    </w:div>
    <w:div w:id="1102844738">
      <w:bodyDiv w:val="1"/>
      <w:marLeft w:val="0"/>
      <w:marRight w:val="0"/>
      <w:marTop w:val="0"/>
      <w:marBottom w:val="0"/>
      <w:divBdr>
        <w:top w:val="none" w:sz="0" w:space="0" w:color="auto"/>
        <w:left w:val="none" w:sz="0" w:space="0" w:color="auto"/>
        <w:bottom w:val="none" w:sz="0" w:space="0" w:color="auto"/>
        <w:right w:val="none" w:sz="0" w:space="0" w:color="auto"/>
      </w:divBdr>
    </w:div>
    <w:div w:id="1106657948">
      <w:bodyDiv w:val="1"/>
      <w:marLeft w:val="0"/>
      <w:marRight w:val="0"/>
      <w:marTop w:val="0"/>
      <w:marBottom w:val="0"/>
      <w:divBdr>
        <w:top w:val="none" w:sz="0" w:space="0" w:color="auto"/>
        <w:left w:val="none" w:sz="0" w:space="0" w:color="auto"/>
        <w:bottom w:val="none" w:sz="0" w:space="0" w:color="auto"/>
        <w:right w:val="none" w:sz="0" w:space="0" w:color="auto"/>
      </w:divBdr>
    </w:div>
    <w:div w:id="1126196449">
      <w:bodyDiv w:val="1"/>
      <w:marLeft w:val="0"/>
      <w:marRight w:val="0"/>
      <w:marTop w:val="0"/>
      <w:marBottom w:val="0"/>
      <w:divBdr>
        <w:top w:val="none" w:sz="0" w:space="0" w:color="auto"/>
        <w:left w:val="none" w:sz="0" w:space="0" w:color="auto"/>
        <w:bottom w:val="none" w:sz="0" w:space="0" w:color="auto"/>
        <w:right w:val="none" w:sz="0" w:space="0" w:color="auto"/>
      </w:divBdr>
    </w:div>
    <w:div w:id="1136996915">
      <w:bodyDiv w:val="1"/>
      <w:marLeft w:val="0"/>
      <w:marRight w:val="0"/>
      <w:marTop w:val="0"/>
      <w:marBottom w:val="0"/>
      <w:divBdr>
        <w:top w:val="none" w:sz="0" w:space="0" w:color="auto"/>
        <w:left w:val="none" w:sz="0" w:space="0" w:color="auto"/>
        <w:bottom w:val="none" w:sz="0" w:space="0" w:color="auto"/>
        <w:right w:val="none" w:sz="0" w:space="0" w:color="auto"/>
      </w:divBdr>
    </w:div>
    <w:div w:id="1195386448">
      <w:bodyDiv w:val="1"/>
      <w:marLeft w:val="0"/>
      <w:marRight w:val="0"/>
      <w:marTop w:val="0"/>
      <w:marBottom w:val="0"/>
      <w:divBdr>
        <w:top w:val="none" w:sz="0" w:space="0" w:color="auto"/>
        <w:left w:val="none" w:sz="0" w:space="0" w:color="auto"/>
        <w:bottom w:val="none" w:sz="0" w:space="0" w:color="auto"/>
        <w:right w:val="none" w:sz="0" w:space="0" w:color="auto"/>
      </w:divBdr>
    </w:div>
    <w:div w:id="1195509168">
      <w:bodyDiv w:val="1"/>
      <w:marLeft w:val="0"/>
      <w:marRight w:val="0"/>
      <w:marTop w:val="0"/>
      <w:marBottom w:val="0"/>
      <w:divBdr>
        <w:top w:val="none" w:sz="0" w:space="0" w:color="auto"/>
        <w:left w:val="none" w:sz="0" w:space="0" w:color="auto"/>
        <w:bottom w:val="none" w:sz="0" w:space="0" w:color="auto"/>
        <w:right w:val="none" w:sz="0" w:space="0" w:color="auto"/>
      </w:divBdr>
    </w:div>
    <w:div w:id="1249584483">
      <w:bodyDiv w:val="1"/>
      <w:marLeft w:val="0"/>
      <w:marRight w:val="0"/>
      <w:marTop w:val="0"/>
      <w:marBottom w:val="0"/>
      <w:divBdr>
        <w:top w:val="none" w:sz="0" w:space="0" w:color="auto"/>
        <w:left w:val="none" w:sz="0" w:space="0" w:color="auto"/>
        <w:bottom w:val="none" w:sz="0" w:space="0" w:color="auto"/>
        <w:right w:val="none" w:sz="0" w:space="0" w:color="auto"/>
      </w:divBdr>
    </w:div>
    <w:div w:id="1282616935">
      <w:bodyDiv w:val="1"/>
      <w:marLeft w:val="0"/>
      <w:marRight w:val="0"/>
      <w:marTop w:val="0"/>
      <w:marBottom w:val="0"/>
      <w:divBdr>
        <w:top w:val="none" w:sz="0" w:space="0" w:color="auto"/>
        <w:left w:val="none" w:sz="0" w:space="0" w:color="auto"/>
        <w:bottom w:val="none" w:sz="0" w:space="0" w:color="auto"/>
        <w:right w:val="none" w:sz="0" w:space="0" w:color="auto"/>
      </w:divBdr>
    </w:div>
    <w:div w:id="1440443864">
      <w:bodyDiv w:val="1"/>
      <w:marLeft w:val="0"/>
      <w:marRight w:val="0"/>
      <w:marTop w:val="0"/>
      <w:marBottom w:val="0"/>
      <w:divBdr>
        <w:top w:val="none" w:sz="0" w:space="0" w:color="auto"/>
        <w:left w:val="none" w:sz="0" w:space="0" w:color="auto"/>
        <w:bottom w:val="none" w:sz="0" w:space="0" w:color="auto"/>
        <w:right w:val="none" w:sz="0" w:space="0" w:color="auto"/>
      </w:divBdr>
    </w:div>
    <w:div w:id="1563786354">
      <w:bodyDiv w:val="1"/>
      <w:marLeft w:val="0"/>
      <w:marRight w:val="0"/>
      <w:marTop w:val="0"/>
      <w:marBottom w:val="0"/>
      <w:divBdr>
        <w:top w:val="none" w:sz="0" w:space="0" w:color="auto"/>
        <w:left w:val="none" w:sz="0" w:space="0" w:color="auto"/>
        <w:bottom w:val="none" w:sz="0" w:space="0" w:color="auto"/>
        <w:right w:val="none" w:sz="0" w:space="0" w:color="auto"/>
      </w:divBdr>
    </w:div>
    <w:div w:id="1574311493">
      <w:bodyDiv w:val="1"/>
      <w:marLeft w:val="0"/>
      <w:marRight w:val="0"/>
      <w:marTop w:val="0"/>
      <w:marBottom w:val="0"/>
      <w:divBdr>
        <w:top w:val="none" w:sz="0" w:space="0" w:color="auto"/>
        <w:left w:val="none" w:sz="0" w:space="0" w:color="auto"/>
        <w:bottom w:val="none" w:sz="0" w:space="0" w:color="auto"/>
        <w:right w:val="none" w:sz="0" w:space="0" w:color="auto"/>
      </w:divBdr>
    </w:div>
    <w:div w:id="1608779429">
      <w:bodyDiv w:val="1"/>
      <w:marLeft w:val="0"/>
      <w:marRight w:val="0"/>
      <w:marTop w:val="0"/>
      <w:marBottom w:val="0"/>
      <w:divBdr>
        <w:top w:val="none" w:sz="0" w:space="0" w:color="auto"/>
        <w:left w:val="none" w:sz="0" w:space="0" w:color="auto"/>
        <w:bottom w:val="none" w:sz="0" w:space="0" w:color="auto"/>
        <w:right w:val="none" w:sz="0" w:space="0" w:color="auto"/>
      </w:divBdr>
    </w:div>
    <w:div w:id="1653101181">
      <w:bodyDiv w:val="1"/>
      <w:marLeft w:val="0"/>
      <w:marRight w:val="0"/>
      <w:marTop w:val="0"/>
      <w:marBottom w:val="0"/>
      <w:divBdr>
        <w:top w:val="none" w:sz="0" w:space="0" w:color="auto"/>
        <w:left w:val="none" w:sz="0" w:space="0" w:color="auto"/>
        <w:bottom w:val="none" w:sz="0" w:space="0" w:color="auto"/>
        <w:right w:val="none" w:sz="0" w:space="0" w:color="auto"/>
      </w:divBdr>
    </w:div>
    <w:div w:id="1656714544">
      <w:bodyDiv w:val="1"/>
      <w:marLeft w:val="0"/>
      <w:marRight w:val="0"/>
      <w:marTop w:val="0"/>
      <w:marBottom w:val="0"/>
      <w:divBdr>
        <w:top w:val="none" w:sz="0" w:space="0" w:color="auto"/>
        <w:left w:val="none" w:sz="0" w:space="0" w:color="auto"/>
        <w:bottom w:val="none" w:sz="0" w:space="0" w:color="auto"/>
        <w:right w:val="none" w:sz="0" w:space="0" w:color="auto"/>
      </w:divBdr>
    </w:div>
    <w:div w:id="1690792555">
      <w:bodyDiv w:val="1"/>
      <w:marLeft w:val="0"/>
      <w:marRight w:val="0"/>
      <w:marTop w:val="0"/>
      <w:marBottom w:val="0"/>
      <w:divBdr>
        <w:top w:val="none" w:sz="0" w:space="0" w:color="auto"/>
        <w:left w:val="none" w:sz="0" w:space="0" w:color="auto"/>
        <w:bottom w:val="none" w:sz="0" w:space="0" w:color="auto"/>
        <w:right w:val="none" w:sz="0" w:space="0" w:color="auto"/>
      </w:divBdr>
    </w:div>
    <w:div w:id="1713381896">
      <w:bodyDiv w:val="1"/>
      <w:marLeft w:val="0"/>
      <w:marRight w:val="0"/>
      <w:marTop w:val="0"/>
      <w:marBottom w:val="0"/>
      <w:divBdr>
        <w:top w:val="none" w:sz="0" w:space="0" w:color="auto"/>
        <w:left w:val="none" w:sz="0" w:space="0" w:color="auto"/>
        <w:bottom w:val="none" w:sz="0" w:space="0" w:color="auto"/>
        <w:right w:val="none" w:sz="0" w:space="0" w:color="auto"/>
      </w:divBdr>
    </w:div>
    <w:div w:id="1847552482">
      <w:bodyDiv w:val="1"/>
      <w:marLeft w:val="0"/>
      <w:marRight w:val="0"/>
      <w:marTop w:val="0"/>
      <w:marBottom w:val="0"/>
      <w:divBdr>
        <w:top w:val="none" w:sz="0" w:space="0" w:color="auto"/>
        <w:left w:val="none" w:sz="0" w:space="0" w:color="auto"/>
        <w:bottom w:val="none" w:sz="0" w:space="0" w:color="auto"/>
        <w:right w:val="none" w:sz="0" w:space="0" w:color="auto"/>
      </w:divBdr>
    </w:div>
    <w:div w:id="1855194488">
      <w:bodyDiv w:val="1"/>
      <w:marLeft w:val="0"/>
      <w:marRight w:val="0"/>
      <w:marTop w:val="0"/>
      <w:marBottom w:val="0"/>
      <w:divBdr>
        <w:top w:val="none" w:sz="0" w:space="0" w:color="auto"/>
        <w:left w:val="none" w:sz="0" w:space="0" w:color="auto"/>
        <w:bottom w:val="none" w:sz="0" w:space="0" w:color="auto"/>
        <w:right w:val="none" w:sz="0" w:space="0" w:color="auto"/>
      </w:divBdr>
    </w:div>
    <w:div w:id="1865941351">
      <w:bodyDiv w:val="1"/>
      <w:marLeft w:val="0"/>
      <w:marRight w:val="0"/>
      <w:marTop w:val="0"/>
      <w:marBottom w:val="0"/>
      <w:divBdr>
        <w:top w:val="none" w:sz="0" w:space="0" w:color="auto"/>
        <w:left w:val="none" w:sz="0" w:space="0" w:color="auto"/>
        <w:bottom w:val="none" w:sz="0" w:space="0" w:color="auto"/>
        <w:right w:val="none" w:sz="0" w:space="0" w:color="auto"/>
      </w:divBdr>
    </w:div>
    <w:div w:id="1980376363">
      <w:bodyDiv w:val="1"/>
      <w:marLeft w:val="0"/>
      <w:marRight w:val="0"/>
      <w:marTop w:val="0"/>
      <w:marBottom w:val="0"/>
      <w:divBdr>
        <w:top w:val="none" w:sz="0" w:space="0" w:color="auto"/>
        <w:left w:val="none" w:sz="0" w:space="0" w:color="auto"/>
        <w:bottom w:val="none" w:sz="0" w:space="0" w:color="auto"/>
        <w:right w:val="none" w:sz="0" w:space="0" w:color="auto"/>
      </w:divBdr>
    </w:div>
    <w:div w:id="1984459730">
      <w:bodyDiv w:val="1"/>
      <w:marLeft w:val="0"/>
      <w:marRight w:val="0"/>
      <w:marTop w:val="0"/>
      <w:marBottom w:val="0"/>
      <w:divBdr>
        <w:top w:val="none" w:sz="0" w:space="0" w:color="auto"/>
        <w:left w:val="none" w:sz="0" w:space="0" w:color="auto"/>
        <w:bottom w:val="none" w:sz="0" w:space="0" w:color="auto"/>
        <w:right w:val="none" w:sz="0" w:space="0" w:color="auto"/>
      </w:divBdr>
    </w:div>
    <w:div w:id="1995529944">
      <w:bodyDiv w:val="1"/>
      <w:marLeft w:val="0"/>
      <w:marRight w:val="0"/>
      <w:marTop w:val="0"/>
      <w:marBottom w:val="0"/>
      <w:divBdr>
        <w:top w:val="none" w:sz="0" w:space="0" w:color="auto"/>
        <w:left w:val="none" w:sz="0" w:space="0" w:color="auto"/>
        <w:bottom w:val="none" w:sz="0" w:space="0" w:color="auto"/>
        <w:right w:val="none" w:sz="0" w:space="0" w:color="auto"/>
      </w:divBdr>
    </w:div>
    <w:div w:id="2004502582">
      <w:bodyDiv w:val="1"/>
      <w:marLeft w:val="0"/>
      <w:marRight w:val="0"/>
      <w:marTop w:val="0"/>
      <w:marBottom w:val="0"/>
      <w:divBdr>
        <w:top w:val="none" w:sz="0" w:space="0" w:color="auto"/>
        <w:left w:val="none" w:sz="0" w:space="0" w:color="auto"/>
        <w:bottom w:val="none" w:sz="0" w:space="0" w:color="auto"/>
        <w:right w:val="none" w:sz="0" w:space="0" w:color="auto"/>
      </w:divBdr>
    </w:div>
    <w:div w:id="2009940689">
      <w:bodyDiv w:val="1"/>
      <w:marLeft w:val="0"/>
      <w:marRight w:val="0"/>
      <w:marTop w:val="0"/>
      <w:marBottom w:val="0"/>
      <w:divBdr>
        <w:top w:val="none" w:sz="0" w:space="0" w:color="auto"/>
        <w:left w:val="none" w:sz="0" w:space="0" w:color="auto"/>
        <w:bottom w:val="none" w:sz="0" w:space="0" w:color="auto"/>
        <w:right w:val="none" w:sz="0" w:space="0" w:color="auto"/>
      </w:divBdr>
    </w:div>
    <w:div w:id="2086148568">
      <w:bodyDiv w:val="1"/>
      <w:marLeft w:val="0"/>
      <w:marRight w:val="0"/>
      <w:marTop w:val="0"/>
      <w:marBottom w:val="0"/>
      <w:divBdr>
        <w:top w:val="none" w:sz="0" w:space="0" w:color="auto"/>
        <w:left w:val="none" w:sz="0" w:space="0" w:color="auto"/>
        <w:bottom w:val="none" w:sz="0" w:space="0" w:color="auto"/>
        <w:right w:val="none" w:sz="0" w:space="0" w:color="auto"/>
      </w:divBdr>
    </w:div>
    <w:div w:id="214580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A727F-8C0E-4A64-8ADA-6B362F37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788</TotalTime>
  <Pages>6</Pages>
  <Words>55263</Words>
  <Characters>315003</Characters>
  <Application>Microsoft Office Word</Application>
  <DocSecurity>0</DocSecurity>
  <Lines>2625</Lines>
  <Paragraphs>739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369527</CharactersWithSpaces>
  <SharedDoc>false</SharedDoc>
  <HyperlinkBase/>
  <HLinks>
    <vt:vector size="18" baseType="variant">
      <vt:variant>
        <vt:i4>2031686</vt:i4>
      </vt:variant>
      <vt:variant>
        <vt:i4>36</vt:i4>
      </vt:variant>
      <vt:variant>
        <vt:i4>0</vt:i4>
      </vt:variant>
      <vt:variant>
        <vt:i4>5</vt:i4>
      </vt:variant>
      <vt:variant>
        <vt:lpwstr>http://www.3gpp.org/ftp/Specs/html-info/21900.htm</vt:lpwstr>
      </vt:variant>
      <vt:variant>
        <vt:lpwstr/>
      </vt:variant>
      <vt:variant>
        <vt:i4>6946916</vt:i4>
      </vt:variant>
      <vt:variant>
        <vt:i4>12</vt:i4>
      </vt:variant>
      <vt:variant>
        <vt:i4>0</vt:i4>
      </vt:variant>
      <vt:variant>
        <vt:i4>5</vt:i4>
      </vt:variant>
      <vt:variant>
        <vt:lpwstr>http://www.3gpp.org/Change-Requests</vt:lpwstr>
      </vt:variant>
      <vt:variant>
        <vt:lpwstr/>
      </vt:variant>
      <vt:variant>
        <vt:i4>6553706</vt:i4>
      </vt:variant>
      <vt:variant>
        <vt:i4>9</vt:i4>
      </vt:variant>
      <vt:variant>
        <vt:i4>0</vt:i4>
      </vt:variant>
      <vt:variant>
        <vt:i4>5</vt:i4>
      </vt:variant>
      <vt:variant>
        <vt:lpwstr>http://www.3gpp.org/3G_Specs/CRs.htm</vt:lpwstr>
      </vt:variant>
      <vt:variant>
        <vt:lpwstr>_blank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435</cp:revision>
  <dcterms:created xsi:type="dcterms:W3CDTF">2022-06-29T14:17:00Z</dcterms:created>
  <dcterms:modified xsi:type="dcterms:W3CDTF">2023-06-30T19:16:00Z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dc319f41-7331-4ed1-a9f6-adc138749408</vt:lpwstr>
  </property>
  <property fmtid="{D5CDD505-2E9C-101B-9397-08002B2CF9AE}" pid="3" name="CTP_TimeStamp">
    <vt:lpwstr>2019-09-07 00:54:24Z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_2015_ms_pID_725343">
    <vt:lpwstr>(3)sHpijrpr0MdD+We/B80aqThCh/g33rJ9pwt4rnWwJEdkHjok/IssUE23XlQlHiY3hrSSUHm6
h7vTKr9DjgKWgNqL+F26n3Fp+RSBGluxn6UpLVvNrLN01r8U5S2fZpQnFsq0fk4BpeyS6+8e
8uJhiZwSMFTeza5DT9ro64XzpNFYnAuyO/kK5L6CthKEdYcr5hlSpcRbbIHkcf0pWvITI1Bp
Ni7ebUFPbMMJ3vzinW</vt:lpwstr>
  </property>
  <property fmtid="{D5CDD505-2E9C-101B-9397-08002B2CF9AE}" pid="8" name="_2015_ms_pID_7253431">
    <vt:lpwstr>1B3ntbiMpE2EhuymauWy6fnENJZ9bdQRtuONrx3mqjk+UkeGarbtKI
Q7/ToXebg7YYPMQN+tFB3ATGEqheq7go+YFX3U8Tf7NnZvhCylRlC9AE2MIC4XGDpLy/pOKc
uWHwTTmoQS3WBt+LaZcKX32SLcllnWo3XdIm2idutxIy+Ci/2my2mruielU6JdjQCyGpeUVP
eEZib/gFhCM5GXqTOaWU6iRtySHI93XNR9b1</vt:lpwstr>
  </property>
  <property fmtid="{D5CDD505-2E9C-101B-9397-08002B2CF9AE}" pid="9" name="_2015_ms_pID_7253432">
    <vt:lpwstr>2RzX2LX1o0YrAPR/X6bvpwU=</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1539613302</vt:lpwstr>
  </property>
  <property fmtid="{D5CDD505-2E9C-101B-9397-08002B2CF9AE}" pid="14" name="CTPClassification">
    <vt:lpwstr>CTP_NT</vt:lpwstr>
  </property>
</Properties>
</file>